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0.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7"/>
        <w:keepNext w:val="0"/>
        <w:keepLines w:val="0"/>
        <w:framePr w:w="216" w:h="439" w:wrap="none" w:hAnchor="page" w:x="204" w:y="1117"/>
        <w:widowControl w:val="0"/>
        <w:pBdr>
          <w:top w:val="single" w:sz="0" w:space="0" w:color="7E5457"/>
          <w:left w:val="single" w:sz="0" w:space="0" w:color="7E5457"/>
          <w:bottom w:val="single" w:sz="0" w:space="0" w:color="7E5457"/>
          <w:right w:val="single" w:sz="0" w:space="0" w:color="7E5457"/>
        </w:pBdr>
        <w:shd w:val="clear" w:color="auto" w:fill="7E5457"/>
        <w:bidi w:val="0"/>
        <w:spacing w:before="0" w:after="0" w:line="240" w:lineRule="auto"/>
        <w:ind w:left="0" w:right="0" w:firstLine="0"/>
        <w:jc w:val="left"/>
        <w:rPr>
          <w:sz w:val="10"/>
          <w:szCs w:val="10"/>
        </w:rPr>
      </w:pPr>
      <w:r>
        <w:rPr>
          <w:rFonts w:ascii="Arial" w:eastAsia="Arial" w:hAnsi="Arial" w:cs="Arial"/>
          <w:color w:val="FFFFFF"/>
          <w:spacing w:val="0"/>
          <w:w w:val="100"/>
          <w:position w:val="0"/>
          <w:sz w:val="10"/>
          <w:szCs w:val="10"/>
          <w:shd w:val="clear" w:color="auto" w:fill="auto"/>
          <w:lang w:val="en-US" w:eastAsia="en-US" w:bidi="en-US"/>
        </w:rPr>
        <w:t>I .</w:t>
      </w:r>
    </w:p>
    <w:p>
      <w:pPr>
        <w:pStyle w:val="Style7"/>
        <w:keepNext w:val="0"/>
        <w:keepLines w:val="0"/>
        <w:framePr w:w="216" w:h="439" w:wrap="none" w:hAnchor="page" w:x="204" w:y="1117"/>
        <w:widowControl w:val="0"/>
        <w:pBdr>
          <w:top w:val="single" w:sz="0" w:space="0" w:color="7E5457"/>
          <w:left w:val="single" w:sz="0" w:space="0" w:color="7E5457"/>
          <w:bottom w:val="single" w:sz="0" w:space="0" w:color="7E5457"/>
          <w:right w:val="single" w:sz="0" w:space="0" w:color="7E5457"/>
        </w:pBdr>
        <w:shd w:val="clear" w:color="auto" w:fill="7E5457"/>
        <w:bidi w:val="0"/>
        <w:spacing w:before="0" w:after="0" w:line="226" w:lineRule="auto"/>
        <w:ind w:left="0" w:right="0" w:firstLine="0"/>
        <w:jc w:val="left"/>
        <w:rPr>
          <w:sz w:val="10"/>
          <w:szCs w:val="10"/>
        </w:rPr>
      </w:pPr>
      <w:r>
        <w:rPr>
          <w:rFonts w:ascii="Arial" w:eastAsia="Arial" w:hAnsi="Arial" w:cs="Arial"/>
          <w:color w:val="FFFFFF"/>
          <w:spacing w:val="0"/>
          <w:w w:val="100"/>
          <w:position w:val="0"/>
          <w:sz w:val="10"/>
          <w:szCs w:val="10"/>
          <w:shd w:val="clear" w:color="auto" w:fill="auto"/>
          <w:lang w:val="en-US" w:eastAsia="en-US" w:bidi="en-US"/>
        </w:rPr>
        <w:t>If '•</w:t>
      </w:r>
    </w:p>
    <w:p>
      <w:pPr>
        <w:pStyle w:val="Style7"/>
        <w:keepNext w:val="0"/>
        <w:keepLines w:val="0"/>
        <w:framePr w:w="216" w:h="439" w:wrap="none" w:hAnchor="page" w:x="204" w:y="1117"/>
        <w:widowControl w:val="0"/>
        <w:pBdr>
          <w:top w:val="single" w:sz="0" w:space="0" w:color="7E5457"/>
          <w:left w:val="single" w:sz="0" w:space="0" w:color="7E5457"/>
          <w:bottom w:val="single" w:sz="0" w:space="0" w:color="7E5457"/>
          <w:right w:val="single" w:sz="0" w:space="0" w:color="7E5457"/>
        </w:pBdr>
        <w:shd w:val="clear" w:color="auto" w:fill="7E5457"/>
        <w:bidi w:val="0"/>
        <w:spacing w:before="0" w:after="0" w:line="240" w:lineRule="auto"/>
        <w:ind w:left="0" w:right="0" w:firstLine="0"/>
        <w:jc w:val="left"/>
        <w:rPr>
          <w:sz w:val="10"/>
          <w:szCs w:val="10"/>
        </w:rPr>
      </w:pPr>
      <w:r>
        <w:rPr>
          <w:rFonts w:ascii="Arial" w:eastAsia="Arial" w:hAnsi="Arial" w:cs="Arial"/>
          <w:color w:val="FFFFFF"/>
          <w:spacing w:val="0"/>
          <w:w w:val="100"/>
          <w:position w:val="0"/>
          <w:sz w:val="10"/>
          <w:szCs w:val="10"/>
          <w:shd w:val="clear" w:color="auto" w:fill="auto"/>
          <w:lang w:val="en-US" w:eastAsia="en-US" w:bidi="en-US"/>
        </w:rPr>
        <w:t>f</w:t>
      </w:r>
    </w:p>
    <w:p>
      <w:pPr>
        <w:widowControl w:val="0"/>
        <w:spacing w:line="360" w:lineRule="exact"/>
      </w:pPr>
      <w:r>
        <w:drawing>
          <wp:anchor distT="0" distB="0" distL="0" distR="0" simplePos="0" relativeHeight="62914690" behindDoc="1" locked="0" layoutInCell="1" allowOverlap="1">
            <wp:simplePos x="0" y="0"/>
            <wp:positionH relativeFrom="page">
              <wp:posOffset>732155</wp:posOffset>
            </wp:positionH>
            <wp:positionV relativeFrom="margin">
              <wp:posOffset>0</wp:posOffset>
            </wp:positionV>
            <wp:extent cx="4766945" cy="26797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4766945" cy="267970"/>
                    </a:xfrm>
                    <a:prstGeom prst="rect"/>
                  </pic:spPr>
                </pic:pic>
              </a:graphicData>
            </a:graphic>
          </wp:anchor>
        </w:drawing>
      </w:r>
    </w:p>
    <w:p>
      <w:pPr>
        <w:widowControl w:val="0"/>
        <w:spacing w:line="360" w:lineRule="exact"/>
      </w:pPr>
    </w:p>
    <w:p>
      <w:pPr>
        <w:widowControl w:val="0"/>
        <w:spacing w:line="360" w:lineRule="exact"/>
      </w:pPr>
    </w:p>
    <w:p>
      <w:pPr>
        <w:widowControl w:val="0"/>
        <w:spacing w:after="474" w:line="1" w:lineRule="exact"/>
      </w:pPr>
    </w:p>
    <w:p>
      <w:pPr>
        <w:widowControl w:val="0"/>
        <w:spacing w:line="1" w:lineRule="exact"/>
        <w:sectPr>
          <w:footnotePr>
            <w:pos w:val="pageBottom"/>
            <w:numFmt w:val="decimal"/>
            <w:numRestart w:val="continuous"/>
          </w:footnotePr>
          <w:pgSz w:w="9627" w:h="12532"/>
          <w:pgMar w:top="2042" w:left="196" w:right="964" w:bottom="276" w:header="1614" w:footer="3" w:gutter="0"/>
          <w:pgNumType w:start="1"/>
          <w:cols w:space="720"/>
          <w:noEndnote/>
          <w:rtlGutter w:val="0"/>
          <w:docGrid w:linePitch="360"/>
        </w:sectPr>
      </w:pPr>
    </w:p>
    <w:p>
      <w:pPr>
        <w:widowControl w:val="0"/>
        <w:spacing w:line="1" w:lineRule="exact"/>
      </w:pPr>
      <w:r>
        <w:drawing>
          <wp:anchor distT="0" distB="0" distL="114300" distR="114300" simplePos="0" relativeHeight="125829378" behindDoc="0" locked="0" layoutInCell="1" allowOverlap="1">
            <wp:simplePos x="0" y="0"/>
            <wp:positionH relativeFrom="page">
              <wp:posOffset>229235</wp:posOffset>
            </wp:positionH>
            <wp:positionV relativeFrom="paragraph">
              <wp:posOffset>1755775</wp:posOffset>
            </wp:positionV>
            <wp:extent cx="128270" cy="445135"/>
            <wp:wrapSquare wrapText="bothSides"/>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128270" cy="445135"/>
                    </a:xfrm>
                    <a:prstGeom prst="rect"/>
                  </pic:spPr>
                </pic:pic>
              </a:graphicData>
            </a:graphic>
          </wp:anchor>
        </w:drawing>
      </w:r>
    </w:p>
    <w:p>
      <w:pPr>
        <w:pStyle w:val="Style7"/>
        <w:keepNext w:val="0"/>
        <w:keepLines w:val="0"/>
        <w:widowControl w:val="0"/>
        <w:shd w:val="clear" w:color="auto" w:fill="auto"/>
        <w:bidi w:val="0"/>
        <w:spacing w:before="0" w:after="1320" w:line="240" w:lineRule="auto"/>
        <w:ind w:left="220" w:right="0" w:firstLine="0"/>
        <w:jc w:val="left"/>
        <w:rPr>
          <w:sz w:val="48"/>
          <w:szCs w:val="48"/>
        </w:rPr>
      </w:pPr>
      <w:r>
        <w:rPr>
          <w:rFonts w:ascii="Times New Roman" w:eastAsia="Times New Roman" w:hAnsi="Times New Roman" w:cs="Times New Roman"/>
          <w:color w:val="775F37"/>
          <w:spacing w:val="0"/>
          <w:w w:val="100"/>
          <w:position w:val="0"/>
          <w:sz w:val="48"/>
          <w:szCs w:val="48"/>
          <w:shd w:val="clear" w:color="auto" w:fill="auto"/>
          <w:lang w:val="hr-HR" w:eastAsia="hr-HR" w:bidi="hr-HR"/>
        </w:rPr>
        <w:t>ŽIDOVSTVO</w:t>
      </w:r>
    </w:p>
    <w:p>
      <w:pPr>
        <w:pStyle w:val="Style7"/>
        <w:keepNext w:val="0"/>
        <w:keepLines w:val="0"/>
        <w:widowControl w:val="0"/>
        <w:shd w:val="clear" w:color="auto" w:fill="auto"/>
        <w:bidi w:val="0"/>
        <w:spacing w:before="0" w:after="0" w:line="240" w:lineRule="auto"/>
        <w:ind w:left="0" w:right="0" w:firstLine="0"/>
        <w:jc w:val="left"/>
        <w:rPr>
          <w:sz w:val="48"/>
          <w:szCs w:val="48"/>
        </w:rPr>
        <w:sectPr>
          <w:footnotePr>
            <w:pos w:val="pageBottom"/>
            <w:numFmt w:val="decimal"/>
            <w:numRestart w:val="continuous"/>
          </w:footnotePr>
          <w:type w:val="continuous"/>
          <w:pgSz w:w="9627" w:h="12532"/>
          <w:pgMar w:top="2042" w:left="3234" w:right="3045" w:bottom="276"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48"/>
          <w:szCs w:val="48"/>
          <w:shd w:val="clear" w:color="auto" w:fill="auto"/>
          <w:lang w:val="hr-HR" w:eastAsia="hr-HR" w:bidi="hr-HR"/>
        </w:rPr>
        <w:t>KRŠĆANSTVO</w:t>
      </w:r>
    </w:p>
    <w:p>
      <w:pPr>
        <w:widowControl w:val="0"/>
        <w:spacing w:line="1" w:lineRule="exact"/>
      </w:pPr>
      <w:r>
        <mc:AlternateContent>
          <mc:Choice Requires="wps">
            <w:drawing>
              <wp:anchor distT="0" distB="0" distL="114300" distR="114300" simplePos="0" relativeHeight="125829379" behindDoc="0" locked="0" layoutInCell="1" allowOverlap="1">
                <wp:simplePos x="0" y="0"/>
                <wp:positionH relativeFrom="page">
                  <wp:posOffset>238760</wp:posOffset>
                </wp:positionH>
                <wp:positionV relativeFrom="paragraph">
                  <wp:posOffset>1390015</wp:posOffset>
                </wp:positionV>
                <wp:extent cx="128270" cy="278765"/>
                <wp:wrapSquare wrapText="bothSides"/>
                <wp:docPr id="5" name="Shape 5"/>
                <a:graphic xmlns:a="http://schemas.openxmlformats.org/drawingml/2006/main">
                  <a:graphicData uri="http://schemas.microsoft.com/office/word/2010/wordprocessingShape">
                    <wps:wsp>
                      <wps:cNvSpPr txBox="1"/>
                      <wps:spPr>
                        <a:xfrm>
                          <a:ext cx="128270" cy="278765"/>
                        </a:xfrm>
                        <a:prstGeom prst="rect"/>
                        <a:noFill/>
                      </wps:spPr>
                      <wps:txbx>
                        <w:txbxContent>
                          <w:p>
                            <w:pPr>
                              <w:pStyle w:val="Style7"/>
                              <w:keepNext w:val="0"/>
                              <w:keepLines w:val="0"/>
                              <w:widowControl w:val="0"/>
                              <w:pBdr>
                                <w:top w:val="single" w:sz="0" w:space="0" w:color="795658"/>
                                <w:left w:val="single" w:sz="0" w:space="0" w:color="795658"/>
                                <w:bottom w:val="single" w:sz="0" w:space="0" w:color="795658"/>
                                <w:right w:val="single" w:sz="0" w:space="0" w:color="795658"/>
                              </w:pBdr>
                              <w:shd w:val="clear" w:color="auto" w:fill="795658"/>
                              <w:bidi w:val="0"/>
                              <w:spacing w:before="0" w:after="0" w:line="240" w:lineRule="auto"/>
                              <w:ind w:left="0" w:right="0" w:firstLine="0"/>
                              <w:jc w:val="left"/>
                              <w:rPr>
                                <w:sz w:val="10"/>
                                <w:szCs w:val="10"/>
                              </w:rPr>
                            </w:pPr>
                            <w:r>
                              <w:rPr>
                                <w:rFonts w:ascii="Times New Roman" w:eastAsia="Times New Roman" w:hAnsi="Times New Roman" w:cs="Times New Roman"/>
                                <w:b/>
                                <w:bCs/>
                                <w:color w:val="FFFFFF"/>
                                <w:spacing w:val="0"/>
                                <w:w w:val="100"/>
                                <w:position w:val="0"/>
                                <w:sz w:val="10"/>
                                <w:szCs w:val="10"/>
                                <w:shd w:val="clear" w:color="auto" w:fill="auto"/>
                                <w:lang w:val="hr-HR" w:eastAsia="hr-HR" w:bidi="hr-HR"/>
                              </w:rPr>
                              <w:t>Hite::</w:t>
                            </w:r>
                          </w:p>
                        </w:txbxContent>
                      </wps:txbx>
                      <wps:bodyPr upright="0" vert="vert270"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18.800000000000001pt;margin-top:109.45pt;width:10.1pt;height:21.949999999999999pt;z-index:-125829374;mso-wrap-distance-left:9.pt;mso-wrap-distance-right:9.pt;mso-position-horizontal-relative:page" filled="f" stroked="f">
                <v:textbox style="layout-flow:vertical;mso-layout-flow-alt:bottom-to-top" inset="0,0,0,0">
                  <w:txbxContent>
                    <w:p>
                      <w:pPr>
                        <w:pStyle w:val="Style7"/>
                        <w:keepNext w:val="0"/>
                        <w:keepLines w:val="0"/>
                        <w:widowControl w:val="0"/>
                        <w:pBdr>
                          <w:top w:val="single" w:sz="0" w:space="0" w:color="795658"/>
                          <w:left w:val="single" w:sz="0" w:space="0" w:color="795658"/>
                          <w:bottom w:val="single" w:sz="0" w:space="0" w:color="795658"/>
                          <w:right w:val="single" w:sz="0" w:space="0" w:color="795658"/>
                        </w:pBdr>
                        <w:shd w:val="clear" w:color="auto" w:fill="795658"/>
                        <w:bidi w:val="0"/>
                        <w:spacing w:before="0" w:after="0" w:line="240" w:lineRule="auto"/>
                        <w:ind w:left="0" w:right="0" w:firstLine="0"/>
                        <w:jc w:val="left"/>
                        <w:rPr>
                          <w:sz w:val="10"/>
                          <w:szCs w:val="10"/>
                        </w:rPr>
                      </w:pPr>
                      <w:r>
                        <w:rPr>
                          <w:rFonts w:ascii="Times New Roman" w:eastAsia="Times New Roman" w:hAnsi="Times New Roman" w:cs="Times New Roman"/>
                          <w:b/>
                          <w:bCs/>
                          <w:color w:val="FFFFFF"/>
                          <w:spacing w:val="0"/>
                          <w:w w:val="100"/>
                          <w:position w:val="0"/>
                          <w:sz w:val="10"/>
                          <w:szCs w:val="10"/>
                          <w:shd w:val="clear" w:color="auto" w:fill="auto"/>
                          <w:lang w:val="hr-HR" w:eastAsia="hr-HR" w:bidi="hr-HR"/>
                        </w:rPr>
                        <w:t>Hite::</w:t>
                      </w:r>
                    </w:p>
                  </w:txbxContent>
                </v:textbox>
                <w10:wrap type="square" anchorx="page"/>
              </v:shape>
            </w:pict>
          </mc:Fallback>
        </mc:AlternateContent>
      </w:r>
      <w:r>
        <w:drawing>
          <wp:anchor distT="0" distB="0" distL="114300" distR="114300" simplePos="0" relativeHeight="125829381" behindDoc="0" locked="0" layoutInCell="1" allowOverlap="1">
            <wp:simplePos x="0" y="0"/>
            <wp:positionH relativeFrom="page">
              <wp:posOffset>124460</wp:posOffset>
            </wp:positionH>
            <wp:positionV relativeFrom="paragraph">
              <wp:posOffset>2286000</wp:posOffset>
            </wp:positionV>
            <wp:extent cx="219710" cy="280670"/>
            <wp:wrapSquare wrapText="bothSides"/>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9"/>
                    <a:stretch/>
                  </pic:blipFill>
                  <pic:spPr>
                    <a:xfrm>
                      <a:ext cx="219710" cy="280670"/>
                    </a:xfrm>
                    <a:prstGeom prst="rect"/>
                  </pic:spPr>
                </pic:pic>
              </a:graphicData>
            </a:graphic>
          </wp:anchor>
        </w:drawing>
      </w:r>
    </w:p>
    <w:p>
      <w:pPr>
        <w:pStyle w:val="Style7"/>
        <w:keepNext w:val="0"/>
        <w:keepLines w:val="0"/>
        <w:widowControl w:val="0"/>
        <w:shd w:val="clear" w:color="auto" w:fill="auto"/>
        <w:bidi w:val="0"/>
        <w:spacing w:before="0" w:after="1740" w:line="240" w:lineRule="auto"/>
        <w:ind w:left="0" w:right="0" w:firstLine="0"/>
        <w:jc w:val="center"/>
        <w:rPr>
          <w:sz w:val="48"/>
          <w:szCs w:val="48"/>
        </w:rPr>
      </w:pPr>
      <w:r>
        <w:rPr>
          <w:rFonts w:ascii="Times New Roman" w:eastAsia="Times New Roman" w:hAnsi="Times New Roman" w:cs="Times New Roman"/>
          <w:color w:val="486644"/>
          <w:spacing w:val="0"/>
          <w:w w:val="100"/>
          <w:position w:val="0"/>
          <w:sz w:val="48"/>
          <w:szCs w:val="48"/>
          <w:shd w:val="clear" w:color="auto" w:fill="auto"/>
          <w:lang w:val="en-US" w:eastAsia="en-US" w:bidi="en-US"/>
        </w:rPr>
        <w:t>ISLAM</w:t>
      </w:r>
    </w:p>
    <w:p>
      <w:pPr>
        <w:pStyle w:val="Style7"/>
        <w:keepNext w:val="0"/>
        <w:keepLines w:val="0"/>
        <w:widowControl w:val="0"/>
        <w:pBdr>
          <w:top w:val="single" w:sz="0" w:space="0" w:color="783D39"/>
          <w:left w:val="single" w:sz="0" w:space="0" w:color="783D39"/>
          <w:bottom w:val="single" w:sz="0" w:space="0" w:color="783D39"/>
          <w:right w:val="single" w:sz="0" w:space="0" w:color="783D39"/>
        </w:pBdr>
        <w:shd w:val="clear" w:color="auto" w:fill="783D39"/>
        <w:bidi w:val="0"/>
        <w:spacing w:before="0" w:after="0" w:line="240" w:lineRule="auto"/>
        <w:ind w:left="0" w:right="0" w:firstLine="0"/>
        <w:jc w:val="center"/>
        <w:rPr>
          <w:sz w:val="20"/>
          <w:szCs w:val="20"/>
        </w:rPr>
      </w:pPr>
      <w:r>
        <w:rPr>
          <w:rFonts w:ascii="Times New Roman" w:eastAsia="Times New Roman" w:hAnsi="Times New Roman" w:cs="Times New Roman"/>
          <w:color w:val="FFFFFF"/>
          <w:spacing w:val="0"/>
          <w:w w:val="100"/>
          <w:position w:val="0"/>
          <w:sz w:val="20"/>
          <w:szCs w:val="20"/>
          <w:shd w:val="clear" w:color="auto" w:fill="auto"/>
          <w:lang w:val="hr-HR" w:eastAsia="hr-HR" w:bidi="hr-HR"/>
        </w:rPr>
        <w:t>PRIREDIO</w:t>
      </w:r>
    </w:p>
    <w:p>
      <w:pPr>
        <w:pStyle w:val="Style7"/>
        <w:keepNext w:val="0"/>
        <w:keepLines w:val="0"/>
        <w:widowControl w:val="0"/>
        <w:pBdr>
          <w:top w:val="single" w:sz="0" w:space="0" w:color="783D39"/>
          <w:left w:val="single" w:sz="0" w:space="0" w:color="783D39"/>
          <w:bottom w:val="single" w:sz="0" w:space="0" w:color="783D39"/>
          <w:right w:val="single" w:sz="0" w:space="0" w:color="783D39"/>
        </w:pBdr>
        <w:shd w:val="clear" w:color="auto" w:fill="783D39"/>
        <w:bidi w:val="0"/>
        <w:spacing w:before="0" w:after="0" w:line="240" w:lineRule="auto"/>
        <w:ind w:left="0" w:right="0" w:firstLine="0"/>
        <w:jc w:val="center"/>
        <w:rPr>
          <w:sz w:val="20"/>
          <w:szCs w:val="20"/>
        </w:rPr>
        <w:sectPr>
          <w:footnotePr>
            <w:pos w:val="pageBottom"/>
            <w:numFmt w:val="decimal"/>
            <w:numRestart w:val="continuous"/>
          </w:footnotePr>
          <w:type w:val="continuous"/>
          <w:pgSz w:w="9627" w:h="12532"/>
          <w:pgMar w:top="2042" w:left="3234" w:right="3045" w:bottom="276" w:header="0" w:footer="3" w:gutter="0"/>
          <w:cols w:space="720"/>
          <w:noEndnote/>
          <w:rtlGutter w:val="0"/>
          <w:docGrid w:linePitch="360"/>
        </w:sectPr>
      </w:pPr>
      <w:r>
        <w:rPr>
          <w:rFonts w:ascii="Times New Roman" w:eastAsia="Times New Roman" w:hAnsi="Times New Roman" w:cs="Times New Roman"/>
          <w:color w:val="FFFFFF"/>
          <w:spacing w:val="0"/>
          <w:w w:val="100"/>
          <w:position w:val="0"/>
          <w:sz w:val="20"/>
          <w:szCs w:val="20"/>
          <w:shd w:val="clear" w:color="auto" w:fill="auto"/>
          <w:lang w:val="en-US" w:eastAsia="en-US" w:bidi="en-US"/>
        </w:rPr>
        <w:t>ADEL TH. KHOURY</w:t>
      </w:r>
    </w:p>
    <w:p>
      <w:pPr>
        <w:pStyle w:val="Style7"/>
        <w:keepNext w:val="0"/>
        <w:keepLines w:val="0"/>
        <w:widowControl w:val="0"/>
        <w:pBdr>
          <w:top w:val="single" w:sz="0" w:space="0" w:color="783D39"/>
          <w:left w:val="single" w:sz="0" w:space="0" w:color="783D39"/>
          <w:bottom w:val="single" w:sz="0" w:space="0" w:color="783D39"/>
          <w:right w:val="single" w:sz="0" w:space="0" w:color="783D39"/>
        </w:pBdr>
        <w:shd w:val="clear" w:color="auto" w:fill="783D39"/>
        <w:bidi w:val="0"/>
        <w:spacing w:before="0" w:after="0" w:line="240" w:lineRule="auto"/>
        <w:ind w:left="0" w:right="0" w:firstLine="0"/>
        <w:jc w:val="center"/>
        <w:rPr>
          <w:sz w:val="26"/>
          <w:szCs w:val="26"/>
        </w:rPr>
        <w:sectPr>
          <w:footnotePr>
            <w:pos w:val="pageBottom"/>
            <w:numFmt w:val="decimal"/>
            <w:numRestart w:val="continuous"/>
          </w:footnotePr>
          <w:pgSz w:w="9627" w:h="12532"/>
          <w:pgMar w:top="2042" w:left="3234" w:right="3045" w:bottom="276" w:header="0" w:footer="3" w:gutter="0"/>
          <w:cols w:space="720"/>
          <w:noEndnote/>
          <w:rtlGutter w:val="0"/>
          <w:docGrid w:linePitch="360"/>
        </w:sectPr>
      </w:pPr>
      <w:r>
        <w:rPr>
          <w:rFonts w:ascii="Arial" w:eastAsia="Arial" w:hAnsi="Arial" w:cs="Arial"/>
          <w:b/>
          <w:bCs/>
          <w:color w:val="FFFFFF"/>
          <w:spacing w:val="0"/>
          <w:w w:val="100"/>
          <w:position w:val="0"/>
          <w:sz w:val="26"/>
          <w:szCs w:val="26"/>
          <w:shd w:val="clear" w:color="auto" w:fill="auto"/>
          <w:lang w:val="hr-HR" w:eastAsia="hr-HR" w:bidi="hr-HR"/>
        </w:rPr>
        <w:t>PROMETE)</w:t>
      </w:r>
    </w:p>
    <w:p>
      <w:pPr>
        <w:widowControl w:val="0"/>
        <w:sectPr>
          <w:footnotePr>
            <w:pos w:val="pageBottom"/>
            <w:numFmt w:val="decimal"/>
            <w:numRestart w:val="continuous"/>
          </w:footnotePr>
          <w:pgSz w:w="6642" w:h="9927"/>
          <w:pgMar w:top="213" w:left="45" w:right="6377" w:bottom="213" w:header="0" w:footer="3" w:gutter="0"/>
          <w:pgNumType w:start="3"/>
          <w:cols w:space="720"/>
          <w:noEndnote/>
          <w:rtlGutter w:val="0"/>
          <w:docGrid w:linePitch="360"/>
        </w:sectPr>
      </w:pPr>
    </w:p>
    <w:p>
      <w:pPr>
        <w:pStyle w:val="Style7"/>
        <w:keepNext w:val="0"/>
        <w:keepLines w:val="0"/>
        <w:widowControl w:val="0"/>
        <w:shd w:val="clear" w:color="auto" w:fill="auto"/>
        <w:bidi w:val="0"/>
        <w:spacing w:before="0" w:after="0" w:line="240" w:lineRule="auto"/>
        <w:ind w:left="0" w:right="680" w:firstLine="0"/>
        <w:jc w:val="center"/>
        <w:rPr>
          <w:sz w:val="26"/>
          <w:szCs w:val="26"/>
        </w:rPr>
      </w:pPr>
      <w:r>
        <w:rPr>
          <w:rFonts w:ascii="Times New Roman" w:eastAsia="Times New Roman" w:hAnsi="Times New Roman" w:cs="Times New Roman"/>
          <w:color w:val="000000"/>
          <w:spacing w:val="0"/>
          <w:w w:val="100"/>
          <w:position w:val="0"/>
          <w:sz w:val="26"/>
          <w:szCs w:val="26"/>
          <w:shd w:val="clear" w:color="auto" w:fill="auto"/>
          <w:lang w:val="hr-HR" w:eastAsia="hr-HR" w:bidi="hr-HR"/>
        </w:rPr>
        <w:t>LEKSIKON</w:t>
      </w:r>
    </w:p>
    <w:p>
      <w:pPr>
        <w:pStyle w:val="Style7"/>
        <w:keepNext w:val="0"/>
        <w:keepLines w:val="0"/>
        <w:widowControl w:val="0"/>
        <w:shd w:val="clear" w:color="auto" w:fill="auto"/>
        <w:bidi w:val="0"/>
        <w:spacing w:before="0" w:after="180"/>
        <w:ind w:left="0" w:right="680" w:firstLine="0"/>
        <w:jc w:val="center"/>
        <w:rPr>
          <w:sz w:val="22"/>
          <w:szCs w:val="22"/>
        </w:rPr>
      </w:pPr>
      <w:r>
        <w:rPr>
          <w:rFonts w:ascii="Times New Roman" w:eastAsia="Times New Roman" w:hAnsi="Times New Roman" w:cs="Times New Roman"/>
          <w:color w:val="000000"/>
          <w:spacing w:val="0"/>
          <w:w w:val="100"/>
          <w:position w:val="0"/>
          <w:sz w:val="22"/>
          <w:szCs w:val="22"/>
          <w:shd w:val="clear" w:color="auto" w:fill="auto"/>
          <w:lang w:val="hr-HR" w:eastAsia="hr-HR" w:bidi="hr-HR"/>
        </w:rPr>
        <w:t>TEMELJNIH RELIGIJSKIH POJMOVA</w:t>
      </w:r>
    </w:p>
    <w:p>
      <w:pPr>
        <w:pStyle w:val="Style7"/>
        <w:keepNext w:val="0"/>
        <w:keepLines w:val="0"/>
        <w:widowControl w:val="0"/>
        <w:shd w:val="clear" w:color="auto" w:fill="auto"/>
        <w:bidi w:val="0"/>
        <w:spacing w:before="0" w:after="0" w:line="240" w:lineRule="auto"/>
        <w:ind w:left="0" w:right="68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ŽIDOVSTVO</w:t>
      </w:r>
    </w:p>
    <w:p>
      <w:pPr>
        <w:pStyle w:val="Style7"/>
        <w:keepNext w:val="0"/>
        <w:keepLines w:val="0"/>
        <w:widowControl w:val="0"/>
        <w:shd w:val="clear" w:color="auto" w:fill="auto"/>
        <w:bidi w:val="0"/>
        <w:spacing w:before="0" w:after="100"/>
        <w:ind w:left="0" w:right="680" w:firstLine="0"/>
        <w:jc w:val="center"/>
        <w:rPr>
          <w:sz w:val="22"/>
          <w:szCs w:val="22"/>
        </w:rPr>
        <w:sectPr>
          <w:footnotePr>
            <w:pos w:val="pageBottom"/>
            <w:numFmt w:val="decimal"/>
            <w:numRestart w:val="continuous"/>
          </w:footnotePr>
          <w:pgSz w:w="7498" w:h="11040"/>
          <w:pgMar w:top="778" w:left="240" w:right="850" w:bottom="778" w:header="350" w:footer="3" w:gutter="0"/>
          <w:pgNumType w:start="5"/>
          <w:cols w:space="720"/>
          <w:noEndnote/>
          <w:rtlGutter w:val="0"/>
          <w:docGrid w:linePitch="360"/>
        </w:sectPr>
      </w:pPr>
      <w:r>
        <w:rPr>
          <w:rFonts w:ascii="Times New Roman" w:eastAsia="Times New Roman" w:hAnsi="Times New Roman" w:cs="Times New Roman"/>
          <w:smallCaps/>
          <w:color w:val="000000"/>
          <w:spacing w:val="0"/>
          <w:w w:val="100"/>
          <w:position w:val="0"/>
          <w:sz w:val="22"/>
          <w:szCs w:val="22"/>
          <w:shd w:val="clear" w:color="auto" w:fill="auto"/>
          <w:lang w:val="hr-HR" w:eastAsia="hr-HR" w:bidi="hr-HR"/>
        </w:rPr>
        <w:t>Kršćanstvo</w:t>
        <w:br/>
        <w:t>Islam</w:t>
      </w:r>
    </w:p>
    <w:p>
      <w:pPr>
        <w:pStyle w:val="Style20"/>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Naslov izvornika</w:t>
      </w:r>
    </w:p>
    <w:p>
      <w:pPr>
        <w:pStyle w:val="Style20"/>
        <w:keepNext w:val="0"/>
        <w:keepLines w:val="0"/>
        <w:widowControl w:val="0"/>
        <w:shd w:val="clear" w:color="auto" w:fill="auto"/>
        <w:bidi w:val="0"/>
        <w:spacing w:before="0" w:after="60" w:line="233" w:lineRule="auto"/>
        <w:ind w:left="0" w:right="0" w:firstLine="0"/>
        <w:jc w:val="center"/>
      </w:pPr>
      <w:r>
        <w:rPr>
          <w:rFonts w:ascii="Times New Roman" w:eastAsia="Times New Roman" w:hAnsi="Times New Roman" w:cs="Times New Roman"/>
          <w:i/>
          <w:iCs/>
          <w:color w:val="000000"/>
          <w:spacing w:val="0"/>
          <w:w w:val="100"/>
          <w:position w:val="0"/>
          <w:sz w:val="17"/>
          <w:szCs w:val="17"/>
          <w:shd w:val="clear" w:color="auto" w:fill="auto"/>
          <w:lang w:val="en-US" w:eastAsia="en-US" w:bidi="en-US"/>
        </w:rPr>
        <w:t xml:space="preserve">Lexikon </w:t>
      </w:r>
      <w:r>
        <w:rPr>
          <w:rFonts w:ascii="Times New Roman" w:eastAsia="Times New Roman" w:hAnsi="Times New Roman" w:cs="Times New Roman"/>
          <w:i/>
          <w:iCs/>
          <w:color w:val="000000"/>
          <w:spacing w:val="0"/>
          <w:w w:val="100"/>
          <w:position w:val="0"/>
          <w:sz w:val="17"/>
          <w:szCs w:val="17"/>
          <w:shd w:val="clear" w:color="auto" w:fill="auto"/>
          <w:lang w:val="hr-HR" w:eastAsia="hr-HR" w:bidi="hr-HR"/>
        </w:rPr>
        <w:t>religioser Grundbegriffe: Judenlum. Christentum. Islam.</w:t>
      </w:r>
      <w:r>
        <w:rPr>
          <w:rFonts w:ascii="Times New Roman" w:eastAsia="Times New Roman" w:hAnsi="Times New Roman" w:cs="Times New Roman"/>
          <w:color w:val="000000"/>
          <w:spacing w:val="0"/>
          <w:w w:val="100"/>
          <w:position w:val="0"/>
          <w:shd w:val="clear" w:color="auto" w:fill="auto"/>
          <w:lang w:val="hr-HR" w:eastAsia="hr-HR" w:bidi="hr-HR"/>
        </w:rPr>
        <w:t xml:space="preserve"> Hrsg </w:t>
      </w:r>
      <w:r>
        <w:rPr>
          <w:rFonts w:ascii="Times New Roman" w:eastAsia="Times New Roman" w:hAnsi="Times New Roman" w:cs="Times New Roman"/>
          <w:color w:val="000000"/>
          <w:spacing w:val="0"/>
          <w:w w:val="100"/>
          <w:position w:val="0"/>
          <w:shd w:val="clear" w:color="auto" w:fill="auto"/>
          <w:lang w:val="en-US" w:eastAsia="en-US" w:bidi="en-US"/>
        </w:rPr>
        <w:t xml:space="preserve">von Adel </w:t>
      </w:r>
      <w:r>
        <w:rPr>
          <w:rFonts w:ascii="Times New Roman" w:eastAsia="Times New Roman" w:hAnsi="Times New Roman" w:cs="Times New Roman"/>
          <w:color w:val="000000"/>
          <w:spacing w:val="0"/>
          <w:w w:val="100"/>
          <w:position w:val="0"/>
          <w:shd w:val="clear" w:color="auto" w:fill="auto"/>
          <w:lang w:val="hr-HR" w:eastAsia="hr-HR" w:bidi="hr-HR"/>
        </w:rPr>
        <w:t xml:space="preserve">Theođor </w:t>
      </w:r>
      <w:r>
        <w:rPr>
          <w:rFonts w:ascii="Times New Roman" w:eastAsia="Times New Roman" w:hAnsi="Times New Roman" w:cs="Times New Roman"/>
          <w:color w:val="000000"/>
          <w:spacing w:val="0"/>
          <w:w w:val="100"/>
          <w:position w:val="0"/>
          <w:shd w:val="clear" w:color="auto" w:fill="auto"/>
          <w:lang w:val="en-US" w:eastAsia="en-US" w:bidi="en-US"/>
        </w:rPr>
        <w:t>Khoury,</w:t>
        <w:br/>
        <w:t xml:space="preserve">Styria </w:t>
      </w:r>
      <w:r>
        <w:rPr>
          <w:rFonts w:ascii="Times New Roman" w:eastAsia="Times New Roman" w:hAnsi="Times New Roman" w:cs="Times New Roman"/>
          <w:color w:val="000000"/>
          <w:spacing w:val="0"/>
          <w:w w:val="100"/>
          <w:position w:val="0"/>
          <w:shd w:val="clear" w:color="auto" w:fill="auto"/>
          <w:lang w:val="hr-HR" w:eastAsia="hr-HR" w:bidi="hr-HR"/>
        </w:rPr>
        <w:t xml:space="preserve">Veriag, </w:t>
      </w:r>
      <w:r>
        <w:rPr>
          <w:rFonts w:ascii="Times New Roman" w:eastAsia="Times New Roman" w:hAnsi="Times New Roman" w:cs="Times New Roman"/>
          <w:color w:val="000000"/>
          <w:spacing w:val="0"/>
          <w:w w:val="100"/>
          <w:position w:val="0"/>
          <w:shd w:val="clear" w:color="auto" w:fill="auto"/>
          <w:lang w:val="en-US" w:eastAsia="en-US" w:bidi="en-US"/>
        </w:rPr>
        <w:t>Graz/Wien/Koln (Sender a iisgabe) 1996.</w:t>
      </w:r>
    </w:p>
    <w:p>
      <w:pPr>
        <w:pStyle w:val="Style20"/>
        <w:keepNext w:val="0"/>
        <w:keepLines w:val="0"/>
        <w:widowControl w:val="0"/>
        <w:shd w:val="clear" w:color="auto" w:fill="auto"/>
        <w:bidi w:val="0"/>
        <w:spacing w:before="0" w:after="120" w:line="264" w:lineRule="auto"/>
        <w:ind w:left="0" w:right="0" w:firstLine="0"/>
        <w:jc w:val="center"/>
      </w:pPr>
      <w:r>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Copyright © </w:t>
      </w:r>
      <w:r>
        <w:rPr>
          <w:rFonts w:ascii="Times New Roman" w:eastAsia="Times New Roman" w:hAnsi="Times New Roman" w:cs="Times New Roman"/>
          <w:color w:val="000000"/>
          <w:spacing w:val="0"/>
          <w:w w:val="100"/>
          <w:position w:val="0"/>
          <w:shd w:val="clear" w:color="auto" w:fill="auto"/>
          <w:lang w:val="en-US" w:eastAsia="en-US" w:bidi="en-US"/>
        </w:rPr>
        <w:t xml:space="preserve">19S7 </w:t>
      </w:r>
      <w:r>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by </w:t>
      </w:r>
      <w:r>
        <w:rPr>
          <w:rFonts w:ascii="Times New Roman" w:eastAsia="Times New Roman" w:hAnsi="Times New Roman" w:cs="Times New Roman"/>
          <w:color w:val="000000"/>
          <w:spacing w:val="0"/>
          <w:w w:val="100"/>
          <w:position w:val="0"/>
          <w:shd w:val="clear" w:color="auto" w:fill="auto"/>
          <w:lang w:val="en-US" w:eastAsia="en-US" w:bidi="en-US"/>
        </w:rPr>
        <w:t>Veriag Styria, Graz-Wien-Koln.</w:t>
      </w:r>
    </w:p>
    <w:p>
      <w:pPr>
        <w:pStyle w:val="Style20"/>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 xml:space="preserve">Copyright © </w:t>
      </w:r>
      <w:r>
        <w:rPr>
          <w:rFonts w:ascii="Times New Roman" w:eastAsia="Times New Roman" w:hAnsi="Times New Roman" w:cs="Times New Roman"/>
          <w:color w:val="000000"/>
          <w:spacing w:val="0"/>
          <w:w w:val="100"/>
          <w:position w:val="0"/>
          <w:shd w:val="clear" w:color="auto" w:fill="auto"/>
          <w:lang w:val="hr-HR" w:eastAsia="hr-HR" w:bidi="hr-HR"/>
        </w:rPr>
        <w:t>za hrvatsko izdanje</w:t>
      </w:r>
    </w:p>
    <w:p>
      <w:pPr>
        <w:pStyle w:val="Style20"/>
        <w:keepNext w:val="0"/>
        <w:keepLines w:val="0"/>
        <w:widowControl w:val="0"/>
        <w:shd w:val="clear" w:color="auto" w:fill="auto"/>
        <w:bidi w:val="0"/>
        <w:spacing w:before="0" w:after="56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SVJETSKA KONFERENCIJA RELIGIJA ZA MIR - ZAGREB, 2005.</w:t>
      </w:r>
    </w:p>
    <w:p>
      <w:pPr>
        <w:pStyle w:val="Style24"/>
        <w:keepNext/>
        <w:keepLines/>
        <w:widowControl w:val="0"/>
        <w:shd w:val="clear" w:color="auto" w:fill="auto"/>
        <w:bidi w:val="0"/>
        <w:spacing w:before="0" w:after="0"/>
        <w:ind w:left="0" w:right="0" w:firstLine="0"/>
        <w:jc w:val="center"/>
      </w:pPr>
      <w:bookmarkStart w:id="0" w:name="bookmark0"/>
      <w:r>
        <w:rPr>
          <w:rFonts w:ascii="Times New Roman" w:eastAsia="Times New Roman" w:hAnsi="Times New Roman" w:cs="Times New Roman"/>
          <w:color w:val="000000"/>
          <w:spacing w:val="0"/>
          <w:w w:val="100"/>
          <w:position w:val="0"/>
          <w:shd w:val="clear" w:color="auto" w:fill="auto"/>
          <w:lang w:val="hr-HR" w:eastAsia="hr-HR" w:bidi="hr-HR"/>
        </w:rPr>
        <w:t>Nakladnici</w:t>
      </w:r>
      <w:bookmarkEnd w:id="0"/>
    </w:p>
    <w:p>
      <w:pPr>
        <w:pStyle w:val="Style20"/>
        <w:keepNext w:val="0"/>
        <w:keepLines w:val="0"/>
        <w:widowControl w:val="0"/>
        <w:shd w:val="clear" w:color="auto" w:fill="auto"/>
        <w:bidi w:val="0"/>
        <w:spacing w:before="0" w:after="120" w:line="348"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SVJETSKA KONFERENCIJA RELIGIJA ZA MIR - ZAGREB</w:t>
      </w:r>
    </w:p>
    <w:p>
      <w:pPr>
        <w:pStyle w:val="Style20"/>
        <w:keepNext w:val="0"/>
        <w:keepLines w:val="0"/>
        <w:widowControl w:val="0"/>
        <w:shd w:val="clear" w:color="auto" w:fill="auto"/>
        <w:bidi w:val="0"/>
        <w:spacing w:before="0" w:after="140" w:line="348"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PROMETEJ</w:t>
      </w:r>
    </w:p>
    <w:p>
      <w:pPr>
        <w:pStyle w:val="Style24"/>
        <w:keepNext/>
        <w:keepLines/>
        <w:widowControl w:val="0"/>
        <w:shd w:val="clear" w:color="auto" w:fill="auto"/>
        <w:bidi w:val="0"/>
        <w:spacing w:before="0" w:after="0" w:line="319" w:lineRule="auto"/>
        <w:ind w:left="0" w:right="0" w:firstLine="0"/>
        <w:jc w:val="center"/>
      </w:pPr>
      <w:bookmarkStart w:id="1" w:name="bookmark1"/>
      <w:r>
        <w:rPr>
          <w:rFonts w:ascii="Times New Roman" w:eastAsia="Times New Roman" w:hAnsi="Times New Roman" w:cs="Times New Roman"/>
          <w:color w:val="000000"/>
          <w:spacing w:val="0"/>
          <w:w w:val="100"/>
          <w:position w:val="0"/>
          <w:shd w:val="clear" w:color="auto" w:fill="auto"/>
          <w:lang w:val="hr-HR" w:eastAsia="hr-HR" w:bidi="hr-HR"/>
        </w:rPr>
        <w:t>Izvršni nakladnik</w:t>
      </w:r>
      <w:bookmarkEnd w:id="1"/>
    </w:p>
    <w:p>
      <w:pPr>
        <w:pStyle w:val="Style20"/>
        <w:keepNext w:val="0"/>
        <w:keepLines w:val="0"/>
        <w:widowControl w:val="0"/>
        <w:shd w:val="clear" w:color="auto" w:fill="auto"/>
        <w:bidi w:val="0"/>
        <w:spacing w:before="0" w:after="180" w:line="319"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PROMETEJ</w:t>
      </w:r>
    </w:p>
    <w:p>
      <w:pPr>
        <w:pStyle w:val="Style24"/>
        <w:keepNext/>
        <w:keepLines/>
        <w:widowControl w:val="0"/>
        <w:shd w:val="clear" w:color="auto" w:fill="auto"/>
        <w:bidi w:val="0"/>
        <w:spacing w:before="0" w:after="0" w:line="319" w:lineRule="auto"/>
        <w:ind w:left="0" w:right="0" w:firstLine="0"/>
        <w:jc w:val="center"/>
      </w:pPr>
      <w:bookmarkStart w:id="2" w:name="bookmark2"/>
      <w:r>
        <w:rPr>
          <w:rFonts w:ascii="Times New Roman" w:eastAsia="Times New Roman" w:hAnsi="Times New Roman" w:cs="Times New Roman"/>
          <w:color w:val="000000"/>
          <w:spacing w:val="0"/>
          <w:w w:val="100"/>
          <w:position w:val="0"/>
          <w:shd w:val="clear" w:color="auto" w:fill="auto"/>
          <w:lang w:val="hr-HR" w:eastAsia="hr-HR" w:bidi="hr-HR"/>
        </w:rPr>
        <w:t>Urednik</w:t>
      </w:r>
      <w:bookmarkEnd w:id="2"/>
    </w:p>
    <w:p>
      <w:pPr>
        <w:pStyle w:val="Style20"/>
        <w:keepNext w:val="0"/>
        <w:keepLines w:val="0"/>
        <w:widowControl w:val="0"/>
        <w:shd w:val="clear" w:color="auto" w:fill="auto"/>
        <w:bidi w:val="0"/>
        <w:spacing w:before="0" w:after="180" w:line="319"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BOŽO RUDEŽ</w:t>
      </w:r>
    </w:p>
    <w:p>
      <w:pPr>
        <w:pStyle w:val="Style24"/>
        <w:keepNext/>
        <w:keepLines/>
        <w:widowControl w:val="0"/>
        <w:shd w:val="clear" w:color="auto" w:fill="auto"/>
        <w:bidi w:val="0"/>
        <w:spacing w:before="0" w:after="0"/>
        <w:ind w:left="0" w:right="0" w:firstLine="0"/>
        <w:jc w:val="center"/>
      </w:pPr>
      <w:bookmarkStart w:id="3" w:name="bookmark3"/>
      <w:r>
        <w:rPr>
          <w:rFonts w:ascii="Times New Roman" w:eastAsia="Times New Roman" w:hAnsi="Times New Roman" w:cs="Times New Roman"/>
          <w:color w:val="000000"/>
          <w:spacing w:val="0"/>
          <w:w w:val="100"/>
          <w:position w:val="0"/>
          <w:shd w:val="clear" w:color="auto" w:fill="auto"/>
          <w:lang w:val="hr-HR" w:eastAsia="hr-HR" w:bidi="hr-HR"/>
        </w:rPr>
        <w:t>Recenzenti</w:t>
      </w:r>
      <w:bookmarkEnd w:id="3"/>
    </w:p>
    <w:p>
      <w:pPr>
        <w:pStyle w:val="Style20"/>
        <w:keepNext w:val="0"/>
        <w:keepLines w:val="0"/>
        <w:widowControl w:val="0"/>
        <w:shd w:val="clear" w:color="auto" w:fill="auto"/>
        <w:bidi w:val="0"/>
        <w:spacing w:before="0" w:after="180" w:line="262"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 xml:space="preserve">HOTIMIR </w:t>
      </w:r>
      <w:r>
        <w:rPr>
          <w:rFonts w:ascii="Times New Roman" w:eastAsia="Times New Roman" w:hAnsi="Times New Roman" w:cs="Times New Roman"/>
          <w:color w:val="000000"/>
          <w:spacing w:val="0"/>
          <w:w w:val="100"/>
          <w:position w:val="0"/>
          <w:shd w:val="clear" w:color="auto" w:fill="auto"/>
          <w:lang w:val="en-US" w:eastAsia="en-US" w:bidi="en-US"/>
        </w:rPr>
        <w:t>BURGER</w:t>
        <w:br/>
        <w:t xml:space="preserve">Dr. </w:t>
      </w:r>
      <w:r>
        <w:rPr>
          <w:rFonts w:ascii="Times New Roman" w:eastAsia="Times New Roman" w:hAnsi="Times New Roman" w:cs="Times New Roman"/>
          <w:color w:val="000000"/>
          <w:spacing w:val="0"/>
          <w:w w:val="100"/>
          <w:position w:val="0"/>
          <w:shd w:val="clear" w:color="auto" w:fill="auto"/>
          <w:lang w:val="hr-HR" w:eastAsia="hr-HR" w:bidi="hr-HR"/>
        </w:rPr>
        <w:t>JOSIP OSLIĆ</w:t>
      </w:r>
    </w:p>
    <w:p>
      <w:pPr>
        <w:pStyle w:val="Style24"/>
        <w:keepNext/>
        <w:keepLines/>
        <w:widowControl w:val="0"/>
        <w:shd w:val="clear" w:color="auto" w:fill="auto"/>
        <w:bidi w:val="0"/>
        <w:spacing w:before="0" w:after="0"/>
        <w:ind w:left="0" w:right="0" w:firstLine="0"/>
        <w:jc w:val="center"/>
      </w:pPr>
      <w:bookmarkStart w:id="4" w:name="bookmark4"/>
      <w:r>
        <w:rPr>
          <w:rFonts w:ascii="Times New Roman" w:eastAsia="Times New Roman" w:hAnsi="Times New Roman" w:cs="Times New Roman"/>
          <w:color w:val="000000"/>
          <w:spacing w:val="0"/>
          <w:w w:val="100"/>
          <w:position w:val="0"/>
          <w:shd w:val="clear" w:color="auto" w:fill="auto"/>
          <w:lang w:val="hr-HR" w:eastAsia="hr-HR" w:bidi="hr-HR"/>
        </w:rPr>
        <w:t>Recenzija prijevoda</w:t>
      </w:r>
      <w:bookmarkEnd w:id="4"/>
    </w:p>
    <w:p>
      <w:pPr>
        <w:pStyle w:val="Style20"/>
        <w:keepNext w:val="0"/>
        <w:keepLines w:val="0"/>
        <w:widowControl w:val="0"/>
        <w:shd w:val="clear" w:color="auto" w:fill="auto"/>
        <w:bidi w:val="0"/>
        <w:spacing w:before="0" w:after="140" w:line="348"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TOMIS1AV JADAN</w:t>
      </w:r>
    </w:p>
    <w:p>
      <w:pPr>
        <w:pStyle w:val="Style24"/>
        <w:keepNext/>
        <w:keepLines/>
        <w:widowControl w:val="0"/>
        <w:shd w:val="clear" w:color="auto" w:fill="auto"/>
        <w:bidi w:val="0"/>
        <w:spacing w:before="0" w:after="0"/>
        <w:ind w:left="0" w:right="0" w:firstLine="0"/>
        <w:jc w:val="center"/>
      </w:pPr>
      <w:bookmarkStart w:id="5" w:name="bookmark5"/>
      <w:r>
        <w:rPr>
          <w:rFonts w:ascii="Times New Roman" w:eastAsia="Times New Roman" w:hAnsi="Times New Roman" w:cs="Times New Roman"/>
          <w:color w:val="000000"/>
          <w:spacing w:val="0"/>
          <w:w w:val="100"/>
          <w:position w:val="0"/>
          <w:shd w:val="clear" w:color="auto" w:fill="auto"/>
          <w:lang w:val="hr-HR" w:eastAsia="hr-HR" w:bidi="hr-HR"/>
        </w:rPr>
        <w:t>Teološka lektura</w:t>
      </w:r>
      <w:bookmarkEnd w:id="5"/>
    </w:p>
    <w:p>
      <w:pPr>
        <w:pStyle w:val="Style20"/>
        <w:keepNext w:val="0"/>
        <w:keepLines w:val="0"/>
        <w:widowControl w:val="0"/>
        <w:shd w:val="clear" w:color="auto" w:fill="auto"/>
        <w:bidi w:val="0"/>
        <w:spacing w:before="0" w:after="180" w:line="264"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 xml:space="preserve">Dr. ADALBERT </w:t>
      </w:r>
      <w:r>
        <w:rPr>
          <w:rFonts w:ascii="Times New Roman" w:eastAsia="Times New Roman" w:hAnsi="Times New Roman" w:cs="Times New Roman"/>
          <w:color w:val="000000"/>
          <w:spacing w:val="0"/>
          <w:w w:val="100"/>
          <w:position w:val="0"/>
          <w:shd w:val="clear" w:color="auto" w:fill="auto"/>
          <w:lang w:val="hr-HR" w:eastAsia="hr-HR" w:bidi="hr-HR"/>
        </w:rPr>
        <w:t>REBIĆ (židovstvo)</w:t>
        <w:br/>
        <w:t>Dr. TOMISLAV ZDENKO TENSEK (kršćanstvo)</w:t>
        <w:br/>
        <w:t>ŠEVKO cf. OMERBAŠIĆ (islam)</w:t>
      </w:r>
    </w:p>
    <w:p>
      <w:pPr>
        <w:pStyle w:val="Style24"/>
        <w:keepNext/>
        <w:keepLines/>
        <w:widowControl w:val="0"/>
        <w:shd w:val="clear" w:color="auto" w:fill="auto"/>
        <w:bidi w:val="0"/>
        <w:spacing w:before="0" w:after="0" w:line="307" w:lineRule="auto"/>
        <w:ind w:left="0" w:right="0" w:firstLine="0"/>
        <w:jc w:val="center"/>
      </w:pPr>
      <w:bookmarkStart w:id="6" w:name="bookmark6"/>
      <w:r>
        <w:rPr>
          <w:rFonts w:ascii="Times New Roman" w:eastAsia="Times New Roman" w:hAnsi="Times New Roman" w:cs="Times New Roman"/>
          <w:color w:val="000000"/>
          <w:spacing w:val="0"/>
          <w:w w:val="100"/>
          <w:position w:val="0"/>
          <w:shd w:val="clear" w:color="auto" w:fill="auto"/>
          <w:lang w:val="hr-HR" w:eastAsia="hr-HR" w:bidi="hr-HR"/>
        </w:rPr>
        <w:t>Redaktura</w:t>
      </w:r>
      <w:bookmarkEnd w:id="6"/>
    </w:p>
    <w:p>
      <w:pPr>
        <w:pStyle w:val="Style20"/>
        <w:keepNext w:val="0"/>
        <w:keepLines w:val="0"/>
        <w:widowControl w:val="0"/>
        <w:shd w:val="clear" w:color="auto" w:fill="auto"/>
        <w:bidi w:val="0"/>
        <w:spacing w:before="0" w:after="180" w:line="307"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Dr. ŽELJKO PAVIĆ</w:t>
      </w:r>
    </w:p>
    <w:p>
      <w:pPr>
        <w:pStyle w:val="Style24"/>
        <w:keepNext/>
        <w:keepLines/>
        <w:widowControl w:val="0"/>
        <w:shd w:val="clear" w:color="auto" w:fill="auto"/>
        <w:bidi w:val="0"/>
        <w:spacing w:before="0" w:after="0" w:line="307" w:lineRule="auto"/>
        <w:ind w:left="0" w:right="0" w:firstLine="0"/>
        <w:jc w:val="center"/>
      </w:pPr>
      <w:bookmarkStart w:id="7" w:name="bookmark7"/>
      <w:r>
        <w:rPr>
          <w:rFonts w:ascii="Times New Roman" w:eastAsia="Times New Roman" w:hAnsi="Times New Roman" w:cs="Times New Roman"/>
          <w:color w:val="000000"/>
          <w:spacing w:val="0"/>
          <w:w w:val="100"/>
          <w:position w:val="0"/>
          <w:shd w:val="clear" w:color="auto" w:fill="auto"/>
          <w:lang w:val="hr-HR" w:eastAsia="hr-HR" w:bidi="hr-HR"/>
        </w:rPr>
        <w:t>Korektura</w:t>
      </w:r>
      <w:bookmarkEnd w:id="7"/>
    </w:p>
    <w:p>
      <w:pPr>
        <w:pStyle w:val="Style20"/>
        <w:keepNext w:val="0"/>
        <w:keepLines w:val="0"/>
        <w:widowControl w:val="0"/>
        <w:shd w:val="clear" w:color="auto" w:fill="auto"/>
        <w:bidi w:val="0"/>
        <w:spacing w:before="0" w:after="1080" w:line="307"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ZVONKA CIZEL UUBIĆ</w:t>
      </w:r>
    </w:p>
    <w:p>
      <w:pPr>
        <w:pStyle w:val="Style7"/>
        <w:keepNext w:val="0"/>
        <w:keepLines w:val="0"/>
        <w:widowControl w:val="0"/>
        <w:shd w:val="clear" w:color="auto" w:fill="auto"/>
        <w:bidi w:val="0"/>
        <w:spacing w:before="0" w:after="140" w:line="331" w:lineRule="auto"/>
        <w:ind w:left="0" w:right="0" w:firstLine="0"/>
        <w:jc w:val="center"/>
        <w:rPr>
          <w:sz w:val="15"/>
          <w:szCs w:val="15"/>
        </w:rPr>
      </w:pPr>
      <w:r>
        <w:rPr>
          <w:rFonts w:ascii="Times New Roman" w:eastAsia="Times New Roman" w:hAnsi="Times New Roman" w:cs="Times New Roman"/>
          <w:i/>
          <w:iCs/>
          <w:color w:val="000000"/>
          <w:spacing w:val="0"/>
          <w:w w:val="100"/>
          <w:position w:val="0"/>
          <w:sz w:val="17"/>
          <w:szCs w:val="17"/>
          <w:shd w:val="clear" w:color="auto" w:fill="auto"/>
          <w:lang w:val="hr-HR" w:eastAsia="hr-HR" w:bidi="hr-HR"/>
        </w:rPr>
        <w:t>Knjiga je tiskana</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uz </w:t>
      </w:r>
      <w:r>
        <w:rPr>
          <w:rFonts w:ascii="Times New Roman" w:eastAsia="Times New Roman" w:hAnsi="Times New Roman" w:cs="Times New Roman"/>
          <w:i/>
          <w:iCs/>
          <w:color w:val="000000"/>
          <w:spacing w:val="0"/>
          <w:w w:val="100"/>
          <w:position w:val="0"/>
          <w:sz w:val="17"/>
          <w:szCs w:val="17"/>
          <w:shd w:val="clear" w:color="auto" w:fill="auto"/>
          <w:lang w:val="hr-HR" w:eastAsia="hr-HR" w:bidi="hr-HR"/>
        </w:rPr>
        <w:t>potporu Ministarstva kulture i Ministarstva znanosti i obrazovanja RH.</w:t>
        <w:br/>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ISBN </w:t>
      </w:r>
      <w:r>
        <w:rPr>
          <w:rFonts w:ascii="Times New Roman" w:eastAsia="Times New Roman" w:hAnsi="Times New Roman" w:cs="Times New Roman"/>
          <w:color w:val="000000"/>
          <w:spacing w:val="0"/>
          <w:w w:val="100"/>
          <w:position w:val="0"/>
          <w:sz w:val="15"/>
          <w:szCs w:val="15"/>
          <w:shd w:val="clear" w:color="auto" w:fill="auto"/>
          <w:lang w:val="hr-HR" w:eastAsia="hr-HR" w:bidi="hr-HR"/>
        </w:rPr>
        <w:t>953-6460-22-X</w:t>
      </w:r>
    </w:p>
    <w:p>
      <w:pPr>
        <w:pStyle w:val="Style28"/>
        <w:keepNext/>
        <w:keepLines/>
        <w:widowControl w:val="0"/>
        <w:shd w:val="clear" w:color="auto" w:fill="auto"/>
        <w:bidi w:val="0"/>
        <w:spacing w:before="0" w:line="240" w:lineRule="auto"/>
        <w:ind w:left="0" w:right="0" w:firstLine="0"/>
        <w:jc w:val="center"/>
      </w:pPr>
      <w:bookmarkStart w:id="8" w:name="bookmark8"/>
      <w:r>
        <w:rPr>
          <w:rFonts w:ascii="Times New Roman" w:eastAsia="Times New Roman" w:hAnsi="Times New Roman" w:cs="Times New Roman"/>
          <w:color w:val="000000"/>
          <w:spacing w:val="0"/>
          <w:w w:val="100"/>
          <w:position w:val="0"/>
          <w:shd w:val="clear" w:color="auto" w:fill="auto"/>
          <w:lang w:val="hr-HR" w:eastAsia="hr-HR" w:bidi="hr-HR"/>
        </w:rPr>
        <w:t>LEKSIKON</w:t>
      </w:r>
      <w:bookmarkEnd w:id="8"/>
    </w:p>
    <w:p>
      <w:pPr>
        <w:pStyle w:val="Style30"/>
        <w:keepNext/>
        <w:keepLines/>
        <w:widowControl w:val="0"/>
        <w:shd w:val="clear" w:color="auto" w:fill="auto"/>
        <w:bidi w:val="0"/>
        <w:spacing w:before="0" w:line="240" w:lineRule="auto"/>
        <w:ind w:left="0" w:right="0" w:firstLine="0"/>
        <w:jc w:val="left"/>
      </w:pPr>
      <w:bookmarkStart w:id="9" w:name="bookmark9"/>
      <w:r>
        <w:rPr>
          <w:rFonts w:ascii="Times New Roman" w:eastAsia="Times New Roman" w:hAnsi="Times New Roman" w:cs="Times New Roman"/>
          <w:color w:val="000000"/>
          <w:spacing w:val="0"/>
          <w:w w:val="100"/>
          <w:position w:val="0"/>
          <w:shd w:val="clear" w:color="auto" w:fill="auto"/>
          <w:lang w:val="hr-HR" w:eastAsia="hr-HR" w:bidi="hr-HR"/>
        </w:rPr>
        <w:t>TEMELJNIH RELIGIJSKIH POJMOVA</w:t>
      </w:r>
      <w:bookmarkEnd w:id="9"/>
    </w:p>
    <w:p>
      <w:pPr>
        <w:pStyle w:val="Style7"/>
        <w:keepNext w:val="0"/>
        <w:keepLines w:val="0"/>
        <w:widowControl w:val="0"/>
        <w:shd w:val="clear" w:color="auto" w:fill="auto"/>
        <w:bidi w:val="0"/>
        <w:spacing w:before="0" w:after="0" w:line="240" w:lineRule="auto"/>
        <w:ind w:left="0" w:right="0" w:firstLine="0"/>
        <w:jc w:val="center"/>
        <w:rPr>
          <w:sz w:val="32"/>
          <w:szCs w:val="32"/>
        </w:rPr>
      </w:pPr>
      <w:r>
        <w:rPr>
          <w:rFonts w:ascii="Times New Roman" w:eastAsia="Times New Roman" w:hAnsi="Times New Roman" w:cs="Times New Roman"/>
          <w:color w:val="000000"/>
          <w:spacing w:val="0"/>
          <w:w w:val="100"/>
          <w:position w:val="0"/>
          <w:sz w:val="32"/>
          <w:szCs w:val="32"/>
          <w:shd w:val="clear" w:color="auto" w:fill="auto"/>
          <w:lang w:val="hr-HR" w:eastAsia="hr-HR" w:bidi="hr-HR"/>
        </w:rPr>
        <w:t>Židovstvo</w:t>
      </w:r>
    </w:p>
    <w:p>
      <w:pPr>
        <w:pStyle w:val="Style7"/>
        <w:keepNext w:val="0"/>
        <w:keepLines w:val="0"/>
        <w:widowControl w:val="0"/>
        <w:shd w:val="clear" w:color="auto" w:fill="auto"/>
        <w:bidi w:val="0"/>
        <w:spacing w:before="0" w:after="0" w:line="240" w:lineRule="auto"/>
        <w:ind w:left="0" w:right="0" w:firstLine="0"/>
        <w:jc w:val="center"/>
        <w:rPr>
          <w:sz w:val="32"/>
          <w:szCs w:val="32"/>
        </w:rPr>
      </w:pPr>
      <w:r>
        <w:rPr>
          <w:rFonts w:ascii="Times New Roman" w:eastAsia="Times New Roman" w:hAnsi="Times New Roman" w:cs="Times New Roman"/>
          <w:color w:val="000000"/>
          <w:spacing w:val="0"/>
          <w:w w:val="100"/>
          <w:position w:val="0"/>
          <w:sz w:val="32"/>
          <w:szCs w:val="32"/>
          <w:shd w:val="clear" w:color="auto" w:fill="auto"/>
          <w:lang w:val="hr-HR" w:eastAsia="hr-HR" w:bidi="hr-HR"/>
        </w:rPr>
        <w:t>Kršćanstvo</w:t>
      </w:r>
    </w:p>
    <w:p>
      <w:pPr>
        <w:pStyle w:val="Style7"/>
        <w:keepNext w:val="0"/>
        <w:keepLines w:val="0"/>
        <w:widowControl w:val="0"/>
        <w:shd w:val="clear" w:color="auto" w:fill="auto"/>
        <w:bidi w:val="0"/>
        <w:spacing w:before="0" w:after="900" w:line="240" w:lineRule="auto"/>
        <w:ind w:left="0" w:right="0" w:firstLine="0"/>
        <w:jc w:val="center"/>
        <w:rPr>
          <w:sz w:val="32"/>
          <w:szCs w:val="32"/>
        </w:rPr>
      </w:pPr>
      <w:r>
        <w:rPr>
          <w:rFonts w:ascii="Times New Roman" w:eastAsia="Times New Roman" w:hAnsi="Times New Roman" w:cs="Times New Roman"/>
          <w:color w:val="000000"/>
          <w:spacing w:val="0"/>
          <w:w w:val="100"/>
          <w:position w:val="0"/>
          <w:sz w:val="32"/>
          <w:szCs w:val="32"/>
          <w:shd w:val="clear" w:color="auto" w:fill="auto"/>
          <w:lang w:val="hr-HR" w:eastAsia="hr-HR" w:bidi="hr-HR"/>
        </w:rPr>
        <w:t>Islam</w:t>
      </w:r>
    </w:p>
    <w:p>
      <w:pPr>
        <w:pStyle w:val="Style33"/>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i/>
          <w:iCs/>
          <w:color w:val="000000"/>
          <w:spacing w:val="0"/>
          <w:w w:val="100"/>
          <w:position w:val="0"/>
          <w:sz w:val="19"/>
          <w:szCs w:val="19"/>
          <w:shd w:val="clear" w:color="auto" w:fill="auto"/>
          <w:lang w:val="hr-HR" w:eastAsia="hr-HR" w:bidi="hr-HR"/>
        </w:rPr>
        <w:t>Preveli s njemačkog</w:t>
      </w:r>
    </w:p>
    <w:p>
      <w:pPr>
        <w:pStyle w:val="Style33"/>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NEDELJKA PARAVIĆ (židovstvo)</w:t>
      </w:r>
    </w:p>
    <w:p>
      <w:pPr>
        <w:pStyle w:val="Style33"/>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LJILJANA MATKOVIĆ-VLAŠIĆ (kršćanstvo)</w:t>
      </w:r>
    </w:p>
    <w:p>
      <w:pPr>
        <w:pStyle w:val="Style33"/>
        <w:keepNext w:val="0"/>
        <w:keepLines w:val="0"/>
        <w:widowControl w:val="0"/>
        <w:shd w:val="clear" w:color="auto" w:fill="auto"/>
        <w:bidi w:val="0"/>
        <w:spacing w:before="0" w:after="266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ŽELJKO PAVIĆ (islam)</w:t>
      </w:r>
    </w:p>
    <w:p>
      <w:pPr>
        <w:pStyle w:val="Style7"/>
        <w:keepNext w:val="0"/>
        <w:keepLines w:val="0"/>
        <w:widowControl w:val="0"/>
        <w:shd w:val="clear" w:color="auto" w:fill="auto"/>
        <w:bidi w:val="0"/>
        <w:spacing w:before="0" w:after="0" w:line="240" w:lineRule="auto"/>
        <w:ind w:left="0" w:right="0" w:firstLine="0"/>
        <w:jc w:val="center"/>
        <w:rPr>
          <w:sz w:val="22"/>
          <w:szCs w:val="22"/>
        </w:rPr>
      </w:pPr>
      <w:r>
        <w:rPr>
          <w:rFonts w:ascii="Arial" w:eastAsia="Arial" w:hAnsi="Arial" w:cs="Arial"/>
          <w:color w:val="000000"/>
          <w:spacing w:val="0"/>
          <w:w w:val="100"/>
          <w:position w:val="0"/>
          <w:sz w:val="22"/>
          <w:szCs w:val="22"/>
          <w:shd w:val="clear" w:color="auto" w:fill="auto"/>
          <w:lang w:val="hr-HR" w:eastAsia="hr-HR" w:bidi="hr-HR"/>
        </w:rPr>
        <w:t>PROMETEJ</w:t>
      </w:r>
    </w:p>
    <w:p>
      <w:pPr>
        <w:pStyle w:val="Style7"/>
        <w:keepNext w:val="0"/>
        <w:keepLines w:val="0"/>
        <w:widowControl w:val="0"/>
        <w:shd w:val="clear" w:color="auto" w:fill="auto"/>
        <w:bidi w:val="0"/>
        <w:spacing w:before="0" w:after="80" w:line="240" w:lineRule="auto"/>
        <w:ind w:left="0" w:right="0" w:firstLine="0"/>
        <w:jc w:val="center"/>
        <w:rPr>
          <w:sz w:val="20"/>
          <w:szCs w:val="20"/>
        </w:rPr>
        <w:sectPr>
          <w:footnotePr>
            <w:pos w:val="pageBottom"/>
            <w:numFmt w:val="decimal"/>
            <w:numRestart w:val="continuous"/>
          </w:footnotePr>
          <w:pgSz w:w="7498" w:h="11040"/>
          <w:pgMar w:top="900" w:left="502" w:right="478" w:bottom="81" w:header="472" w:footer="3" w:gutter="0"/>
          <w:cols w:space="720"/>
          <w:noEndnote/>
          <w:rtlGutter w:val="0"/>
          <w:docGrid w:linePitch="360"/>
        </w:sectPr>
      </w:pPr>
      <w:r>
        <w:rPr>
          <w:rFonts w:ascii="Times New Roman" w:eastAsia="Times New Roman" w:hAnsi="Times New Roman" w:cs="Times New Roman"/>
          <w:color w:val="000000"/>
          <w:spacing w:val="0"/>
          <w:w w:val="100"/>
          <w:position w:val="0"/>
          <w:sz w:val="20"/>
          <w:szCs w:val="20"/>
          <w:shd w:val="clear" w:color="auto" w:fill="auto"/>
          <w:lang w:val="hr-HR" w:eastAsia="hr-HR" w:bidi="hr-HR"/>
        </w:rPr>
        <w:t>Zagreb, 2005,</w:t>
      </w:r>
    </w:p>
    <w:p>
      <w:pPr>
        <w:pStyle w:val="Style39"/>
        <w:keepNext/>
        <w:keepLines/>
        <w:widowControl w:val="0"/>
        <w:shd w:val="clear" w:color="auto" w:fill="auto"/>
        <w:bidi w:val="0"/>
        <w:spacing w:before="1200" w:after="420" w:line="240" w:lineRule="auto"/>
        <w:ind w:left="0" w:right="0" w:firstLine="0"/>
        <w:jc w:val="center"/>
      </w:pPr>
      <w:bookmarkStart w:id="10" w:name="bookmark10"/>
      <w:r>
        <w:rPr>
          <w:rFonts w:ascii="Times New Roman" w:eastAsia="Times New Roman" w:hAnsi="Times New Roman" w:cs="Times New Roman"/>
          <w:color w:val="000000"/>
          <w:spacing w:val="0"/>
          <w:w w:val="100"/>
          <w:position w:val="0"/>
          <w:shd w:val="clear" w:color="auto" w:fill="auto"/>
          <w:lang w:val="hr-HR" w:eastAsia="hr-HR" w:bidi="hr-HR"/>
        </w:rPr>
        <w:t>Predgovor</w:t>
      </w:r>
      <w:bookmarkEnd w:id="10"/>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U karakteristične tendencije sadašnjega doba ubraja se iznova probuđeno zanima</w:t>
        <w:softHyphen/>
        <w:t xml:space="preserve">nje za religijska pitanja, koje se poklapa s izoštrenom sviješću o nužnosti </w:t>
      </w:r>
      <w:r>
        <w:rPr>
          <w:rFonts w:ascii="Times New Roman" w:eastAsia="Times New Roman" w:hAnsi="Times New Roman" w:cs="Times New Roman"/>
          <w:i/>
          <w:iCs/>
          <w:color w:val="000000"/>
          <w:spacing w:val="0"/>
          <w:w w:val="100"/>
          <w:position w:val="0"/>
          <w:shd w:val="clear" w:color="auto" w:fill="auto"/>
          <w:lang w:val="hr-HR" w:eastAsia="hr-HR" w:bidi="hr-HR"/>
        </w:rPr>
        <w:t>međureligij- skog dijaloga.</w:t>
      </w:r>
      <w:r>
        <w:rPr>
          <w:rFonts w:ascii="Times New Roman" w:eastAsia="Times New Roman" w:hAnsi="Times New Roman" w:cs="Times New Roman"/>
          <w:color w:val="000000"/>
          <w:spacing w:val="0"/>
          <w:w w:val="100"/>
          <w:position w:val="0"/>
          <w:shd w:val="clear" w:color="auto" w:fill="auto"/>
          <w:lang w:val="hr-HR" w:eastAsia="hr-HR" w:bidi="hr-HR"/>
        </w:rPr>
        <w:t xml:space="preserve"> U tom religijskom nemiru artikulira se između ostaloga i potreba za oslo</w:t>
        <w:softHyphen/>
        <w:t>bađanjem od višestrukih prisila tehnički upravljanoga i znanošću prožetoga društva. U religiji se ljudi nadaju naći autentičan i postojan oblik slobode. To se temelji na činje</w:t>
        <w:softHyphen/>
        <w:t>nici da čovjek očekuje kako će religija ispuniti njegovu osnovnu potrebu koja ne može biti zadovoljena ni na koji drugi način, njegovu težnju za spasenjem, njegovu čežnju za transccndencijom. Jer, bez duboka odnosa prema Bogu čovjek se otuđuje od svoje vlas</w:t>
        <w:softHyphen/>
        <w:t>tite istine i stoga prestaje biti u punom smislu »čovjek«.</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Religije koje su udarile pečat našoj povijesti i našoj kulturi i od kojih ljudi u zapad</w:t>
        <w:softHyphen/>
        <w:t>nom svijetu i u islamskim zemljama očekuju odgovor na pitanje o smislu i cilju života, o mogućnosti svladavanja sadašnjice i osmišljenog planiranja budućnosti, o vrijednosti sadašnjeg trenutka i o obećanju za sutra kao i o očekivanju vječnog »danas« u zajed</w:t>
        <w:softHyphen/>
        <w:t>ništvu s Bogom i u ispunjenju čovještva, takve su religije židovstvo, kršćanstvo i islam.</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Zato ovaj leksikon želi obrazovanom čitatelju ponuditi prvu pouzdanu informaciju o temeljima tih triju religija. U pojedinim prilozima prikazane su najvažnije crte nji</w:t>
        <w:softHyphen/>
        <w:t>hova osnovnog oblika: njihova glavna učenja i norme, oblici njihove pobožnosti i nji</w:t>
        <w:softHyphen/>
        <w:t>hove religijske prakse. Ali ovi temeljni pojmovi ne bi smjeli samo nepovezano stajati jedni uz druge, nego moraju biti prikazani onako kako se shvaćaju u svom vlastitom sklopu i također s obzirom na ostale religije. Tako se može odrediti njihova mjesna vrijednost unutar dotičnoga religijskog sustava, učiniti usporedba s ostalim religijama i procijeniti težina mogućih suglasja ili razlika.</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Suradnici ovog leksikona trudili su se da postignu što veću objektivnost u prikazi</w:t>
        <w:softHyphen/>
        <w:t>vanju, bez obzira na to je li ta objektivnost u pojedinom slučaju postignuta pretežito znanstvenom kompetencijom inovjerca ili angažiranim vjerničkim razumijevanjem ko</w:t>
        <w:softHyphen/>
        <w:t>je otkriva duboke dimenzije neke religije. Upravo ovo načelo objektivnosti zahtijeva da se prostor koji stoji na raspolaganju za pojedine priloge neke natuknice ne raspoređuje sasvim mehanički na suradnike. Štoviše, težište je na valjanom i opsežnom prikazivanju teme. Tako će, primjerice, članak o Mojsiju prevagnuti u natuknici o židovstvu, u na</w:t>
        <w:softHyphen/>
        <w:t>tuknici o kršćanstvu članak o Isusu Kristu, a u natuknici o islamu članak o Muhamedu.</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Osim toga, čitatelju će biti upadljivo da su prilozi o židovstvu često opširniji nego ostali prilozi. Ta okolnost ima u mnogim slučajevima svoje opravdanje u činjenici da kršćanski prilozi, umjesto da još jednom opširno obrađuju iskaze Staroga zavjeta i iz</w:t>
        <w:softHyphen/>
        <w:t>vješćuju o njima, upućuju samo ukratko na njihov sadržaj, jer su već dostatno prikazani u natuknici o židovstvu.</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Naposljetku, o neizbježnim ponavljanjima u leksikonu valja dati primjedbe koje slijede. U slučajevima, u kojima se radi o objektivnim danostima, za pojmove koji su jednaki u različitim religijama, često je dostatno jednostavno upućivanje na prethodno otisnute navode u leksikonu. No, u mnogim slučajevima neće ponovno navođenje ne</w:t>
        <w:softHyphen/>
        <w:t>kog pojma iz jedne religije biti obično ponavljanje u drugim dvjema religijama, nego samo drukčije tumačenje pojma na temelju izmijenjene perspektive; mnogostruko obrađivanje takvog pojma ima tada svoj smisao upravo u tome da se razradi ta mnogo</w:t>
        <w:softHyphen/>
        <w:t>strukost značenja. Gledano u cjelini, ipak je broj ponavljanja ograničen.</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Djela navedena u tekstu i upućivanja na literaturu, koja su dodana uz pojedine priloge, omogućit će zainteresiranim čitateljima da se dalje i temeljitije informiraju po</w:t>
        <w:softHyphen/>
        <w:t>moću odabranih djela.</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Tri religije čiji su temeljni pojmovi ovdje predstavljeni, židovstvo, kršćanstvo i is</w:t>
        <w:softHyphen/>
        <w:t>lam, povezane su posebnim religijskim i kulturalnim zajedničkim svojstvima. One uvi</w:t>
        <w:softHyphen/>
        <w:t xml:space="preserve">jek predstavljaju jedan </w:t>
      </w:r>
      <w:r>
        <w:rPr>
          <w:rFonts w:ascii="Times New Roman" w:eastAsia="Times New Roman" w:hAnsi="Times New Roman" w:cs="Times New Roman"/>
          <w:i/>
          <w:iCs/>
          <w:color w:val="000000"/>
          <w:spacing w:val="0"/>
          <w:w w:val="100"/>
          <w:position w:val="0"/>
          <w:shd w:val="clear" w:color="auto" w:fill="auto"/>
          <w:lang w:val="hr-HR" w:eastAsia="hr-HR" w:bidi="hr-HR"/>
        </w:rPr>
        <w:t>oblik monoteizma</w:t>
      </w:r>
      <w:r>
        <w:rPr>
          <w:rFonts w:ascii="Times New Roman" w:eastAsia="Times New Roman" w:hAnsi="Times New Roman" w:cs="Times New Roman"/>
          <w:color w:val="000000"/>
          <w:spacing w:val="0"/>
          <w:w w:val="100"/>
          <w:position w:val="0"/>
          <w:shd w:val="clear" w:color="auto" w:fill="auto"/>
          <w:lang w:val="hr-HR" w:eastAsia="hr-HR" w:bidi="hr-HR"/>
        </w:rPr>
        <w:t xml:space="preserve"> koji shvaća transcendentno kao jednoga Boga koji se od svijeta razlikuje, a istodobno ulazi u odnos prema tom svijetu. Ovaj je Bog prije svega onaj koji je stvorio čovjeka slobodnim i koji je načelo i cilj individualne i uk</w:t>
        <w:softHyphen/>
        <w:t>upne ljudske povijesti. U okviru tih predodžbi definiraju se i ove tri religije kao religije objave odnosno Pisma. Uz to im je zajednički i spasenjski karakter: spasenje se posti</w:t>
        <w:softHyphen/>
        <w:t>zava tijekom individualne i opće povijesti, ali u svom dovršenju leži u »onostranom« povijesti i ima dakle eshatološku dimenziju.</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No, židovstvo, kršćanstvo i islam povezani su također višestrukim kulturalnim od</w:t>
        <w:softHyphen/>
        <w:t>nosima, jer su ukorijenjeni u istom životnom prostoru Bliskog istoka. Osim toga, svaka je od ovih religija tijekom svoje povijesti dolazila u doticaj s tuđim kulturama, pa je morala brigu o očuvanju vlastitog identiteta povezivati s nužnošću prilagođavanja na nove oblike. Osobito susret s helenizmom označava odlučujuću etapu u teoretskom, etičkom i najširem smislu povijesnog razvoja ovih religija. U svakom je slučaju kršćan</w:t>
        <w:softHyphen/>
        <w:t>stvo bilo trajnije obilježeno helenizmom nego židovstvo i islam, pa su dugo vremena kršćanstvo i zapadna civilizacija slovili kao sinonimi. S druge strane, čini se da su židovstvo i islam jasnije sačuvali izvorno semitsko podrijetlo svoga religijskog i kultur</w:t>
        <w:softHyphen/>
        <w:t>nog identiteta.</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Potpuno je jasno da su sve tri religije, na temelju ove konstelacije svega što im je zajedničko i svega što im je različito, morale tijekom povijesti ulaziti u živahnu, veći</w:t>
        <w:softHyphen/>
        <w:t>nom polemičku razmjenu mišljenja, o kojoj ne svjedoče samo dijelom zamorne ras</w:t>
        <w:softHyphen/>
        <w:t>prave teološke kontroverzističke literature, nego također ratovi i sukobi (koji su uvijek bili motivirani politički i ekonomski), koji upravo u svojoj nepomirljivosti dokazuju kako su sporenje oko Božje riječi i religijska istina bili za ljude životno pitanje.</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No u onoj mjeri u kojoj je upravo to sporenje svjesno svoga pravog impulsa, moralo se napustiti razinu sukoba i moralo se prijeći na razinu dijaloga. Danas je više no ikada jasno da religije Božje riječi imaju opravdanje svog postojanja i svoju jedinu šansu opstanka ako budu »radosna vijest« za svijet.</w:t>
      </w:r>
    </w:p>
    <w:p>
      <w:pPr>
        <w:pStyle w:val="Style39"/>
        <w:keepNext/>
        <w:keepLines/>
        <w:widowControl w:val="0"/>
        <w:shd w:val="clear" w:color="auto" w:fill="auto"/>
        <w:bidi w:val="0"/>
        <w:spacing w:before="0" w:after="0" w:line="211" w:lineRule="auto"/>
        <w:ind w:left="0" w:right="0" w:firstLine="0"/>
        <w:jc w:val="left"/>
      </w:pPr>
      <w:bookmarkStart w:id="11" w:name="bookmark11"/>
      <w:r>
        <w:rPr>
          <w:rFonts w:ascii="Times New Roman" w:eastAsia="Times New Roman" w:hAnsi="Times New Roman" w:cs="Times New Roman"/>
          <w:color w:val="000000"/>
          <w:spacing w:val="0"/>
          <w:w w:val="100"/>
          <w:position w:val="0"/>
          <w:shd w:val="clear" w:color="auto" w:fill="auto"/>
          <w:lang w:val="hr-HR" w:eastAsia="hr-HR" w:bidi="hr-HR"/>
        </w:rPr>
        <w:t>Deklaracija drugoga vatikanskoga koncila</w:t>
      </w:r>
      <w:bookmarkEnd w:id="11"/>
    </w:p>
    <w:p>
      <w:pPr>
        <w:pStyle w:val="Style46"/>
        <w:keepNext/>
        <w:keepLines/>
        <w:widowControl w:val="0"/>
        <w:shd w:val="clear" w:color="auto" w:fill="auto"/>
        <w:bidi w:val="0"/>
        <w:spacing w:before="0" w:after="120" w:line="211" w:lineRule="auto"/>
        <w:ind w:left="0" w:right="0" w:firstLine="0"/>
        <w:jc w:val="center"/>
      </w:pPr>
      <w:bookmarkStart w:id="12" w:name="bookmark12"/>
      <w:r>
        <w:rPr>
          <w:rFonts w:ascii="Times New Roman" w:eastAsia="Times New Roman" w:hAnsi="Times New Roman" w:cs="Times New Roman"/>
          <w:color w:val="000000"/>
          <w:spacing w:val="0"/>
          <w:w w:val="100"/>
          <w:position w:val="0"/>
          <w:sz w:val="24"/>
          <w:szCs w:val="24"/>
          <w:shd w:val="clear" w:color="auto" w:fill="auto"/>
          <w:lang w:val="hr-HR" w:eastAsia="hr-HR" w:bidi="hr-HR"/>
        </w:rPr>
        <w:t>O ISLAMU I ŽIDOVSTVU</w:t>
      </w:r>
      <w:bookmarkEnd w:id="12"/>
    </w:p>
    <w:p>
      <w:pPr>
        <w:pStyle w:val="Style46"/>
        <w:keepNext/>
        <w:keepLines/>
        <w:widowControl w:val="0"/>
        <w:shd w:val="clear" w:color="auto" w:fill="auto"/>
        <w:bidi w:val="0"/>
        <w:spacing w:before="0" w:after="0" w:line="240" w:lineRule="auto"/>
        <w:ind w:left="0" w:right="0" w:firstLine="0"/>
        <w:jc w:val="center"/>
      </w:pPr>
      <w:bookmarkStart w:id="13" w:name="bookmark13"/>
      <w:r>
        <w:rPr>
          <w:rFonts w:ascii="Times New Roman" w:eastAsia="Times New Roman" w:hAnsi="Times New Roman" w:cs="Times New Roman"/>
          <w:color w:val="000000"/>
          <w:spacing w:val="0"/>
          <w:w w:val="100"/>
          <w:position w:val="0"/>
          <w:sz w:val="24"/>
          <w:szCs w:val="24"/>
          <w:shd w:val="clear" w:color="auto" w:fill="auto"/>
          <w:lang w:val="hr-HR" w:eastAsia="hr-HR" w:bidi="hr-HR"/>
        </w:rPr>
        <w:t>Izvadak iz</w:t>
      </w:r>
      <w:bookmarkEnd w:id="13"/>
    </w:p>
    <w:p>
      <w:pPr>
        <w:pStyle w:val="Style24"/>
        <w:keepNext/>
        <w:keepLines/>
        <w:widowControl w:val="0"/>
        <w:shd w:val="clear" w:color="auto" w:fill="auto"/>
        <w:bidi w:val="0"/>
        <w:spacing w:before="0" w:after="180" w:line="240" w:lineRule="auto"/>
        <w:ind w:left="0" w:right="0" w:firstLine="0"/>
        <w:jc w:val="center"/>
      </w:pPr>
      <w:bookmarkStart w:id="14" w:name="bookmark14"/>
      <w:r>
        <w:rPr>
          <w:rFonts w:ascii="Times New Roman" w:eastAsia="Times New Roman" w:hAnsi="Times New Roman" w:cs="Times New Roman"/>
          <w:color w:val="000000"/>
          <w:spacing w:val="0"/>
          <w:w w:val="100"/>
          <w:position w:val="0"/>
          <w:shd w:val="clear" w:color="auto" w:fill="auto"/>
          <w:lang w:val="hr-HR" w:eastAsia="hr-HR" w:bidi="hr-HR"/>
        </w:rPr>
        <w:t>Deklaracije »Nostra aetate«</w:t>
        <w:br/>
        <w:t>o odnosu Crkve prema nekršćanskim religijama</w:t>
      </w:r>
      <w:bookmarkEnd w:id="14"/>
    </w:p>
    <w:p>
      <w:pPr>
        <w:pStyle w:val="Style33"/>
        <w:keepNext w:val="0"/>
        <w:keepLines w:val="0"/>
        <w:widowControl w:val="0"/>
        <w:numPr>
          <w:ilvl w:val="0"/>
          <w:numId w:val="3"/>
        </w:numPr>
        <w:shd w:val="clear" w:color="auto" w:fill="auto"/>
        <w:tabs>
          <w:tab w:pos="591" w:val="left"/>
        </w:tabs>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Crkva gleda s poštovanjem i muslimane, koji se klanjaju jedinomu Bogu, živomu i subzistentnomu, milosrdnom i svemogućem, stvoritelju neba i zemlje,</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2"/>
      </w:r>
      <w:r>
        <w:rPr>
          <w:rFonts w:ascii="Times New Roman" w:eastAsia="Times New Roman" w:hAnsi="Times New Roman" w:cs="Times New Roman"/>
          <w:color w:val="000000"/>
          <w:spacing w:val="0"/>
          <w:w w:val="100"/>
          <w:position w:val="0"/>
          <w:shd w:val="clear" w:color="auto" w:fill="auto"/>
          <w:lang w:val="hr-HR" w:eastAsia="hr-HR" w:bidi="hr-HR"/>
        </w:rPr>
        <w:t xml:space="preserve"> koji je govorio ljudima. Oni se svom dušom nastoje podložiti njegovim skrovitim odlukama, kao što se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na koga se islamska vjera rado poziva, podložio Bogu. Oni Isusa, istina, ne priznaju Bogom, ali ga ipak časte kao proroka, a također i njegovu djevičansku Majku Mariju. Nju ponekad i pobožno zazivaju. Osim toga iščekuju dan suda, kad će Bog naplatiti svim uskrslim ljudima. Zato cijene moralni život, a Boga štuju napose molit</w:t>
        <w:softHyphen/>
        <w:t>vom, milostinjom i postom.</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Budući da je tijekom stoljeća između kršćana i muslimana dolazilo do čestih su</w:t>
        <w:softHyphen/>
        <w:t>koba i neprijateljstava, Sveti sabor poziva sve da se, zaboravivši što je bilo, iskreno trude oko međusobnog razumijevanja i da zajednički štite i promiču socijalnu pravdu, ćudoredna dobra, mir i slobodu za sve ljude.</w:t>
      </w:r>
    </w:p>
    <w:p>
      <w:pPr>
        <w:pStyle w:val="Style33"/>
        <w:keepNext w:val="0"/>
        <w:keepLines w:val="0"/>
        <w:widowControl w:val="0"/>
        <w:numPr>
          <w:ilvl w:val="0"/>
          <w:numId w:val="3"/>
        </w:numPr>
        <w:shd w:val="clear" w:color="auto" w:fill="auto"/>
        <w:tabs>
          <w:tab w:pos="586" w:val="left"/>
        </w:tabs>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Istražujući misterij Crkve, ovaj se Sveti sabor sjeća veze kojom je narod novoga Saveza duhovno povezan s rodom Abrahamovim.</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Kristova Crkva priznaje da se počeci njezine vjere i izabranja, po spasonosnom Božjem otajstvu, nalaze već kod patrijarha, Mojsija i proroka. Ona ispovijeda da su svi vjernici-kršćani, Abrahamovi sinovi po vjeri,</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3"/>
      </w:r>
      <w:r>
        <w:rPr>
          <w:rFonts w:ascii="Times New Roman" w:eastAsia="Times New Roman" w:hAnsi="Times New Roman" w:cs="Times New Roman"/>
          <w:color w:val="000000"/>
          <w:spacing w:val="0"/>
          <w:w w:val="100"/>
          <w:position w:val="0"/>
          <w:shd w:val="clear" w:color="auto" w:fill="auto"/>
          <w:lang w:val="hr-HR" w:eastAsia="hr-HR" w:bidi="hr-HR"/>
        </w:rPr>
        <w:t xml:space="preserve"> uključeni u pozvanje istog patrijarha i da se spas Crkve mistično predoznačujc u izlasku izabranog naroda iz zemlje ropstva. Stoga Crkva ne može zaboraviti da je po onom narodu, s kojim se Bog udostojio iz svoga neizrecivog milosrđa sklopiti stari Savez, primila objavu Staroga zavjeta i da je hrani korijen dobre masline u koju su ueijepljene grane-divljake naroda.</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4"/>
      </w:r>
      <w:r>
        <w:rPr>
          <w:rFonts w:ascii="Times New Roman" w:eastAsia="Times New Roman" w:hAnsi="Times New Roman" w:cs="Times New Roman"/>
          <w:color w:val="000000"/>
          <w:spacing w:val="0"/>
          <w:w w:val="100"/>
          <w:position w:val="0"/>
          <w:shd w:val="clear" w:color="auto" w:fill="auto"/>
          <w:lang w:val="hr-HR" w:eastAsia="hr-HR" w:bidi="hr-HR"/>
        </w:rPr>
        <w:t xml:space="preserve"> Jer Crkva vje</w:t>
        <w:softHyphen/>
        <w:t>ruje daje Krist, naš mir, križem pomirio Židove i pogane i oboje u sebi učinio jednim.</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5"/>
      </w:r>
    </w:p>
    <w:p>
      <w:pPr>
        <w:pStyle w:val="Style33"/>
        <w:keepNext w:val="0"/>
        <w:keepLines w:val="0"/>
        <w:widowControl w:val="0"/>
        <w:shd w:val="clear" w:color="auto" w:fill="auto"/>
        <w:bidi w:val="0"/>
        <w:spacing w:before="0" w:after="0"/>
        <w:ind w:left="0" w:right="0"/>
        <w:jc w:val="both"/>
        <w:sectPr>
          <w:headerReference w:type="default" r:id="rId11"/>
          <w:footerReference w:type="default" r:id="rId12"/>
          <w:headerReference w:type="even" r:id="rId13"/>
          <w:footerReference w:type="even" r:id="rId14"/>
          <w:footnotePr>
            <w:pos w:val="pageBottom"/>
            <w:numFmt w:val="decimal"/>
            <w:numStart w:val="5"/>
            <w:numRestart w:val="continuous"/>
            <w15:footnoteColumns w:val="1"/>
          </w:footnotePr>
          <w:pgSz w:w="7498" w:h="11040"/>
          <w:pgMar w:top="958" w:left="531" w:right="530" w:bottom="636" w:header="0" w:footer="3" w:gutter="0"/>
          <w:pgNumType w:start="5"/>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Crkva ima također neprestano pred očima riječi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o svojim suna</w:t>
        <w:softHyphen/>
        <w:t>rodnjacima, kojima »pripada: posinjenje i Slava, savezi i zakonodavstvo, bogoštovlje i obećanja; njihovi su patrijarsi, od kojih potječe Krist po tijelu« (Rim 9,4-5), sin Djevice</w:t>
      </w:r>
    </w:p>
    <w:p>
      <w:pPr>
        <w:pStyle w:val="Style33"/>
        <w:keepNext w:val="0"/>
        <w:keepLines w:val="0"/>
        <w:widowControl w:val="0"/>
        <w:shd w:val="clear" w:color="auto" w:fill="auto"/>
        <w:bidi w:val="0"/>
        <w:spacing w:before="0" w:after="0" w:line="257"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Marije. Sjeća se također da apostoli, temelji i stupovi Crkve, a i mnogi od onih prvih učenika koji su navijestili Kristovo evanđelje svijetu potječu od židovskog naroda.</w:t>
      </w:r>
    </w:p>
    <w:p>
      <w:pPr>
        <w:pStyle w:val="Style33"/>
        <w:keepNext w:val="0"/>
        <w:keepLines w:val="0"/>
        <w:widowControl w:val="0"/>
        <w:shd w:val="clear" w:color="auto" w:fill="auto"/>
        <w:bidi w:val="0"/>
        <w:spacing w:before="0" w:after="0" w:line="257"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Kako svjedoči Sveto pismo, Jeruzalem nije spoznao vrijeme svog pohoda,</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6"/>
      </w:r>
      <w:r>
        <w:rPr>
          <w:rFonts w:ascii="Times New Roman" w:eastAsia="Times New Roman" w:hAnsi="Times New Roman" w:cs="Times New Roman"/>
          <w:color w:val="000000"/>
          <w:spacing w:val="0"/>
          <w:w w:val="100"/>
          <w:position w:val="0"/>
          <w:shd w:val="clear" w:color="auto" w:fill="auto"/>
          <w:lang w:val="hr-HR" w:eastAsia="hr-HR" w:bidi="hr-HR"/>
        </w:rPr>
        <w:t xml:space="preserve"> i Židovi velikim dijelom nisu primili evanđelja, dapače mnogi su se suprotstavili njegovu šire</w:t>
        <w:softHyphen/>
        <w:t>nju.</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7"/>
      </w:r>
      <w:r>
        <w:rPr>
          <w:rFonts w:ascii="Times New Roman" w:eastAsia="Times New Roman" w:hAnsi="Times New Roman" w:cs="Times New Roman"/>
          <w:color w:val="000000"/>
          <w:spacing w:val="0"/>
          <w:w w:val="100"/>
          <w:position w:val="0"/>
          <w:shd w:val="clear" w:color="auto" w:fill="auto"/>
          <w:lang w:val="hr-HR" w:eastAsia="hr-HR" w:bidi="hr-HR"/>
        </w:rPr>
        <w:t xml:space="preserve"> Usprkos tomu, prema Apostolu, Židovi ostaju sveudilj vrlo dragi Bogu, čiji su nepožaljeni dar i pozvanje, zbog otaca.</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8"/>
      </w:r>
      <w:r>
        <w:rPr>
          <w:rFonts w:ascii="Times New Roman" w:eastAsia="Times New Roman" w:hAnsi="Times New Roman" w:cs="Times New Roman"/>
          <w:color w:val="000000"/>
          <w:spacing w:val="0"/>
          <w:w w:val="100"/>
          <w:position w:val="0"/>
          <w:shd w:val="clear" w:color="auto" w:fill="auto"/>
          <w:lang w:val="hr-HR" w:eastAsia="hr-HR" w:bidi="hr-HR"/>
        </w:rPr>
        <w:t xml:space="preserve"> Zajedno s prorocima i s istim apostolima očekuju dan, koji je znan samo Bogu, u koji će svi narodi jednim glasom zazivati Go</w:t>
        <w:softHyphen/>
        <w:t>spodina i »služiti mu jednodušno« (Sef 3,9).</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9"/>
      </w:r>
    </w:p>
    <w:p>
      <w:pPr>
        <w:pStyle w:val="Style33"/>
        <w:keepNext w:val="0"/>
        <w:keepLines w:val="0"/>
        <w:widowControl w:val="0"/>
        <w:shd w:val="clear" w:color="auto" w:fill="auto"/>
        <w:bidi w:val="0"/>
        <w:spacing w:before="0" w:after="0" w:line="257"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Kad je, dakle, kršćanima i Židovima zajednička tako velika duhovna baština, ovaj Sveti sabor želi gajiti i preporučiti međusobno poznavanje i poštivanje jednih i drugih, koje se zadobiva osobito biblijskim i teološkim studijem i bratskim razgovorima.</w:t>
      </w:r>
    </w:p>
    <w:p>
      <w:pPr>
        <w:pStyle w:val="Style33"/>
        <w:keepNext w:val="0"/>
        <w:keepLines w:val="0"/>
        <w:widowControl w:val="0"/>
        <w:shd w:val="clear" w:color="auto" w:fill="auto"/>
        <w:bidi w:val="0"/>
        <w:spacing w:before="0" w:after="0" w:line="257"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Premda su židovske vlasti sa svojim sljedbenicima inzistirale na Kristovoj smrti,</w:t>
      </w: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erence w:id="10"/>
      </w:r>
      <w:r>
        <w:rPr>
          <w:rFonts w:ascii="Times New Roman" w:eastAsia="Times New Roman" w:hAnsi="Times New Roman" w:cs="Times New Roman"/>
          <w:color w:val="000000"/>
          <w:spacing w:val="0"/>
          <w:w w:val="100"/>
          <w:position w:val="0"/>
          <w:shd w:val="clear" w:color="auto" w:fill="auto"/>
          <w:vertAlign w:val="superscript"/>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hr-HR" w:eastAsia="hr-HR" w:bidi="hr-HR"/>
        </w:rPr>
        <w:t>ipak se ono što je u njegovoj muci počinjeno ne može uračunavati ni svim Židovima bez razlike koji su tada živjeli, niti današnjim Židovima. Iako je Crkva novi Božji narod, neka se ipak Židovi ne prikazuju kao da su od Boga odbačeni i prokleti, kao da bi to proizlazilo iz Svetoga pisma. Stoga neka svi paze da u katehezi i u propovijedanju Božje riječi nc naučavaju nešto što se ne bi slagalo s evanđeoskom istinom i Kristovim duhom.</w:t>
      </w:r>
    </w:p>
    <w:p>
      <w:pPr>
        <w:pStyle w:val="Style33"/>
        <w:keepNext w:val="0"/>
        <w:keepLines w:val="0"/>
        <w:widowControl w:val="0"/>
        <w:shd w:val="clear" w:color="auto" w:fill="auto"/>
        <w:bidi w:val="0"/>
        <w:spacing w:before="0" w:after="0" w:line="257"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Stoga Crkva, koja osuđuje sve progone protiv bilo kojih ljudi, sjećajući se zajed</w:t>
        <w:softHyphen/>
        <w:t>ničke baštine sa Židovima, potaknuta religioznom evanđeoskom ljubavlju a ne poli</w:t>
        <w:softHyphen/>
        <w:t>tičkim motivima, žali mržnju, progone, očitovanja antisemitizma kojima su u bilo koje vrijeme i s bilo koje strane Židovi bili pogođeni.</w:t>
      </w:r>
    </w:p>
    <w:p>
      <w:pPr>
        <w:pStyle w:val="Style33"/>
        <w:keepNext w:val="0"/>
        <w:keepLines w:val="0"/>
        <w:widowControl w:val="0"/>
        <w:shd w:val="clear" w:color="auto" w:fill="auto"/>
        <w:bidi w:val="0"/>
        <w:spacing w:before="0" w:after="0" w:line="254"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Uostalom Krist je, kako je Crkva uvijek držala i drži, pretrpio svoju muku i smrt dobrovoljno, neizmjernom ljubavlju, zbog grijeha sviju ljudi, da bi svi postigli spasenje. Dužnost jc dakle Crkve kad propovijeda da naviješta Kristov križ kao znak opće Božje ljubavi i izvor sve milosti.</w:t>
      </w:r>
      <w:r>
        <w:br w:type="page"/>
      </w:r>
    </w:p>
    <w:p>
      <w:pPr>
        <w:pStyle w:val="Style39"/>
        <w:keepNext/>
        <w:keepLines/>
        <w:widowControl w:val="0"/>
        <w:shd w:val="clear" w:color="auto" w:fill="auto"/>
        <w:bidi w:val="0"/>
        <w:spacing w:before="0" w:after="600" w:line="240" w:lineRule="auto"/>
        <w:ind w:left="0" w:right="0" w:firstLine="0"/>
        <w:jc w:val="center"/>
      </w:pPr>
      <w:bookmarkStart w:id="15" w:name="bookmark15"/>
      <w:r>
        <w:rPr>
          <w:rFonts w:ascii="Times New Roman" w:eastAsia="Times New Roman" w:hAnsi="Times New Roman" w:cs="Times New Roman"/>
          <w:color w:val="000000"/>
          <w:spacing w:val="0"/>
          <w:w w:val="100"/>
          <w:position w:val="0"/>
          <w:shd w:val="clear" w:color="auto" w:fill="auto"/>
          <w:lang w:val="hr-HR" w:eastAsia="hr-HR" w:bidi="hr-HR"/>
        </w:rPr>
        <w:t>Kratice</w:t>
      </w:r>
      <w:bookmarkEnd w:id="15"/>
    </w:p>
    <w:p>
      <w:pPr>
        <w:pStyle w:val="Style49"/>
        <w:keepNext w:val="0"/>
        <w:keepLines w:val="0"/>
        <w:widowControl w:val="0"/>
        <w:shd w:val="clear" w:color="auto" w:fill="auto"/>
        <w:bidi w:val="0"/>
        <w:spacing w:before="0" w:after="0" w:line="240" w:lineRule="auto"/>
        <w:ind w:left="2477"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Stari zavjet (SZ)</w:t>
      </w:r>
    </w:p>
    <w:tbl>
      <w:tblPr>
        <w:tblOverlap w:val="never"/>
        <w:jc w:val="center"/>
        <w:tblLayout w:type="fixed"/>
      </w:tblPr>
      <w:tblGrid>
        <w:gridCol w:w="634"/>
        <w:gridCol w:w="2616"/>
        <w:gridCol w:w="970"/>
        <w:gridCol w:w="1934"/>
      </w:tblGrid>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Knjiga Postanka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Izr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Mudre izreke</w:t>
            </w:r>
          </w:p>
        </w:tc>
      </w:tr>
      <w:tr>
        <w:trPr>
          <w:trHeight w:val="230"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Izl</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Knjiga Izlaska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en-US" w:eastAsia="en-US" w:bidi="en-US"/>
              </w:rPr>
              <w:t>Prop</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Propovjednik (Kohclct)</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Ixv</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Levitski </w:t>
            </w:r>
            <w:r>
              <w:rPr>
                <w:rFonts w:ascii="Times New Roman" w:eastAsia="Times New Roman" w:hAnsi="Times New Roman" w:cs="Times New Roman"/>
                <w:color w:val="000000"/>
                <w:spacing w:val="0"/>
                <w:w w:val="100"/>
                <w:position w:val="0"/>
                <w:shd w:val="clear" w:color="auto" w:fill="auto"/>
                <w:lang w:val="hr-HR" w:eastAsia="hr-HR" w:bidi="hr-HR"/>
              </w:rPr>
              <w:t>zakonik</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Pj</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Pjesma nad pjesmama</w:t>
            </w:r>
          </w:p>
        </w:tc>
      </w:tr>
      <w:tr>
        <w:trPr>
          <w:trHeight w:val="23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Knjiga Brojeva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Mudr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Knjiga Mudrosti</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Pnz</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Ponovljeni zakon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Sir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Knjiga Sirahova</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Jš</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Jošua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Iz</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Izaija</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Suci</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Knjiga o Sucima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Jr</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Jeremija</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Rut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Ruta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Tuž</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Tužaljke</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 Sam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knjiga o Samuclu</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Bar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Baruh</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Sam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knjiga o Samuclu</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Ez</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en-US" w:eastAsia="en-US" w:bidi="en-US"/>
              </w:rPr>
              <w:t>Ezekiel</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 Kr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knjiga o Kraljevima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Dn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en-US" w:eastAsia="en-US" w:bidi="en-US"/>
              </w:rPr>
              <w:t>Daniel</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Kr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knjiga o Kraljevima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Hoš</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Hošea</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 Ljet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knjiga Ljetopisa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JI</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en-US" w:eastAsia="en-US" w:bidi="en-US"/>
              </w:rPr>
              <w:t>Joel</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Ljet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knjiga Ljetopisa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en-US" w:eastAsia="en-US" w:bidi="en-US"/>
              </w:rPr>
              <w:t>Am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en-US" w:eastAsia="en-US" w:bidi="en-US"/>
              </w:rPr>
              <w:t>Amos</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Ezr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Ezra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Ob</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Obadija</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Neh</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Nehemija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Jon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Jona</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Tob</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Tobija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Mih</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Mihej</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Jdt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Judita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Nah</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en-US" w:eastAsia="en-US" w:bidi="en-US"/>
              </w:rPr>
              <w:t>Nahum</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Est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Estera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Hab</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Habakuk</w:t>
            </w:r>
          </w:p>
        </w:tc>
      </w:tr>
      <w:tr>
        <w:trPr>
          <w:trHeight w:val="23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 Mak</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knjiga o Makabejcima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Sef</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Sefanija</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Mak</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knjiga o Makabejcima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Hag</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Hagaj</w:t>
            </w:r>
          </w:p>
        </w:tc>
      </w:tr>
      <w:tr>
        <w:trPr>
          <w:trHeight w:val="20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Ps</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Psalmi</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Zah</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Zaharija</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Job</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Job</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Mal</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140" w:right="0" w:firstLine="40"/>
              <w:jc w:val="left"/>
            </w:pPr>
            <w:r>
              <w:rPr>
                <w:rFonts w:ascii="Times New Roman" w:eastAsia="Times New Roman" w:hAnsi="Times New Roman" w:cs="Times New Roman"/>
                <w:color w:val="000000"/>
                <w:spacing w:val="0"/>
                <w:w w:val="100"/>
                <w:position w:val="0"/>
                <w:shd w:val="clear" w:color="auto" w:fill="auto"/>
                <w:lang w:val="hr-HR" w:eastAsia="hr-HR" w:bidi="hr-HR"/>
              </w:rPr>
              <w:t>Malahija</w:t>
            </w:r>
          </w:p>
        </w:tc>
      </w:tr>
    </w:tbl>
    <w:p>
      <w:pPr>
        <w:sectPr>
          <w:headerReference w:type="default" r:id="rId15"/>
          <w:footerReference w:type="default" r:id="rId16"/>
          <w:headerReference w:type="even" r:id="rId17"/>
          <w:footerReference w:type="even" r:id="rId18"/>
          <w:headerReference w:type="first" r:id="rId19"/>
          <w:footerReference w:type="first" r:id="rId20"/>
          <w:footnotePr>
            <w:pos w:val="pageBottom"/>
            <w:numFmt w:val="decimal"/>
            <w:numStart w:val="5"/>
            <w:numRestart w:val="continuous"/>
            <w15:footnoteColumns w:val="1"/>
          </w:footnotePr>
          <w:pgSz w:w="7498" w:h="11040"/>
          <w:pgMar w:top="958" w:left="531" w:right="530" w:bottom="636" w:header="0" w:footer="3" w:gutter="0"/>
          <w:cols w:space="720"/>
          <w:noEndnote/>
          <w:titlePg/>
          <w:rtlGutter w:val="0"/>
          <w:docGrid w:linePitch="360"/>
        </w:sectPr>
      </w:pPr>
    </w:p>
    <w:p>
      <w:pPr>
        <w:pStyle w:val="Style33"/>
        <w:keepNext w:val="0"/>
        <w:keepLines w:val="0"/>
        <w:widowControl w:val="0"/>
        <w:shd w:val="clear" w:color="auto" w:fill="auto"/>
        <w:bidi w:val="0"/>
        <w:spacing w:before="0" w:after="8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Rabinski tekstovi</w:t>
      </w:r>
    </w:p>
    <w:p>
      <w:pPr>
        <w:pStyle w:val="Style33"/>
        <w:keepNext w:val="0"/>
        <w:keepLines w:val="0"/>
        <w:widowControl w:val="0"/>
        <w:shd w:val="clear" w:color="auto" w:fill="auto"/>
        <w:tabs>
          <w:tab w:pos="3792" w:val="left"/>
        </w:tabs>
        <w:bidi w:val="0"/>
        <w:spacing w:before="0" w:after="0" w:line="240" w:lineRule="auto"/>
        <w:ind w:left="21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Babilonski </w:t>
      </w:r>
      <w:r>
        <w:rPr>
          <w:rFonts w:ascii="Times New Roman" w:eastAsia="Times New Roman" w:hAnsi="Times New Roman" w:cs="Times New Roman"/>
          <w:color w:val="000000"/>
          <w:spacing w:val="0"/>
          <w:w w:val="100"/>
          <w:position w:val="0"/>
          <w:shd w:val="clear" w:color="auto" w:fill="auto"/>
          <w:lang w:val="en-US" w:eastAsia="en-US" w:bidi="en-US"/>
        </w:rPr>
        <w:t>Talmud</w:t>
        <w:tab/>
      </w:r>
      <w:r>
        <w:rPr>
          <w:rFonts w:ascii="Times New Roman" w:eastAsia="Times New Roman" w:hAnsi="Times New Roman" w:cs="Times New Roman"/>
          <w:color w:val="000000"/>
          <w:spacing w:val="0"/>
          <w:w w:val="100"/>
          <w:position w:val="0"/>
          <w:shd w:val="clear" w:color="auto" w:fill="auto"/>
          <w:lang w:val="hr-HR" w:eastAsia="hr-HR" w:bidi="hr-HR"/>
        </w:rPr>
        <w:t>Misna</w:t>
      </w:r>
    </w:p>
    <w:p>
      <w:pPr>
        <w:pStyle w:val="Style33"/>
        <w:keepNext w:val="0"/>
        <w:keepLines w:val="0"/>
        <w:widowControl w:val="0"/>
        <w:shd w:val="clear" w:color="auto" w:fill="auto"/>
        <w:tabs>
          <w:tab w:pos="3792" w:val="left"/>
        </w:tabs>
        <w:bidi w:val="0"/>
        <w:spacing w:before="0" w:after="180" w:line="240" w:lineRule="auto"/>
        <w:ind w:left="21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Palestinski </w:t>
      </w:r>
      <w:r>
        <w:rPr>
          <w:rFonts w:ascii="Times New Roman" w:eastAsia="Times New Roman" w:hAnsi="Times New Roman" w:cs="Times New Roman"/>
          <w:color w:val="000000"/>
          <w:spacing w:val="0"/>
          <w:w w:val="100"/>
          <w:position w:val="0"/>
          <w:shd w:val="clear" w:color="auto" w:fill="auto"/>
          <w:lang w:val="en-US" w:eastAsia="en-US" w:bidi="en-US"/>
        </w:rPr>
        <w:t>Talmud</w:t>
        <w:tab/>
      </w:r>
      <w:r>
        <w:rPr>
          <w:rFonts w:ascii="Times New Roman" w:eastAsia="Times New Roman" w:hAnsi="Times New Roman" w:cs="Times New Roman"/>
          <w:color w:val="000000"/>
          <w:spacing w:val="0"/>
          <w:w w:val="100"/>
          <w:position w:val="0"/>
          <w:shd w:val="clear" w:color="auto" w:fill="auto"/>
          <w:lang w:val="hr-HR" w:eastAsia="hr-HR" w:bidi="hr-HR"/>
        </w:rPr>
        <w:t>Tosefta</w:t>
      </w:r>
    </w:p>
    <w:p>
      <w:pPr>
        <w:pStyle w:val="Style49"/>
        <w:keepNext w:val="0"/>
        <w:keepLines w:val="0"/>
        <w:widowControl w:val="0"/>
        <w:shd w:val="clear" w:color="auto" w:fill="auto"/>
        <w:bidi w:val="0"/>
        <w:spacing w:before="0" w:after="0" w:line="240" w:lineRule="auto"/>
        <w:ind w:left="1987" w:right="0" w:firstLine="0"/>
        <w:jc w:val="left"/>
        <w:rPr>
          <w:sz w:val="17"/>
          <w:szCs w:val="17"/>
        </w:rPr>
      </w:pPr>
      <w:r>
        <w:rPr>
          <w:rFonts w:ascii="Times New Roman" w:eastAsia="Times New Roman" w:hAnsi="Times New Roman" w:cs="Times New Roman"/>
          <w:b w:val="0"/>
          <w:bCs w:val="0"/>
          <w:color w:val="000000"/>
          <w:spacing w:val="0"/>
          <w:w w:val="100"/>
          <w:position w:val="0"/>
          <w:sz w:val="17"/>
          <w:szCs w:val="17"/>
          <w:shd w:val="clear" w:color="auto" w:fill="auto"/>
          <w:lang w:val="hr-HR" w:eastAsia="hr-HR" w:bidi="hr-HR"/>
        </w:rPr>
        <w:t>(Traktati su ovih djela sljedeći:)</w:t>
      </w:r>
    </w:p>
    <w:tbl>
      <w:tblPr>
        <w:tblOverlap w:val="never"/>
        <w:jc w:val="left"/>
        <w:tblLayout w:type="fixed"/>
      </w:tblPr>
      <w:tblGrid>
        <w:gridCol w:w="1286"/>
        <w:gridCol w:w="1709"/>
        <w:gridCol w:w="1685"/>
        <w:gridCol w:w="1176"/>
      </w:tblGrid>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Avot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Horajot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Meila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Suka</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Arahin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Hulin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Menahot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Šabat</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Jadajim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Midot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Savuot</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Bava batra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Jevamot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Mikvaot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Ševiit</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Bava kama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Joma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Moed katan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Šekalim</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Bava mecia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Kelim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Nazir</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Taanit</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Bcca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Keretot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Nedarim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Tamid</w:t>
            </w:r>
          </w:p>
        </w:tc>
      </w:tr>
      <w:tr>
        <w:trPr>
          <w:trHeight w:val="230"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Behorot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Ketubot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Negajim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Tebul jom</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Berahot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Kidušin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Ohalot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Tcmurot</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Bikurim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Kilajim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Orla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Terumot</w:t>
            </w:r>
          </w:p>
        </w:tc>
      </w:tr>
      <w:tr>
        <w:trPr>
          <w:trHeight w:val="21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Demai</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Kinim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Para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(Jkcin</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Edujot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Maaser šeni</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Pea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Zabim</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Eruvin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Mahširin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Pesahim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Zevahim</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Gitin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Makot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Roš ha-šana</w:t>
            </w:r>
          </w:p>
        </w:tc>
        <w:tc>
          <w:tcPr>
            <w:tcBorders/>
            <w:shd w:val="clear" w:color="auto" w:fill="FFFFFF"/>
            <w:vAlign w:val="top"/>
          </w:tcPr>
          <w:p>
            <w:pPr>
              <w:widowControl w:val="0"/>
              <w:rPr>
                <w:sz w:val="10"/>
                <w:szCs w:val="10"/>
              </w:rPr>
            </w:pPr>
          </w:p>
        </w:tc>
      </w:tr>
      <w:tr>
        <w:trPr>
          <w:trHeight w:val="230"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Hagiga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Maserot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Sanhedrin</w:t>
            </w:r>
          </w:p>
        </w:tc>
        <w:tc>
          <w:tcPr>
            <w:tcBorders/>
            <w:shd w:val="clear" w:color="auto" w:fill="FFFFFF"/>
            <w:vAlign w:val="top"/>
          </w:tcPr>
          <w:p>
            <w:pPr>
              <w:widowControl w:val="0"/>
              <w:rPr>
                <w:sz w:val="10"/>
                <w:szCs w:val="10"/>
              </w:rPr>
            </w:pPr>
          </w:p>
        </w:tc>
      </w:tr>
      <w:tr>
        <w:trPr>
          <w:trHeight w:val="24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Hala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Megila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Sota</w:t>
            </w:r>
          </w:p>
        </w:tc>
        <w:tc>
          <w:tcPr>
            <w:tcBorders/>
            <w:shd w:val="clear" w:color="auto" w:fill="FFFFFF"/>
            <w:vAlign w:val="top"/>
          </w:tcPr>
          <w:p>
            <w:pPr>
              <w:widowControl w:val="0"/>
              <w:rPr>
                <w:sz w:val="10"/>
                <w:szCs w:val="10"/>
              </w:rPr>
            </w:pPr>
          </w:p>
        </w:tc>
      </w:tr>
    </w:tbl>
    <w:p>
      <w:pPr>
        <w:widowControl w:val="0"/>
        <w:spacing w:after="559" w:line="1" w:lineRule="exact"/>
      </w:pPr>
    </w:p>
    <w:p>
      <w:pPr>
        <w:pStyle w:val="Style49"/>
        <w:keepNext w:val="0"/>
        <w:keepLines w:val="0"/>
        <w:widowControl w:val="0"/>
        <w:shd w:val="clear" w:color="auto" w:fill="auto"/>
        <w:bidi w:val="0"/>
        <w:spacing w:before="0" w:after="0" w:line="240" w:lineRule="auto"/>
        <w:ind w:left="2486"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Novi zavjet (NZ)</w:t>
      </w:r>
    </w:p>
    <w:tbl>
      <w:tblPr>
        <w:tblOverlap w:val="never"/>
        <w:jc w:val="center"/>
        <w:tblLayout w:type="fixed"/>
      </w:tblPr>
      <w:tblGrid>
        <w:gridCol w:w="595"/>
        <w:gridCol w:w="2592"/>
        <w:gridCol w:w="830"/>
        <w:gridCol w:w="2102"/>
      </w:tblGrid>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Evanđelje po Mateju</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10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1 Tim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poslanica Timoteju</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Mk</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Evanđelje po Marku</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10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2 Tim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poslanica Timoteju</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Lk</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Evanđelje po Luki</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Tit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Titu</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Iv</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Evanđelje po Ivanu</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Flm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Filemonu</w:t>
            </w:r>
          </w:p>
        </w:tc>
      </w:tr>
      <w:tr>
        <w:trPr>
          <w:trHeight w:val="23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Dj</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Djela apostolska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Heb</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Hebrejima</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Rim</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Rimljanima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Jak</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Jakovljeva poslanica</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 Kor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poslanica Korinćanima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1 Pt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Petrova poslanica</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Kor</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poslanica Korinćanima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2 Pt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Petrova poslanica</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Gal</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Galaćanima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Jd</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poslanica</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Ef</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Efežanima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1 Iv</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Ivanova poslanica</w:t>
            </w:r>
          </w:p>
        </w:tc>
      </w:tr>
      <w:tr>
        <w:trPr>
          <w:trHeight w:val="23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Fil</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Filipljanima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2 Iv</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Ivanova poslanica</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Kol</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Kološanima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3 Iv</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Treća Ivanova poslanica</w:t>
            </w:r>
          </w:p>
        </w:tc>
      </w:tr>
      <w:tr>
        <w:trPr>
          <w:trHeight w:val="23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 Sol</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Prva poslanica Solunjanima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Otk</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Otkrivenje</w:t>
            </w:r>
          </w:p>
        </w:tc>
      </w:tr>
      <w:tr>
        <w:trPr>
          <w:trHeight w:val="23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Sol</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Druga poslanica Solunjanima</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spacing w:lineRule="exact" w:line="1"/>
        <w:rPr>
          <w:sz w:val="2"/>
          <w:szCs w:val="2"/>
        </w:rPr>
      </w:pPr>
      <w:r>
        <w:br w:type="page"/>
      </w:r>
    </w:p>
    <w:p>
      <w:pPr>
        <w:pStyle w:val="Style33"/>
        <w:keepNext w:val="0"/>
        <w:keepLines w:val="0"/>
        <w:widowControl w:val="0"/>
        <w:shd w:val="clear" w:color="auto" w:fill="auto"/>
        <w:bidi w:val="0"/>
        <w:spacing w:before="0" w:after="16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Kuran</w:t>
      </w:r>
    </w:p>
    <w:p>
      <w:pPr>
        <w:pStyle w:val="Style33"/>
        <w:keepNext w:val="0"/>
        <w:keepLines w:val="0"/>
        <w:widowControl w:val="0"/>
        <w:shd w:val="clear" w:color="auto" w:fill="auto"/>
        <w:bidi w:val="0"/>
        <w:spacing w:before="0" w:after="0" w:line="240" w:lineRule="auto"/>
        <w:ind w:left="0" w:right="12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Kur Kuran</w:t>
      </w:r>
    </w:p>
    <w:p>
      <w:pPr>
        <w:pStyle w:val="Style33"/>
        <w:keepNext w:val="0"/>
        <w:keepLines w:val="0"/>
        <w:widowControl w:val="0"/>
        <w:shd w:val="clear" w:color="auto" w:fill="auto"/>
        <w:bidi w:val="0"/>
        <w:spacing w:before="0" w:after="50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S sure</w:t>
      </w:r>
    </w:p>
    <w:p>
      <w:pPr>
        <w:pStyle w:val="Style49"/>
        <w:keepNext w:val="0"/>
        <w:keepLines w:val="0"/>
        <w:widowControl w:val="0"/>
        <w:shd w:val="clear" w:color="auto" w:fill="auto"/>
        <w:bidi w:val="0"/>
        <w:spacing w:before="0" w:after="0" w:line="240" w:lineRule="auto"/>
        <w:ind w:left="265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Opće kratice</w:t>
      </w:r>
    </w:p>
    <w:tbl>
      <w:tblPr>
        <w:tblOverlap w:val="never"/>
        <w:jc w:val="center"/>
        <w:tblLayout w:type="fixed"/>
      </w:tblPr>
      <w:tblGrid>
        <w:gridCol w:w="701"/>
        <w:gridCol w:w="5688"/>
      </w:tblGrid>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Aites </w:t>
            </w:r>
            <w:r>
              <w:rPr>
                <w:rFonts w:ascii="Times New Roman" w:eastAsia="Times New Roman" w:hAnsi="Times New Roman" w:cs="Times New Roman"/>
                <w:color w:val="000000"/>
                <w:spacing w:val="0"/>
                <w:w w:val="100"/>
                <w:position w:val="0"/>
                <w:shd w:val="clear" w:color="auto" w:fill="auto"/>
                <w:lang w:val="hr-HR" w:eastAsia="hr-HR" w:bidi="hr-HR"/>
              </w:rPr>
              <w:t>Testament (Stari zavjet)</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atl.</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alttestamentlich (starozavjetno)</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Barn</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Barnabino pismo</w:t>
            </w:r>
          </w:p>
        </w:tc>
      </w:tr>
      <w:tr>
        <w:trPr>
          <w:trHeight w:val="21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1 </w:t>
            </w:r>
            <w:r>
              <w:rPr>
                <w:rFonts w:ascii="Times New Roman" w:eastAsia="Times New Roman" w:hAnsi="Times New Roman" w:cs="Times New Roman"/>
                <w:color w:val="000000"/>
                <w:spacing w:val="0"/>
                <w:w w:val="100"/>
                <w:position w:val="0"/>
                <w:shd w:val="clear" w:color="auto" w:fill="auto"/>
                <w:lang w:val="en-US" w:eastAsia="en-US" w:bidi="en-US"/>
              </w:rPr>
              <w:t>Clem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 Klementovo pismo</w:t>
            </w:r>
          </w:p>
        </w:tc>
      </w:tr>
      <w:tr>
        <w:trPr>
          <w:trHeight w:val="221"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2 </w:t>
            </w:r>
            <w:r>
              <w:rPr>
                <w:rFonts w:ascii="Times New Roman" w:eastAsia="Times New Roman" w:hAnsi="Times New Roman" w:cs="Times New Roman"/>
                <w:color w:val="000000"/>
                <w:spacing w:val="0"/>
                <w:w w:val="100"/>
                <w:position w:val="0"/>
                <w:shd w:val="clear" w:color="auto" w:fill="auto"/>
                <w:lang w:val="en-US" w:eastAsia="en-US" w:bidi="en-US"/>
              </w:rPr>
              <w:t>Clem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Klementovo pismo</w:t>
            </w:r>
          </w:p>
        </w:tc>
      </w:tr>
      <w:tr>
        <w:trPr>
          <w:trHeight w:val="43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 Denzinger, </w:t>
            </w:r>
            <w:r>
              <w:rPr>
                <w:rFonts w:ascii="Times New Roman" w:eastAsia="Times New Roman" w:hAnsi="Times New Roman" w:cs="Times New Roman"/>
                <w:color w:val="000000"/>
                <w:spacing w:val="0"/>
                <w:w w:val="100"/>
                <w:position w:val="0"/>
                <w:shd w:val="clear" w:color="auto" w:fill="auto"/>
                <w:lang w:val="en-US" w:eastAsia="en-US" w:bidi="en-US"/>
              </w:rPr>
              <w:t xml:space="preserve">Enchiridion Symbolorum, </w:t>
            </w:r>
            <w:r>
              <w:rPr>
                <w:rFonts w:ascii="Times New Roman" w:eastAsia="Times New Roman" w:hAnsi="Times New Roman" w:cs="Times New Roman"/>
                <w:color w:val="000000"/>
                <w:spacing w:val="0"/>
                <w:w w:val="100"/>
                <w:position w:val="0"/>
                <w:shd w:val="clear" w:color="auto" w:fill="auto"/>
                <w:lang w:val="hr-HR" w:eastAsia="hr-HR" w:bidi="hr-HR"/>
              </w:rPr>
              <w:t xml:space="preserve">Definitionum et Declarationum de rebus fidei ct morum, Barcclona/Frciburg/Rom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31</w:t>
            </w:r>
            <w:r>
              <w:rPr>
                <w:rFonts w:ascii="Times New Roman" w:eastAsia="Times New Roman" w:hAnsi="Times New Roman" w:cs="Times New Roman"/>
                <w:color w:val="000000"/>
                <w:spacing w:val="0"/>
                <w:w w:val="100"/>
                <w:position w:val="0"/>
                <w:shd w:val="clear" w:color="auto" w:fill="auto"/>
                <w:lang w:val="hr-HR" w:eastAsia="hr-HR" w:bidi="hr-HR"/>
              </w:rPr>
              <w:t>1957</w:t>
            </w:r>
          </w:p>
        </w:tc>
      </w:tr>
      <w:tr>
        <w:trPr>
          <w:trHeight w:val="22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DBS</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Dictionnaire de la Bible, Supplement</w:t>
            </w:r>
          </w:p>
        </w:tc>
      </w:tr>
      <w:tr>
        <w:trPr>
          <w:trHeight w:val="42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DS</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 Denzinger/A. Schonmetzer </w:t>
            </w:r>
            <w:r>
              <w:rPr>
                <w:rFonts w:ascii="Times New Roman" w:eastAsia="Times New Roman" w:hAnsi="Times New Roman" w:cs="Times New Roman"/>
                <w:color w:val="000000"/>
                <w:spacing w:val="0"/>
                <w:w w:val="100"/>
                <w:position w:val="0"/>
                <w:shd w:val="clear" w:color="auto" w:fill="auto"/>
                <w:lang w:val="en-US" w:eastAsia="en-US" w:bidi="en-US"/>
              </w:rPr>
              <w:t xml:space="preserve">(Hrsg.), Enchiridion Symbolorum, </w:t>
            </w:r>
            <w:r>
              <w:rPr>
                <w:rFonts w:ascii="Times New Roman" w:eastAsia="Times New Roman" w:hAnsi="Times New Roman" w:cs="Times New Roman"/>
                <w:color w:val="000000"/>
                <w:spacing w:val="0"/>
                <w:w w:val="100"/>
                <w:position w:val="0"/>
                <w:shd w:val="clear" w:color="auto" w:fill="auto"/>
                <w:lang w:val="hr-HR" w:eastAsia="hr-HR" w:bidi="hr-HR"/>
              </w:rPr>
              <w:t xml:space="preserve">Definitionum et Declarationum dc rebus fidci ct morum, Barcelona/Freiburg/Rom </w:t>
            </w:r>
            <w:r>
              <w:rPr>
                <w:rFonts w:ascii="Times New Roman" w:eastAsia="Times New Roman" w:hAnsi="Times New Roman" w:cs="Times New Roman"/>
                <w:i/>
                <w:iCs/>
                <w:color w:val="000000"/>
                <w:spacing w:val="0"/>
                <w:w w:val="100"/>
                <w:position w:val="0"/>
                <w:shd w:val="clear" w:color="auto" w:fill="auto"/>
                <w:lang w:val="hr-HR" w:eastAsia="hr-HR" w:bidi="hr-HR"/>
              </w:rPr>
              <w:t>*’197f&gt;</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auto"/>
                <w:lang w:val="hr-HR" w:eastAsia="hr-HR" w:bidi="hr-HR"/>
              </w:rPr>
              <w:t>EP</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Encyclopaedia of Islam/Encyclopedie de lTslarn, Leiden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2</w:t>
            </w:r>
            <w:r>
              <w:rPr>
                <w:rFonts w:ascii="Times New Roman" w:eastAsia="Times New Roman" w:hAnsi="Times New Roman" w:cs="Times New Roman"/>
                <w:color w:val="000000"/>
                <w:spacing w:val="0"/>
                <w:w w:val="100"/>
                <w:position w:val="0"/>
                <w:shd w:val="clear" w:color="auto" w:fill="auto"/>
                <w:lang w:val="en-US" w:eastAsia="en-US" w:bidi="en-US"/>
              </w:rPr>
              <w:t xml:space="preserve">1954 </w:t>
            </w:r>
            <w:r>
              <w:rPr>
                <w:rFonts w:ascii="Times New Roman" w:eastAsia="Times New Roman" w:hAnsi="Times New Roman" w:cs="Times New Roman"/>
                <w:color w:val="000000"/>
                <w:spacing w:val="0"/>
                <w:w w:val="100"/>
                <w:position w:val="0"/>
                <w:shd w:val="clear" w:color="auto" w:fill="auto"/>
                <w:lang w:val="hr-HR" w:eastAsia="hr-HR" w:bidi="hr-HR"/>
              </w:rPr>
              <w:t>i dalje</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EJ</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Encyclopaedia Judaica, Jerusalem 1971</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EKL</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Evangelisches Kirchenlexikon</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ES</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vidi </w:t>
            </w:r>
            <w:r>
              <w:rPr>
                <w:rFonts w:ascii="Times New Roman" w:eastAsia="Times New Roman" w:hAnsi="Times New Roman" w:cs="Times New Roman"/>
                <w:color w:val="000000"/>
                <w:spacing w:val="0"/>
                <w:w w:val="100"/>
                <w:position w:val="0"/>
                <w:shd w:val="clear" w:color="auto" w:fill="auto"/>
                <w:lang w:val="en-US" w:eastAsia="en-US" w:bidi="en-US"/>
              </w:rPr>
              <w:t>DS</w:t>
            </w:r>
          </w:p>
        </w:tc>
      </w:tr>
      <w:tr>
        <w:trPr>
          <w:trHeight w:val="240"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II.</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hidžra (islamsko računanje vremena)</w:t>
            </w:r>
          </w:p>
        </w:tc>
      </w:tr>
      <w:tr>
        <w:trPr>
          <w:trHeight w:val="408"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HDG</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Ilandbuch der Dogmengeschichte, hrsg. </w:t>
            </w:r>
            <w:r>
              <w:rPr>
                <w:rFonts w:ascii="Times New Roman" w:eastAsia="Times New Roman" w:hAnsi="Times New Roman" w:cs="Times New Roman"/>
                <w:color w:val="000000"/>
                <w:spacing w:val="0"/>
                <w:w w:val="100"/>
                <w:position w:val="0"/>
                <w:shd w:val="clear" w:color="auto" w:fill="auto"/>
                <w:lang w:val="en-US" w:eastAsia="en-US" w:bidi="en-US"/>
              </w:rPr>
              <w:t xml:space="preserve">von </w:t>
            </w:r>
            <w:r>
              <w:rPr>
                <w:rFonts w:ascii="Times New Roman" w:eastAsia="Times New Roman" w:hAnsi="Times New Roman" w:cs="Times New Roman"/>
                <w:color w:val="000000"/>
                <w:spacing w:val="0"/>
                <w:w w:val="100"/>
                <w:position w:val="0"/>
                <w:shd w:val="clear" w:color="auto" w:fill="auto"/>
                <w:lang w:val="hr-HR" w:eastAsia="hr-HR" w:bidi="hr-HR"/>
              </w:rPr>
              <w:t xml:space="preserve">M. Schmaus/J. Gcisclmann/H.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1951 i dalje</w:t>
            </w:r>
          </w:p>
        </w:tc>
      </w:tr>
      <w:tr>
        <w:trPr>
          <w:trHeight w:val="230"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IIg./I Lrsg.</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izdavač/izdavači</w:t>
            </w:r>
          </w:p>
        </w:tc>
      </w:tr>
      <w:tr>
        <w:trPr>
          <w:trHeight w:val="21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HI</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Handworterbuch des </w:t>
            </w:r>
            <w:r>
              <w:rPr>
                <w:rFonts w:ascii="Times New Roman" w:eastAsia="Times New Roman" w:hAnsi="Times New Roman" w:cs="Times New Roman"/>
                <w:color w:val="000000"/>
                <w:spacing w:val="0"/>
                <w:w w:val="100"/>
                <w:position w:val="0"/>
                <w:shd w:val="clear" w:color="auto" w:fill="auto"/>
                <w:lang w:val="hr-HR" w:eastAsia="hr-HR" w:bidi="hr-HR"/>
              </w:rPr>
              <w:t xml:space="preserve">Islam, </w:t>
            </w:r>
            <w:r>
              <w:rPr>
                <w:rFonts w:ascii="Times New Roman" w:eastAsia="Times New Roman" w:hAnsi="Times New Roman" w:cs="Times New Roman"/>
                <w:color w:val="000000"/>
                <w:spacing w:val="0"/>
                <w:w w:val="100"/>
                <w:position w:val="0"/>
                <w:shd w:val="clear" w:color="auto" w:fill="auto"/>
                <w:lang w:val="en-US" w:eastAsia="en-US" w:bidi="en-US"/>
              </w:rPr>
              <w:t xml:space="preserve">Leiden </w:t>
            </w:r>
            <w:r>
              <w:rPr>
                <w:rFonts w:ascii="Times New Roman" w:eastAsia="Times New Roman" w:hAnsi="Times New Roman" w:cs="Times New Roman"/>
                <w:color w:val="000000"/>
                <w:spacing w:val="0"/>
                <w:w w:val="100"/>
                <w:position w:val="0"/>
                <w:shd w:val="clear" w:color="auto" w:fill="auto"/>
                <w:lang w:val="hr-HR" w:eastAsia="hr-HR" w:bidi="hr-HR"/>
              </w:rPr>
              <w:t>1941</w:t>
            </w:r>
          </w:p>
        </w:tc>
      </w:tr>
      <w:tr>
        <w:trPr>
          <w:trHeight w:val="42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HThG</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Handbuch thcologischcr </w:t>
            </w:r>
            <w:r>
              <w:rPr>
                <w:rFonts w:ascii="Times New Roman" w:eastAsia="Times New Roman" w:hAnsi="Times New Roman" w:cs="Times New Roman"/>
                <w:color w:val="000000"/>
                <w:spacing w:val="0"/>
                <w:w w:val="100"/>
                <w:position w:val="0"/>
                <w:shd w:val="clear" w:color="auto" w:fill="auto"/>
                <w:lang w:val="en-US" w:eastAsia="en-US" w:bidi="en-US"/>
              </w:rPr>
              <w:t xml:space="preserve">Grundbegriffe, </w:t>
            </w:r>
            <w:r>
              <w:rPr>
                <w:rFonts w:ascii="Times New Roman" w:eastAsia="Times New Roman" w:hAnsi="Times New Roman" w:cs="Times New Roman"/>
                <w:color w:val="000000"/>
                <w:spacing w:val="0"/>
                <w:w w:val="100"/>
                <w:position w:val="0"/>
                <w:shd w:val="clear" w:color="auto" w:fill="auto"/>
                <w:lang w:val="hr-HR" w:eastAsia="hr-HR" w:bidi="hr-HR"/>
              </w:rPr>
              <w:t xml:space="preserve">hrsg. </w:t>
            </w:r>
            <w:r>
              <w:rPr>
                <w:rFonts w:ascii="Times New Roman" w:eastAsia="Times New Roman" w:hAnsi="Times New Roman" w:cs="Times New Roman"/>
                <w:color w:val="000000"/>
                <w:spacing w:val="0"/>
                <w:w w:val="100"/>
                <w:position w:val="0"/>
                <w:shd w:val="clear" w:color="auto" w:fill="auto"/>
                <w:lang w:val="en-US" w:eastAsia="en-US" w:bidi="en-US"/>
              </w:rPr>
              <w:t xml:space="preserve">von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Fries, Miinchen 1962—63; Taschenbuch: dtv-wissenschaftlichc Rcihc 4056, 1970</w:t>
            </w:r>
          </w:p>
        </w:tc>
      </w:tr>
      <w:tr>
        <w:trPr>
          <w:trHeight w:val="226"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HUCA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Hebrew Union College Annual</w:t>
            </w:r>
          </w:p>
        </w:tc>
      </w:tr>
      <w:tr>
        <w:trPr>
          <w:trHeight w:val="437"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GS</w:t>
            </w:r>
          </w:p>
        </w:tc>
        <w:tc>
          <w:tcPr>
            <w:tcBorders/>
            <w:shd w:val="clear" w:color="auto" w:fill="FFFFFF"/>
            <w:vAlign w:val="bottom"/>
          </w:tcPr>
          <w:p>
            <w:pPr>
              <w:pStyle w:val="Style7"/>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Gaudium ct Spes </w:t>
            </w:r>
            <w:r>
              <w:rPr>
                <w:rFonts w:ascii="Times New Roman" w:eastAsia="Times New Roman" w:hAnsi="Times New Roman" w:cs="Times New Roman"/>
                <w:color w:val="000000"/>
                <w:spacing w:val="0"/>
                <w:w w:val="100"/>
                <w:position w:val="0"/>
                <w:shd w:val="clear" w:color="auto" w:fill="auto"/>
                <w:lang w:val="hr-HR" w:eastAsia="hr-HR" w:bidi="hr-HR"/>
              </w:rPr>
              <w:t>(Drugi vatikanski koncil: Pastoralna konstitucija o Crkvi u svijetu danas)</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LG</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Lumen </w:t>
            </w:r>
            <w:r>
              <w:rPr>
                <w:rFonts w:ascii="Times New Roman" w:eastAsia="Times New Roman" w:hAnsi="Times New Roman" w:cs="Times New Roman"/>
                <w:color w:val="000000"/>
                <w:spacing w:val="0"/>
                <w:w w:val="100"/>
                <w:position w:val="0"/>
                <w:shd w:val="clear" w:color="auto" w:fill="auto"/>
                <w:lang w:val="en-US" w:eastAsia="en-US" w:bidi="en-US"/>
              </w:rPr>
              <w:t xml:space="preserve">Gentium </w:t>
            </w:r>
            <w:r>
              <w:rPr>
                <w:rFonts w:ascii="Times New Roman" w:eastAsia="Times New Roman" w:hAnsi="Times New Roman" w:cs="Times New Roman"/>
                <w:color w:val="000000"/>
                <w:spacing w:val="0"/>
                <w:w w:val="100"/>
                <w:position w:val="0"/>
                <w:shd w:val="clear" w:color="auto" w:fill="auto"/>
                <w:lang w:val="hr-HR" w:eastAsia="hr-HR" w:bidi="hr-HR"/>
              </w:rPr>
              <w:t>(Drugi vatikanski koncil: Dogmatska konstitucija o Crkvi)</w:t>
            </w:r>
          </w:p>
        </w:tc>
      </w:tr>
      <w:tr>
        <w:trPr>
          <w:trHeight w:val="42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LThK</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Lcxikon fiir Thcologic und Kirchc, </w:t>
            </w:r>
            <w:r>
              <w:rPr>
                <w:rFonts w:ascii="Times New Roman" w:eastAsia="Times New Roman" w:hAnsi="Times New Roman" w:cs="Times New Roman"/>
                <w:color w:val="000000"/>
                <w:spacing w:val="0"/>
                <w:w w:val="100"/>
                <w:position w:val="0"/>
                <w:shd w:val="clear" w:color="auto" w:fill="auto"/>
                <w:lang w:val="hr-HR" w:eastAsia="hr-HR" w:bidi="hr-HR"/>
              </w:rPr>
              <w:t xml:space="preserve">hrsg. </w:t>
            </w:r>
            <w:r>
              <w:rPr>
                <w:rFonts w:ascii="Times New Roman" w:eastAsia="Times New Roman" w:hAnsi="Times New Roman" w:cs="Times New Roman"/>
                <w:color w:val="000000"/>
                <w:spacing w:val="0"/>
                <w:w w:val="100"/>
                <w:position w:val="0"/>
                <w:shd w:val="clear" w:color="auto" w:fill="auto"/>
                <w:lang w:val="en-US" w:eastAsia="en-US" w:bidi="en-US"/>
              </w:rPr>
              <w:t xml:space="preserve">von J. Hofer und </w:t>
            </w:r>
            <w:r>
              <w:rPr>
                <w:rFonts w:ascii="Times New Roman" w:eastAsia="Times New Roman" w:hAnsi="Times New Roman" w:cs="Times New Roman"/>
                <w:color w:val="000000"/>
                <w:spacing w:val="0"/>
                <w:w w:val="100"/>
                <w:position w:val="0"/>
                <w:shd w:val="clear" w:color="auto" w:fill="auto"/>
                <w:lang w:val="hr-HR" w:eastAsia="hr-HR" w:bidi="hr-HR"/>
              </w:rPr>
              <w:t xml:space="preserve">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1957 i dalje</w:t>
            </w:r>
          </w:p>
        </w:tc>
      </w:tr>
      <w:tr>
        <w:trPr>
          <w:trHeight w:val="20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MGWJ</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Monatsschrift fiir Geschichte </w:t>
            </w:r>
            <w:r>
              <w:rPr>
                <w:rFonts w:ascii="Times New Roman" w:eastAsia="Times New Roman" w:hAnsi="Times New Roman" w:cs="Times New Roman"/>
                <w:color w:val="000000"/>
                <w:spacing w:val="0"/>
                <w:w w:val="100"/>
                <w:position w:val="0"/>
                <w:shd w:val="clear" w:color="auto" w:fill="auto"/>
                <w:lang w:val="hr-HR" w:eastAsia="hr-HR" w:bidi="hr-HR"/>
              </w:rPr>
              <w:t xml:space="preserve">und </w:t>
            </w:r>
            <w:r>
              <w:rPr>
                <w:rFonts w:ascii="Times New Roman" w:eastAsia="Times New Roman" w:hAnsi="Times New Roman" w:cs="Times New Roman"/>
                <w:color w:val="000000"/>
                <w:spacing w:val="0"/>
                <w:w w:val="100"/>
                <w:position w:val="0"/>
                <w:shd w:val="clear" w:color="auto" w:fill="auto"/>
                <w:lang w:val="en-US" w:eastAsia="en-US" w:bidi="en-US"/>
              </w:rPr>
              <w:t>Wissenschaft des Judentums</w:t>
            </w:r>
          </w:p>
        </w:tc>
      </w:tr>
      <w:tr>
        <w:trPr>
          <w:trHeight w:val="427"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MS</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Mysterium Salutis. GrundriB hcilsgeschichtlicher Dogmatik, hrsg. von F. Feiner/M. Ldhrer, 1965 </w:t>
            </w:r>
            <w:r>
              <w:rPr>
                <w:rFonts w:ascii="Times New Roman" w:eastAsia="Times New Roman" w:hAnsi="Times New Roman" w:cs="Times New Roman"/>
                <w:color w:val="000000"/>
                <w:spacing w:val="0"/>
                <w:w w:val="100"/>
                <w:position w:val="0"/>
                <w:shd w:val="clear" w:color="auto" w:fill="auto"/>
                <w:lang w:val="hr-HR" w:eastAsia="hr-HR" w:bidi="hr-HR"/>
              </w:rPr>
              <w:t>i dalje</w:t>
            </w:r>
          </w:p>
        </w:tc>
      </w:tr>
      <w:tr>
        <w:trPr>
          <w:trHeight w:val="230"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Mys </w:t>
            </w:r>
            <w:r>
              <w:rPr>
                <w:rFonts w:ascii="Times New Roman" w:eastAsia="Times New Roman" w:hAnsi="Times New Roman" w:cs="Times New Roman"/>
                <w:color w:val="000000"/>
                <w:spacing w:val="0"/>
                <w:w w:val="100"/>
                <w:position w:val="0"/>
                <w:shd w:val="clear" w:color="auto" w:fill="auto"/>
                <w:lang w:val="hr-HR" w:eastAsia="hr-HR" w:bidi="hr-HR"/>
              </w:rPr>
              <w:t>Sal</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Mysterium Salutis = MS</w:t>
            </w:r>
          </w:p>
        </w:tc>
      </w:tr>
      <w:tr>
        <w:trPr>
          <w:trHeight w:val="21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MThZ</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Miinchncr Theologische Zeitschrift</w:t>
            </w:r>
          </w:p>
        </w:tc>
      </w:tr>
      <w:tr>
        <w:trPr>
          <w:trHeight w:val="427"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NA</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Nostra Actate </w:t>
            </w:r>
            <w:r>
              <w:rPr>
                <w:rFonts w:ascii="Times New Roman" w:eastAsia="Times New Roman" w:hAnsi="Times New Roman" w:cs="Times New Roman"/>
                <w:color w:val="000000"/>
                <w:spacing w:val="0"/>
                <w:w w:val="100"/>
                <w:position w:val="0"/>
                <w:shd w:val="clear" w:color="auto" w:fill="auto"/>
                <w:lang w:val="hr-HR" w:eastAsia="hr-HR" w:bidi="hr-HR"/>
              </w:rPr>
              <w:t>(Drugi vatikanski koncil: Objašnjenje o odnosu Crkve prema nekršćanskim religijama)</w:t>
            </w:r>
          </w:p>
        </w:tc>
      </w:tr>
      <w:tr>
        <w:trPr>
          <w:trHeight w:val="22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NT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Neues Testament (Novi zavjet)</w:t>
            </w:r>
          </w:p>
        </w:tc>
      </w:tr>
    </w:tbl>
    <w:p>
      <w:pPr>
        <w:sectPr>
          <w:headerReference w:type="default" r:id="rId21"/>
          <w:footerReference w:type="default" r:id="rId22"/>
          <w:headerReference w:type="even" r:id="rId23"/>
          <w:footerReference w:type="even" r:id="rId24"/>
          <w:footnotePr>
            <w:pos w:val="pageBottom"/>
            <w:numFmt w:val="decimal"/>
            <w:numStart w:val="5"/>
            <w:numRestart w:val="continuous"/>
            <w15:footnoteColumns w:val="1"/>
          </w:footnotePr>
          <w:pgSz w:w="7498" w:h="11040"/>
          <w:pgMar w:top="958" w:left="531" w:right="530" w:bottom="636" w:header="0" w:footer="3" w:gutter="0"/>
          <w:cols w:space="720"/>
          <w:noEndnote/>
          <w:rtlGutter w:val="0"/>
          <w:docGrid w:linePitch="360"/>
        </w:sectPr>
      </w:pPr>
    </w:p>
    <w:p>
      <w:pPr>
        <w:pStyle w:val="Style33"/>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nil. neutestamentlich </w:t>
      </w:r>
      <w:r>
        <w:rPr>
          <w:rFonts w:ascii="Times New Roman" w:eastAsia="Times New Roman" w:hAnsi="Times New Roman" w:cs="Times New Roman"/>
          <w:color w:val="000000"/>
          <w:spacing w:val="0"/>
          <w:w w:val="100"/>
          <w:position w:val="0"/>
          <w:shd w:val="clear" w:color="auto" w:fill="auto"/>
          <w:lang w:val="hr-HR" w:eastAsia="hr-HR" w:bidi="hr-HR"/>
        </w:rPr>
        <w:t>(novozavjetno)</w:t>
      </w:r>
    </w:p>
    <w:p>
      <w:pPr>
        <w:pStyle w:val="Style33"/>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RGG </w:t>
      </w:r>
      <w:r>
        <w:rPr>
          <w:rFonts w:ascii="Times New Roman" w:eastAsia="Times New Roman" w:hAnsi="Times New Roman" w:cs="Times New Roman"/>
          <w:color w:val="000000"/>
          <w:spacing w:val="0"/>
          <w:w w:val="100"/>
          <w:position w:val="0"/>
          <w:shd w:val="clear" w:color="auto" w:fill="auto"/>
          <w:lang w:val="en-US" w:eastAsia="en-US" w:bidi="en-US"/>
        </w:rPr>
        <w:t xml:space="preserve">Religion in Geschichtc und Gegenwart, Tubingen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3</w:t>
      </w:r>
      <w:r>
        <w:rPr>
          <w:rFonts w:ascii="Times New Roman" w:eastAsia="Times New Roman" w:hAnsi="Times New Roman" w:cs="Times New Roman"/>
          <w:color w:val="000000"/>
          <w:spacing w:val="0"/>
          <w:w w:val="100"/>
          <w:position w:val="0"/>
          <w:shd w:val="clear" w:color="auto" w:fill="auto"/>
          <w:lang w:val="en-US" w:eastAsia="en-US" w:bidi="en-US"/>
        </w:rPr>
        <w:t xml:space="preserve">1956 </w:t>
      </w:r>
      <w:r>
        <w:rPr>
          <w:rFonts w:ascii="Times New Roman" w:eastAsia="Times New Roman" w:hAnsi="Times New Roman" w:cs="Times New Roman"/>
          <w:color w:val="000000"/>
          <w:spacing w:val="0"/>
          <w:w w:val="100"/>
          <w:position w:val="0"/>
          <w:shd w:val="clear" w:color="auto" w:fill="auto"/>
          <w:lang w:val="hr-HR" w:eastAsia="hr-HR" w:bidi="hr-HR"/>
        </w:rPr>
        <w:t xml:space="preserve">i dalje </w:t>
      </w:r>
      <w:r>
        <w:rPr>
          <w:rFonts w:ascii="Times New Roman" w:eastAsia="Times New Roman" w:hAnsi="Times New Roman" w:cs="Times New Roman"/>
          <w:color w:val="000000"/>
          <w:spacing w:val="0"/>
          <w:w w:val="100"/>
          <w:position w:val="0"/>
          <w:shd w:val="clear" w:color="auto" w:fill="auto"/>
          <w:lang w:val="en-US" w:eastAsia="en-US" w:bidi="en-US"/>
        </w:rPr>
        <w:t xml:space="preserve">rhs Religionsunterricht an </w:t>
      </w:r>
      <w:r>
        <w:rPr>
          <w:rFonts w:ascii="Times New Roman" w:eastAsia="Times New Roman" w:hAnsi="Times New Roman" w:cs="Times New Roman"/>
          <w:color w:val="000000"/>
          <w:spacing w:val="0"/>
          <w:w w:val="100"/>
          <w:position w:val="0"/>
          <w:shd w:val="clear" w:color="auto" w:fill="auto"/>
          <w:lang w:val="hr-HR" w:eastAsia="hr-HR" w:bidi="hr-HR"/>
        </w:rPr>
        <w:t xml:space="preserve">hdheren </w:t>
      </w:r>
      <w:r>
        <w:rPr>
          <w:rFonts w:ascii="Times New Roman" w:eastAsia="Times New Roman" w:hAnsi="Times New Roman" w:cs="Times New Roman"/>
          <w:color w:val="000000"/>
          <w:spacing w:val="0"/>
          <w:w w:val="100"/>
          <w:position w:val="0"/>
          <w:shd w:val="clear" w:color="auto" w:fill="auto"/>
          <w:lang w:val="en-US" w:eastAsia="en-US" w:bidi="en-US"/>
        </w:rPr>
        <w:t xml:space="preserve">Schulen, </w:t>
      </w:r>
      <w:r>
        <w:rPr>
          <w:rFonts w:ascii="Times New Roman" w:eastAsia="Times New Roman" w:hAnsi="Times New Roman" w:cs="Times New Roman"/>
          <w:color w:val="000000"/>
          <w:spacing w:val="0"/>
          <w:w w:val="100"/>
          <w:position w:val="0"/>
          <w:shd w:val="clear" w:color="auto" w:fill="auto"/>
          <w:lang w:val="hr-HR" w:eastAsia="hr-HR" w:bidi="hr-HR"/>
        </w:rPr>
        <w:t xml:space="preserve">časopis, </w:t>
      </w:r>
      <w:r>
        <w:rPr>
          <w:rFonts w:ascii="Times New Roman" w:eastAsia="Times New Roman" w:hAnsi="Times New Roman" w:cs="Times New Roman"/>
          <w:color w:val="000000"/>
          <w:spacing w:val="0"/>
          <w:w w:val="100"/>
          <w:position w:val="0"/>
          <w:shd w:val="clear" w:color="auto" w:fill="auto"/>
          <w:lang w:val="en-US" w:eastAsia="en-US" w:bidi="en-US"/>
        </w:rPr>
        <w:t xml:space="preserve">Dusseldorf SM Sacramentum Mundi, 1967 </w:t>
      </w:r>
      <w:r>
        <w:rPr>
          <w:rFonts w:ascii="Times New Roman" w:eastAsia="Times New Roman" w:hAnsi="Times New Roman" w:cs="Times New Roman"/>
          <w:color w:val="000000"/>
          <w:spacing w:val="0"/>
          <w:w w:val="100"/>
          <w:position w:val="0"/>
          <w:shd w:val="clear" w:color="auto" w:fill="auto"/>
          <w:lang w:val="hr-HR" w:eastAsia="hr-HR" w:bidi="hr-HR"/>
        </w:rPr>
        <w:t>i dalje</w:t>
      </w:r>
    </w:p>
    <w:p>
      <w:pPr>
        <w:pStyle w:val="Style33"/>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St. d. Zt. Stimmen der Zeit, </w:t>
      </w:r>
      <w:r>
        <w:rPr>
          <w:rFonts w:ascii="Times New Roman" w:eastAsia="Times New Roman" w:hAnsi="Times New Roman" w:cs="Times New Roman"/>
          <w:color w:val="000000"/>
          <w:spacing w:val="0"/>
          <w:w w:val="100"/>
          <w:position w:val="0"/>
          <w:shd w:val="clear" w:color="auto" w:fill="auto"/>
          <w:lang w:val="hr-HR" w:eastAsia="hr-HR" w:bidi="hr-HR"/>
        </w:rPr>
        <w:t xml:space="preserve">časopis, </w:t>
      </w:r>
      <w:r>
        <w:rPr>
          <w:rFonts w:ascii="Times New Roman" w:eastAsia="Times New Roman" w:hAnsi="Times New Roman" w:cs="Times New Roman"/>
          <w:color w:val="000000"/>
          <w:spacing w:val="0"/>
          <w:w w:val="100"/>
          <w:position w:val="0"/>
          <w:shd w:val="clear" w:color="auto" w:fill="auto"/>
          <w:lang w:val="en-US" w:eastAsia="en-US" w:bidi="en-US"/>
        </w:rPr>
        <w:t xml:space="preserve">1871 </w:t>
      </w:r>
      <w:r>
        <w:rPr>
          <w:rFonts w:ascii="Times New Roman" w:eastAsia="Times New Roman" w:hAnsi="Times New Roman" w:cs="Times New Roman"/>
          <w:color w:val="000000"/>
          <w:spacing w:val="0"/>
          <w:w w:val="100"/>
          <w:position w:val="0"/>
          <w:shd w:val="clear" w:color="auto" w:fill="auto"/>
          <w:lang w:val="hr-HR" w:eastAsia="hr-HR" w:bidi="hr-HR"/>
        </w:rPr>
        <w:t>i dalje</w:t>
      </w:r>
    </w:p>
    <w:p>
      <w:pPr>
        <w:pStyle w:val="Style33"/>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TB Taschenbuch </w:t>
      </w:r>
      <w:r>
        <w:rPr>
          <w:rFonts w:ascii="Times New Roman" w:eastAsia="Times New Roman" w:hAnsi="Times New Roman" w:cs="Times New Roman"/>
          <w:color w:val="000000"/>
          <w:spacing w:val="0"/>
          <w:w w:val="100"/>
          <w:position w:val="0"/>
          <w:shd w:val="clear" w:color="auto" w:fill="auto"/>
          <w:lang w:val="hr-HR" w:eastAsia="hr-HR" w:bidi="hr-HR"/>
        </w:rPr>
        <w:t>(džepna knjiga, džepno izdanje)</w:t>
      </w:r>
    </w:p>
    <w:p>
      <w:pPr>
        <w:pStyle w:val="Style33"/>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Th WAT Theologisches Worterbuch zum AT, 1973 </w:t>
      </w:r>
      <w:r>
        <w:rPr>
          <w:rFonts w:ascii="Times New Roman" w:eastAsia="Times New Roman" w:hAnsi="Times New Roman" w:cs="Times New Roman"/>
          <w:color w:val="000000"/>
          <w:spacing w:val="0"/>
          <w:w w:val="100"/>
          <w:position w:val="0"/>
          <w:shd w:val="clear" w:color="auto" w:fill="auto"/>
          <w:lang w:val="hr-HR" w:eastAsia="hr-HR" w:bidi="hr-HR"/>
        </w:rPr>
        <w:t xml:space="preserve">i dalje </w:t>
      </w:r>
      <w:r>
        <w:rPr>
          <w:rFonts w:ascii="Times New Roman" w:eastAsia="Times New Roman" w:hAnsi="Times New Roman" w:cs="Times New Roman"/>
          <w:color w:val="000000"/>
          <w:spacing w:val="0"/>
          <w:w w:val="100"/>
          <w:position w:val="0"/>
          <w:shd w:val="clear" w:color="auto" w:fill="auto"/>
          <w:lang w:val="en-US" w:eastAsia="en-US" w:bidi="en-US"/>
        </w:rPr>
        <w:t xml:space="preserve">ThWNT Theologisches Worterbuch zum NT, 1933 </w:t>
      </w:r>
      <w:r>
        <w:rPr>
          <w:rFonts w:ascii="Times New Roman" w:eastAsia="Times New Roman" w:hAnsi="Times New Roman" w:cs="Times New Roman"/>
          <w:color w:val="000000"/>
          <w:spacing w:val="0"/>
          <w:w w:val="100"/>
          <w:position w:val="0"/>
          <w:shd w:val="clear" w:color="auto" w:fill="auto"/>
          <w:lang w:val="hr-HR" w:eastAsia="hr-HR" w:bidi="hr-HR"/>
        </w:rPr>
        <w:t>i dalje</w:t>
      </w:r>
    </w:p>
    <w:p>
      <w:pPr>
        <w:pStyle w:val="Style33"/>
        <w:keepNext w:val="0"/>
        <w:keepLines w:val="0"/>
        <w:widowControl w:val="0"/>
        <w:shd w:val="clear" w:color="auto" w:fill="auto"/>
        <w:bidi w:val="0"/>
        <w:spacing w:before="0" w:after="0" w:line="276"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ThW Theologisches Worterbuch zum NT, 1933 </w:t>
      </w:r>
      <w:r>
        <w:rPr>
          <w:rFonts w:ascii="Times New Roman" w:eastAsia="Times New Roman" w:hAnsi="Times New Roman" w:cs="Times New Roman"/>
          <w:color w:val="000000"/>
          <w:spacing w:val="0"/>
          <w:w w:val="100"/>
          <w:position w:val="0"/>
          <w:shd w:val="clear" w:color="auto" w:fill="auto"/>
          <w:lang w:val="hr-HR" w:eastAsia="hr-HR" w:bidi="hr-HR"/>
        </w:rPr>
        <w:t xml:space="preserve">i dalje </w:t>
      </w:r>
      <w:r>
        <w:rPr>
          <w:rFonts w:ascii="Times New Roman" w:eastAsia="Times New Roman" w:hAnsi="Times New Roman" w:cs="Times New Roman"/>
          <w:color w:val="000000"/>
          <w:spacing w:val="0"/>
          <w:w w:val="100"/>
          <w:position w:val="0"/>
          <w:shd w:val="clear" w:color="auto" w:fill="auto"/>
          <w:lang w:val="en-US" w:eastAsia="en-US" w:bidi="en-US"/>
        </w:rPr>
        <w:t xml:space="preserve">(= ThWNT) TRE Theologische Realenzykloptidie, 1977 </w:t>
      </w:r>
      <w:r>
        <w:rPr>
          <w:rFonts w:ascii="Times New Roman" w:eastAsia="Times New Roman" w:hAnsi="Times New Roman" w:cs="Times New Roman"/>
          <w:color w:val="000000"/>
          <w:spacing w:val="0"/>
          <w:w w:val="100"/>
          <w:position w:val="0"/>
          <w:shd w:val="clear" w:color="auto" w:fill="auto"/>
          <w:lang w:val="hr-HR" w:eastAsia="hr-HR" w:bidi="hr-HR"/>
        </w:rPr>
        <w:t>i dalje</w:t>
      </w:r>
    </w:p>
    <w:p>
      <w:pPr>
        <w:pStyle w:val="Style33"/>
        <w:keepNext w:val="0"/>
        <w:keepLines w:val="0"/>
        <w:widowControl w:val="0"/>
        <w:shd w:val="clear" w:color="auto" w:fill="auto"/>
        <w:bidi w:val="0"/>
        <w:spacing w:before="0" w:after="0" w:line="276" w:lineRule="auto"/>
        <w:ind w:left="0" w:right="0" w:firstLine="0"/>
        <w:jc w:val="left"/>
        <w:sectPr>
          <w:footnotePr>
            <w:pos w:val="pageBottom"/>
            <w:numFmt w:val="decimal"/>
            <w:numStart w:val="5"/>
            <w:numRestart w:val="continuous"/>
            <w15:footnoteColumns w:val="1"/>
          </w:footnotePr>
          <w:pgSz w:w="5702" w:h="10944"/>
          <w:pgMar w:top="950" w:left="144" w:right="139" w:bottom="950" w:header="0"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TThZ Trierer Theologische Zcitschrift, 1888 </w:t>
      </w:r>
      <w:r>
        <w:rPr>
          <w:rFonts w:ascii="Times New Roman" w:eastAsia="Times New Roman" w:hAnsi="Times New Roman" w:cs="Times New Roman"/>
          <w:color w:val="000000"/>
          <w:spacing w:val="0"/>
          <w:w w:val="100"/>
          <w:position w:val="0"/>
          <w:shd w:val="clear" w:color="auto" w:fill="auto"/>
          <w:lang w:val="hr-HR" w:eastAsia="hr-HR" w:bidi="hr-HR"/>
        </w:rPr>
        <w:t>i dalje</w:t>
      </w:r>
    </w:p>
    <w:p>
      <w:pPr>
        <w:pStyle w:val="Style46"/>
        <w:keepNext/>
        <w:keepLines/>
        <w:widowControl w:val="0"/>
        <w:shd w:val="clear" w:color="auto" w:fill="auto"/>
        <w:bidi w:val="0"/>
        <w:spacing w:before="0" w:after="540" w:line="240" w:lineRule="auto"/>
        <w:ind w:left="0" w:right="0" w:firstLine="0"/>
        <w:jc w:val="center"/>
      </w:pPr>
      <w:bookmarkStart w:id="16" w:name="bookmark16"/>
      <w:r>
        <w:rPr>
          <w:rFonts w:ascii="Times New Roman" w:eastAsia="Times New Roman" w:hAnsi="Times New Roman" w:cs="Times New Roman"/>
          <w:color w:val="000000"/>
          <w:spacing w:val="0"/>
          <w:w w:val="100"/>
          <w:position w:val="0"/>
          <w:sz w:val="24"/>
          <w:szCs w:val="24"/>
          <w:shd w:val="clear" w:color="auto" w:fill="auto"/>
          <w:lang w:val="hr-HR" w:eastAsia="hr-HR" w:bidi="hr-HR"/>
        </w:rPr>
        <w:t>POPIS SURADNIKA</w:t>
      </w:r>
      <w:bookmarkEnd w:id="16"/>
    </w:p>
    <w:p>
      <w:pPr>
        <w:pStyle w:val="Style33"/>
        <w:keepNext w:val="0"/>
        <w:keepLines w:val="0"/>
        <w:widowControl w:val="0"/>
        <w:shd w:val="clear" w:color="auto" w:fill="auto"/>
        <w:bidi w:val="0"/>
        <w:spacing w:before="0" w:after="20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Židovstvo</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 xml:space="preserve">R. </w:t>
      </w:r>
      <w:r>
        <w:rPr>
          <w:rFonts w:ascii="Times New Roman" w:eastAsia="Times New Roman" w:hAnsi="Times New Roman" w:cs="Times New Roman"/>
          <w:color w:val="000000"/>
          <w:spacing w:val="0"/>
          <w:w w:val="100"/>
          <w:position w:val="0"/>
          <w:shd w:val="clear" w:color="auto" w:fill="auto"/>
          <w:lang w:val="en-US" w:eastAsia="en-US" w:bidi="en-US"/>
        </w:rPr>
        <w:t xml:space="preserve">GRADWOHL: </w:t>
      </w:r>
      <w:r>
        <w:rPr>
          <w:rFonts w:ascii="Times New Roman" w:eastAsia="Times New Roman" w:hAnsi="Times New Roman" w:cs="Times New Roman"/>
          <w:color w:val="000000"/>
          <w:spacing w:val="0"/>
          <w:w w:val="100"/>
          <w:position w:val="0"/>
          <w:shd w:val="clear" w:color="auto" w:fill="auto"/>
          <w:lang w:val="hr-HR" w:eastAsia="hr-HR" w:bidi="hr-HR"/>
        </w:rPr>
        <w:t>anđeli, eshatologija</w:t>
      </w:r>
    </w:p>
    <w:p>
      <w:pPr>
        <w:pStyle w:val="Style33"/>
        <w:keepNext w:val="0"/>
        <w:keepLines w:val="0"/>
        <w:widowControl w:val="0"/>
        <w:shd w:val="clear" w:color="auto" w:fill="auto"/>
        <w:bidi w:val="0"/>
        <w:spacing w:before="0" w:after="0" w:line="240"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P. </w:t>
      </w:r>
      <w:r>
        <w:rPr>
          <w:rFonts w:ascii="Times New Roman" w:eastAsia="Times New Roman" w:hAnsi="Times New Roman" w:cs="Times New Roman"/>
          <w:smallCaps/>
          <w:color w:val="000000"/>
          <w:spacing w:val="0"/>
          <w:w w:val="100"/>
          <w:position w:val="0"/>
          <w:shd w:val="clear" w:color="auto" w:fill="auto"/>
          <w:lang w:val="en-US" w:eastAsia="en-US" w:bidi="en-US"/>
        </w:rPr>
        <w:t>Nave</w:t>
      </w:r>
      <w:r>
        <w:rPr>
          <w:rFonts w:ascii="Times New Roman" w:eastAsia="Times New Roman" w:hAnsi="Times New Roman" w:cs="Times New Roman"/>
          <w:color w:val="000000"/>
          <w:spacing w:val="0"/>
          <w:w w:val="100"/>
          <w:position w:val="0"/>
          <w:shd w:val="clear" w:color="auto" w:fill="auto"/>
          <w:lang w:val="en-US" w:eastAsia="en-US" w:bidi="en-US"/>
        </w:rPr>
        <w:t xml:space="preserve"> LEVINSON: Abraham, apokaliptika, apologetika, </w:t>
      </w:r>
      <w:r>
        <w:rPr>
          <w:rFonts w:ascii="Times New Roman" w:eastAsia="Times New Roman" w:hAnsi="Times New Roman" w:cs="Times New Roman"/>
          <w:color w:val="000000"/>
          <w:spacing w:val="0"/>
          <w:w w:val="100"/>
          <w:position w:val="0"/>
          <w:shd w:val="clear" w:color="auto" w:fill="auto"/>
          <w:lang w:val="hr-HR" w:eastAsia="hr-HR" w:bidi="hr-HR"/>
        </w:rPr>
        <w:t>apostoli, askeza, ateizam, dijalog, karizma, krv, praznovjerje, prosvjetiteljstvo, rad, Savez, slika, služba, uskrsnuće, zlo, žena</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 M. </w:t>
      </w:r>
      <w:r>
        <w:rPr>
          <w:rFonts w:ascii="Times New Roman" w:eastAsia="Times New Roman" w:hAnsi="Times New Roman" w:cs="Times New Roman"/>
          <w:color w:val="000000"/>
          <w:spacing w:val="0"/>
          <w:w w:val="100"/>
          <w:position w:val="0"/>
          <w:shd w:val="clear" w:color="auto" w:fill="auto"/>
          <w:lang w:val="en-US" w:eastAsia="en-US" w:bidi="en-US"/>
        </w:rPr>
        <w:t xml:space="preserve">YDIT: </w:t>
      </w:r>
      <w:r>
        <w:rPr>
          <w:rFonts w:ascii="Times New Roman" w:eastAsia="Times New Roman" w:hAnsi="Times New Roman" w:cs="Times New Roman"/>
          <w:color w:val="000000"/>
          <w:spacing w:val="0"/>
          <w:w w:val="100"/>
          <w:position w:val="0"/>
          <w:shd w:val="clear" w:color="auto" w:fill="auto"/>
          <w:lang w:val="hr-HR" w:eastAsia="hr-HR" w:bidi="hr-HR"/>
        </w:rPr>
        <w:t>gostoprimstvo</w:t>
      </w:r>
    </w:p>
    <w:p>
      <w:pPr>
        <w:pStyle w:val="Style33"/>
        <w:keepNext w:val="0"/>
        <w:keepLines w:val="0"/>
        <w:widowControl w:val="0"/>
        <w:shd w:val="clear" w:color="auto" w:fill="auto"/>
        <w:bidi w:val="0"/>
        <w:spacing w:before="0" w:after="540" w:line="252"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en-US" w:eastAsia="en-US" w:bidi="en-US"/>
        </w:rPr>
        <w:t xml:space="preserve">VETTER: </w:t>
      </w:r>
      <w:r>
        <w:rPr>
          <w:rFonts w:ascii="Times New Roman" w:eastAsia="Times New Roman" w:hAnsi="Times New Roman" w:cs="Times New Roman"/>
          <w:color w:val="000000"/>
          <w:spacing w:val="0"/>
          <w:w w:val="100"/>
          <w:position w:val="0"/>
          <w:shd w:val="clear" w:color="auto" w:fill="auto"/>
          <w:lang w:val="hr-HR" w:eastAsia="hr-HR" w:bidi="hr-HR"/>
        </w:rPr>
        <w:t xml:space="preserve">svi drugi prilozi. </w:t>
      </w:r>
      <w:r>
        <w:rPr>
          <w:rFonts w:ascii="Times New Roman" w:eastAsia="Times New Roman" w:hAnsi="Times New Roman" w:cs="Times New Roman"/>
          <w:i/>
          <w:iCs/>
          <w:color w:val="000000"/>
          <w:spacing w:val="0"/>
          <w:w w:val="100"/>
          <w:position w:val="0"/>
          <w:shd w:val="clear" w:color="auto" w:fill="auto"/>
          <w:lang w:val="hr-HR" w:eastAsia="hr-HR" w:bidi="hr-HR"/>
        </w:rPr>
        <w:t>Uvod u židovstvo</w:t>
      </w:r>
      <w:r>
        <w:rPr>
          <w:rFonts w:ascii="Times New Roman" w:eastAsia="Times New Roman" w:hAnsi="Times New Roman" w:cs="Times New Roman"/>
          <w:color w:val="000000"/>
          <w:spacing w:val="0"/>
          <w:w w:val="100"/>
          <w:position w:val="0"/>
          <w:shd w:val="clear" w:color="auto" w:fill="auto"/>
          <w:lang w:val="hr-HR" w:eastAsia="hr-HR" w:bidi="hr-HR"/>
        </w:rPr>
        <w:t xml:space="preserve"> s bibliografijom</w:t>
      </w:r>
    </w:p>
    <w:p>
      <w:pPr>
        <w:pStyle w:val="Style33"/>
        <w:keepNext w:val="0"/>
        <w:keepLines w:val="0"/>
        <w:widowControl w:val="0"/>
        <w:shd w:val="clear" w:color="auto" w:fill="auto"/>
        <w:bidi w:val="0"/>
        <w:spacing w:before="0" w:after="16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Kršćanstvo</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F. COURTH: Trojstvo</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smallCaps/>
          <w:color w:val="000000"/>
          <w:spacing w:val="0"/>
          <w:w w:val="100"/>
          <w:position w:val="0"/>
          <w:shd w:val="clear" w:color="auto" w:fill="auto"/>
          <w:lang w:val="en-US" w:eastAsia="en-US" w:bidi="en-US"/>
        </w:rPr>
        <w:t>Prof. dr.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J. </w:t>
      </w:r>
      <w:r>
        <w:rPr>
          <w:rFonts w:ascii="Times New Roman" w:eastAsia="Times New Roman" w:hAnsi="Times New Roman" w:cs="Times New Roman"/>
          <w:smallCaps/>
          <w:color w:val="000000"/>
          <w:spacing w:val="0"/>
          <w:w w:val="100"/>
          <w:position w:val="0"/>
          <w:shd w:val="clear" w:color="auto" w:fill="auto"/>
          <w:lang w:val="hr-HR" w:eastAsia="hr-HR" w:bidi="hr-HR"/>
        </w:rPr>
        <w:t>DOrmann:</w:t>
      </w:r>
      <w:r>
        <w:rPr>
          <w:rFonts w:ascii="Times New Roman" w:eastAsia="Times New Roman" w:hAnsi="Times New Roman" w:cs="Times New Roman"/>
          <w:color w:val="000000"/>
          <w:spacing w:val="0"/>
          <w:w w:val="100"/>
          <w:position w:val="0"/>
          <w:shd w:val="clear" w:color="auto" w:fill="auto"/>
          <w:lang w:val="hr-HR" w:eastAsia="hr-HR" w:bidi="hr-HR"/>
        </w:rPr>
        <w:t xml:space="preserve"> misija</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smallCaps/>
          <w:color w:val="000000"/>
          <w:spacing w:val="0"/>
          <w:w w:val="100"/>
          <w:position w:val="0"/>
          <w:shd w:val="clear" w:color="auto" w:fill="auto"/>
          <w:lang w:val="en-US" w:eastAsia="en-US" w:bidi="en-US"/>
        </w:rPr>
        <w:t>Prof. dr.</w:t>
      </w:r>
      <w:r>
        <w:rPr>
          <w:rFonts w:ascii="Times New Roman" w:eastAsia="Times New Roman" w:hAnsi="Times New Roman" w:cs="Times New Roman"/>
          <w:color w:val="000000"/>
          <w:spacing w:val="0"/>
          <w:w w:val="100"/>
          <w:position w:val="0"/>
          <w:shd w:val="clear" w:color="auto" w:fill="auto"/>
          <w:lang w:val="en-US" w:eastAsia="en-US" w:bidi="en-US"/>
        </w:rPr>
        <w:t xml:space="preserve"> P. </w:t>
      </w:r>
      <w:r>
        <w:rPr>
          <w:rFonts w:ascii="Times New Roman" w:eastAsia="Times New Roman" w:hAnsi="Times New Roman" w:cs="Times New Roman"/>
          <w:smallCaps/>
          <w:color w:val="000000"/>
          <w:spacing w:val="0"/>
          <w:w w:val="100"/>
          <w:position w:val="0"/>
          <w:shd w:val="clear" w:color="auto" w:fill="auto"/>
          <w:lang w:val="en-US" w:eastAsia="en-US" w:bidi="en-US"/>
        </w:rPr>
        <w:t>Eisenkopf:</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tradicija</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DR. G. EVERS: Abraham, </w:t>
      </w:r>
      <w:r>
        <w:rPr>
          <w:rFonts w:ascii="Times New Roman" w:eastAsia="Times New Roman" w:hAnsi="Times New Roman" w:cs="Times New Roman"/>
          <w:color w:val="000000"/>
          <w:spacing w:val="0"/>
          <w:w w:val="100"/>
          <w:position w:val="0"/>
          <w:shd w:val="clear" w:color="auto" w:fill="auto"/>
          <w:lang w:val="hr-HR" w:eastAsia="hr-HR" w:bidi="hr-HR"/>
        </w:rPr>
        <w:t xml:space="preserve">anđeo, antisemitizam, </w:t>
      </w:r>
      <w:r>
        <w:rPr>
          <w:rFonts w:ascii="Times New Roman" w:eastAsia="Times New Roman" w:hAnsi="Times New Roman" w:cs="Times New Roman"/>
          <w:color w:val="000000"/>
          <w:spacing w:val="0"/>
          <w:w w:val="100"/>
          <w:position w:val="0"/>
          <w:shd w:val="clear" w:color="auto" w:fill="auto"/>
          <w:lang w:val="en-US" w:eastAsia="en-US" w:bidi="en-US"/>
        </w:rPr>
        <w:t xml:space="preserve">apokaliptika, apologetika, </w:t>
      </w:r>
      <w:r>
        <w:rPr>
          <w:rFonts w:ascii="Times New Roman" w:eastAsia="Times New Roman" w:hAnsi="Times New Roman" w:cs="Times New Roman"/>
          <w:color w:val="000000"/>
          <w:spacing w:val="0"/>
          <w:w w:val="100"/>
          <w:position w:val="0"/>
          <w:shd w:val="clear" w:color="auto" w:fill="auto"/>
          <w:lang w:val="hr-HR" w:eastAsia="hr-HR" w:bidi="hr-HR"/>
        </w:rPr>
        <w:t>apostoli, askeza, ateizam, dijalog, dijaspora, eshatologija, izabranost, praznovjerje, prosvje</w:t>
        <w:softHyphen/>
        <w:t>titeljstvo, rad, Savez, slika, služba, Stari zavjet, zlo</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 xml:space="preserve">H.-J. </w:t>
      </w:r>
      <w:r>
        <w:rPr>
          <w:rFonts w:ascii="Times New Roman" w:eastAsia="Times New Roman" w:hAnsi="Times New Roman" w:cs="Times New Roman"/>
          <w:smallCaps/>
          <w:color w:val="000000"/>
          <w:spacing w:val="0"/>
          <w:w w:val="100"/>
          <w:position w:val="0"/>
          <w:shd w:val="clear" w:color="auto" w:fill="auto"/>
          <w:lang w:val="hr-HR" w:eastAsia="hr-HR" w:bidi="hr-HR"/>
        </w:rPr>
        <w:t>Findeis:</w:t>
      </w:r>
      <w:r>
        <w:rPr>
          <w:rFonts w:ascii="Times New Roman" w:eastAsia="Times New Roman" w:hAnsi="Times New Roman" w:cs="Times New Roman"/>
          <w:color w:val="000000"/>
          <w:spacing w:val="0"/>
          <w:w w:val="100"/>
          <w:position w:val="0"/>
          <w:shd w:val="clear" w:color="auto" w:fill="auto"/>
          <w:lang w:val="hr-HR" w:eastAsia="hr-HR" w:bidi="hr-HR"/>
        </w:rPr>
        <w:t xml:space="preserve"> gnoza, kanon, Novi zavjet, uskrsnuće</w:t>
      </w:r>
    </w:p>
    <w:p>
      <w:pPr>
        <w:pStyle w:val="Style33"/>
        <w:keepNext w:val="0"/>
        <w:keepLines w:val="0"/>
        <w:widowControl w:val="0"/>
        <w:shd w:val="clear" w:color="auto" w:fill="auto"/>
        <w:bidi w:val="0"/>
        <w:spacing w:before="0" w:after="0" w:line="254" w:lineRule="auto"/>
        <w:ind w:left="380" w:right="0" w:hanging="380"/>
        <w:jc w:val="both"/>
      </w:pPr>
      <w:r>
        <w:rPr>
          <w:rFonts w:ascii="Times New Roman" w:eastAsia="Times New Roman" w:hAnsi="Times New Roman" w:cs="Times New Roman"/>
          <w:smallCaps/>
          <w:color w:val="000000"/>
          <w:spacing w:val="0"/>
          <w:w w:val="100"/>
          <w:position w:val="0"/>
          <w:shd w:val="clear" w:color="auto" w:fill="auto"/>
          <w:lang w:val="en-US" w:eastAsia="en-US" w:bidi="en-US"/>
        </w:rPr>
        <w:t>Dr.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R. GlNTERS: dobro, ljubav, ljubav prema bližnjem, ljudska prava, moral, nada, na</w:t>
        <w:softHyphen/>
        <w:t>silje, pravednost, pravo, priroda/ekologija, rat, sloboda, univerzalizam, vrlina, za</w:t>
        <w:softHyphen/>
        <w:t>povijed</w:t>
      </w:r>
    </w:p>
    <w:p>
      <w:pPr>
        <w:pStyle w:val="Style33"/>
        <w:keepNext w:val="0"/>
        <w:keepLines w:val="0"/>
        <w:widowControl w:val="0"/>
        <w:shd w:val="clear" w:color="auto" w:fill="auto"/>
        <w:bidi w:val="0"/>
        <w:spacing w:before="0" w:after="0" w:line="240" w:lineRule="auto"/>
        <w:ind w:left="380" w:right="0" w:hanging="380"/>
        <w:jc w:val="both"/>
      </w:pPr>
      <w:r>
        <w:rPr>
          <w:rFonts w:ascii="Times New Roman" w:eastAsia="Times New Roman" w:hAnsi="Times New Roman" w:cs="Times New Roman"/>
          <w:color w:val="000000"/>
          <w:spacing w:val="0"/>
          <w:w w:val="100"/>
          <w:position w:val="0"/>
          <w:shd w:val="clear" w:color="auto" w:fill="auto"/>
          <w:lang w:val="hr-HR" w:eastAsia="hr-HR" w:bidi="hr-HR"/>
        </w:rPr>
        <w:t>G. GlRSCHEK: budućnost, čovjek, čudo, krv, mir, obećanje, povijest spasenja, spolnost, stvaranje, svjedočanstvo, vlasništvo, zakoni prehrane, zavjet, židovstvo</w:t>
      </w:r>
    </w:p>
    <w:p>
      <w:pPr>
        <w:pStyle w:val="Style33"/>
        <w:keepNext w:val="0"/>
        <w:keepLines w:val="0"/>
        <w:widowControl w:val="0"/>
        <w:shd w:val="clear" w:color="auto" w:fill="auto"/>
        <w:bidi w:val="0"/>
        <w:spacing w:before="0" w:after="0" w:line="252"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R. GLEI: država, duša, filozofija, materijalizam, politika, prorok, racionalizam</w:t>
      </w:r>
    </w:p>
    <w:p>
      <w:pPr>
        <w:pStyle w:val="Style33"/>
        <w:keepNext w:val="0"/>
        <w:keepLines w:val="0"/>
        <w:widowControl w:val="0"/>
        <w:shd w:val="clear" w:color="auto" w:fill="auto"/>
        <w:bidi w:val="0"/>
        <w:spacing w:before="0" w:after="0" w:line="283"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L. HAGEMANN: crkva, ekumena, inspiracija, istočni grijeh, Isus Krist, Ma</w:t>
        <w:softHyphen/>
        <w:t xml:space="preserve">rija, Mesija, mučeništvo, nebo, pakao, sud. </w:t>
      </w:r>
      <w:r>
        <w:rPr>
          <w:rFonts w:ascii="Times New Roman" w:eastAsia="Times New Roman" w:hAnsi="Times New Roman" w:cs="Times New Roman"/>
          <w:i/>
          <w:iCs/>
          <w:color w:val="000000"/>
          <w:spacing w:val="0"/>
          <w:w w:val="100"/>
          <w:position w:val="0"/>
          <w:shd w:val="clear" w:color="auto" w:fill="auto"/>
          <w:lang w:val="hr-HR" w:eastAsia="hr-HR" w:bidi="hr-HR"/>
        </w:rPr>
        <w:t>Uvod u kršćanstvo</w:t>
      </w:r>
      <w:r>
        <w:rPr>
          <w:rFonts w:ascii="Times New Roman" w:eastAsia="Times New Roman" w:hAnsi="Times New Roman" w:cs="Times New Roman"/>
          <w:color w:val="000000"/>
          <w:spacing w:val="0"/>
          <w:w w:val="100"/>
          <w:position w:val="0"/>
          <w:shd w:val="clear" w:color="auto" w:fill="auto"/>
          <w:lang w:val="hr-HR" w:eastAsia="hr-HR" w:bidi="hr-HR"/>
        </w:rPr>
        <w:t xml:space="preserve"> s bibliografijom </w:t>
      </w: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 xml:space="preserve">HAUSER: </w:t>
      </w:r>
      <w:r>
        <w:rPr>
          <w:rFonts w:ascii="Times New Roman" w:eastAsia="Times New Roman" w:hAnsi="Times New Roman" w:cs="Times New Roman"/>
          <w:color w:val="000000"/>
          <w:spacing w:val="0"/>
          <w:w w:val="100"/>
          <w:position w:val="0"/>
          <w:shd w:val="clear" w:color="auto" w:fill="auto"/>
          <w:lang w:val="hr-HR" w:eastAsia="hr-HR" w:bidi="hr-HR"/>
        </w:rPr>
        <w:t>egzegeza, hram, opravdanje</w:t>
      </w:r>
    </w:p>
    <w:p>
      <w:pPr>
        <w:pStyle w:val="Style33"/>
        <w:keepNext w:val="0"/>
        <w:keepLines w:val="0"/>
        <w:widowControl w:val="0"/>
        <w:shd w:val="clear" w:color="auto" w:fill="auto"/>
        <w:bidi w:val="0"/>
        <w:spacing w:before="0" w:after="0" w:line="28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 </w:t>
      </w:r>
      <w:r>
        <w:rPr>
          <w:rFonts w:ascii="Times New Roman" w:eastAsia="Times New Roman" w:hAnsi="Times New Roman" w:cs="Times New Roman"/>
          <w:color w:val="000000"/>
          <w:spacing w:val="0"/>
          <w:w w:val="100"/>
          <w:position w:val="0"/>
          <w:shd w:val="clear" w:color="auto" w:fill="auto"/>
          <w:lang w:val="en-US" w:eastAsia="en-US" w:bidi="en-US"/>
        </w:rPr>
        <w:t xml:space="preserve">HEYEN: </w:t>
      </w:r>
      <w:r>
        <w:rPr>
          <w:rFonts w:ascii="Times New Roman" w:eastAsia="Times New Roman" w:hAnsi="Times New Roman" w:cs="Times New Roman"/>
          <w:color w:val="000000"/>
          <w:spacing w:val="0"/>
          <w:w w:val="100"/>
          <w:position w:val="0"/>
          <w:shd w:val="clear" w:color="auto" w:fill="auto"/>
          <w:lang w:val="hr-HR" w:eastAsia="hr-HR" w:bidi="hr-HR"/>
        </w:rPr>
        <w:t>duhovnost, providnost, riječ Božja</w:t>
      </w:r>
    </w:p>
    <w:p>
      <w:pPr>
        <w:pStyle w:val="Style33"/>
        <w:keepNext w:val="0"/>
        <w:keepLines w:val="0"/>
        <w:widowControl w:val="0"/>
        <w:shd w:val="clear" w:color="auto" w:fill="auto"/>
        <w:bidi w:val="0"/>
        <w:spacing w:before="0" w:after="0" w:line="240" w:lineRule="auto"/>
        <w:ind w:left="380" w:right="0" w:hanging="38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PROF. DR. A. </w:t>
      </w:r>
      <w:r>
        <w:rPr>
          <w:rFonts w:ascii="Times New Roman" w:eastAsia="Times New Roman" w:hAnsi="Times New Roman" w:cs="Times New Roman"/>
          <w:smallCaps/>
          <w:color w:val="000000"/>
          <w:spacing w:val="0"/>
          <w:w w:val="100"/>
          <w:position w:val="0"/>
          <w:shd w:val="clear" w:color="auto" w:fill="auto"/>
          <w:lang w:val="en-US" w:eastAsia="en-US" w:bidi="en-US"/>
        </w:rPr>
        <w:t>Th.</w:t>
      </w:r>
      <w:r>
        <w:rPr>
          <w:rFonts w:ascii="Times New Roman" w:eastAsia="Times New Roman" w:hAnsi="Times New Roman" w:cs="Times New Roman"/>
          <w:color w:val="000000"/>
          <w:spacing w:val="0"/>
          <w:w w:val="100"/>
          <w:position w:val="0"/>
          <w:shd w:val="clear" w:color="auto" w:fill="auto"/>
          <w:lang w:val="en-US" w:eastAsia="en-US" w:bidi="en-US"/>
        </w:rPr>
        <w:t xml:space="preserve"> KHOURY: </w:t>
      </w:r>
      <w:r>
        <w:rPr>
          <w:rFonts w:ascii="Times New Roman" w:eastAsia="Times New Roman" w:hAnsi="Times New Roman" w:cs="Times New Roman"/>
          <w:color w:val="000000"/>
          <w:spacing w:val="0"/>
          <w:w w:val="100"/>
          <w:position w:val="0"/>
          <w:shd w:val="clear" w:color="auto" w:fill="auto"/>
          <w:lang w:val="hr-HR" w:eastAsia="hr-HR" w:bidi="hr-HR"/>
        </w:rPr>
        <w:t>dobrobit, hereza, Mojsije, ortodoksija, predestinacija, teokracija, zemlja (sveta)</w:t>
      </w:r>
    </w:p>
    <w:p>
      <w:pPr>
        <w:pStyle w:val="Style33"/>
        <w:keepNext w:val="0"/>
        <w:keepLines w:val="0"/>
        <w:widowControl w:val="0"/>
        <w:shd w:val="clear" w:color="auto" w:fill="auto"/>
        <w:bidi w:val="0"/>
        <w:spacing w:before="0" w:after="0" w:line="252"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DR. JOHN </w:t>
      </w:r>
      <w:r>
        <w:rPr>
          <w:rFonts w:ascii="Times New Roman" w:eastAsia="Times New Roman" w:hAnsi="Times New Roman" w:cs="Times New Roman"/>
          <w:smallCaps/>
          <w:color w:val="000000"/>
          <w:spacing w:val="0"/>
          <w:w w:val="100"/>
          <w:position w:val="0"/>
          <w:shd w:val="clear" w:color="auto" w:fill="auto"/>
          <w:lang w:val="en-US" w:eastAsia="en-US" w:bidi="en-US"/>
        </w:rPr>
        <w:t>May:</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jedinstvo čovječanstva, narod Božji, patnja, simbol, smrt, vjeroispovijed</w:t>
      </w:r>
    </w:p>
    <w:p>
      <w:pPr>
        <w:pStyle w:val="Style33"/>
        <w:keepNext w:val="0"/>
        <w:keepLines w:val="0"/>
        <w:widowControl w:val="0"/>
        <w:shd w:val="clear" w:color="auto" w:fill="auto"/>
        <w:bidi w:val="0"/>
        <w:spacing w:before="0" w:after="0" w:line="254" w:lineRule="auto"/>
        <w:ind w:left="380" w:right="0" w:hanging="38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N. </w:t>
      </w:r>
      <w:r>
        <w:rPr>
          <w:rFonts w:ascii="Times New Roman" w:eastAsia="Times New Roman" w:hAnsi="Times New Roman" w:cs="Times New Roman"/>
          <w:color w:val="000000"/>
          <w:spacing w:val="0"/>
          <w:w w:val="100"/>
          <w:position w:val="0"/>
          <w:shd w:val="clear" w:color="auto" w:fill="auto"/>
          <w:lang w:val="en-US" w:eastAsia="en-US" w:bidi="en-US"/>
        </w:rPr>
        <w:t xml:space="preserve">METTE: </w:t>
      </w:r>
      <w:r>
        <w:rPr>
          <w:rFonts w:ascii="Times New Roman" w:eastAsia="Times New Roman" w:hAnsi="Times New Roman" w:cs="Times New Roman"/>
          <w:color w:val="000000"/>
          <w:spacing w:val="0"/>
          <w:w w:val="100"/>
          <w:position w:val="0"/>
          <w:shd w:val="clear" w:color="auto" w:fill="auto"/>
          <w:lang w:val="hr-HR" w:eastAsia="hr-HR" w:bidi="hr-HR"/>
        </w:rPr>
        <w:t>dušobrižništvo, gostoprimstvo, laik, obitelj, sekularizacija, zajed</w:t>
        <w:softHyphen/>
        <w:t>nica</w:t>
      </w:r>
    </w:p>
    <w:p>
      <w:pPr>
        <w:pStyle w:val="Style33"/>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K. </w:t>
      </w:r>
      <w:r>
        <w:rPr>
          <w:rFonts w:ascii="Times New Roman" w:eastAsia="Times New Roman" w:hAnsi="Times New Roman" w:cs="Times New Roman"/>
          <w:color w:val="000000"/>
          <w:spacing w:val="0"/>
          <w:w w:val="100"/>
          <w:position w:val="0"/>
          <w:shd w:val="clear" w:color="auto" w:fill="auto"/>
          <w:lang w:val="en-US" w:eastAsia="en-US" w:bidi="en-US"/>
        </w:rPr>
        <w:t xml:space="preserve">RICHTER: </w:t>
      </w:r>
      <w:r>
        <w:rPr>
          <w:rFonts w:ascii="Times New Roman" w:eastAsia="Times New Roman" w:hAnsi="Times New Roman" w:cs="Times New Roman"/>
          <w:color w:val="000000"/>
          <w:spacing w:val="0"/>
          <w:w w:val="100"/>
          <w:position w:val="0"/>
          <w:shd w:val="clear" w:color="auto" w:fill="auto"/>
          <w:lang w:val="hr-HR" w:eastAsia="hr-HR" w:bidi="hr-HR"/>
        </w:rPr>
        <w:t>bogoslužje, čistoća, inicijacija, Jeruzalem, kalendar, kult, mo</w:t>
        <w:softHyphen/>
        <w:t xml:space="preserve">litva, odjeća, pokora, post, sakralno, sakramenti, sveta mjesta, svetkovina, žrtva </w:t>
      </w:r>
      <w:r>
        <w:rPr>
          <w:rFonts w:ascii="Times New Roman" w:eastAsia="Times New Roman" w:hAnsi="Times New Roman" w:cs="Times New Roman"/>
          <w:smallCaps/>
          <w:color w:val="000000"/>
          <w:spacing w:val="0"/>
          <w:w w:val="100"/>
          <w:position w:val="0"/>
          <w:shd w:val="clear" w:color="auto" w:fill="auto"/>
          <w:lang w:val="en-US" w:eastAsia="en-US" w:bidi="en-US"/>
        </w:rPr>
        <w:t>Dr.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smallCaps/>
          <w:color w:val="000000"/>
          <w:spacing w:val="0"/>
          <w:w w:val="100"/>
          <w:position w:val="0"/>
          <w:shd w:val="clear" w:color="auto" w:fill="auto"/>
          <w:lang w:val="en-US" w:eastAsia="en-US" w:bidi="en-US"/>
        </w:rPr>
        <w:t>Schlosser: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vjera, odgovornost za svijet</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smallCaps/>
          <w:color w:val="000000"/>
          <w:spacing w:val="0"/>
          <w:w w:val="100"/>
          <w:position w:val="0"/>
          <w:shd w:val="clear" w:color="auto" w:fill="auto"/>
          <w:lang w:val="en-US" w:eastAsia="en-US" w:bidi="en-US"/>
        </w:rPr>
        <w:t>Dr.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H. SCHNARR: istina</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smallCaps/>
          <w:color w:val="000000"/>
          <w:spacing w:val="0"/>
          <w:w w:val="100"/>
          <w:position w:val="0"/>
          <w:shd w:val="clear" w:color="auto" w:fill="auto"/>
          <w:lang w:val="en-US" w:eastAsia="en-US" w:bidi="en-US"/>
        </w:rPr>
        <w:t>Prof.</w:t>
      </w:r>
      <w:r>
        <w:rPr>
          <w:rFonts w:ascii="Times New Roman" w:eastAsia="Times New Roman" w:hAnsi="Times New Roman" w:cs="Times New Roman"/>
          <w:color w:val="000000"/>
          <w:spacing w:val="0"/>
          <w:w w:val="100"/>
          <w:position w:val="0"/>
          <w:shd w:val="clear" w:color="auto" w:fill="auto"/>
          <w:lang w:val="en-US" w:eastAsia="en-US" w:bidi="en-US"/>
        </w:rPr>
        <w:t xml:space="preserve"> DR. </w:t>
      </w:r>
      <w:r>
        <w:rPr>
          <w:rFonts w:ascii="Times New Roman" w:eastAsia="Times New Roman" w:hAnsi="Times New Roman" w:cs="Times New Roman"/>
          <w:color w:val="000000"/>
          <w:spacing w:val="0"/>
          <w:w w:val="100"/>
          <w:position w:val="0"/>
          <w:shd w:val="clear" w:color="auto" w:fill="auto"/>
          <w:lang w:val="hr-HR" w:eastAsia="hr-HR" w:bidi="hr-HR"/>
        </w:rPr>
        <w:t xml:space="preserve">H. G. </w:t>
      </w:r>
      <w:r>
        <w:rPr>
          <w:rFonts w:ascii="Times New Roman" w:eastAsia="Times New Roman" w:hAnsi="Times New Roman" w:cs="Times New Roman"/>
          <w:smallCaps/>
          <w:color w:val="000000"/>
          <w:spacing w:val="0"/>
          <w:w w:val="100"/>
          <w:position w:val="0"/>
          <w:shd w:val="clear" w:color="auto" w:fill="auto"/>
          <w:lang w:val="hr-HR" w:eastAsia="hr-HR" w:bidi="hr-HR"/>
        </w:rPr>
        <w:t>Stobbe:</w:t>
      </w:r>
      <w:r>
        <w:rPr>
          <w:rFonts w:ascii="Times New Roman" w:eastAsia="Times New Roman" w:hAnsi="Times New Roman" w:cs="Times New Roman"/>
          <w:color w:val="000000"/>
          <w:spacing w:val="0"/>
          <w:w w:val="100"/>
          <w:position w:val="0"/>
          <w:shd w:val="clear" w:color="auto" w:fill="auto"/>
          <w:lang w:val="hr-HR" w:eastAsia="hr-HR" w:bidi="hr-HR"/>
        </w:rPr>
        <w:t xml:space="preserve"> koncil, konfesija, kršćanstvo</w:t>
      </w:r>
    </w:p>
    <w:p>
      <w:pPr>
        <w:pStyle w:val="Style33"/>
        <w:keepNext w:val="0"/>
        <w:keepLines w:val="0"/>
        <w:widowControl w:val="0"/>
        <w:shd w:val="clear" w:color="auto" w:fill="auto"/>
        <w:bidi w:val="0"/>
        <w:spacing w:before="0" w:after="0" w:line="240" w:lineRule="auto"/>
        <w:ind w:left="380" w:right="0" w:hanging="38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smallCaps/>
          <w:color w:val="000000"/>
          <w:spacing w:val="0"/>
          <w:w w:val="100"/>
          <w:position w:val="0"/>
          <w:shd w:val="clear" w:color="auto" w:fill="auto"/>
          <w:lang w:val="en-US" w:eastAsia="en-US" w:bidi="en-US"/>
        </w:rPr>
        <w:t>Tworuschka: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Bog, grijeh, islam, mistika, monoteizam, Muhamed, otkupljenje, poganstvo, religija, religijska pedagogija, svet, tolerancija</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 xml:space="preserve">WALDENFELS: </w:t>
      </w:r>
      <w:r>
        <w:rPr>
          <w:rFonts w:ascii="Times New Roman" w:eastAsia="Times New Roman" w:hAnsi="Times New Roman" w:cs="Times New Roman"/>
          <w:color w:val="000000"/>
          <w:spacing w:val="0"/>
          <w:w w:val="100"/>
          <w:position w:val="0"/>
          <w:shd w:val="clear" w:color="auto" w:fill="auto"/>
          <w:lang w:val="hr-HR" w:eastAsia="hr-HR" w:bidi="hr-HR"/>
        </w:rPr>
        <w:t>objava, spas, teologija, učiteljstvo</w:t>
      </w:r>
    </w:p>
    <w:p>
      <w:pPr>
        <w:pStyle w:val="Style33"/>
        <w:keepNext w:val="0"/>
        <w:keepLines w:val="0"/>
        <w:widowControl w:val="0"/>
        <w:shd w:val="clear" w:color="auto" w:fill="auto"/>
        <w:bidi w:val="0"/>
        <w:spacing w:before="0" w:after="520" w:line="266" w:lineRule="auto"/>
        <w:ind w:left="380" w:right="0" w:hanging="38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color w:val="000000"/>
          <w:spacing w:val="0"/>
          <w:w w:val="100"/>
          <w:position w:val="0"/>
          <w:shd w:val="clear" w:color="auto" w:fill="auto"/>
          <w:lang w:val="hr-HR" w:eastAsia="hr-HR" w:bidi="hr-HR"/>
        </w:rPr>
        <w:t xml:space="preserve">K. </w:t>
      </w:r>
      <w:r>
        <w:rPr>
          <w:rFonts w:ascii="Times New Roman" w:eastAsia="Times New Roman" w:hAnsi="Times New Roman" w:cs="Times New Roman"/>
          <w:color w:val="000000"/>
          <w:spacing w:val="0"/>
          <w:w w:val="100"/>
          <w:position w:val="0"/>
          <w:shd w:val="clear" w:color="auto" w:fill="auto"/>
          <w:lang w:val="en-US" w:eastAsia="en-US" w:bidi="en-US"/>
        </w:rPr>
        <w:t xml:space="preserve">WEBER: </w:t>
      </w:r>
      <w:r>
        <w:rPr>
          <w:rFonts w:ascii="Times New Roman" w:eastAsia="Times New Roman" w:hAnsi="Times New Roman" w:cs="Times New Roman"/>
          <w:color w:val="000000"/>
          <w:spacing w:val="0"/>
          <w:w w:val="100"/>
          <w:position w:val="0"/>
          <w:shd w:val="clear" w:color="auto" w:fill="auto"/>
          <w:lang w:val="hr-HR" w:eastAsia="hr-HR" w:bidi="hr-HR"/>
        </w:rPr>
        <w:t>karizma, kraljevstvo Božje, povijest, žena</w:t>
      </w:r>
    </w:p>
    <w:p>
      <w:pPr>
        <w:pStyle w:val="Style33"/>
        <w:keepNext w:val="0"/>
        <w:keepLines w:val="0"/>
        <w:widowControl w:val="0"/>
        <w:shd w:val="clear" w:color="auto" w:fill="auto"/>
        <w:bidi w:val="0"/>
        <w:spacing w:before="0" w:after="220" w:line="252"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Islam</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M. S. </w:t>
      </w:r>
      <w:r>
        <w:rPr>
          <w:rFonts w:ascii="Times New Roman" w:eastAsia="Times New Roman" w:hAnsi="Times New Roman" w:cs="Times New Roman"/>
          <w:color w:val="000000"/>
          <w:spacing w:val="0"/>
          <w:w w:val="100"/>
          <w:position w:val="0"/>
          <w:shd w:val="clear" w:color="auto" w:fill="auto"/>
          <w:lang w:val="en-US" w:eastAsia="en-US" w:bidi="en-US"/>
        </w:rPr>
        <w:t xml:space="preserve">ABDULLAH: </w:t>
      </w:r>
      <w:r>
        <w:rPr>
          <w:rFonts w:ascii="Times New Roman" w:eastAsia="Times New Roman" w:hAnsi="Times New Roman" w:cs="Times New Roman"/>
          <w:color w:val="000000"/>
          <w:spacing w:val="0"/>
          <w:w w:val="100"/>
          <w:position w:val="0"/>
          <w:shd w:val="clear" w:color="auto" w:fill="auto"/>
          <w:lang w:val="hr-HR" w:eastAsia="hr-HR" w:bidi="hr-HR"/>
        </w:rPr>
        <w:t>žena</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smallCaps/>
          <w:color w:val="000000"/>
          <w:spacing w:val="0"/>
          <w:w w:val="100"/>
          <w:position w:val="0"/>
          <w:shd w:val="clear" w:color="auto" w:fill="auto"/>
          <w:lang w:val="hr-HR" w:eastAsia="hr-HR" w:bidi="hr-HR"/>
        </w:rPr>
        <w:t>a.</w:t>
      </w:r>
      <w:r>
        <w:rPr>
          <w:rFonts w:ascii="Times New Roman" w:eastAsia="Times New Roman" w:hAnsi="Times New Roman" w:cs="Times New Roman"/>
          <w:color w:val="000000"/>
          <w:spacing w:val="0"/>
          <w:w w:val="100"/>
          <w:position w:val="0"/>
          <w:shd w:val="clear" w:color="auto" w:fill="auto"/>
          <w:lang w:val="hr-HR" w:eastAsia="hr-HR" w:bidi="hr-HR"/>
        </w:rPr>
        <w:t xml:space="preserve"> FALATURI: filozofija, šijizam</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color w:val="000000"/>
          <w:spacing w:val="0"/>
          <w:w w:val="100"/>
          <w:position w:val="0"/>
          <w:shd w:val="clear" w:color="auto" w:fill="auto"/>
          <w:lang w:val="hr-HR" w:eastAsia="hr-HR" w:bidi="hr-HR"/>
        </w:rPr>
        <w:t>F. HEEREN: ljubav</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en-US" w:eastAsia="en-US" w:bidi="en-US"/>
        </w:rPr>
        <w:t xml:space="preserve">KHALID: </w:t>
      </w:r>
      <w:r>
        <w:rPr>
          <w:rFonts w:ascii="Times New Roman" w:eastAsia="Times New Roman" w:hAnsi="Times New Roman" w:cs="Times New Roman"/>
          <w:color w:val="000000"/>
          <w:spacing w:val="0"/>
          <w:w w:val="100"/>
          <w:position w:val="0"/>
          <w:shd w:val="clear" w:color="auto" w:fill="auto"/>
          <w:lang w:val="hr-HR" w:eastAsia="hr-HR" w:bidi="hr-HR"/>
        </w:rPr>
        <w:t>dijalog</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smallCaps/>
          <w:color w:val="000000"/>
          <w:spacing w:val="0"/>
          <w:w w:val="100"/>
          <w:position w:val="0"/>
          <w:shd w:val="clear" w:color="auto" w:fill="auto"/>
          <w:lang w:val="en-US" w:eastAsia="en-US" w:bidi="en-US"/>
        </w:rPr>
        <w:t xml:space="preserve">Prof, </w:t>
      </w:r>
      <w:r>
        <w:rPr>
          <w:rFonts w:ascii="Times New Roman" w:eastAsia="Times New Roman" w:hAnsi="Times New Roman" w:cs="Times New Roman"/>
          <w:smallCaps/>
          <w:color w:val="000000"/>
          <w:spacing w:val="0"/>
          <w:w w:val="100"/>
          <w:position w:val="0"/>
          <w:shd w:val="clear" w:color="auto" w:fill="auto"/>
          <w:lang w:val="hr-HR" w:eastAsia="hr-HR" w:bidi="hr-HR"/>
        </w:rPr>
        <w:t xml:space="preserve">d-dr.: p. </w:t>
      </w:r>
      <w:r>
        <w:rPr>
          <w:rFonts w:ascii="Times New Roman" w:eastAsia="Times New Roman" w:hAnsi="Times New Roman" w:cs="Times New Roman"/>
          <w:smallCaps/>
          <w:color w:val="000000"/>
          <w:spacing w:val="0"/>
          <w:w w:val="100"/>
          <w:position w:val="0"/>
          <w:shd w:val="clear" w:color="auto" w:fill="auto"/>
          <w:lang w:val="en-US" w:eastAsia="en-US" w:bidi="en-US"/>
        </w:rPr>
        <w:t>Antes: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čudo</w:t>
      </w:r>
    </w:p>
    <w:p>
      <w:pPr>
        <w:pStyle w:val="Style33"/>
        <w:keepNext w:val="0"/>
        <w:keepLines w:val="0"/>
        <w:widowControl w:val="0"/>
        <w:shd w:val="clear" w:color="auto" w:fill="auto"/>
        <w:bidi w:val="0"/>
        <w:spacing w:before="0" w:after="0" w:line="266" w:lineRule="auto"/>
        <w:ind w:left="380" w:right="0" w:hanging="380"/>
        <w:jc w:val="left"/>
      </w:pPr>
      <w:r>
        <w:rPr>
          <w:rFonts w:ascii="Times New Roman" w:eastAsia="Times New Roman" w:hAnsi="Times New Roman" w:cs="Times New Roman"/>
          <w:smallCaps/>
          <w:color w:val="000000"/>
          <w:spacing w:val="0"/>
          <w:w w:val="100"/>
          <w:position w:val="0"/>
          <w:shd w:val="clear" w:color="auto" w:fill="auto"/>
          <w:lang w:val="en-US" w:eastAsia="en-US" w:bidi="en-US"/>
        </w:rPr>
        <w:t>Dr.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BaliĆ:</w:t>
      </w:r>
      <w:r>
        <w:rPr>
          <w:rFonts w:ascii="Times New Roman" w:eastAsia="Times New Roman" w:hAnsi="Times New Roman" w:cs="Times New Roman"/>
          <w:color w:val="000000"/>
          <w:spacing w:val="0"/>
          <w:w w:val="100"/>
          <w:position w:val="0"/>
          <w:shd w:val="clear" w:color="auto" w:fill="auto"/>
          <w:lang w:val="hr-HR" w:eastAsia="hr-HR" w:bidi="hr-HR"/>
        </w:rPr>
        <w:t xml:space="preserve"> svi ostali prilozi</w:t>
      </w:r>
    </w:p>
    <w:p>
      <w:pPr>
        <w:pStyle w:val="Style33"/>
        <w:keepNext w:val="0"/>
        <w:keepLines w:val="0"/>
        <w:widowControl w:val="0"/>
        <w:shd w:val="clear" w:color="auto" w:fill="auto"/>
        <w:bidi w:val="0"/>
        <w:spacing w:before="0" w:after="0" w:line="266" w:lineRule="auto"/>
        <w:ind w:left="380" w:right="0" w:hanging="380"/>
        <w:jc w:val="left"/>
        <w:sectPr>
          <w:headerReference w:type="default" r:id="rId25"/>
          <w:footerReference w:type="default" r:id="rId26"/>
          <w:headerReference w:type="even" r:id="rId27"/>
          <w:footerReference w:type="even" r:id="rId28"/>
          <w:footnotePr>
            <w:pos w:val="pageBottom"/>
            <w:numFmt w:val="decimal"/>
            <w:numStart w:val="5"/>
            <w:numRestart w:val="continuous"/>
            <w15:footnoteColumns w:val="1"/>
          </w:footnotePr>
          <w:pgSz w:w="6816" w:h="11006"/>
          <w:pgMar w:top="1116" w:left="197" w:right="197" w:bottom="1697" w:header="0"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PROF. DR. </w:t>
      </w:r>
      <w:r>
        <w:rPr>
          <w:rFonts w:ascii="Times New Roman" w:eastAsia="Times New Roman" w:hAnsi="Times New Roman" w:cs="Times New Roman"/>
          <w:smallCaps/>
          <w:color w:val="000000"/>
          <w:spacing w:val="0"/>
          <w:w w:val="100"/>
          <w:position w:val="0"/>
          <w:shd w:val="clear" w:color="auto" w:fill="auto"/>
          <w:lang w:val="en-US" w:eastAsia="en-US" w:bidi="en-US"/>
        </w:rPr>
        <w:t>a.</w:t>
      </w:r>
      <w:r>
        <w:rPr>
          <w:rFonts w:ascii="Times New Roman" w:eastAsia="Times New Roman" w:hAnsi="Times New Roman" w:cs="Times New Roman"/>
          <w:color w:val="000000"/>
          <w:spacing w:val="0"/>
          <w:w w:val="100"/>
          <w:position w:val="0"/>
          <w:shd w:val="clear" w:color="auto" w:fill="auto"/>
          <w:lang w:val="en-US" w:eastAsia="en-US" w:bidi="en-US"/>
        </w:rPr>
        <w:t xml:space="preserve"> TH. KHOURY: </w:t>
      </w:r>
      <w:r>
        <w:rPr>
          <w:rFonts w:ascii="Times New Roman" w:eastAsia="Times New Roman" w:hAnsi="Times New Roman" w:cs="Times New Roman"/>
          <w:i/>
          <w:iCs/>
          <w:color w:val="000000"/>
          <w:spacing w:val="0"/>
          <w:w w:val="100"/>
          <w:position w:val="0"/>
          <w:shd w:val="clear" w:color="auto" w:fill="auto"/>
          <w:lang w:val="hr-HR" w:eastAsia="hr-HR" w:bidi="hr-HR"/>
        </w:rPr>
        <w:t>Uvod, u islam</w:t>
      </w:r>
      <w:r>
        <w:rPr>
          <w:rFonts w:ascii="Times New Roman" w:eastAsia="Times New Roman" w:hAnsi="Times New Roman" w:cs="Times New Roman"/>
          <w:color w:val="000000"/>
          <w:spacing w:val="0"/>
          <w:w w:val="100"/>
          <w:position w:val="0"/>
          <w:shd w:val="clear" w:color="auto" w:fill="auto"/>
          <w:lang w:val="hr-HR" w:eastAsia="hr-HR" w:bidi="hr-HR"/>
        </w:rPr>
        <w:t xml:space="preserve"> s bibliografijom</w:t>
      </w:r>
    </w:p>
    <w:p>
      <w:pPr>
        <w:pStyle w:val="Style46"/>
        <w:keepNext/>
        <w:keepLines/>
        <w:widowControl w:val="0"/>
        <w:shd w:val="clear" w:color="auto" w:fill="auto"/>
        <w:bidi w:val="0"/>
        <w:spacing w:before="1240" w:after="60" w:line="240" w:lineRule="auto"/>
        <w:ind w:left="0" w:right="0" w:firstLine="0"/>
        <w:jc w:val="center"/>
      </w:pPr>
      <w:bookmarkStart w:id="17" w:name="bookmark17"/>
      <w:r>
        <w:rPr>
          <w:rFonts w:ascii="Times New Roman" w:eastAsia="Times New Roman" w:hAnsi="Times New Roman" w:cs="Times New Roman"/>
          <w:color w:val="000000"/>
          <w:spacing w:val="0"/>
          <w:w w:val="100"/>
          <w:position w:val="0"/>
          <w:sz w:val="24"/>
          <w:szCs w:val="24"/>
          <w:shd w:val="clear" w:color="auto" w:fill="auto"/>
          <w:lang w:val="hr-HR" w:eastAsia="hr-HR" w:bidi="hr-HR"/>
        </w:rPr>
        <w:t>ŽIDOVSTVO</w:t>
      </w:r>
      <w:bookmarkEnd w:id="17"/>
    </w:p>
    <w:p>
      <w:pPr>
        <w:pStyle w:val="Style33"/>
        <w:keepNext w:val="0"/>
        <w:keepLines w:val="0"/>
        <w:widowControl w:val="0"/>
        <w:shd w:val="clear" w:color="auto" w:fill="auto"/>
        <w:bidi w:val="0"/>
        <w:spacing w:before="0" w:after="540" w:line="240" w:lineRule="auto"/>
        <w:ind w:left="0" w:right="0" w:firstLine="0"/>
        <w:jc w:val="center"/>
      </w:pPr>
      <w:r>
        <w:rPr>
          <w:rFonts w:ascii="Times New Roman" w:eastAsia="Times New Roman" w:hAnsi="Times New Roman" w:cs="Times New Roman"/>
          <w:b/>
          <w:bCs/>
          <w:color w:val="000000"/>
          <w:spacing w:val="0"/>
          <w:w w:val="100"/>
          <w:position w:val="0"/>
          <w:shd w:val="clear" w:color="auto" w:fill="auto"/>
          <w:lang w:val="en-US" w:eastAsia="en-US" w:bidi="en-US"/>
        </w:rPr>
        <w:t>DIETER VETTER</w:t>
      </w:r>
    </w:p>
    <w:p>
      <w:pPr>
        <w:pStyle w:val="Style33"/>
        <w:keepNext w:val="0"/>
        <w:keepLines w:val="0"/>
        <w:widowControl w:val="0"/>
        <w:numPr>
          <w:ilvl w:val="0"/>
          <w:numId w:val="5"/>
        </w:numPr>
        <w:shd w:val="clear" w:color="auto" w:fill="auto"/>
        <w:tabs>
          <w:tab w:pos="2355" w:val="left"/>
        </w:tabs>
        <w:bidi w:val="0"/>
        <w:spacing w:before="0" w:after="300" w:line="240" w:lineRule="auto"/>
        <w:ind w:left="2100" w:right="0" w:firstLine="0"/>
        <w:jc w:val="left"/>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 xml:space="preserve">Autonomija </w:t>
      </w:r>
      <w:r>
        <w:rPr>
          <w:rFonts w:ascii="Times New Roman" w:eastAsia="Times New Roman" w:hAnsi="Times New Roman" w:cs="Times New Roman"/>
          <w:b/>
          <w:bCs/>
          <w:color w:val="000000"/>
          <w:spacing w:val="0"/>
          <w:w w:val="100"/>
          <w:position w:val="0"/>
          <w:sz w:val="18"/>
          <w:szCs w:val="18"/>
          <w:shd w:val="clear" w:color="auto" w:fill="auto"/>
          <w:lang w:val="en-US" w:eastAsia="en-US" w:bidi="en-US"/>
        </w:rPr>
        <w:t>- teonomija</w:t>
      </w:r>
    </w:p>
    <w:p>
      <w:pPr>
        <w:pStyle w:val="Style33"/>
        <w:keepNext w:val="0"/>
        <w:keepLines w:val="0"/>
        <w:widowControl w:val="0"/>
        <w:shd w:val="clear" w:color="auto" w:fill="auto"/>
        <w:bidi w:val="0"/>
        <w:spacing w:before="0" w:after="0"/>
        <w:ind w:left="0" w:right="0" w:firstLine="340"/>
        <w:jc w:val="both"/>
        <w:sectPr>
          <w:footnotePr>
            <w:pos w:val="pageBottom"/>
            <w:numFmt w:val="decimal"/>
            <w:numStart w:val="5"/>
            <w:numRestart w:val="continuous"/>
            <w15:footnoteColumns w:val="1"/>
          </w:footnotePr>
          <w:pgSz w:w="6816" w:h="11006"/>
          <w:pgMar w:top="979" w:left="186" w:right="192" w:bottom="566" w:header="0"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Sa židovskoga gledišta čovjek znade da je poslan među ljude, da je postavljen za Božjega zastupnika u stvaranju (Post 1,26-28; 2,8.15) i da je stoga oboružan punom slobodom kako bi suzbio zlo na svijetu koje se može otkloniti. Tora (u užem smislu Pc- toknjižje), čiji naputci obuhvaćaju sve strane ljudskoga života, usredotočena je na to da čovjeka privede svetosti (I-ev 19,2; 20,7 i d. 26; usp. 11,44; Izl 22,31). Na nju se odnose, prema Midrašu, »bitni nauci« Biblije, uključujući »Deset zapovijedi« (Vajikra raba XXIV,19,2). Preko čovjeka koji radi na zgradi stvaranja (Izl 25,9.40; 26,30; 27,8; 29,43) Bog neprekidno utječe na moralni razvitak svijeta: »Ne oskvrnjujte moga svetog imena, nego neka budem proglašen svetim među Izraelcima«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22,32). Sukladno tomu, prema rabinima, sam Bog određuje Izraelcima gotovo istu zadaću: »Djeco moja! Kako sam ja umjeren, tako i vi trebate biti umjereni, kako sam ja svet, tako i vi trebate biti sveti« (Vajikra raba XXIV,19,2) i to im se urezalo u svijest: »Kad Izraelci provode Božju volju, njegovo se ime slavi u svijetu; ako pak ne provode njegovu volju, njegovo će ime biti donekle oskvrnuto u svijetu« (Mchilta za Izl 15,2; usp. Šifra za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19,12; M Av ot 1,11). Čak je i umjereni srednjovjekovni egzeget Raši objasnio u svojem tu</w:t>
        <w:softHyphen/>
        <w:t xml:space="preserve">mačenju Izl 24,7 da je »Bog neba« tek time što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»njegovo ime potpuno udo</w:t>
        <w:softHyphen/>
        <w:t xml:space="preserve">maćio u ustima ljudi«, tj. poslušno izvršio njegove zapovijedi, bio priznat i kao »Bog zemlje«. Koristi li se čovjek ispravno slobodom volje koju mu je dao Bog, »donijet će otkupljenje u svijet«, tj on će svojim djelima potaknuti dolazak otkupljenja (b Megila 15a; usp. Šabat 118b; Joma 86b; Bava batra 10b;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97b). Čovjek mora naučiti suglasiti se s neograničenom slobodom prema Bogu; stoga su se židovski mudraci odvažili na ono smjelo shvaćanje prema kojemu čovjek snagom svoje sposobnosti za autonomne odluke može otkupiti i Boga: »Sveti, neka bude hvaljen, govoraše: Tko se bavi Torom i djelima ljubavi i moli sa zajednicom, pripisat ću mu u dobro kao daje spa</w:t>
        <w:softHyphen/>
        <w:t xml:space="preserve">sio mene i moju djecu od naroda svijeta (tj. iz njihove vlasti)« (b Berahot 8a); stoga su poučavali da Božju zapovijed treba shvatiti kao »slobodu na pločama«: »Ne čitaj (prema Izl 32,16) </w:t>
      </w:r>
      <w:r>
        <w:rPr>
          <w:rFonts w:ascii="Times New Roman" w:eastAsia="Times New Roman" w:hAnsi="Times New Roman" w:cs="Times New Roman"/>
          <w:i/>
          <w:iCs/>
          <w:color w:val="000000"/>
          <w:spacing w:val="0"/>
          <w:w w:val="100"/>
          <w:position w:val="0"/>
          <w:shd w:val="clear" w:color="auto" w:fill="auto"/>
          <w:lang w:val="hr-HR" w:eastAsia="hr-HR" w:bidi="hr-HR"/>
        </w:rPr>
        <w:t>harut</w:t>
      </w:r>
      <w:r>
        <w:rPr>
          <w:rFonts w:ascii="Times New Roman" w:eastAsia="Times New Roman" w:hAnsi="Times New Roman" w:cs="Times New Roman"/>
          <w:color w:val="000000"/>
          <w:spacing w:val="0"/>
          <w:w w:val="100"/>
          <w:position w:val="0"/>
          <w:shd w:val="clear" w:color="auto" w:fill="auto"/>
          <w:lang w:val="hr-HR" w:eastAsia="hr-HR" w:bidi="hr-HR"/>
        </w:rPr>
        <w:t xml:space="preserve"> (‘urezan’ na pločama) nego </w:t>
      </w:r>
      <w:r>
        <w:rPr>
          <w:rFonts w:ascii="Times New Roman" w:eastAsia="Times New Roman" w:hAnsi="Times New Roman" w:cs="Times New Roman"/>
          <w:i/>
          <w:iCs/>
          <w:color w:val="000000"/>
          <w:spacing w:val="0"/>
          <w:w w:val="100"/>
          <w:position w:val="0"/>
          <w:shd w:val="clear" w:color="auto" w:fill="auto"/>
          <w:lang w:val="hr-HR" w:eastAsia="hr-HR" w:bidi="hr-HR"/>
        </w:rPr>
        <w:t>herut</w:t>
      </w:r>
      <w:r>
        <w:rPr>
          <w:rFonts w:ascii="Times New Roman" w:eastAsia="Times New Roman" w:hAnsi="Times New Roman" w:cs="Times New Roman"/>
          <w:color w:val="000000"/>
          <w:spacing w:val="0"/>
          <w:w w:val="100"/>
          <w:position w:val="0"/>
          <w:shd w:val="clear" w:color="auto" w:fill="auto"/>
          <w:lang w:val="hr-HR" w:eastAsia="hr-HR" w:bidi="hr-HR"/>
        </w:rPr>
        <w:t xml:space="preserve"> (‘sloboda’ na pločama), jer nećeš naći (uistinu) slobodnoga osim onoga koji se bavi proučavanjem upute (‘Tore’)« (M Avot VI,2), i slavili proučavatelje Božje upute kako bi »izvršili« obveze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IV,5) kao »graditelji... koji se cijeli život bave gradnjom svijeta« (b Šabat 114a). Rabini su la</w:t>
        <w:softHyphen/>
        <w:t>ganom promjenom vokala u izgovoru u Iz 54,13 uspostavili vezu između »tvojih si</w:t>
        <w:softHyphen/>
      </w:r>
    </w:p>
    <w:p>
      <w:pPr>
        <w:pStyle w:val="Style33"/>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nova« </w:t>
      </w:r>
      <w:r>
        <w:rPr>
          <w:rFonts w:ascii="Times New Roman" w:eastAsia="Times New Roman" w:hAnsi="Times New Roman" w:cs="Times New Roman"/>
          <w:i/>
          <w:iCs/>
          <w:color w:val="000000"/>
          <w:spacing w:val="0"/>
          <w:w w:val="100"/>
          <w:position w:val="0"/>
          <w:shd w:val="clear" w:color="auto" w:fill="auto"/>
          <w:lang w:val="hr-HR" w:eastAsia="hr-HR" w:bidi="hr-HR"/>
        </w:rPr>
        <w:t>(banajih)</w:t>
      </w:r>
      <w:r>
        <w:rPr>
          <w:rFonts w:ascii="Times New Roman" w:eastAsia="Times New Roman" w:hAnsi="Times New Roman" w:cs="Times New Roman"/>
          <w:color w:val="000000"/>
          <w:spacing w:val="0"/>
          <w:w w:val="100"/>
          <w:position w:val="0"/>
          <w:shd w:val="clear" w:color="auto" w:fill="auto"/>
          <w:lang w:val="hr-HR" w:eastAsia="hr-HR" w:bidi="hr-HR"/>
        </w:rPr>
        <w:t xml:space="preserve"> i »tvojih graditelja« </w:t>
      </w:r>
      <w:r>
        <w:rPr>
          <w:rFonts w:ascii="Times New Roman" w:eastAsia="Times New Roman" w:hAnsi="Times New Roman" w:cs="Times New Roman"/>
          <w:i/>
          <w:iCs/>
          <w:color w:val="000000"/>
          <w:spacing w:val="0"/>
          <w:w w:val="100"/>
          <w:position w:val="0"/>
          <w:shd w:val="clear" w:color="auto" w:fill="auto"/>
          <w:lang w:val="hr-HR" w:eastAsia="hr-HR" w:bidi="hr-HR"/>
        </w:rPr>
        <w:t>(bonajih).</w:t>
      </w:r>
      <w:r>
        <w:rPr>
          <w:rFonts w:ascii="Times New Roman" w:eastAsia="Times New Roman" w:hAnsi="Times New Roman" w:cs="Times New Roman"/>
          <w:color w:val="000000"/>
          <w:spacing w:val="0"/>
          <w:w w:val="100"/>
          <w:position w:val="0"/>
          <w:shd w:val="clear" w:color="auto" w:fill="auto"/>
          <w:lang w:val="hr-HR" w:eastAsia="hr-HR" w:bidi="hr-HR"/>
        </w:rPr>
        <w:t xml:space="preserve"> U židovstvu vjernom Tori ta talmudska riječ (b Berahot 64a) zaključuje svako poučno predavanje i time uvijek otpušta učenike s teškim pitanjem o povratku koji se može zbiti samo radom: mogu li se dokazati kao »sinovi«, koji to jesu, i kao »graditelji«. Naime, čovjek je odgovoran za sve one razorne posljedice u prirodi, povijesti i društvu, čije otklonjivc uzroke, usprkos slobodi volje, nije uklonio: »Rekao je (Rabi </w:t>
      </w:r>
      <w:r>
        <w:rPr>
          <w:rFonts w:ascii="Times New Roman" w:eastAsia="Times New Roman" w:hAnsi="Times New Roman" w:cs="Times New Roman"/>
          <w:color w:val="000000"/>
          <w:spacing w:val="0"/>
          <w:w w:val="100"/>
          <w:position w:val="0"/>
          <w:shd w:val="clear" w:color="auto" w:fill="auto"/>
          <w:lang w:val="en-US" w:eastAsia="en-US" w:bidi="en-US"/>
        </w:rPr>
        <w:t xml:space="preserve">Akiva, </w:t>
      </w:r>
      <w:r>
        <w:rPr>
          <w:rFonts w:ascii="Times New Roman" w:eastAsia="Times New Roman" w:hAnsi="Times New Roman" w:cs="Times New Roman"/>
          <w:color w:val="000000"/>
          <w:spacing w:val="0"/>
          <w:w w:val="100"/>
          <w:position w:val="0"/>
          <w:shd w:val="clear" w:color="auto" w:fill="auto"/>
          <w:lang w:val="hr-HR" w:eastAsia="hr-HR" w:bidi="hr-HR"/>
        </w:rPr>
        <w:t xml:space="preserve">I./II. stoljeće): Sve se daje na zalog (za zalaganje duše), i mreža je razapeta nad svim živima (nitko se ne može izvući od odgovornosti i polaganja računa)« (M Abot III, 17). Budući da se on može oduprijeti iskušenju da zanemari potrebno i razara svojim djelovanjem, o čovjeku kao moralnom biću sudi rabinska izreka: »Kao da je stvorio sama sebe«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99b).</w:t>
      </w:r>
    </w:p>
    <w:p>
      <w:pPr>
        <w:pStyle w:val="Style33"/>
        <w:keepNext w:val="0"/>
        <w:keepLines w:val="0"/>
        <w:widowControl w:val="0"/>
        <w:shd w:val="clear" w:color="auto" w:fill="auto"/>
        <w:bidi w:val="0"/>
        <w:spacing w:before="0" w:after="0" w:line="262"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Doduše, dva biblijska mjesta (Post 8,21; Ps 51,7) ijedna talmudska izjava (b Šabat 55b, usp. Bava batra 17a) mogu se tumačiti kao »radikalno zlo« koje je čovjeku od početka prirođeno ili naslijeđeno; međutim, od same Tore vrijedi inače, kao nepobitno temeljno načelo u cjelokupnoj židovskoj tradiciji, sloboda čovjekova izbora da odluči između dobra i zla: »Gledaj! Danas preda te stavljam život i sreću, smrt i nesreću..., odaberi život kako bi živio, ti i tvoje sjeme« (Pnz 30,15-19). Glavni rabinski dokaz daje Mišna: »Rabi Akiva rekao je: Svoje (Bog) predvidio, ali slobodu (punomoć za samood- lučivanjc) dao je (čovjeku)« (Avot 111,16). Iz toga se ne smije zaključiti kako je posri</w:t>
        <w:softHyphen/>
        <w:t xml:space="preserve">jedi predodžba neograničeno slobodnoga, kreativnog čovjeka, a to pojašnjava sljedeća izjava: »U dobroti (prema milosti Božjoj) sudi se svijetu«; bez djela Božjeg milosrđa svijet ne bi mogao postojati (Bcrcšit raba XII, 2,4). No, svjetska povijest nije kazalište lutaka u čijoj pozadini čeka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deus </w:t>
      </w:r>
      <w:r>
        <w:rPr>
          <w:rFonts w:ascii="Times New Roman" w:eastAsia="Times New Roman" w:hAnsi="Times New Roman" w:cs="Times New Roman"/>
          <w:i/>
          <w:iCs/>
          <w:color w:val="000000"/>
          <w:spacing w:val="0"/>
          <w:w w:val="100"/>
          <w:position w:val="0"/>
          <w:shd w:val="clear" w:color="auto" w:fill="auto"/>
          <w:lang w:val="hr-HR" w:eastAsia="hr-HR" w:bidi="hr-HR"/>
        </w:rPr>
        <w:t>ex maehina</w:t>
      </w:r>
      <w:r>
        <w:rPr>
          <w:rFonts w:ascii="Times New Roman" w:eastAsia="Times New Roman" w:hAnsi="Times New Roman" w:cs="Times New Roman"/>
          <w:color w:val="000000"/>
          <w:spacing w:val="0"/>
          <w:w w:val="100"/>
          <w:position w:val="0"/>
          <w:shd w:val="clear" w:color="auto" w:fill="auto"/>
          <w:lang w:val="hr-HR" w:eastAsia="hr-HR" w:bidi="hr-HR"/>
        </w:rPr>
        <w:t xml:space="preserve"> koji - ako sve pođe krivo - »mjerom milo</w:t>
        <w:softHyphen/>
        <w:t>srđa« pritječe u pomoć. Čovjek koji nije ravan Bogu ograničeno je slobodan: područje njegova rada jesu otklonjiva zla. Stoga Rabi Akiva dodaje: »Ali sve prema većini (ljud</w:t>
        <w:softHyphen/>
        <w:t>skih) djela« (M Avot 111,16); naime, osim o milosti Božjoj svijet ovisi i o »mjeri praved</w:t>
        <w:softHyphen/>
        <w:t>nosti«: »Budući da se pojedincu kao i svijetu sudi prema većini (dobrih ili zlih djela), može i pojedinac nekom pogreškom oduzeti svijetu mnogo dobra« (Kohclct raba X,l; usp. b Kidušin 39b). Rabi Hanina (III. stoljeće) svodi sve zlo što ga čovjek čini čovjeku na nedostatak strahopoštovanja prema Bogu: »Sve je u Božjim rukama, osim Božjega straha« (b Berahot 33b; Megila 25a; Nida 16b). Međutim, u danosti čovjeku slobode volje on vidi samoograničenje svemoći Božje.</w:t>
      </w:r>
    </w:p>
    <w:p>
      <w:pPr>
        <w:pStyle w:val="Style33"/>
        <w:keepNext w:val="0"/>
        <w:keepLines w:val="0"/>
        <w:widowControl w:val="0"/>
        <w:shd w:val="clear" w:color="auto" w:fill="auto"/>
        <w:bidi w:val="0"/>
        <w:spacing w:before="0" w:after="460" w:line="262"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Tu napetost koja se neprestance osjeća između dviju glavnih predodžbi o suvere</w:t>
        <w:softHyphen/>
        <w:t xml:space="preserve">nosti Boga i njezinu smanjenju zbog čovjekove slobodne volje htjeli su mudraci učiniti snošljivom svojim objašnjenjem Ps 82: »Rabi Simaj (III. stoljeće) rekao je: Sva bića, koja je stvorilo nebo, čija su duša i tijelo od neba; i sva bića koja je stvorila zemlja, čija je duša i tijelo od zemlje; izuzet je čovjek, čija je duša od neba a tijelo od zemlje. Stoga, ako čovjek poštuje Toru i volju svojega oca na nebu, gledaj, onda je on poput bića odozgo: T ja sam govorio: Bogovi, budite svi vi sinovi Najvišega!’ (stih 6). Ako ne poštuje Toru i Boga na nebu, gledaj, onda je poput bića odozdo: ‘Ipak morate umrijeti kao ljudi’ (stih 7)« (Šifre za Pnz 32,2). Za sve što je u njegovoj moći čovjek je od Boga dobio punomoć. Na tom području izvedene moći »slobode na pločama« smatraju se, prema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Eleazaru ben Jose </w:t>
      </w:r>
      <w:r>
        <w:rPr>
          <w:rFonts w:ascii="Times New Roman" w:eastAsia="Times New Roman" w:hAnsi="Times New Roman" w:cs="Times New Roman"/>
          <w:color w:val="000000"/>
          <w:spacing w:val="0"/>
          <w:w w:val="100"/>
          <w:position w:val="0"/>
          <w:shd w:val="clear" w:color="auto" w:fill="auto"/>
          <w:lang w:val="hr-HR" w:eastAsia="hr-HR" w:bidi="hr-HR"/>
        </w:rPr>
        <w:t>Ha-Gelili (II. stoljeće), Izraelci kod Boga »‘bogovima... i sinovima Svevišnjega’«; ali taje punomoć ljudima opoziva, i Bog može tako reći povu</w:t>
        <w:softHyphen/>
        <w:t xml:space="preserve">ći svoju djelomičnu ostavku: »Pokvaristc svoja djela: ‘Ipak kao ljudi morate umrijeti’« </w:t>
      </w:r>
      <w:r>
        <w:rPr>
          <w:rFonts w:ascii="Times New Roman" w:eastAsia="Times New Roman" w:hAnsi="Times New Roman" w:cs="Times New Roman"/>
          <w:color w:val="000000"/>
          <w:spacing w:val="0"/>
          <w:w w:val="100"/>
          <w:position w:val="0"/>
          <w:shd w:val="clear" w:color="auto" w:fill="auto"/>
          <w:lang w:val="hr-HR" w:eastAsia="hr-HR" w:bidi="hr-HR"/>
        </w:rPr>
        <w:t xml:space="preserve">(Tanhuma Ki tisa </w:t>
      </w:r>
      <w:r>
        <w:rPr>
          <w:rFonts w:ascii="Times New Roman" w:eastAsia="Times New Roman" w:hAnsi="Times New Roman" w:cs="Times New Roman"/>
          <w:color w:val="000000"/>
          <w:spacing w:val="0"/>
          <w:w w:val="100"/>
          <w:position w:val="0"/>
          <w:shd w:val="clear" w:color="auto" w:fill="auto"/>
          <w:lang w:val="en-US" w:eastAsia="en-US" w:bidi="en-US"/>
        </w:rPr>
        <w:t xml:space="preserve">115a; usp. b 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w:t>
      </w:r>
      <w:r>
        <w:rPr>
          <w:rFonts w:ascii="Times New Roman" w:eastAsia="Times New Roman" w:hAnsi="Times New Roman" w:cs="Times New Roman"/>
          <w:color w:val="000000"/>
          <w:spacing w:val="0"/>
          <w:w w:val="100"/>
          <w:position w:val="0"/>
          <w:shd w:val="clear" w:color="auto" w:fill="auto"/>
          <w:lang w:val="en-US" w:eastAsia="en-US" w:bidi="en-US"/>
        </w:rPr>
        <w:t xml:space="preserve">5a; Vajikra raba XVIII,15,1; Kohelet raba VIII,1; Pesikta 37a). </w:t>
      </w:r>
      <w:r>
        <w:rPr>
          <w:rFonts w:ascii="Times New Roman" w:eastAsia="Times New Roman" w:hAnsi="Times New Roman" w:cs="Times New Roman"/>
          <w:color w:val="000000"/>
          <w:spacing w:val="0"/>
          <w:w w:val="100"/>
          <w:position w:val="0"/>
          <w:shd w:val="clear" w:color="auto" w:fill="auto"/>
          <w:lang w:val="hr-HR" w:eastAsia="hr-HR" w:bidi="hr-HR"/>
        </w:rPr>
        <w:t xml:space="preserve">Ni »odluka« ni »ostvarenja«, koje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 xml:space="preserve">gura u središte razumijevanja židovske egzistencije, ne ukidaju ograničenje ljudske slobode: Židovstvo »također zna da su </w:t>
      </w:r>
      <w:r>
        <w:rPr>
          <w:rFonts w:ascii="Times New Roman" w:eastAsia="Times New Roman" w:hAnsi="Times New Roman" w:cs="Times New Roman"/>
          <w:i/>
          <w:iCs/>
          <w:color w:val="000000"/>
          <w:spacing w:val="0"/>
          <w:w w:val="100"/>
          <w:position w:val="0"/>
          <w:shd w:val="clear" w:color="auto" w:fill="auto"/>
          <w:lang w:val="hr-HR" w:eastAsia="hr-HR" w:bidi="hr-HR"/>
        </w:rPr>
        <w:t>prava</w:t>
      </w:r>
      <w:r>
        <w:rPr>
          <w:rFonts w:ascii="Times New Roman" w:eastAsia="Times New Roman" w:hAnsi="Times New Roman" w:cs="Times New Roman"/>
          <w:color w:val="000000"/>
          <w:spacing w:val="0"/>
          <w:w w:val="100"/>
          <w:position w:val="0"/>
          <w:shd w:val="clear" w:color="auto" w:fill="auto"/>
          <w:lang w:val="hr-HR" w:eastAsia="hr-HR" w:bidi="hr-HR"/>
        </w:rPr>
        <w:t xml:space="preserve"> autonomija i istinska teonomija jedno: Bog hoće da čovjek iz</w:t>
        <w:softHyphen/>
        <w:t>vrši Božji zakon iz vlastite ljudske pobude i vlastitom ljudskom pobudom... Ali, obeća</w:t>
        <w:softHyphen/>
        <w:t xml:space="preserve">no je savršenstvo«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Stunde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Erkenntnis. Reden </w:t>
      </w:r>
      <w:r>
        <w:rPr>
          <w:rFonts w:ascii="Times New Roman" w:eastAsia="Times New Roman" w:hAnsi="Times New Roman" w:cs="Times New Roman"/>
          <w:i/>
          <w:iCs/>
          <w:color w:val="000000"/>
          <w:spacing w:val="0"/>
          <w:w w:val="100"/>
          <w:position w:val="0"/>
          <w:shd w:val="clear" w:color="auto" w:fill="auto"/>
          <w:lang w:val="hr-HR" w:eastAsia="hr-HR" w:bidi="hr-HR"/>
        </w:rPr>
        <w:t>undAufsatze (1933-35),</w:t>
      </w:r>
      <w:r>
        <w:rPr>
          <w:rFonts w:ascii="Times New Roman" w:eastAsia="Times New Roman" w:hAnsi="Times New Roman" w:cs="Times New Roman"/>
          <w:color w:val="000000"/>
          <w:spacing w:val="0"/>
          <w:w w:val="100"/>
          <w:position w:val="0"/>
          <w:shd w:val="clear" w:color="auto" w:fill="auto"/>
          <w:lang w:val="hr-HR" w:eastAsia="hr-HR" w:bidi="hr-HR"/>
        </w:rPr>
        <w:t xml:space="preserve"> 1936, 68). Doduše, židovstvo karakterizira samostalna volja za djelo; no činitelj djela i ovdje je upućen na Boga. Izboru i trudu čovjeka priklanja se na tajanstven način pomoć mi</w:t>
        <w:softHyphen/>
        <w:t xml:space="preserve">losti Božje: »Reš Lakiš (III. stoljeće) rekao je: ... Tko se želi onečistiti (grijesima), daje mu se (od Boga) prigoda; tko želi ostati čist, pomoći će mu (Bog) u tome« (b Joma 38b; Sabat 104a; Menahot 29b;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55a). Aktivni angažman znak je židovstva; međutim, shvaća se pogrešno kao zahtjev koji se proteže isključivo na odnos čovjeka prema čovjeku. Bez proživljenog odnosa Bog-čovjck-uzajamnost židovstvo bi bilo sa</w:t>
        <w:softHyphen/>
        <w:t>mo socijalna etika; »Ne zbog svojih pobožnih djela podastiremo preda Te svoje molbe, već uzdajući se u Tvoje veliko milosrđe... naš si otac, mi smo glina, a ti si kipar, i svi smo djelo Tvojih ruku... Znamo da u nas nema (zaslužnih) djela, ljubav nam iskaži sebe radi.« Preoblikovanje ovoga svijeta, zapovjeđeno židovskom kao izabranom narodu, mora se dogoditi kao prožimanje zemaljskoga s Božjom voljom. »Graditelji« koji u tom sudjeluju djeluju s ovim ciljem: »Stoga Te čekamo, Ti naš Bože...; da svijet urediš za kraljevstvo Silnoga« (iz molitve Alejnu, kojom završava svako bogoslužje u sinagogi).</w:t>
      </w:r>
    </w:p>
    <w:p>
      <w:pPr>
        <w:pStyle w:val="Style33"/>
        <w:keepNext w:val="0"/>
        <w:keepLines w:val="0"/>
        <w:widowControl w:val="0"/>
        <w:numPr>
          <w:ilvl w:val="0"/>
          <w:numId w:val="5"/>
        </w:numPr>
        <w:shd w:val="clear" w:color="auto" w:fill="auto"/>
        <w:tabs>
          <w:tab w:pos="2545" w:val="left"/>
        </w:tabs>
        <w:bidi w:val="0"/>
        <w:spacing w:before="0" w:after="200" w:line="240" w:lineRule="auto"/>
        <w:ind w:left="2280" w:right="0" w:firstLine="0"/>
        <w:jc w:val="left"/>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en-US" w:eastAsia="en-US" w:bidi="en-US"/>
        </w:rPr>
        <w:t xml:space="preserve">Trad </w:t>
      </w: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i rano židovstvo</w:t>
      </w:r>
    </w:p>
    <w:p>
      <w:pPr>
        <w:pStyle w:val="Style33"/>
        <w:keepNext w:val="0"/>
        <w:keepLines w:val="0"/>
        <w:widowControl w:val="0"/>
        <w:shd w:val="clear" w:color="auto" w:fill="auto"/>
        <w:bidi w:val="0"/>
        <w:spacing w:before="0" w:after="0" w:line="264" w:lineRule="auto"/>
        <w:ind w:left="0" w:right="0" w:firstLine="380"/>
        <w:jc w:val="both"/>
        <w:sectPr>
          <w:headerReference w:type="default" r:id="rId29"/>
          <w:footerReference w:type="default" r:id="rId30"/>
          <w:headerReference w:type="even" r:id="rId31"/>
          <w:footerReference w:type="even" r:id="rId32"/>
          <w:headerReference w:type="first" r:id="rId33"/>
          <w:footerReference w:type="first" r:id="rId34"/>
          <w:footnotePr>
            <w:pos w:val="pageBottom"/>
            <w:numFmt w:val="decimal"/>
            <w:numStart w:val="5"/>
            <w:numRestart w:val="continuous"/>
            <w15:footnoteColumns w:val="1"/>
          </w:footnotePr>
          <w:pgSz w:w="6816" w:h="11006"/>
          <w:pgMar w:top="979" w:left="186" w:right="192" w:bottom="566"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Židovstvo u uobičajenom, svagdašnjem govoru nije »religija«: U njemu pripadnost narodu i vjerska pripadnost kao i spona s Erec Jisraelom (zemljom Izraelovom) čine jedinstvenu cjelinu. Ukorijenjena je u hebrejskoj Bibliji, koja je, doduše, prijeko po</w:t>
        <w:softHyphen/>
        <w:t xml:space="preserve">trebna kao osnova židovskom narodu, ali se s njim ne može potpuno izjednačiti. Biblija koja još nije zapravo židovska knjiga, potaknula je promjenu oblika koji se povijesno manifestirao u tradicijskom židovstvu. Obilježje je toga usmeni nauk kao aktualizira- no-kontinuirana i kodificirana interpretacija Biblije i židovski životni put (halaha) koji se iz toga razvija (M Avot 1,1; Edujot VIII,7). Na tu je svojstvenost podsjetio gaon </w:t>
      </w:r>
      <w:r>
        <w:rPr>
          <w:rFonts w:ascii="Times New Roman" w:eastAsia="Times New Roman" w:hAnsi="Times New Roman" w:cs="Times New Roman"/>
          <w:color w:val="000000"/>
          <w:spacing w:val="0"/>
          <w:w w:val="100"/>
          <w:position w:val="0"/>
          <w:shd w:val="clear" w:color="auto" w:fill="auto"/>
          <w:lang w:val="en-US" w:eastAsia="en-US" w:bidi="en-US"/>
        </w:rPr>
        <w:t xml:space="preserve">Saadja (IX./X. </w:t>
      </w:r>
      <w:r>
        <w:rPr>
          <w:rFonts w:ascii="Times New Roman" w:eastAsia="Times New Roman" w:hAnsi="Times New Roman" w:cs="Times New Roman"/>
          <w:color w:val="000000"/>
          <w:spacing w:val="0"/>
          <w:w w:val="100"/>
          <w:position w:val="0"/>
          <w:shd w:val="clear" w:color="auto" w:fill="auto"/>
          <w:lang w:val="hr-HR" w:eastAsia="hr-HR" w:bidi="hr-HR"/>
        </w:rPr>
        <w:t>stoljeće) kad su kršćanstvo i islam, prisvajajući pravo svjetskih religija, probili nacionalne granice: »Naš je narod nacija samo po svojim propisima« (Emunot vedeot 111,7). On time misli na cjelokupnu predaju, »pismenu« Toru (Petoknjižje) i (iz</w:t>
        <w:softHyphen/>
        <w:t>vorno) »usmenu« (Halaha, redigirana u Mišni). »Usmena« predaja nije nikada pot</w:t>
        <w:softHyphen/>
        <w:t xml:space="preserve">puno dovršena; njezin je glavni izvor talmudska literatura. Uz Bibliju to je drugi glavni stup na koji se naslanja židovstvo. Njegovo preživljavanje nakon razaranja Hrama i u stoljećima bez vlastite države osigurala su pravila ponašanja. Ona osvjetljavaju cijeli život Židova u odnosu na Boga i ne ispuštaju nijedno područje čovječjega života, bila to prehrana, seksualno i socijalno ponašanje ili gospodarska i politička mjera: »Nemaš ni jednu stvar na kojoj nema zapovijedi Božje«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8,25, usp. Tanhuma /S. </w:t>
      </w:r>
      <w:r>
        <w:rPr>
          <w:rFonts w:ascii="Times New Roman" w:eastAsia="Times New Roman" w:hAnsi="Times New Roman" w:cs="Times New Roman"/>
          <w:color w:val="000000"/>
          <w:spacing w:val="0"/>
          <w:w w:val="100"/>
          <w:position w:val="0"/>
          <w:shd w:val="clear" w:color="auto" w:fill="auto"/>
          <w:lang w:val="en-US" w:eastAsia="en-US" w:bidi="en-US"/>
        </w:rPr>
        <w:t>Bu</w:t>
        <w:softHyphen/>
        <w:t xml:space="preserve">ber/, </w:t>
      </w:r>
      <w:r>
        <w:rPr>
          <w:rFonts w:ascii="Times New Roman" w:eastAsia="Times New Roman" w:hAnsi="Times New Roman" w:cs="Times New Roman"/>
          <w:color w:val="000000"/>
          <w:spacing w:val="0"/>
          <w:w w:val="100"/>
          <w:position w:val="0"/>
          <w:shd w:val="clear" w:color="auto" w:fill="auto"/>
          <w:lang w:val="hr-HR" w:eastAsia="hr-HR" w:bidi="hr-HR"/>
        </w:rPr>
        <w:t xml:space="preserve">Šclah § 28). Cilj svih zapovijedi i zabrana je »posvećivanje« cjelokupnoga života. Poštovanje načela »čistoće« služi tomu da se ona postigne. Obilje odredbi, koje uče </w:t>
      </w:r>
    </w:p>
    <w:p>
      <w:pPr>
        <w:pStyle w:val="Style33"/>
        <w:keepNext w:val="0"/>
        <w:keepLines w:val="0"/>
        <w:widowControl w:val="0"/>
        <w:shd w:val="clear" w:color="auto" w:fill="auto"/>
        <w:bidi w:val="0"/>
        <w:spacing w:before="0" w:after="0" w:line="26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razlikovati »čisto« od »nečistog«, »dopušteno« od »nedopuštenog«, putovi su koji čo</w:t>
        <w:softHyphen/>
        <w:t>vjeku svakoga dana pružaju priliku da u sebi probudi spremnost na predanost Božjoj volji, da Boga izrazi u djelima, da se u ispunjenju sjedini s Bogom. Blagoslov Božji prije davanja zapovijedi (micva) treba potaknuti pravu svijest u kojoj će se izvršiti micva: »Blagoslovljen budi. Gospodine, naš Bože, kralju svijeta, koji si nas posvetio svojim za</w:t>
        <w:softHyphen/>
        <w:t>povijedima (mievot).« Židov izvršava tu radnju radi svoje svetosti. »Ljubili njega, Boga svoga, liodili svim njegovim putovima i čvrsto se priljubili uz njega« (Pnz 11,22); ta sličnost radnje spaja čovjeka s Bogom.</w:t>
      </w:r>
    </w:p>
    <w:p>
      <w:pPr>
        <w:pStyle w:val="Style33"/>
        <w:keepNext w:val="0"/>
        <w:keepLines w:val="0"/>
        <w:widowControl w:val="0"/>
        <w:shd w:val="clear" w:color="auto" w:fill="auto"/>
        <w:bidi w:val="0"/>
        <w:spacing w:before="0" w:after="0" w:line="262"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Ž.idov usmjeren na halahu vidi sebe svrstanog u dug tradicijski lanac - od patri</w:t>
        <w:softHyphen/>
        <w:t xml:space="preserve">jarha do sadašnjosti. Osobnom zadaćom smatra poučno prenositi Bož.ju objavu Tore - primjerom i poučavanjem - djeci i unucima (M Avot IV,5; b Sanhrcdin 19b; Vajikra raba XXII,17,3) i time osigurati kontinuitet Božjeg naroda Izraela i sačuvati židovsku zajednicu: »Svi Izraelci jamče jedan za drugoga« (Sil'ra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26,37; Savuot 39a; Roš ha-šana 29a); »Ne odvajaj se od zajednice« (M Avot 11,4, usp. b Berahot 49b). Židov koji živi tradicijski nastoji s razmjernom suzdržanošću svesti svaku djelatnost pod uvjete koji se moraju orijentirati na Božje zapovijedi. Dragovoljno i privremeno povlači se od svijeta, postom stječe odmak prema sebi i svojim bližnjima i zbog vremenski određenog ograničenja tjelesnih potreba jača svoje duhovne i moralne snage (b Bava </w:t>
      </w:r>
      <w:r>
        <w:rPr>
          <w:rFonts w:ascii="Times New Roman" w:eastAsia="Times New Roman" w:hAnsi="Times New Roman" w:cs="Times New Roman"/>
          <w:color w:val="000000"/>
          <w:spacing w:val="0"/>
          <w:w w:val="100"/>
          <w:position w:val="0"/>
          <w:shd w:val="clear" w:color="auto" w:fill="auto"/>
          <w:lang w:val="en-US" w:eastAsia="en-US" w:bidi="en-US"/>
        </w:rPr>
        <w:t xml:space="preserve">meeia </w:t>
      </w:r>
      <w:r>
        <w:rPr>
          <w:rFonts w:ascii="Times New Roman" w:eastAsia="Times New Roman" w:hAnsi="Times New Roman" w:cs="Times New Roman"/>
          <w:color w:val="000000"/>
          <w:spacing w:val="0"/>
          <w:w w:val="100"/>
          <w:position w:val="0"/>
          <w:shd w:val="clear" w:color="auto" w:fill="auto"/>
          <w:lang w:val="hr-HR" w:eastAsia="hr-HR" w:bidi="hr-HR"/>
        </w:rPr>
        <w:t>85a). I premda držao sabat i blagdane, točno poštovao propise o jelu i odredbe o braku, ipak ne bi u smislu tradicije bio pravi Židov bez kušnje u međuljudskim pod</w:t>
        <w:softHyphen/>
        <w:t>ručjima društva, gospodarstva i politike, analogno Hilclovoj riječi: »Budi među učeni</w:t>
        <w:softHyphen/>
        <w:t>cima Aharonovim (Aronovim), ljubeći mir i težeći za mirom, ljubeći ljude i vodeći ih k Tori«, analogno Santajevoj poslovici: »Neka ti učenje Tore bude stalni posao (čvrsto određen, koji se stalno obavlja, nikada ne propušta, usp. Berahot 35b); govori malo, a čini puno (usp. Bava mecia 87a) i primaj svakoga čovjeka ljubaznim licem« i analogno izreci Simuna ben Gamalijcla II. (II. stoljeće): »Svijet počiva na tri stvari, na istini (po</w:t>
        <w:softHyphen/>
        <w:t>uzdanosti), na pravu i na miru« (M Avot 1,12,15,18).</w:t>
      </w:r>
    </w:p>
    <w:p>
      <w:pPr>
        <w:pStyle w:val="Style33"/>
        <w:keepNext w:val="0"/>
        <w:keepLines w:val="0"/>
        <w:widowControl w:val="0"/>
        <w:shd w:val="clear" w:color="auto" w:fill="auto"/>
        <w:bidi w:val="0"/>
        <w:spacing w:before="0" w:after="0" w:line="262" w:lineRule="auto"/>
        <w:ind w:left="0" w:right="0" w:firstLine="380"/>
        <w:jc w:val="both"/>
        <w:sectPr>
          <w:headerReference w:type="default" r:id="rId35"/>
          <w:footerReference w:type="default" r:id="rId36"/>
          <w:headerReference w:type="even" r:id="rId37"/>
          <w:footerReference w:type="even" r:id="rId38"/>
          <w:footnotePr>
            <w:pos w:val="pageBottom"/>
            <w:numFmt w:val="decimal"/>
            <w:numStart w:val="5"/>
            <w:numRestart w:val="continuous"/>
            <w15:footnoteColumns w:val="1"/>
          </w:footnotePr>
          <w:pgSz w:w="6816" w:h="11006"/>
          <w:pgMar w:top="979" w:left="186" w:right="192" w:bottom="566" w:header="0" w:footer="3" w:gutter="0"/>
          <w:pgNumType w:start="22"/>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Premda utvrđeni osebujni životni put treba autoritativno voditi način života sva</w:t>
        <w:softHyphen/>
        <w:t>koga pojedinog Židova, i premda je Erec Jisrael tradicije uvijek cilj njegove molitve i intenzivnoga proučavanja zbog »zapovijedi neodvojivih od zemlje«, židovstvo nije na- cionalno-religijska zajednica ekskluzivno stroge pravde prema religiji srca, ljubavi i mi</w:t>
        <w:softHyphen/>
        <w:t xml:space="preserve">losti: »Mojsiju je predano šest stotina trinaest propisa... Zatim je došao David i sveo ih na jedanaest... Zatim je došao Izaija i sveo ih na šest... Zatim je došao Mihcj i sveo ih na tri... Zatim je ponovno došao Izaija i sveo ih na dva... Nakon toga došao je Antos i sveo ih na jedan, jer se ovako govori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5,4): ‘Jer ovako govoraše moj gospodin, ON, domu Jisraelovu: Tražite me i živjet ćete’« (b Makot 23b-24a). Ovdje se razumijevanje zapovijedi posebno jasno odražava: Židov ne služi »zakonu« koji ga tlači i pod čijim bi teretom morao uzdisati. Bog hoće da ga čovjek traži dok je živ. Tomu trebaju pomoći zapovijedi. Poštovanje tih zapovijedi je zapovjeđeno; ali zanemarivanje pojedinih ob</w:t>
        <w:softHyphen/>
        <w:t xml:space="preserve">rednih propisa nije povezano s vječnim prokletstvom. Određene religijske odredbe štitile su židovski narod u starom vijeku od hclcnizacije, a od srednjega do novog vijeka od asimilacije, među njima one o uživanju dopuštenih i zabranjenih jela kao i zahtjev za najmanjim brojem </w:t>
      </w:r>
      <w:r>
        <w:rPr>
          <w:rFonts w:ascii="Times New Roman" w:eastAsia="Times New Roman" w:hAnsi="Times New Roman" w:cs="Times New Roman"/>
          <w:i/>
          <w:iCs/>
          <w:color w:val="000000"/>
          <w:spacing w:val="0"/>
          <w:w w:val="100"/>
          <w:position w:val="0"/>
          <w:shd w:val="clear" w:color="auto" w:fill="auto"/>
          <w:lang w:val="hr-HR" w:eastAsia="hr-HR" w:bidi="hr-HR"/>
        </w:rPr>
        <w:t>(minjan)</w:t>
      </w:r>
      <w:r>
        <w:rPr>
          <w:rFonts w:ascii="Times New Roman" w:eastAsia="Times New Roman" w:hAnsi="Times New Roman" w:cs="Times New Roman"/>
          <w:color w:val="000000"/>
          <w:spacing w:val="0"/>
          <w:w w:val="100"/>
          <w:position w:val="0"/>
          <w:shd w:val="clear" w:color="auto" w:fill="auto"/>
          <w:lang w:val="hr-HR" w:eastAsia="hr-HR" w:bidi="hr-HR"/>
        </w:rPr>
        <w:t xml:space="preserve"> od deset muških Židova bez kojih se ne smije obaviti pot</w:t>
        <w:softHyphen/>
        <w:t xml:space="preserve">puna javna služba Božja (M Megila IV.3: b 23b; usp. M Avot 111,6). Tradicijsko </w:t>
      </w:r>
    </w:p>
    <w:p>
      <w:pPr>
        <w:pStyle w:val="Style33"/>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židovstvo traži Boga u neposrednim obvezama koje se moraju izvršiti, a izvršitelj »na to usmjerava svoje srce« (kavana, M Berahot 11,1) i djeluje »zarad’ imena neba ( = Boga)« (li-šrna, M Avot 11,12), bez zahtjeva za nagradom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1,3), s obećanjem: »Nisi obve</w:t>
        <w:softHyphen/>
        <w:t xml:space="preserve">zan izvršiti posao, ali ne smiješ ga se osloboditi«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11,16). Tradicijsko židovstvo živi na spoznaji o tijesnoj povezanosti s Bogom kao ocem, koju rabinsko-talmudsko ži</w:t>
        <w:softHyphen/>
        <w:t xml:space="preserve">dovstvo jasno formulira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111,14; Kidušin 36a: Bava batra 10a; Bava mccia 59b). Bezazlenošću prave djece, koja poznaju i vole svojega oca na nebu, mudraci su spjevali: »Dvanaest sati ima dan; prva tri sata sjedi svetac, hvaljen budi, i bavi sc Torom; drugoga sata sjedi on i upravlja cijelim svijetom, a čim opazi da sc svijet okrivljuje zbog uništenja, diže sc sa stolca pravde i sjeda na stolac milosrđa; trećega sata sjedi i hrani cijeli svijet, od rogatih bivola do gnjida; četvrtoga sata svetac sjedi, hvaljen budi, i šali se s Levijatanom...«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3b).</w:t>
      </w:r>
    </w:p>
    <w:p>
      <w:pPr>
        <w:pStyle w:val="Style33"/>
        <w:keepNext w:val="0"/>
        <w:keepLines w:val="0"/>
        <w:widowControl w:val="0"/>
        <w:shd w:val="clear" w:color="auto" w:fill="auto"/>
        <w:bidi w:val="0"/>
        <w:spacing w:before="0" w:after="0" w:line="262" w:lineRule="auto"/>
        <w:ind w:left="0" w:right="0"/>
        <w:jc w:val="both"/>
        <w:sectPr>
          <w:headerReference w:type="default" r:id="rId39"/>
          <w:footerReference w:type="default" r:id="rId40"/>
          <w:headerReference w:type="even" r:id="rId41"/>
          <w:footerReference w:type="even" r:id="rId42"/>
          <w:footnotePr>
            <w:pos w:val="pageBottom"/>
            <w:numFmt w:val="decimal"/>
            <w:numStart w:val="5"/>
            <w:numRestart w:val="continuous"/>
            <w15:footnoteColumns w:val="1"/>
          </w:footnotePr>
          <w:pgSz w:w="6816" w:h="11006"/>
          <w:pgMar w:top="979" w:left="186" w:right="192" w:bottom="566" w:header="0" w:footer="3" w:gutter="0"/>
          <w:pgNumType w:start="19"/>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Vrijednost hebrejske Biblije pokazala sc upravo u svojoj imanentnoj mogućnosti tumačenja u promijenjenim situacijama. Mišna koja je tumači iz razdoblja ranih učite</w:t>
        <w:softHyphen/>
        <w:t>lja usmene predaje (tanaiti, otprilike do 200. godine) dobila je potrebni komentar kasnijih tumača (amoraji, otprilike do 500. pos. Kr.). Promjene doba prisilile su mu</w:t>
        <w:softHyphen/>
        <w:t>drace na prilagodbu obveznih normi židovskoga života na nove prilike; karakter objave u »pismenoj« i »usmenoj« Tori tražio je od njih da sc to dogodi bez gubitka supstancije. Već zarana osjetila se težina toga procesa. Jedna rabinska legenda ironično priča o tome kako Mojsijc sam više ništa ne shvaća ako Rabi Akiva tumači »pismenu« Toru koju je od njega primio i da sc samo time tješi kako i za tumačenje vrijedi: »To je ha- laha koju je Mojsije dobio na Sinaju.« Istodobno ona izričito naglašava slobodu Boga za razliku od onih kojima je on povjerio Toru (b Menahot 29b). Sve do dobrano u XVIII. stoljeću halaška jc disciplina davala pečat obliku života u židovskoj zajednici. Otada jc priznaje još samo ortodoksna manjina u židovstvu, premda jc ona znatna. Pristaše konzervativnog židovstva, koji su pozdravili konac getoizacije Židova i njihovu emancipaciju, te odvajanje od države i Crkve, spoznali su da su neizbježne određene promjene u načinu židovskoga života. Potrebne transformacije obrazložili su biblijskim i rabinskim primjerima iz cjelokupne židovske povijesti kao posljedicu promjena. Nosi</w:t>
        <w:softHyphen/>
        <w:t>telji konzervativnoga smjera ocjenjuju tradicijske oblike i propise u židovstvu kao učinkovite, pa na primjenu promjena pristaju gotovo nevoljko. Prilično su tolerantni prema oštrim braniteljima novina, ali pritom se brinu da takvi planovi ne utječu na bitne konzervativne zahtjeve poput vjernosti hebrejskom jeziku u bogoslužju i pošto</w:t>
        <w:softHyphen/>
        <w:t>vanja zapovijedi u vezi s jelom i sabatom. Naprotiv, reformski je pokret u svojem pro</w:t>
        <w:softHyphen/>
        <w:t xml:space="preserve">gramu (1885, Pittsburška platforma) proglasio sve biblijske i rabinske odredbe o hrani, svećeničkoj čistoći i odjeći vremenski uvjetovanima i nepotrebnima. «... </w:t>
      </w:r>
      <w:r>
        <w:rPr>
          <w:rFonts w:ascii="Times New Roman" w:eastAsia="Times New Roman" w:hAnsi="Times New Roman" w:cs="Times New Roman"/>
          <w:color w:val="000000"/>
          <w:spacing w:val="0"/>
          <w:w w:val="100"/>
          <w:position w:val="0"/>
          <w:shd w:val="clear" w:color="auto" w:fill="auto"/>
          <w:lang w:val="en-US" w:eastAsia="en-US" w:bidi="en-US"/>
        </w:rPr>
        <w:t>altogether for</w:t>
        <w:softHyphen/>
        <w:t xml:space="preserve">eign to our present mental and spiritual state...; their observance in our days is apt rather to obstruct than to further modern spiritual elevation« </w:t>
      </w:r>
      <w:r>
        <w:rPr>
          <w:rFonts w:ascii="Times New Roman" w:eastAsia="Times New Roman" w:hAnsi="Times New Roman" w:cs="Times New Roman"/>
          <w:color w:val="000000"/>
          <w:spacing w:val="0"/>
          <w:w w:val="100"/>
          <w:position w:val="0"/>
          <w:shd w:val="clear" w:color="auto" w:fill="auto"/>
          <w:lang w:val="hr-HR" w:eastAsia="hr-HR" w:bidi="hr-HR"/>
        </w:rPr>
        <w:t xml:space="preserve">(Četvrto načelo), čvrsto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 xml:space="preserve">drži obveze samo moralnoga statuta Biblije: </w:t>
      </w:r>
      <w:r>
        <w:rPr>
          <w:rFonts w:ascii="Times New Roman" w:eastAsia="Times New Roman" w:hAnsi="Times New Roman" w:cs="Times New Roman"/>
          <w:color w:val="000000"/>
          <w:spacing w:val="0"/>
          <w:w w:val="100"/>
          <w:position w:val="0"/>
          <w:shd w:val="clear" w:color="auto" w:fill="auto"/>
          <w:lang w:val="en-US" w:eastAsia="en-US" w:bidi="en-US"/>
        </w:rPr>
        <w:t xml:space="preserve">»(We) maintain only such ceremonies as elevate and sanctify our lives, but reject all such as are not adapted to the views and habits of modern civilization« </w:t>
      </w:r>
      <w:r>
        <w:rPr>
          <w:rFonts w:ascii="Times New Roman" w:eastAsia="Times New Roman" w:hAnsi="Times New Roman" w:cs="Times New Roman"/>
          <w:color w:val="000000"/>
          <w:spacing w:val="0"/>
          <w:w w:val="100"/>
          <w:position w:val="0"/>
          <w:shd w:val="clear" w:color="auto" w:fill="auto"/>
          <w:lang w:val="hr-HR" w:eastAsia="hr-HR" w:bidi="hr-HR"/>
        </w:rPr>
        <w:t>(Treće načelo). Različita religijska strujanja međusobno sc bore za prave odgovore i pitanja može li biti Zidova bez posebnoga židovskog život</w:t>
        <w:softHyphen/>
        <w:t>nog puta, treba li halaha vladati židovskom zajednicom u državi Izrael, kako misija židovskoga naroda svijetu može biti vidljivom i biti učinkovitom za narode svijeta.</w:t>
      </w:r>
    </w:p>
    <w:p>
      <w:pPr>
        <w:pStyle w:val="Style33"/>
        <w:keepNext w:val="0"/>
        <w:keepLines w:val="0"/>
        <w:widowControl w:val="0"/>
        <w:numPr>
          <w:ilvl w:val="0"/>
          <w:numId w:val="5"/>
        </w:numPr>
        <w:shd w:val="clear" w:color="auto" w:fill="auto"/>
        <w:tabs>
          <w:tab w:pos="1579" w:val="left"/>
        </w:tabs>
        <w:bidi w:val="0"/>
        <w:spacing w:before="0" w:after="220" w:line="240" w:lineRule="auto"/>
        <w:ind w:left="1300" w:right="0" w:firstLine="0"/>
        <w:jc w:val="left"/>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Partikularnost i univerzalnost u židovstvu</w:t>
      </w:r>
    </w:p>
    <w:p>
      <w:pPr>
        <w:pStyle w:val="Style33"/>
        <w:keepNext w:val="0"/>
        <w:keepLines w:val="0"/>
        <w:widowControl w:val="0"/>
        <w:shd w:val="clear" w:color="auto" w:fill="auto"/>
        <w:bidi w:val="0"/>
        <w:spacing w:before="0" w:after="80"/>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Središnja riječ u Tori (Pnz. 6,4), zajednička za sve pravce, izražava napetost, svoj</w:t>
        <w:softHyphen/>
        <w:t>stvenu židovstvu, između partikularnosti i univerzalnosti: »Čuj, Izraele« - taj je poziv upućen izabranom narodu (Izl 19,5). On je opunomoćen da jednoga jedinog, gospo</w:t>
        <w:softHyphen/>
        <w:t xml:space="preserve">dara svega stvorenoga (Sef 3,9; Zah 14,9; Mal 1,11) traži i prizna kao svojega Boga: »ON naš Bog, ON jedini!« Stoga se smatra da je židovstvo određeno kao vlastiti narod s univerzalnom zadaćom (Iz 42,1-4,6, 43,21), koja se ipak ne može drukčije prihvatiti nego u stalnoj kritičnoj identifikaciji (Pnz 7,6 i d.;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2,4 i d.; 3,1 i d.; b Hulin 89a; Hagiga 9b). Nakon očitosti tradicijskoga židovstva tek njegov posebni oblik života omogućava židovskom narodu njegovu univerzalnu službu svijetu naroda. No halaha, koja cijelu egzistenciju Židova ograničava u egzaktni sustav, širokogrudno se otvara nežidovu: »Pobožni među narodima imaju udjela u nadolazećem svijetu« (Tos. </w:t>
      </w:r>
      <w:r>
        <w:rPr>
          <w:rFonts w:ascii="Times New Roman" w:eastAsia="Times New Roman" w:hAnsi="Times New Roman" w:cs="Times New Roman"/>
          <w:color w:val="000000"/>
          <w:spacing w:val="0"/>
          <w:w w:val="100"/>
          <w:position w:val="0"/>
          <w:shd w:val="clear" w:color="auto" w:fill="auto"/>
          <w:lang w:val="en-US" w:eastAsia="en-US" w:bidi="en-US"/>
        </w:rPr>
        <w:t>Sanhe</w:t>
        <w:softHyphen/>
        <w:t xml:space="preserve">drin </w:t>
      </w:r>
      <w:r>
        <w:rPr>
          <w:rFonts w:ascii="Times New Roman" w:eastAsia="Times New Roman" w:hAnsi="Times New Roman" w:cs="Times New Roman"/>
          <w:color w:val="000000"/>
          <w:spacing w:val="0"/>
          <w:w w:val="100"/>
          <w:position w:val="0"/>
          <w:shd w:val="clear" w:color="auto" w:fill="auto"/>
          <w:lang w:val="hr-HR" w:eastAsia="hr-HR" w:bidi="hr-HR"/>
        </w:rPr>
        <w:t xml:space="preserve">XIII, 2). Ovdje su u vidu svi ljudi koji, kao nasljednici nežidovskoga pravednika i oca naroda Noe, poštuju zapovijedi što ih je on dobio (Post 9;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64b;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56b). U srednjem vijeku tom je načelu s početka II. stoljeća pribavio priznanje u židovstvu Majmonid u svojem velikom zakonskom kodeksu (Misne Tora, Hilhot mela- him VIII,11). Halaha, koja Židovu postavlja norme ponašanja, treba štititi židovski narod i sačuvati ga u njegovoj posebnosti za svjetsku misiju (M Avot 1,1). Njegov par</w:t>
        <w:softHyphen/>
        <w:t>tikularizam daje židovstvu jakost kako spas naroda ne bi ovisio o njihovu nacionalnom, religijskom i kulturnom raspadanju i kako bi se vezao za primanje u židovstvo (Mih 4,4 i d.). Cilj za koji se zalaže židovska zajednica nakon brisanja svih razlika nije apstraktno čovječanstvo, već mir između naroda koji se nastavljaju razvijati u svojoj osobitosti, naroda koji se, vezom zajedničkom svim ljudima, obraćaju jednom istom Bogu i daju mu da im pokaže put (Iz 2,2-5; Mih 4,1-5). To židovsko očekivanje budućnosti mesi</w:t>
        <w:softHyphen/>
        <w:t>janskoga, Božjeg vladanja svijetom naziva Ercc Jisrael prostorom njezina povijesnog ostvarenja; no ona nijednom čovjeku ne isključuje mogućnost povratka Bogu Izraelo- vu, gospodaru svijeta (Jon 4,10 i d.). Učitelj iz III. stoljeća daje Bogu da o nežidovima kaže: »Oni su me napustili; neću se na to osvrtati ako se samo drže moje Tore... Budu li to činili, svjetlo Tore ponovno će mi ih približiti« (j Hagiga 1,7,76c).</w:t>
      </w:r>
    </w:p>
    <w:p>
      <w:pPr>
        <w:pStyle w:val="Style56"/>
        <w:keepNext w:val="0"/>
        <w:keepLines w:val="0"/>
        <w:widowControl w:val="0"/>
        <w:shd w:val="clear" w:color="auto" w:fill="auto"/>
        <w:bidi w:val="0"/>
        <w:spacing w:before="0" w:after="120"/>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1978,10,383-97; 5,901-06; 14,23-28; L. </w:t>
      </w:r>
      <w:r>
        <w:rPr>
          <w:color w:val="000000"/>
          <w:spacing w:val="0"/>
          <w:w w:val="100"/>
          <w:position w:val="0"/>
          <w:shd w:val="clear" w:color="auto" w:fill="auto"/>
        </w:rPr>
        <w:t xml:space="preserve">Baeck, </w:t>
      </w:r>
      <w:r>
        <w:rPr>
          <w:i/>
          <w:iCs/>
          <w:color w:val="000000"/>
          <w:spacing w:val="0"/>
          <w:w w:val="100"/>
          <w:position w:val="0"/>
          <w:shd w:val="clear" w:color="auto" w:fill="auto"/>
        </w:rPr>
        <w:t>Das Wesen des Judenlums,</w:t>
      </w:r>
      <w:r>
        <w:rPr>
          <w:color w:val="000000"/>
          <w:spacing w:val="0"/>
          <w:w w:val="100"/>
          <w:position w:val="0"/>
          <w:shd w:val="clear" w:color="auto" w:fill="auto"/>
        </w:rPr>
        <w:t xml:space="preserve"> 1905, </w:t>
      </w:r>
      <w:r>
        <w:rPr>
          <w:color w:val="000000"/>
          <w:spacing w:val="0"/>
          <w:w w:val="100"/>
          <w:position w:val="0"/>
          <w:shd w:val="clear" w:color="auto" w:fill="auto"/>
          <w:vertAlign w:val="superscript"/>
        </w:rPr>
        <w:t>(</w:t>
      </w:r>
      <w:r>
        <w:rPr>
          <w:color w:val="000000"/>
          <w:spacing w:val="0"/>
          <w:w w:val="100"/>
          <w:position w:val="0"/>
          <w:shd w:val="clear" w:color="auto" w:fill="auto"/>
        </w:rPr>
        <w:t xml:space="preserve">T966, M. Brod, </w:t>
      </w:r>
      <w:r>
        <w:rPr>
          <w:i/>
          <w:iCs/>
          <w:color w:val="000000"/>
          <w:spacing w:val="0"/>
          <w:w w:val="100"/>
          <w:position w:val="0"/>
          <w:shd w:val="clear" w:color="auto" w:fill="auto"/>
        </w:rPr>
        <w:t>Heidentum, Christentum, Judentum</w:t>
      </w:r>
      <w:r>
        <w:rPr>
          <w:color w:val="000000"/>
          <w:spacing w:val="0"/>
          <w:w w:val="100"/>
          <w:position w:val="0"/>
          <w:shd w:val="clear" w:color="auto" w:fill="auto"/>
        </w:rPr>
        <w:t xml:space="preserve"> I—II, 1921; M. Buber, </w:t>
      </w:r>
      <w:r>
        <w:rPr>
          <w:i/>
          <w:iCs/>
          <w:color w:val="000000"/>
          <w:spacing w:val="0"/>
          <w:w w:val="100"/>
          <w:position w:val="0"/>
          <w:shd w:val="clear" w:color="auto" w:fill="auto"/>
        </w:rPr>
        <w:t>On Judaism,</w:t>
      </w:r>
      <w:r>
        <w:rPr>
          <w:color w:val="000000"/>
          <w:spacing w:val="0"/>
          <w:w w:val="100"/>
          <w:position w:val="0"/>
          <w:shd w:val="clear" w:color="auto" w:fill="auto"/>
        </w:rPr>
        <w:t xml:space="preserve"> </w:t>
      </w:r>
      <w:r>
        <w:rPr>
          <w:color w:val="000000"/>
          <w:spacing w:val="0"/>
          <w:w w:val="100"/>
          <w:position w:val="0"/>
          <w:shd w:val="clear" w:color="auto" w:fill="auto"/>
          <w:vertAlign w:val="superscript"/>
        </w:rPr>
        <w:t>3</w:t>
      </w:r>
      <w:r>
        <w:rPr>
          <w:color w:val="000000"/>
          <w:spacing w:val="0"/>
          <w:w w:val="100"/>
          <w:position w:val="0"/>
          <w:shd w:val="clear" w:color="auto" w:fill="auto"/>
        </w:rPr>
        <w:t xml:space="preserve">1977; R. Wcltsch.^n </w:t>
      </w:r>
      <w:r>
        <w:rPr>
          <w:i/>
          <w:iCs/>
          <w:color w:val="000000"/>
          <w:spacing w:val="0"/>
          <w:w w:val="100"/>
          <w:position w:val="0"/>
          <w:shd w:val="clear" w:color="auto" w:fill="auto"/>
        </w:rPr>
        <w:t xml:space="preserve">der Wende des </w:t>
      </w:r>
      <w:r>
        <w:rPr>
          <w:i/>
          <w:iCs/>
          <w:color w:val="000000"/>
          <w:spacing w:val="0"/>
          <w:w w:val="100"/>
          <w:position w:val="0"/>
          <w:shd w:val="clear" w:color="auto" w:fill="auto"/>
        </w:rPr>
        <w:t>niodern.cn</w:t>
      </w:r>
      <w:r>
        <w:rPr>
          <w:i/>
          <w:iCs/>
          <w:color w:val="000000"/>
          <w:spacing w:val="0"/>
          <w:w w:val="100"/>
          <w:position w:val="0"/>
          <w:shd w:val="clear" w:color="auto" w:fill="auto"/>
        </w:rPr>
        <w:t xml:space="preserve"> Judenlums,</w:t>
      </w:r>
      <w:r>
        <w:rPr>
          <w:color w:val="000000"/>
          <w:spacing w:val="0"/>
          <w:w w:val="100"/>
          <w:position w:val="0"/>
          <w:shd w:val="clear" w:color="auto" w:fill="auto"/>
        </w:rPr>
        <w:t xml:space="preserve"> 1972; E. Simon, </w:t>
      </w:r>
      <w:r>
        <w:rPr>
          <w:i/>
          <w:iCs/>
          <w:color w:val="000000"/>
          <w:spacing w:val="0"/>
          <w:w w:val="100"/>
          <w:position w:val="0"/>
          <w:shd w:val="clear" w:color="auto" w:fill="auto"/>
        </w:rPr>
        <w:t>Entscheidung aim Judentum. Essays und Vonrage,</w:t>
      </w:r>
      <w:r>
        <w:rPr>
          <w:color w:val="000000"/>
          <w:spacing w:val="0"/>
          <w:w w:val="100"/>
          <w:position w:val="0"/>
          <w:shd w:val="clear" w:color="auto" w:fill="auto"/>
        </w:rPr>
        <w:t xml:space="preserve"> 1980; L. Prijs, </w:t>
      </w:r>
      <w:r>
        <w:rPr>
          <w:i/>
          <w:iCs/>
          <w:color w:val="000000"/>
          <w:spacing w:val="0"/>
          <w:w w:val="100"/>
          <w:position w:val="0"/>
          <w:shd w:val="clear" w:color="auto" w:fill="auto"/>
        </w:rPr>
        <w:t>Die judische Religion. Eine Einfiihmng, WIT,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Die</w:t>
      </w:r>
      <w:r>
        <w:rPr>
          <w:color w:val="000000"/>
          <w:spacing w:val="0"/>
          <w:w w:val="100"/>
          <w:position w:val="0"/>
          <w:shd w:val="clear" w:color="auto" w:fill="auto"/>
        </w:rPr>
        <w:t xml:space="preserve"> BVh </w:t>
      </w:r>
      <w:r>
        <w:rPr>
          <w:i/>
          <w:iCs/>
          <w:color w:val="000000"/>
          <w:spacing w:val="0"/>
          <w:w w:val="100"/>
          <w:position w:val="0"/>
          <w:shd w:val="clear" w:color="auto" w:fill="auto"/>
        </w:rPr>
        <w:t>des Judenlums. Religion, Gesciuchte, Ee- bensweise.</w:t>
      </w:r>
      <w:r>
        <w:rPr>
          <w:color w:val="000000"/>
          <w:spacing w:val="0"/>
          <w:w w:val="100"/>
          <w:position w:val="0"/>
          <w:shd w:val="clear" w:color="auto" w:fill="auto"/>
        </w:rPr>
        <w:t xml:space="preserve"> 1982; V Gebhardt, </w:t>
      </w:r>
      <w:r>
        <w:rPr>
          <w:i/>
          <w:iCs/>
          <w:color w:val="000000"/>
          <w:spacing w:val="0"/>
          <w:w w:val="100"/>
          <w:position w:val="0"/>
          <w:shd w:val="clear" w:color="auto" w:fill="auto"/>
        </w:rPr>
        <w:t>Jiidisches Eehen ini jiidischen Ritual,</w:t>
      </w:r>
      <w:r>
        <w:rPr>
          <w:color w:val="000000"/>
          <w:spacing w:val="0"/>
          <w:w w:val="100"/>
          <w:position w:val="0"/>
          <w:shd w:val="clear" w:color="auto" w:fill="auto"/>
        </w:rPr>
        <w:t xml:space="preserve"> 1980.</w:t>
      </w:r>
    </w:p>
    <w:p>
      <w:pPr>
        <w:pStyle w:val="Style56"/>
        <w:keepNext w:val="0"/>
        <w:keepLines w:val="0"/>
        <w:widowControl w:val="0"/>
        <w:shd w:val="clear" w:color="auto" w:fill="auto"/>
        <w:bidi w:val="0"/>
        <w:spacing w:before="0" w:after="0" w:line="259" w:lineRule="auto"/>
        <w:ind w:left="0" w:right="0" w:firstLine="0"/>
        <w:jc w:val="both"/>
        <w:rPr>
          <w:sz w:val="13"/>
          <w:szCs w:val="13"/>
        </w:rPr>
      </w:pPr>
      <w:r>
        <w:rPr>
          <w:color w:val="000000"/>
          <w:spacing w:val="0"/>
          <w:w w:val="100"/>
          <w:position w:val="0"/>
          <w:sz w:val="13"/>
          <w:szCs w:val="13"/>
          <w:shd w:val="clear" w:color="auto" w:fill="auto"/>
          <w:lang w:val="hr-HR" w:eastAsia="hr-HR" w:bidi="hr-HR"/>
        </w:rPr>
        <w:t>BIBLIOGRAFSKE UPUTE</w:t>
      </w:r>
    </w:p>
    <w:p>
      <w:pPr>
        <w:pStyle w:val="Style56"/>
        <w:keepNext w:val="0"/>
        <w:keepLines w:val="0"/>
        <w:widowControl w:val="0"/>
        <w:shd w:val="clear" w:color="auto" w:fill="auto"/>
        <w:bidi w:val="0"/>
        <w:spacing w:before="0" w:after="120"/>
        <w:ind w:left="0" w:right="0" w:firstLine="0"/>
        <w:jc w:val="both"/>
      </w:pPr>
      <w:r>
        <w:rPr>
          <w:color w:val="000000"/>
          <w:spacing w:val="0"/>
          <w:w w:val="100"/>
          <w:position w:val="0"/>
          <w:shd w:val="clear" w:color="auto" w:fill="auto"/>
          <w:lang w:val="hr-HR" w:eastAsia="hr-HR" w:bidi="hr-HR"/>
        </w:rPr>
        <w:t xml:space="preserve">Biblijski citati uzeti iz M. Bubcr/F. </w:t>
      </w:r>
      <w:r>
        <w:rPr>
          <w:color w:val="000000"/>
          <w:spacing w:val="0"/>
          <w:w w:val="100"/>
          <w:position w:val="0"/>
          <w:shd w:val="clear" w:color="auto" w:fill="auto"/>
        </w:rPr>
        <w:t xml:space="preserve">Rosenzweig, </w:t>
      </w:r>
      <w:r>
        <w:rPr>
          <w:i/>
          <w:iCs/>
          <w:color w:val="000000"/>
          <w:spacing w:val="0"/>
          <w:w w:val="100"/>
          <w:position w:val="0"/>
          <w:shd w:val="clear" w:color="auto" w:fill="auto"/>
        </w:rPr>
        <w:t>Die Schrifi,</w:t>
      </w:r>
      <w:r>
        <w:rPr>
          <w:color w:val="000000"/>
          <w:spacing w:val="0"/>
          <w:w w:val="100"/>
          <w:position w:val="0"/>
          <w:shd w:val="clear" w:color="auto" w:fill="auto"/>
        </w:rPr>
        <w:t xml:space="preserve"> Heidelberg, I, ; II, </w:t>
      </w:r>
      <w:r>
        <w:rPr>
          <w:color w:val="000000"/>
          <w:spacing w:val="0"/>
          <w:w w:val="100"/>
          <w:position w:val="0"/>
          <w:shd w:val="clear" w:color="auto" w:fill="auto"/>
          <w:vertAlign w:val="superscript"/>
        </w:rPr>
        <w:t>7</w:t>
      </w:r>
      <w:r>
        <w:rPr>
          <w:color w:val="000000"/>
          <w:spacing w:val="0"/>
          <w:w w:val="100"/>
          <w:position w:val="0"/>
          <w:shd w:val="clear" w:color="auto" w:fill="auto"/>
        </w:rPr>
        <w:t xml:space="preserve">1979; III, </w:t>
      </w:r>
      <w:r>
        <w:rPr>
          <w:color w:val="000000"/>
          <w:spacing w:val="0"/>
          <w:w w:val="100"/>
          <w:position w:val="0"/>
          <w:shd w:val="clear" w:color="auto" w:fill="auto"/>
          <w:vertAlign w:val="superscript"/>
        </w:rPr>
        <w:t>7</w:t>
      </w:r>
      <w:r>
        <w:rPr>
          <w:color w:val="000000"/>
          <w:spacing w:val="0"/>
          <w:w w:val="100"/>
          <w:position w:val="0"/>
          <w:shd w:val="clear" w:color="auto" w:fill="auto"/>
        </w:rPr>
        <w:t xml:space="preserve">1978; IV, '1980. </w:t>
      </w:r>
      <w:r>
        <w:rPr>
          <w:color w:val="000000"/>
          <w:spacing w:val="0"/>
          <w:w w:val="100"/>
          <w:position w:val="0"/>
          <w:shd w:val="clear" w:color="auto" w:fill="auto"/>
          <w:lang w:val="hr-HR" w:eastAsia="hr-HR" w:bidi="hr-HR"/>
        </w:rPr>
        <w:t xml:space="preserve">Oznaka »b« ispred naziva traktata upućuje na babilonski, »j« na jeruzalemski </w:t>
      </w:r>
      <w:r>
        <w:rPr>
          <w:color w:val="000000"/>
          <w:spacing w:val="0"/>
          <w:w w:val="100"/>
          <w:position w:val="0"/>
          <w:shd w:val="clear" w:color="auto" w:fill="auto"/>
        </w:rPr>
        <w:t xml:space="preserve">Talmud, </w:t>
      </w:r>
      <w:r>
        <w:rPr>
          <w:color w:val="000000"/>
          <w:spacing w:val="0"/>
          <w:w w:val="100"/>
          <w:position w:val="0"/>
          <w:shd w:val="clear" w:color="auto" w:fill="auto"/>
          <w:lang w:val="hr-HR" w:eastAsia="hr-HR" w:bidi="hr-HR"/>
        </w:rPr>
        <w:t>»M« na Misnu, »Tos« na Toseltu.</w:t>
      </w:r>
    </w:p>
    <w:p>
      <w:pPr>
        <w:pStyle w:val="Style56"/>
        <w:keepNext w:val="0"/>
        <w:keepLines w:val="0"/>
        <w:widowControl w:val="0"/>
        <w:shd w:val="clear" w:color="auto" w:fill="auto"/>
        <w:bidi w:val="0"/>
        <w:spacing w:before="0" w:after="0" w:line="259" w:lineRule="auto"/>
        <w:ind w:left="0" w:right="0" w:firstLine="0"/>
        <w:jc w:val="both"/>
        <w:rPr>
          <w:sz w:val="13"/>
          <w:szCs w:val="13"/>
        </w:rPr>
      </w:pPr>
      <w:r>
        <w:rPr>
          <w:color w:val="000000"/>
          <w:spacing w:val="0"/>
          <w:w w:val="100"/>
          <w:position w:val="0"/>
          <w:sz w:val="13"/>
          <w:szCs w:val="13"/>
          <w:shd w:val="clear" w:color="auto" w:fill="auto"/>
          <w:lang w:val="hr-HR" w:eastAsia="hr-HR" w:bidi="hr-HR"/>
        </w:rPr>
        <w:t>IZVORI NA NJEMAČKOM JEZIKU:</w:t>
      </w:r>
    </w:p>
    <w:p>
      <w:pPr>
        <w:pStyle w:val="Style56"/>
        <w:keepNext w:val="0"/>
        <w:keepLines w:val="0"/>
        <w:widowControl w:val="0"/>
        <w:shd w:val="clear" w:color="auto" w:fill="auto"/>
        <w:bidi w:val="0"/>
        <w:spacing w:before="0" w:after="100"/>
        <w:ind w:left="0" w:right="0" w:firstLine="0"/>
        <w:jc w:val="both"/>
      </w:pPr>
      <w:r>
        <w:rPr>
          <w:i/>
          <w:iCs/>
          <w:color w:val="000000"/>
          <w:spacing w:val="0"/>
          <w:w w:val="100"/>
          <w:position w:val="0"/>
          <w:shd w:val="clear" w:color="auto" w:fill="auto"/>
          <w:lang w:val="hr-HR" w:eastAsia="hr-HR" w:bidi="hr-HR"/>
        </w:rPr>
        <w:t>Mischnajoi</w:t>
      </w:r>
      <w:r>
        <w:rPr>
          <w:color w:val="000000"/>
          <w:spacing w:val="0"/>
          <w:w w:val="100"/>
          <w:position w:val="0"/>
          <w:shd w:val="clear" w:color="auto" w:fill="auto"/>
          <w:lang w:val="hr-HR" w:eastAsia="hr-HR" w:bidi="hr-HR"/>
        </w:rPr>
        <w:t xml:space="preserve"> I-IV, </w:t>
      </w:r>
      <w:r>
        <w:rPr>
          <w:color w:val="000000"/>
          <w:spacing w:val="0"/>
          <w:w w:val="100"/>
          <w:position w:val="0"/>
          <w:shd w:val="clear" w:color="auto" w:fill="auto"/>
        </w:rPr>
        <w:t xml:space="preserve">Basel </w:t>
      </w:r>
      <w:r>
        <w:rPr>
          <w:color w:val="000000"/>
          <w:spacing w:val="0"/>
          <w:w w:val="100"/>
          <w:position w:val="0"/>
          <w:shd w:val="clear" w:color="auto" w:fill="auto"/>
          <w:lang w:val="hr-HR" w:eastAsia="hr-HR" w:bidi="hr-HR"/>
        </w:rPr>
        <w:t xml:space="preserve">1968;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babylonische Talmud</w:t>
      </w:r>
      <w:r>
        <w:rPr>
          <w:color w:val="000000"/>
          <w:spacing w:val="0"/>
          <w:w w:val="100"/>
          <w:position w:val="0"/>
          <w:shd w:val="clear" w:color="auto" w:fill="auto"/>
        </w:rPr>
        <w:t xml:space="preserve"> I—</w:t>
      </w:r>
      <w:r>
        <w:rPr>
          <w:color w:val="000000"/>
          <w:spacing w:val="0"/>
          <w:w w:val="100"/>
          <w:position w:val="0"/>
          <w:shd w:val="clear" w:color="auto" w:fill="auto"/>
          <w:lang w:val="hr-HR" w:eastAsia="hr-HR" w:bidi="hr-HR"/>
        </w:rPr>
        <w:t xml:space="preserve">XII, iibertragen </w:t>
      </w:r>
      <w:r>
        <w:rPr>
          <w:color w:val="000000"/>
          <w:spacing w:val="0"/>
          <w:w w:val="100"/>
          <w:position w:val="0"/>
          <w:shd w:val="clear" w:color="auto" w:fill="auto"/>
        </w:rPr>
        <w:t xml:space="preserve">von </w:t>
      </w:r>
      <w:r>
        <w:rPr>
          <w:color w:val="000000"/>
          <w:spacing w:val="0"/>
          <w:w w:val="100"/>
          <w:position w:val="0"/>
          <w:shd w:val="clear" w:color="auto" w:fill="auto"/>
          <w:lang w:val="hr-HR" w:eastAsia="hr-HR" w:bidi="hr-HR"/>
        </w:rPr>
        <w:t xml:space="preserve">L. </w:t>
      </w:r>
      <w:r>
        <w:rPr>
          <w:color w:val="000000"/>
          <w:spacing w:val="0"/>
          <w:w w:val="100"/>
          <w:position w:val="0"/>
          <w:shd w:val="clear" w:color="auto" w:fill="auto"/>
        </w:rPr>
        <w:t xml:space="preserve">Goldschmidt. </w:t>
      </w:r>
      <w:r>
        <w:rPr>
          <w:color w:val="000000"/>
          <w:spacing w:val="0"/>
          <w:w w:val="100"/>
          <w:position w:val="0"/>
          <w:shd w:val="clear" w:color="auto" w:fill="auto"/>
          <w:lang w:val="hr-HR" w:eastAsia="hr-HR" w:bidi="hr-HR"/>
        </w:rPr>
        <w:t xml:space="preserve">Berlin 1930-1936; Bibliotheka Rabbiniea. Eine Sammlung </w:t>
      </w:r>
      <w:r>
        <w:rPr>
          <w:color w:val="000000"/>
          <w:spacing w:val="0"/>
          <w:w w:val="100"/>
          <w:position w:val="0"/>
          <w:shd w:val="clear" w:color="auto" w:fill="auto"/>
        </w:rPr>
        <w:t xml:space="preserve">alter </w:t>
      </w:r>
      <w:r>
        <w:rPr>
          <w:color w:val="000000"/>
          <w:spacing w:val="0"/>
          <w:w w:val="100"/>
          <w:position w:val="0"/>
          <w:shd w:val="clear" w:color="auto" w:fill="auto"/>
          <w:lang w:val="hr-HR" w:eastAsia="hr-HR" w:bidi="hr-HR"/>
        </w:rPr>
        <w:t xml:space="preserve">Midrasehim I-V, iibertragen </w:t>
      </w:r>
      <w:r>
        <w:rPr>
          <w:color w:val="000000"/>
          <w:spacing w:val="0"/>
          <w:w w:val="100"/>
          <w:position w:val="0"/>
          <w:shd w:val="clear" w:color="auto" w:fill="auto"/>
        </w:rPr>
        <w:t xml:space="preserve">von A. Wunsche, Hildesheim </w:t>
      </w:r>
      <w:r>
        <w:rPr>
          <w:color w:val="000000"/>
          <w:spacing w:val="0"/>
          <w:w w:val="100"/>
          <w:position w:val="0"/>
          <w:shd w:val="clear" w:color="auto" w:fill="auto"/>
          <w:lang w:val="hr-HR" w:eastAsia="hr-HR" w:bidi="hr-HR"/>
        </w:rPr>
        <w:t xml:space="preserve">1967; H.L. Strack/P. Billcrbcck, </w:t>
      </w:r>
      <w:r>
        <w:rPr>
          <w:i/>
          <w:iCs/>
          <w:color w:val="000000"/>
          <w:spacing w:val="0"/>
          <w:w w:val="100"/>
          <w:position w:val="0"/>
          <w:shd w:val="clear" w:color="auto" w:fill="auto"/>
          <w:lang w:val="hr-HR" w:eastAsia="hr-HR" w:bidi="hr-HR"/>
        </w:rPr>
        <w:t xml:space="preserve">Kommentar zum </w:t>
      </w:r>
      <w:r>
        <w:rPr>
          <w:i/>
          <w:iCs/>
          <w:color w:val="000000"/>
          <w:spacing w:val="0"/>
          <w:w w:val="100"/>
          <w:position w:val="0"/>
          <w:shd w:val="clear" w:color="auto" w:fill="auto"/>
        </w:rPr>
        <w:t xml:space="preserve">E'euen Testament </w:t>
      </w:r>
      <w:r>
        <w:rPr>
          <w:i/>
          <w:iCs/>
          <w:color w:val="000000"/>
          <w:spacing w:val="0"/>
          <w:w w:val="100"/>
          <w:position w:val="0"/>
          <w:shd w:val="clear" w:color="auto" w:fill="auto"/>
          <w:lang w:val="hr-HR" w:eastAsia="hr-HR" w:bidi="hr-HR"/>
        </w:rPr>
        <w:t xml:space="preserve">aus </w:t>
      </w:r>
      <w:r>
        <w:rPr>
          <w:i/>
          <w:iCs/>
          <w:color w:val="000000"/>
          <w:spacing w:val="0"/>
          <w:w w:val="100"/>
          <w:position w:val="0"/>
          <w:shd w:val="clear" w:color="auto" w:fill="auto"/>
        </w:rPr>
        <w:t xml:space="preserve">Talmud </w:t>
      </w:r>
      <w:r>
        <w:rPr>
          <w:i/>
          <w:iCs/>
          <w:color w:val="000000"/>
          <w:spacing w:val="0"/>
          <w:w w:val="100"/>
          <w:position w:val="0"/>
          <w:shd w:val="clear" w:color="auto" w:fill="auto"/>
          <w:lang w:val="hr-HR" w:eastAsia="hr-HR" w:bidi="hr-HR"/>
        </w:rPr>
        <w:t xml:space="preserve">und Midrascli </w:t>
      </w:r>
      <w:r>
        <w:rPr>
          <w:color w:val="000000"/>
          <w:spacing w:val="0"/>
          <w:w w:val="100"/>
          <w:position w:val="0"/>
          <w:shd w:val="clear" w:color="auto" w:fill="auto"/>
        </w:rPr>
        <w:t xml:space="preserve">I- </w:t>
      </w:r>
      <w:r>
        <w:rPr>
          <w:color w:val="000000"/>
          <w:spacing w:val="0"/>
          <w:w w:val="100"/>
          <w:position w:val="0"/>
          <w:shd w:val="clear" w:color="auto" w:fill="auto"/>
          <w:lang w:val="hr-HR" w:eastAsia="hr-HR" w:bidi="hr-HR"/>
        </w:rPr>
        <w:t xml:space="preserve">II. </w:t>
      </w:r>
      <w:r>
        <w:rPr>
          <w:color w:val="000000"/>
          <w:spacing w:val="0"/>
          <w:w w:val="100"/>
          <w:position w:val="0"/>
          <w:shd w:val="clear" w:color="auto" w:fill="auto"/>
          <w:vertAlign w:val="superscript"/>
          <w:lang w:val="hr-HR" w:eastAsia="hr-HR" w:bidi="hr-HR"/>
        </w:rPr>
        <w:t>7</w:t>
      </w:r>
      <w:r>
        <w:rPr>
          <w:color w:val="000000"/>
          <w:spacing w:val="0"/>
          <w:w w:val="100"/>
          <w:position w:val="0"/>
          <w:shd w:val="clear" w:color="auto" w:fill="auto"/>
          <w:lang w:val="hr-HR" w:eastAsia="hr-HR" w:bidi="hr-HR"/>
        </w:rPr>
        <w:t xml:space="preserve">1978; III, </w:t>
      </w:r>
      <w:r>
        <w:rPr>
          <w:color w:val="000000"/>
          <w:spacing w:val="0"/>
          <w:w w:val="100"/>
          <w:position w:val="0"/>
          <w:shd w:val="clear" w:color="auto" w:fill="auto"/>
          <w:vertAlign w:val="superscript"/>
          <w:lang w:val="hr-HR" w:eastAsia="hr-HR" w:bidi="hr-HR"/>
        </w:rPr>
        <w:t>7</w:t>
      </w:r>
      <w:r>
        <w:rPr>
          <w:color w:val="000000"/>
          <w:spacing w:val="0"/>
          <w:w w:val="100"/>
          <w:position w:val="0"/>
          <w:shd w:val="clear" w:color="auto" w:fill="auto"/>
          <w:lang w:val="hr-HR" w:eastAsia="hr-HR" w:bidi="hr-HR"/>
        </w:rPr>
        <w:t xml:space="preserve">1979; </w:t>
      </w:r>
      <w:r>
        <w:rPr>
          <w:color w:val="000000"/>
          <w:spacing w:val="0"/>
          <w:w w:val="100"/>
          <w:position w:val="0"/>
          <w:shd w:val="clear" w:color="auto" w:fill="auto"/>
        </w:rPr>
        <w:t>IV/1</w:t>
      </w:r>
      <w:r>
        <w:rPr>
          <w:color w:val="000000"/>
          <w:spacing w:val="0"/>
          <w:w w:val="100"/>
          <w:position w:val="0"/>
          <w:shd w:val="clear" w:color="auto" w:fill="auto"/>
          <w:lang w:val="hr-HR" w:eastAsia="hr-HR" w:bidi="hr-HR"/>
        </w:rPr>
        <w:t xml:space="preserve">.2/T975; iscrpniji podaci u: H.L. </w:t>
      </w:r>
      <w:r>
        <w:rPr>
          <w:color w:val="000000"/>
          <w:spacing w:val="0"/>
          <w:w w:val="100"/>
          <w:position w:val="0"/>
          <w:shd w:val="clear" w:color="auto" w:fill="auto"/>
        </w:rPr>
        <w:t>Strack,</w:t>
      </w:r>
      <w:r>
        <w:rPr>
          <w:color w:val="000000"/>
          <w:spacing w:val="0"/>
          <w:w w:val="100"/>
          <w:position w:val="0"/>
          <w:shd w:val="clear" w:color="auto" w:fill="auto"/>
          <w:lang w:val="hr-HR" w:eastAsia="hr-HR" w:bidi="hr-HR"/>
        </w:rPr>
        <w:t xml:space="preserve">'G. </w:t>
      </w:r>
      <w:r>
        <w:rPr>
          <w:color w:val="000000"/>
          <w:spacing w:val="0"/>
          <w:w w:val="100"/>
          <w:position w:val="0"/>
          <w:shd w:val="clear" w:color="auto" w:fill="auto"/>
        </w:rPr>
        <w:t xml:space="preserve">Stemberger, </w:t>
      </w:r>
      <w:r>
        <w:rPr>
          <w:i/>
          <w:iCs/>
          <w:color w:val="000000"/>
          <w:spacing w:val="0"/>
          <w:w w:val="100"/>
          <w:position w:val="0"/>
          <w:shd w:val="clear" w:color="auto" w:fill="auto"/>
        </w:rPr>
        <w:t xml:space="preserve">Einleitungin Talmud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Midrasch,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‘T976,154 i d.: 225 i d.: Siddur Sclat Emet (Gcbetbuch), </w:t>
      </w:r>
      <w:r>
        <w:rPr>
          <w:color w:val="000000"/>
          <w:spacing w:val="0"/>
          <w:w w:val="100"/>
          <w:position w:val="0"/>
          <w:shd w:val="clear" w:color="auto" w:fill="auto"/>
        </w:rPr>
        <w:t xml:space="preserve">Basel </w:t>
      </w:r>
      <w:r>
        <w:rPr>
          <w:color w:val="000000"/>
          <w:spacing w:val="0"/>
          <w:w w:val="100"/>
          <w:position w:val="0"/>
          <w:shd w:val="clear" w:color="auto" w:fill="auto"/>
          <w:lang w:val="hr-HR" w:eastAsia="hr-HR" w:bidi="hr-HR"/>
        </w:rPr>
        <w:t>1967. O sekundarnoj literaturi usp. pojedine natuknice.</w:t>
      </w:r>
    </w:p>
    <w:p>
      <w:pPr>
        <w:pStyle w:val="Style39"/>
        <w:keepNext/>
        <w:keepLines/>
        <w:widowControl w:val="0"/>
        <w:shd w:val="clear" w:color="auto" w:fill="auto"/>
        <w:bidi w:val="0"/>
        <w:spacing w:before="0" w:after="60" w:line="240" w:lineRule="auto"/>
        <w:ind w:left="0" w:right="0" w:firstLine="0"/>
        <w:jc w:val="center"/>
      </w:pPr>
      <w:bookmarkStart w:id="18" w:name="bookmark18"/>
      <w:r>
        <w:rPr>
          <w:rFonts w:ascii="Times New Roman" w:eastAsia="Times New Roman" w:hAnsi="Times New Roman" w:cs="Times New Roman"/>
          <w:color w:val="000000"/>
          <w:spacing w:val="0"/>
          <w:w w:val="100"/>
          <w:position w:val="0"/>
          <w:shd w:val="clear" w:color="auto" w:fill="auto"/>
          <w:lang w:val="hr-HR" w:eastAsia="hr-HR" w:bidi="hr-HR"/>
        </w:rPr>
        <w:t>Kršćanstvo</w:t>
      </w:r>
      <w:bookmarkEnd w:id="18"/>
    </w:p>
    <w:p>
      <w:pPr>
        <w:pStyle w:val="Style33"/>
        <w:keepNext w:val="0"/>
        <w:keepLines w:val="0"/>
        <w:widowControl w:val="0"/>
        <w:shd w:val="clear" w:color="auto" w:fill="auto"/>
        <w:bidi w:val="0"/>
        <w:spacing w:before="0" w:after="42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LUDWIG HAGEMANN</w:t>
      </w:r>
    </w:p>
    <w:p>
      <w:pPr>
        <w:pStyle w:val="Style33"/>
        <w:keepNext w:val="0"/>
        <w:keepLines w:val="0"/>
        <w:widowControl w:val="0"/>
        <w:shd w:val="clear" w:color="auto" w:fill="auto"/>
        <w:bidi w:val="0"/>
        <w:spacing w:before="0" w:after="0" w:line="252"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Središte kršćanske vjere jest Isus Krist. Svi koji se nazivaju kršćanima i tako nose njegovo ime pozivaju se na povijesnu osobu Isusa iz Nazareta i na tumačenje njegova živo</w:t>
        <w:softHyphen/>
        <w:t>ta i smrti, kako je posvjedoćeno u zapisima Novoga zavjeta. Dok Stari zavjet odražava vjerničku egzistenciju jednog naroda koji je znao da je u savezu s Bogom (Jahve) i koji je tijekom povijesti uvijek iznova iskusio njegovu spasiteljsku snagu, Novi zavjet daje svje</w:t>
        <w:softHyphen/>
        <w:t>dočanstvo o iskustvima učenika i rane Crkve, koja su imali s Isusom Kristom. Pritom se na Stari zavjet gleda kao na knjigu obećanja koje je u Isusu Kristu našlo svoje ispunjenje. Stoga je Novi zavjet pridjenuo Isusu iz Nazareta onaj naslov koji odgovara tom očeki</w:t>
        <w:softHyphen/>
        <w:t xml:space="preserve">vanju, polazeći od starozavjetne tradicije, i u njemu je vidio tamo obećanog Mesiju koji grčki znači </w:t>
      </w:r>
      <w:r>
        <w:rPr>
          <w:rFonts w:ascii="Times New Roman" w:eastAsia="Times New Roman" w:hAnsi="Times New Roman" w:cs="Times New Roman"/>
          <w:i/>
          <w:iCs/>
          <w:color w:val="000000"/>
          <w:spacing w:val="0"/>
          <w:w w:val="100"/>
          <w:position w:val="0"/>
          <w:shd w:val="clear" w:color="auto" w:fill="auto"/>
          <w:lang w:val="en-US" w:eastAsia="en-US" w:bidi="en-US"/>
        </w:rPr>
        <w:t>Christos,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a latinski </w:t>
      </w:r>
      <w:r>
        <w:rPr>
          <w:rFonts w:ascii="Times New Roman" w:eastAsia="Times New Roman" w:hAnsi="Times New Roman" w:cs="Times New Roman"/>
          <w:i/>
          <w:iCs/>
          <w:color w:val="000000"/>
          <w:spacing w:val="0"/>
          <w:w w:val="100"/>
          <w:position w:val="0"/>
          <w:shd w:val="clear" w:color="auto" w:fill="auto"/>
          <w:lang w:val="hr-HR" w:eastAsia="hr-HR" w:bidi="hr-HR"/>
        </w:rPr>
        <w:t>Cliristus,</w:t>
      </w:r>
      <w:r>
        <w:rPr>
          <w:rFonts w:ascii="Times New Roman" w:eastAsia="Times New Roman" w:hAnsi="Times New Roman" w:cs="Times New Roman"/>
          <w:color w:val="000000"/>
          <w:spacing w:val="0"/>
          <w:w w:val="100"/>
          <w:position w:val="0"/>
          <w:shd w:val="clear" w:color="auto" w:fill="auto"/>
          <w:lang w:val="hr-HR" w:eastAsia="hr-HR" w:bidi="hr-HR"/>
        </w:rPr>
        <w:t xml:space="preserve"> pa ga je zato označio kao </w:t>
      </w:r>
      <w:r>
        <w:rPr>
          <w:rFonts w:ascii="Times New Roman" w:eastAsia="Times New Roman" w:hAnsi="Times New Roman" w:cs="Times New Roman"/>
          <w:i/>
          <w:iCs/>
          <w:color w:val="000000"/>
          <w:spacing w:val="0"/>
          <w:w w:val="100"/>
          <w:position w:val="0"/>
          <w:shd w:val="clear" w:color="auto" w:fill="auto"/>
          <w:lang w:val="hr-HR" w:eastAsia="hr-HR" w:bidi="hr-HR"/>
        </w:rPr>
        <w:t>Isusa Krista.</w:t>
      </w:r>
    </w:p>
    <w:p>
      <w:pPr>
        <w:pStyle w:val="Style33"/>
        <w:keepNext w:val="0"/>
        <w:keepLines w:val="0"/>
        <w:widowControl w:val="0"/>
        <w:shd w:val="clear" w:color="auto" w:fill="auto"/>
        <w:bidi w:val="0"/>
        <w:spacing w:before="0" w:after="0" w:line="252" w:lineRule="auto"/>
        <w:ind w:left="0" w:right="0"/>
        <w:jc w:val="both"/>
        <w:sectPr>
          <w:headerReference w:type="default" r:id="rId43"/>
          <w:footerReference w:type="default" r:id="rId44"/>
          <w:headerReference w:type="even" r:id="rId45"/>
          <w:footerReference w:type="even" r:id="rId46"/>
          <w:headerReference w:type="first" r:id="rId47"/>
          <w:footerReference w:type="first" r:id="rId48"/>
          <w:footnotePr>
            <w:pos w:val="pageBottom"/>
            <w:numFmt w:val="decimal"/>
            <w:numStart w:val="5"/>
            <w:numRestart w:val="continuous"/>
            <w15:footnoteColumns w:val="1"/>
          </w:footnotePr>
          <w:pgSz w:w="6816" w:h="11006"/>
          <w:pgMar w:top="979" w:left="186" w:right="192" w:bottom="566" w:header="0" w:footer="3" w:gutter="0"/>
          <w:pgNumType w:start="24"/>
          <w:cols w:space="7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»Bog koji je nekoć u mnogo navrata i na mnogo načina govorio očima po proro</w:t>
        <w:softHyphen/>
        <w:t>cima«, tako kaže Poslanica Hebrejima (1,1). To uvjerenje pripada zajedničkom dobru triju velikih monoteističkih religija: židovstvu, kršćanstvu i islamu. No, naposljetku, a to je uvjerenje Novoga zavjeta, Bog nam je govorio po Sinu (Heb 1,2) i u njemu se na konačan i nenadmašiv način tako priopćio da je u Isusu sam postao »tijelom« tj. čovje</w:t>
        <w:softHyphen/>
        <w:t>kom (Iv 1,14). U njemu su »dobrota Boga ... i njegova ljubav prema ljudima«, koje je prema svjedočanstvu Staroga zavjeta izraelski narod u svojoj povijesti mogao uvijek iznova iskusiti, postale konačno vidljive i očigledne (Tit 3,4). Isus Krist, dakle, nije samo navjestitelj Božje riječi - kao proroci Staroga zavjeta - on je dapače sam Božja riječ »koja je tijelom postala«; u njemu i po njemu je Bog, kojega je Isus s pouzdanjem nazivao »abba«, »oče« ( Mk 14,36; Rim 8,15; Gal 4,6), sam na djelu, on po njemu govori i postupa. Zato se kaže u Ivanovu evanđelju: »Tko je vidio mene (tj. Krista), vidio je i Oca« (Iv 14,9). Prema starozavjetnom proročanstvu u Joelu 3,1-5, po kojemu je mesi</w:t>
        <w:softHyphen/>
        <w:t>jansko vrijeme ono vrijeme u kojemu se izlijeva Duh, u Novom zavjetu susrećemo uvjerenje da je to vrijeme odsada počelo. Djela apostolska (2,1-11) daju svjedočanstvo o temeljnom priopćavanju Duha svima »koji zazivlju ime Gospodinovo« (Dj 9,14.21; 22,16: 1 Kor 1, 2; 2 Tim 2, 22), tj. koji vjeruju u Isusa kao Gospodina i Mesiju i koji osje</w:t>
        <w:softHyphen/>
        <w:t>ćaju da su mu obvezni riječju i djelom. Zato se prema Mt 28,19 na njih odnosi nalog: »Zato idite i učinite sve narode učenicima mojim! Krstite ih u ime Oca i Sina i Duha Svetoga!« U tom smislu kršćani ispovijedaju vjeru u Boga kao Oca, Sina i Duha. Sto se tiče Isusove osobe, ljudi su uvijek iznova postavljali sebi pitanje: »Tko je ovaj?« (Mt 8,27 p). Otpočctka su Isusov nastup, njegovo ophođenje s ljudima koje je susretao, nje</w:t>
        <w:softHyphen/>
        <w:t>gov odnos prema tadašnjem židovstvu u kojem je postao velik, njegov stav prema tradi</w:t>
        <w:softHyphen/>
        <w:t xml:space="preserve">cionalnom društvu u kojem je odrastao, izazivali očaranost i čuđenje, ali također ljutnju i odbijanje. Njegovo je </w:t>
      </w:r>
      <w:r>
        <w:rPr>
          <w:rFonts w:ascii="Times New Roman" w:eastAsia="Times New Roman" w:hAnsi="Times New Roman" w:cs="Times New Roman"/>
          <w:i/>
          <w:iCs/>
          <w:color w:val="000000"/>
          <w:spacing w:val="0"/>
          <w:w w:val="100"/>
          <w:position w:val="0"/>
          <w:shd w:val="clear" w:color="auto" w:fill="auto"/>
          <w:lang w:val="hr-HR" w:eastAsia="hr-HR" w:bidi="hr-HR"/>
        </w:rPr>
        <w:t>ponašanje</w:t>
      </w:r>
      <w:r>
        <w:rPr>
          <w:rFonts w:ascii="Times New Roman" w:eastAsia="Times New Roman" w:hAnsi="Times New Roman" w:cs="Times New Roman"/>
          <w:color w:val="000000"/>
          <w:spacing w:val="0"/>
          <w:w w:val="100"/>
          <w:position w:val="0"/>
          <w:shd w:val="clear" w:color="auto" w:fill="auto"/>
          <w:lang w:val="hr-HR" w:eastAsia="hr-HR" w:bidi="hr-HR"/>
        </w:rPr>
        <w:t xml:space="preserve"> bilo u svakom pogledu nekonvencionalno. Njegovao </w:t>
      </w:r>
    </w:p>
    <w:p>
      <w:pPr>
        <w:pStyle w:val="Style33"/>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kontakte sa svim slojevima pučanstva, nije se osvrtao na konvencije i tradicije, bile one religijske ili društveno-političke naravi, kritizirao je naslijeđene zapovijedi i zabra</w:t>
        <w:softHyphen/>
        <w:t>ne u ime »Božje vladavine« koju je naviještao. Ona je u središtu Isusove poruke.</w:t>
      </w:r>
    </w:p>
    <w:p>
      <w:pPr>
        <w:pStyle w:val="Style33"/>
        <w:keepNext w:val="0"/>
        <w:keepLines w:val="0"/>
        <w:widowControl w:val="0"/>
        <w:shd w:val="clear" w:color="auto" w:fill="auto"/>
        <w:bidi w:val="0"/>
        <w:spacing w:before="0" w:after="0" w:line="257"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Što se time misli? »Božja vladavina« je za Židove, koji su tada bili pod rimskom tuđinskom vlašću, značila ispunjenje vjekovne nade, naime, dotad nikad ostvarenog ideala pravednog vladara </w:t>
      </w:r>
      <w:r>
        <w:rPr>
          <w:rFonts w:ascii="Times New Roman" w:eastAsia="Times New Roman" w:hAnsi="Times New Roman" w:cs="Times New Roman"/>
          <w:color w:val="000000"/>
          <w:spacing w:val="0"/>
          <w:w w:val="100"/>
          <w:position w:val="0"/>
          <w:shd w:val="clear" w:color="auto" w:fill="auto"/>
          <w:lang w:val="en-US" w:eastAsia="en-US" w:bidi="en-US"/>
        </w:rPr>
        <w:t xml:space="preserve">(W. Kasper). </w:t>
      </w:r>
      <w:r>
        <w:rPr>
          <w:rFonts w:ascii="Times New Roman" w:eastAsia="Times New Roman" w:hAnsi="Times New Roman" w:cs="Times New Roman"/>
          <w:color w:val="000000"/>
          <w:spacing w:val="0"/>
          <w:w w:val="100"/>
          <w:position w:val="0"/>
          <w:shd w:val="clear" w:color="auto" w:fill="auto"/>
          <w:lang w:val="hr-HR" w:eastAsia="hr-HR" w:bidi="hr-HR"/>
        </w:rPr>
        <w:t>Ovom starom a ipak živom očekivanju svojih suvremenika Isus daje novo tumačenje: On vidi u svojoj osobi i u svom ponašanju kako ta s čežnjom dugo očekivana »Božja vladavina« postaje stvarnost, »vladavina« sasvim posebne vrste, bez sile i nasilja, slobodna od podčinjavanja i porobljavanja. Njezin znak raspoznavanja je Božja otvorena ljubav prema svim ljudima bez predrasuda, ljubav koja ne poznaje nikakve granice ni ograde, koja nikoga ne isključuje i nikoga ne napušta. Taje Božja ljubav osobito jasna u Isusovu držanju prema onima koji se nalaze na rubu društva, u njegovu ophođenju s onima koji su socijalni slučajevi, s bolesnima, s nemoćnima i bespomoćnima, s beznačajnim ljudima, s onima koji nisu rođeni pod sret</w:t>
        <w:softHyphen/>
        <w:t>nom zvijezdom. Za sve njih Isus je tu, svima njima vrijedi njegova potpora. Prema tomu, Isus se, kako navodi evanđelist Luka, već u svojoj prvoj propovijedi u sinagogi, u Nazaretu, složio riječju iz Knjige proroka Izaijc (61,1 i d.) i povezao je sa sobom: »Na meni je Duh Gospodnji jer me pomazao! Poslao me da donesem radosnu vijest siroma</w:t>
        <w:softHyphen/>
        <w:t>sima, da navijestim oslobođenje zarobljenicima i vraćanje vida slijepcima, da oslo</w:t>
        <w:softHyphen/>
        <w:t>bodim potlačene, da proglasim godinu milosti Gospodnje« (Lk 4, 18-19). Ovo Isusovo prisvajanje prava na činjenicu daje već u njemu, u njegovu postupanju i njegovoj po</w:t>
        <w:softHyphen/>
        <w:t>ruci započela »Božja vladavina« kao praksa ljubavi, izričito je potvrđeno i drugdje u Novom zavjetu. Kada su učenici Ivana Krstitelja upitali Isusa: »Jesi li ti onaj koji ima doći ili da drugoga čekamo?«, on je odgovorio: »Idite i javite Ivanu što čujete i vidite! Slijepi progledaju, hromi hodaju, gubavi se čiste, gluhi čuju, mrtvi ustaju, siromasima se propovijeda radosna vijest. Blago onomu tko se zbog mene ne pokoleba!« (Mt 11,3-6 p). Odatle slijedi da je Isus u svojoj osobi i u svom nastupu smatrao ispunjenim obećanja dana iz Izaijine Knjige (Iz.35,5 i d.; 61,1), daje dakle u njemu, Isusu, i po njemu već dje</w:t>
        <w:softHyphen/>
        <w:t>latna »Božja vladavina« i time cshatološko spasenje za sve ljude. Stoga naziva »blaženi</w:t>
        <w:softHyphen/>
        <w:t xml:space="preserve">ma« one koji mogu u njegovim riječima i djelima iskusiti i doživjeti blizinu toga spasenja: »A blago vašim očima jer vide i ušima jer čuju. Zaista, kažem vam, mnogi su proroci i pravednici željeli vidjeti što vi vidite, ali ne vidješe; čuti što vi čujete, ali ne čuše« (Mt 13, 16 s p). Iz toga se Isusova uvjerenja legitimira njegovo pravo da je on više nego Jona, više nego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(Lk 11, 30 i d.), pa čak i više nego Mojsije: »Čuli ste da je rečeno starima ... A ja vam kažem ...« (Mt 5, 21 i d.). Da bi zauzeli pravedan stav prema Isusovu vlasti</w:t>
        <w:softHyphen/>
        <w:t>tom shvaćanju sebe, koje je izraženo tim riječima, njegovi su ga učenici smatrali očekiva</w:t>
        <w:softHyphen/>
        <w:t xml:space="preserve">nim Mesijom i pridjenuli mu ovaj vladarski naslov (Mesija = Christus - Pomazanik). Tako se objašnjava ispovijedanje vjere u Isusa iz Nazareta kao </w:t>
      </w:r>
      <w:r>
        <w:rPr>
          <w:rFonts w:ascii="Times New Roman" w:eastAsia="Times New Roman" w:hAnsi="Times New Roman" w:cs="Times New Roman"/>
          <w:i/>
          <w:iCs/>
          <w:color w:val="000000"/>
          <w:spacing w:val="0"/>
          <w:w w:val="100"/>
          <w:position w:val="0"/>
          <w:shd w:val="clear" w:color="auto" w:fill="auto"/>
          <w:lang w:val="hr-HR" w:eastAsia="hr-HR" w:bidi="hr-HR"/>
        </w:rPr>
        <w:t>Isusa Krista.</w:t>
      </w:r>
    </w:p>
    <w:p>
      <w:pPr>
        <w:pStyle w:val="Style33"/>
        <w:keepNext w:val="0"/>
        <w:keepLines w:val="0"/>
        <w:widowControl w:val="0"/>
        <w:shd w:val="clear" w:color="auto" w:fill="auto"/>
        <w:bidi w:val="0"/>
        <w:spacing w:before="0" w:after="0" w:line="257" w:lineRule="auto"/>
        <w:ind w:left="0" w:right="0" w:firstLine="0"/>
        <w:jc w:val="both"/>
        <w:sectPr>
          <w:headerReference w:type="default" r:id="rId49"/>
          <w:footerReference w:type="default" r:id="rId50"/>
          <w:headerReference w:type="even" r:id="rId51"/>
          <w:footerReference w:type="even" r:id="rId52"/>
          <w:footnotePr>
            <w:pos w:val="pageBottom"/>
            <w:numFmt w:val="decimal"/>
            <w:numStart w:val="5"/>
            <w:numRestart w:val="continuous"/>
            <w15:footnoteColumns w:val="1"/>
          </w:footnotePr>
          <w:type w:val="continuous"/>
          <w:pgSz w:w="6816" w:h="11006"/>
          <w:pgMar w:top="979" w:left="186" w:right="192" w:bottom="566" w:header="0"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Isus je bio rođen u vrijeme cara Augusta (Lk 2,1), otprilike sedam godina prije našfg računanja vremena. Novi zavjet navodi kao mjesto rođenja Betlehem, a Isus je od</w:t>
        <w:softHyphen/>
        <w:t xml:space="preserve">rastao u Nazaretu (usp. Mt 1,1S i d.; Lk 1,26 i d.). Rimski i židovski povjesničari onoga vremena samo usput spominju Isusa. Glavni izvor za njegov život i djelo su zapisi Novoga zavjeta. U povijesno sigurne datume Isusova života pripada njegovo smaknuće na križu. Sva četiri evanđelista pripovijedaju opširno o Isusovoj muci i smrti (Mk 14-15; Mt 26-27; Lk 22-23; Iv 18-19). Na temelju političke optužbe Isus je bio vjerojatno 7. </w:t>
      </w:r>
      <w:r>
        <w:rPr>
          <w:rFonts w:ascii="Times New Roman" w:eastAsia="Times New Roman" w:hAnsi="Times New Roman" w:cs="Times New Roman"/>
          <w:i/>
          <w:iCs/>
          <w:color w:val="000000"/>
          <w:spacing w:val="0"/>
          <w:w w:val="100"/>
          <w:position w:val="0"/>
          <w:shd w:val="clear" w:color="auto" w:fill="auto"/>
          <w:lang w:val="hr-HR" w:eastAsia="hr-HR" w:bidi="hr-HR"/>
        </w:rPr>
        <w:t xml:space="preserve">travnja godine </w:t>
      </w:r>
    </w:p>
    <w:p>
      <w:pPr>
        <w:pStyle w:val="Style33"/>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30.,</w:t>
      </w:r>
      <w:r>
        <w:rPr>
          <w:rFonts w:ascii="Times New Roman" w:eastAsia="Times New Roman" w:hAnsi="Times New Roman" w:cs="Times New Roman"/>
          <w:color w:val="000000"/>
          <w:spacing w:val="0"/>
          <w:w w:val="100"/>
          <w:position w:val="0"/>
          <w:shd w:val="clear" w:color="auto" w:fill="auto"/>
          <w:lang w:val="hr-HR" w:eastAsia="hr-HR" w:bidi="hr-HR"/>
        </w:rPr>
        <w:t xml:space="preserve"> po našem računanju vremena, osuđen na smrt od Rimljana kao mogući budući Me</w:t>
        <w:softHyphen/>
        <w:t>sija. Sa židovske strane za presudu je mogao biti odlučujući prigovor da huli na Boga i da je lažni svjedok (Mk 14, 53-65 p). Kako je tada židovskom Velikom vijeću bilo uskraćeno pravo izricanja smrtne kazne, morala je biti uključena nadležnost rimske posade da bi se pod izgovorom političke optužbe (»mogući budući Mesija«) Isus mogao smaknuti. Tako se Isusovo raspeće tumači kao izvršenje smrtne kazne prema rimskom pravu.</w:t>
      </w:r>
    </w:p>
    <w:p>
      <w:pPr>
        <w:pStyle w:val="Style33"/>
        <w:keepNext w:val="0"/>
        <w:keepLines w:val="0"/>
        <w:widowControl w:val="0"/>
        <w:shd w:val="clear" w:color="auto" w:fill="auto"/>
        <w:bidi w:val="0"/>
        <w:spacing w:before="0" w:after="0" w:line="254"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Isusovom smrću, kako suglasno svjedoči Novi zavjet, nije bilo sve svršeno. Is</w:t>
        <w:softHyphen/>
        <w:t>kustva, koja su učenici imali s Isusom, nadživjela su njegovu smrt. Njegova se poruka širila: Isusove izreke usmeno su se prenosile, pripovijedalo se o njegovim silnim dje</w:t>
        <w:softHyphen/>
        <w:t>lima, o čudima i znamenjima koje je učinio. Naposljetku su Isusovi pristaše počeli skupljati Isusove riječi, gdje god ih je govorio, u malene zbirke izreka, kao i događaje iz. njegova života poput ozdravljenja bolesnika i istjerivanja zlih duhova. Najstariji sastav ove vrste vjerojatno je povijest Isusove muke i smrti.</w:t>
      </w:r>
    </w:p>
    <w:p>
      <w:pPr>
        <w:pStyle w:val="Style33"/>
        <w:keepNext w:val="0"/>
        <w:keepLines w:val="0"/>
        <w:widowControl w:val="0"/>
        <w:shd w:val="clear" w:color="auto" w:fill="auto"/>
        <w:bidi w:val="0"/>
        <w:spacing w:before="0" w:after="0" w:line="254"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Taj je događaj morao biti ispripovijedan, jer je katastrofa smrti na križu svima bila pred očima. Zato se moralo pripovijedati zastoje Isusov život imao tako jeziv svršetak, dapače, zašto je, a na to ukazuje Stari zavjet, morao tako skončati: U Isusovoj muci i smrti ispunila se od davnine određena Božja volja. Starozavjetna pjesma o »Božjem sluzi koji pati« (Iz 53,1-12) služi već u ranom obrascu vjerovanja iz Kor 15. 3-5 tu</w:t>
        <w:softHyphen/>
        <w:t>mačenju da je Isusova smrt zadovoljština za spasenje ljudi: »Krist je umro za naše grijehe«, piše Pavao i tumači Isusovu smrt u svjetlu starozavjetnih iskaza kao smrt koja daje zadovoljštinu »za nas«. U Isusovoj se smrti prepoznaje slobodno predanje kao što je već i njegov život, njegovo postojanje za druge bilo potpuno predanje Bogu i ljudima (usp. Lk 22, 27; Iv 13,12-20, Mk 9,35 i si.). Tako Isusov životni put, njegova bezuvjetna praksa ljubavi vode dosljedno u smrt. Ta se smrt svakako ne javlja kao besmisleno događanje nego kao spasenje i otkupljenje za ljude. Pavao piše: »Krist nije sam sebi ugađao« (Rim 15,3). Kao što je živio, tako je i umro: za druge. Isusova muka i smrt, kako kaže Novi zavjet, nisu dokaz protiv Isusa kao Mesije, nego naprotiv za Isusa kao Mesiju, koji je obećan u Starome zavjetu, za Krista. On je »posrednik novog Saveza« (Heb 9,15) koji je ustanovio svojom krvlju (Heb 13,20). U Isusovu samopredanju na križu utemeljen je taj novi Savez između Boga i ljudi. To tumačenje Isusove smrti na križu ima svoj temelj u vjeri u njegovo uskrsnuće.</w:t>
      </w:r>
    </w:p>
    <w:p>
      <w:pPr>
        <w:pStyle w:val="Style33"/>
        <w:keepNext w:val="0"/>
        <w:keepLines w:val="0"/>
        <w:widowControl w:val="0"/>
        <w:shd w:val="clear" w:color="auto" w:fill="auto"/>
        <w:bidi w:val="0"/>
        <w:spacing w:before="0" w:after="0" w:line="254"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Ubrzo nakon Isusova raspeća njegovi učenici naviještaju da gaje Bog uskrisio, da su oni sami iskusili kako on živi jer im se ukazao. Za razliku od zornih opisa u evanđe</w:t>
        <w:softHyphen/>
        <w:t xml:space="preserve">ljima (Mk 16,9-20; Mt 28,16-20; Lk 24: Iv 20—21) i u Djelima apostolskim (Dj 1,1-11; 9,3-9; 22,6-11; 26,12-18) iskustvo s Uskrslim u najstarijim je svjedočanstvima izraženo kratko i sažeto: »ukazivao se« (ophthe) a da pritom nije pobliže opisan konkretan događaj ukazivanja. Nije bio važan način kako su se ukazanja dogodila, nego činjenica da se Uskrsli ukazao svojim učenicima, da im se pokazao, da im se objavio (usp. Kor 9,1; Gal 1,16). Pritom je bitno da se radilo o </w:t>
      </w:r>
      <w:r>
        <w:rPr>
          <w:rFonts w:ascii="Times New Roman" w:eastAsia="Times New Roman" w:hAnsi="Times New Roman" w:cs="Times New Roman"/>
          <w:i/>
          <w:iCs/>
          <w:color w:val="000000"/>
          <w:spacing w:val="0"/>
          <w:w w:val="100"/>
          <w:position w:val="0"/>
          <w:shd w:val="clear" w:color="auto" w:fill="auto"/>
          <w:lang w:val="hr-HR" w:eastAsia="hr-HR" w:bidi="hr-HR"/>
        </w:rPr>
        <w:t>osobnim susretima</w:t>
      </w:r>
      <w:r>
        <w:rPr>
          <w:rFonts w:ascii="Times New Roman" w:eastAsia="Times New Roman" w:hAnsi="Times New Roman" w:cs="Times New Roman"/>
          <w:color w:val="000000"/>
          <w:spacing w:val="0"/>
          <w:w w:val="100"/>
          <w:position w:val="0"/>
          <w:shd w:val="clear" w:color="auto" w:fill="auto"/>
          <w:lang w:val="hr-HR" w:eastAsia="hr-HR" w:bidi="hr-HR"/>
        </w:rPr>
        <w:t xml:space="preserve"> u kojima se Raspeti objavio svojim učenicima kao onaj kojega je Bog probudio na novi život. Doduše ti sus</w:t>
        <w:softHyphen/>
        <w:t xml:space="preserve">reti s Uskrslim, posvjedočeni u Novom zavjetu, ne mogu se povijesno provjeriti kao događaji iz prošlosti, ali su povijesno zajamčeni jer su u Novom zavjetu dokumentirani i sačuvani; kako vjera u uskrsnuće nije bila jednostavno nekritički prihvaćena, Novi zavjet naglašava daje Isusovo uskrsnuće uslijedilo »suglasno Pismima« (1 Kor 15,4), tj. posljedica je starozavjetne objave Boga koji se brine o onima koji se u njega pouzdaju </w:t>
      </w:r>
      <w:r>
        <w:rPr>
          <w:rFonts w:ascii="Times New Roman" w:eastAsia="Times New Roman" w:hAnsi="Times New Roman" w:cs="Times New Roman"/>
          <w:color w:val="000000"/>
          <w:spacing w:val="0"/>
          <w:w w:val="100"/>
          <w:position w:val="0"/>
          <w:shd w:val="clear" w:color="auto" w:fill="auto"/>
          <w:lang w:val="hr-HR" w:eastAsia="hr-HR" w:bidi="hr-HR"/>
        </w:rPr>
        <w:t>(usp. Hoš 6,2; Jš 2,1). Nadalje evanđelja ukazuju na Isusova predviđanja koja podcrta</w:t>
        <w:softHyphen/>
        <w:t>vaju vjerodostojnost vjere u uskrsnuće (usp. Mt 28,6; Lk 24,6 i si.).</w:t>
      </w:r>
    </w:p>
    <w:p>
      <w:pPr>
        <w:pStyle w:val="Style33"/>
        <w:keepNext w:val="0"/>
        <w:keepLines w:val="0"/>
        <w:widowControl w:val="0"/>
        <w:shd w:val="clear" w:color="auto" w:fill="auto"/>
        <w:bidi w:val="0"/>
        <w:spacing w:before="0" w:after="0" w:line="254"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U svojoj Poslanici Filipljanima Pavao navodi spjev koji je nastao već ubrzo nakon Isusove smrti i uskrsnuća i ovako sažima vjeru u Isusa Krista: »On, božanske naravi, nije se ljubomorno držao svoje jednakosti s Bogom, nego se nje lišio uzevši narav sluge i postavši sličan ljudima. Kad postade kao čovjek, ponizi sam sebe postavši poslušan do smrti, i to do smrti na križu. Zato ga Bog uzdiže na najvišu visinu i dade mu jedincato ime koje je iznad svakoga drugog imena, da se Isusovu imenu ‘pokloni svako koljeno’ nebeskih, zemaljskih i podzemaljskih bića i da ‘svaki jezik prizna’ - na slavu Boga Oca: Gospodar je Isus Krist« (Fil 2,6-11). To je za kršćanstvo temeljno kristološko ispovijedanje vjere.</w:t>
      </w:r>
    </w:p>
    <w:p>
      <w:pPr>
        <w:pStyle w:val="Style33"/>
        <w:keepNext w:val="0"/>
        <w:keepLines w:val="0"/>
        <w:widowControl w:val="0"/>
        <w:shd w:val="clear" w:color="auto" w:fill="auto"/>
        <w:bidi w:val="0"/>
        <w:spacing w:before="0" w:after="0" w:line="254"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Uz ovo temeljno vjerovanje u Isusa Krista kao Gospodina i Boga predajom su u No</w:t>
        <w:softHyphen/>
        <w:t>vom zavjetu sačuvani daljnji oblici ispovijedanja vjere: dvočlani obrasci vjerovanja koji izražavaju vjeru u »jednoga Boga, Oca, od koga sve dolazi, a za koga postojimo« i u »jed</w:t>
        <w:softHyphen/>
        <w:t>noga Gospodina, Isusa Krista, po komu postoji sve i po komu postojimo također i mi« (1 Kor 8,6; usp. 2 Tim 4), nadalje tročlani obrasci koji naviještaju vjeru u trojedinoga Boga: »Milost Gospodina Isusa Krista, ljubav Boga Oca i zajedništvo Duha Svetoga neka budu sa svima vama!« kaže se u 2 Kor 13,13 (usp. 1 Kor 6,11; Ef 4,4-6). Ta stara ispovijedanja vjere, koja se svode na naviještanjc učenika i apostola, pobliže se objašnjavaju i obrazlažu i u sljedećim stoljećima jezikom i predodžbama dotičnog vremena. Svi napori i pokušaji da se ta vjera izrekne, formulira, jezično obuhvati, imali su i imaju cilj prikazati »zdravu nauku« (Tit 2,1) za određeno vrijeme i situaciju, u skladu s određenim okolnostima.</w:t>
      </w:r>
    </w:p>
    <w:p>
      <w:pPr>
        <w:pStyle w:val="Style33"/>
        <w:keepNext w:val="0"/>
        <w:keepLines w:val="0"/>
        <w:widowControl w:val="0"/>
        <w:shd w:val="clear" w:color="auto" w:fill="auto"/>
        <w:bidi w:val="0"/>
        <w:spacing w:before="0" w:after="0" w:line="254"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Dakako, ti su napori i pokušaji dovodili do odvajanja i raskola unutar kršćanstva. Jedino vjerovanje koje uza sva odvajanja povezuje istočno i zapadno, rimokatoličko i reformacijsko kršćanstvo, jest nicejsko-carigradsko vjerovanje koje je proizašlo iz Kon</w:t>
        <w:softHyphen/>
        <w:t xml:space="preserve">cila u Niceji (325) i Carigradu (381). Ono izričito brani temeljno trinitarno vjerovanje iz Novoga zavjeta: »Vjerujemo u jednoga Boga, </w:t>
      </w:r>
      <w:r>
        <w:rPr>
          <w:rFonts w:ascii="Times New Roman" w:eastAsia="Times New Roman" w:hAnsi="Times New Roman" w:cs="Times New Roman"/>
          <w:i/>
          <w:iCs/>
          <w:color w:val="000000"/>
          <w:spacing w:val="0"/>
          <w:w w:val="100"/>
          <w:position w:val="0"/>
          <w:shd w:val="clear" w:color="auto" w:fill="auto"/>
          <w:lang w:val="hr-HR" w:eastAsia="hr-HR" w:bidi="hr-HR"/>
        </w:rPr>
        <w:t>Oca,</w:t>
      </w:r>
      <w:r>
        <w:rPr>
          <w:rFonts w:ascii="Times New Roman" w:eastAsia="Times New Roman" w:hAnsi="Times New Roman" w:cs="Times New Roman"/>
          <w:color w:val="000000"/>
          <w:spacing w:val="0"/>
          <w:w w:val="100"/>
          <w:position w:val="0"/>
          <w:shd w:val="clear" w:color="auto" w:fill="auto"/>
          <w:lang w:val="hr-HR" w:eastAsia="hr-HR" w:bidi="hr-HR"/>
        </w:rPr>
        <w:t xml:space="preserve"> Svemogućega ... i u jednoga </w:t>
      </w:r>
      <w:r>
        <w:rPr>
          <w:rFonts w:ascii="Times New Roman" w:eastAsia="Times New Roman" w:hAnsi="Times New Roman" w:cs="Times New Roman"/>
          <w:i/>
          <w:iCs/>
          <w:color w:val="000000"/>
          <w:spacing w:val="0"/>
          <w:w w:val="100"/>
          <w:position w:val="0"/>
          <w:shd w:val="clear" w:color="auto" w:fill="auto"/>
          <w:lang w:val="hr-HR" w:eastAsia="hr-HR" w:bidi="hr-HR"/>
        </w:rPr>
        <w:t>Go</w:t>
        <w:softHyphen/>
        <w:t>spodina Isusa Krista,</w:t>
      </w:r>
      <w:r>
        <w:rPr>
          <w:rFonts w:ascii="Times New Roman" w:eastAsia="Times New Roman" w:hAnsi="Times New Roman" w:cs="Times New Roman"/>
          <w:color w:val="000000"/>
          <w:spacing w:val="0"/>
          <w:w w:val="100"/>
          <w:position w:val="0"/>
          <w:shd w:val="clear" w:color="auto" w:fill="auto"/>
          <w:lang w:val="hr-HR" w:eastAsia="hr-HR" w:bidi="hr-HR"/>
        </w:rPr>
        <w:t xml:space="preserve"> jedinorođenoga Sina Božjega ... Boga od Boga, Svjetlo od Svjetla, pravoga Boga od pravoga Boga ... Vjerujemo u </w:t>
      </w:r>
      <w:r>
        <w:rPr>
          <w:rFonts w:ascii="Times New Roman" w:eastAsia="Times New Roman" w:hAnsi="Times New Roman" w:cs="Times New Roman"/>
          <w:i/>
          <w:iCs/>
          <w:color w:val="000000"/>
          <w:spacing w:val="0"/>
          <w:w w:val="100"/>
          <w:position w:val="0"/>
          <w:shd w:val="clear" w:color="auto" w:fill="auto"/>
          <w:lang w:val="hr-HR" w:eastAsia="hr-HR" w:bidi="hr-HR"/>
        </w:rPr>
        <w:t>Duha Svetoga,</w:t>
      </w:r>
      <w:r>
        <w:rPr>
          <w:rFonts w:ascii="Times New Roman" w:eastAsia="Times New Roman" w:hAnsi="Times New Roman" w:cs="Times New Roman"/>
          <w:color w:val="000000"/>
          <w:spacing w:val="0"/>
          <w:w w:val="100"/>
          <w:position w:val="0"/>
          <w:shd w:val="clear" w:color="auto" w:fill="auto"/>
          <w:lang w:val="hr-HR" w:eastAsia="hr-HR" w:bidi="hr-HR"/>
        </w:rPr>
        <w:t xml:space="preserve"> Gospodina i životvorca, koji izlazi iz Oca i Sina, koji se s Ocem i Sinom zajedno časti i slavi, koji je govorio po prorocima ...«. Ovo trinitarno vjerovanje nije triteizam (učenje o trojici bogova) nego sažeto vjerovanje da se Bog objavio kao naš Gospodin i ujedno kao naš brat i da nam je blizu po »Duhu« u zajedništvu onih koji u njega vjeruju.</w:t>
      </w:r>
    </w:p>
    <w:p>
      <w:pPr>
        <w:pStyle w:val="Style33"/>
        <w:keepNext w:val="0"/>
        <w:keepLines w:val="0"/>
        <w:widowControl w:val="0"/>
        <w:shd w:val="clear" w:color="auto" w:fill="auto"/>
        <w:bidi w:val="0"/>
        <w:spacing w:before="0" w:after="0" w:line="252" w:lineRule="auto"/>
        <w:ind w:left="0" w:right="0" w:firstLine="380"/>
        <w:jc w:val="both"/>
        <w:sectPr>
          <w:headerReference w:type="default" r:id="rId53"/>
          <w:footerReference w:type="default" r:id="rId54"/>
          <w:headerReference w:type="even" r:id="rId55"/>
          <w:footerReference w:type="even" r:id="rId56"/>
          <w:headerReference w:type="first" r:id="rId57"/>
          <w:footerReference w:type="first" r:id="rId58"/>
          <w:footnotePr>
            <w:pos w:val="pageBottom"/>
            <w:numFmt w:val="decimal"/>
            <w:numStart w:val="5"/>
            <w:numRestart w:val="continuous"/>
            <w15:footnoteColumns w:val="1"/>
          </w:footnotePr>
          <w:pgSz w:w="6816" w:h="11006"/>
          <w:pgMar w:top="979" w:left="186" w:right="192" w:bottom="566" w:header="0" w:footer="3" w:gutter="0"/>
          <w:pgNumType w:start="23"/>
          <w:cols w:space="7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To je zajedništvo vjernika </w:t>
      </w:r>
      <w:r>
        <w:rPr>
          <w:rFonts w:ascii="Times New Roman" w:eastAsia="Times New Roman" w:hAnsi="Times New Roman" w:cs="Times New Roman"/>
          <w:i/>
          <w:iCs/>
          <w:color w:val="000000"/>
          <w:spacing w:val="0"/>
          <w:w w:val="100"/>
          <w:position w:val="0"/>
          <w:shd w:val="clear" w:color="auto" w:fill="auto"/>
          <w:lang w:val="hr-HR" w:eastAsia="hr-HR" w:bidi="hr-HR"/>
        </w:rPr>
        <w:t>Crkva.</w:t>
      </w:r>
      <w:r>
        <w:rPr>
          <w:rFonts w:ascii="Times New Roman" w:eastAsia="Times New Roman" w:hAnsi="Times New Roman" w:cs="Times New Roman"/>
          <w:color w:val="000000"/>
          <w:spacing w:val="0"/>
          <w:w w:val="100"/>
          <w:position w:val="0"/>
          <w:shd w:val="clear" w:color="auto" w:fill="auto"/>
          <w:lang w:val="hr-HR" w:eastAsia="hr-HR" w:bidi="hr-HR"/>
        </w:rPr>
        <w:t xml:space="preserve"> Riječ crkva izvodi se iz grčkog </w:t>
      </w:r>
      <w:r>
        <w:rPr>
          <w:rFonts w:ascii="Times New Roman" w:eastAsia="Times New Roman" w:hAnsi="Times New Roman" w:cs="Times New Roman"/>
          <w:color w:val="000000"/>
          <w:spacing w:val="0"/>
          <w:w w:val="100"/>
          <w:position w:val="0"/>
          <w:shd w:val="clear" w:color="auto" w:fill="auto"/>
          <w:lang w:val="en-US" w:eastAsia="en-US" w:bidi="en-US"/>
        </w:rPr>
        <w:t xml:space="preserve">kyriake </w:t>
      </w:r>
      <w:r>
        <w:rPr>
          <w:rFonts w:ascii="Times New Roman" w:eastAsia="Times New Roman" w:hAnsi="Times New Roman" w:cs="Times New Roman"/>
          <w:color w:val="000000"/>
          <w:spacing w:val="0"/>
          <w:w w:val="100"/>
          <w:position w:val="0"/>
          <w:shd w:val="clear" w:color="auto" w:fill="auto"/>
          <w:lang w:val="hr-HR" w:eastAsia="hr-HR" w:bidi="hr-HR"/>
        </w:rPr>
        <w:t>tj. »koji pripada Gospodinu«, što treba nadopuniti s oikia (kuća). To dakle znači »kuća Go</w:t>
        <w:softHyphen/>
        <w:t>spodinova«, »zajednica Gospodinova«. Kao teološka oznaka nadovezuje se na Stari zavjet. Starozavjetni se narod shvaćao kao »Kehal Jahve«, tj. kao »Božja zajednica«, jer je zahvaljivao Jahvi i njegovim postupcima za svoju nacionalnu i religijsku egzistenciju kad je bio spašen na Crvenome moru (Izl 14) i kad jc sklopio Savez (Izl 19 i d.), pa se zato i smatrao Božjim stvorenjem i vlasništvom. Oni koji vjeruju u Isusa kao Mesiju i Gospodina, povezujući sa sobom naslov »Kehal Jahve«, grčki »ekklesia tou theou«, »zajednica Božja«, izražavali su svoje shvaćanje o sebi kao o novom, pravom, istinitom i konačnom narodu Božjem, stečenom Kristovom krvlju (Dj 20,28). Ta nova zajednica ljudi koji vjeruju u Krista zove se Crkva. Oduhovljena Duhom Božjim neprestano ima dužnost, »bilo da im je zgodno ili nezgodno« (2 Tim 4,2) naviještati ljudima u svim vremenima Božju riječ kako je sačuvana u biblijskoj poruci.</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Različite slike, koje su najprije obilježavale narod Saveza u Starom zavjetu, prenio je Novi zavjet na Crkvu kao na novi narod Saveza. Jedna od temeljnih biblijskih slika za Crkvu je »Božji narod« (1 Pt 2,9-10). Analogno putovanju kroz pustinju izraelskog naroda (Izl 15,22 i d.) i Crkva se javlja kao Božji narod na putu (Heb 4,9). Da bi pre</w:t>
        <w:softHyphen/>
        <w:t>dočio međusobno jedinstvo vjernika i njihovu upućenost jednih na druge, kao i njihovo unutarnje jedinstvo i povezanost, Pavao govori o Crkvi kao »Tijelu Kristovu« (1 Kor 12,12-27). Također je naziva i »Kristovom zaručnicom« (2 Kor 11,2; Ef 5,22-23): Kao što prema Post 2,24 muž i žena postaju u bračnoj zajednici »jedno tijelo«, tako su Krist i oni koji u njega vjeruju jedno (1 Kor 6,17). Daljnje slike za Crkvu su »hram Božji« (1 Pt 2,5; usp. 1 Kor 3,17) ili »stado Kristovo« (usp. Iv 10,14-15), a to se oslanja na staro</w:t>
        <w:softHyphen/>
        <w:t>zavjetnu sliku pastira i njegova stada (usp. Ez 34,11-16 i si.).</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Primanje u Crkvu uslijedit će </w:t>
      </w:r>
      <w:r>
        <w:rPr>
          <w:rFonts w:ascii="Times New Roman" w:eastAsia="Times New Roman" w:hAnsi="Times New Roman" w:cs="Times New Roman"/>
          <w:i/>
          <w:iCs/>
          <w:color w:val="000000"/>
          <w:spacing w:val="0"/>
          <w:w w:val="100"/>
          <w:position w:val="0"/>
          <w:shd w:val="clear" w:color="auto" w:fill="auto"/>
          <w:lang w:val="hr-HR" w:eastAsia="hr-HR" w:bidi="hr-HR"/>
        </w:rPr>
        <w:t>krštenjem.</w:t>
      </w:r>
      <w:r>
        <w:rPr>
          <w:rFonts w:ascii="Times New Roman" w:eastAsia="Times New Roman" w:hAnsi="Times New Roman" w:cs="Times New Roman"/>
          <w:color w:val="000000"/>
          <w:spacing w:val="0"/>
          <w:w w:val="100"/>
          <w:position w:val="0"/>
          <w:shd w:val="clear" w:color="auto" w:fill="auto"/>
          <w:lang w:val="hr-HR" w:eastAsia="hr-HR" w:bidi="hr-HR"/>
        </w:rPr>
        <w:t xml:space="preserve"> Tko se dade krstiti, stupa u zajedništvo onih koji vjeruju u Krista, postaje članom te zajednice (Dj 2,41.47; 1 Kor 12,13; Ef 4,4-6). Tko se dade krstiti, biva u neku ruku »nanovo rođen« (Tit 3,5; 1 Pt 1,3, 23; Iv 3, 5); jer, krštenjem u ime Isusa Krista umakanjem ili uranjanjem u vodu nekako smo »s njime ukopani u smrt da kao što Krist slavom Očevom bi uskrišen od mrtvih, i mi tako hodimo u novosti života« (Rim 6,4; usp. Kol 2,12). Tako Pavao tumači krštenje kao umiranje i uskrisivanje: »Pa ako umrijesmo s Kristom, vjerujemo da ćemo i živjeti za</w:t>
        <w:softHyphen/>
        <w:t>jedno s njime« (Rim 6,8) i to kao »nov stvor« (2 Kor 5,17), kao »nov čovjek« (Ef 2,15): »Doista, koji ste god u Krista kršteni, Kristom se zaodjenuste« (Gal 3,27).</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To jedinstvo s Kristom i u Kristu postaje vidljivo izvana u svečanosti </w:t>
      </w:r>
      <w:r>
        <w:rPr>
          <w:rFonts w:ascii="Times New Roman" w:eastAsia="Times New Roman" w:hAnsi="Times New Roman" w:cs="Times New Roman"/>
          <w:i/>
          <w:iCs/>
          <w:color w:val="000000"/>
          <w:spacing w:val="0"/>
          <w:w w:val="100"/>
          <w:position w:val="0"/>
          <w:shd w:val="clear" w:color="auto" w:fill="auto"/>
          <w:lang w:val="hr-HR" w:eastAsia="hr-HR" w:bidi="hr-HR"/>
        </w:rPr>
        <w:t>euharistije.</w:t>
      </w:r>
      <w:r>
        <w:rPr>
          <w:rFonts w:ascii="Times New Roman" w:eastAsia="Times New Roman" w:hAnsi="Times New Roman" w:cs="Times New Roman"/>
          <w:color w:val="000000"/>
          <w:spacing w:val="0"/>
          <w:w w:val="100"/>
          <w:position w:val="0"/>
          <w:shd w:val="clear" w:color="auto" w:fill="auto"/>
          <w:lang w:val="hr-HR" w:eastAsia="hr-HR" w:bidi="hr-HR"/>
        </w:rPr>
        <w:t xml:space="preserve"> Ri</w:t>
        <w:softHyphen/>
        <w:t xml:space="preserve">ječ </w:t>
      </w:r>
      <w:r>
        <w:rPr>
          <w:rFonts w:ascii="Times New Roman" w:eastAsia="Times New Roman" w:hAnsi="Times New Roman" w:cs="Times New Roman"/>
          <w:i/>
          <w:iCs/>
          <w:color w:val="000000"/>
          <w:spacing w:val="0"/>
          <w:w w:val="100"/>
          <w:position w:val="0"/>
          <w:shd w:val="clear" w:color="auto" w:fill="auto"/>
          <w:lang w:val="hr-HR" w:eastAsia="hr-HR" w:bidi="hr-HR"/>
        </w:rPr>
        <w:t>euharistija,</w:t>
      </w:r>
      <w:r>
        <w:rPr>
          <w:rFonts w:ascii="Times New Roman" w:eastAsia="Times New Roman" w:hAnsi="Times New Roman" w:cs="Times New Roman"/>
          <w:color w:val="000000"/>
          <w:spacing w:val="0"/>
          <w:w w:val="100"/>
          <w:position w:val="0"/>
          <w:shd w:val="clear" w:color="auto" w:fill="auto"/>
          <w:lang w:val="hr-HR" w:eastAsia="hr-HR" w:bidi="hr-HR"/>
        </w:rPr>
        <w:t xml:space="preserve"> preuzeta iz grčkoga, znači zahvaljivanje. U spomen na Posljednju večeru, koju je Isus slavio sa svojim učenicima neposredno prije svoga smaknuća (1 Kor 11,23-25; Mk 14,22-25; Mt 26,26-29; Lk 22,15-20), kršćani uvijek iznova međusobno slave večeru da bi zahvalili za Isusov život i smrt »za nas«, da bismo mi javno posvjedočili svoju zahvalnost za njegovu povezanost s nama, jer zar nije »kruh koji lomimo ... zajed</w:t>
        <w:softHyphen/>
        <w:t>ništvo tijela Kristova« (1 Kor 10,16b) i naposljetku da bismo već sada unaprijed izrazili svoju zahvalnost za darovanu nadu u njegov slavni dolazak (usp. Mk 14,25; Mt 26,29; Lk 22,18). Oslanjajući se na obredno uređenu večeru, koja bi mogla biti pozadina za Isusovu posljednju večeru s njegovim učenicima, kršćani slave euharistiju s »kruhom« i »vinom«. »Kruh« i »vino« imaju pritom znamenito značenje. Isusovo tumačenje nekoć: »Uzmite, ovo je tijelo moje ... Ovo je krv moja ...« (Mk 14, 22b. 24a) vrijedi i danas. On je o sebi govorio kao o žrtvi: »Kao što se beskvasni kruh otkida, tako će moje tijelo biti lomljeno; kao što se crveno vino izlijeva, tako će se moja krv proliti« (H. Kiing). U tom'se smislu aktualizira spomen na to i predočava u svakoj euharistijskoj gozbi. Tako se objašnjava is</w:t>
        <w:softHyphen/>
        <w:t>povijedanje vjere: »Tvoju smrt, Gospodine, naviještamo, tvoje uskrsnuće slavimo, tvoj slavni dolazak očekujemo« (Rimski misal). Euharistijska gozba je, dakle, središte svake kršćanske zajednice, srce Crkve, »kruh« od kojega kršćanin živi.</w:t>
      </w:r>
    </w:p>
    <w:p>
      <w:pPr>
        <w:pStyle w:val="Style33"/>
        <w:keepNext w:val="0"/>
        <w:keepLines w:val="0"/>
        <w:widowControl w:val="0"/>
        <w:shd w:val="clear" w:color="auto" w:fill="auto"/>
        <w:bidi w:val="0"/>
        <w:spacing w:before="0" w:after="0"/>
        <w:ind w:left="0" w:right="0"/>
        <w:jc w:val="both"/>
        <w:sectPr>
          <w:headerReference w:type="default" r:id="rId59"/>
          <w:footerReference w:type="default" r:id="rId60"/>
          <w:headerReference w:type="even" r:id="rId61"/>
          <w:footerReference w:type="even" r:id="rId62"/>
          <w:footnotePr>
            <w:pos w:val="pageBottom"/>
            <w:numFmt w:val="decimal"/>
            <w:numStart w:val="5"/>
            <w:numRestart w:val="continuous"/>
            <w15:footnoteColumns w:val="1"/>
          </w:footnotePr>
          <w:pgSz w:w="6816" w:h="11006"/>
          <w:pgMar w:top="979" w:left="186" w:right="192" w:bottom="566" w:header="0" w:footer="138" w:gutter="0"/>
          <w:pgNumType w:start="29"/>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Krštenje i euharistija temeljni su </w:t>
      </w:r>
      <w:r>
        <w:rPr>
          <w:rFonts w:ascii="Times New Roman" w:eastAsia="Times New Roman" w:hAnsi="Times New Roman" w:cs="Times New Roman"/>
          <w:i/>
          <w:iCs/>
          <w:color w:val="000000"/>
          <w:spacing w:val="0"/>
          <w:w w:val="100"/>
          <w:position w:val="0"/>
          <w:shd w:val="clear" w:color="auto" w:fill="auto"/>
          <w:lang w:val="hr-HR" w:eastAsia="hr-HR" w:bidi="hr-HR"/>
        </w:rPr>
        <w:t>sakramenti</w:t>
      </w:r>
      <w:r>
        <w:rPr>
          <w:rFonts w:ascii="Times New Roman" w:eastAsia="Times New Roman" w:hAnsi="Times New Roman" w:cs="Times New Roman"/>
          <w:color w:val="000000"/>
          <w:spacing w:val="0"/>
          <w:w w:val="100"/>
          <w:position w:val="0"/>
          <w:shd w:val="clear" w:color="auto" w:fill="auto"/>
          <w:lang w:val="hr-HR" w:eastAsia="hr-HR" w:bidi="hr-HR"/>
        </w:rPr>
        <w:t xml:space="preserve"> Crkve, tj. znakovi u kojima se u Kristu i po Kristu na poseban način može iskusiti Božja potpora ljudima. U njima simbolično dolazi do izražaja susret s Kristom. Katolička crkva poznaje sedam sakramenata: krš</w:t>
        <w:softHyphen/>
        <w:t>tenje, potvrdu, euharistiju, pokoru, bolesničko pomazanje, sveti red i ženidbu. Pri broju od sedam sakramenata Katolička se crkva oslanja na dugi razvoj koji počinje već u ži</w:t>
        <w:softHyphen/>
        <w:t xml:space="preserve">votu Pracrkve, ali je zaključen tek otprilike u XII. stoljeću. U XVI. stoljeću postaje </w:t>
      </w:r>
    </w:p>
    <w:p>
      <w:pPr>
        <w:pStyle w:val="Style33"/>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predmetom spora između konfesija. Otada reformacijske crkve većinom zadržavaju samo oba temeljna sakramenta: krštenje i euharistiju.</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Nakana je </w:t>
      </w:r>
      <w:r>
        <w:rPr>
          <w:rFonts w:ascii="Times New Roman" w:eastAsia="Times New Roman" w:hAnsi="Times New Roman" w:cs="Times New Roman"/>
          <w:i/>
          <w:iCs/>
          <w:color w:val="000000"/>
          <w:spacing w:val="0"/>
          <w:w w:val="100"/>
          <w:position w:val="0"/>
          <w:shd w:val="clear" w:color="auto" w:fill="auto"/>
          <w:lang w:val="hr-HR" w:eastAsia="hr-HR" w:bidi="hr-HR"/>
        </w:rPr>
        <w:t>ekumenskog pokreta,</w:t>
      </w:r>
      <w:r>
        <w:rPr>
          <w:rFonts w:ascii="Times New Roman" w:eastAsia="Times New Roman" w:hAnsi="Times New Roman" w:cs="Times New Roman"/>
          <w:color w:val="000000"/>
          <w:spacing w:val="0"/>
          <w:w w:val="100"/>
          <w:position w:val="0"/>
          <w:shd w:val="clear" w:color="auto" w:fill="auto"/>
          <w:lang w:val="hr-HR" w:eastAsia="hr-HR" w:bidi="hr-HR"/>
        </w:rPr>
        <w:t xml:space="preserve"> koji je započeo u XX. stoljeću, ponovno uspostaviti jedinstvo koje se izgubilo tijekom povijesti. Jedinstvo Crkve bilo je od početka ugrože</w:t>
        <w:softHyphen/>
        <w:t xml:space="preserve">no (usp. 1 Kor 1,10-16; Fil 4,2). Već u ranoj Crkvi prvih stoljeća odijelile su se značajne skupine (manihejci, donatisti, arijanci, montanisti, novacijanci, monofiziti, nestorijan- ci). U tzv. Istočnom crkvenom raskolu godine 1054. uslijedilo je rastavljanje zapadne i istočne (bizantske) Crkve. Od toga vremena zajednice, koje se svode na bizantsku Crkvu i koje se označuju kao pravoslavne crkve, osim povremenih unija, odijeljene su od zapadne Crkve. U XVI. stoljeću, uslijed reformacije, raskolilo se zapadno kršćanstvo na katolike (Katolička crkva) i protestante (evangeličke crkve). Godine 1534. engleski kralj </w:t>
      </w:r>
      <w:r>
        <w:rPr>
          <w:rFonts w:ascii="Times New Roman" w:eastAsia="Times New Roman" w:hAnsi="Times New Roman" w:cs="Times New Roman"/>
          <w:color w:val="000000"/>
          <w:spacing w:val="0"/>
          <w:w w:val="100"/>
          <w:position w:val="0"/>
          <w:shd w:val="clear" w:color="auto" w:fill="auto"/>
          <w:lang w:val="en-US" w:eastAsia="en-US" w:bidi="en-US"/>
        </w:rPr>
        <w:t xml:space="preserve">Henrik </w:t>
      </w:r>
      <w:r>
        <w:rPr>
          <w:rFonts w:ascii="Times New Roman" w:eastAsia="Times New Roman" w:hAnsi="Times New Roman" w:cs="Times New Roman"/>
          <w:color w:val="000000"/>
          <w:spacing w:val="0"/>
          <w:w w:val="100"/>
          <w:position w:val="0"/>
          <w:shd w:val="clear" w:color="auto" w:fill="auto"/>
          <w:lang w:val="hr-HR" w:eastAsia="hr-HR" w:bidi="hr-HR"/>
        </w:rPr>
        <w:t>VIII. odrekao se Rima i pustio je da ga kler i sabor priznaju poglavarom engleske Crkve, nazvane Anglikanskom crkvom. Daljnje odcjepljenje uslijedilo je Prvim vatikanskim koncilom 1870., kada su se zbog pitanja primata (primat jurisdikcije i pa</w:t>
        <w:softHyphen/>
        <w:t>pinske nepogrešivosti) odijelili takozvani starokatolici (Starokatolička crkva) od Kato</w:t>
        <w:softHyphen/>
        <w:t>ličke crkve (Rimokatolička crkva). Prevladati mnoga odcjepljenja i rastavljanja tijekom crkvene povijesti i ponovno uspostaviti puno jedinstvo, cilj je kojemu teži ekumenski pokret, u kojem sudjeluju različito strukturirane crkvene zajednice. Godine 1948. ustrojilo se »Ekumensko vijeće crkava«, u kojemu je obuhvaćeno gotovo 300 crkvenih zajednica. Njegovo je sjedište u Ženevi. Rimokatolička crkva ima status promatrača.</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Unatoč svim sjenama koje već gotovo dva tisućljeća povijesti kršćanstva zatam</w:t>
        <w:softHyphen/>
        <w:t>njuju njegovu sliku, jedno se održalo: Ljudi su uvijek pokušavali - bilo kada i bilo gdje - orijentirati se po Isusu Kristu i živjeti prema njegovoj poruci. Pokušavali su njegov načelni program (usp. Mt 5,3-10) učiniti svojim vlastitim životnim programom. Tko hoće živjeti kao kršćanin, mora uvijek stavljati pred oči Isusov život i postupke. On je središte kršćanske vjere, mjerilo po kojemu se sve mora mjeriti. Zato je za onoga koji hoće nasljedovati Isusa, pretpostavka od koje ne može odustati svijest koja ga vraća njemu. Nasljedovati ga znači: »Težite među sobom za onim za čim treba da težite u Kristu Isusu« (Fil 2,5).</w:t>
      </w:r>
    </w:p>
    <w:p>
      <w:pPr>
        <w:pStyle w:val="Style33"/>
        <w:keepNext w:val="0"/>
        <w:keepLines w:val="0"/>
        <w:widowControl w:val="0"/>
        <w:shd w:val="clear" w:color="auto" w:fill="auto"/>
        <w:bidi w:val="0"/>
        <w:spacing w:before="0" w:after="0"/>
        <w:ind w:left="0" w:right="0" w:firstLine="380"/>
        <w:jc w:val="both"/>
        <w:sectPr>
          <w:headerReference w:type="default" r:id="rId63"/>
          <w:footerReference w:type="default" r:id="rId64"/>
          <w:headerReference w:type="even" r:id="rId65"/>
          <w:footerReference w:type="even" r:id="rId66"/>
          <w:footnotePr>
            <w:pos w:val="pageBottom"/>
            <w:numFmt w:val="decimal"/>
            <w:numStart w:val="5"/>
            <w:numRestart w:val="continuous"/>
            <w15:footnoteColumns w:val="1"/>
          </w:footnotePr>
          <w:pgSz w:w="6816" w:h="11006"/>
          <w:pgMar w:top="979" w:left="186" w:right="192" w:bottom="566" w:header="0" w:footer="3" w:gutter="0"/>
          <w:pgNumType w:start="26"/>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Kakav učinak ima ta težnja? Isus nije ostavio nikakav ishitren sustav obveza, zapo</w:t>
        <w:softHyphen/>
        <w:t>vijedi i zabrana koji bi trebao urediti svakodnevicu. U židovstvu, u Isusovo doba, rabini su brojili 248 zapovijedi i 365 zabrana. Jednom je - tako navodi evanđelist Matej - je</w:t>
        <w:softHyphen/>
        <w:t>dan zakonoznanac upitao Isusa, koja jc najvažnija zapovijed u Mojsijevu zakonu. Na to je Isus odgovorio: »Ljubi Gospodina Boga svoga svim srcem svojim, svom dušom svo</w:t>
        <w:softHyphen/>
        <w:t>jom i svom pameti svojom. To je najveća i prva zapovijed. Druga je toj jednaka: Ljubi bližnjega svoga kao samoga sebe! O tim dvjema zapovijedima ovisi sav Zakon i Pro</w:t>
        <w:softHyphen/>
        <w:t xml:space="preserve">roci« (Mt 22,37-40). Obje su zapovijedi bile pismoznancima dobro poznate iz Moj- sijeva zakona. Tradicijom su u Starom zavjetu (Pnz 6,5;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sačuvane obje zapo</w:t>
        <w:softHyphen/>
        <w:t>vijedi. Njih Isus ističe kao dvije najvažnije medu bezbrojnim propisima, pravilima, zabranama i zapovijedima, koje su nastale tijekom vremena, i povezuje ih ujedno uz glavnu zapovijed ljubavi. One najtješnje pripadaju zajedno. »Ako netko tvrdi: ‘Ljubim Boga’, a mrzi svoga brata, lažac je; jer tko ne ljubi svoga brata koga vidi, ne može ljubiti Boga koga ne vidi« (1 Iv 4,20). Ljubav prema Bogu potvrđuje se dakle ljubavlju prema bližnjem.</w:t>
      </w:r>
    </w:p>
    <w:p>
      <w:pPr>
        <w:pStyle w:val="Style33"/>
        <w:keepNext w:val="0"/>
        <w:keepLines w:val="0"/>
        <w:widowControl w:val="0"/>
        <w:shd w:val="clear" w:color="auto" w:fill="auto"/>
        <w:bidi w:val="0"/>
        <w:spacing w:before="0" w:after="0" w:line="262"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»Tko jc onda moj bližnji?« (Lk 10,29). Isus na to odgovori vrlo zornom prispodo</w:t>
        <w:softHyphen/>
        <w:t>bom:</w:t>
      </w:r>
    </w:p>
    <w:p>
      <w:pPr>
        <w:pStyle w:val="Style33"/>
        <w:keepNext w:val="0"/>
        <w:keepLines w:val="0"/>
        <w:widowControl w:val="0"/>
        <w:shd w:val="clear" w:color="auto" w:fill="auto"/>
        <w:bidi w:val="0"/>
        <w:spacing w:before="0" w:after="0" w:line="262" w:lineRule="auto"/>
        <w:ind w:left="0" w:right="0"/>
        <w:jc w:val="both"/>
        <w:sectPr>
          <w:headerReference w:type="default" r:id="rId67"/>
          <w:footerReference w:type="default" r:id="rId68"/>
          <w:headerReference w:type="even" r:id="rId69"/>
          <w:footerReference w:type="even" r:id="rId70"/>
          <w:footnotePr>
            <w:pos w:val="pageBottom"/>
            <w:numFmt w:val="decimal"/>
            <w:numStart w:val="5"/>
            <w:numRestart w:val="continuous"/>
            <w15:footnoteColumns w:val="1"/>
          </w:footnotePr>
          <w:pgSz w:w="6816" w:h="11006"/>
          <w:pgMar w:top="979" w:left="186" w:right="192" w:bottom="566" w:header="0" w:footer="3" w:gutter="0"/>
          <w:pgNumType w:start="31"/>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»Neki čovjek, silazeći iz Jeruzalema u Jerihon, zapade među razbojnike, koji ga svuku i još k tome izrane, ostave napol mrtva pa odu. Slučajno jc istim putem silazio neki svećenik pa kad ga opazi, zaobiđe ga i prođe. A tako i neki levit, kada dođe tu i kad ga opazi, zaobiđe ga i prođe. Neki putnik Samarijanac dođe blizu njega pa kad ga vidje, sažali se. Pristupi mu, opra mu rane uljem i vinom i zavi ih. Zatim ga stavi na svoje kljuse, odvede u gostionicu i preuze za nj brigu. Sutradan izvadi dva denara i dade ih gostioničaru: ‘Brini se za nj’, - reče mu - pa ako što više potrošiš, ja ću ti na povratku platiti. ‘Koji se, po tvome mišljenju, od te trojice pokazao bližnjim onomu što jc zapao među razbojnike?’ Odgovori mu: ‘Onaj koji mu iskaza milosrđe.’ ‘Idi pa i ti čini tako!’ reče mu Isus« (Lk 10,30-37). Isusove učenike moralo je šokirati da jc upravo neki Sa</w:t>
        <w:softHyphen/>
        <w:t>marijanac prikazan kao onaj koji pomaže u nevolji, jer su Samarijanci slovili za krivo</w:t>
        <w:softHyphen/>
        <w:t>vjerce i odbačene. Ljubav prema bližnjem, kaže Isus, ne ograničava se na narodnu, reli</w:t>
        <w:softHyphen/>
        <w:t>gijsku, gradsku ili seosku zajednicu, nego podrazumijeva svakoga čovjeka koji me treba. »Idi pa i ti čini tako!« tj. postupaj isto tako, ne isključuj nikoga iz svoje ljubavi jer ni Bog nc čini razlike u osobi, jer »on čini da njegovo sunce izlazi nad zlima i dobrima, i da kiša pada pravednima i nepravednima« (Mt 5,45). Budući daje Bog u svojoj ljubavi bezgraničan, kršćanin ne smije svoju ljubav ograničavati na vlastite rođake, prijatelje, znance: »Ako ljubite one koji vas ljube, kakvu čete plaću imati? Zar i carinici ne čine to isto? Ako jedino svoju braću pozdravljate, što izvanredno činite? Zar i pogani ne čine isto?« (Mt 5,46-47). Zato kada Isus jasno ispravlja nekoć uobičajeno »ljubi svoga bližnjega i mrzi svoga neprijatelja«, svojim »a ja vam kažem« izričito zahtijeva ljubav prema neprijatelju (Mt 5,44). Razlog za ovu otvorenu ljubav prema svima, koja raskida sva međuljudska ograničenja i ograde, jest posvemašnje oponašanje Boga: »Dakle: bu</w:t>
        <w:softHyphen/>
        <w:t>dite savršeni kao što jc savršen Otac vaš nebeski!« (Mt 5,48). Božja ljubav prema svim ljudima temelj je ljubavi prema bližnjem kojom se moramo dnevno zajedno dokazivati i potvrđivati kao sinovi i kćeri »Oca nebeskog« (Mt 5,45). To je potvrđivanje prven</w:t>
        <w:softHyphen/>
        <w:t xml:space="preserve">stvena obveza svakoga kršćanina. Ljubav prema Bogu i prema bližnjem u neku je ruku kvintesencija kršćanskog života. Božja ljubav nije djeljiva, ona traži čitavog čovjeka, njegovu čitavu volju, njegove osjećaje, njegovo mišljenje. U višestrukom pogledu dolazi do izražaja: Kad molimo, bilo sami, bilo u zajednici s drugima ili kad se nedjeljom i blagdanima posebno okupljamo u crkvi da čujemo Božju riječ i da slavimo euharistiju. Ljubav prema bližnjem isto tako dolazi do izražaja u služenju ljudima, patnicima, onima koji trebaju pomoć, invalidima i bolesnicima. O tome svjedoče mnoge socijalne službe i organizacije, npr. </w:t>
      </w:r>
      <w:r>
        <w:rPr>
          <w:rFonts w:ascii="Times New Roman" w:eastAsia="Times New Roman" w:hAnsi="Times New Roman" w:cs="Times New Roman"/>
          <w:color w:val="000000"/>
          <w:spacing w:val="0"/>
          <w:w w:val="100"/>
          <w:position w:val="0"/>
          <w:shd w:val="clear" w:color="auto" w:fill="auto"/>
          <w:lang w:val="en-US" w:eastAsia="en-US" w:bidi="en-US"/>
        </w:rPr>
        <w:t xml:space="preserve">Caritas, </w:t>
      </w:r>
      <w:r>
        <w:rPr>
          <w:rFonts w:ascii="Times New Roman" w:eastAsia="Times New Roman" w:hAnsi="Times New Roman" w:cs="Times New Roman"/>
          <w:color w:val="000000"/>
          <w:spacing w:val="0"/>
          <w:w w:val="100"/>
          <w:position w:val="0"/>
          <w:shd w:val="clear" w:color="auto" w:fill="auto"/>
          <w:lang w:val="hr-HR" w:eastAsia="hr-HR" w:bidi="hr-HR"/>
        </w:rPr>
        <w:t xml:space="preserve">Misereor, </w:t>
      </w:r>
      <w:r>
        <w:rPr>
          <w:rFonts w:ascii="Times New Roman" w:eastAsia="Times New Roman" w:hAnsi="Times New Roman" w:cs="Times New Roman"/>
          <w:color w:val="000000"/>
          <w:spacing w:val="0"/>
          <w:w w:val="100"/>
          <w:position w:val="0"/>
          <w:shd w:val="clear" w:color="auto" w:fill="auto"/>
          <w:lang w:val="en-US" w:eastAsia="en-US" w:bidi="en-US"/>
        </w:rPr>
        <w:t xml:space="preserve">Adveniat, Diakonisches Werk, </w:t>
      </w:r>
      <w:r>
        <w:rPr>
          <w:rFonts w:ascii="Times New Roman" w:eastAsia="Times New Roman" w:hAnsi="Times New Roman" w:cs="Times New Roman"/>
          <w:color w:val="000000"/>
          <w:spacing w:val="0"/>
          <w:w w:val="100"/>
          <w:position w:val="0"/>
          <w:shd w:val="clear" w:color="auto" w:fill="auto"/>
          <w:lang w:val="hr-HR" w:eastAsia="hr-HR" w:bidi="hr-HR"/>
        </w:rPr>
        <w:t xml:space="preserve">Brot fur </w:t>
      </w:r>
      <w:r>
        <w:rPr>
          <w:rFonts w:ascii="Times New Roman" w:eastAsia="Times New Roman" w:hAnsi="Times New Roman" w:cs="Times New Roman"/>
          <w:color w:val="000000"/>
          <w:spacing w:val="0"/>
          <w:w w:val="100"/>
          <w:position w:val="0"/>
          <w:shd w:val="clear" w:color="auto" w:fill="auto"/>
          <w:lang w:val="en-US" w:eastAsia="en-US" w:bidi="en-US"/>
        </w:rPr>
        <w:t xml:space="preserve">die Welt. </w:t>
      </w:r>
      <w:r>
        <w:rPr>
          <w:rFonts w:ascii="Times New Roman" w:eastAsia="Times New Roman" w:hAnsi="Times New Roman" w:cs="Times New Roman"/>
          <w:color w:val="000000"/>
          <w:spacing w:val="0"/>
          <w:w w:val="100"/>
          <w:position w:val="0"/>
          <w:shd w:val="clear" w:color="auto" w:fill="auto"/>
          <w:lang w:val="hr-HR" w:eastAsia="hr-HR" w:bidi="hr-HR"/>
        </w:rPr>
        <w:t>Svima je njima u temelju svjedočenje i prenošenje Božje ljubavi prema ljudi</w:t>
        <w:softHyphen/>
        <w:t>ma. Ljubav prema Bogu i ljubav prema bližnjem, koje je Isus povezao u glavnu zapo</w:t>
        <w:softHyphen/>
        <w:t>vijed, kršćaninu su načelo orijentacije i pravilo ponašanja. Zato u oblikovanju svojega osobnog života kod kuće u obitelji, na poslu i u zvanju, u svojoj crkvenoj zajednici i državi, on kao kršćanin treba ispunjavati svoje zadaće i obveze brinući se svojim an</w:t>
        <w:softHyphen/>
        <w:t>gažmanom o ostvarenju i vladanju ljubavi i pravde. Polazeći od svoje vjere, treba sudje</w:t>
        <w:softHyphen/>
        <w:t xml:space="preserve">lovati u političkom oblikovanju države i društva: u socijalnoj i gospodarskoj politici isto tako kao i u obiteljskoj, obrazovnoj i medijskoj politici. Politika razvoja i mirotvorna </w:t>
      </w:r>
    </w:p>
    <w:p>
      <w:pPr>
        <w:pStyle w:val="Style33"/>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politika danas su više no ikada postale jedan od prijeko potrebnih zahtjeva. Uz sukob između Istoka i Zapada danas više nego prije osjećamo sukob između takozvanog Sje</w:t>
        <w:softHyphen/>
        <w:t>vera i Juga, tj. socijalni jaz između bogatih industrijskih naroda i siromašnijih zemalja u razvoju. Kršćanska solidarnost koja se tu traži kamen je kušnje za svakoga kršćanina ukoliko se njegova ljubav prema Bogu potvrđuje ljubavlju prema bližnjem.</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Svaki kršćanin mora jamčiti za svoje vladanje. Mora biti odgovoran za svoj život. Mnogi tekstovi Biblije govore da Bog traži od čovjeka polaganje računa. U slici knjige, u kojoj je sve zabilježeno, predočava se kako Bog poznaje život svakog pojedinca: »I opazih mrtvace, male i velike, gdje stoje pred prijestoljem. ‘I otvoriše se knjige.’ I druga ‘knjiga’, knjiga ‘života’, bi otvorena. Tada su mrtvaci suđeni prema onom što je napi</w:t>
        <w:softHyphen/>
        <w:t>sano u knjigama, ‘po svojim djelima’« (Otk 20,12). Kao što je za svakoga čovjeka neizbježna smrt, tako je neizbježan i sud (usp. Hcb 9,27) »jer nam se svima treba poja</w:t>
        <w:softHyphen/>
        <w:t>viti pred sudom Kristovim, da svaki primi što je zaslužio: nagradu ili kaznu, već prema tomu što je za zemaljskoga života činio« (2 Kor 5,10).</w:t>
      </w:r>
    </w:p>
    <w:p>
      <w:pPr>
        <w:pStyle w:val="Style33"/>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Sa smrću nije sve svršeno. Pavao piše: »Nećemo, braćo, da ostanete u neznanju o umrlima, da se ne žalostite poput ostalih koji nemaju nade. Jer, ako vjerujemo da je Isus umro i uskrsnuo, tako će i Bog one koji su umrli ujedinjeni s Isusom dovesti s njim« (1 Sol 4,13-14). Prema tomu, naša nada u vječni život utemeljena je u Božjoj vjernosti. Kao što sc njegova vjernost u Isusu Kristu pokazala preko smrti, tako će biti i kod svih koji stoje u sudbinskom zajedništvu s Kristom (usp. 1 Kor 15,12 i d.).</w:t>
      </w:r>
    </w:p>
    <w:p>
      <w:pPr>
        <w:pStyle w:val="Style33"/>
        <w:keepNext w:val="0"/>
        <w:keepLines w:val="0"/>
        <w:widowControl w:val="0"/>
        <w:shd w:val="clear" w:color="auto" w:fill="auto"/>
        <w:bidi w:val="0"/>
        <w:spacing w:before="0" w:after="120"/>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Jer, to je - kao što čitamo u Ivanovu evanđelju - Isusova volja: »Oče, htio bih da oni koje si mi dao, budu gdje sam ja, zajedno sa mnom, da promatraju slavu koju si mi dao, jer si me ljubio prije postanka svijeta« (Iv 17,24). »U kući Oca moga ima mnogo stanova. Kad ne bi bilo tako, zar bih vam rekao: ‘Idem da vam pripravim mjesto!’ Kad odem te vam pripravim mjesto, vratit ću se da vas uzmem k sebi i da i vi budete gdje sam ja« (Iv 14,2-3). Iz ove nade kršćanin živi, u ovoj nadi kršćanin umire: »Dakle: i ako živimo i ako umiremo, Gospodinu pripadamo« (Rim 14,8).</w:t>
      </w:r>
    </w:p>
    <w:p>
      <w:pPr>
        <w:pStyle w:val="Style56"/>
        <w:keepNext w:val="0"/>
        <w:keepLines w:val="0"/>
        <w:widowControl w:val="0"/>
        <w:shd w:val="clear" w:color="auto" w:fill="auto"/>
        <w:bidi w:val="0"/>
        <w:spacing w:before="0" w:after="0"/>
        <w:ind w:left="0" w:right="0" w:firstLine="0"/>
        <w:jc w:val="both"/>
        <w:sectPr>
          <w:headerReference w:type="default" r:id="rId71"/>
          <w:footerReference w:type="default" r:id="rId72"/>
          <w:headerReference w:type="even" r:id="rId73"/>
          <w:footerReference w:type="even" r:id="rId74"/>
          <w:footnotePr>
            <w:pos w:val="pageBottom"/>
            <w:numFmt w:val="decimal"/>
            <w:numStart w:val="5"/>
            <w:numRestart w:val="continuous"/>
            <w15:footnoteColumns w:val="1"/>
          </w:footnotePr>
          <w:pgSz w:w="6816" w:h="11006"/>
          <w:pgMar w:top="979" w:left="186" w:right="192" w:bottom="566" w:header="0" w:footer="3" w:gutter="0"/>
          <w:pgNumType w:start="28"/>
          <w:cols w:space="720"/>
          <w:noEndnote/>
          <w:rtlGutter w:val="0"/>
          <w:docGrid w:linePitch="360"/>
        </w:sectPr>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P. </w:t>
      </w:r>
      <w:r>
        <w:rPr>
          <w:color w:val="000000"/>
          <w:spacing w:val="0"/>
          <w:w w:val="100"/>
          <w:position w:val="0"/>
          <w:shd w:val="clear" w:color="auto" w:fill="auto"/>
        </w:rPr>
        <w:t xml:space="preserve">Antes, </w:t>
      </w:r>
      <w:r>
        <w:rPr>
          <w:i/>
          <w:iCs/>
          <w:color w:val="000000"/>
          <w:spacing w:val="0"/>
          <w:w w:val="100"/>
          <w:position w:val="0"/>
          <w:shd w:val="clear" w:color="auto" w:fill="auto"/>
          <w:lang w:val="hr-HR" w:eastAsia="hr-HR" w:bidi="hr-HR"/>
        </w:rPr>
        <w:t>Christentum - eine Einfuhrung</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(Urban-Taschenbiicher </w:t>
      </w:r>
      <w:r>
        <w:rPr>
          <w:color w:val="000000"/>
          <w:spacing w:val="0"/>
          <w:w w:val="100"/>
          <w:position w:val="0"/>
          <w:shd w:val="clear" w:color="auto" w:fill="auto"/>
          <w:lang w:val="hr-HR" w:eastAsia="hr-HR" w:bidi="hr-HR"/>
        </w:rPr>
        <w:t xml:space="preserve">378), Stuttgart/Bcrlin/Koln/Mainz 1985, E. Biser, </w:t>
      </w:r>
      <w:r>
        <w:rPr>
          <w:i/>
          <w:iCs/>
          <w:color w:val="000000"/>
          <w:spacing w:val="0"/>
          <w:w w:val="100"/>
          <w:position w:val="0"/>
          <w:shd w:val="clear" w:color="auto" w:fill="auto"/>
        </w:rPr>
        <w:t xml:space="preserve">Jesus fiir Christen. </w:t>
      </w:r>
      <w:r>
        <w:rPr>
          <w:i/>
          <w:iCs/>
          <w:color w:val="000000"/>
          <w:spacing w:val="0"/>
          <w:w w:val="100"/>
          <w:position w:val="0"/>
          <w:shd w:val="clear" w:color="auto" w:fill="auto"/>
          <w:lang w:val="hr-HR" w:eastAsia="hr-HR" w:bidi="hr-HR"/>
        </w:rPr>
        <w:t>Eine fferausforderung</w:t>
      </w:r>
      <w:r>
        <w:rPr>
          <w:color w:val="000000"/>
          <w:spacing w:val="0"/>
          <w:w w:val="100"/>
          <w:position w:val="0"/>
          <w:shd w:val="clear" w:color="auto" w:fill="auto"/>
          <w:lang w:val="hr-HR" w:eastAsia="hr-HR" w:bidi="hr-HR"/>
        </w:rPr>
        <w:t xml:space="preserve"> (Herderbucherei 1157), Freiburg/Basel/Wien 1984; F. Fei* ner/L.Vischer(Hrsg.), </w:t>
      </w:r>
      <w:r>
        <w:rPr>
          <w:i/>
          <w:iCs/>
          <w:color w:val="000000"/>
          <w:spacing w:val="0"/>
          <w:w w:val="100"/>
          <w:position w:val="0"/>
          <w:shd w:val="clear" w:color="auto" w:fill="auto"/>
          <w:lang w:val="hr-HR" w:eastAsia="hr-HR" w:bidi="hr-HR"/>
        </w:rPr>
        <w:t>Neues Glaubensbuch. Der gemeinsame christliche Glaube,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Freiburg/Basel/Wien/Ziirich </w:t>
      </w:r>
      <w:r>
        <w:rPr>
          <w:color w:val="000000"/>
          <w:spacing w:val="0"/>
          <w:w w:val="100"/>
          <w:position w:val="0"/>
          <w:shd w:val="clear" w:color="auto" w:fill="auto"/>
          <w:lang w:val="hr-HR" w:eastAsia="hr-HR" w:bidi="hr-HR"/>
        </w:rPr>
        <w:t xml:space="preserve">’1973; H. Frankemdlle, </w:t>
      </w:r>
      <w:r>
        <w:rPr>
          <w:i/>
          <w:iCs/>
          <w:color w:val="000000"/>
          <w:spacing w:val="0"/>
          <w:w w:val="100"/>
          <w:position w:val="0"/>
          <w:shd w:val="clear" w:color="auto" w:fill="auto"/>
          <w:lang w:val="hr-HR" w:eastAsia="hr-HR" w:bidi="hr-HR"/>
        </w:rPr>
        <w:t xml:space="preserve">Glaubensbekenntnisse. Zur neutestamentlichen Begriindung </w:t>
      </w:r>
      <w:r>
        <w:rPr>
          <w:i/>
          <w:iCs/>
          <w:color w:val="000000"/>
          <w:spacing w:val="0"/>
          <w:w w:val="100"/>
          <w:position w:val="0"/>
          <w:shd w:val="clear" w:color="auto" w:fill="auto"/>
        </w:rPr>
        <w:t>unseres Credos,</w:t>
      </w:r>
      <w:r>
        <w:rPr>
          <w:color w:val="000000"/>
          <w:spacing w:val="0"/>
          <w:w w:val="100"/>
          <w:position w:val="0"/>
          <w:shd w:val="clear" w:color="auto" w:fill="auto"/>
        </w:rPr>
        <w:t xml:space="preserve"> Ditsseldorf </w:t>
      </w:r>
      <w:r>
        <w:rPr>
          <w:color w:val="000000"/>
          <w:spacing w:val="0"/>
          <w:w w:val="100"/>
          <w:position w:val="0"/>
          <w:shd w:val="clear" w:color="auto" w:fill="auto"/>
          <w:lang w:val="hr-HR" w:eastAsia="hr-HR" w:bidi="hr-HR"/>
        </w:rPr>
        <w:t xml:space="preserve">1974; išli, </w:t>
      </w:r>
      <w:r>
        <w:rPr>
          <w:i/>
          <w:iCs/>
          <w:color w:val="000000"/>
          <w:spacing w:val="0"/>
          <w:w w:val="100"/>
          <w:position w:val="0"/>
          <w:shd w:val="clear" w:color="auto" w:fill="auto"/>
        </w:rPr>
        <w:t>Jesus von Nazareth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(Projekte zur </w:t>
      </w:r>
      <w:r>
        <w:rPr>
          <w:color w:val="000000"/>
          <w:spacing w:val="0"/>
          <w:w w:val="100"/>
          <w:position w:val="0"/>
          <w:shd w:val="clear" w:color="auto" w:fill="auto"/>
        </w:rPr>
        <w:t xml:space="preserve">theologischen Erwachsenenbildung </w:t>
      </w:r>
      <w:r>
        <w:rPr>
          <w:color w:val="000000"/>
          <w:spacing w:val="0"/>
          <w:w w:val="100"/>
          <w:position w:val="0"/>
          <w:shd w:val="clear" w:color="auto" w:fill="auto"/>
          <w:lang w:val="hr-HR" w:eastAsia="hr-HR" w:bidi="hr-HR"/>
        </w:rPr>
        <w:t xml:space="preserve">4), </w:t>
      </w:r>
      <w:r>
        <w:rPr>
          <w:color w:val="000000"/>
          <w:spacing w:val="0"/>
          <w:w w:val="100"/>
          <w:position w:val="0"/>
          <w:shd w:val="clear" w:color="auto" w:fill="auto"/>
        </w:rPr>
        <w:t xml:space="preserve">Mainz </w:t>
      </w:r>
      <w:r>
        <w:rPr>
          <w:color w:val="000000"/>
          <w:spacing w:val="0"/>
          <w:w w:val="100"/>
          <w:position w:val="0"/>
          <w:shd w:val="clear" w:color="auto" w:fill="auto"/>
          <w:lang w:val="hr-HR" w:eastAsia="hr-HR" w:bidi="hr-HR"/>
        </w:rPr>
        <w:t xml:space="preserve">1976; H. </w:t>
      </w:r>
      <w:r>
        <w:rPr>
          <w:color w:val="000000"/>
          <w:spacing w:val="0"/>
          <w:w w:val="100"/>
          <w:position w:val="0"/>
          <w:shd w:val="clear" w:color="auto" w:fill="auto"/>
        </w:rPr>
        <w:t xml:space="preserve">Grewel, </w:t>
      </w:r>
      <w:r>
        <w:rPr>
          <w:i/>
          <w:iCs/>
          <w:color w:val="000000"/>
          <w:spacing w:val="0"/>
          <w:w w:val="100"/>
          <w:position w:val="0"/>
          <w:shd w:val="clear" w:color="auto" w:fill="auto"/>
          <w:lang w:val="hr-HR" w:eastAsia="hr-HR" w:bidi="hr-HR"/>
        </w:rPr>
        <w:t xml:space="preserve">Christentum - </w:t>
      </w:r>
      <w:r>
        <w:rPr>
          <w:i/>
          <w:iCs/>
          <w:color w:val="000000"/>
          <w:spacing w:val="0"/>
          <w:w w:val="100"/>
          <w:position w:val="0"/>
          <w:shd w:val="clear" w:color="auto" w:fill="auto"/>
        </w:rPr>
        <w:t xml:space="preserve">was </w:t>
      </w:r>
      <w:r>
        <w:rPr>
          <w:i/>
          <w:iCs/>
          <w:color w:val="000000"/>
          <w:spacing w:val="0"/>
          <w:w w:val="100"/>
          <w:position w:val="0"/>
          <w:shd w:val="clear" w:color="auto" w:fill="auto"/>
          <w:lang w:val="hr-HR" w:eastAsia="hr-HR" w:bidi="hr-HR"/>
        </w:rPr>
        <w:t xml:space="preserve">ist </w:t>
      </w:r>
      <w:r>
        <w:rPr>
          <w:i/>
          <w:iCs/>
          <w:color w:val="000000"/>
          <w:spacing w:val="0"/>
          <w:w w:val="100"/>
          <w:position w:val="0"/>
          <w:shd w:val="clear" w:color="auto" w:fill="auto"/>
        </w:rPr>
        <w:t>das? Ein Elementarbuch,</w:t>
      </w:r>
      <w:r>
        <w:rPr>
          <w:color w:val="000000"/>
          <w:spacing w:val="0"/>
          <w:w w:val="100"/>
          <w:position w:val="0"/>
          <w:shd w:val="clear" w:color="auto" w:fill="auto"/>
        </w:rPr>
        <w:t xml:space="preserve"> Stuttgart/Bcrlin 1980; L. Hagemann, </w:t>
      </w:r>
      <w:r>
        <w:rPr>
          <w:i/>
          <w:iCs/>
          <w:color w:val="000000"/>
          <w:spacing w:val="0"/>
          <w:w w:val="100"/>
          <w:position w:val="0"/>
          <w:shd w:val="clear" w:color="auto" w:fill="auto"/>
        </w:rPr>
        <w:t>Christentum. Fiir das Gesprdch mil Muslimen,</w:t>
      </w:r>
      <w:r>
        <w:rPr>
          <w:color w:val="000000"/>
          <w:spacing w:val="0"/>
          <w:w w:val="100"/>
          <w:position w:val="0"/>
          <w:shd w:val="clear" w:color="auto" w:fill="auto"/>
        </w:rPr>
        <w:t xml:space="preserve"> Altenberge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1984; W. Kasper, </w:t>
      </w:r>
      <w:r>
        <w:rPr>
          <w:i/>
          <w:iCs/>
          <w:color w:val="000000"/>
          <w:spacing w:val="0"/>
          <w:w w:val="100"/>
          <w:position w:val="0"/>
          <w:shd w:val="clear" w:color="auto" w:fill="auto"/>
        </w:rPr>
        <w:t>Einfuhrung in den Glauben,</w:t>
      </w:r>
      <w:r>
        <w:rPr>
          <w:color w:val="000000"/>
          <w:spacing w:val="0"/>
          <w:w w:val="100"/>
          <w:position w:val="0"/>
          <w:shd w:val="clear" w:color="auto" w:fill="auto"/>
        </w:rPr>
        <w:t xml:space="preserve"> Mainz</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1975;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Jesus der Christus,</w:t>
      </w:r>
      <w:r>
        <w:rPr>
          <w:color w:val="000000"/>
          <w:spacing w:val="0"/>
          <w:w w:val="100"/>
          <w:position w:val="0"/>
          <w:shd w:val="clear" w:color="auto" w:fill="auto"/>
        </w:rPr>
        <w:t xml:space="preserve"> Mainz *1975; M. Kehl, </w:t>
      </w:r>
      <w:r>
        <w:rPr>
          <w:i/>
          <w:iCs/>
          <w:color w:val="000000"/>
          <w:spacing w:val="0"/>
          <w:w w:val="100"/>
          <w:position w:val="0"/>
          <w:shd w:val="clear" w:color="auto" w:fill="auto"/>
        </w:rPr>
        <w:t>Hinfiihrung zum christlichen Glauben,</w:t>
      </w:r>
      <w:r>
        <w:rPr>
          <w:color w:val="000000"/>
          <w:spacing w:val="0"/>
          <w:w w:val="100"/>
          <w:position w:val="0"/>
          <w:shd w:val="clear" w:color="auto" w:fill="auto"/>
        </w:rPr>
        <w:t xml:space="preserve"> Mainz 1984; K. Kertelge (Hrsg.), </w:t>
      </w:r>
      <w:r>
        <w:rPr>
          <w:i/>
          <w:iCs/>
          <w:color w:val="000000"/>
          <w:spacing w:val="0"/>
          <w:w w:val="100"/>
          <w:position w:val="0"/>
          <w:shd w:val="clear" w:color="auto" w:fill="auto"/>
        </w:rPr>
        <w:t>Riickfrage nach Jesus. Zur Methodik und Bedeutung der Frage nach dem historischen Jesus</w:t>
      </w:r>
      <w:r>
        <w:rPr>
          <w:color w:val="000000"/>
          <w:spacing w:val="0"/>
          <w:w w:val="100"/>
          <w:position w:val="0"/>
          <w:shd w:val="clear" w:color="auto" w:fill="auto"/>
        </w:rPr>
        <w:t xml:space="preserve"> (Quaestiones dispu* latae 63), Freiburg 1974;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 xml:space="preserve">Der Tod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 xml:space="preserve">Deutungen </w:t>
      </w:r>
      <w:r>
        <w:rPr>
          <w:i/>
          <w:iCs/>
          <w:color w:val="000000"/>
          <w:spacing w:val="0"/>
          <w:w w:val="100"/>
          <w:position w:val="0"/>
          <w:shd w:val="clear" w:color="auto" w:fill="auto"/>
          <w:lang w:val="hr-HR" w:eastAsia="hr-HR" w:bidi="hr-HR"/>
        </w:rPr>
        <w:t xml:space="preserve">im </w:t>
      </w:r>
      <w:r>
        <w:rPr>
          <w:i/>
          <w:iCs/>
          <w:color w:val="000000"/>
          <w:spacing w:val="0"/>
          <w:w w:val="100"/>
          <w:position w:val="0"/>
          <w:shd w:val="clear" w:color="auto" w:fill="auto"/>
        </w:rPr>
        <w:t xml:space="preserve">Neuen </w:t>
      </w:r>
      <w:r>
        <w:rPr>
          <w:i/>
          <w:iCs/>
          <w:color w:val="000000"/>
          <w:spacing w:val="0"/>
          <w:w w:val="100"/>
          <w:position w:val="0"/>
          <w:shd w:val="clear" w:color="auto" w:fill="auto"/>
          <w:lang w:val="hr-HR" w:eastAsia="hr-HR" w:bidi="hr-HR"/>
        </w:rPr>
        <w:t>Testament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(Quaestiones disputatae 74), Freiburg 1976; O. Kohler, </w:t>
      </w:r>
      <w:r>
        <w:rPr>
          <w:i/>
          <w:iCs/>
          <w:color w:val="000000"/>
          <w:spacing w:val="0"/>
          <w:w w:val="100"/>
          <w:position w:val="0"/>
          <w:shd w:val="clear" w:color="auto" w:fill="auto"/>
        </w:rPr>
        <w:t>Kleine Glaubengeschichte. Christsein im Wandel der Zeit</w:t>
      </w:r>
      <w:r>
        <w:rPr>
          <w:color w:val="000000"/>
          <w:spacing w:val="0"/>
          <w:w w:val="100"/>
          <w:position w:val="0"/>
          <w:shd w:val="clear" w:color="auto" w:fill="auto"/>
        </w:rPr>
        <w:t xml:space="preserve"> (Herderbucherei 987), Freiburg/Basel/Wien 1982; J. Kremer, </w:t>
      </w:r>
      <w:r>
        <w:rPr>
          <w:i/>
          <w:iCs/>
          <w:color w:val="000000"/>
          <w:spacing w:val="0"/>
          <w:w w:val="100"/>
          <w:position w:val="0"/>
          <w:shd w:val="clear" w:color="auto" w:fill="auto"/>
        </w:rPr>
        <w:t>Die Osterbotschaft der vier Evangelien,</w:t>
      </w:r>
      <w:r>
        <w:rPr>
          <w:color w:val="000000"/>
          <w:spacing w:val="0"/>
          <w:w w:val="100"/>
          <w:position w:val="0"/>
          <w:shd w:val="clear" w:color="auto" w:fill="auto"/>
        </w:rPr>
        <w:t xml:space="preserve"> Stuttgart ’1969; H. Kiing, </w:t>
      </w:r>
      <w:r>
        <w:rPr>
          <w:i/>
          <w:iCs/>
          <w:color w:val="000000"/>
          <w:spacing w:val="0"/>
          <w:w w:val="100"/>
          <w:position w:val="0"/>
          <w:shd w:val="clear" w:color="auto" w:fill="auto"/>
        </w:rPr>
        <w:t>Die Kirche,</w:t>
      </w:r>
      <w:r>
        <w:rPr>
          <w:color w:val="000000"/>
          <w:spacing w:val="0"/>
          <w:w w:val="100"/>
          <w:position w:val="0"/>
          <w:shd w:val="clear" w:color="auto" w:fill="auto"/>
        </w:rPr>
        <w:t xml:space="preserve"> Frciburg/Bascl/Wicn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1968;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Christsein</w:t>
      </w:r>
      <w:r>
        <w:rPr>
          <w:color w:val="000000"/>
          <w:spacing w:val="0"/>
          <w:w w:val="100"/>
          <w:position w:val="0"/>
          <w:shd w:val="clear" w:color="auto" w:fill="auto"/>
        </w:rPr>
        <w:t xml:space="preserve"> (drv 1220), Miinchen </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1980; M. Limbeck, </w:t>
      </w:r>
      <w:r>
        <w:rPr>
          <w:i/>
          <w:iCs/>
          <w:color w:val="000000"/>
          <w:spacing w:val="0"/>
          <w:w w:val="100"/>
          <w:position w:val="0"/>
          <w:shd w:val="clear" w:color="auto" w:fill="auto"/>
        </w:rPr>
        <w:t xml:space="preserve">Was Christsein ausmacht. Nachfolge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als unverzichtbarer Weg,</w:t>
      </w:r>
      <w:r>
        <w:rPr>
          <w:color w:val="000000"/>
          <w:spacing w:val="0"/>
          <w:w w:val="100"/>
          <w:position w:val="0"/>
          <w:shd w:val="clear" w:color="auto" w:fill="auto"/>
        </w:rPr>
        <w:t xml:space="preserve"> Stuttgart 1976; O. H. Pcsch, </w:t>
      </w:r>
      <w:r>
        <w:rPr>
          <w:i/>
          <w:iCs/>
          <w:color w:val="000000"/>
          <w:spacing w:val="0"/>
          <w:w w:val="100"/>
          <w:position w:val="0"/>
          <w:shd w:val="clear" w:color="auto" w:fill="auto"/>
        </w:rPr>
        <w:t xml:space="preserve">Rechenschafi uber den Glauben, </w:t>
      </w:r>
      <w:r>
        <w:rPr>
          <w:color w:val="000000"/>
          <w:spacing w:val="0"/>
          <w:w w:val="100"/>
          <w:position w:val="0"/>
          <w:shd w:val="clear" w:color="auto" w:fill="auto"/>
        </w:rPr>
        <w:t>Mainz</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1970; K. Rahner, </w:t>
      </w:r>
      <w:r>
        <w:rPr>
          <w:i/>
          <w:iCs/>
          <w:color w:val="000000"/>
          <w:spacing w:val="0"/>
          <w:w w:val="100"/>
          <w:position w:val="0"/>
          <w:shd w:val="clear" w:color="auto" w:fill="auto"/>
        </w:rPr>
        <w:t>Grundkurs des Glaubens. Einfuhrung in den Bcgriff des Christentums,</w:t>
      </w:r>
      <w:r>
        <w:rPr>
          <w:color w:val="000000"/>
          <w:spacing w:val="0"/>
          <w:w w:val="100"/>
          <w:position w:val="0"/>
          <w:shd w:val="clear" w:color="auto" w:fill="auto"/>
        </w:rPr>
        <w:t xml:space="preserve"> Frciburg/Ba- sel/Wien *1977; J. Ratzinger, </w:t>
      </w:r>
      <w:r>
        <w:rPr>
          <w:i/>
          <w:iCs/>
          <w:color w:val="000000"/>
          <w:spacing w:val="0"/>
          <w:w w:val="100"/>
          <w:position w:val="0"/>
          <w:shd w:val="clear" w:color="auto" w:fill="auto"/>
        </w:rPr>
        <w:t>Einfuhrung in das Christentum. Vorlesungen uber das apostolische Glaubensbe- kenntnis,</w:t>
      </w:r>
      <w:r>
        <w:rPr>
          <w:color w:val="000000"/>
          <w:spacing w:val="0"/>
          <w:w w:val="100"/>
          <w:position w:val="0"/>
          <w:shd w:val="clear" w:color="auto" w:fill="auto"/>
        </w:rPr>
        <w:t xml:space="preserve"> Miinchen </w:t>
      </w:r>
      <w:r>
        <w:rPr>
          <w:color w:val="000000"/>
          <w:spacing w:val="0"/>
          <w:w w:val="100"/>
          <w:position w:val="0"/>
          <w:shd w:val="clear" w:color="auto" w:fill="auto"/>
          <w:vertAlign w:val="superscript"/>
        </w:rPr>
        <w:t>8</w:t>
      </w:r>
      <w:r>
        <w:rPr>
          <w:color w:val="000000"/>
          <w:spacing w:val="0"/>
          <w:w w:val="100"/>
          <w:position w:val="0"/>
          <w:shd w:val="clear" w:color="auto" w:fill="auto"/>
        </w:rPr>
        <w:t xml:space="preserve">1968; E. Schillebeeckx, </w:t>
      </w:r>
      <w:r>
        <w:rPr>
          <w:i/>
          <w:iCs/>
          <w:color w:val="000000"/>
          <w:spacing w:val="0"/>
          <w:w w:val="100"/>
          <w:position w:val="0"/>
          <w:shd w:val="clear" w:color="auto" w:fill="auto"/>
        </w:rPr>
        <w:t>Jesus. Die Geschichte von einem Lebenden,</w:t>
      </w:r>
      <w:r>
        <w:rPr>
          <w:color w:val="000000"/>
          <w:spacing w:val="0"/>
          <w:w w:val="100"/>
          <w:position w:val="0"/>
          <w:shd w:val="clear" w:color="auto" w:fill="auto"/>
        </w:rPr>
        <w:t xml:space="preserve"> Frciburg/Bascl/Wicn </w:t>
      </w:r>
      <w:r>
        <w:rPr>
          <w:color w:val="000000"/>
          <w:spacing w:val="0"/>
          <w:w w:val="100"/>
          <w:position w:val="0"/>
          <w:shd w:val="clear" w:color="auto" w:fill="auto"/>
          <w:vertAlign w:val="superscript"/>
        </w:rPr>
        <w:t>6</w:t>
      </w:r>
      <w:r>
        <w:rPr>
          <w:color w:val="000000"/>
          <w:spacing w:val="0"/>
          <w:w w:val="100"/>
          <w:position w:val="0"/>
          <w:shd w:val="clear" w:color="auto" w:fill="auto"/>
        </w:rPr>
        <w:t xml:space="preserve">1978; R. Schnackenburg/F. J. Schierse, </w:t>
      </w:r>
      <w:r>
        <w:rPr>
          <w:i/>
          <w:iCs/>
          <w:color w:val="000000"/>
          <w:spacing w:val="0"/>
          <w:w w:val="100"/>
          <w:position w:val="0"/>
          <w:shd w:val="clear" w:color="auto" w:fill="auto"/>
        </w:rPr>
        <w:t>Wer war Jesus von Nazareth? Christologie in der Knse,</w:t>
      </w:r>
      <w:r>
        <w:rPr>
          <w:color w:val="000000"/>
          <w:spacing w:val="0"/>
          <w:w w:val="100"/>
          <w:position w:val="0"/>
          <w:shd w:val="clear" w:color="auto" w:fill="auto"/>
        </w:rPr>
        <w:t xml:space="preserve"> Dusseldorf 1970; A. Weiser, </w:t>
      </w:r>
      <w:r>
        <w:rPr>
          <w:i/>
          <w:iCs/>
          <w:color w:val="000000"/>
          <w:spacing w:val="0"/>
          <w:w w:val="100"/>
          <w:position w:val="0"/>
          <w:shd w:val="clear" w:color="auto" w:fill="auto"/>
        </w:rPr>
        <w:t>Zentrale Themen des Neuen Testamenies. Eine Handreichung fiir Schule und Erwachsenen</w:t>
        <w:softHyphen/>
        <w:t>bildung,</w:t>
      </w:r>
      <w:r>
        <w:rPr>
          <w:color w:val="000000"/>
          <w:spacing w:val="0"/>
          <w:w w:val="100"/>
          <w:position w:val="0"/>
          <w:shd w:val="clear" w:color="auto" w:fill="auto"/>
        </w:rPr>
        <w:t xml:space="preserve"> Donauworth 1978.</w:t>
      </w:r>
    </w:p>
    <w:p>
      <w:pPr>
        <w:pStyle w:val="Style46"/>
        <w:keepNext/>
        <w:keepLines/>
        <w:widowControl w:val="0"/>
        <w:shd w:val="clear" w:color="auto" w:fill="auto"/>
        <w:bidi w:val="0"/>
        <w:spacing w:before="1240" w:after="60" w:line="240" w:lineRule="auto"/>
        <w:ind w:left="0" w:right="0" w:firstLine="0"/>
        <w:jc w:val="center"/>
      </w:pPr>
      <w:bookmarkStart w:id="19" w:name="bookmark19"/>
      <w:r>
        <w:rPr>
          <w:rFonts w:ascii="Times New Roman" w:eastAsia="Times New Roman" w:hAnsi="Times New Roman" w:cs="Times New Roman"/>
          <w:color w:val="000000"/>
          <w:spacing w:val="0"/>
          <w:w w:val="100"/>
          <w:position w:val="0"/>
          <w:sz w:val="24"/>
          <w:szCs w:val="24"/>
          <w:shd w:val="clear" w:color="auto" w:fill="auto"/>
          <w:lang w:val="en-US" w:eastAsia="en-US" w:bidi="en-US"/>
        </w:rPr>
        <w:t>ISLAM</w:t>
      </w:r>
      <w:bookmarkEnd w:id="19"/>
    </w:p>
    <w:p>
      <w:pPr>
        <w:pStyle w:val="Style33"/>
        <w:keepNext w:val="0"/>
        <w:keepLines w:val="0"/>
        <w:widowControl w:val="0"/>
        <w:shd w:val="clear" w:color="auto" w:fill="auto"/>
        <w:bidi w:val="0"/>
        <w:spacing w:before="0" w:after="58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ADEL THEODOR KHOURY</w:t>
      </w:r>
    </w:p>
    <w:p>
      <w:pPr>
        <w:pStyle w:val="Style33"/>
        <w:keepNext w:val="0"/>
        <w:keepLines w:val="0"/>
        <w:widowControl w:val="0"/>
        <w:shd w:val="clear" w:color="auto" w:fill="auto"/>
        <w:bidi w:val="0"/>
        <w:spacing w:before="0" w:after="340"/>
        <w:ind w:left="0" w:right="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Islam, </w:t>
      </w:r>
      <w:r>
        <w:rPr>
          <w:rFonts w:ascii="Times New Roman" w:eastAsia="Times New Roman" w:hAnsi="Times New Roman" w:cs="Times New Roman"/>
          <w:color w:val="000000"/>
          <w:spacing w:val="0"/>
          <w:w w:val="100"/>
          <w:position w:val="0"/>
          <w:shd w:val="clear" w:color="auto" w:fill="auto"/>
          <w:lang w:val="hr-HR" w:eastAsia="hr-HR" w:bidi="hr-HR"/>
        </w:rPr>
        <w:t>koji sebe razumije kao religiju potpune predanosti neprikosnovenomu Bogu, temelji se, prvo, na Kuranu, koji za muslimane vjernike sadrži božansku objavu što ju je po Božjemu nalogu naviještao Muhamed (570-632), i, drugo, na tradiciji, na obvezat</w:t>
        <w:softHyphen/>
        <w:t>nom i uzoritom putu poslanika Muhameda (sunna) koji se opisuje u izvješćima hadisa (zbirke tradiranih tekstova).</w:t>
      </w:r>
    </w:p>
    <w:p>
      <w:pPr>
        <w:pStyle w:val="Style33"/>
        <w:keepNext w:val="0"/>
        <w:keepLines w:val="0"/>
        <w:widowControl w:val="0"/>
        <w:shd w:val="clear" w:color="auto" w:fill="auto"/>
        <w:bidi w:val="0"/>
        <w:spacing w:before="0" w:after="14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Samorazumijevanje islama</w:t>
      </w:r>
    </w:p>
    <w:p>
      <w:pPr>
        <w:pStyle w:val="Style33"/>
        <w:keepNext w:val="0"/>
        <w:keepLines w:val="0"/>
        <w:widowControl w:val="0"/>
        <w:shd w:val="clear" w:color="auto" w:fill="auto"/>
        <w:bidi w:val="0"/>
        <w:spacing w:before="0" w:after="0" w:line="257"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Islam razumije sebe kao ključnu točku u proročkoj povijesti, kao konačni oblik objavljene religije, kao čisti oblik monoteizma, ali i kao jedan sveobuhvatni model živo</w:t>
        <w:softHyphen/>
        <w:t>ta koji sva područja života uređuje prema religiozno autoriziranim načelima.</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Kao objavljena religija islam se posebice opredjeljuje za biblijsku tradiciju.</w:t>
      </w:r>
      <w:r>
        <w:rPr>
          <w:rFonts w:ascii="Times New Roman" w:eastAsia="Times New Roman" w:hAnsi="Times New Roman" w:cs="Times New Roman"/>
          <w:color w:val="000000"/>
          <w:spacing w:val="0"/>
          <w:w w:val="100"/>
          <w:position w:val="0"/>
          <w:shd w:val="clear" w:color="auto" w:fill="auto"/>
          <w:lang w:val="hr-HR" w:eastAsia="hr-HR" w:bidi="hr-HR"/>
        </w:rPr>
        <w:t xml:space="preserve"> Prema Ku</w:t>
        <w:softHyphen/>
        <w:t>ranu, Bog je u sva vremena i svim narodima (usp. 13,7; 35,24) uvijek iznova slao po</w:t>
        <w:softHyphen/>
        <w:t xml:space="preserve">slanike. Po njima je Bog poručio temeljnu zapovijed: »Nema Boga osim mene. Služite mi!« (usp. 21,15; usp. 16,36).' Stoga sc Kuran opredjeljuje i za jedinstvo objave i za sklad svih poslanika i njihovih poruka (usp. 2,136.285; 3,84; 4,150-152). Vrhunac te duge povijesti objave obilježavaju likovi iz biblijske tradicije. Otac svih vjernika i uzor svih koji su predani Bogu jest </w:t>
      </w:r>
      <w:r>
        <w:rPr>
          <w:rFonts w:ascii="Times New Roman" w:eastAsia="Times New Roman" w:hAnsi="Times New Roman" w:cs="Times New Roman"/>
          <w:i/>
          <w:iCs/>
          <w:color w:val="000000"/>
          <w:spacing w:val="0"/>
          <w:w w:val="100"/>
          <w:position w:val="0"/>
          <w:shd w:val="clear" w:color="auto" w:fill="auto"/>
          <w:lang w:val="en-US" w:eastAsia="en-US" w:bidi="en-US"/>
        </w:rPr>
        <w:t>Ibrahim</w:t>
      </w:r>
      <w:r>
        <w:rPr>
          <w:rFonts w:ascii="Times New Roman" w:eastAsia="Times New Roman" w:hAnsi="Times New Roman" w:cs="Times New Roman"/>
          <w:color w:val="000000"/>
          <w:spacing w:val="0"/>
          <w:w w:val="100"/>
          <w:position w:val="0"/>
          <w:shd w:val="clear" w:color="auto" w:fill="auto"/>
          <w:lang w:val="en-US" w:eastAsia="en-US" w:bidi="en-US"/>
        </w:rPr>
        <w:t xml:space="preserve"> (Abraham, </w:t>
      </w:r>
      <w:r>
        <w:rPr>
          <w:rFonts w:ascii="Times New Roman" w:eastAsia="Times New Roman" w:hAnsi="Times New Roman" w:cs="Times New Roman"/>
          <w:color w:val="000000"/>
          <w:spacing w:val="0"/>
          <w:w w:val="100"/>
          <w:position w:val="0"/>
          <w:shd w:val="clear" w:color="auto" w:fill="auto"/>
          <w:lang w:val="hr-HR" w:eastAsia="hr-HR" w:bidi="hr-HR"/>
        </w:rPr>
        <w:t xml:space="preserve">usp. 60,4.6; 2,124). </w:t>
      </w:r>
      <w:r>
        <w:rPr>
          <w:rFonts w:ascii="Times New Roman" w:eastAsia="Times New Roman" w:hAnsi="Times New Roman" w:cs="Times New Roman"/>
          <w:i/>
          <w:iCs/>
          <w:color w:val="000000"/>
          <w:spacing w:val="0"/>
          <w:w w:val="100"/>
          <w:position w:val="0"/>
          <w:shd w:val="clear" w:color="auto" w:fill="auto"/>
          <w:lang w:val="en-US" w:eastAsia="en-US" w:bidi="en-US"/>
        </w:rPr>
        <w:t>Musa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(Mojsije) je unio u Tevrat (Tora) Božju objavu i zakonodavstvo. Tevrat sadrži svjetlo i pravi put te time predstavlja znamen Božjega milosrđa. Ona je k tomu postavila Židovima ogra</w:t>
        <w:softHyphen/>
        <w:t xml:space="preserve">ničenja (usp. 4,160; 6,146-147) i mnoge je točke ostavila nejasnim (43,63). Tada je došao </w:t>
      </w:r>
      <w:r>
        <w:rPr>
          <w:rFonts w:ascii="Times New Roman" w:eastAsia="Times New Roman" w:hAnsi="Times New Roman" w:cs="Times New Roman"/>
          <w:i/>
          <w:iCs/>
          <w:color w:val="000000"/>
          <w:spacing w:val="0"/>
          <w:w w:val="100"/>
          <w:position w:val="0"/>
          <w:shd w:val="clear" w:color="auto" w:fill="auto"/>
          <w:lang w:val="hr-HR" w:eastAsia="hr-HR" w:bidi="hr-HR"/>
        </w:rPr>
        <w:t>Isa</w:t>
      </w:r>
      <w:r>
        <w:rPr>
          <w:rFonts w:ascii="Times New Roman" w:eastAsia="Times New Roman" w:hAnsi="Times New Roman" w:cs="Times New Roman"/>
          <w:color w:val="000000"/>
          <w:spacing w:val="0"/>
          <w:w w:val="100"/>
          <w:position w:val="0"/>
          <w:shd w:val="clear" w:color="auto" w:fill="auto"/>
          <w:lang w:val="hr-HR" w:eastAsia="hr-HR" w:bidi="hr-HR"/>
        </w:rPr>
        <w:t xml:space="preserve"> (Isus) s Indžilom (Evanđeljem). Indžil je »pravi put i svjetlo. Ono potvrđuje Tevrat koji </w:t>
      </w:r>
      <w:r>
        <w:rPr>
          <w:rFonts w:ascii="Times New Roman" w:eastAsia="Times New Roman" w:hAnsi="Times New Roman" w:cs="Times New Roman"/>
          <w:i/>
          <w:iCs/>
          <w:color w:val="000000"/>
          <w:spacing w:val="0"/>
          <w:w w:val="100"/>
          <w:position w:val="0"/>
          <w:shd w:val="clear" w:color="auto" w:fill="auto"/>
          <w:lang w:val="hr-HR" w:eastAsia="hr-HR" w:bidi="hr-HR"/>
        </w:rPr>
        <w:t>(Zidovi)</w:t>
      </w:r>
      <w:r>
        <w:rPr>
          <w:rFonts w:ascii="Times New Roman" w:eastAsia="Times New Roman" w:hAnsi="Times New Roman" w:cs="Times New Roman"/>
          <w:color w:val="000000"/>
          <w:spacing w:val="0"/>
          <w:w w:val="100"/>
          <w:position w:val="0"/>
          <w:shd w:val="clear" w:color="auto" w:fill="auto"/>
          <w:lang w:val="hr-HR" w:eastAsia="hr-HR" w:bidi="hr-HR"/>
        </w:rPr>
        <w:t xml:space="preserve"> imaju kod sebe« (5,46). Ono donosi izvjesno olakšanje glede Za</w:t>
        <w:softHyphen/>
        <w:t>kona sadržanog u Indžilu (3,50) i jasnoću o nekim pitanjima koja su među Židovima ostala sporna (43,63).</w:t>
      </w:r>
    </w:p>
    <w:p>
      <w:pPr>
        <w:pStyle w:val="Style33"/>
        <w:keepNext w:val="0"/>
        <w:keepLines w:val="0"/>
        <w:widowControl w:val="0"/>
        <w:shd w:val="clear" w:color="auto" w:fill="auto"/>
        <w:bidi w:val="0"/>
        <w:spacing w:before="0" w:after="34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Zahtjev islama za apsolutnim važenjem:</w:t>
      </w:r>
      <w:r>
        <w:rPr>
          <w:rFonts w:ascii="Times New Roman" w:eastAsia="Times New Roman" w:hAnsi="Times New Roman" w:cs="Times New Roman"/>
          <w:color w:val="000000"/>
          <w:spacing w:val="0"/>
          <w:w w:val="100"/>
          <w:position w:val="0"/>
          <w:shd w:val="clear" w:color="auto" w:fill="auto"/>
          <w:lang w:val="hr-HR" w:eastAsia="hr-HR" w:bidi="hr-HR"/>
        </w:rPr>
        <w:t xml:space="preserve"> Nakon Ise došao je Muhamed s Kuranom koji donosi pravi put i jasnoću o svim točkama koje je Bog htio razjasniti (usp. 16,64; 4,26). On također donosi odlučujuće olakšanje u zakonodavstvu (usp. 4,27-28; 22,78).</w:t>
      </w:r>
    </w:p>
    <w:p>
      <w:pPr>
        <w:pStyle w:val="Style20"/>
        <w:keepNext w:val="0"/>
        <w:keepLines w:val="0"/>
        <w:widowControl w:val="0"/>
        <w:shd w:val="clear" w:color="auto" w:fill="auto"/>
        <w:bidi w:val="0"/>
        <w:spacing w:before="0" w:after="220" w:line="230" w:lineRule="auto"/>
        <w:ind w:left="0" w:right="0" w:firstLine="360"/>
        <w:jc w:val="both"/>
      </w:pPr>
      <w:r>
        <w:rPr>
          <w:rFonts w:ascii="Times New Roman" w:eastAsia="Times New Roman" w:hAnsi="Times New Roman" w:cs="Times New Roman"/>
          <w:color w:val="000000"/>
          <w:spacing w:val="0"/>
          <w:w w:val="100"/>
          <w:position w:val="0"/>
          <w:shd w:val="clear" w:color="auto" w:fill="auto"/>
          <w:vertAlign w:val="superscript"/>
          <w:lang w:val="hr-HR" w:eastAsia="hr-HR" w:bidi="hr-HR"/>
        </w:rPr>
        <w:t>1</w:t>
      </w:r>
      <w:r>
        <w:rPr>
          <w:rFonts w:ascii="Times New Roman" w:eastAsia="Times New Roman" w:hAnsi="Times New Roman" w:cs="Times New Roman"/>
          <w:color w:val="000000"/>
          <w:spacing w:val="0"/>
          <w:w w:val="100"/>
          <w:position w:val="0"/>
          <w:shd w:val="clear" w:color="auto" w:fill="auto"/>
          <w:lang w:val="hr-HR" w:eastAsia="hr-HR" w:bidi="hr-HR"/>
        </w:rPr>
        <w:t xml:space="preserve"> Nap. prevoditelja: Gdje god ne postoje izričite jczično-prevoditeljske i smisaone razlike i odstu</w:t>
        <w:softHyphen/>
        <w:t xml:space="preserve">panja, koristili smo se kao predloškom sljedećim prijevodom Kurana: </w:t>
      </w:r>
      <w:r>
        <w:rPr>
          <w:rFonts w:ascii="Arial" w:eastAsia="Arial" w:hAnsi="Arial" w:cs="Arial"/>
          <w:i/>
          <w:iCs/>
          <w:color w:val="000000"/>
          <w:spacing w:val="0"/>
          <w:w w:val="100"/>
          <w:position w:val="0"/>
          <w:sz w:val="12"/>
          <w:szCs w:val="12"/>
          <w:shd w:val="clear" w:color="auto" w:fill="auto"/>
          <w:lang w:val="hr-HR" w:eastAsia="hr-HR" w:bidi="hr-HR"/>
        </w:rPr>
        <w:t>Kur'an časni,</w:t>
      </w:r>
      <w:r>
        <w:rPr>
          <w:rFonts w:ascii="Times New Roman" w:eastAsia="Times New Roman" w:hAnsi="Times New Roman" w:cs="Times New Roman"/>
          <w:color w:val="000000"/>
          <w:spacing w:val="0"/>
          <w:w w:val="100"/>
          <w:position w:val="0"/>
          <w:shd w:val="clear" w:color="auto" w:fill="auto"/>
          <w:lang w:val="hr-HR" w:eastAsia="hr-HR" w:bidi="hr-HR"/>
        </w:rPr>
        <w:t xml:space="preserve"> preveli: </w:t>
      </w:r>
      <w:r>
        <w:rPr>
          <w:rFonts w:ascii="Times New Roman" w:eastAsia="Times New Roman" w:hAnsi="Times New Roman" w:cs="Times New Roman"/>
          <w:color w:val="000000"/>
          <w:spacing w:val="0"/>
          <w:w w:val="100"/>
          <w:position w:val="0"/>
          <w:shd w:val="clear" w:color="auto" w:fill="auto"/>
          <w:lang w:val="en-US" w:eastAsia="en-US" w:bidi="en-US"/>
        </w:rPr>
        <w:t>Hafiz Mu</w:t>
        <w:softHyphen/>
        <w:t xml:space="preserve">hammed </w:t>
      </w:r>
      <w:r>
        <w:rPr>
          <w:rFonts w:ascii="Times New Roman" w:eastAsia="Times New Roman" w:hAnsi="Times New Roman" w:cs="Times New Roman"/>
          <w:color w:val="000000"/>
          <w:spacing w:val="0"/>
          <w:w w:val="100"/>
          <w:position w:val="0"/>
          <w:shd w:val="clear" w:color="auto" w:fill="auto"/>
          <w:lang w:val="hr-HR" w:eastAsia="hr-HR" w:bidi="hr-HR"/>
        </w:rPr>
        <w:t>Pandža i Džemalludin Čaušević, Zagreb 1969. Ujednačavanje transliteracije vršeno je posvu</w:t>
        <w:softHyphen/>
        <w:t>da gdje nije mogao ostati ni njemački niti anglosaksonski standardizirani oblik.</w:t>
      </w:r>
    </w:p>
    <w:p>
      <w:pPr>
        <w:pStyle w:val="Style20"/>
        <w:keepNext w:val="0"/>
        <w:keepLines w:val="0"/>
        <w:widowControl w:val="0"/>
        <w:shd w:val="clear" w:color="auto" w:fill="auto"/>
        <w:bidi w:val="0"/>
        <w:spacing w:before="0" w:after="180" w:line="23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oo</w:t>
      </w:r>
    </w:p>
    <w:p>
      <w:pPr>
        <w:pStyle w:val="Style33"/>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 se dakle promatra kao potvrda i daljnja provedba Tevrata i Indžila, ali i kao pre- ciziranje njihovih sadržaja i kao konačno utvrđivanje zakonskih odredbi koje leže u te</w:t>
        <w:softHyphen/>
        <w:t>melju islamskog modela života. Kuran povrh toga sadrži nebiblijske elemente, prije svega iz staroarapske predaje i antičkog razumijevanja prava. Time se islam uspostavlja kao savršena religija koja je u svojoj jezgri prihvatila i konačno dopunila ranije objave, tako da se sada islam razumije kao mjesto i instrument integracije svih objavljenih reli</w:t>
        <w:softHyphen/>
        <w:t xml:space="preserve">gija. To po svom zahtjevu znači načelno ukidanje svih ranijih religija u njihovom univerzalnom važenju. Taj zahtjev za apsolutnim važenjem islama jasno se izražava u mnogim iskazima iz Kurana. Tako se Muhamed označuje kao »završetak vjerovjes- nika« (33,40), a islam kao religija koja »kod Boga važi kao religija« naprosto, tj. kao jedina istinska religija (3,19; usp. 48,28; 5,5.6). Kuran nedvosmisleno objašnjava: »Tko traži drugu vjeru osim islama, nečc mu biti primljena </w:t>
      </w:r>
      <w:r>
        <w:rPr>
          <w:rFonts w:ascii="Times New Roman" w:eastAsia="Times New Roman" w:hAnsi="Times New Roman" w:cs="Times New Roman"/>
          <w:i/>
          <w:iCs/>
          <w:color w:val="000000"/>
          <w:spacing w:val="0"/>
          <w:w w:val="100"/>
          <w:position w:val="0"/>
          <w:shd w:val="clear" w:color="auto" w:fill="auto"/>
          <w:lang w:val="hr-HR" w:eastAsia="hr-HR" w:bidi="hr-HR"/>
        </w:rPr>
        <w:t>(kod Boga).</w:t>
      </w:r>
      <w:r>
        <w:rPr>
          <w:rFonts w:ascii="Times New Roman" w:eastAsia="Times New Roman" w:hAnsi="Times New Roman" w:cs="Times New Roman"/>
          <w:color w:val="000000"/>
          <w:spacing w:val="0"/>
          <w:w w:val="100"/>
          <w:position w:val="0"/>
          <w:shd w:val="clear" w:color="auto" w:fill="auto"/>
          <w:lang w:val="hr-HR" w:eastAsia="hr-HR" w:bidi="hr-HR"/>
        </w:rPr>
        <w:t xml:space="preserve"> On će biti na budu</w:t>
        <w:softHyphen/>
        <w:t>ćem svijetu među onima koji su izgubili« (3,85).</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Islam je monoteistička religija.</w:t>
      </w:r>
      <w:r>
        <w:rPr>
          <w:rFonts w:ascii="Times New Roman" w:eastAsia="Times New Roman" w:hAnsi="Times New Roman" w:cs="Times New Roman"/>
          <w:color w:val="000000"/>
          <w:spacing w:val="0"/>
          <w:w w:val="100"/>
          <w:position w:val="0"/>
          <w:shd w:val="clear" w:color="auto" w:fill="auto"/>
          <w:lang w:val="hr-HR" w:eastAsia="hr-HR" w:bidi="hr-HR"/>
        </w:rPr>
        <w:t xml:space="preserve"> Najvažniji dijelovi islamske vjere su:</w:t>
      </w:r>
    </w:p>
    <w:p>
      <w:pPr>
        <w:pStyle w:val="Style33"/>
        <w:keepNext w:val="0"/>
        <w:keepLines w:val="0"/>
        <w:widowControl w:val="0"/>
        <w:shd w:val="clear" w:color="auto" w:fill="auto"/>
        <w:bidi w:val="0"/>
        <w:spacing w:before="0" w:after="0"/>
        <w:ind w:left="5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je Jedan, Jedini, Svemogući. On je Tvorac koji se brine za ljude, vodi ih pra</w:t>
        <w:softHyphen/>
        <w:t>vim puteni i upravlja njihovim sudbinama, i koji će im suditi.</w:t>
      </w:r>
    </w:p>
    <w:p>
      <w:pPr>
        <w:pStyle w:val="Style33"/>
        <w:keepNext w:val="0"/>
        <w:keepLines w:val="0"/>
        <w:widowControl w:val="0"/>
        <w:numPr>
          <w:ilvl w:val="0"/>
          <w:numId w:val="7"/>
        </w:numPr>
        <w:shd w:val="clear" w:color="auto" w:fill="auto"/>
        <w:tabs>
          <w:tab w:pos="577" w:val="left"/>
        </w:tabs>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Bog je po vjerovjesnicima poslao ljudima svoju objavu i svete spise.</w:t>
      </w:r>
    </w:p>
    <w:p>
      <w:pPr>
        <w:pStyle w:val="Style33"/>
        <w:keepNext w:val="0"/>
        <w:keepLines w:val="0"/>
        <w:widowControl w:val="0"/>
        <w:numPr>
          <w:ilvl w:val="0"/>
          <w:numId w:val="7"/>
        </w:numPr>
        <w:shd w:val="clear" w:color="auto" w:fill="auto"/>
        <w:tabs>
          <w:tab w:pos="577" w:val="left"/>
        </w:tabs>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Ljudi će na sudnji dan uskrsnuti i biti podvrgnuti sudu.</w:t>
      </w:r>
    </w:p>
    <w:p>
      <w:pPr>
        <w:pStyle w:val="Style33"/>
        <w:keepNext w:val="0"/>
        <w:keepLines w:val="0"/>
        <w:widowControl w:val="0"/>
        <w:numPr>
          <w:ilvl w:val="0"/>
          <w:numId w:val="7"/>
        </w:numPr>
        <w:shd w:val="clear" w:color="auto" w:fill="auto"/>
        <w:tabs>
          <w:tab w:pos="582" w:val="left"/>
        </w:tabs>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Anđeli posreduju objavu i služe Bogu.</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Središte svega jest vjera u Boga u njegovoj jedinosti i transcendentnosti.</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Bog je Jedini :</w:t>
      </w:r>
      <w:r>
        <w:rPr>
          <w:rFonts w:ascii="Times New Roman" w:eastAsia="Times New Roman" w:hAnsi="Times New Roman" w:cs="Times New Roman"/>
          <w:color w:val="000000"/>
          <w:spacing w:val="0"/>
          <w:w w:val="100"/>
          <w:position w:val="0"/>
          <w:shd w:val="clear" w:color="auto" w:fill="auto"/>
          <w:lang w:val="hr-HR" w:eastAsia="hr-HR" w:bidi="hr-HR"/>
        </w:rPr>
        <w:t xml:space="preserve"> »Nema Boga osim Boga«, tako glasi prvi glavni dio islamske vjerois</w:t>
        <w:softHyphen/>
        <w:t>povijesti. Naglašavajući jedinost Boga Kuran se suprotstavlja staroarapskom politeiz- mu (= vjera u mnoštvo božanstava) i jednako tako reagira na neke dijelove kršćanske vjere.</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Kuran predbacuje kršćanima da su pretjerali sa svojim štovanjem Ise, sina Mcrje- mina (Marija). Isus je doduše Božji poslanik i vjerovjesnik (19,30; 3,48 49; 4,171; 5,110-111), Mesija </w:t>
      </w:r>
      <w:r>
        <w:rPr>
          <w:rFonts w:ascii="Times New Roman" w:eastAsia="Times New Roman" w:hAnsi="Times New Roman" w:cs="Times New Roman"/>
          <w:color w:val="000000"/>
          <w:spacing w:val="0"/>
          <w:w w:val="100"/>
          <w:position w:val="0"/>
          <w:shd w:val="clear" w:color="auto" w:fill="auto"/>
          <w:lang w:val="en-US" w:eastAsia="en-US" w:bidi="en-US"/>
        </w:rPr>
        <w:t xml:space="preserve">(Masih) </w:t>
      </w:r>
      <w:r>
        <w:rPr>
          <w:rFonts w:ascii="Times New Roman" w:eastAsia="Times New Roman" w:hAnsi="Times New Roman" w:cs="Times New Roman"/>
          <w:color w:val="000000"/>
          <w:spacing w:val="0"/>
          <w:w w:val="100"/>
          <w:position w:val="0"/>
          <w:shd w:val="clear" w:color="auto" w:fill="auto"/>
          <w:lang w:val="hr-HR" w:eastAsia="hr-HR" w:bidi="hr-HR"/>
        </w:rPr>
        <w:t>(3,45), riječ Božja (3,45; 4,171), Duh Božji (4,171), ali nije Sin Božji (9,30), već samo milošću ispunjen čovjek (4,171-172; 43,59). Isa se pojavljuje kao običan čovjek: On i njegova majka običavali su objedovati skupa (5,75). Tako Ku</w:t>
        <w:softHyphen/>
        <w:t>ran osuđuje kao nevjernike one koji kažu: »Zaista je Bog Mcsih, sin Merjemin!« (5,17.72), jer taj bi iskaz mogao zvučati poput opredjeljenja za politcizam, a on također ne bi mogao potjccati od Isusa, kaže Kuran (5,72.116-117). Istom odlučnošću Kuran odbacuje kršćansko Trojstvo koje tumači kao vjeru u tri boga (4,171; 5,73). Bog je Je</w:t>
        <w:softHyphen/>
        <w:t>dini, on je jedini čovjekov Otkupitelj, bez ikakvog posredovanja putem nekog čovjeka. Tako je islamu strana predodžba o nekom otkupitelju i posredniku spasenja, kao što je to slučaj u kršćanstvu. Jer po Kuranu nitko ne nosi teret drugoga (39,7; 6,164). Kuran zanemaruje i poriče Isinu otkupiteljsku smrt na križu (4,157-158).</w:t>
      </w:r>
    </w:p>
    <w:p>
      <w:pPr>
        <w:pStyle w:val="Style33"/>
        <w:keepNext w:val="0"/>
        <w:keepLines w:val="0"/>
        <w:widowControl w:val="0"/>
        <w:shd w:val="clear" w:color="auto" w:fill="auto"/>
        <w:bidi w:val="0"/>
        <w:spacing w:before="0" w:after="18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Bog je Uzvišeni:</w:t>
      </w:r>
      <w:r>
        <w:rPr>
          <w:rFonts w:ascii="Times New Roman" w:eastAsia="Times New Roman" w:hAnsi="Times New Roman" w:cs="Times New Roman"/>
          <w:color w:val="000000"/>
          <w:spacing w:val="0"/>
          <w:w w:val="100"/>
          <w:position w:val="0"/>
          <w:shd w:val="clear" w:color="auto" w:fill="auto"/>
          <w:lang w:val="hr-HR" w:eastAsia="hr-HR" w:bidi="hr-HR"/>
        </w:rPr>
        <w:t xml:space="preserve"> »Mislite na Božje darove, a ne na njegovu bit, jer za to nemate sposobnosti« - tako bi se mogla objasniti tradicija poslanika Muhameda. Nesposobnost čovjekova razuma da prodre do Boga podudara se s transcendencijom Boga. Bog je uz</w:t>
        <w:softHyphen/>
        <w:t xml:space="preserve">višen, kaže Kuran (20,114: 23,192). »Ne mogu ga sagledati (i </w:t>
      </w:r>
      <w:r>
        <w:rPr>
          <w:rFonts w:ascii="Times New Roman" w:eastAsia="Times New Roman" w:hAnsi="Times New Roman" w:cs="Times New Roman"/>
          <w:i/>
          <w:iCs/>
          <w:color w:val="000000"/>
          <w:spacing w:val="0"/>
          <w:w w:val="100"/>
          <w:position w:val="0"/>
          <w:shd w:val="clear" w:color="auto" w:fill="auto"/>
          <w:lang w:val="hr-HR" w:eastAsia="hr-HR" w:bidi="hr-HR"/>
        </w:rPr>
        <w:t>obuhvatiti)</w:t>
      </w:r>
      <w:r>
        <w:rPr>
          <w:rFonts w:ascii="Times New Roman" w:eastAsia="Times New Roman" w:hAnsi="Times New Roman" w:cs="Times New Roman"/>
          <w:color w:val="000000"/>
          <w:spacing w:val="0"/>
          <w:w w:val="100"/>
          <w:position w:val="0"/>
          <w:shd w:val="clear" w:color="auto" w:fill="auto"/>
          <w:lang w:val="hr-HR" w:eastAsia="hr-HR" w:bidi="hr-HR"/>
        </w:rPr>
        <w:t xml:space="preserve"> oči« (6,103), on ostaje skriven (57,3). »Ne postoji ništa što bi mu bilo jednako« (42,11). No Bog je, unatoč tomu, omogućio čovjeku pristup spoznaji njegovih djela (u stvaranju), svojih načina djelovanja (u povijesti naroda) i svoje volje (u objavi).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to</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en-US" w:eastAsia="en-US" w:bidi="en-US"/>
        </w:rPr>
        <w:t xml:space="preserve">Bog </w:t>
      </w:r>
      <w:r>
        <w:rPr>
          <w:rFonts w:ascii="Times New Roman" w:eastAsia="Times New Roman" w:hAnsi="Times New Roman" w:cs="Times New Roman"/>
          <w:i/>
          <w:iCs/>
          <w:color w:val="000000"/>
          <w:spacing w:val="0"/>
          <w:w w:val="100"/>
          <w:position w:val="0"/>
          <w:shd w:val="clear" w:color="auto" w:fill="auto"/>
          <w:lang w:val="hr-HR" w:eastAsia="hr-HR" w:bidi="hr-HR"/>
        </w:rPr>
        <w:t>je Stvoritelj:</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Bogje </w:t>
      </w:r>
      <w:r>
        <w:rPr>
          <w:rFonts w:ascii="Times New Roman" w:eastAsia="Times New Roman" w:hAnsi="Times New Roman" w:cs="Times New Roman"/>
          <w:color w:val="000000"/>
          <w:spacing w:val="0"/>
          <w:w w:val="100"/>
          <w:position w:val="0"/>
          <w:shd w:val="clear" w:color="auto" w:fill="auto"/>
          <w:lang w:val="hr-HR" w:eastAsia="hr-HR" w:bidi="hr-HR"/>
        </w:rPr>
        <w:t>stvorio nebo i zemlju (46,3) i uredio ih tako da mogu služiti čovjekovu životu (7,54). Bogje stvorio i čovjeka: načinio gaje od zvuka (18,73) i dao mu »lijepi oblik«. Ali prvobitni se način Božjega stvaranja sastoji u tome što on svojom stvaralačkom riječju poziva u život: »A kada odredi da nešto bude samo mu kaže: ‘Budi’! i ono biva« (2,118; 16,40).</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Bogje Providnost:</w:t>
      </w:r>
      <w:r>
        <w:rPr>
          <w:rFonts w:ascii="Times New Roman" w:eastAsia="Times New Roman" w:hAnsi="Times New Roman" w:cs="Times New Roman"/>
          <w:color w:val="000000"/>
          <w:spacing w:val="0"/>
          <w:w w:val="100"/>
          <w:position w:val="0"/>
          <w:shd w:val="clear" w:color="auto" w:fill="auto"/>
          <w:lang w:val="hr-HR" w:eastAsia="hr-HR" w:bidi="hr-HR"/>
        </w:rPr>
        <w:t xml:space="preserve"> Bog čuva daljnje stvaranje svijeta i čovjeka, on određuje i uprav</w:t>
        <w:softHyphen/>
        <w:t>lja ljudskom sudbinom i upotpunjava ljudima svoju blagodat (usp. 16,80-81). On ih na</w:t>
        <w:softHyphen/>
        <w:t>posljetku stavlja na kušnju kako bi ustvrdio tko od njih najbolje postupa (11,7). Činje</w:t>
        <w:softHyphen/>
        <w:t>nica da Bog djelovanjem njegove svemoći oblikuje i upravlja čovjekovim životom ne smije dovesti do poricanja slobodne volje i čovjekove moralne odgovornosti za njegova djela. Svojim voljnim zalaganjem čovjek zapravo mora izdržati kušnju i pokazati da ide pravim Božjim putem. Jer, kaže Kuran, »Bog govori istinu i On upućuje na pravi put« (33,4). Cilj postiže onaj tko slijedi taj pravi put, kamo Bog želi odvesti vjernike, i stječe milosrđe dobrostivoga Boga.</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Bog je Sudac:</w:t>
      </w:r>
      <w:r>
        <w:rPr>
          <w:rFonts w:ascii="Times New Roman" w:eastAsia="Times New Roman" w:hAnsi="Times New Roman" w:cs="Times New Roman"/>
          <w:color w:val="000000"/>
          <w:spacing w:val="0"/>
          <w:w w:val="100"/>
          <w:position w:val="0"/>
          <w:shd w:val="clear" w:color="auto" w:fill="auto"/>
          <w:lang w:val="hr-HR" w:eastAsia="hr-HR" w:bidi="hr-HR"/>
        </w:rPr>
        <w:t xml:space="preserve"> Na sudnji dan, kozmički će znameni navijestiti strašni sud koji će uništiti nebo i zemlju. Tada će se dogoditi sveopće uskrsnuće mrtvih.</w:t>
      </w:r>
    </w:p>
    <w:p>
      <w:pPr>
        <w:pStyle w:val="Style33"/>
        <w:keepNext w:val="0"/>
        <w:keepLines w:val="0"/>
        <w:widowControl w:val="0"/>
        <w:shd w:val="clear" w:color="auto" w:fill="auto"/>
        <w:bidi w:val="0"/>
        <w:spacing w:before="0" w:after="32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Bogje jedini Sudac. On sudi čovjeku po njegovoj vjeri i po njegovim djelima. 7.a nevjernike i zločince pripremljen je džehenem (pakao). Nevjernici će zauvijek ostati u njemu. Orešni vjernici smiju ga po islamskoj tradiciji opet napustiti, na temelju svoje vjere i po zagovoru poslanika Muhameda. Oni koji vjeruju i čine dobro ulaze u dženet (raj). Tamo im je na raspolaganju sve .što im treba: jelo, pilo, ljubavni užitak, mir, nepomućena sreća. Čini se da je po Kuranu (75,22-2.3; 9,72; 10,26) moguće vidjeti Boga, ali samo u trenucima koje odredi Bog - i to samo vjernim muškarcima i ženama koje je on odabrao za to.</w:t>
      </w:r>
    </w:p>
    <w:p>
      <w:pPr>
        <w:pStyle w:val="Style33"/>
        <w:keepNext w:val="0"/>
        <w:keepLines w:val="0"/>
        <w:widowControl w:val="0"/>
        <w:shd w:val="clear" w:color="auto" w:fill="auto"/>
        <w:bidi w:val="0"/>
        <w:spacing w:before="0" w:after="18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Zahtjev islama za totalnim važenjem</w:t>
      </w:r>
    </w:p>
    <w:p>
      <w:pPr>
        <w:pStyle w:val="Style33"/>
        <w:keepNext w:val="0"/>
        <w:keepLines w:val="0"/>
        <w:widowControl w:val="0"/>
        <w:shd w:val="clear" w:color="auto" w:fill="auto"/>
        <w:bidi w:val="0"/>
        <w:spacing w:before="0" w:after="0" w:line="254" w:lineRule="auto"/>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Bog od vjernika zahtijeva bezuvjetnu poslušnost njegovim odredbama. Te odredbe obuhvaćaju život pojedinca, obitelji i zajednice.</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Religiozne dužnosti muslimana:</w:t>
      </w:r>
      <w:r>
        <w:rPr>
          <w:rFonts w:ascii="Times New Roman" w:eastAsia="Times New Roman" w:hAnsi="Times New Roman" w:cs="Times New Roman"/>
          <w:color w:val="000000"/>
          <w:spacing w:val="0"/>
          <w:w w:val="100"/>
          <w:position w:val="0"/>
          <w:shd w:val="clear" w:color="auto" w:fill="auto"/>
          <w:lang w:val="hr-HR" w:eastAsia="hr-HR" w:bidi="hr-HR"/>
        </w:rPr>
        <w:t xml:space="preserve"> Religiozne dužnosti predstavljaju jezgru islam</w:t>
        <w:softHyphen/>
        <w:t>skoga zakona i postaju glavnim osloncima, uporištima ili stupovima islama (»Potvrđu</w:t>
        <w:softHyphen/>
        <w:t>jem: Nema Boga osim Boga, i Muhamed je Božji poslanik«) obvezna molitva koja se mora obaviti pet puta na dan, post u mjesecu ramazanu, davanje priloga zajednici i ho</w:t>
        <w:softHyphen/>
        <w:t>dočašće u Meku koje se mora obaviti jednom u životu.</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i/>
          <w:iCs/>
          <w:color w:val="000000"/>
          <w:spacing w:val="0"/>
          <w:w w:val="100"/>
          <w:position w:val="0"/>
          <w:shd w:val="clear" w:color="auto" w:fill="auto"/>
          <w:lang w:val="hr-HR" w:eastAsia="hr-HR" w:bidi="hr-HR"/>
        </w:rPr>
        <w:t>Norme islamskoga morala:</w:t>
      </w:r>
      <w:r>
        <w:rPr>
          <w:rFonts w:ascii="Times New Roman" w:eastAsia="Times New Roman" w:hAnsi="Times New Roman" w:cs="Times New Roman"/>
          <w:color w:val="000000"/>
          <w:spacing w:val="0"/>
          <w:w w:val="100"/>
          <w:position w:val="0"/>
          <w:shd w:val="clear" w:color="auto" w:fill="auto"/>
          <w:lang w:val="hr-HR" w:eastAsia="hr-HR" w:bidi="hr-HR"/>
        </w:rPr>
        <w:t xml:space="preserve"> Moralni kodeks islama sadrži zapovijedi i zabrane koje se mogu usporediti s Deset zapovijedi (usp. 17,22-39; 6,151-153).</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 prvom je mjestu </w:t>
      </w:r>
      <w:r>
        <w:rPr>
          <w:rFonts w:ascii="Times New Roman" w:eastAsia="Times New Roman" w:hAnsi="Times New Roman" w:cs="Times New Roman"/>
          <w:i/>
          <w:iCs/>
          <w:color w:val="000000"/>
          <w:spacing w:val="0"/>
          <w:w w:val="100"/>
          <w:position w:val="0"/>
          <w:shd w:val="clear" w:color="auto" w:fill="auto"/>
          <w:lang w:val="hr-HR" w:eastAsia="hr-HR" w:bidi="hr-HR"/>
        </w:rPr>
        <w:t>vjera u Boga</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poslušnost</w:t>
      </w:r>
      <w:r>
        <w:rPr>
          <w:rFonts w:ascii="Times New Roman" w:eastAsia="Times New Roman" w:hAnsi="Times New Roman" w:cs="Times New Roman"/>
          <w:color w:val="000000"/>
          <w:spacing w:val="0"/>
          <w:w w:val="100"/>
          <w:position w:val="0"/>
          <w:shd w:val="clear" w:color="auto" w:fill="auto"/>
          <w:lang w:val="hr-HR" w:eastAsia="hr-HR" w:bidi="hr-HR"/>
        </w:rPr>
        <w:t xml:space="preserve"> njegovoj volji, ispunjenje religioznih dužnosti kao i poniznost, zahvalnost i strpljivost. Kuran se protivi nepromišljenom zazi</w:t>
        <w:softHyphen/>
        <w:t>vanju Imena Božjega (2,24), on zahtijeva ispunjenje obećanja koje se potvrđuje prise</w:t>
        <w:softHyphen/>
        <w:t>gom (16,91). On nalaže poštovanje roditelja prema kojima se treba ponašati dobro i sa zahvalnošću (17,23-24). Kuran se zalaže za poštovanje života i zabranjuje ubojstvo (5,32), on potvrđuje ius talionis (»oko za oko...«) i dopušta krvnu osvetu, no ipak pre</w:t>
        <w:softHyphen/>
        <w:t xml:space="preserve">poručuje odricanje od toga (2,178). Ljudska ljubav i spolnost potvrđuju se (30,21; 2,187) u okviru braka; osuđuju se homoseksualnost (4,16; 7,80-81), prostitucija (24,33) </w:t>
      </w:r>
      <w:r>
        <w:rPr>
          <w:rFonts w:ascii="Times New Roman" w:eastAsia="Times New Roman" w:hAnsi="Times New Roman" w:cs="Times New Roman"/>
          <w:color w:val="000000"/>
          <w:spacing w:val="0"/>
          <w:w w:val="100"/>
          <w:position w:val="0"/>
          <w:shd w:val="clear" w:color="auto" w:fill="auto"/>
          <w:lang w:val="hr-HR" w:eastAsia="hr-HR" w:bidi="hr-HR"/>
        </w:rPr>
        <w:t>i razvrat (6,151); brakolomstvo se kažnjava isključenjem iz društvenoga života (4,15) ili smrću (prema tradiciji). Kuran se odlučno zalaže za pravednost i uzdiže je do posebne kreposti muslimana (5,8). On osuđuje prijevaru i nečasnost u poslu (6,152) kao i lihva- renje, također u formi uzimanja kamata (2,278-279). On nalaže pravedno postupanje prema slabima: prema siromašnima, putnicima (30,38) i miroljubivim nevjernicima (60,8). Kuran naposljetku nalaže poštovanje istine »da se kaže što je pravedno« (33,70), da se ne »daje nikakvo lažno svjedočanstvo« (25,7) i zabranjuje licemjerje (2,264), neiskre</w:t>
        <w:softHyphen/>
        <w:t>nost (3,188), nagađanja i sumnjičenja (49,12), zlobno ogovaranje (24,19) i ponižavanje (4,122).</w:t>
      </w:r>
    </w:p>
    <w:p>
      <w:pPr>
        <w:pStyle w:val="Style33"/>
        <w:keepNext w:val="0"/>
        <w:keepLines w:val="0"/>
        <w:widowControl w:val="0"/>
        <w:shd w:val="clear" w:color="auto" w:fill="auto"/>
        <w:bidi w:val="0"/>
        <w:spacing w:before="0" w:after="0"/>
        <w:ind w:left="0" w:right="0" w:firstLine="340"/>
        <w:jc w:val="both"/>
      </w:pPr>
      <w:r>
        <w:rPr>
          <w:rFonts w:ascii="Times New Roman" w:eastAsia="Times New Roman" w:hAnsi="Times New Roman" w:cs="Times New Roman"/>
          <w:i/>
          <w:iCs/>
          <w:color w:val="000000"/>
          <w:spacing w:val="0"/>
          <w:w w:val="100"/>
          <w:position w:val="0"/>
          <w:shd w:val="clear" w:color="auto" w:fill="auto"/>
          <w:lang w:val="hr-HR" w:eastAsia="hr-HR" w:bidi="hr-HR"/>
        </w:rPr>
        <w:t>Obiteljski ustroj u islamu:</w:t>
      </w:r>
      <w:r>
        <w:rPr>
          <w:rFonts w:ascii="Times New Roman" w:eastAsia="Times New Roman" w:hAnsi="Times New Roman" w:cs="Times New Roman"/>
          <w:color w:val="000000"/>
          <w:spacing w:val="0"/>
          <w:w w:val="100"/>
          <w:position w:val="0"/>
          <w:shd w:val="clear" w:color="auto" w:fill="auto"/>
          <w:lang w:val="hr-HR" w:eastAsia="hr-HR" w:bidi="hr-HR"/>
        </w:rPr>
        <w:t xml:space="preserve"> Islam potvrđuje instituciju braka i obitelji i uzdiže ženidbu do dužnosti za sve one koji mogu ispuniti sve odgovarajuće zahtjeve u bračnom životu (usp. 24,32). Jer brak je put k stvaranju potomstva i time odgovara čovjekovoj prirodnoj sklonosti, potrebi društva i Božjoj volji kao i uputi poslanika Muhameda. Brak je također mjesto pravoga životnog zajedništva muža i žene, on se zasniva na međusobnoj naklono</w:t>
        <w:softHyphen/>
        <w:t>sti i ljubavi supružnika, pruža pojedincima zaštićenost i sigurnost, životnu potporu i odgoj, te je naposljetku i mjesto skladnoga vođenja života i partnerske podjele rada.</w:t>
      </w:r>
    </w:p>
    <w:p>
      <w:pPr>
        <w:pStyle w:val="Style33"/>
        <w:keepNext w:val="0"/>
        <w:keepLines w:val="0"/>
        <w:widowControl w:val="0"/>
        <w:shd w:val="clear" w:color="auto" w:fill="auto"/>
        <w:bidi w:val="0"/>
        <w:spacing w:before="0" w:after="0"/>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Ženidba se u islamu razumije kao građansko-pravni ugovor između dvije bračno zrele i uračunljive osobe. Musliman smije živjeti istovremeno u braku s više žena. Broj tih legitimnih žena u Kuranu se ograničava na najviše četiri i to također samo pod uvje</w:t>
        <w:softHyphen/>
        <w:t>tom da muž pravedno postupa prema svojim ženama (4,3), što se prema procjeni sa</w:t>
        <w:softHyphen/>
        <w:t>moga Kurana teško može postići (usp. 4,129). Nevažeća je i zabranjena ženidba s bliskim rudnicima (4,22-23), brak s pripadnicima drugih vjera (2,21; 60,10). Ali musli</w:t>
        <w:softHyphen/>
        <w:t>man smije oženiti Židovku, odnosno kršćanku (Kuran 5,5), premda suci ne zagovaraju takve brakove. Tradicija zabranjuje sklapanje braka muslimanke sa Židovom, odnosno s kršćaninom i to zbog mogućnosti ugrožavanja ženine vjere koja bi u normalnom slučaju bila pod bitnim utjecajem njezina muža.</w:t>
      </w:r>
    </w:p>
    <w:p>
      <w:pPr>
        <w:pStyle w:val="Style33"/>
        <w:keepNext w:val="0"/>
        <w:keepLines w:val="0"/>
        <w:widowControl w:val="0"/>
        <w:shd w:val="clear" w:color="auto" w:fill="auto"/>
        <w:bidi w:val="0"/>
        <w:spacing w:before="0" w:after="0"/>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Brak se može raskinuti muževim otpuštanjem žene, sporazumnom odlukom su</w:t>
        <w:softHyphen/>
        <w:t>pružnika ili sudskom presudom. U tom slučaju razvedena žena ima pravo na dostatno novčano obeštećenje kako bi mogla pristojno živjeti. Prije nego žena napusti muževu kuću mora se odrediti i vrijeme čekanja kako bi se mogla ustvrditi možebitna trudnoća (2,228; 65,1).</w:t>
      </w:r>
    </w:p>
    <w:p>
      <w:pPr>
        <w:pStyle w:val="Style33"/>
        <w:keepNext w:val="0"/>
        <w:keepLines w:val="0"/>
        <w:widowControl w:val="0"/>
        <w:shd w:val="clear" w:color="auto" w:fill="auto"/>
        <w:bidi w:val="0"/>
        <w:spacing w:before="0" w:after="0"/>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Obiteljski se život u islamu odlikuje čovjekovim prvenstvom. Ta se patrijarhalna struktura ustvrduje u Kuranu: »Muškarci imaju prednost pred njima </w:t>
      </w:r>
      <w:r>
        <w:rPr>
          <w:rFonts w:ascii="Times New Roman" w:eastAsia="Times New Roman" w:hAnsi="Times New Roman" w:cs="Times New Roman"/>
          <w:i/>
          <w:iCs/>
          <w:color w:val="000000"/>
          <w:spacing w:val="0"/>
          <w:w w:val="100"/>
          <w:position w:val="0"/>
          <w:shd w:val="clear" w:color="auto" w:fill="auto"/>
          <w:lang w:val="hr-HR" w:eastAsia="hr-HR" w:bidi="hr-HR"/>
        </w:rPr>
        <w:t>(ženama)«</w:t>
      </w:r>
      <w:r>
        <w:rPr>
          <w:rFonts w:ascii="Times New Roman" w:eastAsia="Times New Roman" w:hAnsi="Times New Roman" w:cs="Times New Roman"/>
          <w:color w:val="000000"/>
          <w:spacing w:val="0"/>
          <w:w w:val="100"/>
          <w:position w:val="0"/>
          <w:shd w:val="clear" w:color="auto" w:fill="auto"/>
          <w:lang w:val="hr-HR" w:eastAsia="hr-HR" w:bidi="hr-HR"/>
        </w:rPr>
        <w:t xml:space="preserve"> (2,228). Bog je muževima dao taj poseban položaj i to se treba razumjeti kao posljedica njihove dužnosti da osiguraju uzdržavanje obitelji (usp. 4,34). Ali normalni međusobni odnos supružnika treba se prema Kuranu urediti »na pravedan način« (2,228; 4,19). To znači da oni njeguju međusobnu ljubav i dobro postupaju jedno prema drugomu (usp. 30,21).</w:t>
      </w:r>
    </w:p>
    <w:p>
      <w:pPr>
        <w:pStyle w:val="Style33"/>
        <w:keepNext w:val="0"/>
        <w:keepLines w:val="0"/>
        <w:widowControl w:val="0"/>
        <w:shd w:val="clear" w:color="auto" w:fill="auto"/>
        <w:bidi w:val="0"/>
        <w:spacing w:before="0" w:after="0"/>
        <w:ind w:left="0" w:right="0" w:firstLine="340"/>
        <w:jc w:val="both"/>
      </w:pPr>
      <w:r>
        <w:rPr>
          <w:rFonts w:ascii="Times New Roman" w:eastAsia="Times New Roman" w:hAnsi="Times New Roman" w:cs="Times New Roman"/>
          <w:i/>
          <w:iCs/>
          <w:color w:val="000000"/>
          <w:spacing w:val="0"/>
          <w:w w:val="100"/>
          <w:position w:val="0"/>
          <w:shd w:val="clear" w:color="auto" w:fill="auto"/>
          <w:lang w:val="hr-HR" w:eastAsia="hr-HR" w:bidi="hr-HR"/>
        </w:rPr>
        <w:t>Idealna obilježja islamskoga društva:</w:t>
      </w:r>
      <w:r>
        <w:rPr>
          <w:rFonts w:ascii="Times New Roman" w:eastAsia="Times New Roman" w:hAnsi="Times New Roman" w:cs="Times New Roman"/>
          <w:color w:val="000000"/>
          <w:spacing w:val="0"/>
          <w:w w:val="100"/>
          <w:position w:val="0"/>
          <w:shd w:val="clear" w:color="auto" w:fill="auto"/>
          <w:lang w:val="hr-HR" w:eastAsia="hr-HR" w:bidi="hr-HR"/>
        </w:rPr>
        <w:t xml:space="preserve"> Zajednicu muslimana koja se ravna prema Božjim zapovijedima i naredbama Kuran označuje kao »najbolju zajednicu« na svijetu zato što ona nalaže pravednost a zabranjuje ono što jc neprihvatljivo (3,110). Ona se treba odlikovati solidarnošću, bratstvom i pravednošću. Solidarnost uvjetuje spremnost vjernika da omoguće drugima, prije svega siromašnima, pravo na dio njezinog imutka (usp. 70,24-25; 51,19). Solidarnost i bratstvo također znače da među vjernicima mora vladati »velikodušnost« (2,237). Oni trebaju izbjegavati uvredljivo izrugivanje (44,11;</w:t>
      </w:r>
    </w:p>
    <w:p>
      <w:pPr>
        <w:pStyle w:val="Style33"/>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49,1), </w:t>
      </w:r>
      <w:r>
        <w:rPr>
          <w:rFonts w:ascii="Times New Roman" w:eastAsia="Times New Roman" w:hAnsi="Times New Roman" w:cs="Times New Roman"/>
          <w:color w:val="000000"/>
          <w:spacing w:val="0"/>
          <w:w w:val="100"/>
          <w:position w:val="0"/>
          <w:shd w:val="clear" w:color="auto" w:fill="auto"/>
          <w:lang w:val="hr-HR" w:eastAsia="hr-HR" w:bidi="hr-HR"/>
        </w:rPr>
        <w:t>zbog pretrpljene nepravde ne trebaju se svetiti strogo, nego radije praštati. Vraćati zlo zlim svakako je puno pravo vjernika, ali bolje je oprostiti (16,126; 4,149). Još je bolje vratiti zlo dobrim (41,34; 23,96; 13,22).</w:t>
      </w:r>
    </w:p>
    <w:p>
      <w:pPr>
        <w:pStyle w:val="Style33"/>
        <w:keepNext w:val="0"/>
        <w:keepLines w:val="0"/>
        <w:widowControl w:val="0"/>
        <w:shd w:val="clear" w:color="auto" w:fill="auto"/>
        <w:bidi w:val="0"/>
        <w:spacing w:before="0" w:after="0" w:line="252" w:lineRule="auto"/>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Pored solidarnosti i bratstva pravednost važi kao glavno obilježje idealne islamske zajednice. Musliman treba pravedno postupati prema svim ljudima, pa i nemusli- manima. Zajednica također treba održavati strukturu koja joj omogućuje vladavinu pravednosti.</w:t>
      </w:r>
    </w:p>
    <w:p>
      <w:pPr>
        <w:pStyle w:val="Style33"/>
        <w:keepNext w:val="0"/>
        <w:keepLines w:val="0"/>
        <w:widowControl w:val="0"/>
        <w:shd w:val="clear" w:color="auto" w:fill="auto"/>
        <w:bidi w:val="0"/>
        <w:spacing w:before="0" w:after="0" w:line="252" w:lineRule="auto"/>
        <w:ind w:left="0" w:right="0" w:firstLine="340"/>
        <w:jc w:val="both"/>
      </w:pPr>
      <w:r>
        <w:rPr>
          <w:rFonts w:ascii="Times New Roman" w:eastAsia="Times New Roman" w:hAnsi="Times New Roman" w:cs="Times New Roman"/>
          <w:i/>
          <w:iCs/>
          <w:color w:val="000000"/>
          <w:spacing w:val="0"/>
          <w:w w:val="100"/>
          <w:position w:val="0"/>
          <w:shd w:val="clear" w:color="auto" w:fill="auto"/>
          <w:lang w:val="hr-HR" w:eastAsia="hr-HR" w:bidi="hr-HR"/>
        </w:rPr>
        <w:t>Politička struktura islamskoga društva (uma):</w:t>
      </w:r>
      <w:r>
        <w:rPr>
          <w:rFonts w:ascii="Times New Roman" w:eastAsia="Times New Roman" w:hAnsi="Times New Roman" w:cs="Times New Roman"/>
          <w:color w:val="000000"/>
          <w:spacing w:val="0"/>
          <w:w w:val="100"/>
          <w:position w:val="0"/>
          <w:shd w:val="clear" w:color="auto" w:fill="auto"/>
          <w:lang w:val="hr-HR" w:eastAsia="hr-HR" w:bidi="hr-HR"/>
        </w:rPr>
        <w:t xml:space="preserve"> Islamska država stoji pod Božjim za</w:t>
        <w:softHyphen/>
        <w:t>konom koji služi kao smjernica za djelovanje vlade i kao mjerilo za priznavanje njezina autoriteta ili za osudu njezine samovolje. Zakon Kurana i obvezatne odredbe sunizma (tradicija poslanika Muhameda) čine osnovu opravdanosti i vršenja javnih službi. Tako država u islamu pokazuje teokratsku strukturu koja smjera na to da se do važenja dovedu Božja prava i da se osiguraju prava i interesi muslimana, ali i da se od podanika zahtijeva poslušnost prema Božjem zakonu i da se provede u praktičnom životu. Onima koji vladaju dani su autoritet i punomoć da učvršćuju i šire Božju vladavinu i prevlast islama.</w:t>
      </w:r>
    </w:p>
    <w:p>
      <w:pPr>
        <w:pStyle w:val="Style33"/>
        <w:keepNext w:val="0"/>
        <w:keepLines w:val="0"/>
        <w:widowControl w:val="0"/>
        <w:shd w:val="clear" w:color="auto" w:fill="auto"/>
        <w:bidi w:val="0"/>
        <w:spacing w:before="0" w:after="0" w:line="252" w:lineRule="auto"/>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Na vrhu islamske države stoji kalif, imam ili sultan. Predsjednik vlade neke islam</w:t>
        <w:softHyphen/>
        <w:t>ske države smije od svojih podanika zahtijevati poslušnost i lojalnost. Ali on sam mora ispuniti određene uvjete kako bi mogao stajati na čelu države i voditi vjernike. On mora prije svega poznavati propise Kurana i zakonske uredbe ili to znanje steći kod tu- mačitelja zakona. On je također obvezan savjetovati se s drugim članovima zajednice. Kuran ne određuje kako se treba vršiti to savjetovanje i on stoga ne propisuje nikakvu određeniju državnu formu.</w:t>
      </w:r>
    </w:p>
    <w:p>
      <w:pPr>
        <w:pStyle w:val="Style33"/>
        <w:keepNext w:val="0"/>
        <w:keepLines w:val="0"/>
        <w:widowControl w:val="0"/>
        <w:shd w:val="clear" w:color="auto" w:fill="auto"/>
        <w:bidi w:val="0"/>
        <w:spacing w:before="0" w:after="0" w:line="252" w:lineRule="auto"/>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Za potporu vlade (izvršne vlasti) u islamskoj državi postoje različite službe. Osim nadzornika tržišta, koji se brinu za skladan društveni život, i policije, najvažniji su tu- mačitclji zakona i suci.</w:t>
      </w:r>
    </w:p>
    <w:p>
      <w:pPr>
        <w:pStyle w:val="Style33"/>
        <w:keepNext w:val="0"/>
        <w:keepLines w:val="0"/>
        <w:widowControl w:val="0"/>
        <w:shd w:val="clear" w:color="auto" w:fill="auto"/>
        <w:bidi w:val="0"/>
        <w:spacing w:before="0" w:after="280" w:line="252" w:lineRule="auto"/>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Tumačitelj zakona (ako je u službi, zove se muftija) savjetuje vladu u pitanjima koja su povezana s legislativnom funkcijom države i s upravnim poslovima. Ulogu te</w:t>
        <w:softHyphen/>
        <w:t>meljnog zakona i ustava preuzimaju kuranski zakon i put koji je naznačen tradicijom. Tumačitelj zakona poznaje baš taj zakon i inače posjeduje neophodnu sposobnost pro</w:t>
        <w:softHyphen/>
        <w:t>sudbe za spoznavanje i utvrđivanje mogućnosti i modaliteta primjene tog zakona na konkretne slučajeve. I suci i pojedini vjernici mogu kod tumačitelja zakona iznijeti pravno mišljenje (fetva) o različitim pitanjima. Pravorijek je u nadležnosti suca (kadi</w:t>
        <w:softHyphen/>
        <w:t>ja). U svojemu sudu on se oslanja na pravno mišljenje muftije. On ustvrđuje činjenično stanje na temelju vjerodostojnih iskaza svjedoka ili priznanja optuženoga. U slučaje</w:t>
        <w:softHyphen/>
        <w:t>vima, za koje Kuran i tradicionalno pravo predviđaju određene kazne, on mora dosu</w:t>
        <w:softHyphen/>
        <w:t>diti tu kaznu. Inače njegovoj prosudbi ostaje prepušteno da ustvrdi kaznu koja odgo</w:t>
        <w:softHyphen/>
        <w:t>vara po svojoj visini i svojemu učinku.</w:t>
      </w:r>
    </w:p>
    <w:p>
      <w:pPr>
        <w:pStyle w:val="Style33"/>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Zahtjev za univerzalnim važenjem islama</w:t>
      </w:r>
    </w:p>
    <w:p>
      <w:pPr>
        <w:pStyle w:val="Style33"/>
        <w:keepNext w:val="0"/>
        <w:keepLines w:val="0"/>
        <w:widowControl w:val="0"/>
        <w:shd w:val="clear" w:color="auto" w:fill="auto"/>
        <w:bidi w:val="0"/>
        <w:spacing w:before="0" w:after="14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i pitanje o toleranciji</w:t>
      </w:r>
    </w:p>
    <w:p>
      <w:pPr>
        <w:pStyle w:val="Style33"/>
        <w:keepNext w:val="0"/>
        <w:keepLines w:val="0"/>
        <w:widowControl w:val="0"/>
        <w:shd w:val="clear" w:color="auto" w:fill="auto"/>
        <w:bidi w:val="0"/>
        <w:spacing w:before="0" w:after="0" w:line="257" w:lineRule="auto"/>
        <w:ind w:left="0" w:right="0" w:firstLine="340"/>
        <w:jc w:val="both"/>
        <w:sectPr>
          <w:headerReference w:type="default" r:id="rId75"/>
          <w:footerReference w:type="default" r:id="rId76"/>
          <w:headerReference w:type="even" r:id="rId77"/>
          <w:footerReference w:type="even" r:id="rId78"/>
          <w:headerReference w:type="first" r:id="rId79"/>
          <w:footerReference w:type="first" r:id="rId80"/>
          <w:footnotePr>
            <w:pos w:val="pageBottom"/>
            <w:numFmt w:val="decimal"/>
            <w:numStart w:val="5"/>
            <w:numRestart w:val="continuous"/>
            <w15:footnoteColumns w:val="1"/>
          </w:footnotePr>
          <w:pgSz w:w="6816" w:h="11006"/>
          <w:pgMar w:top="970" w:left="201" w:right="207" w:bottom="207" w:header="0" w:footer="3" w:gutter="0"/>
          <w:pgNumType w:start="33"/>
          <w:cols w:space="7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Muslimanska se zajednica razumije ne samo kao jezgra islamske države, nego i kao uzor cjelokupnoga ljudskog društva. Islam ističe svoj zahtjev da svim ljudima učini pristupačnim svoju vjeru, svoje moralne norme, svoje zakonske odredbe i općenito svoj </w:t>
      </w:r>
    </w:p>
    <w:p>
      <w:pPr>
        <w:pStyle w:val="Style33"/>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sveobuhvatni poredak života - još više: da svojemu poretku pribavi nadmoć u cijelome svijetu. Kuran kaže: »On (= Bog) je onaj koji je poslao svoga poslanika s uputom i istinskom vjerom, da je dovede do pobjede nad svakom vjerom...« (9,33; usp. 61,9; 48,28).</w:t>
      </w:r>
    </w:p>
    <w:p>
      <w:pPr>
        <w:pStyle w:val="Style33"/>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Muslimani trebaju doprinijeti toj pobjedi. Oni imaju dužnost nastojati oko uspo</w:t>
        <w:softHyphen/>
        <w:t>stave univerzalne vladavine islama u svijetu. To nastojanje (džihad) odnosi se najprije tek na zaštitu islamskih područja od prodora i opasnosti, ma s koje strane oni dolazili (usp. 5,57; 9,23). Povrh toga, radi se o pozitivnom jačanju islama i o proširivanju područja njegove moći, a u nuždi - prema klasičnom srednjovjekovnom nauku - i po</w:t>
        <w:softHyphen/>
        <w:t>moću tzv. »svetog rata«. Ta je dužnost iznad zajednice kao takve i ona prestaje onda kada su svi ljudi prihvatili islamsku vjeru ili kada su se podčinili islamskoj državi.</w:t>
      </w:r>
    </w:p>
    <w:p>
      <w:pPr>
        <w:pStyle w:val="Style33"/>
        <w:keepNext w:val="0"/>
        <w:keepLines w:val="0"/>
        <w:widowControl w:val="0"/>
        <w:shd w:val="clear" w:color="auto" w:fill="auto"/>
        <w:bidi w:val="0"/>
        <w:spacing w:before="0" w:after="340"/>
        <w:ind w:left="0" w:right="0"/>
        <w:jc w:val="both"/>
      </w:pPr>
      <w:r>
        <w:rPr>
          <w:rFonts w:ascii="Times New Roman" w:eastAsia="Times New Roman" w:hAnsi="Times New Roman" w:cs="Times New Roman"/>
          <w:color w:val="000000"/>
          <w:spacing w:val="0"/>
          <w:w w:val="100"/>
          <w:position w:val="0"/>
          <w:shd w:val="clear" w:color="auto" w:fill="auto"/>
          <w:lang w:val="hr-HR" w:eastAsia="hr-HR" w:bidi="hr-HR"/>
        </w:rPr>
        <w:t>Svojim podčinjavanjem Zidovi i kršćani postaju npr. štićenicima (dhimmT) islama. Taj im pravni status jamči zaštitu njihova života i njihova vlasništva, njihove vjerske i kulturne slobode, njihovu relativnu upravnu autonomiju, njihovu nadležnost u pitanji</w:t>
        <w:softHyphen/>
        <w:t>ma staleškoga, bračnog, obiteljskog i nasljednog prava. Oni zauzvrat moraju davati danak (Kuran 9,29) u obliku glavarine i poreza na imovinu. Oni se i inače moraju zado</w:t>
        <w:softHyphen/>
        <w:t>voljiti nižim položajem u društvu, jer se ne integriraju u potpunosti u islamsko društvo i ne uživaju sva građanska prava, prije svega ne uživaju politička prava jednako kao i muslimani. S obzirom na džihad današnji je islamski svijet podijeljen na dva tabora: Jedni po srednjovjekovnom uzoru ponovno žele oživjeti borbeni karakter tog nasto</w:t>
        <w:softHyphen/>
        <w:t>janja. Drugi naglasak prije stavljaju na mir kao na pravu svrhu zalaganja muslimana za stvar vjere (usp. Kuran 8,61; 4,90.94). Pretumačenje pojma džihada dogodilo se već u srednjem vijeku. Teolozi i duhovnici smatrali su tada da se zalaganje za vjeru najprije tek i uglavnom treba dogoditi u nutrini samoga vjernika i unutar zajednice i to putem svladavanja zla i podupiranja dobra, putem nastojanja oko dobročinstva i rada na korist zajednice. Prema van, navještaj islama i politički napor zamijenio je klasični »sveti rat«, bilo da je islamsko područje napadnuto ili dospjelo u opasnost.</w:t>
      </w:r>
    </w:p>
    <w:p>
      <w:pPr>
        <w:pStyle w:val="Style33"/>
        <w:keepNext w:val="0"/>
        <w:keepLines w:val="0"/>
        <w:widowControl w:val="0"/>
        <w:shd w:val="clear" w:color="auto" w:fill="auto"/>
        <w:bidi w:val="0"/>
        <w:spacing w:before="0" w:after="14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18"/>
          <w:szCs w:val="18"/>
          <w:shd w:val="clear" w:color="auto" w:fill="auto"/>
          <w:lang w:val="hr-HR" w:eastAsia="hr-HR" w:bidi="hr-HR"/>
        </w:rPr>
        <w:t>Kršćani i muslimani</w:t>
      </w:r>
    </w:p>
    <w:p>
      <w:pPr>
        <w:pStyle w:val="Style33"/>
        <w:keepNext w:val="0"/>
        <w:keepLines w:val="0"/>
        <w:widowControl w:val="0"/>
        <w:shd w:val="clear" w:color="auto" w:fill="auto"/>
        <w:bidi w:val="0"/>
        <w:spacing w:before="0" w:after="100"/>
        <w:ind w:left="0" w:right="0"/>
        <w:jc w:val="both"/>
        <w:sectPr>
          <w:headerReference w:type="default" r:id="rId81"/>
          <w:footerReference w:type="default" r:id="rId82"/>
          <w:headerReference w:type="even" r:id="rId83"/>
          <w:footerReference w:type="even" r:id="rId84"/>
          <w:footnotePr>
            <w:pos w:val="pageBottom"/>
            <w:numFmt w:val="decimal"/>
            <w:numStart w:val="5"/>
            <w:numRestart w:val="continuous"/>
            <w15:footnoteColumns w:val="1"/>
          </w:footnotePr>
          <w:type w:val="continuous"/>
          <w:pgSz w:w="6816" w:h="11006"/>
          <w:pgMar w:top="970" w:left="201" w:right="207" w:bottom="207" w:header="0"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Islam je vrlo blizak kršćanstvu i istodobno vrlo dalek. Unatoč mnoštvu zajedničkih točki (monoteizam, biblijska tradicija, priznavanje Isusa Krista kao proroka i evanđelja kao Božje objave, moralnih načela...), učenja kršćanstva i iskazi islama - kakvi su for</w:t>
        <w:softHyphen/>
        <w:t>mulirani u teološkoj tradiciji - proturječni su u središnjim točkama. Tako islam odba</w:t>
        <w:softHyphen/>
        <w:t>cuje kršćansku vjeru u Trojstvo, u božanstvenost Isusa Krista i u otkupljenje s Kristom. Kršćanstvo sa svoje strane ne priznaje Muhamedovo obvezatno božansko poslanje niti autoritet Kurana. Do sada su te načelne razlike osuđivale na propast svaki religiozni razgovor između kršćana i muslimana. No to nije nikakav razlog da se napusti sve. Otvoreni i strpljivi dijalog može barem pomoći uklanjanju mnogih nesporazuma i dub</w:t>
        <w:softHyphen/>
        <w:t>ljem poznavanju dotičnih učenja. Sve do zadnje faze možebitnoga potpunog sporazu</w:t>
        <w:softHyphen/>
        <w:t>mijevanja zajedničko traganje za integralnom istinom mora poći od istina koje su u priznatoj mjeri barem u svojim osnovnim crtama i svojim temeljnim intencijama zajed</w:t>
        <w:softHyphen/>
        <w:t xml:space="preserve">ničke objema religijama. Osim religioznog razgovora, treba se težiti suradnji između kršćana i muslimana. Ta se suradnja ne treba promatrati kao sveta alijansa religija pro- </w:t>
      </w:r>
    </w:p>
    <w:p>
      <w:pPr>
        <w:pStyle w:val="Style33"/>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tiv </w:t>
      </w:r>
      <w:r>
        <w:rPr>
          <w:rFonts w:ascii="Times New Roman" w:eastAsia="Times New Roman" w:hAnsi="Times New Roman" w:cs="Times New Roman"/>
          <w:color w:val="000000"/>
          <w:spacing w:val="0"/>
          <w:w w:val="100"/>
          <w:position w:val="0"/>
          <w:shd w:val="clear" w:color="auto" w:fill="auto"/>
          <w:lang w:val="hr-HR" w:eastAsia="hr-HR" w:bidi="hr-HR"/>
        </w:rPr>
        <w:t>nevjernika. Ona je prije vlastiti prinos religija rješavanju zajedničkih problema i oblikovanju jednoga humanog svijeta i to u primjerenoj otvorenosti prema drugim skupinama, ako postoji dostatna zajednička osnova. U tom se nastojanju oko Božje i čovječje istine vjera treba obistiniti, nada potvrditi, a ljubav, odnosno solidarnost, ozbi- Ijiti.</w:t>
      </w:r>
    </w:p>
    <w:p>
      <w:pPr>
        <w:pStyle w:val="Style56"/>
        <w:keepNext w:val="0"/>
        <w:keepLines w:val="0"/>
        <w:widowControl w:val="0"/>
        <w:shd w:val="clear" w:color="auto" w:fill="auto"/>
        <w:bidi w:val="0"/>
        <w:spacing w:before="0" w:after="0"/>
        <w:ind w:left="0" w:right="0" w:firstLine="0"/>
        <w:jc w:val="both"/>
        <w:sectPr>
          <w:headerReference w:type="default" r:id="rId85"/>
          <w:footerReference w:type="default" r:id="rId86"/>
          <w:headerReference w:type="even" r:id="rId87"/>
          <w:footerReference w:type="even" r:id="rId88"/>
          <w:footnotePr>
            <w:pos w:val="pageBottom"/>
            <w:numFmt w:val="decimal"/>
            <w:numStart w:val="5"/>
            <w:numRestart w:val="continuous"/>
            <w15:footnoteColumns w:val="1"/>
          </w:footnotePr>
          <w:pgSz w:w="6816" w:h="11006"/>
          <w:pgMar w:top="970" w:left="201" w:right="207" w:bottom="207" w:header="0" w:footer="3" w:gutter="0"/>
          <w:pgNumType w:start="35"/>
          <w:cols w:space="720"/>
          <w:noEndnote/>
          <w:rtlGutter w:val="0"/>
          <w:docGrid w:linePitch="360"/>
        </w:sectPr>
      </w:pPr>
      <w:r>
        <w:rPr>
          <w:color w:val="000000"/>
          <w:spacing w:val="0"/>
          <w:w w:val="100"/>
          <w:position w:val="0"/>
          <w:shd w:val="clear" w:color="auto" w:fill="auto"/>
        </w:rPr>
        <w:t xml:space="preserve">Lit.: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Koran,</w:t>
      </w:r>
      <w:r>
        <w:rPr>
          <w:color w:val="000000"/>
          <w:spacing w:val="0"/>
          <w:w w:val="100"/>
          <w:position w:val="0"/>
          <w:shd w:val="clear" w:color="auto" w:fill="auto"/>
        </w:rPr>
        <w:t xml:space="preserve"> Ubersetzung von </w:t>
      </w:r>
      <w:r>
        <w:rPr>
          <w:color w:val="000000"/>
          <w:spacing w:val="0"/>
          <w:w w:val="100"/>
          <w:position w:val="0"/>
          <w:shd w:val="clear" w:color="auto" w:fill="auto"/>
          <w:lang w:val="hr-HR" w:eastAsia="hr-HR" w:bidi="hr-HR"/>
        </w:rPr>
        <w:t xml:space="preserve">R. Paret,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1966; </w:t>
      </w:r>
      <w:r>
        <w:rPr>
          <w:color w:val="000000"/>
          <w:spacing w:val="0"/>
          <w:w w:val="100"/>
          <w:position w:val="0"/>
          <w:shd w:val="clear" w:color="auto" w:fill="auto"/>
        </w:rPr>
        <w:t xml:space="preserve">Wcrkausgabe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1980; R. Paret,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Koran. </w:t>
      </w:r>
      <w:r>
        <w:rPr>
          <w:i/>
          <w:iCs/>
          <w:color w:val="000000"/>
          <w:spacing w:val="0"/>
          <w:w w:val="100"/>
          <w:position w:val="0"/>
          <w:shd w:val="clear" w:color="auto" w:fill="auto"/>
          <w:lang w:val="hr-HR" w:eastAsia="hr-HR" w:bidi="hr-HR"/>
        </w:rPr>
        <w:t xml:space="preserve">Kom- mentor u </w:t>
      </w:r>
      <w:r>
        <w:rPr>
          <w:i/>
          <w:iCs/>
          <w:color w:val="000000"/>
          <w:spacing w:val="0"/>
          <w:w w:val="100"/>
          <w:position w:val="0"/>
          <w:shd w:val="clear" w:color="auto" w:fill="auto"/>
        </w:rPr>
        <w:t>nd Konkordanz,</w:t>
      </w:r>
      <w:r>
        <w:rPr>
          <w:color w:val="000000"/>
          <w:spacing w:val="0"/>
          <w:w w:val="100"/>
          <w:position w:val="0"/>
          <w:shd w:val="clear" w:color="auto" w:fill="auto"/>
        </w:rPr>
        <w:t xml:space="preserve"> Stuttgart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1977; </w:t>
      </w:r>
      <w:r>
        <w:rPr>
          <w:color w:val="000000"/>
          <w:spacing w:val="0"/>
          <w:w w:val="100"/>
          <w:position w:val="0"/>
          <w:shd w:val="clear" w:color="auto" w:fill="auto"/>
        </w:rPr>
        <w:t xml:space="preserve">Wcrkausgabe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l980, M. S. </w:t>
      </w:r>
      <w:r>
        <w:rPr>
          <w:color w:val="000000"/>
          <w:spacing w:val="0"/>
          <w:w w:val="100"/>
          <w:position w:val="0"/>
          <w:shd w:val="clear" w:color="auto" w:fill="auto"/>
        </w:rPr>
        <w:t xml:space="preserve">Abdullah, Geschichte des Islams in Deutschland </w:t>
      </w:r>
      <w:r>
        <w:rPr>
          <w:i/>
          <w:iCs/>
          <w:color w:val="000000"/>
          <w:spacing w:val="0"/>
          <w:w w:val="100"/>
          <w:position w:val="0"/>
          <w:shd w:val="clear" w:color="auto" w:fill="auto"/>
          <w:lang w:val="hr-HR" w:eastAsia="hr-HR" w:bidi="hr-HR"/>
        </w:rPr>
        <w:t xml:space="preserve">(Islam und </w:t>
      </w:r>
      <w:r>
        <w:rPr>
          <w:i/>
          <w:iCs/>
          <w:color w:val="000000"/>
          <w:spacing w:val="0"/>
          <w:w w:val="100"/>
          <w:position w:val="0"/>
          <w:shd w:val="clear" w:color="auto" w:fill="auto"/>
        </w:rPr>
        <w:t>westliche Welt</w:t>
      </w:r>
      <w:r>
        <w:rPr>
          <w:color w:val="000000"/>
          <w:spacing w:val="0"/>
          <w:w w:val="100"/>
          <w:position w:val="0"/>
          <w:shd w:val="clear" w:color="auto" w:fill="auto"/>
        </w:rPr>
        <w:t xml:space="preserve"> 5), Graz/WiettfKdln 1981;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 xml:space="preserve">Islam. Fur das Gesprdch mil Christen, </w:t>
      </w:r>
      <w:r>
        <w:rPr>
          <w:color w:val="000000"/>
          <w:spacing w:val="0"/>
          <w:w w:val="100"/>
          <w:position w:val="0"/>
          <w:shd w:val="clear" w:color="auto" w:fill="auto"/>
        </w:rPr>
        <w:t xml:space="preserve">Altenberge 1984; T. Andrae, </w:t>
      </w:r>
      <w:r>
        <w:rPr>
          <w:i/>
          <w:iCs/>
          <w:color w:val="000000"/>
          <w:spacing w:val="0"/>
          <w:w w:val="100"/>
          <w:position w:val="0"/>
          <w:shd w:val="clear" w:color="auto" w:fill="auto"/>
        </w:rPr>
        <w:t>Mohammed, setn Leben undsein Glauben,</w:t>
      </w:r>
      <w:r>
        <w:rPr>
          <w:color w:val="000000"/>
          <w:spacing w:val="0"/>
          <w:w w:val="100"/>
          <w:position w:val="0"/>
          <w:shd w:val="clear" w:color="auto" w:fill="auto"/>
        </w:rPr>
        <w:t xml:space="preserve"> Gottingen 1932;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 xml:space="preserve">Islaniische Mys- </w:t>
      </w:r>
      <w:r>
        <w:rPr>
          <w:i/>
          <w:iCs/>
          <w:color w:val="000000"/>
          <w:spacing w:val="0"/>
          <w:w w:val="100"/>
          <w:position w:val="0"/>
          <w:shd w:val="clear" w:color="auto" w:fill="auto"/>
          <w:lang w:val="hr-HR" w:eastAsia="hr-HR" w:bidi="hr-HR"/>
        </w:rPr>
        <w:t>liker</w:t>
      </w:r>
      <w:r>
        <w:rPr>
          <w:color w:val="000000"/>
          <w:spacing w:val="0"/>
          <w:w w:val="100"/>
          <w:position w:val="0"/>
          <w:shd w:val="clear" w:color="auto" w:fill="auto"/>
          <w:lang w:val="hr-HR" w:eastAsia="hr-HR" w:bidi="hr-HR"/>
        </w:rPr>
        <w:t xml:space="preserve"> (Urban-Điicher </w:t>
      </w:r>
      <w:r>
        <w:rPr>
          <w:color w:val="000000"/>
          <w:spacing w:val="0"/>
          <w:w w:val="100"/>
          <w:position w:val="0"/>
          <w:shd w:val="clear" w:color="auto" w:fill="auto"/>
        </w:rPr>
        <w:t>46), Stuttgart</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1980; P. Antes, </w:t>
      </w:r>
      <w:r>
        <w:rPr>
          <w:i/>
          <w:iCs/>
          <w:color w:val="000000"/>
          <w:spacing w:val="0"/>
          <w:w w:val="100"/>
          <w:position w:val="0"/>
          <w:shd w:val="clear" w:color="auto" w:fill="auto"/>
        </w:rPr>
        <w:t xml:space="preserve">Der Islam als politischer </w:t>
      </w:r>
      <w:r>
        <w:rPr>
          <w:i/>
          <w:iCs/>
          <w:color w:val="000000"/>
          <w:spacing w:val="0"/>
          <w:w w:val="100"/>
          <w:position w:val="0"/>
          <w:shd w:val="clear" w:color="auto" w:fill="auto"/>
          <w:lang w:val="hr-HR" w:eastAsia="hr-HR" w:bidi="hr-HR"/>
        </w:rPr>
        <w:t>Faktor,</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Hannover 1980;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 xml:space="preserve">Ethik und </w:t>
      </w:r>
      <w:r>
        <w:rPr>
          <w:i/>
          <w:iCs/>
          <w:color w:val="000000"/>
          <w:spacing w:val="0"/>
          <w:w w:val="100"/>
          <w:position w:val="0"/>
          <w:shd w:val="clear" w:color="auto" w:fill="auto"/>
          <w:lang w:val="hr-HR" w:eastAsia="hr-HR" w:bidi="hr-HR"/>
        </w:rPr>
        <w:t xml:space="preserve">Politik </w:t>
      </w:r>
      <w:r>
        <w:rPr>
          <w:i/>
          <w:iCs/>
          <w:color w:val="000000"/>
          <w:spacing w:val="0"/>
          <w:w w:val="100"/>
          <w:position w:val="0"/>
          <w:shd w:val="clear" w:color="auto" w:fill="auto"/>
        </w:rPr>
        <w:t>im Islam,</w:t>
      </w:r>
      <w:r>
        <w:rPr>
          <w:color w:val="000000"/>
          <w:spacing w:val="0"/>
          <w:w w:val="100"/>
          <w:position w:val="0"/>
          <w:shd w:val="clear" w:color="auto" w:fill="auto"/>
        </w:rPr>
        <w:t xml:space="preserve"> Stuttgart 1982; J. Bouinan, </w:t>
      </w:r>
      <w:r>
        <w:rPr>
          <w:i/>
          <w:iCs/>
          <w:color w:val="000000"/>
          <w:spacing w:val="0"/>
          <w:w w:val="100"/>
          <w:position w:val="0"/>
          <w:shd w:val="clear" w:color="auto" w:fill="auto"/>
        </w:rPr>
        <w:t>Das Worf vom Kreuz und das Bekenntnis zu Allah,</w:t>
      </w:r>
      <w:r>
        <w:rPr>
          <w:color w:val="000000"/>
          <w:spacing w:val="0"/>
          <w:w w:val="100"/>
          <w:position w:val="0"/>
          <w:shd w:val="clear" w:color="auto" w:fill="auto"/>
        </w:rPr>
        <w:t xml:space="preserve"> Frank- furt/M. 1980; A. Bsteh (Hrsg.), </w:t>
      </w:r>
      <w:r>
        <w:rPr>
          <w:i/>
          <w:iCs/>
          <w:color w:val="000000"/>
          <w:spacing w:val="0"/>
          <w:w w:val="100"/>
          <w:position w:val="0"/>
          <w:shd w:val="clear" w:color="auto" w:fill="auto"/>
        </w:rPr>
        <w:t>Der Gott des Christentums und des Islams,</w:t>
      </w:r>
      <w:r>
        <w:rPr>
          <w:color w:val="000000"/>
          <w:spacing w:val="0"/>
          <w:w w:val="100"/>
          <w:position w:val="0"/>
          <w:shd w:val="clear" w:color="auto" w:fill="auto"/>
        </w:rPr>
        <w:t xml:space="preserve"> Modling 1978; F. Buhl, </w:t>
      </w:r>
      <w:r>
        <w:rPr>
          <w:i/>
          <w:iCs/>
          <w:color w:val="000000"/>
          <w:spacing w:val="0"/>
          <w:w w:val="100"/>
          <w:position w:val="0"/>
          <w:shd w:val="clear" w:color="auto" w:fill="auto"/>
        </w:rPr>
        <w:t>Das Leben Muhammeds,</w:t>
      </w:r>
      <w:r>
        <w:rPr>
          <w:color w:val="000000"/>
          <w:spacing w:val="0"/>
          <w:w w:val="100"/>
          <w:position w:val="0"/>
          <w:shd w:val="clear" w:color="auto" w:fill="auto"/>
        </w:rPr>
        <w:t xml:space="preserve"> Heidelberg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1961; C. Cahcn, </w:t>
      </w:r>
      <w:r>
        <w:rPr>
          <w:i/>
          <w:iCs/>
          <w:color w:val="000000"/>
          <w:spacing w:val="0"/>
          <w:w w:val="100"/>
          <w:position w:val="0"/>
          <w:shd w:val="clear" w:color="auto" w:fill="auto"/>
        </w:rPr>
        <w:t>Islam I</w:t>
      </w:r>
      <w:r>
        <w:rPr>
          <w:color w:val="000000"/>
          <w:spacing w:val="0"/>
          <w:w w:val="100"/>
          <w:position w:val="0"/>
          <w:shd w:val="clear" w:color="auto" w:fill="auto"/>
        </w:rPr>
        <w:t xml:space="preserve"> (Fischer Weltgeschichte 14), Frankfurt/M. 1968; E. De</w:t>
        <w:softHyphen/>
        <w:t xml:space="preserve">merghem, </w:t>
      </w:r>
      <w:r>
        <w:rPr>
          <w:i/>
          <w:iCs/>
          <w:color w:val="000000"/>
          <w:spacing w:val="0"/>
          <w:w w:val="100"/>
          <w:position w:val="0"/>
          <w:shd w:val="clear" w:color="auto" w:fill="auto"/>
        </w:rPr>
        <w:t>Mohammed in Selbstzeugnissen und Bilddokumenten,</w:t>
      </w:r>
      <w:r>
        <w:rPr>
          <w:color w:val="000000"/>
          <w:spacing w:val="0"/>
          <w:w w:val="100"/>
          <w:position w:val="0"/>
          <w:shd w:val="clear" w:color="auto" w:fill="auto"/>
        </w:rPr>
        <w:t xml:space="preserve"> Reinbek bei Hamburg 1960; W. Ende/U. Steinbach (Hrsg.), </w:t>
      </w:r>
      <w:r>
        <w:rPr>
          <w:i/>
          <w:iCs/>
          <w:color w:val="000000"/>
          <w:spacing w:val="0"/>
          <w:w w:val="100"/>
          <w:position w:val="0"/>
          <w:shd w:val="clear" w:color="auto" w:fill="auto"/>
        </w:rPr>
        <w:t>Der Islam in der Gegenwa/l,</w:t>
      </w:r>
      <w:r>
        <w:rPr>
          <w:color w:val="000000"/>
          <w:spacing w:val="0"/>
          <w:w w:val="100"/>
          <w:position w:val="0"/>
          <w:shd w:val="clear" w:color="auto" w:fill="auto"/>
        </w:rPr>
        <w:t xml:space="preserve"> Miinchcn 1984; G. Endress, </w:t>
      </w:r>
      <w:r>
        <w:rPr>
          <w:i/>
          <w:iCs/>
          <w:color w:val="000000"/>
          <w:spacing w:val="0"/>
          <w:w w:val="100"/>
          <w:position w:val="0"/>
          <w:shd w:val="clear" w:color="auto" w:fill="auto"/>
        </w:rPr>
        <w:t>Einfuhrung in die islaniische Geschichte,</w:t>
      </w:r>
      <w:r>
        <w:rPr>
          <w:color w:val="000000"/>
          <w:spacing w:val="0"/>
          <w:w w:val="100"/>
          <w:position w:val="0"/>
          <w:shd w:val="clear" w:color="auto" w:fill="auto"/>
        </w:rPr>
        <w:t xml:space="preserve"> Miinchcn 1981; </w:t>
      </w:r>
      <w:r>
        <w:rPr>
          <w:i/>
          <w:iCs/>
          <w:color w:val="000000"/>
          <w:spacing w:val="0"/>
          <w:w w:val="100"/>
          <w:position w:val="0"/>
          <w:shd w:val="clear" w:color="auto" w:fill="auto"/>
        </w:rPr>
        <w:t xml:space="preserve">Encyclopaedia of Islam = Encyclopedic de </w:t>
      </w:r>
      <w:r>
        <w:rPr>
          <w:i/>
          <w:iCs/>
          <w:color w:val="000000"/>
          <w:spacing w:val="0"/>
          <w:w w:val="100"/>
          <w:position w:val="0"/>
          <w:shd w:val="clear" w:color="auto" w:fill="auto"/>
          <w:lang w:val="hr-HR" w:eastAsia="hr-HR" w:bidi="hr-HR"/>
        </w:rPr>
        <w:t>l'Islam,</w:t>
      </w:r>
      <w:r>
        <w:rPr>
          <w:color w:val="000000"/>
          <w:spacing w:val="0"/>
          <w:w w:val="100"/>
          <w:position w:val="0"/>
          <w:shd w:val="clear" w:color="auto" w:fill="auto"/>
          <w:lang w:val="hr-HR" w:eastAsia="hr-HR" w:bidi="hr-HR"/>
        </w:rPr>
        <w:t xml:space="preserve"> novo izdanje, </w:t>
      </w:r>
      <w:r>
        <w:rPr>
          <w:color w:val="000000"/>
          <w:spacing w:val="0"/>
          <w:w w:val="100"/>
          <w:position w:val="0"/>
          <w:shd w:val="clear" w:color="auto" w:fill="auto"/>
        </w:rPr>
        <w:t xml:space="preserve">Leiden 1964 i </w:t>
      </w:r>
      <w:r>
        <w:rPr>
          <w:color w:val="000000"/>
          <w:spacing w:val="0"/>
          <w:w w:val="100"/>
          <w:position w:val="0"/>
          <w:shd w:val="clear" w:color="auto" w:fill="auto"/>
          <w:lang w:val="hr-HR" w:eastAsia="hr-HR" w:bidi="hr-HR"/>
        </w:rPr>
        <w:t xml:space="preserve">dalje; </w:t>
      </w:r>
      <w:r>
        <w:rPr>
          <w:color w:val="000000"/>
          <w:spacing w:val="0"/>
          <w:w w:val="100"/>
          <w:position w:val="0"/>
          <w:shd w:val="clear" w:color="auto" w:fill="auto"/>
        </w:rPr>
        <w:t xml:space="preserve">J. Van Ess (Hrsg.), </w:t>
      </w:r>
      <w:r>
        <w:rPr>
          <w:i/>
          <w:iCs/>
          <w:color w:val="000000"/>
          <w:spacing w:val="0"/>
          <w:w w:val="100"/>
          <w:position w:val="0"/>
          <w:shd w:val="clear" w:color="auto" w:fill="auto"/>
        </w:rPr>
        <w:t>Schriften zum Islam,</w:t>
      </w:r>
      <w:r>
        <w:rPr>
          <w:color w:val="000000"/>
          <w:spacing w:val="0"/>
          <w:w w:val="100"/>
          <w:position w:val="0"/>
          <w:shd w:val="clear" w:color="auto" w:fill="auto"/>
        </w:rPr>
        <w:t xml:space="preserve"> Stuttgart 1981; H. Fahndrich, </w:t>
      </w:r>
      <w:r>
        <w:rPr>
          <w:i/>
          <w:iCs/>
          <w:color w:val="000000"/>
          <w:spacing w:val="0"/>
          <w:w w:val="100"/>
          <w:position w:val="0"/>
          <w:shd w:val="clear" w:color="auto" w:fill="auto"/>
        </w:rPr>
        <w:t xml:space="preserve">Das Vermdchtnis des Islam, 2 </w:t>
      </w:r>
      <w:r>
        <w:rPr>
          <w:color w:val="000000"/>
          <w:spacing w:val="0"/>
          <w:w w:val="100"/>
          <w:position w:val="0"/>
          <w:shd w:val="clear" w:color="auto" w:fill="auto"/>
        </w:rPr>
        <w:t xml:space="preserve">Bde., Zurich 1980; A. Falaturi/W. Strolz (Hrsg.), </w:t>
      </w:r>
      <w:r>
        <w:rPr>
          <w:i/>
          <w:iCs/>
          <w:color w:val="000000"/>
          <w:spacing w:val="0"/>
          <w:w w:val="100"/>
          <w:position w:val="0"/>
          <w:shd w:val="clear" w:color="auto" w:fill="auto"/>
        </w:rPr>
        <w:t>Glauben an den einen Gott; Menschliche Gotteserfahrung im Christentum und im Islam,</w:t>
      </w:r>
      <w:r>
        <w:rPr>
          <w:color w:val="000000"/>
          <w:spacing w:val="0"/>
          <w:w w:val="100"/>
          <w:position w:val="0"/>
          <w:shd w:val="clear" w:color="auto" w:fill="auto"/>
        </w:rPr>
        <w:t xml:space="preserve"> Freiburg 1975; M. Fitzgerald/A. Th. Khoury/W. Wanzura (Hrsg.), </w:t>
      </w:r>
      <w:r>
        <w:rPr>
          <w:i/>
          <w:iCs/>
          <w:color w:val="000000"/>
          <w:spacing w:val="0"/>
          <w:w w:val="100"/>
          <w:position w:val="0"/>
          <w:shd w:val="clear" w:color="auto" w:fill="auto"/>
        </w:rPr>
        <w:t>Mensch, Welt, Staat im Islam (Islam und westliche Welt</w:t>
      </w:r>
      <w:r>
        <w:rPr>
          <w:color w:val="000000"/>
          <w:spacing w:val="0"/>
          <w:w w:val="100"/>
          <w:position w:val="0"/>
          <w:shd w:val="clear" w:color="auto" w:fill="auto"/>
        </w:rPr>
        <w:t xml:space="preserve"> 2), Graz/Wien/Koln 1977;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Renaissance des Islams. Weg zur Begeg- nung Oder zur Konfrontation? (Islam und westliche Welt</w:t>
      </w:r>
      <w:r>
        <w:rPr>
          <w:color w:val="000000"/>
          <w:spacing w:val="0"/>
          <w:w w:val="100"/>
          <w:position w:val="0"/>
          <w:shd w:val="clear" w:color="auto" w:fill="auto"/>
        </w:rPr>
        <w:t xml:space="preserve"> 4), Graz/Wien/Koln 1980; L. Gardet/M. M. Anawati, </w:t>
      </w:r>
      <w:r>
        <w:rPr>
          <w:i/>
          <w:iCs/>
          <w:color w:val="000000"/>
          <w:spacing w:val="0"/>
          <w:w w:val="100"/>
          <w:position w:val="0"/>
          <w:shd w:val="clear" w:color="auto" w:fill="auto"/>
        </w:rPr>
        <w:t>Introduction a la theologie musulmane,</w:t>
      </w:r>
      <w:r>
        <w:rPr>
          <w:color w:val="000000"/>
          <w:spacing w:val="0"/>
          <w:w w:val="100"/>
          <w:position w:val="0"/>
          <w:shd w:val="clear" w:color="auto" w:fill="auto"/>
        </w:rPr>
        <w:t xml:space="preserve"> Paris 1948; L. Gardet, </w:t>
      </w:r>
      <w:r>
        <w:rPr>
          <w:i/>
          <w:iCs/>
          <w:color w:val="000000"/>
          <w:spacing w:val="0"/>
          <w:w w:val="100"/>
          <w:position w:val="0"/>
          <w:shd w:val="clear" w:color="auto" w:fill="auto"/>
        </w:rPr>
        <w:t>Islam,</w:t>
      </w:r>
      <w:r>
        <w:rPr>
          <w:color w:val="000000"/>
          <w:spacing w:val="0"/>
          <w:w w:val="100"/>
          <w:position w:val="0"/>
          <w:shd w:val="clear" w:color="auto" w:fill="auto"/>
        </w:rPr>
        <w:t xml:space="preserve"> Koln 1968; G. E. von Griinebaum, </w:t>
      </w:r>
      <w:r>
        <w:rPr>
          <w:i/>
          <w:iCs/>
          <w:color w:val="000000"/>
          <w:spacing w:val="0"/>
          <w:w w:val="100"/>
          <w:position w:val="0"/>
          <w:shd w:val="clear" w:color="auto" w:fill="auto"/>
        </w:rPr>
        <w:t>Der Islam im Mittelalter,</w:t>
      </w:r>
      <w:r>
        <w:rPr>
          <w:color w:val="000000"/>
          <w:spacing w:val="0"/>
          <w:w w:val="100"/>
          <w:position w:val="0"/>
          <w:shd w:val="clear" w:color="auto" w:fill="auto"/>
        </w:rPr>
        <w:t xml:space="preserve"> Zurich 1963;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Der Islam in seiner klassischen Epoche,</w:t>
      </w:r>
      <w:r>
        <w:rPr>
          <w:color w:val="000000"/>
          <w:spacing w:val="0"/>
          <w:w w:val="100"/>
          <w:position w:val="0"/>
          <w:shd w:val="clear" w:color="auto" w:fill="auto"/>
        </w:rPr>
        <w:t xml:space="preserve"> 622-1258, Zurich 1963;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Is</w:t>
        <w:softHyphen/>
        <w:t>lam II</w:t>
      </w:r>
      <w:r>
        <w:rPr>
          <w:color w:val="000000"/>
          <w:spacing w:val="0"/>
          <w:w w:val="100"/>
          <w:position w:val="0"/>
          <w:shd w:val="clear" w:color="auto" w:fill="auto"/>
        </w:rPr>
        <w:t xml:space="preserve"> (Fischer Weltgeschichte 15), Frankfurt/M. 1971; L Hagemann, Der Kur’an in Verstandnis und </w:t>
      </w:r>
      <w:r>
        <w:rPr>
          <w:color w:val="000000"/>
          <w:spacing w:val="0"/>
          <w:w w:val="100"/>
          <w:position w:val="0"/>
          <w:shd w:val="clear" w:color="auto" w:fill="auto"/>
          <w:lang w:val="hr-HR" w:eastAsia="hr-HR" w:bidi="hr-HR"/>
        </w:rPr>
        <w:t xml:space="preserve">Kritik </w:t>
      </w:r>
      <w:r>
        <w:rPr>
          <w:color w:val="000000"/>
          <w:spacing w:val="0"/>
          <w:w w:val="100"/>
          <w:position w:val="0"/>
          <w:shd w:val="clear" w:color="auto" w:fill="auto"/>
        </w:rPr>
        <w:t xml:space="preserve">bei Nikolaus von Kues. Ein Beitrag zur Erhellung christhch-islamischer Geschichte </w:t>
      </w:r>
      <w:r>
        <w:rPr>
          <w:i/>
          <w:iCs/>
          <w:color w:val="000000"/>
          <w:spacing w:val="0"/>
          <w:w w:val="100"/>
          <w:position w:val="0"/>
          <w:shd w:val="clear" w:color="auto" w:fill="auto"/>
        </w:rPr>
        <w:t>(Frankfurter Theologische Studien</w:t>
      </w:r>
      <w:r>
        <w:rPr>
          <w:color w:val="000000"/>
          <w:spacing w:val="0"/>
          <w:w w:val="100"/>
          <w:position w:val="0"/>
          <w:shd w:val="clear" w:color="auto" w:fill="auto"/>
        </w:rPr>
        <w:t xml:space="preserve"> 21), Frankfurt/M. 1976;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Christentum. Fur das Gesprdch mil Muslimen,</w:t>
      </w:r>
      <w:r>
        <w:rPr>
          <w:color w:val="000000"/>
          <w:spacing w:val="0"/>
          <w:w w:val="100"/>
          <w:position w:val="0"/>
          <w:shd w:val="clear" w:color="auto" w:fill="auto"/>
        </w:rPr>
        <w:t xml:space="preserve"> Altenberge *1986;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Christentum und Islam zwischen Konfrontation und Bcgcgnung </w:t>
      </w:r>
      <w:r>
        <w:rPr>
          <w:i/>
          <w:iCs/>
          <w:color w:val="000000"/>
          <w:spacing w:val="0"/>
          <w:w w:val="100"/>
          <w:position w:val="0"/>
          <w:shd w:val="clear" w:color="auto" w:fill="auto"/>
        </w:rPr>
        <w:t>(Studien</w:t>
      </w:r>
      <w:r>
        <w:rPr>
          <w:color w:val="000000"/>
          <w:spacing w:val="0"/>
          <w:w w:val="100"/>
          <w:position w:val="0"/>
          <w:shd w:val="clear" w:color="auto" w:fill="auto"/>
        </w:rPr>
        <w:t xml:space="preserve"> 4), Altenberge 1983;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Prophe- ten - Zeugen des Glaubens. Koranische und biblische Deutungen </w:t>
      </w:r>
      <w:r>
        <w:rPr>
          <w:i/>
          <w:iCs/>
          <w:color w:val="000000"/>
          <w:spacing w:val="0"/>
          <w:w w:val="100"/>
          <w:position w:val="0"/>
          <w:shd w:val="clear" w:color="auto" w:fill="auto"/>
        </w:rPr>
        <w:t>(Islam und westliche Welt</w:t>
      </w:r>
      <w:r>
        <w:rPr>
          <w:color w:val="000000"/>
          <w:spacing w:val="0"/>
          <w:w w:val="100"/>
          <w:position w:val="0"/>
          <w:shd w:val="clear" w:color="auto" w:fill="auto"/>
        </w:rPr>
        <w:t xml:space="preserve"> 7), Graz/ Wien/Koln 1985; </w:t>
      </w:r>
      <w:r>
        <w:rPr>
          <w:i/>
          <w:iCs/>
          <w:color w:val="000000"/>
          <w:spacing w:val="0"/>
          <w:w w:val="100"/>
          <w:position w:val="0"/>
          <w:shd w:val="clear" w:color="auto" w:fill="auto"/>
        </w:rPr>
        <w:t>Handworterbuch des Islam,</w:t>
      </w:r>
      <w:r>
        <w:rPr>
          <w:color w:val="000000"/>
          <w:spacing w:val="0"/>
          <w:w w:val="100"/>
          <w:position w:val="0"/>
          <w:shd w:val="clear" w:color="auto" w:fill="auto"/>
        </w:rPr>
        <w:t xml:space="preserve"> Leiden 1941, Ncudruck 1979; R. Jockel, </w:t>
      </w:r>
      <w:r>
        <w:rPr>
          <w:i/>
          <w:iCs/>
          <w:color w:val="000000"/>
          <w:spacing w:val="0"/>
          <w:w w:val="100"/>
          <w:position w:val="0"/>
          <w:shd w:val="clear" w:color="auto" w:fill="auto"/>
        </w:rPr>
        <w:t>Islaniische Geisteswelt von Mohammed bis zur Gegcnwan,</w:t>
      </w:r>
      <w:r>
        <w:rPr>
          <w:color w:val="000000"/>
          <w:spacing w:val="0"/>
          <w:w w:val="100"/>
          <w:position w:val="0"/>
          <w:shd w:val="clear" w:color="auto" w:fill="auto"/>
        </w:rPr>
        <w:t xml:space="preserve"> Darmstadt 1954; A. Th. Khoury, Manuel II Paleologue, Entretiens avec un musulman, 7e Controverse </w:t>
      </w:r>
      <w:r>
        <w:rPr>
          <w:i/>
          <w:iCs/>
          <w:color w:val="000000"/>
          <w:spacing w:val="0"/>
          <w:w w:val="100"/>
          <w:position w:val="0"/>
          <w:shd w:val="clear" w:color="auto" w:fill="auto"/>
        </w:rPr>
        <w:t>(Sources Chretiennes</w:t>
      </w:r>
      <w:r>
        <w:rPr>
          <w:color w:val="000000"/>
          <w:spacing w:val="0"/>
          <w:w w:val="100"/>
          <w:position w:val="0"/>
          <w:shd w:val="clear" w:color="auto" w:fill="auto"/>
        </w:rPr>
        <w:t xml:space="preserve"> 115), Paris 1966;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Der theologische Streit der Byzan- liner mil dem Islam,</w:t>
      </w:r>
      <w:r>
        <w:rPr>
          <w:color w:val="000000"/>
          <w:spacing w:val="0"/>
          <w:w w:val="100"/>
          <w:position w:val="0"/>
          <w:shd w:val="clear" w:color="auto" w:fill="auto"/>
        </w:rPr>
        <w:t xml:space="preserve"> Paderborn 1969;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Les theologiens byzantins et Flslam. Textes et auteurs</w:t>
      </w:r>
      <w:r>
        <w:rPr>
          <w:color w:val="000000"/>
          <w:spacing w:val="0"/>
          <w:w w:val="100"/>
          <w:position w:val="0"/>
          <w:shd w:val="clear" w:color="auto" w:fill="auto"/>
        </w:rPr>
        <w:t xml:space="preserve"> (Vllle-XIIIe s.), Louvain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1969;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 xml:space="preserve">Polemique byzantme centre </w:t>
      </w:r>
      <w:r>
        <w:rPr>
          <w:i/>
          <w:iCs/>
          <w:color w:val="000000"/>
          <w:spacing w:val="0"/>
          <w:w w:val="100"/>
          <w:position w:val="0"/>
          <w:shd w:val="clear" w:color="auto" w:fill="auto"/>
          <w:lang w:val="hr-HR" w:eastAsia="hr-HR" w:bidi="hr-HR"/>
        </w:rPr>
        <w:t>l’lslam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(VIIle-XIlie s.)» Leiden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1972;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Einfuhrung in die Grundlagen des Islams (Islam und westliche Welt 3), Graz/Wien/Koln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1981;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Begegnungmit dem Is</w:t>
        <w:softHyphen/>
        <w:t>lam. Fine Einfuhrung</w:t>
      </w:r>
      <w:r>
        <w:rPr>
          <w:color w:val="000000"/>
          <w:spacing w:val="0"/>
          <w:w w:val="100"/>
          <w:position w:val="0"/>
          <w:shd w:val="clear" w:color="auto" w:fill="auto"/>
        </w:rPr>
        <w:t xml:space="preserve"> (Hcrdcrbiichcrci 815), Freiburg *1986;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Toleranz im Islam,</w:t>
      </w:r>
      <w:r>
        <w:rPr>
          <w:color w:val="000000"/>
          <w:spacing w:val="0"/>
          <w:w w:val="100"/>
          <w:position w:val="0"/>
          <w:shd w:val="clear" w:color="auto" w:fill="auto"/>
        </w:rPr>
        <w:t xml:space="preserve"> Miinchen/Mainz 1980. Altenberge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1986;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Gebete des Islams</w:t>
      </w:r>
      <w:r>
        <w:rPr>
          <w:color w:val="000000"/>
          <w:spacing w:val="0"/>
          <w:w w:val="100"/>
          <w:position w:val="0"/>
          <w:shd w:val="clear" w:color="auto" w:fill="auto"/>
        </w:rPr>
        <w:t xml:space="preserve"> (Topos-Taschenbucher 111), Mainz 1981;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Gottesist der Orient - Gottes ist der Okzident,</w:t>
      </w:r>
      <w:r>
        <w:rPr>
          <w:color w:val="000000"/>
          <w:spacing w:val="0"/>
          <w:w w:val="100"/>
          <w:position w:val="0"/>
          <w:shd w:val="clear" w:color="auto" w:fill="auto"/>
        </w:rPr>
        <w:t xml:space="preserve"> Freiburg und Altenberge 1983;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Islaniische Minderheiten in der Diaspora,</w:t>
      </w:r>
      <w:r>
        <w:rPr>
          <w:color w:val="000000"/>
          <w:spacing w:val="0"/>
          <w:w w:val="100"/>
          <w:position w:val="0"/>
          <w:shd w:val="clear" w:color="auto" w:fill="auto"/>
        </w:rPr>
        <w:t xml:space="preserve"> Mun* chen/ Mainz 1985; </w:t>
      </w:r>
      <w:r>
        <w:rPr>
          <w:i/>
          <w:iCs/>
          <w:color w:val="000000"/>
          <w:spacing w:val="0"/>
          <w:w w:val="100"/>
          <w:position w:val="0"/>
          <w:shd w:val="clear" w:color="auto" w:fill="auto"/>
        </w:rPr>
        <w:t>Lexikon der islamischen Welt</w:t>
      </w:r>
      <w:r>
        <w:rPr>
          <w:color w:val="000000"/>
          <w:spacing w:val="0"/>
          <w:w w:val="100"/>
          <w:position w:val="0"/>
          <w:shd w:val="clear" w:color="auto" w:fill="auto"/>
        </w:rPr>
        <w:t xml:space="preserve"> (Urban-Bucher 200), 3 Bde., Stuttgart 1974; T. Nagel, </w:t>
      </w:r>
      <w:r>
        <w:rPr>
          <w:i/>
          <w:iCs/>
          <w:color w:val="000000"/>
          <w:spacing w:val="0"/>
          <w:w w:val="100"/>
          <w:position w:val="0"/>
          <w:shd w:val="clear" w:color="auto" w:fill="auto"/>
        </w:rPr>
        <w:t>Staat und Glaubensgemeinschaft im Islam. Geschichte der politischen Ordnungsvorstellungen der Muslime, 2</w:t>
      </w:r>
      <w:r>
        <w:rPr>
          <w:color w:val="000000"/>
          <w:spacing w:val="0"/>
          <w:w w:val="100"/>
          <w:position w:val="0"/>
          <w:shd w:val="clear" w:color="auto" w:fill="auto"/>
        </w:rPr>
        <w:t xml:space="preserve"> Bde., Zurich 1981;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Der Koran. Einfuhrung - Texte - Erlauterungen,</w:t>
      </w:r>
      <w:r>
        <w:rPr>
          <w:color w:val="000000"/>
          <w:spacing w:val="0"/>
          <w:w w:val="100"/>
          <w:position w:val="0"/>
          <w:shd w:val="clear" w:color="auto" w:fill="auto"/>
        </w:rPr>
        <w:t xml:space="preserve"> Miinchen 1983; V. Nienhaus, Islam und </w:t>
      </w:r>
      <w:r>
        <w:rPr>
          <w:color w:val="000000"/>
          <w:spacing w:val="0"/>
          <w:w w:val="100"/>
          <w:position w:val="0"/>
          <w:shd w:val="clear" w:color="auto" w:fill="auto"/>
          <w:lang w:val="hr-HR" w:eastAsia="hr-HR" w:bidi="hr-HR"/>
        </w:rPr>
        <w:t xml:space="preserve">moderne </w:t>
      </w:r>
      <w:r>
        <w:rPr>
          <w:color w:val="000000"/>
          <w:spacing w:val="0"/>
          <w:w w:val="100"/>
          <w:position w:val="0"/>
          <w:shd w:val="clear" w:color="auto" w:fill="auto"/>
        </w:rPr>
        <w:t xml:space="preserve">Wirtschaft. U: </w:t>
      </w:r>
      <w:r>
        <w:rPr>
          <w:i/>
          <w:iCs/>
          <w:color w:val="000000"/>
          <w:spacing w:val="0"/>
          <w:w w:val="100"/>
          <w:position w:val="0"/>
          <w:shd w:val="clear" w:color="auto" w:fill="auto"/>
        </w:rPr>
        <w:t>Pos'uionen und Perspektiven (Islam und westliche Welt</w:t>
      </w:r>
      <w:r>
        <w:rPr>
          <w:color w:val="000000"/>
          <w:spacing w:val="0"/>
          <w:w w:val="100"/>
          <w:position w:val="0"/>
          <w:shd w:val="clear" w:color="auto" w:fill="auto"/>
        </w:rPr>
        <w:t xml:space="preserve"> 6), Graz/Wien/Koln 1982; R. Paret, </w:t>
      </w:r>
      <w:r>
        <w:rPr>
          <w:i/>
          <w:iCs/>
          <w:color w:val="000000"/>
          <w:spacing w:val="0"/>
          <w:w w:val="100"/>
          <w:position w:val="0"/>
          <w:shd w:val="clear" w:color="auto" w:fill="auto"/>
        </w:rPr>
        <w:t>Mohammed und Koran 1</w:t>
      </w:r>
      <w:r>
        <w:rPr>
          <w:color w:val="000000"/>
          <w:spacing w:val="0"/>
          <w:w w:val="100"/>
          <w:position w:val="0"/>
          <w:shd w:val="clear" w:color="auto" w:fill="auto"/>
        </w:rPr>
        <w:t xml:space="preserve"> (Urban-Bucher 32), Stuttgart </w:t>
      </w:r>
      <w:r>
        <w:rPr>
          <w:color w:val="000000"/>
          <w:spacing w:val="0"/>
          <w:w w:val="100"/>
          <w:position w:val="0"/>
          <w:shd w:val="clear" w:color="auto" w:fill="auto"/>
          <w:vertAlign w:val="superscript"/>
        </w:rPr>
        <w:t>5</w:t>
      </w:r>
      <w:r>
        <w:rPr>
          <w:color w:val="000000"/>
          <w:spacing w:val="0"/>
          <w:w w:val="100"/>
          <w:position w:val="0"/>
          <w:shd w:val="clear" w:color="auto" w:fill="auto"/>
        </w:rPr>
        <w:t xml:space="preserve">1980; A. Schimmel, </w:t>
      </w:r>
      <w:r>
        <w:rPr>
          <w:i/>
          <w:iCs/>
          <w:color w:val="000000"/>
          <w:spacing w:val="0"/>
          <w:w w:val="100"/>
          <w:position w:val="0"/>
          <w:shd w:val="clear" w:color="auto" w:fill="auto"/>
        </w:rPr>
        <w:t>Mystische Dimensionen des Islam,</w:t>
      </w:r>
      <w:r>
        <w:rPr>
          <w:color w:val="000000"/>
          <w:spacing w:val="0"/>
          <w:w w:val="100"/>
          <w:position w:val="0"/>
          <w:shd w:val="clear" w:color="auto" w:fill="auto"/>
        </w:rPr>
        <w:t xml:space="preserve"> Aalen 1979;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Und Muhammad ist scin Prophet. Die Verehrung des Propheten in der islamischen Frommigkeii,</w:t>
      </w:r>
      <w:r>
        <w:rPr>
          <w:color w:val="000000"/>
          <w:spacing w:val="0"/>
          <w:w w:val="100"/>
          <w:position w:val="0"/>
          <w:shd w:val="clear" w:color="auto" w:fill="auto"/>
        </w:rPr>
        <w:t xml:space="preserve"> Diisseldorf 1981; H. Stieglecker, </w:t>
      </w:r>
      <w:r>
        <w:rPr>
          <w:i/>
          <w:iCs/>
          <w:color w:val="000000"/>
          <w:spacing w:val="0"/>
          <w:w w:val="100"/>
          <w:position w:val="0"/>
          <w:shd w:val="clear" w:color="auto" w:fill="auto"/>
        </w:rPr>
        <w:t>Die Glaubenslehren des Islam,</w:t>
      </w:r>
      <w:r>
        <w:rPr>
          <w:color w:val="000000"/>
          <w:spacing w:val="0"/>
          <w:w w:val="100"/>
          <w:position w:val="0"/>
          <w:shd w:val="clear" w:color="auto" w:fill="auto"/>
        </w:rPr>
        <w:t xml:space="preserve"> Paderborn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1983; U. Tworuschka, </w:t>
      </w:r>
      <w:r>
        <w:rPr>
          <w:i/>
          <w:iCs/>
          <w:color w:val="000000"/>
          <w:spacing w:val="0"/>
          <w:w w:val="100"/>
          <w:position w:val="0"/>
          <w:shd w:val="clear" w:color="auto" w:fill="auto"/>
        </w:rPr>
        <w:t>Religionen heute. Themen und Texte fiir Unterricht und Studium,</w:t>
      </w:r>
      <w:r>
        <w:rPr>
          <w:color w:val="000000"/>
          <w:spacing w:val="0"/>
          <w:w w:val="100"/>
          <w:position w:val="0"/>
          <w:shd w:val="clear" w:color="auto" w:fill="auto"/>
        </w:rPr>
        <w:t xml:space="preserve"> Frankfurt/M. 1977; W. M. Watt/A.T. Welch, </w:t>
      </w:r>
      <w:r>
        <w:rPr>
          <w:i/>
          <w:iCs/>
          <w:color w:val="000000"/>
          <w:spacing w:val="0"/>
          <w:w w:val="100"/>
          <w:position w:val="0"/>
          <w:shd w:val="clear" w:color="auto" w:fill="auto"/>
        </w:rPr>
        <w:t xml:space="preserve">Der </w:t>
      </w:r>
      <w:r>
        <w:rPr>
          <w:i/>
          <w:iCs/>
          <w:color w:val="000000"/>
          <w:spacing w:val="0"/>
          <w:w w:val="100"/>
          <w:position w:val="0"/>
          <w:shd w:val="clear" w:color="auto" w:fill="auto"/>
          <w:lang w:val="hr-HR" w:eastAsia="hr-HR" w:bidi="hr-HR"/>
        </w:rPr>
        <w:t xml:space="preserve">Islami </w:t>
      </w:r>
      <w:r>
        <w:rPr>
          <w:i/>
          <w:iCs/>
          <w:color w:val="000000"/>
          <w:spacing w:val="0"/>
          <w:w w:val="100"/>
          <w:position w:val="0"/>
          <w:shd w:val="clear" w:color="auto" w:fill="auto"/>
        </w:rPr>
        <w:t>(Die Religionen der Menschheil</w:t>
      </w:r>
      <w:r>
        <w:rPr>
          <w:color w:val="000000"/>
          <w:spacing w:val="0"/>
          <w:w w:val="100"/>
          <w:position w:val="0"/>
          <w:shd w:val="clear" w:color="auto" w:fill="auto"/>
        </w:rPr>
        <w:t xml:space="preserve"> 25,1), Stuttgart 1980; W. M. Watt/M. Marmura, </w:t>
      </w:r>
      <w:r>
        <w:rPr>
          <w:i/>
          <w:iCs/>
          <w:color w:val="000000"/>
          <w:spacing w:val="0"/>
          <w:w w:val="100"/>
          <w:position w:val="0"/>
          <w:shd w:val="clear" w:color="auto" w:fill="auto"/>
        </w:rPr>
        <w:t>Der Islam // (Die Religionen der Menschheil</w:t>
      </w:r>
      <w:r>
        <w:rPr>
          <w:color w:val="000000"/>
          <w:spacing w:val="0"/>
          <w:w w:val="100"/>
          <w:position w:val="0"/>
          <w:shd w:val="clear" w:color="auto" w:fill="auto"/>
        </w:rPr>
        <w:t xml:space="preserve"> 25,2), Stuttgart 1985.</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36" w:after="36" w:line="240" w:lineRule="exact"/>
        <w:rPr>
          <w:sz w:val="19"/>
          <w:szCs w:val="19"/>
        </w:rPr>
      </w:pPr>
    </w:p>
    <w:p>
      <w:pPr>
        <w:widowControl w:val="0"/>
        <w:spacing w:line="1" w:lineRule="exact"/>
        <w:sectPr>
          <w:headerReference w:type="default" r:id="rId89"/>
          <w:footerReference w:type="default" r:id="rId90"/>
          <w:headerReference w:type="even" r:id="rId91"/>
          <w:footerReference w:type="even" r:id="rId92"/>
          <w:footnotePr>
            <w:pos w:val="pageBottom"/>
            <w:numFmt w:val="decimal"/>
            <w:numStart w:val="5"/>
            <w:numRestart w:val="continuous"/>
            <w15:footnoteColumns w:val="1"/>
          </w:footnotePr>
          <w:pgSz w:w="6816" w:h="11006"/>
          <w:pgMar w:top="929" w:left="192" w:right="192" w:bottom="559" w:header="0" w:footer="3" w:gutter="0"/>
          <w:pgNumType w:start="41"/>
          <w:cols w:num="2" w:space="186"/>
          <w:noEndnote/>
          <w:rtlGutter w:val="0"/>
          <w:docGrid w:linePitch="360"/>
        </w:sectPr>
      </w:pP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ABRAHAM</w:t>
      </w:r>
    </w:p>
    <w:p>
      <w:pPr>
        <w:pStyle w:val="Style63"/>
        <w:keepNext/>
        <w:keepLines/>
        <w:widowControl w:val="0"/>
        <w:numPr>
          <w:ilvl w:val="0"/>
          <w:numId w:val="9"/>
        </w:numPr>
        <w:shd w:val="clear" w:color="auto" w:fill="auto"/>
        <w:tabs>
          <w:tab w:pos="246" w:val="left"/>
        </w:tabs>
        <w:bidi w:val="0"/>
        <w:spacing w:before="0" w:after="80" w:line="223" w:lineRule="auto"/>
        <w:ind w:left="0" w:right="0" w:firstLine="0"/>
        <w:jc w:val="both"/>
      </w:pPr>
      <w:bookmarkStart w:id="20" w:name="bookmark20"/>
      <w:r>
        <w:rPr>
          <w:rFonts w:ascii="Times New Roman" w:eastAsia="Times New Roman" w:hAnsi="Times New Roman" w:cs="Times New Roman"/>
          <w:color w:val="000000"/>
          <w:spacing w:val="0"/>
          <w:w w:val="100"/>
          <w:position w:val="0"/>
          <w:shd w:val="clear" w:color="auto" w:fill="auto"/>
          <w:lang w:val="hr-HR" w:eastAsia="hr-HR" w:bidi="hr-HR"/>
        </w:rPr>
        <w:t>židovski</w:t>
      </w:r>
      <w:bookmarkEnd w:id="2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Abraham sc </w:t>
      </w:r>
      <w:r>
        <w:rPr>
          <w:rFonts w:ascii="Times New Roman" w:eastAsia="Times New Roman" w:hAnsi="Times New Roman" w:cs="Times New Roman"/>
          <w:color w:val="000000"/>
          <w:spacing w:val="0"/>
          <w:w w:val="100"/>
          <w:position w:val="0"/>
          <w:shd w:val="clear" w:color="auto" w:fill="auto"/>
          <w:lang w:val="hr-HR" w:eastAsia="hr-HR" w:bidi="hr-HR"/>
        </w:rPr>
        <w:t>smatra rodozačetnikom i pra- ocem židovskoga naroda. Na Božju zapovijed odlazi iz svojega rodnog mjesta Ura u Kaldeji kako bi otišao u njemu nepoznatu zemlju koja če poslije postati domovinom židovskoga na</w:t>
        <w:softHyphen/>
        <w:t xml:space="preserve">roda (Post 12,1). Prema Talmudu i Midrašu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promatranjem uređenoga svijeta, dolazi do spoznaje o jednom Bogu (Berešit raba 39,1), razbija idole svojeg oca (Berešit raba 38,13), </w:t>
      </w:r>
      <w:r>
        <w:rPr>
          <w:rFonts w:ascii="Times New Roman" w:eastAsia="Times New Roman" w:hAnsi="Times New Roman" w:cs="Times New Roman"/>
          <w:color w:val="000000"/>
          <w:spacing w:val="0"/>
          <w:w w:val="100"/>
          <w:position w:val="0"/>
          <w:shd w:val="clear" w:color="auto" w:fill="auto"/>
          <w:lang w:val="en-US" w:eastAsia="en-US" w:bidi="en-US"/>
        </w:rPr>
        <w:t xml:space="preserve">Nimrod </w:t>
      </w:r>
      <w:r>
        <w:rPr>
          <w:rFonts w:ascii="Times New Roman" w:eastAsia="Times New Roman" w:hAnsi="Times New Roman" w:cs="Times New Roman"/>
          <w:color w:val="000000"/>
          <w:spacing w:val="0"/>
          <w:w w:val="100"/>
          <w:position w:val="0"/>
          <w:shd w:val="clear" w:color="auto" w:fill="auto"/>
          <w:lang w:val="hr-HR" w:eastAsia="hr-HR" w:bidi="hr-HR"/>
        </w:rPr>
        <w:t xml:space="preserve">ga baca u užarenu peć iz koje ga spašava Bog (b Pes 118a). Iz Post 15,8 rabini zaključuju da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prvi priznaje Boga za »gospodina« (b Bcr 7b); a iz Post 12,2 da Abrahamovim odlaskom iz njegova pogan</w:t>
        <w:softHyphen/>
        <w:t>skog okoliša počinje preokret u povijesti čo</w:t>
        <w:softHyphen/>
        <w:t>vječanstva (Tanh Lch L’ha 3). Bog s Abra- hamom sklapa Savez kojim stvara s njim pose</w:t>
        <w:softHyphen/>
        <w:t xml:space="preserve">ban odnos i obećava mu bogato potomstvo. Taj savez dobiva konkretan izraz obrczanjem (Post 17,1 i d.).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će istodobno biti »blagoslov za sve narode« (Post 12,2 i d.). Ta</w:t>
        <w:softHyphen/>
        <w:t>ko su rabini gledali u Abrahamu (otac mnogih naroda: Post 17,5) i prvoga misionara (Post 17,5: »čeljad koju su stekli u Haranu«; Berešit raba 39,14). Prozeliti se do danas u židovstvu smatraju Abrahamovim sinovima i kćerima. Abrahamovo nepokolebljivo povjerenje u Bo</w:t>
        <w:softHyphen/>
        <w:t>ga (Post 15,6) dokazuje se »vezanjem Izaka« (Post 22) na Moriji. Zatim je na Moriji sa</w:t>
        <w:softHyphen/>
        <w:t xml:space="preserve">građen jeruzalemski hram. Prema židovskoj tradiciji, nitko se, navodno, nije toliko bavio Božjim zapovijedima koliko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(b Ned 32a); on je već prije zakonodavstva na Sinaju poštovao svih 613 zapovijedi i propisa iz usme</w:t>
        <w:softHyphen/>
        <w:t>ne predaje (b Joma 28b). Pripisuje mu se i uvođenje jutarnje molitve (b Ber 26b prema Post 22,3: »On ujutro podrani«), resa na sku- tima (Br 15,38) i kutijica s molitvenim svitkom (Pnz 6.8; b Sota 17a). Abrahamovo gosto</w:t>
        <w:softHyphen/>
      </w:r>
      <w:r>
        <w:rPr>
          <w:rFonts w:ascii="Times New Roman" w:eastAsia="Times New Roman" w:hAnsi="Times New Roman" w:cs="Times New Roman"/>
          <w:color w:val="000000"/>
          <w:spacing w:val="0"/>
          <w:w w:val="100"/>
          <w:position w:val="0"/>
          <w:shd w:val="clear" w:color="auto" w:fill="auto"/>
          <w:lang w:val="hr-HR" w:eastAsia="hr-HR" w:bidi="hr-HR"/>
        </w:rPr>
        <w:t>primstvo i čovjekoljublje, koje se posebno vidi u njegovu zalaganju za Sodomu i Gomoru (Post 18), produbljuju njegovu osobnost (Post R 39,6; 49,9; 48,9; b B M 86b).</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Javljaju se i pojedinačne kritike Abrahanta. Tako je, kako se navodi, pozvao u rat učenja</w:t>
        <w:softHyphen/>
        <w:t>ke (prema Post 14,14), posumnjao u Božja obećanja i sprečavao obraćenje drugih (pre</w:t>
        <w:softHyphen/>
        <w:t>ma Post 14,21; usp. Ned 32a) itd. Ni Biblija ni rahinska egzegeza ne prešućuju ljudske sla</w:t>
        <w:softHyphen/>
        <w:t>bosti svojih junaka pa djeluju protiv kulta lič</w:t>
        <w:softHyphen/>
        <w:t>nosti i predaka.</w:t>
      </w:r>
    </w:p>
    <w:p>
      <w:pPr>
        <w:pStyle w:val="Style20"/>
        <w:keepNext w:val="0"/>
        <w:keepLines w:val="0"/>
        <w:widowControl w:val="0"/>
        <w:shd w:val="clear" w:color="auto" w:fill="auto"/>
        <w:bidi w:val="0"/>
        <w:spacing w:before="0" w:after="8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»Vezanje Izaka« smatralo se u srednjem vije</w:t>
        <w:softHyphen/>
        <w:t xml:space="preserve">ku primjerom privrženosti vjeri otaca koji su radije prihvaćali smrt svoje djece negoli njihovo otpadništvo od židovstva. Nakon </w:t>
      </w:r>
      <w:r>
        <w:rPr>
          <w:rFonts w:ascii="Times New Roman" w:eastAsia="Times New Roman" w:hAnsi="Times New Roman" w:cs="Times New Roman"/>
          <w:color w:val="000000"/>
          <w:spacing w:val="0"/>
          <w:w w:val="100"/>
          <w:position w:val="0"/>
          <w:shd w:val="clear" w:color="auto" w:fill="auto"/>
          <w:lang w:val="en-US" w:eastAsia="en-US" w:bidi="en-US"/>
        </w:rPr>
        <w:t xml:space="preserve">Auschwitza </w:t>
      </w:r>
      <w:r>
        <w:rPr>
          <w:rFonts w:ascii="Times New Roman" w:eastAsia="Times New Roman" w:hAnsi="Times New Roman" w:cs="Times New Roman"/>
          <w:color w:val="000000"/>
          <w:spacing w:val="0"/>
          <w:w w:val="100"/>
          <w:position w:val="0"/>
          <w:shd w:val="clear" w:color="auto" w:fill="auto"/>
          <w:lang w:val="hr-HR" w:eastAsia="hr-HR" w:bidi="hr-HR"/>
        </w:rPr>
        <w:t>to je ponovno tema mnogih teoloških raspra</w:t>
        <w:softHyphen/>
        <w:t>va.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 E.-l..Fh:ik-a, </w:t>
      </w:r>
      <w:r>
        <w:rPr>
          <w:color w:val="000000"/>
          <w:spacing w:val="0"/>
          <w:w w:val="100"/>
          <w:position w:val="0"/>
          <w:shd w:val="clear" w:color="auto" w:fill="auto"/>
        </w:rPr>
        <w:t xml:space="preserve">Abraham </w:t>
      </w:r>
      <w:r>
        <w:rPr>
          <w:color w:val="000000"/>
          <w:spacing w:val="0"/>
          <w:w w:val="100"/>
          <w:position w:val="0"/>
          <w:shd w:val="clear" w:color="auto" w:fill="auto"/>
          <w:lang w:val="hr-HR" w:eastAsia="hr-HR" w:bidi="hr-HR"/>
        </w:rPr>
        <w:t xml:space="preserve">rn der judischcn </w:t>
      </w:r>
      <w:r>
        <w:rPr>
          <w:color w:val="000000"/>
          <w:spacing w:val="0"/>
          <w:w w:val="100"/>
          <w:position w:val="0"/>
          <w:shd w:val="clear" w:color="auto" w:fill="auto"/>
        </w:rPr>
        <w:t xml:space="preserve">Tradition, </w:t>
      </w:r>
      <w:r>
        <w:rPr>
          <w:color w:val="000000"/>
          <w:spacing w:val="0"/>
          <w:w w:val="100"/>
          <w:position w:val="0"/>
          <w:shd w:val="clear" w:color="auto" w:fill="auto"/>
          <w:lang w:val="hr-HR" w:eastAsia="hr-HR" w:bidi="hr-HR"/>
        </w:rPr>
        <w:t xml:space="preserve">rr: </w:t>
      </w:r>
      <w:r>
        <w:rPr>
          <w:i/>
          <w:iCs/>
          <w:color w:val="000000"/>
          <w:spacing w:val="0"/>
          <w:w w:val="100"/>
          <w:position w:val="0"/>
          <w:shd w:val="clear" w:color="auto" w:fill="auto"/>
          <w:lang w:val="hr-HR" w:eastAsia="hr-HR" w:bidi="hr-HR"/>
        </w:rPr>
        <w:t xml:space="preserve">Litlera </w:t>
      </w:r>
      <w:r>
        <w:rPr>
          <w:i/>
          <w:iCs/>
          <w:color w:val="000000"/>
          <w:spacing w:val="0"/>
          <w:w w:val="100"/>
          <w:position w:val="0"/>
          <w:shd w:val="clear" w:color="auto" w:fill="auto"/>
        </w:rPr>
        <w:t>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ljankfutt, o. .1,; Micha Joscl </w:t>
      </w:r>
      <w:r>
        <w:rPr>
          <w:color w:val="000000"/>
          <w:spacing w:val="0"/>
          <w:w w:val="100"/>
          <w:position w:val="0"/>
          <w:shd w:val="clear" w:color="auto" w:fill="auto"/>
        </w:rPr>
        <w:t xml:space="preserve">Bin Gorton,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Sagen der Juder,,</w:t>
      </w:r>
      <w:r>
        <w:rPr>
          <w:color w:val="000000"/>
          <w:spacing w:val="0"/>
          <w:w w:val="100"/>
          <w:position w:val="0"/>
          <w:shd w:val="clear" w:color="auto" w:fill="auto"/>
          <w:lang w:val="hr-HR" w:eastAsia="hr-HR" w:bidi="hr-HR"/>
        </w:rPr>
        <w:t xml:space="preserve"> Berlin 1935; </w:t>
      </w:r>
      <w:r>
        <w:rPr>
          <w:color w:val="000000"/>
          <w:spacing w:val="0"/>
          <w:w w:val="100"/>
          <w:position w:val="0"/>
          <w:shd w:val="clear" w:color="auto" w:fill="auto"/>
        </w:rPr>
        <w:t xml:space="preserve">Louis Ginzburg, </w:t>
      </w:r>
      <w:r>
        <w:rPr>
          <w:i/>
          <w:iCs/>
          <w:color w:val="000000"/>
          <w:spacing w:val="0"/>
          <w:w w:val="100"/>
          <w:position w:val="0"/>
          <w:shd w:val="clear" w:color="auto" w:fill="auto"/>
        </w:rPr>
        <w:t xml:space="preserve">The Leg </w:t>
      </w:r>
      <w:r>
        <w:rPr>
          <w:i/>
          <w:iCs/>
          <w:color w:val="000000"/>
          <w:spacing w:val="0"/>
          <w:w w:val="100"/>
          <w:position w:val="0"/>
          <w:shd w:val="clear" w:color="auto" w:fill="auto"/>
          <w:lang w:val="hr-HR" w:eastAsia="hr-HR" w:bidi="hr-HR"/>
        </w:rPr>
        <w:t xml:space="preserve">ende </w:t>
      </w:r>
      <w:r>
        <w:rPr>
          <w:i/>
          <w:iCs/>
          <w:color w:val="000000"/>
          <w:spacing w:val="0"/>
          <w:w w:val="100"/>
          <w:position w:val="0"/>
          <w:shd w:val="clear" w:color="auto" w:fill="auto"/>
        </w:rPr>
        <w:t>of the Jews,</w:t>
      </w:r>
      <w:r>
        <w:rPr>
          <w:color w:val="000000"/>
          <w:spacing w:val="0"/>
          <w:w w:val="100"/>
          <w:position w:val="0"/>
          <w:shd w:val="clear" w:color="auto" w:fill="auto"/>
        </w:rPr>
        <w:t xml:space="preserve"> Philadelphia 1909-193S</w:t>
      </w:r>
    </w:p>
    <w:p>
      <w:pPr>
        <w:pStyle w:val="Style7"/>
        <w:keepNext w:val="0"/>
        <w:keepLines w:val="0"/>
        <w:widowControl w:val="0"/>
        <w:shd w:val="clear" w:color="auto" w:fill="auto"/>
        <w:bidi w:val="0"/>
        <w:spacing w:before="0" w:after="0" w:line="480" w:lineRule="auto"/>
        <w:ind w:left="0" w:right="0" w:firstLine="0"/>
        <w:jc w:val="righ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l&gt;. NAVE I.EVINSO.V</w:t>
      </w:r>
    </w:p>
    <w:p>
      <w:pPr>
        <w:pStyle w:val="Style63"/>
        <w:keepNext/>
        <w:keepLines/>
        <w:widowControl w:val="0"/>
        <w:numPr>
          <w:ilvl w:val="0"/>
          <w:numId w:val="9"/>
        </w:numPr>
        <w:shd w:val="clear" w:color="auto" w:fill="auto"/>
        <w:tabs>
          <w:tab w:pos="260" w:val="left"/>
        </w:tabs>
        <w:bidi w:val="0"/>
        <w:spacing w:before="0" w:after="0" w:line="480" w:lineRule="auto"/>
        <w:ind w:left="0" w:right="0" w:firstLine="0"/>
        <w:jc w:val="both"/>
      </w:pPr>
      <w:bookmarkStart w:id="21" w:name="bookmark2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1"/>
    </w:p>
    <w:p>
      <w:pPr>
        <w:pStyle w:val="Style20"/>
        <w:keepNext w:val="0"/>
        <w:keepLines w:val="0"/>
        <w:widowControl w:val="0"/>
        <w:shd w:val="clear" w:color="auto" w:fill="auto"/>
        <w:bidi w:val="0"/>
        <w:spacing w:before="0" w:after="0" w:line="259" w:lineRule="auto"/>
        <w:ind w:left="0" w:right="0" w:firstLine="0"/>
        <w:jc w:val="both"/>
        <w:sectPr>
          <w:footnotePr>
            <w:pos w:val="pageBottom"/>
            <w:numFmt w:val="decimal"/>
            <w:numStart w:val="5"/>
            <w:numRestart w:val="continuous"/>
            <w15:footnoteColumns w:val="1"/>
          </w:footnotePr>
          <w:type w:val="continuous"/>
          <w:pgSz w:w="6816" w:h="11006"/>
          <w:pgMar w:top="929" w:left="192" w:right="192" w:bottom="559" w:header="501" w:footer="3" w:gutter="0"/>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bibl</w:t>
      </w:r>
      <w:r>
        <w:rPr>
          <w:rFonts w:ascii="Times New Roman" w:eastAsia="Times New Roman" w:hAnsi="Times New Roman" w:cs="Times New Roman"/>
          <w:color w:val="000000"/>
          <w:spacing w:val="0"/>
          <w:w w:val="100"/>
          <w:position w:val="0"/>
          <w:shd w:val="clear" w:color="auto" w:fill="auto"/>
          <w:lang w:val="hr-HR" w:eastAsia="hr-HR" w:bidi="hr-HR"/>
        </w:rPr>
        <w:t>ijsko-kritičkoj znanosti na Abrahanta se gledalo samo kao na središnji lik jedne zbirke priča. Danas se na Abrahama usuglašeno gle</w:t>
        <w:softHyphen/>
        <w:t xml:space="preserve">da kao na povijesnu osobu koja je živjela oko 1800-1400 pr. Kr.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je praotac židov</w:t>
        <w:softHyphen/>
        <w:t>skoga naroda; u njemu su blagoslovljena sva plemena na zemlji (Post 12,3); on je otac svih vjernika (Post 15,5). Jer je vjerovao u Boga i slijedio njegovu riječ (Post 12,1; Post 22), Bog ga je izabrao i sklopio s njim poseban savez (Post 15,5). Biološko podrijetlo od Abra</w:t>
        <w:softHyphen/>
        <w:t xml:space="preserve">hama samo po sebi ne određuje pripadnost Božjem savezu. Sin sluškinje Hagare Jišntael otjeran je (Post 16), </w:t>
      </w:r>
      <w:r>
        <w:rPr>
          <w:rFonts w:ascii="Times New Roman" w:eastAsia="Times New Roman" w:hAnsi="Times New Roman" w:cs="Times New Roman"/>
          <w:color w:val="000000"/>
          <w:spacing w:val="0"/>
          <w:w w:val="100"/>
          <w:position w:val="0"/>
          <w:shd w:val="clear" w:color="auto" w:fill="auto"/>
          <w:lang w:val="en-US" w:eastAsia="en-US" w:bidi="en-US"/>
        </w:rPr>
        <w:t xml:space="preserve">a Sarin </w:t>
      </w:r>
      <w:r>
        <w:rPr>
          <w:rFonts w:ascii="Times New Roman" w:eastAsia="Times New Roman" w:hAnsi="Times New Roman" w:cs="Times New Roman"/>
          <w:color w:val="000000"/>
          <w:spacing w:val="0"/>
          <w:w w:val="100"/>
          <w:position w:val="0"/>
          <w:shd w:val="clear" w:color="auto" w:fill="auto"/>
          <w:lang w:val="hr-HR" w:eastAsia="hr-HR" w:bidi="hr-HR"/>
        </w:rPr>
        <w:t>sin Izak postaje nositelj obećanja. U kušnji Abrahantove vje</w:t>
        <w:softHyphen/>
        <w:t>re u Moriji (Post 22) to se obećanje iznova po</w:t>
        <w:softHyphen/>
        <w:t>tvrđuje.</w:t>
      </w:r>
    </w:p>
    <w:p>
      <w:pPr>
        <w:pStyle w:val="Style20"/>
        <w:keepNext w:val="0"/>
        <w:keepLines w:val="0"/>
        <w:widowControl w:val="0"/>
        <w:shd w:val="clear" w:color="auto" w:fill="auto"/>
        <w:tabs>
          <w:tab w:pos="2534" w:val="left"/>
        </w:tabs>
        <w:bidi w:val="0"/>
        <w:spacing w:before="0" w:after="12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Novom zavjetu Židovi se nazivaju Abraha- movim sinovima i kćerima (Mt 3,9; Lk 13,16); i Isus potječe od Abrahama (Mt 1,1). No važna je duhovna pripadnost Abrahamu jer »Bog može od ovih stijena podići Abrahamo- vu djecu« (Lk 3,8). Prava Abrahamova djeca postupat će prema njegovim djelima (Iv 8,39). Zbog Isusove izjave: »Prije nego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bio, ja jesam« (Iv 8,58), dolazi do raskida sa Židovima, l’avao produbljuje misao da je Abra- hamovo duhovno potomstvo odlučujuće (Rim 4,9 i d.). Oni koji vjeruju Abrahamova su djeca (Gal 3,7) i potječu od Sare, slobodne, koja je simbol novoga Saveza, dok Hagara za</w:t>
        <w:softHyphen/>
        <w:t>stupa robovanje zakonu u suprotnosti s vje</w:t>
        <w:softHyphen/>
        <w:t>rom (Gal 4,22-31). U novijim teološkim raz</w:t>
        <w:softHyphen/>
        <w:t>mišljanjima i u započetom dijalogu sa Zido</w:t>
        <w:softHyphen/>
        <w:t xml:space="preserve">vima i muslimanima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se iznova otkri</w:t>
        <w:softHyphen/>
        <w:t>va kao veza i spojnica triju »abrahamskih reli</w:t>
        <w:softHyphen/>
        <w:t>gija«. Svi su kršćani kao Abrahamova djeca po vjeri duhovno povezani sa Židovima (Drugi vatikanski koncil, NA 4). Isti je i odnos prema muslimanima koji su poput Abrahama pod</w:t>
        <w:softHyphen/>
        <w:t>ložni Božjoj volji i stoga okruženi Božjim mi</w:t>
        <w:softHyphen/>
        <w:t>losrdnim htijenjem da ih spasi (Drugi vatikan</w:t>
        <w:softHyphen/>
        <w:t>ski koncil, NA 3 i LG 16).</w:t>
        <w:tab/>
      </w:r>
      <w:r>
        <w:rPr>
          <w:rFonts w:ascii="Times New Roman" w:eastAsia="Times New Roman" w:hAnsi="Times New Roman" w:cs="Times New Roman"/>
          <w:smallCaps/>
          <w:color w:val="000000"/>
          <w:spacing w:val="0"/>
          <w:w w:val="100"/>
          <w:position w:val="0"/>
          <w:shd w:val="clear" w:color="auto" w:fill="auto"/>
          <w:lang w:val="hr-HR" w:eastAsia="hr-HR" w:bidi="hr-HR"/>
        </w:rPr>
        <w:t>g i vi-lks</w:t>
      </w:r>
    </w:p>
    <w:p>
      <w:pPr>
        <w:pStyle w:val="Style63"/>
        <w:keepNext/>
        <w:keepLines/>
        <w:widowControl w:val="0"/>
        <w:numPr>
          <w:ilvl w:val="0"/>
          <w:numId w:val="9"/>
        </w:numPr>
        <w:shd w:val="clear" w:color="auto" w:fill="auto"/>
        <w:tabs>
          <w:tab w:pos="260" w:val="left"/>
        </w:tabs>
        <w:bidi w:val="0"/>
        <w:spacing w:before="0" w:line="226" w:lineRule="auto"/>
        <w:ind w:left="0" w:right="0" w:firstLine="0"/>
        <w:jc w:val="both"/>
      </w:pPr>
      <w:bookmarkStart w:id="22" w:name="bookmark22"/>
      <w:r>
        <w:rPr>
          <w:rFonts w:ascii="Times New Roman" w:eastAsia="Times New Roman" w:hAnsi="Times New Roman" w:cs="Times New Roman"/>
          <w:color w:val="000000"/>
          <w:spacing w:val="0"/>
          <w:w w:val="100"/>
          <w:position w:val="0"/>
          <w:shd w:val="clear" w:color="auto" w:fill="auto"/>
          <w:lang w:val="hr-HR" w:eastAsia="hr-HR" w:bidi="hr-HR"/>
        </w:rPr>
        <w:t>islamski</w:t>
      </w:r>
      <w:bookmarkEnd w:id="22"/>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Kuran skicira o Abrahamu </w:t>
      </w:r>
      <w:r>
        <w:rPr>
          <w:rFonts w:ascii="Times New Roman" w:eastAsia="Times New Roman" w:hAnsi="Times New Roman" w:cs="Times New Roman"/>
          <w:color w:val="000000"/>
          <w:spacing w:val="0"/>
          <w:w w:val="100"/>
          <w:position w:val="0"/>
          <w:shd w:val="clear" w:color="auto" w:fill="auto"/>
          <w:lang w:val="en-US" w:eastAsia="en-US" w:bidi="en-US"/>
        </w:rPr>
        <w:t xml:space="preserve">(Ibrahim) </w:t>
      </w:r>
      <w:r>
        <w:rPr>
          <w:rFonts w:ascii="Times New Roman" w:eastAsia="Times New Roman" w:hAnsi="Times New Roman" w:cs="Times New Roman"/>
          <w:color w:val="000000"/>
          <w:spacing w:val="0"/>
          <w:w w:val="100"/>
          <w:position w:val="0"/>
          <w:shd w:val="clear" w:color="auto" w:fill="auto"/>
          <w:lang w:val="hr-HR" w:eastAsia="hr-HR" w:bidi="hr-HR"/>
        </w:rPr>
        <w:t>izvan</w:t>
        <w:softHyphen/>
        <w:t>redno simpatičnu sliku. On jc primjer bezgra</w:t>
        <w:softHyphen/>
        <w:t>nične predanosti Bogu, ali i Božji saveznik ko</w:t>
        <w:softHyphen/>
        <w:t>ji je ispunjen radošću djelovanja. Njegova jc vjera bila prototip islama, one, po musliman</w:t>
        <w:softHyphen/>
        <w:t>skom shvaćanju, jedinstvene religije koja je bila objavljena svim poslanicima i u kojoj se susreću judaizam, kršćanstvo i islam. »Islam</w:t>
        <w:softHyphen/>
        <w:t xml:space="preserve">ska« zajednica, koju je utemeljio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naziva se u Kuranu islamskom zajednicom; sam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prvi henif, tj. čisto monoteis</w:t>
        <w:softHyphen/>
        <w:t>tički vjernik.</w:t>
      </w:r>
    </w:p>
    <w:p>
      <w:pPr>
        <w:pStyle w:val="Style20"/>
        <w:keepNext w:val="0"/>
        <w:keepLines w:val="0"/>
        <w:widowControl w:val="0"/>
        <w:shd w:val="clear" w:color="auto" w:fill="auto"/>
        <w:bidi w:val="0"/>
        <w:spacing w:before="0" w:after="6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Biblijski prikaz povijesti njegova života proši</w:t>
        <w:softHyphen/>
        <w:t>ruje se u Kuranu izvanbiblijskim pojedinosti</w:t>
        <w:softHyphen/>
        <w:t xml:space="preserve">ma. Genealoški podaci, koje je u islamskoj teologiji iznio recimo al-'I'ha’alibT, slažu se s podacima iz Post 11,10—21 i 1 Ljet 1,17-27. Već u svojoj ranoj mladosti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je spo</w:t>
        <w:softHyphen/>
        <w:t>znao Boga. To se dogodilo kada je promatrao nebeska tijela i njihovu prolaznost. Tako jc došao do vjere u jednoga Boga (Kuran 6,75</w:t>
        <w:softHyphen/>
        <w:t xml:space="preserve">-79).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je nastupio i kao rušitelj slika: On je uništio kumire u hramu grada Ura.</w:t>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Kada jc kao osumnjičenik pozvan na odgovor</w:t>
        <w:softHyphen/>
        <w:t xml:space="preserve">nost, branio se: »Uradio je to najveći od njih, pa pitajte same porušene!« - »Već znaš da ovi ne govore«, uzvratili su mu sugrađani. - »Pa zar vi obožavate mimo Boga ono što vam ne može ništa </w:t>
      </w:r>
      <w:r>
        <w:rPr>
          <w:rFonts w:ascii="Times New Roman" w:eastAsia="Times New Roman" w:hAnsi="Times New Roman" w:cs="Times New Roman"/>
          <w:i/>
          <w:iCs/>
          <w:color w:val="000000"/>
          <w:spacing w:val="0"/>
          <w:w w:val="100"/>
          <w:position w:val="0"/>
          <w:shd w:val="clear" w:color="auto" w:fill="auto"/>
          <w:lang w:val="hr-HR" w:eastAsia="hr-HR" w:bidi="hr-HR"/>
        </w:rPr>
        <w:t>(ni)</w:t>
      </w:r>
      <w:r>
        <w:rPr>
          <w:rFonts w:ascii="Times New Roman" w:eastAsia="Times New Roman" w:hAnsi="Times New Roman" w:cs="Times New Roman"/>
          <w:color w:val="000000"/>
          <w:spacing w:val="0"/>
          <w:w w:val="100"/>
          <w:position w:val="0"/>
          <w:shd w:val="clear" w:color="auto" w:fill="auto"/>
          <w:lang w:val="hr-HR" w:eastAsia="hr-HR" w:bidi="hr-HR"/>
        </w:rPr>
        <w:t xml:space="preserve"> koristiti ni štetiti? Jao vama i onome što obožavate mimo Boga!« (21,59— -67).</w:t>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Mezopotamije, gdje je sretno izbjegao za</w:t>
        <w:softHyphen/>
        <w:t xml:space="preserve">sjede kralja </w:t>
      </w:r>
      <w:r>
        <w:rPr>
          <w:rFonts w:ascii="Times New Roman" w:eastAsia="Times New Roman" w:hAnsi="Times New Roman" w:cs="Times New Roman"/>
          <w:color w:val="000000"/>
          <w:spacing w:val="0"/>
          <w:w w:val="100"/>
          <w:position w:val="0"/>
          <w:shd w:val="clear" w:color="auto" w:fill="auto"/>
          <w:lang w:val="en-US" w:eastAsia="en-US" w:bidi="en-US"/>
        </w:rPr>
        <w:t xml:space="preserve">Nimroda, Abraham </w:t>
      </w:r>
      <w:r>
        <w:rPr>
          <w:rFonts w:ascii="Times New Roman" w:eastAsia="Times New Roman" w:hAnsi="Times New Roman" w:cs="Times New Roman"/>
          <w:color w:val="000000"/>
          <w:spacing w:val="0"/>
          <w:w w:val="100"/>
          <w:position w:val="0"/>
          <w:shd w:val="clear" w:color="auto" w:fill="auto"/>
          <w:lang w:val="hr-HR" w:eastAsia="hr-HR" w:bidi="hr-HR"/>
        </w:rPr>
        <w:t>se povukao u Kanaan a potom u Egipat. U tom izlasku iz poganskog okruženja muslimani su vidjeli pra- sliku -» hidžre, vidjeli su Muhamedovo iselje</w:t>
        <w:softHyphen/>
        <w:t>nje iz Meke u Jesrib. U obajc slučaja nastupio religijsko-povijesno značajan preokret. Zbog Sare, Abrahamove žene, u Egiptu jc došlo go</w:t>
        <w:softHyphen/>
        <w:t>tovo do sukoba s tadašnjim faraonom.</w:t>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Sara je bila bez djece i stoga je svojemu su</w:t>
        <w:softHyphen/>
        <w:t xml:space="preserve">prugu poklonila djevičanstvo, hadžar. Rodila mu jc kasnije dječaka, Ismaila (-» Jišmael). S tim je sinom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osnovao staro doba Kabu u Meki. Kuran izvješćuje i o rođenju drugoga sina, lshaka (Izaka), koji je bio poko</w:t>
        <w:softHyphen/>
        <w:t xml:space="preserve">ran ostarjeloj Sari. Abrahamova povezanost s Bogom, koja mu je donijela počasno ime »Božji prijatelj« </w:t>
      </w:r>
      <w:r>
        <w:rPr>
          <w:rFonts w:ascii="Times New Roman" w:eastAsia="Times New Roman" w:hAnsi="Times New Roman" w:cs="Times New Roman"/>
          <w:color w:val="000000"/>
          <w:spacing w:val="0"/>
          <w:w w:val="100"/>
          <w:position w:val="0"/>
          <w:shd w:val="clear" w:color="auto" w:fill="auto"/>
          <w:lang w:val="en-US" w:eastAsia="en-US" w:bidi="en-US"/>
        </w:rPr>
        <w:t xml:space="preserve">(Khalil Allah), </w:t>
      </w:r>
      <w:r>
        <w:rPr>
          <w:rFonts w:ascii="Times New Roman" w:eastAsia="Times New Roman" w:hAnsi="Times New Roman" w:cs="Times New Roman"/>
          <w:color w:val="000000"/>
          <w:spacing w:val="0"/>
          <w:w w:val="100"/>
          <w:position w:val="0"/>
          <w:shd w:val="clear" w:color="auto" w:fill="auto"/>
          <w:lang w:val="hr-HR" w:eastAsia="hr-HR" w:bidi="hr-HR"/>
        </w:rPr>
        <w:t>okrunjena je njegovom spremnošću da dugo željenoga sina s prvom ženom žrtvuje Bogu (kasnija tradicija je nastojala pokazati da je taj sin bio Jišmael). Ta spremnost na žrtvu snažno utječe na islam</w:t>
        <w:softHyphen/>
        <w:t xml:space="preserve">sku pobožnost. Žrtvovanje životinja, koje se prigodom hodočašća u Meku prinosi svugdje u islamskom svijetu, nadovezuje se na Abra- hamovu žrtvu. Kao što jc poznato, u to se vrijeme slavilo najveće godišnje slavlje, slavlje prinošenja žrtve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al-adha) ili Kurban-baj- ram.</w:t>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teološkim djelima susreću se mnoge pojedi</w:t>
        <w:softHyphen/>
        <w:t xml:space="preserve">nosti o Abrahamovu životu i djelu koje se ne oslanjaju na Kuran, nego su uzete iz židovskih izvora. One spadaju u ono područje islamske tradicije koja se poznaje pod imenom </w:t>
      </w:r>
      <w:r>
        <w:rPr>
          <w:rFonts w:ascii="Times New Roman" w:eastAsia="Times New Roman" w:hAnsi="Times New Roman" w:cs="Times New Roman"/>
          <w:color w:val="000000"/>
          <w:spacing w:val="0"/>
          <w:w w:val="100"/>
          <w:position w:val="0"/>
          <w:shd w:val="clear" w:color="auto" w:fill="auto"/>
          <w:lang w:val="en-US" w:eastAsia="en-US" w:bidi="en-US"/>
        </w:rPr>
        <w:t>isralliy</w:t>
      </w:r>
      <w:r>
        <w:rPr>
          <w:rFonts w:ascii="Times New Roman" w:eastAsia="Times New Roman" w:hAnsi="Times New Roman" w:cs="Times New Roman"/>
          <w:color w:val="000000"/>
          <w:spacing w:val="0"/>
          <w:w w:val="100"/>
          <w:position w:val="0"/>
          <w:shd w:val="clear" w:color="auto" w:fill="auto"/>
          <w:lang w:val="hr-HR" w:eastAsia="hr-HR" w:bidi="hr-HR"/>
        </w:rPr>
        <w:t>- yat (izraelizmi).</w:t>
      </w:r>
    </w:p>
    <w:p>
      <w:pPr>
        <w:pStyle w:val="Style20"/>
        <w:keepNext w:val="0"/>
        <w:keepLines w:val="0"/>
        <w:widowControl w:val="0"/>
        <w:shd w:val="clear" w:color="auto" w:fill="auto"/>
        <w:bidi w:val="0"/>
        <w:spacing w:before="0" w:after="6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je umro u dubokoj starosti i poko</w:t>
        <w:softHyphen/>
        <w:t xml:space="preserve">pan je u Ilebronu, te se stoga taj grad arapski naziva »Al-Khalil«. Nakon strašnoga suda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w:t>
      </w:r>
      <w:r>
        <w:rPr>
          <w:rFonts w:ascii="Times New Roman" w:eastAsia="Times New Roman" w:hAnsi="Times New Roman" w:cs="Times New Roman"/>
          <w:color w:val="000000"/>
          <w:spacing w:val="0"/>
          <w:w w:val="100"/>
          <w:position w:val="0"/>
          <w:shd w:val="clear" w:color="auto" w:fill="auto"/>
          <w:lang w:val="hr-HR" w:eastAsia="hr-HR" w:bidi="hr-HR"/>
        </w:rPr>
        <w:t>će pratiti vjernike u raj.</w:t>
      </w:r>
    </w:p>
    <w:p>
      <w:pPr>
        <w:pStyle w:val="Style56"/>
        <w:keepNext w:val="0"/>
        <w:keepLines w:val="0"/>
        <w:widowControl w:val="0"/>
        <w:shd w:val="clear" w:color="auto" w:fill="auto"/>
        <w:tabs>
          <w:tab w:pos="2558"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EP, </w:t>
      </w:r>
      <w:r>
        <w:rPr>
          <w:color w:val="000000"/>
          <w:spacing w:val="0"/>
          <w:w w:val="100"/>
          <w:position w:val="0"/>
          <w:shd w:val="clear" w:color="auto" w:fill="auto"/>
        </w:rPr>
        <w:t xml:space="preserve">Ibrahim; Y. Mouharac, </w:t>
      </w:r>
      <w:r>
        <w:rPr>
          <w:i/>
          <w:iCs/>
          <w:color w:val="000000"/>
          <w:spacing w:val="0"/>
          <w:w w:val="100"/>
          <w:position w:val="0"/>
          <w:shd w:val="clear" w:color="auto" w:fill="auto"/>
        </w:rPr>
        <w:t xml:space="preserve">Abraham </w:t>
      </w:r>
      <w:r>
        <w:rPr>
          <w:i/>
          <w:iCs/>
          <w:color w:val="000000"/>
          <w:spacing w:val="0"/>
          <w:w w:val="100"/>
          <w:position w:val="0"/>
          <w:shd w:val="clear" w:color="auto" w:fill="auto"/>
          <w:lang w:val="hr-HR" w:eastAsia="hr-HR" w:bidi="hr-HR"/>
        </w:rPr>
        <w:t xml:space="preserve">dani le Coran, </w:t>
      </w:r>
      <w:r>
        <w:rPr>
          <w:color w:val="000000"/>
          <w:spacing w:val="0"/>
          <w:w w:val="100"/>
          <w:position w:val="0"/>
          <w:shd w:val="clear" w:color="auto" w:fill="auto"/>
        </w:rPr>
        <w:t xml:space="preserve">Paris </w:t>
      </w:r>
      <w:r>
        <w:rPr>
          <w:color w:val="000000"/>
          <w:spacing w:val="0"/>
          <w:w w:val="100"/>
          <w:position w:val="0"/>
          <w:shd w:val="clear" w:color="auto" w:fill="auto"/>
          <w:lang w:val="hr-HR" w:eastAsia="hr-HR" w:bidi="hr-HR"/>
        </w:rPr>
        <w:t>1958.</w:t>
        <w:tab/>
        <w:t>S.HAL1Ć</w:t>
      </w: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ALAH -&gt; BOG</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ALUA (*ALi)</w:t>
      </w:r>
    </w:p>
    <w:p>
      <w:pPr>
        <w:pStyle w:val="Style63"/>
        <w:keepNext/>
        <w:keepLines/>
        <w:widowControl w:val="0"/>
        <w:shd w:val="clear" w:color="auto" w:fill="auto"/>
        <w:bidi w:val="0"/>
        <w:spacing w:before="0"/>
        <w:ind w:left="0" w:right="0" w:firstLine="0"/>
        <w:jc w:val="both"/>
      </w:pPr>
      <w:bookmarkStart w:id="23" w:name="bookmark23"/>
      <w:r>
        <w:rPr>
          <w:rFonts w:ascii="Times New Roman" w:eastAsia="Times New Roman" w:hAnsi="Times New Roman" w:cs="Times New Roman"/>
          <w:color w:val="000000"/>
          <w:spacing w:val="0"/>
          <w:w w:val="100"/>
          <w:position w:val="0"/>
          <w:shd w:val="clear" w:color="auto" w:fill="auto"/>
          <w:lang w:val="hr-HR" w:eastAsia="hr-HR" w:bidi="hr-HR"/>
        </w:rPr>
        <w:t>islamski</w:t>
      </w:r>
      <w:bookmarkEnd w:id="23"/>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Muhamedov rođak i zet, rođen oko 600. u Meki, poginuo oko 661. u Kufi, bio je prvi ili drugi član prve zajednice. Kao takav i kao je</w:t>
        <w:softHyphen/>
        <w:t>dan od četiri »pravovjerne kalife« on zauzima važno mjesto u religioznoj svijesti muslimana. Za šijite je on prvi u nizu imama koji se sma</w:t>
        <w:softHyphen/>
        <w:t>tra jedinim zakonitim Muhamcdovim nasljed</w:t>
        <w:softHyphen/>
        <w:t>nikom. Prvobitno samo politički, a potom i re</w:t>
        <w:softHyphen/>
        <w:t xml:space="preserve">ligiozno motivirano opredjeljivanje za Aliju bilo je bitno obilježje koje šijite razdvaja od sunita. A. je u očima šijiLa imam i veli </w:t>
      </w:r>
      <w:r>
        <w:rPr>
          <w:rFonts w:ascii="Times New Roman" w:eastAsia="Times New Roman" w:hAnsi="Times New Roman" w:cs="Times New Roman"/>
          <w:color w:val="000000"/>
          <w:spacing w:val="0"/>
          <w:w w:val="100"/>
          <w:position w:val="0"/>
          <w:shd w:val="clear" w:color="auto" w:fill="auto"/>
          <w:lang w:val="en-US" w:eastAsia="en-US" w:bidi="en-US"/>
        </w:rPr>
        <w:t xml:space="preserve">(wall: </w:t>
      </w:r>
      <w:r>
        <w:rPr>
          <w:rFonts w:ascii="Times New Roman" w:eastAsia="Times New Roman" w:hAnsi="Times New Roman" w:cs="Times New Roman"/>
          <w:color w:val="000000"/>
          <w:spacing w:val="0"/>
          <w:w w:val="100"/>
          <w:position w:val="0"/>
          <w:shd w:val="clear" w:color="auto" w:fill="auto"/>
          <w:lang w:val="hr-HR" w:eastAsia="hr-HR" w:bidi="hr-HR"/>
        </w:rPr>
        <w:t>»prijatelj i poznavatelj Boga«), Zadnje spo</w:t>
        <w:softHyphen/>
        <w:t>menuto svojstvo čini ga osobom bliskom Bogu koja je zahvaljujući toj prednosti u stanju upravljati prirodom.</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njegova supruga -&gt; </w:t>
      </w:r>
      <w:r>
        <w:rPr>
          <w:rFonts w:ascii="Times New Roman" w:eastAsia="Times New Roman" w:hAnsi="Times New Roman" w:cs="Times New Roman"/>
          <w:color w:val="000000"/>
          <w:spacing w:val="0"/>
          <w:w w:val="100"/>
          <w:position w:val="0"/>
          <w:shd w:val="clear" w:color="auto" w:fill="auto"/>
          <w:lang w:val="en-US" w:eastAsia="en-US" w:bidi="en-US"/>
        </w:rPr>
        <w:t xml:space="preserve">Fatima </w:t>
      </w:r>
      <w:r>
        <w:rPr>
          <w:rFonts w:ascii="Times New Roman" w:eastAsia="Times New Roman" w:hAnsi="Times New Roman" w:cs="Times New Roman"/>
          <w:color w:val="000000"/>
          <w:spacing w:val="0"/>
          <w:w w:val="100"/>
          <w:position w:val="0"/>
          <w:shd w:val="clear" w:color="auto" w:fill="auto"/>
          <w:lang w:val="hr-HR" w:eastAsia="hr-HR" w:bidi="hr-HR"/>
        </w:rPr>
        <w:t xml:space="preserve">i oba njihova sina, </w:t>
      </w:r>
      <w:r>
        <w:rPr>
          <w:rFonts w:ascii="Times New Roman" w:eastAsia="Times New Roman" w:hAnsi="Times New Roman" w:cs="Times New Roman"/>
          <w:color w:val="000000"/>
          <w:spacing w:val="0"/>
          <w:w w:val="100"/>
          <w:position w:val="0"/>
          <w:shd w:val="clear" w:color="auto" w:fill="auto"/>
          <w:lang w:val="en-US" w:eastAsia="en-US" w:bidi="en-US"/>
        </w:rPr>
        <w:t xml:space="preserve">Hasan </w:t>
      </w:r>
      <w:r>
        <w:rPr>
          <w:rFonts w:ascii="Times New Roman" w:eastAsia="Times New Roman" w:hAnsi="Times New Roman" w:cs="Times New Roman"/>
          <w:color w:val="000000"/>
          <w:spacing w:val="0"/>
          <w:w w:val="100"/>
          <w:position w:val="0"/>
          <w:shd w:val="clear" w:color="auto" w:fill="auto"/>
          <w:lang w:val="hr-HR" w:eastAsia="hr-HR" w:bidi="hr-HR"/>
        </w:rPr>
        <w:t xml:space="preserve">i Huscin, očekivali su posebno poštovanje kod vjernika. Oni su u njihovim </w:t>
      </w:r>
      <w:r>
        <w:rPr>
          <w:rFonts w:ascii="Times New Roman" w:eastAsia="Times New Roman" w:hAnsi="Times New Roman" w:cs="Times New Roman"/>
          <w:i/>
          <w:iCs/>
          <w:color w:val="000000"/>
          <w:spacing w:val="0"/>
          <w:w w:val="100"/>
          <w:position w:val="0"/>
          <w:shd w:val="clear" w:color="auto" w:fill="auto"/>
          <w:lang w:val="hr-HR" w:eastAsia="hr-HR" w:bidi="hr-HR"/>
        </w:rPr>
        <w:t>sijerima</w:t>
      </w:r>
      <w:r>
        <w:rPr>
          <w:rFonts w:ascii="Times New Roman" w:eastAsia="Times New Roman" w:hAnsi="Times New Roman" w:cs="Times New Roman"/>
          <w:color w:val="000000"/>
          <w:spacing w:val="0"/>
          <w:w w:val="100"/>
          <w:position w:val="0"/>
          <w:shd w:val="clear" w:color="auto" w:fill="auto"/>
          <w:lang w:val="hr-HR" w:eastAsia="hr-HR" w:bidi="hr-HR"/>
        </w:rPr>
        <w:t xml:space="preserve"> (biografijama) tražili poticaj i pravila za život i kult.</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Hrabri Muhamedov zet slovi kao najveći ju</w:t>
        <w:softHyphen/>
        <w:t>nak u islamskoj povijesti. On je sudjelovao u svim ratnim sukobima prve zajednice. Jedino je zbog preuzimanja zapovjedništva Medinom bio spriječen sudjelovati u ratu za vrijeme po</w:t>
        <w:softHyphen/>
        <w:t>hoda na Tebuk. U Bitci kod Uhuda zadobio je 16 rana.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vrijeme hidžre, koju je on kasnije pred</w:t>
        <w:softHyphen/>
        <w:t>ložio kao početak islamskoga računanja vre</w:t>
        <w:softHyphen/>
        <w:t>mena, dobio je zadaću da ostane u Meki i da u kući vjerovjesnika zavarava neprijatelje. Ta</w:t>
        <w:softHyphen/>
        <w:t>kođer je preuzeo nalog da dobra koja su bila povjerena Muhamedu vrati njihovim vlasni</w:t>
        <w:softHyphen/>
        <w:t>cima.</w:t>
      </w:r>
    </w:p>
    <w:p>
      <w:pPr>
        <w:pStyle w:val="Style20"/>
        <w:keepNext w:val="0"/>
        <w:keepLines w:val="0"/>
        <w:widowControl w:val="0"/>
        <w:shd w:val="clear" w:color="auto" w:fill="auto"/>
        <w:bidi w:val="0"/>
        <w:spacing w:before="0" w:after="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Godine 657. bio je upleten u višemjesečnu bor</w:t>
        <w:softHyphen/>
        <w:t xml:space="preserve">bu s pobunjenim upraviteljem Sirije,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Mu'awi- </w:t>
      </w:r>
      <w:r>
        <w:rPr>
          <w:rFonts w:ascii="Times New Roman" w:eastAsia="Times New Roman" w:hAnsi="Times New Roman" w:cs="Times New Roman"/>
          <w:i/>
          <w:iCs/>
          <w:color w:val="000000"/>
          <w:spacing w:val="0"/>
          <w:w w:val="100"/>
          <w:position w:val="0"/>
          <w:shd w:val="clear" w:color="auto" w:fill="auto"/>
          <w:lang w:val="hr-HR" w:eastAsia="hr-HR" w:bidi="hr-HR"/>
        </w:rPr>
        <w:t>yom.</w:t>
      </w:r>
      <w:r>
        <w:rPr>
          <w:rFonts w:ascii="Times New Roman" w:eastAsia="Times New Roman" w:hAnsi="Times New Roman" w:cs="Times New Roman"/>
          <w:color w:val="000000"/>
          <w:spacing w:val="0"/>
          <w:w w:val="100"/>
          <w:position w:val="0"/>
          <w:shd w:val="clear" w:color="auto" w:fill="auto"/>
          <w:lang w:val="hr-HR" w:eastAsia="hr-HR" w:bidi="hr-HR"/>
        </w:rPr>
        <w:t xml:space="preserve"> Pokušaj da se građanski rat okonča pre</w:t>
        <w:softHyphen/>
        <w:t xml:space="preserve">govorima za zelenim stolom imao je za njega nepovoljan ishod: zbog lukavstva protivničke strane na arbitražnom sudu oduzeta mu je ka- lifska čast. To je dovelo do otpadništva </w:t>
      </w:r>
      <w:r>
        <w:rPr>
          <w:rFonts w:ascii="Times New Roman" w:eastAsia="Times New Roman" w:hAnsi="Times New Roman" w:cs="Times New Roman"/>
          <w:i/>
          <w:iCs/>
          <w:color w:val="000000"/>
          <w:spacing w:val="0"/>
          <w:w w:val="100"/>
          <w:position w:val="0"/>
          <w:shd w:val="clear" w:color="auto" w:fill="auto"/>
          <w:lang w:val="hr-HR" w:eastAsia="hr-HR" w:bidi="hr-HR"/>
        </w:rPr>
        <w:t>ku- rejšita</w:t>
      </w:r>
      <w:r>
        <w:rPr>
          <w:rFonts w:ascii="Times New Roman" w:eastAsia="Times New Roman" w:hAnsi="Times New Roman" w:cs="Times New Roman"/>
          <w:color w:val="000000"/>
          <w:spacing w:val="0"/>
          <w:w w:val="100"/>
          <w:position w:val="0"/>
          <w:shd w:val="clear" w:color="auto" w:fill="auto"/>
          <w:lang w:val="hr-HR" w:eastAsia="hr-HR" w:bidi="hr-HR"/>
        </w:rPr>
        <w:t xml:space="preserve"> koji su se smatrali obvezanim na uklan</w:t>
        <w:softHyphen/>
        <w:t>janje kalifatskog establišmenta i da predava</w:t>
        <w:softHyphen/>
        <w:t>nje vodstva zajednice u ruke najčasnijega, bio on potomak plemićkoga plemena Kurejša ili rob. Godine 661. A. je pao kao žrtva napada jednoga kurejšite.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i oba njegova sina iz braka s Muhamedo- vom kćerkom Fatimom, </w:t>
      </w:r>
      <w:r>
        <w:rPr>
          <w:rFonts w:ascii="Times New Roman" w:eastAsia="Times New Roman" w:hAnsi="Times New Roman" w:cs="Times New Roman"/>
          <w:color w:val="000000"/>
          <w:spacing w:val="0"/>
          <w:w w:val="100"/>
          <w:position w:val="0"/>
          <w:shd w:val="clear" w:color="auto" w:fill="auto"/>
          <w:lang w:val="en-US" w:eastAsia="en-US" w:bidi="en-US"/>
        </w:rPr>
        <w:t xml:space="preserve">Hasan </w:t>
      </w:r>
      <w:r>
        <w:rPr>
          <w:rFonts w:ascii="Times New Roman" w:eastAsia="Times New Roman" w:hAnsi="Times New Roman" w:cs="Times New Roman"/>
          <w:color w:val="000000"/>
          <w:spacing w:val="0"/>
          <w:w w:val="100"/>
          <w:position w:val="0"/>
          <w:shd w:val="clear" w:color="auto" w:fill="auto"/>
          <w:lang w:val="hr-HR" w:eastAsia="hr-HR" w:bidi="hr-HR"/>
        </w:rPr>
        <w:t>i Husein, po</w:t>
        <w:softHyphen/>
        <w:t xml:space="preserve">javljuju se i kao prenositelji tradicije. No ipak je u priznate zbirke hadisa pod naslovom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 </w:t>
      </w:r>
      <w:r>
        <w:rPr>
          <w:rFonts w:ascii="Times New Roman" w:eastAsia="Times New Roman" w:hAnsi="Times New Roman" w:cs="Times New Roman"/>
          <w:i/>
          <w:iCs/>
          <w:color w:val="000000"/>
          <w:spacing w:val="0"/>
          <w:w w:val="100"/>
          <w:position w:val="0"/>
          <w:shd w:val="clear" w:color="auto" w:fill="auto"/>
          <w:lang w:val="en-US" w:eastAsia="en-US" w:bidi="en-US"/>
        </w:rPr>
        <w:t>Bukhari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en-US" w:eastAsia="en-US" w:bidi="en-US"/>
        </w:rPr>
        <w:t>Muslim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ušao samo manji broj -&gt; hadisa. Zato postoji niz Alijinih mudrih izre</w:t>
        <w:softHyphen/>
        <w:t>ka, propovijedi i pisama koja kao njegova opo</w:t>
        <w:softHyphen/>
        <w:t>ruka obogaćuju izvornu literarnu gradu. Nje</w:t>
        <w:softHyphen/>
        <w:t>mu se, dakako ne s pravom, pripisuju i iz</w:t>
        <w:softHyphen/>
        <w:t>vjesne pjesme. Neke manje šijitske skupine pripisuju Aliji božanska svojstva. One se time postavljaju iznad pravovjernog razumijevanja Alije i stoga se smatraju hereticima. Kult Alije živi u pozadini.</w:t>
      </w:r>
    </w:p>
    <w:p>
      <w:pPr>
        <w:pStyle w:val="Style56"/>
        <w:keepNext w:val="0"/>
        <w:keepLines w:val="0"/>
        <w:widowControl w:val="0"/>
        <w:shd w:val="clear" w:color="auto" w:fill="auto"/>
        <w:tabs>
          <w:tab w:pos="2558" w:val="left"/>
        </w:tabs>
        <w:bidi w:val="0"/>
        <w:spacing w:before="0" w:after="360" w:line="240" w:lineRule="auto"/>
        <w:ind w:left="0" w:right="0" w:firstLine="0"/>
        <w:jc w:val="both"/>
      </w:pPr>
      <w:r>
        <w:rPr>
          <w:rFonts w:ascii="Times New Roman" w:eastAsia="Times New Roman" w:hAnsi="Times New Roman" w:cs="Times New Roman"/>
          <w:color w:val="000000"/>
          <w:spacing w:val="0"/>
          <w:w w:val="100"/>
          <w:position w:val="0"/>
          <w:sz w:val="15"/>
          <w:szCs w:val="15"/>
          <w:shd w:val="clear" w:color="auto" w:fill="auto"/>
          <w:lang w:val="hr-HR" w:eastAsia="hr-HR" w:bidi="hr-HR"/>
        </w:rPr>
        <w:t>U legendi A. nosi mnoge crte biblijskih ju</w:t>
        <w:softHyphen/>
        <w:t>naka. On se poimence često identificira s pro</w:t>
        <w:softHyphen/>
        <w:t>rokom Ilijom. Nacionalni junaci muslimanskih naroda rado se ukrašavaju Alijinim kreposti</w:t>
        <w:softHyphen/>
        <w:t>ma. Tako se čini da se npr. iza legendarnoga lika glavnih junaka narodnih pjesama bosan</w:t>
        <w:softHyphen/>
        <w:t xml:space="preserve">skih i albanskih muslimana Alije Đerzeleza, barem u izvjesnim crtama, krije Alijina osoba. </w:t>
      </w:r>
      <w:r>
        <w:rPr>
          <w:color w:val="000000"/>
          <w:spacing w:val="0"/>
          <w:w w:val="100"/>
          <w:position w:val="0"/>
          <w:shd w:val="clear" w:color="auto" w:fill="auto"/>
          <w:lang w:val="hr-HR" w:eastAsia="hr-HR" w:bidi="hr-HR"/>
        </w:rPr>
        <w:t xml:space="preserve">Lit: </w:t>
      </w:r>
      <w:r>
        <w:rPr>
          <w:color w:val="000000"/>
          <w:spacing w:val="0"/>
          <w:w w:val="100"/>
          <w:position w:val="0"/>
          <w:shd w:val="clear" w:color="auto" w:fill="auto"/>
        </w:rPr>
        <w:t xml:space="preserve">Ahmad </w:t>
      </w:r>
      <w:r>
        <w:rPr>
          <w:color w:val="000000"/>
          <w:spacing w:val="0"/>
          <w:w w:val="100"/>
          <w:position w:val="0"/>
          <w:shd w:val="clear" w:color="auto" w:fill="auto"/>
          <w:lang w:val="hr-HR" w:eastAsia="hr-HR" w:bidi="hr-HR"/>
        </w:rPr>
        <w:t xml:space="preserve">I-'adl, </w:t>
      </w:r>
      <w:r>
        <w:rPr>
          <w:i/>
          <w:iCs/>
          <w:color w:val="000000"/>
          <w:spacing w:val="0"/>
          <w:w w:val="100"/>
          <w:position w:val="0"/>
          <w:shd w:val="clear" w:color="auto" w:fill="auto"/>
          <w:lang w:val="hr-HR" w:eastAsia="hr-HR" w:bidi="hr-HR"/>
        </w:rPr>
        <w:t xml:space="preserve">Ali, </w:t>
      </w:r>
      <w:r>
        <w:rPr>
          <w:i/>
          <w:iCs/>
          <w:color w:val="000000"/>
          <w:spacing w:val="0"/>
          <w:w w:val="100"/>
          <w:position w:val="0"/>
          <w:shd w:val="clear" w:color="auto" w:fill="auto"/>
        </w:rPr>
        <w:t>the fourth Caliph of Islam,</w:t>
      </w:r>
      <w:r>
        <w:rPr>
          <w:color w:val="000000"/>
          <w:spacing w:val="0"/>
          <w:w w:val="100"/>
          <w:position w:val="0"/>
          <w:shd w:val="clear" w:color="auto" w:fill="auto"/>
        </w:rPr>
        <w:t xml:space="preserve"> Lahore 1958; Muhammad ibn al-Husayn al-Abrash, Tardjuma wa sharh. Nahdj al-balagha, Tahran 1365 H. (1946) </w:t>
      </w:r>
      <w:r>
        <w:rPr>
          <w:color w:val="000000"/>
          <w:spacing w:val="0"/>
          <w:w w:val="100"/>
          <w:position w:val="0"/>
          <w:shd w:val="clear" w:color="auto" w:fill="auto"/>
          <w:lang w:val="hr-HR" w:eastAsia="hr-HR" w:bidi="hr-HR"/>
        </w:rPr>
        <w:t>i dalje (sa</w:t>
        <w:softHyphen/>
        <w:t xml:space="preserve">drži </w:t>
      </w:r>
      <w:r>
        <w:rPr>
          <w:color w:val="000000"/>
          <w:spacing w:val="0"/>
          <w:w w:val="100"/>
          <w:position w:val="0"/>
          <w:shd w:val="clear" w:color="auto" w:fill="auto"/>
        </w:rPr>
        <w:t xml:space="preserve">'Alijinc </w:t>
      </w:r>
      <w:r>
        <w:rPr>
          <w:color w:val="000000"/>
          <w:spacing w:val="0"/>
          <w:w w:val="100"/>
          <w:position w:val="0"/>
          <w:shd w:val="clear" w:color="auto" w:fill="auto"/>
          <w:lang w:val="hr-HR" w:eastAsia="hr-HR" w:bidi="hr-HR"/>
        </w:rPr>
        <w:t xml:space="preserve">propovijedi, pisma i izreke); E. L. </w:t>
      </w:r>
      <w:r>
        <w:rPr>
          <w:color w:val="000000"/>
          <w:spacing w:val="0"/>
          <w:w w:val="100"/>
          <w:position w:val="0"/>
          <w:shd w:val="clear" w:color="auto" w:fill="auto"/>
        </w:rPr>
        <w:t xml:space="preserve">Petersen. </w:t>
      </w:r>
      <w:r>
        <w:rPr>
          <w:i/>
          <w:iCs/>
          <w:color w:val="000000"/>
          <w:spacing w:val="0"/>
          <w:w w:val="100"/>
          <w:position w:val="0"/>
          <w:shd w:val="clear" w:color="auto" w:fill="auto"/>
          <w:lang w:val="hr-HR" w:eastAsia="hr-HR" w:bidi="hr-HR"/>
        </w:rPr>
        <w:t xml:space="preserve">‘Ali </w:t>
      </w:r>
      <w:r>
        <w:rPr>
          <w:i/>
          <w:iCs/>
          <w:color w:val="000000"/>
          <w:spacing w:val="0"/>
          <w:w w:val="100"/>
          <w:position w:val="0"/>
          <w:shd w:val="clear" w:color="auto" w:fill="auto"/>
        </w:rPr>
        <w:t>and Mu'hsdya in early Arabic tradition,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Kopenhagen </w:t>
      </w:r>
      <w:r>
        <w:rPr>
          <w:color w:val="000000"/>
          <w:spacing w:val="0"/>
          <w:w w:val="100"/>
          <w:position w:val="0"/>
          <w:shd w:val="clear" w:color="auto" w:fill="auto"/>
        </w:rPr>
        <w:t xml:space="preserve">1964; W. Sarasin, </w:t>
      </w:r>
      <w:r>
        <w:rPr>
          <w:i/>
          <w:iCs/>
          <w:color w:val="000000"/>
          <w:spacing w:val="0"/>
          <w:w w:val="100"/>
          <w:position w:val="0"/>
          <w:shd w:val="clear" w:color="auto" w:fill="auto"/>
        </w:rPr>
        <w:t>Das Bild Alis bei den Historikem der Sunna,</w:t>
      </w:r>
      <w:r>
        <w:rPr>
          <w:color w:val="000000"/>
          <w:spacing w:val="0"/>
          <w:w w:val="100"/>
          <w:position w:val="0"/>
          <w:shd w:val="clear" w:color="auto" w:fill="auto"/>
        </w:rPr>
        <w:t xml:space="preserve"> Basel 1907; Henri I-aousl, Lc Role de ‘Ali dans la </w:t>
      </w:r>
      <w:r>
        <w:rPr>
          <w:color w:val="000000"/>
          <w:spacing w:val="0"/>
          <w:w w:val="100"/>
          <w:position w:val="0"/>
          <w:shd w:val="clear" w:color="auto" w:fill="auto"/>
          <w:lang w:val="hr-HR" w:eastAsia="hr-HR" w:bidi="hr-HR"/>
        </w:rPr>
        <w:t xml:space="preserve">»sira« </w:t>
      </w:r>
      <w:r>
        <w:rPr>
          <w:color w:val="000000"/>
          <w:spacing w:val="0"/>
          <w:w w:val="100"/>
          <w:position w:val="0"/>
          <w:shd w:val="clear" w:color="auto" w:fill="auto"/>
        </w:rPr>
        <w:t xml:space="preserve">chiilc. U: </w:t>
      </w:r>
      <w:r>
        <w:rPr>
          <w:i/>
          <w:iCs/>
          <w:color w:val="000000"/>
          <w:spacing w:val="0"/>
          <w:w w:val="100"/>
          <w:position w:val="0"/>
          <w:shd w:val="clear" w:color="auto" w:fill="auto"/>
        </w:rPr>
        <w:t>Revue des eludes islamiques,</w:t>
      </w:r>
      <w:r>
        <w:rPr>
          <w:color w:val="000000"/>
          <w:spacing w:val="0"/>
          <w:w w:val="100"/>
          <w:position w:val="0"/>
          <w:shd w:val="clear" w:color="auto" w:fill="auto"/>
        </w:rPr>
        <w:t xml:space="preserve"> Paris 1962. Abdurrahman Guzel, </w:t>
      </w:r>
      <w:r>
        <w:rPr>
          <w:i/>
          <w:iCs/>
          <w:color w:val="000000"/>
          <w:spacing w:val="0"/>
          <w:w w:val="100"/>
          <w:position w:val="0"/>
          <w:shd w:val="clear" w:color="auto" w:fill="auto"/>
        </w:rPr>
        <w:t>‘Ali in der Beklaschi-Dichlung, na- mentlich jener des 16. Jahrhundens,</w:t>
      </w:r>
      <w:r>
        <w:rPr>
          <w:color w:val="000000"/>
          <w:spacing w:val="0"/>
          <w:w w:val="100"/>
          <w:position w:val="0"/>
          <w:shd w:val="clear" w:color="auto" w:fill="auto"/>
        </w:rPr>
        <w:t xml:space="preserve"> Wien 1972 </w:t>
      </w:r>
      <w:r>
        <w:rPr>
          <w:color w:val="000000"/>
          <w:spacing w:val="0"/>
          <w:w w:val="100"/>
          <w:position w:val="0"/>
          <w:shd w:val="clear" w:color="auto" w:fill="auto"/>
          <w:lang w:val="hr-HR" w:eastAsia="hr-HR" w:bidi="hr-HR"/>
        </w:rPr>
        <w:t>(neobjav</w:t>
        <w:softHyphen/>
        <w:t>ljena inauguralna disertacija).</w:t>
        <w:tab/>
      </w:r>
      <w:r>
        <w:rPr>
          <w:color w:val="000000"/>
          <w:spacing w:val="0"/>
          <w:w w:val="100"/>
          <w:position w:val="0"/>
          <w:shd w:val="clear" w:color="auto" w:fill="auto"/>
        </w:rPr>
        <w:t xml:space="preserve">s. </w:t>
      </w:r>
      <w:r>
        <w:rPr>
          <w:color w:val="000000"/>
          <w:spacing w:val="0"/>
          <w:w w:val="100"/>
          <w:position w:val="0"/>
          <w:shd w:val="clear" w:color="auto" w:fill="auto"/>
          <w:lang w:val="hr-HR" w:eastAsia="hr-HR" w:bidi="hr-HR"/>
        </w:rPr>
        <w:t>»Al.lć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ANĐEO</w:t>
      </w:r>
    </w:p>
    <w:p>
      <w:pPr>
        <w:pStyle w:val="Style63"/>
        <w:keepNext/>
        <w:keepLines/>
        <w:widowControl w:val="0"/>
        <w:numPr>
          <w:ilvl w:val="0"/>
          <w:numId w:val="11"/>
        </w:numPr>
        <w:shd w:val="clear" w:color="auto" w:fill="auto"/>
        <w:tabs>
          <w:tab w:pos="246" w:val="left"/>
        </w:tabs>
        <w:bidi w:val="0"/>
        <w:spacing w:before="0" w:line="223" w:lineRule="auto"/>
        <w:ind w:left="0" w:right="0" w:firstLine="0"/>
        <w:jc w:val="both"/>
      </w:pPr>
      <w:bookmarkStart w:id="24" w:name="bookmark24"/>
      <w:r>
        <w:rPr>
          <w:rFonts w:ascii="Times New Roman" w:eastAsia="Times New Roman" w:hAnsi="Times New Roman" w:cs="Times New Roman"/>
          <w:color w:val="000000"/>
          <w:spacing w:val="0"/>
          <w:w w:val="100"/>
          <w:position w:val="0"/>
          <w:shd w:val="clear" w:color="auto" w:fill="auto"/>
          <w:lang w:val="hr-HR" w:eastAsia="hr-HR" w:bidi="hr-HR"/>
        </w:rPr>
        <w:t>židovski</w:t>
      </w:r>
      <w:bookmarkEnd w:id="24"/>
    </w:p>
    <w:p>
      <w:pPr>
        <w:pStyle w:val="Style20"/>
        <w:keepNext w:val="0"/>
        <w:keepLines w:val="0"/>
        <w:widowControl w:val="0"/>
        <w:shd w:val="clear" w:color="auto" w:fill="auto"/>
        <w:bidi w:val="0"/>
        <w:spacing w:before="0" w:after="0"/>
        <w:ind w:left="0" w:right="0" w:firstLine="0"/>
        <w:jc w:val="both"/>
        <w:sectPr>
          <w:headerReference w:type="default" r:id="rId93"/>
          <w:footerReference w:type="default" r:id="rId94"/>
          <w:headerReference w:type="even" r:id="rId95"/>
          <w:footerReference w:type="even" r:id="rId96"/>
          <w:headerReference w:type="first" r:id="rId97"/>
          <w:footerReference w:type="first" r:id="rId98"/>
          <w:footnotePr>
            <w:pos w:val="pageBottom"/>
            <w:numFmt w:val="decimal"/>
            <w:numStart w:val="5"/>
            <w:numRestart w:val="continuous"/>
            <w15:footnoteColumns w:val="1"/>
          </w:footnotePr>
          <w:pgSz w:w="6816" w:h="11006"/>
          <w:pgMar w:top="929" w:left="192" w:right="192" w:bottom="559" w:header="0" w:footer="3" w:gutter="0"/>
          <w:pgNumType w:start="38"/>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Pod anđelom (hebr, </w:t>
      </w:r>
      <w:r>
        <w:rPr>
          <w:rFonts w:ascii="Times New Roman" w:eastAsia="Times New Roman" w:hAnsi="Times New Roman" w:cs="Times New Roman"/>
          <w:i/>
          <w:iCs/>
          <w:color w:val="000000"/>
          <w:spacing w:val="0"/>
          <w:w w:val="100"/>
          <w:position w:val="0"/>
          <w:shd w:val="clear" w:color="auto" w:fill="auto"/>
          <w:lang w:val="hr-HR" w:eastAsia="hr-HR" w:bidi="hr-HR"/>
        </w:rPr>
        <w:t>mal’ak)</w:t>
      </w:r>
      <w:r>
        <w:rPr>
          <w:rFonts w:ascii="Times New Roman" w:eastAsia="Times New Roman" w:hAnsi="Times New Roman" w:cs="Times New Roman"/>
          <w:color w:val="000000"/>
          <w:spacing w:val="0"/>
          <w:w w:val="100"/>
          <w:position w:val="0"/>
          <w:shd w:val="clear" w:color="auto" w:fill="auto"/>
          <w:lang w:val="hr-HR" w:eastAsia="hr-HR" w:bidi="hr-HR"/>
        </w:rPr>
        <w:t xml:space="preserve"> SZ podrazumi</w:t>
        <w:softHyphen/>
        <w:t>jeva ponajprije čovječjega glasnika koji mora izvršiti određeni nalog i koji od svojeg nalogo</w:t>
        <w:softHyphen/>
        <w:t xml:space="preserve">davca ima odgovarajuću punomoć (Post 32,4; Br 20,14). A. (riječ je izvedenica od grč. </w:t>
      </w:r>
      <w:r>
        <w:rPr>
          <w:rFonts w:ascii="Times New Roman" w:eastAsia="Times New Roman" w:hAnsi="Times New Roman" w:cs="Times New Roman"/>
          <w:i/>
          <w:iCs/>
          <w:color w:val="000000"/>
          <w:spacing w:val="0"/>
          <w:w w:val="100"/>
          <w:position w:val="0"/>
          <w:shd w:val="clear" w:color="auto" w:fill="auto"/>
          <w:lang w:val="en-US" w:eastAsia="en-US" w:bidi="en-US"/>
        </w:rPr>
        <w:t>ange</w:t>
        <w:softHyphen/>
      </w:r>
      <w:r>
        <w:rPr>
          <w:rFonts w:ascii="Times New Roman" w:eastAsia="Times New Roman" w:hAnsi="Times New Roman" w:cs="Times New Roman"/>
          <w:i/>
          <w:iCs/>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los)</w:t>
      </w:r>
      <w:r>
        <w:rPr>
          <w:rFonts w:ascii="Times New Roman" w:eastAsia="Times New Roman" w:hAnsi="Times New Roman" w:cs="Times New Roman"/>
          <w:color w:val="000000"/>
          <w:spacing w:val="0"/>
          <w:w w:val="100"/>
          <w:position w:val="0"/>
          <w:shd w:val="clear" w:color="auto" w:fill="auto"/>
          <w:lang w:val="hr-HR" w:eastAsia="hr-HR" w:bidi="hr-HR"/>
        </w:rPr>
        <w:t xml:space="preserve"> mnogo češće nastupa kao Božji glasnik. Može se pojaviti u čovječjem liku i tada se u njemu ne može odmah prepoznati a. Božji (Post 18; 32,25 i d..; Jš 5,13 i d.; Suci 13). Po</w:t>
        <w:softHyphen/>
        <w:t>vremeno ima krila (Iz 6,2) koja mu olakšavaju izvršenje zadaće. Krila nisu nepoznata na sta</w:t>
        <w:softHyphen/>
        <w:t>rom Orijentu. U njih se ubrajaju i staroza</w:t>
        <w:softHyphen/>
        <w:t>vjetni kerubi koji čuvaju Kovčeg saveza s nje</w:t>
        <w:softHyphen/>
        <w:t xml:space="preserve">govim Zakonom (Izl 25,18) ili brane ulazak protjeranog Adama u edenski vrt (Post 3,24). Božji a. prenosi kao posrednik Božju objavu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koja sadrži opomenu, prijetnju kaznom, obećanje pomoći i dr. Mojsije je preko anđela Božjeg dobio nalog da Izraelce izvede iz Egipta (Izl 3,2). Osim anđela pojavljuje se, dakako, i sam Bog kao govornik (3,4). Kao posrednik a. Božji može proroku protumačiti Božju poruku (Zah 1,9). Cesto nedostaje veza s ljudima. Anđeli (scrafi, ofani, er’eli i »živi«) u skupinama okružuju »gospodara vojski« i pjevaju mu hvalospjev (Ps 103,20; 148,2). Iz</w:t>
        <w:softHyphen/>
        <w:t>gled tih skupina ne može se sa sigurnošću ra</w:t>
        <w:softHyphen/>
        <w:t xml:space="preserve">zabrati. Serafi imaju krila, ofani imaju oblik kotača (Božja prijestolna kola, Ez 1). Obojica arkanđela, imenovana u Knjizi o Danielu, Mi- hael i </w:t>
      </w: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 xml:space="preserve">(Dn 10,13; 8,16) pojavljuju se kao muškarci (10,21). Povrh toga, </w:t>
      </w: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»doletje u brzu letu«. Malo je vjerojatno da SZ poznaje zle, »pale« anđele. Neki egzegeti vide u »Božjim sinovima« (Post 6,4) pale an</w:t>
        <w:softHyphen/>
        <w:t xml:space="preserve">đele, ali sam tekst nema u sebi negativan sud o njima. Ni </w:t>
      </w:r>
      <w:r>
        <w:rPr>
          <w:rFonts w:ascii="Times New Roman" w:eastAsia="Times New Roman" w:hAnsi="Times New Roman" w:cs="Times New Roman"/>
          <w:color w:val="000000"/>
          <w:spacing w:val="0"/>
          <w:w w:val="100"/>
          <w:position w:val="0"/>
          <w:shd w:val="clear" w:color="auto" w:fill="auto"/>
          <w:lang w:val="en-US" w:eastAsia="en-US" w:bidi="en-US"/>
        </w:rPr>
        <w:t xml:space="preserve">Satan (Job </w:t>
      </w:r>
      <w:r>
        <w:rPr>
          <w:rFonts w:ascii="Times New Roman" w:eastAsia="Times New Roman" w:hAnsi="Times New Roman" w:cs="Times New Roman"/>
          <w:color w:val="000000"/>
          <w:spacing w:val="0"/>
          <w:w w:val="100"/>
          <w:position w:val="0"/>
          <w:shd w:val="clear" w:color="auto" w:fill="auto"/>
          <w:lang w:val="hr-HR" w:eastAsia="hr-HR" w:bidi="hr-HR"/>
        </w:rPr>
        <w:t>1), koga poslijebib- lijsko doba izjednačava s đavlom, nije »zao«. On otkriva slabosti čovjeka i njegovu uvjere</w:t>
        <w:softHyphen/>
        <w:t>nost u vlastitu nepogrešivost, a pritom djeluje po božanskom nalogu. Ako a. želi zaštititi po</w:t>
        <w:softHyphen/>
        <w:t>jedinca (Post 21,17; 24,7; 48,16) ili narod (Izl 14,19; 23,23; 32,34) ili nadvili nevolju nad lju</w:t>
        <w:softHyphen/>
        <w:t>de kao a. koji »donosi uništenje« (2 Sam 24,16; Iz 37,36) s mačem u ruci (1 Ljct 21,15 i d.), nikada ne djeluje svojevoljno. Valja pret</w:t>
        <w:softHyphen/>
        <w:t>postaviti da su na stvaranje kasnobiblijske i poslijebiblijske angelologije utjecali stari Ba</w:t>
        <w:softHyphen/>
        <w:t>bilonci, a možda i Perzijanci. Prema jeruza</w:t>
        <w:softHyphen/>
        <w:t>lemskom Talntudu (Roš ha-šana, 1,2), imena anđela donijeli su sa sobom Židovi koji su se vraćali iz babilonskoga progonstva. U SZ na</w:t>
        <w:softHyphen/>
        <w:t>lazimo ih pretežito u narativnim dijelovima. Rijetki su kod proroka (posebice Iz, Ez i Zah). Starozavjetni ih zakon izbjegava šuteći o njima.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Međutim, apokrifna literatura oblikovala je angelologiju s mnogo fantazije. Anđeli imaju ime i specifičnu zadaću. Poznaju tajne stva</w:t>
        <w:softHyphen/>
        <w:t xml:space="preserve">ranja svijeta i prenose ih na birane ljude, primjerice, na Hcnoka. Sedmorica se anđela nalaze u neposrednoj blizini Boga i daju mu molitve smrtnika (Tob 12,15). Ako je Knjiga o Danielu znala samo za Mihacla i </w:t>
      </w:r>
      <w:r>
        <w:rPr>
          <w:rFonts w:ascii="Times New Roman" w:eastAsia="Times New Roman" w:hAnsi="Times New Roman" w:cs="Times New Roman"/>
          <w:color w:val="000000"/>
          <w:spacing w:val="0"/>
          <w:w w:val="100"/>
          <w:position w:val="0"/>
          <w:shd w:val="clear" w:color="auto" w:fill="auto"/>
          <w:lang w:val="en-US" w:eastAsia="en-US" w:bidi="en-US"/>
        </w:rPr>
        <w:t xml:space="preserve">Gabriela, </w:t>
      </w:r>
      <w:r>
        <w:rPr>
          <w:rFonts w:ascii="Times New Roman" w:eastAsia="Times New Roman" w:hAnsi="Times New Roman" w:cs="Times New Roman"/>
          <w:color w:val="000000"/>
          <w:spacing w:val="0"/>
          <w:w w:val="100"/>
          <w:position w:val="0"/>
          <w:shd w:val="clear" w:color="auto" w:fill="auto"/>
          <w:lang w:val="hr-HR" w:eastAsia="hr-HR" w:bidi="hr-HR"/>
        </w:rPr>
        <w:t xml:space="preserve">u apokrifnoj literaturi pojavljuju sc još arkan- deli </w:t>
      </w:r>
      <w:r>
        <w:rPr>
          <w:rFonts w:ascii="Times New Roman" w:eastAsia="Times New Roman" w:hAnsi="Times New Roman" w:cs="Times New Roman"/>
          <w:color w:val="000000"/>
          <w:spacing w:val="0"/>
          <w:w w:val="100"/>
          <w:position w:val="0"/>
          <w:shd w:val="clear" w:color="auto" w:fill="auto"/>
          <w:lang w:val="en-US" w:eastAsia="en-US" w:bidi="en-US"/>
        </w:rPr>
        <w:t xml:space="preserve">Rafael, </w:t>
      </w:r>
      <w:r>
        <w:rPr>
          <w:rFonts w:ascii="Times New Roman" w:eastAsia="Times New Roman" w:hAnsi="Times New Roman" w:cs="Times New Roman"/>
          <w:color w:val="000000"/>
          <w:spacing w:val="0"/>
          <w:w w:val="100"/>
          <w:position w:val="0"/>
          <w:shd w:val="clear" w:color="auto" w:fill="auto"/>
          <w:lang w:val="hr-HR" w:eastAsia="hr-HR" w:bidi="hr-HR"/>
        </w:rPr>
        <w:t xml:space="preserve">Urici, Re’uel, Jeremiel, Fanuel. U njihove dužnosti (1 Hcn 90,21 i d.) ubraja se kažnjavanje palih anđela (1 Hen 6), onih </w:t>
      </w:r>
      <w:r>
        <w:rPr>
          <w:rFonts w:ascii="Times New Roman" w:eastAsia="Times New Roman" w:hAnsi="Times New Roman" w:cs="Times New Roman"/>
          <w:color w:val="000000"/>
          <w:spacing w:val="0"/>
          <w:w w:val="100"/>
          <w:position w:val="0"/>
          <w:shd w:val="clear" w:color="auto" w:fill="auto"/>
          <w:lang w:val="hr-HR" w:eastAsia="hr-HR" w:bidi="hr-HR"/>
        </w:rPr>
        <w:t>anđela koji su htjeli poučiti ljude o Božjoj pra</w:t>
        <w:softHyphen/>
        <w:t>vednosti, ali su ih zavele čovječje kćeri (Ju</w:t>
        <w:softHyphen/>
        <w:t>bileji 4,15 i d.). Kumranska sekta znala je za dualističku hijerarhiju anđela: dobri anđeli borili su se protiv »zlih« i pobijedili ih pod vodstvom »kneza svjetlosti« (1 QM 13,10—12; 1 QS 3,20-22).</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Mišni, temeljnoj knjizi talmudske literatu</w:t>
        <w:softHyphen/>
        <w:t>re, anđeli sc uopće ne spominju. Možda zbog namjere da se umanji njihova važnost. Među</w:t>
        <w:softHyphen/>
        <w:t>tim, ne može se osporiti da su i široke mase i pismoznanci uvjereni u njihovo postojanje. Brojne su predodžbe u pojedinostima. Anđeli su stvoreni prvoga ili drugog dana stvaranja, ali njihovo nastajanje još nije završeno. Oni hodaju uspravno, govore hebrejski i obdareni su razumom. Zbog sposobnosti letenja oni le</w:t>
        <w:softHyphen/>
        <w:t>te s jednoga kraja svijeta na drugi i proriču budućnost (Hagiga 16a). Imaju oblik čovjeka, ali njihov je lik napola vatra i napola voda. Za razliku od ljudi, nemaju zlih poriva. Važno je načelo da a. može obaviti samo jednu zadaću u određenom vremenu. Anđeli jedu i piju (Post 18) samo da bi ukazali čast čovjeku koji ih ugošćuje. Oni sami ne trebaju jesti. Broj je anđela nepregledan. Osim nižih ima i viših anđela. Posebno su važni Bogu blizak Meta- tron i a. smrti koji je općenito okrutan, ali njega se povremeno može odgovoriti od na</w:t>
        <w:softHyphen/>
        <w:t xml:space="preserve">uma i odgoditi čas smrti. Od njega se ništa ne može sakriti, jer je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20b) »obasut očima«. Ubija tako da umirućem spusti u usta kap otrova sa svojeg mača. Pod utjecajem -&gt; </w:t>
      </w:r>
      <w:r>
        <w:rPr>
          <w:rFonts w:ascii="Times New Roman" w:eastAsia="Times New Roman" w:hAnsi="Times New Roman" w:cs="Times New Roman"/>
          <w:i/>
          <w:iCs/>
          <w:color w:val="000000"/>
          <w:spacing w:val="0"/>
          <w:w w:val="100"/>
          <w:position w:val="0"/>
          <w:shd w:val="clear" w:color="auto" w:fill="auto"/>
          <w:lang w:val="hr-HR" w:eastAsia="hr-HR" w:bidi="hr-HR"/>
        </w:rPr>
        <w:t>mistike</w:t>
      </w:r>
      <w:r>
        <w:rPr>
          <w:rFonts w:ascii="Times New Roman" w:eastAsia="Times New Roman" w:hAnsi="Times New Roman" w:cs="Times New Roman"/>
          <w:color w:val="000000"/>
          <w:spacing w:val="0"/>
          <w:w w:val="100"/>
          <w:position w:val="0"/>
          <w:shd w:val="clear" w:color="auto" w:fill="auto"/>
          <w:lang w:val="hr-HR" w:eastAsia="hr-HR" w:bidi="hr-HR"/>
        </w:rPr>
        <w:t xml:space="preserve"> angelologija ulazi u liturgiju. Ipak je nadasve važno da sc štovanje anđela ne može dokazati. Izraelove molitve uvijek su upućene Bogu, a ne njegovim nebeskim slugama. Ži</w:t>
        <w:softHyphen/>
        <w:t xml:space="preserve">dovska srednjovjekovna filozofija (posebice Majmonid, </w:t>
      </w:r>
      <w:r>
        <w:rPr>
          <w:rFonts w:ascii="Times New Roman" w:eastAsia="Times New Roman" w:hAnsi="Times New Roman" w:cs="Times New Roman"/>
          <w:i/>
          <w:iCs/>
          <w:color w:val="000000"/>
          <w:spacing w:val="0"/>
          <w:w w:val="100"/>
          <w:position w:val="0"/>
          <w:shd w:val="clear" w:color="auto" w:fill="auto"/>
          <w:lang w:val="hr-HR" w:eastAsia="hr-HR" w:bidi="hr-HR"/>
        </w:rPr>
        <w:t xml:space="preserve">Fiihrerder </w:t>
      </w:r>
      <w:r>
        <w:rPr>
          <w:rFonts w:ascii="Times New Roman" w:eastAsia="Times New Roman" w:hAnsi="Times New Roman" w:cs="Times New Roman"/>
          <w:i/>
          <w:iCs/>
          <w:color w:val="000000"/>
          <w:spacing w:val="0"/>
          <w:w w:val="100"/>
          <w:position w:val="0"/>
          <w:shd w:val="clear" w:color="auto" w:fill="auto"/>
          <w:lang w:val="en-US" w:eastAsia="en-US" w:bidi="en-US"/>
        </w:rPr>
        <w:t>Unschliissigen,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11,6) nije poricala postojanje anđela, ali ih je ipak »de- materijalizirala«. Majmonid vidi u njima »ne</w:t>
        <w:softHyphen/>
        <w:t>materijalna razumska bića« čijim posredstvom Bog vlada svijetom. U današnje vrijeme konz</w:t>
        <w:softHyphen/>
        <w:t>ervativni i reformirani Židovi, a i predstavnici racionalističkoga ortodoksnog židovstva tu</w:t>
        <w:softHyphen/>
        <w:t>mače predodžbu anđela na simboličan i poet</w:t>
        <w:softHyphen/>
        <w:t>ski način. U mistici i u hasidističkim krugo</w:t>
        <w:softHyphen/>
        <w:t>vima vjera u anđele živa je sada kao i prije.</w:t>
      </w:r>
    </w:p>
    <w:p>
      <w:pPr>
        <w:pStyle w:val="Style56"/>
        <w:keepNext w:val="0"/>
        <w:keepLines w:val="0"/>
        <w:widowControl w:val="0"/>
        <w:shd w:val="clear" w:color="auto" w:fill="auto"/>
        <w:bidi w:val="0"/>
        <w:spacing w:before="0" w:after="40" w:line="240" w:lineRule="auto"/>
        <w:ind w:left="0" w:right="0" w:firstLine="0"/>
        <w:jc w:val="both"/>
      </w:pPr>
      <w:r>
        <w:rPr>
          <w:color w:val="000000"/>
          <w:spacing w:val="0"/>
          <w:w w:val="100"/>
          <w:position w:val="0"/>
          <w:shd w:val="clear" w:color="auto" w:fill="auto"/>
        </w:rPr>
        <w:t xml:space="preserve">Lit.: A. Kohut, </w:t>
      </w:r>
      <w:r>
        <w:rPr>
          <w:i/>
          <w:iCs/>
          <w:color w:val="000000"/>
          <w:spacing w:val="0"/>
          <w:w w:val="100"/>
          <w:position w:val="0"/>
          <w:shd w:val="clear" w:color="auto" w:fill="auto"/>
        </w:rPr>
        <w:t xml:space="preserve">Uber die judische Angelologie und </w:t>
      </w:r>
      <w:r>
        <w:rPr>
          <w:i/>
          <w:iCs/>
          <w:color w:val="000000"/>
          <w:spacing w:val="0"/>
          <w:w w:val="100"/>
          <w:position w:val="0"/>
          <w:shd w:val="clear" w:color="auto" w:fill="auto"/>
          <w:lang w:val="hr-HR" w:eastAsia="hr-HR" w:bidi="hr-HR"/>
        </w:rPr>
        <w:t xml:space="preserve">Damo- </w:t>
      </w:r>
      <w:r>
        <w:rPr>
          <w:i/>
          <w:iCs/>
          <w:color w:val="000000"/>
          <w:spacing w:val="0"/>
          <w:w w:val="100"/>
          <w:position w:val="0"/>
          <w:shd w:val="clear" w:color="auto" w:fill="auto"/>
        </w:rPr>
        <w:t>nologie,</w:t>
      </w:r>
      <w:r>
        <w:rPr>
          <w:color w:val="000000"/>
          <w:spacing w:val="0"/>
          <w:w w:val="100"/>
          <w:position w:val="0"/>
          <w:shd w:val="clear" w:color="auto" w:fill="auto"/>
        </w:rPr>
        <w:t xml:space="preserve"> 1866; L. Blau, </w:t>
      </w:r>
      <w:r>
        <w:rPr>
          <w:i/>
          <w:iCs/>
          <w:color w:val="000000"/>
          <w:spacing w:val="0"/>
          <w:w w:val="100"/>
          <w:position w:val="0"/>
          <w:shd w:val="clear" w:color="auto" w:fill="auto"/>
        </w:rPr>
        <w:t>Das altjiidische Zauberwesen,</w:t>
      </w:r>
      <w:r>
        <w:rPr>
          <w:color w:val="000000"/>
          <w:spacing w:val="0"/>
          <w:w w:val="100"/>
          <w:position w:val="0"/>
          <w:shd w:val="clear" w:color="auto" w:fill="auto"/>
        </w:rPr>
        <w:t xml:space="preserve"> 1925; F. Slier, </w:t>
      </w:r>
      <w:r>
        <w:rPr>
          <w:i/>
          <w:iCs/>
          <w:color w:val="000000"/>
          <w:spacing w:val="0"/>
          <w:w w:val="100"/>
          <w:position w:val="0"/>
          <w:shd w:val="clear" w:color="auto" w:fill="auto"/>
        </w:rPr>
        <w:t>Gott und sein Engel im Allen Testament,</w:t>
      </w:r>
      <w:r>
        <w:rPr>
          <w:color w:val="000000"/>
          <w:spacing w:val="0"/>
          <w:w w:val="100"/>
          <w:position w:val="0"/>
          <w:shd w:val="clear" w:color="auto" w:fill="auto"/>
        </w:rPr>
        <w:t xml:space="preserve"> ) 934; </w:t>
      </w:r>
      <w:r>
        <w:rPr>
          <w:i/>
          <w:iCs/>
          <w:color w:val="000000"/>
          <w:spacing w:val="0"/>
          <w:w w:val="100"/>
          <w:position w:val="0"/>
          <w:shd w:val="clear" w:color="auto" w:fill="auto"/>
        </w:rPr>
        <w:t>En</w:t>
        <w:softHyphen/>
        <w:t>cyclopedia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(njemačko izdanje), </w:t>
      </w:r>
      <w:r>
        <w:rPr>
          <w:color w:val="000000"/>
          <w:spacing w:val="0"/>
          <w:w w:val="100"/>
          <w:position w:val="0"/>
          <w:shd w:val="clear" w:color="auto" w:fill="auto"/>
        </w:rPr>
        <w:t xml:space="preserve">VI, 626-648; E. Jcnni/Cl. Wcstcrmann, </w:t>
      </w:r>
      <w:r>
        <w:rPr>
          <w:i/>
          <w:iCs/>
          <w:color w:val="000000"/>
          <w:spacing w:val="0"/>
          <w:w w:val="100"/>
          <w:position w:val="0"/>
          <w:shd w:val="clear" w:color="auto" w:fill="auto"/>
        </w:rPr>
        <w:t>Theologisches Handwijrterbuch zum</w:t>
      </w:r>
    </w:p>
    <w:p>
      <w:pPr>
        <w:pStyle w:val="Style56"/>
        <w:keepNext w:val="0"/>
        <w:keepLines w:val="0"/>
        <w:widowControl w:val="0"/>
        <w:shd w:val="clear" w:color="auto" w:fill="auto"/>
        <w:bidi w:val="0"/>
        <w:spacing w:before="0" w:after="0" w:line="240" w:lineRule="auto"/>
        <w:ind w:left="0" w:right="0" w:firstLine="0"/>
        <w:jc w:val="both"/>
      </w:pPr>
      <w:r>
        <w:rPr>
          <w:i/>
          <w:iCs/>
          <w:color w:val="000000"/>
          <w:spacing w:val="0"/>
          <w:w w:val="100"/>
          <w:position w:val="0"/>
          <w:shd w:val="clear" w:color="auto" w:fill="auto"/>
        </w:rPr>
        <w:t xml:space="preserve">Allen </w:t>
      </w:r>
      <w:r>
        <w:rPr>
          <w:i/>
          <w:iCs/>
          <w:color w:val="000000"/>
          <w:spacing w:val="0"/>
          <w:w w:val="100"/>
          <w:position w:val="0"/>
          <w:shd w:val="clear" w:color="auto" w:fill="auto"/>
          <w:lang w:val="hr-HR" w:eastAsia="hr-HR" w:bidi="hr-HR"/>
        </w:rPr>
        <w:t>Testament,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1971,1,900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C. von Rad, </w:t>
      </w:r>
      <w:r>
        <w:rPr>
          <w:i/>
          <w:iCs/>
          <w:color w:val="000000"/>
          <w:spacing w:val="0"/>
          <w:w w:val="100"/>
          <w:position w:val="0"/>
          <w:shd w:val="clear" w:color="auto" w:fill="auto"/>
        </w:rPr>
        <w:t>Theologie des Aken Testaments,</w:t>
      </w:r>
      <w:r>
        <w:rPr>
          <w:color w:val="000000"/>
          <w:spacing w:val="0"/>
          <w:w w:val="100"/>
          <w:position w:val="0"/>
          <w:shd w:val="clear" w:color="auto" w:fill="auto"/>
        </w:rPr>
        <w:t xml:space="preserve"> 1962, 1, 298-300; Mose ben Maimon, </w:t>
      </w:r>
      <w:r>
        <w:rPr>
          <w:i/>
          <w:iCs/>
          <w:color w:val="000000"/>
          <w:spacing w:val="0"/>
          <w:w w:val="100"/>
          <w:position w:val="0"/>
          <w:shd w:val="clear" w:color="auto" w:fill="auto"/>
        </w:rPr>
        <w:t>Fiihrer der Unsehlussigen, 2</w:t>
      </w:r>
      <w:r>
        <w:rPr>
          <w:color w:val="000000"/>
          <w:spacing w:val="0"/>
          <w:w w:val="100"/>
          <w:position w:val="0"/>
          <w:shd w:val="clear" w:color="auto" w:fill="auto"/>
        </w:rPr>
        <w:t xml:space="preserve"> Bdc., 1924 (novo izd.: 1972).</w:t>
      </w:r>
    </w:p>
    <w:p>
      <w:pPr>
        <w:pStyle w:val="Style7"/>
        <w:keepNext w:val="0"/>
        <w:keepLines w:val="0"/>
        <w:widowControl w:val="0"/>
        <w:shd w:val="clear" w:color="auto" w:fill="auto"/>
        <w:bidi w:val="0"/>
        <w:spacing w:before="0" w:after="120" w:line="286" w:lineRule="auto"/>
        <w:ind w:left="0" w:right="0" w:firstLine="0"/>
        <w:jc w:val="righ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R. GRADWOHL</w:t>
      </w:r>
    </w:p>
    <w:p>
      <w:pPr>
        <w:pStyle w:val="Style63"/>
        <w:keepNext/>
        <w:keepLines/>
        <w:widowControl w:val="0"/>
        <w:numPr>
          <w:ilvl w:val="0"/>
          <w:numId w:val="11"/>
        </w:numPr>
        <w:shd w:val="clear" w:color="auto" w:fill="auto"/>
        <w:tabs>
          <w:tab w:pos="260" w:val="left"/>
        </w:tabs>
        <w:bidi w:val="0"/>
        <w:spacing w:before="0"/>
        <w:ind w:left="0" w:right="0" w:firstLine="0"/>
        <w:jc w:val="both"/>
      </w:pPr>
      <w:bookmarkStart w:id="25" w:name="bookmark2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Vjera u postojanje duhovnih bića koja stoje između Boga i ljudi i čije ime »a.« označava njihovu funkciju »vjesnika« i »posrednika«, nalazi se na području biblijskih knjiga i u za</w:t>
        <w:softHyphen/>
        <w:t>pisima Staroga i Novoga zavjeta. Religijske predodžbe, koje su se nekoć mogle naći u svim religijama, prilično su se dugo prihva</w:t>
        <w:softHyphen/>
        <w:t>ćale. U najstarijim zapisima Staroga zavjeta razmjerno su oskudna upućivanja na anđele (Post 18,2; Jš 5,14). Oni se spominju kao po</w:t>
        <w:softHyphen/>
        <w:t>srednici Božjeg zahvata i djela pomoći čime čuvaju Božju transcendenciju. Tako izjave o anđelima pripadaju doduše polju biblijske ob</w:t>
        <w:softHyphen/>
        <w:t xml:space="preserve">jave, ali same nisu predmet Božje objave. U kasnijim knjigama Staroga zavjeta upućivanja na anđele postaju brojnija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Zah, Dn, Tob) a i u izvankanonskim knjigama (Henok, Knji</w:t>
        <w:softHyphen/>
        <w:t>ga jubileja, Baruhova apokalipsa) perzijskog i grčko-rimskog doba. Iskazi Novoga zavjeta pretpostavljaju predodžbe o anđelima iz ta</w:t>
        <w:softHyphen/>
        <w:t>dašnjeg vremena, koriste ih prilično dugo i donose kritiku pretjerivanja i odstupanja u apokaliptičkim i dualističkim predodžbama. Kao vjesnici, anđeli nastupaju kod naviješta- nja i rođenja Isusova; oni mu služe i stoje uz njega. U poslanicama i kasnijim zapisima No</w:t>
        <w:softHyphen/>
        <w:t>voga zavjeta kaže se o Isusu Kristu da je on Gospodar svake vlasti, sile i poglavarstva (1 Kor 15,24). Prije svega u apokaliptici anđeli igraju veliku ulogu kao izvršitelji strašnoga Božjeg suda nad čovječanstvom (15-16).</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Razvoj nauka o anđelima polazio je od tih biblijskih izjava i prilično je dugo bio pod utje</w:t>
        <w:softHyphen/>
        <w:t>cajem izvanbiblijskih predodžbi o anđelima, koje su tijekom teološke refleksije djelomično opet bile izdvojene, ali ipak su zadržani vre</w:t>
        <w:softHyphen/>
        <w:t>menski uvjetovani mnogi elementi pučke po- božnosti. Na IV. lateranskom koncilu 1215. postojanje anđela kao duhovnih bića, koja su stvorena zajedno sa svijetom, postalo je ob</w:t>
        <w:softHyphen/>
        <w:t>vezno vjersko učenje Katoličke crkve. U sred</w:t>
        <w:softHyphen/>
        <w:t>njovjekovnoj filozofiji i teologiji mnogo se spe</w:t>
        <w:softHyphen/>
        <w:t xml:space="preserve">kuliralo o anđelima kao čistim duhovima koji nisu sastavljeni iz materije i oblika nego su čisti oblik. Ovo spekuliranjc o broju anđela, njihovoj individualnosti, redoslijedu i funkciji, kao i mnoga druga granična pitanja, opsežno </w:t>
      </w:r>
      <w:r>
        <w:rPr>
          <w:rFonts w:ascii="Times New Roman" w:eastAsia="Times New Roman" w:hAnsi="Times New Roman" w:cs="Times New Roman"/>
          <w:color w:val="000000"/>
          <w:spacing w:val="0"/>
          <w:w w:val="100"/>
          <w:position w:val="0"/>
          <w:shd w:val="clear" w:color="auto" w:fill="auto"/>
          <w:lang w:val="hr-HR" w:eastAsia="hr-HR" w:bidi="hr-HR"/>
        </w:rPr>
        <w:t>se odvijalo bez obzira na kristologiju i antro</w:t>
        <w:softHyphen/>
        <w:t>pologiju. U novijoj katoličkoj teologiji poku</w:t>
        <w:softHyphen/>
        <w:t>šala se angelologija staviti u odnos prema kristologiji i antropologiji kao proširenje čisto antropocentrične slike svijeta. Pokazalo se kakvo značenje pripada postojanju duhovnih, osobnih bića koja s ljudima stoje u zajedničkoj povijesti spasenja. Kristološki se ostalo kod toga da su anđeli podređeni Isusu Kristu, da nemaju samostalnu funkciju u priopćavanju božanske objave, jer se samo u Kristu zbiva Božje samopriopčavanje. U evangelićkoj teo</w:t>
        <w:softHyphen/>
        <w:t xml:space="preserve">logiji oštro su kritizirane (K.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nuspojave pretjerane angelologijc kako su je donijele patristika i skolastika. U demitologiziranju bi</w:t>
        <w:softHyphen/>
        <w:t>blijske poruke odbačeno je vjerovanje u duho</w:t>
        <w:softHyphen/>
        <w:t>ve i zloduhe kao nespojivo s modernom sli</w:t>
        <w:softHyphen/>
        <w:t>kom svijeta (R. Bultmann). Za sve kršćanske Crkve može se reći da se u pučkoj pobožnosti značenje, koje je imalo vjerovanje u anđele, u velikoj mjeri vratilo.</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Lie.: </w:t>
      </w:r>
      <w:r>
        <w:rPr>
          <w:color w:val="000000"/>
          <w:spacing w:val="0"/>
          <w:w w:val="100"/>
          <w:position w:val="0"/>
          <w:shd w:val="clear" w:color="auto" w:fill="auto"/>
          <w:lang w:val="hr-HR" w:eastAsia="hr-HR" w:bidi="hr-HR"/>
        </w:rPr>
        <w:t xml:space="preserve">W. Grundmann/G. </w:t>
      </w:r>
      <w:r>
        <w:rPr>
          <w:color w:val="000000"/>
          <w:spacing w:val="0"/>
          <w:w w:val="100"/>
          <w:position w:val="0"/>
          <w:shd w:val="clear" w:color="auto" w:fill="auto"/>
        </w:rPr>
        <w:t xml:space="preserve">von </w:t>
      </w:r>
      <w:r>
        <w:rPr>
          <w:color w:val="000000"/>
          <w:spacing w:val="0"/>
          <w:w w:val="100"/>
          <w:position w:val="0"/>
          <w:shd w:val="clear" w:color="auto" w:fill="auto"/>
          <w:lang w:val="hr-HR" w:eastAsia="hr-HR" w:bidi="hr-HR"/>
        </w:rPr>
        <w:t xml:space="preserve">Rad/G. Kittcl, ‘aggclos’, </w:t>
      </w:r>
      <w:r>
        <w:rPr>
          <w:color w:val="000000"/>
          <w:spacing w:val="0"/>
          <w:w w:val="100"/>
          <w:position w:val="0"/>
          <w:shd w:val="clear" w:color="auto" w:fill="auto"/>
        </w:rPr>
        <w:t xml:space="preserve">Th </w:t>
      </w:r>
      <w:r>
        <w:rPr>
          <w:color w:val="000000"/>
          <w:spacing w:val="0"/>
          <w:w w:val="100"/>
          <w:position w:val="0"/>
          <w:shd w:val="clear" w:color="auto" w:fill="auto"/>
          <w:lang w:val="hr-HR" w:eastAsia="hr-HR" w:bidi="hr-HR"/>
        </w:rPr>
        <w:t xml:space="preserve">W 1,72-86; H. Schlicr, </w:t>
      </w:r>
      <w:r>
        <w:rPr>
          <w:i/>
          <w:iCs/>
          <w:color w:val="000000"/>
          <w:spacing w:val="0"/>
          <w:w w:val="100"/>
          <w:position w:val="0"/>
          <w:shd w:val="clear" w:color="auto" w:fill="auto"/>
          <w:lang w:val="hr-HR" w:eastAsia="hr-HR" w:bidi="hr-HR"/>
        </w:rPr>
        <w:t>Machte und Getvaken im Neuen Testa</w:t>
        <w:softHyphen/>
        <w:t>ment,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1958; H. </w:t>
      </w:r>
      <w:r>
        <w:rPr>
          <w:color w:val="000000"/>
          <w:spacing w:val="0"/>
          <w:w w:val="100"/>
          <w:position w:val="0"/>
          <w:shd w:val="clear" w:color="auto" w:fill="auto"/>
        </w:rPr>
        <w:t xml:space="preserve">Winklhofcr, </w:t>
      </w:r>
      <w:r>
        <w:rPr>
          <w:i/>
          <w:iCs/>
          <w:color w:val="000000"/>
          <w:spacing w:val="0"/>
          <w:w w:val="100"/>
          <w:position w:val="0"/>
          <w:shd w:val="clear" w:color="auto" w:fill="auto"/>
        </w:rPr>
        <w:t xml:space="preserve">Die Welt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Engel, </w:t>
      </w:r>
      <w:r>
        <w:rPr>
          <w:color w:val="000000"/>
          <w:spacing w:val="0"/>
          <w:w w:val="100"/>
          <w:position w:val="0"/>
          <w:shd w:val="clear" w:color="auto" w:fill="auto"/>
        </w:rPr>
        <w:t xml:space="preserve">Etlal </w:t>
      </w:r>
      <w:r>
        <w:rPr>
          <w:color w:val="000000"/>
          <w:spacing w:val="0"/>
          <w:w w:val="100"/>
          <w:position w:val="0"/>
          <w:shd w:val="clear" w:color="auto" w:fill="auto"/>
          <w:lang w:val="hr-HR" w:eastAsia="hr-HR" w:bidi="hr-HR"/>
        </w:rPr>
        <w:t xml:space="preserve">1958; K. </w:t>
      </w:r>
      <w:r>
        <w:rPr>
          <w:color w:val="000000"/>
          <w:spacing w:val="0"/>
          <w:w w:val="100"/>
          <w:position w:val="0"/>
          <w:shd w:val="clear" w:color="auto" w:fill="auto"/>
        </w:rPr>
        <w:t xml:space="preserve">Rahner, </w:t>
      </w:r>
      <w:r>
        <w:rPr>
          <w:color w:val="000000"/>
          <w:spacing w:val="0"/>
          <w:w w:val="100"/>
          <w:position w:val="0"/>
          <w:shd w:val="clear" w:color="auto" w:fill="auto"/>
          <w:lang w:val="hr-HR" w:eastAsia="hr-HR" w:bidi="hr-HR"/>
        </w:rPr>
        <w:t xml:space="preserve">Angclologic, SM l, 146-154; Engci, 1038-1046: M. Sccmann, </w:t>
      </w:r>
      <w:r>
        <w:rPr>
          <w:i/>
          <w:iCs/>
          <w:color w:val="000000"/>
          <w:spacing w:val="0"/>
          <w:w w:val="100"/>
          <w:position w:val="0"/>
          <w:shd w:val="clear" w:color="auto" w:fill="auto"/>
        </w:rPr>
        <w:t>Die Engel, My Sal</w:t>
      </w:r>
      <w:r>
        <w:rPr>
          <w:color w:val="000000"/>
          <w:spacing w:val="0"/>
          <w:w w:val="100"/>
          <w:position w:val="0"/>
          <w:shd w:val="clear" w:color="auto" w:fill="auto"/>
        </w:rPr>
        <w:t xml:space="preserve"> II, Einsicdcln 1967, 954-995; H. Haag, </w:t>
      </w:r>
      <w:r>
        <w:rPr>
          <w:i/>
          <w:iCs/>
          <w:color w:val="000000"/>
          <w:spacing w:val="0"/>
          <w:w w:val="100"/>
          <w:position w:val="0"/>
          <w:shd w:val="clear" w:color="auto" w:fill="auto"/>
        </w:rPr>
        <w:t>Teufelsglaube,</w:t>
      </w:r>
      <w:r>
        <w:rPr>
          <w:color w:val="000000"/>
          <w:spacing w:val="0"/>
          <w:w w:val="100"/>
          <w:position w:val="0"/>
          <w:shd w:val="clear" w:color="auto" w:fill="auto"/>
        </w:rPr>
        <w:t xml:space="preserve"> Tubingen 1974.</w:t>
      </w:r>
    </w:p>
    <w:p>
      <w:pPr>
        <w:pStyle w:val="Style7"/>
        <w:keepNext w:val="0"/>
        <w:keepLines w:val="0"/>
        <w:widowControl w:val="0"/>
        <w:shd w:val="clear" w:color="auto" w:fill="auto"/>
        <w:bidi w:val="0"/>
        <w:spacing w:before="0" w:after="120" w:line="276" w:lineRule="auto"/>
        <w:ind w:left="0" w:right="0" w:firstLine="0"/>
        <w:jc w:val="righ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G, EVERS</w:t>
      </w:r>
    </w:p>
    <w:p>
      <w:pPr>
        <w:pStyle w:val="Style63"/>
        <w:keepNext/>
        <w:keepLines/>
        <w:widowControl w:val="0"/>
        <w:numPr>
          <w:ilvl w:val="0"/>
          <w:numId w:val="11"/>
        </w:numPr>
        <w:shd w:val="clear" w:color="auto" w:fill="auto"/>
        <w:tabs>
          <w:tab w:pos="255" w:val="left"/>
        </w:tabs>
        <w:bidi w:val="0"/>
        <w:spacing w:before="0"/>
        <w:ind w:left="0" w:right="0" w:firstLine="0"/>
        <w:jc w:val="both"/>
      </w:pPr>
      <w:bookmarkStart w:id="26" w:name="bookmark26"/>
      <w:r>
        <w:rPr>
          <w:rFonts w:ascii="Times New Roman" w:eastAsia="Times New Roman" w:hAnsi="Times New Roman" w:cs="Times New Roman"/>
          <w:color w:val="000000"/>
          <w:spacing w:val="0"/>
          <w:w w:val="100"/>
          <w:position w:val="0"/>
          <w:shd w:val="clear" w:color="auto" w:fill="auto"/>
          <w:lang w:val="hr-HR" w:eastAsia="hr-HR" w:bidi="hr-HR"/>
        </w:rPr>
        <w:t>islamski</w:t>
      </w:r>
      <w:bookmarkEnd w:id="2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Anđeli </w:t>
      </w:r>
      <w:r>
        <w:rPr>
          <w:rFonts w:ascii="Times New Roman" w:eastAsia="Times New Roman" w:hAnsi="Times New Roman" w:cs="Times New Roman"/>
          <w:i/>
          <w:iCs/>
          <w:color w:val="000000"/>
          <w:spacing w:val="0"/>
          <w:w w:val="100"/>
          <w:position w:val="0"/>
          <w:shd w:val="clear" w:color="auto" w:fill="auto"/>
          <w:lang w:val="en-US" w:eastAsia="en-US" w:bidi="en-US"/>
        </w:rPr>
        <w:t>(meleci: malak,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množina: </w:t>
      </w:r>
      <w:r>
        <w:rPr>
          <w:rFonts w:ascii="Times New Roman" w:eastAsia="Times New Roman" w:hAnsi="Times New Roman" w:cs="Times New Roman"/>
          <w:i/>
          <w:iCs/>
          <w:color w:val="000000"/>
          <w:spacing w:val="0"/>
          <w:w w:val="100"/>
          <w:position w:val="0"/>
          <w:shd w:val="clear" w:color="auto" w:fill="auto"/>
          <w:lang w:val="en-US" w:eastAsia="en-US" w:bidi="en-US"/>
        </w:rPr>
        <w:t>mala'ika)</w:t>
      </w:r>
      <w:r>
        <w:rPr>
          <w:rFonts w:ascii="Times New Roman" w:eastAsia="Times New Roman" w:hAnsi="Times New Roman" w:cs="Times New Roman"/>
          <w:color w:val="000000"/>
          <w:spacing w:val="0"/>
          <w:w w:val="100"/>
          <w:position w:val="0"/>
          <w:shd w:val="clear" w:color="auto" w:fill="auto"/>
          <w:lang w:val="en-US" w:eastAsia="en-US" w:bidi="en-US"/>
        </w:rPr>
        <w:t xml:space="preserve"> su </w:t>
      </w:r>
      <w:r>
        <w:rPr>
          <w:rFonts w:ascii="Times New Roman" w:eastAsia="Times New Roman" w:hAnsi="Times New Roman" w:cs="Times New Roman"/>
          <w:color w:val="000000"/>
          <w:spacing w:val="0"/>
          <w:w w:val="100"/>
          <w:position w:val="0"/>
          <w:shd w:val="clear" w:color="auto" w:fill="auto"/>
          <w:lang w:val="hr-HR" w:eastAsia="hr-HR" w:bidi="hr-HR"/>
        </w:rPr>
        <w:t>po islamskom shvaćanju duhovne sile ili bića koja ljudima udahnjuju dobre, usrećujuće misli a životinjama spasonosne slutnje ili koja su na bilo koji način u službi prirode i života. Sile ili bića, koja djeluju u suprotnom smjeru, nazi</w:t>
        <w:softHyphen/>
        <w:t xml:space="preserve">vaju se đavao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(šejtan: </w:t>
      </w:r>
      <w:r>
        <w:rPr>
          <w:rFonts w:ascii="Times New Roman" w:eastAsia="Times New Roman" w:hAnsi="Times New Roman" w:cs="Times New Roman"/>
          <w:i/>
          <w:iCs/>
          <w:color w:val="000000"/>
          <w:spacing w:val="0"/>
          <w:w w:val="100"/>
          <w:position w:val="0"/>
          <w:shd w:val="clear" w:color="auto" w:fill="auto"/>
          <w:lang w:val="en-US" w:eastAsia="en-US" w:bidi="en-US"/>
        </w:rPr>
        <w:t>shaytan,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množina: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sha- </w:t>
      </w:r>
      <w:r>
        <w:rPr>
          <w:rFonts w:ascii="Times New Roman" w:eastAsia="Times New Roman" w:hAnsi="Times New Roman" w:cs="Times New Roman"/>
          <w:i/>
          <w:iCs/>
          <w:color w:val="000000"/>
          <w:spacing w:val="0"/>
          <w:w w:val="100"/>
          <w:position w:val="0"/>
          <w:shd w:val="clear" w:color="auto" w:fill="auto"/>
          <w:lang w:val="en-US" w:eastAsia="en-US" w:bidi="en-US"/>
        </w:rPr>
        <w:t>yafin).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Anđeli su neposredno u službi Boga, budući da prate ljude i ostala stvorenja, te sudjeluju u njihovim djelima. Bez volje i bez razuma anđeli ne mogu počiniti nikakvu greš</w:t>
        <w:softHyphen/>
        <w:t>ku. Oni potiču čovjeka na mišljenje.</w:t>
      </w:r>
    </w:p>
    <w:p>
      <w:pPr>
        <w:pStyle w:val="Style20"/>
        <w:keepNext w:val="0"/>
        <w:keepLines w:val="0"/>
        <w:widowControl w:val="0"/>
        <w:shd w:val="clear" w:color="auto" w:fill="auto"/>
        <w:bidi w:val="0"/>
        <w:spacing w:before="0" w:after="0"/>
        <w:ind w:left="0" w:right="0" w:firstLine="0"/>
        <w:jc w:val="both"/>
        <w:sectPr>
          <w:headerReference w:type="default" r:id="rId99"/>
          <w:footerReference w:type="default" r:id="rId100"/>
          <w:headerReference w:type="even" r:id="rId101"/>
          <w:footerReference w:type="even" r:id="rId102"/>
          <w:headerReference w:type="first" r:id="rId103"/>
          <w:footerReference w:type="first" r:id="rId104"/>
          <w:footnotePr>
            <w:pos w:val="pageBottom"/>
            <w:numFmt w:val="decimal"/>
            <w:numStart w:val="5"/>
            <w:numRestart w:val="continuous"/>
            <w15:footnoteColumns w:val="1"/>
          </w:footnotePr>
          <w:pgSz w:w="6816" w:h="11006"/>
          <w:pgMar w:top="929" w:left="192" w:right="192" w:bottom="559" w:header="0" w:footer="3" w:gutter="0"/>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Ima mnogo anđela. Po imenu su poznati vrhov</w:t>
        <w:softHyphen/>
        <w:t xml:space="preserve">ni. Džibril, </w:t>
      </w:r>
      <w:r>
        <w:rPr>
          <w:rFonts w:ascii="Times New Roman" w:eastAsia="Times New Roman" w:hAnsi="Times New Roman" w:cs="Times New Roman"/>
          <w:color w:val="000000"/>
          <w:spacing w:val="0"/>
          <w:w w:val="100"/>
          <w:position w:val="0"/>
          <w:shd w:val="clear" w:color="auto" w:fill="auto"/>
          <w:lang w:val="en-US" w:eastAsia="en-US" w:bidi="en-US"/>
        </w:rPr>
        <w:t xml:space="preserve">Israfil, Azrail, Mikil, </w:t>
      </w:r>
      <w:r>
        <w:rPr>
          <w:rFonts w:ascii="Times New Roman" w:eastAsia="Times New Roman" w:hAnsi="Times New Roman" w:cs="Times New Roman"/>
          <w:color w:val="000000"/>
          <w:spacing w:val="0"/>
          <w:w w:val="100"/>
          <w:position w:val="0"/>
          <w:shd w:val="clear" w:color="auto" w:fill="auto"/>
          <w:lang w:val="hr-HR" w:eastAsia="hr-HR" w:bidi="hr-HR"/>
        </w:rPr>
        <w:t xml:space="preserve">Harut, </w:t>
      </w:r>
      <w:r>
        <w:rPr>
          <w:rFonts w:ascii="Times New Roman" w:eastAsia="Times New Roman" w:hAnsi="Times New Roman" w:cs="Times New Roman"/>
          <w:color w:val="000000"/>
          <w:spacing w:val="0"/>
          <w:w w:val="100"/>
          <w:position w:val="0"/>
          <w:shd w:val="clear" w:color="auto" w:fill="auto"/>
          <w:lang w:val="en-US" w:eastAsia="en-US" w:bidi="en-US"/>
        </w:rPr>
        <w:t>Ma</w:t>
        <w:softHyphen/>
        <w:t xml:space="preserve">rut, </w:t>
      </w:r>
      <w:r>
        <w:rPr>
          <w:rFonts w:ascii="Times New Roman" w:eastAsia="Times New Roman" w:hAnsi="Times New Roman" w:cs="Times New Roman"/>
          <w:color w:val="000000"/>
          <w:spacing w:val="0"/>
          <w:w w:val="100"/>
          <w:position w:val="0"/>
          <w:shd w:val="clear" w:color="auto" w:fill="auto"/>
          <w:lang w:val="hr-HR" w:eastAsia="hr-HR" w:bidi="hr-HR"/>
        </w:rPr>
        <w:t>te kažnjavatelji u grobu, Munkar i Nekir. Među đavle pripada i pali a. Iblis (Diabolus) koji je iz bijesa zbog stvaranja čovjeka otkazao poslušnost Bogu. Među anđelima ne postoji nikakva razlika u spolovima. Oni su izvan vre</w:t>
        <w:softHyphen/>
        <w:t>mena i prostora. Njihova je zadaća održavanje reda u svemiru. Istaknuta su im svojstva nepo</w:t>
        <w:softHyphen/>
        <w:t>grešivost, spiritualnost i ljepota. Tako su Puti- farine prijateljice smatrale anđelom egipat</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skoga Josipa. A Džibril se opisuje u Kuranu kao »vjerni duh«, »naš duh« ili kao »sveli Duh« (19,17).</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Džibril i Mikil igraju ulogu kao posrednici u lijeku objave. Naročito se </w:t>
      </w: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često spo</w:t>
        <w:softHyphen/>
        <w:t xml:space="preserve">minje kao glasnik. </w:t>
      </w:r>
      <w:r>
        <w:rPr>
          <w:rFonts w:ascii="Times New Roman" w:eastAsia="Times New Roman" w:hAnsi="Times New Roman" w:cs="Times New Roman"/>
          <w:color w:val="000000"/>
          <w:spacing w:val="0"/>
          <w:w w:val="100"/>
          <w:position w:val="0"/>
          <w:shd w:val="clear" w:color="auto" w:fill="auto"/>
          <w:lang w:val="en-US" w:eastAsia="en-US" w:bidi="en-US"/>
        </w:rPr>
        <w:t xml:space="preserve">Serafim, </w:t>
      </w:r>
      <w:r>
        <w:rPr>
          <w:rFonts w:ascii="Times New Roman" w:eastAsia="Times New Roman" w:hAnsi="Times New Roman" w:cs="Times New Roman"/>
          <w:color w:val="000000"/>
          <w:spacing w:val="0"/>
          <w:w w:val="100"/>
          <w:position w:val="0"/>
          <w:shd w:val="clear" w:color="auto" w:fill="auto"/>
          <w:lang w:val="hr-HR" w:eastAsia="hr-HR" w:bidi="hr-HR"/>
        </w:rPr>
        <w:t>a. Tore, javlja se samo u islamskim eshatološkim legendama. Azrael, a. smrti, ne spominje se poimence u Kuranu. Tamo nema nikakve upute ni o Mun- karu i Nakiru. Prema tradiciji, oni su zaduženi za kažnjavanje u grobu. Ima dakle i bezobzir</w:t>
        <w:softHyphen/>
        <w:t xml:space="preserve">nih, sirovih anđela koji se lako mogu pobrkali s đavolima. Kerubinski anđeli </w:t>
      </w:r>
      <w:r>
        <w:rPr>
          <w:rFonts w:ascii="Times New Roman" w:eastAsia="Times New Roman" w:hAnsi="Times New Roman" w:cs="Times New Roman"/>
          <w:color w:val="000000"/>
          <w:spacing w:val="0"/>
          <w:w w:val="100"/>
          <w:position w:val="0"/>
          <w:shd w:val="clear" w:color="auto" w:fill="auto"/>
          <w:lang w:val="en-US" w:eastAsia="en-US" w:bidi="en-US"/>
        </w:rPr>
        <w:t xml:space="preserve">(almuqarrabun) </w:t>
      </w:r>
      <w:r>
        <w:rPr>
          <w:rFonts w:ascii="Times New Roman" w:eastAsia="Times New Roman" w:hAnsi="Times New Roman" w:cs="Times New Roman"/>
          <w:color w:val="000000"/>
          <w:spacing w:val="0"/>
          <w:w w:val="100"/>
          <w:position w:val="0"/>
          <w:shd w:val="clear" w:color="auto" w:fill="auto"/>
          <w:lang w:val="hr-HR" w:eastAsia="hr-HR" w:bidi="hr-HR"/>
        </w:rPr>
        <w:t>signaliziraju naročitu Božju blizinu. Bezgreš</w:t>
        <w:softHyphen/>
        <w:t>nost i bespolnost anđela izgleda da su iznimka u slučaju Haruta i Maruta: »Oba ta anđela trebaju biti podložni spolnom iskušenju, tre</w:t>
        <w:softHyphen/>
        <w:t>baju sjediti zatočeni u paklu kod Babilona i tamo učiti čovjeka magiji«. Ta slika ova dva anđela nije doduše kuranska, no ona i inače - u Kuranu kao i u tradiciji - daje uporište za pretpostavku da i anđeli imaju nedostatke. S druge strane, tradicija kaže da medu đavolima živi jedan dobri muslimanski usamljenik: Ibli- sov prvi nećak »koji se ukazao Muhamedu i od njega naučio neke sure iz Kurana«. Prikazi anđela općenito su lišeni nekoga strogog li- piziranja. Slika nije jedinstvena. Islamska lit</w:t>
        <w:softHyphen/>
        <w:t>eratura koja se bavi time često poseže i za predodžbama iz nemuslimanskoga svijeta (»fi</w:t>
        <w:softHyphen/>
        <w:t>lozofi«, Zidovi, kršćani, dualisti i čak idolo</w:t>
        <w:softHyphen/>
        <w:t>poklonici).</w:t>
      </w:r>
    </w:p>
    <w:p>
      <w:pPr>
        <w:pStyle w:val="Style7"/>
        <w:keepNext w:val="0"/>
        <w:keepLines w:val="0"/>
        <w:widowControl w:val="0"/>
        <w:shd w:val="clear" w:color="auto" w:fill="auto"/>
        <w:tabs>
          <w:tab w:pos="2554" w:val="left"/>
        </w:tabs>
        <w:bidi w:val="0"/>
        <w:spacing w:before="0" w:after="280" w:line="240" w:lineRule="auto"/>
        <w:ind w:left="0" w:right="0" w:firstLine="0"/>
        <w:jc w:val="both"/>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Ijl.: Mala'ika, u: HJ, 405-408.</w:t>
        <w:tab/>
        <w:t>S. BALIĆ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ANTISEMITIZAM</w:t>
      </w:r>
    </w:p>
    <w:p>
      <w:pPr>
        <w:pStyle w:val="Style63"/>
        <w:keepNext/>
        <w:keepLines/>
        <w:widowControl w:val="0"/>
        <w:numPr>
          <w:ilvl w:val="0"/>
          <w:numId w:val="13"/>
        </w:numPr>
        <w:shd w:val="clear" w:color="auto" w:fill="auto"/>
        <w:tabs>
          <w:tab w:pos="241" w:val="left"/>
        </w:tabs>
        <w:bidi w:val="0"/>
        <w:spacing w:before="0" w:after="80"/>
        <w:ind w:left="0" w:right="0" w:firstLine="0"/>
        <w:jc w:val="both"/>
      </w:pPr>
      <w:bookmarkStart w:id="27" w:name="bookmark27"/>
      <w:r>
        <w:rPr>
          <w:rFonts w:ascii="Times New Roman" w:eastAsia="Times New Roman" w:hAnsi="Times New Roman" w:cs="Times New Roman"/>
          <w:color w:val="000000"/>
          <w:spacing w:val="0"/>
          <w:w w:val="100"/>
          <w:position w:val="0"/>
          <w:shd w:val="clear" w:color="auto" w:fill="auto"/>
          <w:lang w:val="hr-HR" w:eastAsia="hr-HR" w:bidi="hr-HR"/>
        </w:rPr>
        <w:t>židovski</w:t>
      </w:r>
      <w:bookmarkEnd w:id="27"/>
    </w:p>
    <w:p>
      <w:pPr>
        <w:pStyle w:val="Style20"/>
        <w:keepNext w:val="0"/>
        <w:keepLines w:val="0"/>
        <w:widowControl w:val="0"/>
        <w:numPr>
          <w:ilvl w:val="0"/>
          <w:numId w:val="15"/>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Manifestacije antisemitizma:</w:t>
      </w:r>
      <w:r>
        <w:rPr>
          <w:rFonts w:ascii="Times New Roman" w:eastAsia="Times New Roman" w:hAnsi="Times New Roman" w:cs="Times New Roman"/>
          <w:color w:val="000000"/>
          <w:spacing w:val="0"/>
          <w:w w:val="100"/>
          <w:position w:val="0"/>
          <w:shd w:val="clear" w:color="auto" w:fill="auto"/>
          <w:lang w:val="hr-HR" w:eastAsia="hr-HR" w:bidi="hr-HR"/>
        </w:rPr>
        <w:t xml:space="preserve"> »Netko je zgod</w:t>
        <w:softHyphen/>
        <w:t>no fašizam nazvao socijalizmom glupih ljudi. Međutim, a. je aristokratizam svjetine. Može</w:t>
        <w:softHyphen/>
        <w:t xml:space="preserve">mo ga svesti na vrlo jednostavnu formulu: ‘Ja, doduše, nisam ništa’, implicira on, ‘ali nisam Židov.’ Jadnik misli daje time ipak nešto. No, tko doista nešto jest, nema potrebe ustuknuti pred sobom zbog takve negativne prednosti, koja ni u svojoj negativnosti nije prednost, a i ne doživljava se kao takva nego se sa strahom i zavišću osjeća kao nedostatak.« </w:t>
      </w:r>
      <w:r>
        <w:rPr>
          <w:rFonts w:ascii="Times New Roman" w:eastAsia="Times New Roman" w:hAnsi="Times New Roman" w:cs="Times New Roman"/>
          <w:color w:val="000000"/>
          <w:spacing w:val="0"/>
          <w:w w:val="100"/>
          <w:position w:val="0"/>
          <w:shd w:val="clear" w:color="auto" w:fill="auto"/>
          <w:lang w:val="en-US" w:eastAsia="en-US" w:bidi="en-US"/>
        </w:rPr>
        <w:t xml:space="preserve">Thomas Mann </w:t>
      </w:r>
      <w:r>
        <w:rPr>
          <w:rFonts w:ascii="Times New Roman" w:eastAsia="Times New Roman" w:hAnsi="Times New Roman" w:cs="Times New Roman"/>
          <w:color w:val="000000"/>
          <w:spacing w:val="0"/>
          <w:w w:val="100"/>
          <w:position w:val="0"/>
          <w:shd w:val="clear" w:color="auto" w:fill="auto"/>
          <w:lang w:val="hr-HR" w:eastAsia="hr-HR" w:bidi="hr-HR"/>
        </w:rPr>
        <w:t xml:space="preserve">izgovorio je te rečenice u ožujku 1937. u svojem uvodu u čitanje odlomaka iz romana </w:t>
      </w:r>
      <w:r>
        <w:rPr>
          <w:rFonts w:ascii="Times New Roman" w:eastAsia="Times New Roman" w:hAnsi="Times New Roman" w:cs="Times New Roman"/>
          <w:i/>
          <w:iCs/>
          <w:color w:val="000000"/>
          <w:spacing w:val="0"/>
          <w:w w:val="100"/>
          <w:position w:val="0"/>
          <w:shd w:val="clear" w:color="auto" w:fill="auto"/>
          <w:lang w:val="en-US" w:eastAsia="en-US" w:bidi="en-US"/>
        </w:rPr>
        <w:t xml:space="preserve">Joseph und seine </w:t>
      </w:r>
      <w:r>
        <w:rPr>
          <w:rFonts w:ascii="Times New Roman" w:eastAsia="Times New Roman" w:hAnsi="Times New Roman" w:cs="Times New Roman"/>
          <w:i/>
          <w:iCs/>
          <w:color w:val="000000"/>
          <w:spacing w:val="0"/>
          <w:w w:val="100"/>
          <w:position w:val="0"/>
          <w:shd w:val="clear" w:color="auto" w:fill="auto"/>
          <w:lang w:val="hr-HR" w:eastAsia="hr-HR" w:bidi="hr-HR"/>
        </w:rPr>
        <w:t>Briider</w:t>
      </w:r>
      <w:r>
        <w:rPr>
          <w:rFonts w:ascii="Times New Roman" w:eastAsia="Times New Roman" w:hAnsi="Times New Roman" w:cs="Times New Roman"/>
          <w:color w:val="000000"/>
          <w:spacing w:val="0"/>
          <w:w w:val="100"/>
          <w:position w:val="0"/>
          <w:shd w:val="clear" w:color="auto" w:fill="auto"/>
          <w:lang w:val="hr-HR" w:eastAsia="hr-HR" w:bidi="hr-HR"/>
        </w:rPr>
        <w:t xml:space="preserve"> u cionističkom druš</w:t>
        <w:softHyphen/>
      </w:r>
      <w:r>
        <w:rPr>
          <w:rFonts w:ascii="Times New Roman" w:eastAsia="Times New Roman" w:hAnsi="Times New Roman" w:cs="Times New Roman"/>
          <w:color w:val="000000"/>
          <w:spacing w:val="0"/>
          <w:w w:val="100"/>
          <w:position w:val="0"/>
          <w:shd w:val="clear" w:color="auto" w:fill="auto"/>
          <w:lang w:val="hr-HR" w:eastAsia="hr-HR" w:bidi="hr-HR"/>
        </w:rPr>
        <w:t>tvu »Kadimah« u Ziirichu (o problemu antis</w:t>
        <w:softHyphen/>
        <w:t xml:space="preserve">emitizma v. </w:t>
      </w:r>
      <w:r>
        <w:rPr>
          <w:rFonts w:ascii="Times New Roman" w:eastAsia="Times New Roman" w:hAnsi="Times New Roman" w:cs="Times New Roman"/>
          <w:color w:val="000000"/>
          <w:spacing w:val="0"/>
          <w:w w:val="100"/>
          <w:position w:val="0"/>
          <w:shd w:val="clear" w:color="auto" w:fill="auto"/>
          <w:lang w:val="en-US" w:eastAsia="en-US" w:bidi="en-US"/>
        </w:rPr>
        <w:t xml:space="preserve">Thomas Mann, </w:t>
      </w:r>
      <w:r>
        <w:rPr>
          <w:rFonts w:ascii="Times New Roman" w:eastAsia="Times New Roman" w:hAnsi="Times New Roman" w:cs="Times New Roman"/>
          <w:i/>
          <w:iCs/>
          <w:color w:val="000000"/>
          <w:spacing w:val="0"/>
          <w:w w:val="100"/>
          <w:position w:val="0"/>
          <w:shd w:val="clear" w:color="auto" w:fill="auto"/>
          <w:lang w:val="en-US" w:eastAsia="en-US" w:bidi="en-US"/>
        </w:rPr>
        <w:t xml:space="preserve">Sieben </w:t>
      </w:r>
      <w:r>
        <w:rPr>
          <w:rFonts w:ascii="Times New Roman" w:eastAsia="Times New Roman" w:hAnsi="Times New Roman" w:cs="Times New Roman"/>
          <w:i/>
          <w:iCs/>
          <w:color w:val="000000"/>
          <w:spacing w:val="0"/>
          <w:w w:val="100"/>
          <w:position w:val="0"/>
          <w:shd w:val="clear" w:color="auto" w:fill="auto"/>
          <w:lang w:val="hr-HR" w:eastAsia="hr-HR" w:bidi="hr-HR"/>
        </w:rPr>
        <w:t>Manifeste zur jiidischen Frage 1936-1948,</w:t>
      </w:r>
      <w:r>
        <w:rPr>
          <w:rFonts w:ascii="Times New Roman" w:eastAsia="Times New Roman" w:hAnsi="Times New Roman" w:cs="Times New Roman"/>
          <w:color w:val="000000"/>
          <w:spacing w:val="0"/>
          <w:w w:val="100"/>
          <w:position w:val="0"/>
          <w:shd w:val="clear" w:color="auto" w:fill="auto"/>
          <w:lang w:val="hr-HR" w:eastAsia="hr-HR" w:bidi="hr-HR"/>
        </w:rPr>
        <w:t xml:space="preserve"> izd. W. A. Ber- endsohn, 1966, .27-42, 29 i d.). On je opažao »potrebu jednoga vremena da za svoje boli, nevolje prijelaznoga doba i kritične neprilike potraži </w:t>
      </w:r>
      <w:r>
        <w:rPr>
          <w:rFonts w:ascii="Times New Roman" w:eastAsia="Times New Roman" w:hAnsi="Times New Roman" w:cs="Times New Roman"/>
          <w:i/>
          <w:iCs/>
          <w:color w:val="000000"/>
          <w:spacing w:val="0"/>
          <w:w w:val="100"/>
          <w:position w:val="0"/>
          <w:shd w:val="clear" w:color="auto" w:fill="auto"/>
          <w:lang w:val="hr-HR" w:eastAsia="hr-HR" w:bidi="hr-HR"/>
        </w:rPr>
        <w:t>krivca</w:t>
      </w:r>
      <w:r>
        <w:rPr>
          <w:rFonts w:ascii="Times New Roman" w:eastAsia="Times New Roman" w:hAnsi="Times New Roman" w:cs="Times New Roman"/>
          <w:color w:val="000000"/>
          <w:spacing w:val="0"/>
          <w:w w:val="100"/>
          <w:position w:val="0"/>
          <w:shd w:val="clear" w:color="auto" w:fill="auto"/>
          <w:lang w:val="hr-HR" w:eastAsia="hr-HR" w:bidi="hr-HR"/>
        </w:rPr>
        <w:t xml:space="preserve"> i nađe ga, da žrtvenoga jarca pošalje zbog toga u pustoš mržnje i difama</w:t>
        <w:softHyphen/>
        <w:t>cije; napravi od njega opaka i manje vrijedna bauka kako bi sc, gledajući ga, osjećalo možda snažnijim, boljim, pa i plemenitijim« i defini</w:t>
        <w:softHyphen/>
        <w:t>ralo a. kao »zle i zlobne patničke reakcije vre</w:t>
        <w:softHyphen/>
        <w:t>mena, loše palijalive, vremena koje sebi do</w:t>
        <w:softHyphen/>
        <w:t>pušta čak svoje nevolje i strahove za olakša</w:t>
        <w:softHyphen/>
        <w:t xml:space="preserve">nje, za ludo </w:t>
      </w:r>
      <w:r>
        <w:rPr>
          <w:rFonts w:ascii="Times New Roman" w:eastAsia="Times New Roman" w:hAnsi="Times New Roman" w:cs="Times New Roman"/>
          <w:i/>
          <w:iCs/>
          <w:color w:val="000000"/>
          <w:spacing w:val="0"/>
          <w:w w:val="100"/>
          <w:position w:val="0"/>
          <w:shd w:val="clear" w:color="auto" w:fill="auto"/>
          <w:lang w:val="hr-HR" w:eastAsia="hr-HR" w:bidi="hr-HR"/>
        </w:rPr>
        <w:t>objašnjenje«,</w:t>
      </w:r>
      <w:r>
        <w:rPr>
          <w:rFonts w:ascii="Times New Roman" w:eastAsia="Times New Roman" w:hAnsi="Times New Roman" w:cs="Times New Roman"/>
          <w:color w:val="000000"/>
          <w:spacing w:val="0"/>
          <w:w w:val="100"/>
          <w:position w:val="0"/>
          <w:shd w:val="clear" w:color="auto" w:fill="auto"/>
          <w:lang w:val="hr-HR" w:eastAsia="hr-HR" w:bidi="hr-HR"/>
        </w:rPr>
        <w:t xml:space="preserve"> kao »najraširenije, najomiljenije, najpopularnije« sredstvo za smi</w:t>
        <w:softHyphen/>
        <w:t>renje, kao »pribor i geslo današnje tmurne, kaotične ljudske masovnosti i masovne mis</w:t>
        <w:softHyphen/>
        <w:t xml:space="preserve">tike pomiješane s mnogo bestijalnosti« (op. cil. 28. str. i dalje). </w:t>
      </w:r>
      <w:r>
        <w:rPr>
          <w:rFonts w:ascii="Times New Roman" w:eastAsia="Times New Roman" w:hAnsi="Times New Roman" w:cs="Times New Roman"/>
          <w:color w:val="000000"/>
          <w:spacing w:val="0"/>
          <w:w w:val="100"/>
          <w:position w:val="0"/>
          <w:shd w:val="clear" w:color="auto" w:fill="auto"/>
          <w:lang w:val="en-US" w:eastAsia="en-US" w:bidi="en-US"/>
        </w:rPr>
        <w:t xml:space="preserve">Thomas Mann </w:t>
      </w:r>
      <w:r>
        <w:rPr>
          <w:rFonts w:ascii="Times New Roman" w:eastAsia="Times New Roman" w:hAnsi="Times New Roman" w:cs="Times New Roman"/>
          <w:color w:val="000000"/>
          <w:spacing w:val="0"/>
          <w:w w:val="100"/>
          <w:position w:val="0"/>
          <w:shd w:val="clear" w:color="auto" w:fill="auto"/>
          <w:lang w:val="hr-HR" w:eastAsia="hr-HR" w:bidi="hr-HR"/>
        </w:rPr>
        <w:t>osvijetlio je u to doba taj složeni fenomen neprijateljstva ili mržnje prema Židovima, na koji se prim</w:t>
        <w:softHyphen/>
        <w:t>jenjuje danas dobro poznati izraz »a.«. Do</w:t>
        <w:softHyphen/>
        <w:t>duše, taj pojam potječe tek iz druge polovine XIX. stoljeća, od društvenoga pokreta koji je omalovažavao »židovsku rasu« i odbijao »se- mitske karakteristike«, premda su ga njegovi zagovornici usmjerili samo protiv Židova; ipak, često traženi diferencirani naziv predprosvje- tileljskoga neprijateljstva prema Židovima te predrasuda i radnji onih, koji su se sami sma</w:t>
        <w:softHyphen/>
        <w:t>trali »antisemitima«, manje je važan od shva</w:t>
        <w:softHyphen/>
        <w:t>ćanja najrazličitijih manifestacija u kojima se mržnja prema Židovima očituje općenito kao u cijeloj povijesti židovskoga naroda: kao vjer</w:t>
        <w:softHyphen/>
        <w:t>ski, gospodarski, kulturni, društveni i kao po</w:t>
        <w:softHyphen/>
        <w:t>litički a. Često se u zbilji pojedini vidovi ned</w:t>
        <w:softHyphen/>
        <w:t>vojbeno preklapaju ili poklapaju. U jednom opisu moramo ih ipak promatrati zasebno ka</w:t>
        <w:softHyphen/>
        <w:t>ko bismo uočili opsežni fenomen antisemitiz</w:t>
        <w:softHyphen/>
        <w:t>ma i mogli jasno razlikovati provale mržnje prema Židovima u prošlosti, takozvani klasič</w:t>
        <w:softHyphen/>
        <w:t>ni a., i moderni a.</w:t>
      </w:r>
    </w:p>
    <w:p>
      <w:pPr>
        <w:pStyle w:val="Style20"/>
        <w:keepNext w:val="0"/>
        <w:keepLines w:val="0"/>
        <w:widowControl w:val="0"/>
        <w:numPr>
          <w:ilvl w:val="0"/>
          <w:numId w:val="1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Klasični a.</w:t>
      </w:r>
      <w:r>
        <w:rPr>
          <w:rFonts w:ascii="Times New Roman" w:eastAsia="Times New Roman" w:hAnsi="Times New Roman" w:cs="Times New Roman"/>
          <w:color w:val="000000"/>
          <w:spacing w:val="0"/>
          <w:w w:val="100"/>
          <w:position w:val="0"/>
          <w:shd w:val="clear" w:color="auto" w:fill="auto"/>
          <w:lang w:val="hr-HR" w:eastAsia="hr-HR" w:bidi="hr-HR"/>
        </w:rPr>
        <w:t>: izrastao je iz trajne antižidovske reakcije na židovsku dijasporu u starom vije</w:t>
        <w:softHyphen/>
        <w:t xml:space="preserve">ku. Najranija židovska svjedočanstva o životu u zajednici u </w:t>
      </w:r>
      <w:r>
        <w:rPr>
          <w:rFonts w:ascii="Times New Roman" w:eastAsia="Times New Roman" w:hAnsi="Times New Roman" w:cs="Times New Roman"/>
          <w:i/>
          <w:iCs/>
          <w:color w:val="000000"/>
          <w:spacing w:val="0"/>
          <w:w w:val="100"/>
          <w:position w:val="0"/>
          <w:shd w:val="clear" w:color="auto" w:fill="auto"/>
          <w:lang w:val="hr-HR" w:eastAsia="hr-HR" w:bidi="hr-HR"/>
        </w:rPr>
        <w:t>goli</w:t>
      </w:r>
      <w:r>
        <w:rPr>
          <w:rFonts w:ascii="Times New Roman" w:eastAsia="Times New Roman" w:hAnsi="Times New Roman" w:cs="Times New Roman"/>
          <w:color w:val="000000"/>
          <w:spacing w:val="0"/>
          <w:w w:val="100"/>
          <w:position w:val="0"/>
          <w:shd w:val="clear" w:color="auto" w:fill="auto"/>
          <w:lang w:val="hr-HR" w:eastAsia="hr-HR" w:bidi="hr-HR"/>
        </w:rPr>
        <w:t xml:space="preserve"> (dijaspori) nalazimo u apo</w:t>
        <w:softHyphen/>
        <w:t>krifnim spisima o Juditi i o Tobiji potkraj per</w:t>
        <w:softHyphen/>
        <w:t>zijskoga doba; u njima se mogu raspoznati izolacionisličke crte premda se njihova povi</w:t>
        <w:softHyphen/>
        <w:t>jesna jezgra može teško istražiti. O događa</w:t>
        <w:softHyphen/>
        <w:t>jima na perzijskom dvoru izvješćuje pregled</w:t>
        <w:softHyphen/>
      </w:r>
      <w:r>
        <w:rPr>
          <w:rFonts w:ascii="Times New Roman" w:eastAsia="Times New Roman" w:hAnsi="Times New Roman" w:cs="Times New Roman"/>
          <w:color w:val="000000"/>
          <w:spacing w:val="0"/>
          <w:w w:val="100"/>
          <w:position w:val="0"/>
          <w:shd w:val="clear" w:color="auto" w:fill="auto"/>
          <w:lang w:val="hr-HR" w:eastAsia="hr-HR" w:bidi="hr-HR"/>
        </w:rPr>
        <w:t>no i točno kanonska knjiga Estera; i ovdje ne</w:t>
        <w:softHyphen/>
        <w:t>dostaju izvanbiblijski dokumenti koji ta izvješ</w:t>
        <w:softHyphen/>
        <w:t>ća potvrđuju. Unatoč tomu, te židovske pre</w:t>
        <w:softHyphen/>
        <w:t>daje daju određeni uvid u odnose gole na Is</w:t>
        <w:softHyphen/>
        <w:t>toku i dokazuju nekakvo socio-rcligiozno an- tižidovsko stajalište. Židovi koji su se naselja</w:t>
        <w:softHyphen/>
        <w:t>vali u Palestini osjetili su neprijateljstvo neži- dovskoga stanovništva različitoga etničkog podrijetla, koje se pod vlašću Ptolemejaca i Seleukida udružilo u određeno helenizirano jedinstvo. No, židovski se narod susreo s mržnjom ne samo pri svojoj integraciji u sirij- sko-fenički savez država i u helenističku civili</w:t>
        <w:softHyphen/>
        <w:t>zaciju, u Judeji i u drugim područjima svoje domovine, zbog svojega specifičnog nacional</w:t>
        <w:softHyphen/>
        <w:t xml:space="preserve">nog, religijskog i kulturnog karaktera (1 i 2 Mak; Sir 36; 50,25 i d.; Josip Fiavije,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 </w:t>
      </w:r>
      <w:r>
        <w:rPr>
          <w:rFonts w:ascii="Times New Roman" w:eastAsia="Times New Roman" w:hAnsi="Times New Roman" w:cs="Times New Roman"/>
          <w:i/>
          <w:iCs/>
          <w:color w:val="000000"/>
          <w:spacing w:val="0"/>
          <w:w w:val="100"/>
          <w:position w:val="0"/>
          <w:shd w:val="clear" w:color="auto" w:fill="auto"/>
          <w:lang w:val="hr-HR" w:eastAsia="hr-HR" w:bidi="hr-HR"/>
        </w:rPr>
        <w:t>tates XII,</w:t>
      </w:r>
      <w:r>
        <w:rPr>
          <w:rFonts w:ascii="Times New Roman" w:eastAsia="Times New Roman" w:hAnsi="Times New Roman" w:cs="Times New Roman"/>
          <w:color w:val="000000"/>
          <w:spacing w:val="0"/>
          <w:w w:val="100"/>
          <w:position w:val="0"/>
          <w:shd w:val="clear" w:color="auto" w:fill="auto"/>
          <w:lang w:val="hr-HR" w:eastAsia="hr-HR" w:bidi="hr-HR"/>
        </w:rPr>
        <w:t xml:space="preserve"> 1; 3,3-11,2); mržnja se ponajprije susreće i prema skupinama židovskoga stanov</w:t>
        <w:softHyphen/>
        <w:t>ništva koje su živjele u dijaspori kao religijska manjina. Seoba Židova iz Palestine u Egipat pojačala se u početnoj fazi helenizma. Dije</w:t>
        <w:softHyphen/>
        <w:t>lom je bila i prisilna: ptolemejske vojske koje su prolazile kroz Palestinu zarobile su mnoge Židove i porobile ih; drugi su se Židovi pak preseljavali dragovoljno: privlačili su ih bolji gospodarski uvjeti u Egiptu koji je također bio pod ptolemejskom vlašću. Ugledni Judejci pu</w:t>
        <w:softHyphen/>
        <w:t>tovali su često u Aleksandriju privatno i po</w:t>
        <w:softHyphen/>
        <w:t xml:space="preserve">slovno i održavali veze sa Židovima koji su živjeli u Egiptu (Sir, Proslov; Josip Fiavije,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Antiquitaies </w:t>
      </w:r>
      <w:r>
        <w:rPr>
          <w:rFonts w:ascii="Times New Roman" w:eastAsia="Times New Roman" w:hAnsi="Times New Roman" w:cs="Times New Roman"/>
          <w:i/>
          <w:iCs/>
          <w:color w:val="000000"/>
          <w:spacing w:val="0"/>
          <w:w w:val="100"/>
          <w:position w:val="0"/>
          <w:shd w:val="clear" w:color="auto" w:fill="auto"/>
          <w:lang w:val="hr-HR" w:eastAsia="hr-HR" w:bidi="hr-HR"/>
        </w:rPr>
        <w:t>XII,</w:t>
      </w:r>
      <w:r>
        <w:rPr>
          <w:rFonts w:ascii="Times New Roman" w:eastAsia="Times New Roman" w:hAnsi="Times New Roman" w:cs="Times New Roman"/>
          <w:color w:val="000000"/>
          <w:spacing w:val="0"/>
          <w:w w:val="100"/>
          <w:position w:val="0"/>
          <w:shd w:val="clear" w:color="auto" w:fill="auto"/>
          <w:lang w:val="hr-HR" w:eastAsia="hr-HR" w:bidi="hr-HR"/>
        </w:rPr>
        <w:t xml:space="preserve"> 2,1-7,13-15). Pučanstvo he</w:t>
        <w:softHyphen/>
        <w:t>lenističkog Orijcnta odgovorilo je na snažan rast dijaspore virulentnom mržnjom prema Židovima. Već u nekim palestinskim grado</w:t>
        <w:softHyphen/>
        <w:t>vima, koje su utemeljili Grci i Rimljani, prim</w:t>
        <w:softHyphen/>
        <w:t>jerice u lučkom gradu Cezareji, glavnom gra</w:t>
        <w:softHyphen/>
        <w:t>du rimske uprave u zemlji, ali posebice izvan Palestine, Židove su smatrali strancima, prem</w:t>
        <w:softHyphen/>
        <w:t>da su oni tamo, npr. u Alcksandriji, već sto</w:t>
        <w:softHyphen/>
        <w:t>ljećima bili nastanjeni. Raširena mržnja i pre</w:t>
        <w:softHyphen/>
        <w:t>zir prema Židovima u helenističko-rimskom društvu imali su razne uzroke: za nežidove nerazumljiv parlikularislički židovski način ži</w:t>
        <w:softHyphen/>
        <w:t>vota (život prema halahi), uključujući svako</w:t>
        <w:softHyphen/>
        <w:t>dnevne naputke u vezi s prehranom koja se temelji na propisima o hrani i čistoći te uklju</w:t>
        <w:softHyphen/>
        <w:t>čujući i ograničene mogućnosti komunikacije, stalno su upozoravali svakoga na razliku iz</w:t>
        <w:softHyphen/>
        <w:t>među njih i drugih u sredini u kojoj su živjeli. Pučanstvo je također osjećalo odijcljenost zbog njihova ujedinjavanja u židovske zajed</w:t>
        <w:softHyphen/>
      </w:r>
      <w:r>
        <w:rPr>
          <w:rFonts w:ascii="Times New Roman" w:eastAsia="Times New Roman" w:hAnsi="Times New Roman" w:cs="Times New Roman"/>
          <w:color w:val="000000"/>
          <w:spacing w:val="0"/>
          <w:w w:val="100"/>
          <w:position w:val="0"/>
          <w:shd w:val="clear" w:color="auto" w:fill="auto"/>
          <w:lang w:val="hr-HR" w:eastAsia="hr-HR" w:bidi="hr-HR"/>
        </w:rPr>
        <w:t>nice koje su se činile poput države u državi. Naglasak, koji su izlasku iz Egipta pridavali židovski sveti spisi, liturgija i običaji u vezi s njihovim blagdanom Pesaha, Egipćani su osje</w:t>
        <w:softHyphen/>
        <w:t>ćali kao nacionalnu uvredu; nelagodu su osje</w:t>
        <w:softHyphen/>
        <w:t>ćali i njihovi helenistički vladari. Helenistička masa doživljavala je kao drskost ista građan</w:t>
        <w:softHyphen/>
        <w:t>ska i politička prava koja su Židovi naseljeni u »grčkim« gradovima, npr. u Aleksandriji, Neu- kratisu i Ptolemaidi, mogli tražiti i za sebe.</w:t>
      </w:r>
    </w:p>
    <w:p>
      <w:pPr>
        <w:pStyle w:val="Style20"/>
        <w:keepNext w:val="0"/>
        <w:keepLines w:val="0"/>
        <w:widowControl w:val="0"/>
        <w:shd w:val="clear" w:color="auto" w:fill="auto"/>
        <w:bidi w:val="0"/>
        <w:spacing w:before="0" w:after="0"/>
        <w:ind w:left="0" w:right="0" w:firstLine="0"/>
        <w:jc w:val="both"/>
        <w:sectPr>
          <w:headerReference w:type="default" r:id="rId105"/>
          <w:footerReference w:type="default" r:id="rId106"/>
          <w:headerReference w:type="even" r:id="rId107"/>
          <w:footerReference w:type="even" r:id="rId108"/>
          <w:headerReference w:type="first" r:id="rId109"/>
          <w:footerReference w:type="first" r:id="rId110"/>
          <w:footnotePr>
            <w:pos w:val="pageBottom"/>
            <w:numFmt w:val="decimal"/>
            <w:numStart w:val="5"/>
            <w:numRestart w:val="continuous"/>
            <w15:footnoteColumns w:val="1"/>
          </w:footnotePr>
          <w:pgSz w:w="6816" w:h="11006"/>
          <w:pgMar w:top="929" w:left="192" w:right="192" w:bottom="559" w:header="0" w:footer="3" w:gutter="0"/>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Nakon što su rimski osvajači srozali na poko</w:t>
        <w:softHyphen/>
        <w:t>reno pučanstvo isprva heterogene skupine, ko</w:t>
        <w:softHyphen/>
        <w:t>je su se u međuvremenu počele osjećati Grci</w:t>
        <w:softHyphen/>
        <w:t>ma, rasla je njihova težnja za razlikovanjem od Židova, pa se neprijateljstvo prema Rimu očitovalo u napadima na Židove. Neprekidno se ponavljao prigovor kako rimski carevi favo</w:t>
        <w:softHyphen/>
        <w:t>riziraju Židove. U svojim političkim odluka</w:t>
        <w:softHyphen/>
        <w:t>ma rimske su vlasti doista morale u Judeji uvi</w:t>
        <w:softHyphen/>
        <w:t>jek uzimati u obzir reakcije jakih židovskih općina dijaspori, u istočnim rimskim provinci</w:t>
        <w:softHyphen/>
        <w:t>jama te u zapadnom dijelu Rimskoga Carstva. Posebice su Židovi u Rimu, bliski dvoru, bu</w:t>
        <w:softHyphen/>
        <w:t>dili nepovjerenje vladajućih klasa; kao manji</w:t>
        <w:softHyphen/>
        <w:t xml:space="preserve">na koja je stalno živjela u dijaspori smatrali su se prisiljenima na </w:t>
      </w:r>
      <w:r>
        <w:rPr>
          <w:rFonts w:ascii="Times New Roman" w:eastAsia="Times New Roman" w:hAnsi="Times New Roman" w:cs="Times New Roman"/>
          <w:i/>
          <w:iCs/>
          <w:color w:val="000000"/>
          <w:spacing w:val="0"/>
          <w:w w:val="100"/>
          <w:position w:val="0"/>
          <w:shd w:val="clear" w:color="auto" w:fill="auto"/>
          <w:lang w:val="hr-HR" w:eastAsia="hr-HR" w:bidi="hr-HR"/>
        </w:rPr>
        <w:t>modus vivendi</w:t>
      </w:r>
      <w:r>
        <w:rPr>
          <w:rFonts w:ascii="Times New Roman" w:eastAsia="Times New Roman" w:hAnsi="Times New Roman" w:cs="Times New Roman"/>
          <w:color w:val="000000"/>
          <w:spacing w:val="0"/>
          <w:w w:val="100"/>
          <w:position w:val="0"/>
          <w:shd w:val="clear" w:color="auto" w:fill="auto"/>
          <w:lang w:val="hr-HR" w:eastAsia="hr-HR" w:bidi="hr-HR"/>
        </w:rPr>
        <w:t xml:space="preserve"> s moćnicima, pa su ih stoga grdili kao »imperijalističke sko</w:t>
        <w:softHyphen/>
        <w:t>rojeviće«. S druge strane, otpor njihova he- lenističko-rimskog okoliša poticao je ustraja</w:t>
        <w:softHyphen/>
        <w:t>nje Židova, suočenih s civilizacijom koja je spajala narode, u njihovoj monoteističkoj vjeri u nevidljiva Boga bez lika a posljedicama koje su iz toga proistjecale. Konzervativni krugovi pa i filozofski obrazovani ljudi, koji su u ido</w:t>
        <w:softHyphen/>
        <w:t>lima vidjeli samo simboličke prikaze prirod</w:t>
        <w:softHyphen/>
        <w:t>nih sila, zbunjeno su se suočavali s nacional- no-religijskim načinom života Židova, koji su se na život i smrt borili za nevidljivost svojega Boga bez lika, za pridržavanje zapovijedi o hrani ili za svetkovanje šabata te zanemarivali uobičajene kultne obrede, premda je njihovo tumačenje svakomu bilo dopušteno. Obram</w:t>
        <w:softHyphen/>
        <w:t>beni pokret, rođen u tjeskobi i strahu od drukčijega tražio je racionalan izlaz u mani</w:t>
        <w:softHyphen/>
        <w:t>festacijama koje su bile nalik na moderni a. Zbog svojega povlaštenog položaja, na koje</w:t>
        <w:softHyphen/>
        <w:t>mu su im zavidjeli drugi dijelovi pučanstva - široke autonomije u vlastitoj zemlji i opsežnih općinskih prava izvan nje - te s obzirom na njihovu spremnost na političke sukobe i time na zaoštravanje religijsko-socijalnih suprotnos</w:t>
        <w:softHyphen/>
        <w:t>ti, Židovi su se Rimljanima, uvjerenima u svo</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pravo na vlast nad svijetom i narodima koji su joj se pokorili, zacijelo doimali poput po prirodi buntovnoga, neposlušnog i opakog na</w:t>
        <w:softHyphen/>
        <w:t>roda.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Opisujući težnju Zidova svojega vremena i kasnijih naraštaja za oslobođenjem od rim</w:t>
        <w:softHyphen/>
        <w:t xml:space="preserve">skoga jarma, rimski pisci Ciceron, Horacije, Seneka i </w:t>
      </w:r>
      <w:r>
        <w:rPr>
          <w:rFonts w:ascii="Times New Roman" w:eastAsia="Times New Roman" w:hAnsi="Times New Roman" w:cs="Times New Roman"/>
          <w:color w:val="000000"/>
          <w:spacing w:val="0"/>
          <w:w w:val="100"/>
          <w:position w:val="0"/>
          <w:shd w:val="clear" w:color="auto" w:fill="auto"/>
          <w:lang w:val="en-US" w:eastAsia="en-US" w:bidi="en-US"/>
        </w:rPr>
        <w:t xml:space="preserve">Tacit </w:t>
      </w:r>
      <w:r>
        <w:rPr>
          <w:rFonts w:ascii="Times New Roman" w:eastAsia="Times New Roman" w:hAnsi="Times New Roman" w:cs="Times New Roman"/>
          <w:color w:val="000000"/>
          <w:spacing w:val="0"/>
          <w:w w:val="100"/>
          <w:position w:val="0"/>
          <w:shd w:val="clear" w:color="auto" w:fill="auto"/>
          <w:lang w:val="hr-HR" w:eastAsia="hr-HR" w:bidi="hr-HR"/>
        </w:rPr>
        <w:t>prenose nam sliku o malom praznovjernom narodu koji mrzi strance i planduje na šabat, koji se postavlja iznad gra</w:t>
        <w:softHyphen/>
        <w:t>nica zakona moći i ratne sreće (»fortuna«) što ih priznaju drugi narodi, i bori sc protiv rim</w:t>
        <w:softHyphen/>
        <w:t>ske mirovne vlasti (»pax Romana«) svojata</w:t>
        <w:softHyphen/>
        <w:t>jući pravo da ih je njihov nevidljivi Bog iz</w:t>
        <w:softHyphen/>
        <w:t>abrao za sebe. Kako moderni a., tako je i sta- rovjeka mržnja prema Židovima stvorila su</w:t>
        <w:softHyphen/>
        <w:t>protstavljene argumente: jedanput je politička slabost Zidova poslužila kao neoboriv dokaz njihove religijske inferiornosti (Ciceron); dru</w:t>
        <w:softHyphen/>
        <w:t>gi put, običajima te nadasve grešne nacije pri</w:t>
        <w:softHyphen/>
        <w:t>pisuje se jaka privlačnost i nešto prijeteće u njihovu primanju u drugim zemljama; pobije</w:t>
        <w:softHyphen/>
        <w:t xml:space="preserve">đeni su nametnuli svoje zakone pobjednicima (Seneka prema Augustinu,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 </w:t>
      </w:r>
      <w:r>
        <w:rPr>
          <w:rFonts w:ascii="Times New Roman" w:eastAsia="Times New Roman" w:hAnsi="Times New Roman" w:cs="Times New Roman"/>
          <w:i/>
          <w:iCs/>
          <w:color w:val="000000"/>
          <w:spacing w:val="0"/>
          <w:w w:val="100"/>
          <w:position w:val="0"/>
          <w:shd w:val="clear" w:color="auto" w:fill="auto"/>
          <w:lang w:val="hr-HR" w:eastAsia="hr-HR" w:bidi="hr-HR"/>
        </w:rPr>
        <w:t xml:space="preserve">civitate Dei). </w:t>
      </w:r>
      <w:r>
        <w:rPr>
          <w:rFonts w:ascii="Times New Roman" w:eastAsia="Times New Roman" w:hAnsi="Times New Roman" w:cs="Times New Roman"/>
          <w:color w:val="000000"/>
          <w:spacing w:val="0"/>
          <w:w w:val="100"/>
          <w:position w:val="0"/>
          <w:shd w:val="clear" w:color="auto" w:fill="auto"/>
          <w:lang w:val="hr-HR" w:eastAsia="hr-HR" w:bidi="hr-HR"/>
        </w:rPr>
        <w:t>Pogrešno mišljenje velikoga rimskog povjesni</w:t>
        <w:softHyphen/>
        <w:t xml:space="preserve">čara Tacita </w:t>
      </w:r>
      <w:r>
        <w:rPr>
          <w:rFonts w:ascii="Times New Roman" w:eastAsia="Times New Roman" w:hAnsi="Times New Roman" w:cs="Times New Roman"/>
          <w:i/>
          <w:iCs/>
          <w:color w:val="000000"/>
          <w:spacing w:val="0"/>
          <w:w w:val="100"/>
          <w:position w:val="0"/>
          <w:shd w:val="clear" w:color="auto" w:fill="auto"/>
          <w:lang w:val="hr-HR" w:eastAsia="hr-HR" w:bidi="hr-HR"/>
        </w:rPr>
        <w:t>(Historiae</w:t>
      </w:r>
      <w:r>
        <w:rPr>
          <w:rFonts w:ascii="Times New Roman" w:eastAsia="Times New Roman" w:hAnsi="Times New Roman" w:cs="Times New Roman"/>
          <w:color w:val="000000"/>
          <w:spacing w:val="0"/>
          <w:w w:val="100"/>
          <w:position w:val="0"/>
          <w:shd w:val="clear" w:color="auto" w:fill="auto"/>
          <w:lang w:val="hr-HR" w:eastAsia="hr-HR" w:bidi="hr-HR"/>
        </w:rPr>
        <w:t xml:space="preserve"> V, 1-13; </w:t>
      </w:r>
      <w:r>
        <w:rPr>
          <w:rFonts w:ascii="Times New Roman" w:eastAsia="Times New Roman" w:hAnsi="Times New Roman" w:cs="Times New Roman"/>
          <w:i/>
          <w:iCs/>
          <w:color w:val="000000"/>
          <w:spacing w:val="0"/>
          <w:w w:val="100"/>
          <w:position w:val="0"/>
          <w:shd w:val="clear" w:color="auto" w:fill="auto"/>
          <w:lang w:val="en-US" w:eastAsia="en-US" w:bidi="en-US"/>
        </w:rPr>
        <w:t>Annales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XV, 44) o Židovima i židovstvu nije bilo veoma utjecajno samo u starom i srednjem vijeku; uvijek su ga iznova navodili antisemitski teks</w:t>
        <w:softHyphen/>
        <w:t>tovi sve do u XX. stoljeća. Već je stari vijek pripremao propagandno i stimulativno sred</w:t>
        <w:softHyphen/>
        <w:t>stvo za ono što se u srednjem i u novom vijeku jasno potvrdilo kao religijski utemeljeni a. i što se danas u povijesti antisemitizma naziva »obredno ubojstvo«; borba protiv Židova opravdava sc diskreditiranjem židovskoga na</w:t>
        <w:softHyphen/>
        <w:t>roda i njegove religije: Antioh IV. Epifan (175-164 pr. Kr.) navodno je u Svetinji nad svetinjama jeruzalemskoga hrama, koji je on oskvrnuo i čije je blago opljačkao, našao čak zlatnu magareću glavu - pravi židovski kultni objekt! - i oslobodio jednoga Grka, kojega su Židovi držali kao zarobljenika u Hramu i to</w:t>
        <w:softHyphen/>
        <w:t>vili ga kako bi ga poslije »uz neprijateljske kletve protiv svih Helena« zaklali i prema svo</w:t>
        <w:softHyphen/>
        <w:t xml:space="preserve">jem običaju pojeli. Klasični a. stvorio je ove i druge protužidovske prikaze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I;24 i d.; 11,7) za kojima je moderni a. posegnuo poput nekakve tradicije. Prije privilegiranoga položaja kršćanske reli</w:t>
        <w:softHyphen/>
        <w:t xml:space="preserve">gije, koji je ona dobila od Konstantina (313), židovstvo se moralo razračunati s poganskim </w:t>
      </w:r>
      <w:r>
        <w:rPr>
          <w:rFonts w:ascii="Times New Roman" w:eastAsia="Times New Roman" w:hAnsi="Times New Roman" w:cs="Times New Roman"/>
          <w:color w:val="000000"/>
          <w:spacing w:val="0"/>
          <w:w w:val="100"/>
          <w:position w:val="0"/>
          <w:shd w:val="clear" w:color="auto" w:fill="auto"/>
          <w:lang w:val="hr-HR" w:eastAsia="hr-HR" w:bidi="hr-HR"/>
        </w:rPr>
        <w:t>svijetom, napose na kulturnom području, jer pogansko Rimsko Carstvo nije osporavalo po</w:t>
        <w:softHyphen/>
        <w:t>stojanje nacionalnih religija. Odnosi Židova i njihova okoliša ipak su se temeljito promije</w:t>
        <w:softHyphen/>
        <w:t>nili kad je kršćanstvo ojačalo i u IV. stoljeću uzdignuto u službenu državnu religiju. Krš</w:t>
        <w:softHyphen/>
        <w:t>ćanstvo kao monoteistička religija nije pokraj sebe trpjelo ni jednu drugu religiju; smatralo se nasljednikom »duhovnog Izraela« i pogan</w:t>
        <w:softHyphen/>
        <w:t>skoga svijeta te iz toga izvodilo svoje pravo na religijsku i političku vlast. Dok su svojom za</w:t>
        <w:softHyphen/>
        <w:t>daćom držali iskorjenjivanje poganstva, krš</w:t>
        <w:softHyphen/>
        <w:t>ćanstvo je priznavalo židovstvo »ovoga svije</w:t>
        <w:softHyphen/>
        <w:t>ta«, ali ipak uvjereno da je opće obraćenje Židova rezervirano za »budući svijet«. Crkva je ipak sustavno poticala mržnju prema Žido</w:t>
        <w:softHyphen/>
        <w:t>vima. Otkako se odvojila od židovstva, u prak</w:t>
        <w:softHyphen/>
        <w:t>si je primjenjivala prezir prema Židovima i u rimskim višim slojevima preuzela prezrivo sta</w:t>
        <w:softHyphen/>
        <w:t>jalište poganskoga carstva. Neprijateljstvo pre</w:t>
        <w:softHyphen/>
        <w:t>ma Židovima, koje su širili crkveni oci, bisku</w:t>
        <w:softHyphen/>
        <w:t>pi i redovnici, te uvredljiv jezik antižidovskoga carskog zakonodavstva i uredba vlade i upra</w:t>
        <w:softHyphen/>
        <w:t>ve očitovali su sc na svim razinama; ono je po</w:t>
        <w:softHyphen/>
        <w:t>primilo jasan oblik i u napadima fanatika na Židove i njihove ustanove.</w:t>
      </w:r>
    </w:p>
    <w:p>
      <w:pPr>
        <w:pStyle w:val="Style20"/>
        <w:keepNext w:val="0"/>
        <w:keepLines w:val="0"/>
        <w:widowControl w:val="0"/>
        <w:shd w:val="clear" w:color="auto" w:fill="auto"/>
        <w:bidi w:val="0"/>
        <w:spacing w:before="0" w:after="0"/>
        <w:ind w:left="0" w:right="0" w:firstLine="0"/>
        <w:jc w:val="both"/>
        <w:sectPr>
          <w:headerReference w:type="default" r:id="rId111"/>
          <w:footerReference w:type="default" r:id="rId112"/>
          <w:headerReference w:type="even" r:id="rId113"/>
          <w:footerReference w:type="even" r:id="rId114"/>
          <w:footnotePr>
            <w:pos w:val="pageBottom"/>
            <w:numFmt w:val="decimal"/>
            <w:numStart w:val="5"/>
            <w:numRestart w:val="continuous"/>
            <w15:footnoteColumns w:val="1"/>
          </w:footnotePr>
          <w:type w:val="continuous"/>
          <w:pgSz w:w="6816" w:h="11006"/>
          <w:pgMar w:top="929" w:left="192" w:right="192" w:bottom="559" w:header="0" w:footer="3" w:gutter="0"/>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Srednji su vijek Židovi doživjeli u potpunosti kao povijest obeščašćenja, nasilja, progona, protjerivanja i razvlašćivanja. U prvim stolje</w:t>
        <w:softHyphen/>
        <w:t>ćima prijelaznog razdoblja od srednjega vije</w:t>
        <w:softHyphen/>
        <w:t>ka do nastanka modernoga zapadnog svijeta većina je Židova živjela još u Aziji i u sjever</w:t>
        <w:softHyphen/>
        <w:t>noj Africi, u Istočnorimskom, tj. kršćansko- bizantskom Carstvu i u muslimanskim imperi</w:t>
        <w:softHyphen/>
        <w:t>jima koji su se širili od Arabije; u civilizaciji i kulturi bili su mnogo nadmoćniji od Europe koja se prcustrojavala. Između VIII. i XII. sto</w:t>
        <w:softHyphen/>
        <w:t>ljeća židovsko se naseljavanje premjestilo s is</w:t>
        <w:softHyphen/>
        <w:t>toka na zapad, pa se od XII. stoljeća do kas</w:t>
        <w:softHyphen/>
        <w:t xml:space="preserve">nog XIV. stoljeća, te u ograničenom opsegu sve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XX. stoljeća većina židovskoga naroda nastanila u kršćanskom svijetu i ondje morala tražiti gospodarsku egzistenciju, uvijek je ob</w:t>
        <w:softHyphen/>
        <w:t>navljati i ostvarivati svoje religijske, socijalne i kulturne težnje. U gospodarstvu svake poje</w:t>
        <w:softHyphen/>
        <w:t>dine zemlje Židovi su uvijek popunjavali praz</w:t>
        <w:softHyphen/>
        <w:t>nine koje još nisu zauzeli povlašteni domaći ljudi i do kojih im Crkva, država i društvo kao nekršćanima još nije zakrčila put. U X. i XI. stoljeću srednjoeuropski i istočnoeuropski Ži</w:t>
        <w:softHyphen/>
        <w:t>dovi (Aškcnazi) osjećali su sve jači religijski i socijalni pritisak kojim su ih kršćani htjeli na</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vesti na odmetanje od židovske vjere. Ako su Židovi još dotad mogli gnjevno odbijati takve zahtjeve, sada su bili prisiljeni na odluku: Oči- tuj se kao kršćanin ili umri! Doduše, Prvi križarski rat 1096. donio je uspjeh papinskom planu da stane na ćelo kršćana; no Židovima koji su živjeli u kršćanskim zemljama otvorio je novu epohu patničke okrutnosti, a dakako i posvećivanja svetoga imena Božjega stalnim mućeništvom </w:t>
      </w:r>
      <w:r>
        <w:rPr>
          <w:rFonts w:ascii="Times New Roman" w:eastAsia="Times New Roman" w:hAnsi="Times New Roman" w:cs="Times New Roman"/>
          <w:i/>
          <w:iCs/>
          <w:color w:val="000000"/>
          <w:spacing w:val="0"/>
          <w:w w:val="100"/>
          <w:position w:val="0"/>
          <w:shd w:val="clear" w:color="auto" w:fill="auto"/>
          <w:lang w:val="hr-HR" w:eastAsia="hr-HR" w:bidi="hr-HR"/>
        </w:rPr>
        <w:t>(kiduš ha-šem).</w:t>
      </w:r>
      <w:r>
        <w:rPr>
          <w:rFonts w:ascii="Times New Roman" w:eastAsia="Times New Roman" w:hAnsi="Times New Roman" w:cs="Times New Roman"/>
          <w:color w:val="000000"/>
          <w:spacing w:val="0"/>
          <w:w w:val="100"/>
          <w:position w:val="0"/>
          <w:shd w:val="clear" w:color="auto" w:fill="auto"/>
          <w:lang w:val="hr-HR" w:eastAsia="hr-HR" w:bidi="hr-HR"/>
        </w:rPr>
        <w:t xml:space="preserve"> Sakralna umjet</w:t>
        <w:softHyphen/>
        <w:t>nost, njezini alegorijski prikazi, klevetanja i okrivljavanja i otvorena osuda Talmuda sijali su mržnju prema Židovima u XII., posebice u XIII. stoljeću; u područjima aškenaskih opći</w:t>
        <w:softHyphen/>
        <w:t>na između 1298. (optužba za oskvrnuće hos</w:t>
        <w:softHyphen/>
        <w:t>tije u Rottingenu) i 1348. (Židovi su osum</w:t>
        <w:softHyphen/>
        <w:t>njičeni da su otrovanjem bunara uzrokovali »crnu smrt« radi uništenja cjelokupnoga krš</w:t>
        <w:softHyphen/>
        <w:t>ćanstva) uslijedili su progoni i masakri. Nakon uvođenja inkvizicije i ujedinjenja Španjolske u zajedničku državu, »katolički kraljevi« protje</w:t>
        <w:softHyphen/>
        <w:t>rali su 1492. iz Španjolske sve Židove koji nisu prešli na kršćanstvo u roku od tri mjeseca. Nekoliko godina poslije i portugalski su Ži</w:t>
        <w:softHyphen/>
        <w:t>dovi morali birati između pokrštavanja i pro</w:t>
        <w:softHyphen/>
        <w:t>gonstva. Napokon, gospodarska i socijalna kri</w:t>
        <w:softHyphen/>
        <w:t>za u XIV. i XV. stoljeću uzrokovala je pro</w:t>
        <w:softHyphen/>
        <w:t>tjerivanje Židova iz Europe kao žrtvenih ja</w:t>
        <w:softHyphen/>
        <w:t>raca.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Apsolutističke europske države pružale su Ži</w:t>
        <w:softHyphen/>
        <w:t>dovima između XVI. i XVIII. stoljeća prostor kad su njihovim vladarima pomagali pri posti</w:t>
        <w:softHyphen/>
        <w:t>zanju njihovih ciljeva poput slobodnijeg ra</w:t>
        <w:softHyphen/>
        <w:t>spolaganja prihodima i time razvoja novih go</w:t>
        <w:softHyphen/>
        <w:t>spodarskih djelatnosti. No, s primanjem i po</w:t>
        <w:softHyphen/>
        <w:t>ložajem Židova nastale su negativne poslje</w:t>
        <w:softHyphen/>
        <w:t>dice: naslijeđenim stereotipnim predodžbama o Židovu kao demonskom štetniku kršćana priključila se mržnja starosjedioca koji je bra</w:t>
        <w:softHyphen/>
        <w:t>nio svoja prava i osnovu svoje gospodarske eg</w:t>
        <w:softHyphen/>
        <w:t>zistencije od kvaritelja »dobrih starih« običaja i kršitelja časne tradicije i nastojao isključiti suparnika u gospodarstvu moralnim argumen</w:t>
        <w:softHyphen/>
        <w:t>tima i oduzeti mu pravo boravka. Za Židove je srednji vijek sa svojim sustavom posebnih prava za društvene staleže i klase i ograniče</w:t>
        <w:softHyphen/>
        <w:t>njima posebnih prava, a time i klasični a., za</w:t>
        <w:softHyphen/>
        <w:t>vršio tek s proglašenjem trajnih prava čovjeka u američkoj Deklaraciji o neovisnosti 1776. i sa shvaćanjem slobode, jednakosti i bratstva svih ljudi u Francuskoj revoluciji 1789. godi</w:t>
        <w:softHyphen/>
        <w:t>ne.</w:t>
      </w:r>
    </w:p>
    <w:p>
      <w:pPr>
        <w:pStyle w:val="Style20"/>
        <w:keepNext w:val="0"/>
        <w:keepLines w:val="0"/>
        <w:widowControl w:val="0"/>
        <w:numPr>
          <w:ilvl w:val="0"/>
          <w:numId w:val="15"/>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Modemi a. :</w:t>
      </w:r>
      <w:r>
        <w:rPr>
          <w:rFonts w:ascii="Times New Roman" w:eastAsia="Times New Roman" w:hAnsi="Times New Roman" w:cs="Times New Roman"/>
          <w:color w:val="000000"/>
          <w:spacing w:val="0"/>
          <w:w w:val="100"/>
          <w:position w:val="0"/>
          <w:shd w:val="clear" w:color="auto" w:fill="auto"/>
          <w:lang w:val="hr-HR" w:eastAsia="hr-HR" w:bidi="hr-HR"/>
        </w:rPr>
        <w:t xml:space="preserve"> Deklaracija o pravima čovjeka postavila je temelj socijalnoga i političkog oslo</w:t>
        <w:softHyphen/>
        <w:t>bođenja europskih Židova i njihova uključe</w:t>
        <w:softHyphen/>
        <w:t>nja u modernu državu i moderno društvo i kulturu koje je ta država oblikovala i koja ih oblikuje. Proces emancipacije trajao je ponov</w:t>
        <w:softHyphen/>
        <w:t>no gotovo stotinu godina; posljednja geta zat</w:t>
        <w:softHyphen/>
        <w:t>vorena su u Francuskoj, Engleskoj i Austriji 1867., a u Njemačkoj tek 1871. godine. Libe</w:t>
        <w:softHyphen/>
        <w:t>ralizam ondje nije vodio k emancipaciji Ži</w:t>
        <w:softHyphen/>
        <w:t>dova; u Njemačkoj je to prije bio čin milosrđa apsolutističke države, kako je pokazao njezin postupak: nepisani zakon onemogućavao je Židovima činovničku karijeru, a licencije za rad sudaca i sveučilišnih profesora nisu mogli dobiti. S formalno-pravnim izjednačavanjem statusa i integracijom Židova u državno-druš- tveni život naroda nastao je moderni a., koji povijesno-sociološka istraživanja razlikuju od klasičnoga, premda se u njima prepoznaje ne</w:t>
        <w:softHyphen/>
        <w:t>jasna razdjclnica tih dvaju razdoblja; naime, mnoge antisemitske predrasude s trajnim ka</w:t>
        <w:softHyphen/>
        <w:t>rakteristikama (obredna smrt, oskvrnuće hos</w:t>
        <w:softHyphen/>
        <w:t>tije, lihvarstvo itd.) zadržale su se kroz stolje</w:t>
        <w:softHyphen/>
        <w:t>ća sve do danas. Ako je neprijateljstvo prema Židovima prije prosvjetiteljstva bilo usmjere</w:t>
        <w:softHyphen/>
        <w:t>no ponajprije protiv židovskih religijskih obi</w:t>
        <w:softHyphen/>
        <w:t>čaja, protiv njihova načina života i načina pri</w:t>
        <w:softHyphen/>
        <w:t>vređivanja i ako su ih obilježavali kao društve</w:t>
        <w:softHyphen/>
        <w:t>ne parazite i krvopije, kao političke prevrat</w:t>
        <w:softHyphen/>
        <w:t>nike čija bi »pokvarenost i nelojalnost« mogla dokinuti i sam prijelaz na kršćanstvo, modemi su antisemiti tvrdili kako je razorni »židovski demon« prodro u Europu s onim Židovima koji su se svojim nazorima i svojim oblikom života najviše približili sredini. Oni su sagra</w:t>
        <w:softHyphen/>
        <w:t>dili suprotnost između stranoga, orijentalnog »židovskog načina« i »arijsko-kršćanskog du</w:t>
        <w:softHyphen/>
        <w:t>ha«, koji je vladao europskim narodima, te uzdizali nepromjenljivost svoje prirode i stoga vječno neprijateljstvo između jednog i drugog na razinu svojega antisemitskog vjerskog na</w:t>
        <w:softHyphen/>
        <w:t>čela. Poslužili su se određenim rezultatima is</w:t>
        <w:softHyphen/>
        <w:t>traživanja fiziološke antropologije kako bi se okoristili pojmom rase kao elementom za ob</w:t>
        <w:softHyphen/>
        <w:t>jašnjenje povijesti. Antisemitski pokreti i pro</w:t>
        <w:softHyphen/>
        <w:t>glasi u njemačko carsko doba pretopili su krš</w:t>
        <w:softHyphen/>
        <w:t>ćanski, politički i rasistički a. u politički in</w:t>
        <w:softHyphen/>
        <w:t>strument kojim se u svako doba moglo ma</w:t>
        <w:softHyphen/>
        <w:t>nipulirati s najrazličitijim ciljevima.</w:t>
      </w:r>
    </w:p>
    <w:p>
      <w:pPr>
        <w:pStyle w:val="Style20"/>
        <w:keepNext w:val="0"/>
        <w:keepLines w:val="0"/>
        <w:widowControl w:val="0"/>
        <w:shd w:val="clear" w:color="auto" w:fill="auto"/>
        <w:bidi w:val="0"/>
        <w:spacing w:before="0" w:after="0"/>
        <w:ind w:left="0" w:right="0" w:firstLine="0"/>
        <w:jc w:val="both"/>
        <w:sectPr>
          <w:headerReference w:type="default" r:id="rId115"/>
          <w:footerReference w:type="default" r:id="rId116"/>
          <w:headerReference w:type="even" r:id="rId117"/>
          <w:footerReference w:type="even" r:id="rId118"/>
          <w:footnotePr>
            <w:pos w:val="pageBottom"/>
            <w:numFmt w:val="decimal"/>
            <w:numStart w:val="5"/>
            <w:numRestart w:val="continuous"/>
            <w15:footnoteColumns w:val="1"/>
          </w:footnotePr>
          <w:pgSz w:w="6816" w:h="11006"/>
          <w:pgMar w:top="929" w:left="192" w:right="192" w:bottom="559" w:header="0" w:footer="3" w:gutter="0"/>
          <w:pgNumType w:start="49"/>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Religijsko podrijetlo bio je novovjeki protuži- dovski pokret u Francuskoj; tek u doba Drey-</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fusove afere on je između 1894. i 1906. naglo pokrenuo politički antisemitski val. U obliku političkog antisemitizma moderna se mržnja prema Židovima manifestirala posebice u Nje</w:t>
        <w:softHyphen/>
        <w:t>mačkoj. Tek kad je berlinski dvorski propo</w:t>
        <w:softHyphen/>
        <w:t xml:space="preserve">vjednik Adolf </w:t>
      </w:r>
      <w:r>
        <w:rPr>
          <w:rFonts w:ascii="Times New Roman" w:eastAsia="Times New Roman" w:hAnsi="Times New Roman" w:cs="Times New Roman"/>
          <w:color w:val="000000"/>
          <w:spacing w:val="0"/>
          <w:w w:val="100"/>
          <w:position w:val="0"/>
          <w:shd w:val="clear" w:color="auto" w:fill="auto"/>
          <w:lang w:val="en-US" w:eastAsia="en-US" w:bidi="en-US"/>
        </w:rPr>
        <w:t xml:space="preserve">Stocker </w:t>
      </w:r>
      <w:r>
        <w:rPr>
          <w:rFonts w:ascii="Times New Roman" w:eastAsia="Times New Roman" w:hAnsi="Times New Roman" w:cs="Times New Roman"/>
          <w:color w:val="000000"/>
          <w:spacing w:val="0"/>
          <w:w w:val="100"/>
          <w:position w:val="0"/>
          <w:shd w:val="clear" w:color="auto" w:fill="auto"/>
          <w:lang w:val="hr-HR" w:eastAsia="hr-HR" w:bidi="hr-HR"/>
        </w:rPr>
        <w:t>svojoj »Kršćansko-so- cijalnoj radničkoj stranci«, osnovanoj 1878. i isprva alternativi uglavnom religijskokritičko- ga, pa i protucrkvenog radničkog pokreta, dao antisemitski program i agitirao protiv »židov</w:t>
        <w:softHyphen/>
        <w:t>ske prevlasti« u poslovnom životu, u tisku i u politici, nisu mu prišli samo pojedini ntalo- gradani nego i mase. Njegov »Berlinski po</w:t>
        <w:softHyphen/>
        <w:t>kret« (1880) naišao je na sve veće odobra</w:t>
        <w:softHyphen/>
        <w:t>vanje u konzervativnoj aristokraciji, na dvoru i medu časnicima, činovnicima i, prije svega, medu studentima. »Židovsko pitanje« bilo je tema u tisku, na ulici i u salonima. /X. je držao na okupu najrazličitije političke struje. Karak</w:t>
        <w:softHyphen/>
        <w:t>terizirala ga je Stbckcrova namjera: »Neću ni</w:t>
        <w:softHyphen/>
        <w:t>kakvu kulturu bez nijemstva i kršćanstva; sto</w:t>
        <w:softHyphen/>
        <w:t>ga se borim protiv židovske premoći.« Povjes</w:t>
        <w:softHyphen/>
        <w:t xml:space="preserve">ničar </w:t>
      </w:r>
      <w:r>
        <w:rPr>
          <w:rFonts w:ascii="Times New Roman" w:eastAsia="Times New Roman" w:hAnsi="Times New Roman" w:cs="Times New Roman"/>
          <w:color w:val="000000"/>
          <w:spacing w:val="0"/>
          <w:w w:val="100"/>
          <w:position w:val="0"/>
          <w:shd w:val="clear" w:color="auto" w:fill="auto"/>
          <w:lang w:val="en-US" w:eastAsia="en-US" w:bidi="en-US"/>
        </w:rPr>
        <w:t xml:space="preserve">Heinrich von </w:t>
      </w:r>
      <w:r>
        <w:rPr>
          <w:rFonts w:ascii="Times New Roman" w:eastAsia="Times New Roman" w:hAnsi="Times New Roman" w:cs="Times New Roman"/>
          <w:color w:val="000000"/>
          <w:spacing w:val="0"/>
          <w:w w:val="100"/>
          <w:position w:val="0"/>
          <w:shd w:val="clear" w:color="auto" w:fill="auto"/>
          <w:lang w:val="hr-HR" w:eastAsia="hr-HR" w:bidi="hr-HR"/>
        </w:rPr>
        <w:t>Treitschkc, koji je na aka</w:t>
        <w:softHyphen/>
        <w:t>demsko građanstvo prenosio a., slično je obli</w:t>
        <w:softHyphen/>
        <w:t>kovao svoje misli: »Nećemo da nakon tisućlje</w:t>
        <w:softHyphen/>
        <w:t>ća germanske ćudorednosti uslijedi era mije</w:t>
        <w:softHyphen/>
        <w:t xml:space="preserve">šane njemačko-ž.idovske kulture« </w:t>
      </w:r>
      <w:r>
        <w:rPr>
          <w:rFonts w:ascii="Times New Roman" w:eastAsia="Times New Roman" w:hAnsi="Times New Roman" w:cs="Times New Roman"/>
          <w:i/>
          <w:iCs/>
          <w:color w:val="000000"/>
          <w:spacing w:val="0"/>
          <w:w w:val="100"/>
          <w:position w:val="0"/>
          <w:shd w:val="clear" w:color="auto" w:fill="auto"/>
          <w:lang w:val="hr-HR" w:eastAsia="hr-HR" w:bidi="hr-HR"/>
        </w:rPr>
        <w:t>(Pruski go</w:t>
        <w:softHyphen/>
        <w:t>dišnjaci 1879)-,</w:t>
      </w:r>
      <w:r>
        <w:rPr>
          <w:rFonts w:ascii="Times New Roman" w:eastAsia="Times New Roman" w:hAnsi="Times New Roman" w:cs="Times New Roman"/>
          <w:color w:val="000000"/>
          <w:spacing w:val="0"/>
          <w:w w:val="100"/>
          <w:position w:val="0"/>
          <w:shd w:val="clear" w:color="auto" w:fill="auto"/>
          <w:lang w:val="hr-HR" w:eastAsia="hr-HR" w:bidi="hr-HR"/>
        </w:rPr>
        <w:t xml:space="preserve"> njegova su izlaganja dosegla vrhunac u rečenici koja sc uvijek iznova navo</w:t>
        <w:softHyphen/>
        <w:t xml:space="preserve">dila u svim antisemitskim tekstovima i koja je poslije odjekivala s naslovnih stranica </w:t>
      </w:r>
      <w:r>
        <w:rPr>
          <w:rFonts w:ascii="Times New Roman" w:eastAsia="Times New Roman" w:hAnsi="Times New Roman" w:cs="Times New Roman"/>
          <w:i/>
          <w:iCs/>
          <w:color w:val="000000"/>
          <w:spacing w:val="0"/>
          <w:w w:val="100"/>
          <w:position w:val="0"/>
          <w:shd w:val="clear" w:color="auto" w:fill="auto"/>
          <w:lang w:val="hr-HR" w:eastAsia="hr-HR" w:bidi="hr-HR"/>
        </w:rPr>
        <w:t>Sturme- ra:</w:t>
      </w:r>
      <w:r>
        <w:rPr>
          <w:rFonts w:ascii="Times New Roman" w:eastAsia="Times New Roman" w:hAnsi="Times New Roman" w:cs="Times New Roman"/>
          <w:color w:val="000000"/>
          <w:spacing w:val="0"/>
          <w:w w:val="100"/>
          <w:position w:val="0"/>
          <w:shd w:val="clear" w:color="auto" w:fill="auto"/>
          <w:lang w:val="hr-HR" w:eastAsia="hr-HR" w:bidi="hr-HR"/>
        </w:rPr>
        <w:t xml:space="preserve"> »Židovi su naša nesreća« - načelu novovje- kog antisemitizma.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IJ doba gospodarskoga pada nakon 1918., a. ponovno biva pogonskom silom svih oporbe</w:t>
        <w:softHyphen/>
        <w:t xml:space="preserve">nih strujanja protiv </w:t>
      </w:r>
      <w:r>
        <w:rPr>
          <w:rFonts w:ascii="Times New Roman" w:eastAsia="Times New Roman" w:hAnsi="Times New Roman" w:cs="Times New Roman"/>
          <w:color w:val="000000"/>
          <w:spacing w:val="0"/>
          <w:w w:val="100"/>
          <w:position w:val="0"/>
          <w:shd w:val="clear" w:color="auto" w:fill="auto"/>
          <w:lang w:val="en-US" w:eastAsia="en-US" w:bidi="en-US"/>
        </w:rPr>
        <w:t xml:space="preserve">Weimarske </w:t>
      </w:r>
      <w:r>
        <w:rPr>
          <w:rFonts w:ascii="Times New Roman" w:eastAsia="Times New Roman" w:hAnsi="Times New Roman" w:cs="Times New Roman"/>
          <w:color w:val="000000"/>
          <w:spacing w:val="0"/>
          <w:w w:val="100"/>
          <w:position w:val="0"/>
          <w:shd w:val="clear" w:color="auto" w:fill="auto"/>
          <w:lang w:val="hr-HR" w:eastAsia="hr-HR" w:bidi="hr-HR"/>
        </w:rPr>
        <w:t>Republike. Nacionalsocijalističkoj propagandi bila je po</w:t>
        <w:softHyphen/>
        <w:t>trebna kako bi nezaposlenike, koji su od 1929. prerastali u milijunsku armiju, potaknuli pro</w:t>
        <w:softHyphen/>
        <w:t>tiv »židovske republike«, »židovsko-demokrat- skog« i »židovsko-marksističkog sistema«. Vi- še-manje prisilna koncentracija Židova u od</w:t>
        <w:softHyphen/>
        <w:t>ređenim skupinama zanimanja davala je po</w:t>
        <w:softHyphen/>
        <w:t>voda antisemitizmu u propagandnim metoda</w:t>
        <w:softHyphen/>
        <w:t>ma koje su se oslanjale na gospodarske argu</w:t>
        <w:softHyphen/>
        <w:t>mente. Taj društveno-ekonomski antisemitski fenomen imao je uzroke u tijesnoj vezi eman</w:t>
        <w:softHyphen/>
        <w:t>cipacije njemačkoga židovstva i uspona nje</w:t>
        <w:softHyphen/>
        <w:t>mačke srednje klase, koja nije imala nikakve političke moći, potkraj XVIII. i u XIX. sto</w:t>
        <w:softHyphen/>
        <w:t xml:space="preserve">ljeću: njoj je bila potrebna stereotipna slika Židova koji je rođeni trgovac, koji bira zani- 4A </w:t>
      </w:r>
      <w:r>
        <w:rPr>
          <w:rFonts w:ascii="Times New Roman" w:eastAsia="Times New Roman" w:hAnsi="Times New Roman" w:cs="Times New Roman"/>
          <w:color w:val="000000"/>
          <w:spacing w:val="0"/>
          <w:w w:val="100"/>
          <w:position w:val="0"/>
          <w:shd w:val="clear" w:color="auto" w:fill="auto"/>
          <w:lang w:val="hr-HR" w:eastAsia="hr-HR" w:bidi="hr-HR"/>
        </w:rPr>
        <w:t>manja što bez muke donose dobit, koji se u poslu ponaša nemoralno i kojemu nije do traj</w:t>
        <w:softHyphen/>
        <w:t>nih vrijednosti, pa su to povezali s nedokaza</w:t>
        <w:softHyphen/>
        <w:t>nim tvrdnjama da Židovi kao vlasnici kapitala vladaju poslovnim životom a svojim međuna</w:t>
        <w:softHyphen/>
        <w:t>rodnim vezama trgovinom. Budili su mržnju i zavist spram navodnih izrabljivača u onima koji su sc osjećali iskorištenima zbog ekonom</w:t>
        <w:softHyphen/>
        <w:t>ske moći i potkopavali položaj Židova i prije stvarnoga početka nacionalsocijalističke dik</w:t>
        <w:softHyphen/>
        <w:t>tature. U revolucioniranom gospodarskom ži</w:t>
        <w:softHyphen/>
        <w:t>votu gospodarski a. stvarao je u žrtvama novih okolnosti antikapitalističke težnje i očitovao se u traženju krivaca. Našli su ih u Židovima, jer su u tom trenutku očigledno predvodili u razvitku; njihova osebujnost koja je zbunjivala okolinu samo je potkrepljivala sumnju.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Osim nezadovoljstva ekonomsko-socijalnim položajem nastalo je i nezadovoljstvo duhov</w:t>
        <w:softHyphen/>
        <w:t>nom situacijom. I u tome su Židovi bili naj</w:t>
        <w:softHyphen/>
        <w:t>upadljiviji - također posve neprimjereno pra</w:t>
        <w:softHyphen/>
        <w:t>voj problematici - pa su ih identificirali s po</w:t>
        <w:softHyphen/>
        <w:t>kretačkim silama. Od svojega početka moder</w:t>
        <w:softHyphen/>
        <w:t>ni je rasistički a. mržnja prema Židovima u kulturi. Kao proširenje antisimbola nastaje sli</w:t>
        <w:softHyphen/>
        <w:t>ka iskvarena Židova. U svojoj cjelokupnoj po</w:t>
        <w:softHyphen/>
        <w:t>litici prema Židovima njemačka je nacional- socijalislička država provela rasnu ideologiju kakva sc od J.A. de Gobincaua do Eugena Điihringa razvila u nacionalsocijalizam i - što je neodrživo s obzirom na rezultate prirodno- znanstvenc antropologije iz rasne pripad</w:t>
        <w:softHyphen/>
        <w:t>nosti izvodila visoku vrijednost ili nižu vrijed</w:t>
        <w:softHyphen/>
        <w:t>nost jedne skupine ljudi, a time i pojedinca.</w:t>
      </w:r>
    </w:p>
    <w:p>
      <w:pPr>
        <w:pStyle w:val="Style20"/>
        <w:keepNext w:val="0"/>
        <w:keepLines w:val="0"/>
        <w:widowControl w:val="0"/>
        <w:shd w:val="clear" w:color="auto" w:fill="auto"/>
        <w:bidi w:val="0"/>
        <w:spacing w:before="0" w:after="0" w:line="254" w:lineRule="auto"/>
        <w:ind w:left="0" w:right="0" w:firstLine="0"/>
        <w:jc w:val="both"/>
        <w:sectPr>
          <w:headerReference w:type="default" r:id="rId119"/>
          <w:footerReference w:type="default" r:id="rId120"/>
          <w:headerReference w:type="even" r:id="rId121"/>
          <w:footerReference w:type="even" r:id="rId122"/>
          <w:footnotePr>
            <w:pos w:val="pageBottom"/>
            <w:numFmt w:val="decimal"/>
            <w:numStart w:val="5"/>
            <w:numRestart w:val="continuous"/>
            <w15:footnoteColumns w:val="1"/>
          </w:footnotePr>
          <w:pgSz w:w="6816" w:h="11006"/>
          <w:pgMar w:top="1027" w:left="214" w:right="214" w:bottom="144" w:header="0" w:footer="3" w:gutter="0"/>
          <w:cols w:num="2" w:space="22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Razlikujemo nekoliko stadija: Počelo je s pojedinačnim prolužidovskim mjerama done</w:t>
        <w:softHyphen/>
        <w:t>senih izvanrednim uredbama i zakonskim ovlaštenjem na temelju prividne zakonitosti (1933-35): jednodnevni organizirani bojkot židovskih trgovina 1. travnja 1933. organiziran s proklamiranim ciljem da se Židovi kao »ne- arijci« i štetnici u narodu ozloglase, smanji njihov gospodarski utjecaj i ograniči židovski udio u akademskim zvanjima. Prvim opsežnim zakonom židovski su činovnici umirovljeni i Židovima je onemogućen pristup u državnu službu. U sljedećem razdoblju (1933-38) pro</w:t>
        <w:softHyphen/>
        <w:t>glašenje 15. rujna 1935. »Zakon o građanima Reicha« i »Zakon o zaštiti njemačke kivi i njemačke časti« te provedbene uredbe rasnim načelom pravne osnove za državljanstvo. Ži-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dove </w:t>
      </w:r>
      <w:r>
        <w:rPr>
          <w:rFonts w:ascii="Times New Roman" w:eastAsia="Times New Roman" w:hAnsi="Times New Roman" w:cs="Times New Roman"/>
          <w:color w:val="000000"/>
          <w:spacing w:val="0"/>
          <w:w w:val="100"/>
          <w:position w:val="0"/>
          <w:shd w:val="clear" w:color="auto" w:fill="auto"/>
          <w:lang w:val="hr-HR" w:eastAsia="hr-HR" w:bidi="hr-HR"/>
        </w:rPr>
        <w:t>su isključili iz »državljanstva Rcicha«. iz sudjelovanja u političkom životu, obavljanja javnih službi, zabranili im sklapanje braka i iz</w:t>
        <w:softHyphen/>
        <w:t>vanbračno spolno općenje s njima uz prijetnju zatvorske, a u određenim slučajevima i smrtne kazne. »Potvrda o podrijetlu« koju su posvu</w:t>
        <w:softHyphen/>
        <w:t>da zahtijevali - od licencije za Ijekarništvo do dozvole za trgovinu stokom - osnivanje po</w:t>
        <w:softHyphen/>
        <w:t>sebnih židovskih škola, zabrana služenja voj</w:t>
        <w:softHyphen/>
        <w:t>nog roka, gubitak građanske pravne zaštite potpuno su politički, pravno i socijalno izoli</w:t>
        <w:softHyphen/>
        <w:t>rali židovsko stanovništvo. U trećem stadiju progona (1938—41) u cijelom su Reichu od</w:t>
        <w:softHyphen/>
        <w:t>redi SS-a i SA-a izvršili organizirani pogrom od 9. na 10. studeni 1938.. kojega je nacional- socijalistička propaganda nazvala »spontanom reakcijom« njemačkog naroda na ubojstvo tajnika njemačkog veleposlanstva u Parizu što gaje izvršio jedan mladi poljski Židov. Židovi nisu morali samo popraviti načinjenu štetu nego platiti Reichu još 1,25 milijardi reichs- maraka kao »odštetu«. Za mnoge židovske obitelji te su mjere značile ekonomsku pro</w:t>
        <w:softHyphen/>
        <w:t>past i gubitak egzistencijalne osnove. Novim zakonskim mjerama Zidove su sustavno uda</w:t>
        <w:softHyphen/>
        <w:t>ljavali iz gospodarstva. Područje valjanosti protužidovskih zakona i pravilnika proširilo se na države integrirane Njemačkome Reichu, tj. »pripojene« njemu, na Austriju od ožujka 1938., Čehoslovačku od ožujka 1939., te na države u gotovo cijeloj kontinentalnoj Europi, koje su Nijemci osvojili poslije 1. rujna 1939. i podčinili ih nacističkoj vlasti. L'pad njemač</w:t>
        <w:softHyphen/>
        <w:t xml:space="preserve">koga </w:t>
      </w:r>
      <w:r>
        <w:rPr>
          <w:rFonts w:ascii="Times New Roman" w:eastAsia="Times New Roman" w:hAnsi="Times New Roman" w:cs="Times New Roman"/>
          <w:color w:val="000000"/>
          <w:spacing w:val="0"/>
          <w:w w:val="100"/>
          <w:position w:val="0"/>
          <w:shd w:val="clear" w:color="auto" w:fill="auto"/>
          <w:lang w:val="en-US" w:eastAsia="en-US" w:bidi="en-US"/>
        </w:rPr>
        <w:t xml:space="preserve">Wchrmachta </w:t>
      </w:r>
      <w:r>
        <w:rPr>
          <w:rFonts w:ascii="Times New Roman" w:eastAsia="Times New Roman" w:hAnsi="Times New Roman" w:cs="Times New Roman"/>
          <w:color w:val="000000"/>
          <w:spacing w:val="0"/>
          <w:w w:val="100"/>
          <w:position w:val="0"/>
          <w:shd w:val="clear" w:color="auto" w:fill="auto"/>
          <w:lang w:val="hr-HR" w:eastAsia="hr-HR" w:bidi="hr-HR"/>
        </w:rPr>
        <w:t>u Poljsku uzrokovao je brojne pogrome. Nakon svršetka vojnoga po</w:t>
        <w:softHyphen/>
        <w:t>hoda na Poljsku počele su deportacije Židova u Poljsku. U tzv. »General-Gouvermentu« najprije je u jeseni 1939. prisilno uvedena »ži</w:t>
        <w:softHyphen/>
        <w:t>dovska zvijezda«: za Židove u Reichu ta poli</w:t>
        <w:softHyphen/>
        <w:t>cijska uredba vrijedila je od 1. rujna 1941. go</w:t>
        <w:softHyphen/>
        <w:t>dine. Židove su počeli proganjati i deportirati čim bi osvojili i zaposjeli neku zemlju. S napa</w:t>
        <w:softHyphen/>
        <w:t>dom na Sovjetski Savez, po llillerovoj zapo</w:t>
        <w:softHyphen/>
        <w:t>vijedi počeo je posljednji stadij progona Žido</w:t>
        <w:softHyphen/>
        <w:t>va (1941-45). Posebice su »operativne grupe« - specijalne jedinice SS-a i policije - dobile zapovijed da »likvidiraju« Židove, Cigane i političke komesare u osvojenim istočnim pod</w:t>
        <w:softHyphen/>
        <w:t>ručjima. Masovnim strijeljanjem i organizira</w:t>
        <w:softHyphen/>
        <w:t xml:space="preserve">nim pogromima pobijeno je otprilike milijun ljudi, uglavnom Židova. Od ljeta 1941. počeli </w:t>
      </w:r>
      <w:r>
        <w:rPr>
          <w:rFonts w:ascii="Times New Roman" w:eastAsia="Times New Roman" w:hAnsi="Times New Roman" w:cs="Times New Roman"/>
          <w:color w:val="000000"/>
          <w:spacing w:val="0"/>
          <w:w w:val="100"/>
          <w:position w:val="0"/>
          <w:shd w:val="clear" w:color="auto" w:fill="auto"/>
          <w:lang w:val="hr-HR" w:eastAsia="hr-HR" w:bidi="hr-HR"/>
        </w:rPr>
        <w:t xml:space="preserve">su u </w:t>
      </w:r>
      <w:r>
        <w:rPr>
          <w:rFonts w:ascii="Times New Roman" w:eastAsia="Times New Roman" w:hAnsi="Times New Roman" w:cs="Times New Roman"/>
          <w:color w:val="000000"/>
          <w:spacing w:val="0"/>
          <w:w w:val="100"/>
          <w:position w:val="0"/>
          <w:shd w:val="clear" w:color="auto" w:fill="auto"/>
          <w:lang w:val="en-US" w:eastAsia="en-US" w:bidi="en-US"/>
        </w:rPr>
        <w:t xml:space="preserve">Auschwitzu </w:t>
      </w:r>
      <w:r>
        <w:rPr>
          <w:rFonts w:ascii="Times New Roman" w:eastAsia="Times New Roman" w:hAnsi="Times New Roman" w:cs="Times New Roman"/>
          <w:color w:val="000000"/>
          <w:spacing w:val="0"/>
          <w:w w:val="100"/>
          <w:position w:val="0"/>
          <w:shd w:val="clear" w:color="auto" w:fill="auto"/>
          <w:lang w:val="hr-HR" w:eastAsia="hr-HR" w:bidi="hr-HR"/>
        </w:rPr>
        <w:t>pokusi za masovna ubojstva tehnički učinkovitijom metodom otrovanja pli</w:t>
        <w:softHyphen/>
        <w:t>nom, koja je izazivala manju pažnju. Takozva</w:t>
        <w:softHyphen/>
        <w:t xml:space="preserve">na Konferencija u </w:t>
      </w:r>
      <w:r>
        <w:rPr>
          <w:rFonts w:ascii="Times New Roman" w:eastAsia="Times New Roman" w:hAnsi="Times New Roman" w:cs="Times New Roman"/>
          <w:color w:val="000000"/>
          <w:spacing w:val="0"/>
          <w:w w:val="100"/>
          <w:position w:val="0"/>
          <w:shd w:val="clear" w:color="auto" w:fill="auto"/>
          <w:lang w:val="en-US" w:eastAsia="en-US" w:bidi="en-US"/>
        </w:rPr>
        <w:t xml:space="preserve">Wanncnsceu </w:t>
      </w:r>
      <w:r>
        <w:rPr>
          <w:rFonts w:ascii="Times New Roman" w:eastAsia="Times New Roman" w:hAnsi="Times New Roman" w:cs="Times New Roman"/>
          <w:color w:val="000000"/>
          <w:spacing w:val="0"/>
          <w:w w:val="100"/>
          <w:position w:val="0"/>
          <w:shd w:val="clear" w:color="auto" w:fill="auto"/>
          <w:lang w:val="hr-HR" w:eastAsia="hr-HR" w:bidi="hr-HR"/>
        </w:rPr>
        <w:t>20. siječnja 1942. o »konačnom rješenju židovskog pita</w:t>
        <w:softHyphen/>
        <w:t>nja« koordinirala je i sistematizirala mjere što ih je trebalo poduzeti. Rezultat nacionalsoei- jalističke židovske politike bilo je ubojstvo vi</w:t>
        <w:softHyphen/>
        <w:t>še od trećine židovskog naroda i dvije trećine svih europskih Židova.</w:t>
      </w:r>
    </w:p>
    <w:p>
      <w:pPr>
        <w:pStyle w:val="Style20"/>
        <w:keepNext w:val="0"/>
        <w:keepLines w:val="0"/>
        <w:widowControl w:val="0"/>
        <w:numPr>
          <w:ilvl w:val="0"/>
          <w:numId w:val="17"/>
        </w:numPr>
        <w:shd w:val="clear" w:color="auto" w:fill="auto"/>
        <w:tabs>
          <w:tab w:pos="274"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Problem nežidova:</w:t>
      </w:r>
      <w:r>
        <w:rPr>
          <w:rFonts w:ascii="Times New Roman" w:eastAsia="Times New Roman" w:hAnsi="Times New Roman" w:cs="Times New Roman"/>
          <w:color w:val="000000"/>
          <w:spacing w:val="0"/>
          <w:w w:val="100"/>
          <w:position w:val="0"/>
          <w:shd w:val="clear" w:color="auto" w:fill="auto"/>
          <w:lang w:val="hr-HR" w:eastAsia="hr-HR" w:bidi="hr-HR"/>
        </w:rPr>
        <w:t xml:space="preserve"> Izvorište neprijateljstva prema Židovima jest u osnovnoj razlici izme</w:t>
        <w:softHyphen/>
        <w:t>đu monoteističke židovske manjine i moćnoga poganskog antičkog carstva te u otporu židov</w:t>
        <w:softHyphen/>
        <w:t>stva ranokršćanskoj misijskoj praksi koja je, sa židovskoga stajališta, samo zbog prilagodbe poganskim običajima privukla mase štovatelja idola. Mržnja prema židovskom narodu dugo je djelovala u kršćanskoj kulturi te u mišljenju i prosudbama Europljana. Religijske, socijal</w:t>
        <w:softHyphen/>
        <w:t>ne i gospodarske krize u srednjem vijeku i u novom, koji je tek počinjao, uvijek su se očito</w:t>
        <w:softHyphen/>
        <w:t xml:space="preserve">vale u mržnji prema Židovima i u pogromima. Stoljećima prenošena mržnja prema Židovima na osnovi njihova </w:t>
      </w:r>
      <w:r>
        <w:rPr>
          <w:rFonts w:ascii="Times New Roman" w:eastAsia="Times New Roman" w:hAnsi="Times New Roman" w:cs="Times New Roman"/>
          <w:i/>
          <w:iCs/>
          <w:color w:val="000000"/>
          <w:spacing w:val="0"/>
          <w:w w:val="100"/>
          <w:position w:val="0"/>
          <w:shd w:val="clear" w:color="auto" w:fill="auto"/>
          <w:lang w:val="hr-HR" w:eastAsia="hr-HR" w:bidi="hr-HR"/>
        </w:rPr>
        <w:t>imagea,</w:t>
      </w:r>
      <w:r>
        <w:rPr>
          <w:rFonts w:ascii="Times New Roman" w:eastAsia="Times New Roman" w:hAnsi="Times New Roman" w:cs="Times New Roman"/>
          <w:color w:val="000000"/>
          <w:spacing w:val="0"/>
          <w:w w:val="100"/>
          <w:position w:val="0"/>
          <w:shd w:val="clear" w:color="auto" w:fill="auto"/>
          <w:lang w:val="hr-HR" w:eastAsia="hr-HR" w:bidi="hr-HR"/>
        </w:rPr>
        <w:t xml:space="preserve"> duboko usađena u kršćansko-curopsku svijest, odigrala je važnu ulogu i u razvitku modernog antisemitizma. Međutim, ne treba ga shvaćati izdvojeno od određenih previranja u društvu novoga vijeka, već prije iz susreta emancipacije Židova s uki</w:t>
        <w:softHyphen/>
        <w:t>danjem dotadašnje organizacije života zbog općega pravnog izjednačavanja ljudi, iz sus</w:t>
        <w:softHyphen/>
        <w:t>reta s razvitkom nacionalne države. Rasni se a. mogao lako i učinkovito usaditi radi ma</w:t>
        <w:softHyphen/>
        <w:t>nipulacije nezadovoljnim tnalogradanima i, napokon, za gradnju i potporu totalitarnoga nacionalsocijalističkog režima, jer su političke stranke ondje vrlo kasno - kao u doba carstva kancelara Bismarcka i samo djelomice su</w:t>
        <w:softHyphen/>
        <w:t>djelovale u političkoj moći, a masa građana nije bila odgojena za produktivnu političku vlastitu odgovornost. Istraživanja socijalne psi</w:t>
        <w:softHyphen/>
        <w:t>hologije u vezi s ustrojem društva u kojemu je neprijateljstvo prema Židovima moglo preras</w:t>
        <w:softHyphen/>
        <w:t>ti u a. uništenja, otkrila su u čovjeku nesvjesne subjektivne nagone za mržnju prema Žido</w:t>
        <w:softHyphen/>
        <w:t>vima: uzroci antisemitizma nisu u ponašanju Židova nego u unutarnjoj i vanjskoj situaciji samih nežidova. Neprijateljstvo prema Žido</w:t>
        <w:softHyphen/>
        <w:t>vima upućuje na problematiku onih koji mrze A. se može uvijek otkriti kao reakcija na ne</w:t>
        <w:softHyphen/>
        <w:t>riješene poteškoće u društvu.</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A. Bcm, </w:t>
      </w:r>
      <w:r>
        <w:rPr>
          <w:i/>
          <w:iCs/>
          <w:color w:val="000000"/>
          <w:spacing w:val="0"/>
          <w:w w:val="100"/>
          <w:position w:val="0"/>
          <w:shd w:val="clear" w:color="auto" w:fill="auto"/>
        </w:rPr>
        <w:t>Die Judenfrage I/II,</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1980, H. H. Bcn-Sasbon (Hrsg.), </w:t>
      </w:r>
      <w:r>
        <w:rPr>
          <w:i/>
          <w:iCs/>
          <w:color w:val="000000"/>
          <w:spacing w:val="0"/>
          <w:w w:val="100"/>
          <w:position w:val="0"/>
          <w:shd w:val="clear" w:color="auto" w:fill="auto"/>
        </w:rPr>
        <w:t>Geschichte des jildischen Volkes I-III,</w:t>
      </w:r>
      <w:r>
        <w:rPr>
          <w:color w:val="000000"/>
          <w:spacing w:val="0"/>
          <w:w w:val="100"/>
          <w:position w:val="0"/>
          <w:shd w:val="clear" w:color="auto" w:fill="auto"/>
        </w:rPr>
        <w:t xml:space="preserve"> 1978—1980; H. Gcivc. </w:t>
      </w:r>
      <w:r>
        <w:rPr>
          <w:i/>
          <w:iCs/>
          <w:color w:val="000000"/>
          <w:spacing w:val="0"/>
          <w:w w:val="100"/>
          <w:position w:val="0"/>
          <w:shd w:val="clear" w:color="auto" w:fill="auto"/>
        </w:rPr>
        <w:t>Geschichie ties modernen Antisemtismus in Deut</w:t>
        <w:softHyphen/>
        <w:t>schland,</w:t>
      </w:r>
      <w:r>
        <w:rPr>
          <w:color w:val="000000"/>
          <w:spacing w:val="0"/>
          <w:w w:val="100"/>
          <w:position w:val="0"/>
          <w:shd w:val="clear" w:color="auto" w:fill="auto"/>
        </w:rPr>
        <w:t xml:space="preserve"> 1983; F. Heer, </w:t>
      </w:r>
      <w:r>
        <w:rPr>
          <w:i/>
          <w:iCs/>
          <w:color w:val="000000"/>
          <w:spacing w:val="0"/>
          <w:w w:val="100"/>
          <w:position w:val="0"/>
          <w:shd w:val="clear" w:color="auto" w:fill="auto"/>
        </w:rPr>
        <w:t>Gottes erste Liebe. Die Juden im Spannungsfeld der Geschichte,</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!98J; O. Kiistcr, Gcwjsscn und Gcdachtnis - JOdische Gcschichte in Deutschland, u: </w:t>
      </w:r>
      <w:r>
        <w:rPr>
          <w:i/>
          <w:iCs/>
          <w:color w:val="000000"/>
          <w:spacing w:val="0"/>
          <w:w w:val="100"/>
          <w:position w:val="0"/>
          <w:shd w:val="clear" w:color="auto" w:fill="auto"/>
        </w:rPr>
        <w:t>Freiburger Rundbrief XXXI,</w:t>
      </w:r>
      <w:r>
        <w:rPr>
          <w:color w:val="000000"/>
          <w:spacing w:val="0"/>
          <w:w w:val="100"/>
          <w:position w:val="0"/>
          <w:shd w:val="clear" w:color="auto" w:fill="auto"/>
        </w:rPr>
        <w:t xml:space="preserve"> 1979, 53-59; P. W. Massing, </w:t>
      </w:r>
      <w:r>
        <w:rPr>
          <w:i/>
          <w:iCs/>
          <w:color w:val="000000"/>
          <w:spacing w:val="0"/>
          <w:w w:val="100"/>
          <w:position w:val="0"/>
          <w:shd w:val="clear" w:color="auto" w:fill="auto"/>
        </w:rPr>
        <w:t>Vorgeschichte des politischen Antisemitismus,</w:t>
      </w:r>
      <w:r>
        <w:rPr>
          <w:color w:val="000000"/>
          <w:spacing w:val="0"/>
          <w:w w:val="100"/>
          <w:position w:val="0"/>
          <w:shd w:val="clear" w:color="auto" w:fill="auto"/>
        </w:rPr>
        <w:t xml:space="preserve"> 1959; J. Men</w:t>
        <w:softHyphen/>
        <w:t xml:space="preserve">ke, </w:t>
      </w:r>
      <w:r>
        <w:rPr>
          <w:i/>
          <w:iCs/>
          <w:color w:val="000000"/>
          <w:spacing w:val="0"/>
          <w:w w:val="100"/>
          <w:position w:val="0"/>
          <w:shd w:val="clear" w:color="auto" w:fill="auto"/>
        </w:rPr>
        <w:t>Der Antisemitismus in Germania Judaica,</w:t>
      </w:r>
      <w:r>
        <w:rPr>
          <w:color w:val="000000"/>
          <w:spacing w:val="0"/>
          <w:w w:val="100"/>
          <w:position w:val="0"/>
          <w:shd w:val="clear" w:color="auto" w:fill="auto"/>
        </w:rPr>
        <w:t xml:space="preserve"> N. F. 1. 1962, 1-7; P. v. d. Ostcn-Sackcn (Hrsg.), </w:t>
      </w:r>
      <w:r>
        <w:rPr>
          <w:i/>
          <w:iCs/>
          <w:color w:val="000000"/>
          <w:spacing w:val="0"/>
          <w:w w:val="100"/>
          <w:position w:val="0"/>
          <w:shd w:val="clear" w:color="auto" w:fill="auto"/>
          <w:lang w:val="hr-HR" w:eastAsia="hr-HR" w:bidi="hr-HR"/>
        </w:rPr>
        <w:t xml:space="preserve">Veroffentlichungen </w:t>
      </w:r>
      <w:r>
        <w:rPr>
          <w:i/>
          <w:iCs/>
          <w:color w:val="000000"/>
          <w:spacing w:val="0"/>
          <w:w w:val="100"/>
          <w:position w:val="0"/>
          <w:shd w:val="clear" w:color="auto" w:fill="auto"/>
        </w:rPr>
        <w:t xml:space="preserve">aus dem </w:t>
      </w:r>
      <w:r>
        <w:rPr>
          <w:i/>
          <w:iCs/>
          <w:color w:val="000000"/>
          <w:spacing w:val="0"/>
          <w:w w:val="100"/>
          <w:position w:val="0"/>
          <w:shd w:val="clear" w:color="auto" w:fill="auto"/>
          <w:lang w:val="hr-HR" w:eastAsia="hr-HR" w:bidi="hr-HR"/>
        </w:rPr>
        <w:t xml:space="preserve">Institut </w:t>
      </w:r>
      <w:r>
        <w:rPr>
          <w:i/>
          <w:iCs/>
          <w:color w:val="000000"/>
          <w:spacing w:val="0"/>
          <w:w w:val="100"/>
          <w:position w:val="0"/>
          <w:shd w:val="clear" w:color="auto" w:fill="auto"/>
        </w:rPr>
        <w:t>Kirche und Judentum II,</w:t>
      </w:r>
      <w:r>
        <w:rPr>
          <w:color w:val="000000"/>
          <w:spacing w:val="0"/>
          <w:w w:val="100"/>
          <w:position w:val="0"/>
          <w:shd w:val="clear" w:color="auto" w:fill="auto"/>
        </w:rPr>
        <w:t xml:space="preserve"> 1980; </w:t>
      </w:r>
      <w:r>
        <w:rPr>
          <w:i/>
          <w:iCs/>
          <w:color w:val="000000"/>
          <w:spacing w:val="0"/>
          <w:w w:val="100"/>
          <w:position w:val="0"/>
          <w:shd w:val="clear" w:color="auto" w:fill="auto"/>
        </w:rPr>
        <w:t>Juden in Deut</w:t>
        <w:softHyphen/>
        <w:t>schland;</w:t>
      </w:r>
      <w:r>
        <w:rPr>
          <w:color w:val="000000"/>
          <w:spacing w:val="0"/>
          <w:w w:val="100"/>
          <w:position w:val="0"/>
          <w:shd w:val="clear" w:color="auto" w:fill="auto"/>
        </w:rPr>
        <w:t xml:space="preserve"> L. Poliakov, </w:t>
      </w:r>
      <w:r>
        <w:rPr>
          <w:i/>
          <w:iCs/>
          <w:color w:val="000000"/>
          <w:spacing w:val="0"/>
          <w:w w:val="100"/>
          <w:position w:val="0"/>
          <w:shd w:val="clear" w:color="auto" w:fill="auto"/>
        </w:rPr>
        <w:t xml:space="preserve">Geschichte des Antisemitismus I-V, </w:t>
      </w:r>
      <w:r>
        <w:rPr>
          <w:color w:val="000000"/>
          <w:spacing w:val="0"/>
          <w:w w:val="100"/>
          <w:position w:val="0"/>
          <w:shd w:val="clear" w:color="auto" w:fill="auto"/>
        </w:rPr>
        <w:t xml:space="preserve">1977-1983; isti/C. Delacampagne/P.Girard, </w:t>
      </w:r>
      <w:r>
        <w:rPr>
          <w:i/>
          <w:iCs/>
          <w:color w:val="000000"/>
          <w:spacing w:val="0"/>
          <w:w w:val="100"/>
          <w:position w:val="0"/>
          <w:shd w:val="clear" w:color="auto" w:fill="auto"/>
        </w:rPr>
        <w:t>Uber den Ros- stsmus,</w:t>
      </w:r>
      <w:r>
        <w:rPr>
          <w:color w:val="000000"/>
          <w:spacing w:val="0"/>
          <w:w w:val="100"/>
          <w:position w:val="0"/>
          <w:shd w:val="clear" w:color="auto" w:fill="auto"/>
        </w:rPr>
        <w:t xml:space="preserve"> 1984; R. Pfistcrcr, </w:t>
      </w:r>
      <w:r>
        <w:rPr>
          <w:i/>
          <w:iCs/>
          <w:color w:val="000000"/>
          <w:spacing w:val="0"/>
          <w:w w:val="100"/>
          <w:position w:val="0"/>
          <w:shd w:val="clear" w:color="auto" w:fill="auto"/>
        </w:rPr>
        <w:t>Quellen zu Fragen um Juden und Christen,</w:t>
      </w:r>
      <w:r>
        <w:rPr>
          <w:color w:val="000000"/>
          <w:spacing w:val="0"/>
          <w:w w:val="100"/>
          <w:position w:val="0"/>
          <w:shd w:val="clear" w:color="auto" w:fill="auto"/>
        </w:rPr>
        <w:t xml:space="preserve"> 1971, 13-47; E.G. Rcichmann, </w:t>
      </w:r>
      <w:r>
        <w:rPr>
          <w:i/>
          <w:iCs/>
          <w:color w:val="000000"/>
          <w:spacing w:val="0"/>
          <w:w w:val="100"/>
          <w:position w:val="0"/>
          <w:shd w:val="clear" w:color="auto" w:fill="auto"/>
        </w:rPr>
        <w:t>Die Flucht in den Haft. Die Ursachen der deuischen Judenkatastrophe,</w:t>
      </w:r>
      <w:r>
        <w:rPr>
          <w:color w:val="000000"/>
          <w:spacing w:val="0"/>
          <w:w w:val="100"/>
          <w:position w:val="0"/>
          <w:shd w:val="clear" w:color="auto" w:fill="auto"/>
        </w:rPr>
        <w:t xml:space="preserve"> 1956; A- Silbcrmann, </w:t>
      </w:r>
      <w:r>
        <w:rPr>
          <w:i/>
          <w:iCs/>
          <w:color w:val="000000"/>
          <w:spacing w:val="0"/>
          <w:w w:val="100"/>
          <w:position w:val="0"/>
          <w:shd w:val="clear" w:color="auto" w:fill="auto"/>
        </w:rPr>
        <w:t>Der ungeiiebte Jude. Zur Soziologie des An</w:t>
        <w:softHyphen/>
        <w:t>tisemitismus,</w:t>
      </w:r>
      <w:r>
        <w:rPr>
          <w:color w:val="000000"/>
          <w:spacing w:val="0"/>
          <w:w w:val="100"/>
          <w:position w:val="0"/>
          <w:shd w:val="clear" w:color="auto" w:fill="auto"/>
        </w:rPr>
        <w:t xml:space="preserve"> 1981; </w:t>
      </w:r>
      <w:r>
        <w:rPr>
          <w:i/>
          <w:iCs/>
          <w:color w:val="000000"/>
          <w:spacing w:val="0"/>
          <w:w w:val="100"/>
          <w:position w:val="0"/>
          <w:shd w:val="clear" w:color="auto" w:fill="auto"/>
        </w:rPr>
        <w:t>Encyclopaedia Judaica 3,</w:t>
      </w:r>
      <w:r>
        <w:rPr>
          <w:color w:val="000000"/>
          <w:spacing w:val="0"/>
          <w:w w:val="100"/>
          <w:position w:val="0"/>
          <w:shd w:val="clear" w:color="auto" w:fill="auto"/>
        </w:rPr>
        <w:t xml:space="preserve"> *1978, 79-160.</w:t>
      </w:r>
    </w:p>
    <w:p>
      <w:pPr>
        <w:pStyle w:val="Style74"/>
        <w:keepNext w:val="0"/>
        <w:keepLines w:val="0"/>
        <w:widowControl w:val="0"/>
        <w:shd w:val="clear" w:color="auto" w:fill="auto"/>
        <w:bidi w:val="0"/>
        <w:spacing w:before="0" w:after="8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D. VETItR</w:t>
      </w:r>
    </w:p>
    <w:p>
      <w:pPr>
        <w:pStyle w:val="Style63"/>
        <w:keepNext/>
        <w:keepLines/>
        <w:widowControl w:val="0"/>
        <w:numPr>
          <w:ilvl w:val="0"/>
          <w:numId w:val="19"/>
        </w:numPr>
        <w:shd w:val="clear" w:color="auto" w:fill="auto"/>
        <w:tabs>
          <w:tab w:pos="260" w:val="left"/>
        </w:tabs>
        <w:bidi w:val="0"/>
        <w:spacing w:before="0" w:after="80" w:line="218" w:lineRule="auto"/>
        <w:ind w:left="0" w:right="0" w:firstLine="0"/>
        <w:jc w:val="both"/>
      </w:pPr>
      <w:bookmarkStart w:id="28" w:name="bookmark2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8"/>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antisemitizma razmjerno je novijeg da</w:t>
        <w:softHyphen/>
        <w:t>tuma, skovan 1879. u Njemačkoj; naprotiv, prastara je stvar koju označava. Polazeći od značenja te riječi, oznaka je netočna jer se ne misli na negativan stav prema svim semitskim narodima nego na neprihvaćanje i suzbijanje Zidova. Stoga oznaka »antijudaizam« bolje pogađa činjenično stanje suparništva i nepri</w:t>
        <w:softHyphen/>
        <w:t>jateljstva prema Židovima. Kod antisemitiz</w:t>
        <w:softHyphen/>
        <w:t>ma radi se o grupnoj predrasudi koja je usmje</w:t>
        <w:softHyphen/>
        <w:t>rena protiv Židova u cjelini; oni su neprihva- ćeni i proganjani zbog činjenice što su druga</w:t>
        <w:softHyphen/>
        <w:t>čiji u kulturalnom i religijskom smislu, zbog stvarnih ili samo pretpostavljenih sposobnosti i osobina na gospodarskim, umjetničkim i ostalim područjima ljudske djelatnosti. Nepri</w:t>
        <w:softHyphen/>
        <w:t>jateljskih strujanja protiv Židova bilo je od postanka židovske dijaspore. Knjiga o Estcri izvješćuje o mržnji prema Židovima Perzijan- ca Hamana u čijem se liku utjelovljuje a. koji je židovski narod u dijaspori uvijek iznova proživljavao. Ispoljavanje antisemitizma obu</w:t>
        <w:softHyphen/>
        <w:t>hvaća mnoge neprijateljske načine ponašanja od društvenog neprihvaćanja Židova, njihova slabijeg pravnog položaja i gospodarske pri- kraćenosti do njihova protjerivanja i fizičkog uništavanja.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Kao poticaji koji vode antisemitizmu mogu se razlikovati: </w:t>
      </w:r>
      <w:r>
        <w:rPr>
          <w:rFonts w:ascii="Times New Roman" w:eastAsia="Times New Roman" w:hAnsi="Times New Roman" w:cs="Times New Roman"/>
          <w:i/>
          <w:iCs/>
          <w:color w:val="000000"/>
          <w:spacing w:val="0"/>
          <w:w w:val="100"/>
          <w:position w:val="0"/>
          <w:shd w:val="clear" w:color="auto" w:fill="auto"/>
          <w:lang w:val="hr-HR" w:eastAsia="hr-HR" w:bidi="hr-HR"/>
        </w:rPr>
        <w:t>teološki</w:t>
      </w:r>
      <w:r>
        <w:rPr>
          <w:rFonts w:ascii="Times New Roman" w:eastAsia="Times New Roman" w:hAnsi="Times New Roman" w:cs="Times New Roman"/>
          <w:color w:val="000000"/>
          <w:spacing w:val="0"/>
          <w:w w:val="100"/>
          <w:position w:val="0"/>
          <w:shd w:val="clear" w:color="auto" w:fill="auto"/>
          <w:lang w:val="hr-HR" w:eastAsia="hr-HR" w:bidi="hr-HR"/>
        </w:rPr>
        <w:t xml:space="preserve"> razlozi, </w:t>
      </w:r>
      <w:r>
        <w:rPr>
          <w:rFonts w:ascii="Times New Roman" w:eastAsia="Times New Roman" w:hAnsi="Times New Roman" w:cs="Times New Roman"/>
          <w:i/>
          <w:iCs/>
          <w:color w:val="000000"/>
          <w:spacing w:val="0"/>
          <w:w w:val="100"/>
          <w:position w:val="0"/>
          <w:shd w:val="clear" w:color="auto" w:fill="auto"/>
          <w:lang w:val="hr-HR" w:eastAsia="hr-HR" w:bidi="hr-HR"/>
        </w:rPr>
        <w:t>ekonomski</w:t>
      </w:r>
      <w:r>
        <w:rPr>
          <w:rFonts w:ascii="Times New Roman" w:eastAsia="Times New Roman" w:hAnsi="Times New Roman" w:cs="Times New Roman"/>
          <w:color w:val="000000"/>
          <w:spacing w:val="0"/>
          <w:w w:val="100"/>
          <w:position w:val="0"/>
          <w:shd w:val="clear" w:color="auto" w:fill="auto"/>
          <w:lang w:val="hr-HR" w:eastAsia="hr-HR" w:bidi="hr-HR"/>
        </w:rPr>
        <w:t xml:space="preserve"> čimbe</w:t>
        <w:softHyphen/>
        <w:t xml:space="preserve">nici te </w:t>
      </w:r>
      <w:r>
        <w:rPr>
          <w:rFonts w:ascii="Times New Roman" w:eastAsia="Times New Roman" w:hAnsi="Times New Roman" w:cs="Times New Roman"/>
          <w:i/>
          <w:iCs/>
          <w:color w:val="000000"/>
          <w:spacing w:val="0"/>
          <w:w w:val="100"/>
          <w:position w:val="0"/>
          <w:shd w:val="clear" w:color="auto" w:fill="auto"/>
          <w:lang w:val="hr-HR" w:eastAsia="hr-HR" w:bidi="hr-HR"/>
        </w:rPr>
        <w:t>rasističke</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nacionalističke</w:t>
      </w:r>
      <w:r>
        <w:rPr>
          <w:rFonts w:ascii="Times New Roman" w:eastAsia="Times New Roman" w:hAnsi="Times New Roman" w:cs="Times New Roman"/>
          <w:color w:val="000000"/>
          <w:spacing w:val="0"/>
          <w:w w:val="100"/>
          <w:position w:val="0"/>
          <w:shd w:val="clear" w:color="auto" w:fill="auto"/>
          <w:lang w:val="hr-HR" w:eastAsia="hr-HR" w:bidi="hr-HR"/>
        </w:rPr>
        <w:t xml:space="preserve"> predrasude. Iako je bilo antisemitizma i u antičko doba prije kršćanstva, ipak raskid između crkve i sinagoge doveo je do novog oblika antisemi</w:t>
        <w:softHyphen/>
        <w:t>tizma koji je stoljećima trovao odnos obadviju srodnih religija. Ne može se poreći da - ba</w:t>
        <w:softHyphen/>
        <w:t>rem u svom povijesnom učinku - uzroci anti</w:t>
        <w:softHyphen/>
      </w:r>
      <w:r>
        <w:rPr>
          <w:rFonts w:ascii="Times New Roman" w:eastAsia="Times New Roman" w:hAnsi="Times New Roman" w:cs="Times New Roman"/>
          <w:color w:val="000000"/>
          <w:spacing w:val="0"/>
          <w:w w:val="100"/>
          <w:position w:val="0"/>
          <w:shd w:val="clear" w:color="auto" w:fill="auto"/>
          <w:lang w:val="hr-HR" w:eastAsia="hr-HR" w:bidi="hr-HR"/>
        </w:rPr>
        <w:t>semitizma iz religijskih pobuda leže već u No</w:t>
        <w:softHyphen/>
        <w:t>vom zavjetu. Polemika protiv »licemjernih Fa</w:t>
        <w:softHyphen/>
        <w:t>rizeja« , prigovori zbog »mrtve zakonitosti« i predbacivanje Židovima da su »ubojice Bo</w:t>
        <w:softHyphen/>
        <w:t>ga«, sve se to nastojalo uvijek iznova oslanjati na Novi zavjet. U zahtjevu Crkve da bude »novi Izrael«, »novi narod Božji« umjesto »sta</w:t>
        <w:softHyphen/>
        <w:t>rog Izraela« leži istodobno i zahtjev Crkve da se Židovi razbaštine i zamijene. Židovstvo ko</w:t>
        <w:softHyphen/>
        <w:t>je je i dalje istodobno postojalo s kršćan</w:t>
        <w:softHyphen/>
        <w:t>stvom, držano je za nešto što ne bi trebalo biti, a što se može objasniti samo tvrdokor</w:t>
        <w:softHyphen/>
        <w:t>nošću Židova i njihovim postupcima koji su se protivili ispravnijem shvaćanju. Od Augustina potječe izreka o Židovima kao »slijepim nosi</w:t>
        <w:softHyphen/>
        <w:t>teljima knjiga« koji kršćanima nose svoje knji</w:t>
        <w:softHyphen/>
        <w:t>ge, a njihov pravi smisao ostaje im zatvoren. To su gledište pripremali zapisi apologeta II. i III. stoljeća, u Barnabinoj poslanici, kod Justi- na, Tertulijana i Origena, koji su Židove drža</w:t>
        <w:softHyphen/>
        <w:t>li razbaštinjenima. Kod različitih crkvenih otaca, kod papa i ostalih kršćanskih predstav</w:t>
        <w:softHyphen/>
        <w:t>nika mogu se naći mnoge antisemitske izjave koje se ne mogu jednostavno ukloniti kao za</w:t>
        <w:softHyphen/>
        <w:t>blude i promašaji pojedinih kršćana. Taj za</w:t>
        <w:softHyphen/>
        <w:t>strašujuće dugačak lanac antisemitskih izjava i slučajeva u crkvenom prostoru, koji se pro</w:t>
        <w:softHyphen/>
        <w:t>vlači stoljećima, a koji ima kao začetnike čak kanonizirane svece (kao što su Ivan Zlatousti, Ivan Kapistranski i dr.), baca krivnju na Crkvu u cjelini. Greškama u crkvenom naviještanju i poučavanju učvrstile su se predrasude koje su sve do najnovijeg doba pružale plodno tlo za antisemitske ispade i progon Židova. Ta mje</w:t>
        <w:softHyphen/>
        <w:t>šavina teoloških predrasuda i legendi o Žido</w:t>
        <w:softHyphen/>
        <w:t>vima povezana s razdobljima kriza i katastrofa vodila je uvijek iznova do grubih sumnjičenja i progona Židova. U vezi s time valja navesti prigovore da oskvrnjuju hostije, vrše obredna umorstva, bacaju otrov u bunare.</w:t>
      </w:r>
    </w:p>
    <w:p>
      <w:pPr>
        <w:pStyle w:val="Style20"/>
        <w:keepNext w:val="0"/>
        <w:keepLines w:val="0"/>
        <w:widowControl w:val="0"/>
        <w:shd w:val="clear" w:color="auto" w:fill="auto"/>
        <w:bidi w:val="0"/>
        <w:spacing w:before="0" w:after="0"/>
        <w:ind w:left="0" w:right="0" w:firstLine="0"/>
        <w:jc w:val="both"/>
        <w:sectPr>
          <w:headerReference w:type="default" r:id="rId123"/>
          <w:footerReference w:type="default" r:id="rId124"/>
          <w:headerReference w:type="even" r:id="rId125"/>
          <w:footerReference w:type="even" r:id="rId126"/>
          <w:headerReference w:type="first" r:id="rId127"/>
          <w:footerReference w:type="first" r:id="rId128"/>
          <w:footnotePr>
            <w:pos w:val="pageBottom"/>
            <w:numFmt w:val="decimal"/>
            <w:numStart w:val="5"/>
            <w:numRestart w:val="continuous"/>
            <w15:footnoteColumns w:val="1"/>
          </w:footnotePr>
          <w:pgSz w:w="6816" w:h="11006"/>
          <w:pgMar w:top="954" w:left="178" w:right="182" w:bottom="525" w:header="0" w:footer="3" w:gutter="0"/>
          <w:pgNumType w:start="47"/>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Drugi izvor antisemitizma leži na </w:t>
      </w:r>
      <w:r>
        <w:rPr>
          <w:rFonts w:ascii="Times New Roman" w:eastAsia="Times New Roman" w:hAnsi="Times New Roman" w:cs="Times New Roman"/>
          <w:i/>
          <w:iCs/>
          <w:color w:val="000000"/>
          <w:spacing w:val="0"/>
          <w:w w:val="100"/>
          <w:position w:val="0"/>
          <w:shd w:val="clear" w:color="auto" w:fill="auto"/>
          <w:lang w:val="hr-HR" w:eastAsia="hr-HR" w:bidi="hr-HR"/>
        </w:rPr>
        <w:t>ekonom</w:t>
        <w:softHyphen/>
        <w:t>skom</w:t>
      </w:r>
      <w:r>
        <w:rPr>
          <w:rFonts w:ascii="Times New Roman" w:eastAsia="Times New Roman" w:hAnsi="Times New Roman" w:cs="Times New Roman"/>
          <w:color w:val="000000"/>
          <w:spacing w:val="0"/>
          <w:w w:val="100"/>
          <w:position w:val="0"/>
          <w:shd w:val="clear" w:color="auto" w:fill="auto"/>
          <w:lang w:val="hr-HR" w:eastAsia="hr-HR" w:bidi="hr-HR"/>
        </w:rPr>
        <w:t xml:space="preserve"> području. Budući da se u srednjem vije</w:t>
        <w:softHyphen/>
        <w:t>ku Židovima u velikoj mjeri ograničavala dje</w:t>
        <w:softHyphen/>
        <w:t>latnost u zvanjima i obrtima, bili su sasvim ograničeni na novčarske poslove i kamatare- nje. Zabrana zelenaštva (Četvrti lateranski koncil, 1215) kojom je kršćanima zabranjeno uzimanje kamata, bila je za Židove uvijek iz</w:t>
        <w:softHyphen/>
        <w:t>nova zamka i povod za periodički progon i klevetanje. Iz tog povijesno uvjetovanoga ja</w:t>
        <w:softHyphen/>
        <w:t>kog položaja Židova u trgovini i obrtanju nov</w:t>
        <w:softHyphen/>
        <w:t xml:space="preserve">ca proizašle su predrasude koje su se sve do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najnovijeg doba pokazale kobnima. Gospo</w:t>
        <w:softHyphen/>
        <w:t>darska zavist i gospodarska pohlepa mogle su se prikrivati iza antisemitskoga stava.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vezi s emancipacijom Židova u XIX. sto</w:t>
        <w:softHyphen/>
        <w:t xml:space="preserve">ljeću nastao je nov oblik antisemitizma koji se nastojao oslanjati na </w:t>
      </w:r>
      <w:r>
        <w:rPr>
          <w:rFonts w:ascii="Times New Roman" w:eastAsia="Times New Roman" w:hAnsi="Times New Roman" w:cs="Times New Roman"/>
          <w:i/>
          <w:iCs/>
          <w:color w:val="000000"/>
          <w:spacing w:val="0"/>
          <w:w w:val="100"/>
          <w:position w:val="0"/>
          <w:shd w:val="clear" w:color="auto" w:fill="auto"/>
          <w:lang w:val="hr-HR" w:eastAsia="hr-HR" w:bidi="hr-HR"/>
        </w:rPr>
        <w:t>nacionalističke</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rasistič</w:t>
        <w:softHyphen/>
        <w:t>ke</w:t>
      </w:r>
      <w:r>
        <w:rPr>
          <w:rFonts w:ascii="Times New Roman" w:eastAsia="Times New Roman" w:hAnsi="Times New Roman" w:cs="Times New Roman"/>
          <w:color w:val="000000"/>
          <w:spacing w:val="0"/>
          <w:w w:val="100"/>
          <w:position w:val="0"/>
          <w:shd w:val="clear" w:color="auto" w:fill="auto"/>
          <w:lang w:val="hr-HR" w:eastAsia="hr-HR" w:bidi="hr-HR"/>
        </w:rPr>
        <w:t xml:space="preserve"> argumente. Linija tih antisemita ide preko H. St. Chamberlaina direktno do rasnih teo</w:t>
        <w:softHyphen/>
        <w:t>rija A. Rosenberga i A. Hitlera i dosiže svoj jezivi vrhunac u »konačnom rješenju«, poku</w:t>
        <w:softHyphen/>
        <w:t>šaju genocida čija je žrtva bilo 6 milijuna Ži</w:t>
        <w:softHyphen/>
        <w:t>dova.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godinama nakon Drugoga svjetskog rata pokrenut je u kršćanskim crkvama proces no</w:t>
        <w:softHyphen/>
        <w:t>vog promišljanja odnosa crkava prema židov</w:t>
        <w:softHyphen/>
        <w:t>skom narodu koji je započeo obrađivanjem sukrivnje kršćanstva u nastanku antisemitiz</w:t>
        <w:softHyphen/>
        <w:t>ma koji je doveo do »holokausta«. U Stutt- gartskom vjerovanju (1945) evangelička crkva priznaje: »Optužujemo se jer nismo odvažnije ispovijedali vjeru, vjernije molili, radosnije vjerovali i gorljivije ljubili.« Na Drugom vati</w:t>
        <w:softHyphen/>
        <w:t>kanskom koncilu Katolička crkva je iznova promislila svoj stav prema židovstvu i odbacila je a. »Stoga Crkva ... sjećajući se zajedničke baštine sa Židovima ... žali mržnju, progone, očitovanja antisemitizma kojima su u bilo ko</w:t>
        <w:softHyphen/>
        <w:t>je vrijeme i s bilo koje strane Židovi bili pogo</w:t>
        <w:softHyphen/>
        <w:t>đeni« (NA 4).</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Kršćansko-židovski dijalog, koji bi trebao an</w:t>
        <w:softHyphen/>
        <w:t>tisemitizmu oduzeti teološka utemeljenja, još je na počecima - unatoč zajedničkoj povijesti od gotovo dvije tisuće godina. Moralo bi se objasniti u kojoj se mjeri antisemitske izjave nalaze u Novom zavjetu, kako se s njima mora postupiti u egzegezi, naviještanju i poučava</w:t>
        <w:softHyphen/>
        <w:t>nju. Otvoreno je pitanje u kojoj mjeri kršćan</w:t>
        <w:softHyphen/>
        <w:t>ske crkve priznaju daljnje postojanje Saveza između Boga i izraelskoga naroda i kakve to ima teološke posljedice. Odatle proizlazi i »jamstvo istodobnosti«, tj. priznavanje da ži</w:t>
        <w:softHyphen/>
        <w:t>dovstvo legitimno postoji istodobno s kršćan</w:t>
        <w:softHyphen/>
        <w:t>stvom i uz kršćanstvo. Trebalo bi isto tako načeti i problem misije Židova, područja koje je u prošlosti uvijek iznova davalo povoda za antisemitske ispade.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J. Isaac, </w:t>
      </w:r>
      <w:r>
        <w:rPr>
          <w:i/>
          <w:iCs/>
          <w:color w:val="000000"/>
          <w:spacing w:val="0"/>
          <w:w w:val="100"/>
          <w:position w:val="0"/>
          <w:shd w:val="clear" w:color="auto" w:fill="auto"/>
        </w:rPr>
        <w:t xml:space="preserve">Genesis des </w:t>
      </w:r>
      <w:r>
        <w:rPr>
          <w:i/>
          <w:iCs/>
          <w:color w:val="000000"/>
          <w:spacing w:val="0"/>
          <w:w w:val="100"/>
          <w:position w:val="0"/>
          <w:shd w:val="clear" w:color="auto" w:fill="auto"/>
          <w:lang w:val="hr-HR" w:eastAsia="hr-HR" w:bidi="hr-HR"/>
        </w:rPr>
        <w:t>Antisemitismus,</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Wien </w:t>
      </w:r>
      <w:r>
        <w:rPr>
          <w:color w:val="000000"/>
          <w:spacing w:val="0"/>
          <w:w w:val="100"/>
          <w:position w:val="0"/>
          <w:shd w:val="clear" w:color="auto" w:fill="auto"/>
          <w:lang w:val="hr-HR" w:eastAsia="hr-HR" w:bidi="hr-HR"/>
        </w:rPr>
        <w:t xml:space="preserve">1969; L. </w:t>
      </w:r>
      <w:r>
        <w:rPr>
          <w:color w:val="000000"/>
          <w:spacing w:val="0"/>
          <w:w w:val="100"/>
          <w:position w:val="0"/>
          <w:shd w:val="clear" w:color="auto" w:fill="auto"/>
        </w:rPr>
        <w:t>Po</w:t>
        <w:softHyphen/>
        <w:t xml:space="preserve">liakov, </w:t>
      </w:r>
      <w:r>
        <w:rPr>
          <w:i/>
          <w:iCs/>
          <w:color w:val="000000"/>
          <w:spacing w:val="0"/>
          <w:w w:val="100"/>
          <w:position w:val="0"/>
          <w:shd w:val="clear" w:color="auto" w:fill="auto"/>
        </w:rPr>
        <w:t>Geschichte des Antisemitismus,</w:t>
      </w:r>
      <w:r>
        <w:rPr>
          <w:color w:val="000000"/>
          <w:spacing w:val="0"/>
          <w:w w:val="100"/>
          <w:position w:val="0"/>
          <w:shd w:val="clear" w:color="auto" w:fill="auto"/>
        </w:rPr>
        <w:t xml:space="preserve"> Worms 1977; E. Sterling, </w:t>
      </w:r>
      <w:r>
        <w:rPr>
          <w:i/>
          <w:iCs/>
          <w:color w:val="000000"/>
          <w:spacing w:val="0"/>
          <w:w w:val="100"/>
          <w:position w:val="0"/>
          <w:shd w:val="clear" w:color="auto" w:fill="auto"/>
        </w:rPr>
        <w:t>Judenhass,</w:t>
      </w:r>
      <w:r>
        <w:rPr>
          <w:color w:val="000000"/>
          <w:spacing w:val="0"/>
          <w:w w:val="100"/>
          <w:position w:val="0"/>
          <w:shd w:val="clear" w:color="auto" w:fill="auto"/>
        </w:rPr>
        <w:t xml:space="preserve"> Frankfurt 1969; C- Tboma, </w:t>
      </w:r>
      <w:r>
        <w:rPr>
          <w:i/>
          <w:iCs/>
          <w:color w:val="000000"/>
          <w:spacing w:val="0"/>
          <w:w w:val="100"/>
          <w:position w:val="0"/>
          <w:shd w:val="clear" w:color="auto" w:fill="auto"/>
        </w:rPr>
        <w:t>Christliche Theologie des Judentums,</w:t>
      </w:r>
      <w:r>
        <w:rPr>
          <w:color w:val="000000"/>
          <w:spacing w:val="0"/>
          <w:w w:val="100"/>
          <w:position w:val="0"/>
          <w:shd w:val="clear" w:color="auto" w:fill="auto"/>
        </w:rPr>
        <w:t xml:space="preserve"> Aschaffenburg 1978; R. Ructbcr, </w:t>
      </w:r>
      <w:r>
        <w:rPr>
          <w:i/>
          <w:iCs/>
          <w:color w:val="000000"/>
          <w:spacing w:val="0"/>
          <w:w w:val="100"/>
          <w:position w:val="0"/>
          <w:shd w:val="clear" w:color="auto" w:fill="auto"/>
        </w:rPr>
        <w:t>Michstenliebe und Brudermord,</w:t>
      </w:r>
      <w:r>
        <w:rPr>
          <w:color w:val="000000"/>
          <w:spacing w:val="0"/>
          <w:w w:val="100"/>
          <w:position w:val="0"/>
          <w:shd w:val="clear" w:color="auto" w:fill="auto"/>
        </w:rPr>
        <w:t xml:space="preserve"> Munchcn 1978.</w:t>
      </w:r>
    </w:p>
    <w:p>
      <w:pPr>
        <w:pStyle w:val="Style74"/>
        <w:keepNext w:val="0"/>
        <w:keepLines w:val="0"/>
        <w:widowControl w:val="0"/>
        <w:shd w:val="clear" w:color="auto" w:fill="auto"/>
        <w:bidi w:val="0"/>
        <w:spacing w:before="0" w:after="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G. ItVERS</w:t>
      </w:r>
    </w:p>
    <w:p>
      <w:pPr>
        <w:pStyle w:val="Style63"/>
        <w:keepNext/>
        <w:keepLines/>
        <w:widowControl w:val="0"/>
        <w:numPr>
          <w:ilvl w:val="0"/>
          <w:numId w:val="19"/>
        </w:numPr>
        <w:shd w:val="clear" w:color="auto" w:fill="auto"/>
        <w:tabs>
          <w:tab w:pos="260" w:val="left"/>
        </w:tabs>
        <w:bidi w:val="0"/>
        <w:spacing w:before="0" w:line="218" w:lineRule="auto"/>
        <w:ind w:left="0" w:right="0" w:firstLine="0"/>
        <w:jc w:val="both"/>
      </w:pPr>
      <w:bookmarkStart w:id="29" w:name="bookmark29"/>
      <w:r>
        <w:rPr>
          <w:rFonts w:ascii="Times New Roman" w:eastAsia="Times New Roman" w:hAnsi="Times New Roman" w:cs="Times New Roman"/>
          <w:color w:val="000000"/>
          <w:spacing w:val="0"/>
          <w:w w:val="100"/>
          <w:position w:val="0"/>
          <w:shd w:val="clear" w:color="auto" w:fill="auto"/>
          <w:lang w:val="hr-HR" w:eastAsia="hr-HR" w:bidi="hr-HR"/>
        </w:rPr>
        <w:t>islamski</w:t>
      </w:r>
      <w:bookmarkEnd w:id="2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Suzi li se pojam antisemitizma na svoju povi</w:t>
        <w:softHyphen/>
        <w:t>jesnu supstanciju, naime na odbojnost ili ne</w:t>
        <w:softHyphen/>
        <w:t>prijateljstvo prema Židovima, tada se u povi</w:t>
        <w:softHyphen/>
        <w:t>jesti islama spoznaju jasne antisemitske ten</w:t>
        <w:softHyphen/>
        <w:t>dencije. No motivacija za njih ipak ne leži u religijskom, već prije svega u političkom i so</w:t>
        <w:softHyphen/>
        <w:t>ciokulturnom području. U razdoblju Muha- medova djelovanja u Medini židovsko-islam- ski odnosi bili su opterećeni političkim očeki</w:t>
        <w:softHyphen/>
        <w:t>vanjima koja su se razilazila. Nastao je rav</w:t>
        <w:softHyphen/>
        <w:t>nomjerni antagonizam. Židovi nisu bili skloni bez protivljenja prihvatiti Muhamedov zaht</w:t>
        <w:softHyphen/>
        <w:t>jev za uspostavom islamske države. Također su se osjećali ugroženim u svojim religijskim i gospodarskim interesima. Uslijedili su verbal</w:t>
        <w:softHyphen/>
        <w:t>ni, a potom i stvarni napadi na Muhameda i na njegovu zajednicu. Tako je, primjerice, ži</w:t>
        <w:softHyphen/>
        <w:t xml:space="preserve">dovska pjesnikinja </w:t>
      </w:r>
      <w:r>
        <w:rPr>
          <w:rFonts w:ascii="Times New Roman" w:eastAsia="Times New Roman" w:hAnsi="Times New Roman" w:cs="Times New Roman"/>
          <w:color w:val="000000"/>
          <w:spacing w:val="0"/>
          <w:w w:val="100"/>
          <w:position w:val="0"/>
          <w:shd w:val="clear" w:color="auto" w:fill="auto"/>
          <w:lang w:val="en-US" w:eastAsia="en-US" w:bidi="en-US"/>
        </w:rPr>
        <w:t xml:space="preserve">Salma bint </w:t>
      </w:r>
      <w:r>
        <w:rPr>
          <w:rFonts w:ascii="Times New Roman" w:eastAsia="Times New Roman" w:hAnsi="Times New Roman" w:cs="Times New Roman"/>
          <w:color w:val="000000"/>
          <w:spacing w:val="0"/>
          <w:w w:val="100"/>
          <w:position w:val="0"/>
          <w:shd w:val="clear" w:color="auto" w:fill="auto"/>
          <w:lang w:val="hr-HR" w:eastAsia="hr-HR" w:bidi="hr-HR"/>
        </w:rPr>
        <w:t>Marw3n napisa</w:t>
        <w:softHyphen/>
        <w:t>la osramoćujuće pjesme kojima je kasnije Mu</w:t>
        <w:softHyphen/>
        <w:t xml:space="preserve">hamedov dvorski pjesnik </w:t>
      </w:r>
      <w:r>
        <w:rPr>
          <w:rFonts w:ascii="Times New Roman" w:eastAsia="Times New Roman" w:hAnsi="Times New Roman" w:cs="Times New Roman"/>
          <w:color w:val="000000"/>
          <w:spacing w:val="0"/>
          <w:w w:val="100"/>
          <w:position w:val="0"/>
          <w:shd w:val="clear" w:color="auto" w:fill="auto"/>
          <w:lang w:val="en-US" w:eastAsia="en-US" w:bidi="en-US"/>
        </w:rPr>
        <w:t xml:space="preserve">Hassan </w:t>
      </w:r>
      <w:r>
        <w:rPr>
          <w:rFonts w:ascii="Times New Roman" w:eastAsia="Times New Roman" w:hAnsi="Times New Roman" w:cs="Times New Roman"/>
          <w:color w:val="000000"/>
          <w:spacing w:val="0"/>
          <w:w w:val="100"/>
          <w:position w:val="0"/>
          <w:shd w:val="clear" w:color="auto" w:fill="auto"/>
          <w:lang w:val="hr-HR" w:eastAsia="hr-HR" w:bidi="hr-HR"/>
        </w:rPr>
        <w:t>ibn Thabit pjesnički uzvratio u sukladno oštroj formi.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Neprijateljstva su se naposljetku izrodila u ratne sukobe koji su doveli do nasilnog ise</w:t>
        <w:softHyphen/>
        <w:t>ljavanja židovskih plemena iz Medine. Pritom je muslimanska strana postupala s grubošću političkih revolucionara. Antižidovski stihovi iz Kurana daju naslutiti međusobni animozi</w:t>
        <w:softHyphen/>
        <w:t>tet koji je vladao između prve (muslimanske) zajednice u Medini i njezinih židovskih su</w:t>
        <w:softHyphen/>
        <w:t>građana. I pod kalifom Omarom (634-644) bile su poduzete protužidovske mjere.</w:t>
      </w:r>
    </w:p>
    <w:p>
      <w:pPr>
        <w:pStyle w:val="Style20"/>
        <w:keepNext w:val="0"/>
        <w:keepLines w:val="0"/>
        <w:widowControl w:val="0"/>
        <w:shd w:val="clear" w:color="auto" w:fill="auto"/>
        <w:tabs>
          <w:tab w:pos="2582" w:val="left"/>
        </w:tabs>
        <w:bidi w:val="0"/>
        <w:spacing w:before="0" w:after="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Unatoč tom ranom povijesnom opterećenju odnos je islama prema judaizmu bio općenito podnošljiv, zgodimice i dobar. Islamska teolo</w:t>
        <w:softHyphen/>
        <w:t>gija ne iznosi nikakve dogmatske argumente protiv Židova. Njoj su poimence strani stan</w:t>
        <w:softHyphen/>
        <w:t>dardni prigovori kršćanskoga antisemitizma (ubojstvo Boga, odbacivanje židovskoga na</w:t>
        <w:softHyphen/>
        <w:t>roda, prigovor da je judaizam religija Zako</w:t>
        <w:softHyphen/>
        <w:t>na). Međutim, Židovi su u povijesti islama ta</w:t>
        <w:softHyphen/>
        <w:t xml:space="preserve">kođer igrali važne uloge. Ni teologija nije bila lišena njihova utjecaja. </w:t>
      </w:r>
      <w:r>
        <w:rPr>
          <w:rFonts w:ascii="Times New Roman" w:eastAsia="Times New Roman" w:hAnsi="Times New Roman" w:cs="Times New Roman"/>
          <w:color w:val="000000"/>
          <w:spacing w:val="0"/>
          <w:w w:val="100"/>
          <w:position w:val="0"/>
          <w:shd w:val="clear" w:color="auto" w:fill="auto"/>
          <w:lang w:val="en-US" w:eastAsia="en-US" w:bidi="en-US"/>
        </w:rPr>
        <w:t xml:space="preserve">‘Abdallah </w:t>
      </w:r>
      <w:r>
        <w:rPr>
          <w:rFonts w:ascii="Times New Roman" w:eastAsia="Times New Roman" w:hAnsi="Times New Roman" w:cs="Times New Roman"/>
          <w:color w:val="000000"/>
          <w:spacing w:val="0"/>
          <w:w w:val="100"/>
          <w:position w:val="0"/>
          <w:shd w:val="clear" w:color="auto" w:fill="auto"/>
          <w:lang w:val="hr-HR" w:eastAsia="hr-HR" w:bidi="hr-HR"/>
        </w:rPr>
        <w:t>ibn Saba, is</w:t>
        <w:softHyphen/>
        <w:t>lamizirani Židov, smatra se duhovnim uteme</w:t>
        <w:softHyphen/>
        <w:t>ljiteljem šijizma. Vjernost ortodoksnih Židova svom religioznom identitetu fascinirala je mus</w:t>
        <w:softHyphen/>
        <w:t>limane. Zbog sukoba u Palestini u islamskom se svijetu rasplamsalo vidno anticionističko raspoloženje. No bilo bi pogrešno vidjeti u to</w:t>
        <w:softHyphen/>
        <w:t>mu neki a. Radi se prije o jednoj formi otpora protiv neokolonijalizma kakav upravo cioni- zam doživljava od Arapa.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260" w:line="240"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 xml:space="preserve">ANTROPOMORFIZAM -&gt; </w:t>
      </w:r>
      <w:r>
        <w:rPr>
          <w:rFonts w:ascii="Times New Roman" w:eastAsia="Times New Roman" w:hAnsi="Times New Roman" w:cs="Times New Roman"/>
          <w:b/>
          <w:bCs/>
          <w:color w:val="000000"/>
          <w:spacing w:val="0"/>
          <w:w w:val="100"/>
          <w:position w:val="0"/>
          <w:shd w:val="clear" w:color="auto" w:fill="auto"/>
          <w:lang w:val="hr-HR" w:eastAsia="hr-HR" w:bidi="hr-HR"/>
        </w:rPr>
        <w:t xml:space="preserve">SLIKA, </w:t>
      </w:r>
      <w:r>
        <w:rPr>
          <w:rFonts w:ascii="Times New Roman" w:eastAsia="Times New Roman" w:hAnsi="Times New Roman" w:cs="Times New Roman"/>
          <w:b/>
          <w:bCs/>
          <w:color w:val="000000"/>
          <w:spacing w:val="0"/>
          <w:w w:val="100"/>
          <w:position w:val="0"/>
          <w:shd w:val="clear" w:color="auto" w:fill="auto"/>
          <w:lang w:val="en-US" w:eastAsia="en-US" w:bidi="en-US"/>
        </w:rPr>
        <w:t>-&gt; BOG</w:t>
      </w:r>
    </w:p>
    <w:p>
      <w:pPr>
        <w:pStyle w:val="Style33"/>
        <w:keepNext w:val="0"/>
        <w:keepLines w:val="0"/>
        <w:widowControl w:val="0"/>
        <w:shd w:val="clear" w:color="auto" w:fill="auto"/>
        <w:bidi w:val="0"/>
        <w:spacing w:before="0" w:after="1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APOKALIPTIKA</w:t>
      </w:r>
    </w:p>
    <w:p>
      <w:pPr>
        <w:pStyle w:val="Style63"/>
        <w:keepNext/>
        <w:keepLines/>
        <w:widowControl w:val="0"/>
        <w:numPr>
          <w:ilvl w:val="0"/>
          <w:numId w:val="21"/>
        </w:numPr>
        <w:shd w:val="clear" w:color="auto" w:fill="auto"/>
        <w:tabs>
          <w:tab w:pos="246" w:val="left"/>
        </w:tabs>
        <w:bidi w:val="0"/>
        <w:spacing w:before="0"/>
        <w:ind w:left="0" w:right="0" w:firstLine="0"/>
        <w:jc w:val="both"/>
      </w:pPr>
      <w:bookmarkStart w:id="30" w:name="bookmark30"/>
      <w:r>
        <w:rPr>
          <w:rFonts w:ascii="Times New Roman" w:eastAsia="Times New Roman" w:hAnsi="Times New Roman" w:cs="Times New Roman"/>
          <w:color w:val="000000"/>
          <w:spacing w:val="0"/>
          <w:w w:val="100"/>
          <w:position w:val="0"/>
          <w:shd w:val="clear" w:color="auto" w:fill="auto"/>
          <w:lang w:val="hr-HR" w:eastAsia="hr-HR" w:bidi="hr-HR"/>
        </w:rPr>
        <w:t>židovski</w:t>
      </w:r>
      <w:bookmarkEnd w:id="3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grč. »otkrivenje«, vizionarsko tumačenje povijesti s gledišta stvaranja, otkrivenja i iz</w:t>
        <w:softHyphen/>
        <w:t>bavljenja u narodu Izraelovu u doba 2. Hrama. U Kanonu hebrejske Biblije takve se vizije na</w:t>
        <w:softHyphen/>
        <w:t>laze u Ezekielu, Izaiji 24-27, Zahariji, Joelu, Malahiji i Daniclu. A. je kao široki pokret pučke religije nastajala prije svega u II. stoljeću pr. Kr. do kraja I. stoljeća pos. Kr. Većina spisa nije prihvaćena u kanon već u apokrife, »iz</w:t>
        <w:softHyphen/>
        <w:t>vanjske spise«, većina u obliku pseudoepigrafa pripisanih jednoj biblijskoj osobi: Abrahamu, Henoku, Salomonu, Ezri itd. Ta osoba prika</w:t>
        <w:softHyphen/>
        <w:t>zuje čitav tijek povijesti kao »pogled na bu</w:t>
        <w:softHyphen/>
        <w:t>dućnost«. Svjetska carstva opisuju se kao živo</w:t>
        <w:softHyphen/>
        <w:t>tinje iz basne, pali anđeli vladaju svijetom, ta</w:t>
        <w:softHyphen/>
        <w:t>janstveni brojevi pozivaju na izračun očekiva</w:t>
        <w:softHyphen/>
        <w:t>noga vremena svršetka svijeta. Prethode mu prirodne katastrofe i ratovi. Tada nastaje ob</w:t>
        <w:softHyphen/>
        <w:t>novljeni, bolji svijet. Bog šalje svojega Pomaza- nika iz kuće Davidove kao kralja Izraela, novi Savez (Jr 31) produhovljuje ljude, mrtvi ustaju, presuđuje im se pakao ili raj. Važnu ulogu pri</w:t>
        <w:softHyphen/>
        <w:t>tom ima »čovječji sin« kao Božji pomoćnik.</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Apokaliptičko skoro očekivanje raslo je pod pritiskom sirijskih helenista i Rimljana. Vo</w:t>
        <w:softHyphen/>
        <w:t xml:space="preserve">deći učitelji poslije uništenja Jeruzalema bili su apokaliptičari, npr. Rabi Akiva i Rabi Jiš- macl (II. stoljeće). U progonima pod carem Hadrijanom Rabi Akiva proglasio je mesijom vojskovođu Bar Kohbu, »sina zvijezde«. Drugi su pismoznanci rekli: »Prije će narasti trava na tvojoj bradi nego što ćeš vidjeti sina </w:t>
      </w:r>
      <w:r>
        <w:rPr>
          <w:rFonts w:ascii="Times New Roman" w:eastAsia="Times New Roman" w:hAnsi="Times New Roman" w:cs="Times New Roman"/>
          <w:color w:val="000000"/>
          <w:spacing w:val="0"/>
          <w:w w:val="100"/>
          <w:position w:val="0"/>
          <w:shd w:val="clear" w:color="auto" w:fill="auto"/>
          <w:lang w:val="en-US" w:eastAsia="en-US" w:bidi="en-US"/>
        </w:rPr>
        <w:t>Davi</w:t>
        <w:softHyphen/>
        <w:t xml:space="preserve">dova« </w:t>
      </w:r>
      <w:r>
        <w:rPr>
          <w:rFonts w:ascii="Times New Roman" w:eastAsia="Times New Roman" w:hAnsi="Times New Roman" w:cs="Times New Roman"/>
          <w:color w:val="000000"/>
          <w:spacing w:val="0"/>
          <w:w w:val="100"/>
          <w:position w:val="0"/>
          <w:shd w:val="clear" w:color="auto" w:fill="auto"/>
          <w:lang w:val="hr-HR" w:eastAsia="hr-HR" w:bidi="hr-HR"/>
        </w:rPr>
        <w:t xml:space="preserve">(j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IV, 8). Nakon mnogih razo</w:t>
        <w:softHyphen/>
        <w:t>čaranja, rabinski je zabranjeno izračunavanje posljednjeg vremena. Ono ipak ima i dalje važnu ulogu sa slikama apokaliptikc, posebice nakon progona i u vezi s —&gt; mistikom: nakon križarskih ratova, protjerivanja iz Španjolske (XV. stoljeće), kozačkih pogroma (XVII. sto</w:t>
        <w:softHyphen/>
        <w:t>ljeće), Židovi i nežidovi smatrali su mesijom Šabetaja Ccvija 1666. godine. Uglavnom mi</w:t>
        <w:softHyphen/>
        <w:t>tološka orijentacija apokaliptike nalazi se i poslije kod židovskih mistika i vizionara.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 W. Gunkcl, </w:t>
      </w:r>
      <w:r>
        <w:rPr>
          <w:i/>
          <w:iCs/>
          <w:color w:val="000000"/>
          <w:spacing w:val="0"/>
          <w:w w:val="100"/>
          <w:position w:val="0"/>
          <w:shd w:val="clear" w:color="auto" w:fill="auto"/>
          <w:lang w:val="hr-HR" w:eastAsia="hr-HR" w:bidi="hr-HR"/>
        </w:rPr>
        <w:t xml:space="preserve">Schiipfung </w:t>
      </w:r>
      <w:r>
        <w:rPr>
          <w:i/>
          <w:iCs/>
          <w:color w:val="000000"/>
          <w:spacing w:val="0"/>
          <w:w w:val="100"/>
          <w:position w:val="0"/>
          <w:shd w:val="clear" w:color="auto" w:fill="auto"/>
        </w:rPr>
        <w:t xml:space="preserve">und Chaos in Urzeit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Endieit. Cln } und ApJ 12.</w:t>
      </w:r>
      <w:r>
        <w:rPr>
          <w:color w:val="000000"/>
          <w:spacing w:val="0"/>
          <w:w w:val="100"/>
          <w:position w:val="0"/>
          <w:shd w:val="clear" w:color="auto" w:fill="auto"/>
        </w:rPr>
        <w:t xml:space="preserve"> 1894, Gottingen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1921; P. von </w:t>
      </w:r>
      <w:r>
        <w:rPr>
          <w:color w:val="000000"/>
          <w:spacing w:val="0"/>
          <w:w w:val="100"/>
          <w:position w:val="0"/>
          <w:shd w:val="clear" w:color="auto" w:fill="auto"/>
        </w:rPr>
        <w:t xml:space="preserve">dcr Ostcn-Sackcn, </w:t>
      </w:r>
      <w:r>
        <w:rPr>
          <w:i/>
          <w:iCs/>
          <w:color w:val="000000"/>
          <w:spacing w:val="0"/>
          <w:w w:val="100"/>
          <w:position w:val="0"/>
          <w:shd w:val="clear" w:color="auto" w:fill="auto"/>
        </w:rPr>
        <w:t xml:space="preserve">Die A. in ihrem </w:t>
      </w:r>
      <w:r>
        <w:rPr>
          <w:i/>
          <w:iCs/>
          <w:color w:val="000000"/>
          <w:spacing w:val="0"/>
          <w:w w:val="100"/>
          <w:position w:val="0"/>
          <w:shd w:val="clear" w:color="auto" w:fill="auto"/>
          <w:lang w:val="hr-HR" w:eastAsia="hr-HR" w:bidi="hr-HR"/>
        </w:rPr>
        <w:t xml:space="preserve">^erhahms </w:t>
      </w:r>
      <w:r>
        <w:rPr>
          <w:i/>
          <w:iCs/>
          <w:color w:val="000000"/>
          <w:spacing w:val="0"/>
          <w:w w:val="100"/>
          <w:position w:val="0"/>
          <w:shd w:val="clear" w:color="auto" w:fill="auto"/>
        </w:rPr>
        <w:t>zu Theologie und Weiseheil,</w:t>
      </w:r>
      <w:r>
        <w:rPr>
          <w:color w:val="000000"/>
          <w:spacing w:val="0"/>
          <w:w w:val="100"/>
          <w:position w:val="0"/>
          <w:shd w:val="clear" w:color="auto" w:fill="auto"/>
        </w:rPr>
        <w:t xml:space="preserve"> Munchen 1969; G. Scholcm, </w:t>
      </w:r>
      <w:r>
        <w:rPr>
          <w:i/>
          <w:iCs/>
          <w:color w:val="000000"/>
          <w:spacing w:val="0"/>
          <w:w w:val="100"/>
          <w:position w:val="0"/>
          <w:shd w:val="clear" w:color="auto" w:fill="auto"/>
        </w:rPr>
        <w:t>Sabbaiai Sen, The Mystical Messiah, 1626-1676,</w:t>
      </w:r>
      <w:r>
        <w:rPr>
          <w:color w:val="000000"/>
          <w:spacing w:val="0"/>
          <w:w w:val="100"/>
          <w:position w:val="0"/>
          <w:shd w:val="clear" w:color="auto" w:fill="auto"/>
        </w:rPr>
        <w:t xml:space="preserve"> Uindon 1973.</w:t>
      </w:r>
    </w:p>
    <w:p>
      <w:pPr>
        <w:pStyle w:val="Style74"/>
        <w:keepNext w:val="0"/>
        <w:keepLines w:val="0"/>
        <w:widowControl w:val="0"/>
        <w:shd w:val="clear" w:color="auto" w:fill="auto"/>
        <w:bidi w:val="0"/>
        <w:spacing w:before="0" w:after="24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B. NAVE LEVINSON</w:t>
      </w:r>
    </w:p>
    <w:p>
      <w:pPr>
        <w:pStyle w:val="Style63"/>
        <w:keepNext/>
        <w:keepLines/>
        <w:widowControl w:val="0"/>
        <w:numPr>
          <w:ilvl w:val="0"/>
          <w:numId w:val="21"/>
        </w:numPr>
        <w:shd w:val="clear" w:color="auto" w:fill="auto"/>
        <w:tabs>
          <w:tab w:pos="265" w:val="left"/>
        </w:tabs>
        <w:bidi w:val="0"/>
        <w:spacing w:before="0" w:after="80"/>
        <w:ind w:left="0" w:right="0" w:firstLine="0"/>
        <w:jc w:val="both"/>
      </w:pPr>
      <w:bookmarkStart w:id="31" w:name="bookmark3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Pod apokaliptikom </w:t>
      </w:r>
      <w:r>
        <w:rPr>
          <w:rFonts w:ascii="Times New Roman" w:eastAsia="Times New Roman" w:hAnsi="Times New Roman" w:cs="Times New Roman"/>
          <w:color w:val="000000"/>
          <w:spacing w:val="0"/>
          <w:w w:val="100"/>
          <w:position w:val="0"/>
          <w:shd w:val="clear" w:color="auto" w:fill="auto"/>
          <w:lang w:val="hr-HR" w:eastAsia="hr-HR" w:bidi="hr-HR"/>
        </w:rPr>
        <w:t>se razumijeva literarna vrsta religijskih iz.ričaja o budućnosti koja se odnosi na sudbinu pojedinaca i svijeta. Postavljanje granice između apokaliptičkoga govora, s jed</w:t>
        <w:softHyphen/>
        <w:t>ne strane, i predskazivanja, proricanja i esha- toloških iskaza, s druge strane, osporava se i ne može se uvijek jednoznačno provesti. Kod razlučivanja apokaliptike od eshatologijc po</w:t>
        <w:softHyphen/>
        <w:t>kazalo se da apokaliptički iskazi imaju kao predmet već ostvarenu i u svojim pojedinos</w:t>
        <w:softHyphen/>
        <w:t>tima utvrđenu budućnost kod Boga, koja će se dogoditi Božjim nepogrešivim znanjem i vod</w:t>
        <w:softHyphen/>
        <w:t>stvom, neovisno o postupcima i odlukama lju</w:t>
        <w:softHyphen/>
        <w:t>di u povijesti. Apokaliptička poruka u svojem većinom simboličkom i alegorizirajućem ob</w:t>
        <w:softHyphen/>
        <w:t>liku. koji jc u svim pojedinostima čini razum</w:t>
        <w:softHyphen/>
        <w:t>ljivom samo posvećenima, obraća se vjerni</w:t>
        <w:softHyphen/>
        <w:t>cima koji trebaju utjehu i ohrabrenjc u poseb</w:t>
        <w:softHyphen/>
        <w:t>noj situaciji kušnje i progona. Ukazivanje na nepromjenljivu i nepogrešivu kaznu te na uniš</w:t>
        <w:softHyphen/>
        <w:t>tenje neprijateljskih sila treba dobrima pružiti pouzdanje, a zlima strah. Naprotiv, eshato- loški iskazi stavljaju težište na činjenicu da je u Isusu Kristu već sada nastupila Božja kra</w:t>
        <w:softHyphen/>
        <w:t>ljevska vlast i naviještaju njezinu puninu koja još nedostaje, ipak se ne gubeći u pojedinos</w:t>
        <w:softHyphen/>
        <w:t>tima tih događaja koji još nedostaju. U apoka- liptičkom iskazu napetost i nalaženje u od</w:t>
        <w:softHyphen/>
        <w:t>lučnoj situaciji, koja zahtijeva odgovorne po</w:t>
        <w:softHyphen/>
        <w:t>stupke, razrješava se pasivnim očekivanjem svršetka koji jc u svojim pojedinostima već neopozivo utvrđen, a proizvest će ga jedino Bog.</w:t>
      </w:r>
    </w:p>
    <w:p>
      <w:pPr>
        <w:pStyle w:val="Style20"/>
        <w:keepNext w:val="0"/>
        <w:keepLines w:val="0"/>
        <w:widowControl w:val="0"/>
        <w:shd w:val="clear" w:color="auto" w:fill="auto"/>
        <w:bidi w:val="0"/>
        <w:spacing w:before="0" w:after="60"/>
        <w:ind w:left="0" w:right="0" w:firstLine="0"/>
        <w:jc w:val="both"/>
        <w:sectPr>
          <w:headerReference w:type="default" r:id="rId129"/>
          <w:footerReference w:type="default" r:id="rId130"/>
          <w:headerReference w:type="even" r:id="rId131"/>
          <w:footerReference w:type="even" r:id="rId132"/>
          <w:headerReference w:type="first" r:id="rId133"/>
          <w:footerReference w:type="first" r:id="rId134"/>
          <w:footnotePr>
            <w:pos w:val="pageBottom"/>
            <w:numFmt w:val="decimal"/>
            <w:numStart w:val="5"/>
            <w:numRestart w:val="continuous"/>
            <w15:footnoteColumns w:val="1"/>
          </w:footnotePr>
          <w:pgSz w:w="6816" w:h="11006"/>
          <w:pgMar w:top="954" w:left="178" w:right="182" w:bottom="525"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Apokaliptička književna vrsta nastala je iz dalj</w:t>
        <w:softHyphen/>
        <w:t>njeg razvoja profetske literature pri čemu se egzegeti ne mogu složiti, gdje u pojedinačnom treba postavili granicu. Kao vrijeme nastaja</w:t>
        <w:softHyphen/>
        <w:t xml:space="preserve">nja obično se navodi vrijeme </w:t>
      </w:r>
      <w:r>
        <w:rPr>
          <w:rFonts w:ascii="Times New Roman" w:eastAsia="Times New Roman" w:hAnsi="Times New Roman" w:cs="Times New Roman"/>
          <w:color w:val="000000"/>
          <w:spacing w:val="0"/>
          <w:w w:val="100"/>
          <w:position w:val="0"/>
          <w:shd w:val="clear" w:color="auto" w:fill="auto"/>
          <w:lang w:val="en-US" w:eastAsia="en-US" w:bidi="en-US"/>
        </w:rPr>
        <w:t xml:space="preserve">Makabejaca </w:t>
      </w:r>
      <w:r>
        <w:rPr>
          <w:rFonts w:ascii="Times New Roman" w:eastAsia="Times New Roman" w:hAnsi="Times New Roman" w:cs="Times New Roman"/>
          <w:color w:val="000000"/>
          <w:spacing w:val="0"/>
          <w:w w:val="100"/>
          <w:position w:val="0"/>
          <w:shd w:val="clear" w:color="auto" w:fill="auto"/>
          <w:lang w:val="hr-HR" w:eastAsia="hr-HR" w:bidi="hr-HR"/>
        </w:rPr>
        <w:t>(II. stoljeće pr. Kr.) kad su nastale Danielova knji</w:t>
        <w:softHyphen/>
        <w:t>ga i Henokova knjiga. U apokaliptička djela uračunavaju se, da spomenemo najvažnija: Mojsijcvo uzašašće, četvrta Ezrina knjiga i Ba- ruhova apokalipsa (u sirijskoj i u grčkoj ver</w:t>
        <w:softHyphen/>
        <w:t>ziji). Ti zapisi nisu prihvaćeni u židovski ka</w:t>
        <w:softHyphen/>
        <w:t>non. I tzv. novozavjetnim apokalipsama isto je tako zabranjen pristup u kanon.Tu sc ubraja</w:t>
        <w:softHyphen/>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ju: </w:t>
      </w:r>
      <w:r>
        <w:rPr>
          <w:rFonts w:ascii="Times New Roman" w:eastAsia="Times New Roman" w:hAnsi="Times New Roman" w:cs="Times New Roman"/>
          <w:color w:val="000000"/>
          <w:spacing w:val="0"/>
          <w:w w:val="100"/>
          <w:position w:val="0"/>
          <w:shd w:val="clear" w:color="auto" w:fill="auto"/>
          <w:lang w:val="en-US" w:eastAsia="en-US" w:bidi="en-US"/>
        </w:rPr>
        <w:t xml:space="preserve">Izaijino </w:t>
      </w:r>
      <w:r>
        <w:rPr>
          <w:rFonts w:ascii="Times New Roman" w:eastAsia="Times New Roman" w:hAnsi="Times New Roman" w:cs="Times New Roman"/>
          <w:color w:val="000000"/>
          <w:spacing w:val="0"/>
          <w:w w:val="100"/>
          <w:position w:val="0"/>
          <w:shd w:val="clear" w:color="auto" w:fill="auto"/>
          <w:lang w:val="hr-HR" w:eastAsia="hr-HR" w:bidi="hr-HR"/>
        </w:rPr>
        <w:t xml:space="preserve">uzašašće, </w:t>
      </w:r>
      <w:r>
        <w:rPr>
          <w:rFonts w:ascii="Times New Roman" w:eastAsia="Times New Roman" w:hAnsi="Times New Roman" w:cs="Times New Roman"/>
          <w:color w:val="000000"/>
          <w:spacing w:val="0"/>
          <w:w w:val="100"/>
          <w:position w:val="0"/>
          <w:shd w:val="clear" w:color="auto" w:fill="auto"/>
          <w:lang w:val="en-US" w:eastAsia="en-US" w:bidi="en-US"/>
        </w:rPr>
        <w:t xml:space="preserve">Petrova </w:t>
      </w:r>
      <w:r>
        <w:rPr>
          <w:rFonts w:ascii="Times New Roman" w:eastAsia="Times New Roman" w:hAnsi="Times New Roman" w:cs="Times New Roman"/>
          <w:color w:val="000000"/>
          <w:spacing w:val="0"/>
          <w:w w:val="100"/>
          <w:position w:val="0"/>
          <w:shd w:val="clear" w:color="auto" w:fill="auto"/>
          <w:lang w:val="hr-HR" w:eastAsia="hr-HR" w:bidi="hr-HR"/>
        </w:rPr>
        <w:t xml:space="preserve">apokalipsa, </w:t>
      </w:r>
      <w:r>
        <w:rPr>
          <w:rFonts w:ascii="Times New Roman" w:eastAsia="Times New Roman" w:hAnsi="Times New Roman" w:cs="Times New Roman"/>
          <w:color w:val="000000"/>
          <w:spacing w:val="0"/>
          <w:w w:val="100"/>
          <w:position w:val="0"/>
          <w:shd w:val="clear" w:color="auto" w:fill="auto"/>
          <w:lang w:val="en-US" w:eastAsia="en-US" w:bidi="en-US"/>
        </w:rPr>
        <w:t>Pav</w:t>
        <w:softHyphen/>
        <w:t xml:space="preserve">lova </w:t>
      </w:r>
      <w:r>
        <w:rPr>
          <w:rFonts w:ascii="Times New Roman" w:eastAsia="Times New Roman" w:hAnsi="Times New Roman" w:cs="Times New Roman"/>
          <w:color w:val="000000"/>
          <w:spacing w:val="0"/>
          <w:w w:val="100"/>
          <w:position w:val="0"/>
          <w:shd w:val="clear" w:color="auto" w:fill="auto"/>
          <w:lang w:val="hr-HR" w:eastAsia="hr-HR" w:bidi="hr-HR"/>
        </w:rPr>
        <w:t xml:space="preserve">apokalipsa i </w:t>
      </w:r>
      <w:r>
        <w:rPr>
          <w:rFonts w:ascii="Times New Roman" w:eastAsia="Times New Roman" w:hAnsi="Times New Roman" w:cs="Times New Roman"/>
          <w:color w:val="000000"/>
          <w:spacing w:val="0"/>
          <w:w w:val="100"/>
          <w:position w:val="0"/>
          <w:shd w:val="clear" w:color="auto" w:fill="auto"/>
          <w:lang w:val="en-US" w:eastAsia="en-US" w:bidi="en-US"/>
        </w:rPr>
        <w:t xml:space="preserve">Hermin </w:t>
      </w:r>
      <w:r>
        <w:rPr>
          <w:rFonts w:ascii="Times New Roman" w:eastAsia="Times New Roman" w:hAnsi="Times New Roman" w:cs="Times New Roman"/>
          <w:color w:val="000000"/>
          <w:spacing w:val="0"/>
          <w:w w:val="100"/>
          <w:position w:val="0"/>
          <w:shd w:val="clear" w:color="auto" w:fill="auto"/>
          <w:lang w:val="hr-HR" w:eastAsia="hr-HR" w:bidi="hr-HR"/>
        </w:rPr>
        <w:t>»Pastir«. Za teološ</w:t>
        <w:softHyphen/>
        <w:t>ko je istraživanje ova književna vrsta korisna za bolje shvaćanje konteksta u kojem su na</w:t>
        <w:softHyphen/>
        <w:t>stali zapisi Novoga zavjeta. Tu se mogu izvući uzroćno-posljcdićni zaključci o raspravama raz</w:t>
        <w:softHyphen/>
        <w:t>ličitih strujanja kako u židovskim (Kumran. Eseni) tako i u ranokršćanskim skupinama. Za židovsko-kršćanski dijalog ti su zapisi (ka</w:t>
        <w:softHyphen/>
        <w:t>ko židovske lako i kršćanske apokalipse) od osobitoga značenja kako bi se za razdoblje na</w:t>
        <w:softHyphen/>
        <w:t>stanka kršćanstva bolje razumjela pitanja u svezi s očekivanjem mesije i s predodžbama o njemu. S druge strane, ezoterički jezik, simbo</w:t>
        <w:softHyphen/>
        <w:t>lika, mistika brojeva i ostale literarne tvorbe ove književne vrste ne mogu se lako razumjeti bez pomoći tumačenja. Unatoč toj teškoći apokaliptički zapisi i modeli predočavanja uvijek su iznova nalazili svoje oduševljene pri</w:t>
        <w:softHyphen/>
        <w:t>staše u svim vremenima, a osobito u razdob</w:t>
        <w:softHyphen/>
        <w:t>ljima prirodnih katastrofa, ratova i ostalih po</w:t>
        <w:softHyphen/>
        <w:t>vijesnih i kozmičkih nevolja. Utjecaji se više</w:t>
        <w:softHyphen/>
        <w:t>struko mogu naći u literaturi i likovnoj umjet</w:t>
        <w:softHyphen/>
        <w:t>nosti.</w:t>
      </w:r>
    </w:p>
    <w:p>
      <w:pPr>
        <w:pStyle w:val="Style56"/>
        <w:keepNext w:val="0"/>
        <w:keepLines w:val="0"/>
        <w:widowControl w:val="0"/>
        <w:shd w:val="clear" w:color="auto" w:fill="auto"/>
        <w:tabs>
          <w:tab w:pos="2496" w:val="left"/>
        </w:tabs>
        <w:bidi w:val="0"/>
        <w:spacing w:before="0" w:after="300" w:line="240" w:lineRule="auto"/>
        <w:ind w:left="0" w:right="0" w:firstLine="0"/>
        <w:jc w:val="both"/>
        <w:rPr>
          <w:sz w:val="15"/>
          <w:szCs w:val="15"/>
        </w:rPr>
      </w:pPr>
      <w:r>
        <w:rPr>
          <w:color w:val="000000"/>
          <w:spacing w:val="0"/>
          <w:w w:val="100"/>
          <w:position w:val="0"/>
          <w:sz w:val="12"/>
          <w:szCs w:val="12"/>
          <w:shd w:val="clear" w:color="auto" w:fill="auto"/>
          <w:lang w:val="hr-HR" w:eastAsia="hr-HR" w:bidi="hr-HR"/>
        </w:rPr>
        <w:t xml:space="preserve">Lit.: H. Ringgrcn/R. </w:t>
      </w:r>
      <w:r>
        <w:rPr>
          <w:color w:val="000000"/>
          <w:spacing w:val="0"/>
          <w:w w:val="100"/>
          <w:position w:val="0"/>
          <w:sz w:val="12"/>
          <w:szCs w:val="12"/>
          <w:shd w:val="clear" w:color="auto" w:fill="auto"/>
        </w:rPr>
        <w:t xml:space="preserve">Schutz-'H. Kraft: </w:t>
      </w:r>
      <w:r>
        <w:rPr>
          <w:color w:val="000000"/>
          <w:spacing w:val="0"/>
          <w:w w:val="100"/>
          <w:position w:val="0"/>
          <w:sz w:val="12"/>
          <w:szCs w:val="12"/>
          <w:shd w:val="clear" w:color="auto" w:fill="auto"/>
          <w:lang w:val="hr-HR" w:eastAsia="hr-HR" w:bidi="hr-HR"/>
        </w:rPr>
        <w:t>RGG</w:t>
      </w:r>
      <w:r>
        <w:rPr>
          <w:color w:val="000000"/>
          <w:spacing w:val="0"/>
          <w:w w:val="100"/>
          <w:position w:val="0"/>
          <w:sz w:val="12"/>
          <w:szCs w:val="12"/>
          <w:shd w:val="clear" w:color="auto" w:fill="auto"/>
          <w:vertAlign w:val="superscript"/>
          <w:lang w:val="hr-HR" w:eastAsia="hr-HR" w:bidi="hr-HR"/>
        </w:rPr>
        <w:t>1</w:t>
      </w:r>
      <w:r>
        <w:rPr>
          <w:color w:val="000000"/>
          <w:spacing w:val="0"/>
          <w:w w:val="100"/>
          <w:position w:val="0"/>
          <w:sz w:val="12"/>
          <w:szCs w:val="12"/>
          <w:shd w:val="clear" w:color="auto" w:fill="auto"/>
          <w:lang w:val="hr-HR" w:eastAsia="hr-HR" w:bidi="hr-HR"/>
        </w:rPr>
        <w:t xml:space="preserve"> 1, 463-472; P. Grclot, SM I, 224—231; P. von dcr Oslcn-Sackcn, </w:t>
      </w:r>
      <w:r>
        <w:rPr>
          <w:i/>
          <w:iCs/>
          <w:color w:val="000000"/>
          <w:spacing w:val="0"/>
          <w:w w:val="100"/>
          <w:position w:val="0"/>
          <w:sz w:val="12"/>
          <w:szCs w:val="12"/>
          <w:shd w:val="clear" w:color="auto" w:fill="auto"/>
        </w:rPr>
        <w:t xml:space="preserve">Die </w:t>
      </w:r>
      <w:r>
        <w:rPr>
          <w:i/>
          <w:iCs/>
          <w:color w:val="000000"/>
          <w:spacing w:val="0"/>
          <w:w w:val="100"/>
          <w:position w:val="0"/>
          <w:sz w:val="12"/>
          <w:szCs w:val="12"/>
          <w:shd w:val="clear" w:color="auto" w:fill="auto"/>
          <w:lang w:val="hr-HR" w:eastAsia="hr-HR" w:bidi="hr-HR"/>
        </w:rPr>
        <w:t xml:space="preserve">Apo- kaliplik </w:t>
      </w:r>
      <w:r>
        <w:rPr>
          <w:i/>
          <w:iCs/>
          <w:color w:val="000000"/>
          <w:spacing w:val="0"/>
          <w:w w:val="100"/>
          <w:position w:val="0"/>
          <w:sz w:val="12"/>
          <w:szCs w:val="12"/>
          <w:shd w:val="clear" w:color="auto" w:fill="auto"/>
        </w:rPr>
        <w:t xml:space="preserve">in </w:t>
      </w:r>
      <w:r>
        <w:rPr>
          <w:i/>
          <w:iCs/>
          <w:color w:val="000000"/>
          <w:spacing w:val="0"/>
          <w:w w:val="100"/>
          <w:position w:val="0"/>
          <w:sz w:val="12"/>
          <w:szCs w:val="12"/>
          <w:shd w:val="clear" w:color="auto" w:fill="auto"/>
          <w:lang w:val="hr-HR" w:eastAsia="hr-HR" w:bidi="hr-HR"/>
        </w:rPr>
        <w:t xml:space="preserve">ihrem Verhalmis zu Propheiie unđ </w:t>
      </w:r>
      <w:r>
        <w:rPr>
          <w:i/>
          <w:iCs/>
          <w:color w:val="000000"/>
          <w:spacing w:val="0"/>
          <w:w w:val="100"/>
          <w:position w:val="0"/>
          <w:sz w:val="12"/>
          <w:szCs w:val="12"/>
          <w:shd w:val="clear" w:color="auto" w:fill="auto"/>
        </w:rPr>
        <w:t>Weisheit,</w:t>
      </w:r>
      <w:r>
        <w:rPr>
          <w:color w:val="000000"/>
          <w:spacing w:val="0"/>
          <w:w w:val="100"/>
          <w:position w:val="0"/>
          <w:sz w:val="12"/>
          <w:szCs w:val="12"/>
          <w:shd w:val="clear" w:color="auto" w:fill="auto"/>
        </w:rPr>
        <w:t xml:space="preserve"> </w:t>
      </w:r>
      <w:r>
        <w:rPr>
          <w:color w:val="000000"/>
          <w:spacing w:val="0"/>
          <w:w w:val="100"/>
          <w:position w:val="0"/>
          <w:sz w:val="12"/>
          <w:szCs w:val="12"/>
          <w:shd w:val="clear" w:color="auto" w:fill="auto"/>
          <w:lang w:val="hr-HR" w:eastAsia="hr-HR" w:bidi="hr-HR"/>
        </w:rPr>
        <w:t xml:space="preserve">Miin- chcn 1969; J. </w:t>
      </w:r>
      <w:r>
        <w:rPr>
          <w:i/>
          <w:iCs/>
          <w:color w:val="000000"/>
          <w:spacing w:val="0"/>
          <w:w w:val="100"/>
          <w:position w:val="0"/>
          <w:sz w:val="12"/>
          <w:szCs w:val="12"/>
          <w:shd w:val="clear" w:color="auto" w:fill="auto"/>
          <w:lang w:val="hr-HR" w:eastAsia="hr-HR" w:bidi="hr-HR"/>
        </w:rPr>
        <w:t>Schtćmcf, Aluesiamenllich-judische Apokalip- lik,</w:t>
      </w:r>
      <w:r>
        <w:rPr>
          <w:color w:val="000000"/>
          <w:spacing w:val="0"/>
          <w:w w:val="100"/>
          <w:position w:val="0"/>
          <w:sz w:val="12"/>
          <w:szCs w:val="12"/>
          <w:shd w:val="clear" w:color="auto" w:fill="auto"/>
          <w:lang w:val="hr-HR" w:eastAsia="hr-HR" w:bidi="hr-HR"/>
        </w:rPr>
        <w:t xml:space="preserve"> Muochcn 1969; K. Kocb, </w:t>
      </w:r>
      <w:r>
        <w:rPr>
          <w:i/>
          <w:iCs/>
          <w:color w:val="000000"/>
          <w:spacing w:val="0"/>
          <w:w w:val="100"/>
          <w:position w:val="0"/>
          <w:sz w:val="12"/>
          <w:szCs w:val="12"/>
          <w:shd w:val="clear" w:color="auto" w:fill="auto"/>
        </w:rPr>
        <w:t xml:space="preserve">Ratios </w:t>
      </w:r>
      <w:r>
        <w:rPr>
          <w:i/>
          <w:iCs/>
          <w:color w:val="000000"/>
          <w:spacing w:val="0"/>
          <w:w w:val="100"/>
          <w:position w:val="0"/>
          <w:sz w:val="12"/>
          <w:szCs w:val="12"/>
          <w:shd w:val="clear" w:color="auto" w:fill="auto"/>
          <w:lang w:val="hr-HR" w:eastAsia="hr-HR" w:bidi="hr-HR"/>
        </w:rPr>
        <w:t xml:space="preserve">vor đer Apokaliptik, </w:t>
      </w:r>
      <w:r>
        <w:rPr>
          <w:color w:val="000000"/>
          <w:spacing w:val="0"/>
          <w:w w:val="100"/>
          <w:position w:val="0"/>
          <w:sz w:val="12"/>
          <w:szCs w:val="12"/>
          <w:shd w:val="clear" w:color="auto" w:fill="auto"/>
        </w:rPr>
        <w:t xml:space="preserve">Gutersloh </w:t>
      </w:r>
      <w:r>
        <w:rPr>
          <w:color w:val="000000"/>
          <w:spacing w:val="0"/>
          <w:w w:val="100"/>
          <w:position w:val="0"/>
          <w:sz w:val="12"/>
          <w:szCs w:val="12"/>
          <w:shd w:val="clear" w:color="auto" w:fill="auto"/>
          <w:lang w:val="hr-HR" w:eastAsia="hr-HR" w:bidi="hr-HR"/>
        </w:rPr>
        <w:t>1970,</w:t>
        <w:tab/>
        <w:t xml:space="preserve">G. </w:t>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evers</w:t>
      </w:r>
    </w:p>
    <w:p>
      <w:pPr>
        <w:pStyle w:val="Style33"/>
        <w:keepNext w:val="0"/>
        <w:keepLines w:val="0"/>
        <w:widowControl w:val="0"/>
        <w:shd w:val="clear" w:color="auto" w:fill="auto"/>
        <w:bidi w:val="0"/>
        <w:spacing w:before="0" w:after="20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APOKRIFI &gt; KANON</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APOLOGETIKA</w:t>
      </w:r>
    </w:p>
    <w:p>
      <w:pPr>
        <w:pStyle w:val="Style63"/>
        <w:keepNext/>
        <w:keepLines/>
        <w:widowControl w:val="0"/>
        <w:numPr>
          <w:ilvl w:val="0"/>
          <w:numId w:val="23"/>
        </w:numPr>
        <w:shd w:val="clear" w:color="auto" w:fill="auto"/>
        <w:tabs>
          <w:tab w:pos="250" w:val="left"/>
        </w:tabs>
        <w:bidi w:val="0"/>
        <w:spacing w:before="0" w:line="223" w:lineRule="auto"/>
        <w:ind w:left="0" w:right="0" w:firstLine="0"/>
        <w:jc w:val="both"/>
      </w:pPr>
      <w:bookmarkStart w:id="32" w:name="bookmark32"/>
      <w:r>
        <w:rPr>
          <w:rFonts w:ascii="Times New Roman" w:eastAsia="Times New Roman" w:hAnsi="Times New Roman" w:cs="Times New Roman"/>
          <w:color w:val="000000"/>
          <w:spacing w:val="0"/>
          <w:w w:val="100"/>
          <w:position w:val="0"/>
          <w:shd w:val="clear" w:color="auto" w:fill="auto"/>
          <w:lang w:val="hr-HR" w:eastAsia="hr-HR" w:bidi="hr-HR"/>
        </w:rPr>
        <w:t>židovski</w:t>
      </w:r>
      <w:bookmarkEnd w:id="32"/>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od grč. apologeta, »samoobrana«, prikaz religijskih, ljudskih i kulturnih vrijednosti ži</w:t>
        <w:softHyphen/>
        <w:t>dovstva radi informacije i protiv nesporazu</w:t>
        <w:softHyphen/>
        <w:t>ma, predrasuda i ocrnjivanja. Apologetska li</w:t>
        <w:softHyphen/>
        <w:t>teratura počinje u biblijskoj kontroverzi s po</w:t>
        <w:softHyphen/>
        <w:t>ganstvom. Knjiga Estera (II. stoljeće pr. Kr.) obrađuje problem mržnje prema Zidovima, -&gt; antisemitizma. U kasnom starom vijeku, srednjem i novom vijeku apologeti su reagirali na ponižavanja židovskoga naroda, njegove po</w:t>
        <w:softHyphen/>
        <w:t>vijesti i religije u kršćanskim, muslimanskim i sekularnim društvima. K tomu se pridružuje diskusija o državi —&gt; Izraelu. Unutaržidovska a. tiče se razlika između religijskih pravaca i trudi se oko otuđenih Židova. Često je a. po</w:t>
        <w:softHyphen/>
        <w:t xml:space="preserve">vezana s polemikom protiv mišljenja i religija </w:t>
      </w:r>
      <w:r>
        <w:rPr>
          <w:rFonts w:ascii="Times New Roman" w:eastAsia="Times New Roman" w:hAnsi="Times New Roman" w:cs="Times New Roman"/>
          <w:color w:val="000000"/>
          <w:spacing w:val="0"/>
          <w:w w:val="100"/>
          <w:position w:val="0"/>
          <w:shd w:val="clear" w:color="auto" w:fill="auto"/>
          <w:lang w:val="hr-HR" w:eastAsia="hr-HR" w:bidi="hr-HR"/>
        </w:rPr>
        <w:t>većina, s kojima se Židovi suočavaju kao ma</w:t>
        <w:softHyphen/>
        <w:t>njina.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SZ-u poganski su se himni prepjevali u pjes</w:t>
        <w:softHyphen/>
        <w:t>me Božjega hvalospjeva. Autori su naglašavali nadmoć svoje vjere. Izvješće o postanku odgo</w:t>
        <w:softHyphen/>
        <w:t>vor je na staroorijentalne mitove. Božanstva starovjekovnih velesila ironično su prikazana kao ništavnosti i nemoćno čovječje djelo za razliku od Boga Izraela (npr. Ps 115,5-11; 1 Kr 18; Jr 10,2-5; Iz 40,18-26; 44,6-20).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Židovski helenizam (III. stoljeće pr. Kr.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I. stoljeća pos. Kr.) proturječi raširenoj pretpo</w:t>
        <w:softHyphen/>
        <w:t>stavci da je štovanje nevidljiva Boga i odbi</w:t>
        <w:softHyphen/>
        <w:t>janje kulta bogova i cara ateističko i protu- državno. Židovski autori koji su govorili grčki pokušavali su spriječiti asimilaciju s moćnim državnim poganskim helenizmom i opisali su u povjesnicama, romanima i dramama navod</w:t>
        <w:softHyphen/>
        <w:t xml:space="preserve">nu sintezu židovske kulture i sredine u kojoj se u dotično vrijeme našla. Tako je, navodno,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otkrio zvjezdoznanstvo, Josip druš</w:t>
        <w:softHyphen/>
        <w:t>tvene poretke, Mojsijc umijeće pisanja, a na prijevode Biblije utjecali su prije Homera, na</w:t>
        <w:softHyphen/>
        <w:t>vodno, Grci i mnogi drugi. Zemlju i narod Izraclov smatrali su središtem geografije i po</w:t>
        <w:softHyphen/>
        <w:t>vijesti. Poslije su ta gledišta kršćanski apolo</w:t>
        <w:softHyphen/>
        <w:t>geti iskoristili kao povijesne činjenice. Dije</w:t>
        <w:softHyphen/>
        <w:t>lovi »Apologije Židova« egzegeta i mislioca Filona Aleksandrijskoga (I. stoljeće pos. Kr.) sačuvali su se kod crkvenog oca Euzcbija. Jo</w:t>
        <w:softHyphen/>
        <w:t>sip Flavijc (I. stoljeće pos. Kr.) napisao je na latinskom »Protiv Apiona« i ukratko izložio tadašnje glavne argumente za Židove i protiv njih. Proročki jezik određuje apologetiku »Aris- tejevih pisama«, »Salomonove mudrosti« i »Si- bilinskih proročanstava«.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Talmudska literatura također donosi apolo</w:t>
        <w:softHyphen/>
        <w:t>getiku, uglavnom u obliku razgovora i priča o Bogu i stvaranju svijeta, o ulozi Izraela i ogra</w:t>
        <w:softHyphen/>
        <w:t>ničavanju idolopoklonslva. Pored perzijskoga i gnostičkog dualizma raspravlja se i o novom kršćanstvu, npr. rabinskim tumačenjem stiho</w:t>
        <w:softHyphen/>
        <w:t>va, kojima se koriste kršćani kao dokaz da je Isus sin Božji (npr. j Taanil 2,1,65; Izl R 29,5; Pnz R 2,33). Protiv gledišta crkvenih otaca u</w:t>
      </w:r>
    </w:p>
    <w:p>
      <w:pPr>
        <w:pStyle w:val="Style20"/>
        <w:keepNext w:val="0"/>
        <w:keepLines w:val="0"/>
        <w:widowControl w:val="0"/>
        <w:numPr>
          <w:ilvl w:val="0"/>
          <w:numId w:val="25"/>
        </w:numPr>
        <w:shd w:val="clear" w:color="auto" w:fill="auto"/>
        <w:tabs>
          <w:tab w:pos="284" w:val="left"/>
        </w:tabs>
        <w:bidi w:val="0"/>
        <w:spacing w:before="0" w:after="0"/>
        <w:ind w:left="0" w:right="0" w:firstLine="0"/>
        <w:jc w:val="both"/>
        <w:sectPr>
          <w:headerReference w:type="default" r:id="rId135"/>
          <w:footerReference w:type="default" r:id="rId136"/>
          <w:headerReference w:type="even" r:id="rId137"/>
          <w:footerReference w:type="even" r:id="rId138"/>
          <w:footnotePr>
            <w:pos w:val="pageBottom"/>
            <w:numFmt w:val="decimal"/>
            <w:numStart w:val="5"/>
            <w:numRestart w:val="continuous"/>
            <w15:footnoteColumns w:val="1"/>
          </w:footnotePr>
          <w:pgSz w:w="6816" w:h="11006"/>
          <w:pgMar w:top="954" w:left="178" w:right="182" w:bottom="525" w:header="0" w:footer="97" w:gutter="0"/>
          <w:pgNumType w:start="55"/>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stoljeću do III. stoljeća, da je rušenje Jeru</w:t>
        <w:softHyphen/>
        <w:t>zalema znak odbacivanja Židova, da je Crkva Novi Izrael, naglašava se trajni ljubavni odnos Boga i Izraela (b Jcvamot 102b i drugdje); govori se i o potrebi da usmeni nauk, kojega su kršćani odbili, postane potpuno vlasništvo Božje objave.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srednjem vijeku počela je i a. u odnosu na islam, prije svega zbog mišljenja da su Zidovi krivotvorili Božji nauk i da ih je u tome za</w:t>
        <w:softHyphen/>
        <w:t>mijenio islam. Tim se mišljenjem htjela, iz</w:t>
        <w:softHyphen/>
        <w:t>među ostaloga, ojačati vjera, jer je zbog apso</w:t>
        <w:softHyphen/>
        <w:t>lutnog monoteizma islam bio prihvatljiv mno</w:t>
        <w:softHyphen/>
        <w:t>gim Židovima, koji su time mogli postići sta</w:t>
        <w:softHyphen/>
        <w:t>tus punopravnih građana.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Tu apologetiku nalazimo kod biblijskih egze- geta i mislilaca u islamskom kulturnom krugu na hebrejskom i prvenstveno na arapskom je</w:t>
        <w:softHyphen/>
        <w:t xml:space="preserve">ziku, npr. </w:t>
      </w:r>
      <w:r>
        <w:rPr>
          <w:rFonts w:ascii="Times New Roman" w:eastAsia="Times New Roman" w:hAnsi="Times New Roman" w:cs="Times New Roman"/>
          <w:color w:val="000000"/>
          <w:spacing w:val="0"/>
          <w:w w:val="100"/>
          <w:position w:val="0"/>
          <w:shd w:val="clear" w:color="auto" w:fill="auto"/>
          <w:lang w:val="en-US" w:eastAsia="en-US" w:bidi="en-US"/>
        </w:rPr>
        <w:t xml:space="preserve">Saadja, Ibn Davud, </w:t>
      </w:r>
      <w:r>
        <w:rPr>
          <w:rFonts w:ascii="Times New Roman" w:eastAsia="Times New Roman" w:hAnsi="Times New Roman" w:cs="Times New Roman"/>
          <w:color w:val="000000"/>
          <w:spacing w:val="0"/>
          <w:w w:val="100"/>
          <w:position w:val="0"/>
          <w:shd w:val="clear" w:color="auto" w:fill="auto"/>
          <w:lang w:val="hr-HR" w:eastAsia="hr-HR" w:bidi="hr-HR"/>
        </w:rPr>
        <w:t xml:space="preserve">Majmonid, S. </w:t>
      </w:r>
      <w:r>
        <w:rPr>
          <w:rFonts w:ascii="Times New Roman" w:eastAsia="Times New Roman" w:hAnsi="Times New Roman" w:cs="Times New Roman"/>
          <w:color w:val="000000"/>
          <w:spacing w:val="0"/>
          <w:w w:val="100"/>
          <w:position w:val="0"/>
          <w:shd w:val="clear" w:color="auto" w:fill="auto"/>
          <w:lang w:val="en-US" w:eastAsia="en-US" w:bidi="en-US"/>
        </w:rPr>
        <w:t xml:space="preserve">Duran </w:t>
      </w:r>
      <w:r>
        <w:rPr>
          <w:rFonts w:ascii="Times New Roman" w:eastAsia="Times New Roman" w:hAnsi="Times New Roman" w:cs="Times New Roman"/>
          <w:color w:val="000000"/>
          <w:spacing w:val="0"/>
          <w:w w:val="100"/>
          <w:position w:val="0"/>
          <w:shd w:val="clear" w:color="auto" w:fill="auto"/>
          <w:lang w:val="hr-HR" w:eastAsia="hr-HR" w:bidi="hr-HR"/>
        </w:rPr>
        <w:t>i dr. Od X. stoljeća a. se često okreče protiv šizmatičke židovske sljedbe karaita u Aziji, sjevernoj Africi i u Bizantu. Oni su osporavali vrijednost rabinskog autoriteta, pa su ih stoga smatrali nasljednicima saduceja.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kršćanskoj Europi Židove su često prisilja</w:t>
        <w:softHyphen/>
        <w:t>vali na religijske rasprave s kršćanima. Apolo</w:t>
        <w:softHyphen/>
        <w:t>getska literatura poučavala ih je obrani vjere. Pritom su se koristili filozofskim dokazima protiv učenja o trojstvu Saadje (X. stoljeće, Egipat i Bagdad), J. Halevija (Španjolska, XII. stoljeće) i H. Cerscasa (ondje, XIV. sto</w:t>
        <w:softHyphen/>
        <w:t>ljeće). Sa širenjem židovske -&gt; mistike i njezi</w:t>
        <w:softHyphen/>
        <w:t>na kršćanskoga tumačenja nastala su nova apologetska djela u XV. stoljeću, prije svega protiv obraćenika na kršćanstvo, koji su ži</w:t>
        <w:softHyphen/>
        <w:t>dovstvo nazvali stranputicom. Nakon protje</w:t>
        <w:softHyphen/>
        <w:t>rivanja Židova iz Španjolske (1492) i Portu</w:t>
        <w:softHyphen/>
        <w:t>gala (1497) vodstvo je preuzela Italija.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Židovi su u renesansi ponegdje prekršili za</w:t>
        <w:softHyphen/>
        <w:t>branu prikazivanja židovstva u europskim je</w:t>
        <w:softHyphen/>
        <w:t xml:space="preserve">zicima. D. d’Ascoli napisao je </w:t>
      </w:r>
      <w:r>
        <w:rPr>
          <w:rFonts w:ascii="Times New Roman" w:eastAsia="Times New Roman" w:hAnsi="Times New Roman" w:cs="Times New Roman"/>
          <w:color w:val="000000"/>
          <w:spacing w:val="0"/>
          <w:w w:val="100"/>
          <w:position w:val="0"/>
          <w:shd w:val="clear" w:color="auto" w:fill="auto"/>
          <w:lang w:val="en-US" w:eastAsia="en-US" w:bidi="en-US"/>
        </w:rPr>
        <w:t xml:space="preserve">»Apologia </w:t>
      </w:r>
      <w:r>
        <w:rPr>
          <w:rFonts w:ascii="Times New Roman" w:eastAsia="Times New Roman" w:hAnsi="Times New Roman" w:cs="Times New Roman"/>
          <w:color w:val="000000"/>
          <w:spacing w:val="0"/>
          <w:w w:val="100"/>
          <w:position w:val="0"/>
          <w:shd w:val="clear" w:color="auto" w:fill="auto"/>
          <w:lang w:val="hr-HR" w:eastAsia="hr-HR" w:bidi="hr-HR"/>
        </w:rPr>
        <w:t xml:space="preserve">He- braeorum« protiv protužidovske politike pape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VI. (1559), D. dc Pomis branio je ži</w:t>
        <w:softHyphen/>
        <w:t xml:space="preserve">dovske liječnike od pape Grgura XIII. Prvi kršćanski apologet židovstva bio je J. Reuchlin (1455-1522). L. </w:t>
      </w:r>
      <w:r>
        <w:rPr>
          <w:rFonts w:ascii="Times New Roman" w:eastAsia="Times New Roman" w:hAnsi="Times New Roman" w:cs="Times New Roman"/>
          <w:color w:val="000000"/>
          <w:spacing w:val="0"/>
          <w:w w:val="100"/>
          <w:position w:val="0"/>
          <w:shd w:val="clear" w:color="auto" w:fill="auto"/>
          <w:lang w:val="en-US" w:eastAsia="en-US" w:bidi="en-US"/>
        </w:rPr>
        <w:t xml:space="preserve">Modena </w:t>
      </w:r>
      <w:r>
        <w:rPr>
          <w:rFonts w:ascii="Times New Roman" w:eastAsia="Times New Roman" w:hAnsi="Times New Roman" w:cs="Times New Roman"/>
          <w:color w:val="000000"/>
          <w:spacing w:val="0"/>
          <w:w w:val="100"/>
          <w:position w:val="0"/>
          <w:shd w:val="clear" w:color="auto" w:fill="auto"/>
          <w:lang w:val="hr-HR" w:eastAsia="hr-HR" w:bidi="hr-HR"/>
        </w:rPr>
        <w:t>razlikovao je 1644., kao prvi židovski autor, u svojoj apologetskoj knjizi Židova Isusa od kršćanske dogmatike. Njegov opis židovskih obreda i ceremonija (1637) objavljen je na mnogim jezicima. S. Luzzatto opisao je 1638. pozitivnu ulogu Ži</w:t>
        <w:softHyphen/>
        <w:t>dova u društvu i u gospodarstvu.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Njemačkoj je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T. Lippmann branio u XIV. stoljeću židovsku tradiciju i etiku od neoprav</w:t>
        <w:softHyphen/>
        <w:t xml:space="preserve">danih objeda. U XVII. stoljeću objavljen je </w:t>
      </w:r>
      <w:r>
        <w:rPr>
          <w:rFonts w:ascii="Times New Roman" w:eastAsia="Times New Roman" w:hAnsi="Times New Roman" w:cs="Times New Roman"/>
          <w:i/>
          <w:iCs/>
          <w:color w:val="000000"/>
          <w:spacing w:val="0"/>
          <w:w w:val="100"/>
          <w:position w:val="0"/>
          <w:shd w:val="clear" w:color="auto" w:fill="auto"/>
          <w:lang w:val="hr-HR" w:eastAsia="hr-HR" w:bidi="hr-HR"/>
        </w:rPr>
        <w:t>Židovski terijak</w:t>
      </w:r>
      <w:r>
        <w:rPr>
          <w:rFonts w:ascii="Times New Roman" w:eastAsia="Times New Roman" w:hAnsi="Times New Roman" w:cs="Times New Roman"/>
          <w:color w:val="000000"/>
          <w:spacing w:val="0"/>
          <w:w w:val="100"/>
          <w:position w:val="0"/>
          <w:shd w:val="clear" w:color="auto" w:fill="auto"/>
          <w:lang w:val="hr-HR" w:eastAsia="hr-HR" w:bidi="hr-HR"/>
        </w:rPr>
        <w:t xml:space="preserve"> (lijek) S. Ž. Uffcnhausena kao odgovor na pamflet </w:t>
      </w:r>
      <w:r>
        <w:rPr>
          <w:rFonts w:ascii="Times New Roman" w:eastAsia="Times New Roman" w:hAnsi="Times New Roman" w:cs="Times New Roman"/>
          <w:i/>
          <w:iCs/>
          <w:color w:val="000000"/>
          <w:spacing w:val="0"/>
          <w:w w:val="100"/>
          <w:position w:val="0"/>
          <w:shd w:val="clear" w:color="auto" w:fill="auto"/>
          <w:lang w:val="hr-HR" w:eastAsia="hr-HR" w:bidi="hr-HR"/>
        </w:rPr>
        <w:t>Židovski odbačeni svlak</w:t>
      </w:r>
      <w:r>
        <w:rPr>
          <w:rFonts w:ascii="Times New Roman" w:eastAsia="Times New Roman" w:hAnsi="Times New Roman" w:cs="Times New Roman"/>
          <w:color w:val="000000"/>
          <w:spacing w:val="0"/>
          <w:w w:val="100"/>
          <w:position w:val="0"/>
          <w:shd w:val="clear" w:color="auto" w:fill="auto"/>
          <w:lang w:val="hr-HR" w:eastAsia="hr-HR" w:bidi="hr-HR"/>
        </w:rPr>
        <w:t xml:space="preserve"> S. Brenza. U toj apologetici, pa sve do danas, važno je pobijanje krivnje za obredno </w:t>
      </w:r>
      <w:r>
        <w:rPr>
          <w:rFonts w:ascii="Times New Roman" w:eastAsia="Times New Roman" w:hAnsi="Times New Roman" w:cs="Times New Roman"/>
          <w:color w:val="000000"/>
          <w:spacing w:val="0"/>
          <w:w w:val="100"/>
          <w:position w:val="0"/>
          <w:shd w:val="clear" w:color="auto" w:fill="auto"/>
          <w:lang w:val="hr-HR" w:eastAsia="hr-HR" w:bidi="hr-HR"/>
        </w:rPr>
        <w:t>ubojstvo. To je tvrdnja da Židovi ubijaju krš</w:t>
        <w:softHyphen/>
        <w:t>ćane kako bi njihovu krv uporabili za uskršnji kruh.</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novom vijeku privremeno se izgubio tradi</w:t>
        <w:softHyphen/>
        <w:t>cionalni antijudaizam. Stoga se apologetici pri</w:t>
        <w:softHyphen/>
        <w:t>ključila tendencija -&gt; dijaloga. Kršćanski reli</w:t>
        <w:softHyphen/>
        <w:t>gijski kritičari rado se koriste apologetikom I. Trokija (Litva, XVI. stoljeće, i dodaci) s brižlji</w:t>
        <w:softHyphen/>
        <w:t xml:space="preserve">vom raščlambom dogmi. </w:t>
      </w:r>
      <w:r>
        <w:rPr>
          <w:rFonts w:ascii="Times New Roman" w:eastAsia="Times New Roman" w:hAnsi="Times New Roman" w:cs="Times New Roman"/>
          <w:color w:val="000000"/>
          <w:spacing w:val="0"/>
          <w:w w:val="100"/>
          <w:position w:val="0"/>
          <w:shd w:val="clear" w:color="auto" w:fill="auto"/>
          <w:lang w:val="en-US" w:eastAsia="en-US" w:bidi="en-US"/>
        </w:rPr>
        <w:t xml:space="preserve">J. Emden </w:t>
      </w:r>
      <w:r>
        <w:rPr>
          <w:rFonts w:ascii="Times New Roman" w:eastAsia="Times New Roman" w:hAnsi="Times New Roman" w:cs="Times New Roman"/>
          <w:color w:val="000000"/>
          <w:spacing w:val="0"/>
          <w:w w:val="100"/>
          <w:position w:val="0"/>
          <w:shd w:val="clear" w:color="auto" w:fill="auto"/>
          <w:lang w:val="hr-HR" w:eastAsia="hr-HR" w:bidi="hr-HR"/>
        </w:rPr>
        <w:t>(XVIII. stoljeće) naglasio je važnost kršćana za širenje Božjega nauka i činjenicu da je učenje o troj</w:t>
        <w:softHyphen/>
        <w:t>stvu dopušteno nežidovima. Njegova a. (1755) daje sliku anđela u kojem su ujedinjeni krš</w:t>
        <w:softHyphen/>
        <w:t xml:space="preserve">ćani, Židovi i muslimani. M. </w:t>
      </w:r>
      <w:r>
        <w:rPr>
          <w:rFonts w:ascii="Times New Roman" w:eastAsia="Times New Roman" w:hAnsi="Times New Roman" w:cs="Times New Roman"/>
          <w:color w:val="000000"/>
          <w:spacing w:val="0"/>
          <w:w w:val="100"/>
          <w:position w:val="0"/>
          <w:shd w:val="clear" w:color="auto" w:fill="auto"/>
          <w:lang w:val="en-US" w:eastAsia="en-US" w:bidi="en-US"/>
        </w:rPr>
        <w:t xml:space="preserve">Mendelssohn </w:t>
      </w:r>
      <w:r>
        <w:rPr>
          <w:rFonts w:ascii="Times New Roman" w:eastAsia="Times New Roman" w:hAnsi="Times New Roman" w:cs="Times New Roman"/>
          <w:color w:val="000000"/>
          <w:spacing w:val="0"/>
          <w:w w:val="100"/>
          <w:position w:val="0"/>
          <w:shd w:val="clear" w:color="auto" w:fill="auto"/>
          <w:lang w:val="hr-HR" w:eastAsia="hr-HR" w:bidi="hr-HR"/>
        </w:rPr>
        <w:t>ni</w:t>
        <w:softHyphen/>
        <w:t>je državi priznao pravo uskraćenja građanskih prava iz religijskih razloga. Otada su židovski i kršćanski apologeti naglašavali korist židov</w:t>
        <w:softHyphen/>
        <w:t>skih građana u svojim državama. G. Riesser usporedio je 1831. tlačenje Židova s američ</w:t>
        <w:softHyphen/>
        <w:t>kim tlačenjem crnaca. S građanskim pravima europskih Židova raslo je ipak i njihovo osla</w:t>
        <w:softHyphen/>
        <w:t>njanje na novo. Nakon što je nacistička država provela uništenje Židova, naglašava se potre</w:t>
        <w:softHyphen/>
        <w:t>ba novog razumijevanja. Katolici i protestanti trude se da svladaju antižidovske predrasude.</w:t>
      </w:r>
    </w:p>
    <w:p>
      <w:pPr>
        <w:pStyle w:val="Style56"/>
        <w:keepNext w:val="0"/>
        <w:keepLines w:val="0"/>
        <w:widowControl w:val="0"/>
        <w:shd w:val="clear" w:color="auto" w:fill="auto"/>
        <w:tabs>
          <w:tab w:pos="1982"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Mendelssohn, </w:t>
      </w:r>
      <w:r>
        <w:rPr>
          <w:i/>
          <w:iCs/>
          <w:color w:val="000000"/>
          <w:spacing w:val="0"/>
          <w:w w:val="100"/>
          <w:position w:val="0"/>
          <w:shd w:val="clear" w:color="auto" w:fill="auto"/>
        </w:rPr>
        <w:t>Jerusalem, Oder uber religiose Macht und Judentum,</w:t>
      </w:r>
      <w:r>
        <w:rPr>
          <w:color w:val="000000"/>
          <w:spacing w:val="0"/>
          <w:w w:val="100"/>
          <w:position w:val="0"/>
          <w:shd w:val="clear" w:color="auto" w:fill="auto"/>
        </w:rPr>
        <w:t xml:space="preserve"> Berlin 1783; M. Modena, »Schild und Schwert*. </w:t>
      </w:r>
      <w:r>
        <w:rPr>
          <w:color w:val="000000"/>
          <w:spacing w:val="0"/>
          <w:w w:val="100"/>
          <w:position w:val="0"/>
          <w:shd w:val="clear" w:color="auto" w:fill="auto"/>
          <w:lang w:val="hr-HR" w:eastAsia="hr-HR" w:bidi="hr-HR"/>
        </w:rPr>
        <w:t xml:space="preserve">njem, prijevod </w:t>
      </w:r>
      <w:r>
        <w:rPr>
          <w:color w:val="000000"/>
          <w:spacing w:val="0"/>
          <w:w w:val="100"/>
          <w:position w:val="0"/>
          <w:shd w:val="clear" w:color="auto" w:fill="auto"/>
        </w:rPr>
        <w:t xml:space="preserve">P. Nave, u: </w:t>
      </w:r>
      <w:r>
        <w:rPr>
          <w:i/>
          <w:iCs/>
          <w:color w:val="000000"/>
          <w:spacing w:val="0"/>
          <w:w w:val="100"/>
          <w:position w:val="0"/>
          <w:shd w:val="clear" w:color="auto" w:fill="auto"/>
        </w:rPr>
        <w:t>Saeulum</w:t>
      </w:r>
      <w:r>
        <w:rPr>
          <w:color w:val="000000"/>
          <w:spacing w:val="0"/>
          <w:w w:val="100"/>
          <w:position w:val="0"/>
          <w:shd w:val="clear" w:color="auto" w:fill="auto"/>
        </w:rPr>
        <w:t xml:space="preserve"> (1975); M. Stcinschncidcr, </w:t>
      </w:r>
      <w:r>
        <w:rPr>
          <w:i/>
          <w:iCs/>
          <w:color w:val="000000"/>
          <w:spacing w:val="0"/>
          <w:w w:val="100"/>
          <w:position w:val="0"/>
          <w:shd w:val="clear" w:color="auto" w:fill="auto"/>
        </w:rPr>
        <w:t xml:space="preserve">Polemische und apologetische Literatur in arabischer Sprache zwischen Mustimen, Christen und Juden, </w:t>
      </w:r>
      <w:r>
        <w:rPr>
          <w:color w:val="000000"/>
          <w:spacing w:val="0"/>
          <w:w w:val="100"/>
          <w:position w:val="0"/>
          <w:shd w:val="clear" w:color="auto" w:fill="auto"/>
        </w:rPr>
        <w:t xml:space="preserve">Leipzig, 1877; M. </w:t>
      </w:r>
      <w:r>
        <w:rPr>
          <w:i/>
          <w:iCs/>
          <w:color w:val="000000"/>
          <w:spacing w:val="0"/>
          <w:w w:val="100"/>
          <w:position w:val="0"/>
          <w:shd w:val="clear" w:color="auto" w:fill="auto"/>
        </w:rPr>
        <w:t>Friedlander,Geschichie der jiidischen Apo- logetik,</w:t>
      </w:r>
      <w:r>
        <w:rPr>
          <w:color w:val="000000"/>
          <w:spacing w:val="0"/>
          <w:w w:val="100"/>
          <w:position w:val="0"/>
          <w:shd w:val="clear" w:color="auto" w:fill="auto"/>
        </w:rPr>
        <w:t xml:space="preserve"> Zurich 1903; J. Bergmann, </w:t>
      </w:r>
      <w:r>
        <w:rPr>
          <w:i/>
          <w:iCs/>
          <w:color w:val="000000"/>
          <w:spacing w:val="0"/>
          <w:w w:val="100"/>
          <w:position w:val="0"/>
          <w:shd w:val="clear" w:color="auto" w:fill="auto"/>
        </w:rPr>
        <w:t>Judische Apologetik im mittelaherlichen Zetlaller,</w:t>
      </w:r>
      <w:r>
        <w:rPr>
          <w:color w:val="000000"/>
          <w:spacing w:val="0"/>
          <w:w w:val="100"/>
          <w:position w:val="0"/>
          <w:shd w:val="clear" w:color="auto" w:fill="auto"/>
        </w:rPr>
        <w:t xml:space="preserve"> Berlin 1908; M. Brod, </w:t>
      </w:r>
      <w:r>
        <w:rPr>
          <w:i/>
          <w:iCs/>
          <w:color w:val="000000"/>
          <w:spacing w:val="0"/>
          <w:w w:val="100"/>
          <w:position w:val="0"/>
          <w:shd w:val="clear" w:color="auto" w:fill="auto"/>
        </w:rPr>
        <w:t>Heidentum, Christentum, Judentum, 2</w:t>
      </w:r>
      <w:r>
        <w:rPr>
          <w:color w:val="000000"/>
          <w:spacing w:val="0"/>
          <w:w w:val="100"/>
          <w:position w:val="0"/>
          <w:shd w:val="clear" w:color="auto" w:fill="auto"/>
        </w:rPr>
        <w:t xml:space="preserve"> Bdc„ Miinchcn 1921; J. S. Bloch, </w:t>
      </w:r>
      <w:r>
        <w:rPr>
          <w:i/>
          <w:iCs/>
          <w:color w:val="000000"/>
          <w:spacing w:val="0"/>
          <w:w w:val="100"/>
          <w:position w:val="0"/>
          <w:shd w:val="clear" w:color="auto" w:fill="auto"/>
        </w:rPr>
        <w:t>Israel und die Volker,</w:t>
      </w:r>
      <w:r>
        <w:rPr>
          <w:color w:val="000000"/>
          <w:spacing w:val="0"/>
          <w:w w:val="100"/>
          <w:position w:val="0"/>
          <w:shd w:val="clear" w:color="auto" w:fill="auto"/>
        </w:rPr>
        <w:t xml:space="preserve"> Bcrlin-Wicn 1921; J. Isaac, </w:t>
      </w:r>
      <w:r>
        <w:rPr>
          <w:i/>
          <w:iCs/>
          <w:color w:val="000000"/>
          <w:spacing w:val="0"/>
          <w:w w:val="100"/>
          <w:position w:val="0"/>
          <w:shd w:val="clear" w:color="auto" w:fill="auto"/>
        </w:rPr>
        <w:t>Jesus und Israel,</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njem, izdanje </w:t>
      </w:r>
      <w:r>
        <w:rPr>
          <w:color w:val="000000"/>
          <w:spacing w:val="0"/>
          <w:w w:val="100"/>
          <w:position w:val="0"/>
          <w:shd w:val="clear" w:color="auto" w:fill="auto"/>
        </w:rPr>
        <w:t xml:space="preserve">Wien 1964 (fr. 1948);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L'enseig- nemnt du mepris,</w:t>
      </w:r>
      <w:r>
        <w:rPr>
          <w:color w:val="000000"/>
          <w:spacing w:val="0"/>
          <w:w w:val="100"/>
          <w:position w:val="0"/>
          <w:shd w:val="clear" w:color="auto" w:fill="auto"/>
        </w:rPr>
        <w:t xml:space="preserve"> 1962, cngl: </w:t>
      </w:r>
      <w:r>
        <w:rPr>
          <w:i/>
          <w:iCs/>
          <w:color w:val="000000"/>
          <w:spacing w:val="0"/>
          <w:w w:val="100"/>
          <w:position w:val="0"/>
          <w:shd w:val="clear" w:color="auto" w:fill="auto"/>
        </w:rPr>
        <w:t xml:space="preserve">The Teaching of Contempt, </w:t>
      </w:r>
      <w:r>
        <w:rPr>
          <w:color w:val="000000"/>
          <w:spacing w:val="0"/>
          <w:w w:val="100"/>
          <w:position w:val="0"/>
          <w:shd w:val="clear" w:color="auto" w:fill="auto"/>
        </w:rPr>
        <w:t xml:space="preserve">1964; J. Ostcncichcr, </w:t>
      </w:r>
      <w:r>
        <w:rPr>
          <w:i/>
          <w:iCs/>
          <w:color w:val="000000"/>
          <w:spacing w:val="0"/>
          <w:w w:val="100"/>
          <w:position w:val="0"/>
          <w:shd w:val="clear" w:color="auto" w:fill="auto"/>
        </w:rPr>
        <w:t>Die Wiedcrentdeckung des Judentum durch die Kirche,</w:t>
      </w:r>
      <w:r>
        <w:rPr>
          <w:color w:val="000000"/>
          <w:spacing w:val="0"/>
          <w:w w:val="100"/>
          <w:position w:val="0"/>
          <w:shd w:val="clear" w:color="auto" w:fill="auto"/>
        </w:rPr>
        <w:t xml:space="preserve"> Freising 1971.</w:t>
        <w:tab/>
        <w:t xml:space="preserve">P, </w:t>
      </w:r>
      <w:r>
        <w:rPr>
          <w:rFonts w:ascii="Times New Roman" w:eastAsia="Times New Roman" w:hAnsi="Times New Roman" w:cs="Times New Roman"/>
          <w:smallCaps/>
          <w:color w:val="000000"/>
          <w:spacing w:val="0"/>
          <w:w w:val="100"/>
          <w:position w:val="0"/>
          <w:sz w:val="15"/>
          <w:szCs w:val="15"/>
          <w:shd w:val="clear" w:color="auto" w:fill="auto"/>
        </w:rPr>
        <w:t>Nave</w:t>
      </w:r>
      <w:r>
        <w:rPr>
          <w:color w:val="000000"/>
          <w:spacing w:val="0"/>
          <w:w w:val="100"/>
          <w:position w:val="0"/>
          <w:shd w:val="clear" w:color="auto" w:fill="auto"/>
        </w:rPr>
        <w:t xml:space="preserve"> LEVINSON</w:t>
      </w:r>
    </w:p>
    <w:p>
      <w:pPr>
        <w:pStyle w:val="Style63"/>
        <w:keepNext/>
        <w:keepLines/>
        <w:widowControl w:val="0"/>
        <w:numPr>
          <w:ilvl w:val="0"/>
          <w:numId w:val="23"/>
        </w:numPr>
        <w:shd w:val="clear" w:color="auto" w:fill="auto"/>
        <w:tabs>
          <w:tab w:pos="265" w:val="left"/>
        </w:tabs>
        <w:bidi w:val="0"/>
        <w:spacing w:before="0"/>
        <w:ind w:left="0" w:right="0" w:firstLine="0"/>
        <w:jc w:val="both"/>
      </w:pPr>
      <w:bookmarkStart w:id="33" w:name="bookmark3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Pozitivnu </w:t>
      </w:r>
      <w:r>
        <w:rPr>
          <w:rFonts w:ascii="Times New Roman" w:eastAsia="Times New Roman" w:hAnsi="Times New Roman" w:cs="Times New Roman"/>
          <w:color w:val="000000"/>
          <w:spacing w:val="0"/>
          <w:w w:val="100"/>
          <w:position w:val="0"/>
          <w:shd w:val="clear" w:color="auto" w:fill="auto"/>
          <w:lang w:val="en-US" w:eastAsia="en-US" w:bidi="en-US"/>
        </w:rPr>
        <w:t xml:space="preserve">utemeljenost apologetike </w:t>
      </w:r>
      <w:r>
        <w:rPr>
          <w:rFonts w:ascii="Times New Roman" w:eastAsia="Times New Roman" w:hAnsi="Times New Roman" w:cs="Times New Roman"/>
          <w:color w:val="000000"/>
          <w:spacing w:val="0"/>
          <w:w w:val="100"/>
          <w:position w:val="0"/>
          <w:shd w:val="clear" w:color="auto" w:fill="auto"/>
          <w:lang w:val="hr-HR" w:eastAsia="hr-HR" w:bidi="hr-HR"/>
        </w:rPr>
        <w:t xml:space="preserve">možemo naći u pozivu 1 </w:t>
      </w:r>
      <w:r>
        <w:rPr>
          <w:rFonts w:ascii="Times New Roman" w:eastAsia="Times New Roman" w:hAnsi="Times New Roman" w:cs="Times New Roman"/>
          <w:color w:val="000000"/>
          <w:spacing w:val="0"/>
          <w:w w:val="100"/>
          <w:position w:val="0"/>
          <w:shd w:val="clear" w:color="auto" w:fill="auto"/>
          <w:lang w:val="en-US" w:eastAsia="en-US" w:bidi="en-US"/>
        </w:rPr>
        <w:t xml:space="preserve">Pt </w:t>
      </w:r>
      <w:r>
        <w:rPr>
          <w:rFonts w:ascii="Times New Roman" w:eastAsia="Times New Roman" w:hAnsi="Times New Roman" w:cs="Times New Roman"/>
          <w:color w:val="000000"/>
          <w:spacing w:val="0"/>
          <w:w w:val="100"/>
          <w:position w:val="0"/>
          <w:shd w:val="clear" w:color="auto" w:fill="auto"/>
          <w:lang w:val="hr-HR" w:eastAsia="hr-HR" w:bidi="hr-HR"/>
        </w:rPr>
        <w:t>3,15: «... uvijek spremni na odgovor svakomu tko vam zatraži razlog nade koja je u vama.« Da se dade odgovor i pomoć onomu koji zaista pita, kao polazište u sva</w:t>
        <w:softHyphen/>
        <w:t>kom je slučaju bilo slabo djelotvorno u povi</w:t>
        <w:softHyphen/>
        <w:t>jesti kršćanske apologetike. Pretežit je bio na</w:t>
        <w:softHyphen/>
        <w:t>por da se dokazuje i brani pravo na istinu i opću važnost kršćanske religije naspram os</w:t>
        <w:softHyphen/>
        <w:t xml:space="preserve">talih religija i svjetonazora. Ako se polazi od njezine biti, apologetici je stalo da prikaže vlastiti položaj u suprotnosti s nekim drugim stavom i stoga ima obranaški karakter. A. uz obranu ima također i nakanu uvjeriti sugovor- </w:t>
      </w:r>
      <w:r>
        <w:rPr>
          <w:rFonts w:ascii="Times New Roman" w:eastAsia="Times New Roman" w:hAnsi="Times New Roman" w:cs="Times New Roman"/>
          <w:color w:val="000000"/>
          <w:spacing w:val="0"/>
          <w:w w:val="100"/>
          <w:position w:val="0"/>
          <w:shd w:val="clear" w:color="auto" w:fill="auto"/>
          <w:lang w:val="en-US" w:eastAsia="en-US" w:bidi="en-US"/>
        </w:rPr>
        <w:t xml:space="preserve">nika, </w:t>
      </w:r>
      <w:r>
        <w:rPr>
          <w:rFonts w:ascii="Times New Roman" w:eastAsia="Times New Roman" w:hAnsi="Times New Roman" w:cs="Times New Roman"/>
          <w:color w:val="000000"/>
          <w:spacing w:val="0"/>
          <w:w w:val="100"/>
          <w:position w:val="0"/>
          <w:shd w:val="clear" w:color="auto" w:fill="auto"/>
          <w:lang w:val="hr-HR" w:eastAsia="hr-HR" w:bidi="hr-HR"/>
        </w:rPr>
        <w:t>bolje reći »protivnika«, u vlastito staja</w:t>
        <w:softHyphen/>
        <w:t>lište. Pa ipak, obično preteže razlog sporenja i polemike tako da napor kako bi se bolje učvrs</w:t>
        <w:softHyphen/>
        <w:t>tila istina i razboritost u vlastitom stavu, lako vodi do toga da se odbacuje i pobija drugačije mišljenje i uvjerenje.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povijesti kršćanstva a. igra značajnu ulogu. Prvi počeci nalaze se u Novom zavjetu, u si- noptičkim evanđeljima, Djelima apostolskim i u Pavlovim poslanicama. U Isusovim raspra</w:t>
        <w:softHyphen/>
        <w:t>vama s »farizejima«, »pismoznancima« i »Zi</w:t>
        <w:softHyphen/>
        <w:t>dovima«, o kojima izvješćuju evanđelja, radi se često o naknadnim projekcijama prepirki mladoga kršćanstva sa Zidovima kasnijeg raz</w:t>
        <w:softHyphen/>
        <w:t>doblja. Prvi predstavnici početne kršćanske teologije u II stoljeću pr. Kr. općenito su nazi</w:t>
        <w:softHyphen/>
        <w:t xml:space="preserve">vani »apologetima« kad bi se karakterizirali njihovi zapisi. Najpoznatiji su grčki apologeti: Aristid, </w:t>
      </w:r>
      <w:r>
        <w:rPr>
          <w:rFonts w:ascii="Times New Roman" w:eastAsia="Times New Roman" w:hAnsi="Times New Roman" w:cs="Times New Roman"/>
          <w:color w:val="000000"/>
          <w:spacing w:val="0"/>
          <w:w w:val="100"/>
          <w:position w:val="0"/>
          <w:shd w:val="clear" w:color="auto" w:fill="auto"/>
          <w:lang w:val="en-US" w:eastAsia="en-US" w:bidi="en-US"/>
        </w:rPr>
        <w:t xml:space="preserve">Justin, </w:t>
      </w:r>
      <w:r>
        <w:rPr>
          <w:rFonts w:ascii="Times New Roman" w:eastAsia="Times New Roman" w:hAnsi="Times New Roman" w:cs="Times New Roman"/>
          <w:color w:val="000000"/>
          <w:spacing w:val="0"/>
          <w:w w:val="100"/>
          <w:position w:val="0"/>
          <w:shd w:val="clear" w:color="auto" w:fill="auto"/>
          <w:lang w:val="hr-HR" w:eastAsia="hr-HR" w:bidi="hr-HR"/>
        </w:rPr>
        <w:t xml:space="preserve">Tacijan, </w:t>
      </w:r>
      <w:r>
        <w:rPr>
          <w:rFonts w:ascii="Times New Roman" w:eastAsia="Times New Roman" w:hAnsi="Times New Roman" w:cs="Times New Roman"/>
          <w:color w:val="000000"/>
          <w:spacing w:val="0"/>
          <w:w w:val="100"/>
          <w:position w:val="0"/>
          <w:shd w:val="clear" w:color="auto" w:fill="auto"/>
          <w:lang w:val="en-US" w:eastAsia="en-US" w:bidi="en-US"/>
        </w:rPr>
        <w:t xml:space="preserve">Mcliton Sardski, </w:t>
      </w:r>
      <w:r>
        <w:rPr>
          <w:rFonts w:ascii="Times New Roman" w:eastAsia="Times New Roman" w:hAnsi="Times New Roman" w:cs="Times New Roman"/>
          <w:color w:val="000000"/>
          <w:spacing w:val="0"/>
          <w:w w:val="100"/>
          <w:position w:val="0"/>
          <w:shd w:val="clear" w:color="auto" w:fill="auto"/>
          <w:lang w:val="hr-HR" w:eastAsia="hr-HR" w:bidi="hr-HR"/>
        </w:rPr>
        <w:t>a od latinskih treba spomenuti: Minucija Fcliksa i Tertulijana.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tzv. </w:t>
      </w:r>
      <w:r>
        <w:rPr>
          <w:rFonts w:ascii="Times New Roman" w:eastAsia="Times New Roman" w:hAnsi="Times New Roman" w:cs="Times New Roman"/>
          <w:i/>
          <w:iCs/>
          <w:color w:val="000000"/>
          <w:spacing w:val="0"/>
          <w:w w:val="100"/>
          <w:position w:val="0"/>
          <w:shd w:val="clear" w:color="auto" w:fill="auto"/>
          <w:lang w:val="hr-HR" w:eastAsia="hr-HR" w:bidi="hr-HR"/>
        </w:rPr>
        <w:t>Adversus Judaeos</w:t>
      </w:r>
      <w:r>
        <w:rPr>
          <w:rFonts w:ascii="Times New Roman" w:eastAsia="Times New Roman" w:hAnsi="Times New Roman" w:cs="Times New Roman"/>
          <w:color w:val="000000"/>
          <w:spacing w:val="0"/>
          <w:w w:val="100"/>
          <w:position w:val="0"/>
          <w:shd w:val="clear" w:color="auto" w:fill="auto"/>
          <w:lang w:val="hr-HR" w:eastAsia="hr-HR" w:bidi="hr-HR"/>
        </w:rPr>
        <w:t xml:space="preserve"> - traktatima sukob</w:t>
        <w:softHyphen/>
        <w:t>ljava se kršćanska a. sa židovstvom. U brojnim zapisima grčki i latinski crkveni oci pokuša</w:t>
        <w:softHyphen/>
        <w:t xml:space="preserve">vaju pokazati ispravnost kršćanske egzegeze Staroga zavjeta, prikazujući Isusa iz Nazareta kao ispunjenje proročke poruke i kao Mesiju. Treba prije svega spomenuti Justinov </w:t>
      </w:r>
      <w:r>
        <w:rPr>
          <w:rFonts w:ascii="Times New Roman" w:eastAsia="Times New Roman" w:hAnsi="Times New Roman" w:cs="Times New Roman"/>
          <w:i/>
          <w:iCs/>
          <w:color w:val="000000"/>
          <w:spacing w:val="0"/>
          <w:w w:val="100"/>
          <w:position w:val="0"/>
          <w:shd w:val="clear" w:color="auto" w:fill="auto"/>
          <w:lang w:val="hr-HR" w:eastAsia="hr-HR" w:bidi="hr-HR"/>
        </w:rPr>
        <w:t>Dijalog s Trifunom</w:t>
      </w:r>
      <w:r>
        <w:rPr>
          <w:rFonts w:ascii="Times New Roman" w:eastAsia="Times New Roman" w:hAnsi="Times New Roman" w:cs="Times New Roman"/>
          <w:color w:val="000000"/>
          <w:spacing w:val="0"/>
          <w:w w:val="100"/>
          <w:position w:val="0"/>
          <w:shd w:val="clear" w:color="auto" w:fill="auto"/>
          <w:lang w:val="hr-HR" w:eastAsia="hr-HR" w:bidi="hr-HR"/>
        </w:rPr>
        <w:t xml:space="preserve"> i Irenejev </w:t>
      </w:r>
      <w:r>
        <w:rPr>
          <w:rFonts w:ascii="Times New Roman" w:eastAsia="Times New Roman" w:hAnsi="Times New Roman" w:cs="Times New Roman"/>
          <w:i/>
          <w:iCs/>
          <w:color w:val="000000"/>
          <w:spacing w:val="0"/>
          <w:w w:val="100"/>
          <w:position w:val="0"/>
          <w:shd w:val="clear" w:color="auto" w:fill="auto"/>
          <w:lang w:val="hr-HR" w:eastAsia="hr-HR" w:bidi="hr-HR"/>
        </w:rPr>
        <w:t>Adversus Judaeos.</w:t>
      </w:r>
      <w:r>
        <w:rPr>
          <w:rFonts w:ascii="Times New Roman" w:eastAsia="Times New Roman" w:hAnsi="Times New Roman" w:cs="Times New Roman"/>
          <w:color w:val="000000"/>
          <w:spacing w:val="0"/>
          <w:w w:val="100"/>
          <w:position w:val="0"/>
          <w:shd w:val="clear" w:color="auto" w:fill="auto"/>
          <w:lang w:val="hr-HR" w:eastAsia="hr-HR" w:bidi="hr-HR"/>
        </w:rPr>
        <w:t xml:space="preserve"> Krš</w:t>
        <w:softHyphen/>
        <w:t>ćanska a. zapala je kod mnogih crkvenih otaca u polemiku sa židovstvom. Osnovni argumen</w:t>
        <w:softHyphen/>
        <w:t>ti kršćanskog antisemitizma (ubojstvo Boga), odbacivanje židovskog naroda (prigovor zbog religije zakona) razvili su se u ono vrijeme. Političkim prevratom konstantinske prekret</w:t>
        <w:softHyphen/>
        <w:t>nice (312), umjesto apologetskog sporenja, nastupila je diskriminacija Židova državnim zakonima. Na drugom nišanu apologetike ono</w:t>
        <w:softHyphen/>
        <w:t>ga vremena bila je poganska filozofija i po</w:t>
        <w:softHyphen/>
        <w:t>ganski obredi. Kršćanski apologeti prilično dugo koriste argumente židovske apologetike da bi dokazali nadmoć monoteističke religije naspram politeizma te moralnu kvalitetu, dub</w:t>
        <w:softHyphen/>
        <w:t>lju duhovnost, a i filozofsku nadmoć kršćan</w:t>
        <w:softHyphen/>
        <w:t>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Nastanak i širenje islama u VII. stoljeću do</w:t>
        <w:softHyphen/>
        <w:t>nosi ponovno oživljavanje apologetike u krš</w:t>
        <w:softHyphen/>
        <w:t>ćanstvu. Iako je na početku jače ratničko su</w:t>
        <w:softHyphen/>
        <w:t>kobljavanje koje svoj vrhunac dosiže u križar</w:t>
        <w:softHyphen/>
        <w:t>skim ratovima, ipak se apologetsko sukoblja</w:t>
        <w:softHyphen/>
        <w:t>vanje s islamom razvija iz nužnosti da se mili</w:t>
        <w:softHyphen/>
        <w:t>taristička, kulturalna i znanstvena kvaliteta is</w:t>
        <w:softHyphen/>
      </w:r>
      <w:r>
        <w:rPr>
          <w:rFonts w:ascii="Times New Roman" w:eastAsia="Times New Roman" w:hAnsi="Times New Roman" w:cs="Times New Roman"/>
          <w:color w:val="000000"/>
          <w:spacing w:val="0"/>
          <w:w w:val="100"/>
          <w:position w:val="0"/>
          <w:shd w:val="clear" w:color="auto" w:fill="auto"/>
          <w:lang w:val="hr-HR" w:eastAsia="hr-HR" w:bidi="hr-HR"/>
        </w:rPr>
        <w:t>lama nekako uskladi s kršćanskom pretenzi</w:t>
        <w:softHyphen/>
        <w:t>jom na istinu i jedinstvenost. Kako su kršćan</w:t>
        <w:softHyphen/>
        <w:t>ski apologeti često imali površna saznanja o islamu, a. se snažno kreće na polju polemike i klevetanja (napadi na moralni integritet pro</w:t>
        <w:softHyphen/>
        <w:t>roka Muhameda i prikazivanje islama kao kristološkoga krivovjerja). Počeci stvarnog su</w:t>
        <w:softHyphen/>
        <w:t xml:space="preserve">čeljavanja nalaze se kod Nikete </w:t>
      </w:r>
      <w:r>
        <w:rPr>
          <w:rFonts w:ascii="Times New Roman" w:eastAsia="Times New Roman" w:hAnsi="Times New Roman" w:cs="Times New Roman"/>
          <w:color w:val="000000"/>
          <w:spacing w:val="0"/>
          <w:w w:val="100"/>
          <w:position w:val="0"/>
          <w:shd w:val="clear" w:color="auto" w:fill="auto"/>
          <w:lang w:val="en-US" w:eastAsia="en-US" w:bidi="en-US"/>
        </w:rPr>
        <w:t xml:space="preserve">Byzantiosa </w:t>
      </w:r>
      <w:r>
        <w:rPr>
          <w:rFonts w:ascii="Times New Roman" w:eastAsia="Times New Roman" w:hAnsi="Times New Roman" w:cs="Times New Roman"/>
          <w:color w:val="000000"/>
          <w:spacing w:val="0"/>
          <w:w w:val="100"/>
          <w:position w:val="0"/>
          <w:shd w:val="clear" w:color="auto" w:fill="auto"/>
          <w:lang w:val="hr-HR" w:eastAsia="hr-HR" w:bidi="hr-HR"/>
        </w:rPr>
        <w:t xml:space="preserve">(IX.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 xml:space="preserve">X. stoljeće), Rajmunda Lulla (1235-1315) i Tome Akvinskog u njegovoj </w:t>
      </w:r>
      <w:r>
        <w:rPr>
          <w:rFonts w:ascii="Times New Roman" w:eastAsia="Times New Roman" w:hAnsi="Times New Roman" w:cs="Times New Roman"/>
          <w:i/>
          <w:iCs/>
          <w:color w:val="000000"/>
          <w:spacing w:val="0"/>
          <w:w w:val="100"/>
          <w:position w:val="0"/>
          <w:shd w:val="clear" w:color="auto" w:fill="auto"/>
          <w:lang w:val="en-US" w:eastAsia="en-US" w:bidi="en-US"/>
        </w:rPr>
        <w:t>Summa contra gentiles.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Za kasniji srednji vijek treba spome</w:t>
        <w:softHyphen/>
        <w:t xml:space="preserve">nuti cara </w:t>
      </w:r>
      <w:r>
        <w:rPr>
          <w:rFonts w:ascii="Times New Roman" w:eastAsia="Times New Roman" w:hAnsi="Times New Roman" w:cs="Times New Roman"/>
          <w:color w:val="000000"/>
          <w:spacing w:val="0"/>
          <w:w w:val="100"/>
          <w:position w:val="0"/>
          <w:shd w:val="clear" w:color="auto" w:fill="auto"/>
          <w:lang w:val="en-US" w:eastAsia="en-US" w:bidi="en-US"/>
        </w:rPr>
        <w:t xml:space="preserve">Manuela </w:t>
      </w:r>
      <w:r>
        <w:rPr>
          <w:rFonts w:ascii="Times New Roman" w:eastAsia="Times New Roman" w:hAnsi="Times New Roman" w:cs="Times New Roman"/>
          <w:color w:val="000000"/>
          <w:spacing w:val="0"/>
          <w:w w:val="100"/>
          <w:position w:val="0"/>
          <w:shd w:val="clear" w:color="auto" w:fill="auto"/>
          <w:lang w:val="hr-HR" w:eastAsia="hr-HR" w:bidi="hr-HR"/>
        </w:rPr>
        <w:t>II. Paleologa (kraj XIV. stoljeća) i Nikolu Kuzanskog (XV. stoljeće). U srednjovjekovnoj skolastici dobiva a. novi filozofsko-teološki oblik. Iz postavljanja pita</w:t>
        <w:softHyphen/>
        <w:t xml:space="preserve">nja »fides </w:t>
      </w:r>
      <w:r>
        <w:rPr>
          <w:rFonts w:ascii="Times New Roman" w:eastAsia="Times New Roman" w:hAnsi="Times New Roman" w:cs="Times New Roman"/>
          <w:color w:val="000000"/>
          <w:spacing w:val="0"/>
          <w:w w:val="100"/>
          <w:position w:val="0"/>
          <w:shd w:val="clear" w:color="auto" w:fill="auto"/>
          <w:lang w:val="en-US" w:eastAsia="en-US" w:bidi="en-US"/>
        </w:rPr>
        <w:t xml:space="preserve">quaerens </w:t>
      </w:r>
      <w:r>
        <w:rPr>
          <w:rFonts w:ascii="Times New Roman" w:eastAsia="Times New Roman" w:hAnsi="Times New Roman" w:cs="Times New Roman"/>
          <w:color w:val="000000"/>
          <w:spacing w:val="0"/>
          <w:w w:val="100"/>
          <w:position w:val="0"/>
          <w:shd w:val="clear" w:color="auto" w:fill="auto"/>
          <w:lang w:val="hr-HR" w:eastAsia="hr-HR" w:bidi="hr-HR"/>
        </w:rPr>
        <w:t>intellectum« dolazi do razvitka racionalnog obrazlaganja vjere u raz</w:t>
        <w:softHyphen/>
        <w:t>radi »pracambula fidei«. Doba reformacije i s njom povezanog raskola u kršćanstvu vodi do razvoja novog oblika unutarkršćanske apolo</w:t>
        <w:softHyphen/>
        <w:t>getike koja nadasve u XVI. i XVII. stoljeću dosiže sramotne oblike međusobnih pogrda i kleveta. Kontroverzistička teologija, koja se razvija iz toga, postizava svakako višu duhov</w:t>
        <w:softHyphen/>
        <w:t xml:space="preserve">nu i znanstvenu razinu (za katoličku teologiju treba spomenuti </w:t>
      </w:r>
      <w:r>
        <w:rPr>
          <w:rFonts w:ascii="Times New Roman" w:eastAsia="Times New Roman" w:hAnsi="Times New Roman" w:cs="Times New Roman"/>
          <w:color w:val="000000"/>
          <w:spacing w:val="0"/>
          <w:w w:val="100"/>
          <w:position w:val="0"/>
          <w:shd w:val="clear" w:color="auto" w:fill="auto"/>
          <w:lang w:val="en-US" w:eastAsia="en-US" w:bidi="en-US"/>
        </w:rPr>
        <w:t xml:space="preserve">Roberta </w:t>
      </w:r>
      <w:r>
        <w:rPr>
          <w:rFonts w:ascii="Times New Roman" w:eastAsia="Times New Roman" w:hAnsi="Times New Roman" w:cs="Times New Roman"/>
          <w:color w:val="000000"/>
          <w:spacing w:val="0"/>
          <w:w w:val="100"/>
          <w:position w:val="0"/>
          <w:shd w:val="clear" w:color="auto" w:fill="auto"/>
          <w:lang w:val="hr-HR" w:eastAsia="hr-HR" w:bidi="hr-HR"/>
        </w:rPr>
        <w:t>Bcllarmina), ali osta</w:t>
        <w:softHyphen/>
        <w:t>je pri osnovnoj nakani sukobljavanja i među</w:t>
        <w:softHyphen/>
        <w:t>sobnog pobijanja.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izazovu racionalizma, deizma, ateizma i prirodnih znanosti nastaje a. koja nastoji do</w:t>
        <w:softHyphen/>
        <w:t>kazati razumnost vjere, povijesnu istinu kršćan</w:t>
        <w:softHyphen/>
        <w:t>stva, vjerodostojnost Svetoga pisma i jedin</w:t>
        <w:softHyphen/>
        <w:t>stvenost osobe Isusa iz Nazareta. Raspored zadaća takve fundamentalne teologije ostao je do danas osporen u kršćanskoj teologiji. Prije svega se u cvangeličkoj teologiji uvijek iznova stavlja u pitanje nužnost i dopustivost da se racionalno brane i dokazuju razumnost i primjerenost vjerskih istina - najjasnije i naj</w:t>
        <w:softHyphen/>
        <w:t xml:space="preserve">oštrije u dijalektičkoj teologiji K.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Za kršćansku teologiju u sadašnjem vremenu po</w:t>
        <w:softHyphen/>
        <w:t>stavljaju se pitanja apologetike u izmijenje</w:t>
        <w:softHyphen/>
        <w:t>nom obliku. U sučeljavanju s modernom kri</w:t>
        <w:softHyphen/>
        <w:t>tikom religije, borbenim ateizmom, vjerom u znanost i pitanjima hcrmcncutike nakana apo- logetikc nije više obrana vjere izvana nego vi</w:t>
        <w:softHyphen/>
        <w:t>šestruko sučeljavanje s unutarnjom ugrože</w:t>
        <w:softHyphen/>
        <w:t>nošću religije unutar kršćanskih crkava.</w:t>
      </w:r>
    </w:p>
    <w:p>
      <w:pPr>
        <w:pStyle w:val="Style20"/>
        <w:keepNext w:val="0"/>
        <w:keepLines w:val="0"/>
        <w:widowControl w:val="0"/>
        <w:shd w:val="clear" w:color="auto" w:fill="auto"/>
        <w:bidi w:val="0"/>
        <w:spacing w:before="0" w:after="60"/>
        <w:ind w:left="0" w:right="0" w:firstLine="0"/>
        <w:jc w:val="both"/>
        <w:sectPr>
          <w:headerReference w:type="default" r:id="rId139"/>
          <w:footerReference w:type="default" r:id="rId140"/>
          <w:headerReference w:type="even" r:id="rId141"/>
          <w:footerReference w:type="even" r:id="rId142"/>
          <w:headerReference w:type="first" r:id="rId143"/>
          <w:footerReference w:type="first" r:id="rId144"/>
          <w:footnotePr>
            <w:pos w:val="pageBottom"/>
            <w:numFmt w:val="decimal"/>
            <w:numStart w:val="5"/>
            <w:numRestart w:val="continuous"/>
            <w15:footnoteColumns w:val="1"/>
          </w:footnotePr>
          <w:pgSz w:w="6816" w:h="11006"/>
          <w:pgMar w:top="954" w:left="178" w:right="182" w:bottom="525" w:header="0" w:footer="3" w:gutter="0"/>
          <w:pgNumType w:start="52"/>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 se u povijesti pokazala kao nedostatna da među skupinama s drugačijom religijom i svje</w:t>
        <w:softHyphen/>
        <w:t>tonazorom izazove razmjenu mišljenja i razu</w:t>
        <w:softHyphen/>
        <w:t xml:space="preserve">mijevanje. Apologetskom stajalištu nedostaje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spremnost da drugoga sasluša, poštuje i toleri</w:t>
        <w:softHyphen/>
        <w:t>ra u njegovoj posebnosti. A. tako dospijeva u napeti odnos prema dijalogu kojem je stalo do uzajamnog informiranja, do slušanja i uvaža</w:t>
        <w:softHyphen/>
        <w:t>vanja partnera. U vrijeme religijskog i svjeto</w:t>
        <w:softHyphen/>
        <w:t>nazorskog pluralizma dijalog je svakako naj</w:t>
        <w:softHyphen/>
        <w:t>bolji oblik da se ostvare i učine plodonosnima stalne nakane i zadaće teološke apologetikc.</w:t>
      </w:r>
    </w:p>
    <w:p>
      <w:pPr>
        <w:pStyle w:val="Style56"/>
        <w:keepNext w:val="0"/>
        <w:keepLines w:val="0"/>
        <w:widowControl w:val="0"/>
        <w:shd w:val="clear" w:color="auto" w:fill="auto"/>
        <w:tabs>
          <w:tab w:pos="2534"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Lit,: C. </w:t>
      </w:r>
      <w:r>
        <w:rPr>
          <w:color w:val="000000"/>
          <w:spacing w:val="0"/>
          <w:w w:val="100"/>
          <w:position w:val="0"/>
          <w:shd w:val="clear" w:color="auto" w:fill="auto"/>
        </w:rPr>
        <w:t xml:space="preserve">Schweitzer, </w:t>
      </w:r>
      <w:r>
        <w:rPr>
          <w:i/>
          <w:iCs/>
          <w:color w:val="000000"/>
          <w:spacing w:val="0"/>
          <w:w w:val="100"/>
          <w:position w:val="0"/>
          <w:shd w:val="clear" w:color="auto" w:fill="auto"/>
        </w:rPr>
        <w:t xml:space="preserve">Anlworl des </w:t>
      </w:r>
      <w:r>
        <w:rPr>
          <w:i/>
          <w:iCs/>
          <w:color w:val="000000"/>
          <w:spacing w:val="0"/>
          <w:w w:val="100"/>
          <w:position w:val="0"/>
          <w:shd w:val="clear" w:color="auto" w:fill="auto"/>
          <w:lang w:val="hr-HR" w:eastAsia="hr-HR" w:bidi="hr-HR"/>
        </w:rPr>
        <w:t xml:space="preserve">Glaubens, </w:t>
      </w:r>
      <w:r>
        <w:rPr>
          <w:i/>
          <w:iCs/>
          <w:color w:val="000000"/>
          <w:spacing w:val="0"/>
          <w:w w:val="100"/>
          <w:position w:val="0"/>
          <w:shd w:val="clear" w:color="auto" w:fill="auto"/>
        </w:rPr>
        <w:t>liandbuch einer neuen Apologetik,</w:t>
      </w:r>
      <w:r>
        <w:rPr>
          <w:color w:val="000000"/>
          <w:spacing w:val="0"/>
          <w:w w:val="100"/>
          <w:position w:val="0"/>
          <w:shd w:val="clear" w:color="auto" w:fill="auto"/>
        </w:rPr>
        <w:t xml:space="preserve"> Schwerin 1928, K. Aland, </w:t>
      </w:r>
      <w:r>
        <w:rPr>
          <w:i/>
          <w:iCs/>
          <w:color w:val="000000"/>
          <w:spacing w:val="0"/>
          <w:w w:val="100"/>
          <w:position w:val="0"/>
          <w:shd w:val="clear" w:color="auto" w:fill="auto"/>
        </w:rPr>
        <w:t>Apologie tier Apologeiik,</w:t>
      </w:r>
      <w:r>
        <w:rPr>
          <w:color w:val="000000"/>
          <w:spacing w:val="0"/>
          <w:w w:val="100"/>
          <w:position w:val="0"/>
          <w:shd w:val="clear" w:color="auto" w:fill="auto"/>
        </w:rPr>
        <w:t xml:space="preserve"> Berlin 1948; H. Lais, </w:t>
      </w:r>
      <w:r>
        <w:rPr>
          <w:i/>
          <w:iCs/>
          <w:color w:val="000000"/>
          <w:spacing w:val="0"/>
          <w:w w:val="100"/>
          <w:position w:val="0"/>
          <w:shd w:val="clear" w:color="auto" w:fill="auto"/>
          <w:lang w:val="hr-HR" w:eastAsia="hr-HR" w:bidi="hr-HR"/>
        </w:rPr>
        <w:t xml:space="preserve">Probleme </w:t>
      </w:r>
      <w:r>
        <w:rPr>
          <w:i/>
          <w:iCs/>
          <w:color w:val="000000"/>
          <w:spacing w:val="0"/>
          <w:w w:val="100"/>
          <w:position w:val="0"/>
          <w:shd w:val="clear" w:color="auto" w:fill="auto"/>
        </w:rPr>
        <w:t>einer zeitgema- Hen Apologeiik.</w:t>
      </w:r>
      <w:r>
        <w:rPr>
          <w:color w:val="000000"/>
          <w:spacing w:val="0"/>
          <w:w w:val="100"/>
          <w:position w:val="0"/>
          <w:shd w:val="clear" w:color="auto" w:fill="auto"/>
        </w:rPr>
        <w:t xml:space="preserve"> Wien 1956; K. Rahner. </w:t>
      </w:r>
      <w:r>
        <w:rPr>
          <w:i/>
          <w:iCs/>
          <w:color w:val="000000"/>
          <w:spacing w:val="0"/>
          <w:w w:val="100"/>
          <w:position w:val="0"/>
          <w:shd w:val="clear" w:color="auto" w:fill="auto"/>
        </w:rPr>
        <w:t xml:space="preserve">Horer des Wortes. </w:t>
      </w:r>
      <w:r>
        <w:rPr>
          <w:color w:val="000000"/>
          <w:spacing w:val="0"/>
          <w:w w:val="100"/>
          <w:position w:val="0"/>
          <w:shd w:val="clear" w:color="auto" w:fill="auto"/>
        </w:rPr>
        <w:t xml:space="preserve">Munchcn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1963; J. B. Metz, zXpologctik. S.M 1, 266-276; J. Schmitz. Die Fundamcntalthcologic im 20. Jh.,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R. van dcr Gucht (Hrsg.). </w:t>
      </w:r>
      <w:r>
        <w:rPr>
          <w:i/>
          <w:iCs/>
          <w:color w:val="000000"/>
          <w:spacing w:val="0"/>
          <w:w w:val="100"/>
          <w:position w:val="0"/>
          <w:shd w:val="clear" w:color="auto" w:fill="auto"/>
        </w:rPr>
        <w:t>Bilanzder Theologie.</w:t>
      </w:r>
      <w:r>
        <w:rPr>
          <w:color w:val="000000"/>
          <w:spacing w:val="0"/>
          <w:w w:val="100"/>
          <w:position w:val="0"/>
          <w:shd w:val="clear" w:color="auto" w:fill="auto"/>
        </w:rPr>
        <w:t xml:space="preserve"> 11, Freiburg 1965, 197-245; A. Koiping. </w:t>
      </w:r>
      <w:r>
        <w:rPr>
          <w:i/>
          <w:iCs/>
          <w:color w:val="000000"/>
          <w:spacing w:val="0"/>
          <w:w w:val="100"/>
          <w:position w:val="0"/>
          <w:shd w:val="clear" w:color="auto" w:fill="auto"/>
        </w:rPr>
        <w:t>Fund amen tai theologie, 2</w:t>
      </w:r>
      <w:r>
        <w:rPr>
          <w:color w:val="000000"/>
          <w:spacing w:val="0"/>
          <w:w w:val="100"/>
          <w:position w:val="0"/>
          <w:shd w:val="clear" w:color="auto" w:fill="auto"/>
        </w:rPr>
        <w:t xml:space="preserve"> Bdc., Mun</w:t>
        <w:softHyphen/>
        <w:t xml:space="preserve">chcn 1968; H. Fries, </w:t>
      </w:r>
      <w:r>
        <w:rPr>
          <w:i/>
          <w:iCs/>
          <w:color w:val="000000"/>
          <w:spacing w:val="0"/>
          <w:w w:val="100"/>
          <w:position w:val="0"/>
          <w:shd w:val="clear" w:color="auto" w:fill="auto"/>
        </w:rPr>
        <w:t>Fundamentaltheologie,</w:t>
      </w:r>
      <w:r>
        <w:rPr>
          <w:color w:val="000000"/>
          <w:spacing w:val="0"/>
          <w:w w:val="100"/>
          <w:position w:val="0"/>
          <w:shd w:val="clear" w:color="auto" w:fill="auto"/>
        </w:rPr>
        <w:t xml:space="preserve"> Graz 1985; H. Waldenfcls, </w:t>
      </w:r>
      <w:r>
        <w:rPr>
          <w:i/>
          <w:iCs/>
          <w:color w:val="000000"/>
          <w:spacing w:val="0"/>
          <w:w w:val="100"/>
          <w:position w:val="0"/>
          <w:shd w:val="clear" w:color="auto" w:fill="auto"/>
        </w:rPr>
        <w:t>Kontextuelie Fundamerualtheologie,</w:t>
      </w:r>
      <w:r>
        <w:rPr>
          <w:color w:val="000000"/>
          <w:spacing w:val="0"/>
          <w:w w:val="100"/>
          <w:position w:val="0"/>
          <w:shd w:val="clear" w:color="auto" w:fill="auto"/>
        </w:rPr>
        <w:t xml:space="preserve"> Paderborn 1985.</w:t>
        <w:tab/>
        <w:t>G. l-Vt'RS</w:t>
      </w:r>
    </w:p>
    <w:p>
      <w:pPr>
        <w:pStyle w:val="Style63"/>
        <w:keepNext/>
        <w:keepLines/>
        <w:widowControl w:val="0"/>
        <w:numPr>
          <w:ilvl w:val="0"/>
          <w:numId w:val="23"/>
        </w:numPr>
        <w:shd w:val="clear" w:color="auto" w:fill="auto"/>
        <w:tabs>
          <w:tab w:pos="260" w:val="left"/>
        </w:tabs>
        <w:bidi w:val="0"/>
        <w:spacing w:before="0"/>
        <w:ind w:left="0" w:right="0" w:firstLine="0"/>
        <w:jc w:val="both"/>
      </w:pPr>
      <w:bookmarkStart w:id="34" w:name="bookmark34"/>
      <w:r>
        <w:rPr>
          <w:rFonts w:ascii="Times New Roman" w:eastAsia="Times New Roman" w:hAnsi="Times New Roman" w:cs="Times New Roman"/>
          <w:color w:val="000000"/>
          <w:spacing w:val="0"/>
          <w:w w:val="100"/>
          <w:position w:val="0"/>
          <w:shd w:val="clear" w:color="auto" w:fill="auto"/>
          <w:lang w:val="hr-HR" w:eastAsia="hr-HR" w:bidi="hr-HR"/>
        </w:rPr>
        <w:t>islamski</w:t>
      </w:r>
      <w:bookmarkEnd w:id="3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naravi je navještaja vjere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 xml:space="preserve">se </w:t>
      </w:r>
      <w:r>
        <w:rPr>
          <w:rFonts w:ascii="Times New Roman" w:eastAsia="Times New Roman" w:hAnsi="Times New Roman" w:cs="Times New Roman"/>
          <w:color w:val="000000"/>
          <w:spacing w:val="0"/>
          <w:w w:val="100"/>
          <w:position w:val="0"/>
          <w:shd w:val="clear" w:color="auto" w:fill="auto"/>
          <w:lang w:val="en-US" w:eastAsia="en-US" w:bidi="en-US"/>
        </w:rPr>
        <w:t xml:space="preserve">on </w:t>
      </w:r>
      <w:r>
        <w:rPr>
          <w:rFonts w:ascii="Times New Roman" w:eastAsia="Times New Roman" w:hAnsi="Times New Roman" w:cs="Times New Roman"/>
          <w:color w:val="000000"/>
          <w:spacing w:val="0"/>
          <w:w w:val="100"/>
          <w:position w:val="0"/>
          <w:shd w:val="clear" w:color="auto" w:fill="auto"/>
          <w:lang w:val="hr-HR" w:eastAsia="hr-HR" w:bidi="hr-HR"/>
        </w:rPr>
        <w:t xml:space="preserve">hrani suprolnošću </w:t>
      </w:r>
      <w:r>
        <w:rPr>
          <w:rFonts w:ascii="Times New Roman" w:eastAsia="Times New Roman" w:hAnsi="Times New Roman" w:cs="Times New Roman"/>
          <w:color w:val="000000"/>
          <w:spacing w:val="0"/>
          <w:w w:val="100"/>
          <w:position w:val="0"/>
          <w:shd w:val="clear" w:color="auto" w:fill="auto"/>
          <w:lang w:val="en-US" w:eastAsia="en-US" w:bidi="en-US"/>
        </w:rPr>
        <w:t xml:space="preserve">poricanja </w:t>
      </w:r>
      <w:r>
        <w:rPr>
          <w:rFonts w:ascii="Times New Roman" w:eastAsia="Times New Roman" w:hAnsi="Times New Roman" w:cs="Times New Roman"/>
          <w:color w:val="000000"/>
          <w:spacing w:val="0"/>
          <w:w w:val="100"/>
          <w:position w:val="0"/>
          <w:shd w:val="clear" w:color="auto" w:fill="auto"/>
          <w:lang w:val="hr-HR" w:eastAsia="hr-HR" w:bidi="hr-HR"/>
        </w:rPr>
        <w:t>Boga, zla i protivništva, te da na tomu izrasta. Stoga od pradavnih vre</w:t>
        <w:softHyphen/>
        <w:t>mena postoje apolegetske tendencije u reli</w:t>
        <w:softHyphen/>
        <w:t>giji. Sa zahtjevom za apsolutnošću islama, koji ortodoksija proteže i na čisto svjetovno polje čovjekova djelovanja, za islam nastaju naročiti problemi koji su povezani s apologetikom.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Suočavajući se s poganskim svijetom Muhamed je bio prisiljen služiti se i apologetikom. S obzi</w:t>
        <w:softHyphen/>
        <w:t>rom na neprestani židovski, kršćanski, zoro- asterski i agnostički izazov, teologija se ni nakon njegove smrti ne može odreći apologetike. No u filozofskoj je tradiciji bio prisutan intelektu</w:t>
        <w:softHyphen/>
        <w:t xml:space="preserve">alni integritet koji istinu traži jedino u skladu s činjenicama. Klasični je islam vidio u intelektu sredstvo objašnjenja objave. Dakle, živjelo je nešto poput slobodne misli. Razlike u mišljenju važile su čak kao milost i privilegija zajednice. Ta je misao izražena u predaji koja se vraća na Muhameda. Usp.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 xml:space="preserve">ibn ‘Abdarrah- mSn ad-DimashqI, Rahmat al-umma fi khtilJf al-a’imma (napisano 878 II. = 1378) u: ‘Abdal- </w:t>
      </w:r>
      <w:r>
        <w:rPr>
          <w:rFonts w:ascii="Times New Roman" w:eastAsia="Times New Roman" w:hAnsi="Times New Roman" w:cs="Times New Roman"/>
          <w:color w:val="000000"/>
          <w:spacing w:val="0"/>
          <w:w w:val="100"/>
          <w:position w:val="0"/>
          <w:shd w:val="clear" w:color="auto" w:fill="auto"/>
          <w:lang w:val="en-US" w:eastAsia="en-US" w:bidi="en-US"/>
        </w:rPr>
        <w:t xml:space="preserve">wahhab </w:t>
      </w:r>
      <w:r>
        <w:rPr>
          <w:rFonts w:ascii="Times New Roman" w:eastAsia="Times New Roman" w:hAnsi="Times New Roman" w:cs="Times New Roman"/>
          <w:color w:val="000000"/>
          <w:spacing w:val="0"/>
          <w:w w:val="100"/>
          <w:position w:val="0"/>
          <w:shd w:val="clear" w:color="auto" w:fill="auto"/>
          <w:lang w:val="hr-HR" w:eastAsia="hr-HR" w:bidi="hr-HR"/>
        </w:rPr>
        <w:t>ash-Sha’ranl, Al-Mlzan, 1-2, Kairo 1306 H. = 1888/9.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 zadaćom samostalnog iznalaženja dijelje</w:t>
        <w:softHyphen/>
        <w:t>nja pravde, idjtihad, u sunitskom je islamu apologetska literatura dobila na opsegu i zna</w:t>
        <w:softHyphen/>
        <w:t>čenju. Zahvaljujući raširenim anegdotama, pri</w:t>
        <w:softHyphen/>
        <w:t>povijestima i pjesmama, apologetski je duh za</w:t>
        <w:softHyphen/>
        <w:t>hvatio čak i pučku književnost.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Susret islama sa zapadnom kulturom XIX. i XX. stoljeća stvorio je osjećaj ugroženosti vlastite </w:t>
      </w:r>
      <w:r>
        <w:rPr>
          <w:rFonts w:ascii="Times New Roman" w:eastAsia="Times New Roman" w:hAnsi="Times New Roman" w:cs="Times New Roman"/>
          <w:color w:val="000000"/>
          <w:spacing w:val="0"/>
          <w:w w:val="100"/>
          <w:position w:val="0"/>
          <w:shd w:val="clear" w:color="auto" w:fill="auto"/>
          <w:lang w:val="hr-HR" w:eastAsia="hr-HR" w:bidi="hr-HR"/>
        </w:rPr>
        <w:t>situacije i strah od gubitka identiteta. Nastalo je pogodno tlo za apologetski način razmišlja</w:t>
        <w:softHyphen/>
        <w:t>nja i pisanja. Bujica obrambenih spisa, koji su branili ne samo islam, nego i one društvene strukture koje se podrazumijevaju pod njim, preplavila je istočnu tržnicu knjiga. Način raz</w:t>
        <w:softHyphen/>
        <w:t>mišljanja koji stoji u pozadini toga otežavao je bilo kakvo razmišljanje o vlastitom staništu. U tome je ležao - a i još danas leži - jedan od najdubljih uzroka za tegobno snalaženje mu- slimana-vjernika u današnjemu svijetu. A. sva</w:t>
        <w:softHyphen/>
        <w:t>kako ispunjava svoju najprije njoj postavljenu zadaću: učvršćivanje vjernosti tradiciji u svije</w:t>
        <w:softHyphen/>
        <w:t>tu koji se mnijenja. Ona je, dugoročno gleda</w:t>
        <w:softHyphen/>
        <w:t>no, svakako permanentna opasnost za duhov</w:t>
        <w:softHyphen/>
        <w:t>ni razvoj. Kao što je poznato, ona se lako izo</w:t>
        <w:softHyphen/>
        <w:t>pačuje u romantiku i samodopadljivost. Ali se velika većina pučanstva pokazuje sasvim pri</w:t>
        <w:softHyphen/>
        <w:t>jemčivom za nju. Posebno su poželjni apolo</w:t>
        <w:softHyphen/>
        <w:t>getski umeci koji potječu od prominentnih za</w:t>
        <w:softHyphen/>
        <w:t xml:space="preserve">padnih autora i koji riječ daju islamu. Tako se čak u čisto religioznim djelima mogu susresti navodi </w:t>
      </w:r>
      <w:r>
        <w:rPr>
          <w:rFonts w:ascii="Times New Roman" w:eastAsia="Times New Roman" w:hAnsi="Times New Roman" w:cs="Times New Roman"/>
          <w:color w:val="000000"/>
          <w:spacing w:val="0"/>
          <w:w w:val="100"/>
          <w:position w:val="0"/>
          <w:shd w:val="clear" w:color="auto" w:fill="auto"/>
          <w:lang w:val="en-US" w:eastAsia="en-US" w:bidi="en-US"/>
        </w:rPr>
        <w:t xml:space="preserve">Goethea, Carlylea, </w:t>
      </w:r>
      <w:r>
        <w:rPr>
          <w:rFonts w:ascii="Times New Roman" w:eastAsia="Times New Roman" w:hAnsi="Times New Roman" w:cs="Times New Roman"/>
          <w:color w:val="000000"/>
          <w:spacing w:val="0"/>
          <w:w w:val="100"/>
          <w:position w:val="0"/>
          <w:shd w:val="clear" w:color="auto" w:fill="auto"/>
          <w:lang w:val="hr-HR" w:eastAsia="hr-HR" w:bidi="hr-HR"/>
        </w:rPr>
        <w:t>Bucaillca i mnogih drugih. Stoga se bez pravilne ocjene apolo</w:t>
        <w:softHyphen/>
        <w:t>getike teško može steći dublji uvid u stanje is</w:t>
        <w:softHyphen/>
        <w:t>lama.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Kritičke se analize apologetike u današnjem islamu poduzeo </w:t>
      </w:r>
      <w:r>
        <w:rPr>
          <w:rFonts w:ascii="Times New Roman" w:eastAsia="Times New Roman" w:hAnsi="Times New Roman" w:cs="Times New Roman"/>
          <w:color w:val="000000"/>
          <w:spacing w:val="0"/>
          <w:w w:val="100"/>
          <w:position w:val="0"/>
          <w:shd w:val="clear" w:color="auto" w:fill="auto"/>
          <w:lang w:val="en-US" w:eastAsia="en-US" w:bidi="en-US"/>
        </w:rPr>
        <w:t xml:space="preserve">Wilfred Cantwell Smith </w:t>
      </w:r>
      <w:r>
        <w:rPr>
          <w:rFonts w:ascii="Times New Roman" w:eastAsia="Times New Roman" w:hAnsi="Times New Roman" w:cs="Times New Roman"/>
          <w:color w:val="000000"/>
          <w:spacing w:val="0"/>
          <w:w w:val="100"/>
          <w:position w:val="0"/>
          <w:shd w:val="clear" w:color="auto" w:fill="auto"/>
          <w:lang w:val="hr-HR" w:eastAsia="hr-HR" w:bidi="hr-HR"/>
        </w:rPr>
        <w:t>u svo</w:t>
        <w:softHyphen/>
        <w:t xml:space="preserve">jemu djelu </w:t>
      </w:r>
      <w:r>
        <w:rPr>
          <w:rFonts w:ascii="Times New Roman" w:eastAsia="Times New Roman" w:hAnsi="Times New Roman" w:cs="Times New Roman"/>
          <w:i/>
          <w:iCs/>
          <w:color w:val="000000"/>
          <w:spacing w:val="0"/>
          <w:w w:val="100"/>
          <w:position w:val="0"/>
          <w:shd w:val="clear" w:color="auto" w:fill="auto"/>
          <w:lang w:val="en-US" w:eastAsia="en-US" w:bidi="en-US"/>
        </w:rPr>
        <w:t xml:space="preserve">Islam 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modem </w:t>
      </w:r>
      <w:r>
        <w:rPr>
          <w:rFonts w:ascii="Times New Roman" w:eastAsia="Times New Roman" w:hAnsi="Times New Roman" w:cs="Times New Roman"/>
          <w:i/>
          <w:iCs/>
          <w:color w:val="000000"/>
          <w:spacing w:val="0"/>
          <w:w w:val="100"/>
          <w:position w:val="0"/>
          <w:shd w:val="clear" w:color="auto" w:fill="auto"/>
          <w:lang w:val="en-US" w:eastAsia="en-US" w:bidi="en-US"/>
        </w:rPr>
        <w:t>history.</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U prvom njemačkom izdanju tog djela (objavljeno u Frankfurtu 1963. pod naslovom: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Islam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Gegemvart)</w:t>
      </w:r>
      <w:r>
        <w:rPr>
          <w:rFonts w:ascii="Times New Roman" w:eastAsia="Times New Roman" w:hAnsi="Times New Roman" w:cs="Times New Roman"/>
          <w:color w:val="000000"/>
          <w:spacing w:val="0"/>
          <w:w w:val="100"/>
          <w:position w:val="0"/>
          <w:shd w:val="clear" w:color="auto" w:fill="auto"/>
          <w:lang w:val="hr-HR" w:eastAsia="hr-HR" w:bidi="hr-HR"/>
        </w:rPr>
        <w:t xml:space="preserve"> ti se izvodi mogu naći na str. 86-90. Prosudcna po svojoj vrijednosti u me- dureligijskim odnosima, a. se jednoznačno po</w:t>
        <w:softHyphen/>
        <w:t>kazuje kao negativna. Tako se moramo složiti s Moritzom Steinschneiderom kada smatra da bismo se iz polemičke literature trebali učiti prije svega njezinoj neučinkovitosti.</w:t>
      </w:r>
    </w:p>
    <w:p>
      <w:pPr>
        <w:pStyle w:val="Style56"/>
        <w:keepNext w:val="0"/>
        <w:keepLines w:val="0"/>
        <w:widowControl w:val="0"/>
        <w:shd w:val="clear" w:color="auto" w:fill="auto"/>
        <w:tabs>
          <w:tab w:pos="2578" w:val="left"/>
        </w:tabs>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Muritz Stcinschncidcr, </w:t>
      </w:r>
      <w:r>
        <w:rPr>
          <w:i/>
          <w:iCs/>
          <w:color w:val="000000"/>
          <w:spacing w:val="0"/>
          <w:w w:val="100"/>
          <w:position w:val="0"/>
          <w:shd w:val="clear" w:color="auto" w:fill="auto"/>
          <w:lang w:val="hr-HR" w:eastAsia="hr-HR" w:bidi="hr-HR"/>
        </w:rPr>
        <w:t xml:space="preserve">Poiemische und apologelisehe Literatur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arabischer Sprnche </w:t>
      </w:r>
      <w:r>
        <w:rPr>
          <w:i/>
          <w:iCs/>
          <w:color w:val="000000"/>
          <w:spacing w:val="0"/>
          <w:w w:val="100"/>
          <w:position w:val="0"/>
          <w:shd w:val="clear" w:color="auto" w:fill="auto"/>
        </w:rPr>
        <w:t xml:space="preserve">ZMschen </w:t>
      </w:r>
      <w:r>
        <w:rPr>
          <w:i/>
          <w:iCs/>
          <w:color w:val="000000"/>
          <w:spacing w:val="0"/>
          <w:w w:val="100"/>
          <w:position w:val="0"/>
          <w:shd w:val="clear" w:color="auto" w:fill="auto"/>
          <w:lang w:val="hr-HR" w:eastAsia="hr-HR" w:bidi="hr-HR"/>
        </w:rPr>
        <w:t xml:space="preserve">Mustimen, </w:t>
      </w:r>
      <w:r>
        <w:rPr>
          <w:i/>
          <w:iCs/>
          <w:color w:val="000000"/>
          <w:spacing w:val="0"/>
          <w:w w:val="100"/>
          <w:position w:val="0"/>
          <w:shd w:val="clear" w:color="auto" w:fill="auto"/>
        </w:rPr>
        <w:t xml:space="preserve">Christen </w:t>
      </w:r>
      <w:r>
        <w:rPr>
          <w:i/>
          <w:iCs/>
          <w:color w:val="000000"/>
          <w:spacing w:val="0"/>
          <w:w w:val="100"/>
          <w:position w:val="0"/>
          <w:shd w:val="clear" w:color="auto" w:fill="auto"/>
          <w:lang w:val="hr-HR" w:eastAsia="hr-HR" w:bidi="hr-HR"/>
        </w:rPr>
        <w:t xml:space="preserve">und Juden. Neba </w:t>
      </w:r>
      <w:r>
        <w:rPr>
          <w:i/>
          <w:iCs/>
          <w:color w:val="000000"/>
          <w:spacing w:val="0"/>
          <w:w w:val="100"/>
          <w:position w:val="0"/>
          <w:shd w:val="clear" w:color="auto" w:fill="auto"/>
        </w:rPr>
        <w:t xml:space="preserve">Anhangen </w:t>
      </w:r>
      <w:r>
        <w:rPr>
          <w:i/>
          <w:iCs/>
          <w:color w:val="000000"/>
          <w:spacing w:val="0"/>
          <w:w w:val="100"/>
          <w:position w:val="0"/>
          <w:shd w:val="clear" w:color="auto" w:fill="auto"/>
          <w:lang w:val="hr-HR" w:eastAsia="hr-HR" w:bidi="hr-HR"/>
        </w:rPr>
        <w:t xml:space="preserve">venvandten </w:t>
      </w:r>
      <w:r>
        <w:rPr>
          <w:i/>
          <w:iCs/>
          <w:color w:val="000000"/>
          <w:spacing w:val="0"/>
          <w:w w:val="100"/>
          <w:position w:val="0"/>
          <w:shd w:val="clear" w:color="auto" w:fill="auto"/>
        </w:rPr>
        <w:t>Inhalls,</w:t>
      </w:r>
      <w:r>
        <w:rPr>
          <w:color w:val="000000"/>
          <w:spacing w:val="0"/>
          <w:w w:val="100"/>
          <w:position w:val="0"/>
          <w:shd w:val="clear" w:color="auto" w:fill="auto"/>
        </w:rPr>
        <w:t xml:space="preserve"> Leipzig </w:t>
      </w:r>
      <w:r>
        <w:rPr>
          <w:color w:val="000000"/>
          <w:spacing w:val="0"/>
          <w:w w:val="100"/>
          <w:position w:val="0"/>
          <w:shd w:val="clear" w:color="auto" w:fill="auto"/>
          <w:lang w:val="hr-HR" w:eastAsia="hr-HR" w:bidi="hr-HR"/>
        </w:rPr>
        <w:t>1877.</w:t>
        <w:tab/>
        <w:t>S. ItAl.lĆ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APOSTOL</w:t>
      </w:r>
    </w:p>
    <w:p>
      <w:pPr>
        <w:pStyle w:val="Style63"/>
        <w:keepNext/>
        <w:keepLines/>
        <w:widowControl w:val="0"/>
        <w:numPr>
          <w:ilvl w:val="0"/>
          <w:numId w:val="27"/>
        </w:numPr>
        <w:shd w:val="clear" w:color="auto" w:fill="auto"/>
        <w:tabs>
          <w:tab w:pos="250" w:val="left"/>
        </w:tabs>
        <w:bidi w:val="0"/>
        <w:spacing w:before="0" w:line="223" w:lineRule="auto"/>
        <w:ind w:left="0" w:right="0" w:firstLine="0"/>
        <w:jc w:val="both"/>
      </w:pPr>
      <w:bookmarkStart w:id="35" w:name="bookmark35"/>
      <w:r>
        <w:rPr>
          <w:rFonts w:ascii="Times New Roman" w:eastAsia="Times New Roman" w:hAnsi="Times New Roman" w:cs="Times New Roman"/>
          <w:color w:val="000000"/>
          <w:spacing w:val="0"/>
          <w:w w:val="100"/>
          <w:position w:val="0"/>
          <w:shd w:val="clear" w:color="auto" w:fill="auto"/>
          <w:lang w:val="hr-HR" w:eastAsia="hr-HR" w:bidi="hr-HR"/>
        </w:rPr>
        <w:t>židovski</w:t>
      </w:r>
      <w:bookmarkEnd w:id="3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grč., poslanik, za hebr. »šalijah«, prema židovskom pravu opunomoćenik koji u ime nalogodavca provodi religijske radnje i radnje povezane sa zajednicom. Apostoli su nastu</w:t>
        <w:softHyphen/>
        <w:t>pali udvoje. Crkveni oci govore o apostolima koji su u općinama u dijaspori skupljali go</w:t>
        <w:softHyphen/>
      </w:r>
      <w:r>
        <w:rPr>
          <w:rFonts w:ascii="Times New Roman" w:eastAsia="Times New Roman" w:hAnsi="Times New Roman" w:cs="Times New Roman"/>
          <w:color w:val="000000"/>
          <w:spacing w:val="0"/>
          <w:w w:val="100"/>
          <w:position w:val="0"/>
          <w:shd w:val="clear" w:color="auto" w:fill="auto"/>
          <w:lang w:val="hr-HR" w:eastAsia="hr-HR" w:bidi="hr-HR"/>
        </w:rPr>
        <w:t>dišnje poreze za židovske institucije u zemlji Izraelu. Većinom su bili propovjednici vješti pisanju.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Autori nisu jedinstveni opisujući Isusove apo</w:t>
        <w:softHyphen/>
        <w:t>stole u NZ glede njihova broja i povjerene im zadaće. Ipak se ističe ovo: prema riječima Evanđelja: »Ja sam poslan samo k izgubljenim ovcama doma Izraelova« (Mt 15,24,26), po</w:t>
        <w:softHyphen/>
        <w:t>slao je svoje apostole (Mt 10,5,6,) u židovske gradove u zemlji, ali ne i u poganske (tj. rim</w:t>
        <w:softHyphen/>
        <w:t>ske) i samarijske. Pavao je tu službu nazvao »apostolatom medu obrezanima« (Gal 2,8). Naredba se odnosila na približavanje kraljev</w:t>
        <w:softHyphen/>
        <w:t>stva nebeskog (Mt 10,7). Ovamo se ubraja skup</w:t>
        <w:softHyphen/>
        <w:t>ljanje »izgubljenih ovaca Izraela«, tj. 10 ple</w:t>
        <w:softHyphen/>
        <w:t>mena u sjevernom kraljevstvu, izgubljenih od 721. pr. Kr. Oni su se trebali ujediniti s južnim plemenima Jude i Benjamina u jedan narod Božji (Jr 31; Ez 37; usp. Mt 19,28; Otk 21,12). Odatle znakovit broj 12 - broj apostola. Uz to dolazi obećanje da se svi narodi - prema tra</w:t>
        <w:softHyphen/>
        <w:t>diciji njih 70 - obraćaju Bogu kao njegov na</w:t>
        <w:softHyphen/>
        <w:t>rod (Zah 2,15). Na to upućuje broj od 70 uče</w:t>
        <w:softHyphen/>
        <w:t>nika (I.k 10,1-16) u čijoj propovijedi valja spomenuti poganske gradove. Za pogane se jedanput na godinu prinosilo 70 žrtava okaj- nica kao priprema za kraljevstvo Božje.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Neki istraživači misle da je brojka 12 utvrđena tek nakon Isusove smrti u judeokršćanskim zajednicama kako bi se isključio poganski a. Pavao kojega Isus za života nije poznavao.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Nakon Isusova raspeća i objave uskrsnuća, te su zajednice vodili Petar, Isusov brat Jakov i Zebedejcvi sinovi. Novi članovi zajednice ob</w:t>
        <w:softHyphen/>
        <w:t>vezali su ih na poštovanje židovskih zapovijedi (obrezivanje, sabat, propisi o hrani itd.) koji trebaju biti vječni (Mt 5,18-20) te na djela koja Bog očekuje od čovjeka (Jak 2,14-26). Pavao je zastupao suprotno mišljenje. Sukob apostola riješen je kompromisno na Apostol</w:t>
        <w:softHyphen/>
        <w:t xml:space="preserve">skom saboru u Jeruzalemu (Dj 15; Gal 2,1-10). Apostoli koje je postavio sam Isus trebali bi nastaviti djelovati, prema svojem shvaćanju, među Zidovima ne provodeći mi- sionarstvo medu poganima. Bio je to nalog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koji pak nije trebao misionirati Zidove. S prihvaćanjem pogana kršćanstvo se iz židov</w:t>
        <w:softHyphen/>
        <w:t>ske sljedbe promijenilo u Crkvu. Prema Dj 15,19,20 obraćeni su pogani bili obvezni prih</w:t>
        <w:softHyphen/>
        <w:t>vatiti noahidske zapovijedi koje imenuju ra</w:t>
        <w:softHyphen/>
        <w:t xml:space="preserve">bini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56a), među njima uzdrža</w:t>
        <w:softHyphen/>
        <w:t>vanje od idolopoklonstva, nećudoređa, jede</w:t>
        <w:softHyphen/>
      </w:r>
      <w:r>
        <w:rPr>
          <w:rFonts w:ascii="Times New Roman" w:eastAsia="Times New Roman" w:hAnsi="Times New Roman" w:cs="Times New Roman"/>
          <w:color w:val="000000"/>
          <w:spacing w:val="0"/>
          <w:w w:val="100"/>
          <w:position w:val="0"/>
          <w:shd w:val="clear" w:color="auto" w:fill="auto"/>
          <w:lang w:val="hr-HR" w:eastAsia="hr-HR" w:bidi="hr-HR"/>
        </w:rPr>
        <w:t>nja neobredno zaklanih (»ugušenih«) životi</w:t>
        <w:softHyphen/>
        <w:t>nja i pijenja krvi. Tri daljnje noahidske zapo</w:t>
        <w:softHyphen/>
        <w:t>vijedi bile su ionako sastavni dio kršćanske vjere: zabrana bogohuljenja, ubijanja, zapo</w:t>
        <w:softHyphen/>
        <w:t xml:space="preserve">vijed primjene propisa zajednice. Time će, prema židovskom shvaćanju, biti spašeni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105a).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Tradicijski lanac apostolskoga naslijeđa krš</w:t>
        <w:softHyphen/>
        <w:t>ćanskih svećenika odgovara prvobitnoj ordi</w:t>
        <w:softHyphen/>
        <w:t>naciji židovskih rabina. -&gt; Služba. Prema ži</w:t>
        <w:softHyphen/>
        <w:t xml:space="preserve">dovskom uzoru nastali su (Pscudo)Apostolski statuti u 8 knjiga koji uređuju kršćanski život. Knjiga 7, </w:t>
      </w:r>
      <w:r>
        <w:rPr>
          <w:rFonts w:ascii="Times New Roman" w:eastAsia="Times New Roman" w:hAnsi="Times New Roman" w:cs="Times New Roman"/>
          <w:i/>
          <w:iCs/>
          <w:color w:val="000000"/>
          <w:spacing w:val="0"/>
          <w:w w:val="100"/>
          <w:position w:val="0"/>
          <w:shd w:val="clear" w:color="auto" w:fill="auto"/>
          <w:lang w:val="hr-HR" w:eastAsia="hr-HR" w:bidi="hr-HR"/>
        </w:rPr>
        <w:t>Didahe</w:t>
      </w:r>
      <w:r>
        <w:rPr>
          <w:rFonts w:ascii="Times New Roman" w:eastAsia="Times New Roman" w:hAnsi="Times New Roman" w:cs="Times New Roman"/>
          <w:color w:val="000000"/>
          <w:spacing w:val="0"/>
          <w:w w:val="100"/>
          <w:position w:val="0"/>
          <w:shd w:val="clear" w:color="auto" w:fill="auto"/>
          <w:lang w:val="hr-HR" w:eastAsia="hr-HR" w:bidi="hr-HR"/>
        </w:rPr>
        <w:t xml:space="preserve"> ili Nauk apostola, seže u II. stoljeće. Njihov poučni dio ponavlja etičke za</w:t>
        <w:softHyphen/>
        <w:t xml:space="preserve">povijedi hebrejske Biblije i </w:t>
      </w:r>
      <w:r>
        <w:rPr>
          <w:rFonts w:ascii="Times New Roman" w:eastAsia="Times New Roman" w:hAnsi="Times New Roman" w:cs="Times New Roman"/>
          <w:i/>
          <w:iCs/>
          <w:color w:val="000000"/>
          <w:spacing w:val="0"/>
          <w:w w:val="100"/>
          <w:position w:val="0"/>
          <w:shd w:val="clear" w:color="auto" w:fill="auto"/>
          <w:lang w:val="hr-HR" w:eastAsia="hr-HR" w:bidi="hr-HR"/>
        </w:rPr>
        <w:t>Avola,</w:t>
      </w:r>
      <w:r>
        <w:rPr>
          <w:rFonts w:ascii="Times New Roman" w:eastAsia="Times New Roman" w:hAnsi="Times New Roman" w:cs="Times New Roman"/>
          <w:color w:val="000000"/>
          <w:spacing w:val="0"/>
          <w:w w:val="100"/>
          <w:position w:val="0"/>
          <w:shd w:val="clear" w:color="auto" w:fill="auto"/>
          <w:lang w:val="hr-HR" w:eastAsia="hr-HR" w:bidi="hr-HR"/>
        </w:rPr>
        <w:t xml:space="preserve"> traktata Mišnc, »Izreke otaca« čije su doslovne formu</w:t>
        <w:softHyphen/>
        <w:t>lacije dopunjene novozavjetnim izričajima. Mo</w:t>
        <w:softHyphen/>
        <w:t>litveni dijelovi sadrže izreke blagoslova s do</w:t>
        <w:softHyphen/>
        <w:t>datkom Isusova imena. U knjigama 1-6, »Di- daskalija apostola«, nalaze se molitve s naslo</w:t>
        <w:softHyphen/>
        <w:t>vom: »Našim očima Abrahamu, Izaku i Jako</w:t>
        <w:softHyphen/>
        <w:t>vu«. Ovdje se liturgijski red Crkve obvezno prilagođuje židovskom. -&gt; Bogoslužje.</w:t>
      </w:r>
    </w:p>
    <w:p>
      <w:pPr>
        <w:pStyle w:val="Style56"/>
        <w:keepNext w:val="0"/>
        <w:keepLines w:val="0"/>
        <w:widowControl w:val="0"/>
        <w:shd w:val="clear" w:color="auto" w:fill="auto"/>
        <w:tabs>
          <w:tab w:pos="1997" w:val="left"/>
        </w:tabs>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11. Vogclslein. </w:t>
      </w:r>
      <w:r>
        <w:rPr>
          <w:color w:val="000000"/>
          <w:spacing w:val="0"/>
          <w:w w:val="100"/>
          <w:position w:val="0"/>
          <w:shd w:val="clear" w:color="auto" w:fill="auto"/>
        </w:rPr>
        <w:t xml:space="preserve">Die </w:t>
      </w:r>
      <w:r>
        <w:rPr>
          <w:color w:val="000000"/>
          <w:spacing w:val="0"/>
          <w:w w:val="100"/>
          <w:position w:val="0"/>
          <w:shd w:val="clear" w:color="auto" w:fill="auto"/>
          <w:lang w:val="hr-HR" w:eastAsia="hr-HR" w:bidi="hr-HR"/>
        </w:rPr>
        <w:t xml:space="preserve">Eotstcbung </w:t>
      </w:r>
      <w:r>
        <w:rPr>
          <w:color w:val="000000"/>
          <w:spacing w:val="0"/>
          <w:w w:val="100"/>
          <w:position w:val="0"/>
          <w:shd w:val="clear" w:color="auto" w:fill="auto"/>
        </w:rPr>
        <w:t xml:space="preserve">und Entwicklung </w:t>
      </w:r>
      <w:r>
        <w:rPr>
          <w:color w:val="000000"/>
          <w:spacing w:val="0"/>
          <w:w w:val="100"/>
          <w:position w:val="0"/>
          <w:shd w:val="clear" w:color="auto" w:fill="auto"/>
          <w:lang w:val="hr-HR" w:eastAsia="hr-HR" w:bidi="hr-HR"/>
        </w:rPr>
        <w:t xml:space="preserve">des Apostola!* im Judentum, u: </w:t>
      </w:r>
      <w:r>
        <w:rPr>
          <w:color w:val="000000"/>
          <w:spacing w:val="0"/>
          <w:w w:val="100"/>
          <w:position w:val="0"/>
          <w:shd w:val="clear" w:color="auto" w:fill="auto"/>
        </w:rPr>
        <w:t xml:space="preserve">MGWJ </w:t>
      </w:r>
      <w:r>
        <w:rPr>
          <w:color w:val="000000"/>
          <w:spacing w:val="0"/>
          <w:w w:val="100"/>
          <w:position w:val="0"/>
          <w:shd w:val="clear" w:color="auto" w:fill="auto"/>
          <w:lang w:val="hr-HR" w:eastAsia="hr-HR" w:bidi="hr-HR"/>
        </w:rPr>
        <w:t xml:space="preserve">49 </w:t>
      </w:r>
      <w:r>
        <w:rPr>
          <w:color w:val="000000"/>
          <w:spacing w:val="0"/>
          <w:w w:val="100"/>
          <w:position w:val="0"/>
          <w:shd w:val="clear" w:color="auto" w:fill="auto"/>
        </w:rPr>
        <w:t xml:space="preserve">(Breslau </w:t>
      </w:r>
      <w:r>
        <w:rPr>
          <w:color w:val="000000"/>
          <w:spacing w:val="0"/>
          <w:w w:val="100"/>
          <w:position w:val="0"/>
          <w:shd w:val="clear" w:color="auto" w:fill="auto"/>
          <w:lang w:val="hr-HR" w:eastAsia="hr-HR" w:bidi="hr-HR"/>
        </w:rPr>
        <w:t xml:space="preserve">1905), 427-447; Tcil 2 u: HUCA 2 </w:t>
      </w:r>
      <w:r>
        <w:rPr>
          <w:color w:val="000000"/>
          <w:spacing w:val="0"/>
          <w:w w:val="100"/>
          <w:position w:val="0"/>
          <w:shd w:val="clear" w:color="auto" w:fill="auto"/>
        </w:rPr>
        <w:t xml:space="preserve">(Cincinnati </w:t>
      </w:r>
      <w:r>
        <w:rPr>
          <w:color w:val="000000"/>
          <w:spacing w:val="0"/>
          <w:w w:val="100"/>
          <w:position w:val="0"/>
          <w:shd w:val="clear" w:color="auto" w:fill="auto"/>
          <w:lang w:val="hr-HR" w:eastAsia="hr-HR" w:bidi="hr-HR"/>
        </w:rPr>
        <w:t xml:space="preserve">1935), 99-123; D. Fllisscr, </w:t>
      </w:r>
      <w:r>
        <w:rPr>
          <w:color w:val="000000"/>
          <w:spacing w:val="0"/>
          <w:w w:val="100"/>
          <w:position w:val="0"/>
          <w:shd w:val="clear" w:color="auto" w:fill="auto"/>
        </w:rPr>
        <w:t xml:space="preserve">Qumran </w:t>
      </w:r>
      <w:r>
        <w:rPr>
          <w:color w:val="000000"/>
          <w:spacing w:val="0"/>
          <w:w w:val="100"/>
          <w:position w:val="0"/>
          <w:shd w:val="clear" w:color="auto" w:fill="auto"/>
          <w:lang w:val="hr-HR" w:eastAsia="hr-HR" w:bidi="hr-HR"/>
        </w:rPr>
        <w:t xml:space="preserve">und </w:t>
      </w:r>
      <w:r>
        <w:rPr>
          <w:color w:val="000000"/>
          <w:spacing w:val="0"/>
          <w:w w:val="100"/>
          <w:position w:val="0"/>
          <w:shd w:val="clear" w:color="auto" w:fill="auto"/>
        </w:rPr>
        <w:t xml:space="preserve">die Z.wdlf, </w:t>
      </w:r>
      <w:r>
        <w:rPr>
          <w:color w:val="000000"/>
          <w:spacing w:val="0"/>
          <w:w w:val="100"/>
          <w:position w:val="0"/>
          <w:shd w:val="clear" w:color="auto" w:fill="auto"/>
          <w:lang w:val="hr-HR" w:eastAsia="hr-HR" w:bidi="hr-HR"/>
        </w:rPr>
        <w:t xml:space="preserve">u: C. </w:t>
      </w:r>
      <w:r>
        <w:rPr>
          <w:color w:val="000000"/>
          <w:spacing w:val="0"/>
          <w:w w:val="100"/>
          <w:position w:val="0"/>
          <w:shd w:val="clear" w:color="auto" w:fill="auto"/>
        </w:rPr>
        <w:t xml:space="preserve">J. Blecker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rPr>
        <w:t>Initiation, Leiden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1965, 134-146; A. Z. Idclsnhn. </w:t>
      </w:r>
      <w:r>
        <w:rPr>
          <w:i/>
          <w:iCs/>
          <w:color w:val="000000"/>
          <w:spacing w:val="0"/>
          <w:w w:val="100"/>
          <w:position w:val="0"/>
          <w:shd w:val="clear" w:color="auto" w:fill="auto"/>
        </w:rPr>
        <w:t>Jewish Lit</w:t>
        <w:softHyphen/>
        <w:t xml:space="preserve">urgy and </w:t>
      </w:r>
      <w:r>
        <w:rPr>
          <w:i/>
          <w:iCs/>
          <w:color w:val="000000"/>
          <w:spacing w:val="0"/>
          <w:w w:val="100"/>
          <w:position w:val="0"/>
          <w:shd w:val="clear" w:color="auto" w:fill="auto"/>
          <w:lang w:val="hr-HR" w:eastAsia="hr-HR" w:bidi="hr-HR"/>
        </w:rPr>
        <w:t xml:space="preserve">Ili </w:t>
      </w:r>
      <w:r>
        <w:rPr>
          <w:i/>
          <w:iCs/>
          <w:color w:val="000000"/>
          <w:spacing w:val="0"/>
          <w:w w:val="100"/>
          <w:position w:val="0"/>
          <w:shd w:val="clear" w:color="auto" w:fill="auto"/>
        </w:rPr>
        <w:t>Development.</w:t>
      </w:r>
      <w:r>
        <w:rPr>
          <w:color w:val="000000"/>
          <w:spacing w:val="0"/>
          <w:w w:val="100"/>
          <w:position w:val="0"/>
          <w:shd w:val="clear" w:color="auto" w:fill="auto"/>
        </w:rPr>
        <w:t xml:space="preserve"> App. I.: </w:t>
      </w:r>
      <w:r>
        <w:rPr>
          <w:i/>
          <w:iCs/>
          <w:color w:val="000000"/>
          <w:spacing w:val="0"/>
          <w:w w:val="100"/>
          <w:position w:val="0"/>
          <w:shd w:val="clear" w:color="auto" w:fill="auto"/>
        </w:rPr>
        <w:t>Jewish Elements in the Early Christian Liturgy,</w:t>
      </w:r>
      <w:r>
        <w:rPr>
          <w:color w:val="000000"/>
          <w:spacing w:val="0"/>
          <w:w w:val="100"/>
          <w:position w:val="0"/>
          <w:shd w:val="clear" w:color="auto" w:fill="auto"/>
        </w:rPr>
        <w:t xml:space="preserve"> Cincinnati 1932,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1960; E. Werner. </w:t>
      </w:r>
      <w:r>
        <w:rPr>
          <w:i/>
          <w:iCs/>
          <w:color w:val="000000"/>
          <w:spacing w:val="0"/>
          <w:w w:val="100"/>
          <w:position w:val="0"/>
          <w:shd w:val="clear" w:color="auto" w:fill="auto"/>
        </w:rPr>
        <w:t>The Sacred Bridge, Liturgical Parallels in Synagogue and Early Church,</w:t>
      </w:r>
      <w:r>
        <w:rPr>
          <w:color w:val="000000"/>
          <w:spacing w:val="0"/>
          <w:w w:val="100"/>
          <w:position w:val="0"/>
          <w:shd w:val="clear" w:color="auto" w:fill="auto"/>
        </w:rPr>
        <w:t xml:space="preserve"> New York 1959.</w:t>
        <w:tab/>
        <w:t>P S'AVL LEVINSON’</w:t>
      </w:r>
    </w:p>
    <w:p>
      <w:pPr>
        <w:pStyle w:val="Style63"/>
        <w:keepNext/>
        <w:keepLines/>
        <w:widowControl w:val="0"/>
        <w:numPr>
          <w:ilvl w:val="0"/>
          <w:numId w:val="27"/>
        </w:numPr>
        <w:shd w:val="clear" w:color="auto" w:fill="auto"/>
        <w:tabs>
          <w:tab w:pos="255" w:val="left"/>
        </w:tabs>
        <w:bidi w:val="0"/>
        <w:spacing w:before="0"/>
        <w:ind w:left="0" w:right="0" w:firstLine="0"/>
        <w:jc w:val="both"/>
      </w:pPr>
      <w:bookmarkStart w:id="36" w:name="bookmark3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6"/>
    </w:p>
    <w:p>
      <w:pPr>
        <w:pStyle w:val="Style20"/>
        <w:keepNext w:val="0"/>
        <w:keepLines w:val="0"/>
        <w:widowControl w:val="0"/>
        <w:shd w:val="clear" w:color="auto" w:fill="auto"/>
        <w:bidi w:val="0"/>
        <w:spacing w:before="0" w:after="0"/>
        <w:ind w:left="0" w:right="0" w:firstLine="0"/>
        <w:jc w:val="both"/>
        <w:sectPr>
          <w:headerReference w:type="default" r:id="rId145"/>
          <w:footerReference w:type="default" r:id="rId146"/>
          <w:headerReference w:type="even" r:id="rId147"/>
          <w:footerReference w:type="even" r:id="rId148"/>
          <w:headerReference w:type="first" r:id="rId149"/>
          <w:footerReference w:type="first" r:id="rId150"/>
          <w:footnotePr>
            <w:pos w:val="pageBottom"/>
            <w:numFmt w:val="decimal"/>
            <w:numStart w:val="5"/>
            <w:numRestart w:val="continuous"/>
            <w15:footnoteColumns w:val="1"/>
          </w:footnotePr>
          <w:pgSz w:w="6816" w:h="11006"/>
          <w:pgMar w:top="954" w:left="178" w:right="182" w:bottom="525"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 je poslanik koji je prema semitskom poima</w:t>
        <w:softHyphen/>
        <w:t>nju glasnika (izvedenica od hebrejskog »ša- liah« u egzegezi je u svakom slučaju sporna) ravnopravan s onime koji šalje. Kao podloga vrijedi načelo: Poslanik je jednak onomu koji šalje. U Novom zavjetu pojam se apostola shvaća u širem i u užem smislu. Pavao u svo</w:t>
        <w:softHyphen/>
        <w:t>jim poslanicama treba pojam apostola da bi označio samoga sebe (obično na početku po</w:t>
        <w:softHyphen/>
        <w:t>slanica), da bi označio »Dvanaestoricu« (Gal 1,17) i za karakteriziranjc svojih suradnika (Rim 16,7). U Djelima apostolskim (Dj 1,2 i d.; 1,21) a. se uzima u užem smislu. Morao je biti Isusov učenik i »vidjeti« Uskrsloga kao i biti poslan po Duhu Svetom. Odlučujući krite</w:t>
        <w:softHyphen/>
        <w:t>rij je poslanje po Uskrslome naviještati evan</w:t>
        <w:softHyphen/>
        <w:t>đelje (Dj 1,8; 10,42). U evanđeljima nije jasno koliko su »Dvanaestorica« (Mk 3,14) u isklju</w:t>
        <w:softHyphen/>
        <w:t xml:space="preserve">čivom smislu identična s apostolima i nose li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 tu oznaku. Broj dvanaest bjelodano doka</w:t>
        <w:softHyphen/>
        <w:t>zuje Isusovo pravo da bude poslan k dvanaes- tero plemena. Na kraju vremena, u prenoše</w:t>
        <w:softHyphen/>
        <w:t>nju sudačke funkcije na »Dvanaestoricu« (Mt, 19,28) to je pravo podcrtano.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temelju apostola i proroka (Ef 2,20) iz</w:t>
        <w:softHyphen/>
        <w:t>građena je Crkva. Iako je sigurno da a. kao svjedok Isusova života i uskrsnuća ne može imati nasljednike, ipak je povezanost s apo</w:t>
        <w:softHyphen/>
        <w:t>stolima uvijek imala konstitutivno značenje za kršćansku Crkvu. U četiri bitne oznake Crkve ubraja se apostolicitet. Da je ustrajanje u uče</w:t>
        <w:softHyphen/>
        <w:t>nju apostola bitna nužnost za kršćanstvo, niti je bilo niti jest prijeporno. U kolikoj mjeri može »nasljednik apostola« biti u liku odre</w:t>
        <w:softHyphen/>
        <w:t>đenih crkvenih službi (biskupi, papa), to je sporno. Kakav stalni oblik ima trajno apostol</w:t>
        <w:softHyphen/>
        <w:t>sko poslanje i apostolska služba koja je po</w:t>
        <w:softHyphen/>
        <w:t>vjerena Crkvi?</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Apostoli su prvi adresati (njima je dano da ra</w:t>
        <w:softHyphen/>
        <w:t>zumiju tajne kraljevstva Božjeg; Mt 13,11); oni su vjerni i razboriti upravitelji (Lk 12,42) Božje objave koja je uslijedila u Isusu Kristu. Prema crkvenom učenju, smrću posljednjeg apostola zaključeno je vrijeme objave. Ostaje mogućnost razvoja i produbljenog shvaćanja objave, ali isključen je materijalni rast. Ta je tvrdnja važna za postanak Novoga zavjeta (stvaranje kanona). Teza o svršetku javne ob</w:t>
        <w:softHyphen/>
        <w:t>jave ima veliko značenje za dijalog s islamom. Islamska pretenzija da je Muhamed »pečat proroka« nailazi na prigovor u kršćanskom po</w:t>
        <w:softHyphen/>
        <w:t>imanju vjere, prema kojem u Isusu Kristu do</w:t>
        <w:softHyphen/>
        <w:t>lazi Božja cshatološka objava, a završava smr</w:t>
        <w:softHyphen/>
        <w:t>ću posljednjeg apostola. Teškoće kršćanske teo</w:t>
        <w:softHyphen/>
        <w:t>logije u procjenjivanju Muhamedove osobe i djela dobrim se dijelom temelje u toj kršćan</w:t>
        <w:softHyphen/>
        <w:t>skoj vjerskoj izjavi.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 K. Rcilgstorf. u: apostolos, u: </w:t>
      </w:r>
      <w:r>
        <w:rPr>
          <w:color w:val="000000"/>
          <w:spacing w:val="0"/>
          <w:w w:val="100"/>
          <w:position w:val="0"/>
          <w:shd w:val="clear" w:color="auto" w:fill="auto"/>
        </w:rPr>
        <w:t xml:space="preserve">ThW </w:t>
      </w:r>
      <w:r>
        <w:rPr>
          <w:color w:val="000000"/>
          <w:spacing w:val="0"/>
          <w:w w:val="100"/>
          <w:position w:val="0"/>
          <w:shd w:val="clear" w:color="auto" w:fill="auto"/>
          <w:lang w:val="hr-HR" w:eastAsia="hr-HR" w:bidi="hr-HR"/>
        </w:rPr>
        <w:t>I (1933), 406-448;</w:t>
      </w:r>
    </w:p>
    <w:p>
      <w:pPr>
        <w:pStyle w:val="Style56"/>
        <w:keepNext w:val="0"/>
        <w:keepLines w:val="0"/>
        <w:widowControl w:val="0"/>
        <w:numPr>
          <w:ilvl w:val="0"/>
          <w:numId w:val="29"/>
        </w:numPr>
        <w:shd w:val="clear" w:color="auto" w:fill="auto"/>
        <w:tabs>
          <w:tab w:pos="250" w:val="left"/>
        </w:tabs>
        <w:bidi w:val="0"/>
        <w:spacing w:before="0" w:after="0" w:line="240" w:lineRule="auto"/>
        <w:ind w:left="0" w:right="0" w:firstLine="0"/>
        <w:jc w:val="both"/>
      </w:pPr>
      <w:r>
        <w:rPr>
          <w:color w:val="000000"/>
          <w:spacing w:val="0"/>
          <w:w w:val="100"/>
          <w:position w:val="0"/>
          <w:shd w:val="clear" w:color="auto" w:fill="auto"/>
          <w:lang w:val="hr-HR" w:eastAsia="hr-HR" w:bidi="hr-HR"/>
        </w:rPr>
        <w:t>Ric.senfcld, Apostol, RGG 1 ’. 497-499; W. Krcdd/A.</w:t>
      </w:r>
    </w:p>
    <w:p>
      <w:pPr>
        <w:pStyle w:val="Style56"/>
        <w:keepNext w:val="0"/>
        <w:keepLines w:val="0"/>
        <w:widowControl w:val="0"/>
        <w:shd w:val="clear" w:color="auto" w:fill="auto"/>
        <w:tabs>
          <w:tab w:pos="2539" w:val="left"/>
        </w:tabs>
        <w:bidi w:val="0"/>
        <w:spacing w:before="0" w:after="260" w:line="240" w:lineRule="auto"/>
        <w:ind w:left="0" w:right="0" w:firstLine="0"/>
        <w:jc w:val="both"/>
      </w:pPr>
      <w:r>
        <w:rPr>
          <w:color w:val="000000"/>
          <w:spacing w:val="0"/>
          <w:w w:val="100"/>
          <w:position w:val="0"/>
          <w:shd w:val="clear" w:color="auto" w:fill="auto"/>
          <w:lang w:val="hr-HR" w:eastAsia="hr-HR" w:bidi="hr-HR"/>
        </w:rPr>
        <w:t xml:space="preserve">Kolping, natuknica: Apostol, u: HThG t, 85-99; W. Dych, </w:t>
      </w:r>
      <w:r>
        <w:rPr>
          <w:color w:val="000000"/>
          <w:spacing w:val="0"/>
          <w:w w:val="100"/>
          <w:position w:val="0"/>
          <w:shd w:val="clear" w:color="auto" w:fill="auto"/>
        </w:rPr>
        <w:t xml:space="preserve">Apostcl, </w:t>
      </w:r>
      <w:r>
        <w:rPr>
          <w:color w:val="000000"/>
          <w:spacing w:val="0"/>
          <w:w w:val="100"/>
          <w:position w:val="0"/>
          <w:shd w:val="clear" w:color="auto" w:fill="auto"/>
          <w:lang w:val="hr-HR" w:eastAsia="hr-HR" w:bidi="hr-HR"/>
        </w:rPr>
        <w:t xml:space="preserve">SM I , 285-290; G. KJcin,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rr/olf Aposlel. Urs- prunij </w:t>
      </w:r>
      <w:r>
        <w:rPr>
          <w:i/>
          <w:iCs/>
          <w:color w:val="000000"/>
          <w:spacing w:val="0"/>
          <w:w w:val="100"/>
          <w:position w:val="0"/>
          <w:shd w:val="clear" w:color="auto" w:fill="auto"/>
        </w:rPr>
        <w:t>und Geslall einer Idee.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Gćttingcn 1961; H. </w:t>
      </w:r>
      <w:r>
        <w:rPr>
          <w:color w:val="000000"/>
          <w:spacing w:val="0"/>
          <w:w w:val="100"/>
          <w:position w:val="0"/>
          <w:shd w:val="clear" w:color="auto" w:fill="auto"/>
        </w:rPr>
        <w:t xml:space="preserve">Kung, </w:t>
      </w:r>
      <w:r>
        <w:rPr>
          <w:i/>
          <w:iCs/>
          <w:color w:val="000000"/>
          <w:spacing w:val="0"/>
          <w:w w:val="100"/>
          <w:position w:val="0"/>
          <w:shd w:val="clear" w:color="auto" w:fill="auto"/>
        </w:rPr>
        <w:t>Die Kirche,</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1967; </w:t>
      </w:r>
      <w:r>
        <w:rPr>
          <w:color w:val="000000"/>
          <w:spacing w:val="0"/>
          <w:w w:val="100"/>
          <w:position w:val="0"/>
          <w:shd w:val="clear" w:color="auto" w:fill="auto"/>
        </w:rPr>
        <w:t xml:space="preserve">Y. Cougar, </w:t>
      </w:r>
      <w:r>
        <w:rPr>
          <w:color w:val="000000"/>
          <w:spacing w:val="0"/>
          <w:w w:val="100"/>
          <w:position w:val="0"/>
          <w:shd w:val="clear" w:color="auto" w:fill="auto"/>
          <w:lang w:val="hr-HR" w:eastAsia="hr-HR" w:bidi="hr-HR"/>
        </w:rPr>
        <w:t xml:space="preserve">Dio apostolisehe Kirchc, </w:t>
      </w:r>
      <w:r>
        <w:rPr>
          <w:i/>
          <w:iCs/>
          <w:color w:val="000000"/>
          <w:spacing w:val="0"/>
          <w:w w:val="100"/>
          <w:position w:val="0"/>
          <w:shd w:val="clear" w:color="auto" w:fill="auto"/>
          <w:lang w:val="hr-HR" w:eastAsia="hr-HR" w:bidi="hr-HR"/>
        </w:rPr>
        <w:t>My. Sol</w:t>
      </w:r>
      <w:r>
        <w:rPr>
          <w:color w:val="000000"/>
          <w:spacing w:val="0"/>
          <w:w w:val="100"/>
          <w:position w:val="0"/>
          <w:shd w:val="clear" w:color="auto" w:fill="auto"/>
          <w:lang w:val="hr-HR" w:eastAsia="hr-HR" w:bidi="hr-HR"/>
        </w:rPr>
        <w:t xml:space="preserve"> 41 (1072). 533-599 (Lit.); E. Schlink, Dio apoMo- lischc Sukzcssion untl dio Gemcinscbaft </w:t>
      </w:r>
      <w:r>
        <w:rPr>
          <w:color w:val="000000"/>
          <w:spacing w:val="0"/>
          <w:w w:val="100"/>
          <w:position w:val="0"/>
          <w:shd w:val="clear" w:color="auto" w:fill="auto"/>
        </w:rPr>
        <w:t xml:space="preserve">tier </w:t>
      </w:r>
      <w:r>
        <w:rPr>
          <w:color w:val="000000"/>
          <w:spacing w:val="0"/>
          <w:w w:val="100"/>
          <w:position w:val="0"/>
          <w:shd w:val="clear" w:color="auto" w:fill="auto"/>
          <w:lang w:val="hr-HR" w:eastAsia="hr-HR" w:bidi="hr-HR"/>
        </w:rPr>
        <w:t xml:space="preserve">Amtcr, u: </w:t>
      </w:r>
      <w:r>
        <w:rPr>
          <w:i/>
          <w:iCs/>
          <w:color w:val="000000"/>
          <w:spacing w:val="0"/>
          <w:w w:val="100"/>
          <w:position w:val="0"/>
          <w:shd w:val="clear" w:color="auto" w:fill="auto"/>
        </w:rPr>
        <w:t>Re</w:t>
        <w:softHyphen/>
        <w:t xml:space="preserve">form </w:t>
      </w:r>
      <w:r>
        <w:rPr>
          <w:i/>
          <w:iCs/>
          <w:color w:val="000000"/>
          <w:spacing w:val="0"/>
          <w:w w:val="100"/>
          <w:position w:val="0"/>
          <w:shd w:val="clear" w:color="auto" w:fill="auto"/>
          <w:lang w:val="hr-HR" w:eastAsia="hr-HR" w:bidi="hr-HR"/>
        </w:rPr>
        <w:t>und Anerkennung kirchlicher Amter,</w:t>
      </w:r>
      <w:r>
        <w:rPr>
          <w:color w:val="000000"/>
          <w:spacing w:val="0"/>
          <w:w w:val="100"/>
          <w:position w:val="0"/>
          <w:shd w:val="clear" w:color="auto" w:fill="auto"/>
          <w:lang w:val="hr-HR" w:eastAsia="hr-HR" w:bidi="hr-HR"/>
        </w:rPr>
        <w:t xml:space="preserve"> Miinchco/Mainz 1973, 12.3-162.</w:t>
        <w:tab/>
        <w:t>G.EVERS</w:t>
      </w:r>
    </w:p>
    <w:p>
      <w:pPr>
        <w:pStyle w:val="Style33"/>
        <w:keepNext w:val="0"/>
        <w:keepLines w:val="0"/>
        <w:widowControl w:val="0"/>
        <w:shd w:val="clear" w:color="auto" w:fill="auto"/>
        <w:bidi w:val="0"/>
        <w:spacing w:before="0" w:after="12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ASKEZA</w:t>
      </w:r>
    </w:p>
    <w:p>
      <w:pPr>
        <w:pStyle w:val="Style63"/>
        <w:keepNext/>
        <w:keepLines/>
        <w:widowControl w:val="0"/>
        <w:numPr>
          <w:ilvl w:val="0"/>
          <w:numId w:val="29"/>
        </w:numPr>
        <w:shd w:val="clear" w:color="auto" w:fill="auto"/>
        <w:tabs>
          <w:tab w:pos="250" w:val="left"/>
        </w:tabs>
        <w:bidi w:val="0"/>
        <w:spacing w:before="0" w:line="218" w:lineRule="auto"/>
        <w:ind w:left="0" w:right="0" w:firstLine="0"/>
        <w:jc w:val="both"/>
      </w:pPr>
      <w:bookmarkStart w:id="37" w:name="bookmark37"/>
      <w:r>
        <w:rPr>
          <w:rFonts w:ascii="Times New Roman" w:eastAsia="Times New Roman" w:hAnsi="Times New Roman" w:cs="Times New Roman"/>
          <w:color w:val="000000"/>
          <w:spacing w:val="0"/>
          <w:w w:val="100"/>
          <w:position w:val="0"/>
          <w:shd w:val="clear" w:color="auto" w:fill="auto"/>
          <w:lang w:val="hr-HR" w:eastAsia="hr-HR" w:bidi="hr-HR"/>
        </w:rPr>
        <w:t>židovski</w:t>
      </w:r>
      <w:bookmarkEnd w:id="37"/>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Biblija i rabinsko židovstvo ne zahtijevaju as</w:t>
        <w:softHyphen/>
        <w:t>kezu (grč. »vježbanje, uvježbavanje« za odri</w:t>
        <w:softHyphen/>
      </w:r>
      <w:r>
        <w:rPr>
          <w:rFonts w:ascii="Times New Roman" w:eastAsia="Times New Roman" w:hAnsi="Times New Roman" w:cs="Times New Roman"/>
          <w:color w:val="000000"/>
          <w:spacing w:val="0"/>
          <w:w w:val="100"/>
          <w:position w:val="0"/>
          <w:shd w:val="clear" w:color="auto" w:fill="auto"/>
          <w:lang w:val="hr-HR" w:eastAsia="hr-HR" w:bidi="hr-HR"/>
        </w:rPr>
        <w:t>canje od njege tijela, živežnih namirnica, seksa ili druženja) kako bi se čovjek približio Bogu. Zapovjeđeno je, štoviše, cijeli život živjeti sveto, tj. umjereno uživati u tim bogomdanim do</w:t>
        <w:softHyphen/>
        <w:t>brima. Pristup se temelji na jedinstvu tijela i duše, za razliku od kasnogrčkoga neprihvaća</w:t>
        <w:softHyphen/>
        <w:t>nja tijela. U židovstvu zapovijedi iz Tore od</w:t>
        <w:softHyphen/>
        <w:t>ređuju odnos prema bližnjima i prema tjeles</w:t>
        <w:softHyphen/>
        <w:t>nim stvarima. Rabini rigorozno poučavaju da je čovjek pred Božjim sudom dužan polagati račune za sve dopuštene užitke kojih se odre</w:t>
        <w:softHyphen/>
        <w:t xml:space="preserve">kao (j Kid 4,12). </w:t>
      </w:r>
      <w:r>
        <w:rPr>
          <w:rFonts w:ascii="Times New Roman" w:eastAsia="Times New Roman" w:hAnsi="Times New Roman" w:cs="Times New Roman"/>
          <w:color w:val="000000"/>
          <w:spacing w:val="0"/>
          <w:w w:val="100"/>
          <w:position w:val="0"/>
          <w:shd w:val="clear" w:color="auto" w:fill="auto"/>
          <w:lang w:val="en-US" w:eastAsia="en-US" w:bidi="en-US"/>
        </w:rPr>
        <w:t xml:space="preserve">Hillel </w:t>
      </w:r>
      <w:r>
        <w:rPr>
          <w:rFonts w:ascii="Times New Roman" w:eastAsia="Times New Roman" w:hAnsi="Times New Roman" w:cs="Times New Roman"/>
          <w:color w:val="000000"/>
          <w:spacing w:val="0"/>
          <w:w w:val="100"/>
          <w:position w:val="0"/>
          <w:shd w:val="clear" w:color="auto" w:fill="auto"/>
          <w:lang w:val="hr-HR" w:eastAsia="hr-HR" w:bidi="hr-HR"/>
        </w:rPr>
        <w:t>(I. stoljeće) naziva nje</w:t>
        <w:softHyphen/>
        <w:t xml:space="preserve">gu tijela i kupanje religijskom obvezom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R 34,3). Jedenje biblijski dopuštenih životinja bez uživanja krvi (Post 9,1;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11,3; Pnz 14,4-5) ubrajalo se već u starom vijeku u radosti Sa</w:t>
        <w:softHyphen/>
        <w:t>bata i blagdana, baš kao i vino koje uveseljava Boga i čovjeka (Suci 9,13) i s kruhom je znak svetkovanja šabata. Religijsku vrijednost lju</w:t>
        <w:softHyphen/>
        <w:t>bavi muža i žene svjedoči Pjesma nad pjes</w:t>
        <w:softHyphen/>
        <w:t>mama i Pjesma o vrsnoj ženi (Izr 31, 10-31). Djeca se smatraju najvećim blagoslovom čo</w:t>
        <w:softHyphen/>
        <w:t>vjeka i ona su prva biblijska zapovijed: »Plo</w:t>
        <w:softHyphen/>
        <w:t>dite se i množite« (Post 9,1). Svećenici su mo</w:t>
        <w:softHyphen/>
        <w:t>rali biti oženjeni kako bi obavljali službu u hramu. Rani brakovi smatrali su se načelom sređena ljudskog razvitka. Život u zajednici morao se, usprkos svim sukobima, održati, a kritični glas bližnjega poštovati. »Zajednica svetaca« ne znači izgon i prezir drugoga izbje</w:t>
        <w:softHyphen/>
        <w:t>gavajući ga, kao u kumranskoj sljedbi, nego znači zajednički život i molitvu svih stanov</w:t>
        <w:softHyphen/>
        <w:t>nika mjesta. Samo tako čovjek može ispuniti Božju volju. Ipak ima iznimaka od toga općeg životnog pravila. -» Post je povezan s vreme</w:t>
        <w:softHyphen/>
        <w:t>nom intenzivne molitve ili tuge u određenim prigodama zajednice.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Prorok Jeremija ne smije se ženiti u određeno vrijeme, ne smije ići u društvo i mora se suz</w:t>
        <w:softHyphen/>
        <w:t>držati od jela i pića s drugima kako bi tim neuobičajenim ponašanjem upozorio na riječ Božju (Jr 16,2,8).</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Odricanje je simbol podnošenja krivnje svih preko proroka (Ez 4,4-15). Proroci ipak stal</w:t>
        <w:softHyphen/>
        <w:t>no naglašavaju da a. bez promjene nema vlas</w:t>
        <w:softHyphen/>
        <w:t>tite vrijednosti. Askete na određeno vrijeme Biblija naziva nazirejcima (= oni koji se od</w:t>
        <w:softHyphen/>
        <w:t>riču) koji se odriču šišanja kose i uživanja vi</w:t>
        <w:softHyphen/>
        <w:t>na, a kad završi vrijeme zavjeta, prinose u hra</w:t>
        <w:softHyphen/>
        <w:t>mu žrtvu okajnicu (Br 6). Plemenska skupina Rckabovaca nije pila vino, nije stanovala u građenim kućama, nije sijala, nije žela (Jr 35).</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hr-HR" w:eastAsia="hr-HR" w:bidi="hr-HR"/>
        </w:rPr>
        <w:t xml:space="preserve">doba drugoga Hrama bilo je sljedbi kojima je a. bila središte života: eseni, kumranska sljedba, egipatski terapeuti i dr. Izvješćuje se da je Ivan Krstitelj nosio haljinu od dlake, da se hranio skakavcima i divljim medom, da nije jeo kruh niti je pio vino. Nakon razaranja Hrama javila se sklonost askezi. U to doba i poslije posebno su je isticali mistici. Oženjeni muškarci i udane žene postali su doživotni na- zirejci (talmudski traktat </w:t>
      </w:r>
      <w:r>
        <w:rPr>
          <w:rFonts w:ascii="Times New Roman" w:eastAsia="Times New Roman" w:hAnsi="Times New Roman" w:cs="Times New Roman"/>
          <w:i/>
          <w:iCs/>
          <w:color w:val="000000"/>
          <w:spacing w:val="0"/>
          <w:w w:val="100"/>
          <w:position w:val="0"/>
          <w:shd w:val="clear" w:color="auto" w:fill="auto"/>
          <w:lang w:val="en-US" w:eastAsia="en-US" w:bidi="en-US"/>
        </w:rPr>
        <w:t>Nazir).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srednjem vijeku bilo je povremeno židovskih i kršćan</w:t>
        <w:softHyphen/>
        <w:t>skih tlagelanata. Većina rabina naglašavala je i u to doba da čovjek mora čuvati i njegovati svoje tijelo. Grešno je sam sebi nanositi ne</w:t>
        <w:softHyphen/>
        <w:t>potrebne muke koje uzrokuju tjelesne i du</w:t>
        <w:softHyphen/>
        <w:t xml:space="preserve">ševne bolesti /vidi M.H. </w:t>
      </w:r>
      <w:r>
        <w:rPr>
          <w:rFonts w:ascii="Times New Roman" w:eastAsia="Times New Roman" w:hAnsi="Times New Roman" w:cs="Times New Roman"/>
          <w:color w:val="000000"/>
          <w:spacing w:val="0"/>
          <w:w w:val="100"/>
          <w:position w:val="0"/>
          <w:shd w:val="clear" w:color="auto" w:fill="auto"/>
          <w:lang w:val="en-US" w:eastAsia="en-US" w:bidi="en-US"/>
        </w:rPr>
        <w:t xml:space="preserve">Luzzatto </w:t>
      </w:r>
      <w:r>
        <w:rPr>
          <w:rFonts w:ascii="Times New Roman" w:eastAsia="Times New Roman" w:hAnsi="Times New Roman" w:cs="Times New Roman"/>
          <w:color w:val="000000"/>
          <w:spacing w:val="0"/>
          <w:w w:val="100"/>
          <w:position w:val="0"/>
          <w:shd w:val="clear" w:color="auto" w:fill="auto"/>
          <w:lang w:val="hr-HR" w:eastAsia="hr-HR" w:bidi="hr-HR"/>
        </w:rPr>
        <w:t>(XVII. sto</w:t>
        <w:softHyphen/>
        <w:t xml:space="preserve">ljeće), </w:t>
      </w:r>
      <w:r>
        <w:rPr>
          <w:rFonts w:ascii="Times New Roman" w:eastAsia="Times New Roman" w:hAnsi="Times New Roman" w:cs="Times New Roman"/>
          <w:i/>
          <w:iCs/>
          <w:color w:val="000000"/>
          <w:spacing w:val="0"/>
          <w:w w:val="100"/>
          <w:position w:val="0"/>
          <w:shd w:val="clear" w:color="auto" w:fill="auto"/>
          <w:lang w:val="hr-HR" w:eastAsia="hr-HR" w:bidi="hr-HR"/>
        </w:rPr>
        <w:t>Put poštenja,</w:t>
      </w:r>
      <w:r>
        <w:rPr>
          <w:rFonts w:ascii="Times New Roman" w:eastAsia="Times New Roman" w:hAnsi="Times New Roman" w:cs="Times New Roman"/>
          <w:color w:val="000000"/>
          <w:spacing w:val="0"/>
          <w:w w:val="100"/>
          <w:position w:val="0"/>
          <w:shd w:val="clear" w:color="auto" w:fill="auto"/>
          <w:lang w:val="hr-HR" w:eastAsia="hr-HR" w:bidi="hr-HR"/>
        </w:rPr>
        <w:t xml:space="preserve"> pogl. 13/.</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J. </w:t>
      </w:r>
      <w:r>
        <w:rPr>
          <w:color w:val="000000"/>
          <w:spacing w:val="0"/>
          <w:w w:val="100"/>
          <w:position w:val="0"/>
          <w:shd w:val="clear" w:color="auto" w:fill="auto"/>
          <w:lang w:val="hr-HR" w:eastAsia="hr-HR" w:bidi="hr-HR"/>
        </w:rPr>
        <w:t xml:space="preserve">Guitmann, </w:t>
      </w:r>
      <w:r>
        <w:rPr>
          <w:i/>
          <w:iCs/>
          <w:color w:val="000000"/>
          <w:spacing w:val="0"/>
          <w:w w:val="100"/>
          <w:position w:val="0"/>
          <w:shd w:val="clear" w:color="auto" w:fill="auto"/>
        </w:rPr>
        <w:t xml:space="preserve">Die Philosophic des </w:t>
      </w:r>
      <w:r>
        <w:rPr>
          <w:i/>
          <w:iCs/>
          <w:color w:val="000000"/>
          <w:spacing w:val="0"/>
          <w:w w:val="100"/>
          <w:position w:val="0"/>
          <w:shd w:val="clear" w:color="auto" w:fill="auto"/>
          <w:lang w:val="hr-HR" w:eastAsia="hr-HR" w:bidi="hr-HR"/>
        </w:rPr>
        <w:t>Judentums,</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s.v.; M. Lazarus, </w:t>
      </w:r>
      <w:r>
        <w:rPr>
          <w:i/>
          <w:iCs/>
          <w:color w:val="000000"/>
          <w:spacing w:val="0"/>
          <w:w w:val="100"/>
          <w:position w:val="0"/>
          <w:shd w:val="clear" w:color="auto" w:fill="auto"/>
        </w:rPr>
        <w:t>Die Eihik des Judentums,</w:t>
      </w:r>
      <w:r>
        <w:rPr>
          <w:color w:val="000000"/>
          <w:spacing w:val="0"/>
          <w:w w:val="100"/>
          <w:position w:val="0"/>
          <w:shd w:val="clear" w:color="auto" w:fill="auto"/>
        </w:rPr>
        <w:t xml:space="preserve"> 1,</w:t>
      </w:r>
      <w:r>
        <w:rPr>
          <w:color w:val="000000"/>
          <w:spacing w:val="0"/>
          <w:w w:val="100"/>
          <w:position w:val="0"/>
          <w:shd w:val="clear" w:color="auto" w:fill="auto"/>
          <w:vertAlign w:val="superscript"/>
        </w:rPr>
        <w:t>2</w:t>
      </w:r>
      <w:r>
        <w:rPr>
          <w:color w:val="000000"/>
          <w:spacing w:val="0"/>
          <w:w w:val="100"/>
          <w:position w:val="0"/>
          <w:shd w:val="clear" w:color="auto" w:fill="auto"/>
        </w:rPr>
        <w:t>1904,272-280.</w:t>
      </w:r>
    </w:p>
    <w:p>
      <w:pPr>
        <w:pStyle w:val="Style74"/>
        <w:keepNext w:val="0"/>
        <w:keepLines w:val="0"/>
        <w:widowControl w:val="0"/>
        <w:shd w:val="clear" w:color="auto" w:fill="auto"/>
        <w:bidi w:val="0"/>
        <w:spacing w:before="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P. NAVE LEVINSON</w:t>
      </w:r>
    </w:p>
    <w:p>
      <w:pPr>
        <w:pStyle w:val="Style63"/>
        <w:keepNext/>
        <w:keepLines/>
        <w:widowControl w:val="0"/>
        <w:numPr>
          <w:ilvl w:val="0"/>
          <w:numId w:val="31"/>
        </w:numPr>
        <w:shd w:val="clear" w:color="auto" w:fill="auto"/>
        <w:tabs>
          <w:tab w:pos="260" w:val="left"/>
        </w:tabs>
        <w:bidi w:val="0"/>
        <w:spacing w:before="0"/>
        <w:ind w:left="0" w:right="0" w:firstLine="0"/>
        <w:jc w:val="both"/>
      </w:pPr>
      <w:bookmarkStart w:id="38" w:name="bookmark3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8"/>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askeze nije biblijskog porijekla, nego je ušao u kršćanstvo iz grčkog jezika, gdje su ga prije svega upotrebljavali stoici i pitagorcjci da bi označili metodičko vježbanje vladanja nagonima i požudama. U religioznom smislu pojam askeze upotrijebio je Filon koji u aske</w:t>
        <w:softHyphen/>
        <w:t>zi vidi pretpostavku za čovjekovo uzdizanje do kontemplacije i mističnog sjedinjenja.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židovstvu je a. igrala ulogu u svezi s obre</w:t>
        <w:softHyphen/>
        <w:t>dom za koji se zahtijevalo poštivanje odre</w:t>
        <w:softHyphen/>
        <w:t>đenih propisa o čistoći. U Isusovo vrijeme kod skupina Esena, kumranske sekte i kod Far</w:t>
        <w:softHyphen/>
        <w:t>izeja nalaze se propisi, vježbe i načini pona</w:t>
        <w:softHyphen/>
        <w:t>šanja koji pripadaju području askeze. Nekon- formizam, koji Isus stavlja na vidjelo naspram ove predodžbe o pobožnom čovjeku, pribavlja mu prigovor da je »izjelica« i »pijanica« (Mt 11,18 i d.). Hoćemo li govoriti o askezi kod Isusa, onda to nije u poštivanju određenih na</w:t>
        <w:softHyphen/>
        <w:t>čina ponašanja kao što je post, suzdržanost i odricanje nego u bezuvjetnoj poslušnosti Ocu čiji nalog želi izvesti sve do spremnosti da da</w:t>
        <w:softHyphen/>
        <w:t>de svoj život. Po tom shvaćanju na askezu se u kršćanstvu gledalo kao na spremnost da se nasljeduje Krist s čijom je sudbinom kršćanin povezan krštenjem (Rim 6,2 i d.) i koja se u njemu treba ispuniti. U skorom očekivanju Kristove paruzije obveza askeze postaje prije</w:t>
        <w:softHyphen/>
        <w:t>ko potrebna (1 Kor 7), pa se postavljaju po</w:t>
        <w:softHyphen/>
        <w:t xml:space="preserve">sebni zahtjevi za budnošću, molitvom, postom </w:t>
      </w:r>
      <w:r>
        <w:rPr>
          <w:rFonts w:ascii="Times New Roman" w:eastAsia="Times New Roman" w:hAnsi="Times New Roman" w:cs="Times New Roman"/>
          <w:color w:val="000000"/>
          <w:spacing w:val="0"/>
          <w:w w:val="100"/>
          <w:position w:val="0"/>
          <w:shd w:val="clear" w:color="auto" w:fill="auto"/>
          <w:lang w:val="hr-HR" w:eastAsia="hr-HR" w:bidi="hr-HR"/>
        </w:rPr>
        <w:t>i uzdržanošću, da bi ljudi bili oboružani protiv napasti požude tijela i požude očiju (1 Iv 2, 16).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vrijeme progona kršćana posebno je aktu</w:t>
        <w:softHyphen/>
        <w:t>alna bila misao o nasljedovanju Krista kao iz</w:t>
        <w:softHyphen/>
        <w:t>jednačavanju s njegovom sudbinom. U sred</w:t>
        <w:softHyphen/>
        <w:t>njovjekovnoj pobožnosti na askezu se gledalo isključivo moralno kao na napor borbe protiv požuda i nižih čovjekovih nagona, a koju su kao uzor prije svega živjeli »asketi po zani</w:t>
        <w:softHyphen/>
        <w:t>manju«, monasi.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dualističkog mišljenja proizlaze pogrešni oblici askeze u kojima se tijelo i materija obez</w:t>
        <w:softHyphen/>
        <w:t>vrjeđuju naspram onoga što je duhovno i viših čovjekovih sila. Protiv pogrešnih oblika krivo shvaćene askeze, koja vodi osebujnostima, jednostranostima i pretjerivanjima, okreće se protest reformatora koji u »monaškoj askezi« prije svega vide nuspojavu pobožnosti djelima koja više ne odgovaraju duhu evanđelja.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naporu kršćanske teologije da ponovno otkrije temeljne zamisli askeze, težište danas leži u askezi koja je nužna uz kršćansku vjeru. Stav poslušnosti, spremnost prepustiti se Bo</w:t>
        <w:softHyphen/>
        <w:t>gu i strpljivost da u tami i neizvjesnosti očeku</w:t>
        <w:softHyphen/>
        <w:t>jemo ispunjenje obećanja, uvjetuju držanje koje može biti drugo ime za askezu. Težište takve askeze ne leži više u posebnim vježbama nego u spremnosti da se prihvati svakodnevi- ca s njezinim zahtjevima i napastima. U toj as</w:t>
        <w:softHyphen/>
        <w:t>kezi svakodnevice slijedi priprava za čovjekov najveći izazov da u prihvaćanju smrti dokaže svoju vjersku spremnost i da je aktivno ispuni. U takvom poimanju askeze kao suobličavanja s Kristom u vjerskoj poslušnosti moguć je unutarkršćanski konsenzus.</w:t>
      </w:r>
    </w:p>
    <w:p>
      <w:pPr>
        <w:pStyle w:val="Style56"/>
        <w:keepNext w:val="0"/>
        <w:keepLines w:val="0"/>
        <w:widowControl w:val="0"/>
        <w:shd w:val="clear" w:color="auto" w:fill="auto"/>
        <w:bidi w:val="0"/>
        <w:spacing w:before="0" w:after="100" w:line="305" w:lineRule="auto"/>
        <w:ind w:left="0" w:right="0" w:firstLine="0"/>
        <w:jc w:val="both"/>
      </w:pPr>
      <w:r>
        <w:rPr>
          <w:color w:val="000000"/>
          <w:spacing w:val="0"/>
          <w:w w:val="100"/>
          <w:position w:val="0"/>
          <w:shd w:val="clear" w:color="auto" w:fill="auto"/>
          <w:lang w:val="hr-HR" w:eastAsia="hr-HR" w:bidi="hr-HR"/>
        </w:rPr>
        <w:t xml:space="preserve">Lit.: R. Egcntcr,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Askese </w:t>
      </w:r>
      <w:r>
        <w:rPr>
          <w:i/>
          <w:iCs/>
          <w:color w:val="000000"/>
          <w:spacing w:val="0"/>
          <w:w w:val="100"/>
          <w:position w:val="0"/>
          <w:shd w:val="clear" w:color="auto" w:fill="auto"/>
        </w:rPr>
        <w:t xml:space="preserve">des Christen 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Welt,</w:t>
      </w:r>
      <w:r>
        <w:rPr>
          <w:color w:val="000000"/>
          <w:spacing w:val="0"/>
          <w:w w:val="100"/>
          <w:position w:val="0"/>
          <w:shd w:val="clear" w:color="auto" w:fill="auto"/>
        </w:rPr>
        <w:t xml:space="preserve"> Ettal </w:t>
      </w:r>
      <w:r>
        <w:rPr>
          <w:color w:val="000000"/>
          <w:spacing w:val="0"/>
          <w:w w:val="100"/>
          <w:position w:val="0"/>
          <w:shd w:val="clear" w:color="auto" w:fill="auto"/>
          <w:lang w:val="hr-HR" w:eastAsia="hr-HR" w:bidi="hr-HR"/>
        </w:rPr>
        <w:t xml:space="preserve">1956; G. </w:t>
      </w:r>
      <w:r>
        <w:rPr>
          <w:color w:val="000000"/>
          <w:spacing w:val="0"/>
          <w:w w:val="100"/>
          <w:position w:val="0"/>
          <w:shd w:val="clear" w:color="auto" w:fill="auto"/>
        </w:rPr>
        <w:t xml:space="preserve">Mcnsching-TL Bardtke/ G. Kuhn, Askcsc,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RGG 1,639-648; F. Wulf, </w:t>
      </w:r>
      <w:r>
        <w:rPr>
          <w:color w:val="000000"/>
          <w:spacing w:val="0"/>
          <w:w w:val="100"/>
          <w:position w:val="0"/>
          <w:shd w:val="clear" w:color="auto" w:fill="auto"/>
          <w:lang w:val="hr-HR" w:eastAsia="hr-HR" w:bidi="hr-HR"/>
        </w:rPr>
        <w:t xml:space="preserve">Askese, u: </w:t>
      </w:r>
      <w:r>
        <w:rPr>
          <w:color w:val="000000"/>
          <w:spacing w:val="0"/>
          <w:w w:val="100"/>
          <w:position w:val="0"/>
          <w:shd w:val="clear" w:color="auto" w:fill="auto"/>
        </w:rPr>
        <w:t>SM I, 358-371. G. EVERS</w:t>
      </w:r>
    </w:p>
    <w:p>
      <w:pPr>
        <w:pStyle w:val="Style63"/>
        <w:keepNext/>
        <w:keepLines/>
        <w:widowControl w:val="0"/>
        <w:numPr>
          <w:ilvl w:val="0"/>
          <w:numId w:val="31"/>
        </w:numPr>
        <w:shd w:val="clear" w:color="auto" w:fill="auto"/>
        <w:tabs>
          <w:tab w:pos="260" w:val="left"/>
        </w:tabs>
        <w:bidi w:val="0"/>
        <w:spacing w:before="0" w:after="0" w:line="305" w:lineRule="auto"/>
        <w:ind w:left="0" w:right="0" w:firstLine="0"/>
        <w:jc w:val="both"/>
      </w:pPr>
      <w:bookmarkStart w:id="39" w:name="bookmark39"/>
      <w:r>
        <w:rPr>
          <w:rFonts w:ascii="Times New Roman" w:eastAsia="Times New Roman" w:hAnsi="Times New Roman" w:cs="Times New Roman"/>
          <w:color w:val="000000"/>
          <w:spacing w:val="0"/>
          <w:w w:val="100"/>
          <w:position w:val="0"/>
          <w:shd w:val="clear" w:color="auto" w:fill="auto"/>
          <w:lang w:val="hr-HR" w:eastAsia="hr-HR" w:bidi="hr-HR"/>
        </w:rPr>
        <w:t>islamski</w:t>
      </w:r>
      <w:bookmarkEnd w:id="39"/>
    </w:p>
    <w:p>
      <w:pPr>
        <w:pStyle w:val="Style20"/>
        <w:keepNext w:val="0"/>
        <w:keepLines w:val="0"/>
        <w:widowControl w:val="0"/>
        <w:shd w:val="clear" w:color="auto" w:fill="auto"/>
        <w:bidi w:val="0"/>
        <w:spacing w:before="0" w:after="0"/>
        <w:ind w:left="0" w:right="0" w:firstLine="0"/>
        <w:jc w:val="both"/>
        <w:sectPr>
          <w:headerReference w:type="default" r:id="rId151"/>
          <w:footerReference w:type="default" r:id="rId152"/>
          <w:headerReference w:type="even" r:id="rId153"/>
          <w:footerReference w:type="even" r:id="rId154"/>
          <w:headerReference w:type="first" r:id="rId155"/>
          <w:footerReference w:type="first" r:id="rId156"/>
          <w:footnotePr>
            <w:pos w:val="pageBottom"/>
            <w:numFmt w:val="decimal"/>
            <w:numStart w:val="5"/>
            <w:numRestart w:val="continuous"/>
            <w15:footnoteColumns w:val="1"/>
          </w:footnotePr>
          <w:pgSz w:w="6816" w:h="11006"/>
          <w:pgMar w:top="954" w:left="178" w:right="182" w:bottom="525"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Kao forma </w:t>
      </w:r>
      <w:r>
        <w:rPr>
          <w:rFonts w:ascii="Times New Roman" w:eastAsia="Times New Roman" w:hAnsi="Times New Roman" w:cs="Times New Roman"/>
          <w:color w:val="000000"/>
          <w:spacing w:val="0"/>
          <w:w w:val="100"/>
          <w:position w:val="0"/>
          <w:shd w:val="clear" w:color="auto" w:fill="auto"/>
          <w:lang w:val="hr-HR" w:eastAsia="hr-HR" w:bidi="hr-HR"/>
        </w:rPr>
        <w:t xml:space="preserve">pobožnosti u islamu </w:t>
      </w:r>
      <w:r>
        <w:rPr>
          <w:rFonts w:ascii="Times New Roman" w:eastAsia="Times New Roman" w:hAnsi="Times New Roman" w:cs="Times New Roman"/>
          <w:color w:val="000000"/>
          <w:spacing w:val="0"/>
          <w:w w:val="100"/>
          <w:position w:val="0"/>
          <w:shd w:val="clear" w:color="auto" w:fill="auto"/>
          <w:lang w:val="en-US" w:eastAsia="en-US" w:bidi="en-US"/>
        </w:rPr>
        <w:t xml:space="preserve">asketizam jc </w:t>
      </w:r>
      <w:r>
        <w:rPr>
          <w:rFonts w:ascii="Times New Roman" w:eastAsia="Times New Roman" w:hAnsi="Times New Roman" w:cs="Times New Roman"/>
          <w:color w:val="000000"/>
          <w:spacing w:val="0"/>
          <w:w w:val="100"/>
          <w:position w:val="0"/>
          <w:shd w:val="clear" w:color="auto" w:fill="auto"/>
          <w:lang w:val="hr-HR" w:eastAsia="hr-HR" w:bidi="hr-HR"/>
        </w:rPr>
        <w:t xml:space="preserve">tek u </w:t>
      </w:r>
      <w:r>
        <w:rPr>
          <w:rFonts w:ascii="Times New Roman" w:eastAsia="Times New Roman" w:hAnsi="Times New Roman" w:cs="Times New Roman"/>
          <w:color w:val="000000"/>
          <w:spacing w:val="0"/>
          <w:w w:val="100"/>
          <w:position w:val="0"/>
          <w:shd w:val="clear" w:color="auto" w:fill="auto"/>
          <w:lang w:val="en-US" w:eastAsia="en-US" w:bidi="en-US"/>
        </w:rPr>
        <w:t xml:space="preserve">II. </w:t>
      </w:r>
      <w:r>
        <w:rPr>
          <w:rFonts w:ascii="Times New Roman" w:eastAsia="Times New Roman" w:hAnsi="Times New Roman" w:cs="Times New Roman"/>
          <w:color w:val="000000"/>
          <w:spacing w:val="0"/>
          <w:w w:val="100"/>
          <w:position w:val="0"/>
          <w:shd w:val="clear" w:color="auto" w:fill="auto"/>
          <w:lang w:val="hr-HR" w:eastAsia="hr-HR" w:bidi="hr-HR"/>
        </w:rPr>
        <w:t xml:space="preserve">stoljeću nakon </w:t>
      </w:r>
      <w:r>
        <w:rPr>
          <w:rFonts w:ascii="Times New Roman" w:eastAsia="Times New Roman" w:hAnsi="Times New Roman" w:cs="Times New Roman"/>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Hidžre poprimio čvrsto obličje. Naglasak je najčešće ležao na unutarnjem i subjektivnom asketizmu: na po</w:t>
        <w:softHyphen/>
        <w:t>tiskivanju požuda i želja. Najviši je stupanj as- ketizma zahtijevao odricanje od odjeće, stana, ugodnog jela i žena. Najglasovitiji asket u is</w:t>
        <w:softHyphen/>
        <w:t xml:space="preserve">lamskome svijetu je </w:t>
      </w:r>
      <w:r>
        <w:rPr>
          <w:rFonts w:ascii="Times New Roman" w:eastAsia="Times New Roman" w:hAnsi="Times New Roman" w:cs="Times New Roman"/>
          <w:color w:val="000000"/>
          <w:spacing w:val="0"/>
          <w:w w:val="100"/>
          <w:position w:val="0"/>
          <w:shd w:val="clear" w:color="auto" w:fill="auto"/>
          <w:lang w:val="en-US" w:eastAsia="en-US" w:bidi="en-US"/>
        </w:rPr>
        <w:t xml:space="preserve">Ibrahim </w:t>
      </w:r>
      <w:r>
        <w:rPr>
          <w:rFonts w:ascii="Times New Roman" w:eastAsia="Times New Roman" w:hAnsi="Times New Roman" w:cs="Times New Roman"/>
          <w:color w:val="000000"/>
          <w:spacing w:val="0"/>
          <w:w w:val="100"/>
          <w:position w:val="0"/>
          <w:shd w:val="clear" w:color="auto" w:fill="auto"/>
          <w:lang w:val="hr-HR" w:eastAsia="hr-HR" w:bidi="hr-HR"/>
        </w:rPr>
        <w:t>ibn Adham iz VIII. stoljeća. Često se susreće prijelaz s as</w:t>
        <w:softHyphen/>
        <w:t xml:space="preserve">keze na misticizam. Najveći se mir ne traži u odricanju od svijeta, već naprotiv u ekstazi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kontemplacije. Jedan oblik askeze, koji je ute</w:t>
        <w:softHyphen/>
        <w:t>meljen u tradiciji, jest odvajanje od svijeta u zadnjoj dekadi mjeseca posta, ramazana. U to se vrijeme pobožan čovjek u svakoj većoj na</w:t>
        <w:softHyphen/>
        <w:t>seobini povlači u džamiju i posvećuje se po</w:t>
        <w:softHyphen/>
        <w:t>božnom djelovanju i mišljenju.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u islamu svoj korijen vuče iz indijskih reli</w:t>
        <w:softHyphen/>
        <w:t xml:space="preserve">gija, a prije svega iz budizma. Njezin je pri- pravitelj bio neoplatonički nauk o panteistič- kom monizmu </w:t>
      </w:r>
      <w:r>
        <w:rPr>
          <w:rFonts w:ascii="Times New Roman" w:eastAsia="Times New Roman" w:hAnsi="Times New Roman" w:cs="Times New Roman"/>
          <w:color w:val="000000"/>
          <w:spacing w:val="0"/>
          <w:w w:val="100"/>
          <w:position w:val="0"/>
          <w:shd w:val="clear" w:color="auto" w:fill="auto"/>
          <w:lang w:val="en-US" w:eastAsia="en-US" w:bidi="en-US"/>
        </w:rPr>
        <w:t xml:space="preserve">(wahdat </w:t>
      </w:r>
      <w:r>
        <w:rPr>
          <w:rFonts w:ascii="Times New Roman" w:eastAsia="Times New Roman" w:hAnsi="Times New Roman" w:cs="Times New Roman"/>
          <w:color w:val="000000"/>
          <w:spacing w:val="0"/>
          <w:w w:val="100"/>
          <w:position w:val="0"/>
          <w:shd w:val="clear" w:color="auto" w:fill="auto"/>
          <w:lang w:val="hr-HR" w:eastAsia="hr-HR" w:bidi="hr-HR"/>
        </w:rPr>
        <w:t>al-wudjod). Okretanje od svijeta i njegovih primamljivosti kod mno</w:t>
        <w:softHyphen/>
        <w:t xml:space="preserve">gih je sufija išlo dotle da se više nisu osjećali privučenim ničim u ovome svijetu, pa ni bilo kojim čovjekom. Mističarka </w:t>
      </w:r>
      <w:r>
        <w:rPr>
          <w:rFonts w:ascii="Times New Roman" w:eastAsia="Times New Roman" w:hAnsi="Times New Roman" w:cs="Times New Roman"/>
          <w:color w:val="000000"/>
          <w:spacing w:val="0"/>
          <w:w w:val="100"/>
          <w:position w:val="0"/>
          <w:shd w:val="clear" w:color="auto" w:fill="auto"/>
          <w:lang w:val="en-US" w:eastAsia="en-US" w:bidi="en-US"/>
        </w:rPr>
        <w:t xml:space="preserve">Rabija </w:t>
      </w:r>
      <w:r>
        <w:rPr>
          <w:rFonts w:ascii="Times New Roman" w:eastAsia="Times New Roman" w:hAnsi="Times New Roman" w:cs="Times New Roman"/>
          <w:color w:val="000000"/>
          <w:spacing w:val="0"/>
          <w:w w:val="100"/>
          <w:position w:val="0"/>
          <w:shd w:val="clear" w:color="auto" w:fill="auto"/>
          <w:lang w:val="hr-HR" w:eastAsia="hr-HR" w:bidi="hr-HR"/>
        </w:rPr>
        <w:t>(Rabi’a) nije u svom srcu imala nikakva mjesta za lju</w:t>
        <w:softHyphen/>
        <w:t>bav prema Muhamedu ili za mržnju prema Sotoni. Svaka je a. bila utemeljena u Bogu.</w:t>
      </w:r>
    </w:p>
    <w:p>
      <w:pPr>
        <w:pStyle w:val="Style56"/>
        <w:keepNext w:val="0"/>
        <w:keepLines w:val="0"/>
        <w:widowControl w:val="0"/>
        <w:shd w:val="clear" w:color="auto" w:fill="auto"/>
        <w:tabs>
          <w:tab w:pos="2573" w:val="left"/>
        </w:tabs>
        <w:bidi w:val="0"/>
        <w:spacing w:before="0" w:after="320" w:line="240" w:lineRule="auto"/>
        <w:ind w:left="0" w:right="0" w:firstLine="0"/>
        <w:jc w:val="both"/>
      </w:pPr>
      <w:r>
        <w:rPr>
          <w:color w:val="000000"/>
          <w:spacing w:val="0"/>
          <w:w w:val="100"/>
          <w:position w:val="0"/>
          <w:shd w:val="clear" w:color="auto" w:fill="auto"/>
        </w:rPr>
        <w:t xml:space="preserve">Lit.: Helmut Ritter. </w:t>
      </w:r>
      <w:r>
        <w:rPr>
          <w:i/>
          <w:iCs/>
          <w:color w:val="000000"/>
          <w:spacing w:val="0"/>
          <w:w w:val="100"/>
          <w:position w:val="0"/>
          <w:shd w:val="clear" w:color="auto" w:fill="auto"/>
        </w:rPr>
        <w:t xml:space="preserve">Das Meer </w:t>
      </w:r>
      <w:r>
        <w:rPr>
          <w:i/>
          <w:iCs/>
          <w:color w:val="000000"/>
          <w:spacing w:val="0"/>
          <w:w w:val="100"/>
          <w:position w:val="0"/>
          <w:shd w:val="clear" w:color="auto" w:fill="auto"/>
          <w:lang w:val="hr-HR" w:eastAsia="hr-HR" w:bidi="hr-HR"/>
        </w:rPr>
        <w:t>der Se.tde,</w:t>
      </w:r>
      <w:r>
        <w:rPr>
          <w:color w:val="000000"/>
          <w:spacing w:val="0"/>
          <w:w w:val="100"/>
          <w:position w:val="0"/>
          <w:shd w:val="clear" w:color="auto" w:fill="auto"/>
          <w:lang w:val="hr-HR" w:eastAsia="hr-HR" w:bidi="hr-HR"/>
        </w:rPr>
        <w:t xml:space="preserve"> Iziđen 1955, 685 (tamo sc nalaze podaci o odgovarajućim mjestima u teksto</w:t>
        <w:softHyphen/>
        <w:t>vima).</w:t>
        <w:tab/>
        <w:t>S. BA1.1Ć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ATEIZAM</w:t>
      </w:r>
    </w:p>
    <w:p>
      <w:pPr>
        <w:pStyle w:val="Style63"/>
        <w:keepNext/>
        <w:keepLines/>
        <w:widowControl w:val="0"/>
        <w:numPr>
          <w:ilvl w:val="0"/>
          <w:numId w:val="33"/>
        </w:numPr>
        <w:shd w:val="clear" w:color="auto" w:fill="auto"/>
        <w:tabs>
          <w:tab w:pos="246" w:val="left"/>
        </w:tabs>
        <w:bidi w:val="0"/>
        <w:spacing w:before="0" w:line="223" w:lineRule="auto"/>
        <w:ind w:left="0" w:right="0" w:firstLine="0"/>
        <w:jc w:val="both"/>
      </w:pPr>
      <w:bookmarkStart w:id="40" w:name="bookmark40"/>
      <w:r>
        <w:rPr>
          <w:rFonts w:ascii="Times New Roman" w:eastAsia="Times New Roman" w:hAnsi="Times New Roman" w:cs="Times New Roman"/>
          <w:color w:val="000000"/>
          <w:spacing w:val="0"/>
          <w:w w:val="100"/>
          <w:position w:val="0"/>
          <w:shd w:val="clear" w:color="auto" w:fill="auto"/>
          <w:lang w:val="hr-HR" w:eastAsia="hr-HR" w:bidi="hr-HR"/>
        </w:rPr>
        <w:t>židovski</w:t>
      </w:r>
      <w:bookmarkEnd w:id="4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je naziv za tri svjetonazora u suprotnosti s teizmom, vjerom u osobnoga Boga (tj. Boga kojega se doživljava kao osobu, Boga koji se poima osobno): a) religijske predodžbe u ko</w:t>
        <w:softHyphen/>
        <w:t>jima se sveobuhvatni božanski prauzrok ne povezuje s poviješću ljudi; b) ideologije koje poimaju kozmos i čovječanstvo samo djelova</w:t>
        <w:softHyphen/>
        <w:t>njem materije i njezinih mehanizama; c) ni</w:t>
        <w:softHyphen/>
        <w:t>jekanje Boga koji nagrađuje i kažnjava uz po</w:t>
        <w:softHyphen/>
        <w:t>tvrdu etičkoga Sveduha (deizam).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židovstvu se gdjekad javljaju utjecaji a) u sintezi s biblijsko-rabinskim elementima. Vlas</w:t>
        <w:softHyphen/>
        <w:t xml:space="preserve">titi oblik b) razvio je mislilac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ibn Ga- briol (Španjolska, XI. stoljeće) kao »duhovnu tvar« koja izvire iz volje (= Boga) i samostal</w:t>
        <w:softHyphen/>
        <w:t xml:space="preserve">no djeluje. Njegovo je glavno djelo, </w:t>
      </w:r>
      <w:r>
        <w:rPr>
          <w:rFonts w:ascii="Times New Roman" w:eastAsia="Times New Roman" w:hAnsi="Times New Roman" w:cs="Times New Roman"/>
          <w:i/>
          <w:iCs/>
          <w:color w:val="000000"/>
          <w:spacing w:val="0"/>
          <w:w w:val="100"/>
          <w:position w:val="0"/>
          <w:shd w:val="clear" w:color="auto" w:fill="auto"/>
          <w:lang w:val="en-US" w:eastAsia="en-US" w:bidi="en-US"/>
        </w:rPr>
        <w:t xml:space="preserve">Fons vitae </w:t>
      </w:r>
      <w:r>
        <w:rPr>
          <w:rFonts w:ascii="Times New Roman" w:eastAsia="Times New Roman" w:hAnsi="Times New Roman" w:cs="Times New Roman"/>
          <w:color w:val="000000"/>
          <w:spacing w:val="0"/>
          <w:w w:val="100"/>
          <w:position w:val="0"/>
          <w:shd w:val="clear" w:color="auto" w:fill="auto"/>
          <w:lang w:val="hr-HR" w:eastAsia="hr-HR" w:bidi="hr-HR"/>
        </w:rPr>
        <w:t>(Izvor života), sačuvano u latinskoj verziji. Kršćanski skolastici citiraju ga kao »Avicebro- na« i raspravljaju o njemu s tim imenom. Na židovsku filozofiju nije utjecao.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Biblijski orijentiranom čovjeku oba su glediš</w:t>
        <w:softHyphen/>
        <w:t>ta strana, kao i ono pod c). Njega zanima smi</w:t>
        <w:softHyphen/>
        <w:t xml:space="preserve">sao patnje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Job, </w:t>
      </w:r>
      <w:r>
        <w:rPr>
          <w:rFonts w:ascii="Times New Roman" w:eastAsia="Times New Roman" w:hAnsi="Times New Roman" w:cs="Times New Roman"/>
          <w:color w:val="000000"/>
          <w:spacing w:val="0"/>
          <w:w w:val="100"/>
          <w:position w:val="0"/>
          <w:shd w:val="clear" w:color="auto" w:fill="auto"/>
          <w:lang w:val="hr-HR" w:eastAsia="hr-HR" w:bidi="hr-HR"/>
        </w:rPr>
        <w:t>psalmisti), rasprav</w:t>
        <w:softHyphen/>
        <w:t>lja s Bogom, čija su mu opstojnost i djela na svijetu neupitna, pa traži od njega pravednost za njegova bića. Rabinski čovjek nalazi odgo</w:t>
        <w:softHyphen/>
        <w:t>vor u onostranoj osveti dobra i zla. Tko jc ne</w:t>
        <w:softHyphen/>
      </w:r>
      <w:r>
        <w:rPr>
          <w:rFonts w:ascii="Times New Roman" w:eastAsia="Times New Roman" w:hAnsi="Times New Roman" w:cs="Times New Roman"/>
          <w:color w:val="000000"/>
          <w:spacing w:val="0"/>
          <w:w w:val="100"/>
          <w:position w:val="0"/>
          <w:shd w:val="clear" w:color="auto" w:fill="auto"/>
          <w:lang w:val="hr-HR" w:eastAsia="hr-HR" w:bidi="hr-HR"/>
        </w:rPr>
        <w:t>gira, »niječe temeljno načelo« i nema udjela u vječnosti. On je epikurejac, »apikoros« (pre</w:t>
        <w:softHyphen/>
        <w:t>ma filozofu Epikuru: onaj tko vidi smisao op</w:t>
        <w:softHyphen/>
        <w:t>stanka u životnom užitku). U II. stoljeću pos. Kr. Rabi Elisa ben Avuja predstavlja zastrašu</w:t>
        <w:softHyphen/>
        <w:t>jući primjer toga gledišta. Došao je do njega kad su Rimljani pobili u nekoliko akcija ne</w:t>
        <w:softHyphen/>
        <w:t>moćne ljude, a Bog ih nije u tome spriječio. U Talmudu ga spominju kao »Aher« (Drukčiji). Usprkos njegovim ateističkim pogledima nje</w:t>
        <w:softHyphen/>
        <w:t>gova sc etika citira, a on ostaje Židov. Ži</w:t>
        <w:softHyphen/>
        <w:t xml:space="preserve">dovski religijski zakon, </w:t>
      </w:r>
      <w:r>
        <w:rPr>
          <w:rFonts w:ascii="Times New Roman" w:eastAsia="Times New Roman" w:hAnsi="Times New Roman" w:cs="Times New Roman"/>
          <w:i/>
          <w:iCs/>
          <w:color w:val="000000"/>
          <w:spacing w:val="0"/>
          <w:w w:val="100"/>
          <w:position w:val="0"/>
          <w:shd w:val="clear" w:color="auto" w:fill="auto"/>
          <w:lang w:val="hr-HR" w:eastAsia="hr-HR" w:bidi="hr-HR"/>
        </w:rPr>
        <w:t>halaha,</w:t>
      </w:r>
      <w:r>
        <w:rPr>
          <w:rFonts w:ascii="Times New Roman" w:eastAsia="Times New Roman" w:hAnsi="Times New Roman" w:cs="Times New Roman"/>
          <w:color w:val="000000"/>
          <w:spacing w:val="0"/>
          <w:w w:val="100"/>
          <w:position w:val="0"/>
          <w:shd w:val="clear" w:color="auto" w:fill="auto"/>
          <w:lang w:val="hr-HR" w:eastAsia="hr-HR" w:bidi="hr-HR"/>
        </w:rPr>
        <w:t xml:space="preserve"> ne bavi sc de</w:t>
        <w:softHyphen/>
        <w:t>finicijama Boga i prave vjere, nego normama ponašanja prema volji Božjoj u rabinskom tu</w:t>
        <w:softHyphen/>
        <w:t>mačenju i zakonodavstvu. Prema tomu, on ne poznaje nikakve ustanove poput sudova za heretike.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Kazna za otpadnike nije na ljudima nego na Bogu, ona je u budućnosti njegove duše. Gdje mišljenja oprečna normama dovode do odva</w:t>
        <w:softHyphen/>
        <w:t>janja od židovske zajednice ili joj nanose šte</w:t>
        <w:softHyphen/>
        <w:t>tu, može se dosuditi izopćenje. Žabranjuje se društveno i vjersko ophođenje s izopćenikom, ali on i dalje ostaje Židov. U XVII. stoljeću Amsterdamska zajednica osudila je Spinozu na izopćenje kad je kršćanska Crkva objavila rat njegovim »ateističkim« pogledima, pa je stoga Židovima, koji su bježali od inkvizicije, moglo biti ugroženo pravo stanovanja.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Nakon </w:t>
      </w:r>
      <w:r>
        <w:rPr>
          <w:rFonts w:ascii="Times New Roman" w:eastAsia="Times New Roman" w:hAnsi="Times New Roman" w:cs="Times New Roman"/>
          <w:color w:val="000000"/>
          <w:spacing w:val="0"/>
          <w:w w:val="100"/>
          <w:position w:val="0"/>
          <w:shd w:val="clear" w:color="auto" w:fill="auto"/>
          <w:lang w:val="en-US" w:eastAsia="en-US" w:bidi="en-US"/>
        </w:rPr>
        <w:t xml:space="preserve">Auschwitza </w:t>
      </w:r>
      <w:r>
        <w:rPr>
          <w:rFonts w:ascii="Times New Roman" w:eastAsia="Times New Roman" w:hAnsi="Times New Roman" w:cs="Times New Roman"/>
          <w:color w:val="000000"/>
          <w:spacing w:val="0"/>
          <w:w w:val="100"/>
          <w:position w:val="0"/>
          <w:shd w:val="clear" w:color="auto" w:fill="auto"/>
          <w:lang w:val="hr-HR" w:eastAsia="hr-HR" w:bidi="hr-HR"/>
        </w:rPr>
        <w:t>iznova se postavlja pitanje osobnoga poimanja Boga. Utjecajna jc filo</w:t>
        <w:softHyphen/>
        <w:t>zofija američkoga mislioca M. Kaplana koji poučava o samoostvarenju čovjeka iz onoga etičkog i povijesnog prauzroka koji je vidljiv od Biblije. Prepoznatljiv je pravac koji u tradi</w:t>
        <w:softHyphen/>
        <w:t>ciji vidi snagu koja oblikuje ljude, pa tako gle</w:t>
        <w:softHyphen/>
        <w:t>dište c) povezuje s humanizmom i egzistenci</w:t>
        <w:softHyphen/>
        <w:t>jalizmom religijskoga pečata. Ponajprije sc na</w:t>
        <w:softHyphen/>
        <w:t>glašava odgovornost čovjeka bez obzira na to da li je pristaša ateizma ili tradicijske vjere.</w:t>
      </w:r>
    </w:p>
    <w:p>
      <w:pPr>
        <w:pStyle w:val="Style56"/>
        <w:keepNext w:val="0"/>
        <w:keepLines w:val="0"/>
        <w:widowControl w:val="0"/>
        <w:shd w:val="clear" w:color="auto" w:fill="auto"/>
        <w:tabs>
          <w:tab w:pos="1982"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Kaplan. </w:t>
      </w:r>
      <w:r>
        <w:rPr>
          <w:i/>
          <w:iCs/>
          <w:color w:val="000000"/>
          <w:spacing w:val="0"/>
          <w:w w:val="100"/>
          <w:position w:val="0"/>
          <w:shd w:val="clear" w:color="auto" w:fill="auto"/>
        </w:rPr>
        <w:t>The Religion of eihical peopiehood.</w:t>
      </w:r>
      <w:r>
        <w:rPr>
          <w:color w:val="000000"/>
          <w:spacing w:val="0"/>
          <w:w w:val="100"/>
          <w:position w:val="0"/>
          <w:shd w:val="clear" w:color="auto" w:fill="auto"/>
        </w:rPr>
        <w:t xml:space="preserve"> New York 1970; K. Rohmann. </w:t>
      </w:r>
      <w:r>
        <w:rPr>
          <w:i/>
          <w:iCs/>
          <w:color w:val="000000"/>
          <w:spacing w:val="0"/>
          <w:w w:val="100"/>
          <w:position w:val="0"/>
          <w:shd w:val="clear" w:color="auto" w:fill="auto"/>
        </w:rPr>
        <w:t xml:space="preserve">Vollendung im Nichrs? Eine Dokumentalion der amerikanischen »Goti-ist-tot-Theoiogiea, </w:t>
      </w:r>
      <w:r>
        <w:rPr>
          <w:color w:val="000000"/>
          <w:spacing w:val="0"/>
          <w:w w:val="100"/>
          <w:position w:val="0"/>
          <w:shd w:val="clear" w:color="auto" w:fill="auto"/>
        </w:rPr>
        <w:t>2, Zurich 1977.</w:t>
        <w:tab/>
        <w:t>P. NAVE LEVINSON</w:t>
      </w:r>
    </w:p>
    <w:p>
      <w:pPr>
        <w:pStyle w:val="Style63"/>
        <w:keepNext/>
        <w:keepLines/>
        <w:widowControl w:val="0"/>
        <w:numPr>
          <w:ilvl w:val="0"/>
          <w:numId w:val="33"/>
        </w:numPr>
        <w:shd w:val="clear" w:color="auto" w:fill="auto"/>
        <w:tabs>
          <w:tab w:pos="255" w:val="left"/>
        </w:tabs>
        <w:bidi w:val="0"/>
        <w:spacing w:before="0" w:after="80" w:line="223" w:lineRule="auto"/>
        <w:ind w:left="0" w:right="0" w:firstLine="0"/>
        <w:jc w:val="both"/>
      </w:pPr>
      <w:bookmarkStart w:id="41" w:name="bookmark4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Problem </w:t>
      </w:r>
      <w:r>
        <w:rPr>
          <w:rFonts w:ascii="Times New Roman" w:eastAsia="Times New Roman" w:hAnsi="Times New Roman" w:cs="Times New Roman"/>
          <w:color w:val="000000"/>
          <w:spacing w:val="0"/>
          <w:w w:val="100"/>
          <w:position w:val="0"/>
          <w:shd w:val="clear" w:color="auto" w:fill="auto"/>
          <w:lang w:val="hr-HR" w:eastAsia="hr-HR" w:bidi="hr-HR"/>
        </w:rPr>
        <w:t>ateizma u posebnoj se mjeri postav</w:t>
        <w:softHyphen/>
        <w:t>lja u modemom industrijskom društvu, jer vje</w:t>
        <w:softHyphen/>
        <w:t>ra u Boga, Stvoritelja svijeta, koji svijet održa</w:t>
        <w:softHyphen/>
        <w:t>va i njime vlada, nije više po sebi razumljiv svjetonazorski okvir u kojem je većina ljudi jedinstvena. Teoretski i praktični načini pona</w:t>
        <w:softHyphen/>
      </w:r>
      <w:r>
        <w:rPr>
          <w:rFonts w:ascii="Times New Roman" w:eastAsia="Times New Roman" w:hAnsi="Times New Roman" w:cs="Times New Roman"/>
          <w:color w:val="000000"/>
          <w:spacing w:val="0"/>
          <w:w w:val="100"/>
          <w:position w:val="0"/>
          <w:shd w:val="clear" w:color="auto" w:fill="auto"/>
          <w:lang w:val="hr-HR" w:eastAsia="hr-HR" w:bidi="hr-HR"/>
        </w:rPr>
        <w:t>šanja, obuhvaćeni pod glavnim pojmom ateiz</w:t>
        <w:softHyphen/>
        <w:t>ma, višestruke su naravi i ne mogu se lako obuhvatiti u jednoj definiciji. Općenito se pod ateizmom razumijeva negiranje postojanja osob</w:t>
        <w:softHyphen/>
        <w:t xml:space="preserve">nog, apsolutnog i </w:t>
      </w:r>
      <w:r>
        <w:rPr>
          <w:rFonts w:ascii="Times New Roman" w:eastAsia="Times New Roman" w:hAnsi="Times New Roman" w:cs="Times New Roman"/>
          <w:color w:val="000000"/>
          <w:spacing w:val="0"/>
          <w:w w:val="100"/>
          <w:position w:val="0"/>
          <w:shd w:val="clear" w:color="auto" w:fill="auto"/>
          <w:lang w:val="en-US" w:eastAsia="en-US" w:bidi="en-US"/>
        </w:rPr>
        <w:t xml:space="preserve">transcendentnog </w:t>
      </w:r>
      <w:r>
        <w:rPr>
          <w:rFonts w:ascii="Times New Roman" w:eastAsia="Times New Roman" w:hAnsi="Times New Roman" w:cs="Times New Roman"/>
          <w:color w:val="000000"/>
          <w:spacing w:val="0"/>
          <w:w w:val="100"/>
          <w:position w:val="0"/>
          <w:shd w:val="clear" w:color="auto" w:fill="auto"/>
          <w:lang w:val="hr-HR" w:eastAsia="hr-HR" w:bidi="hr-HR"/>
        </w:rPr>
        <w:t>Boga. To negiranje može imati svoj korijen u teoretskoj tvrdnji da je prihvaćanje Božjeg postojanja na znanstvenim temeljima nepotrebno, odnosno iznutra nemoguće. Drugi oblik ateizma teme</w:t>
        <w:softHyphen/>
        <w:t>lji svoje neprihvaćanje Božjeg postojanja na moralnoj nemogućnosti da se vjeruje u dobro</w:t>
        <w:softHyphen/>
        <w:t>ga Boga koji vodi svijet i ljude i njima upravlja naočigled patnji, katastrofa i nesklada ljudske egzistencije. Uz to postoji oblik praktičnog ateizma koji se sastoji u tome da čovjek živi u potpunoj ovostranosti i da više ne raspravlja o filozofskim i teološkim pitanjima Božjeg bića i egzistencije.</w:t>
      </w:r>
    </w:p>
    <w:p>
      <w:pPr>
        <w:pStyle w:val="Style20"/>
        <w:keepNext w:val="0"/>
        <w:keepLines w:val="0"/>
        <w:widowControl w:val="0"/>
        <w:shd w:val="clear" w:color="auto" w:fill="auto"/>
        <w:bidi w:val="0"/>
        <w:spacing w:before="0" w:after="0"/>
        <w:ind w:left="0" w:right="0" w:firstLine="0"/>
        <w:jc w:val="both"/>
        <w:sectPr>
          <w:headerReference w:type="default" r:id="rId157"/>
          <w:footerReference w:type="default" r:id="rId158"/>
          <w:headerReference w:type="even" r:id="rId159"/>
          <w:footerReference w:type="even" r:id="rId160"/>
          <w:headerReference w:type="first" r:id="rId161"/>
          <w:footerReference w:type="first" r:id="rId162"/>
          <w:footnotePr>
            <w:pos w:val="pageBottom"/>
            <w:numFmt w:val="decimal"/>
            <w:numStart w:val="5"/>
            <w:numRestart w:val="continuous"/>
            <w15:footnoteColumns w:val="1"/>
          </w:footnotePr>
          <w:pgSz w:w="6816" w:h="11006"/>
          <w:pgMar w:top="954" w:left="178" w:right="182" w:bottom="525"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antici su kritičari odveć antropoloških pre</w:t>
        <w:softHyphen/>
        <w:t>dodžbi o bogovima, kao što su bili sofisti ili Protagora, označeni kao ateisti; i prvi su krš</w:t>
        <w:softHyphen/>
        <w:t>ćani zbog neprihvaćanja politeizma svoje oko</w:t>
        <w:softHyphen/>
        <w:t>line dobili istu oznaku. U semitskom okruže</w:t>
        <w:softHyphen/>
        <w:t xml:space="preserve">nju Svetoga pisma Staroga zavjeta vjera u Božje postojanje bila je po sebi razumljiva pretpostavka. Samo »bezumnik« (Ps 10, 4; 14, 1; 53,2) može u to sumnjati. I srednjovjekovni dokazi o Bogu </w:t>
      </w:r>
      <w:r>
        <w:rPr>
          <w:rFonts w:ascii="Times New Roman" w:eastAsia="Times New Roman" w:hAnsi="Times New Roman" w:cs="Times New Roman"/>
          <w:color w:val="000000"/>
          <w:spacing w:val="0"/>
          <w:w w:val="100"/>
          <w:position w:val="0"/>
          <w:shd w:val="clear" w:color="auto" w:fill="auto"/>
          <w:lang w:val="en-US" w:eastAsia="en-US" w:bidi="en-US"/>
        </w:rPr>
        <w:t xml:space="preserve">(Anselmo Canterburyjski, </w:t>
      </w:r>
      <w:r>
        <w:rPr>
          <w:rFonts w:ascii="Times New Roman" w:eastAsia="Times New Roman" w:hAnsi="Times New Roman" w:cs="Times New Roman"/>
          <w:color w:val="000000"/>
          <w:spacing w:val="0"/>
          <w:w w:val="100"/>
          <w:position w:val="0"/>
          <w:shd w:val="clear" w:color="auto" w:fill="auto"/>
          <w:lang w:val="hr-HR" w:eastAsia="hr-HR" w:bidi="hr-HR"/>
        </w:rPr>
        <w:t>Toma Akvinski) izrastaju manje iz egzistenci</w:t>
        <w:softHyphen/>
        <w:t>jalne nevolje i zbunjenosti, a više kao filozofska potpora vjerskoj teološkoj izvjesnosti. Prekret</w:t>
        <w:softHyphen/>
        <w:t>nicu u novom dobu obilježava činjenica da je vjera u Božju opstojnost načelno stavljena u pitanje u procesu prosvjetiteljstva, shvaćenog kao osamostaljivanje punoljetnoga ljudskog duha od ovisnosti o autoritetima koji se nisu oduprijeli ispitivanju ljudskoga uma. Za racio</w:t>
        <w:softHyphen/>
        <w:t>nalizam i materijalizam prihvaćanje Božje eg</w:t>
        <w:softHyphen/>
        <w:t>zistencije protuslovi zahtjevima znanstvenosti. »Pretpostavka o Bogu« ne pokazuje se više nužnom kod pokušaja znanstvenog prodiranja u svijet. Taj oblik ateizma nastaje u sukobu sa židovsko-kršćanskom slikom svijeta uslijed razvoja prirodnih znanosti, sociologije, psiho</w:t>
        <w:softHyphen/>
        <w:t>logije i ostalih znanstvenih disciplina koje pre</w:t>
        <w:softHyphen/>
        <w:t>tendiraju na vrijednost diljem svijeta, a u sre</w:t>
        <w:softHyphen/>
        <w:t>dište stavljaju autonomnog čovjeka, odnosno ljudsko društvo. U društvenom nauku mark- sizma-lenjinizma religija je kao »opijum na</w:t>
        <w:softHyphen/>
        <w:t>roda« fenomen koji nestaje razvojem čovje</w:t>
        <w:softHyphen/>
        <w:t xml:space="preserve">čanstva. U psihologiji (Freud) javlja se vjera u Boga kao iluzija ili čovjekova projekcija </w:t>
      </w:r>
      <w:r>
        <w:rPr>
          <w:rFonts w:ascii="Times New Roman" w:eastAsia="Times New Roman" w:hAnsi="Times New Roman" w:cs="Times New Roman"/>
          <w:color w:val="000000"/>
          <w:spacing w:val="0"/>
          <w:w w:val="100"/>
          <w:position w:val="0"/>
          <w:shd w:val="clear" w:color="auto" w:fill="auto"/>
          <w:lang w:val="en-US" w:eastAsia="en-US" w:bidi="en-US"/>
        </w:rPr>
        <w:t xml:space="preserve">(Feuerbach). </w:t>
      </w:r>
      <w:r>
        <w:rPr>
          <w:rFonts w:ascii="Times New Roman" w:eastAsia="Times New Roman" w:hAnsi="Times New Roman" w:cs="Times New Roman"/>
          <w:color w:val="000000"/>
          <w:spacing w:val="0"/>
          <w:w w:val="100"/>
          <w:position w:val="0"/>
          <w:shd w:val="clear" w:color="auto" w:fill="auto"/>
          <w:lang w:val="hr-HR" w:eastAsia="hr-HR" w:bidi="hr-HR"/>
        </w:rPr>
        <w:t>Stanoviti oblik vjere u znanost vidi u prirodnim znanostima mogućnost total</w:t>
        <w:softHyphen/>
        <w:t>nog objašnjenja svijeta koji svaki oblik religije čini suvišnim. Odgovor kršćanske vjere na iza</w:t>
        <w:softHyphen/>
        <w:t>zov ateizma dugo se nalazio u besplodnom apologetskom stavu. S crkvene strane previdje- lo se da su mnogi oblici ateizma bili svjestan anti-tcizam naspram odveć samouvjerene teo</w:t>
        <w:softHyphen/>
        <w:t>logije koja je doduše neprestano naglašavala Božji tajanstveni karakter, a ipak je davala od</w:t>
        <w:softHyphen/>
        <w:t>već mnogo izjava o Bogu. Dugo je trebalo dok se moglo priznati da je jedan od korijena ate</w:t>
        <w:softHyphen/>
        <w:t>izma u nedostacima prakse kod Crkve i krš</w:t>
        <w:softHyphen/>
        <w:t>ćana (Drugi vatikanski koncil, GS 19). Kato</w:t>
        <w:softHyphen/>
        <w:t>lička crkva u sporu s tvrdnjom da se Božje postojanje načelno ne može dokazati, tumači načelnu mogućnost Božje spoznaje naravnim svjetlom uma (Prvi vatikanski koncil, 1870). Kako je pokazala rasprava o tom stajalištu »naravne teologije« s predstavnicima ostalih teoloških stavova unutar kršćanstva (osobito s dijalektičkom teologijom) i s različitim obli</w:t>
        <w:softHyphen/>
        <w:t>cima ateizma, tom načelnom izjavom ništa ni</w:t>
        <w:softHyphen/>
        <w:t>je rečeno o mogućnosti Božje spoznaje u po</w:t>
        <w:softHyphen/>
        <w:t xml:space="preserve">jedinačnom slučaju </w:t>
      </w:r>
      <w:r>
        <w:rPr>
          <w:rFonts w:ascii="Times New Roman" w:eastAsia="Times New Roman" w:hAnsi="Times New Roman" w:cs="Times New Roman"/>
          <w:color w:val="000000"/>
          <w:spacing w:val="0"/>
          <w:w w:val="100"/>
          <w:position w:val="0"/>
          <w:shd w:val="clear" w:color="auto" w:fill="auto"/>
          <w:lang w:val="en-US" w:eastAsia="en-US" w:bidi="en-US"/>
        </w:rPr>
        <w:t xml:space="preserve">(quaestio </w:t>
      </w:r>
      <w:r>
        <w:rPr>
          <w:rFonts w:ascii="Times New Roman" w:eastAsia="Times New Roman" w:hAnsi="Times New Roman" w:cs="Times New Roman"/>
          <w:color w:val="000000"/>
          <w:spacing w:val="0"/>
          <w:w w:val="100"/>
          <w:position w:val="0"/>
          <w:shd w:val="clear" w:color="auto" w:fill="auto"/>
          <w:lang w:val="hr-HR" w:eastAsia="hr-HR" w:bidi="hr-HR"/>
        </w:rPr>
        <w:t>facti). S tog se stajališta na kraju kaže da pitanje Božje egzis</w:t>
        <w:softHyphen/>
        <w:t>tencije pomoću filozofskih izjava ostaje načel</w:t>
        <w:softHyphen/>
        <w:t xml:space="preserve">no otvoreno, jer isto tako suprotni ateistički stav nije u stanju bezuvjetno dokazati svoju tezu. U protestantskoj se teologiji intenzivno vodila rasprava s izazovima slike svijeta kako jc vidi novo doba. K.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je, naspram teolo</w:t>
        <w:softHyphen/>
        <w:t>gije koja previše zna, stavio u središte Božju drugačijost što mu je tada, obrnuto, pribavilo prigovor da zastupa pozitivizam objave. R. Bultmann vidi u znanstveno utemeljenom svi</w:t>
        <w:softHyphen/>
        <w:t>jetu mogućnost vjere u Boga egzistencijalnim tumačenjem biblijske poruke koja kao pret</w:t>
        <w:softHyphen/>
        <w:t>postavku ima načelno demitologiziranje. Bon- hoeffer bi želio ozbiljno uzeti datost svijeta koji jc postao »svjetovni svijet«, u kojem krš</w:t>
        <w:softHyphen/>
        <w:t>ćanin mora živjeti u solidarnosti s ljudima koji više ne mogu vjerovati i u kojem Bog ne dolazi do izražaja. Poticaji te teologije, kao i prihva</w:t>
        <w:softHyphen/>
        <w:t>ćanje ostalih strujanja, vode u 60-im godina</w:t>
        <w:softHyphen/>
        <w:t xml:space="preserve">ma XX. stoljeća do takozvane »Bog je mrtav« - teologije (G. </w:t>
      </w:r>
      <w:r>
        <w:rPr>
          <w:rFonts w:ascii="Times New Roman" w:eastAsia="Times New Roman" w:hAnsi="Times New Roman" w:cs="Times New Roman"/>
          <w:color w:val="000000"/>
          <w:spacing w:val="0"/>
          <w:w w:val="100"/>
          <w:position w:val="0"/>
          <w:shd w:val="clear" w:color="auto" w:fill="auto"/>
          <w:lang w:val="en-US" w:eastAsia="en-US" w:bidi="en-US"/>
        </w:rPr>
        <w:t xml:space="preserve">Vahanian, Th. </w:t>
      </w:r>
      <w:r>
        <w:rPr>
          <w:rFonts w:ascii="Times New Roman" w:eastAsia="Times New Roman" w:hAnsi="Times New Roman" w:cs="Times New Roman"/>
          <w:color w:val="000000"/>
          <w:spacing w:val="0"/>
          <w:w w:val="100"/>
          <w:position w:val="0"/>
          <w:shd w:val="clear" w:color="auto" w:fill="auto"/>
          <w:lang w:val="hr-HR" w:eastAsia="hr-HR" w:bidi="hr-HR"/>
        </w:rPr>
        <w:t xml:space="preserve">Altizer, P. M. </w:t>
      </w:r>
      <w:r>
        <w:rPr>
          <w:rFonts w:ascii="Times New Roman" w:eastAsia="Times New Roman" w:hAnsi="Times New Roman" w:cs="Times New Roman"/>
          <w:color w:val="000000"/>
          <w:spacing w:val="0"/>
          <w:w w:val="100"/>
          <w:position w:val="0"/>
          <w:shd w:val="clear" w:color="auto" w:fill="auto"/>
          <w:lang w:val="en-US" w:eastAsia="en-US" w:bidi="en-US"/>
        </w:rPr>
        <w:t xml:space="preserve">van Buren </w:t>
      </w:r>
      <w:r>
        <w:rPr>
          <w:rFonts w:ascii="Times New Roman" w:eastAsia="Times New Roman" w:hAnsi="Times New Roman" w:cs="Times New Roman"/>
          <w:color w:val="000000"/>
          <w:spacing w:val="0"/>
          <w:w w:val="100"/>
          <w:position w:val="0"/>
          <w:shd w:val="clear" w:color="auto" w:fill="auto"/>
          <w:lang w:val="hr-HR" w:eastAsia="hr-HR" w:bidi="hr-HR"/>
        </w:rPr>
        <w:t>i dr.) koja s jedne strane artikulira promjenu u shvaćanju vjere u modernom svi</w:t>
        <w:softHyphen/>
        <w:t>jetu, a s druge strane teološki, uz nužnu kri</w:t>
        <w:softHyphen/>
        <w:t>tiku samouvjerene teologije, još jedva umije davati izjave koje bi čuvale vezu s tradicijom.</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svom pastoralnom ponašanju prema ateis</w:t>
        <w:softHyphen/>
        <w:t>tima kršćanske su se crkve znatno promije</w:t>
        <w:softHyphen/>
        <w:t>nile. Shvatilo se da a. ne mora biti nužno po</w:t>
        <w:softHyphen/>
        <w:t>vezan s osobnom krivnjom, da ima ateizma u obliku odbijanja preživjele, pogrešne Božje slike, da može izrasti iz negativnog iskustva s kršćanstvom i Crkvom pa tako uključivati pro</w:t>
        <w:softHyphen/>
        <w:t>test protiv zloporabe religije. Stoga je, umjes</w:t>
        <w:softHyphen/>
        <w:t>to apologctike, stupio na snagu dijaloški stav. Kao i u dijalogu s »nekršćanskim religijama« na dijalog s ateizmom gleda se kao na zajed</w:t>
        <w:softHyphen/>
        <w:t>nički stav u zalaganju za više ljudskosti i u vezi s time na zajedničko jamstvo u praksi. To u načelu otvoreno držanje znatno je otežano u sporu s organiziranim oblicima političkog i društvenog ateizma, kao što je zadnjih godina pokazala povijest. U ponašanju prema ateiz</w:t>
        <w:softHyphen/>
        <w:t>mu kršćanstvo se u mnogočemu slaže sa ži</w:t>
        <w:softHyphen/>
        <w:t>dovstvom, a razlog je u zajedničkoj povijcs- no-duhovnoj tradiciji. U dijalogu s islamom to nije tako, jer u islamskim zemljama nije bilo povijesno-duhovne prekretnice kao što su pro</w:t>
        <w:softHyphen/>
        <w:t>svjetiteljstvo i sekularizacija.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L. </w:t>
      </w:r>
      <w:r>
        <w:rPr>
          <w:color w:val="000000"/>
          <w:spacing w:val="0"/>
          <w:w w:val="100"/>
          <w:position w:val="0"/>
          <w:shd w:val="clear" w:color="auto" w:fill="auto"/>
        </w:rPr>
        <w:t xml:space="preserve">Dewart,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Zuhtnfi </w:t>
      </w:r>
      <w:r>
        <w:rPr>
          <w:i/>
          <w:iCs/>
          <w:color w:val="000000"/>
          <w:spacing w:val="0"/>
          <w:w w:val="100"/>
          <w:position w:val="0"/>
          <w:shd w:val="clear" w:color="auto" w:fill="auto"/>
        </w:rPr>
        <w:t xml:space="preserve">des </w:t>
      </w:r>
      <w:r>
        <w:rPr>
          <w:i/>
          <w:iCs/>
          <w:color w:val="000000"/>
          <w:spacing w:val="0"/>
          <w:w w:val="100"/>
          <w:position w:val="0"/>
          <w:shd w:val="clear" w:color="auto" w:fill="auto"/>
          <w:lang w:val="hr-HR" w:eastAsia="hr-HR" w:bidi="hr-HR"/>
        </w:rPr>
        <w:t>Glaubens,</w:t>
      </w:r>
      <w:r>
        <w:rPr>
          <w:color w:val="000000"/>
          <w:spacing w:val="0"/>
          <w:w w:val="100"/>
          <w:position w:val="0"/>
          <w:shd w:val="clear" w:color="auto" w:fill="auto"/>
          <w:lang w:val="hr-HR" w:eastAsia="hr-HR" w:bidi="hr-HR"/>
        </w:rPr>
        <w:t xml:space="preserve"> Einsicdcln 1968; K. </w:t>
      </w:r>
      <w:r>
        <w:rPr>
          <w:color w:val="000000"/>
          <w:spacing w:val="0"/>
          <w:w w:val="100"/>
          <w:position w:val="0"/>
          <w:shd w:val="clear" w:color="auto" w:fill="auto"/>
        </w:rPr>
        <w:t xml:space="preserve">Rahner, Atbeismus, </w:t>
      </w:r>
      <w:r>
        <w:rPr>
          <w:color w:val="000000"/>
          <w:spacing w:val="0"/>
          <w:w w:val="100"/>
          <w:position w:val="0"/>
          <w:shd w:val="clear" w:color="auto" w:fill="auto"/>
          <w:lang w:val="hr-HR" w:eastAsia="hr-HR" w:bidi="hr-HR"/>
        </w:rPr>
        <w:t xml:space="preserve">SM I (1967) 372-383; D. Solle, </w:t>
      </w:r>
      <w:r>
        <w:rPr>
          <w:i/>
          <w:iCs/>
          <w:color w:val="000000"/>
          <w:spacing w:val="0"/>
          <w:w w:val="100"/>
          <w:position w:val="0"/>
          <w:shd w:val="clear" w:color="auto" w:fill="auto"/>
          <w:lang w:val="hr-HR" w:eastAsia="hr-HR" w:bidi="hr-HR"/>
        </w:rPr>
        <w:t xml:space="preserve">Atheislisch </w:t>
      </w:r>
      <w:r>
        <w:rPr>
          <w:i/>
          <w:iCs/>
          <w:color w:val="000000"/>
          <w:spacing w:val="0"/>
          <w:w w:val="100"/>
          <w:position w:val="0"/>
          <w:shd w:val="clear" w:color="auto" w:fill="auto"/>
        </w:rPr>
        <w:t xml:space="preserve">an Goll </w:t>
      </w:r>
      <w:r>
        <w:rPr>
          <w:i/>
          <w:iCs/>
          <w:color w:val="000000"/>
          <w:spacing w:val="0"/>
          <w:w w:val="100"/>
          <w:position w:val="0"/>
          <w:shd w:val="clear" w:color="auto" w:fill="auto"/>
          <w:lang w:val="hr-HR" w:eastAsia="hr-HR" w:bidi="hr-HR"/>
        </w:rPr>
        <w:t>glauben,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1968; H. Vorgrimlcr, Thcologischc Bcmcrkungcn zum Athcismus, </w:t>
      </w:r>
      <w:r>
        <w:rPr>
          <w:i/>
          <w:iCs/>
          <w:color w:val="000000"/>
          <w:spacing w:val="0"/>
          <w:w w:val="100"/>
          <w:position w:val="0"/>
          <w:shd w:val="clear" w:color="auto" w:fill="auto"/>
        </w:rPr>
        <w:t xml:space="preserve">Myslerium </w:t>
      </w:r>
      <w:r>
        <w:rPr>
          <w:i/>
          <w:iCs/>
          <w:color w:val="000000"/>
          <w:spacing w:val="0"/>
          <w:w w:val="100"/>
          <w:position w:val="0"/>
          <w:shd w:val="clear" w:color="auto" w:fill="auto"/>
          <w:lang w:val="hr-HR" w:eastAsia="hr-HR" w:bidi="hr-HR"/>
        </w:rPr>
        <w:t>Salulis 3f2,</w:t>
      </w:r>
      <w:r>
        <w:rPr>
          <w:color w:val="000000"/>
          <w:spacing w:val="0"/>
          <w:w w:val="100"/>
          <w:position w:val="0"/>
          <w:shd w:val="clear" w:color="auto" w:fill="auto"/>
          <w:lang w:val="hr-HR" w:eastAsia="hr-HR" w:bidi="hr-HR"/>
        </w:rPr>
        <w:t xml:space="preserve"> 582-603, Einsicdcln 1969; H. Zahrnt, </w:t>
      </w:r>
      <w:r>
        <w:rPr>
          <w:i/>
          <w:iCs/>
          <w:color w:val="000000"/>
          <w:spacing w:val="0"/>
          <w:w w:val="100"/>
          <w:position w:val="0"/>
          <w:shd w:val="clear" w:color="auto" w:fill="auto"/>
          <w:lang w:val="hr-HR" w:eastAsia="hr-HR" w:bidi="hr-HR"/>
        </w:rPr>
        <w:t>Gon kann nichl sterben,</w:t>
      </w:r>
      <w:r>
        <w:rPr>
          <w:color w:val="000000"/>
          <w:spacing w:val="0"/>
          <w:w w:val="100"/>
          <w:position w:val="0"/>
          <w:shd w:val="clear" w:color="auto" w:fill="auto"/>
          <w:lang w:val="hr-HR" w:eastAsia="hr-HR" w:bidi="hr-HR"/>
        </w:rPr>
        <w:t xml:space="preserve"> Miincbcn 1970; H. </w:t>
      </w:r>
      <w:r>
        <w:rPr>
          <w:color w:val="000000"/>
          <w:spacing w:val="0"/>
          <w:w w:val="100"/>
          <w:position w:val="0"/>
          <w:shd w:val="clear" w:color="auto" w:fill="auto"/>
        </w:rPr>
        <w:t xml:space="preserve">Ott, </w:t>
      </w:r>
      <w:r>
        <w:rPr>
          <w:i/>
          <w:iCs/>
          <w:color w:val="000000"/>
          <w:spacing w:val="0"/>
          <w:w w:val="100"/>
          <w:position w:val="0"/>
          <w:shd w:val="clear" w:color="auto" w:fill="auto"/>
        </w:rPr>
        <w:t>Goll,</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1971; H.-M. Barlh, </w:t>
      </w:r>
      <w:r>
        <w:rPr>
          <w:i/>
          <w:iCs/>
          <w:color w:val="000000"/>
          <w:spacing w:val="0"/>
          <w:w w:val="100"/>
          <w:position w:val="0"/>
          <w:shd w:val="clear" w:color="auto" w:fill="auto"/>
          <w:lang w:val="hr-HR" w:eastAsia="hr-HR" w:bidi="hr-HR"/>
        </w:rPr>
        <w:t>Alheismus - Geschichte und Begriff,</w:t>
      </w:r>
      <w:r>
        <w:rPr>
          <w:color w:val="000000"/>
          <w:spacing w:val="0"/>
          <w:w w:val="100"/>
          <w:position w:val="0"/>
          <w:shd w:val="clear" w:color="auto" w:fill="auto"/>
          <w:lang w:val="hr-HR" w:eastAsia="hr-HR" w:bidi="hr-HR"/>
        </w:rPr>
        <w:t xml:space="preserve"> Munchcn 1973; II. </w:t>
      </w:r>
      <w:r>
        <w:rPr>
          <w:color w:val="000000"/>
          <w:spacing w:val="0"/>
          <w:w w:val="100"/>
          <w:position w:val="0"/>
          <w:shd w:val="clear" w:color="auto" w:fill="auto"/>
        </w:rPr>
        <w:t xml:space="preserve">Kiing, </w:t>
      </w:r>
      <w:r>
        <w:rPr>
          <w:i/>
          <w:iCs/>
          <w:color w:val="000000"/>
          <w:spacing w:val="0"/>
          <w:w w:val="100"/>
          <w:position w:val="0"/>
          <w:shd w:val="clear" w:color="auto" w:fill="auto"/>
        </w:rPr>
        <w:t>Existien Gott?,</w:t>
      </w:r>
      <w:r>
        <w:rPr>
          <w:color w:val="000000"/>
          <w:spacing w:val="0"/>
          <w:w w:val="100"/>
          <w:position w:val="0"/>
          <w:shd w:val="clear" w:color="auto" w:fill="auto"/>
        </w:rPr>
        <w:t xml:space="preserve"> MUnchcn </w:t>
      </w:r>
      <w:r>
        <w:rPr>
          <w:color w:val="000000"/>
          <w:spacing w:val="0"/>
          <w:w w:val="100"/>
          <w:position w:val="0"/>
          <w:shd w:val="clear" w:color="auto" w:fill="auto"/>
          <w:lang w:val="hr-HR" w:eastAsia="hr-HR" w:bidi="hr-HR"/>
        </w:rPr>
        <w:t>1978.</w:t>
      </w:r>
    </w:p>
    <w:p>
      <w:pPr>
        <w:pStyle w:val="Style74"/>
        <w:keepNext w:val="0"/>
        <w:keepLines w:val="0"/>
        <w:widowControl w:val="0"/>
        <w:shd w:val="clear" w:color="auto" w:fill="auto"/>
        <w:bidi w:val="0"/>
        <w:spacing w:before="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O. LVERS</w:t>
      </w:r>
    </w:p>
    <w:p>
      <w:pPr>
        <w:pStyle w:val="Style63"/>
        <w:keepNext/>
        <w:keepLines/>
        <w:widowControl w:val="0"/>
        <w:numPr>
          <w:ilvl w:val="0"/>
          <w:numId w:val="33"/>
        </w:numPr>
        <w:shd w:val="clear" w:color="auto" w:fill="auto"/>
        <w:tabs>
          <w:tab w:pos="265" w:val="left"/>
        </w:tabs>
        <w:bidi w:val="0"/>
        <w:spacing w:before="0"/>
        <w:ind w:left="0" w:right="0" w:firstLine="0"/>
        <w:jc w:val="both"/>
      </w:pPr>
      <w:bookmarkStart w:id="42" w:name="bookmark42"/>
      <w:r>
        <w:rPr>
          <w:rFonts w:ascii="Times New Roman" w:eastAsia="Times New Roman" w:hAnsi="Times New Roman" w:cs="Times New Roman"/>
          <w:color w:val="000000"/>
          <w:spacing w:val="0"/>
          <w:w w:val="100"/>
          <w:position w:val="0"/>
          <w:shd w:val="clear" w:color="auto" w:fill="auto"/>
          <w:lang w:val="hr-HR" w:eastAsia="hr-HR" w:bidi="hr-HR"/>
        </w:rPr>
        <w:t>islamski</w:t>
      </w:r>
      <w:bookmarkEnd w:id="42"/>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je po islamskome shvaćanju svjesno nijeka</w:t>
        <w:softHyphen/>
        <w:t>nje Boga. To se nijekanje žestoko odbacuje ukoliko izvire iz one filozofije koja se oslanja na razum. Za pobožne muslimane »poganska« je filozofija općenito dvojbena zato što obez</w:t>
        <w:softHyphen/>
        <w:t>vređuje sveti Zakon. »Jer od nevjere se može</w:t>
        <w:softHyphen/>
      </w:r>
      <w:r>
        <w:rPr>
          <w:rFonts w:ascii="Times New Roman" w:eastAsia="Times New Roman" w:hAnsi="Times New Roman" w:cs="Times New Roman"/>
          <w:color w:val="000000"/>
          <w:spacing w:val="0"/>
          <w:w w:val="100"/>
          <w:position w:val="0"/>
          <w:shd w:val="clear" w:color="auto" w:fill="auto"/>
          <w:lang w:val="hr-HR" w:eastAsia="hr-HR" w:bidi="hr-HR"/>
        </w:rPr>
        <w:t>mo čuvati kada je ona razotkrivena. No umije</w:t>
        <w:softHyphen/>
        <w:t>će raspravljanja i samome znalcu ometa put.« Prema ortodoksnomu nauku za ateiste je u božanskom planu providnosti predviđen vječ</w:t>
        <w:softHyphen/>
        <w:t>ni pakao. Šerijatsko pravo zabranjuje vjerni</w:t>
        <w:softHyphen/>
        <w:t>cima stupanje u brak s ateistima. Za njih ne</w:t>
        <w:softHyphen/>
        <w:t>ma mjesta ni na muslimanskim grobljima. Predaja kaže: »Onaj tko se u životu odvojio od zajednice, taj ni u smrti ne smije biti za</w:t>
        <w:softHyphen/>
        <w:t>jedno s njom«.</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Šijiti su ateiste smatrali nečistima. Oni su se pritom pozivali na stih iz Kurana (9,28) koji idolopoklonike proglašuje utjelovljenom prljav- štinom. S obzirom na to, većina sunita imala je rastegljiviji stav. A. se općenito odbacuje utoliko žešće što više uočljivim postaju nje</w:t>
        <w:softHyphen/>
        <w:t xml:space="preserve">gova politička očekivanja. Ukoliko se radi o ateizmu bez ideološke podloge, utoliko je po Kuranu dozvoljen suživot s njim: »Tko želi, neka vjeruje, tko želi, neka ostane u nevjeri«. Postavke za religiozno i etičko izjednačavanje vjernika s ateistom pruža prije svega mistika. Tako </w:t>
      </w:r>
      <w:r>
        <w:rPr>
          <w:rFonts w:ascii="Times New Roman" w:eastAsia="Times New Roman" w:hAnsi="Times New Roman" w:cs="Times New Roman"/>
          <w:color w:val="000000"/>
          <w:spacing w:val="0"/>
          <w:w w:val="100"/>
          <w:position w:val="0"/>
          <w:shd w:val="clear" w:color="auto" w:fill="auto"/>
          <w:lang w:val="en-US" w:eastAsia="en-US" w:bidi="en-US"/>
        </w:rPr>
        <w:t xml:space="preserve">Abu </w:t>
      </w:r>
      <w:r>
        <w:rPr>
          <w:rFonts w:ascii="Times New Roman" w:eastAsia="Times New Roman" w:hAnsi="Times New Roman" w:cs="Times New Roman"/>
          <w:color w:val="000000"/>
          <w:spacing w:val="0"/>
          <w:w w:val="100"/>
          <w:position w:val="0"/>
          <w:shd w:val="clear" w:color="auto" w:fill="auto"/>
          <w:lang w:val="hr-HR" w:eastAsia="hr-HR" w:bidi="hr-HR"/>
        </w:rPr>
        <w:t>Sa’id ibn Abll-Khayr, (u. 1049), zahtijeva prvenstvo osobnoga stava svakog pojedinca prema Bogu: »Nitko neće postati pravim muslimanom sve dok mu vjera i nevje</w:t>
        <w:softHyphen/>
        <w:t>ra ne postanu jednake«. Dakako, apsolutna većina muslimana smatra to stajalište teološki neprihvatljivim. U socijalističkim se državama kod religiologa mnogo toga promijenilo u od</w:t>
        <w:softHyphen/>
        <w:t>nosu na a. Tamo se sve češće susreće misao da se pod predznakom moralnih vrijednosnih su</w:t>
        <w:softHyphen/>
        <w:t>dova prvenstvo treba dati čovjekovim osob</w:t>
        <w:softHyphen/>
        <w:t>nim načinima djelovanja. Nasuprot tomu, u pozadinu stupa individualna krivnja za a.</w:t>
      </w:r>
    </w:p>
    <w:p>
      <w:pPr>
        <w:pStyle w:val="Style56"/>
        <w:keepNext w:val="0"/>
        <w:keepLines w:val="0"/>
        <w:widowControl w:val="0"/>
        <w:shd w:val="clear" w:color="auto" w:fill="auto"/>
        <w:tabs>
          <w:tab w:pos="2525" w:val="left"/>
        </w:tabs>
        <w:bidi w:val="0"/>
        <w:spacing w:before="0" w:after="40" w:line="240" w:lineRule="auto"/>
        <w:ind w:left="0" w:right="0" w:firstLine="0"/>
        <w:jc w:val="both"/>
        <w:rPr>
          <w:sz w:val="10"/>
          <w:szCs w:val="10"/>
        </w:rPr>
        <w:sectPr>
          <w:headerReference w:type="default" r:id="rId163"/>
          <w:footerReference w:type="default" r:id="rId164"/>
          <w:headerReference w:type="even" r:id="rId165"/>
          <w:footerReference w:type="even" r:id="rId166"/>
          <w:footnotePr>
            <w:pos w:val="pageBottom"/>
            <w:numFmt w:val="decimal"/>
            <w:numStart w:val="5"/>
            <w:numRestart w:val="continuous"/>
            <w15:footnoteColumns w:val="1"/>
          </w:footnotePr>
          <w:type w:val="continuous"/>
          <w:pgSz w:w="6816" w:h="11006"/>
          <w:pgMar w:top="954" w:left="178" w:right="182" w:bottom="525" w:header="0" w:footer="3" w:gutter="0"/>
          <w:cols w:num="2" w:space="157"/>
          <w:noEndnote/>
          <w:rtlGutter w:val="0"/>
          <w:docGrid w:linePitch="360"/>
        </w:sectPr>
      </w:pPr>
      <w:r>
        <w:rPr>
          <w:color w:val="000000"/>
          <w:spacing w:val="0"/>
          <w:w w:val="100"/>
          <w:position w:val="0"/>
          <w:sz w:val="12"/>
          <w:szCs w:val="12"/>
          <w:shd w:val="clear" w:color="auto" w:fill="auto"/>
          <w:lang w:val="hr-HR" w:eastAsia="hr-HR" w:bidi="hr-HR"/>
        </w:rPr>
        <w:t>Lit.: EI</w:t>
      </w:r>
      <w:r>
        <w:rPr>
          <w:color w:val="000000"/>
          <w:spacing w:val="0"/>
          <w:w w:val="100"/>
          <w:position w:val="0"/>
          <w:sz w:val="12"/>
          <w:szCs w:val="12"/>
          <w:shd w:val="clear" w:color="auto" w:fill="auto"/>
          <w:vertAlign w:val="superscript"/>
          <w:lang w:val="hr-HR" w:eastAsia="hr-HR" w:bidi="hr-HR"/>
        </w:rPr>
        <w:t>2</w:t>
      </w:r>
      <w:r>
        <w:rPr>
          <w:color w:val="000000"/>
          <w:spacing w:val="0"/>
          <w:w w:val="100"/>
          <w:position w:val="0"/>
          <w:sz w:val="12"/>
          <w:szCs w:val="12"/>
          <w:shd w:val="clear" w:color="auto" w:fill="auto"/>
          <w:lang w:val="hr-HR" w:eastAsia="hr-HR" w:bidi="hr-HR"/>
        </w:rPr>
        <w:t xml:space="preserve">, natuknica: Kufr; </w:t>
      </w:r>
      <w:r>
        <w:rPr>
          <w:color w:val="000000"/>
          <w:spacing w:val="0"/>
          <w:w w:val="100"/>
          <w:position w:val="0"/>
          <w:sz w:val="12"/>
          <w:szCs w:val="12"/>
          <w:shd w:val="clear" w:color="auto" w:fill="auto"/>
        </w:rPr>
        <w:t xml:space="preserve">Helmut Ritter, </w:t>
      </w:r>
      <w:r>
        <w:rPr>
          <w:i/>
          <w:iCs/>
          <w:color w:val="000000"/>
          <w:spacing w:val="0"/>
          <w:w w:val="100"/>
          <w:position w:val="0"/>
          <w:sz w:val="12"/>
          <w:szCs w:val="12"/>
          <w:shd w:val="clear" w:color="auto" w:fill="auto"/>
        </w:rPr>
        <w:t>Das Meer der Seete,</w:t>
      </w:r>
      <w:r>
        <w:rPr>
          <w:color w:val="000000"/>
          <w:spacing w:val="0"/>
          <w:w w:val="100"/>
          <w:position w:val="0"/>
          <w:sz w:val="12"/>
          <w:szCs w:val="12"/>
          <w:shd w:val="clear" w:color="auto" w:fill="auto"/>
        </w:rPr>
        <w:t xml:space="preserve"> Ixidcn 1955.</w:t>
        <w:tab/>
      </w:r>
      <w:r>
        <w:rPr>
          <w:rFonts w:ascii="Times New Roman" w:eastAsia="Times New Roman" w:hAnsi="Times New Roman" w:cs="Times New Roman"/>
          <w:b/>
          <w:bCs/>
          <w:color w:val="000000"/>
          <w:spacing w:val="0"/>
          <w:w w:val="100"/>
          <w:position w:val="0"/>
          <w:sz w:val="10"/>
          <w:szCs w:val="10"/>
          <w:shd w:val="clear" w:color="auto" w:fill="auto"/>
        </w:rPr>
        <w:t xml:space="preserve">S. </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BAI.IĆ</w:t>
      </w:r>
    </w:p>
    <w:p>
      <w:pPr>
        <w:pStyle w:val="Style33"/>
        <w:keepNext w:val="0"/>
        <w:keepLines w:val="0"/>
        <w:widowControl w:val="0"/>
        <w:shd w:val="clear" w:color="auto" w:fill="auto"/>
        <w:bidi w:val="0"/>
        <w:spacing w:before="0" w:after="60" w:line="254"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BESMRTNOST -&gt; DUŠA, -&gt; USKRSNUĆE</w:t>
      </w:r>
    </w:p>
    <w:p>
      <w:pPr>
        <w:pStyle w:val="Style33"/>
        <w:keepNext w:val="0"/>
        <w:keepLines w:val="0"/>
        <w:widowControl w:val="0"/>
        <w:shd w:val="clear" w:color="auto" w:fill="auto"/>
        <w:bidi w:val="0"/>
        <w:spacing w:before="0" w:after="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BIBLIJA -&gt; SVETA PISMA</w:t>
      </w:r>
    </w:p>
    <w:p>
      <w:pPr>
        <w:pStyle w:val="Style33"/>
        <w:keepNext w:val="0"/>
        <w:keepLines w:val="0"/>
        <w:widowControl w:val="0"/>
        <w:shd w:val="clear" w:color="auto" w:fill="auto"/>
        <w:bidi w:val="0"/>
        <w:spacing w:before="0" w:after="2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BISKUP -&gt; SLUŽBA</w:t>
      </w:r>
    </w:p>
    <w:p>
      <w:pPr>
        <w:pStyle w:val="Style33"/>
        <w:keepNext w:val="0"/>
        <w:keepLines w:val="0"/>
        <w:widowControl w:val="0"/>
        <w:shd w:val="clear" w:color="auto" w:fill="auto"/>
        <w:bidi w:val="0"/>
        <w:spacing w:before="0" w:after="140" w:line="221"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BOG</w:t>
      </w:r>
    </w:p>
    <w:p>
      <w:pPr>
        <w:pStyle w:val="Style63"/>
        <w:keepNext/>
        <w:keepLines/>
        <w:widowControl w:val="0"/>
        <w:numPr>
          <w:ilvl w:val="0"/>
          <w:numId w:val="35"/>
        </w:numPr>
        <w:shd w:val="clear" w:color="auto" w:fill="auto"/>
        <w:tabs>
          <w:tab w:pos="255" w:val="left"/>
        </w:tabs>
        <w:bidi w:val="0"/>
        <w:spacing w:before="0"/>
        <w:ind w:left="0" w:right="0" w:firstLine="0"/>
        <w:jc w:val="left"/>
      </w:pPr>
      <w:bookmarkStart w:id="43" w:name="bookmark43"/>
      <w:r>
        <w:rPr>
          <w:rFonts w:ascii="Times New Roman" w:eastAsia="Times New Roman" w:hAnsi="Times New Roman" w:cs="Times New Roman"/>
          <w:color w:val="000000"/>
          <w:spacing w:val="0"/>
          <w:w w:val="100"/>
          <w:position w:val="0"/>
          <w:shd w:val="clear" w:color="auto" w:fill="auto"/>
          <w:lang w:val="hr-HR" w:eastAsia="hr-HR" w:bidi="hr-HR"/>
        </w:rPr>
        <w:t>židovski</w:t>
      </w:r>
      <w:bookmarkEnd w:id="43"/>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»Čuj, Izraele: ON naš Bog, ON jedini!«</w:t>
      </w:r>
      <w:r>
        <w:rPr>
          <w:rFonts w:ascii="Times New Roman" w:eastAsia="Times New Roman" w:hAnsi="Times New Roman" w:cs="Times New Roman"/>
          <w:color w:val="000000"/>
          <w:spacing w:val="0"/>
          <w:w w:val="100"/>
          <w:position w:val="0"/>
          <w:shd w:val="clear" w:color="auto" w:fill="auto"/>
          <w:lang w:val="hr-HR" w:eastAsia="hr-HR" w:bidi="hr-HR"/>
        </w:rPr>
        <w:t xml:space="preserve"> Ni jedna druga biblijska riječ nije postigla taj rang u liturgiji, homilijama i u židovskoj svakodne- vici kao »Sema Jisrael« (Pnz 6,4). Treba je uskliknuti potpuno sabranih misli, glasno, is</w:t>
        <w:softHyphen/>
        <w:t>tičući njezinu važnost, i »da njegove uši čuju što se izgovorilo ustima« (Šulhan aruh, Orah hajim 17,3.5, usp. M Berahot 11,3) kako bi se zadovoljio »propis intenziteta« (b Berahot 13b): »Riječi ove što ti ih danas naređujem, neka ti se urežu u srce« (Pnz 6,6). Već u razdoblju drugoga Hrama biblijski odlomci, Pnz 6,4-9;</w:t>
      </w:r>
    </w:p>
    <w:p>
      <w:pPr>
        <w:pStyle w:val="Style20"/>
        <w:keepNext w:val="0"/>
        <w:keepLines w:val="0"/>
        <w:widowControl w:val="0"/>
        <w:numPr>
          <w:ilvl w:val="0"/>
          <w:numId w:val="37"/>
        </w:numPr>
        <w:shd w:val="clear" w:color="auto" w:fill="auto"/>
        <w:tabs>
          <w:tab w:pos="332"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12-21; Br 15,37-41 spojeni su u cjelinu (M Berahot 11,2; b 14b) i čine neizostavan dio svakodnevne jutarnje i večernje molitve (M Berahot 1,1; Tamid V,l; Josip </w:t>
      </w:r>
      <w:r>
        <w:rPr>
          <w:rFonts w:ascii="Times New Roman" w:eastAsia="Times New Roman" w:hAnsi="Times New Roman" w:cs="Times New Roman"/>
          <w:color w:val="000000"/>
          <w:spacing w:val="0"/>
          <w:w w:val="100"/>
          <w:position w:val="0"/>
          <w:shd w:val="clear" w:color="auto" w:fill="auto"/>
          <w:lang w:val="en-US" w:eastAsia="en-US" w:bidi="en-US"/>
        </w:rPr>
        <w:t xml:space="preserve">Flavije.Anriqu- </w:t>
      </w:r>
      <w:r>
        <w:rPr>
          <w:rFonts w:ascii="Times New Roman" w:eastAsia="Times New Roman" w:hAnsi="Times New Roman" w:cs="Times New Roman"/>
          <w:i/>
          <w:iCs/>
          <w:color w:val="000000"/>
          <w:spacing w:val="0"/>
          <w:w w:val="100"/>
          <w:position w:val="0"/>
          <w:shd w:val="clear" w:color="auto" w:fill="auto"/>
          <w:lang w:val="hr-HR" w:eastAsia="hr-HR" w:bidi="hr-HR"/>
        </w:rPr>
        <w:t xml:space="preserve">itates </w:t>
      </w:r>
      <w:r>
        <w:rPr>
          <w:rFonts w:ascii="Times New Roman" w:eastAsia="Times New Roman" w:hAnsi="Times New Roman" w:cs="Times New Roman"/>
          <w:i/>
          <w:iCs/>
          <w:color w:val="000000"/>
          <w:spacing w:val="0"/>
          <w:w w:val="100"/>
          <w:position w:val="0"/>
          <w:shd w:val="clear" w:color="auto" w:fill="auto"/>
          <w:lang w:val="en-US" w:eastAsia="en-US" w:bidi="en-US"/>
        </w:rPr>
        <w:t>iudaicae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IV,8,13). </w:t>
      </w:r>
      <w:r>
        <w:rPr>
          <w:rFonts w:ascii="Times New Roman" w:eastAsia="Times New Roman" w:hAnsi="Times New Roman" w:cs="Times New Roman"/>
          <w:i/>
          <w:iCs/>
          <w:color w:val="000000"/>
          <w:spacing w:val="0"/>
          <w:w w:val="100"/>
          <w:position w:val="0"/>
          <w:shd w:val="clear" w:color="auto" w:fill="auto"/>
          <w:lang w:val="hr-HR" w:eastAsia="hr-HR" w:bidi="hr-HR"/>
        </w:rPr>
        <w:t>Sema Jisrael</w:t>
      </w:r>
      <w:r>
        <w:rPr>
          <w:rFonts w:ascii="Times New Roman" w:eastAsia="Times New Roman" w:hAnsi="Times New Roman" w:cs="Times New Roman"/>
          <w:color w:val="000000"/>
          <w:spacing w:val="0"/>
          <w:w w:val="100"/>
          <w:position w:val="0"/>
          <w:shd w:val="clear" w:color="auto" w:fill="auto"/>
          <w:lang w:val="hr-HR" w:eastAsia="hr-HR" w:bidi="hr-HR"/>
        </w:rPr>
        <w:t xml:space="preserve"> potječe od početka prve rečenice: »Čuj, Izraele: ON naš Bog, On jedini!« Tim riječima Židov iska</w:t>
        <w:softHyphen/>
        <w:t xml:space="preserve">zuje </w:t>
      </w:r>
      <w:r>
        <w:rPr>
          <w:rFonts w:ascii="Times New Roman" w:eastAsia="Times New Roman" w:hAnsi="Times New Roman" w:cs="Times New Roman"/>
          <w:i/>
          <w:iCs/>
          <w:color w:val="000000"/>
          <w:spacing w:val="0"/>
          <w:w w:val="100"/>
          <w:position w:val="0"/>
          <w:shd w:val="clear" w:color="auto" w:fill="auto"/>
          <w:lang w:val="hr-HR" w:eastAsia="hr-HR" w:bidi="hr-HR"/>
        </w:rPr>
        <w:t>jedinstvo i jedinost</w:t>
      </w:r>
      <w:r>
        <w:rPr>
          <w:rFonts w:ascii="Times New Roman" w:eastAsia="Times New Roman" w:hAnsi="Times New Roman" w:cs="Times New Roman"/>
          <w:color w:val="000000"/>
          <w:spacing w:val="0"/>
          <w:w w:val="100"/>
          <w:position w:val="0"/>
          <w:shd w:val="clear" w:color="auto" w:fill="auto"/>
          <w:lang w:val="hr-HR" w:eastAsia="hr-HR" w:bidi="hr-HR"/>
        </w:rPr>
        <w:t xml:space="preserve"> Boga. One se zasebno recitiraju pri čitanju Tore na šabat i na blag</w:t>
        <w:softHyphen/>
        <w:t>dane te u keduši Musafa (trisagion) i u za</w:t>
        <w:softHyphen/>
        <w:t xml:space="preserve">ključnoj molitvi (Neila) na Dan pomirenja te na drugim mjestima u dnevnim molitvama (J. H. </w:t>
      </w:r>
      <w:r>
        <w:rPr>
          <w:rFonts w:ascii="Times New Roman" w:eastAsia="Times New Roman" w:hAnsi="Times New Roman" w:cs="Times New Roman"/>
          <w:color w:val="000000"/>
          <w:spacing w:val="0"/>
          <w:w w:val="100"/>
          <w:position w:val="0"/>
          <w:shd w:val="clear" w:color="auto" w:fill="auto"/>
          <w:lang w:val="en-US" w:eastAsia="en-US" w:bidi="en-US"/>
        </w:rPr>
        <w:t xml:space="preserve">Hertz, </w:t>
      </w:r>
      <w:r>
        <w:rPr>
          <w:rFonts w:ascii="Times New Roman" w:eastAsia="Times New Roman" w:hAnsi="Times New Roman" w:cs="Times New Roman"/>
          <w:i/>
          <w:iCs/>
          <w:color w:val="000000"/>
          <w:spacing w:val="0"/>
          <w:w w:val="100"/>
          <w:position w:val="0"/>
          <w:shd w:val="clear" w:color="auto" w:fill="auto"/>
          <w:lang w:val="en-US" w:eastAsia="en-US" w:bidi="en-US"/>
        </w:rPr>
        <w:t xml:space="preserve">The Authorized Daily Prayer Book, </w:t>
      </w:r>
      <w:r>
        <w:rPr>
          <w:rFonts w:ascii="Times New Roman" w:eastAsia="Times New Roman" w:hAnsi="Times New Roman" w:cs="Times New Roman"/>
          <w:color w:val="000000"/>
          <w:spacing w:val="0"/>
          <w:w w:val="100"/>
          <w:position w:val="0"/>
          <w:shd w:val="clear" w:color="auto" w:fill="auto"/>
          <w:lang w:val="en-US" w:eastAsia="en-US" w:bidi="en-US"/>
        </w:rPr>
        <w:t xml:space="preserve">1946, 116 i d. 480 i d. 528 i d. 936 i d. 30; I. El- bogen, </w:t>
      </w:r>
      <w:r>
        <w:rPr>
          <w:rFonts w:ascii="Times New Roman" w:eastAsia="Times New Roman" w:hAnsi="Times New Roman" w:cs="Times New Roman"/>
          <w:i/>
          <w:iCs/>
          <w:color w:val="000000"/>
          <w:spacing w:val="0"/>
          <w:w w:val="100"/>
          <w:position w:val="0"/>
          <w:shd w:val="clear" w:color="auto" w:fill="auto"/>
          <w:lang w:val="en-US" w:eastAsia="en-US" w:bidi="en-US"/>
        </w:rPr>
        <w:t>Der jtidische Gottesdienst in seiner ge- schichtlichen Entwicklung,</w:t>
      </w:r>
      <w:r>
        <w:rPr>
          <w:rFonts w:ascii="Times New Roman" w:eastAsia="Times New Roman" w:hAnsi="Times New Roman" w:cs="Times New Roman"/>
          <w:color w:val="000000"/>
          <w:spacing w:val="0"/>
          <w:w w:val="100"/>
          <w:position w:val="0"/>
          <w:shd w:val="clear" w:color="auto" w:fill="auto"/>
          <w:lang w:val="en-US" w:eastAsia="en-US" w:bidi="en-US"/>
        </w:rPr>
        <w:t xml:space="preserve"> 1931/1967, 16 i d. 63 i d., 199.212.247.507). </w:t>
      </w:r>
      <w:r>
        <w:rPr>
          <w:rFonts w:ascii="Times New Roman" w:eastAsia="Times New Roman" w:hAnsi="Times New Roman" w:cs="Times New Roman"/>
          <w:color w:val="000000"/>
          <w:spacing w:val="0"/>
          <w:w w:val="100"/>
          <w:position w:val="0"/>
          <w:shd w:val="clear" w:color="auto" w:fill="auto"/>
          <w:lang w:val="hr-HR" w:eastAsia="hr-HR" w:bidi="hr-HR"/>
        </w:rPr>
        <w:t>Upadljivo ponavlja</w:t>
        <w:softHyphen/>
        <w:t xml:space="preserve">nje u bogoslužju dokazuje revnost i predanost koje su učitelji židovstva ukorijenili i štitili u svojem narodu pri uskliku Jedan Jedini. Ucjep- ljivao se djeci na jutarnjoj i večernjoj molitvi; u novije vrijeme prihvaća ga i dječak na Bar </w:t>
      </w:r>
      <w:r>
        <w:rPr>
          <w:rFonts w:ascii="Times New Roman" w:eastAsia="Times New Roman" w:hAnsi="Times New Roman" w:cs="Times New Roman"/>
          <w:color w:val="000000"/>
          <w:spacing w:val="0"/>
          <w:w w:val="100"/>
          <w:position w:val="0"/>
          <w:shd w:val="clear" w:color="auto" w:fill="auto"/>
          <w:lang w:val="hr-HR" w:eastAsia="hr-HR" w:bidi="hr-HR"/>
        </w:rPr>
        <w:t>micvi kao svjesnu pripadnost zajednici; te su riječi od davnine dokazane kao glas umiruće</w:t>
        <w:softHyphen/>
        <w:t xml:space="preserve">ga ili onih koji su se skupili oko njega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 xml:space="preserve">Hertz, op. </w:t>
      </w:r>
      <w:r>
        <w:rPr>
          <w:rFonts w:ascii="Times New Roman" w:eastAsia="Times New Roman" w:hAnsi="Times New Roman" w:cs="Times New Roman"/>
          <w:color w:val="000000"/>
          <w:spacing w:val="0"/>
          <w:w w:val="100"/>
          <w:position w:val="0"/>
          <w:shd w:val="clear" w:color="auto" w:fill="auto"/>
          <w:lang w:val="hr-HR" w:eastAsia="hr-HR" w:bidi="hr-HR"/>
        </w:rPr>
        <w:t xml:space="preserve">cit., 1116 i d. 1042 i d. 1064 i d.), prema midrašu već za smrtni čas patrijarha Jakova (= Izraela prema Post 32,28; 35,10): »Otkada su Izraelci tako sretni da čitaju </w:t>
      </w:r>
      <w:r>
        <w:rPr>
          <w:rFonts w:ascii="Times New Roman" w:eastAsia="Times New Roman" w:hAnsi="Times New Roman" w:cs="Times New Roman"/>
          <w:i/>
          <w:iCs/>
          <w:color w:val="000000"/>
          <w:spacing w:val="0"/>
          <w:w w:val="100"/>
          <w:position w:val="0"/>
          <w:shd w:val="clear" w:color="auto" w:fill="auto"/>
          <w:lang w:val="hr-HR" w:eastAsia="hr-HR" w:bidi="hr-HR"/>
        </w:rPr>
        <w:t>Še</w:t>
        <w:softHyphen/>
        <w:t>ma?</w:t>
      </w:r>
      <w:r>
        <w:rPr>
          <w:rFonts w:ascii="Times New Roman" w:eastAsia="Times New Roman" w:hAnsi="Times New Roman" w:cs="Times New Roman"/>
          <w:color w:val="000000"/>
          <w:spacing w:val="0"/>
          <w:w w:val="100"/>
          <w:position w:val="0"/>
          <w:shd w:val="clear" w:color="auto" w:fill="auto"/>
          <w:lang w:val="hr-HR" w:eastAsia="hr-HR" w:bidi="hr-HR"/>
        </w:rPr>
        <w:t xml:space="preserve"> Od trenutka kada se Jakov približio smrti. Tada je sazvao sva plemena i obratio im se riječima: Možda ćete poslije mojeg odlaska s ovoga svijeta štovati nekoga drugog boga?... Oni su odgovorili: ‘Čuj, Izraele. ON naš Bog, On jedini!’« (Devarim raba 11,6,4). O Rabi Akivi (u. 135. pos. Kr.) izvješćuje se da je, prije negoli su ga Rimljani pogubili, iskazao svoju vjeru ovako: »Otezao je (riječ) Jedini sve dok pri Jedini nije ispustio dušu« (b Bera</w:t>
        <w:softHyphen/>
        <w:t xml:space="preserve">hot 61b). Mučenici su recitirali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i glasno iskazivali vjeru u Jednoga jedinog kad su išli u smrt (usp. »Midraš desetorice mučenika«; H. H.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 xml:space="preserve">Sasson, izd.,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des jiidischen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Volkes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1978, 410 i d.; N. N. Glatzer, </w:t>
      </w:r>
      <w:r>
        <w:rPr>
          <w:rFonts w:ascii="Times New Roman" w:eastAsia="Times New Roman" w:hAnsi="Times New Roman" w:cs="Times New Roman"/>
          <w:i/>
          <w:iCs/>
          <w:color w:val="000000"/>
          <w:spacing w:val="0"/>
          <w:w w:val="100"/>
          <w:position w:val="0"/>
          <w:shd w:val="clear" w:color="auto" w:fill="auto"/>
          <w:lang w:val="hr-HR" w:eastAsia="hr-HR" w:bidi="hr-HR"/>
        </w:rPr>
        <w:t>Ge</w:t>
        <w:softHyphen/>
        <w:t>schichte der talmudischen Zeit,</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1981, 46 i d.). »Te riječi«, kojima, prema starom tumačenju, govornik objavljuje svoju ljubav prema Bogu, jer njima spoznaje Boga i uči kako će se pri</w:t>
        <w:softHyphen/>
        <w:t>ključiti njegovim putovima (Šifre Pnz 6,6), pra</w:t>
        <w:softHyphen/>
        <w:t>te židovski život: »Napominji ih svojim sino</w:t>
        <w:softHyphen/>
        <w:t>vima. Govori im o njima kad sjediš u svojoj kući i kad ideš putem; kad lijegaš i kad usta- ješ« (Pnz 6,7). To djelovanje odražavaju i po</w:t>
        <w:softHyphen/>
        <w:t xml:space="preserve">sebne molitve, npr., za novogodišnji blagdan: »Svet si i silno je tvoje Ime i </w:t>
      </w:r>
      <w:r>
        <w:rPr>
          <w:rFonts w:ascii="Times New Roman" w:eastAsia="Times New Roman" w:hAnsi="Times New Roman" w:cs="Times New Roman"/>
          <w:i/>
          <w:iCs/>
          <w:color w:val="000000"/>
          <w:spacing w:val="0"/>
          <w:w w:val="100"/>
          <w:position w:val="0"/>
          <w:shd w:val="clear" w:color="auto" w:fill="auto"/>
          <w:lang w:val="hr-HR" w:eastAsia="hr-HR" w:bidi="hr-HR"/>
        </w:rPr>
        <w:t>nema Boga osim tebe«</w:t>
      </w:r>
      <w:r>
        <w:rPr>
          <w:rFonts w:ascii="Times New Roman" w:eastAsia="Times New Roman" w:hAnsi="Times New Roman" w:cs="Times New Roman"/>
          <w:color w:val="000000"/>
          <w:spacing w:val="0"/>
          <w:w w:val="100"/>
          <w:position w:val="0"/>
          <w:shd w:val="clear" w:color="auto" w:fill="auto"/>
          <w:lang w:val="hr-HR" w:eastAsia="hr-HR" w:bidi="hr-HR"/>
        </w:rPr>
        <w:t xml:space="preserve"> u molitvi Osmanacst blagoslova ili u lita</w:t>
        <w:softHyphen/>
        <w:t xml:space="preserve">niji u kojoj zajednica od Roš ha-šane do Jom kipura potvrđuje: »... naš Otac, naš Kralj, </w:t>
      </w:r>
      <w:r>
        <w:rPr>
          <w:rFonts w:ascii="Times New Roman" w:eastAsia="Times New Roman" w:hAnsi="Times New Roman" w:cs="Times New Roman"/>
          <w:i/>
          <w:iCs/>
          <w:color w:val="000000"/>
          <w:spacing w:val="0"/>
          <w:w w:val="100"/>
          <w:position w:val="0"/>
          <w:shd w:val="clear" w:color="auto" w:fill="auto"/>
          <w:lang w:val="hr-HR" w:eastAsia="hr-HR" w:bidi="hr-HR"/>
        </w:rPr>
        <w:t>ne</w:t>
        <w:softHyphen/>
        <w:t>mamo drugoga kralja osim tebe«,</w:t>
      </w:r>
      <w:r>
        <w:rPr>
          <w:rFonts w:ascii="Times New Roman" w:eastAsia="Times New Roman" w:hAnsi="Times New Roman" w:cs="Times New Roman"/>
          <w:color w:val="000000"/>
          <w:spacing w:val="0"/>
          <w:w w:val="100"/>
          <w:position w:val="0"/>
          <w:shd w:val="clear" w:color="auto" w:fill="auto"/>
          <w:lang w:val="hr-HR" w:eastAsia="hr-HR" w:bidi="hr-HR"/>
        </w:rPr>
        <w:t xml:space="preserve"> ali i svakoga šabata kada okupljeni vjernici uvjeravaju: »Ti si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(jedini), i tvoje je Ime </w:t>
      </w:r>
      <w:r>
        <w:rPr>
          <w:rFonts w:ascii="Times New Roman" w:eastAsia="Times New Roman" w:hAnsi="Times New Roman" w:cs="Times New Roman"/>
          <w:i/>
          <w:iCs/>
          <w:color w:val="000000"/>
          <w:spacing w:val="0"/>
          <w:w w:val="100"/>
          <w:position w:val="0"/>
          <w:shd w:val="clear" w:color="auto" w:fill="auto"/>
          <w:lang w:val="hr-HR" w:eastAsia="hr-HR" w:bidi="hr-HR"/>
        </w:rPr>
        <w:t>jedno</w:t>
      </w:r>
      <w:r>
        <w:rPr>
          <w:rFonts w:ascii="Times New Roman" w:eastAsia="Times New Roman" w:hAnsi="Times New Roman" w:cs="Times New Roman"/>
          <w:color w:val="000000"/>
          <w:spacing w:val="0"/>
          <w:w w:val="100"/>
          <w:position w:val="0"/>
          <w:shd w:val="clear" w:color="auto" w:fill="auto"/>
          <w:lang w:val="hr-HR" w:eastAsia="hr-HR" w:bidi="hr-HR"/>
        </w:rPr>
        <w:t xml:space="preserve"> (jedino)«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 xml:space="preserve">Hertz, op. </w:t>
      </w:r>
      <w:r>
        <w:rPr>
          <w:rFonts w:ascii="Times New Roman" w:eastAsia="Times New Roman" w:hAnsi="Times New Roman" w:cs="Times New Roman"/>
          <w:color w:val="000000"/>
          <w:spacing w:val="0"/>
          <w:w w:val="100"/>
          <w:position w:val="0"/>
          <w:shd w:val="clear" w:color="auto" w:fill="auto"/>
          <w:lang w:val="hr-HR" w:eastAsia="hr-HR" w:bidi="hr-HR"/>
        </w:rPr>
        <w:t>cit. 850.162.578).</w:t>
      </w:r>
    </w:p>
    <w:p>
      <w:pPr>
        <w:pStyle w:val="Style20"/>
        <w:keepNext w:val="0"/>
        <w:keepLines w:val="0"/>
        <w:widowControl w:val="0"/>
        <w:shd w:val="clear" w:color="auto" w:fill="auto"/>
        <w:bidi w:val="0"/>
        <w:spacing w:before="0" w:after="0" w:line="254" w:lineRule="auto"/>
        <w:ind w:left="0" w:right="0" w:firstLine="0"/>
        <w:jc w:val="both"/>
        <w:sectPr>
          <w:headerReference w:type="default" r:id="rId167"/>
          <w:footerReference w:type="default" r:id="rId168"/>
          <w:headerReference w:type="even" r:id="rId169"/>
          <w:footerReference w:type="even" r:id="rId170"/>
          <w:footnotePr>
            <w:pos w:val="pageBottom"/>
            <w:numFmt w:val="decimal"/>
            <w:numStart w:val="5"/>
            <w:numRestart w:val="continuous"/>
            <w15:footnoteColumns w:val="1"/>
          </w:footnotePr>
          <w:pgSz w:w="6816" w:h="11006"/>
          <w:pgMar w:top="954" w:left="178" w:right="182" w:bottom="525" w:header="526" w:footer="97" w:gutter="0"/>
          <w:pgNumType w:start="65"/>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Svakodnevno, klicanjem istaknuto »jedinstvo« Boga nije tek površna riječ: poziv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Šema Jisrael </w:t>
      </w:r>
      <w:r>
        <w:rPr>
          <w:rFonts w:ascii="Times New Roman" w:eastAsia="Times New Roman" w:hAnsi="Times New Roman" w:cs="Times New Roman"/>
          <w:color w:val="000000"/>
          <w:spacing w:val="0"/>
          <w:w w:val="100"/>
          <w:position w:val="0"/>
          <w:shd w:val="clear" w:color="auto" w:fill="auto"/>
          <w:lang w:val="hr-HR" w:eastAsia="hr-HR" w:bidi="hr-HR"/>
        </w:rPr>
        <w:t xml:space="preserve">svaki put ostvaruje djelo zajednice izabranog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naroda, uzvik »ON naš Bog« svjedoči o njego</w:t>
        <w:softHyphen/>
        <w:t xml:space="preserve">voj neposrednoj prisutnosti, izgovaranje »ON jedini«, koje pokazuje sjedinjenost Boga sa svojim narodom, podsjeća na to da pojedinac »preuzima jaram Božje vlasti« </w:t>
      </w:r>
      <w:r>
        <w:rPr>
          <w:rFonts w:ascii="Times New Roman" w:eastAsia="Times New Roman" w:hAnsi="Times New Roman" w:cs="Times New Roman"/>
          <w:i/>
          <w:iCs/>
          <w:color w:val="000000"/>
          <w:spacing w:val="0"/>
          <w:w w:val="100"/>
          <w:position w:val="0"/>
          <w:shd w:val="clear" w:color="auto" w:fill="auto"/>
          <w:lang w:val="hr-HR" w:eastAsia="hr-HR" w:bidi="hr-HR"/>
        </w:rPr>
        <w:t>(kabalat ol mal- kut šamajim,</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13b; M 11,2) kao što je Izrael učinio na Sinaju (Mehilta Izl 17,8 i d.;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i d.; Vajikra raba XXIV,19,2). Takozvani monoteizam, što ga je židovski na</w:t>
        <w:softHyphen/>
        <w:t>rod unio u povijest naroda i religija, ne potje</w:t>
        <w:softHyphen/>
        <w:t>če iz racionalnog razmišljanja nego iz Izrae- lova povijesno doživljenoga uzajamnog odno</w:t>
        <w:softHyphen/>
        <w:t xml:space="preserve">sa s </w:t>
      </w:r>
      <w:r>
        <w:rPr>
          <w:rFonts w:ascii="Times New Roman" w:eastAsia="Times New Roman" w:hAnsi="Times New Roman" w:cs="Times New Roman"/>
          <w:i/>
          <w:iCs/>
          <w:color w:val="000000"/>
          <w:spacing w:val="0"/>
          <w:w w:val="100"/>
          <w:position w:val="0"/>
          <w:shd w:val="clear" w:color="auto" w:fill="auto"/>
          <w:lang w:val="hr-HR" w:eastAsia="hr-HR" w:bidi="hr-HR"/>
        </w:rPr>
        <w:t>jednim</w:t>
      </w:r>
      <w:r>
        <w:rPr>
          <w:rFonts w:ascii="Times New Roman" w:eastAsia="Times New Roman" w:hAnsi="Times New Roman" w:cs="Times New Roman"/>
          <w:color w:val="000000"/>
          <w:spacing w:val="0"/>
          <w:w w:val="100"/>
          <w:position w:val="0"/>
          <w:shd w:val="clear" w:color="auto" w:fill="auto"/>
          <w:lang w:val="hr-HR" w:eastAsia="hr-HR" w:bidi="hr-HR"/>
        </w:rPr>
        <w:t xml:space="preserve"> Bogom. Susreti u zajedničkom od</w:t>
        <w:softHyphen/>
        <w:t>nosu temelje se na samoodređenju Boga: »JA sam Bog tvoj, koji sam te izveo iz zemlje egi</w:t>
        <w:softHyphen/>
        <w:t xml:space="preserve">patske, iz kuće ropstva«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na priznanju nje</w:t>
        <w:softHyphen/>
        <w:t>gove vlasti od strane Izraela, kojemu se on obratio, a time i svakoga pojedinca iz naroda: »Nemoj imati drugih bogova osim mene... »(Izl 20,2 i 20,3-17). Djelovanja obaju partne</w:t>
        <w:softHyphen/>
        <w:t>ra uvijek se mjere životnim odnosom vlasti i službe, u koji su stupili: »Vi ste vidjeli što sam učinio Egipćanima; kako sam vas nosio na or</w:t>
        <w:softHyphen/>
        <w:t>lovskim krilima i k sebi vas doveo. Stoga, bu</w:t>
        <w:softHyphen/>
        <w:t>dete li mi se vjerno pokoravali i držali moj Savez... A sav narod uzvrati jednoglasno: Vršit ćemo sve što je ON naredio« (Izl 19,4-8). Po</w:t>
        <w:softHyphen/>
        <w:t>navljanje odluke Izraela s prethodnim pris</w:t>
        <w:softHyphen/>
        <w:t>tankom da će izvršiti ono što se traži: »Sve što je ON rekao, izvršit ćemo i poslušat ćemo!« (24,7) pokazuje borbu za isključivost Boga i za ostvarenje u konkretnom času kao oblik pra</w:t>
        <w:softHyphen/>
        <w:t xml:space="preserve">vog pokreta u povijesti toga životnog odnosa (usp.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hr-HR" w:eastAsia="hr-HR" w:bidi="hr-HR"/>
        </w:rPr>
        <w:t>Kdnigtum Gottes,</w:t>
      </w:r>
      <w:r>
        <w:rPr>
          <w:rFonts w:ascii="Times New Roman" w:eastAsia="Times New Roman" w:hAnsi="Times New Roman" w:cs="Times New Roman"/>
          <w:color w:val="000000"/>
          <w:spacing w:val="0"/>
          <w:w w:val="100"/>
          <w:position w:val="0"/>
          <w:shd w:val="clear" w:color="auto" w:fill="auto"/>
          <w:lang w:val="hr-HR" w:eastAsia="hr-HR" w:bidi="hr-HR"/>
        </w:rPr>
        <w:t xml:space="preserve"> ’1956, 75 i d.; isti autor, </w:t>
      </w:r>
      <w:r>
        <w:rPr>
          <w:rFonts w:ascii="Times New Roman" w:eastAsia="Times New Roman" w:hAnsi="Times New Roman" w:cs="Times New Roman"/>
          <w:i/>
          <w:iCs/>
          <w:color w:val="000000"/>
          <w:spacing w:val="0"/>
          <w:w w:val="100"/>
          <w:position w:val="0"/>
          <w:shd w:val="clear" w:color="auto" w:fill="auto"/>
          <w:lang w:val="en-US" w:eastAsia="en-US" w:bidi="en-US"/>
        </w:rPr>
        <w:t>Moses,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1966, 120 i d., 140 i d.). Stoga priznanje »Jedinstva« ostaje i tamo gdje je ono jasno izraženo: »ON naš Bog, ON jedi</w:t>
        <w:softHyphen/>
        <w:t>ni«, neodvojivo od onoga što neposredno sli</w:t>
        <w:softHyphen/>
        <w:t>jedi: »ljubi NJEGA, Boga svoga« - neodvoji</w:t>
        <w:softHyphen/>
        <w:t>vo od traženja da se Bog ljubi bezuvjetno, pot</w:t>
        <w:softHyphen/>
        <w:t>puno i iskreno, što odgovara temeljnom na</w:t>
        <w:softHyphen/>
        <w:t>čelu o »jednosti«: »...svim srcem svojim, svom dušom svojom i svom snagom svojom« (Pnz 6,5). To traženje bezuvjetnosti, koje polazi od »Jednoga«, zahtijeva od pojedinca da ozbiljno shvati tu životnu isključivost: »Budi posve vje</w:t>
        <w:softHyphen/>
        <w:t xml:space="preserve">ran NJEMU, Bogu svojem!« (18,13). O toj važnosti posvemašnjosti </w:t>
      </w:r>
      <w:r>
        <w:rPr>
          <w:rFonts w:ascii="Times New Roman" w:eastAsia="Times New Roman" w:hAnsi="Times New Roman" w:cs="Times New Roman"/>
          <w:color w:val="000000"/>
          <w:spacing w:val="0"/>
          <w:w w:val="100"/>
          <w:position w:val="0"/>
          <w:shd w:val="clear" w:color="auto" w:fill="auto"/>
          <w:lang w:val="en-US" w:eastAsia="en-US" w:bidi="en-US"/>
        </w:rPr>
        <w:t xml:space="preserve">Leo Baeck </w:t>
      </w:r>
      <w:r>
        <w:rPr>
          <w:rFonts w:ascii="Times New Roman" w:eastAsia="Times New Roman" w:hAnsi="Times New Roman" w:cs="Times New Roman"/>
          <w:color w:val="000000"/>
          <w:spacing w:val="0"/>
          <w:w w:val="100"/>
          <w:position w:val="0"/>
          <w:shd w:val="clear" w:color="auto" w:fill="auto"/>
          <w:lang w:val="hr-HR" w:eastAsia="hr-HR" w:bidi="hr-HR"/>
        </w:rPr>
        <w:t xml:space="preserve">kaže: </w:t>
      </w:r>
      <w:r>
        <w:rPr>
          <w:rFonts w:ascii="Times New Roman" w:eastAsia="Times New Roman" w:hAnsi="Times New Roman" w:cs="Times New Roman"/>
          <w:i/>
          <w:iCs/>
          <w:color w:val="000000"/>
          <w:spacing w:val="0"/>
          <w:w w:val="100"/>
          <w:position w:val="0"/>
          <w:shd w:val="clear" w:color="auto" w:fill="auto"/>
          <w:lang w:val="hr-HR" w:eastAsia="hr-HR" w:bidi="hr-HR"/>
        </w:rPr>
        <w:t>»Svi</w:t>
        <w:softHyphen/>
        <w:t>me</w:t>
      </w:r>
      <w:r>
        <w:rPr>
          <w:rFonts w:ascii="Times New Roman" w:eastAsia="Times New Roman" w:hAnsi="Times New Roman" w:cs="Times New Roman"/>
          <w:color w:val="000000"/>
          <w:spacing w:val="0"/>
          <w:w w:val="100"/>
          <w:position w:val="0"/>
          <w:shd w:val="clear" w:color="auto" w:fill="auto"/>
          <w:lang w:val="hr-HR" w:eastAsia="hr-HR" w:bidi="hr-HR"/>
        </w:rPr>
        <w:t xml:space="preserve"> što jesmo i što imamo možemo služiti sa</w:t>
        <w:softHyphen/>
        <w:t xml:space="preserve">mo </w:t>
      </w:r>
      <w:r>
        <w:rPr>
          <w:rFonts w:ascii="Times New Roman" w:eastAsia="Times New Roman" w:hAnsi="Times New Roman" w:cs="Times New Roman"/>
          <w:i/>
          <w:iCs/>
          <w:color w:val="000000"/>
          <w:spacing w:val="0"/>
          <w:w w:val="100"/>
          <w:position w:val="0"/>
          <w:shd w:val="clear" w:color="auto" w:fill="auto"/>
          <w:lang w:val="hr-HR" w:eastAsia="hr-HR" w:bidi="hr-HR"/>
        </w:rPr>
        <w:t>jednom</w:t>
      </w:r>
      <w:r>
        <w:rPr>
          <w:rFonts w:ascii="Times New Roman" w:eastAsia="Times New Roman" w:hAnsi="Times New Roman" w:cs="Times New Roman"/>
          <w:color w:val="000000"/>
          <w:spacing w:val="0"/>
          <w:w w:val="100"/>
          <w:position w:val="0"/>
          <w:shd w:val="clear" w:color="auto" w:fill="auto"/>
          <w:lang w:val="hr-HR" w:eastAsia="hr-HR" w:bidi="hr-HR"/>
        </w:rPr>
        <w:t xml:space="preserve"> Bogu... </w:t>
      </w:r>
      <w:r>
        <w:rPr>
          <w:rFonts w:ascii="Times New Roman" w:eastAsia="Times New Roman" w:hAnsi="Times New Roman" w:cs="Times New Roman"/>
          <w:i/>
          <w:iCs/>
          <w:color w:val="000000"/>
          <w:spacing w:val="0"/>
          <w:w w:val="100"/>
          <w:position w:val="0"/>
          <w:shd w:val="clear" w:color="auto" w:fill="auto"/>
          <w:lang w:val="hr-HR" w:eastAsia="hr-HR" w:bidi="hr-HR"/>
        </w:rPr>
        <w:t>Ćudoredno jedinstvo</w:t>
      </w:r>
      <w:r>
        <w:rPr>
          <w:rFonts w:ascii="Times New Roman" w:eastAsia="Times New Roman" w:hAnsi="Times New Roman" w:cs="Times New Roman"/>
          <w:color w:val="000000"/>
          <w:spacing w:val="0"/>
          <w:w w:val="100"/>
          <w:position w:val="0"/>
          <w:shd w:val="clear" w:color="auto" w:fill="auto"/>
          <w:lang w:val="hr-HR" w:eastAsia="hr-HR" w:bidi="hr-HR"/>
        </w:rPr>
        <w:t xml:space="preserve"> do</w:t>
        <w:softHyphen/>
        <w:t xml:space="preserve">prlo je čovjeku do svijesti, pa time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jedinstvo Boga«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IVesen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des </w:t>
      </w:r>
      <w:r>
        <w:rPr>
          <w:rFonts w:ascii="Times New Roman" w:eastAsia="Times New Roman" w:hAnsi="Times New Roman" w:cs="Times New Roman"/>
          <w:i/>
          <w:iCs/>
          <w:color w:val="000000"/>
          <w:spacing w:val="0"/>
          <w:w w:val="100"/>
          <w:position w:val="0"/>
          <w:shd w:val="clear" w:color="auto" w:fill="auto"/>
          <w:lang w:val="hr-HR" w:eastAsia="hr-HR" w:bidi="hr-HR"/>
        </w:rPr>
        <w:t>Judentums,</w:t>
      </w:r>
      <w:r>
        <w:rPr>
          <w:rFonts w:ascii="Times New Roman" w:eastAsia="Times New Roman" w:hAnsi="Times New Roman" w:cs="Times New Roman"/>
          <w:color w:val="000000"/>
          <w:spacing w:val="0"/>
          <w:w w:val="100"/>
          <w:position w:val="0"/>
          <w:shd w:val="clear" w:color="auto" w:fill="auto"/>
          <w:lang w:val="hr-HR" w:eastAsia="hr-HR" w:bidi="hr-HR"/>
        </w:rPr>
        <w:t xml:space="preserve"> ''I960, 102).</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 istaknuto djelo, već </w:t>
      </w:r>
      <w:r>
        <w:rPr>
          <w:rFonts w:ascii="Times New Roman" w:eastAsia="Times New Roman" w:hAnsi="Times New Roman" w:cs="Times New Roman"/>
          <w:i/>
          <w:iCs/>
          <w:color w:val="000000"/>
          <w:spacing w:val="0"/>
          <w:w w:val="100"/>
          <w:position w:val="0"/>
          <w:shd w:val="clear" w:color="auto" w:fill="auto"/>
          <w:lang w:val="hr-HR" w:eastAsia="hr-HR" w:bidi="hr-HR"/>
        </w:rPr>
        <w:t>sveukupno</w:t>
      </w:r>
      <w:r>
        <w:rPr>
          <w:rFonts w:ascii="Times New Roman" w:eastAsia="Times New Roman" w:hAnsi="Times New Roman" w:cs="Times New Roman"/>
          <w:color w:val="000000"/>
          <w:spacing w:val="0"/>
          <w:w w:val="100"/>
          <w:position w:val="0"/>
          <w:shd w:val="clear" w:color="auto" w:fill="auto"/>
          <w:lang w:val="hr-HR" w:eastAsia="hr-HR" w:bidi="hr-HR"/>
        </w:rPr>
        <w:t xml:space="preserve"> djelo treba postati spojnicom Boga i čovjeka time što će na njega povoljno utjecati volja </w:t>
      </w:r>
      <w:r>
        <w:rPr>
          <w:rFonts w:ascii="Times New Roman" w:eastAsia="Times New Roman" w:hAnsi="Times New Roman" w:cs="Times New Roman"/>
          <w:i/>
          <w:iCs/>
          <w:color w:val="000000"/>
          <w:spacing w:val="0"/>
          <w:w w:val="100"/>
          <w:position w:val="0"/>
          <w:shd w:val="clear" w:color="auto" w:fill="auto"/>
          <w:lang w:val="hr-HR" w:eastAsia="hr-HR" w:bidi="hr-HR"/>
        </w:rPr>
        <w:t>jednoga</w:t>
      </w:r>
      <w:r>
        <w:rPr>
          <w:rFonts w:ascii="Times New Roman" w:eastAsia="Times New Roman" w:hAnsi="Times New Roman" w:cs="Times New Roman"/>
          <w:color w:val="000000"/>
          <w:spacing w:val="0"/>
          <w:w w:val="100"/>
          <w:position w:val="0"/>
          <w:shd w:val="clear" w:color="auto" w:fill="auto"/>
          <w:lang w:val="hr-HR" w:eastAsia="hr-HR" w:bidi="hr-HR"/>
        </w:rPr>
        <w:t xml:space="preserve"> Boga. U »jednom jedinome« Izrael je susreo »Sve</w:t>
        <w:softHyphen/>
        <w:t xml:space="preserve">ca« (Svetoga, Iz 40,25: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Spoznaja Boga i život ljudi ne smiju stoga postojati od</w:t>
        <w:softHyphen/>
        <w:t xml:space="preserve">vojeno. Svjedočenje »jedinstva« Boga mora se odraziti u »posvećenju« ljudske egzistencije (Izl 19,6; 22,31;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Pnz 7,6): »Dakle, Izraele, što od tebe traži ON, Bog tvoj? Samo to da se bojiš NJEGA, Boga svoga; da po svim putovima njegovim hodiš; da ga ljubiš i služiš NJEMU, Bogu svomu, svim srcem svojim i svom dušom svojom« (Pnz 10,12; usp. 30,11-14; Iz 1,16 i d.; 33,15 i d.; Mih 6,8). Rabini su svje</w:t>
        <w:softHyphen/>
        <w:t>dočenja Boga pretvorili u zadaću: »Neka se čovjek uvijek promatra tako kao da je u nje</w:t>
        <w:softHyphen/>
        <w:t>mu svetac« (b Taanit 11a). Jedan je mudrac u cjelokupnom zajedničkom djelovanju Božjega spoznavanja i ostvarenja opazio zbir Tore: »To je povjesnica ljudi: budući daje Bog stvo</w:t>
        <w:softHyphen/>
        <w:t xml:space="preserve">rio čovjeka, stvorio ga je na sliku Božju«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Jedno hagadsko tumačenje objašnjava to ovako: »Samo na sliku, a ne u prispodobi, jer prispodoba je u ruci čovjeka« (Jalkut re’ubeni Post 1,27). Dužnost, koja je ujedno sposobnost stvorenja da bude nalik Stvoritelju, tj. pripremiti u čovjeku izabranika za božansko djelovanje, komentirao je Maj- monid: »Dakle, naši su mudraci zapovijed da se ‘hodi Božjim putovima’ objasnili ovako: Kao što je Bog nazvan dobrostivim, tako budi i ti dobrostiv, kao što je Bog milosrdan, tako budi i ti milosrdan, kao što je Bog svet, tako i ti budi svet. U tom smislu proroci su nazvali Boga sporim na srdžbu, milostivim, praved</w:t>
        <w:softHyphen/>
        <w:t xml:space="preserve">nim kako bi pokazali da su to dobri i ravni putovi kojima čovjek treba hoditi da bi time bio, prema mogućnostima, što sličniji Bogu« (Mišnc Tora, Hilhot deot 1,6). Mistik Moše Hajim </w:t>
      </w:r>
      <w:r>
        <w:rPr>
          <w:rFonts w:ascii="Times New Roman" w:eastAsia="Times New Roman" w:hAnsi="Times New Roman" w:cs="Times New Roman"/>
          <w:color w:val="000000"/>
          <w:spacing w:val="0"/>
          <w:w w:val="100"/>
          <w:position w:val="0"/>
          <w:shd w:val="clear" w:color="auto" w:fill="auto"/>
          <w:lang w:val="en-US" w:eastAsia="en-US" w:bidi="en-US"/>
        </w:rPr>
        <w:t xml:space="preserve">Luzzatto </w:t>
      </w:r>
      <w:r>
        <w:rPr>
          <w:rFonts w:ascii="Times New Roman" w:eastAsia="Times New Roman" w:hAnsi="Times New Roman" w:cs="Times New Roman"/>
          <w:color w:val="000000"/>
          <w:spacing w:val="0"/>
          <w:w w:val="100"/>
          <w:position w:val="0"/>
          <w:shd w:val="clear" w:color="auto" w:fill="auto"/>
          <w:lang w:val="hr-HR" w:eastAsia="hr-HR" w:bidi="hr-HR"/>
        </w:rPr>
        <w:t>(I. pol. XVIII. stoljeća) opi</w:t>
        <w:softHyphen/>
        <w:t>sao je ostvarenje i opažanje Božjeg »jedin</w:t>
        <w:softHyphen/>
        <w:t>stva« i njegova smisla u objavi zapisanoj u To</w:t>
        <w:softHyphen/>
        <w:t>ri: »Bit svetosti sastoji se u tome da je čovjek toliko odan svojem Bogu da se on ni u jednom svojem poslu ne odvaja od njega niti se uda</w:t>
        <w:softHyphen/>
        <w:t>ljava, pa stoga nije zbog svojega bavljenja ze</w:t>
        <w:softHyphen/>
        <w:t>maljskim odvučen od svoje veze s Bogom i spušten sa svoje visine, nego je, štoviše, uzdig</w:t>
        <w:softHyphen/>
        <w:t xml:space="preserve">nuto ono zemaljsko time što se on njime bavi« </w:t>
      </w:r>
      <w:r>
        <w:rPr>
          <w:rFonts w:ascii="Times New Roman" w:eastAsia="Times New Roman" w:hAnsi="Times New Roman" w:cs="Times New Roman"/>
          <w:i/>
          <w:iCs/>
          <w:color w:val="000000"/>
          <w:spacing w:val="0"/>
          <w:w w:val="100"/>
          <w:position w:val="0"/>
          <w:shd w:val="clear" w:color="auto" w:fill="auto"/>
          <w:lang w:val="hr-HR" w:eastAsia="hr-HR" w:bidi="hr-HR"/>
        </w:rPr>
        <w:t>(Messiiat ješarim,</w:t>
      </w:r>
      <w:r>
        <w:rPr>
          <w:rFonts w:ascii="Times New Roman" w:eastAsia="Times New Roman" w:hAnsi="Times New Roman" w:cs="Times New Roman"/>
          <w:color w:val="000000"/>
          <w:spacing w:val="0"/>
          <w:w w:val="100"/>
          <w:position w:val="0"/>
          <w:shd w:val="clear" w:color="auto" w:fill="auto"/>
          <w:lang w:val="hr-HR" w:eastAsia="hr-HR" w:bidi="hr-HR"/>
        </w:rPr>
        <w:t xml:space="preserve"> pogl. 26).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Drugi vid isključuje misaonu vezu s mogućim razvitkom izraelskoga »monoteizma«: to je ime Božje. Hebrejski tekst »Šema Jisraela« sastoji se od četiri suglasnika (tetragram): »Čuj, Izraclc: JHVH naš B„ JHVH jedini.«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Nije to bilo </w:t>
      </w:r>
      <w:r>
        <w:rPr>
          <w:rFonts w:ascii="Times New Roman" w:eastAsia="Times New Roman" w:hAnsi="Times New Roman" w:cs="Times New Roman"/>
          <w:i/>
          <w:iCs/>
          <w:color w:val="000000"/>
          <w:spacing w:val="0"/>
          <w:w w:val="100"/>
          <w:position w:val="0"/>
          <w:shd w:val="clear" w:color="auto" w:fill="auto"/>
          <w:lang w:val="hr-HR" w:eastAsia="hr-HR" w:bidi="hr-HR"/>
        </w:rPr>
        <w:t>jedno</w:t>
      </w:r>
      <w:r>
        <w:rPr>
          <w:rFonts w:ascii="Times New Roman" w:eastAsia="Times New Roman" w:hAnsi="Times New Roman" w:cs="Times New Roman"/>
          <w:color w:val="000000"/>
          <w:spacing w:val="0"/>
          <w:w w:val="100"/>
          <w:position w:val="0"/>
          <w:shd w:val="clear" w:color="auto" w:fill="auto"/>
          <w:lang w:val="hr-HR" w:eastAsia="hr-HR" w:bidi="hr-HR"/>
        </w:rPr>
        <w:t xml:space="preserve"> ime kojim bi se taj B. raz</w:t>
        <w:softHyphen/>
        <w:t xml:space="preserve">likovao od drugih, štoviše, </w:t>
      </w:r>
      <w:r>
        <w:rPr>
          <w:rFonts w:ascii="Times New Roman" w:eastAsia="Times New Roman" w:hAnsi="Times New Roman" w:cs="Times New Roman"/>
          <w:i/>
          <w:iCs/>
          <w:color w:val="000000"/>
          <w:spacing w:val="0"/>
          <w:w w:val="100"/>
          <w:position w:val="0"/>
          <w:shd w:val="clear" w:color="auto" w:fill="auto"/>
          <w:lang w:val="hr-HR" w:eastAsia="hr-HR" w:bidi="hr-HR"/>
        </w:rPr>
        <w:t>određeno</w:t>
      </w:r>
      <w:r>
        <w:rPr>
          <w:rFonts w:ascii="Times New Roman" w:eastAsia="Times New Roman" w:hAnsi="Times New Roman" w:cs="Times New Roman"/>
          <w:color w:val="000000"/>
          <w:spacing w:val="0"/>
          <w:w w:val="100"/>
          <w:position w:val="0"/>
          <w:shd w:val="clear" w:color="auto" w:fill="auto"/>
          <w:lang w:val="hr-HR" w:eastAsia="hr-HR" w:bidi="hr-HR"/>
        </w:rPr>
        <w:t xml:space="preserve"> ime koje je toga Boga kao jedinoga suprotstavilo dru</w:t>
        <w:softHyphen/>
        <w:t>gima. Izrael je poznavao, štoviše priznavao samo to ime svojega Boga koje je doživio snažnije od nositelja mnogih imena u egipat</w:t>
        <w:softHyphen/>
        <w:t>skom panteonu (Izl 12,12) i koji mu se doka</w:t>
        <w:softHyphen/>
        <w:t>zao u njegovoj povijesti kao Prvi i Posljednji, kao jedini (Iz 44,6), koji je od iskona navijes</w:t>
        <w:softHyphen/>
        <w:t xml:space="preserve">tio i objavio što će doći (41,26). Premda se iz strahopoštovanja izbjegavalo izgovaranje te- tragrama već u razdoblju drugoga Hrama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VII,5; X,l) i ograničilo na odre</w:t>
        <w:softHyphen/>
        <w:t>đene prigode u sinagogalnoj službi - na sva</w:t>
        <w:softHyphen/>
        <w:t>kodnevne višesložno pjevane svećeničke bla</w:t>
        <w:softHyphen/>
        <w:t xml:space="preserve">goslove (M Sota VII,6; </w:t>
      </w:r>
      <w:r>
        <w:rPr>
          <w:rFonts w:ascii="Times New Roman" w:eastAsia="Times New Roman" w:hAnsi="Times New Roman" w:cs="Times New Roman"/>
          <w:color w:val="000000"/>
          <w:spacing w:val="0"/>
          <w:w w:val="100"/>
          <w:position w:val="0"/>
          <w:shd w:val="clear" w:color="auto" w:fill="auto"/>
          <w:lang w:val="en-US" w:eastAsia="en-US" w:bidi="en-US"/>
        </w:rPr>
        <w:t xml:space="preserve">Tamid </w:t>
      </w:r>
      <w:r>
        <w:rPr>
          <w:rFonts w:ascii="Times New Roman" w:eastAsia="Times New Roman" w:hAnsi="Times New Roman" w:cs="Times New Roman"/>
          <w:color w:val="000000"/>
          <w:spacing w:val="0"/>
          <w:w w:val="100"/>
          <w:position w:val="0"/>
          <w:shd w:val="clear" w:color="auto" w:fill="auto"/>
          <w:lang w:val="hr-HR" w:eastAsia="hr-HR" w:bidi="hr-HR"/>
        </w:rPr>
        <w:t>VII,2; Šifre Br 6,23) i zbog toga s jedva čujnim svetim ime</w:t>
        <w:softHyphen/>
        <w:t xml:space="preserve">nom (b Kidušin 71a), no prije svega na »jasno izgovoreno ime« </w:t>
      </w:r>
      <w:r>
        <w:rPr>
          <w:rFonts w:ascii="Times New Roman" w:eastAsia="Times New Roman" w:hAnsi="Times New Roman" w:cs="Times New Roman"/>
          <w:i/>
          <w:iCs/>
          <w:color w:val="000000"/>
          <w:spacing w:val="0"/>
          <w:w w:val="100"/>
          <w:position w:val="0"/>
          <w:shd w:val="clear" w:color="auto" w:fill="auto"/>
          <w:lang w:val="hr-HR" w:eastAsia="hr-HR" w:bidi="hr-HR"/>
        </w:rPr>
        <w:t>(Sem hameforaš)</w:t>
      </w:r>
      <w:r>
        <w:rPr>
          <w:rFonts w:ascii="Times New Roman" w:eastAsia="Times New Roman" w:hAnsi="Times New Roman" w:cs="Times New Roman"/>
          <w:color w:val="000000"/>
          <w:spacing w:val="0"/>
          <w:w w:val="100"/>
          <w:position w:val="0"/>
          <w:shd w:val="clear" w:color="auto" w:fill="auto"/>
          <w:lang w:val="hr-HR" w:eastAsia="hr-HR" w:bidi="hr-HR"/>
        </w:rPr>
        <w:t xml:space="preserve"> što ga iz</w:t>
        <w:softHyphen/>
        <w:t xml:space="preserve">riče veliki svećenik na Dan pomirenja (M Jo- ma VI,2, usp. III,3; IV,2; b 39b) - četveroslov- nom imenu nikada nije prijetila opasnost da će biti zaboravljeno. Doduše, njegov izgovor poslije uništenja svetišta ostao je poznat još samo u talmudsko doba (b Joma 39a; Sota 38a; 42b; Kidušin 71 a.b;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17b;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60a); ali puni je tetragram i prije i pos</w:t>
        <w:softHyphen/>
        <w:t>lije zapisan u svicima Tore i na svojim mjes</w:t>
        <w:softHyphen/>
        <w:t>tima u molitvi i čitanju Tore sačuvalo se u prijevodu kao »Adonaj« (»Gospodin«, »Go</w:t>
        <w:softHyphen/>
        <w:t>spodar«), jer se u prizvuku te riječi ističe pra</w:t>
        <w:softHyphen/>
        <w:t xml:space="preserve">vo ime Božje (usp. M Sota VII,6; b Kidušin 71a). Čitajući JHVH kao »Adonaj«, učitelji židovstva birali su </w:t>
      </w:r>
      <w:r>
        <w:rPr>
          <w:rFonts w:ascii="Times New Roman" w:eastAsia="Times New Roman" w:hAnsi="Times New Roman" w:cs="Times New Roman"/>
          <w:i/>
          <w:iCs/>
          <w:color w:val="000000"/>
          <w:spacing w:val="0"/>
          <w:w w:val="100"/>
          <w:position w:val="0"/>
          <w:shd w:val="clear" w:color="auto" w:fill="auto"/>
          <w:lang w:val="hr-HR" w:eastAsia="hr-HR" w:bidi="hr-HR"/>
        </w:rPr>
        <w:t>referentnu riječ</w:t>
      </w:r>
      <w:r>
        <w:rPr>
          <w:rFonts w:ascii="Times New Roman" w:eastAsia="Times New Roman" w:hAnsi="Times New Roman" w:cs="Times New Roman"/>
          <w:color w:val="000000"/>
          <w:spacing w:val="0"/>
          <w:w w:val="100"/>
          <w:position w:val="0"/>
          <w:shd w:val="clear" w:color="auto" w:fill="auto"/>
          <w:lang w:val="hr-HR" w:eastAsia="hr-HR" w:bidi="hr-HR"/>
        </w:rPr>
        <w:t xml:space="preserve"> prema kojoj su proroci oblikovali izraze obraćanja i uzvike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5,3; 7,1 i d. 4 i d. 7 i d.; 8,1.3.9.11; 9,1.5; Iz 6,1). Prijevod »Gospod(in)/Gospodar« (pod utjecajem riječi </w:t>
      </w:r>
      <w:r>
        <w:rPr>
          <w:rFonts w:ascii="Times New Roman" w:eastAsia="Times New Roman" w:hAnsi="Times New Roman" w:cs="Times New Roman"/>
          <w:i/>
          <w:iCs/>
          <w:color w:val="000000"/>
          <w:spacing w:val="0"/>
          <w:w w:val="100"/>
          <w:position w:val="0"/>
          <w:shd w:val="clear" w:color="auto" w:fill="auto"/>
          <w:lang w:val="en-US" w:eastAsia="en-US" w:bidi="en-US"/>
        </w:rPr>
        <w:t>kyrios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u grčkom i </w:t>
      </w:r>
      <w:r>
        <w:rPr>
          <w:rFonts w:ascii="Times New Roman" w:eastAsia="Times New Roman" w:hAnsi="Times New Roman" w:cs="Times New Roman"/>
          <w:i/>
          <w:iCs/>
          <w:color w:val="000000"/>
          <w:spacing w:val="0"/>
          <w:w w:val="100"/>
          <w:position w:val="0"/>
          <w:shd w:val="clear" w:color="auto" w:fill="auto"/>
          <w:lang w:val="hr-HR" w:eastAsia="hr-HR" w:bidi="hr-HR"/>
        </w:rPr>
        <w:t>dominus</w:t>
      </w:r>
      <w:r>
        <w:rPr>
          <w:rFonts w:ascii="Times New Roman" w:eastAsia="Times New Roman" w:hAnsi="Times New Roman" w:cs="Times New Roman"/>
          <w:color w:val="000000"/>
          <w:spacing w:val="0"/>
          <w:w w:val="100"/>
          <w:position w:val="0"/>
          <w:shd w:val="clear" w:color="auto" w:fill="auto"/>
          <w:lang w:val="hr-HR" w:eastAsia="hr-HR" w:bidi="hr-HR"/>
        </w:rPr>
        <w:t xml:space="preserve"> u latinskom prijevodu Biblije) otkriva vrlo malo o odnosu između onoga koji susreće i onoga koji mu odgovara svojim imenom »Adonaj« baš kao i Calvinov prijevod »Vječni« za JHVH u prijevodu Pentateuha M. Mendelssohna iz kojega je prodrlo u sljedeće židovske prije</w:t>
        <w:softHyphen/>
        <w:t>vode Biblije i u molitve. Osim toga, zbog svo</w:t>
        <w:softHyphen/>
        <w:t xml:space="preserve">jega upućivanja na Isusa Krista u njemačkom NZ »Gospod(in)« se izbacuje kao prikladna </w:t>
      </w:r>
      <w:r>
        <w:rPr>
          <w:rFonts w:ascii="Times New Roman" w:eastAsia="Times New Roman" w:hAnsi="Times New Roman" w:cs="Times New Roman"/>
          <w:color w:val="000000"/>
          <w:spacing w:val="0"/>
          <w:w w:val="100"/>
          <w:position w:val="0"/>
          <w:shd w:val="clear" w:color="auto" w:fill="auto"/>
          <w:lang w:val="hr-HR" w:eastAsia="hr-HR" w:bidi="hr-HR"/>
        </w:rPr>
        <w:t>zamjena Božjeg imena; ni »Vječni«, koji ozna</w:t>
        <w:softHyphen/>
        <w:t>čava, prema Mendelssohnu, »vječno potrebno biće s providnošću« (Komentar Izl 3,14), ne rje</w:t>
        <w:softHyphen/>
        <w:t>šava problem prevođenja.</w:t>
      </w:r>
    </w:p>
    <w:p>
      <w:pPr>
        <w:pStyle w:val="Style20"/>
        <w:keepNext w:val="0"/>
        <w:keepLines w:val="0"/>
        <w:widowControl w:val="0"/>
        <w:shd w:val="clear" w:color="auto" w:fill="auto"/>
        <w:bidi w:val="0"/>
        <w:spacing w:before="0" w:after="0"/>
        <w:ind w:left="0" w:right="0" w:firstLine="0"/>
        <w:jc w:val="both"/>
        <w:sectPr>
          <w:headerReference w:type="default" r:id="rId171"/>
          <w:footerReference w:type="default" r:id="rId172"/>
          <w:headerReference w:type="even" r:id="rId173"/>
          <w:footerReference w:type="even" r:id="rId174"/>
          <w:headerReference w:type="first" r:id="rId175"/>
          <w:footerReference w:type="first" r:id="rId176"/>
          <w:footnotePr>
            <w:pos w:val="pageBottom"/>
            <w:numFmt w:val="decimal"/>
            <w:numStart w:val="5"/>
            <w:numRestart w:val="continuous"/>
            <w15:footnoteColumns w:val="1"/>
          </w:footnotePr>
          <w:pgSz w:w="6816" w:h="11006"/>
          <w:pgMar w:top="954" w:left="178" w:right="182" w:bottom="525" w:header="0" w:footer="3" w:gutter="0"/>
          <w:pgNumType w:start="62"/>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Otprilike osamnaest stoljeća prije negoli su povijesna istraživanja Biblije otkrila tu razliku i primijenila je kao prvi kriterij literarnokritič- kog razmatranja Pentateuha (usp. R. Rend- torff,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Alte Tetstamen. Eine Einfiihrung, </w:t>
      </w:r>
      <w:r>
        <w:rPr>
          <w:rFonts w:ascii="Times New Roman" w:eastAsia="Times New Roman" w:hAnsi="Times New Roman" w:cs="Times New Roman"/>
          <w:color w:val="000000"/>
          <w:spacing w:val="0"/>
          <w:w w:val="100"/>
          <w:position w:val="0"/>
          <w:shd w:val="clear" w:color="auto" w:fill="auto"/>
          <w:lang w:val="hr-HR" w:eastAsia="hr-HR" w:bidi="hr-HR"/>
        </w:rPr>
        <w:t xml:space="preserve">1983,166 i d.), rabini su ustanovili da Post 1,1 glasi: U početku stvori </w:t>
      </w:r>
      <w:r>
        <w:rPr>
          <w:rFonts w:ascii="Times New Roman" w:eastAsia="Times New Roman" w:hAnsi="Times New Roman" w:cs="Times New Roman"/>
          <w:i/>
          <w:iCs/>
          <w:color w:val="000000"/>
          <w:spacing w:val="0"/>
          <w:w w:val="100"/>
          <w:position w:val="0"/>
          <w:shd w:val="clear" w:color="auto" w:fill="auto"/>
          <w:lang w:val="en-US" w:eastAsia="en-US" w:bidi="en-US"/>
        </w:rPr>
        <w:t>Elohim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(»Bog«) nebo i zemlju, a da Post 2,4 glasi: »Kad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JHVH </w:t>
      </w:r>
      <w:r>
        <w:rPr>
          <w:rFonts w:ascii="Times New Roman" w:eastAsia="Times New Roman" w:hAnsi="Times New Roman" w:cs="Times New Roman"/>
          <w:i/>
          <w:iCs/>
          <w:color w:val="000000"/>
          <w:spacing w:val="0"/>
          <w:w w:val="100"/>
          <w:position w:val="0"/>
          <w:shd w:val="clear" w:color="auto" w:fill="auto"/>
          <w:lang w:val="en-US" w:eastAsia="en-US" w:bidi="en-US"/>
        </w:rPr>
        <w:t>Elo</w:t>
        <w:softHyphen/>
        <w:t>him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sazdao nebo i zemlju...« Upadljivo, dvo</w:t>
        <w:softHyphen/>
        <w:t>struko imenovanje Boga stari tumači nisu pre</w:t>
        <w:softHyphen/>
        <w:t>tvorili u predmet kritičke rekonstrukcije po</w:t>
        <w:softHyphen/>
        <w:t xml:space="preserve">vijesnoga razuma; nastojali su ga razumjeti iz cjeline Biblije i odjenuli njegov </w:t>
      </w:r>
      <w:r>
        <w:rPr>
          <w:rFonts w:ascii="Times New Roman" w:eastAsia="Times New Roman" w:hAnsi="Times New Roman" w:cs="Times New Roman"/>
          <w:i/>
          <w:iCs/>
          <w:color w:val="000000"/>
          <w:spacing w:val="0"/>
          <w:w w:val="100"/>
          <w:position w:val="0"/>
          <w:shd w:val="clear" w:color="auto" w:fill="auto"/>
          <w:lang w:val="hr-HR" w:eastAsia="hr-HR" w:bidi="hr-HR"/>
        </w:rPr>
        <w:t>teološki</w:t>
      </w:r>
      <w:r>
        <w:rPr>
          <w:rFonts w:ascii="Times New Roman" w:eastAsia="Times New Roman" w:hAnsi="Times New Roman" w:cs="Times New Roman"/>
          <w:color w:val="000000"/>
          <w:spacing w:val="0"/>
          <w:w w:val="100"/>
          <w:position w:val="0"/>
          <w:shd w:val="clear" w:color="auto" w:fill="auto"/>
          <w:lang w:val="hr-HR" w:eastAsia="hr-HR" w:bidi="hr-HR"/>
        </w:rPr>
        <w:t xml:space="preserve"> uvid u prispodobu: »Slično kao s kraljem koji je imao prazne vrčeve i rekao: Ulijem li u njih vrelo, napuknut će, ulijem li hladno, rasprsnut će se. Što je učinio kralj? Pomiješao je vrelo s hlad</w:t>
        <w:softHyphen/>
        <w:t>nim, ulio mješavinu u vrčeve i ona je ostala u njima. Isto tako govorio je i Stvoritelj: Stvorim li svijet s mjerom milosrđa, njihovi će se grijesi nakupiti, stvorim li ga pak s mjerom stroge pravde, kako da svijet opstane? Stvorit ću ga s mjerom jednog i drugog, pa neka ipak opsta</w:t>
        <w:softHyphen/>
        <w:t>ne!« (Berešit raba XII,2,4). Prema lim riječi</w:t>
        <w:softHyphen/>
        <w:t xml:space="preserve">ma, Božje ime </w:t>
      </w:r>
      <w:r>
        <w:rPr>
          <w:rFonts w:ascii="Times New Roman" w:eastAsia="Times New Roman" w:hAnsi="Times New Roman" w:cs="Times New Roman"/>
          <w:color w:val="000000"/>
          <w:spacing w:val="0"/>
          <w:w w:val="100"/>
          <w:position w:val="0"/>
          <w:shd w:val="clear" w:color="auto" w:fill="auto"/>
          <w:lang w:val="en-US" w:eastAsia="en-US" w:bidi="en-US"/>
        </w:rPr>
        <w:t xml:space="preserve">Elohim </w:t>
      </w:r>
      <w:r>
        <w:rPr>
          <w:rFonts w:ascii="Times New Roman" w:eastAsia="Times New Roman" w:hAnsi="Times New Roman" w:cs="Times New Roman"/>
          <w:color w:val="000000"/>
          <w:spacing w:val="0"/>
          <w:w w:val="100"/>
          <w:position w:val="0"/>
          <w:shd w:val="clear" w:color="auto" w:fill="auto"/>
          <w:lang w:val="hr-HR" w:eastAsia="hr-HR" w:bidi="hr-HR"/>
        </w:rPr>
        <w:t>pokazuje djelovanje Božje pravednosti, a sveto ime JHVH obzna</w:t>
        <w:softHyphen/>
        <w:t>njuje rad Božjega milosrđa. Mudraci su izra</w:t>
        <w:softHyphen/>
        <w:t>zili bogatstvo Božjega milosrđa nabrajanjem riječi i izričaja u Izl 34,6 i d., one ustaljene for</w:t>
        <w:softHyphen/>
        <w:t xml:space="preserve">mule koja se već u kasnijim spisima hebrejske Biblije stalno ponavlja kao oslovljavanje Boga (Neh 9,17; JI 2,13; Jon 4,2; Ps 86,15; 103,8; 145,8); otkrili su pritom »trinaest atributa« </w:t>
      </w:r>
      <w:r>
        <w:rPr>
          <w:rFonts w:ascii="Times New Roman" w:eastAsia="Times New Roman" w:hAnsi="Times New Roman" w:cs="Times New Roman"/>
          <w:i/>
          <w:iCs/>
          <w:color w:val="000000"/>
          <w:spacing w:val="0"/>
          <w:w w:val="100"/>
          <w:position w:val="0"/>
          <w:shd w:val="clear" w:color="auto" w:fill="auto"/>
          <w:lang w:val="hr-HR" w:eastAsia="hr-HR" w:bidi="hr-HR"/>
        </w:rPr>
        <w:t>(šeloš esre midot),</w:t>
      </w:r>
      <w:r>
        <w:rPr>
          <w:rFonts w:ascii="Times New Roman" w:eastAsia="Times New Roman" w:hAnsi="Times New Roman" w:cs="Times New Roman"/>
          <w:color w:val="000000"/>
          <w:spacing w:val="0"/>
          <w:w w:val="100"/>
          <w:position w:val="0"/>
          <w:shd w:val="clear" w:color="auto" w:fill="auto"/>
          <w:lang w:val="hr-HR" w:eastAsia="hr-HR" w:bidi="hr-HR"/>
        </w:rPr>
        <w:t xml:space="preserve"> sve same objave o Božjoj sporosti na srdžbu i Božjem milosrđu (b Roš ha-šana 17b; Nedarim 32a; Šifre Pnz § 49) u kojima su spoznali bitno obilježje biblijskoga dokaza o Božjem djelovanju: »Onoga sata, ka</w:t>
        <w:softHyphen/>
        <w:t>da je B. htio stvoriti prvoga čovjeka, posavje</w:t>
        <w:softHyphen/>
        <w:t>tovao se sa svojim anđeoskim slugama i rekao im: Hoćemo načiniti čovjeka na svoju sliku i nama sličnoga. Čemu? upitaše ga. Kako bi od njega nastali pravednici..., no nije im obzna</w:t>
        <w:softHyphen/>
        <w:t xml:space="preserve">nio da </w:t>
      </w:r>
      <w:r>
        <w:rPr>
          <w:rFonts w:ascii="Times New Roman" w:eastAsia="Times New Roman" w:hAnsi="Times New Roman" w:cs="Times New Roman"/>
          <w:i/>
          <w:iCs/>
          <w:color w:val="000000"/>
          <w:spacing w:val="0"/>
          <w:w w:val="100"/>
          <w:position w:val="0"/>
          <w:shd w:val="clear" w:color="auto" w:fill="auto"/>
          <w:lang w:val="hr-HR" w:eastAsia="hr-HR" w:bidi="hr-HR"/>
        </w:rPr>
        <w:t>će</w:t>
      </w:r>
      <w:r>
        <w:rPr>
          <w:rFonts w:ascii="Times New Roman" w:eastAsia="Times New Roman" w:hAnsi="Times New Roman" w:cs="Times New Roman"/>
          <w:color w:val="000000"/>
          <w:spacing w:val="0"/>
          <w:w w:val="100"/>
          <w:position w:val="0"/>
          <w:shd w:val="clear" w:color="auto" w:fill="auto"/>
          <w:lang w:val="hr-HR" w:eastAsia="hr-HR" w:bidi="hr-HR"/>
        </w:rPr>
        <w:t xml:space="preserve"> od njega nastati grcšnici; naime, da im je to obznanio, mjera pravednosti ne bi dopustila stvaranje« (Berešit raba VIII,1,26). Učenjaci u tim različitim pravcima nisu na Božju dobrotu i milosrđe gledali samo kao na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glavnu crtu njegove vlasti nad svijetom (b Jo- ma 75a; Tanhuma, Ethanan § 3) nego i kao na njegovu milostivost koja obuhvaća sva stvo</w:t>
        <w:softHyphen/>
        <w:t>renja, pravednike i grcšnike (Tanhuma, Nica- bim § 5). Ta ih je spoznaja tako ispunila da je jedan od njih samoga Boga predstavio kao pređmolitelja, koji je »Mojsiju pokazao molit</w:t>
        <w:softHyphen/>
        <w:t>veni red (Izl 34,6 i d.) govoreći mu: Koliko god Izraclova djeca griješila, neka postupe prema tom redu, i ja ću im oprostiti« (b Roš ha-šana 17b). Stoga »trinaest atributa« Božje</w:t>
        <w:softHyphen/>
        <w:t xml:space="preserve">ga milosrđa ćinc središte svih molitvi za oprost (Selihot, Dn 9,9; usp. I. Elbogen,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judische Gottesdienst in seiner geschichtlichen Entwicklung,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3</w:t>
      </w:r>
      <w:r>
        <w:rPr>
          <w:rFonts w:ascii="Times New Roman" w:eastAsia="Times New Roman" w:hAnsi="Times New Roman" w:cs="Times New Roman"/>
          <w:color w:val="000000"/>
          <w:spacing w:val="0"/>
          <w:w w:val="100"/>
          <w:position w:val="0"/>
          <w:shd w:val="clear" w:color="auto" w:fill="auto"/>
          <w:lang w:val="en-US" w:eastAsia="en-US" w:bidi="en-US"/>
        </w:rPr>
        <w:t xml:space="preserve">1931/1967,221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a drugi bla</w:t>
        <w:softHyphen/>
        <w:t xml:space="preserve">goslov prije »Šema Jisrael«: »Bogatom ljubavi ljubio si nas, Adonaje, Bože naš; smilovao si nam se velikim prevelikim milosrđem« (b Be- rahot </w:t>
      </w:r>
      <w:r>
        <w:rPr>
          <w:rFonts w:ascii="Times New Roman" w:eastAsia="Times New Roman" w:hAnsi="Times New Roman" w:cs="Times New Roman"/>
          <w:color w:val="000000"/>
          <w:spacing w:val="0"/>
          <w:w w:val="100"/>
          <w:position w:val="0"/>
          <w:shd w:val="clear" w:color="auto" w:fill="auto"/>
          <w:lang w:val="en-US" w:eastAsia="en-US" w:bidi="en-US"/>
        </w:rPr>
        <w:t xml:space="preserve">lib; </w:t>
      </w:r>
      <w:r>
        <w:rPr>
          <w:rFonts w:ascii="Times New Roman" w:eastAsia="Times New Roman" w:hAnsi="Times New Roman" w:cs="Times New Roman"/>
          <w:color w:val="000000"/>
          <w:spacing w:val="0"/>
          <w:w w:val="100"/>
          <w:position w:val="0"/>
          <w:shd w:val="clear" w:color="auto" w:fill="auto"/>
          <w:lang w:val="hr-HR" w:eastAsia="hr-HR" w:bidi="hr-HR"/>
        </w:rPr>
        <w:t xml:space="preserve">usp. I. Elbogen, op. cit., 20.100), upotrebljava za zazivanje Boga i njegov govor karakteristični nadimak »Milosrdni« (M Ša- </w:t>
      </w:r>
      <w:r>
        <w:rPr>
          <w:rFonts w:ascii="Times New Roman" w:eastAsia="Times New Roman" w:hAnsi="Times New Roman" w:cs="Times New Roman"/>
          <w:color w:val="000000"/>
          <w:spacing w:val="0"/>
          <w:w w:val="100"/>
          <w:position w:val="0"/>
          <w:shd w:val="clear" w:color="auto" w:fill="auto"/>
          <w:lang w:val="en-US" w:eastAsia="en-US" w:bidi="en-US"/>
        </w:rPr>
        <w:t xml:space="preserve">vuot </w:t>
      </w:r>
      <w:r>
        <w:rPr>
          <w:rFonts w:ascii="Times New Roman" w:eastAsia="Times New Roman" w:hAnsi="Times New Roman" w:cs="Times New Roman"/>
          <w:color w:val="000000"/>
          <w:spacing w:val="0"/>
          <w:w w:val="100"/>
          <w:position w:val="0"/>
          <w:shd w:val="clear" w:color="auto" w:fill="auto"/>
          <w:lang w:val="hr-HR" w:eastAsia="hr-HR" w:bidi="hr-HR"/>
        </w:rPr>
        <w:t>IV,13; b 35a.37b; Bava mecia 3b; Bera- hot 36b; Jabmut 5b; usp. 1. Elbogen, op.cit., 223). Mudraci nisu shvaćali pravednost i mi</w:t>
        <w:softHyphen/>
        <w:t>losrđe kao atribute božanskoga bića; opisuju ih kao dva vida jednoga osobnog Boga aktiv</w:t>
        <w:softHyphen/>
        <w:t xml:space="preserve">nog u povijesti. Prema staroj predaji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97b) shvatili su Iz 30,18 tako da će B. otkupiti Izrael i da Izrael čeka da ga B. ot</w:t>
        <w:softHyphen/>
        <w:t>kupi, ali da zbog Izraelova grijeha stroga Božja pravda sprečava ostvarenje otkupljenja. Da je B. slijedio svoj »vid pravde«, morao bi zahtijevati kaznu za grešnike i naposljetku od</w:t>
        <w:softHyphen/>
        <w:t>lučiti o Izraelovoj propasti. Samo »vid milos</w:t>
        <w:softHyphen/>
        <w:t>rđa« Božjega, zajedno s obraćenjem i patnjom pravednika, prevladava zahtjev Božje pravde koja kažnjava. Protiv optužbe B. navodi pat</w:t>
        <w:softHyphen/>
        <w:t xml:space="preserve">nju pravednika i Mesijinu nezasluženu patnju, jer sam B. je takoreći optužen sve dotle dok se drži svoga izabranog naroda, sve dotle dok je uza svoja stvorenja (usp. </w:t>
      </w:r>
      <w:r>
        <w:rPr>
          <w:rFonts w:ascii="Times New Roman" w:eastAsia="Times New Roman" w:hAnsi="Times New Roman" w:cs="Times New Roman"/>
          <w:color w:val="000000"/>
          <w:spacing w:val="0"/>
          <w:w w:val="100"/>
          <w:position w:val="0"/>
          <w:shd w:val="clear" w:color="auto" w:fill="auto"/>
          <w:lang w:val="en-US" w:eastAsia="en-US" w:bidi="en-US"/>
        </w:rPr>
        <w:t xml:space="preserve">A. Goldberg, </w:t>
      </w:r>
      <w:r>
        <w:rPr>
          <w:rFonts w:ascii="Times New Roman" w:eastAsia="Times New Roman" w:hAnsi="Times New Roman" w:cs="Times New Roman"/>
          <w:i/>
          <w:iCs/>
          <w:color w:val="000000"/>
          <w:spacing w:val="0"/>
          <w:w w:val="100"/>
          <w:position w:val="0"/>
          <w:shd w:val="clear" w:color="auto" w:fill="auto"/>
          <w:lang w:val="hr-HR" w:eastAsia="hr-HR" w:bidi="hr-HR"/>
        </w:rPr>
        <w:t xml:space="preserve">Erlos- </w:t>
      </w:r>
      <w:r>
        <w:rPr>
          <w:rFonts w:ascii="Times New Roman" w:eastAsia="Times New Roman" w:hAnsi="Times New Roman" w:cs="Times New Roman"/>
          <w:i/>
          <w:iCs/>
          <w:color w:val="000000"/>
          <w:spacing w:val="0"/>
          <w:w w:val="100"/>
          <w:position w:val="0"/>
          <w:shd w:val="clear" w:color="auto" w:fill="auto"/>
          <w:lang w:val="en-US" w:eastAsia="en-US" w:bidi="en-US"/>
        </w:rPr>
        <w:t>ungdurch Leiden,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1978,56 i d.). Za rabine nije bio problem pomiriti ta dva suprotna vida. Boga nisu mogli zamisliti ni kao nepraved</w:t>
        <w:softHyphen/>
        <w:t>noga ni kao nemilosrdnoga. Istaknuli su Božje ponašanje kao djelo koje čovjek treba opo</w:t>
        <w:softHyphen/>
        <w:t>našati i izvršiti. Pritom su im i Mojsije i Aron poslužili za oba postupka: »Mojsije je također rekao da pravda probija brdo; no Aron je lju</w:t>
        <w:softHyphen/>
        <w:t>bio mir, težio za mirom i uspostavljao mir me</w:t>
        <w:softHyphen/>
        <w:t xml:space="preserve">du ljudima«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6b). Hilcl je jasno zahtijevao: »Budi jedan od Aronovih učeni</w:t>
        <w:softHyphen/>
      </w:r>
      <w:r>
        <w:rPr>
          <w:rFonts w:ascii="Times New Roman" w:eastAsia="Times New Roman" w:hAnsi="Times New Roman" w:cs="Times New Roman"/>
          <w:color w:val="000000"/>
          <w:spacing w:val="0"/>
          <w:w w:val="100"/>
          <w:position w:val="0"/>
          <w:shd w:val="clear" w:color="auto" w:fill="auto"/>
          <w:lang w:val="hr-HR" w:eastAsia="hr-HR" w:bidi="hr-HR"/>
        </w:rPr>
        <w:t>ka« (M Avot 1,12). Slično je propovijedao je</w:t>
        <w:softHyphen/>
        <w:t>dan kasniji učitelj: »Jao grcšnicima koji mjeru Božjega milosrđa pretvaraju u mjeru praved</w:t>
        <w:softHyphen/>
        <w:t>nosti, no spas pobožnima koji svojstvo praved</w:t>
        <w:softHyphen/>
        <w:t>nosti pretvaraju u milosrđe. Posvuda gdje u Pismu stoji JHVII označava se svojstvo Božje</w:t>
        <w:softHyphen/>
        <w:t xml:space="preserve">ga milosrđa, a tamo gdje piše </w:t>
      </w:r>
      <w:r>
        <w:rPr>
          <w:rFonts w:ascii="Times New Roman" w:eastAsia="Times New Roman" w:hAnsi="Times New Roman" w:cs="Times New Roman"/>
          <w:color w:val="000000"/>
          <w:spacing w:val="0"/>
          <w:w w:val="100"/>
          <w:position w:val="0"/>
          <w:shd w:val="clear" w:color="auto" w:fill="auto"/>
          <w:lang w:val="en-US" w:eastAsia="en-US" w:bidi="en-US"/>
        </w:rPr>
        <w:t xml:space="preserve">Elohim </w:t>
      </w:r>
      <w:r>
        <w:rPr>
          <w:rFonts w:ascii="Times New Roman" w:eastAsia="Times New Roman" w:hAnsi="Times New Roman" w:cs="Times New Roman"/>
          <w:color w:val="000000"/>
          <w:spacing w:val="0"/>
          <w:w w:val="100"/>
          <w:position w:val="0"/>
          <w:shd w:val="clear" w:color="auto" w:fill="auto"/>
          <w:lang w:val="hr-HR" w:eastAsia="hr-HR" w:bidi="hr-HR"/>
        </w:rPr>
        <w:t>ozna</w:t>
        <w:softHyphen/>
        <w:t>čava se svojstvo pravednosti« (Bcrešit raba XXXIII,8,1).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Povezanost imena JHVH s biblijskim nizom doživljaja milosrdnoga Boga u talmudskoj li</w:t>
        <w:softHyphen/>
        <w:t xml:space="preserve">teraturi rasvjetljava nastojanja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 xml:space="preserve">Bube- ra i Franza </w:t>
      </w:r>
      <w:r>
        <w:rPr>
          <w:rFonts w:ascii="Times New Roman" w:eastAsia="Times New Roman" w:hAnsi="Times New Roman" w:cs="Times New Roman"/>
          <w:color w:val="000000"/>
          <w:spacing w:val="0"/>
          <w:w w:val="100"/>
          <w:position w:val="0"/>
          <w:shd w:val="clear" w:color="auto" w:fill="auto"/>
          <w:lang w:val="en-US" w:eastAsia="en-US" w:bidi="en-US"/>
        </w:rPr>
        <w:t xml:space="preserve">Roscnzwciga </w:t>
      </w:r>
      <w:r>
        <w:rPr>
          <w:rFonts w:ascii="Times New Roman" w:eastAsia="Times New Roman" w:hAnsi="Times New Roman" w:cs="Times New Roman"/>
          <w:color w:val="000000"/>
          <w:spacing w:val="0"/>
          <w:w w:val="100"/>
          <w:position w:val="0"/>
          <w:shd w:val="clear" w:color="auto" w:fill="auto"/>
          <w:lang w:val="hr-HR" w:eastAsia="hr-HR" w:bidi="hr-HR"/>
        </w:rPr>
        <w:t xml:space="preserve">da u smislu Biblije prevedu tetragram na njemački. U kontekstu Izl 3,12-14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color w:val="000000"/>
          <w:spacing w:val="0"/>
          <w:w w:val="100"/>
          <w:position w:val="0"/>
          <w:shd w:val="clear" w:color="auto" w:fill="auto"/>
          <w:lang w:val="hr-HR" w:eastAsia="hr-HR" w:bidi="hr-HR"/>
        </w:rPr>
        <w:t>nije prepoznao Božju »vječnost«, nego je pokrenuo razgovor na te</w:t>
        <w:softHyphen/>
        <w:t>mu »sadašnjost, bivanje za vas i bivanje s va</w:t>
        <w:softHyphen/>
        <w:t>ma sada i ubuduće«. Njegovo shvaćanje »Ehe- jc ašer eheje« u biblijskoj izreci o Božjem imenu JHVH (stih 14) slično je rabinskom ob</w:t>
        <w:softHyphen/>
        <w:t>jašnjenju, jer tko jest za vas i s vama, milo</w:t>
        <w:softHyphen/>
        <w:t xml:space="preserve">srdan je: »Kako se otac smiluje dječici, tako se JHVH smiluje onima što ga se boje« (Ps 103,13). Prema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Rosenzweigovu </w:t>
      </w:r>
      <w:r>
        <w:rPr>
          <w:rFonts w:ascii="Times New Roman" w:eastAsia="Times New Roman" w:hAnsi="Times New Roman" w:cs="Times New Roman"/>
          <w:color w:val="000000"/>
          <w:spacing w:val="0"/>
          <w:w w:val="100"/>
          <w:position w:val="0"/>
          <w:shd w:val="clear" w:color="auto" w:fill="auto"/>
          <w:lang w:val="hr-HR" w:eastAsia="hr-HR" w:bidi="hr-HR"/>
        </w:rPr>
        <w:t xml:space="preserve">i Buberovu sudu jedini prikladan prijevod sve transpa- rentnijeg imena JHVH jest osobna zamjenica. Ona označava u njegovim osobama (JA, TI, ON) tri dimenzije te »osobne prisutnosti Božje«, JA kada ga se može čuti, TI kada mu se može obratiti i ON kada se o njemu govori (F. </w:t>
      </w:r>
      <w:r>
        <w:rPr>
          <w:rFonts w:ascii="Times New Roman" w:eastAsia="Times New Roman" w:hAnsi="Times New Roman" w:cs="Times New Roman"/>
          <w:color w:val="000000"/>
          <w:spacing w:val="0"/>
          <w:w w:val="100"/>
          <w:position w:val="0"/>
          <w:shd w:val="clear" w:color="auto" w:fill="auto"/>
          <w:lang w:val="en-US" w:eastAsia="en-US" w:bidi="en-US"/>
        </w:rPr>
        <w:t>Ro</w:t>
        <w:softHyphen/>
        <w:t xml:space="preserve">senzweig, </w:t>
      </w:r>
      <w:r>
        <w:rPr>
          <w:rFonts w:ascii="Times New Roman" w:eastAsia="Times New Roman" w:hAnsi="Times New Roman" w:cs="Times New Roman"/>
          <w:color w:val="000000"/>
          <w:spacing w:val="0"/>
          <w:w w:val="100"/>
          <w:position w:val="0"/>
          <w:shd w:val="clear" w:color="auto" w:fill="auto"/>
          <w:lang w:val="hr-HR" w:eastAsia="hr-HR" w:bidi="hr-HR"/>
        </w:rPr>
        <w:t xml:space="preserve">»Der Ewige« /Vječni/, 1929: u </w:t>
      </w:r>
      <w:r>
        <w:rPr>
          <w:rFonts w:ascii="Times New Roman" w:eastAsia="Times New Roman" w:hAnsi="Times New Roman" w:cs="Times New Roman"/>
          <w:i/>
          <w:iCs/>
          <w:color w:val="000000"/>
          <w:spacing w:val="0"/>
          <w:w w:val="100"/>
          <w:position w:val="0"/>
          <w:shd w:val="clear" w:color="auto" w:fill="auto"/>
          <w:lang w:val="hr-HR" w:eastAsia="hr-HR" w:bidi="hr-HR"/>
        </w:rPr>
        <w:t>Klei- nere Schriften</w:t>
      </w:r>
      <w:r>
        <w:rPr>
          <w:rFonts w:ascii="Times New Roman" w:eastAsia="Times New Roman" w:hAnsi="Times New Roman" w:cs="Times New Roman"/>
          <w:color w:val="000000"/>
          <w:spacing w:val="0"/>
          <w:w w:val="100"/>
          <w:position w:val="0"/>
          <w:shd w:val="clear" w:color="auto" w:fill="auto"/>
          <w:lang w:val="hr-HR" w:eastAsia="hr-HR" w:bidi="hr-HR"/>
        </w:rPr>
        <w:t xml:space="preserve"> /Manji spisi/, 1937, 182-198,188 i d.; usp.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Zu einer neuen Verdeut- sehung der Schrift,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Beilage zum ersten Band,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9</w:t>
      </w:r>
      <w:r>
        <w:rPr>
          <w:rFonts w:ascii="Times New Roman" w:eastAsia="Times New Roman" w:hAnsi="Times New Roman" w:cs="Times New Roman"/>
          <w:color w:val="000000"/>
          <w:spacing w:val="0"/>
          <w:w w:val="100"/>
          <w:position w:val="0"/>
          <w:shd w:val="clear" w:color="auto" w:fill="auto"/>
          <w:lang w:val="hr-HR" w:eastAsia="hr-HR" w:bidi="hr-HR"/>
        </w:rPr>
        <w:t>1976, 28 i d.). Zamjenica umjesto imena tre</w:t>
        <w:softHyphen/>
        <w:t xml:space="preserve">ba izraziti </w:t>
      </w:r>
      <w:r>
        <w:rPr>
          <w:rFonts w:ascii="Times New Roman" w:eastAsia="Times New Roman" w:hAnsi="Times New Roman" w:cs="Times New Roman"/>
          <w:i/>
          <w:iCs/>
          <w:color w:val="000000"/>
          <w:spacing w:val="0"/>
          <w:w w:val="100"/>
          <w:position w:val="0"/>
          <w:shd w:val="clear" w:color="auto" w:fill="auto"/>
          <w:lang w:val="hr-HR" w:eastAsia="hr-HR" w:bidi="hr-HR"/>
        </w:rPr>
        <w:t>uzajamni odnos</w:t>
      </w:r>
      <w:r>
        <w:rPr>
          <w:rFonts w:ascii="Times New Roman" w:eastAsia="Times New Roman" w:hAnsi="Times New Roman" w:cs="Times New Roman"/>
          <w:color w:val="000000"/>
          <w:spacing w:val="0"/>
          <w:w w:val="100"/>
          <w:position w:val="0"/>
          <w:shd w:val="clear" w:color="auto" w:fill="auto"/>
          <w:lang w:val="hr-HR" w:eastAsia="hr-HR" w:bidi="hr-HR"/>
        </w:rPr>
        <w:t xml:space="preserve"> koji se nalazi u upo</w:t>
        <w:softHyphen/>
        <w:t>trebi četveroslovnog imena Božjeg: »Samo za</w:t>
        <w:softHyphen/>
        <w:t>to što je on moj Ti, opažam (čujem) sebi pri</w:t>
        <w:softHyphen/>
        <w:t>sutnoga iz njegova Ja i smijem o Njemu go</w:t>
        <w:softHyphen/>
        <w:t xml:space="preserve">voriti«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i/>
          <w:iCs/>
          <w:color w:val="000000"/>
          <w:spacing w:val="0"/>
          <w:w w:val="100"/>
          <w:position w:val="0"/>
          <w:shd w:val="clear" w:color="auto" w:fill="auto"/>
          <w:lang w:val="hr-HR" w:eastAsia="hr-HR" w:bidi="hr-HR"/>
        </w:rPr>
        <w:t>Briefe,</w:t>
      </w:r>
      <w:r>
        <w:rPr>
          <w:rFonts w:ascii="Times New Roman" w:eastAsia="Times New Roman" w:hAnsi="Times New Roman" w:cs="Times New Roman"/>
          <w:color w:val="000000"/>
          <w:spacing w:val="0"/>
          <w:w w:val="100"/>
          <w:position w:val="0"/>
          <w:shd w:val="clear" w:color="auto" w:fill="auto"/>
          <w:lang w:val="hr-HR" w:eastAsia="hr-HR" w:bidi="hr-HR"/>
        </w:rPr>
        <w:t xml:space="preserve"> 1935, br. 502,603). Jezični oblik uzajamnosti dovodi do toga da sadržaj u ključnoj rečenici za židovski »monoteizam« glasi: »Čuj, Izraele: ON naš B., ON jedini! Moram počiniti ovu zajednicu tom Jedinome, koji se samo u načinu svojega djelovanja izražava različito - u beskrajnoj mi</w:t>
        <w:softHyphen/>
        <w:t>losrdnoj ljubavi i u zahtjevnoj strogosti koja kažnjava. Jedinost toga, ovdje poznatoga, nije jedinost pojedinačnosti, nego jedinost odnosa u cjelini života življenoga prema »NJEMU«.</w:t>
      </w:r>
    </w:p>
    <w:p>
      <w:pPr>
        <w:pStyle w:val="Style20"/>
        <w:keepNext w:val="0"/>
        <w:keepLines w:val="0"/>
        <w:widowControl w:val="0"/>
        <w:shd w:val="clear" w:color="auto" w:fill="auto"/>
        <w:bidi w:val="0"/>
        <w:spacing w:before="0" w:after="0"/>
        <w:ind w:left="0" w:right="0" w:firstLine="0"/>
        <w:jc w:val="both"/>
        <w:sectPr>
          <w:headerReference w:type="default" r:id="rId177"/>
          <w:footerReference w:type="default" r:id="rId178"/>
          <w:headerReference w:type="even" r:id="rId179"/>
          <w:footerReference w:type="even" r:id="rId180"/>
          <w:headerReference w:type="first" r:id="rId181"/>
          <w:footerReference w:type="first" r:id="rId182"/>
          <w:footnotePr>
            <w:pos w:val="pageBottom"/>
            <w:numFmt w:val="decimal"/>
            <w:numStart w:val="5"/>
            <w:numRestart w:val="continuous"/>
            <w15:footnoteColumns w:val="1"/>
          </w:footnotePr>
          <w:pgSz w:w="6816" w:h="11006"/>
          <w:pgMar w:top="954" w:left="178" w:right="182" w:bottom="525" w:header="0" w:footer="3" w:gutter="0"/>
          <w:cols w:num="2" w:space="15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b) »Zaista, uzvišen je ON, ali gleda na poniz</w:t>
        <w:softHyphen/>
        <w:t>na.«</w:t>
      </w:r>
      <w:r>
        <w:rPr>
          <w:rFonts w:ascii="Times New Roman" w:eastAsia="Times New Roman" w:hAnsi="Times New Roman" w:cs="Times New Roman"/>
          <w:color w:val="000000"/>
          <w:spacing w:val="0"/>
          <w:w w:val="100"/>
          <w:position w:val="0"/>
          <w:shd w:val="clear" w:color="auto" w:fill="auto"/>
          <w:lang w:val="hr-HR" w:eastAsia="hr-HR" w:bidi="hr-HR"/>
        </w:rPr>
        <w:t xml:space="preserve"> Razgovor o Bogu u Bibliji i u tradicijskoj </w:t>
      </w:r>
      <w:r>
        <w:rPr>
          <w:rFonts w:ascii="Times New Roman" w:eastAsia="Times New Roman" w:hAnsi="Times New Roman" w:cs="Times New Roman"/>
          <w:color w:val="000000"/>
          <w:spacing w:val="0"/>
          <w:w w:val="100"/>
          <w:position w:val="0"/>
          <w:shd w:val="clear" w:color="auto" w:fill="auto"/>
          <w:lang w:val="hr-HR" w:eastAsia="hr-HR" w:bidi="hr-HR"/>
        </w:rPr>
        <w:t>literaturi odnosi se na stvorenje kao sugovor</w:t>
        <w:softHyphen/>
        <w:t>nika. To proizlazi iz nczakržljaloga znanja lju</w:t>
        <w:softHyphen/>
        <w:t xml:space="preserve">di o načinu </w:t>
      </w:r>
      <w:r>
        <w:rPr>
          <w:rFonts w:ascii="Times New Roman" w:eastAsia="Times New Roman" w:hAnsi="Times New Roman" w:cs="Times New Roman"/>
          <w:i/>
          <w:iCs/>
          <w:color w:val="000000"/>
          <w:spacing w:val="0"/>
          <w:w w:val="100"/>
          <w:position w:val="0"/>
          <w:shd w:val="clear" w:color="auto" w:fill="auto"/>
          <w:lang w:val="hr-HR" w:eastAsia="hr-HR" w:bidi="hr-HR"/>
        </w:rPr>
        <w:t>kako</w:t>
      </w:r>
      <w:r>
        <w:rPr>
          <w:rFonts w:ascii="Times New Roman" w:eastAsia="Times New Roman" w:hAnsi="Times New Roman" w:cs="Times New Roman"/>
          <w:color w:val="000000"/>
          <w:spacing w:val="0"/>
          <w:w w:val="100"/>
          <w:position w:val="0"/>
          <w:shd w:val="clear" w:color="auto" w:fill="auto"/>
          <w:lang w:val="hr-HR" w:eastAsia="hr-HR" w:bidi="hr-HR"/>
        </w:rPr>
        <w:t xml:space="preserve"> B. susreće čovjeka: on ulazi u konkretnu cjelovitu stvarnost svojega stvore</w:t>
        <w:softHyphen/>
        <w:t>nja s istim konkretnim cjelovitim susretom. Svaka izreka živi od susreta sa stvaranjem ili stvorenjem: ako ovdje ima nešto što se vidi, na to B. usmjerava svoj pogled: »Vidio sam jade svoga naroda« (Izl 3,7). - »B. reče Mojsiju: Ti vidiš samo jedno, a ja vidim dvoje, ti vidiš samo da dolaze na Sinaj i primaju moju Toru, ali ja ih vidim da primaju Toru... i vidim ih također kako dogotavljaju tele« (Semot raba 111,3,7). »Jer uzvišen je ON, ali gleda na po</w:t>
        <w:softHyphen/>
        <w:t>nizna« (Ps 138,6) - »Dođi i vidi kako se raz</w:t>
        <w:softHyphen/>
        <w:t>likuje način djelovanja (ponašanje) Svetoga, hvaljen bio, od načina djelovanja (ponašanja) mesa i krvi. Način ponašanja mesa i krvi sas</w:t>
        <w:softHyphen/>
        <w:t>toji se u tome da visoki poštuje visokoga, ali ne i da visoki poštuje poniznoga, no drukčiji je način ponašanja Svetoga, hvaljen bio, on je vi</w:t>
        <w:softHyphen/>
        <w:t>sok i poštuje poniznoga« (b Sota 5a). Ako čovjek zove, B. tada otvara uho: »Tvoj me odgovor obogaćuje« (Ps 18,36) - Čovjek kaže svojem prijatelju: Idi kititi zaručnice, posjetiti bolesnike, pokopati mrtve, utješiti žalosne! Međutim, on mu odgovara: Ja sam bogat i važan, i ja da idem (i činim takvo što)? Za razliku od toga, Sveti, hvaljen bio: ‘I (ON, B.) od rebra napravi...’ (Post 2,22) ‘ON mu se ukaza...’ (18,1) - I ukopa ga on u dolini...’ (Pnz 34,6 - ‘B. se opet objavi Jakovu...' (Post 35,9)« (Jalkut šimoni 11,161 uz Ps 18,36). Ka</w:t>
        <w:softHyphen/>
        <w:t>da ljudi više ne mogu raspoznati put, vodi ih B.: »ON je išao pred njima, danju u stupu od oblaka, da im put pokazuje, a noću u stupu od ognja, da im svijetli« (Izl 13,21) - »Rabi Jose Galilejac je rekao: Kad to ne bi bio stih napi</w:t>
        <w:softHyphen/>
        <w:t>san u Pismu, ne bi se smio izgovoriti: poput oca koji pred svojom djecom nosi baklju i po</w:t>
        <w:softHyphen/>
        <w:t>put gospodara koji pred svojim robovima nosi baklju« (Mehilta Šimona bar Johaja 47 za Izl 13,21). Kada ljudi više ne mogu dalje, B. ih nosi: »Vodio sam vas pustinjom četrdeset go</w:t>
        <w:softHyphen/>
        <w:t>dina« (Pnz 29,4) - Rabi Jehuda je rekao: Do</w:t>
        <w:softHyphen/>
        <w:t>đi i vidi kako se B. udostojao. Obično kad otac ima sina, natovari ga, no ako ga boli, ubrzo ga odbacuje; međutim, Bog tako ne postupa, Iz</w:t>
        <w:softHyphen/>
        <w:t>raelci su bili četrdeset godina u pustinji i raz</w:t>
        <w:softHyphen/>
        <w:t>ljutili su ga, a on ih je ipak nosio« (Dcvarim raba VII,29,4). Ako se ljudi iz čežnje žele pri</w:t>
        <w:softHyphen/>
        <w:t xml:space="preserve">bližiti ili se nastoje iz prkosa udaljiti, B. se </w:t>
      </w:r>
      <w:r>
        <w:rPr>
          <w:rFonts w:ascii="Times New Roman" w:eastAsia="Times New Roman" w:hAnsi="Times New Roman" w:cs="Times New Roman"/>
          <w:color w:val="000000"/>
          <w:spacing w:val="0"/>
          <w:w w:val="100"/>
          <w:position w:val="0"/>
          <w:shd w:val="clear" w:color="auto" w:fill="auto"/>
          <w:lang w:val="hr-HR" w:eastAsia="hr-HR" w:bidi="hr-HR"/>
        </w:rPr>
        <w:t>spušta kako bi ih susreo na pola puta ili se suprotstavio bjeguncima: »... ali (ja sam) i s potlačenim i poniženim« (Iz 57,15) - »R. Hu</w:t>
        <w:softHyphen/>
        <w:t>na i r. Hizda (ovdje zastupaju različita mišlje</w:t>
        <w:softHyphen/>
        <w:t xml:space="preserve">nja); jedan je objasnio, kod mene je poniženi, a drugi je objasnio, ja sam kod poniženoga. No jasnije je gledište onoga koji je objasnio: ja sam kod poniženoga, jer je Sveti, hvaljen bio, prešao sva brda i brežuljke i ostavio svoju </w:t>
      </w:r>
      <w:r>
        <w:rPr>
          <w:rFonts w:ascii="Times New Roman" w:eastAsia="Times New Roman" w:hAnsi="Times New Roman" w:cs="Times New Roman"/>
          <w:i/>
          <w:iCs/>
          <w:color w:val="000000"/>
          <w:spacing w:val="0"/>
          <w:w w:val="100"/>
          <w:position w:val="0"/>
          <w:shd w:val="clear" w:color="auto" w:fill="auto"/>
          <w:lang w:val="hr-HR" w:eastAsia="hr-HR" w:bidi="hr-HR"/>
        </w:rPr>
        <w:t>še- hinu</w:t>
      </w:r>
      <w:r>
        <w:rPr>
          <w:rFonts w:ascii="Times New Roman" w:eastAsia="Times New Roman" w:hAnsi="Times New Roman" w:cs="Times New Roman"/>
          <w:color w:val="000000"/>
          <w:spacing w:val="0"/>
          <w:w w:val="100"/>
          <w:position w:val="0"/>
          <w:shd w:val="clear" w:color="auto" w:fill="auto"/>
          <w:lang w:val="hr-HR" w:eastAsia="hr-HR" w:bidi="hr-HR"/>
        </w:rPr>
        <w:t xml:space="preserve"> (Božju prisutnost u svijetu) da počiva na brdu Sinaju, ali brdo Sinaj nije dizao u visine« (b Sota 5a); »ON se spusti« (Post 11,5) - »Pa, dva, tri puta spustio sam se (sam) s neba na zemlju kako bih vidio izopačenost ljudi« (Šc- mot raba XL1I,32,7). Kada se pruže ruke prc- klinjući za pomoć, B. ih može prihvatiti: »Za</w:t>
        <w:softHyphen/>
        <w:t xml:space="preserve">to sam sišao da ga izbavim iz šaka egipatskih« (Izl 3,8) -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je rekao: Zašto se Sveti pojavio sišavši s neba i razgovarao s njim (Mojsijem) iz gorućeg grma? Kako je taj grm niži od ostalog drveća, Izraelci su se spustili na najnižu stepenicu, a Sveti, hvaljen bio, spustio se s njima i izbavio ih« (Mehilta Ši</w:t>
        <w:softHyphen/>
        <w:t>mona bar Johaja 1 za Izl 3,2). Takozvani bi</w:t>
        <w:softHyphen/>
        <w:t>blijski antropomorfizmi, pa i oni kasniji u ha- gadskoj literaturi, nikada se međusobno ne spajaju u sliku ili opis da bi se smjelo reći kako B. ima oči, uši, usta, ruku, nogu, nos - ali nipošto zato što bi vidjeti, čuti, govoriti, uhva</w:t>
        <w:softHyphen/>
        <w:t>titi, spustiti se, njušiti ili dahtati bila ograni</w:t>
        <w:softHyphen/>
        <w:t>čenja nedostojna Boga (usp. 1 Sam 5,11; Iz 52,10; Br 11,1; 2 Kr 19,16; Ps 8,4; 13,2.4; 33,9.13)! »Poljuđivanja«, pojmovno i jezično, ne kažu ništa ni o Bogu ni o čovjeku, već go</w:t>
        <w:softHyphen/>
        <w:t xml:space="preserve">vore o </w:t>
      </w:r>
      <w:r>
        <w:rPr>
          <w:rFonts w:ascii="Times New Roman" w:eastAsia="Times New Roman" w:hAnsi="Times New Roman" w:cs="Times New Roman"/>
          <w:i/>
          <w:iCs/>
          <w:color w:val="000000"/>
          <w:spacing w:val="0"/>
          <w:w w:val="100"/>
          <w:position w:val="0"/>
          <w:shd w:val="clear" w:color="auto" w:fill="auto"/>
          <w:lang w:val="hr-HR" w:eastAsia="hr-HR" w:bidi="hr-HR"/>
        </w:rPr>
        <w:t>događanju između njih</w:t>
      </w:r>
      <w:r>
        <w:rPr>
          <w:rFonts w:ascii="Times New Roman" w:eastAsia="Times New Roman" w:hAnsi="Times New Roman" w:cs="Times New Roman"/>
          <w:color w:val="000000"/>
          <w:spacing w:val="0"/>
          <w:w w:val="100"/>
          <w:position w:val="0"/>
          <w:shd w:val="clear" w:color="auto" w:fill="auto"/>
          <w:lang w:val="hr-HR" w:eastAsia="hr-HR" w:bidi="hr-HR"/>
        </w:rPr>
        <w:t>. Ona su čovjeku potrebna; naime, ona mu brane da trenutnu objavu Božju učvrste u trajnu sliku i time paze da ne zapadne u mnogoboštvo. No, budući da B. ocjenjuje »antropomorfizme«, naznačuje možda shvaćanje mudraca o anđelima: ni je</w:t>
        <w:softHyphen/>
        <w:t>dan glasnik Božji ne smije izvršiti više od jed</w:t>
        <w:softHyphen/>
        <w:t>ne zapovijedi (usp. b Bava mecia 86b; Berešit raba L,19,l). Biblijski stil - a on odgovara bi</w:t>
        <w:softHyphen/>
        <w:t>blijskom smislu! - zadaje čovjeku ono što on može učiniti, ako se samo otvori: da ima bes</w:t>
        <w:softHyphen/>
        <w:t>krajno povjerenje u neograničene snage Boga koji svoje djelo i sva stvorenja susreće u sva</w:t>
        <w:softHyphen/>
        <w:t>kom trenutku njihova života. Rabini su se nas</w:t>
        <w:softHyphen/>
        <w:t>tavili baviti djelom biblijskih učitelja i pripre</w:t>
        <w:softHyphen/>
        <w:t>mali tlo za nedvojbeno poimanje kako B. može ono što hoće: »Rabi Johanan je rekao: Posvuda, gdje god nadeš veličinu Svetoga, hva-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Ijen bio, naći ćeš i njegovu skromnost (spuš</w:t>
        <w:softHyphen/>
        <w:t xml:space="preserve">tanje; »samoponiženje« prema P. Kuhnu, </w:t>
      </w:r>
      <w:r>
        <w:rPr>
          <w:rFonts w:ascii="Times New Roman" w:eastAsia="Times New Roman" w:hAnsi="Times New Roman" w:cs="Times New Roman"/>
          <w:i/>
          <w:iCs/>
          <w:color w:val="000000"/>
          <w:spacing w:val="0"/>
          <w:w w:val="100"/>
          <w:position w:val="0"/>
          <w:shd w:val="clear" w:color="auto" w:fill="auto"/>
          <w:lang w:val="en-US" w:eastAsia="en-US" w:bidi="en-US"/>
        </w:rPr>
        <w:t xml:space="preserve">Gortes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Selbstemiedrigung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Theologie der Rabbinen</w:t>
      </w:r>
      <w:r>
        <w:rPr>
          <w:rFonts w:ascii="Times New Roman" w:eastAsia="Times New Roman" w:hAnsi="Times New Roman" w:cs="Times New Roman"/>
          <w:color w:val="000000"/>
          <w:spacing w:val="0"/>
          <w:w w:val="100"/>
          <w:position w:val="0"/>
          <w:shd w:val="clear" w:color="auto" w:fill="auto"/>
          <w:lang w:val="hr-HR" w:eastAsia="hr-HR" w:bidi="hr-HR"/>
        </w:rPr>
        <w:t xml:space="preserve"> ./Samoponiženje Božje u rabinskoj teologiji/, 1968, 13). To je opisano u Tori (Pnz 10.17.18), ponovljeno u Prorocima (Iz 57,15) i utrostručeno u Spisima (Hagiografa) (Ps</w:t>
      </w:r>
    </w:p>
    <w:p>
      <w:pPr>
        <w:pStyle w:val="Style20"/>
        <w:keepNext w:val="0"/>
        <w:keepLines w:val="0"/>
        <w:widowControl w:val="0"/>
        <w:numPr>
          <w:ilvl w:val="0"/>
          <w:numId w:val="39"/>
        </w:numPr>
        <w:shd w:val="clear" w:color="auto" w:fill="auto"/>
        <w:tabs>
          <w:tab w:pos="567"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(b Mcgila 31a). Istodobno su izoštrili sluh i pripremili se svjesno prihvatiti da Božje stvorenje može ono što mora: »Rabi Joscf je rekao: Neka čovjek stalno uči iz postupaka svojega stvoritelja« (b Sota 5a). B. Izraela, posvjedočen u biblijskoj i talmudskoj litera</w:t>
        <w:softHyphen/>
        <w:t>turi, ne vlada samo svijetom; on se upušta i u situacije svojega naroda i pojedinaca. »Zaista, uzvišen je ON, ali gleda na ponizna« (Ps</w:t>
      </w:r>
    </w:p>
    <w:p>
      <w:pPr>
        <w:pStyle w:val="Style20"/>
        <w:keepNext w:val="0"/>
        <w:keepLines w:val="0"/>
        <w:widowControl w:val="0"/>
        <w:numPr>
          <w:ilvl w:val="0"/>
          <w:numId w:val="41"/>
        </w:numPr>
        <w:shd w:val="clear" w:color="auto" w:fill="auto"/>
        <w:tabs>
          <w:tab w:pos="591"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Iz dubina patnji u Izraclovoj povijesti izranja pojava Božja kao Boga napaćenih. U borbi za unutarnju i vanjsku problematiku pu</w:t>
        <w:softHyphen/>
        <w:t>ta izraelske zajednice proširio se i produbio uvid njezinih proroka: oni su navijestili Boga Izraela koji se ukazuje napaćenima, a ipak ni</w:t>
        <w:softHyphen/>
        <w:t>je prikraćen u svojoj nadmoći nad svijetom: »Jer ovako govori Višnji i Uzvišeni, koji vječ</w:t>
        <w:softHyphen/>
        <w:t>no stoluje ... ali ja sam i s potlačenima i po</w:t>
        <w:softHyphen/>
        <w:t xml:space="preserve">niženima« (lz 57,15; usp. M. Bubcr, </w:t>
      </w:r>
      <w:r>
        <w:rPr>
          <w:rFonts w:ascii="Times New Roman" w:eastAsia="Times New Roman" w:hAnsi="Times New Roman" w:cs="Times New Roman"/>
          <w:i/>
          <w:iCs/>
          <w:color w:val="000000"/>
          <w:spacing w:val="0"/>
          <w:w w:val="100"/>
          <w:position w:val="0"/>
          <w:shd w:val="clear" w:color="auto" w:fill="auto"/>
          <w:lang w:val="hr-HR" w:eastAsia="hr-HR" w:bidi="hr-HR"/>
        </w:rPr>
        <w:t>Der Glaube der Propheten</w:t>
      </w:r>
      <w:r>
        <w:rPr>
          <w:rFonts w:ascii="Times New Roman" w:eastAsia="Times New Roman" w:hAnsi="Times New Roman" w:cs="Times New Roman"/>
          <w:color w:val="000000"/>
          <w:spacing w:val="0"/>
          <w:w w:val="100"/>
          <w:position w:val="0"/>
          <w:shd w:val="clear" w:color="auto" w:fill="auto"/>
          <w:lang w:val="hr-HR" w:eastAsia="hr-HR" w:bidi="hr-HR"/>
        </w:rPr>
        <w:t xml:space="preserve"> /Proročka vjera/, 1950. u </w:t>
      </w:r>
      <w:r>
        <w:rPr>
          <w:rFonts w:ascii="Times New Roman" w:eastAsia="Times New Roman" w:hAnsi="Times New Roman" w:cs="Times New Roman"/>
          <w:i/>
          <w:iCs/>
          <w:color w:val="000000"/>
          <w:spacing w:val="0"/>
          <w:w w:val="100"/>
          <w:position w:val="0"/>
          <w:shd w:val="clear" w:color="auto" w:fill="auto"/>
          <w:lang w:val="hr-HR" w:eastAsia="hr-HR" w:bidi="hr-HR"/>
        </w:rPr>
        <w:t>Djelima II,</w:t>
      </w:r>
      <w:r>
        <w:rPr>
          <w:rFonts w:ascii="Times New Roman" w:eastAsia="Times New Roman" w:hAnsi="Times New Roman" w:cs="Times New Roman"/>
          <w:color w:val="000000"/>
          <w:spacing w:val="0"/>
          <w:w w:val="100"/>
          <w:position w:val="0"/>
          <w:shd w:val="clear" w:color="auto" w:fill="auto"/>
          <w:lang w:val="hr-HR" w:eastAsia="hr-HR" w:bidi="hr-HR"/>
        </w:rPr>
        <w:t xml:space="preserve"> 1962, pos. 400-484). Proročke ri</w:t>
        <w:softHyphen/>
        <w:t>ječi ispunjene su jekom ljubavi i razočaranja, milosrđa i zlovolje Božje. Oni otkrivaju Božju povezanost sa zajednicom Izraela i sa svim stvorenjima, njegovu upletenost u život ljudi. Bez obzira na to da li proroci kude ili optužu</w:t>
        <w:softHyphen/>
        <w:t>ju, brane ili tješe, oni govore o osobnom od</w:t>
        <w:softHyphen/>
        <w:t>nosu Boga i Izraela. U ljudskom djelovanju B. i čovjek susreću se na tajanstven način. Bu</w:t>
        <w:softHyphen/>
        <w:t xml:space="preserve">dući da Božje zapovijedi nisu puke preporuke ljudima za djelovanje već i utjelovljenje Božje brige i skrbi, Boga se osobno tiče hoće li ljudi izvršiti te zapovjedi ili će ih odbaciti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6,8; Jr5,9; 51,14). Riječi proroka obznanjuju kako B. u tome sudjeluje i kako ga to pogađa (usp. A. J. Heschei, </w:t>
      </w:r>
      <w:r>
        <w:rPr>
          <w:rFonts w:ascii="Times New Roman" w:eastAsia="Times New Roman" w:hAnsi="Times New Roman" w:cs="Times New Roman"/>
          <w:i/>
          <w:iCs/>
          <w:color w:val="000000"/>
          <w:spacing w:val="0"/>
          <w:w w:val="100"/>
          <w:position w:val="0"/>
          <w:shd w:val="clear" w:color="auto" w:fill="auto"/>
          <w:lang w:val="en-US" w:eastAsia="en-US" w:bidi="en-US"/>
        </w:rPr>
        <w:t xml:space="preserve">Prophets </w:t>
      </w:r>
      <w:r>
        <w:rPr>
          <w:rFonts w:ascii="Times New Roman" w:eastAsia="Times New Roman" w:hAnsi="Times New Roman" w:cs="Times New Roman"/>
          <w:i/>
          <w:iCs/>
          <w:color w:val="000000"/>
          <w:spacing w:val="0"/>
          <w:w w:val="100"/>
          <w:position w:val="0"/>
          <w:shd w:val="clear" w:color="auto" w:fill="auto"/>
          <w:lang w:val="hr-HR" w:eastAsia="hr-HR" w:bidi="hr-HR"/>
        </w:rPr>
        <w:t>fProrodl I-II,</w:t>
      </w:r>
      <w:r>
        <w:rPr>
          <w:rFonts w:ascii="Times New Roman" w:eastAsia="Times New Roman" w:hAnsi="Times New Roman" w:cs="Times New Roman"/>
          <w:color w:val="000000"/>
          <w:spacing w:val="0"/>
          <w:w w:val="100"/>
          <w:position w:val="0"/>
          <w:shd w:val="clear" w:color="auto" w:fill="auto"/>
          <w:lang w:val="hr-HR" w:eastAsia="hr-HR" w:bidi="hr-HR"/>
        </w:rPr>
        <w:t xml:space="preserve"> 1962; A. Neher, </w:t>
      </w:r>
      <w:r>
        <w:rPr>
          <w:rFonts w:ascii="Times New Roman" w:eastAsia="Times New Roman" w:hAnsi="Times New Roman" w:cs="Times New Roman"/>
          <w:i/>
          <w:iCs/>
          <w:color w:val="000000"/>
          <w:spacing w:val="0"/>
          <w:w w:val="100"/>
          <w:position w:val="0"/>
          <w:shd w:val="clear" w:color="auto" w:fill="auto"/>
          <w:lang w:val="hr-HR" w:eastAsia="hr-HR" w:bidi="hr-HR"/>
        </w:rPr>
        <w:t>L'essenceduproplietisme,</w:t>
      </w:r>
      <w:r>
        <w:rPr>
          <w:rFonts w:ascii="Times New Roman" w:eastAsia="Times New Roman" w:hAnsi="Times New Roman" w:cs="Times New Roman"/>
          <w:color w:val="000000"/>
          <w:spacing w:val="0"/>
          <w:w w:val="100"/>
          <w:position w:val="0"/>
          <w:shd w:val="clear" w:color="auto" w:fill="auto"/>
          <w:lang w:val="hr-HR" w:eastAsia="hr-HR" w:bidi="hr-HR"/>
        </w:rPr>
        <w:t xml:space="preserve"> 1972). Samo zato što su i sami govorili u žaru božanskoga »patosa«, mogli su posvjedočiti riječ i način djelovanja Boga povezanoga s čovjekom. Su- doživljavanje Boga, koji se upušta u sudbinu svojega naroda, jasno je u primjeru reakcije na Izraelovo optužujuće pitanje: »Hoće li nje</w:t>
        <w:softHyphen/>
        <w:t>gov gnjev plamtjeti dok je svijeta i vijeka, vječ</w:t>
        <w:softHyphen/>
        <w:t xml:space="preserve">no tinjati gnjev tvoj?!« Ono izaziva odlučan </w:t>
      </w:r>
      <w:r>
        <w:rPr>
          <w:rFonts w:ascii="Times New Roman" w:eastAsia="Times New Roman" w:hAnsi="Times New Roman" w:cs="Times New Roman"/>
          <w:color w:val="000000"/>
          <w:spacing w:val="0"/>
          <w:w w:val="100"/>
          <w:position w:val="0"/>
          <w:shd w:val="clear" w:color="auto" w:fill="auto"/>
          <w:lang w:val="hr-HR" w:eastAsia="hr-HR" w:bidi="hr-HR"/>
        </w:rPr>
        <w:t>odgovor Boga: »Vrati se, odmetnice, Izraele, riječ je NJEGOVA. Ne gnjevi se više lice moje na vas, jer sam milostiv - riječ je NJE</w:t>
        <w:softHyphen/>
        <w:t>GOVA - neću se gnjeviti dovijeka« (Jr 3,5.12). Gnjevu Božjem, koji traje trenutak, suprotstavljena je Božja ljubav koja se nastav</w:t>
        <w:softHyphen/>
        <w:t>lja dovijeka: »U provali srdžbe sakrih načas od tebe lice svoje, al’ u ljubavi vječnoj smilo- vah se tebi, govori ON, tvoj Otkupitelj« (Iz 54,8). Tim angažmanom, koji se izražava u smilovanju ili gnjevu, proroci ne žele pokazati nešto iracionalno, već prije način Božjeg dje</w:t>
        <w:softHyphen/>
        <w:t>lovanja na temelju njegove odluke; ono se do</w:t>
        <w:softHyphen/>
        <w:t>gađa mnogo češće u trenucima suđenja nego u doba patnje: »Zar mi je Efrajim sin toliko drag, dijete najmilije? Jer koliko god mu pri</w:t>
        <w:softHyphen/>
        <w:t>jetim, bez prestanka živo na njega mislim, i srce mi dršće za njega od nježne samilosti - riječ je NJEGOVA« (Jr 31,20). To spuštanje k svom narodu, s mnogo ljubavi, potaknulo je čuđenje rabina; osjetili su kako je strahovit i paradoksalan takav radikalni preokret odnosa B. - čovjek na pozadini biblijskoga naglaska na Božjem Veličanstvu (b Suka 4b-5a), pa su proširili hvalu »kako je Sveti, hvaljen bio, po</w:t>
        <w:softHyphen/>
        <w:t>pustljiva srca stao na istu razinu« (Tanhuma vajera 3). Razmišljanjem o tom elementu Božjeg iskustva kada se sam Stvoritelj upušta u ograničeni život svojih stvorenja mudraci su uvidjeli da Bog čak sudjeluje u kaznenoj pat</w:t>
        <w:softHyphen/>
        <w:t xml:space="preserve">nji koju je sam dosudio. To sudioništvo nisu prikazali samo kao samilost (usp. Kuhn,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Gottes </w:t>
      </w:r>
      <w:r>
        <w:rPr>
          <w:rFonts w:ascii="Times New Roman" w:eastAsia="Times New Roman" w:hAnsi="Times New Roman" w:cs="Times New Roman"/>
          <w:i/>
          <w:iCs/>
          <w:color w:val="000000"/>
          <w:spacing w:val="0"/>
          <w:w w:val="100"/>
          <w:position w:val="0"/>
          <w:shd w:val="clear" w:color="auto" w:fill="auto"/>
          <w:lang w:val="en-US" w:eastAsia="en-US" w:bidi="en-US"/>
        </w:rPr>
        <w:t xml:space="preserve">Trauer und </w:t>
      </w:r>
      <w:r>
        <w:rPr>
          <w:rFonts w:ascii="Times New Roman" w:eastAsia="Times New Roman" w:hAnsi="Times New Roman" w:cs="Times New Roman"/>
          <w:i/>
          <w:iCs/>
          <w:color w:val="000000"/>
          <w:spacing w:val="0"/>
          <w:w w:val="100"/>
          <w:position w:val="0"/>
          <w:shd w:val="clear" w:color="auto" w:fill="auto"/>
          <w:lang w:val="hr-HR" w:eastAsia="hr-HR" w:bidi="hr-HR"/>
        </w:rPr>
        <w:t xml:space="preserve">Klage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rabbinischen Uber- lieferung,</w:t>
      </w:r>
      <w:r>
        <w:rPr>
          <w:rFonts w:ascii="Times New Roman" w:eastAsia="Times New Roman" w:hAnsi="Times New Roman" w:cs="Times New Roman"/>
          <w:color w:val="000000"/>
          <w:spacing w:val="0"/>
          <w:w w:val="100"/>
          <w:position w:val="0"/>
          <w:shd w:val="clear" w:color="auto" w:fill="auto"/>
          <w:lang w:val="hr-HR" w:eastAsia="hr-HR" w:bidi="hr-HR"/>
        </w:rPr>
        <w:t xml:space="preserve"> 1978, 31 i đ.349 i d.) nego kao realno suparništvo Boga sa svojim narodom (P. Kuhn,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Gottes </w:t>
      </w:r>
      <w:r>
        <w:rPr>
          <w:rFonts w:ascii="Times New Roman" w:eastAsia="Times New Roman" w:hAnsi="Times New Roman" w:cs="Times New Roman"/>
          <w:i/>
          <w:iCs/>
          <w:color w:val="000000"/>
          <w:spacing w:val="0"/>
          <w:w w:val="100"/>
          <w:position w:val="0"/>
          <w:shd w:val="clear" w:color="auto" w:fill="auto"/>
          <w:lang w:val="en-US" w:eastAsia="en-US" w:bidi="en-US"/>
        </w:rPr>
        <w:t xml:space="preserve">Selbstemiedrigung in </w:t>
      </w:r>
      <w:r>
        <w:rPr>
          <w:rFonts w:ascii="Times New Roman" w:eastAsia="Times New Roman" w:hAnsi="Times New Roman" w:cs="Times New Roman"/>
          <w:i/>
          <w:iCs/>
          <w:color w:val="000000"/>
          <w:spacing w:val="0"/>
          <w:w w:val="100"/>
          <w:position w:val="0"/>
          <w:shd w:val="clear" w:color="auto" w:fill="auto"/>
          <w:lang w:val="hr-HR" w:eastAsia="hr-HR" w:bidi="hr-HR"/>
        </w:rPr>
        <w:t>der Theologie der Rabbinnen,</w:t>
      </w:r>
      <w:r>
        <w:rPr>
          <w:rFonts w:ascii="Times New Roman" w:eastAsia="Times New Roman" w:hAnsi="Times New Roman" w:cs="Times New Roman"/>
          <w:color w:val="000000"/>
          <w:spacing w:val="0"/>
          <w:w w:val="100"/>
          <w:position w:val="0"/>
          <w:shd w:val="clear" w:color="auto" w:fill="auto"/>
          <w:lang w:val="hr-HR" w:eastAsia="hr-HR" w:bidi="hr-HR"/>
        </w:rPr>
        <w:t xml:space="preserve"> 1968, 82 i d.); opisali su to sve do stvarnosti kada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B. sasvim obično ponaša kao čovjek: »Ti, naime, smatraš da je B., kad su Izraelci bili raspršeni među narode svijeta, išao od vrata do vrata naroda kako bi čuo što će reći. I što su rekli? B. te nacije osvetio se, doduše, faraonu, Siscri, Sanheribu i sličnima, ali ostaje li on uvijek mlad? Ostario je...« B. plače, jer mu se narodi rugaju zbog njegove veze s Izraelom (Eha rabati, Uvod pismozna- naca 14,26).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Kako B., koji ipak uzvišen stoluje na nebu (Ps 33,13 i d.), može biti prisutan usred svojega naroda, objasnili su rabini izrazom »šehina«. Predodžba o prebivanju Boga u izraelskoj sre</w:t>
        <w:softHyphen/>
        <w:t xml:space="preserve">dini temelji se na ovoj ili sličnoj biblijskoj re- </w:t>
      </w:r>
      <w:r>
        <w:rPr>
          <w:rFonts w:ascii="Times New Roman" w:eastAsia="Times New Roman" w:hAnsi="Times New Roman" w:cs="Times New Roman"/>
          <w:color w:val="000000"/>
          <w:spacing w:val="0"/>
          <w:w w:val="100"/>
          <w:position w:val="0"/>
          <w:shd w:val="clear" w:color="auto" w:fill="auto"/>
          <w:lang w:val="hr-HR" w:eastAsia="hr-HR" w:bidi="hr-HR"/>
        </w:rPr>
        <w:t xml:space="preserve">čcnici: »Neka mi sagrade Svetište da mogu boraviti među njima« (Izl 25,8; usp. A. M. </w:t>
      </w:r>
      <w:r>
        <w:rPr>
          <w:rFonts w:ascii="Times New Roman" w:eastAsia="Times New Roman" w:hAnsi="Times New Roman" w:cs="Times New Roman"/>
          <w:color w:val="000000"/>
          <w:spacing w:val="0"/>
          <w:w w:val="100"/>
          <w:position w:val="0"/>
          <w:shd w:val="clear" w:color="auto" w:fill="auto"/>
          <w:lang w:val="en-US" w:eastAsia="en-US" w:bidi="en-US"/>
        </w:rPr>
        <w:t xml:space="preserve">Goldberg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Untersuchungen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iiber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Vorstellung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Schekina in </w:t>
      </w:r>
      <w:r>
        <w:rPr>
          <w:rFonts w:ascii="Times New Roman" w:eastAsia="Times New Roman" w:hAnsi="Times New Roman" w:cs="Times New Roman"/>
          <w:i/>
          <w:iCs/>
          <w:color w:val="000000"/>
          <w:spacing w:val="0"/>
          <w:w w:val="100"/>
          <w:position w:val="0"/>
          <w:shd w:val="clear" w:color="auto" w:fill="auto"/>
          <w:lang w:val="hr-HR" w:eastAsia="hr-HR" w:bidi="hr-HR"/>
        </w:rPr>
        <w:t>der friihen rabbinischen Lileratur,</w:t>
      </w:r>
      <w:r>
        <w:rPr>
          <w:rFonts w:ascii="Times New Roman" w:eastAsia="Times New Roman" w:hAnsi="Times New Roman" w:cs="Times New Roman"/>
          <w:color w:val="000000"/>
          <w:spacing w:val="0"/>
          <w:w w:val="100"/>
          <w:position w:val="0"/>
          <w:shd w:val="clear" w:color="auto" w:fill="auto"/>
          <w:lang w:val="hr-HR" w:eastAsia="hr-HR" w:bidi="hr-HR"/>
        </w:rPr>
        <w:t xml:space="preserve"> 1969,439 i d.). Doduše, taj se pojam rijetko javlja u halaškim tekstovima, a u Mišni ga nema (osim u Pirke Avotu zabilježen je samo u Sanhedrinu VI,6); unatoč tomu, mi- draški izričaj »prebivalište šekine« mogao je biti aktualan baš u razdoblju drugoga Hrama, dok se pojam šekine u izgnanstvu i u zajednici pojavio tek u nauku i utješnim propovijedima mudraca poslije razorenja Hrama (usp. A. M. </w:t>
      </w:r>
      <w:r>
        <w:rPr>
          <w:rFonts w:ascii="Times New Roman" w:eastAsia="Times New Roman" w:hAnsi="Times New Roman" w:cs="Times New Roman"/>
          <w:color w:val="000000"/>
          <w:spacing w:val="0"/>
          <w:w w:val="100"/>
          <w:position w:val="0"/>
          <w:shd w:val="clear" w:color="auto" w:fill="auto"/>
          <w:lang w:val="en-US" w:eastAsia="en-US" w:bidi="en-US"/>
        </w:rPr>
        <w:t xml:space="preserve">Goldberg, op. </w:t>
      </w:r>
      <w:r>
        <w:rPr>
          <w:rFonts w:ascii="Times New Roman" w:eastAsia="Times New Roman" w:hAnsi="Times New Roman" w:cs="Times New Roman"/>
          <w:color w:val="000000"/>
          <w:spacing w:val="0"/>
          <w:w w:val="100"/>
          <w:position w:val="0"/>
          <w:shd w:val="clear" w:color="auto" w:fill="auto"/>
          <w:lang w:val="hr-HR" w:eastAsia="hr-HR" w:bidi="hr-HR"/>
        </w:rPr>
        <w:t>cit., 103-109, 160-176.443). Še- kina je, prije svega i prvobitno označavala Božju nazočnost u Svetištu kao izabranom i posvećenome mjestu na kojem je Bog ostvario zajednicu s Izraelom (b Joma 26a; Šir ha-širim 11,4; V,16; Šemot raba 1,1,1; XXXIII,25,3). Mudraci su proširili pojam šekine kao nazoč</w:t>
        <w:softHyphen/>
        <w:t>nosti na šekinu kao pojavnost. Za razliku od starije primjene termina za Božji silazak u kontinuiranu nazočnost u Svetištu, novija je uporaba šekine označila vremenski ograniče</w:t>
        <w:softHyphen/>
        <w:t>nu nazočnost koja se dogodila u Izraelovoj prošlosti radi objave riječi (b Jevamot 62a; So</w:t>
        <w:softHyphen/>
        <w:t>fa 12b) za pomoć i sud (B Sota 3b.48b; Neda- rim 38a; Berahot 57a.7a; Bava batra 15b.60a; Joma 73b). Povijest nakon 70. pos. Kr. uskra</w:t>
        <w:softHyphen/>
        <w:t>tila je židovskom narodu doživljavanje nazoč</w:t>
        <w:softHyphen/>
        <w:t>nosti Božje u Hramu i pojave na mjestima posvećenim izabranstvom (Sinaj i Zemlja Iz</w:t>
        <w:softHyphen/>
        <w:t>rael); time je izblijedjelo razlikovanje tih dva</w:t>
        <w:softHyphen/>
        <w:t>ju pojmova. U riječima upućenima Židovima u dijaspori učitelji koji su poučavali o poveza</w:t>
        <w:softHyphen/>
        <w:t>nosti Boga s Izraelom zadržali su u izgnanstvu tip nazočnosti. Stariji midraši govorili su o to</w:t>
        <w:softHyphen/>
        <w:t>me da je B. na nevidljiv, ali nadasve realan način sudjelovao na putovima naroda: »A to glasi: Radi tvojega naroda koji si sebi otkupio iz Egipta, narod i njegova Boga... (2 Sam 7,23). Rabi Akiva je rekao: Da to nije zapisano u Pismu, bilo bi nemoguće reći da su Izraelci rekli Svetome, hvaljen bio: Otkupio si sama sebe! I tako opažaš da je na svako mjesto, na koje su Izraelci išli u progonstvo, s njima u progonstvo išla i šekina. Krenuli su u progon</w:t>
        <w:softHyphen/>
        <w:t xml:space="preserve">stvo u Egipat, šekina je bila s njima... (I Sam 2,27). Krenuli su u progonstvo u Babilon, šekina je bila s njima... (Iz 43,14). Krenuli su u progonstvo u Elam, i šekina je bila s njima... (Jr 49,38). Krenuli su u progonstvo u Edom, i </w:t>
      </w:r>
      <w:r>
        <w:rPr>
          <w:rFonts w:ascii="Times New Roman" w:eastAsia="Times New Roman" w:hAnsi="Times New Roman" w:cs="Times New Roman"/>
          <w:color w:val="000000"/>
          <w:spacing w:val="0"/>
          <w:w w:val="100"/>
          <w:position w:val="0"/>
          <w:shd w:val="clear" w:color="auto" w:fill="auto"/>
          <w:lang w:val="hr-HR" w:eastAsia="hr-HR" w:bidi="hr-HR"/>
        </w:rPr>
        <w:t>šekina je bila s njima... (Iz 63,1). I kada su se jednoga dana vratili, šekina se vratila s njima« - za potkrepu te nade čita se Pnz 30,3: »Tada će se ON vratiti s tvojim izgnanicima«; rabini su se odlučili protiv konteksta za to razumije</w:t>
        <w:softHyphen/>
        <w:t>vanje biblijske rečenice čiji hebrejski tekst to formalno i dopušta; povela ih je namjera da utješe (Mehilta bo 14): šekina je s Izraelom u izgnanstvu, sam B. ostao je bez domovine kao njegov narod s kojim se vezao. Ako otkupi Izrael, otkupit će i sebe. Nakon Izraclova oslo</w:t>
        <w:softHyphen/>
        <w:t xml:space="preserve">bođenja šekina prati povratnike. Jedna druga propovijed naglašava da je Izraelova nevolja i Božja nevolja, zato što on prati svoj narod: »U svako doba, dok je Izrael u sužanjstvu, i šekina je s njim u sužanjstvu«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Taj motiv, važan za rabine, da B. neposredno sudjeluje u patnji Izraela, susreće se u drugom obliku i u tuma</w:t>
        <w:softHyphen/>
        <w:t>čenju Jr 40,1: Kad su stanovnici osvojenoga Je</w:t>
        <w:softHyphen/>
        <w:t>ruzalema trebali biti odvedeni u sužanjstvo, B. se obratio tom proroku: »Jeremija, ako ostaneš ovdje, idem ja s njima, a ako ideš s njima, ja ostajem ovdje. On mu odvrati: Gospodaru svi</w:t>
        <w:softHyphen/>
        <w:t>jeta! Ako ja odem s njima, čime im mogu ko</w:t>
        <w:softHyphen/>
        <w:t>ristiti; samo ako vi Kralju, vi Stvoritelju odete s njima, može im i te kako koristiti, što je i zapi</w:t>
        <w:softHyphen/>
        <w:t>sano; ... on (Jeremija) bio je sputan lancima.’ Tom predodžbom, rekao je Rabi Aha, i Bog je bio u lancima« (Eha rabati, Uvod pismoznana- ca 39). Bog sa svojim narodom odlazi u de</w:t>
        <w:softHyphen/>
        <w:t>portaciju; on je sputan među sputanim lju</w:t>
        <w:softHyphen/>
        <w:t>dima.</w:t>
      </w:r>
    </w:p>
    <w:p>
      <w:pPr>
        <w:pStyle w:val="Style20"/>
        <w:keepNext w:val="0"/>
        <w:keepLines w:val="0"/>
        <w:widowControl w:val="0"/>
        <w:shd w:val="clear" w:color="auto" w:fill="auto"/>
        <w:tabs>
          <w:tab w:pos="2438" w:val="left"/>
        </w:tabs>
        <w:bidi w:val="0"/>
        <w:spacing w:before="0" w:after="120" w:line="240" w:lineRule="auto"/>
        <w:ind w:left="0" w:right="0" w:firstLine="0"/>
        <w:jc w:val="left"/>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Rabini su sazdali termin »šekina« kako bi nji</w:t>
        <w:softHyphen/>
        <w:t>me imenovali čin stanovanja, a tada i samoga Boga stanara. Pritom nisu stvorili »pojam« še</w:t>
        <w:softHyphen/>
        <w:t>kine kao ni »pojam Boga«. Nisu se trudili oko definicija, nego su nastojali židovskom narodu održati na životu uzajamni odnos Boga i Iz</w:t>
        <w:softHyphen/>
        <w:t xml:space="preserve">raela i u promijenjenim povijesnim uvjetima. </w:t>
      </w:r>
      <w:r>
        <w:rPr>
          <w:rFonts w:ascii="Arial" w:eastAsia="Arial" w:hAnsi="Arial" w:cs="Arial"/>
          <w:color w:val="000000"/>
          <w:spacing w:val="0"/>
          <w:w w:val="100"/>
          <w:position w:val="0"/>
          <w:sz w:val="12"/>
          <w:szCs w:val="12"/>
          <w:shd w:val="clear" w:color="auto" w:fill="auto"/>
          <w:lang w:val="hr-HR" w:eastAsia="hr-HR" w:bidi="hr-HR"/>
        </w:rPr>
        <w:t xml:space="preserve">Lit: A. Marmors'cin, </w:t>
      </w:r>
      <w:r>
        <w:rPr>
          <w:rFonts w:ascii="Arial" w:eastAsia="Arial" w:hAnsi="Arial" w:cs="Arial"/>
          <w:i/>
          <w:iCs/>
          <w:color w:val="000000"/>
          <w:spacing w:val="0"/>
          <w:w w:val="100"/>
          <w:position w:val="0"/>
          <w:sz w:val="12"/>
          <w:szCs w:val="12"/>
          <w:shd w:val="clear" w:color="auto" w:fill="auto"/>
          <w:lang w:val="en-US" w:eastAsia="en-US" w:bidi="en-US"/>
        </w:rPr>
        <w:t>Studies in Jewish Theology,</w:t>
      </w:r>
      <w:r>
        <w:rPr>
          <w:rFonts w:ascii="Arial" w:eastAsia="Arial" w:hAnsi="Arial" w:cs="Arial"/>
          <w:color w:val="000000"/>
          <w:spacing w:val="0"/>
          <w:w w:val="100"/>
          <w:position w:val="0"/>
          <w:sz w:val="12"/>
          <w:szCs w:val="12"/>
          <w:shd w:val="clear" w:color="auto" w:fill="auto"/>
          <w:lang w:val="en-US" w:eastAsia="en-US" w:bidi="en-US"/>
        </w:rPr>
        <w:t xml:space="preserve"> 1950, 72-105; G. F. Moore, </w:t>
      </w:r>
      <w:r>
        <w:rPr>
          <w:rFonts w:ascii="Arial" w:eastAsia="Arial" w:hAnsi="Arial" w:cs="Arial"/>
          <w:i/>
          <w:iCs/>
          <w:color w:val="000000"/>
          <w:spacing w:val="0"/>
          <w:w w:val="100"/>
          <w:position w:val="0"/>
          <w:sz w:val="12"/>
          <w:szCs w:val="12"/>
          <w:shd w:val="clear" w:color="auto" w:fill="auto"/>
          <w:lang w:val="en-US" w:eastAsia="en-US" w:bidi="en-US"/>
        </w:rPr>
        <w:t>Judaism in the First Centuries of the Christian Era, The /Ige of the Tannaim,</w:t>
      </w:r>
      <w:r>
        <w:rPr>
          <w:rFonts w:ascii="Arial" w:eastAsia="Arial" w:hAnsi="Arial" w:cs="Arial"/>
          <w:color w:val="000000"/>
          <w:spacing w:val="0"/>
          <w:w w:val="100"/>
          <w:position w:val="0"/>
          <w:sz w:val="12"/>
          <w:szCs w:val="12"/>
          <w:shd w:val="clear" w:color="auto" w:fill="auto"/>
          <w:lang w:val="en-US" w:eastAsia="en-US" w:bidi="en-US"/>
        </w:rPr>
        <w:t xml:space="preserve"> 1962, 357-442; E. E Urbach, </w:t>
      </w:r>
      <w:r>
        <w:rPr>
          <w:rFonts w:ascii="Arial" w:eastAsia="Arial" w:hAnsi="Arial" w:cs="Arial"/>
          <w:i/>
          <w:iCs/>
          <w:color w:val="000000"/>
          <w:spacing w:val="0"/>
          <w:w w:val="100"/>
          <w:position w:val="0"/>
          <w:sz w:val="12"/>
          <w:szCs w:val="12"/>
          <w:shd w:val="clear" w:color="auto" w:fill="auto"/>
          <w:lang w:val="en-US" w:eastAsia="en-US" w:bidi="en-US"/>
        </w:rPr>
        <w:t>The Sages - Their Concepts and Beliefs,</w:t>
      </w:r>
      <w:r>
        <w:rPr>
          <w:rFonts w:ascii="Arial" w:eastAsia="Arial" w:hAnsi="Arial" w:cs="Arial"/>
          <w:color w:val="000000"/>
          <w:spacing w:val="0"/>
          <w:w w:val="100"/>
          <w:position w:val="0"/>
          <w:sz w:val="12"/>
          <w:szCs w:val="12"/>
          <w:shd w:val="clear" w:color="auto" w:fill="auto"/>
          <w:lang w:val="en-US" w:eastAsia="en-US" w:bidi="en-US"/>
        </w:rPr>
        <w:t xml:space="preserve"> 1975. 19-96.448-61; A- J Hc-schct, </w:t>
      </w:r>
      <w:r>
        <w:rPr>
          <w:rFonts w:ascii="Arial" w:eastAsia="Arial" w:hAnsi="Arial" w:cs="Arial"/>
          <w:i/>
          <w:iCs/>
          <w:color w:val="000000"/>
          <w:spacing w:val="0"/>
          <w:w w:val="100"/>
          <w:position w:val="0"/>
          <w:sz w:val="12"/>
          <w:szCs w:val="12"/>
          <w:shd w:val="clear" w:color="auto" w:fill="auto"/>
          <w:lang w:val="en-US" w:eastAsia="en-US" w:bidi="en-US"/>
        </w:rPr>
        <w:t xml:space="preserve">Gott sucht den Menschen, </w:t>
      </w:r>
      <w:r>
        <w:rPr>
          <w:rFonts w:ascii="Arial" w:eastAsia="Arial" w:hAnsi="Arial" w:cs="Arial"/>
          <w:color w:val="000000"/>
          <w:spacing w:val="0"/>
          <w:w w:val="100"/>
          <w:position w:val="0"/>
          <w:sz w:val="12"/>
          <w:szCs w:val="12"/>
          <w:shd w:val="clear" w:color="auto" w:fill="auto"/>
          <w:lang w:val="en-US" w:eastAsia="en-US" w:bidi="en-US"/>
        </w:rPr>
        <w:t xml:space="preserve">1980; P. Nave Levinson, </w:t>
      </w:r>
      <w:r>
        <w:rPr>
          <w:rFonts w:ascii="Arial" w:eastAsia="Arial" w:hAnsi="Arial" w:cs="Arial"/>
          <w:i/>
          <w:iCs/>
          <w:color w:val="000000"/>
          <w:spacing w:val="0"/>
          <w:w w:val="100"/>
          <w:position w:val="0"/>
          <w:sz w:val="12"/>
          <w:szCs w:val="12"/>
          <w:shd w:val="clear" w:color="auto" w:fill="auto"/>
          <w:lang w:val="en-US" w:eastAsia="en-US" w:bidi="en-US"/>
        </w:rPr>
        <w:t>Einfiihrung in die rabbinische Theo- logie,</w:t>
      </w:r>
      <w:r>
        <w:rPr>
          <w:rFonts w:ascii="Arial" w:eastAsia="Arial" w:hAnsi="Arial" w:cs="Arial"/>
          <w:color w:val="000000"/>
          <w:spacing w:val="0"/>
          <w:w w:val="100"/>
          <w:position w:val="0"/>
          <w:sz w:val="12"/>
          <w:szCs w:val="12"/>
          <w:shd w:val="clear" w:color="auto" w:fill="auto"/>
          <w:lang w:val="en-US" w:eastAsia="en-US" w:bidi="en-US"/>
        </w:rPr>
        <w:t xml:space="preserve"> 1982, 23-51; P. Lapidc, Gott im Judcntum. n A. Th Khoury-?. Huncrmann (Hrsg.), </w:t>
      </w:r>
      <w:r>
        <w:rPr>
          <w:rFonts w:ascii="Arial" w:eastAsia="Arial" w:hAnsi="Arial" w:cs="Arial"/>
          <w:i/>
          <w:iCs/>
          <w:color w:val="000000"/>
          <w:spacing w:val="0"/>
          <w:w w:val="100"/>
          <w:position w:val="0"/>
          <w:sz w:val="12"/>
          <w:szCs w:val="12"/>
          <w:shd w:val="clear" w:color="auto" w:fill="auto"/>
          <w:lang w:val="en-US" w:eastAsia="en-US" w:bidi="en-US"/>
        </w:rPr>
        <w:t>Wcr ist Gott? Die Antwort der Wellreligionen,</w:t>
      </w:r>
      <w:r>
        <w:rPr>
          <w:rFonts w:ascii="Arial" w:eastAsia="Arial" w:hAnsi="Arial" w:cs="Arial"/>
          <w:color w:val="000000"/>
          <w:spacing w:val="0"/>
          <w:w w:val="100"/>
          <w:position w:val="0"/>
          <w:sz w:val="12"/>
          <w:szCs w:val="12"/>
          <w:shd w:val="clear" w:color="auto" w:fill="auto"/>
          <w:lang w:val="en-US" w:eastAsia="en-US" w:bidi="en-US"/>
        </w:rPr>
        <w:t xml:space="preserve"> 1983.53-7,</w:t>
        <w:tab/>
        <w:t>D. VETIliR</w:t>
      </w:r>
    </w:p>
    <w:p>
      <w:pPr>
        <w:pStyle w:val="Style63"/>
        <w:keepNext/>
        <w:keepLines/>
        <w:widowControl w:val="0"/>
        <w:numPr>
          <w:ilvl w:val="0"/>
          <w:numId w:val="43"/>
        </w:numPr>
        <w:shd w:val="clear" w:color="auto" w:fill="auto"/>
        <w:tabs>
          <w:tab w:pos="260" w:val="left"/>
        </w:tabs>
        <w:bidi w:val="0"/>
        <w:spacing w:before="0" w:line="223" w:lineRule="auto"/>
        <w:ind w:left="0" w:right="0" w:firstLine="0"/>
        <w:jc w:val="both"/>
      </w:pPr>
      <w:bookmarkStart w:id="44" w:name="bookmark4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4"/>
    </w:p>
    <w:p>
      <w:pPr>
        <w:pStyle w:val="Style20"/>
        <w:keepNext w:val="0"/>
        <w:keepLines w:val="0"/>
        <w:widowControl w:val="0"/>
        <w:shd w:val="clear" w:color="auto" w:fill="auto"/>
        <w:bidi w:val="0"/>
        <w:spacing w:before="0" w:after="0"/>
        <w:ind w:left="0" w:right="0" w:firstLine="0"/>
        <w:jc w:val="both"/>
        <w:sectPr>
          <w:headerReference w:type="default" r:id="rId183"/>
          <w:footerReference w:type="default" r:id="rId184"/>
          <w:headerReference w:type="even" r:id="rId185"/>
          <w:footerReference w:type="even" r:id="rId186"/>
          <w:headerReference w:type="first" r:id="rId187"/>
          <w:footerReference w:type="first" r:id="rId188"/>
          <w:footnotePr>
            <w:pos w:val="pageBottom"/>
            <w:numFmt w:val="decimal"/>
            <w:numStart w:val="5"/>
            <w:numRestart w:val="continuous"/>
            <w15:footnoteColumns w:val="1"/>
          </w:footnotePr>
          <w:pgSz w:w="6816" w:h="11006"/>
          <w:pgMar w:top="954" w:left="178" w:right="182" w:bottom="525"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Bit </w:t>
      </w:r>
      <w:r>
        <w:rPr>
          <w:rFonts w:ascii="Times New Roman" w:eastAsia="Times New Roman" w:hAnsi="Times New Roman" w:cs="Times New Roman"/>
          <w:color w:val="000000"/>
          <w:spacing w:val="0"/>
          <w:w w:val="100"/>
          <w:position w:val="0"/>
          <w:shd w:val="clear" w:color="auto" w:fill="auto"/>
          <w:lang w:val="hr-HR" w:eastAsia="hr-HR" w:bidi="hr-HR"/>
        </w:rPr>
        <w:t xml:space="preserve">i svojstvo kršćanske predodžbe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Bogu mogu se s jedne strane odrediti imanentno tradiciji - tako se događalo i tako se obično događa u teologijama. S druge se strane mogu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granice vlastite religije prekoračiti i, uz pomoć fenomenološkog uspoređivanja s ostalim reli</w:t>
        <w:softHyphen/>
        <w:t>gijama, može se utvrditi što je specifično krš</w:t>
        <w:softHyphen/>
        <w:t>ćansko. Na taj se način izbjegavaju jednostra</w:t>
        <w:softHyphen/>
        <w:t>nosti u prosuđivanju i ne drži se odmah sve za kršćanski vjerodostojno, što se u perspektivi uspoređivanja religija utvrđuje kao nespeci</w:t>
        <w:softHyphen/>
        <w:t>fično. Ovdje ćemo izabrati metodu uspoređi</w:t>
        <w:softHyphen/>
        <w:t>vanja i razlikovanja.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Postoji li specifično kršćanska slika Boga? U svakom slučaju treba polaziti od pretpostavke da postoje </w:t>
      </w:r>
      <w:r>
        <w:rPr>
          <w:rFonts w:ascii="Times New Roman" w:eastAsia="Times New Roman" w:hAnsi="Times New Roman" w:cs="Times New Roman"/>
          <w:i/>
          <w:iCs/>
          <w:color w:val="000000"/>
          <w:spacing w:val="0"/>
          <w:w w:val="100"/>
          <w:position w:val="0"/>
          <w:shd w:val="clear" w:color="auto" w:fill="auto"/>
          <w:lang w:val="hr-HR" w:eastAsia="hr-HR" w:bidi="hr-HR"/>
        </w:rPr>
        <w:t>raznolike</w:t>
      </w:r>
      <w:r>
        <w:rPr>
          <w:rFonts w:ascii="Times New Roman" w:eastAsia="Times New Roman" w:hAnsi="Times New Roman" w:cs="Times New Roman"/>
          <w:color w:val="000000"/>
          <w:spacing w:val="0"/>
          <w:w w:val="100"/>
          <w:position w:val="0"/>
          <w:shd w:val="clear" w:color="auto" w:fill="auto"/>
          <w:lang w:val="hr-HR" w:eastAsia="hr-HR" w:bidi="hr-HR"/>
        </w:rPr>
        <w:t xml:space="preserve"> stvarno postojeće kršćan</w:t>
        <w:softHyphen/>
        <w:t>ske slike Boga: »Sve epohe u povijesti kršćan</w:t>
        <w:softHyphen/>
        <w:t xml:space="preserve">stva određene su novim oblicima </w:t>
      </w:r>
      <w:r>
        <w:rPr>
          <w:rFonts w:ascii="Times New Roman" w:eastAsia="Times New Roman" w:hAnsi="Times New Roman" w:cs="Times New Roman"/>
          <w:i/>
          <w:iCs/>
          <w:color w:val="000000"/>
          <w:spacing w:val="0"/>
          <w:w w:val="100"/>
          <w:position w:val="0"/>
          <w:shd w:val="clear" w:color="auto" w:fill="auto"/>
          <w:lang w:val="hr-HR" w:eastAsia="hr-HR" w:bidi="hr-HR"/>
        </w:rPr>
        <w:t>iskustva o Bogu</w:t>
      </w:r>
      <w:r>
        <w:rPr>
          <w:rFonts w:ascii="Times New Roman" w:eastAsia="Times New Roman" w:hAnsi="Times New Roman" w:cs="Times New Roman"/>
          <w:color w:val="000000"/>
          <w:spacing w:val="0"/>
          <w:w w:val="100"/>
          <w:position w:val="0"/>
          <w:shd w:val="clear" w:color="auto" w:fill="auto"/>
          <w:lang w:val="hr-HR" w:eastAsia="hr-HR" w:bidi="hr-HR"/>
        </w:rPr>
        <w:t xml:space="preserve"> i iskustva o Kristu. Veliki karizmatici, proroci, reformatori i mistici pisali su partiture po kojima su svirali teološki epigoni njihove epohe« (E. </w:t>
      </w:r>
      <w:r>
        <w:rPr>
          <w:rFonts w:ascii="Times New Roman" w:eastAsia="Times New Roman" w:hAnsi="Times New Roman" w:cs="Times New Roman"/>
          <w:color w:val="000000"/>
          <w:spacing w:val="0"/>
          <w:w w:val="100"/>
          <w:position w:val="0"/>
          <w:shd w:val="clear" w:color="auto" w:fill="auto"/>
          <w:lang w:val="en-US" w:eastAsia="en-US" w:bidi="en-US"/>
        </w:rPr>
        <w:t xml:space="preserve">Benz, </w:t>
      </w:r>
      <w:r>
        <w:rPr>
          <w:rFonts w:ascii="Times New Roman" w:eastAsia="Times New Roman" w:hAnsi="Times New Roman" w:cs="Times New Roman"/>
          <w:i/>
          <w:iCs/>
          <w:color w:val="000000"/>
          <w:spacing w:val="0"/>
          <w:w w:val="100"/>
          <w:position w:val="0"/>
          <w:shd w:val="clear" w:color="auto" w:fill="auto"/>
          <w:lang w:val="en-US" w:eastAsia="en-US" w:bidi="en-US"/>
        </w:rPr>
        <w:t>Beschreibung des Christen- turns. Eine historische Phdnomenologie,</w:t>
      </w:r>
      <w:r>
        <w:rPr>
          <w:rFonts w:ascii="Times New Roman" w:eastAsia="Times New Roman" w:hAnsi="Times New Roman" w:cs="Times New Roman"/>
          <w:color w:val="000000"/>
          <w:spacing w:val="0"/>
          <w:w w:val="100"/>
          <w:position w:val="0"/>
          <w:shd w:val="clear" w:color="auto" w:fill="auto"/>
          <w:lang w:val="en-US" w:eastAsia="en-US" w:bidi="en-US"/>
        </w:rPr>
        <w:t xml:space="preserve"> Miin- chen 1975, 103). </w:t>
      </w:r>
      <w:r>
        <w:rPr>
          <w:rFonts w:ascii="Times New Roman" w:eastAsia="Times New Roman" w:hAnsi="Times New Roman" w:cs="Times New Roman"/>
          <w:color w:val="000000"/>
          <w:spacing w:val="0"/>
          <w:w w:val="100"/>
          <w:position w:val="0"/>
          <w:shd w:val="clear" w:color="auto" w:fill="auto"/>
          <w:lang w:val="hr-HR" w:eastAsia="hr-HR" w:bidi="hr-HR"/>
        </w:rPr>
        <w:t>Dakle, »objektivna tradicija« koja čini kontinuitet neke religije podvrgnuta je povijesnoj promjeni. Osim toga, Božja slika znatno varira od čovjeka do čovjeka: Ona je npr. ovisna o »religijskoj socijalizaciji«, o ko</w:t>
        <w:softHyphen/>
        <w:t>joj se kontroverzno raspravlja u dotičnom is</w:t>
        <w:softHyphen/>
        <w:t>traživanju. Sve riječi i pojmovi koje koristimo u svom govoru o Bogu potječu iz područja svjetovnog iskustva: nebeski Otac, svemogući Gospodin, »dragi« Bog itd. Mi govorimo o Bogu kao da je on dio svijeta. Zato neki zastu</w:t>
        <w:softHyphen/>
        <w:t>paju gledište da je samo šutnja primjeren na</w:t>
        <w:softHyphen/>
        <w:t xml:space="preserve">čin govora o Bogu. Tipično za govor o Bogu, ne samo monoteističkih religija (-&gt; monotei- zam), je govor u superlativima (npr. najveći) ili u negacijama; kaže se što sve B. </w:t>
      </w:r>
      <w:r>
        <w:rPr>
          <w:rFonts w:ascii="Times New Roman" w:eastAsia="Times New Roman" w:hAnsi="Times New Roman" w:cs="Times New Roman"/>
          <w:i/>
          <w:iCs/>
          <w:color w:val="000000"/>
          <w:spacing w:val="0"/>
          <w:w w:val="100"/>
          <w:position w:val="0"/>
          <w:shd w:val="clear" w:color="auto" w:fill="auto"/>
          <w:lang w:val="hr-HR" w:eastAsia="hr-HR" w:bidi="hr-HR"/>
        </w:rPr>
        <w:t>nije</w:t>
      </w:r>
      <w:r>
        <w:rPr>
          <w:rFonts w:ascii="Times New Roman" w:eastAsia="Times New Roman" w:hAnsi="Times New Roman" w:cs="Times New Roman"/>
          <w:color w:val="000000"/>
          <w:spacing w:val="0"/>
          <w:w w:val="100"/>
          <w:position w:val="0"/>
          <w:shd w:val="clear" w:color="auto" w:fill="auto"/>
          <w:lang w:val="hr-HR" w:eastAsia="hr-HR" w:bidi="hr-HR"/>
        </w:rPr>
        <w:t xml:space="preserve"> (bes</w:t>
        <w:softHyphen/>
        <w:t>konačan, nedokučiv, nepromjenljiv itd.). Oso</w:t>
        <w:softHyphen/>
        <w:t>bito su omiljeni iskazi o Bogu koje je psiholo</w:t>
        <w:softHyphen/>
        <w:t>gija religije diskreditirala kao »fantazije o sve</w:t>
        <w:softHyphen/>
        <w:t>moći« koje ističu sve-moć, sve-znanje, sve-pri- sutnost. Uz pretpostavku ovoga na što smo ukazali, treba ipak pitati o konstitutivnim obi</w:t>
        <w:softHyphen/>
        <w:t>lježjima kršćanskih predodžbi o Bogu.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Uviđaji u bit biblijskog Boga odn. numinozno- ga, koji se ne mogu izgubiti, potječu od evan- geličkog teologa Rudolfa Otta (1869- 1937). U svom epohalnom djelu </w:t>
      </w:r>
      <w:r>
        <w:rPr>
          <w:rFonts w:ascii="Times New Roman" w:eastAsia="Times New Roman" w:hAnsi="Times New Roman" w:cs="Times New Roman"/>
          <w:i/>
          <w:iCs/>
          <w:color w:val="000000"/>
          <w:spacing w:val="0"/>
          <w:w w:val="100"/>
          <w:position w:val="0"/>
          <w:shd w:val="clear" w:color="auto" w:fill="auto"/>
          <w:lang w:val="hr-HR" w:eastAsia="hr-HR" w:bidi="hr-HR"/>
        </w:rPr>
        <w:t>Das Heilige</w:t>
      </w:r>
      <w:r>
        <w:rPr>
          <w:rFonts w:ascii="Times New Roman" w:eastAsia="Times New Roman" w:hAnsi="Times New Roman" w:cs="Times New Roman"/>
          <w:color w:val="000000"/>
          <w:spacing w:val="0"/>
          <w:w w:val="100"/>
          <w:position w:val="0"/>
          <w:shd w:val="clear" w:color="auto" w:fill="auto"/>
          <w:lang w:val="hr-HR" w:eastAsia="hr-HR" w:bidi="hr-HR"/>
        </w:rPr>
        <w:t xml:space="preserve"> (1917) pokušao je opisati glavna obilježja iskustva svetoga. Sveto je s jedne strane </w:t>
      </w:r>
      <w:r>
        <w:rPr>
          <w:rFonts w:ascii="Times New Roman" w:eastAsia="Times New Roman" w:hAnsi="Times New Roman" w:cs="Times New Roman"/>
          <w:color w:val="000000"/>
          <w:spacing w:val="0"/>
          <w:w w:val="100"/>
          <w:position w:val="0"/>
          <w:shd w:val="clear" w:color="auto" w:fill="auto"/>
          <w:lang w:val="en-US" w:eastAsia="en-US" w:bidi="en-US"/>
        </w:rPr>
        <w:t xml:space="preserve">»mysterium </w:t>
      </w:r>
      <w:r>
        <w:rPr>
          <w:rFonts w:ascii="Times New Roman" w:eastAsia="Times New Roman" w:hAnsi="Times New Roman" w:cs="Times New Roman"/>
          <w:color w:val="000000"/>
          <w:spacing w:val="0"/>
          <w:w w:val="100"/>
          <w:position w:val="0"/>
          <w:shd w:val="clear" w:color="auto" w:fill="auto"/>
          <w:lang w:val="hr-HR" w:eastAsia="hr-HR" w:bidi="hr-HR"/>
        </w:rPr>
        <w:t>tremendum«, dakle strahovita tajna. B. se doživljava kao nadmoćan, kao onaj koji iza</w:t>
        <w:softHyphen/>
        <w:t>ziva strah (npr. »srdžba Jahvina«), a čovje</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kova je reakcija ustrašenost i uzdrhtalost pred tom silom. No istodobno je B. i </w:t>
      </w:r>
      <w:r>
        <w:rPr>
          <w:rFonts w:ascii="Times New Roman" w:eastAsia="Times New Roman" w:hAnsi="Times New Roman" w:cs="Times New Roman"/>
          <w:color w:val="000000"/>
          <w:spacing w:val="0"/>
          <w:w w:val="100"/>
          <w:position w:val="0"/>
          <w:shd w:val="clear" w:color="auto" w:fill="auto"/>
          <w:lang w:val="en-US" w:eastAsia="en-US" w:bidi="en-US"/>
        </w:rPr>
        <w:t xml:space="preserve">»mysterium </w:t>
      </w:r>
      <w:r>
        <w:rPr>
          <w:rFonts w:ascii="Times New Roman" w:eastAsia="Times New Roman" w:hAnsi="Times New Roman" w:cs="Times New Roman"/>
          <w:color w:val="000000"/>
          <w:spacing w:val="0"/>
          <w:w w:val="100"/>
          <w:position w:val="0"/>
          <w:shd w:val="clear" w:color="auto" w:fill="auto"/>
          <w:lang w:val="hr-HR" w:eastAsia="hr-HR" w:bidi="hr-HR"/>
        </w:rPr>
        <w:t>fascinans«, dakle onaj koji privlači i očarava, koji prihvaća čovjeka. Oba su iskustva izraz jednoga »kontrasta-harmonije« usko poveza</w:t>
        <w:softHyphen/>
        <w:t>na. Prema Ottu, uobičajeni teološki izrazi za to kao ljubav, milosrđe, milost itd. ne obuhva</w:t>
        <w:softHyphen/>
        <w:t>ćaju »numinozno ispunjen smisao te riječi«. Oni ne mogu primjereno izraziti preobilje usre- ćenosti koju B. uzrokuje.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Spoznaje Rudolfa Otta, koje su nažalost slabo prihvaćene u cvangeličkoj teologiji, ipak su zna</w:t>
        <w:softHyphen/>
        <w:t>čajne za opis kršćanskih predodžbi o Bogu. U kršćanskom iskustvu Boga ističu se od počet</w:t>
        <w:softHyphen/>
        <w:t>ka sasvim određene karakteristične crte.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Kršćanski B. je jedan i jedini B. :</w:t>
      </w:r>
      <w:r>
        <w:rPr>
          <w:rFonts w:ascii="Times New Roman" w:eastAsia="Times New Roman" w:hAnsi="Times New Roman" w:cs="Times New Roman"/>
          <w:color w:val="000000"/>
          <w:spacing w:val="0"/>
          <w:w w:val="100"/>
          <w:position w:val="0"/>
          <w:shd w:val="clear" w:color="auto" w:fill="auto"/>
          <w:lang w:val="hr-HR" w:eastAsia="hr-HR" w:bidi="hr-HR"/>
        </w:rPr>
        <w:t xml:space="preserve"> Kršćanstvo pripada povijesno-religijski monoteističkim re</w:t>
        <w:softHyphen/>
        <w:t>ligijama. Za razliku od Menschingovih tako</w:t>
        <w:softHyphen/>
        <w:t xml:space="preserve">zvanih »teimonistićkih« religija koje imaju kao središte </w:t>
      </w:r>
      <w:r>
        <w:rPr>
          <w:rFonts w:ascii="Times New Roman" w:eastAsia="Times New Roman" w:hAnsi="Times New Roman" w:cs="Times New Roman"/>
          <w:i/>
          <w:iCs/>
          <w:color w:val="000000"/>
          <w:spacing w:val="0"/>
          <w:w w:val="100"/>
          <w:position w:val="0"/>
          <w:shd w:val="clear" w:color="auto" w:fill="auto"/>
          <w:lang w:val="hr-HR" w:eastAsia="hr-HR" w:bidi="hr-HR"/>
        </w:rPr>
        <w:t>ono</w:t>
      </w:r>
      <w:r>
        <w:rPr>
          <w:rFonts w:ascii="Times New Roman" w:eastAsia="Times New Roman" w:hAnsi="Times New Roman" w:cs="Times New Roman"/>
          <w:color w:val="000000"/>
          <w:spacing w:val="0"/>
          <w:w w:val="100"/>
          <w:position w:val="0"/>
          <w:shd w:val="clear" w:color="auto" w:fill="auto"/>
          <w:lang w:val="hr-HR" w:eastAsia="hr-HR" w:bidi="hr-HR"/>
        </w:rPr>
        <w:t xml:space="preserve"> božansko Jedno, ovdje se naj</w:t>
        <w:softHyphen/>
        <w:t xml:space="preserve">viša stvarnost predstavlja </w:t>
      </w:r>
      <w:r>
        <w:rPr>
          <w:rFonts w:ascii="Times New Roman" w:eastAsia="Times New Roman" w:hAnsi="Times New Roman" w:cs="Times New Roman"/>
          <w:i/>
          <w:iCs/>
          <w:color w:val="000000"/>
          <w:spacing w:val="0"/>
          <w:w w:val="100"/>
          <w:position w:val="0"/>
          <w:shd w:val="clear" w:color="auto" w:fill="auto"/>
          <w:lang w:val="hr-HR" w:eastAsia="hr-HR" w:bidi="hr-HR"/>
        </w:rPr>
        <w:t>osobno.</w:t>
      </w:r>
      <w:r>
        <w:rPr>
          <w:rFonts w:ascii="Times New Roman" w:eastAsia="Times New Roman" w:hAnsi="Times New Roman" w:cs="Times New Roman"/>
          <w:color w:val="000000"/>
          <w:spacing w:val="0"/>
          <w:w w:val="100"/>
          <w:position w:val="0"/>
          <w:shd w:val="clear" w:color="auto" w:fill="auto"/>
          <w:lang w:val="hr-HR" w:eastAsia="hr-HR" w:bidi="hr-HR"/>
        </w:rPr>
        <w:t xml:space="preserve"> To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Jedan </w:t>
      </w:r>
      <w:r>
        <w:rPr>
          <w:rFonts w:ascii="Times New Roman" w:eastAsia="Times New Roman" w:hAnsi="Times New Roman" w:cs="Times New Roman"/>
          <w:color w:val="000000"/>
          <w:spacing w:val="0"/>
          <w:w w:val="100"/>
          <w:position w:val="0"/>
          <w:shd w:val="clear" w:color="auto" w:fill="auto"/>
          <w:lang w:val="hr-HR" w:eastAsia="hr-HR" w:bidi="hr-HR"/>
        </w:rPr>
        <w:t>uz kojega nema drugih bogova. »Monos« ima »nadmoćan, polemički, afirmativan značaj ko</w:t>
        <w:softHyphen/>
        <w:t xml:space="preserve">ji istodobno negira suprotno« (U. </w:t>
      </w:r>
      <w:r>
        <w:rPr>
          <w:rFonts w:ascii="Times New Roman" w:eastAsia="Times New Roman" w:hAnsi="Times New Roman" w:cs="Times New Roman"/>
          <w:color w:val="000000"/>
          <w:spacing w:val="0"/>
          <w:w w:val="100"/>
          <w:position w:val="0"/>
          <w:shd w:val="clear" w:color="auto" w:fill="auto"/>
          <w:lang w:val="en-US" w:eastAsia="en-US" w:bidi="en-US"/>
        </w:rPr>
        <w:t xml:space="preserve">Bianchi, </w:t>
      </w:r>
      <w:r>
        <w:rPr>
          <w:rFonts w:ascii="Times New Roman" w:eastAsia="Times New Roman" w:hAnsi="Times New Roman" w:cs="Times New Roman"/>
          <w:i/>
          <w:iCs/>
          <w:color w:val="000000"/>
          <w:spacing w:val="0"/>
          <w:w w:val="100"/>
          <w:position w:val="0"/>
          <w:shd w:val="clear" w:color="auto" w:fill="auto"/>
          <w:lang w:val="hr-HR" w:eastAsia="hr-HR" w:bidi="hr-HR"/>
        </w:rPr>
        <w:t>Pro</w:t>
        <w:softHyphen/>
        <w:t>bleme der Religionsgeschichte,</w:t>
      </w:r>
      <w:r>
        <w:rPr>
          <w:rFonts w:ascii="Times New Roman" w:eastAsia="Times New Roman" w:hAnsi="Times New Roman" w:cs="Times New Roman"/>
          <w:color w:val="000000"/>
          <w:spacing w:val="0"/>
          <w:w w:val="100"/>
          <w:position w:val="0"/>
          <w:shd w:val="clear" w:color="auto" w:fill="auto"/>
          <w:lang w:val="hr-HR" w:eastAsia="hr-HR" w:bidi="hr-HR"/>
        </w:rPr>
        <w:t xml:space="preserve"> 1964, 46). Stoga NZ stoji na podlozi uobičajenih misaonih i vjerskih predodžbi iz SZ. Tako su također označene razlike prema religijama u kojima se ne poštuje nikakva »Božja osoba« (U. Mann): npr. u budizmu, hinduizmu i taoizmu. Ovdje se religijsko središte predstavlja neosobno: tao, brahman, nirvana itd.</w:t>
      </w:r>
    </w:p>
    <w:p>
      <w:pPr>
        <w:pStyle w:val="Style20"/>
        <w:keepNext w:val="0"/>
        <w:keepLines w:val="0"/>
        <w:widowControl w:val="0"/>
        <w:shd w:val="clear" w:color="auto" w:fill="auto"/>
        <w:bidi w:val="0"/>
        <w:spacing w:before="0" w:after="0" w:line="257" w:lineRule="auto"/>
        <w:ind w:left="0" w:right="0" w:firstLine="0"/>
        <w:jc w:val="both"/>
        <w:sectPr>
          <w:headerReference w:type="default" r:id="rId189"/>
          <w:footerReference w:type="default" r:id="rId190"/>
          <w:headerReference w:type="even" r:id="rId191"/>
          <w:footerReference w:type="even" r:id="rId192"/>
          <w:footnotePr>
            <w:pos w:val="pageBottom"/>
            <w:numFmt w:val="decimal"/>
            <w:numStart w:val="5"/>
            <w:numRestart w:val="continuous"/>
            <w15:footnoteColumns w:val="1"/>
          </w:footnotePr>
          <w:type w:val="continuous"/>
          <w:pgSz w:w="6816" w:h="11006"/>
          <w:pgMar w:top="954" w:left="178" w:right="182" w:bottom="525" w:header="0" w:footer="3"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B. je </w:t>
      </w:r>
      <w:r>
        <w:rPr>
          <w:rFonts w:ascii="Times New Roman" w:eastAsia="Times New Roman" w:hAnsi="Times New Roman" w:cs="Times New Roman"/>
          <w:i/>
          <w:iCs/>
          <w:color w:val="000000"/>
          <w:spacing w:val="0"/>
          <w:w w:val="100"/>
          <w:position w:val="0"/>
          <w:shd w:val="clear" w:color="auto" w:fill="auto"/>
          <w:lang w:val="hr-HR" w:eastAsia="hr-HR" w:bidi="hr-HR"/>
        </w:rPr>
        <w:t>onaj</w:t>
      </w:r>
      <w:r>
        <w:rPr>
          <w:rFonts w:ascii="Times New Roman" w:eastAsia="Times New Roman" w:hAnsi="Times New Roman" w:cs="Times New Roman"/>
          <w:color w:val="000000"/>
          <w:spacing w:val="0"/>
          <w:w w:val="100"/>
          <w:position w:val="0"/>
          <w:shd w:val="clear" w:color="auto" w:fill="auto"/>
          <w:lang w:val="hr-HR" w:eastAsia="hr-HR" w:bidi="hr-HR"/>
        </w:rPr>
        <w:t xml:space="preserve"> Jedan (1 Kor 8,6; Ef 4,6; Jak 4,12) i Jedini (Iv 17,3; Rim 16,27; Mt 4,10; 1 Tim 6,15). On je najviši koji ima moć nad svime. On je potpuno suveren i veličanstvo na nebu. Kao i Kuran, novozavjetni tekstovi nad Bož</w:t>
        <w:softHyphen/>
        <w:t xml:space="preserve">jim prijestoljem naglašavaju numinoznu </w:t>
      </w:r>
      <w:r>
        <w:rPr>
          <w:rFonts w:ascii="Times New Roman" w:eastAsia="Times New Roman" w:hAnsi="Times New Roman" w:cs="Times New Roman"/>
          <w:i/>
          <w:iCs/>
          <w:color w:val="000000"/>
          <w:spacing w:val="0"/>
          <w:w w:val="100"/>
          <w:position w:val="0"/>
          <w:shd w:val="clear" w:color="auto" w:fill="auto"/>
          <w:lang w:val="hr-HR" w:eastAsia="hr-HR" w:bidi="hr-HR"/>
        </w:rPr>
        <w:t>maje- stas</w:t>
      </w:r>
      <w:r>
        <w:rPr>
          <w:rFonts w:ascii="Times New Roman" w:eastAsia="Times New Roman" w:hAnsi="Times New Roman" w:cs="Times New Roman"/>
          <w:color w:val="000000"/>
          <w:spacing w:val="0"/>
          <w:w w:val="100"/>
          <w:position w:val="0"/>
          <w:shd w:val="clear" w:color="auto" w:fill="auto"/>
          <w:lang w:val="hr-HR" w:eastAsia="hr-HR" w:bidi="hr-HR"/>
        </w:rPr>
        <w:t xml:space="preserve"> (Heb 8,1; 12,2; Otk 4,2-6). U ovaj kon</w:t>
        <w:softHyphen/>
        <w:t>tekst pripadaju i izrazi o »živom« Bogu (Mt 16,16; 26,63; Dj 14,15). Predodžba o jedin</w:t>
        <w:softHyphen/>
        <w:t>stvenosti i o majestas od numenona utemelje</w:t>
        <w:softHyphen/>
        <w:t xml:space="preserve">ni su na Božjem </w:t>
      </w:r>
      <w:r>
        <w:rPr>
          <w:rFonts w:ascii="Times New Roman" w:eastAsia="Times New Roman" w:hAnsi="Times New Roman" w:cs="Times New Roman"/>
          <w:i/>
          <w:iCs/>
          <w:color w:val="000000"/>
          <w:spacing w:val="0"/>
          <w:w w:val="100"/>
          <w:position w:val="0"/>
          <w:shd w:val="clear" w:color="auto" w:fill="auto"/>
          <w:lang w:val="hr-HR" w:eastAsia="hr-HR" w:bidi="hr-HR"/>
        </w:rPr>
        <w:t>stvoriteljstvu.</w:t>
      </w:r>
      <w:r>
        <w:rPr>
          <w:rFonts w:ascii="Times New Roman" w:eastAsia="Times New Roman" w:hAnsi="Times New Roman" w:cs="Times New Roman"/>
          <w:color w:val="000000"/>
          <w:spacing w:val="0"/>
          <w:w w:val="100"/>
          <w:position w:val="0"/>
          <w:shd w:val="clear" w:color="auto" w:fill="auto"/>
          <w:lang w:val="hr-HR" w:eastAsia="hr-HR" w:bidi="hr-HR"/>
        </w:rPr>
        <w:t xml:space="preserve"> B. je Stvoritelj ukupne stvarnosti, onaj »koji stvori nebo i zemlju« (Dj 4,24; 14,15; 17,24). Kao posred</w:t>
        <w:softHyphen/>
        <w:t xml:space="preserve">nik stvorenja u NZ sudjeluje Isus Krist (1 Kor 8,6; Heb 1,2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 xml:space="preserve">Iv 1,3. 14; Heb 11,3). B. je </w:t>
      </w:r>
      <w:r>
        <w:rPr>
          <w:rFonts w:ascii="Times New Roman" w:eastAsia="Times New Roman" w:hAnsi="Times New Roman" w:cs="Times New Roman"/>
          <w:i/>
          <w:iCs/>
          <w:color w:val="000000"/>
          <w:spacing w:val="0"/>
          <w:w w:val="100"/>
          <w:position w:val="0"/>
          <w:shd w:val="clear" w:color="auto" w:fill="auto"/>
          <w:lang w:val="hr-HR" w:eastAsia="hr-HR" w:bidi="hr-HR"/>
        </w:rPr>
        <w:t>go</w:t>
        <w:softHyphen/>
        <w:t>spodar povijesti</w:t>
      </w:r>
      <w:r>
        <w:rPr>
          <w:rFonts w:ascii="Times New Roman" w:eastAsia="Times New Roman" w:hAnsi="Times New Roman" w:cs="Times New Roman"/>
          <w:color w:val="000000"/>
          <w:spacing w:val="0"/>
          <w:w w:val="100"/>
          <w:position w:val="0"/>
          <w:shd w:val="clear" w:color="auto" w:fill="auto"/>
          <w:lang w:val="hr-HR" w:eastAsia="hr-HR" w:bidi="hr-HR"/>
        </w:rPr>
        <w:t xml:space="preserve"> bez kojega ni vrabac ne pada s krova. B. je dakle u NZ nesumnjivo svet, vje</w:t>
        <w:softHyphen/>
        <w:t xml:space="preserve">čan i »sasvim drugi«, B. kojega ljudi moleći štuju i čije gospodstvo nebesa veličaju i ljudi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slave. </w:t>
      </w:r>
      <w:r>
        <w:rPr>
          <w:rFonts w:ascii="Times New Roman" w:eastAsia="Times New Roman" w:hAnsi="Times New Roman" w:cs="Times New Roman"/>
          <w:color w:val="000000"/>
          <w:spacing w:val="0"/>
          <w:w w:val="100"/>
          <w:position w:val="0"/>
          <w:shd w:val="clear" w:color="auto" w:fill="auto"/>
          <w:lang w:val="hr-HR" w:eastAsia="hr-HR" w:bidi="hr-HR"/>
        </w:rPr>
        <w:t xml:space="preserve">Budući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 xml:space="preserve">je </w:t>
      </w:r>
      <w:r>
        <w:rPr>
          <w:rFonts w:ascii="Times New Roman" w:eastAsia="Times New Roman" w:hAnsi="Times New Roman" w:cs="Times New Roman"/>
          <w:color w:val="000000"/>
          <w:spacing w:val="0"/>
          <w:w w:val="100"/>
          <w:position w:val="0"/>
          <w:shd w:val="clear" w:color="auto" w:fill="auto"/>
          <w:lang w:val="en-US" w:eastAsia="en-US" w:bidi="en-US"/>
        </w:rPr>
        <w:t xml:space="preserve">B. </w:t>
      </w:r>
      <w:r>
        <w:rPr>
          <w:rFonts w:ascii="Times New Roman" w:eastAsia="Times New Roman" w:hAnsi="Times New Roman" w:cs="Times New Roman"/>
          <w:color w:val="000000"/>
          <w:spacing w:val="0"/>
          <w:w w:val="100"/>
          <w:position w:val="0"/>
          <w:shd w:val="clear" w:color="auto" w:fill="auto"/>
          <w:lang w:val="hr-HR" w:eastAsia="hr-HR" w:bidi="hr-HR"/>
        </w:rPr>
        <w:t>nevidljiv, ljudi ga ne mogu vidjeti (1 Tim 6,16).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je »dragi Otac« koji traži grešnike:</w:t>
      </w:r>
      <w:r>
        <w:rPr>
          <w:rFonts w:ascii="Times New Roman" w:eastAsia="Times New Roman" w:hAnsi="Times New Roman" w:cs="Times New Roman"/>
          <w:color w:val="000000"/>
          <w:spacing w:val="0"/>
          <w:w w:val="100"/>
          <w:position w:val="0"/>
          <w:shd w:val="clear" w:color="auto" w:fill="auto"/>
          <w:lang w:val="hr-HR" w:eastAsia="hr-HR" w:bidi="hr-HR"/>
        </w:rPr>
        <w:t xml:space="preserve"> Na poza</w:t>
        <w:softHyphen/>
        <w:t>dini kršćanskog monoteizma koji je, razum</w:t>
        <w:softHyphen/>
        <w:t xml:space="preserve">ljivo, preuzet iz židovstva pokazuje se daljnja konstitutivna strana kršćanske slike Boga. Taj moćni i sveti B. spustio se ljudima u Isusu Kristu. Središnja je Isusova poruka daje Božje kraljevstvo i time spasenje stiglo sasvim blizu. </w:t>
      </w:r>
      <w:r>
        <w:rPr>
          <w:rFonts w:ascii="Times New Roman" w:eastAsia="Times New Roman" w:hAnsi="Times New Roman" w:cs="Times New Roman"/>
          <w:color w:val="000000"/>
          <w:spacing w:val="0"/>
          <w:w w:val="100"/>
          <w:position w:val="0"/>
          <w:shd w:val="clear" w:color="auto" w:fill="auto"/>
          <w:lang w:val="en-US" w:eastAsia="en-US" w:bidi="en-US"/>
        </w:rPr>
        <w:t xml:space="preserve">Rudolf Otto </w:t>
      </w:r>
      <w:r>
        <w:rPr>
          <w:rFonts w:ascii="Times New Roman" w:eastAsia="Times New Roman" w:hAnsi="Times New Roman" w:cs="Times New Roman"/>
          <w:color w:val="000000"/>
          <w:spacing w:val="0"/>
          <w:w w:val="100"/>
          <w:position w:val="0"/>
          <w:shd w:val="clear" w:color="auto" w:fill="auto"/>
          <w:lang w:val="hr-HR" w:eastAsia="hr-HR" w:bidi="hr-HR"/>
        </w:rPr>
        <w:t>je ovu »kontrast-harmoniju«, »mješavinu tremendum i fascinans« opisao na sljedeći naćin: »Gospodar toga kraljevstva je ‘nebeski Otac’. To nama, današnjim ljudima, zvući blago i često djeluje gotovo ugodno, npr. kao ‘dragi B.’. Ali time krivo shvaćamo bib</w:t>
        <w:softHyphen/>
        <w:t xml:space="preserve">lijski smisao i imenice i predikata. Taj je’Otac’ </w:t>
      </w:r>
      <w:r>
        <w:rPr>
          <w:rFonts w:ascii="Times New Roman" w:eastAsia="Times New Roman" w:hAnsi="Times New Roman" w:cs="Times New Roman"/>
          <w:i/>
          <w:iCs/>
          <w:color w:val="000000"/>
          <w:spacing w:val="0"/>
          <w:w w:val="100"/>
          <w:position w:val="0"/>
          <w:shd w:val="clear" w:color="auto" w:fill="auto"/>
          <w:lang w:val="hr-HR" w:eastAsia="hr-HR" w:bidi="hr-HR"/>
        </w:rPr>
        <w:t>najprije sveti-uzvišeni kralj</w:t>
      </w:r>
      <w:r>
        <w:rPr>
          <w:rFonts w:ascii="Times New Roman" w:eastAsia="Times New Roman" w:hAnsi="Times New Roman" w:cs="Times New Roman"/>
          <w:color w:val="000000"/>
          <w:spacing w:val="0"/>
          <w:w w:val="100"/>
          <w:position w:val="0"/>
          <w:shd w:val="clear" w:color="auto" w:fill="auto"/>
          <w:lang w:val="hr-HR" w:eastAsia="hr-HR" w:bidi="hr-HR"/>
        </w:rPr>
        <w:t xml:space="preserve"> toga ‘kraljevstva’, približen iz mračno prijetećeg s punom emat Jahveh i dubine ‘neba’. Budući da je on nje</w:t>
        <w:softHyphen/>
        <w:t>gov gospodar, ne samo da nije ništa manje ‘svet’, numinozan, tajnovit, kadoš, hagios, sa- cer i sanetus kao njegovo kraljevstvo nego mnogo više i sve to u apsolutnoj mjeri... Zato nakon oslovljavanja ‘Oče naš’ ubrzo slijede ri</w:t>
        <w:softHyphen/>
        <w:t>ječi ‘sveti se ime tvoje’ koje nisu toliko molba koliko usklik pun strahopoštovanja ... Da je to nešto tajanstveno što izaziva strah, to stra</w:t>
        <w:softHyphen/>
        <w:t>no, nedodirljivo ‘na nebu’ ujedno milosna vo</w:t>
        <w:softHyphen/>
        <w:t xml:space="preserve">lja koja se i sama tražeći dom približava: tek taj razriješen </w:t>
      </w:r>
      <w:r>
        <w:rPr>
          <w:rFonts w:ascii="Times New Roman" w:eastAsia="Times New Roman" w:hAnsi="Times New Roman" w:cs="Times New Roman"/>
          <w:i/>
          <w:iCs/>
          <w:color w:val="000000"/>
          <w:spacing w:val="0"/>
          <w:w w:val="100"/>
          <w:position w:val="0"/>
          <w:shd w:val="clear" w:color="auto" w:fill="auto"/>
          <w:lang w:val="hr-HR" w:eastAsia="hr-HR" w:bidi="hr-HR"/>
        </w:rPr>
        <w:t>kontrast</w:t>
      </w:r>
      <w:r>
        <w:rPr>
          <w:rFonts w:ascii="Times New Roman" w:eastAsia="Times New Roman" w:hAnsi="Times New Roman" w:cs="Times New Roman"/>
          <w:color w:val="000000"/>
          <w:spacing w:val="0"/>
          <w:w w:val="100"/>
          <w:position w:val="0"/>
          <w:shd w:val="clear" w:color="auto" w:fill="auto"/>
          <w:lang w:val="hr-HR" w:eastAsia="hr-HR" w:bidi="hr-HR"/>
        </w:rPr>
        <w:t xml:space="preserve"> čini harmoniju pravoga kršćanskog temeljnog osjećaja« (103 i 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Isusova najvažnija molitva ‘Očenaš’ govori o Bogu kao Ocu.Veliki liberalni protestantski crkveni povjesničar Adolf Harnack u svojim čuvenim predavanjima: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Wesen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oles Christentums </w:t>
      </w:r>
      <w:r>
        <w:rPr>
          <w:rFonts w:ascii="Times New Roman" w:eastAsia="Times New Roman" w:hAnsi="Times New Roman" w:cs="Times New Roman"/>
          <w:color w:val="000000"/>
          <w:spacing w:val="0"/>
          <w:w w:val="100"/>
          <w:position w:val="0"/>
          <w:shd w:val="clear" w:color="auto" w:fill="auto"/>
          <w:lang w:val="hr-HR" w:eastAsia="hr-HR" w:bidi="hr-HR"/>
        </w:rPr>
        <w:t>(1900) sveo je Isusovu propovijed na formulu: »B. Otac i beskrajna vrijednost ljudske duše.« Otac kao naziv za Boga je ipak fenomen koji je povijesno-religijski daleko raširen i ne predstavlja samo zajedničko dobro biblijskih religija. Kršćanski su teolozi pokušali na te</w:t>
        <w:softHyphen/>
        <w:t>melju Isusova oslovljavanja s Oče konstruirati prekid sa židovskom tradicijom. No i Izrael je poznavao i poznaje Boga kao Oca kako poka</w:t>
        <w:softHyphen/>
        <w:t xml:space="preserve">zuju neka navedena starozavjetna mjesta (usp. npr. Pnz 32,6; Ps 103,13 i d.; Jr 3,4 i d.; Iz 63,1 itd.). U ranom židovstvu su osobito farizejski rabini dozivali Boga (Mišna, tannaitski Midraš) u molitvi ovako: »Naš nebeski Oče« (usp. R. H. </w:t>
      </w:r>
      <w:r>
        <w:rPr>
          <w:rFonts w:ascii="Times New Roman" w:eastAsia="Times New Roman" w:hAnsi="Times New Roman" w:cs="Times New Roman"/>
          <w:color w:val="000000"/>
          <w:spacing w:val="0"/>
          <w:w w:val="100"/>
          <w:position w:val="0"/>
          <w:shd w:val="clear" w:color="auto" w:fill="auto"/>
          <w:lang w:val="en-US" w:eastAsia="en-US" w:bidi="en-US"/>
        </w:rPr>
        <w:t xml:space="preserve">Kelly, Gott als Vater in </w:t>
      </w:r>
      <w:r>
        <w:rPr>
          <w:rFonts w:ascii="Times New Roman" w:eastAsia="Times New Roman" w:hAnsi="Times New Roman" w:cs="Times New Roman"/>
          <w:color w:val="000000"/>
          <w:spacing w:val="0"/>
          <w:w w:val="100"/>
          <w:position w:val="0"/>
          <w:shd w:val="clear" w:color="auto" w:fill="auto"/>
          <w:lang w:val="hr-HR" w:eastAsia="hr-HR" w:bidi="hr-HR"/>
        </w:rPr>
        <w:t xml:space="preserve">der Bibel </w:t>
      </w:r>
      <w:r>
        <w:rPr>
          <w:rFonts w:ascii="Times New Roman" w:eastAsia="Times New Roman" w:hAnsi="Times New Roman" w:cs="Times New Roman"/>
          <w:color w:val="000000"/>
          <w:spacing w:val="0"/>
          <w:w w:val="100"/>
          <w:position w:val="0"/>
          <w:shd w:val="clear" w:color="auto" w:fill="auto"/>
          <w:lang w:val="en-US" w:eastAsia="en-US" w:bidi="en-US"/>
        </w:rPr>
        <w:t xml:space="preserve">und in </w:t>
      </w:r>
      <w:r>
        <w:rPr>
          <w:rFonts w:ascii="Times New Roman" w:eastAsia="Times New Roman" w:hAnsi="Times New Roman" w:cs="Times New Roman"/>
          <w:color w:val="000000"/>
          <w:spacing w:val="0"/>
          <w:w w:val="100"/>
          <w:position w:val="0"/>
          <w:shd w:val="clear" w:color="auto" w:fill="auto"/>
          <w:lang w:val="hr-HR" w:eastAsia="hr-HR" w:bidi="hr-HR"/>
        </w:rPr>
        <w:t xml:space="preserve">der Erfahrung Jesu. Eine Bestandaufnahme. U: </w:t>
      </w:r>
      <w:r>
        <w:rPr>
          <w:rFonts w:ascii="Times New Roman" w:eastAsia="Times New Roman" w:hAnsi="Times New Roman" w:cs="Times New Roman"/>
          <w:i/>
          <w:iCs/>
          <w:color w:val="000000"/>
          <w:spacing w:val="0"/>
          <w:w w:val="100"/>
          <w:position w:val="0"/>
          <w:shd w:val="clear" w:color="auto" w:fill="auto"/>
          <w:lang w:val="en-US" w:eastAsia="en-US" w:bidi="en-US"/>
        </w:rPr>
        <w:t>Concilium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17 [1981] 251).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Židovstvo nije često upotrebljavalo naziv Oca za Boga jer je htjelo spriječiti da se u Bogu vidi fizički roditelj, a to je razlog koji i u is</w:t>
        <w:softHyphen/>
        <w:t>lamu čini problematičnim oslovljavanje s Oče. U NZ dolazi naziv Otac mnogo češće nego u SZ i u islamu (170 puta govori Isus o Bogu kao Ocu). Kad se Isus u molitvi obraća Bogu, uopće ne upotrebljava neki drugi naslov.</w:t>
      </w:r>
    </w:p>
    <w:p>
      <w:pPr>
        <w:pStyle w:val="Style20"/>
        <w:keepNext w:val="0"/>
        <w:keepLines w:val="0"/>
        <w:widowControl w:val="0"/>
        <w:shd w:val="clear" w:color="auto" w:fill="auto"/>
        <w:bidi w:val="0"/>
        <w:spacing w:before="0" w:after="0"/>
        <w:ind w:left="0" w:right="0" w:firstLine="0"/>
        <w:jc w:val="both"/>
        <w:sectPr>
          <w:headerReference w:type="default" r:id="rId193"/>
          <w:footerReference w:type="default" r:id="rId194"/>
          <w:headerReference w:type="even" r:id="rId195"/>
          <w:footerReference w:type="even" r:id="rId196"/>
          <w:footnotePr>
            <w:pos w:val="pageBottom"/>
            <w:numFmt w:val="decimal"/>
            <w:numStart w:val="5"/>
            <w:numRestart w:val="continuous"/>
            <w15:footnoteColumns w:val="1"/>
          </w:footnotePr>
          <w:pgSz w:w="6816" w:h="11006"/>
          <w:pgMar w:top="954" w:left="178" w:right="182" w:bottom="525" w:header="0" w:footer="97" w:gutter="0"/>
          <w:pgNumType w:start="73"/>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Egzegetsko istraživanje pokazalo je da postoji »razmjerno malo izvornih Isusovih tekstova« u kojima se javlja naziv Otac. Prema J. Jere- miasu radi se o sekundarnim dotjerivanjima. Pitanje je ne dolazi li »kod oslovljavanja Boga u Oćenašu na ustima Isusa, koji je govorio aramejski, ‘tepajuća riječ’ </w:t>
      </w:r>
      <w:r>
        <w:rPr>
          <w:rFonts w:ascii="Times New Roman" w:eastAsia="Times New Roman" w:hAnsi="Times New Roman" w:cs="Times New Roman"/>
          <w:color w:val="000000"/>
          <w:spacing w:val="0"/>
          <w:w w:val="100"/>
          <w:position w:val="0"/>
          <w:shd w:val="clear" w:color="auto" w:fill="auto"/>
          <w:lang w:val="en-US" w:eastAsia="en-US" w:bidi="en-US"/>
        </w:rPr>
        <w:t xml:space="preserve">abba, </w:t>
      </w:r>
      <w:r>
        <w:rPr>
          <w:rFonts w:ascii="Times New Roman" w:eastAsia="Times New Roman" w:hAnsi="Times New Roman" w:cs="Times New Roman"/>
          <w:color w:val="000000"/>
          <w:spacing w:val="0"/>
          <w:w w:val="100"/>
          <w:position w:val="0"/>
          <w:shd w:val="clear" w:color="auto" w:fill="auto"/>
          <w:lang w:val="hr-HR" w:eastAsia="hr-HR" w:bidi="hr-HR"/>
        </w:rPr>
        <w:t>a ne jedno</w:t>
        <w:softHyphen/>
        <w:t xml:space="preserve">stavno </w:t>
      </w:r>
      <w:r>
        <w:rPr>
          <w:rFonts w:ascii="Times New Roman" w:eastAsia="Times New Roman" w:hAnsi="Times New Roman" w:cs="Times New Roman"/>
          <w:color w:val="000000"/>
          <w:spacing w:val="0"/>
          <w:w w:val="100"/>
          <w:position w:val="0"/>
          <w:shd w:val="clear" w:color="auto" w:fill="auto"/>
          <w:lang w:val="en-US" w:eastAsia="en-US" w:bidi="en-US"/>
        </w:rPr>
        <w:t xml:space="preserve">‘pater’. </w:t>
      </w:r>
      <w:r>
        <w:rPr>
          <w:rFonts w:ascii="Times New Roman" w:eastAsia="Times New Roman" w:hAnsi="Times New Roman" w:cs="Times New Roman"/>
          <w:color w:val="000000"/>
          <w:spacing w:val="0"/>
          <w:w w:val="100"/>
          <w:position w:val="0"/>
          <w:shd w:val="clear" w:color="auto" w:fill="auto"/>
          <w:lang w:val="hr-HR" w:eastAsia="hr-HR" w:bidi="hr-HR"/>
        </w:rPr>
        <w:t xml:space="preserve">U riječi od milja »abba« (tata) izražava se posebna nježnost i bliskost koja je za židovstvo morala biti prilično neobična i odveć prisna (usp. </w:t>
      </w:r>
      <w:r>
        <w:rPr>
          <w:rFonts w:ascii="Times New Roman" w:eastAsia="Times New Roman" w:hAnsi="Times New Roman" w:cs="Times New Roman"/>
          <w:color w:val="000000"/>
          <w:spacing w:val="0"/>
          <w:w w:val="100"/>
          <w:position w:val="0"/>
          <w:shd w:val="clear" w:color="auto" w:fill="auto"/>
          <w:lang w:val="en-US" w:eastAsia="en-US" w:bidi="en-US"/>
        </w:rPr>
        <w:t xml:space="preserve">Joachim Jeremias, </w:t>
      </w:r>
      <w:r>
        <w:rPr>
          <w:rFonts w:ascii="Times New Roman" w:eastAsia="Times New Roman" w:hAnsi="Times New Roman" w:cs="Times New Roman"/>
          <w:i/>
          <w:iCs/>
          <w:color w:val="000000"/>
          <w:spacing w:val="0"/>
          <w:w w:val="100"/>
          <w:position w:val="0"/>
          <w:shd w:val="clear" w:color="auto" w:fill="auto"/>
          <w:lang w:val="en-US" w:eastAsia="en-US" w:bidi="en-US"/>
        </w:rPr>
        <w:t xml:space="preserve">Abba. </w:t>
      </w:r>
      <w:r>
        <w:rPr>
          <w:rFonts w:ascii="Times New Roman" w:eastAsia="Times New Roman" w:hAnsi="Times New Roman" w:cs="Times New Roman"/>
          <w:i/>
          <w:iCs/>
          <w:color w:val="000000"/>
          <w:spacing w:val="0"/>
          <w:w w:val="100"/>
          <w:position w:val="0"/>
          <w:shd w:val="clear" w:color="auto" w:fill="auto"/>
          <w:lang w:val="hr-HR" w:eastAsia="hr-HR" w:bidi="hr-HR"/>
        </w:rPr>
        <w:t>Studien zur neutestamentlichen Theologie und Zeitgeschichte,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Gottingen </w:t>
      </w:r>
      <w:r>
        <w:rPr>
          <w:rFonts w:ascii="Times New Roman" w:eastAsia="Times New Roman" w:hAnsi="Times New Roman" w:cs="Times New Roman"/>
          <w:color w:val="000000"/>
          <w:spacing w:val="0"/>
          <w:w w:val="100"/>
          <w:position w:val="0"/>
          <w:shd w:val="clear" w:color="auto" w:fill="auto"/>
          <w:lang w:val="hr-HR" w:eastAsia="hr-HR" w:bidi="hr-HR"/>
        </w:rPr>
        <w:t xml:space="preserve">1966; </w:t>
      </w:r>
      <w:r>
        <w:rPr>
          <w:rFonts w:ascii="Times New Roman" w:eastAsia="Times New Roman" w:hAnsi="Times New Roman" w:cs="Times New Roman"/>
          <w:color w:val="000000"/>
          <w:spacing w:val="0"/>
          <w:w w:val="100"/>
          <w:position w:val="0"/>
          <w:shd w:val="clear" w:color="auto" w:fill="auto"/>
          <w:lang w:val="en-US" w:eastAsia="en-US" w:bidi="en-US"/>
        </w:rPr>
        <w:t xml:space="preserve">Kelly, </w:t>
      </w:r>
      <w:r>
        <w:rPr>
          <w:rFonts w:ascii="Times New Roman" w:eastAsia="Times New Roman" w:hAnsi="Times New Roman" w:cs="Times New Roman"/>
          <w:color w:val="000000"/>
          <w:spacing w:val="0"/>
          <w:w w:val="100"/>
          <w:position w:val="0"/>
          <w:shd w:val="clear" w:color="auto" w:fill="auto"/>
          <w:lang w:val="hr-HR" w:eastAsia="hr-HR" w:bidi="hr-HR"/>
        </w:rPr>
        <w:t>na na</w:t>
        <w:softHyphen/>
        <w:t xml:space="preserve">vedenome mjestu; Giintcr Bornkamm, Das Vaterbild im Neuen Testament. U: H. Tcllcn- bach (Hrsg.),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Vaterbild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Mythologie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Geschichte,</w:t>
      </w:r>
      <w:r>
        <w:rPr>
          <w:rFonts w:ascii="Times New Roman" w:eastAsia="Times New Roman" w:hAnsi="Times New Roman" w:cs="Times New Roman"/>
          <w:color w:val="000000"/>
          <w:spacing w:val="0"/>
          <w:w w:val="100"/>
          <w:position w:val="0"/>
          <w:shd w:val="clear" w:color="auto" w:fill="auto"/>
          <w:lang w:val="en-US" w:eastAsia="en-US" w:bidi="en-US"/>
        </w:rPr>
        <w:t xml:space="preserve"> Stuttgart </w:t>
      </w:r>
      <w:r>
        <w:rPr>
          <w:rFonts w:ascii="Times New Roman" w:eastAsia="Times New Roman" w:hAnsi="Times New Roman" w:cs="Times New Roman"/>
          <w:color w:val="000000"/>
          <w:spacing w:val="0"/>
          <w:w w:val="100"/>
          <w:position w:val="0"/>
          <w:shd w:val="clear" w:color="auto" w:fill="auto"/>
          <w:lang w:val="hr-HR" w:eastAsia="hr-HR" w:bidi="hr-HR"/>
        </w:rPr>
        <w:t>1976, 136-154). Isusova predodžba o Bogu, prema gledištu današnjih judaističkih i teoloških istraživanja, potpuno ne raskida okvir židovstva. Zamisao Boga kao Oca u Isusovu naviještanju pripada nesumnji</w:t>
        <w:softHyphen/>
        <w:t xml:space="preserve">vo konstitutivnim obilježjima kršćanske Božje slike. Iako se u općoj povijesti religije naziv Otac za Boga - kao što je već rečeno - ipak često susreće, nije tako često riječ o pojmu nego o njegovu </w:t>
      </w:r>
      <w:r>
        <w:rPr>
          <w:rFonts w:ascii="Times New Roman" w:eastAsia="Times New Roman" w:hAnsi="Times New Roman" w:cs="Times New Roman"/>
          <w:i/>
          <w:iCs/>
          <w:color w:val="000000"/>
          <w:spacing w:val="0"/>
          <w:w w:val="100"/>
          <w:position w:val="0"/>
          <w:shd w:val="clear" w:color="auto" w:fill="auto"/>
          <w:lang w:val="hr-HR" w:eastAsia="hr-HR" w:bidi="hr-HR"/>
        </w:rPr>
        <w:t>sadržaju.</w:t>
      </w:r>
      <w:r>
        <w:rPr>
          <w:rFonts w:ascii="Times New Roman" w:eastAsia="Times New Roman" w:hAnsi="Times New Roman" w:cs="Times New Roman"/>
          <w:color w:val="000000"/>
          <w:spacing w:val="0"/>
          <w:w w:val="100"/>
          <w:position w:val="0"/>
          <w:shd w:val="clear" w:color="auto" w:fill="auto"/>
          <w:lang w:val="hr-HR" w:eastAsia="hr-HR" w:bidi="hr-HR"/>
        </w:rPr>
        <w:t xml:space="preserve"> On je jasan u jed</w:t>
        <w:softHyphen/>
        <w:t>nom tekstu koji služi kao primjer. Radi se o prispodobi o izgubljenom sinu (Lk 15,11-32). Otac, dakle B., ovdje je pun dobrote i susret</w:t>
        <w:softHyphen/>
        <w:t>ljivosti. On pristupa grešniku i slabome te ga spašava iz njegove izgubljenosti. Nije samo fe</w:t>
        <w:softHyphen/>
        <w:t>ministička teologija, koja je u sebi vrlo dife</w:t>
        <w:softHyphen/>
        <w:t>rencirana, ukazala na štetna djelovanja patri- jarhalno-očinske predodžbe o Bogu. Muška (andromorfna) očinska Božja slika ozakonila je prevlast muškaraca nad ženama. Predstav</w:t>
        <w:softHyphen/>
        <w:t>nici ove teologije zahtijevaju naspram atributa i bitnih svojstava muškog Boga novo uvaža</w:t>
        <w:softHyphen/>
        <w:t>vanje ženskih i majčinskih crta na Božjoj slici. Tako ne samo hebrejsko rahamim (doslovce: utroba), koje je važno za razumijevanje staro</w:t>
        <w:softHyphen/>
        <w:t xml:space="preserve">zavjetne i novozavjetne ljubavi prema Bogu, (usp. Rim 11,1) ukazuje na ženske crte Božje slike (majčino krilo, nježnost, srce itd.). </w:t>
      </w:r>
      <w:r>
        <w:rPr>
          <w:rFonts w:ascii="Times New Roman" w:eastAsia="Times New Roman" w:hAnsi="Times New Roman" w:cs="Times New Roman"/>
          <w:color w:val="000000"/>
          <w:spacing w:val="0"/>
          <w:w w:val="100"/>
          <w:position w:val="0"/>
          <w:shd w:val="clear" w:color="auto" w:fill="auto"/>
          <w:lang w:val="en-US" w:eastAsia="en-US" w:bidi="en-US"/>
        </w:rPr>
        <w:t xml:space="preserve">I is-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lamsko </w:t>
      </w:r>
      <w:r>
        <w:rPr>
          <w:rFonts w:ascii="Times New Roman" w:eastAsia="Times New Roman" w:hAnsi="Times New Roman" w:cs="Times New Roman"/>
          <w:color w:val="000000"/>
          <w:spacing w:val="0"/>
          <w:w w:val="100"/>
          <w:position w:val="0"/>
          <w:shd w:val="clear" w:color="auto" w:fill="auto"/>
          <w:lang w:val="hr-HR" w:eastAsia="hr-HR" w:bidi="hr-HR"/>
        </w:rPr>
        <w:t>prizivanje Boga »milosrdni milostivi« (ar-rahman ar-rahim) otkriva, prema shvaćanju nekih egzegeta, elemente majčinske ljubavi.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Božje samoponiženje:</w:t>
      </w:r>
      <w:r>
        <w:rPr>
          <w:rFonts w:ascii="Times New Roman" w:eastAsia="Times New Roman" w:hAnsi="Times New Roman" w:cs="Times New Roman"/>
          <w:color w:val="000000"/>
          <w:spacing w:val="0"/>
          <w:w w:val="100"/>
          <w:position w:val="0"/>
          <w:shd w:val="clear" w:color="auto" w:fill="auto"/>
          <w:lang w:val="hr-HR" w:eastAsia="hr-HR" w:bidi="hr-HR"/>
        </w:rPr>
        <w:t xml:space="preserve"> Bitna razlikovna značaj</w:t>
        <w:softHyphen/>
        <w:t>ka kršćanske vjere u Boga naspram židovstva i islama je njezina tijesna povezanost s osobom Isusa Krista. Radosna je vijest NZ da se B. u Kristu, u njegovu životu i smrti »za nas« ko</w:t>
        <w:softHyphen/>
        <w:t>načno i neopozivo darovao. Za razliku od ži</w:t>
        <w:softHyphen/>
        <w:t xml:space="preserve">dovstva i islama, u središtu stoji jedna </w:t>
      </w:r>
      <w:r>
        <w:rPr>
          <w:rFonts w:ascii="Times New Roman" w:eastAsia="Times New Roman" w:hAnsi="Times New Roman" w:cs="Times New Roman"/>
          <w:i/>
          <w:iCs/>
          <w:color w:val="000000"/>
          <w:spacing w:val="0"/>
          <w:w w:val="100"/>
          <w:position w:val="0"/>
          <w:shd w:val="clear" w:color="auto" w:fill="auto"/>
          <w:lang w:val="hr-HR" w:eastAsia="hr-HR" w:bidi="hr-HR"/>
        </w:rPr>
        <w:t>osoba</w:t>
      </w:r>
      <w:r>
        <w:rPr>
          <w:rFonts w:ascii="Times New Roman" w:eastAsia="Times New Roman" w:hAnsi="Times New Roman" w:cs="Times New Roman"/>
          <w:color w:val="000000"/>
          <w:spacing w:val="0"/>
          <w:w w:val="100"/>
          <w:position w:val="0"/>
          <w:shd w:val="clear" w:color="auto" w:fill="auto"/>
          <w:lang w:val="hr-HR" w:eastAsia="hr-HR" w:bidi="hr-HR"/>
        </w:rPr>
        <w:t xml:space="preserve"> i jedno učenje koje se ne može od nje odijeliti. U kratkom odlomku iz dijaloga između an</w:t>
        <w:softHyphen/>
        <w:t>glikanskog biskupa Kennetha Cragga i musli</w:t>
        <w:softHyphen/>
        <w:t>manskog znanstvenika Ismaila al-Faruqija vi</w:t>
        <w:softHyphen/>
        <w:t>di se jasna razlika između tradicionalno krš</w:t>
        <w:softHyphen/>
        <w:t>ćanskog i islamskog shvaćanja: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»Cragg:</w:t>
      </w:r>
      <w:r>
        <w:rPr>
          <w:rFonts w:ascii="Times New Roman" w:eastAsia="Times New Roman" w:hAnsi="Times New Roman" w:cs="Times New Roman"/>
          <w:color w:val="000000"/>
          <w:spacing w:val="0"/>
          <w:w w:val="100"/>
          <w:position w:val="0"/>
          <w:shd w:val="clear" w:color="auto" w:fill="auto"/>
          <w:lang w:val="hr-HR" w:eastAsia="hr-HR" w:bidi="hr-HR"/>
        </w:rPr>
        <w:t xml:space="preserve"> Vi lišavate Boga njegove suverene slo</w:t>
        <w:softHyphen/>
        <w:t>bode da svoju transcendenciju očituje onako kako hoće - a ovo se može sastojati u tome da se svojim utjelovljenjem udostoji ući u čovje</w:t>
        <w:softHyphen/>
        <w:t xml:space="preserve">kove uvjete. </w:t>
      </w:r>
      <w:r>
        <w:rPr>
          <w:rFonts w:ascii="Times New Roman" w:eastAsia="Times New Roman" w:hAnsi="Times New Roman" w:cs="Times New Roman"/>
          <w:i/>
          <w:iCs/>
          <w:color w:val="000000"/>
          <w:spacing w:val="0"/>
          <w:w w:val="100"/>
          <w:position w:val="0"/>
          <w:shd w:val="clear" w:color="auto" w:fill="auto"/>
          <w:lang w:val="en-US" w:eastAsia="en-US" w:bidi="en-US"/>
        </w:rPr>
        <w:t>Al-Faruqi: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Što znači ovo: ‘Pustite Boga da bude gospodar svoje transccndcnci- je?’ Pa ipak je objavljen ovaj kuranski tekst: ‘Njemu nije ništa slično' (Kuran 42,11)«. (Na</w:t>
        <w:softHyphen/>
        <w:t xml:space="preserve">vedeno kod H.-J. Loth/M. 1\voruschka/U. Two- ruschka [Hrsg.], </w:t>
      </w:r>
      <w:r>
        <w:rPr>
          <w:rFonts w:ascii="Times New Roman" w:eastAsia="Times New Roman" w:hAnsi="Times New Roman" w:cs="Times New Roman"/>
          <w:i/>
          <w:iCs/>
          <w:color w:val="000000"/>
          <w:spacing w:val="0"/>
          <w:w w:val="100"/>
          <w:position w:val="0"/>
          <w:shd w:val="clear" w:color="auto" w:fill="auto"/>
          <w:lang w:val="hr-HR" w:eastAsia="hr-HR" w:bidi="hr-HR"/>
        </w:rPr>
        <w:t>Christsein im Kameri der Welt- religionen,</w:t>
      </w:r>
      <w:r>
        <w:rPr>
          <w:rFonts w:ascii="Times New Roman" w:eastAsia="Times New Roman" w:hAnsi="Times New Roman" w:cs="Times New Roman"/>
          <w:color w:val="000000"/>
          <w:spacing w:val="0"/>
          <w:w w:val="100"/>
          <w:position w:val="0"/>
          <w:shd w:val="clear" w:color="auto" w:fill="auto"/>
          <w:lang w:val="hr-HR" w:eastAsia="hr-HR" w:bidi="hr-HR"/>
        </w:rPr>
        <w:t xml:space="preserve"> 1981. 10.)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Dogmatska stajališta:</w:t>
      </w:r>
      <w:r>
        <w:rPr>
          <w:rFonts w:ascii="Times New Roman" w:eastAsia="Times New Roman" w:hAnsi="Times New Roman" w:cs="Times New Roman"/>
          <w:color w:val="000000"/>
          <w:spacing w:val="0"/>
          <w:w w:val="100"/>
          <w:position w:val="0"/>
          <w:shd w:val="clear" w:color="auto" w:fill="auto"/>
          <w:lang w:val="hr-HR" w:eastAsia="hr-HR" w:bidi="hr-HR"/>
        </w:rPr>
        <w:t xml:space="preserve"> Izvorni »stadij početne povezanosti« (Mensching) koji se zrcali u ti</w:t>
        <w:softHyphen/>
        <w:t>jesnom odnosu: učitelj-učenici. zamijenio je »stadij dogmatiziranja i konfesionaliziranja« te »organiziranja«. U raspravama kršćanske Crkve s okolnim religijama postupno se razvi</w:t>
        <w:softHyphen/>
        <w:t xml:space="preserve">jala kršćanska </w:t>
      </w:r>
      <w:r>
        <w:rPr>
          <w:rFonts w:ascii="Times New Roman" w:eastAsia="Times New Roman" w:hAnsi="Times New Roman" w:cs="Times New Roman"/>
          <w:i/>
          <w:iCs/>
          <w:color w:val="000000"/>
          <w:spacing w:val="0"/>
          <w:w w:val="100"/>
          <w:position w:val="0"/>
          <w:shd w:val="clear" w:color="auto" w:fill="auto"/>
          <w:lang w:val="hr-HR" w:eastAsia="hr-HR" w:bidi="hr-HR"/>
        </w:rPr>
        <w:t>teologija.</w:t>
      </w:r>
      <w:r>
        <w:rPr>
          <w:rFonts w:ascii="Times New Roman" w:eastAsia="Times New Roman" w:hAnsi="Times New Roman" w:cs="Times New Roman"/>
          <w:color w:val="000000"/>
          <w:spacing w:val="0"/>
          <w:w w:val="100"/>
          <w:position w:val="0"/>
          <w:shd w:val="clear" w:color="auto" w:fill="auto"/>
          <w:lang w:val="hr-HR" w:eastAsia="hr-HR" w:bidi="hr-HR"/>
        </w:rPr>
        <w:t xml:space="preserve"> Apologetima su se na</w:t>
        <w:softHyphen/>
        <w:t>zivali rani teolozi koji su pružali prve kriterije za rasprave o učenju. Kada su prestali progoni kršćana (311), izbile su dogmatske suprotnos</w:t>
        <w:softHyphen/>
        <w:t>ti. Jednom se radilo o odnosu Isusa Krista prema Bogu, drugi put o odnosu božanske i ljudske naravi u samome Isusu Kristu. Na Ca</w:t>
        <w:softHyphen/>
        <w:t xml:space="preserve">rigradskoj sinodi (381) bilo je potvrđeno već 325. zaključeno vjeroispovijedanje tzv. </w:t>
      </w:r>
      <w:r>
        <w:rPr>
          <w:rFonts w:ascii="Times New Roman" w:eastAsia="Times New Roman" w:hAnsi="Times New Roman" w:cs="Times New Roman"/>
          <w:i/>
          <w:iCs/>
          <w:color w:val="000000"/>
          <w:spacing w:val="0"/>
          <w:w w:val="100"/>
          <w:position w:val="0"/>
          <w:shd w:val="clear" w:color="auto" w:fill="auto"/>
          <w:lang w:val="hr-HR" w:eastAsia="hr-HR" w:bidi="hr-HR"/>
        </w:rPr>
        <w:t>Nicej- sko</w:t>
      </w:r>
      <w:r>
        <w:rPr>
          <w:rFonts w:ascii="Times New Roman" w:eastAsia="Times New Roman" w:hAnsi="Times New Roman" w:cs="Times New Roman"/>
          <w:color w:val="000000"/>
          <w:spacing w:val="0"/>
          <w:w w:val="100"/>
          <w:position w:val="0"/>
          <w:shd w:val="clear" w:color="auto" w:fill="auto"/>
          <w:lang w:val="hr-HR" w:eastAsia="hr-HR" w:bidi="hr-HR"/>
        </w:rPr>
        <w:t xml:space="preserve"> (»Krist, jedinorođeni Sin Božji, tj. iz Oče</w:t>
        <w:softHyphen/>
        <w:t xml:space="preserve">ve biti, istobitan s Ocem«, oko čega je izbio spor u istočnoj Crkvi). Takozvano Nicejsko- carigradsko vjeroispovijedanje učilo je o isto- bitnosti Sina s Ocem kao i o Trojstvu »Duha Svetoga ... koji izlazi od Oca i koji se s Ocem i Sinom skupa časti i zajedno slavi (usp. H. Karpp,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Texibuch </w:t>
      </w:r>
      <w:r>
        <w:rPr>
          <w:rFonts w:ascii="Times New Roman" w:eastAsia="Times New Roman" w:hAnsi="Times New Roman" w:cs="Times New Roman"/>
          <w:i/>
          <w:iCs/>
          <w:color w:val="000000"/>
          <w:spacing w:val="0"/>
          <w:w w:val="100"/>
          <w:position w:val="0"/>
          <w:shd w:val="clear" w:color="auto" w:fill="auto"/>
          <w:lang w:val="hr-HR" w:eastAsia="hr-HR" w:bidi="hr-HR"/>
        </w:rPr>
        <w:t xml:space="preserve">zur altkirchlichen Christolo- </w:t>
      </w:r>
      <w:r>
        <w:rPr>
          <w:rFonts w:ascii="Times New Roman" w:eastAsia="Times New Roman" w:hAnsi="Times New Roman" w:cs="Times New Roman"/>
          <w:i/>
          <w:iCs/>
          <w:color w:val="000000"/>
          <w:spacing w:val="0"/>
          <w:w w:val="100"/>
          <w:position w:val="0"/>
          <w:shd w:val="clear" w:color="auto" w:fill="auto"/>
          <w:lang w:val="en-US" w:eastAsia="en-US" w:bidi="en-US"/>
        </w:rPr>
        <w:t>gie,</w:t>
      </w:r>
      <w:r>
        <w:rPr>
          <w:rFonts w:ascii="Times New Roman" w:eastAsia="Times New Roman" w:hAnsi="Times New Roman" w:cs="Times New Roman"/>
          <w:color w:val="000000"/>
          <w:spacing w:val="0"/>
          <w:w w:val="100"/>
          <w:position w:val="0"/>
          <w:shd w:val="clear" w:color="auto" w:fill="auto"/>
          <w:lang w:val="en-US" w:eastAsia="en-US" w:bidi="en-US"/>
        </w:rPr>
        <w:t xml:space="preserve"> Neukirchen </w:t>
      </w:r>
      <w:r>
        <w:rPr>
          <w:rFonts w:ascii="Times New Roman" w:eastAsia="Times New Roman" w:hAnsi="Times New Roman" w:cs="Times New Roman"/>
          <w:color w:val="000000"/>
          <w:spacing w:val="0"/>
          <w:w w:val="100"/>
          <w:position w:val="0"/>
          <w:shd w:val="clear" w:color="auto" w:fill="auto"/>
          <w:lang w:val="hr-HR" w:eastAsia="hr-HR" w:bidi="hr-HR"/>
        </w:rPr>
        <w:t>1972, 106). Na Četvrtoj eku</w:t>
        <w:softHyphen/>
        <w:t>menskoj sinodi u Kalcedonu (451) bila je ko</w:t>
        <w:softHyphen/>
      </w:r>
      <w:r>
        <w:rPr>
          <w:rFonts w:ascii="Times New Roman" w:eastAsia="Times New Roman" w:hAnsi="Times New Roman" w:cs="Times New Roman"/>
          <w:color w:val="000000"/>
          <w:spacing w:val="0"/>
          <w:w w:val="100"/>
          <w:position w:val="0"/>
          <w:shd w:val="clear" w:color="auto" w:fill="auto"/>
          <w:lang w:val="hr-HR" w:eastAsia="hr-HR" w:bidi="hr-HR"/>
        </w:rPr>
        <w:t>načno formulirana kristologija: Krist je pri</w:t>
        <w:softHyphen/>
        <w:t>znat kao »pravi B. i pravi čovjek«. Njegove obadvije »naravi« postoje kao nepomiješane, nepromijenjene, nerastavljene, nepodijeljene (usp. H. Karpp, op. cit., 138). Trinitarni ka</w:t>
        <w:softHyphen/>
        <w:t>rakter kršćanske vjere u Boga za mnoge je bitno razlikovno obilježje kršćanske Božje sli</w:t>
        <w:softHyphen/>
        <w:t>ke. Ne treba prešutjeti da je u povijesti krš</w:t>
        <w:softHyphen/>
        <w:t xml:space="preserve">ćanstva bilo antitrinitarnih pokreta (tzv. </w:t>
      </w:r>
      <w:r>
        <w:rPr>
          <w:rFonts w:ascii="Times New Roman" w:eastAsia="Times New Roman" w:hAnsi="Times New Roman" w:cs="Times New Roman"/>
          <w:color w:val="000000"/>
          <w:spacing w:val="0"/>
          <w:w w:val="100"/>
          <w:position w:val="0"/>
          <w:shd w:val="clear" w:color="auto" w:fill="auto"/>
          <w:lang w:val="en-US" w:eastAsia="en-US" w:bidi="en-US"/>
        </w:rPr>
        <w:t>uni</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tarci).</w:t>
      </w:r>
      <w:r>
        <w:rPr>
          <w:rFonts w:ascii="Times New Roman" w:eastAsia="Times New Roman" w:hAnsi="Times New Roman" w:cs="Times New Roman"/>
          <w:color w:val="000000"/>
          <w:spacing w:val="0"/>
          <w:w w:val="100"/>
          <w:position w:val="0"/>
          <w:shd w:val="clear" w:color="auto" w:fill="auto"/>
          <w:lang w:val="hr-HR" w:eastAsia="hr-HR" w:bidi="hr-HR"/>
        </w:rPr>
        <w:t xml:space="preserve"> Na području slobodoumnog protestan</w:t>
        <w:softHyphen/>
        <w:t xml:space="preserve">tizma ima takvih skupina koje ne pripisuju »obvezatnost« trinitarnom učenju koje se ne odnosi na Isusa i nije izričito navedeno u NZ. »Ne treba ga dakle prihvatiti da bismo bili kršćani« (v.: Hasselbach, Christsein - neuge- sehen. U: </w:t>
      </w:r>
      <w:r>
        <w:rPr>
          <w:rFonts w:ascii="Times New Roman" w:eastAsia="Times New Roman" w:hAnsi="Times New Roman" w:cs="Times New Roman"/>
          <w:i/>
          <w:iCs/>
          <w:color w:val="000000"/>
          <w:spacing w:val="0"/>
          <w:w w:val="100"/>
          <w:position w:val="0"/>
          <w:shd w:val="clear" w:color="auto" w:fill="auto"/>
          <w:lang w:val="hr-HR" w:eastAsia="hr-HR" w:bidi="hr-HR"/>
        </w:rPr>
        <w:t>Freies Christemum</w:t>
      </w:r>
      <w:r>
        <w:rPr>
          <w:rFonts w:ascii="Times New Roman" w:eastAsia="Times New Roman" w:hAnsi="Times New Roman" w:cs="Times New Roman"/>
          <w:color w:val="000000"/>
          <w:spacing w:val="0"/>
          <w:w w:val="100"/>
          <w:position w:val="0"/>
          <w:shd w:val="clear" w:color="auto" w:fill="auto"/>
          <w:lang w:val="hr-HR" w:eastAsia="hr-HR" w:bidi="hr-HR"/>
        </w:rPr>
        <w:t xml:space="preserve"> 11/1979, 196). Trinitarna vjera nije se nikad obrušavala na Božju jedinstvenost koja je povezuje sa židov</w:t>
        <w:softHyphen/>
        <w:t>stvom i islamom. Kršćani su sc mogli za Ži</w:t>
        <w:softHyphen/>
        <w:t>dove i muslimane učiniti tijekom vremena ra</w:t>
        <w:softHyphen/>
        <w:t>zumljivijima. Neki su uvidjeli da je kršćanima stalo do jedinstva i da tradicionalni prigovor o vjeri u tri božanstva ne pogađa kršćansko sa- morazumijevanje. Pa ipak, čak najliberalniji i dijalogu najvičniji predstavnici židovstva i isla</w:t>
        <w:softHyphen/>
        <w:t>ma pritom zadržavaju barem nelagodan osje</w:t>
        <w:softHyphen/>
        <w:t>ćaj. Postbiblijsko učenje o Bogu snažno je obi</w:t>
        <w:softHyphen/>
        <w:t>lježeno antiknom filozofijom »koja je doduše znatno olakšala sintezu filozofije i teologije, ali je, s druge strane, učinila nasilje nad krš</w:t>
        <w:softHyphen/>
        <w:t>ćanskom idejom Boga kao onoga koji se obja</w:t>
        <w:softHyphen/>
        <w:t xml:space="preserve">vio« (E. </w:t>
      </w:r>
      <w:r>
        <w:rPr>
          <w:rFonts w:ascii="Times New Roman" w:eastAsia="Times New Roman" w:hAnsi="Times New Roman" w:cs="Times New Roman"/>
          <w:color w:val="000000"/>
          <w:spacing w:val="0"/>
          <w:w w:val="100"/>
          <w:position w:val="0"/>
          <w:shd w:val="clear" w:color="auto" w:fill="auto"/>
          <w:lang w:val="en-US" w:eastAsia="en-US" w:bidi="en-US"/>
        </w:rPr>
        <w:t xml:space="preserve">Brunner, Die </w:t>
      </w:r>
      <w:r>
        <w:rPr>
          <w:rFonts w:ascii="Times New Roman" w:eastAsia="Times New Roman" w:hAnsi="Times New Roman" w:cs="Times New Roman"/>
          <w:color w:val="000000"/>
          <w:spacing w:val="0"/>
          <w:w w:val="100"/>
          <w:position w:val="0"/>
          <w:shd w:val="clear" w:color="auto" w:fill="auto"/>
          <w:lang w:val="hr-HR" w:eastAsia="hr-HR" w:bidi="hr-HR"/>
        </w:rPr>
        <w:t xml:space="preserve">christliche Lehre von </w:t>
      </w:r>
      <w:r>
        <w:rPr>
          <w:rFonts w:ascii="Times New Roman" w:eastAsia="Times New Roman" w:hAnsi="Times New Roman" w:cs="Times New Roman"/>
          <w:color w:val="000000"/>
          <w:spacing w:val="0"/>
          <w:w w:val="100"/>
          <w:position w:val="0"/>
          <w:shd w:val="clear" w:color="auto" w:fill="auto"/>
          <w:lang w:val="en-US" w:eastAsia="en-US" w:bidi="en-US"/>
        </w:rPr>
        <w:t xml:space="preserve">Gott </w:t>
      </w:r>
      <w:r>
        <w:rPr>
          <w:rFonts w:ascii="Times New Roman" w:eastAsia="Times New Roman" w:hAnsi="Times New Roman" w:cs="Times New Roman"/>
          <w:color w:val="000000"/>
          <w:spacing w:val="0"/>
          <w:w w:val="100"/>
          <w:position w:val="0"/>
          <w:shd w:val="clear" w:color="auto" w:fill="auto"/>
          <w:lang w:val="hr-HR" w:eastAsia="hr-HR" w:bidi="hr-HR"/>
        </w:rPr>
        <w:t xml:space="preserve">[= Dogmatik, Bd. 1] </w:t>
      </w:r>
      <w:r>
        <w:rPr>
          <w:rFonts w:ascii="Times New Roman" w:eastAsia="Times New Roman" w:hAnsi="Times New Roman" w:cs="Times New Roman"/>
          <w:color w:val="000000"/>
          <w:spacing w:val="0"/>
          <w:w w:val="100"/>
          <w:position w:val="0"/>
          <w:shd w:val="clear" w:color="auto" w:fill="auto"/>
          <w:lang w:val="en-US" w:eastAsia="en-US" w:bidi="en-US"/>
        </w:rPr>
        <w:t xml:space="preserve">Zurich, </w:t>
      </w:r>
      <w:r>
        <w:rPr>
          <w:rFonts w:ascii="Times New Roman" w:eastAsia="Times New Roman" w:hAnsi="Times New Roman" w:cs="Times New Roman"/>
          <w:color w:val="000000"/>
          <w:spacing w:val="0"/>
          <w:w w:val="100"/>
          <w:position w:val="0"/>
          <w:shd w:val="clear" w:color="auto" w:fill="auto"/>
          <w:lang w:val="hr-HR" w:eastAsia="hr-HR" w:bidi="hr-HR"/>
        </w:rPr>
        <w:t>1953, 159). Biblijski iskazi o Bogu koji imaju dijelom an- tropomorfni karakter i koji naglašavaju dina</w:t>
        <w:softHyphen/>
        <w:t>mičan, promjenljiv, dakle, povijesni Božji ka</w:t>
        <w:softHyphen/>
        <w:t>rakter napušteni su u korist oduhovljene, sta</w:t>
        <w:softHyphen/>
        <w:t xml:space="preserve">tične, u sebi mirne Božje slike. Nadovezujući se na Platona već je mučenik </w:t>
      </w:r>
      <w:r>
        <w:rPr>
          <w:rFonts w:ascii="Times New Roman" w:eastAsia="Times New Roman" w:hAnsi="Times New Roman" w:cs="Times New Roman"/>
          <w:color w:val="000000"/>
          <w:spacing w:val="0"/>
          <w:w w:val="100"/>
          <w:position w:val="0"/>
          <w:shd w:val="clear" w:color="auto" w:fill="auto"/>
          <w:lang w:val="en-US" w:eastAsia="en-US" w:bidi="en-US"/>
        </w:rPr>
        <w:t xml:space="preserve">Justin </w:t>
      </w:r>
      <w:r>
        <w:rPr>
          <w:rFonts w:ascii="Times New Roman" w:eastAsia="Times New Roman" w:hAnsi="Times New Roman" w:cs="Times New Roman"/>
          <w:color w:val="000000"/>
          <w:spacing w:val="0"/>
          <w:w w:val="100"/>
          <w:position w:val="0"/>
          <w:shd w:val="clear" w:color="auto" w:fill="auto"/>
          <w:lang w:val="hr-HR" w:eastAsia="hr-HR" w:bidi="hr-HR"/>
        </w:rPr>
        <w:t xml:space="preserve">(oko 165) govorio o Bogu kao »onostranom od svakog bitka«. Klement Aleksandrijski (u. prije 215) stigao je pod </w:t>
      </w:r>
      <w:r>
        <w:rPr>
          <w:rFonts w:ascii="Times New Roman" w:eastAsia="Times New Roman" w:hAnsi="Times New Roman" w:cs="Times New Roman"/>
          <w:i/>
          <w:iCs/>
          <w:color w:val="000000"/>
          <w:spacing w:val="0"/>
          <w:w w:val="100"/>
          <w:position w:val="0"/>
          <w:shd w:val="clear" w:color="auto" w:fill="auto"/>
          <w:lang w:val="hr-HR" w:eastAsia="hr-HR" w:bidi="hr-HR"/>
        </w:rPr>
        <w:t>platonističkim utjecajem</w:t>
      </w:r>
      <w:r>
        <w:rPr>
          <w:rFonts w:ascii="Times New Roman" w:eastAsia="Times New Roman" w:hAnsi="Times New Roman" w:cs="Times New Roman"/>
          <w:color w:val="000000"/>
          <w:spacing w:val="0"/>
          <w:w w:val="100"/>
          <w:position w:val="0"/>
          <w:shd w:val="clear" w:color="auto" w:fill="auto"/>
          <w:lang w:val="hr-HR" w:eastAsia="hr-HR" w:bidi="hr-HR"/>
        </w:rPr>
        <w:t xml:space="preserve"> isto tako do oduhovljenog shvaćanja Boga kod kojega je još samo preostao apstraktni pojam jedin</w:t>
        <w:softHyphen/>
        <w:t>stva. No B. je na kraju još »s onu stranu Jed</w:t>
        <w:softHyphen/>
        <w:t xml:space="preserve">noga i jedinstva«. Kod Augustina (354-430), najvećeg zapadnog crkvenog oca, zapaža se apstraktan, spekulativni pojam Boga iz pla- tonizma, kasnije neoplatonizma. Tako </w:t>
      </w:r>
      <w:r>
        <w:rPr>
          <w:rFonts w:ascii="Times New Roman" w:eastAsia="Times New Roman" w:hAnsi="Times New Roman" w:cs="Times New Roman"/>
          <w:color w:val="000000"/>
          <w:spacing w:val="0"/>
          <w:w w:val="100"/>
          <w:position w:val="0"/>
          <w:shd w:val="clear" w:color="auto" w:fill="auto"/>
          <w:lang w:val="en-US" w:eastAsia="en-US" w:bidi="en-US"/>
        </w:rPr>
        <w:t>Augus</w:t>
        <w:softHyphen/>
        <w:t xml:space="preserve">tin </w:t>
      </w:r>
      <w:r>
        <w:rPr>
          <w:rFonts w:ascii="Times New Roman" w:eastAsia="Times New Roman" w:hAnsi="Times New Roman" w:cs="Times New Roman"/>
          <w:color w:val="000000"/>
          <w:spacing w:val="0"/>
          <w:w w:val="100"/>
          <w:position w:val="0"/>
          <w:shd w:val="clear" w:color="auto" w:fill="auto"/>
          <w:lang w:val="hr-HR" w:eastAsia="hr-HR" w:bidi="hr-HR"/>
        </w:rPr>
        <w:t xml:space="preserve">označava Boga kao » bonum </w:t>
      </w:r>
      <w:r>
        <w:rPr>
          <w:rFonts w:ascii="Times New Roman" w:eastAsia="Times New Roman" w:hAnsi="Times New Roman" w:cs="Times New Roman"/>
          <w:color w:val="000000"/>
          <w:spacing w:val="0"/>
          <w:w w:val="100"/>
          <w:position w:val="0"/>
          <w:shd w:val="clear" w:color="auto" w:fill="auto"/>
          <w:lang w:val="en-US" w:eastAsia="en-US" w:bidi="en-US"/>
        </w:rPr>
        <w:t>solum sim</w:t>
        <w:softHyphen/>
        <w:t xml:space="preserve">plex« </w:t>
      </w:r>
      <w:r>
        <w:rPr>
          <w:rFonts w:ascii="Times New Roman" w:eastAsia="Times New Roman" w:hAnsi="Times New Roman" w:cs="Times New Roman"/>
          <w:color w:val="000000"/>
          <w:spacing w:val="0"/>
          <w:w w:val="100"/>
          <w:position w:val="0"/>
          <w:shd w:val="clear" w:color="auto" w:fill="auto"/>
          <w:lang w:val="hr-HR" w:eastAsia="hr-HR" w:bidi="hr-HR"/>
        </w:rPr>
        <w:t>(jednostavno samo Dobro), odnosno kao »summum bonum« (najviše Dobro).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Utjecaj </w:t>
      </w:r>
      <w:r>
        <w:rPr>
          <w:rFonts w:ascii="Times New Roman" w:eastAsia="Times New Roman" w:hAnsi="Times New Roman" w:cs="Times New Roman"/>
          <w:i/>
          <w:iCs/>
          <w:color w:val="000000"/>
          <w:spacing w:val="0"/>
          <w:w w:val="100"/>
          <w:position w:val="0"/>
          <w:shd w:val="clear" w:color="auto" w:fill="auto"/>
          <w:lang w:val="hr-HR" w:eastAsia="hr-HR" w:bidi="hr-HR"/>
        </w:rPr>
        <w:t>aristotelovskogpojmu Boga</w:t>
      </w:r>
      <w:r>
        <w:rPr>
          <w:rFonts w:ascii="Times New Roman" w:eastAsia="Times New Roman" w:hAnsi="Times New Roman" w:cs="Times New Roman"/>
          <w:color w:val="000000"/>
          <w:spacing w:val="0"/>
          <w:w w:val="100"/>
          <w:position w:val="0"/>
          <w:shd w:val="clear" w:color="auto" w:fill="auto"/>
          <w:lang w:val="hr-HR" w:eastAsia="hr-HR" w:bidi="hr-HR"/>
        </w:rPr>
        <w:t xml:space="preserve"> kao »nepo</w:t>
        <w:softHyphen/>
        <w:t>kretnog pokretača« snažno se može osjetiti kod najvećega srednjovjekovnog teologa To</w:t>
        <w:softHyphen/>
        <w:t>me Akvinskoga (1225-1274). B. vrijedi kao »causa prima« (prvi uzrok), kao »actus purus« (čista stvarnost), kao »ipsum esse« (sam bitak, najsavršeniji bitak). Naspram Akvinčeva inte- lektualizma stoji voluntarizam Dunsa Scota (1270-1308) po kojemu se B. može shvatiti kao svemoćna volja. B. posjeduje »bezgranič</w:t>
        <w:softHyphen/>
        <w:t>nu moć« (potentia absoluta) ma koliko se i činjenično vezao uz svoj spasenjski plan, uz svoju »potentia ordinata« (uređenu moć). Božja se volja može osjetiti kao ljubav.</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I-uther opet jače posiže za Biblijom i nagla</w:t>
        <w:softHyphen/>
        <w:t>šava Božju povijesnost. B. je gnjevni i milosrd</w:t>
        <w:softHyphen/>
        <w:t>ni B. On je »Deus absconditus« (skriveni B.) i u svojoj milosti »objavljen B.« (Deus revela- tus). B. je za Luthera »užarena krušna peć puna ljubavi«. Njegov gnjev nije svojstvo nje</w:t>
        <w:softHyphen/>
        <w:t>gove biti nego »samo uskrata njegove biti«. Reformacijska teologija prihvatila je u Con- fessio Augustana (CA) bez ikakva brisanja učenje o Trojstvu kakvo obilježava »strukturu svih njegovih učiteljskih iskaza«. Isto tako i kristologija zadržava za reformaciju svoje nepro</w:t>
        <w:softHyphen/>
        <w:t xml:space="preserve">mijenjeno temeljno značenje (usp. E. Schlink, </w:t>
      </w:r>
      <w:r>
        <w:rPr>
          <w:rFonts w:ascii="Times New Roman" w:eastAsia="Times New Roman" w:hAnsi="Times New Roman" w:cs="Times New Roman"/>
          <w:i/>
          <w:iCs/>
          <w:color w:val="000000"/>
          <w:spacing w:val="0"/>
          <w:w w:val="100"/>
          <w:position w:val="0"/>
          <w:shd w:val="clear" w:color="auto" w:fill="auto"/>
          <w:lang w:val="hr-HR" w:eastAsia="hr-HR" w:bidi="hr-HR"/>
        </w:rPr>
        <w:t xml:space="preserve">Theologie der lutherischen Bekenntnisschriften, </w:t>
      </w:r>
      <w:r>
        <w:rPr>
          <w:rFonts w:ascii="Times New Roman" w:eastAsia="Times New Roman" w:hAnsi="Times New Roman" w:cs="Times New Roman"/>
          <w:color w:val="000000"/>
          <w:spacing w:val="0"/>
          <w:w w:val="100"/>
          <w:position w:val="0"/>
          <w:shd w:val="clear" w:color="auto" w:fill="auto"/>
          <w:lang w:val="hr-HR" w:eastAsia="hr-HR" w:bidi="hr-HR"/>
        </w:rPr>
        <w:t>Miinchcn 1946, 99). Kod formuliranja staro- erkvenog učenja o Trojstvu CA se okreće iz</w:t>
        <w:softHyphen/>
        <w:t>među ostaloga, što je zanimljivo, protiv mus</w:t>
        <w:softHyphen/>
        <w:t>limanskog učenja, označenog kao »krivovjer</w:t>
        <w:softHyphen/>
        <w:t>je«. Od prosvjetiteljstva, u kojem se znanost prepoznala kao jedini pouzdani izvor infor</w:t>
        <w:softHyphen/>
        <w:t>macija, postalo je upitno znanje o Bogu i nje</w:t>
        <w:softHyphen/>
        <w:t xml:space="preserve">govim svojstvima koje je dotad bilo samo po sebi razumljivo. »Teoretska znatiželja« </w:t>
      </w:r>
      <w:r>
        <w:rPr>
          <w:rFonts w:ascii="Times New Roman" w:eastAsia="Times New Roman" w:hAnsi="Times New Roman" w:cs="Times New Roman"/>
          <w:color w:val="000000"/>
          <w:spacing w:val="0"/>
          <w:w w:val="100"/>
          <w:position w:val="0"/>
          <w:shd w:val="clear" w:color="auto" w:fill="auto"/>
          <w:lang w:val="en-US" w:eastAsia="en-US" w:bidi="en-US"/>
        </w:rPr>
        <w:t>(Blu</w:t>
        <w:softHyphen/>
        <w:t xml:space="preserve">menberg) </w:t>
      </w:r>
      <w:r>
        <w:rPr>
          <w:rFonts w:ascii="Times New Roman" w:eastAsia="Times New Roman" w:hAnsi="Times New Roman" w:cs="Times New Roman"/>
          <w:color w:val="000000"/>
          <w:spacing w:val="0"/>
          <w:w w:val="100"/>
          <w:position w:val="0"/>
          <w:shd w:val="clear" w:color="auto" w:fill="auto"/>
          <w:lang w:val="hr-HR" w:eastAsia="hr-HR" w:bidi="hr-HR"/>
        </w:rPr>
        <w:t>čovjeka koji je zavladao svijetom ni</w:t>
        <w:softHyphen/>
        <w:t>je htjela neistraženu stvarnost dulje vidjeti u svjetlu prevladanih filozofskih i teoloških tu</w:t>
        <w:softHyphen/>
        <w:t xml:space="preserve">mačenja. </w:t>
      </w:r>
      <w:r>
        <w:rPr>
          <w:rFonts w:ascii="Times New Roman" w:eastAsia="Times New Roman" w:hAnsi="Times New Roman" w:cs="Times New Roman"/>
          <w:color w:val="000000"/>
          <w:spacing w:val="0"/>
          <w:w w:val="100"/>
          <w:position w:val="0"/>
          <w:shd w:val="clear" w:color="auto" w:fill="auto"/>
          <w:lang w:val="en-US" w:eastAsia="en-US" w:bidi="en-US"/>
        </w:rPr>
        <w:t xml:space="preserve">Kepler, Newton </w:t>
      </w:r>
      <w:r>
        <w:rPr>
          <w:rFonts w:ascii="Times New Roman" w:eastAsia="Times New Roman" w:hAnsi="Times New Roman" w:cs="Times New Roman"/>
          <w:color w:val="000000"/>
          <w:spacing w:val="0"/>
          <w:w w:val="100"/>
          <w:position w:val="0"/>
          <w:shd w:val="clear" w:color="auto" w:fill="auto"/>
          <w:lang w:val="hr-HR" w:eastAsia="hr-HR" w:bidi="hr-HR"/>
        </w:rPr>
        <w:t>i Galilcj bili su još uvjereni kršćani. Otkriće prirodnih zakona bi</w:t>
        <w:softHyphen/>
        <w:t>lo je za njih povod za veličanje Božje slave. Naprotiv, predstavnici znanosti iz kasnijih vre</w:t>
        <w:softHyphen/>
        <w:t xml:space="preserve">mena nisu više trebali Boga kao pretpostavku. Za </w:t>
      </w:r>
      <w:r>
        <w:rPr>
          <w:rFonts w:ascii="Times New Roman" w:eastAsia="Times New Roman" w:hAnsi="Times New Roman" w:cs="Times New Roman"/>
          <w:color w:val="000000"/>
          <w:spacing w:val="0"/>
          <w:w w:val="100"/>
          <w:position w:val="0"/>
          <w:shd w:val="clear" w:color="auto" w:fill="auto"/>
          <w:lang w:val="en-US" w:eastAsia="en-US" w:bidi="en-US"/>
        </w:rPr>
        <w:t xml:space="preserve">Ludwiga </w:t>
      </w:r>
      <w:r>
        <w:rPr>
          <w:rFonts w:ascii="Times New Roman" w:eastAsia="Times New Roman" w:hAnsi="Times New Roman" w:cs="Times New Roman"/>
          <w:color w:val="000000"/>
          <w:spacing w:val="0"/>
          <w:w w:val="100"/>
          <w:position w:val="0"/>
          <w:shd w:val="clear" w:color="auto" w:fill="auto"/>
          <w:lang w:val="hr-HR" w:eastAsia="hr-HR" w:bidi="hr-HR"/>
        </w:rPr>
        <w:t>Feuerbacha (1804-1872), uteme</w:t>
        <w:softHyphen/>
        <w:t>ljitelja modernog ateizma, B. je bio projekcija čovjekove idealne slike koju je čovjek spo</w:t>
        <w:softHyphen/>
        <w:t>znavši svoju vlastitu nesavršenost premjestio na nebo. Teologija i antropologija su se pre</w:t>
        <w:softHyphen/>
        <w:t xml:space="preserve">klopile. Od </w:t>
      </w:r>
      <w:r>
        <w:rPr>
          <w:rFonts w:ascii="Times New Roman" w:eastAsia="Times New Roman" w:hAnsi="Times New Roman" w:cs="Times New Roman"/>
          <w:color w:val="000000"/>
          <w:spacing w:val="0"/>
          <w:w w:val="100"/>
          <w:position w:val="0"/>
          <w:shd w:val="clear" w:color="auto" w:fill="auto"/>
          <w:lang w:val="en-US" w:eastAsia="en-US" w:bidi="en-US"/>
        </w:rPr>
        <w:t xml:space="preserve">Ludwiga </w:t>
      </w:r>
      <w:r>
        <w:rPr>
          <w:rFonts w:ascii="Times New Roman" w:eastAsia="Times New Roman" w:hAnsi="Times New Roman" w:cs="Times New Roman"/>
          <w:color w:val="000000"/>
          <w:spacing w:val="0"/>
          <w:w w:val="100"/>
          <w:position w:val="0"/>
          <w:shd w:val="clear" w:color="auto" w:fill="auto"/>
          <w:lang w:val="hr-HR" w:eastAsia="hr-HR" w:bidi="hr-HR"/>
        </w:rPr>
        <w:t xml:space="preserve">Feuerbacha (1804-1872) i Karla Manta (1818-1883) razvila se politički </w:t>
      </w:r>
      <w:r>
        <w:rPr>
          <w:rFonts w:ascii="Times New Roman" w:eastAsia="Times New Roman" w:hAnsi="Times New Roman" w:cs="Times New Roman"/>
          <w:color w:val="000000"/>
          <w:spacing w:val="0"/>
          <w:w w:val="100"/>
          <w:position w:val="0"/>
          <w:shd w:val="clear" w:color="auto" w:fill="auto"/>
          <w:lang w:val="hr-HR" w:eastAsia="hr-HR" w:bidi="hr-HR"/>
        </w:rPr>
        <w:t>motivirana kritika religije. B. postaje fantasti</w:t>
        <w:softHyphen/>
        <w:t>čan nadomjestak, jer su mnogim ljudima usli</w:t>
        <w:softHyphen/>
        <w:t>jed društvenih okolnosti njihove želje ostale uskraćene (tješenje drugim svijetom). B. uopće ne postoji. On je samo iluzija, u nebo usmje</w:t>
        <w:softHyphen/>
        <w:t>rena projekcija čežnji i ljudskih strahova. Re</w:t>
        <w:softHyphen/>
        <w:t>ligija je ideološka nadgradnja na društvenim odnosima koji su jedino realni.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Kritika prevladane Božje slike polazi od religij</w:t>
        <w:softHyphen/>
        <w:t>ske psihologije Sigmunda Freuda (1856-1939) koji je u Bogu vidio očovječenje prirodnih si</w:t>
        <w:softHyphen/>
        <w:t>la. Kao što je dijete naspram svojih roditelja bespomoćno i treba njihovu dobronamjernost, analogno vrijedi i za čovjekovu ovisnost o Bo</w:t>
        <w:softHyphen/>
        <w:t>gu. B. je upravo vrhunac religioznog iluzio</w:t>
        <w:softHyphen/>
        <w:t>nizma i konačno vjera u njega potječe iz sta</w:t>
        <w:softHyphen/>
        <w:t>nja infantilne bespomoćnosti i potrebe za zaš</w:t>
        <w:softHyphen/>
        <w:t>titom. Ateizam modernog mišljenja osobito je izražen u govoru o »sjajnom čovjeku« Friedri- eha Nictschea (1844-1900). Iz njegovih riječi izbija velika samosvijest modernog čovjeka, ali istodobno i duboka užasnutost zbog poči</w:t>
        <w:softHyphen/>
        <w:t xml:space="preserve">njenog čina: umorstva Boga. Uz ove »klasike ateizma« ima još čitav niz načina na kojima se argumentira kritika religije (između ostalih zastupaju je </w:t>
      </w:r>
      <w:r>
        <w:rPr>
          <w:rFonts w:ascii="Times New Roman" w:eastAsia="Times New Roman" w:hAnsi="Times New Roman" w:cs="Times New Roman"/>
          <w:color w:val="000000"/>
          <w:spacing w:val="0"/>
          <w:w w:val="100"/>
          <w:position w:val="0"/>
          <w:shd w:val="clear" w:color="auto" w:fill="auto"/>
          <w:lang w:val="en-US" w:eastAsia="en-US" w:bidi="en-US"/>
        </w:rPr>
        <w:t>Sartre, Camus, Mitscherlich, Den</w:t>
        <w:softHyphen/>
        <w:t xml:space="preserve">se), </w:t>
      </w:r>
      <w:r>
        <w:rPr>
          <w:rFonts w:ascii="Times New Roman" w:eastAsia="Times New Roman" w:hAnsi="Times New Roman" w:cs="Times New Roman"/>
          <w:color w:val="000000"/>
          <w:spacing w:val="0"/>
          <w:w w:val="100"/>
          <w:position w:val="0"/>
          <w:shd w:val="clear" w:color="auto" w:fill="auto"/>
          <w:lang w:val="hr-HR" w:eastAsia="hr-HR" w:bidi="hr-HR"/>
        </w:rPr>
        <w:t>a s kojima se sukobila suvremena kršćan</w:t>
        <w:softHyphen/>
        <w:t>ska teologija. Prije svega, veliku je pozornost pobudila teza marksističkog filozofa Ernsta Blocha da bi samo ateisti mogli biti dobri krš</w:t>
        <w:softHyphen/>
        <w:t>ćani, a samo kršćani dobri ateisti.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XIX. stoljeću </w:t>
      </w:r>
      <w:r>
        <w:rPr>
          <w:rFonts w:ascii="Times New Roman" w:eastAsia="Times New Roman" w:hAnsi="Times New Roman" w:cs="Times New Roman"/>
          <w:color w:val="000000"/>
          <w:spacing w:val="0"/>
          <w:w w:val="100"/>
          <w:position w:val="0"/>
          <w:shd w:val="clear" w:color="auto" w:fill="auto"/>
          <w:lang w:val="en-US" w:eastAsia="en-US" w:bidi="en-US"/>
        </w:rPr>
        <w:t xml:space="preserve">Friedrich </w:t>
      </w:r>
      <w:r>
        <w:rPr>
          <w:rFonts w:ascii="Times New Roman" w:eastAsia="Times New Roman" w:hAnsi="Times New Roman" w:cs="Times New Roman"/>
          <w:color w:val="000000"/>
          <w:spacing w:val="0"/>
          <w:w w:val="100"/>
          <w:position w:val="0"/>
          <w:shd w:val="clear" w:color="auto" w:fill="auto"/>
          <w:lang w:val="hr-HR" w:eastAsia="hr-HR" w:bidi="hr-HR"/>
        </w:rPr>
        <w:t>Schleicrmacher (1768-1834) bio je taj koji je u vrijeme kada se misao o Bogu prestala razumijevati sama po sebi, otkrio vjeru kao temeljno stanje u kojem se čovjek nalazi, pa ju je time povukao pred objektivnom kritikom. U svom napisu: »O reli</w:t>
        <w:softHyphen/>
        <w:t>giji. Govor za obrazovane medu njezinim pre- ziratcljima« (1799) Schlciermachcr razlikuje religiju od metafizike i morala pa je definira kao promatranje univerzuma, kao »smisao i ukus za beskonačno« i kao »u najvećoj mjeri osjećaj ovisnosti«. Schleiermacherovo učenje o Bogu davalo je u XIX. stoljeću smjer. Nje</w:t>
        <w:softHyphen/>
        <w:t>gov je B. univerzum, jedinstvo svemira. S osobnim Bogom koji je izvan svijeta ova reli</w:t>
        <w:softHyphen/>
        <w:t>gija nema nikakve veze. Kao što Schleierma- chcr malo govori o trojstvenom Bogu u staro- crkvcnom ili rcformacijskom smislu, kod nje</w:t>
        <w:softHyphen/>
        <w:t>ga ne nalazimo povezanosti ni s tradicional</w:t>
        <w:softHyphen/>
        <w:t>nom kristologijom.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Vrhunac liberalne teologije utjelovljuje Adolf </w:t>
      </w:r>
      <w:r>
        <w:rPr>
          <w:rFonts w:ascii="Times New Roman" w:eastAsia="Times New Roman" w:hAnsi="Times New Roman" w:cs="Times New Roman"/>
          <w:color w:val="000000"/>
          <w:spacing w:val="0"/>
          <w:w w:val="100"/>
          <w:position w:val="0"/>
          <w:shd w:val="clear" w:color="auto" w:fill="auto"/>
          <w:lang w:val="en-US" w:eastAsia="en-US" w:bidi="en-US"/>
        </w:rPr>
        <w:t xml:space="preserve">von </w:t>
      </w:r>
      <w:r>
        <w:rPr>
          <w:rFonts w:ascii="Times New Roman" w:eastAsia="Times New Roman" w:hAnsi="Times New Roman" w:cs="Times New Roman"/>
          <w:color w:val="000000"/>
          <w:spacing w:val="0"/>
          <w:w w:val="100"/>
          <w:position w:val="0"/>
          <w:shd w:val="clear" w:color="auto" w:fill="auto"/>
          <w:lang w:val="hr-HR" w:eastAsia="hr-HR" w:bidi="hr-HR"/>
        </w:rPr>
        <w:t>Hamack (1851-1930) koji je u svojim jav</w:t>
        <w:softHyphen/>
        <w:t>nim berlinskim predavanjima pod naslovom »Bit kršćanstva« 1899/1900 pomakao u sre</w:t>
        <w:softHyphen/>
        <w:t>dište »Boga Oca« i formulirao rečenicu o ko</w:t>
        <w:softHyphen/>
        <w:t>joj se mnogo raspravljalo: »Ne Sin nego samo Otac pripada evanđelju kako ga je naviještao Isus« (92). Hamack odbacuje obvezatnu va</w:t>
        <w:softHyphen/>
        <w:t>ljanost ranokatoličkih vjeroispovijedanja: »Ja se ne mogu naći u ‘kristologiji’; zato ta propo</w:t>
        <w:softHyphen/>
        <w:t>vijed nije za mene« (92).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XX. stoljeću Božja je slika u evangelićkom prostoru bila osobito pod utjecajem trojice velikih teologa: Karla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 xml:space="preserve">Rudolfa Bult- manna i </w:t>
      </w:r>
      <w:r>
        <w:rPr>
          <w:rFonts w:ascii="Times New Roman" w:eastAsia="Times New Roman" w:hAnsi="Times New Roman" w:cs="Times New Roman"/>
          <w:color w:val="000000"/>
          <w:spacing w:val="0"/>
          <w:w w:val="100"/>
          <w:position w:val="0"/>
          <w:shd w:val="clear" w:color="auto" w:fill="auto"/>
          <w:lang w:val="en-US" w:eastAsia="en-US" w:bidi="en-US"/>
        </w:rPr>
        <w:t xml:space="preserve">Paula </w:t>
      </w:r>
      <w:r>
        <w:rPr>
          <w:rFonts w:ascii="Times New Roman" w:eastAsia="Times New Roman" w:hAnsi="Times New Roman" w:cs="Times New Roman"/>
          <w:color w:val="000000"/>
          <w:spacing w:val="0"/>
          <w:w w:val="100"/>
          <w:position w:val="0"/>
          <w:shd w:val="clear" w:color="auto" w:fill="auto"/>
          <w:lang w:val="hr-HR" w:eastAsia="hr-HR" w:bidi="hr-HR"/>
        </w:rPr>
        <w:t>Tillicha. Osim toga, utjecajni su bili stavovi Brauna, Pannenberga i Doro- theje Solle, na koje se tek malo možemo osvr</w:t>
        <w:softHyphen/>
        <w:t xml:space="preserve">nuti. Samo usput ukazat ćemo na razmišljanja </w:t>
      </w:r>
      <w:r>
        <w:rPr>
          <w:rFonts w:ascii="Times New Roman" w:eastAsia="Times New Roman" w:hAnsi="Times New Roman" w:cs="Times New Roman"/>
          <w:color w:val="000000"/>
          <w:spacing w:val="0"/>
          <w:w w:val="100"/>
          <w:position w:val="0"/>
          <w:shd w:val="clear" w:color="auto" w:fill="auto"/>
          <w:lang w:val="en-US" w:eastAsia="en-US" w:bidi="en-US"/>
        </w:rPr>
        <w:t xml:space="preserve">Gollwitzcra, </w:t>
      </w:r>
      <w:r>
        <w:rPr>
          <w:rFonts w:ascii="Times New Roman" w:eastAsia="Times New Roman" w:hAnsi="Times New Roman" w:cs="Times New Roman"/>
          <w:color w:val="000000"/>
          <w:spacing w:val="0"/>
          <w:w w:val="100"/>
          <w:position w:val="0"/>
          <w:shd w:val="clear" w:color="auto" w:fill="auto"/>
          <w:lang w:val="hr-HR" w:eastAsia="hr-HR" w:bidi="hr-HR"/>
        </w:rPr>
        <w:t xml:space="preserve">Moltmanna i Jiingela. Jedan od najmjerodavnijih teologa XX. stoljeća bio je </w:t>
      </w:r>
      <w:r>
        <w:rPr>
          <w:rFonts w:ascii="Times New Roman" w:eastAsia="Times New Roman" w:hAnsi="Times New Roman" w:cs="Times New Roman"/>
          <w:color w:val="000000"/>
          <w:spacing w:val="0"/>
          <w:w w:val="100"/>
          <w:position w:val="0"/>
          <w:shd w:val="clear" w:color="auto" w:fill="auto"/>
          <w:lang w:val="en-US" w:eastAsia="en-US" w:bidi="en-US"/>
        </w:rPr>
        <w:t xml:space="preserve">Karl Barth </w:t>
      </w:r>
      <w:r>
        <w:rPr>
          <w:rFonts w:ascii="Times New Roman" w:eastAsia="Times New Roman" w:hAnsi="Times New Roman" w:cs="Times New Roman"/>
          <w:color w:val="000000"/>
          <w:spacing w:val="0"/>
          <w:w w:val="100"/>
          <w:position w:val="0"/>
          <w:shd w:val="clear" w:color="auto" w:fill="auto"/>
          <w:lang w:val="hr-HR" w:eastAsia="hr-HR" w:bidi="hr-HR"/>
        </w:rPr>
        <w:t>(1886-1968) koji je utemeljio di</w:t>
        <w:softHyphen/>
        <w:t>jalektičku teologiju i pripadao njezinim voda</w:t>
        <w:softHyphen/>
        <w:t xml:space="preserve">ma uz </w:t>
      </w:r>
      <w:r>
        <w:rPr>
          <w:rFonts w:ascii="Times New Roman" w:eastAsia="Times New Roman" w:hAnsi="Times New Roman" w:cs="Times New Roman"/>
          <w:color w:val="000000"/>
          <w:spacing w:val="0"/>
          <w:w w:val="100"/>
          <w:position w:val="0"/>
          <w:shd w:val="clear" w:color="auto" w:fill="auto"/>
          <w:lang w:val="en-US" w:eastAsia="en-US" w:bidi="en-US"/>
        </w:rPr>
        <w:t xml:space="preserve">Thurneysena, </w:t>
      </w:r>
      <w:r>
        <w:rPr>
          <w:rFonts w:ascii="Times New Roman" w:eastAsia="Times New Roman" w:hAnsi="Times New Roman" w:cs="Times New Roman"/>
          <w:color w:val="000000"/>
          <w:spacing w:val="0"/>
          <w:w w:val="100"/>
          <w:position w:val="0"/>
          <w:shd w:val="clear" w:color="auto" w:fill="auto"/>
          <w:lang w:val="hr-HR" w:eastAsia="hr-HR" w:bidi="hr-HR"/>
        </w:rPr>
        <w:t>Brunnera, Bultmanna, Gogartena i ostale. U drugom potpuno pre</w:t>
        <w:softHyphen/>
        <w:t xml:space="preserve">rađenom izdanju svoga Komentara Poslanice Rimljanima (1. izd. 1918,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1922)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kor</w:t>
        <w:softHyphen/>
        <w:t>jenito raskida sa stavovima dotadašnje liberal</w:t>
        <w:softHyphen/>
        <w:t xml:space="preserve">ne teologije. Dok je bio župnik u švicarskom </w:t>
      </w:r>
      <w:r>
        <w:rPr>
          <w:rFonts w:ascii="Times New Roman" w:eastAsia="Times New Roman" w:hAnsi="Times New Roman" w:cs="Times New Roman"/>
          <w:color w:val="000000"/>
          <w:spacing w:val="0"/>
          <w:w w:val="100"/>
          <w:position w:val="0"/>
          <w:shd w:val="clear" w:color="auto" w:fill="auto"/>
          <w:lang w:val="en-US" w:eastAsia="en-US" w:bidi="en-US"/>
        </w:rPr>
        <w:t xml:space="preserve">Safenwilu, </w:t>
      </w:r>
      <w:r>
        <w:rPr>
          <w:rFonts w:ascii="Times New Roman" w:eastAsia="Times New Roman" w:hAnsi="Times New Roman" w:cs="Times New Roman"/>
          <w:color w:val="000000"/>
          <w:spacing w:val="0"/>
          <w:w w:val="100"/>
          <w:position w:val="0"/>
          <w:shd w:val="clear" w:color="auto" w:fill="auto"/>
          <w:lang w:val="hr-HR" w:eastAsia="hr-HR" w:bidi="hr-HR"/>
        </w:rPr>
        <w:t>njegovo je temeljno pitanje bilo: »Mi kao teolozi moramo govoriti o Bogu. No mi smo ljudi i kao takvi ne možemo govoriti o Bogu. Trebamo znati oboje: i to da moramo i to da ne možemo, pa upravo tako iskazati Bo</w:t>
        <w:softHyphen/>
        <w:t xml:space="preserve">gu poštovanje« </w:t>
      </w:r>
      <w:r>
        <w:rPr>
          <w:rFonts w:ascii="Times New Roman" w:eastAsia="Times New Roman" w:hAnsi="Times New Roman" w:cs="Times New Roman"/>
          <w:color w:val="000000"/>
          <w:spacing w:val="0"/>
          <w:w w:val="100"/>
          <w:position w:val="0"/>
          <w:shd w:val="clear" w:color="auto" w:fill="auto"/>
          <w:lang w:val="en-US" w:eastAsia="en-US" w:bidi="en-US"/>
        </w:rPr>
        <w:t xml:space="preserve">(Das Wort </w:t>
      </w:r>
      <w:r>
        <w:rPr>
          <w:rFonts w:ascii="Times New Roman" w:eastAsia="Times New Roman" w:hAnsi="Times New Roman" w:cs="Times New Roman"/>
          <w:color w:val="000000"/>
          <w:spacing w:val="0"/>
          <w:w w:val="100"/>
          <w:position w:val="0"/>
          <w:shd w:val="clear" w:color="auto" w:fill="auto"/>
          <w:lang w:val="hr-HR" w:eastAsia="hr-HR" w:bidi="hr-HR"/>
        </w:rPr>
        <w:t xml:space="preserve">Gottes als Aufgabc dcr Theologie.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Wort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Gottes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w:t>
      </w:r>
      <w:r>
        <w:rPr>
          <w:rFonts w:ascii="Times New Roman" w:eastAsia="Times New Roman" w:hAnsi="Times New Roman" w:cs="Times New Roman"/>
          <w:i/>
          <w:iCs/>
          <w:color w:val="000000"/>
          <w:spacing w:val="0"/>
          <w:w w:val="100"/>
          <w:position w:val="0"/>
          <w:shd w:val="clear" w:color="auto" w:fill="auto"/>
          <w:lang w:val="hr-HR" w:eastAsia="hr-HR" w:bidi="hr-HR"/>
        </w:rPr>
        <w:t>Theologie,</w:t>
      </w:r>
      <w:r>
        <w:rPr>
          <w:rFonts w:ascii="Times New Roman" w:eastAsia="Times New Roman" w:hAnsi="Times New Roman" w:cs="Times New Roman"/>
          <w:color w:val="000000"/>
          <w:spacing w:val="0"/>
          <w:w w:val="100"/>
          <w:position w:val="0"/>
          <w:shd w:val="clear" w:color="auto" w:fill="auto"/>
          <w:lang w:val="hr-HR" w:eastAsia="hr-HR" w:bidi="hr-HR"/>
        </w:rPr>
        <w:t xml:space="preserve"> Miinchen 1929, 158).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dopuš</w:t>
        <w:softHyphen/>
        <w:t xml:space="preserve">ta da opća objava više ne vrijedi. Suvereni B. </w:t>
      </w:r>
      <w:r>
        <w:rPr>
          <w:rFonts w:ascii="Times New Roman" w:eastAsia="Times New Roman" w:hAnsi="Times New Roman" w:cs="Times New Roman"/>
          <w:i/>
          <w:iCs/>
          <w:color w:val="000000"/>
          <w:spacing w:val="0"/>
          <w:w w:val="100"/>
          <w:position w:val="0"/>
          <w:shd w:val="clear" w:color="auto" w:fill="auto"/>
          <w:lang w:val="hr-HR" w:eastAsia="hr-HR" w:bidi="hr-HR"/>
        </w:rPr>
        <w:t>ne može</w:t>
      </w:r>
      <w:r>
        <w:rPr>
          <w:rFonts w:ascii="Times New Roman" w:eastAsia="Times New Roman" w:hAnsi="Times New Roman" w:cs="Times New Roman"/>
          <w:color w:val="000000"/>
          <w:spacing w:val="0"/>
          <w:w w:val="100"/>
          <w:position w:val="0"/>
          <w:shd w:val="clear" w:color="auto" w:fill="auto"/>
          <w:lang w:val="hr-HR" w:eastAsia="hr-HR" w:bidi="hr-HR"/>
        </w:rPr>
        <w:t xml:space="preserve"> se spoznati iz stvorenoga svijeta. Ta</w:t>
        <w:softHyphen/>
        <w:t>ko je istodobno izrečena presuda nad religi</w:t>
        <w:softHyphen/>
        <w:t>jama: Ostavljajući postrance vlastitu religiju, on podvrgava religijskoj kritici ukupnu izvan- kršćansku povijest religija. Religije navodno ne govore o Bogu, čak ni na nepotpun način, nego o ljudima s njihovim projekcijama želja i strahova. Oni ne štuju Boga nego »idole«. Barthova misao polazi od načela da čovjek, polazeći od sebe, ne može ništa ni znati ni izreći o Bogu. Govori li nešto, kao što to do</w:t>
        <w:softHyphen/>
        <w:t>kumentira povijest religija, tada govori o iz</w:t>
        <w:softHyphen/>
        <w:t>mišljenoj tvorbi, dakle o idolu. Na vrhu nje</w:t>
        <w:softHyphen/>
        <w:t>gove dogmatike stoji učenje o Trojstvu »koje temeljno obilježava kršćansko učenje kao krš</w:t>
        <w:softHyphen/>
      </w:r>
      <w:r>
        <w:rPr>
          <w:rFonts w:ascii="Times New Roman" w:eastAsia="Times New Roman" w:hAnsi="Times New Roman" w:cs="Times New Roman"/>
          <w:color w:val="000000"/>
          <w:spacing w:val="0"/>
          <w:w w:val="100"/>
          <w:position w:val="0"/>
          <w:shd w:val="clear" w:color="auto" w:fill="auto"/>
          <w:lang w:val="hr-HR" w:eastAsia="hr-HR" w:bidi="hr-HR"/>
        </w:rPr>
        <w:t>ćansko ... No tri tzv. »osobe« u Bogu »nisu ni u kojem slučaju trojica bogova ... Ime Oca, Sina i Duha kazuje da je B. u trokratnom po</w:t>
        <w:softHyphen/>
        <w:t>navljanju jedan B. i to tako da je to samo ponavljanje utemeljeno u njegovu božanstvu«. B. stoji »u beskrajnoj kvalitativnoj razlici nas</w:t>
        <w:softHyphen/>
        <w:t xml:space="preserve">pram čovjeka i svega što je ljudsko.« Prema tomu, on »baš nikada nije neka veličina medu ostalima u sredini koja je nama poznata, nego B. je Gospodar, Stvoritelj i Otkupitelj - to je živi B.« O Bogu se samo zato može nešto reći jer je taj »sasvim drugi« B. sam sebe objavio: B. je govorio i to isključivo i samo u Isusu Kristu.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stječe tu izvjesnost iz crkvenog vjeroispovijedanja i iz svjedočanstva Biblije. U Kristu se premostio beskrajni kvalitativni raz</w:t>
        <w:softHyphen/>
        <w:t>mak između Boga u visini i čovjeka na zemlji Božjim zahvatom »okomito odozgo«. Dok ra</w:t>
        <w:softHyphen/>
        <w:t xml:space="preserve">ni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 xml:space="preserve">naglašava suverenitet Boga koji upravlja i smatra da ljudi zbog svojih grešnih djela moraju doći pred Božji sud i da Kristov križ također objavljuje da je sve zemaljsko i ljudsko zaslužilo smrt, kasniji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jače pod</w:t>
        <w:softHyphen/>
        <w:t>crtava suverenitet milosrdnoga Boga. Na te</w:t>
        <w:softHyphen/>
        <w:t>melju svoje vječne odluke B. je milosrdan pre</w:t>
        <w:softHyphen/>
        <w:t>ma ljudima. Izabirući čovjeka, B. je sam sebe stavio u opasnost. On - na križu - prihvaća na sebe odbacivanje koje je bilo zapravo određe</w:t>
        <w:softHyphen/>
        <w:t>no za čovjeka.</w:t>
      </w:r>
    </w:p>
    <w:p>
      <w:pPr>
        <w:pStyle w:val="Style20"/>
        <w:keepNext w:val="0"/>
        <w:keepLines w:val="0"/>
        <w:widowControl w:val="0"/>
        <w:shd w:val="clear" w:color="auto" w:fill="auto"/>
        <w:bidi w:val="0"/>
        <w:spacing w:before="0" w:after="0"/>
        <w:ind w:left="0" w:right="0" w:firstLine="0"/>
        <w:jc w:val="both"/>
        <w:sectPr>
          <w:headerReference w:type="default" r:id="rId197"/>
          <w:footerReference w:type="default" r:id="rId198"/>
          <w:headerReference w:type="even" r:id="rId199"/>
          <w:footerReference w:type="even" r:id="rId200"/>
          <w:footnotePr>
            <w:pos w:val="pageBottom"/>
            <w:numFmt w:val="decimal"/>
            <w:numStart w:val="5"/>
            <w:numRestart w:val="continuous"/>
            <w15:footnoteColumns w:val="1"/>
          </w:footnotePr>
          <w:pgSz w:w="6816" w:h="11006"/>
          <w:pgMar w:top="954" w:left="178" w:right="182" w:bottom="525" w:header="0" w:footer="3" w:gutter="0"/>
          <w:pgNumType w:start="7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Pod utjecajem egzistencijalno-ontološkc Hei- deggerove filozofije teolog </w:t>
      </w:r>
      <w:r>
        <w:rPr>
          <w:rFonts w:ascii="Times New Roman" w:eastAsia="Times New Roman" w:hAnsi="Times New Roman" w:cs="Times New Roman"/>
          <w:color w:val="000000"/>
          <w:spacing w:val="0"/>
          <w:w w:val="100"/>
          <w:position w:val="0"/>
          <w:shd w:val="clear" w:color="auto" w:fill="auto"/>
          <w:lang w:val="en-US" w:eastAsia="en-US" w:bidi="en-US"/>
        </w:rPr>
        <w:t xml:space="preserve">Rudolf </w:t>
      </w:r>
      <w:r>
        <w:rPr>
          <w:rFonts w:ascii="Times New Roman" w:eastAsia="Times New Roman" w:hAnsi="Times New Roman" w:cs="Times New Roman"/>
          <w:color w:val="000000"/>
          <w:spacing w:val="0"/>
          <w:w w:val="100"/>
          <w:position w:val="0"/>
          <w:shd w:val="clear" w:color="auto" w:fill="auto"/>
          <w:lang w:val="hr-HR" w:eastAsia="hr-HR" w:bidi="hr-HR"/>
        </w:rPr>
        <w:t>Bultmann (1884-1976), koji je bio stručnjak za Novi za</w:t>
        <w:softHyphen/>
        <w:t>vjet i koji je najprije pripadao krugu dijalek</w:t>
        <w:softHyphen/>
        <w:t>tičkih teologa, razvio je utjecajnu sliku Boga koja Boga nije promatrala kao objekt mišlje</w:t>
        <w:softHyphen/>
        <w:t>nja. Bultmann drži nemogućim neutralan go</w:t>
        <w:softHyphen/>
        <w:t xml:space="preserve">vor </w:t>
      </w:r>
      <w:r>
        <w:rPr>
          <w:rFonts w:ascii="Times New Roman" w:eastAsia="Times New Roman" w:hAnsi="Times New Roman" w:cs="Times New Roman"/>
          <w:i/>
          <w:iCs/>
          <w:color w:val="000000"/>
          <w:spacing w:val="0"/>
          <w:w w:val="100"/>
          <w:position w:val="0"/>
          <w:shd w:val="clear" w:color="auto" w:fill="auto"/>
          <w:lang w:val="hr-HR" w:eastAsia="hr-HR" w:bidi="hr-HR"/>
        </w:rPr>
        <w:t>o</w:t>
      </w:r>
      <w:r>
        <w:rPr>
          <w:rFonts w:ascii="Times New Roman" w:eastAsia="Times New Roman" w:hAnsi="Times New Roman" w:cs="Times New Roman"/>
          <w:color w:val="000000"/>
          <w:spacing w:val="0"/>
          <w:w w:val="100"/>
          <w:position w:val="0"/>
          <w:shd w:val="clear" w:color="auto" w:fill="auto"/>
          <w:lang w:val="hr-HR" w:eastAsia="hr-HR" w:bidi="hr-HR"/>
        </w:rPr>
        <w:t xml:space="preserve"> Bogu. Prcostaje samo mogućnost govo</w:t>
        <w:softHyphen/>
        <w:t xml:space="preserve">riti </w:t>
      </w:r>
      <w:r>
        <w:rPr>
          <w:rFonts w:ascii="Times New Roman" w:eastAsia="Times New Roman" w:hAnsi="Times New Roman" w:cs="Times New Roman"/>
          <w:i/>
          <w:iCs/>
          <w:color w:val="000000"/>
          <w:spacing w:val="0"/>
          <w:w w:val="100"/>
          <w:position w:val="0"/>
          <w:shd w:val="clear" w:color="auto" w:fill="auto"/>
          <w:lang w:val="hr-HR" w:eastAsia="hr-HR" w:bidi="hr-HR"/>
        </w:rPr>
        <w:t>od</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iz</w:t>
      </w:r>
      <w:r>
        <w:rPr>
          <w:rFonts w:ascii="Times New Roman" w:eastAsia="Times New Roman" w:hAnsi="Times New Roman" w:cs="Times New Roman"/>
          <w:color w:val="000000"/>
          <w:spacing w:val="0"/>
          <w:w w:val="100"/>
          <w:position w:val="0"/>
          <w:shd w:val="clear" w:color="auto" w:fill="auto"/>
          <w:lang w:val="hr-HR" w:eastAsia="hr-HR" w:bidi="hr-HR"/>
        </w:rPr>
        <w:t xml:space="preserve"> Boga. »Hoćemo li govoriti o Bogu, tada očigledno moramo govoriti </w:t>
      </w:r>
      <w:r>
        <w:rPr>
          <w:rFonts w:ascii="Times New Roman" w:eastAsia="Times New Roman" w:hAnsi="Times New Roman" w:cs="Times New Roman"/>
          <w:i/>
          <w:iCs/>
          <w:color w:val="000000"/>
          <w:spacing w:val="0"/>
          <w:w w:val="100"/>
          <w:position w:val="0"/>
          <w:shd w:val="clear" w:color="auto" w:fill="auto"/>
          <w:lang w:val="hr-HR" w:eastAsia="hr-HR" w:bidi="hr-HR"/>
        </w:rPr>
        <w:t>o sebi sami</w:t>
        <w:softHyphen/>
        <w:t>ma.«</w:t>
      </w:r>
      <w:r>
        <w:rPr>
          <w:rFonts w:ascii="Times New Roman" w:eastAsia="Times New Roman" w:hAnsi="Times New Roman" w:cs="Times New Roman"/>
          <w:color w:val="000000"/>
          <w:spacing w:val="0"/>
          <w:w w:val="100"/>
          <w:position w:val="0"/>
          <w:shd w:val="clear" w:color="auto" w:fill="auto"/>
          <w:lang w:val="hr-HR" w:eastAsia="hr-HR" w:bidi="hr-HR"/>
        </w:rPr>
        <w:t xml:space="preserve"> Primjeren govor o Bogu ima uvijek ka</w:t>
        <w:softHyphen/>
        <w:t>rakter vjeroispovijedanja. Biblijske iskaze o Bo</w:t>
        <w:softHyphen/>
        <w:t xml:space="preserve">gu, koji idu za objektivacijom, Bultmann je »demitologizirao« tj. egzistencijalno izložio u iskazima o </w:t>
      </w:r>
      <w:r>
        <w:rPr>
          <w:rFonts w:ascii="Times New Roman" w:eastAsia="Times New Roman" w:hAnsi="Times New Roman" w:cs="Times New Roman"/>
          <w:i/>
          <w:iCs/>
          <w:color w:val="000000"/>
          <w:spacing w:val="0"/>
          <w:w w:val="100"/>
          <w:position w:val="0"/>
          <w:shd w:val="clear" w:color="auto" w:fill="auto"/>
          <w:lang w:val="hr-HR" w:eastAsia="hr-HR" w:bidi="hr-HR"/>
        </w:rPr>
        <w:t>ljudskoj</w:t>
      </w:r>
      <w:r>
        <w:rPr>
          <w:rFonts w:ascii="Times New Roman" w:eastAsia="Times New Roman" w:hAnsi="Times New Roman" w:cs="Times New Roman"/>
          <w:color w:val="000000"/>
          <w:spacing w:val="0"/>
          <w:w w:val="100"/>
          <w:position w:val="0"/>
          <w:shd w:val="clear" w:color="auto" w:fill="auto"/>
          <w:lang w:val="hr-HR" w:eastAsia="hr-HR" w:bidi="hr-HR"/>
        </w:rPr>
        <w:t xml:space="preserve"> egzistenciji koji u njemu dolaze do izražaja. B. ne djeluje činima koji dolaze u svijet izvana nego u svojoj kerigmi, tj. u svojoj riječi kroz koju se čovjeku koji vjeruje otvara novo razumijevanje samoga sebe. Bult- mannov učenik i teolog koji se posebno bavio Novim zavjetom </w:t>
      </w:r>
      <w:r>
        <w:rPr>
          <w:rFonts w:ascii="Times New Roman" w:eastAsia="Times New Roman" w:hAnsi="Times New Roman" w:cs="Times New Roman"/>
          <w:color w:val="000000"/>
          <w:spacing w:val="0"/>
          <w:w w:val="100"/>
          <w:position w:val="0"/>
          <w:shd w:val="clear" w:color="auto" w:fill="auto"/>
          <w:lang w:val="en-US" w:eastAsia="en-US" w:bidi="en-US"/>
        </w:rPr>
        <w:t xml:space="preserve">Herbert Braun (rod. </w:t>
      </w:r>
      <w:r>
        <w:rPr>
          <w:rFonts w:ascii="Times New Roman" w:eastAsia="Times New Roman" w:hAnsi="Times New Roman" w:cs="Times New Roman"/>
          <w:color w:val="000000"/>
          <w:spacing w:val="0"/>
          <w:w w:val="100"/>
          <w:position w:val="0"/>
          <w:shd w:val="clear" w:color="auto" w:fill="auto"/>
          <w:lang w:val="hr-HR" w:eastAsia="hr-HR" w:bidi="hr-HR"/>
        </w:rPr>
        <w:t xml:space="preserve">1903) htio je dosljedno privesti kraju program demi- tologiziranja svog učitelja. Za Brauna se stvar-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no </w:t>
      </w:r>
      <w:r>
        <w:rPr>
          <w:rFonts w:ascii="Times New Roman" w:eastAsia="Times New Roman" w:hAnsi="Times New Roman" w:cs="Times New Roman"/>
          <w:color w:val="000000"/>
          <w:spacing w:val="0"/>
          <w:w w:val="100"/>
          <w:position w:val="0"/>
          <w:shd w:val="clear" w:color="auto" w:fill="auto"/>
          <w:lang w:val="hr-HR" w:eastAsia="hr-HR" w:bidi="hr-HR"/>
        </w:rPr>
        <w:t xml:space="preserve">postojeći </w:t>
      </w:r>
      <w:r>
        <w:rPr>
          <w:rFonts w:ascii="Times New Roman" w:eastAsia="Times New Roman" w:hAnsi="Times New Roman" w:cs="Times New Roman"/>
          <w:color w:val="000000"/>
          <w:spacing w:val="0"/>
          <w:w w:val="100"/>
          <w:position w:val="0"/>
          <w:shd w:val="clear" w:color="auto" w:fill="auto"/>
          <w:lang w:val="en-US" w:eastAsia="en-US" w:bidi="en-US"/>
        </w:rPr>
        <w:t xml:space="preserve">B. </w:t>
      </w:r>
      <w:r>
        <w:rPr>
          <w:rFonts w:ascii="Times New Roman" w:eastAsia="Times New Roman" w:hAnsi="Times New Roman" w:cs="Times New Roman"/>
          <w:color w:val="000000"/>
          <w:spacing w:val="0"/>
          <w:w w:val="100"/>
          <w:position w:val="0"/>
          <w:shd w:val="clear" w:color="auto" w:fill="auto"/>
          <w:lang w:val="hr-HR" w:eastAsia="hr-HR" w:bidi="hr-HR"/>
        </w:rPr>
        <w:t>ne može više izvesti. B. je šifra za »zbivanje« i to za »određenu vrstu čovječ</w:t>
        <w:softHyphen/>
        <w:t xml:space="preserve">nosti prema bližnjemu«. Za </w:t>
      </w:r>
      <w:r>
        <w:rPr>
          <w:rFonts w:ascii="Times New Roman" w:eastAsia="Times New Roman" w:hAnsi="Times New Roman" w:cs="Times New Roman"/>
          <w:color w:val="000000"/>
          <w:spacing w:val="0"/>
          <w:w w:val="100"/>
          <w:position w:val="0"/>
          <w:shd w:val="clear" w:color="auto" w:fill="auto"/>
          <w:lang w:val="en-US" w:eastAsia="en-US" w:bidi="en-US"/>
        </w:rPr>
        <w:t xml:space="preserve">Wolfharta </w:t>
      </w:r>
      <w:r>
        <w:rPr>
          <w:rFonts w:ascii="Times New Roman" w:eastAsia="Times New Roman" w:hAnsi="Times New Roman" w:cs="Times New Roman"/>
          <w:color w:val="000000"/>
          <w:spacing w:val="0"/>
          <w:w w:val="100"/>
          <w:position w:val="0"/>
          <w:shd w:val="clear" w:color="auto" w:fill="auto"/>
          <w:lang w:val="hr-HR" w:eastAsia="hr-HR" w:bidi="hr-HR"/>
        </w:rPr>
        <w:t>Pan- nenberga (rođ. 1928) koji jače ističe stvarnu povijesnost Božje objave, B. je »snaga buduć</w:t>
        <w:softHyphen/>
        <w:t>nosti« i time istodobno »izvor slobode«. Shva</w:t>
        <w:softHyphen/>
        <w:t>ćanje Boga germanistice i teologinje Dorothe- je Sdlle (rođ. 1929) ostavilo je trajan dojam na mnoge protestantske kršćane. Poput Bult- manna i Brauna ona je zastupala dosljedno antropološko polazište, ali čovjeka vidi više kao društveno i političko biće. Za nju je teis- tički B. koji je ljudima potpuno nadmoćan i koji izvana djeluje na svijet mrtav. Umjesto njega čovjek susreće posrednog Boga, Božjeg predstavnika. To s jedne strane može biti bližnji, ali na primjeran je način to Isus Krist. On nije nadomjestio Boga niti ga učinio su</w:t>
        <w:softHyphen/>
        <w:t>višnim, nego ga zastupa i tako predstavlja za čovjeka jedini mogući način da ga susretne. B. se može iskusiti kao solidarnost i ljubav.</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»Teologiju nade«, koju je propagirao Jiirgen </w:t>
      </w:r>
      <w:r>
        <w:rPr>
          <w:rFonts w:ascii="Times New Roman" w:eastAsia="Times New Roman" w:hAnsi="Times New Roman" w:cs="Times New Roman"/>
          <w:color w:val="000000"/>
          <w:spacing w:val="0"/>
          <w:w w:val="100"/>
          <w:position w:val="0"/>
          <w:shd w:val="clear" w:color="auto" w:fill="auto"/>
          <w:lang w:val="en-US" w:eastAsia="en-US" w:bidi="en-US"/>
        </w:rPr>
        <w:t xml:space="preserve">Moltmann </w:t>
      </w:r>
      <w:r>
        <w:rPr>
          <w:rFonts w:ascii="Times New Roman" w:eastAsia="Times New Roman" w:hAnsi="Times New Roman" w:cs="Times New Roman"/>
          <w:color w:val="000000"/>
          <w:spacing w:val="0"/>
          <w:w w:val="100"/>
          <w:position w:val="0"/>
          <w:shd w:val="clear" w:color="auto" w:fill="auto"/>
          <w:lang w:val="hr-HR" w:eastAsia="hr-HR" w:bidi="hr-HR"/>
        </w:rPr>
        <w:t>(rođ. 1926) i koja je također na ka</w:t>
        <w:softHyphen/>
        <w:t xml:space="preserve">toličkom području našla sljedbenike (prije svega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B. Metz), kritizirao je </w:t>
      </w:r>
      <w:r>
        <w:rPr>
          <w:rFonts w:ascii="Times New Roman" w:eastAsia="Times New Roman" w:hAnsi="Times New Roman" w:cs="Times New Roman"/>
          <w:color w:val="000000"/>
          <w:spacing w:val="0"/>
          <w:w w:val="100"/>
          <w:position w:val="0"/>
          <w:shd w:val="clear" w:color="auto" w:fill="auto"/>
          <w:lang w:val="en-US" w:eastAsia="en-US" w:bidi="en-US"/>
        </w:rPr>
        <w:t xml:space="preserve">Ulrich Mann </w:t>
      </w:r>
      <w:r>
        <w:rPr>
          <w:rFonts w:ascii="Times New Roman" w:eastAsia="Times New Roman" w:hAnsi="Times New Roman" w:cs="Times New Roman"/>
          <w:color w:val="000000"/>
          <w:spacing w:val="0"/>
          <w:w w:val="100"/>
          <w:position w:val="0"/>
          <w:shd w:val="clear" w:color="auto" w:fill="auto"/>
          <w:lang w:val="hr-HR" w:eastAsia="hr-HR" w:bidi="hr-HR"/>
        </w:rPr>
        <w:t xml:space="preserve">poglavito stoga što ona uvijek vidi Boga samo »ispred«, »u budućnosti« i pritom zanemaruje »izvor«, »cjelinu« (pozivajući se na C. G. Jun- ga). Za </w:t>
      </w:r>
      <w:r>
        <w:rPr>
          <w:rFonts w:ascii="Times New Roman" w:eastAsia="Times New Roman" w:hAnsi="Times New Roman" w:cs="Times New Roman"/>
          <w:color w:val="000000"/>
          <w:spacing w:val="0"/>
          <w:w w:val="100"/>
          <w:position w:val="0"/>
          <w:shd w:val="clear" w:color="auto" w:fill="auto"/>
          <w:lang w:val="en-US" w:eastAsia="en-US" w:bidi="en-US"/>
        </w:rPr>
        <w:t xml:space="preserve">Paula </w:t>
      </w:r>
      <w:r>
        <w:rPr>
          <w:rFonts w:ascii="Times New Roman" w:eastAsia="Times New Roman" w:hAnsi="Times New Roman" w:cs="Times New Roman"/>
          <w:color w:val="000000"/>
          <w:spacing w:val="0"/>
          <w:w w:val="100"/>
          <w:position w:val="0"/>
          <w:shd w:val="clear" w:color="auto" w:fill="auto"/>
          <w:lang w:val="hr-HR" w:eastAsia="hr-HR" w:bidi="hr-HR"/>
        </w:rPr>
        <w:t xml:space="preserve">Tillicha (1986-1965) B. je ono »što nas se bezuvjetno tiče« </w:t>
      </w:r>
      <w:r>
        <w:rPr>
          <w:rFonts w:ascii="Times New Roman" w:eastAsia="Times New Roman" w:hAnsi="Times New Roman" w:cs="Times New Roman"/>
          <w:i/>
          <w:iCs/>
          <w:color w:val="000000"/>
          <w:spacing w:val="0"/>
          <w:w w:val="100"/>
          <w:position w:val="0"/>
          <w:shd w:val="clear" w:color="auto" w:fill="auto"/>
          <w:lang w:val="en-US" w:eastAsia="en-US" w:bidi="en-US"/>
        </w:rPr>
        <w:t xml:space="preserve">(Systematische </w:t>
      </w:r>
      <w:r>
        <w:rPr>
          <w:rFonts w:ascii="Times New Roman" w:eastAsia="Times New Roman" w:hAnsi="Times New Roman" w:cs="Times New Roman"/>
          <w:i/>
          <w:iCs/>
          <w:color w:val="000000"/>
          <w:spacing w:val="0"/>
          <w:w w:val="100"/>
          <w:position w:val="0"/>
          <w:shd w:val="clear" w:color="auto" w:fill="auto"/>
          <w:lang w:val="hr-HR" w:eastAsia="hr-HR" w:bidi="hr-HR"/>
        </w:rPr>
        <w:t>Theologie</w:t>
      </w:r>
      <w:r>
        <w:rPr>
          <w:rFonts w:ascii="Times New Roman" w:eastAsia="Times New Roman" w:hAnsi="Times New Roman" w:cs="Times New Roman"/>
          <w:color w:val="000000"/>
          <w:spacing w:val="0"/>
          <w:w w:val="100"/>
          <w:position w:val="0"/>
          <w:shd w:val="clear" w:color="auto" w:fill="auto"/>
          <w:lang w:val="hr-HR" w:eastAsia="hr-HR" w:bidi="hr-HR"/>
        </w:rPr>
        <w:t xml:space="preserve"> 1,247). Da bi okarakterizirao Boga,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primjenjuje pojam svetoga u smislu Rudolfa Otta. »Učenje o Bogu koje ne sadrži kategoriju svetosti nije samo nesveto nego i neistinito ... Sveto je odlika onoga što se čo</w:t>
        <w:softHyphen/>
        <w:t xml:space="preserve">vjeka bezuvjetno tiče« (1,251).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karak</w:t>
        <w:softHyphen/>
        <w:t xml:space="preserve">terizira Boga u ontološkoj pojmovnosti kao »sam bitak«, »temelj bitka«, odnosno kao »moć bitka« (1,273). B. se ne treba shvaćati kao »najviše biće« koje je podređeno bitku ili koje stoji kao onostrano od svega postojećeg, izvan bitka.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zamjenjuje tradicionalan simbol visine (nebo) dubinom: Bog je »dubina bitka«. »Pristup Bogu mora se izboriti tako da se prepoznaju strukturni elementi samoga bit</w:t>
        <w:softHyphen/>
        <w:t xml:space="preserve">ka. Ovi ga elementi čine živim Bogom, Bogom koji se može konkretno ticati čovjeka« (1,276). Na ovome mjestu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 xml:space="preserve">umeće </w:t>
      </w:r>
      <w:r>
        <w:rPr>
          <w:rFonts w:ascii="Times New Roman" w:eastAsia="Times New Roman" w:hAnsi="Times New Roman" w:cs="Times New Roman"/>
          <w:i/>
          <w:iCs/>
          <w:color w:val="000000"/>
          <w:spacing w:val="0"/>
          <w:w w:val="100"/>
          <w:position w:val="0"/>
          <w:shd w:val="clear" w:color="auto" w:fill="auto"/>
          <w:lang w:val="hr-HR" w:eastAsia="hr-HR" w:bidi="hr-HR"/>
        </w:rPr>
        <w:t>teoriju sim</w:t>
        <w:softHyphen/>
        <w:t>bola.</w:t>
      </w:r>
      <w:r>
        <w:rPr>
          <w:rFonts w:ascii="Times New Roman" w:eastAsia="Times New Roman" w:hAnsi="Times New Roman" w:cs="Times New Roman"/>
          <w:color w:val="000000"/>
          <w:spacing w:val="0"/>
          <w:w w:val="100"/>
          <w:position w:val="0"/>
          <w:shd w:val="clear" w:color="auto" w:fill="auto"/>
          <w:lang w:val="hr-HR" w:eastAsia="hr-HR" w:bidi="hr-HR"/>
        </w:rPr>
        <w:t xml:space="preserve"> Svi iskazi o Bogu sve do onoga da je B. »sam bitak« nužno su simbolični. </w:t>
      </w:r>
      <w:r>
        <w:rPr>
          <w:rFonts w:ascii="Times New Roman" w:eastAsia="Times New Roman" w:hAnsi="Times New Roman" w:cs="Times New Roman"/>
          <w:i/>
          <w:iCs/>
          <w:color w:val="000000"/>
          <w:spacing w:val="0"/>
          <w:w w:val="100"/>
          <w:position w:val="0"/>
          <w:shd w:val="clear" w:color="auto" w:fill="auto"/>
          <w:lang w:val="hr-HR" w:eastAsia="hr-HR" w:bidi="hr-HR"/>
        </w:rPr>
        <w:t>Simbole</w:t>
      </w:r>
      <w:r>
        <w:rPr>
          <w:rFonts w:ascii="Times New Roman" w:eastAsia="Times New Roman" w:hAnsi="Times New Roman" w:cs="Times New Roman"/>
          <w:color w:val="000000"/>
          <w:spacing w:val="0"/>
          <w:w w:val="100"/>
          <w:position w:val="0"/>
          <w:shd w:val="clear" w:color="auto" w:fill="auto"/>
          <w:lang w:val="hr-HR" w:eastAsia="hr-HR" w:bidi="hr-HR"/>
        </w:rPr>
        <w:t xml:space="preserve"> ka</w:t>
        <w:softHyphen/>
        <w:t xml:space="preserve">rakterizira to da oni sudjeluju (participiraju) u stvarnosti onoga što simboliziraju - za razliku </w:t>
      </w:r>
      <w:r>
        <w:rPr>
          <w:rFonts w:ascii="Times New Roman" w:eastAsia="Times New Roman" w:hAnsi="Times New Roman" w:cs="Times New Roman"/>
          <w:color w:val="000000"/>
          <w:spacing w:val="0"/>
          <w:w w:val="100"/>
          <w:position w:val="0"/>
          <w:shd w:val="clear" w:color="auto" w:fill="auto"/>
          <w:lang w:val="hr-HR" w:eastAsia="hr-HR" w:bidi="hr-HR"/>
        </w:rPr>
        <w:t xml:space="preserve">od </w:t>
      </w:r>
      <w:r>
        <w:rPr>
          <w:rFonts w:ascii="Times New Roman" w:eastAsia="Times New Roman" w:hAnsi="Times New Roman" w:cs="Times New Roman"/>
          <w:i/>
          <w:iCs/>
          <w:color w:val="000000"/>
          <w:spacing w:val="0"/>
          <w:w w:val="100"/>
          <w:position w:val="0"/>
          <w:shd w:val="clear" w:color="auto" w:fill="auto"/>
          <w:lang w:val="hr-HR" w:eastAsia="hr-HR" w:bidi="hr-HR"/>
        </w:rPr>
        <w:t>znakova</w:t>
      </w:r>
      <w:r>
        <w:rPr>
          <w:rFonts w:ascii="Times New Roman" w:eastAsia="Times New Roman" w:hAnsi="Times New Roman" w:cs="Times New Roman"/>
          <w:color w:val="000000"/>
          <w:spacing w:val="0"/>
          <w:w w:val="100"/>
          <w:position w:val="0"/>
          <w:shd w:val="clear" w:color="auto" w:fill="auto"/>
          <w:lang w:val="hr-HR" w:eastAsia="hr-HR" w:bidi="hr-HR"/>
        </w:rPr>
        <w:t xml:space="preserve"> koji su samovoljni.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poseže za tradicionalnim iskazima o Bogu (npr. B. kao »živi«, »stvarajući«) i tumači ih simbolički da bi ih učinio prihvatljivima današnjem in</w:t>
        <w:softHyphen/>
        <w:t>telektualnom, postreligioznom čovjeku. Una</w:t>
        <w:softHyphen/>
        <w:t xml:space="preserve">toč primjeni modernog rječnika,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 xml:space="preserve">je sasvim ukorijenjen u staroj dogmatici (usp. </w:t>
      </w:r>
      <w:r>
        <w:rPr>
          <w:rFonts w:ascii="Times New Roman" w:eastAsia="Times New Roman" w:hAnsi="Times New Roman" w:cs="Times New Roman"/>
          <w:color w:val="000000"/>
          <w:spacing w:val="0"/>
          <w:w w:val="100"/>
          <w:position w:val="0"/>
          <w:shd w:val="clear" w:color="auto" w:fill="auto"/>
          <w:lang w:val="en-US" w:eastAsia="en-US" w:bidi="en-US"/>
        </w:rPr>
        <w:t xml:space="preserve">Christofer Frey, </w:t>
      </w:r>
      <w:r>
        <w:rPr>
          <w:rFonts w:ascii="Times New Roman" w:eastAsia="Times New Roman" w:hAnsi="Times New Roman" w:cs="Times New Roman"/>
          <w:i/>
          <w:iCs/>
          <w:color w:val="000000"/>
          <w:spacing w:val="0"/>
          <w:w w:val="100"/>
          <w:position w:val="0"/>
          <w:shd w:val="clear" w:color="auto" w:fill="auto"/>
          <w:lang w:val="hr-HR" w:eastAsia="hr-HR" w:bidi="hr-HR"/>
        </w:rPr>
        <w:t xml:space="preserve">Dogmatik [= Studien-bucher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Theologie. Systematische </w:t>
      </w:r>
      <w:r>
        <w:rPr>
          <w:rFonts w:ascii="Times New Roman" w:eastAsia="Times New Roman" w:hAnsi="Times New Roman" w:cs="Times New Roman"/>
          <w:i/>
          <w:iCs/>
          <w:color w:val="000000"/>
          <w:spacing w:val="0"/>
          <w:w w:val="100"/>
          <w:position w:val="0"/>
          <w:shd w:val="clear" w:color="auto" w:fill="auto"/>
          <w:lang w:val="hr-HR" w:eastAsia="hr-HR" w:bidi="hr-HR"/>
        </w:rPr>
        <w:t>Theologie],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Gutersloh </w:t>
      </w:r>
      <w:r>
        <w:rPr>
          <w:rFonts w:ascii="Times New Roman" w:eastAsia="Times New Roman" w:hAnsi="Times New Roman" w:cs="Times New Roman"/>
          <w:color w:val="000000"/>
          <w:spacing w:val="0"/>
          <w:w w:val="100"/>
          <w:position w:val="0"/>
          <w:shd w:val="clear" w:color="auto" w:fill="auto"/>
          <w:lang w:val="hr-HR" w:eastAsia="hr-HR" w:bidi="hr-HR"/>
        </w:rPr>
        <w:t xml:space="preserve">1977, 119).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između ostalog opisuje Bo</w:t>
        <w:softHyphen/>
        <w:t>ga kao živoga: »Od svih simbola Bogu su naj</w:t>
        <w:softHyphen/>
        <w:t>primjereniji antropomorfni. Samo po njima on može biti za čovjeka živi B.« (1,280). Pi</w:t>
        <w:softHyphen/>
        <w:t>tanje o Božjoj osobnosti razvija se s ciljem da se Bog ne shvati u uobičajenom teističkom smislu kao onaj koji »vlada nad čovjekom i svijetom« (1,283). »To znači da je B. temelj svega osobnoga i u sebi nosi ontološku moć osobnoga. On nije osoba, ali on također nije ni manje od osobe« (1,283). B. kao »stvara</w:t>
        <w:softHyphen/>
        <w:t>jući« ne znači jednokratnost nekog događaja koji se bilo kada dogodio nego »temeljni iskaz o odnosu između Boga i svijeta« (1,291). Nas</w:t>
        <w:softHyphen/>
        <w:t>pram tendencija da se uspostavi prisno-nez- grapan odnos s Bogom (danas omiljeno: B. kao »partner«) s Tillichom treba podcrtati »Božju nepristupačnost i nemogućnost da se u pravom smislu ima neki odnos prema nje</w:t>
        <w:softHyphen/>
        <w:t>mu« (1,312). »Uvreda je za božansku svetost gledati na Boga kao na partnera u zajednič</w:t>
        <w:softHyphen/>
        <w:t xml:space="preserve">kom poslu ili kao na višu silu na koju se utječe obredima i molitvama« (1,312).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nagla</w:t>
        <w:softHyphen/>
        <w:t>šava Božje veličanstvo i slavu da bi ispravio sentimentalne Božje slike. Na kraju se Tilli- ehovi iskazi o Bogu svode na dva područja simbola: »B. kao Gospodin i Otac« (1,329). Pa ipak, ne smije se suviše naglašavati jedan od ovih dvaju elemenata nauštrb drugoga. Od Gospodina tada lako nastaje despotski vladar »koji svojim podanicima postavlja zakone i zahtijeva heteronomnu poslušnost kao što je slijepo pokoravanje njegovim zapovijedima (1,329). Ili se B. sentimentalizira kao »ljubazni Otac« koji ljudima ispunjava njihove želje i oprašta svima koji žele oproštenje« (1,330).</w:t>
      </w:r>
    </w:p>
    <w:p>
      <w:pPr>
        <w:pStyle w:val="Style56"/>
        <w:keepNext w:val="0"/>
        <w:keepLines w:val="0"/>
        <w:widowControl w:val="0"/>
        <w:shd w:val="clear" w:color="auto" w:fill="auto"/>
        <w:tabs>
          <w:tab w:pos="2083" w:val="left"/>
        </w:tabs>
        <w:bidi w:val="0"/>
        <w:spacing w:before="0" w:after="0" w:line="240" w:lineRule="auto"/>
        <w:ind w:left="0" w:right="0" w:firstLine="0"/>
        <w:jc w:val="both"/>
        <w:sectPr>
          <w:headerReference w:type="default" r:id="rId201"/>
          <w:footerReference w:type="default" r:id="rId202"/>
          <w:headerReference w:type="even" r:id="rId203"/>
          <w:footerReference w:type="even" r:id="rId204"/>
          <w:footnotePr>
            <w:pos w:val="pageBottom"/>
            <w:numFmt w:val="decimal"/>
            <w:numStart w:val="5"/>
            <w:numRestart w:val="continuous"/>
            <w15:footnoteColumns w:val="1"/>
          </w:footnotePr>
          <w:pgSz w:w="6816" w:h="11006"/>
          <w:pgMar w:top="954" w:left="178" w:right="182" w:bottom="525" w:header="0" w:footer="3" w:gutter="0"/>
          <w:pgNumType w:start="77"/>
          <w:cols w:num="2" w:space="157"/>
          <w:noEndnote/>
          <w:rtlGutter w:val="0"/>
          <w:docGrid w:linePitch="360"/>
        </w:sectPr>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J. Schultz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Wer ist eigerulich - Goti?,</w:t>
      </w:r>
      <w:r>
        <w:rPr>
          <w:color w:val="000000"/>
          <w:spacing w:val="0"/>
          <w:w w:val="100"/>
          <w:position w:val="0"/>
          <w:shd w:val="clear" w:color="auto" w:fill="auto"/>
          <w:lang w:val="hr-HR" w:eastAsia="hr-HR" w:bidi="hr-HR"/>
        </w:rPr>
        <w:t xml:space="preserve"> Miin- chcn 1969 (Sondcrausgabc 1977); H. </w:t>
      </w:r>
      <w:r>
        <w:rPr>
          <w:color w:val="000000"/>
          <w:spacing w:val="0"/>
          <w:w w:val="100"/>
          <w:position w:val="0"/>
          <w:shd w:val="clear" w:color="auto" w:fill="auto"/>
        </w:rPr>
        <w:t xml:space="preserve">Zahrnt,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Sachemit Goti,</w:t>
      </w:r>
      <w:r>
        <w:rPr>
          <w:color w:val="000000"/>
          <w:spacing w:val="0"/>
          <w:w w:val="100"/>
          <w:position w:val="0"/>
          <w:shd w:val="clear" w:color="auto" w:fill="auto"/>
          <w:lang w:val="hr-HR" w:eastAsia="hr-HR" w:bidi="hr-HR"/>
        </w:rPr>
        <w:t xml:space="preserve"> Munchcn 1972 (dtv 846); H. Kiing, </w:t>
      </w:r>
      <w:r>
        <w:rPr>
          <w:i/>
          <w:iCs/>
          <w:color w:val="000000"/>
          <w:spacing w:val="0"/>
          <w:w w:val="100"/>
          <w:position w:val="0"/>
          <w:shd w:val="clear" w:color="auto" w:fill="auto"/>
        </w:rPr>
        <w:t xml:space="preserve">Exissiert Gott? </w:t>
      </w:r>
      <w:r>
        <w:rPr>
          <w:color w:val="000000"/>
          <w:spacing w:val="0"/>
          <w:w w:val="100"/>
          <w:position w:val="0"/>
          <w:shd w:val="clear" w:color="auto" w:fill="auto"/>
          <w:lang w:val="hr-HR" w:eastAsia="hr-HR" w:bidi="hr-HR"/>
        </w:rPr>
        <w:t xml:space="preserve">1978; C.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Halkcs, </w:t>
      </w:r>
      <w:r>
        <w:rPr>
          <w:i/>
          <w:iCs/>
          <w:color w:val="000000"/>
          <w:spacing w:val="0"/>
          <w:w w:val="100"/>
          <w:position w:val="0"/>
          <w:shd w:val="clear" w:color="auto" w:fill="auto"/>
          <w:lang w:val="hr-HR" w:eastAsia="hr-HR" w:bidi="hr-HR"/>
        </w:rPr>
        <w:t>Gon hat nicht nur starke Sohne,</w:t>
      </w:r>
      <w:r>
        <w:rPr>
          <w:color w:val="000000"/>
          <w:spacing w:val="0"/>
          <w:w w:val="100"/>
          <w:position w:val="0"/>
          <w:shd w:val="clear" w:color="auto" w:fill="auto"/>
          <w:lang w:val="hr-HR" w:eastAsia="hr-HR" w:bidi="hr-HR"/>
        </w:rPr>
        <w:t xml:space="preserve"> Gii- tcrsloh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1980 (GTB 371); U. </w:t>
      </w:r>
      <w:r>
        <w:rPr>
          <w:color w:val="000000"/>
          <w:spacing w:val="0"/>
          <w:w w:val="100"/>
          <w:position w:val="0"/>
          <w:shd w:val="clear" w:color="auto" w:fill="auto"/>
        </w:rPr>
        <w:t xml:space="preserve">Ncucnschwandcr, </w:t>
      </w:r>
      <w:r>
        <w:rPr>
          <w:i/>
          <w:iCs/>
          <w:color w:val="000000"/>
          <w:spacing w:val="0"/>
          <w:w w:val="100"/>
          <w:position w:val="0"/>
          <w:shd w:val="clear" w:color="auto" w:fill="auto"/>
        </w:rPr>
        <w:t xml:space="preserve">Denker des </w:t>
      </w:r>
      <w:r>
        <w:rPr>
          <w:i/>
          <w:iCs/>
          <w:color w:val="000000"/>
          <w:spacing w:val="0"/>
          <w:w w:val="100"/>
          <w:position w:val="0"/>
          <w:shd w:val="clear" w:color="auto" w:fill="auto"/>
          <w:lang w:val="hr-HR" w:eastAsia="hr-HR" w:bidi="hr-HR"/>
        </w:rPr>
        <w:t>Glaubens, 2</w:t>
      </w:r>
      <w:r>
        <w:rPr>
          <w:color w:val="000000"/>
          <w:spacing w:val="0"/>
          <w:w w:val="100"/>
          <w:position w:val="0"/>
          <w:shd w:val="clear" w:color="auto" w:fill="auto"/>
          <w:lang w:val="hr-HR" w:eastAsia="hr-HR" w:bidi="hr-HR"/>
        </w:rPr>
        <w:t xml:space="preserve"> Bdc., </w:t>
      </w:r>
      <w:r>
        <w:rPr>
          <w:color w:val="000000"/>
          <w:spacing w:val="0"/>
          <w:w w:val="100"/>
          <w:position w:val="0"/>
          <w:shd w:val="clear" w:color="auto" w:fill="auto"/>
        </w:rPr>
        <w:t xml:space="preserve">Gutersloh </w:t>
      </w:r>
      <w:r>
        <w:rPr>
          <w:color w:val="000000"/>
          <w:spacing w:val="0"/>
          <w:w w:val="100"/>
          <w:position w:val="0"/>
          <w:shd w:val="clear" w:color="auto" w:fill="auto"/>
          <w:lang w:val="hr-HR" w:eastAsia="hr-HR" w:bidi="hr-HR"/>
        </w:rPr>
        <w:t xml:space="preserve">Bd. 1 </w:t>
      </w:r>
      <w:r>
        <w:rPr>
          <w:color w:val="000000"/>
          <w:spacing w:val="0"/>
          <w:w w:val="100"/>
          <w:position w:val="0"/>
          <w:shd w:val="clear" w:color="auto" w:fill="auto"/>
          <w:vertAlign w:val="superscript"/>
          <w:lang w:val="hr-HR" w:eastAsia="hr-HR" w:bidi="hr-HR"/>
        </w:rPr>
        <w:t>3</w:t>
      </w:r>
      <w:r>
        <w:rPr>
          <w:color w:val="000000"/>
          <w:spacing w:val="0"/>
          <w:w w:val="100"/>
          <w:position w:val="0"/>
          <w:shd w:val="clear" w:color="auto" w:fill="auto"/>
          <w:lang w:val="hr-HR" w:eastAsia="hr-HR" w:bidi="hr-HR"/>
        </w:rPr>
        <w:t xml:space="preserve">1978. Bd.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1979 (GTB 81 i 87).</w:t>
        <w:tab/>
        <w:t>U. nVOKUSCHKA</w:t>
      </w:r>
    </w:p>
    <w:p>
      <w:pPr>
        <w:pStyle w:val="Style63"/>
        <w:keepNext/>
        <w:keepLines/>
        <w:widowControl w:val="0"/>
        <w:numPr>
          <w:ilvl w:val="0"/>
          <w:numId w:val="43"/>
        </w:numPr>
        <w:shd w:val="clear" w:color="auto" w:fill="auto"/>
        <w:tabs>
          <w:tab w:pos="260" w:val="left"/>
        </w:tabs>
        <w:bidi w:val="0"/>
        <w:spacing w:before="0"/>
        <w:ind w:left="0" w:right="0" w:firstLine="0"/>
        <w:jc w:val="both"/>
      </w:pPr>
      <w:bookmarkStart w:id="45" w:name="bookmark45"/>
      <w:r>
        <w:rPr>
          <w:rFonts w:ascii="Times New Roman" w:eastAsia="Times New Roman" w:hAnsi="Times New Roman" w:cs="Times New Roman"/>
          <w:color w:val="000000"/>
          <w:spacing w:val="0"/>
          <w:w w:val="100"/>
          <w:position w:val="0"/>
          <w:shd w:val="clear" w:color="auto" w:fill="auto"/>
          <w:lang w:val="hr-HR" w:eastAsia="hr-HR" w:bidi="hr-HR"/>
        </w:rPr>
        <w:t>islamski</w:t>
      </w:r>
      <w:bookmarkEnd w:id="45"/>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Vjera u Boga ili - arapski </w:t>
      </w:r>
      <w:r>
        <w:rPr>
          <w:rFonts w:ascii="Times New Roman" w:eastAsia="Times New Roman" w:hAnsi="Times New Roman" w:cs="Times New Roman"/>
          <w:i/>
          <w:iCs/>
          <w:color w:val="000000"/>
          <w:spacing w:val="0"/>
          <w:w w:val="100"/>
          <w:position w:val="0"/>
          <w:shd w:val="clear" w:color="auto" w:fill="auto"/>
          <w:lang w:val="hr-HR" w:eastAsia="hr-HR" w:bidi="hr-HR"/>
        </w:rPr>
        <w:t>Allaha -</w:t>
      </w:r>
      <w:r>
        <w:rPr>
          <w:rFonts w:ascii="Times New Roman" w:eastAsia="Times New Roman" w:hAnsi="Times New Roman" w:cs="Times New Roman"/>
          <w:color w:val="000000"/>
          <w:spacing w:val="0"/>
          <w:w w:val="100"/>
          <w:position w:val="0"/>
          <w:shd w:val="clear" w:color="auto" w:fill="auto"/>
          <w:lang w:val="hr-HR" w:eastAsia="hr-HR" w:bidi="hr-HR"/>
        </w:rPr>
        <w:t xml:space="preserve"> predstavlja prvi temeljni stavak islamske vjeroispovijesti. Alah je najveća kozmička veličina, ali i ideal koji se ne može dosegnuti nikakvom filozof</w:t>
        <w:softHyphen/>
        <w:t xml:space="preserve">skom spekulacijom. Jednokratan u svojoj biti, B. određuje tijek stvari u svijetu. U Njegovoj su svemoći sjedinjeni život i snaga. Njegova mudrost znači poznavanje budućega. Ovdje je izvor islamskoga nauka o predodredenosti. Kako kaže </w:t>
      </w:r>
      <w:r>
        <w:rPr>
          <w:rFonts w:ascii="Times New Roman" w:eastAsia="Times New Roman" w:hAnsi="Times New Roman" w:cs="Times New Roman"/>
          <w:color w:val="000000"/>
          <w:spacing w:val="0"/>
          <w:w w:val="100"/>
          <w:position w:val="0"/>
          <w:shd w:val="clear" w:color="auto" w:fill="auto"/>
          <w:lang w:val="en-US" w:eastAsia="en-US" w:bidi="en-US"/>
        </w:rPr>
        <w:t xml:space="preserve">Muhammad Abu </w:t>
      </w:r>
      <w:r>
        <w:rPr>
          <w:rFonts w:ascii="Times New Roman" w:eastAsia="Times New Roman" w:hAnsi="Times New Roman" w:cs="Times New Roman"/>
          <w:color w:val="000000"/>
          <w:spacing w:val="0"/>
          <w:w w:val="100"/>
          <w:position w:val="0"/>
          <w:shd w:val="clear" w:color="auto" w:fill="auto"/>
          <w:lang w:val="hr-HR" w:eastAsia="hr-HR" w:bidi="hr-HR"/>
        </w:rPr>
        <w:t>Zahra (u. 1974), taj nauk kaže da B. »daje stvorenju snagu za djelovanje i čini te radnje svojim vlastitim. Ti</w:t>
        <w:softHyphen/>
        <w:t>me djela pripadaju stvorenju, a da nisu izvan Božje vlasti«. Alah je svemogući Stvoritelj i Uzdržavatelj svjetova. Ni stvoren ni smrtan, on vlada od vječnosti do vječnosti te izvrgava propadanju i omogućuje nastajanje. On je bes</w:t>
        <w:softHyphen/>
        <w:t>konačno savršen zato što u najvećoj mjeri po</w:t>
        <w:softHyphen/>
        <w:t>sjeduje sva dobra svojstva. On je nepromje</w:t>
        <w:softHyphen/>
        <w:t>njiv, mudar, pravedan, dobrostiv, sveprisutan, sveznajući, svemogući i potpuno istinit. On je jedini neprijevarni ideal koji nijednom čovje</w:t>
        <w:softHyphen/>
        <w:t>ku ne donosi razočaranje i duševnu bol.</w:t>
      </w:r>
    </w:p>
    <w:p>
      <w:pPr>
        <w:pStyle w:val="Style20"/>
        <w:keepNext w:val="0"/>
        <w:keepLines w:val="0"/>
        <w:widowControl w:val="0"/>
        <w:shd w:val="clear" w:color="auto" w:fill="auto"/>
        <w:bidi w:val="0"/>
        <w:spacing w:before="0" w:after="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ne nalikuje ni mrtvoj ni živoj prirodi. Nitko i ništa nije s njim istobitno. Njega ne zahvaća ni oko ni osjetilo. No On je ipak čovjeku »bliži od žile kucavice« (Lk 50,15). B. ima mnoga nenadmašna svojstva: svemoć, dobrotu, stva</w:t>
        <w:softHyphen/>
        <w:t xml:space="preserve">ralačku moć, bezgranično milosrđe, bespočet- nost, beskrajnost itd. Kuran navodi 99 </w:t>
      </w:r>
      <w:r>
        <w:rPr>
          <w:rFonts w:ascii="Times New Roman" w:eastAsia="Times New Roman" w:hAnsi="Times New Roman" w:cs="Times New Roman"/>
          <w:i/>
          <w:iCs/>
          <w:color w:val="000000"/>
          <w:spacing w:val="0"/>
          <w:w w:val="100"/>
          <w:position w:val="0"/>
          <w:shd w:val="clear" w:color="auto" w:fill="auto"/>
          <w:lang w:val="hr-HR" w:eastAsia="hr-HR" w:bidi="hr-HR"/>
        </w:rPr>
        <w:t>»lijepih imena Božjih«</w:t>
      </w:r>
      <w:r>
        <w:rPr>
          <w:rFonts w:ascii="Times New Roman" w:eastAsia="Times New Roman" w:hAnsi="Times New Roman" w:cs="Times New Roman"/>
          <w:color w:val="000000"/>
          <w:spacing w:val="0"/>
          <w:w w:val="100"/>
          <w:position w:val="0"/>
          <w:shd w:val="clear" w:color="auto" w:fill="auto"/>
          <w:lang w:val="hr-HR" w:eastAsia="hr-HR" w:bidi="hr-HR"/>
        </w:rPr>
        <w:t xml:space="preserve"> koja su zapravo njegova svoj</w:t>
        <w:softHyphen/>
        <w:t>stva. Boga se ne može sažeti u jednom imenu, jer ime je jedna vrsta zatvora. To bi protu</w:t>
        <w:softHyphen/>
        <w:t xml:space="preserve">rječilo slobodi Boga. Islamski je pojam Boga </w:t>
      </w:r>
      <w:r>
        <w:rPr>
          <w:rFonts w:ascii="Times New Roman" w:eastAsia="Times New Roman" w:hAnsi="Times New Roman" w:cs="Times New Roman"/>
          <w:i/>
          <w:iCs/>
          <w:color w:val="000000"/>
          <w:spacing w:val="0"/>
          <w:w w:val="100"/>
          <w:position w:val="0"/>
          <w:shd w:val="clear" w:color="auto" w:fill="auto"/>
          <w:lang w:val="hr-HR" w:eastAsia="hr-HR" w:bidi="hr-HR"/>
        </w:rPr>
        <w:t>etički.</w:t>
      </w:r>
      <w:r>
        <w:rPr>
          <w:rFonts w:ascii="Times New Roman" w:eastAsia="Times New Roman" w:hAnsi="Times New Roman" w:cs="Times New Roman"/>
          <w:color w:val="000000"/>
          <w:spacing w:val="0"/>
          <w:w w:val="100"/>
          <w:position w:val="0"/>
          <w:shd w:val="clear" w:color="auto" w:fill="auto"/>
          <w:lang w:val="hr-HR" w:eastAsia="hr-HR" w:bidi="hr-HR"/>
        </w:rPr>
        <w:t xml:space="preserve"> Alah djeluje po načelu pravednosti. »Ako dobrima ide dobro na ovome svijetu, B. ih time želi nagraditi za njihova dobra djela kako bi ih potpuna kazna sustigla na onome svijetu«. Ali i u kazni ima olakšica koje uka</w:t>
        <w:softHyphen/>
        <w:t>zuju na Božju milost, kao recimo kada guba- vac u češkanju nalazi olakšanje. Strogo mono- teističko shvaćanje Boga ima jednu negativnu dimenziju. Ono znači odbacivanje Trojstva, dua</w:t>
        <w:softHyphen/>
        <w:t xml:space="preserve">lizma i politeizma. </w:t>
      </w:r>
      <w:r>
        <w:rPr>
          <w:rFonts w:ascii="Times New Roman" w:eastAsia="Times New Roman" w:hAnsi="Times New Roman" w:cs="Times New Roman"/>
          <w:i/>
          <w:iCs/>
          <w:color w:val="000000"/>
          <w:spacing w:val="0"/>
          <w:w w:val="100"/>
          <w:position w:val="0"/>
          <w:shd w:val="clear" w:color="auto" w:fill="auto"/>
          <w:lang w:val="hr-HR" w:eastAsia="hr-HR" w:bidi="hr-HR"/>
        </w:rPr>
        <w:t>La ilaha illd'llah</w:t>
      </w:r>
      <w:r>
        <w:rPr>
          <w:rFonts w:ascii="Times New Roman" w:eastAsia="Times New Roman" w:hAnsi="Times New Roman" w:cs="Times New Roman"/>
          <w:color w:val="000000"/>
          <w:spacing w:val="0"/>
          <w:w w:val="100"/>
          <w:position w:val="0"/>
          <w:shd w:val="clear" w:color="auto" w:fill="auto"/>
          <w:lang w:val="hr-HR" w:eastAsia="hr-HR" w:bidi="hr-HR"/>
        </w:rPr>
        <w:t xml:space="preserve"> (»Nema Boga osim Alaha«) glasi formula vjere. Svoj nauk o manifestaciji mistici i sekte oslanjaju na glasovitom »stihu o svjetlu« iz Kurana (24,35), prema kojemu je B. svjetlo neba i zem</w:t>
        <w:softHyphen/>
        <w:t>lje. Vjernik teži tom kozmičkom svjetlu. Pri</w:t>
        <w:softHyphen/>
        <w:t>hvatiti božanska svojstva znači učiniti sebe do</w:t>
        <w:softHyphen/>
        <w:t>stojnim »Božjim predstavnikom na zemlji«.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Musliman mora uvijek nastojati da ispoviješ- ću, djelima i ponašanjem nastupa kao svjedok za Boga. Stoga vodeća izreka u islamu glasi: »Svjedočim da postoji samo jedan B.; svje</w:t>
        <w:softHyphen/>
        <w:t>dočim da je Muhamed njegov sluga i njegov poslanik«. Svjesnim i iskrenim izgovaranjem ove potvrde vrši se ulazak u islam. Prvi je dio ove formule daleko važniji od drugoga. Tako se Muhamed zadovoljavao odgovarajućim očitovanjima ranije poganskih arapskih ple</w:t>
        <w:softHyphen/>
        <w:t>mena. On nije ustrajavao na tomu da izričito daju potvrdu o njemu kao Božjem poslaniku. Tu je potvrdu pretpostavljao i univerzalno ra</w:t>
        <w:softHyphen/>
        <w:t xml:space="preserve">zumijem islam predaka. U svom drugom dijelu ta je potvrda svakako sadržavala ime drugih proroka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Mojsijc, Isus itd.). Poricanjc božanske providnosti i čovjekove osobne besmrtnosti kao i nauk o vječnosti svi</w:t>
        <w:softHyphen/>
        <w:t xml:space="preserve">jeta doveli su neke učenjake srednjega vijeka kao što su </w:t>
      </w:r>
      <w:r>
        <w:rPr>
          <w:rFonts w:ascii="Times New Roman" w:eastAsia="Times New Roman" w:hAnsi="Times New Roman" w:cs="Times New Roman"/>
          <w:color w:val="000000"/>
          <w:spacing w:val="0"/>
          <w:w w:val="100"/>
          <w:position w:val="0"/>
          <w:shd w:val="clear" w:color="auto" w:fill="auto"/>
          <w:lang w:val="en-US" w:eastAsia="en-US" w:bidi="en-US"/>
        </w:rPr>
        <w:t xml:space="preserve">Ibrahim </w:t>
      </w:r>
      <w:r>
        <w:rPr>
          <w:rFonts w:ascii="Times New Roman" w:eastAsia="Times New Roman" w:hAnsi="Times New Roman" w:cs="Times New Roman"/>
          <w:color w:val="000000"/>
          <w:spacing w:val="0"/>
          <w:w w:val="100"/>
          <w:position w:val="0"/>
          <w:shd w:val="clear" w:color="auto" w:fill="auto"/>
          <w:lang w:val="hr-HR" w:eastAsia="hr-HR" w:bidi="hr-HR"/>
        </w:rPr>
        <w:t>az-Zerkala (u. 1100) i Ibn Rušd (Averroes, u. 1198) u sukob s ortodoks</w:t>
        <w:softHyphen/>
        <w:t xml:space="preserve">nom teologijom, čiji je najvažniji predstavnik bio al-Gazali (u. 1111). Poseban stručni smjer u teologiji, takozvani </w:t>
      </w:r>
      <w:r>
        <w:rPr>
          <w:rFonts w:ascii="Times New Roman" w:eastAsia="Times New Roman" w:hAnsi="Times New Roman" w:cs="Times New Roman"/>
          <w:i/>
          <w:iCs/>
          <w:color w:val="000000"/>
          <w:spacing w:val="0"/>
          <w:w w:val="100"/>
          <w:position w:val="0"/>
          <w:shd w:val="clear" w:color="auto" w:fill="auto"/>
          <w:lang w:val="hr-HR" w:eastAsia="hr-HR" w:bidi="hr-HR"/>
        </w:rPr>
        <w:t>‘ilm al-kaldm</w:t>
      </w:r>
      <w:r>
        <w:rPr>
          <w:rFonts w:ascii="Times New Roman" w:eastAsia="Times New Roman" w:hAnsi="Times New Roman" w:cs="Times New Roman"/>
          <w:color w:val="000000"/>
          <w:spacing w:val="0"/>
          <w:w w:val="100"/>
          <w:position w:val="0"/>
          <w:shd w:val="clear" w:color="auto" w:fill="auto"/>
          <w:lang w:val="hr-HR" w:eastAsia="hr-HR" w:bidi="hr-HR"/>
        </w:rPr>
        <w:t xml:space="preserve"> (nauk o umijeću raspravljanja, dijalektika), bio je taj koji je onda mjerodavno utjecao na islamsko razumijevanje svijeta. U svojoj borbi protiv Aristotelove filozofije, koja je po njegovu miš</w:t>
        <w:softHyphen/>
        <w:t>ljenju bila opasna i u čijim se putanjama kre</w:t>
        <w:softHyphen/>
        <w:t>tao poglavito Ibn Rušd, taj se smjer učvrstio u hipotezi stalnoga Božjeg interveniranja u svjet</w:t>
        <w:softHyphen/>
        <w:t>skome događanju. On je tako u filozofskom pogledu dospio do pozicija atomizma, svaka</w:t>
        <w:softHyphen/>
        <w:t>ko s tom razlikom da tamo gdje atomizam dopušta »vladavinu slučaja ili mehaničke kau- zalnosti« oni vide pojavljivanje Boga. »Iza ato</w:t>
        <w:softHyphen/>
        <w:t xml:space="preserve">ma upravo stoji Alah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spiritus </w:t>
      </w:r>
      <w:r>
        <w:rPr>
          <w:rFonts w:ascii="Times New Roman" w:eastAsia="Times New Roman" w:hAnsi="Times New Roman" w:cs="Times New Roman"/>
          <w:i/>
          <w:iCs/>
          <w:color w:val="000000"/>
          <w:spacing w:val="0"/>
          <w:w w:val="100"/>
          <w:position w:val="0"/>
          <w:shd w:val="clear" w:color="auto" w:fill="auto"/>
          <w:lang w:val="en-US" w:eastAsia="en-US" w:bidi="en-US"/>
        </w:rPr>
        <w:t>rector«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(vidi </w:t>
      </w:r>
      <w:r>
        <w:rPr>
          <w:rFonts w:ascii="Times New Roman" w:eastAsia="Times New Roman" w:hAnsi="Times New Roman" w:cs="Times New Roman"/>
          <w:color w:val="000000"/>
          <w:spacing w:val="0"/>
          <w:w w:val="100"/>
          <w:position w:val="0"/>
          <w:shd w:val="clear" w:color="auto" w:fill="auto"/>
          <w:lang w:val="en-US" w:eastAsia="en-US" w:bidi="en-US"/>
        </w:rPr>
        <w:t xml:space="preserve">Ernst </w:t>
      </w:r>
      <w:r>
        <w:rPr>
          <w:rFonts w:ascii="Times New Roman" w:eastAsia="Times New Roman" w:hAnsi="Times New Roman" w:cs="Times New Roman"/>
          <w:color w:val="000000"/>
          <w:spacing w:val="0"/>
          <w:w w:val="100"/>
          <w:position w:val="0"/>
          <w:shd w:val="clear" w:color="auto" w:fill="auto"/>
          <w:lang w:val="hr-HR" w:eastAsia="hr-HR" w:bidi="hr-HR"/>
        </w:rPr>
        <w:t xml:space="preserve">Behler,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Ewigkeit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Welt.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Problem- geschichtliche Untersuchungen zu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den Koran- versen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um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Weltanfang und Weltunendlichkeit </w:t>
      </w:r>
      <w:r>
        <w:rPr>
          <w:rFonts w:ascii="Times New Roman" w:eastAsia="Times New Roman" w:hAnsi="Times New Roman" w:cs="Times New Roman"/>
          <w:i/>
          <w:iCs/>
          <w:color w:val="000000"/>
          <w:spacing w:val="0"/>
          <w:w w:val="100"/>
          <w:position w:val="0"/>
          <w:shd w:val="clear" w:color="auto" w:fill="auto"/>
          <w:lang w:val="hr-HR" w:eastAsia="hr-HR" w:bidi="hr-HR"/>
        </w:rPr>
        <w:t>im Mittelalter,</w:t>
      </w:r>
      <w:r>
        <w:rPr>
          <w:rFonts w:ascii="Times New Roman" w:eastAsia="Times New Roman" w:hAnsi="Times New Roman" w:cs="Times New Roman"/>
          <w:color w:val="000000"/>
          <w:spacing w:val="0"/>
          <w:w w:val="100"/>
          <w:position w:val="0"/>
          <w:shd w:val="clear" w:color="auto" w:fill="auto"/>
          <w:lang w:val="hr-HR" w:eastAsia="hr-HR" w:bidi="hr-HR"/>
        </w:rPr>
        <w:t xml:space="preserve"> Bd. 1, Miinchen/Paderborn/ </w:t>
      </w:r>
      <w:r>
        <w:rPr>
          <w:rFonts w:ascii="Times New Roman" w:eastAsia="Times New Roman" w:hAnsi="Times New Roman" w:cs="Times New Roman"/>
          <w:color w:val="000000"/>
          <w:spacing w:val="0"/>
          <w:w w:val="100"/>
          <w:position w:val="0"/>
          <w:shd w:val="clear" w:color="auto" w:fill="auto"/>
          <w:lang w:val="en-US" w:eastAsia="en-US" w:bidi="en-US"/>
        </w:rPr>
        <w:t xml:space="preserve">Wien </w:t>
      </w:r>
      <w:r>
        <w:rPr>
          <w:rFonts w:ascii="Times New Roman" w:eastAsia="Times New Roman" w:hAnsi="Times New Roman" w:cs="Times New Roman"/>
          <w:color w:val="000000"/>
          <w:spacing w:val="0"/>
          <w:w w:val="100"/>
          <w:position w:val="0"/>
          <w:shd w:val="clear" w:color="auto" w:fill="auto"/>
          <w:lang w:val="hr-HR" w:eastAsia="hr-HR" w:bidi="hr-HR"/>
        </w:rPr>
        <w:t>1965, 123). Stvoreni se svijet raspada na dva međusobno oštro razdvojena dijela: na zamjedbeni svijet u kojemu živimo i na zbilj</w:t>
        <w:softHyphen/>
        <w:t>nost koja čeka čovjeka nakon smrti. Početna točka linije života jest rođenje. Predvidiva toč</w:t>
        <w:softHyphen/>
        <w:t>ka propasti, smrt, jest odvažnost zato što se ne zna što nakon toga dolazi. No tu odvažnost na sebe mora preuzeti svako živo stvorenje. Una</w:t>
        <w:softHyphen/>
        <w:t>toč izvjesnosti smrti čovjek je pokušava iz</w:t>
        <w:softHyphen/>
        <w:t>bjeći. Pomisao na Boga kao na izvor milosti i nade može pomoći čovjeku u prevladavanju smrti.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Predanost u volji, koja potiče i vlada u stvara</w:t>
        <w:softHyphen/>
        <w:t>nju, nije nikakav fatalizam. Ona jc konkretna potvrda vjeroispovijesti da postoji samo jedan B. Zamjcdbena zbiljnost nastala je prema vječnom Božjem planu. Stvaranje slijedi kao jednokratan čin u jednom trenutku ispunje</w:t>
        <w:softHyphen/>
        <w:t xml:space="preserve">nja. To je jedan običaj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koji je B. na</w:t>
        <w:softHyphen/>
        <w:t>metnuo samome sebi i u kojemu nema nikak</w:t>
        <w:softHyphen/>
        <w:t>vih promjena. Kuranska uputa na nepromje</w:t>
        <w:softHyphen/>
        <w:t>njivost božanskih zakona dopušta prihvaćanje teorije razvoja koja se naznačuje na nekim mjestima. B. k tomu nije vezan nikakvim za</w:t>
        <w:softHyphen/>
        <w:t>konom i nikojom dužnošću. Pored zamjetno</w:t>
        <w:softHyphen/>
        <w:t>ga svijeta postoji mnoštvo nevidljivih bića i sila. Njihovo stvaranje i njihovo djelovanje ta</w:t>
        <w:softHyphen/>
        <w:t>kođer je predviđeno u Božjemu planu. Ona bez iznimke djeluju u svjetskome događanju i čine važne poveznice s Bogom. Premda se B. shvaća i kao imanentno djelujuća veličina, ne može se izbjeći zorni, antropomorfni izgled. U toj se slici B. pojavljuje kao »general medu nebrojenom vojskom anđela i duhova koji ne</w:t>
        <w:softHyphen/>
        <w:t>prestano izvršavaju njegove naredbe«. Daka</w:t>
        <w:softHyphen/>
        <w:t>ko, te su predodžbe više svojstvene neobra</w:t>
        <w:softHyphen/>
        <w:t>zovanim masama nego obrazovanim ljudima. No, upravo su te mase nositelj vidljivih trago</w:t>
        <w:softHyphen/>
        <w:t>va stranih (staroorijentalnih) predodžbi; obra</w:t>
        <w:softHyphen/>
        <w:t>zovani slojevi, nasuprot lomu, potvrđuju u svo</w:t>
        <w:softHyphen/>
        <w:t xml:space="preserve">jim nastojanjima naznake budućnosti </w:t>
      </w:r>
      <w:r>
        <w:rPr>
          <w:rFonts w:ascii="Times New Roman" w:eastAsia="Times New Roman" w:hAnsi="Times New Roman" w:cs="Times New Roman"/>
          <w:color w:val="000000"/>
          <w:spacing w:val="0"/>
          <w:w w:val="100"/>
          <w:position w:val="0"/>
          <w:shd w:val="clear" w:color="auto" w:fill="auto"/>
          <w:lang w:val="en-US" w:eastAsia="en-US" w:bidi="en-US"/>
        </w:rPr>
        <w:t xml:space="preserve">(Max Horten, </w:t>
      </w:r>
      <w:r>
        <w:rPr>
          <w:rFonts w:ascii="Times New Roman" w:eastAsia="Times New Roman" w:hAnsi="Times New Roman" w:cs="Times New Roman"/>
          <w:i/>
          <w:iCs/>
          <w:color w:val="000000"/>
          <w:spacing w:val="0"/>
          <w:w w:val="100"/>
          <w:position w:val="0"/>
          <w:shd w:val="clear" w:color="auto" w:fill="auto"/>
          <w:lang w:val="en-US" w:eastAsia="en-US" w:bidi="en-US"/>
        </w:rPr>
        <w:t>Die Philosophic des Islam in ihren Beziehungen zu den phdosophtschen Weltan- schauungen des westlichen Orients,</w:t>
      </w:r>
      <w:r>
        <w:rPr>
          <w:rFonts w:ascii="Times New Roman" w:eastAsia="Times New Roman" w:hAnsi="Times New Roman" w:cs="Times New Roman"/>
          <w:color w:val="000000"/>
          <w:spacing w:val="0"/>
          <w:w w:val="100"/>
          <w:position w:val="0"/>
          <w:shd w:val="clear" w:color="auto" w:fill="auto"/>
          <w:lang w:val="en-US" w:eastAsia="en-US" w:bidi="en-US"/>
        </w:rPr>
        <w:t xml:space="preserve"> Munchen 1924, 30).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Islamski je nazor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svijetu po sebi </w:t>
      </w:r>
      <w:r>
        <w:rPr>
          <w:rFonts w:ascii="Times New Roman" w:eastAsia="Times New Roman" w:hAnsi="Times New Roman" w:cs="Times New Roman"/>
          <w:i/>
          <w:iCs/>
          <w:color w:val="000000"/>
          <w:spacing w:val="0"/>
          <w:w w:val="100"/>
          <w:position w:val="0"/>
          <w:shd w:val="clear" w:color="auto" w:fill="auto"/>
          <w:lang w:val="hr-HR" w:eastAsia="hr-HR" w:bidi="hr-HR"/>
        </w:rPr>
        <w:t>optimis</w:t>
        <w:softHyphen/>
        <w:t>tičan.</w:t>
      </w:r>
      <w:r>
        <w:rPr>
          <w:rFonts w:ascii="Times New Roman" w:eastAsia="Times New Roman" w:hAnsi="Times New Roman" w:cs="Times New Roman"/>
          <w:color w:val="000000"/>
          <w:spacing w:val="0"/>
          <w:w w:val="100"/>
          <w:position w:val="0"/>
          <w:shd w:val="clear" w:color="auto" w:fill="auto"/>
          <w:lang w:val="hr-HR" w:eastAsia="hr-HR" w:bidi="hr-HR"/>
        </w:rPr>
        <w:t xml:space="preserve"> Pesimističnim su ga učinili tek prena</w:t>
        <w:softHyphen/>
        <w:t>glašeni optimisti u tradiranoj kazuistici. Tvo</w:t>
        <w:softHyphen/>
        <w:t>rac svijeta jest dobrostivi i istinski B. On jc is</w:t>
        <w:softHyphen/>
        <w:t>tina naprosto. Sve drugo je obmana. Ono uz</w:t>
        <w:softHyphen/>
        <w:t>višeno, B. sam, i ono duhovno, imaju najvišu vrijednost. Musliman vjeruje da je Kuran dio božanske mudrosti koji je sišao na zemlju. Za</w:t>
        <w:softHyphen/>
        <w:t xml:space="preserve">hvaljujući njemu čovječanstvo je našlo pravu istinu. Tako jedno od najljepših Božjih imena glasi al-Haqq, hrvatski: </w:t>
      </w:r>
      <w:r>
        <w:rPr>
          <w:rFonts w:ascii="Times New Roman" w:eastAsia="Times New Roman" w:hAnsi="Times New Roman" w:cs="Times New Roman"/>
          <w:i/>
          <w:iCs/>
          <w:color w:val="000000"/>
          <w:spacing w:val="0"/>
          <w:w w:val="100"/>
          <w:position w:val="0"/>
          <w:shd w:val="clear" w:color="auto" w:fill="auto"/>
          <w:lang w:val="hr-HR" w:eastAsia="hr-HR" w:bidi="hr-HR"/>
        </w:rPr>
        <w:t>istina.</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Islamski su mistici njegovali osobni doživljaj te istine koji je lišen svih granica formalis- tičkoga mišljenja. Mistično se nastojanje vjer</w:t>
        <w:softHyphen/>
        <w:t xml:space="preserve">nika sastoji u tome »da napusti svoju vlastitu volju koja mu je darovana od Boga i da se preda Božjoj volji, pri jasnoj svijesti da mu je B. udijelio volju i da je on upravo zahvaljujući tom daru u stanju da više ne gleda samoga </w:t>
      </w:r>
      <w:r>
        <w:rPr>
          <w:rFonts w:ascii="Times New Roman" w:eastAsia="Times New Roman" w:hAnsi="Times New Roman" w:cs="Times New Roman"/>
          <w:color w:val="000000"/>
          <w:spacing w:val="0"/>
          <w:w w:val="100"/>
          <w:position w:val="0"/>
          <w:shd w:val="clear" w:color="auto" w:fill="auto"/>
          <w:lang w:val="hr-HR" w:eastAsia="hr-HR" w:bidi="hr-HR"/>
        </w:rPr>
        <w:t xml:space="preserve">sebe, nego da bude potpuno predan Bogu« </w:t>
      </w:r>
      <w:r>
        <w:rPr>
          <w:rFonts w:ascii="Times New Roman" w:eastAsia="Times New Roman" w:hAnsi="Times New Roman" w:cs="Times New Roman"/>
          <w:color w:val="000000"/>
          <w:spacing w:val="0"/>
          <w:w w:val="100"/>
          <w:position w:val="0"/>
          <w:shd w:val="clear" w:color="auto" w:fill="auto"/>
          <w:lang w:val="en-US" w:eastAsia="en-US" w:bidi="en-US"/>
        </w:rPr>
        <w:t xml:space="preserve">(Tilman Nagel, Gott </w:t>
      </w:r>
      <w:r>
        <w:rPr>
          <w:rFonts w:ascii="Times New Roman" w:eastAsia="Times New Roman" w:hAnsi="Times New Roman" w:cs="Times New Roman"/>
          <w:color w:val="000000"/>
          <w:spacing w:val="0"/>
          <w:w w:val="100"/>
          <w:position w:val="0"/>
          <w:shd w:val="clear" w:color="auto" w:fill="auto"/>
          <w:lang w:val="hr-HR" w:eastAsia="hr-HR" w:bidi="hr-HR"/>
        </w:rPr>
        <w:t xml:space="preserve">im Islam,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Religionen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heute. </w:t>
      </w:r>
      <w:r>
        <w:rPr>
          <w:rFonts w:ascii="Times New Roman" w:eastAsia="Times New Roman" w:hAnsi="Times New Roman" w:cs="Times New Roman"/>
          <w:i/>
          <w:iCs/>
          <w:color w:val="000000"/>
          <w:spacing w:val="0"/>
          <w:w w:val="100"/>
          <w:position w:val="0"/>
          <w:shd w:val="clear" w:color="auto" w:fill="auto"/>
          <w:lang w:val="en-US" w:eastAsia="en-US" w:bidi="en-US"/>
        </w:rPr>
        <w:t xml:space="preserve">Themen und Texte </w:t>
      </w:r>
      <w:r>
        <w:rPr>
          <w:rFonts w:ascii="Times New Roman" w:eastAsia="Times New Roman" w:hAnsi="Times New Roman" w:cs="Times New Roman"/>
          <w:i/>
          <w:iCs/>
          <w:color w:val="000000"/>
          <w:spacing w:val="0"/>
          <w:w w:val="100"/>
          <w:position w:val="0"/>
          <w:shd w:val="clear" w:color="auto" w:fill="auto"/>
          <w:lang w:val="hr-HR" w:eastAsia="hr-HR" w:bidi="hr-HR"/>
        </w:rPr>
        <w:t>fiir Unterricht und Studium,</w:t>
      </w:r>
      <w:r>
        <w:rPr>
          <w:rFonts w:ascii="Times New Roman" w:eastAsia="Times New Roman" w:hAnsi="Times New Roman" w:cs="Times New Roman"/>
          <w:color w:val="000000"/>
          <w:spacing w:val="0"/>
          <w:w w:val="100"/>
          <w:position w:val="0"/>
          <w:shd w:val="clear" w:color="auto" w:fill="auto"/>
          <w:lang w:val="hr-HR" w:eastAsia="hr-HR" w:bidi="hr-HR"/>
        </w:rPr>
        <w:t xml:space="preserve"> Frankfurt/M. 1977, 21). Dakako da jc ta vrsta predanosti Bogu uskratila njezi</w:t>
        <w:softHyphen/>
        <w:t>nim praktičarima smisao za realnosti ovoga svijeta. Ona je jedan od najhitnijih razlažućih elemenata koji su prouzročili islamsku deka</w:t>
        <w:softHyphen/>
        <w:t>denciju nekoliko posljednjih stoljeća.</w:t>
      </w:r>
    </w:p>
    <w:p>
      <w:pPr>
        <w:pStyle w:val="Style56"/>
        <w:keepNext w:val="0"/>
        <w:keepLines w:val="0"/>
        <w:widowControl w:val="0"/>
        <w:shd w:val="clear" w:color="auto" w:fill="auto"/>
        <w:tabs>
          <w:tab w:pos="2554" w:val="left"/>
        </w:tabs>
        <w:bidi w:val="0"/>
        <w:spacing w:before="0" w:after="380" w:line="240" w:lineRule="auto"/>
        <w:ind w:left="0" w:right="0" w:firstLine="0"/>
        <w:jc w:val="both"/>
      </w:pPr>
      <w:r>
        <w:rPr>
          <w:color w:val="000000"/>
          <w:spacing w:val="0"/>
          <w:w w:val="100"/>
          <w:position w:val="0"/>
          <w:shd w:val="clear" w:color="auto" w:fill="auto"/>
        </w:rPr>
        <w:t xml:space="preserve">Lit.: Max Horten, </w:t>
      </w:r>
      <w:r>
        <w:rPr>
          <w:color w:val="000000"/>
          <w:spacing w:val="0"/>
          <w:w w:val="100"/>
          <w:position w:val="0"/>
          <w:shd w:val="clear" w:color="auto" w:fill="auto"/>
          <w:lang w:val="hr-HR" w:eastAsia="hr-HR" w:bidi="hr-HR"/>
        </w:rPr>
        <w:t xml:space="preserve">Dcr Allah-Bcgriff im Islam, </w:t>
      </w:r>
      <w:r>
        <w:rPr>
          <w:i/>
          <w:iCs/>
          <w:color w:val="000000"/>
          <w:spacing w:val="0"/>
          <w:w w:val="100"/>
          <w:position w:val="0"/>
          <w:shd w:val="clear" w:color="auto" w:fill="auto"/>
          <w:lang w:val="hr-HR" w:eastAsia="hr-HR" w:bidi="hr-HR"/>
        </w:rPr>
        <w:t xml:space="preserve">ir.Archivfur </w:t>
      </w:r>
      <w:r>
        <w:rPr>
          <w:i/>
          <w:iCs/>
          <w:color w:val="000000"/>
          <w:spacing w:val="0"/>
          <w:w w:val="100"/>
          <w:position w:val="0"/>
          <w:shd w:val="clear" w:color="auto" w:fill="auto"/>
        </w:rPr>
        <w:t xml:space="preserve">sysiemalische </w:t>
      </w:r>
      <w:r>
        <w:rPr>
          <w:i/>
          <w:iCs/>
          <w:color w:val="000000"/>
          <w:spacing w:val="0"/>
          <w:w w:val="100"/>
          <w:position w:val="0"/>
          <w:shd w:val="clear" w:color="auto" w:fill="auto"/>
          <w:lang w:val="hr-HR" w:eastAsia="hr-HR" w:bidi="hr-HR"/>
        </w:rPr>
        <w:t>Philosophie</w:t>
      </w:r>
      <w:r>
        <w:rPr>
          <w:color w:val="000000"/>
          <w:spacing w:val="0"/>
          <w:w w:val="100"/>
          <w:position w:val="0"/>
          <w:shd w:val="clear" w:color="auto" w:fill="auto"/>
          <w:lang w:val="hr-HR" w:eastAsia="hr-HR" w:bidi="hr-HR"/>
        </w:rPr>
        <w:t xml:space="preserve"> 33, 1929, 122-132: </w:t>
      </w:r>
      <w:r>
        <w:rPr>
          <w:color w:val="000000"/>
          <w:spacing w:val="0"/>
          <w:w w:val="100"/>
          <w:position w:val="0"/>
          <w:shd w:val="clear" w:color="auto" w:fill="auto"/>
        </w:rPr>
        <w:t xml:space="preserve">Louis </w:t>
      </w:r>
      <w:r>
        <w:rPr>
          <w:color w:val="000000"/>
          <w:spacing w:val="0"/>
          <w:w w:val="100"/>
          <w:position w:val="0"/>
          <w:shd w:val="clear" w:color="auto" w:fill="auto"/>
          <w:lang w:val="hr-HR" w:eastAsia="hr-HR" w:bidi="hr-HR"/>
        </w:rPr>
        <w:t xml:space="preserve">Gardct, </w:t>
      </w:r>
      <w:r>
        <w:rPr>
          <w:color w:val="000000"/>
          <w:spacing w:val="0"/>
          <w:w w:val="100"/>
          <w:position w:val="0"/>
          <w:shd w:val="clear" w:color="auto" w:fill="auto"/>
        </w:rPr>
        <w:t xml:space="preserve">Allah, </w:t>
      </w:r>
      <w:r>
        <w:rPr>
          <w:color w:val="000000"/>
          <w:spacing w:val="0"/>
          <w:w w:val="100"/>
          <w:position w:val="0"/>
          <w:shd w:val="clear" w:color="auto" w:fill="auto"/>
          <w:lang w:val="hr-HR" w:eastAsia="hr-HR" w:bidi="hr-HR"/>
        </w:rPr>
        <w:t>u: Ft</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 I, 406-417; </w:t>
      </w:r>
      <w:r>
        <w:rPr>
          <w:color w:val="000000"/>
          <w:spacing w:val="0"/>
          <w:w w:val="100"/>
          <w:position w:val="0"/>
          <w:shd w:val="clear" w:color="auto" w:fill="auto"/>
        </w:rPr>
        <w:t xml:space="preserve">Tilman </w:t>
      </w:r>
      <w:r>
        <w:rPr>
          <w:color w:val="000000"/>
          <w:spacing w:val="0"/>
          <w:w w:val="100"/>
          <w:position w:val="0"/>
          <w:shd w:val="clear" w:color="auto" w:fill="auto"/>
          <w:lang w:val="hr-HR" w:eastAsia="hr-HR" w:bidi="hr-HR"/>
        </w:rPr>
        <w:t xml:space="preserve">Nagcl, Goli im Islam, u: </w:t>
      </w:r>
      <w:r>
        <w:rPr>
          <w:i/>
          <w:iCs/>
          <w:color w:val="000000"/>
          <w:spacing w:val="0"/>
          <w:w w:val="100"/>
          <w:position w:val="0"/>
          <w:shd w:val="clear" w:color="auto" w:fill="auto"/>
          <w:lang w:val="hr-HR" w:eastAsia="hr-HR" w:bidi="hr-HR"/>
        </w:rPr>
        <w:t>Religionen von keute,</w:t>
      </w:r>
      <w:r>
        <w:rPr>
          <w:color w:val="000000"/>
          <w:spacing w:val="0"/>
          <w:w w:val="100"/>
          <w:position w:val="0"/>
          <w:shd w:val="clear" w:color="auto" w:fill="auto"/>
          <w:lang w:val="hr-HR" w:eastAsia="hr-HR" w:bidi="hr-HR"/>
        </w:rPr>
        <w:t xml:space="preserve"> Frankfurh'M. 1977.</w:t>
        <w:tab/>
        <w:t>S. BALIĆ</w:t>
      </w:r>
    </w:p>
    <w:p>
      <w:pPr>
        <w:pStyle w:val="Style33"/>
        <w:keepNext w:val="0"/>
        <w:keepLines w:val="0"/>
        <w:widowControl w:val="0"/>
        <w:shd w:val="clear" w:color="auto" w:fill="auto"/>
        <w:bidi w:val="0"/>
        <w:spacing w:before="0" w:after="16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BOGOSLUŽJE</w:t>
      </w:r>
    </w:p>
    <w:p>
      <w:pPr>
        <w:pStyle w:val="Style63"/>
        <w:keepNext/>
        <w:keepLines/>
        <w:widowControl w:val="0"/>
        <w:numPr>
          <w:ilvl w:val="0"/>
          <w:numId w:val="45"/>
        </w:numPr>
        <w:shd w:val="clear" w:color="auto" w:fill="auto"/>
        <w:tabs>
          <w:tab w:pos="246" w:val="left"/>
        </w:tabs>
        <w:bidi w:val="0"/>
        <w:spacing w:before="0" w:after="80" w:line="223" w:lineRule="auto"/>
        <w:ind w:left="0" w:right="0" w:firstLine="0"/>
        <w:jc w:val="both"/>
      </w:pPr>
      <w:bookmarkStart w:id="46" w:name="bookmark46"/>
      <w:r>
        <w:rPr>
          <w:rFonts w:ascii="Times New Roman" w:eastAsia="Times New Roman" w:hAnsi="Times New Roman" w:cs="Times New Roman"/>
          <w:color w:val="000000"/>
          <w:spacing w:val="0"/>
          <w:w w:val="100"/>
          <w:position w:val="0"/>
          <w:shd w:val="clear" w:color="auto" w:fill="auto"/>
          <w:lang w:val="hr-HR" w:eastAsia="hr-HR" w:bidi="hr-HR"/>
        </w:rPr>
        <w:t>židovski</w:t>
      </w:r>
      <w:bookmarkEnd w:id="46"/>
    </w:p>
    <w:p>
      <w:pPr>
        <w:pStyle w:val="Style20"/>
        <w:keepNext w:val="0"/>
        <w:keepLines w:val="0"/>
        <w:widowControl w:val="0"/>
        <w:numPr>
          <w:ilvl w:val="0"/>
          <w:numId w:val="47"/>
        </w:numPr>
        <w:shd w:val="clear" w:color="auto" w:fill="auto"/>
        <w:tabs>
          <w:tab w:pos="265" w:val="left"/>
        </w:tabs>
        <w:bidi w:val="0"/>
        <w:spacing w:before="0" w:after="0"/>
        <w:ind w:left="0" w:right="0" w:firstLine="0"/>
        <w:jc w:val="both"/>
        <w:sectPr>
          <w:headerReference w:type="default" r:id="rId205"/>
          <w:footerReference w:type="default" r:id="rId206"/>
          <w:headerReference w:type="even" r:id="rId207"/>
          <w:footerReference w:type="even" r:id="rId208"/>
          <w:headerReference w:type="first" r:id="rId209"/>
          <w:footerReference w:type="first" r:id="rId210"/>
          <w:footnotePr>
            <w:pos w:val="pageBottom"/>
            <w:numFmt w:val="decimal"/>
            <w:numStart w:val="5"/>
            <w:numRestart w:val="continuous"/>
            <w15:footnoteColumns w:val="1"/>
          </w:footnotePr>
          <w:pgSz w:w="6816" w:h="11006"/>
          <w:pgMar w:top="954" w:left="178" w:right="182" w:bottom="525" w:header="0" w:footer="3" w:gutter="0"/>
          <w:pgNumType w:start="74"/>
          <w:cols w:num="2" w:space="15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»Odlazili su u dvoranu od klesanoga kamena kako bi ondje molili Šema.«</w:t>
      </w:r>
      <w:r>
        <w:rPr>
          <w:rFonts w:ascii="Times New Roman" w:eastAsia="Times New Roman" w:hAnsi="Times New Roman" w:cs="Times New Roman"/>
          <w:color w:val="000000"/>
          <w:spacing w:val="0"/>
          <w:w w:val="100"/>
          <w:position w:val="0"/>
          <w:shd w:val="clear" w:color="auto" w:fill="auto"/>
          <w:lang w:val="hr-HR" w:eastAsia="hr-HR" w:bidi="hr-HR"/>
        </w:rPr>
        <w:t xml:space="preserve"> Prvi pokazatelji li</w:t>
        <w:softHyphen/>
        <w:t xml:space="preserve">turgije koja više nije neposredno povezana sa žrtvenom službom </w:t>
      </w:r>
      <w:r>
        <w:rPr>
          <w:rFonts w:ascii="Times New Roman" w:eastAsia="Times New Roman" w:hAnsi="Times New Roman" w:cs="Times New Roman"/>
          <w:i/>
          <w:iCs/>
          <w:color w:val="000000"/>
          <w:spacing w:val="0"/>
          <w:w w:val="100"/>
          <w:position w:val="0"/>
          <w:shd w:val="clear" w:color="auto" w:fill="auto"/>
          <w:lang w:val="hr-HR" w:eastAsia="hr-HR" w:bidi="hr-HR"/>
        </w:rPr>
        <w:t>(avoda)</w:t>
      </w:r>
      <w:r>
        <w:rPr>
          <w:rFonts w:ascii="Times New Roman" w:eastAsia="Times New Roman" w:hAnsi="Times New Roman" w:cs="Times New Roman"/>
          <w:color w:val="000000"/>
          <w:spacing w:val="0"/>
          <w:w w:val="100"/>
          <w:position w:val="0"/>
          <w:shd w:val="clear" w:color="auto" w:fill="auto"/>
          <w:lang w:val="hr-HR" w:eastAsia="hr-HR" w:bidi="hr-HR"/>
        </w:rPr>
        <w:t xml:space="preserve"> potječe od samoga Hrama. Prema izvješću iz Mišne, službujući su svećenici svakoga dana prekidali jutarnju žrtvu i »odlazili u dvoranu od klesanog kamena ka</w:t>
        <w:softHyphen/>
        <w:t xml:space="preserve">ko bi ondje molili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(Pnz 6,4-9)« (Tamid IV,3) te dijelove koji su se na tu molitvu nas</w:t>
        <w:softHyphen/>
        <w:t xml:space="preserve">tavljali i blagoslove: »Predstojnik im je rekao: Izgovorite blagoslov!« Izrekli su ga (uvodni, prema drugom mišljenju drugi blagoslov, </w:t>
      </w:r>
      <w:r>
        <w:rPr>
          <w:rFonts w:ascii="Times New Roman" w:eastAsia="Times New Roman" w:hAnsi="Times New Roman" w:cs="Times New Roman"/>
          <w:i/>
          <w:iCs/>
          <w:color w:val="000000"/>
          <w:spacing w:val="0"/>
          <w:w w:val="100"/>
          <w:position w:val="0"/>
          <w:shd w:val="clear" w:color="auto" w:fill="auto"/>
          <w:lang w:val="hr-HR" w:eastAsia="hr-HR" w:bidi="hr-HR"/>
        </w:rPr>
        <w:t>be- raha,</w:t>
      </w:r>
      <w:r>
        <w:rPr>
          <w:rFonts w:ascii="Times New Roman" w:eastAsia="Times New Roman" w:hAnsi="Times New Roman" w:cs="Times New Roman"/>
          <w:color w:val="000000"/>
          <w:spacing w:val="0"/>
          <w:w w:val="100"/>
          <w:position w:val="0"/>
          <w:shd w:val="clear" w:color="auto" w:fill="auto"/>
          <w:lang w:val="hr-HR" w:eastAsia="hr-HR" w:bidi="hr-HR"/>
        </w:rPr>
        <w:t xml:space="preserve"> uz čitanje </w:t>
      </w:r>
      <w:r>
        <w:rPr>
          <w:rFonts w:ascii="Times New Roman" w:eastAsia="Times New Roman" w:hAnsi="Times New Roman" w:cs="Times New Roman"/>
          <w:i/>
          <w:iCs/>
          <w:color w:val="000000"/>
          <w:spacing w:val="0"/>
          <w:w w:val="100"/>
          <w:position w:val="0"/>
          <w:shd w:val="clear" w:color="auto" w:fill="auto"/>
          <w:lang w:val="hr-HR" w:eastAsia="hr-HR" w:bidi="hr-HR"/>
        </w:rPr>
        <w:t>Sema</w:t>
      </w:r>
      <w:r>
        <w:rPr>
          <w:rFonts w:ascii="Times New Roman" w:eastAsia="Times New Roman" w:hAnsi="Times New Roman" w:cs="Times New Roman"/>
          <w:color w:val="000000"/>
          <w:spacing w:val="0"/>
          <w:w w:val="100"/>
          <w:position w:val="0"/>
          <w:shd w:val="clear" w:color="auto" w:fill="auto"/>
          <w:lang w:val="hr-HR" w:eastAsia="hr-HR" w:bidi="hr-HR"/>
        </w:rPr>
        <w:t xml:space="preserve"> prema b Bcrahot 11b), zatim pročitali Deset zapovijedi (od čitanja Deset zapovijedi ispred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i u svakodnev</w:t>
        <w:softHyphen/>
        <w:t>nom bogoslužju zajednice odustajali su samo kako bi izbjegli manje poštivanje ostalih od</w:t>
        <w:softHyphen/>
        <w:t xml:space="preserve">redbi Tore, usp. ib. 12a), odlomke u čitanju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(Pnz 6,4-9; 11,13-21; Br 15,37-41) te izgovarali s narodom (prema Rašiju i drugim tumačima, na isti način na koji ih je molio narod) tri blagoslova: </w:t>
      </w:r>
      <w:r>
        <w:rPr>
          <w:rFonts w:ascii="Times New Roman" w:eastAsia="Times New Roman" w:hAnsi="Times New Roman" w:cs="Times New Roman"/>
          <w:i/>
          <w:iCs/>
          <w:color w:val="000000"/>
          <w:spacing w:val="0"/>
          <w:w w:val="100"/>
          <w:position w:val="0"/>
          <w:shd w:val="clear" w:color="auto" w:fill="auto"/>
          <w:lang w:val="hr-HR" w:eastAsia="hr-HR" w:bidi="hr-HR"/>
        </w:rPr>
        <w:t>Emet vejaciv</w:t>
      </w:r>
      <w:r>
        <w:rPr>
          <w:rFonts w:ascii="Times New Roman" w:eastAsia="Times New Roman" w:hAnsi="Times New Roman" w:cs="Times New Roman"/>
          <w:color w:val="000000"/>
          <w:spacing w:val="0"/>
          <w:w w:val="100"/>
          <w:position w:val="0"/>
          <w:shd w:val="clear" w:color="auto" w:fill="auto"/>
          <w:lang w:val="hr-HR" w:eastAsia="hr-HR" w:bidi="hr-HR"/>
        </w:rPr>
        <w:t xml:space="preserve"> ‘Istinit i nepromjenjiv’ (tako počinje </w:t>
      </w:r>
      <w:r>
        <w:rPr>
          <w:rFonts w:ascii="Times New Roman" w:eastAsia="Times New Roman" w:hAnsi="Times New Roman" w:cs="Times New Roman"/>
          <w:i/>
          <w:iCs/>
          <w:color w:val="000000"/>
          <w:spacing w:val="0"/>
          <w:w w:val="100"/>
          <w:position w:val="0"/>
          <w:shd w:val="clear" w:color="auto" w:fill="auto"/>
          <w:lang w:val="hr-HR" w:eastAsia="hr-HR" w:bidi="hr-HR"/>
        </w:rPr>
        <w:t>beraha</w:t>
      </w:r>
      <w:r>
        <w:rPr>
          <w:rFonts w:ascii="Times New Roman" w:eastAsia="Times New Roman" w:hAnsi="Times New Roman" w:cs="Times New Roman"/>
          <w:color w:val="000000"/>
          <w:spacing w:val="0"/>
          <w:w w:val="100"/>
          <w:position w:val="0"/>
          <w:shd w:val="clear" w:color="auto" w:fill="auto"/>
          <w:lang w:val="hr-HR" w:eastAsia="hr-HR" w:bidi="hr-HR"/>
        </w:rPr>
        <w:t xml:space="preserve"> koju treba izgovoriti nakon čitanja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‘žrtveno b.’ </w:t>
      </w:r>
      <w:r>
        <w:rPr>
          <w:rFonts w:ascii="Times New Roman" w:eastAsia="Times New Roman" w:hAnsi="Times New Roman" w:cs="Times New Roman"/>
          <w:i/>
          <w:iCs/>
          <w:color w:val="000000"/>
          <w:spacing w:val="0"/>
          <w:w w:val="100"/>
          <w:position w:val="0"/>
          <w:shd w:val="clear" w:color="auto" w:fill="auto"/>
          <w:lang w:val="hr-HR" w:eastAsia="hr-HR" w:bidi="hr-HR"/>
        </w:rPr>
        <w:t>(avoda,</w:t>
      </w:r>
      <w:r>
        <w:rPr>
          <w:rFonts w:ascii="Times New Roman" w:eastAsia="Times New Roman" w:hAnsi="Times New Roman" w:cs="Times New Roman"/>
          <w:color w:val="000000"/>
          <w:spacing w:val="0"/>
          <w:w w:val="100"/>
          <w:position w:val="0"/>
          <w:shd w:val="clear" w:color="auto" w:fill="auto"/>
          <w:lang w:val="hr-HR" w:eastAsia="hr-HR" w:bidi="hr-HR"/>
        </w:rPr>
        <w:t xml:space="preserve"> misli se na XVII. </w:t>
      </w:r>
      <w:r>
        <w:rPr>
          <w:rFonts w:ascii="Times New Roman" w:eastAsia="Times New Roman" w:hAnsi="Times New Roman" w:cs="Times New Roman"/>
          <w:i/>
          <w:iCs/>
          <w:color w:val="000000"/>
          <w:spacing w:val="0"/>
          <w:w w:val="100"/>
          <w:position w:val="0"/>
          <w:shd w:val="clear" w:color="auto" w:fill="auto"/>
          <w:lang w:val="hr-HR" w:eastAsia="hr-HR" w:bidi="hr-HR"/>
        </w:rPr>
        <w:t>berahu</w:t>
      </w:r>
      <w:r>
        <w:rPr>
          <w:rFonts w:ascii="Times New Roman" w:eastAsia="Times New Roman" w:hAnsi="Times New Roman" w:cs="Times New Roman"/>
          <w:color w:val="000000"/>
          <w:spacing w:val="0"/>
          <w:w w:val="100"/>
          <w:position w:val="0"/>
          <w:shd w:val="clear" w:color="auto" w:fill="auto"/>
          <w:lang w:val="hr-HR" w:eastAsia="hr-HR" w:bidi="hr-HR"/>
        </w:rPr>
        <w:t xml:space="preserve"> Osamnaest blagoslova, koja počinje s ‘Nađi zadovoljstvo’) i svećenički blagoslov </w:t>
      </w:r>
      <w:r>
        <w:rPr>
          <w:rFonts w:ascii="Times New Roman" w:eastAsia="Times New Roman" w:hAnsi="Times New Roman" w:cs="Times New Roman"/>
          <w:i/>
          <w:iCs/>
          <w:color w:val="000000"/>
          <w:spacing w:val="0"/>
          <w:w w:val="100"/>
          <w:position w:val="0"/>
          <w:shd w:val="clear" w:color="auto" w:fill="auto"/>
          <w:lang w:val="hr-HR" w:eastAsia="hr-HR" w:bidi="hr-HR"/>
        </w:rPr>
        <w:t>(birkat kohanim;</w:t>
      </w:r>
      <w:r>
        <w:rPr>
          <w:rFonts w:ascii="Times New Roman" w:eastAsia="Times New Roman" w:hAnsi="Times New Roman" w:cs="Times New Roman"/>
          <w:color w:val="000000"/>
          <w:spacing w:val="0"/>
          <w:w w:val="100"/>
          <w:position w:val="0"/>
          <w:shd w:val="clear" w:color="auto" w:fill="auto"/>
          <w:lang w:val="hr-HR" w:eastAsia="hr-HR" w:bidi="hr-HR"/>
        </w:rPr>
        <w:t xml:space="preserve"> Maj- monid jc u tome vidio dio molitve koji u Osamnaest blagoslova slijedi nakon svećenič</w:t>
        <w:softHyphen/>
        <w:t xml:space="preserve">koga blagoslova: ‘Ostvari mir...Tim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šalom', </w:t>
      </w:r>
      <w:r>
        <w:rPr>
          <w:rFonts w:ascii="Times New Roman" w:eastAsia="Times New Roman" w:hAnsi="Times New Roman" w:cs="Times New Roman"/>
          <w:color w:val="000000"/>
          <w:spacing w:val="0"/>
          <w:w w:val="100"/>
          <w:position w:val="0"/>
          <w:shd w:val="clear" w:color="auto" w:fill="auto"/>
          <w:lang w:val="hr-HR" w:eastAsia="hr-HR" w:bidi="hr-HR"/>
        </w:rPr>
        <w:t xml:space="preserve">pravi blagoslov izricali su svećenici tek onda kada su bile izvršene sve žrtvene radnje, usp. M Tamid VII,2)«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V,l). Prema tomu, taj izvor iz Mišne zajedno s drugim dokazima, re-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citiranje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(k tome b Joma 37b; usp. M Berahot 1,3; b 11a) i najstarijih dijelova </w:t>
      </w:r>
      <w:r>
        <w:rPr>
          <w:rFonts w:ascii="Times New Roman" w:eastAsia="Times New Roman" w:hAnsi="Times New Roman" w:cs="Times New Roman"/>
          <w:i/>
          <w:iCs/>
          <w:color w:val="000000"/>
          <w:spacing w:val="0"/>
          <w:w w:val="100"/>
          <w:position w:val="0"/>
          <w:shd w:val="clear" w:color="auto" w:fill="auto"/>
          <w:lang w:val="hr-HR" w:eastAsia="hr-HR" w:bidi="hr-HR"/>
        </w:rPr>
        <w:t>Še- mone esre</w:t>
      </w:r>
      <w:r>
        <w:rPr>
          <w:rFonts w:ascii="Times New Roman" w:eastAsia="Times New Roman" w:hAnsi="Times New Roman" w:cs="Times New Roman"/>
          <w:color w:val="000000"/>
          <w:spacing w:val="0"/>
          <w:w w:val="100"/>
          <w:position w:val="0"/>
          <w:shd w:val="clear" w:color="auto" w:fill="auto"/>
          <w:lang w:val="hr-HR" w:eastAsia="hr-HR" w:bidi="hr-HR"/>
        </w:rPr>
        <w:t xml:space="preserve"> (»Osamnaest blagoslova«, k tome M Joma VII,1; usp. Tos. Berahot 111,13; M Roš ha-šana IV,5) svjedoče o sigurnoj upo</w:t>
        <w:softHyphen/>
        <w:t>rabi u doba postojanja Hrama. Po jednoj pre</w:t>
        <w:softHyphen/>
        <w:t xml:space="preserve">daji čitanje </w:t>
      </w:r>
      <w:r>
        <w:rPr>
          <w:rFonts w:ascii="Times New Roman" w:eastAsia="Times New Roman" w:hAnsi="Times New Roman" w:cs="Times New Roman"/>
          <w:i/>
          <w:iCs/>
          <w:color w:val="000000"/>
          <w:spacing w:val="0"/>
          <w:w w:val="100"/>
          <w:position w:val="0"/>
          <w:shd w:val="clear" w:color="auto" w:fill="auto"/>
          <w:lang w:val="hr-HR" w:eastAsia="hr-HR" w:bidi="hr-HR"/>
        </w:rPr>
        <w:t>Sema</w:t>
      </w:r>
      <w:r>
        <w:rPr>
          <w:rFonts w:ascii="Times New Roman" w:eastAsia="Times New Roman" w:hAnsi="Times New Roman" w:cs="Times New Roman"/>
          <w:color w:val="000000"/>
          <w:spacing w:val="0"/>
          <w:w w:val="100"/>
          <w:position w:val="0"/>
          <w:shd w:val="clear" w:color="auto" w:fill="auto"/>
          <w:lang w:val="hr-HR" w:eastAsia="hr-HR" w:bidi="hr-HR"/>
        </w:rPr>
        <w:t xml:space="preserve"> potječe čak iz doba praoca Jakova (Targum Jerušalmi 1 uz Pnz 6,4; Šifre uz Pnz 6,4; Pesikta derav Kahana 56a), po drugoj predaji od Mojsija (Devarim raba</w:t>
      </w:r>
    </w:p>
    <w:p>
      <w:pPr>
        <w:pStyle w:val="Style20"/>
        <w:keepNext w:val="0"/>
        <w:keepLines w:val="0"/>
        <w:widowControl w:val="0"/>
        <w:numPr>
          <w:ilvl w:val="0"/>
          <w:numId w:val="49"/>
        </w:numPr>
        <w:shd w:val="clear" w:color="auto" w:fill="auto"/>
        <w:tabs>
          <w:tab w:pos="298"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6,4, usp. j Berahot 1,3c; Josip Fiavije,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Anti- </w:t>
      </w:r>
      <w:r>
        <w:rPr>
          <w:rFonts w:ascii="Times New Roman" w:eastAsia="Times New Roman" w:hAnsi="Times New Roman" w:cs="Times New Roman"/>
          <w:i/>
          <w:iCs/>
          <w:color w:val="000000"/>
          <w:spacing w:val="0"/>
          <w:w w:val="100"/>
          <w:position w:val="0"/>
          <w:shd w:val="clear" w:color="auto" w:fill="auto"/>
          <w:lang w:val="en-US" w:eastAsia="en-US" w:bidi="en-US"/>
        </w:rPr>
        <w:t>quitates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IV,8,13); čini se da ga Rabi Johanan pripisuje (b Berahot 33a) muškarcima Ve</w:t>
        <w:softHyphen/>
        <w:t>likoga sabora (kolegij sastavljen prema tradi</w:t>
        <w:softHyphen/>
        <w:t>ciji od 120 muškaraca, koji je nakon Ezre do</w:t>
      </w:r>
    </w:p>
    <w:p>
      <w:pPr>
        <w:pStyle w:val="Style20"/>
        <w:keepNext w:val="0"/>
        <w:keepLines w:val="0"/>
        <w:widowControl w:val="0"/>
        <w:numPr>
          <w:ilvl w:val="0"/>
          <w:numId w:val="49"/>
        </w:numPr>
        <w:shd w:val="clear" w:color="auto" w:fill="auto"/>
        <w:tabs>
          <w:tab w:pos="337"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/II. stoljeća bio na čelu zajednice, usp. M Avot 1,1). Nalazimo i druga mišljenja o ranom podrijetlu </w:t>
      </w:r>
      <w:r>
        <w:rPr>
          <w:rFonts w:ascii="Times New Roman" w:eastAsia="Times New Roman" w:hAnsi="Times New Roman" w:cs="Times New Roman"/>
          <w:i/>
          <w:iCs/>
          <w:color w:val="000000"/>
          <w:spacing w:val="0"/>
          <w:w w:val="100"/>
          <w:position w:val="0"/>
          <w:shd w:val="clear" w:color="auto" w:fill="auto"/>
          <w:lang w:val="hr-HR" w:eastAsia="hr-HR" w:bidi="hr-HR"/>
        </w:rPr>
        <w:t>Šemone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u tradicijskoj literaturi: prema njima »raniji učenjaci« (Šifre uz Pnz 33,2) ili »muškarci Velikoga sabora« (b Bera</w:t>
        <w:softHyphen/>
        <w:t>hot 33a; Mcgila 17b) propisivali su Osam</w:t>
        <w:softHyphen/>
        <w:t xml:space="preserve">naest blagoslova i Raban </w:t>
      </w:r>
      <w:r>
        <w:rPr>
          <w:rFonts w:ascii="Times New Roman" w:eastAsia="Times New Roman" w:hAnsi="Times New Roman" w:cs="Times New Roman"/>
          <w:color w:val="000000"/>
          <w:spacing w:val="0"/>
          <w:w w:val="100"/>
          <w:position w:val="0"/>
          <w:shd w:val="clear" w:color="auto" w:fill="auto"/>
          <w:lang w:val="en-US" w:eastAsia="en-US" w:bidi="en-US"/>
        </w:rPr>
        <w:t xml:space="preserve">Gamliel </w:t>
      </w:r>
      <w:r>
        <w:rPr>
          <w:rFonts w:ascii="Times New Roman" w:eastAsia="Times New Roman" w:hAnsi="Times New Roman" w:cs="Times New Roman"/>
          <w:color w:val="000000"/>
          <w:spacing w:val="0"/>
          <w:w w:val="100"/>
          <w:position w:val="0"/>
          <w:shd w:val="clear" w:color="auto" w:fill="auto"/>
          <w:lang w:val="hr-HR" w:eastAsia="hr-HR" w:bidi="hr-HR"/>
        </w:rPr>
        <w:t>II. u Javne u ponovno je uspostavio pravi redoslijed svojih blagoslova, koji je u međuvremenu bio zabo</w:t>
        <w:softHyphen/>
        <w:t xml:space="preserve">ravljen (b Berahot 28b; Megila I7b,I8a). Cijela molitva, koja se sastojala od različitih dijelova iz različitih vremena, postojala je pod imenom </w:t>
      </w:r>
      <w:r>
        <w:rPr>
          <w:rFonts w:ascii="Times New Roman" w:eastAsia="Times New Roman" w:hAnsi="Times New Roman" w:cs="Times New Roman"/>
          <w:i/>
          <w:iCs/>
          <w:color w:val="000000"/>
          <w:spacing w:val="0"/>
          <w:w w:val="100"/>
          <w:position w:val="0"/>
          <w:shd w:val="clear" w:color="auto" w:fill="auto"/>
          <w:lang w:val="hr-HR" w:eastAsia="hr-HR" w:bidi="hr-HR"/>
        </w:rPr>
        <w:t>Semone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u doba Gamlicla II. (I. stoljeće pos. Kr.) (M Berahot IV,3; b 27b;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IV,7c).</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najstarije dijelove liturgije ubraja se glasno </w:t>
      </w:r>
      <w:r>
        <w:rPr>
          <w:rFonts w:ascii="Times New Roman" w:eastAsia="Times New Roman" w:hAnsi="Times New Roman" w:cs="Times New Roman"/>
          <w:i/>
          <w:iCs/>
          <w:color w:val="000000"/>
          <w:spacing w:val="0"/>
          <w:w w:val="100"/>
          <w:position w:val="0"/>
          <w:shd w:val="clear" w:color="auto" w:fill="auto"/>
          <w:lang w:val="hr-HR" w:eastAsia="hr-HR" w:bidi="hr-HR"/>
        </w:rPr>
        <w:t>čitanje</w:t>
      </w:r>
      <w:r>
        <w:rPr>
          <w:rFonts w:ascii="Times New Roman" w:eastAsia="Times New Roman" w:hAnsi="Times New Roman" w:cs="Times New Roman"/>
          <w:color w:val="000000"/>
          <w:spacing w:val="0"/>
          <w:w w:val="100"/>
          <w:position w:val="0"/>
          <w:shd w:val="clear" w:color="auto" w:fill="auto"/>
          <w:lang w:val="hr-HR" w:eastAsia="hr-HR" w:bidi="hr-HR"/>
        </w:rPr>
        <w:t xml:space="preserve"> iz Tore (Pcntateuh) i Proroka (Jš do 2 Kr te proroci pisci). Prema tradicionalnom shvaćanju navodno je već i Mojsije čitao iz Tore u jutarnjim bogoslužjima na Sabat i blag</w:t>
        <w:softHyphen/>
        <w:t xml:space="preserve">dane kao i na Dan mlađaka, </w:t>
      </w:r>
      <w:r>
        <w:rPr>
          <w:rFonts w:ascii="Times New Roman" w:eastAsia="Times New Roman" w:hAnsi="Times New Roman" w:cs="Times New Roman"/>
          <w:color w:val="000000"/>
          <w:spacing w:val="0"/>
          <w:w w:val="100"/>
          <w:position w:val="0"/>
          <w:shd w:val="clear" w:color="auto" w:fill="auto"/>
          <w:lang w:val="en-US" w:eastAsia="en-US" w:bidi="en-US"/>
        </w:rPr>
        <w:t xml:space="preserve">a Ezra </w:t>
      </w:r>
      <w:r>
        <w:rPr>
          <w:rFonts w:ascii="Times New Roman" w:eastAsia="Times New Roman" w:hAnsi="Times New Roman" w:cs="Times New Roman"/>
          <w:color w:val="000000"/>
          <w:spacing w:val="0"/>
          <w:w w:val="100"/>
          <w:position w:val="0"/>
          <w:shd w:val="clear" w:color="auto" w:fill="auto"/>
          <w:lang w:val="hr-HR" w:eastAsia="hr-HR" w:bidi="hr-HR"/>
        </w:rPr>
        <w:t>jc poredak proširio i na poslijepodnevno b. na Sabat i na tjedna bogoslužja u ponedjeljak i u četvrtak (j Megila IV,75a; usp. b Bava kama 82a). Mišna već navodi tekstove iz Pisma za sve dane na koje se i danas čitaju (Megila III,5 i d.; Tos.</w:t>
      </w:r>
    </w:p>
    <w:p>
      <w:pPr>
        <w:pStyle w:val="Style20"/>
        <w:keepNext w:val="0"/>
        <w:keepLines w:val="0"/>
        <w:widowControl w:val="0"/>
        <w:numPr>
          <w:ilvl w:val="0"/>
          <w:numId w:val="49"/>
        </w:numPr>
        <w:shd w:val="clear" w:color="auto" w:fill="auto"/>
        <w:tabs>
          <w:tab w:pos="346"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5;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III,74b; usp. b 31a). Jednogodišnji ba</w:t>
        <w:softHyphen/>
        <w:t xml:space="preserve">bilonski ciklus, prema kojemu se čila Tora, podijeljena na 54 </w:t>
      </w:r>
      <w:r>
        <w:rPr>
          <w:rFonts w:ascii="Times New Roman" w:eastAsia="Times New Roman" w:hAnsi="Times New Roman" w:cs="Times New Roman"/>
          <w:i/>
          <w:iCs/>
          <w:color w:val="000000"/>
          <w:spacing w:val="0"/>
          <w:w w:val="100"/>
          <w:position w:val="0"/>
          <w:shd w:val="clear" w:color="auto" w:fill="auto"/>
          <w:lang w:val="hr-HR" w:eastAsia="hr-HR" w:bidi="hr-HR"/>
        </w:rPr>
        <w:t>paraše</w:t>
      </w:r>
      <w:r>
        <w:rPr>
          <w:rFonts w:ascii="Times New Roman" w:eastAsia="Times New Roman" w:hAnsi="Times New Roman" w:cs="Times New Roman"/>
          <w:color w:val="000000"/>
          <w:spacing w:val="0"/>
          <w:w w:val="100"/>
          <w:position w:val="0"/>
          <w:shd w:val="clear" w:color="auto" w:fill="auto"/>
          <w:lang w:val="hr-HR" w:eastAsia="hr-HR" w:bidi="hr-HR"/>
        </w:rPr>
        <w:t xml:space="preserve"> (»odlomka«), opće</w:t>
        <w:softHyphen/>
        <w:t xml:space="preserve">nito je prihvaćen u poslijetalmudsko doba, za razliku od trogodišnjeg ciklusa palestinskoga židovstva s podjelom Tore na 154 do 175 </w:t>
      </w:r>
      <w:r>
        <w:rPr>
          <w:rFonts w:ascii="Times New Roman" w:eastAsia="Times New Roman" w:hAnsi="Times New Roman" w:cs="Times New Roman"/>
          <w:i/>
          <w:iCs/>
          <w:color w:val="000000"/>
          <w:spacing w:val="0"/>
          <w:w w:val="100"/>
          <w:position w:val="0"/>
          <w:shd w:val="clear" w:color="auto" w:fill="auto"/>
          <w:lang w:val="hr-HR" w:eastAsia="hr-HR" w:bidi="hr-HR"/>
        </w:rPr>
        <w:t>se- darim</w:t>
      </w:r>
      <w:r>
        <w:rPr>
          <w:rFonts w:ascii="Times New Roman" w:eastAsia="Times New Roman" w:hAnsi="Times New Roman" w:cs="Times New Roman"/>
          <w:color w:val="000000"/>
          <w:spacing w:val="0"/>
          <w:w w:val="100"/>
          <w:position w:val="0"/>
          <w:shd w:val="clear" w:color="auto" w:fill="auto"/>
          <w:lang w:val="hr-HR" w:eastAsia="hr-HR" w:bidi="hr-HR"/>
        </w:rPr>
        <w:t xml:space="preserve"> (»redova«, usp. b Megila 29b; j Šabat XVI,15c). On počinje svaki put na šabat na</w:t>
        <w:softHyphen/>
        <w:t xml:space="preserve">kon Blagdana sjenica i svršava (usp. b Megila 31b) s posljednjim danom Blagdana Sukota, 23. tišrija, koji je dobio ime »Radost Tore« </w:t>
      </w:r>
      <w:r>
        <w:rPr>
          <w:rFonts w:ascii="Times New Roman" w:eastAsia="Times New Roman" w:hAnsi="Times New Roman" w:cs="Times New Roman"/>
          <w:i/>
          <w:iCs/>
          <w:color w:val="000000"/>
          <w:spacing w:val="0"/>
          <w:w w:val="100"/>
          <w:position w:val="0"/>
          <w:shd w:val="clear" w:color="auto" w:fill="auto"/>
          <w:lang w:val="hr-HR" w:eastAsia="hr-HR" w:bidi="hr-HR"/>
        </w:rPr>
        <w:t>(Simhat Tora). Čitanje Tore</w:t>
      </w:r>
      <w:r>
        <w:rPr>
          <w:rFonts w:ascii="Times New Roman" w:eastAsia="Times New Roman" w:hAnsi="Times New Roman" w:cs="Times New Roman"/>
          <w:color w:val="000000"/>
          <w:spacing w:val="0"/>
          <w:w w:val="100"/>
          <w:position w:val="0"/>
          <w:shd w:val="clear" w:color="auto" w:fill="auto"/>
          <w:lang w:val="hr-HR" w:eastAsia="hr-HR" w:bidi="hr-HR"/>
        </w:rPr>
        <w:t xml:space="preserve"> imalo je već u bo</w:t>
        <w:softHyphen/>
      </w:r>
      <w:r>
        <w:rPr>
          <w:rFonts w:ascii="Times New Roman" w:eastAsia="Times New Roman" w:hAnsi="Times New Roman" w:cs="Times New Roman"/>
          <w:color w:val="000000"/>
          <w:spacing w:val="0"/>
          <w:w w:val="100"/>
          <w:position w:val="0"/>
          <w:shd w:val="clear" w:color="auto" w:fill="auto"/>
          <w:lang w:val="hr-HR" w:eastAsia="hr-HR" w:bidi="hr-HR"/>
        </w:rPr>
        <w:t>goslužju Hrama čvrsto mjesto: na Dan pomi</w:t>
        <w:softHyphen/>
        <w:t xml:space="preserve">renja čitao ju jc veliki svećenik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 i 23,26-32 (M Joma VII, 1; Sota VII,7). Naj</w:t>
        <w:softHyphen/>
        <w:t>stariji propis o čitanju Tore zapisan je u Pnz 31,10 za Blagdan sjenica u oprosnoj godini; najstariju vijest o čitanju Tore daje Neh 8 u vezi s izvješćem o Ezrinom obvezivanju židov</w:t>
        <w:softHyphen/>
        <w:t>skoga naroda na Toru.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postegzilskim religijskim nastojanjima svakodnevna je žrtva trebala biti prinesena u jeruzalemskom središnjem svetištu u nazoč</w:t>
        <w:softHyphen/>
        <w:t>nosti »cijeloga Izraela«. Ovdje su korijeni obi</w:t>
        <w:softHyphen/>
        <w:t>čaja u razdoblju drugoga Hrama - i to je u skladu s hramskim bogoslužjem svake klase svećenika i levita naizmjence - da u žrtvenoj službi u Hramu svaki put sudjeluje pučko iza</w:t>
        <w:softHyphen/>
        <w:t xml:space="preserve">slanstvo iz određenog okruga izmjenjujući se svakoga tjedna; ti </w:t>
      </w:r>
      <w:r>
        <w:rPr>
          <w:rFonts w:ascii="Times New Roman" w:eastAsia="Times New Roman" w:hAnsi="Times New Roman" w:cs="Times New Roman"/>
          <w:i/>
          <w:iCs/>
          <w:color w:val="000000"/>
          <w:spacing w:val="0"/>
          <w:w w:val="100"/>
          <w:position w:val="0"/>
          <w:shd w:val="clear" w:color="auto" w:fill="auto"/>
          <w:lang w:val="hr-HR" w:eastAsia="hr-HR" w:bidi="hr-HR"/>
        </w:rPr>
        <w:t>Ma’amadot,</w:t>
      </w:r>
      <w:r>
        <w:rPr>
          <w:rFonts w:ascii="Times New Roman" w:eastAsia="Times New Roman" w:hAnsi="Times New Roman" w:cs="Times New Roman"/>
          <w:color w:val="000000"/>
          <w:spacing w:val="0"/>
          <w:w w:val="100"/>
          <w:position w:val="0"/>
          <w:shd w:val="clear" w:color="auto" w:fill="auto"/>
          <w:lang w:val="hr-HR" w:eastAsia="hr-HR" w:bidi="hr-HR"/>
        </w:rPr>
        <w:t xml:space="preserve"> »stojeće mom</w:t>
        <w:softHyphen/>
        <w:t>čadi« »stajale« su predstavljajući cijeli narod »uspravno« (za vrijeme žrtvovanja pokraj olta</w:t>
        <w:softHyphen/>
        <w:t xml:space="preserve">ra) (amad; usp. M Taanit IV,2). Svakoga dana u tjednu svoje službe predstavnici naroda drže četiri puta službu Božju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IV,I), koja se sastoji od sljedećih dijelova: jutarnja molitva </w:t>
      </w:r>
      <w:r>
        <w:rPr>
          <w:rFonts w:ascii="Times New Roman" w:eastAsia="Times New Roman" w:hAnsi="Times New Roman" w:cs="Times New Roman"/>
          <w:i/>
          <w:iCs/>
          <w:color w:val="000000"/>
          <w:spacing w:val="0"/>
          <w:w w:val="100"/>
          <w:position w:val="0"/>
          <w:shd w:val="clear" w:color="auto" w:fill="auto"/>
          <w:lang w:val="hr-HR" w:eastAsia="hr-HR" w:bidi="hr-HR"/>
        </w:rPr>
        <w:t>(šaharit),</w:t>
      </w:r>
      <w:r>
        <w:rPr>
          <w:rFonts w:ascii="Times New Roman" w:eastAsia="Times New Roman" w:hAnsi="Times New Roman" w:cs="Times New Roman"/>
          <w:color w:val="000000"/>
          <w:spacing w:val="0"/>
          <w:w w:val="100"/>
          <w:position w:val="0"/>
          <w:shd w:val="clear" w:color="auto" w:fill="auto"/>
          <w:lang w:val="hr-HR" w:eastAsia="hr-HR" w:bidi="hr-HR"/>
        </w:rPr>
        <w:t xml:space="preserve"> koja odgovara svakodnevnoj jutarnjoj žrtvi; </w:t>
      </w:r>
      <w:r>
        <w:rPr>
          <w:rFonts w:ascii="Times New Roman" w:eastAsia="Times New Roman" w:hAnsi="Times New Roman" w:cs="Times New Roman"/>
          <w:i/>
          <w:iCs/>
          <w:color w:val="000000"/>
          <w:spacing w:val="0"/>
          <w:w w:val="100"/>
          <w:position w:val="0"/>
          <w:shd w:val="clear" w:color="auto" w:fill="auto"/>
          <w:lang w:val="hr-HR" w:eastAsia="hr-HR" w:bidi="hr-HR"/>
        </w:rPr>
        <w:t>musaf,</w:t>
      </w:r>
      <w:r>
        <w:rPr>
          <w:rFonts w:ascii="Times New Roman" w:eastAsia="Times New Roman" w:hAnsi="Times New Roman" w:cs="Times New Roman"/>
          <w:color w:val="000000"/>
          <w:spacing w:val="0"/>
          <w:w w:val="100"/>
          <w:position w:val="0"/>
          <w:shd w:val="clear" w:color="auto" w:fill="auto"/>
          <w:lang w:val="hr-HR" w:eastAsia="hr-HR" w:bidi="hr-HR"/>
        </w:rPr>
        <w:t xml:space="preserve"> »dodatak« molitve, koji se - u skladu s propisanim dodatnim žrtvama (Br 28 i d.) - izgovarao na šabat, na blagdane i na Dan mlađaka između jutarnje i večernje mo</w:t>
        <w:softHyphen/>
        <w:t xml:space="preserve">litve; poslijepodnevna molitva </w:t>
      </w:r>
      <w:r>
        <w:rPr>
          <w:rFonts w:ascii="Times New Roman" w:eastAsia="Times New Roman" w:hAnsi="Times New Roman" w:cs="Times New Roman"/>
          <w:i/>
          <w:iCs/>
          <w:color w:val="000000"/>
          <w:spacing w:val="0"/>
          <w:w w:val="100"/>
          <w:position w:val="0"/>
          <w:shd w:val="clear" w:color="auto" w:fill="auto"/>
          <w:lang w:val="hr-HR" w:eastAsia="hr-HR" w:bidi="hr-HR"/>
        </w:rPr>
        <w:t>(minha;</w:t>
      </w:r>
      <w:r>
        <w:rPr>
          <w:rFonts w:ascii="Times New Roman" w:eastAsia="Times New Roman" w:hAnsi="Times New Roman" w:cs="Times New Roman"/>
          <w:color w:val="000000"/>
          <w:spacing w:val="0"/>
          <w:w w:val="100"/>
          <w:position w:val="0"/>
          <w:shd w:val="clear" w:color="auto" w:fill="auto"/>
          <w:lang w:val="hr-HR" w:eastAsia="hr-HR" w:bidi="hr-HR"/>
        </w:rPr>
        <w:t xml:space="preserve"> usp. M Pesahim X,l), koja odgovara večernjoj žrtvi; završna molitva u sumraku dok se zatvaraju hramska vrata. Istodobno s tim bogoslužjima dotičnoga </w:t>
      </w:r>
      <w:r>
        <w:rPr>
          <w:rFonts w:ascii="Times New Roman" w:eastAsia="Times New Roman" w:hAnsi="Times New Roman" w:cs="Times New Roman"/>
          <w:i/>
          <w:iCs/>
          <w:color w:val="000000"/>
          <w:spacing w:val="0"/>
          <w:w w:val="100"/>
          <w:position w:val="0"/>
          <w:shd w:val="clear" w:color="auto" w:fill="auto"/>
          <w:lang w:val="hr-HR" w:eastAsia="hr-HR" w:bidi="hr-HR"/>
        </w:rPr>
        <w:t>ma’amad</w:t>
      </w:r>
      <w:r>
        <w:rPr>
          <w:rFonts w:ascii="Times New Roman" w:eastAsia="Times New Roman" w:hAnsi="Times New Roman" w:cs="Times New Roman"/>
          <w:color w:val="000000"/>
          <w:spacing w:val="0"/>
          <w:w w:val="100"/>
          <w:position w:val="0"/>
          <w:shd w:val="clear" w:color="auto" w:fill="auto"/>
          <w:lang w:val="hr-HR" w:eastAsia="hr-HR" w:bidi="hr-HR"/>
        </w:rPr>
        <w:t xml:space="preserve"> u Hramu skupljao se i ostatak pučanstva toga dijela zemlje u mjes</w:t>
        <w:softHyphen/>
        <w:t xml:space="preserve">tima svojega podrijetla na </w:t>
      </w:r>
      <w:r>
        <w:rPr>
          <w:rFonts w:ascii="Times New Roman" w:eastAsia="Times New Roman" w:hAnsi="Times New Roman" w:cs="Times New Roman"/>
          <w:i/>
          <w:iCs/>
          <w:color w:val="000000"/>
          <w:spacing w:val="0"/>
          <w:w w:val="100"/>
          <w:position w:val="0"/>
          <w:shd w:val="clear" w:color="auto" w:fill="auto"/>
          <w:lang w:val="hr-HR" w:eastAsia="hr-HR" w:bidi="hr-HR"/>
        </w:rPr>
        <w:t>molitvama, čitanju Tore i svečeničkim blagoslovima</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IV,2). Taj uobičajeni red službe Božje prema Mišni bez žrtvene službe obavljao se, čini se, u litur</w:t>
        <w:softHyphen/>
        <w:t>giji na dane javnoga posta, s kojom se u ve</w:t>
        <w:softHyphen/>
        <w:t xml:space="preserve">likom stupnju poklapa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II—IV).</w:t>
      </w:r>
    </w:p>
    <w:p>
      <w:pPr>
        <w:pStyle w:val="Style20"/>
        <w:keepNext w:val="0"/>
        <w:keepLines w:val="0"/>
        <w:widowControl w:val="0"/>
        <w:numPr>
          <w:ilvl w:val="0"/>
          <w:numId w:val="4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»Molitve su poredane prema dnevnim žrtva</w:t>
        <w:softHyphen/>
        <w:t>ma.«</w:t>
      </w:r>
      <w:r>
        <w:rPr>
          <w:rFonts w:ascii="Times New Roman" w:eastAsia="Times New Roman" w:hAnsi="Times New Roman" w:cs="Times New Roman"/>
          <w:color w:val="000000"/>
          <w:spacing w:val="0"/>
          <w:w w:val="100"/>
          <w:position w:val="0"/>
          <w:shd w:val="clear" w:color="auto" w:fill="auto"/>
          <w:lang w:val="hr-HR" w:eastAsia="hr-HR" w:bidi="hr-HR"/>
        </w:rPr>
        <w:t xml:space="preserve"> Nakon razorenja Hrama 70. pos. Kr. i odbacivanja žrtvenog bogoštovlja </w:t>
      </w:r>
      <w:r>
        <w:rPr>
          <w:rFonts w:ascii="Times New Roman" w:eastAsia="Times New Roman" w:hAnsi="Times New Roman" w:cs="Times New Roman"/>
          <w:i/>
          <w:iCs/>
          <w:color w:val="000000"/>
          <w:spacing w:val="0"/>
          <w:w w:val="100"/>
          <w:position w:val="0"/>
          <w:shd w:val="clear" w:color="auto" w:fill="auto"/>
          <w:lang w:val="hr-HR" w:eastAsia="hr-HR" w:bidi="hr-HR"/>
        </w:rPr>
        <w:t>(a voda,</w:t>
      </w:r>
      <w:r>
        <w:rPr>
          <w:rFonts w:ascii="Times New Roman" w:eastAsia="Times New Roman" w:hAnsi="Times New Roman" w:cs="Times New Roman"/>
          <w:color w:val="000000"/>
          <w:spacing w:val="0"/>
          <w:w w:val="100"/>
          <w:position w:val="0"/>
          <w:shd w:val="clear" w:color="auto" w:fill="auto"/>
          <w:lang w:val="hr-HR" w:eastAsia="hr-HR" w:bidi="hr-HR"/>
        </w:rPr>
        <w:t xml:space="preserve"> usp. M Avot 1,2) b. jc nastavilo živjeti u davno raz</w:t>
        <w:softHyphen/>
        <w:t>vijenom obliku molitvene liturgije (avoda še- ba-leb, »služba srcem«, b Taanit 2a, usp. Šifre Pnz 11,3) skupština u sinagogama. Tradicija je od rodozačetnika preuzela podjelu (Tos. Be</w:t>
        <w:softHyphen/>
        <w:t xml:space="preserve">rahot III,6 uz Pnz 6,11 i Ps 55,18; usp.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IV,7a; b 31a; Berešit raba LXVIII,28,11) na jutarnju, popodnevnu i večernju molitvu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(šaharit, min- </w:t>
      </w:r>
      <w:r>
        <w:rPr>
          <w:rFonts w:ascii="Times New Roman" w:eastAsia="Times New Roman" w:hAnsi="Times New Roman" w:cs="Times New Roman"/>
          <w:i/>
          <w:iCs/>
          <w:color w:val="000000"/>
          <w:spacing w:val="0"/>
          <w:w w:val="100"/>
          <w:position w:val="0"/>
          <w:shd w:val="clear" w:color="auto" w:fill="auto"/>
          <w:lang w:val="hr-HR" w:eastAsia="hr-HR" w:bidi="hr-HR"/>
        </w:rPr>
        <w:t>ha i ma'ariv):</w:t>
      </w:r>
      <w:r>
        <w:rPr>
          <w:rFonts w:ascii="Times New Roman" w:eastAsia="Times New Roman" w:hAnsi="Times New Roman" w:cs="Times New Roman"/>
          <w:color w:val="000000"/>
          <w:spacing w:val="0"/>
          <w:w w:val="100"/>
          <w:position w:val="0"/>
          <w:shd w:val="clear" w:color="auto" w:fill="auto"/>
          <w:lang w:val="hr-HR" w:eastAsia="hr-HR" w:bidi="hr-HR"/>
        </w:rPr>
        <w:t xml:space="preserve"> »Molitve su propisali praoci«; no, mudraci bi molitvena vremena povezivali s trima dnevnim žrtvenim službama: »Molitve su poredane prema dnevnim žrtvama« (b Be- rahot 26b; usp. j IV,7a-b). Rabini su željeli čovjekov cijeli dan posvetiti pohvali Stvorite</w:t>
        <w:softHyphen/>
        <w:t>lja: njihova utvrđena molitvena vremena »od</w:t>
        <w:softHyphen/>
        <w:t>govaraju trokratnoj promjeni sunca iznad stvorenja. Jutrom čovjek treba reči: Zahvalju</w:t>
        <w:softHyphen/>
        <w:t>jem Tebi, Gospodine, moj Bože i Bože mojih otaca, što si me iz tame izveo na svjetlo. Po</w:t>
        <w:softHyphen/>
        <w:t>slije podne čovjek treba reći: Zahvaljujem Te</w:t>
        <w:softHyphen/>
        <w:t>bi, Gospodine, moj Bože i Bože mojih otaca, što si mc udostojao time da gledam sunce na istoku, pa me udostoj da ga gledam na zapa</w:t>
        <w:softHyphen/>
        <w:t>du. Navečer treba reći: Neka bude zadovolj</w:t>
        <w:softHyphen/>
        <w:t>stvo pred Tobom, moj Bože i Bože mojih ota</w:t>
        <w:softHyphen/>
        <w:t xml:space="preserve">ca, što si me Ti, dok sam bio u tami, izveo na svjetlost i što me želiš (i dalje) izvoditi iz tame na svjetlost«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Berahot IV,7a; Berešit raba </w:t>
      </w:r>
      <w:r>
        <w:rPr>
          <w:rFonts w:ascii="Times New Roman" w:eastAsia="Times New Roman" w:hAnsi="Times New Roman" w:cs="Times New Roman"/>
          <w:color w:val="000000"/>
          <w:spacing w:val="0"/>
          <w:w w:val="100"/>
          <w:position w:val="0"/>
          <w:shd w:val="clear" w:color="auto" w:fill="auto"/>
          <w:lang w:val="en-US" w:eastAsia="en-US" w:bidi="en-US"/>
        </w:rPr>
        <w:t>LXVIII,</w:t>
      </w:r>
      <w:r>
        <w:rPr>
          <w:rFonts w:ascii="Times New Roman" w:eastAsia="Times New Roman" w:hAnsi="Times New Roman" w:cs="Times New Roman"/>
          <w:color w:val="000000"/>
          <w:spacing w:val="0"/>
          <w:w w:val="100"/>
          <w:position w:val="0"/>
          <w:shd w:val="clear" w:color="auto" w:fill="auto"/>
          <w:lang w:val="hr-HR" w:eastAsia="hr-HR" w:bidi="hr-HR"/>
        </w:rPr>
        <w:t xml:space="preserve">28,11; Tanhuma 30b). Srednjovjekovni pjesnik i religijski filozof Juda </w:t>
      </w:r>
      <w:r>
        <w:rPr>
          <w:rFonts w:ascii="Times New Roman" w:eastAsia="Times New Roman" w:hAnsi="Times New Roman" w:cs="Times New Roman"/>
          <w:color w:val="000000"/>
          <w:spacing w:val="0"/>
          <w:w w:val="100"/>
          <w:position w:val="0"/>
          <w:shd w:val="clear" w:color="auto" w:fill="auto"/>
          <w:lang w:val="en-US" w:eastAsia="en-US" w:bidi="en-US"/>
        </w:rPr>
        <w:t xml:space="preserve">Halevi (XI./XI1. </w:t>
      </w:r>
      <w:r>
        <w:rPr>
          <w:rFonts w:ascii="Times New Roman" w:eastAsia="Times New Roman" w:hAnsi="Times New Roman" w:cs="Times New Roman"/>
          <w:color w:val="000000"/>
          <w:spacing w:val="0"/>
          <w:w w:val="100"/>
          <w:position w:val="0"/>
          <w:shd w:val="clear" w:color="auto" w:fill="auto"/>
          <w:lang w:val="hr-HR" w:eastAsia="hr-HR" w:bidi="hr-HR"/>
        </w:rPr>
        <w:t>stoljeće) vidio je važnost molitvenih vremena i u živom odnosu sa Stvoriteljem: »Sat molitve čini jezgru i cvat vremena pobožnika, a ostali satovi čine samo putove koji vode k tom satu. Tako cvat dana i noći čine tri molitvena vre</w:t>
        <w:softHyphen/>
        <w:t>mena kao što je šabat cvat tjedna. Taj ras</w:t>
        <w:softHyphen/>
        <w:t>pored ponaša se prema duši kao red prehrane prema tijelu; blagoslov molitve dopire do slje</w:t>
        <w:softHyphen/>
        <w:t>dećeg molitvenog vremena kao što traje uči</w:t>
        <w:softHyphen/>
        <w:t>nak ručka do večere. Što se molitveno vrijeme više udaljava od duše, polako je sve više zamra</w:t>
        <w:softHyphen/>
        <w:t xml:space="preserve">čuje dodir sa svjetovnim zanimanjima... U vrijeme molitve pobožnik čisti dušu od svega prethodnog i usmjerava je prema onomu što dolazi, pa ni jedan tjedan ne prolazi bez takva popravka duše i tijela </w:t>
      </w:r>
      <w:r>
        <w:rPr>
          <w:rFonts w:ascii="Times New Roman" w:eastAsia="Times New Roman" w:hAnsi="Times New Roman" w:cs="Times New Roman"/>
          <w:i/>
          <w:iCs/>
          <w:color w:val="000000"/>
          <w:spacing w:val="0"/>
          <w:w w:val="100"/>
          <w:position w:val="0"/>
          <w:shd w:val="clear" w:color="auto" w:fill="auto"/>
          <w:lang w:val="hr-HR" w:eastAsia="hr-HR" w:bidi="hr-HR"/>
        </w:rPr>
        <w:t>(Knjiga o Hazaru</w:t>
      </w:r>
      <w:r>
        <w:rPr>
          <w:rFonts w:ascii="Times New Roman" w:eastAsia="Times New Roman" w:hAnsi="Times New Roman" w:cs="Times New Roman"/>
          <w:color w:val="000000"/>
          <w:spacing w:val="0"/>
          <w:w w:val="100"/>
          <w:position w:val="0"/>
          <w:shd w:val="clear" w:color="auto" w:fill="auto"/>
          <w:lang w:val="hr-HR" w:eastAsia="hr-HR" w:bidi="hr-HR"/>
        </w:rPr>
        <w:t xml:space="preserve"> III,5).</w:t>
      </w:r>
    </w:p>
    <w:p>
      <w:pPr>
        <w:pStyle w:val="Style20"/>
        <w:keepNext w:val="0"/>
        <w:keepLines w:val="0"/>
        <w:widowControl w:val="0"/>
        <w:numPr>
          <w:ilvl w:val="0"/>
          <w:numId w:val="47"/>
        </w:numPr>
        <w:shd w:val="clear" w:color="auto" w:fill="auto"/>
        <w:tabs>
          <w:tab w:pos="250" w:val="left"/>
        </w:tabs>
        <w:bidi w:val="0"/>
        <w:spacing w:before="0" w:after="60"/>
        <w:ind w:left="0" w:right="0" w:firstLine="0"/>
        <w:jc w:val="both"/>
        <w:sectPr>
          <w:headerReference w:type="default" r:id="rId211"/>
          <w:footerReference w:type="default" r:id="rId212"/>
          <w:headerReference w:type="even" r:id="rId213"/>
          <w:footerReference w:type="even" r:id="rId214"/>
          <w:headerReference w:type="first" r:id="rId215"/>
          <w:footerReference w:type="first" r:id="rId216"/>
          <w:footnotePr>
            <w:pos w:val="pageBottom"/>
            <w:numFmt w:val="decimal"/>
            <w:numStart w:val="5"/>
            <w:numRestart w:val="continuous"/>
            <w15:footnoteColumns w:val="1"/>
          </w:footnotePr>
          <w:pgSz w:w="6816" w:h="11006"/>
          <w:pgMar w:top="954" w:left="178" w:right="182" w:bottom="525" w:header="0" w:footer="3" w:gutter="0"/>
          <w:cols w:num="2" w:space="15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»Tvoju naklonost objaviti ujutro, u noćima Tvoju vjernost.</w:t>
      </w:r>
      <w:r>
        <w:rPr>
          <w:rFonts w:ascii="Times New Roman" w:eastAsia="Times New Roman" w:hAnsi="Times New Roman" w:cs="Times New Roman"/>
          <w:color w:val="000000"/>
          <w:spacing w:val="0"/>
          <w:w w:val="100"/>
          <w:position w:val="0"/>
          <w:shd w:val="clear" w:color="auto" w:fill="auto"/>
          <w:lang w:val="hr-HR" w:eastAsia="hr-HR" w:bidi="hr-HR"/>
        </w:rPr>
        <w:t>« Jutarnja i večernja molitva od</w:t>
        <w:softHyphen/>
        <w:t>ražavaju važnost koju dan i noć imaju za čo</w:t>
        <w:softHyphen/>
        <w:t>vjeka, posebice za pripadnike židovskoga na</w:t>
        <w:softHyphen/>
        <w:t xml:space="preserve">roda. Jutarnja molitva </w:t>
      </w:r>
      <w:r>
        <w:rPr>
          <w:rFonts w:ascii="Times New Roman" w:eastAsia="Times New Roman" w:hAnsi="Times New Roman" w:cs="Times New Roman"/>
          <w:i/>
          <w:iCs/>
          <w:color w:val="000000"/>
          <w:spacing w:val="0"/>
          <w:w w:val="100"/>
          <w:position w:val="0"/>
          <w:shd w:val="clear" w:color="auto" w:fill="auto"/>
          <w:lang w:val="hr-HR" w:eastAsia="hr-HR" w:bidi="hr-HR"/>
        </w:rPr>
        <w:t>(lefilal šahant,</w:t>
      </w:r>
      <w:r>
        <w:rPr>
          <w:rFonts w:ascii="Times New Roman" w:eastAsia="Times New Roman" w:hAnsi="Times New Roman" w:cs="Times New Roman"/>
          <w:color w:val="000000"/>
          <w:spacing w:val="0"/>
          <w:w w:val="100"/>
          <w:position w:val="0"/>
          <w:shd w:val="clear" w:color="auto" w:fill="auto"/>
          <w:lang w:val="hr-HR" w:eastAsia="hr-HR" w:bidi="hr-HR"/>
        </w:rPr>
        <w:t xml:space="preserve"> usp. M Berahot IV,1) upućuje u prvom dijelu svojeg uvoda </w:t>
      </w:r>
      <w:r>
        <w:rPr>
          <w:rFonts w:ascii="Times New Roman" w:eastAsia="Times New Roman" w:hAnsi="Times New Roman" w:cs="Times New Roman"/>
          <w:i/>
          <w:iCs/>
          <w:color w:val="000000"/>
          <w:spacing w:val="0"/>
          <w:w w:val="100"/>
          <w:position w:val="0"/>
          <w:shd w:val="clear" w:color="auto" w:fill="auto"/>
          <w:lang w:val="hr-HR" w:eastAsia="hr-HR" w:bidi="hr-HR"/>
        </w:rPr>
        <w:t>(birhot ha-šahar,</w:t>
      </w:r>
      <w:r>
        <w:rPr>
          <w:rFonts w:ascii="Times New Roman" w:eastAsia="Times New Roman" w:hAnsi="Times New Roman" w:cs="Times New Roman"/>
          <w:color w:val="000000"/>
          <w:spacing w:val="0"/>
          <w:w w:val="100"/>
          <w:position w:val="0"/>
          <w:shd w:val="clear" w:color="auto" w:fill="auto"/>
          <w:lang w:val="hr-HR" w:eastAsia="hr-HR" w:bidi="hr-HR"/>
        </w:rPr>
        <w:t xml:space="preserve"> »jutarnji blagoslovi«, usp. b Berahot 60b) molitelja na to da u sve</w:t>
        <w:softHyphen/>
        <w:t>mu, u radnjama koje su naoko same po sebi razumljive i koje može obaviti ujutro s ustaja</w:t>
        <w:softHyphen/>
        <w:t xml:space="preserve">njem, priznaje božju nazočnost koja pomaže i stoga prije svake pojedine radnje hvali Boga posebnim blagoslovom </w:t>
      </w:r>
      <w:r>
        <w:rPr>
          <w:rFonts w:ascii="Times New Roman" w:eastAsia="Times New Roman" w:hAnsi="Times New Roman" w:cs="Times New Roman"/>
          <w:i/>
          <w:iCs/>
          <w:color w:val="000000"/>
          <w:spacing w:val="0"/>
          <w:w w:val="100"/>
          <w:position w:val="0"/>
          <w:shd w:val="clear" w:color="auto" w:fill="auto"/>
          <w:lang w:val="hr-HR" w:eastAsia="hr-HR" w:bidi="hr-HR"/>
        </w:rPr>
        <w:t>(beraha).</w:t>
      </w:r>
      <w:r>
        <w:rPr>
          <w:rFonts w:ascii="Times New Roman" w:eastAsia="Times New Roman" w:hAnsi="Times New Roman" w:cs="Times New Roman"/>
          <w:color w:val="000000"/>
          <w:spacing w:val="0"/>
          <w:w w:val="100"/>
          <w:position w:val="0"/>
          <w:shd w:val="clear" w:color="auto" w:fill="auto"/>
          <w:lang w:val="hr-HR" w:eastAsia="hr-HR" w:bidi="hr-HR"/>
        </w:rPr>
        <w:t xml:space="preserve"> Drugi uvod</w:t>
        <w:softHyphen/>
        <w:t xml:space="preserve">ni dio poziva pobožnika da zbog uzvišenosti i </w:t>
      </w:r>
      <w:r>
        <w:rPr>
          <w:rFonts w:ascii="Times New Roman" w:eastAsia="Times New Roman" w:hAnsi="Times New Roman" w:cs="Times New Roman"/>
          <w:color w:val="000000"/>
          <w:spacing w:val="0"/>
          <w:w w:val="100"/>
          <w:position w:val="0"/>
          <w:shd w:val="clear" w:color="auto" w:fill="auto"/>
          <w:lang w:val="hr-HR" w:eastAsia="hr-HR" w:bidi="hr-HR"/>
        </w:rPr>
        <w:t>ljepote stvaranja i Božjeg povijesnog djelova</w:t>
        <w:softHyphen/>
        <w:t>nja hvali Gospodara stvorenoga djela i povi</w:t>
        <w:softHyphen/>
        <w:t xml:space="preserve">jesti; jezgru odlomka </w:t>
      </w:r>
      <w:r>
        <w:rPr>
          <w:rFonts w:ascii="Times New Roman" w:eastAsia="Times New Roman" w:hAnsi="Times New Roman" w:cs="Times New Roman"/>
          <w:i/>
          <w:iCs/>
          <w:color w:val="000000"/>
          <w:spacing w:val="0"/>
          <w:w w:val="100"/>
          <w:position w:val="0"/>
          <w:shd w:val="clear" w:color="auto" w:fill="auto"/>
          <w:lang w:val="hr-HR" w:eastAsia="hr-HR" w:bidi="hr-HR"/>
        </w:rPr>
        <w:t>(pesuke de-zimra,</w:t>
      </w:r>
      <w:r>
        <w:rPr>
          <w:rFonts w:ascii="Times New Roman" w:eastAsia="Times New Roman" w:hAnsi="Times New Roman" w:cs="Times New Roman"/>
          <w:color w:val="000000"/>
          <w:spacing w:val="0"/>
          <w:w w:val="100"/>
          <w:position w:val="0"/>
          <w:shd w:val="clear" w:color="auto" w:fill="auto"/>
          <w:lang w:val="hr-HR" w:eastAsia="hr-HR" w:bidi="hr-HR"/>
        </w:rPr>
        <w:t xml:space="preserve"> »psa- lamski stihovi«) čine Psalmi 145 - 150 koji su poput </w:t>
      </w:r>
      <w:r>
        <w:rPr>
          <w:rFonts w:ascii="Times New Roman" w:eastAsia="Times New Roman" w:hAnsi="Times New Roman" w:cs="Times New Roman"/>
          <w:i/>
          <w:iCs/>
          <w:color w:val="000000"/>
          <w:spacing w:val="0"/>
          <w:w w:val="100"/>
          <w:position w:val="0"/>
          <w:shd w:val="clear" w:color="auto" w:fill="auto"/>
          <w:lang w:val="hr-HR" w:eastAsia="hr-HR" w:bidi="hr-HR"/>
        </w:rPr>
        <w:t>Halela</w:t>
      </w:r>
      <w:r>
        <w:rPr>
          <w:rFonts w:ascii="Times New Roman" w:eastAsia="Times New Roman" w:hAnsi="Times New Roman" w:cs="Times New Roman"/>
          <w:color w:val="000000"/>
          <w:spacing w:val="0"/>
          <w:w w:val="100"/>
          <w:position w:val="0"/>
          <w:shd w:val="clear" w:color="auto" w:fill="auto"/>
          <w:lang w:val="hr-HR" w:eastAsia="hr-HR" w:bidi="hr-HR"/>
        </w:rPr>
        <w:t xml:space="preserve"> (Ps 113-118) uokvireni s po jed</w:t>
        <w:softHyphen/>
        <w:t xml:space="preserve">nom </w:t>
      </w:r>
      <w:r>
        <w:rPr>
          <w:rFonts w:ascii="Times New Roman" w:eastAsia="Times New Roman" w:hAnsi="Times New Roman" w:cs="Times New Roman"/>
          <w:i/>
          <w:iCs/>
          <w:color w:val="000000"/>
          <w:spacing w:val="0"/>
          <w:w w:val="100"/>
          <w:position w:val="0"/>
          <w:shd w:val="clear" w:color="auto" w:fill="auto"/>
          <w:lang w:val="hr-HR" w:eastAsia="hr-HR" w:bidi="hr-HR"/>
        </w:rPr>
        <w:t>berahom</w:t>
      </w:r>
      <w:r>
        <w:rPr>
          <w:rFonts w:ascii="Times New Roman" w:eastAsia="Times New Roman" w:hAnsi="Times New Roman" w:cs="Times New Roman"/>
          <w:color w:val="000000"/>
          <w:spacing w:val="0"/>
          <w:w w:val="100"/>
          <w:position w:val="0"/>
          <w:shd w:val="clear" w:color="auto" w:fill="auto"/>
          <w:lang w:val="hr-HR" w:eastAsia="hr-HR" w:bidi="hr-HR"/>
        </w:rPr>
        <w:t xml:space="preserve"> (M Berahot IX; b 57b; M Taanit 11,2-4) i po kojoj su tako nazvani (usp. b Šabat 118b). Drugi </w:t>
      </w:r>
      <w:r>
        <w:rPr>
          <w:rFonts w:ascii="Times New Roman" w:eastAsia="Times New Roman" w:hAnsi="Times New Roman" w:cs="Times New Roman"/>
          <w:i/>
          <w:iCs/>
          <w:color w:val="000000"/>
          <w:spacing w:val="0"/>
          <w:w w:val="100"/>
          <w:position w:val="0"/>
          <w:shd w:val="clear" w:color="auto" w:fill="auto"/>
          <w:lang w:val="hr-HR" w:eastAsia="hr-HR" w:bidi="hr-HR"/>
        </w:rPr>
        <w:t>zemirot</w:t>
      </w:r>
      <w:r>
        <w:rPr>
          <w:rFonts w:ascii="Times New Roman" w:eastAsia="Times New Roman" w:hAnsi="Times New Roman" w:cs="Times New Roman"/>
          <w:color w:val="000000"/>
          <w:spacing w:val="0"/>
          <w:w w:val="100"/>
          <w:position w:val="0"/>
          <w:shd w:val="clear" w:color="auto" w:fill="auto"/>
          <w:lang w:val="hr-HR" w:eastAsia="hr-HR" w:bidi="hr-HR"/>
        </w:rPr>
        <w:t xml:space="preserve"> (»pjesme, psal</w:t>
        <w:softHyphen/>
        <w:t xml:space="preserve">mi«), npr. Ps 100; 30 i psalamski stihovi, npr. u 1 Ljet 16,8-36, dodavani su tijekom stoljeća; zatim slijedi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 xml:space="preserve">zahvalnica (1 Ljet 29,10-13), Nchcmijin hvalospjev (Neh 9,6-11) i Mojsijcva pjesma zahvale za izbavljenje (Izl 14,30-15,18). Na šabat i blagdane </w:t>
      </w:r>
      <w:r>
        <w:rPr>
          <w:rFonts w:ascii="Times New Roman" w:eastAsia="Times New Roman" w:hAnsi="Times New Roman" w:cs="Times New Roman"/>
          <w:i/>
          <w:iCs/>
          <w:color w:val="000000"/>
          <w:spacing w:val="0"/>
          <w:w w:val="100"/>
          <w:position w:val="0"/>
          <w:shd w:val="clear" w:color="auto" w:fill="auto"/>
          <w:lang w:val="hr-HR" w:eastAsia="hr-HR" w:bidi="hr-HR"/>
        </w:rPr>
        <w:t>zemirot</w:t>
      </w:r>
      <w:r>
        <w:rPr>
          <w:rFonts w:ascii="Times New Roman" w:eastAsia="Times New Roman" w:hAnsi="Times New Roman" w:cs="Times New Roman"/>
          <w:color w:val="000000"/>
          <w:spacing w:val="0"/>
          <w:w w:val="100"/>
          <w:position w:val="0"/>
          <w:shd w:val="clear" w:color="auto" w:fill="auto"/>
          <w:lang w:val="hr-HR" w:eastAsia="hr-HR" w:bidi="hr-HR"/>
        </w:rPr>
        <w:t xml:space="preserve"> su se proširili psalmima Ps 33; 34; 90; 91, a u ne</w:t>
        <w:softHyphen/>
        <w:t xml:space="preserve">kim obredima još i s Ps 19; 135 i 136 (usp. Pe- sahim 118a). Šabatni </w:t>
      </w:r>
      <w:r>
        <w:rPr>
          <w:rFonts w:ascii="Times New Roman" w:eastAsia="Times New Roman" w:hAnsi="Times New Roman" w:cs="Times New Roman"/>
          <w:i/>
          <w:iCs/>
          <w:color w:val="000000"/>
          <w:spacing w:val="0"/>
          <w:w w:val="100"/>
          <w:position w:val="0"/>
          <w:shd w:val="clear" w:color="auto" w:fill="auto"/>
          <w:lang w:val="hr-HR" w:eastAsia="hr-HR" w:bidi="hr-HR"/>
        </w:rPr>
        <w:t>zemirot</w:t>
      </w:r>
      <w:r>
        <w:rPr>
          <w:rFonts w:ascii="Times New Roman" w:eastAsia="Times New Roman" w:hAnsi="Times New Roman" w:cs="Times New Roman"/>
          <w:color w:val="000000"/>
          <w:spacing w:val="0"/>
          <w:w w:val="100"/>
          <w:position w:val="0"/>
          <w:shd w:val="clear" w:color="auto" w:fill="auto"/>
          <w:lang w:val="hr-HR" w:eastAsia="hr-HR" w:bidi="hr-HR"/>
        </w:rPr>
        <w:t xml:space="preserve"> završavaju u him</w:t>
        <w:softHyphen/>
        <w:t xml:space="preserve">nu »Dah svega živog neka blagoslovi tvoje ime...« </w:t>
      </w:r>
      <w:r>
        <w:rPr>
          <w:rFonts w:ascii="Times New Roman" w:eastAsia="Times New Roman" w:hAnsi="Times New Roman" w:cs="Times New Roman"/>
          <w:i/>
          <w:iCs/>
          <w:color w:val="000000"/>
          <w:spacing w:val="0"/>
          <w:w w:val="100"/>
          <w:position w:val="0"/>
          <w:shd w:val="clear" w:color="auto" w:fill="auto"/>
          <w:lang w:val="hr-HR" w:eastAsia="hr-HR" w:bidi="hr-HR"/>
        </w:rPr>
        <w:t>(nišmat kol-haj).</w:t>
      </w:r>
      <w:r>
        <w:rPr>
          <w:rFonts w:ascii="Times New Roman" w:eastAsia="Times New Roman" w:hAnsi="Times New Roman" w:cs="Times New Roman"/>
          <w:color w:val="000000"/>
          <w:spacing w:val="0"/>
          <w:w w:val="100"/>
          <w:position w:val="0"/>
          <w:shd w:val="clear" w:color="auto" w:fill="auto"/>
          <w:lang w:val="hr-HR" w:eastAsia="hr-HR" w:bidi="hr-HR"/>
        </w:rPr>
        <w:t xml:space="preserve"> Namjera jutarnje mo</w:t>
        <w:softHyphen/>
        <w:t xml:space="preserve">litve doseže vrhunac u </w:t>
      </w:r>
      <w:r>
        <w:rPr>
          <w:rFonts w:ascii="Times New Roman" w:eastAsia="Times New Roman" w:hAnsi="Times New Roman" w:cs="Times New Roman"/>
          <w:i/>
          <w:iCs/>
          <w:color w:val="000000"/>
          <w:spacing w:val="0"/>
          <w:w w:val="100"/>
          <w:position w:val="0"/>
          <w:shd w:val="clear" w:color="auto" w:fill="auto"/>
          <w:lang w:val="hr-HR" w:eastAsia="hr-HR" w:bidi="hr-HR"/>
        </w:rPr>
        <w:t>berahi</w:t>
      </w:r>
      <w:r>
        <w:rPr>
          <w:rFonts w:ascii="Times New Roman" w:eastAsia="Times New Roman" w:hAnsi="Times New Roman" w:cs="Times New Roman"/>
          <w:color w:val="000000"/>
          <w:spacing w:val="0"/>
          <w:w w:val="100"/>
          <w:position w:val="0"/>
          <w:shd w:val="clear" w:color="auto" w:fill="auto"/>
          <w:lang w:val="hr-HR" w:eastAsia="hr-HR" w:bidi="hr-HR"/>
        </w:rPr>
        <w:t xml:space="preserve"> iza teksta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Šema: </w:t>
      </w:r>
      <w:r>
        <w:rPr>
          <w:rFonts w:ascii="Times New Roman" w:eastAsia="Times New Roman" w:hAnsi="Times New Roman" w:cs="Times New Roman"/>
          <w:color w:val="000000"/>
          <w:spacing w:val="0"/>
          <w:w w:val="100"/>
          <w:position w:val="0"/>
          <w:shd w:val="clear" w:color="auto" w:fill="auto"/>
          <w:lang w:val="hr-HR" w:eastAsia="hr-HR" w:bidi="hr-HR"/>
        </w:rPr>
        <w:t xml:space="preserve">»Istinit i nepromjenjiv...« </w:t>
      </w:r>
      <w:r>
        <w:rPr>
          <w:rFonts w:ascii="Times New Roman" w:eastAsia="Times New Roman" w:hAnsi="Times New Roman" w:cs="Times New Roman"/>
          <w:i/>
          <w:iCs/>
          <w:color w:val="000000"/>
          <w:spacing w:val="0"/>
          <w:w w:val="100"/>
          <w:position w:val="0"/>
          <w:shd w:val="clear" w:color="auto" w:fill="auto"/>
          <w:lang w:val="hr-HR" w:eastAsia="hr-HR" w:bidi="hr-HR"/>
        </w:rPr>
        <w:t>(emet vejaciv)-,</w:t>
      </w:r>
      <w:r>
        <w:rPr>
          <w:rFonts w:ascii="Times New Roman" w:eastAsia="Times New Roman" w:hAnsi="Times New Roman" w:cs="Times New Roman"/>
          <w:color w:val="000000"/>
          <w:spacing w:val="0"/>
          <w:w w:val="100"/>
          <w:position w:val="0"/>
          <w:shd w:val="clear" w:color="auto" w:fill="auto"/>
          <w:lang w:val="hr-HR" w:eastAsia="hr-HR" w:bidi="hr-HR"/>
        </w:rPr>
        <w:t xml:space="preserve"> ona slavi Boga zbog izbavljenja Izraela iz svih tam</w:t>
        <w:softHyphen/>
        <w:t xml:space="preserve">nih noći </w:t>
      </w:r>
      <w:r>
        <w:rPr>
          <w:rFonts w:ascii="Times New Roman" w:eastAsia="Times New Roman" w:hAnsi="Times New Roman" w:cs="Times New Roman"/>
          <w:i/>
          <w:iCs/>
          <w:color w:val="000000"/>
          <w:spacing w:val="0"/>
          <w:w w:val="100"/>
          <w:position w:val="0"/>
          <w:shd w:val="clear" w:color="auto" w:fill="auto"/>
          <w:lang w:val="hr-HR" w:eastAsia="hr-HR" w:bidi="hr-HR"/>
        </w:rPr>
        <w:t>galuta</w:t>
      </w:r>
      <w:r>
        <w:rPr>
          <w:rFonts w:ascii="Times New Roman" w:eastAsia="Times New Roman" w:hAnsi="Times New Roman" w:cs="Times New Roman"/>
          <w:color w:val="000000"/>
          <w:spacing w:val="0"/>
          <w:w w:val="100"/>
          <w:position w:val="0"/>
          <w:shd w:val="clear" w:color="auto" w:fill="auto"/>
          <w:lang w:val="hr-HR" w:eastAsia="hr-HR" w:bidi="hr-HR"/>
        </w:rPr>
        <w:t xml:space="preserve"> (egzila). Ovdje je uočljiva ka</w:t>
        <w:softHyphen/>
        <w:t xml:space="preserve">rakteristična razlika između </w:t>
      </w:r>
      <w:r>
        <w:rPr>
          <w:rFonts w:ascii="Times New Roman" w:eastAsia="Times New Roman" w:hAnsi="Times New Roman" w:cs="Times New Roman"/>
          <w:i/>
          <w:iCs/>
          <w:color w:val="000000"/>
          <w:spacing w:val="0"/>
          <w:w w:val="100"/>
          <w:position w:val="0"/>
          <w:shd w:val="clear" w:color="auto" w:fill="auto"/>
          <w:lang w:val="hr-HR" w:eastAsia="hr-HR" w:bidi="hr-HR"/>
        </w:rPr>
        <w:t>tefilat šaharit</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te- filat ha-erev)</w:t>
      </w:r>
      <w:r>
        <w:rPr>
          <w:rFonts w:ascii="Times New Roman" w:eastAsia="Times New Roman" w:hAnsi="Times New Roman" w:cs="Times New Roman"/>
          <w:color w:val="000000"/>
          <w:spacing w:val="0"/>
          <w:w w:val="100"/>
          <w:position w:val="0"/>
          <w:shd w:val="clear" w:color="auto" w:fill="auto"/>
          <w:lang w:val="hr-HR" w:eastAsia="hr-HR" w:bidi="hr-HR"/>
        </w:rPr>
        <w:t xml:space="preserve"> (večernja molitva; M Berahot IV,1; </w:t>
      </w:r>
      <w:r>
        <w:rPr>
          <w:rFonts w:ascii="Times New Roman" w:eastAsia="Times New Roman" w:hAnsi="Times New Roman" w:cs="Times New Roman"/>
          <w:i/>
          <w:iCs/>
          <w:color w:val="000000"/>
          <w:spacing w:val="0"/>
          <w:w w:val="100"/>
          <w:position w:val="0"/>
          <w:shd w:val="clear" w:color="auto" w:fill="auto"/>
          <w:lang w:val="hr-HR" w:eastAsia="hr-HR" w:bidi="hr-HR"/>
        </w:rPr>
        <w:t>arvit</w:t>
      </w:r>
      <w:r>
        <w:rPr>
          <w:rFonts w:ascii="Times New Roman" w:eastAsia="Times New Roman" w:hAnsi="Times New Roman" w:cs="Times New Roman"/>
          <w:color w:val="000000"/>
          <w:spacing w:val="0"/>
          <w:w w:val="100"/>
          <w:position w:val="0"/>
          <w:shd w:val="clear" w:color="auto" w:fill="auto"/>
          <w:lang w:val="hr-HR" w:eastAsia="hr-HR" w:bidi="hr-HR"/>
        </w:rPr>
        <w:t xml:space="preserve"> ib. 1,1; </w:t>
      </w:r>
      <w:r>
        <w:rPr>
          <w:rFonts w:ascii="Times New Roman" w:eastAsia="Times New Roman" w:hAnsi="Times New Roman" w:cs="Times New Roman"/>
          <w:i/>
          <w:iCs/>
          <w:color w:val="000000"/>
          <w:spacing w:val="0"/>
          <w:w w:val="100"/>
          <w:position w:val="0"/>
          <w:shd w:val="clear" w:color="auto" w:fill="auto"/>
          <w:lang w:val="hr-HR" w:eastAsia="hr-HR" w:bidi="hr-HR"/>
        </w:rPr>
        <w:t>ba-erev</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1,3). Na nju su upozorili učenjaci: »Tko ujutro ne izgovori </w:t>
      </w:r>
      <w:r>
        <w:rPr>
          <w:rFonts w:ascii="Times New Roman" w:eastAsia="Times New Roman" w:hAnsi="Times New Roman" w:cs="Times New Roman"/>
          <w:i/>
          <w:iCs/>
          <w:color w:val="000000"/>
          <w:spacing w:val="0"/>
          <w:w w:val="100"/>
          <w:position w:val="0"/>
          <w:shd w:val="clear" w:color="auto" w:fill="auto"/>
          <w:lang w:val="hr-HR" w:eastAsia="hr-HR" w:bidi="hr-HR"/>
        </w:rPr>
        <w:t>(šaharit,</w:t>
      </w:r>
      <w:r>
        <w:rPr>
          <w:rFonts w:ascii="Times New Roman" w:eastAsia="Times New Roman" w:hAnsi="Times New Roman" w:cs="Times New Roman"/>
          <w:color w:val="000000"/>
          <w:spacing w:val="0"/>
          <w:w w:val="100"/>
          <w:position w:val="0"/>
          <w:shd w:val="clear" w:color="auto" w:fill="auto"/>
          <w:lang w:val="hr-HR" w:eastAsia="hr-HR" w:bidi="hr-HR"/>
        </w:rPr>
        <w:t xml:space="preserve"> molitvu) ‘Istinit i nepromjenjiv’ i na</w:t>
        <w:softHyphen/>
        <w:t xml:space="preserve">večer </w:t>
      </w:r>
      <w:r>
        <w:rPr>
          <w:rFonts w:ascii="Times New Roman" w:eastAsia="Times New Roman" w:hAnsi="Times New Roman" w:cs="Times New Roman"/>
          <w:i/>
          <w:iCs/>
          <w:color w:val="000000"/>
          <w:spacing w:val="0"/>
          <w:w w:val="100"/>
          <w:position w:val="0"/>
          <w:shd w:val="clear" w:color="auto" w:fill="auto"/>
          <w:lang w:val="hr-HR" w:eastAsia="hr-HR" w:bidi="hr-HR"/>
        </w:rPr>
        <w:t>(arvit,</w:t>
      </w:r>
      <w:r>
        <w:rPr>
          <w:rFonts w:ascii="Times New Roman" w:eastAsia="Times New Roman" w:hAnsi="Times New Roman" w:cs="Times New Roman"/>
          <w:color w:val="000000"/>
          <w:spacing w:val="0"/>
          <w:w w:val="100"/>
          <w:position w:val="0"/>
          <w:shd w:val="clear" w:color="auto" w:fill="auto"/>
          <w:lang w:val="hr-HR" w:eastAsia="hr-HR" w:bidi="hr-HR"/>
        </w:rPr>
        <w:t xml:space="preserve"> molitvu) istina i vjernost’, ne udo</w:t>
        <w:softHyphen/>
        <w:t xml:space="preserve">voljava dužnosti, jer tekst glasi (Ps 92,3): ... naviještati jutrom ljubav tvoju, i noću vjernost tvoju« (b Berahot 12a). Raši (1040-1105) i </w:t>
      </w:r>
      <w:r>
        <w:rPr>
          <w:rFonts w:ascii="Times New Roman" w:eastAsia="Times New Roman" w:hAnsi="Times New Roman" w:cs="Times New Roman"/>
          <w:i/>
          <w:iCs/>
          <w:color w:val="000000"/>
          <w:spacing w:val="0"/>
          <w:w w:val="100"/>
          <w:position w:val="0"/>
          <w:shd w:val="clear" w:color="auto" w:fill="auto"/>
          <w:lang w:val="hr-HR" w:eastAsia="hr-HR" w:bidi="hr-HR"/>
        </w:rPr>
        <w:t>tosafot</w:t>
      </w:r>
      <w:r>
        <w:rPr>
          <w:rFonts w:ascii="Times New Roman" w:eastAsia="Times New Roman" w:hAnsi="Times New Roman" w:cs="Times New Roman"/>
          <w:color w:val="000000"/>
          <w:spacing w:val="0"/>
          <w:w w:val="100"/>
          <w:position w:val="0"/>
          <w:shd w:val="clear" w:color="auto" w:fill="auto"/>
          <w:lang w:val="hr-HR" w:eastAsia="hr-HR" w:bidi="hr-HR"/>
        </w:rPr>
        <w:t xml:space="preserve"> (»dodaci« njegovu komentaru na </w:t>
      </w:r>
      <w:r>
        <w:rPr>
          <w:rFonts w:ascii="Times New Roman" w:eastAsia="Times New Roman" w:hAnsi="Times New Roman" w:cs="Times New Roman"/>
          <w:color w:val="000000"/>
          <w:spacing w:val="0"/>
          <w:w w:val="100"/>
          <w:position w:val="0"/>
          <w:shd w:val="clear" w:color="auto" w:fill="auto"/>
          <w:lang w:val="en-US" w:eastAsia="en-US" w:bidi="en-US"/>
        </w:rPr>
        <w:t>Tal</w:t>
        <w:softHyphen/>
        <w:t xml:space="preserve">mud) </w:t>
      </w:r>
      <w:r>
        <w:rPr>
          <w:rFonts w:ascii="Times New Roman" w:eastAsia="Times New Roman" w:hAnsi="Times New Roman" w:cs="Times New Roman"/>
          <w:color w:val="000000"/>
          <w:spacing w:val="0"/>
          <w:w w:val="100"/>
          <w:position w:val="0"/>
          <w:shd w:val="clear" w:color="auto" w:fill="auto"/>
          <w:lang w:val="hr-HR" w:eastAsia="hr-HR" w:bidi="hr-HR"/>
        </w:rPr>
        <w:t xml:space="preserve">objašnjavaju da treća </w:t>
      </w:r>
      <w:r>
        <w:rPr>
          <w:rFonts w:ascii="Times New Roman" w:eastAsia="Times New Roman" w:hAnsi="Times New Roman" w:cs="Times New Roman"/>
          <w:i/>
          <w:iCs/>
          <w:color w:val="000000"/>
          <w:spacing w:val="0"/>
          <w:w w:val="100"/>
          <w:position w:val="0"/>
          <w:shd w:val="clear" w:color="auto" w:fill="auto"/>
          <w:lang w:val="hr-HR" w:eastAsia="hr-HR" w:bidi="hr-HR"/>
        </w:rPr>
        <w:t>beraha</w:t>
      </w:r>
      <w:r>
        <w:rPr>
          <w:rFonts w:ascii="Times New Roman" w:eastAsia="Times New Roman" w:hAnsi="Times New Roman" w:cs="Times New Roman"/>
          <w:color w:val="000000"/>
          <w:spacing w:val="0"/>
          <w:w w:val="100"/>
          <w:position w:val="0"/>
          <w:shd w:val="clear" w:color="auto" w:fill="auto"/>
          <w:lang w:val="hr-HR" w:eastAsia="hr-HR" w:bidi="hr-HR"/>
        </w:rPr>
        <w:t xml:space="preserve"> u čitanju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u jutarnjoj molitvi budi sjećanje na </w:t>
      </w:r>
      <w:r>
        <w:rPr>
          <w:rFonts w:ascii="Times New Roman" w:eastAsia="Times New Roman" w:hAnsi="Times New Roman" w:cs="Times New Roman"/>
          <w:i/>
          <w:iCs/>
          <w:color w:val="000000"/>
          <w:spacing w:val="0"/>
          <w:w w:val="100"/>
          <w:position w:val="0"/>
          <w:shd w:val="clear" w:color="auto" w:fill="auto"/>
          <w:lang w:val="hr-HR" w:eastAsia="hr-HR" w:bidi="hr-HR"/>
        </w:rPr>
        <w:t>»lju</w:t>
        <w:softHyphen/>
        <w:t>bav« (hesed)</w:t>
      </w:r>
      <w:r>
        <w:rPr>
          <w:rFonts w:ascii="Times New Roman" w:eastAsia="Times New Roman" w:hAnsi="Times New Roman" w:cs="Times New Roman"/>
          <w:color w:val="000000"/>
          <w:spacing w:val="0"/>
          <w:w w:val="100"/>
          <w:position w:val="0"/>
          <w:shd w:val="clear" w:color="auto" w:fill="auto"/>
          <w:lang w:val="hr-HR" w:eastAsia="hr-HR" w:bidi="hr-HR"/>
        </w:rPr>
        <w:t xml:space="preserve"> koju je Izrael u svojoj povijesti iskusio od svojeg izbavitelja iz Egipta (»naš osloboditelj i naš otkupitelj«), no njezina ver</w:t>
        <w:softHyphen/>
        <w:t xml:space="preserve">zija u </w:t>
      </w:r>
      <w:r>
        <w:rPr>
          <w:rFonts w:ascii="Times New Roman" w:eastAsia="Times New Roman" w:hAnsi="Times New Roman" w:cs="Times New Roman"/>
          <w:i/>
          <w:iCs/>
          <w:color w:val="000000"/>
          <w:spacing w:val="0"/>
          <w:w w:val="100"/>
          <w:position w:val="0"/>
          <w:shd w:val="clear" w:color="auto" w:fill="auto"/>
          <w:lang w:val="hr-HR" w:eastAsia="hr-HR" w:bidi="hr-HR"/>
        </w:rPr>
        <w:t>večernjoj molitvi</w:t>
      </w:r>
      <w:r>
        <w:rPr>
          <w:rFonts w:ascii="Times New Roman" w:eastAsia="Times New Roman" w:hAnsi="Times New Roman" w:cs="Times New Roman"/>
          <w:color w:val="000000"/>
          <w:spacing w:val="0"/>
          <w:w w:val="100"/>
          <w:position w:val="0"/>
          <w:shd w:val="clear" w:color="auto" w:fill="auto"/>
          <w:lang w:val="hr-HR" w:eastAsia="hr-HR" w:bidi="hr-HR"/>
        </w:rPr>
        <w:t xml:space="preserve"> jača nadu da će Bog svoju »istinu i vjernost« </w:t>
      </w:r>
      <w:r>
        <w:rPr>
          <w:rFonts w:ascii="Times New Roman" w:eastAsia="Times New Roman" w:hAnsi="Times New Roman" w:cs="Times New Roman"/>
          <w:i/>
          <w:iCs/>
          <w:color w:val="000000"/>
          <w:spacing w:val="0"/>
          <w:w w:val="100"/>
          <w:position w:val="0"/>
          <w:shd w:val="clear" w:color="auto" w:fill="auto"/>
          <w:lang w:val="hr-HR" w:eastAsia="hr-HR" w:bidi="hr-HR"/>
        </w:rPr>
        <w:t>(emet ve-emuna)</w:t>
      </w:r>
      <w:r>
        <w:rPr>
          <w:rFonts w:ascii="Times New Roman" w:eastAsia="Times New Roman" w:hAnsi="Times New Roman" w:cs="Times New Roman"/>
          <w:color w:val="000000"/>
          <w:spacing w:val="0"/>
          <w:w w:val="100"/>
          <w:position w:val="0"/>
          <w:shd w:val="clear" w:color="auto" w:fill="auto"/>
          <w:lang w:val="hr-HR" w:eastAsia="hr-HR" w:bidi="hr-HR"/>
        </w:rPr>
        <w:t xml:space="preserve"> sa</w:t>
        <w:softHyphen/>
        <w:t>čuvati svojem narodu i u budućnosti (»On nas izbavlja iz ruku..., koji nas oslobađa od sile svih tlačitelja... On čuva na životu naše du</w:t>
        <w:softHyphen/>
        <w:t xml:space="preserve">še...«). Stoga Božja ljubav (milost) određuje jutarnju molitvu; specifična dnevna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beraha (vihi </w:t>
      </w:r>
      <w:r>
        <w:rPr>
          <w:rFonts w:ascii="Times New Roman" w:eastAsia="Times New Roman" w:hAnsi="Times New Roman" w:cs="Times New Roman"/>
          <w:i/>
          <w:iCs/>
          <w:color w:val="000000"/>
          <w:spacing w:val="0"/>
          <w:w w:val="100"/>
          <w:position w:val="0"/>
          <w:shd w:val="clear" w:color="auto" w:fill="auto"/>
          <w:lang w:val="en-US" w:eastAsia="en-US" w:bidi="en-US"/>
        </w:rPr>
        <w:t>racon,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»Neka bude volja koja proizlazi iz Tebe«), koja naglašava svakodnevno obnav</w:t>
        <w:softHyphen/>
        <w:t>ljanje Božjih dobročinstava, naposljetku ih re</w:t>
        <w:softHyphen/>
        <w:t>zimira: «... koji svojem narodu Izraelu iska</w:t>
        <w:softHyphen/>
        <w:t xml:space="preserve">zuje dobročinstva« </w:t>
      </w:r>
      <w:r>
        <w:rPr>
          <w:rFonts w:ascii="Times New Roman" w:eastAsia="Times New Roman" w:hAnsi="Times New Roman" w:cs="Times New Roman"/>
          <w:i/>
          <w:iCs/>
          <w:color w:val="000000"/>
          <w:spacing w:val="0"/>
          <w:w w:val="100"/>
          <w:position w:val="0"/>
          <w:shd w:val="clear" w:color="auto" w:fill="auto"/>
          <w:lang w:val="hr-HR" w:eastAsia="hr-HR" w:bidi="hr-HR"/>
        </w:rPr>
        <w:t>(gomel hasadim tovim le- amo jisrael).</w:t>
      </w:r>
      <w:r>
        <w:rPr>
          <w:rFonts w:ascii="Times New Roman" w:eastAsia="Times New Roman" w:hAnsi="Times New Roman" w:cs="Times New Roman"/>
          <w:color w:val="000000"/>
          <w:spacing w:val="0"/>
          <w:w w:val="100"/>
          <w:position w:val="0"/>
          <w:shd w:val="clear" w:color="auto" w:fill="auto"/>
          <w:lang w:val="hr-HR" w:eastAsia="hr-HR" w:bidi="hr-HR"/>
        </w:rPr>
        <w:t xml:space="preserve"> No Božja vjernost, koja se saču</w:t>
        <w:softHyphen/>
        <w:t xml:space="preserve">vala židovskom narodu i pojedincu u njemu u </w:t>
      </w:r>
    </w:p>
    <w:p>
      <w:pPr>
        <w:pStyle w:val="Style20"/>
        <w:keepNext w:val="0"/>
        <w:keepLines w:val="0"/>
        <w:widowControl w:val="0"/>
        <w:shd w:val="clear" w:color="auto" w:fill="auto"/>
        <w:tabs>
          <w:tab w:pos="25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trenucima tame u povijesti i u životu, obilježa</w:t>
        <w:softHyphen/>
        <w:t>va večernju molitvu; to izražava i oblik, svoj</w:t>
        <w:softHyphen/>
        <w:t xml:space="preserve">stven za noć, druge dodatne </w:t>
      </w:r>
      <w:r>
        <w:rPr>
          <w:rFonts w:ascii="Times New Roman" w:eastAsia="Times New Roman" w:hAnsi="Times New Roman" w:cs="Times New Roman"/>
          <w:i/>
          <w:iCs/>
          <w:color w:val="000000"/>
          <w:spacing w:val="0"/>
          <w:w w:val="100"/>
          <w:position w:val="0"/>
          <w:shd w:val="clear" w:color="auto" w:fill="auto"/>
          <w:lang w:val="hr-HR" w:eastAsia="hr-HR" w:bidi="hr-HR"/>
        </w:rPr>
        <w:t>berahe</w:t>
      </w:r>
      <w:r>
        <w:rPr>
          <w:rFonts w:ascii="Times New Roman" w:eastAsia="Times New Roman" w:hAnsi="Times New Roman" w:cs="Times New Roman"/>
          <w:color w:val="000000"/>
          <w:spacing w:val="0"/>
          <w:w w:val="100"/>
          <w:position w:val="0"/>
          <w:shd w:val="clear" w:color="auto" w:fill="auto"/>
          <w:lang w:val="hr-HR" w:eastAsia="hr-HR" w:bidi="hr-HR"/>
        </w:rPr>
        <w:t xml:space="preserve"> za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Šerna </w:t>
      </w:r>
      <w:r>
        <w:rPr>
          <w:rFonts w:ascii="Times New Roman" w:eastAsia="Times New Roman" w:hAnsi="Times New Roman" w:cs="Times New Roman"/>
          <w:color w:val="000000"/>
          <w:spacing w:val="0"/>
          <w:w w:val="100"/>
          <w:position w:val="0"/>
          <w:shd w:val="clear" w:color="auto" w:fill="auto"/>
          <w:lang w:val="hr-HR" w:eastAsia="hr-HR" w:bidi="hr-HR"/>
        </w:rPr>
        <w:t xml:space="preserve">(»Dopusti nam, Vječni, naš Bože, dopusti da legnemo u miru...«) svojim svršetkom: »... koji svoj narod Izrael čuva zauvijek« </w:t>
      </w:r>
      <w:r>
        <w:rPr>
          <w:rFonts w:ascii="Times New Roman" w:eastAsia="Times New Roman" w:hAnsi="Times New Roman" w:cs="Times New Roman"/>
          <w:i/>
          <w:iCs/>
          <w:color w:val="000000"/>
          <w:spacing w:val="0"/>
          <w:w w:val="100"/>
          <w:position w:val="0"/>
          <w:shd w:val="clear" w:color="auto" w:fill="auto"/>
          <w:lang w:val="hr-HR" w:eastAsia="hr-HR" w:bidi="hr-HR"/>
        </w:rPr>
        <w:t>Homer amo jisrael la-ad).</w:t>
      </w:r>
      <w:r>
        <w:rPr>
          <w:rFonts w:ascii="Times New Roman" w:eastAsia="Times New Roman" w:hAnsi="Times New Roman" w:cs="Times New Roman"/>
          <w:color w:val="000000"/>
          <w:spacing w:val="0"/>
          <w:w w:val="100"/>
          <w:position w:val="0"/>
          <w:shd w:val="clear" w:color="auto" w:fill="auto"/>
          <w:lang w:val="hr-HR" w:eastAsia="hr-HR" w:bidi="hr-HR"/>
        </w:rPr>
        <w:t xml:space="preserve"> Glavni sastavni dijelovi ju</w:t>
        <w:softHyphen/>
        <w:t xml:space="preserve">tarnje i večernje molitve najstariji su dijelovi liturgije: »čitanje ‘Čuj, Izrade’« </w:t>
      </w:r>
      <w:r>
        <w:rPr>
          <w:rFonts w:ascii="Times New Roman" w:eastAsia="Times New Roman" w:hAnsi="Times New Roman" w:cs="Times New Roman"/>
          <w:i/>
          <w:iCs/>
          <w:color w:val="000000"/>
          <w:spacing w:val="0"/>
          <w:w w:val="100"/>
          <w:position w:val="0"/>
          <w:shd w:val="clear" w:color="auto" w:fill="auto"/>
          <w:lang w:val="hr-HR" w:eastAsia="hr-HR" w:bidi="hr-HR"/>
        </w:rPr>
        <w:t xml:space="preserve">(kriat šma) </w:t>
      </w:r>
      <w:r>
        <w:rPr>
          <w:rFonts w:ascii="Times New Roman" w:eastAsia="Times New Roman" w:hAnsi="Times New Roman" w:cs="Times New Roman"/>
          <w:color w:val="000000"/>
          <w:spacing w:val="0"/>
          <w:w w:val="100"/>
          <w:position w:val="0"/>
          <w:shd w:val="clear" w:color="auto" w:fill="auto"/>
          <w:lang w:val="hr-HR" w:eastAsia="hr-HR" w:bidi="hr-HR"/>
        </w:rPr>
        <w:t xml:space="preserve">obuhvaća Pnz. 6,4-9 (»uzeti na se jaram Božje vlasti«, </w:t>
      </w:r>
      <w:r>
        <w:rPr>
          <w:rFonts w:ascii="Times New Roman" w:eastAsia="Times New Roman" w:hAnsi="Times New Roman" w:cs="Times New Roman"/>
          <w:i/>
          <w:iCs/>
          <w:color w:val="000000"/>
          <w:spacing w:val="0"/>
          <w:w w:val="100"/>
          <w:position w:val="0"/>
          <w:shd w:val="clear" w:color="auto" w:fill="auto"/>
          <w:lang w:val="hr-HR" w:eastAsia="hr-HR" w:bidi="hr-HR"/>
        </w:rPr>
        <w:t>kabalat ol malkut iamajim);</w:t>
      </w:r>
      <w:r>
        <w:rPr>
          <w:rFonts w:ascii="Times New Roman" w:eastAsia="Times New Roman" w:hAnsi="Times New Roman" w:cs="Times New Roman"/>
          <w:color w:val="000000"/>
          <w:spacing w:val="0"/>
          <w:w w:val="100"/>
          <w:position w:val="0"/>
          <w:shd w:val="clear" w:color="auto" w:fill="auto"/>
          <w:lang w:val="hr-HR" w:eastAsia="hr-HR" w:bidi="hr-HR"/>
        </w:rPr>
        <w:t xml:space="preserve"> 11,13-21 (»uzeti na se jaram zapovijedi Božjih«, </w:t>
      </w:r>
      <w:r>
        <w:rPr>
          <w:rFonts w:ascii="Times New Roman" w:eastAsia="Times New Roman" w:hAnsi="Times New Roman" w:cs="Times New Roman"/>
          <w:i/>
          <w:iCs/>
          <w:color w:val="000000"/>
          <w:spacing w:val="0"/>
          <w:w w:val="100"/>
          <w:position w:val="0"/>
          <w:shd w:val="clear" w:color="auto" w:fill="auto"/>
          <w:lang w:val="hr-HR" w:eastAsia="hr-HR" w:bidi="hr-HR"/>
        </w:rPr>
        <w:t>kaba</w:t>
        <w:softHyphen/>
        <w:t>lat ol micvot)-,</w:t>
      </w:r>
      <w:r>
        <w:rPr>
          <w:rFonts w:ascii="Times New Roman" w:eastAsia="Times New Roman" w:hAnsi="Times New Roman" w:cs="Times New Roman"/>
          <w:color w:val="000000"/>
          <w:spacing w:val="0"/>
          <w:w w:val="100"/>
          <w:position w:val="0"/>
          <w:shd w:val="clear" w:color="auto" w:fill="auto"/>
          <w:lang w:val="hr-HR" w:eastAsia="hr-HR" w:bidi="hr-HR"/>
        </w:rPr>
        <w:t xml:space="preserve"> Br 15,37-41 (»Otkupljenje«, </w:t>
      </w:r>
      <w:r>
        <w:rPr>
          <w:rFonts w:ascii="Times New Roman" w:eastAsia="Times New Roman" w:hAnsi="Times New Roman" w:cs="Times New Roman"/>
          <w:i/>
          <w:iCs/>
          <w:color w:val="000000"/>
          <w:spacing w:val="0"/>
          <w:w w:val="100"/>
          <w:position w:val="0"/>
          <w:shd w:val="clear" w:color="auto" w:fill="auto"/>
          <w:lang w:val="hr-HR" w:eastAsia="hr-HR" w:bidi="hr-HR"/>
        </w:rPr>
        <w:t>ge'ula)</w:t>
      </w:r>
      <w:r>
        <w:rPr>
          <w:rFonts w:ascii="Times New Roman" w:eastAsia="Times New Roman" w:hAnsi="Times New Roman" w:cs="Times New Roman"/>
          <w:color w:val="000000"/>
          <w:spacing w:val="0"/>
          <w:w w:val="100"/>
          <w:position w:val="0"/>
          <w:shd w:val="clear" w:color="auto" w:fill="auto"/>
          <w:lang w:val="hr-HR" w:eastAsia="hr-HR" w:bidi="hr-HR"/>
        </w:rPr>
        <w:t xml:space="preserve"> te dva blagoslova </w:t>
      </w:r>
      <w:r>
        <w:rPr>
          <w:rFonts w:ascii="Times New Roman" w:eastAsia="Times New Roman" w:hAnsi="Times New Roman" w:cs="Times New Roman"/>
          <w:i/>
          <w:iCs/>
          <w:color w:val="000000"/>
          <w:spacing w:val="0"/>
          <w:w w:val="100"/>
          <w:position w:val="0"/>
          <w:shd w:val="clear" w:color="auto" w:fill="auto"/>
          <w:lang w:val="hr-HR" w:eastAsia="hr-HR" w:bidi="hr-HR"/>
        </w:rPr>
        <w:t>(berahot)</w:t>
      </w:r>
      <w:r>
        <w:rPr>
          <w:rFonts w:ascii="Times New Roman" w:eastAsia="Times New Roman" w:hAnsi="Times New Roman" w:cs="Times New Roman"/>
          <w:color w:val="000000"/>
          <w:spacing w:val="0"/>
          <w:w w:val="100"/>
          <w:position w:val="0"/>
          <w:shd w:val="clear" w:color="auto" w:fill="auto"/>
          <w:lang w:val="hr-HR" w:eastAsia="hr-HR" w:bidi="hr-HR"/>
        </w:rPr>
        <w:t xml:space="preserve"> koji pret</w:t>
        <w:softHyphen/>
        <w:t>hode biblijskim tekstovima u jutarnjoj i večer</w:t>
        <w:softHyphen/>
        <w:t xml:space="preserve">njoj molitvi, i jedan blagoslov nakon čitanja </w:t>
      </w:r>
      <w:r>
        <w:rPr>
          <w:rFonts w:ascii="Times New Roman" w:eastAsia="Times New Roman" w:hAnsi="Times New Roman" w:cs="Times New Roman"/>
          <w:i/>
          <w:iCs/>
          <w:color w:val="000000"/>
          <w:spacing w:val="0"/>
          <w:w w:val="100"/>
          <w:position w:val="0"/>
          <w:shd w:val="clear" w:color="auto" w:fill="auto"/>
          <w:lang w:val="hr-HR" w:eastAsia="hr-HR" w:bidi="hr-HR"/>
        </w:rPr>
        <w:t>Sema</w:t>
      </w:r>
      <w:r>
        <w:rPr>
          <w:rFonts w:ascii="Times New Roman" w:eastAsia="Times New Roman" w:hAnsi="Times New Roman" w:cs="Times New Roman"/>
          <w:color w:val="000000"/>
          <w:spacing w:val="0"/>
          <w:w w:val="100"/>
          <w:position w:val="0"/>
          <w:shd w:val="clear" w:color="auto" w:fill="auto"/>
          <w:lang w:val="hr-HR" w:eastAsia="hr-HR" w:bidi="hr-HR"/>
        </w:rPr>
        <w:t xml:space="preserve"> u jutarnjoj molitvi, odnosno dva blago</w:t>
        <w:softHyphen/>
        <w:t xml:space="preserve">slova </w:t>
      </w:r>
      <w:r>
        <w:rPr>
          <w:rFonts w:ascii="Times New Roman" w:eastAsia="Times New Roman" w:hAnsi="Times New Roman" w:cs="Times New Roman"/>
          <w:i/>
          <w:iCs/>
          <w:color w:val="000000"/>
          <w:spacing w:val="0"/>
          <w:w w:val="100"/>
          <w:position w:val="0"/>
          <w:shd w:val="clear" w:color="auto" w:fill="auto"/>
          <w:lang w:val="hr-HR" w:eastAsia="hr-HR" w:bidi="hr-HR"/>
        </w:rPr>
        <w:t>(berahot)</w:t>
      </w:r>
      <w:r>
        <w:rPr>
          <w:rFonts w:ascii="Times New Roman" w:eastAsia="Times New Roman" w:hAnsi="Times New Roman" w:cs="Times New Roman"/>
          <w:color w:val="000000"/>
          <w:spacing w:val="0"/>
          <w:w w:val="100"/>
          <w:position w:val="0"/>
          <w:shd w:val="clear" w:color="auto" w:fill="auto"/>
          <w:lang w:val="hr-HR" w:eastAsia="hr-HR" w:bidi="hr-HR"/>
        </w:rPr>
        <w:t xml:space="preserve"> koji slijede u večernjoj molitvi. Molitva »Osamnaest blagoslova«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(Šemone esre), </w:t>
      </w:r>
      <w:r>
        <w:rPr>
          <w:rFonts w:ascii="Times New Roman" w:eastAsia="Times New Roman" w:hAnsi="Times New Roman" w:cs="Times New Roman"/>
          <w:color w:val="000000"/>
          <w:spacing w:val="0"/>
          <w:w w:val="100"/>
          <w:position w:val="0"/>
          <w:shd w:val="clear" w:color="auto" w:fill="auto"/>
          <w:lang w:val="hr-HR" w:eastAsia="hr-HR" w:bidi="hr-HR"/>
        </w:rPr>
        <w:t xml:space="preserve">koja se u Mišni naziva jednostavno prozbe- nom molitvom za nešto </w:t>
      </w:r>
      <w:r>
        <w:rPr>
          <w:rFonts w:ascii="Times New Roman" w:eastAsia="Times New Roman" w:hAnsi="Times New Roman" w:cs="Times New Roman"/>
          <w:i/>
          <w:iCs/>
          <w:color w:val="000000"/>
          <w:spacing w:val="0"/>
          <w:w w:val="100"/>
          <w:position w:val="0"/>
          <w:shd w:val="clear" w:color="auto" w:fill="auto"/>
          <w:lang w:val="en-US" w:eastAsia="en-US" w:bidi="en-US"/>
        </w:rPr>
        <w:t>(tefila)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(Sota VII,1; Berahot 111,1,3; Tos. 1,2; usp. b 9b; 14b; 18a; Bava kama 92b; Suka 25b), dobila je ime po osamnaest culogija (blagoslova) koje su, pre</w:t>
        <w:softHyphen/>
        <w:t>ma osamnaest imenovanja Božjih u Ps 29, iz</w:t>
        <w:softHyphen/>
        <w:t xml:space="preserve">govarali mudraci (Tos. Berahot 111,25; j II,5a; IV, 8a;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II, 65c; usp. b Berahot 28b); oni izražavaju molbu cjelokupnoga židovskog na</w:t>
        <w:softHyphen/>
        <w:t xml:space="preserve">roda. Babilonac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(III. stoljeće) sažeo je dvanaest, odnosno trinaest srednjih blagoslova iz </w:t>
      </w:r>
      <w:r>
        <w:rPr>
          <w:rFonts w:ascii="Times New Roman" w:eastAsia="Times New Roman" w:hAnsi="Times New Roman" w:cs="Times New Roman"/>
          <w:i/>
          <w:iCs/>
          <w:color w:val="000000"/>
          <w:spacing w:val="0"/>
          <w:w w:val="100"/>
          <w:position w:val="0"/>
          <w:shd w:val="clear" w:color="auto" w:fill="auto"/>
          <w:lang w:val="hr-HR" w:eastAsia="hr-HR" w:bidi="hr-HR"/>
        </w:rPr>
        <w:t>Šemone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u molitvi </w:t>
      </w:r>
      <w:r>
        <w:rPr>
          <w:rFonts w:ascii="Times New Roman" w:eastAsia="Times New Roman" w:hAnsi="Times New Roman" w:cs="Times New Roman"/>
          <w:i/>
          <w:iCs/>
          <w:color w:val="000000"/>
          <w:spacing w:val="0"/>
          <w:w w:val="100"/>
          <w:position w:val="0"/>
          <w:shd w:val="clear" w:color="auto" w:fill="auto"/>
          <w:lang w:val="hr-HR" w:eastAsia="hr-HR" w:bidi="hr-HR"/>
        </w:rPr>
        <w:t>Habinenu:</w:t>
      </w:r>
      <w:r>
        <w:rPr>
          <w:rFonts w:ascii="Times New Roman" w:eastAsia="Times New Roman" w:hAnsi="Times New Roman" w:cs="Times New Roman"/>
          <w:color w:val="000000"/>
          <w:spacing w:val="0"/>
          <w:w w:val="100"/>
          <w:position w:val="0"/>
          <w:shd w:val="clear" w:color="auto" w:fill="auto"/>
          <w:lang w:val="hr-HR" w:eastAsia="hr-HR" w:bidi="hr-HR"/>
        </w:rPr>
        <w:t xml:space="preserve"> »Podari nam spoznaju </w:t>
      </w:r>
      <w:r>
        <w:rPr>
          <w:rFonts w:ascii="Times New Roman" w:eastAsia="Times New Roman" w:hAnsi="Times New Roman" w:cs="Times New Roman"/>
          <w:i/>
          <w:iCs/>
          <w:color w:val="000000"/>
          <w:spacing w:val="0"/>
          <w:w w:val="100"/>
          <w:position w:val="0"/>
          <w:shd w:val="clear" w:color="auto" w:fill="auto"/>
          <w:lang w:val="hr-HR" w:eastAsia="hr-HR" w:bidi="hr-HR"/>
        </w:rPr>
        <w:t>(habinenu),</w:t>
      </w:r>
      <w:r>
        <w:rPr>
          <w:rFonts w:ascii="Times New Roman" w:eastAsia="Times New Roman" w:hAnsi="Times New Roman" w:cs="Times New Roman"/>
          <w:color w:val="000000"/>
          <w:spacing w:val="0"/>
          <w:w w:val="100"/>
          <w:position w:val="0"/>
          <w:shd w:val="clear" w:color="auto" w:fill="auto"/>
          <w:lang w:val="hr-HR" w:eastAsia="hr-HR" w:bidi="hr-HR"/>
        </w:rPr>
        <w:t xml:space="preserve"> raduj se našem obra</w:t>
        <w:softHyphen/>
        <w:t>ćenju, oprosti nam, otkupi nas, izliječi naše bolesti, blagoslovi naše godine; ako skupljaš raseljene, na tebi je da zabludjele izvedeš na pravi put, i na bezbožnike ćeš položiti ruku, i radovat će se svi, koji u te vjeruju, gradnji tvo</w:t>
        <w:softHyphen/>
        <w:t>jega grada i obnovi tvojega svetišta i izdanku tvojega sluge Davida; jer prije negoli te za- zovemo, ti ćeš odgovoriti. Blagoslovljen budi, Gospodine, koji uslišavaš molitvu« (j Berahot IV, 8a; usp. b 29a).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L. Strack/P. Billcrbeck, </w:t>
      </w:r>
      <w:r>
        <w:rPr>
          <w:i/>
          <w:iCs/>
          <w:color w:val="000000"/>
          <w:spacing w:val="0"/>
          <w:w w:val="100"/>
          <w:position w:val="0"/>
          <w:shd w:val="clear" w:color="auto" w:fill="auto"/>
          <w:lang w:val="hr-HR" w:eastAsia="hr-HR" w:bidi="hr-HR"/>
        </w:rPr>
        <w:t>Kommentar zum ncuen Tes</w:t>
        <w:softHyphen/>
        <w:t xml:space="preserve">tament aus </w:t>
      </w:r>
      <w:r>
        <w:rPr>
          <w:i/>
          <w:iCs/>
          <w:color w:val="000000"/>
          <w:spacing w:val="0"/>
          <w:w w:val="100"/>
          <w:position w:val="0"/>
          <w:shd w:val="clear" w:color="auto" w:fill="auto"/>
        </w:rPr>
        <w:t xml:space="preserve">Talmud </w:t>
      </w:r>
      <w:r>
        <w:rPr>
          <w:i/>
          <w:iCs/>
          <w:color w:val="000000"/>
          <w:spacing w:val="0"/>
          <w:w w:val="100"/>
          <w:position w:val="0"/>
          <w:shd w:val="clear" w:color="auto" w:fill="auto"/>
          <w:lang w:val="hr-HR" w:eastAsia="hr-HR" w:bidi="hr-HR"/>
        </w:rPr>
        <w:t>undMidrasch</w:t>
      </w:r>
      <w:r>
        <w:rPr>
          <w:color w:val="000000"/>
          <w:spacing w:val="0"/>
          <w:w w:val="100"/>
          <w:position w:val="0"/>
          <w:shd w:val="clear" w:color="auto" w:fill="auto"/>
          <w:lang w:val="hr-HR" w:eastAsia="hr-HR" w:bidi="hr-HR"/>
        </w:rPr>
        <w:t xml:space="preserve"> IV/l, 1928^1975,153-249; S. </w:t>
      </w:r>
      <w:r>
        <w:rPr>
          <w:color w:val="000000"/>
          <w:spacing w:val="0"/>
          <w:w w:val="100"/>
          <w:position w:val="0"/>
          <w:shd w:val="clear" w:color="auto" w:fill="auto"/>
        </w:rPr>
        <w:t xml:space="preserve">Krauss, </w:t>
      </w:r>
      <w:r>
        <w:rPr>
          <w:i/>
          <w:iCs/>
          <w:color w:val="000000"/>
          <w:spacing w:val="0"/>
          <w:w w:val="100"/>
          <w:position w:val="0"/>
          <w:shd w:val="clear" w:color="auto" w:fill="auto"/>
        </w:rPr>
        <w:t xml:space="preserve">Synagogue </w:t>
      </w:r>
      <w:r>
        <w:rPr>
          <w:i/>
          <w:iCs/>
          <w:color w:val="000000"/>
          <w:spacing w:val="0"/>
          <w:w w:val="100"/>
          <w:position w:val="0"/>
          <w:shd w:val="clear" w:color="auto" w:fill="auto"/>
          <w:lang w:val="hr-HR" w:eastAsia="hr-HR" w:bidi="hr-HR"/>
        </w:rPr>
        <w:t>Altertilmer,</w:t>
      </w:r>
      <w:r>
        <w:rPr>
          <w:color w:val="000000"/>
          <w:spacing w:val="0"/>
          <w:w w:val="100"/>
          <w:position w:val="0"/>
          <w:shd w:val="clear" w:color="auto" w:fill="auto"/>
          <w:lang w:val="hr-HR" w:eastAsia="hr-HR" w:bidi="hr-HR"/>
        </w:rPr>
        <w:t xml:space="preserve"> 1922; L. Zunz, </w:t>
      </w:r>
      <w:r>
        <w:rPr>
          <w:i/>
          <w:iCs/>
          <w:color w:val="000000"/>
          <w:spacing w:val="0"/>
          <w:w w:val="100"/>
          <w:position w:val="0"/>
          <w:shd w:val="clear" w:color="auto" w:fill="auto"/>
          <w:lang w:val="hr-HR" w:eastAsia="hr-HR" w:bidi="hr-HR"/>
        </w:rPr>
        <w:t xml:space="preserve">Der Ritus </w:t>
      </w:r>
      <w:r>
        <w:rPr>
          <w:i/>
          <w:iCs/>
          <w:color w:val="000000"/>
          <w:spacing w:val="0"/>
          <w:w w:val="100"/>
          <w:position w:val="0"/>
          <w:shd w:val="clear" w:color="auto" w:fill="auto"/>
        </w:rPr>
        <w:t xml:space="preserve">des synagogaten </w:t>
      </w:r>
      <w:r>
        <w:rPr>
          <w:i/>
          <w:iCs/>
          <w:color w:val="000000"/>
          <w:spacing w:val="0"/>
          <w:w w:val="100"/>
          <w:position w:val="0"/>
          <w:shd w:val="clear" w:color="auto" w:fill="auto"/>
          <w:lang w:val="hr-HR" w:eastAsia="hr-HR" w:bidi="hr-HR"/>
        </w:rPr>
        <w:t xml:space="preserve">Gottesdienstes, geschichtlich </w:t>
      </w:r>
      <w:r>
        <w:rPr>
          <w:i/>
          <w:iCs/>
          <w:color w:val="000000"/>
          <w:spacing w:val="0"/>
          <w:w w:val="100"/>
          <w:position w:val="0"/>
          <w:shd w:val="clear" w:color="auto" w:fill="auto"/>
        </w:rPr>
        <w:t>enlwickelt.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1859; 1- Elbogcn, </w:t>
      </w:r>
      <w:r>
        <w:rPr>
          <w:i/>
          <w:iCs/>
          <w:color w:val="000000"/>
          <w:spacing w:val="0"/>
          <w:w w:val="100"/>
          <w:position w:val="0"/>
          <w:shd w:val="clear" w:color="auto" w:fill="auto"/>
          <w:lang w:val="hr-HR" w:eastAsia="hr-HR" w:bidi="hr-HR"/>
        </w:rPr>
        <w:t xml:space="preserve">Der jiidische </w:t>
      </w:r>
      <w:r>
        <w:rPr>
          <w:i/>
          <w:iCs/>
          <w:color w:val="000000"/>
          <w:spacing w:val="0"/>
          <w:w w:val="100"/>
          <w:position w:val="0"/>
          <w:shd w:val="clear" w:color="auto" w:fill="auto"/>
        </w:rPr>
        <w:t>Gottesdienst in seiner geschichtli- then Entwicktung,</w:t>
      </w:r>
      <w:r>
        <w:rPr>
          <w:color w:val="000000"/>
          <w:spacing w:val="0"/>
          <w:w w:val="100"/>
          <w:position w:val="0"/>
          <w:shd w:val="clear" w:color="auto" w:fill="auto"/>
        </w:rPr>
        <w:t xml:space="preserve"> ’1931/1967; E. Munk, </w:t>
      </w:r>
      <w:r>
        <w:rPr>
          <w:i/>
          <w:iCs/>
          <w:color w:val="000000"/>
          <w:spacing w:val="0"/>
          <w:w w:val="100"/>
          <w:position w:val="0"/>
          <w:shd w:val="clear" w:color="auto" w:fill="auto"/>
        </w:rPr>
        <w:t xml:space="preserve">Die Welt der </w:t>
      </w:r>
      <w:r>
        <w:rPr>
          <w:i/>
          <w:iCs/>
          <w:color w:val="000000"/>
          <w:spacing w:val="0"/>
          <w:w w:val="100"/>
          <w:position w:val="0"/>
          <w:shd w:val="clear" w:color="auto" w:fill="auto"/>
          <w:lang w:val="hr-HR" w:eastAsia="hr-HR" w:bidi="hr-HR"/>
        </w:rPr>
        <w:t>(Je</w:t>
        <w:softHyphen/>
        <w:t>bete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1-11, 1975: R. R. Geis, Der Gottesdienst der Synagogv. u: </w:t>
      </w:r>
      <w:r>
        <w:rPr>
          <w:i/>
          <w:iCs/>
          <w:color w:val="000000"/>
          <w:spacing w:val="0"/>
          <w:w w:val="100"/>
          <w:position w:val="0"/>
          <w:shd w:val="clear" w:color="auto" w:fill="auto"/>
        </w:rPr>
        <w:t>Gottes Minoritdt,</w:t>
      </w:r>
      <w:r>
        <w:rPr>
          <w:color w:val="000000"/>
          <w:spacing w:val="0"/>
          <w:w w:val="100"/>
          <w:position w:val="0"/>
          <w:shd w:val="clear" w:color="auto" w:fill="auto"/>
        </w:rPr>
        <w:t xml:space="preserve"> 197!, 54-11)6; J. Maier, </w:t>
      </w:r>
      <w:r>
        <w:rPr>
          <w:i/>
          <w:iCs/>
          <w:color w:val="000000"/>
          <w:spacing w:val="0"/>
          <w:w w:val="100"/>
          <w:position w:val="0"/>
          <w:shd w:val="clear" w:color="auto" w:fill="auto"/>
        </w:rPr>
        <w:t>Geschichte der jtidischen Religion.</w:t>
      </w:r>
      <w:r>
        <w:rPr>
          <w:color w:val="000000"/>
          <w:spacing w:val="0"/>
          <w:w w:val="100"/>
          <w:position w:val="0"/>
          <w:shd w:val="clear" w:color="auto" w:fill="auto"/>
        </w:rPr>
        <w:t xml:space="preserve"> 1972, 34 i d., 94 i d., 130 i d., 250 i d.. 447 i &lt;!.; </w:t>
      </w:r>
      <w:r>
        <w:rPr>
          <w:i/>
          <w:iCs/>
          <w:color w:val="000000"/>
          <w:spacing w:val="0"/>
          <w:w w:val="100"/>
          <w:position w:val="0"/>
          <w:shd w:val="clear" w:color="auto" w:fill="auto"/>
        </w:rPr>
        <w:t>Encyclopaedia Judaica ll,</w:t>
      </w:r>
      <w:r>
        <w:rPr>
          <w:color w:val="000000"/>
          <w:spacing w:val="0"/>
          <w:w w:val="100"/>
          <w:position w:val="0"/>
          <w:shd w:val="clear" w:color="auto" w:fill="auto"/>
        </w:rPr>
        <w:t xml:space="preserve"> </w:t>
      </w:r>
      <w:r>
        <w:rPr>
          <w:color w:val="000000"/>
          <w:spacing w:val="0"/>
          <w:w w:val="100"/>
          <w:position w:val="0"/>
          <w:shd w:val="clear" w:color="auto" w:fill="auto"/>
          <w:vertAlign w:val="superscript"/>
        </w:rPr>
        <w:t>4</w:t>
      </w:r>
      <w:r>
        <w:rPr>
          <w:color w:val="000000"/>
          <w:spacing w:val="0"/>
          <w:w w:val="100"/>
          <w:position w:val="0"/>
          <w:shd w:val="clear" w:color="auto" w:fill="auto"/>
        </w:rPr>
        <w:t>1978, 392-404.</w:t>
      </w:r>
    </w:p>
    <w:p>
      <w:pPr>
        <w:pStyle w:val="Style74"/>
        <w:keepNext w:val="0"/>
        <w:keepLines w:val="0"/>
        <w:widowControl w:val="0"/>
        <w:shd w:val="clear" w:color="auto" w:fill="auto"/>
        <w:bidi w:val="0"/>
        <w:spacing w:before="0" w:after="4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D. VUTiliR</w:t>
      </w:r>
    </w:p>
    <w:p>
      <w:pPr>
        <w:pStyle w:val="Style63"/>
        <w:keepNext/>
        <w:keepLines/>
        <w:widowControl w:val="0"/>
        <w:numPr>
          <w:ilvl w:val="0"/>
          <w:numId w:val="45"/>
        </w:numPr>
        <w:shd w:val="clear" w:color="auto" w:fill="auto"/>
        <w:tabs>
          <w:tab w:pos="255" w:val="left"/>
        </w:tabs>
        <w:bidi w:val="0"/>
        <w:spacing w:before="0"/>
        <w:ind w:left="0" w:right="0" w:firstLine="0"/>
        <w:jc w:val="both"/>
      </w:pPr>
      <w:bookmarkStart w:id="47" w:name="bookmark4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7"/>
    </w:p>
    <w:p>
      <w:pPr>
        <w:pStyle w:val="Style20"/>
        <w:keepNext w:val="0"/>
        <w:keepLines w:val="0"/>
        <w:widowControl w:val="0"/>
        <w:shd w:val="clear" w:color="auto" w:fill="auto"/>
        <w:bidi w:val="0"/>
        <w:spacing w:before="0" w:after="0" w:line="240" w:lineRule="auto"/>
        <w:ind w:left="0" w:right="0" w:firstLine="0"/>
        <w:jc w:val="both"/>
        <w:sectPr>
          <w:headerReference w:type="default" r:id="rId217"/>
          <w:footerReference w:type="default" r:id="rId218"/>
          <w:headerReference w:type="even" r:id="rId219"/>
          <w:footerReference w:type="even" r:id="rId220"/>
          <w:footnotePr>
            <w:pos w:val="pageBottom"/>
            <w:numFmt w:val="decimal"/>
            <w:numStart w:val="5"/>
            <w:numRestart w:val="continuous"/>
            <w15:footnoteColumns w:val="1"/>
          </w:footnotePr>
          <w:pgSz w:w="6816" w:h="11006"/>
          <w:pgMar w:top="954" w:left="178" w:right="182" w:bottom="525" w:header="0" w:footer="3" w:gutter="0"/>
          <w:pgNumType w:start="82"/>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B. </w:t>
      </w:r>
      <w:r>
        <w:rPr>
          <w:rFonts w:ascii="Times New Roman" w:eastAsia="Times New Roman" w:hAnsi="Times New Roman" w:cs="Times New Roman"/>
          <w:color w:val="000000"/>
          <w:spacing w:val="0"/>
          <w:w w:val="100"/>
          <w:position w:val="0"/>
          <w:shd w:val="clear" w:color="auto" w:fill="auto"/>
          <w:lang w:val="hr-HR" w:eastAsia="hr-HR" w:bidi="hr-HR"/>
        </w:rPr>
        <w:t xml:space="preserve">je izraz za službu koju Bog vrši za svoj narod i za službu koju narod vrši prema Bogu. Bolje je primijeniti pojam liturgije (grč. leiton </w:t>
      </w:r>
      <w:r>
        <w:rPr>
          <w:rFonts w:ascii="Times New Roman" w:eastAsia="Times New Roman" w:hAnsi="Times New Roman" w:cs="Times New Roman"/>
          <w:color w:val="000000"/>
          <w:spacing w:val="0"/>
          <w:w w:val="100"/>
          <w:position w:val="0"/>
          <w:shd w:val="clear" w:color="auto" w:fill="auto"/>
          <w:lang w:val="en-US" w:eastAsia="en-US" w:bidi="en-US"/>
        </w:rPr>
        <w:t xml:space="preserve">ergon </w:t>
      </w:r>
      <w:r>
        <w:rPr>
          <w:rFonts w:ascii="Times New Roman" w:eastAsia="Times New Roman" w:hAnsi="Times New Roman" w:cs="Times New Roman"/>
          <w:color w:val="000000"/>
          <w:spacing w:val="0"/>
          <w:w w:val="100"/>
          <w:position w:val="0"/>
          <w:shd w:val="clear" w:color="auto" w:fill="auto"/>
          <w:lang w:val="hr-HR" w:eastAsia="hr-HR" w:bidi="hr-HR"/>
        </w:rPr>
        <w:t>= služba narodu u smislu javnog ispu</w:t>
        <w:softHyphen/>
        <w:t xml:space="preserve">njavanja službe). Liturgija, vjerska svečanost, jedna je od triju temeljnih funkcija Crkve u koje se ubrajaju: </w:t>
      </w:r>
      <w:r>
        <w:rPr>
          <w:rFonts w:ascii="Times New Roman" w:eastAsia="Times New Roman" w:hAnsi="Times New Roman" w:cs="Times New Roman"/>
          <w:color w:val="000000"/>
          <w:spacing w:val="0"/>
          <w:w w:val="100"/>
          <w:position w:val="0"/>
          <w:shd w:val="clear" w:color="auto" w:fill="auto"/>
          <w:lang w:val="en-US" w:eastAsia="en-US" w:bidi="en-US"/>
        </w:rPr>
        <w:t xml:space="preserve">martyria, </w:t>
      </w:r>
      <w:r>
        <w:rPr>
          <w:rFonts w:ascii="Times New Roman" w:eastAsia="Times New Roman" w:hAnsi="Times New Roman" w:cs="Times New Roman"/>
          <w:color w:val="000000"/>
          <w:spacing w:val="0"/>
          <w:w w:val="100"/>
          <w:position w:val="0"/>
          <w:shd w:val="clear" w:color="auto" w:fill="auto"/>
          <w:lang w:val="hr-HR" w:eastAsia="hr-HR" w:bidi="hr-HR"/>
        </w:rPr>
        <w:t>naviještanje vjere, diakonia, vjerska djelatnost. Uobičajeni opisi shvaćaju liturgiju većinom pod pojmom kulta, a pritom ponajviše previđaju da se ne radi samo ni u prvom redu o nekoj čovjekovoj rad</w:t>
        <w:softHyphen/>
        <w:t>nji naspram Boga (štovanje Boga), nego da je pritom Bog u Kristu spasotvorno djelatan ri</w:t>
        <w:softHyphen/>
        <w:t>ječju i znakom, da poziva na okupljanje svoju zajednicu i da tek tada čovjek zahvaljivanjem slavi Oca s Kristom i u Kristu. Konstitucija o svetoj liturgiji Drugoga vatikanskoga koncila označava liturgiju kao »vrhunac i izvor«; kao vrhunac kojem teži djelatnost Crkve, kao iz</w:t>
        <w:softHyphen/>
        <w:t>vor iz kojega proistječe sva njezina snaga (br. 10). Stoga je svako liturgijsko slavlje »u naj</w:t>
        <w:softHyphen/>
        <w:t>potpunijem smislu sveto djelo, i s njim se, s obzirom na isti naslov i isti stupanj, po djelot</w:t>
        <w:softHyphen/>
        <w:t>vornosti ne može izjednačiti nijedan drugi čin Crkve« (br. 7). Izvorni temelj kršćanske litur</w:t>
        <w:softHyphen/>
        <w:t>gije je povijesni spasenjski čin Isusa Krista s vazmenim otajstvom, njegovom smrću i nje</w:t>
        <w:softHyphen/>
        <w:t>govim uskrsnućem kao središtem. Krist hoće da u njemu sudjeluje njegova Crkva snagom Duha Svetoga (br. 5 i d.). To se poglavito zbi</w:t>
        <w:softHyphen/>
        <w:t>va liturgijskim radnjama u kojima je on prisu</w:t>
        <w:softHyphen/>
        <w:t>tan donoseći spasenje. »Prisutan je u misnoj žrtvi i u osobi službenika koji vrši svećeničku službu ... ponajviše pod euharistijskim prili</w:t>
        <w:softHyphen/>
        <w:t>kama. Prisutan je svojim moćima u sakramen</w:t>
        <w:softHyphen/>
        <w:t>tima ... u svojoj riječi ... napokon kad Crkva moli i pjeva psalme ...« (br. 7). Tako je litur</w:t>
        <w:softHyphen/>
        <w:t>gija u svom najdubljem smislu uprisutnjenost i potpora Kristova djela spasenja, ona je zajed</w:t>
        <w:softHyphen/>
        <w:t>ništvo akcije velikog svećenika Krista i nje</w:t>
        <w:softHyphen/>
        <w:t>gove Crkve za posvećenje ljudi i Božje pro- slavljcnjc. »S pravom se dakle liturgija smatra kao vršenje Kristove svećeničke službe ... Sto</w:t>
        <w:softHyphen/>
        <w:t>ga je svako liturgijsko slavlje - budući da jc ono djelo Krista Svećenika i njegova tijela, koje je Crkva - u najpotpunijem smislu sveto djelo ... (br. 7). Tako svako b. kršćana ima di</w:t>
        <w:softHyphen/>
        <w:t>jalošku strukturu: Bog je u Kristu djelatan u smjeru prema ljudima, a ovi hvale i slave Oca u Kristu i s Kristom. Jer, u liturgiji »pomoću vidljivih znakova označuje se i izvršava čovje</w:t>
        <w:softHyphen/>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kovo posvećenje na način svojstven pojedinom znaku, te tako otajstveno tijelo Isusa Krista, glava i udovi, vrši cjelokupno javno b.« (br. 7). Ova dvostruka usmjerenost liturgije nalazi se i u mnogim drugim koncilskim i pokoncilskim dokumentima. Pritom se u pravilu na prvome mjestu spominje silazni spasotvorni aspekt. Od obadvaju aspekata ostvaruje se prije svega spasenjsko silazni u sakramentu i u čitanju evanđelja, a uzlazni u molitvi i euharistiji ako je ona svečanost žrtve. Pa ipak, nikada ne ne</w:t>
        <w:softHyphen/>
        <w:t>dostaje ovaj drugi aspekt. Tako su sakramenti u svojoj nadubljoj srži također molitva. Obr</w:t>
        <w:softHyphen/>
        <w:t>nuto, i molitva koja se uzdiže također posre</w:t>
        <w:softHyphen/>
        <w:t>duje spasenje; i žrtva nije samo uzlazna nego također bitno posreduje spasenje: »za vas predana« naglašavaju riječi tumačenja na eu- haristijskoj gozbi.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Doduše Duh Božji djeluje i »puše gdje god hoće« (Iv 3,8). Pa ipak, za njegovo je djelo</w:t>
        <w:softHyphen/>
        <w:t>vanje u spasenjskint liturgijskim činima speci</w:t>
        <w:softHyphen/>
        <w:t>fično daje sebe i nas po Kristu i Crkvi načelno vezao uz osjetilne znakove i uz bogoslužnu za</w:t>
        <w:softHyphen/>
        <w:t>jednicu. Najelementarniji znakovi koji se mo</w:t>
        <w:softHyphen/>
        <w:t>gu čuti i vidjeti jesu zajednica koja slavi i oso</w:t>
        <w:softHyphen/>
        <w:t>be koje djeluju u ime Krista i u ime zajednice. Daljnji vidljivi znakovi djelomično se vraćaju natrag do Krista i apostolskog vremena i ne mogu se mijenjati, dok je to kod sekundarnih znakova ne samo moguće nego i naređeno da bi se liturgija svaki puta mogla razumjeti u svom vremenu. U znakove se ubraja pokraj onoga što djeluje na vid i osjetila ništa manje i riječ biblijskog čitanja i molitve, ali i drugi ob</w:t>
        <w:softHyphen/>
        <w:t>lici riječi kao što je vjerovanje, dijalog itd. Za liturgijsku je' djelatnost zatim specifično da se dogada uredno (usp. 1 Kor 14,40; 11,34). Uredno ne znači uređenost u pojedinostima niti je to nužno centralističko. No bit je bogo</w:t>
        <w:softHyphen/>
        <w:t>služja da je ono crkveno, a u središnjim toč</w:t>
        <w:softHyphen/>
        <w:t>kama da ga je čak uredio Krist i apostoli.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ovo liturgijsko slavlje uključena je čitava za</w:t>
        <w:softHyphen/>
        <w:t>jednica i ona je pozvana na djelatno sudje</w:t>
        <w:softHyphen/>
        <w:t>lovanje tako da svatko čini »sve ono što na nj spada prema naravi obreda i prema litur</w:t>
        <w:softHyphen/>
        <w:t>gijskim propisima« (br. 28). Pa ipak je nevid</w:t>
        <w:softHyphen/>
        <w:t>ljivi nositelj svakoga liturgijskog čina svećenik Krist, »službenik Svetišta« (Hcb 8,2). To prije svega dolazi do izražaja na svršetku molitava »po Kristu«: spasenjski od Boga, Oca, po Kris</w:t>
        <w:softHyphen/>
        <w:t xml:space="preserve">tu u Duhu Svetom do nas; uzdižući se od nas po Kristu u Duhu Svetom do Oca. Crkveno </w:t>
      </w:r>
      <w:r>
        <w:rPr>
          <w:rFonts w:ascii="Times New Roman" w:eastAsia="Times New Roman" w:hAnsi="Times New Roman" w:cs="Times New Roman"/>
          <w:color w:val="000000"/>
          <w:spacing w:val="0"/>
          <w:w w:val="100"/>
          <w:position w:val="0"/>
          <w:shd w:val="clear" w:color="auto" w:fill="auto"/>
          <w:lang w:val="hr-HR" w:eastAsia="hr-HR" w:bidi="hr-HR"/>
        </w:rPr>
        <w:t>kanonsko pravo iz 1917. označavalo je u ka</w:t>
        <w:softHyphen/>
        <w:t>nonu 2256 kao bogoslužje »funkcije posveću- juće moći koje mogu izvršavati samo klerici«. Još 1958. jedna Instrukcija kongregacije za obrede zahtijevala je klerike za pravu i nepo</w:t>
        <w:softHyphen/>
        <w:t>srednu službu, dok su zakonito opunomoćeni laici, i to samo muški, navodno vršili samo delegiranu službu. Doduše, takva klerikalna sužavanja nisu nipošto pokrivala punu stvar</w:t>
        <w:softHyphen/>
        <w:t>nost kao što pokazuju krštenja u nuždi, skla</w:t>
        <w:softHyphen/>
        <w:t>panje braka i korska molitva ženskih redova. Pa ipak su daleko odgovarala gledištu da je samo svećenik pravi liturg. Nasuprot tomu je Konstitucija o svetoj liturgiji pojasnila da je li</w:t>
        <w:softHyphen/>
        <w:t>turgija slavljenje svih krštenih i da se odre</w:t>
        <w:softHyphen/>
        <w:t>đene liturgijske funkcije ne izvršavaju poziva</w:t>
        <w:softHyphen/>
        <w:t>njem na crkvene opunomoćenosti nego pozi</w:t>
        <w:softHyphen/>
        <w:t>vanjem na krštenje i svetu potvrdu. Tako je li</w:t>
        <w:softHyphen/>
        <w:t>turgija u biti slavljenje okupljene zajednice; znakovito postupanje pri čemu znakovi mo</w:t>
        <w:softHyphen/>
        <w:t>raju biti razumljivi; nastavak spasenjskoga Kristova djelovanja, pa je stoga proročka, sve</w:t>
        <w:softHyphen/>
        <w:t>ćenička, i kraljevska (usp. 1 Pt 2,9); kao što je Kristovo postupanje obilježeno dijaloški: si</w:t>
        <w:softHyphen/>
        <w:t>lazno za spasenje svijeta i uzlazno za slavljenje Boga - oboje se događa po Kristu, s njime i u njemu; obilježeno eshatološki, naime usmjer</w:t>
        <w:softHyphen/>
        <w:t>eno na ispunjenje Božjega kraljevstva. U litur</w:t>
        <w:softHyphen/>
        <w:t>giji je Krist prisutan u okupljenoj zajednici, u predstojniku skupa, u riječi i pod euharistij- skim prilikama; liturgija je djelovanje u Duhu Svetom; naviještanje vjere zajednici i po za</w:t>
        <w:softHyphen/>
        <w:t>jednici svijetu. Pritom moraju slavljenje vjere (liturgia) i čin vjere (diakonia) odgovarati je</w:t>
        <w:softHyphen/>
        <w:t>dan drugome. Nositelj liturgije je okupljena zajednica, koja je u sebi raščlanjena prema različitim zadaćama i službama, pri čemu po</w:t>
        <w:softHyphen/>
        <w:t>sebna uloga pripada posvećenom predstoj</w:t>
        <w:softHyphen/>
        <w:t>niku.</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onomu što je rečeno, u liturgiju se ubrajaju vidljiva slavljenja na kojima je Krist djelatan u zajednici da bi posvetio ljude i pro</w:t>
        <w:softHyphen/>
        <w:t>slavio Oca. U središtu tih svetih radnji stoji euharistijsko slavlje u kojem je najjače ostva</w:t>
        <w:softHyphen/>
        <w:t>reno zajedništvo s Kristom. Oko njega je krug ostalih sakramenata koji čovjeka ili učlanjuju u euharistijsku zajednicu (inicijacija), ili mu u posebnim situacijama stoje na pomoć (poko</w:t>
        <w:softHyphen/>
        <w:t>ra, bolesničko pomazanje), ili ga osposoblja</w:t>
        <w:softHyphen/>
        <w:t>vaju za posebnu službu (sv. red, brak). No uz to se još također ubrajaju samostalno naviješ</w:t>
        <w:softHyphen/>
        <w:t>tanje Božje riječi u čitanju evanđelja i propo</w:t>
        <w:softHyphen/>
      </w:r>
      <w:r>
        <w:rPr>
          <w:rFonts w:ascii="Times New Roman" w:eastAsia="Times New Roman" w:hAnsi="Times New Roman" w:cs="Times New Roman"/>
          <w:color w:val="000000"/>
          <w:spacing w:val="0"/>
          <w:w w:val="100"/>
          <w:position w:val="0"/>
          <w:shd w:val="clear" w:color="auto" w:fill="auto"/>
          <w:lang w:val="hr-HR" w:eastAsia="hr-HR" w:bidi="hr-HR"/>
        </w:rPr>
        <w:t>vijedi kao i slavljenje ćasoslova (molitva). Osim ovih općccrkvcno propisanih liturgijskih slavlja ima i ostalih bogoslužnih skupova kao što su pobožnosti, procesije itd., koje propisu</w:t>
        <w:softHyphen/>
        <w:t>ju pojedinačne biskupije ili i same zajednice. U ukupnosti crkvenog života liturgiji pripada visoko mjesto, ali ona se uvijek mora proma</w:t>
        <w:softHyphen/>
        <w:t>trati ipak u povezanosti s ostalim crkvenim za</w:t>
        <w:softHyphen/>
        <w:t>daćama. Njoj mora mnogo toga prethoditi, prije svega prvo naviještanje, obraćenje i okre</w:t>
        <w:softHyphen/>
        <w:t>tanje Kristu u katekumenatu kao i ljudska sposobnost za bratsko zajedništvo. Vjera je pret</w:t>
        <w:softHyphen/>
        <w:t>postavka naše podobnosti za liturgiju. Osim toga, liturgijski se čini ne smiju zaustavljati na sebi. Tko se u njima i po njima sve jaće pri</w:t>
        <w:softHyphen/>
        <w:t>ključuje Kristu, zna da po njegovu uzoru ima obvezu naspram spasenja svih ljudi. Liturgija treba dati pravu motivaciju i snagu da pre</w:t>
        <w:softHyphen/>
        <w:t>vladamo svaki egoizam i da se nesebično sta</w:t>
        <w:softHyphen/>
        <w:t>vimo u službu bližnjemu i spasenju cijeloga svijeta. Zato dar primljen na bogoslužju posta</w:t>
        <w:softHyphen/>
        <w:t>je zadaća u kraljevstvu i za kraljevstvo Božje. Nc smije biti nedjeljnoga kršćanstva koje slavi bogoslužje, a ne osvrće se na bližnjega i pat</w:t>
        <w:softHyphen/>
        <w:t>nika. Doduše, liturgija ostvaruje vertikalu: Bog - čovjek, ali isto tako daje snagu i obvezu da uzimamo u obzir horizontalu: čovjek - čo</w:t>
        <w:softHyphen/>
        <w:t>vjek. Od ispravno shvaćene liturgije treba ot</w:t>
        <w:softHyphen/>
        <w:t>klanjati krive sudove koji u bogoslužju vide estetsku i romantičnu zanesenost umjetnič</w:t>
        <w:softHyphen/>
        <w:t>kim ceremonijama i pjevanjem ili plašljivo iz</w:t>
        <w:softHyphen/>
        <w:t>vršavanje propisa koji se shvaćaju magično. Već Enciklika o liturgiji Pija XII. 1947, ali is</w:t>
        <w:softHyphen/>
        <w:t>tom Drugi vatikanski koncil sa svojom Konsti</w:t>
        <w:softHyphen/>
        <w:t>tucijom o sv. liturgiji oduzeli su svaki temelj takvim krivim tumačenjima.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K. </w:t>
      </w:r>
      <w:r>
        <w:rPr>
          <w:color w:val="000000"/>
          <w:spacing w:val="0"/>
          <w:w w:val="100"/>
          <w:position w:val="0"/>
          <w:shd w:val="clear" w:color="auto" w:fill="auto"/>
        </w:rPr>
        <w:t xml:space="preserve">Rahner, </w:t>
      </w:r>
      <w:r>
        <w:rPr>
          <w:i/>
          <w:iCs/>
          <w:color w:val="000000"/>
          <w:spacing w:val="0"/>
          <w:w w:val="100"/>
          <w:position w:val="0"/>
          <w:shd w:val="clear" w:color="auto" w:fill="auto"/>
        </w:rPr>
        <w:t xml:space="preserve">Was </w:t>
      </w:r>
      <w:r>
        <w:rPr>
          <w:i/>
          <w:iCs/>
          <w:color w:val="000000"/>
          <w:spacing w:val="0"/>
          <w:w w:val="100"/>
          <w:position w:val="0"/>
          <w:shd w:val="clear" w:color="auto" w:fill="auto"/>
          <w:lang w:val="hr-HR" w:eastAsia="hr-HR" w:bidi="hr-HR"/>
        </w:rPr>
        <w:t xml:space="preserve">bedeutet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Liiurgie fiir mein i.eben'!,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1983; A. Adam, </w:t>
      </w:r>
      <w:r>
        <w:rPr>
          <w:i/>
          <w:iCs/>
          <w:color w:val="000000"/>
          <w:spacing w:val="0"/>
          <w:w w:val="100"/>
          <w:position w:val="0"/>
          <w:shd w:val="clear" w:color="auto" w:fill="auto"/>
          <w:lang w:val="hr-HR" w:eastAsia="hr-HR" w:bidi="hr-HR"/>
        </w:rPr>
        <w:t>Grundrifl Liturgie,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1985; E. J. Lcngcling, Liturgic u: NHThG 3 (1985) 26-53.</w:t>
      </w:r>
    </w:p>
    <w:p>
      <w:pPr>
        <w:pStyle w:val="Style56"/>
        <w:keepNext w:val="0"/>
        <w:keepLines w:val="0"/>
        <w:widowControl w:val="0"/>
        <w:shd w:val="clear" w:color="auto" w:fill="auto"/>
        <w:bidi w:val="0"/>
        <w:spacing w:before="0" w:after="200" w:line="240" w:lineRule="auto"/>
        <w:ind w:left="0" w:right="0" w:firstLine="0"/>
        <w:jc w:val="right"/>
      </w:pPr>
      <w:r>
        <w:rPr>
          <w:color w:val="000000"/>
          <w:spacing w:val="0"/>
          <w:w w:val="100"/>
          <w:position w:val="0"/>
          <w:shd w:val="clear" w:color="auto" w:fill="auto"/>
          <w:lang w:val="hr-HR" w:eastAsia="hr-HR" w:bidi="hr-HR"/>
        </w:rPr>
        <w:t xml:space="preserve">K. </w:t>
      </w:r>
      <w:r>
        <w:rPr>
          <w:color w:val="000000"/>
          <w:spacing w:val="0"/>
          <w:w w:val="100"/>
          <w:position w:val="0"/>
          <w:shd w:val="clear" w:color="auto" w:fill="auto"/>
        </w:rPr>
        <w:t>RICHTER</w:t>
      </w:r>
    </w:p>
    <w:p>
      <w:pPr>
        <w:pStyle w:val="Style63"/>
        <w:keepNext/>
        <w:keepLines/>
        <w:widowControl w:val="0"/>
        <w:numPr>
          <w:ilvl w:val="0"/>
          <w:numId w:val="45"/>
        </w:numPr>
        <w:shd w:val="clear" w:color="auto" w:fill="auto"/>
        <w:tabs>
          <w:tab w:pos="260" w:val="left"/>
        </w:tabs>
        <w:bidi w:val="0"/>
        <w:spacing w:before="0" w:after="80"/>
        <w:ind w:left="0" w:right="0" w:firstLine="0"/>
        <w:jc w:val="both"/>
      </w:pPr>
      <w:bookmarkStart w:id="48" w:name="bookmark48"/>
      <w:r>
        <w:rPr>
          <w:rFonts w:ascii="Times New Roman" w:eastAsia="Times New Roman" w:hAnsi="Times New Roman" w:cs="Times New Roman"/>
          <w:color w:val="000000"/>
          <w:spacing w:val="0"/>
          <w:w w:val="100"/>
          <w:position w:val="0"/>
          <w:shd w:val="clear" w:color="auto" w:fill="auto"/>
          <w:lang w:val="hr-HR" w:eastAsia="hr-HR" w:bidi="hr-HR"/>
        </w:rPr>
        <w:t>islamski</w:t>
      </w:r>
      <w:bookmarkEnd w:id="4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Život nije zaslužena egzistencija, već ona koja se ima zahvaliti drugomu. Stoga je čovjek po naravi upućen na ovisnosti. On je praktični od prvoga daha u službi svojega Stvoritelja: pri</w:t>
        <w:softHyphen/>
        <w:t xml:space="preserve">rodni ga zakoni na svakome koraku uključuju u silnu mrežu služenja prirodi. Time njegova sloboda doživljava trajno ograničenje. To je predmet šestoga članka islamske vjere. Od toga, od te ljudske dileme, započinje islamski način ovladavanja životom. Jedan od njegovih </w:t>
      </w:r>
      <w:r>
        <w:rPr>
          <w:rFonts w:ascii="Times New Roman" w:eastAsia="Times New Roman" w:hAnsi="Times New Roman" w:cs="Times New Roman"/>
          <w:color w:val="000000"/>
          <w:spacing w:val="0"/>
          <w:w w:val="100"/>
          <w:position w:val="0"/>
          <w:shd w:val="clear" w:color="auto" w:fill="auto"/>
          <w:lang w:val="hr-HR" w:eastAsia="hr-HR" w:bidi="hr-HR"/>
        </w:rPr>
        <w:t>elemenata jest tzv. ‘ibada (hebr.: ‘awu-da), što otprilike odgovara riječi b. No to je b. u svo</w:t>
        <w:softHyphen/>
        <w:t>jem izvršenju ljudskost naprosto. ‘Ib5da je cilj religioznog odgoja. Ona treba omogućiti svjes</w:t>
        <w:softHyphen/>
        <w:t>no služenje koje je u svojim krajnjim učincima usmjereno na čovjeka i koje sc vrši u znaku predanosti Božjoj volji.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religioznom području ‘ibada sc sastoji u obavljanju pet temeljnih religioznih dužnosti. No ona u širem smislu obuhvaća i ono pod</w:t>
        <w:softHyphen/>
        <w:t>ručje koje sc označuje riječju mu’žmalJt (op</w:t>
        <w:softHyphen/>
        <w:t>hođenje s bližnjima). ‘IbSda je zapravo čitav život koji sc svjesno odvija u znaku predanosti Bogu. Muslimani i Židovi su jedinstveni u tom shvaćanju bogoslužja. Na ‘ibadu u specifič</w:t>
        <w:softHyphen/>
        <w:t>nom smislu riječi obvezani su samo punoljetni vjernici koji posjeduju sve svoje duhovne i tje</w:t>
        <w:softHyphen/>
        <w:t>lesne sposobnosti. U situacijama nevolje na snagu stupaju posebne odredbe dispenze. Od ove vrste ‘ibžde izuzeta su djeca, duševno po</w:t>
        <w:softHyphen/>
        <w:t>remećeni, a u izvjesnim okolnostima stari i nemoćni. Načela društvenoga ponašanja važe, naprotiv, bez iznimke za sve, pri čemu je ipak promjenjiv stupanj obvezatnosti.</w:t>
      </w:r>
    </w:p>
    <w:p>
      <w:pPr>
        <w:pStyle w:val="Style20"/>
        <w:keepNext w:val="0"/>
        <w:keepLines w:val="0"/>
        <w:widowControl w:val="0"/>
        <w:shd w:val="clear" w:color="auto" w:fill="auto"/>
        <w:bidi w:val="0"/>
        <w:spacing w:before="0" w:after="6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 za koju vrstu bogoslužja nije predviđeno neko određeno mjesto obavljanja. Svjesno se svugdje može služiti Bogu - nesvjesno se to čini i ovako i onako. Džamija se razlikuje od crkve utoliko što ona po Muhamedovoj na</w:t>
        <w:softHyphen/>
        <w:t>kani nije samo bogomolja; ona jc dom okup</w:t>
        <w:softHyphen/>
        <w:t>ljanja naroda, škola i sud zajednice koja je uzdržava. Kao izvanjski znak predanosti Bo</w:t>
        <w:softHyphen/>
        <w:t>gu, ali i kao znak jedinstva u duhu, svi se mus</w:t>
        <w:softHyphen/>
        <w:t>limani prilikom obavljanja obveznih molitvi okreću prema Meki, zemaljskom ishodištu is</w:t>
        <w:softHyphen/>
        <w:t>lama poslijebiblijskoga doba. Obavljanje slo</w:t>
        <w:softHyphen/>
        <w:t>bodnih molitvi (du'a) ipak nije vezano za te uvjete. U tim se molitvama musliman može sjediniti i s vjernicima drugih religija pod pret</w:t>
        <w:softHyphen/>
        <w:t xml:space="preserve">postavkom da oni vjeruju u jednoga Boga. Meditacije kod islamskih mistika - </w:t>
      </w:r>
      <w:r>
        <w:rPr>
          <w:rFonts w:ascii="Times New Roman" w:eastAsia="Times New Roman" w:hAnsi="Times New Roman" w:cs="Times New Roman"/>
          <w:i/>
          <w:iCs/>
          <w:color w:val="000000"/>
          <w:spacing w:val="0"/>
          <w:w w:val="100"/>
          <w:position w:val="0"/>
          <w:shd w:val="clear" w:color="auto" w:fill="auto"/>
          <w:lang w:val="hr-HR" w:eastAsia="hr-HR" w:bidi="hr-HR"/>
        </w:rPr>
        <w:t xml:space="preserve">dhikr - </w:t>
      </w:r>
      <w:r>
        <w:rPr>
          <w:rFonts w:ascii="Times New Roman" w:eastAsia="Times New Roman" w:hAnsi="Times New Roman" w:cs="Times New Roman"/>
          <w:color w:val="000000"/>
          <w:spacing w:val="0"/>
          <w:w w:val="100"/>
          <w:position w:val="0"/>
          <w:shd w:val="clear" w:color="auto" w:fill="auto"/>
          <w:lang w:val="hr-HR" w:eastAsia="hr-HR" w:bidi="hr-HR"/>
        </w:rPr>
        <w:t>stoje na raspolaganju svima koji se duhovno zanimaju za njih.</w:t>
      </w:r>
    </w:p>
    <w:p>
      <w:pPr>
        <w:pStyle w:val="Style56"/>
        <w:keepNext w:val="0"/>
        <w:keepLines w:val="0"/>
        <w:widowControl w:val="0"/>
        <w:shd w:val="clear" w:color="auto" w:fill="auto"/>
        <w:tabs>
          <w:tab w:pos="2573" w:val="left"/>
        </w:tabs>
        <w:bidi w:val="0"/>
        <w:spacing w:before="0" w:after="40" w:line="240" w:lineRule="auto"/>
        <w:ind w:left="0" w:right="0" w:firstLine="0"/>
        <w:jc w:val="both"/>
        <w:sectPr>
          <w:headerReference w:type="default" r:id="rId221"/>
          <w:footerReference w:type="default" r:id="rId222"/>
          <w:headerReference w:type="even" r:id="rId223"/>
          <w:footerReference w:type="even" r:id="rId224"/>
          <w:headerReference w:type="first" r:id="rId225"/>
          <w:footerReference w:type="first" r:id="rId226"/>
          <w:footnotePr>
            <w:pos w:val="pageBottom"/>
            <w:numFmt w:val="decimal"/>
            <w:numStart w:val="5"/>
            <w:numRestart w:val="continuous"/>
            <w15:footnoteColumns w:val="1"/>
          </w:footnotePr>
          <w:pgSz w:w="6816" w:h="11006"/>
          <w:pgMar w:top="954" w:left="178" w:right="182" w:bottom="525" w:header="0" w:footer="3" w:gutter="0"/>
          <w:pgNumType w:start="79"/>
          <w:cols w:num="2" w:space="157"/>
          <w:noEndnote/>
          <w:titlePg/>
          <w:rtlGutter w:val="0"/>
          <w:docGrid w:linePitch="360"/>
        </w:sectPr>
      </w:pPr>
      <w:r>
        <w:rPr>
          <w:color w:val="000000"/>
          <w:spacing w:val="0"/>
          <w:w w:val="100"/>
          <w:position w:val="0"/>
          <w:shd w:val="clear" w:color="auto" w:fill="auto"/>
        </w:rPr>
        <w:t xml:space="preserve">Lit.: Muhammad </w:t>
      </w:r>
      <w:r>
        <w:rPr>
          <w:color w:val="000000"/>
          <w:spacing w:val="0"/>
          <w:w w:val="100"/>
          <w:position w:val="0"/>
          <w:shd w:val="clear" w:color="auto" w:fill="auto"/>
          <w:lang w:val="hr-HR" w:eastAsia="hr-HR" w:bidi="hr-HR"/>
        </w:rPr>
        <w:t xml:space="preserve">Hamidullah, </w:t>
      </w:r>
      <w:r>
        <w:rPr>
          <w:i/>
          <w:iCs/>
          <w:color w:val="000000"/>
          <w:spacing w:val="0"/>
          <w:w w:val="100"/>
          <w:position w:val="0"/>
          <w:shd w:val="clear" w:color="auto" w:fill="auto"/>
          <w:lang w:val="hr-HR" w:eastAsia="hr-HR" w:bidi="hr-HR"/>
        </w:rPr>
        <w:t xml:space="preserve">Der Islam. </w:t>
      </w:r>
      <w:r>
        <w:rPr>
          <w:i/>
          <w:iCs/>
          <w:color w:val="000000"/>
          <w:spacing w:val="0"/>
          <w:w w:val="100"/>
          <w:position w:val="0"/>
          <w:shd w:val="clear" w:color="auto" w:fill="auto"/>
        </w:rPr>
        <w:t>Geschichte, Reli</w:t>
        <w:softHyphen/>
        <w:t xml:space="preserve">gion, </w:t>
      </w:r>
      <w:r>
        <w:rPr>
          <w:i/>
          <w:iCs/>
          <w:color w:val="000000"/>
          <w:spacing w:val="0"/>
          <w:w w:val="100"/>
          <w:position w:val="0"/>
          <w:shd w:val="clear" w:color="auto" w:fill="auto"/>
          <w:lang w:val="hr-HR" w:eastAsia="hr-HR" w:bidi="hr-HR"/>
        </w:rPr>
        <w:t>Kullur,</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Kuwait </w:t>
      </w:r>
      <w:r>
        <w:rPr>
          <w:color w:val="000000"/>
          <w:spacing w:val="0"/>
          <w:w w:val="100"/>
          <w:position w:val="0"/>
          <w:shd w:val="clear" w:color="auto" w:fill="auto"/>
          <w:lang w:val="hr-HR" w:eastAsia="hr-HR" w:bidi="hr-HR"/>
        </w:rPr>
        <w:t xml:space="preserve">1973, 108-115; </w:t>
      </w:r>
      <w:r>
        <w:rPr>
          <w:color w:val="000000"/>
          <w:spacing w:val="0"/>
          <w:w w:val="100"/>
          <w:position w:val="0"/>
          <w:shd w:val="clear" w:color="auto" w:fill="auto"/>
        </w:rPr>
        <w:t>Muhammad ibn Mu</w:t>
        <w:softHyphen/>
        <w:t xml:space="preserve">hammad al-Gazah, Abu Hamid: </w:t>
      </w:r>
      <w:r>
        <w:rPr>
          <w:i/>
          <w:iCs/>
          <w:color w:val="000000"/>
          <w:spacing w:val="0"/>
          <w:w w:val="100"/>
          <w:position w:val="0"/>
          <w:shd w:val="clear" w:color="auto" w:fill="auto"/>
        </w:rPr>
        <w:t xml:space="preserve">Ruch vom Gouverlrauen, </w:t>
      </w:r>
      <w:r>
        <w:rPr>
          <w:color w:val="000000"/>
          <w:spacing w:val="0"/>
          <w:w w:val="100"/>
          <w:position w:val="0"/>
          <w:shd w:val="clear" w:color="auto" w:fill="auto"/>
        </w:rPr>
        <w:t xml:space="preserve">ilbers. und mit Einlcitung vcrschcn von Hans Wehr. Halle,G. 1940. Al-Gazall: Ihya ‘ulQm ad-din, </w:t>
      </w:r>
      <w:r>
        <w:rPr>
          <w:color w:val="000000"/>
          <w:spacing w:val="0"/>
          <w:w w:val="100"/>
          <w:position w:val="0"/>
          <w:shd w:val="clear" w:color="auto" w:fill="auto"/>
          <w:lang w:val="hr-HR" w:eastAsia="hr-HR" w:bidi="hr-HR"/>
        </w:rPr>
        <w:t>njemački pri</w:t>
        <w:softHyphen/>
        <w:t xml:space="preserve">jevod (izvadak) u: </w:t>
      </w:r>
      <w:r>
        <w:rPr>
          <w:i/>
          <w:iCs/>
          <w:color w:val="000000"/>
          <w:spacing w:val="0"/>
          <w:w w:val="100"/>
          <w:position w:val="0"/>
          <w:shd w:val="clear" w:color="auto" w:fill="auto"/>
          <w:lang w:val="hr-HR" w:eastAsia="hr-HR" w:bidi="hr-HR"/>
        </w:rPr>
        <w:t>Islamische Elhik,</w:t>
      </w:r>
      <w:r>
        <w:rPr>
          <w:color w:val="000000"/>
          <w:spacing w:val="0"/>
          <w:w w:val="100"/>
          <w:position w:val="0"/>
          <w:shd w:val="clear" w:color="auto" w:fill="auto"/>
          <w:lang w:val="hr-HR" w:eastAsia="hr-HR" w:bidi="hr-HR"/>
        </w:rPr>
        <w:t xml:space="preserve"> 4.</w:t>
        <w:tab/>
        <w:t>s. BAIJĆ</w:t>
      </w:r>
    </w:p>
    <w:p>
      <w:pPr>
        <w:pStyle w:val="Style33"/>
        <w:keepNext w:val="0"/>
        <w:keepLines w:val="0"/>
        <w:widowControl w:val="0"/>
        <w:shd w:val="clear" w:color="auto" w:fill="auto"/>
        <w:bidi w:val="0"/>
        <w:spacing w:before="0" w:after="26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BRAK -&gt; OBITELJ</w:t>
      </w:r>
    </w:p>
    <w:p>
      <w:pPr>
        <w:pStyle w:val="Style33"/>
        <w:keepNext w:val="0"/>
        <w:keepLines w:val="0"/>
        <w:widowControl w:val="0"/>
        <w:shd w:val="clear" w:color="auto" w:fill="auto"/>
        <w:bidi w:val="0"/>
        <w:spacing w:before="0" w:after="14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BUDUĆNOST</w:t>
      </w:r>
    </w:p>
    <w:p>
      <w:pPr>
        <w:pStyle w:val="Style63"/>
        <w:keepNext/>
        <w:keepLines/>
        <w:widowControl w:val="0"/>
        <w:numPr>
          <w:ilvl w:val="0"/>
          <w:numId w:val="51"/>
        </w:numPr>
        <w:shd w:val="clear" w:color="auto" w:fill="auto"/>
        <w:tabs>
          <w:tab w:pos="246" w:val="left"/>
        </w:tabs>
        <w:bidi w:val="0"/>
        <w:spacing w:before="0" w:line="218" w:lineRule="auto"/>
        <w:ind w:left="0" w:right="0" w:firstLine="0"/>
        <w:jc w:val="both"/>
      </w:pPr>
      <w:bookmarkStart w:id="49" w:name="bookmark49"/>
      <w:r>
        <w:rPr>
          <w:rFonts w:ascii="Times New Roman" w:eastAsia="Times New Roman" w:hAnsi="Times New Roman" w:cs="Times New Roman"/>
          <w:color w:val="000000"/>
          <w:spacing w:val="0"/>
          <w:w w:val="100"/>
          <w:position w:val="0"/>
          <w:shd w:val="clear" w:color="auto" w:fill="auto"/>
          <w:lang w:val="hr-HR" w:eastAsia="hr-HR" w:bidi="hr-HR"/>
        </w:rPr>
        <w:t>židovski</w:t>
      </w:r>
      <w:bookmarkEnd w:id="49"/>
    </w:p>
    <w:p>
      <w:pPr>
        <w:pStyle w:val="Style20"/>
        <w:keepNext w:val="0"/>
        <w:keepLines w:val="0"/>
        <w:widowControl w:val="0"/>
        <w:numPr>
          <w:ilvl w:val="0"/>
          <w:numId w:val="53"/>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Nalaz:</w:t>
      </w:r>
      <w:r>
        <w:rPr>
          <w:rFonts w:ascii="Times New Roman" w:eastAsia="Times New Roman" w:hAnsi="Times New Roman" w:cs="Times New Roman"/>
          <w:color w:val="000000"/>
          <w:spacing w:val="0"/>
          <w:w w:val="100"/>
          <w:position w:val="0"/>
          <w:shd w:val="clear" w:color="auto" w:fill="auto"/>
          <w:lang w:val="hr-HR" w:eastAsia="hr-HR" w:bidi="hr-HR"/>
        </w:rPr>
        <w:t xml:space="preserve"> Sjedinjenje raznih predodžbi o bu</w:t>
        <w:softHyphen/>
        <w:t>dućnosti u jednu pojmovnu kategoriju oteža</w:t>
        <w:softHyphen/>
        <w:t>va razumijevanje gledišta u tradicijskoj litera</w:t>
        <w:softHyphen/>
        <w:t xml:space="preserve">turi. Izraz »budući svijet« </w:t>
      </w:r>
      <w:r>
        <w:rPr>
          <w:rFonts w:ascii="Times New Roman" w:eastAsia="Times New Roman" w:hAnsi="Times New Roman" w:cs="Times New Roman"/>
          <w:i/>
          <w:iCs/>
          <w:color w:val="000000"/>
          <w:spacing w:val="0"/>
          <w:w w:val="100"/>
          <w:position w:val="0"/>
          <w:shd w:val="clear" w:color="auto" w:fill="auto"/>
          <w:lang w:val="hr-HR" w:eastAsia="hr-HR" w:bidi="hr-HR"/>
        </w:rPr>
        <w:t>(ha-olam ha-ba)</w:t>
      </w:r>
      <w:r>
        <w:rPr>
          <w:rFonts w:ascii="Times New Roman" w:eastAsia="Times New Roman" w:hAnsi="Times New Roman" w:cs="Times New Roman"/>
          <w:color w:val="000000"/>
          <w:spacing w:val="0"/>
          <w:w w:val="100"/>
          <w:position w:val="0"/>
          <w:shd w:val="clear" w:color="auto" w:fill="auto"/>
          <w:lang w:val="hr-HR" w:eastAsia="hr-HR" w:bidi="hr-HR"/>
        </w:rPr>
        <w:t xml:space="preserve"> i njegov ekvivalent »u budućem«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(le-atid la-bo) </w:t>
      </w:r>
      <w:r>
        <w:rPr>
          <w:rFonts w:ascii="Times New Roman" w:eastAsia="Times New Roman" w:hAnsi="Times New Roman" w:cs="Times New Roman"/>
          <w:color w:val="000000"/>
          <w:spacing w:val="0"/>
          <w:w w:val="100"/>
          <w:position w:val="0"/>
          <w:shd w:val="clear" w:color="auto" w:fill="auto"/>
          <w:lang w:val="hr-HR" w:eastAsia="hr-HR" w:bidi="hr-HR"/>
        </w:rPr>
        <w:t xml:space="preserve">odnose se na život poslije smrti i na uskrsnuće mrtvih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Avot IV,16; 11,16), ali stoje i za mesijansko vrijeme (b Bava batra 122a; Ketubot 111b;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3b; Mehilta, Piska 16) ili se odnose upravo na suprotnost između »Mesijinih dana« i budućega »obnov</w:t>
        <w:softHyphen/>
        <w:t xml:space="preserve">ljenog svijeta« (b Berahot 34b; Sabat 63a; 113b) i znače spasenjski svijet koji će </w:t>
      </w:r>
      <w:r>
        <w:rPr>
          <w:rFonts w:ascii="Times New Roman" w:eastAsia="Times New Roman" w:hAnsi="Times New Roman" w:cs="Times New Roman"/>
          <w:i/>
          <w:iCs/>
          <w:color w:val="000000"/>
          <w:spacing w:val="0"/>
          <w:w w:val="100"/>
          <w:position w:val="0"/>
          <w:shd w:val="clear" w:color="auto" w:fill="auto"/>
          <w:lang w:val="hr-HR" w:eastAsia="hr-HR" w:bidi="hr-HR"/>
        </w:rPr>
        <w:t>Bog nakon</w:t>
      </w:r>
      <w:r>
        <w:rPr>
          <w:rFonts w:ascii="Times New Roman" w:eastAsia="Times New Roman" w:hAnsi="Times New Roman" w:cs="Times New Roman"/>
          <w:color w:val="000000"/>
          <w:spacing w:val="0"/>
          <w:w w:val="100"/>
          <w:position w:val="0"/>
          <w:shd w:val="clear" w:color="auto" w:fill="auto"/>
          <w:lang w:val="hr-HR" w:eastAsia="hr-HR" w:bidi="hr-HR"/>
        </w:rPr>
        <w:t xml:space="preserve"> vre</w:t>
        <w:softHyphen/>
        <w:t>mena Mesije oblikovati umjesto sadašnjega poretka u svijetu (b Arahin 13b; Zevahim 118b; Berahot 17a).</w:t>
      </w:r>
    </w:p>
    <w:p>
      <w:pPr>
        <w:pStyle w:val="Style20"/>
        <w:keepNext w:val="0"/>
        <w:keepLines w:val="0"/>
        <w:widowControl w:val="0"/>
        <w:numPr>
          <w:ilvl w:val="0"/>
          <w:numId w:val="53"/>
        </w:numPr>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Razlikovanje:</w:t>
      </w:r>
      <w:r>
        <w:rPr>
          <w:rFonts w:ascii="Times New Roman" w:eastAsia="Times New Roman" w:hAnsi="Times New Roman" w:cs="Times New Roman"/>
          <w:color w:val="000000"/>
          <w:spacing w:val="0"/>
          <w:w w:val="100"/>
          <w:position w:val="0"/>
          <w:shd w:val="clear" w:color="auto" w:fill="auto"/>
          <w:lang w:val="hr-HR" w:eastAsia="hr-HR" w:bidi="hr-HR"/>
        </w:rPr>
        <w:t xml:space="preserve"> Zbog jezične mnogoznačnosti katkada se u riječima mudraca slijevaju pred</w:t>
        <w:softHyphen/>
        <w:t>odžbe o »danima Mesije« i o konačnom svjet</w:t>
        <w:softHyphen/>
        <w:t>skom poretku (j M Berahot 1,5; b Berahot 12 b). No, kako se nada u »obnovljeni svijet«, koji je obećao Bog, u početku nije poklapala s vje</w:t>
        <w:softHyphen/>
        <w:t>rom u onostranost, unatoč mnogim proturječ</w:t>
        <w:softHyphen/>
        <w:t>nostima u rabinskoj predaji, ipak treba naglasiti kontinuirano mišljenje da mesijansko vrijeme prethodi budućem svijetu i da ga treba strogo razlikovati: na »dane Mesije« usmjerena je na</w:t>
        <w:softHyphen/>
        <w:t>cionalna i internacionalna nada u otkupljenje u povijesnom obliku; na »budući svijet« odno</w:t>
        <w:softHyphen/>
        <w:t>se se individualna očekivanja uskrsnuća mrtvih i posljednji sud te misli o »obnovljenom svi</w:t>
        <w:softHyphen/>
        <w:t>jetu« koji obuhvaća Izrael i narode.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Jehuda </w:t>
      </w:r>
      <w:r>
        <w:rPr>
          <w:rFonts w:ascii="Times New Roman" w:eastAsia="Times New Roman" w:hAnsi="Times New Roman" w:cs="Times New Roman"/>
          <w:color w:val="000000"/>
          <w:spacing w:val="0"/>
          <w:w w:val="100"/>
          <w:position w:val="0"/>
          <w:shd w:val="clear" w:color="auto" w:fill="auto"/>
          <w:lang w:val="hr-HR" w:eastAsia="hr-HR" w:bidi="hr-HR"/>
        </w:rPr>
        <w:t>ha-Nasi (II. stoljeće pos. Kr.) jasno je razlikovao ovostrano-povijesnu b. nakon Mesi- jina dolaska s jedne strane i onostranu nakon smrti te svjetski poredak u posljednjem vre</w:t>
        <w:softHyphen/>
        <w:t>menu s druge strane. Na osnovi Pnz 33,12: »Višnji ga štiti svih njegovih dana, između nje</w:t>
        <w:softHyphen/>
        <w:t>govih prebiva bregova«, on objašnjava: »'On ga štiti', to je ovaj svijet; ‘svih njegovih dana’, to su dani Mesije; ‘između njegovih prebiva brego</w:t>
        <w:softHyphen/>
        <w:t xml:space="preserve">va’, to je budući svijet« (b Zevahim 118b; usp. Arahin 13b; IV Esr 10/127,34; sir. Baruh 40,3). Na poslijemesijansko vrijeme </w:t>
      </w:r>
      <w:r>
        <w:rPr>
          <w:rFonts w:ascii="Times New Roman" w:eastAsia="Times New Roman" w:hAnsi="Times New Roman" w:cs="Times New Roman"/>
          <w:i/>
          <w:iCs/>
          <w:color w:val="000000"/>
          <w:spacing w:val="0"/>
          <w:w w:val="100"/>
          <w:position w:val="0"/>
          <w:shd w:val="clear" w:color="auto" w:fill="auto"/>
          <w:lang w:val="hr-HR" w:eastAsia="hr-HR" w:bidi="hr-HR"/>
        </w:rPr>
        <w:t>nagrade, odmaz</w:t>
        <w:softHyphen/>
        <w:t>de</w:t>
      </w:r>
      <w:r>
        <w:rPr>
          <w:rFonts w:ascii="Times New Roman" w:eastAsia="Times New Roman" w:hAnsi="Times New Roman" w:cs="Times New Roman"/>
          <w:color w:val="000000"/>
          <w:spacing w:val="0"/>
          <w:w w:val="100"/>
          <w:position w:val="0"/>
          <w:shd w:val="clear" w:color="auto" w:fill="auto"/>
          <w:lang w:val="hr-HR" w:eastAsia="hr-HR" w:bidi="hr-HR"/>
        </w:rPr>
        <w:t xml:space="preserve"> upozorava Rabi Tarfon (I./II. stoljeće) u ’ jednoj Mišni: »1 znaj, u budućem pravednika čeka nagrada« (Avot 11,16). </w:t>
      </w:r>
      <w:r>
        <w:rPr>
          <w:rFonts w:ascii="Times New Roman" w:eastAsia="Times New Roman" w:hAnsi="Times New Roman" w:cs="Times New Roman"/>
          <w:i/>
          <w:iCs/>
          <w:color w:val="000000"/>
          <w:spacing w:val="0"/>
          <w:w w:val="100"/>
          <w:position w:val="0"/>
          <w:shd w:val="clear" w:color="auto" w:fill="auto"/>
          <w:lang w:val="hr-HR" w:eastAsia="hr-HR" w:bidi="hr-HR"/>
        </w:rPr>
        <w:t xml:space="preserve">Uskrsnuće mrtvih </w:t>
      </w:r>
      <w:r>
        <w:rPr>
          <w:rFonts w:ascii="Times New Roman" w:eastAsia="Times New Roman" w:hAnsi="Times New Roman" w:cs="Times New Roman"/>
          <w:color w:val="000000"/>
          <w:spacing w:val="0"/>
          <w:w w:val="100"/>
          <w:position w:val="0"/>
          <w:shd w:val="clear" w:color="auto" w:fill="auto"/>
          <w:lang w:val="hr-HR" w:eastAsia="hr-HR" w:bidi="hr-HR"/>
        </w:rPr>
        <w:t>razmatra druga Mišna: »No za budući vrijedi (Iz 25,8): »On će uništiti smrt zasvagda, i suzu će sa svakog lica otrti Gospodin Bog« (Moed katan III,9). Očekivanje budućnosti i nada u uskrsnuće mogli su imati čak isto značenje: Na jedno od dvanaest pitanja »ljudi iz Alek- sandrije« (b Nida 69b.70b): »Hoće li mrtvi u budućem trebati škropljenje trećega i sedmog dana ili ga neće trebati?«, Rabi Jošua ben Ha- nanja (I./II. stoljeće) odgovorio je: »Čim oži</w:t>
        <w:softHyphen/>
        <w:t>ve, razmislit ćemo o tome.«</w:t>
      </w:r>
    </w:p>
    <w:p>
      <w:pPr>
        <w:pStyle w:val="Style20"/>
        <w:keepNext w:val="0"/>
        <w:keepLines w:val="0"/>
        <w:widowControl w:val="0"/>
        <w:numPr>
          <w:ilvl w:val="0"/>
          <w:numId w:val="53"/>
        </w:numPr>
        <w:shd w:val="clear" w:color="auto" w:fill="auto"/>
        <w:tabs>
          <w:tab w:pos="255" w:val="left"/>
        </w:tabs>
        <w:bidi w:val="0"/>
        <w:spacing w:before="0" w:after="0" w:line="240" w:lineRule="auto"/>
        <w:ind w:left="0" w:right="0" w:firstLine="0"/>
        <w:jc w:val="both"/>
        <w:sectPr>
          <w:headerReference w:type="default" r:id="rId227"/>
          <w:footerReference w:type="default" r:id="rId228"/>
          <w:headerReference w:type="even" r:id="rId229"/>
          <w:footerReference w:type="even" r:id="rId230"/>
          <w:footnotePr>
            <w:pos w:val="pageBottom"/>
            <w:numFmt w:val="decimal"/>
            <w:numStart w:val="5"/>
            <w:numRestart w:val="continuous"/>
            <w15:footnoteColumns w:val="1"/>
          </w:footnotePr>
          <w:type w:val="continuous"/>
          <w:pgSz w:w="6816" w:h="11006"/>
          <w:pgMar w:top="954" w:left="178" w:right="182" w:bottom="525" w:header="0" w:footer="3" w:gutter="0"/>
          <w:cols w:num="2" w:space="157"/>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Priroda »budućega svijeta«.</w:t>
      </w:r>
      <w:r>
        <w:rPr>
          <w:rFonts w:ascii="Times New Roman" w:eastAsia="Times New Roman" w:hAnsi="Times New Roman" w:cs="Times New Roman"/>
          <w:color w:val="000000"/>
          <w:spacing w:val="0"/>
          <w:w w:val="100"/>
          <w:position w:val="0"/>
          <w:shd w:val="clear" w:color="auto" w:fill="auto"/>
          <w:lang w:val="hr-HR" w:eastAsia="hr-HR" w:bidi="hr-HR"/>
        </w:rPr>
        <w:t xml:space="preserve"> Najraniji dokaz za taj pojam iz II./I. stoljeća pr. Kr. povezuje b. s očekivanjem mira koji počinje od stvara</w:t>
        <w:softHyphen/>
        <w:t>nja svijeta (etiop. Henok 71,15). U apokrif- no-pseudoepigrafskoj i talmudskoj literaturi nalazimo široki spektar gledišta o budućnosti: Sadašnji con je prolazan (IV Ezr 2/4/, 11 i d.). No, budući da Bog nije stvorio samo jedan nego dva svijeta (5/7/,50), dolazi novi eon koji je vječan (sir. Baruh 44,12). On je predstav</w:t>
        <w:softHyphen/>
        <w:t xml:space="preserve">ljen kao vrijeme vječnoga života. S njim su povezani </w:t>
      </w:r>
      <w:r>
        <w:rPr>
          <w:rFonts w:ascii="Times New Roman" w:eastAsia="Times New Roman" w:hAnsi="Times New Roman" w:cs="Times New Roman"/>
          <w:i/>
          <w:iCs/>
          <w:color w:val="000000"/>
          <w:spacing w:val="0"/>
          <w:w w:val="100"/>
          <w:position w:val="0"/>
          <w:shd w:val="clear" w:color="auto" w:fill="auto"/>
          <w:lang w:val="hr-HR" w:eastAsia="hr-HR" w:bidi="hr-HR"/>
        </w:rPr>
        <w:t>Uskrsnuće mrtvih</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Posljednji sud </w:t>
      </w:r>
      <w:r>
        <w:rPr>
          <w:rFonts w:ascii="Times New Roman" w:eastAsia="Times New Roman" w:hAnsi="Times New Roman" w:cs="Times New Roman"/>
          <w:color w:val="000000"/>
          <w:spacing w:val="0"/>
          <w:w w:val="100"/>
          <w:position w:val="0"/>
          <w:shd w:val="clear" w:color="auto" w:fill="auto"/>
          <w:lang w:val="hr-HR" w:eastAsia="hr-HR" w:bidi="hr-HR"/>
        </w:rPr>
        <w:t xml:space="preserve">(44,11-15; etiop. Henok 91,7-17; 94,7.9; 97,3). Ako je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iz Modiima (I./II. stoljeće) »bu</w:t>
        <w:softHyphen/>
        <w:t>dući svijet« i »obnovljeni svijet« svrstao u je</w:t>
        <w:softHyphen/>
        <w:t>dan red (Mehilta, Vajchi Bešalah 50b), onda po jednom drugom midrašu »obnovljeni svi</w:t>
        <w:softHyphen/>
        <w:t xml:space="preserve">jet« dolazi </w:t>
      </w:r>
      <w:r>
        <w:rPr>
          <w:rFonts w:ascii="Times New Roman" w:eastAsia="Times New Roman" w:hAnsi="Times New Roman" w:cs="Times New Roman"/>
          <w:i/>
          <w:iCs/>
          <w:color w:val="000000"/>
          <w:spacing w:val="0"/>
          <w:w w:val="100"/>
          <w:position w:val="0"/>
          <w:shd w:val="clear" w:color="auto" w:fill="auto"/>
          <w:lang w:val="hr-HR" w:eastAsia="hr-HR" w:bidi="hr-HR"/>
        </w:rPr>
        <w:t>nakon</w:t>
      </w:r>
      <w:r>
        <w:rPr>
          <w:rFonts w:ascii="Times New Roman" w:eastAsia="Times New Roman" w:hAnsi="Times New Roman" w:cs="Times New Roman"/>
          <w:color w:val="000000"/>
          <w:spacing w:val="0"/>
          <w:w w:val="100"/>
          <w:position w:val="0"/>
          <w:shd w:val="clear" w:color="auto" w:fill="auto"/>
          <w:lang w:val="hr-HR" w:eastAsia="hr-HR" w:bidi="hr-HR"/>
        </w:rPr>
        <w:t xml:space="preserve"> uskrsnuća mrtvih (Tanhuma egeb § 7). No, Rabi Jakov ben Koršaj (II. sto</w:t>
        <w:softHyphen/>
        <w:t>ljeće) povezuje budućnost s onostranošću ko</w:t>
        <w:softHyphen/>
        <w:t>ja počinje poslije smrti: »Dragocjeniji je jedan sat u kajanju i dobrim djelima na ovom svijetu negoli cijeli život budućega svijeta » (M Avot IV,17). »Svi su proroci proricali samo mesi</w:t>
        <w:softHyphen/>
        <w:t>jansko vrijeme, ali budući svijet odnosi se na riječi iz Iz 64,3: ... (koje) oko nijedno nije vi</w:t>
        <w:softHyphen/>
        <w:t>djelo, o Bože, osim tebe« (b Berahot 34b; Sa</w:t>
        <w:softHyphen/>
        <w:t>bat 63a). Oštro odbijanje svih promišljanja o budućnosti postavilo je jasne granice maštovi</w:t>
        <w:softHyphen/>
        <w:t>tim oslikavanjima miline kojoj se pravednici mogu nadati u onostranosti. Pravu prirodu budućnosti opisuje jedna izvankanonska izre</w:t>
        <w:softHyphen/>
        <w:t>ka: »U budućem svijetu nema ni jela, ni pića, ni začeća, ni razmnažanja, nego pravednici sjede s krunom na glavi i naslađuju se božan</w:t>
        <w:softHyphen/>
        <w:t>skim sjajem« (Hala rabati 6,2). Jedno drugo mišljenje pojačava tu crtu budućnosti: »Trgo</w:t>
        <w:softHyphen/>
        <w:t>vina, mržnja, zavist i konkurencija« također nestaju (b Berahot 17a). Ovdje se ne misli na život poslije smrti, nego na novi svjetski pore</w:t>
        <w:softHyphen/>
        <w:t>dak koji se oblikuje nakon vremena Mesije: »Ovo što smo (ovdje) naučili, odnosi se na vri</w:t>
        <w:softHyphen/>
        <w:t xml:space="preserve">jeme </w:t>
      </w:r>
      <w:r>
        <w:rPr>
          <w:rFonts w:ascii="Times New Roman" w:eastAsia="Times New Roman" w:hAnsi="Times New Roman" w:cs="Times New Roman"/>
          <w:i/>
          <w:iCs/>
          <w:color w:val="000000"/>
          <w:spacing w:val="0"/>
          <w:w w:val="100"/>
          <w:position w:val="0"/>
          <w:shd w:val="clear" w:color="auto" w:fill="auto"/>
          <w:lang w:val="hr-HR" w:eastAsia="hr-HR" w:bidi="hr-HR"/>
        </w:rPr>
        <w:t>prije</w:t>
      </w:r>
      <w:r>
        <w:rPr>
          <w:rFonts w:ascii="Times New Roman" w:eastAsia="Times New Roman" w:hAnsi="Times New Roman" w:cs="Times New Roman"/>
          <w:color w:val="000000"/>
          <w:spacing w:val="0"/>
          <w:w w:val="100"/>
          <w:position w:val="0"/>
          <w:shd w:val="clear" w:color="auto" w:fill="auto"/>
          <w:lang w:val="hr-HR" w:eastAsia="hr-HR" w:bidi="hr-HR"/>
        </w:rPr>
        <w:t xml:space="preserve"> oživljavanja mrtvih« (Hala rabati 6,2).</w:t>
      </w:r>
    </w:p>
    <w:p>
      <w:pPr>
        <w:pStyle w:val="Style20"/>
        <w:keepNext w:val="0"/>
        <w:keepLines w:val="0"/>
        <w:widowControl w:val="0"/>
        <w:numPr>
          <w:ilvl w:val="0"/>
          <w:numId w:val="53"/>
        </w:numPr>
        <w:shd w:val="clear" w:color="auto" w:fill="auto"/>
        <w:tabs>
          <w:tab w:pos="274"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Kritičko gledište.</w:t>
      </w:r>
      <w:r>
        <w:rPr>
          <w:rFonts w:ascii="Times New Roman" w:eastAsia="Times New Roman" w:hAnsi="Times New Roman" w:cs="Times New Roman"/>
          <w:color w:val="000000"/>
          <w:spacing w:val="0"/>
          <w:w w:val="100"/>
          <w:position w:val="0"/>
          <w:shd w:val="clear" w:color="auto" w:fill="auto"/>
          <w:lang w:val="hr-HR" w:eastAsia="hr-HR" w:bidi="hr-HR"/>
        </w:rPr>
        <w:t xml:space="preserve"> Ekskluzivna očekivanja, ko</w:t>
        <w:softHyphen/>
        <w:t xml:space="preserve">ja ograničavaju sudioništvo u budućnosti na Izrael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 1), suprotstavila su se univerzalnoj predodžbi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XIII,2;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105a). Ona je prevagnula u tal</w:t>
        <w:softHyphen/>
        <w:t>mudskom i poslijetalmudskom vremenu: »Pra</w:t>
        <w:softHyphen/>
        <w:t xml:space="preserve">vednici naroda svijeta sudionici su budućega svijeta« (Majmonid, </w:t>
      </w:r>
      <w:r>
        <w:rPr>
          <w:rFonts w:ascii="Times New Roman" w:eastAsia="Times New Roman" w:hAnsi="Times New Roman" w:cs="Times New Roman"/>
          <w:i/>
          <w:iCs/>
          <w:color w:val="000000"/>
          <w:spacing w:val="0"/>
          <w:w w:val="100"/>
          <w:position w:val="0"/>
          <w:shd w:val="clear" w:color="auto" w:fill="auto"/>
          <w:lang w:val="hr-HR" w:eastAsia="hr-HR" w:bidi="hr-HR"/>
        </w:rPr>
        <w:t xml:space="preserve">Misne Tora, Hilhot teSuva </w:t>
      </w:r>
      <w:r>
        <w:rPr>
          <w:rFonts w:ascii="Times New Roman" w:eastAsia="Times New Roman" w:hAnsi="Times New Roman" w:cs="Times New Roman"/>
          <w:color w:val="000000"/>
          <w:spacing w:val="0"/>
          <w:w w:val="100"/>
          <w:position w:val="0"/>
          <w:shd w:val="clear" w:color="auto" w:fill="auto"/>
          <w:lang w:val="hr-HR" w:eastAsia="hr-HR" w:bidi="hr-HR"/>
        </w:rPr>
        <w:t>3,5). Odustajanje od ćulno obilježenog očeki</w:t>
        <w:softHyphen/>
        <w:t>vanja budućnosti spriječilo je »da primamljiva ili prijeteća slika onostranosti ugrozi ćudored</w:t>
        <w:softHyphen/>
        <w:t xml:space="preserve">nu ozbiljnost« i da »zemlji bude uskraćeno dokazivanje ćudorednosti« </w:t>
      </w:r>
      <w:r>
        <w:rPr>
          <w:rFonts w:ascii="Times New Roman" w:eastAsia="Times New Roman" w:hAnsi="Times New Roman" w:cs="Times New Roman"/>
          <w:color w:val="000000"/>
          <w:spacing w:val="0"/>
          <w:w w:val="100"/>
          <w:position w:val="0"/>
          <w:shd w:val="clear" w:color="auto" w:fill="auto"/>
          <w:lang w:val="en-US" w:eastAsia="en-US" w:bidi="en-US"/>
        </w:rPr>
        <w:t xml:space="preserve">(Leo Baeck,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Judentums,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*1926/6. izdanje, 205).</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L- Strack/P. Billcrbcck, </w:t>
      </w:r>
      <w:r>
        <w:rPr>
          <w:i/>
          <w:iCs/>
          <w:color w:val="000000"/>
          <w:spacing w:val="0"/>
          <w:w w:val="100"/>
          <w:position w:val="0"/>
          <w:shd w:val="clear" w:color="auto" w:fill="auto"/>
          <w:lang w:val="hr-HR" w:eastAsia="hr-HR" w:bidi="hr-HR"/>
        </w:rPr>
        <w:t>Kommenlar zum .\’euen Tes</w:t>
        <w:softHyphen/>
        <w:t xml:space="preserve">tament aus </w:t>
      </w:r>
      <w:r>
        <w:rPr>
          <w:i/>
          <w:iCs/>
          <w:color w:val="000000"/>
          <w:spacing w:val="0"/>
          <w:w w:val="100"/>
          <w:position w:val="0"/>
          <w:shd w:val="clear" w:color="auto" w:fill="auto"/>
        </w:rPr>
        <w:t xml:space="preserve">Talmud </w:t>
      </w:r>
      <w:r>
        <w:rPr>
          <w:i/>
          <w:iCs/>
          <w:color w:val="000000"/>
          <w:spacing w:val="0"/>
          <w:w w:val="100"/>
          <w:position w:val="0"/>
          <w:shd w:val="clear" w:color="auto" w:fill="auto"/>
          <w:lang w:val="hr-HR" w:eastAsia="hr-HR" w:bidi="hr-HR"/>
        </w:rPr>
        <w:t>und Midrasch.</w:t>
      </w:r>
      <w:r>
        <w:rPr>
          <w:color w:val="000000"/>
          <w:spacing w:val="0"/>
          <w:w w:val="100"/>
          <w:position w:val="0"/>
          <w:shd w:val="clear" w:color="auto" w:fill="auto"/>
          <w:lang w:val="hr-HR" w:eastAsia="hr-HR" w:bidi="hr-HR"/>
        </w:rPr>
        <w:t xml:space="preserve"> 1928? 1975, IV.2,799-976.</w:t>
      </w:r>
    </w:p>
    <w:p>
      <w:pPr>
        <w:pStyle w:val="Style74"/>
        <w:keepNext w:val="0"/>
        <w:keepLines w:val="0"/>
        <w:widowControl w:val="0"/>
        <w:shd w:val="clear" w:color="auto" w:fill="auto"/>
        <w:bidi w:val="0"/>
        <w:spacing w:before="0"/>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Đ. VL'rn-R</w:t>
      </w:r>
    </w:p>
    <w:p>
      <w:pPr>
        <w:pStyle w:val="Style63"/>
        <w:keepNext/>
        <w:keepLines/>
        <w:widowControl w:val="0"/>
        <w:numPr>
          <w:ilvl w:val="0"/>
          <w:numId w:val="51"/>
        </w:numPr>
        <w:shd w:val="clear" w:color="auto" w:fill="auto"/>
        <w:tabs>
          <w:tab w:pos="255" w:val="left"/>
        </w:tabs>
        <w:bidi w:val="0"/>
        <w:spacing w:before="0"/>
        <w:ind w:left="0" w:right="0" w:firstLine="0"/>
        <w:jc w:val="both"/>
      </w:pPr>
      <w:bookmarkStart w:id="50" w:name="bookmark5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5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Kršćanstvo ne shvaća čovjeka, društvo i svijet kao da su nepokretni nego kao da su u -&gt; po</w:t>
        <w:softHyphen/>
        <w:t>vijesti spasenja. Ono naviješta vjeru u povi</w:t>
        <w:softHyphen/>
        <w:t>jest, koja se kreće prema budućnosti, koja se već ispunjava u povijesti. Prošlost se tumači u otkrivanju i otkrivanjem budućnosti koja se približava: sadašnjost dobiva smisao i znače</w:t>
        <w:softHyphen/>
        <w:t>nje u otvorenosti koja se nada približavanju apsolutne budućnosti koja se daruje Bogu. Zato se čovjekovo biće može definirati kao mogućnost za postizavanje budućnosti koja se obećava u Duhu i utjelovljenju. Pod »buduć</w:t>
        <w:softHyphen/>
        <w:t>nošću« se misli spasenjsko stanje koje se ne može relativizirati: Bog je temelj i cilj apso</w:t>
        <w:softHyphen/>
        <w:t>lutne punine stvarnosti.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Zato kršćanstvo ne poznaje nikakvu unutar- povijesnu utopiju budućnosti. Ono se izražava protiv svakog shvaćanja budućnosti koju je čo</w:t>
        <w:softHyphen/>
        <w:t>vjek planirao i stvarao svojim sredstvima kao apsolutno razumljivu i koja iznad toga ne do</w:t>
        <w:softHyphen/>
        <w:t>pušta veće očekivanje. Ono ne zastupa unu- tarsvjetske ideale budućnosti nego obvezuje čovjeka na stručno planiranje budućnosti (Dru</w:t>
        <w:softHyphen/>
        <w:t>gi vatikanski koncil: Gaudium et spes, Br. 5; Enciklika »Populorum progressio«).</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Naspram današnjih pokušaja da se nadopunju- jući ili suprotno tradicionalnim predodžbama transccndcncijc (tzv. prostornim predodžba</w:t>
        <w:softHyphen/>
        <w:t>ma o apsolutnom spasenju koje dolazi »odoz</w:t>
        <w:softHyphen/>
        <w:t>go«) uvede predodžba o budućnosti kao spa</w:t>
        <w:softHyphen/>
        <w:t>senju, mora se dopustiti pravo na kritiku tra</w:t>
        <w:softHyphen/>
        <w:t>dicionalnih modela i ipak naglasiti granica no</w:t>
        <w:softHyphen/>
        <w:t xml:space="preserve">ve predodžbe. Predodžba o drugačijosti svaki </w:t>
      </w:r>
      <w:r>
        <w:rPr>
          <w:rFonts w:ascii="Times New Roman" w:eastAsia="Times New Roman" w:hAnsi="Times New Roman" w:cs="Times New Roman"/>
          <w:color w:val="000000"/>
          <w:spacing w:val="0"/>
          <w:w w:val="100"/>
          <w:position w:val="0"/>
          <w:shd w:val="clear" w:color="auto" w:fill="auto"/>
          <w:lang w:val="hr-HR" w:eastAsia="hr-HR" w:bidi="hr-HR"/>
        </w:rPr>
        <w:t>put sve veće nesličnosti između apsolutne bu</w:t>
        <w:softHyphen/>
        <w:t>dućnosti Božjeg sebedarja nasuprot svekoli</w:t>
        <w:softHyphen/>
        <w:t>koj ljudskoj i svjetskoj budućnosti ne smije se previdjeti pri razvitku shvaćanja budućnosti, ali koje može zatim pogoditi sadržaj staro</w:t>
        <w:softHyphen/>
        <w:t>zavjetnoga - kršćanskog iskustva Boga: »Božju moć koja transcendira povijest usred povijes</w:t>
        <w:softHyphen/>
        <w:t>ti« (J. Moltmann).</w:t>
      </w:r>
    </w:p>
    <w:p>
      <w:pPr>
        <w:pStyle w:val="Style56"/>
        <w:keepNext w:val="0"/>
        <w:keepLines w:val="0"/>
        <w:widowControl w:val="0"/>
        <w:shd w:val="clear" w:color="auto" w:fill="auto"/>
        <w:tabs>
          <w:tab w:pos="2290"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I.it.: K. </w:t>
      </w:r>
      <w:r>
        <w:rPr>
          <w:color w:val="000000"/>
          <w:spacing w:val="0"/>
          <w:w w:val="100"/>
          <w:position w:val="0"/>
          <w:shd w:val="clear" w:color="auto" w:fill="auto"/>
        </w:rPr>
        <w:t xml:space="preserve">Rahner (Hrsg.J, </w:t>
      </w:r>
      <w:r>
        <w:rPr>
          <w:i/>
          <w:iCs/>
          <w:color w:val="000000"/>
          <w:spacing w:val="0"/>
          <w:w w:val="100"/>
          <w:position w:val="0"/>
          <w:shd w:val="clear" w:color="auto" w:fill="auto"/>
        </w:rPr>
        <w:t xml:space="preserve">Herders Thectoffsches </w:t>
      </w:r>
      <w:r>
        <w:rPr>
          <w:i/>
          <w:iCs/>
          <w:color w:val="000000"/>
          <w:spacing w:val="0"/>
          <w:w w:val="100"/>
          <w:position w:val="0"/>
          <w:shd w:val="clear" w:color="auto" w:fill="auto"/>
          <w:lang w:val="hr-HR" w:eastAsia="hr-HR" w:bidi="hr-HR"/>
        </w:rPr>
        <w:t>Taschenlcd- kon,</w:t>
      </w:r>
      <w:r>
        <w:rPr>
          <w:color w:val="000000"/>
          <w:spacing w:val="0"/>
          <w:w w:val="100"/>
          <w:position w:val="0"/>
          <w:shd w:val="clear" w:color="auto" w:fill="auto"/>
          <w:lang w:val="hr-HR" w:eastAsia="hr-HR" w:bidi="hr-HR"/>
        </w:rPr>
        <w:t xml:space="preserve"> Bd. 8, Frciburg/BascIAVicn 1982; J. Hofcr/K. Rahncr (Hrsg.), </w:t>
      </w:r>
      <w:r>
        <w:rPr>
          <w:i/>
          <w:iCs/>
          <w:color w:val="000000"/>
          <w:spacing w:val="0"/>
          <w:w w:val="100"/>
          <w:position w:val="0"/>
          <w:shd w:val="clear" w:color="auto" w:fill="auto"/>
          <w:lang w:val="hr-HR" w:eastAsia="hr-HR" w:bidi="hr-HR"/>
        </w:rPr>
        <w:t xml:space="preserve">Lejdkon fur </w:t>
      </w:r>
      <w:r>
        <w:rPr>
          <w:i/>
          <w:iCs/>
          <w:color w:val="000000"/>
          <w:spacing w:val="0"/>
          <w:w w:val="100"/>
          <w:position w:val="0"/>
          <w:shd w:val="clear" w:color="auto" w:fill="auto"/>
        </w:rPr>
        <w:t xml:space="preserve">Theotogie and </w:t>
      </w:r>
      <w:r>
        <w:rPr>
          <w:i/>
          <w:iCs/>
          <w:color w:val="000000"/>
          <w:spacing w:val="0"/>
          <w:w w:val="100"/>
          <w:position w:val="0"/>
          <w:shd w:val="clear" w:color="auto" w:fill="auto"/>
          <w:lang w:val="hr-HR" w:eastAsia="hr-HR" w:bidi="hr-HR"/>
        </w:rPr>
        <w:t>Kirche,</w:t>
      </w:r>
      <w:r>
        <w:rPr>
          <w:color w:val="000000"/>
          <w:spacing w:val="0"/>
          <w:w w:val="100"/>
          <w:position w:val="0"/>
          <w:shd w:val="clear" w:color="auto" w:fill="auto"/>
          <w:lang w:val="hr-HR" w:eastAsia="hr-HR" w:bidi="hr-HR"/>
        </w:rPr>
        <w:t xml:space="preserve"> Bd. 10,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1965.</w:t>
        <w:tab/>
        <w:t>6. GIRSCHEK</w:t>
      </w:r>
    </w:p>
    <w:p>
      <w:pPr>
        <w:pStyle w:val="Style63"/>
        <w:keepNext/>
        <w:keepLines/>
        <w:widowControl w:val="0"/>
        <w:numPr>
          <w:ilvl w:val="0"/>
          <w:numId w:val="51"/>
        </w:numPr>
        <w:shd w:val="clear" w:color="auto" w:fill="auto"/>
        <w:tabs>
          <w:tab w:pos="260" w:val="left"/>
        </w:tabs>
        <w:bidi w:val="0"/>
        <w:spacing w:before="0" w:line="216" w:lineRule="auto"/>
        <w:ind w:left="0" w:right="0" w:firstLine="0"/>
        <w:jc w:val="both"/>
      </w:pPr>
      <w:bookmarkStart w:id="51" w:name="bookmark51"/>
      <w:r>
        <w:rPr>
          <w:rFonts w:ascii="Times New Roman" w:eastAsia="Times New Roman" w:hAnsi="Times New Roman" w:cs="Times New Roman"/>
          <w:color w:val="000000"/>
          <w:spacing w:val="0"/>
          <w:w w:val="100"/>
          <w:position w:val="0"/>
          <w:shd w:val="clear" w:color="auto" w:fill="auto"/>
          <w:lang w:val="hr-HR" w:eastAsia="hr-HR" w:bidi="hr-HR"/>
        </w:rPr>
        <w:t>islamski</w:t>
      </w:r>
      <w:bookmarkEnd w:id="51"/>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Pomisao na b. povezuje muslimane s očeki</w:t>
        <w:softHyphen/>
        <w:t>vanjem kraja svijeta u korist islama. Prema iz- viješćima iz tradicije tom događaju trebaju prethoditi moralni i društveni kaos. Ljude će činiti nesigurnim i zavoditi svakovrsne kušnje. Pojedinosti o tom dramatičnom događaju pre</w:t>
        <w:softHyphen/>
        <w:t xml:space="preserve">uzete su iz židovske i kršćanske mitologije. Središnja figura, koja nastali kaos dovodi do vrhunca, jest </w:t>
      </w:r>
      <w:r>
        <w:rPr>
          <w:rFonts w:ascii="Times New Roman" w:eastAsia="Times New Roman" w:hAnsi="Times New Roman" w:cs="Times New Roman"/>
          <w:i/>
          <w:iCs/>
          <w:color w:val="000000"/>
          <w:spacing w:val="0"/>
          <w:w w:val="100"/>
          <w:position w:val="0"/>
          <w:shd w:val="clear" w:color="auto" w:fill="auto"/>
          <w:lang w:val="hr-HR" w:eastAsia="hr-HR" w:bidi="hr-HR"/>
        </w:rPr>
        <w:t>ed-Deđal (ad-Dadjjdl),</w:t>
      </w:r>
      <w:r>
        <w:rPr>
          <w:rFonts w:ascii="Times New Roman" w:eastAsia="Times New Roman" w:hAnsi="Times New Roman" w:cs="Times New Roman"/>
          <w:color w:val="000000"/>
          <w:spacing w:val="0"/>
          <w:w w:val="100"/>
          <w:position w:val="0"/>
          <w:shd w:val="clear" w:color="auto" w:fill="auto"/>
          <w:lang w:val="hr-HR" w:eastAsia="hr-HR" w:bidi="hr-HR"/>
        </w:rPr>
        <w:t xml:space="preserve"> Antikrist. Opisi njegove osobe podsjećaju na Krampuza koji u predbožićno vrijeme naviješta skorašnji Kristov dolazak. I u eshatološkim predodža- ma pučkog islama Antikrist se, odnosno ed-De- đal, rastvara pred licem Kristovim »poput soli u vođi«. Kršćanskom je Spasitelju priušteno da po cijelome svijetu ponovno uspostavi moć islama. On najprije pobjeđuje ed-Dedala. Pri</w:t>
        <w:softHyphen/>
        <w:t xml:space="preserve">tom mu pomaže jedan muslimanski -» mesija: </w:t>
      </w:r>
      <w:r>
        <w:rPr>
          <w:rFonts w:ascii="Times New Roman" w:eastAsia="Times New Roman" w:hAnsi="Times New Roman" w:cs="Times New Roman"/>
          <w:i/>
          <w:iCs/>
          <w:color w:val="000000"/>
          <w:spacing w:val="0"/>
          <w:w w:val="100"/>
          <w:position w:val="0"/>
          <w:shd w:val="clear" w:color="auto" w:fill="auto"/>
          <w:lang w:val="hr-HR" w:eastAsia="hr-HR" w:bidi="hr-HR"/>
        </w:rPr>
        <w:t>el-Mahdi (al-Mahdi).</w:t>
      </w:r>
      <w:r>
        <w:rPr>
          <w:rFonts w:ascii="Times New Roman" w:eastAsia="Times New Roman" w:hAnsi="Times New Roman" w:cs="Times New Roman"/>
          <w:color w:val="000000"/>
          <w:spacing w:val="0"/>
          <w:w w:val="100"/>
          <w:position w:val="0"/>
          <w:shd w:val="clear" w:color="auto" w:fill="auto"/>
          <w:lang w:val="hr-HR" w:eastAsia="hr-HR" w:bidi="hr-HR"/>
        </w:rPr>
        <w:t xml:space="preserve"> U Kuranu se svakako ne može naći ništa o tim prethodnicima. Mnogi teolozi odbacuju te predodžbe kao mit, prem</w:t>
        <w:softHyphen/>
        <w:t>da se o njima izvješćuje u mnogim zbirkama hadisa. Po mišljenju Huseina Doze (u. 1982), najvećeg autoriteta za islam u bivšoj Jugosla</w:t>
        <w:softHyphen/>
        <w:t>viji, ne postoji ni nužnost ni poticaj da se na</w:t>
        <w:softHyphen/>
        <w:t>kon Muhameda pojavi još jedan Božji posla</w:t>
        <w:softHyphen/>
        <w:t>nik na zemlji. Pozivajući se na svojega tadaš</w:t>
        <w:softHyphen/>
        <w:t>njega učitelja sa Svcućilidta cl-Ashar kao i na Muhmuda Shaltuta, Dozo sc vrlo žestoko us</w:t>
        <w:softHyphen/>
        <w:t>protivio svakoj vjeri i ponovni Kristov dolazak ili pojavi Mehdija (Glasnik vrhovnog islam</w:t>
        <w:softHyphen/>
        <w:t>skog starješinstva, Sarajevo 37/1974, 44).</w:t>
      </w:r>
    </w:p>
    <w:p>
      <w:pPr>
        <w:pStyle w:val="Style20"/>
        <w:keepNext w:val="0"/>
        <w:keepLines w:val="0"/>
        <w:widowControl w:val="0"/>
        <w:shd w:val="clear" w:color="auto" w:fill="auto"/>
        <w:tabs>
          <w:tab w:pos="2554" w:val="left"/>
        </w:tabs>
        <w:bidi w:val="0"/>
        <w:spacing w:before="0" w:after="60" w:line="240" w:lineRule="auto"/>
        <w:ind w:left="0" w:right="0" w:firstLine="0"/>
        <w:jc w:val="both"/>
        <w:sectPr>
          <w:headerReference w:type="default" r:id="rId231"/>
          <w:footerReference w:type="default" r:id="rId232"/>
          <w:headerReference w:type="even" r:id="rId233"/>
          <w:footerReference w:type="even" r:id="rId234"/>
          <w:footnotePr>
            <w:pos w:val="pageBottom"/>
            <w:numFmt w:val="decimal"/>
            <w:numStart w:val="5"/>
            <w:numRestart w:val="continuous"/>
            <w15:footnoteColumns w:val="1"/>
          </w:footnotePr>
          <w:pgSz w:w="6816" w:h="11006"/>
          <w:pgMar w:top="954" w:left="178" w:right="182" w:bottom="525" w:header="0" w:footer="97" w:gutter="0"/>
          <w:pgNumType w:start="86"/>
          <w:cols w:num="2" w:space="157"/>
          <w:noEndnote/>
          <w:rtlGutter w:val="0"/>
          <w:docGrid w:linePitch="360"/>
        </w:sectPr>
      </w:pPr>
      <w:r>
        <mc:AlternateContent>
          <mc:Choice Requires="wps">
            <w:drawing>
              <wp:anchor distT="50800" distB="254000" distL="114300" distR="114300" simplePos="0" relativeHeight="125829382" behindDoc="0" locked="0" layoutInCell="1" allowOverlap="1">
                <wp:simplePos x="0" y="0"/>
                <wp:positionH relativeFrom="page">
                  <wp:posOffset>151130</wp:posOffset>
                </wp:positionH>
                <wp:positionV relativeFrom="margin">
                  <wp:posOffset>6132830</wp:posOffset>
                </wp:positionV>
                <wp:extent cx="133985" cy="118745"/>
                <wp:wrapTopAndBottom/>
                <wp:docPr id="500" name="Shape 500"/>
                <a:graphic xmlns:a="http://schemas.openxmlformats.org/drawingml/2006/main">
                  <a:graphicData uri="http://schemas.microsoft.com/office/word/2010/wordprocessingShape">
                    <wps:wsp>
                      <wps:cNvSpPr txBox="1"/>
                      <wps:spPr>
                        <a:xfrm>
                          <a:ext cx="133985" cy="11874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S?</w:t>
                            </w:r>
                          </w:p>
                        </w:txbxContent>
                      </wps:txbx>
                      <wps:bodyPr wrap="none" lIns="0" tIns="0" rIns="0" bIns="0">
                        <a:noAutoFit/>
                      </wps:bodyPr>
                    </wps:wsp>
                  </a:graphicData>
                </a:graphic>
              </wp:anchor>
            </w:drawing>
          </mc:Choice>
          <mc:Fallback>
            <w:pict>
              <v:shape id="_x0000_s1526" type="#_x0000_t202" style="position:absolute;margin-left:11.9pt;margin-top:482.89999999999998pt;width:10.550000000000001pt;height:9.3499999999999996pt;z-index:-125829371;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S?</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Vjerovanje u Mahdija, koje je prisutno u šijit- skom islamu, prvenstveno je izraz nade u poli</w:t>
        <w:softHyphen/>
        <w:t>tičko oslobođenje. Prema jednomu Muhame- dovom savjetu, život usmjeren na b. svoje is</w:t>
        <w:softHyphen/>
        <w:t>punjenje treba naći u jednom dobro odmjere</w:t>
        <w:softHyphen/>
        <w:t xml:space="preserve">nom odnosu između »straha i nade« </w:t>
      </w:r>
      <w:r>
        <w:rPr>
          <w:rFonts w:ascii="Times New Roman" w:eastAsia="Times New Roman" w:hAnsi="Times New Roman" w:cs="Times New Roman"/>
          <w:color w:val="000000"/>
          <w:spacing w:val="0"/>
          <w:w w:val="100"/>
          <w:position w:val="0"/>
          <w:shd w:val="clear" w:color="auto" w:fill="auto"/>
          <w:lang w:val="en-US" w:eastAsia="en-US" w:bidi="en-US"/>
        </w:rPr>
        <w:t xml:space="preserve">(bayna </w:t>
      </w:r>
      <w:r>
        <w:rPr>
          <w:rFonts w:ascii="Times New Roman" w:eastAsia="Times New Roman" w:hAnsi="Times New Roman" w:cs="Times New Roman"/>
          <w:color w:val="000000"/>
          <w:spacing w:val="0"/>
          <w:w w:val="100"/>
          <w:position w:val="0"/>
          <w:shd w:val="clear" w:color="auto" w:fill="auto"/>
          <w:lang w:val="hr-HR" w:eastAsia="hr-HR" w:bidi="hr-HR"/>
        </w:rPr>
        <w:t>l-khawf wa r-radja).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haijć</w:t>
      </w:r>
    </w:p>
    <w:p>
      <w:pPr>
        <w:pStyle w:val="Style33"/>
        <w:keepNext w:val="0"/>
        <w:keepLines w:val="0"/>
        <w:widowControl w:val="0"/>
        <w:shd w:val="clear" w:color="auto" w:fill="auto"/>
        <w:bidi w:val="0"/>
        <w:spacing w:before="0" w:after="12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CIONIZAM</w:t>
      </w:r>
    </w:p>
    <w:p>
      <w:pPr>
        <w:pStyle w:val="Style63"/>
        <w:keepNext/>
        <w:keepLines/>
        <w:widowControl w:val="0"/>
        <w:numPr>
          <w:ilvl w:val="0"/>
          <w:numId w:val="55"/>
        </w:numPr>
        <w:shd w:val="clear" w:color="auto" w:fill="auto"/>
        <w:tabs>
          <w:tab w:pos="250" w:val="left"/>
        </w:tabs>
        <w:bidi w:val="0"/>
        <w:spacing w:before="0" w:line="223" w:lineRule="auto"/>
        <w:ind w:left="0" w:right="0" w:firstLine="0"/>
        <w:jc w:val="both"/>
      </w:pPr>
      <w:bookmarkStart w:id="52" w:name="bookmark52"/>
      <w:r>
        <w:rPr>
          <w:rFonts w:ascii="Times New Roman" w:eastAsia="Times New Roman" w:hAnsi="Times New Roman" w:cs="Times New Roman"/>
          <w:color w:val="000000"/>
          <w:spacing w:val="0"/>
          <w:w w:val="100"/>
          <w:position w:val="0"/>
          <w:shd w:val="clear" w:color="auto" w:fill="auto"/>
          <w:lang w:val="hr-HR" w:eastAsia="hr-HR" w:bidi="hr-HR"/>
        </w:rPr>
        <w:t>židovski</w:t>
      </w:r>
      <w:bookmarkEnd w:id="5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 xml:space="preserve">a) »Sion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 postao idealom židovskoga naroda.« </w:t>
      </w:r>
      <w:r>
        <w:rPr>
          <w:rFonts w:ascii="Times New Roman" w:eastAsia="Times New Roman" w:hAnsi="Times New Roman" w:cs="Times New Roman"/>
          <w:color w:val="000000"/>
          <w:spacing w:val="0"/>
          <w:w w:val="100"/>
          <w:position w:val="0"/>
          <w:shd w:val="clear" w:color="auto" w:fill="auto"/>
          <w:lang w:val="hr-HR" w:eastAsia="hr-HR" w:bidi="hr-HR"/>
        </w:rPr>
        <w:t xml:space="preserve">Židovski pisac </w:t>
      </w:r>
      <w:r>
        <w:rPr>
          <w:rFonts w:ascii="Times New Roman" w:eastAsia="Times New Roman" w:hAnsi="Times New Roman" w:cs="Times New Roman"/>
          <w:color w:val="000000"/>
          <w:spacing w:val="0"/>
          <w:w w:val="100"/>
          <w:position w:val="0"/>
          <w:shd w:val="clear" w:color="auto" w:fill="auto"/>
          <w:lang w:val="en-US" w:eastAsia="en-US" w:bidi="en-US"/>
        </w:rPr>
        <w:t xml:space="preserve">Nathan Birnbaum </w:t>
      </w:r>
      <w:r>
        <w:rPr>
          <w:rFonts w:ascii="Times New Roman" w:eastAsia="Times New Roman" w:hAnsi="Times New Roman" w:cs="Times New Roman"/>
          <w:color w:val="000000"/>
          <w:spacing w:val="0"/>
          <w:w w:val="100"/>
          <w:position w:val="0"/>
          <w:shd w:val="clear" w:color="auto" w:fill="auto"/>
          <w:lang w:val="hr-HR" w:eastAsia="hr-HR" w:bidi="hr-HR"/>
        </w:rPr>
        <w:t>upotrijebio je prvi put riječ »c.« u svojem bečkom časo</w:t>
        <w:softHyphen/>
        <w:t xml:space="preserve">pisu »Selbst-Emancipation« od 16. V. 1890, a pridjev nekoliko tjedana prije, pa je rekao: »C. dolazi od riječi </w:t>
      </w:r>
      <w:r>
        <w:rPr>
          <w:rFonts w:ascii="Times New Roman" w:eastAsia="Times New Roman" w:hAnsi="Times New Roman" w:cs="Times New Roman"/>
          <w:color w:val="000000"/>
          <w:spacing w:val="0"/>
          <w:w w:val="100"/>
          <w:position w:val="0"/>
          <w:shd w:val="clear" w:color="auto" w:fill="auto"/>
          <w:lang w:val="en-US" w:eastAsia="en-US" w:bidi="en-US"/>
        </w:rPr>
        <w:t xml:space="preserve">Cion (Sion). </w:t>
      </w:r>
      <w:r>
        <w:rPr>
          <w:rFonts w:ascii="Times New Roman" w:eastAsia="Times New Roman" w:hAnsi="Times New Roman" w:cs="Times New Roman"/>
          <w:color w:val="000000"/>
          <w:spacing w:val="0"/>
          <w:w w:val="100"/>
          <w:position w:val="0"/>
          <w:shd w:val="clear" w:color="auto" w:fill="auto"/>
          <w:lang w:val="hr-HR" w:eastAsia="hr-HR" w:bidi="hr-HR"/>
        </w:rPr>
        <w:t>Sion... od najstarijih vremena poetski je naziv za Jeru</w:t>
        <w:softHyphen/>
        <w:t>zalem... i za židovski narod s obzirom na to da ima korijene na tlu Palestine i s njim je srastao u cjelinu. Kad su rimske legije razbile tu cjelinu, riječ ‘Sion’ dobila je čeznutljiv pri</w:t>
        <w:softHyphen/>
        <w:t>zvuk; u njoj je bilo utjelovljenje nade u nacio</w:t>
        <w:softHyphen/>
        <w:t>nalni preporod... Sion je postao idealom ži</w:t>
        <w:softHyphen/>
        <w:t>dovskoga naroda koji ga je dva tisučljeća pra</w:t>
        <w:softHyphen/>
        <w:t>tio na njegovu životnom i patničkom putu. Taj ideal je osnova na kojoj se izgradio c. tek kad se iz nesvjesnih emocija razvila misaona svi</w:t>
        <w:softHyphen/>
        <w:t>jest, iz patničke želje aktivna volja, iz neplod</w:t>
        <w:softHyphen/>
        <w:t xml:space="preserve">na ideala spasonosna ideja«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 11. 1892). Taj je izraz postao važan u organizacijskom obliku židovsko-nacionalnoga preporodnog pokreta </w:t>
      </w:r>
      <w:r>
        <w:rPr>
          <w:rFonts w:ascii="Times New Roman" w:eastAsia="Times New Roman" w:hAnsi="Times New Roman" w:cs="Times New Roman"/>
          <w:color w:val="000000"/>
          <w:spacing w:val="0"/>
          <w:w w:val="100"/>
          <w:position w:val="0"/>
          <w:shd w:val="clear" w:color="auto" w:fill="auto"/>
          <w:lang w:val="en-US" w:eastAsia="en-US" w:bidi="en-US"/>
        </w:rPr>
        <w:t xml:space="preserve">Theodora </w:t>
      </w:r>
      <w:r>
        <w:rPr>
          <w:rFonts w:ascii="Times New Roman" w:eastAsia="Times New Roman" w:hAnsi="Times New Roman" w:cs="Times New Roman"/>
          <w:color w:val="000000"/>
          <w:spacing w:val="0"/>
          <w:w w:val="100"/>
          <w:position w:val="0"/>
          <w:shd w:val="clear" w:color="auto" w:fill="auto"/>
          <w:lang w:val="hr-HR" w:eastAsia="hr-HR" w:bidi="hr-HR"/>
        </w:rPr>
        <w:t>Hcrzla i u vezi s Prvim cio</w:t>
        <w:softHyphen/>
        <w:t xml:space="preserve">nističkim kongresom što gaje </w:t>
      </w:r>
      <w:r>
        <w:rPr>
          <w:rFonts w:ascii="Times New Roman" w:eastAsia="Times New Roman" w:hAnsi="Times New Roman" w:cs="Times New Roman"/>
          <w:color w:val="000000"/>
          <w:spacing w:val="0"/>
          <w:w w:val="100"/>
          <w:position w:val="0"/>
          <w:shd w:val="clear" w:color="auto" w:fill="auto"/>
          <w:lang w:val="en-US" w:eastAsia="en-US" w:bidi="en-US"/>
        </w:rPr>
        <w:t xml:space="preserve">Herzl </w:t>
      </w:r>
      <w:r>
        <w:rPr>
          <w:rFonts w:ascii="Times New Roman" w:eastAsia="Times New Roman" w:hAnsi="Times New Roman" w:cs="Times New Roman"/>
          <w:color w:val="000000"/>
          <w:spacing w:val="0"/>
          <w:w w:val="100"/>
          <w:position w:val="0"/>
          <w:shd w:val="clear" w:color="auto" w:fill="auto"/>
          <w:lang w:val="hr-HR" w:eastAsia="hr-HR" w:bidi="hr-HR"/>
        </w:rPr>
        <w:t>1897. sa</w:t>
        <w:softHyphen/>
        <w:t>zvao u Baselu. Država Izrael, proglašena 14.</w:t>
      </w:r>
    </w:p>
    <w:p>
      <w:pPr>
        <w:pStyle w:val="Style20"/>
        <w:keepNext w:val="0"/>
        <w:keepLines w:val="0"/>
        <w:widowControl w:val="0"/>
        <w:numPr>
          <w:ilvl w:val="0"/>
          <w:numId w:val="57"/>
        </w:numPr>
        <w:shd w:val="clear" w:color="auto" w:fill="auto"/>
        <w:tabs>
          <w:tab w:pos="28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1948, utemeljena je na osnovi cionističkih težnji i Balfourove deklaracije 1917. godine, mandata Lige naroda 1922. te plana, prihva</w:t>
        <w:softHyphen/>
        <w:t>ćenog na plenarnoj skupštini Ujedinjenih na</w:t>
        <w:softHyphen/>
        <w:t>roda 29. XI. 1947. godine, o teritorijalnoj po</w:t>
        <w:softHyphen/>
        <w:t>djeli Palestine između Židova i Arapa. La</w:t>
        <w:softHyphen/>
        <w:t>tentno poistovjećivanje Države Izrael i židov</w:t>
        <w:softHyphen/>
        <w:t>ske dijaspore, koje se, kako se pokazalo u li</w:t>
        <w:softHyphen/>
        <w:t>panjskom ratu 1967, može spontano ostvariti u svako doba, nužno traži da se neodvojivost cionizma i židovstva prizna kao povijesna či</w:t>
        <w:softHyphen/>
        <w:t>njenica.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Unatoč tomu, nedostaje jedinstveno značenje pojma »c.«. Sporna su pitanja teži Ii c. »za stvaranjem javno-pravno osigurane domovine </w:t>
      </w:r>
      <w:r>
        <w:rPr>
          <w:rFonts w:ascii="Times New Roman" w:eastAsia="Times New Roman" w:hAnsi="Times New Roman" w:cs="Times New Roman"/>
          <w:color w:val="000000"/>
          <w:spacing w:val="0"/>
          <w:w w:val="100"/>
          <w:position w:val="0"/>
          <w:shd w:val="clear" w:color="auto" w:fill="auto"/>
          <w:lang w:val="hr-HR" w:eastAsia="hr-HR" w:bidi="hr-HR"/>
        </w:rPr>
        <w:t>za Židove u Palestini« (»Baselski program« 1897) ili za »nacionalnom židovskom domovi</w:t>
        <w:softHyphen/>
        <w:t>nom« (Balfourova deklaracija), postavlja li se</w:t>
        <w:softHyphen/>
        <w:t>bi za cilj »kolonizaciju Palestine« pod sultano</w:t>
        <w:softHyphen/>
        <w:t>vim suverenitetom (Treći baselski kongres 1899) ili da arapsko-židovsku koegzistenciju u binacionalnoj državi »u kojoj Židovi i Arapi mogu živjeti jedni pokraj drugih kao dvije rav</w:t>
        <w:softHyphen/>
        <w:t>nopravne skupine naroda« (cionistički kon</w:t>
        <w:softHyphen/>
        <w:t>cept potvrđen na cionističkim kongresima 1921,1925. i 1929.): »u binacionalnoj državi s eventualno vrlo ograničenim područjima na</w:t>
        <w:softHyphen/>
        <w:t>seljavanja, a ujedno, ako je moguće, sa za</w:t>
        <w:softHyphen/>
        <w:t>mašnom gospodarskom suradnjom, s potpu</w:t>
        <w:softHyphen/>
        <w:t>nom ravnopravnošću obaju partnera bez obzi</w:t>
        <w:softHyphen/>
        <w:t>ra na brojčani omjer te sa zajedničkim suvere</w:t>
        <w:softHyphen/>
        <w:t>nitetom uspostavljenim na tim pretpostavka</w:t>
        <w:softHyphen/>
        <w:t xml:space="preserve">ma« (M. </w:t>
      </w:r>
      <w:r>
        <w:rPr>
          <w:rFonts w:ascii="Times New Roman" w:eastAsia="Times New Roman" w:hAnsi="Times New Roman" w:cs="Times New Roman"/>
          <w:color w:val="000000"/>
          <w:spacing w:val="0"/>
          <w:w w:val="100"/>
          <w:position w:val="0"/>
          <w:shd w:val="clear" w:color="auto" w:fill="auto"/>
          <w:lang w:val="en-US" w:eastAsia="en-US" w:bidi="en-US"/>
        </w:rPr>
        <w:t xml:space="preserve">Buber, Zwei Volker in Palastina, ra- </w:t>
      </w:r>
      <w:r>
        <w:rPr>
          <w:rFonts w:ascii="Times New Roman" w:eastAsia="Times New Roman" w:hAnsi="Times New Roman" w:cs="Times New Roman"/>
          <w:color w:val="000000"/>
          <w:spacing w:val="0"/>
          <w:w w:val="100"/>
          <w:position w:val="0"/>
          <w:shd w:val="clear" w:color="auto" w:fill="auto"/>
          <w:lang w:val="hr-HR" w:eastAsia="hr-HR" w:bidi="hr-HR"/>
        </w:rPr>
        <w:t xml:space="preserve">dijsko predavanje </w:t>
      </w:r>
      <w:r>
        <w:rPr>
          <w:rFonts w:ascii="Times New Roman" w:eastAsia="Times New Roman" w:hAnsi="Times New Roman" w:cs="Times New Roman"/>
          <w:color w:val="000000"/>
          <w:spacing w:val="0"/>
          <w:w w:val="100"/>
          <w:position w:val="0"/>
          <w:shd w:val="clear" w:color="auto" w:fill="auto"/>
          <w:lang w:val="en-US" w:eastAsia="en-US" w:bidi="en-US"/>
        </w:rPr>
        <w:t xml:space="preserve">1947, u: </w:t>
      </w:r>
      <w:r>
        <w:rPr>
          <w:rFonts w:ascii="Times New Roman" w:eastAsia="Times New Roman" w:hAnsi="Times New Roman" w:cs="Times New Roman"/>
          <w:i/>
          <w:iCs/>
          <w:color w:val="000000"/>
          <w:spacing w:val="0"/>
          <w:w w:val="100"/>
          <w:position w:val="0"/>
          <w:shd w:val="clear" w:color="auto" w:fill="auto"/>
          <w:lang w:val="en-US" w:eastAsia="en-US" w:bidi="en-US"/>
        </w:rPr>
        <w:t>Ein Land und zwei Volker,</w:t>
      </w:r>
      <w:r>
        <w:rPr>
          <w:rFonts w:ascii="Times New Roman" w:eastAsia="Times New Roman" w:hAnsi="Times New Roman" w:cs="Times New Roman"/>
          <w:color w:val="000000"/>
          <w:spacing w:val="0"/>
          <w:w w:val="100"/>
          <w:position w:val="0"/>
          <w:shd w:val="clear" w:color="auto" w:fill="auto"/>
          <w:lang w:val="en-US" w:eastAsia="en-US" w:bidi="en-US"/>
        </w:rPr>
        <w:t xml:space="preserve"> hrsg. v. P. R. Mendes-Flohr, 1983, 256-64, 261). Ako sc </w:t>
      </w:r>
      <w:r>
        <w:rPr>
          <w:rFonts w:ascii="Times New Roman" w:eastAsia="Times New Roman" w:hAnsi="Times New Roman" w:cs="Times New Roman"/>
          <w:color w:val="000000"/>
          <w:spacing w:val="0"/>
          <w:w w:val="100"/>
          <w:position w:val="0"/>
          <w:shd w:val="clear" w:color="auto" w:fill="auto"/>
          <w:lang w:val="hr-HR" w:eastAsia="hr-HR" w:bidi="hr-HR"/>
        </w:rPr>
        <w:t xml:space="preserve">i zanemari »sintetski </w:t>
      </w:r>
      <w:r>
        <w:rPr>
          <w:rFonts w:ascii="Times New Roman" w:eastAsia="Times New Roman" w:hAnsi="Times New Roman" w:cs="Times New Roman"/>
          <w:color w:val="000000"/>
          <w:spacing w:val="0"/>
          <w:w w:val="100"/>
          <w:position w:val="0"/>
          <w:shd w:val="clear" w:color="auto" w:fill="auto"/>
          <w:lang w:val="en-US" w:eastAsia="en-US" w:bidi="en-US"/>
        </w:rPr>
        <w:t xml:space="preserve">c.«, </w:t>
      </w:r>
      <w:r>
        <w:rPr>
          <w:rFonts w:ascii="Times New Roman" w:eastAsia="Times New Roman" w:hAnsi="Times New Roman" w:cs="Times New Roman"/>
          <w:color w:val="000000"/>
          <w:spacing w:val="0"/>
          <w:w w:val="100"/>
          <w:position w:val="0"/>
          <w:shd w:val="clear" w:color="auto" w:fill="auto"/>
          <w:lang w:val="hr-HR" w:eastAsia="hr-HR" w:bidi="hr-HR"/>
        </w:rPr>
        <w:t xml:space="preserve">čije je </w:t>
      </w:r>
      <w:r>
        <w:rPr>
          <w:rFonts w:ascii="Times New Roman" w:eastAsia="Times New Roman" w:hAnsi="Times New Roman" w:cs="Times New Roman"/>
          <w:color w:val="000000"/>
          <w:spacing w:val="0"/>
          <w:w w:val="100"/>
          <w:position w:val="0"/>
          <w:shd w:val="clear" w:color="auto" w:fill="auto"/>
          <w:lang w:val="en-US" w:eastAsia="en-US" w:bidi="en-US"/>
        </w:rPr>
        <w:t xml:space="preserve">male </w:t>
      </w:r>
      <w:r>
        <w:rPr>
          <w:rFonts w:ascii="Times New Roman" w:eastAsia="Times New Roman" w:hAnsi="Times New Roman" w:cs="Times New Roman"/>
          <w:color w:val="000000"/>
          <w:spacing w:val="0"/>
          <w:w w:val="100"/>
          <w:position w:val="0"/>
          <w:shd w:val="clear" w:color="auto" w:fill="auto"/>
          <w:lang w:val="hr-HR" w:eastAsia="hr-HR" w:bidi="hr-HR"/>
        </w:rPr>
        <w:t>korake u cionističkoj praksi - use</w:t>
        <w:softHyphen/>
        <w:t xml:space="preserve">ljavanje, kupnju zemlje, utemeljenje kulture u Palestini - Hajim </w:t>
      </w:r>
      <w:r>
        <w:rPr>
          <w:rFonts w:ascii="Times New Roman" w:eastAsia="Times New Roman" w:hAnsi="Times New Roman" w:cs="Times New Roman"/>
          <w:color w:val="000000"/>
          <w:spacing w:val="0"/>
          <w:w w:val="100"/>
          <w:position w:val="0"/>
          <w:shd w:val="clear" w:color="auto" w:fill="auto"/>
          <w:lang w:val="en-US" w:eastAsia="en-US" w:bidi="en-US"/>
        </w:rPr>
        <w:t xml:space="preserve">Weizmann </w:t>
      </w:r>
      <w:r>
        <w:rPr>
          <w:rFonts w:ascii="Times New Roman" w:eastAsia="Times New Roman" w:hAnsi="Times New Roman" w:cs="Times New Roman"/>
          <w:color w:val="000000"/>
          <w:spacing w:val="0"/>
          <w:w w:val="100"/>
          <w:position w:val="0"/>
          <w:shd w:val="clear" w:color="auto" w:fill="auto"/>
          <w:lang w:val="hr-HR" w:eastAsia="hr-HR" w:bidi="hr-HR"/>
        </w:rPr>
        <w:t>suprotstavio dip</w:t>
        <w:softHyphen/>
        <w:t xml:space="preserve">lomatskim naporima </w:t>
      </w:r>
      <w:r>
        <w:rPr>
          <w:rFonts w:ascii="Times New Roman" w:eastAsia="Times New Roman" w:hAnsi="Times New Roman" w:cs="Times New Roman"/>
          <w:color w:val="000000"/>
          <w:spacing w:val="0"/>
          <w:w w:val="100"/>
          <w:position w:val="0"/>
          <w:shd w:val="clear" w:color="auto" w:fill="auto"/>
          <w:lang w:val="en-US" w:eastAsia="en-US" w:bidi="en-US"/>
        </w:rPr>
        <w:t xml:space="preserve">Theodora </w:t>
      </w:r>
      <w:r>
        <w:rPr>
          <w:rFonts w:ascii="Times New Roman" w:eastAsia="Times New Roman" w:hAnsi="Times New Roman" w:cs="Times New Roman"/>
          <w:color w:val="000000"/>
          <w:spacing w:val="0"/>
          <w:w w:val="100"/>
          <w:position w:val="0"/>
          <w:shd w:val="clear" w:color="auto" w:fill="auto"/>
          <w:lang w:val="hr-HR" w:eastAsia="hr-HR" w:bidi="hr-HR"/>
        </w:rPr>
        <w:t>Herzla i ako se promatra samo »politički c.« usmjeren na osnivanje države u Palestini, očite su dvije me</w:t>
        <w:softHyphen/>
        <w:t>đusobno proturječne predodžbe, ortodoks- no-teokratska i svjetovno organizirana židov</w:t>
        <w:softHyphen/>
        <w:t>ska država, koje su naposljetku spriječile do</w:t>
        <w:softHyphen/>
        <w:t>nošenje ustava Države Izraela.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»Autoemancipacija.«</w:t>
      </w:r>
      <w:r>
        <w:rPr>
          <w:rFonts w:ascii="Times New Roman" w:eastAsia="Times New Roman" w:hAnsi="Times New Roman" w:cs="Times New Roman"/>
          <w:color w:val="000000"/>
          <w:spacing w:val="0"/>
          <w:w w:val="100"/>
          <w:position w:val="0"/>
          <w:shd w:val="clear" w:color="auto" w:fill="auto"/>
          <w:lang w:val="hr-HR" w:eastAsia="hr-HR" w:bidi="hr-HR"/>
        </w:rPr>
        <w:t xml:space="preserve"> Pojam »c.« obuhvaća mnogobrojne emancipacijske aspekte; on ti</w:t>
        <w:softHyphen/>
        <w:t>me odražava karakteristične crte povijesti cio</w:t>
        <w:softHyphen/>
        <w:t>nističkoga pokreta. Doduše, on je nastao u razdoblju europskoga buđenja nacionalne svi</w:t>
        <w:softHyphen/>
        <w:t>jesti, ali se nije razvio u očitovanje »naciona</w:t>
        <w:softHyphen/>
        <w:t>lizma«. Naprotiv, razlikovao se od nacional</w:t>
        <w:softHyphen/>
        <w:t>nih pokreta XIX. stoljeća poglavito svojim po</w:t>
        <w:softHyphen/>
        <w:t>laznim vidovima: »C. je, doduše, internacio</w:t>
        <w:softHyphen/>
        <w:t xml:space="preserve">nalna ili nacionalnožidovska - stoga svežidov- ska - stvar, ali samo doktrinarni mogu tvrditi </w:t>
      </w:r>
      <w:r>
        <w:rPr>
          <w:rFonts w:ascii="Times New Roman" w:eastAsia="Times New Roman" w:hAnsi="Times New Roman" w:cs="Times New Roman"/>
          <w:color w:val="000000"/>
          <w:spacing w:val="0"/>
          <w:w w:val="100"/>
          <w:position w:val="0"/>
          <w:shd w:val="clear" w:color="auto" w:fill="auto"/>
          <w:lang w:val="hr-HR" w:eastAsia="hr-HR" w:bidi="hr-HR"/>
        </w:rPr>
        <w:t xml:space="preserve">daje židovski narod 1896. ili 1914. godine bio doista jedinstvena, ujednačena cjelina. Bio je uistinu rascijepan na mnoge skupine, od kojih su neke bile i te kako međusobno udaljene: asimilacija je neprekidno činila svoje« (R. </w:t>
      </w:r>
      <w:r>
        <w:rPr>
          <w:rFonts w:ascii="Times New Roman" w:eastAsia="Times New Roman" w:hAnsi="Times New Roman" w:cs="Times New Roman"/>
          <w:color w:val="000000"/>
          <w:spacing w:val="0"/>
          <w:w w:val="100"/>
          <w:position w:val="0"/>
          <w:shd w:val="clear" w:color="auto" w:fill="auto"/>
          <w:lang w:val="en-US" w:eastAsia="en-US" w:bidi="en-US"/>
        </w:rPr>
        <w:t xml:space="preserve">Weltsch,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Wende des modemen Juden- lums,</w:t>
      </w:r>
      <w:r>
        <w:rPr>
          <w:rFonts w:ascii="Times New Roman" w:eastAsia="Times New Roman" w:hAnsi="Times New Roman" w:cs="Times New Roman"/>
          <w:color w:val="000000"/>
          <w:spacing w:val="0"/>
          <w:w w:val="100"/>
          <w:position w:val="0"/>
          <w:shd w:val="clear" w:color="auto" w:fill="auto"/>
          <w:lang w:val="en-US" w:eastAsia="en-US" w:bidi="en-US"/>
        </w:rPr>
        <w:t xml:space="preserve"> 1972, 51). </w:t>
      </w:r>
      <w:r>
        <w:rPr>
          <w:rFonts w:ascii="Times New Roman" w:eastAsia="Times New Roman" w:hAnsi="Times New Roman" w:cs="Times New Roman"/>
          <w:color w:val="000000"/>
          <w:spacing w:val="0"/>
          <w:w w:val="100"/>
          <w:position w:val="0"/>
          <w:shd w:val="clear" w:color="auto" w:fill="auto"/>
          <w:lang w:val="hr-HR" w:eastAsia="hr-HR" w:bidi="hr-HR"/>
        </w:rPr>
        <w:t>Većina Židova, uglavnom iz zapadne Europe, prihvatila je asimilacijsku po</w:t>
        <w:softHyphen/>
        <w:t>nudu građanskoga društva u njegovim različi</w:t>
        <w:softHyphen/>
        <w:t xml:space="preserve">tim oblicima: kao asimilaciju </w:t>
      </w:r>
      <w:r>
        <w:rPr>
          <w:rFonts w:ascii="Times New Roman" w:eastAsia="Times New Roman" w:hAnsi="Times New Roman" w:cs="Times New Roman"/>
          <w:i/>
          <w:iCs/>
          <w:color w:val="000000"/>
          <w:spacing w:val="0"/>
          <w:w w:val="100"/>
          <w:position w:val="0"/>
          <w:shd w:val="clear" w:color="auto" w:fill="auto"/>
          <w:lang w:val="hr-HR" w:eastAsia="hr-HR" w:bidi="hr-HR"/>
        </w:rPr>
        <w:t>putem</w:t>
      </w:r>
      <w:r>
        <w:rPr>
          <w:rFonts w:ascii="Times New Roman" w:eastAsia="Times New Roman" w:hAnsi="Times New Roman" w:cs="Times New Roman"/>
          <w:color w:val="000000"/>
          <w:spacing w:val="0"/>
          <w:w w:val="100"/>
          <w:position w:val="0"/>
          <w:shd w:val="clear" w:color="auto" w:fill="auto"/>
          <w:lang w:val="hr-HR" w:eastAsia="hr-HR" w:bidi="hr-HR"/>
        </w:rPr>
        <w:t xml:space="preserve"> kršćan</w:t>
        <w:softHyphen/>
        <w:t>stva koje je prevladavalo u državi, primajući s krštenjem »entreebillet« za kršćansko druš</w:t>
        <w:softHyphen/>
        <w:t xml:space="preserve">tvo, ili kao asimilaciju prilagodbom </w:t>
      </w:r>
      <w:r>
        <w:rPr>
          <w:rFonts w:ascii="Times New Roman" w:eastAsia="Times New Roman" w:hAnsi="Times New Roman" w:cs="Times New Roman"/>
          <w:i/>
          <w:iCs/>
          <w:color w:val="000000"/>
          <w:spacing w:val="0"/>
          <w:w w:val="100"/>
          <w:position w:val="0"/>
          <w:shd w:val="clear" w:color="auto" w:fill="auto"/>
          <w:lang w:val="hr-HR" w:eastAsia="hr-HR" w:bidi="hr-HR"/>
        </w:rPr>
        <w:t>na</w:t>
      </w:r>
      <w:r>
        <w:rPr>
          <w:rFonts w:ascii="Times New Roman" w:eastAsia="Times New Roman" w:hAnsi="Times New Roman" w:cs="Times New Roman"/>
          <w:color w:val="000000"/>
          <w:spacing w:val="0"/>
          <w:w w:val="100"/>
          <w:position w:val="0"/>
          <w:shd w:val="clear" w:color="auto" w:fill="auto"/>
          <w:lang w:val="hr-HR" w:eastAsia="hr-HR" w:bidi="hr-HR"/>
        </w:rPr>
        <w:t xml:space="preserve"> kršćan</w:t>
        <w:softHyphen/>
        <w:t>stvo orijentirajući židovstvo terminološki kao »izraelsku religiju« ili »mojsijevsku konfesiju« a organizacijski kao »religijski« odnosno »kon</w:t>
        <w:softHyphen/>
        <w:t>fesionalni« model kršćanske Crkve. Mislili su da se moraju, još odlučnije i bezrezervnije ne</w:t>
        <w:softHyphen/>
        <w:t>go dotad, prilagoditi narodima u čijoj su sre</w:t>
        <w:softHyphen/>
        <w:t>dini živjeli i s njima se stopiti kako bi po</w:t>
        <w:softHyphen/>
        <w:t>stupno oduzeli svaku mogućnost napada na sebe. Pokorili su se uvjetu građanske asimila</w:t>
        <w:softHyphen/>
        <w:t>cije i žrtvovali svoj židovski identitet čiji preci nisu samo trpjeli geto nego su ga i odobravali. Oni su prihvatili prosvjetiteljsko načelo gra</w:t>
        <w:softHyphen/>
        <w:t>đanskog izjednačavanja: »Židovima kao naciji treba sve uskratiti, a kao pojedincima sve odo</w:t>
        <w:softHyphen/>
        <w:t>briti; oni u državi ne smiju graditi ni političko tijelo niti red; oni trebaju individualno biti građani«; ako to oni neće, »neka to samo kažu, pa će ih se prognati; ne smije biti nacije u naciji« (grof Clermont-Tonnčrre u francus</w:t>
        <w:softHyphen/>
        <w:t>koj Narodnoj skupštini 1789).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asimilaciju, koju je Židovima ponudilo i zapovjedilo društvo, odgovorila je cionistička emancipacija. Lcon Pinsker, liječnik iz Odese, objavio je 1882. na njemačkom jeziku ano</w:t>
        <w:softHyphen/>
        <w:t>nimnu »opomenu pripadnicima svojega naro</w:t>
        <w:softHyphen/>
        <w:t>da od jednoga ruskog Židova« i nazvao je »autoemancipacijom«. Na to su ga potaknuli lokalni izgredi protiv Židova u Odesi 1871. i veliki val pogroma u Rusiji 1881. i povrijedili njegov ponos: »Biti opljačkan kao Židov ili zaštićen kao Židov jednako je ponižavajuće.« Pinsker u prosvjetiteljstvu i građanskoj asimi</w:t>
        <w:softHyphen/>
        <w:t>laciji nije vidio »lijek za dugotrajnu bolest na</w:t>
        <w:softHyphen/>
        <w:t>šega naroda« te je spoznao da Židovi »moraju postati nacija«, jer samo oni mogu riješiti ab</w:t>
        <w:softHyphen/>
        <w:t xml:space="preserve">normalni položaj među narodima: »Tek kad jednakost Židova s ostalim narodima postane činjenicom, židovsko se pitanje može smatrati riješenim.« Kao što je nastanak »judofobije« </w:t>
      </w:r>
      <w:r>
        <w:rPr>
          <w:rFonts w:ascii="Times New Roman" w:eastAsia="Times New Roman" w:hAnsi="Times New Roman" w:cs="Times New Roman"/>
          <w:color w:val="000000"/>
          <w:spacing w:val="0"/>
          <w:w w:val="100"/>
          <w:position w:val="0"/>
          <w:shd w:val="clear" w:color="auto" w:fill="auto"/>
          <w:lang w:val="hr-HR" w:eastAsia="hr-HR" w:bidi="hr-HR"/>
        </w:rPr>
        <w:t xml:space="preserve">u Rusiji navelo </w:t>
      </w:r>
      <w:r>
        <w:rPr>
          <w:rFonts w:ascii="Times New Roman" w:eastAsia="Times New Roman" w:hAnsi="Times New Roman" w:cs="Times New Roman"/>
          <w:color w:val="000000"/>
          <w:spacing w:val="0"/>
          <w:w w:val="100"/>
          <w:position w:val="0"/>
          <w:shd w:val="clear" w:color="auto" w:fill="auto"/>
          <w:lang w:val="en-US" w:eastAsia="en-US" w:bidi="en-US"/>
        </w:rPr>
        <w:t xml:space="preserve">Leona </w:t>
      </w:r>
      <w:r>
        <w:rPr>
          <w:rFonts w:ascii="Times New Roman" w:eastAsia="Times New Roman" w:hAnsi="Times New Roman" w:cs="Times New Roman"/>
          <w:color w:val="000000"/>
          <w:spacing w:val="0"/>
          <w:w w:val="100"/>
          <w:position w:val="0"/>
          <w:shd w:val="clear" w:color="auto" w:fill="auto"/>
          <w:lang w:val="hr-HR" w:eastAsia="hr-HR" w:bidi="hr-HR"/>
        </w:rPr>
        <w:t>Pinskera da zatraži »autoemancipaciju«, tako je sve jači rast an</w:t>
        <w:softHyphen/>
        <w:t xml:space="preserve">tisemitizma naveo </w:t>
      </w:r>
      <w:r>
        <w:rPr>
          <w:rFonts w:ascii="Times New Roman" w:eastAsia="Times New Roman" w:hAnsi="Times New Roman" w:cs="Times New Roman"/>
          <w:color w:val="000000"/>
          <w:spacing w:val="0"/>
          <w:w w:val="100"/>
          <w:position w:val="0"/>
          <w:shd w:val="clear" w:color="auto" w:fill="auto"/>
          <w:lang w:val="en-US" w:eastAsia="en-US" w:bidi="en-US"/>
        </w:rPr>
        <w:t xml:space="preserve">Theodora </w:t>
      </w:r>
      <w:r>
        <w:rPr>
          <w:rFonts w:ascii="Times New Roman" w:eastAsia="Times New Roman" w:hAnsi="Times New Roman" w:cs="Times New Roman"/>
          <w:color w:val="000000"/>
          <w:spacing w:val="0"/>
          <w:w w:val="100"/>
          <w:position w:val="0"/>
          <w:shd w:val="clear" w:color="auto" w:fill="auto"/>
          <w:lang w:val="hr-HR" w:eastAsia="hr-HR" w:bidi="hr-HR"/>
        </w:rPr>
        <w:t xml:space="preserve">Herzla, koji je doživio pariški </w:t>
      </w:r>
      <w:r>
        <w:rPr>
          <w:rFonts w:ascii="Times New Roman" w:eastAsia="Times New Roman" w:hAnsi="Times New Roman" w:cs="Times New Roman"/>
          <w:color w:val="000000"/>
          <w:spacing w:val="0"/>
          <w:w w:val="100"/>
          <w:position w:val="0"/>
          <w:shd w:val="clear" w:color="auto" w:fill="auto"/>
          <w:lang w:val="en-US" w:eastAsia="en-US" w:bidi="en-US"/>
        </w:rPr>
        <w:t xml:space="preserve">Dreyfussov </w:t>
      </w:r>
      <w:r>
        <w:rPr>
          <w:rFonts w:ascii="Times New Roman" w:eastAsia="Times New Roman" w:hAnsi="Times New Roman" w:cs="Times New Roman"/>
          <w:color w:val="000000"/>
          <w:spacing w:val="0"/>
          <w:w w:val="100"/>
          <w:position w:val="0"/>
          <w:shd w:val="clear" w:color="auto" w:fill="auto"/>
          <w:lang w:val="hr-HR" w:eastAsia="hr-HR" w:bidi="hr-HR"/>
        </w:rPr>
        <w:t>proces 1894/95, da od asimiliranoga Židova prijeđe u uvjerenog cionista. On je spoznao da bi židovska asimi</w:t>
        <w:softHyphen/>
        <w:t>lacija i integracija mogle potaknuti nadasve opasan, novi antisemitizam koji bi zahvatio sve društvene slojeve: »Židovsko pitanje po</w:t>
        <w:softHyphen/>
        <w:t>stoji... Ono se vuče od srednjega vijeka, i kul</w:t>
        <w:softHyphen/>
        <w:t>turni narodi još ga, uz najbolju volju, ne mogu riješiti. Doduše, pokazali su velikodušnost kad su nas emancipirali. Židovsko pitanje po</w:t>
        <w:softHyphen/>
        <w:t>stoji svugdje gdje Židovi žive u značajnom broju... Mi se, dakako, selimo onamo gdje nas ne proganjaju; a kad se pojavimo, počinje pro</w:t>
        <w:softHyphen/>
        <w:t xml:space="preserve">ganjanje.« </w:t>
      </w:r>
      <w:r>
        <w:rPr>
          <w:rFonts w:ascii="Times New Roman" w:eastAsia="Times New Roman" w:hAnsi="Times New Roman" w:cs="Times New Roman"/>
          <w:color w:val="000000"/>
          <w:spacing w:val="0"/>
          <w:w w:val="100"/>
          <w:position w:val="0"/>
          <w:shd w:val="clear" w:color="auto" w:fill="auto"/>
          <w:lang w:val="en-US" w:eastAsia="en-US" w:bidi="en-US"/>
        </w:rPr>
        <w:t xml:space="preserve">Herzl </w:t>
      </w:r>
      <w:r>
        <w:rPr>
          <w:rFonts w:ascii="Times New Roman" w:eastAsia="Times New Roman" w:hAnsi="Times New Roman" w:cs="Times New Roman"/>
          <w:color w:val="000000"/>
          <w:spacing w:val="0"/>
          <w:w w:val="100"/>
          <w:position w:val="0"/>
          <w:shd w:val="clear" w:color="auto" w:fill="auto"/>
          <w:lang w:val="hr-HR" w:eastAsia="hr-HR" w:bidi="hr-HR"/>
        </w:rPr>
        <w:t>je izvukao zaključak iz jedne analize: »Židovsko pitanje ne smatram ni so</w:t>
        <w:softHyphen/>
        <w:t>cijalnim ni religijskim, bilo ono ovako ili ona</w:t>
        <w:softHyphen/>
        <w:t xml:space="preserve">ko obojeno. To je nacionalno pitanje... Mi smo narod,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narod. Posvuda smo pošte</w:t>
        <w:softHyphen/>
        <w:t xml:space="preserve">no pokušali utonuti u etničku zajednicu koja nas je okruživala i samo sačuvati vjeru svojih otaca. To nam ne dopuštaju... Mi smo narod - neprijatelj nas čini narodom bez naše volje« </w:t>
      </w:r>
      <w:r>
        <w:rPr>
          <w:rFonts w:ascii="Times New Roman" w:eastAsia="Times New Roman" w:hAnsi="Times New Roman" w:cs="Times New Roman"/>
          <w:i/>
          <w:iCs/>
          <w:color w:val="000000"/>
          <w:spacing w:val="0"/>
          <w:w w:val="100"/>
          <w:position w:val="0"/>
          <w:shd w:val="clear" w:color="auto" w:fill="auto"/>
          <w:lang w:val="hr-HR" w:eastAsia="hr-HR" w:bidi="hr-HR"/>
        </w:rPr>
        <w:t>(Der Judenstaat,</w:t>
      </w:r>
      <w:r>
        <w:rPr>
          <w:rFonts w:ascii="Times New Roman" w:eastAsia="Times New Roman" w:hAnsi="Times New Roman" w:cs="Times New Roman"/>
          <w:color w:val="000000"/>
          <w:spacing w:val="0"/>
          <w:w w:val="100"/>
          <w:position w:val="0"/>
          <w:shd w:val="clear" w:color="auto" w:fill="auto"/>
          <w:lang w:val="hr-HR" w:eastAsia="hr-HR" w:bidi="hr-HR"/>
        </w:rPr>
        <w:t xml:space="preserve"> 1896). Stoga cionistička eman</w:t>
        <w:softHyphen/>
        <w:t>cipacija znači samooslobađanje Židova za ži</w:t>
        <w:softHyphen/>
        <w:t>dovstvo; ona se izvršava samooslobađanjem za povijesnu predodžbu o sebi, a to konkretno znači: spoznavanjem samoodgovornosti za vlastitu povijest i odbijanjem prihvaćanja ko- načnosti dijaspore (go/a) i odvajanja od zem</w:t>
        <w:softHyphen/>
        <w:t>lje otaca, te s time tijesno povezanim samoo</w:t>
        <w:softHyphen/>
        <w:t>slobađanjem židovstva od svođenja na »reli</w:t>
        <w:softHyphen/>
        <w:t>giju« i uzdizanjem na razinu židovskog naroda kao i samooslobađanjem od europskih druš</w:t>
        <w:softHyphen/>
        <w:t>tava koja su Židove stoljećima tlačili, ne kao nacionalnu manjinu niti kao klasu, već kao Židove. To treba postići povratkom u Erec Jisrael. U raznim cionističkim pravcima tako</w:t>
        <w:softHyphen/>
        <w:t>đer su nezaobilazni samosvijest židovskog identiteta i lojalnost, svijest o pripadnosti ži</w:t>
        <w:softHyphen/>
        <w:t>dovskom narodu i Zemlji Izraelu kao i ostva</w:t>
        <w:softHyphen/>
        <w:t>renje te židovske samosvijesti, organizirani uvijek politički (preteča: Moscs HeB), soci</w:t>
        <w:softHyphen/>
        <w:t>jalno (socijalističke stranke), socijalno i kul</w:t>
        <w:softHyphen/>
        <w:t xml:space="preserve">turno </w:t>
      </w:r>
      <w:r>
        <w:rPr>
          <w:rFonts w:ascii="Times New Roman" w:eastAsia="Times New Roman" w:hAnsi="Times New Roman" w:cs="Times New Roman"/>
          <w:color w:val="000000"/>
          <w:spacing w:val="0"/>
          <w:w w:val="100"/>
          <w:position w:val="0"/>
          <w:shd w:val="clear" w:color="auto" w:fill="auto"/>
          <w:lang w:val="en-US" w:eastAsia="en-US" w:bidi="en-US"/>
        </w:rPr>
        <w:t xml:space="preserve">(Ahad </w:t>
      </w:r>
      <w:r>
        <w:rPr>
          <w:rFonts w:ascii="Times New Roman" w:eastAsia="Times New Roman" w:hAnsi="Times New Roman" w:cs="Times New Roman"/>
          <w:color w:val="000000"/>
          <w:spacing w:val="0"/>
          <w:w w:val="100"/>
          <w:position w:val="0"/>
          <w:shd w:val="clear" w:color="auto" w:fill="auto"/>
          <w:lang w:val="hr-HR" w:eastAsia="hr-HR" w:bidi="hr-HR"/>
        </w:rPr>
        <w:t xml:space="preserve">Ha-am,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Berthold Feiwel i Hajim Weizmann) </w:t>
      </w:r>
      <w:r>
        <w:rPr>
          <w:rFonts w:ascii="Times New Roman" w:eastAsia="Times New Roman" w:hAnsi="Times New Roman" w:cs="Times New Roman"/>
          <w:color w:val="000000"/>
          <w:spacing w:val="0"/>
          <w:w w:val="100"/>
          <w:position w:val="0"/>
          <w:shd w:val="clear" w:color="auto" w:fill="auto"/>
          <w:lang w:val="hr-HR" w:eastAsia="hr-HR" w:bidi="hr-HR"/>
        </w:rPr>
        <w:t>ili vjerski (cionis</w:t>
        <w:softHyphen/>
        <w:t xml:space="preserve">tička ortodoksija </w:t>
      </w:r>
      <w:r>
        <w:rPr>
          <w:rFonts w:ascii="Times New Roman" w:eastAsia="Times New Roman" w:hAnsi="Times New Roman" w:cs="Times New Roman"/>
          <w:color w:val="000000"/>
          <w:spacing w:val="0"/>
          <w:w w:val="100"/>
          <w:position w:val="0"/>
          <w:shd w:val="clear" w:color="auto" w:fill="auto"/>
          <w:lang w:val="en-US" w:eastAsia="en-US" w:bidi="en-US"/>
        </w:rPr>
        <w:t xml:space="preserve">»Mizrahi </w:t>
      </w:r>
      <w:r>
        <w:rPr>
          <w:rFonts w:ascii="Times New Roman" w:eastAsia="Times New Roman" w:hAnsi="Times New Roman" w:cs="Times New Roman"/>
          <w:color w:val="000000"/>
          <w:spacing w:val="0"/>
          <w:w w:val="100"/>
          <w:position w:val="0"/>
          <w:shd w:val="clear" w:color="auto" w:fill="auto"/>
          <w:lang w:val="hr-HR" w:eastAsia="hr-HR" w:bidi="hr-HR"/>
        </w:rPr>
        <w:t>s vlastitim radnič</w:t>
        <w:softHyphen/>
        <w:t>kim pokretom).</w:t>
      </w:r>
    </w:p>
    <w:p>
      <w:pPr>
        <w:pStyle w:val="Style20"/>
        <w:keepNext w:val="0"/>
        <w:keepLines w:val="0"/>
        <w:widowControl w:val="0"/>
        <w:shd w:val="clear" w:color="auto" w:fill="auto"/>
        <w:bidi w:val="0"/>
        <w:spacing w:before="0" w:after="0"/>
        <w:ind w:left="0" w:right="0" w:firstLine="0"/>
        <w:jc w:val="both"/>
        <w:sectPr>
          <w:headerReference w:type="default" r:id="rId235"/>
          <w:footerReference w:type="default" r:id="rId236"/>
          <w:headerReference w:type="even" r:id="rId237"/>
          <w:footerReference w:type="even" r:id="rId238"/>
          <w:headerReference w:type="first" r:id="rId239"/>
          <w:footerReference w:type="first" r:id="rId240"/>
          <w:footnotePr>
            <w:pos w:val="pageBottom"/>
            <w:numFmt w:val="decimal"/>
            <w:numStart w:val="5"/>
            <w:numRestart w:val="continuous"/>
            <w15:footnoteColumns w:val="1"/>
          </w:footnotePr>
          <w:pgSz w:w="6816" w:h="11006"/>
          <w:pgMar w:top="954" w:left="178" w:right="182" w:bottom="525" w:header="0" w:footer="3" w:gutter="0"/>
          <w:pgNumType w:start="83"/>
          <w:cols w:num="2" w:space="15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c) »Liubav prema Slonu*.</w:t>
      </w:r>
      <w:r>
        <w:rPr>
          <w:rFonts w:ascii="Times New Roman" w:eastAsia="Times New Roman" w:hAnsi="Times New Roman" w:cs="Times New Roman"/>
          <w:color w:val="000000"/>
          <w:spacing w:val="0"/>
          <w:w w:val="100"/>
          <w:position w:val="0"/>
          <w:shd w:val="clear" w:color="auto" w:fill="auto"/>
          <w:lang w:val="hr-HR" w:eastAsia="hr-HR" w:bidi="hr-HR"/>
        </w:rPr>
        <w:t xml:space="preserve"> Židovstvo koje je postalo povijesno svjesno sebe odnosi se kao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nacionalno-religijsko jedinstvo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pa makar u mesijanskom očekivanju (M Bcrahot 1,5) - na Erec Jisrael. U tome se ono ponaša potpuno u smislu tradicije, koja uvijek u Židovima koji uče i koji mole iznova vizualiziranim priča</w:t>
        <w:softHyphen/>
        <w:t>njem (Izl 12,26; 13,8.14; Pnz 6,20 i d.) o iz</w:t>
        <w:softHyphen/>
        <w:t>lasku iz sužanjstva i o čudu koje ga prati, održava na životu nadu u ponavljanje prvog Izlaska, u povratak dijaspore u Sion: »Iz naraštaja u naraštaj svatko je obvezan proma</w:t>
        <w:softHyphen/>
        <w:t>trati sebe tako kao da je izišao iz Egipta« (M Pesahim X,5; usp. b Berahot 12b-13a). »Sje</w:t>
        <w:softHyphen/>
        <w:t>ćanje na izlazak iz Egipta« (Pnz 5,15), koje obnavljaju molitve na šabat i blagdane, nije dopustilo da potpuno presahne pouzdanje ka</w:t>
        <w:softHyphen/>
        <w:t>ko če spas iz pojedinih turobnih faza progon</w:t>
        <w:softHyphen/>
        <w:t>stva voditi do uspostave novih vremena i blag</w:t>
        <w:softHyphen/>
        <w:t>dana koji če pomoći Židovima u ispunjenju: »Dopusti nam stoga, Gospodine, Bože naš (i Bože naših otaca), da doživimo i druge blag</w:t>
        <w:softHyphen/>
        <w:t>dane i svetkovine, kojima se možemo približiti u miru, radosni zbog obnove Tvojega grada... Tamo...ćemo ti zahvaliti (novom pjesmom) za svoje otkupljenje i oslobođenje svoje duše. Hvaljen budi, Gospodine, Ti koji si otkupio Izrael« (M Pesahim X,6). Tu molbu Rabi Aki- ve (I./II. stoljeće) Židov izgovara od pamti</w:t>
        <w:softHyphen/>
        <w:t xml:space="preserve">vijeka na večeri </w:t>
      </w:r>
      <w:r>
        <w:rPr>
          <w:rFonts w:ascii="Times New Roman" w:eastAsia="Times New Roman" w:hAnsi="Times New Roman" w:cs="Times New Roman"/>
          <w:i/>
          <w:iCs/>
          <w:color w:val="000000"/>
          <w:spacing w:val="0"/>
          <w:w w:val="100"/>
          <w:position w:val="0"/>
          <w:shd w:val="clear" w:color="auto" w:fill="auto"/>
          <w:lang w:val="en-US" w:eastAsia="en-US" w:bidi="en-US"/>
        </w:rPr>
        <w:t>seder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prije jela </w:t>
      </w:r>
      <w:r>
        <w:rPr>
          <w:rFonts w:ascii="Times New Roman" w:eastAsia="Times New Roman" w:hAnsi="Times New Roman" w:cs="Times New Roman"/>
          <w:i/>
          <w:iCs/>
          <w:color w:val="000000"/>
          <w:spacing w:val="0"/>
          <w:w w:val="100"/>
          <w:position w:val="0"/>
          <w:shd w:val="clear" w:color="auto" w:fill="auto"/>
          <w:lang w:val="hr-HR" w:eastAsia="hr-HR" w:bidi="hr-HR"/>
        </w:rPr>
        <w:t>(Hagada šel Pe- sah)</w:t>
      </w:r>
      <w:r>
        <w:rPr>
          <w:rFonts w:ascii="Times New Roman" w:eastAsia="Times New Roman" w:hAnsi="Times New Roman" w:cs="Times New Roman"/>
          <w:color w:val="000000"/>
          <w:spacing w:val="0"/>
          <w:w w:val="100"/>
          <w:position w:val="0"/>
          <w:shd w:val="clear" w:color="auto" w:fill="auto"/>
          <w:lang w:val="hr-HR" w:eastAsia="hr-HR" w:bidi="hr-HR"/>
        </w:rPr>
        <w:t xml:space="preserve"> i s tim povezuje svetkovinu Pesaha iz Egipta s naglašenim ponavljanjem kako je već tumačio Rav (III./IV. stoljeće) u završnom obrascu otkupljenja u budućnosti: »Ti koji si otkupio Izrael« (b Pesahim 117b), a Gaon Seadja podučavao ponavljanje čudesnih doga</w:t>
        <w:softHyphen/>
        <w:t xml:space="preserve">đaja povezanih s oslobođenjem iz Egipta </w:t>
      </w:r>
      <w:r>
        <w:rPr>
          <w:rFonts w:ascii="Times New Roman" w:eastAsia="Times New Roman" w:hAnsi="Times New Roman" w:cs="Times New Roman"/>
          <w:color w:val="000000"/>
          <w:spacing w:val="0"/>
          <w:w w:val="100"/>
          <w:position w:val="0"/>
          <w:shd w:val="clear" w:color="auto" w:fill="auto"/>
          <w:lang w:val="en-US" w:eastAsia="en-US" w:bidi="en-US"/>
        </w:rPr>
        <w:t xml:space="preserve">(Emunot deot </w:t>
      </w:r>
      <w:r>
        <w:rPr>
          <w:rFonts w:ascii="Times New Roman" w:eastAsia="Times New Roman" w:hAnsi="Times New Roman" w:cs="Times New Roman"/>
          <w:color w:val="000000"/>
          <w:spacing w:val="0"/>
          <w:w w:val="100"/>
          <w:position w:val="0"/>
          <w:shd w:val="clear" w:color="auto" w:fill="auto"/>
          <w:lang w:val="hr-HR" w:eastAsia="hr-HR" w:bidi="hr-HR"/>
        </w:rPr>
        <w:t xml:space="preserve">VIII, s obzirom na Hoš 12,9; Mih 7,15). I blagdanska molitva </w:t>
      </w:r>
      <w:r>
        <w:rPr>
          <w:rFonts w:ascii="Times New Roman" w:eastAsia="Times New Roman" w:hAnsi="Times New Roman" w:cs="Times New Roman"/>
          <w:i/>
          <w:iCs/>
          <w:color w:val="000000"/>
          <w:spacing w:val="0"/>
          <w:w w:val="100"/>
          <w:position w:val="0"/>
          <w:shd w:val="clear" w:color="auto" w:fill="auto"/>
          <w:lang w:val="hr-HR" w:eastAsia="hr-HR" w:bidi="hr-HR"/>
        </w:rPr>
        <w:t>Musafsz</w:t>
      </w:r>
      <w:r>
        <w:rPr>
          <w:rFonts w:ascii="Times New Roman" w:eastAsia="Times New Roman" w:hAnsi="Times New Roman" w:cs="Times New Roman"/>
          <w:color w:val="000000"/>
          <w:spacing w:val="0"/>
          <w:w w:val="100"/>
          <w:position w:val="0"/>
          <w:shd w:val="clear" w:color="auto" w:fill="auto"/>
          <w:lang w:val="hr-HR" w:eastAsia="hr-HR" w:bidi="hr-HR"/>
        </w:rPr>
        <w:t xml:space="preserve"> svo</w:t>
        <w:softHyphen/>
        <w:t>jim oblikovanjem realnih duhovnih i materi</w:t>
        <w:softHyphen/>
        <w:t xml:space="preserve">jalnih odnosa između židovskoga naroda u Erec Jisraelu i židovstva u </w:t>
      </w:r>
      <w:r>
        <w:rPr>
          <w:rFonts w:ascii="Times New Roman" w:eastAsia="Times New Roman" w:hAnsi="Times New Roman" w:cs="Times New Roman"/>
          <w:i/>
          <w:iCs/>
          <w:color w:val="000000"/>
          <w:spacing w:val="0"/>
          <w:w w:val="100"/>
          <w:position w:val="0"/>
          <w:shd w:val="clear" w:color="auto" w:fill="auto"/>
          <w:lang w:val="hr-HR" w:eastAsia="hr-HR" w:bidi="hr-HR"/>
        </w:rPr>
        <w:t>goli. »...</w:t>
      </w:r>
      <w:r>
        <w:rPr>
          <w:rFonts w:ascii="Times New Roman" w:eastAsia="Times New Roman" w:hAnsi="Times New Roman" w:cs="Times New Roman"/>
          <w:color w:val="000000"/>
          <w:spacing w:val="0"/>
          <w:w w:val="100"/>
          <w:position w:val="0"/>
          <w:shd w:val="clear" w:color="auto" w:fill="auto"/>
          <w:lang w:val="hr-HR" w:eastAsia="hr-HR" w:bidi="hr-HR"/>
        </w:rPr>
        <w:t xml:space="preserve"> i dovedi naše raseljenike medu narodima... i odvedi nas u Sion, svoj grad, u slavlju... i vrati Izrael u svoje domove« predoblikovala je odnos cio- nizma i židovstva, u kojem se odražava istin</w:t>
        <w:softHyphen/>
        <w:t>ska emancipacijska funkcija cionizma. Zadaću postizanja jedinstva židovskoga naroda u cije</w:t>
        <w:softHyphen/>
        <w:t>lom svijetu odobravali su povratnici još od ra</w:t>
        <w:softHyphen/>
        <w:t xml:space="preserve">zaranja Hrama. Židovi su kretali na put u sva vremena, bilo je konkretne </w:t>
      </w:r>
      <w:r>
        <w:rPr>
          <w:rFonts w:ascii="Times New Roman" w:eastAsia="Times New Roman" w:hAnsi="Times New Roman" w:cs="Times New Roman"/>
          <w:i/>
          <w:iCs/>
          <w:color w:val="000000"/>
          <w:spacing w:val="0"/>
          <w:w w:val="100"/>
          <w:position w:val="0"/>
          <w:shd w:val="clear" w:color="auto" w:fill="auto"/>
          <w:lang w:val="hr-HR" w:eastAsia="hr-HR" w:bidi="hr-HR"/>
        </w:rPr>
        <w:t>alije</w:t>
      </w:r>
      <w:r>
        <w:rPr>
          <w:rFonts w:ascii="Times New Roman" w:eastAsia="Times New Roman" w:hAnsi="Times New Roman" w:cs="Times New Roman"/>
          <w:color w:val="000000"/>
          <w:spacing w:val="0"/>
          <w:w w:val="100"/>
          <w:position w:val="0"/>
          <w:shd w:val="clear" w:color="auto" w:fill="auto"/>
          <w:lang w:val="hr-HR" w:eastAsia="hr-HR" w:bidi="hr-HR"/>
        </w:rPr>
        <w:t xml:space="preserve"> (»uspon« na brdo Sion = useljavanje, usp. imena učitelja, koji su se naselili u zemlji, kod A. Neher, Sta</w:t>
        <w:softHyphen/>
        <w:t>jalište Izraela prema državi, zemlji i narodu 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Frankfurter Rundbriefu </w:t>
      </w:r>
      <w:r>
        <w:rPr>
          <w:rFonts w:ascii="Times New Roman" w:eastAsia="Times New Roman" w:hAnsi="Times New Roman" w:cs="Times New Roman"/>
          <w:color w:val="000000"/>
          <w:spacing w:val="0"/>
          <w:w w:val="100"/>
          <w:position w:val="0"/>
          <w:shd w:val="clear" w:color="auto" w:fill="auto"/>
          <w:lang w:val="hr-HR" w:eastAsia="hr-HR" w:bidi="hr-HR"/>
        </w:rPr>
        <w:t>XXVIII, 1976,56-59). U prvoj polovini XIX. stoljeća rabini su po</w:t>
        <w:softHyphen/>
        <w:t xml:space="preserve">zivali pobožnike </w:t>
      </w:r>
      <w:r>
        <w:rPr>
          <w:rFonts w:ascii="Times New Roman" w:eastAsia="Times New Roman" w:hAnsi="Times New Roman" w:cs="Times New Roman"/>
          <w:i/>
          <w:iCs/>
          <w:color w:val="000000"/>
          <w:spacing w:val="0"/>
          <w:w w:val="100"/>
          <w:position w:val="0"/>
          <w:shd w:val="clear" w:color="auto" w:fill="auto"/>
          <w:lang w:val="hr-HR" w:eastAsia="hr-HR" w:bidi="hr-HR"/>
        </w:rPr>
        <w:t>u goli</w:t>
      </w:r>
      <w:r>
        <w:rPr>
          <w:rFonts w:ascii="Times New Roman" w:eastAsia="Times New Roman" w:hAnsi="Times New Roman" w:cs="Times New Roman"/>
          <w:color w:val="000000"/>
          <w:spacing w:val="0"/>
          <w:w w:val="100"/>
          <w:position w:val="0"/>
          <w:shd w:val="clear" w:color="auto" w:fill="auto"/>
          <w:lang w:val="hr-HR" w:eastAsia="hr-HR" w:bidi="hr-HR"/>
        </w:rPr>
        <w:t xml:space="preserve"> na povratak u Obećanu zemlju, jer če oni, kako je Jehuda Bibas (Gi</w:t>
        <w:softHyphen/>
        <w:t xml:space="preserve">braltar, </w:t>
      </w:r>
      <w:r>
        <w:rPr>
          <w:rFonts w:ascii="Times New Roman" w:eastAsia="Times New Roman" w:hAnsi="Times New Roman" w:cs="Times New Roman"/>
          <w:color w:val="000000"/>
          <w:spacing w:val="0"/>
          <w:w w:val="100"/>
          <w:position w:val="0"/>
          <w:shd w:val="clear" w:color="auto" w:fill="auto"/>
          <w:lang w:val="en-US" w:eastAsia="en-US" w:bidi="en-US"/>
        </w:rPr>
        <w:t xml:space="preserve">Hebron) </w:t>
      </w:r>
      <w:r>
        <w:rPr>
          <w:rFonts w:ascii="Times New Roman" w:eastAsia="Times New Roman" w:hAnsi="Times New Roman" w:cs="Times New Roman"/>
          <w:color w:val="000000"/>
          <w:spacing w:val="0"/>
          <w:w w:val="100"/>
          <w:position w:val="0"/>
          <w:shd w:val="clear" w:color="auto" w:fill="auto"/>
          <w:lang w:val="hr-HR" w:eastAsia="hr-HR" w:bidi="hr-HR"/>
        </w:rPr>
        <w:t>protumačio Zah 1,3, probu</w:t>
        <w:softHyphen/>
        <w:t>diti Božje milosrđe i potvrditi očitost Božjeg otkupljenja. Jehuda Alkalaj (Zemun, Jeruza</w:t>
        <w:softHyphen/>
        <w:t xml:space="preserve">lem) razlikovao je »individualnu« </w:t>
      </w:r>
      <w:r>
        <w:rPr>
          <w:rFonts w:ascii="Times New Roman" w:eastAsia="Times New Roman" w:hAnsi="Times New Roman" w:cs="Times New Roman"/>
          <w:i/>
          <w:iCs/>
          <w:color w:val="000000"/>
          <w:spacing w:val="0"/>
          <w:w w:val="100"/>
          <w:position w:val="0"/>
          <w:shd w:val="clear" w:color="auto" w:fill="auto"/>
          <w:lang w:val="hr-HR" w:eastAsia="hr-HR" w:bidi="hr-HR"/>
        </w:rPr>
        <w:t>tešuvu,</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 xml:space="preserve">ziv na pokajanje grešnika kako ne bi ponovio grijeh, i »nacionalnu« </w:t>
      </w:r>
      <w:r>
        <w:rPr>
          <w:rFonts w:ascii="Times New Roman" w:eastAsia="Times New Roman" w:hAnsi="Times New Roman" w:cs="Times New Roman"/>
          <w:i/>
          <w:iCs/>
          <w:color w:val="000000"/>
          <w:spacing w:val="0"/>
          <w:w w:val="100"/>
          <w:position w:val="0"/>
          <w:shd w:val="clear" w:color="auto" w:fill="auto"/>
          <w:lang w:val="hr-HR" w:eastAsia="hr-HR" w:bidi="hr-HR"/>
        </w:rPr>
        <w:t>tešuvu,</w:t>
      </w:r>
      <w:r>
        <w:rPr>
          <w:rFonts w:ascii="Times New Roman" w:eastAsia="Times New Roman" w:hAnsi="Times New Roman" w:cs="Times New Roman"/>
          <w:color w:val="000000"/>
          <w:spacing w:val="0"/>
          <w:w w:val="100"/>
          <w:position w:val="0"/>
          <w:shd w:val="clear" w:color="auto" w:fill="auto"/>
          <w:lang w:val="hr-HR" w:eastAsia="hr-HR" w:bidi="hr-HR"/>
        </w:rPr>
        <w:t xml:space="preserve"> on ju je poduča</w:t>
        <w:softHyphen/>
        <w:t xml:space="preserve">vao kao polagani i planski povratak naroda, koji ne krši upozorenje talmudskih mudraca (»Izrael se ne smije popeti u zidu«, tj. u vojnoj organizaciju i namjeri, b Ketubot lila): Izrael neka se najprije »vrati« u Sion, prije negoli se Bog obrati Izraelu i usliši njegove molitve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25,38). Drugi su se suprotstavljali tak</w:t>
        <w:softHyphen/>
        <w:t>vom shvaćanju čestog ponavljanja molitve u liturgiji: »Vrati nas k sebi, TI, obratit ćemo se« (Tuž 5,21); prema njemu, Izrael neće biti otkupljen vlastitim snagama nego samo Božjim djelovanjem. - Pod dojmom pogroma u Rusiji 1881/82 pristaše ideje cionizma (»oni koji lju</w:t>
        <w:softHyphen/>
        <w:t xml:space="preserve">be Sion« </w:t>
      </w:r>
      <w:r>
        <w:rPr>
          <w:rFonts w:ascii="Times New Roman" w:eastAsia="Times New Roman" w:hAnsi="Times New Roman" w:cs="Times New Roman"/>
          <w:i/>
          <w:iCs/>
          <w:color w:val="000000"/>
          <w:spacing w:val="0"/>
          <w:w w:val="100"/>
          <w:position w:val="0"/>
          <w:shd w:val="clear" w:color="auto" w:fill="auto"/>
          <w:lang w:val="hr-HR" w:eastAsia="hr-HR" w:bidi="hr-HR"/>
        </w:rPr>
        <w:t>hobej-cion)</w:t>
      </w:r>
      <w:r>
        <w:rPr>
          <w:rFonts w:ascii="Times New Roman" w:eastAsia="Times New Roman" w:hAnsi="Times New Roman" w:cs="Times New Roman"/>
          <w:color w:val="000000"/>
          <w:spacing w:val="0"/>
          <w:w w:val="100"/>
          <w:position w:val="0"/>
          <w:shd w:val="clear" w:color="auto" w:fill="auto"/>
          <w:lang w:val="hr-HR" w:eastAsia="hr-HR" w:bidi="hr-HR"/>
        </w:rPr>
        <w:t xml:space="preserve"> emancipirali su se od ru- sifikacije i opredijelili se za židovski narod; njihov pokret »Ljubav prema Sionu« </w:t>
      </w:r>
      <w:r>
        <w:rPr>
          <w:rFonts w:ascii="Times New Roman" w:eastAsia="Times New Roman" w:hAnsi="Times New Roman" w:cs="Times New Roman"/>
          <w:i/>
          <w:iCs/>
          <w:color w:val="000000"/>
          <w:spacing w:val="0"/>
          <w:w w:val="100"/>
          <w:position w:val="0"/>
          <w:shd w:val="clear" w:color="auto" w:fill="auto"/>
          <w:lang w:val="hr-HR" w:eastAsia="hr-HR" w:bidi="hr-HR"/>
        </w:rPr>
        <w:t>(hibat cion)</w:t>
      </w:r>
      <w:r>
        <w:rPr>
          <w:rFonts w:ascii="Times New Roman" w:eastAsia="Times New Roman" w:hAnsi="Times New Roman" w:cs="Times New Roman"/>
          <w:color w:val="000000"/>
          <w:spacing w:val="0"/>
          <w:w w:val="100"/>
          <w:position w:val="0"/>
          <w:shd w:val="clear" w:color="auto" w:fill="auto"/>
          <w:lang w:val="hr-HR" w:eastAsia="hr-HR" w:bidi="hr-HR"/>
        </w:rPr>
        <w:t xml:space="preserve"> težio je za povratkom u Erec Jisrael i ponovnim naseljavanjem zemlje kao jedinom prirodnom putu Židova. Jedan od njihovih or</w:t>
        <w:softHyphen/>
        <w:t xml:space="preserve">todoksnih voda, rabin Jichak Jakov Reines, voditelj glasovite </w:t>
      </w:r>
      <w:r>
        <w:rPr>
          <w:rFonts w:ascii="Times New Roman" w:eastAsia="Times New Roman" w:hAnsi="Times New Roman" w:cs="Times New Roman"/>
          <w:i/>
          <w:iCs/>
          <w:color w:val="000000"/>
          <w:spacing w:val="0"/>
          <w:w w:val="100"/>
          <w:position w:val="0"/>
          <w:shd w:val="clear" w:color="auto" w:fill="auto"/>
          <w:lang w:val="hr-HR" w:eastAsia="hr-HR" w:bidi="hr-HR"/>
        </w:rPr>
        <w:t>ješive</w:t>
      </w:r>
      <w:r>
        <w:rPr>
          <w:rFonts w:ascii="Times New Roman" w:eastAsia="Times New Roman" w:hAnsi="Times New Roman" w:cs="Times New Roman"/>
          <w:color w:val="000000"/>
          <w:spacing w:val="0"/>
          <w:w w:val="100"/>
          <w:position w:val="0"/>
          <w:shd w:val="clear" w:color="auto" w:fill="auto"/>
          <w:lang w:val="hr-HR" w:eastAsia="hr-HR" w:bidi="hr-HR"/>
        </w:rPr>
        <w:t xml:space="preserve"> u Lidi, priključio se </w:t>
      </w:r>
      <w:r>
        <w:rPr>
          <w:rFonts w:ascii="Times New Roman" w:eastAsia="Times New Roman" w:hAnsi="Times New Roman" w:cs="Times New Roman"/>
          <w:color w:val="000000"/>
          <w:spacing w:val="0"/>
          <w:w w:val="100"/>
          <w:position w:val="0"/>
          <w:shd w:val="clear" w:color="auto" w:fill="auto"/>
          <w:lang w:val="en-US" w:eastAsia="en-US" w:bidi="en-US"/>
        </w:rPr>
        <w:t xml:space="preserve">Theodora </w:t>
      </w:r>
      <w:r>
        <w:rPr>
          <w:rFonts w:ascii="Times New Roman" w:eastAsia="Times New Roman" w:hAnsi="Times New Roman" w:cs="Times New Roman"/>
          <w:color w:val="000000"/>
          <w:spacing w:val="0"/>
          <w:w w:val="100"/>
          <w:position w:val="0"/>
          <w:shd w:val="clear" w:color="auto" w:fill="auto"/>
          <w:lang w:val="hr-HR" w:eastAsia="hr-HR" w:bidi="hr-HR"/>
        </w:rPr>
        <w:t>Herzlu i osnovao unutar Cionistič</w:t>
        <w:softHyphen/>
        <w:t xml:space="preserve">ke organizacije udrugu cionista vjernih Tori </w:t>
      </w:r>
      <w:r>
        <w:rPr>
          <w:rFonts w:ascii="Times New Roman" w:eastAsia="Times New Roman" w:hAnsi="Times New Roman" w:cs="Times New Roman"/>
          <w:i/>
          <w:iCs/>
          <w:color w:val="000000"/>
          <w:spacing w:val="0"/>
          <w:w w:val="100"/>
          <w:position w:val="0"/>
          <w:shd w:val="clear" w:color="auto" w:fill="auto"/>
          <w:lang w:val="en-US" w:eastAsia="en-US" w:bidi="en-US"/>
        </w:rPr>
        <w:t>(Mizrahi,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»duhovno središte«). U oštroj su</w:t>
        <w:softHyphen/>
        <w:t>protnosti s njom anticionistički pobožnici osno</w:t>
        <w:softHyphen/>
        <w:t xml:space="preserve">vali su 1912. »Savez Izraela«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(Agudat Jisrael) </w:t>
      </w:r>
      <w:r>
        <w:rPr>
          <w:rFonts w:ascii="Times New Roman" w:eastAsia="Times New Roman" w:hAnsi="Times New Roman" w:cs="Times New Roman"/>
          <w:color w:val="000000"/>
          <w:spacing w:val="0"/>
          <w:w w:val="100"/>
          <w:position w:val="0"/>
          <w:shd w:val="clear" w:color="auto" w:fill="auto"/>
          <w:lang w:val="hr-HR" w:eastAsia="hr-HR" w:bidi="hr-HR"/>
        </w:rPr>
        <w:t>koji je svim pristašama Tore trebao omogućiti poštovanje religijskih propisa; on je »zajed</w:t>
        <w:softHyphen/>
        <w:t>nicu nacije«, koja negira državno pravo i vo</w:t>
        <w:softHyphen/>
        <w:t>deću naciju Tore i postaje »nacija na način nacija na zemlji«, proglasio »smrtnim neprija</w:t>
        <w:softHyphen/>
        <w:t>teljem Torine zajednice«, kako je to nepomir</w:t>
        <w:softHyphen/>
        <w:t xml:space="preserve">ljivo formulirao njemački agudist </w:t>
      </w:r>
      <w:r>
        <w:rPr>
          <w:rFonts w:ascii="Times New Roman" w:eastAsia="Times New Roman" w:hAnsi="Times New Roman" w:cs="Times New Roman"/>
          <w:color w:val="000000"/>
          <w:spacing w:val="0"/>
          <w:w w:val="100"/>
          <w:position w:val="0"/>
          <w:shd w:val="clear" w:color="auto" w:fill="auto"/>
          <w:lang w:val="en-US" w:eastAsia="en-US" w:bidi="en-US"/>
        </w:rPr>
        <w:t xml:space="preserve">Isaak Breuer </w:t>
      </w:r>
      <w:r>
        <w:rPr>
          <w:rFonts w:ascii="Times New Roman" w:eastAsia="Times New Roman" w:hAnsi="Times New Roman" w:cs="Times New Roman"/>
          <w:i/>
          <w:iCs/>
          <w:color w:val="000000"/>
          <w:spacing w:val="0"/>
          <w:w w:val="100"/>
          <w:position w:val="0"/>
          <w:shd w:val="clear" w:color="auto" w:fill="auto"/>
          <w:lang w:val="hr-HR" w:eastAsia="hr-HR" w:bidi="hr-HR"/>
        </w:rPr>
        <w:t>(Der drille Kusan,</w:t>
      </w:r>
      <w:r>
        <w:rPr>
          <w:rFonts w:ascii="Times New Roman" w:eastAsia="Times New Roman" w:hAnsi="Times New Roman" w:cs="Times New Roman"/>
          <w:color w:val="000000"/>
          <w:spacing w:val="0"/>
          <w:w w:val="100"/>
          <w:position w:val="0"/>
          <w:shd w:val="clear" w:color="auto" w:fill="auto"/>
          <w:lang w:val="hr-HR" w:eastAsia="hr-HR" w:bidi="hr-HR"/>
        </w:rPr>
        <w:t xml:space="preserve"> 1934, 129.164). Dok je ve</w:t>
        <w:softHyphen/>
        <w:t xml:space="preserve">ćina agudista u ono vrijeme - kao što danas čini najodlučniji </w:t>
      </w:r>
      <w:r>
        <w:rPr>
          <w:rFonts w:ascii="Times New Roman" w:eastAsia="Times New Roman" w:hAnsi="Times New Roman" w:cs="Times New Roman"/>
          <w:color w:val="000000"/>
          <w:spacing w:val="0"/>
          <w:w w:val="100"/>
          <w:position w:val="0"/>
          <w:shd w:val="clear" w:color="auto" w:fill="auto"/>
          <w:lang w:val="en-US" w:eastAsia="en-US" w:bidi="en-US"/>
        </w:rPr>
        <w:t xml:space="preserve">negator </w:t>
      </w:r>
      <w:r>
        <w:rPr>
          <w:rFonts w:ascii="Times New Roman" w:eastAsia="Times New Roman" w:hAnsi="Times New Roman" w:cs="Times New Roman"/>
          <w:color w:val="000000"/>
          <w:spacing w:val="0"/>
          <w:w w:val="100"/>
          <w:position w:val="0"/>
          <w:shd w:val="clear" w:color="auto" w:fill="auto"/>
          <w:lang w:val="hr-HR" w:eastAsia="hr-HR" w:bidi="hr-HR"/>
        </w:rPr>
        <w:t>države Izrael, ultra- ortodoksna skupina »Neturej Karta« (»Stražar grada«) - dijelila Breuerov načelni pacifizam, čak u obrani, jedan raniji pristaša Agudat Jis- raela prešao je pod utjecajem Balfourove dek</w:t>
        <w:softHyphen/>
        <w:t xml:space="preserve">laracije u cionistu: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Jichak ha-Kohen Kuk (1865-1935), Izraelov prvi aškenaski nad- </w:t>
      </w:r>
      <w:r>
        <w:rPr>
          <w:rFonts w:ascii="Times New Roman" w:eastAsia="Times New Roman" w:hAnsi="Times New Roman" w:cs="Times New Roman"/>
          <w:color w:val="000000"/>
          <w:spacing w:val="0"/>
          <w:w w:val="100"/>
          <w:position w:val="0"/>
          <w:shd w:val="clear" w:color="auto" w:fill="auto"/>
          <w:lang w:val="hr-HR" w:eastAsia="hr-HR" w:bidi="hr-HR"/>
        </w:rPr>
        <w:t xml:space="preserve">rabin, koji je sadašnjost nazvao »početkom otkupljenja« </w:t>
      </w:r>
      <w:r>
        <w:rPr>
          <w:rFonts w:ascii="Times New Roman" w:eastAsia="Times New Roman" w:hAnsi="Times New Roman" w:cs="Times New Roman"/>
          <w:i/>
          <w:iCs/>
          <w:color w:val="000000"/>
          <w:spacing w:val="0"/>
          <w:w w:val="100"/>
          <w:position w:val="0"/>
          <w:shd w:val="clear" w:color="auto" w:fill="auto"/>
          <w:lang w:val="hr-HR" w:eastAsia="hr-HR" w:bidi="hr-HR"/>
        </w:rPr>
        <w:t>(athalta de-ge’uld).</w:t>
      </w:r>
      <w:r>
        <w:rPr>
          <w:rFonts w:ascii="Times New Roman" w:eastAsia="Times New Roman" w:hAnsi="Times New Roman" w:cs="Times New Roman"/>
          <w:color w:val="000000"/>
          <w:spacing w:val="0"/>
          <w:w w:val="100"/>
          <w:position w:val="0"/>
          <w:shd w:val="clear" w:color="auto" w:fill="auto"/>
          <w:lang w:val="hr-HR" w:eastAsia="hr-HR" w:bidi="hr-HR"/>
        </w:rPr>
        <w:t xml:space="preserve"> Rabin Šlomo </w:t>
      </w:r>
      <w:r>
        <w:rPr>
          <w:rFonts w:ascii="Times New Roman" w:eastAsia="Times New Roman" w:hAnsi="Times New Roman" w:cs="Times New Roman"/>
          <w:color w:val="000000"/>
          <w:spacing w:val="0"/>
          <w:w w:val="100"/>
          <w:position w:val="0"/>
          <w:shd w:val="clear" w:color="auto" w:fill="auto"/>
          <w:lang w:val="en-US" w:eastAsia="en-US" w:bidi="en-US"/>
        </w:rPr>
        <w:t xml:space="preserve">Goren, </w:t>
      </w:r>
      <w:r>
        <w:rPr>
          <w:rFonts w:ascii="Times New Roman" w:eastAsia="Times New Roman" w:hAnsi="Times New Roman" w:cs="Times New Roman"/>
          <w:color w:val="000000"/>
          <w:spacing w:val="0"/>
          <w:w w:val="100"/>
          <w:position w:val="0"/>
          <w:shd w:val="clear" w:color="auto" w:fill="auto"/>
          <w:lang w:val="hr-HR" w:eastAsia="hr-HR" w:bidi="hr-HR"/>
        </w:rPr>
        <w:t>koji je na tu dužnost izabran 1972, po</w:t>
        <w:softHyphen/>
        <w:t>dučavao je da se Izrael prema Halahi i Maj- monidovu autoritativnom tumačenju već na</w:t>
        <w:softHyphen/>
        <w:t xml:space="preserve">lazi usred mesijanske epohe: konačno vrijeme kao dio mesijanske epohe prethodi dolasku Mesije i ne treba ga izjednačiti s »Mesijinim danima«; bitna značajka je povratak Zidova u Sion </w:t>
      </w:r>
      <w:r>
        <w:rPr>
          <w:rFonts w:ascii="Times New Roman" w:eastAsia="Times New Roman" w:hAnsi="Times New Roman" w:cs="Times New Roman"/>
          <w:i/>
          <w:iCs/>
          <w:color w:val="000000"/>
          <w:spacing w:val="0"/>
          <w:w w:val="100"/>
          <w:position w:val="0"/>
          <w:shd w:val="clear" w:color="auto" w:fill="auto"/>
          <w:lang w:val="hr-HR" w:eastAsia="hr-HR" w:bidi="hr-HR"/>
        </w:rPr>
        <w:t>(Hvat cion).</w:t>
      </w:r>
      <w:r>
        <w:rPr>
          <w:rFonts w:ascii="Times New Roman" w:eastAsia="Times New Roman" w:hAnsi="Times New Roman" w:cs="Times New Roman"/>
          <w:color w:val="000000"/>
          <w:spacing w:val="0"/>
          <w:w w:val="100"/>
          <w:position w:val="0"/>
          <w:shd w:val="clear" w:color="auto" w:fill="auto"/>
          <w:lang w:val="hr-HR" w:eastAsia="hr-HR" w:bidi="hr-HR"/>
        </w:rPr>
        <w:t xml:space="preserve"> Predodžba mudraca o tijeku »otkupljenja«, kako to nagovještavaju, prema predaji (b Megila I7b-I8a), blagoslovi </w:t>
      </w:r>
      <w:r>
        <w:rPr>
          <w:rFonts w:ascii="Times New Roman" w:eastAsia="Times New Roman" w:hAnsi="Times New Roman" w:cs="Times New Roman"/>
          <w:color w:val="000000"/>
          <w:spacing w:val="0"/>
          <w:w w:val="100"/>
          <w:position w:val="0"/>
          <w:shd w:val="clear" w:color="auto" w:fill="auto"/>
          <w:lang w:val="en-US" w:eastAsia="en-US" w:bidi="en-US"/>
        </w:rPr>
        <w:t xml:space="preserve">(IX.-XI.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XIV.-XVI.) </w:t>
      </w:r>
      <w:r>
        <w:rPr>
          <w:rFonts w:ascii="Times New Roman" w:eastAsia="Times New Roman" w:hAnsi="Times New Roman" w:cs="Times New Roman"/>
          <w:color w:val="000000"/>
          <w:spacing w:val="0"/>
          <w:w w:val="100"/>
          <w:position w:val="0"/>
          <w:shd w:val="clear" w:color="auto" w:fill="auto"/>
          <w:lang w:val="hr-HR" w:eastAsia="hr-HR" w:bidi="hr-HR"/>
        </w:rPr>
        <w:t>u triput izgovaranoj molitvi Osamnaest blagoslova, dobila je za religiozne cioniste aktualno značenje.</w:t>
      </w:r>
    </w:p>
    <w:p>
      <w:pPr>
        <w:pStyle w:val="Style56"/>
        <w:keepNext w:val="0"/>
        <w:keepLines w:val="0"/>
        <w:widowControl w:val="0"/>
        <w:shd w:val="clear" w:color="auto" w:fill="auto"/>
        <w:tabs>
          <w:tab w:pos="2434" w:val="left"/>
        </w:tabs>
        <w:bidi w:val="0"/>
        <w:spacing w:before="0" w:after="180" w:line="240" w:lineRule="auto"/>
        <w:ind w:left="0" w:right="0" w:firstLine="0"/>
        <w:jc w:val="both"/>
      </w:pPr>
      <w:r>
        <w:rPr>
          <w:color w:val="000000"/>
          <w:spacing w:val="0"/>
          <w:w w:val="100"/>
          <w:position w:val="0"/>
          <w:shd w:val="clear" w:color="auto" w:fill="auto"/>
          <w:lang w:val="hr-HR" w:eastAsia="hr-HR" w:bidi="hr-HR"/>
        </w:rPr>
        <w:t xml:space="preserve">Lit.: </w:t>
      </w:r>
      <w:r>
        <w:rPr>
          <w:i/>
          <w:iCs/>
          <w:color w:val="000000"/>
          <w:spacing w:val="0"/>
          <w:w w:val="100"/>
          <w:position w:val="0"/>
          <w:shd w:val="clear" w:color="auto" w:fill="auto"/>
          <w:lang w:val="hr-HR" w:eastAsia="hr-HR" w:bidi="hr-HR"/>
        </w:rPr>
        <w:t xml:space="preserve">Jiidisches </w:t>
      </w:r>
      <w:r>
        <w:rPr>
          <w:i/>
          <w:iCs/>
          <w:color w:val="000000"/>
          <w:spacing w:val="0"/>
          <w:w w:val="100"/>
          <w:position w:val="0"/>
          <w:shd w:val="clear" w:color="auto" w:fill="auto"/>
        </w:rPr>
        <w:t>Isjdkon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IV/2, 1927/82, 1577-1621; </w:t>
      </w:r>
      <w:r>
        <w:rPr>
          <w:i/>
          <w:iCs/>
          <w:color w:val="000000"/>
          <w:spacing w:val="0"/>
          <w:w w:val="100"/>
          <w:position w:val="0"/>
          <w:shd w:val="clear" w:color="auto" w:fill="auto"/>
        </w:rPr>
        <w:t>Encyclo</w:t>
        <w:softHyphen/>
        <w:t>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16, *1978, 1031-1162, </w:t>
      </w:r>
      <w:r>
        <w:rPr>
          <w:color w:val="000000"/>
          <w:spacing w:val="0"/>
          <w:w w:val="100"/>
          <w:position w:val="0"/>
          <w:shd w:val="clear" w:color="auto" w:fill="auto"/>
        </w:rPr>
        <w:t xml:space="preserve">W. Marquardt, </w:t>
      </w:r>
      <w:r>
        <w:rPr>
          <w:i/>
          <w:iCs/>
          <w:color w:val="000000"/>
          <w:spacing w:val="0"/>
          <w:w w:val="100"/>
          <w:position w:val="0"/>
          <w:shd w:val="clear" w:color="auto" w:fill="auto"/>
        </w:rPr>
        <w:t>Zion- ismus und Amizionismus,</w:t>
      </w:r>
      <w:r>
        <w:rPr>
          <w:color w:val="000000"/>
          <w:spacing w:val="0"/>
          <w:w w:val="100"/>
          <w:position w:val="0"/>
          <w:shd w:val="clear" w:color="auto" w:fill="auto"/>
        </w:rPr>
        <w:t xml:space="preserve"> u: </w:t>
      </w:r>
      <w:r>
        <w:rPr>
          <w:i/>
          <w:iCs/>
          <w:color w:val="000000"/>
          <w:spacing w:val="0"/>
          <w:w w:val="100"/>
          <w:position w:val="0"/>
          <w:shd w:val="clear" w:color="auto" w:fill="auto"/>
        </w:rPr>
        <w:t>Emuna</w:t>
      </w:r>
      <w:r>
        <w:rPr>
          <w:color w:val="000000"/>
          <w:spacing w:val="0"/>
          <w:w w:val="100"/>
          <w:position w:val="0"/>
          <w:shd w:val="clear" w:color="auto" w:fill="auto"/>
        </w:rPr>
        <w:t xml:space="preserve"> V/3, 1970, 171-76; W. v. Wcisl, Thcologic des Zionismus und Anitzionismus, u: </w:t>
      </w:r>
      <w:r>
        <w:rPr>
          <w:i/>
          <w:iCs/>
          <w:color w:val="000000"/>
          <w:spacing w:val="0"/>
          <w:w w:val="100"/>
          <w:position w:val="0"/>
          <w:shd w:val="clear" w:color="auto" w:fill="auto"/>
        </w:rPr>
        <w:t>Emuna</w:t>
      </w:r>
      <w:r>
        <w:rPr>
          <w:color w:val="000000"/>
          <w:spacing w:val="0"/>
          <w:w w:val="100"/>
          <w:position w:val="0"/>
          <w:shd w:val="clear" w:color="auto" w:fill="auto"/>
        </w:rPr>
        <w:t xml:space="preserve"> VIII/3, 1973, 164-81; R. Wcltsch,/1rt </w:t>
      </w:r>
      <w:r>
        <w:rPr>
          <w:i/>
          <w:iCs/>
          <w:color w:val="000000"/>
          <w:spacing w:val="0"/>
          <w:w w:val="100"/>
          <w:position w:val="0"/>
          <w:shd w:val="clear" w:color="auto" w:fill="auto"/>
        </w:rPr>
        <w:t>der Wende des modernen Judeniums,</w:t>
      </w:r>
      <w:r>
        <w:rPr>
          <w:color w:val="000000"/>
          <w:spacing w:val="0"/>
          <w:w w:val="100"/>
          <w:position w:val="0"/>
          <w:shd w:val="clear" w:color="auto" w:fill="auto"/>
        </w:rPr>
        <w:t xml:space="preserve"> 1972, 3-64.81-93.153-195; A. Bcin, Die Judcnfrage, 1980, I, 273-301; II, 267-98; K. Balz, </w:t>
      </w:r>
      <w:r>
        <w:rPr>
          <w:i/>
          <w:iCs/>
          <w:color w:val="000000"/>
          <w:spacing w:val="0"/>
          <w:w w:val="100"/>
          <w:position w:val="0"/>
          <w:shd w:val="clear" w:color="auto" w:fill="auto"/>
        </w:rPr>
        <w:t>Ju- denium,</w:t>
      </w:r>
      <w:r>
        <w:rPr>
          <w:color w:val="000000"/>
          <w:spacing w:val="0"/>
          <w:w w:val="100"/>
          <w:position w:val="0"/>
          <w:shd w:val="clear" w:color="auto" w:fill="auto"/>
        </w:rPr>
        <w:t xml:space="preserve"> 1984, 111-133; H. Mcicr-Croncmcycr, </w:t>
      </w:r>
      <w:r>
        <w:rPr>
          <w:i/>
          <w:iCs/>
          <w:color w:val="000000"/>
          <w:spacing w:val="0"/>
          <w:w w:val="100"/>
          <w:position w:val="0"/>
          <w:shd w:val="clear" w:color="auto" w:fill="auto"/>
        </w:rPr>
        <w:t>Kleine Geschichte des Zionismus. Von den Anfangen bis zum Jahr 1848 (Schriften des Deuisch-Israeiischen Arbeilskreises fur Erieden im Nahen Osten,</w:t>
      </w:r>
      <w:r>
        <w:rPr>
          <w:color w:val="000000"/>
          <w:spacing w:val="0"/>
          <w:w w:val="100"/>
          <w:position w:val="0"/>
          <w:shd w:val="clear" w:color="auto" w:fill="auto"/>
        </w:rPr>
        <w:t xml:space="preserve"> Bd. 2). 1980.</w:t>
        <w:tab/>
        <w:t>I). VE'l’I’ER</w:t>
      </w:r>
    </w:p>
    <w:p>
      <w:pPr>
        <w:pStyle w:val="Style63"/>
        <w:keepNext/>
        <w:keepLines/>
        <w:widowControl w:val="0"/>
        <w:numPr>
          <w:ilvl w:val="0"/>
          <w:numId w:val="55"/>
        </w:numPr>
        <w:shd w:val="clear" w:color="auto" w:fill="auto"/>
        <w:tabs>
          <w:tab w:pos="255" w:val="left"/>
        </w:tabs>
        <w:bidi w:val="0"/>
        <w:spacing w:before="0" w:line="223" w:lineRule="auto"/>
        <w:ind w:left="0" w:right="0" w:firstLine="0"/>
        <w:jc w:val="both"/>
      </w:pPr>
      <w:bookmarkStart w:id="53" w:name="bookmark53"/>
      <w:r>
        <w:rPr>
          <w:rFonts w:ascii="Times New Roman" w:eastAsia="Times New Roman" w:hAnsi="Times New Roman" w:cs="Times New Roman"/>
          <w:color w:val="000000"/>
          <w:spacing w:val="0"/>
          <w:w w:val="100"/>
          <w:position w:val="0"/>
          <w:shd w:val="clear" w:color="auto" w:fill="auto"/>
          <w:lang w:val="hr-HR" w:eastAsia="hr-HR" w:bidi="hr-HR"/>
        </w:rPr>
        <w:t>islamski</w:t>
      </w:r>
      <w:bookmarkEnd w:id="53"/>
    </w:p>
    <w:p>
      <w:pPr>
        <w:pStyle w:val="Style20"/>
        <w:keepNext w:val="0"/>
        <w:keepLines w:val="0"/>
        <w:widowControl w:val="0"/>
        <w:shd w:val="clear" w:color="auto" w:fill="auto"/>
        <w:bidi w:val="0"/>
        <w:spacing w:before="0" w:after="1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Svojim zahtjevima </w:t>
      </w:r>
      <w:r>
        <w:rPr>
          <w:rFonts w:ascii="Times New Roman" w:eastAsia="Times New Roman" w:hAnsi="Times New Roman" w:cs="Times New Roman"/>
          <w:color w:val="000000"/>
          <w:spacing w:val="0"/>
          <w:w w:val="100"/>
          <w:position w:val="0"/>
          <w:shd w:val="clear" w:color="auto" w:fill="auto"/>
          <w:lang w:val="en-US" w:eastAsia="en-US" w:bidi="en-US"/>
        </w:rPr>
        <w:t xml:space="preserve">c. </w:t>
      </w:r>
      <w:r>
        <w:rPr>
          <w:rFonts w:ascii="Times New Roman" w:eastAsia="Times New Roman" w:hAnsi="Times New Roman" w:cs="Times New Roman"/>
          <w:color w:val="000000"/>
          <w:spacing w:val="0"/>
          <w:w w:val="100"/>
          <w:position w:val="0"/>
          <w:shd w:val="clear" w:color="auto" w:fill="auto"/>
          <w:lang w:val="hr-HR" w:eastAsia="hr-HR" w:bidi="hr-HR"/>
        </w:rPr>
        <w:t>duboko zadire u domene osjećaja islamskoga svijeta. Muslimani sma</w:t>
        <w:softHyphen/>
        <w:t>traju Jeruzalem svetim gradom. U prva vre</w:t>
        <w:softHyphen/>
        <w:t>mena svoje povijesti oni su obavljali svoje dnevne obvezne molitve upirući pogled pre</w:t>
        <w:softHyphen/>
        <w:t>ma Jeruzalemu. Za vrijeme jednoga omejid- skoga kalifa, Jeruzalem je čak - kratko vri</w:t>
        <w:softHyphen/>
        <w:t>jeme - zamjenjivao Meku kao cilj godišnjega hodočašća pobožnika (hadž). Razmjerno do</w:t>
        <w:softHyphen/>
        <w:t>bar suživot između židovstva i islama u čita</w:t>
        <w:softHyphen/>
        <w:t>vom srednjem vijeku, činilo se, da opravdava nadu kako je taj odnos zajamčen za cjelokup</w:t>
        <w:softHyphen/>
        <w:t>nu budućnost. »Odnose islamske prema židov</w:t>
        <w:softHyphen/>
        <w:t>skoj povijesti« utvrdio je »Židovski leksikon« (Berlin 1929), ti su odnosi »jedno i pol tisuć</w:t>
        <w:softHyphen/>
        <w:t>ljeće od vremena Muhameda višestruko pro</w:t>
        <w:softHyphen/>
        <w:t>mjenjivi, no ipak je općenito međusobni od</w:t>
        <w:softHyphen/>
        <w:t>nos obje religije bio prijateljski... Gotovo za vrijeme cjelokupnoga španjolskog razdoblja islama Židovi uživaju veliku vjersku slobodu. Kada su se u XIV. i XV. stoljeću pojačali pro</w:t>
        <w:softHyphen/>
        <w:t>goni Židova, opet su islamski vladari bili ti koji su - državno-razborito i široka srca - otvo</w:t>
        <w:softHyphen/>
        <w:t>rili svoje zemlje izbjeglim Židovima«. Surova zbilja, koja se nakon Drugoga svjetskog rata uselila u Svetu zemlju, uništila je sve iluzije. C.</w:t>
      </w:r>
    </w:p>
    <w:p>
      <w:pPr>
        <w:pStyle w:val="Style20"/>
        <w:keepNext w:val="0"/>
        <w:keepLines w:val="0"/>
        <w:widowControl w:val="0"/>
        <w:shd w:val="clear" w:color="auto" w:fill="auto"/>
        <w:tabs>
          <w:tab w:pos="2568" w:val="left"/>
        </w:tabs>
        <w:bidi w:val="0"/>
        <w:spacing w:before="0" w:after="2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prema Arapima zauzeo neprijateljski stav. To se svakako vrlo tiče svih muslimana koji su odgojeni u duhu vjerske solidarnosti. »Rcis- lamiziranjc« sa svojim političkim izobrazbama dobrim je dijelom također reakcija na c. Iz njega ono na izvjesnim razinama crpi nadah</w:t>
        <w:softHyphen/>
        <w:t>nuće, oblik i metode.</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dalić</w:t>
      </w:r>
    </w:p>
    <w:p>
      <w:pPr>
        <w:pStyle w:val="Style33"/>
        <w:keepNext w:val="0"/>
        <w:keepLines w:val="0"/>
        <w:widowControl w:val="0"/>
        <w:shd w:val="clear" w:color="auto" w:fill="auto"/>
        <w:bidi w:val="0"/>
        <w:spacing w:before="0" w:after="160" w:line="22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CRKVA</w:t>
      </w:r>
    </w:p>
    <w:p>
      <w:pPr>
        <w:pStyle w:val="Style63"/>
        <w:keepNext/>
        <w:keepLines/>
        <w:widowControl w:val="0"/>
        <w:numPr>
          <w:ilvl w:val="0"/>
          <w:numId w:val="59"/>
        </w:numPr>
        <w:shd w:val="clear" w:color="auto" w:fill="auto"/>
        <w:tabs>
          <w:tab w:pos="250" w:val="left"/>
        </w:tabs>
        <w:bidi w:val="0"/>
        <w:spacing w:before="0" w:after="80" w:line="228" w:lineRule="auto"/>
        <w:ind w:left="0" w:right="0" w:firstLine="0"/>
        <w:jc w:val="both"/>
      </w:pPr>
      <w:bookmarkStart w:id="54" w:name="bookmark5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54"/>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c. izvodi se iz grčkoga </w:t>
      </w:r>
      <w:r>
        <w:rPr>
          <w:rFonts w:ascii="Times New Roman" w:eastAsia="Times New Roman" w:hAnsi="Times New Roman" w:cs="Times New Roman"/>
          <w:color w:val="000000"/>
          <w:spacing w:val="0"/>
          <w:w w:val="100"/>
          <w:position w:val="0"/>
          <w:shd w:val="clear" w:color="auto" w:fill="auto"/>
          <w:lang w:val="en-US" w:eastAsia="en-US" w:bidi="en-US"/>
        </w:rPr>
        <w:t xml:space="preserve">kyriake, </w:t>
      </w:r>
      <w:r>
        <w:rPr>
          <w:rFonts w:ascii="Times New Roman" w:eastAsia="Times New Roman" w:hAnsi="Times New Roman" w:cs="Times New Roman"/>
          <w:color w:val="000000"/>
          <w:spacing w:val="0"/>
          <w:w w:val="100"/>
          <w:position w:val="0"/>
          <w:shd w:val="clear" w:color="auto" w:fill="auto"/>
          <w:lang w:val="hr-HR" w:eastAsia="hr-HR" w:bidi="hr-HR"/>
        </w:rPr>
        <w:t>tj. »koji pripada Gospodinu«, pri čemu treba upotpu</w:t>
        <w:softHyphen/>
        <w:t>niti s oikia (kuća); c., prema tomu, znači »ku</w:t>
        <w:softHyphen/>
        <w:t>ću koja pripada Gospodinu«, »Gospodinovu kuću«. Prvi Isusovi svjedoci, mlada zajednica onih koji u njega vjeruju, držali su se za »iz</w:t>
        <w:softHyphen/>
        <w:t>abrane«, »svete«. Polagali su za sebe pravo na onaj naslov kojim se označavao starozavjetni narod: »kehal Jahve«, »Božja zajednica« spa</w:t>
        <w:softHyphen/>
        <w:t>šavanjem na Crvenome moru i sklapanjem Saveza zahvaljivala je svoju nacionalnu i reli</w:t>
        <w:softHyphen/>
        <w:t>gijsku egzistenciju Jahvi i njegovu djelovanju i gledala je na sebe kao na Božje stvorenje i vlasništvo. Novo zajedništvo prenijevši na se</w:t>
        <w:softHyphen/>
        <w:t>be taj naslov »kehal Jahve«, grčki »ekklesia tou theou« (Božja zajednica) izražavalo je svo</w:t>
        <w:softHyphen/>
        <w:t>je samorazumijevanje kao pravi, istinski i ko</w:t>
        <w:softHyphen/>
        <w:t>načni Božji narod, stečen Isusovom krvlju.</w:t>
      </w:r>
    </w:p>
    <w:p>
      <w:pPr>
        <w:pStyle w:val="Style20"/>
        <w:keepNext w:val="0"/>
        <w:keepLines w:val="0"/>
        <w:widowControl w:val="0"/>
        <w:shd w:val="clear" w:color="auto" w:fill="auto"/>
        <w:bidi w:val="0"/>
        <w:spacing w:before="0" w:after="0" w:line="257" w:lineRule="auto"/>
        <w:ind w:left="0" w:right="0" w:firstLine="0"/>
        <w:jc w:val="both"/>
        <w:sectPr>
          <w:headerReference w:type="default" r:id="rId241"/>
          <w:footerReference w:type="default" r:id="rId242"/>
          <w:headerReference w:type="even" r:id="rId243"/>
          <w:footerReference w:type="even" r:id="rId244"/>
          <w:headerReference w:type="first" r:id="rId245"/>
          <w:footerReference w:type="first" r:id="rId246"/>
          <w:footnotePr>
            <w:pos w:val="pageBottom"/>
            <w:numFmt w:val="decimal"/>
            <w:numStart w:val="5"/>
            <w:numRestart w:val="continuous"/>
            <w15:footnoteColumns w:val="1"/>
          </w:footnotePr>
          <w:pgSz w:w="6816" w:h="11006"/>
          <w:pgMar w:top="954" w:left="178" w:right="182" w:bottom="525" w:header="0" w:footer="3" w:gutter="0"/>
          <w:pgNumType w:start="89"/>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Različite slike koje su u SZ bile najprije iska</w:t>
        <w:softHyphen/>
        <w:t>zane o izraelskom narodu kao Božjem naro</w:t>
        <w:softHyphen/>
        <w:t>du, novozavjetni pisci prenijeli su na novo za</w:t>
        <w:softHyphen/>
        <w:t>jedništvo, Crkvu. NZ poznaje mnoštvo sliko</w:t>
        <w:softHyphen/>
        <w:t xml:space="preserve">vitih pojmova da iskaže bit Crkve od kojih spomenimo ovdje neke: Jedna od temeljnih biblijskih slika za Crkvu je </w:t>
      </w:r>
      <w:r>
        <w:rPr>
          <w:rFonts w:ascii="Times New Roman" w:eastAsia="Times New Roman" w:hAnsi="Times New Roman" w:cs="Times New Roman"/>
          <w:i/>
          <w:iCs/>
          <w:color w:val="000000"/>
          <w:spacing w:val="0"/>
          <w:w w:val="100"/>
          <w:position w:val="0"/>
          <w:shd w:val="clear" w:color="auto" w:fill="auto"/>
          <w:lang w:val="hr-HR" w:eastAsia="hr-HR" w:bidi="hr-HR"/>
        </w:rPr>
        <w:t>Božji narod</w:t>
      </w:r>
      <w:r>
        <w:rPr>
          <w:rFonts w:ascii="Times New Roman" w:eastAsia="Times New Roman" w:hAnsi="Times New Roman" w:cs="Times New Roman"/>
          <w:color w:val="000000"/>
          <w:spacing w:val="0"/>
          <w:w w:val="100"/>
          <w:position w:val="0"/>
          <w:shd w:val="clear" w:color="auto" w:fill="auto"/>
          <w:lang w:val="hr-HR" w:eastAsia="hr-HR" w:bidi="hr-HR"/>
        </w:rPr>
        <w:t xml:space="preserve"> (usp. Pt 2,9-10). U skladu s putovanjem izraelskoga naroda kroz pustinju, C. se također javlja kao Božji narod na putu (Hcb 4, 9). Daljnja neo</w:t>
        <w:softHyphen/>
        <w:t xml:space="preserve">sporna metafora za Crkvu je njezina oznaka kao </w:t>
      </w:r>
      <w:r>
        <w:rPr>
          <w:rFonts w:ascii="Times New Roman" w:eastAsia="Times New Roman" w:hAnsi="Times New Roman" w:cs="Times New Roman"/>
          <w:i/>
          <w:iCs/>
          <w:color w:val="000000"/>
          <w:spacing w:val="0"/>
          <w:w w:val="100"/>
          <w:position w:val="0"/>
          <w:shd w:val="clear" w:color="auto" w:fill="auto"/>
          <w:lang w:val="hr-HR" w:eastAsia="hr-HR" w:bidi="hr-HR"/>
        </w:rPr>
        <w:t>Tijelo Kristovo.</w:t>
      </w:r>
      <w:r>
        <w:rPr>
          <w:rFonts w:ascii="Times New Roman" w:eastAsia="Times New Roman" w:hAnsi="Times New Roman" w:cs="Times New Roman"/>
          <w:color w:val="000000"/>
          <w:spacing w:val="0"/>
          <w:w w:val="100"/>
          <w:position w:val="0"/>
          <w:shd w:val="clear" w:color="auto" w:fill="auto"/>
          <w:lang w:val="hr-HR" w:eastAsia="hr-HR" w:bidi="hr-HR"/>
        </w:rPr>
        <w:t xml:space="preserve"> Da bi predočio međusob</w:t>
        <w:softHyphen/>
        <w:t>no jedinstvo članova zajednice i njihovu uza</w:t>
        <w:softHyphen/>
        <w:t>jamnu upućenost kao i njihovo jedinstvo s Kristom, Pavao poseže za slikom Crkve kao Tijela Kristova (usp. 1 Kor 12,12—27). Među</w:t>
        <w:softHyphen/>
        <w:t>sobno jedinstvo članova zajednice pokazuje se u njihovoj ravnopravnosti i jednakoj vrijed</w:t>
        <w:softHyphen/>
        <w:t>nosti: Svaki član zajednice ima u izgradnji za</w:t>
        <w:softHyphen/>
        <w:t>jednice svoje mjesto koje mu je Bog nami</w:t>
        <w:softHyphen/>
        <w:t xml:space="preserve">jenio, na kojem treba, prema sposobnostima i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darovima koji su mu dani, pridonositi dobru cjeline (usp. Rim 12,4-8; 1 Kor 12,28-30).</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Nismo pripadnici Crkve jednostavno rođenjem - kršćanin se ne postaje rođenjem - nego smo primljeni </w:t>
      </w:r>
      <w:r>
        <w:rPr>
          <w:rFonts w:ascii="Times New Roman" w:eastAsia="Times New Roman" w:hAnsi="Times New Roman" w:cs="Times New Roman"/>
          <w:i/>
          <w:iCs/>
          <w:color w:val="000000"/>
          <w:spacing w:val="0"/>
          <w:w w:val="100"/>
          <w:position w:val="0"/>
          <w:shd w:val="clear" w:color="auto" w:fill="auto"/>
          <w:lang w:val="hr-HR" w:eastAsia="hr-HR" w:bidi="hr-HR"/>
        </w:rPr>
        <w:t>krštenjem</w:t>
      </w:r>
      <w:r>
        <w:rPr>
          <w:rFonts w:ascii="Times New Roman" w:eastAsia="Times New Roman" w:hAnsi="Times New Roman" w:cs="Times New Roman"/>
          <w:color w:val="000000"/>
          <w:spacing w:val="0"/>
          <w:w w:val="100"/>
          <w:position w:val="0"/>
          <w:shd w:val="clear" w:color="auto" w:fill="auto"/>
          <w:lang w:val="hr-HR" w:eastAsia="hr-HR" w:bidi="hr-HR"/>
        </w:rPr>
        <w:t xml:space="preserve"> koje nadvisuje svaku raz</w:t>
        <w:softHyphen/>
        <w:t>liku s obzirom na ugled osobe, njezino pod</w:t>
        <w:softHyphen/>
        <w:t>rijetlo i razvoj, razbija granice ideoloških i po</w:t>
        <w:softHyphen/>
        <w:t>litičkih sustava i stvara radikalnu jednakost svih ljudi (usp. Gal 3,27-28; 1 Kor 12,13; Ef 4,4-6; Kol 3,11). Tko se dade krstiti, stupa time u za</w:t>
        <w:softHyphen/>
        <w:t xml:space="preserve">jednicu onih koji vjeruju u Krista, postaje član te zajednice, član Tijela Kristova, Crkve. To jedinstvo s Kristom kao i međusobno postaje vidljivo sudjelovanjem u »Tijelu Kristovu«, slavljenjem zajedničke </w:t>
      </w:r>
      <w:r>
        <w:rPr>
          <w:rFonts w:ascii="Times New Roman" w:eastAsia="Times New Roman" w:hAnsi="Times New Roman" w:cs="Times New Roman"/>
          <w:i/>
          <w:iCs/>
          <w:color w:val="000000"/>
          <w:spacing w:val="0"/>
          <w:w w:val="100"/>
          <w:position w:val="0"/>
          <w:shd w:val="clear" w:color="auto" w:fill="auto"/>
          <w:lang w:val="hr-HR" w:eastAsia="hr-HR" w:bidi="hr-HR"/>
        </w:rPr>
        <w:t>gozbe</w:t>
      </w:r>
      <w:r>
        <w:rPr>
          <w:rFonts w:ascii="Times New Roman" w:eastAsia="Times New Roman" w:hAnsi="Times New Roman" w:cs="Times New Roman"/>
          <w:color w:val="000000"/>
          <w:spacing w:val="0"/>
          <w:w w:val="100"/>
          <w:position w:val="0"/>
          <w:shd w:val="clear" w:color="auto" w:fill="auto"/>
          <w:lang w:val="hr-HR" w:eastAsia="hr-HR" w:bidi="hr-HR"/>
        </w:rPr>
        <w:t xml:space="preserve"> kao sjećanjem na Posljednju večeru koju je Isus slavio sa svojim učenicima prije svoje smrti (usp. 1 Kor 11,23-25; Mk 14,22-25; Mt 26,26-29; l.k 22, 15-20).Ta večera koju kršćani uvijek iznova dozivaju u sjećanje nisu karmine nego na te</w:t>
        <w:softHyphen/>
        <w:t>melju Isusova uskrsnuća (1 Kor 15) uvijek večera radosti i zahvalnosti (usp. Dj 2,46), a to je zahvalnost za Isusovo predanjc, za njegov život i smrt za ljude. Zahvalnost za njegovu povezanost s nama je ipak »kruh koji lomimo ... zajedništvo s Tijelom Kristovim« (1 Kor 10,16 b), zahvalnost za darovanu nadu u nje</w:t>
        <w:softHyphen/>
        <w:t>gov dolazak u slavi (usp. Mk 14,25; Mt 26,29; Lk 22,18). iskazivanje zahvalnosti znači grčki eucharistia. Stoga se ta večera zahvalnosti na</w:t>
        <w:softHyphen/>
        <w:t>ziva »euharistijom«. Euharistijska gozba je sre</w:t>
        <w:softHyphen/>
        <w:t>dište svake kršćanske zajednice, srce Crkve, »kruh« od kojega kršćanin živi.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Daljnja je slika za Crkvu njezina oznaka kao </w:t>
      </w:r>
      <w:r>
        <w:rPr>
          <w:rFonts w:ascii="Times New Roman" w:eastAsia="Times New Roman" w:hAnsi="Times New Roman" w:cs="Times New Roman"/>
          <w:i/>
          <w:iCs/>
          <w:color w:val="000000"/>
          <w:spacing w:val="0"/>
          <w:w w:val="100"/>
          <w:position w:val="0"/>
          <w:shd w:val="clear" w:color="auto" w:fill="auto"/>
          <w:lang w:val="hr-HR" w:eastAsia="hr-HR" w:bidi="hr-HR"/>
        </w:rPr>
        <w:t>Kristove zaručnice.</w:t>
      </w:r>
      <w:r>
        <w:rPr>
          <w:rFonts w:ascii="Times New Roman" w:eastAsia="Times New Roman" w:hAnsi="Times New Roman" w:cs="Times New Roman"/>
          <w:color w:val="000000"/>
          <w:spacing w:val="0"/>
          <w:w w:val="100"/>
          <w:position w:val="0"/>
          <w:shd w:val="clear" w:color="auto" w:fill="auto"/>
          <w:lang w:val="hr-HR" w:eastAsia="hr-HR" w:bidi="hr-HR"/>
        </w:rPr>
        <w:t xml:space="preserve"> Uzimajući starozavjetnu sliku ljubavi između muža i žene, Pavao pred</w:t>
        <w:softHyphen/>
        <w:t>stavlja zajednicu vjernika kao »Kristovu za</w:t>
        <w:softHyphen/>
        <w:t xml:space="preserve">ručnicu« (2 Kor 11,2; Ef 5,22-23). Kao što prema Post 2,24 muž i žena u bračnoj ljubavi postaju »jedno tijelo« lako su Krist i onaj koji u njega vjeruje združeni u jedno (1 Kor 6,17). Nadalje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 xml:space="preserve">C. karakterizira kao </w:t>
      </w:r>
      <w:r>
        <w:rPr>
          <w:rFonts w:ascii="Times New Roman" w:eastAsia="Times New Roman" w:hAnsi="Times New Roman" w:cs="Times New Roman"/>
          <w:i/>
          <w:iCs/>
          <w:color w:val="000000"/>
          <w:spacing w:val="0"/>
          <w:w w:val="100"/>
          <w:position w:val="0"/>
          <w:shd w:val="clear" w:color="auto" w:fill="auto"/>
          <w:lang w:val="hr-HR" w:eastAsia="hr-HR" w:bidi="hr-HR"/>
        </w:rPr>
        <w:t>Božji hram: »... jer je</w:t>
      </w:r>
      <w:r>
        <w:rPr>
          <w:rFonts w:ascii="Times New Roman" w:eastAsia="Times New Roman" w:hAnsi="Times New Roman" w:cs="Times New Roman"/>
          <w:color w:val="000000"/>
          <w:spacing w:val="0"/>
          <w:w w:val="100"/>
          <w:position w:val="0"/>
          <w:shd w:val="clear" w:color="auto" w:fill="auto"/>
          <w:lang w:val="hr-HR" w:eastAsia="hr-HR" w:bidi="hr-HR"/>
        </w:rPr>
        <w:t xml:space="preserve"> svet hram Božji, a taj ste vi«, piše Pavao zajednici u Korintu (1 Kor 3,17b). Ka</w:t>
        <w:softHyphen/>
        <w:t>men temeljac je Krist i na tom kamenu vrijedi dalje graditi (usp. 1 Kor 3,11). Bog više ne gradi sebi hram iz mrtvoga kamenja, nego gradi svoj hram iz živoga kamenja; »Dopustite da se od vas samih kao živoga kamenja sa</w:t>
        <w:softHyphen/>
        <w:t>gradi duhovna kuća« (1 Pt 2,5).</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Polazeći od starozavjetne slike pastira i nje</w:t>
        <w:softHyphen/>
        <w:t xml:space="preserve">gova stada, u NZ se C. javlja i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Kristovo </w:t>
      </w:r>
      <w:r>
        <w:rPr>
          <w:rFonts w:ascii="Times New Roman" w:eastAsia="Times New Roman" w:hAnsi="Times New Roman" w:cs="Times New Roman"/>
          <w:i/>
          <w:iCs/>
          <w:color w:val="000000"/>
          <w:spacing w:val="0"/>
          <w:w w:val="100"/>
          <w:position w:val="0"/>
          <w:shd w:val="clear" w:color="auto" w:fill="auto"/>
          <w:lang w:val="hr-HR" w:eastAsia="hr-HR" w:bidi="hr-HR"/>
        </w:rPr>
        <w:t>stado</w:t>
      </w:r>
      <w:r>
        <w:rPr>
          <w:rFonts w:ascii="Times New Roman" w:eastAsia="Times New Roman" w:hAnsi="Times New Roman" w:cs="Times New Roman"/>
          <w:color w:val="000000"/>
          <w:spacing w:val="0"/>
          <w:w w:val="100"/>
          <w:position w:val="0"/>
          <w:shd w:val="clear" w:color="auto" w:fill="auto"/>
          <w:lang w:val="hr-HR" w:eastAsia="hr-HR" w:bidi="hr-HR"/>
        </w:rPr>
        <w:t xml:space="preserve"> čiji je dobar pastir sam Krist (usp. Iv 10,14-15); kao što on kao dobri pastir skrbi o svome stadu, za njega se brine i jamči, tako se trebaju i oni koji su ovlašteni za vođenje za</w:t>
        <w:softHyphen/>
        <w:t>jednice dokazati kao vjerni i brižni pastiri (usp. Iv 21,15 i d.; Dj 20,28; Ef 4,11). Ta pa</w:t>
        <w:softHyphen/>
        <w:t>stirska zadaća obvezuje u prvom redu apos</w:t>
        <w:softHyphen/>
        <w:t>tole (tj. poslanike) kao one koje je Krist na to pozvao i opunomoćio. Pavao nam stavlja pred oči to temeljno značenje apostola za Crkvu kada piše: »Pavao - apostol, ne od ljudi, niti po kojem čovjeku, već po Isusu Kristu« (Gal 1,1). Naviještanje Isusove poruke, evanđelja, njegova je prva zadaća i dužnost (usp. 1 Kor 1, 17). Sto on naviješta, nije njegovo vlastito uče</w:t>
        <w:softHyphen/>
        <w:t>nje niti učenje nekog čovjeka nego objava Is</w:t>
        <w:softHyphen/>
        <w:t>usa Krista (Gal 1,11-12). Tako je apostol po</w:t>
        <w:softHyphen/>
        <w:t>zvan da bude »službenik Isusa Krista« (Rim 15,16), vezan zahtjevom da se njegova riječ prihvati kao Božja riječ (usp. 2 Kor 5,20; 1 Sol 2,13). Naviještajući evanđelje i tako privodeći vjeri u Isusa Krista, apostol je opunomoćen voditi zajedništvo vjernika koje je tako nasta</w:t>
        <w:softHyphen/>
        <w:t>lo, davati upute za život zajednice, naređivati i izgladivati spor da bi služio zajednici. Svje</w:t>
        <w:softHyphen/>
        <w:t>dočenje i služba prvih javnih svjedoka Kris</w:t>
        <w:softHyphen/>
        <w:t>tove poruke, koje je on pozvao i opunomoćio, trajni su stupovi Crkve.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ipak, nisu samo apostoli unutar kršćanske zajednice. Osnovni je dar koji Bog daje svom narodu poziv na zajedničko svećeništvo, na ono »kraljevsko svećeništvo« o kojem je riječ u 1 Pt 2,9. Tim su pozivom svi kršćani ospo</w:t>
        <w:softHyphen/>
        <w:t xml:space="preserve">sobljeni i potaknuti za službu u crkvi. Oni se trebaju prinositi kao živa, sveta, Bogu ugodna žrtva (Rim 12,1). Pavao navodi cijelu paletu darova, —&gt; </w:t>
      </w:r>
      <w:r>
        <w:rPr>
          <w:rFonts w:ascii="Times New Roman" w:eastAsia="Times New Roman" w:hAnsi="Times New Roman" w:cs="Times New Roman"/>
          <w:i/>
          <w:iCs/>
          <w:color w:val="000000"/>
          <w:spacing w:val="0"/>
          <w:w w:val="100"/>
          <w:position w:val="0"/>
          <w:shd w:val="clear" w:color="auto" w:fill="auto"/>
          <w:lang w:val="hr-HR" w:eastAsia="hr-HR" w:bidi="hr-HR"/>
        </w:rPr>
        <w:t>karizmi</w:t>
      </w:r>
      <w:r>
        <w:rPr>
          <w:rFonts w:ascii="Times New Roman" w:eastAsia="Times New Roman" w:hAnsi="Times New Roman" w:cs="Times New Roman"/>
          <w:color w:val="000000"/>
          <w:spacing w:val="0"/>
          <w:w w:val="100"/>
          <w:position w:val="0"/>
          <w:shd w:val="clear" w:color="auto" w:fill="auto"/>
          <w:lang w:val="hr-HR" w:eastAsia="hr-HR" w:bidi="hr-HR"/>
        </w:rPr>
        <w:t xml:space="preserve"> koje priopćava Duh Sveti: »Svakomu se daje objava Duha na opću ko</w:t>
        <w:softHyphen/>
        <w:t>rist. Jednomu se po Duhu daje mudrost, dru</w:t>
        <w:softHyphen/>
        <w:t>gomu znanje - po istom Duhu; jednomu se daje vjera u istom Duhu, drugomu dar ozdrav- ljanja u ovom jedinom Duhu; jednomu moć čudesa, drugomu dar proricanja; jednomu sposobnost razlikovanja duhova, drugomu raz</w:t>
        <w:softHyphen/>
        <w:t>ličiti jezici a trećemu dar tumačenja jezika. A sve to čini jedan te isti Duh koji to razdjeljuje kako hoće« (1 Kor 12,7-11). Tako u Crkvi mnogi zajedno djeluju na svoj vlastiti način u službi evanđelja Isusa Krista.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tih najprije više spontanih karizmi nastale su tijekom vremena prema svjedočenju NZ trajne službe: uz (dvanaest) od Isusa izabra-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nih apostola imenovani su takozvani starje</w:t>
        <w:softHyphen/>
        <w:t xml:space="preserve">šine (grč. </w:t>
      </w:r>
      <w:r>
        <w:rPr>
          <w:rFonts w:ascii="Times New Roman" w:eastAsia="Times New Roman" w:hAnsi="Times New Roman" w:cs="Times New Roman"/>
          <w:color w:val="000000"/>
          <w:spacing w:val="0"/>
          <w:w w:val="100"/>
          <w:position w:val="0"/>
          <w:shd w:val="clear" w:color="auto" w:fill="auto"/>
          <w:lang w:val="en-US" w:eastAsia="en-US" w:bidi="en-US"/>
        </w:rPr>
        <w:t xml:space="preserve">presbyteroi) </w:t>
      </w:r>
      <w:r>
        <w:rPr>
          <w:rFonts w:ascii="Times New Roman" w:eastAsia="Times New Roman" w:hAnsi="Times New Roman" w:cs="Times New Roman"/>
          <w:color w:val="000000"/>
          <w:spacing w:val="0"/>
          <w:w w:val="100"/>
          <w:position w:val="0"/>
          <w:shd w:val="clear" w:color="auto" w:fill="auto"/>
          <w:lang w:val="hr-HR" w:eastAsia="hr-HR" w:bidi="hr-HR"/>
        </w:rPr>
        <w:t>ili nadglednici (grč. epi- skopoi) kao voditelji i predstojnici pojedinih zajednica (usp. između ostaloga Dj 20,17-36); uz njih su kao pomoćnici stajali đakoni (grč. diakonoi) (Fil 1,1; 1 Tim 3, 8 i d.). Iz ovih pret</w:t>
        <w:softHyphen/>
        <w:t>hodnih tradicija razvila se u budućnosti služba biskupa, svećenika i đakona. Pozvani od Kris</w:t>
        <w:softHyphen/>
        <w:t>ta bili su postavljeni i postavljaju se za svoju službu u Crkvi (usp. 1 Tim 3,1 i d.; 5, 22). Bis</w:t>
        <w:softHyphen/>
        <w:t>kupi su pastiri svoje Crkve pred kojom stoje. Od svoga ranog širenja po Rimskom Carstvu Crkva je raščlanjena u mjesne crkve. Ove mjes</w:t>
        <w:softHyphen/>
        <w:t>ne crkve (dijeceza/biskupija/zemaljska c.) vo</w:t>
        <w:softHyphen/>
        <w:t>de biskupi. Biskupija ili zemaljska c. obuhvaća mnoge pojedinačne zajednice pred kojima stoji odgovorni dušobrižnik kao župnik. Za</w:t>
        <w:softHyphen/>
        <w:t>jedno s ostalim suradnicima on se brine za po</w:t>
        <w:softHyphen/>
        <w:t>slove zajednice (naviještanjc evanđelja, dije</w:t>
        <w:softHyphen/>
        <w:t>ljenje sakramenata, socijalne službe). Na vrhu sveukupne Crkve stoji po rimokatoličkom shvaćanju rimski biskup papa. On je najviši pastir čitave Crkve i njezin vidljivi poglavar. On utjelovljuje jedinstvo svjetske Crkve. Nje</w:t>
        <w:softHyphen/>
        <w:t>gova služba izvodi se, prema tom shvaćanju, od posebne pastirske zadaće koja je, prema Matejevu evanđelju, po Isusu namijenjena i predana Šimunu Petru (usp. Mt 16,13-19).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Četiri svojstva obilježavaju Crkvu: ona je je</w:t>
        <w:softHyphen/>
        <w:t xml:space="preserve">dinstvena, sveta, katolička i apostolska. </w:t>
      </w:r>
      <w:r>
        <w:rPr>
          <w:rFonts w:ascii="Times New Roman" w:eastAsia="Times New Roman" w:hAnsi="Times New Roman" w:cs="Times New Roman"/>
          <w:i/>
          <w:iCs/>
          <w:color w:val="000000"/>
          <w:spacing w:val="0"/>
          <w:w w:val="100"/>
          <w:position w:val="0"/>
          <w:shd w:val="clear" w:color="auto" w:fill="auto"/>
          <w:lang w:val="hr-HR" w:eastAsia="hr-HR" w:bidi="hr-HR"/>
        </w:rPr>
        <w:t>Jedin</w:t>
        <w:softHyphen/>
        <w:t>stvena</w:t>
      </w:r>
      <w:r>
        <w:rPr>
          <w:rFonts w:ascii="Times New Roman" w:eastAsia="Times New Roman" w:hAnsi="Times New Roman" w:cs="Times New Roman"/>
          <w:color w:val="000000"/>
          <w:spacing w:val="0"/>
          <w:w w:val="100"/>
          <w:position w:val="0"/>
          <w:shd w:val="clear" w:color="auto" w:fill="auto"/>
          <w:lang w:val="hr-HR" w:eastAsia="hr-HR" w:bidi="hr-HR"/>
        </w:rPr>
        <w:t xml:space="preserve"> se zove zato jer je Krist vodi s pozvanim nasljednicima apostola i tako ujedinjuje i drži zajedno u vjeri. No, kako je jedinstvo Crkve tijekom stoljeća raskinuto ljudskim zatajenjem, svi se kršćani trebaju sjećati isprva željenog jedinstva i moliti Boga za taj dar (-&gt; ckume- na/ekumenizam). C. je </w:t>
      </w:r>
      <w:r>
        <w:rPr>
          <w:rFonts w:ascii="Times New Roman" w:eastAsia="Times New Roman" w:hAnsi="Times New Roman" w:cs="Times New Roman"/>
          <w:i/>
          <w:iCs/>
          <w:color w:val="000000"/>
          <w:spacing w:val="0"/>
          <w:w w:val="100"/>
          <w:position w:val="0"/>
          <w:shd w:val="clear" w:color="auto" w:fill="auto"/>
          <w:lang w:val="hr-HR" w:eastAsia="hr-HR" w:bidi="hr-HR"/>
        </w:rPr>
        <w:t>sveta,</w:t>
      </w:r>
      <w:r>
        <w:rPr>
          <w:rFonts w:ascii="Times New Roman" w:eastAsia="Times New Roman" w:hAnsi="Times New Roman" w:cs="Times New Roman"/>
          <w:color w:val="000000"/>
          <w:spacing w:val="0"/>
          <w:w w:val="100"/>
          <w:position w:val="0"/>
          <w:shd w:val="clear" w:color="auto" w:fill="auto"/>
          <w:lang w:val="hr-HR" w:eastAsia="hr-HR" w:bidi="hr-HR"/>
        </w:rPr>
        <w:t xml:space="preserve"> jer joj je Krist svojim Duhom blizu i jer je s njom povezan sakramentima i na taj je način poziva na sve</w:t>
        <w:softHyphen/>
        <w:t>tost, tj. na gledanje Boga u vječnosti. Kada je Pavao pisao poslanice svojim zajednicama, ni</w:t>
        <w:softHyphen/>
        <w:t>je još bio uobičajen naziv »kršćani« za one koji su se priključili vjeri u Isusa Krista. Na te</w:t>
        <w:softHyphen/>
        <w:t>melju svog shvaćanja kršćana kao »svetih«, tj. kao od Boga pozvanih i izabranih, Pavao je pi</w:t>
        <w:softHyphen/>
        <w:t>sao »svetima« u Korintu, Filipima itd., jer bio je svjestan slabosti i grešnosti »svetih« kojima je pisao, kada ih je oštro opominjao da vode besprijekoran život. Na toj pozadini treba svoj</w:t>
        <w:softHyphen/>
        <w:t>stvo svetosti naloženo Crkvi razumijevati u prvom redu kao zadaću da sukladno svom po</w:t>
        <w:softHyphen/>
        <w:t>zivu teži za svetošću. Za to je neprestano po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trebno obraćenje, obnova i pokajanje. C. je obilježena </w:t>
      </w:r>
      <w:r>
        <w:rPr>
          <w:rFonts w:ascii="Times New Roman" w:eastAsia="Times New Roman" w:hAnsi="Times New Roman" w:cs="Times New Roman"/>
          <w:i/>
          <w:iCs/>
          <w:color w:val="000000"/>
          <w:spacing w:val="0"/>
          <w:w w:val="100"/>
          <w:position w:val="0"/>
          <w:shd w:val="clear" w:color="auto" w:fill="auto"/>
          <w:lang w:val="hr-HR" w:eastAsia="hr-HR" w:bidi="hr-HR"/>
        </w:rPr>
        <w:t>kao katolička</w:t>
      </w:r>
      <w:r>
        <w:rPr>
          <w:rFonts w:ascii="Times New Roman" w:eastAsia="Times New Roman" w:hAnsi="Times New Roman" w:cs="Times New Roman"/>
          <w:color w:val="000000"/>
          <w:spacing w:val="0"/>
          <w:w w:val="100"/>
          <w:position w:val="0"/>
          <w:shd w:val="clear" w:color="auto" w:fill="auto"/>
          <w:lang w:val="hr-HR" w:eastAsia="hr-HR" w:bidi="hr-HR"/>
        </w:rPr>
        <w:t xml:space="preserve"> tj. sveobuhvatna, uni</w:t>
        <w:softHyphen/>
        <w:t xml:space="preserve">verzalna, jer prema svjedočanstvu NZ nije ograničena na određene regije, narode itd. nego je diljem svijeta, tj. otvorena je za sve koji se hoće priključiti vjeri u Isusa Krista. C. se zove </w:t>
      </w:r>
      <w:r>
        <w:rPr>
          <w:rFonts w:ascii="Times New Roman" w:eastAsia="Times New Roman" w:hAnsi="Times New Roman" w:cs="Times New Roman"/>
          <w:i/>
          <w:iCs/>
          <w:color w:val="000000"/>
          <w:spacing w:val="0"/>
          <w:w w:val="100"/>
          <w:position w:val="0"/>
          <w:shd w:val="clear" w:color="auto" w:fill="auto"/>
          <w:lang w:val="hr-HR" w:eastAsia="hr-HR" w:bidi="hr-HR"/>
        </w:rPr>
        <w:t>apostolska</w:t>
      </w:r>
      <w:r>
        <w:rPr>
          <w:rFonts w:ascii="Times New Roman" w:eastAsia="Times New Roman" w:hAnsi="Times New Roman" w:cs="Times New Roman"/>
          <w:color w:val="000000"/>
          <w:spacing w:val="0"/>
          <w:w w:val="100"/>
          <w:position w:val="0"/>
          <w:shd w:val="clear" w:color="auto" w:fill="auto"/>
          <w:lang w:val="hr-HR" w:eastAsia="hr-HR" w:bidi="hr-HR"/>
        </w:rPr>
        <w:t xml:space="preserve"> jer se u vjernosti svom iz</w:t>
        <w:softHyphen/>
        <w:t>voru drži i treba držati vjerovanja apostola. Kao jamci za to stoje biskupi, nasljednici apo</w:t>
        <w:softHyphen/>
        <w:t>stola i pastira Crkve.</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Riječ c. označava zajedništvo onih koji se u priključku na starozavjetno shvaća</w:t>
        <w:softHyphen/>
        <w:t>nje Božjeg naroda svojim raspoznavajućim vjerovanjem u Isusa Krista shvaćaju kao novi, istinski i konačni Božji narod. Pripadajući Crkvi krštenjem i euharistijom njezini se čla</w:t>
        <w:softHyphen/>
        <w:t>novi shvaćaju kao pristaše i navjestitelji Kris</w:t>
        <w:softHyphen/>
        <w:t>tove poruke. Vodstvo kršćanske zajednice leži u rukama župnika; biskup kao nasljednik apo</w:t>
        <w:softHyphen/>
        <w:t>stola odgovoran je za biskupiju/ svoju zemalj</w:t>
        <w:softHyphen/>
        <w:t>sku Crkvu, a papa, prema rimokatoličkom shva</w:t>
        <w:softHyphen/>
        <w:t>ćanju, za sveukupnu svjetsku Crkvu.</w:t>
      </w:r>
    </w:p>
    <w:p>
      <w:pPr>
        <w:pStyle w:val="Style56"/>
        <w:keepNext w:val="0"/>
        <w:keepLines w:val="0"/>
        <w:widowControl w:val="0"/>
        <w:shd w:val="clear" w:color="auto" w:fill="auto"/>
        <w:tabs>
          <w:tab w:pos="2242" w:val="left"/>
        </w:tabs>
        <w:bidi w:val="0"/>
        <w:spacing w:before="0" w:after="260" w:line="240" w:lineRule="auto"/>
        <w:ind w:left="0" w:right="0" w:firstLine="0"/>
        <w:jc w:val="both"/>
      </w:pPr>
      <w:r>
        <w:rPr>
          <w:color w:val="000000"/>
          <w:spacing w:val="0"/>
          <w:w w:val="100"/>
          <w:position w:val="0"/>
          <w:shd w:val="clear" w:color="auto" w:fill="auto"/>
        </w:rPr>
        <w:t xml:space="preserve">Lit.: J. Auer,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Kirche - Das Altgemeine </w:t>
      </w:r>
      <w:r>
        <w:rPr>
          <w:i/>
          <w:iCs/>
          <w:color w:val="000000"/>
          <w:spacing w:val="0"/>
          <w:w w:val="100"/>
          <w:position w:val="0"/>
          <w:shd w:val="clear" w:color="auto" w:fill="auto"/>
        </w:rPr>
        <w:t xml:space="preserve">Heilssakrament </w:t>
      </w:r>
      <w:r>
        <w:rPr>
          <w:color w:val="000000"/>
          <w:spacing w:val="0"/>
          <w:w w:val="100"/>
          <w:position w:val="0"/>
          <w:shd w:val="clear" w:color="auto" w:fill="auto"/>
          <w:lang w:val="hr-HR" w:eastAsia="hr-HR" w:bidi="hr-HR"/>
        </w:rPr>
        <w:t xml:space="preserve">(KJcinc Katholischc Dogmalik, Bd. 8), </w:t>
      </w:r>
      <w:r>
        <w:rPr>
          <w:color w:val="000000"/>
          <w:spacing w:val="0"/>
          <w:w w:val="100"/>
          <w:position w:val="0"/>
          <w:shd w:val="clear" w:color="auto" w:fill="auto"/>
        </w:rPr>
        <w:t xml:space="preserve">Regensburg </w:t>
      </w:r>
      <w:r>
        <w:rPr>
          <w:color w:val="000000"/>
          <w:spacing w:val="0"/>
          <w:w w:val="100"/>
          <w:position w:val="0"/>
          <w:shd w:val="clear" w:color="auto" w:fill="auto"/>
          <w:lang w:val="hr-HR" w:eastAsia="hr-HR" w:bidi="hr-HR"/>
        </w:rPr>
        <w:t xml:space="preserve">1983; H. </w:t>
      </w:r>
      <w:r>
        <w:rPr>
          <w:color w:val="000000"/>
          <w:spacing w:val="0"/>
          <w:w w:val="100"/>
          <w:position w:val="0"/>
          <w:shd w:val="clear" w:color="auto" w:fill="auto"/>
        </w:rPr>
        <w:t xml:space="preserve">Kung,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Kirche,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Frcihurg/Bascl/Wicn </w:t>
      </w:r>
      <w:r>
        <w:rPr>
          <w:color w:val="000000"/>
          <w:spacing w:val="0"/>
          <w:w w:val="100"/>
          <w:position w:val="0"/>
          <w:shd w:val="clear" w:color="auto" w:fill="auto"/>
          <w:lang w:val="hr-HR" w:eastAsia="hr-HR" w:bidi="hr-HR"/>
        </w:rPr>
        <w:t xml:space="preserve">1967; K. Rah* ner, </w:t>
      </w:r>
      <w:r>
        <w:rPr>
          <w:i/>
          <w:iCs/>
          <w:color w:val="000000"/>
          <w:spacing w:val="0"/>
          <w:w w:val="100"/>
          <w:position w:val="0"/>
          <w:shd w:val="clear" w:color="auto" w:fill="auto"/>
        </w:rPr>
        <w:t xml:space="preserve">Grundkurs des </w:t>
      </w:r>
      <w:r>
        <w:rPr>
          <w:i/>
          <w:iCs/>
          <w:color w:val="000000"/>
          <w:spacing w:val="0"/>
          <w:w w:val="100"/>
          <w:position w:val="0"/>
          <w:shd w:val="clear" w:color="auto" w:fill="auto"/>
          <w:lang w:val="hr-HR" w:eastAsia="hr-HR" w:bidi="hr-HR"/>
        </w:rPr>
        <w:t>Glaubens.</w:t>
      </w:r>
      <w:r>
        <w:rPr>
          <w:color w:val="000000"/>
          <w:spacing w:val="0"/>
          <w:w w:val="100"/>
          <w:position w:val="0"/>
          <w:shd w:val="clear" w:color="auto" w:fill="auto"/>
          <w:lang w:val="hr-HR" w:eastAsia="hr-HR" w:bidi="hr-HR"/>
        </w:rPr>
        <w:t xml:space="preserve"> Einfuhrung </w:t>
      </w:r>
      <w:r>
        <w:rPr>
          <w:color w:val="000000"/>
          <w:spacing w:val="0"/>
          <w:w w:val="100"/>
          <w:position w:val="0"/>
          <w:shd w:val="clear" w:color="auto" w:fill="auto"/>
        </w:rPr>
        <w:t xml:space="preserve">in </w:t>
      </w:r>
      <w:r>
        <w:rPr>
          <w:color w:val="000000"/>
          <w:spacing w:val="0"/>
          <w:w w:val="100"/>
          <w:position w:val="0"/>
          <w:shd w:val="clear" w:color="auto" w:fill="auto"/>
          <w:lang w:val="hr-HR" w:eastAsia="hr-HR" w:bidi="hr-HR"/>
        </w:rPr>
        <w:t xml:space="preserve">den Bcgriff des Christcntums, Frciburg/BascIAVicn 1977, 313-387; M. Kehl, </w:t>
      </w:r>
      <w:r>
        <w:rPr>
          <w:i/>
          <w:iCs/>
          <w:color w:val="000000"/>
          <w:spacing w:val="0"/>
          <w:w w:val="100"/>
          <w:position w:val="0"/>
          <w:shd w:val="clear" w:color="auto" w:fill="auto"/>
          <w:lang w:val="hr-HR" w:eastAsia="hr-HR" w:bidi="hr-HR"/>
        </w:rPr>
        <w:t xml:space="preserve">Kirche als </w:t>
      </w:r>
      <w:r>
        <w:rPr>
          <w:i/>
          <w:iCs/>
          <w:color w:val="000000"/>
          <w:spacing w:val="0"/>
          <w:w w:val="100"/>
          <w:position w:val="0"/>
          <w:shd w:val="clear" w:color="auto" w:fill="auto"/>
        </w:rPr>
        <w:t>Institution</w:t>
      </w:r>
      <w:r>
        <w:rPr>
          <w:color w:val="000000"/>
          <w:spacing w:val="0"/>
          <w:w w:val="100"/>
          <w:position w:val="0"/>
          <w:shd w:val="clear" w:color="auto" w:fill="auto"/>
        </w:rPr>
        <w:t xml:space="preserve"> (Frankfurter </w:t>
      </w:r>
      <w:r>
        <w:rPr>
          <w:color w:val="000000"/>
          <w:spacing w:val="0"/>
          <w:w w:val="100"/>
          <w:position w:val="0"/>
          <w:shd w:val="clear" w:color="auto" w:fill="auto"/>
          <w:lang w:val="hr-HR" w:eastAsia="hr-HR" w:bidi="hr-HR"/>
        </w:rPr>
        <w:t xml:space="preserve">Thcologiscbc </w:t>
      </w:r>
      <w:r>
        <w:rPr>
          <w:color w:val="000000"/>
          <w:spacing w:val="0"/>
          <w:w w:val="100"/>
          <w:position w:val="0"/>
          <w:shd w:val="clear" w:color="auto" w:fill="auto"/>
        </w:rPr>
        <w:t xml:space="preserve">Stu- dicn, </w:t>
      </w:r>
      <w:r>
        <w:rPr>
          <w:color w:val="000000"/>
          <w:spacing w:val="0"/>
          <w:w w:val="100"/>
          <w:position w:val="0"/>
          <w:shd w:val="clear" w:color="auto" w:fill="auto"/>
          <w:lang w:val="hr-HR" w:eastAsia="hr-HR" w:bidi="hr-HR"/>
        </w:rPr>
        <w:t xml:space="preserve">Bd. 22). Frankfurt 1978; U. </w:t>
      </w:r>
      <w:r>
        <w:rPr>
          <w:color w:val="000000"/>
          <w:spacing w:val="0"/>
          <w:w w:val="100"/>
          <w:position w:val="0"/>
          <w:shd w:val="clear" w:color="auto" w:fill="auto"/>
        </w:rPr>
        <w:t xml:space="preserve">Meyer/H. </w:t>
      </w:r>
      <w:r>
        <w:rPr>
          <w:color w:val="000000"/>
          <w:spacing w:val="0"/>
          <w:w w:val="100"/>
          <w:position w:val="0"/>
          <w:shd w:val="clear" w:color="auto" w:fill="auto"/>
          <w:lang w:val="hr-HR" w:eastAsia="hr-HR" w:bidi="hr-HR"/>
        </w:rPr>
        <w:t xml:space="preserve">J. Urban/L. </w:t>
      </w:r>
      <w:r>
        <w:rPr>
          <w:color w:val="000000"/>
          <w:spacing w:val="0"/>
          <w:w w:val="100"/>
          <w:position w:val="0"/>
          <w:shd w:val="clear" w:color="auto" w:fill="auto"/>
        </w:rPr>
        <w:t xml:space="preserve">Vischer </w:t>
      </w:r>
      <w:r>
        <w:rPr>
          <w:color w:val="000000"/>
          <w:spacing w:val="0"/>
          <w:w w:val="100"/>
          <w:position w:val="0"/>
          <w:shd w:val="clear" w:color="auto" w:fill="auto"/>
          <w:lang w:val="hr-HR" w:eastAsia="hr-HR" w:bidi="hr-HR"/>
        </w:rPr>
        <w:t xml:space="preserve">(llrsg.), </w:t>
      </w:r>
      <w:r>
        <w:rPr>
          <w:i/>
          <w:iCs/>
          <w:color w:val="000000"/>
          <w:spacing w:val="0"/>
          <w:w w:val="100"/>
          <w:position w:val="0"/>
          <w:shd w:val="clear" w:color="auto" w:fill="auto"/>
          <w:lang w:val="hr-HR" w:eastAsia="hr-HR" w:bidi="hr-HR"/>
        </w:rPr>
        <w:t xml:space="preserve">Dokumente </w:t>
      </w:r>
      <w:r>
        <w:rPr>
          <w:i/>
          <w:iCs/>
          <w:color w:val="000000"/>
          <w:spacing w:val="0"/>
          <w:w w:val="100"/>
          <w:position w:val="0"/>
          <w:shd w:val="clear" w:color="auto" w:fill="auto"/>
        </w:rPr>
        <w:t xml:space="preserve">wachsender </w:t>
      </w:r>
      <w:r>
        <w:rPr>
          <w:i/>
          <w:iCs/>
          <w:color w:val="000000"/>
          <w:spacing w:val="0"/>
          <w:w w:val="100"/>
          <w:position w:val="0"/>
          <w:shd w:val="clear" w:color="auto" w:fill="auto"/>
          <w:lang w:val="hr-HR" w:eastAsia="hr-HR" w:bidi="hr-HR"/>
        </w:rPr>
        <w:t xml:space="preserve">Ubereinstimmung, </w:t>
      </w:r>
      <w:r>
        <w:rPr>
          <w:color w:val="000000"/>
          <w:spacing w:val="0"/>
          <w:w w:val="100"/>
          <w:position w:val="0"/>
          <w:shd w:val="clear" w:color="auto" w:fill="auto"/>
        </w:rPr>
        <w:t xml:space="preserve">Paderborn-Frankfurt </w:t>
      </w:r>
      <w:r>
        <w:rPr>
          <w:color w:val="000000"/>
          <w:spacing w:val="0"/>
          <w:w w:val="100"/>
          <w:position w:val="0"/>
          <w:shd w:val="clear" w:color="auto" w:fill="auto"/>
          <w:lang w:val="hr-HR" w:eastAsia="hr-HR" w:bidi="hr-HR"/>
        </w:rPr>
        <w:t xml:space="preserve">1983; H. </w:t>
      </w:r>
      <w:r>
        <w:rPr>
          <w:color w:val="000000"/>
          <w:spacing w:val="0"/>
          <w:w w:val="100"/>
          <w:position w:val="0"/>
          <w:shd w:val="clear" w:color="auto" w:fill="auto"/>
        </w:rPr>
        <w:t xml:space="preserve">Fries, </w:t>
      </w:r>
      <w:r>
        <w:rPr>
          <w:i/>
          <w:iCs/>
          <w:color w:val="000000"/>
          <w:spacing w:val="0"/>
          <w:w w:val="100"/>
          <w:position w:val="0"/>
          <w:shd w:val="clear" w:color="auto" w:fill="auto"/>
          <w:lang w:val="hr-HR" w:eastAsia="hr-HR" w:bidi="hr-HR"/>
        </w:rPr>
        <w:t xml:space="preserve">Fundomenlallheolo- </w:t>
      </w:r>
      <w:r>
        <w:rPr>
          <w:i/>
          <w:iCs/>
          <w:color w:val="000000"/>
          <w:spacing w:val="0"/>
          <w:w w:val="100"/>
          <w:position w:val="0"/>
          <w:shd w:val="clear" w:color="auto" w:fill="auto"/>
        </w:rPr>
        <w:t>gie,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GrazAVicn/Kdln 1985, 319 i d.</w:t>
        <w:tab/>
        <w:t>L IIAGEMANN</w:t>
      </w:r>
    </w:p>
    <w:p>
      <w:pPr>
        <w:pStyle w:val="Style63"/>
        <w:keepNext/>
        <w:keepLines/>
        <w:widowControl w:val="0"/>
        <w:numPr>
          <w:ilvl w:val="0"/>
          <w:numId w:val="61"/>
        </w:numPr>
        <w:shd w:val="clear" w:color="auto" w:fill="auto"/>
        <w:tabs>
          <w:tab w:pos="255" w:val="left"/>
        </w:tabs>
        <w:bidi w:val="0"/>
        <w:spacing w:before="0" w:after="80" w:line="223" w:lineRule="auto"/>
        <w:ind w:left="0" w:right="0" w:firstLine="0"/>
        <w:jc w:val="both"/>
      </w:pPr>
      <w:bookmarkStart w:id="55" w:name="bookmark55"/>
      <w:r>
        <w:rPr>
          <w:rFonts w:ascii="Times New Roman" w:eastAsia="Times New Roman" w:hAnsi="Times New Roman" w:cs="Times New Roman"/>
          <w:color w:val="000000"/>
          <w:spacing w:val="0"/>
          <w:w w:val="100"/>
          <w:position w:val="0"/>
          <w:shd w:val="clear" w:color="auto" w:fill="auto"/>
          <w:lang w:val="hr-HR" w:eastAsia="hr-HR" w:bidi="hr-HR"/>
        </w:rPr>
        <w:t>islamski</w:t>
      </w:r>
      <w:bookmarkEnd w:id="5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Nešto što nalikuje crkvenoj organizaciji ima samo šijitska struja islama. Cjelokupna zajed</w:t>
        <w:softHyphen/>
        <w:t xml:space="preserve">nica vjernika, </w:t>
      </w:r>
      <w:r>
        <w:rPr>
          <w:rFonts w:ascii="Times New Roman" w:eastAsia="Times New Roman" w:hAnsi="Times New Roman" w:cs="Times New Roman"/>
          <w:i/>
          <w:iCs/>
          <w:color w:val="000000"/>
          <w:spacing w:val="0"/>
          <w:w w:val="100"/>
          <w:position w:val="0"/>
          <w:shd w:val="clear" w:color="auto" w:fill="auto"/>
          <w:lang w:val="hr-HR" w:eastAsia="hr-HR" w:bidi="hr-HR"/>
        </w:rPr>
        <w:t>umma,</w:t>
      </w:r>
      <w:r>
        <w:rPr>
          <w:rFonts w:ascii="Times New Roman" w:eastAsia="Times New Roman" w:hAnsi="Times New Roman" w:cs="Times New Roman"/>
          <w:color w:val="000000"/>
          <w:spacing w:val="0"/>
          <w:w w:val="100"/>
          <w:position w:val="0"/>
          <w:shd w:val="clear" w:color="auto" w:fill="auto"/>
          <w:lang w:val="hr-HR" w:eastAsia="hr-HR" w:bidi="hr-HR"/>
        </w:rPr>
        <w:t xml:space="preserve"> teritorij koji ona nasta</w:t>
        <w:softHyphen/>
        <w:t>njuje, važi kao džr al-islam (»kuća islama«). Budući da je djelovanje Duha Svetoga u ljud</w:t>
        <w:softHyphen/>
        <w:t>skim stvarima strano islamu i budući da islam također ne poznaje nikakvo svećeništvo, ne</w:t>
        <w:softHyphen/>
        <w:t>ma pretpostavki za nastanak institucije kao što je c. Ne postoji nikakvo središnje vodstvo svjetskog islama. Kalifat je bio prije politička negoli vjerska institucija. Temeljni oblici or</w:t>
        <w:softHyphen/>
        <w:t>ganiziranja vjerskoga života u grubim su crta</w:t>
        <w:softHyphen/>
        <w:t xml:space="preserve">ma navedeni u natuknici -&gt; </w:t>
      </w:r>
      <w:r>
        <w:rPr>
          <w:rFonts w:ascii="Times New Roman" w:eastAsia="Times New Roman" w:hAnsi="Times New Roman" w:cs="Times New Roman"/>
          <w:i/>
          <w:iCs/>
          <w:color w:val="000000"/>
          <w:spacing w:val="0"/>
          <w:w w:val="100"/>
          <w:position w:val="0"/>
          <w:shd w:val="clear" w:color="auto" w:fill="auto"/>
          <w:lang w:val="hr-HR" w:eastAsia="hr-HR" w:bidi="hr-HR"/>
        </w:rPr>
        <w:t>Služba.</w:t>
      </w:r>
      <w:r>
        <w:rPr>
          <w:rFonts w:ascii="Times New Roman" w:eastAsia="Times New Roman" w:hAnsi="Times New Roman" w:cs="Times New Roman"/>
          <w:color w:val="000000"/>
          <w:spacing w:val="0"/>
          <w:w w:val="100"/>
          <w:position w:val="0"/>
          <w:shd w:val="clear" w:color="auto" w:fill="auto"/>
          <w:lang w:val="hr-HR" w:eastAsia="hr-HR" w:bidi="hr-HR"/>
        </w:rPr>
        <w:t xml:space="preserve"> Džamija se pojmovno ne podudara s crkvom. Ona, naime služi ne samo religioznim svrhama: ona je također škola, sud i okupljalište puka.</w:t>
      </w:r>
    </w:p>
    <w:p>
      <w:pPr>
        <w:pStyle w:val="Style20"/>
        <w:keepNext w:val="0"/>
        <w:keepLines w:val="0"/>
        <w:widowControl w:val="0"/>
        <w:shd w:val="clear" w:color="auto" w:fill="auto"/>
        <w:bidi w:val="0"/>
        <w:spacing w:before="0" w:after="0"/>
        <w:ind w:left="0" w:right="0" w:firstLine="0"/>
        <w:jc w:val="both"/>
        <w:sectPr>
          <w:headerReference w:type="default" r:id="rId247"/>
          <w:footerReference w:type="default" r:id="rId248"/>
          <w:headerReference w:type="even" r:id="rId249"/>
          <w:footerReference w:type="even" r:id="rId250"/>
          <w:headerReference w:type="first" r:id="rId251"/>
          <w:footerReference w:type="first" r:id="rId252"/>
          <w:footnotePr>
            <w:pos w:val="pageBottom"/>
            <w:numFmt w:val="decimal"/>
            <w:numStart w:val="5"/>
            <w:numRestart w:val="continuous"/>
            <w15:footnoteColumns w:val="1"/>
          </w:footnotePr>
          <w:pgSz w:w="6816" w:h="11006"/>
          <w:pgMar w:top="954" w:left="178" w:right="182" w:bottom="525" w:header="0" w:footer="3" w:gutter="0"/>
          <w:pgNumType w:start="87"/>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mnogim je muslimanskim državama religija odvojena od države. Muslimani su rijetko za</w:t>
        <w:softHyphen/>
        <w:t xml:space="preserve">dovoljni time. To se odvajanje svodi na utjecaj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zapadnoga primjera odvajanja crkve od drža</w:t>
        <w:softHyphen/>
        <w:t>ve. Shvaćanje islama kao »totalnoga sustava života« dovodi do zahtjeva za političkom mo</w:t>
        <w:softHyphen/>
        <w:t>ći. No, prema izvorima to shvaćanje nije jed</w:t>
        <w:softHyphen/>
        <w:t>noznačno utemeljeno. Ono predstavlja jednu od najvećih teškoća konsolidiranju islama kao duhovne moći slično kao i kod Katoličke crkve. U izvjesnim dijelovima islamskoga svijeta (re</w:t>
        <w:softHyphen/>
        <w:t>cimo na Balkanu) nešto što nalikuje mjesnim</w:t>
      </w:r>
    </w:p>
    <w:p>
      <w:pPr>
        <w:pStyle w:val="Style20"/>
        <w:keepNext w:val="0"/>
        <w:keepLines w:val="0"/>
        <w:widowControl w:val="0"/>
        <w:shd w:val="clear" w:color="auto" w:fill="auto"/>
        <w:tabs>
          <w:tab w:pos="2563" w:val="left"/>
        </w:tabs>
        <w:bidi w:val="0"/>
        <w:spacing w:before="0" w:after="0"/>
        <w:ind w:left="0" w:right="0" w:firstLine="0"/>
        <w:jc w:val="both"/>
        <w:sectPr>
          <w:headerReference w:type="default" r:id="rId253"/>
          <w:footerReference w:type="default" r:id="rId254"/>
          <w:headerReference w:type="even" r:id="rId255"/>
          <w:footerReference w:type="even" r:id="rId256"/>
          <w:footnotePr>
            <w:pos w:val="pageBottom"/>
            <w:numFmt w:val="decimal"/>
            <w:numStart w:val="5"/>
            <w:numRestart w:val="continuous"/>
            <w15:footnoteColumns w:val="1"/>
          </w:footnotePr>
          <w:type w:val="continuous"/>
          <w:pgSz w:w="6816" w:h="11006"/>
          <w:pgMar w:top="954" w:left="178" w:right="182" w:bottom="525" w:header="0" w:footer="3"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crkvenim uredima jesu vakufska staiješinstva </w:t>
      </w:r>
      <w:r>
        <w:rPr>
          <w:rFonts w:ascii="Times New Roman" w:eastAsia="Times New Roman" w:hAnsi="Times New Roman" w:cs="Times New Roman"/>
          <w:i/>
          <w:iCs/>
          <w:color w:val="000000"/>
          <w:spacing w:val="0"/>
          <w:w w:val="100"/>
          <w:position w:val="0"/>
          <w:shd w:val="clear" w:color="auto" w:fill="auto"/>
          <w:lang w:val="hr-HR" w:eastAsia="hr-HR" w:bidi="hr-HR"/>
        </w:rPr>
        <w:t>(Waqf-ma’arif,</w:t>
      </w:r>
      <w:r>
        <w:rPr>
          <w:rFonts w:ascii="Times New Roman" w:eastAsia="Times New Roman" w:hAnsi="Times New Roman" w:cs="Times New Roman"/>
          <w:color w:val="000000"/>
          <w:spacing w:val="0"/>
          <w:w w:val="100"/>
          <w:position w:val="0"/>
          <w:shd w:val="clear" w:color="auto" w:fill="auto"/>
          <w:lang w:val="hr-HR" w:eastAsia="hr-HR" w:bidi="hr-HR"/>
        </w:rPr>
        <w:t xml:space="preserve"> osnovana u bivšoj Jugoslaviji kao mjesna staiješinstva Vrhovnoga staiješin</w:t>
        <w:softHyphen/>
        <w:t>stva islamske vjerske zajednice u tadašnjoj Ju</w:t>
        <w:softHyphen/>
        <w:t xml:space="preserve">goslaviji). Ona upravljaju vjerskim zakladama </w:t>
      </w:r>
      <w:r>
        <w:rPr>
          <w:rFonts w:ascii="Times New Roman" w:eastAsia="Times New Roman" w:hAnsi="Times New Roman" w:cs="Times New Roman"/>
          <w:i/>
          <w:iCs/>
          <w:color w:val="000000"/>
          <w:spacing w:val="0"/>
          <w:w w:val="100"/>
          <w:position w:val="0"/>
          <w:shd w:val="clear" w:color="auto" w:fill="auto"/>
          <w:lang w:val="hr-HR" w:eastAsia="hr-HR" w:bidi="hr-HR"/>
        </w:rPr>
        <w:t>(waqf,</w:t>
      </w:r>
      <w:r>
        <w:rPr>
          <w:rFonts w:ascii="Times New Roman" w:eastAsia="Times New Roman" w:hAnsi="Times New Roman" w:cs="Times New Roman"/>
          <w:color w:val="000000"/>
          <w:spacing w:val="0"/>
          <w:w w:val="100"/>
          <w:position w:val="0"/>
          <w:shd w:val="clear" w:color="auto" w:fill="auto"/>
          <w:lang w:val="hr-HR" w:eastAsia="hr-HR" w:bidi="hr-HR"/>
        </w:rPr>
        <w:t xml:space="preserve"> množina: </w:t>
      </w:r>
      <w:r>
        <w:rPr>
          <w:rFonts w:ascii="Times New Roman" w:eastAsia="Times New Roman" w:hAnsi="Times New Roman" w:cs="Times New Roman"/>
          <w:i/>
          <w:iCs/>
          <w:color w:val="000000"/>
          <w:spacing w:val="0"/>
          <w:w w:val="100"/>
          <w:position w:val="0"/>
          <w:shd w:val="clear" w:color="auto" w:fill="auto"/>
          <w:lang w:val="en-US" w:eastAsia="en-US" w:bidi="en-US"/>
        </w:rPr>
        <w:t>awaqaf)</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 brinu se za norma</w:t>
        <w:softHyphen/>
        <w:t>lan vjerski život u području svojega djelova</w:t>
        <w:softHyphen/>
        <w:t>nja.</w:t>
        <w:tab/>
        <w:t>S. BAI.1Ć</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34" w:after="34" w:line="240" w:lineRule="exact"/>
        <w:rPr>
          <w:sz w:val="19"/>
          <w:szCs w:val="19"/>
        </w:rPr>
      </w:pPr>
    </w:p>
    <w:p>
      <w:pPr>
        <w:widowControl w:val="0"/>
        <w:spacing w:line="1" w:lineRule="exact"/>
        <w:sectPr>
          <w:headerReference w:type="default" r:id="rId257"/>
          <w:footerReference w:type="default" r:id="rId258"/>
          <w:headerReference w:type="even" r:id="rId259"/>
          <w:footerReference w:type="even" r:id="rId260"/>
          <w:headerReference w:type="first" r:id="rId261"/>
          <w:footerReference w:type="first" r:id="rId262"/>
          <w:footnotePr>
            <w:pos w:val="pageBottom"/>
            <w:numFmt w:val="decimal"/>
            <w:numStart w:val="5"/>
            <w:numRestart w:val="continuous"/>
            <w15:footnoteColumns w:val="1"/>
          </w:footnotePr>
          <w:pgSz w:w="6816" w:h="11006"/>
          <w:pgMar w:top="978" w:left="185" w:right="190" w:bottom="520" w:header="0" w:footer="3" w:gutter="0"/>
          <w:cols w:num="2" w:space="184"/>
          <w:noEndnote/>
          <w:titlePg/>
          <w:rtlGutter w:val="0"/>
          <w:docGrid w:linePitch="360"/>
        </w:sectPr>
      </w:pPr>
    </w:p>
    <w:p>
      <w:pPr>
        <w:pStyle w:val="Style33"/>
        <w:keepNext w:val="0"/>
        <w:keepLines w:val="0"/>
        <w:widowControl w:val="0"/>
        <w:shd w:val="clear" w:color="auto" w:fill="auto"/>
        <w:bidi w:val="0"/>
        <w:spacing w:before="0" w:after="18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ČISTILIŠTE -&gt; ESHATOLOGIJA</w:t>
      </w:r>
    </w:p>
    <w:p>
      <w:pPr>
        <w:pStyle w:val="Style33"/>
        <w:keepNext w:val="0"/>
        <w:keepLines w:val="0"/>
        <w:widowControl w:val="0"/>
        <w:shd w:val="clear" w:color="auto" w:fill="auto"/>
        <w:bidi w:val="0"/>
        <w:spacing w:before="0" w:after="12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ČISTOĆA</w:t>
      </w:r>
    </w:p>
    <w:p>
      <w:pPr>
        <w:pStyle w:val="Style63"/>
        <w:keepNext/>
        <w:keepLines/>
        <w:widowControl w:val="0"/>
        <w:numPr>
          <w:ilvl w:val="0"/>
          <w:numId w:val="63"/>
        </w:numPr>
        <w:shd w:val="clear" w:color="auto" w:fill="auto"/>
        <w:tabs>
          <w:tab w:pos="246" w:val="left"/>
        </w:tabs>
        <w:bidi w:val="0"/>
        <w:spacing w:before="0" w:line="216" w:lineRule="auto"/>
        <w:ind w:left="0" w:right="0" w:firstLine="0"/>
        <w:jc w:val="both"/>
      </w:pPr>
      <w:bookmarkStart w:id="56" w:name="bookmark56"/>
      <w:r>
        <w:rPr>
          <w:rFonts w:ascii="Times New Roman" w:eastAsia="Times New Roman" w:hAnsi="Times New Roman" w:cs="Times New Roman"/>
          <w:color w:val="000000"/>
          <w:spacing w:val="0"/>
          <w:w w:val="100"/>
          <w:position w:val="0"/>
          <w:shd w:val="clear" w:color="auto" w:fill="auto"/>
          <w:lang w:val="hr-HR" w:eastAsia="hr-HR" w:bidi="hr-HR"/>
        </w:rPr>
        <w:t>židovski</w:t>
      </w:r>
      <w:bookmarkEnd w:id="56"/>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Biblijski pojam »svetosti«, koji se primjereno dinamički shvaća kao »posvećenost, posvetiti, biti posvećen«, znači Izraclovu potpunu pre</w:t>
        <w:softHyphen/>
        <w:t xml:space="preserve">danost volji Božjoj, pa na postupke Izraela utječe Bog svojim djelovanjem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w:t>
      </w:r>
    </w:p>
    <w:p>
      <w:pPr>
        <w:pStyle w:val="Style20"/>
        <w:keepNext w:val="0"/>
        <w:keepLines w:val="0"/>
        <w:widowControl w:val="0"/>
        <w:numPr>
          <w:ilvl w:val="0"/>
          <w:numId w:val="65"/>
        </w:numPr>
        <w:shd w:val="clear" w:color="auto" w:fill="auto"/>
        <w:tabs>
          <w:tab w:pos="337"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44 i d.; 20,7.26). Suprotnost nije nešto »ne- sveto«, nego nešto »prepušteno« općoj upo</w:t>
        <w:softHyphen/>
        <w:t xml:space="preserve">rabi što nije odabrano za bogoslužje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19,23, usp. Pnz 20,6; 28,30). Uzajamni odnos Izraela i Boga, koji se naziva »posvećenost«, pretpostavlja oslobođenost naroda od odnosa s drugim silama i njihovim interesnim sfera</w:t>
        <w:softHyphen/>
        <w:t>ma; izražava se osnovom »čist, biti čist, očis</w:t>
        <w:softHyphen/>
        <w:t xml:space="preserve">titi, očišćenje, č.« </w:t>
      </w:r>
      <w:r>
        <w:rPr>
          <w:rFonts w:ascii="Times New Roman" w:eastAsia="Times New Roman" w:hAnsi="Times New Roman" w:cs="Times New Roman"/>
          <w:i/>
          <w:iCs/>
          <w:color w:val="000000"/>
          <w:spacing w:val="0"/>
          <w:w w:val="100"/>
          <w:position w:val="0"/>
          <w:shd w:val="clear" w:color="auto" w:fill="auto"/>
          <w:lang w:val="hr-HR" w:eastAsia="hr-HR" w:bidi="hr-HR"/>
        </w:rPr>
        <w:t>(lahora),</w:t>
      </w:r>
      <w:r>
        <w:rPr>
          <w:rFonts w:ascii="Times New Roman" w:eastAsia="Times New Roman" w:hAnsi="Times New Roman" w:cs="Times New Roman"/>
          <w:color w:val="000000"/>
          <w:spacing w:val="0"/>
          <w:w w:val="100"/>
          <w:position w:val="0"/>
          <w:shd w:val="clear" w:color="auto" w:fill="auto"/>
          <w:lang w:val="hr-HR" w:eastAsia="hr-HR" w:bidi="hr-HR"/>
        </w:rPr>
        <w:t xml:space="preserve"> čija se suprotnost u nedostatku čistoće ne izražava »nečistoćom«, već prije pokazuje silu kao silu koja djeluje mijazmatski </w:t>
      </w:r>
      <w:r>
        <w:rPr>
          <w:rFonts w:ascii="Times New Roman" w:eastAsia="Times New Roman" w:hAnsi="Times New Roman" w:cs="Times New Roman"/>
          <w:i/>
          <w:iCs/>
          <w:color w:val="000000"/>
          <w:spacing w:val="0"/>
          <w:w w:val="100"/>
          <w:position w:val="0"/>
          <w:shd w:val="clear" w:color="auto" w:fill="auto"/>
          <w:lang w:val="hr-HR" w:eastAsia="hr-HR" w:bidi="hr-HR"/>
        </w:rPr>
        <w:t>(tuma).</w:t>
      </w:r>
      <w:r>
        <w:rPr>
          <w:rFonts w:ascii="Times New Roman" w:eastAsia="Times New Roman" w:hAnsi="Times New Roman" w:cs="Times New Roman"/>
          <w:color w:val="000000"/>
          <w:spacing w:val="0"/>
          <w:w w:val="100"/>
          <w:position w:val="0"/>
          <w:shd w:val="clear" w:color="auto" w:fill="auto"/>
          <w:lang w:val="hr-HR" w:eastAsia="hr-HR" w:bidi="hr-HR"/>
        </w:rPr>
        <w:t xml:space="preserve"> Biblijski i poslijebiblijski propisi o čistoći koji se protežu na prehranu, na različita vremena u životu i suživotu ljudi i životinja te na dodir s mrtvim ljudima i život</w:t>
        <w:softHyphen/>
        <w:t xml:space="preserve">injama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 Pnz 14;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12; 15; Br 19; Poredak Misne Toharot; Sulhan aruh, Jore dea) slijede iz priznavanja jedinoga Boga, ko</w:t>
        <w:softHyphen/>
        <w:t>je se mora ostvarivati svaki dan, i tiču se pri</w:t>
        <w:softHyphen/>
        <w:t>kaza i dokazivanja Izraela kao »svetog naro</w:t>
        <w:softHyphen/>
        <w:t>da« (Pnz 14,2). Budući da su se u doba hram- skoga bogoslužja obredne i moralne radnje tijesno dodirivale (Pnz 14,1 i d.; 21,22 i d.; 23,11 i d.; 27,20-23) - jer je Izrael kao »sveti narod« bio obvezan na kultnu i moralnu »čis</w:t>
        <w:softHyphen/>
        <w:t xml:space="preserve">toću«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18,6-30; Pnz 21,1-9; Izl 36,16-36) - odredbe za čistoću zadržale su ograničenu valjanost nakon razorenja drugoga Hrama.</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Hvalospjev Stvoritelju u jutarnjoj molitvi, koji je čovjeku dao »čistu dušu«, naziva time silu za ostvarenje zadaće što ju je Bog dodijelio svojem stvorenju. Stvaralačka sposobnost za dobro djelo, taj duševni dar stvaranja u tradi</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cijskoj se literaturi naziva »č.« duše (b Sabat 152b; </w:t>
      </w:r>
      <w:r>
        <w:rPr>
          <w:rFonts w:ascii="Times New Roman" w:eastAsia="Times New Roman" w:hAnsi="Times New Roman" w:cs="Times New Roman"/>
          <w:color w:val="000000"/>
          <w:spacing w:val="0"/>
          <w:w w:val="100"/>
          <w:position w:val="0"/>
          <w:shd w:val="clear" w:color="auto" w:fill="auto"/>
          <w:lang w:val="en-US" w:eastAsia="en-US" w:bidi="en-US"/>
        </w:rPr>
        <w:t xml:space="preserve">Nida </w:t>
      </w:r>
      <w:r>
        <w:rPr>
          <w:rFonts w:ascii="Times New Roman" w:eastAsia="Times New Roman" w:hAnsi="Times New Roman" w:cs="Times New Roman"/>
          <w:color w:val="000000"/>
          <w:spacing w:val="0"/>
          <w:w w:val="100"/>
          <w:position w:val="0"/>
          <w:shd w:val="clear" w:color="auto" w:fill="auto"/>
          <w:lang w:val="hr-HR" w:eastAsia="hr-HR" w:bidi="hr-HR"/>
        </w:rPr>
        <w:t xml:space="preserve">30a; </w:t>
      </w:r>
      <w:r>
        <w:rPr>
          <w:rFonts w:ascii="Times New Roman" w:eastAsia="Times New Roman" w:hAnsi="Times New Roman" w:cs="Times New Roman"/>
          <w:color w:val="000000"/>
          <w:spacing w:val="0"/>
          <w:w w:val="100"/>
          <w:position w:val="0"/>
          <w:shd w:val="clear" w:color="auto" w:fill="auto"/>
          <w:lang w:val="en-US" w:eastAsia="en-US" w:bidi="en-US"/>
        </w:rPr>
        <w:t xml:space="preserve">Saadja, Emunot ve-deot </w:t>
      </w:r>
      <w:r>
        <w:rPr>
          <w:rFonts w:ascii="Times New Roman" w:eastAsia="Times New Roman" w:hAnsi="Times New Roman" w:cs="Times New Roman"/>
          <w:color w:val="000000"/>
          <w:spacing w:val="0"/>
          <w:w w:val="100"/>
          <w:position w:val="0"/>
          <w:shd w:val="clear" w:color="auto" w:fill="auto"/>
          <w:lang w:val="hr-HR" w:eastAsia="hr-HR" w:bidi="hr-HR"/>
        </w:rPr>
        <w:t>VI,17). Ona nije dar u smislu milosti Božje koja pri</w:t>
        <w:softHyphen/>
        <w:t>pada čovjeku; ona nije ništa izvršeno, nego za</w:t>
        <w:softHyphen/>
        <w:t>povijed koju čovjek treba izvršiti. No »čisto</w:t>
        <w:softHyphen/>
        <w:t>ćom« svoje duše čovjek može ostvarivati na</w:t>
        <w:softHyphen/>
        <w:t>redbu (b Sabat 105b; Bava mecia 107a) kako bi njegov život postao stvarnost: »Bog im je rekao: Ako poštujete zapovijedi, za mene je to takva vrijednost kao da ste ih sami sas</w:t>
        <w:softHyphen/>
        <w:t>tavili« (Vajikra raba XXXV,26,3). U »čistoći« koju mu je stvorio Bog čovjek ima duševnu stvarnost koju sebi oduzima grijehom. U de</w:t>
        <w:softHyphen/>
        <w:t>set pokorničkih dana okupljena zajednica za</w:t>
        <w:softHyphen/>
        <w:t xml:space="preserve">ziva neprekidnim ponavljanjem sud Božji i usađuje svoju nadu u njegovu ljubav na Sudu. U molitvama za oprost </w:t>
      </w:r>
      <w:r>
        <w:rPr>
          <w:rFonts w:ascii="Times New Roman" w:eastAsia="Times New Roman" w:hAnsi="Times New Roman" w:cs="Times New Roman"/>
          <w:i/>
          <w:iCs/>
          <w:color w:val="000000"/>
          <w:spacing w:val="0"/>
          <w:w w:val="100"/>
          <w:position w:val="0"/>
          <w:shd w:val="clear" w:color="auto" w:fill="auto"/>
          <w:lang w:val="hr-HR" w:eastAsia="hr-HR" w:bidi="hr-HR"/>
        </w:rPr>
        <w:t>(selihot)</w:t>
      </w:r>
      <w:r>
        <w:rPr>
          <w:rFonts w:ascii="Times New Roman" w:eastAsia="Times New Roman" w:hAnsi="Times New Roman" w:cs="Times New Roman"/>
          <w:color w:val="000000"/>
          <w:spacing w:val="0"/>
          <w:w w:val="100"/>
          <w:position w:val="0"/>
          <w:shd w:val="clear" w:color="auto" w:fill="auto"/>
          <w:lang w:val="hr-HR" w:eastAsia="hr-HR" w:bidi="hr-HR"/>
        </w:rPr>
        <w:t xml:space="preserve"> ponavljaju se stalno riječi u kojima se Bog objavio Mojsiju kod predaje druge ploče Saveza (Izl 34,5 i d.); prema rabinskom tumačenju (b Roš ha-šana 17b) one sadrže trinaest atributa </w:t>
      </w:r>
      <w:r>
        <w:rPr>
          <w:rFonts w:ascii="Times New Roman" w:eastAsia="Times New Roman" w:hAnsi="Times New Roman" w:cs="Times New Roman"/>
          <w:i/>
          <w:iCs/>
          <w:color w:val="000000"/>
          <w:spacing w:val="0"/>
          <w:w w:val="100"/>
          <w:position w:val="0"/>
          <w:shd w:val="clear" w:color="auto" w:fill="auto"/>
          <w:lang w:val="hr-HR" w:eastAsia="hr-HR" w:bidi="hr-HR"/>
        </w:rPr>
        <w:t>(šeloš esre midot),</w:t>
      </w:r>
      <w:r>
        <w:rPr>
          <w:rFonts w:ascii="Times New Roman" w:eastAsia="Times New Roman" w:hAnsi="Times New Roman" w:cs="Times New Roman"/>
          <w:color w:val="000000"/>
          <w:spacing w:val="0"/>
          <w:w w:val="100"/>
          <w:position w:val="0"/>
          <w:shd w:val="clear" w:color="auto" w:fill="auto"/>
          <w:lang w:val="hr-HR" w:eastAsia="hr-HR" w:bidi="hr-HR"/>
        </w:rPr>
        <w:t xml:space="preserve"> koji do posljednjeg izražavaju Božju sporost na srdžbu i milosrđe. No, dok biblijski tekst završava: »... ali krivca nekažnjena ne ostavlja« (redak 7; </w:t>
      </w:r>
      <w:r>
        <w:rPr>
          <w:rFonts w:ascii="Times New Roman" w:eastAsia="Times New Roman" w:hAnsi="Times New Roman" w:cs="Times New Roman"/>
          <w:i/>
          <w:iCs/>
          <w:color w:val="000000"/>
          <w:spacing w:val="0"/>
          <w:w w:val="100"/>
          <w:position w:val="0"/>
          <w:shd w:val="clear" w:color="auto" w:fill="auto"/>
          <w:lang w:val="hr-HR" w:eastAsia="hr-HR" w:bidi="hr-HR"/>
        </w:rPr>
        <w:t>ve-nake lo jenake),</w:t>
      </w:r>
      <w:r>
        <w:rPr>
          <w:rFonts w:ascii="Times New Roman" w:eastAsia="Times New Roman" w:hAnsi="Times New Roman" w:cs="Times New Roman"/>
          <w:color w:val="000000"/>
          <w:spacing w:val="0"/>
          <w:w w:val="100"/>
          <w:position w:val="0"/>
          <w:shd w:val="clear" w:color="auto" w:fill="auto"/>
          <w:lang w:val="hr-HR" w:eastAsia="hr-HR" w:bidi="hr-HR"/>
        </w:rPr>
        <w:t xml:space="preserve"> mudraci su izbacili negativnu riječ, pa sada tekst glasi: »...i on donosi očišćenje« (u rabinskoj upora</w:t>
        <w:softHyphen/>
        <w:t xml:space="preserve">bi </w:t>
      </w:r>
      <w:r>
        <w:rPr>
          <w:rFonts w:ascii="Times New Roman" w:eastAsia="Times New Roman" w:hAnsi="Times New Roman" w:cs="Times New Roman"/>
          <w:i/>
          <w:iCs/>
          <w:color w:val="000000"/>
          <w:spacing w:val="0"/>
          <w:w w:val="100"/>
          <w:position w:val="0"/>
          <w:shd w:val="clear" w:color="auto" w:fill="auto"/>
          <w:lang w:val="hr-HR" w:eastAsia="hr-HR" w:bidi="hr-HR"/>
        </w:rPr>
        <w:t>nkh pi.</w:t>
      </w:r>
      <w:r>
        <w:rPr>
          <w:rFonts w:ascii="Times New Roman" w:eastAsia="Times New Roman" w:hAnsi="Times New Roman" w:cs="Times New Roman"/>
          <w:color w:val="000000"/>
          <w:spacing w:val="0"/>
          <w:w w:val="100"/>
          <w:position w:val="0"/>
          <w:shd w:val="clear" w:color="auto" w:fill="auto"/>
          <w:lang w:val="hr-HR" w:eastAsia="hr-HR" w:bidi="hr-HR"/>
        </w:rPr>
        <w:t xml:space="preserve"> znači »očistiti« i »ostaviti nekažnje</w:t>
        <w:softHyphen/>
        <w:t>no«). S obzirom na svoje razumijevanje cje</w:t>
        <w:softHyphen/>
        <w:t>line Biblije i iz duboka strahopoštovanja pred Božjom kaznom učitelji su se odvažili na po</w:t>
        <w:softHyphen/>
        <w:t>vredu slova Pisma (b Joma 86a). Promjena se zbila u unutarnjoj suglasnosti sa smislom po</w:t>
        <w:softHyphen/>
        <w:t>korničkih dana, što ga čini pomirenje, »očiš</w:t>
        <w:softHyphen/>
        <w:t xml:space="preserve">ćenje« čovjeka, u skladu s otkupninom Dana pomirenja: »... da se očistite od svih svojih grijeha te da pred NJIM budete čisti«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16,30). Davanjem »čistoće« Bog osposobljava čovjeka za slobodno odgovorno djelo: »Tko se želi onečistiti (grijehom), pruža mu se prilika (Bog mu je pruža); tko želi ostati čist, njemu će se pripomoći (Bog će mu pripomoći)« (b Joma </w:t>
      </w:r>
      <w:r>
        <w:rPr>
          <w:rFonts w:ascii="Times New Roman" w:eastAsia="Times New Roman" w:hAnsi="Times New Roman" w:cs="Times New Roman"/>
          <w:color w:val="000000"/>
          <w:spacing w:val="0"/>
          <w:w w:val="100"/>
          <w:position w:val="0"/>
          <w:shd w:val="clear" w:color="auto" w:fill="auto"/>
          <w:lang w:val="hr-HR" w:eastAsia="hr-HR" w:bidi="hr-HR"/>
        </w:rPr>
        <w:t xml:space="preserve">38b; Mcnahot 29b; Šabat 104a;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55a). Ipak su mudraci promicali Božje riječi: »Odluči se svim srcem i svom dušom da spoznaš putove moje i da bdiješ na vratima moje Tore (Izr 8,34); čuvaj moju Toru u svojem srcu i neka ti pred očima bude strah od mene; čuvaj usta od svakoga grijeha i posveti se i očisti od svake krivnje i grijeha« (b Bcrahot 17a).</w:t>
      </w:r>
    </w:p>
    <w:p>
      <w:pPr>
        <w:pStyle w:val="Style56"/>
        <w:keepNext w:val="0"/>
        <w:keepLines w:val="0"/>
        <w:widowControl w:val="0"/>
        <w:shd w:val="clear" w:color="auto" w:fill="auto"/>
        <w:tabs>
          <w:tab w:pos="2472" w:val="left"/>
        </w:tabs>
        <w:bidi w:val="0"/>
        <w:spacing w:before="0" w:after="12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Judisches lunikon</w:t>
      </w:r>
      <w:r>
        <w:rPr>
          <w:color w:val="000000"/>
          <w:spacing w:val="0"/>
          <w:w w:val="100"/>
          <w:position w:val="0"/>
          <w:shd w:val="clear" w:color="auto" w:fill="auto"/>
        </w:rPr>
        <w:t xml:space="preserve"> IV/1, </w:t>
      </w:r>
      <w:r>
        <w:rPr>
          <w:color w:val="000000"/>
          <w:spacing w:val="0"/>
          <w:w w:val="100"/>
          <w:position w:val="0"/>
          <w:shd w:val="clear" w:color="auto" w:fill="auto"/>
          <w:lang w:val="hr-HR" w:eastAsia="hr-HR" w:bidi="hr-HR"/>
        </w:rPr>
        <w:t xml:space="preserve">1927/1982, 1316-20; I. Hirsch, </w:t>
      </w:r>
      <w:r>
        <w:rPr>
          <w:i/>
          <w:iCs/>
          <w:color w:val="000000"/>
          <w:spacing w:val="0"/>
          <w:w w:val="100"/>
          <w:position w:val="0"/>
          <w:shd w:val="clear" w:color="auto" w:fill="auto"/>
        </w:rPr>
        <w:t>Judische Glaubenswell,</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1978,58 i d.</w:t>
        <w:tab/>
        <w:t>(). VU'ITER</w:t>
      </w:r>
    </w:p>
    <w:p>
      <w:pPr>
        <w:pStyle w:val="Style63"/>
        <w:keepNext/>
        <w:keepLines/>
        <w:widowControl w:val="0"/>
        <w:numPr>
          <w:ilvl w:val="0"/>
          <w:numId w:val="67"/>
        </w:numPr>
        <w:shd w:val="clear" w:color="auto" w:fill="auto"/>
        <w:tabs>
          <w:tab w:pos="255" w:val="left"/>
        </w:tabs>
        <w:bidi w:val="0"/>
        <w:spacing w:before="0" w:line="223" w:lineRule="auto"/>
        <w:ind w:left="0" w:right="0" w:firstLine="0"/>
        <w:jc w:val="both"/>
      </w:pPr>
      <w:bookmarkStart w:id="57" w:name="bookmark5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57"/>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Obredna č. postiže se obredom. Ona je nužna za stupanje u svetište i za slavljenje blagdana. U tu su svrhu moguće ove radnje, npr.: izu- vanje cipela i skidanje odjeće, pranja, uzdrža</w:t>
        <w:softHyphen/>
        <w:t>vanje od hrane, rada i spolnih odnosa. U NZ prevladana je ideja o obrednoj čistoći (Mk 7, 2-5), jer ništa što ulazi u čovjeka izvana, ne može ga onečistiti, nego samo ono što izlazi iz njegova srca (Mk 7,15.20). U svakom slučaju teško je to ispunjavati za onaj dio rane Crkve koji je došao iz židovstva (Gal 2,11-14). Čak Petar sporo razabirc da je mala razlika izme</w:t>
        <w:softHyphen/>
        <w:t xml:space="preserve">đu čiste i nečiste hrane (Dj 10,9-16). Po sebi ništa nije nečisto (Rim 14,14; usp. Tit 1,15). Samo za slabog čovjeka koji se osjeća vezan uz svoju lažnu savjest ima nečiste hrane (Rim 14,1). Čin ljubavi prema patniku je »čisto i neokaljano bogoslužje« (Jak 1,27). Doduše, još se navodi starozavjetna zapovijed (Heb 9, 22), po kojoj krv služi kao sredstvo čišćenja za obredni propust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5,11), a ipak mu se su</w:t>
        <w:softHyphen/>
        <w:t>protstavlja Kristovom krvlju djelotvorno ću</w:t>
        <w:softHyphen/>
        <w:t>doredno čišćenje. Jer, samo Kristova krv ostvaruje očišćenje od svakoga grijeha (1 Iv 1, 7). Vjernici po kupelji krštenja imaju udjela u tom čišćenju (Ef 5,26; Pt 3,21). Kada NZ go</w:t>
        <w:softHyphen/>
        <w:t>vori o nečistoći, misli na ćudorednu nečistoću, npr. bludnost (između ostaloga Rim 1,24). Pa ipak, u kršćanstvo srednjega vijeka prodirali su starozavjetni oblici čišćenja, tako npr. majčin blagoslov nakon rođenja. Liturgija poznaje znakove za čistoću kao što je voda, svjetlo, bi</w:t>
        <w:softHyphen/>
        <w:t>jela boja, krštenička haljina. Pa ipak, to nema nikakve veze s obrednom nečistoćom nego označava čistoću srca i raspoloženja.</w:t>
      </w:r>
    </w:p>
    <w:p>
      <w:pPr>
        <w:pStyle w:val="Style74"/>
        <w:keepNext w:val="0"/>
        <w:keepLines w:val="0"/>
        <w:widowControl w:val="0"/>
        <w:shd w:val="clear" w:color="auto" w:fill="auto"/>
        <w:bidi w:val="0"/>
        <w:spacing w:before="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K. </w:t>
      </w:r>
      <w:r>
        <w:rPr>
          <w:rFonts w:ascii="Times New Roman" w:eastAsia="Times New Roman" w:hAnsi="Times New Roman" w:cs="Times New Roman"/>
          <w:color w:val="000000"/>
          <w:spacing w:val="0"/>
          <w:w w:val="100"/>
          <w:position w:val="0"/>
          <w:shd w:val="clear" w:color="auto" w:fill="auto"/>
          <w:lang w:val="en-US" w:eastAsia="en-US" w:bidi="en-US"/>
        </w:rPr>
        <w:t>RICHTER</w:t>
      </w:r>
    </w:p>
    <w:p>
      <w:pPr>
        <w:pStyle w:val="Style63"/>
        <w:keepNext/>
        <w:keepLines/>
        <w:widowControl w:val="0"/>
        <w:numPr>
          <w:ilvl w:val="0"/>
          <w:numId w:val="67"/>
        </w:numPr>
        <w:shd w:val="clear" w:color="auto" w:fill="auto"/>
        <w:tabs>
          <w:tab w:pos="265" w:val="left"/>
        </w:tabs>
        <w:bidi w:val="0"/>
        <w:spacing w:before="0" w:line="223" w:lineRule="auto"/>
        <w:ind w:left="0" w:right="0" w:firstLine="0"/>
        <w:jc w:val="both"/>
      </w:pPr>
      <w:bookmarkStart w:id="58" w:name="bookmark58"/>
      <w:r>
        <w:rPr>
          <w:rFonts w:ascii="Times New Roman" w:eastAsia="Times New Roman" w:hAnsi="Times New Roman" w:cs="Times New Roman"/>
          <w:color w:val="000000"/>
          <w:spacing w:val="0"/>
          <w:w w:val="100"/>
          <w:position w:val="0"/>
          <w:shd w:val="clear" w:color="auto" w:fill="auto"/>
          <w:lang w:val="hr-HR" w:eastAsia="hr-HR" w:bidi="hr-HR"/>
        </w:rPr>
        <w:t>islamski</w:t>
      </w:r>
      <w:bookmarkEnd w:id="58"/>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 je pola vjere«, kaže se u predaji. Postoji č. duše i č. tijela. Islam zahtijeva obje vrste čis</w:t>
        <w:softHyphen/>
      </w:r>
      <w:r>
        <w:rPr>
          <w:rFonts w:ascii="Times New Roman" w:eastAsia="Times New Roman" w:hAnsi="Times New Roman" w:cs="Times New Roman"/>
          <w:color w:val="000000"/>
          <w:spacing w:val="0"/>
          <w:w w:val="100"/>
          <w:position w:val="0"/>
          <w:shd w:val="clear" w:color="auto" w:fill="auto"/>
          <w:lang w:val="hr-HR" w:eastAsia="hr-HR" w:bidi="hr-HR"/>
        </w:rPr>
        <w:t>toće. Po Kuranu, na sudnji dan čovjeku neće moći pomoći ni sinovi ni prijatelji ni imutak: pomoći će samo čisto srce koje on pruža i koje odlučuje o spasenju njegove duše. Vjera zah</w:t>
        <w:softHyphen/>
        <w:t>tijeva od muslimana da održava čistim tijelo, odjeću i kuću. Molitva se ne smije obavljati nečistoga tijela i u prljavoj odjeći. Musliman je obvezan kupati se najmanje jednom u tjed</w:t>
        <w:softHyphen/>
        <w:t xml:space="preserve">nu, prati se nakon posjeta toaletu i prilikom korištenja toaleta paziti na čistoću odjeće i tijela. Ruke se moraju prati prije i nakon jela. Preporuča se brijanje dlakom obraslih udova jednako kao i to da se uz dušu njeguje i tijelo. Moraju se rezati nokti. Prilikom upotrebe ručnika treba se koristiti lijeva ruka. U Mu- hamedovo doba njega zubi vršena je pomoću jednoga drveta ugodnoga mirisa </w:t>
      </w:r>
      <w:r>
        <w:rPr>
          <w:rFonts w:ascii="Times New Roman" w:eastAsia="Times New Roman" w:hAnsi="Times New Roman" w:cs="Times New Roman"/>
          <w:color w:val="000000"/>
          <w:spacing w:val="0"/>
          <w:w w:val="100"/>
          <w:position w:val="0"/>
          <w:shd w:val="clear" w:color="auto" w:fill="auto"/>
          <w:lang w:val="en-US" w:eastAsia="en-US" w:bidi="en-US"/>
        </w:rPr>
        <w:t xml:space="preserve">(miswak). </w:t>
      </w:r>
      <w:r>
        <w:rPr>
          <w:rFonts w:ascii="Times New Roman" w:eastAsia="Times New Roman" w:hAnsi="Times New Roman" w:cs="Times New Roman"/>
          <w:color w:val="000000"/>
          <w:spacing w:val="0"/>
          <w:w w:val="100"/>
          <w:position w:val="0"/>
          <w:shd w:val="clear" w:color="auto" w:fill="auto"/>
          <w:lang w:val="hr-HR" w:eastAsia="hr-HR" w:bidi="hr-HR"/>
        </w:rPr>
        <w:t>Mnogi muslimani vjerni tradiciji i danas na taj način njeguju zube.</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Inta vjernika koji iz poštovanja prema papiru, na kojemu su napisani sveti spisi, izbjegavaju uporabu toaletnoga papira i ograničuju se na vodu (ili kamenje). To nema nikakve veze s is</w:t>
        <w:softHyphen/>
        <w:t>lamom. Uporaba papira proizvedenog u toa</w:t>
        <w:softHyphen/>
        <w:t>letne svrhe vjerski je nedvojbena i preporuč</w:t>
        <w:softHyphen/>
        <w:t>ljiva iz higijenskih razloga. Svakako da bi se u svakoj muslimanskoj kući, po mogućnosti, tre</w:t>
        <w:softHyphen/>
        <w:t>bao nalaziti i bide.</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»Pljuvati u pravcu Meke predstavlja grubu povredu vjerske pristojnosti«, poučavao je Muhamed. Budući da se na ulici gotovo uopće ne zna, u kojem je smjeru Meka, pljuvanje se mora u potpunosti izbjegavati. Maramica se nosi u lijevom džepu hlača i koristi se lijevom rukom zato što desna ruka služi za pozdrav</w:t>
        <w:softHyphen/>
        <w:t>ljanje i međuljudske dodire. I to je jedan vjer</w:t>
        <w:softHyphen/>
        <w:t>ski naputak jednako kao i uklanjanje s puta neke zapreke ili izvora opasnosti. Vjernik je obvezan pridonositi zdravstvenoj i socijalnoj sigurnosti bližnjih.</w:t>
      </w:r>
    </w:p>
    <w:p>
      <w:pPr>
        <w:pStyle w:val="Style20"/>
        <w:keepNext w:val="0"/>
        <w:keepLines w:val="0"/>
        <w:widowControl w:val="0"/>
        <w:shd w:val="clear" w:color="auto" w:fill="auto"/>
        <w:bidi w:val="0"/>
        <w:spacing w:before="0" w:after="0" w:line="254" w:lineRule="auto"/>
        <w:ind w:left="0" w:right="0" w:firstLine="0"/>
        <w:jc w:val="both"/>
        <w:sectPr>
          <w:footnotePr>
            <w:pos w:val="pageBottom"/>
            <w:numFmt w:val="decimal"/>
            <w:numStart w:val="5"/>
            <w:numRestart w:val="continuous"/>
            <w15:footnoteColumns w:val="1"/>
          </w:footnotePr>
          <w:type w:val="continuous"/>
          <w:pgSz w:w="6816" w:h="11006"/>
          <w:pgMar w:top="978" w:left="185" w:right="190" w:bottom="520" w:header="0" w:footer="3" w:gutter="0"/>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Obveznim molitvama u pravilu prethodi pra</w:t>
        <w:softHyphen/>
        <w:t>nje koje se odnosi na lice i noge te uključuje ispiranje usta i nosa. Tijekom pranja pojedi</w:t>
        <w:softHyphen/>
        <w:t>nih dijelova tijela vjernik razmišlja o djelima koja je počinio između dvije molitve. On pri</w:t>
        <w:softHyphen/>
        <w:t>tom ispituje vrijednost tih djela, uočuje greške i propuste te donosi odluke za poboljšanje svojega ponašanja. Tako će on primjerice na</w:t>
        <w:softHyphen/>
        <w:t>kon spoznaje nedostojnih ili nedoličnih izjavi prilikom pranja usta imati u vidu ćudoredne pranje jezika i misli.</w:t>
      </w:r>
    </w:p>
    <w:p>
      <w:pPr>
        <w:pStyle w:val="Style56"/>
        <w:keepNext w:val="0"/>
        <w:keepLines w:val="0"/>
        <w:widowControl w:val="0"/>
        <w:shd w:val="clear" w:color="auto" w:fill="auto"/>
        <w:tabs>
          <w:tab w:pos="2573" w:val="left"/>
        </w:tabs>
        <w:bidi w:val="0"/>
        <w:spacing w:before="0" w:after="400" w:line="240" w:lineRule="auto"/>
        <w:ind w:left="0" w:right="0" w:firstLine="0"/>
        <w:jc w:val="both"/>
      </w:pPr>
      <w:r>
        <w:rPr>
          <w:color w:val="000000"/>
          <w:spacing w:val="0"/>
          <w:w w:val="100"/>
          <w:position w:val="0"/>
          <w:shd w:val="clear" w:color="auto" w:fill="auto"/>
        </w:rPr>
        <w:t xml:space="preserve">Lit.: W. Montgomery Watc/Alfrcd T. Welch, </w:t>
      </w:r>
      <w:r>
        <w:rPr>
          <w:i/>
          <w:iCs/>
          <w:color w:val="000000"/>
          <w:spacing w:val="0"/>
          <w:w w:val="100"/>
          <w:position w:val="0"/>
          <w:shd w:val="clear" w:color="auto" w:fill="auto"/>
        </w:rPr>
        <w:t>Der Islam 1. Mohammed und die Fnihzeii. Islamisches Rcchl. Religidses Leben,</w:t>
      </w:r>
      <w:r>
        <w:rPr>
          <w:color w:val="000000"/>
          <w:spacing w:val="0"/>
          <w:w w:val="100"/>
          <w:position w:val="0"/>
          <w:shd w:val="clear" w:color="auto" w:fill="auto"/>
        </w:rPr>
        <w:t xml:space="preserve"> Stuttgart/Berlin/KdlrVMainz 1980, 369-371; Alfred Marchionini, Die Bedcutung der ritucllen Rcinigurigsvor* schriften des Islams fur die Dermatologic, u: </w:t>
      </w:r>
      <w:r>
        <w:rPr>
          <w:i/>
          <w:iCs/>
          <w:color w:val="000000"/>
          <w:spacing w:val="0"/>
          <w:w w:val="100"/>
          <w:position w:val="0"/>
          <w:shd w:val="clear" w:color="auto" w:fill="auto"/>
        </w:rPr>
        <w:t xml:space="preserve">Der Hauianzi </w:t>
      </w:r>
      <w:r>
        <w:rPr>
          <w:color w:val="000000"/>
          <w:spacing w:val="0"/>
          <w:w w:val="100"/>
          <w:position w:val="0"/>
          <w:shd w:val="clear" w:color="auto" w:fill="auto"/>
        </w:rPr>
        <w:t>(Berlin) 5 (1954) 8-10.</w:t>
        <w:tab/>
        <w:t xml:space="preserve">S. </w:t>
      </w:r>
      <w:r>
        <w:rPr>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ČOVJEK</w:t>
      </w:r>
    </w:p>
    <w:p>
      <w:pPr>
        <w:pStyle w:val="Style63"/>
        <w:keepNext/>
        <w:keepLines/>
        <w:widowControl w:val="0"/>
        <w:numPr>
          <w:ilvl w:val="0"/>
          <w:numId w:val="69"/>
        </w:numPr>
        <w:shd w:val="clear" w:color="auto" w:fill="auto"/>
        <w:tabs>
          <w:tab w:pos="246" w:val="left"/>
        </w:tabs>
        <w:bidi w:val="0"/>
        <w:spacing w:before="0"/>
        <w:ind w:left="0" w:right="0" w:firstLine="0"/>
        <w:jc w:val="both"/>
      </w:pPr>
      <w:bookmarkStart w:id="59" w:name="bookmark59"/>
      <w:r>
        <w:rPr>
          <w:rFonts w:ascii="Times New Roman" w:eastAsia="Times New Roman" w:hAnsi="Times New Roman" w:cs="Times New Roman"/>
          <w:color w:val="000000"/>
          <w:spacing w:val="0"/>
          <w:w w:val="100"/>
          <w:position w:val="0"/>
          <w:shd w:val="clear" w:color="auto" w:fill="auto"/>
          <w:lang w:val="hr-HR" w:eastAsia="hr-HR" w:bidi="hr-HR"/>
        </w:rPr>
        <w:t>židovski</w:t>
      </w:r>
      <w:bookmarkEnd w:id="59"/>
    </w:p>
    <w:p>
      <w:pPr>
        <w:pStyle w:val="Style20"/>
        <w:keepNext w:val="0"/>
        <w:keepLines w:val="0"/>
        <w:widowControl w:val="0"/>
        <w:numPr>
          <w:ilvl w:val="0"/>
          <w:numId w:val="71"/>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»Č. je ljubimac, jer je stvoren na sliku (Božju).«</w:t>
      </w:r>
      <w:r>
        <w:rPr>
          <w:rFonts w:ascii="Times New Roman" w:eastAsia="Times New Roman" w:hAnsi="Times New Roman" w:cs="Times New Roman"/>
          <w:color w:val="000000"/>
          <w:spacing w:val="0"/>
          <w:w w:val="100"/>
          <w:position w:val="0"/>
          <w:shd w:val="clear" w:color="auto" w:fill="auto"/>
          <w:lang w:val="hr-HR" w:eastAsia="hr-HR" w:bidi="hr-HR"/>
        </w:rPr>
        <w:t xml:space="preserve"> »Na sliku Božju on ga stvori, muško i žensko stvori ih« (Post 1,27). Česta ponav</w:t>
        <w:softHyphen/>
        <w:t xml:space="preserve">ljanja riječi naglašavaju da je č. stvoren na sliku Božju. Od toga se izvode dostojanstvo čovjeka i njegova zadaća. Svaki je pojedinac jednako važan pred Bogom: »Stoga je stvoren samo jedan č. kako bi te poučio da kad netko uništi jednu osobu, Pismo mu to ocjenjuje kao da je uništio cijeli svijet, a ako netko sačuva jednu osobu, Pismo mu to ocjenjuje kao da je sačuvao cijeli svijet«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IV,5). Je</w:t>
        <w:softHyphen/>
        <w:t>dinstvenost i jedincatost pojedinca jasno opi</w:t>
        <w:softHyphen/>
        <w:t xml:space="preserve">suje nastavak iste Mišne: »Veličinu Svetoga, blagoslovljen bio, treba tako objaviti, jer ako jedan č. kuje mnoge kovanice utiskujući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jedan </w:t>
      </w:r>
      <w:r>
        <w:rPr>
          <w:rFonts w:ascii="Times New Roman" w:eastAsia="Times New Roman" w:hAnsi="Times New Roman" w:cs="Times New Roman"/>
          <w:color w:val="000000"/>
          <w:spacing w:val="0"/>
          <w:w w:val="100"/>
          <w:position w:val="0"/>
          <w:shd w:val="clear" w:color="auto" w:fill="auto"/>
          <w:lang w:val="hr-HR" w:eastAsia="hr-HR" w:bidi="hr-HR"/>
        </w:rPr>
        <w:t>pečat, sve su kovanice jednake; ali Kralj nad kraljevima, Sveti, blagoslovljen bio, obilježio je svakoga čovjeka pečatom prvoga, a ipak ni jedan nije jednak drugomu. Stoga je svaki pojedinac dužan reći: Svijet je stvoren radi mene.« Opasnost da će č. precijeniti sebe spriječila je jedna propovijed: »Anđeoski slu</w:t>
        <w:softHyphen/>
        <w:t>ge su se prevarili; kad je Bog stvorio prvoga čovjeka, htjeli su mu uskliknuti: Sveti! Što je učinio Bog? Uspavao je čovjeka u dubok san; sada su znali da je to č.« (Bcrešit raba VIII,1,26). Bog ostaje čovjeku neshvatljiv; on će to morati shvatiti s jezom: »Strah je NJE</w:t>
        <w:softHyphen/>
        <w:t>GOV početak spoznaje« (Izr 1,7); no Bog je čovjeku spoznatljiv u povezanosti s njim: »Č. je ljubimac (Božji), jer je stvoren na njegovu sliku; objavljena mu je posebna ljubav što je stvoren na sliku« (M Avot 111,15). Ta čovjeku objavljena sličnost pokazuje što mu je cilj: ost</w:t>
        <w:softHyphen/>
        <w:t>varenje na sliku Božju Božja je zapovijed čo</w:t>
        <w:softHyphen/>
        <w:t xml:space="preserve">vjeku. Prema hebrejskoj Bibliji čovjek treba biti nalik na Boga u svojim djelima, ali ne smije težiti za tim da postane »kao Bog« (Post 3,5). Biblijski strog nalog čovjeku da svojega Stvoritelja </w:t>
      </w:r>
      <w:r>
        <w:rPr>
          <w:rFonts w:ascii="Times New Roman" w:eastAsia="Times New Roman" w:hAnsi="Times New Roman" w:cs="Times New Roman"/>
          <w:i/>
          <w:iCs/>
          <w:color w:val="000000"/>
          <w:spacing w:val="0"/>
          <w:w w:val="100"/>
          <w:position w:val="0"/>
          <w:shd w:val="clear" w:color="auto" w:fill="auto"/>
          <w:lang w:val="hr-HR" w:eastAsia="hr-HR" w:bidi="hr-HR"/>
        </w:rPr>
        <w:t>nasljeduje</w:t>
      </w:r>
      <w:r>
        <w:rPr>
          <w:rFonts w:ascii="Times New Roman" w:eastAsia="Times New Roman" w:hAnsi="Times New Roman" w:cs="Times New Roman"/>
          <w:color w:val="000000"/>
          <w:spacing w:val="0"/>
          <w:w w:val="100"/>
          <w:position w:val="0"/>
          <w:shd w:val="clear" w:color="auto" w:fill="auto"/>
          <w:lang w:val="hr-HR" w:eastAsia="hr-HR" w:bidi="hr-HR"/>
        </w:rPr>
        <w:t xml:space="preserve"> djelom uglavnom je iz</w:t>
        <w:softHyphen/>
        <w:t xml:space="preserve">ražena u zapovijedi Izraelcima: »Sveti budite, </w:t>
      </w:r>
      <w:r>
        <w:rPr>
          <w:rFonts w:ascii="Times New Roman" w:eastAsia="Times New Roman" w:hAnsi="Times New Roman" w:cs="Times New Roman"/>
          <w:color w:val="000000"/>
          <w:spacing w:val="0"/>
          <w:w w:val="100"/>
          <w:position w:val="0"/>
          <w:shd w:val="clear" w:color="auto" w:fill="auto"/>
          <w:lang w:val="hr-HR" w:eastAsia="hr-HR" w:bidi="hr-HR"/>
        </w:rPr>
        <w:t xml:space="preserve">jer svet sam JA, vaš Bog«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te se riječi ponavljaju pet puta i time se taj zahtjev urezuje u svijest slušatelja (11,44 i d.; 20,7.26). Od njih se očekuje i traži da zbog svetosti Božje postignu ljudsku svetost (posvećenost). Mnogi dokazi o </w:t>
      </w:r>
      <w:r>
        <w:rPr>
          <w:rFonts w:ascii="Times New Roman" w:eastAsia="Times New Roman" w:hAnsi="Times New Roman" w:cs="Times New Roman"/>
          <w:i/>
          <w:iCs/>
          <w:color w:val="000000"/>
          <w:spacing w:val="0"/>
          <w:w w:val="100"/>
          <w:position w:val="0"/>
          <w:shd w:val="clear" w:color="auto" w:fill="auto"/>
          <w:lang w:val="hr-HR" w:eastAsia="hr-HR" w:bidi="hr-HR"/>
        </w:rPr>
        <w:t>nasljedovanju</w:t>
      </w:r>
      <w:r>
        <w:rPr>
          <w:rFonts w:ascii="Times New Roman" w:eastAsia="Times New Roman" w:hAnsi="Times New Roman" w:cs="Times New Roman"/>
          <w:color w:val="000000"/>
          <w:spacing w:val="0"/>
          <w:w w:val="100"/>
          <w:position w:val="0"/>
          <w:shd w:val="clear" w:color="auto" w:fill="auto"/>
          <w:lang w:val="hr-HR" w:eastAsia="hr-HR" w:bidi="hr-HR"/>
        </w:rPr>
        <w:t xml:space="preserve"> Boga: »Idite sa</w:t>
        <w:softHyphen/>
        <w:t>mo za NJIM, Bogom svojim« (Pnz 3,5; usp. 8,6; 10,12; 11,22; 26,17; 30,16; 19,9; Jš 22,5) predstavljaju druge glavne izvore Božjeg zah</w:t>
        <w:softHyphen/>
        <w:t>tjeva postavljenog Izraelcima da njega moraju oponašati. Ta Božja služba treba obuhvatiti cijeli ljudski život. Odlomak koji uvodi zapo</w:t>
        <w:softHyphen/>
        <w:t xml:space="preserve">vijed o svetosti pretvara oponašanje Boga u konkretne odredbe za djelovanje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 i d.). Nepostojanje razlikovanja propisa, koji se protežu na međuljudske odnose i onih koji se tiču odnosa čovjeka prema Bogu, izrazito po</w:t>
        <w:softHyphen/>
        <w:t>kazuje da obje smjernice propisa potječu od Stvoriteljeve volje, pa stoga i vode k njegovu naumu o svetosti. Etička odluka u Tori ne smije se odvajati od religijske; smisao je u čo</w:t>
        <w:softHyphen/>
        <w:t>vjekovu ostvarenju Boga. On ostvaruje uza</w:t>
        <w:softHyphen/>
        <w:t>jamnost - iz koje se, unatoč svoj nepristupač- nostj, ne može izvući - ulazeći u ljubav Božju i skrbeći za potrebite bližnje. U skladu s biblij</w:t>
        <w:softHyphen/>
        <w:t>skim smisao za realnost počinje time da se sla</w:t>
        <w:softHyphen/>
        <w:t xml:space="preserve">boga ne smije tlačiti: »Ne iskorišćuj svoga bližnjega niti ga pljačkaj. Radnikova zarada neka ne ostane pri tebi do jutra«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19,13; usp. 14,14 i d.). Što znači »iskorišćivati« i »pljačkati« slikovito je prikazao jedan mudrac: »’Ne reci svomu bližnjemu: Idi i dođi opet, sjutra ću ti dati’ (Izr 3,28) - to je ‘iskoriš- ćivanje’, ali ako kažeš: imaš kod mene i ne dam ti ništa - to je ‘pljačka’« (b Bava mecia lila). Svoj udio u svetom Bogu, koji je čovje</w:t>
        <w:softHyphen/>
        <w:t>ku dao Stvoritelj, č. mora aktivirati posveći</w:t>
        <w:softHyphen/>
        <w:t>vanjem svakodnevice i oponašati onoga »koji daje pravdu siroti i udovici, ljubi pridošlicu i daje mu hranu i odjeću« (Pnz 10,18 i d.), koji je »počinuo sedmoga dana...blagoslovio ga i posvetio« kako bi i čovjek na šabat otpočinuo od sveg posla i otpočinuli njegovi sluge... (Izl 20,10 i d.), »kako bi otpočinuo tvoj vol i maga</w:t>
        <w:softHyphen/>
        <w:t>rac i predahnuo sin tvoje sluškinje i gost« (23,12). Zajedništvo je ljudi, koje se traži u Tori, bez iluzija i ne poseže za nemogućim; ne nastaje dobrom voljom ili iz nekog svjetona</w:t>
        <w:softHyphen/>
        <w:t>zora; uspostavlja se samo tamo gdje ljudi je</w:t>
        <w:softHyphen/>
        <w:t xml:space="preserve">dan u drugome gledaju jednakoga. Socijalno jači priznaju u drugim stvarima sličnost na Boga: »Ako se stranac nastani u vašoj zemlji, </w:t>
      </w:r>
      <w:r>
        <w:rPr>
          <w:rFonts w:ascii="Times New Roman" w:eastAsia="Times New Roman" w:hAnsi="Times New Roman" w:cs="Times New Roman"/>
          <w:color w:val="000000"/>
          <w:spacing w:val="0"/>
          <w:w w:val="100"/>
          <w:position w:val="0"/>
          <w:shd w:val="clear" w:color="auto" w:fill="auto"/>
          <w:lang w:val="hr-HR" w:eastAsia="hr-HR" w:bidi="hr-HR"/>
        </w:rPr>
        <w:t xml:space="preserve">nemojte ga ugnjetavati. Stranac koji boravi s vama neka vam bude kao sunarodnjak; ljubi ga kao sebe samoga. Ta i vi ste bili stranci u egipatskoj zemlji. JA sam vaš Bog«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19,33 i d.).</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je cilj čovjeka. Ako Božja odluka glasi: »Napravimo čovjeka na svoju sliku nama slič</w:t>
        <w:softHyphen/>
        <w:t>noga!«, izreka o stvaralačkom djelu sadrži sa</w:t>
        <w:softHyphen/>
        <w:t>mo prva imenica, a i posebno je naglašena: »Na svoju sliku stvori Bog čovjeka, na sliku Božju on ga stvori« (Post 1,26 i d.). Jedan tu</w:t>
        <w:softHyphen/>
        <w:t>mač otkrio je u jezičnom odstupanju tajan</w:t>
        <w:softHyphen/>
        <w:t>stvenu uputu na čovjekovu zadaću: »Samo na sliku svoju, a ne i prema sličnosti, jer sličnost je u čovjekovim rukama« (Jalkut Reuveni uz Post 1,27). Postati »jednak, sličan« Bogu kao životni cilj čovjeka koji nije jednak Bogu! To se tumačenje dotiče ranijega u Ps 100,3: »On nas je stvorio i na njemu usavršavamo svoje duše« (Berešit raba C,49,29). Ona »sličnost« s Bogom, koja je beskrajno udaljena od biti jed</w:t>
        <w:softHyphen/>
        <w:t xml:space="preserve">nak Bogu, cilj je čovječjega života; č. je treba postići tako da usavršava svoju stvorenost na njegovu sliku. Učitelji židovstva razradili su zapovijeđeni cilj u životnoj stvarnosti. Aba Šaul (I. stoljeće) nije Izl 15,2 shvatio u smislu: »On je moj Bog, </w:t>
      </w:r>
      <w:r>
        <w:rPr>
          <w:rFonts w:ascii="Times New Roman" w:eastAsia="Times New Roman" w:hAnsi="Times New Roman" w:cs="Times New Roman"/>
          <w:i/>
          <w:iCs/>
          <w:color w:val="000000"/>
          <w:spacing w:val="0"/>
          <w:w w:val="100"/>
          <w:position w:val="0"/>
          <w:shd w:val="clear" w:color="auto" w:fill="auto"/>
          <w:lang w:val="hr-HR" w:eastAsia="hr-HR" w:bidi="hr-HR"/>
        </w:rPr>
        <w:t>njega ja ću slaviti«;</w:t>
      </w:r>
      <w:r>
        <w:rPr>
          <w:rFonts w:ascii="Times New Roman" w:eastAsia="Times New Roman" w:hAnsi="Times New Roman" w:cs="Times New Roman"/>
          <w:color w:val="000000"/>
          <w:spacing w:val="0"/>
          <w:w w:val="100"/>
          <w:position w:val="0"/>
          <w:shd w:val="clear" w:color="auto" w:fill="auto"/>
          <w:lang w:val="hr-HR" w:eastAsia="hr-HR" w:bidi="hr-HR"/>
        </w:rPr>
        <w:t xml:space="preserve"> on je raščlanio hebrejski tekst i pročitao »ja i on« u značenju: ja hoću postati poput njega, točnije: On je Bog moj, ja ću se oblikovati prema nje</w:t>
        <w:softHyphen/>
        <w:t>mu: priključiti se njegovim putovima« (Raši, Komentar Talmuda na b Šabat 133b) kako bi zatim opipljivo dohvatio »Bogu jednako, slič</w:t>
        <w:softHyphen/>
        <w:t>no«: onako »kako je on milostiv i milosrdan, budi i ti milostiv i milosrdan (b Šabat 133b; Mehilta 37a; usp. j Pea 15b; u vezi s obliko</w:t>
        <w:softHyphen/>
        <w:t xml:space="preserve">vanjem teksta </w:t>
      </w:r>
      <w:r>
        <w:rPr>
          <w:rFonts w:ascii="Times New Roman" w:eastAsia="Times New Roman" w:hAnsi="Times New Roman" w:cs="Times New Roman"/>
          <w:color w:val="000000"/>
          <w:spacing w:val="0"/>
          <w:w w:val="100"/>
          <w:position w:val="0"/>
          <w:shd w:val="clear" w:color="auto" w:fill="auto"/>
          <w:lang w:val="en-US" w:eastAsia="en-US" w:bidi="en-US"/>
        </w:rPr>
        <w:t xml:space="preserve">W Bacher,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Agada der Tan- naiten</w:t>
      </w:r>
      <w:r>
        <w:rPr>
          <w:rFonts w:ascii="Times New Roman" w:eastAsia="Times New Roman" w:hAnsi="Times New Roman" w:cs="Times New Roman"/>
          <w:color w:val="000000"/>
          <w:spacing w:val="0"/>
          <w:w w:val="100"/>
          <w:position w:val="0"/>
          <w:shd w:val="clear" w:color="auto" w:fill="auto"/>
          <w:lang w:val="hr-HR" w:eastAsia="hr-HR" w:bidi="hr-HR"/>
        </w:rPr>
        <w:t xml:space="preserve"> /Hagada tanaita/, 1884-90, II, 367 A.2). Uzore za ostvarivanje Boga u svijetu pokazao je Rabi Hama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Hanina (III. stoljeće) po</w:t>
        <w:softHyphen/>
        <w:t>lazeći od Pnz 13,5: »Idite za NJIM, Bogom svojim«, na Pismu: »Štoviše (to nas uči), da treba slijediti djela (‘atribute’) Svetoga, hvaljen bio. Kako on odijeva gole... (Post 3,21), tako i ti odijevaj gole. Kako Sveti, hvaljen bio, posje</w:t>
        <w:softHyphen/>
        <w:t>ćuje bolesnike... (18,1), tako i ti posjećuj bo</w:t>
        <w:softHyphen/>
        <w:t xml:space="preserve">lesnike. Kako Sveti, hvaljen bio, tješi žalob- nike... (25,11), tako i ti tješi žalobnike. Kako Sveti, hvaljen bio, pokapa mrtve... (Pnz 34,6), tako i ti pokapaj mrtve« (b Sota 14a). Božji primjer koji treba nasljedovati ispunja Pismo </w:t>
      </w:r>
      <w:r>
        <w:rPr>
          <w:rFonts w:ascii="Times New Roman" w:eastAsia="Times New Roman" w:hAnsi="Times New Roman" w:cs="Times New Roman"/>
          <w:color w:val="000000"/>
          <w:spacing w:val="0"/>
          <w:w w:val="100"/>
          <w:position w:val="0"/>
          <w:shd w:val="clear" w:color="auto" w:fill="auto"/>
          <w:lang w:val="hr-HR" w:eastAsia="hr-HR" w:bidi="hr-HR"/>
        </w:rPr>
        <w:t>drugom izrekom: »Tora počinje s dobročin</w:t>
        <w:softHyphen/>
        <w:t xml:space="preserve">stvom i završava s dobročinstvom« (Post 3,21; Pnz 34,6,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Čovjeku objavljeni načini Božjeg djelovanja u ophođenju sa stvorenjima zapovjeđene su mu dužnosti </w:t>
      </w:r>
      <w:r>
        <w:rPr>
          <w:rFonts w:ascii="Times New Roman" w:eastAsia="Times New Roman" w:hAnsi="Times New Roman" w:cs="Times New Roman"/>
          <w:i/>
          <w:iCs/>
          <w:color w:val="000000"/>
          <w:spacing w:val="0"/>
          <w:w w:val="100"/>
          <w:position w:val="0"/>
          <w:shd w:val="clear" w:color="auto" w:fill="auto"/>
          <w:lang w:val="hr-HR" w:eastAsia="hr-HR" w:bidi="hr-HR"/>
        </w:rPr>
        <w:t>(micvotj</w:t>
      </w:r>
      <w:r>
        <w:rPr>
          <w:rFonts w:ascii="Times New Roman" w:eastAsia="Times New Roman" w:hAnsi="Times New Roman" w:cs="Times New Roman"/>
          <w:color w:val="000000"/>
          <w:spacing w:val="0"/>
          <w:w w:val="100"/>
          <w:position w:val="0"/>
          <w:shd w:val="clear" w:color="auto" w:fill="auto"/>
          <w:lang w:val="hr-HR" w:eastAsia="hr-HR" w:bidi="hr-HR"/>
        </w:rPr>
        <w:t xml:space="preserve"> u naslje</w:t>
        <w:softHyphen/>
        <w:t>dovanju Boga. Midraš poziva na to nasljedo</w:t>
        <w:softHyphen/>
        <w:t>vanje kad Bog dopušta Abrahamu riječi: »Moj put i način jest činiti dobro, ti si to prihvatio« (Berešit raba LIX,23,19).</w:t>
      </w:r>
    </w:p>
    <w:p>
      <w:pPr>
        <w:pStyle w:val="Style20"/>
        <w:keepNext w:val="0"/>
        <w:keepLines w:val="0"/>
        <w:widowControl w:val="0"/>
        <w:numPr>
          <w:ilvl w:val="0"/>
          <w:numId w:val="71"/>
        </w:numPr>
        <w:shd w:val="clear" w:color="auto" w:fill="auto"/>
        <w:tabs>
          <w:tab w:pos="270" w:val="left"/>
        </w:tabs>
        <w:bidi w:val="0"/>
        <w:spacing w:before="0" w:after="0" w:line="257" w:lineRule="auto"/>
        <w:ind w:left="0" w:right="0" w:firstLine="0"/>
        <w:jc w:val="both"/>
        <w:sectPr>
          <w:headerReference w:type="default" r:id="rId263"/>
          <w:footerReference w:type="default" r:id="rId264"/>
          <w:headerReference w:type="even" r:id="rId265"/>
          <w:footerReference w:type="even" r:id="rId266"/>
          <w:headerReference w:type="first" r:id="rId267"/>
          <w:footerReference w:type="first" r:id="rId268"/>
          <w:footnotePr>
            <w:pos w:val="pageBottom"/>
            <w:numFmt w:val="decimal"/>
            <w:numStart w:val="5"/>
            <w:numRestart w:val="continuous"/>
            <w15:footnoteColumns w:val="1"/>
          </w:footnotePr>
          <w:pgSz w:w="6816" w:h="11006"/>
          <w:pgMar w:top="978" w:left="185" w:right="190" w:bottom="520" w:header="0" w:footer="3" w:gutter="0"/>
          <w:cols w:num="2" w:space="18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»5 </w:t>
      </w:r>
      <w:r>
        <w:rPr>
          <w:rFonts w:ascii="Times New Roman" w:eastAsia="Times New Roman" w:hAnsi="Times New Roman" w:cs="Times New Roman"/>
          <w:i/>
          <w:iCs/>
          <w:color w:val="000000"/>
          <w:spacing w:val="0"/>
          <w:w w:val="100"/>
          <w:position w:val="0"/>
          <w:shd w:val="clear" w:color="auto" w:fill="auto"/>
          <w:lang w:val="hr-HR" w:eastAsia="hr-HR" w:bidi="hr-HR"/>
        </w:rPr>
        <w:t>oba nagona, dobrim i zlim«: Č.</w:t>
      </w:r>
      <w:r>
        <w:rPr>
          <w:rFonts w:ascii="Times New Roman" w:eastAsia="Times New Roman" w:hAnsi="Times New Roman" w:cs="Times New Roman"/>
          <w:color w:val="000000"/>
          <w:spacing w:val="0"/>
          <w:w w:val="100"/>
          <w:position w:val="0"/>
          <w:shd w:val="clear" w:color="auto" w:fill="auto"/>
          <w:lang w:val="hr-HR" w:eastAsia="hr-HR" w:bidi="hr-HR"/>
        </w:rPr>
        <w:t xml:space="preserve"> se raz</w:t>
        <w:softHyphen/>
        <w:t>likuje od drugih stvorenja time što je stvoren na sliku i priliku Božju i što se može slobodno odlučiti između dobra i zla, birati između čes</w:t>
        <w:softHyphen/>
        <w:t>titosti i grijeha, poslušnosti i neposlušnosti: »Gledaj! Danas preda te stavljam život i do</w:t>
        <w:softHyphen/>
        <w:t xml:space="preserve">bro, smrt i zlo« (Pnz 30,15). Primljeni život č. može sam oblikovati, i može se obratiti ako je pošao krivim putem. </w:t>
      </w:r>
      <w:r>
        <w:rPr>
          <w:rFonts w:ascii="Times New Roman" w:eastAsia="Times New Roman" w:hAnsi="Times New Roman" w:cs="Times New Roman"/>
          <w:color w:val="000000"/>
          <w:spacing w:val="0"/>
          <w:w w:val="100"/>
          <w:position w:val="0"/>
          <w:shd w:val="clear" w:color="auto" w:fill="auto"/>
          <w:lang w:val="en-US" w:eastAsia="en-US" w:bidi="en-US"/>
        </w:rPr>
        <w:t xml:space="preserve">Samson Raphael Hirsch, </w:t>
      </w:r>
      <w:r>
        <w:rPr>
          <w:rFonts w:ascii="Times New Roman" w:eastAsia="Times New Roman" w:hAnsi="Times New Roman" w:cs="Times New Roman"/>
          <w:color w:val="000000"/>
          <w:spacing w:val="0"/>
          <w:w w:val="100"/>
          <w:position w:val="0"/>
          <w:shd w:val="clear" w:color="auto" w:fill="auto"/>
          <w:lang w:val="hr-HR" w:eastAsia="hr-HR" w:bidi="hr-HR"/>
        </w:rPr>
        <w:t>utemeljitelj neoortodoksije u XIX. stoljeću, izrazio je to ovako: »Ne vjeruj da si slab! Ne vjeruj da ne bi mogao ipak nakraju pobijediti zato što si tako često podlegao grijehu! Za ono što Bog traži, daje i snagu. Na ulasku u privremenu ovostranost Bog svakoga čovjeka oprema snagom za revnost u ispunjavanju ob</w:t>
        <w:softHyphen/>
        <w:t>veza... trebaš težiti samo za unutarnjom čis</w:t>
        <w:softHyphen/>
        <w:t xml:space="preserve">toćom, ponovno postati ono što si nekoć bio« </w:t>
      </w:r>
      <w:r>
        <w:rPr>
          <w:rFonts w:ascii="Times New Roman" w:eastAsia="Times New Roman" w:hAnsi="Times New Roman" w:cs="Times New Roman"/>
          <w:i/>
          <w:iCs/>
          <w:color w:val="000000"/>
          <w:spacing w:val="0"/>
          <w:w w:val="100"/>
          <w:position w:val="0"/>
          <w:shd w:val="clear" w:color="auto" w:fill="auto"/>
          <w:lang w:val="en-US" w:eastAsia="en-US" w:bidi="en-US"/>
        </w:rPr>
        <w:t xml:space="preserve">(Choreb. Oder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Versuche uber Jissroels Pflichten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Zerstreuung</w:t>
      </w:r>
      <w:r>
        <w:rPr>
          <w:rFonts w:ascii="Times New Roman" w:eastAsia="Times New Roman" w:hAnsi="Times New Roman" w:cs="Times New Roman"/>
          <w:color w:val="000000"/>
          <w:spacing w:val="0"/>
          <w:w w:val="100"/>
          <w:position w:val="0"/>
          <w:shd w:val="clear" w:color="auto" w:fill="auto"/>
          <w:lang w:val="hr-HR" w:eastAsia="hr-HR" w:bidi="hr-HR"/>
        </w:rPr>
        <w:t xml:space="preserve"> /Horeb. Ili ogledi o obve</w:t>
        <w:softHyphen/>
        <w:t>zama židovskoga naroda u dijaspori/ 1837, pogl. 79, § 519). To je bilo u skladu s rabin- skim shvaćanjem: »Sve je (Bog) predvidio i dao slobodnu volju« (M Avot 111,16), tj. č. slo</w:t>
        <w:softHyphen/>
        <w:t>bodno može, samo ako hoće, ispuniti Božju volju. Prema tradicijskoj literaturi č. je pod utjecajem dvaju suprotnih nagona, dviju sklo</w:t>
        <w:softHyphen/>
        <w:t>nosti ili težnja; ali on im nije izložen na milost i nemilost. On, štoviše, može na vlastitu odgo</w:t>
        <w:softHyphen/>
        <w:t>vornost odlučiti koji će od ta dva nagona slije</w:t>
        <w:softHyphen/>
        <w:t xml:space="preserve">diti. Midraš je s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4,13; »Bolji je mladić si</w:t>
        <w:softHyphen/>
        <w:t>romašan a mudar nego kralj star a lud, koji više ne zna za savjet« upozorio na dva nagona: »Pod siromašnim ali mudrim mladićem treba shvatiti dobar nagon. Ali, zašto se on naziva mladićem? Zato što se on u čovjeku budi tek od trinaeste godine. Zašto se naziva siromaš</w:t>
        <w:softHyphen/>
        <w:t>nim? Zato što ga ne slušaju svi. Zašto se na</w:t>
        <w:softHyphen/>
        <w:t>ziva mudrim? Zato što čovjeka uči pravom putu. U starom i ludom kralju podrazumijeva se zli nagon. Zašto se on naziva kraljem? Zato što ga svi slušaju. Zašto se naziva starim?</w:t>
      </w:r>
    </w:p>
    <w:p>
      <w:pPr>
        <w:pStyle w:val="Style20"/>
        <w:keepNext w:val="0"/>
        <w:keepLines w:val="0"/>
        <w:widowControl w:val="0"/>
        <w:shd w:val="clear" w:color="auto" w:fill="auto"/>
        <w:bidi w:val="0"/>
        <w:spacing w:before="0" w:after="14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Zato što je s čovjekom od mladosti do starosti imao muke. Zašto se naziva ludim? Zato što čovjeka uči lošem putu ne znajući koliko će ga snaći patnje i boli, a on ipak ne dopušta sa</w:t>
        <w:softHyphen/>
        <w:t xml:space="preserve">vjet«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IV,13). Jedan tekst već prenosi dojam o bogatstvu objašnjenja i oštroumlja u psihološkom uvidu rabina koji se u svojim oči</w:t>
        <w:softHyphen/>
        <w:t xml:space="preserve">tovanjima snalaze s oba nagona (usp. H. L. Strack/P. </w:t>
      </w:r>
      <w:r>
        <w:rPr>
          <w:rFonts w:ascii="Times New Roman" w:eastAsia="Times New Roman" w:hAnsi="Times New Roman" w:cs="Times New Roman"/>
          <w:color w:val="000000"/>
          <w:spacing w:val="0"/>
          <w:w w:val="100"/>
          <w:position w:val="0"/>
          <w:shd w:val="clear" w:color="auto" w:fill="auto"/>
          <w:lang w:val="en-US" w:eastAsia="en-US" w:bidi="en-US"/>
        </w:rPr>
        <w:t xml:space="preserve">Billerbeck,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Kommentar </w:t>
      </w:r>
      <w:r>
        <w:rPr>
          <w:rFonts w:ascii="Times New Roman" w:eastAsia="Times New Roman" w:hAnsi="Times New Roman" w:cs="Times New Roman"/>
          <w:i/>
          <w:iCs/>
          <w:color w:val="000000"/>
          <w:spacing w:val="0"/>
          <w:w w:val="100"/>
          <w:position w:val="0"/>
          <w:shd w:val="clear" w:color="auto" w:fill="auto"/>
          <w:lang w:val="en-US" w:eastAsia="en-US" w:bidi="en-US"/>
        </w:rPr>
        <w:t xml:space="preserve">zum NT </w:t>
      </w:r>
      <w:r>
        <w:rPr>
          <w:rFonts w:ascii="Times New Roman" w:eastAsia="Times New Roman" w:hAnsi="Times New Roman" w:cs="Times New Roman"/>
          <w:i/>
          <w:iCs/>
          <w:color w:val="000000"/>
          <w:spacing w:val="0"/>
          <w:w w:val="100"/>
          <w:position w:val="0"/>
          <w:shd w:val="clear" w:color="auto" w:fill="auto"/>
          <w:lang w:val="hr-HR" w:eastAsia="hr-HR" w:bidi="hr-HR"/>
        </w:rPr>
        <w:t xml:space="preserve">aus </w:t>
      </w:r>
      <w:r>
        <w:rPr>
          <w:rFonts w:ascii="Times New Roman" w:eastAsia="Times New Roman" w:hAnsi="Times New Roman" w:cs="Times New Roman"/>
          <w:i/>
          <w:iCs/>
          <w:color w:val="000000"/>
          <w:spacing w:val="0"/>
          <w:w w:val="100"/>
          <w:position w:val="0"/>
          <w:shd w:val="clear" w:color="auto" w:fill="auto"/>
          <w:lang w:val="en-US" w:eastAsia="en-US" w:bidi="en-US"/>
        </w:rPr>
        <w:t>Talmud und Midrasch,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IV.1, 1928,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6</w:t>
      </w:r>
      <w:r>
        <w:rPr>
          <w:rFonts w:ascii="Times New Roman" w:eastAsia="Times New Roman" w:hAnsi="Times New Roman" w:cs="Times New Roman"/>
          <w:color w:val="000000"/>
          <w:spacing w:val="0"/>
          <w:w w:val="100"/>
          <w:position w:val="0"/>
          <w:shd w:val="clear" w:color="auto" w:fill="auto"/>
          <w:lang w:val="hr-HR" w:eastAsia="hr-HR" w:bidi="hr-HR"/>
        </w:rPr>
        <w:t xml:space="preserve">1975, 466-83; </w:t>
      </w:r>
      <w:r>
        <w:rPr>
          <w:rFonts w:ascii="Times New Roman" w:eastAsia="Times New Roman" w:hAnsi="Times New Roman" w:cs="Times New Roman"/>
          <w:color w:val="000000"/>
          <w:spacing w:val="0"/>
          <w:w w:val="100"/>
          <w:position w:val="0"/>
          <w:shd w:val="clear" w:color="auto" w:fill="auto"/>
          <w:lang w:val="en-US" w:eastAsia="en-US" w:bidi="en-US"/>
        </w:rPr>
        <w:t xml:space="preserve">W. Bousset/H. Gressmann, </w:t>
      </w:r>
      <w:r>
        <w:rPr>
          <w:rFonts w:ascii="Times New Roman" w:eastAsia="Times New Roman" w:hAnsi="Times New Roman" w:cs="Times New Roman"/>
          <w:i/>
          <w:iCs/>
          <w:color w:val="000000"/>
          <w:spacing w:val="0"/>
          <w:w w:val="100"/>
          <w:position w:val="0"/>
          <w:shd w:val="clear" w:color="auto" w:fill="auto"/>
          <w:lang w:val="en-US" w:eastAsia="en-US" w:bidi="en-US"/>
        </w:rPr>
        <w:t>Die Reli</w:t>
        <w:softHyphen/>
        <w:t xml:space="preserve">gion des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Judentums im </w:t>
      </w:r>
      <w:r>
        <w:rPr>
          <w:rFonts w:ascii="Times New Roman" w:eastAsia="Times New Roman" w:hAnsi="Times New Roman" w:cs="Times New Roman"/>
          <w:i/>
          <w:iCs/>
          <w:color w:val="000000"/>
          <w:spacing w:val="0"/>
          <w:w w:val="100"/>
          <w:position w:val="0"/>
          <w:shd w:val="clear" w:color="auto" w:fill="auto"/>
          <w:lang w:val="en-US" w:eastAsia="en-US" w:bidi="en-US"/>
        </w:rPr>
        <w:t>spdthellenistisehen Zeit- alter,</w:t>
      </w:r>
      <w:r>
        <w:rPr>
          <w:rFonts w:ascii="Times New Roman" w:eastAsia="Times New Roman" w:hAnsi="Times New Roman" w:cs="Times New Roman"/>
          <w:color w:val="000000"/>
          <w:spacing w:val="0"/>
          <w:w w:val="100"/>
          <w:position w:val="0"/>
          <w:shd w:val="clear" w:color="auto" w:fill="auto"/>
          <w:lang w:val="en-US" w:eastAsia="en-US" w:bidi="en-US"/>
        </w:rPr>
        <w:t xml:space="preserve"> “’1966, 402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Mudraci su znali za čo</w:t>
        <w:softHyphen/>
        <w:t xml:space="preserve">vjekovu pokvarcnost koju su oni tumačili s </w:t>
      </w:r>
      <w:r>
        <w:rPr>
          <w:rFonts w:ascii="Times New Roman" w:eastAsia="Times New Roman" w:hAnsi="Times New Roman" w:cs="Times New Roman"/>
          <w:i/>
          <w:iCs/>
          <w:color w:val="000000"/>
          <w:spacing w:val="0"/>
          <w:w w:val="100"/>
          <w:position w:val="0"/>
          <w:shd w:val="clear" w:color="auto" w:fill="auto"/>
          <w:lang w:val="hr-HR" w:eastAsia="hr-HR" w:bidi="hr-HR"/>
        </w:rPr>
        <w:t>je- cer ha-ra</w:t>
      </w:r>
      <w:r>
        <w:rPr>
          <w:rFonts w:ascii="Times New Roman" w:eastAsia="Times New Roman" w:hAnsi="Times New Roman" w:cs="Times New Roman"/>
          <w:color w:val="000000"/>
          <w:spacing w:val="0"/>
          <w:w w:val="100"/>
          <w:position w:val="0"/>
          <w:shd w:val="clear" w:color="auto" w:fill="auto"/>
          <w:lang w:val="hr-HR" w:eastAsia="hr-HR" w:bidi="hr-HR"/>
        </w:rPr>
        <w:t xml:space="preserve"> (»zli nagon«) u svakome (j Berahot III,6d; Avot rabina Natana 16; b Nedarim 32b;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91b.99b; Suka 52a.b); njihova vjera u snagu za dobro, koju je Stvoritelj dao čovjeku, ipak nije bila uzdrmana: »Ako dode zli nagon i želi te navesti na nedolične šale, odgurni ga od sebe riječima iz Tore (tj. opo</w:t>
        <w:softHyphen/>
        <w:t>meni ga na učenje Tore). Ako tako postupiš, pripisat će ti se u zaslugu kao da si stvorio mir i dva svijeta. Mogao bi pomisliti kako to nije u tvojoj moći i kako ti nedostaje samopouzda</w:t>
        <w:softHyphen/>
        <w:t>nja, pa te upućujem na Toru, Post 4,7: ‘Na tebe vreba njegova pohlepa - no ti ćeš ga svla</w:t>
        <w:softHyphen/>
        <w:t xml:space="preserve">dati!'« (Berešit raba XXII,4,6). Vjerujući u Božju pravednost, mudraci su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jeceru ha-ra </w:t>
      </w:r>
      <w:r>
        <w:rPr>
          <w:rFonts w:ascii="Times New Roman" w:eastAsia="Times New Roman" w:hAnsi="Times New Roman" w:cs="Times New Roman"/>
          <w:color w:val="000000"/>
          <w:spacing w:val="0"/>
          <w:w w:val="100"/>
          <w:position w:val="0"/>
          <w:shd w:val="clear" w:color="auto" w:fill="auto"/>
          <w:lang w:val="hr-HR" w:eastAsia="hr-HR" w:bidi="hr-HR"/>
        </w:rPr>
        <w:t>pripisivali važnu božansku funkciju; da nema njega, ne bi bilo obitelji, ni trgovanja ni prom</w:t>
        <w:softHyphen/>
        <w:t>jena. Bog ga je usadio u svoje stvorenje kako bi se č. dokazao u dobročinstvu i borbi protiv zla i dovršio sliku Boga na koju je stvoren. Riječi u Post 1,31: »I vidje Bog sve što je učinio, i bijaše vrlo dobro« odnose se na do</w:t>
        <w:softHyphen/>
        <w:t xml:space="preserve">bar nagon, za razliku od riječi: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vidi, bijaše vrlo dobro’ koje se odnose na zli nagon. Zar je zli nagon vrlo dobar? Jest, jer kad njega ne bi bilo, ne bi ni jedan č. sagradio kuću, oženio se, stvarao djecu i trgovao«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IX,31). Stoga č. treba ljubiti Boga s oba ta nagona: »Svim srcem (Pnz 6,5) znači: s oba nagona, dobrim i zlim« (M Berahot IX,5; usp. Tos. VII,7; Šifre uz Pnz 6,5). Naime, ista stvorena sila strasti, koja proizvodi zlo, ako je č. ne podvrgne Božjoj zapovijedi, stvara dobro ako je č. usmje</w:t>
        <w:softHyphen/>
        <w:t>ri prema dobru.</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M. Bubcr, </w:t>
      </w:r>
      <w:r>
        <w:rPr>
          <w:i/>
          <w:iCs/>
          <w:color w:val="000000"/>
          <w:spacing w:val="0"/>
          <w:w w:val="100"/>
          <w:position w:val="0"/>
          <w:shd w:val="clear" w:color="auto" w:fill="auto"/>
          <w:lang w:val="hr-HR" w:eastAsia="hr-HR" w:bidi="hr-HR"/>
        </w:rPr>
        <w:t xml:space="preserve">Redcn </w:t>
      </w:r>
      <w:r>
        <w:rPr>
          <w:i/>
          <w:iCs/>
          <w:color w:val="000000"/>
          <w:spacing w:val="0"/>
          <w:w w:val="100"/>
          <w:position w:val="0"/>
          <w:shd w:val="clear" w:color="auto" w:fill="auto"/>
        </w:rPr>
        <w:t xml:space="preserve">uber </w:t>
      </w:r>
      <w:r>
        <w:rPr>
          <w:i/>
          <w:iCs/>
          <w:color w:val="000000"/>
          <w:spacing w:val="0"/>
          <w:w w:val="100"/>
          <w:position w:val="0"/>
          <w:shd w:val="clear" w:color="auto" w:fill="auto"/>
          <w:lang w:val="hr-HR" w:eastAsia="hr-HR" w:bidi="hr-HR"/>
        </w:rPr>
        <w:t>das Judentum,</w:t>
      </w:r>
      <w:r>
        <w:rPr>
          <w:color w:val="000000"/>
          <w:spacing w:val="0"/>
          <w:w w:val="100"/>
          <w:position w:val="0"/>
          <w:shd w:val="clear" w:color="auto" w:fill="auto"/>
          <w:lang w:val="hr-HR" w:eastAsia="hr-HR" w:bidi="hr-HR"/>
        </w:rPr>
        <w:t xml:space="preserve"> *1932,103 i d.; isti. </w:t>
      </w:r>
      <w:r>
        <w:rPr>
          <w:i/>
          <w:iCs/>
          <w:color w:val="000000"/>
          <w:spacing w:val="0"/>
          <w:w w:val="100"/>
          <w:position w:val="0"/>
          <w:shd w:val="clear" w:color="auto" w:fill="auto"/>
        </w:rPr>
        <w:t xml:space="preserve">Kampf </w:t>
      </w:r>
      <w:r>
        <w:rPr>
          <w:i/>
          <w:iCs/>
          <w:color w:val="000000"/>
          <w:spacing w:val="0"/>
          <w:w w:val="100"/>
          <w:position w:val="0"/>
          <w:shd w:val="clear" w:color="auto" w:fill="auto"/>
          <w:lang w:val="hr-HR" w:eastAsia="hr-HR" w:bidi="hr-HR"/>
        </w:rPr>
        <w:t xml:space="preserve">utn </w:t>
      </w:r>
      <w:r>
        <w:rPr>
          <w:i/>
          <w:iCs/>
          <w:color w:val="000000"/>
          <w:spacing w:val="0"/>
          <w:w w:val="100"/>
          <w:position w:val="0"/>
          <w:shd w:val="clear" w:color="auto" w:fill="auto"/>
        </w:rPr>
        <w:t xml:space="preserve">Israel. Reden </w:t>
      </w:r>
      <w:r>
        <w:rPr>
          <w:i/>
          <w:iCs/>
          <w:color w:val="000000"/>
          <w:spacing w:val="0"/>
          <w:w w:val="100"/>
          <w:position w:val="0"/>
          <w:shd w:val="clear" w:color="auto" w:fill="auto"/>
          <w:lang w:val="hr-HR" w:eastAsia="hr-HR" w:bidi="hr-HR"/>
        </w:rPr>
        <w:t>und Schriflen</w:t>
      </w:r>
      <w:r>
        <w:rPr>
          <w:color w:val="000000"/>
          <w:spacing w:val="0"/>
          <w:w w:val="100"/>
          <w:position w:val="0"/>
          <w:shd w:val="clear" w:color="auto" w:fill="auto"/>
          <w:lang w:val="hr-HR" w:eastAsia="hr-HR" w:bidi="hr-HR"/>
        </w:rPr>
        <w:t xml:space="preserve"> 1921-32. 1933. 50 i d., 68 i d.; A. Marmurslcin, </w:t>
      </w:r>
      <w:r>
        <w:rPr>
          <w:i/>
          <w:iCs/>
          <w:color w:val="000000"/>
          <w:spacing w:val="0"/>
          <w:w w:val="100"/>
          <w:position w:val="0"/>
          <w:shd w:val="clear" w:color="auto" w:fill="auto"/>
        </w:rPr>
        <w:t>Studies in Jewish Theology,</w:t>
      </w:r>
    </w:p>
    <w:p>
      <w:pPr>
        <w:pStyle w:val="Style56"/>
        <w:keepNext w:val="0"/>
        <w:keepLines w:val="0"/>
        <w:widowControl w:val="0"/>
        <w:shd w:val="clear" w:color="auto" w:fill="auto"/>
        <w:tabs>
          <w:tab w:pos="2443" w:val="left"/>
        </w:tabs>
        <w:bidi w:val="0"/>
        <w:spacing w:before="0" w:after="120" w:line="240" w:lineRule="auto"/>
        <w:ind w:left="0" w:right="0" w:firstLine="0"/>
        <w:jc w:val="both"/>
      </w:pPr>
      <w:r>
        <w:rPr>
          <w:color w:val="000000"/>
          <w:spacing w:val="0"/>
          <w:w w:val="100"/>
          <w:position w:val="0"/>
          <w:shd w:val="clear" w:color="auto" w:fill="auto"/>
        </w:rPr>
        <w:t xml:space="preserve">1950, 106-21; S. </w:t>
      </w:r>
      <w:r>
        <w:rPr>
          <w:color w:val="000000"/>
          <w:spacing w:val="0"/>
          <w:w w:val="100"/>
          <w:position w:val="0"/>
          <w:shd w:val="clear" w:color="auto" w:fill="auto"/>
          <w:lang w:val="hr-HR" w:eastAsia="hr-HR" w:bidi="hr-HR"/>
        </w:rPr>
        <w:t xml:space="preserve">BcrvChorin, </w:t>
      </w:r>
      <w:r>
        <w:rPr>
          <w:i/>
          <w:iCs/>
          <w:color w:val="000000"/>
          <w:spacing w:val="0"/>
          <w:w w:val="100"/>
          <w:position w:val="0"/>
          <w:shd w:val="clear" w:color="auto" w:fill="auto"/>
        </w:rPr>
        <w:t xml:space="preserve">Der drcidimensiotuiie Mensch, </w:t>
      </w:r>
      <w:r>
        <w:rPr>
          <w:color w:val="000000"/>
          <w:spacing w:val="0"/>
          <w:w w:val="100"/>
          <w:position w:val="0"/>
          <w:shd w:val="clear" w:color="auto" w:fill="auto"/>
        </w:rPr>
        <w:t xml:space="preserve">1971; E. E. Urbach, </w:t>
      </w:r>
      <w:r>
        <w:rPr>
          <w:i/>
          <w:iCs/>
          <w:color w:val="000000"/>
          <w:spacing w:val="0"/>
          <w:w w:val="100"/>
          <w:position w:val="0"/>
          <w:shd w:val="clear" w:color="auto" w:fill="auto"/>
        </w:rPr>
        <w:t xml:space="preserve">The Sages - Their Concepts and Beliefs, </w:t>
      </w:r>
      <w:r>
        <w:rPr>
          <w:color w:val="000000"/>
          <w:spacing w:val="0"/>
          <w:w w:val="100"/>
          <w:position w:val="0"/>
          <w:shd w:val="clear" w:color="auto" w:fill="auto"/>
        </w:rPr>
        <w:t xml:space="preserve">1975, 214—54; P. Nave Ixvinson, </w:t>
      </w:r>
      <w:r>
        <w:rPr>
          <w:i/>
          <w:iCs/>
          <w:color w:val="000000"/>
          <w:spacing w:val="0"/>
          <w:w w:val="100"/>
          <w:position w:val="0"/>
          <w:shd w:val="clear" w:color="auto" w:fill="auto"/>
        </w:rPr>
        <w:t>Einfuhrung in die rabbi' nische Theologie,</w:t>
      </w:r>
      <w:r>
        <w:rPr>
          <w:color w:val="000000"/>
          <w:spacing w:val="0"/>
          <w:w w:val="100"/>
          <w:position w:val="0"/>
          <w:shd w:val="clear" w:color="auto" w:fill="auto"/>
        </w:rPr>
        <w:t xml:space="preserve"> 1982, 52-87.</w:t>
        <w:tab/>
        <w:t>1) VliTTER</w:t>
      </w:r>
    </w:p>
    <w:p>
      <w:pPr>
        <w:pStyle w:val="Style63"/>
        <w:keepNext/>
        <w:keepLines/>
        <w:widowControl w:val="0"/>
        <w:numPr>
          <w:ilvl w:val="0"/>
          <w:numId w:val="69"/>
        </w:numPr>
        <w:shd w:val="clear" w:color="auto" w:fill="auto"/>
        <w:tabs>
          <w:tab w:pos="260" w:val="left"/>
        </w:tabs>
        <w:bidi w:val="0"/>
        <w:spacing w:before="0" w:after="80"/>
        <w:ind w:left="0" w:right="0" w:firstLine="0"/>
        <w:jc w:val="both"/>
      </w:pPr>
      <w:bookmarkStart w:id="60" w:name="bookmark6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60"/>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SZ predstavlja kao najvažnije Stvoriteljevo djelo čovjeka (Post 1,1-2,4a; 2,4b-7; usp. Ps 8) koji se svojom sličnošću s Bogom odjeljuje od ostalog stvorenja, ali po sebi nije ništa (Iz 2,22) i priznaje svoju ovisnost o Bogu (Post 3,8 i d.; 4,9 i d.). Čovjekov život odvija se pred Bogom (Post 17,1; 24,40; 1 Sam 2,35 itd.), u živom odnosu prema brižnom Bogu koji po</w:t>
        <w:softHyphen/>
        <w:t>stavlja zakone (Pnz 6,1 i d.; 1 Kr 9,4 i d.), ko</w:t>
        <w:softHyphen/>
        <w:t>jem je jedino odgovoran (Ps 2,11 i d ). Propast prijeti čovjeku koji zloupotrebljava svoj po</w:t>
        <w:softHyphen/>
        <w:t>ložaj u stvorenom svijetu i odvaja se od Boga (Ps 10,2-11).</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SZ vidi čovjeka cjelovito zbog čega ne poznaje besmrtnost duše. Duša, tijelo i duh nisu uza</w:t>
        <w:softHyphen/>
        <w:t>jamno suprotstavljeni. Č. i njegovo tijelo (npr. Ps 16,9 i d.), njegova duša (npr. Ps 49,16) i njegov duh (Ps 31,6) javljaju se kao jednako vrijedne oznake. Fizički i psihički čovjekov ži</w:t>
        <w:softHyphen/>
        <w:t xml:space="preserve">vot ima svoje sjedište u duši kao u duhu, u tijelu kao u srcu (Suci 16,5; 1 Sam 25,37; Ps 22,27 itd.), ali su ipak intelektualne djelatnosti i voljne odluke pripisivane prije svega srcu (Iz! 31,6; 1 Sam 14,7;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9,4 itd.). Č. je član rod</w:t>
        <w:softHyphen/>
        <w:t>binskog ili narodnog saveza kao sudbinskog zajedništva (Post 34,7; Izl 20,5; Suci 1,24 i d. itd.), ali istodobno zna za svoju osobnu odgo</w:t>
        <w:softHyphen/>
        <w:t>vornost pred Bogom (Izl 15,26; Pnz 28; 1 Sam 15,22 itd.) i sudjeluje kao pojedinačan član iz</w:t>
        <w:softHyphen/>
        <w:t>abranog naroda (Izl 19,4) u dijalogu između Boga i čovječanstva (Pnz 18, 15.18; 30,11 i d.; Iz 45,18 i d. itd.). U svojoj grešnosti (Post 6,5; 8,21; 1 Kr 8,46; itd.) č. je upućen na Božje opraštanje (Jr 31,31; Hoš 36,26) i Bog će mu na kraju stvoriti novo srce (Jr 31,31; Ez 36,26).</w:t>
      </w:r>
    </w:p>
    <w:p>
      <w:pPr>
        <w:pStyle w:val="Style20"/>
        <w:keepNext w:val="0"/>
        <w:keepLines w:val="0"/>
        <w:widowControl w:val="0"/>
        <w:shd w:val="clear" w:color="auto" w:fill="auto"/>
        <w:bidi w:val="0"/>
        <w:spacing w:before="0" w:after="40" w:line="240" w:lineRule="auto"/>
        <w:ind w:left="0" w:right="0" w:firstLine="0"/>
        <w:jc w:val="both"/>
        <w:sectPr>
          <w:headerReference w:type="default" r:id="rId269"/>
          <w:footerReference w:type="default" r:id="rId270"/>
          <w:headerReference w:type="even" r:id="rId271"/>
          <w:footerReference w:type="even" r:id="rId272"/>
          <w:footnotePr>
            <w:pos w:val="pageBottom"/>
            <w:numFmt w:val="decimal"/>
            <w:numStart w:val="5"/>
            <w:numRestart w:val="continuous"/>
            <w15:footnoteColumns w:val="1"/>
          </w:footnotePr>
          <w:type w:val="continuous"/>
          <w:pgSz w:w="6816" w:h="11006"/>
          <w:pgMar w:top="978" w:left="185" w:right="190" w:bottom="520" w:header="0" w:footer="3" w:gutter="0"/>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NZ preuzima mnoge starozavjetne oznake koje se odnose na čovjeka, a Pavao osim toga preuzima pojmove kao »savjest« i »razum« iz grčke tradicije, i ne napušta se predodžba čo</w:t>
        <w:softHyphen/>
        <w:t>vjeka kao cjeline. Sinoptičari pretpostavljaju vrlo jasnu čovjekovu sliku: č. je vrhunac stvo</w:t>
        <w:softHyphen/>
        <w:t>renja, Božja se ljubav osobito brine o njemu (Mt 6,26-30; 10,29 i d.) i stvoren je Bogu na slavu (Mt 5,16) da donese plod (Mt 7,17 i d.; Lk 13,6 i d; 17,7 i d.). Zbog svog okorjelog srca (Mt 19,8) on ne ispunjava božansku 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Iju, nego egoistički mijenja Božji zakon (Ml 5,21 i d.; Mk 7,9) i uskraćuje Bogu povjerenje (Mt 6,25 i d.; Mk 4,40). Zato je u opasnosti da izgubi svoj život (Mk 8,35 i d.; Lk 13,1 i d.). Stoga Isus potiče sve ljude na obraćenje (Mk 1,15; 6,12; I.k 13,1 i d.; 15,11 i d.) pred Bo</w:t>
        <w:softHyphen/>
        <w:t>gom, Kraljem i Sucem (Mt 7,13 i d., 24 i d.; 18,23 i d.; 25,14 i d.), čija se spascnjska volja dokazuje u Isusovu životu i smrti (Mk 10,45; Lk 15, 23,34). Otkupljenog čovjeka obilježa</w:t>
        <w:softHyphen/>
        <w:t>va ponizna služba (Mt 5-7; 11,28 i d.; Lk 22,24 i 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Pavao razlikuje »staroga« od »novoga« čovje</w:t>
        <w:softHyphen/>
        <w:t>ka. Prvi nije više htio iskazivati zahvalnost Bo</w:t>
        <w:softHyphen/>
        <w:t>gu iako je upoznao Boga (Rim 1,19 i d.; 1 Kor 1,21) i zapao je u bezizlaznu vezanost uz sebe i svijet i tako je potisnuo istinu (Rim 1,18). No, ovom drugom se otvorio smrću Božjega Sina novi život (Rim 3,21) u kojem č. može Bogu opet darovati svoj život po Kristu kao temelju egzistencije (1 Kor 1,2-5.30; Gal 2,20; Ef 1,3 i d.; Kol 3,4). Pa ipak, uvijek »stari« č. mora biti žrtvovan (Rim 13,12; itd.), jer je nova egzistencija ugrožena od svijeta i nje</w:t>
        <w:softHyphen/>
        <w:t>gova vlastita srca (Ef 6,10 i d.; Rim 13,14; Gal</w:t>
      </w:r>
    </w:p>
    <w:p>
      <w:pPr>
        <w:pStyle w:val="Style20"/>
        <w:keepNext w:val="0"/>
        <w:keepLines w:val="0"/>
        <w:widowControl w:val="0"/>
        <w:numPr>
          <w:ilvl w:val="0"/>
          <w:numId w:val="73"/>
        </w:numPr>
        <w:shd w:val="clear" w:color="auto" w:fill="auto"/>
        <w:tabs>
          <w:tab w:pos="46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Naprotiv, vjera mora sve više postati spoznaja (Ef 1,17 i d.; itd.), ljubav učinjena (Rim 13,10 itd.) i nada upravljena na Boga (Rim 4,18 itd.)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Ivana č. potječe iz svijeta tame (Iv 8,12 itd.) i njime vlada sotona (Iv 12,31 itd ). Zato je č. slijep u pogledu istine koja u Kristu do</w:t>
        <w:softHyphen/>
        <w:t>lazi kao svjetlo na ovaj svijet (Iv 1,5.10 itd.). Drži li se č. samoga sebe, iskrivljuje mu se ra</w:t>
        <w:softHyphen/>
        <w:t>zumijevanje Božje riječi (Iv 8,43 i d.). Pa ipak, osjeća za njom nejasnu čežnju (Iv 4,15 itd.). Dolazak Božjeg Sina stavlja čovjeka pred sud konačne odluke za svijet ili za Boga kao svoj izvor (Iv 3,1 i d.). Pa ipak, Bog hoće spasiti čovjeka (Iv 3,16 i d. itd.) koji već sada treba naći vodu i kruh života (Iv 4,10), svjetlo života (Iv 8,12), uskrsnuće i život (Iv 11,25; 14,6) i sačuvati ih u održavanju Kristovih riječi (Iv</w:t>
      </w:r>
    </w:p>
    <w:p>
      <w:pPr>
        <w:pStyle w:val="Style20"/>
        <w:keepNext w:val="0"/>
        <w:keepLines w:val="0"/>
        <w:widowControl w:val="0"/>
        <w:numPr>
          <w:ilvl w:val="0"/>
          <w:numId w:val="75"/>
        </w:numPr>
        <w:shd w:val="clear" w:color="auto" w:fill="auto"/>
        <w:tabs>
          <w:tab w:pos="754"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djelima ljubavi (Iv 13,1 i d.).</w:t>
      </w:r>
    </w:p>
    <w:p>
      <w:pPr>
        <w:pStyle w:val="Style56"/>
        <w:keepNext w:val="0"/>
        <w:keepLines w:val="0"/>
        <w:widowControl w:val="0"/>
        <w:shd w:val="clear" w:color="auto" w:fill="auto"/>
        <w:tabs>
          <w:tab w:pos="2318"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Ijt.i A. Grabncr-Haidcr (Hrsg.), </w:t>
      </w:r>
      <w:r>
        <w:rPr>
          <w:i/>
          <w:iCs/>
          <w:color w:val="000000"/>
          <w:spacing w:val="0"/>
          <w:w w:val="100"/>
          <w:position w:val="0"/>
          <w:shd w:val="clear" w:color="auto" w:fill="auto"/>
          <w:lang w:val="hr-HR" w:eastAsia="hr-HR" w:bidi="hr-HR"/>
        </w:rPr>
        <w:t xml:space="preserve">Praklisches </w:t>
      </w:r>
      <w:r>
        <w:rPr>
          <w:i/>
          <w:iCs/>
          <w:color w:val="000000"/>
          <w:spacing w:val="0"/>
          <w:w w:val="100"/>
          <w:position w:val="0"/>
          <w:shd w:val="clear" w:color="auto" w:fill="auto"/>
        </w:rPr>
        <w:t xml:space="preserve">Bibetlexikon, </w:t>
      </w:r>
      <w:r>
        <w:rPr>
          <w:color w:val="000000"/>
          <w:spacing w:val="0"/>
          <w:w w:val="100"/>
          <w:position w:val="0"/>
          <w:shd w:val="clear" w:color="auto" w:fill="auto"/>
          <w:lang w:val="hr-HR" w:eastAsia="hr-HR" w:bidi="hr-HR"/>
        </w:rPr>
        <w:t xml:space="preserve">Frciburg/BascIAVicn 1969; H- </w:t>
      </w:r>
      <w:r>
        <w:rPr>
          <w:color w:val="000000"/>
          <w:spacing w:val="0"/>
          <w:w w:val="100"/>
          <w:position w:val="0"/>
          <w:shd w:val="clear" w:color="auto" w:fill="auto"/>
        </w:rPr>
        <w:t xml:space="preserve">Haag </w:t>
      </w:r>
      <w:r>
        <w:rPr>
          <w:color w:val="000000"/>
          <w:spacing w:val="0"/>
          <w:w w:val="100"/>
          <w:position w:val="0"/>
          <w:shd w:val="clear" w:color="auto" w:fill="auto"/>
          <w:lang w:val="hr-HR" w:eastAsia="hr-HR" w:bidi="hr-HR"/>
        </w:rPr>
        <w:t xml:space="preserve">(Hrsg ), </w:t>
      </w:r>
      <w:r>
        <w:rPr>
          <w:i/>
          <w:iCs/>
          <w:color w:val="000000"/>
          <w:spacing w:val="0"/>
          <w:w w:val="100"/>
          <w:position w:val="0"/>
          <w:shd w:val="clear" w:color="auto" w:fill="auto"/>
        </w:rPr>
        <w:t xml:space="preserve">Bibcllexikon, </w:t>
      </w:r>
      <w:r>
        <w:rPr>
          <w:color w:val="000000"/>
          <w:spacing w:val="0"/>
          <w:w w:val="100"/>
          <w:position w:val="0"/>
          <w:shd w:val="clear" w:color="auto" w:fill="auto"/>
          <w:lang w:val="hr-HR" w:eastAsia="hr-HR" w:bidi="hr-HR"/>
        </w:rPr>
        <w:t>Einsicdcln/ZOrich/Kdln 1968.</w:t>
        <w:tab/>
        <w:t>G. GIRSCHEK</w:t>
      </w:r>
    </w:p>
    <w:p>
      <w:pPr>
        <w:pStyle w:val="Style63"/>
        <w:keepNext/>
        <w:keepLines/>
        <w:widowControl w:val="0"/>
        <w:numPr>
          <w:ilvl w:val="0"/>
          <w:numId w:val="69"/>
        </w:numPr>
        <w:shd w:val="clear" w:color="auto" w:fill="auto"/>
        <w:tabs>
          <w:tab w:pos="260" w:val="left"/>
        </w:tabs>
        <w:bidi w:val="0"/>
        <w:spacing w:before="0" w:line="223" w:lineRule="auto"/>
        <w:ind w:left="0" w:right="0" w:firstLine="0"/>
        <w:jc w:val="both"/>
      </w:pPr>
      <w:bookmarkStart w:id="61" w:name="bookmark61"/>
      <w:r>
        <w:rPr>
          <w:rFonts w:ascii="Times New Roman" w:eastAsia="Times New Roman" w:hAnsi="Times New Roman" w:cs="Times New Roman"/>
          <w:color w:val="000000"/>
          <w:spacing w:val="0"/>
          <w:w w:val="100"/>
          <w:position w:val="0"/>
          <w:shd w:val="clear" w:color="auto" w:fill="auto"/>
          <w:lang w:val="hr-HR" w:eastAsia="hr-HR" w:bidi="hr-HR"/>
        </w:rPr>
        <w:t>islamski</w:t>
      </w:r>
      <w:bookmarkEnd w:id="61"/>
    </w:p>
    <w:p>
      <w:pPr>
        <w:pStyle w:val="Style20"/>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kuranskoj antropologiji č. u Božjem planu stvaranja zauzima mnogo više mjesto nego sva ostala bića. On je Božji predstavnik </w:t>
      </w:r>
      <w:r>
        <w:rPr>
          <w:rFonts w:ascii="Times New Roman" w:eastAsia="Times New Roman" w:hAnsi="Times New Roman" w:cs="Times New Roman"/>
          <w:color w:val="000000"/>
          <w:spacing w:val="0"/>
          <w:w w:val="100"/>
          <w:position w:val="0"/>
          <w:shd w:val="clear" w:color="auto" w:fill="auto"/>
          <w:lang w:val="hr-HR" w:eastAsia="hr-HR" w:bidi="hr-HR"/>
        </w:rPr>
        <w:t>na zemlji. Na Božju zapovijed i anđeli se mo</w:t>
        <w:softHyphen/>
        <w:t>raju podčiniti čovjeku. Kao takav č. nema ni</w:t>
        <w:softHyphen/>
        <w:t>kakva grijeha. Unatoč tomu, svojstvena mu je bitna slabost, tako da može biti zaboravan, razdražljiv, izgubljen, nepravedan i tiranski. No on posjeduje sposobnost mišljenja i suđe</w:t>
        <w:softHyphen/>
        <w:t>nja. Prva je naznaka te sposobnosti bila moć jezičnog izražavanja koja može reproducirati predodžbe i pojmove. U razumu je utemelje</w:t>
        <w:softHyphen/>
        <w:t>na njegova osobna odgovornost. Č. može mi</w:t>
        <w:softHyphen/>
        <w:t>jenjati svoju okolinu i zemlju, jer »sve je po</w:t>
        <w:softHyphen/>
        <w:t>svećeno propasti, samo Bog ne« (29,88). Po Božjoj volji, koja se očituje u prirodnim za</w:t>
        <w:softHyphen/>
        <w:t>konima, čovjekova je osobna sloboda izložena stalnoj kušnji opterećenja i mnogim ograda</w:t>
        <w:softHyphen/>
        <w:t>ma.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je predmet 6. članka islamske vjere. Od te ljudske dileme započinje islamski način ovla</w:t>
        <w:softHyphen/>
        <w:t>davanja životom. Jedan od njegovih eleme</w:t>
        <w:softHyphen/>
        <w:t xml:space="preserve">nata jest tzv. </w:t>
      </w:r>
      <w:r>
        <w:rPr>
          <w:rFonts w:ascii="Times New Roman" w:eastAsia="Times New Roman" w:hAnsi="Times New Roman" w:cs="Times New Roman"/>
          <w:i/>
          <w:iCs/>
          <w:color w:val="000000"/>
          <w:spacing w:val="0"/>
          <w:w w:val="100"/>
          <w:position w:val="0"/>
          <w:shd w:val="clear" w:color="auto" w:fill="auto"/>
          <w:lang w:val="hr-HR" w:eastAsia="hr-HR" w:bidi="hr-HR"/>
        </w:rPr>
        <w:t>ibadet,</w:t>
      </w:r>
      <w:r>
        <w:rPr>
          <w:rFonts w:ascii="Times New Roman" w:eastAsia="Times New Roman" w:hAnsi="Times New Roman" w:cs="Times New Roman"/>
          <w:color w:val="000000"/>
          <w:spacing w:val="0"/>
          <w:w w:val="100"/>
          <w:position w:val="0"/>
          <w:shd w:val="clear" w:color="auto" w:fill="auto"/>
          <w:lang w:val="hr-HR" w:eastAsia="hr-HR" w:bidi="hr-HR"/>
        </w:rPr>
        <w:t xml:space="preserve"> što otprilike odgovara poj</w:t>
        <w:softHyphen/>
        <w:t>mu bogoslužja. No to je bogoslužje u svom izvršenju ljudskost naprosto. Ibadet je cilj vjer</w:t>
        <w:softHyphen/>
        <w:t>skog odgoja. Čovjekovo dostojanstvo islam ne obrazlaže bogosličnošću, jer Bogu nitko i niš</w:t>
        <w:softHyphen/>
        <w:t>ta ne nalikuje, već nalogom koji on treba ispu</w:t>
        <w:softHyphen/>
        <w:t>niti na zemlji i milošću koja mu je bila za</w:t>
        <w:softHyphen/>
        <w:t>jamčena.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Pračovjek je živio sasvim u skladu s prirodom. Njegova je poslušnost Bogu bila potpuna. Ali je postupno došlo do afere »č.«: u trenutku pojave vlastitih vrijednosnih predodžbi Adam je prekinuo ustaljeni tijek života. Time je za</w:t>
        <w:softHyphen/>
        <w:t>počela njegova odgovornost. Sklad koji je do tada vladao u prirodi bio je doduše narušen, no č. je stekao pretpostavke da u vlastitoj reži</w:t>
        <w:softHyphen/>
        <w:t>ji stvara dobro i zlo. On je postao djelomice kovačem svoje sudbine. Ono što učini, to za njega predstavlja dobit; ono što ne učini, to mu ide na štetu. -</w:t>
      </w:r>
    </w:p>
    <w:p>
      <w:pPr>
        <w:pStyle w:val="Style20"/>
        <w:keepNext w:val="0"/>
        <w:keepLines w:val="0"/>
        <w:widowControl w:val="0"/>
        <w:shd w:val="clear" w:color="auto" w:fill="auto"/>
        <w:bidi w:val="0"/>
        <w:spacing w:before="0" w:after="0" w:line="257" w:lineRule="auto"/>
        <w:ind w:left="0" w:right="0" w:firstLine="0"/>
        <w:jc w:val="both"/>
        <w:sectPr>
          <w:headerReference w:type="default" r:id="rId273"/>
          <w:footerReference w:type="default" r:id="rId274"/>
          <w:headerReference w:type="even" r:id="rId275"/>
          <w:footerReference w:type="even" r:id="rId276"/>
          <w:footnotePr>
            <w:pos w:val="pageBottom"/>
            <w:numFmt w:val="decimal"/>
            <w:numStart w:val="5"/>
            <w:numRestart w:val="continuous"/>
            <w15:footnoteColumns w:val="1"/>
          </w:footnotePr>
          <w:pgSz w:w="6816" w:h="11006"/>
          <w:pgMar w:top="978" w:left="185" w:right="190" w:bottom="520" w:header="0" w:footer="3" w:gutter="0"/>
          <w:pgNumType w:start="99"/>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silnome prijelomu u povijesti postajanja čo</w:t>
        <w:softHyphen/>
        <w:t xml:space="preserve">vjekom, čiji je sudionik bio </w:t>
      </w:r>
      <w:r>
        <w:rPr>
          <w:rFonts w:ascii="Times New Roman" w:eastAsia="Times New Roman" w:hAnsi="Times New Roman" w:cs="Times New Roman"/>
          <w:i/>
          <w:iCs/>
          <w:color w:val="000000"/>
          <w:spacing w:val="0"/>
          <w:w w:val="100"/>
          <w:position w:val="0"/>
          <w:shd w:val="clear" w:color="auto" w:fill="auto"/>
          <w:lang w:val="hr-HR" w:eastAsia="hr-HR" w:bidi="hr-HR"/>
        </w:rPr>
        <w:t>Adam,</w:t>
      </w:r>
      <w:r>
        <w:rPr>
          <w:rFonts w:ascii="Times New Roman" w:eastAsia="Times New Roman" w:hAnsi="Times New Roman" w:cs="Times New Roman"/>
          <w:color w:val="000000"/>
          <w:spacing w:val="0"/>
          <w:w w:val="100"/>
          <w:position w:val="0"/>
          <w:shd w:val="clear" w:color="auto" w:fill="auto"/>
          <w:lang w:val="hr-HR" w:eastAsia="hr-HR" w:bidi="hr-HR"/>
        </w:rPr>
        <w:t xml:space="preserve"> na presu</w:t>
        <w:softHyphen/>
        <w:t>dan je način sudjelovala i žena. Ime prve sa</w:t>
        <w:softHyphen/>
        <w:t>mosvjesne žene, Adamove družbcnicc, u is</w:t>
        <w:softHyphen/>
        <w:t xml:space="preserve">lamu se prenosi kao </w:t>
      </w:r>
      <w:r>
        <w:rPr>
          <w:rFonts w:ascii="Times New Roman" w:eastAsia="Times New Roman" w:hAnsi="Times New Roman" w:cs="Times New Roman"/>
          <w:i/>
          <w:iCs/>
          <w:color w:val="000000"/>
          <w:spacing w:val="0"/>
          <w:w w:val="100"/>
          <w:position w:val="0"/>
          <w:shd w:val="clear" w:color="auto" w:fill="auto"/>
          <w:lang w:val="en-US" w:eastAsia="en-US" w:bidi="en-US"/>
        </w:rPr>
        <w:t>Hawwa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(Eva). Žena je stvoreno po istome principu kao i č. Solidar</w:t>
        <w:softHyphen/>
        <w:t>nost čovjeka i životinje i nužna spremnost da održavanjem ravnoteže u prirodi koju je od</w:t>
        <w:softHyphen/>
        <w:t>redio Bog predstavljaju dva istaknuta obi</w:t>
        <w:softHyphen/>
        <w:t>lježja islamskoga čovjeka. Suosjećanje je ne</w:t>
        <w:softHyphen/>
        <w:t>zamjenjiva vrijednost vjerski ispunjenoga živo</w:t>
        <w:softHyphen/>
        <w:t xml:space="preserve">ta. Ta se etička crta čak pripisuje i Bogu kao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 od njegovih glavnih svojstava. Prve rije</w:t>
        <w:softHyphen/>
        <w:t>či Kurana, kao što je poznato, glase Bismi’lla- hi’rahmSni’r-rahlm (U ime Boga, Sveopćeg Dobročinitelja, Milostivog).</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Kuranu, islam je čovjekova prirodna religija. Prema jednom hadisu, svako se dijete rađa s prirodnom otvorenošću za predanost Bogu (što se arapski zove </w:t>
      </w:r>
      <w:r>
        <w:rPr>
          <w:rFonts w:ascii="Times New Roman" w:eastAsia="Times New Roman" w:hAnsi="Times New Roman" w:cs="Times New Roman"/>
          <w:i/>
          <w:iCs/>
          <w:color w:val="000000"/>
          <w:spacing w:val="0"/>
          <w:w w:val="100"/>
          <w:position w:val="0"/>
          <w:shd w:val="clear" w:color="auto" w:fill="auto"/>
          <w:lang w:val="hr-HR" w:eastAsia="hr-HR" w:bidi="hr-HR"/>
        </w:rPr>
        <w:t>islam).</w:t>
      </w:r>
      <w:r>
        <w:rPr>
          <w:rFonts w:ascii="Times New Roman" w:eastAsia="Times New Roman" w:hAnsi="Times New Roman" w:cs="Times New Roman"/>
          <w:color w:val="000000"/>
          <w:spacing w:val="0"/>
          <w:w w:val="100"/>
          <w:position w:val="0"/>
          <w:shd w:val="clear" w:color="auto" w:fill="auto"/>
          <w:lang w:val="hr-HR" w:eastAsia="hr-HR" w:bidi="hr-HR"/>
        </w:rPr>
        <w:t xml:space="preserve"> Ali potajnim nagovorom đavla č. se razvio i u svoju buntov</w:t>
        <w:softHyphen/>
        <w:t>ničku i tvrdoglavu individuu koja se bori pro</w:t>
        <w:softHyphen/>
        <w:t>tiv Boga. Njegov karakter ima i mračne crte koje ga postupno zavode na grijeh. Zato on potrebuje religiju kao oslonac u životu i is</w:t>
        <w:softHyphen/>
        <w:t>pravno vođenje od Boga kao neodrecive mi</w:t>
        <w:softHyphen/>
        <w:t>losti. U islamu je nezamislivo spasenje pomo</w:t>
        <w:softHyphen/>
        <w:t>ću neke treće osobe, to zapravo također nije ni nužno, jer č. nije stigmatiziran istočnim gri</w:t>
        <w:softHyphen/>
        <w:t>jehom. Svatko snosi vlastitu odgovornost pred Bogom. Ako izvrši istinsko pokajanje, grešnik se svakako na sudnji dan može nadati zago</w:t>
        <w:softHyphen/>
        <w:t>voru svojega Božjeg poslanika.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Monika Tworuschka, </w:t>
      </w:r>
      <w:r>
        <w:rPr>
          <w:i/>
          <w:iCs/>
          <w:color w:val="000000"/>
          <w:spacing w:val="0"/>
          <w:w w:val="100"/>
          <w:position w:val="0"/>
          <w:shd w:val="clear" w:color="auto" w:fill="auto"/>
        </w:rPr>
        <w:t>Islam,</w:t>
      </w:r>
      <w:r>
        <w:rPr>
          <w:color w:val="000000"/>
          <w:spacing w:val="0"/>
          <w:w w:val="100"/>
          <w:position w:val="0"/>
          <w:shd w:val="clear" w:color="auto" w:fill="auto"/>
        </w:rPr>
        <w:t xml:space="preserve"> Gottingen 1982, 43—51;</w:t>
      </w:r>
    </w:p>
    <w:p>
      <w:pPr>
        <w:pStyle w:val="Style56"/>
        <w:keepNext w:val="0"/>
        <w:keepLines w:val="0"/>
        <w:widowControl w:val="0"/>
        <w:numPr>
          <w:ilvl w:val="0"/>
          <w:numId w:val="77"/>
        </w:numPr>
        <w:shd w:val="clear" w:color="auto" w:fill="auto"/>
        <w:tabs>
          <w:tab w:pos="250" w:val="left"/>
        </w:tabs>
        <w:bidi w:val="0"/>
        <w:spacing w:before="0" w:after="0" w:line="240" w:lineRule="auto"/>
        <w:ind w:left="0" w:right="0" w:firstLine="0"/>
        <w:jc w:val="both"/>
      </w:pPr>
      <w:r>
        <w:rPr>
          <w:color w:val="000000"/>
          <w:spacing w:val="0"/>
          <w:w w:val="100"/>
          <w:position w:val="0"/>
          <w:shd w:val="clear" w:color="auto" w:fill="auto"/>
        </w:rPr>
        <w:t>Ludin-Janscn, Zur Fragc vom Mcnschcnhild im Koran,</w:t>
      </w:r>
    </w:p>
    <w:p>
      <w:pPr>
        <w:pStyle w:val="Style56"/>
        <w:keepNext w:val="0"/>
        <w:keepLines w:val="0"/>
        <w:widowControl w:val="0"/>
        <w:shd w:val="clear" w:color="auto" w:fill="auto"/>
        <w:tabs>
          <w:tab w:pos="2558" w:val="left"/>
        </w:tabs>
        <w:bidi w:val="0"/>
        <w:spacing w:before="0" w:after="320" w:line="240" w:lineRule="auto"/>
        <w:ind w:left="0" w:right="0" w:firstLine="0"/>
        <w:jc w:val="both"/>
      </w:pPr>
      <w:r>
        <w:rPr>
          <w:color w:val="000000"/>
          <w:spacing w:val="0"/>
          <w:w w:val="100"/>
          <w:position w:val="0"/>
          <w:shd w:val="clear" w:color="auto" w:fill="auto"/>
        </w:rPr>
        <w:t xml:space="preserve">u: </w:t>
      </w:r>
      <w:r>
        <w:rPr>
          <w:i/>
          <w:iCs/>
          <w:color w:val="000000"/>
          <w:spacing w:val="0"/>
          <w:w w:val="100"/>
          <w:position w:val="0"/>
          <w:shd w:val="clear" w:color="auto" w:fill="auto"/>
        </w:rPr>
        <w:t>Temenos, Studies in comparative religion</w:t>
      </w:r>
      <w:r>
        <w:rPr>
          <w:color w:val="000000"/>
          <w:spacing w:val="0"/>
          <w:w w:val="100"/>
          <w:position w:val="0"/>
          <w:shd w:val="clear" w:color="auto" w:fill="auto"/>
        </w:rPr>
        <w:t xml:space="preserve"> 16 (1980) 56-61; Anncmaric Schimmel, Zur Anthropologie des Islam, u: </w:t>
      </w:r>
      <w:r>
        <w:rPr>
          <w:i/>
          <w:iCs/>
          <w:color w:val="000000"/>
          <w:spacing w:val="0"/>
          <w:w w:val="100"/>
          <w:position w:val="0"/>
          <w:shd w:val="clear" w:color="auto" w:fill="auto"/>
        </w:rPr>
        <w:t>An</w:t>
        <w:softHyphen/>
        <w:t>thropologie religicuse</w:t>
      </w:r>
      <w:r>
        <w:rPr>
          <w:color w:val="000000"/>
          <w:spacing w:val="0"/>
          <w:w w:val="100"/>
          <w:position w:val="0"/>
          <w:shd w:val="clear" w:color="auto" w:fill="auto"/>
        </w:rPr>
        <w:t xml:space="preserve"> 2 (1955) 140-154; A. Falaturi, Die Bc- dcutung des islamischen Mcnschcnbildes fur die Erzichung, u: </w:t>
      </w:r>
      <w:r>
        <w:rPr>
          <w:i/>
          <w:iCs/>
          <w:color w:val="000000"/>
          <w:spacing w:val="0"/>
          <w:w w:val="100"/>
          <w:position w:val="0"/>
          <w:shd w:val="clear" w:color="auto" w:fill="auto"/>
        </w:rPr>
        <w:t>Erziehung zur Kuiiurbegegnung.</w:t>
      </w:r>
      <w:r>
        <w:rPr>
          <w:color w:val="000000"/>
          <w:spacing w:val="0"/>
          <w:w w:val="100"/>
          <w:position w:val="0"/>
          <w:shd w:val="clear" w:color="auto" w:fill="auto"/>
        </w:rPr>
        <w:t xml:space="preserve"> Hrsg. von J. Lahncmann, Hamburg 1986, 43-50; T. Nagel, Zum Mcnschcnhild im modemcn Islam, u: 19. </w:t>
      </w:r>
      <w:r>
        <w:rPr>
          <w:i/>
          <w:iCs/>
          <w:color w:val="000000"/>
          <w:spacing w:val="0"/>
          <w:w w:val="100"/>
          <w:position w:val="0"/>
          <w:shd w:val="clear" w:color="auto" w:fill="auto"/>
        </w:rPr>
        <w:t xml:space="preserve">Deutscher Orienialisleruag in Freiburg </w:t>
      </w:r>
      <w:r>
        <w:rPr>
          <w:color w:val="000000"/>
          <w:spacing w:val="0"/>
          <w:w w:val="100"/>
          <w:position w:val="0"/>
          <w:shd w:val="clear" w:color="auto" w:fill="auto"/>
        </w:rPr>
        <w:t>1975. Wiesbaden 1977,559-566.</w:t>
        <w:tab/>
        <w:t xml:space="preserve">S. </w:t>
      </w:r>
      <w:r>
        <w:rPr>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ČUDO</w:t>
      </w:r>
    </w:p>
    <w:p>
      <w:pPr>
        <w:pStyle w:val="Style63"/>
        <w:keepNext/>
        <w:keepLines/>
        <w:widowControl w:val="0"/>
        <w:numPr>
          <w:ilvl w:val="0"/>
          <w:numId w:val="77"/>
        </w:numPr>
        <w:shd w:val="clear" w:color="auto" w:fill="auto"/>
        <w:tabs>
          <w:tab w:pos="250" w:val="left"/>
        </w:tabs>
        <w:bidi w:val="0"/>
        <w:spacing w:before="0" w:line="223" w:lineRule="auto"/>
        <w:ind w:left="0" w:right="0" w:firstLine="0"/>
        <w:jc w:val="both"/>
      </w:pPr>
      <w:bookmarkStart w:id="62" w:name="bookmark62"/>
      <w:r>
        <w:rPr>
          <w:rFonts w:ascii="Times New Roman" w:eastAsia="Times New Roman" w:hAnsi="Times New Roman" w:cs="Times New Roman"/>
          <w:color w:val="000000"/>
          <w:spacing w:val="0"/>
          <w:w w:val="100"/>
          <w:position w:val="0"/>
          <w:shd w:val="clear" w:color="auto" w:fill="auto"/>
          <w:lang w:val="hr-HR" w:eastAsia="hr-HR" w:bidi="hr-HR"/>
        </w:rPr>
        <w:t>židovski</w:t>
      </w:r>
      <w:bookmarkEnd w:id="62"/>
    </w:p>
    <w:p>
      <w:pPr>
        <w:pStyle w:val="Style20"/>
        <w:keepNext w:val="0"/>
        <w:keepLines w:val="0"/>
        <w:widowControl w:val="0"/>
        <w:numPr>
          <w:ilvl w:val="0"/>
          <w:numId w:val="79"/>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»Jedini </w:t>
      </w:r>
      <w:r>
        <w:rPr>
          <w:rFonts w:ascii="Times New Roman" w:eastAsia="Times New Roman" w:hAnsi="Times New Roman" w:cs="Times New Roman"/>
          <w:i/>
          <w:iCs/>
          <w:color w:val="000000"/>
          <w:spacing w:val="0"/>
          <w:w w:val="100"/>
          <w:position w:val="0"/>
          <w:shd w:val="clear" w:color="auto" w:fill="auto"/>
          <w:lang w:val="en-US" w:eastAsia="en-US" w:bidi="en-US"/>
        </w:rPr>
        <w:t xml:space="preserve">On </w:t>
      </w:r>
      <w:r>
        <w:rPr>
          <w:rFonts w:ascii="Times New Roman" w:eastAsia="Times New Roman" w:hAnsi="Times New Roman" w:cs="Times New Roman"/>
          <w:i/>
          <w:iCs/>
          <w:color w:val="000000"/>
          <w:spacing w:val="0"/>
          <w:w w:val="100"/>
          <w:position w:val="0"/>
          <w:shd w:val="clear" w:color="auto" w:fill="auto"/>
          <w:lang w:val="hr-HR" w:eastAsia="hr-HR" w:bidi="hr-HR"/>
        </w:rPr>
        <w:t>učini čuda velika.</w:t>
      </w:r>
      <w:r>
        <w:rPr>
          <w:rFonts w:ascii="Times New Roman" w:eastAsia="Times New Roman" w:hAnsi="Times New Roman" w:cs="Times New Roman"/>
          <w:color w:val="000000"/>
          <w:spacing w:val="0"/>
          <w:w w:val="100"/>
          <w:position w:val="0"/>
          <w:shd w:val="clear" w:color="auto" w:fill="auto"/>
          <w:lang w:val="hr-HR" w:eastAsia="hr-HR" w:bidi="hr-HR"/>
        </w:rPr>
        <w:t>« Biblijski Iz</w:t>
        <w:softHyphen/>
        <w:t>rael nije pod čudom shvaćao ništa »nadna</w:t>
        <w:softHyphen/>
        <w:t>ravno« i ništa »nadpovijesno«, nego događaj povezan s kontekstom »prirode« i »povijesti«. Čudesnim se doima stoga što ozbiljno zahvaća u život zajednice (Mih 7,15; Ps 77,12; 78,12; 106,7.22; Nah 9,17) i pojedinca (Post 18,14; Iz 25,1; Ps 4,4; 31,22; 107,24; 118,23) i neočeki</w:t>
        <w:softHyphen/>
        <w:t xml:space="preserve">vano skreće nevolju. Presudno je bilo da se neki događaj proglasi čudom i proslijedi kao »č.« to što je Izrael taj događaj </w:t>
      </w:r>
      <w:r>
        <w:rPr>
          <w:rFonts w:ascii="Times New Roman" w:eastAsia="Times New Roman" w:hAnsi="Times New Roman" w:cs="Times New Roman"/>
          <w:i/>
          <w:iCs/>
          <w:color w:val="000000"/>
          <w:spacing w:val="0"/>
          <w:w w:val="100"/>
          <w:position w:val="0"/>
          <w:shd w:val="clear" w:color="auto" w:fill="auto"/>
          <w:lang w:val="hr-HR" w:eastAsia="hr-HR" w:bidi="hr-HR"/>
        </w:rPr>
        <w:t>iskusio</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divio </w:t>
      </w:r>
      <w:r>
        <w:rPr>
          <w:rFonts w:ascii="Times New Roman" w:eastAsia="Times New Roman" w:hAnsi="Times New Roman" w:cs="Times New Roman"/>
          <w:color w:val="000000"/>
          <w:spacing w:val="0"/>
          <w:w w:val="100"/>
          <w:position w:val="0"/>
          <w:shd w:val="clear" w:color="auto" w:fill="auto"/>
          <w:lang w:val="hr-HR" w:eastAsia="hr-HR" w:bidi="hr-HR"/>
        </w:rPr>
        <w:t>mu se kao čudesnom Božjem djelu: »Ništa tebi nije nemoguće« (= odveć čudesno, Jr 32,17); »znanje to odveć mi je čudesno, previ</w:t>
        <w:softHyphen/>
        <w:t xml:space="preserve">soko da bih ga dokučio (Ps 139,6; usp. </w:t>
      </w:r>
      <w:r>
        <w:rPr>
          <w:rFonts w:ascii="Times New Roman" w:eastAsia="Times New Roman" w:hAnsi="Times New Roman" w:cs="Times New Roman"/>
          <w:color w:val="000000"/>
          <w:spacing w:val="0"/>
          <w:w w:val="100"/>
          <w:position w:val="0"/>
          <w:shd w:val="clear" w:color="auto" w:fill="auto"/>
          <w:lang w:val="en-US" w:eastAsia="en-US" w:bidi="en-US"/>
        </w:rPr>
        <w:t>Job</w:t>
      </w:r>
    </w:p>
    <w:p>
      <w:pPr>
        <w:pStyle w:val="Style20"/>
        <w:keepNext w:val="0"/>
        <w:keepLines w:val="0"/>
        <w:widowControl w:val="0"/>
        <w:numPr>
          <w:ilvl w:val="0"/>
          <w:numId w:val="81"/>
        </w:numPr>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Događaj koji je poticao čuđenje zbio se pred ljudima koji su ga bili spremni prihvatiti kao č.: čudesno spašavanje na moru opazili su </w:t>
      </w:r>
      <w:r>
        <w:rPr>
          <w:rFonts w:ascii="Times New Roman" w:eastAsia="Times New Roman" w:hAnsi="Times New Roman" w:cs="Times New Roman"/>
          <w:color w:val="000000"/>
          <w:spacing w:val="0"/>
          <w:w w:val="100"/>
          <w:position w:val="0"/>
          <w:shd w:val="clear" w:color="auto" w:fill="auto"/>
          <w:lang w:val="hr-HR" w:eastAsia="hr-HR" w:bidi="hr-HR"/>
        </w:rPr>
        <w:t>i stoga mogli pozvati na pohvalu - »Zapje</w:t>
        <w:softHyphen/>
        <w:t>vajte NJEMU, jer se slavom proslavio! Konja s konjanikom u more je survao« (Izl 15,21) - oni koji su prije toga na riječ Božju, koja im je priopćena (3,7, v.16-20), krenuli kako bi izišli »iz egipatske bijede« (3,17). Prethodna najava ostaje uvijek konstitutivni trenutak; »č.« je sa</w:t>
        <w:softHyphen/>
        <w:t>mo ostvarena okolnost. Jedno je upućeno na drugo; tek jedno s drugim čini Božje djelo</w:t>
        <w:softHyphen/>
        <w:t>vanje koje uzrokuje čuđenje. I prozno izvješće o središnjem događaju u povijesti Izraela po</w:t>
        <w:softHyphen/>
        <w:t xml:space="preserve">kazuje na čemu se temelji čudesnost čuda: </w:t>
      </w:r>
      <w:r>
        <w:rPr>
          <w:rFonts w:ascii="Times New Roman" w:eastAsia="Times New Roman" w:hAnsi="Times New Roman" w:cs="Times New Roman"/>
          <w:i/>
          <w:iCs/>
          <w:color w:val="000000"/>
          <w:spacing w:val="0"/>
          <w:w w:val="100"/>
          <w:position w:val="0"/>
          <w:shd w:val="clear" w:color="auto" w:fill="auto"/>
          <w:lang w:val="hr-HR" w:eastAsia="hr-HR" w:bidi="hr-HR"/>
        </w:rPr>
        <w:t>»Osvjedoči</w:t>
      </w:r>
      <w:r>
        <w:rPr>
          <w:rFonts w:ascii="Times New Roman" w:eastAsia="Times New Roman" w:hAnsi="Times New Roman" w:cs="Times New Roman"/>
          <w:color w:val="000000"/>
          <w:spacing w:val="0"/>
          <w:w w:val="100"/>
          <w:position w:val="0"/>
          <w:shd w:val="clear" w:color="auto" w:fill="auto"/>
          <w:lang w:val="hr-HR" w:eastAsia="hr-HR" w:bidi="hr-HR"/>
        </w:rPr>
        <w:t xml:space="preserve"> se Izrael i o silnoj moći </w:t>
      </w:r>
      <w:r>
        <w:rPr>
          <w:rFonts w:ascii="Times New Roman" w:eastAsia="Times New Roman" w:hAnsi="Times New Roman" w:cs="Times New Roman"/>
          <w:i/>
          <w:iCs/>
          <w:color w:val="000000"/>
          <w:spacing w:val="0"/>
          <w:w w:val="100"/>
          <w:position w:val="0"/>
          <w:shd w:val="clear" w:color="auto" w:fill="auto"/>
          <w:lang w:val="hr-HR" w:eastAsia="hr-HR" w:bidi="hr-HR"/>
        </w:rPr>
        <w:t>(vidio</w:t>
      </w:r>
      <w:r>
        <w:rPr>
          <w:rFonts w:ascii="Times New Roman" w:eastAsia="Times New Roman" w:hAnsi="Times New Roman" w:cs="Times New Roman"/>
          <w:color w:val="000000"/>
          <w:spacing w:val="0"/>
          <w:w w:val="100"/>
          <w:position w:val="0"/>
          <w:shd w:val="clear" w:color="auto" w:fill="auto"/>
          <w:lang w:val="hr-HR" w:eastAsia="hr-HR" w:bidi="hr-HR"/>
        </w:rPr>
        <w:t xml:space="preserve"> je ve</w:t>
        <w:softHyphen/>
        <w:t xml:space="preserve">liku ruku) koju ON pokaza nad Egipćanima« (14,31). Povijesno č. nije tumačenje; ono se </w:t>
      </w:r>
      <w:r>
        <w:rPr>
          <w:rFonts w:ascii="Times New Roman" w:eastAsia="Times New Roman" w:hAnsi="Times New Roman" w:cs="Times New Roman"/>
          <w:i/>
          <w:iCs/>
          <w:color w:val="000000"/>
          <w:spacing w:val="0"/>
          <w:w w:val="100"/>
          <w:position w:val="0"/>
          <w:shd w:val="clear" w:color="auto" w:fill="auto"/>
          <w:lang w:val="hr-HR" w:eastAsia="hr-HR" w:bidi="hr-HR"/>
        </w:rPr>
        <w:t>vidi,</w:t>
      </w:r>
      <w:r>
        <w:rPr>
          <w:rFonts w:ascii="Times New Roman" w:eastAsia="Times New Roman" w:hAnsi="Times New Roman" w:cs="Times New Roman"/>
          <w:color w:val="000000"/>
          <w:spacing w:val="0"/>
          <w:w w:val="100"/>
          <w:position w:val="0"/>
          <w:shd w:val="clear" w:color="auto" w:fill="auto"/>
          <w:lang w:val="hr-HR" w:eastAsia="hr-HR" w:bidi="hr-HR"/>
        </w:rPr>
        <w:t xml:space="preserve"> doživljava na temelju prethodnog ohrab- renja: »Ne bojte se! Stojte čvrsto pa ćete </w:t>
      </w:r>
      <w:r>
        <w:rPr>
          <w:rFonts w:ascii="Times New Roman" w:eastAsia="Times New Roman" w:hAnsi="Times New Roman" w:cs="Times New Roman"/>
          <w:i/>
          <w:iCs/>
          <w:color w:val="000000"/>
          <w:spacing w:val="0"/>
          <w:w w:val="100"/>
          <w:position w:val="0"/>
          <w:shd w:val="clear" w:color="auto" w:fill="auto"/>
          <w:lang w:val="hr-HR" w:eastAsia="hr-HR" w:bidi="hr-HR"/>
        </w:rPr>
        <w:t>vi</w:t>
        <w:softHyphen/>
        <w:t>djeti</w:t>
      </w:r>
      <w:r>
        <w:rPr>
          <w:rFonts w:ascii="Times New Roman" w:eastAsia="Times New Roman" w:hAnsi="Times New Roman" w:cs="Times New Roman"/>
          <w:color w:val="000000"/>
          <w:spacing w:val="0"/>
          <w:w w:val="100"/>
          <w:position w:val="0"/>
          <w:shd w:val="clear" w:color="auto" w:fill="auto"/>
          <w:lang w:val="hr-HR" w:eastAsia="hr-HR" w:bidi="hr-HR"/>
        </w:rPr>
        <w:t xml:space="preserve"> što </w:t>
      </w:r>
      <w:r>
        <w:rPr>
          <w:rFonts w:ascii="Times New Roman" w:eastAsia="Times New Roman" w:hAnsi="Times New Roman" w:cs="Times New Roman"/>
          <w:i/>
          <w:iCs/>
          <w:color w:val="000000"/>
          <w:spacing w:val="0"/>
          <w:w w:val="100"/>
          <w:position w:val="0"/>
          <w:shd w:val="clear" w:color="auto" w:fill="auto"/>
          <w:lang w:val="hr-HR" w:eastAsia="hr-HR" w:bidi="hr-HR"/>
        </w:rPr>
        <w:t>će</w:t>
      </w:r>
      <w:r>
        <w:rPr>
          <w:rFonts w:ascii="Times New Roman" w:eastAsia="Times New Roman" w:hAnsi="Times New Roman" w:cs="Times New Roman"/>
          <w:color w:val="000000"/>
          <w:spacing w:val="0"/>
          <w:w w:val="100"/>
          <w:position w:val="0"/>
          <w:shd w:val="clear" w:color="auto" w:fill="auto"/>
          <w:lang w:val="hr-HR" w:eastAsia="hr-HR" w:bidi="hr-HR"/>
        </w:rPr>
        <w:t xml:space="preserve"> vam ON učiniti da vas danas spa</w:t>
        <w:softHyphen/>
        <w:t>si... ON će se boriti za vas. Budite mirni!« (14,13 i d.). U slušanju riječi koja traži vjeru u jednom trenutku leži ključ načina opažanja u drugom trenutku. Puka povijest ne može se is- taliti iz izvješća o čudu; no iskustvo koje on prenosi, proces doživljen kao č., povijest je sama po sebi. U izvješću o egipatskim zlima (7-11) opisuje se divljenje prijašnjih robova, ne zato što su se izvukli iz faraonova jarma zbog nečega što bi se moglo pripisati vlastitim snagama, nego zbog održanoga Božjeg obeća</w:t>
        <w:softHyphen/>
        <w:t>nja (3,11 i d.); sada će ona sljedećim narašta</w:t>
        <w:softHyphen/>
        <w:t xml:space="preserve">jima objasniti kako su se iz čuda zbivala čuda. Mudraci su naglašavali tu crtu (M Avot V,4; Mehilta Izl 14,16) koju </w:t>
      </w:r>
      <w:r>
        <w:rPr>
          <w:rFonts w:ascii="Times New Roman" w:eastAsia="Times New Roman" w:hAnsi="Times New Roman" w:cs="Times New Roman"/>
          <w:i/>
          <w:iCs/>
          <w:color w:val="000000"/>
          <w:spacing w:val="0"/>
          <w:w w:val="100"/>
          <w:position w:val="0"/>
          <w:shd w:val="clear" w:color="auto" w:fill="auto"/>
          <w:lang w:val="hr-HR" w:eastAsia="hr-HR" w:bidi="hr-HR"/>
        </w:rPr>
        <w:t>Hagada šel pesah</w:t>
      </w:r>
      <w:r>
        <w:rPr>
          <w:rFonts w:ascii="Times New Roman" w:eastAsia="Times New Roman" w:hAnsi="Times New Roman" w:cs="Times New Roman"/>
          <w:color w:val="000000"/>
          <w:spacing w:val="0"/>
          <w:w w:val="100"/>
          <w:position w:val="0"/>
          <w:shd w:val="clear" w:color="auto" w:fill="auto"/>
          <w:lang w:val="hr-HR" w:eastAsia="hr-HR" w:bidi="hr-HR"/>
        </w:rPr>
        <w:t xml:space="preserve"> raz</w:t>
        <w:softHyphen/>
        <w:t>laže (usp. M. Lehmannova objašnjenja, 1962, 88 i d.) prije negoli s uzvikom »Kolikostruko li je stupnjevanje mnogostruke dobrote Božje prema nama!« nabroji petnaest Božjih dobro- činstava - od izlaska iz Egipta do gradnje Hrama u zemlji Izraelu - za koje bi Izrael, za svako pojedino dobročinstvo, bio dužan zahva</w:t>
        <w:softHyphen/>
        <w:t xml:space="preserve">liti u najvećoj mjeri: «... bilo bi to za nas dosta« </w:t>
      </w:r>
      <w:r>
        <w:rPr>
          <w:rFonts w:ascii="Times New Roman" w:eastAsia="Times New Roman" w:hAnsi="Times New Roman" w:cs="Times New Roman"/>
          <w:i/>
          <w:iCs/>
          <w:color w:val="000000"/>
          <w:spacing w:val="0"/>
          <w:w w:val="100"/>
          <w:position w:val="0"/>
          <w:shd w:val="clear" w:color="auto" w:fill="auto"/>
          <w:lang w:val="hr-HR" w:eastAsia="hr-HR" w:bidi="hr-HR"/>
        </w:rPr>
        <w:t>(dajeinu,</w:t>
      </w:r>
      <w:r>
        <w:rPr>
          <w:rFonts w:ascii="Times New Roman" w:eastAsia="Times New Roman" w:hAnsi="Times New Roman" w:cs="Times New Roman"/>
          <w:color w:val="000000"/>
          <w:spacing w:val="0"/>
          <w:w w:val="100"/>
          <w:position w:val="0"/>
          <w:shd w:val="clear" w:color="auto" w:fill="auto"/>
          <w:lang w:val="hr-HR" w:eastAsia="hr-HR" w:bidi="hr-HR"/>
        </w:rPr>
        <w:t xml:space="preserve"> op.cit., 97 i d.). Uspjeh čuda dokazuje č. samo onima koji u događaju koji su doživjeli kao č. - koji nisu tumačili! - sudje</w:t>
        <w:softHyphen/>
        <w:t>luju cijelim njegovim tokom (Izl 34,10). Za one kasnije stvarnost čuda ovisi o vjerodostoj</w:t>
        <w:softHyphen/>
        <w:t>nosti svjedoka koji su prisustvovali u oba tre</w:t>
        <w:softHyphen/>
        <w:t>nutka potrebna za obilježje čuda - u trenutku najave i u trenutku izvršenja. Tradicijski pre</w:t>
        <w:softHyphen/>
        <w:t xml:space="preserve">neseno č. ne smije se stoga odvajati od svojih prenositelja (Suci 6,13; Ps 9,2; 26,7; 71,17; 75,2; 78,3 i d.; 96,3; 98,1; 107,24; 111,4), jer </w:t>
      </w:r>
      <w:r>
        <w:rPr>
          <w:rFonts w:ascii="Times New Roman" w:eastAsia="Times New Roman" w:hAnsi="Times New Roman" w:cs="Times New Roman"/>
          <w:color w:val="000000"/>
          <w:spacing w:val="0"/>
          <w:w w:val="100"/>
          <w:position w:val="0"/>
          <w:shd w:val="clear" w:color="auto" w:fill="auto"/>
          <w:lang w:val="hr-HR" w:eastAsia="hr-HR" w:bidi="hr-HR"/>
        </w:rPr>
        <w:t>samo zajedno s njima izdiže se iznad povijes</w:t>
        <w:softHyphen/>
        <w:t>noga konteksta i opravdava novi povijesni kontekst među onima koji od slušatelja po</w:t>
        <w:softHyphen/>
        <w:t>staju oni koji vjeruju i u zajednici uzdižu Bo</w:t>
        <w:softHyphen/>
        <w:t xml:space="preserve">ga: »Jedini ON učini čuda velika« (Ps 136,4), kako se to događa dok se pjeva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Halel ha-gadol </w:t>
      </w:r>
      <w:r>
        <w:rPr>
          <w:rFonts w:ascii="Times New Roman" w:eastAsia="Times New Roman" w:hAnsi="Times New Roman" w:cs="Times New Roman"/>
          <w:color w:val="000000"/>
          <w:spacing w:val="0"/>
          <w:w w:val="100"/>
          <w:position w:val="0"/>
          <w:shd w:val="clear" w:color="auto" w:fill="auto"/>
          <w:lang w:val="hr-HR" w:eastAsia="hr-HR" w:bidi="hr-HR"/>
        </w:rPr>
        <w:t xml:space="preserve">(b Pesahim 119a) na </w:t>
      </w:r>
      <w:r>
        <w:rPr>
          <w:rFonts w:ascii="Times New Roman" w:eastAsia="Times New Roman" w:hAnsi="Times New Roman" w:cs="Times New Roman"/>
          <w:i/>
          <w:iCs/>
          <w:color w:val="000000"/>
          <w:spacing w:val="0"/>
          <w:w w:val="100"/>
          <w:position w:val="0"/>
          <w:shd w:val="clear" w:color="auto" w:fill="auto"/>
          <w:lang w:val="hr-HR" w:eastAsia="hr-HR" w:bidi="hr-HR"/>
        </w:rPr>
        <w:t>sederu.</w:t>
      </w:r>
    </w:p>
    <w:p>
      <w:pPr>
        <w:pStyle w:val="Style20"/>
        <w:keepNext w:val="0"/>
        <w:keepLines w:val="0"/>
        <w:widowControl w:val="0"/>
        <w:numPr>
          <w:ilvl w:val="0"/>
          <w:numId w:val="79"/>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»Gospodaru čuda, koji... obnavlja djelo po</w:t>
        <w:softHyphen/>
        <w:t>četka.«</w:t>
      </w:r>
      <w:r>
        <w:rPr>
          <w:rFonts w:ascii="Times New Roman" w:eastAsia="Times New Roman" w:hAnsi="Times New Roman" w:cs="Times New Roman"/>
          <w:color w:val="000000"/>
          <w:spacing w:val="0"/>
          <w:w w:val="100"/>
          <w:position w:val="0"/>
          <w:shd w:val="clear" w:color="auto" w:fill="auto"/>
          <w:lang w:val="hr-HR" w:eastAsia="hr-HR" w:bidi="hr-HR"/>
        </w:rPr>
        <w:t xml:space="preserve"> Č. što Bog narodu ili pojedinom pri</w:t>
        <w:softHyphen/>
        <w:t>padniku naroda otvara neočekivane životne mogučnosti (Ps 107,24; 118,23; 40,6; Post</w:t>
      </w:r>
    </w:p>
    <w:p>
      <w:pPr>
        <w:pStyle w:val="Style20"/>
        <w:keepNext w:val="0"/>
        <w:keepLines w:val="0"/>
        <w:widowControl w:val="0"/>
        <w:numPr>
          <w:ilvl w:val="0"/>
          <w:numId w:val="83"/>
        </w:numPr>
        <w:shd w:val="clear" w:color="auto" w:fill="auto"/>
        <w:tabs>
          <w:tab w:pos="182" w:val="left"/>
          <w:tab w:pos="46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 ostaje jedini način opažanja. Božje č. ne odnosi se samo na konkretno iskustvo spa</w:t>
        <w:softHyphen/>
        <w:t>šavanja, nego obuhvaća i Stvoritcljcvo djelo</w:t>
        <w:softHyphen/>
        <w:t xml:space="preserve">vanje (Ps 136,4 i d.;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5,9 = 9,10). »Stvoreni svijet« odnosi se prema izvješću o stvaranju kao izvršenje prema riječi koja se najavljuje; to je »potpuno stvaranje svjetla i zvuka Pro</w:t>
        <w:softHyphen/>
        <w:t>vidnosti koja je u početku skrivena u nijemoj noći stvaranja, potpuna - objava. Znači, ob</w:t>
        <w:softHyphen/>
        <w:t xml:space="preserve">java je svagda nova... Ona obnavlja prastaro stvaranje u uvijek novostvaranu sadašnjost« (F. </w:t>
      </w:r>
      <w:r>
        <w:rPr>
          <w:rFonts w:ascii="Times New Roman" w:eastAsia="Times New Roman" w:hAnsi="Times New Roman" w:cs="Times New Roman"/>
          <w:color w:val="000000"/>
          <w:spacing w:val="0"/>
          <w:w w:val="100"/>
          <w:position w:val="0"/>
          <w:shd w:val="clear" w:color="auto" w:fill="auto"/>
          <w:lang w:val="en-US" w:eastAsia="en-US" w:bidi="en-US"/>
        </w:rPr>
        <w:t xml:space="preserve">Roscnzwcig,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Erlosung,</w:t>
      </w:r>
      <w:r>
        <w:rPr>
          <w:rFonts w:ascii="Times New Roman" w:eastAsia="Times New Roman" w:hAnsi="Times New Roman" w:cs="Times New Roman"/>
          <w:color w:val="000000"/>
          <w:spacing w:val="0"/>
          <w:w w:val="100"/>
          <w:position w:val="0"/>
          <w:shd w:val="clear" w:color="auto" w:fill="auto"/>
          <w:lang w:val="hr-HR" w:eastAsia="hr-HR" w:bidi="hr-HR"/>
        </w:rPr>
        <w:t xml:space="preserve"> 1921,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z</w:t>
      </w:r>
      <w:r>
        <w:rPr>
          <w:rFonts w:ascii="Times New Roman" w:eastAsia="Times New Roman" w:hAnsi="Times New Roman" w:cs="Times New Roman"/>
          <w:color w:val="000000"/>
          <w:spacing w:val="0"/>
          <w:w w:val="100"/>
          <w:position w:val="0"/>
          <w:shd w:val="clear" w:color="auto" w:fill="auto"/>
          <w:lang w:val="hr-HR" w:eastAsia="hr-HR" w:bidi="hr-HR"/>
        </w:rPr>
        <w:t>1930/</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1976, 123). Jutarnja molitva židovske zajednice dodiruje »zapečaćeno proricanje« čuda svakodnevne obnove stvaranja. Njemu treba posvetiti jednaku pažnju sa svakim za</w:t>
        <w:softHyphen/>
        <w:t>početim danom opstanka svijeta. Stoga čovjek koji se budi uzdiže Stvoritelja svijeta, koji ga svakodnevno i održava. Završni odlomak prve zahvalnice prije »Čuj, Izraele« nadovezuje se na uvodne rečenice: »Gospodaru čuda, koji u svojoj dobroti svakoga dana ustrajno obnav</w:t>
        <w:softHyphen/>
        <w:t>ljaš djelo početka.« Izreka mudraca uči mo- litelja da se nada još jednoj dimenziji čuda ob</w:t>
        <w:softHyphen/>
        <w:t>nove što će ga izvršiti nad njim u Kraljevstvu svjetlosti »koje u budućnosti čuva za praved</w:t>
        <w:softHyphen/>
        <w:t>nike« (b Hagiga 12a) kada savršenstvo čovje</w:t>
        <w:softHyphen/>
        <w:t>čanstva u Božjoj vlasti dođe iz Ciona (Iz 2,2-5; Mih 4,1-5).</w:t>
      </w:r>
    </w:p>
    <w:p>
      <w:pPr>
        <w:pStyle w:val="Style20"/>
        <w:keepNext w:val="0"/>
        <w:keepLines w:val="0"/>
        <w:widowControl w:val="0"/>
        <w:numPr>
          <w:ilvl w:val="0"/>
          <w:numId w:val="79"/>
        </w:numPr>
        <w:shd w:val="clear" w:color="auto" w:fill="auto"/>
        <w:tabs>
          <w:tab w:pos="26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»Koji tu liječiš sve tijelo i činiš čuda.«</w:t>
      </w:r>
      <w:r>
        <w:rPr>
          <w:rFonts w:ascii="Times New Roman" w:eastAsia="Times New Roman" w:hAnsi="Times New Roman" w:cs="Times New Roman"/>
          <w:color w:val="000000"/>
          <w:spacing w:val="0"/>
          <w:w w:val="100"/>
          <w:position w:val="0"/>
          <w:shd w:val="clear" w:color="auto" w:fill="auto"/>
          <w:lang w:val="hr-HR" w:eastAsia="hr-HR" w:bidi="hr-HR"/>
        </w:rPr>
        <w:t xml:space="preserve"> Prije negoli se u drugom dijelu jutarnje molitve s obzirom na nadmoćnu veličinu i raznolikost stvaranja hvali Bog kao stvoritelj i vječni obli- kovatelj svega stvorenoga, već sam doživljaj vlastita tjelesnog postojanja budi blagoslov Stvoritelja. Židov koji se moli ne prima redo</w:t>
        <w:softHyphen/>
        <w:t>vite procese u svojem tijelu kao same po sebi razumljive i objašnjive pojave; i disanje i pro</w:t>
        <w:softHyphen/>
        <w:t>bavu doživljava kao nešto što dolikuje njego</w:t>
        <w:softHyphen/>
        <w:t>voj vezi s Bogom i djelovanjem metabolizma i izlučivanjem može potaknuti pohvalu čudes</w:t>
        <w:softHyphen/>
      </w:r>
      <w:r>
        <w:rPr>
          <w:rFonts w:ascii="Times New Roman" w:eastAsia="Times New Roman" w:hAnsi="Times New Roman" w:cs="Times New Roman"/>
          <w:color w:val="000000"/>
          <w:spacing w:val="0"/>
          <w:w w:val="100"/>
          <w:position w:val="0"/>
          <w:shd w:val="clear" w:color="auto" w:fill="auto"/>
          <w:lang w:val="hr-HR" w:eastAsia="hr-HR" w:bidi="hr-HR"/>
        </w:rPr>
        <w:t>nog djelovanja mudra Stvoritelja o kojemu ovi</w:t>
        <w:softHyphen/>
        <w:t>si jedinstvo i zdravlje tjelesno-duševnoga čovjeka: »Blagoslovljen bio. Vječni, koji tu lije</w:t>
        <w:softHyphen/>
        <w:t>čiš sve tijelo i činiš čuda« (prvi dio jutarnje molitve). Prvu zahvalnicu dana zbog prepo</w:t>
        <w:softHyphen/>
        <w:t>rođene tjelesne snage, koja završava tom be- rahom, pobožnik ponavlja tijekom dana na</w:t>
        <w:softHyphen/>
        <w:t>kon obavljanja nužde (b Berahot 60b). Time on izražava svijest o suočenju - u svakoj situa</w:t>
        <w:softHyphen/>
        <w:t>ciji svojega postojanja - s »Tvorcem čuda«, koji spaja dušu s tijelom i daje čovjeku iden</w:t>
        <w:softHyphen/>
        <w:t>titet. Ovdje djeluje opažanje čuda, prema ko</w:t>
        <w:softHyphen/>
        <w:t>jem ne pada ni dlaka s čovjekove glave bez volje Božje (1 Sam 14,45; usp. b Bava batra 16a).</w:t>
      </w:r>
    </w:p>
    <w:p>
      <w:pPr>
        <w:pStyle w:val="Style56"/>
        <w:keepNext w:val="0"/>
        <w:keepLines w:val="0"/>
        <w:widowControl w:val="0"/>
        <w:shd w:val="clear" w:color="auto" w:fill="auto"/>
        <w:bidi w:val="0"/>
        <w:spacing w:before="0" w:after="18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7, 1395 i d.; 9. 1050; 10, 377; 11. 750.1336 i d„ 1419; 12, 74-81; 13. 1158 i d.; 14. 638.1524; G. </w:t>
      </w:r>
      <w:r>
        <w:rPr>
          <w:color w:val="000000"/>
          <w:spacing w:val="0"/>
          <w:w w:val="100"/>
          <w:position w:val="0"/>
          <w:shd w:val="clear" w:color="auto" w:fill="auto"/>
        </w:rPr>
        <w:t xml:space="preserve">Stemberger.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Talmud. </w:t>
      </w:r>
      <w:r>
        <w:rPr>
          <w:i/>
          <w:iCs/>
          <w:color w:val="000000"/>
          <w:spacing w:val="0"/>
          <w:w w:val="100"/>
          <w:position w:val="0"/>
          <w:shd w:val="clear" w:color="auto" w:fill="auto"/>
          <w:lang w:val="hr-HR" w:eastAsia="hr-HR" w:bidi="hr-HR"/>
        </w:rPr>
        <w:t>Einfuhrung, Tesle, EMulerungen.</w:t>
      </w:r>
      <w:r>
        <w:rPr>
          <w:color w:val="000000"/>
          <w:spacing w:val="0"/>
          <w:w w:val="100"/>
          <w:position w:val="0"/>
          <w:shd w:val="clear" w:color="auto" w:fill="auto"/>
          <w:lang w:val="hr-HR" w:eastAsia="hr-HR" w:bidi="hr-HR"/>
        </w:rPr>
        <w:t xml:space="preserve"> 1982. 182 i d.. 189-193.213 i d. D. VETI'EK</w:t>
      </w:r>
    </w:p>
    <w:p>
      <w:pPr>
        <w:pStyle w:val="Style63"/>
        <w:keepNext/>
        <w:keepLines/>
        <w:widowControl w:val="0"/>
        <w:numPr>
          <w:ilvl w:val="0"/>
          <w:numId w:val="85"/>
        </w:numPr>
        <w:shd w:val="clear" w:color="auto" w:fill="auto"/>
        <w:tabs>
          <w:tab w:pos="260" w:val="left"/>
        </w:tabs>
        <w:bidi w:val="0"/>
        <w:spacing w:before="0" w:line="223" w:lineRule="auto"/>
        <w:ind w:left="0" w:right="0" w:firstLine="0"/>
        <w:jc w:val="both"/>
      </w:pPr>
      <w:bookmarkStart w:id="63" w:name="bookmark6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6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Evanđelja NZ tijesno povezuju Isusov nastup s čudotvorstvom. Antikno shvaćanje drži učin</w:t>
        <w:softHyphen/>
        <w:t>kovitost čudesa kao nešto samo po sebi ra</w:t>
        <w:softHyphen/>
        <w:t>zumljivo. Neka Isusova čudesa, koja su bila opisana, mogu se danas objasniti, dakako, na prirodan način; pa ipak, čini se izvjesnim da je Isus stvarno činio čuda. U svom današnjem obliku pripovijedanja o čudima NZ pokazuju crte legende, ali ne mogu se u svojoj cijelosti proglasiti kao nepovijesna niti se mogu shva</w:t>
        <w:softHyphen/>
        <w:t>ćati kao realistični opisi činjenica koje su toč</w:t>
        <w:softHyphen/>
        <w:t>no primijećene. Jer, evanđelisti s pričama o čudesima ne žele pružiti nikakvu reportažu nego pokazati početak spasenjskog vremena u Isusu. Egzegeza se trudi diferencirati između povijesnosti opisanih čudesa i njihova tuma</w:t>
        <w:softHyphen/>
        <w:t>čenja od strane evanđelista, što više nije mo</w:t>
        <w:softHyphen/>
        <w:t>guće za pripovijedanja o čudesima iz Ivanova evanđelja na temelju njegove poslijeuskrsne perspektive.</w:t>
      </w:r>
    </w:p>
    <w:p>
      <w:pPr>
        <w:pStyle w:val="Style20"/>
        <w:keepNext w:val="0"/>
        <w:keepLines w:val="0"/>
        <w:widowControl w:val="0"/>
        <w:shd w:val="clear" w:color="auto" w:fill="auto"/>
        <w:bidi w:val="0"/>
        <w:spacing w:before="0" w:after="60"/>
        <w:ind w:left="0" w:right="0" w:firstLine="0"/>
        <w:jc w:val="both"/>
        <w:sectPr>
          <w:headerReference w:type="default" r:id="rId277"/>
          <w:footerReference w:type="default" r:id="rId278"/>
          <w:headerReference w:type="even" r:id="rId279"/>
          <w:footerReference w:type="even" r:id="rId280"/>
          <w:headerReference w:type="first" r:id="rId281"/>
          <w:footerReference w:type="first" r:id="rId282"/>
          <w:footnotePr>
            <w:pos w:val="pageBottom"/>
            <w:numFmt w:val="decimal"/>
            <w:numStart w:val="5"/>
            <w:numRestart w:val="continuous"/>
            <w15:footnoteColumns w:val="1"/>
          </w:footnotePr>
          <w:pgSz w:w="6816" w:h="11006"/>
          <w:pgMar w:top="978" w:left="185" w:right="190" w:bottom="520" w:header="0" w:footer="3" w:gutter="0"/>
          <w:pgNumType w:start="96"/>
          <w:cols w:num="2" w:space="18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Kao svrhu Isusovih čudesa NZ navodi obra</w:t>
        <w:softHyphen/>
        <w:t>ćenje i zahvalu ljudi (I.k 5,8-11; Dj 14,14 itd.), buđenje i jačanje vjere (Mk 5,34; 10,52 itd.). Č. se, dakle, ne ispunjava samo na vidljiv na</w:t>
        <w:softHyphen/>
        <w:t xml:space="preserve">čin nego i u obraćenju i opraštanju grijeha (Mk 2,1-12). Novozavjetna pripovijedanja o čudesima treba razumjeti kao ukazivanje na prodor spasenja u povijest i ona imaju prije svega kerigmatičku funkciju: Isus pokazuje u svojim čudesima svoje »svojstvo Krista« (usp. Mt 11,2-5), njegova čudesna djela ukazuju na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opravdanje cshatološke nade i inogu se shva</w:t>
        <w:softHyphen/>
        <w:t>ćati kao u velikoj mjeri usmjerena na č. koje je Bog učinio u smrti i uskrsnuću.</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R. H. </w:t>
      </w:r>
      <w:r>
        <w:rPr>
          <w:color w:val="000000"/>
          <w:spacing w:val="0"/>
          <w:w w:val="100"/>
          <w:position w:val="0"/>
          <w:shd w:val="clear" w:color="auto" w:fill="auto"/>
        </w:rPr>
        <w:t xml:space="preserve">Fuller, </w:t>
      </w:r>
      <w:r>
        <w:rPr>
          <w:i/>
          <w:iCs/>
          <w:color w:val="000000"/>
          <w:spacing w:val="0"/>
          <w:w w:val="100"/>
          <w:position w:val="0"/>
          <w:shd w:val="clear" w:color="auto" w:fill="auto"/>
        </w:rPr>
        <w:t xml:space="preserve">Die Wunder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in Exegcse und Vcrkiin- digung,</w:t>
      </w:r>
      <w:r>
        <w:rPr>
          <w:color w:val="000000"/>
          <w:spacing w:val="0"/>
          <w:w w:val="100"/>
          <w:position w:val="0"/>
          <w:shd w:val="clear" w:color="auto" w:fill="auto"/>
        </w:rPr>
        <w:t xml:space="preserve"> Dusseldorf 1967: A. Grabner-Haidcr (Hrsg.)</w:t>
      </w:r>
      <w:r>
        <w:rPr>
          <w:i/>
          <w:iCs/>
          <w:color w:val="000000"/>
          <w:spacing w:val="0"/>
          <w:w w:val="100"/>
          <w:position w:val="0"/>
          <w:shd w:val="clear" w:color="auto" w:fill="auto"/>
        </w:rPr>
        <w:t>.Prak- tisches Bibeltexikon,</w:t>
      </w:r>
      <w:r>
        <w:rPr>
          <w:color w:val="000000"/>
          <w:spacing w:val="0"/>
          <w:w w:val="100"/>
          <w:position w:val="0"/>
          <w:shd w:val="clear" w:color="auto" w:fill="auto"/>
        </w:rPr>
        <w:t xml:space="preserve"> Frciburg/Bascl/Wicn 1969; H. Haag </w:t>
      </w:r>
      <w:r>
        <w:rPr>
          <w:i/>
          <w:iCs/>
          <w:color w:val="000000"/>
          <w:spacing w:val="0"/>
          <w:w w:val="100"/>
          <w:position w:val="0"/>
          <w:shd w:val="clear" w:color="auto" w:fill="auto"/>
        </w:rPr>
        <w:t>(Hug.), Bibclleakon,</w:t>
      </w:r>
      <w:r>
        <w:rPr>
          <w:color w:val="000000"/>
          <w:spacing w:val="0"/>
          <w:w w:val="100"/>
          <w:position w:val="0"/>
          <w:shd w:val="clear" w:color="auto" w:fill="auto"/>
        </w:rPr>
        <w:t xml:space="preserve"> EinsicdcInj'Zurich/Kbln </w:t>
      </w:r>
      <w:r>
        <w:rPr>
          <w:color w:val="000000"/>
          <w:spacing w:val="0"/>
          <w:w w:val="100"/>
          <w:position w:val="0"/>
          <w:shd w:val="clear" w:color="auto" w:fill="auto"/>
          <w:lang w:val="hr-HR" w:eastAsia="hr-HR" w:bidi="hr-HR"/>
        </w:rPr>
        <w:t>196«.</w:t>
      </w:r>
    </w:p>
    <w:p>
      <w:pPr>
        <w:pStyle w:val="Style74"/>
        <w:keepNext w:val="0"/>
        <w:keepLines w:val="0"/>
        <w:widowControl w:val="0"/>
        <w:shd w:val="clear" w:color="auto" w:fill="auto"/>
        <w:bidi w:val="0"/>
        <w:spacing w:before="0" w:after="24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G.G1RSCHEK</w:t>
      </w:r>
    </w:p>
    <w:p>
      <w:pPr>
        <w:pStyle w:val="Style63"/>
        <w:keepNext/>
        <w:keepLines/>
        <w:widowControl w:val="0"/>
        <w:numPr>
          <w:ilvl w:val="0"/>
          <w:numId w:val="85"/>
        </w:numPr>
        <w:shd w:val="clear" w:color="auto" w:fill="auto"/>
        <w:tabs>
          <w:tab w:pos="255" w:val="left"/>
        </w:tabs>
        <w:bidi w:val="0"/>
        <w:spacing w:before="0"/>
        <w:ind w:left="0" w:right="0" w:firstLine="0"/>
        <w:jc w:val="both"/>
      </w:pPr>
      <w:bookmarkStart w:id="64" w:name="bookmark64"/>
      <w:r>
        <w:rPr>
          <w:rFonts w:ascii="Times New Roman" w:eastAsia="Times New Roman" w:hAnsi="Times New Roman" w:cs="Times New Roman"/>
          <w:color w:val="000000"/>
          <w:spacing w:val="0"/>
          <w:w w:val="100"/>
          <w:position w:val="0"/>
          <w:shd w:val="clear" w:color="auto" w:fill="auto"/>
          <w:lang w:val="hr-HR" w:eastAsia="hr-HR" w:bidi="hr-HR"/>
        </w:rPr>
        <w:t>islamski</w:t>
      </w:r>
      <w:bookmarkEnd w:id="6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svojega početka islam poznaje č. kao Božji »znamen«. Tako se u Kuranu na mnogim mjestima govori o velikim djelima Božjim. Ona mogu služiti čovjeku kao »znamen« (arap. (Sva) za Božju stvoriteljsku moć i djelotvor</w:t>
        <w:softHyphen/>
        <w:t>nost. Nebo i zemlja, munja i kiša, stvaranje čovjeka, sve su to (usp. Kuran 30,17 i d.) »zna</w:t>
        <w:softHyphen/>
        <w:t>meni« koji ukazuju na božanskoga Tvorca. Ljudi koji vide to znamenje a unatoč tomu se ne obrate bit će na sudnji dan kažnjeni od Boga. No Božje se znamenje ne ograničuje na č. stvaranja. I proroci se pojavljuju s konkret</w:t>
        <w:softHyphen/>
        <w:t>nim znamenima (usp. Kuran 10,71 i d.), od kojih među najpoznatije spadaju recimo Moj- sijevi znameni pred faraonom. Naposljetku se i sam Kuran shvaća kao Božji znamen u smislu »jasnoga dokaza o vašemu Gospodaru« (Ku</w:t>
        <w:softHyphen/>
        <w:t>ran 6,157).</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lih je kuranskih pretpostavki islamska teo</w:t>
        <w:softHyphen/>
        <w:t>logija izvela četverostruko shvaćanje čuda: a) Ljepote stvaranja shvaćaju se kao čudesni znameni (ayat) koji ukazuju na Tvorca, b) Ne</w:t>
        <w:softHyphen/>
        <w:t>uobičajena djela proroka shvaćaju se onda kao religiozno relevantna moć, tj. čuda se shva</w:t>
        <w:softHyphen/>
        <w:t xml:space="preserve">ćaju u teološko-lehničkom smislu (mu’djiza) ako ona trebaju legitimirati poslanje proroka ili Božjega poslanika. Tomu pripada da se ono »neuobičajeno« </w:t>
      </w:r>
      <w:r>
        <w:rPr>
          <w:rFonts w:ascii="Times New Roman" w:eastAsia="Times New Roman" w:hAnsi="Times New Roman" w:cs="Times New Roman"/>
          <w:color w:val="000000"/>
          <w:spacing w:val="0"/>
          <w:w w:val="100"/>
          <w:position w:val="0"/>
          <w:shd w:val="clear" w:color="auto" w:fill="auto"/>
          <w:lang w:val="en-US" w:eastAsia="en-US" w:bidi="en-US"/>
        </w:rPr>
        <w:t xml:space="preserve">(kharq </w:t>
      </w:r>
      <w:r>
        <w:rPr>
          <w:rFonts w:ascii="Times New Roman" w:eastAsia="Times New Roman" w:hAnsi="Times New Roman" w:cs="Times New Roman"/>
          <w:color w:val="000000"/>
          <w:spacing w:val="0"/>
          <w:w w:val="100"/>
          <w:position w:val="0"/>
          <w:shd w:val="clear" w:color="auto" w:fill="auto"/>
          <w:lang w:val="hr-HR" w:eastAsia="hr-HR" w:bidi="hr-HR"/>
        </w:rPr>
        <w:t>al-’ada) događa u jav</w:t>
        <w:softHyphen/>
        <w:t>nosti nakon prethodnoga navještaja po proro</w:t>
        <w:softHyphen/>
      </w:r>
      <w:r>
        <w:rPr>
          <w:rFonts w:ascii="Times New Roman" w:eastAsia="Times New Roman" w:hAnsi="Times New Roman" w:cs="Times New Roman"/>
          <w:color w:val="000000"/>
          <w:spacing w:val="0"/>
          <w:w w:val="100"/>
          <w:position w:val="0"/>
          <w:shd w:val="clear" w:color="auto" w:fill="auto"/>
          <w:lang w:val="hr-HR" w:eastAsia="hr-HR" w:bidi="hr-HR"/>
        </w:rPr>
        <w:t>cima ili po Božjemu poslaniku s ciljem da se promatračima uputi izazov (tahaddi) na vjeru,</w:t>
      </w:r>
    </w:p>
    <w:p>
      <w:pPr>
        <w:pStyle w:val="Style20"/>
        <w:keepNext w:val="0"/>
        <w:keepLines w:val="0"/>
        <w:widowControl w:val="0"/>
        <w:numPr>
          <w:ilvl w:val="0"/>
          <w:numId w:val="71"/>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 u smislu b) također je i Kuran u posto</w:t>
        <w:softHyphen/>
        <w:t>jećoj arapskoj formi zato što njegova jezična kvaliteta, po islamskome uvjerenju, nadmašu- je svaku ljudsku moć formuliranja i zbog toga se izazovu da se on smatra Božjom vlastitom riječju ili da stvara nešto njoj jednako vrijedno (usp. Kuran 2,23; 17,88) može udovoljiti samo u smislu prvospomenute alternative, d) Kao »č. milosti« (karSma) shvaća se sve što je »ne</w:t>
        <w:softHyphen/>
        <w:t>uobičajeno«, sve ono što su od »čudesnoga« muslimani učinili s Božjom pomoći ili što čine i danas. O tome znade bogato izvješćivati puč</w:t>
        <w:softHyphen/>
        <w:t>ka književnost; takva su čuda teološki irele</w:t>
        <w:softHyphen/>
        <w:t>vantna. Čuda milosti predstavljaju k tomu omiljeni predmet pripovijedanja i njima ni</w:t>
        <w:softHyphen/>
        <w:t>pošto nisu strani parapsihološki i fantastični elementi.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Suprotno europskoj predodžbi o prirodnim zakonima klasično-islamska teologija (prije sve</w:t>
        <w:softHyphen/>
        <w:t>ga teologija ašaritske škole) svako događanje u svijetu svodi na neki neposredni Božji stva</w:t>
        <w:softHyphen/>
        <w:t>ralački akt. Ono što se pojavljuje kao zakoni</w:t>
        <w:softHyphen/>
        <w:t xml:space="preserve">tost u zbilji je samo Božja navika da na taj način uvijek iznova vrši stvaranje. Prekid te navike </w:t>
      </w:r>
      <w:r>
        <w:rPr>
          <w:rFonts w:ascii="Times New Roman" w:eastAsia="Times New Roman" w:hAnsi="Times New Roman" w:cs="Times New Roman"/>
          <w:color w:val="000000"/>
          <w:spacing w:val="0"/>
          <w:w w:val="100"/>
          <w:position w:val="0"/>
          <w:shd w:val="clear" w:color="auto" w:fill="auto"/>
          <w:lang w:val="en-US" w:eastAsia="en-US" w:bidi="en-US"/>
        </w:rPr>
        <w:t xml:space="preserve">(kharq </w:t>
      </w:r>
      <w:r>
        <w:rPr>
          <w:rFonts w:ascii="Times New Roman" w:eastAsia="Times New Roman" w:hAnsi="Times New Roman" w:cs="Times New Roman"/>
          <w:color w:val="000000"/>
          <w:spacing w:val="0"/>
          <w:w w:val="100"/>
          <w:position w:val="0"/>
          <w:shd w:val="clear" w:color="auto" w:fill="auto"/>
          <w:lang w:val="hr-HR" w:eastAsia="hr-HR" w:bidi="hr-HR"/>
        </w:rPr>
        <w:t>al’Slada) ima za promatrača nešto po sebi »neuobičajeno«, ali je po svojoj naravi normalno ili prirodno jednako kao i ono što je uobičajeno. Iz prikazanoga je jasno da ć. kao argument ne igra danas praktično nikakvu ulogu, dok izvješća o ćudima (»čuda milosti«) i prije i kasnije spadaju u predmet pripovijedanja nabožne pučke književnosti.</w:t>
      </w:r>
    </w:p>
    <w:p>
      <w:pPr>
        <w:pStyle w:val="Style56"/>
        <w:keepNext w:val="0"/>
        <w:keepLines w:val="0"/>
        <w:widowControl w:val="0"/>
        <w:shd w:val="clear" w:color="auto" w:fill="auto"/>
        <w:tabs>
          <w:tab w:pos="2549" w:val="left"/>
        </w:tabs>
        <w:bidi w:val="0"/>
        <w:spacing w:before="0" w:after="40" w:line="240" w:lineRule="auto"/>
        <w:ind w:left="0" w:right="0" w:firstLine="0"/>
        <w:jc w:val="both"/>
      </w:pPr>
      <w:r>
        <w:rPr>
          <w:color w:val="000000"/>
          <w:spacing w:val="0"/>
          <w:w w:val="100"/>
          <w:position w:val="0"/>
          <w:shd w:val="clear" w:color="auto" w:fill="auto"/>
          <w:lang w:val="hr-HR" w:eastAsia="hr-HR" w:bidi="hr-HR"/>
        </w:rPr>
        <w:t xml:space="preserve">Lit: </w:t>
      </w:r>
      <w:r>
        <w:rPr>
          <w:color w:val="000000"/>
          <w:spacing w:val="0"/>
          <w:w w:val="100"/>
          <w:position w:val="0"/>
          <w:shd w:val="clear" w:color="auto" w:fill="auto"/>
        </w:rPr>
        <w:t xml:space="preserve">Peter Antes, </w:t>
      </w:r>
      <w:r>
        <w:rPr>
          <w:i/>
          <w:iCs/>
          <w:color w:val="000000"/>
          <w:spacing w:val="0"/>
          <w:w w:val="100"/>
          <w:position w:val="0"/>
          <w:shd w:val="clear" w:color="auto" w:fill="auto"/>
        </w:rPr>
        <w:t xml:space="preserve">Prophetcnwundcm in der Ai'uriyu bis al- </w:t>
      </w:r>
      <w:r>
        <w:rPr>
          <w:i/>
          <w:iCs/>
          <w:color w:val="000000"/>
          <w:spacing w:val="0"/>
          <w:w w:val="100"/>
          <w:position w:val="0"/>
          <w:shd w:val="clear" w:color="auto" w:fill="auto"/>
          <w:lang w:val="hr-HR" w:eastAsia="hr-HR" w:bidi="hr-HR"/>
        </w:rPr>
        <w:t xml:space="preserve">Guzati </w:t>
      </w:r>
      <w:r>
        <w:rPr>
          <w:i/>
          <w:iCs/>
          <w:color w:val="000000"/>
          <w:spacing w:val="0"/>
          <w:w w:val="100"/>
          <w:position w:val="0"/>
          <w:shd w:val="clear" w:color="auto" w:fill="auto"/>
        </w:rPr>
        <w:t>(Alguzcl),</w:t>
      </w:r>
      <w:r>
        <w:rPr>
          <w:color w:val="000000"/>
          <w:spacing w:val="0"/>
          <w:w w:val="100"/>
          <w:position w:val="0"/>
          <w:shd w:val="clear" w:color="auto" w:fill="auto"/>
        </w:rPr>
        <w:t xml:space="preserve"> Frciburg/Br. 1970; Richard Gram Itch. </w:t>
      </w:r>
      <w:r>
        <w:rPr>
          <w:i/>
          <w:iCs/>
          <w:color w:val="000000"/>
          <w:spacing w:val="0"/>
          <w:w w:val="100"/>
          <w:position w:val="0"/>
          <w:shd w:val="clear" w:color="auto" w:fill="auto"/>
        </w:rPr>
        <w:t>Die schiitischen Derwischorden Persians.</w:t>
      </w:r>
      <w:r>
        <w:rPr>
          <w:color w:val="000000"/>
          <w:spacing w:val="0"/>
          <w:w w:val="100"/>
          <w:position w:val="0"/>
          <w:shd w:val="clear" w:color="auto" w:fill="auto"/>
        </w:rPr>
        <w:t xml:space="preserve"> Zwcitcr Toil: </w:t>
      </w:r>
      <w:r>
        <w:rPr>
          <w:i/>
          <w:iCs/>
          <w:color w:val="000000"/>
          <w:spacing w:val="0"/>
          <w:w w:val="100"/>
          <w:position w:val="0"/>
          <w:shd w:val="clear" w:color="auto" w:fill="auto"/>
        </w:rPr>
        <w:t>Glaube und Lchre,</w:t>
      </w:r>
      <w:r>
        <w:rPr>
          <w:color w:val="000000"/>
          <w:spacing w:val="0"/>
          <w:w w:val="100"/>
          <w:position w:val="0"/>
          <w:shd w:val="clear" w:color="auto" w:fill="auto"/>
        </w:rPr>
        <w:t xml:space="preserve"> Wiesbaden 1976, 198 </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d.</w:t>
        <w:tab/>
        <w:t>l‘. ANTES</w:t>
      </w:r>
    </w:p>
    <w:p>
      <w:pPr>
        <w:pStyle w:val="Style33"/>
        <w:keepNext w:val="0"/>
        <w:keepLines w:val="0"/>
        <w:widowControl w:val="0"/>
        <w:shd w:val="clear" w:color="auto" w:fill="auto"/>
        <w:bidi w:val="0"/>
        <w:spacing w:before="0" w:after="10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DEMONI -&gt; ZLO</w:t>
      </w:r>
    </w:p>
    <w:p>
      <w:pPr>
        <w:pStyle w:val="Style33"/>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DEKALOG -4 ZAPOVIJED</w:t>
      </w:r>
    </w:p>
    <w:p>
      <w:pPr>
        <w:pStyle w:val="Style33"/>
        <w:keepNext w:val="0"/>
        <w:keepLines w:val="0"/>
        <w:widowControl w:val="0"/>
        <w:shd w:val="clear" w:color="auto" w:fill="auto"/>
        <w:bidi w:val="0"/>
        <w:spacing w:before="0" w:after="26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DUAKONUA LJUBAV PREMA BLIŽNJEMU</w:t>
      </w:r>
    </w:p>
    <w:p>
      <w:pPr>
        <w:pStyle w:val="Style33"/>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DIJALOG</w:t>
      </w:r>
    </w:p>
    <w:p>
      <w:pPr>
        <w:pStyle w:val="Style63"/>
        <w:keepNext/>
        <w:keepLines/>
        <w:widowControl w:val="0"/>
        <w:numPr>
          <w:ilvl w:val="0"/>
          <w:numId w:val="87"/>
        </w:numPr>
        <w:shd w:val="clear" w:color="auto" w:fill="auto"/>
        <w:tabs>
          <w:tab w:pos="241" w:val="left"/>
        </w:tabs>
        <w:bidi w:val="0"/>
        <w:spacing w:before="0" w:after="100" w:line="223" w:lineRule="auto"/>
        <w:ind w:left="0" w:right="0" w:firstLine="0"/>
        <w:jc w:val="left"/>
      </w:pPr>
      <w:bookmarkStart w:id="65" w:name="bookmark65"/>
      <w:r>
        <w:rPr>
          <w:rFonts w:ascii="Times New Roman" w:eastAsia="Times New Roman" w:hAnsi="Times New Roman" w:cs="Times New Roman"/>
          <w:color w:val="000000"/>
          <w:spacing w:val="0"/>
          <w:w w:val="100"/>
          <w:position w:val="0"/>
          <w:shd w:val="clear" w:color="auto" w:fill="auto"/>
          <w:lang w:val="hr-HR" w:eastAsia="hr-HR" w:bidi="hr-HR"/>
        </w:rPr>
        <w:t>židovski</w:t>
      </w:r>
      <w:bookmarkEnd w:id="6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teološki razgovor pripadnika različitih re</w:t>
        <w:softHyphen/>
        <w:t>ligija radi raspoznavanja razlika i zajedništva, poticanja uzajamnog poštovanja i prihvaćanja zadaća za opće dobro. Taj međureligijski raz</w:t>
        <w:softHyphen/>
        <w:t>govor razlikuje se i od pokušaja obraćenja partnera i od njegova ponižavanja. Suprotnost je religijska disputacija koja se često odvija prisilno prema naredbi državnocrkvenih moć</w:t>
        <w:softHyphen/>
        <w:t>nika radi diskriminacije manjina. Preduvjet dijaloga uzajamno je priznavanje religija bez obzira na različitosti. On se može voditi na ši</w:t>
        <w:softHyphen/>
        <w:t>roj osnovi kad se religijske predrasude ras</w:t>
        <w:softHyphen/>
        <w:t>vjetljavaju i razgrađuju, kad država i društvo ništa ne stavljaju na put religijskom pluraliz</w:t>
        <w:softHyphen/>
        <w:t xml:space="preserve">mu i kad je u zajednici i na sveučilištu moguće samopromicanje religija. Stoga je za kršćan- sko-židovski d. potrebno rušenje »teorije raz- baštinjenosti« kojom se židovstvo proglašava zastarjelim ranim stadijem. Židovima treba vremena kako bi stekli povjerenje u kršćane čiji su se vjerski sljedbenici stoljećima borili protiv Židova —&gt; </w:t>
      </w:r>
      <w:r>
        <w:rPr>
          <w:rFonts w:ascii="Times New Roman" w:eastAsia="Times New Roman" w:hAnsi="Times New Roman" w:cs="Times New Roman"/>
          <w:i/>
          <w:iCs/>
          <w:color w:val="000000"/>
          <w:spacing w:val="0"/>
          <w:w w:val="100"/>
          <w:position w:val="0"/>
          <w:shd w:val="clear" w:color="auto" w:fill="auto"/>
          <w:lang w:val="hr-HR" w:eastAsia="hr-HR" w:bidi="hr-HR"/>
        </w:rPr>
        <w:t>Antisemitizam.</w:t>
      </w:r>
      <w:r>
        <w:rPr>
          <w:rFonts w:ascii="Times New Roman" w:eastAsia="Times New Roman" w:hAnsi="Times New Roman" w:cs="Times New Roman"/>
          <w:color w:val="000000"/>
          <w:spacing w:val="0"/>
          <w:w w:val="100"/>
          <w:position w:val="0"/>
          <w:shd w:val="clear" w:color="auto" w:fill="auto"/>
          <w:lang w:val="hr-HR" w:eastAsia="hr-HR" w:bidi="hr-HR"/>
        </w:rPr>
        <w:t xml:space="preserve"> Židovsko- islamski d. moguć je tamo gdje zajednički vjerski korijeni vode k sugradanskom prizna</w:t>
        <w:softHyphen/>
        <w:t>vanju židovskih manjina u muslimanskim druš</w:t>
        <w:softHyphen/>
        <w:t>tvima i obratno, tamo gdje kršćani i musli</w:t>
        <w:softHyphen/>
        <w:t>mani žive kao manjine u državi Izraelu. D. nije moguć tamo gdje sliku o svijetu određuju obožavanje prirodnih sila ili vjera u materijali</w:t>
        <w:softHyphen/>
        <w:t>zam, a ne jedna od biblijskih adekvatnih, ob</w:t>
        <w:softHyphen/>
        <w:t xml:space="preserve">vezatnih etika. Stoga u Bibliji nema dijaloga s pripadnicima drugih vjera, onih izvan mono- teizma. Biblijski autori (Izaija, Psalmi) rugaju </w:t>
      </w:r>
      <w:r>
        <w:rPr>
          <w:rFonts w:ascii="Times New Roman" w:eastAsia="Times New Roman" w:hAnsi="Times New Roman" w:cs="Times New Roman"/>
          <w:color w:val="000000"/>
          <w:spacing w:val="0"/>
          <w:w w:val="100"/>
          <w:position w:val="0"/>
          <w:shd w:val="clear" w:color="auto" w:fill="auto"/>
          <w:lang w:val="hr-HR" w:eastAsia="hr-HR" w:bidi="hr-HR"/>
        </w:rPr>
        <w:t>se ljudima koji vjeruju u bogove vlastite proiz</w:t>
        <w:softHyphen/>
        <w:t>vodnje. Istodobno se pozdravljaju nežidovi koji traže Boga (npr. Molitva posvete Hrama, 1 Kr 8,41-43; Iz 66,20,21).</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Biblijsku zadaću privođenja naroda Bogu nas</w:t>
        <w:softHyphen/>
        <w:t>tavili su i rabini. To se prije svega zbivalo u Rimskom Carstvu gdje su živjeli mnogi »po- božnici iz naroda« kao »poluprozeliti« i s dru</w:t>
        <w:softHyphen/>
        <w:t>gima izvodili bogoslužje. Tko je htio prelazio je na židovstvo, no u sinagogama su »pobožni- ci« bili dobro došli kao i prije u jeruzalem</w:t>
        <w:softHyphen/>
        <w:t>skom hramu čije je »dvorište za nežidove« bi</w:t>
        <w:softHyphen/>
        <w:t>lo veće od dvorišta za Židove. Rabinska lite</w:t>
        <w:softHyphen/>
        <w:t xml:space="preserve">ratura izvješćuje o vjerskim razgovorima pis- moznanaca s Rimljanima i Rimljankama, medu njima i o razgovoru jednoga rabina s carem. Takvi su se razgovori, između ostalih, vodili i u rimskim kupalištima (Misna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w:t>
      </w:r>
    </w:p>
    <w:p>
      <w:pPr>
        <w:pStyle w:val="Style20"/>
        <w:keepNext w:val="0"/>
        <w:keepLines w:val="0"/>
        <w:widowControl w:val="0"/>
        <w:numPr>
          <w:ilvl w:val="0"/>
          <w:numId w:val="89"/>
        </w:numPr>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 prerastanjem kršćanstva iz židovstva uslijedili su razgovori o različitim tumačenjima SZ. Prvo djelo s naslovom »Dijalog« - mu</w:t>
        <w:softHyphen/>
        <w:t xml:space="preserve">čenika Justina i Židova Trifona - nastalo je oko 160. Od 386. Jeronim je u Betlehemu prevodio Stari zavjet s hebrejskoga na latinski </w:t>
      </w:r>
      <w:r>
        <w:rPr>
          <w:rFonts w:ascii="Times New Roman" w:eastAsia="Times New Roman" w:hAnsi="Times New Roman" w:cs="Times New Roman"/>
          <w:i/>
          <w:iCs/>
          <w:color w:val="000000"/>
          <w:spacing w:val="0"/>
          <w:w w:val="100"/>
          <w:position w:val="0"/>
          <w:shd w:val="clear" w:color="auto" w:fill="auto"/>
          <w:lang w:val="hr-HR" w:eastAsia="hr-HR" w:bidi="hr-HR"/>
        </w:rPr>
        <w:t xml:space="preserve">(Vulgata) </w:t>
      </w:r>
      <w:r>
        <w:rPr>
          <w:rFonts w:ascii="Times New Roman" w:eastAsia="Times New Roman" w:hAnsi="Times New Roman" w:cs="Times New Roman"/>
          <w:color w:val="000000"/>
          <w:spacing w:val="0"/>
          <w:w w:val="100"/>
          <w:position w:val="0"/>
          <w:shd w:val="clear" w:color="auto" w:fill="auto"/>
          <w:lang w:val="hr-HR" w:eastAsia="hr-HR" w:bidi="hr-HR"/>
        </w:rPr>
        <w:t xml:space="preserve">uz pomoć rabina (M. Rahmcr,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hebriiischen Traditionen </w:t>
      </w:r>
      <w:r>
        <w:rPr>
          <w:rFonts w:ascii="Times New Roman" w:eastAsia="Times New Roman" w:hAnsi="Times New Roman" w:cs="Times New Roman"/>
          <w:i/>
          <w:iCs/>
          <w:color w:val="000000"/>
          <w:spacing w:val="0"/>
          <w:w w:val="100"/>
          <w:position w:val="0"/>
          <w:shd w:val="clear" w:color="auto" w:fill="auto"/>
          <w:lang w:val="en-US" w:eastAsia="en-US" w:bidi="en-US"/>
        </w:rPr>
        <w:t>in den Werken des Hieronymus,</w:t>
      </w:r>
      <w:r>
        <w:rPr>
          <w:rFonts w:ascii="Times New Roman" w:eastAsia="Times New Roman" w:hAnsi="Times New Roman" w:cs="Times New Roman"/>
          <w:color w:val="000000"/>
          <w:spacing w:val="0"/>
          <w:w w:val="100"/>
          <w:position w:val="0"/>
          <w:shd w:val="clear" w:color="auto" w:fill="auto"/>
          <w:lang w:val="en-US" w:eastAsia="en-US" w:bidi="en-US"/>
        </w:rPr>
        <w:t xml:space="preserve"> 2 Bde., Leipzig 1861, 1902). </w:t>
      </w:r>
      <w:r>
        <w:rPr>
          <w:rFonts w:ascii="Times New Roman" w:eastAsia="Times New Roman" w:hAnsi="Times New Roman" w:cs="Times New Roman"/>
          <w:color w:val="000000"/>
          <w:spacing w:val="0"/>
          <w:w w:val="100"/>
          <w:position w:val="0"/>
          <w:shd w:val="clear" w:color="auto" w:fill="auto"/>
          <w:lang w:val="hr-HR" w:eastAsia="hr-HR" w:bidi="hr-HR"/>
        </w:rPr>
        <w:t>Tragove takvih procesa sadrži propovjednička literatura, mi- draš, između ostalog o kršćanskim dogmama. Plodno nadmetanje kršćanske i židovske pro</w:t>
        <w:softHyphen/>
        <w:t>povijedi završilo je kad je kršćanstvo postalo rimskom državnom religijom. Tada Židovi ni</w:t>
        <w:softHyphen/>
        <w:t>su smjeli sve do novoga vijeka predstaviti svo</w:t>
        <w:softHyphen/>
        <w:t>ju religiju na jezicima rimskih zemalja.</w:t>
      </w:r>
    </w:p>
    <w:p>
      <w:pPr>
        <w:pStyle w:val="Style20"/>
        <w:keepNext w:val="0"/>
        <w:keepLines w:val="0"/>
        <w:widowControl w:val="0"/>
        <w:shd w:val="clear" w:color="auto" w:fill="auto"/>
        <w:bidi w:val="0"/>
        <w:spacing w:before="0" w:after="0" w:line="240" w:lineRule="auto"/>
        <w:ind w:left="0" w:right="0" w:firstLine="0"/>
        <w:jc w:val="both"/>
        <w:sectPr>
          <w:headerReference w:type="default" r:id="rId283"/>
          <w:footerReference w:type="default" r:id="rId284"/>
          <w:headerReference w:type="even" r:id="rId285"/>
          <w:footerReference w:type="even" r:id="rId286"/>
          <w:headerReference w:type="first" r:id="rId287"/>
          <w:footerReference w:type="first" r:id="rId288"/>
          <w:footnotePr>
            <w:pos w:val="pageBottom"/>
            <w:numFmt w:val="decimal"/>
            <w:numStart w:val="5"/>
            <w:numRestart w:val="continuous"/>
            <w15:footnoteColumns w:val="1"/>
          </w:footnotePr>
          <w:pgSz w:w="6816" w:h="11006"/>
          <w:pgMar w:top="978" w:left="185" w:right="190" w:bottom="520" w:header="0" w:footer="3" w:gutter="0"/>
          <w:cols w:num="2" w:space="18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islamskim zemljama takvo je predstavljanje bilo privremeno dopušteno ako je bilo na arapskom jeziku, ali hebrejskim slovima koja su muslimanima bila nepoznata. U XII. sto</w:t>
        <w:softHyphen/>
        <w:t xml:space="preserve">ljeću španjolski židovski filozof Juda </w:t>
      </w:r>
      <w:r>
        <w:rPr>
          <w:rFonts w:ascii="Times New Roman" w:eastAsia="Times New Roman" w:hAnsi="Times New Roman" w:cs="Times New Roman"/>
          <w:color w:val="000000"/>
          <w:spacing w:val="0"/>
          <w:w w:val="100"/>
          <w:position w:val="0"/>
          <w:shd w:val="clear" w:color="auto" w:fill="auto"/>
          <w:lang w:val="en-US" w:eastAsia="en-US" w:bidi="en-US"/>
        </w:rPr>
        <w:t xml:space="preserve">Halevi </w:t>
      </w:r>
      <w:r>
        <w:rPr>
          <w:rFonts w:ascii="Times New Roman" w:eastAsia="Times New Roman" w:hAnsi="Times New Roman" w:cs="Times New Roman"/>
          <w:color w:val="000000"/>
          <w:spacing w:val="0"/>
          <w:w w:val="100"/>
          <w:position w:val="0"/>
          <w:shd w:val="clear" w:color="auto" w:fill="auto"/>
          <w:lang w:val="hr-HR" w:eastAsia="hr-HR" w:bidi="hr-HR"/>
        </w:rPr>
        <w:t xml:space="preserve">napisao je na arapskom jeziku religijski d. »Knjiga o Hazaru«. </w:t>
      </w:r>
      <w:r>
        <w:rPr>
          <w:rFonts w:ascii="Times New Roman" w:eastAsia="Times New Roman" w:hAnsi="Times New Roman" w:cs="Times New Roman"/>
          <w:color w:val="000000"/>
          <w:spacing w:val="0"/>
          <w:w w:val="100"/>
          <w:position w:val="0"/>
          <w:shd w:val="clear" w:color="auto" w:fill="auto"/>
          <w:lang w:val="en-US" w:eastAsia="en-US" w:bidi="en-US"/>
        </w:rPr>
        <w:t xml:space="preserve">Halevi </w:t>
      </w:r>
      <w:r>
        <w:rPr>
          <w:rFonts w:ascii="Times New Roman" w:eastAsia="Times New Roman" w:hAnsi="Times New Roman" w:cs="Times New Roman"/>
          <w:color w:val="000000"/>
          <w:spacing w:val="0"/>
          <w:w w:val="100"/>
          <w:position w:val="0"/>
          <w:shd w:val="clear" w:color="auto" w:fill="auto"/>
          <w:lang w:val="hr-HR" w:eastAsia="hr-HR" w:bidi="hr-HR"/>
        </w:rPr>
        <w:t xml:space="preserve">smatra kršćanstvo i islam pripremom za buduće jačanje vjere u Boga u cijelom čovječanstvu (IV,23), a njega samoga uspoređuje s povezanim organizmom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čija sposobnost življenja ovisi o Izraelu kao srcu (11,36). Dugogodišnji trijalog Židova, krš</w:t>
        <w:softHyphen/>
        <w:t xml:space="preserve">ćana i muslimana uslijedio je u XIII. stoljeću na dvoru </w:t>
      </w:r>
      <w:r>
        <w:rPr>
          <w:rFonts w:ascii="Times New Roman" w:eastAsia="Times New Roman" w:hAnsi="Times New Roman" w:cs="Times New Roman"/>
          <w:color w:val="000000"/>
          <w:spacing w:val="0"/>
          <w:w w:val="100"/>
          <w:position w:val="0"/>
          <w:shd w:val="clear" w:color="auto" w:fill="auto"/>
          <w:lang w:val="en-US" w:eastAsia="en-US" w:bidi="en-US"/>
        </w:rPr>
        <w:t xml:space="preserve">Friedricha </w:t>
      </w:r>
      <w:r>
        <w:rPr>
          <w:rFonts w:ascii="Times New Roman" w:eastAsia="Times New Roman" w:hAnsi="Times New Roman" w:cs="Times New Roman"/>
          <w:color w:val="000000"/>
          <w:spacing w:val="0"/>
          <w:w w:val="100"/>
          <w:position w:val="0"/>
          <w:shd w:val="clear" w:color="auto" w:fill="auto"/>
          <w:lang w:val="hr-HR" w:eastAsia="hr-HR" w:bidi="hr-HR"/>
        </w:rPr>
        <w:t>II. Hohenstaufovca na Si</w:t>
        <w:softHyphen/>
        <w:t>ciliji gdje su postavljeni temelji za zajednička proučavanja, prije svega prijevodima na latin</w:t>
        <w:softHyphen/>
        <w:t xml:space="preserve">ski jezik </w:t>
      </w:r>
      <w:r>
        <w:rPr>
          <w:rFonts w:ascii="Times New Roman" w:eastAsia="Times New Roman" w:hAnsi="Times New Roman" w:cs="Times New Roman"/>
          <w:color w:val="000000"/>
          <w:spacing w:val="0"/>
          <w:w w:val="100"/>
          <w:position w:val="0"/>
          <w:shd w:val="clear" w:color="auto" w:fill="auto"/>
          <w:lang w:val="en-US" w:eastAsia="en-US" w:bidi="en-US"/>
        </w:rPr>
        <w:t xml:space="preserve">(Ch. Singer,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Abrahams-Bevan-Sin</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ger,</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en-US" w:eastAsia="en-US" w:bidi="en-US"/>
        </w:rPr>
        <w:t>The Legacy of Israel,</w:t>
      </w:r>
      <w:r>
        <w:rPr>
          <w:rFonts w:ascii="Times New Roman" w:eastAsia="Times New Roman" w:hAnsi="Times New Roman" w:cs="Times New Roman"/>
          <w:color w:val="000000"/>
          <w:spacing w:val="0"/>
          <w:w w:val="100"/>
          <w:position w:val="0"/>
          <w:shd w:val="clear" w:color="auto" w:fill="auto"/>
          <w:lang w:val="en-US" w:eastAsia="en-US" w:bidi="en-US"/>
        </w:rPr>
        <w:t xml:space="preserve"> Oxford 1928). </w:t>
      </w:r>
      <w:r>
        <w:rPr>
          <w:rFonts w:ascii="Times New Roman" w:eastAsia="Times New Roman" w:hAnsi="Times New Roman" w:cs="Times New Roman"/>
          <w:color w:val="000000"/>
          <w:spacing w:val="0"/>
          <w:w w:val="100"/>
          <w:position w:val="0"/>
          <w:shd w:val="clear" w:color="auto" w:fill="auto"/>
          <w:lang w:val="hr-HR" w:eastAsia="hr-HR" w:bidi="hr-HR"/>
        </w:rPr>
        <w:t>Prisil</w:t>
        <w:softHyphen/>
        <w:t>na islamizacija i prisilno pokrštavanje potak</w:t>
        <w:softHyphen/>
        <w:t>nuli su stoljetni, duboki pesimizam kod Ži</w:t>
        <w:softHyphen/>
        <w:t>dova. Pojedinci su pokušavali probiti taj duh, pa su naišli na otvorenost, posebice kod krš</w:t>
        <w:softHyphen/>
        <w:t xml:space="preserve">ćanskih teologa. U Italiji se često zajednički proučavala hebrejska Biblija. Kršćani su često odlazili u sinagoge kako bi slušali propovijedi slavnih rabina. Tako je Rabi </w:t>
      </w:r>
      <w:r>
        <w:rPr>
          <w:rFonts w:ascii="Times New Roman" w:eastAsia="Times New Roman" w:hAnsi="Times New Roman" w:cs="Times New Roman"/>
          <w:color w:val="000000"/>
          <w:spacing w:val="0"/>
          <w:w w:val="100"/>
          <w:position w:val="0"/>
          <w:shd w:val="clear" w:color="auto" w:fill="auto"/>
          <w:lang w:val="en-US" w:eastAsia="en-US" w:bidi="en-US"/>
        </w:rPr>
        <w:t xml:space="preserve">Leon Modena </w:t>
      </w:r>
      <w:r>
        <w:rPr>
          <w:rFonts w:ascii="Times New Roman" w:eastAsia="Times New Roman" w:hAnsi="Times New Roman" w:cs="Times New Roman"/>
          <w:color w:val="000000"/>
          <w:spacing w:val="0"/>
          <w:w w:val="100"/>
          <w:position w:val="0"/>
          <w:shd w:val="clear" w:color="auto" w:fill="auto"/>
          <w:lang w:val="hr-HR" w:eastAsia="hr-HR" w:bidi="hr-HR"/>
        </w:rPr>
        <w:t>često u XVII. stoljeću surađivao s katoličkim i protestantskim učenjacima iz nekoliko zema</w:t>
        <w:softHyphen/>
        <w:t>lja. Unatoč crkvenoj zabrani napisao je na ta</w:t>
        <w:softHyphen/>
        <w:t>lijanskom jeziku knjigu o židovstvu koja se stoljećima širila i u prijevodima. Židovske partnere u razgovoru uputio je u povijest krš</w:t>
        <w:softHyphen/>
        <w:t>ćanskih dogmi i kao prvi židovski religijski znanstvenik razlikovao je Krista Crkve od po</w:t>
        <w:softHyphen/>
        <w:t xml:space="preserve">božnoga Židova Isusa (P. </w:t>
      </w:r>
      <w:r>
        <w:rPr>
          <w:rFonts w:ascii="Times New Roman" w:eastAsia="Times New Roman" w:hAnsi="Times New Roman" w:cs="Times New Roman"/>
          <w:color w:val="000000"/>
          <w:spacing w:val="0"/>
          <w:w w:val="100"/>
          <w:position w:val="0"/>
          <w:shd w:val="clear" w:color="auto" w:fill="auto"/>
          <w:lang w:val="en-US" w:eastAsia="en-US" w:bidi="en-US"/>
        </w:rPr>
        <w:t xml:space="preserve">Nave, </w:t>
      </w:r>
      <w:r>
        <w:rPr>
          <w:rFonts w:ascii="Times New Roman" w:eastAsia="Times New Roman" w:hAnsi="Times New Roman" w:cs="Times New Roman"/>
          <w:color w:val="000000"/>
          <w:spacing w:val="0"/>
          <w:w w:val="100"/>
          <w:position w:val="0"/>
          <w:shd w:val="clear" w:color="auto" w:fill="auto"/>
          <w:lang w:val="hr-HR" w:eastAsia="hr-HR" w:bidi="hr-HR"/>
        </w:rPr>
        <w:t xml:space="preserve">Konflikt und Toleranz. </w:t>
      </w:r>
      <w:r>
        <w:rPr>
          <w:rFonts w:ascii="Times New Roman" w:eastAsia="Times New Roman" w:hAnsi="Times New Roman" w:cs="Times New Roman"/>
          <w:color w:val="000000"/>
          <w:spacing w:val="0"/>
          <w:w w:val="100"/>
          <w:position w:val="0"/>
          <w:shd w:val="clear" w:color="auto" w:fill="auto"/>
          <w:lang w:val="en-US" w:eastAsia="en-US" w:bidi="en-US"/>
        </w:rPr>
        <w:t xml:space="preserve">Rabbi Leon Modena </w:t>
      </w:r>
      <w:r>
        <w:rPr>
          <w:rFonts w:ascii="Times New Roman" w:eastAsia="Times New Roman" w:hAnsi="Times New Roman" w:cs="Times New Roman"/>
          <w:color w:val="000000"/>
          <w:spacing w:val="0"/>
          <w:w w:val="100"/>
          <w:position w:val="0"/>
          <w:shd w:val="clear" w:color="auto" w:fill="auto"/>
          <w:lang w:val="hr-HR" w:eastAsia="hr-HR" w:bidi="hr-HR"/>
        </w:rPr>
        <w:t xml:space="preserve">aus </w:t>
      </w:r>
      <w:r>
        <w:rPr>
          <w:rFonts w:ascii="Times New Roman" w:eastAsia="Times New Roman" w:hAnsi="Times New Roman" w:cs="Times New Roman"/>
          <w:color w:val="000000"/>
          <w:spacing w:val="0"/>
          <w:w w:val="100"/>
          <w:position w:val="0"/>
          <w:shd w:val="clear" w:color="auto" w:fill="auto"/>
          <w:lang w:val="en-US" w:eastAsia="en-US" w:bidi="en-US"/>
        </w:rPr>
        <w:t xml:space="preserve">Venedig,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Saeculum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26, 1975, 293 i d.).</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Njemačkoj su kršćanski teolozi tražili ži</w:t>
        <w:softHyphen/>
        <w:t>dovske učitelje već u humanizmu. No tek s postupno sve jačom društvenom ravnoprav- nošću Židova moglo je iz toga nastati duhov</w:t>
        <w:softHyphen/>
        <w:t xml:space="preserve">no partnerstvo. Spremnost za d. poticao je sjevernonjemački Rabi Jakob </w:t>
      </w:r>
      <w:r>
        <w:rPr>
          <w:rFonts w:ascii="Times New Roman" w:eastAsia="Times New Roman" w:hAnsi="Times New Roman" w:cs="Times New Roman"/>
          <w:color w:val="000000"/>
          <w:spacing w:val="0"/>
          <w:w w:val="100"/>
          <w:position w:val="0"/>
          <w:shd w:val="clear" w:color="auto" w:fill="auto"/>
          <w:lang w:val="en-US" w:eastAsia="en-US" w:bidi="en-US"/>
        </w:rPr>
        <w:t xml:space="preserve">Emden </w:t>
      </w:r>
      <w:r>
        <w:rPr>
          <w:rFonts w:ascii="Times New Roman" w:eastAsia="Times New Roman" w:hAnsi="Times New Roman" w:cs="Times New Roman"/>
          <w:color w:val="000000"/>
          <w:spacing w:val="0"/>
          <w:w w:val="100"/>
          <w:position w:val="0"/>
          <w:shd w:val="clear" w:color="auto" w:fill="auto"/>
          <w:lang w:val="hr-HR" w:eastAsia="hr-HR" w:bidi="hr-HR"/>
        </w:rPr>
        <w:t>koji je živio još potpuno u svijetu prije prosvjetitelj</w:t>
        <w:softHyphen/>
        <w:t>stva. Ipak je pisao za stroge tradicijske či</w:t>
        <w:softHyphen/>
        <w:t>tatelje hebrejskih tekstova za moralno uzdi</w:t>
        <w:softHyphen/>
        <w:t>zanje: »Nazarcćanin je napravio čovječanstvu dvostruku uslugu kako se danas jasno vidi. Uništio je idolopoklonstvo i narode... obve</w:t>
        <w:softHyphen/>
        <w:t>zao na sedam zapovijedi Noinih sinova te na Deset zapovijedi kako ne bili poput životinja na polju. Osim toga, dao im je etičke zapo</w:t>
        <w:softHyphen/>
        <w:t>vijedi (tj. Govor na gori), koje je, kako je po</w:t>
        <w:softHyphen/>
        <w:t xml:space="preserve">znato, mnogo teže poslušati od nauka našeg učitelja Mojsija« (hebr.; Predgovor za </w:t>
      </w:r>
      <w:r>
        <w:rPr>
          <w:rFonts w:ascii="Times New Roman" w:eastAsia="Times New Roman" w:hAnsi="Times New Roman" w:cs="Times New Roman"/>
          <w:i/>
          <w:iCs/>
          <w:color w:val="000000"/>
          <w:spacing w:val="0"/>
          <w:w w:val="100"/>
          <w:position w:val="0"/>
          <w:shd w:val="clear" w:color="auto" w:fill="auto"/>
          <w:lang w:val="en-US" w:eastAsia="en-US" w:bidi="en-US"/>
        </w:rPr>
        <w:t xml:space="preserve">Seder </w:t>
      </w:r>
      <w:r>
        <w:rPr>
          <w:rFonts w:ascii="Times New Roman" w:eastAsia="Times New Roman" w:hAnsi="Times New Roman" w:cs="Times New Roman"/>
          <w:i/>
          <w:iCs/>
          <w:color w:val="000000"/>
          <w:spacing w:val="0"/>
          <w:w w:val="100"/>
          <w:position w:val="0"/>
          <w:shd w:val="clear" w:color="auto" w:fill="auto"/>
          <w:lang w:val="hr-HR" w:eastAsia="hr-HR" w:bidi="hr-HR"/>
        </w:rPr>
        <w:t>olam raba,</w:t>
      </w:r>
      <w:r>
        <w:rPr>
          <w:rFonts w:ascii="Times New Roman" w:eastAsia="Times New Roman" w:hAnsi="Times New Roman" w:cs="Times New Roman"/>
          <w:color w:val="000000"/>
          <w:spacing w:val="0"/>
          <w:w w:val="100"/>
          <w:position w:val="0"/>
          <w:shd w:val="clear" w:color="auto" w:fill="auto"/>
          <w:lang w:val="hr-HR" w:eastAsia="hr-HR" w:bidi="hr-HR"/>
        </w:rPr>
        <w:t xml:space="preserve"> Hamburg 1757). Tek se M. </w:t>
      </w:r>
      <w:r>
        <w:rPr>
          <w:rFonts w:ascii="Times New Roman" w:eastAsia="Times New Roman" w:hAnsi="Times New Roman" w:cs="Times New Roman"/>
          <w:color w:val="000000"/>
          <w:spacing w:val="0"/>
          <w:w w:val="100"/>
          <w:position w:val="0"/>
          <w:shd w:val="clear" w:color="auto" w:fill="auto"/>
          <w:lang w:val="en-US" w:eastAsia="en-US" w:bidi="en-US"/>
        </w:rPr>
        <w:t>Men</w:t>
        <w:softHyphen/>
        <w:t xml:space="preserve">delssohn </w:t>
      </w:r>
      <w:r>
        <w:rPr>
          <w:rFonts w:ascii="Times New Roman" w:eastAsia="Times New Roman" w:hAnsi="Times New Roman" w:cs="Times New Roman"/>
          <w:color w:val="000000"/>
          <w:spacing w:val="0"/>
          <w:w w:val="100"/>
          <w:position w:val="0"/>
          <w:shd w:val="clear" w:color="auto" w:fill="auto"/>
          <w:lang w:val="hr-HR" w:eastAsia="hr-HR" w:bidi="hr-HR"/>
        </w:rPr>
        <w:t>mogao prihvatiti uzajamnog objaš</w:t>
        <w:softHyphen/>
        <w:t>njenja vjerskih pitanja na njemačkom jeziku a da ga za to država ne podvrgne kaznama. Kao ortodoksni Židov anticipirao je današnje libe</w:t>
        <w:softHyphen/>
        <w:t>ralne tokove: »Budući daje Stvoritelj svim lju</w:t>
        <w:softHyphen/>
        <w:t>dima namijenio vječno blaženstvo, isključiva religija ne može biti istinita. Tu rečenicu usu</w:t>
        <w:softHyphen/>
        <w:t>đujem se navesti kao kriterij istine u religij</w:t>
        <w:softHyphen/>
      </w:r>
      <w:r>
        <w:rPr>
          <w:rFonts w:ascii="Times New Roman" w:eastAsia="Times New Roman" w:hAnsi="Times New Roman" w:cs="Times New Roman"/>
          <w:color w:val="000000"/>
          <w:spacing w:val="0"/>
          <w:w w:val="100"/>
          <w:position w:val="0"/>
          <w:shd w:val="clear" w:color="auto" w:fill="auto"/>
          <w:lang w:val="hr-HR" w:eastAsia="hr-HR" w:bidi="hr-HR"/>
        </w:rPr>
        <w:t>skim stvarima. Objava, koja želi jedina omo</w:t>
        <w:softHyphen/>
        <w:t>gućiti blaženstvo, ne može biti istinita, jer nije u skladu s namjerama svemilosrdnoga Stvori</w:t>
        <w:softHyphen/>
        <w:t xml:space="preserve">telja« (pismo nasljednom princu od Braun- </w:t>
      </w:r>
      <w:r>
        <w:rPr>
          <w:rFonts w:ascii="Times New Roman" w:eastAsia="Times New Roman" w:hAnsi="Times New Roman" w:cs="Times New Roman"/>
          <w:color w:val="000000"/>
          <w:spacing w:val="0"/>
          <w:w w:val="100"/>
          <w:position w:val="0"/>
          <w:shd w:val="clear" w:color="auto" w:fill="auto"/>
          <w:lang w:val="en-US" w:eastAsia="en-US" w:bidi="en-US"/>
        </w:rPr>
        <w:t xml:space="preserve">schweiga, </w:t>
      </w:r>
      <w:r>
        <w:rPr>
          <w:rFonts w:ascii="Times New Roman" w:eastAsia="Times New Roman" w:hAnsi="Times New Roman" w:cs="Times New Roman"/>
          <w:color w:val="000000"/>
          <w:spacing w:val="0"/>
          <w:w w:val="100"/>
          <w:position w:val="0"/>
          <w:shd w:val="clear" w:color="auto" w:fill="auto"/>
          <w:lang w:val="hr-HR" w:eastAsia="hr-HR" w:bidi="hr-HR"/>
        </w:rPr>
        <w:t>1770). Povod tomu bio je poziv nje</w:t>
        <w:softHyphen/>
        <w:t xml:space="preserve">gova kršćanskoga štovatelja Lavatera da istinu o kršćanstvu pobije ili da je kao pravi sokrato- vac prihvati. Njegov odgovor na to te analiza kršćanskih i židovskih vjerskih istina do danas su primjerni. </w:t>
      </w:r>
      <w:r>
        <w:rPr>
          <w:rFonts w:ascii="Times New Roman" w:eastAsia="Times New Roman" w:hAnsi="Times New Roman" w:cs="Times New Roman"/>
          <w:color w:val="000000"/>
          <w:spacing w:val="0"/>
          <w:w w:val="100"/>
          <w:position w:val="0"/>
          <w:shd w:val="clear" w:color="auto" w:fill="auto"/>
          <w:lang w:val="en-US" w:eastAsia="en-US" w:bidi="en-US"/>
        </w:rPr>
        <w:t xml:space="preserve">Mendelssohn </w:t>
      </w:r>
      <w:r>
        <w:rPr>
          <w:rFonts w:ascii="Times New Roman" w:eastAsia="Times New Roman" w:hAnsi="Times New Roman" w:cs="Times New Roman"/>
          <w:color w:val="000000"/>
          <w:spacing w:val="0"/>
          <w:w w:val="100"/>
          <w:position w:val="0"/>
          <w:shd w:val="clear" w:color="auto" w:fill="auto"/>
          <w:lang w:val="hr-HR" w:eastAsia="hr-HR" w:bidi="hr-HR"/>
        </w:rPr>
        <w:t>je isticao potrebnu lojalnost vlastitoj objavi, tj. religijskom zako</w:t>
        <w:softHyphen/>
        <w:t>nu, i energično se usprotivio državnoj tenden</w:t>
        <w:softHyphen/>
        <w:t xml:space="preserve">ciji »vjerskog ujedinjenja« židovske manjine s većinom </w:t>
      </w:r>
      <w:r>
        <w:rPr>
          <w:rFonts w:ascii="Times New Roman" w:eastAsia="Times New Roman" w:hAnsi="Times New Roman" w:cs="Times New Roman"/>
          <w:i/>
          <w:iCs/>
          <w:color w:val="000000"/>
          <w:spacing w:val="0"/>
          <w:w w:val="100"/>
          <w:position w:val="0"/>
          <w:shd w:val="clear" w:color="auto" w:fill="auto"/>
          <w:lang w:val="en-US" w:eastAsia="en-US" w:bidi="en-US"/>
        </w:rPr>
        <w:t xml:space="preserve">(Jerusalem,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oder iiber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religiose </w:t>
      </w:r>
      <w:r>
        <w:rPr>
          <w:rFonts w:ascii="Times New Roman" w:eastAsia="Times New Roman" w:hAnsi="Times New Roman" w:cs="Times New Roman"/>
          <w:i/>
          <w:iCs/>
          <w:color w:val="000000"/>
          <w:spacing w:val="0"/>
          <w:w w:val="100"/>
          <w:position w:val="0"/>
          <w:shd w:val="clear" w:color="auto" w:fill="auto"/>
          <w:lang w:val="hr-HR" w:eastAsia="hr-HR" w:bidi="hr-HR"/>
        </w:rPr>
        <w:t>Macht und Judentum,</w:t>
      </w:r>
      <w:r>
        <w:rPr>
          <w:rFonts w:ascii="Times New Roman" w:eastAsia="Times New Roman" w:hAnsi="Times New Roman" w:cs="Times New Roman"/>
          <w:color w:val="000000"/>
          <w:spacing w:val="0"/>
          <w:w w:val="100"/>
          <w:position w:val="0"/>
          <w:shd w:val="clear" w:color="auto" w:fill="auto"/>
          <w:lang w:val="hr-HR" w:eastAsia="hr-HR" w:bidi="hr-HR"/>
        </w:rPr>
        <w:t xml:space="preserve"> 1783). To se manje vidi u »Mu</w:t>
        <w:softHyphen/>
        <w:t xml:space="preserve">drom Nathanu«, kojim mu je njegov religijski nevezani prijatelj </w:t>
      </w:r>
      <w:r>
        <w:rPr>
          <w:rFonts w:ascii="Times New Roman" w:eastAsia="Times New Roman" w:hAnsi="Times New Roman" w:cs="Times New Roman"/>
          <w:color w:val="000000"/>
          <w:spacing w:val="0"/>
          <w:w w:val="100"/>
          <w:position w:val="0"/>
          <w:shd w:val="clear" w:color="auto" w:fill="auto"/>
          <w:lang w:val="en-US" w:eastAsia="en-US" w:bidi="en-US"/>
        </w:rPr>
        <w:t xml:space="preserve">Lessing </w:t>
      </w:r>
      <w:r>
        <w:rPr>
          <w:rFonts w:ascii="Times New Roman" w:eastAsia="Times New Roman" w:hAnsi="Times New Roman" w:cs="Times New Roman"/>
          <w:color w:val="000000"/>
          <w:spacing w:val="0"/>
          <w:w w:val="100"/>
          <w:position w:val="0"/>
          <w:shd w:val="clear" w:color="auto" w:fill="auto"/>
          <w:lang w:val="hr-HR" w:eastAsia="hr-HR" w:bidi="hr-HR"/>
        </w:rPr>
        <w:t xml:space="preserve">postavio spomenik. S. Formstechcr razvio je opsežan sustav za ideju da su kršćanstvo i islam misionarske ruke biblijsko-židovske religije koja je namijenjena čovječanstvu </w:t>
      </w:r>
      <w:r>
        <w:rPr>
          <w:rFonts w:ascii="Times New Roman" w:eastAsia="Times New Roman" w:hAnsi="Times New Roman" w:cs="Times New Roman"/>
          <w:i/>
          <w:iCs/>
          <w:color w:val="000000"/>
          <w:spacing w:val="0"/>
          <w:w w:val="100"/>
          <w:position w:val="0"/>
          <w:shd w:val="clear" w:color="auto" w:fill="auto"/>
          <w:lang w:val="en-US" w:eastAsia="en-US" w:bidi="en-US"/>
        </w:rPr>
        <w:t>(Religion des Geistes,</w:t>
      </w:r>
      <w:r>
        <w:rPr>
          <w:rFonts w:ascii="Times New Roman" w:eastAsia="Times New Roman" w:hAnsi="Times New Roman" w:cs="Times New Roman"/>
          <w:color w:val="000000"/>
          <w:spacing w:val="0"/>
          <w:w w:val="100"/>
          <w:position w:val="0"/>
          <w:shd w:val="clear" w:color="auto" w:fill="auto"/>
          <w:lang w:val="en-US" w:eastAsia="en-US" w:bidi="en-US"/>
        </w:rPr>
        <w:t xml:space="preserve"> Leipzig 1841). </w:t>
      </w:r>
      <w:r>
        <w:rPr>
          <w:rFonts w:ascii="Times New Roman" w:eastAsia="Times New Roman" w:hAnsi="Times New Roman" w:cs="Times New Roman"/>
          <w:color w:val="000000"/>
          <w:spacing w:val="0"/>
          <w:w w:val="100"/>
          <w:position w:val="0"/>
          <w:shd w:val="clear" w:color="auto" w:fill="auto"/>
          <w:lang w:val="hr-HR" w:eastAsia="hr-HR" w:bidi="hr-HR"/>
        </w:rPr>
        <w:t xml:space="preserve">U sekulariziranom obliku </w:t>
      </w:r>
      <w:r>
        <w:rPr>
          <w:rFonts w:ascii="Times New Roman" w:eastAsia="Times New Roman" w:hAnsi="Times New Roman" w:cs="Times New Roman"/>
          <w:color w:val="000000"/>
          <w:spacing w:val="0"/>
          <w:w w:val="100"/>
          <w:position w:val="0"/>
          <w:shd w:val="clear" w:color="auto" w:fill="auto"/>
          <w:lang w:val="en-US" w:eastAsia="en-US" w:bidi="en-US"/>
        </w:rPr>
        <w:t xml:space="preserve">to </w:t>
      </w:r>
      <w:r>
        <w:rPr>
          <w:rFonts w:ascii="Times New Roman" w:eastAsia="Times New Roman" w:hAnsi="Times New Roman" w:cs="Times New Roman"/>
          <w:color w:val="000000"/>
          <w:spacing w:val="0"/>
          <w:w w:val="100"/>
          <w:position w:val="0"/>
          <w:shd w:val="clear" w:color="auto" w:fill="auto"/>
          <w:lang w:val="hr-HR" w:eastAsia="hr-HR" w:bidi="hr-HR"/>
        </w:rPr>
        <w:t>se temelji na djelima francuskoga filozofa J. Salvadora (1779-1873), pretežu istraživanja Isusova ži</w:t>
        <w:softHyphen/>
        <w:t>vota, zagovornika buduće kulture na korijeni</w:t>
        <w:softHyphen/>
        <w:t>ma SZ i NZ, nakon potrebne demitologizaci- je. Ta je linija narasla do novog razmatranja židovstva kao »svjetla naroda« u religijski li</w:t>
        <w:softHyphen/>
        <w:t>beralnom židovstvu u Njemačkoj, SAD-u i Engleskoj. U Italiji je znanstvenik i mistik E. Benamozegh (1823-1900) zastupao učenje o potrebnom pročišćavanju čovječanstva prihva</w:t>
        <w:softHyphen/>
        <w:t xml:space="preserve">ćanjem —&gt; Saveza s Noom </w:t>
      </w:r>
      <w:r>
        <w:rPr>
          <w:rFonts w:ascii="Times New Roman" w:eastAsia="Times New Roman" w:hAnsi="Times New Roman" w:cs="Times New Roman"/>
          <w:i/>
          <w:iCs/>
          <w:color w:val="000000"/>
          <w:spacing w:val="0"/>
          <w:w w:val="100"/>
          <w:position w:val="0"/>
          <w:shd w:val="clear" w:color="auto" w:fill="auto"/>
          <w:lang w:val="hr-HR" w:eastAsia="hr-HR" w:bidi="hr-HR"/>
        </w:rPr>
        <w:t>(Morale juive et mo</w:t>
        <w:softHyphen/>
        <w:t>rale chrćtienne,</w:t>
      </w:r>
      <w:r>
        <w:rPr>
          <w:rFonts w:ascii="Times New Roman" w:eastAsia="Times New Roman" w:hAnsi="Times New Roman" w:cs="Times New Roman"/>
          <w:color w:val="000000"/>
          <w:spacing w:val="0"/>
          <w:w w:val="100"/>
          <w:position w:val="0"/>
          <w:shd w:val="clear" w:color="auto" w:fill="auto"/>
          <w:lang w:val="hr-HR" w:eastAsia="hr-HR" w:bidi="hr-HR"/>
        </w:rPr>
        <w:t xml:space="preserve"> Pariz 1867,</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1961; </w:t>
      </w:r>
      <w:r>
        <w:rPr>
          <w:rFonts w:ascii="Times New Roman" w:eastAsia="Times New Roman" w:hAnsi="Times New Roman" w:cs="Times New Roman"/>
          <w:i/>
          <w:iCs/>
          <w:color w:val="000000"/>
          <w:spacing w:val="0"/>
          <w:w w:val="100"/>
          <w:position w:val="0"/>
          <w:shd w:val="clear" w:color="auto" w:fill="auto"/>
          <w:lang w:val="en-US" w:eastAsia="en-US" w:bidi="en-US"/>
        </w:rPr>
        <w:t xml:space="preserve">Israel </w:t>
      </w:r>
      <w:r>
        <w:rPr>
          <w:rFonts w:ascii="Times New Roman" w:eastAsia="Times New Roman" w:hAnsi="Times New Roman" w:cs="Times New Roman"/>
          <w:i/>
          <w:iCs/>
          <w:color w:val="000000"/>
          <w:spacing w:val="0"/>
          <w:w w:val="100"/>
          <w:position w:val="0"/>
          <w:shd w:val="clear" w:color="auto" w:fill="auto"/>
          <w:lang w:val="hr-HR" w:eastAsia="hr-HR" w:bidi="hr-HR"/>
        </w:rPr>
        <w:t>ei l’hu- manite,</w:t>
      </w:r>
      <w:r>
        <w:rPr>
          <w:rFonts w:ascii="Times New Roman" w:eastAsia="Times New Roman" w:hAnsi="Times New Roman" w:cs="Times New Roman"/>
          <w:color w:val="000000"/>
          <w:spacing w:val="0"/>
          <w:w w:val="100"/>
          <w:position w:val="0"/>
          <w:shd w:val="clear" w:color="auto" w:fill="auto"/>
          <w:lang w:val="hr-HR" w:eastAsia="hr-HR" w:bidi="hr-HR"/>
        </w:rPr>
        <w:t xml:space="preserve"> Pariz 1914,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1961). Njegov kršćanski učenik A. Palličrc (u. 1949) prenio je taj d. u Francusku. Te pokušaje prekinuo je u Nje</w:t>
        <w:softHyphen/>
        <w:t xml:space="preserve">mačkoj sve veći rast -&gt; </w:t>
      </w:r>
      <w:r>
        <w:rPr>
          <w:rFonts w:ascii="Times New Roman" w:eastAsia="Times New Roman" w:hAnsi="Times New Roman" w:cs="Times New Roman"/>
          <w:i/>
          <w:iCs/>
          <w:color w:val="000000"/>
          <w:spacing w:val="0"/>
          <w:w w:val="100"/>
          <w:position w:val="0"/>
          <w:shd w:val="clear" w:color="auto" w:fill="auto"/>
          <w:lang w:val="hr-HR" w:eastAsia="hr-HR" w:bidi="hr-HR"/>
        </w:rPr>
        <w:t>Antisemitizma</w:t>
      </w:r>
      <w:r>
        <w:rPr>
          <w:rFonts w:ascii="Times New Roman" w:eastAsia="Times New Roman" w:hAnsi="Times New Roman" w:cs="Times New Roman"/>
          <w:color w:val="000000"/>
          <w:spacing w:val="0"/>
          <w:w w:val="100"/>
          <w:position w:val="0"/>
          <w:shd w:val="clear" w:color="auto" w:fill="auto"/>
          <w:lang w:val="hr-HR" w:eastAsia="hr-HR" w:bidi="hr-HR"/>
        </w:rPr>
        <w:t xml:space="preserve"> u XIX. stoljeću. Umjesto plodnog dijaloga bila je po</w:t>
        <w:softHyphen/>
        <w:t xml:space="preserve">trebna —&gt; </w:t>
      </w:r>
      <w:r>
        <w:rPr>
          <w:rFonts w:ascii="Times New Roman" w:eastAsia="Times New Roman" w:hAnsi="Times New Roman" w:cs="Times New Roman"/>
          <w:i/>
          <w:iCs/>
          <w:color w:val="000000"/>
          <w:spacing w:val="0"/>
          <w:w w:val="100"/>
          <w:position w:val="0"/>
          <w:shd w:val="clear" w:color="auto" w:fill="auto"/>
          <w:lang w:val="hr-HR" w:eastAsia="hr-HR" w:bidi="hr-HR"/>
        </w:rPr>
        <w:t>Apologetika.</w:t>
      </w:r>
      <w:r>
        <w:rPr>
          <w:rFonts w:ascii="Times New Roman" w:eastAsia="Times New Roman" w:hAnsi="Times New Roman" w:cs="Times New Roman"/>
          <w:color w:val="000000"/>
          <w:spacing w:val="0"/>
          <w:w w:val="100"/>
          <w:position w:val="0"/>
          <w:shd w:val="clear" w:color="auto" w:fill="auto"/>
          <w:lang w:val="hr-HR" w:eastAsia="hr-HR" w:bidi="hr-HR"/>
        </w:rPr>
        <w:t xml:space="preserve"> Poznata je bila vjerska borba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Rosenzweiga </w:t>
      </w:r>
      <w:r>
        <w:rPr>
          <w:rFonts w:ascii="Times New Roman" w:eastAsia="Times New Roman" w:hAnsi="Times New Roman" w:cs="Times New Roman"/>
          <w:color w:val="000000"/>
          <w:spacing w:val="0"/>
          <w:w w:val="100"/>
          <w:position w:val="0"/>
          <w:shd w:val="clear" w:color="auto" w:fill="auto"/>
          <w:lang w:val="hr-HR" w:eastAsia="hr-HR" w:bidi="hr-HR"/>
        </w:rPr>
        <w:t xml:space="preserve">protiv E. Rosenstock- </w:t>
      </w:r>
      <w:r>
        <w:rPr>
          <w:rFonts w:ascii="Times New Roman" w:eastAsia="Times New Roman" w:hAnsi="Times New Roman" w:cs="Times New Roman"/>
          <w:color w:val="000000"/>
          <w:spacing w:val="0"/>
          <w:w w:val="100"/>
          <w:position w:val="0"/>
          <w:shd w:val="clear" w:color="auto" w:fill="auto"/>
          <w:lang w:val="en-US" w:eastAsia="en-US" w:bidi="en-US"/>
        </w:rPr>
        <w:t xml:space="preserve">Huessyja, </w:t>
      </w:r>
      <w:r>
        <w:rPr>
          <w:rFonts w:ascii="Times New Roman" w:eastAsia="Times New Roman" w:hAnsi="Times New Roman" w:cs="Times New Roman"/>
          <w:color w:val="000000"/>
          <w:spacing w:val="0"/>
          <w:w w:val="100"/>
          <w:position w:val="0"/>
          <w:shd w:val="clear" w:color="auto" w:fill="auto"/>
          <w:lang w:val="hr-HR" w:eastAsia="hr-HR" w:bidi="hr-HR"/>
        </w:rPr>
        <w:t>djelovanje Bubera i njegov razgovor s K. Schmidtom (1933). Šutnja crkvi za vri</w:t>
        <w:softHyphen/>
        <w:t>jeme holokausta dovela je 1945. u mnogim zemljama do preokreta i novog početka dija</w:t>
        <w:softHyphen/>
        <w:t xml:space="preserve">loga teologa sa židovskim partnerima. Oni se nadaju da će se i s islamom iz današnjih plahih početaka potaknuti dublji susreti; -+ </w:t>
      </w:r>
      <w:r>
        <w:rPr>
          <w:rFonts w:ascii="Times New Roman" w:eastAsia="Times New Roman" w:hAnsi="Times New Roman" w:cs="Times New Roman"/>
          <w:i/>
          <w:iCs/>
          <w:color w:val="000000"/>
          <w:spacing w:val="0"/>
          <w:w w:val="100"/>
          <w:position w:val="0"/>
          <w:shd w:val="clear" w:color="auto" w:fill="auto"/>
          <w:lang w:val="hr-HR" w:eastAsia="hr-HR" w:bidi="hr-HR"/>
        </w:rPr>
        <w:t>Kršćan</w:t>
        <w:softHyphen/>
        <w:t>stvo, —&gt; Islam.</w:t>
      </w:r>
    </w:p>
    <w:p>
      <w:pPr>
        <w:pStyle w:val="Style56"/>
        <w:keepNext w:val="0"/>
        <w:keepLines w:val="0"/>
        <w:widowControl w:val="0"/>
        <w:shd w:val="clear" w:color="auto" w:fill="auto"/>
        <w:bidi w:val="0"/>
        <w:spacing w:before="0" w:after="0" w:line="240" w:lineRule="auto"/>
        <w:ind w:left="0" w:right="0" w:firstLine="0"/>
        <w:jc w:val="both"/>
        <w:sectPr>
          <w:headerReference w:type="default" r:id="rId289"/>
          <w:footerReference w:type="default" r:id="rId290"/>
          <w:headerReference w:type="even" r:id="rId291"/>
          <w:footerReference w:type="even" r:id="rId292"/>
          <w:footnotePr>
            <w:pos w:val="pageBottom"/>
            <w:numFmt w:val="decimal"/>
            <w:numStart w:val="5"/>
            <w:numRestart w:val="continuous"/>
            <w15:footnoteColumns w:val="1"/>
          </w:footnotePr>
          <w:type w:val="continuous"/>
          <w:pgSz w:w="6816" w:h="11006"/>
          <w:pgMar w:top="978" w:left="185" w:right="190" w:bottom="520" w:header="0" w:footer="3" w:gutter="0"/>
          <w:cols w:num="2" w:space="184"/>
          <w:noEndnote/>
          <w:rtlGutter w:val="0"/>
          <w:docGrid w:linePitch="360"/>
        </w:sectPr>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Mendelssohn, </w:t>
      </w:r>
      <w:r>
        <w:rPr>
          <w:i/>
          <w:iCs/>
          <w:color w:val="000000"/>
          <w:spacing w:val="0"/>
          <w:w w:val="100"/>
          <w:position w:val="0"/>
          <w:shd w:val="clear" w:color="auto" w:fill="auto"/>
          <w:lang w:val="hr-HR" w:eastAsia="hr-HR" w:bidi="hr-HR"/>
        </w:rPr>
        <w:t>Gesammelte Schriftcn,</w:t>
      </w:r>
      <w:r>
        <w:rPr>
          <w:color w:val="000000"/>
          <w:spacing w:val="0"/>
          <w:w w:val="100"/>
          <w:position w:val="0"/>
          <w:shd w:val="clear" w:color="auto" w:fill="auto"/>
          <w:lang w:val="hr-HR" w:eastAsia="hr-HR" w:bidi="hr-HR"/>
        </w:rPr>
        <w:t xml:space="preserve"> Đd. 3, </w:t>
      </w:r>
      <w:r>
        <w:rPr>
          <w:color w:val="000000"/>
          <w:spacing w:val="0"/>
          <w:w w:val="100"/>
          <w:position w:val="0"/>
          <w:shd w:val="clear" w:color="auto" w:fill="auto"/>
        </w:rPr>
        <w:t xml:space="preserve">Leipzig </w:t>
      </w:r>
      <w:r>
        <w:rPr>
          <w:color w:val="000000"/>
          <w:spacing w:val="0"/>
          <w:w w:val="100"/>
          <w:position w:val="0"/>
          <w:shd w:val="clear" w:color="auto" w:fill="auto"/>
          <w:lang w:val="hr-HR" w:eastAsia="hr-HR" w:bidi="hr-HR"/>
        </w:rPr>
        <w:t xml:space="preserve">1843; L. Bacck, </w:t>
      </w:r>
      <w:r>
        <w:rPr>
          <w:i/>
          <w:iCs/>
          <w:color w:val="000000"/>
          <w:spacing w:val="0"/>
          <w:w w:val="100"/>
          <w:position w:val="0"/>
          <w:shd w:val="clear" w:color="auto" w:fill="auto"/>
          <w:lang w:val="hr-HR" w:eastAsia="hr-HR" w:bidi="hr-HR"/>
        </w:rPr>
        <w:t>Aus drei Jahrtausenden,</w:t>
      </w:r>
      <w:r>
        <w:rPr>
          <w:color w:val="000000"/>
          <w:spacing w:val="0"/>
          <w:w w:val="100"/>
          <w:position w:val="0"/>
          <w:shd w:val="clear" w:color="auto" w:fill="auto"/>
          <w:lang w:val="hr-HR" w:eastAsia="hr-HR" w:bidi="hr-HR"/>
        </w:rPr>
        <w:t xml:space="preserve"> Berlin 1938 (Stu- dicn, u. a. iiber das Verhaltni-s von Judentum und </w:t>
      </w:r>
      <w:r>
        <w:rPr>
          <w:color w:val="000000"/>
          <w:spacing w:val="0"/>
          <w:w w:val="100"/>
          <w:position w:val="0"/>
          <w:shd w:val="clear" w:color="auto" w:fill="auto"/>
        </w:rPr>
        <w:t xml:space="preserve">Christen- turn); </w:t>
      </w:r>
      <w:r>
        <w:rPr>
          <w:color w:val="000000"/>
          <w:spacing w:val="0"/>
          <w:w w:val="100"/>
          <w:position w:val="0"/>
          <w:shd w:val="clear" w:color="auto" w:fill="auto"/>
          <w:lang w:val="hr-HR" w:eastAsia="hr-HR" w:bidi="hr-HR"/>
        </w:rPr>
        <w:t xml:space="preserve">H. J. Schocps, </w:t>
      </w:r>
      <w:r>
        <w:rPr>
          <w:i/>
          <w:iCs/>
          <w:color w:val="000000"/>
          <w:spacing w:val="0"/>
          <w:w w:val="100"/>
          <w:position w:val="0"/>
          <w:shd w:val="clear" w:color="auto" w:fill="auto"/>
        </w:rPr>
        <w:t xml:space="preserve">Judisch-christliches </w:t>
      </w:r>
      <w:r>
        <w:rPr>
          <w:i/>
          <w:iCs/>
          <w:color w:val="000000"/>
          <w:spacing w:val="0"/>
          <w:w w:val="100"/>
          <w:position w:val="0"/>
          <w:shd w:val="clear" w:color="auto" w:fill="auto"/>
          <w:lang w:val="hr-HR" w:eastAsia="hr-HR" w:bidi="hr-HR"/>
        </w:rPr>
        <w:t xml:space="preserve">Rtdigiunsgtisprdch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19 </w:t>
      </w:r>
      <w:r>
        <w:rPr>
          <w:i/>
          <w:iCs/>
          <w:color w:val="000000"/>
          <w:spacing w:val="0"/>
          <w:w w:val="100"/>
          <w:position w:val="0"/>
          <w:shd w:val="clear" w:color="auto" w:fill="auto"/>
        </w:rPr>
        <w:t>Jahrhunderien,</w:t>
      </w:r>
      <w:r>
        <w:rPr>
          <w:color w:val="000000"/>
          <w:spacing w:val="0"/>
          <w:w w:val="100"/>
          <w:position w:val="0"/>
          <w:shd w:val="clear" w:color="auto" w:fill="auto"/>
        </w:rPr>
        <w:t xml:space="preserve"> Frankfurt a.M. 1949; M. Buber, </w:t>
      </w:r>
      <w:r>
        <w:rPr>
          <w:i/>
          <w:iCs/>
          <w:color w:val="000000"/>
          <w:spacing w:val="0"/>
          <w:w w:val="100"/>
          <w:position w:val="0"/>
          <w:shd w:val="clear" w:color="auto" w:fill="auto"/>
        </w:rPr>
        <w:t>Zwei</w:t>
      </w:r>
    </w:p>
    <w:p>
      <w:pPr>
        <w:pStyle w:val="Style56"/>
        <w:keepNext w:val="0"/>
        <w:keepLines w:val="0"/>
        <w:widowControl w:val="0"/>
        <w:shd w:val="clear" w:color="auto" w:fill="auto"/>
        <w:tabs>
          <w:tab w:pos="2011" w:val="left"/>
        </w:tabs>
        <w:bidi w:val="0"/>
        <w:spacing w:before="0" w:after="260" w:line="240" w:lineRule="auto"/>
        <w:ind w:left="0" w:right="0" w:firstLine="0"/>
        <w:jc w:val="both"/>
      </w:pPr>
      <w:r>
        <w:rPr>
          <w:i/>
          <w:iCs/>
          <w:color w:val="000000"/>
          <w:spacing w:val="0"/>
          <w:w w:val="100"/>
          <w:position w:val="0"/>
          <w:shd w:val="clear" w:color="auto" w:fill="auto"/>
        </w:rPr>
        <w:t>Glaubensweisen,</w:t>
      </w:r>
      <w:r>
        <w:rPr>
          <w:color w:val="000000"/>
          <w:spacing w:val="0"/>
          <w:w w:val="100"/>
          <w:position w:val="0"/>
          <w:shd w:val="clear" w:color="auto" w:fill="auto"/>
        </w:rPr>
        <w:t xml:space="preserve"> Zurich </w:t>
      </w:r>
      <w:r>
        <w:rPr>
          <w:color w:val="000000"/>
          <w:spacing w:val="0"/>
          <w:w w:val="100"/>
          <w:position w:val="0"/>
          <w:shd w:val="clear" w:color="auto" w:fill="auto"/>
          <w:lang w:val="hr-HR" w:eastAsia="hr-HR" w:bidi="hr-HR"/>
        </w:rPr>
        <w:t xml:space="preserve">1950: S. D. Gohcin, </w:t>
      </w:r>
      <w:r>
        <w:rPr>
          <w:i/>
          <w:iCs/>
          <w:color w:val="000000"/>
          <w:spacing w:val="0"/>
          <w:w w:val="100"/>
          <w:position w:val="0"/>
          <w:shd w:val="clear" w:color="auto" w:fill="auto"/>
        </w:rPr>
        <w:t>Jews and Arabs. Their Contacts thrpugh the Ages,</w:t>
      </w:r>
      <w:r>
        <w:rPr>
          <w:color w:val="000000"/>
          <w:spacing w:val="0"/>
          <w:w w:val="100"/>
          <w:position w:val="0"/>
          <w:shd w:val="clear" w:color="auto" w:fill="auto"/>
        </w:rPr>
        <w:t xml:space="preserve"> New York 1955; C. Thoma (Hrsg.), </w:t>
      </w:r>
      <w:r>
        <w:rPr>
          <w:i/>
          <w:iCs/>
          <w:color w:val="000000"/>
          <w:spacing w:val="0"/>
          <w:w w:val="100"/>
          <w:position w:val="0"/>
          <w:shd w:val="clear" w:color="auto" w:fill="auto"/>
        </w:rPr>
        <w:t>Judentum and christlicher Glaube,</w:t>
      </w:r>
      <w:r>
        <w:rPr>
          <w:color w:val="000000"/>
          <w:spacing w:val="0"/>
          <w:w w:val="100"/>
          <w:position w:val="0"/>
          <w:shd w:val="clear" w:color="auto" w:fill="auto"/>
        </w:rPr>
        <w:t xml:space="preserve"> Wien 1965; F. W. Marquardt, </w:t>
      </w:r>
      <w:r>
        <w:rPr>
          <w:i/>
          <w:iCs/>
          <w:color w:val="000000"/>
          <w:spacing w:val="0"/>
          <w:w w:val="100"/>
          <w:position w:val="0"/>
          <w:shd w:val="clear" w:color="auto" w:fill="auto"/>
        </w:rPr>
        <w:t>Die Enideckung der Judentum fur die christliche Theologie,</w:t>
      </w:r>
      <w:r>
        <w:rPr>
          <w:color w:val="000000"/>
          <w:spacing w:val="0"/>
          <w:w w:val="100"/>
          <w:position w:val="0"/>
          <w:shd w:val="clear" w:color="auto" w:fill="auto"/>
        </w:rPr>
        <w:t xml:space="preserve"> Munchcn 1967; S. Sandmcl, </w:t>
      </w:r>
      <w:r>
        <w:rPr>
          <w:i/>
          <w:iCs/>
          <w:color w:val="000000"/>
          <w:spacing w:val="0"/>
          <w:w w:val="100"/>
          <w:position w:val="0"/>
          <w:shd w:val="clear" w:color="auto" w:fill="auto"/>
        </w:rPr>
        <w:t xml:space="preserve">Two living traditions, </w:t>
      </w:r>
      <w:r>
        <w:rPr>
          <w:color w:val="000000"/>
          <w:spacing w:val="0"/>
          <w:w w:val="100"/>
          <w:position w:val="0"/>
          <w:shd w:val="clear" w:color="auto" w:fill="auto"/>
        </w:rPr>
        <w:t xml:space="preserve">Detroit 1972 (Studicn und Aufsatzc des Rabbincrs und Ncutcstamcntlcrs); H. J. Kremers (Hrsg.), </w:t>
      </w:r>
      <w:r>
        <w:rPr>
          <w:i/>
          <w:iCs/>
          <w:color w:val="000000"/>
          <w:spacing w:val="0"/>
          <w:w w:val="100"/>
          <w:position w:val="0"/>
          <w:shd w:val="clear" w:color="auto" w:fill="auto"/>
        </w:rPr>
        <w:t>Juden und Chris</w:t>
        <w:softHyphen/>
        <w:t>ten lesen dieselbe Bibel,</w:t>
      </w:r>
      <w:r>
        <w:rPr>
          <w:color w:val="000000"/>
          <w:spacing w:val="0"/>
          <w:w w:val="100"/>
          <w:position w:val="0"/>
          <w:shd w:val="clear" w:color="auto" w:fill="auto"/>
        </w:rPr>
        <w:t xml:space="preserve"> Duisburg 1973; M. Brockc/J. </w:t>
      </w:r>
      <w:r>
        <w:rPr>
          <w:color w:val="000000"/>
          <w:spacing w:val="0"/>
          <w:w w:val="100"/>
          <w:position w:val="0"/>
          <w:shd w:val="clear" w:color="auto" w:fill="auto"/>
          <w:lang w:val="hr-HR" w:eastAsia="hr-HR" w:bidi="hr-HR"/>
        </w:rPr>
        <w:t xml:space="preserve">Petu- </w:t>
      </w:r>
      <w:r>
        <w:rPr>
          <w:color w:val="000000"/>
          <w:spacing w:val="0"/>
          <w:w w:val="100"/>
          <w:position w:val="0"/>
          <w:shd w:val="clear" w:color="auto" w:fill="auto"/>
        </w:rPr>
        <w:t xml:space="preserve">chowsky/W. Strok (Hrsg.), </w:t>
      </w:r>
      <w:r>
        <w:rPr>
          <w:i/>
          <w:iCs/>
          <w:color w:val="000000"/>
          <w:spacing w:val="0"/>
          <w:w w:val="100"/>
          <w:position w:val="0"/>
          <w:shd w:val="clear" w:color="auto" w:fill="auto"/>
        </w:rPr>
        <w:t>Das Vaterunser, Gemeinsames Belen von Juden und Christen,</w:t>
      </w:r>
      <w:r>
        <w:rPr>
          <w:color w:val="000000"/>
          <w:spacing w:val="0"/>
          <w:w w:val="100"/>
          <w:position w:val="0"/>
          <w:shd w:val="clear" w:color="auto" w:fill="auto"/>
        </w:rPr>
        <w:t xml:space="preserve"> Freiburg 1974; P. </w:t>
      </w:r>
      <w:r>
        <w:rPr>
          <w:color w:val="000000"/>
          <w:spacing w:val="0"/>
          <w:w w:val="100"/>
          <w:position w:val="0"/>
          <w:shd w:val="clear" w:color="auto" w:fill="auto"/>
          <w:lang w:val="hr-HR" w:eastAsia="hr-HR" w:bidi="hr-HR"/>
        </w:rPr>
        <w:t xml:space="preserve">Navć </w:t>
      </w:r>
      <w:r>
        <w:rPr>
          <w:color w:val="000000"/>
          <w:spacing w:val="0"/>
          <w:w w:val="100"/>
          <w:position w:val="0"/>
          <w:shd w:val="clear" w:color="auto" w:fill="auto"/>
        </w:rPr>
        <w:t>Le</w:t>
        <w:softHyphen/>
        <w:t xml:space="preserve">vinson, </w:t>
      </w:r>
      <w:r>
        <w:rPr>
          <w:i/>
          <w:iCs/>
          <w:color w:val="000000"/>
          <w:spacing w:val="0"/>
          <w:w w:val="100"/>
          <w:position w:val="0"/>
          <w:shd w:val="clear" w:color="auto" w:fill="auto"/>
        </w:rPr>
        <w:t>Du unser Vater, Judische Gebete fur Christen,</w:t>
      </w:r>
      <w:r>
        <w:rPr>
          <w:color w:val="000000"/>
          <w:spacing w:val="0"/>
          <w:w w:val="100"/>
          <w:position w:val="0"/>
          <w:shd w:val="clear" w:color="auto" w:fill="auto"/>
        </w:rPr>
        <w:t xml:space="preserve"> Frei</w:t>
        <w:softHyphen/>
        <w:t xml:space="preserve">burg 1975; Sch. Ben Chorin, </w:t>
      </w:r>
      <w:r>
        <w:rPr>
          <w:i/>
          <w:iCs/>
          <w:color w:val="000000"/>
          <w:spacing w:val="0"/>
          <w:w w:val="100"/>
          <w:position w:val="0"/>
          <w:shd w:val="clear" w:color="auto" w:fill="auto"/>
        </w:rPr>
        <w:t>Judische Existent heute,</w:t>
      </w:r>
      <w:r>
        <w:rPr>
          <w:color w:val="000000"/>
          <w:spacing w:val="0"/>
          <w:w w:val="100"/>
          <w:position w:val="0"/>
          <w:shd w:val="clear" w:color="auto" w:fill="auto"/>
        </w:rPr>
        <w:t xml:space="preserve"> Trier 1976; H. L. Goldschmidt, </w:t>
      </w:r>
      <w:r>
        <w:rPr>
          <w:i/>
          <w:iCs/>
          <w:color w:val="000000"/>
          <w:spacing w:val="0"/>
          <w:w w:val="100"/>
          <w:position w:val="0"/>
          <w:shd w:val="clear" w:color="auto" w:fill="auto"/>
        </w:rPr>
        <w:t>Weil wir Bruder sind,</w:t>
      </w:r>
      <w:r>
        <w:rPr>
          <w:color w:val="000000"/>
          <w:spacing w:val="0"/>
          <w:w w:val="100"/>
          <w:position w:val="0"/>
          <w:shd w:val="clear" w:color="auto" w:fill="auto"/>
        </w:rPr>
        <w:t xml:space="preserve"> Stuttgart 1976; W. Strok (Hrsg.), </w:t>
      </w:r>
      <w:r>
        <w:rPr>
          <w:i/>
          <w:iCs/>
          <w:color w:val="000000"/>
          <w:spacing w:val="0"/>
          <w:w w:val="100"/>
          <w:position w:val="0"/>
          <w:shd w:val="clear" w:color="auto" w:fill="auto"/>
        </w:rPr>
        <w:t>Drei Wegezu dem einen Gott,</w:t>
      </w:r>
      <w:r>
        <w:rPr>
          <w:color w:val="000000"/>
          <w:spacing w:val="0"/>
          <w:w w:val="100"/>
          <w:position w:val="0"/>
          <w:shd w:val="clear" w:color="auto" w:fill="auto"/>
        </w:rPr>
        <w:t xml:space="preserve"> Frei</w:t>
        <w:softHyphen/>
        <w:t xml:space="preserve">burg 1976; D. Schoncich (Hrsg.), </w:t>
      </w:r>
      <w:r>
        <w:rPr>
          <w:i/>
          <w:iCs/>
          <w:color w:val="000000"/>
          <w:spacing w:val="0"/>
          <w:w w:val="100"/>
          <w:position w:val="0"/>
          <w:shd w:val="clear" w:color="auto" w:fill="auto"/>
        </w:rPr>
        <w:t xml:space="preserve">Aites Testament heute gesagt. Judische und christliche Predigten der Gegenwart, </w:t>
      </w:r>
      <w:r>
        <w:rPr>
          <w:color w:val="000000"/>
          <w:spacing w:val="0"/>
          <w:w w:val="100"/>
          <w:position w:val="0"/>
          <w:shd w:val="clear" w:color="auto" w:fill="auto"/>
        </w:rPr>
        <w:t xml:space="preserve">Gdtcrsloh 1977; P. Nave Levinson, »Per cine Gott und die Einhcit der </w:t>
      </w:r>
      <w:r>
        <w:rPr>
          <w:color w:val="000000"/>
          <w:spacing w:val="0"/>
          <w:w w:val="100"/>
          <w:position w:val="0"/>
          <w:shd w:val="clear" w:color="auto" w:fill="auto"/>
          <w:lang w:val="hr-HR" w:eastAsia="hr-HR" w:bidi="hr-HR"/>
        </w:rPr>
        <w:t xml:space="preserve">Schopfung«, u: </w:t>
      </w:r>
      <w:r>
        <w:rPr>
          <w:color w:val="000000"/>
          <w:spacing w:val="0"/>
          <w:w w:val="100"/>
          <w:position w:val="0"/>
          <w:shd w:val="clear" w:color="auto" w:fill="auto"/>
        </w:rPr>
        <w:t xml:space="preserve">G. Mullcr-Fahrenhok (Hrsg.), </w:t>
      </w:r>
      <w:r>
        <w:rPr>
          <w:i/>
          <w:iCs/>
          <w:color w:val="000000"/>
          <w:spacing w:val="0"/>
          <w:w w:val="100"/>
          <w:position w:val="0"/>
          <w:shd w:val="clear" w:color="auto" w:fill="auto"/>
        </w:rPr>
        <w:t>Einheit tn der Well von heute,</w:t>
      </w:r>
      <w:r>
        <w:rPr>
          <w:color w:val="000000"/>
          <w:spacing w:val="0"/>
          <w:w w:val="100"/>
          <w:position w:val="0"/>
          <w:shd w:val="clear" w:color="auto" w:fill="auto"/>
        </w:rPr>
        <w:t xml:space="preserve"> Frankfurt a. M. 1978; </w:t>
      </w:r>
      <w:r>
        <w:rPr>
          <w:color w:val="000000"/>
          <w:spacing w:val="0"/>
          <w:w w:val="100"/>
          <w:position w:val="0"/>
          <w:shd w:val="clear" w:color="auto" w:fill="auto"/>
          <w:lang w:val="hr-HR" w:eastAsia="hr-HR" w:bidi="hr-HR"/>
        </w:rPr>
        <w:t xml:space="preserve">časopisi: </w:t>
      </w:r>
      <w:r>
        <w:rPr>
          <w:i/>
          <w:iCs/>
          <w:color w:val="000000"/>
          <w:spacing w:val="0"/>
          <w:w w:val="100"/>
          <w:position w:val="0"/>
          <w:shd w:val="clear" w:color="auto" w:fill="auto"/>
        </w:rPr>
        <w:t>Freiburger Rundbriefi, Emuna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(Njemačka); </w:t>
      </w:r>
      <w:r>
        <w:rPr>
          <w:i/>
          <w:iCs/>
          <w:color w:val="000000"/>
          <w:spacing w:val="0"/>
          <w:w w:val="100"/>
          <w:position w:val="0"/>
          <w:shd w:val="clear" w:color="auto" w:fill="auto"/>
        </w:rPr>
        <w:t>Chnsdich-Jiidisches Forum</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(Švicarska); </w:t>
      </w:r>
      <w:r>
        <w:rPr>
          <w:i/>
          <w:iCs/>
          <w:color w:val="000000"/>
          <w:spacing w:val="0"/>
          <w:w w:val="100"/>
          <w:position w:val="0"/>
          <w:shd w:val="clear" w:color="auto" w:fill="auto"/>
        </w:rPr>
        <w:t>JCM Newsletter</w:t>
      </w:r>
      <w:r>
        <w:rPr>
          <w:color w:val="000000"/>
          <w:spacing w:val="0"/>
          <w:w w:val="100"/>
          <w:position w:val="0"/>
          <w:shd w:val="clear" w:color="auto" w:fill="auto"/>
        </w:rPr>
        <w:t xml:space="preserve"> (Organ der Konfcrcnz curopaischer Juden, Christen und Muslimc); </w:t>
      </w:r>
      <w:r>
        <w:rPr>
          <w:i/>
          <w:iCs/>
          <w:color w:val="000000"/>
          <w:spacing w:val="0"/>
          <w:w w:val="100"/>
          <w:position w:val="0"/>
          <w:shd w:val="clear" w:color="auto" w:fill="auto"/>
        </w:rPr>
        <w:t>Organisation. International Council of Christians and Jews</w:t>
      </w:r>
      <w:r>
        <w:rPr>
          <w:color w:val="000000"/>
          <w:spacing w:val="0"/>
          <w:w w:val="100"/>
          <w:position w:val="0"/>
          <w:shd w:val="clear" w:color="auto" w:fill="auto"/>
        </w:rPr>
        <w:t xml:space="preserve"> (1CCJ), </w:t>
      </w:r>
      <w:r>
        <w:rPr>
          <w:i/>
          <w:iCs/>
          <w:color w:val="000000"/>
          <w:spacing w:val="0"/>
          <w:w w:val="100"/>
          <w:position w:val="0"/>
          <w:shd w:val="clear" w:color="auto" w:fill="auto"/>
        </w:rPr>
        <w:t>Buber- haus, Heppenheim.</w:t>
      </w:r>
      <w:r>
        <w:rPr>
          <w:color w:val="000000"/>
          <w:spacing w:val="0"/>
          <w:w w:val="100"/>
          <w:position w:val="0"/>
          <w:shd w:val="clear" w:color="auto" w:fill="auto"/>
        </w:rPr>
        <w:tab/>
        <w:t>P. NAVF. 1.1:VINSON</w:t>
      </w:r>
    </w:p>
    <w:p>
      <w:pPr>
        <w:pStyle w:val="Style63"/>
        <w:keepNext/>
        <w:keepLines/>
        <w:widowControl w:val="0"/>
        <w:numPr>
          <w:ilvl w:val="0"/>
          <w:numId w:val="87"/>
        </w:numPr>
        <w:shd w:val="clear" w:color="auto" w:fill="auto"/>
        <w:tabs>
          <w:tab w:pos="270" w:val="left"/>
        </w:tabs>
        <w:bidi w:val="0"/>
        <w:spacing w:before="0" w:after="120" w:line="216" w:lineRule="auto"/>
        <w:ind w:left="0" w:right="0" w:firstLine="0"/>
        <w:jc w:val="both"/>
      </w:pPr>
      <w:bookmarkStart w:id="66" w:name="bookmark6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66"/>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Pod </w:t>
      </w:r>
      <w:r>
        <w:rPr>
          <w:rFonts w:ascii="Times New Roman" w:eastAsia="Times New Roman" w:hAnsi="Times New Roman" w:cs="Times New Roman"/>
          <w:color w:val="000000"/>
          <w:spacing w:val="0"/>
          <w:w w:val="100"/>
          <w:position w:val="0"/>
          <w:shd w:val="clear" w:color="auto" w:fill="auto"/>
          <w:lang w:val="hr-HR" w:eastAsia="hr-HR" w:bidi="hr-HR"/>
        </w:rPr>
        <w:t>dijalogom se u najširem smislu razumije</w:t>
        <w:softHyphen/>
        <w:t>va oblik susreta i komuniciranja između oso</w:t>
        <w:softHyphen/>
        <w:t>ba, skupina ili zajednica, koje se uzajamno priznaju kao ravnopravni partneri s ciljem da uklanjaju predrasude, da pospješuju međusob</w:t>
        <w:softHyphen/>
        <w:t>no razumijevanje i da zajedno rade na cilje</w:t>
        <w:softHyphen/>
        <w:t>vima i projektima. Prema partnerima koji su</w:t>
        <w:softHyphen/>
        <w:t>djeluju, možemo razlikovati d. između religija ili d. sa svjetonazorima, odnosno s mješovitim oblicima. Kod međureligijskog dijaloga po</w:t>
        <w:softHyphen/>
        <w:t>sebno mjesto zauzima d. ili trijalog između Židova, kršćana i muslimana.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teološka natuknica d. je još uvijek novijeg datuma. Razvoj je tekao od konfrontacije i apologetike do dijaloga. U tom se razvoju može razlikovati više faza: srednjovjekovno mišljenje o Corpusu Christianumu polazilo je od ideje o kršćanskom svijetu u kojem se ostale religije - uz izuzetak Židova - nisu trpjele. Židovska religija mogla je u velikim progonima s mu</w:t>
        <w:softHyphen/>
        <w:t>kom preživjeti. Islam je predstavljao veliki izazov koji se na Zapadu više suočavao s voj</w:t>
        <w:softHyphen/>
        <w:t>nim sredstvima (križarski ratovi sve do ratova s Turcima) negoli s filozofskim i teološkim ar</w:t>
        <w:softHyphen/>
        <w:t>gumentima (iznimke: Rajmund Luli i Nikola Kuzanski). Razdoblje velikih otkrića u Ame</w:t>
        <w:softHyphen/>
        <w:t>rici, Aziji i Africi dovelo jc do doticaja s osta</w:t>
        <w:softHyphen/>
        <w:t>lim religijama isključivo u obliku misionarenja te prisvajanja prava na religijsku i kulturalnu premoć nad »poganskim kultovima« (iznim</w:t>
        <w:softHyphen/>
        <w:t xml:space="preserve">ke: </w:t>
      </w:r>
      <w:r>
        <w:rPr>
          <w:rFonts w:ascii="Times New Roman" w:eastAsia="Times New Roman" w:hAnsi="Times New Roman" w:cs="Times New Roman"/>
          <w:color w:val="000000"/>
          <w:spacing w:val="0"/>
          <w:w w:val="100"/>
          <w:position w:val="0"/>
          <w:shd w:val="clear" w:color="auto" w:fill="auto"/>
          <w:lang w:val="en-US" w:eastAsia="en-US" w:bidi="en-US"/>
        </w:rPr>
        <w:t xml:space="preserve">Las Casas, Ricci, de </w:t>
      </w:r>
      <w:r>
        <w:rPr>
          <w:rFonts w:ascii="Times New Roman" w:eastAsia="Times New Roman" w:hAnsi="Times New Roman" w:cs="Times New Roman"/>
          <w:color w:val="000000"/>
          <w:spacing w:val="0"/>
          <w:w w:val="100"/>
          <w:position w:val="0"/>
          <w:shd w:val="clear" w:color="auto" w:fill="auto"/>
          <w:lang w:val="hr-HR" w:eastAsia="hr-HR" w:bidi="hr-HR"/>
        </w:rPr>
        <w:t>Nobili). Razdoblje re- formacije obilježeno jc mnogostrukim rasko</w:t>
        <w:softHyphen/>
      </w:r>
      <w:r>
        <w:rPr>
          <w:rFonts w:ascii="Times New Roman" w:eastAsia="Times New Roman" w:hAnsi="Times New Roman" w:cs="Times New Roman"/>
          <w:color w:val="000000"/>
          <w:spacing w:val="0"/>
          <w:w w:val="100"/>
          <w:position w:val="0"/>
          <w:shd w:val="clear" w:color="auto" w:fill="auto"/>
          <w:lang w:val="hr-HR" w:eastAsia="hr-HR" w:bidi="hr-HR"/>
        </w:rPr>
        <w:t>lima unutar kršćanskog svijeta. U obračuna</w:t>
        <w:softHyphen/>
        <w:t xml:space="preserve">vanjima (reformacijski ratovi i 30-godišnji rat) vrijedilo je pravilo da načelno svi imaju isto religijsko uvjerenje na određenom području </w:t>
      </w:r>
      <w:r>
        <w:rPr>
          <w:rFonts w:ascii="Times New Roman" w:eastAsia="Times New Roman" w:hAnsi="Times New Roman" w:cs="Times New Roman"/>
          <w:color w:val="000000"/>
          <w:spacing w:val="0"/>
          <w:w w:val="100"/>
          <w:position w:val="0"/>
          <w:shd w:val="clear" w:color="auto" w:fill="auto"/>
          <w:lang w:val="en-US" w:eastAsia="en-US" w:bidi="en-US"/>
        </w:rPr>
        <w:t xml:space="preserve">(cuius </w:t>
      </w:r>
      <w:r>
        <w:rPr>
          <w:rFonts w:ascii="Times New Roman" w:eastAsia="Times New Roman" w:hAnsi="Times New Roman" w:cs="Times New Roman"/>
          <w:color w:val="000000"/>
          <w:spacing w:val="0"/>
          <w:w w:val="100"/>
          <w:position w:val="0"/>
          <w:shd w:val="clear" w:color="auto" w:fill="auto"/>
          <w:lang w:val="hr-HR" w:eastAsia="hr-HR" w:bidi="hr-HR"/>
        </w:rPr>
        <w:t>regio, eius et religio). Komparativna religijska znanost XIX. stoljeća pridonosi bo</w:t>
        <w:softHyphen/>
        <w:t>ljem poznavanju drugih religija; ipak nije dola</w:t>
        <w:softHyphen/>
        <w:t>zilo do egzistencijalnog susreta. Svjetska i du- hovno-povijesna previranja XX. stoljeća stvo</w:t>
        <w:softHyphen/>
        <w:t>rila su novu situaciju. Kraj kolonijalizma vodi do jačanja azijskih i afričkih religija; mark</w:t>
        <w:softHyphen/>
        <w:t>sizam i komunizam znače izazov za sve posto</w:t>
        <w:softHyphen/>
        <w:t>jeće religijske sustave. Kako god vrednovali po</w:t>
        <w:softHyphen/>
        <w:t>javu sekularizacije, ona u svakom slučaju svo</w:t>
        <w:softHyphen/>
        <w:t>jim mnogostrukim obilježjima pridonosi gu</w:t>
        <w:softHyphen/>
        <w:t>bitku funkcije koju su religije imale u društvu. Zlodjela, obilježena nazivom »holokaust«, teš</w:t>
        <w:softHyphen/>
        <w:t>ko su pogodila europsko židovstvo i nanijela štetu njegovu religijskom i kulturalnom utje</w:t>
        <w:softHyphen/>
        <w:t>caju. U zadnjem desetljeću jako je porastao udio muslimana u pučanstvu europskih zema</w:t>
        <w:softHyphen/>
        <w:t>lja. Međunarodna trgovina, razvoj komunika</w:t>
        <w:softHyphen/>
        <w:t>cijskih sredstava, turizam svjetskih razmjera i migracija mnogih ljudi iz različitih područja kulture i religije stvaraju nove oblike susreta. Pluralizam religija i svjetonazora postaje vri</w:t>
        <w:softHyphen/>
        <w:t>jednost koja traje, jer nijedna skupina ne može više vjerovati da će prevladati nad dru</w:t>
        <w:softHyphen/>
        <w:t>gima ili ih potpuno integrirati. Priznavanje te činjenice pripravila jc zamisao o toleranciji, Deklaracija o ljudskim pravima, poglavito o pravima na slobodu savjesti i vjeroispovijesti. U filozofiji dvadesetih godina XX. stoljeća di- jaloško je razmišljanje došlo do svog izražaja. Nakon predradnji H. Cohena u filozofiji jezi</w:t>
        <w:softHyphen/>
        <w:t xml:space="preserve">ka, personalnog mišljenja i refleksije o ja-ti- odnosu, preko radova F. Ebnera, F. Roscnz- </w:t>
      </w:r>
      <w:r>
        <w:rPr>
          <w:rFonts w:ascii="Times New Roman" w:eastAsia="Times New Roman" w:hAnsi="Times New Roman" w:cs="Times New Roman"/>
          <w:color w:val="000000"/>
          <w:spacing w:val="0"/>
          <w:w w:val="100"/>
          <w:position w:val="0"/>
          <w:shd w:val="clear" w:color="auto" w:fill="auto"/>
          <w:lang w:val="en-US" w:eastAsia="en-US" w:bidi="en-US"/>
        </w:rPr>
        <w:t xml:space="preserve">weiga </w:t>
      </w:r>
      <w:r>
        <w:rPr>
          <w:rFonts w:ascii="Times New Roman" w:eastAsia="Times New Roman" w:hAnsi="Times New Roman" w:cs="Times New Roman"/>
          <w:color w:val="000000"/>
          <w:spacing w:val="0"/>
          <w:w w:val="100"/>
          <w:position w:val="0"/>
          <w:shd w:val="clear" w:color="auto" w:fill="auto"/>
          <w:lang w:val="hr-HR" w:eastAsia="hr-HR" w:bidi="hr-HR"/>
        </w:rPr>
        <w:t>i M. Bubera, d. je duboko utemeljen kao samosvojno filozofsko načelo. Za filozo</w:t>
        <w:softHyphen/>
        <w:t xml:space="preserve">fiju dijaloga d. znači razgovor ili susret pri kojem uzajamnim obavještavanjem u najraz- ličitijem obliku nastaje novi </w:t>
      </w:r>
      <w:r>
        <w:rPr>
          <w:rFonts w:ascii="Times New Roman" w:eastAsia="Times New Roman" w:hAnsi="Times New Roman" w:cs="Times New Roman"/>
          <w:color w:val="000000"/>
          <w:spacing w:val="0"/>
          <w:w w:val="100"/>
          <w:position w:val="0"/>
          <w:shd w:val="clear" w:color="auto" w:fill="auto"/>
          <w:lang w:val="en-US" w:eastAsia="en-US" w:bidi="en-US"/>
        </w:rPr>
        <w:t xml:space="preserve">interpersonal™ </w:t>
      </w:r>
      <w:r>
        <w:rPr>
          <w:rFonts w:ascii="Times New Roman" w:eastAsia="Times New Roman" w:hAnsi="Times New Roman" w:cs="Times New Roman"/>
          <w:color w:val="000000"/>
          <w:spacing w:val="0"/>
          <w:w w:val="100"/>
          <w:position w:val="0"/>
          <w:shd w:val="clear" w:color="auto" w:fill="auto"/>
          <w:lang w:val="hr-HR" w:eastAsia="hr-HR" w:bidi="hr-HR"/>
        </w:rPr>
        <w:t>»između«. Filozofija dijaloga imala je veliki učinak na pedagogiju, formalnu logiku i teo</w:t>
        <w:softHyphen/>
        <w:t>logiju. U kršćanskoj jc teologiji razmišljanje o uvjetima, tijeku i cilju dijaloga započelo unu- tarkršćanskim razgovorom u ekumenskom po</w:t>
        <w:softHyphen/>
        <w:t>kretu. Uvođenje ostalih religija i svjetonazora kao dijaloškog partnera ima razmjerno kratku povijest. Prisvajanje prava na apsolutnost krš</w:t>
        <w:softHyphen/>
        <w:t>ćanstva i misijski nalog činili su i čine teškim d. na temelju ravnopravnosti. U katoličkoj teologiji već se prije razmišljalo o dijalogu sa</w:t>
        <w:br w:type="page"/>
      </w:r>
      <w:r>
        <w:rPr>
          <w:rFonts w:ascii="Times New Roman" w:eastAsia="Times New Roman" w:hAnsi="Times New Roman" w:cs="Times New Roman"/>
          <w:color w:val="000000"/>
          <w:spacing w:val="0"/>
          <w:w w:val="100"/>
          <w:position w:val="0"/>
          <w:shd w:val="clear" w:color="auto" w:fill="auto"/>
          <w:lang w:val="hr-HR" w:eastAsia="hr-HR" w:bidi="hr-HR"/>
        </w:rPr>
        <w:t>sviješću o značenju i spasenjskoj funkciji ne- kršćanskih (značajan je ovaj negativni izraz) religija. Teologija religija polazi od univerzal</w:t>
        <w:softHyphen/>
        <w:t>ne Božje spasenjske volje koja se pokazuje djelotvornom u načelnom suočavanju stvore</w:t>
        <w:softHyphen/>
        <w:t>nog svijeta i spasenja, povijesti svijeta i povi</w:t>
        <w:softHyphen/>
        <w:t>jesti spasenja. Zbog čovjekove društvene ustro- jenosti, ne može se Božje spasenjsko djelova</w:t>
        <w:softHyphen/>
        <w:t>nje iskazivati samo u individualnim »dobrim djelima« pojedinca, nego obuhvaća i društve</w:t>
        <w:softHyphen/>
        <w:t>ne manifestacije tj. nekršćanske religije kao društveno postojeća jedinstva.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Otvaranje Katoličke crkve za d. s ostalim reli</w:t>
        <w:softHyphen/>
        <w:t>gijama i svjetonazorima dogodilo se na Dru</w:t>
        <w:softHyphen/>
        <w:t xml:space="preserve">gom vatikanskom koncilu. Pape su pripravili i popratili to otvaranje. Ivan XXIII. u svojoj enciklici »Pacem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lerris« (1963) traži razgo</w:t>
        <w:softHyphen/>
        <w:t>vor »sa svim ljudima dobre volje«. Pavao VI. u enciklici »Ecclesiam Suam« zacrtava kon</w:t>
        <w:softHyphen/>
        <w:t>cept dijaloga pri kojem se oko Katoličke crkve kao središta redaju u krugovima ostali sudio</w:t>
        <w:softHyphen/>
        <w:t>nici razgovora - ostali kršćani, vjernici ostalih religija i konačno »oni koji ne vjeruju«. Doku</w:t>
        <w:softHyphen/>
        <w:t>menti Drugoga vatikanskoga koncila traže d. s »odijeljenom braćom« (Dekret o ekumeniz</w:t>
        <w:softHyphen/>
        <w:t>mu), sa svjetonazorima i ideologijama (Pasto</w:t>
        <w:softHyphen/>
        <w:t>ralna konstitucija) i ostalim religijama (De</w:t>
        <w:softHyphen/>
        <w:t>klaracija o nekršćanskim religijama i vjerskoj slobodi). Osobito težište dobiva prikaz odno</w:t>
        <w:softHyphen/>
        <w:t>sa Crkve prema židovstvu. Pokazuje se duhov</w:t>
        <w:softHyphen/>
        <w:t>na veza i zajedničko naslijeđe koje povezuje Crkvu sa židovstvom i žali se zbog duge bolne povijesti antisemitizma s mnogim lažnim op</w:t>
        <w:softHyphen/>
        <w:t>tužbama i groznim progonima Židova. U iz</w:t>
        <w:softHyphen/>
        <w:t>javama pojedinih nacionalnih biskupskih kon</w:t>
        <w:softHyphen/>
        <w:t>ferencija koncilski se iskazi dalje objašnjavaju i primjenjuju u aktualnom dijalogu. Ali valja naglasiti da se u teologiji i u razmišljanjima o dijalogu nisu dostatno uzimali u obzir posebni odnosi kršćanstva sa židovstvom. To zacijelo vrijedi i za odnos kršćanstva prema islamu. Prečesto su se i ovdje izjave, koje su se davale o nekršćanskim religijama, jednostavno pri</w:t>
        <w:softHyphen/>
        <w:t>mijenile na islam. Kao pozitivne točke prik</w:t>
        <w:softHyphen/>
        <w:t>ljučka na d. Crkva kod muslimana vidi zajed</w:t>
        <w:softHyphen/>
        <w:t>ništvo u monoteističkoj vjeri, odnos prema Abrahamu i prema obećanjima koja su njemu dana, posjedovanje jednoga svetog zapisa, spo</w:t>
        <w:softHyphen/>
        <w:t>minjanje i štovanje Isusa i Marije, te praksu davanja milostinje i posta. Također u odnosu prema islamu treba razraditi dugu bolnu po</w:t>
        <w:softHyphen/>
        <w:t>vijest sukobljavanja. Osobito teška točka u di</w:t>
        <w:softHyphen/>
        <w:t>jalogu s islamom je kršćansko stajalište prema proroku Muhamedu.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kršćansku teologiju d. nije ograničen na ljude i skupine jednoga religioznog uvjerenja nego obuhvaća i ljude nereligioznog i ateistič</w:t>
        <w:softHyphen/>
        <w:t>kog svjetonazora. Božje spasenjsko djelovanje nije vezano uz religiju, nego se odnosi na sve ljude koji nastoje živjeti prema svojoj savjesti (Konstitucija o Crkvi, 16). Na toj je osnovi moguće voditi d. sa svim ljudima i zajednički raditi na ljudskijem svijetu (vidi Pastoralnu konstituciju). Pa ipak se pokazalo da kod dija</w:t>
        <w:softHyphen/>
        <w:t>loga sa skupinama različitih svjetonazora igra</w:t>
        <w:softHyphen/>
        <w:t>ju ulogu mnogi nadređeni i politički čimbenici koji u praksi upropaštavaju mnoga polazišta koja su budila nadu. D. udruge »Paulusge- sellschaft« s marksizmom, primjerice, mnogo je pretrpio zbog toga političkog opterećenja.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protestantskoj se teologiji od Konferencije u Tambaranu (1938) intenzivno i konlroverz- no diskutirala tema dijaloga. Svjetsko vijeće crkava ima vlastitu komisiju za »d. s ljudima žive vjere i sekularnog svjetonazora« </w:t>
      </w:r>
      <w:r>
        <w:rPr>
          <w:rFonts w:ascii="Times New Roman" w:eastAsia="Times New Roman" w:hAnsi="Times New Roman" w:cs="Times New Roman"/>
          <w:i/>
          <w:iCs/>
          <w:color w:val="000000"/>
          <w:spacing w:val="0"/>
          <w:w w:val="100"/>
          <w:position w:val="0"/>
          <w:shd w:val="clear" w:color="auto" w:fill="auto"/>
          <w:lang w:val="en-US" w:eastAsia="en-US" w:bidi="en-US"/>
        </w:rPr>
        <w:t>(Dialogue with men of living faiths and ideologies).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Nakon relativnog otvaranja na svjetskim konferenci</w:t>
        <w:softHyphen/>
        <w:t>jama u Meksiku (1963) i Uppsali (1968), na zadnjoj Konferenciji u Nairobiju (1975) bio je vrlo kritički promatran program o dijalogu. Kontrovcrzna su pitanja misijske obveze jed</w:t>
        <w:softHyphen/>
        <w:t xml:space="preserve">nih prema drugima ili jednih uz druge te spremnosti za d. Na teološkom savjetovanju u mjestu </w:t>
      </w:r>
      <w:r>
        <w:rPr>
          <w:rFonts w:ascii="Times New Roman" w:eastAsia="Times New Roman" w:hAnsi="Times New Roman" w:cs="Times New Roman"/>
          <w:color w:val="000000"/>
          <w:spacing w:val="0"/>
          <w:w w:val="100"/>
          <w:position w:val="0"/>
          <w:shd w:val="clear" w:color="auto" w:fill="auto"/>
          <w:lang w:val="en-US" w:eastAsia="en-US" w:bidi="en-US"/>
        </w:rPr>
        <w:t xml:space="preserve">Chiang Mai </w:t>
      </w:r>
      <w:r>
        <w:rPr>
          <w:rFonts w:ascii="Times New Roman" w:eastAsia="Times New Roman" w:hAnsi="Times New Roman" w:cs="Times New Roman"/>
          <w:color w:val="000000"/>
          <w:spacing w:val="0"/>
          <w:w w:val="100"/>
          <w:position w:val="0"/>
          <w:shd w:val="clear" w:color="auto" w:fill="auto"/>
          <w:lang w:val="hr-HR" w:eastAsia="hr-HR" w:bidi="hr-HR"/>
        </w:rPr>
        <w:t>(Tajland, 1977) raspravlja</w:t>
        <w:softHyphen/>
        <w:t xml:space="preserve">lo se prije svega o pitanju dijaloga u zajednici </w:t>
      </w:r>
      <w:r>
        <w:rPr>
          <w:rFonts w:ascii="Times New Roman" w:eastAsia="Times New Roman" w:hAnsi="Times New Roman" w:cs="Times New Roman"/>
          <w:color w:val="000000"/>
          <w:spacing w:val="0"/>
          <w:w w:val="100"/>
          <w:position w:val="0"/>
          <w:shd w:val="clear" w:color="auto" w:fill="auto"/>
          <w:lang w:val="en-US" w:eastAsia="en-US" w:bidi="en-US"/>
        </w:rPr>
        <w:t xml:space="preserve">(dialogue in community). </w:t>
      </w:r>
      <w:r>
        <w:rPr>
          <w:rFonts w:ascii="Times New Roman" w:eastAsia="Times New Roman" w:hAnsi="Times New Roman" w:cs="Times New Roman"/>
          <w:color w:val="000000"/>
          <w:spacing w:val="0"/>
          <w:w w:val="100"/>
          <w:position w:val="0"/>
          <w:shd w:val="clear" w:color="auto" w:fill="auto"/>
          <w:lang w:val="hr-HR" w:eastAsia="hr-HR" w:bidi="hr-HR"/>
        </w:rPr>
        <w:t>Evangclička crkva Savezne Republike Njemačke objavila je dvije studije u kojima se pristaje na poseban odnos prema Židovima (»Kršćani i Židovi«) i musli</w:t>
        <w:softHyphen/>
        <w:t>manima (»Muslimanku Saveznoj Republici«), Za d. i razgovore sa Židovima i muslimanima postoje vlastite studijske grupe koje tijesno su</w:t>
        <w:softHyphen/>
        <w:t>rađuju sa sličnim grupama u Katoličkoj crkvi. Ove studijske grupe osim teoretskih pitanja obrađuju i praktična pitanja.</w:t>
      </w:r>
    </w:p>
    <w:p>
      <w:pPr>
        <w:pStyle w:val="Style20"/>
        <w:keepNext w:val="0"/>
        <w:keepLines w:val="0"/>
        <w:widowControl w:val="0"/>
        <w:shd w:val="clear" w:color="auto" w:fill="auto"/>
        <w:bidi w:val="0"/>
        <w:spacing w:before="0" w:after="0" w:line="240" w:lineRule="auto"/>
        <w:ind w:left="0" w:right="0" w:firstLine="0"/>
        <w:jc w:val="both"/>
        <w:sectPr>
          <w:headerReference w:type="default" r:id="rId293"/>
          <w:footerReference w:type="default" r:id="rId294"/>
          <w:headerReference w:type="even" r:id="rId295"/>
          <w:footerReference w:type="even" r:id="rId296"/>
          <w:headerReference w:type="first" r:id="rId297"/>
          <w:footerReference w:type="first" r:id="rId298"/>
          <w:footnotePr>
            <w:pos w:val="pageBottom"/>
            <w:numFmt w:val="decimal"/>
            <w:numStart w:val="5"/>
            <w:numRestart w:val="continuous"/>
            <w15:footnoteColumns w:val="1"/>
          </w:footnotePr>
          <w:pgSz w:w="6816" w:h="11006"/>
          <w:pgMar w:top="978" w:left="185" w:right="190" w:bottom="520" w:header="0" w:footer="3" w:gutter="0"/>
          <w:pgNumType w:start="105"/>
          <w:cols w:num="2" w:space="184"/>
          <w:noEndnote/>
          <w:titlePg/>
          <w:rtlGutter w:val="0"/>
          <w:docGrid w:linePitch="360"/>
        </w:sectPr>
      </w:pPr>
      <w:r>
        <mc:AlternateContent>
          <mc:Choice Requires="wps">
            <w:drawing>
              <wp:anchor distT="25400" distB="254000" distL="114300" distR="114300" simplePos="0" relativeHeight="125829384" behindDoc="0" locked="0" layoutInCell="1" allowOverlap="1">
                <wp:simplePos x="0" y="0"/>
                <wp:positionH relativeFrom="page">
                  <wp:posOffset>155575</wp:posOffset>
                </wp:positionH>
                <wp:positionV relativeFrom="margin">
                  <wp:posOffset>6117590</wp:posOffset>
                </wp:positionV>
                <wp:extent cx="182880" cy="118745"/>
                <wp:wrapTopAndBottom/>
                <wp:docPr id="640" name="Shape 640"/>
                <a:graphic xmlns:a="http://schemas.openxmlformats.org/drawingml/2006/main">
                  <a:graphicData uri="http://schemas.microsoft.com/office/word/2010/wordprocessingShape">
                    <wps:wsp>
                      <wps:cNvSpPr txBox="1"/>
                      <wps:spPr>
                        <a:xfrm>
                          <a:ext cx="182880" cy="11874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im</w:t>
                            </w:r>
                          </w:p>
                        </w:txbxContent>
                      </wps:txbx>
                      <wps:bodyPr wrap="none" lIns="0" tIns="0" rIns="0" bIns="0">
                        <a:noAutoFit/>
                      </wps:bodyPr>
                    </wps:wsp>
                  </a:graphicData>
                </a:graphic>
              </wp:anchor>
            </w:drawing>
          </mc:Choice>
          <mc:Fallback>
            <w:pict>
              <v:shape id="_x0000_s1666" type="#_x0000_t202" style="position:absolute;margin-left:12.25pt;margin-top:481.69999999999999pt;width:14.4pt;height:9.3499999999999996pt;z-index:-125829369;mso-wrap-distance-left:9.pt;mso-wrap-distance-top:2.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im</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Osnovna shema dijaloga: U </w:t>
      </w:r>
      <w:r>
        <w:rPr>
          <w:rFonts w:ascii="Times New Roman" w:eastAsia="Times New Roman" w:hAnsi="Times New Roman" w:cs="Times New Roman"/>
          <w:i/>
          <w:iCs/>
          <w:color w:val="000000"/>
          <w:spacing w:val="0"/>
          <w:w w:val="100"/>
          <w:position w:val="0"/>
          <w:shd w:val="clear" w:color="auto" w:fill="auto"/>
          <w:lang w:val="hr-HR" w:eastAsia="hr-HR" w:bidi="hr-HR"/>
        </w:rPr>
        <w:t>pretpostavke</w:t>
      </w:r>
      <w:r>
        <w:rPr>
          <w:rFonts w:ascii="Times New Roman" w:eastAsia="Times New Roman" w:hAnsi="Times New Roman" w:cs="Times New Roman"/>
          <w:color w:val="000000"/>
          <w:spacing w:val="0"/>
          <w:w w:val="100"/>
          <w:position w:val="0"/>
          <w:shd w:val="clear" w:color="auto" w:fill="auto"/>
          <w:lang w:val="hr-HR" w:eastAsia="hr-HR" w:bidi="hr-HR"/>
        </w:rPr>
        <w:t xml:space="preserve"> dija</w:t>
        <w:softHyphen/>
        <w:t>loga ubrajaju se priznavanje ravnopravnosti dijaloških partnera (par cum pari) i poštivanje njihove svojstvenosti i drugačijosti. D. zahti</w:t>
        <w:softHyphen/>
        <w:t xml:space="preserve">jeva neokrnjeno svjedočanstvo čitave istine u cijelosti ljudskog susreta. </w:t>
      </w:r>
      <w:r>
        <w:rPr>
          <w:rFonts w:ascii="Times New Roman" w:eastAsia="Times New Roman" w:hAnsi="Times New Roman" w:cs="Times New Roman"/>
          <w:i/>
          <w:iCs/>
          <w:color w:val="000000"/>
          <w:spacing w:val="0"/>
          <w:w w:val="100"/>
          <w:position w:val="0"/>
          <w:shd w:val="clear" w:color="auto" w:fill="auto"/>
          <w:lang w:val="hr-HR" w:eastAsia="hr-HR" w:bidi="hr-HR"/>
        </w:rPr>
        <w:t>Temelj</w:t>
      </w:r>
      <w:r>
        <w:rPr>
          <w:rFonts w:ascii="Times New Roman" w:eastAsia="Times New Roman" w:hAnsi="Times New Roman" w:cs="Times New Roman"/>
          <w:color w:val="000000"/>
          <w:spacing w:val="0"/>
          <w:w w:val="100"/>
          <w:position w:val="0"/>
          <w:shd w:val="clear" w:color="auto" w:fill="auto"/>
          <w:lang w:val="hr-HR" w:eastAsia="hr-HR" w:bidi="hr-HR"/>
        </w:rPr>
        <w:t xml:space="preserve"> za d. je soli</w:t>
        <w:softHyphen/>
        <w:t>darnost u zajedničkom čovještvu i u prizna</w:t>
        <w:softHyphen/>
        <w:t>vanju ljudskih prava. Kod dijaloga među reli</w:t>
        <w:softHyphen/>
        <w:t>gijama može doći do slaganja u određenim vjerskim istinama. To poglavito vrijedi za d. između Židova, kršćana i muslimana, kod ko</w:t>
        <w:softHyphen/>
        <w:t xml:space="preserve">jega daljnji temelj stvara vjera u jednoga Boga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Stvoritelja, odgovornost pojedinog čovje</w:t>
        <w:softHyphen/>
        <w:t>ka i prihvaćanje Pisma objave. Kao niječna pretpostavka vrijedit će odsutnost svake mi</w:t>
        <w:softHyphen/>
        <w:t xml:space="preserve">sionarske namjere. U </w:t>
      </w:r>
      <w:r>
        <w:rPr>
          <w:rFonts w:ascii="Times New Roman" w:eastAsia="Times New Roman" w:hAnsi="Times New Roman" w:cs="Times New Roman"/>
          <w:i/>
          <w:iCs/>
          <w:color w:val="000000"/>
          <w:spacing w:val="0"/>
          <w:w w:val="100"/>
          <w:position w:val="0"/>
          <w:shd w:val="clear" w:color="auto" w:fill="auto"/>
          <w:lang w:val="hr-HR" w:eastAsia="hr-HR" w:bidi="hr-HR"/>
        </w:rPr>
        <w:t>odvijanju</w:t>
      </w:r>
      <w:r>
        <w:rPr>
          <w:rFonts w:ascii="Times New Roman" w:eastAsia="Times New Roman" w:hAnsi="Times New Roman" w:cs="Times New Roman"/>
          <w:color w:val="000000"/>
          <w:spacing w:val="0"/>
          <w:w w:val="100"/>
          <w:position w:val="0"/>
          <w:shd w:val="clear" w:color="auto" w:fill="auto"/>
          <w:lang w:val="hr-HR" w:eastAsia="hr-HR" w:bidi="hr-HR"/>
        </w:rPr>
        <w:t xml:space="preserve"> d. će prolaziti više stupnjeva čiji redoslijed neće uvijek biti isti. Mogu se razlikovati: faza uklanjanja pre</w:t>
        <w:softHyphen/>
        <w:t>drasuda i nesporazuma koji na početku dija</w:t>
        <w:softHyphen/>
        <w:t>loga često obilježavaju prvi susret. U fazi in</w:t>
        <w:softHyphen/>
        <w:t>formiranja dijaloški partneri daju međusobno svjedočanstvo o svom uvjerenju. S obzirom na oblik, ovdje će više biti riječ o jednostranom prikazivanju stajališta u pojedinoj tradiciji. Daljnjim tijekom dijaloga i uzajamnom raz</w:t>
        <w:softHyphen/>
        <w:t>mjenom mišljenja otkrivat će se suglasja i slič</w:t>
        <w:softHyphen/>
        <w:t>nosti. Produbljivanjem susreta opet će se jas</w:t>
        <w:softHyphen/>
        <w:t>nije istaknuti razlike koje ostaju. U toj kri</w:t>
        <w:softHyphen/>
        <w:t>tičkoj fazi dijaloga postoji mogućnost da se dublje shvate istina i bogatstvo vlastite tradi</w:t>
        <w:softHyphen/>
        <w:t>cije kao i da se uči iz drugog uvjerenja i is</w:t>
        <w:softHyphen/>
        <w:t>kustva. Dakle, d. može postati rast u duhov</w:t>
        <w:softHyphen/>
        <w:t>nom iskustvu i istinsko sudjelovanje koje ras</w:t>
        <w:softHyphen/>
        <w:t>kida postojeće uskoće i ograničenja te uza</w:t>
        <w:softHyphen/>
        <w:t>jamno vođi do veće otvorenosti. U toj će fazi biti prostora za otvoreno izlaganje uzajamnoj kritici. Moguće postaju i zajedničke akcije na socijalnom i političkom području jer povjere</w:t>
        <w:softHyphen/>
        <w:t>nje kao temelj dopušta raspravljanje o kontro- verznim problemima.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Što se tiče </w:t>
      </w:r>
      <w:r>
        <w:rPr>
          <w:rFonts w:ascii="Times New Roman" w:eastAsia="Times New Roman" w:hAnsi="Times New Roman" w:cs="Times New Roman"/>
          <w:i/>
          <w:iCs/>
          <w:color w:val="000000"/>
          <w:spacing w:val="0"/>
          <w:w w:val="100"/>
          <w:position w:val="0"/>
          <w:shd w:val="clear" w:color="auto" w:fill="auto"/>
          <w:lang w:val="hr-HR" w:eastAsia="hr-HR" w:bidi="hr-HR"/>
        </w:rPr>
        <w:t>cilja</w:t>
      </w:r>
      <w:r>
        <w:rPr>
          <w:rFonts w:ascii="Times New Roman" w:eastAsia="Times New Roman" w:hAnsi="Times New Roman" w:cs="Times New Roman"/>
          <w:color w:val="000000"/>
          <w:spacing w:val="0"/>
          <w:w w:val="100"/>
          <w:position w:val="0"/>
          <w:shd w:val="clear" w:color="auto" w:fill="auto"/>
          <w:lang w:val="hr-HR" w:eastAsia="hr-HR" w:bidi="hr-HR"/>
        </w:rPr>
        <w:t xml:space="preserve"> dijaloga, najlakše se može dati niječno određenje: d. nema cilj pospješivati sinkretizam. Isto se tako on ne smije shvaćati kao taktička mjera koja samo zamjenjuje ostale oblike apologetike ili misije. D. živi od stanovitog nedostatka namjere, pa se ne smije upotrebljavati kao sredstvo za postizavanje cilja. Pritom d. svakako ima učinke. On služi razumijevanju među ljudima, pa tako i miru u nemirnom svijetu. Pomaže da se dublje sa</w:t>
        <w:softHyphen/>
        <w:t>gleda širina mogućnosti koju ima ljudska eg</w:t>
        <w:softHyphen/>
        <w:t>zistencija u svekolikoj različitosti i uzajam</w:t>
        <w:softHyphen/>
        <w:t>nom nadopunjavanju. Za ljude različite reli</w:t>
        <w:softHyphen/>
        <w:t>gije i svjetonazora stvara mogućnost suradnje na zajedničkim zadacima i problemima. Na</w:t>
        <w:softHyphen/>
        <w:t>posljetku d. je usmjeren prema budućnosti i treba vremena da se razvije. Za kršćansku je teologiju važna zadaća razlučiti d. od misije i evangeliziranja. 1 misija i d. povezani su svje</w:t>
        <w:softHyphen/>
        <w:t>dočanstvom. Obadvoje računaju s time da čo</w:t>
        <w:softHyphen/>
        <w:t>vjek nije jednoznačno određen rođenjem, pod</w:t>
        <w:softHyphen/>
        <w:t>rijetlom, nacijom i religijom, nego da se može u slobodi mijenjati i preobražavati. U tom su smislu to napredni i revolucionarni stavovi. Pa ipak, misija je kao kerigmatičko svjedočanstvo</w:t>
      </w:r>
    </w:p>
    <w:p>
      <w:pPr>
        <w:pStyle w:val="Style56"/>
        <w:keepNext w:val="0"/>
        <w:keepLines w:val="0"/>
        <w:widowControl w:val="0"/>
        <w:shd w:val="clear" w:color="auto" w:fill="auto"/>
        <w:tabs>
          <w:tab w:pos="2520" w:val="left"/>
        </w:tabs>
        <w:bidi w:val="0"/>
        <w:spacing w:before="0" w:after="220" w:line="240" w:lineRule="auto"/>
        <w:ind w:left="0" w:right="0" w:firstLine="0"/>
        <w:jc w:val="both"/>
      </w:pPr>
      <w:r>
        <w:rPr>
          <w:rFonts w:ascii="Times New Roman" w:eastAsia="Times New Roman" w:hAnsi="Times New Roman" w:cs="Times New Roman"/>
          <w:color w:val="000000"/>
          <w:spacing w:val="0"/>
          <w:w w:val="100"/>
          <w:position w:val="0"/>
          <w:sz w:val="15"/>
          <w:szCs w:val="15"/>
          <w:shd w:val="clear" w:color="auto" w:fill="auto"/>
          <w:lang w:val="hr-HR" w:eastAsia="hr-HR" w:bidi="hr-HR"/>
        </w:rPr>
        <w:t>usmjerena na obraćenje drugoga. Misionarsku situaciju imamo tada kada je netko odlučio kao tražitelj i ne više čvrsto vezan uz neku tra</w:t>
        <w:softHyphen/>
        <w:t>diciju slušati kršćansku poruku s namjerom da ispita, može li ona biti njegov daljnji put. Na</w:t>
        <w:softHyphen/>
        <w:t>protiv, kod dijaloga se radi o ravnopravnom susretu partnera koji razmjenjuju stavove uza</w:t>
        <w:softHyphen/>
        <w:t xml:space="preserve">jamnim svjedočanstvom, ne želeći drugoga nadmašiti ili pobijediti. Ako se d. preokrene u misionarcnje, u svakom slučaju prestaje biti d. </w:t>
      </w: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Buber, </w:t>
      </w:r>
      <w:r>
        <w:rPr>
          <w:i/>
          <w:iCs/>
          <w:color w:val="000000"/>
          <w:spacing w:val="0"/>
          <w:w w:val="100"/>
          <w:position w:val="0"/>
          <w:shd w:val="clear" w:color="auto" w:fill="auto"/>
        </w:rPr>
        <w:t>Werke,</w:t>
      </w:r>
      <w:r>
        <w:rPr>
          <w:color w:val="000000"/>
          <w:spacing w:val="0"/>
          <w:w w:val="100"/>
          <w:position w:val="0"/>
          <w:shd w:val="clear" w:color="auto" w:fill="auto"/>
        </w:rPr>
        <w:t xml:space="preserve"> Rd. </w:t>
      </w:r>
      <w:r>
        <w:rPr>
          <w:color w:val="000000"/>
          <w:spacing w:val="0"/>
          <w:w w:val="100"/>
          <w:position w:val="0"/>
          <w:shd w:val="clear" w:color="auto" w:fill="auto"/>
          <w:lang w:val="hr-HR" w:eastAsia="hr-HR" w:bidi="hr-HR"/>
        </w:rPr>
        <w:t xml:space="preserve">1, </w:t>
      </w:r>
      <w:r>
        <w:rPr>
          <w:color w:val="000000"/>
          <w:spacing w:val="0"/>
          <w:w w:val="100"/>
          <w:position w:val="0"/>
          <w:shd w:val="clear" w:color="auto" w:fill="auto"/>
        </w:rPr>
        <w:t xml:space="preserve">Munchcn </w:t>
      </w:r>
      <w:r>
        <w:rPr>
          <w:color w:val="000000"/>
          <w:spacing w:val="0"/>
          <w:w w:val="100"/>
          <w:position w:val="0"/>
          <w:shd w:val="clear" w:color="auto" w:fill="auto"/>
          <w:lang w:val="hr-HR" w:eastAsia="hr-HR" w:bidi="hr-HR"/>
        </w:rPr>
        <w:t xml:space="preserve">1962: B. </w:t>
      </w:r>
      <w:r>
        <w:rPr>
          <w:color w:val="000000"/>
          <w:spacing w:val="0"/>
          <w:w w:val="100"/>
          <w:position w:val="0"/>
          <w:shd w:val="clear" w:color="auto" w:fill="auto"/>
        </w:rPr>
        <w:t xml:space="preserve">Casper. </w:t>
      </w:r>
      <w:r>
        <w:rPr>
          <w:i/>
          <w:iCs/>
          <w:color w:val="000000"/>
          <w:spacing w:val="0"/>
          <w:w w:val="100"/>
          <w:position w:val="0"/>
          <w:shd w:val="clear" w:color="auto" w:fill="auto"/>
          <w:lang w:val="hr-HR" w:eastAsia="hr-HR" w:bidi="hr-HR"/>
        </w:rPr>
        <w:t xml:space="preserve">Das dialagischc Denken, einc Untersuchung dcr rcligionsphi- losophischen Bcdeutung F. </w:t>
      </w:r>
      <w:r>
        <w:rPr>
          <w:i/>
          <w:iCs/>
          <w:color w:val="000000"/>
          <w:spacing w:val="0"/>
          <w:w w:val="100"/>
          <w:position w:val="0"/>
          <w:shd w:val="clear" w:color="auto" w:fill="auto"/>
        </w:rPr>
        <w:t xml:space="preserve">Rosenzweigs. </w:t>
      </w:r>
      <w:r>
        <w:rPr>
          <w:i/>
          <w:iCs/>
          <w:color w:val="000000"/>
          <w:spacing w:val="0"/>
          <w:w w:val="100"/>
          <w:position w:val="0"/>
          <w:shd w:val="clear" w:color="auto" w:fill="auto"/>
          <w:lang w:val="hr-HR" w:eastAsia="hr-HR" w:bidi="hr-HR"/>
        </w:rPr>
        <w:t xml:space="preserve">F. </w:t>
      </w:r>
      <w:r>
        <w:rPr>
          <w:i/>
          <w:iCs/>
          <w:color w:val="000000"/>
          <w:spacing w:val="0"/>
          <w:w w:val="100"/>
          <w:position w:val="0"/>
          <w:shd w:val="clear" w:color="auto" w:fill="auto"/>
        </w:rPr>
        <w:t xml:space="preserve">Ebners </w:t>
      </w:r>
      <w:r>
        <w:rPr>
          <w:i/>
          <w:iCs/>
          <w:color w:val="000000"/>
          <w:spacing w:val="0"/>
          <w:w w:val="100"/>
          <w:position w:val="0"/>
          <w:shd w:val="clear" w:color="auto" w:fill="auto"/>
          <w:lang w:val="hr-HR" w:eastAsia="hr-HR" w:bidi="hr-HR"/>
        </w:rPr>
        <w:t xml:space="preserve">und M. </w:t>
      </w:r>
      <w:r>
        <w:rPr>
          <w:i/>
          <w:iCs/>
          <w:color w:val="000000"/>
          <w:spacing w:val="0"/>
          <w:w w:val="100"/>
          <w:position w:val="0"/>
          <w:shd w:val="clear" w:color="auto" w:fill="auto"/>
        </w:rPr>
        <w:t>Rubers,</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1967; </w:t>
      </w:r>
      <w:r>
        <w:rPr>
          <w:i/>
          <w:iCs/>
          <w:color w:val="000000"/>
          <w:spacing w:val="0"/>
          <w:w w:val="100"/>
          <w:position w:val="0"/>
          <w:shd w:val="clear" w:color="auto" w:fill="auto"/>
        </w:rPr>
        <w:t xml:space="preserve">Christen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Juden, einc Sludie des Rates der EKD,</w:t>
      </w:r>
      <w:r>
        <w:rPr>
          <w:color w:val="000000"/>
          <w:spacing w:val="0"/>
          <w:w w:val="100"/>
          <w:position w:val="0"/>
          <w:shd w:val="clear" w:color="auto" w:fill="auto"/>
        </w:rPr>
        <w:t xml:space="preserve"> Gutersloh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1976; </w:t>
      </w:r>
      <w:r>
        <w:rPr>
          <w:i/>
          <w:iCs/>
          <w:color w:val="000000"/>
          <w:spacing w:val="0"/>
          <w:w w:val="100"/>
          <w:position w:val="0"/>
          <w:shd w:val="clear" w:color="auto" w:fill="auto"/>
          <w:lang w:val="hr-HR" w:eastAsia="hr-HR" w:bidi="hr-HR"/>
        </w:rPr>
        <w:t xml:space="preserve">Dokument </w:t>
      </w:r>
      <w:r>
        <w:rPr>
          <w:i/>
          <w:iCs/>
          <w:color w:val="000000"/>
          <w:spacing w:val="0"/>
          <w:w w:val="100"/>
          <w:position w:val="0"/>
          <w:shd w:val="clear" w:color="auto" w:fill="auto"/>
        </w:rPr>
        <w:t>uber den Dialog mil den Nichtglaubenden,</w:t>
      </w:r>
      <w:r>
        <w:rPr>
          <w:color w:val="000000"/>
          <w:spacing w:val="0"/>
          <w:w w:val="100"/>
          <w:position w:val="0"/>
          <w:shd w:val="clear" w:color="auto" w:fill="auto"/>
        </w:rPr>
        <w:t xml:space="preserve"> Trier 1969 (dt. Ubcrsctzung und Kommentar von H. Vorgrimlcr); II. Dumoulin, </w:t>
      </w:r>
      <w:r>
        <w:rPr>
          <w:i/>
          <w:iCs/>
          <w:color w:val="000000"/>
          <w:spacing w:val="0"/>
          <w:w w:val="100"/>
          <w:position w:val="0"/>
          <w:shd w:val="clear" w:color="auto" w:fill="auto"/>
        </w:rPr>
        <w:t>Christlicher Dialog mil Asien,</w:t>
      </w:r>
      <w:r>
        <w:rPr>
          <w:color w:val="000000"/>
          <w:spacing w:val="0"/>
          <w:w w:val="100"/>
          <w:position w:val="0"/>
          <w:shd w:val="clear" w:color="auto" w:fill="auto"/>
        </w:rPr>
        <w:t xml:space="preserve"> Munchcn 1970; F. Ebner, </w:t>
      </w:r>
      <w:r>
        <w:rPr>
          <w:i/>
          <w:iCs/>
          <w:color w:val="000000"/>
          <w:spacing w:val="0"/>
          <w:w w:val="100"/>
          <w:position w:val="0"/>
          <w:shd w:val="clear" w:color="auto" w:fill="auto"/>
        </w:rPr>
        <w:t>Schriften</w:t>
      </w:r>
      <w:r>
        <w:rPr>
          <w:color w:val="000000"/>
          <w:spacing w:val="0"/>
          <w:w w:val="100"/>
          <w:position w:val="0"/>
          <w:shd w:val="clear" w:color="auto" w:fill="auto"/>
        </w:rPr>
        <w:t xml:space="preserve"> I, Munchcn 1963, W. P. EckcrvIL H. Henrix (Hrsg.),J«n </w:t>
      </w:r>
      <w:r>
        <w:rPr>
          <w:i/>
          <w:iCs/>
          <w:color w:val="000000"/>
          <w:spacing w:val="0"/>
          <w:w w:val="100"/>
          <w:position w:val="0"/>
          <w:shd w:val="clear" w:color="auto" w:fill="auto"/>
        </w:rPr>
        <w:t xml:space="preserve">Ju- dtsein als Zugang zum Judenlum. Eine Handreichung, </w:t>
      </w:r>
      <w:r>
        <w:rPr>
          <w:color w:val="000000"/>
          <w:spacing w:val="0"/>
          <w:w w:val="100"/>
          <w:position w:val="0"/>
          <w:shd w:val="clear" w:color="auto" w:fill="auto"/>
        </w:rPr>
        <w:t xml:space="preserve">Aachen 1976;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Exodus und Kreuz,</w:t>
      </w:r>
      <w:r>
        <w:rPr>
          <w:color w:val="000000"/>
          <w:spacing w:val="0"/>
          <w:w w:val="100"/>
          <w:position w:val="0"/>
          <w:shd w:val="clear" w:color="auto" w:fill="auto"/>
        </w:rPr>
        <w:t xml:space="preserve"> Aachen 1977; G. Evers, </w:t>
      </w:r>
      <w:r>
        <w:rPr>
          <w:i/>
          <w:iCs/>
          <w:color w:val="000000"/>
          <w:spacing w:val="0"/>
          <w:w w:val="100"/>
          <w:position w:val="0"/>
          <w:shd w:val="clear" w:color="auto" w:fill="auto"/>
        </w:rPr>
        <w:t xml:space="preserve">Mission - nichtchristliche Religioncn - wcllliche Welt, </w:t>
      </w:r>
      <w:r>
        <w:rPr>
          <w:color w:val="000000"/>
          <w:spacing w:val="0"/>
          <w:w w:val="100"/>
          <w:position w:val="0"/>
          <w:shd w:val="clear" w:color="auto" w:fill="auto"/>
        </w:rPr>
        <w:t xml:space="preserve">Munster 1974; M. Fitzgcrald/A. Khoury,AV. Wanzura (Hrsg.), </w:t>
      </w:r>
      <w:r>
        <w:rPr>
          <w:i/>
          <w:iCs/>
          <w:color w:val="000000"/>
          <w:spacing w:val="0"/>
          <w:w w:val="100"/>
          <w:position w:val="0"/>
          <w:shd w:val="clear" w:color="auto" w:fill="auto"/>
        </w:rPr>
        <w:t>Islam und westliche Welt,</w:t>
      </w:r>
      <w:r>
        <w:rPr>
          <w:color w:val="000000"/>
          <w:spacing w:val="0"/>
          <w:w w:val="100"/>
          <w:position w:val="0"/>
          <w:shd w:val="clear" w:color="auto" w:fill="auto"/>
        </w:rPr>
        <w:t xml:space="preserve"> Bd. I, </w:t>
      </w:r>
      <w:r>
        <w:rPr>
          <w:i/>
          <w:iCs/>
          <w:color w:val="000000"/>
          <w:spacing w:val="0"/>
          <w:w w:val="100"/>
          <w:position w:val="0"/>
          <w:shd w:val="clear" w:color="auto" w:fill="auto"/>
        </w:rPr>
        <w:t>Moslems und Christen - Partner?,</w:t>
      </w:r>
      <w:r>
        <w:rPr>
          <w:color w:val="000000"/>
          <w:spacing w:val="0"/>
          <w:w w:val="100"/>
          <w:position w:val="0"/>
          <w:shd w:val="clear" w:color="auto" w:fill="auto"/>
        </w:rPr>
        <w:t xml:space="preserve"> GrazAVicn/Koln 1976; Garaudy/Mctz/Rahncr, </w:t>
      </w:r>
      <w:r>
        <w:rPr>
          <w:i/>
          <w:iCs/>
          <w:color w:val="000000"/>
          <w:spacing w:val="0"/>
          <w:w w:val="100"/>
          <w:position w:val="0"/>
          <w:shd w:val="clear" w:color="auto" w:fill="auto"/>
        </w:rPr>
        <w:t>Der Dialog,</w:t>
      </w:r>
      <w:r>
        <w:rPr>
          <w:color w:val="000000"/>
          <w:spacing w:val="0"/>
          <w:w w:val="100"/>
          <w:position w:val="0"/>
          <w:shd w:val="clear" w:color="auto" w:fill="auto"/>
        </w:rPr>
        <w:t xml:space="preserve"> Hamburg 1966; H. L. Goldschmidt. </w:t>
      </w:r>
      <w:r>
        <w:rPr>
          <w:i/>
          <w:iCs/>
          <w:color w:val="000000"/>
          <w:spacing w:val="0"/>
          <w:w w:val="100"/>
          <w:position w:val="0"/>
          <w:shd w:val="clear" w:color="auto" w:fill="auto"/>
        </w:rPr>
        <w:t>Dialogik, Philosophic auf dem Roden der Neuzeit,</w:t>
      </w:r>
      <w:r>
        <w:rPr>
          <w:color w:val="000000"/>
          <w:spacing w:val="0"/>
          <w:w w:val="100"/>
          <w:position w:val="0"/>
          <w:shd w:val="clear" w:color="auto" w:fill="auto"/>
        </w:rPr>
        <w:t xml:space="preserve"> Frankfurt 1964; F. von Hammerstcin (Hrsg.), </w:t>
      </w:r>
      <w:r>
        <w:rPr>
          <w:i/>
          <w:iCs/>
          <w:color w:val="000000"/>
          <w:spacing w:val="0"/>
          <w:w w:val="100"/>
          <w:position w:val="0"/>
          <w:shd w:val="clear" w:color="auto" w:fill="auto"/>
        </w:rPr>
        <w:t xml:space="preserve">Von Vorurteilen zum Vc.rstdnd- nis. </w:t>
      </w:r>
      <w:r>
        <w:rPr>
          <w:i/>
          <w:iCs/>
          <w:color w:val="000000"/>
          <w:spacing w:val="0"/>
          <w:w w:val="100"/>
          <w:position w:val="0"/>
          <w:shd w:val="clear" w:color="auto" w:fill="auto"/>
          <w:lang w:val="hr-HR" w:eastAsia="hr-HR" w:bidi="hr-HR"/>
        </w:rPr>
        <w:t xml:space="preserve">Dokumente </w:t>
      </w:r>
      <w:r>
        <w:rPr>
          <w:i/>
          <w:iCs/>
          <w:color w:val="000000"/>
          <w:spacing w:val="0"/>
          <w:w w:val="100"/>
          <w:position w:val="0"/>
          <w:shd w:val="clear" w:color="auto" w:fill="auto"/>
        </w:rPr>
        <w:t>zum jiidisch-chrisllichen Dialog,</w:t>
      </w:r>
      <w:r>
        <w:rPr>
          <w:color w:val="000000"/>
          <w:spacing w:val="0"/>
          <w:w w:val="100"/>
          <w:position w:val="0"/>
          <w:shd w:val="clear" w:color="auto" w:fill="auto"/>
        </w:rPr>
        <w:t xml:space="preserve"> Frankfurt 1976; G. Hommcl, </w:t>
      </w:r>
      <w:r>
        <w:rPr>
          <w:i/>
          <w:iCs/>
          <w:color w:val="000000"/>
          <w:spacing w:val="0"/>
          <w:w w:val="100"/>
          <w:position w:val="0"/>
          <w:shd w:val="clear" w:color="auto" w:fill="auto"/>
        </w:rPr>
        <w:t>Der siebenurmige Leuchler. Ein Erfuh- rungsbericht,</w:t>
      </w:r>
      <w:r>
        <w:rPr>
          <w:color w:val="000000"/>
          <w:spacing w:val="0"/>
          <w:w w:val="100"/>
          <w:position w:val="0"/>
          <w:shd w:val="clear" w:color="auto" w:fill="auto"/>
        </w:rPr>
        <w:t xml:space="preserve"> Munchcn 1976; </w:t>
      </w:r>
      <w:r>
        <w:rPr>
          <w:i/>
          <w:iCs/>
          <w:color w:val="000000"/>
          <w:spacing w:val="0"/>
          <w:w w:val="100"/>
          <w:position w:val="0"/>
          <w:shd w:val="clear" w:color="auto" w:fill="auto"/>
        </w:rPr>
        <w:t xml:space="preserve">Jahrbuch F.vungeHsche Mission </w:t>
      </w:r>
      <w:r>
        <w:rPr>
          <w:color w:val="000000"/>
          <w:spacing w:val="0"/>
          <w:w w:val="100"/>
          <w:position w:val="0"/>
          <w:shd w:val="clear" w:color="auto" w:fill="auto"/>
        </w:rPr>
        <w:t xml:space="preserve">1968, Hamburg 1968; H. J. Margull/St. Samartha (Hrsg.), </w:t>
      </w:r>
      <w:r>
        <w:rPr>
          <w:i/>
          <w:iCs/>
          <w:color w:val="000000"/>
          <w:spacing w:val="0"/>
          <w:w w:val="100"/>
          <w:position w:val="0"/>
          <w:shd w:val="clear" w:color="auto" w:fill="auto"/>
        </w:rPr>
        <w:t>Dialog mil anderen Religionen,</w:t>
      </w:r>
      <w:r>
        <w:rPr>
          <w:color w:val="000000"/>
          <w:spacing w:val="0"/>
          <w:w w:val="100"/>
          <w:position w:val="0"/>
          <w:shd w:val="clear" w:color="auto" w:fill="auto"/>
        </w:rPr>
        <w:t xml:space="preserve"> Frankfurt 1972: F. W. Mar</w:t>
        <w:softHyphen/>
        <w:t xml:space="preserve">quardt, </w:t>
      </w:r>
      <w:r>
        <w:rPr>
          <w:i/>
          <w:iCs/>
          <w:color w:val="000000"/>
          <w:spacing w:val="0"/>
          <w:w w:val="100"/>
          <w:position w:val="0"/>
          <w:shd w:val="clear" w:color="auto" w:fill="auto"/>
        </w:rPr>
        <w:t>Die Entdeckung des Judentums fur die christliche Theologie,</w:t>
      </w:r>
      <w:r>
        <w:rPr>
          <w:color w:val="000000"/>
          <w:spacing w:val="0"/>
          <w:w w:val="100"/>
          <w:position w:val="0"/>
          <w:shd w:val="clear" w:color="auto" w:fill="auto"/>
        </w:rPr>
        <w:t xml:space="preserve"> Munchcn 1967; R. Pfistcrcr, </w:t>
      </w:r>
      <w:r>
        <w:rPr>
          <w:i/>
          <w:iCs/>
          <w:color w:val="000000"/>
          <w:spacing w:val="0"/>
          <w:w w:val="100"/>
          <w:position w:val="0"/>
          <w:shd w:val="clear" w:color="auto" w:fill="auto"/>
        </w:rPr>
        <w:t>Von A bts Z. Qucl- len zu Frugen znischen Juden und Christen,</w:t>
      </w:r>
      <w:r>
        <w:rPr>
          <w:color w:val="000000"/>
          <w:spacing w:val="0"/>
          <w:w w:val="100"/>
          <w:position w:val="0"/>
          <w:shd w:val="clear" w:color="auto" w:fill="auto"/>
        </w:rPr>
        <w:t xml:space="preserve"> Gladbeck 1971; K. Rahner, Uber den Dialog in dcr pluralistischcn Ge</w:t>
        <w:softHyphen/>
        <w:t xml:space="preserve">sellschaft, </w:t>
      </w:r>
      <w:r>
        <w:rPr>
          <w:color w:val="000000"/>
          <w:spacing w:val="0"/>
          <w:w w:val="100"/>
          <w:position w:val="0"/>
          <w:shd w:val="clear" w:color="auto" w:fill="auto"/>
          <w:lang w:val="hr-HR" w:eastAsia="hr-HR" w:bidi="hr-HR"/>
        </w:rPr>
        <w:t xml:space="preserve">u: isti, </w:t>
      </w:r>
      <w:r>
        <w:rPr>
          <w:i/>
          <w:iCs/>
          <w:color w:val="000000"/>
          <w:spacing w:val="0"/>
          <w:w w:val="100"/>
          <w:position w:val="0"/>
          <w:shd w:val="clear" w:color="auto" w:fill="auto"/>
        </w:rPr>
        <w:t>Schriften zur Theologie</w:t>
      </w:r>
      <w:r>
        <w:rPr>
          <w:color w:val="000000"/>
          <w:spacing w:val="0"/>
          <w:w w:val="100"/>
          <w:position w:val="0"/>
          <w:shd w:val="clear" w:color="auto" w:fill="auto"/>
        </w:rPr>
        <w:t xml:space="preserve"> V'l, Einsicdcln 1964, 46-58; F. Roscnzwcig, Dcr Stern dcr Erldsung, Hei</w:t>
        <w:softHyphen/>
        <w:t xml:space="preserve">delberg </w:t>
      </w:r>
      <w:r>
        <w:rPr>
          <w:color w:val="000000"/>
          <w:spacing w:val="0"/>
          <w:w w:val="100"/>
          <w:position w:val="0"/>
          <w:shd w:val="clear" w:color="auto" w:fill="auto"/>
          <w:vertAlign w:val="superscript"/>
        </w:rPr>
        <w:t>3</w:t>
      </w:r>
      <w:r>
        <w:rPr>
          <w:color w:val="000000"/>
          <w:spacing w:val="0"/>
          <w:w w:val="100"/>
          <w:position w:val="0"/>
          <w:shd w:val="clear" w:color="auto" w:fill="auto"/>
        </w:rPr>
        <w:t xml:space="preserve">I954; L Vischer, </w:t>
      </w:r>
      <w:r>
        <w:rPr>
          <w:i/>
          <w:iCs/>
          <w:color w:val="000000"/>
          <w:spacing w:val="0"/>
          <w:w w:val="100"/>
          <w:position w:val="0"/>
          <w:shd w:val="clear" w:color="auto" w:fill="auto"/>
        </w:rPr>
        <w:t>Veranderung dcr Welt, Bekehrung der Kirchen,</w:t>
      </w:r>
      <w:r>
        <w:rPr>
          <w:color w:val="000000"/>
          <w:spacing w:val="0"/>
          <w:w w:val="100"/>
          <w:position w:val="0"/>
          <w:shd w:val="clear" w:color="auto" w:fill="auto"/>
        </w:rPr>
        <w:t xml:space="preserve"> Frankfurt 1976.</w:t>
        <w:tab/>
        <w:t>G. EVI-RS</w:t>
      </w:r>
    </w:p>
    <w:p>
      <w:pPr>
        <w:pStyle w:val="Style63"/>
        <w:keepNext/>
        <w:keepLines/>
        <w:widowControl w:val="0"/>
        <w:numPr>
          <w:ilvl w:val="0"/>
          <w:numId w:val="87"/>
        </w:numPr>
        <w:shd w:val="clear" w:color="auto" w:fill="auto"/>
        <w:tabs>
          <w:tab w:pos="260" w:val="left"/>
        </w:tabs>
        <w:bidi w:val="0"/>
        <w:spacing w:before="0" w:line="228" w:lineRule="auto"/>
        <w:ind w:left="0" w:right="0" w:firstLine="0"/>
        <w:jc w:val="both"/>
      </w:pPr>
      <w:bookmarkStart w:id="67" w:name="bookmark67"/>
      <w:r>
        <w:rPr>
          <w:rFonts w:ascii="Times New Roman" w:eastAsia="Times New Roman" w:hAnsi="Times New Roman" w:cs="Times New Roman"/>
          <w:color w:val="000000"/>
          <w:spacing w:val="0"/>
          <w:w w:val="100"/>
          <w:position w:val="0"/>
          <w:shd w:val="clear" w:color="auto" w:fill="auto"/>
          <w:lang w:val="hr-HR" w:eastAsia="hr-HR" w:bidi="hr-HR"/>
        </w:rPr>
        <w:t>islamski</w:t>
      </w:r>
      <w:bookmarkEnd w:id="67"/>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 s </w:t>
      </w:r>
      <w:r>
        <w:rPr>
          <w:rFonts w:ascii="Times New Roman" w:eastAsia="Times New Roman" w:hAnsi="Times New Roman" w:cs="Times New Roman"/>
          <w:color w:val="000000"/>
          <w:spacing w:val="0"/>
          <w:w w:val="100"/>
          <w:position w:val="0"/>
          <w:shd w:val="clear" w:color="auto" w:fill="auto"/>
          <w:lang w:val="hr-HR" w:eastAsia="hr-HR" w:bidi="hr-HR"/>
        </w:rPr>
        <w:t>drugim religijama predstavlja bitno obi</w:t>
        <w:softHyphen/>
        <w:t>lježje islama. Sa Židovima i kršćanima d. je vodio ne samo prorok Muhamed; zahtjev za vođenjem dijaloga predstavlja sastavni dio sa</w:t>
        <w:softHyphen/>
        <w:t>me objave. Koji cilj slijedi d. koji je propisan u Kuranu? Kao odgovor na to pitanje Kuran poznaje dvije mogućnosti među kojima posto</w:t>
        <w:softHyphen/>
        <w:t>ji napetost koju je htio Bog. Izvorniji odgovor predviđa suživot postojećih religija. Židov</w:t>
        <w:softHyphen/>
        <w:t>stvo, kršćanstvo i islam nošeni su proročkom tradicijom. Sve tri religije su u posjedu istine, premda u većem ili manjem obliku i u različi</w:t>
        <w:softHyphen/>
        <w:t>tom ruhu. Po Kuranu, sve su one dionice spa</w:t>
        <w:softHyphen/>
        <w:t>senja pod pretpostavkom da se zbiljski drže njima potvrđene objave i da se natječu u do</w:t>
        <w:softHyphen/>
        <w:t xml:space="preserve">brim djelima (usp. 2,62; 5,69; 5,44-48). U tom </w:t>
      </w:r>
      <w:r>
        <w:rPr>
          <w:rFonts w:ascii="Times New Roman" w:eastAsia="Times New Roman" w:hAnsi="Times New Roman" w:cs="Times New Roman"/>
          <w:color w:val="000000"/>
          <w:spacing w:val="0"/>
          <w:w w:val="100"/>
          <w:position w:val="0"/>
          <w:shd w:val="clear" w:color="auto" w:fill="auto"/>
          <w:lang w:val="hr-HR" w:eastAsia="hr-HR" w:bidi="hr-HR"/>
        </w:rPr>
        <w:t>izvornom shvaćanju riječ islam ima dvostruko značenje. Ona označuje tek u drugom redu vjersku zajednicu pristaša proroka Muhame</w:t>
        <w:softHyphen/>
        <w:t>da. U prvom redu islam označuju svim trima religijama zajedničku jezgru objave. Sukladno tomu, Muhamedove su pristaše izjednačene s pristašama Mojsijevim i Kristovim. Spominja</w:t>
        <w:softHyphen/>
        <w:t>nje Sabejaca u toj svezi u Kuranu važi kao primjer za sve religije ili barem za sve koji vje</w:t>
        <w:softHyphen/>
        <w:t>ruju u Boga. Svi su oni pozvani da ne srljaju u nevjerstvo drugih naroda i da se okupe na za</w:t>
        <w:softHyphen/>
        <w:t>jedničkoj podlozi, naime na podlozi vjere u jednoga jedinog Boga u kojoj sudjeluju svi.</w:t>
      </w:r>
    </w:p>
    <w:p>
      <w:pPr>
        <w:pStyle w:val="Style20"/>
        <w:keepNext w:val="0"/>
        <w:keepLines w:val="0"/>
        <w:widowControl w:val="0"/>
        <w:shd w:val="clear" w:color="auto" w:fill="auto"/>
        <w:bidi w:val="0"/>
        <w:spacing w:before="0" w:after="8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praksi je ta predodžba izražena u dijalogu koji su muslimanske izbjeglice u vrijeme pro</w:t>
        <w:softHyphen/>
        <w:t xml:space="preserve">roka vodile s Negusom [etiopskim vladarom: </w:t>
      </w:r>
      <w:r>
        <w:rPr>
          <w:rFonts w:ascii="Times New Roman" w:eastAsia="Times New Roman" w:hAnsi="Times New Roman" w:cs="Times New Roman"/>
          <w:i/>
          <w:iCs/>
          <w:color w:val="000000"/>
          <w:spacing w:val="0"/>
          <w:w w:val="100"/>
          <w:position w:val="0"/>
          <w:shd w:val="clear" w:color="auto" w:fill="auto"/>
          <w:lang w:val="hr-HR" w:eastAsia="hr-HR" w:bidi="hr-HR"/>
        </w:rPr>
        <w:t>car careva],</w:t>
      </w:r>
      <w:r>
        <w:rPr>
          <w:rFonts w:ascii="Times New Roman" w:eastAsia="Times New Roman" w:hAnsi="Times New Roman" w:cs="Times New Roman"/>
          <w:color w:val="000000"/>
          <w:spacing w:val="0"/>
          <w:w w:val="100"/>
          <w:position w:val="0"/>
          <w:shd w:val="clear" w:color="auto" w:fill="auto"/>
          <w:lang w:val="hr-HR" w:eastAsia="hr-HR" w:bidi="hr-HR"/>
        </w:rPr>
        <w:t xml:space="preserve"> Islamski izvori izvješćuju da ni</w:t>
        <w:softHyphen/>
        <w:t>jedna strana nije pokušala natjerati drugu na obraćenje. Razgovor se vrtio oko pitanja: »U što vjerujete?« Razgovor se završio spozna</w:t>
        <w:softHyphen/>
        <w:t>jom da obje religije predstavljaju ravnopravne putove k spasenju. Mirovni ugovor načinjen u Medini, ugovor koji je poslanik sklopio s dru</w:t>
        <w:softHyphen/>
        <w:t>gim zajednicama, može poslužiti kao uzoran primjer državnog ugovora za zemlje s brojnim religioznim manjinama.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koji leži u temelju te vizije uvelike odgova</w:t>
        <w:softHyphen/>
        <w:t>ra predodžbama o medureligijskom dijalogu koji su prosvijećeni Židovi i prije svega krš</w:t>
        <w:softHyphen/>
        <w:t>ćani XX. stoljeća imali u vidu kao ideal: Svat</w:t>
        <w:softHyphen/>
        <w:t>ko ostaje pri svojoj vjeri i ne pokušava obratiti drugoga. Razgovor s drugima služi međusob</w:t>
        <w:softHyphen/>
        <w:t>nome razumijevanju i učvršćivanju vlastite vjere. On pomaže provjeri vlastitoga stajališta kao i utvrđivanju zajedničkih točki, iz kojih može proisteći zajedničko djelovanje na do</w:t>
        <w:softHyphen/>
        <w:t>brobit svih koji su obuhvaćeni tim razgovo</w:t>
        <w:softHyphen/>
        <w:t>rom. Ne smije se stvarati nikakva jedinstvena fronta protiv nečega, ali je svakako potrebno zajedničko djelovanje prilikom izgradnje bo</w:t>
        <w:softHyphen/>
        <w:t>ljega svijeta. U toj izvornoj viziji proroka Mu</w:t>
        <w:softHyphen/>
        <w:t>hameda vjerske se zajednice pojavljuju u iz</w:t>
        <w:softHyphen/>
        <w:t>vjesnoj mjeri kao nacije, kao ravnopravni su</w:t>
        <w:softHyphen/>
        <w:t>dionici u narodnom savezu vjernika. Histo</w:t>
        <w:softHyphen/>
        <w:t>rijski razvoj uopće nije tekao suprotno toj vi</w:t>
        <w:softHyphen/>
        <w:t>ziji. Mirovnog ugovora iz Medine nisu se držale sve strane, a u Kuranu kao alternativni prijedlog (nenasilno) obraćenje svih na islam - ovaj put »islam« nije rabljen u značenju svi</w:t>
        <w:softHyphen/>
        <w:t xml:space="preserve">ma zajedničke istine, nego u značenju novo- uspostavljenoga i od poslanika naviještanoga prvobitnog oblika, tj. kao priključak na Mu- </w:t>
      </w:r>
      <w:r>
        <w:rPr>
          <w:rFonts w:ascii="Times New Roman" w:eastAsia="Times New Roman" w:hAnsi="Times New Roman" w:cs="Times New Roman"/>
          <w:color w:val="000000"/>
          <w:spacing w:val="0"/>
          <w:w w:val="100"/>
          <w:position w:val="0"/>
          <w:shd w:val="clear" w:color="auto" w:fill="auto"/>
          <w:lang w:val="hr-HR" w:eastAsia="hr-HR" w:bidi="hr-HR"/>
        </w:rPr>
        <w:t>hamedovu zajednicu. Razgovor s drugima ta</w:t>
        <w:softHyphen/>
        <w:t>da znači religijsku raspravu. Doduše, i ona se treba voditi samo na »najljepši način« (Kuran 16,25), no i ona predstavlja jedan oblik proze</w:t>
        <w:softHyphen/>
        <w:t>litizma.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oba je slučaja d. neizostavan. Dakle, s musli</w:t>
        <w:softHyphen/>
        <w:t>manske strane ne postoji nikakva dvojba gle</w:t>
        <w:softHyphen/>
        <w:t>de medureligijskoga dijaloga. Suprotno! Za muslimane koji se po sebi raduju dijalogu teš</w:t>
        <w:softHyphen/>
        <w:t>koća se sastoji u odvraćanju od prozelitske vi</w:t>
        <w:softHyphen/>
        <w:t>zije, koje se od sada čini nužnim, i u njezinu napuštanju u korist izvornije vizije o egzisten</w:t>
        <w:softHyphen/>
        <w:t>ciji zbratimljenih vjerskih zajednica koje se međusobno natječu u pobožnosti. Radi se o davanju svjedočanstva za objavljenu istinu na temelju vlastitog iskustva.</w:t>
      </w:r>
    </w:p>
    <w:p>
      <w:pPr>
        <w:pStyle w:val="Style20"/>
        <w:keepNext w:val="0"/>
        <w:keepLines w:val="0"/>
        <w:widowControl w:val="0"/>
        <w:shd w:val="clear" w:color="auto" w:fill="auto"/>
        <w:bidi w:val="0"/>
        <w:spacing w:before="0" w:after="0" w:line="240" w:lineRule="auto"/>
        <w:ind w:left="0" w:right="0" w:firstLine="0"/>
        <w:jc w:val="both"/>
        <w:sectPr>
          <w:headerReference w:type="default" r:id="rId299"/>
          <w:footerReference w:type="default" r:id="rId300"/>
          <w:headerReference w:type="even" r:id="rId301"/>
          <w:footerReference w:type="even" r:id="rId302"/>
          <w:headerReference w:type="first" r:id="rId303"/>
          <w:footerReference w:type="first" r:id="rId304"/>
          <w:footnotePr>
            <w:pos w:val="pageBottom"/>
            <w:numFmt w:val="decimal"/>
            <w:numStart w:val="5"/>
            <w:numRestart w:val="continuous"/>
            <w15:footnoteColumns w:val="1"/>
          </w:footnotePr>
          <w:pgSz w:w="6816" w:h="11006"/>
          <w:pgMar w:top="978" w:left="185" w:right="190" w:bottom="520" w:header="0" w:footer="3" w:gutter="0"/>
          <w:pgNumType w:start="103"/>
          <w:cols w:num="2" w:space="18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 druge strane, i taj je islam »prvoga časa« prožet zahtjevom da se sve »podvede pod je</w:t>
        <w:softHyphen/>
        <w:t>dan imenitelj«. Dok nemuslimani na temelju određene jednostrane historijske slike često pretpostavljaju da je islam manje od budizma i kršćanstva zainteresiran za d., za muslimana, naprotiv, kušnja leži upravo u suprotnom smjeru. Tendencija k amalgamiranju ima do</w:t>
        <w:softHyphen/>
        <w:t xml:space="preserve">duše svoje granice u muslimanskoj teologiji, no ipak su obje vizije islama nošene gotovo cshatološkom nadom da će se svi ljudi na svoje dobro sjediniti u vjeri u Boga. Sinkre- tički eksperimenti poput onih koje je činio Veliki </w:t>
      </w:r>
      <w:r>
        <w:rPr>
          <w:rFonts w:ascii="Times New Roman" w:eastAsia="Times New Roman" w:hAnsi="Times New Roman" w:cs="Times New Roman"/>
          <w:color w:val="000000"/>
          <w:spacing w:val="0"/>
          <w:w w:val="100"/>
          <w:position w:val="0"/>
          <w:shd w:val="clear" w:color="auto" w:fill="auto"/>
          <w:lang w:val="en-US" w:eastAsia="en-US" w:bidi="en-US"/>
        </w:rPr>
        <w:t xml:space="preserve">mogul Akbar </w:t>
      </w:r>
      <w:r>
        <w:rPr>
          <w:rFonts w:ascii="Times New Roman" w:eastAsia="Times New Roman" w:hAnsi="Times New Roman" w:cs="Times New Roman"/>
          <w:color w:val="000000"/>
          <w:spacing w:val="0"/>
          <w:w w:val="100"/>
          <w:position w:val="0"/>
          <w:shd w:val="clear" w:color="auto" w:fill="auto"/>
          <w:lang w:val="hr-HR" w:eastAsia="hr-HR" w:bidi="hr-HR"/>
        </w:rPr>
        <w:t>ne samo da su počivali na hinduističkim utjecajima, nego su barem dje</w:t>
        <w:softHyphen/>
        <w:t>lomice bili usidreni u duhu kuranske objave. Također uopće nije slučajno to što su sinkre- tičke vjerske zajednice poput behaizma nasta</w:t>
        <w:softHyphen/>
        <w:t>le upravo iz islama. Druga se, historijska vizija islama, koja je dovela do razvoja muslimanske zajednice kao vladajućega sloja nošenoga ko</w:t>
        <w:softHyphen/>
        <w:t>munalnim duhom, suprotstavila sinkretičkoj tendenciji i dugo ju je vremena potiskivala u pozadinu. No napetost nikada nije u potpunos</w:t>
        <w:softHyphen/>
        <w:t>ti otklonjena. U mnogim se epohama održala sinkretička struja i to često sasvim jednostav</w:t>
        <w:softHyphen/>
        <w:t>no i primarna vizija okupljanja uz zadržavanje dotičnih osebujnosti. U mistici, izražajnoj for</w:t>
        <w:softHyphen/>
        <w:t>mi islama koja je dugo vremena imala pre</w:t>
        <w:softHyphen/>
        <w:t>vlast, snažnu je crtu predstavljao zahtjev za ujedinjenjem i svjetskom zajedništvu vjernika svih religija. Dakle, dok Židovi i kršćani prave jasnu razliku između dijaloga i sinkretičkoga stapanja, upravo su muslimani izloženi snažno</w:t>
        <w:softHyphen/>
        <w:t>me iskušenju da dopuste širenje dijaloga sve do iščeznuća islama u jedinstvenoj religiji. Za</w:t>
        <w:softHyphen/>
        <w:t xml:space="preserve">cijelo, militantni pokreti integralnog islama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snažno se protive tomu, no njima nepozna- vatelji prilika često pripisuju više značenja ne</w:t>
        <w:softHyphen/>
        <w:t>go što im pripada. Između krajnosti semitco- kratskih pokreta, s jedne, i antinominalističkc mistike, s druge strane, postoji široko polje napetosti, a mnoštvo je muslimana vjerno ide</w:t>
        <w:softHyphen/>
        <w:t>alu jedne svjetske religije u jednom ili drugom obliku. Pritom prvenstveno pitanje uopće ni</w:t>
        <w:softHyphen/>
        <w:t>je, je li prozelitizam pretpostavljen ili se treba postići uvažavanjem različitih postojećih reli</w:t>
        <w:softHyphen/>
        <w:t>gija. Suvremeni razvoj u smjeru stvaranja no</w:t>
        <w:softHyphen/>
        <w:t>voga, univerzalnog društva, samo može osnaži</w:t>
        <w:softHyphen/>
        <w:t>ti taj stari san. Muslimanu je stalo ne samo do toga da se religiozna dimenzija dadne posvu</w:t>
        <w:softHyphen/>
        <w:t>da vidljivim gospodarskim, političkim i kultur</w:t>
        <w:softHyphen/>
        <w:t>nim nastojanjima oko ujedinjenja. Religija je za njega inicijator toga svjetskog jedinstva. Nastojanje oko održanja viših vrijednosti za pristaše islama predstavlja glavnu pogonsku snagu ekumenskoga napretka. Tradicionalna predodžba o muslimanskoj vjerskoj zajednici kao o modelu za konačno ujedinjenje cjelo</w:t>
        <w:softHyphen/>
        <w:t>kupnoga čovječanstva čini muslimanima poželj</w:t>
        <w:softHyphen/>
        <w:t>nim promicanje međureligijskoga dijaloga u okviru općega ekumenskog pokreta koji je postao fenomenom sadašnjice. Medureligijski d., čak i kada se vodi s izričitim odricanjem od pokušaja obraćenja, ne može stoga dovesti za muslimana do gubitka fascinacijc koju na nje</w:t>
        <w:softHyphen/>
        <w:t>ga vrši misao o »ujedinjavanju«. Dakle, teš</w:t>
        <w:softHyphen/>
        <w:t>koća leži manje na području uklanjanja pred</w:t>
        <w:softHyphen/>
        <w:t>rasuda i spremnosti upoznavanja drugoga a više u potvrđivanju religijskoga pluraliteta.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Radi se dakle o prevladavanju historijskih promašaja u međusobnom odnosu religija i o tome da se još jednom počne iznova. Za mus</w:t>
        <w:softHyphen/>
        <w:t>limane to znači da oni posežu za najranijom fazom navještaja, za razdobljem nastanka nji</w:t>
        <w:softHyphen/>
        <w:t>hove zajednice u Meki i za počecima u Me</w:t>
        <w:softHyphen/>
        <w:t>dini. Oni bi to činili u nadi da će ovaj put naći na drugoj strani sugovornika kojega tada nisu mogli naći u Medini. Pozivajući se na Abraha- movo [Ibrahimovo] naslijeđe židovstvo, krš</w:t>
        <w:softHyphen/>
        <w:t>ćanstvo i islam mogli bi opet važiti kao tri vi</w:t>
        <w:softHyphen/>
        <w:t>zije jednake istine, jedne istine koja je u tim trima religijama izložena opasnosti rasipanja ako se ne bi uvijek iznova promicala u mir</w:t>
        <w:softHyphen/>
        <w:t>nome dijalogu. Kao što je izvorno predviđeno u Kuranu, svatko se za sebe treba brinuti za to da upravo on ne zaniječe tu istinu i zato nema ničega korisnijeg od razgovora. Muslimanska odluka za prvu od ove dvije alternative ovisi</w:t>
      </w:r>
    </w:p>
    <w:p>
      <w:pPr>
        <w:pStyle w:val="Style20"/>
        <w:keepNext w:val="0"/>
        <w:keepLines w:val="0"/>
        <w:widowControl w:val="0"/>
        <w:shd w:val="clear" w:color="auto" w:fill="auto"/>
        <w:tabs>
          <w:tab w:pos="2458" w:val="left"/>
        </w:tabs>
        <w:bidi w:val="0"/>
        <w:spacing w:before="0" w:after="340" w:line="257" w:lineRule="auto"/>
        <w:ind w:left="0" w:right="0" w:firstLine="0"/>
        <w:jc w:val="both"/>
        <w:rPr>
          <w:sz w:val="10"/>
          <w:szCs w:val="10"/>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ne naposljetku o stavu sugovornika. Utoliko treba pozdraviti Što danas kršćani usmjeruju medureligijski d. prema islamu. Izvjesne ten</w:t>
        <w:softHyphen/>
        <w:t>dencije islamskoga modernizma koje su pod utjecajem teorije evolucije po sebi se protive tom razvoju; jer one promatraju islam ne sa</w:t>
        <w:softHyphen/>
        <w:t>mo kao istinu koja je kod svih prvobitno pri</w:t>
        <w:softHyphen/>
        <w:t>sutna barem u jezgri, nego u Muhamedovu navještaju vide najsavršeniji sustav za obli</w:t>
        <w:softHyphen/>
        <w:t>kovanje našega života. Budući daje islam naj</w:t>
        <w:softHyphen/>
        <w:t>viši i zadnji stupanj na ljestvici razvoja religija, on je po ovim tumačenjima nadmoćan u od</w:t>
        <w:softHyphen/>
        <w:t>nosu na druge religije. Medureligijski d. mo</w:t>
        <w:softHyphen/>
        <w:t>gao bi sada svakako dovesti do promišljanja o božanskoj mudrosti koja se višekratno spomi</w:t>
        <w:softHyphen/>
        <w:t xml:space="preserve">nje u Kuranu i po kojoj je mnoštvo religija blagoslov za ljude, pod pretpostavkom da se svatko drži svoje objave i pokušava dobrim primjerom pružiti najbolje svjedočanstvo za </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tO.</w:t>
        <w:tab/>
        <w:t>D.K11A1.IĐ</w:t>
      </w: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DIJASPORA</w:t>
      </w:r>
    </w:p>
    <w:p>
      <w:pPr>
        <w:pStyle w:val="Style63"/>
        <w:keepNext/>
        <w:keepLines/>
        <w:widowControl w:val="0"/>
        <w:numPr>
          <w:ilvl w:val="0"/>
          <w:numId w:val="91"/>
        </w:numPr>
        <w:shd w:val="clear" w:color="auto" w:fill="auto"/>
        <w:tabs>
          <w:tab w:pos="250" w:val="left"/>
        </w:tabs>
        <w:bidi w:val="0"/>
        <w:spacing w:before="0"/>
        <w:ind w:left="0" w:right="0" w:firstLine="0"/>
        <w:jc w:val="both"/>
      </w:pPr>
      <w:bookmarkStart w:id="68" w:name="bookmark68"/>
      <w:r>
        <w:rPr>
          <w:rFonts w:ascii="Times New Roman" w:eastAsia="Times New Roman" w:hAnsi="Times New Roman" w:cs="Times New Roman"/>
          <w:color w:val="000000"/>
          <w:spacing w:val="0"/>
          <w:w w:val="100"/>
          <w:position w:val="0"/>
          <w:shd w:val="clear" w:color="auto" w:fill="auto"/>
          <w:lang w:val="hr-HR" w:eastAsia="hr-HR" w:bidi="hr-HR"/>
        </w:rPr>
        <w:t>židovski</w:t>
      </w:r>
      <w:bookmarkEnd w:id="68"/>
    </w:p>
    <w:p>
      <w:pPr>
        <w:pStyle w:val="Style20"/>
        <w:keepNext w:val="0"/>
        <w:keepLines w:val="0"/>
        <w:widowControl w:val="0"/>
        <w:numPr>
          <w:ilvl w:val="0"/>
          <w:numId w:val="93"/>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Egzil moramo promatrati kao realnost koja trajno obilježava židovsku povijest i židovski život. Budući da Izrael i njegova zemlja čine tako reći tjelesno-duševnu cjelinu (Iz 62,4), u židovskom je narodu u višestoljetnoj dijaspori rastao osjećaj da je otrgnut od svojega tijela i nada da će to stanje jednoga dana završiti no</w:t>
        <w:softHyphen/>
        <w:t xml:space="preserve">vim združivanjem i povratkom. Još danas oni nalaze vidljiv izraz u opeci koja nedostaje i koja označava nedovršenost židovske kuće u egzilu i time nepotpunu ezgistenciju njezinih stanovnika, u praznome mjestu na polici za knjige koje će se popuniti tek kad se podigne biblioteka u Jeruzalemu, u razbijanju kristalne čaše na svadbi u znak tuge zbog Jeruzalema (b Berahot 31a) i na pergamentu ili papiru, odnosno pločici na zidu napisana riječ: </w:t>
      </w:r>
      <w:r>
        <w:rPr>
          <w:rFonts w:ascii="Times New Roman" w:eastAsia="Times New Roman" w:hAnsi="Times New Roman" w:cs="Times New Roman"/>
          <w:i/>
          <w:iCs/>
          <w:color w:val="000000"/>
          <w:spacing w:val="0"/>
          <w:w w:val="100"/>
          <w:position w:val="0"/>
          <w:shd w:val="clear" w:color="auto" w:fill="auto"/>
          <w:lang w:val="hr-HR" w:eastAsia="hr-HR" w:bidi="hr-HR"/>
        </w:rPr>
        <w:t>miz- rah,</w:t>
      </w:r>
      <w:r>
        <w:rPr>
          <w:rFonts w:ascii="Times New Roman" w:eastAsia="Times New Roman" w:hAnsi="Times New Roman" w:cs="Times New Roman"/>
          <w:color w:val="000000"/>
          <w:spacing w:val="0"/>
          <w:w w:val="100"/>
          <w:position w:val="0"/>
          <w:shd w:val="clear" w:color="auto" w:fill="auto"/>
          <w:lang w:val="hr-HR" w:eastAsia="hr-HR" w:bidi="hr-HR"/>
        </w:rPr>
        <w:t xml:space="preserve"> »istok« (za Židove na zapadu), odnosno </w:t>
      </w:r>
      <w:r>
        <w:rPr>
          <w:rFonts w:ascii="Times New Roman" w:eastAsia="Times New Roman" w:hAnsi="Times New Roman" w:cs="Times New Roman"/>
          <w:i/>
          <w:iCs/>
          <w:color w:val="000000"/>
          <w:spacing w:val="0"/>
          <w:w w:val="100"/>
          <w:position w:val="0"/>
          <w:shd w:val="clear" w:color="auto" w:fill="auto"/>
          <w:lang w:val="hr-HR" w:eastAsia="hr-HR" w:bidi="hr-HR"/>
        </w:rPr>
        <w:t>mašarab,</w:t>
      </w:r>
      <w:r>
        <w:rPr>
          <w:rFonts w:ascii="Times New Roman" w:eastAsia="Times New Roman" w:hAnsi="Times New Roman" w:cs="Times New Roman"/>
          <w:color w:val="000000"/>
          <w:spacing w:val="0"/>
          <w:w w:val="100"/>
          <w:position w:val="0"/>
          <w:shd w:val="clear" w:color="auto" w:fill="auto"/>
          <w:lang w:val="hr-HR" w:eastAsia="hr-HR" w:bidi="hr-HR"/>
        </w:rPr>
        <w:t xml:space="preserve"> »zapad« (za istočnu dijasporu), koja pokazuje pravac prema Jeruzalemu za kućnu molitvu. Liturgija u svakom ponavljanju učvrš</w:t>
        <w:softHyphen/>
        <w:t>ćuje vezu dijaspore i Erec Jisraela, u svako</w:t>
        <w:softHyphen/>
        <w:t>dnevnoj glavnoj molitvi, kao npr. 9. dana mje</w:t>
        <w:softHyphen/>
        <w:t xml:space="preserve">seca </w:t>
      </w:r>
      <w:r>
        <w:rPr>
          <w:rFonts w:ascii="Times New Roman" w:eastAsia="Times New Roman" w:hAnsi="Times New Roman" w:cs="Times New Roman"/>
          <w:i/>
          <w:iCs/>
          <w:color w:val="000000"/>
          <w:spacing w:val="0"/>
          <w:w w:val="100"/>
          <w:position w:val="0"/>
          <w:shd w:val="clear" w:color="auto" w:fill="auto"/>
          <w:lang w:val="hr-HR" w:eastAsia="hr-HR" w:bidi="hr-HR"/>
        </w:rPr>
        <w:t>ava</w:t>
      </w:r>
      <w:r>
        <w:rPr>
          <w:rFonts w:ascii="Times New Roman" w:eastAsia="Times New Roman" w:hAnsi="Times New Roman" w:cs="Times New Roman"/>
          <w:color w:val="000000"/>
          <w:spacing w:val="0"/>
          <w:w w:val="100"/>
          <w:position w:val="0"/>
          <w:shd w:val="clear" w:color="auto" w:fill="auto"/>
          <w:lang w:val="hr-HR" w:eastAsia="hr-HR" w:bidi="hr-HR"/>
        </w:rPr>
        <w:t xml:space="preserve"> (hebr. </w:t>
      </w:r>
      <w:r>
        <w:rPr>
          <w:rFonts w:ascii="Times New Roman" w:eastAsia="Times New Roman" w:hAnsi="Times New Roman" w:cs="Times New Roman"/>
          <w:i/>
          <w:iCs/>
          <w:color w:val="000000"/>
          <w:spacing w:val="0"/>
          <w:w w:val="100"/>
          <w:position w:val="0"/>
          <w:shd w:val="clear" w:color="auto" w:fill="auto"/>
          <w:lang w:val="hr-HR" w:eastAsia="hr-HR" w:bidi="hr-HR"/>
        </w:rPr>
        <w:t>av),</w:t>
      </w:r>
      <w:r>
        <w:rPr>
          <w:rFonts w:ascii="Times New Roman" w:eastAsia="Times New Roman" w:hAnsi="Times New Roman" w:cs="Times New Roman"/>
          <w:color w:val="000000"/>
          <w:spacing w:val="0"/>
          <w:w w:val="100"/>
          <w:position w:val="0"/>
          <w:shd w:val="clear" w:color="auto" w:fill="auto"/>
          <w:lang w:val="hr-HR" w:eastAsia="hr-HR" w:bidi="hr-HR"/>
        </w:rPr>
        <w:t xml:space="preserve"> kada je nacionalni dan posta i žalosti u spomen na Jeruzalem i Hram koje su razorili Nabukodonozor 586. pr. Kr. i Tit 70. pos. Kr., te na svršetak Bar Kohbina </w:t>
      </w:r>
      <w:r>
        <w:rPr>
          <w:rFonts w:ascii="Times New Roman" w:eastAsia="Times New Roman" w:hAnsi="Times New Roman" w:cs="Times New Roman"/>
          <w:color w:val="000000"/>
          <w:spacing w:val="0"/>
          <w:w w:val="100"/>
          <w:position w:val="0"/>
          <w:shd w:val="clear" w:color="auto" w:fill="auto"/>
          <w:lang w:val="hr-HR" w:eastAsia="hr-HR" w:bidi="hr-HR"/>
        </w:rPr>
        <w:t xml:space="preserve">ustanka 135. pos. Kr.; bogoslužje u sinagogi ističe </w:t>
      </w:r>
      <w:r>
        <w:rPr>
          <w:rFonts w:ascii="Times New Roman" w:eastAsia="Times New Roman" w:hAnsi="Times New Roman" w:cs="Times New Roman"/>
          <w:i/>
          <w:iCs/>
          <w:color w:val="000000"/>
          <w:spacing w:val="0"/>
          <w:w w:val="100"/>
          <w:position w:val="0"/>
          <w:shd w:val="clear" w:color="auto" w:fill="auto"/>
          <w:lang w:val="hr-HR" w:eastAsia="hr-HR" w:bidi="hr-HR"/>
        </w:rPr>
        <w:t xml:space="preserve">tišu </w:t>
      </w:r>
      <w:r>
        <w:rPr>
          <w:rFonts w:ascii="Times New Roman" w:eastAsia="Times New Roman" w:hAnsi="Times New Roman" w:cs="Times New Roman"/>
          <w:i/>
          <w:iCs/>
          <w:color w:val="000000"/>
          <w:spacing w:val="0"/>
          <w:w w:val="100"/>
          <w:position w:val="0"/>
          <w:shd w:val="clear" w:color="auto" w:fill="auto"/>
          <w:lang w:val="en-US" w:eastAsia="en-US" w:bidi="en-US"/>
        </w:rPr>
        <w:t>beat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(9. av) recitacijom žalopojki i pokorničkih psalama te čitanjem tužaljki (hebr. </w:t>
      </w:r>
      <w:r>
        <w:rPr>
          <w:rFonts w:ascii="Times New Roman" w:eastAsia="Times New Roman" w:hAnsi="Times New Roman" w:cs="Times New Roman"/>
          <w:i/>
          <w:iCs/>
          <w:color w:val="000000"/>
          <w:spacing w:val="0"/>
          <w:w w:val="100"/>
          <w:position w:val="0"/>
          <w:shd w:val="clear" w:color="auto" w:fill="auto"/>
          <w:lang w:val="hr-HR" w:eastAsia="hr-HR" w:bidi="hr-HR"/>
        </w:rPr>
        <w:t>ejhah:</w:t>
      </w:r>
      <w:r>
        <w:rPr>
          <w:rFonts w:ascii="Times New Roman" w:eastAsia="Times New Roman" w:hAnsi="Times New Roman" w:cs="Times New Roman"/>
          <w:color w:val="000000"/>
          <w:spacing w:val="0"/>
          <w:w w:val="100"/>
          <w:position w:val="0"/>
          <w:shd w:val="clear" w:color="auto" w:fill="auto"/>
          <w:lang w:val="hr-HR" w:eastAsia="hr-HR" w:bidi="hr-HR"/>
        </w:rPr>
        <w:t xml:space="preserve"> jao, joj) iz trećega dijela biblijskoga ka</w:t>
        <w:softHyphen/>
        <w:t>nona.</w:t>
      </w:r>
    </w:p>
    <w:p>
      <w:pPr>
        <w:pStyle w:val="Style20"/>
        <w:keepNext w:val="0"/>
        <w:keepLines w:val="0"/>
        <w:widowControl w:val="0"/>
        <w:numPr>
          <w:ilvl w:val="0"/>
          <w:numId w:val="93"/>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Raseljenost Židova među druge narode imalo je različite uzroke. Prirodne katastrofe poput sušnih razdoblja, ali i trgovački promet, koji je vodio iz Egipta u Siriju i Mezopotamiju kroz Erec Jisrael, vjerojatno su bili povodom za iseljavanja i naseljavanja u Egiptu i Siriji. U zatvorene skupine, koje su u neobabilonsko i perzijsko doba živjele daleko od Erec Jisraela, ubrajala se »židovska vojna kolonija« zabi</w:t>
        <w:softHyphen/>
        <w:t xml:space="preserve">lježena zahvaljujući papirusu iz Elefantine (K. </w:t>
      </w:r>
      <w:r>
        <w:rPr>
          <w:rFonts w:ascii="Times New Roman" w:eastAsia="Times New Roman" w:hAnsi="Times New Roman" w:cs="Times New Roman"/>
          <w:color w:val="000000"/>
          <w:spacing w:val="0"/>
          <w:w w:val="100"/>
          <w:position w:val="0"/>
          <w:shd w:val="clear" w:color="auto" w:fill="auto"/>
          <w:lang w:val="en-US" w:eastAsia="en-US" w:bidi="en-US"/>
        </w:rPr>
        <w:t xml:space="preserve">Galling </w:t>
      </w:r>
      <w:r>
        <w:rPr>
          <w:rFonts w:ascii="Times New Roman" w:eastAsia="Times New Roman" w:hAnsi="Times New Roman" w:cs="Times New Roman"/>
          <w:color w:val="000000"/>
          <w:spacing w:val="0"/>
          <w:w w:val="100"/>
          <w:position w:val="0"/>
          <w:shd w:val="clear" w:color="auto" w:fill="auto"/>
          <w:lang w:val="hr-HR" w:eastAsia="hr-HR" w:bidi="hr-HR"/>
        </w:rPr>
        <w:t xml:space="preserve">/izd./,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Textbuch </w:t>
      </w:r>
      <w:r>
        <w:rPr>
          <w:rFonts w:ascii="Times New Roman" w:eastAsia="Times New Roman" w:hAnsi="Times New Roman" w:cs="Times New Roman"/>
          <w:i/>
          <w:iCs/>
          <w:color w:val="000000"/>
          <w:spacing w:val="0"/>
          <w:w w:val="100"/>
          <w:position w:val="0"/>
          <w:shd w:val="clear" w:color="auto" w:fill="auto"/>
          <w:lang w:val="hr-HR" w:eastAsia="hr-HR" w:bidi="hr-HR"/>
        </w:rPr>
        <w:t xml:space="preserve">zur </w:t>
      </w:r>
      <w:r>
        <w:rPr>
          <w:rFonts w:ascii="Times New Roman" w:eastAsia="Times New Roman" w:hAnsi="Times New Roman" w:cs="Times New Roman"/>
          <w:i/>
          <w:iCs/>
          <w:color w:val="000000"/>
          <w:spacing w:val="0"/>
          <w:w w:val="100"/>
          <w:position w:val="0"/>
          <w:shd w:val="clear" w:color="auto" w:fill="auto"/>
          <w:lang w:val="en-US" w:eastAsia="en-US" w:bidi="en-US"/>
        </w:rPr>
        <w:t xml:space="preserve">Geschichte Israel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1968, 84-88). Kako bi organizirali granične trupe radi čuvanja južne granice Egipta, fara</w:t>
        <w:softHyphen/>
        <w:t>oni su na taj nilski otok (nasuprot gradu Asu- anu) naselili Izraelce s njihovim obiteljima i uzdržavali ih. Pošto je Kir osvojio Babilonsko Carstvo (539. pr. Kr.) i prognanicima dopus</w:t>
        <w:softHyphen/>
        <w:t>tio da se vrate kući iz Babilona (Ezr 1 i d.; 7,11 i d.; 2 Ljet 36,22 i d.), u Babilonu su dragovolj</w:t>
        <w:softHyphen/>
        <w:t>no ostali potomci deportiranih Judcjaca, jer su se ondje rodili i odrasli; no ta je d. 515. pr. Kr. priznala ponovno sagrađeni hram u Jeru</w:t>
        <w:softHyphen/>
        <w:t>zalemu kao svoje duhovno središte. Za vri</w:t>
        <w:softHyphen/>
        <w:t>jeme helenističke epohe razvijeni gradovi po</w:t>
        <w:softHyphen/>
        <w:t>put Antiohije i Alcksandrijc privlačili su Ži</w:t>
        <w:softHyphen/>
        <w:t>dove. Unutarnjopolitički procesi, građanski ratovi i međužidovski socijalni i politički obra</w:t>
        <w:softHyphen/>
        <w:t>čuni u Erec Jisraelu naveli su druge na emi</w:t>
        <w:softHyphen/>
        <w:t xml:space="preserve">graciju (Josip Flavijc, </w:t>
      </w:r>
      <w:r>
        <w:rPr>
          <w:rFonts w:ascii="Times New Roman" w:eastAsia="Times New Roman" w:hAnsi="Times New Roman" w:cs="Times New Roman"/>
          <w:i/>
          <w:iCs/>
          <w:color w:val="000000"/>
          <w:spacing w:val="0"/>
          <w:w w:val="100"/>
          <w:position w:val="0"/>
          <w:shd w:val="clear" w:color="auto" w:fill="auto"/>
          <w:lang w:val="hr-HR" w:eastAsia="hr-HR" w:bidi="hr-HR"/>
        </w:rPr>
        <w:t>Antujuitates</w:t>
      </w:r>
      <w:r>
        <w:rPr>
          <w:rFonts w:ascii="Times New Roman" w:eastAsia="Times New Roman" w:hAnsi="Times New Roman" w:cs="Times New Roman"/>
          <w:color w:val="000000"/>
          <w:spacing w:val="0"/>
          <w:w w:val="100"/>
          <w:position w:val="0"/>
          <w:shd w:val="clear" w:color="auto" w:fill="auto"/>
          <w:lang w:val="hr-HR" w:eastAsia="hr-HR" w:bidi="hr-HR"/>
        </w:rPr>
        <w:t xml:space="preserve"> XIII, 12 i d.; Filon,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Flaccum</w:t>
      </w:r>
      <w:r>
        <w:rPr>
          <w:rFonts w:ascii="Times New Roman" w:eastAsia="Times New Roman" w:hAnsi="Times New Roman" w:cs="Times New Roman"/>
          <w:color w:val="000000"/>
          <w:spacing w:val="0"/>
          <w:w w:val="100"/>
          <w:position w:val="0"/>
          <w:shd w:val="clear" w:color="auto" w:fill="auto"/>
          <w:lang w:val="hr-HR" w:eastAsia="hr-HR" w:bidi="hr-HR"/>
        </w:rPr>
        <w:t xml:space="preserve"> § 45; isti autor, </w:t>
      </w:r>
      <w:r>
        <w:rPr>
          <w:rFonts w:ascii="Times New Roman" w:eastAsia="Times New Roman" w:hAnsi="Times New Roman" w:cs="Times New Roman"/>
          <w:i/>
          <w:iCs/>
          <w:color w:val="000000"/>
          <w:spacing w:val="0"/>
          <w:w w:val="100"/>
          <w:position w:val="0"/>
          <w:shd w:val="clear" w:color="auto" w:fill="auto"/>
          <w:lang w:val="hr-HR" w:eastAsia="hr-HR" w:bidi="hr-HR"/>
        </w:rPr>
        <w:t>De Lega- tione ad Gaium</w:t>
      </w:r>
      <w:r>
        <w:rPr>
          <w:rFonts w:ascii="Times New Roman" w:eastAsia="Times New Roman" w:hAnsi="Times New Roman" w:cs="Times New Roman"/>
          <w:color w:val="000000"/>
          <w:spacing w:val="0"/>
          <w:w w:val="100"/>
          <w:position w:val="0"/>
          <w:shd w:val="clear" w:color="auto" w:fill="auto"/>
          <w:lang w:val="hr-HR" w:eastAsia="hr-HR" w:bidi="hr-HR"/>
        </w:rPr>
        <w:t xml:space="preserve"> § 281 i d.). Premda je broj Židova u Erec Jisraelu bio veći od onih rase</w:t>
        <w:softHyphen/>
        <w:t>ljenih u susjednoj ili dalekoj zemlji, ipak se či</w:t>
        <w:softHyphen/>
        <w:t>ni da jc ukupni broj Židova u dijaspori u doba drugoga Hrama premašio broj onih koji su ži</w:t>
        <w:softHyphen/>
        <w:t xml:space="preserve">vjeli u domovini (M. </w:t>
      </w:r>
      <w:r>
        <w:rPr>
          <w:rFonts w:ascii="Times New Roman" w:eastAsia="Times New Roman" w:hAnsi="Times New Roman" w:cs="Times New Roman"/>
          <w:color w:val="000000"/>
          <w:spacing w:val="0"/>
          <w:w w:val="100"/>
          <w:position w:val="0"/>
          <w:shd w:val="clear" w:color="auto" w:fill="auto"/>
          <w:lang w:val="en-US" w:eastAsia="en-US" w:bidi="en-US"/>
        </w:rPr>
        <w:t>Stem, The Jewish Diaspo</w:t>
        <w:softHyphen/>
        <w:t xml:space="preserve">ra, u: Sh. SafraVM. Stern (izd.), </w:t>
      </w:r>
      <w:r>
        <w:rPr>
          <w:rFonts w:ascii="Times New Roman" w:eastAsia="Times New Roman" w:hAnsi="Times New Roman" w:cs="Times New Roman"/>
          <w:i/>
          <w:iCs/>
          <w:color w:val="000000"/>
          <w:spacing w:val="0"/>
          <w:w w:val="100"/>
          <w:position w:val="0"/>
          <w:shd w:val="clear" w:color="auto" w:fill="auto"/>
          <w:lang w:val="en-US" w:eastAsia="en-US" w:bidi="en-US"/>
        </w:rPr>
        <w:t>The Jewish People in the First Century II,</w:t>
      </w:r>
      <w:r>
        <w:rPr>
          <w:rFonts w:ascii="Times New Roman" w:eastAsia="Times New Roman" w:hAnsi="Times New Roman" w:cs="Times New Roman"/>
          <w:color w:val="000000"/>
          <w:spacing w:val="0"/>
          <w:w w:val="100"/>
          <w:position w:val="0"/>
          <w:shd w:val="clear" w:color="auto" w:fill="auto"/>
          <w:lang w:val="en-US" w:eastAsia="en-US" w:bidi="en-US"/>
        </w:rPr>
        <w:t xml:space="preserve"> 1976, 117-82, 122). </w:t>
      </w:r>
      <w:r>
        <w:rPr>
          <w:rFonts w:ascii="Times New Roman" w:eastAsia="Times New Roman" w:hAnsi="Times New Roman" w:cs="Times New Roman"/>
          <w:color w:val="000000"/>
          <w:spacing w:val="0"/>
          <w:w w:val="100"/>
          <w:position w:val="0"/>
          <w:shd w:val="clear" w:color="auto" w:fill="auto"/>
          <w:lang w:val="hr-HR" w:eastAsia="hr-HR" w:bidi="hr-HR"/>
        </w:rPr>
        <w:t>U pamćenje židovskoga naroda i u nje</w:t>
        <w:softHyphen/>
        <w:t>govu predaju duboko su sc usjckla ponajprije raseljavanja mnogih zarobljenika u osvajačkim pohodima na zemlju. Na Sjeverno kraljevstvo Efrajim-Samariju, koje je podjelom kraljev</w:t>
        <w:softHyphen/>
        <w:t>stva nakon Salomonove smrti nastalo kao sa</w:t>
        <w:softHyphen/>
        <w:t>mostalna politička jedinica (1 Kr 12), utjecao je presudno asirski imperijalizam deportaci</w:t>
        <w:softHyphen/>
        <w:t>jama i preseljenjima odabranih građana (733.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722. pr. Kr.; 2 Kr 15,29; 17,4 i d.). Iz južnoga kraljevstva Judeje babilonska jc vojska prog</w:t>
        <w:softHyphen/>
        <w:t>nala obrtnike i vojnike u Babilon (598, 595, 586. pr. Kr.; 2 Kr 24,12; 25,11 i d.; Jr 39-41; 52); drugi su pobjegli u Egipat kako bi izmakli nesigurnosti u vlastitoj zemlji koju su osvojili Babilonci (Jr 42-44).</w:t>
      </w:r>
    </w:p>
    <w:p>
      <w:pPr>
        <w:pStyle w:val="Style20"/>
        <w:keepNext w:val="0"/>
        <w:keepLines w:val="0"/>
        <w:widowControl w:val="0"/>
        <w:numPr>
          <w:ilvl w:val="0"/>
          <w:numId w:val="93"/>
        </w:numPr>
        <w:shd w:val="clear" w:color="auto" w:fill="auto"/>
        <w:tabs>
          <w:tab w:pos="25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tradiciju je doba nasilne raseljenosti ži</w:t>
        <w:softHyphen/>
        <w:t>dovskoga naroda u strane zemlje počelo u pu</w:t>
        <w:softHyphen/>
        <w:t>nom smislu s razaranjem drugoga Hrama, premda su se skupine židovskoga stanovništva stalno naseljavale (pretežito u svete gradove Je</w:t>
        <w:softHyphen/>
        <w:t xml:space="preserve">ruzalem, Safct, Tibcrijadu i </w:t>
      </w:r>
      <w:r>
        <w:rPr>
          <w:rFonts w:ascii="Times New Roman" w:eastAsia="Times New Roman" w:hAnsi="Times New Roman" w:cs="Times New Roman"/>
          <w:color w:val="000000"/>
          <w:spacing w:val="0"/>
          <w:w w:val="100"/>
          <w:position w:val="0"/>
          <w:shd w:val="clear" w:color="auto" w:fill="auto"/>
          <w:lang w:val="en-US" w:eastAsia="en-US" w:bidi="en-US"/>
        </w:rPr>
        <w:t xml:space="preserve">Hebron) </w:t>
      </w:r>
      <w:r>
        <w:rPr>
          <w:rFonts w:ascii="Times New Roman" w:eastAsia="Times New Roman" w:hAnsi="Times New Roman" w:cs="Times New Roman"/>
          <w:color w:val="000000"/>
          <w:spacing w:val="0"/>
          <w:w w:val="100"/>
          <w:position w:val="0"/>
          <w:shd w:val="clear" w:color="auto" w:fill="auto"/>
          <w:lang w:val="hr-HR" w:eastAsia="hr-HR" w:bidi="hr-HR"/>
        </w:rPr>
        <w:t>u Erec Jis</w:t>
        <w:softHyphen/>
        <w:t xml:space="preserve">raelu sve do prvih povratnika u drugoj polovini XIX. stoljeća (u novi </w:t>
      </w:r>
      <w:r>
        <w:rPr>
          <w:rFonts w:ascii="Times New Roman" w:eastAsia="Times New Roman" w:hAnsi="Times New Roman" w:cs="Times New Roman"/>
          <w:i/>
          <w:iCs/>
          <w:color w:val="000000"/>
          <w:spacing w:val="0"/>
          <w:w w:val="100"/>
          <w:position w:val="0"/>
          <w:shd w:val="clear" w:color="auto" w:fill="auto"/>
          <w:lang w:val="hr-HR" w:eastAsia="hr-HR" w:bidi="hr-HR"/>
        </w:rPr>
        <w:t>jišuv,</w:t>
      </w:r>
      <w:r>
        <w:rPr>
          <w:rFonts w:ascii="Times New Roman" w:eastAsia="Times New Roman" w:hAnsi="Times New Roman" w:cs="Times New Roman"/>
          <w:color w:val="000000"/>
          <w:spacing w:val="0"/>
          <w:w w:val="100"/>
          <w:position w:val="0"/>
          <w:shd w:val="clear" w:color="auto" w:fill="auto"/>
          <w:lang w:val="hr-HR" w:eastAsia="hr-HR" w:bidi="hr-HR"/>
        </w:rPr>
        <w:t xml:space="preserve"> »naselje«, za razliku od staroga). Poziv na </w:t>
      </w:r>
      <w:r>
        <w:rPr>
          <w:rFonts w:ascii="Times New Roman" w:eastAsia="Times New Roman" w:hAnsi="Times New Roman" w:cs="Times New Roman"/>
          <w:i/>
          <w:iCs/>
          <w:color w:val="000000"/>
          <w:spacing w:val="0"/>
          <w:w w:val="100"/>
          <w:position w:val="0"/>
          <w:shd w:val="clear" w:color="auto" w:fill="auto"/>
          <w:lang w:val="en-US" w:eastAsia="en-US" w:bidi="en-US"/>
        </w:rPr>
        <w:t>Seder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večeri (prije blag</w:t>
        <w:softHyphen/>
        <w:t xml:space="preserve">dana </w:t>
      </w:r>
      <w:r>
        <w:rPr>
          <w:rFonts w:ascii="Times New Roman" w:eastAsia="Times New Roman" w:hAnsi="Times New Roman" w:cs="Times New Roman"/>
          <w:i/>
          <w:iCs/>
          <w:color w:val="000000"/>
          <w:spacing w:val="0"/>
          <w:w w:val="100"/>
          <w:position w:val="0"/>
          <w:shd w:val="clear" w:color="auto" w:fill="auto"/>
          <w:lang w:val="hr-HR" w:eastAsia="hr-HR" w:bidi="hr-HR"/>
        </w:rPr>
        <w:t>Pesaha):</w:t>
      </w:r>
      <w:r>
        <w:rPr>
          <w:rFonts w:ascii="Times New Roman" w:eastAsia="Times New Roman" w:hAnsi="Times New Roman" w:cs="Times New Roman"/>
          <w:color w:val="000000"/>
          <w:spacing w:val="0"/>
          <w:w w:val="100"/>
          <w:position w:val="0"/>
          <w:shd w:val="clear" w:color="auto" w:fill="auto"/>
          <w:lang w:val="hr-HR" w:eastAsia="hr-HR" w:bidi="hr-HR"/>
        </w:rPr>
        <w:t xml:space="preserve"> »Dogodine u Jeruzalemu!« </w:t>
      </w:r>
      <w:r>
        <w:rPr>
          <w:rFonts w:ascii="Times New Roman" w:eastAsia="Times New Roman" w:hAnsi="Times New Roman" w:cs="Times New Roman"/>
          <w:i/>
          <w:iCs/>
          <w:color w:val="000000"/>
          <w:spacing w:val="0"/>
          <w:w w:val="100"/>
          <w:position w:val="0"/>
          <w:shd w:val="clear" w:color="auto" w:fill="auto"/>
          <w:lang w:val="hr-HR" w:eastAsia="hr-HR" w:bidi="hr-HR"/>
        </w:rPr>
        <w:t>(Tesa</w:t>
        <w:softHyphen/>
        <w:t>na lia-ba'a be-Jirušalajim)</w:t>
      </w:r>
      <w:r>
        <w:rPr>
          <w:rFonts w:ascii="Times New Roman" w:eastAsia="Times New Roman" w:hAnsi="Times New Roman" w:cs="Times New Roman"/>
          <w:color w:val="000000"/>
          <w:spacing w:val="0"/>
          <w:w w:val="100"/>
          <w:position w:val="0"/>
          <w:shd w:val="clear" w:color="auto" w:fill="auto"/>
          <w:lang w:val="hr-HR" w:eastAsia="hr-HR" w:bidi="hr-HR"/>
        </w:rPr>
        <w:t xml:space="preserve"> bio je apatridski krik Židova tijekom mnogih stoljeća </w:t>
      </w:r>
      <w:r>
        <w:rPr>
          <w:rFonts w:ascii="Times New Roman" w:eastAsia="Times New Roman" w:hAnsi="Times New Roman" w:cs="Times New Roman"/>
          <w:i/>
          <w:iCs/>
          <w:color w:val="000000"/>
          <w:spacing w:val="0"/>
          <w:w w:val="100"/>
          <w:position w:val="0"/>
          <w:shd w:val="clear" w:color="auto" w:fill="auto"/>
          <w:lang w:val="hr-HR" w:eastAsia="hr-HR" w:bidi="hr-HR"/>
        </w:rPr>
        <w:t>(Hagada šel Pe- sah,</w:t>
      </w:r>
      <w:r>
        <w:rPr>
          <w:rFonts w:ascii="Times New Roman" w:eastAsia="Times New Roman" w:hAnsi="Times New Roman" w:cs="Times New Roman"/>
          <w:color w:val="000000"/>
          <w:spacing w:val="0"/>
          <w:w w:val="100"/>
          <w:position w:val="0"/>
          <w:shd w:val="clear" w:color="auto" w:fill="auto"/>
          <w:lang w:val="hr-HR" w:eastAsia="hr-HR" w:bidi="hr-HR"/>
        </w:rPr>
        <w:t xml:space="preserve"> s objašnjenjima M. I-ehmanna, 1962, 195).</w:t>
      </w:r>
    </w:p>
    <w:p>
      <w:pPr>
        <w:pStyle w:val="Style20"/>
        <w:keepNext w:val="0"/>
        <w:keepLines w:val="0"/>
        <w:widowControl w:val="0"/>
        <w:numPr>
          <w:ilvl w:val="0"/>
          <w:numId w:val="93"/>
        </w:numPr>
        <w:shd w:val="clear" w:color="auto" w:fill="auto"/>
        <w:tabs>
          <w:tab w:pos="27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tradicijskoj lietaraturi egzil se ne pojav</w:t>
        <w:softHyphen/>
        <w:t>ljuje samo kao političko-sociološko-religijska činjenica: ovdje rabljeni pojmovi - ponajprije »galut« (Iz 1,2; Jr 24,5; M Avot 1,11; »od</w:t>
        <w:softHyphen/>
        <w:t xml:space="preserve">vođenje u izgnanstvo« odnosno »progonstvo«, slično: </w:t>
      </w:r>
      <w:r>
        <w:rPr>
          <w:rFonts w:ascii="Times New Roman" w:eastAsia="Times New Roman" w:hAnsi="Times New Roman" w:cs="Times New Roman"/>
          <w:i/>
          <w:iCs/>
          <w:color w:val="000000"/>
          <w:spacing w:val="0"/>
          <w:w w:val="100"/>
          <w:position w:val="0"/>
          <w:shd w:val="clear" w:color="auto" w:fill="auto"/>
          <w:lang w:val="hr-HR" w:eastAsia="hr-HR" w:bidi="hr-HR"/>
        </w:rPr>
        <w:t>golah</w:t>
      </w:r>
      <w:r>
        <w:rPr>
          <w:rFonts w:ascii="Times New Roman" w:eastAsia="Times New Roman" w:hAnsi="Times New Roman" w:cs="Times New Roman"/>
          <w:color w:val="000000"/>
          <w:spacing w:val="0"/>
          <w:w w:val="100"/>
          <w:position w:val="0"/>
          <w:shd w:val="clear" w:color="auto" w:fill="auto"/>
          <w:lang w:val="hr-HR" w:eastAsia="hr-HR" w:bidi="hr-HR"/>
        </w:rPr>
        <w:t xml:space="preserve"> u Jr 29,16.20;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30b; </w:t>
      </w:r>
      <w:r>
        <w:rPr>
          <w:rFonts w:ascii="Times New Roman" w:eastAsia="Times New Roman" w:hAnsi="Times New Roman" w:cs="Times New Roman"/>
          <w:i/>
          <w:iCs/>
          <w:color w:val="000000"/>
          <w:spacing w:val="0"/>
          <w:w w:val="100"/>
          <w:position w:val="0"/>
          <w:shd w:val="clear" w:color="auto" w:fill="auto"/>
          <w:lang w:val="hr-HR" w:eastAsia="hr-HR" w:bidi="hr-HR"/>
        </w:rPr>
        <w:t>šebi</w:t>
      </w:r>
      <w:r>
        <w:rPr>
          <w:rFonts w:ascii="Times New Roman" w:eastAsia="Times New Roman" w:hAnsi="Times New Roman" w:cs="Times New Roman"/>
          <w:color w:val="000000"/>
          <w:spacing w:val="0"/>
          <w:w w:val="100"/>
          <w:position w:val="0"/>
          <w:shd w:val="clear" w:color="auto" w:fill="auto"/>
          <w:lang w:val="hr-HR" w:eastAsia="hr-HR" w:bidi="hr-HR"/>
        </w:rPr>
        <w:t xml:space="preserve"> Jrl5,2; Br 31,19; Onkclov targum za Izl 12,29; Pnz 21,10) i rabinska riječ za »sužanj- stvo ‘podjarmljenost’« </w:t>
      </w:r>
      <w:r>
        <w:rPr>
          <w:rFonts w:ascii="Times New Roman" w:eastAsia="Times New Roman" w:hAnsi="Times New Roman" w:cs="Times New Roman"/>
          <w:i/>
          <w:iCs/>
          <w:color w:val="000000"/>
          <w:spacing w:val="0"/>
          <w:w w:val="100"/>
          <w:position w:val="0"/>
          <w:shd w:val="clear" w:color="auto" w:fill="auto"/>
          <w:lang w:val="hr-HR" w:eastAsia="hr-HR" w:bidi="hr-HR"/>
        </w:rPr>
        <w:t>(ši’bud,</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12b; 34b) - odražavaju svu bol židovskoga naroda zbog dijasporske nacionalne nesreće, često posebice zbog depresivne sadašnjosti, a time uvijek i židovski identitet s poviješću Božjega naroda, pa i onda kad jadikovanje zbog gu</w:t>
        <w:softHyphen/>
        <w:t>bitka povezanosti sa zemljom i s nadama u rcstituciju Izraela rezonira osjećaju i onih koji su se prilagodili svojoj okolini.</w:t>
      </w:r>
    </w:p>
    <w:p>
      <w:pPr>
        <w:pStyle w:val="Style20"/>
        <w:keepNext w:val="0"/>
        <w:keepLines w:val="0"/>
        <w:widowControl w:val="0"/>
        <w:numPr>
          <w:ilvl w:val="0"/>
          <w:numId w:val="93"/>
        </w:numPr>
        <w:shd w:val="clear" w:color="auto" w:fill="auto"/>
        <w:tabs>
          <w:tab w:pos="274" w:val="left"/>
        </w:tabs>
        <w:bidi w:val="0"/>
        <w:spacing w:before="0" w:after="0"/>
        <w:ind w:left="0" w:right="0" w:firstLine="0"/>
        <w:jc w:val="both"/>
        <w:sectPr>
          <w:headerReference w:type="default" r:id="rId305"/>
          <w:footerReference w:type="default" r:id="rId306"/>
          <w:headerReference w:type="even" r:id="rId307"/>
          <w:footerReference w:type="even" r:id="rId308"/>
          <w:headerReference w:type="first" r:id="rId309"/>
          <w:footerReference w:type="first" r:id="rId310"/>
          <w:footnotePr>
            <w:pos w:val="pageBottom"/>
            <w:numFmt w:val="decimal"/>
            <w:numStart w:val="5"/>
            <w:numRestart w:val="continuous"/>
            <w15:footnoteColumns w:val="1"/>
          </w:footnotePr>
          <w:pgSz w:w="6816" w:h="11006"/>
          <w:pgMar w:top="978" w:left="185" w:right="190" w:bottom="520" w:header="0" w:footer="3" w:gutter="0"/>
          <w:cols w:num="2" w:space="18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Rabini su, obogaćeni iskustvom o progon</w:t>
        <w:softHyphen/>
        <w:t>stvu, oblikovali egzilsku teologiju uzajamne Božje i ljudske tuge. Božje obećanje Mojsiju: »Ja sam koji jesam« (Izl 3,14) protumačili su u smislu obećanja: »Bit ću s vama u ovom (egi</w:t>
        <w:softHyphen/>
        <w:t>patskom) sužanjstvu i bit ću s vama u svim sužanjstvima svijeta« (b Berahot 9b). Bog se povezuje sa sudbinom svojega naroda tako is</w:t>
        <w:softHyphen/>
        <w:t xml:space="preserve">kreno da dijeli s njima patnje i u </w:t>
      </w:r>
      <w:r>
        <w:rPr>
          <w:rFonts w:ascii="Times New Roman" w:eastAsia="Times New Roman" w:hAnsi="Times New Roman" w:cs="Times New Roman"/>
          <w:i/>
          <w:iCs/>
          <w:color w:val="000000"/>
          <w:spacing w:val="0"/>
          <w:w w:val="100"/>
          <w:position w:val="0"/>
          <w:shd w:val="clear" w:color="auto" w:fill="auto"/>
          <w:lang w:val="hr-HR" w:eastAsia="hr-HR" w:bidi="hr-HR"/>
        </w:rPr>
        <w:t>galutu</w:t>
      </w:r>
      <w:r>
        <w:rPr>
          <w:rFonts w:ascii="Times New Roman" w:eastAsia="Times New Roman" w:hAnsi="Times New Roman" w:cs="Times New Roman"/>
          <w:color w:val="000000"/>
          <w:spacing w:val="0"/>
          <w:w w:val="100"/>
          <w:position w:val="0"/>
          <w:shd w:val="clear" w:color="auto" w:fill="auto"/>
          <w:lang w:val="hr-HR" w:eastAsia="hr-HR" w:bidi="hr-HR"/>
        </w:rPr>
        <w:t xml:space="preserve"> (P. </w:t>
      </w:r>
      <w:r>
        <w:rPr>
          <w:rFonts w:ascii="Times New Roman" w:eastAsia="Times New Roman" w:hAnsi="Times New Roman" w:cs="Times New Roman"/>
          <w:color w:val="000000"/>
          <w:spacing w:val="0"/>
          <w:w w:val="100"/>
          <w:position w:val="0"/>
          <w:shd w:val="clear" w:color="auto" w:fill="auto"/>
          <w:lang w:val="en-US" w:eastAsia="en-US" w:bidi="en-US"/>
        </w:rPr>
        <w:t xml:space="preserve">Kuhn, </w:t>
      </w:r>
      <w:r>
        <w:rPr>
          <w:rFonts w:ascii="Times New Roman" w:eastAsia="Times New Roman" w:hAnsi="Times New Roman" w:cs="Times New Roman"/>
          <w:i/>
          <w:iCs/>
          <w:color w:val="000000"/>
          <w:spacing w:val="0"/>
          <w:w w:val="100"/>
          <w:position w:val="0"/>
          <w:shd w:val="clear" w:color="auto" w:fill="auto"/>
          <w:lang w:val="en-US" w:eastAsia="en-US" w:bidi="en-US"/>
        </w:rPr>
        <w:t xml:space="preserve">Gottes Selbslerniedrigung in </w:t>
      </w:r>
      <w:r>
        <w:rPr>
          <w:rFonts w:ascii="Times New Roman" w:eastAsia="Times New Roman" w:hAnsi="Times New Roman" w:cs="Times New Roman"/>
          <w:i/>
          <w:iCs/>
          <w:color w:val="000000"/>
          <w:spacing w:val="0"/>
          <w:w w:val="100"/>
          <w:position w:val="0"/>
          <w:shd w:val="clear" w:color="auto" w:fill="auto"/>
          <w:lang w:val="hr-HR" w:eastAsia="hr-HR" w:bidi="hr-HR"/>
        </w:rPr>
        <w:t>der Theolo- gie der Rabbinen,</w:t>
      </w:r>
      <w:r>
        <w:rPr>
          <w:rFonts w:ascii="Times New Roman" w:eastAsia="Times New Roman" w:hAnsi="Times New Roman" w:cs="Times New Roman"/>
          <w:color w:val="000000"/>
          <w:spacing w:val="0"/>
          <w:w w:val="100"/>
          <w:position w:val="0"/>
          <w:shd w:val="clear" w:color="auto" w:fill="auto"/>
          <w:lang w:val="hr-HR" w:eastAsia="hr-HR" w:bidi="hr-HR"/>
        </w:rPr>
        <w:t xml:space="preserve"> 1968, 82-91). Analogno spu</w:t>
        <w:softHyphen/>
        <w:t xml:space="preserve">tavanju Izraela prigodom njegove deportacije Bog je za vrijeme progonstva svojega naroda svoju »desnicu« (Izraz za njegovu pomoć: Ps 18,36; 63,9; 77,11; 118,15; Iz 41,10) svezao na </w:t>
      </w:r>
    </w:p>
    <w:p>
      <w:pPr>
        <w:pStyle w:val="Style20"/>
        <w:keepNext w:val="0"/>
        <w:keepLines w:val="0"/>
        <w:widowControl w:val="0"/>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leđa (Eha rabati II, 6; Pesikta rabati 144b); kad bi zaboravio Izraelovu bol, morao bi »za</w:t>
        <w:softHyphen/>
        <w:t xml:space="preserve">boraviti vlastitu desnicu«, vlastitu bol (Ps 137,5 propovjednici su povezali s Bogom). Rabinska egzegeza Biblije potvrdila je Izrae- lova Boga Saveza koji sc otuđio od sama sebe i svoju nazočnost postavio na zemlju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(šekina) </w:t>
      </w:r>
      <w:r>
        <w:rPr>
          <w:rFonts w:ascii="Times New Roman" w:eastAsia="Times New Roman" w:hAnsi="Times New Roman" w:cs="Times New Roman"/>
          <w:color w:val="000000"/>
          <w:spacing w:val="0"/>
          <w:w w:val="100"/>
          <w:position w:val="0"/>
          <w:shd w:val="clear" w:color="auto" w:fill="auto"/>
          <w:lang w:val="hr-HR" w:eastAsia="hr-HR" w:bidi="hr-HR"/>
        </w:rPr>
        <w:t xml:space="preserve">te razvila predodžbu </w:t>
      </w:r>
      <w:r>
        <w:rPr>
          <w:rFonts w:ascii="Times New Roman" w:eastAsia="Times New Roman" w:hAnsi="Times New Roman" w:cs="Times New Roman"/>
          <w:color w:val="000000"/>
          <w:spacing w:val="0"/>
          <w:w w:val="100"/>
          <w:position w:val="0"/>
          <w:shd w:val="clear" w:color="auto" w:fill="auto"/>
          <w:lang w:val="en-US" w:eastAsia="en-US" w:bidi="en-US"/>
        </w:rPr>
        <w:t xml:space="preserve">(A. </w:t>
      </w:r>
      <w:r>
        <w:rPr>
          <w:rFonts w:ascii="Times New Roman" w:eastAsia="Times New Roman" w:hAnsi="Times New Roman" w:cs="Times New Roman"/>
          <w:color w:val="000000"/>
          <w:spacing w:val="0"/>
          <w:w w:val="100"/>
          <w:position w:val="0"/>
          <w:shd w:val="clear" w:color="auto" w:fill="auto"/>
          <w:lang w:val="hr-HR" w:eastAsia="hr-HR" w:bidi="hr-HR"/>
        </w:rPr>
        <w:t xml:space="preserve">M. </w:t>
      </w:r>
      <w:r>
        <w:rPr>
          <w:rFonts w:ascii="Times New Roman" w:eastAsia="Times New Roman" w:hAnsi="Times New Roman" w:cs="Times New Roman"/>
          <w:color w:val="000000"/>
          <w:spacing w:val="0"/>
          <w:w w:val="100"/>
          <w:position w:val="0"/>
          <w:shd w:val="clear" w:color="auto" w:fill="auto"/>
          <w:lang w:val="en-US" w:eastAsia="en-US" w:bidi="en-US"/>
        </w:rPr>
        <w:t xml:space="preserve">Goldberg,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Unter-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suchungen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iiber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Vorstellung von der Scheh- kina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friihen rabbinischen Literatur,</w:t>
      </w:r>
      <w:r>
        <w:rPr>
          <w:rFonts w:ascii="Times New Roman" w:eastAsia="Times New Roman" w:hAnsi="Times New Roman" w:cs="Times New Roman"/>
          <w:color w:val="000000"/>
          <w:spacing w:val="0"/>
          <w:w w:val="100"/>
          <w:position w:val="0"/>
          <w:shd w:val="clear" w:color="auto" w:fill="auto"/>
          <w:lang w:val="hr-HR" w:eastAsia="hr-HR" w:bidi="hr-HR"/>
        </w:rPr>
        <w:t xml:space="preserve"> 1969, 160-76, 493-96), da šekina sadašnjosti, dok s Izraelom odlazi u progonstvo, povijesno pati, da ovisi o sudbini Izraelovoj: »Kad god su Izraelci bili zasužnjeni, i šekina tako reći s njima robuje. Naime, to znači: ... ‘U svoj nji</w:t>
        <w:softHyphen/>
        <w:t>hovoj nevolji i on jc u nevolji’ (Iz 63,9; druk</w:t>
        <w:softHyphen/>
        <w:t>čija verzija od one u masoretskom tekstu). Ja mogu iz toga pročitati samo nevolju zajednice (tj. da je i Bog pogođen nevoljom). Odakle znam da se misli i na nevolju pojedinca? Tekst glasi: ... (Ps 91,15; Post 39,20 i d.)... Rabi Aki- va kaže: ... Kamo god Izraelci bijahu progna</w:t>
        <w:softHyphen/>
        <w:t xml:space="preserve">ni, i šekina je bila prognana s njima. Izraelci bijahu izgnani u Egipat, i šekina bje s njima... Izraelci bijahu prognani u Babilon, i šekina bje s njima... Izraelci bijahu prognani u Edom (= Rim), i šekina bje s njima... I kad sc Izraelci jednom vrate, i šekina će se s njima vratiti« (Mehilta za Izl 12,41; usp. b Bcrahot 8a; Megila 29a). Mudraci su, doduše, isticali da je Bog na nebu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na zemlji, s anđelima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lju</w:t>
        <w:softHyphen/>
        <w:t xml:space="preserve">dima (P. </w:t>
      </w:r>
      <w:r>
        <w:rPr>
          <w:rFonts w:ascii="Times New Roman" w:eastAsia="Times New Roman" w:hAnsi="Times New Roman" w:cs="Times New Roman"/>
          <w:color w:val="000000"/>
          <w:spacing w:val="0"/>
          <w:w w:val="100"/>
          <w:position w:val="0"/>
          <w:shd w:val="clear" w:color="auto" w:fill="auto"/>
          <w:lang w:val="en-US" w:eastAsia="en-US" w:bidi="en-US"/>
        </w:rPr>
        <w:t xml:space="preserve">Schafer,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Vorstellung vom Heiligen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Geist in </w:t>
      </w:r>
      <w:r>
        <w:rPr>
          <w:rFonts w:ascii="Times New Roman" w:eastAsia="Times New Roman" w:hAnsi="Times New Roman" w:cs="Times New Roman"/>
          <w:i/>
          <w:iCs/>
          <w:color w:val="000000"/>
          <w:spacing w:val="0"/>
          <w:w w:val="100"/>
          <w:position w:val="0"/>
          <w:shd w:val="clear" w:color="auto" w:fill="auto"/>
          <w:lang w:val="hr-HR" w:eastAsia="hr-HR" w:bidi="hr-HR"/>
        </w:rPr>
        <w:t>der Rabbinischen Literatur,</w:t>
      </w:r>
      <w:r>
        <w:rPr>
          <w:rFonts w:ascii="Times New Roman" w:eastAsia="Times New Roman" w:hAnsi="Times New Roman" w:cs="Times New Roman"/>
          <w:color w:val="000000"/>
          <w:spacing w:val="0"/>
          <w:w w:val="100"/>
          <w:position w:val="0"/>
          <w:shd w:val="clear" w:color="auto" w:fill="auto"/>
          <w:lang w:val="hr-HR" w:eastAsia="hr-HR" w:bidi="hr-HR"/>
        </w:rPr>
        <w:t xml:space="preserve"> 1972); ipak su podržali Boga koji daje prednost lju</w:t>
        <w:softHyphen/>
        <w:t>dima: »To mjesto (Br 7,1) može se (prema fondu suglasnika) pročitati ovako: ‘Bolnog li dana kad Mojsijc završi podizanje Prebiva</w:t>
        <w:softHyphen/>
        <w:t>lišta.’ U to doba nastala je »bol« među anđe</w:t>
        <w:softHyphen/>
        <w:t>lima u službi. Govorili su: ‘Sada udaljava (Bog) svoju šekinu od nas i dopušta da njegova slava počiva dolje kod njegovih sinova. I tada Sveti, neka bude hvaljen, reče njima: Nc usmjera</w:t>
        <w:softHyphen/>
        <w:t>vajte na to pozornost! Moja je šekina uvijek s vama na visini!... Tješio ih je praznom utje</w:t>
        <w:softHyphen/>
        <w:t>hom - ako se tako smije reći. Svakako treba naglasiti: Glavna stvar njegove šekine je dolje na zemlji« (Tanhuma, naso 12, za Br 7,1). U kasnotalmudsko doba iz toga rabinskog shva</w:t>
        <w:softHyphen/>
        <w:t>ćanja Boga antropocentrika razvile su se ezo</w:t>
        <w:softHyphen/>
        <w:t>terične skupine (npr. hekalotski czotcrici, usp.</w:t>
      </w:r>
    </w:p>
    <w:p>
      <w:pPr>
        <w:pStyle w:val="Style20"/>
        <w:keepNext w:val="0"/>
        <w:keepLines w:val="0"/>
        <w:widowControl w:val="0"/>
        <w:numPr>
          <w:ilvl w:val="0"/>
          <w:numId w:val="77"/>
        </w:numPr>
        <w:shd w:val="clear" w:color="auto" w:fill="auto"/>
        <w:tabs>
          <w:tab w:pos="231"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Maicr, </w:t>
      </w:r>
      <w:r>
        <w:rPr>
          <w:rFonts w:ascii="Times New Roman" w:eastAsia="Times New Roman" w:hAnsi="Times New Roman" w:cs="Times New Roman"/>
          <w:i/>
          <w:iCs/>
          <w:color w:val="000000"/>
          <w:spacing w:val="0"/>
          <w:w w:val="100"/>
          <w:position w:val="0"/>
          <w:shd w:val="clear" w:color="auto" w:fill="auto"/>
          <w:lang w:val="hr-HR" w:eastAsia="hr-HR" w:bidi="hr-HR"/>
        </w:rPr>
        <w:t xml:space="preserve">Ceschichte 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jiidischen Religion, </w:t>
      </w:r>
      <w:r>
        <w:rPr>
          <w:rFonts w:ascii="Times New Roman" w:eastAsia="Times New Roman" w:hAnsi="Times New Roman" w:cs="Times New Roman"/>
          <w:color w:val="000000"/>
          <w:spacing w:val="0"/>
          <w:w w:val="100"/>
          <w:position w:val="0"/>
          <w:shd w:val="clear" w:color="auto" w:fill="auto"/>
          <w:lang w:val="hr-HR" w:eastAsia="hr-HR" w:bidi="hr-HR"/>
        </w:rPr>
        <w:t xml:space="preserve">1972, 307 i d.), mistika </w:t>
      </w:r>
      <w:r>
        <w:rPr>
          <w:rFonts w:ascii="Times New Roman" w:eastAsia="Times New Roman" w:hAnsi="Times New Roman" w:cs="Times New Roman"/>
          <w:i/>
          <w:iCs/>
          <w:color w:val="000000"/>
          <w:spacing w:val="0"/>
          <w:w w:val="100"/>
          <w:position w:val="0"/>
          <w:shd w:val="clear" w:color="auto" w:fill="auto"/>
          <w:lang w:val="hr-HR" w:eastAsia="hr-HR" w:bidi="hr-HR"/>
        </w:rPr>
        <w:t>galuta:</w:t>
      </w:r>
      <w:r>
        <w:rPr>
          <w:rFonts w:ascii="Times New Roman" w:eastAsia="Times New Roman" w:hAnsi="Times New Roman" w:cs="Times New Roman"/>
          <w:color w:val="000000"/>
          <w:spacing w:val="0"/>
          <w:w w:val="100"/>
          <w:position w:val="0"/>
          <w:shd w:val="clear" w:color="auto" w:fill="auto"/>
          <w:lang w:val="hr-HR" w:eastAsia="hr-HR" w:bidi="hr-HR"/>
        </w:rPr>
        <w:t xml:space="preserve"> ona u bogo</w:t>
        <w:softHyphen/>
      </w:r>
      <w:r>
        <w:rPr>
          <w:rFonts w:ascii="Times New Roman" w:eastAsia="Times New Roman" w:hAnsi="Times New Roman" w:cs="Times New Roman"/>
          <w:color w:val="000000"/>
          <w:spacing w:val="0"/>
          <w:w w:val="100"/>
          <w:position w:val="0"/>
          <w:shd w:val="clear" w:color="auto" w:fill="auto"/>
          <w:lang w:val="hr-HR" w:eastAsia="hr-HR" w:bidi="hr-HR"/>
        </w:rPr>
        <w:t>služju očekuje silazak Boga i vjeruje da nje</w:t>
        <w:softHyphen/>
        <w:t xml:space="preserve">gova teofanija ispunja cijelu zemlju i usrećuje ju </w:t>
      </w:r>
      <w:r>
        <w:rPr>
          <w:rFonts w:ascii="Times New Roman" w:eastAsia="Times New Roman" w:hAnsi="Times New Roman" w:cs="Times New Roman"/>
          <w:color w:val="000000"/>
          <w:spacing w:val="0"/>
          <w:w w:val="100"/>
          <w:position w:val="0"/>
          <w:shd w:val="clear" w:color="auto" w:fill="auto"/>
          <w:lang w:val="en-US" w:eastAsia="en-US" w:bidi="en-US"/>
        </w:rPr>
        <w:t xml:space="preserve">(A. </w:t>
      </w:r>
      <w:r>
        <w:rPr>
          <w:rFonts w:ascii="Times New Roman" w:eastAsia="Times New Roman" w:hAnsi="Times New Roman" w:cs="Times New Roman"/>
          <w:color w:val="000000"/>
          <w:spacing w:val="0"/>
          <w:w w:val="100"/>
          <w:position w:val="0"/>
          <w:shd w:val="clear" w:color="auto" w:fill="auto"/>
          <w:lang w:val="hr-HR" w:eastAsia="hr-HR" w:bidi="hr-HR"/>
        </w:rPr>
        <w:t xml:space="preserve">M. </w:t>
      </w:r>
      <w:r>
        <w:rPr>
          <w:rFonts w:ascii="Times New Roman" w:eastAsia="Times New Roman" w:hAnsi="Times New Roman" w:cs="Times New Roman"/>
          <w:color w:val="000000"/>
          <w:spacing w:val="0"/>
          <w:w w:val="100"/>
          <w:position w:val="0"/>
          <w:shd w:val="clear" w:color="auto" w:fill="auto"/>
          <w:lang w:val="en-US" w:eastAsia="en-US" w:bidi="en-US"/>
        </w:rPr>
        <w:t xml:space="preserve">Goldberg, </w:t>
      </w:r>
      <w:r>
        <w:rPr>
          <w:rFonts w:ascii="Times New Roman" w:eastAsia="Times New Roman" w:hAnsi="Times New Roman" w:cs="Times New Roman"/>
          <w:color w:val="000000"/>
          <w:spacing w:val="0"/>
          <w:w w:val="100"/>
          <w:position w:val="0"/>
          <w:shd w:val="clear" w:color="auto" w:fill="auto"/>
          <w:lang w:val="hr-HR" w:eastAsia="hr-HR" w:bidi="hr-HR"/>
        </w:rPr>
        <w:t xml:space="preserve">Einige Bemerkungen zu </w:t>
      </w:r>
      <w:r>
        <w:rPr>
          <w:rFonts w:ascii="Times New Roman" w:eastAsia="Times New Roman" w:hAnsi="Times New Roman" w:cs="Times New Roman"/>
          <w:color w:val="000000"/>
          <w:spacing w:val="0"/>
          <w:w w:val="100"/>
          <w:position w:val="0"/>
          <w:shd w:val="clear" w:color="auto" w:fill="auto"/>
          <w:lang w:val="en-US" w:eastAsia="en-US" w:bidi="en-US"/>
        </w:rPr>
        <w:t xml:space="preserve">den Qucllcn </w:t>
      </w:r>
      <w:r>
        <w:rPr>
          <w:rFonts w:ascii="Times New Roman" w:eastAsia="Times New Roman" w:hAnsi="Times New Roman" w:cs="Times New Roman"/>
          <w:color w:val="000000"/>
          <w:spacing w:val="0"/>
          <w:w w:val="100"/>
          <w:position w:val="0"/>
          <w:shd w:val="clear" w:color="auto" w:fill="auto"/>
          <w:lang w:val="hr-HR" w:eastAsia="hr-HR" w:bidi="hr-HR"/>
        </w:rPr>
        <w:t xml:space="preserve">und den redaktionellen Ein- heiten der grossen Hekhalot,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Frankfurter </w:t>
      </w:r>
      <w:r>
        <w:rPr>
          <w:rFonts w:ascii="Times New Roman" w:eastAsia="Times New Roman" w:hAnsi="Times New Roman" w:cs="Times New Roman"/>
          <w:i/>
          <w:iCs/>
          <w:color w:val="000000"/>
          <w:spacing w:val="0"/>
          <w:w w:val="100"/>
          <w:position w:val="0"/>
          <w:shd w:val="clear" w:color="auto" w:fill="auto"/>
          <w:lang w:val="hr-HR" w:eastAsia="hr-HR" w:bidi="hr-HR"/>
        </w:rPr>
        <w:t>Judaistische Beitrage</w:t>
      </w:r>
      <w:r>
        <w:rPr>
          <w:rFonts w:ascii="Times New Roman" w:eastAsia="Times New Roman" w:hAnsi="Times New Roman" w:cs="Times New Roman"/>
          <w:color w:val="000000"/>
          <w:spacing w:val="0"/>
          <w:w w:val="100"/>
          <w:position w:val="0"/>
          <w:shd w:val="clear" w:color="auto" w:fill="auto"/>
          <w:lang w:val="hr-HR" w:eastAsia="hr-HR" w:bidi="hr-HR"/>
        </w:rPr>
        <w:t xml:space="preserve"> 1, 1973, 1-49).</w:t>
      </w:r>
    </w:p>
    <w:p>
      <w:pPr>
        <w:pStyle w:val="Style20"/>
        <w:keepNext w:val="0"/>
        <w:keepLines w:val="0"/>
        <w:widowControl w:val="0"/>
        <w:numPr>
          <w:ilvl w:val="0"/>
          <w:numId w:val="93"/>
        </w:numPr>
        <w:shd w:val="clear" w:color="auto" w:fill="auto"/>
        <w:tabs>
          <w:tab w:pos="250" w:val="left"/>
        </w:tabs>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Jačanje tješiteljske rabinske egzilske teolo</w:t>
        <w:softHyphen/>
        <w:t>gije ne smije sakriti različita tumačenja ko</w:t>
        <w:softHyphen/>
        <w:t>jima su prognanici reagirali na svoj život u di</w:t>
        <w:softHyphen/>
        <w:t>jaspori. Galut su shvatili kao Božji sud nad so</w:t>
        <w:softHyphen/>
        <w:t>bom: »Što jc uzrok da jc Izrael raseljen? Ra</w:t>
        <w:softHyphen/>
        <w:t xml:space="preserve">tovi za kojima su čeznuli« (b Pesahim 118b), u njemu (tj. galutu) spoznali Božju ponudu za obraćenje: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je rekao: I kad je Sveti, neka bude hvaljen, ljut, misli na milos</w:t>
        <w:softHyphen/>
        <w:t xml:space="preserve">rđe... Rabi Hošaja je rekao: ... Sveti, neka bude hvaljen, iskazao je Izraelu dobročinstvo </w:t>
      </w:r>
      <w:r>
        <w:rPr>
          <w:rFonts w:ascii="Times New Roman" w:eastAsia="Times New Roman" w:hAnsi="Times New Roman" w:cs="Times New Roman"/>
          <w:i/>
          <w:iCs/>
          <w:color w:val="000000"/>
          <w:spacing w:val="0"/>
          <w:w w:val="100"/>
          <w:position w:val="0"/>
          <w:shd w:val="clear" w:color="auto" w:fill="auto"/>
          <w:lang w:val="hr-HR" w:eastAsia="hr-HR" w:bidi="hr-HR"/>
        </w:rPr>
        <w:t>(cedaka)</w:t>
      </w:r>
      <w:r>
        <w:rPr>
          <w:rFonts w:ascii="Times New Roman" w:eastAsia="Times New Roman" w:hAnsi="Times New Roman" w:cs="Times New Roman"/>
          <w:color w:val="000000"/>
          <w:spacing w:val="0"/>
          <w:w w:val="100"/>
          <w:position w:val="0"/>
          <w:shd w:val="clear" w:color="auto" w:fill="auto"/>
          <w:lang w:val="hr-HR" w:eastAsia="hr-HR" w:bidi="hr-HR"/>
        </w:rPr>
        <w:t xml:space="preserve"> kad ih je raselio«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87b). »Rabi Johanan je rekao: Progonstvo okajava sve«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37b), što su shvatili kao mogućnost Izraela da Boga objavi narodima i pridobije prozelite </w:t>
      </w:r>
      <w:r>
        <w:rPr>
          <w:rFonts w:ascii="Times New Roman" w:eastAsia="Times New Roman" w:hAnsi="Times New Roman" w:cs="Times New Roman"/>
          <w:i/>
          <w:iCs/>
          <w:color w:val="000000"/>
          <w:spacing w:val="0"/>
          <w:w w:val="100"/>
          <w:position w:val="0"/>
          <w:shd w:val="clear" w:color="auto" w:fill="auto"/>
          <w:lang w:val="hr-HR" w:eastAsia="hr-HR" w:bidi="hr-HR"/>
        </w:rPr>
        <w:t>(gerim; ger</w:t>
      </w:r>
      <w:r>
        <w:rPr>
          <w:rFonts w:ascii="Times New Roman" w:eastAsia="Times New Roman" w:hAnsi="Times New Roman" w:cs="Times New Roman"/>
          <w:color w:val="000000"/>
          <w:spacing w:val="0"/>
          <w:w w:val="100"/>
          <w:position w:val="0"/>
          <w:shd w:val="clear" w:color="auto" w:fill="auto"/>
          <w:lang w:val="hr-HR" w:eastAsia="hr-HR" w:bidi="hr-HR"/>
        </w:rPr>
        <w:t xml:space="preserve"> »tudinac, pridošlica, gost, privremeni došljak«),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još jc re</w:t>
        <w:softHyphen/>
        <w:t>kao: Sveti, neka bude hvaljen, raselio jc Izrael među narode samo zato kako bi im sc priklju</w:t>
        <w:softHyphen/>
        <w:t>čili prozeliti« (b Pesahim 87b). Židovstvo ni</w:t>
        <w:softHyphen/>
        <w:t xml:space="preserve">kada nije shvatilo </w:t>
      </w:r>
      <w:r>
        <w:rPr>
          <w:rFonts w:ascii="Times New Roman" w:eastAsia="Times New Roman" w:hAnsi="Times New Roman" w:cs="Times New Roman"/>
          <w:i/>
          <w:iCs/>
          <w:color w:val="000000"/>
          <w:spacing w:val="0"/>
          <w:w w:val="100"/>
          <w:position w:val="0"/>
          <w:shd w:val="clear" w:color="auto" w:fill="auto"/>
          <w:lang w:val="hr-HR" w:eastAsia="hr-HR" w:bidi="hr-HR"/>
        </w:rPr>
        <w:t>galut</w:t>
      </w:r>
      <w:r>
        <w:rPr>
          <w:rFonts w:ascii="Times New Roman" w:eastAsia="Times New Roman" w:hAnsi="Times New Roman" w:cs="Times New Roman"/>
          <w:color w:val="000000"/>
          <w:spacing w:val="0"/>
          <w:w w:val="100"/>
          <w:position w:val="0"/>
          <w:shd w:val="clear" w:color="auto" w:fill="auto"/>
          <w:lang w:val="hr-HR" w:eastAsia="hr-HR" w:bidi="hr-HR"/>
        </w:rPr>
        <w:t xml:space="preserve"> kao posljednji čin Božji; u središtu svih blagoslova molitve Osamnaest blagoslova jest X. </w:t>
      </w:r>
      <w:r>
        <w:rPr>
          <w:rFonts w:ascii="Times New Roman" w:eastAsia="Times New Roman" w:hAnsi="Times New Roman" w:cs="Times New Roman"/>
          <w:i/>
          <w:iCs/>
          <w:color w:val="000000"/>
          <w:spacing w:val="0"/>
          <w:w w:val="100"/>
          <w:position w:val="0"/>
          <w:shd w:val="clear" w:color="auto" w:fill="auto"/>
          <w:lang w:val="hr-HR" w:eastAsia="hr-HR" w:bidi="hr-HR"/>
        </w:rPr>
        <w:t>beraha:</w:t>
      </w:r>
      <w:r>
        <w:rPr>
          <w:rFonts w:ascii="Times New Roman" w:eastAsia="Times New Roman" w:hAnsi="Times New Roman" w:cs="Times New Roman"/>
          <w:color w:val="000000"/>
          <w:spacing w:val="0"/>
          <w:w w:val="100"/>
          <w:position w:val="0"/>
          <w:shd w:val="clear" w:color="auto" w:fill="auto"/>
          <w:lang w:val="hr-HR" w:eastAsia="hr-HR" w:bidi="hr-HR"/>
        </w:rPr>
        <w:t xml:space="preserve"> »Zapuši u veliku pozaunu za naše oslobođenje i digni zastavu kako bi sc skupili naši prognanici i skupi nas iz sva četiri kuta zemlje. Blagoslovljen budi, Vje</w:t>
        <w:softHyphen/>
        <w:t>čiti, koji skupljaš prognanike našega Izraelova naroda.« Molitva uključuje i povratak izgub</w:t>
        <w:softHyphen/>
        <w:t xml:space="preserve">ljenih deset plemena Sjevernoga carstva koja će se jednoga dana uz poziv velikog </w:t>
      </w:r>
      <w:r>
        <w:rPr>
          <w:rFonts w:ascii="Times New Roman" w:eastAsia="Times New Roman" w:hAnsi="Times New Roman" w:cs="Times New Roman"/>
          <w:i/>
          <w:iCs/>
          <w:color w:val="000000"/>
          <w:spacing w:val="0"/>
          <w:w w:val="100"/>
          <w:position w:val="0"/>
          <w:shd w:val="clear" w:color="auto" w:fill="auto"/>
          <w:lang w:val="hr-HR" w:eastAsia="hr-HR" w:bidi="hr-HR"/>
        </w:rPr>
        <w:t>šofara</w:t>
      </w:r>
      <w:r>
        <w:rPr>
          <w:rFonts w:ascii="Times New Roman" w:eastAsia="Times New Roman" w:hAnsi="Times New Roman" w:cs="Times New Roman"/>
          <w:color w:val="000000"/>
          <w:spacing w:val="0"/>
          <w:w w:val="100"/>
          <w:position w:val="0"/>
          <w:shd w:val="clear" w:color="auto" w:fill="auto"/>
          <w:lang w:val="hr-HR" w:eastAsia="hr-HR" w:bidi="hr-HR"/>
        </w:rPr>
        <w:t xml:space="preserve"> (Iz 27,13) ponovno skupiti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110b). Svi narodi, pred čijim sc očima skupljaju »prognani i izgubljeni njegova Izraelova na</w:t>
        <w:softHyphen/>
        <w:t>roda«, shvaćaju to kao čudesni simbol Boga: »Rabi Kahana je rekao: ... Jednom će Egipat donijeti Mesiji dar, ali on ga neće htjeti pri</w:t>
        <w:softHyphen/>
        <w:t>miti. Tada će Sveti, neka bude hvaljen, zboriti Mesiji: Primi ga od njih, jer oni su mojoj djeci pružili gostoprimstvo u Egiptu« (b Pesahim 118b).</w:t>
      </w:r>
    </w:p>
    <w:p>
      <w:pPr>
        <w:pStyle w:val="Style56"/>
        <w:keepNext w:val="0"/>
        <w:keepLines w:val="0"/>
        <w:widowControl w:val="0"/>
        <w:shd w:val="clear" w:color="auto" w:fill="auto"/>
        <w:bidi w:val="0"/>
        <w:spacing w:before="0" w:after="60" w:line="240" w:lineRule="auto"/>
        <w:ind w:left="0" w:right="0" w:firstLine="0"/>
        <w:jc w:val="both"/>
        <w:sectPr>
          <w:headerReference w:type="default" r:id="rId311"/>
          <w:footerReference w:type="default" r:id="rId312"/>
          <w:headerReference w:type="even" r:id="rId313"/>
          <w:footerReference w:type="even" r:id="rId314"/>
          <w:footnotePr>
            <w:pos w:val="pageBottom"/>
            <w:numFmt w:val="decimal"/>
            <w:numStart w:val="5"/>
            <w:numRestart w:val="continuous"/>
            <w15:footnoteColumns w:val="1"/>
          </w:footnotePr>
          <w:type w:val="continuous"/>
          <w:pgSz w:w="6816" w:h="11006"/>
          <w:pgMar w:top="978" w:left="185" w:right="190" w:bottom="520" w:header="0" w:footer="3" w:gutter="0"/>
          <w:cols w:num="2" w:space="184"/>
          <w:noEndnote/>
          <w:rtlGutter w:val="0"/>
          <w:docGrid w:linePitch="360"/>
        </w:sectPr>
      </w:pPr>
      <w:r>
        <w:rPr>
          <w:color w:val="000000"/>
          <w:spacing w:val="0"/>
          <w:w w:val="100"/>
          <w:position w:val="0"/>
          <w:shd w:val="clear" w:color="auto" w:fill="auto"/>
          <w:lang w:val="hr-HR" w:eastAsia="hr-HR" w:bidi="hr-HR"/>
        </w:rPr>
        <w:t xml:space="preserve">Lit.: H. H. Bcn-Sasson (Hrsg.), </w:t>
      </w:r>
      <w:r>
        <w:rPr>
          <w:i/>
          <w:iCs/>
          <w:color w:val="000000"/>
          <w:spacing w:val="0"/>
          <w:w w:val="100"/>
          <w:position w:val="0"/>
          <w:shd w:val="clear" w:color="auto" w:fill="auto"/>
          <w:lang w:val="hr-HR" w:eastAsia="hr-HR" w:bidi="hr-HR"/>
        </w:rPr>
        <w:t xml:space="preserve">Geschtchle des judischen </w:t>
      </w:r>
      <w:r>
        <w:rPr>
          <w:i/>
          <w:iCs/>
          <w:color w:val="000000"/>
          <w:spacing w:val="0"/>
          <w:w w:val="100"/>
          <w:position w:val="0"/>
          <w:shd w:val="clear" w:color="auto" w:fill="auto"/>
        </w:rPr>
        <w:t>Volkts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 1978, 166 i d., 191 i d.. 447 i d.; Sh. Safrai, </w:t>
      </w:r>
      <w:r>
        <w:rPr>
          <w:i/>
          <w:iCs/>
          <w:color w:val="000000"/>
          <w:spacing w:val="0"/>
          <w:w w:val="100"/>
          <w:position w:val="0"/>
          <w:shd w:val="clear" w:color="auto" w:fill="auto"/>
          <w:lang w:val="hr-HR" w:eastAsia="hr-HR" w:bidi="hr-HR"/>
        </w:rPr>
        <w:t xml:space="preserve">Das jiidische Volk im </w:t>
      </w:r>
      <w:r>
        <w:rPr>
          <w:i/>
          <w:iCs/>
          <w:color w:val="000000"/>
          <w:spacing w:val="0"/>
          <w:w w:val="100"/>
          <w:position w:val="0"/>
          <w:shd w:val="clear" w:color="auto" w:fill="auto"/>
        </w:rPr>
        <w:t>Zeidaler des Zweiten Tempels,</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rPr>
        <w:t>1</w:t>
      </w:r>
      <w:r>
        <w:rPr>
          <w:color w:val="000000"/>
          <w:spacing w:val="0"/>
          <w:w w:val="100"/>
          <w:position w:val="0"/>
          <w:shd w:val="clear" w:color="auto" w:fill="auto"/>
          <w:lang w:val="hr-HR" w:eastAsia="hr-HR" w:bidi="hr-HR"/>
        </w:rPr>
        <w:t xml:space="preserve">980; </w:t>
      </w:r>
      <w:r>
        <w:rPr>
          <w:color w:val="000000"/>
          <w:spacing w:val="0"/>
          <w:w w:val="100"/>
          <w:position w:val="0"/>
          <w:shd w:val="clear" w:color="auto" w:fill="auto"/>
        </w:rPr>
        <w:t xml:space="preserve">A. Bcin, </w:t>
      </w:r>
      <w:r>
        <w:rPr>
          <w:i/>
          <w:iCs/>
          <w:color w:val="000000"/>
          <w:spacing w:val="0"/>
          <w:w w:val="100"/>
          <w:position w:val="0"/>
          <w:shd w:val="clear" w:color="auto" w:fill="auto"/>
        </w:rPr>
        <w:t>Die Judenfrage</w:t>
      </w:r>
      <w:r>
        <w:rPr>
          <w:color w:val="000000"/>
          <w:spacing w:val="0"/>
          <w:w w:val="100"/>
          <w:position w:val="0"/>
          <w:shd w:val="clear" w:color="auto" w:fill="auto"/>
        </w:rPr>
        <w:t xml:space="preserve"> ], 1980; Sh. Talmon, Exjl und Rikkkchr, u: I</w:t>
      </w:r>
      <w:r>
        <w:rPr>
          <w:color w:val="000000"/>
          <w:spacing w:val="0"/>
          <w:w w:val="100"/>
          <w:position w:val="0"/>
          <w:shd w:val="clear" w:color="auto" w:fill="auto"/>
          <w:vertAlign w:val="superscript"/>
        </w:rPr>
        <w:t>;</w:t>
      </w:r>
      <w:r>
        <w:rPr>
          <w:color w:val="000000"/>
          <w:spacing w:val="0"/>
          <w:w w:val="100"/>
          <w:position w:val="0"/>
          <w:shd w:val="clear" w:color="auto" w:fill="auto"/>
        </w:rPr>
        <w:t xml:space="preserve">. J. </w:t>
      </w:r>
      <w:r>
        <w:rPr>
          <w:color w:val="000000"/>
          <w:spacing w:val="0"/>
          <w:w w:val="100"/>
          <w:position w:val="0"/>
          <w:shd w:val="clear" w:color="auto" w:fill="auto"/>
          <w:lang w:val="hr-HR" w:eastAsia="hr-HR" w:bidi="hr-HR"/>
        </w:rPr>
        <w:t xml:space="preserve">Bautž </w:t>
      </w:r>
      <w:r>
        <w:rPr>
          <w:color w:val="000000"/>
          <w:spacing w:val="0"/>
          <w:w w:val="100"/>
          <w:position w:val="0"/>
          <w:shd w:val="clear" w:color="auto" w:fill="auto"/>
        </w:rPr>
        <w:t xml:space="preserve">(1 irsg.), </w:t>
      </w:r>
      <w:r>
        <w:rPr>
          <w:i/>
          <w:iCs/>
          <w:color w:val="000000"/>
          <w:spacing w:val="0"/>
          <w:w w:val="100"/>
          <w:position w:val="0"/>
          <w:shd w:val="clear" w:color="auto" w:fill="auto"/>
        </w:rPr>
        <w:t>Geschichtc dcr Judcn,</w:t>
      </w:r>
      <w:r>
        <w:rPr>
          <w:color w:val="000000"/>
          <w:spacing w:val="0"/>
          <w:w w:val="100"/>
          <w:position w:val="0"/>
          <w:shd w:val="clear" w:color="auto" w:fill="auto"/>
        </w:rPr>
        <w:t xml:space="preserve"> 1983,27-53; C. Thoma, Judischu und cbristlkhe Exilscfahrungcn and Exilstbcologicn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Freibueger Rundbricf</w:t>
      </w:r>
      <w:r>
        <w:rPr>
          <w:color w:val="000000"/>
          <w:spacing w:val="0"/>
          <w:w w:val="100"/>
          <w:position w:val="0"/>
          <w:shd w:val="clear" w:color="auto" w:fill="auto"/>
        </w:rPr>
        <w:t xml:space="preserve"> XXIX, 1977. 15-20;</w:t>
      </w:r>
    </w:p>
    <w:p>
      <w:pPr>
        <w:pStyle w:val="Style56"/>
        <w:keepNext w:val="0"/>
        <w:keepLines w:val="0"/>
        <w:widowControl w:val="0"/>
        <w:shd w:val="clear" w:color="auto" w:fill="auto"/>
        <w:tabs>
          <w:tab w:pos="2419" w:val="left"/>
        </w:tabs>
        <w:bidi w:val="0"/>
        <w:spacing w:before="0" w:after="180" w:line="240" w:lineRule="auto"/>
        <w:ind w:left="0" w:right="0" w:firstLine="0"/>
        <w:jc w:val="both"/>
      </w:pPr>
      <w:r>
        <w:rPr>
          <w:i/>
          <w:iCs/>
          <w:color w:val="000000"/>
          <w:spacing w:val="0"/>
          <w:w w:val="100"/>
          <w:position w:val="0"/>
          <w:shd w:val="clear" w:color="auto" w:fill="auto"/>
        </w:rPr>
        <w:t>Jiidisches Ladkon</w:t>
      </w:r>
      <w:r>
        <w:rPr>
          <w:color w:val="000000"/>
          <w:spacing w:val="0"/>
          <w:w w:val="100"/>
          <w:position w:val="0"/>
          <w:shd w:val="clear" w:color="auto" w:fill="auto"/>
        </w:rPr>
        <w:t xml:space="preserve"> II, 1927/1982. 880-88; </w:t>
      </w:r>
      <w:r>
        <w:rPr>
          <w:i/>
          <w:iCs/>
          <w:color w:val="000000"/>
          <w:spacing w:val="0"/>
          <w:w w:val="100"/>
          <w:position w:val="0"/>
          <w:shd w:val="clear" w:color="auto" w:fill="auto"/>
        </w:rPr>
        <w:t>Encyclopaedia lu- daical^W^m-W.</w:t>
      </w:r>
      <w:r>
        <w:rPr>
          <w:color w:val="000000"/>
          <w:spacing w:val="0"/>
          <w:w w:val="100"/>
          <w:position w:val="0"/>
          <w:shd w:val="clear" w:color="auto" w:fill="auto"/>
        </w:rPr>
        <w:tab/>
        <w:t>D. VETTER</w:t>
      </w:r>
    </w:p>
    <w:p>
      <w:pPr>
        <w:pStyle w:val="Style63"/>
        <w:keepNext/>
        <w:keepLines/>
        <w:widowControl w:val="0"/>
        <w:numPr>
          <w:ilvl w:val="0"/>
          <w:numId w:val="91"/>
        </w:numPr>
        <w:shd w:val="clear" w:color="auto" w:fill="auto"/>
        <w:tabs>
          <w:tab w:pos="255" w:val="left"/>
        </w:tabs>
        <w:bidi w:val="0"/>
        <w:spacing w:before="0" w:after="80" w:line="228" w:lineRule="auto"/>
        <w:ind w:left="0" w:right="0" w:firstLine="0"/>
        <w:jc w:val="both"/>
      </w:pPr>
      <w:bookmarkStart w:id="69" w:name="bookmark6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69"/>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Polazeći od povijesti pojma d. znači »rasprše</w:t>
        <w:softHyphen/>
        <w:t>nost« Židova među poganima, tj. postojanje židovskih zajednica kao manjina izvan biblij</w:t>
        <w:softHyphen/>
        <w:t>ske zemlje. Za širenje kršćanstva u oba prva stoljeća pr. Kr. židovska d. bila je važna pret</w:t>
        <w:softHyphen/>
        <w:t>postavka. U kršćanskoj uporabi izraz d. nalazi se kao posljedica vjerskog raskola u kršćan</w:t>
        <w:softHyphen/>
        <w:t>stvu. Od bratske zajednice u Gospodinovoj zaštiti pojam se preokreće u oznaku pristaša koji obitavaju izvan Gospodinove zaštite. Ota</w:t>
        <w:softHyphen/>
        <w:t>da d. označava činjenicu da manjina mora ži</w:t>
        <w:softHyphen/>
        <w:t>vjeti medu religijski drugačijom većinom, pri čemu se u kršćanskoj jezičnoj uporabi pod di</w:t>
        <w:softHyphen/>
        <w:t>jasporom razumijeva da kršćanska manjina (katolička, evangelićka ili pravoslavna) živi medu konfesionalno drugačijom kršćanskom većinom.</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Uslijed zbivanja u Drugom svjetskom ratu i pojačanoga unutarkršćanskog ekumenizma u povezanosti s nastankom pluralističkog druš</w:t>
        <w:softHyphen/>
        <w:t>tva svjetskog razmjera, pojam dijaspore pro</w:t>
        <w:softHyphen/>
        <w:t>šao je daljnju preobrazbu. U teološkoj reflek</w:t>
        <w:softHyphen/>
        <w:t>siji o općoj manjinskoj situaciji jednoga krš</w:t>
        <w:softHyphen/>
        <w:t xml:space="preserve">ćanstva, koje je manjina i to sve jače postaje u nekom svjetskom društvu globalnog razmjera, govori se o dijaspori kao »povijesnoj spasenj- skoj prisili«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koja kršćanina po</w:t>
        <w:softHyphen/>
        <w:t>novno podsjeća da ovdje nema »trajni grad« (Heb, 13,14), nego je kao gost i građanin bez građanskog prava na putu u vječnu domovinu. Prihvaćanje toga načelnog stanja dijaspore znači u jednu ruku zadaću trijumfalističkog stava koji stremi načelnom pokrivanju Crkve i društva i to ima kao cilj. Reakcija na stanje di</w:t>
        <w:softHyphen/>
        <w:t>jaspore može biti dvojaka: stvaranja geta ili stav otvorenosti. Tako reakcija da se u po</w:t>
        <w:softHyphen/>
        <w:t>gledu dijaspore povlačimo u neku zaštitnu zo</w:t>
        <w:softHyphen/>
        <w:t>nu, da se učahurimo i da čuvamo posebnost, vodi do mentaliteta getoizacije koji kultural</w:t>
        <w:softHyphen/>
        <w:t>no, društveno i političko područje prepušta samome sebi. Ovdje kršćani mogu mnogo na</w:t>
        <w:softHyphen/>
        <w:t>učiti iz bolnih iskustava koja su Židovi stekli u dugim godinama svojega života u dijaspori s nametnutom sudbinom geta. Stav otvorenosti naočigled trajnog stanja u dijaspori pretpo</w:t>
        <w:softHyphen/>
        <w:t>stavlja živu i jaku vjeru koja nije razvijena u dušobrižništvu pučke Crkve. Preokret preteži</w:t>
        <w:softHyphen/>
        <w:t xml:space="preserve">to na čuvanje usmjerenog dušobrižništva u an- 1I1R </w:t>
      </w:r>
      <w:r>
        <w:rPr>
          <w:rFonts w:ascii="Times New Roman" w:eastAsia="Times New Roman" w:hAnsi="Times New Roman" w:cs="Times New Roman"/>
          <w:color w:val="000000"/>
          <w:spacing w:val="0"/>
          <w:w w:val="100"/>
          <w:position w:val="0"/>
          <w:shd w:val="clear" w:color="auto" w:fill="auto"/>
          <w:lang w:val="hr-HR" w:eastAsia="hr-HR" w:bidi="hr-HR"/>
        </w:rPr>
        <w:t>gaziranu i egzistencijalnu vjeru, zadaća je koja se mora izvršiti da bi kršćani postali »sposobni za dijasporu«. To uključuje produbljeno suče</w:t>
        <w:softHyphen/>
        <w:t>ljavanje s činjenicom trajnoga religijskog i svje</w:t>
        <w:softHyphen/>
        <w:t>tonazorskog pluralizma. Obveza i spremnost na svjedočenje vlastite vjere mora se uskladiti sa stavom otvorenog dijaloga u pluralističkom društvu. Drugačije nego u židovskoj predodžbi dijaspore, koja u zemlji Izraelu (Erec Jisrael) ima u'načelu dostižan cilj, kršćanska predodžba dijaspore jc očekivanje eshatološkog ispunje</w:t>
        <w:softHyphen/>
        <w:t>nja, jer ne traži »trajni grad« na ovome svije</w:t>
        <w:softHyphen/>
        <w:t>tu, nego predstavlja traženje i očekivanje »bu</w:t>
        <w:softHyphen/>
        <w:t>duće domovine«.</w:t>
      </w:r>
    </w:p>
    <w:p>
      <w:pPr>
        <w:pStyle w:val="Style56"/>
        <w:keepNext w:val="0"/>
        <w:keepLines w:val="0"/>
        <w:widowControl w:val="0"/>
        <w:shd w:val="clear" w:color="auto" w:fill="auto"/>
        <w:tabs>
          <w:tab w:pos="2510" w:val="left"/>
        </w:tabs>
        <w:bidi w:val="0"/>
        <w:spacing w:before="0" w:after="340" w:line="240" w:lineRule="auto"/>
        <w:ind w:left="0" w:right="0" w:firstLine="0"/>
        <w:jc w:val="both"/>
      </w:pPr>
      <w:r>
        <w:rPr>
          <w:color w:val="000000"/>
          <w:spacing w:val="0"/>
          <w:w w:val="100"/>
          <w:position w:val="0"/>
          <w:shd w:val="clear" w:color="auto" w:fill="auto"/>
        </w:rPr>
        <w:t xml:space="preserve">Lit.: Th. </w:t>
      </w:r>
      <w:r>
        <w:rPr>
          <w:color w:val="000000"/>
          <w:spacing w:val="0"/>
          <w:w w:val="100"/>
          <w:position w:val="0"/>
          <w:shd w:val="clear" w:color="auto" w:fill="auto"/>
          <w:lang w:val="hr-HR" w:eastAsia="hr-HR" w:bidi="hr-HR"/>
        </w:rPr>
        <w:t xml:space="preserve">Hcckcl, </w:t>
      </w:r>
      <w:r>
        <w:rPr>
          <w:i/>
          <w:iCs/>
          <w:color w:val="000000"/>
          <w:spacing w:val="0"/>
          <w:w w:val="100"/>
          <w:position w:val="0"/>
          <w:shd w:val="clear" w:color="auto" w:fill="auto"/>
          <w:lang w:val="hr-HR" w:eastAsia="hr-HR" w:bidi="hr-HR"/>
        </w:rPr>
        <w:t xml:space="preserve">Diasporaarbcit uls theolugisches und kireh- liches Problem der </w:t>
      </w:r>
      <w:r>
        <w:rPr>
          <w:i/>
          <w:iCs/>
          <w:color w:val="000000"/>
          <w:spacing w:val="0"/>
          <w:w w:val="100"/>
          <w:position w:val="0"/>
          <w:shd w:val="clear" w:color="auto" w:fill="auto"/>
        </w:rPr>
        <w:t>Gegenwurt,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Ka»cl 1951; O. </w:t>
      </w:r>
      <w:r>
        <w:rPr>
          <w:color w:val="000000"/>
          <w:spacing w:val="0"/>
          <w:w w:val="100"/>
          <w:position w:val="0"/>
          <w:shd w:val="clear" w:color="auto" w:fill="auto"/>
        </w:rPr>
        <w:t xml:space="preserve">Dibclius, </w:t>
      </w:r>
      <w:r>
        <w:rPr>
          <w:i/>
          <w:iCs/>
          <w:color w:val="000000"/>
          <w:spacing w:val="0"/>
          <w:w w:val="100"/>
          <w:position w:val="0"/>
          <w:shd w:val="clear" w:color="auto" w:fill="auto"/>
        </w:rPr>
        <w:t xml:space="preserve">Die Bedeulung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Diaspora fur Kirchc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Volk,</w:t>
      </w:r>
      <w:r>
        <w:rPr>
          <w:color w:val="000000"/>
          <w:spacing w:val="0"/>
          <w:w w:val="100"/>
          <w:position w:val="0"/>
          <w:shd w:val="clear" w:color="auto" w:fill="auto"/>
        </w:rPr>
        <w:t xml:space="preserve"> Kassel 1952; K. Rahner, </w:t>
      </w:r>
      <w:r>
        <w:rPr>
          <w:i/>
          <w:iCs/>
          <w:color w:val="000000"/>
          <w:spacing w:val="0"/>
          <w:w w:val="100"/>
          <w:position w:val="0"/>
          <w:shd w:val="clear" w:color="auto" w:fill="auto"/>
        </w:rPr>
        <w:t>Theologische Deutung der Position des Christen in der modemen Welt: Sendung und Gnade,</w:t>
      </w:r>
      <w:r>
        <w:rPr>
          <w:color w:val="000000"/>
          <w:spacing w:val="0"/>
          <w:w w:val="100"/>
          <w:position w:val="0"/>
          <w:shd w:val="clear" w:color="auto" w:fill="auto"/>
        </w:rPr>
        <w:t xml:space="preserve"> Innsbruck 1959; N. Grcinachcr, Djaspora: SM 1,879-885; K. Rahner, </w:t>
      </w:r>
      <w:r>
        <w:rPr>
          <w:i/>
          <w:iCs/>
          <w:color w:val="000000"/>
          <w:spacing w:val="0"/>
          <w:w w:val="100"/>
          <w:position w:val="0"/>
          <w:shd w:val="clear" w:color="auto" w:fill="auto"/>
          <w:lang w:val="hr-HR" w:eastAsia="hr-HR" w:bidi="hr-HR"/>
        </w:rPr>
        <w:t xml:space="preserve">Struk- </w:t>
      </w:r>
      <w:r>
        <w:rPr>
          <w:i/>
          <w:iCs/>
          <w:color w:val="000000"/>
          <w:spacing w:val="0"/>
          <w:w w:val="100"/>
          <w:position w:val="0"/>
          <w:shd w:val="clear" w:color="auto" w:fill="auto"/>
        </w:rPr>
        <w:t>tunvandel der Kirche als Aufgabe und Chance,</w:t>
      </w:r>
      <w:r>
        <w:rPr>
          <w:color w:val="000000"/>
          <w:spacing w:val="0"/>
          <w:w w:val="100"/>
          <w:position w:val="0"/>
          <w:shd w:val="clear" w:color="auto" w:fill="auto"/>
        </w:rPr>
        <w:t xml:space="preserve"> Freiburg 1972.</w:t>
        <w:tab/>
        <w:t>G. EVERS</w:t>
      </w:r>
    </w:p>
    <w:p>
      <w:pPr>
        <w:pStyle w:val="Style63"/>
        <w:keepNext/>
        <w:keepLines/>
        <w:widowControl w:val="0"/>
        <w:numPr>
          <w:ilvl w:val="0"/>
          <w:numId w:val="91"/>
        </w:numPr>
        <w:shd w:val="clear" w:color="auto" w:fill="auto"/>
        <w:tabs>
          <w:tab w:pos="260" w:val="left"/>
        </w:tabs>
        <w:bidi w:val="0"/>
        <w:spacing w:before="0" w:after="80"/>
        <w:ind w:left="0" w:right="0" w:firstLine="0"/>
        <w:jc w:val="both"/>
      </w:pPr>
      <w:bookmarkStart w:id="70" w:name="bookmark70"/>
      <w:r>
        <w:rPr>
          <w:rFonts w:ascii="Times New Roman" w:eastAsia="Times New Roman" w:hAnsi="Times New Roman" w:cs="Times New Roman"/>
          <w:color w:val="000000"/>
          <w:spacing w:val="0"/>
          <w:w w:val="100"/>
          <w:position w:val="0"/>
          <w:shd w:val="clear" w:color="auto" w:fill="auto"/>
          <w:lang w:val="hr-HR" w:eastAsia="hr-HR" w:bidi="hr-HR"/>
        </w:rPr>
        <w:t>islamski</w:t>
      </w:r>
      <w:bookmarkEnd w:id="7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Islam </w:t>
      </w:r>
      <w:r>
        <w:rPr>
          <w:rFonts w:ascii="Times New Roman" w:eastAsia="Times New Roman" w:hAnsi="Times New Roman" w:cs="Times New Roman"/>
          <w:color w:val="000000"/>
          <w:spacing w:val="0"/>
          <w:w w:val="100"/>
          <w:position w:val="0"/>
          <w:shd w:val="clear" w:color="auto" w:fill="auto"/>
          <w:lang w:val="hr-HR" w:eastAsia="hr-HR" w:bidi="hr-HR"/>
        </w:rPr>
        <w:t>je po svojoj biti usmjeren na stvaranje zaokruženoga društva. Muslimani u »rasprše</w:t>
        <w:softHyphen/>
        <w:t>nosti«, što znači riječ d., uvijek su smatrani iznimkom. Do današnjega dana medu pismo- znancima je sporno, jesu li vjernici, koji su se silom okolnosti uveli u dJr al-harb, svojom re</w:t>
        <w:softHyphen/>
        <w:t>ligijom obvezani na iseljavanje iz nemusliman- skih područja i na traganje za novim zaviča</w:t>
        <w:softHyphen/>
        <w:t>jem unutar područja vladavine islama. K to</w:t>
        <w:softHyphen/>
        <w:t>mu je u svim razdobljima bilo pojedinaca, na</w:t>
        <w:softHyphen/>
        <w:t>rodnih skupina i zajednica koji su se u dija</w:t>
        <w:softHyphen/>
        <w:t>spori morali boriti sa svojom sudbinom. Misli se na muslimanske kolonije u starome Bizan</w:t>
        <w:softHyphen/>
        <w:t>tu, na arapske trgovce u istočnoj Africi ili na Dalekom istoku ili na španjolske Maure.</w:t>
      </w:r>
    </w:p>
    <w:p>
      <w:pPr>
        <w:pStyle w:val="Style20"/>
        <w:keepNext w:val="0"/>
        <w:keepLines w:val="0"/>
        <w:widowControl w:val="0"/>
        <w:shd w:val="clear" w:color="auto" w:fill="auto"/>
        <w:bidi w:val="0"/>
        <w:spacing w:before="0" w:after="80" w:line="240" w:lineRule="auto"/>
        <w:ind w:left="0" w:right="0" w:firstLine="0"/>
        <w:jc w:val="both"/>
        <w:sectPr>
          <w:headerReference w:type="default" r:id="rId315"/>
          <w:footerReference w:type="default" r:id="rId316"/>
          <w:headerReference w:type="even" r:id="rId317"/>
          <w:footerReference w:type="even" r:id="rId318"/>
          <w:footnotePr>
            <w:pos w:val="pageBottom"/>
            <w:numFmt w:val="decimal"/>
            <w:numStart w:val="5"/>
            <w:numRestart w:val="continuous"/>
            <w15:footnoteColumns w:val="1"/>
          </w:footnotePr>
          <w:pgSz w:w="6816" w:h="11006"/>
          <w:pgMar w:top="1051" w:left="194" w:right="208" w:bottom="125" w:header="0" w:footer="3" w:gutter="0"/>
          <w:pgNumType w:start="112"/>
          <w:cols w:num="2" w:space="225"/>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Islamsko pravo odobrava vjernicima koji žive u dijaspori izvjesna olakšanja s obzirom na poštovanje običaja i zakona. Tu se naročito primjenjuje pravno načelo da prisile ukidaju zakone (»Prisile čine dozvoljenim ono što je nedolično«). Kada se u zemlji, kakva je re</w:t>
        <w:softHyphen/>
        <w:t>cimo Španjolska nakon rekonkviste, islam sta</w:t>
        <w:softHyphen/>
        <w:t>vi izvan zakona, vjernici tada smiju zahtijevati široke dispenze. To ide tako daleko da se oni sukladno prisili trebaju pokoravati sudbini i samo u srcu davati svjedočanstvo o svojoj pri</w:t>
        <w:softHyphen/>
        <w:t>padnosti islamu. U islamskoj teologiji postoji poseban izraz za takvo ponašanje: takija, što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znači isto što i </w:t>
      </w:r>
      <w:r>
        <w:rPr>
          <w:rFonts w:ascii="Times New Roman" w:eastAsia="Times New Roman" w:hAnsi="Times New Roman" w:cs="Times New Roman"/>
          <w:i/>
          <w:iCs/>
          <w:color w:val="000000"/>
          <w:spacing w:val="0"/>
          <w:w w:val="100"/>
          <w:position w:val="0"/>
          <w:shd w:val="clear" w:color="auto" w:fill="auto"/>
          <w:lang w:val="hr-HR" w:eastAsia="hr-HR" w:bidi="hr-HR"/>
        </w:rPr>
        <w:t>kriptoislam</w:t>
      </w:r>
      <w:r>
        <w:rPr>
          <w:rFonts w:ascii="Times New Roman" w:eastAsia="Times New Roman" w:hAnsi="Times New Roman" w:cs="Times New Roman"/>
          <w:color w:val="000000"/>
          <w:spacing w:val="0"/>
          <w:w w:val="100"/>
          <w:position w:val="0"/>
          <w:shd w:val="clear" w:color="auto" w:fill="auto"/>
          <w:lang w:val="hr-HR" w:eastAsia="hr-HR" w:bidi="hr-HR"/>
        </w:rPr>
        <w:t xml:space="preserve"> (takija izvorno zna</w:t>
        <w:softHyphen/>
        <w:t>či: oprez, čuvanje samoga sebe).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Odredbe </w:t>
      </w:r>
      <w:r>
        <w:rPr>
          <w:rFonts w:ascii="Times New Roman" w:eastAsia="Times New Roman" w:hAnsi="Times New Roman" w:cs="Times New Roman"/>
          <w:i/>
          <w:iCs/>
          <w:color w:val="000000"/>
          <w:spacing w:val="0"/>
          <w:w w:val="100"/>
          <w:position w:val="0"/>
          <w:shd w:val="clear" w:color="auto" w:fill="auto"/>
          <w:lang w:val="hr-HR" w:eastAsia="hr-HR" w:bidi="hr-HR"/>
        </w:rPr>
        <w:t>fikha</w:t>
      </w:r>
      <w:r>
        <w:rPr>
          <w:rFonts w:ascii="Times New Roman" w:eastAsia="Times New Roman" w:hAnsi="Times New Roman" w:cs="Times New Roman"/>
          <w:color w:val="000000"/>
          <w:spacing w:val="0"/>
          <w:w w:val="100"/>
          <w:position w:val="0"/>
          <w:shd w:val="clear" w:color="auto" w:fill="auto"/>
          <w:lang w:val="hr-HR" w:eastAsia="hr-HR" w:bidi="hr-HR"/>
        </w:rPr>
        <w:t xml:space="preserve"> o religioznome životu manjina danas su u najmanju ruku izgubile značenje. U nemalom broju zemalja koje su izvan pod</w:t>
        <w:softHyphen/>
        <w:t>ručja djelovanja islamske »ekumene«, naime dar al-islSma, muslimani uživaju veće religij</w:t>
        <w:softHyphen/>
        <w:t>ske slobode nego u zemljama izvornoga isla</w:t>
        <w:softHyphen/>
        <w:t>ma. Islamske zajednice, koje su doživjele snažnija iseljavanja poput onih iz Turske i biv</w:t>
        <w:softHyphen/>
        <w:t>še Jugoslavije, od šezdesetih godina XX. sto</w:t>
        <w:softHyphen/>
        <w:t>ljeća suočavaju se s tipičnim pitanjima dijaspo</w:t>
        <w:softHyphen/>
        <w:t>re. U bivšoj Jugoslaviji pojam dijaspore izriči</w:t>
        <w:softHyphen/>
        <w:t>to se odomaćio prilikom razmatranja ove pro</w:t>
        <w:softHyphen/>
        <w:t>blematike. Tamo on dakako ni na koji način nije imao povijesno-spasenjsko značenje.</w:t>
      </w:r>
    </w:p>
    <w:p>
      <w:pPr>
        <w:pStyle w:val="Style74"/>
        <w:keepNext w:val="0"/>
        <w:keepLines w:val="0"/>
        <w:widowControl w:val="0"/>
        <w:shd w:val="clear" w:color="auto" w:fill="auto"/>
        <w:bidi w:val="0"/>
        <w:spacing w:before="0" w:after="28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HAI.IĆ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DOBRO</w:t>
      </w:r>
    </w:p>
    <w:p>
      <w:pPr>
        <w:pStyle w:val="Style63"/>
        <w:keepNext/>
        <w:keepLines/>
        <w:widowControl w:val="0"/>
        <w:numPr>
          <w:ilvl w:val="0"/>
          <w:numId w:val="95"/>
        </w:numPr>
        <w:shd w:val="clear" w:color="auto" w:fill="auto"/>
        <w:tabs>
          <w:tab w:pos="255" w:val="left"/>
        </w:tabs>
        <w:bidi w:val="0"/>
        <w:spacing w:before="0" w:line="223" w:lineRule="auto"/>
        <w:ind w:left="0" w:right="0" w:firstLine="0"/>
        <w:jc w:val="both"/>
      </w:pPr>
      <w:bookmarkStart w:id="71" w:name="bookmark71"/>
      <w:r>
        <w:rPr>
          <w:rFonts w:ascii="Times New Roman" w:eastAsia="Times New Roman" w:hAnsi="Times New Roman" w:cs="Times New Roman"/>
          <w:color w:val="000000"/>
          <w:spacing w:val="0"/>
          <w:w w:val="100"/>
          <w:position w:val="0"/>
          <w:shd w:val="clear" w:color="auto" w:fill="auto"/>
          <w:lang w:val="hr-HR" w:eastAsia="hr-HR" w:bidi="hr-HR"/>
        </w:rPr>
        <w:t>židovski</w:t>
      </w:r>
      <w:bookmarkEnd w:id="7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poukama koje upućuju na ispravnu molitvu mudraci su isključili puki hvalospjev: »Neka se pamti njegovo ime po dobru« (M Berahot V,3). U </w:t>
      </w:r>
      <w:r>
        <w:rPr>
          <w:rFonts w:ascii="Times New Roman" w:eastAsia="Times New Roman" w:hAnsi="Times New Roman" w:cs="Times New Roman"/>
          <w:i/>
          <w:iCs/>
          <w:color w:val="000000"/>
          <w:spacing w:val="0"/>
          <w:w w:val="100"/>
          <w:position w:val="0"/>
          <w:shd w:val="clear" w:color="auto" w:fill="auto"/>
          <w:lang w:val="hr-HR" w:eastAsia="hr-HR" w:bidi="hr-HR"/>
        </w:rPr>
        <w:t>svemu</w:t>
      </w:r>
      <w:r>
        <w:rPr>
          <w:rFonts w:ascii="Times New Roman" w:eastAsia="Times New Roman" w:hAnsi="Times New Roman" w:cs="Times New Roman"/>
          <w:color w:val="000000"/>
          <w:spacing w:val="0"/>
          <w:w w:val="100"/>
          <w:position w:val="0"/>
          <w:shd w:val="clear" w:color="auto" w:fill="auto"/>
          <w:lang w:val="hr-HR" w:eastAsia="hr-HR" w:bidi="hr-HR"/>
        </w:rPr>
        <w:t xml:space="preserve"> stvorenom prepoznavali su ma</w:t>
        <w:softHyphen/>
        <w:t xml:space="preserve">teriju »svetosti«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19,2) i znali da će istom čovječjom strastvenom snagom, koja stvara zlo ako nije usmjerena, čovjek činiti d. ako je usmjeri prema Bogu. Stoga su utvrdili: »Svatko je obvezan zahvaliti Bogu i za zlo kao što zahvaljuje za d.«, jer Bog ne traži samo lju</w:t>
        <w:softHyphen/>
        <w:t xml:space="preserve">bav svojega stvorenja, nego i njegovu ljubav u potpunosti, svim njegovim bićem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IX,5 uz Pnz 6,5). Iskustva iz svojega života i učenja rabini su zbili u opomenu: »Neka čovjek uvijek govori: Sve što Svemilosrdni radi, radi za d.« (b Berahot 60b). »D.« koje čini Bog traži i od čovjeka radi njegova života: »Tražite d., a ne zlo, da biste živjeli... Mrzite zlo, ljubite d., držite pravicu na gradskim vratima«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5,14 i. d.). Samo na putu »dobra« čovjek raz</w:t>
        <w:softHyphen/>
        <w:t>vija u sebi skrivenu sličnost na Boga (Post 1,27), i može, kako mu je zapovjeđeno, »imiti</w:t>
        <w:softHyphen/>
        <w:t xml:space="preserve">rati« Boga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usp.Vajikra raba XXIV,19,2), njemu »biti jednak« (b Sabat 133b; usp. Sota 14a), »nalikovati Bogu« (Mai- monid, Mišne Tora, Hilhot deot 1,6). Samo onaj tko teži za »dobrim«, traži Boga; samo onaj tko čini »d.«, naći će ga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5,6.14). »D.« nije ljudska zamisao i nešto drugo osim »prirode« i »sudbine«; d. je Bog predao čovje</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ku: »Objavljeno ti je, čovječe, što je d., što ON traži od tebe: samo činiti pravicu, milosrđe ljubiti i smjerno sa svojim Bogom hoditi!« (Mih 6,8). Čovjek doznaje u čemu se sastoji »d.« po Božjoj volji. Stoga je Rabi Akiva (I./II. stoljeće) opazio u </w:t>
      </w:r>
      <w:r>
        <w:rPr>
          <w:rFonts w:ascii="Times New Roman" w:eastAsia="Times New Roman" w:hAnsi="Times New Roman" w:cs="Times New Roman"/>
          <w:i/>
          <w:iCs/>
          <w:color w:val="000000"/>
          <w:spacing w:val="0"/>
          <w:w w:val="100"/>
          <w:position w:val="0"/>
          <w:shd w:val="clear" w:color="auto" w:fill="auto"/>
          <w:lang w:val="hr-HR" w:eastAsia="hr-HR" w:bidi="hr-HR"/>
        </w:rPr>
        <w:t>daru Tore</w:t>
      </w:r>
      <w:r>
        <w:rPr>
          <w:rFonts w:ascii="Times New Roman" w:eastAsia="Times New Roman" w:hAnsi="Times New Roman" w:cs="Times New Roman"/>
          <w:color w:val="000000"/>
          <w:spacing w:val="0"/>
          <w:w w:val="100"/>
          <w:position w:val="0"/>
          <w:shd w:val="clear" w:color="auto" w:fill="auto"/>
          <w:lang w:val="hr-HR" w:eastAsia="hr-HR" w:bidi="hr-HR"/>
        </w:rPr>
        <w:t xml:space="preserve"> prednost iz</w:t>
        <w:softHyphen/>
        <w:t>abranoga naroda: »Miljenici (Božji) jesu Iz</w:t>
        <w:softHyphen/>
        <w:t>raelci, jer je njima podareno dragocjeno oru</w:t>
        <w:softHyphen/>
        <w:t>đe (= Tora); objavljena im je posebna ljubav time što im je podareno dragocjeno oruđe« (M Avot 111,15). Budući da Tora daje čovjeku zadaću koju mu je odredio Bog na Sinaju ob</w:t>
        <w:softHyphen/>
        <w:t>javom svoje volje (Izl 20 i d.; Pnz 5,1—22), stari su tumači Biblije rekli: »’D.’ (Ps 39,3) ne znači ništa drugo osim Tora« (b Berahot 5a). Ona čovjeku otkriva stvarnost »dobroga«, koje se još nije, dogodilo i koje se nije zauvijek dogo</w:t>
        <w:softHyphen/>
        <w:t>dilo, nego ga svatko može i treba ostvariti i koje u Bogu ima bezuvjetan, siguran razlog (Pnz 10,12; 30,11-14; Iz 1,16 i d.; 33,15 i d.; 56,1; Ps 15; 24,3-5; Izr 8,13). Stvarnost »do</w:t>
        <w:softHyphen/>
        <w:t>broga« čovjek otkriva tek kad čini »d.«; naime, u ostvarenju doživljava Stvoriteljevu zapovijed i Stvoriteljevu snagu kao nešto što pripada njegovu osobnom životu (M Avot 111,15; IV,21). Riječi učitelja Tore glase: »Čija djela su veća od njegove mudrosti, njegova mudrost ima trajnu vrijednost. Čija je mud</w:t>
        <w:softHyphen/>
        <w:t xml:space="preserve">rost veća od njegovih djela, njegova mudrost nema trajnu vrijednost«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111,10; usp. 11,11). Bog je svojim stvorenjima dao sposobnost da biraju »d.« (Pnz 30,19); njegov je nalog Iz</w:t>
        <w:softHyphen/>
        <w:t xml:space="preserve">raelu da svijetu pruži primjer (Iz 42,6; 49,6.8). Prigovor židovstva na »pogane« izražavalo se uvijek kao suprotnost činidbe i života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 b Sabat 67a;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101a; Tos. Sa</w:t>
        <w:softHyphen/>
        <w:t xml:space="preserve">bat VII.VIII; Majmonid, Mišne Tora, Hilhot Akum XI,1,2; Sulhan aruh, Jore dea 178,1,2). Hilelova škola nije se bojala da prozelitima olakša obredne i bogoslužne zahtjeve, ali nije skraćivala zapovijed da se čini »d.« (b Sabat 31a;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19,33 i d,). Ostvarenje toga zna</w:t>
        <w:softHyphen/>
        <w:t>či: ostvariti Boga u svijetu; Biblija za to rabi izričaj »služiti Bogu« (Pnz 10,12; Izl 20,5; 23,24; Jr 13,10; 22,9; 25,6). Značenje »služe</w:t>
        <w:softHyphen/>
        <w:t>nja«, koje se sastoji u tome da čovjek prihvati Božju zapovijed da čini »d.«, ispunjava rabin- sku literaturu te religijsku filozofiju, usmjere</w:t>
        <w:softHyphen/>
        <w:t>nu na djelo, od Filona do Majmonida i teks</w:t>
        <w:softHyphen/>
        <w:t>tove modernih židovskih filozofa. Karakteris</w:t>
        <w:softHyphen/>
        <w:t>tično je da se i u židovskoj mistici otkriva smi</w:t>
        <w:softHyphen/>
        <w:t>sao života u činjenju »dobra«.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I Jt.: E. Auerbach, </w:t>
      </w:r>
      <w:r>
        <w:rPr>
          <w:i/>
          <w:iCs/>
          <w:color w:val="000000"/>
          <w:spacing w:val="0"/>
          <w:w w:val="100"/>
          <w:position w:val="0"/>
          <w:shd w:val="clear" w:color="auto" w:fill="auto"/>
        </w:rPr>
        <w:t>Die Prophetie,</w:t>
      </w:r>
      <w:r>
        <w:rPr>
          <w:color w:val="000000"/>
          <w:spacing w:val="0"/>
          <w:w w:val="100"/>
          <w:position w:val="0"/>
          <w:shd w:val="clear" w:color="auto" w:fill="auto"/>
        </w:rPr>
        <w:t xml:space="preserve"> 1920,67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A. J. 1 leschcl, </w:t>
      </w:r>
      <w:r>
        <w:rPr>
          <w:i/>
          <w:iCs/>
          <w:color w:val="000000"/>
          <w:spacing w:val="0"/>
          <w:w w:val="100"/>
          <w:position w:val="0"/>
          <w:shd w:val="clear" w:color="auto" w:fill="auto"/>
        </w:rPr>
        <w:t>Goll such! den Menschen,</w:t>
      </w:r>
      <w:r>
        <w:rPr>
          <w:color w:val="000000"/>
          <w:spacing w:val="0"/>
          <w:w w:val="100"/>
          <w:position w:val="0"/>
          <w:shd w:val="clear" w:color="auto" w:fill="auto"/>
        </w:rPr>
        <w:t xml:space="preserve"> 1980, 218 i d., 267 i d., 282 i d.</w:t>
      </w:r>
    </w:p>
    <w:p>
      <w:pPr>
        <w:pStyle w:val="Style74"/>
        <w:keepNext w:val="0"/>
        <w:keepLines w:val="0"/>
        <w:widowControl w:val="0"/>
        <w:shd w:val="clear" w:color="auto" w:fill="auto"/>
        <w:bidi w:val="0"/>
        <w:spacing w:before="0" w:after="240"/>
        <w:ind w:left="0" w:right="140" w:firstLine="0"/>
        <w:jc w:val="right"/>
      </w:pPr>
      <w:r>
        <w:rPr>
          <w:rFonts w:ascii="Times New Roman" w:eastAsia="Times New Roman" w:hAnsi="Times New Roman" w:cs="Times New Roman"/>
          <w:color w:val="000000"/>
          <w:spacing w:val="0"/>
          <w:w w:val="100"/>
          <w:position w:val="0"/>
          <w:shd w:val="clear" w:color="auto" w:fill="auto"/>
          <w:lang w:val="en-US" w:eastAsia="en-US" w:bidi="en-US"/>
        </w:rPr>
        <w:t>D. VE1TER</w:t>
      </w:r>
    </w:p>
    <w:p>
      <w:pPr>
        <w:pStyle w:val="Style63"/>
        <w:keepNext/>
        <w:keepLines/>
        <w:widowControl w:val="0"/>
        <w:numPr>
          <w:ilvl w:val="0"/>
          <w:numId w:val="95"/>
        </w:numPr>
        <w:shd w:val="clear" w:color="auto" w:fill="auto"/>
        <w:tabs>
          <w:tab w:pos="255" w:val="left"/>
        </w:tabs>
        <w:bidi w:val="0"/>
        <w:spacing w:before="0" w:after="80"/>
        <w:ind w:left="0" w:right="0" w:firstLine="0"/>
        <w:jc w:val="both"/>
      </w:pPr>
      <w:bookmarkStart w:id="72" w:name="bookmark7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7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je ono što je vrijedno, što zaslužuje da ga volimo, cijenimo i za njim težimo. Najprije treba razlikovati između onoga što je d. u sebi, što samo po sebi zavrjeđuje da bude voljeno i postignuto, od onoga što je samo sredstvo s određenom svrhom, što zaslužuje da ga cijeni</w:t>
        <w:softHyphen/>
        <w:t>mo samo s obzirom na tu svrhu. Radost je, pri</w:t>
        <w:softHyphen/>
        <w:t>mjerice, nešto dobro u sebi, a, naprotiv, oštar nož je dobar samo u funkcionalnom smislu, dobar je kao oruđe za rezanje.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Unutar onoga što je u sebi d., treba još raz</w:t>
        <w:softHyphen/>
        <w:t>likovati između dobroga u izvanćudorednom smislu, izvanćudorednih vrijednosti u koje pri</w:t>
        <w:softHyphen/>
        <w:t>pada sve dobro, čije ostvarenje ne ovisi samo o slobodnoj čovjekovoj odluci, i dobroga u ću</w:t>
        <w:softHyphen/>
        <w:t>dorednom smislu, ćudorednih vrijednosti, onog čovjekova pozitivnog svojstva koje proizlazi samo iz njegove slobodne odluke za nepris</w:t>
        <w:softHyphen/>
        <w:t>tranu (nesebičnu) ljubav. D. u izvanćudored</w:t>
        <w:softHyphen/>
        <w:t>nom smislu je, primjerice, sve ono što sačinja</w:t>
        <w:softHyphen/>
        <w:t>va čovjekovo blagostanje: sam čovjekov život, zdravlje, inteligencija, osobni odnosi itd. Ozna</w:t>
        <w:softHyphen/>
        <w:t>ka ‘izvanćudoredan’ samo kazuje da posjedo</w:t>
        <w:softHyphen/>
        <w:t>vanje takvih dobara ili njihov nedostatak ni u kojem slučaju ne dotiče čovjekovu ćudorednu vrijednost. Netko može biti siromašan ili bo</w:t>
        <w:softHyphen/>
        <w:t>gat, bolestan ili zdrav, prezren ili cijenjen - sve se to odnosi (samo) na dobre i loše strane njegova života, ali ne i na njegovu moralnu kvalitetu, njegovu ćudorednu dobrotu ili zloću (usp. Mt 16,26: »Što koristi čovjeku ako do</w:t>
        <w:softHyphen/>
        <w:t>bije sav svijet, a izgubi svoj život?«). No s izra</w:t>
        <w:softHyphen/>
        <w:t>zom ‘izvanćudoredno’ nipošto se ne želi reći da je dobro u izvanćudorednom smislu ćudo</w:t>
        <w:softHyphen/>
        <w:t>redno beznačajno. Upravo je suprotno: Ćudo</w:t>
        <w:softHyphen/>
        <w:t>redna dobrota nekog čovjeka ostvaruje se (najjače) upravo njegovim slobodnim nepri</w:t>
        <w:softHyphen/>
        <w:t>stranim (nesebičnim) stavom prema izvan- čudorednim vrijednostima i nevoljama (usp. Mt 25,31^16: »Zaista, kažem vam, meni ste učinili koliko ste učinili jednomu od ove moje najmanje braće.«). Pod ćudorednom vrijed</w:t>
        <w:softHyphen/>
        <w:t xml:space="preserve">nošću podrazumijeva se samo ona vrijednost koja proizlazi iz slobodne odluke ili temeljnog shvaćanja na osnovi kojih je čovjek spreman nepristrano ljubiti sve d. u onoj mjeri u kojoj je ono &lt;1., a mrziti sve zlo u onoj mjeri u kojoj </w:t>
      </w:r>
      <w:r>
        <w:rPr>
          <w:rFonts w:ascii="Times New Roman" w:eastAsia="Times New Roman" w:hAnsi="Times New Roman" w:cs="Times New Roman"/>
          <w:color w:val="000000"/>
          <w:spacing w:val="0"/>
          <w:w w:val="100"/>
          <w:position w:val="0"/>
          <w:shd w:val="clear" w:color="auto" w:fill="auto"/>
          <w:lang w:val="hr-HR" w:eastAsia="hr-HR" w:bidi="hr-HR"/>
        </w:rPr>
        <w:t>je ono zlo i prema tome prosuđivati i postu</w:t>
        <w:softHyphen/>
        <w:t>pati. Ćudoredno je d., dakle, samo jedno: ne- koristoljubiva ljubav (usp. dvostruku zapovijed ljubavi prema Bogu i prema bližnjemu). Ako sve vrline (kao poniznost, milosrdnost, strp</w:t>
        <w:softHyphen/>
        <w:t>ljivost itd.) predstavljaju pojedinačne aspekte ćudoredne dobrote, one se dadu u množini označiti kao ćudoredne vrijednosti (usp. 1 Kor 13). Ćudoredno d. označava se u filo</w:t>
        <w:softHyphen/>
        <w:t>zofskoj (kantovskoj) terminologiji kao moral</w:t>
        <w:softHyphen/>
        <w:t>nost, a u teološkoj kao spasenje (ćudoredna dobrota je središnji aspekt spasenja).</w:t>
      </w:r>
    </w:p>
    <w:p>
      <w:pPr>
        <w:pStyle w:val="Style20"/>
        <w:keepNext w:val="0"/>
        <w:keepLines w:val="0"/>
        <w:widowControl w:val="0"/>
        <w:shd w:val="clear" w:color="auto" w:fill="auto"/>
        <w:bidi w:val="0"/>
        <w:spacing w:before="0" w:after="60" w:line="257" w:lineRule="auto"/>
        <w:ind w:left="0" w:right="0" w:firstLine="0"/>
        <w:jc w:val="both"/>
        <w:sectPr>
          <w:headerReference w:type="default" r:id="rId319"/>
          <w:footerReference w:type="default" r:id="rId320"/>
          <w:headerReference w:type="even" r:id="rId321"/>
          <w:footerReference w:type="even" r:id="rId322"/>
          <w:headerReference w:type="first" r:id="rId323"/>
          <w:footerReference w:type="first" r:id="rId324"/>
          <w:footnotePr>
            <w:pos w:val="pageBottom"/>
            <w:numFmt w:val="decimal"/>
            <w:numStart w:val="5"/>
            <w:numRestart w:val="continuous"/>
            <w15:footnoteColumns w:val="1"/>
          </w:footnotePr>
          <w:pgSz w:w="6816" w:h="11006"/>
          <w:pgMar w:top="972" w:left="196" w:right="197" w:bottom="559" w:header="0" w:footer="3" w:gutter="0"/>
          <w:pgNumType w:start="109"/>
          <w:cols w:num="2" w:space="20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Čovjeka se bezuvjetno treba ticati ostvariva</w:t>
        <w:softHyphen/>
        <w:t>nje ćudoredno dobroga (ćudoredne dobrote, dobre volje ili moralnosti), a ostvarivanje iz</w:t>
        <w:softHyphen/>
        <w:t>vanćudorednih dobara samo uvjetno, tj. ako ne stoje u protivnosti s očuvanjem njegova moralnog integriteta (usp. Mt 16,26). Klasični tekst u kojem dolazi do izražaja ovaj katego</w:t>
        <w:softHyphen/>
        <w:t xml:space="preserve">rički zapovjedni karakter ćudoredno dobroga nalazi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 xml:space="preserve">Grundlegung </w:t>
      </w:r>
      <w:r>
        <w:rPr>
          <w:rFonts w:ascii="Times New Roman" w:eastAsia="Times New Roman" w:hAnsi="Times New Roman" w:cs="Times New Roman"/>
          <w:i/>
          <w:iCs/>
          <w:color w:val="000000"/>
          <w:spacing w:val="0"/>
          <w:w w:val="100"/>
          <w:position w:val="0"/>
          <w:shd w:val="clear" w:color="auto" w:fill="auto"/>
          <w:lang w:val="hr-HR" w:eastAsia="hr-HR" w:bidi="hr-HR"/>
        </w:rPr>
        <w:t xml:space="preserve">zur </w:t>
      </w:r>
      <w:r>
        <w:rPr>
          <w:rFonts w:ascii="Times New Roman" w:eastAsia="Times New Roman" w:hAnsi="Times New Roman" w:cs="Times New Roman"/>
          <w:i/>
          <w:iCs/>
          <w:color w:val="000000"/>
          <w:spacing w:val="0"/>
          <w:w w:val="100"/>
          <w:position w:val="0"/>
          <w:shd w:val="clear" w:color="auto" w:fill="auto"/>
          <w:lang w:val="en-US" w:eastAsia="en-US" w:bidi="en-US"/>
        </w:rPr>
        <w:t xml:space="preserve">Metaphysik </w:t>
      </w:r>
      <w:r>
        <w:rPr>
          <w:rFonts w:ascii="Times New Roman" w:eastAsia="Times New Roman" w:hAnsi="Times New Roman" w:cs="Times New Roman"/>
          <w:i/>
          <w:iCs/>
          <w:color w:val="000000"/>
          <w:spacing w:val="0"/>
          <w:w w:val="100"/>
          <w:position w:val="0"/>
          <w:shd w:val="clear" w:color="auto" w:fill="auto"/>
          <w:lang w:val="hr-HR" w:eastAsia="hr-HR" w:bidi="hr-HR"/>
        </w:rPr>
        <w:t>der Sillen</w:t>
      </w:r>
      <w:r>
        <w:rPr>
          <w:rFonts w:ascii="Times New Roman" w:eastAsia="Times New Roman" w:hAnsi="Times New Roman" w:cs="Times New Roman"/>
          <w:color w:val="000000"/>
          <w:spacing w:val="0"/>
          <w:w w:val="100"/>
          <w:position w:val="0"/>
          <w:shd w:val="clear" w:color="auto" w:fill="auto"/>
          <w:lang w:val="hr-HR" w:eastAsia="hr-HR" w:bidi="hr-HR"/>
        </w:rPr>
        <w:t xml:space="preserve"> (BA 1-3) I. Kanta: »Ništa na čitavom svijetu i izvan njega što se može zamisliti, ne bi se moglo držati za d. bez ograničenja osim jedino dobre volje. Razum, dosjetljivost, sna</w:t>
        <w:softHyphen/>
        <w:t>ga prosuđivanja i kako se inače sve zovu duhovni talenti, ili odvažnost, odlučnost, ustraj</w:t>
        <w:softHyphen/>
        <w:t>nost u nakanama kao svojstva temperamenta bez sumnje su dobri i poželjni u nekom smis</w:t>
        <w:softHyphen/>
        <w:t>lu, ali oni mogu postati krajnje loši i štetni, ako volja koja treba primijeniti ove prirodne darove i njezino osebujno svojstvo, koje se za</w:t>
        <w:softHyphen/>
        <w:t>to označava kao karakter, nisu dobri. S daro</w:t>
        <w:softHyphen/>
        <w:t>vima sreće isto je tako ... Dobra volja nije po onome što čini ili izvršava ... nego samo po htijenju, a to je po sebi d. i kada se promatra samo za sebe, bez usporedbe, pa to htijenje treba daleko više cijeniti, nego sve što bi po njoj ... moglo biti samo izvedeno. Ako zbog posebne nenaklonjenosti sudbine ili oskudne nadarenosti od strane maćuhinske prirode ovoj volji sasvim nedostaje moć da provede svoju namjeru, ako uz svoje najveće nastoja</w:t>
        <w:softHyphen/>
        <w:t>nje ipak nije ništa izvela, pa je preostala samo ... dobra volja, tada bi ona ipak blistala poput dragulja sama za sebe kao nešto što ima svoju punu vrijednost po sebi.« Iz ove prednosti ću</w:t>
        <w:softHyphen/>
        <w:t>doredno dobroga pred svim izvanćudorednim dobrima izvodi se bezizniman zahtjev u od</w:t>
        <w:softHyphen/>
        <w:t>nosu na slobodu savjesti i vjersku slobodu, tj. zahtjev da nitko ne smije biti prisiljen postu</w:t>
        <w:softHyphen/>
      </w:r>
    </w:p>
    <w:p>
      <w:pPr>
        <w:pStyle w:val="Style20"/>
        <w:keepNext w:val="0"/>
        <w:keepLines w:val="0"/>
        <w:widowControl w:val="0"/>
        <w:shd w:val="clear" w:color="auto" w:fill="auto"/>
        <w:bidi w:val="0"/>
        <w:spacing w:before="0" w:after="6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pati protiv uvjerenja svoje (možda i pogrešne) savjesti ili vjere.</w:t>
      </w:r>
    </w:p>
    <w:p>
      <w:pPr>
        <w:pStyle w:val="Style56"/>
        <w:keepNext w:val="0"/>
        <w:keepLines w:val="0"/>
        <w:widowControl w:val="0"/>
        <w:shd w:val="clear" w:color="auto" w:fill="auto"/>
        <w:tabs>
          <w:tab w:pos="2414" w:val="left"/>
        </w:tabs>
        <w:bidi w:val="0"/>
        <w:spacing w:before="0" w:after="1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B. </w:t>
      </w:r>
      <w:r>
        <w:rPr>
          <w:color w:val="000000"/>
          <w:spacing w:val="0"/>
          <w:w w:val="100"/>
          <w:position w:val="0"/>
          <w:shd w:val="clear" w:color="auto" w:fill="auto"/>
        </w:rPr>
        <w:t xml:space="preserve">Schuller. </w:t>
      </w:r>
      <w:r>
        <w:rPr>
          <w:i/>
          <w:iCs/>
          <w:color w:val="000000"/>
          <w:spacing w:val="0"/>
          <w:w w:val="100"/>
          <w:position w:val="0"/>
          <w:shd w:val="clear" w:color="auto" w:fill="auto"/>
        </w:rPr>
        <w:t xml:space="preserve">Dir. </w:t>
      </w:r>
      <w:r>
        <w:rPr>
          <w:i/>
          <w:iCs/>
          <w:color w:val="000000"/>
          <w:spacing w:val="0"/>
          <w:w w:val="100"/>
          <w:position w:val="0"/>
          <w:shd w:val="clear" w:color="auto" w:fill="auto"/>
          <w:lang w:val="hr-HR" w:eastAsia="hr-HR" w:bidi="hr-HR"/>
        </w:rPr>
        <w:t xml:space="preserve">Begrundung </w:t>
      </w:r>
      <w:r>
        <w:rPr>
          <w:i/>
          <w:iCs/>
          <w:color w:val="000000"/>
          <w:spacing w:val="0"/>
          <w:w w:val="100"/>
          <w:position w:val="0"/>
          <w:shd w:val="clear" w:color="auto" w:fill="auto"/>
        </w:rPr>
        <w:t>siltlicher Urteile,</w:t>
      </w:r>
      <w:r>
        <w:rPr>
          <w:color w:val="000000"/>
          <w:spacing w:val="0"/>
          <w:w w:val="100"/>
          <w:position w:val="0"/>
          <w:shd w:val="clear" w:color="auto" w:fill="auto"/>
        </w:rPr>
        <w:t xml:space="preserve"> DiKscldorf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198O, posebice 73-78,142-154.</w:t>
        <w:tab/>
        <w:t xml:space="preserve">R. </w:t>
      </w:r>
      <w:r>
        <w:rPr>
          <w:color w:val="000000"/>
          <w:spacing w:val="0"/>
          <w:w w:val="100"/>
          <w:position w:val="0"/>
          <w:shd w:val="clear" w:color="auto" w:fill="auto"/>
        </w:rPr>
        <w:t>GINTERS</w:t>
      </w:r>
    </w:p>
    <w:p>
      <w:pPr>
        <w:pStyle w:val="Style63"/>
        <w:keepNext/>
        <w:keepLines/>
        <w:widowControl w:val="0"/>
        <w:numPr>
          <w:ilvl w:val="0"/>
          <w:numId w:val="95"/>
        </w:numPr>
        <w:shd w:val="clear" w:color="auto" w:fill="auto"/>
        <w:tabs>
          <w:tab w:pos="265" w:val="left"/>
        </w:tabs>
        <w:bidi w:val="0"/>
        <w:spacing w:before="0" w:line="223" w:lineRule="auto"/>
        <w:ind w:left="0" w:right="0" w:firstLine="0"/>
        <w:jc w:val="both"/>
      </w:pPr>
      <w:bookmarkStart w:id="73" w:name="bookmark73"/>
      <w:r>
        <w:rPr>
          <w:rFonts w:ascii="Times New Roman" w:eastAsia="Times New Roman" w:hAnsi="Times New Roman" w:cs="Times New Roman"/>
          <w:color w:val="000000"/>
          <w:spacing w:val="0"/>
          <w:w w:val="100"/>
          <w:position w:val="0"/>
          <w:shd w:val="clear" w:color="auto" w:fill="auto"/>
          <w:lang w:val="hr-HR" w:eastAsia="hr-HR" w:bidi="hr-HR"/>
        </w:rPr>
        <w:t>islamski</w:t>
      </w:r>
      <w:bookmarkEnd w:id="7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se u svom zemaljskom životu često kre</w:t>
        <w:softHyphen/>
        <w:t>će između dobra i zla. On je podložan mno</w:t>
        <w:softHyphen/>
        <w:t>gim iskušenjima. Prema islamskomu nauku, za pronalaženje puta k dobru potrebna je jed</w:t>
        <w:softHyphen/>
        <w:t>na temeljna orijentacija: potrebna je odluka za Boga. Suprotnost je zaborav Boga koji uvi</w:t>
        <w:softHyphen/>
        <w:t>jek predstavlja skliski put koji odvodi od Bo</w:t>
        <w:softHyphen/>
        <w:t>ga. U predanosti Bogu obistinjujc se najviši stupanj ljudske odgovornosti - čovjek svakako u mnogo čemu zastupa Boga na zemlji. Apso</w:t>
        <w:softHyphen/>
        <w:t>lutno d. dolazi od Boga. »Koja god vas ne</w:t>
        <w:softHyphen/>
        <w:t>sreća pogodi, to je zbog onog što ste vi za</w:t>
        <w:softHyphen/>
        <w:t xml:space="preserve">radili, a </w:t>
      </w:r>
      <w:r>
        <w:rPr>
          <w:rFonts w:ascii="Times New Roman" w:eastAsia="Times New Roman" w:hAnsi="Times New Roman" w:cs="Times New Roman"/>
          <w:i/>
          <w:iCs/>
          <w:color w:val="000000"/>
          <w:spacing w:val="0"/>
          <w:w w:val="100"/>
          <w:position w:val="0"/>
          <w:shd w:val="clear" w:color="auto" w:fill="auto"/>
          <w:lang w:val="hr-HR" w:eastAsia="hr-HR" w:bidi="hr-HR"/>
        </w:rPr>
        <w:t>(Alah)</w:t>
      </w:r>
      <w:r>
        <w:rPr>
          <w:rFonts w:ascii="Times New Roman" w:eastAsia="Times New Roman" w:hAnsi="Times New Roman" w:cs="Times New Roman"/>
          <w:color w:val="000000"/>
          <w:spacing w:val="0"/>
          <w:w w:val="100"/>
          <w:position w:val="0"/>
          <w:shd w:val="clear" w:color="auto" w:fill="auto"/>
          <w:lang w:val="hr-HR" w:eastAsia="hr-HR" w:bidi="hr-HR"/>
        </w:rPr>
        <w:t xml:space="preserve"> mnogo oprašta« (42,30).</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sunitskom shvaćanju, d. potječe iz bo</w:t>
        <w:softHyphen/>
        <w:t>gate Božje riznice. Ono je stalno prisutno; čo</w:t>
        <w:softHyphen/>
        <w:t>vjek ga samo treba steći. Čovjekova djela pro</w:t>
        <w:softHyphen/>
        <w:t>suđuju se prema stjecanju dobara ili prema nji</w:t>
        <w:softHyphen/>
        <w:t>hovu propustu. Pritom je odlučujuća nakana. Stoga je - moralno gledano - vjernik u koristi zato što njegova djela zbog stalne predanosti Bogu, u čijem se znaku izvode, imaju bolju motivaciju od djela nevjernika. Propust zla jest pretpostavka za to da se potpuno očituje d. Zlo obezvrjeđuje dobro djelo koje mu se stavlja na stranu. Vjerodostojne izreke vje- rovjesnika (hadisc) kažu npr. da je bezvrije</w:t>
        <w:softHyphen/>
        <w:t>dan post onoga koji laže ili nekoga preva</w:t>
        <w:softHyphen/>
        <w:t>ranta. Doduše, dobra djela mogu ublažiti ili otkloniti posljedice zlih djela, no njihovo pa</w:t>
        <w:softHyphen/>
        <w:t>ralelno odvijanje ipak ne svjedoči o čistoći du</w:t>
        <w:softHyphen/>
        <w:t>še. D. je eliminirajući čimbenik zla samo ako se ono naknadno postavlja kao popratna po</w:t>
        <w:softHyphen/>
        <w:t xml:space="preserve">java kajanja, te stoga »nije jednako dobro i rdavo </w:t>
      </w:r>
      <w:r>
        <w:rPr>
          <w:rFonts w:ascii="Times New Roman" w:eastAsia="Times New Roman" w:hAnsi="Times New Roman" w:cs="Times New Roman"/>
          <w:i/>
          <w:iCs/>
          <w:color w:val="000000"/>
          <w:spacing w:val="0"/>
          <w:w w:val="100"/>
          <w:position w:val="0"/>
          <w:shd w:val="clear" w:color="auto" w:fill="auto"/>
          <w:lang w:val="hr-HR" w:eastAsia="hr-HR" w:bidi="hr-HR"/>
        </w:rPr>
        <w:t>(djelo).</w:t>
      </w:r>
      <w:r>
        <w:rPr>
          <w:rFonts w:ascii="Times New Roman" w:eastAsia="Times New Roman" w:hAnsi="Times New Roman" w:cs="Times New Roman"/>
          <w:color w:val="000000"/>
          <w:spacing w:val="0"/>
          <w:w w:val="100"/>
          <w:position w:val="0"/>
          <w:shd w:val="clear" w:color="auto" w:fill="auto"/>
          <w:lang w:val="hr-HR" w:eastAsia="hr-HR" w:bidi="hr-HR"/>
        </w:rPr>
        <w:t xml:space="preserve"> Odbij </w:t>
      </w:r>
      <w:r>
        <w:rPr>
          <w:rFonts w:ascii="Times New Roman" w:eastAsia="Times New Roman" w:hAnsi="Times New Roman" w:cs="Times New Roman"/>
          <w:i/>
          <w:iCs/>
          <w:color w:val="000000"/>
          <w:spacing w:val="0"/>
          <w:w w:val="100"/>
          <w:position w:val="0"/>
          <w:shd w:val="clear" w:color="auto" w:fill="auto"/>
          <w:lang w:val="hr-HR" w:eastAsia="hr-HR" w:bidi="hr-HR"/>
        </w:rPr>
        <w:t>(zlo)</w:t>
      </w:r>
      <w:r>
        <w:rPr>
          <w:rFonts w:ascii="Times New Roman" w:eastAsia="Times New Roman" w:hAnsi="Times New Roman" w:cs="Times New Roman"/>
          <w:color w:val="000000"/>
          <w:spacing w:val="0"/>
          <w:w w:val="100"/>
          <w:position w:val="0"/>
          <w:shd w:val="clear" w:color="auto" w:fill="auto"/>
          <w:lang w:val="hr-HR" w:eastAsia="hr-HR" w:bidi="hr-HR"/>
        </w:rPr>
        <w:t xml:space="preserve"> s onim što je naj</w:t>
        <w:softHyphen/>
        <w:t xml:space="preserve">ljepše, pa će </w:t>
      </w:r>
      <w:r>
        <w:rPr>
          <w:rFonts w:ascii="Times New Roman" w:eastAsia="Times New Roman" w:hAnsi="Times New Roman" w:cs="Times New Roman"/>
          <w:i/>
          <w:iCs/>
          <w:color w:val="000000"/>
          <w:spacing w:val="0"/>
          <w:w w:val="100"/>
          <w:position w:val="0"/>
          <w:shd w:val="clear" w:color="auto" w:fill="auto"/>
          <w:lang w:val="hr-HR" w:eastAsia="hr-HR" w:bidi="hr-HR"/>
        </w:rPr>
        <w:t>(ti)</w:t>
      </w:r>
      <w:r>
        <w:rPr>
          <w:rFonts w:ascii="Times New Roman" w:eastAsia="Times New Roman" w:hAnsi="Times New Roman" w:cs="Times New Roman"/>
          <w:color w:val="000000"/>
          <w:spacing w:val="0"/>
          <w:w w:val="100"/>
          <w:position w:val="0"/>
          <w:shd w:val="clear" w:color="auto" w:fill="auto"/>
          <w:lang w:val="hr-HR" w:eastAsia="hr-HR" w:bidi="hr-HR"/>
        </w:rPr>
        <w:t xml:space="preserve"> onaj što je između tebe i iz</w:t>
        <w:softHyphen/>
        <w:t xml:space="preserve">među njega postojalo neprijateljstvo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(postati) </w:t>
      </w:r>
      <w:r>
        <w:rPr>
          <w:rFonts w:ascii="Times New Roman" w:eastAsia="Times New Roman" w:hAnsi="Times New Roman" w:cs="Times New Roman"/>
          <w:color w:val="000000"/>
          <w:spacing w:val="0"/>
          <w:w w:val="100"/>
          <w:position w:val="0"/>
          <w:shd w:val="clear" w:color="auto" w:fill="auto"/>
          <w:lang w:val="hr-HR" w:eastAsia="hr-HR" w:bidi="hr-HR"/>
        </w:rPr>
        <w:t>kao da je iskren prijatelj« (41,34).</w:t>
      </w:r>
    </w:p>
    <w:p>
      <w:pPr>
        <w:pStyle w:val="Style56"/>
        <w:keepNext w:val="0"/>
        <w:keepLines w:val="0"/>
        <w:widowControl w:val="0"/>
        <w:shd w:val="clear" w:color="auto" w:fill="auto"/>
        <w:tabs>
          <w:tab w:pos="2578" w:val="left"/>
        </w:tabs>
        <w:bidi w:val="0"/>
        <w:spacing w:before="0" w:after="300" w:line="240" w:lineRule="auto"/>
        <w:ind w:left="0" w:right="0" w:firstLine="0"/>
        <w:jc w:val="both"/>
      </w:pPr>
      <w:r>
        <w:rPr>
          <w:color w:val="000000"/>
          <w:spacing w:val="0"/>
          <w:w w:val="100"/>
          <w:position w:val="0"/>
          <w:shd w:val="clear" w:color="auto" w:fill="auto"/>
          <w:lang w:val="hr-HR" w:eastAsia="hr-HR" w:bidi="hr-HR"/>
        </w:rPr>
        <w:t xml:space="preserve">IJl.: G. Menschiiig, Gut umi Bose im Islam, u: </w:t>
      </w:r>
      <w:r>
        <w:rPr>
          <w:i/>
          <w:iCs/>
          <w:color w:val="000000"/>
          <w:spacing w:val="0"/>
          <w:w w:val="100"/>
          <w:position w:val="0"/>
          <w:shd w:val="clear" w:color="auto" w:fill="auto"/>
        </w:rPr>
        <w:t xml:space="preserve">DieAuswahl </w:t>
      </w:r>
      <w:r>
        <w:rPr>
          <w:color w:val="000000"/>
          <w:spacing w:val="0"/>
          <w:w w:val="100"/>
          <w:position w:val="0"/>
          <w:shd w:val="clear" w:color="auto" w:fill="auto"/>
          <w:lang w:val="hr-HR" w:eastAsia="hr-HR" w:bidi="hr-HR"/>
        </w:rPr>
        <w:t>4/1942, 6-10.</w:t>
        <w:tab/>
        <w:t>S. BAI.IĆ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DOBROČINSTVO</w:t>
      </w:r>
    </w:p>
    <w:p>
      <w:pPr>
        <w:pStyle w:val="Style63"/>
        <w:keepNext/>
        <w:keepLines/>
        <w:widowControl w:val="0"/>
        <w:numPr>
          <w:ilvl w:val="0"/>
          <w:numId w:val="97"/>
        </w:numPr>
        <w:shd w:val="clear" w:color="auto" w:fill="auto"/>
        <w:tabs>
          <w:tab w:pos="255" w:val="left"/>
        </w:tabs>
        <w:bidi w:val="0"/>
        <w:spacing w:before="0" w:line="223" w:lineRule="auto"/>
        <w:ind w:left="0" w:right="0" w:firstLine="0"/>
        <w:jc w:val="both"/>
      </w:pPr>
      <w:bookmarkStart w:id="74" w:name="bookmark74"/>
      <w:r>
        <w:rPr>
          <w:rFonts w:ascii="Times New Roman" w:eastAsia="Times New Roman" w:hAnsi="Times New Roman" w:cs="Times New Roman"/>
          <w:color w:val="000000"/>
          <w:spacing w:val="0"/>
          <w:w w:val="100"/>
          <w:position w:val="0"/>
          <w:shd w:val="clear" w:color="auto" w:fill="auto"/>
          <w:lang w:val="hr-HR" w:eastAsia="hr-HR" w:bidi="hr-HR"/>
        </w:rPr>
        <w:t>židovski</w:t>
      </w:r>
      <w:bookmarkEnd w:id="74"/>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»Ako tvoj brat zapadne u škripac i ne mogne održavati svoje odnose s tobom, primi ga; i </w:t>
      </w:r>
      <w:r>
        <w:rPr>
          <w:rFonts w:ascii="Times New Roman" w:eastAsia="Times New Roman" w:hAnsi="Times New Roman" w:cs="Times New Roman"/>
          <w:color w:val="000000"/>
          <w:spacing w:val="0"/>
          <w:w w:val="100"/>
          <w:position w:val="0"/>
          <w:shd w:val="clear" w:color="auto" w:fill="auto"/>
          <w:lang w:val="hr-HR" w:eastAsia="hr-HR" w:bidi="hr-HR"/>
        </w:rPr>
        <w:t xml:space="preserve">neka s tobom živi kao stranac ili gost!«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25,35). Izrael je otkrio bližnjega. Njegova pre</w:t>
        <w:softHyphen/>
        <w:t>daja, obuhvaćena u hebrejskoj Bibliji, uvela je bližnjega silom prilika u etičko razmatranje: «... podijeliti kruh svoj s gladnima, uvesti pod krov svoj beskućnike, odjenuti onoga koga vi</w:t>
        <w:softHyphen/>
        <w:t>diš gola, i ne kriti se od onog tko je tvoje krvi. Tad će sinul poput zore tvoja svjetlost, i zdrav</w:t>
        <w:softHyphen/>
        <w:t>lje će tvoje brzo procvasti. Pred tobom će ići tvoja pravda, a Slava NJEGOVA bit će ti za- laznicom« (Iz 59,7 i d.). Radi zajedničkog Stvo</w:t>
        <w:softHyphen/>
        <w:t>ritelja dobrobit bližnjega postaje u židovskom narodu normom za ocjenjivanje čovječjeg dje</w:t>
        <w:softHyphen/>
        <w:t xml:space="preserve">lovanja: »Tko tlači siromaha, huli na NJEGA, a časti ga tko je milostiv ubogomu« (Izr 14,31, usp. 19,17; 21,13; 22,9; Ez 16,49; Ps 37,21; 41,2; 112,9;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31,16-20). Budući da čovjek, prema biblijskom gledištu, nije pojedinac, ne smije radi osobne koristi bića uz koja živi tla</w:t>
        <w:softHyphen/>
        <w:t xml:space="preserve">čiti niti iskorištavati (Izl 22,21; 23,4 i d.;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19,17 i d.; Pnz 24,17; Izr 20,22; 24,17.29; 25,21 i d.;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31,29 i d.); naprotiv, kao član cjeline, koja se sastoji od ljudi s jednakim pravima i jednakim dužnostima, on mora, koliko god može, pridonijeti tome da se ona očuva, raste i uspijeva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19,33 i d..; Pnz 10,19; Iz 1,17; Zah 7,9 i d.; Izr 3,27 i d.). »Istina je... da ljudi postupaju slično Bogu samo ako čine dobro. No, koje bi veće dobro moglo postojati za (nas) smrtnike od nasljedovanja vječnoga Boga?« (Filon Aleksandrijski,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 specialities </w:t>
      </w:r>
      <w:r>
        <w:rPr>
          <w:rFonts w:ascii="Times New Roman" w:eastAsia="Times New Roman" w:hAnsi="Times New Roman" w:cs="Times New Roman"/>
          <w:i/>
          <w:iCs/>
          <w:color w:val="000000"/>
          <w:spacing w:val="0"/>
          <w:w w:val="100"/>
          <w:position w:val="0"/>
          <w:shd w:val="clear" w:color="auto" w:fill="auto"/>
          <w:lang w:val="hr-HR" w:eastAsia="hr-HR" w:bidi="hr-HR"/>
        </w:rPr>
        <w:t>legibus IV, de judice).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Valja spomenuti istovjetnost rabinskog izraza za dobrotvomost i davanje milostinje s biblij</w:t>
        <w:softHyphen/>
        <w:t>skom riječju »ccdaka« (»pravednost«, »dobro- tvornost«, »milodar«) (Izr 10,2; 11,4-6.18 i d.; 12,28; 13,6). Učitelji židovstva povezuju svaku pohvalu »pravednosti« u biblijskim spisima s dobročinstvom i davanjem milostinje te za</w:t>
        <w:softHyphen/>
        <w:t>ključuju: »Milostinja i djela ljubavi vrijede ko</w:t>
        <w:softHyphen/>
        <w:t xml:space="preserve">liko i zapovijedi« (j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1,1,15b). »Tko uskra</w:t>
        <w:softHyphen/>
        <w:t xml:space="preserve">ćuje d., jednak je idolopokloniku« (b Bava ba- tra 10a). »Navesti nekoga na d., više je nego da sam činiš dobro«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9b). Mudraci su po</w:t>
        <w:softHyphen/>
        <w:t xml:space="preserve">dupirali jeruzalemski običaj: »Objesiš li iznad ulaznih vrata stolnjak, siromasi znaju da mogu ući. Ako se stolnjak skine (tada je to značilo da je sve raspodijeljeno), siromasi više nisu ulazili«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97b); mudraci su, naime, upozo</w:t>
        <w:softHyphen/>
        <w:t>ravali: »Bolje da se čovjek baci u talioničku peć nego da javno posrami lice bližnjega svo</w:t>
        <w:softHyphen/>
        <w:t xml:space="preserve">ga« (b Kctuvot 67b). Oni su prednjačili do- </w:t>
      </w:r>
      <w:r>
        <w:rPr>
          <w:rFonts w:ascii="Times New Roman" w:eastAsia="Times New Roman" w:hAnsi="Times New Roman" w:cs="Times New Roman"/>
          <w:color w:val="000000"/>
          <w:spacing w:val="0"/>
          <w:w w:val="100"/>
          <w:position w:val="0"/>
          <w:shd w:val="clear" w:color="auto" w:fill="auto"/>
          <w:lang w:val="en-US" w:eastAsia="en-US" w:bidi="en-US"/>
        </w:rPr>
        <w:t xml:space="preserve">brim </w:t>
      </w:r>
      <w:r>
        <w:rPr>
          <w:rFonts w:ascii="Times New Roman" w:eastAsia="Times New Roman" w:hAnsi="Times New Roman" w:cs="Times New Roman"/>
          <w:color w:val="000000"/>
          <w:spacing w:val="0"/>
          <w:w w:val="100"/>
          <w:position w:val="0"/>
          <w:shd w:val="clear" w:color="auto" w:fill="auto"/>
          <w:lang w:val="hr-HR" w:eastAsia="hr-HR" w:bidi="hr-HR"/>
        </w:rPr>
        <w:t xml:space="preserve">primjerom: rabin </w:t>
      </w:r>
      <w:r>
        <w:rPr>
          <w:rFonts w:ascii="Times New Roman" w:eastAsia="Times New Roman" w:hAnsi="Times New Roman" w:cs="Times New Roman"/>
          <w:color w:val="000000"/>
          <w:spacing w:val="0"/>
          <w:w w:val="100"/>
          <w:position w:val="0"/>
          <w:shd w:val="clear" w:color="auto" w:fill="auto"/>
          <w:lang w:val="en-US" w:eastAsia="en-US" w:bidi="en-US"/>
        </w:rPr>
        <w:t xml:space="preserve">Akiba </w:t>
      </w:r>
      <w:r>
        <w:rPr>
          <w:rFonts w:ascii="Times New Roman" w:eastAsia="Times New Roman" w:hAnsi="Times New Roman" w:cs="Times New Roman"/>
          <w:color w:val="000000"/>
          <w:spacing w:val="0"/>
          <w:w w:val="100"/>
          <w:position w:val="0"/>
          <w:shd w:val="clear" w:color="auto" w:fill="auto"/>
          <w:lang w:val="hr-HR" w:eastAsia="hr-HR" w:bidi="hr-HR"/>
        </w:rPr>
        <w:t>(I./II. stoljeće) obično je davao milodare tako da bi se sam preodjenuo u siromaha i novac zamotan u tkaninu neopazice spuštao među siromahe (Jalkut u vezi s Ps 41,2). »Rabin Hima (III. stoljeće) obično bi za vrijeme jela otvarao vra</w:t>
        <w:softHyphen/>
        <w:t>ta i rekao: Tko je gladan, može ući i jesti sa mnom« (b Taanit 20b).</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Rabini su priznavali socijalno potrebite rav</w:t>
        <w:softHyphen/>
        <w:t>nopravnim članovima zajednice svojim zahtje</w:t>
        <w:softHyphen/>
        <w:t xml:space="preserve">vom: »I siromah, koji i sam živi od milostinje, mora prema još siromašnijem pokazati d.«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7b). Oni su razvili osebujni etos dobro</w:t>
        <w:softHyphen/>
        <w:t xml:space="preserve">činstva kao »pravednosti« </w:t>
      </w:r>
      <w:r>
        <w:rPr>
          <w:rFonts w:ascii="Times New Roman" w:eastAsia="Times New Roman" w:hAnsi="Times New Roman" w:cs="Times New Roman"/>
          <w:i/>
          <w:iCs/>
          <w:color w:val="000000"/>
          <w:spacing w:val="0"/>
          <w:w w:val="100"/>
          <w:position w:val="0"/>
          <w:shd w:val="clear" w:color="auto" w:fill="auto"/>
          <w:lang w:val="hr-HR" w:eastAsia="hr-HR" w:bidi="hr-HR"/>
        </w:rPr>
        <w:t>(cedaka),</w:t>
      </w:r>
      <w:r>
        <w:rPr>
          <w:rFonts w:ascii="Times New Roman" w:eastAsia="Times New Roman" w:hAnsi="Times New Roman" w:cs="Times New Roman"/>
          <w:color w:val="000000"/>
          <w:spacing w:val="0"/>
          <w:w w:val="100"/>
          <w:position w:val="0"/>
          <w:shd w:val="clear" w:color="auto" w:fill="auto"/>
          <w:lang w:val="hr-HR" w:eastAsia="hr-HR" w:bidi="hr-HR"/>
        </w:rPr>
        <w:t xml:space="preserve"> prema ko</w:t>
        <w:softHyphen/>
        <w:t>joj potrebitom bratu treba pružiti samo dio dobara nastalih stvaranjem, koji mu pripada po pravu, tj. po Bogu, i stoga nije dobrovoljni dar »bogata čovjeka« koji velikodušno daje »milostinju«. Majmonid (1135-1204), koji je nabrojio osam stupnjeva dobročinstva, svrstao je milostinju u novcu u najniži stupanj, a naj</w:t>
        <w:softHyphen/>
        <w:t>višim odredio stupanj koji osposobljava osiro</w:t>
        <w:softHyphen/>
        <w:t>mašenoga da se osamostali i time postane ne</w:t>
        <w:softHyphen/>
        <w:t xml:space="preserve">ovisan o milostinji </w:t>
      </w:r>
      <w:r>
        <w:rPr>
          <w:rFonts w:ascii="Times New Roman" w:eastAsia="Times New Roman" w:hAnsi="Times New Roman" w:cs="Times New Roman"/>
          <w:i/>
          <w:iCs/>
          <w:color w:val="000000"/>
          <w:spacing w:val="0"/>
          <w:w w:val="100"/>
          <w:position w:val="0"/>
          <w:shd w:val="clear" w:color="auto" w:fill="auto"/>
          <w:lang w:val="hr-HR" w:eastAsia="hr-HR" w:bidi="hr-HR"/>
        </w:rPr>
        <w:t>(Mišne Tora, Hilhot ma- tenot anijim).</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židovskom narodu živi od najranije povijes</w:t>
        <w:softHyphen/>
        <w:t>ti smisao za pravednost. To dokazuju socijal- no-pravne odredbe u Tori, koje se temelje na nastojanju da se zaštite društveno i gospodar</w:t>
        <w:softHyphen/>
        <w:t xml:space="preserve">sko slabi.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Albo (XIV./XV. stoljeće) pro</w:t>
        <w:softHyphen/>
        <w:t>sudio je u svojem u religijsko-filozofskom dje</w:t>
        <w:softHyphen/>
        <w:t>lu: »Budući da židovstvo ima u vidu moralne zahtjeve ljudskoga roda, ono traži strogost ka</w:t>
        <w:softHyphen/>
        <w:t>da je treba za ćudorednost, ali inače posvuda traži blagost. Židovstvo zahtijeva, prije svega, blagost za slabe i siromašne. S njima ne smije postupati strogo u primjeni zakonskih odred</w:t>
        <w:softHyphen/>
        <w:t xml:space="preserve">bi« </w:t>
      </w:r>
      <w:r>
        <w:rPr>
          <w:rFonts w:ascii="Times New Roman" w:eastAsia="Times New Roman" w:hAnsi="Times New Roman" w:cs="Times New Roman"/>
          <w:i/>
          <w:iCs/>
          <w:color w:val="000000"/>
          <w:spacing w:val="0"/>
          <w:w w:val="100"/>
          <w:position w:val="0"/>
          <w:shd w:val="clear" w:color="auto" w:fill="auto"/>
          <w:lang w:val="hr-HR" w:eastAsia="hr-HR" w:bidi="hr-HR"/>
        </w:rPr>
        <w:t>(Ikarim</w:t>
      </w:r>
      <w:r>
        <w:rPr>
          <w:rFonts w:ascii="Times New Roman" w:eastAsia="Times New Roman" w:hAnsi="Times New Roman" w:cs="Times New Roman"/>
          <w:color w:val="000000"/>
          <w:spacing w:val="0"/>
          <w:w w:val="100"/>
          <w:position w:val="0"/>
          <w:shd w:val="clear" w:color="auto" w:fill="auto"/>
          <w:lang w:val="hr-HR" w:eastAsia="hr-HR" w:bidi="hr-HR"/>
        </w:rPr>
        <w:t xml:space="preserve"> 1,8). Socijalni rad u korist gospo</w:t>
        <w:softHyphen/>
        <w:t xml:space="preserve">darski slabih i radi otklanjanja ljudske bijede židovstvo jc uvijek provodilo kao svoju prijeko potrebnu i sveobuhvatnu </w:t>
      </w:r>
      <w:r>
        <w:rPr>
          <w:rFonts w:ascii="Times New Roman" w:eastAsia="Times New Roman" w:hAnsi="Times New Roman" w:cs="Times New Roman"/>
          <w:i/>
          <w:iCs/>
          <w:color w:val="000000"/>
          <w:spacing w:val="0"/>
          <w:w w:val="100"/>
          <w:position w:val="0"/>
          <w:shd w:val="clear" w:color="auto" w:fill="auto"/>
          <w:lang w:val="hr-HR" w:eastAsia="hr-HR" w:bidi="hr-HR"/>
        </w:rPr>
        <w:t>javnu</w:t>
      </w:r>
      <w:r>
        <w:rPr>
          <w:rFonts w:ascii="Times New Roman" w:eastAsia="Times New Roman" w:hAnsi="Times New Roman" w:cs="Times New Roman"/>
          <w:color w:val="000000"/>
          <w:spacing w:val="0"/>
          <w:w w:val="100"/>
          <w:position w:val="0"/>
          <w:shd w:val="clear" w:color="auto" w:fill="auto"/>
          <w:lang w:val="hr-HR" w:eastAsia="hr-HR" w:bidi="hr-HR"/>
        </w:rPr>
        <w:t xml:space="preserve"> zadaću u mno</w:t>
        <w:softHyphen/>
        <w:t>gobrojnim ustanovama svoje države i u opći</w:t>
        <w:softHyphen/>
        <w:t>nama u dijaspori i oslobađalo od slučajnosti i ovisnosti u privatnoj pomoći.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L. Strack/P. Biilcrbcck, </w:t>
      </w:r>
      <w:r>
        <w:rPr>
          <w:i/>
          <w:iCs/>
          <w:color w:val="000000"/>
          <w:spacing w:val="0"/>
          <w:w w:val="100"/>
          <w:position w:val="0"/>
          <w:shd w:val="clear" w:color="auto" w:fill="auto"/>
          <w:lang w:val="hr-HR" w:eastAsia="hr-HR" w:bidi="hr-HR"/>
        </w:rPr>
        <w:t xml:space="preserve">Ko/nmentar zum Neuen </w:t>
      </w:r>
      <w:r>
        <w:rPr>
          <w:i/>
          <w:iCs/>
          <w:color w:val="000000"/>
          <w:spacing w:val="0"/>
          <w:w w:val="100"/>
          <w:position w:val="0"/>
          <w:shd w:val="clear" w:color="auto" w:fill="auto"/>
        </w:rPr>
        <w:t xml:space="preserve">Testament </w:t>
      </w:r>
      <w:r>
        <w:rPr>
          <w:i/>
          <w:iCs/>
          <w:color w:val="000000"/>
          <w:spacing w:val="0"/>
          <w:w w:val="100"/>
          <w:position w:val="0"/>
          <w:shd w:val="clear" w:color="auto" w:fill="auto"/>
          <w:lang w:val="hr-HR" w:eastAsia="hr-HR" w:bidi="hr-HR"/>
        </w:rPr>
        <w:t xml:space="preserve">aus </w:t>
      </w:r>
      <w:r>
        <w:rPr>
          <w:i/>
          <w:iCs/>
          <w:color w:val="000000"/>
          <w:spacing w:val="0"/>
          <w:w w:val="100"/>
          <w:position w:val="0"/>
          <w:shd w:val="clear" w:color="auto" w:fill="auto"/>
        </w:rPr>
        <w:t>Talmud und Midrasch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IV.1, 1928A1975. 536-610. </w:t>
      </w:r>
      <w:r>
        <w:rPr>
          <w:i/>
          <w:iCs/>
          <w:color w:val="000000"/>
          <w:spacing w:val="0"/>
          <w:w w:val="100"/>
          <w:position w:val="0"/>
          <w:shd w:val="clear" w:color="auto" w:fill="auto"/>
        </w:rPr>
        <w:t>Die Lehren des Judentums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1,1928,365-89; 2,1930, 112-26; </w:t>
      </w:r>
      <w:r>
        <w:rPr>
          <w:i/>
          <w:iCs/>
          <w:color w:val="000000"/>
          <w:spacing w:val="0"/>
          <w:w w:val="100"/>
          <w:position w:val="0"/>
          <w:shd w:val="clear" w:color="auto" w:fill="auto"/>
          <w:lang w:val="hr-HR" w:eastAsia="hr-HR" w:bidi="hr-HR"/>
        </w:rPr>
        <w:t xml:space="preserve">Jiidisches </w:t>
      </w:r>
      <w:r>
        <w:rPr>
          <w:i/>
          <w:iCs/>
          <w:color w:val="000000"/>
          <w:spacing w:val="0"/>
          <w:w w:val="100"/>
          <w:position w:val="0"/>
          <w:shd w:val="clear" w:color="auto" w:fill="auto"/>
        </w:rPr>
        <w:t>Lexikon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1V/2, 1927/82, 1468-79; C. G. Montcfiore/H. </w:t>
      </w:r>
      <w:r>
        <w:rPr>
          <w:color w:val="000000"/>
          <w:spacing w:val="0"/>
          <w:w w:val="100"/>
          <w:position w:val="0"/>
          <w:shd w:val="clear" w:color="auto" w:fill="auto"/>
        </w:rPr>
        <w:t xml:space="preserve">Loewe, </w:t>
      </w:r>
      <w:r>
        <w:rPr>
          <w:i/>
          <w:iCs/>
          <w:color w:val="000000"/>
          <w:spacing w:val="0"/>
          <w:w w:val="100"/>
          <w:position w:val="0"/>
          <w:shd w:val="clear" w:color="auto" w:fill="auto"/>
        </w:rPr>
        <w:t>A Rabbinic Anthology,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1974,412-39;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5, </w:t>
      </w:r>
      <w:r>
        <w:rPr>
          <w:color w:val="000000"/>
          <w:spacing w:val="0"/>
          <w:w w:val="100"/>
          <w:position w:val="0"/>
          <w:shd w:val="clear" w:color="auto" w:fill="auto"/>
          <w:vertAlign w:val="superscript"/>
        </w:rPr>
        <w:t>4</w:t>
      </w:r>
      <w:r>
        <w:rPr>
          <w:color w:val="000000"/>
          <w:spacing w:val="0"/>
          <w:w w:val="100"/>
          <w:position w:val="0"/>
          <w:shd w:val="clear" w:color="auto" w:fill="auto"/>
        </w:rPr>
        <w:t>1978, 338-53.</w:t>
      </w:r>
    </w:p>
    <w:p>
      <w:pPr>
        <w:pStyle w:val="Style5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n. VE1TER</w:t>
      </w:r>
    </w:p>
    <w:p>
      <w:pPr>
        <w:pStyle w:val="Style63"/>
        <w:keepNext/>
        <w:keepLines/>
        <w:widowControl w:val="0"/>
        <w:numPr>
          <w:ilvl w:val="0"/>
          <w:numId w:val="97"/>
        </w:numPr>
        <w:shd w:val="clear" w:color="auto" w:fill="auto"/>
        <w:tabs>
          <w:tab w:pos="260" w:val="left"/>
        </w:tabs>
        <w:bidi w:val="0"/>
        <w:spacing w:before="0" w:line="228" w:lineRule="auto"/>
        <w:ind w:left="0" w:right="0" w:firstLine="0"/>
        <w:jc w:val="both"/>
      </w:pPr>
      <w:bookmarkStart w:id="75" w:name="bookmark7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75"/>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ima za cilj siromašnima, potrebitima i osta</w:t>
        <w:softHyphen/>
        <w:t>lim patnicima dati udjela u dobrima koja tre</w:t>
        <w:softHyphen/>
        <w:t>baju da bi osigurali svoj život u zajednici i da bi podigli njegovu kvalitetu. U okruženju NZ bilo je davanje milostinje posebno sredstvo da se postigne taj cilj. Tako Isus u Govoru na gori to drži uz molitvu i post izrazom religi</w:t>
        <w:softHyphen/>
        <w:t>oznog djelovanja (Mt 6,1-18). Isus pritom zahtijeva da davanje milostinje bude nesebič</w:t>
        <w:softHyphen/>
        <w:t>no i da se od davatelja ne koristi kao sredstvo da postigne pohvalu i priznanje (Mt 6,1-4). Tko daje milostinju, ne treba ništa očekivati kao protuuslugu (Lk 6,35; 14,14); treba uvijek imati otvoreno uho za molbe drugih (Mt 5,42) i ne postavljati granice svojoj spremnosti da pomogne (Lk 6,30). Jer, svaki je patnik njegov bližnji (Lk 10,29-37). U slučaju potrebe mora sam biti spreman prihvatiti se posla da bi mo</w:t>
        <w:softHyphen/>
        <w:t>gao pomoći drugima (Ef 4,28).</w:t>
      </w:r>
    </w:p>
    <w:p>
      <w:pPr>
        <w:pStyle w:val="Style20"/>
        <w:keepNext w:val="0"/>
        <w:keepLines w:val="0"/>
        <w:widowControl w:val="0"/>
        <w:shd w:val="clear" w:color="auto" w:fill="auto"/>
        <w:bidi w:val="0"/>
        <w:spacing w:before="0" w:after="0" w:line="259" w:lineRule="auto"/>
        <w:ind w:left="0" w:right="0" w:firstLine="0"/>
        <w:jc w:val="both"/>
        <w:sectPr>
          <w:headerReference w:type="default" r:id="rId325"/>
          <w:footerReference w:type="default" r:id="rId326"/>
          <w:headerReference w:type="even" r:id="rId327"/>
          <w:footerReference w:type="even" r:id="rId328"/>
          <w:headerReference w:type="first" r:id="rId329"/>
          <w:footerReference w:type="first" r:id="rId330"/>
          <w:footnotePr>
            <w:pos w:val="pageBottom"/>
            <w:numFmt w:val="decimal"/>
            <w:numStart w:val="5"/>
            <w:numRestart w:val="continuous"/>
            <w15:footnoteColumns w:val="1"/>
          </w:footnotePr>
          <w:pgSz w:w="6816" w:h="11006"/>
          <w:pgMar w:top="972" w:left="196" w:right="197" w:bottom="559" w:header="0" w:footer="3" w:gutter="0"/>
          <w:cols w:num="2" w:space="20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Tko se tako brine za siromašne, skuplja sebi blago na nebu (Lk 12,21.33-34) i dobiva zato nebesku plaću kod Boga (Mt 6,2.4). U sva</w:t>
        <w:softHyphen/>
        <w:t>kom čovjeku koji trpi nevolju i kojem pomog</w:t>
        <w:softHyphen/>
        <w:t>ne, susreće samoga Isusa Krista (Mt 25,31-46). Uzor za kršćanina jc sam Isus Krist koji je »radi vas od bogataša postao siromah da vi postanete bogataši njegovim siromaštvom« (2 Kor 8,9). Tek kada svoje srce ne zatvaramo pred bratom koji je u nevolji, možemo iskusiti što stvarno znači Božja ljubav (usp. 1 Iv 3,17; Jak 2,15) i što stvarno sadrži bratstvo za zajed</w:t>
        <w:softHyphen/>
        <w:t>nicu koja se okuplja oko euharistije (usp. 1 Kor 11,20 i d.). Ali d. se ne iscrpljuje u sprem</w:t>
        <w:softHyphen/>
        <w:t>nosti pojedinca da pomogne potrebitima. D. je također zadaća zajednice i sveukupnog društva. Ta jc spoznaja uistinu dovela do osni</w:t>
        <w:softHyphen/>
        <w:t>vanja različitih ustanova socijalne pomoći ko</w:t>
        <w:softHyphen/>
        <w:t>je su protegnule svoju djelatnost na različita područja čovjekovih potreba. U prvoj je fazi d. shvaćeno kao socijalna pomoć s ciljem da se pojedinim članovima zajednice odnosno pojedinom građaninu osigura životni mini</w:t>
        <w:softHyphen/>
        <w:t>mum. Tada se pomoć protezala na različite pojave ljudske nevolje i na posebne životne situacije u kojima je pomoć zajednice potreb</w:t>
        <w:softHyphen/>
        <w:t>na: »Pomoć za izgradnju i osiguranje životne osnove, preventivna zdravstvena pomoć, bo</w:t>
        <w:softHyphen/>
        <w:t>lesnička pomoć, pomoć trudnicama i rodilja- ma, pomoć invalidima, pomoć za tuberkuloz</w:t>
        <w:softHyphen/>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 i slijepe, pomoć za njegu i održavanje ku</w:t>
        <w:softHyphen/>
        <w:t xml:space="preserve">ćanstva, za ugrožene i stare« (K. </w:t>
      </w:r>
      <w:r>
        <w:rPr>
          <w:rFonts w:ascii="Times New Roman" w:eastAsia="Times New Roman" w:hAnsi="Times New Roman" w:cs="Times New Roman"/>
          <w:color w:val="000000"/>
          <w:spacing w:val="0"/>
          <w:w w:val="100"/>
          <w:position w:val="0"/>
          <w:shd w:val="clear" w:color="auto" w:fill="auto"/>
          <w:lang w:val="en-US" w:eastAsia="en-US" w:bidi="en-US"/>
        </w:rPr>
        <w:t xml:space="preserve">Jansen, Wohlfahrtspflege </w:t>
      </w:r>
      <w:r>
        <w:rPr>
          <w:rFonts w:ascii="Times New Roman" w:eastAsia="Times New Roman" w:hAnsi="Times New Roman" w:cs="Times New Roman"/>
          <w:color w:val="000000"/>
          <w:spacing w:val="0"/>
          <w:w w:val="100"/>
          <w:position w:val="0"/>
          <w:shd w:val="clear" w:color="auto" w:fill="auto"/>
          <w:lang w:val="hr-HR" w:eastAsia="hr-HR" w:bidi="hr-HR"/>
        </w:rPr>
        <w:t>u: RGG VI, 1962, 1793).</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Načelo ove socijalne pomoći naglašava da se onaj koji prima pomoć ne treba držati pasiv</w:t>
        <w:softHyphen/>
        <w:t>nim predmetom potpore i da se s njime treba postupati na odgovarajući način. Dapače, pot</w:t>
        <w:softHyphen/>
        <w:t>pora treba biti ponuđena kao pomoć za samo- pomoć i primatelj pomoći treba prema mo</w:t>
        <w:softHyphen/>
        <w:t>gućnosti snositi odgovornost za daljnji razvoj svog položaja. Socijalna služba je nositelj jav</w:t>
        <w:softHyphen/>
        <w:t>ne socijalne pomoći. Slobodna dobročinstva, naprotiv, pružaju religijske zajednice koje drža</w:t>
        <w:softHyphen/>
        <w:t>va priznaje kao tijela s pravom javnosti, oso</w:t>
        <w:softHyphen/>
        <w:t>bito od evangeličke i Katoličke crkve (usta</w:t>
        <w:softHyphen/>
        <w:t xml:space="preserve">nove evangeličke crkve: </w:t>
      </w:r>
      <w:r>
        <w:rPr>
          <w:rFonts w:ascii="Times New Roman" w:eastAsia="Times New Roman" w:hAnsi="Times New Roman" w:cs="Times New Roman"/>
          <w:color w:val="000000"/>
          <w:spacing w:val="0"/>
          <w:w w:val="100"/>
          <w:position w:val="0"/>
          <w:shd w:val="clear" w:color="auto" w:fill="auto"/>
          <w:lang w:val="en-US" w:eastAsia="en-US" w:bidi="en-US"/>
        </w:rPr>
        <w:t xml:space="preserve">Innere Mission </w:t>
      </w:r>
      <w:r>
        <w:rPr>
          <w:rFonts w:ascii="Times New Roman" w:eastAsia="Times New Roman" w:hAnsi="Times New Roman" w:cs="Times New Roman"/>
          <w:color w:val="000000"/>
          <w:spacing w:val="0"/>
          <w:w w:val="100"/>
          <w:position w:val="0"/>
          <w:shd w:val="clear" w:color="auto" w:fill="auto"/>
          <w:lang w:val="hr-HR" w:eastAsia="hr-HR" w:bidi="hr-HR"/>
        </w:rPr>
        <w:t>[Unu</w:t>
        <w:softHyphen/>
        <w:t xml:space="preserve">tarnja misija], Diakonischcs </w:t>
      </w:r>
      <w:r>
        <w:rPr>
          <w:rFonts w:ascii="Times New Roman" w:eastAsia="Times New Roman" w:hAnsi="Times New Roman" w:cs="Times New Roman"/>
          <w:color w:val="000000"/>
          <w:spacing w:val="0"/>
          <w:w w:val="100"/>
          <w:position w:val="0"/>
          <w:shd w:val="clear" w:color="auto" w:fill="auto"/>
          <w:lang w:val="en-US" w:eastAsia="en-US" w:bidi="en-US"/>
        </w:rPr>
        <w:t xml:space="preserve">Work </w:t>
      </w:r>
      <w:r>
        <w:rPr>
          <w:rFonts w:ascii="Times New Roman" w:eastAsia="Times New Roman" w:hAnsi="Times New Roman" w:cs="Times New Roman"/>
          <w:color w:val="000000"/>
          <w:spacing w:val="0"/>
          <w:w w:val="100"/>
          <w:position w:val="0"/>
          <w:shd w:val="clear" w:color="auto" w:fill="auto"/>
          <w:lang w:val="hr-HR" w:eastAsia="hr-HR" w:bidi="hr-HR"/>
        </w:rPr>
        <w:t xml:space="preserve">[Đakonsko djelo]; ustanova Katoličke crkve: Caritas-Ver- band </w:t>
      </w:r>
      <w:r>
        <w:rPr>
          <w:rFonts w:ascii="Times New Roman" w:eastAsia="Times New Roman" w:hAnsi="Times New Roman" w:cs="Times New Roman"/>
          <w:color w:val="000000"/>
          <w:spacing w:val="0"/>
          <w:w w:val="100"/>
          <w:position w:val="0"/>
          <w:shd w:val="clear" w:color="auto" w:fill="auto"/>
          <w:lang w:val="en-US" w:eastAsia="en-US" w:bidi="en-US"/>
        </w:rPr>
        <w:t xml:space="preserve">[Caritas]). </w:t>
      </w:r>
      <w:r>
        <w:rPr>
          <w:rFonts w:ascii="Times New Roman" w:eastAsia="Times New Roman" w:hAnsi="Times New Roman" w:cs="Times New Roman"/>
          <w:color w:val="000000"/>
          <w:spacing w:val="0"/>
          <w:w w:val="100"/>
          <w:position w:val="0"/>
          <w:shd w:val="clear" w:color="auto" w:fill="auto"/>
          <w:lang w:val="hr-HR" w:eastAsia="hr-HR" w:bidi="hr-HR"/>
        </w:rPr>
        <w:t>Uz crkvene ustanove kao no</w:t>
        <w:softHyphen/>
        <w:t>sitelje skrbi treba još spomenuti udruge mla</w:t>
        <w:softHyphen/>
        <w:t xml:space="preserve">deži i dobrotvorne udruge </w:t>
      </w:r>
      <w:r>
        <w:rPr>
          <w:rFonts w:ascii="Times New Roman" w:eastAsia="Times New Roman" w:hAnsi="Times New Roman" w:cs="Times New Roman"/>
          <w:color w:val="000000"/>
          <w:spacing w:val="0"/>
          <w:w w:val="100"/>
          <w:position w:val="0"/>
          <w:shd w:val="clear" w:color="auto" w:fill="auto"/>
          <w:lang w:val="en-US" w:eastAsia="en-US" w:bidi="en-US"/>
        </w:rPr>
        <w:t xml:space="preserve">(Arbeiterwohlfahrt, das Deutsche Rote Kreuz, Paritatischer Wohl- fahrtsverband - </w:t>
      </w:r>
      <w:r>
        <w:rPr>
          <w:rFonts w:ascii="Times New Roman" w:eastAsia="Times New Roman" w:hAnsi="Times New Roman" w:cs="Times New Roman"/>
          <w:color w:val="000000"/>
          <w:spacing w:val="0"/>
          <w:w w:val="100"/>
          <w:position w:val="0"/>
          <w:shd w:val="clear" w:color="auto" w:fill="auto"/>
          <w:lang w:val="hr-HR" w:eastAsia="hr-HR" w:bidi="hr-HR"/>
        </w:rPr>
        <w:t>Radnička skrb, Njemački crveni križ. Savez paritetske skrbi). Za izo</w:t>
        <w:softHyphen/>
        <w:t>brazbu socijalnih radnika koji su zaposleni na različitim područjima skrbi ima značajan broj škola i obrazovnih centara. Poseban oblik so</w:t>
        <w:softHyphen/>
        <w:t>cijalne pomoći u naše su vrijeme savjetova</w:t>
        <w:softHyphen/>
        <w:t>lišta u pitanjima bračnog života, odgoja, osob</w:t>
        <w:softHyphen/>
        <w:t>nog života (dušobrižništvo preko telefona) kao i u različitim društvenim okolnostima.</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Utemeljenje socijalnih ustanova i dobrotvor- stvo na svim njihovim područjima, bilo da ga vodi država ili religijske zajednice i dobrot</w:t>
        <w:softHyphen/>
        <w:t>vorne udruge, ne želi biti samo ostvarenje lju</w:t>
        <w:softHyphen/>
        <w:t>bavi prema bližnjem nego i izvan toga opo</w:t>
        <w:softHyphen/>
        <w:t>mena da se teži za većom mjerom praved</w:t>
        <w:softHyphen/>
        <w:t xml:space="preserve">nosti. Jer, kako piše </w:t>
      </w:r>
      <w:r>
        <w:rPr>
          <w:rFonts w:ascii="Times New Roman" w:eastAsia="Times New Roman" w:hAnsi="Times New Roman" w:cs="Times New Roman"/>
          <w:color w:val="000000"/>
          <w:spacing w:val="0"/>
          <w:w w:val="100"/>
          <w:position w:val="0"/>
          <w:shd w:val="clear" w:color="auto" w:fill="auto"/>
          <w:lang w:val="en-US" w:eastAsia="en-US" w:bidi="en-US"/>
        </w:rPr>
        <w:t xml:space="preserve">Bernhard Haring, </w:t>
      </w:r>
      <w:r>
        <w:rPr>
          <w:rFonts w:ascii="Times New Roman" w:eastAsia="Times New Roman" w:hAnsi="Times New Roman" w:cs="Times New Roman"/>
          <w:color w:val="000000"/>
          <w:spacing w:val="0"/>
          <w:w w:val="100"/>
          <w:position w:val="0"/>
          <w:shd w:val="clear" w:color="auto" w:fill="auto"/>
          <w:lang w:val="hr-HR" w:eastAsia="hr-HR" w:bidi="hr-HR"/>
        </w:rPr>
        <w:t>»smi</w:t>
        <w:softHyphen/>
        <w:t>sao se ljubavi iskrivljuje ako netko hoće pružati djela ljubavi, a ne brine se za pravdu i stvaranje zdravih ljudskih odnosa. Ne smije</w:t>
        <w:softHyphen/>
        <w:t>mo ljudima pružati milostinju gdje im može</w:t>
        <w:softHyphen/>
        <w:t xml:space="preserve">mo pomoći na putu pravde da zadovolje svoje vlastite potrebe i da suodgovorno sudjeluju u društvenom procesu« </w:t>
      </w:r>
      <w:r>
        <w:rPr>
          <w:rFonts w:ascii="Times New Roman" w:eastAsia="Times New Roman" w:hAnsi="Times New Roman" w:cs="Times New Roman"/>
          <w:color w:val="000000"/>
          <w:spacing w:val="0"/>
          <w:w w:val="100"/>
          <w:position w:val="0"/>
          <w:shd w:val="clear" w:color="auto" w:fill="auto"/>
          <w:lang w:val="en-US" w:eastAsia="en-US" w:bidi="en-US"/>
        </w:rPr>
        <w:t xml:space="preserve">(Frei in Christus, </w:t>
      </w:r>
      <w:r>
        <w:rPr>
          <w:rFonts w:ascii="Times New Roman" w:eastAsia="Times New Roman" w:hAnsi="Times New Roman" w:cs="Times New Roman"/>
          <w:color w:val="000000"/>
          <w:spacing w:val="0"/>
          <w:w w:val="100"/>
          <w:position w:val="0"/>
          <w:shd w:val="clear" w:color="auto" w:fill="auto"/>
          <w:lang w:val="hr-HR" w:eastAsia="hr-HR" w:bidi="hr-HR"/>
        </w:rPr>
        <w:t xml:space="preserve">II, </w:t>
      </w:r>
      <w:r>
        <w:rPr>
          <w:rFonts w:ascii="Times New Roman" w:eastAsia="Times New Roman" w:hAnsi="Times New Roman" w:cs="Times New Roman"/>
          <w:color w:val="000000"/>
          <w:spacing w:val="0"/>
          <w:w w:val="100"/>
          <w:position w:val="0"/>
          <w:shd w:val="clear" w:color="auto" w:fill="auto"/>
          <w:lang w:val="en-US" w:eastAsia="en-US" w:bidi="en-US"/>
        </w:rPr>
        <w:t xml:space="preserve">Freiburg </w:t>
      </w:r>
      <w:r>
        <w:rPr>
          <w:rFonts w:ascii="Times New Roman" w:eastAsia="Times New Roman" w:hAnsi="Times New Roman" w:cs="Times New Roman"/>
          <w:color w:val="000000"/>
          <w:spacing w:val="0"/>
          <w:w w:val="100"/>
          <w:position w:val="0"/>
          <w:shd w:val="clear" w:color="auto" w:fill="auto"/>
          <w:lang w:val="hr-HR" w:eastAsia="hr-HR" w:bidi="hr-HR"/>
        </w:rPr>
        <w:t>1980, 450).</w:t>
      </w:r>
    </w:p>
    <w:p>
      <w:pPr>
        <w:pStyle w:val="Style56"/>
        <w:keepNext w:val="0"/>
        <w:keepLines w:val="0"/>
        <w:widowControl w:val="0"/>
        <w:shd w:val="clear" w:color="auto" w:fill="auto"/>
        <w:tabs>
          <w:tab w:pos="2381" w:val="left"/>
        </w:tabs>
        <w:bidi w:val="0"/>
        <w:spacing w:before="0" w:after="40" w:line="240" w:lineRule="auto"/>
        <w:ind w:left="0" w:right="0" w:firstLine="0"/>
        <w:jc w:val="both"/>
        <w:rPr>
          <w:sz w:val="10"/>
          <w:szCs w:val="10"/>
        </w:rPr>
      </w:pPr>
      <w:r>
        <w:rPr>
          <w:color w:val="000000"/>
          <w:spacing w:val="0"/>
          <w:w w:val="100"/>
          <w:position w:val="0"/>
          <w:sz w:val="12"/>
          <w:szCs w:val="12"/>
          <w:shd w:val="clear" w:color="auto" w:fill="auto"/>
          <w:lang w:val="hr-HR" w:eastAsia="hr-HR" w:bidi="hr-HR"/>
        </w:rPr>
        <w:t xml:space="preserve">Lit.: Cl. </w:t>
      </w:r>
      <w:r>
        <w:rPr>
          <w:color w:val="000000"/>
          <w:spacing w:val="0"/>
          <w:w w:val="100"/>
          <w:position w:val="0"/>
          <w:sz w:val="12"/>
          <w:szCs w:val="12"/>
          <w:shd w:val="clear" w:color="auto" w:fill="auto"/>
        </w:rPr>
        <w:t xml:space="preserve">Wiener, </w:t>
      </w:r>
      <w:r>
        <w:rPr>
          <w:color w:val="000000"/>
          <w:spacing w:val="0"/>
          <w:w w:val="100"/>
          <w:position w:val="0"/>
          <w:sz w:val="12"/>
          <w:szCs w:val="12"/>
          <w:shd w:val="clear" w:color="auto" w:fill="auto"/>
          <w:lang w:val="hr-HR" w:eastAsia="hr-HR" w:bidi="hr-HR"/>
        </w:rPr>
        <w:t xml:space="preserve">Almoscn. u: </w:t>
      </w:r>
      <w:r>
        <w:rPr>
          <w:i/>
          <w:iCs/>
          <w:color w:val="000000"/>
          <w:spacing w:val="0"/>
          <w:w w:val="100"/>
          <w:position w:val="0"/>
          <w:sz w:val="12"/>
          <w:szCs w:val="12"/>
          <w:shd w:val="clear" w:color="auto" w:fill="auto"/>
        </w:rPr>
        <w:t xml:space="preserve">Worterbuch </w:t>
      </w:r>
      <w:r>
        <w:rPr>
          <w:i/>
          <w:iCs/>
          <w:color w:val="000000"/>
          <w:spacing w:val="0"/>
          <w:w w:val="100"/>
          <w:position w:val="0"/>
          <w:sz w:val="12"/>
          <w:szCs w:val="12"/>
          <w:shd w:val="clear" w:color="auto" w:fill="auto"/>
          <w:lang w:val="hr-HR" w:eastAsia="hr-HR" w:bidi="hr-HR"/>
        </w:rPr>
        <w:t>zur biblischen Boi- schuft,</w:t>
      </w:r>
      <w:r>
        <w:rPr>
          <w:color w:val="000000"/>
          <w:spacing w:val="0"/>
          <w:w w:val="100"/>
          <w:position w:val="0"/>
          <w:sz w:val="12"/>
          <w:szCs w:val="12"/>
          <w:shd w:val="clear" w:color="auto" w:fill="auto"/>
          <w:lang w:val="hr-HR" w:eastAsia="hr-HR" w:bidi="hr-HR"/>
        </w:rPr>
        <w:t xml:space="preserve"> </w:t>
      </w:r>
      <w:r>
        <w:rPr>
          <w:color w:val="000000"/>
          <w:spacing w:val="0"/>
          <w:w w:val="100"/>
          <w:position w:val="0"/>
          <w:sz w:val="12"/>
          <w:szCs w:val="12"/>
          <w:shd w:val="clear" w:color="auto" w:fill="auto"/>
        </w:rPr>
        <w:t xml:space="preserve">hrsg. von </w:t>
      </w:r>
      <w:r>
        <w:rPr>
          <w:color w:val="000000"/>
          <w:spacing w:val="0"/>
          <w:w w:val="100"/>
          <w:position w:val="0"/>
          <w:sz w:val="12"/>
          <w:szCs w:val="12"/>
          <w:shd w:val="clear" w:color="auto" w:fill="auto"/>
          <w:lang w:val="hr-HR" w:eastAsia="hr-HR" w:bidi="hr-HR"/>
        </w:rPr>
        <w:t xml:space="preserve">X. Lcon-Dufour, Sondcrausgabc dcr 2. Auti., </w:t>
      </w:r>
      <w:r>
        <w:rPr>
          <w:color w:val="000000"/>
          <w:spacing w:val="0"/>
          <w:w w:val="100"/>
          <w:position w:val="0"/>
          <w:sz w:val="12"/>
          <w:szCs w:val="12"/>
          <w:shd w:val="clear" w:color="auto" w:fill="auto"/>
        </w:rPr>
        <w:t xml:space="preserve">Freiburg </w:t>
      </w:r>
      <w:r>
        <w:rPr>
          <w:color w:val="000000"/>
          <w:spacing w:val="0"/>
          <w:w w:val="100"/>
          <w:position w:val="0"/>
          <w:sz w:val="12"/>
          <w:szCs w:val="12"/>
          <w:shd w:val="clear" w:color="auto" w:fill="auto"/>
          <w:lang w:val="hr-HR" w:eastAsia="hr-HR" w:bidi="hr-HR"/>
        </w:rPr>
        <w:t xml:space="preserve">1981, 6-8; H. Krimm (Hrsg.), </w:t>
      </w:r>
      <w:r>
        <w:rPr>
          <w:i/>
          <w:iCs/>
          <w:color w:val="000000"/>
          <w:spacing w:val="0"/>
          <w:w w:val="100"/>
          <w:position w:val="0"/>
          <w:sz w:val="12"/>
          <w:szCs w:val="12"/>
          <w:shd w:val="clear" w:color="auto" w:fill="auto"/>
          <w:lang w:val="hr-HR" w:eastAsia="hr-HR" w:bidi="hr-HR"/>
        </w:rPr>
        <w:t>Das diako- nisehe Ami der Kirche,</w:t>
      </w:r>
      <w:r>
        <w:rPr>
          <w:color w:val="000000"/>
          <w:spacing w:val="0"/>
          <w:w w:val="100"/>
          <w:position w:val="0"/>
          <w:sz w:val="12"/>
          <w:szCs w:val="12"/>
          <w:shd w:val="clear" w:color="auto" w:fill="auto"/>
          <w:lang w:val="hr-HR" w:eastAsia="hr-HR" w:bidi="hr-HR"/>
        </w:rPr>
        <w:t xml:space="preserve"> 1953; K. </w:t>
      </w:r>
      <w:r>
        <w:rPr>
          <w:color w:val="000000"/>
          <w:spacing w:val="0"/>
          <w:w w:val="100"/>
          <w:position w:val="0"/>
          <w:sz w:val="12"/>
          <w:szCs w:val="12"/>
          <w:shd w:val="clear" w:color="auto" w:fill="auto"/>
        </w:rPr>
        <w:t xml:space="preserve">Jansen, Wohlfahrtspflege, </w:t>
      </w:r>
      <w:r>
        <w:rPr>
          <w:color w:val="000000"/>
          <w:spacing w:val="0"/>
          <w:w w:val="100"/>
          <w:position w:val="0"/>
          <w:sz w:val="12"/>
          <w:szCs w:val="12"/>
          <w:shd w:val="clear" w:color="auto" w:fill="auto"/>
          <w:lang w:val="hr-HR" w:eastAsia="hr-HR" w:bidi="hr-HR"/>
        </w:rPr>
        <w:t xml:space="preserve">u: RGG, VI, </w:t>
      </w:r>
      <w:r>
        <w:rPr>
          <w:color w:val="000000"/>
          <w:spacing w:val="0"/>
          <w:w w:val="100"/>
          <w:position w:val="0"/>
          <w:sz w:val="12"/>
          <w:szCs w:val="12"/>
          <w:shd w:val="clear" w:color="auto" w:fill="auto"/>
        </w:rPr>
        <w:t xml:space="preserve">Tubingen </w:t>
      </w:r>
      <w:r>
        <w:rPr>
          <w:color w:val="000000"/>
          <w:spacing w:val="0"/>
          <w:w w:val="100"/>
          <w:position w:val="0"/>
          <w:sz w:val="12"/>
          <w:szCs w:val="12"/>
          <w:shd w:val="clear" w:color="auto" w:fill="auto"/>
          <w:vertAlign w:val="superscript"/>
          <w:lang w:val="hr-HR" w:eastAsia="hr-HR" w:bidi="hr-HR"/>
        </w:rPr>
        <w:t>J</w:t>
      </w:r>
      <w:r>
        <w:rPr>
          <w:color w:val="000000"/>
          <w:spacing w:val="0"/>
          <w:w w:val="100"/>
          <w:position w:val="0"/>
          <w:sz w:val="12"/>
          <w:szCs w:val="12"/>
          <w:shd w:val="clear" w:color="auto" w:fill="auto"/>
          <w:lang w:val="hr-HR" w:eastAsia="hr-HR" w:bidi="hr-HR"/>
        </w:rPr>
        <w:t>1962. 1790-1796.</w:t>
        <w:tab/>
      </w:r>
      <w:r>
        <w:rPr>
          <w:rFonts w:ascii="Times New Roman" w:eastAsia="Times New Roman" w:hAnsi="Times New Roman" w:cs="Times New Roman"/>
          <w:b/>
          <w:bCs/>
          <w:color w:val="000000"/>
          <w:spacing w:val="0"/>
          <w:w w:val="100"/>
          <w:position w:val="0"/>
          <w:sz w:val="10"/>
          <w:szCs w:val="10"/>
          <w:shd w:val="clear" w:color="auto" w:fill="auto"/>
        </w:rPr>
        <w:t>A. KHOURY</w:t>
      </w:r>
    </w:p>
    <w:p>
      <w:pPr>
        <w:pStyle w:val="Style63"/>
        <w:keepNext/>
        <w:keepLines/>
        <w:widowControl w:val="0"/>
        <w:numPr>
          <w:ilvl w:val="0"/>
          <w:numId w:val="97"/>
        </w:numPr>
        <w:shd w:val="clear" w:color="auto" w:fill="auto"/>
        <w:tabs>
          <w:tab w:pos="265" w:val="left"/>
        </w:tabs>
        <w:bidi w:val="0"/>
        <w:spacing w:before="0"/>
        <w:ind w:left="0" w:right="0" w:firstLine="0"/>
        <w:jc w:val="both"/>
      </w:pPr>
      <w:bookmarkStart w:id="76" w:name="bookmark76"/>
      <w:r>
        <w:rPr>
          <w:rFonts w:ascii="Times New Roman" w:eastAsia="Times New Roman" w:hAnsi="Times New Roman" w:cs="Times New Roman"/>
          <w:color w:val="000000"/>
          <w:spacing w:val="0"/>
          <w:w w:val="100"/>
          <w:position w:val="0"/>
          <w:shd w:val="clear" w:color="auto" w:fill="auto"/>
          <w:lang w:val="hr-HR" w:eastAsia="hr-HR" w:bidi="hr-HR"/>
        </w:rPr>
        <w:t>islamski</w:t>
      </w:r>
      <w:bookmarkEnd w:id="76"/>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 od najvećih djela dobročinstva jest osobno žrtvovanje za bližnjega. Kuran je neo</w:t>
        <w:softHyphen/>
        <w:t>bično bogat uputama i zahtjevima koji smje</w:t>
        <w:softHyphen/>
        <w:t>raju na d. Jedno od njegovih temeljnih nasto</w:t>
        <w:softHyphen/>
        <w:t>janja jest »da to bogatstvo ne bi kružilo među vašim bogatašima« (59,7). Društveni su pro</w:t>
        <w:softHyphen/>
        <w:t>pisi u islamu nedvosmisleni. Povrh toga, uvi</w:t>
        <w:softHyphen/>
        <w:t>jek iznova preporučuje se dodatno dragovolj</w:t>
        <w:softHyphen/>
        <w:t>no d. Premda se prosjačenje smatra prezrivim i na sudnjemu danu postidujućim, d. je u is</w:t>
        <w:softHyphen/>
        <w:t>lamskim zemljama ponekad k tomu išlo tako daleko da se zahtijevalo i za prosjačenje. Po</w:t>
        <w:softHyphen/>
        <w:t xml:space="preserve">božne zaklade (vakufi: </w:t>
      </w:r>
      <w:r>
        <w:rPr>
          <w:rFonts w:ascii="Times New Roman" w:eastAsia="Times New Roman" w:hAnsi="Times New Roman" w:cs="Times New Roman"/>
          <w:i/>
          <w:iCs/>
          <w:color w:val="000000"/>
          <w:spacing w:val="0"/>
          <w:w w:val="100"/>
          <w:position w:val="0"/>
          <w:shd w:val="clear" w:color="auto" w:fill="auto"/>
          <w:lang w:val="hr-HR" w:eastAsia="hr-HR" w:bidi="hr-HR"/>
        </w:rPr>
        <w:t>waqf</w:t>
      </w:r>
      <w:r>
        <w:rPr>
          <w:rFonts w:ascii="Times New Roman" w:eastAsia="Times New Roman" w:hAnsi="Times New Roman" w:cs="Times New Roman"/>
          <w:color w:val="000000"/>
          <w:spacing w:val="0"/>
          <w:w w:val="100"/>
          <w:position w:val="0"/>
          <w:shd w:val="clear" w:color="auto" w:fill="auto"/>
          <w:lang w:val="hr-HR" w:eastAsia="hr-HR" w:bidi="hr-HR"/>
        </w:rPr>
        <w:t xml:space="preserve"> množ. </w:t>
      </w:r>
      <w:r>
        <w:rPr>
          <w:rFonts w:ascii="Times New Roman" w:eastAsia="Times New Roman" w:hAnsi="Times New Roman" w:cs="Times New Roman"/>
          <w:i/>
          <w:iCs/>
          <w:color w:val="000000"/>
          <w:spacing w:val="0"/>
          <w:w w:val="100"/>
          <w:position w:val="0"/>
          <w:shd w:val="clear" w:color="auto" w:fill="auto"/>
          <w:lang w:val="hr-HR" w:eastAsia="hr-HR" w:bidi="hr-HR"/>
        </w:rPr>
        <w:t>aw&lt;iaf</w:t>
      </w:r>
      <w:r>
        <w:rPr>
          <w:rFonts w:ascii="Times New Roman" w:eastAsia="Times New Roman" w:hAnsi="Times New Roman" w:cs="Times New Roman"/>
          <w:color w:val="000000"/>
          <w:spacing w:val="0"/>
          <w:w w:val="100"/>
          <w:position w:val="0"/>
          <w:shd w:val="clear" w:color="auto" w:fill="auto"/>
          <w:lang w:val="hr-HR" w:eastAsia="hr-HR" w:bidi="hr-HR"/>
        </w:rPr>
        <w:t xml:space="preserve"> u Magrcbu </w:t>
      </w:r>
      <w:r>
        <w:rPr>
          <w:rFonts w:ascii="Times New Roman" w:eastAsia="Times New Roman" w:hAnsi="Times New Roman" w:cs="Times New Roman"/>
          <w:i/>
          <w:iCs/>
          <w:color w:val="000000"/>
          <w:spacing w:val="0"/>
          <w:w w:val="100"/>
          <w:position w:val="0"/>
          <w:shd w:val="clear" w:color="auto" w:fill="auto"/>
          <w:lang w:val="hr-HR" w:eastAsia="hr-HR" w:bidi="hr-HR"/>
        </w:rPr>
        <w:t>habis,</w:t>
      </w:r>
      <w:r>
        <w:rPr>
          <w:rFonts w:ascii="Times New Roman" w:eastAsia="Times New Roman" w:hAnsi="Times New Roman" w:cs="Times New Roman"/>
          <w:color w:val="000000"/>
          <w:spacing w:val="0"/>
          <w:w w:val="100"/>
          <w:position w:val="0"/>
          <w:shd w:val="clear" w:color="auto" w:fill="auto"/>
          <w:lang w:val="hr-HR" w:eastAsia="hr-HR" w:bidi="hr-HR"/>
        </w:rPr>
        <w:t xml:space="preserve"> množ. </w:t>
      </w:r>
      <w:r>
        <w:rPr>
          <w:rFonts w:ascii="Times New Roman" w:eastAsia="Times New Roman" w:hAnsi="Times New Roman" w:cs="Times New Roman"/>
          <w:i/>
          <w:iCs/>
          <w:color w:val="000000"/>
          <w:spacing w:val="0"/>
          <w:w w:val="100"/>
          <w:position w:val="0"/>
          <w:shd w:val="clear" w:color="auto" w:fill="auto"/>
          <w:lang w:val="en-US" w:eastAsia="en-US" w:bidi="en-US"/>
        </w:rPr>
        <w:t>hubus)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predstavljaju najuvjerljiviji izraz te volje za dobročinstvom. Pod </w:t>
      </w:r>
      <w:r>
        <w:rPr>
          <w:rFonts w:ascii="Times New Roman" w:eastAsia="Times New Roman" w:hAnsi="Times New Roman" w:cs="Times New Roman"/>
          <w:i/>
          <w:iCs/>
          <w:color w:val="000000"/>
          <w:spacing w:val="0"/>
          <w:w w:val="100"/>
          <w:position w:val="0"/>
          <w:shd w:val="clear" w:color="auto" w:fill="auto"/>
          <w:lang w:val="hr-HR" w:eastAsia="hr-HR" w:bidi="hr-HR"/>
        </w:rPr>
        <w:t>vakufom</w:t>
      </w:r>
      <w:r>
        <w:rPr>
          <w:rFonts w:ascii="Times New Roman" w:eastAsia="Times New Roman" w:hAnsi="Times New Roman" w:cs="Times New Roman"/>
          <w:color w:val="000000"/>
          <w:spacing w:val="0"/>
          <w:w w:val="100"/>
          <w:position w:val="0"/>
          <w:shd w:val="clear" w:color="auto" w:fill="auto"/>
          <w:lang w:val="hr-HR" w:eastAsia="hr-HR" w:bidi="hr-HR"/>
        </w:rPr>
        <w:t xml:space="preserve"> »se podrazumijeva neka stvar koja uz zadržavanje svoje supstancije daje ko</w:t>
        <w:softHyphen/>
        <w:t>rist i kod koje se vlasnik odrekao svojega pra</w:t>
        <w:softHyphen/>
        <w:t xml:space="preserve">va raspolaganja nalogom da se korist od nje upotrebljava u dobre svrhe«. Na primjer, u Osmanskome Carstvu posjedi koji su učinjeni </w:t>
      </w:r>
      <w:r>
        <w:rPr>
          <w:rFonts w:ascii="Times New Roman" w:eastAsia="Times New Roman" w:hAnsi="Times New Roman" w:cs="Times New Roman"/>
          <w:i/>
          <w:iCs/>
          <w:color w:val="000000"/>
          <w:spacing w:val="0"/>
          <w:w w:val="100"/>
          <w:position w:val="0"/>
          <w:shd w:val="clear" w:color="auto" w:fill="auto"/>
          <w:lang w:val="hr-HR" w:eastAsia="hr-HR" w:bidi="hr-HR"/>
        </w:rPr>
        <w:t>vakufima</w:t>
      </w:r>
      <w:r>
        <w:rPr>
          <w:rFonts w:ascii="Times New Roman" w:eastAsia="Times New Roman" w:hAnsi="Times New Roman" w:cs="Times New Roman"/>
          <w:color w:val="000000"/>
          <w:spacing w:val="0"/>
          <w:w w:val="100"/>
          <w:position w:val="0"/>
          <w:shd w:val="clear" w:color="auto" w:fill="auto"/>
          <w:lang w:val="hr-HR" w:eastAsia="hr-HR" w:bidi="hr-HR"/>
        </w:rPr>
        <w:t xml:space="preserve"> sačinjavali su naposljetku četvrtinu cjelokupnih obrađenih površina. Taj ogromni gospodarski potencijal »mrtvih ruku« imao je naravno - gledano sa stajališta nacionalne ekonomije - i negativne učinke. Postoje dvije vrste </w:t>
      </w:r>
      <w:r>
        <w:rPr>
          <w:rFonts w:ascii="Times New Roman" w:eastAsia="Times New Roman" w:hAnsi="Times New Roman" w:cs="Times New Roman"/>
          <w:i/>
          <w:iCs/>
          <w:color w:val="000000"/>
          <w:spacing w:val="0"/>
          <w:w w:val="100"/>
          <w:position w:val="0"/>
          <w:shd w:val="clear" w:color="auto" w:fill="auto"/>
          <w:lang w:val="hr-HR" w:eastAsia="hr-HR" w:bidi="hr-HR"/>
        </w:rPr>
        <w:t>vakufa',</w:t>
      </w:r>
      <w:r>
        <w:rPr>
          <w:rFonts w:ascii="Times New Roman" w:eastAsia="Times New Roman" w:hAnsi="Times New Roman" w:cs="Times New Roman"/>
          <w:color w:val="000000"/>
          <w:spacing w:val="0"/>
          <w:w w:val="100"/>
          <w:position w:val="0"/>
          <w:shd w:val="clear" w:color="auto" w:fill="auto"/>
          <w:lang w:val="hr-HR" w:eastAsia="hr-HR" w:bidi="hr-HR"/>
        </w:rPr>
        <w:t xml:space="preserve"> zaklade za zajedničko korištenje (džamije, škole, bolnice, prenoćišta, kuhinje za siromašne, mostovi, vodovodi, sahat-kule) i obiteljske zaklade koje su pomagale (siromaš</w:t>
        <w:softHyphen/>
        <w:t>nim) srodnicima.</w:t>
      </w:r>
    </w:p>
    <w:p>
      <w:pPr>
        <w:pStyle w:val="Style20"/>
        <w:keepNext w:val="0"/>
        <w:keepLines w:val="0"/>
        <w:widowControl w:val="0"/>
        <w:shd w:val="clear" w:color="auto" w:fill="auto"/>
        <w:bidi w:val="0"/>
        <w:spacing w:before="0" w:after="40" w:line="240" w:lineRule="auto"/>
        <w:ind w:left="0" w:right="0" w:firstLine="0"/>
        <w:jc w:val="both"/>
        <w:sectPr>
          <w:headerReference w:type="default" r:id="rId331"/>
          <w:footerReference w:type="default" r:id="rId332"/>
          <w:headerReference w:type="even" r:id="rId333"/>
          <w:footerReference w:type="even" r:id="rId334"/>
          <w:footnotePr>
            <w:pos w:val="pageBottom"/>
            <w:numFmt w:val="decimal"/>
            <w:numStart w:val="5"/>
            <w:numRestart w:val="continuous"/>
            <w15:footnoteColumns w:val="1"/>
          </w:footnotePr>
          <w:type w:val="continuous"/>
          <w:pgSz w:w="6816" w:h="11006"/>
          <w:pgMar w:top="972" w:left="196" w:right="197" w:bottom="559" w:header="0" w:footer="3" w:gutter="0"/>
          <w:cols w:num="2" w:space="20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Svrha svake zaklade jest djelo dobročinstva </w:t>
      </w:r>
      <w:r>
        <w:rPr>
          <w:rFonts w:ascii="Times New Roman" w:eastAsia="Times New Roman" w:hAnsi="Times New Roman" w:cs="Times New Roman"/>
          <w:i/>
          <w:iCs/>
          <w:color w:val="000000"/>
          <w:spacing w:val="0"/>
          <w:w w:val="100"/>
          <w:position w:val="0"/>
          <w:shd w:val="clear" w:color="auto" w:fill="auto"/>
          <w:lang w:val="hr-HR" w:eastAsia="hr-HR" w:bidi="hr-HR"/>
        </w:rPr>
        <w:t>(ihsan).</w:t>
      </w:r>
      <w:r>
        <w:rPr>
          <w:rFonts w:ascii="Times New Roman" w:eastAsia="Times New Roman" w:hAnsi="Times New Roman" w:cs="Times New Roman"/>
          <w:color w:val="000000"/>
          <w:spacing w:val="0"/>
          <w:w w:val="100"/>
          <w:position w:val="0"/>
          <w:shd w:val="clear" w:color="auto" w:fill="auto"/>
          <w:lang w:val="hr-HR" w:eastAsia="hr-HR" w:bidi="hr-HR"/>
        </w:rPr>
        <w:t xml:space="preserve"> Stoga se ona ne može osnivati sama za sebe (Abu Jusuf, učenjak hanefitske škole, ne dijeli to mišljenje). Svestranu skrbničku djelatnost razvijaju mnogi dcrviški redovi. Oni pružaju materijalnu, duhovnu i odgojnu po</w:t>
        <w:softHyphen/>
        <w:t>moć. No to se dakako ne događa u jednom dobrom organiziranom okviru kao na Zapa</w:t>
        <w:softHyphen/>
        <w:t xml:space="preserve">du. U islamu nedostaju velike međunarodne dobročinstvene organizacije kao što su </w:t>
      </w:r>
      <w:r>
        <w:rPr>
          <w:rFonts w:ascii="Times New Roman" w:eastAsia="Times New Roman" w:hAnsi="Times New Roman" w:cs="Times New Roman"/>
          <w:i/>
          <w:iCs/>
          <w:color w:val="000000"/>
          <w:spacing w:val="0"/>
          <w:w w:val="100"/>
          <w:position w:val="0"/>
          <w:shd w:val="clear" w:color="auto" w:fill="auto"/>
          <w:lang w:val="en-US" w:eastAsia="en-US" w:bidi="en-US"/>
        </w:rPr>
        <w:t xml:space="preserve">Caritas </w:t>
      </w:r>
      <w:r>
        <w:rPr>
          <w:rFonts w:ascii="Times New Roman" w:eastAsia="Times New Roman" w:hAnsi="Times New Roman" w:cs="Times New Roman"/>
          <w:i/>
          <w:iCs/>
          <w:color w:val="000000"/>
          <w:spacing w:val="0"/>
          <w:w w:val="100"/>
          <w:position w:val="0"/>
          <w:shd w:val="clear" w:color="auto" w:fill="auto"/>
          <w:lang w:val="hr-HR" w:eastAsia="hr-HR" w:bidi="hr-HR"/>
        </w:rPr>
        <w:t>Intemationalis</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en-US" w:eastAsia="en-US" w:bidi="en-US"/>
        </w:rPr>
        <w:t>Evangelisches Hilfswerk.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Ali postoji niz manjih dobročinstvenih udruga </w:t>
      </w:r>
      <w:r>
        <w:rPr>
          <w:rFonts w:ascii="Times New Roman" w:eastAsia="Times New Roman" w:hAnsi="Times New Roman" w:cs="Times New Roman"/>
          <w:i/>
          <w:iCs/>
          <w:color w:val="000000"/>
          <w:spacing w:val="0"/>
          <w:w w:val="100"/>
          <w:position w:val="0"/>
          <w:shd w:val="clear" w:color="auto" w:fill="auto"/>
          <w:lang w:val="en-US" w:eastAsia="en-US" w:bidi="en-US"/>
        </w:rPr>
        <w:t>(djamiyydt khayriyya)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koje neovisno jedna o drugoj rade sa skromnim sredstvima. Postoje također domovi za stare i nezbrinute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(dar al- </w:t>
      </w:r>
      <w:r>
        <w:rPr>
          <w:rFonts w:ascii="Times New Roman" w:eastAsia="Times New Roman" w:hAnsi="Times New Roman" w:cs="Times New Roman"/>
          <w:i/>
          <w:iCs/>
          <w:color w:val="000000"/>
          <w:spacing w:val="0"/>
          <w:w w:val="100"/>
          <w:position w:val="0"/>
          <w:shd w:val="clear" w:color="auto" w:fill="auto"/>
          <w:lang w:val="en-US" w:eastAsia="en-US" w:bidi="en-US"/>
        </w:rPr>
        <w:t>yatama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hr-HR" w:eastAsia="hr-HR" w:bidi="hr-HR"/>
        </w:rPr>
        <w:t>dar al-'adjaza'j.</w:t>
      </w:r>
      <w:r>
        <w:rPr>
          <w:rFonts w:ascii="Times New Roman" w:eastAsia="Times New Roman" w:hAnsi="Times New Roman" w:cs="Times New Roman"/>
          <w:color w:val="000000"/>
          <w:spacing w:val="0"/>
          <w:w w:val="100"/>
          <w:position w:val="0"/>
          <w:shd w:val="clear" w:color="auto" w:fill="auto"/>
          <w:lang w:val="hr-HR" w:eastAsia="hr-HR" w:bidi="hr-HR"/>
        </w:rPr>
        <w:t xml:space="preserve"> Ranije su postojala i besplatna prenoćišta za inozemne putnike </w:t>
      </w:r>
      <w:r>
        <w:rPr>
          <w:rFonts w:ascii="Times New Roman" w:eastAsia="Times New Roman" w:hAnsi="Times New Roman" w:cs="Times New Roman"/>
          <w:i/>
          <w:iCs/>
          <w:color w:val="000000"/>
          <w:spacing w:val="0"/>
          <w:w w:val="100"/>
          <w:position w:val="0"/>
          <w:shd w:val="clear" w:color="auto" w:fill="auto"/>
          <w:lang w:val="hr-HR" w:eastAsia="hr-HR" w:bidi="hr-HR"/>
        </w:rPr>
        <w:t>(mu - safirkhane).</w:t>
      </w:r>
      <w:r>
        <w:rPr>
          <w:rFonts w:ascii="Times New Roman" w:eastAsia="Times New Roman" w:hAnsi="Times New Roman" w:cs="Times New Roman"/>
          <w:color w:val="000000"/>
          <w:spacing w:val="0"/>
          <w:w w:val="100"/>
          <w:position w:val="0"/>
          <w:shd w:val="clear" w:color="auto" w:fill="auto"/>
          <w:lang w:val="hr-HR" w:eastAsia="hr-HR" w:bidi="hr-HR"/>
        </w:rPr>
        <w:t xml:space="preserve"> Zadaće Crvenoga križa preuzi</w:t>
        <w:softHyphen/>
        <w:t xml:space="preserve">maju nacionalni ogranci </w:t>
      </w:r>
      <w:r>
        <w:rPr>
          <w:rFonts w:ascii="Times New Roman" w:eastAsia="Times New Roman" w:hAnsi="Times New Roman" w:cs="Times New Roman"/>
          <w:i/>
          <w:iCs/>
          <w:color w:val="000000"/>
          <w:spacing w:val="0"/>
          <w:w w:val="100"/>
          <w:position w:val="0"/>
          <w:shd w:val="clear" w:color="auto" w:fill="auto"/>
          <w:lang w:val="hr-HR" w:eastAsia="hr-HR" w:bidi="hr-HR"/>
        </w:rPr>
        <w:t>Crvenoga polumjese</w:t>
        <w:softHyphen/>
        <w:t>ca.</w:t>
      </w:r>
      <w:r>
        <w:rPr>
          <w:rFonts w:ascii="Times New Roman" w:eastAsia="Times New Roman" w:hAnsi="Times New Roman" w:cs="Times New Roman"/>
          <w:color w:val="000000"/>
          <w:spacing w:val="0"/>
          <w:w w:val="100"/>
          <w:position w:val="0"/>
          <w:shd w:val="clear" w:color="auto" w:fill="auto"/>
          <w:lang w:val="hr-HR" w:eastAsia="hr-HR" w:bidi="hr-HR"/>
        </w:rPr>
        <w:t xml:space="preserve"> Skrbnički je odgoj gotovo svugdje u povo-</w:t>
      </w:r>
    </w:p>
    <w:p>
      <w:pPr>
        <w:pStyle w:val="Style85"/>
        <w:keepNext w:val="0"/>
        <w:keepLines w:val="0"/>
        <w:widowControl w:val="0"/>
        <w:pBdr>
          <w:bottom w:val="single" w:sz="4" w:space="0" w:color="auto"/>
        </w:pBdr>
        <w:shd w:val="clear" w:color="auto" w:fill="auto"/>
        <w:bidi w:val="0"/>
        <w:spacing w:before="0" w:after="0" w:line="240" w:lineRule="auto"/>
        <w:ind w:left="0" w:right="0" w:firstLine="0"/>
        <w:jc w:val="left"/>
        <w:sectPr>
          <w:headerReference w:type="default" r:id="rId335"/>
          <w:footerReference w:type="default" r:id="rId336"/>
          <w:headerReference w:type="even" r:id="rId337"/>
          <w:footerReference w:type="even" r:id="rId338"/>
          <w:headerReference w:type="first" r:id="rId339"/>
          <w:footerReference w:type="first" r:id="rId340"/>
          <w:footnotePr>
            <w:pos w:val="pageBottom"/>
            <w:numFmt w:val="decimal"/>
            <w:numStart w:val="5"/>
            <w:numRestart w:val="continuous"/>
            <w15:footnoteColumns w:val="1"/>
          </w:footnotePr>
          <w:pgSz w:w="6816" w:h="11006"/>
          <w:pgMar w:top="595" w:left="209" w:right="214" w:bottom="352" w:header="0" w:footer="3" w:gutter="0"/>
          <w:cols w:space="720"/>
          <w:noEndnote/>
          <w:titlePg/>
          <w:rtlGutter w:val="0"/>
          <w:docGrid w:linePitch="360"/>
        </w:sectPr>
      </w:pPr>
      <w:r>
        <w:rPr>
          <w:color w:val="000000"/>
          <w:spacing w:val="0"/>
          <w:w w:val="100"/>
          <w:position w:val="0"/>
          <w:shd w:val="clear" w:color="auto" w:fill="auto"/>
          <w:lang w:val="hr-HR" w:eastAsia="hr-HR" w:bidi="hr-HR"/>
        </w:rPr>
        <w:t>dobročinstvo/dogma'đržava</w:t>
      </w:r>
    </w:p>
    <w:p>
      <w:pPr>
        <w:widowControl w:val="0"/>
        <w:spacing w:line="60" w:lineRule="exact"/>
        <w:rPr>
          <w:sz w:val="5"/>
          <w:szCs w:val="5"/>
        </w:rPr>
      </w:pPr>
    </w:p>
    <w:p>
      <w:pPr>
        <w:widowControl w:val="0"/>
        <w:spacing w:line="1" w:lineRule="exact"/>
        <w:sectPr>
          <w:footnotePr>
            <w:pos w:val="pageBottom"/>
            <w:numFmt w:val="decimal"/>
            <w:numStart w:val="5"/>
            <w:numRestart w:val="continuous"/>
            <w15:footnoteColumns w:val="1"/>
          </w:footnotePr>
          <w:type w:val="continuous"/>
          <w:pgSz w:w="6816" w:h="11006"/>
          <w:pgMar w:top="769" w:left="0" w:right="0" w:bottom="378" w:header="0" w:footer="3" w:gutter="0"/>
          <w:cols w:space="720"/>
          <w:noEndnote/>
          <w:rtlGutter w:val="0"/>
          <w:docGrid w:linePitch="360"/>
        </w:sectPr>
      </w:pPr>
    </w:p>
    <w:p>
      <w:pPr>
        <w:pStyle w:val="Style20"/>
        <w:keepNext w:val="0"/>
        <w:keepLines w:val="0"/>
        <w:widowControl w:val="0"/>
        <w:shd w:val="clear" w:color="auto" w:fill="auto"/>
        <w:bidi w:val="0"/>
        <w:spacing w:before="0" w:after="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jima. O majci i djetetu ne vodi se dovoljno brige. No te se manjkavosti ne mogu staviti na teret islama. One su sasvim jednostavno po</w:t>
        <w:softHyphen/>
        <w:t>sljedica manjkavog osjećaja za planiranja i do</w:t>
        <w:softHyphen/>
        <w:t>bro organizirani rad. Potiskivanje žene iz jav</w:t>
        <w:softHyphen/>
        <w:t>noga života i ovdje se pokazuje štetnim. »Is</w:t>
        <w:softHyphen/>
        <w:t>lamska« država dobročinstva danas nigdje ne postoji. Atribut države dobročinstva svakako zaslužuje kalifat prvoga razdoblja koji je bio pod vodstvom »četiri pravovjerna kalifa«. Trenutačna je i hitna potreba da islamski svi</w:t>
        <w:softHyphen/>
        <w:t>jet počne osnivati skrbničke ustanove.</w:t>
      </w:r>
    </w:p>
    <w:p>
      <w:pPr>
        <w:pStyle w:val="Style56"/>
        <w:keepNext w:val="0"/>
        <w:keepLines w:val="0"/>
        <w:widowControl w:val="0"/>
        <w:shd w:val="clear" w:color="auto" w:fill="auto"/>
        <w:tabs>
          <w:tab w:pos="2568" w:val="left"/>
        </w:tabs>
        <w:bidi w:val="0"/>
        <w:spacing w:before="0" w:after="340" w:line="240" w:lineRule="auto"/>
        <w:ind w:left="0" w:right="0" w:firstLine="0"/>
        <w:jc w:val="both"/>
      </w:pPr>
      <w:r>
        <w:rPr>
          <w:color w:val="000000"/>
          <w:spacing w:val="0"/>
          <w:w w:val="100"/>
          <w:position w:val="0"/>
          <w:shd w:val="clear" w:color="auto" w:fill="auto"/>
          <w:lang w:val="hr-HR" w:eastAsia="hr-HR" w:bidi="hr-HR"/>
        </w:rPr>
        <w:t xml:space="preserve">Lit.: natuknica </w:t>
      </w:r>
      <w:r>
        <w:rPr>
          <w:color w:val="000000"/>
          <w:spacing w:val="0"/>
          <w:w w:val="100"/>
          <w:position w:val="0"/>
          <w:shd w:val="clear" w:color="auto" w:fill="auto"/>
        </w:rPr>
        <w:t xml:space="preserve">Waqf,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HI, </w:t>
      </w:r>
      <w:r>
        <w:rPr>
          <w:color w:val="000000"/>
          <w:spacing w:val="0"/>
          <w:w w:val="100"/>
          <w:position w:val="0"/>
          <w:shd w:val="clear" w:color="auto" w:fill="auto"/>
          <w:lang w:val="hr-HR" w:eastAsia="hr-HR" w:bidi="hr-HR"/>
        </w:rPr>
        <w:t>7H7-793.</w:t>
        <w:tab/>
        <w:t>S BAI.IĆ</w:t>
      </w:r>
    </w:p>
    <w:p>
      <w:pPr>
        <w:pStyle w:val="Style33"/>
        <w:keepNext w:val="0"/>
        <w:keepLines w:val="0"/>
        <w:widowControl w:val="0"/>
        <w:shd w:val="clear" w:color="auto" w:fill="auto"/>
        <w:bidi w:val="0"/>
        <w:spacing w:before="0" w:after="4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DOGMA -&gt; UČITEUSTVO, -&gt;</w:t>
      </w:r>
    </w:p>
    <w:p>
      <w:pPr>
        <w:pStyle w:val="Style33"/>
        <w:keepNext w:val="0"/>
        <w:keepLines w:val="0"/>
        <w:widowControl w:val="0"/>
        <w:shd w:val="clear" w:color="auto" w:fill="auto"/>
        <w:bidi w:val="0"/>
        <w:spacing w:before="0" w:after="24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VJEROISPOVIJEST</w:t>
      </w:r>
    </w:p>
    <w:p>
      <w:pPr>
        <w:pStyle w:val="Style33"/>
        <w:keepNext w:val="0"/>
        <w:keepLines w:val="0"/>
        <w:widowControl w:val="0"/>
        <w:shd w:val="clear" w:color="auto" w:fill="auto"/>
        <w:bidi w:val="0"/>
        <w:spacing w:before="0" w:after="14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DRŽAVA</w:t>
      </w:r>
    </w:p>
    <w:p>
      <w:pPr>
        <w:pStyle w:val="Style63"/>
        <w:keepNext/>
        <w:keepLines/>
        <w:widowControl w:val="0"/>
        <w:numPr>
          <w:ilvl w:val="0"/>
          <w:numId w:val="99"/>
        </w:numPr>
        <w:shd w:val="clear" w:color="auto" w:fill="auto"/>
        <w:tabs>
          <w:tab w:pos="250" w:val="left"/>
        </w:tabs>
        <w:bidi w:val="0"/>
        <w:spacing w:before="0" w:after="40" w:line="216" w:lineRule="auto"/>
        <w:ind w:left="0" w:right="0" w:firstLine="0"/>
        <w:jc w:val="both"/>
      </w:pPr>
      <w:bookmarkStart w:id="77" w:name="bookmark77"/>
      <w:r>
        <w:rPr>
          <w:rFonts w:ascii="Times New Roman" w:eastAsia="Times New Roman" w:hAnsi="Times New Roman" w:cs="Times New Roman"/>
          <w:color w:val="000000"/>
          <w:spacing w:val="0"/>
          <w:w w:val="100"/>
          <w:position w:val="0"/>
          <w:shd w:val="clear" w:color="auto" w:fill="auto"/>
          <w:lang w:val="hr-HR" w:eastAsia="hr-HR" w:bidi="hr-HR"/>
        </w:rPr>
        <w:t>židovski</w:t>
      </w:r>
      <w:bookmarkEnd w:id="77"/>
    </w:p>
    <w:p>
      <w:pPr>
        <w:pStyle w:val="Style20"/>
        <w:keepNext w:val="0"/>
        <w:keepLines w:val="0"/>
        <w:widowControl w:val="0"/>
        <w:numPr>
          <w:ilvl w:val="0"/>
          <w:numId w:val="101"/>
        </w:numPr>
        <w:shd w:val="clear" w:color="auto" w:fill="auto"/>
        <w:tabs>
          <w:tab w:pos="26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prvina plodova njegovih.«</w:t>
      </w:r>
      <w:r>
        <w:rPr>
          <w:rFonts w:ascii="Times New Roman" w:eastAsia="Times New Roman" w:hAnsi="Times New Roman" w:cs="Times New Roman"/>
          <w:color w:val="000000"/>
          <w:spacing w:val="0"/>
          <w:w w:val="100"/>
          <w:position w:val="0"/>
          <w:shd w:val="clear" w:color="auto" w:fill="auto"/>
          <w:lang w:val="hr-HR" w:eastAsia="hr-HR" w:bidi="hr-HR"/>
        </w:rPr>
        <w:t xml:space="preserve"> Biblija obraz</w:t>
        <w:softHyphen/>
        <w:t>laže da je Izrael nastankom svoje zajednice postao jedinstven među narodima svijeta. Ta se zajednica povijesno poistovjećuje s iskust</w:t>
        <w:softHyphen/>
        <w:t>vom i djelovanjem jedne skupine u određe</w:t>
        <w:softHyphen/>
        <w:t>nom, za nju odlučnom trenutku. Bog ju je imenovao narodom koji će mu biti njegovo neposredno kraljevstvo (Izl 19,6), a Izrael je priznao Boga kao svojega kralja »vazda i do</w:t>
        <w:softHyphen/>
        <w:t>vijeka« (15,18). Povijest te zajednice stalna je borba sa svim kušnjama nacija i religija i Božjim zahtjevom da ona treba biti i narod i religija. Taj Izrael ne može odvojiti jedno od drugoga, zato što je Bog u početku ostvarenja kraljevske vlasti, koja obuhvaća cijelo čovje</w:t>
        <w:softHyphen/>
        <w:t>čanstvo, odlučio: »Izrael je NJEMU svetinja, prvina plodova njegovih« (Jr 2,3). U njemu treba početi zajednica čovječanstva koja sluša Boga i ispunjava Božju volju, zajednica ljudi koji surađuju u životnom odgovoru. Prema iz</w:t>
        <w:softHyphen/>
        <w:t>vješćivanju u Bibliji, ta se zajednica razvija već putovanjem kroz pustinju - neovisno o stvar</w:t>
        <w:softHyphen/>
        <w:t>nim preduvjetima državnoga života. I nakon formiranja država u Izraelu posrijedi je bila zajednica onih koji su bili povezani u ostva</w:t>
        <w:softHyphen/>
        <w:t>rivanju odnosa s Bogom (2 Sam 5,2; 7,10.14 i d.; 1 Sam 12,14 i d.; 24 i d.; Pnz 17,18-20; Ps 15; 24,4-6; Iz 33,14-16; Ez 18,5 i d.); njegovi proroci nisu branili određeni državni ustav, ne</w:t>
        <w:softHyphen/>
        <w:t xml:space="preserve">go su tražili održavanje Saveza s Bogom (Hoš 1-2,3,4 i d.; 4,6; 5,1 i d.; 8,4 i d.; Mih 6,6-8; Jr </w:t>
      </w:r>
      <w:r>
        <w:rPr>
          <w:rFonts w:ascii="Times New Roman" w:eastAsia="Times New Roman" w:hAnsi="Times New Roman" w:cs="Times New Roman"/>
          <w:color w:val="000000"/>
          <w:spacing w:val="0"/>
          <w:w w:val="100"/>
          <w:position w:val="0"/>
          <w:shd w:val="clear" w:color="auto" w:fill="auto"/>
          <w:lang w:val="hr-HR" w:eastAsia="hr-HR" w:bidi="hr-HR"/>
        </w:rPr>
        <w:t>7,9); o sreći i nesreći naroda ne odlučuje samo postojanje državnog ustrojstva, nego i vjerska poslušnost pojedinih kraljeva (Iz 7,9; Jr 21,11 i d.; 22,3 i d.; 13 i d.).</w:t>
      </w:r>
    </w:p>
    <w:p>
      <w:pPr>
        <w:pStyle w:val="Style20"/>
        <w:keepNext w:val="0"/>
        <w:keepLines w:val="0"/>
        <w:widowControl w:val="0"/>
        <w:numPr>
          <w:ilvl w:val="0"/>
          <w:numId w:val="101"/>
        </w:numPr>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»Moli za dobrobit vlasti.«</w:t>
      </w:r>
      <w:r>
        <w:rPr>
          <w:rFonts w:ascii="Times New Roman" w:eastAsia="Times New Roman" w:hAnsi="Times New Roman" w:cs="Times New Roman"/>
          <w:color w:val="000000"/>
          <w:spacing w:val="0"/>
          <w:w w:val="100"/>
          <w:position w:val="0"/>
          <w:shd w:val="clear" w:color="auto" w:fill="auto"/>
          <w:lang w:val="hr-HR" w:eastAsia="hr-HR" w:bidi="hr-HR"/>
        </w:rPr>
        <w:t xml:space="preserve"> Biblijski i poslije- biblijski Izrael vidio je u državi samo uvjetnu vrijednost; dodijelio joj je tek funkciju zajed</w:t>
        <w:softHyphen/>
        <w:t>ništva židovskoga naroda. Stoga nikakav oblik državne vlasti nije postigao apsolutnu vrijed</w:t>
        <w:softHyphen/>
        <w:t>nost: povijest izraelskoga kraljevstva pratilo je načelno odbojno držanje prema obliku trajne vlasti, koji je tumačila otpadništvom od Boga (Suci 8,23; 9,7-15; 1 Sam 8,7.9 i d. 19-22; Hoš 5,1). Razmjerno autonomna teokracija židov</w:t>
        <w:softHyphen/>
        <w:t>ske zajednice (usp. s »hramskom državom« u Ez 45,1-8) u perzijskoj epohi (538-333 pr. Kr.) i pod vlašću helenističkih država (332-163) također je ostala proročki i pismoznanski ospo</w:t>
        <w:softHyphen/>
        <w:t>rena (Iz 56-66; Zah 9-11; 12-14). Uspjeh Ma- kabcjaca, čiji je ustanak bio potaknut heleni- zacijskim nastojanjima (175-170 pr. Kr.) i mje</w:t>
        <w:softHyphen/>
        <w:t>rama protiv slobodnog prakticiranja židovske religije pod seleukidskim kraljem Antiohom IV. Epifanom (posebice 169) (od 165. pr. Kr., usp. 1 Mak 1-2; 2 Mak 5-6; 11; Dn 11,28 i d.), određeni pobožni krugovi smatrali su »malom pomoći« (Dn 11,34). Njihov sud nije promi</w:t>
        <w:softHyphen/>
        <w:t>jenila ni suverenost židovske države koju im je priznala dinastija Seleukida (142. pr. Kr., usp. 1 Mak 13-14); oni su »davidovsku« politiku Hasmonejaca smatrali vladavinom bezbožniš- tva i čekali hitan konačni spas u »budućem« svijetu koji će početi čudesnim, izvanpovijes- nim Božjim upletanjem (usp. s apokaliptič- kom literaturom čija je glavna crta eshatološ- ko očekivanje bliske budućnosti). Borbe za vlast, koje su neprestance buktale na hasmonejskom dvoru, dovele su naposljetku do intervencije Rima (63. pr. Kr.) koja je temeljito promije</w:t>
        <w:softHyphen/>
        <w:t>nila politički status Judeje. Dok se jedna sku</w:t>
        <w:softHyphen/>
        <w:t>pina unutar farizejskoga židovstva otprilike jedno stoljeće prije razorcnja Hrama nije više nadala otkupljenju židovskoga naroda u jakoj, sređenoj državnosti, nego je čekala samo još dolazak Mesije iz Davidovc kuće koji obećava svršetak svijeta u kraljevskoj vlasti Božjoj (Sa- lomonovi psalmi), većina mudraca zadržala je, unatoč mnogim napetostima, pozitivno sta</w:t>
        <w:softHyphen/>
        <w:t>jalište i prema posljednjim predstavnicima ne</w:t>
        <w:softHyphen/>
        <w:t>ovisne države Judeje. Oni su ipak odredili da ni veliki svećenik niti kralj neće u narodu za</w:t>
        <w:softHyphen/>
        <w:t xml:space="preserve">uzeti povlašteno mjesto te da su i jedan i drugi </w:t>
      </w:r>
      <w:r>
        <w:rPr>
          <w:rFonts w:ascii="Times New Roman" w:eastAsia="Times New Roman" w:hAnsi="Times New Roman" w:cs="Times New Roman"/>
          <w:color w:val="000000"/>
          <w:spacing w:val="0"/>
          <w:w w:val="100"/>
          <w:position w:val="0"/>
          <w:shd w:val="clear" w:color="auto" w:fill="auto"/>
          <w:lang w:val="hr-HR" w:eastAsia="hr-HR" w:bidi="hr-HR"/>
        </w:rPr>
        <w:t xml:space="preserve">podređeni židovskom sudstvu (M. </w:t>
      </w:r>
      <w:r>
        <w:rPr>
          <w:rFonts w:ascii="Times New Roman" w:eastAsia="Times New Roman" w:hAnsi="Times New Roman" w:cs="Times New Roman"/>
          <w:color w:val="000000"/>
          <w:spacing w:val="0"/>
          <w:w w:val="100"/>
          <w:position w:val="0"/>
          <w:shd w:val="clear" w:color="auto" w:fill="auto"/>
          <w:lang w:val="en-US" w:eastAsia="en-US" w:bidi="en-US"/>
        </w:rPr>
        <w:t>Sanhedrin</w:t>
      </w:r>
    </w:p>
    <w:p>
      <w:pPr>
        <w:pStyle w:val="Style20"/>
        <w:keepNext w:val="0"/>
        <w:keepLines w:val="0"/>
        <w:widowControl w:val="0"/>
        <w:numPr>
          <w:ilvl w:val="0"/>
          <w:numId w:val="103"/>
        </w:numPr>
        <w:shd w:val="clear" w:color="auto" w:fill="auto"/>
        <w:tabs>
          <w:tab w:pos="28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 u vezi s 11,2 usp. b 19a). Nakon razorenja Hrama (70. pos. Kr.) Raban Johanan ben Za- kaj pripremio je narod na opstanak bez Hra</w:t>
        <w:softHyphen/>
        <w:t>ma i žrtvenoga bogoslužja, a nastali prazni prostor ispunio preustrojem židovskoga živ</w:t>
        <w:softHyphen/>
        <w:t>ota (b Roš ha-šana 31b; M IV,2). Ubrzo je novi val mesijansko-rcvolucionarnih aktivnos</w:t>
        <w:softHyphen/>
        <w:t>ti (132-135) ugrozio rekonstrukciju učilišta u mjestu Javne (Jamnija); izazvala ih je rimska osornost. Neuspjeh ustanka uzrokovao je ka</w:t>
        <w:softHyphen/>
        <w:t>tastrofalne posljedice: trogodišnji vjerski pro</w:t>
        <w:softHyphen/>
        <w:t>goni raselili su gotovo cijelu Judeju. Tadašnji mudraci posvetili su pozornost preživljavanju i jačanju židovske zajednice u Erec Jisraelu (b Ketubot lila). Činjenica da sa židovskom drža</w:t>
        <w:softHyphen/>
        <w:t>vom nije propao i židovski narod, naglašava da je d., prema židovskom gledištu, samo or</w:t>
        <w:softHyphen/>
        <w:t xml:space="preserve">gan zajednice. Ni u jedno doba svoje povijesti židovski se narod nije dao potpuno iskoristiti od države. On je spoznao svoju zadaću: »Zar ne znaš da su nebesa od te nacije (rimske) stvorile vladaricu?«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18a) i granice: »Tko vidi kraljeve Izraela, kaže (kao hvalospjev): Blagoslovljen bio onaj tko je o njegovu veličanstvu govorio onima koji ga se boje! Tko vidi kraljeve naroda svijeta, kaže: Blagoslovljen bio onaj tko je od svojega ve</w:t>
        <w:softHyphen/>
        <w:t>ličanstva dao krvi i mesa« (b Berahot 58a). Je</w:t>
        <w:softHyphen/>
        <w:t xml:space="preserve">dan od njegovih učitelja (oko 70) objektivno je obrazložio upozorenje: »Moli za dobrobit vlasti </w:t>
      </w:r>
      <w:r>
        <w:rPr>
          <w:rFonts w:ascii="Times New Roman" w:eastAsia="Times New Roman" w:hAnsi="Times New Roman" w:cs="Times New Roman"/>
          <w:i/>
          <w:iCs/>
          <w:color w:val="000000"/>
          <w:spacing w:val="0"/>
          <w:w w:val="100"/>
          <w:position w:val="0"/>
          <w:shd w:val="clear" w:color="auto" w:fill="auto"/>
          <w:lang w:val="hr-HR" w:eastAsia="hr-HR" w:bidi="hr-HR"/>
        </w:rPr>
        <w:t>(malhut);</w:t>
      </w:r>
      <w:r>
        <w:rPr>
          <w:rFonts w:ascii="Times New Roman" w:eastAsia="Times New Roman" w:hAnsi="Times New Roman" w:cs="Times New Roman"/>
          <w:color w:val="000000"/>
          <w:spacing w:val="0"/>
          <w:w w:val="100"/>
          <w:position w:val="0"/>
          <w:shd w:val="clear" w:color="auto" w:fill="auto"/>
          <w:lang w:val="hr-HR" w:eastAsia="hr-HR" w:bidi="hr-HR"/>
        </w:rPr>
        <w:t xml:space="preserve"> naime, kad ne bi bilo od nje straha, jedni bi druge živi progutali« (M Avot</w:t>
      </w:r>
    </w:p>
    <w:p>
      <w:pPr>
        <w:pStyle w:val="Style20"/>
        <w:keepNext w:val="0"/>
        <w:keepLines w:val="0"/>
        <w:widowControl w:val="0"/>
        <w:numPr>
          <w:ilvl w:val="0"/>
          <w:numId w:val="103"/>
        </w:numPr>
        <w:shd w:val="clear" w:color="auto" w:fill="auto"/>
        <w:tabs>
          <w:tab w:pos="346"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2, usp.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3b.4a).</w:t>
      </w:r>
    </w:p>
    <w:p>
      <w:pPr>
        <w:pStyle w:val="Style20"/>
        <w:keepNext w:val="0"/>
        <w:keepLines w:val="0"/>
        <w:widowControl w:val="0"/>
        <w:numPr>
          <w:ilvl w:val="0"/>
          <w:numId w:val="101"/>
        </w:numPr>
        <w:shd w:val="clear" w:color="auto" w:fill="auto"/>
        <w:tabs>
          <w:tab w:pos="255"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»Pravo vlasti je pravo.«</w:t>
      </w:r>
      <w:r>
        <w:rPr>
          <w:rFonts w:ascii="Times New Roman" w:eastAsia="Times New Roman" w:hAnsi="Times New Roman" w:cs="Times New Roman"/>
          <w:color w:val="000000"/>
          <w:spacing w:val="0"/>
          <w:w w:val="100"/>
          <w:position w:val="0"/>
          <w:shd w:val="clear" w:color="auto" w:fill="auto"/>
          <w:lang w:val="hr-HR" w:eastAsia="hr-HR" w:bidi="hr-HR"/>
        </w:rPr>
        <w:t xml:space="preserve"> Židovski se narod ne iscrpljuje u državi, jer ona ne daje židovskom pravu svoj autoritet; on prije potječe iz zajed</w:t>
        <w:softHyphen/>
        <w:t>nice koja kontinuirano nastavlja pravni pore</w:t>
        <w:softHyphen/>
        <w:t>dak čvrsto usađen u Savezu Boga s Izraelom i oblikuje ga: nakon starijih, u tradicijskom pra</w:t>
        <w:softHyphen/>
        <w:t xml:space="preserve">vu utemeljenih zakona (zakona Tore) slijede takve odredbe </w:t>
      </w:r>
      <w:r>
        <w:rPr>
          <w:rFonts w:ascii="Times New Roman" w:eastAsia="Times New Roman" w:hAnsi="Times New Roman" w:cs="Times New Roman"/>
          <w:i/>
          <w:iCs/>
          <w:color w:val="000000"/>
          <w:spacing w:val="0"/>
          <w:w w:val="100"/>
          <w:position w:val="0"/>
          <w:shd w:val="clear" w:color="auto" w:fill="auto"/>
          <w:lang w:val="hr-HR" w:eastAsia="hr-HR" w:bidi="hr-HR"/>
        </w:rPr>
        <w:t>(takana)</w:t>
      </w:r>
      <w:r>
        <w:rPr>
          <w:rFonts w:ascii="Times New Roman" w:eastAsia="Times New Roman" w:hAnsi="Times New Roman" w:cs="Times New Roman"/>
          <w:color w:val="000000"/>
          <w:spacing w:val="0"/>
          <w:w w:val="100"/>
          <w:position w:val="0"/>
          <w:shd w:val="clear" w:color="auto" w:fill="auto"/>
          <w:lang w:val="hr-HR" w:eastAsia="hr-HR" w:bidi="hr-HR"/>
        </w:rPr>
        <w:t xml:space="preserve"> koje potječu od pis- moznanaca te od rabina koje sveukupno nazi</w:t>
        <w:softHyphen/>
        <w:t>vamo rabinskim pravom. U doba drugoga Hrama, barem od kraja perzijske vlasti (Jdt 11,14), »Veliki sabor« (M Avot 1,1), stariji na</w:t>
        <w:softHyphen/>
        <w:t xml:space="preserve">ziv za kasniji Sinedrij </w:t>
      </w:r>
      <w:r>
        <w:rPr>
          <w:rFonts w:ascii="Times New Roman" w:eastAsia="Times New Roman" w:hAnsi="Times New Roman" w:cs="Times New Roman"/>
          <w:color w:val="000000"/>
          <w:spacing w:val="0"/>
          <w:w w:val="100"/>
          <w:position w:val="0"/>
          <w:shd w:val="clear" w:color="auto" w:fill="auto"/>
          <w:lang w:val="en-US" w:eastAsia="en-US" w:bidi="en-US"/>
        </w:rPr>
        <w:t xml:space="preserve">(Mcgilat Taanit </w:t>
      </w:r>
      <w:r>
        <w:rPr>
          <w:rFonts w:ascii="Times New Roman" w:eastAsia="Times New Roman" w:hAnsi="Times New Roman" w:cs="Times New Roman"/>
          <w:color w:val="000000"/>
          <w:spacing w:val="0"/>
          <w:w w:val="100"/>
          <w:position w:val="0"/>
          <w:shd w:val="clear" w:color="auto" w:fill="auto"/>
          <w:lang w:val="hr-HR" w:eastAsia="hr-HR" w:bidi="hr-HR"/>
        </w:rPr>
        <w:t>X), bila je vrhovna pravna institucija, koja je imeno</w:t>
        <w:softHyphen/>
        <w:t>vala i sudove u okruzima i fungirala kao za</w:t>
        <w:softHyphen/>
        <w:t xml:space="preserve">konodavno tijelo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1,6). - Odred</w:t>
        <w:softHyphen/>
        <w:t xml:space="preserve">ba Tore o jednakosti svih ljudi pred zakonom (Izl 12,49;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24,22) načelo je židovskoga </w:t>
      </w:r>
      <w:r>
        <w:rPr>
          <w:rFonts w:ascii="Times New Roman" w:eastAsia="Times New Roman" w:hAnsi="Times New Roman" w:cs="Times New Roman"/>
          <w:color w:val="000000"/>
          <w:spacing w:val="0"/>
          <w:w w:val="100"/>
          <w:position w:val="0"/>
          <w:shd w:val="clear" w:color="auto" w:fill="auto"/>
          <w:lang w:val="hr-HR" w:eastAsia="hr-HR" w:bidi="hr-HR"/>
        </w:rPr>
        <w:t xml:space="preserve">državnog prava (b Bava kama 84a; M </w:t>
      </w:r>
      <w:r>
        <w:rPr>
          <w:rFonts w:ascii="Times New Roman" w:eastAsia="Times New Roman" w:hAnsi="Times New Roman" w:cs="Times New Roman"/>
          <w:color w:val="000000"/>
          <w:spacing w:val="0"/>
          <w:w w:val="100"/>
          <w:position w:val="0"/>
          <w:shd w:val="clear" w:color="auto" w:fill="auto"/>
          <w:lang w:val="en-US" w:eastAsia="en-US" w:bidi="en-US"/>
        </w:rPr>
        <w:t>Sanhe</w:t>
        <w:softHyphen/>
        <w:t xml:space="preserve">drin </w:t>
      </w:r>
      <w:r>
        <w:rPr>
          <w:rFonts w:ascii="Times New Roman" w:eastAsia="Times New Roman" w:hAnsi="Times New Roman" w:cs="Times New Roman"/>
          <w:color w:val="000000"/>
          <w:spacing w:val="0"/>
          <w:w w:val="100"/>
          <w:position w:val="0"/>
          <w:shd w:val="clear" w:color="auto" w:fill="auto"/>
          <w:lang w:val="hr-HR" w:eastAsia="hr-HR" w:bidi="hr-HR"/>
        </w:rPr>
        <w:t>IV, 1; Mchilta uz Izl 12,49). Nema pro</w:t>
        <w:softHyphen/>
        <w:t>pisa o veleizdaji zbog povrede ustava države, jer za židovsku zajednicu obvezatni su samo Bog i njegova Tora. Život u dijaspori ipak je prisilio židovski narod da svoje pravo prila</w:t>
        <w:softHyphen/>
        <w:t>godi minimalnim uvjetima državnog uređenja i stvori normu sukoba; ona u određenim gra</w:t>
        <w:softHyphen/>
        <w:t>nicama proglašava državne povrede židovsko</w:t>
        <w:softHyphen/>
        <w:t>ga prava objektivno pravednim i prema židov</w:t>
        <w:softHyphen/>
        <w:t>skom pravu: »Pravo (nežidovske) vlasti je pra</w:t>
        <w:softHyphen/>
        <w:t xml:space="preserve">vo« </w:t>
      </w:r>
      <w:r>
        <w:rPr>
          <w:rFonts w:ascii="Times New Roman" w:eastAsia="Times New Roman" w:hAnsi="Times New Roman" w:cs="Times New Roman"/>
          <w:i/>
          <w:iCs/>
          <w:color w:val="000000"/>
          <w:spacing w:val="0"/>
          <w:w w:val="100"/>
          <w:position w:val="0"/>
          <w:shd w:val="clear" w:color="auto" w:fill="auto"/>
          <w:lang w:val="hr-HR" w:eastAsia="hr-HR" w:bidi="hr-HR"/>
        </w:rPr>
        <w:t>(dina de-malhuta dina,</w:t>
      </w:r>
      <w:r>
        <w:rPr>
          <w:rFonts w:ascii="Times New Roman" w:eastAsia="Times New Roman" w:hAnsi="Times New Roman" w:cs="Times New Roman"/>
          <w:color w:val="000000"/>
          <w:spacing w:val="0"/>
          <w:w w:val="100"/>
          <w:position w:val="0"/>
          <w:shd w:val="clear" w:color="auto" w:fill="auto"/>
          <w:lang w:val="hr-HR" w:eastAsia="hr-HR" w:bidi="hr-HR"/>
        </w:rPr>
        <w:t xml:space="preserve">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10b; Nc- darim 28a; Bava batra 54b;55a; Bava kama 113a). Prema toj pravnoj odredbi, opći držav</w:t>
        <w:softHyphen/>
        <w:t>ni zakon, prije svega porezno zakonodavstvo, valjan je za Židove koji žive izvan Erec Jis- raela.</w:t>
      </w:r>
    </w:p>
    <w:p>
      <w:pPr>
        <w:pStyle w:val="Style56"/>
        <w:keepNext w:val="0"/>
        <w:keepLines w:val="0"/>
        <w:widowControl w:val="0"/>
        <w:shd w:val="clear" w:color="auto" w:fill="auto"/>
        <w:tabs>
          <w:tab w:pos="2419" w:val="left"/>
        </w:tabs>
        <w:bidi w:val="0"/>
        <w:spacing w:before="0" w:after="240" w:line="230" w:lineRule="auto"/>
        <w:ind w:left="0" w:right="0" w:firstLine="0"/>
        <w:jc w:val="both"/>
      </w:pPr>
      <w:r>
        <w:rPr>
          <w:i/>
          <w:iCs/>
          <w:color w:val="000000"/>
          <w:spacing w:val="0"/>
          <w:w w:val="100"/>
          <w:position w:val="0"/>
          <w:shd w:val="clear" w:color="auto" w:fill="auto"/>
        </w:rPr>
        <w:t>Lil.:* 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*1978. 3, 928-31; 5. 883-89; 6. 51-56; 12, 115-51; </w:t>
      </w:r>
      <w:r>
        <w:rPr>
          <w:i/>
          <w:iCs/>
          <w:color w:val="000000"/>
          <w:spacing w:val="0"/>
          <w:w w:val="100"/>
          <w:position w:val="0"/>
          <w:shd w:val="clear" w:color="auto" w:fill="auto"/>
          <w:lang w:val="hr-HR" w:eastAsia="hr-HR" w:bidi="hr-HR"/>
        </w:rPr>
        <w:t xml:space="preserve">Jtidischcs </w:t>
      </w:r>
      <w:r>
        <w:rPr>
          <w:i/>
          <w:iCs/>
          <w:color w:val="000000"/>
          <w:spacing w:val="0"/>
          <w:w w:val="100"/>
          <w:position w:val="0"/>
          <w:shd w:val="clear" w:color="auto" w:fill="auto"/>
        </w:rPr>
        <w:t>Lcxikon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IV,2, 1927/82, 592-623; K. </w:t>
      </w:r>
      <w:r>
        <w:rPr>
          <w:color w:val="000000"/>
          <w:spacing w:val="0"/>
          <w:w w:val="100"/>
          <w:position w:val="0"/>
          <w:shd w:val="clear" w:color="auto" w:fill="auto"/>
        </w:rPr>
        <w:t xml:space="preserve">Schneider,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 xml:space="preserve">Slaat und </w:t>
      </w:r>
      <w:r>
        <w:rPr>
          <w:i/>
          <w:iCs/>
          <w:color w:val="000000"/>
          <w:spacing w:val="0"/>
          <w:w w:val="100"/>
          <w:position w:val="0"/>
          <w:shd w:val="clear" w:color="auto" w:fill="auto"/>
        </w:rPr>
        <w:t xml:space="preserve">Religion in Israel, </w:t>
      </w:r>
      <w:r>
        <w:rPr>
          <w:color w:val="000000"/>
          <w:spacing w:val="0"/>
          <w:w w:val="100"/>
          <w:position w:val="0"/>
          <w:shd w:val="clear" w:color="auto" w:fill="auto"/>
          <w:lang w:val="hr-HR" w:eastAsia="hr-HR" w:bidi="hr-HR"/>
        </w:rPr>
        <w:t>1984,</w:t>
        <w:tab/>
        <w:t xml:space="preserve">1). </w:t>
      </w:r>
      <w:r>
        <w:rPr>
          <w:color w:val="000000"/>
          <w:spacing w:val="0"/>
          <w:w w:val="100"/>
          <w:position w:val="0"/>
          <w:shd w:val="clear" w:color="auto" w:fill="auto"/>
        </w:rPr>
        <w:t>VUITL-R</w:t>
      </w:r>
    </w:p>
    <w:p>
      <w:pPr>
        <w:pStyle w:val="Style63"/>
        <w:keepNext/>
        <w:keepLines/>
        <w:widowControl w:val="0"/>
        <w:numPr>
          <w:ilvl w:val="0"/>
          <w:numId w:val="99"/>
        </w:numPr>
        <w:shd w:val="clear" w:color="auto" w:fill="auto"/>
        <w:tabs>
          <w:tab w:pos="260" w:val="left"/>
        </w:tabs>
        <w:bidi w:val="0"/>
        <w:spacing w:before="0" w:after="80" w:line="226" w:lineRule="auto"/>
        <w:ind w:left="0" w:right="0" w:firstLine="0"/>
        <w:jc w:val="both"/>
      </w:pPr>
      <w:bookmarkStart w:id="78" w:name="bookmark7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78"/>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Iako se pojam d. (od lat. status preko talij. stato = stanje) prvi put javlja u XV. stoljeću i označava stanje političke organizacije neke zajednice, ipak povijest nauka o državi seže do grčko-rimske antike. D., dakle, politička vlast održavana suverenom silom na nekom ograničenom prostoru, u antici i u srednjem vijeku označena kao »građanska d.« (grč. po- liteia, lat. civitas) ili »republika« (lat. </w:t>
      </w:r>
      <w:r>
        <w:rPr>
          <w:rFonts w:ascii="Times New Roman" w:eastAsia="Times New Roman" w:hAnsi="Times New Roman" w:cs="Times New Roman"/>
          <w:i/>
          <w:iCs/>
          <w:color w:val="000000"/>
          <w:spacing w:val="0"/>
          <w:w w:val="100"/>
          <w:position w:val="0"/>
          <w:shd w:val="clear" w:color="auto" w:fill="auto"/>
          <w:lang w:val="hr-HR" w:eastAsia="hr-HR" w:bidi="hr-HR"/>
        </w:rPr>
        <w:t>res pub- lica),</w:t>
      </w:r>
      <w:r>
        <w:rPr>
          <w:rFonts w:ascii="Times New Roman" w:eastAsia="Times New Roman" w:hAnsi="Times New Roman" w:cs="Times New Roman"/>
          <w:color w:val="000000"/>
          <w:spacing w:val="0"/>
          <w:w w:val="100"/>
          <w:position w:val="0"/>
          <w:shd w:val="clear" w:color="auto" w:fill="auto"/>
          <w:lang w:val="hr-HR" w:eastAsia="hr-HR" w:bidi="hr-HR"/>
        </w:rPr>
        <w:t xml:space="preserve"> predmet je nauka o državi ili filozofije države. Najznačajnije doprinose na području antikne teorije o državi pružili su Platon </w:t>
      </w:r>
      <w:r>
        <w:rPr>
          <w:rFonts w:ascii="Times New Roman" w:eastAsia="Times New Roman" w:hAnsi="Times New Roman" w:cs="Times New Roman"/>
          <w:i/>
          <w:iCs/>
          <w:color w:val="000000"/>
          <w:spacing w:val="0"/>
          <w:w w:val="100"/>
          <w:position w:val="0"/>
          <w:shd w:val="clear" w:color="auto" w:fill="auto"/>
          <w:lang w:val="hr-HR" w:eastAsia="hr-HR" w:bidi="hr-HR"/>
        </w:rPr>
        <w:t>(Država),</w:t>
      </w:r>
      <w:r>
        <w:rPr>
          <w:rFonts w:ascii="Times New Roman" w:eastAsia="Times New Roman" w:hAnsi="Times New Roman" w:cs="Times New Roman"/>
          <w:color w:val="000000"/>
          <w:spacing w:val="0"/>
          <w:w w:val="100"/>
          <w:position w:val="0"/>
          <w:shd w:val="clear" w:color="auto" w:fill="auto"/>
          <w:lang w:val="hr-HR" w:eastAsia="hr-HR" w:bidi="hr-HR"/>
        </w:rPr>
        <w:t xml:space="preserve"> Aristotel </w:t>
      </w:r>
      <w:r>
        <w:rPr>
          <w:rFonts w:ascii="Times New Roman" w:eastAsia="Times New Roman" w:hAnsi="Times New Roman" w:cs="Times New Roman"/>
          <w:i/>
          <w:iCs/>
          <w:color w:val="000000"/>
          <w:spacing w:val="0"/>
          <w:w w:val="100"/>
          <w:position w:val="0"/>
          <w:shd w:val="clear" w:color="auto" w:fill="auto"/>
          <w:lang w:val="hr-HR" w:eastAsia="hr-HR" w:bidi="hr-HR"/>
        </w:rPr>
        <w:t>(Politika),</w:t>
      </w:r>
      <w:r>
        <w:rPr>
          <w:rFonts w:ascii="Times New Roman" w:eastAsia="Times New Roman" w:hAnsi="Times New Roman" w:cs="Times New Roman"/>
          <w:color w:val="000000"/>
          <w:spacing w:val="0"/>
          <w:w w:val="100"/>
          <w:position w:val="0"/>
          <w:shd w:val="clear" w:color="auto" w:fill="auto"/>
          <w:lang w:val="hr-HR" w:eastAsia="hr-HR" w:bidi="hr-HR"/>
        </w:rPr>
        <w:t xml:space="preserve"> Ciceron </w:t>
      </w:r>
      <w:r>
        <w:rPr>
          <w:rFonts w:ascii="Times New Roman" w:eastAsia="Times New Roman" w:hAnsi="Times New Roman" w:cs="Times New Roman"/>
          <w:i/>
          <w:iCs/>
          <w:color w:val="000000"/>
          <w:spacing w:val="0"/>
          <w:w w:val="100"/>
          <w:position w:val="0"/>
          <w:shd w:val="clear" w:color="auto" w:fill="auto"/>
          <w:lang w:val="hr-HR" w:eastAsia="hr-HR" w:bidi="hr-HR"/>
        </w:rPr>
        <w:t>(O re</w:t>
        <w:softHyphen/>
        <w:t>publici)</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i/>
          <w:iCs/>
          <w:color w:val="000000"/>
          <w:spacing w:val="0"/>
          <w:w w:val="100"/>
          <w:position w:val="0"/>
          <w:shd w:val="clear" w:color="auto" w:fill="auto"/>
          <w:lang w:val="hr-HR" w:eastAsia="hr-HR" w:bidi="hr-HR"/>
        </w:rPr>
        <w:t>(O državi Božjoj).</w:t>
      </w:r>
      <w:r>
        <w:rPr>
          <w:rFonts w:ascii="Times New Roman" w:eastAsia="Times New Roman" w:hAnsi="Times New Roman" w:cs="Times New Roman"/>
          <w:color w:val="000000"/>
          <w:spacing w:val="0"/>
          <w:w w:val="100"/>
          <w:position w:val="0"/>
          <w:shd w:val="clear" w:color="auto" w:fill="auto"/>
          <w:lang w:val="hr-HR" w:eastAsia="hr-HR" w:bidi="hr-HR"/>
        </w:rPr>
        <w:t xml:space="preserve"> Prema grčkom shvaćanju, nužnost postojanja države ima korijen u naravi čovjeka koji je - kao zoon politikon - bitno upućen i usmjeren na zajed</w:t>
        <w:softHyphen/>
        <w:t xml:space="preserve">ništvo. Svrha je države u jamčenju unutarnjeg i vanjskog mira i unapređivanju općeg dobra; državna vlast služi postizavanju ovih ciljeva. Kod ispunjavanja svojih zadaća d.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suverena, </w:t>
      </w:r>
      <w:r>
        <w:rPr>
          <w:rFonts w:ascii="Times New Roman" w:eastAsia="Times New Roman" w:hAnsi="Times New Roman" w:cs="Times New Roman"/>
          <w:color w:val="000000"/>
          <w:spacing w:val="0"/>
          <w:w w:val="100"/>
          <w:position w:val="0"/>
          <w:shd w:val="clear" w:color="auto" w:fill="auto"/>
          <w:lang w:val="hr-HR" w:eastAsia="hr-HR" w:bidi="hr-HR"/>
        </w:rPr>
        <w:t>tj. nije ovisna ni o kakvoj vanjskoj sili niti je obvezna polagati račune ikomu osim samoj sebi, odnosno nositeljima državne vlasti.</w:t>
      </w:r>
    </w:p>
    <w:p>
      <w:pPr>
        <w:pStyle w:val="Style20"/>
        <w:keepNext w:val="0"/>
        <w:keepLines w:val="0"/>
        <w:widowControl w:val="0"/>
        <w:shd w:val="clear" w:color="auto" w:fill="auto"/>
        <w:bidi w:val="0"/>
        <w:spacing w:before="0" w:after="0" w:line="257" w:lineRule="auto"/>
        <w:ind w:left="0" w:right="0" w:firstLine="0"/>
        <w:jc w:val="both"/>
        <w:sectPr>
          <w:footnotePr>
            <w:pos w:val="pageBottom"/>
            <w:numFmt w:val="decimal"/>
            <w:numStart w:val="5"/>
            <w:numRestart w:val="continuous"/>
            <w15:footnoteColumns w:val="1"/>
          </w:footnotePr>
          <w:type w:val="continuous"/>
          <w:pgSz w:w="6816" w:h="11006"/>
          <w:pgMar w:top="769" w:left="191" w:right="197" w:bottom="378" w:header="0" w:footer="3" w:gutter="0"/>
          <w:cols w:num="2" w:space="19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Pitanje o najboljem državnom obliku, tj. o strukturi podjele vlasti i o mjeri državne brige za građane, ukratko, pitanje kakva je d. ide</w:t>
        <w:softHyphen/>
        <w:t xml:space="preserve">alna, glavni je, počevši od Platona, problem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nauka o državi. Na vrhu platonskog ideala države stoje »filozofi kao vladari« koji su u stanju samo na temelju svog uvida ostvarivati pravdu u državi. Aristotel, polazeći od em</w:t>
        <w:softHyphen/>
        <w:t>pirijskog promatranja postojećih helenističkih oblika ustava, vidi idealan oblik države u ‘mi</w:t>
        <w:softHyphen/>
        <w:t>ješanom’ ustavu koji ujedinjuje monarhijske, aristokratske i demokratske elemente; Poli- bije i Ciceron držali su da je ta aristotelovska ‘politie' povijesno ostvarena u rimskoj repub</w:t>
        <w:softHyphen/>
        <w:t>lici. Za razumijevanje augustinovskoga nauka o državi nužan je kratak pogled na židovsko- kršćansku tradiciju. NZ ne sadrži, kao već ni SZ, nikakav razvijen nauk o državi; biblijski iskazi ograničavaju se u pravilu više na prak</w:t>
        <w:softHyphen/>
        <w:t>tična pitanja o ponašanju prema konkretnoj državnoj vlasti. Isusova riječ »Podajte caru ca</w:t>
        <w:softHyphen/>
        <w:t>revo a Bogu Božje« (Mk 12,17 par.), nagla</w:t>
        <w:softHyphen/>
        <w:t>šava s jedne strane (protiv zelota) opravda</w:t>
        <w:softHyphen/>
        <w:t>nost zahtjeva države za svjetovnom vlašću, ali je također i ograničava: u slučaju sukoba vri</w:t>
        <w:softHyphen/>
        <w:t>jedi Božja volja. I Pracrkva ima načelno po</w:t>
        <w:softHyphen/>
        <w:t>zitivan odnos prema (rimskoj) državi, pa zato ne teži za revolucijom. To je razumljivo, ba</w:t>
        <w:softHyphen/>
        <w:t>rem u vremenu očekivanja skoroga kraljevstva, jer s obzirom na vremenski ograničeno posto</w:t>
        <w:softHyphen/>
        <w:t>janje zemaljskih struktura moći i na uspostav</w:t>
        <w:softHyphen/>
        <w:t>ljanje Božjega kraljevstva, koje neposredno predstoji u eshatološkoj stvarnosti koja trans- cendira sve državne oblike, čini se da je kon</w:t>
        <w:softHyphen/>
        <w:t xml:space="preserve">kretan oblik države drugorazredan. S nastu- pajućim »odgađanjem paruzijc« (Metz) podiže se, dakako, zov za </w:t>
      </w:r>
      <w:r>
        <w:rPr>
          <w:rFonts w:ascii="Times New Roman" w:eastAsia="Times New Roman" w:hAnsi="Times New Roman" w:cs="Times New Roman"/>
          <w:i/>
          <w:iCs/>
          <w:color w:val="000000"/>
          <w:spacing w:val="0"/>
          <w:w w:val="100"/>
          <w:position w:val="0"/>
          <w:shd w:val="clear" w:color="auto" w:fill="auto"/>
          <w:lang w:val="hr-HR" w:eastAsia="hr-HR" w:bidi="hr-HR"/>
        </w:rPr>
        <w:t>kršćanskom</w:t>
      </w:r>
      <w:r>
        <w:rPr>
          <w:rFonts w:ascii="Times New Roman" w:eastAsia="Times New Roman" w:hAnsi="Times New Roman" w:cs="Times New Roman"/>
          <w:color w:val="000000"/>
          <w:spacing w:val="0"/>
          <w:w w:val="100"/>
          <w:position w:val="0"/>
          <w:shd w:val="clear" w:color="auto" w:fill="auto"/>
          <w:lang w:val="hr-HR" w:eastAsia="hr-HR" w:bidi="hr-HR"/>
        </w:rPr>
        <w:t xml:space="preserve"> državom (to se otprilike može ustanoviti počam od Origena) koja je s Konstantinom bila stvorena barem izvana. Nasuprot tomu,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sada opet naglašava eshatološku komponentu nauka o državi tako da relativizira konačnu svrhu ze</w:t>
        <w:softHyphen/>
        <w:t>maljske države i ukupne ljudske povijesti ka</w:t>
        <w:softHyphen/>
        <w:t xml:space="preserve">da zemaljsku egzistenciju promatra samo kao prijelazni stadij na čijem kraju stoji vječno spasenje, odnosno vječno prokletstvo. Tako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shvaća povijest kao teleološki pro</w:t>
        <w:softHyphen/>
        <w:t xml:space="preserve">ces čiji cilj nc treba tražiti, kao npr. u ostalim državno-filozofskim nacrtima, povijesno-ima- nentno nego transcendentno u uspostavljanju ‘Božje države’. Tek je Toma Akvinski, nado- vezujući se na Aristotela, opet doveo do uvažavanja nužnost zemaljske države koja je utemeljena u naravi čovjeka kao </w:t>
      </w:r>
      <w:r>
        <w:rPr>
          <w:rFonts w:ascii="Times New Roman" w:eastAsia="Times New Roman" w:hAnsi="Times New Roman" w:cs="Times New Roman"/>
          <w:i/>
          <w:iCs/>
          <w:color w:val="000000"/>
          <w:spacing w:val="0"/>
          <w:w w:val="100"/>
          <w:position w:val="0"/>
          <w:shd w:val="clear" w:color="auto" w:fill="auto"/>
          <w:lang w:val="en-US" w:eastAsia="en-US" w:bidi="en-US"/>
        </w:rPr>
        <w:t>animal sod</w:t>
        <w:softHyphen/>
        <w:t>ale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 koja tako i za novovjekovne teorije o državi doživljava važno antropološki uteme</w:t>
        <w:softHyphen/>
        <w:t>ljeno podizanje vrijednosti.</w:t>
      </w:r>
    </w:p>
    <w:p>
      <w:pPr>
        <w:pStyle w:val="Style20"/>
        <w:keepNext w:val="0"/>
        <w:keepLines w:val="0"/>
        <w:widowControl w:val="0"/>
        <w:shd w:val="clear" w:color="auto" w:fill="auto"/>
        <w:bidi w:val="0"/>
        <w:spacing w:before="0" w:after="0"/>
        <w:ind w:left="0" w:right="0" w:firstLine="0"/>
        <w:jc w:val="both"/>
        <w:sectPr>
          <w:headerReference w:type="default" r:id="rId341"/>
          <w:footerReference w:type="default" r:id="rId342"/>
          <w:headerReference w:type="even" r:id="rId343"/>
          <w:footerReference w:type="even" r:id="rId344"/>
          <w:footnotePr>
            <w:pos w:val="pageBottom"/>
            <w:numFmt w:val="decimal"/>
            <w:numStart w:val="5"/>
            <w:numRestart w:val="continuous"/>
            <w15:footnoteColumns w:val="1"/>
          </w:footnotePr>
          <w:type w:val="continuous"/>
          <w:pgSz w:w="6816" w:h="11006"/>
          <w:pgMar w:top="769" w:left="191" w:right="197" w:bottom="378" w:header="0" w:footer="3" w:gutter="0"/>
          <w:cols w:num="2" w:space="19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renesansi iznova probuđeno zanimanje za državno-teoretska pitanja nalazi na početku XVI. stoljeća svoj izraz u dvama tako različi</w:t>
        <w:softHyphen/>
        <w:t xml:space="preserve">tim djelima kao što je </w:t>
      </w:r>
      <w:r>
        <w:rPr>
          <w:rFonts w:ascii="Times New Roman" w:eastAsia="Times New Roman" w:hAnsi="Times New Roman" w:cs="Times New Roman"/>
          <w:i/>
          <w:iCs/>
          <w:color w:val="000000"/>
          <w:spacing w:val="0"/>
          <w:w w:val="100"/>
          <w:position w:val="0"/>
          <w:shd w:val="clear" w:color="auto" w:fill="auto"/>
          <w:lang w:val="hr-HR" w:eastAsia="hr-HR" w:bidi="hr-HR"/>
        </w:rPr>
        <w:t>Utopija</w:t>
      </w:r>
      <w:r>
        <w:rPr>
          <w:rFonts w:ascii="Times New Roman" w:eastAsia="Times New Roman" w:hAnsi="Times New Roman" w:cs="Times New Roman"/>
          <w:color w:val="000000"/>
          <w:spacing w:val="0"/>
          <w:w w:val="100"/>
          <w:position w:val="0"/>
          <w:shd w:val="clear" w:color="auto" w:fill="auto"/>
          <w:lang w:val="hr-HR" w:eastAsia="hr-HR" w:bidi="hr-HR"/>
        </w:rPr>
        <w:t xml:space="preserve"> Thomasa Mo- rea (objavljena 1517) i </w:t>
      </w:r>
      <w:r>
        <w:rPr>
          <w:rFonts w:ascii="Times New Roman" w:eastAsia="Times New Roman" w:hAnsi="Times New Roman" w:cs="Times New Roman"/>
          <w:i/>
          <w:iCs/>
          <w:color w:val="000000"/>
          <w:spacing w:val="0"/>
          <w:w w:val="100"/>
          <w:position w:val="0"/>
          <w:shd w:val="clear" w:color="auto" w:fill="auto"/>
          <w:lang w:val="hr-HR" w:eastAsia="hr-HR" w:bidi="hr-HR"/>
        </w:rPr>
        <w:t>Principe</w:t>
      </w:r>
      <w:r>
        <w:rPr>
          <w:rFonts w:ascii="Times New Roman" w:eastAsia="Times New Roman" w:hAnsi="Times New Roman" w:cs="Times New Roman"/>
          <w:color w:val="000000"/>
          <w:spacing w:val="0"/>
          <w:w w:val="100"/>
          <w:position w:val="0"/>
          <w:shd w:val="clear" w:color="auto" w:fill="auto"/>
          <w:lang w:val="hr-HR" w:eastAsia="hr-HR" w:bidi="hr-HR"/>
        </w:rPr>
        <w:t xml:space="preserve"> Niccolda Ma- chiavellija (objavljeni 1532). Dok jedan u ob</w:t>
        <w:softHyphen/>
        <w:t xml:space="preserve">liku izmišljenog putopisa o otoku </w:t>
      </w:r>
      <w:r>
        <w:rPr>
          <w:rFonts w:ascii="Times New Roman" w:eastAsia="Times New Roman" w:hAnsi="Times New Roman" w:cs="Times New Roman"/>
          <w:i/>
          <w:iCs/>
          <w:color w:val="000000"/>
          <w:spacing w:val="0"/>
          <w:w w:val="100"/>
          <w:position w:val="0"/>
          <w:shd w:val="clear" w:color="auto" w:fill="auto"/>
          <w:lang w:val="hr-HR" w:eastAsia="hr-HR" w:bidi="hr-HR"/>
        </w:rPr>
        <w:t>Utopiji</w:t>
      </w:r>
      <w:r>
        <w:rPr>
          <w:rFonts w:ascii="Times New Roman" w:eastAsia="Times New Roman" w:hAnsi="Times New Roman" w:cs="Times New Roman"/>
          <w:color w:val="000000"/>
          <w:spacing w:val="0"/>
          <w:w w:val="100"/>
          <w:position w:val="0"/>
          <w:shd w:val="clear" w:color="auto" w:fill="auto"/>
          <w:lang w:val="hr-HR" w:eastAsia="hr-HR" w:bidi="hr-HR"/>
        </w:rPr>
        <w:t xml:space="preserve"> pri</w:t>
        <w:softHyphen/>
        <w:t>kazuje svoje shvaćanje idealne države, drugi analizira samo na empirijski način faktore koji vode do postizavanja i održavanja činjenične političke moći. U vremenu koje slijedi bit je države određena prije svega idejom »društve</w:t>
        <w:softHyphen/>
        <w:t xml:space="preserve">nog ugovora« i tumači se na različit način. </w:t>
      </w:r>
      <w:r>
        <w:rPr>
          <w:rFonts w:ascii="Times New Roman" w:eastAsia="Times New Roman" w:hAnsi="Times New Roman" w:cs="Times New Roman"/>
          <w:color w:val="000000"/>
          <w:spacing w:val="0"/>
          <w:w w:val="100"/>
          <w:position w:val="0"/>
          <w:shd w:val="clear" w:color="auto" w:fill="auto"/>
          <w:lang w:val="en-US" w:eastAsia="en-US" w:bidi="en-US"/>
        </w:rPr>
        <w:t xml:space="preserve">Thomas Hobbes </w:t>
      </w:r>
      <w:r>
        <w:rPr>
          <w:rFonts w:ascii="Times New Roman" w:eastAsia="Times New Roman" w:hAnsi="Times New Roman" w:cs="Times New Roman"/>
          <w:color w:val="000000"/>
          <w:spacing w:val="0"/>
          <w:w w:val="100"/>
          <w:position w:val="0"/>
          <w:shd w:val="clear" w:color="auto" w:fill="auto"/>
          <w:lang w:val="hr-HR" w:eastAsia="hr-HR" w:bidi="hr-HR"/>
        </w:rPr>
        <w:t xml:space="preserve">postavlja u svom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Leviathanu </w:t>
      </w:r>
      <w:r>
        <w:rPr>
          <w:rFonts w:ascii="Times New Roman" w:eastAsia="Times New Roman" w:hAnsi="Times New Roman" w:cs="Times New Roman"/>
          <w:color w:val="000000"/>
          <w:spacing w:val="0"/>
          <w:w w:val="100"/>
          <w:position w:val="0"/>
          <w:shd w:val="clear" w:color="auto" w:fill="auto"/>
          <w:lang w:val="hr-HR" w:eastAsia="hr-HR" w:bidi="hr-HR"/>
        </w:rPr>
        <w:t>(1651) tezu da je d. u izvjesnom smislu oblik organizacije koji proizlazi iz egoizma pojedi</w:t>
        <w:softHyphen/>
        <w:t>naca i stoga je nužan, a predstavlja dakle mi</w:t>
        <w:softHyphen/>
        <w:t xml:space="preserve">nimalnu usuglašenost članova države koji u načelu slijede samo svoje vlastite interese. To je </w:t>
      </w:r>
      <w:r>
        <w:rPr>
          <w:rFonts w:ascii="Times New Roman" w:eastAsia="Times New Roman" w:hAnsi="Times New Roman" w:cs="Times New Roman"/>
          <w:color w:val="000000"/>
          <w:spacing w:val="0"/>
          <w:w w:val="100"/>
          <w:position w:val="0"/>
          <w:shd w:val="clear" w:color="auto" w:fill="auto"/>
          <w:lang w:val="en-US" w:eastAsia="en-US" w:bidi="en-US"/>
        </w:rPr>
        <w:t xml:space="preserve">John Locke </w:t>
      </w:r>
      <w:r>
        <w:rPr>
          <w:rFonts w:ascii="Times New Roman" w:eastAsia="Times New Roman" w:hAnsi="Times New Roman" w:cs="Times New Roman"/>
          <w:i/>
          <w:iCs/>
          <w:color w:val="000000"/>
          <w:spacing w:val="0"/>
          <w:w w:val="100"/>
          <w:position w:val="0"/>
          <w:shd w:val="clear" w:color="auto" w:fill="auto"/>
          <w:lang w:val="en-US" w:eastAsia="en-US" w:bidi="en-US"/>
        </w:rPr>
        <w:t xml:space="preserve">(Two treatises on government, </w:t>
      </w:r>
      <w:r>
        <w:rPr>
          <w:rFonts w:ascii="Times New Roman" w:eastAsia="Times New Roman" w:hAnsi="Times New Roman" w:cs="Times New Roman"/>
          <w:color w:val="000000"/>
          <w:spacing w:val="0"/>
          <w:w w:val="100"/>
          <w:position w:val="0"/>
          <w:shd w:val="clear" w:color="auto" w:fill="auto"/>
          <w:lang w:val="en-US" w:eastAsia="en-US" w:bidi="en-US"/>
        </w:rPr>
        <w:t xml:space="preserve">1690) </w:t>
      </w:r>
      <w:r>
        <w:rPr>
          <w:rFonts w:ascii="Times New Roman" w:eastAsia="Times New Roman" w:hAnsi="Times New Roman" w:cs="Times New Roman"/>
          <w:color w:val="000000"/>
          <w:spacing w:val="0"/>
          <w:w w:val="100"/>
          <w:position w:val="0"/>
          <w:shd w:val="clear" w:color="auto" w:fill="auto"/>
          <w:lang w:val="hr-HR" w:eastAsia="hr-HR" w:bidi="hr-HR"/>
        </w:rPr>
        <w:t xml:space="preserve">izmijenio </w:t>
      </w: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 xml:space="preserve">ciljem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državni suveren mora u svako vrijeme ostati povezan s prirod</w:t>
        <w:softHyphen/>
        <w:t>nim ćudorednim zakonom; inače treba još uvi</w:t>
        <w:softHyphen/>
        <w:t>jek davati prednost prirodnom stanju ‘bez drža</w:t>
        <w:softHyphen/>
        <w:t xml:space="preserve">ve’. U XVIII. stoljeću osobito </w:t>
      </w:r>
      <w:r>
        <w:rPr>
          <w:rFonts w:ascii="Times New Roman" w:eastAsia="Times New Roman" w:hAnsi="Times New Roman" w:cs="Times New Roman"/>
          <w:color w:val="000000"/>
          <w:spacing w:val="0"/>
          <w:w w:val="100"/>
          <w:position w:val="0"/>
          <w:shd w:val="clear" w:color="auto" w:fill="auto"/>
          <w:lang w:val="en-US" w:eastAsia="en-US" w:bidi="en-US"/>
        </w:rPr>
        <w:t xml:space="preserve">Jean-Jacques Rousseau </w:t>
      </w:r>
      <w:r>
        <w:rPr>
          <w:rFonts w:ascii="Times New Roman" w:eastAsia="Times New Roman" w:hAnsi="Times New Roman" w:cs="Times New Roman"/>
          <w:i/>
          <w:iCs/>
          <w:color w:val="000000"/>
          <w:spacing w:val="0"/>
          <w:w w:val="100"/>
          <w:position w:val="0"/>
          <w:shd w:val="clear" w:color="auto" w:fill="auto"/>
          <w:lang w:val="en-US" w:eastAsia="en-US" w:bidi="en-US"/>
        </w:rPr>
        <w:t>(Control social,</w:t>
      </w:r>
      <w:r>
        <w:rPr>
          <w:rFonts w:ascii="Times New Roman" w:eastAsia="Times New Roman" w:hAnsi="Times New Roman" w:cs="Times New Roman"/>
          <w:color w:val="000000"/>
          <w:spacing w:val="0"/>
          <w:w w:val="100"/>
          <w:position w:val="0"/>
          <w:shd w:val="clear" w:color="auto" w:fill="auto"/>
          <w:lang w:val="en-US" w:eastAsia="en-US" w:bidi="en-US"/>
        </w:rPr>
        <w:t xml:space="preserve"> 1762) i Immanuel Kant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Rechtsordnung als denknotwendige Bedingung allgemeiner Freiheit und Gleichheil) </w:t>
      </w:r>
      <w:r>
        <w:rPr>
          <w:rFonts w:ascii="Times New Roman" w:eastAsia="Times New Roman" w:hAnsi="Times New Roman" w:cs="Times New Roman"/>
          <w:color w:val="000000"/>
          <w:spacing w:val="0"/>
          <w:w w:val="100"/>
          <w:position w:val="0"/>
          <w:shd w:val="clear" w:color="auto" w:fill="auto"/>
          <w:lang w:val="hr-HR" w:eastAsia="hr-HR" w:bidi="hr-HR"/>
        </w:rPr>
        <w:t xml:space="preserve">ponovno uzimaju teoriju društvenog ugovora u izmijenjenom obliku dok ju je David Hume </w:t>
      </w:r>
      <w:r>
        <w:rPr>
          <w:rFonts w:ascii="Times New Roman" w:eastAsia="Times New Roman" w:hAnsi="Times New Roman" w:cs="Times New Roman"/>
          <w:i/>
          <w:iCs/>
          <w:color w:val="000000"/>
          <w:spacing w:val="0"/>
          <w:w w:val="100"/>
          <w:position w:val="0"/>
          <w:shd w:val="clear" w:color="auto" w:fill="auto"/>
          <w:lang w:val="en-US" w:eastAsia="en-US" w:bidi="en-US"/>
        </w:rPr>
        <w:t xml:space="preserve">(Of the </w:t>
      </w:r>
      <w:r>
        <w:rPr>
          <w:rFonts w:ascii="Times New Roman" w:eastAsia="Times New Roman" w:hAnsi="Times New Roman" w:cs="Times New Roman"/>
          <w:i/>
          <w:iCs/>
          <w:color w:val="000000"/>
          <w:spacing w:val="0"/>
          <w:w w:val="100"/>
          <w:position w:val="0"/>
          <w:shd w:val="clear" w:color="auto" w:fill="auto"/>
          <w:lang w:val="hr-HR" w:eastAsia="hr-HR" w:bidi="hr-HR"/>
        </w:rPr>
        <w:t xml:space="preserve">Original </w:t>
      </w:r>
      <w:r>
        <w:rPr>
          <w:rFonts w:ascii="Times New Roman" w:eastAsia="Times New Roman" w:hAnsi="Times New Roman" w:cs="Times New Roman"/>
          <w:i/>
          <w:iCs/>
          <w:color w:val="000000"/>
          <w:spacing w:val="0"/>
          <w:w w:val="100"/>
          <w:position w:val="0"/>
          <w:shd w:val="clear" w:color="auto" w:fill="auto"/>
          <w:lang w:val="en-US" w:eastAsia="en-US" w:bidi="en-US"/>
        </w:rPr>
        <w:t>Contract,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1752) strogo odbio. </w:t>
      </w:r>
      <w:r>
        <w:rPr>
          <w:rFonts w:ascii="Times New Roman" w:eastAsia="Times New Roman" w:hAnsi="Times New Roman" w:cs="Times New Roman"/>
          <w:color w:val="000000"/>
          <w:spacing w:val="0"/>
          <w:w w:val="100"/>
          <w:position w:val="0"/>
          <w:shd w:val="clear" w:color="auto" w:fill="auto"/>
          <w:lang w:val="en-US" w:eastAsia="en-US" w:bidi="en-US"/>
        </w:rPr>
        <w:t xml:space="preserve">Montesquieu </w:t>
      </w:r>
      <w:r>
        <w:rPr>
          <w:rFonts w:ascii="Times New Roman" w:eastAsia="Times New Roman" w:hAnsi="Times New Roman" w:cs="Times New Roman"/>
          <w:i/>
          <w:iCs/>
          <w:color w:val="000000"/>
          <w:spacing w:val="0"/>
          <w:w w:val="100"/>
          <w:position w:val="0"/>
          <w:shd w:val="clear" w:color="auto" w:fill="auto"/>
          <w:lang w:val="hr-HR" w:eastAsia="hr-HR" w:bidi="hr-HR"/>
        </w:rPr>
        <w:t xml:space="preserve">(L </w:t>
      </w:r>
      <w:r>
        <w:rPr>
          <w:rFonts w:ascii="Times New Roman" w:eastAsia="Times New Roman" w:hAnsi="Times New Roman" w:cs="Times New Roman"/>
          <w:i/>
          <w:iCs/>
          <w:color w:val="000000"/>
          <w:spacing w:val="0"/>
          <w:w w:val="100"/>
          <w:position w:val="0"/>
          <w:shd w:val="clear" w:color="auto" w:fill="auto"/>
          <w:lang w:val="en-US" w:eastAsia="en-US" w:bidi="en-US"/>
        </w:rPr>
        <w:t>'esprit des lois,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1748) je uveo u učenje o državi zahtjev za podjelom vlasti (zakonodavna, izvršna, sudbena) čime je iz</w:t>
        <w:softHyphen/>
        <w:t>vršio najveći utjecaj ne samo na Francusku revoluciju i ustav SAD-a nego i na teoriju mo</w:t>
        <w:softHyphen/>
        <w:t xml:space="preserve">derne ustavne države uopće. Učenje koje je utemeljio G. </w:t>
      </w:r>
      <w:r>
        <w:rPr>
          <w:rFonts w:ascii="Times New Roman" w:eastAsia="Times New Roman" w:hAnsi="Times New Roman" w:cs="Times New Roman"/>
          <w:color w:val="000000"/>
          <w:spacing w:val="0"/>
          <w:w w:val="100"/>
          <w:position w:val="0"/>
          <w:shd w:val="clear" w:color="auto" w:fill="auto"/>
          <w:lang w:val="en-US" w:eastAsia="en-US" w:bidi="en-US"/>
        </w:rPr>
        <w:t xml:space="preserve">W. </w:t>
      </w:r>
      <w:r>
        <w:rPr>
          <w:rFonts w:ascii="Times New Roman" w:eastAsia="Times New Roman" w:hAnsi="Times New Roman" w:cs="Times New Roman"/>
          <w:color w:val="000000"/>
          <w:spacing w:val="0"/>
          <w:w w:val="100"/>
          <w:position w:val="0"/>
          <w:shd w:val="clear" w:color="auto" w:fill="auto"/>
          <w:lang w:val="hr-HR" w:eastAsia="hr-HR" w:bidi="hr-HR"/>
        </w:rPr>
        <w:t xml:space="preserve">F. </w:t>
      </w:r>
      <w:r>
        <w:rPr>
          <w:rFonts w:ascii="Times New Roman" w:eastAsia="Times New Roman" w:hAnsi="Times New Roman" w:cs="Times New Roman"/>
          <w:color w:val="000000"/>
          <w:spacing w:val="0"/>
          <w:w w:val="100"/>
          <w:position w:val="0"/>
          <w:shd w:val="clear" w:color="auto" w:fill="auto"/>
          <w:lang w:val="en-US" w:eastAsia="en-US" w:bidi="en-US"/>
        </w:rPr>
        <w:t xml:space="preserve">Hegel </w:t>
      </w:r>
      <w:r>
        <w:rPr>
          <w:rFonts w:ascii="Times New Roman" w:eastAsia="Times New Roman" w:hAnsi="Times New Roman" w:cs="Times New Roman"/>
          <w:color w:val="000000"/>
          <w:spacing w:val="0"/>
          <w:w w:val="100"/>
          <w:position w:val="0"/>
          <w:shd w:val="clear" w:color="auto" w:fill="auto"/>
          <w:lang w:val="hr-HR" w:eastAsia="hr-HR" w:bidi="hr-HR"/>
        </w:rPr>
        <w:t>(1770-1831) o razu</w:t>
        <w:softHyphen/>
        <w:t>mu koji se dijalektički razvija tijekom povijesti i koji povijest shvaća kao osmišljen cilju usmje</w:t>
        <w:softHyphen/>
        <w:t>ren proces kojim upravlja ‘božanski duh’, pri</w:t>
        <w:softHyphen/>
        <w:t xml:space="preserve">hvatili su u njegovim glavnim crtama </w:t>
      </w:r>
      <w:r>
        <w:rPr>
          <w:rFonts w:ascii="Times New Roman" w:eastAsia="Times New Roman" w:hAnsi="Times New Roman" w:cs="Times New Roman"/>
          <w:color w:val="000000"/>
          <w:spacing w:val="0"/>
          <w:w w:val="100"/>
          <w:position w:val="0"/>
          <w:shd w:val="clear" w:color="auto" w:fill="auto"/>
          <w:lang w:val="en-US" w:eastAsia="en-US" w:bidi="en-US"/>
        </w:rPr>
        <w:t xml:space="preserve">Karl Marx </w:t>
      </w:r>
      <w:r>
        <w:rPr>
          <w:rFonts w:ascii="Times New Roman" w:eastAsia="Times New Roman" w:hAnsi="Times New Roman" w:cs="Times New Roman"/>
          <w:color w:val="000000"/>
          <w:spacing w:val="0"/>
          <w:w w:val="100"/>
          <w:position w:val="0"/>
          <w:shd w:val="clear" w:color="auto" w:fill="auto"/>
          <w:lang w:val="hr-HR" w:eastAsia="hr-HR" w:bidi="hr-HR"/>
        </w:rPr>
        <w:t xml:space="preserve">(1818-1883) i </w:t>
      </w:r>
      <w:r>
        <w:rPr>
          <w:rFonts w:ascii="Times New Roman" w:eastAsia="Times New Roman" w:hAnsi="Times New Roman" w:cs="Times New Roman"/>
          <w:color w:val="000000"/>
          <w:spacing w:val="0"/>
          <w:w w:val="100"/>
          <w:position w:val="0"/>
          <w:shd w:val="clear" w:color="auto" w:fill="auto"/>
          <w:lang w:val="en-US" w:eastAsia="en-US" w:bidi="en-US"/>
        </w:rPr>
        <w:t xml:space="preserve">Friedrich Engels </w:t>
      </w:r>
      <w:r>
        <w:rPr>
          <w:rFonts w:ascii="Times New Roman" w:eastAsia="Times New Roman" w:hAnsi="Times New Roman" w:cs="Times New Roman"/>
          <w:color w:val="000000"/>
          <w:spacing w:val="0"/>
          <w:w w:val="100"/>
          <w:position w:val="0"/>
          <w:shd w:val="clear" w:color="auto" w:fill="auto"/>
          <w:lang w:val="hr-HR" w:eastAsia="hr-HR" w:bidi="hr-HR"/>
        </w:rPr>
        <w:t>(1820-1895) koji su ipak Hcgelov metafizički idealizam za</w:t>
        <w:softHyphen/>
        <w:t>mijenili metafizičkim materijalizmom. Cilj po</w:t>
        <w:softHyphen/>
        <w:t>vijesti odsada je imanentan i sastoji se u pos</w:t>
        <w:softHyphen/>
        <w:t>tizavanju tzv. besklasnog društva. Naspram ovog načina gledanja koje pojedinca podre</w:t>
        <w:softHyphen/>
        <w:t xml:space="preserve">đuje državi, osobito </w:t>
      </w:r>
      <w:r>
        <w:rPr>
          <w:rFonts w:ascii="Times New Roman" w:eastAsia="Times New Roman" w:hAnsi="Times New Roman" w:cs="Times New Roman"/>
          <w:color w:val="000000"/>
          <w:spacing w:val="0"/>
          <w:w w:val="100"/>
          <w:position w:val="0"/>
          <w:shd w:val="clear" w:color="auto" w:fill="auto"/>
          <w:lang w:val="en-US" w:eastAsia="en-US" w:bidi="en-US"/>
        </w:rPr>
        <w:t xml:space="preserve">Wilhelm von Humboldt </w:t>
      </w:r>
      <w:r>
        <w:rPr>
          <w:rFonts w:ascii="Times New Roman" w:eastAsia="Times New Roman" w:hAnsi="Times New Roman" w:cs="Times New Roman"/>
          <w:i/>
          <w:iCs/>
          <w:color w:val="000000"/>
          <w:spacing w:val="0"/>
          <w:w w:val="100"/>
          <w:position w:val="0"/>
          <w:shd w:val="clear" w:color="auto" w:fill="auto"/>
          <w:lang w:val="en-US" w:eastAsia="en-US" w:bidi="en-US"/>
        </w:rPr>
        <w:t>(Ideen zu einem Versuch, die Grenzen der Wirk- samkeit des Staates zu bestimmen,</w:t>
      </w:r>
      <w:r>
        <w:rPr>
          <w:rFonts w:ascii="Times New Roman" w:eastAsia="Times New Roman" w:hAnsi="Times New Roman" w:cs="Times New Roman"/>
          <w:color w:val="000000"/>
          <w:spacing w:val="0"/>
          <w:w w:val="100"/>
          <w:position w:val="0"/>
          <w:shd w:val="clear" w:color="auto" w:fill="auto"/>
          <w:lang w:val="en-US" w:eastAsia="en-US" w:bidi="en-US"/>
        </w:rPr>
        <w:t xml:space="preserve"> 1851) i John Stuart Mill </w:t>
      </w:r>
      <w:r>
        <w:rPr>
          <w:rFonts w:ascii="Times New Roman" w:eastAsia="Times New Roman" w:hAnsi="Times New Roman" w:cs="Times New Roman"/>
          <w:i/>
          <w:iCs/>
          <w:color w:val="000000"/>
          <w:spacing w:val="0"/>
          <w:w w:val="100"/>
          <w:position w:val="0"/>
          <w:shd w:val="clear" w:color="auto" w:fill="auto"/>
          <w:lang w:val="en-US" w:eastAsia="en-US" w:bidi="en-US"/>
        </w:rPr>
        <w:t>(Essay on liberty,</w:t>
      </w:r>
      <w:r>
        <w:rPr>
          <w:rFonts w:ascii="Times New Roman" w:eastAsia="Times New Roman" w:hAnsi="Times New Roman" w:cs="Times New Roman"/>
          <w:color w:val="000000"/>
          <w:spacing w:val="0"/>
          <w:w w:val="100"/>
          <w:position w:val="0"/>
          <w:shd w:val="clear" w:color="auto" w:fill="auto"/>
          <w:lang w:val="en-US" w:eastAsia="en-US" w:bidi="en-US"/>
        </w:rPr>
        <w:t xml:space="preserve"> 1859) </w:t>
      </w:r>
      <w:r>
        <w:rPr>
          <w:rFonts w:ascii="Times New Roman" w:eastAsia="Times New Roman" w:hAnsi="Times New Roman" w:cs="Times New Roman"/>
          <w:color w:val="000000"/>
          <w:spacing w:val="0"/>
          <w:w w:val="100"/>
          <w:position w:val="0"/>
          <w:shd w:val="clear" w:color="auto" w:fill="auto"/>
          <w:lang w:val="hr-HR" w:eastAsia="hr-HR" w:bidi="hr-HR"/>
        </w:rPr>
        <w:t xml:space="preserve">naglašavaju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slobodu pojedinca koja mora ostati sačuvana u svakoj još itekako objektivno nužnoj i opravdanoj biti države.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Središnji problem </w:t>
      </w:r>
      <w:r>
        <w:rPr>
          <w:rFonts w:ascii="Times New Roman" w:eastAsia="Times New Roman" w:hAnsi="Times New Roman" w:cs="Times New Roman"/>
          <w:i/>
          <w:iCs/>
          <w:color w:val="000000"/>
          <w:spacing w:val="0"/>
          <w:w w:val="100"/>
          <w:position w:val="0"/>
          <w:shd w:val="clear" w:color="auto" w:fill="auto"/>
          <w:lang w:val="hr-HR" w:eastAsia="hr-HR" w:bidi="hr-HR"/>
        </w:rPr>
        <w:t>krićanskog</w:t>
      </w:r>
      <w:r>
        <w:rPr>
          <w:rFonts w:ascii="Times New Roman" w:eastAsia="Times New Roman" w:hAnsi="Times New Roman" w:cs="Times New Roman"/>
          <w:color w:val="000000"/>
          <w:spacing w:val="0"/>
          <w:w w:val="100"/>
          <w:position w:val="0"/>
          <w:shd w:val="clear" w:color="auto" w:fill="auto"/>
          <w:lang w:val="hr-HR" w:eastAsia="hr-HR" w:bidi="hr-HR"/>
        </w:rPr>
        <w:t xml:space="preserve"> učenja o državi, počam od reformacije, čini odnos prema vlas</w:t>
        <w:softHyphen/>
        <w:t xml:space="preserve">ti.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je staro učenje o »Dvama kraljev</w:t>
        <w:softHyphen/>
        <w:t>stvima« tumačio tako da su d. i Crkva u svijetu upućene jedna na drugu jer u izvjesnoj mjeri predstavljaju dvije Božje ruke kojima Bog obuhvaća ljude: riječ Božja koju propovijeda Crkva i poslušnost prema vlastima (pa i ne- kršćanskima i/ili nepravednima) koju zahtije</w:t>
        <w:softHyphen/>
        <w:t>va Pavao (Rim 13) nužne su instancije za vo</w:t>
        <w:softHyphen/>
        <w:t>đenje grešnog čovjeka. Teologija i Crkva rea</w:t>
        <w:softHyphen/>
        <w:t>girale su odbojno na spomenute teorije o društvenom ugovoru, jer su one često slijedile antireligiozne i areligiozne težnje; crkve su svojim čvrstim prianjanjem uz feudalnu struk</w:t>
        <w:softHyphen/>
        <w:t>turu dugo vremena sprečavale razvoj moder</w:t>
        <w:softHyphen/>
        <w:t>ne pravne države ako zanemarimo ulogu kalvi- nista i puritanaca pri uspostavljanju američke demokracije.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Problematičan je odnos Crkve i države uvijek kada vlast u svojoj strukturi ili svom djelo</w:t>
        <w:softHyphen/>
        <w:t>vanju napada kršćanska načela kao npr. režim nacionalsocijalista ili ostali totalitarni sustavi. Postoji li kršćansko pravo na otpor ili kako daleko ide dužnost da se pruži otpor i prije svega kakvim se sredstvom smije poslužiti, ne</w:t>
        <w:softHyphen/>
        <w:t>razjašnjena su pitanja; i Drugi vatikanski kon</w:t>
        <w:softHyphen/>
        <w:t>cil samo se nejasno o tome izrazio: »Gdje pak javna vlast prelazi granice svoje nadležnosti te tlači građane, oni neka ne uskraćuju ono što od njih objektivno zahtijeva opće dobro; ali neka im bude slobodno da brane svoja prava i prava svojih sugrađana protiv zloupotrebe te vlasti držeći se onih granica koje zacrtava na</w:t>
        <w:softHyphen/>
        <w:t>ravni i evanđeoski zakon« (Pastoralna konsti</w:t>
        <w:softHyphen/>
        <w:t>tucija o Crkvi u suvremenom svijetu, 74). Ka</w:t>
        <w:softHyphen/>
        <w:t>ko je to pitanje još danas sporno, pokazuju sučeljavanja Rima s predstavnicima tzv. teolo</w:t>
        <w:softHyphen/>
        <w:t xml:space="preserve">gije oslobođenja u Latinskoj Americi (prije svega </w:t>
      </w:r>
      <w:r>
        <w:rPr>
          <w:rFonts w:ascii="Times New Roman" w:eastAsia="Times New Roman" w:hAnsi="Times New Roman" w:cs="Times New Roman"/>
          <w:color w:val="000000"/>
          <w:spacing w:val="0"/>
          <w:w w:val="100"/>
          <w:position w:val="0"/>
          <w:shd w:val="clear" w:color="auto" w:fill="auto"/>
          <w:lang w:val="en-US" w:eastAsia="en-US" w:bidi="en-US"/>
        </w:rPr>
        <w:t xml:space="preserve">Leonardo Hoff) </w:t>
      </w:r>
      <w:r>
        <w:rPr>
          <w:rFonts w:ascii="Times New Roman" w:eastAsia="Times New Roman" w:hAnsi="Times New Roman" w:cs="Times New Roman"/>
          <w:color w:val="000000"/>
          <w:spacing w:val="0"/>
          <w:w w:val="100"/>
          <w:position w:val="0"/>
          <w:shd w:val="clear" w:color="auto" w:fill="auto"/>
          <w:lang w:val="hr-HR" w:eastAsia="hr-HR" w:bidi="hr-HR"/>
        </w:rPr>
        <w:t>u pogledu primjerenos</w:t>
        <w:softHyphen/>
        <w:t>ti oružanog otpora u totalitarnim državama.</w:t>
      </w:r>
    </w:p>
    <w:p>
      <w:pPr>
        <w:pStyle w:val="Style56"/>
        <w:keepNext w:val="0"/>
        <w:keepLines w:val="0"/>
        <w:widowControl w:val="0"/>
        <w:shd w:val="clear" w:color="auto" w:fill="auto"/>
        <w:bidi w:val="0"/>
        <w:spacing w:before="0" w:after="40" w:line="240" w:lineRule="auto"/>
        <w:ind w:left="0" w:right="0" w:firstLine="0"/>
        <w:jc w:val="both"/>
      </w:pPr>
      <w:r>
        <w:rPr>
          <w:color w:val="000000"/>
          <w:spacing w:val="0"/>
          <w:w w:val="100"/>
          <w:position w:val="0"/>
          <w:shd w:val="clear" w:color="auto" w:fill="auto"/>
          <w:lang w:val="hr-HR" w:eastAsia="hr-HR" w:bidi="hr-HR"/>
        </w:rPr>
        <w:t xml:space="preserve">Lit.: G. Jcllinck, </w:t>
      </w:r>
      <w:r>
        <w:rPr>
          <w:i/>
          <w:iCs/>
          <w:color w:val="000000"/>
          <w:spacing w:val="0"/>
          <w:w w:val="100"/>
          <w:position w:val="0"/>
          <w:shd w:val="clear" w:color="auto" w:fill="auto"/>
          <w:lang w:val="hr-HR" w:eastAsia="hr-HR" w:bidi="hr-HR"/>
        </w:rPr>
        <w:t>Allgemeine Slaatsslehre,</w:t>
      </w:r>
      <w:r>
        <w:rPr>
          <w:color w:val="000000"/>
          <w:spacing w:val="0"/>
          <w:w w:val="100"/>
          <w:position w:val="0"/>
          <w:shd w:val="clear" w:color="auto" w:fill="auto"/>
          <w:lang w:val="hr-HR" w:eastAsia="hr-HR" w:bidi="hr-HR"/>
        </w:rPr>
        <w:t xml:space="preserve"> Berlin </w:t>
      </w:r>
      <w:r>
        <w:rPr>
          <w:color w:val="000000"/>
          <w:spacing w:val="0"/>
          <w:w w:val="100"/>
          <w:position w:val="0"/>
          <w:shd w:val="clear" w:color="auto" w:fill="auto"/>
          <w:vertAlign w:val="superscript"/>
          <w:lang w:val="hr-HR" w:eastAsia="hr-HR" w:bidi="hr-HR"/>
        </w:rPr>
        <w:t>S</w:t>
      </w:r>
      <w:r>
        <w:rPr>
          <w:color w:val="000000"/>
          <w:spacing w:val="0"/>
          <w:w w:val="100"/>
          <w:position w:val="0"/>
          <w:shd w:val="clear" w:color="auto" w:fill="auto"/>
          <w:lang w:val="hr-HR" w:eastAsia="hr-HR" w:bidi="hr-HR"/>
        </w:rPr>
        <w:t xml:space="preserve">1929; M. </w:t>
      </w:r>
      <w:r>
        <w:rPr>
          <w:color w:val="000000"/>
          <w:spacing w:val="0"/>
          <w:w w:val="100"/>
          <w:position w:val="0"/>
          <w:shd w:val="clear" w:color="auto" w:fill="auto"/>
        </w:rPr>
        <w:t xml:space="preserve">Weber, </w:t>
      </w:r>
      <w:r>
        <w:rPr>
          <w:i/>
          <w:iCs/>
          <w:color w:val="000000"/>
          <w:spacing w:val="0"/>
          <w:w w:val="100"/>
          <w:position w:val="0"/>
          <w:shd w:val="clear" w:color="auto" w:fill="auto"/>
          <w:lang w:val="hr-HR" w:eastAsia="hr-HR" w:bidi="hr-HR"/>
        </w:rPr>
        <w:t>Stealsssozlologie,</w:t>
      </w:r>
      <w:r>
        <w:rPr>
          <w:color w:val="000000"/>
          <w:spacing w:val="0"/>
          <w:w w:val="100"/>
          <w:position w:val="0"/>
          <w:shd w:val="clear" w:color="auto" w:fill="auto"/>
          <w:lang w:val="hr-HR" w:eastAsia="hr-HR" w:bidi="hr-HR"/>
        </w:rPr>
        <w:t xml:space="preserve"> Berlin 1956; H. </w:t>
      </w:r>
      <w:r>
        <w:rPr>
          <w:color w:val="000000"/>
          <w:spacing w:val="0"/>
          <w:w w:val="100"/>
          <w:position w:val="0"/>
          <w:shd w:val="clear" w:color="auto" w:fill="auto"/>
        </w:rPr>
        <w:t xml:space="preserve">Heller, </w:t>
      </w:r>
      <w:r>
        <w:rPr>
          <w:i/>
          <w:iCs/>
          <w:color w:val="000000"/>
          <w:spacing w:val="0"/>
          <w:w w:val="100"/>
          <w:position w:val="0"/>
          <w:shd w:val="clear" w:color="auto" w:fill="auto"/>
          <w:lang w:val="hr-HR" w:eastAsia="hr-HR" w:bidi="hr-HR"/>
        </w:rPr>
        <w:t xml:space="preserve">Staalslehn:, </w:t>
      </w:r>
      <w:r>
        <w:rPr>
          <w:color w:val="000000"/>
          <w:spacing w:val="0"/>
          <w:w w:val="100"/>
          <w:position w:val="0"/>
          <w:shd w:val="clear" w:color="auto" w:fill="auto"/>
        </w:rPr>
        <w:t xml:space="preserve">Leiden </w:t>
      </w:r>
      <w:r>
        <w:rPr>
          <w:color w:val="000000"/>
          <w:spacing w:val="0"/>
          <w:w w:val="100"/>
          <w:position w:val="0"/>
          <w:shd w:val="clear" w:color="auto" w:fill="auto"/>
          <w:vertAlign w:val="superscript"/>
          <w:lang w:val="hr-HR" w:eastAsia="hr-HR" w:bidi="hr-HR"/>
        </w:rPr>
        <w:t>J</w:t>
      </w:r>
      <w:r>
        <w:rPr>
          <w:color w:val="000000"/>
          <w:spacing w:val="0"/>
          <w:w w:val="100"/>
          <w:position w:val="0"/>
          <w:shd w:val="clear" w:color="auto" w:fill="auto"/>
          <w:lang w:val="hr-HR" w:eastAsia="hr-HR" w:bidi="hr-HR"/>
        </w:rPr>
        <w:t xml:space="preserve">1963; H. </w:t>
      </w:r>
      <w:r>
        <w:rPr>
          <w:color w:val="000000"/>
          <w:spacing w:val="0"/>
          <w:w w:val="100"/>
          <w:position w:val="0"/>
          <w:shd w:val="clear" w:color="auto" w:fill="auto"/>
        </w:rPr>
        <w:t xml:space="preserve">Kruger, </w:t>
      </w:r>
      <w:r>
        <w:rPr>
          <w:i/>
          <w:iCs/>
          <w:color w:val="000000"/>
          <w:spacing w:val="0"/>
          <w:w w:val="100"/>
          <w:position w:val="0"/>
          <w:shd w:val="clear" w:color="auto" w:fill="auto"/>
          <w:lang w:val="hr-HR" w:eastAsia="hr-HR" w:bidi="hr-HR"/>
        </w:rPr>
        <w:t xml:space="preserve">Allgemeine </w:t>
      </w:r>
      <w:r>
        <w:rPr>
          <w:i/>
          <w:iCs/>
          <w:color w:val="000000"/>
          <w:spacing w:val="0"/>
          <w:w w:val="100"/>
          <w:position w:val="0"/>
          <w:shd w:val="clear" w:color="auto" w:fill="auto"/>
        </w:rPr>
        <w:t>Slaalslehre,</w:t>
      </w:r>
      <w:r>
        <w:rPr>
          <w:color w:val="000000"/>
          <w:spacing w:val="0"/>
          <w:w w:val="100"/>
          <w:position w:val="0"/>
          <w:shd w:val="clear" w:color="auto" w:fill="auto"/>
        </w:rPr>
        <w:t xml:space="preserve"> Stuttgart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1966; </w:t>
      </w:r>
      <w:r>
        <w:rPr>
          <w:i/>
          <w:iCs/>
          <w:color w:val="000000"/>
          <w:spacing w:val="0"/>
          <w:w w:val="100"/>
          <w:position w:val="0"/>
          <w:shd w:val="clear" w:color="auto" w:fill="auto"/>
        </w:rPr>
        <w:t xml:space="preserve">Klauische </w:t>
      </w:r>
      <w:r>
        <w:rPr>
          <w:i/>
          <w:iCs/>
          <w:color w:val="000000"/>
          <w:spacing w:val="0"/>
          <w:w w:val="100"/>
          <w:position w:val="0"/>
          <w:shd w:val="clear" w:color="auto" w:fill="auto"/>
          <w:lang w:val="hr-HR" w:eastAsia="hr-HR" w:bidi="hr-HR"/>
        </w:rPr>
        <w:t>Trule der Stealsphilosophie,</w:t>
      </w:r>
      <w:r>
        <w:rPr>
          <w:color w:val="000000"/>
          <w:spacing w:val="0"/>
          <w:w w:val="100"/>
          <w:position w:val="0"/>
          <w:shd w:val="clear" w:color="auto" w:fill="auto"/>
          <w:lang w:val="hr-HR" w:eastAsia="hr-HR" w:bidi="hr-HR"/>
        </w:rPr>
        <w:t xml:space="preserve"> hnig. V. N. </w:t>
      </w:r>
      <w:r>
        <w:rPr>
          <w:color w:val="000000"/>
          <w:spacing w:val="0"/>
          <w:w w:val="100"/>
          <w:position w:val="0"/>
          <w:shd w:val="clear" w:color="auto" w:fill="auto"/>
        </w:rPr>
        <w:t xml:space="preserve">Horsier, </w:t>
      </w:r>
      <w:r>
        <w:rPr>
          <w:color w:val="000000"/>
          <w:spacing w:val="0"/>
          <w:w w:val="100"/>
          <w:position w:val="0"/>
          <w:shd w:val="clear" w:color="auto" w:fill="auto"/>
          <w:lang w:val="hr-HR" w:eastAsia="hr-HR" w:bidi="hr-HR"/>
        </w:rPr>
        <w:t xml:space="preserve">Milnchcn 1976; R. Zippclius, </w:t>
      </w:r>
      <w:r>
        <w:rPr>
          <w:i/>
          <w:iCs/>
          <w:color w:val="000000"/>
          <w:spacing w:val="0"/>
          <w:w w:val="100"/>
          <w:position w:val="0"/>
          <w:shd w:val="clear" w:color="auto" w:fill="auto"/>
          <w:lang w:val="hr-HR" w:eastAsia="hr-HR" w:bidi="hr-HR"/>
        </w:rPr>
        <w:t>Geschichle der Siaais- ideen,</w:t>
      </w:r>
      <w:r>
        <w:rPr>
          <w:color w:val="000000"/>
          <w:spacing w:val="0"/>
          <w:w w:val="100"/>
          <w:position w:val="0"/>
          <w:shd w:val="clear" w:color="auto" w:fill="auto"/>
          <w:lang w:val="hr-HR" w:eastAsia="hr-HR" w:bidi="hr-HR"/>
        </w:rPr>
        <w:t xml:space="preserve"> MUnchen </w:t>
      </w:r>
      <w:r>
        <w:rPr>
          <w:color w:val="000000"/>
          <w:spacing w:val="0"/>
          <w:w w:val="100"/>
          <w:position w:val="0"/>
          <w:shd w:val="clear" w:color="auto" w:fill="auto"/>
          <w:vertAlign w:val="superscript"/>
          <w:lang w:val="hr-HR" w:eastAsia="hr-HR" w:bidi="hr-HR"/>
        </w:rPr>
        <w:t>3</w:t>
      </w:r>
      <w:r>
        <w:rPr>
          <w:color w:val="000000"/>
          <w:spacing w:val="0"/>
          <w:w w:val="100"/>
          <w:position w:val="0"/>
          <w:shd w:val="clear" w:color="auto" w:fill="auto"/>
          <w:lang w:val="hr-HR" w:eastAsia="hr-HR" w:bidi="hr-HR"/>
        </w:rPr>
        <w:t xml:space="preserve">1976;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Steal. </w:t>
      </w:r>
      <w:r>
        <w:rPr>
          <w:i/>
          <w:iCs/>
          <w:color w:val="000000"/>
          <w:spacing w:val="0"/>
          <w:w w:val="100"/>
          <w:position w:val="0"/>
          <w:shd w:val="clear" w:color="auto" w:fill="auto"/>
          <w:lang w:val="hr-HR" w:eastAsia="hr-HR" w:bidi="hr-HR"/>
        </w:rPr>
        <w:t xml:space="preserve">Dokumente des </w:t>
      </w:r>
      <w:r>
        <w:rPr>
          <w:i/>
          <w:iCs/>
          <w:color w:val="000000"/>
          <w:spacing w:val="0"/>
          <w:w w:val="100"/>
          <w:position w:val="0"/>
          <w:shd w:val="clear" w:color="auto" w:fill="auto"/>
        </w:rPr>
        <w:t xml:space="preserve">Steals- </w:t>
      </w:r>
      <w:r>
        <w:rPr>
          <w:i/>
          <w:iCs/>
          <w:color w:val="000000"/>
          <w:spacing w:val="0"/>
          <w:w w:val="100"/>
          <w:position w:val="0"/>
          <w:shd w:val="clear" w:color="auto" w:fill="auto"/>
          <w:lang w:val="hr-HR" w:eastAsia="hr-HR" w:bidi="hr-HR"/>
        </w:rPr>
        <w:t xml:space="preserve">denkens von der Antike bis zur </w:t>
      </w:r>
      <w:r>
        <w:rPr>
          <w:i/>
          <w:iCs/>
          <w:color w:val="000000"/>
          <w:spacing w:val="0"/>
          <w:w w:val="100"/>
          <w:position w:val="0"/>
          <w:shd w:val="clear" w:color="auto" w:fill="auto"/>
        </w:rPr>
        <w:t>Gegenwan,</w:t>
      </w:r>
      <w:r>
        <w:rPr>
          <w:color w:val="000000"/>
          <w:spacing w:val="0"/>
          <w:w w:val="100"/>
          <w:position w:val="0"/>
          <w:shd w:val="clear" w:color="auto" w:fill="auto"/>
        </w:rPr>
        <w:t xml:space="preserve"> hrsg. </w:t>
      </w:r>
      <w:r>
        <w:rPr>
          <w:color w:val="000000"/>
          <w:spacing w:val="0"/>
          <w:w w:val="100"/>
          <w:position w:val="0"/>
          <w:shd w:val="clear" w:color="auto" w:fill="auto"/>
          <w:lang w:val="hr-HR" w:eastAsia="hr-HR" w:bidi="hr-HR"/>
        </w:rPr>
        <w:t xml:space="preserve">V. R. </w:t>
      </w:r>
      <w:r>
        <w:rPr>
          <w:color w:val="000000"/>
          <w:spacing w:val="0"/>
          <w:w w:val="100"/>
          <w:position w:val="0"/>
          <w:shd w:val="clear" w:color="auto" w:fill="auto"/>
        </w:rPr>
        <w:t xml:space="preserve">Wcbcr- </w:t>
      </w:r>
      <w:r>
        <w:rPr>
          <w:color w:val="000000"/>
          <w:spacing w:val="0"/>
          <w:w w:val="100"/>
          <w:position w:val="0"/>
          <w:shd w:val="clear" w:color="auto" w:fill="auto"/>
          <w:lang w:val="hr-HR" w:eastAsia="hr-HR" w:bidi="hr-HR"/>
        </w:rPr>
        <w:t xml:space="preserve">Fas, 2 </w:t>
      </w:r>
      <w:r>
        <w:rPr>
          <w:color w:val="000000"/>
          <w:spacing w:val="0"/>
          <w:w w:val="100"/>
          <w:position w:val="0"/>
          <w:shd w:val="clear" w:color="auto" w:fill="auto"/>
        </w:rPr>
        <w:t xml:space="preserve">Bde., Pfullingen </w:t>
      </w:r>
      <w:r>
        <w:rPr>
          <w:color w:val="000000"/>
          <w:spacing w:val="0"/>
          <w:w w:val="100"/>
          <w:position w:val="0"/>
          <w:shd w:val="clear" w:color="auto" w:fill="auto"/>
          <w:lang w:val="hr-HR" w:eastAsia="hr-HR" w:bidi="hr-HR"/>
        </w:rPr>
        <w:t xml:space="preserve">1977; F. Berber, </w:t>
      </w:r>
      <w:r>
        <w:rPr>
          <w:i/>
          <w:iCs/>
          <w:color w:val="000000"/>
          <w:spacing w:val="0"/>
          <w:w w:val="100"/>
          <w:position w:val="0"/>
          <w:shd w:val="clear" w:color="auto" w:fill="auto"/>
          <w:lang w:val="hr-HR" w:eastAsia="hr-HR" w:bidi="hr-HR"/>
        </w:rPr>
        <w:t xml:space="preserve">Das Staals'ideal im </w:t>
      </w:r>
      <w:r>
        <w:rPr>
          <w:i/>
          <w:iCs/>
          <w:color w:val="000000"/>
          <w:spacing w:val="0"/>
          <w:w w:val="100"/>
          <w:position w:val="0"/>
          <w:shd w:val="clear" w:color="auto" w:fill="auto"/>
        </w:rPr>
        <w:t xml:space="preserve">Wandel </w:t>
      </w:r>
      <w:r>
        <w:rPr>
          <w:i/>
          <w:iCs/>
          <w:color w:val="000000"/>
          <w:spacing w:val="0"/>
          <w:w w:val="100"/>
          <w:position w:val="0"/>
          <w:shd w:val="clear" w:color="auto" w:fill="auto"/>
          <w:lang w:val="hr-HR" w:eastAsia="hr-HR" w:bidi="hr-HR"/>
        </w:rPr>
        <w:t>der Geschichle,</w:t>
      </w:r>
      <w:r>
        <w:rPr>
          <w:color w:val="000000"/>
          <w:spacing w:val="0"/>
          <w:w w:val="100"/>
          <w:position w:val="0"/>
          <w:shd w:val="clear" w:color="auto" w:fill="auto"/>
          <w:lang w:val="hr-HR" w:eastAsia="hr-HR" w:bidi="hr-HR"/>
        </w:rPr>
        <w:t xml:space="preserve"> MUnchcn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1978. - </w:t>
      </w:r>
      <w:r>
        <w:rPr>
          <w:i/>
          <w:iCs/>
          <w:color w:val="000000"/>
          <w:spacing w:val="0"/>
          <w:w w:val="100"/>
          <w:position w:val="0"/>
          <w:shd w:val="clear" w:color="auto" w:fill="auto"/>
        </w:rPr>
        <w:t>J.</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M. Hornus, </w:t>
      </w:r>
      <w:r>
        <w:rPr>
          <w:i/>
          <w:iCs/>
          <w:color w:val="000000"/>
          <w:spacing w:val="0"/>
          <w:w w:val="100"/>
          <w:position w:val="0"/>
          <w:shd w:val="clear" w:color="auto" w:fill="auto"/>
          <w:lang w:val="hr-HR" w:eastAsia="hr-HR" w:bidi="hr-HR"/>
        </w:rPr>
        <w:t xml:space="preserve">Potilische Eiuscheidungen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alien </w:t>
      </w:r>
      <w:r>
        <w:rPr>
          <w:i/>
          <w:iCs/>
          <w:color w:val="000000"/>
          <w:spacing w:val="0"/>
          <w:w w:val="100"/>
          <w:position w:val="0"/>
          <w:shd w:val="clear" w:color="auto" w:fill="auto"/>
          <w:lang w:val="hr-HR" w:eastAsia="hr-HR" w:bidi="hr-HR"/>
        </w:rPr>
        <w:t>Kirche,</w:t>
      </w:r>
      <w:r>
        <w:rPr>
          <w:color w:val="000000"/>
          <w:spacing w:val="0"/>
          <w:w w:val="100"/>
          <w:position w:val="0"/>
          <w:shd w:val="clear" w:color="auto" w:fill="auto"/>
          <w:lang w:val="hr-HR" w:eastAsia="hr-HR" w:bidi="hr-HR"/>
        </w:rPr>
        <w:t xml:space="preserve"> Miinchcn</w:t>
      </w:r>
    </w:p>
    <w:p>
      <w:pPr>
        <w:pStyle w:val="Style56"/>
        <w:keepNext w:val="0"/>
        <w:keepLines w:val="0"/>
        <w:widowControl w:val="0"/>
        <w:shd w:val="clear" w:color="auto" w:fill="auto"/>
        <w:tabs>
          <w:tab w:pos="2616"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1963; </w:t>
      </w:r>
      <w:r>
        <w:rPr>
          <w:i/>
          <w:iCs/>
          <w:color w:val="000000"/>
          <w:spacing w:val="0"/>
          <w:w w:val="100"/>
          <w:position w:val="0"/>
          <w:shd w:val="clear" w:color="auto" w:fill="auto"/>
        </w:rPr>
        <w:t xml:space="preserve">Steal </w:t>
      </w:r>
      <w:r>
        <w:rPr>
          <w:i/>
          <w:iCs/>
          <w:color w:val="000000"/>
          <w:spacing w:val="0"/>
          <w:w w:val="100"/>
          <w:position w:val="0"/>
          <w:shd w:val="clear" w:color="auto" w:fill="auto"/>
          <w:lang w:val="hr-HR" w:eastAsia="hr-HR" w:bidi="hr-HR"/>
        </w:rPr>
        <w:t xml:space="preserve">und Kirche im </w:t>
      </w:r>
      <w:r>
        <w:rPr>
          <w:i/>
          <w:iCs/>
          <w:color w:val="000000"/>
          <w:spacing w:val="0"/>
          <w:w w:val="100"/>
          <w:position w:val="0"/>
          <w:shd w:val="clear" w:color="auto" w:fill="auto"/>
        </w:rPr>
        <w:t xml:space="preserve">Wandel </w:t>
      </w:r>
      <w:r>
        <w:rPr>
          <w:i/>
          <w:iCs/>
          <w:color w:val="000000"/>
          <w:spacing w:val="0"/>
          <w:w w:val="100"/>
          <w:position w:val="0"/>
          <w:shd w:val="clear" w:color="auto" w:fill="auto"/>
          <w:lang w:val="hr-HR" w:eastAsia="hr-HR" w:bidi="hr-HR"/>
        </w:rPr>
        <w:t>der dahrhunderte,</w:t>
      </w:r>
      <w:r>
        <w:rPr>
          <w:color w:val="000000"/>
          <w:spacing w:val="0"/>
          <w:w w:val="100"/>
          <w:position w:val="0"/>
          <w:shd w:val="clear" w:color="auto" w:fill="auto"/>
          <w:lang w:val="hr-HR" w:eastAsia="hr-HR" w:bidi="hr-HR"/>
        </w:rPr>
        <w:t xml:space="preserve"> hrsg. v. W. P. </w:t>
      </w:r>
      <w:r>
        <w:rPr>
          <w:color w:val="000000"/>
          <w:spacing w:val="0"/>
          <w:w w:val="100"/>
          <w:position w:val="0"/>
          <w:shd w:val="clear" w:color="auto" w:fill="auto"/>
        </w:rPr>
        <w:t xml:space="preserve">Fuchs, Stuttgart </w:t>
      </w:r>
      <w:r>
        <w:rPr>
          <w:color w:val="000000"/>
          <w:spacing w:val="0"/>
          <w:w w:val="100"/>
          <w:position w:val="0"/>
          <w:shd w:val="clear" w:color="auto" w:fill="auto"/>
          <w:lang w:val="hr-HR" w:eastAsia="hr-HR" w:bidi="hr-HR"/>
        </w:rPr>
        <w:t xml:space="preserve">1966; Pastoralkonstitution </w:t>
      </w:r>
      <w:r>
        <w:rPr>
          <w:color w:val="000000"/>
          <w:spacing w:val="0"/>
          <w:w w:val="100"/>
          <w:position w:val="0"/>
          <w:shd w:val="clear" w:color="auto" w:fill="auto"/>
        </w:rPr>
        <w:t xml:space="preserve">uber die </w:t>
      </w:r>
      <w:r>
        <w:rPr>
          <w:color w:val="000000"/>
          <w:spacing w:val="0"/>
          <w:w w:val="100"/>
          <w:position w:val="0"/>
          <w:shd w:val="clear" w:color="auto" w:fill="auto"/>
          <w:lang w:val="hr-HR" w:eastAsia="hr-HR" w:bidi="hr-HR"/>
        </w:rPr>
        <w:t xml:space="preserve">Kirche </w:t>
      </w:r>
      <w:r>
        <w:rPr>
          <w:color w:val="000000"/>
          <w:spacing w:val="0"/>
          <w:w w:val="100"/>
          <w:position w:val="0"/>
          <w:shd w:val="clear" w:color="auto" w:fill="auto"/>
        </w:rPr>
        <w:t xml:space="preserve">in </w:t>
      </w:r>
      <w:r>
        <w:rPr>
          <w:color w:val="000000"/>
          <w:spacing w:val="0"/>
          <w:w w:val="100"/>
          <w:position w:val="0"/>
          <w:shd w:val="clear" w:color="auto" w:fill="auto"/>
          <w:lang w:val="hr-HR" w:eastAsia="hr-HR" w:bidi="hr-HR"/>
        </w:rPr>
        <w:t xml:space="preserve">der </w:t>
      </w:r>
      <w:r>
        <w:rPr>
          <w:color w:val="000000"/>
          <w:spacing w:val="0"/>
          <w:w w:val="100"/>
          <w:position w:val="0"/>
          <w:shd w:val="clear" w:color="auto" w:fill="auto"/>
        </w:rPr>
        <w:t xml:space="preserve">Welt </w:t>
      </w:r>
      <w:r>
        <w:rPr>
          <w:color w:val="000000"/>
          <w:spacing w:val="0"/>
          <w:w w:val="100"/>
          <w:position w:val="0"/>
          <w:shd w:val="clear" w:color="auto" w:fill="auto"/>
          <w:lang w:val="hr-HR" w:eastAsia="hr-HR" w:bidi="hr-HR"/>
        </w:rPr>
        <w:t xml:space="preserve">vnn heute, u: </w:t>
      </w:r>
      <w:r>
        <w:rPr>
          <w:i/>
          <w:iCs/>
          <w:color w:val="000000"/>
          <w:spacing w:val="0"/>
          <w:w w:val="100"/>
          <w:position w:val="0"/>
          <w:shd w:val="clear" w:color="auto" w:fill="auto"/>
        </w:rPr>
        <w:t xml:space="preserve">Das Zweile </w:t>
      </w:r>
      <w:r>
        <w:rPr>
          <w:i/>
          <w:iCs/>
          <w:color w:val="000000"/>
          <w:spacing w:val="0"/>
          <w:w w:val="100"/>
          <w:position w:val="0"/>
          <w:shd w:val="clear" w:color="auto" w:fill="auto"/>
          <w:lang w:val="hr-HR" w:eastAsia="hr-HR" w:bidi="hr-HR"/>
        </w:rPr>
        <w:t>Vatikanische Konzil,</w:t>
      </w:r>
      <w:r>
        <w:rPr>
          <w:color w:val="000000"/>
          <w:spacing w:val="0"/>
          <w:w w:val="100"/>
          <w:position w:val="0"/>
          <w:shd w:val="clear" w:color="auto" w:fill="auto"/>
          <w:lang w:val="hr-HR" w:eastAsia="hr-HR" w:bidi="hr-HR"/>
        </w:rPr>
        <w:t xml:space="preserve"> Tcil III (I.ThK), </w:t>
      </w:r>
      <w:r>
        <w:rPr>
          <w:color w:val="000000"/>
          <w:spacing w:val="0"/>
          <w:w w:val="100"/>
          <w:position w:val="0"/>
          <w:shd w:val="clear" w:color="auto" w:fill="auto"/>
        </w:rPr>
        <w:t xml:space="preserve">Freiburg </w:t>
      </w:r>
      <w:r>
        <w:rPr>
          <w:color w:val="000000"/>
          <w:spacing w:val="0"/>
          <w:w w:val="100"/>
          <w:position w:val="0"/>
          <w:shd w:val="clear" w:color="auto" w:fill="auto"/>
          <w:vertAlign w:val="superscript"/>
          <w:lang w:val="hr-HR" w:eastAsia="hr-HR" w:bidi="hr-HR"/>
        </w:rPr>
        <w:t>J</w:t>
      </w:r>
      <w:r>
        <w:rPr>
          <w:color w:val="000000"/>
          <w:spacing w:val="0"/>
          <w:w w:val="100"/>
          <w:position w:val="0"/>
          <w:shd w:val="clear" w:color="auto" w:fill="auto"/>
          <w:lang w:val="hr-HR" w:eastAsia="hr-HR" w:bidi="hr-HR"/>
        </w:rPr>
        <w:t xml:space="preserve">1968.241-592: T. Rend- torff, </w:t>
      </w:r>
      <w:r>
        <w:rPr>
          <w:i/>
          <w:iCs/>
          <w:color w:val="000000"/>
          <w:spacing w:val="0"/>
          <w:w w:val="100"/>
          <w:position w:val="0"/>
          <w:shd w:val="clear" w:color="auto" w:fill="auto"/>
        </w:rPr>
        <w:t xml:space="preserve">Chrislenlum zwischen Revolution </w:t>
      </w:r>
      <w:r>
        <w:rPr>
          <w:i/>
          <w:iCs/>
          <w:color w:val="000000"/>
          <w:spacing w:val="0"/>
          <w:w w:val="100"/>
          <w:position w:val="0"/>
          <w:shd w:val="clear" w:color="auto" w:fill="auto"/>
          <w:lang w:val="hr-HR" w:eastAsia="hr-HR" w:bidi="hr-HR"/>
        </w:rPr>
        <w:t>und Rcsteuralion. Po</w:t>
        <w:softHyphen/>
        <w:t xml:space="preserve">lilische </w:t>
      </w:r>
      <w:r>
        <w:rPr>
          <w:i/>
          <w:iCs/>
          <w:color w:val="000000"/>
          <w:spacing w:val="0"/>
          <w:w w:val="100"/>
          <w:position w:val="0"/>
          <w:shd w:val="clear" w:color="auto" w:fill="auto"/>
        </w:rPr>
        <w:t xml:space="preserve">Wrkungen </w:t>
      </w:r>
      <w:r>
        <w:rPr>
          <w:i/>
          <w:iCs/>
          <w:color w:val="000000"/>
          <w:spacing w:val="0"/>
          <w:w w:val="100"/>
          <w:position w:val="0"/>
          <w:shd w:val="clear" w:color="auto" w:fill="auto"/>
          <w:lang w:val="hr-HR" w:eastAsia="hr-HR" w:bidi="hr-HR"/>
        </w:rPr>
        <w:t>neuzeillicher Theologie.</w:t>
      </w:r>
      <w:r>
        <w:rPr>
          <w:color w:val="000000"/>
          <w:spacing w:val="0"/>
          <w:w w:val="100"/>
          <w:position w:val="0"/>
          <w:shd w:val="clear" w:color="auto" w:fill="auto"/>
          <w:lang w:val="hr-HR" w:eastAsia="hr-HR" w:bidi="hr-HR"/>
        </w:rPr>
        <w:t xml:space="preserve"> Mdnchen 1970; P. Leising, </w:t>
      </w:r>
      <w:r>
        <w:rPr>
          <w:i/>
          <w:iCs/>
          <w:color w:val="000000"/>
          <w:spacing w:val="0"/>
          <w:w w:val="100"/>
          <w:position w:val="0"/>
          <w:shd w:val="clear" w:color="auto" w:fill="auto"/>
          <w:lang w:val="hr-HR" w:eastAsia="hr-HR" w:bidi="hr-HR"/>
        </w:rPr>
        <w:t xml:space="preserve">Kirche und </w:t>
      </w:r>
      <w:r>
        <w:rPr>
          <w:i/>
          <w:iCs/>
          <w:color w:val="000000"/>
          <w:spacing w:val="0"/>
          <w:w w:val="100"/>
          <w:position w:val="0"/>
          <w:shd w:val="clear" w:color="auto" w:fill="auto"/>
        </w:rPr>
        <w:t xml:space="preserve">Steal in den Rechlsordnungen Euro pus. </w:t>
      </w:r>
      <w:r>
        <w:rPr>
          <w:color w:val="000000"/>
          <w:spacing w:val="0"/>
          <w:w w:val="100"/>
          <w:position w:val="0"/>
          <w:shd w:val="clear" w:color="auto" w:fill="auto"/>
        </w:rPr>
        <w:t>Freiburg 1973.</w:t>
        <w:tab/>
        <w:t>R. GLEI</w:t>
      </w:r>
    </w:p>
    <w:p>
      <w:pPr>
        <w:pStyle w:val="Style63"/>
        <w:keepNext/>
        <w:keepLines/>
        <w:widowControl w:val="0"/>
        <w:numPr>
          <w:ilvl w:val="0"/>
          <w:numId w:val="99"/>
        </w:numPr>
        <w:shd w:val="clear" w:color="auto" w:fill="auto"/>
        <w:tabs>
          <w:tab w:pos="265" w:val="left"/>
        </w:tabs>
        <w:bidi w:val="0"/>
        <w:spacing w:before="0" w:line="223" w:lineRule="auto"/>
        <w:ind w:left="0" w:right="0" w:firstLine="0"/>
        <w:jc w:val="both"/>
      </w:pPr>
      <w:bookmarkStart w:id="79" w:name="bookmark79"/>
      <w:r>
        <w:rPr>
          <w:rFonts w:ascii="Times New Roman" w:eastAsia="Times New Roman" w:hAnsi="Times New Roman" w:cs="Times New Roman"/>
          <w:color w:val="000000"/>
          <w:spacing w:val="0"/>
          <w:w w:val="100"/>
          <w:position w:val="0"/>
          <w:shd w:val="clear" w:color="auto" w:fill="auto"/>
          <w:lang w:val="hr-HR" w:eastAsia="hr-HR" w:bidi="hr-HR"/>
        </w:rPr>
        <w:t>islamski</w:t>
      </w:r>
      <w:bookmarkEnd w:id="7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Nakon </w:t>
      </w:r>
      <w:r>
        <w:rPr>
          <w:rFonts w:ascii="Times New Roman" w:eastAsia="Times New Roman" w:hAnsi="Times New Roman" w:cs="Times New Roman"/>
          <w:color w:val="000000"/>
          <w:spacing w:val="0"/>
          <w:w w:val="100"/>
          <w:position w:val="0"/>
          <w:shd w:val="clear" w:color="auto" w:fill="auto"/>
          <w:lang w:val="en-US" w:eastAsia="en-US" w:bidi="en-US"/>
        </w:rPr>
        <w:t xml:space="preserve">Muhamcdove </w:t>
      </w:r>
      <w:r>
        <w:rPr>
          <w:rFonts w:ascii="Times New Roman" w:eastAsia="Times New Roman" w:hAnsi="Times New Roman" w:cs="Times New Roman"/>
          <w:color w:val="000000"/>
          <w:spacing w:val="0"/>
          <w:w w:val="100"/>
          <w:position w:val="0"/>
          <w:shd w:val="clear" w:color="auto" w:fill="auto"/>
          <w:lang w:val="hr-HR" w:eastAsia="hr-HR" w:bidi="hr-HR"/>
        </w:rPr>
        <w:t>smrti na pozornici povi</w:t>
        <w:softHyphen/>
        <w:t>jesti ostala je islamska d. koja je smatrala sebe životnim prostorom muslimana. Od prvih po</w:t>
        <w:softHyphen/>
        <w:t>četaka doista je bilo osoba i skupina koje su kao pristaše islama živjele i izvan područja tc države (npr. u Abesiniji ili u Bizantu). Posto</w:t>
        <w:softHyphen/>
        <w:t>janje islamske države nije pretpostavka za po</w:t>
        <w:softHyphen/>
        <w:t>vijesnu učinkovitost islama. U tvrdnji da je is</w:t>
        <w:softHyphen/>
        <w:t xml:space="preserve">lam istodobno religija i d. </w:t>
      </w:r>
      <w:r>
        <w:rPr>
          <w:rFonts w:ascii="Times New Roman" w:eastAsia="Times New Roman" w:hAnsi="Times New Roman" w:cs="Times New Roman"/>
          <w:i/>
          <w:iCs/>
          <w:color w:val="000000"/>
          <w:spacing w:val="0"/>
          <w:w w:val="100"/>
          <w:position w:val="0"/>
          <w:shd w:val="clear" w:color="auto" w:fill="auto"/>
          <w:lang w:val="hr-HR" w:eastAsia="hr-HR" w:bidi="hr-HR"/>
        </w:rPr>
        <w:t xml:space="preserve">(din </w:t>
      </w:r>
      <w:r>
        <w:rPr>
          <w:rFonts w:ascii="Times New Roman" w:eastAsia="Times New Roman" w:hAnsi="Times New Roman" w:cs="Times New Roman"/>
          <w:i/>
          <w:iCs/>
          <w:color w:val="000000"/>
          <w:spacing w:val="0"/>
          <w:w w:val="100"/>
          <w:position w:val="0"/>
          <w:shd w:val="clear" w:color="auto" w:fill="auto"/>
          <w:lang w:val="en-US" w:eastAsia="en-US" w:bidi="en-US"/>
        </w:rPr>
        <w:t>wa dawla),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tvrdnji koja je neprestano ponavljana tijekom »rcislamiziranja«, radi se o jednome sloganu koji treba poslužiti političkim svrhama izvjes</w:t>
        <w:softHyphen/>
        <w:t xml:space="preserve">nih skupina, područja ili interesnih zajednica. Takovrsna se formulacija u svakom slučaju ne može naći niti u Kuranu niti u </w:t>
      </w:r>
      <w:r>
        <w:rPr>
          <w:rFonts w:ascii="Times New Roman" w:eastAsia="Times New Roman" w:hAnsi="Times New Roman" w:cs="Times New Roman"/>
          <w:i/>
          <w:iCs/>
          <w:color w:val="000000"/>
          <w:spacing w:val="0"/>
          <w:w w:val="100"/>
          <w:position w:val="0"/>
          <w:shd w:val="clear" w:color="auto" w:fill="auto"/>
          <w:lang w:val="hr-HR" w:eastAsia="hr-HR" w:bidi="hr-HR"/>
        </w:rPr>
        <w:t>suntzmu.</w:t>
      </w:r>
      <w:r>
        <w:rPr>
          <w:rFonts w:ascii="Times New Roman" w:eastAsia="Times New Roman" w:hAnsi="Times New Roman" w:cs="Times New Roman"/>
          <w:color w:val="000000"/>
          <w:spacing w:val="0"/>
          <w:w w:val="100"/>
          <w:position w:val="0"/>
          <w:shd w:val="clear" w:color="auto" w:fill="auto"/>
          <w:lang w:val="hr-HR" w:eastAsia="hr-HR" w:bidi="hr-HR"/>
        </w:rPr>
        <w:t xml:space="preserve"> Mno</w:t>
        <w:softHyphen/>
        <w:t xml:space="preserve">go toga što spada u područje nauka o državi predstavlja konstrukciju kasnijih generacija. To najprije stoji za instituciju kalifa. I mnogo upotrebljavana riječ </w:t>
      </w:r>
      <w:r>
        <w:rPr>
          <w:rFonts w:ascii="Times New Roman" w:eastAsia="Times New Roman" w:hAnsi="Times New Roman" w:cs="Times New Roman"/>
          <w:i/>
          <w:iCs/>
          <w:color w:val="000000"/>
          <w:spacing w:val="0"/>
          <w:w w:val="100"/>
          <w:position w:val="0"/>
          <w:shd w:val="clear" w:color="auto" w:fill="auto"/>
          <w:lang w:val="en-US" w:eastAsia="en-US" w:bidi="en-US"/>
        </w:rPr>
        <w:t>dawla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ne znači prvobitno d., već </w:t>
      </w:r>
      <w:r>
        <w:rPr>
          <w:rFonts w:ascii="Times New Roman" w:eastAsia="Times New Roman" w:hAnsi="Times New Roman" w:cs="Times New Roman"/>
          <w:i/>
          <w:iCs/>
          <w:color w:val="000000"/>
          <w:spacing w:val="0"/>
          <w:w w:val="100"/>
          <w:position w:val="0"/>
          <w:shd w:val="clear" w:color="auto" w:fill="auto"/>
          <w:lang w:val="hr-HR" w:eastAsia="hr-HR" w:bidi="hr-HR"/>
        </w:rPr>
        <w:t>dinastija, turnus</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politički uspjeh</w:t>
      </w:r>
      <w:r>
        <w:rPr>
          <w:rFonts w:ascii="Times New Roman" w:eastAsia="Times New Roman" w:hAnsi="Times New Roman" w:cs="Times New Roman"/>
          <w:color w:val="000000"/>
          <w:spacing w:val="0"/>
          <w:w w:val="100"/>
          <w:position w:val="0"/>
          <w:shd w:val="clear" w:color="auto" w:fill="auto"/>
          <w:lang w:val="hr-HR" w:eastAsia="hr-HR" w:bidi="hr-HR"/>
        </w:rPr>
        <w:t xml:space="preserve"> (v. natuknicu </w:t>
      </w:r>
      <w:r>
        <w:rPr>
          <w:rFonts w:ascii="Times New Roman" w:eastAsia="Times New Roman" w:hAnsi="Times New Roman" w:cs="Times New Roman"/>
          <w:i/>
          <w:iCs/>
          <w:color w:val="000000"/>
          <w:spacing w:val="0"/>
          <w:w w:val="100"/>
          <w:position w:val="0"/>
          <w:shd w:val="clear" w:color="auto" w:fill="auto"/>
          <w:lang w:val="en-US" w:eastAsia="en-US" w:bidi="en-US"/>
        </w:rPr>
        <w:t>Dawla,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EI</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II, 177-178). D. iz</w:t>
        <w:softHyphen/>
        <w:t>građena na islamskim principima jest nomo- kraeija (vladavina zakona) zato što u njoj Ku</w:t>
        <w:softHyphen/>
        <w:t>ran važi kao temeljno načelo. U oblikovanju i vođenju države k tomu je prvenstvena uloga ljudskoga faktora zato što je čovjek »Božji za</w:t>
        <w:softHyphen/>
        <w:t xml:space="preserve">stupnik na zemlji«. Islam ne poznaje nikakvu »državu Božju« </w:t>
      </w:r>
      <w:r>
        <w:rPr>
          <w:rFonts w:ascii="Times New Roman" w:eastAsia="Times New Roman" w:hAnsi="Times New Roman" w:cs="Times New Roman"/>
          <w:i/>
          <w:iCs/>
          <w:color w:val="000000"/>
          <w:spacing w:val="0"/>
          <w:w w:val="100"/>
          <w:position w:val="0"/>
          <w:shd w:val="clear" w:color="auto" w:fill="auto"/>
          <w:lang w:val="hr-HR" w:eastAsia="hr-HR" w:bidi="hr-HR"/>
        </w:rPr>
        <w:t>(civitas Dei),</w:t>
      </w:r>
      <w:r>
        <w:rPr>
          <w:rFonts w:ascii="Times New Roman" w:eastAsia="Times New Roman" w:hAnsi="Times New Roman" w:cs="Times New Roman"/>
          <w:color w:val="000000"/>
          <w:spacing w:val="0"/>
          <w:w w:val="100"/>
          <w:position w:val="0"/>
          <w:shd w:val="clear" w:color="auto" w:fill="auto"/>
          <w:lang w:val="hr-HR" w:eastAsia="hr-HR" w:bidi="hr-HR"/>
        </w:rPr>
        <w:t xml:space="preserve"> pa ni crkvu ili nekoga drugog božanskog posrednika. Način na koji su upravljala prva četiri kalifa, koji muslimani uzimaju kao ideal, bila je pojedno</w:t>
        <w:softHyphen/>
        <w:t>stavljena demokracija. Stoga je sasvim umjes</w:t>
        <w:softHyphen/>
        <w:t>no govoriti o islamskoj državi kao o teokraciji. Onako kako je razumiju fundamentalisti, is</w:t>
        <w:softHyphen/>
        <w:t>lamska je d. na sudbonosan način povezana sa skolastikom i kazuistikom. Ona kao takva teš</w:t>
        <w:softHyphen/>
        <w:t>ko može postati trajnom alternativom plura</w:t>
        <w:softHyphen/>
        <w:t>lističkim državama suvremenoga doba. Na is</w:t>
        <w:softHyphen/>
        <w:t>lam se pozivaju različite države. Njihovi se sustavi vladavine međusobno znatno razliku</w:t>
        <w:softHyphen/>
        <w:t>ju. Oni su, zapravo, u međusobnom sukobu. Uključivanje u politiku lišava islam njegove unutarnje neovisnosti. (Zanimljivo je primije</w:t>
        <w:softHyphen/>
        <w:t>titi da ni konzervativne ili fundamentalistički</w:t>
        <w:br w:type="page"/>
      </w:r>
      <w:r>
        <w:rPr>
          <w:rFonts w:ascii="Times New Roman" w:eastAsia="Times New Roman" w:hAnsi="Times New Roman" w:cs="Times New Roman"/>
          <w:color w:val="000000"/>
          <w:spacing w:val="0"/>
          <w:w w:val="100"/>
          <w:position w:val="0"/>
          <w:shd w:val="clear" w:color="auto" w:fill="auto"/>
          <w:lang w:val="hr-HR" w:eastAsia="hr-HR" w:bidi="hr-HR"/>
        </w:rPr>
        <w:t>orijentirane islamske države ne provode ni</w:t>
        <w:softHyphen/>
        <w:t>kakav jedinstveni kazneni postupak, premda se sve te države pozivaju na Kuran. Tako npr. Islamska Republika ne provodi nikakva saka- ćcnja, bičevanja i pogubljenja. Tamo se - su</w:t>
        <w:softHyphen/>
        <w:t>protno saudijsko-arabijskoj praksi - također ne poduzimaju nikakve druge srednjovjekov</w:t>
        <w:softHyphen/>
        <w:t>ne kaznene mjere.)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Gotovo trećina svih muslimana u svijetu ne može već zbog svojega geopolitičkog položaja započeti ništa s teorijom da je islam religija i d. Ona bi ih, naprotiv, dovela u opasnost da ih stanovnici druge vjere promatraju kao poten</w:t>
        <w:softHyphen/>
        <w:t>cijalne neprijatelje. Oni stoga shvaćaju islam santo kao religiju, što on zapravo i jest.</w:t>
      </w:r>
    </w:p>
    <w:p>
      <w:pPr>
        <w:pStyle w:val="Style20"/>
        <w:keepNext w:val="0"/>
        <w:keepLines w:val="0"/>
        <w:widowControl w:val="0"/>
        <w:shd w:val="clear" w:color="auto" w:fill="auto"/>
        <w:tabs>
          <w:tab w:pos="258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Stare pravne škole dijele građane islamske države na dvije skupine: na muslimane koji imaju vojnu dužnost i na nemuslimane koji imaju zapovijed zaštite. Nemuslimani su oslo</w:t>
        <w:softHyphen/>
        <w:t>bođeni od vojne službe, ali zbog toga moraju po vojno sposobnom muškarcu godišnje pla</w:t>
        <w:softHyphen/>
        <w:t>ćati glavarinu (džizija). Po nazoru pravnih učenjaka musliman treba uvijek biti vojno sposoban. On osim toga podliježe dužnosti davanja godišnjega vjerskog socijalnog prino</w:t>
        <w:softHyphen/>
        <w:t>sa (zeZatt). Povijest pokazuje da su dosadašnje vojne akcije muslimana posljcdovale brojnim gubicima u pučanstvu i ogromnim gospodar</w:t>
        <w:softHyphen/>
        <w:t>skim štetama. Visina socijalnoga prinosa, obra- čunana na temelju jednakih imovinskih pri</w:t>
        <w:softHyphen/>
        <w:t xml:space="preserve">lika, prekoračila je iznos </w:t>
      </w:r>
      <w:r>
        <w:rPr>
          <w:rFonts w:ascii="Times New Roman" w:eastAsia="Times New Roman" w:hAnsi="Times New Roman" w:cs="Times New Roman"/>
          <w:i/>
          <w:iCs/>
          <w:color w:val="000000"/>
          <w:spacing w:val="0"/>
          <w:w w:val="100"/>
          <w:position w:val="0"/>
          <w:shd w:val="clear" w:color="auto" w:fill="auto"/>
          <w:lang w:val="hr-HR" w:eastAsia="hr-HR" w:bidi="hr-HR"/>
        </w:rPr>
        <w:t>džizije.</w:t>
      </w:r>
      <w:r>
        <w:rPr>
          <w:rFonts w:ascii="Times New Roman" w:eastAsia="Times New Roman" w:hAnsi="Times New Roman" w:cs="Times New Roman"/>
          <w:color w:val="000000"/>
          <w:spacing w:val="0"/>
          <w:w w:val="100"/>
          <w:position w:val="0"/>
          <w:shd w:val="clear" w:color="auto" w:fill="auto"/>
          <w:lang w:val="hr-HR" w:eastAsia="hr-HR" w:bidi="hr-HR"/>
        </w:rPr>
        <w:t xml:space="preserve"> Pod oznakom »zapovijed zaštite« podrazumijevali su se krš</w:t>
        <w:softHyphen/>
        <w:t>ćani, Židovi i sabelijanci (koji zastupaju sve druge koji vjeruju u Boga) koji su živjeli u muslimanskoj državi. Oni su u pravilu radni puk. Imali su rcligijsko-kulturnu samoupravu. Sukladno vladajućem duhu srednjovjekovlja državni je narod uživao niz povlastica, no suživot je s narodima druge vjere bio moguć i oblikovan u snošljivim formama. Taj je suži</w:t>
        <w:softHyphen/>
        <w:t>vot bio zgodimice zajamčen dodatnim pove</w:t>
        <w:softHyphen/>
        <w:t xml:space="preserve">ljama </w:t>
      </w:r>
      <w:r>
        <w:rPr>
          <w:rFonts w:ascii="Times New Roman" w:eastAsia="Times New Roman" w:hAnsi="Times New Roman" w:cs="Times New Roman"/>
          <w:i/>
          <w:iCs/>
          <w:color w:val="000000"/>
          <w:spacing w:val="0"/>
          <w:w w:val="100"/>
          <w:position w:val="0"/>
          <w:shd w:val="clear" w:color="auto" w:fill="auto"/>
          <w:lang w:val="hr-HR" w:eastAsia="hr-HR" w:bidi="hr-HR"/>
        </w:rPr>
        <w:t>(‘ahdnamej</w:t>
      </w:r>
      <w:r>
        <w:rPr>
          <w:rFonts w:ascii="Times New Roman" w:eastAsia="Times New Roman" w:hAnsi="Times New Roman" w:cs="Times New Roman"/>
          <w:color w:val="000000"/>
          <w:spacing w:val="0"/>
          <w:w w:val="100"/>
          <w:position w:val="0"/>
          <w:shd w:val="clear" w:color="auto" w:fill="auto"/>
          <w:lang w:val="hr-HR" w:eastAsia="hr-HR" w:bidi="hr-HR"/>
        </w:rPr>
        <w:t xml:space="preserve"> vladara. Pravni su učenjaci </w:t>
      </w:r>
      <w:r>
        <w:rPr>
          <w:rFonts w:ascii="Times New Roman" w:eastAsia="Times New Roman" w:hAnsi="Times New Roman" w:cs="Times New Roman"/>
          <w:i/>
          <w:iCs/>
          <w:color w:val="000000"/>
          <w:spacing w:val="0"/>
          <w:w w:val="100"/>
          <w:position w:val="0"/>
          <w:shd w:val="clear" w:color="auto" w:fill="auto"/>
          <w:lang w:val="en-US" w:eastAsia="en-US" w:bidi="en-US"/>
        </w:rPr>
        <w:t>(fuqaha)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cjelokupnu građevinu islamskoga prava unijeli i mnoge konstrukcije koje u pos</w:t>
        <w:softHyphen/>
        <w:t>tojećoj formi uopće čak nisu ni naznačene u Kuranu. Jedna je takva konstrukcija npr. po</w:t>
        <w:softHyphen/>
        <w:t xml:space="preserve">djela svijeta na »teritorij islama«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(dar ul-islam) </w:t>
      </w:r>
      <w:r>
        <w:rPr>
          <w:rFonts w:ascii="Times New Roman" w:eastAsia="Times New Roman" w:hAnsi="Times New Roman" w:cs="Times New Roman"/>
          <w:color w:val="000000"/>
          <w:spacing w:val="0"/>
          <w:w w:val="100"/>
          <w:position w:val="0"/>
          <w:shd w:val="clear" w:color="auto" w:fill="auto"/>
          <w:lang w:val="hr-HR" w:eastAsia="hr-HR" w:bidi="hr-HR"/>
        </w:rPr>
        <w:t xml:space="preserve">i na »teritorij ratnih zapleta«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(dar ul-harb). </w:t>
      </w:r>
      <w:r>
        <w:rPr>
          <w:rFonts w:ascii="Times New Roman" w:eastAsia="Times New Roman" w:hAnsi="Times New Roman" w:cs="Times New Roman"/>
          <w:color w:val="000000"/>
          <w:spacing w:val="0"/>
          <w:w w:val="100"/>
          <w:position w:val="0"/>
          <w:shd w:val="clear" w:color="auto" w:fill="auto"/>
          <w:lang w:val="hr-HR" w:eastAsia="hr-HR" w:bidi="hr-HR"/>
        </w:rPr>
        <w:t>Ono što vrijedi za djelovanje pravih vjernika, to je mjerodavno i za djelovanje države. 1 po</w:t>
        <w:softHyphen/>
        <w:t>jedinac i društvo svojim pristajanjem uz islam podliježu državnomu zakonu.</w:t>
        <w:tab/>
        <w:t>s.</w:t>
      </w:r>
      <w:r>
        <w:rPr>
          <w:rFonts w:ascii="Times New Roman" w:eastAsia="Times New Roman" w:hAnsi="Times New Roman" w:cs="Times New Roman"/>
          <w:smallCaps/>
          <w:color w:val="000000"/>
          <w:spacing w:val="0"/>
          <w:w w:val="100"/>
          <w:position w:val="0"/>
          <w:shd w:val="clear" w:color="auto" w:fill="auto"/>
          <w:lang w:val="hr-HR" w:eastAsia="hr-HR" w:bidi="hr-HR"/>
        </w:rPr>
        <w:t>hai.ić</w:t>
      </w:r>
    </w:p>
    <w:p>
      <w:pPr>
        <w:pStyle w:val="Style33"/>
        <w:keepNext w:val="0"/>
        <w:keepLines w:val="0"/>
        <w:widowControl w:val="0"/>
        <w:shd w:val="clear" w:color="auto" w:fill="auto"/>
        <w:bidi w:val="0"/>
        <w:spacing w:before="0" w:after="12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DUHOVNOST</w:t>
      </w:r>
    </w:p>
    <w:p>
      <w:pPr>
        <w:pStyle w:val="Style63"/>
        <w:keepNext/>
        <w:keepLines/>
        <w:widowControl w:val="0"/>
        <w:numPr>
          <w:ilvl w:val="0"/>
          <w:numId w:val="105"/>
        </w:numPr>
        <w:shd w:val="clear" w:color="auto" w:fill="auto"/>
        <w:tabs>
          <w:tab w:pos="241" w:val="left"/>
        </w:tabs>
        <w:bidi w:val="0"/>
        <w:spacing w:before="0" w:line="223" w:lineRule="auto"/>
        <w:ind w:left="0" w:right="0" w:firstLine="0"/>
        <w:jc w:val="both"/>
      </w:pPr>
      <w:bookmarkStart w:id="80" w:name="bookmark80"/>
      <w:r>
        <w:rPr>
          <w:rFonts w:ascii="Times New Roman" w:eastAsia="Times New Roman" w:hAnsi="Times New Roman" w:cs="Times New Roman"/>
          <w:color w:val="000000"/>
          <w:spacing w:val="0"/>
          <w:w w:val="100"/>
          <w:position w:val="0"/>
          <w:shd w:val="clear" w:color="auto" w:fill="auto"/>
          <w:lang w:val="hr-HR" w:eastAsia="hr-HR" w:bidi="hr-HR"/>
        </w:rPr>
        <w:t>židovski</w:t>
      </w:r>
      <w:bookmarkEnd w:id="80"/>
    </w:p>
    <w:p>
      <w:pPr>
        <w:pStyle w:val="Style20"/>
        <w:keepNext w:val="0"/>
        <w:keepLines w:val="0"/>
        <w:widowControl w:val="0"/>
        <w:shd w:val="clear" w:color="auto" w:fill="auto"/>
        <w:bidi w:val="0"/>
        <w:spacing w:before="0" w:after="100"/>
        <w:ind w:left="0" w:right="0" w:firstLine="0"/>
        <w:jc w:val="both"/>
        <w:sectPr>
          <w:headerReference w:type="default" r:id="rId345"/>
          <w:footerReference w:type="default" r:id="rId346"/>
          <w:headerReference w:type="even" r:id="rId347"/>
          <w:footerReference w:type="even" r:id="rId348"/>
          <w:headerReference w:type="first" r:id="rId349"/>
          <w:footerReference w:type="first" r:id="rId350"/>
          <w:footnotePr>
            <w:pos w:val="pageBottom"/>
            <w:numFmt w:val="decimal"/>
            <w:numStart w:val="5"/>
            <w:numRestart w:val="continuous"/>
            <w15:footnoteColumns w:val="1"/>
          </w:footnotePr>
          <w:pgSz w:w="6816" w:h="11006"/>
          <w:pgMar w:top="769" w:left="191" w:right="197" w:bottom="378" w:header="0" w:footer="3" w:gutter="0"/>
          <w:pgNumType w:start="121"/>
          <w:cols w:num="2" w:space="198"/>
          <w:noEndnote/>
          <w:titlePg/>
          <w:rtlGutter w:val="0"/>
          <w:docGrid w:linePitch="360"/>
        </w:sectPr>
      </w:pPr>
      <w:r>
        <mc:AlternateContent>
          <mc:Choice Requires="wps">
            <w:drawing>
              <wp:anchor distT="38100" distB="254000" distL="114300" distR="114300" simplePos="0" relativeHeight="125829386" behindDoc="0" locked="0" layoutInCell="1" allowOverlap="1">
                <wp:simplePos x="0" y="0"/>
                <wp:positionH relativeFrom="page">
                  <wp:posOffset>156845</wp:posOffset>
                </wp:positionH>
                <wp:positionV relativeFrom="margin">
                  <wp:posOffset>6196965</wp:posOffset>
                </wp:positionV>
                <wp:extent cx="182880" cy="118745"/>
                <wp:wrapTopAndBottom/>
                <wp:docPr id="759" name="Shape 759"/>
                <a:graphic xmlns:a="http://schemas.openxmlformats.org/drawingml/2006/main">
                  <a:graphicData uri="http://schemas.microsoft.com/office/word/2010/wordprocessingShape">
                    <wps:wsp>
                      <wps:cNvSpPr txBox="1"/>
                      <wps:spPr>
                        <a:xfrm>
                          <a:ext cx="182880" cy="11874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rPr>
                              <w:t>1 18</w:t>
                            </w:r>
                          </w:p>
                        </w:txbxContent>
                      </wps:txbx>
                      <wps:bodyPr wrap="none" lIns="0" tIns="0" rIns="0" bIns="0">
                        <a:noAutoFit/>
                      </wps:bodyPr>
                    </wps:wsp>
                  </a:graphicData>
                </a:graphic>
              </wp:anchor>
            </w:drawing>
          </mc:Choice>
          <mc:Fallback>
            <w:pict>
              <v:shape id="_x0000_s1785" type="#_x0000_t202" style="position:absolute;margin-left:12.35pt;margin-top:487.94999999999999pt;width:14.4pt;height:9.3499999999999996pt;z-index:-125829367;mso-wrap-distance-left:9.pt;mso-wrap-distance-top:3.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rPr>
                        <w:t>1 18</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 xml:space="preserve">a) »Vi prelazite mjeru! Jer svi su posvećeni.« </w:t>
      </w:r>
      <w:r>
        <w:rPr>
          <w:rFonts w:ascii="Times New Roman" w:eastAsia="Times New Roman" w:hAnsi="Times New Roman" w:cs="Times New Roman"/>
          <w:color w:val="000000"/>
          <w:spacing w:val="0"/>
          <w:w w:val="100"/>
          <w:position w:val="0"/>
          <w:shd w:val="clear" w:color="auto" w:fill="auto"/>
          <w:lang w:val="hr-HR" w:eastAsia="hr-HR" w:bidi="hr-HR"/>
        </w:rPr>
        <w:t>Midraš tumači priču o ustanku Koraha »i sve njegove družine« »pred Mojsijevim licem« (Br 16), tumači njezin kontekst, a suprotstav</w:t>
        <w:softHyphen/>
        <w:t>ljanje Korahovaea Mojsiju kao suprotnost »Božje slobode« i »Božjega zakona«: »Što je ispred tog odlomka (Br 16)? Br 15,38: ‘Mo</w:t>
        <w:softHyphen/>
        <w:t xml:space="preserve">raju napraviti rese na skutovima.’ Korah je skočio i rekao Mojsiju: Je li </w:t>
      </w:r>
      <w:r>
        <w:rPr>
          <w:rFonts w:ascii="Times New Roman" w:eastAsia="Times New Roman" w:hAnsi="Times New Roman" w:cs="Times New Roman"/>
          <w:i/>
          <w:iCs/>
          <w:color w:val="000000"/>
          <w:spacing w:val="0"/>
          <w:w w:val="100"/>
          <w:position w:val="0"/>
          <w:shd w:val="clear" w:color="auto" w:fill="auto"/>
          <w:lang w:val="hr-HR" w:eastAsia="hr-HR" w:bidi="hr-HR"/>
        </w:rPr>
        <w:t>talit</w:t>
      </w:r>
      <w:r>
        <w:rPr>
          <w:rFonts w:ascii="Times New Roman" w:eastAsia="Times New Roman" w:hAnsi="Times New Roman" w:cs="Times New Roman"/>
          <w:color w:val="000000"/>
          <w:spacing w:val="0"/>
          <w:w w:val="100"/>
          <w:position w:val="0"/>
          <w:shd w:val="clear" w:color="auto" w:fill="auto"/>
          <w:lang w:val="hr-HR" w:eastAsia="hr-HR" w:bidi="hr-HR"/>
        </w:rPr>
        <w:t xml:space="preserve"> (molitveni ogrtač), koji je od potpuno purpurnomodre vune, oslobođen resa? Mojsije odgovori: Mo</w:t>
        <w:softHyphen/>
        <w:t xml:space="preserve">ra imati rese. Korah reče: Talit, koji je sav od purpurnomodre vune, nije ni sam slobodan i četiri rese ga trebaju osloboditi? Je li kući, koja je puna knjiga, potrebna </w:t>
      </w:r>
      <w:r>
        <w:rPr>
          <w:rFonts w:ascii="Times New Roman" w:eastAsia="Times New Roman" w:hAnsi="Times New Roman" w:cs="Times New Roman"/>
          <w:i/>
          <w:iCs/>
          <w:color w:val="000000"/>
          <w:spacing w:val="0"/>
          <w:w w:val="100"/>
          <w:position w:val="0"/>
          <w:shd w:val="clear" w:color="auto" w:fill="auto"/>
          <w:lang w:val="hr-HR" w:eastAsia="hr-HR" w:bidi="hr-HR"/>
        </w:rPr>
        <w:t>mezuza</w:t>
      </w:r>
      <w:r>
        <w:rPr>
          <w:rFonts w:ascii="Times New Roman" w:eastAsia="Times New Roman" w:hAnsi="Times New Roman" w:cs="Times New Roman"/>
          <w:color w:val="000000"/>
          <w:spacing w:val="0"/>
          <w:w w:val="100"/>
          <w:position w:val="0"/>
          <w:shd w:val="clear" w:color="auto" w:fill="auto"/>
          <w:lang w:val="hr-HR" w:eastAsia="hr-HR" w:bidi="hr-HR"/>
        </w:rPr>
        <w:t xml:space="preserve"> (kutijica pričvršćena na desnom dovratniku za perga- mentni svitak na kojem je upisan tekst iz Pnz 6,4-9; 11,13-21)? Mora imati </w:t>
      </w:r>
      <w:r>
        <w:rPr>
          <w:rFonts w:ascii="Times New Roman" w:eastAsia="Times New Roman" w:hAnsi="Times New Roman" w:cs="Times New Roman"/>
          <w:i/>
          <w:iCs/>
          <w:color w:val="000000"/>
          <w:spacing w:val="0"/>
          <w:w w:val="100"/>
          <w:position w:val="0"/>
          <w:shd w:val="clear" w:color="auto" w:fill="auto"/>
          <w:lang w:val="hr-HR" w:eastAsia="hr-HR" w:bidi="hr-HR"/>
        </w:rPr>
        <w:t>mezuzu,</w:t>
      </w:r>
      <w:r>
        <w:rPr>
          <w:rFonts w:ascii="Times New Roman" w:eastAsia="Times New Roman" w:hAnsi="Times New Roman" w:cs="Times New Roman"/>
          <w:color w:val="000000"/>
          <w:spacing w:val="0"/>
          <w:w w:val="100"/>
          <w:position w:val="0"/>
          <w:shd w:val="clear" w:color="auto" w:fill="auto"/>
          <w:lang w:val="hr-HR" w:eastAsia="hr-HR" w:bidi="hr-HR"/>
        </w:rPr>
        <w:t xml:space="preserve"> bio je odgovor. Tada on reče Mojsiju: Cijela Tora, koja se sastoji od 275 odlomaka, ne oslobađa kuću, a jedan odlomak, taj o </w:t>
      </w:r>
      <w:r>
        <w:rPr>
          <w:rFonts w:ascii="Times New Roman" w:eastAsia="Times New Roman" w:hAnsi="Times New Roman" w:cs="Times New Roman"/>
          <w:i/>
          <w:iCs/>
          <w:color w:val="000000"/>
          <w:spacing w:val="0"/>
          <w:w w:val="100"/>
          <w:position w:val="0"/>
          <w:shd w:val="clear" w:color="auto" w:fill="auto"/>
          <w:lang w:val="hr-HR" w:eastAsia="hr-HR" w:bidi="hr-HR"/>
        </w:rPr>
        <w:t>mezuzi, trebao bi oslobodili kuću?«(Bemidbar</w:t>
      </w:r>
      <w:r>
        <w:rPr>
          <w:rFonts w:ascii="Times New Roman" w:eastAsia="Times New Roman" w:hAnsi="Times New Roman" w:cs="Times New Roman"/>
          <w:color w:val="000000"/>
          <w:spacing w:val="0"/>
          <w:w w:val="100"/>
          <w:position w:val="0"/>
          <w:shd w:val="clear" w:color="auto" w:fill="auto"/>
          <w:lang w:val="hr-HR" w:eastAsia="hr-HR" w:bidi="hr-HR"/>
        </w:rPr>
        <w:t xml:space="preserve"> raba XVIII,16,1). Prema mišljenju starih propovjednika, ljudi nadahnuti duhom Božjim pretvaraju Božju volju samo u spontane odluke i opiru se njezi</w:t>
        <w:softHyphen/>
        <w:t>nu oblikovanju u trajni propis. Oni ne vjeruju u »zakon« kao stalno pražnjenje duha i - od straha da će on božanskim pravom vladati živima kao nečim mrtvim bez ikakve obnove - izvlače zaključak da duh i sloboda moraju smijeniti svijet propisa: »U tom času... po</w:t>
        <w:softHyphen/>
        <w:t>zvao je Korah svoju družinu i obratio se njima (Mojsiju i Aronu): Nametnuli ste nam veći te</w:t>
        <w:softHyphen/>
        <w:t xml:space="preserve">ret negoli ropstvo u Egiptu«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XVIII,16,3). Nadahnutima ne treba zapovijedi izvana! In</w:t>
        <w:softHyphen/>
        <w:t>terpretacija mudraca pomaže otkriti zov po</w:t>
        <w:softHyphen/>
        <w:t>bunjenih Korahovaea kao ključ razumijevanja biblijskoga teksta: »Vi prelazite mjeru! Sva je zajednica, svi njezini članovi, posvećena, i me</w:t>
        <w:softHyphen/>
        <w:t>đu njima je ON« (Br 16,3). U Božjoj nazoč</w:t>
        <w:softHyphen/>
        <w:t>nosti, koju smatraju Izraclovom svojinom, na</w:t>
        <w:softHyphen/>
        <w:t>dahnuti pobunjenici vide dovoljan razlog da se otresu prisile zapovijedi i zabrana. Svojom tvrdnjom kako su svi pojedinci u Izraelu već sveti i da im stoga ne treba zakon na putu ko</w:t>
        <w:softHyphen/>
        <w:t xml:space="preserve">jim ih vodi vlastita svetost, obrću oba Mojsije- va govora u suprotnost na koju aludiraju (usp. M. </w:t>
      </w:r>
      <w:r>
        <w:rPr>
          <w:rFonts w:ascii="Times New Roman" w:eastAsia="Times New Roman" w:hAnsi="Times New Roman" w:cs="Times New Roman"/>
          <w:i/>
          <w:iCs/>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hr-HR" w:eastAsia="hr-HR" w:bidi="hr-HR"/>
        </w:rPr>
        <w:t>Mojsije,</w:t>
      </w:r>
      <w:r>
        <w:rPr>
          <w:rFonts w:ascii="Times New Roman" w:eastAsia="Times New Roman" w:hAnsi="Times New Roman" w:cs="Times New Roman"/>
          <w:color w:val="000000"/>
          <w:spacing w:val="0"/>
          <w:w w:val="100"/>
          <w:position w:val="0"/>
          <w:shd w:val="clear" w:color="auto" w:fill="auto"/>
          <w:lang w:val="hr-HR" w:eastAsia="hr-HR" w:bidi="hr-HR"/>
        </w:rPr>
        <w:t xml:space="preserve"> '1966, 217 i d.; J. Magonct, </w:t>
      </w:r>
      <w:r>
        <w:rPr>
          <w:rFonts w:ascii="Times New Roman" w:eastAsia="Times New Roman" w:hAnsi="Times New Roman" w:cs="Times New Roman"/>
          <w:i/>
          <w:iCs/>
          <w:color w:val="000000"/>
          <w:spacing w:val="0"/>
          <w:w w:val="100"/>
          <w:position w:val="0"/>
          <w:shd w:val="clear" w:color="auto" w:fill="auto"/>
          <w:lang w:val="hr-HR" w:eastAsia="hr-HR" w:bidi="hr-HR"/>
        </w:rPr>
        <w:t>Korahova pobuna</w:t>
      </w:r>
      <w:r>
        <w:rPr>
          <w:rFonts w:ascii="Times New Roman" w:eastAsia="Times New Roman" w:hAnsi="Times New Roman" w:cs="Times New Roman"/>
          <w:color w:val="000000"/>
          <w:spacing w:val="0"/>
          <w:w w:val="100"/>
          <w:position w:val="0"/>
          <w:shd w:val="clear" w:color="auto" w:fill="auto"/>
          <w:lang w:val="hr-HR" w:eastAsia="hr-HR" w:bidi="hr-HR"/>
        </w:rPr>
        <w:t xml:space="preserve"> u </w:t>
      </w:r>
      <w:r>
        <w:rPr>
          <w:rFonts w:ascii="Times New Roman" w:eastAsia="Times New Roman" w:hAnsi="Times New Roman" w:cs="Times New Roman"/>
          <w:i/>
          <w:iCs/>
          <w:color w:val="000000"/>
          <w:spacing w:val="0"/>
          <w:w w:val="100"/>
          <w:position w:val="0"/>
          <w:shd w:val="clear" w:color="auto" w:fill="auto"/>
          <w:lang w:val="en-US" w:eastAsia="en-US" w:bidi="en-US"/>
        </w:rPr>
        <w:t>Journal for the Study of the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 xml:space="preserve">Old </w:t>
      </w:r>
      <w:r>
        <w:rPr>
          <w:rFonts w:ascii="Times New Roman" w:eastAsia="Times New Roman" w:hAnsi="Times New Roman" w:cs="Times New Roman"/>
          <w:i/>
          <w:iCs/>
          <w:color w:val="000000"/>
          <w:spacing w:val="0"/>
          <w:w w:val="100"/>
          <w:position w:val="0"/>
          <w:shd w:val="clear" w:color="auto" w:fill="auto"/>
          <w:lang w:val="hr-HR" w:eastAsia="hr-HR" w:bidi="hr-HR"/>
        </w:rPr>
        <w:t>Testament</w:t>
      </w:r>
      <w:r>
        <w:rPr>
          <w:rFonts w:ascii="Times New Roman" w:eastAsia="Times New Roman" w:hAnsi="Times New Roman" w:cs="Times New Roman"/>
          <w:color w:val="000000"/>
          <w:spacing w:val="0"/>
          <w:w w:val="100"/>
          <w:position w:val="0"/>
          <w:shd w:val="clear" w:color="auto" w:fill="auto"/>
          <w:lang w:val="hr-HR" w:eastAsia="hr-HR" w:bidi="hr-HR"/>
        </w:rPr>
        <w:t xml:space="preserve"> 24, 1982, 3-25). Jedan se od</w:t>
        <w:softHyphen/>
        <w:t>nosi na Božji zahtjev cijelom Izraelu preko Mojsija: »Vi ćete mi biti kraljevstvo svećeni</w:t>
        <w:softHyphen/>
        <w:t xml:space="preserve">ka, narod svet« (Izl 19,6); on stavlja pred Izrael </w:t>
      </w:r>
      <w:r>
        <w:rPr>
          <w:rFonts w:ascii="Times New Roman" w:eastAsia="Times New Roman" w:hAnsi="Times New Roman" w:cs="Times New Roman"/>
          <w:i/>
          <w:iCs/>
          <w:color w:val="000000"/>
          <w:spacing w:val="0"/>
          <w:w w:val="100"/>
          <w:position w:val="0"/>
          <w:shd w:val="clear" w:color="auto" w:fill="auto"/>
          <w:lang w:val="hr-HR" w:eastAsia="hr-HR" w:bidi="hr-HR"/>
        </w:rPr>
        <w:t>zadaću</w:t>
      </w:r>
      <w:r>
        <w:rPr>
          <w:rFonts w:ascii="Times New Roman" w:eastAsia="Times New Roman" w:hAnsi="Times New Roman" w:cs="Times New Roman"/>
          <w:color w:val="000000"/>
          <w:spacing w:val="0"/>
          <w:w w:val="100"/>
          <w:position w:val="0"/>
          <w:shd w:val="clear" w:color="auto" w:fill="auto"/>
          <w:lang w:val="hr-HR" w:eastAsia="hr-HR" w:bidi="hr-HR"/>
        </w:rPr>
        <w:t xml:space="preserve"> da gradi ljudsku zajednicu po volji Božjoj ponavljanjem izbora i stalnom ob</w:t>
        <w:softHyphen/>
        <w:t>novom (Pnz 30,15) i time ostvari početak sve</w:t>
        <w:softHyphen/>
        <w:t>obuhvatne Božje vlasti u svijetu. No, kontinui</w:t>
        <w:softHyphen/>
        <w:t>tet Božje vlasti u realno-povijesnom okviru ni</w:t>
        <w:softHyphen/>
        <w:t xml:space="preserve">je moguć bez razlikovanja onoga što se Bogu sviđa i ne sviđa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18,3 i d.; Mih 6,8), razli</w:t>
        <w:softHyphen/>
        <w:t>kovanje koje se prenosi s naraštaja na naraštaj i u svakom se povijesnom trenutku iznova do</w:t>
        <w:softHyphen/>
        <w:t xml:space="preserve">brovoljno priznaje (Izl 19,8; 24,3.7). Drugi Mojsijev govor, na koji se pozivaju nadahnuti pobunjenici, jest </w:t>
      </w:r>
      <w:r>
        <w:rPr>
          <w:rFonts w:ascii="Times New Roman" w:eastAsia="Times New Roman" w:hAnsi="Times New Roman" w:cs="Times New Roman"/>
          <w:i/>
          <w:iCs/>
          <w:color w:val="000000"/>
          <w:spacing w:val="0"/>
          <w:w w:val="100"/>
          <w:position w:val="0"/>
          <w:shd w:val="clear" w:color="auto" w:fill="auto"/>
          <w:lang w:val="hr-HR" w:eastAsia="hr-HR" w:bidi="hr-HR"/>
        </w:rPr>
        <w:t>želja:</w:t>
      </w:r>
      <w:r>
        <w:rPr>
          <w:rFonts w:ascii="Times New Roman" w:eastAsia="Times New Roman" w:hAnsi="Times New Roman" w:cs="Times New Roman"/>
          <w:color w:val="000000"/>
          <w:spacing w:val="0"/>
          <w:w w:val="100"/>
          <w:position w:val="0"/>
          <w:shd w:val="clear" w:color="auto" w:fill="auto"/>
          <w:lang w:val="hr-HR" w:eastAsia="hr-HR" w:bidi="hr-HR"/>
        </w:rPr>
        <w:t xml:space="preserve"> »Oh, kad bi sav narod NJEGOV postao prorok! Kad bi ON na njih izlio svoga duha!« (Br 11,29). Zapovijed za</w:t>
        <w:softHyphen/>
        <w:t>jednici i nadu glede pojedinaca u Izraelu »Ko- rah i sva njegova družina« brkaju s već posto</w:t>
        <w:softHyphen/>
        <w:t xml:space="preserve">jećim </w:t>
      </w:r>
      <w:r>
        <w:rPr>
          <w:rFonts w:ascii="Times New Roman" w:eastAsia="Times New Roman" w:hAnsi="Times New Roman" w:cs="Times New Roman"/>
          <w:i/>
          <w:iCs/>
          <w:color w:val="000000"/>
          <w:spacing w:val="0"/>
          <w:w w:val="100"/>
          <w:position w:val="0"/>
          <w:shd w:val="clear" w:color="auto" w:fill="auto"/>
          <w:lang w:val="hr-HR" w:eastAsia="hr-HR" w:bidi="hr-HR"/>
        </w:rPr>
        <w:t>stanjem</w:t>
      </w:r>
      <w:r>
        <w:rPr>
          <w:rFonts w:ascii="Times New Roman" w:eastAsia="Times New Roman" w:hAnsi="Times New Roman" w:cs="Times New Roman"/>
          <w:color w:val="000000"/>
          <w:spacing w:val="0"/>
          <w:w w:val="100"/>
          <w:position w:val="0"/>
          <w:shd w:val="clear" w:color="auto" w:fill="auto"/>
          <w:lang w:val="hr-HR" w:eastAsia="hr-HR" w:bidi="hr-HR"/>
        </w:rPr>
        <w:t xml:space="preserve"> koje oni samouvjereno konsta</w:t>
        <w:softHyphen/>
        <w:t>tiraju: »Svi su oni posvećeni.« Za Mojsija, koji prenosi Toru židovskom narodu, »svet narod« Božjeg izabranja (Izl 19,6; Pnz 7,6; 14,2) osta</w:t>
        <w:softHyphen/>
        <w:t xml:space="preserve">je </w:t>
      </w:r>
      <w:r>
        <w:rPr>
          <w:rFonts w:ascii="Times New Roman" w:eastAsia="Times New Roman" w:hAnsi="Times New Roman" w:cs="Times New Roman"/>
          <w:i/>
          <w:iCs/>
          <w:color w:val="000000"/>
          <w:spacing w:val="0"/>
          <w:w w:val="100"/>
          <w:position w:val="0"/>
          <w:shd w:val="clear" w:color="auto" w:fill="auto"/>
          <w:lang w:val="hr-HR" w:eastAsia="hr-HR" w:bidi="hr-HR"/>
        </w:rPr>
        <w:t>cilj</w:t>
      </w:r>
      <w:r>
        <w:rPr>
          <w:rFonts w:ascii="Times New Roman" w:eastAsia="Times New Roman" w:hAnsi="Times New Roman" w:cs="Times New Roman"/>
          <w:color w:val="000000"/>
          <w:spacing w:val="0"/>
          <w:w w:val="100"/>
          <w:position w:val="0"/>
          <w:shd w:val="clear" w:color="auto" w:fill="auto"/>
          <w:lang w:val="hr-HR" w:eastAsia="hr-HR" w:bidi="hr-HR"/>
        </w:rPr>
        <w:t xml:space="preserve"> na izraelskom putu prema zakonu Božjem. Korahovski predstavnici života »du</w:t>
        <w:softHyphen/>
        <w:t>hovnosti« izjednačavaju put s ciljem: Izrael je svet, jer je Bog s njim; i budući da je narod svet, svi su pojedinci u njemu također sveti i ne trebaju to postati uvijek novom odlukom o tome što trebaju činiti ili propustiti.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»Neka bude takvih poput tebe, koji vrše volju Božju."</w:t>
      </w:r>
      <w:r>
        <w:rPr>
          <w:rFonts w:ascii="Times New Roman" w:eastAsia="Times New Roman" w:hAnsi="Times New Roman" w:cs="Times New Roman"/>
          <w:color w:val="000000"/>
          <w:spacing w:val="0"/>
          <w:w w:val="100"/>
          <w:position w:val="0"/>
          <w:shd w:val="clear" w:color="auto" w:fill="auto"/>
          <w:lang w:val="hr-HR" w:eastAsia="hr-HR" w:bidi="hr-HR"/>
        </w:rPr>
        <w:t xml:space="preserve"> Posve duhovno-duhovnički život ne smatra se legitimnim židovskim životnim pu</w:t>
        <w:softHyphen/>
        <w:t>tem. O jedinom poznatom učitelju iz razdob</w:t>
        <w:softHyphen/>
        <w:t xml:space="preserve">lja Mišne i Talmuda, koji je živio u potpunosti duhovno-asketski, sudi predaja: »A ti lijepo propovijedaš a ne postupaš lijepo« (b Jabmut 63b).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Asaj (II. stoljeće) ostao je iznimka; nije postao glavni lik. Značajno je da je nazi- rejac, koji se posebnim zavjetom obvezao na djelomičan asketski život na ograničeno vrije</w:t>
        <w:softHyphen/>
        <w:t xml:space="preserve">me (M </w:t>
      </w:r>
      <w:r>
        <w:rPr>
          <w:rFonts w:ascii="Times New Roman" w:eastAsia="Times New Roman" w:hAnsi="Times New Roman" w:cs="Times New Roman"/>
          <w:color w:val="000000"/>
          <w:spacing w:val="0"/>
          <w:w w:val="100"/>
          <w:position w:val="0"/>
          <w:shd w:val="clear" w:color="auto" w:fill="auto"/>
          <w:lang w:val="en-US" w:eastAsia="en-US" w:bidi="en-US"/>
        </w:rPr>
        <w:t xml:space="preserve">Nazir I-IX), </w:t>
      </w:r>
      <w:r>
        <w:rPr>
          <w:rFonts w:ascii="Times New Roman" w:eastAsia="Times New Roman" w:hAnsi="Times New Roman" w:cs="Times New Roman"/>
          <w:color w:val="000000"/>
          <w:spacing w:val="0"/>
          <w:w w:val="100"/>
          <w:position w:val="0"/>
          <w:shd w:val="clear" w:color="auto" w:fill="auto"/>
          <w:lang w:val="hr-HR" w:eastAsia="hr-HR" w:bidi="hr-HR"/>
        </w:rPr>
        <w:t>morao nakon isteka toga vremena prinijeti žrtvu naknadnicu koju će pri</w:t>
        <w:softHyphen/>
        <w:t>hvatiti svećenik u svetištu; tek time se oslobo</w:t>
        <w:softHyphen/>
        <w:t>dio svojeg obećanja (Br 6). Tradicijska litera</w:t>
        <w:softHyphen/>
        <w:t xml:space="preserve">tura spominje nadasve pobožnoga i učenog svećenika, </w:t>
      </w:r>
      <w:r>
        <w:rPr>
          <w:rFonts w:ascii="Times New Roman" w:eastAsia="Times New Roman" w:hAnsi="Times New Roman" w:cs="Times New Roman"/>
          <w:color w:val="000000"/>
          <w:spacing w:val="0"/>
          <w:w w:val="100"/>
          <w:position w:val="0"/>
          <w:shd w:val="clear" w:color="auto" w:fill="auto"/>
          <w:lang w:val="en-US" w:eastAsia="en-US" w:bidi="en-US"/>
        </w:rPr>
        <w:t xml:space="preserve">Simona </w:t>
      </w:r>
      <w:r>
        <w:rPr>
          <w:rFonts w:ascii="Times New Roman" w:eastAsia="Times New Roman" w:hAnsi="Times New Roman" w:cs="Times New Roman"/>
          <w:color w:val="000000"/>
          <w:spacing w:val="0"/>
          <w:w w:val="100"/>
          <w:position w:val="0"/>
          <w:shd w:val="clear" w:color="auto" w:fill="auto"/>
          <w:lang w:val="hr-HR" w:eastAsia="hr-HR" w:bidi="hr-HR"/>
        </w:rPr>
        <w:t>Pravednoga (oko 200). Vje</w:t>
        <w:softHyphen/>
        <w:t>rojatno je sam polagao nazirejski zavjet za jedan grijeh. Sve ima još veću težinu kad se on obraća mladiću, koji u sklonosti prema du</w:t>
        <w:softHyphen/>
        <w:t xml:space="preserve">hovnom životu vidi opasnost da će zalutati na </w:t>
      </w:r>
      <w:r>
        <w:rPr>
          <w:rFonts w:ascii="Times New Roman" w:eastAsia="Times New Roman" w:hAnsi="Times New Roman" w:cs="Times New Roman"/>
          <w:color w:val="000000"/>
          <w:spacing w:val="0"/>
          <w:w w:val="100"/>
          <w:position w:val="0"/>
          <w:shd w:val="clear" w:color="auto" w:fill="auto"/>
          <w:lang w:val="hr-HR" w:eastAsia="hr-HR" w:bidi="hr-HR"/>
        </w:rPr>
        <w:t>putu ljubavi prema drugima: »Pasao sam sto</w:t>
        <w:softHyphen/>
        <w:t>ku i otišao napuniti vjedro vodom. Tada sam na vodi vidio svoj odraz, i moj zao nagon silno se pobunio protiv mene i htio me satrti. Tada mu se obratih: Ti, bezbožničc, silno se uzbu</w:t>
        <w:softHyphen/>
        <w:t>đuješ zbog nečega što nije tvoje; stoga se za</w:t>
        <w:softHyphen/>
        <w:t xml:space="preserve">vjetujem da ću tebe (kovrčavu kosu koja pobuđuje tašto samoljublje) posvetiti nebu ( = Bogu). I ja (Šimon Pravedni)... rekoh mu: Sine moj, neka bude mnogo takvih u Izraelu poput tebe, koji vrše volju Božju!« (j Nedarim I,36d, usp. b 9b; </w:t>
      </w:r>
      <w:r>
        <w:rPr>
          <w:rFonts w:ascii="Times New Roman" w:eastAsia="Times New Roman" w:hAnsi="Times New Roman" w:cs="Times New Roman"/>
          <w:color w:val="000000"/>
          <w:spacing w:val="0"/>
          <w:w w:val="100"/>
          <w:position w:val="0"/>
          <w:shd w:val="clear" w:color="auto" w:fill="auto"/>
          <w:lang w:val="en-US" w:eastAsia="en-US" w:bidi="en-US"/>
        </w:rPr>
        <w:t xml:space="preserve">Nazir </w:t>
      </w:r>
      <w:r>
        <w:rPr>
          <w:rFonts w:ascii="Times New Roman" w:eastAsia="Times New Roman" w:hAnsi="Times New Roman" w:cs="Times New Roman"/>
          <w:color w:val="000000"/>
          <w:spacing w:val="0"/>
          <w:w w:val="100"/>
          <w:position w:val="0"/>
          <w:shd w:val="clear" w:color="auto" w:fill="auto"/>
          <w:lang w:val="hr-HR" w:eastAsia="hr-HR" w:bidi="hr-HR"/>
        </w:rPr>
        <w:t>4b; Bcmidbar raba X,6,2). Bog traži cijeloga čovjeka: »Dadneš li mi svoje srce i svoje oko, znam da mi pripa</w:t>
        <w:softHyphen/>
        <w:t xml:space="preserve">daš«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Berahot 1,3c; usp. b 5b; 30b; Savuot 15a; Menahot 110a; M XIII,11; Šifra </w:t>
      </w:r>
      <w:r>
        <w:rPr>
          <w:rFonts w:ascii="Times New Roman" w:eastAsia="Times New Roman" w:hAnsi="Times New Roman" w:cs="Times New Roman"/>
          <w:color w:val="000000"/>
          <w:spacing w:val="0"/>
          <w:w w:val="100"/>
          <w:position w:val="0"/>
          <w:shd w:val="clear" w:color="auto" w:fill="auto"/>
          <w:lang w:val="en-US" w:eastAsia="en-US" w:bidi="en-US"/>
        </w:rPr>
        <w:t>Lev</w:t>
      </w:r>
    </w:p>
    <w:p>
      <w:pPr>
        <w:pStyle w:val="Style20"/>
        <w:keepNext w:val="0"/>
        <w:keepLines w:val="0"/>
        <w:widowControl w:val="0"/>
        <w:numPr>
          <w:ilvl w:val="1"/>
          <w:numId w:val="105"/>
        </w:numPr>
        <w:shd w:val="clear" w:color="auto" w:fill="auto"/>
        <w:tabs>
          <w:tab w:pos="466"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No čistoća srca (Ps 51,12) ne smije biti jedini izraz pobožnosti; čovjek treba dokazati svoju ljubav prema Bogu svojim djelatnostima u svakodnevnom životu (b Joma 86a; Šifre Pnz 11,22). Zapovijedi su sredstva pomoću kojih se Bog sluša u svijetu (Pnz 10,12; 11,22;</w:t>
      </w:r>
    </w:p>
    <w:p>
      <w:pPr>
        <w:pStyle w:val="Style20"/>
        <w:keepNext w:val="0"/>
        <w:keepLines w:val="0"/>
        <w:widowControl w:val="0"/>
        <w:numPr>
          <w:ilvl w:val="0"/>
          <w:numId w:val="107"/>
        </w:numPr>
        <w:shd w:val="clear" w:color="auto" w:fill="auto"/>
        <w:tabs>
          <w:tab w:pos="534"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 ostvaruje Božja svetost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11,44 i d.; 19,2; 20,7, v. 26). </w:t>
      </w:r>
      <w:r>
        <w:rPr>
          <w:rFonts w:ascii="Times New Roman" w:eastAsia="Times New Roman" w:hAnsi="Times New Roman" w:cs="Times New Roman"/>
          <w:color w:val="000000"/>
          <w:spacing w:val="0"/>
          <w:w w:val="100"/>
          <w:position w:val="0"/>
          <w:shd w:val="clear" w:color="auto" w:fill="auto"/>
          <w:lang w:val="en-US" w:eastAsia="en-US" w:bidi="en-US"/>
        </w:rPr>
        <w:t xml:space="preserve">Abraham Joshua Heschel </w:t>
      </w:r>
      <w:r>
        <w:rPr>
          <w:rFonts w:ascii="Times New Roman" w:eastAsia="Times New Roman" w:hAnsi="Times New Roman" w:cs="Times New Roman"/>
          <w:color w:val="000000"/>
          <w:spacing w:val="0"/>
          <w:w w:val="100"/>
          <w:position w:val="0"/>
          <w:shd w:val="clear" w:color="auto" w:fill="auto"/>
          <w:lang w:val="hr-HR" w:eastAsia="hr-HR" w:bidi="hr-HR"/>
        </w:rPr>
        <w:t>(1907-1972): »Religija nije isto što i d.; ono što čovjek čini u svojoj konkretnoj fizičkoj eg</w:t>
        <w:softHyphen/>
        <w:t xml:space="preserve">zistenciji, za Boga je neposredno važno. D. je čovjekov cilj, a ne put«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(God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Search of Man, </w:t>
      </w:r>
      <w:r>
        <w:rPr>
          <w:rFonts w:ascii="Times New Roman" w:eastAsia="Times New Roman" w:hAnsi="Times New Roman" w:cs="Times New Roman"/>
          <w:color w:val="000000"/>
          <w:spacing w:val="0"/>
          <w:w w:val="100"/>
          <w:position w:val="0"/>
          <w:shd w:val="clear" w:color="auto" w:fill="auto"/>
          <w:lang w:val="en-US" w:eastAsia="en-US" w:bidi="en-US"/>
        </w:rPr>
        <w:t xml:space="preserve">1955, </w:t>
      </w:r>
      <w:r>
        <w:rPr>
          <w:rFonts w:ascii="Times New Roman" w:eastAsia="Times New Roman" w:hAnsi="Times New Roman" w:cs="Times New Roman"/>
          <w:color w:val="000000"/>
          <w:spacing w:val="0"/>
          <w:w w:val="100"/>
          <w:position w:val="0"/>
          <w:shd w:val="clear" w:color="auto" w:fill="auto"/>
          <w:lang w:val="hr-HR" w:eastAsia="hr-HR" w:bidi="hr-HR"/>
        </w:rPr>
        <w:t xml:space="preserve">njem, prijevod: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Gottsucht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den Menschen, </w:t>
      </w:r>
      <w:r>
        <w:rPr>
          <w:rFonts w:ascii="Times New Roman" w:eastAsia="Times New Roman" w:hAnsi="Times New Roman" w:cs="Times New Roman"/>
          <w:color w:val="000000"/>
          <w:spacing w:val="0"/>
          <w:w w:val="100"/>
          <w:position w:val="0"/>
          <w:shd w:val="clear" w:color="auto" w:fill="auto"/>
          <w:lang w:val="en-US" w:eastAsia="en-US" w:bidi="en-US"/>
        </w:rPr>
        <w:t>1980, 230).</w:t>
      </w:r>
    </w:p>
    <w:p>
      <w:pPr>
        <w:pStyle w:val="Style56"/>
        <w:keepNext w:val="0"/>
        <w:keepLines w:val="0"/>
        <w:widowControl w:val="0"/>
        <w:shd w:val="clear" w:color="auto" w:fill="auto"/>
        <w:tabs>
          <w:tab w:pos="2352" w:val="left"/>
        </w:tabs>
        <w:bidi w:val="0"/>
        <w:spacing w:before="0" w:after="120" w:line="240" w:lineRule="auto"/>
        <w:ind w:left="0" w:right="0" w:firstLine="0"/>
        <w:jc w:val="both"/>
      </w:pPr>
      <w:r>
        <w:rPr>
          <w:color w:val="000000"/>
          <w:spacing w:val="0"/>
          <w:w w:val="100"/>
          <w:position w:val="0"/>
          <w:shd w:val="clear" w:color="auto" w:fill="auto"/>
        </w:rPr>
        <w:t xml:space="preserve">Lit.: G. Scholem, </w:t>
      </w:r>
      <w:r>
        <w:rPr>
          <w:i/>
          <w:iCs/>
          <w:color w:val="000000"/>
          <w:spacing w:val="0"/>
          <w:w w:val="100"/>
          <w:position w:val="0"/>
          <w:shd w:val="clear" w:color="auto" w:fill="auto"/>
        </w:rPr>
        <w:t>Die jddische Mystik in ihren Haupmirom- ungen,</w:t>
      </w:r>
      <w:r>
        <w:rPr>
          <w:color w:val="000000"/>
          <w:spacing w:val="0"/>
          <w:w w:val="100"/>
          <w:position w:val="0"/>
          <w:shd w:val="clear" w:color="auto" w:fill="auto"/>
        </w:rPr>
        <w:t xml:space="preserve"> 1957, 163 i d.;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197fi, 10, 637 i d.; 14,93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w:t>
        <w:tab/>
        <w:t>D- VLTfER</w:t>
      </w:r>
    </w:p>
    <w:p>
      <w:pPr>
        <w:pStyle w:val="Style63"/>
        <w:keepNext/>
        <w:keepLines/>
        <w:widowControl w:val="0"/>
        <w:numPr>
          <w:ilvl w:val="0"/>
          <w:numId w:val="105"/>
        </w:numPr>
        <w:shd w:val="clear" w:color="auto" w:fill="auto"/>
        <w:tabs>
          <w:tab w:pos="260" w:val="left"/>
        </w:tabs>
        <w:bidi w:val="0"/>
        <w:spacing w:before="0" w:line="223" w:lineRule="auto"/>
        <w:ind w:left="0" w:right="0" w:firstLine="0"/>
        <w:jc w:val="both"/>
      </w:pPr>
      <w:bookmarkStart w:id="81" w:name="bookmark81"/>
      <w:r>
        <w:rPr>
          <w:rFonts w:ascii="Times New Roman" w:eastAsia="Times New Roman" w:hAnsi="Times New Roman" w:cs="Times New Roman"/>
          <w:color w:val="000000"/>
          <w:spacing w:val="0"/>
          <w:w w:val="100"/>
          <w:position w:val="0"/>
          <w:shd w:val="clear" w:color="auto" w:fill="auto"/>
          <w:lang w:val="hr-HR" w:eastAsia="hr-HR" w:bidi="hr-HR"/>
        </w:rPr>
        <w:t>kršćanstvo</w:t>
      </w:r>
      <w:bookmarkEnd w:id="8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temelju mnogostrukih kriza sadašnje vre</w:t>
        <w:softHyphen/>
        <w:t>menske epohe (ekološka kriza, problematika mira) i antropološko-kozmološkog promišlja</w:t>
        <w:softHyphen/>
        <w:t>nja (npr. pokušaji cjelovitoga gledanja na čo</w:t>
        <w:softHyphen/>
        <w:t>vjeka i svijet) koje se često zahtijeva, pojam spiritualnosti dobiva aktualnu važnost. Tako npr. predstavnici - sve utjecajnijega - tako</w:t>
        <w:softHyphen/>
        <w:t xml:space="preserve">zvanog </w:t>
      </w:r>
      <w:r>
        <w:rPr>
          <w:rFonts w:ascii="Times New Roman" w:eastAsia="Times New Roman" w:hAnsi="Times New Roman" w:cs="Times New Roman"/>
          <w:color w:val="000000"/>
          <w:spacing w:val="0"/>
          <w:w w:val="100"/>
          <w:position w:val="0"/>
          <w:shd w:val="clear" w:color="auto" w:fill="auto"/>
          <w:lang w:val="en-US" w:eastAsia="en-US" w:bidi="en-US"/>
        </w:rPr>
        <w:t xml:space="preserve">»New </w:t>
      </w:r>
      <w:r>
        <w:rPr>
          <w:rFonts w:ascii="Times New Roman" w:eastAsia="Times New Roman" w:hAnsi="Times New Roman" w:cs="Times New Roman"/>
          <w:color w:val="000000"/>
          <w:spacing w:val="0"/>
          <w:w w:val="100"/>
          <w:position w:val="0"/>
          <w:shd w:val="clear" w:color="auto" w:fill="auto"/>
          <w:lang w:val="hr-HR" w:eastAsia="hr-HR" w:bidi="hr-HR"/>
        </w:rPr>
        <w:t>Age« pokreta govore čak o obli</w:t>
        <w:softHyphen/>
        <w:t xml:space="preserve">cima »ekološke« i »feminističke duhovnosti« (F. </w:t>
      </w:r>
      <w:r>
        <w:rPr>
          <w:rFonts w:ascii="Times New Roman" w:eastAsia="Times New Roman" w:hAnsi="Times New Roman" w:cs="Times New Roman"/>
          <w:color w:val="000000"/>
          <w:spacing w:val="0"/>
          <w:w w:val="100"/>
          <w:position w:val="0"/>
          <w:shd w:val="clear" w:color="auto" w:fill="auto"/>
          <w:lang w:val="en-US" w:eastAsia="en-US" w:bidi="en-US"/>
        </w:rPr>
        <w:t xml:space="preserve">Capra). </w:t>
      </w:r>
      <w:r>
        <w:rPr>
          <w:rFonts w:ascii="Times New Roman" w:eastAsia="Times New Roman" w:hAnsi="Times New Roman" w:cs="Times New Roman"/>
          <w:color w:val="000000"/>
          <w:spacing w:val="0"/>
          <w:w w:val="100"/>
          <w:position w:val="0"/>
          <w:shd w:val="clear" w:color="auto" w:fill="auto"/>
          <w:lang w:val="hr-HR" w:eastAsia="hr-HR" w:bidi="hr-HR"/>
        </w:rPr>
        <w:t>Zato je važna funkcija kršćanske duhovnosti (koju ovdje treba prikazati) da se sučeli s fenomenom aktualnoga nekršćanskog pokreta spiritualnosti kako bi se ovaj susreo s vjerodostojnim kršćanskim sadržajima.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Korijeni kršćanskog pojma spiritualnosti ute</w:t>
        <w:softHyphen/>
        <w:t xml:space="preserve">meljeni su u (osobito pavlovskim) spisima NZ. Novozavjetni pojam »pneuma« (spiritus, </w:t>
      </w:r>
      <w:r>
        <w:rPr>
          <w:rFonts w:ascii="Times New Roman" w:eastAsia="Times New Roman" w:hAnsi="Times New Roman" w:cs="Times New Roman"/>
          <w:color w:val="000000"/>
          <w:spacing w:val="0"/>
          <w:w w:val="100"/>
          <w:position w:val="0"/>
          <w:shd w:val="clear" w:color="auto" w:fill="auto"/>
          <w:lang w:val="en-US" w:eastAsia="en-US" w:bidi="en-US"/>
        </w:rPr>
        <w:t xml:space="preserve">Geist) </w:t>
      </w:r>
      <w:r>
        <w:rPr>
          <w:rFonts w:ascii="Times New Roman" w:eastAsia="Times New Roman" w:hAnsi="Times New Roman" w:cs="Times New Roman"/>
          <w:color w:val="000000"/>
          <w:spacing w:val="0"/>
          <w:w w:val="100"/>
          <w:position w:val="0"/>
          <w:shd w:val="clear" w:color="auto" w:fill="auto"/>
          <w:lang w:val="hr-HR" w:eastAsia="hr-HR" w:bidi="hr-HR"/>
        </w:rPr>
        <w:t>koji se (djelomično odnosi na starozavjetni iz</w:t>
        <w:softHyphen/>
        <w:t>raz »ruah Jahve«), Pavao vidi kao najvažniji temelj kršćanske vjere i životne prakse koja iz nje proizlazi. On čak izjednačuje uskrsloga Krista s Duhom (2 Kor 3,17). Samo »duhov</w:t>
        <w:softHyphen/>
        <w:t>ni« (pneumatikos, spiritualis) način života pred</w:t>
        <w:softHyphen/>
        <w:t>stavlja adekvatan oblik krščaninova bitka. Sa</w:t>
        <w:softHyphen/>
        <w:t>mo u Pracrkvi posvjedočen Duh temelj je i posrednik vjere (1 Kor 10 i d.); samo on omo</w:t>
        <w:softHyphen/>
        <w:t>gućuje (pneumatsku) povezanost uz uzdignu</w:t>
        <w:softHyphen/>
        <w:t>toga Gospodina (1 Kor 6,17); on oslobađa »si</w:t>
        <w:softHyphen/>
        <w:t>nove Božje« u proslavljene »Kristove subašti- nike« (Rim 8,14 i d.); on ozakonjuje i pove</w:t>
        <w:softHyphen/>
        <w:t>zuje specifične karizme i tako pridonosi kao dinamični element živahnosti kršćanske za</w:t>
        <w:softHyphen/>
        <w:t>jednice (1 Kor 12,1-13,13). Isto tako npr. I.k razumije stvarnost Duha kao Kristovu spa- senjsku prisutnost koja utemeljuje Crkvu (Lk 24,49; Dj 2,33), gdje naprotiv Iv naglašava spasenjsku snagu Duha koja daje život.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Ovaj duhovno-pneumatski usmjeren kršćan</w:t>
        <w:softHyphen/>
        <w:t>ski način života koji nagoviješta NZ pokazuje se u fazi patristike (»spiritualnost otaca«). Grčki i latinski oci shvaćali su se kao svjedoci kako kršćanskog učenja tako i kršćanskog ži</w:t>
        <w:softHyphen/>
        <w:t>vota. Njihovi zapisi, obilježeni duhom mistike, sastoje se najviše iz spleta liturgijskih, kate</w:t>
        <w:softHyphen/>
        <w:t>hetskih, moralno-teoloških i dogmatskih ele</w:t>
        <w:softHyphen/>
        <w:t>menata koji su međusobno povezani svojim zajedničkim duhovnim elementom. Daljnja nakana otačke spiritualnosti predstavlja nji</w:t>
        <w:softHyphen/>
        <w:t>hovu kritiku (često pojačano izraženu u radi</w:t>
        <w:softHyphen/>
        <w:t>kalnoj monaškoj askezi) sve većeg »posvjetov- ljenja« konkretne Crkve (nakon tzv. konstan- tinovskog preokreta). Prema tomu, posljedica žive spiritualnosti je kritika koja izaziva po</w:t>
        <w:softHyphen/>
        <w:t>zitivne promjene u Crkvi koja zna da više nije isključivo obvezatna Božjem duhu. Taj kon</w:t>
        <w:softHyphen/>
        <w:t>struktivno kritički spiritualni element može se isto tako zapaziti u monastičkom reformnom pokretu srednjega vijeka ili na radikalnoj praksi nasljedovanja Franje Asiškoga. U su</w:t>
        <w:softHyphen/>
        <w:t>protnosti s istočnocrkvenom tradicijom za- padnocrkvena skolastika razlikuje (teoretsku) teologiju od spiritualne prakse i tako se spiri</w:t>
        <w:softHyphen/>
        <w:t xml:space="preserve">tualnost izolirala u sužen individualistički stav pobožnosti. Tek sadašnja (osobito izvaneu- ropska) teologija pokušava ukinuti ovo (ne- biblijsko) dijeljenje između teološkog učenja, kršćanske prakse nasljedovanja i spiritualnosti. Biblijski posvjedočen pojam »pneumatikos«, osobito u svom neološkom latinskom obliku </w:t>
      </w:r>
      <w:r>
        <w:rPr>
          <w:rFonts w:ascii="Times New Roman" w:eastAsia="Times New Roman" w:hAnsi="Times New Roman" w:cs="Times New Roman"/>
          <w:color w:val="000000"/>
          <w:spacing w:val="0"/>
          <w:w w:val="100"/>
          <w:position w:val="0"/>
          <w:shd w:val="clear" w:color="auto" w:fill="auto"/>
          <w:lang w:val="hr-HR" w:eastAsia="hr-HR" w:bidi="hr-HR"/>
        </w:rPr>
        <w:t>»spiritualis« vrijedio je do novoga doba kao »distinktivan pridjev kršćanskog iskustva« (Sudbrack). Tek u XVII. stoljeću dobiva na važnosti stvaranje imenice »spiritualitas« u zna</w:t>
        <w:softHyphen/>
        <w:t>čenju osobno-pobožnog odnosa prema Bogu - s početkom u Francuskoj (spiritualite); na</w:t>
        <w:softHyphen/>
        <w:t>kon Drugoga svjetskog rata jednako se tako sve više primjenjuje na njemačkom jezičnom području pojam »spiritualnost« (također i s nekršćanskom nakanom).</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svakom slučaju krivo shvaćena, preusko uzimana spiritualnost krije u sebi opasnost pogrešnih razvoja. Već je Pavao upozoravao korintsku zajednicu na krivo, odveć oduševlje</w:t>
        <w:softHyphen/>
        <w:t>no shvaćanje karizmi (prije svega problema</w:t>
        <w:softHyphen/>
        <w:t>tizirao je pojavu glosolalije koja je prečesto nastupala, a teološki nije bila dostatno pro</w:t>
        <w:softHyphen/>
        <w:t>mišljena). Često obuzeta enkratističkim crta</w:t>
        <w:softHyphen/>
        <w:t>ma, ekstatički obilježena spiritualnost bila je već u prvim stoljećima mlade Crkve povod žestokih sučeljavanja. Takvo ekstatičko odu</w:t>
        <w:softHyphen/>
        <w:t>ševljenje izazvalo je kao reakciju pogrešan razvoj enstatičke spiritualnosti. Numinozno bi sada trebalo biti otkriveno bijegom u vlastitu unutarnjost. Također je postojala opasnost is</w:t>
        <w:softHyphen/>
        <w:t>ključivo subjektivističkog intelektualističkoga gnostičkog duhovnog stava (npr. učenje Eva- grija Pontskog). Ispravljanje takvih krivo vo</w:t>
        <w:softHyphen/>
        <w:t>đenih oblika spiritualnosti (koji se u crkvenoj povijesti uvijek iznova javljaju) mora se zato gledati kao prirodna zadaća crkvenog učitelj- stva (oslonjenog na Sveto pismo i tradiciju). Svijest o autentično življenom spiritualnom temeljnom stavu kršćanina olakšava isto tako i ekumenski dijalog. Meditativno razmatranje uz molitvu predstavlja konačan temelj unu- tarkršćanske teološke diskusije. Pa ipak, u di</w:t>
        <w:softHyphen/>
        <w:t>jalogu s nekršćanskim religijama može pozi</w:t>
        <w:softHyphen/>
        <w:t>vanje na dotična religijska (ali teološki pro</w:t>
        <w:softHyphen/>
        <w:t>mišljena) temeljna iskustva biti od pomoći pogotovo s obzirom na razlikovanje između stvarne religioznosti i nepravc magiji slične spiritualnosti (destruktivni obredi, religije mla</w:t>
        <w:softHyphen/>
        <w:t>deži i si.) U sažetku se kršćanska d. dade opi</w:t>
        <w:softHyphen/>
        <w:t>sati kao cjelovito čovjekovo vjersko ispunjava</w:t>
        <w:softHyphen/>
        <w:t>nje koje reagira na iskustvo Božje spasenjske stvarnosti. Božja se realnost artikulira u sus</w:t>
        <w:softHyphen/>
        <w:t>retu s »bližnjim« (koji traži pomoć) (Mt 25,35 i d.); u čovjekovoj nutrini koja se može medi</w:t>
        <w:softHyphen/>
        <w:t>tativno iskusiti (duh »uzdiše« u ljudskom srcu [Rim 8,26]); no, prije svega u riječi pisma i u sakramentu Crkve, osobito u zajednici s Kris</w:t>
        <w:softHyphen/>
      </w:r>
      <w:r>
        <w:rPr>
          <w:rFonts w:ascii="Times New Roman" w:eastAsia="Times New Roman" w:hAnsi="Times New Roman" w:cs="Times New Roman"/>
          <w:color w:val="000000"/>
          <w:spacing w:val="0"/>
          <w:w w:val="100"/>
          <w:position w:val="0"/>
          <w:shd w:val="clear" w:color="auto" w:fill="auto"/>
          <w:lang w:val="hr-HR" w:eastAsia="hr-HR" w:bidi="hr-HR"/>
        </w:rPr>
        <w:t>tom i u euharistijskom zajedništvu Gospodnje večere koja međusobno povezuje. Valja po</w:t>
        <w:softHyphen/>
        <w:t>novno otkriti izvornu spiritualnu kršćansku vjersku i životnu praksu i tako ukinuti u isklju</w:t>
        <w:softHyphen/>
        <w:t>čivo teoretskoj teologiji nebiblijsko razlikova</w:t>
        <w:softHyphen/>
        <w:t>nje između djelatne ljubavi prema bližnjem i samo individualne pobožnosti. Kršćanski ži</w:t>
        <w:softHyphen/>
        <w:t>vot koji nastaje iz Duha i po Duhu (u molitvi i u činu) dobiva spiritualnu autentičnost (pre</w:t>
        <w:softHyphen/>
        <w:t>ma benediktinskoj uputi »ora et labora«) sa</w:t>
        <w:softHyphen/>
        <w:t>mo kao »političko-mistična dvostruka struk</w:t>
        <w:softHyphen/>
        <w:t xml:space="preserve">tura« (Mctz), samo u povezanosti ljubavi prema Bogu i ljubavi prema bližnjem (Ml 22,34-40; Mk 12,28-31; Lk 10,25-28). Utoliko je (osobito u Latinskoj Americi istaknut) izraz »spiritualnost oslobođenja« </w:t>
      </w:r>
      <w:r>
        <w:rPr>
          <w:rFonts w:ascii="Times New Roman" w:eastAsia="Times New Roman" w:hAnsi="Times New Roman" w:cs="Times New Roman"/>
          <w:color w:val="000000"/>
          <w:spacing w:val="0"/>
          <w:w w:val="100"/>
          <w:position w:val="0"/>
          <w:shd w:val="clear" w:color="auto" w:fill="auto"/>
          <w:lang w:val="en-US" w:eastAsia="en-US" w:bidi="en-US"/>
        </w:rPr>
        <w:t xml:space="preserve">(Gutierrez) </w:t>
      </w:r>
      <w:r>
        <w:rPr>
          <w:rFonts w:ascii="Times New Roman" w:eastAsia="Times New Roman" w:hAnsi="Times New Roman" w:cs="Times New Roman"/>
          <w:color w:val="000000"/>
          <w:spacing w:val="0"/>
          <w:w w:val="100"/>
          <w:position w:val="0"/>
          <w:shd w:val="clear" w:color="auto" w:fill="auto"/>
          <w:lang w:val="hr-HR" w:eastAsia="hr-HR" w:bidi="hr-HR"/>
        </w:rPr>
        <w:t>teo</w:t>
        <w:softHyphen/>
        <w:t>loški legitiman, jer Duh Gospodnji omoguću</w:t>
        <w:softHyphen/>
        <w:t>je slobodu (2 Kor 3,17).</w:t>
      </w:r>
    </w:p>
    <w:p>
      <w:pPr>
        <w:pStyle w:val="Style56"/>
        <w:keepNext w:val="0"/>
        <w:keepLines w:val="0"/>
        <w:widowControl w:val="0"/>
        <w:shd w:val="clear" w:color="auto" w:fill="auto"/>
        <w:tabs>
          <w:tab w:pos="2520" w:val="left"/>
        </w:tabs>
        <w:bidi w:val="0"/>
        <w:spacing w:before="0" w:after="1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Urs </w:t>
      </w:r>
      <w:r>
        <w:rPr>
          <w:color w:val="000000"/>
          <w:spacing w:val="0"/>
          <w:w w:val="100"/>
          <w:position w:val="0"/>
          <w:shd w:val="clear" w:color="auto" w:fill="auto"/>
          <w:lang w:val="hr-HR" w:eastAsia="hr-HR" w:bidi="hr-HR"/>
        </w:rPr>
        <w:t xml:space="preserve">v. </w:t>
      </w:r>
      <w:r>
        <w:rPr>
          <w:color w:val="000000"/>
          <w:spacing w:val="0"/>
          <w:w w:val="100"/>
          <w:position w:val="0"/>
          <w:shd w:val="clear" w:color="auto" w:fill="auto"/>
        </w:rPr>
        <w:t xml:space="preserve">Balthasar, </w:t>
      </w:r>
      <w:r>
        <w:rPr>
          <w:i/>
          <w:iCs/>
          <w:color w:val="000000"/>
          <w:spacing w:val="0"/>
          <w:w w:val="100"/>
          <w:position w:val="0"/>
          <w:shd w:val="clear" w:color="auto" w:fill="auto"/>
          <w:lang w:val="hr-HR" w:eastAsia="hr-HR" w:bidi="hr-HR"/>
        </w:rPr>
        <w:t xml:space="preserve">Spiritus </w:t>
      </w:r>
      <w:r>
        <w:rPr>
          <w:i/>
          <w:iCs/>
          <w:color w:val="000000"/>
          <w:spacing w:val="0"/>
          <w:w w:val="100"/>
          <w:position w:val="0"/>
          <w:shd w:val="clear" w:color="auto" w:fill="auto"/>
        </w:rPr>
        <w:t xml:space="preserve">Creator. Skizzen </w:t>
      </w:r>
      <w:r>
        <w:rPr>
          <w:i/>
          <w:iCs/>
          <w:color w:val="000000"/>
          <w:spacing w:val="0"/>
          <w:w w:val="100"/>
          <w:position w:val="0"/>
          <w:shd w:val="clear" w:color="auto" w:fill="auto"/>
          <w:lang w:val="hr-HR" w:eastAsia="hr-HR" w:bidi="hr-HR"/>
        </w:rPr>
        <w:t xml:space="preserve">zur </w:t>
      </w:r>
      <w:r>
        <w:rPr>
          <w:i/>
          <w:iCs/>
          <w:color w:val="000000"/>
          <w:spacing w:val="0"/>
          <w:w w:val="100"/>
          <w:position w:val="0"/>
          <w:shd w:val="clear" w:color="auto" w:fill="auto"/>
        </w:rPr>
        <w:t>Theo</w:t>
        <w:softHyphen/>
        <w:t>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Đd. ii, Einsiedeln 1967; Y. Congar, </w:t>
      </w:r>
      <w:r>
        <w:rPr>
          <w:i/>
          <w:iCs/>
          <w:color w:val="000000"/>
          <w:spacing w:val="0"/>
          <w:w w:val="100"/>
          <w:position w:val="0"/>
          <w:shd w:val="clear" w:color="auto" w:fill="auto"/>
          <w:lang w:val="hr-HR" w:eastAsia="hr-HR" w:bidi="hr-HR"/>
        </w:rPr>
        <w:t xml:space="preserve">Der Heilige Geisi,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1982; K. </w:t>
      </w:r>
      <w:r>
        <w:rPr>
          <w:color w:val="000000"/>
          <w:spacing w:val="0"/>
          <w:w w:val="100"/>
          <w:position w:val="0"/>
          <w:shd w:val="clear" w:color="auto" w:fill="auto"/>
        </w:rPr>
        <w:t xml:space="preserve">Rahner, </w:t>
      </w:r>
      <w:r>
        <w:rPr>
          <w:i/>
          <w:iCs/>
          <w:color w:val="000000"/>
          <w:spacing w:val="0"/>
          <w:w w:val="100"/>
          <w:position w:val="0"/>
          <w:shd w:val="clear" w:color="auto" w:fill="auto"/>
        </w:rPr>
        <w:t xml:space="preserve">Praxis des </w:t>
      </w:r>
      <w:r>
        <w:rPr>
          <w:i/>
          <w:iCs/>
          <w:color w:val="000000"/>
          <w:spacing w:val="0"/>
          <w:w w:val="100"/>
          <w:position w:val="0"/>
          <w:shd w:val="clear" w:color="auto" w:fill="auto"/>
          <w:lang w:val="hr-HR" w:eastAsia="hr-HR" w:bidi="hr-HR"/>
        </w:rPr>
        <w:t xml:space="preserve">Glaubens. </w:t>
      </w:r>
      <w:r>
        <w:rPr>
          <w:i/>
          <w:iCs/>
          <w:color w:val="000000"/>
          <w:spacing w:val="0"/>
          <w:w w:val="100"/>
          <w:position w:val="0"/>
          <w:shd w:val="clear" w:color="auto" w:fill="auto"/>
        </w:rPr>
        <w:t xml:space="preserve">Geistliches </w:t>
      </w:r>
      <w:r>
        <w:rPr>
          <w:i/>
          <w:iCs/>
          <w:color w:val="000000"/>
          <w:spacing w:val="0"/>
          <w:w w:val="100"/>
          <w:position w:val="0"/>
          <w:shd w:val="clear" w:color="auto" w:fill="auto"/>
          <w:lang w:val="hr-HR" w:eastAsia="hr-HR" w:bidi="hr-HR"/>
        </w:rPr>
        <w:t>Lesehuch,</w:t>
      </w:r>
      <w:r>
        <w:rPr>
          <w:color w:val="000000"/>
          <w:spacing w:val="0"/>
          <w:w w:val="100"/>
          <w:position w:val="0"/>
          <w:shd w:val="clear" w:color="auto" w:fill="auto"/>
          <w:lang w:val="hr-HR" w:eastAsia="hr-HR" w:bidi="hr-HR"/>
        </w:rPr>
        <w:t xml:space="preserve"> Zurich/'Frciburg 1982; A. Rotzcttcr, </w:t>
      </w:r>
      <w:r>
        <w:rPr>
          <w:i/>
          <w:iCs/>
          <w:color w:val="000000"/>
          <w:spacing w:val="0"/>
          <w:w w:val="100"/>
          <w:position w:val="0"/>
          <w:shd w:val="clear" w:color="auto" w:fill="auto"/>
          <w:lang w:val="hr-HR" w:eastAsia="hr-HR" w:bidi="hr-HR"/>
        </w:rPr>
        <w:t xml:space="preserve">Geisi und </w:t>
      </w:r>
      <w:r>
        <w:rPr>
          <w:i/>
          <w:iCs/>
          <w:color w:val="000000"/>
          <w:spacing w:val="0"/>
          <w:w w:val="100"/>
          <w:position w:val="0"/>
          <w:shd w:val="clear" w:color="auto" w:fill="auto"/>
        </w:rPr>
        <w:t>Well,</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Zurich/Einsicdcln/Koln 1981; </w:t>
      </w:r>
      <w:r>
        <w:rPr>
          <w:color w:val="000000"/>
          <w:spacing w:val="0"/>
          <w:w w:val="100"/>
          <w:position w:val="0"/>
          <w:shd w:val="clear" w:color="auto" w:fill="auto"/>
        </w:rPr>
        <w:t xml:space="preserve">J. Sudbrack, </w:t>
      </w:r>
      <w:r>
        <w:rPr>
          <w:i/>
          <w:iCs/>
          <w:color w:val="000000"/>
          <w:spacing w:val="0"/>
          <w:w w:val="100"/>
          <w:position w:val="0"/>
          <w:shd w:val="clear" w:color="auto" w:fill="auto"/>
        </w:rPr>
        <w:t xml:space="preserve">Diensi am </w:t>
      </w:r>
      <w:r>
        <w:rPr>
          <w:i/>
          <w:iCs/>
          <w:color w:val="000000"/>
          <w:spacing w:val="0"/>
          <w:w w:val="100"/>
          <w:position w:val="0"/>
          <w:shd w:val="clear" w:color="auto" w:fill="auto"/>
          <w:lang w:val="hr-HR" w:eastAsia="hr-HR" w:bidi="hr-HR"/>
        </w:rPr>
        <w:t>geisilichen Leben,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Mainz </w:t>
      </w:r>
      <w:r>
        <w:rPr>
          <w:color w:val="000000"/>
          <w:spacing w:val="0"/>
          <w:w w:val="100"/>
          <w:position w:val="0"/>
          <w:shd w:val="clear" w:color="auto" w:fill="auto"/>
          <w:lang w:val="hr-HR" w:eastAsia="hr-HR" w:bidi="hr-HR"/>
        </w:rPr>
        <w:t xml:space="preserve">1971; isti, </w:t>
      </w:r>
      <w:r>
        <w:rPr>
          <w:i/>
          <w:iCs/>
          <w:color w:val="000000"/>
          <w:spacing w:val="0"/>
          <w:w w:val="100"/>
          <w:position w:val="0"/>
          <w:shd w:val="clear" w:color="auto" w:fill="auto"/>
        </w:rPr>
        <w:t xml:space="preserve">Wege </w:t>
      </w:r>
      <w:r>
        <w:rPr>
          <w:i/>
          <w:iCs/>
          <w:color w:val="000000"/>
          <w:spacing w:val="0"/>
          <w:w w:val="100"/>
          <w:position w:val="0"/>
          <w:shd w:val="clear" w:color="auto" w:fill="auto"/>
          <w:lang w:val="hr-HR" w:eastAsia="hr-HR" w:bidi="hr-HR"/>
        </w:rPr>
        <w:t xml:space="preserve">zur </w:t>
      </w:r>
      <w:r>
        <w:rPr>
          <w:i/>
          <w:iCs/>
          <w:color w:val="000000"/>
          <w:spacing w:val="0"/>
          <w:w w:val="100"/>
          <w:position w:val="0"/>
          <w:shd w:val="clear" w:color="auto" w:fill="auto"/>
        </w:rPr>
        <w:t xml:space="preserve">Gottesmystik, </w:t>
      </w:r>
      <w:r>
        <w:rPr>
          <w:color w:val="000000"/>
          <w:spacing w:val="0"/>
          <w:w w:val="100"/>
          <w:position w:val="0"/>
          <w:shd w:val="clear" w:color="auto" w:fill="auto"/>
          <w:lang w:val="hr-HR" w:eastAsia="hr-HR" w:bidi="hr-HR"/>
        </w:rPr>
        <w:t xml:space="preserve">Einsicdeln 1980; isti, </w:t>
      </w:r>
      <w:r>
        <w:rPr>
          <w:i/>
          <w:iCs/>
          <w:color w:val="000000"/>
          <w:spacing w:val="0"/>
          <w:w w:val="100"/>
          <w:position w:val="0"/>
          <w:shd w:val="clear" w:color="auto" w:fill="auto"/>
          <w:lang w:val="hr-HR" w:eastAsia="hr-HR" w:bidi="hr-HR"/>
        </w:rPr>
        <w:t xml:space="preserve">Auf Goti hin ausgespannt, Der Weg des Medi </w:t>
      </w:r>
      <w:r>
        <w:rPr>
          <w:i/>
          <w:iCs/>
          <w:color w:val="000000"/>
          <w:spacing w:val="0"/>
          <w:w w:val="100"/>
          <w:position w:val="0"/>
          <w:shd w:val="clear" w:color="auto" w:fill="auto"/>
        </w:rPr>
        <w:t>tie runs,</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1983.</w:t>
        <w:tab/>
        <w:t xml:space="preserve">E. </w:t>
      </w:r>
      <w:r>
        <w:rPr>
          <w:color w:val="000000"/>
          <w:spacing w:val="0"/>
          <w:w w:val="100"/>
          <w:position w:val="0"/>
          <w:shd w:val="clear" w:color="auto" w:fill="auto"/>
        </w:rPr>
        <w:t>HEYEN</w:t>
      </w:r>
    </w:p>
    <w:p>
      <w:pPr>
        <w:pStyle w:val="Style63"/>
        <w:keepNext/>
        <w:keepLines/>
        <w:widowControl w:val="0"/>
        <w:numPr>
          <w:ilvl w:val="0"/>
          <w:numId w:val="105"/>
        </w:numPr>
        <w:shd w:val="clear" w:color="auto" w:fill="auto"/>
        <w:tabs>
          <w:tab w:pos="265" w:val="left"/>
        </w:tabs>
        <w:bidi w:val="0"/>
        <w:spacing w:before="0" w:line="216" w:lineRule="auto"/>
        <w:ind w:left="0" w:right="0" w:firstLine="0"/>
        <w:jc w:val="both"/>
      </w:pPr>
      <w:bookmarkStart w:id="82" w:name="bookmark82"/>
      <w:r>
        <w:rPr>
          <w:rFonts w:ascii="Times New Roman" w:eastAsia="Times New Roman" w:hAnsi="Times New Roman" w:cs="Times New Roman"/>
          <w:color w:val="000000"/>
          <w:spacing w:val="0"/>
          <w:w w:val="100"/>
          <w:position w:val="0"/>
          <w:shd w:val="clear" w:color="auto" w:fill="auto"/>
          <w:lang w:val="hr-HR" w:eastAsia="hr-HR" w:bidi="hr-HR"/>
        </w:rPr>
        <w:t>islamski</w:t>
      </w:r>
      <w:bookmarkEnd w:id="82"/>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 koji je usko navezan na tradiciju poka</w:t>
        <w:softHyphen/>
        <w:t>zuje malo otvorenosti prema duhovnosti. Sto</w:t>
        <w:softHyphen/>
        <w:t>ga ga kao takvoga nemuslimanski svijet doživ</w:t>
        <w:softHyphen/>
        <w:t xml:space="preserve">ljava kao krutu religiju zakona. </w:t>
      </w:r>
      <w:r>
        <w:rPr>
          <w:rFonts w:ascii="Times New Roman" w:eastAsia="Times New Roman" w:hAnsi="Times New Roman" w:cs="Times New Roman"/>
          <w:color w:val="000000"/>
          <w:spacing w:val="0"/>
          <w:w w:val="100"/>
          <w:position w:val="0"/>
          <w:shd w:val="clear" w:color="auto" w:fill="auto"/>
          <w:lang w:val="en-US" w:eastAsia="en-US" w:bidi="en-US"/>
        </w:rPr>
        <w:t xml:space="preserve">Sayyid Amir </w:t>
      </w:r>
      <w:r>
        <w:rPr>
          <w:rFonts w:ascii="Times New Roman" w:eastAsia="Times New Roman" w:hAnsi="Times New Roman" w:cs="Times New Roman"/>
          <w:color w:val="000000"/>
          <w:spacing w:val="0"/>
          <w:w w:val="100"/>
          <w:position w:val="0"/>
          <w:shd w:val="clear" w:color="auto" w:fill="auto"/>
          <w:lang w:val="hr-HR" w:eastAsia="hr-HR" w:bidi="hr-HR"/>
        </w:rPr>
        <w:t>(u. 1928), indijski mislitelj, s nesmanjenom se revnošću borio početkom XX. stoljeća za ob</w:t>
        <w:softHyphen/>
        <w:t>novu duha islamske tradicije i za njegovo introniziranje u suvremenoj pobožnosti. »Oni koji ne poznaju povijesnu uvezanost nekih ku- ranskih propisa«, žalio se on, »vjeruju da ti propisi zbog svoje strogosti i zbog svoje ne</w:t>
        <w:softHyphen/>
        <w:t>spojivosti sa suvremenim načinom mišljenja isključuju islam iz svakoga zahtjeva za univer</w:t>
        <w:softHyphen/>
        <w:t>zalnošću... No, pretpostaviti da je jedan čo</w:t>
        <w:softHyphen/>
        <w:t>vjek (Muhamed), koji je naučavao da univer</w:t>
        <w:softHyphen/>
        <w:t>zumom vladaju i upravljaju zakon i red, ... ikada mislio da propisi, koji su potaknuti pro</w:t>
        <w:softHyphen/>
        <w:t>laznim razvojem jednoga poluciviliziranog na</w:t>
        <w:softHyphen/>
        <w:t>roda, trebaju do kraja svijeta ostati nepromi</w:t>
        <w:softHyphen/>
        <w:t>jenjenim, to znači učiniti nepravdu navjesti</w:t>
        <w:softHyphen/>
        <w:t xml:space="preserve">telju islama« (te su misli izložene u njegovom glavnom djelu </w:t>
      </w:r>
      <w:r>
        <w:rPr>
          <w:rFonts w:ascii="Times New Roman" w:eastAsia="Times New Roman" w:hAnsi="Times New Roman" w:cs="Times New Roman"/>
          <w:i/>
          <w:iCs/>
          <w:color w:val="000000"/>
          <w:spacing w:val="0"/>
          <w:w w:val="100"/>
          <w:position w:val="0"/>
          <w:shd w:val="clear" w:color="auto" w:fill="auto"/>
          <w:lang w:val="en-US" w:eastAsia="en-US" w:bidi="en-US"/>
        </w:rPr>
        <w:t xml:space="preserve">The Spirit of </w:t>
      </w:r>
      <w:r>
        <w:rPr>
          <w:rFonts w:ascii="Times New Roman" w:eastAsia="Times New Roman" w:hAnsi="Times New Roman" w:cs="Times New Roman"/>
          <w:i/>
          <w:iCs/>
          <w:color w:val="000000"/>
          <w:spacing w:val="0"/>
          <w:w w:val="100"/>
          <w:position w:val="0"/>
          <w:shd w:val="clear" w:color="auto" w:fill="auto"/>
          <w:lang w:val="hr-HR" w:eastAsia="hr-HR" w:bidi="hr-HR"/>
        </w:rPr>
        <w:t>Islam</w:t>
      </w:r>
      <w:r>
        <w:rPr>
          <w:rFonts w:ascii="Times New Roman" w:eastAsia="Times New Roman" w:hAnsi="Times New Roman" w:cs="Times New Roman"/>
          <w:color w:val="000000"/>
          <w:spacing w:val="0"/>
          <w:w w:val="100"/>
          <w:position w:val="0"/>
          <w:shd w:val="clear" w:color="auto" w:fill="auto"/>
          <w:lang w:val="hr-HR" w:eastAsia="hr-HR" w:bidi="hr-HR"/>
        </w:rPr>
        <w:t xml:space="preserve"> [zadnje izd. 1953], Navedeno prema: </w:t>
      </w:r>
      <w:r>
        <w:rPr>
          <w:rFonts w:ascii="Times New Roman" w:eastAsia="Times New Roman" w:hAnsi="Times New Roman" w:cs="Times New Roman"/>
          <w:color w:val="000000"/>
          <w:spacing w:val="0"/>
          <w:w w:val="100"/>
          <w:position w:val="0"/>
          <w:shd w:val="clear" w:color="auto" w:fill="auto"/>
          <w:lang w:val="en-US" w:eastAsia="en-US" w:bidi="en-US"/>
        </w:rPr>
        <w:t xml:space="preserve">Arnold </w:t>
      </w:r>
      <w:r>
        <w:rPr>
          <w:rFonts w:ascii="Times New Roman" w:eastAsia="Times New Roman" w:hAnsi="Times New Roman" w:cs="Times New Roman"/>
          <w:color w:val="000000"/>
          <w:spacing w:val="0"/>
          <w:w w:val="100"/>
          <w:position w:val="0"/>
          <w:shd w:val="clear" w:color="auto" w:fill="auto"/>
          <w:lang w:val="hr-HR" w:eastAsia="hr-HR" w:bidi="hr-HR"/>
        </w:rPr>
        <w:t xml:space="preserve">Hottinger,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Allah </w:t>
      </w:r>
      <w:r>
        <w:rPr>
          <w:rFonts w:ascii="Times New Roman" w:eastAsia="Times New Roman" w:hAnsi="Times New Roman" w:cs="Times New Roman"/>
          <w:i/>
          <w:iCs/>
          <w:color w:val="000000"/>
          <w:spacing w:val="0"/>
          <w:w w:val="100"/>
          <w:position w:val="0"/>
          <w:shd w:val="clear" w:color="auto" w:fill="auto"/>
          <w:lang w:val="hr-HR" w:eastAsia="hr-HR" w:bidi="hr-HR"/>
        </w:rPr>
        <w:t>heule,</w:t>
      </w:r>
      <w:r>
        <w:rPr>
          <w:rFonts w:ascii="Times New Roman" w:eastAsia="Times New Roman" w:hAnsi="Times New Roman" w:cs="Times New Roman"/>
          <w:color w:val="000000"/>
          <w:spacing w:val="0"/>
          <w:w w:val="100"/>
          <w:position w:val="0"/>
          <w:shd w:val="clear" w:color="auto" w:fill="auto"/>
          <w:lang w:val="hr-HR" w:eastAsia="hr-HR" w:bidi="hr-HR"/>
        </w:rPr>
        <w:t xml:space="preserve"> Ziirich 1981, 86-87)</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Unatoč potpuno suprotnom prividu, koji obično nastaje pri površnom razmatranju, d. u </w:t>
      </w:r>
      <w:r>
        <w:rPr>
          <w:rFonts w:ascii="Times New Roman" w:eastAsia="Times New Roman" w:hAnsi="Times New Roman" w:cs="Times New Roman"/>
          <w:color w:val="000000"/>
          <w:spacing w:val="0"/>
          <w:w w:val="100"/>
          <w:position w:val="0"/>
          <w:shd w:val="clear" w:color="auto" w:fill="auto"/>
          <w:lang w:val="hr-HR" w:eastAsia="hr-HR" w:bidi="hr-HR"/>
        </w:rPr>
        <w:t>islamu nije kratke ruke. Njezini su najznačaj</w:t>
        <w:softHyphen/>
        <w:t xml:space="preserve">niji predstavnici i promicatelji mistici </w:t>
      </w:r>
      <w:r>
        <w:rPr>
          <w:rFonts w:ascii="Times New Roman" w:eastAsia="Times New Roman" w:hAnsi="Times New Roman" w:cs="Times New Roman"/>
          <w:i/>
          <w:iCs/>
          <w:color w:val="000000"/>
          <w:spacing w:val="0"/>
          <w:w w:val="100"/>
          <w:position w:val="0"/>
          <w:shd w:val="clear" w:color="auto" w:fill="auto"/>
          <w:lang w:val="hr-HR" w:eastAsia="hr-HR" w:bidi="hr-HR"/>
        </w:rPr>
        <w:t xml:space="preserve">(sufije). </w:t>
      </w:r>
      <w:r>
        <w:rPr>
          <w:rFonts w:ascii="Times New Roman" w:eastAsia="Times New Roman" w:hAnsi="Times New Roman" w:cs="Times New Roman"/>
          <w:color w:val="000000"/>
          <w:spacing w:val="0"/>
          <w:w w:val="100"/>
          <w:position w:val="0"/>
          <w:shd w:val="clear" w:color="auto" w:fill="auto"/>
          <w:lang w:val="hr-HR" w:eastAsia="hr-HR" w:bidi="hr-HR"/>
        </w:rPr>
        <w:t xml:space="preserve">Muhamed al-Gazali pomirio je u XI. stoljeću mistiku sa sunitskom pravovjemošću. I prije toga bilo je mnogo pobožnih, kao što su </w:t>
      </w:r>
      <w:r>
        <w:rPr>
          <w:rFonts w:ascii="Times New Roman" w:eastAsia="Times New Roman" w:hAnsi="Times New Roman" w:cs="Times New Roman"/>
          <w:color w:val="000000"/>
          <w:spacing w:val="0"/>
          <w:w w:val="100"/>
          <w:position w:val="0"/>
          <w:shd w:val="clear" w:color="auto" w:fill="auto"/>
          <w:lang w:val="en-US" w:eastAsia="en-US" w:bidi="en-US"/>
        </w:rPr>
        <w:t>Ha</w:t>
        <w:softHyphen/>
        <w:t xml:space="preserve">san </w:t>
      </w:r>
      <w:r>
        <w:rPr>
          <w:rFonts w:ascii="Times New Roman" w:eastAsia="Times New Roman" w:hAnsi="Times New Roman" w:cs="Times New Roman"/>
          <w:color w:val="000000"/>
          <w:spacing w:val="0"/>
          <w:w w:val="100"/>
          <w:position w:val="0"/>
          <w:shd w:val="clear" w:color="auto" w:fill="auto"/>
          <w:lang w:val="hr-HR" w:eastAsia="hr-HR" w:bidi="hr-HR"/>
        </w:rPr>
        <w:t xml:space="preserve">al-Basri (u. 728) i </w:t>
      </w:r>
      <w:r>
        <w:rPr>
          <w:rFonts w:ascii="Times New Roman" w:eastAsia="Times New Roman" w:hAnsi="Times New Roman" w:cs="Times New Roman"/>
          <w:color w:val="000000"/>
          <w:spacing w:val="0"/>
          <w:w w:val="100"/>
          <w:position w:val="0"/>
          <w:shd w:val="clear" w:color="auto" w:fill="auto"/>
          <w:lang w:val="en-US" w:eastAsia="en-US" w:bidi="en-US"/>
        </w:rPr>
        <w:t xml:space="preserve">Rabl’a (Rabija) </w:t>
      </w:r>
      <w:r>
        <w:rPr>
          <w:rFonts w:ascii="Times New Roman" w:eastAsia="Times New Roman" w:hAnsi="Times New Roman" w:cs="Times New Roman"/>
          <w:color w:val="000000"/>
          <w:spacing w:val="0"/>
          <w:w w:val="100"/>
          <w:position w:val="0"/>
          <w:shd w:val="clear" w:color="auto" w:fill="auto"/>
          <w:lang w:val="hr-HR" w:eastAsia="hr-HR" w:bidi="hr-HR"/>
        </w:rPr>
        <w:t xml:space="preserve">al-Ada- </w:t>
      </w:r>
      <w:r>
        <w:rPr>
          <w:rFonts w:ascii="Times New Roman" w:eastAsia="Times New Roman" w:hAnsi="Times New Roman" w:cs="Times New Roman"/>
          <w:color w:val="000000"/>
          <w:spacing w:val="0"/>
          <w:w w:val="100"/>
          <w:position w:val="0"/>
          <w:shd w:val="clear" w:color="auto" w:fill="auto"/>
          <w:lang w:val="en-US" w:eastAsia="en-US" w:bidi="en-US"/>
        </w:rPr>
        <w:t xml:space="preserve">wiyya </w:t>
      </w:r>
      <w:r>
        <w:rPr>
          <w:rFonts w:ascii="Times New Roman" w:eastAsia="Times New Roman" w:hAnsi="Times New Roman" w:cs="Times New Roman"/>
          <w:color w:val="000000"/>
          <w:spacing w:val="0"/>
          <w:w w:val="100"/>
          <w:position w:val="0"/>
          <w:shd w:val="clear" w:color="auto" w:fill="auto"/>
          <w:lang w:val="hr-HR" w:eastAsia="hr-HR" w:bidi="hr-HR"/>
        </w:rPr>
        <w:t xml:space="preserve">(u. 801). Asketske i kvijetističke aspekte islamske pobožnosti </w:t>
      </w:r>
      <w:r>
        <w:rPr>
          <w:rFonts w:ascii="Times New Roman" w:eastAsia="Times New Roman" w:hAnsi="Times New Roman" w:cs="Times New Roman"/>
          <w:color w:val="000000"/>
          <w:spacing w:val="0"/>
          <w:w w:val="100"/>
          <w:position w:val="0"/>
          <w:shd w:val="clear" w:color="auto" w:fill="auto"/>
          <w:lang w:val="en-US" w:eastAsia="en-US" w:bidi="en-US"/>
        </w:rPr>
        <w:t xml:space="preserve">Rabija </w:t>
      </w:r>
      <w:r>
        <w:rPr>
          <w:rFonts w:ascii="Times New Roman" w:eastAsia="Times New Roman" w:hAnsi="Times New Roman" w:cs="Times New Roman"/>
          <w:color w:val="000000"/>
          <w:spacing w:val="0"/>
          <w:w w:val="100"/>
          <w:position w:val="0"/>
          <w:shd w:val="clear" w:color="auto" w:fill="auto"/>
          <w:lang w:val="hr-HR" w:eastAsia="hr-HR" w:bidi="hr-HR"/>
        </w:rPr>
        <w:t>je obogatila no</w:t>
        <w:softHyphen/>
        <w:t>vom, osjećajima prožetom duhovnošću. Pri</w:t>
        <w:softHyphen/>
        <w:t>sutnost duhovnosti u pučkoj pobožnosti oči</w:t>
        <w:softHyphen/>
        <w:t>tuje se, između ostaloga, u nizu kovanica i teoloških izraza koji se trebaju pripisati du</w:t>
        <w:softHyphen/>
        <w:t xml:space="preserve">hovnosti: </w:t>
      </w:r>
      <w:r>
        <w:rPr>
          <w:rFonts w:ascii="Times New Roman" w:eastAsia="Times New Roman" w:hAnsi="Times New Roman" w:cs="Times New Roman"/>
          <w:i/>
          <w:iCs/>
          <w:color w:val="000000"/>
          <w:spacing w:val="0"/>
          <w:w w:val="100"/>
          <w:position w:val="0"/>
          <w:shd w:val="clear" w:color="auto" w:fill="auto"/>
          <w:lang w:val="hr-HR" w:eastAsia="hr-HR" w:bidi="hr-HR"/>
        </w:rPr>
        <w:t>nafs al-kull</w:t>
      </w:r>
      <w:r>
        <w:rPr>
          <w:rFonts w:ascii="Times New Roman" w:eastAsia="Times New Roman" w:hAnsi="Times New Roman" w:cs="Times New Roman"/>
          <w:color w:val="000000"/>
          <w:spacing w:val="0"/>
          <w:w w:val="100"/>
          <w:position w:val="0"/>
          <w:shd w:val="clear" w:color="auto" w:fill="auto"/>
          <w:lang w:val="hr-HR" w:eastAsia="hr-HR" w:bidi="hr-HR"/>
        </w:rPr>
        <w:t xml:space="preserve"> (sveduša), </w:t>
      </w:r>
      <w:r>
        <w:rPr>
          <w:rFonts w:ascii="Times New Roman" w:eastAsia="Times New Roman" w:hAnsi="Times New Roman" w:cs="Times New Roman"/>
          <w:i/>
          <w:iCs/>
          <w:color w:val="000000"/>
          <w:spacing w:val="0"/>
          <w:w w:val="100"/>
          <w:position w:val="0"/>
          <w:shd w:val="clear" w:color="auto" w:fill="auto"/>
          <w:lang w:val="hr-HR" w:eastAsia="hr-HR" w:bidi="hr-HR"/>
        </w:rPr>
        <w:t xml:space="preserve">bazm-i A laslu </w:t>
      </w:r>
      <w:r>
        <w:rPr>
          <w:rFonts w:ascii="Times New Roman" w:eastAsia="Times New Roman" w:hAnsi="Times New Roman" w:cs="Times New Roman"/>
          <w:color w:val="000000"/>
          <w:spacing w:val="0"/>
          <w:w w:val="100"/>
          <w:position w:val="0"/>
          <w:shd w:val="clear" w:color="auto" w:fill="auto"/>
          <w:lang w:val="hr-HR" w:eastAsia="hr-HR" w:bidi="hr-HR"/>
        </w:rPr>
        <w:t xml:space="preserve">(dan kada duša prvi put pije vino ljubavi Božje; to je </w:t>
      </w:r>
      <w:r>
        <w:rPr>
          <w:rFonts w:ascii="Times New Roman" w:eastAsia="Times New Roman" w:hAnsi="Times New Roman" w:cs="Times New Roman"/>
          <w:i/>
          <w:iCs/>
          <w:color w:val="000000"/>
          <w:spacing w:val="0"/>
          <w:w w:val="100"/>
          <w:position w:val="0"/>
          <w:shd w:val="clear" w:color="auto" w:fill="auto"/>
          <w:lang w:val="hr-HR" w:eastAsia="hr-HR" w:bidi="hr-HR"/>
        </w:rPr>
        <w:t>sufijski</w:t>
      </w:r>
      <w:r>
        <w:rPr>
          <w:rFonts w:ascii="Times New Roman" w:eastAsia="Times New Roman" w:hAnsi="Times New Roman" w:cs="Times New Roman"/>
          <w:color w:val="000000"/>
          <w:spacing w:val="0"/>
          <w:w w:val="100"/>
          <w:position w:val="0"/>
          <w:shd w:val="clear" w:color="auto" w:fill="auto"/>
          <w:lang w:val="hr-HR" w:eastAsia="hr-HR" w:bidi="hr-HR"/>
        </w:rPr>
        <w:t xml:space="preserve"> blagdan), </w:t>
      </w:r>
      <w:r>
        <w:rPr>
          <w:rFonts w:ascii="Times New Roman" w:eastAsia="Times New Roman" w:hAnsi="Times New Roman" w:cs="Times New Roman"/>
          <w:color w:val="000000"/>
          <w:spacing w:val="0"/>
          <w:w w:val="100"/>
          <w:position w:val="0"/>
          <w:shd w:val="clear" w:color="auto" w:fill="auto"/>
          <w:lang w:val="en-US" w:eastAsia="en-US" w:bidi="en-US"/>
        </w:rPr>
        <w:t xml:space="preserve">al-haqiqa </w:t>
      </w:r>
      <w:r>
        <w:rPr>
          <w:rFonts w:ascii="Times New Roman" w:eastAsia="Times New Roman" w:hAnsi="Times New Roman" w:cs="Times New Roman"/>
          <w:color w:val="000000"/>
          <w:spacing w:val="0"/>
          <w:w w:val="100"/>
          <w:position w:val="0"/>
          <w:shd w:val="clear" w:color="auto" w:fill="auto"/>
          <w:lang w:val="hr-HR" w:eastAsia="hr-HR" w:bidi="hr-HR"/>
        </w:rPr>
        <w:t xml:space="preserve">al-muham- </w:t>
      </w:r>
      <w:r>
        <w:rPr>
          <w:rFonts w:ascii="Times New Roman" w:eastAsia="Times New Roman" w:hAnsi="Times New Roman" w:cs="Times New Roman"/>
          <w:color w:val="000000"/>
          <w:spacing w:val="0"/>
          <w:w w:val="100"/>
          <w:position w:val="0"/>
          <w:shd w:val="clear" w:color="auto" w:fill="auto"/>
          <w:lang w:val="en-US" w:eastAsia="en-US" w:bidi="en-US"/>
        </w:rPr>
        <w:t xml:space="preserve">madiyya </w:t>
      </w:r>
      <w:r>
        <w:rPr>
          <w:rFonts w:ascii="Times New Roman" w:eastAsia="Times New Roman" w:hAnsi="Times New Roman" w:cs="Times New Roman"/>
          <w:color w:val="000000"/>
          <w:spacing w:val="0"/>
          <w:w w:val="100"/>
          <w:position w:val="0"/>
          <w:shd w:val="clear" w:color="auto" w:fill="auto"/>
          <w:lang w:val="hr-HR" w:eastAsia="hr-HR" w:bidi="hr-HR"/>
        </w:rPr>
        <w:t>(Muhamedov duhovni princip) itd.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Kuranska je postavka duhovnosti glasoviti stih o »Otkrivanju Božjega svjetla«, u kojemu se Bog opisuje kao »svjetlo nad svjetlom« (24,35). Bog je dakle svcprožimljuće svjetlo, dakako ne u fizikalnome smislu. Legitimnu podlogu, na kojoj se razvija d., pruža vjera da je cjelokupni svemir »prožet njime sa svime što se u svemiru nalazi i događa«. Ali ta je usporedba samo pripomoć u čovjekovu nasto</w:t>
        <w:softHyphen/>
        <w:t xml:space="preserve">janju iskušavanja Boga (usp. A. Falaturi, Wie ist </w:t>
      </w:r>
      <w:r>
        <w:rPr>
          <w:rFonts w:ascii="Times New Roman" w:eastAsia="Times New Roman" w:hAnsi="Times New Roman" w:cs="Times New Roman"/>
          <w:color w:val="000000"/>
          <w:spacing w:val="0"/>
          <w:w w:val="100"/>
          <w:position w:val="0"/>
          <w:shd w:val="clear" w:color="auto" w:fill="auto"/>
          <w:lang w:val="en-US" w:eastAsia="en-US" w:bidi="en-US"/>
        </w:rPr>
        <w:t xml:space="preserve">die </w:t>
      </w:r>
      <w:r>
        <w:rPr>
          <w:rFonts w:ascii="Times New Roman" w:eastAsia="Times New Roman" w:hAnsi="Times New Roman" w:cs="Times New Roman"/>
          <w:color w:val="000000"/>
          <w:spacing w:val="0"/>
          <w:w w:val="100"/>
          <w:position w:val="0"/>
          <w:shd w:val="clear" w:color="auto" w:fill="auto"/>
          <w:lang w:val="hr-HR" w:eastAsia="hr-HR" w:bidi="hr-HR"/>
        </w:rPr>
        <w:t xml:space="preserve">mcnschliche Gotteserfahrung trotz des strengen islamischen Monotheismus moglich?, u: isti,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Islam im </w:t>
      </w:r>
      <w:r>
        <w:rPr>
          <w:rFonts w:ascii="Times New Roman" w:eastAsia="Times New Roman" w:hAnsi="Times New Roman" w:cs="Times New Roman"/>
          <w:i/>
          <w:iCs/>
          <w:color w:val="000000"/>
          <w:spacing w:val="0"/>
          <w:w w:val="100"/>
          <w:position w:val="0"/>
          <w:shd w:val="clear" w:color="auto" w:fill="auto"/>
          <w:lang w:val="en-US" w:eastAsia="en-US" w:bidi="en-US"/>
        </w:rPr>
        <w:t>Dialog,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Koln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1979,41). U osnovi uzeto, Bog je onkraj svih ideja koje bi se mogle imati o njemu. »Stoga mi muslima</w:t>
        <w:softHyphen/>
        <w:t xml:space="preserve">ni«, recitira </w:t>
      </w:r>
      <w:r>
        <w:rPr>
          <w:rFonts w:ascii="Times New Roman" w:eastAsia="Times New Roman" w:hAnsi="Times New Roman" w:cs="Times New Roman"/>
          <w:i/>
          <w:iCs/>
          <w:color w:val="000000"/>
          <w:spacing w:val="0"/>
          <w:w w:val="100"/>
          <w:position w:val="0"/>
          <w:shd w:val="clear" w:color="auto" w:fill="auto"/>
          <w:lang w:val="en-US" w:eastAsia="en-US" w:bidi="en-US"/>
        </w:rPr>
        <w:t>Hasan Askary,</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»jednostavno iz</w:t>
        <w:softHyphen/>
        <w:t>govaramo njegove riječi. Jer, jedino jedini Bog može samoga sebe dovesti na pravo svjetlo, može biti svojim vlastitim svjedokom. Jedino on može kazati: ‘Ja sam onaj koji je</w:t>
        <w:softHyphen/>
        <w:t>sam.’ Stoga je izgovaranje -&gt; riječi Božje do</w:t>
        <w:softHyphen/>
        <w:t>ista autentičan način da sebi posvijestimo Bo</w:t>
        <w:softHyphen/>
        <w:t>ga«. Sukladno tomu, izgovaranje stihova Ku</w:t>
        <w:softHyphen/>
        <w:t>rana za muslimana je sredstvo za povećavanje duhovnosti.</w:t>
      </w:r>
    </w:p>
    <w:p>
      <w:pPr>
        <w:pStyle w:val="Style20"/>
        <w:keepNext w:val="0"/>
        <w:keepLines w:val="0"/>
        <w:widowControl w:val="0"/>
        <w:shd w:val="clear" w:color="auto" w:fill="auto"/>
        <w:bidi w:val="0"/>
        <w:spacing w:before="0" w:after="0"/>
        <w:ind w:left="0" w:right="0" w:firstLine="0"/>
        <w:jc w:val="both"/>
        <w:sectPr>
          <w:headerReference w:type="default" r:id="rId351"/>
          <w:footerReference w:type="default" r:id="rId352"/>
          <w:headerReference w:type="even" r:id="rId353"/>
          <w:footerReference w:type="even" r:id="rId354"/>
          <w:footnotePr>
            <w:pos w:val="pageBottom"/>
            <w:numFmt w:val="decimal"/>
            <w:numStart w:val="5"/>
            <w:numRestart w:val="continuous"/>
            <w15:footnoteColumns w:val="1"/>
          </w:footnotePr>
          <w:pgSz w:w="6816" w:h="11006"/>
          <w:pgMar w:top="769" w:left="191" w:right="197" w:bottom="378" w:header="0" w:footer="3" w:gutter="0"/>
          <w:pgNumType w:start="119"/>
          <w:cols w:num="2" w:space="19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»Svijest o sveobuhvatnoj Božjoj prisutnosti karakterizira islamsku d. On je posvuda, tako</w:t>
        <w:softHyphen/>
        <w:t>đer u nama. Nitko ne može izbjeći Njegovu moć. Gdje ne bi bila Njegova kuća? Koji ne bi bio Njegov dan?. Bilo gdje da se okreneš, vi</w:t>
        <w:softHyphen/>
        <w:t>diš lice Božje, kaže Kuran... Ljubav prema bližnjem pokazuje da je ispravan zahtjev koji leži u ispovijedi o jedinstvu Božjemu. Bez lju</w:t>
        <w:softHyphen/>
        <w:t>bavi taj zahtjev ostaje arogantan. Jer ljubav znači vidjeti Boga u svima i u svemu. Inače se ne razlikujemo od štovatelja helenističkih,</w:t>
      </w:r>
    </w:p>
    <w:p>
      <w:pPr>
        <w:pStyle w:val="Style20"/>
        <w:keepNext w:val="0"/>
        <w:keepLines w:val="0"/>
        <w:widowControl w:val="0"/>
        <w:shd w:val="clear" w:color="auto" w:fill="auto"/>
        <w:tabs>
          <w:tab w:pos="2539" w:val="left"/>
        </w:tabs>
        <w:bidi w:val="0"/>
        <w:spacing w:before="0" w:after="3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babilonskih ili asirskih božanstava« </w:t>
      </w:r>
      <w:r>
        <w:rPr>
          <w:rFonts w:ascii="Times New Roman" w:eastAsia="Times New Roman" w:hAnsi="Times New Roman" w:cs="Times New Roman"/>
          <w:color w:val="000000"/>
          <w:spacing w:val="0"/>
          <w:w w:val="100"/>
          <w:position w:val="0"/>
          <w:shd w:val="clear" w:color="auto" w:fill="auto"/>
          <w:lang w:val="en-US" w:eastAsia="en-US" w:bidi="en-US"/>
        </w:rPr>
        <w:t xml:space="preserve">(Hasan Askary, Die Botschaft des Qur’an und isla- mische Spiritualitat,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Islam und der Westen, </w:t>
      </w:r>
      <w:r>
        <w:rPr>
          <w:rFonts w:ascii="Times New Roman" w:eastAsia="Times New Roman" w:hAnsi="Times New Roman" w:cs="Times New Roman"/>
          <w:color w:val="000000"/>
          <w:spacing w:val="0"/>
          <w:w w:val="100"/>
          <w:position w:val="0"/>
          <w:shd w:val="clear" w:color="auto" w:fill="auto"/>
          <w:lang w:val="en-US" w:eastAsia="en-US" w:bidi="en-US"/>
        </w:rPr>
        <w:t xml:space="preserve">Wien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2</w:t>
      </w:r>
      <w:r>
        <w:rPr>
          <w:rFonts w:ascii="Times New Roman" w:eastAsia="Times New Roman" w:hAnsi="Times New Roman" w:cs="Times New Roman"/>
          <w:color w:val="000000"/>
          <w:spacing w:val="0"/>
          <w:w w:val="100"/>
          <w:position w:val="0"/>
          <w:shd w:val="clear" w:color="auto" w:fill="auto"/>
          <w:lang w:val="en-US" w:eastAsia="en-US" w:bidi="en-US"/>
        </w:rPr>
        <w:t>1982, 4).</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DUŠA</w:t>
      </w:r>
    </w:p>
    <w:p>
      <w:pPr>
        <w:pStyle w:val="Style63"/>
        <w:keepNext/>
        <w:keepLines/>
        <w:widowControl w:val="0"/>
        <w:numPr>
          <w:ilvl w:val="0"/>
          <w:numId w:val="109"/>
        </w:numPr>
        <w:shd w:val="clear" w:color="auto" w:fill="auto"/>
        <w:tabs>
          <w:tab w:pos="246" w:val="left"/>
        </w:tabs>
        <w:bidi w:val="0"/>
        <w:spacing w:before="0"/>
        <w:ind w:left="0" w:right="0" w:firstLine="0"/>
        <w:jc w:val="both"/>
      </w:pPr>
      <w:bookmarkStart w:id="83" w:name="bookmark83"/>
      <w:r>
        <w:rPr>
          <w:rFonts w:ascii="Times New Roman" w:eastAsia="Times New Roman" w:hAnsi="Times New Roman" w:cs="Times New Roman"/>
          <w:color w:val="000000"/>
          <w:spacing w:val="0"/>
          <w:w w:val="100"/>
          <w:position w:val="0"/>
          <w:shd w:val="clear" w:color="auto" w:fill="auto"/>
          <w:lang w:val="hr-HR" w:eastAsia="hr-HR" w:bidi="hr-HR"/>
        </w:rPr>
        <w:t>židovski</w:t>
      </w:r>
      <w:bookmarkEnd w:id="8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»Moj Bože, d. koju si mi dao, čista je.«</w:t>
      </w:r>
      <w:r>
        <w:rPr>
          <w:rFonts w:ascii="Times New Roman" w:eastAsia="Times New Roman" w:hAnsi="Times New Roman" w:cs="Times New Roman"/>
          <w:color w:val="000000"/>
          <w:spacing w:val="0"/>
          <w:w w:val="100"/>
          <w:position w:val="0"/>
          <w:shd w:val="clear" w:color="auto" w:fill="auto"/>
          <w:lang w:val="hr-HR" w:eastAsia="hr-HR" w:bidi="hr-HR"/>
        </w:rPr>
        <w:t xml:space="preserve"> U svakodnevnu jutarnju molitvu ušla je riječ mu</w:t>
        <w:softHyphen/>
        <w:t xml:space="preserve">draca: »Kad se čovjek ujutro probudi, neka kaže: Moj Bože, d. </w:t>
      </w:r>
      <w:r>
        <w:rPr>
          <w:rFonts w:ascii="Times New Roman" w:eastAsia="Times New Roman" w:hAnsi="Times New Roman" w:cs="Times New Roman"/>
          <w:i/>
          <w:iCs/>
          <w:color w:val="000000"/>
          <w:spacing w:val="0"/>
          <w:w w:val="100"/>
          <w:position w:val="0"/>
          <w:shd w:val="clear" w:color="auto" w:fill="auto"/>
          <w:lang w:val="hr-HR" w:eastAsia="hr-HR" w:bidi="hr-HR"/>
        </w:rPr>
        <w:t>(nefama)</w:t>
      </w:r>
      <w:r>
        <w:rPr>
          <w:rFonts w:ascii="Times New Roman" w:eastAsia="Times New Roman" w:hAnsi="Times New Roman" w:cs="Times New Roman"/>
          <w:color w:val="000000"/>
          <w:spacing w:val="0"/>
          <w:w w:val="100"/>
          <w:position w:val="0"/>
          <w:shd w:val="clear" w:color="auto" w:fill="auto"/>
          <w:lang w:val="hr-HR" w:eastAsia="hr-HR" w:bidi="hr-HR"/>
        </w:rPr>
        <w:t xml:space="preserve"> koju si mi dao, čista je; ugradio si je u mene, udahnuo si mi je i čuvaš je u meni; jednoga češ mi je dana uzeti i ponovno mi je dati u očekivanoj budućnosti. Kad god je d. u meni, zahvaljujem ti, o, Go</w:t>
        <w:softHyphen/>
        <w:t>spodine, moj Bože i Bože mojih otaca, uči</w:t>
        <w:softHyphen/>
        <w:t>telju svih svjetova, Gospodaru svih duša. Bla</w:t>
        <w:softHyphen/>
        <w:t>goslovljen bio, o, Gospodine, koji vraćaš duše mrtvim tijelima« (b Berahot 60b). Prema jed</w:t>
        <w:softHyphen/>
        <w:t>nom rabinskom gledištu, sve su duše već stvo</w:t>
        <w:softHyphen/>
        <w:t>rene s postankom svijeta i sačuvane kod Boga (b Hagiga 12b); četrdesetoga dana nakon za</w:t>
        <w:softHyphen/>
        <w:t>čeća d., navodno, ulazi u tijelo (b Menahot 99b). Ponašanje duše prema tijelu oslikava prispodoba koja se nadovezuje na Davidovu petu pohvalu Bogu, »blagoslivljaj NJEGA, moja dušo« (Ps 103,1 i d. 22; 104,1.35): »Tom pohvalom nije mislio ni na koga drugoga osim na Svetoga, blagoslovljen bio, i na dušu. Kao što Sveti, blagoslovljen bio, puni cijeli svijet, tako i d. puni cijelo tijelo; kao što Sveti, blago</w:t>
        <w:softHyphen/>
        <w:t>slovljen bio, vidi i neće biti viđen, tako vidi i d. i neće biti viđena; kao što Sveti, blagoslovljen bio, hrani cijeli svijet, tako i d. hrani cijelo tijelo; kao što je Sveti, blagoslovljen bio, čist, tako je i d. čista; kao što Sveti, blagoslovljen bio, prebiva u odajama najdublje unutraš</w:t>
        <w:softHyphen/>
        <w:t>njosti, tako i d. prebiva u odajama najdublje unutrašnjosti. Stoga neka dođe ona u kojoj je sjedinjeno tih pet atributa, i neka bude hva</w:t>
        <w:softHyphen/>
        <w:t>ljen on u kojem je sjedinjeno tih pet atributa« (b Berahot 10a). Naglasak na izjavi da d. po</w:t>
        <w:softHyphen/>
        <w:t>tječe »čista« iz Božje ruke, odnosi se na stva</w:t>
        <w:softHyphen/>
        <w:t>ralačku sposobnost koja je stvaranjem dana svakom čovjeku kako bi realizirao božan- sko-čovječji uzajamni odnos i vlastitim dje</w:t>
        <w:softHyphen/>
        <w:t>lovanjem širio svijetom djela Božja (b Sabat 152b; Nida 30a); Majmonid (1135-1204) for</w:t>
        <w:softHyphen/>
        <w:t>mulirao je to ovako: »Tjelesna čistoća vodi k posvećivanju duše i štiti od pokvarenih gle</w:t>
        <w:softHyphen/>
      </w:r>
      <w:r>
        <w:rPr>
          <w:rFonts w:ascii="Times New Roman" w:eastAsia="Times New Roman" w:hAnsi="Times New Roman" w:cs="Times New Roman"/>
          <w:color w:val="000000"/>
          <w:spacing w:val="0"/>
          <w:w w:val="100"/>
          <w:position w:val="0"/>
          <w:shd w:val="clear" w:color="auto" w:fill="auto"/>
          <w:lang w:val="hr-HR" w:eastAsia="hr-HR" w:bidi="hr-HR"/>
        </w:rPr>
        <w:t>dišta i zlih udaraca; no posvećivanje duše stva</w:t>
        <w:softHyphen/>
        <w:t xml:space="preserve">ra ozbiljne težnje za sličnošću na Boga (prema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20,7)« (Mišne Tora, Hilhot tumat ohlin XVI,12). »Čistoća« duše još ne znači Božje ispunjenje, naprotiv, znači zapovijed koju čovjek još mora izvršiti (b Sabat 105b; Bava mecia 197a). Čovjek se mora dokazati kao slika Božja, tj. kao stvorenje koje je ospo</w:t>
        <w:softHyphen/>
        <w:t xml:space="preserve">sobljeno za oponašanje Božjeg djela u »ovom svijetu«, a ne u »budućem svijetu«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3a); stoga ne smije dopustiti da i jedan sat u životu potrati kako bi zadovoljio svoju zadaću i dopro do cilja u »budućem svijetu«: »Ljepši je jedan sat u obraćenju i dobrim dje</w:t>
        <w:softHyphen/>
        <w:t>lima u ovom svijetu nego cijeli život budućeg svijeta; ljepši je jedan sat zadovoljstva (zado</w:t>
        <w:softHyphen/>
        <w:t xml:space="preserve">voljenje: </w:t>
      </w:r>
      <w:r>
        <w:rPr>
          <w:rFonts w:ascii="Times New Roman" w:eastAsia="Times New Roman" w:hAnsi="Times New Roman" w:cs="Times New Roman"/>
          <w:i/>
          <w:iCs/>
          <w:color w:val="000000"/>
          <w:spacing w:val="0"/>
          <w:w w:val="100"/>
          <w:position w:val="0"/>
          <w:shd w:val="clear" w:color="auto" w:fill="auto"/>
          <w:lang w:val="hr-HR" w:eastAsia="hr-HR" w:bidi="hr-HR"/>
        </w:rPr>
        <w:t>koral ruah)</w:t>
      </w:r>
      <w:r>
        <w:rPr>
          <w:rFonts w:ascii="Times New Roman" w:eastAsia="Times New Roman" w:hAnsi="Times New Roman" w:cs="Times New Roman"/>
          <w:color w:val="000000"/>
          <w:spacing w:val="0"/>
          <w:w w:val="100"/>
          <w:position w:val="0"/>
          <w:shd w:val="clear" w:color="auto" w:fill="auto"/>
          <w:lang w:val="hr-HR" w:eastAsia="hr-HR" w:bidi="hr-HR"/>
        </w:rPr>
        <w:t xml:space="preserve"> u budućem svijetu od ci</w:t>
        <w:softHyphen/>
        <w:t>jelog života ovoga svijeta« (M Avot IV,17).</w:t>
      </w:r>
    </w:p>
    <w:p>
      <w:pPr>
        <w:pStyle w:val="Style20"/>
        <w:keepNext w:val="0"/>
        <w:keepLines w:val="0"/>
        <w:widowControl w:val="0"/>
        <w:shd w:val="clear" w:color="auto" w:fill="auto"/>
        <w:bidi w:val="0"/>
        <w:spacing w:before="0" w:after="0"/>
        <w:ind w:left="0" w:right="0" w:firstLine="0"/>
        <w:jc w:val="both"/>
        <w:sectPr>
          <w:headerReference w:type="default" r:id="rId355"/>
          <w:footerReference w:type="default" r:id="rId356"/>
          <w:headerReference w:type="even" r:id="rId357"/>
          <w:footerReference w:type="even" r:id="rId358"/>
          <w:footnotePr>
            <w:pos w:val="pageBottom"/>
            <w:numFmt w:val="decimal"/>
            <w:numStart w:val="5"/>
            <w:numRestart w:val="continuous"/>
            <w15:footnoteColumns w:val="1"/>
          </w:footnotePr>
          <w:type w:val="continuous"/>
          <w:pgSz w:w="6816" w:h="11006"/>
          <w:pgMar w:top="769" w:left="191" w:right="197" w:bottom="378" w:header="0" w:footer="3" w:gutter="0"/>
          <w:cols w:num="2" w:space="198"/>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b) »... i osudi ih zajedno.« Pod</w:t>
      </w:r>
      <w:r>
        <w:rPr>
          <w:rFonts w:ascii="Times New Roman" w:eastAsia="Times New Roman" w:hAnsi="Times New Roman" w:cs="Times New Roman"/>
          <w:color w:val="000000"/>
          <w:spacing w:val="0"/>
          <w:w w:val="100"/>
          <w:position w:val="0"/>
          <w:shd w:val="clear" w:color="auto" w:fill="auto"/>
          <w:lang w:val="hr-HR" w:eastAsia="hr-HR" w:bidi="hr-HR"/>
        </w:rPr>
        <w:t xml:space="preserve"> utjecajem grčke antropologije neki su rabini ocjenjivali dušu više od tijela (npr. rabin Hija, II. stoljeće, u Vajikra raba IV,4,1) i prepoznavali u njoj vlastitu veličinu s preegzistencijom (b Hagiga 12b;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5a; Nida 13b). Očekivanje budućeg života odmah poslije smrti, obilježe</w:t>
        <w:softHyphen/>
        <w:t>no utjecajem grčke predodžbe o besmrtnosti duše, susrećemo u djelu Knjiga Mudrosti, jed</w:t>
        <w:softHyphen/>
        <w:t>noga vjerojatno aleksandrijskog Židova iz I. stoljeća pr. Kr. (Mudrost Salomonova 3,1-9). O starom spornom pitanju »međustadija« iz</w:t>
        <w:softHyphen/>
        <w:t xml:space="preserve">među smrti i uskrsnuća raspravljalo se u ra- binskim školama. Škola bet Šamaj zastupala je mišljenje da mrtve duše strpljivo čekaju ili u grobu ili u posebnoj »riznici« do otkupljenja kada se pravednici nagrađuju uskrsnućem. Za razliku od nje, škola bet Hilel podučavala je da se duše odmah nakon smrti kažnjavaju u </w:t>
      </w:r>
      <w:r>
        <w:rPr>
          <w:rFonts w:ascii="Times New Roman" w:eastAsia="Times New Roman" w:hAnsi="Times New Roman" w:cs="Times New Roman"/>
          <w:i/>
          <w:iCs/>
          <w:color w:val="000000"/>
          <w:spacing w:val="0"/>
          <w:w w:val="100"/>
          <w:position w:val="0"/>
          <w:shd w:val="clear" w:color="auto" w:fill="auto"/>
          <w:lang w:val="hr-HR" w:eastAsia="hr-HR" w:bidi="hr-HR"/>
        </w:rPr>
        <w:t>Geheni</w:t>
      </w:r>
      <w:r>
        <w:rPr>
          <w:rFonts w:ascii="Times New Roman" w:eastAsia="Times New Roman" w:hAnsi="Times New Roman" w:cs="Times New Roman"/>
          <w:color w:val="000000"/>
          <w:spacing w:val="0"/>
          <w:w w:val="100"/>
          <w:position w:val="0"/>
          <w:shd w:val="clear" w:color="auto" w:fill="auto"/>
          <w:lang w:val="hr-HR" w:eastAsia="hr-HR" w:bidi="hr-HR"/>
        </w:rPr>
        <w:t xml:space="preserve"> ili nagrađuju u edenskom vrtu i da se na koncu vremena sve bude radi konačnog suda, u određenom stupnju radi preispitivanja i mogućeg ukinuća presude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XIII,3a; b Roš ha-šana 16b- 17a). Blizinu duša pokojnih pravednika Bogu izrazio je nepos</w:t>
        <w:softHyphen/>
        <w:t xml:space="preserve">redno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»Duše pravednika čuvaju se ispod prijestolja Božjeg« (b Šabat 152b). Mudraci su već bili prihvatili općenito priznato mišljenje da se čovjek sastoji od tijela i duše. Smrt je značila odvajanje duše kao životnoga principa od tijela. No time uopće nije odba</w:t>
        <w:softHyphen/>
        <w:t>čena stara predodžba da život mora biti odre</w:t>
        <w:softHyphen/>
        <w:t>đen tjelesno. Životu pripada tijelo; njemu d. zahvaljuje na pokretanju života. Stoga se če</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kalo oživljavanje umrloga tijela i njegova po</w:t>
        <w:softHyphen/>
        <w:t>novnog sjedinjenja s njegovom dušom na po</w:t>
        <w:softHyphen/>
        <w:t>sljednjem sudu: »Antonius reče rabinu: D. i tijelo mogu jedno drugo osloboditi pred su</w:t>
        <w:softHyphen/>
        <w:t>dom. Kako? Tijelo može reći: D. jc kriva; jer od dana kad se odvojila od mene, ležim kao nijemi kamen u grobu. I d. može reći: Tijelo je krivo; jer od onoga dana kad sam se od njega odvojila, letim zrakom (slobodno) poput pti</w:t>
        <w:softHyphen/>
        <w:t xml:space="preserve">ce.« Rabi </w:t>
      </w:r>
      <w:r>
        <w:rPr>
          <w:rFonts w:ascii="Times New Roman" w:eastAsia="Times New Roman" w:hAnsi="Times New Roman" w:cs="Times New Roman"/>
          <w:color w:val="000000"/>
          <w:spacing w:val="0"/>
          <w:w w:val="100"/>
          <w:position w:val="0"/>
          <w:shd w:val="clear" w:color="auto" w:fill="auto"/>
          <w:lang w:val="en-US" w:eastAsia="en-US" w:bidi="en-US"/>
        </w:rPr>
        <w:t xml:space="preserve">(Jehuda </w:t>
      </w:r>
      <w:r>
        <w:rPr>
          <w:rFonts w:ascii="Times New Roman" w:eastAsia="Times New Roman" w:hAnsi="Times New Roman" w:cs="Times New Roman"/>
          <w:color w:val="000000"/>
          <w:spacing w:val="0"/>
          <w:w w:val="100"/>
          <w:position w:val="0"/>
          <w:shd w:val="clear" w:color="auto" w:fill="auto"/>
          <w:lang w:val="hr-HR" w:eastAsia="hr-HR" w:bidi="hr-HR"/>
        </w:rPr>
        <w:t>ha-Nasi, II. stoljeće) odgo</w:t>
        <w:softHyphen/>
        <w:t>vori alegorijom: Jedan voćnjak trebala su ču</w:t>
        <w:softHyphen/>
        <w:t>vati dvojica čuvara, jedan hromi ijedan slijepi. »Tada hromi reče slijepomu: Vidim lijepo ra</w:t>
        <w:softHyphen/>
        <w:t>no voće u voćnjaku, pa dodi i pusti da te za- jašim, pa ćemo ga nabrati i jesti. Tada hromi zajaši na slijepoga i oni nabraše voća i poje- došc ga.« Kad je došao vlasnik voćnjaka, pro</w:t>
        <w:softHyphen/>
        <w:t>zreo je čuvare. »Posjeo je hromoga na slije</w:t>
        <w:softHyphen/>
        <w:t xml:space="preserve">poga i zajedno ih osudio. Tako i Sveti, hvaljen bio, vraća dušu u tijelo i zajedno im sudi«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91a-b; usp. Vajikra raba IV,4.1). Iako se i ovdje jasno raspoznaje grčki utjecaj u oblikovanju zamisli o sudu, ipak se naglašava sudioništvo jedinstvene tjelesno-duševne eg</w:t>
        <w:softHyphen/>
        <w:t>zistencije u uskrsnuću; kao što su tijelo i d. za</w:t>
        <w:softHyphen/>
        <w:t>jednički griješili, tako će zajednički biti izve</w:t>
        <w:softHyphen/>
        <w:t>deni na sud.</w:t>
      </w:r>
    </w:p>
    <w:p>
      <w:pPr>
        <w:pStyle w:val="Style20"/>
        <w:keepNext w:val="0"/>
        <w:keepLines w:val="0"/>
        <w:widowControl w:val="0"/>
        <w:shd w:val="clear" w:color="auto" w:fill="auto"/>
        <w:bidi w:val="0"/>
        <w:spacing w:before="0" w:after="240"/>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Iako su i židovski srednjovjekovni filozofi reli</w:t>
        <w:softHyphen/>
        <w:t xml:space="preserve">gije imali različita gledišta o oživljavanju mrtvih, ipak su se slagali u tome da je svaki čovjek odgovoran za svoja djela, pa stoga i jedinstvo tijclo-d. čovjekove osobe mora biti nedjeljivo. No Majmonid je naučavao besmrtnost duše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(More nevuhim</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/Vodič pokolebanima/, 2,27; 3,54) i objasnio da se pokojnik dijeli na dije</w:t>
        <w:softHyphen/>
        <w:t>love od kojih je sastavljen, jer u budućem svijetu nema tijela, štoviše, duše pravednika egzistiraju same bez tijela nalik na anđele slu</w:t>
        <w:softHyphen/>
        <w:t>ge« (Mišnc Tora, Tešuva VIII,2). - Dok su se tradicionalni krugovi u XIX. i XX. stoljeću čvrsto držali uvjerenja da o Bogu ovisi ko</w:t>
        <w:softHyphen/>
        <w:t>načni spas osobe u tjelesno-duševnoj cjelini, američki reformatorski pokret opredjeljuje se za »nauk u židovstvu da je čovjekova d. besmrtna« i odbacuje vjeru u uskrsnuće tijela (7. načelo Pittsburške platforme iz 1885). Za razliku od europskoga reformatorskog pokre</w:t>
        <w:softHyphen/>
        <w:t>ta XIX. i XX. stoljeća, koji je bio sklon za</w:t>
        <w:softHyphen/>
        <w:t>držati u liturgiji tradicionalnu formulu oživlja</w:t>
        <w:softHyphen/>
        <w:t xml:space="preserve">vanja mrtvih, premda upućuje u prijevodu na besmrtnost, radikalno shvaćanje odražava se u molitvenicima reformatorskih općina u SAD-u, </w:t>
      </w:r>
      <w:r>
        <w:rPr>
          <w:rFonts w:ascii="Times New Roman" w:eastAsia="Times New Roman" w:hAnsi="Times New Roman" w:cs="Times New Roman"/>
          <w:color w:val="000000"/>
          <w:spacing w:val="0"/>
          <w:w w:val="100"/>
          <w:position w:val="0"/>
          <w:sz w:val="15"/>
          <w:szCs w:val="15"/>
          <w:shd w:val="clear" w:color="auto" w:fill="auto"/>
          <w:lang w:val="hr-HR" w:eastAsia="hr-HR" w:bidi="hr-HR"/>
        </w:rPr>
        <w:t>a i u religijsko-kulturnom rckonstrukcionizmu američkoga židovstva: rečenica koja potvrđu</w:t>
        <w:softHyphen/>
        <w:t xml:space="preserve">je vjeru u uskrsnuće izbačena je.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Leo Baeck </w:t>
      </w:r>
      <w:r>
        <w:rPr>
          <w:rFonts w:ascii="Times New Roman" w:eastAsia="Times New Roman" w:hAnsi="Times New Roman" w:cs="Times New Roman"/>
          <w:color w:val="000000"/>
          <w:spacing w:val="0"/>
          <w:w w:val="100"/>
          <w:position w:val="0"/>
          <w:sz w:val="15"/>
          <w:szCs w:val="15"/>
          <w:shd w:val="clear" w:color="auto" w:fill="auto"/>
          <w:lang w:val="hr-HR" w:eastAsia="hr-HR" w:bidi="hr-HR"/>
        </w:rPr>
        <w:t>izrazio jc mišljenje religijsko-liberalnoga ži</w:t>
        <w:softHyphen/>
        <w:t>dovstva u Njemačkoj: »Čovjeku je pokazan njegov put kojim treba ići, i besmrtnost do</w:t>
        <w:softHyphen/>
        <w:t xml:space="preserve">pušta da tim putem nastavi i poslije svojega života na zemlji. Čovjek stvara vječni život. I besmrtnost postaje u židovstvu zapovijed.«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 xml:space="preserve">(Das Wesen des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Judentums,</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1905, ''1966, 205). </w:t>
      </w:r>
      <w:r>
        <w:rPr>
          <w:rFonts w:ascii="Arial" w:eastAsia="Arial" w:hAnsi="Arial" w:cs="Arial"/>
          <w:color w:val="000000"/>
          <w:spacing w:val="0"/>
          <w:w w:val="100"/>
          <w:position w:val="0"/>
          <w:sz w:val="12"/>
          <w:szCs w:val="12"/>
          <w:shd w:val="clear" w:color="auto" w:fill="auto"/>
          <w:lang w:val="en-US" w:eastAsia="en-US" w:bidi="en-US"/>
        </w:rPr>
        <w:t xml:space="preserve">Lit.: </w:t>
      </w:r>
      <w:r>
        <w:rPr>
          <w:rFonts w:ascii="Arial" w:eastAsia="Arial" w:hAnsi="Arial" w:cs="Arial"/>
          <w:i/>
          <w:iCs/>
          <w:color w:val="000000"/>
          <w:spacing w:val="0"/>
          <w:w w:val="100"/>
          <w:position w:val="0"/>
          <w:sz w:val="12"/>
          <w:szCs w:val="12"/>
          <w:shd w:val="clear" w:color="auto" w:fill="auto"/>
          <w:lang w:val="en-US" w:eastAsia="en-US" w:bidi="en-US"/>
        </w:rPr>
        <w:t>Encyclopaedia Judaica</w:t>
      </w:r>
      <w:r>
        <w:rPr>
          <w:rFonts w:ascii="Arial" w:eastAsia="Arial" w:hAnsi="Arial" w:cs="Arial"/>
          <w:color w:val="000000"/>
          <w:spacing w:val="0"/>
          <w:w w:val="100"/>
          <w:position w:val="0"/>
          <w:sz w:val="12"/>
          <w:szCs w:val="12"/>
          <w:shd w:val="clear" w:color="auto" w:fill="auto"/>
          <w:lang w:val="en-US" w:eastAsia="en-US" w:bidi="en-US"/>
        </w:rPr>
        <w:t xml:space="preserve"> </w:t>
      </w:r>
      <w:r>
        <w:rPr>
          <w:rFonts w:ascii="Arial" w:eastAsia="Arial" w:hAnsi="Arial" w:cs="Arial"/>
          <w:color w:val="000000"/>
          <w:spacing w:val="0"/>
          <w:w w:val="100"/>
          <w:position w:val="0"/>
          <w:sz w:val="12"/>
          <w:szCs w:val="12"/>
          <w:shd w:val="clear" w:color="auto" w:fill="auto"/>
          <w:lang w:val="hr-HR" w:eastAsia="hr-HR" w:bidi="hr-HR"/>
        </w:rPr>
        <w:t xml:space="preserve">15/1978. &gt;72-181. </w:t>
      </w:r>
      <w:r>
        <w:rPr>
          <w:rFonts w:ascii="Arial" w:eastAsia="Arial" w:hAnsi="Arial" w:cs="Arial"/>
          <w:color w:val="000000"/>
          <w:spacing w:val="0"/>
          <w:w w:val="100"/>
          <w:position w:val="0"/>
          <w:sz w:val="12"/>
          <w:szCs w:val="12"/>
          <w:shd w:val="clear" w:color="auto" w:fill="auto"/>
          <w:lang w:val="en-US" w:eastAsia="en-US" w:bidi="en-US"/>
        </w:rPr>
        <w:t xml:space="preserve">I) </w:t>
      </w:r>
      <w:r>
        <w:rPr>
          <w:rFonts w:ascii="Arial" w:eastAsia="Arial" w:hAnsi="Arial" w:cs="Arial"/>
          <w:color w:val="000000"/>
          <w:spacing w:val="0"/>
          <w:w w:val="100"/>
          <w:position w:val="0"/>
          <w:sz w:val="12"/>
          <w:szCs w:val="12"/>
          <w:shd w:val="clear" w:color="auto" w:fill="auto"/>
          <w:lang w:val="hr-HR" w:eastAsia="hr-HR" w:bidi="hr-HR"/>
        </w:rPr>
        <w:t>vi-TITR</w:t>
      </w:r>
    </w:p>
    <w:p>
      <w:pPr>
        <w:pStyle w:val="Style63"/>
        <w:keepNext/>
        <w:keepLines/>
        <w:widowControl w:val="0"/>
        <w:numPr>
          <w:ilvl w:val="0"/>
          <w:numId w:val="109"/>
        </w:numPr>
        <w:shd w:val="clear" w:color="auto" w:fill="auto"/>
        <w:tabs>
          <w:tab w:pos="255" w:val="left"/>
        </w:tabs>
        <w:bidi w:val="0"/>
        <w:spacing w:before="0"/>
        <w:ind w:left="0" w:right="0" w:firstLine="0"/>
        <w:jc w:val="both"/>
      </w:pPr>
      <w:bookmarkStart w:id="84" w:name="bookmark8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8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osnovi različitih predodžbi koje vladaju, nije moguća općenito prihvatljiva definicija pojma »duše«; zato treba sada, na ovome mjestu, obraditi neke od najvažnijih aspekata toga pojma. Mišljenje da u čovjeku postoji duhovno načelo u najtješnjoj povezanosti sa životnim funkcijama rašireno je u svim kultu</w:t>
        <w:softHyphen/>
        <w:t>rama; mogu se prije svega zapaziti dva razli</w:t>
        <w:softHyphen/>
        <w:t>čita shvaćanja duše: Na jednoj strani shvaća</w:t>
        <w:softHyphen/>
        <w:t xml:space="preserve">nje o </w:t>
      </w:r>
      <w:r>
        <w:rPr>
          <w:rFonts w:ascii="Times New Roman" w:eastAsia="Times New Roman" w:hAnsi="Times New Roman" w:cs="Times New Roman"/>
          <w:i/>
          <w:iCs/>
          <w:color w:val="000000"/>
          <w:spacing w:val="0"/>
          <w:w w:val="100"/>
          <w:position w:val="0"/>
          <w:shd w:val="clear" w:color="auto" w:fill="auto"/>
          <w:lang w:val="hr-HR" w:eastAsia="hr-HR" w:bidi="hr-HR"/>
        </w:rPr>
        <w:t>vitalnoj duši</w:t>
      </w:r>
      <w:r>
        <w:rPr>
          <w:rFonts w:ascii="Times New Roman" w:eastAsia="Times New Roman" w:hAnsi="Times New Roman" w:cs="Times New Roman"/>
          <w:color w:val="000000"/>
          <w:spacing w:val="0"/>
          <w:w w:val="100"/>
          <w:position w:val="0"/>
          <w:shd w:val="clear" w:color="auto" w:fill="auto"/>
          <w:lang w:val="hr-HR" w:eastAsia="hr-HR" w:bidi="hr-HR"/>
        </w:rPr>
        <w:t xml:space="preserve"> koja kao udisaj ili dah sači</w:t>
        <w:softHyphen/>
        <w:t>njava životno načelo svih živih bića, a kod čo</w:t>
        <w:softHyphen/>
        <w:t>vjeka je dodatno sjedište mišljenja, htijenja i osjećaja i tako temelj individualnosti; na dru</w:t>
        <w:softHyphen/>
        <w:t xml:space="preserve">goj strani je tzv. </w:t>
      </w:r>
      <w:r>
        <w:rPr>
          <w:rFonts w:ascii="Times New Roman" w:eastAsia="Times New Roman" w:hAnsi="Times New Roman" w:cs="Times New Roman"/>
          <w:i/>
          <w:iCs/>
          <w:color w:val="000000"/>
          <w:spacing w:val="0"/>
          <w:w w:val="100"/>
          <w:position w:val="0"/>
          <w:shd w:val="clear" w:color="auto" w:fill="auto"/>
          <w:lang w:val="hr-HR" w:eastAsia="hr-HR" w:bidi="hr-HR"/>
        </w:rPr>
        <w:t>slobodna d.</w:t>
      </w:r>
      <w:r>
        <w:rPr>
          <w:rFonts w:ascii="Times New Roman" w:eastAsia="Times New Roman" w:hAnsi="Times New Roman" w:cs="Times New Roman"/>
          <w:color w:val="000000"/>
          <w:spacing w:val="0"/>
          <w:w w:val="100"/>
          <w:position w:val="0"/>
          <w:shd w:val="clear" w:color="auto" w:fill="auto"/>
          <w:lang w:val="hr-HR" w:eastAsia="hr-HR" w:bidi="hr-HR"/>
        </w:rPr>
        <w:t xml:space="preserve"> koja je samo la</w:t>
        <w:softHyphen/>
        <w:t>bavo povezana s tijelom i može ga napustiti pri spavanju i snu, a čovjeka predstavlja kao njegova bestjelesna kopija i nakon smrti na</w:t>
        <w:softHyphen/>
        <w:t>stavlja čovjekovo individualno postojanje, od</w:t>
        <w:softHyphen/>
        <w:t>nosno reinkarnirana jc u drugom ljudskom ili životinjskom obliku.</w:t>
      </w:r>
    </w:p>
    <w:p>
      <w:pPr>
        <w:pStyle w:val="Style20"/>
        <w:keepNext w:val="0"/>
        <w:keepLines w:val="0"/>
        <w:widowControl w:val="0"/>
        <w:shd w:val="clear" w:color="auto" w:fill="auto"/>
        <w:bidi w:val="0"/>
        <w:spacing w:before="0" w:after="0"/>
        <w:ind w:left="0" w:right="0" w:firstLine="0"/>
        <w:jc w:val="both"/>
        <w:sectPr>
          <w:headerReference w:type="default" r:id="rId359"/>
          <w:footerReference w:type="default" r:id="rId360"/>
          <w:headerReference w:type="even" r:id="rId361"/>
          <w:footerReference w:type="even" r:id="rId362"/>
          <w:footnotePr>
            <w:pos w:val="pageBottom"/>
            <w:numFmt w:val="decimal"/>
            <w:numStart w:val="5"/>
            <w:numRestart w:val="continuous"/>
            <w15:footnoteColumns w:val="1"/>
          </w:footnotePr>
          <w:pgSz w:w="6816" w:h="11006"/>
          <w:pgMar w:top="769" w:left="191" w:right="197" w:bottom="378" w:header="0" w:footer="3" w:gutter="0"/>
          <w:pgNumType w:start="127"/>
          <w:cols w:num="2" w:space="198"/>
          <w:noEndnote/>
          <w:rtlGutter w:val="0"/>
          <w:docGrid w:linePitch="360"/>
        </w:sectPr>
      </w:pPr>
      <w:r>
        <w:drawing>
          <wp:anchor distT="63500" distB="254000" distL="114300" distR="114300" simplePos="0" relativeHeight="125829388" behindDoc="0" locked="0" layoutInCell="1" allowOverlap="1">
            <wp:simplePos x="0" y="0"/>
            <wp:positionH relativeFrom="page">
              <wp:posOffset>4015105</wp:posOffset>
            </wp:positionH>
            <wp:positionV relativeFrom="margin">
              <wp:posOffset>6218555</wp:posOffset>
            </wp:positionV>
            <wp:extent cx="182880" cy="97790"/>
            <wp:wrapTopAndBottom/>
            <wp:docPr id="787" name="Shape 787"/>
            <a:graphic xmlns:a="http://schemas.openxmlformats.org/drawingml/2006/main">
              <a:graphicData uri="http://schemas.openxmlformats.org/drawingml/2006/picture">
                <pic:pic xmlns:pic="http://schemas.openxmlformats.org/drawingml/2006/picture">
                  <pic:nvPicPr>
                    <pic:cNvPr id="788" name="Picture box 788"/>
                    <pic:cNvPicPr/>
                  </pic:nvPicPr>
                  <pic:blipFill>
                    <a:blip r:embed="rId363"/>
                    <a:stretch/>
                  </pic:blipFill>
                  <pic:spPr>
                    <a:xfrm>
                      <a:ext cx="182880" cy="97790"/>
                    </a:xfrm>
                    <a:prstGeom prst="rect"/>
                  </pic:spPr>
                </pic:pic>
              </a:graphicData>
            </a:graphic>
          </wp:anchor>
        </w:drawing>
      </w:r>
      <w:r>
        <w:rPr>
          <w:rFonts w:ascii="Times New Roman" w:eastAsia="Times New Roman" w:hAnsi="Times New Roman" w:cs="Times New Roman"/>
          <w:color w:val="000000"/>
          <w:spacing w:val="0"/>
          <w:w w:val="100"/>
          <w:position w:val="0"/>
          <w:shd w:val="clear" w:color="auto" w:fill="auto"/>
          <w:lang w:val="hr-HR" w:eastAsia="hr-HR" w:bidi="hr-HR"/>
        </w:rPr>
        <w:t>Za razvoj filozofskog učenja o duši karakteris</w:t>
        <w:softHyphen/>
        <w:t>tično je prevladavanje toga pluralizma duše. Pritom treba razlikovati dva temeljno različita stava: dualizam tijelo-d. i monizam tijclo-d. Prvi je uz orfike i pitagorejce zastupao Platon čije je učenje o duši u ukupnoj zapadnoj filo</w:t>
        <w:softHyphen/>
        <w:t>zofiji bilo izvanredno djelotvorno. Platon jc shvaćao tijelo kao da sasvim slučajno pripada duši; tijelo nije ništa drugo nego nebitna pro</w:t>
        <w:softHyphen/>
        <w:t>lazna stanica duše koja priječi čovjekov za</w:t>
        <w:softHyphen/>
        <w:t>mah, čak »tamnica« iz koje se d. tek smrću može potpuno osloboditi; takvo shvaćanje ti</w:t>
        <w:softHyphen/>
        <w:t xml:space="preserve">jela čini temelj za Platonovo učenje o </w:t>
      </w:r>
      <w:r>
        <w:rPr>
          <w:rFonts w:ascii="Times New Roman" w:eastAsia="Times New Roman" w:hAnsi="Times New Roman" w:cs="Times New Roman"/>
          <w:i/>
          <w:iCs/>
          <w:color w:val="000000"/>
          <w:spacing w:val="0"/>
          <w:w w:val="100"/>
          <w:position w:val="0"/>
          <w:shd w:val="clear" w:color="auto" w:fill="auto"/>
          <w:lang w:val="hr-HR" w:eastAsia="hr-HR" w:bidi="hr-HR"/>
        </w:rPr>
        <w:t>seljenju duše</w:t>
      </w:r>
      <w:r>
        <w:rPr>
          <w:rFonts w:ascii="Times New Roman" w:eastAsia="Times New Roman" w:hAnsi="Times New Roman" w:cs="Times New Roman"/>
          <w:color w:val="000000"/>
          <w:spacing w:val="0"/>
          <w:w w:val="100"/>
          <w:position w:val="0"/>
          <w:shd w:val="clear" w:color="auto" w:fill="auto"/>
          <w:lang w:val="hr-HR" w:eastAsia="hr-HR" w:bidi="hr-HR"/>
        </w:rPr>
        <w:t xml:space="preserve"> i o </w:t>
      </w:r>
      <w:r>
        <w:rPr>
          <w:rFonts w:ascii="Times New Roman" w:eastAsia="Times New Roman" w:hAnsi="Times New Roman" w:cs="Times New Roman"/>
          <w:i/>
          <w:iCs/>
          <w:color w:val="000000"/>
          <w:spacing w:val="0"/>
          <w:w w:val="100"/>
          <w:position w:val="0"/>
          <w:shd w:val="clear" w:color="auto" w:fill="auto"/>
          <w:lang w:val="hr-HR" w:eastAsia="hr-HR" w:bidi="hr-HR"/>
        </w:rPr>
        <w:t>preegzistenciji duše.</w:t>
      </w:r>
      <w:r>
        <w:rPr>
          <w:rFonts w:ascii="Times New Roman" w:eastAsia="Times New Roman" w:hAnsi="Times New Roman" w:cs="Times New Roman"/>
          <w:color w:val="000000"/>
          <w:spacing w:val="0"/>
          <w:w w:val="100"/>
          <w:position w:val="0"/>
          <w:shd w:val="clear" w:color="auto" w:fill="auto"/>
          <w:lang w:val="hr-HR" w:eastAsia="hr-HR" w:bidi="hr-HR"/>
        </w:rPr>
        <w:t xml:space="preserve"> Nasuprot tomu, Aristotel je naglašavao nedjeljivo jedinstvo ti</w:t>
        <w:softHyphen/>
        <w:t>jela i duše pri čemu je dušu razumijevao pre</w:t>
        <w:softHyphen/>
        <w:t xml:space="preserve">ma mjerilu svoga hilemorfizma kao supstanci- jalan »oblik« tijela. Tijelo je po sebi grada,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mogućnost; tek po duši postaje aktualno, stvarno. Iz toga proizlazi nedjeljivo jedinstvo oduhovljenog tijela. Dok je bitni oblik biljaka samo vegetativan, životinje posjeduju sposob</w:t>
        <w:softHyphen/>
        <w:t xml:space="preserve">nost osjećanja </w:t>
      </w:r>
      <w:r>
        <w:rPr>
          <w:rFonts w:ascii="Times New Roman" w:eastAsia="Times New Roman" w:hAnsi="Times New Roman" w:cs="Times New Roman"/>
          <w:color w:val="000000"/>
          <w:spacing w:val="0"/>
          <w:w w:val="100"/>
          <w:position w:val="0"/>
          <w:shd w:val="clear" w:color="auto" w:fill="auto"/>
          <w:lang w:val="en-US" w:eastAsia="en-US" w:bidi="en-US"/>
        </w:rPr>
        <w:t xml:space="preserve">(anima </w:t>
      </w:r>
      <w:r>
        <w:rPr>
          <w:rFonts w:ascii="Times New Roman" w:eastAsia="Times New Roman" w:hAnsi="Times New Roman" w:cs="Times New Roman"/>
          <w:color w:val="000000"/>
          <w:spacing w:val="0"/>
          <w:w w:val="100"/>
          <w:position w:val="0"/>
          <w:shd w:val="clear" w:color="auto" w:fill="auto"/>
          <w:lang w:val="hr-HR" w:eastAsia="hr-HR" w:bidi="hr-HR"/>
        </w:rPr>
        <w:t xml:space="preserve">sensitiva), a tek čovjek raspolaže razumnom dušom </w:t>
      </w:r>
      <w:r>
        <w:rPr>
          <w:rFonts w:ascii="Times New Roman" w:eastAsia="Times New Roman" w:hAnsi="Times New Roman" w:cs="Times New Roman"/>
          <w:color w:val="000000"/>
          <w:spacing w:val="0"/>
          <w:w w:val="100"/>
          <w:position w:val="0"/>
          <w:shd w:val="clear" w:color="auto" w:fill="auto"/>
          <w:lang w:val="en-US" w:eastAsia="en-US" w:bidi="en-US"/>
        </w:rPr>
        <w:t xml:space="preserve">(anima </w:t>
      </w:r>
      <w:r>
        <w:rPr>
          <w:rFonts w:ascii="Times New Roman" w:eastAsia="Times New Roman" w:hAnsi="Times New Roman" w:cs="Times New Roman"/>
          <w:color w:val="000000"/>
          <w:spacing w:val="0"/>
          <w:w w:val="100"/>
          <w:position w:val="0"/>
          <w:shd w:val="clear" w:color="auto" w:fill="auto"/>
          <w:lang w:val="hr-HR" w:eastAsia="hr-HR" w:bidi="hr-HR"/>
        </w:rPr>
        <w:t>rationa- lis), ali koja nije ništa manje upućena na svoju tjelesnu osnovu.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Kršćansko shvaćanje</w:t>
      </w:r>
      <w:r>
        <w:rPr>
          <w:rFonts w:ascii="Times New Roman" w:eastAsia="Times New Roman" w:hAnsi="Times New Roman" w:cs="Times New Roman"/>
          <w:color w:val="000000"/>
          <w:spacing w:val="0"/>
          <w:w w:val="100"/>
          <w:position w:val="0"/>
          <w:shd w:val="clear" w:color="auto" w:fill="auto"/>
          <w:lang w:val="hr-HR" w:eastAsia="hr-HR" w:bidi="hr-HR"/>
        </w:rPr>
        <w:t xml:space="preserve"> tijela i duše stoji u polju napetosti između hebrejsko-biblijskoga gle</w:t>
        <w:softHyphen/>
        <w:t>dišta na čovjeka kao tjelesno-duševne cjeline i primanja platonsko-neoplatonskih ideja koje je osobito uslijedilo u ranom kršćanstvu, a za</w:t>
        <w:softHyphen/>
        <w:t>stupalo je temeljni dualizam: tijelo-d. Tek u kasnom srednjem vijeku uslijedilo je, pod utjecajem aristotelizma koji su posredovali Arapi, dosljedno filozofsko utemeljenje bib</w:t>
        <w:softHyphen/>
        <w:t>lijske antropologije odnosno psihologije. To</w:t>
        <w:softHyphen/>
        <w:t>ma Akvinski postavio je kasnije u kanon pri</w:t>
        <w:softHyphen/>
        <w:t xml:space="preserve">hvaćenu formulu o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anima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unica forma </w:t>
      </w:r>
      <w:r>
        <w:rPr>
          <w:rFonts w:ascii="Times New Roman" w:eastAsia="Times New Roman" w:hAnsi="Times New Roman" w:cs="Times New Roman"/>
          <w:i/>
          <w:iCs/>
          <w:color w:val="000000"/>
          <w:spacing w:val="0"/>
          <w:w w:val="100"/>
          <w:position w:val="0"/>
          <w:shd w:val="clear" w:color="auto" w:fill="auto"/>
          <w:lang w:val="en-US" w:eastAsia="en-US" w:bidi="en-US"/>
        </w:rPr>
        <w:t>corpo</w:t>
        <w:softHyphen/>
        <w:t>ris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(usp. ES 481), koja dušu i tijelo shvaća kao dva samo metafizički (tj. upravo ne fizički) razlikovna načela bitka jednoga jedinog bića. Nc može, dakle, biti ni govora o »neprijatelj</w:t>
        <w:softHyphen/>
        <w:t>stvu prema tijelu« u kršćanstvu makar je tak</w:t>
        <w:softHyphen/>
        <w:t>vo katkada zastupao Pavao zbog sklonosti ra</w:t>
        <w:softHyphen/>
        <w:t>noga kršćanstva platonizmu i često krivo shva</w:t>
        <w:softHyphen/>
        <w:t>ćenoj diskriminaciji »tijela« kao mjesta grijeha. S druge strane, kršćanska teologija naglašava, naravno prema primjeru Kristova tjelesnog uskrsnuća, ispunjeno »obnavljanje« vremeni</w:t>
        <w:softHyphen/>
        <w:t>tog jedinstva dušc-tijcla u transcendentalnom okviru »uskrsnuća tijela«. O duši izrečena besmrtnost nije, dakle, perpetuiranje već i »u tijelu« postojeće duše; dapače, smrt predstav</w:t>
        <w:softHyphen/>
        <w:t>lja pravu i za ljudsko shvaćanje neprckoračivu granicu onkraj koje sc čovjek »drži otvorenim za izvješće objave o vječnoj čovjekovoj sud</w:t>
        <w:softHyphen/>
        <w:t xml:space="preserve">bini«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B. Metz).</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Platonska tradicija nastavila se prije svega u dualizmu novovjekovnog racionalizma: </w:t>
      </w:r>
      <w:r>
        <w:rPr>
          <w:rFonts w:ascii="Times New Roman" w:eastAsia="Times New Roman" w:hAnsi="Times New Roman" w:cs="Times New Roman"/>
          <w:color w:val="000000"/>
          <w:spacing w:val="0"/>
          <w:w w:val="100"/>
          <w:position w:val="0"/>
          <w:shd w:val="clear" w:color="auto" w:fill="auto"/>
          <w:lang w:val="en-US" w:eastAsia="en-US" w:bidi="en-US"/>
        </w:rPr>
        <w:t>Des</w:t>
        <w:softHyphen/>
        <w:t xml:space="preserve">cartes </w:t>
      </w:r>
      <w:r>
        <w:rPr>
          <w:rFonts w:ascii="Times New Roman" w:eastAsia="Times New Roman" w:hAnsi="Times New Roman" w:cs="Times New Roman"/>
          <w:color w:val="000000"/>
          <w:spacing w:val="0"/>
          <w:w w:val="100"/>
          <w:position w:val="0"/>
          <w:shd w:val="clear" w:color="auto" w:fill="auto"/>
          <w:lang w:val="hr-HR" w:eastAsia="hr-HR" w:bidi="hr-HR"/>
        </w:rPr>
        <w:t xml:space="preserve">zahtijeva strogo rastavljanje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res cogitans </w:t>
      </w:r>
      <w:r>
        <w:rPr>
          <w:rFonts w:ascii="Times New Roman" w:eastAsia="Times New Roman" w:hAnsi="Times New Roman" w:cs="Times New Roman"/>
          <w:color w:val="000000"/>
          <w:spacing w:val="0"/>
          <w:w w:val="100"/>
          <w:position w:val="0"/>
          <w:shd w:val="clear" w:color="auto" w:fill="auto"/>
          <w:lang w:val="hr-HR" w:eastAsia="hr-HR" w:bidi="hr-HR"/>
        </w:rPr>
        <w:t xml:space="preserve">od </w:t>
      </w:r>
      <w:r>
        <w:rPr>
          <w:rFonts w:ascii="Times New Roman" w:eastAsia="Times New Roman" w:hAnsi="Times New Roman" w:cs="Times New Roman"/>
          <w:i/>
          <w:iCs/>
          <w:color w:val="000000"/>
          <w:spacing w:val="0"/>
          <w:w w:val="100"/>
          <w:position w:val="0"/>
          <w:shd w:val="clear" w:color="auto" w:fill="auto"/>
          <w:lang w:val="en-US" w:eastAsia="en-US" w:bidi="en-US"/>
        </w:rPr>
        <w:t>res extensa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čime iskrsava uzajamno djelo</w:t>
        <w:softHyphen/>
        <w:t>vanje između duše i tijela. Konzekventni du</w:t>
        <w:softHyphen/>
        <w:t>alizam mogao se podržavati samo prihvaća</w:t>
        <w:softHyphen/>
        <w:t xml:space="preserve">njem </w:t>
      </w:r>
      <w:r>
        <w:rPr>
          <w:rFonts w:ascii="Times New Roman" w:eastAsia="Times New Roman" w:hAnsi="Times New Roman" w:cs="Times New Roman"/>
          <w:i/>
          <w:iCs/>
          <w:color w:val="000000"/>
          <w:spacing w:val="0"/>
          <w:w w:val="100"/>
          <w:position w:val="0"/>
          <w:shd w:val="clear" w:color="auto" w:fill="auto"/>
          <w:lang w:val="hr-HR" w:eastAsia="hr-HR" w:bidi="hr-HR"/>
        </w:rPr>
        <w:t>paralelizma</w:t>
      </w:r>
      <w:r>
        <w:rPr>
          <w:rFonts w:ascii="Times New Roman" w:eastAsia="Times New Roman" w:hAnsi="Times New Roman" w:cs="Times New Roman"/>
          <w:color w:val="000000"/>
          <w:spacing w:val="0"/>
          <w:w w:val="100"/>
          <w:position w:val="0"/>
          <w:shd w:val="clear" w:color="auto" w:fill="auto"/>
          <w:lang w:val="hr-HR" w:eastAsia="hr-HR" w:bidi="hr-HR"/>
        </w:rPr>
        <w:t xml:space="preserve"> duševnih i tjelesnih zbivanja </w:t>
      </w:r>
      <w:r>
        <w:rPr>
          <w:rFonts w:ascii="Times New Roman" w:eastAsia="Times New Roman" w:hAnsi="Times New Roman" w:cs="Times New Roman"/>
          <w:color w:val="000000"/>
          <w:spacing w:val="0"/>
          <w:w w:val="100"/>
          <w:position w:val="0"/>
          <w:shd w:val="clear" w:color="auto" w:fill="auto"/>
          <w:lang w:val="en-US" w:eastAsia="en-US" w:bidi="en-US"/>
        </w:rPr>
        <w:t xml:space="preserve">(Leibniz) </w:t>
      </w:r>
      <w:r>
        <w:rPr>
          <w:rFonts w:ascii="Times New Roman" w:eastAsia="Times New Roman" w:hAnsi="Times New Roman" w:cs="Times New Roman"/>
          <w:color w:val="000000"/>
          <w:spacing w:val="0"/>
          <w:w w:val="100"/>
          <w:position w:val="0"/>
          <w:shd w:val="clear" w:color="auto" w:fill="auto"/>
          <w:lang w:val="hr-HR" w:eastAsia="hr-HR" w:bidi="hr-HR"/>
        </w:rPr>
        <w:t>pri čemu ipak ostaje problem »sin</w:t>
        <w:softHyphen/>
        <w:t>kronizacije« obadvaju područja. I tzv. monis- tički pokušaji objašnjenja pri obrađivanju pi</w:t>
        <w:softHyphen/>
        <w:t>tanja uzajamnog djelovanja izlaze iz svoje ča</w:t>
        <w:softHyphen/>
        <w:t xml:space="preserve">hure kao pritajeni dualizmi, tumačeći tjelesna zbivanja samo kao projekciju duševnih (spiri- </w:t>
      </w:r>
      <w:r>
        <w:rPr>
          <w:rFonts w:ascii="Times New Roman" w:eastAsia="Times New Roman" w:hAnsi="Times New Roman" w:cs="Times New Roman"/>
          <w:color w:val="000000"/>
          <w:spacing w:val="0"/>
          <w:w w:val="100"/>
          <w:position w:val="0"/>
          <w:shd w:val="clear" w:color="auto" w:fill="auto"/>
          <w:lang w:val="hr-HR" w:eastAsia="hr-HR" w:bidi="hr-HR"/>
        </w:rPr>
        <w:t>tualistički monizam) ili duševna zbivanja kao epifenomene tjelesnih zbivanja, dakle, tuma</w:t>
        <w:softHyphen/>
        <w:t>če ih kao prividne (materijalistički monizam). Iako su za problematiku tijelo-d. relevantni i rezultati pojedinačnih znanosti (psihologija, medicina, prije svega psihosomatika), ipak je svaki put najvažniji temeljni spoznajno-teo- retski filozofski stav.</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Conrad-Martius,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Geistseele des Menschen, </w:t>
      </w:r>
      <w:r>
        <w:rPr>
          <w:color w:val="000000"/>
          <w:spacing w:val="0"/>
          <w:w w:val="100"/>
          <w:position w:val="0"/>
          <w:shd w:val="clear" w:color="auto" w:fill="auto"/>
          <w:lang w:val="hr-HR" w:eastAsia="hr-HR" w:bidi="hr-HR"/>
        </w:rPr>
        <w:t xml:space="preserve">Miinchcn 1960;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C. Eccles/K. R. </w:t>
      </w:r>
      <w:r>
        <w:rPr>
          <w:color w:val="000000"/>
          <w:spacing w:val="0"/>
          <w:w w:val="100"/>
          <w:position w:val="0"/>
          <w:shd w:val="clear" w:color="auto" w:fill="auto"/>
        </w:rPr>
        <w:t xml:space="preserve">Popper, </w:t>
      </w:r>
      <w:r>
        <w:rPr>
          <w:i/>
          <w:iCs/>
          <w:color w:val="000000"/>
          <w:spacing w:val="0"/>
          <w:w w:val="100"/>
          <w:position w:val="0"/>
          <w:shd w:val="clear" w:color="auto" w:fill="auto"/>
        </w:rPr>
        <w:t>The Self and its Brain. An Argument for interaciionism,</w:t>
      </w:r>
      <w:r>
        <w:rPr>
          <w:color w:val="000000"/>
          <w:spacing w:val="0"/>
          <w:w w:val="100"/>
          <w:position w:val="0"/>
          <w:shd w:val="clear" w:color="auto" w:fill="auto"/>
        </w:rPr>
        <w:t xml:space="preserve"> Berlin 1979 </w:t>
      </w:r>
      <w:r>
        <w:rPr>
          <w:color w:val="000000"/>
          <w:spacing w:val="0"/>
          <w:w w:val="100"/>
          <w:position w:val="0"/>
          <w:shd w:val="clear" w:color="auto" w:fill="auto"/>
          <w:lang w:val="hr-HR" w:eastAsia="hr-HR" w:bidi="hr-HR"/>
        </w:rPr>
        <w:t>(nje</w:t>
        <w:softHyphen/>
        <w:t xml:space="preserve">mački prijevod Miinchcn </w:t>
      </w:r>
      <w:r>
        <w:rPr>
          <w:color w:val="000000"/>
          <w:spacing w:val="0"/>
          <w:w w:val="100"/>
          <w:position w:val="0"/>
          <w:shd w:val="clear" w:color="auto" w:fill="auto"/>
        </w:rPr>
        <w:t xml:space="preserve">’1983); K. Rahner. </w:t>
      </w:r>
      <w:r>
        <w:rPr>
          <w:i/>
          <w:iCs/>
          <w:color w:val="000000"/>
          <w:spacing w:val="0"/>
          <w:w w:val="100"/>
          <w:position w:val="0"/>
          <w:shd w:val="clear" w:color="auto" w:fill="auto"/>
        </w:rPr>
        <w:t>Geist in Welt. Zur Metaphysik der endlichen Erkenntnis bei Thomas von Aquin,</w:t>
      </w:r>
      <w:r>
        <w:rPr>
          <w:color w:val="000000"/>
          <w:spacing w:val="0"/>
          <w:w w:val="100"/>
          <w:position w:val="0"/>
          <w:shd w:val="clear" w:color="auto" w:fill="auto"/>
        </w:rPr>
        <w:t xml:space="preserve"> Munchcn ’1964; H. J. Schultz (Hr.sg.), </w:t>
      </w:r>
      <w:r>
        <w:rPr>
          <w:i/>
          <w:iCs/>
          <w:color w:val="000000"/>
          <w:spacing w:val="0"/>
          <w:w w:val="100"/>
          <w:position w:val="0"/>
          <w:shd w:val="clear" w:color="auto" w:fill="auto"/>
        </w:rPr>
        <w:t>Was tveifl man von der Seele? Erforschung und Erfahrung in Psycholo</w:t>
        <w:softHyphen/>
        <w:t>gic, Philosophic und Thcologie.</w:t>
      </w:r>
      <w:r>
        <w:rPr>
          <w:color w:val="000000"/>
          <w:spacing w:val="0"/>
          <w:w w:val="100"/>
          <w:position w:val="0"/>
          <w:shd w:val="clear" w:color="auto" w:fill="auto"/>
        </w:rPr>
        <w:t xml:space="preserve"> Stuttgart 1967; J. Scifcn, </w:t>
      </w:r>
      <w:r>
        <w:rPr>
          <w:i/>
          <w:iCs/>
          <w:color w:val="000000"/>
          <w:spacing w:val="0"/>
          <w:w w:val="100"/>
          <w:position w:val="0"/>
          <w:shd w:val="clear" w:color="auto" w:fill="auto"/>
        </w:rPr>
        <w:t>Das Letb-Seele-Pn/blem in der gegenwdrtigen phdosophischen Diskussion</w:t>
      </w:r>
      <w:r>
        <w:rPr>
          <w:color w:val="000000"/>
          <w:spacing w:val="0"/>
          <w:w w:val="100"/>
          <w:position w:val="0"/>
          <w:shd w:val="clear" w:color="auto" w:fill="auto"/>
        </w:rPr>
        <w:t xml:space="preserve"> (Enrage der b'orschung), Darmstadt 1979.</w:t>
      </w:r>
    </w:p>
    <w:p>
      <w:pPr>
        <w:pStyle w:val="Style74"/>
        <w:keepNext w:val="0"/>
        <w:keepLines w:val="0"/>
        <w:widowControl w:val="0"/>
        <w:shd w:val="clear" w:color="auto" w:fill="auto"/>
        <w:bidi w:val="0"/>
        <w:spacing w:before="0" w:after="16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R. GLE1</w:t>
      </w:r>
    </w:p>
    <w:p>
      <w:pPr>
        <w:pStyle w:val="Style63"/>
        <w:keepNext/>
        <w:keepLines/>
        <w:widowControl w:val="0"/>
        <w:numPr>
          <w:ilvl w:val="0"/>
          <w:numId w:val="109"/>
        </w:numPr>
        <w:shd w:val="clear" w:color="auto" w:fill="auto"/>
        <w:tabs>
          <w:tab w:pos="260" w:val="left"/>
        </w:tabs>
        <w:bidi w:val="0"/>
        <w:spacing w:before="0" w:after="80" w:line="226" w:lineRule="auto"/>
        <w:ind w:left="0" w:right="0" w:firstLine="0"/>
        <w:jc w:val="both"/>
      </w:pPr>
      <w:bookmarkStart w:id="85" w:name="bookmark85"/>
      <w:r>
        <w:rPr>
          <w:rFonts w:ascii="Times New Roman" w:eastAsia="Times New Roman" w:hAnsi="Times New Roman" w:cs="Times New Roman"/>
          <w:color w:val="000000"/>
          <w:spacing w:val="0"/>
          <w:w w:val="100"/>
          <w:position w:val="0"/>
          <w:shd w:val="clear" w:color="auto" w:fill="auto"/>
          <w:lang w:val="hr-HR" w:eastAsia="hr-HR" w:bidi="hr-HR"/>
        </w:rPr>
        <w:t>islamski</w:t>
      </w:r>
      <w:bookmarkEnd w:id="85"/>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pojmu duše puno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raspravljalo u islam</w:t>
        <w:softHyphen/>
        <w:t>skoj teologiji. U prvom razdoblju islama kao d. je često predočavana neka nevidljiva sup</w:t>
        <w:softHyphen/>
        <w:t>stancija koja podupire tijelo u njegovu obav</w:t>
        <w:softHyphen/>
        <w:t xml:space="preserve">ljanju životnih funkcija. Oslanjajući se na ku- ransku primjenu arapske riječi </w:t>
      </w:r>
      <w:r>
        <w:rPr>
          <w:rFonts w:ascii="Times New Roman" w:eastAsia="Times New Roman" w:hAnsi="Times New Roman" w:cs="Times New Roman"/>
          <w:i/>
          <w:iCs/>
          <w:color w:val="000000"/>
          <w:spacing w:val="0"/>
          <w:w w:val="100"/>
          <w:position w:val="0"/>
          <w:shd w:val="clear" w:color="auto" w:fill="auto"/>
          <w:lang w:val="hr-HR" w:eastAsia="hr-HR" w:bidi="hr-HR"/>
        </w:rPr>
        <w:t>nafs,</w:t>
      </w:r>
      <w:r>
        <w:rPr>
          <w:rFonts w:ascii="Times New Roman" w:eastAsia="Times New Roman" w:hAnsi="Times New Roman" w:cs="Times New Roman"/>
          <w:color w:val="000000"/>
          <w:spacing w:val="0"/>
          <w:w w:val="100"/>
          <w:position w:val="0"/>
          <w:shd w:val="clear" w:color="auto" w:fill="auto"/>
          <w:lang w:val="hr-HR" w:eastAsia="hr-HR" w:bidi="hr-HR"/>
        </w:rPr>
        <w:t xml:space="preserve"> što znači d., pod tim se često podrazumijeva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nagon, </w:t>
      </w:r>
      <w:r>
        <w:rPr>
          <w:rFonts w:ascii="Times New Roman" w:eastAsia="Times New Roman" w:hAnsi="Times New Roman" w:cs="Times New Roman"/>
          <w:color w:val="000000"/>
          <w:spacing w:val="0"/>
          <w:w w:val="100"/>
          <w:position w:val="0"/>
          <w:shd w:val="clear" w:color="auto" w:fill="auto"/>
          <w:lang w:val="hr-HR" w:eastAsia="hr-HR" w:bidi="hr-HR"/>
        </w:rPr>
        <w:t xml:space="preserve">ponekad i </w:t>
      </w:r>
      <w:r>
        <w:rPr>
          <w:rFonts w:ascii="Times New Roman" w:eastAsia="Times New Roman" w:hAnsi="Times New Roman" w:cs="Times New Roman"/>
          <w:i/>
          <w:iCs/>
          <w:color w:val="000000"/>
          <w:spacing w:val="0"/>
          <w:w w:val="100"/>
          <w:position w:val="0"/>
          <w:shd w:val="clear" w:color="auto" w:fill="auto"/>
          <w:lang w:val="hr-HR" w:eastAsia="hr-HR" w:bidi="hr-HR"/>
        </w:rPr>
        <w:t>duh.</w:t>
      </w:r>
      <w:r>
        <w:rPr>
          <w:rFonts w:ascii="Times New Roman" w:eastAsia="Times New Roman" w:hAnsi="Times New Roman" w:cs="Times New Roman"/>
          <w:color w:val="000000"/>
          <w:spacing w:val="0"/>
          <w:w w:val="100"/>
          <w:position w:val="0"/>
          <w:shd w:val="clear" w:color="auto" w:fill="auto"/>
          <w:lang w:val="hr-HR" w:eastAsia="hr-HR" w:bidi="hr-HR"/>
        </w:rPr>
        <w:t xml:space="preserve"> Pod utjecajem grčke filozofije kasnije je razvijeno opsežno dušoslovljc. Razlikuju sc različite vrste duše. Prema Ibn Arabiju (u. 1240), svoje mjesto Božjega zas</w:t>
        <w:softHyphen/>
        <w:t>tupnika čovjek luči iz svjetske duše koja se također naziva Duh Sveti »prvi razum«. Psi</w:t>
        <w:softHyphen/>
        <w:t>hološki sustav al-Bajdavija (u. 1286), koji je priznat u ortodoksnom islamu, polazi od toga da je d. bestjelesna. Za to postoji pet umnih razloga, četiri stiha iz Kurana i jedan hadis. Duše se stvaraju kada se upotpune njihova tijela. D. »nije uključena u tijelo niti mu je bliska, nego sc prema njemu odnosi kao za</w:t>
        <w:softHyphen/>
        <w:t>ljubljenik u voljenu osobu« (HI, 572). Misleća d. po njemu je izvor snage koja skupa s du</w:t>
        <w:softHyphen/>
        <w:t>hom protječe kroz tijelo i daje organima spo</w:t>
        <w:softHyphen/>
        <w:t>sobnost funkcioniranja.</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je stvorena, ali je besmrtna. Prema Ibn Ka- jimu al-Džavziji, učenjaku strogo rigorističko- ga usmjerenja (u. 1350), ona u snu privreme</w:t>
        <w:softHyphen/>
        <w:t>no napušta tijelo. Ona je identična s duhom. Rđave posljedice nepravednoga čina pogađa</w:t>
        <w:softHyphen/>
        <w:t>ju prije svega duše: »Tko uradi dobro djelo, učinio ga je za svoju vlastitu dušu, a tko je uči</w:t>
        <w:softHyphen/>
        <w:t>nio zlo djelo, učinio je to protiv nje« (45,15).</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moralnoj teologiji al-Gazalija d. se iscrpno obrađuje kao važan čimbenik religioznoga ži</w:t>
        <w:softHyphen/>
        <w:t>vota.</w:t>
      </w:r>
    </w:p>
    <w:p>
      <w:pPr>
        <w:pStyle w:val="Style56"/>
        <w:keepNext w:val="0"/>
        <w:keepLines w:val="0"/>
        <w:widowControl w:val="0"/>
        <w:shd w:val="clear" w:color="auto" w:fill="auto"/>
        <w:tabs>
          <w:tab w:pos="2530" w:val="left"/>
        </w:tabs>
        <w:bidi w:val="0"/>
        <w:spacing w:before="0" w:after="240" w:line="240" w:lineRule="auto"/>
        <w:ind w:left="0" w:right="0" w:firstLine="0"/>
        <w:jc w:val="both"/>
      </w:pPr>
      <w:r>
        <w:rPr>
          <w:color w:val="000000"/>
          <w:spacing w:val="0"/>
          <w:w w:val="100"/>
          <w:position w:val="0"/>
          <w:shd w:val="clear" w:color="auto" w:fill="auto"/>
          <w:lang w:val="hr-HR" w:eastAsia="hr-HR" w:bidi="hr-HR"/>
        </w:rPr>
        <w:t>Lit.: natuknica »nafs«, u: Hl. 569-573.</w:t>
        <w:tab/>
        <w:t>S. HAI.IĆ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DUŠOBRIŽNIŠTVO</w:t>
      </w:r>
    </w:p>
    <w:p>
      <w:pPr>
        <w:pStyle w:val="Style63"/>
        <w:keepNext/>
        <w:keepLines/>
        <w:widowControl w:val="0"/>
        <w:numPr>
          <w:ilvl w:val="0"/>
          <w:numId w:val="111"/>
        </w:numPr>
        <w:shd w:val="clear" w:color="auto" w:fill="auto"/>
        <w:tabs>
          <w:tab w:pos="250" w:val="left"/>
        </w:tabs>
        <w:bidi w:val="0"/>
        <w:spacing w:before="0"/>
        <w:ind w:left="0" w:right="0" w:firstLine="0"/>
        <w:jc w:val="both"/>
      </w:pPr>
      <w:bookmarkStart w:id="86" w:name="bookmark86"/>
      <w:r>
        <w:rPr>
          <w:rFonts w:ascii="Times New Roman" w:eastAsia="Times New Roman" w:hAnsi="Times New Roman" w:cs="Times New Roman"/>
          <w:color w:val="000000"/>
          <w:spacing w:val="0"/>
          <w:w w:val="100"/>
          <w:position w:val="0"/>
          <w:shd w:val="clear" w:color="auto" w:fill="auto"/>
          <w:lang w:val="hr-HR" w:eastAsia="hr-HR" w:bidi="hr-HR"/>
        </w:rPr>
        <w:t>židovski</w:t>
      </w:r>
      <w:bookmarkEnd w:id="86"/>
    </w:p>
    <w:p>
      <w:pPr>
        <w:pStyle w:val="Style20"/>
        <w:keepNext w:val="0"/>
        <w:keepLines w:val="0"/>
        <w:widowControl w:val="0"/>
        <w:numPr>
          <w:ilvl w:val="0"/>
          <w:numId w:val="113"/>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»l opominjat ćeš ih u moje ime.«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iz</w:t>
        <w:softHyphen/>
        <w:t>vještava da njegovo poslanje Izraelu uključuje i njegovu odgovornost za svakog čovjeka u Božjem narodu, za njegov život, njegovo dje</w:t>
        <w:softHyphen/>
        <w:t>lovanje ili zanemarivanje poslušnosti Bogu ili neposluh Bogu: »Sine čovječji, postavljam tc za čuvara doma Izraelova. I ti ćeš riječi iz mo</w:t>
        <w:softHyphen/>
        <w:t>jih usta slušati i opominjat ćeš ih u moje ime« (Ez 3,17; usp. 33,1-20). Nalog za »čuvara« ne</w:t>
        <w:softHyphen/>
        <w:t>posredno dovodi u vezu život ili umiranje po</w:t>
        <w:softHyphen/>
        <w:t>jedinca s Ezekielovom nemamošću: »... a ti ga ne opomeneš i ne odvratiš bezbožnika od zla puta njegova kako bi mu život spasio,... ali ću ja od tebe tražiti račun za krv njegovu« (re</w:t>
        <w:softHyphen/>
        <w:t>dak 18), ili se odnosi na Ezekielovu budnost: »A kad opomeneš bezbožnika, a on se ne od</w:t>
        <w:softHyphen/>
        <w:t>vrati od zla puta svojega... ti ćeš spasiti svoju dušu« (život, redak 19; usp. 33,30-33). Bog će na poziv svojega glasnika uvijek iznova stva</w:t>
        <w:softHyphen/>
        <w:t>rati prostora za obraćenje i svoju već izgo</w:t>
        <w:softHyphen/>
        <w:t>vorenu riječ (3,18; 18,13; 33,8.13 i d.18) po</w:t>
        <w:softHyphen/>
        <w:t>novno povući u prilog odluke za život čovjeku koji se obraća (18,21.27; 33,16.19). U poseb</w:t>
        <w:softHyphen/>
        <w:t xml:space="preserve">nom povijesnom trenutku Izraela Bog je tražio od proroka »poruku osobne odgovornosti« (M. Bubcr, </w:t>
      </w:r>
      <w:r>
        <w:rPr>
          <w:rFonts w:ascii="Times New Roman" w:eastAsia="Times New Roman" w:hAnsi="Times New Roman" w:cs="Times New Roman"/>
          <w:i/>
          <w:iCs/>
          <w:color w:val="000000"/>
          <w:spacing w:val="0"/>
          <w:w w:val="100"/>
          <w:position w:val="0"/>
          <w:shd w:val="clear" w:color="auto" w:fill="auto"/>
          <w:lang w:val="hr-HR" w:eastAsia="hr-HR" w:bidi="hr-HR"/>
        </w:rPr>
        <w:t>Der Glaube der Propheten,</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1984, 231). No pravila ponašanja, koja vrijede za sve Izraelce, prema drugim članovima zajednice daju naslutiti da Božji temeljni poredak na</w:t>
        <w:softHyphen/>
        <w:t>laže svakom pripadniku naroda u odnosu pre</w:t>
        <w:softHyphen/>
        <w:t xml:space="preserve">ma bližnjemu: »Ne mrzi svoga brata u svom srcu! Dužnost ti je koriti svoga sunarodnjaka. Tako nećeš pasti u grijeh zbog njega«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19,17). Čovjek je izjednačen s bližnjim. Ono što je Stvoritelj dao Izrael je smatrao svojom zadaćom; ona traži od pojedinca odluku za bližnjega: »Ne osvećuj se i ne gaji srdžbe pre</w:t>
        <w:softHyphen/>
        <w:t>ma sinovima svoga naroda. Ljubi bližnjega svoga kao samoga sebe. JA sam koji jesam« (redak 18, usp. stih 33 i d.). Ljubav prema bližnjemu ostvaruje se kao socijalni rad.</w:t>
      </w:r>
    </w:p>
    <w:p>
      <w:pPr>
        <w:pStyle w:val="Style20"/>
        <w:keepNext w:val="0"/>
        <w:keepLines w:val="0"/>
        <w:widowControl w:val="0"/>
        <w:numPr>
          <w:ilvl w:val="0"/>
          <w:numId w:val="113"/>
        </w:numPr>
        <w:shd w:val="clear" w:color="auto" w:fill="auto"/>
        <w:tabs>
          <w:tab w:pos="270" w:val="left"/>
        </w:tabs>
        <w:bidi w:val="0"/>
        <w:spacing w:before="0" w:after="0"/>
        <w:ind w:left="0" w:right="0" w:firstLine="0"/>
        <w:jc w:val="both"/>
        <w:sectPr>
          <w:headerReference w:type="default" r:id="rId365"/>
          <w:footerReference w:type="default" r:id="rId366"/>
          <w:headerReference w:type="even" r:id="rId367"/>
          <w:footerReference w:type="even" r:id="rId368"/>
          <w:headerReference w:type="first" r:id="rId369"/>
          <w:footerReference w:type="first" r:id="rId370"/>
          <w:footnotePr>
            <w:pos w:val="pageBottom"/>
            <w:numFmt w:val="decimal"/>
            <w:numStart w:val="5"/>
            <w:numRestart w:val="continuous"/>
            <w15:footnoteColumns w:val="1"/>
          </w:footnotePr>
          <w:pgSz w:w="6816" w:h="11006"/>
          <w:pgMar w:top="769" w:left="191" w:right="197" w:bottom="378" w:header="0" w:footer="3" w:gutter="0"/>
          <w:pgNumType w:start="124"/>
          <w:cols w:num="2" w:space="198"/>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»Ljubi ljude iprivedi ih Tori.«</w:t>
      </w:r>
      <w:r>
        <w:rPr>
          <w:rFonts w:ascii="Times New Roman" w:eastAsia="Times New Roman" w:hAnsi="Times New Roman" w:cs="Times New Roman"/>
          <w:color w:val="000000"/>
          <w:spacing w:val="0"/>
          <w:w w:val="100"/>
          <w:position w:val="0"/>
          <w:shd w:val="clear" w:color="auto" w:fill="auto"/>
          <w:lang w:val="hr-HR" w:eastAsia="hr-HR" w:bidi="hr-HR"/>
        </w:rPr>
        <w:t xml:space="preserve"> Prema mišnaj- skoj i talmudskoj predaji, pobožnost pojedin</w:t>
        <w:softHyphen/>
      </w:r>
      <w:r>
        <w:rPr>
          <w:rFonts w:ascii="Times New Roman" w:eastAsia="Times New Roman" w:hAnsi="Times New Roman" w:cs="Times New Roman"/>
          <w:color w:val="000000"/>
          <w:spacing w:val="0"/>
          <w:w w:val="100"/>
          <w:position w:val="0"/>
          <w:shd w:val="clear" w:color="auto" w:fill="auto"/>
          <w:lang w:val="hr-HR" w:eastAsia="hr-HR" w:bidi="hr-HR"/>
        </w:rPr>
        <w:t>ca mora se dokazati u konkretnoj odgovor</w:t>
        <w:softHyphen/>
        <w:t>nosti prema bližnjemu. Paronomazijom obli</w:t>
        <w:softHyphen/>
        <w:t xml:space="preserve">kovana zapovijed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19,17 daje temu za sljedeći dijalog: »Jedan od učenika obrati se Ravu (III./IV. stoljeće): Možda ‘opomeni’ je</w:t>
        <w:softHyphen/>
        <w:t>danput, ‘prekori’ dvaput? Ovaj odgovori: ‘opo</w:t>
        <w:softHyphen/>
        <w:t>meni’ i stoput, ‘prekori’ (ukazuje na to); ja to znam samo za učitelja u odnosu na učenika, odakle to za učenika u odnosu na učitelja? To znači ‘opomeni, prekori’ u svakom slučaju« (b Bava mecia 31a). S obzirom na prvi, nega</w:t>
        <w:softHyphen/>
        <w:t>tivno oblikovani dio propisa: »Ne mrzi svoga brata u svom srcu«, učenjaci su pokazali da okretanje k bližnjemu počinje u pozitivnom stavu prema njemu: »Čovjek bi pomislio da ga se samo ne smije tući, naguravati i psovati, pa stoga zapovijed glasi ‘u svom srcu’; Biblija govo</w:t>
        <w:softHyphen/>
        <w:t>ri o mržnji u srcu.« Nadalje, »d.« se pokazuje kao praktična pomoć koja bližnje treba od</w:t>
        <w:softHyphen/>
        <w:t>vesti na put prema volji Božjoj: »Ako čovjek vidi nešto ružno u svojemu bližnjem, kako to da ga mora opomenuti? Odgovor glasi: ‘opo</w:t>
        <w:softHyphen/>
        <w:t>meni’. Ako ga se opomene i on se na to ne obazire, kako to da ga treba ponovno opo</w:t>
        <w:softHyphen/>
        <w:t xml:space="preserve">menuti? Odgovor glasi: ‘opomeni’ ponovno. Čovjek bi pomislio, pa i kad se on zacrveni (Rašijcv komentar: Ako ga se javno opomene kako bi ga se posramilo), odgovor glasi: ‘tako nećeš pasti u grijeh zbog njega’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19,17)« (b Arahin 16b; usp. Joma 9b). Hilelova (oko 30. pr. Kr. do 10. pos. Kr.) riječ: »Ljubi ljude i privedi ih Tori« (M Avot 1,12) jasno je zacr</w:t>
        <w:softHyphen/>
        <w:t>tala područje na kojem jedan čovjek treba biti drugomu dušobrižnikom po Božjoj zapovije</w:t>
        <w:softHyphen/>
        <w:t>di; naime, »opomena« smije potjecali samo iz spremnosti i potrebe da čovjek bude dobroči</w:t>
        <w:softHyphen/>
        <w:t>niteljem prema drugomu. Samo ljubav prema bližnjemu sprečava da briga o drugome pos</w:t>
        <w:softHyphen/>
        <w:t>rami toga drugoga: »Tko lice svojega bližnje</w:t>
        <w:softHyphen/>
        <w:t>ga javno posrami (npr. uvredljivim riječima), taj je poput nekoga tko prolije krv« (b Bava mecia 58b). Mudraci su tumačili »d.« kao po</w:t>
        <w:softHyphen/>
        <w:t xml:space="preserve">zitivnu pravednost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(»Ne osvećuj se i ne gaji srdžbe«): »Dokle dopire snaga os</w:t>
        <w:softHyphen/>
        <w:t>vete? Ako netko kaže nekome: ‘Posudi mi srp’, a on mu ga ne posudi; no sutradan kaže (onaj koji je odbio molbu) onom drugomu (koji je tražio srp): ‘Posudi mi lopatu’ (ili sje</w:t>
        <w:softHyphen/>
        <w:t xml:space="preserve">kiru), a on odgovori: ‘Neću ti je posuditi baš kao što ti meni nisi posudio svoj srp’, (to je osveta)... Dokle dopire snaga srdžbe (neopraš- tanja)? Ako netko kaže nekome: ‘Posudi mi </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svoju lopatu’ (ili sjekiru), a on mu je ne po</w:t>
        <w:softHyphen/>
        <w:t>sudi; no sutradan kaže (nesusretljivi) onom drugom: ‘Posudi mi svoj srp’, a on odgovori: ‘Evo ti ga; ja nisam kao ti koji mi nije htio po</w:t>
        <w:softHyphen/>
        <w:t xml:space="preserve">suditi lopatu’ (to je srdžba)«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19,17: redak 18). »D.« je ukorijenjeno u zajednici koju je utemeljio Bog i koju mora ipak uvijek obnavljati; rabini su objasnili na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26,37 (»Spoticat će se jedan o drugoga«): »jedan zbog grijeha svojega brata; pouka je u tome da su odgovorni jedan za drugoga </w:t>
      </w:r>
      <w:r>
        <w:rPr>
          <w:rFonts w:ascii="Times New Roman" w:eastAsia="Times New Roman" w:hAnsi="Times New Roman" w:cs="Times New Roman"/>
          <w:i/>
          <w:iCs/>
          <w:color w:val="000000"/>
          <w:spacing w:val="0"/>
          <w:w w:val="100"/>
          <w:position w:val="0"/>
          <w:shd w:val="clear" w:color="auto" w:fill="auto"/>
          <w:lang w:val="hr-HR" w:eastAsia="hr-HR" w:bidi="hr-HR"/>
        </w:rPr>
        <w:t>(arevim ze bu-ze)</w:t>
      </w:r>
      <w:r>
        <w:rPr>
          <w:rFonts w:ascii="Times New Roman" w:eastAsia="Times New Roman" w:hAnsi="Times New Roman" w:cs="Times New Roman"/>
          <w:color w:val="000000"/>
          <w:spacing w:val="0"/>
          <w:w w:val="100"/>
          <w:position w:val="0"/>
          <w:shd w:val="clear" w:color="auto" w:fill="auto"/>
          <w:lang w:val="hr-HR" w:eastAsia="hr-HR" w:bidi="hr-HR"/>
        </w:rPr>
        <w:t xml:space="preserve"> i onda ako jedni druge mogu obraniti i to propuste«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 u tradicijskoj literaturi tražimo karakte</w:t>
        <w:softHyphen/>
        <w:t>rističan pojam koji zgodno izražava židovsko shvaćanje »dušobrižništva«, tada se često ci</w:t>
        <w:softHyphen/>
        <w:t xml:space="preserve">tira rečenica koja se odnosi na stare izvore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26,37): »Svi su Izraelci jedni dru</w:t>
        <w:softHyphen/>
        <w:t xml:space="preserve">gima jamci«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27b; Šavuot 39a; Roš ha-šana 29a; Jalkut uz Izr 6,1; Šir ha-ši- rim raba 1.3; Rašijev komentar na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26,37). On rasvjetljulje »d.« kao religijsko-socijalni čin što ga svaki pripadnik židovskoga naroda mora izvršiti prema drugomu i razlikuje ga od dužnosti dodijeljenoj nositelju neke službe (»cura animarum«). Pravci modernoga židov</w:t>
        <w:softHyphen/>
        <w:t>stva XIX. i XX. stoljeća, posebice u zapadnoj Europi i SAD-u, ipak povezuju odgovarajuće dušobrižničke zadaće s rabinskom službom.</w:t>
      </w:r>
    </w:p>
    <w:p>
      <w:pPr>
        <w:pStyle w:val="Style20"/>
        <w:keepNext w:val="0"/>
        <w:keepLines w:val="0"/>
        <w:widowControl w:val="0"/>
        <w:shd w:val="clear" w:color="auto" w:fill="auto"/>
        <w:bidi w:val="0"/>
        <w:spacing w:before="0" w:after="0" w:line="382"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i&gt;. vErn-R</w:t>
      </w:r>
    </w:p>
    <w:p>
      <w:pPr>
        <w:pStyle w:val="Style63"/>
        <w:keepNext/>
        <w:keepLines/>
        <w:widowControl w:val="0"/>
        <w:numPr>
          <w:ilvl w:val="0"/>
          <w:numId w:val="111"/>
        </w:numPr>
        <w:shd w:val="clear" w:color="auto" w:fill="auto"/>
        <w:tabs>
          <w:tab w:pos="260" w:val="left"/>
        </w:tabs>
        <w:bidi w:val="0"/>
        <w:spacing w:before="0" w:after="0" w:line="382" w:lineRule="auto"/>
        <w:ind w:left="0" w:right="0" w:firstLine="0"/>
        <w:jc w:val="both"/>
      </w:pPr>
      <w:bookmarkStart w:id="87" w:name="bookmark8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87"/>
    </w:p>
    <w:p>
      <w:pPr>
        <w:pStyle w:val="Style20"/>
        <w:keepNext w:val="0"/>
        <w:keepLines w:val="0"/>
        <w:widowControl w:val="0"/>
        <w:numPr>
          <w:ilvl w:val="0"/>
          <w:numId w:val="115"/>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je na katoličkom području poznati po</w:t>
        <w:softHyphen/>
        <w:t>jam kojim se može tendenciozno označiti ukupno crkveno djelovanje; ovaj pojam pri</w:t>
        <w:softHyphen/>
        <w:t xml:space="preserve">tom treba istaknuti svojstvo tog djelovanja za čije je vršenje Crkva Isusa Krista poslana u svijet: »čovjekovo spasenje u slavljenju Boga Kristovim nasljedovanjem« (W. Kaspcr/K. </w:t>
      </w:r>
      <w:r>
        <w:rPr>
          <w:rFonts w:ascii="Times New Roman" w:eastAsia="Times New Roman" w:hAnsi="Times New Roman" w:cs="Times New Roman"/>
          <w:color w:val="000000"/>
          <w:spacing w:val="0"/>
          <w:w w:val="100"/>
          <w:position w:val="0"/>
          <w:shd w:val="clear" w:color="auto" w:fill="auto"/>
          <w:lang w:val="en-US" w:eastAsia="en-US" w:bidi="en-US"/>
        </w:rPr>
        <w:t>Leh</w:t>
        <w:softHyphen/>
        <w:t xml:space="preserve">mann). </w:t>
      </w:r>
      <w:r>
        <w:rPr>
          <w:rFonts w:ascii="Times New Roman" w:eastAsia="Times New Roman" w:hAnsi="Times New Roman" w:cs="Times New Roman"/>
          <w:color w:val="000000"/>
          <w:spacing w:val="0"/>
          <w:w w:val="100"/>
          <w:position w:val="0"/>
          <w:shd w:val="clear" w:color="auto" w:fill="auto"/>
          <w:lang w:val="hr-HR" w:eastAsia="hr-HR" w:bidi="hr-HR"/>
        </w:rPr>
        <w:t>Doduše, nije sve što se događa u Crkvi d.; no, na kraju, svekoliko crkveno djelovanje treba služiti dušobrižništvu i na njega se usmje</w:t>
        <w:softHyphen/>
        <w:t>ravati. U povijesti je d. doživljavalo različita naglašavanja prema načinu kako se shvaćalo i različita obilježja u svom oblikovanju. To je povezano s činjenicom da se kod ostvarivanja crkvenog poslanja u svijetu moraju svaki put uzeti u obzir socio-povijesni uvjeti i duhovna strujanja, a to utječe na ustrojstvo i oblike du</w:t>
        <w:softHyphen/>
        <w:t>šobrižništva. Tijekom obnovljenog shvaćanja Crkve (Drugi vatikanski koncil) pojam dušo</w:t>
        <w:softHyphen/>
        <w:t xml:space="preserve">brižništva postao je problematičan. U njemu </w:t>
      </w:r>
      <w:r>
        <w:rPr>
          <w:rFonts w:ascii="Times New Roman" w:eastAsia="Times New Roman" w:hAnsi="Times New Roman" w:cs="Times New Roman"/>
          <w:color w:val="000000"/>
          <w:spacing w:val="0"/>
          <w:w w:val="100"/>
          <w:position w:val="0"/>
          <w:shd w:val="clear" w:color="auto" w:fill="auto"/>
          <w:lang w:val="hr-HR" w:eastAsia="hr-HR" w:bidi="hr-HR"/>
        </w:rPr>
        <w:t>nije dostatno izraženo da su svi članovi Božjeg naroda subjekti crkvenog djelovanja i da se ono ne proteže samo na individualan spas ljudske »duše« nego je Crkva pozvana u službu čitavom čovjeku u jedinom i čitavom svijetu. Zato se u novijim službenim crkvenim doku</w:t>
        <w:softHyphen/>
        <w:t>mentima i u teološkoj jezičnoj praksi daje prednost pojmovima »pastora!« i »evangelizi- ranje«; oni prikladnije ocrtavaju razlog i cilj crkvenog djelovanja s ljudima i među ljudima. Središnji posao koji je namijenjen Crkvi sasto</w:t>
        <w:softHyphen/>
        <w:t>ji se od evangelizacije, tj. od neprestanog na</w:t>
        <w:softHyphen/>
        <w:t>pora kako bi današnji ljudi u svojoj konkret</w:t>
        <w:softHyphen/>
        <w:t>noj situaciji iskusili Božju opciju koja znači obuhvatno čovjekovo oslobađanje i unapređi</w:t>
        <w:softHyphen/>
        <w:t>vanje, da čovjek postane subjekt i da može ostati subjekt, kao što je to obećano u biblij</w:t>
        <w:softHyphen/>
        <w:t>skim spisima i kao što se neusporedivo poka</w:t>
        <w:softHyphen/>
        <w:t>zalo u životu, smrti i uskrsnuću Isusa Krista. Taj se posao Crkve sastoji također u pozivu na obraćenje u »novi život«, u zajedništvo s trojedinim Bogom i svim ljudima. Ova zadaća ima duhovnu i tjelesnu, mističnu i političku, crkvenu i društvenu, pastoralnu i univerzalnu dimenziju. Za njezino konkretiziranjc, koje je vezano uz kontekst, potreban je uvijek iznova postavljen nacrt, odnosno »plan« u kojem Crkva nekog područja, neke zemlje ili konti</w:t>
        <w:softHyphen/>
        <w:t>nenta utvrđuje prvenstvene pastoralne opcije (usporedi npr. tzv. »Dokument iz Pueblc« la</w:t>
        <w:softHyphen/>
        <w:t>tinoameričkog episkopata iz 1979, »Evangeli- ziranje Latinske Amerike u sadašnjosti i bu</w:t>
        <w:softHyphen/>
        <w:t>dućnosti«), Teološka refleksija dušobrižništva događa se prije svega u pastoralnoj odnosno praktičnoj teologiji.</w:t>
      </w:r>
    </w:p>
    <w:p>
      <w:pPr>
        <w:pStyle w:val="Style20"/>
        <w:keepNext w:val="0"/>
        <w:keepLines w:val="0"/>
        <w:widowControl w:val="0"/>
        <w:numPr>
          <w:ilvl w:val="0"/>
          <w:numId w:val="115"/>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protestantskom području prevladava ograničenije razumijevanje dušobrižništva: U razlučivanju od ostalih područja crkvene prak</w:t>
        <w:softHyphen/>
        <w:t>se d. označava pretežito one djelatnosti koje se na poseban način usmjeravaju na pojedine ljude (razgovor, savjetovanje, ispovijed). Ta</w:t>
        <w:softHyphen/>
        <w:t>mo gdje se osobnom potporom nekom dru</w:t>
        <w:softHyphen/>
        <w:t>gom čovjeku (ili skupini ljudi) u konkretnoj životnoj situaciji - npr. u suočavanju s pat</w:t>
        <w:softHyphen/>
        <w:t>njom ili osobnim zatajenjem - posreduje ili priopćava utješna, oslobadajuća perspektiva vjere koja u njemu utvrđuje iskustvo da je be</w:t>
        <w:softHyphen/>
        <w:t>zuvjetno poželjan i priznat, događa se d. U najnovije vrijeme proizašli su važni impulsi za isto tako metodičko kao i teološko prožima</w:t>
        <w:softHyphen/>
        <w:t>nje dušobrižničke prakse. Kao najznačajniji rezultat treba spomenuti ponovno zadobiva-</w:t>
      </w:r>
    </w:p>
    <w:p>
      <w:pPr>
        <w:pStyle w:val="Style20"/>
        <w:keepNext w:val="0"/>
        <w:keepLines w:val="0"/>
        <w:widowControl w:val="0"/>
        <w:shd w:val="clear" w:color="auto" w:fill="auto"/>
        <w:tabs>
          <w:tab w:pos="2837" w:val="left"/>
        </w:tabs>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 iskustvenog odnosa između vjere i teolo</w:t>
        <w:softHyphen/>
        <w:t>gije koje je razvilo svijest o nizu krivih razvoja u dušobrižničkoj teoriji i praksi.</w:t>
        <w:tab/>
        <w:t>,</w:t>
      </w:r>
    </w:p>
    <w:p>
      <w:pPr>
        <w:pStyle w:val="Style56"/>
        <w:keepNext w:val="0"/>
        <w:keepLines w:val="0"/>
        <w:widowControl w:val="0"/>
        <w:shd w:val="clear" w:color="auto" w:fill="auto"/>
        <w:tabs>
          <w:tab w:pos="2510"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Lit.: </w:t>
      </w:r>
      <w:r>
        <w:rPr>
          <w:i/>
          <w:iCs/>
          <w:color w:val="000000"/>
          <w:spacing w:val="0"/>
          <w:w w:val="100"/>
          <w:position w:val="0"/>
          <w:shd w:val="clear" w:color="auto" w:fill="auto"/>
          <w:lang w:val="hr-HR" w:eastAsia="hr-HR" w:bidi="hr-HR"/>
        </w:rPr>
        <w:t>Handlmch dcr PuslorallhcoU^ie,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hrsg. von </w:t>
      </w:r>
      <w:r>
        <w:rPr>
          <w:color w:val="000000"/>
          <w:spacing w:val="0"/>
          <w:w w:val="100"/>
          <w:position w:val="0"/>
          <w:shd w:val="clear" w:color="auto" w:fill="auto"/>
          <w:lang w:val="hr-HR" w:eastAsia="hr-HR" w:bidi="hr-HR"/>
        </w:rPr>
        <w:t xml:space="preserve">F. X. Ar- </w:t>
      </w:r>
      <w:r>
        <w:rPr>
          <w:color w:val="000000"/>
          <w:spacing w:val="0"/>
          <w:w w:val="100"/>
          <w:position w:val="0"/>
          <w:shd w:val="clear" w:color="auto" w:fill="auto"/>
        </w:rPr>
        <w:t xml:space="preserve">noId/K. Rahner </w:t>
      </w:r>
      <w:r>
        <w:rPr>
          <w:color w:val="000000"/>
          <w:spacing w:val="0"/>
          <w:w w:val="100"/>
          <w:position w:val="0"/>
          <w:shd w:val="clear" w:color="auto" w:fill="auto"/>
          <w:lang w:val="hr-HR" w:eastAsia="hr-HR" w:bidi="hr-HR"/>
        </w:rPr>
        <w:t xml:space="preserve">i dr.. 5 Bdc.,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1964 i d.; W. Kas- pcr/K. </w:t>
      </w:r>
      <w:r>
        <w:rPr>
          <w:color w:val="000000"/>
          <w:spacing w:val="0"/>
          <w:w w:val="100"/>
          <w:position w:val="0"/>
          <w:shd w:val="clear" w:color="auto" w:fill="auto"/>
        </w:rPr>
        <w:t xml:space="preserve">Lehmann,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Heilssendung der Kirchc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dcr Gegen- </w:t>
      </w:r>
      <w:r>
        <w:rPr>
          <w:i/>
          <w:iCs/>
          <w:color w:val="000000"/>
          <w:spacing w:val="0"/>
          <w:w w:val="100"/>
          <w:position w:val="0"/>
          <w:shd w:val="clear" w:color="auto" w:fill="auto"/>
        </w:rPr>
        <w:t>wan,</w:t>
      </w:r>
      <w:r>
        <w:rPr>
          <w:color w:val="000000"/>
          <w:spacing w:val="0"/>
          <w:w w:val="100"/>
          <w:position w:val="0"/>
          <w:shd w:val="clear" w:color="auto" w:fill="auto"/>
        </w:rPr>
        <w:t xml:space="preserve"> Mainz </w:t>
      </w:r>
      <w:r>
        <w:rPr>
          <w:color w:val="000000"/>
          <w:spacing w:val="0"/>
          <w:w w:val="100"/>
          <w:position w:val="0"/>
          <w:shd w:val="clear" w:color="auto" w:fill="auto"/>
          <w:lang w:val="hr-HR" w:eastAsia="hr-HR" w:bidi="hr-HR"/>
        </w:rPr>
        <w:t xml:space="preserve">1970; F. </w:t>
      </w:r>
      <w:r>
        <w:rPr>
          <w:color w:val="000000"/>
          <w:spacing w:val="0"/>
          <w:w w:val="100"/>
          <w:position w:val="0"/>
          <w:shd w:val="clear" w:color="auto" w:fill="auto"/>
        </w:rPr>
        <w:t xml:space="preserve">Wintzcr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Seeisorgc.</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Munchen </w:t>
      </w:r>
      <w:r>
        <w:rPr>
          <w:color w:val="000000"/>
          <w:spacing w:val="0"/>
          <w:w w:val="100"/>
          <w:position w:val="0"/>
          <w:shd w:val="clear" w:color="auto" w:fill="auto"/>
          <w:lang w:val="hr-HR" w:eastAsia="hr-HR" w:bidi="hr-HR"/>
        </w:rPr>
        <w:t>1978.</w:t>
        <w:tab/>
        <w:t>N. Mlil'lt:</w:t>
      </w:r>
    </w:p>
    <w:p>
      <w:pPr>
        <w:pStyle w:val="Style63"/>
        <w:keepNext/>
        <w:keepLines/>
        <w:widowControl w:val="0"/>
        <w:numPr>
          <w:ilvl w:val="0"/>
          <w:numId w:val="111"/>
        </w:numPr>
        <w:shd w:val="clear" w:color="auto" w:fill="auto"/>
        <w:tabs>
          <w:tab w:pos="260" w:val="left"/>
        </w:tabs>
        <w:bidi w:val="0"/>
        <w:spacing w:before="0"/>
        <w:ind w:left="0" w:right="0" w:firstLine="0"/>
        <w:jc w:val="both"/>
      </w:pPr>
      <w:bookmarkStart w:id="88" w:name="bookmark88"/>
      <w:r>
        <w:rPr>
          <w:rFonts w:ascii="Times New Roman" w:eastAsia="Times New Roman" w:hAnsi="Times New Roman" w:cs="Times New Roman"/>
          <w:color w:val="000000"/>
          <w:spacing w:val="0"/>
          <w:w w:val="100"/>
          <w:position w:val="0"/>
          <w:shd w:val="clear" w:color="auto" w:fill="auto"/>
          <w:lang w:val="hr-HR" w:eastAsia="hr-HR" w:bidi="hr-HR"/>
        </w:rPr>
        <w:t>islamski</w:t>
      </w:r>
      <w:bookmarkEnd w:id="88"/>
    </w:p>
    <w:p>
      <w:pPr>
        <w:pStyle w:val="Style20"/>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u islamu ne postoji nikakvo »posre</w:t>
        <w:softHyphen/>
        <w:t>dovanje milosti« i nikakvo svećenstvo, u nje</w:t>
        <w:softHyphen/>
        <w:t>mu također nije institucionalizirano nikakvo d. No, budući da Kuran određuje da se u sva</w:t>
        <w:softHyphen/>
        <w:t>kom muslimanskom društvu moraju pojaviti ljudi koji su sjedne strane »pozvani na dobro i koji nastoje oko uzdržavanja onog društveno</w:t>
      </w:r>
    </w:p>
    <w:p>
      <w:pPr>
        <w:pStyle w:val="Style20"/>
        <w:keepNext w:val="0"/>
        <w:keepLines w:val="0"/>
        <w:widowControl w:val="0"/>
        <w:shd w:val="clear" w:color="auto" w:fill="auto"/>
        <w:tabs>
          <w:tab w:pos="2525" w:val="left"/>
        </w:tabs>
        <w:bidi w:val="0"/>
        <w:spacing w:before="0" w:after="0"/>
        <w:ind w:left="0" w:right="0" w:firstLine="0"/>
        <w:jc w:val="both"/>
        <w:sectPr>
          <w:headerReference w:type="default" r:id="rId371"/>
          <w:footerReference w:type="default" r:id="rId372"/>
          <w:headerReference w:type="even" r:id="rId373"/>
          <w:footerReference w:type="even" r:id="rId374"/>
          <w:headerReference w:type="first" r:id="rId375"/>
          <w:footerReference w:type="first" r:id="rId376"/>
          <w:footnotePr>
            <w:pos w:val="pageBottom"/>
            <w:numFmt w:val="decimal"/>
            <w:numStart w:val="5"/>
            <w:numRestart w:val="continuous"/>
            <w15:footnoteColumns w:val="1"/>
          </w:footnotePr>
          <w:pgSz w:w="6816" w:h="11006"/>
          <w:pgMar w:top="769" w:left="191" w:right="197" w:bottom="378" w:header="0" w:footer="3" w:gutter="0"/>
          <w:cols w:num="2" w:space="198"/>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priznatog«, a koji se s druge strane bore protiv »zloće i onoga što je dostojno prijezira«, po</w:t>
        <w:softHyphen/>
        <w:t xml:space="preserve">stoje stručne skupine koje - barem djelomice - imaju nalog obavljanja dušobrižništva To su u pravilu </w:t>
      </w:r>
      <w:r>
        <w:rPr>
          <w:rFonts w:ascii="Times New Roman" w:eastAsia="Times New Roman" w:hAnsi="Times New Roman" w:cs="Times New Roman"/>
          <w:i/>
          <w:iCs/>
          <w:color w:val="000000"/>
          <w:spacing w:val="0"/>
          <w:w w:val="100"/>
          <w:position w:val="0"/>
          <w:shd w:val="clear" w:color="auto" w:fill="auto"/>
          <w:lang w:val="hr-HR" w:eastAsia="hr-HR" w:bidi="hr-HR"/>
        </w:rPr>
        <w:t>imami</w:t>
      </w:r>
      <w:r>
        <w:rPr>
          <w:rFonts w:ascii="Times New Roman" w:eastAsia="Times New Roman" w:hAnsi="Times New Roman" w:cs="Times New Roman"/>
          <w:color w:val="000000"/>
          <w:spacing w:val="0"/>
          <w:w w:val="100"/>
          <w:position w:val="0"/>
          <w:shd w:val="clear" w:color="auto" w:fill="auto"/>
          <w:lang w:val="hr-HR" w:eastAsia="hr-HR" w:bidi="hr-HR"/>
        </w:rPr>
        <w:t xml:space="preserve"> (predvodnici molitve). Vjer</w:t>
        <w:softHyphen/>
        <w:t>oučitelji (hodže od turski: khodja) i pismo- znanci svih vrsta, razboriti muškarci i žene jednako kao i karizmatske ličnosti u području islama dragovoljno provode ono što se u krš</w:t>
        <w:softHyphen/>
        <w:t>ćanstvu kao zadaća nalaže vjerskim službeni</w:t>
        <w:softHyphen/>
        <w:t>cima. Propovijed u džamiji jest zadaća imama koji su plaćeni za to. Kao uzor svake, dijelom službene dijelom dragovoljne djelatnosti, služi Muhamed, ali i biblijski proroci, uključujući Mojsija i Isusa.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iialić</w:t>
      </w:r>
    </w:p>
    <w:p>
      <w:pPr>
        <w:pStyle w:val="Style33"/>
        <w:keepNext w:val="0"/>
        <w:keepLines w:val="0"/>
        <w:widowControl w:val="0"/>
        <w:shd w:val="clear" w:color="auto" w:fill="auto"/>
        <w:bidi w:val="0"/>
        <w:spacing w:before="0" w:after="0" w:line="240" w:lineRule="auto"/>
        <w:ind w:left="0" w:right="0" w:firstLine="0"/>
        <w:jc w:val="left"/>
        <w:sectPr>
          <w:headerReference w:type="default" r:id="rId377"/>
          <w:footerReference w:type="default" r:id="rId378"/>
          <w:headerReference w:type="even" r:id="rId379"/>
          <w:footerReference w:type="even" r:id="rId380"/>
          <w:footnotePr>
            <w:pos w:val="pageBottom"/>
            <w:numFmt w:val="decimal"/>
            <w:numStart w:val="5"/>
            <w:numRestart w:val="continuous"/>
            <w15:footnoteColumns w:val="1"/>
          </w:footnotePr>
          <w:pgSz w:w="6816" w:h="11006"/>
          <w:pgMar w:top="2770" w:left="230" w:right="216" w:bottom="386" w:header="2342" w:footer="3" w:gutter="0"/>
          <w:cols w:space="720"/>
          <w:noEndnote/>
          <w:rtlGutter w:val="0"/>
          <w:docGrid w:linePitch="360"/>
        </w:sectPr>
      </w:pPr>
      <w:r>
        <w:rPr>
          <w:rFonts w:ascii="Times New Roman" w:eastAsia="Times New Roman" w:hAnsi="Times New Roman" w:cs="Times New Roman"/>
          <w:b/>
          <w:bCs/>
          <w:color w:val="000000"/>
          <w:spacing w:val="0"/>
          <w:w w:val="100"/>
          <w:position w:val="0"/>
          <w:shd w:val="clear" w:color="auto" w:fill="auto"/>
          <w:lang w:val="hr-HR" w:eastAsia="hr-HR" w:bidi="hr-HR"/>
        </w:rPr>
        <w:t>ĐAVAO ZLO</w:t>
      </w:r>
    </w:p>
    <w:p>
      <w:pPr>
        <w:widowControl w:val="0"/>
        <w:spacing w:line="240" w:lineRule="exact"/>
        <w:rPr>
          <w:sz w:val="19"/>
          <w:szCs w:val="19"/>
        </w:rPr>
      </w:pPr>
    </w:p>
    <w:p>
      <w:pPr>
        <w:widowControl w:val="0"/>
        <w:spacing w:line="240" w:lineRule="exact"/>
        <w:rPr>
          <w:sz w:val="19"/>
          <w:szCs w:val="19"/>
        </w:rPr>
      </w:pPr>
    </w:p>
    <w:p>
      <w:pPr>
        <w:widowControl w:val="0"/>
        <w:spacing w:before="79" w:after="79" w:line="240" w:lineRule="exact"/>
        <w:rPr>
          <w:sz w:val="19"/>
          <w:szCs w:val="19"/>
        </w:rPr>
      </w:pPr>
    </w:p>
    <w:p>
      <w:pPr>
        <w:widowControl w:val="0"/>
        <w:spacing w:line="1" w:lineRule="exact"/>
        <w:sectPr>
          <w:footnotePr>
            <w:pos w:val="pageBottom"/>
            <w:numFmt w:val="decimal"/>
            <w:numStart w:val="5"/>
            <w:numRestart w:val="continuous"/>
            <w15:footnoteColumns w:val="1"/>
          </w:footnotePr>
          <w:type w:val="continuous"/>
          <w:pgSz w:w="6816" w:h="11006"/>
          <w:pgMar w:top="2770" w:left="0" w:right="0" w:bottom="256" w:header="0" w:footer="3" w:gutter="0"/>
          <w:cols w:space="720"/>
          <w:noEndnote/>
          <w:rtlGutter w:val="0"/>
          <w:docGrid w:linePitch="360"/>
        </w:sectPr>
      </w:pPr>
    </w:p>
    <w:p>
      <w:pPr>
        <w:widowControl w:val="0"/>
        <w:spacing w:after="417" w:line="1" w:lineRule="exact"/>
      </w:pPr>
      <w:r>
        <w:drawing>
          <wp:anchor distT="0" distB="0" distL="0" distR="0" simplePos="0" relativeHeight="62915331" behindDoc="1" locked="0" layoutInCell="1" allowOverlap="1">
            <wp:simplePos x="0" y="0"/>
            <wp:positionH relativeFrom="page">
              <wp:posOffset>1969135</wp:posOffset>
            </wp:positionH>
            <wp:positionV relativeFrom="paragraph">
              <wp:posOffset>12700</wp:posOffset>
            </wp:positionV>
            <wp:extent cx="420370" cy="267970"/>
            <wp:wrapNone/>
            <wp:docPr id="823" name="Shape 823"/>
            <a:graphic xmlns:a="http://schemas.openxmlformats.org/drawingml/2006/main">
              <a:graphicData uri="http://schemas.openxmlformats.org/drawingml/2006/picture">
                <pic:pic xmlns:pic="http://schemas.openxmlformats.org/drawingml/2006/picture">
                  <pic:nvPicPr>
                    <pic:cNvPr id="824" name="Picture box 824"/>
                    <pic:cNvPicPr/>
                  </pic:nvPicPr>
                  <pic:blipFill>
                    <a:blip r:embed="rId381"/>
                    <a:stretch/>
                  </pic:blipFill>
                  <pic:spPr>
                    <a:xfrm>
                      <a:ext cx="420370" cy="267970"/>
                    </a:xfrm>
                    <a:prstGeom prst="rect"/>
                  </pic:spPr>
                </pic:pic>
              </a:graphicData>
            </a:graphic>
          </wp:anchor>
        </w:drawing>
      </w:r>
    </w:p>
    <w:p>
      <w:pPr>
        <w:widowControl w:val="0"/>
        <w:spacing w:line="1" w:lineRule="exact"/>
        <w:sectPr>
          <w:footnotePr>
            <w:pos w:val="pageBottom"/>
            <w:numFmt w:val="decimal"/>
            <w:numStart w:val="5"/>
            <w:numRestart w:val="continuous"/>
            <w15:footnoteColumns w:val="1"/>
          </w:footnotePr>
          <w:type w:val="continuous"/>
          <w:pgSz w:w="6816" w:h="11006"/>
          <w:pgMar w:top="2770" w:left="230" w:right="216" w:bottom="256" w:header="0" w:footer="3" w:gutter="0"/>
          <w:cols w:space="720"/>
          <w:noEndnote/>
          <w:rtlGutter w:val="0"/>
          <w:docGrid w:linePitch="360"/>
        </w:sectPr>
      </w:pPr>
    </w:p>
    <w:p>
      <w:pPr>
        <w:widowControl w:val="0"/>
        <w:spacing w:line="118" w:lineRule="exact"/>
        <w:rPr>
          <w:sz w:val="9"/>
          <w:szCs w:val="9"/>
        </w:rPr>
      </w:pPr>
    </w:p>
    <w:p>
      <w:pPr>
        <w:widowControl w:val="0"/>
        <w:spacing w:line="1" w:lineRule="exact"/>
        <w:sectPr>
          <w:footnotePr>
            <w:pos w:val="pageBottom"/>
            <w:numFmt w:val="decimal"/>
            <w:numStart w:val="5"/>
            <w:numRestart w:val="continuous"/>
            <w15:footnoteColumns w:val="1"/>
          </w:footnotePr>
          <w:type w:val="continuous"/>
          <w:pgSz w:w="6816" w:h="11006"/>
          <w:pgMar w:top="1013" w:left="0" w:right="0" w:bottom="508" w:header="0" w:footer="3" w:gutter="0"/>
          <w:cols w:space="720"/>
          <w:noEndnote/>
          <w:rtlGutter w:val="0"/>
          <w:docGrid w:linePitch="360"/>
        </w:sectPr>
      </w:pP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DŽIN</w:t>
      </w:r>
    </w:p>
    <w:p>
      <w:pPr>
        <w:pStyle w:val="Style63"/>
        <w:keepNext/>
        <w:keepLines/>
        <w:widowControl w:val="0"/>
        <w:shd w:val="clear" w:color="auto" w:fill="auto"/>
        <w:bidi w:val="0"/>
        <w:spacing w:before="0"/>
        <w:ind w:left="0" w:right="0" w:firstLine="0"/>
        <w:jc w:val="both"/>
      </w:pPr>
      <w:bookmarkStart w:id="89" w:name="bookmark89"/>
      <w:r>
        <w:rPr>
          <w:rFonts w:ascii="Times New Roman" w:eastAsia="Times New Roman" w:hAnsi="Times New Roman" w:cs="Times New Roman"/>
          <w:color w:val="000000"/>
          <w:spacing w:val="0"/>
          <w:w w:val="100"/>
          <w:position w:val="0"/>
          <w:shd w:val="clear" w:color="auto" w:fill="auto"/>
          <w:lang w:val="hr-HR" w:eastAsia="hr-HR" w:bidi="hr-HR"/>
        </w:rPr>
        <w:t>islamski</w:t>
      </w:r>
      <w:bookmarkEnd w:id="8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 imenom džini u Kuranu se spominju za</w:t>
        <w:softHyphen/>
        <w:t>gonetna bića ili sile koja imaju utjecaja na do</w:t>
        <w:softHyphen/>
        <w:t>gađaje u svijetu. Neki egzegeti (al-Bayd5wi, ad-Damirl) pod tim podrazumijevaju »zračna ili vatrena tijela obdarena umom, neuhvat</w:t>
        <w:softHyphen/>
        <w:t xml:space="preserve">ljiva, tijela koja su u stanju pojavljivati se u promjenjivim oblicima i izvoditi teške radnje«. Prema jednom stihu iz Kurana (55,15) ta su bića stvorena od »mješavine vatre«. Na dva mjesta u Kuranu (46,29; 70,1) pripovijeda se o pojavi džina pred Muhamedovim taborom, kada je dvije godine prije -» </w:t>
      </w:r>
      <w:r>
        <w:rPr>
          <w:rFonts w:ascii="Times New Roman" w:eastAsia="Times New Roman" w:hAnsi="Times New Roman" w:cs="Times New Roman"/>
          <w:i/>
          <w:iCs/>
          <w:color w:val="000000"/>
          <w:spacing w:val="0"/>
          <w:w w:val="100"/>
          <w:position w:val="0"/>
          <w:shd w:val="clear" w:color="auto" w:fill="auto"/>
          <w:lang w:val="hr-HR" w:eastAsia="hr-HR" w:bidi="hr-HR"/>
        </w:rPr>
        <w:t>hidžre</w:t>
      </w:r>
      <w:r>
        <w:rPr>
          <w:rFonts w:ascii="Times New Roman" w:eastAsia="Times New Roman" w:hAnsi="Times New Roman" w:cs="Times New Roman"/>
          <w:color w:val="000000"/>
          <w:spacing w:val="0"/>
          <w:w w:val="100"/>
          <w:position w:val="0"/>
          <w:shd w:val="clear" w:color="auto" w:fill="auto"/>
          <w:lang w:val="hr-HR" w:eastAsia="hr-HR" w:bidi="hr-HR"/>
        </w:rPr>
        <w:t xml:space="preserve"> bio na putu u Taif. Oni su se tamo neprimjetno ušu</w:t>
        <w:softHyphen/>
        <w:t>ljali i duboko dojmljeni slušali stihove iz Ku</w:t>
        <w:softHyphen/>
        <w:t xml:space="preserve">rana. S tim je povezana i oznaka </w:t>
      </w:r>
      <w:r>
        <w:rPr>
          <w:rFonts w:ascii="Times New Roman" w:eastAsia="Times New Roman" w:hAnsi="Times New Roman" w:cs="Times New Roman"/>
          <w:i/>
          <w:iCs/>
          <w:color w:val="000000"/>
          <w:spacing w:val="0"/>
          <w:w w:val="100"/>
          <w:position w:val="0"/>
          <w:shd w:val="clear" w:color="auto" w:fill="auto"/>
          <w:lang w:val="hr-HR" w:eastAsia="hr-HR" w:bidi="hr-HR"/>
        </w:rPr>
        <w:t>djanna</w:t>
      </w:r>
      <w:r>
        <w:rPr>
          <w:rFonts w:ascii="Times New Roman" w:eastAsia="Times New Roman" w:hAnsi="Times New Roman" w:cs="Times New Roman"/>
          <w:color w:val="000000"/>
          <w:spacing w:val="0"/>
          <w:w w:val="100"/>
          <w:position w:val="0"/>
          <w:shd w:val="clear" w:color="auto" w:fill="auto"/>
          <w:lang w:val="hr-HR" w:eastAsia="hr-HR" w:bidi="hr-HR"/>
        </w:rPr>
        <w:t xml:space="preserve"> (dže- net: raj); raj prekriva tlo sjenama - a to je jedna predodžba o raju koja se nužno nameće u žarkoj vrućini arapske pješčane pustinje. Ni</w:t>
        <w:softHyphen/>
        <w:t xml:space="preserve">je isključeno da bi se pod imenom džini mogla skrivati tuđica </w:t>
      </w:r>
      <w:r>
        <w:rPr>
          <w:rFonts w:ascii="Times New Roman" w:eastAsia="Times New Roman" w:hAnsi="Times New Roman" w:cs="Times New Roman"/>
          <w:i/>
          <w:iCs/>
          <w:color w:val="000000"/>
          <w:spacing w:val="0"/>
          <w:w w:val="100"/>
          <w:position w:val="0"/>
          <w:shd w:val="clear" w:color="auto" w:fill="auto"/>
          <w:lang w:val="en-US" w:eastAsia="en-US" w:bidi="en-US"/>
        </w:rPr>
        <w:t>genius.</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Postoje nova objašnjenja koja ne pripadaju ortodoksnom islamu i koja kažu da su džini bili »velike poglavice koji su izbjegavali otvore</w:t>
        <w:softHyphen/>
        <w:t>no vidjeti poslanika ili koji članovi nekoga ple</w:t>
        <w:softHyphen/>
        <w:t xml:space="preserve">mena koje iz geografskih ili bilo kojih drugih razloga nije imalo nikakva dodira s ostatkom zemlje« </w:t>
      </w:r>
      <w:r>
        <w:rPr>
          <w:rFonts w:ascii="Times New Roman" w:eastAsia="Times New Roman" w:hAnsi="Times New Roman" w:cs="Times New Roman"/>
          <w:color w:val="000000"/>
          <w:spacing w:val="0"/>
          <w:w w:val="100"/>
          <w:position w:val="0"/>
          <w:shd w:val="clear" w:color="auto" w:fill="auto"/>
          <w:lang w:val="en-US" w:eastAsia="en-US" w:bidi="en-US"/>
        </w:rPr>
        <w:t xml:space="preserve">(Mirza Bashir Ahmad, Die Bedeutung von </w:t>
      </w:r>
      <w:r>
        <w:rPr>
          <w:rFonts w:ascii="Times New Roman" w:eastAsia="Times New Roman" w:hAnsi="Times New Roman" w:cs="Times New Roman"/>
          <w:color w:val="000000"/>
          <w:spacing w:val="0"/>
          <w:w w:val="100"/>
          <w:position w:val="0"/>
          <w:shd w:val="clear" w:color="auto" w:fill="auto"/>
          <w:lang w:val="hr-HR" w:eastAsia="hr-HR" w:bidi="hr-HR"/>
        </w:rPr>
        <w:t xml:space="preserve">»Dschinn« </w:t>
      </w:r>
      <w:r>
        <w:rPr>
          <w:rFonts w:ascii="Times New Roman" w:eastAsia="Times New Roman" w:hAnsi="Times New Roman" w:cs="Times New Roman"/>
          <w:color w:val="000000"/>
          <w:spacing w:val="0"/>
          <w:w w:val="100"/>
          <w:position w:val="0"/>
          <w:shd w:val="clear" w:color="auto" w:fill="auto"/>
          <w:lang w:val="en-US" w:eastAsia="en-US" w:bidi="en-US"/>
        </w:rPr>
        <w:t>- wie das Wort im Qur'an und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Hadith vorkommt, u: </w:t>
      </w:r>
      <w:r>
        <w:rPr>
          <w:rFonts w:ascii="Times New Roman" w:eastAsia="Times New Roman" w:hAnsi="Times New Roman" w:cs="Times New Roman"/>
          <w:i/>
          <w:iCs/>
          <w:color w:val="000000"/>
          <w:spacing w:val="0"/>
          <w:w w:val="100"/>
          <w:position w:val="0"/>
          <w:shd w:val="clear" w:color="auto" w:fill="auto"/>
          <w:lang w:val="en-US" w:eastAsia="en-US" w:bidi="en-US"/>
        </w:rPr>
        <w:t>Der Islam</w:t>
      </w:r>
      <w:r>
        <w:rPr>
          <w:rFonts w:ascii="Times New Roman" w:eastAsia="Times New Roman" w:hAnsi="Times New Roman" w:cs="Times New Roman"/>
          <w:color w:val="000000"/>
          <w:spacing w:val="0"/>
          <w:w w:val="100"/>
          <w:position w:val="0"/>
          <w:shd w:val="clear" w:color="auto" w:fill="auto"/>
          <w:lang w:val="en-US" w:eastAsia="en-US" w:bidi="en-US"/>
        </w:rPr>
        <w:t xml:space="preserve"> [Zurich 1982], 1, 19. </w:t>
      </w:r>
      <w:r>
        <w:rPr>
          <w:rFonts w:ascii="Times New Roman" w:eastAsia="Times New Roman" w:hAnsi="Times New Roman" w:cs="Times New Roman"/>
          <w:color w:val="000000"/>
          <w:spacing w:val="0"/>
          <w:w w:val="100"/>
          <w:position w:val="0"/>
          <w:shd w:val="clear" w:color="auto" w:fill="auto"/>
          <w:lang w:val="hr-HR" w:eastAsia="hr-HR" w:bidi="hr-HR"/>
        </w:rPr>
        <w:t>Prema jednomu mišljenju, Sotona nije nikakav pali anđeo, već dž. »Stihovi o Sotoni kao i drugi, u kojima se govori o Božjim atri</w:t>
        <w:softHyphen/>
        <w:t xml:space="preserve">butima, o njegovim pokretima i govorima, o anđelima i džinima, spadaju za nas u ‘nejasne’ stihove, čije se razumijevanje ne podudara s doslovnošću« (J. van Ess, u: </w:t>
      </w:r>
      <w:r>
        <w:rPr>
          <w:rFonts w:ascii="Times New Roman" w:eastAsia="Times New Roman" w:hAnsi="Times New Roman" w:cs="Times New Roman"/>
          <w:i/>
          <w:iCs/>
          <w:color w:val="000000"/>
          <w:spacing w:val="0"/>
          <w:w w:val="100"/>
          <w:position w:val="0"/>
          <w:shd w:val="clear" w:color="auto" w:fill="auto"/>
          <w:lang w:val="hr-HR" w:eastAsia="hr-HR" w:bidi="hr-HR"/>
        </w:rPr>
        <w:t>Der Islam,</w:t>
      </w:r>
      <w:r>
        <w:rPr>
          <w:rFonts w:ascii="Times New Roman" w:eastAsia="Times New Roman" w:hAnsi="Times New Roman" w:cs="Times New Roman"/>
          <w:color w:val="000000"/>
          <w:spacing w:val="0"/>
          <w:w w:val="100"/>
          <w:position w:val="0"/>
          <w:shd w:val="clear" w:color="auto" w:fill="auto"/>
          <w:lang w:val="hr-HR" w:eastAsia="hr-HR" w:bidi="hr-HR"/>
        </w:rPr>
        <w:t xml:space="preserve"> NS 11, Hamburg 1967-68, 227).</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neograničenoj mjeri egzistencija džina bila je pretpostavljana u okviru tzv. tajnih znanosti koje su povremeno činile vrlo raširene medij zaglupljivanja islamskoga svijeta. Tako su npr. obrađivane pravne posljedice hipotetičkoga braka između njih i ljudi. Napisane su čitave knjige o životu i djelovanju džina. Na njih se često odnose derviške legende i izvješća o po</w:t>
        <w:softHyphen/>
        <w:t>sebnim psihopatološkim slučajevima. Prosvi</w:t>
        <w:softHyphen/>
        <w:t>jećeni su muslimanski duhovnici, koji se jav</w:t>
        <w:softHyphen/>
        <w:t>ljaju s pojedinim mutezilitima, osporavali stvar</w:t>
        <w:softHyphen/>
        <w:t>no postojanje džina. Ibn Sina, npr., jednoznač</w:t>
        <w:softHyphen/>
        <w:t>no ustvrduje da se iza toga ne krije nikakva stvarnost. U stihovima iz Kurana, koji izvješ</w:t>
        <w:softHyphen/>
        <w:t>ćuju o džinima, Ibn Haldun je vidio nejasne ili simboličke iskaze, čije je zbiljsko poznavanje Bog pridržao za sebe.</w:t>
      </w:r>
    </w:p>
    <w:p>
      <w:pPr>
        <w:pStyle w:val="Style56"/>
        <w:keepNext w:val="0"/>
        <w:keepLines w:val="0"/>
        <w:widowControl w:val="0"/>
        <w:shd w:val="clear" w:color="auto" w:fill="auto"/>
        <w:bidi w:val="0"/>
        <w:spacing w:before="0" w:after="40" w:line="240" w:lineRule="auto"/>
        <w:ind w:left="2580" w:right="0" w:hanging="2580"/>
        <w:jc w:val="left"/>
        <w:sectPr>
          <w:footnotePr>
            <w:pos w:val="pageBottom"/>
            <w:numFmt w:val="decimal"/>
            <w:numStart w:val="5"/>
            <w:numRestart w:val="continuous"/>
            <w15:footnoteColumns w:val="1"/>
          </w:footnotePr>
          <w:type w:val="continuous"/>
          <w:pgSz w:w="6816" w:h="11006"/>
          <w:pgMar w:top="1013" w:left="193" w:right="193" w:bottom="508" w:header="0" w:footer="3" w:gutter="0"/>
          <w:cols w:num="2" w:space="191"/>
          <w:noEndnote/>
          <w:rtlGutter w:val="0"/>
          <w:docGrid w:linePitch="360"/>
        </w:sectPr>
      </w:pPr>
      <w:r>
        <w:rPr>
          <w:color w:val="000000"/>
          <w:spacing w:val="0"/>
          <w:w w:val="100"/>
          <w:position w:val="0"/>
          <w:shd w:val="clear" w:color="auto" w:fill="auto"/>
          <w:lang w:val="hr-HR" w:eastAsia="hr-HR" w:bidi="hr-HR"/>
        </w:rPr>
        <w:t xml:space="preserve">Ut.: </w:t>
      </w:r>
      <w:r>
        <w:rPr>
          <w:i/>
          <w:iCs/>
          <w:color w:val="000000"/>
          <w:spacing w:val="0"/>
          <w:w w:val="100"/>
          <w:position w:val="0"/>
          <w:shd w:val="clear" w:color="auto" w:fill="auto"/>
        </w:rPr>
        <w:t>Handwdrierbuch des Islam,</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Lcidun 1941, </w:t>
      </w:r>
      <w:r>
        <w:rPr>
          <w:color w:val="000000"/>
          <w:spacing w:val="0"/>
          <w:w w:val="100"/>
          <w:position w:val="0"/>
          <w:shd w:val="clear" w:color="auto" w:fill="auto"/>
        </w:rPr>
        <w:t>1</w:t>
      </w:r>
      <w:r>
        <w:rPr>
          <w:color w:val="000000"/>
          <w:spacing w:val="0"/>
          <w:w w:val="100"/>
          <w:position w:val="0"/>
          <w:shd w:val="clear" w:color="auto" w:fill="auto"/>
          <w:lang w:val="hr-HR" w:eastAsia="hr-HR" w:bidi="hr-HR"/>
        </w:rPr>
        <w:t>12-113. S. BAUĆ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EGZEGEZA</w:t>
      </w:r>
    </w:p>
    <w:p>
      <w:pPr>
        <w:pStyle w:val="Style63"/>
        <w:keepNext/>
        <w:keepLines/>
        <w:widowControl w:val="0"/>
        <w:numPr>
          <w:ilvl w:val="0"/>
          <w:numId w:val="117"/>
        </w:numPr>
        <w:shd w:val="clear" w:color="auto" w:fill="auto"/>
        <w:tabs>
          <w:tab w:pos="250" w:val="left"/>
        </w:tabs>
        <w:bidi w:val="0"/>
        <w:spacing w:before="0" w:line="223" w:lineRule="auto"/>
        <w:ind w:left="0" w:right="0" w:firstLine="0"/>
        <w:jc w:val="both"/>
      </w:pPr>
      <w:bookmarkStart w:id="90" w:name="bookmark90"/>
      <w:r>
        <w:rPr>
          <w:rFonts w:ascii="Times New Roman" w:eastAsia="Times New Roman" w:hAnsi="Times New Roman" w:cs="Times New Roman"/>
          <w:color w:val="000000"/>
          <w:spacing w:val="0"/>
          <w:w w:val="100"/>
          <w:position w:val="0"/>
          <w:shd w:val="clear" w:color="auto" w:fill="auto"/>
          <w:lang w:val="hr-HR" w:eastAsia="hr-HR" w:bidi="hr-HR"/>
        </w:rPr>
        <w:t>židovski</w:t>
      </w:r>
      <w:bookmarkEnd w:id="90"/>
    </w:p>
    <w:p>
      <w:pPr>
        <w:pStyle w:val="Style20"/>
        <w:keepNext w:val="0"/>
        <w:keepLines w:val="0"/>
        <w:widowControl w:val="0"/>
        <w:numPr>
          <w:ilvl w:val="0"/>
          <w:numId w:val="119"/>
        </w:numPr>
        <w:shd w:val="clear" w:color="auto" w:fill="auto"/>
        <w:tabs>
          <w:tab w:pos="265" w:val="left"/>
        </w:tabs>
        <w:bidi w:val="0"/>
        <w:spacing w:before="0" w:after="0"/>
        <w:ind w:left="0" w:right="0" w:firstLine="0"/>
        <w:jc w:val="both"/>
        <w:sectPr>
          <w:headerReference w:type="default" r:id="rId383"/>
          <w:footerReference w:type="default" r:id="rId384"/>
          <w:headerReference w:type="even" r:id="rId385"/>
          <w:footerReference w:type="even" r:id="rId386"/>
          <w:footnotePr>
            <w:pos w:val="pageBottom"/>
            <w:numFmt w:val="decimal"/>
            <w:numStart w:val="5"/>
            <w:numRestart w:val="continuous"/>
            <w15:footnoteColumns w:val="1"/>
          </w:footnotePr>
          <w:pgSz w:w="6816" w:h="11006"/>
          <w:pgMar w:top="1013" w:left="193" w:right="193" w:bottom="508" w:header="585" w:footer="3" w:gutter="0"/>
          <w:pgNumType w:start="133"/>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Trodijelni kanon hebrejske Biblije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(Tenah) </w:t>
      </w:r>
      <w:r>
        <w:rPr>
          <w:rFonts w:ascii="Times New Roman" w:eastAsia="Times New Roman" w:hAnsi="Times New Roman" w:cs="Times New Roman"/>
          <w:color w:val="000000"/>
          <w:spacing w:val="0"/>
          <w:w w:val="100"/>
          <w:position w:val="0"/>
          <w:shd w:val="clear" w:color="auto" w:fill="auto"/>
          <w:lang w:val="hr-HR" w:eastAsia="hr-HR" w:bidi="hr-HR"/>
        </w:rPr>
        <w:t xml:space="preserve">pojavljuje se već kao pismeni izraz </w:t>
      </w:r>
      <w:r>
        <w:rPr>
          <w:rFonts w:ascii="Times New Roman" w:eastAsia="Times New Roman" w:hAnsi="Times New Roman" w:cs="Times New Roman"/>
          <w:i/>
          <w:iCs/>
          <w:color w:val="000000"/>
          <w:spacing w:val="0"/>
          <w:w w:val="100"/>
          <w:position w:val="0"/>
          <w:shd w:val="clear" w:color="auto" w:fill="auto"/>
          <w:lang w:val="hr-HR" w:eastAsia="hr-HR" w:bidi="hr-HR"/>
        </w:rPr>
        <w:t xml:space="preserve">tumačenja </w:t>
      </w:r>
      <w:r>
        <w:rPr>
          <w:rFonts w:ascii="Times New Roman" w:eastAsia="Times New Roman" w:hAnsi="Times New Roman" w:cs="Times New Roman"/>
          <w:color w:val="000000"/>
          <w:spacing w:val="0"/>
          <w:w w:val="100"/>
          <w:position w:val="0"/>
          <w:shd w:val="clear" w:color="auto" w:fill="auto"/>
          <w:lang w:val="hr-HR" w:eastAsia="hr-HR" w:bidi="hr-HR"/>
        </w:rPr>
        <w:t>u ophođenju Izraela s Božjom Torom kao pu</w:t>
        <w:softHyphen/>
        <w:t xml:space="preserve">tokaz za život svome narodu (Pnz 32,46 i d.). Božja se volja u Izraelu uvijek očitovala tako što su je oni koji su je slušali uvijek shvaćali kao smjernicu svojega djelovanja: »Poučavaj ih o zakonima </w:t>
      </w:r>
      <w:r>
        <w:rPr>
          <w:rFonts w:ascii="Times New Roman" w:eastAsia="Times New Roman" w:hAnsi="Times New Roman" w:cs="Times New Roman"/>
          <w:i/>
          <w:iCs/>
          <w:color w:val="000000"/>
          <w:spacing w:val="0"/>
          <w:w w:val="100"/>
          <w:position w:val="0"/>
          <w:shd w:val="clear" w:color="auto" w:fill="auto"/>
          <w:lang w:val="hr-HR" w:eastAsia="hr-HR" w:bidi="hr-HR"/>
        </w:rPr>
        <w:t>(hukim)</w:t>
      </w:r>
      <w:r>
        <w:rPr>
          <w:rFonts w:ascii="Times New Roman" w:eastAsia="Times New Roman" w:hAnsi="Times New Roman" w:cs="Times New Roman"/>
          <w:color w:val="000000"/>
          <w:spacing w:val="0"/>
          <w:w w:val="100"/>
          <w:position w:val="0"/>
          <w:shd w:val="clear" w:color="auto" w:fill="auto"/>
          <w:lang w:val="hr-HR" w:eastAsia="hr-HR" w:bidi="hr-HR"/>
        </w:rPr>
        <w:t xml:space="preserve"> i odredbama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(toroi); </w:t>
      </w:r>
      <w:r>
        <w:rPr>
          <w:rFonts w:ascii="Times New Roman" w:eastAsia="Times New Roman" w:hAnsi="Times New Roman" w:cs="Times New Roman"/>
          <w:color w:val="000000"/>
          <w:spacing w:val="0"/>
          <w:w w:val="100"/>
          <w:position w:val="0"/>
          <w:shd w:val="clear" w:color="auto" w:fill="auto"/>
          <w:lang w:val="hr-HR" w:eastAsia="hr-HR" w:bidi="hr-HR"/>
        </w:rPr>
        <w:t>svraćaj ih na put kojim moraju ići, upućuj ih na djela koja moraju vršili« (Izl 18,20). Zbog očitovanja volje Boga s kojim je sklopljen Sa</w:t>
        <w:softHyphen/>
        <w:t xml:space="preserve">vez svećenici moraju obavljati tradicijske i prosvjetne zadaće (Pnz 33,10; Hoš 4,6; 8,1.12;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2,4; Mih 3,11; Jr 18,18; Ez 7,26; 44,23; Sef 3,4; Mah 2,6 i d.; Ps 15; 24,3-6; Iz 33,14-16; Mih 6,6-8; Pnz 31,10 i d.). U kasnijem razdo</w:t>
        <w:softHyphen/>
        <w:t>blju kraljevstva Ieviti se pojavljuju kao nosi</w:t>
        <w:softHyphen/>
        <w:t>telji opsežne djelatnosti tumača čiji je zbir pri</w:t>
        <w:softHyphen/>
        <w:t xml:space="preserve">kazan u Ponovljenom zakonu (s tim u vezi G. v. Rad, </w:t>
      </w:r>
      <w:r>
        <w:rPr>
          <w:rFonts w:ascii="Times New Roman" w:eastAsia="Times New Roman" w:hAnsi="Times New Roman" w:cs="Times New Roman"/>
          <w:i/>
          <w:iCs/>
          <w:color w:val="000000"/>
          <w:spacing w:val="0"/>
          <w:w w:val="100"/>
          <w:position w:val="0"/>
          <w:shd w:val="clear" w:color="auto" w:fill="auto"/>
          <w:lang w:val="hr-HR" w:eastAsia="hr-HR" w:bidi="hr-HR"/>
        </w:rPr>
        <w:t>Deuteronomiumstudien,</w:t>
      </w:r>
      <w:r>
        <w:rPr>
          <w:rFonts w:ascii="Times New Roman" w:eastAsia="Times New Roman" w:hAnsi="Times New Roman" w:cs="Times New Roman"/>
          <w:color w:val="000000"/>
          <w:spacing w:val="0"/>
          <w:w w:val="100"/>
          <w:position w:val="0"/>
          <w:shd w:val="clear" w:color="auto" w:fill="auto"/>
          <w:lang w:val="hr-HR" w:eastAsia="hr-HR" w:bidi="hr-HR"/>
        </w:rPr>
        <w:t xml:space="preserve"> 1947, 7 i d.). U Pnz prvi put se jedno djelo samo imenovalo nazivom »ovaj Zakon (Tora)« (4,8; 31,9.11 i d.; 17,18 i d.; 27,38.26; 28,58.61) u smislu sve</w:t>
        <w:softHyphen/>
        <w:t>ukupnog očitovanja Božje volje; tu je uko</w:t>
        <w:softHyphen/>
        <w:t>rijenjena i veza »Mojsijeva zakona (Tore)« (Neh 8,1; Jš 8,31; 23,6; 2 Kr 14,6, usp. Pnz 27,1 i d.; 28,61; 29,20; 30,10; 31,26). S tim teološ</w:t>
        <w:softHyphen/>
        <w:t>kim jedinstvenim mišljenjem počinje postu</w:t>
        <w:softHyphen/>
        <w:t>pak koji se napokon proširio na cijeli najstariji dio kanona. U razdoblju poslije izgnanstva Ieviti su bili zaduženi da narod poučavaju o Zakonu (Tori) (2 Ljet 17,7-9). »Objašnjavaju Zakon narodu... I čitahu iz knjige Božjeg za</w:t>
        <w:softHyphen/>
        <w:t>kona po odlomcima i razlagahu smisao, da narod može razumjeti što čita« (Neh 8,7 i d., usp. 8,3.9.16; 2 Ljet 35,3). Događaji o kojima se izvješćuje u Neh 8 očito su povezani sa si- nagogalnom tradicijom: čitanje Tore u sina</w:t>
        <w:softHyphen/>
        <w:t xml:space="preserve">gogi temeljilo se na Ezrinoj djelatnosti (I. El- </w:t>
      </w:r>
      <w:r>
        <w:rPr>
          <w:rFonts w:ascii="Times New Roman" w:eastAsia="Times New Roman" w:hAnsi="Times New Roman" w:cs="Times New Roman"/>
          <w:color w:val="000000"/>
          <w:spacing w:val="0"/>
          <w:w w:val="100"/>
          <w:position w:val="0"/>
          <w:shd w:val="clear" w:color="auto" w:fill="auto"/>
          <w:lang w:val="hr-HR" w:eastAsia="hr-HR" w:bidi="hr-HR"/>
        </w:rPr>
        <w:t xml:space="preserve">bogen,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jiidische </w:t>
      </w:r>
      <w:r>
        <w:rPr>
          <w:rFonts w:ascii="Times New Roman" w:eastAsia="Times New Roman" w:hAnsi="Times New Roman" w:cs="Times New Roman"/>
          <w:i/>
          <w:iCs/>
          <w:color w:val="000000"/>
          <w:spacing w:val="0"/>
          <w:w w:val="100"/>
          <w:position w:val="0"/>
          <w:shd w:val="clear" w:color="auto" w:fill="auto"/>
          <w:lang w:val="en-US" w:eastAsia="en-US" w:bidi="en-US"/>
        </w:rPr>
        <w:t>Gottesdienst in seiner geschichtiichen Enlwicklung,</w:t>
      </w:r>
      <w:r>
        <w:rPr>
          <w:rFonts w:ascii="Times New Roman" w:eastAsia="Times New Roman" w:hAnsi="Times New Roman" w:cs="Times New Roman"/>
          <w:color w:val="000000"/>
          <w:spacing w:val="0"/>
          <w:w w:val="100"/>
          <w:position w:val="0"/>
          <w:shd w:val="clear" w:color="auto" w:fill="auto"/>
          <w:lang w:val="en-US" w:eastAsia="en-US" w:bidi="en-US"/>
        </w:rPr>
        <w:t xml:space="preserve"> ’1931/1967, 157) </w:t>
      </w:r>
      <w:r>
        <w:rPr>
          <w:rFonts w:ascii="Times New Roman" w:eastAsia="Times New Roman" w:hAnsi="Times New Roman" w:cs="Times New Roman"/>
          <w:color w:val="000000"/>
          <w:spacing w:val="0"/>
          <w:w w:val="100"/>
          <w:position w:val="0"/>
          <w:shd w:val="clear" w:color="auto" w:fill="auto"/>
          <w:lang w:val="hr-HR" w:eastAsia="hr-HR" w:bidi="hr-HR"/>
        </w:rPr>
        <w:t xml:space="preserve">ili ju je sinagogalna praksa već zahtijevala (U. </w:t>
      </w:r>
      <w:r>
        <w:rPr>
          <w:rFonts w:ascii="Times New Roman" w:eastAsia="Times New Roman" w:hAnsi="Times New Roman" w:cs="Times New Roman"/>
          <w:color w:val="000000"/>
          <w:spacing w:val="0"/>
          <w:w w:val="100"/>
          <w:position w:val="0"/>
          <w:shd w:val="clear" w:color="auto" w:fill="auto"/>
          <w:lang w:val="en-US" w:eastAsia="en-US" w:bidi="en-US"/>
        </w:rPr>
        <w:t xml:space="preserve">Kellermann, </w:t>
      </w:r>
      <w:r>
        <w:rPr>
          <w:rFonts w:ascii="Times New Roman" w:eastAsia="Times New Roman" w:hAnsi="Times New Roman" w:cs="Times New Roman"/>
          <w:i/>
          <w:iCs/>
          <w:color w:val="000000"/>
          <w:spacing w:val="0"/>
          <w:w w:val="100"/>
          <w:position w:val="0"/>
          <w:shd w:val="clear" w:color="auto" w:fill="auto"/>
          <w:lang w:val="en-US" w:eastAsia="en-US" w:bidi="en-US"/>
        </w:rPr>
        <w:t xml:space="preserve">Nehemia, Quellen, </w:t>
      </w:r>
      <w:r>
        <w:rPr>
          <w:rFonts w:ascii="Times New Roman" w:eastAsia="Times New Roman" w:hAnsi="Times New Roman" w:cs="Times New Roman"/>
          <w:i/>
          <w:iCs/>
          <w:color w:val="000000"/>
          <w:spacing w:val="0"/>
          <w:w w:val="100"/>
          <w:position w:val="0"/>
          <w:shd w:val="clear" w:color="auto" w:fill="auto"/>
          <w:lang w:val="hr-HR" w:eastAsia="hr-HR" w:bidi="hr-HR"/>
        </w:rPr>
        <w:t>Uberiieferung und Geschichte,</w:t>
      </w:r>
      <w:r>
        <w:rPr>
          <w:rFonts w:ascii="Times New Roman" w:eastAsia="Times New Roman" w:hAnsi="Times New Roman" w:cs="Times New Roman"/>
          <w:color w:val="000000"/>
          <w:spacing w:val="0"/>
          <w:w w:val="100"/>
          <w:position w:val="0"/>
          <w:shd w:val="clear" w:color="auto" w:fill="auto"/>
          <w:lang w:val="hr-HR" w:eastAsia="hr-HR" w:bidi="hr-HR"/>
        </w:rPr>
        <w:t xml:space="preserve"> 1967,30). Dok u Neh 8 i d. lo</w:t>
        <w:softHyphen/>
        <w:t xml:space="preserve">viti obnašaju bitne bogoslužne funkcije, npr. tumačenje Pisma (I. Elbogen, na nav. mjestu, 194; H.L. </w:t>
      </w:r>
      <w:r>
        <w:rPr>
          <w:rFonts w:ascii="Times New Roman" w:eastAsia="Times New Roman" w:hAnsi="Times New Roman" w:cs="Times New Roman"/>
          <w:color w:val="000000"/>
          <w:spacing w:val="0"/>
          <w:w w:val="100"/>
          <w:position w:val="0"/>
          <w:shd w:val="clear" w:color="auto" w:fill="auto"/>
          <w:lang w:val="en-US" w:eastAsia="en-US" w:bidi="en-US"/>
        </w:rPr>
        <w:t xml:space="preserve">Strack, </w:t>
      </w:r>
      <w:r>
        <w:rPr>
          <w:rFonts w:ascii="Times New Roman" w:eastAsia="Times New Roman" w:hAnsi="Times New Roman" w:cs="Times New Roman"/>
          <w:i/>
          <w:iCs/>
          <w:color w:val="000000"/>
          <w:spacing w:val="0"/>
          <w:w w:val="100"/>
          <w:position w:val="0"/>
          <w:shd w:val="clear" w:color="auto" w:fill="auto"/>
          <w:lang w:val="en-US" w:eastAsia="en-US" w:bidi="en-US"/>
        </w:rPr>
        <w:t xml:space="preserve">Einleitung in Talmud </w:t>
      </w:r>
      <w:r>
        <w:rPr>
          <w:rFonts w:ascii="Times New Roman" w:eastAsia="Times New Roman" w:hAnsi="Times New Roman" w:cs="Times New Roman"/>
          <w:i/>
          <w:iCs/>
          <w:color w:val="000000"/>
          <w:spacing w:val="0"/>
          <w:w w:val="100"/>
          <w:position w:val="0"/>
          <w:shd w:val="clear" w:color="auto" w:fill="auto"/>
          <w:lang w:val="hr-HR" w:eastAsia="hr-HR" w:bidi="hr-HR"/>
        </w:rPr>
        <w:t>und Midrasch,</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6</w:t>
      </w:r>
      <w:r>
        <w:rPr>
          <w:rFonts w:ascii="Times New Roman" w:eastAsia="Times New Roman" w:hAnsi="Times New Roman" w:cs="Times New Roman"/>
          <w:color w:val="000000"/>
          <w:spacing w:val="0"/>
          <w:w w:val="100"/>
          <w:position w:val="0"/>
          <w:shd w:val="clear" w:color="auto" w:fill="auto"/>
          <w:lang w:val="hr-HR" w:eastAsia="hr-HR" w:bidi="hr-HR"/>
        </w:rPr>
        <w:t xml:space="preserve">1976, 6 i d.), s Ezr 7,6: »Bio je književnik </w:t>
      </w:r>
      <w:r>
        <w:rPr>
          <w:rFonts w:ascii="Times New Roman" w:eastAsia="Times New Roman" w:hAnsi="Times New Roman" w:cs="Times New Roman"/>
          <w:i/>
          <w:iCs/>
          <w:color w:val="000000"/>
          <w:spacing w:val="0"/>
          <w:w w:val="100"/>
          <w:position w:val="0"/>
          <w:shd w:val="clear" w:color="auto" w:fill="auto"/>
          <w:lang w:val="hr-HR" w:eastAsia="hr-HR" w:bidi="hr-HR"/>
        </w:rPr>
        <w:t>(sofer),</w:t>
      </w:r>
      <w:r>
        <w:rPr>
          <w:rFonts w:ascii="Times New Roman" w:eastAsia="Times New Roman" w:hAnsi="Times New Roman" w:cs="Times New Roman"/>
          <w:color w:val="000000"/>
          <w:spacing w:val="0"/>
          <w:w w:val="100"/>
          <w:position w:val="0"/>
          <w:shd w:val="clear" w:color="auto" w:fill="auto"/>
          <w:lang w:val="hr-HR" w:eastAsia="hr-HR" w:bidi="hr-HR"/>
        </w:rPr>
        <w:t xml:space="preserve"> vješt Mojsijevu zakonu (To</w:t>
        <w:softHyphen/>
        <w:t xml:space="preserve">ri), koji je dao ON, Bog Izraelov« počinje nova linija koja već u stihu 10 ide tako daleko da se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 xml:space="preserve">kao učitelj Tore približava Mojsiju: »Jer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je svim srcem nastojao proniknuli u NJEGOV zakon (Toru), provoditi ga i pouča</w:t>
        <w:softHyphen/>
        <w:t>vati u Izraelu o zakonima i običajima.« Pos- lijcbiblijska literatura nadopunjuje Ezrinu sli</w:t>
        <w:softHyphen/>
        <w:t xml:space="preserve">ku: prema IV Ezr 14,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iznova piše Toru, koja je bila izgorjela (21 i d.), na osnovi pro</w:t>
        <w:softHyphen/>
        <w:t>ročkoga nadahnuća, skuplja »četrdeset i četiri knjige« kanona (44 i d.) i sastavlja još sedam</w:t>
        <w:softHyphen/>
        <w:t xml:space="preserve">deset spisa (46 i d., usp. II Hcn 23,6). Rabini su gledali u njemu prvoga u nizu obnovitelja Tore (b Suka 20a) i time utemeljitelja židovstva koje se temelji na Tori (b Berahot 27b; Mena- hot 53a), koji jc uveo deset </w:t>
      </w:r>
      <w:r>
        <w:rPr>
          <w:rFonts w:ascii="Times New Roman" w:eastAsia="Times New Roman" w:hAnsi="Times New Roman" w:cs="Times New Roman"/>
          <w:i/>
          <w:iCs/>
          <w:color w:val="000000"/>
          <w:spacing w:val="0"/>
          <w:w w:val="100"/>
          <w:position w:val="0"/>
          <w:shd w:val="clear" w:color="auto" w:fill="auto"/>
          <w:lang w:val="hr-HR" w:eastAsia="hr-HR" w:bidi="hr-HR"/>
        </w:rPr>
        <w:t>lakanol</w:t>
      </w:r>
      <w:r>
        <w:rPr>
          <w:rFonts w:ascii="Times New Roman" w:eastAsia="Times New Roman" w:hAnsi="Times New Roman" w:cs="Times New Roman"/>
          <w:color w:val="000000"/>
          <w:spacing w:val="0"/>
          <w:w w:val="100"/>
          <w:position w:val="0"/>
          <w:shd w:val="clear" w:color="auto" w:fill="auto"/>
          <w:lang w:val="hr-HR" w:eastAsia="hr-HR" w:bidi="hr-HR"/>
        </w:rPr>
        <w:t xml:space="preserve"> (odredbe u javnom interesu) (b Bava kama 82a; j Me- gila VI,1,75a, usp. b 3b), pa se zbog loga Tora javno čitala ponedjeljkom i četvrtkom (j Me- gila IV,1,75a), a pokrenuo je brojne škole za proučavanje </w:t>
      </w:r>
      <w:r>
        <w:rPr>
          <w:rFonts w:ascii="Times New Roman" w:eastAsia="Times New Roman" w:hAnsi="Times New Roman" w:cs="Times New Roman"/>
          <w:color w:val="000000"/>
          <w:spacing w:val="0"/>
          <w:w w:val="100"/>
          <w:position w:val="0"/>
          <w:shd w:val="clear" w:color="auto" w:fill="auto"/>
          <w:lang w:val="en-US" w:eastAsia="en-US" w:bidi="en-US"/>
        </w:rPr>
        <w:t xml:space="preserve">Tore: »Ezra </w:t>
      </w:r>
      <w:r>
        <w:rPr>
          <w:rFonts w:ascii="Times New Roman" w:eastAsia="Times New Roman" w:hAnsi="Times New Roman" w:cs="Times New Roman"/>
          <w:color w:val="000000"/>
          <w:spacing w:val="0"/>
          <w:w w:val="100"/>
          <w:position w:val="0"/>
          <w:shd w:val="clear" w:color="auto" w:fill="auto"/>
          <w:lang w:val="hr-HR" w:eastAsia="hr-HR" w:bidi="hr-HR"/>
        </w:rPr>
        <w:t xml:space="preserve">jc naredio u Izraelu da učitelj sjedne do učitelja. - Pa, zbog straha da se ne opusti. Odgovor jc bio: Ljubomora učitelja povećava mudrost« (b Bava batra 21b-22a). Neki rabini izjednačavaju Ezru s prorokom Malahijom (b Megila 15a). Rabi Jose je prosudio: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bi bio dostojan davati Toru da ga Mojsije nije pretekao... I premda Tora nije predana Izraelu preko njega, pismo se promijenilo njegovim posredstvom«, tj. po</w:t>
        <w:softHyphen/>
        <w:t>novno jc uvedeno - izvorno je bilo promijenje</w:t>
        <w:softHyphen/>
        <w:t xml:space="preserve">no zbog lzraclova grijeha, kako su naučavali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rabini! - kvadratno pismo poslije izgnanstva; upućujući na Ezr 7,6.10 postavio je Ezru po</w:t>
        <w:softHyphen/>
        <w:t xml:space="preserve">kraj Mojsija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21b.22a). S Ezrinim djelovanjem, toliko se može ustanoviti, počeo je proces kodifikacije predaje, koji je napo</w:t>
        <w:softHyphen/>
        <w:t>sljetku dosegnuo vrhunac u utvrđivanju kano</w:t>
        <w:softHyphen/>
        <w:t>na hebrejskih biblijskih knjiga u židovstvu, pa se pod njegovim utjecajem »Mojsijev zakon« razvio u prevladavajući čimbenik u životu ži</w:t>
        <w:softHyphen/>
        <w:t>dovskoga naroda. Proizišao je kao plod traj</w:t>
        <w:softHyphen/>
        <w:t>nog čitanja i tumačenja Tore. Potreba njezina stalnog tumačenja bila je primjerena odredbi za život. Njezini pojedini propisi mogli su se primijeniti samo kad bi se pojavili odgovori na pitanja koja pisani tekst nije izričito obradio. Zajednica povratnika iz babilonskog izgnan</w:t>
        <w:softHyphen/>
        <w:t>stva, koja se preko svojih zastupnika obvezala da će prihvatiti Toru (Neh 10,29), mogla je svojoj prisezi... »da će postupati prema zako</w:t>
        <w:softHyphen/>
        <w:t>nu Božjem, koji je dan po rukama Mojsija, sluge Božjega, i da će držati i vršiti sve zapo</w:t>
        <w:softHyphen/>
        <w:t>vijedi NJEGOVE, Boga našega, njegove na</w:t>
        <w:softHyphen/>
        <w:t>redbe i zakone«... ostati vjerna samo ako se Zakon (Tora) tumačenjem može primijeniti. To je postalo osnovno za židovstvo u svim raz</w:t>
        <w:softHyphen/>
        <w:t xml:space="preserve">dobljima njegove povijesti od vremena Ezre i </w:t>
      </w:r>
      <w:r>
        <w:rPr>
          <w:rFonts w:ascii="Times New Roman" w:eastAsia="Times New Roman" w:hAnsi="Times New Roman" w:cs="Times New Roman"/>
          <w:i/>
          <w:iCs/>
          <w:color w:val="000000"/>
          <w:spacing w:val="0"/>
          <w:w w:val="100"/>
          <w:position w:val="0"/>
          <w:shd w:val="clear" w:color="auto" w:fill="auto"/>
          <w:lang w:val="hr-HR" w:eastAsia="hr-HR" w:bidi="hr-HR"/>
        </w:rPr>
        <w:t>soferima,</w:t>
      </w:r>
      <w:r>
        <w:rPr>
          <w:rFonts w:ascii="Times New Roman" w:eastAsia="Times New Roman" w:hAnsi="Times New Roman" w:cs="Times New Roman"/>
          <w:color w:val="000000"/>
          <w:spacing w:val="0"/>
          <w:w w:val="100"/>
          <w:position w:val="0"/>
          <w:shd w:val="clear" w:color="auto" w:fill="auto"/>
          <w:lang w:val="hr-HR" w:eastAsia="hr-HR" w:bidi="hr-HR"/>
        </w:rPr>
        <w:t xml:space="preserve"> pismoznanaca (književnika) vještih riječima »NJEGOVIH naredbi i zakona Iz</w:t>
        <w:softHyphen/>
        <w:t>raelu« (Ezr 7,11, usp. Sir 38,24 i d.), čije su službe kasniji rabini odnosno »mudraci« bili svjesni. Ta zadaća podučavanja Tore i njezina svrsishodnog oblikovanja tumačenjem name</w:t>
        <w:softHyphen/>
        <w:t>tala je neizbježno davanje smjernica za dje</w:t>
        <w:softHyphen/>
        <w:t>lovanje kao nadopune pisane Tore. Kako bismo potpuno razumjeli taj proces neprekid</w:t>
        <w:softHyphen/>
        <w:t>ne reinterpretacije, u kojem je židovstvo na</w:t>
        <w:softHyphen/>
        <w:t>stalo, tako reći kao komentar Tore, mora se uzeti u obzir da se podučavanje i učenje Tore nikada nije obavljalo samo kao sredstvo za postizanje svrhe kako bi se regulirao sveukup</w:t>
        <w:softHyphen/>
        <w:t>ni život zajednice i pojedinca; štoviše, čitanje i učenje Tore bili su od samog početka razdo</w:t>
        <w:softHyphen/>
        <w:t xml:space="preserve">blja drugoga Hrama sastavni dio bogoslužja preko kojega čovjek upoznaje zajednicu s Bogom (G. F. </w:t>
      </w:r>
      <w:r>
        <w:rPr>
          <w:rFonts w:ascii="Times New Roman" w:eastAsia="Times New Roman" w:hAnsi="Times New Roman" w:cs="Times New Roman"/>
          <w:color w:val="000000"/>
          <w:spacing w:val="0"/>
          <w:w w:val="100"/>
          <w:position w:val="0"/>
          <w:shd w:val="clear" w:color="auto" w:fill="auto"/>
          <w:lang w:val="en-US" w:eastAsia="en-US" w:bidi="en-US"/>
        </w:rPr>
        <w:t xml:space="preserve">Moore, </w:t>
      </w:r>
      <w:r>
        <w:rPr>
          <w:rFonts w:ascii="Times New Roman" w:eastAsia="Times New Roman" w:hAnsi="Times New Roman" w:cs="Times New Roman"/>
          <w:i/>
          <w:iCs/>
          <w:color w:val="000000"/>
          <w:spacing w:val="0"/>
          <w:w w:val="100"/>
          <w:position w:val="0"/>
          <w:shd w:val="clear" w:color="auto" w:fill="auto"/>
          <w:lang w:val="en-US" w:eastAsia="en-US" w:bidi="en-US"/>
        </w:rPr>
        <w:t>Judaism in the First Centuries of the Christian Era,</w:t>
      </w:r>
      <w:r>
        <w:rPr>
          <w:rFonts w:ascii="Times New Roman" w:eastAsia="Times New Roman" w:hAnsi="Times New Roman" w:cs="Times New Roman"/>
          <w:color w:val="000000"/>
          <w:spacing w:val="0"/>
          <w:w w:val="100"/>
          <w:position w:val="0"/>
          <w:shd w:val="clear" w:color="auto" w:fill="auto"/>
          <w:lang w:val="en-US" w:eastAsia="en-US" w:bidi="en-US"/>
        </w:rPr>
        <w:t xml:space="preserve"> 1927, 1962, 235-280).</w:t>
      </w:r>
    </w:p>
    <w:p>
      <w:pPr>
        <w:pStyle w:val="Style20"/>
        <w:keepNext w:val="0"/>
        <w:keepLines w:val="0"/>
        <w:widowControl w:val="0"/>
        <w:numPr>
          <w:ilvl w:val="0"/>
          <w:numId w:val="119"/>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Tumačenje Biblije kao prijevod bogo- služnoga čitanja Tore i pripadajućih odloma</w:t>
        <w:softHyphen/>
        <w:t xml:space="preserve">ka iz proročkih knjiga </w:t>
      </w:r>
      <w:r>
        <w:rPr>
          <w:rFonts w:ascii="Times New Roman" w:eastAsia="Times New Roman" w:hAnsi="Times New Roman" w:cs="Times New Roman"/>
          <w:i/>
          <w:iCs/>
          <w:color w:val="000000"/>
          <w:spacing w:val="0"/>
          <w:w w:val="100"/>
          <w:position w:val="0"/>
          <w:shd w:val="clear" w:color="auto" w:fill="auto"/>
          <w:lang w:val="hr-HR" w:eastAsia="hr-HR" w:bidi="hr-HR"/>
        </w:rPr>
        <w:t>(haftara)</w:t>
      </w:r>
      <w:r>
        <w:rPr>
          <w:rFonts w:ascii="Times New Roman" w:eastAsia="Times New Roman" w:hAnsi="Times New Roman" w:cs="Times New Roman"/>
          <w:color w:val="000000"/>
          <w:spacing w:val="0"/>
          <w:w w:val="100"/>
          <w:position w:val="0"/>
          <w:shd w:val="clear" w:color="auto" w:fill="auto"/>
          <w:lang w:val="hr-HR" w:eastAsia="hr-HR" w:bidi="hr-HR"/>
        </w:rPr>
        <w:t xml:space="preserve"> s hebrejskoga na aramejski pučki jezik bilo je potrebno ži</w:t>
        <w:softHyphen/>
        <w:t xml:space="preserve">dovstvu Palestine poslije izgnanstva. Prijevod </w:t>
      </w:r>
      <w:r>
        <w:rPr>
          <w:rFonts w:ascii="Times New Roman" w:eastAsia="Times New Roman" w:hAnsi="Times New Roman" w:cs="Times New Roman"/>
          <w:i/>
          <w:iCs/>
          <w:color w:val="000000"/>
          <w:spacing w:val="0"/>
          <w:w w:val="100"/>
          <w:position w:val="0"/>
          <w:shd w:val="clear" w:color="auto" w:fill="auto"/>
          <w:lang w:val="hr-HR" w:eastAsia="hr-HR" w:bidi="hr-HR"/>
        </w:rPr>
        <w:t>(targum)</w:t>
      </w:r>
      <w:r>
        <w:rPr>
          <w:rFonts w:ascii="Times New Roman" w:eastAsia="Times New Roman" w:hAnsi="Times New Roman" w:cs="Times New Roman"/>
          <w:color w:val="000000"/>
          <w:spacing w:val="0"/>
          <w:w w:val="100"/>
          <w:position w:val="0"/>
          <w:shd w:val="clear" w:color="auto" w:fill="auto"/>
          <w:lang w:val="hr-HR" w:eastAsia="hr-HR" w:bidi="hr-HR"/>
        </w:rPr>
        <w:t xml:space="preserve"> na bogoslužju morao je usmeno oba</w:t>
        <w:softHyphen/>
        <w:t xml:space="preserve">viti posebni prevoditelj </w:t>
      </w:r>
      <w:r>
        <w:rPr>
          <w:rFonts w:ascii="Times New Roman" w:eastAsia="Times New Roman" w:hAnsi="Times New Roman" w:cs="Times New Roman"/>
          <w:i/>
          <w:iCs/>
          <w:color w:val="000000"/>
          <w:spacing w:val="0"/>
          <w:w w:val="100"/>
          <w:position w:val="0"/>
          <w:shd w:val="clear" w:color="auto" w:fill="auto"/>
          <w:lang w:val="hr-HR" w:eastAsia="hr-HR" w:bidi="hr-HR"/>
        </w:rPr>
        <w:t>(meturgeman</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turge- man)</w:t>
      </w:r>
      <w:r>
        <w:rPr>
          <w:rFonts w:ascii="Times New Roman" w:eastAsia="Times New Roman" w:hAnsi="Times New Roman" w:cs="Times New Roman"/>
          <w:color w:val="000000"/>
          <w:spacing w:val="0"/>
          <w:w w:val="100"/>
          <w:position w:val="0"/>
          <w:shd w:val="clear" w:color="auto" w:fill="auto"/>
          <w:lang w:val="hr-HR" w:eastAsia="hr-HR" w:bidi="hr-HR"/>
        </w:rPr>
        <w:t xml:space="preserve"> kako bi se naglasio odmak između oči</w:t>
        <w:softHyphen/>
        <w:t>tovanog teksta što su ga iz svitka čitali na he</w:t>
        <w:softHyphen/>
        <w:t xml:space="preserve">brejskom i čovječjeg rada, tj. prijevoda (G. </w:t>
      </w:r>
      <w:r>
        <w:rPr>
          <w:rFonts w:ascii="Times New Roman" w:eastAsia="Times New Roman" w:hAnsi="Times New Roman" w:cs="Times New Roman"/>
          <w:color w:val="000000"/>
          <w:spacing w:val="0"/>
          <w:w w:val="100"/>
          <w:position w:val="0"/>
          <w:shd w:val="clear" w:color="auto" w:fill="auto"/>
          <w:lang w:val="en-US" w:eastAsia="en-US" w:bidi="en-US"/>
        </w:rPr>
        <w:t xml:space="preserve">Stemberger, </w:t>
      </w:r>
      <w:r>
        <w:rPr>
          <w:rFonts w:ascii="Times New Roman" w:eastAsia="Times New Roman" w:hAnsi="Times New Roman" w:cs="Times New Roman"/>
          <w:i/>
          <w:iCs/>
          <w:color w:val="000000"/>
          <w:spacing w:val="0"/>
          <w:w w:val="100"/>
          <w:position w:val="0"/>
          <w:shd w:val="clear" w:color="auto" w:fill="auto"/>
          <w:lang w:val="hr-HR" w:eastAsia="hr-HR" w:bidi="hr-HR"/>
        </w:rPr>
        <w:t>Geschichte der judischen Litera- tur,</w:t>
      </w:r>
      <w:r>
        <w:rPr>
          <w:rFonts w:ascii="Times New Roman" w:eastAsia="Times New Roman" w:hAnsi="Times New Roman" w:cs="Times New Roman"/>
          <w:color w:val="000000"/>
          <w:spacing w:val="0"/>
          <w:w w:val="100"/>
          <w:position w:val="0"/>
          <w:shd w:val="clear" w:color="auto" w:fill="auto"/>
          <w:lang w:val="hr-HR" w:eastAsia="hr-HR" w:bidi="hr-HR"/>
        </w:rPr>
        <w:t xml:space="preserve"> 1977, 80-83). Na mogućnosti i granice prevođenja, koje je samo po sebi tumačenje, upozorio je Rabi </w:t>
      </w:r>
      <w:r>
        <w:rPr>
          <w:rFonts w:ascii="Times New Roman" w:eastAsia="Times New Roman" w:hAnsi="Times New Roman" w:cs="Times New Roman"/>
          <w:color w:val="000000"/>
          <w:spacing w:val="0"/>
          <w:w w:val="100"/>
          <w:position w:val="0"/>
          <w:shd w:val="clear" w:color="auto" w:fill="auto"/>
          <w:lang w:val="en-US" w:eastAsia="en-US" w:bidi="en-US"/>
        </w:rPr>
        <w:t xml:space="preserve">Jehuda </w:t>
      </w:r>
      <w:r>
        <w:rPr>
          <w:rFonts w:ascii="Times New Roman" w:eastAsia="Times New Roman" w:hAnsi="Times New Roman" w:cs="Times New Roman"/>
          <w:color w:val="000000"/>
          <w:spacing w:val="0"/>
          <w:w w:val="100"/>
          <w:position w:val="0"/>
          <w:shd w:val="clear" w:color="auto" w:fill="auto"/>
          <w:lang w:val="hr-HR" w:eastAsia="hr-HR" w:bidi="hr-HR"/>
        </w:rPr>
        <w:t>(II. stoljeće): »Tko doslovce prevede jedan stih iz Pisma, lažljivac je (jer time krivotvori namjeru), a tko nešto doda, bogohulnik je« (b Kidušin 49a).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Osuvremenjeno rabinsko izlaganje i tumače</w:t>
        <w:softHyphen/>
        <w:t>nje Biblije stvorilo je Midraš u dvostrukom obliku Halaških midraša (pl. midrašim) koji s prethodnom egzegezom Biblije u stihovima nastavljaju poduku o propisima u vezi sa ži</w:t>
        <w:softHyphen/>
        <w:t xml:space="preserve">dovskim načinom života </w:t>
      </w:r>
      <w:r>
        <w:rPr>
          <w:rFonts w:ascii="Times New Roman" w:eastAsia="Times New Roman" w:hAnsi="Times New Roman" w:cs="Times New Roman"/>
          <w:i/>
          <w:iCs/>
          <w:color w:val="000000"/>
          <w:spacing w:val="0"/>
          <w:w w:val="100"/>
          <w:position w:val="0"/>
          <w:shd w:val="clear" w:color="auto" w:fill="auto"/>
          <w:lang w:val="hr-HR" w:eastAsia="hr-HR" w:bidi="hr-HR"/>
        </w:rPr>
        <w:t>(halaha),</w:t>
      </w:r>
      <w:r>
        <w:rPr>
          <w:rFonts w:ascii="Times New Roman" w:eastAsia="Times New Roman" w:hAnsi="Times New Roman" w:cs="Times New Roman"/>
          <w:color w:val="000000"/>
          <w:spacing w:val="0"/>
          <w:w w:val="100"/>
          <w:position w:val="0"/>
          <w:shd w:val="clear" w:color="auto" w:fill="auto"/>
          <w:lang w:val="hr-HR" w:eastAsia="hr-HR" w:bidi="hr-HR"/>
        </w:rPr>
        <w:t xml:space="preserve"> i Hagad- skih odnosno Agadskih midraša, koji pojedine tekstove, često početke bogoslužnih svetopi- samskih lekcija, obrađuju pobožno, poučno i na propovjednički način (H. L. </w:t>
      </w:r>
      <w:r>
        <w:rPr>
          <w:rFonts w:ascii="Times New Roman" w:eastAsia="Times New Roman" w:hAnsi="Times New Roman" w:cs="Times New Roman"/>
          <w:color w:val="000000"/>
          <w:spacing w:val="0"/>
          <w:w w:val="100"/>
          <w:position w:val="0"/>
          <w:shd w:val="clear" w:color="auto" w:fill="auto"/>
          <w:lang w:val="en-US" w:eastAsia="en-US" w:bidi="en-US"/>
        </w:rPr>
        <w:t xml:space="preserve">Strack, </w:t>
      </w:r>
      <w:r>
        <w:rPr>
          <w:rFonts w:ascii="Times New Roman" w:eastAsia="Times New Roman" w:hAnsi="Times New Roman" w:cs="Times New Roman"/>
          <w:color w:val="000000"/>
          <w:spacing w:val="0"/>
          <w:w w:val="100"/>
          <w:position w:val="0"/>
          <w:shd w:val="clear" w:color="auto" w:fill="auto"/>
          <w:lang w:val="hr-HR" w:eastAsia="hr-HR" w:bidi="hr-HR"/>
        </w:rPr>
        <w:t xml:space="preserve">na naved. mjestu, 195-226; G. </w:t>
      </w:r>
      <w:r>
        <w:rPr>
          <w:rFonts w:ascii="Times New Roman" w:eastAsia="Times New Roman" w:hAnsi="Times New Roman" w:cs="Times New Roman"/>
          <w:color w:val="000000"/>
          <w:spacing w:val="0"/>
          <w:w w:val="100"/>
          <w:position w:val="0"/>
          <w:shd w:val="clear" w:color="auto" w:fill="auto"/>
          <w:lang w:val="en-US" w:eastAsia="en-US" w:bidi="en-US"/>
        </w:rPr>
        <w:t xml:space="preserve">Stemberger, </w:t>
      </w:r>
      <w:r>
        <w:rPr>
          <w:rFonts w:ascii="Times New Roman" w:eastAsia="Times New Roman" w:hAnsi="Times New Roman" w:cs="Times New Roman"/>
          <w:color w:val="000000"/>
          <w:spacing w:val="0"/>
          <w:w w:val="100"/>
          <w:position w:val="0"/>
          <w:shd w:val="clear" w:color="auto" w:fill="auto"/>
          <w:lang w:val="hr-HR" w:eastAsia="hr-HR" w:bidi="hr-HR"/>
        </w:rPr>
        <w:t>na naved. mjestu, 83-96).</w:t>
      </w:r>
    </w:p>
    <w:p>
      <w:pPr>
        <w:pStyle w:val="Style20"/>
        <w:keepNext w:val="0"/>
        <w:keepLines w:val="0"/>
        <w:widowControl w:val="0"/>
        <w:numPr>
          <w:ilvl w:val="0"/>
          <w:numId w:val="119"/>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Promjenljivi egzistencijalni uvjeti tražili su stalno tumačenje »pisane« Tore kao pouke koju treba naučiti i slijediti. Kako bi se to pos</w:t>
        <w:softHyphen/>
        <w:t>tiglo, bile su potrebne određene metode izla</w:t>
        <w:softHyphen/>
        <w:t xml:space="preserve">ganja Biblije. </w:t>
      </w:r>
      <w:r>
        <w:rPr>
          <w:rFonts w:ascii="Times New Roman" w:eastAsia="Times New Roman" w:hAnsi="Times New Roman" w:cs="Times New Roman"/>
          <w:color w:val="000000"/>
          <w:spacing w:val="0"/>
          <w:w w:val="100"/>
          <w:position w:val="0"/>
          <w:shd w:val="clear" w:color="auto" w:fill="auto"/>
          <w:lang w:val="en-US" w:eastAsia="en-US" w:bidi="en-US"/>
        </w:rPr>
        <w:t xml:space="preserve">Hilda, </w:t>
      </w:r>
      <w:r>
        <w:rPr>
          <w:rFonts w:ascii="Times New Roman" w:eastAsia="Times New Roman" w:hAnsi="Times New Roman" w:cs="Times New Roman"/>
          <w:color w:val="000000"/>
          <w:spacing w:val="0"/>
          <w:w w:val="100"/>
          <w:position w:val="0"/>
          <w:shd w:val="clear" w:color="auto" w:fill="auto"/>
          <w:lang w:val="hr-HR" w:eastAsia="hr-HR" w:bidi="hr-HR"/>
        </w:rPr>
        <w:t>jednoga od najvećih ra- binskih autoriteta (b Sabat 15a) stotinjak go</w:t>
        <w:softHyphen/>
        <w:t xml:space="preserve">dina prije razorenja drugoga Hrama, smatrali su u kasnijoj tradiciji predstavnikom stručne egzegeze koja je sve propise »usmene« Tore izvodila iz »pismene«. Sedam </w:t>
      </w:r>
      <w:r>
        <w:rPr>
          <w:rFonts w:ascii="Times New Roman" w:eastAsia="Times New Roman" w:hAnsi="Times New Roman" w:cs="Times New Roman"/>
          <w:i/>
          <w:iCs/>
          <w:color w:val="000000"/>
          <w:spacing w:val="0"/>
          <w:w w:val="100"/>
          <w:position w:val="0"/>
          <w:shd w:val="clear" w:color="auto" w:fill="auto"/>
          <w:lang w:val="hr-HR" w:eastAsia="hr-HR" w:bidi="hr-HR"/>
        </w:rPr>
        <w:t>midota,</w:t>
      </w:r>
      <w:r>
        <w:rPr>
          <w:rFonts w:ascii="Times New Roman" w:eastAsia="Times New Roman" w:hAnsi="Times New Roman" w:cs="Times New Roman"/>
          <w:color w:val="000000"/>
          <w:spacing w:val="0"/>
          <w:w w:val="100"/>
          <w:position w:val="0"/>
          <w:shd w:val="clear" w:color="auto" w:fill="auto"/>
          <w:lang w:val="hr-HR" w:eastAsia="hr-HR" w:bidi="hr-HR"/>
        </w:rPr>
        <w:t xml:space="preserve"> poveza</w:t>
        <w:softHyphen/>
        <w:t xml:space="preserve">nih s Hilclovim imenom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VII, kraj; Šifra, Uvod 7; Avot Rabi Natana 37; u Misni su spomenute samo dvije; Šavuot X, 3-4: Arahin IX,4), tj. pravila tumačenja ko</w:t>
        <w:softHyphen/>
        <w:t>jima su rabini objašnjavali »pisanu« Toru i tu</w:t>
        <w:softHyphen/>
        <w:t>mačili je radi izvođenja novih odredaba, ta</w:t>
        <w:softHyphen/>
        <w:t xml:space="preserve">kođer je sadržano u trinaest pravila </w:t>
      </w:r>
      <w:r>
        <w:rPr>
          <w:rFonts w:ascii="Times New Roman" w:eastAsia="Times New Roman" w:hAnsi="Times New Roman" w:cs="Times New Roman"/>
          <w:i/>
          <w:iCs/>
          <w:color w:val="000000"/>
          <w:spacing w:val="0"/>
          <w:w w:val="100"/>
          <w:position w:val="0"/>
          <w:shd w:val="clear" w:color="auto" w:fill="auto"/>
          <w:lang w:val="hr-HR" w:eastAsia="hr-HR" w:bidi="hr-HR"/>
        </w:rPr>
        <w:t>(šeloš esre midot)</w:t>
      </w:r>
      <w:r>
        <w:rPr>
          <w:rFonts w:ascii="Times New Roman" w:eastAsia="Times New Roman" w:hAnsi="Times New Roman" w:cs="Times New Roman"/>
          <w:color w:val="000000"/>
          <w:spacing w:val="0"/>
          <w:w w:val="100"/>
          <w:position w:val="0"/>
          <w:shd w:val="clear" w:color="auto" w:fill="auto"/>
          <w:lang w:val="hr-HR" w:eastAsia="hr-HR" w:bidi="hr-HR"/>
        </w:rPr>
        <w:t xml:space="preserve"> rabina Jišmacla (I./1I. stoljeće), koje je preuzela jutarnja molitva </w:t>
      </w:r>
      <w:r>
        <w:rPr>
          <w:rFonts w:ascii="Times New Roman" w:eastAsia="Times New Roman" w:hAnsi="Times New Roman" w:cs="Times New Roman"/>
          <w:i/>
          <w:iCs/>
          <w:color w:val="000000"/>
          <w:spacing w:val="0"/>
          <w:w w:val="100"/>
          <w:position w:val="0"/>
          <w:shd w:val="clear" w:color="auto" w:fill="auto"/>
          <w:lang w:val="hr-HR" w:eastAsia="hr-HR" w:bidi="hr-HR"/>
        </w:rPr>
        <w:t>(Saharit):</w:t>
      </w:r>
      <w:r>
        <w:rPr>
          <w:rFonts w:ascii="Times New Roman" w:eastAsia="Times New Roman" w:hAnsi="Times New Roman" w:cs="Times New Roman"/>
          <w:color w:val="000000"/>
          <w:spacing w:val="0"/>
          <w:w w:val="100"/>
          <w:position w:val="0"/>
          <w:shd w:val="clear" w:color="auto" w:fill="auto"/>
          <w:lang w:val="hr-HR" w:eastAsia="hr-HR" w:bidi="hr-HR"/>
        </w:rPr>
        <w:t xml:space="preserve"> aa) »Lako i teško« </w:t>
      </w:r>
      <w:r>
        <w:rPr>
          <w:rFonts w:ascii="Times New Roman" w:eastAsia="Times New Roman" w:hAnsi="Times New Roman" w:cs="Times New Roman"/>
          <w:i/>
          <w:iCs/>
          <w:color w:val="000000"/>
          <w:spacing w:val="0"/>
          <w:w w:val="100"/>
          <w:position w:val="0"/>
          <w:shd w:val="clear" w:color="auto" w:fill="auto"/>
          <w:lang w:val="hr-HR" w:eastAsia="hr-HR" w:bidi="hr-HR"/>
        </w:rPr>
        <w:t>(kal va-homerf.</w:t>
      </w:r>
      <w:r>
        <w:rPr>
          <w:rFonts w:ascii="Times New Roman" w:eastAsia="Times New Roman" w:hAnsi="Times New Roman" w:cs="Times New Roman"/>
          <w:color w:val="000000"/>
          <w:spacing w:val="0"/>
          <w:w w:val="100"/>
          <w:position w:val="0"/>
          <w:shd w:val="clear" w:color="auto" w:fill="auto"/>
          <w:lang w:val="hr-HR" w:eastAsia="hr-HR" w:bidi="hr-HR"/>
        </w:rPr>
        <w:t xml:space="preserve"> zaključivanje s lakoga (manje važnoga) na teško (važnije) i obrnuto. Primjer M Pesahim VI,2: ako je usprkos na</w:t>
        <w:softHyphen/>
        <w:t>čelnoj zabrani »djelatnosti« prema Zakonu (Tori) dopušteno zaklati pashalno janje na ša- bat, ipak bi se morala barem dopustiti pri</w:t>
        <w:softHyphen/>
        <w:t>premna radnja poput škropljcnja koje se pak preklapa s rabinskom zabranom. Opovrgava- nje (»ili obrnuto!«): životinja se može klati tek</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popodne </w:t>
      </w:r>
      <w:r>
        <w:rPr>
          <w:rFonts w:ascii="Times New Roman" w:eastAsia="Times New Roman" w:hAnsi="Times New Roman" w:cs="Times New Roman"/>
          <w:color w:val="000000"/>
          <w:spacing w:val="0"/>
          <w:w w:val="100"/>
          <w:position w:val="0"/>
          <w:shd w:val="clear" w:color="auto" w:fill="auto"/>
          <w:lang w:val="en-US" w:eastAsia="en-US" w:bidi="en-US"/>
        </w:rPr>
        <w:t xml:space="preserve">14. </w:t>
      </w:r>
      <w:r>
        <w:rPr>
          <w:rFonts w:ascii="Times New Roman" w:eastAsia="Times New Roman" w:hAnsi="Times New Roman" w:cs="Times New Roman"/>
          <w:color w:val="000000"/>
          <w:spacing w:val="0"/>
          <w:w w:val="100"/>
          <w:position w:val="0"/>
          <w:shd w:val="clear" w:color="auto" w:fill="auto"/>
          <w:lang w:val="hr-HR" w:eastAsia="hr-HR" w:bidi="hr-HR"/>
        </w:rPr>
        <w:t>nišana (Br 9,3); pripreme su se mogle vršiti prije nastupa šabata. Ostali primje</w:t>
        <w:softHyphen/>
        <w:t xml:space="preserve">ri M Bava batra IX,7;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VI,5; Avot 1,5. - bb) »Ista naredba« </w:t>
      </w:r>
      <w:r>
        <w:rPr>
          <w:rFonts w:ascii="Times New Roman" w:eastAsia="Times New Roman" w:hAnsi="Times New Roman" w:cs="Times New Roman"/>
          <w:i/>
          <w:iCs/>
          <w:color w:val="000000"/>
          <w:spacing w:val="0"/>
          <w:w w:val="100"/>
          <w:position w:val="0"/>
          <w:shd w:val="clear" w:color="auto" w:fill="auto"/>
          <w:lang w:val="hr-HR" w:eastAsia="hr-HR" w:bidi="hr-HR"/>
        </w:rPr>
        <w:t>(gezera šava):</w:t>
      </w:r>
      <w:r>
        <w:rPr>
          <w:rFonts w:ascii="Times New Roman" w:eastAsia="Times New Roman" w:hAnsi="Times New Roman" w:cs="Times New Roman"/>
          <w:color w:val="000000"/>
          <w:spacing w:val="0"/>
          <w:w w:val="100"/>
          <w:position w:val="0"/>
          <w:shd w:val="clear" w:color="auto" w:fill="auto"/>
          <w:lang w:val="hr-HR" w:eastAsia="hr-HR" w:bidi="hr-HR"/>
        </w:rPr>
        <w:t xml:space="preserve"> prema analogiji, različiti propisi trebaju se stoga od</w:t>
        <w:softHyphen/>
        <w:t>mah primijeniti, jer se u njima javljaju isto- zvučnice i istoznačnice. Primjer M Jom tov (Beča) 1,6: »Šamajeva škola tvrdi da se na blagdan ne smije svećeniku prinositi podiza- nica (Br 15,17-21) niti donositi pristojbe (Pnz 18,3) bez obzira na to jesu li od jučer ili tek od danas (dakle, ni podizanicu od tijesta spravlje</w:t>
        <w:softHyphen/>
        <w:t>nog na blagdan niti pristojbe od stoke zaklane na blagdan); međutim, Hilelova je škola to dopuštala. Samaiti su im suprotstavili istu od</w:t>
        <w:softHyphen/>
        <w:t xml:space="preserve">redbu </w:t>
      </w:r>
      <w:r>
        <w:rPr>
          <w:rFonts w:ascii="Times New Roman" w:eastAsia="Times New Roman" w:hAnsi="Times New Roman" w:cs="Times New Roman"/>
          <w:i/>
          <w:iCs/>
          <w:color w:val="000000"/>
          <w:spacing w:val="0"/>
          <w:w w:val="100"/>
          <w:position w:val="0"/>
          <w:shd w:val="clear" w:color="auto" w:fill="auto"/>
          <w:lang w:val="hr-HR" w:eastAsia="hr-HR" w:bidi="hr-HR"/>
        </w:rPr>
        <w:t>(gezera šava):</w:t>
      </w:r>
      <w:r>
        <w:rPr>
          <w:rFonts w:ascii="Times New Roman" w:eastAsia="Times New Roman" w:hAnsi="Times New Roman" w:cs="Times New Roman"/>
          <w:color w:val="000000"/>
          <w:spacing w:val="0"/>
          <w:w w:val="100"/>
          <w:position w:val="0"/>
          <w:shd w:val="clear" w:color="auto" w:fill="auto"/>
          <w:lang w:val="hr-HR" w:eastAsia="hr-HR" w:bidi="hr-HR"/>
        </w:rPr>
        <w:t xml:space="preserve"> prinos prvoga kruha i pristojbe imaju se predati svećeniku, i prve plodine (Br 18,2) imaju se predati svećeniku; budući da se plodine ne smiju prinositi, ne smiju se prinositi ni pristojbe.« Opovrgavanje: »Na što su im hileliti odgovorili: Nipošto! Ono što navodite o prinosu plodina, za koje nema ovlaštenja za prinošenje (jer će one doći na red tek poslije svršetka radova koji su na blag</w:t>
        <w:softHyphen/>
        <w:t>dan zabranjeni) u obliku podizanice (na blag</w:t>
        <w:softHyphen/>
        <w:t>dan), hoćete li protegnuti na pristojbe za koje postoji ovlaštenje za prinošenje (od krušnog tijesta i stoke za klanje, jer je miješenje i kla</w:t>
        <w:softHyphen/>
        <w:t>nje na laj dan dopušteno)?« S obzirom na sve to, nastalo je uspoređivanje riječi poradi na</w:t>
        <w:softHyphen/>
        <w:t xml:space="preserve">laženja smisla nejasnog izraza (M Arahin IV,4; </w:t>
      </w:r>
      <w:r>
        <w:rPr>
          <w:rFonts w:ascii="Times New Roman" w:eastAsia="Times New Roman" w:hAnsi="Times New Roman" w:cs="Times New Roman"/>
          <w:color w:val="000000"/>
          <w:spacing w:val="0"/>
          <w:w w:val="100"/>
          <w:position w:val="0"/>
          <w:shd w:val="clear" w:color="auto" w:fill="auto"/>
          <w:lang w:val="en-US" w:eastAsia="en-US" w:bidi="en-US"/>
        </w:rPr>
        <w:t xml:space="preserve">Avoda Zara </w:t>
      </w:r>
      <w:r>
        <w:rPr>
          <w:rFonts w:ascii="Times New Roman" w:eastAsia="Times New Roman" w:hAnsi="Times New Roman" w:cs="Times New Roman"/>
          <w:color w:val="000000"/>
          <w:spacing w:val="0"/>
          <w:w w:val="100"/>
          <w:position w:val="0"/>
          <w:shd w:val="clear" w:color="auto" w:fill="auto"/>
          <w:lang w:val="hr-HR" w:eastAsia="hr-HR" w:bidi="hr-HR"/>
        </w:rPr>
        <w:t>III,6; b Pesahim 66a; 120b; Kidušin 57a; Menahot 37b). Uspoređivanjem riječi zapaženo je da se ponavljaju iste riječi ili one koje slično zvuče u tekstovima iz među</w:t>
        <w:softHyphen/>
        <w:t xml:space="preserve">sobno udaljenih mjesta. Rabini su zaključili da je korisno ustrajno ponavljati istoznačne riječi </w:t>
      </w:r>
      <w:r>
        <w:rPr>
          <w:rFonts w:ascii="Times New Roman" w:eastAsia="Times New Roman" w:hAnsi="Times New Roman" w:cs="Times New Roman"/>
          <w:i/>
          <w:iCs/>
          <w:color w:val="000000"/>
          <w:spacing w:val="0"/>
          <w:w w:val="100"/>
          <w:position w:val="0"/>
          <w:shd w:val="clear" w:color="auto" w:fill="auto"/>
          <w:lang w:val="hr-HR" w:eastAsia="hr-HR" w:bidi="hr-HR"/>
        </w:rPr>
        <w:t>(gezera šava,</w:t>
      </w:r>
      <w:r>
        <w:rPr>
          <w:rFonts w:ascii="Times New Roman" w:eastAsia="Times New Roman" w:hAnsi="Times New Roman" w:cs="Times New Roman"/>
          <w:color w:val="000000"/>
          <w:spacing w:val="0"/>
          <w:w w:val="100"/>
          <w:position w:val="0"/>
          <w:shd w:val="clear" w:color="auto" w:fill="auto"/>
          <w:lang w:val="hr-HR" w:eastAsia="hr-HR" w:bidi="hr-HR"/>
        </w:rPr>
        <w:t xml:space="preserve"> usp. M Sota VII,2-4; b 33a). U XX. stoljeću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Franz Rosen- zweig </w:t>
      </w:r>
      <w:r>
        <w:rPr>
          <w:rFonts w:ascii="Times New Roman" w:eastAsia="Times New Roman" w:hAnsi="Times New Roman" w:cs="Times New Roman"/>
          <w:color w:val="000000"/>
          <w:spacing w:val="0"/>
          <w:w w:val="100"/>
          <w:position w:val="0"/>
          <w:shd w:val="clear" w:color="auto" w:fill="auto"/>
          <w:lang w:val="hr-HR" w:eastAsia="hr-HR" w:bidi="hr-HR"/>
        </w:rPr>
        <w:t xml:space="preserve">potpuno su razradili distaneijsku paro- nomaziju kao hermeneutičku metodu svojega istraživanja Biblije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Schrift und ilire Ver- deutschung,</w:t>
      </w:r>
      <w:r>
        <w:rPr>
          <w:rFonts w:ascii="Times New Roman" w:eastAsia="Times New Roman" w:hAnsi="Times New Roman" w:cs="Times New Roman"/>
          <w:color w:val="000000"/>
          <w:spacing w:val="0"/>
          <w:w w:val="100"/>
          <w:position w:val="0"/>
          <w:shd w:val="clear" w:color="auto" w:fill="auto"/>
          <w:lang w:val="hr-HR" w:eastAsia="hr-HR" w:bidi="hr-HR"/>
        </w:rPr>
        <w:t xml:space="preserve"> 1936, 55 i d., 135 i d., 211 i d., 239 i d.). - cc) »Osnivanje obitelji (dogradnja jed</w:t>
        <w:softHyphen/>
        <w:t xml:space="preserve">nog načela)« (binjan av): Pomoću toga egze- getskog pravila može se od propisa koji je jedanput ili nekoliko puta spomenut u Bibliji stvoriti općevažeće pravilo. Npr., rabini su po- općavali zabranu iz jednoga svetopisamskog retka (Pnz 22,10; odnosno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19,19) i proši</w:t>
        <w:softHyphen/>
        <w:t>rili ga na svako zajedničko uprezanje ili pare</w:t>
        <w:softHyphen/>
        <w:t>nje dviju različitih životinja (M Baba Kama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V,7) ili su obrazložili opće važenje odštetne obveze iz nekoliko redaka (Izl 21,33-22,5) koji razjašnjavaju različite štete (b Baba Kama 54b). - dd) »Opsežno i pojedinačno« </w:t>
      </w:r>
      <w:r>
        <w:rPr>
          <w:rFonts w:ascii="Times New Roman" w:eastAsia="Times New Roman" w:hAnsi="Times New Roman" w:cs="Times New Roman"/>
          <w:i/>
          <w:iCs/>
          <w:color w:val="000000"/>
          <w:spacing w:val="0"/>
          <w:w w:val="100"/>
          <w:position w:val="0"/>
          <w:shd w:val="clear" w:color="auto" w:fill="auto"/>
          <w:lang w:val="hr-HR" w:eastAsia="hr-HR" w:bidi="hr-HR"/>
        </w:rPr>
        <w:t xml:space="preserve">(klal u-frat): </w:t>
      </w:r>
      <w:r>
        <w:rPr>
          <w:rFonts w:ascii="Times New Roman" w:eastAsia="Times New Roman" w:hAnsi="Times New Roman" w:cs="Times New Roman"/>
          <w:color w:val="000000"/>
          <w:spacing w:val="0"/>
          <w:w w:val="100"/>
          <w:position w:val="0"/>
          <w:shd w:val="clear" w:color="auto" w:fill="auto"/>
          <w:lang w:val="hr-HR" w:eastAsia="hr-HR" w:bidi="hr-HR"/>
        </w:rPr>
        <w:t xml:space="preserve">Ako nakon šireg pojma slijede uži, oni ne sužu- ju opsežnoga; stoga se iz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18,6 ne može razabrati opća zabrana braka između rođaka (b Jabmut 21a). - cc) »Pojedinačno i opsežno« </w:t>
      </w:r>
      <w:r>
        <w:rPr>
          <w:rFonts w:ascii="Times New Roman" w:eastAsia="Times New Roman" w:hAnsi="Times New Roman" w:cs="Times New Roman"/>
          <w:i/>
          <w:iCs/>
          <w:color w:val="000000"/>
          <w:spacing w:val="0"/>
          <w:w w:val="100"/>
          <w:position w:val="0"/>
          <w:shd w:val="clear" w:color="auto" w:fill="auto"/>
          <w:lang w:val="hr-HR" w:eastAsia="hr-HR" w:bidi="hr-HR"/>
        </w:rPr>
        <w:t>(prat u-klal):</w:t>
      </w:r>
      <w:r>
        <w:rPr>
          <w:rFonts w:ascii="Times New Roman" w:eastAsia="Times New Roman" w:hAnsi="Times New Roman" w:cs="Times New Roman"/>
          <w:color w:val="000000"/>
          <w:spacing w:val="0"/>
          <w:w w:val="100"/>
          <w:position w:val="0"/>
          <w:shd w:val="clear" w:color="auto" w:fill="auto"/>
          <w:lang w:val="hr-HR" w:eastAsia="hr-HR" w:bidi="hr-HR"/>
        </w:rPr>
        <w:t xml:space="preserve"> Ako nakon nekoliko užih pojmo</w:t>
        <w:softHyphen/>
        <w:t xml:space="preserve">va slijedi širi, specifični pomoću njega postaju opsežni slučajevi (Izl 22,9; Šifra, Uvod 8). - ff) »Opsežno, pojedinačno i opsežno« </w:t>
      </w:r>
      <w:r>
        <w:rPr>
          <w:rFonts w:ascii="Times New Roman" w:eastAsia="Times New Roman" w:hAnsi="Times New Roman" w:cs="Times New Roman"/>
          <w:i/>
          <w:iCs/>
          <w:color w:val="000000"/>
          <w:spacing w:val="0"/>
          <w:w w:val="100"/>
          <w:position w:val="0"/>
          <w:shd w:val="clear" w:color="auto" w:fill="auto"/>
          <w:lang w:val="hr-HR" w:eastAsia="hr-HR" w:bidi="hr-HR"/>
        </w:rPr>
        <w:t>(klal u-frat u-klal):</w:t>
      </w:r>
      <w:r>
        <w:rPr>
          <w:rFonts w:ascii="Times New Roman" w:eastAsia="Times New Roman" w:hAnsi="Times New Roman" w:cs="Times New Roman"/>
          <w:color w:val="000000"/>
          <w:spacing w:val="0"/>
          <w:w w:val="100"/>
          <w:position w:val="0"/>
          <w:shd w:val="clear" w:color="auto" w:fill="auto"/>
          <w:lang w:val="hr-HR" w:eastAsia="hr-HR" w:bidi="hr-HR"/>
        </w:rPr>
        <w:t xml:space="preserve"> Ako dva uža pojma stoje između dva opsežna, moraju se daljnji primjeri ocijeniti prema posebnima (Pnz 14,26; Šifra, Uvod 8). Ostalih sedam midota susrećemo rijetko u tradicijskoj literaturi (usp. </w:t>
      </w:r>
      <w:r>
        <w:rPr>
          <w:rFonts w:ascii="Times New Roman" w:eastAsia="Times New Roman" w:hAnsi="Times New Roman" w:cs="Times New Roman"/>
          <w:i/>
          <w:iCs/>
          <w:color w:val="000000"/>
          <w:spacing w:val="0"/>
          <w:w w:val="100"/>
          <w:position w:val="0"/>
          <w:shd w:val="clear" w:color="auto" w:fill="auto"/>
          <w:lang w:val="en-US" w:eastAsia="en-US" w:bidi="en-US"/>
        </w:rPr>
        <w:t>Encyclopaedia Ju</w:t>
        <w:softHyphen/>
        <w:t xml:space="preserve">daica </w:t>
      </w:r>
      <w:r>
        <w:rPr>
          <w:rFonts w:ascii="Times New Roman" w:eastAsia="Times New Roman" w:hAnsi="Times New Roman" w:cs="Times New Roman"/>
          <w:i/>
          <w:iCs/>
          <w:color w:val="000000"/>
          <w:spacing w:val="0"/>
          <w:w w:val="100"/>
          <w:position w:val="0"/>
          <w:shd w:val="clear" w:color="auto" w:fill="auto"/>
          <w:lang w:val="hr-HR" w:eastAsia="hr-HR" w:bidi="hr-HR"/>
        </w:rPr>
        <w:t>8,</w:t>
      </w:r>
      <w:r>
        <w:rPr>
          <w:rFonts w:ascii="Times New Roman" w:eastAsia="Times New Roman" w:hAnsi="Times New Roman" w:cs="Times New Roman"/>
          <w:color w:val="000000"/>
          <w:spacing w:val="0"/>
          <w:w w:val="100"/>
          <w:position w:val="0"/>
          <w:shd w:val="clear" w:color="auto" w:fill="auto"/>
          <w:lang w:val="hr-HR" w:eastAsia="hr-HR" w:bidi="hr-HR"/>
        </w:rPr>
        <w:t xml:space="preserve"> ■'1978, 367-70; </w:t>
      </w:r>
      <w:r>
        <w:rPr>
          <w:rFonts w:ascii="Times New Roman" w:eastAsia="Times New Roman" w:hAnsi="Times New Roman" w:cs="Times New Roman"/>
          <w:i/>
          <w:iCs/>
          <w:color w:val="000000"/>
          <w:spacing w:val="0"/>
          <w:w w:val="100"/>
          <w:position w:val="0"/>
          <w:shd w:val="clear" w:color="auto" w:fill="auto"/>
          <w:lang w:val="en-US" w:eastAsia="en-US" w:bidi="en-US"/>
        </w:rPr>
        <w:t xml:space="preserve">Jiidisches Lexikon II, </w:t>
      </w:r>
      <w:r>
        <w:rPr>
          <w:rFonts w:ascii="Times New Roman" w:eastAsia="Times New Roman" w:hAnsi="Times New Roman" w:cs="Times New Roman"/>
          <w:color w:val="000000"/>
          <w:spacing w:val="0"/>
          <w:w w:val="100"/>
          <w:position w:val="0"/>
          <w:shd w:val="clear" w:color="auto" w:fill="auto"/>
          <w:lang w:val="en-US" w:eastAsia="en-US" w:bidi="en-US"/>
        </w:rPr>
        <w:t xml:space="preserve">1927/1982, 1550-53; 11. L. Strack, na naved. </w:t>
      </w:r>
      <w:r>
        <w:rPr>
          <w:rFonts w:ascii="Times New Roman" w:eastAsia="Times New Roman" w:hAnsi="Times New Roman" w:cs="Times New Roman"/>
          <w:color w:val="000000"/>
          <w:spacing w:val="0"/>
          <w:w w:val="100"/>
          <w:position w:val="0"/>
          <w:shd w:val="clear" w:color="auto" w:fill="auto"/>
          <w:lang w:val="hr-HR" w:eastAsia="hr-HR" w:bidi="hr-HR"/>
        </w:rPr>
        <w:t xml:space="preserve">mjestu, </w:t>
      </w:r>
      <w:r>
        <w:rPr>
          <w:rFonts w:ascii="Times New Roman" w:eastAsia="Times New Roman" w:hAnsi="Times New Roman" w:cs="Times New Roman"/>
          <w:color w:val="000000"/>
          <w:spacing w:val="0"/>
          <w:w w:val="100"/>
          <w:position w:val="0"/>
          <w:shd w:val="clear" w:color="auto" w:fill="auto"/>
          <w:lang w:val="en-US" w:eastAsia="en-US" w:bidi="en-US"/>
        </w:rPr>
        <w:t xml:space="preserve">96-100; G. Stemberger, </w:t>
      </w:r>
      <w:r>
        <w:rPr>
          <w:rFonts w:ascii="Times New Roman" w:eastAsia="Times New Roman" w:hAnsi="Times New Roman" w:cs="Times New Roman"/>
          <w:i/>
          <w:iCs/>
          <w:color w:val="000000"/>
          <w:spacing w:val="0"/>
          <w:w w:val="100"/>
          <w:position w:val="0"/>
          <w:shd w:val="clear" w:color="auto" w:fill="auto"/>
          <w:lang w:val="en-US" w:eastAsia="en-US" w:bidi="en-US"/>
        </w:rPr>
        <w:t>Das klassische Judentum,</w:t>
      </w:r>
      <w:r>
        <w:rPr>
          <w:rFonts w:ascii="Times New Roman" w:eastAsia="Times New Roman" w:hAnsi="Times New Roman" w:cs="Times New Roman"/>
          <w:color w:val="000000"/>
          <w:spacing w:val="0"/>
          <w:w w:val="100"/>
          <w:position w:val="0"/>
          <w:shd w:val="clear" w:color="auto" w:fill="auto"/>
          <w:lang w:val="en-US" w:eastAsia="en-US" w:bidi="en-US"/>
        </w:rPr>
        <w:t xml:space="preserve"> 1979, 133-36). </w:t>
      </w:r>
      <w:r>
        <w:rPr>
          <w:rFonts w:ascii="Times New Roman" w:eastAsia="Times New Roman" w:hAnsi="Times New Roman" w:cs="Times New Roman"/>
          <w:color w:val="000000"/>
          <w:spacing w:val="0"/>
          <w:w w:val="100"/>
          <w:position w:val="0"/>
          <w:shd w:val="clear" w:color="auto" w:fill="auto"/>
          <w:lang w:val="hr-HR" w:eastAsia="hr-HR" w:bidi="hr-HR"/>
        </w:rPr>
        <w:t>Najopsežnija skupi</w:t>
        <w:softHyphen/>
        <w:t xml:space="preserve">na pravila pripisuje se rabinu Eleazaru ben Joscu ha-Gelili (II. stoljeće). Trideset i dvije midote, od kojih su neke starije od Elcazara, još se ne spominju u Talmudu (H. L. </w:t>
      </w:r>
      <w:r>
        <w:rPr>
          <w:rFonts w:ascii="Times New Roman" w:eastAsia="Times New Roman" w:hAnsi="Times New Roman" w:cs="Times New Roman"/>
          <w:color w:val="000000"/>
          <w:spacing w:val="0"/>
          <w:w w:val="100"/>
          <w:position w:val="0"/>
          <w:shd w:val="clear" w:color="auto" w:fill="auto"/>
          <w:lang w:val="en-US" w:eastAsia="en-US" w:bidi="en-US"/>
        </w:rPr>
        <w:t xml:space="preserve">Strack, </w:t>
      </w:r>
      <w:r>
        <w:rPr>
          <w:rFonts w:ascii="Times New Roman" w:eastAsia="Times New Roman" w:hAnsi="Times New Roman" w:cs="Times New Roman"/>
          <w:color w:val="000000"/>
          <w:spacing w:val="0"/>
          <w:w w:val="100"/>
          <w:position w:val="0"/>
          <w:shd w:val="clear" w:color="auto" w:fill="auto"/>
          <w:lang w:val="hr-HR" w:eastAsia="hr-HR" w:bidi="hr-HR"/>
        </w:rPr>
        <w:t xml:space="preserve">na naved. mjestu, 100.108; G. </w:t>
      </w:r>
      <w:r>
        <w:rPr>
          <w:rFonts w:ascii="Times New Roman" w:eastAsia="Times New Roman" w:hAnsi="Times New Roman" w:cs="Times New Roman"/>
          <w:color w:val="000000"/>
          <w:spacing w:val="0"/>
          <w:w w:val="100"/>
          <w:position w:val="0"/>
          <w:shd w:val="clear" w:color="auto" w:fill="auto"/>
          <w:lang w:val="en-US" w:eastAsia="en-US" w:bidi="en-US"/>
        </w:rPr>
        <w:t xml:space="preserve">Stemberger, </w:t>
      </w:r>
      <w:r>
        <w:rPr>
          <w:rFonts w:ascii="Times New Roman" w:eastAsia="Times New Roman" w:hAnsi="Times New Roman" w:cs="Times New Roman"/>
          <w:color w:val="000000"/>
          <w:spacing w:val="0"/>
          <w:w w:val="100"/>
          <w:position w:val="0"/>
          <w:shd w:val="clear" w:color="auto" w:fill="auto"/>
          <w:lang w:val="hr-HR" w:eastAsia="hr-HR" w:bidi="hr-HR"/>
        </w:rPr>
        <w:t xml:space="preserve">na naved. mjestu, 136-38). Od rabinske egzegeze bitno se razlikuje aleksandrijska prihvaćanjem dubljeg smisla od onoga u tekstu </w:t>
      </w:r>
      <w:r>
        <w:rPr>
          <w:rFonts w:ascii="Times New Roman" w:eastAsia="Times New Roman" w:hAnsi="Times New Roman" w:cs="Times New Roman"/>
          <w:color w:val="000000"/>
          <w:spacing w:val="0"/>
          <w:w w:val="100"/>
          <w:position w:val="0"/>
          <w:shd w:val="clear" w:color="auto" w:fill="auto"/>
          <w:lang w:val="en-US" w:eastAsia="en-US" w:bidi="en-US"/>
        </w:rPr>
        <w:t xml:space="preserve">(J. Maier,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 </w:t>
      </w:r>
      <w:r>
        <w:rPr>
          <w:rFonts w:ascii="Times New Roman" w:eastAsia="Times New Roman" w:hAnsi="Times New Roman" w:cs="Times New Roman"/>
          <w:i/>
          <w:iCs/>
          <w:color w:val="000000"/>
          <w:spacing w:val="0"/>
          <w:w w:val="100"/>
          <w:position w:val="0"/>
          <w:shd w:val="clear" w:color="auto" w:fill="auto"/>
          <w:lang w:val="en-US" w:eastAsia="en-US" w:bidi="en-US"/>
        </w:rPr>
        <w:t xml:space="preserve">schichte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judischen Religion,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1972, 89-91).</w:t>
      </w:r>
    </w:p>
    <w:p>
      <w:pPr>
        <w:pStyle w:val="Style20"/>
        <w:keepNext w:val="0"/>
        <w:keepLines w:val="0"/>
        <w:widowControl w:val="0"/>
        <w:numPr>
          <w:ilvl w:val="0"/>
          <w:numId w:val="121"/>
        </w:numPr>
        <w:shd w:val="clear" w:color="auto" w:fill="auto"/>
        <w:tabs>
          <w:tab w:pos="274"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Talmudska hermeneutika obraća pozornost na doslovno značenje </w:t>
      </w:r>
      <w:r>
        <w:rPr>
          <w:rFonts w:ascii="Times New Roman" w:eastAsia="Times New Roman" w:hAnsi="Times New Roman" w:cs="Times New Roman"/>
          <w:i/>
          <w:iCs/>
          <w:color w:val="000000"/>
          <w:spacing w:val="0"/>
          <w:w w:val="100"/>
          <w:position w:val="0"/>
          <w:shd w:val="clear" w:color="auto" w:fill="auto"/>
          <w:lang w:val="hr-HR" w:eastAsia="hr-HR" w:bidi="hr-HR"/>
        </w:rPr>
        <w:t>(pešat)</w:t>
      </w:r>
      <w:r>
        <w:rPr>
          <w:rFonts w:ascii="Times New Roman" w:eastAsia="Times New Roman" w:hAnsi="Times New Roman" w:cs="Times New Roman"/>
          <w:color w:val="000000"/>
          <w:spacing w:val="0"/>
          <w:w w:val="100"/>
          <w:position w:val="0"/>
          <w:shd w:val="clear" w:color="auto" w:fill="auto"/>
          <w:lang w:val="hr-HR" w:eastAsia="hr-HR" w:bidi="hr-HR"/>
        </w:rPr>
        <w:t xml:space="preserve"> biblijskoga teks</w:t>
        <w:softHyphen/>
        <w:t>ta (b Arahin 8b za Ps 36,7; Hulin 133a za Izr 25,20; Eruvin 23b za Izl 27,18). U srednjem vijeku Raši je postavio načelo: Ni jedno mjesto u Bibliji ne može se udaljiti od svojega značenja riječi (pešat). Potkraj srednjega vije</w:t>
        <w:softHyphen/>
        <w:t>ka filozofski i kabalistički egzegeti razradili su postupak tumačenja trostrukoga ili četvero</w:t>
        <w:softHyphen/>
        <w:t xml:space="preserve">strukog značenja Pisma. </w:t>
      </w:r>
      <w:r>
        <w:rPr>
          <w:rFonts w:ascii="Times New Roman" w:eastAsia="Times New Roman" w:hAnsi="Times New Roman" w:cs="Times New Roman"/>
          <w:i/>
          <w:iCs/>
          <w:color w:val="000000"/>
          <w:spacing w:val="0"/>
          <w:w w:val="100"/>
          <w:position w:val="0"/>
          <w:shd w:val="clear" w:color="auto" w:fill="auto"/>
          <w:lang w:val="en-US" w:eastAsia="en-US" w:bidi="en-US"/>
        </w:rPr>
        <w:t>Zohar,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glavno djelo kabalc, opisuje četiri metode pomoću natuk</w:t>
        <w:softHyphen/>
        <w:t xml:space="preserve">nice »PaRĐcS«: </w:t>
      </w:r>
      <w:r>
        <w:rPr>
          <w:rFonts w:ascii="Times New Roman" w:eastAsia="Times New Roman" w:hAnsi="Times New Roman" w:cs="Times New Roman"/>
          <w:i/>
          <w:iCs/>
          <w:color w:val="000000"/>
          <w:spacing w:val="0"/>
          <w:w w:val="100"/>
          <w:position w:val="0"/>
          <w:shd w:val="clear" w:color="auto" w:fill="auto"/>
          <w:lang w:val="hr-HR" w:eastAsia="hr-HR" w:bidi="hr-HR"/>
        </w:rPr>
        <w:t>pešat,</w:t>
      </w:r>
      <w:r>
        <w:rPr>
          <w:rFonts w:ascii="Times New Roman" w:eastAsia="Times New Roman" w:hAnsi="Times New Roman" w:cs="Times New Roman"/>
          <w:color w:val="000000"/>
          <w:spacing w:val="0"/>
          <w:w w:val="100"/>
          <w:position w:val="0"/>
          <w:shd w:val="clear" w:color="auto" w:fill="auto"/>
          <w:lang w:val="hr-HR" w:eastAsia="hr-HR" w:bidi="hr-HR"/>
        </w:rPr>
        <w:t xml:space="preserve"> doslovno objašnjenje; </w:t>
      </w:r>
      <w:r>
        <w:rPr>
          <w:rFonts w:ascii="Times New Roman" w:eastAsia="Times New Roman" w:hAnsi="Times New Roman" w:cs="Times New Roman"/>
          <w:i/>
          <w:iCs/>
          <w:color w:val="000000"/>
          <w:spacing w:val="0"/>
          <w:w w:val="100"/>
          <w:position w:val="0"/>
          <w:shd w:val="clear" w:color="auto" w:fill="auto"/>
          <w:lang w:val="hr-HR" w:eastAsia="hr-HR" w:bidi="hr-HR"/>
        </w:rPr>
        <w:t>remez,</w:t>
      </w:r>
      <w:r>
        <w:rPr>
          <w:rFonts w:ascii="Times New Roman" w:eastAsia="Times New Roman" w:hAnsi="Times New Roman" w:cs="Times New Roman"/>
          <w:color w:val="000000"/>
          <w:spacing w:val="0"/>
          <w:w w:val="100"/>
          <w:position w:val="0"/>
          <w:shd w:val="clear" w:color="auto" w:fill="auto"/>
          <w:lang w:val="hr-HR" w:eastAsia="hr-HR" w:bidi="hr-HR"/>
        </w:rPr>
        <w:t xml:space="preserve"> »aluzija, nagovještaj«, alegorijsko zna</w:t>
        <w:softHyphen/>
        <w:t xml:space="preserve">čenje, hagadsko tumačenje; </w:t>
      </w:r>
      <w:r>
        <w:rPr>
          <w:rFonts w:ascii="Times New Roman" w:eastAsia="Times New Roman" w:hAnsi="Times New Roman" w:cs="Times New Roman"/>
          <w:i/>
          <w:iCs/>
          <w:color w:val="000000"/>
          <w:spacing w:val="0"/>
          <w:w w:val="100"/>
          <w:position w:val="0"/>
          <w:shd w:val="clear" w:color="auto" w:fill="auto"/>
          <w:lang w:val="hr-HR" w:eastAsia="hr-HR" w:bidi="hr-HR"/>
        </w:rPr>
        <w:t>deraš,</w:t>
      </w:r>
      <w:r>
        <w:rPr>
          <w:rFonts w:ascii="Times New Roman" w:eastAsia="Times New Roman" w:hAnsi="Times New Roman" w:cs="Times New Roman"/>
          <w:color w:val="000000"/>
          <w:spacing w:val="0"/>
          <w:w w:val="100"/>
          <w:position w:val="0"/>
          <w:shd w:val="clear" w:color="auto" w:fill="auto"/>
          <w:lang w:val="hr-HR" w:eastAsia="hr-HR" w:bidi="hr-HR"/>
        </w:rPr>
        <w:t xml:space="preserve"> etičko-ho- milijsko tumačenje; </w:t>
      </w:r>
      <w:r>
        <w:rPr>
          <w:rFonts w:ascii="Times New Roman" w:eastAsia="Times New Roman" w:hAnsi="Times New Roman" w:cs="Times New Roman"/>
          <w:i/>
          <w:iCs/>
          <w:color w:val="000000"/>
          <w:spacing w:val="0"/>
          <w:w w:val="100"/>
          <w:position w:val="0"/>
          <w:shd w:val="clear" w:color="auto" w:fill="auto"/>
          <w:lang w:val="hr-HR" w:eastAsia="hr-HR" w:bidi="hr-HR"/>
        </w:rPr>
        <w:t>sod,</w:t>
      </w:r>
      <w:r>
        <w:rPr>
          <w:rFonts w:ascii="Times New Roman" w:eastAsia="Times New Roman" w:hAnsi="Times New Roman" w:cs="Times New Roman"/>
          <w:color w:val="000000"/>
          <w:spacing w:val="0"/>
          <w:w w:val="100"/>
          <w:position w:val="0"/>
          <w:shd w:val="clear" w:color="auto" w:fill="auto"/>
          <w:lang w:val="hr-HR" w:eastAsia="hr-HR" w:bidi="hr-HR"/>
        </w:rPr>
        <w:t xml:space="preserve"> »tajna«, mistično tu</w:t>
        <w:softHyphen/>
        <w:t xml:space="preserve">mačenje biblijskoga teksta </w:t>
      </w:r>
      <w:r>
        <w:rPr>
          <w:rFonts w:ascii="Times New Roman" w:eastAsia="Times New Roman" w:hAnsi="Times New Roman" w:cs="Times New Roman"/>
          <w:color w:val="000000"/>
          <w:spacing w:val="0"/>
          <w:w w:val="100"/>
          <w:position w:val="0"/>
          <w:shd w:val="clear" w:color="auto" w:fill="auto"/>
          <w:lang w:val="en-US" w:eastAsia="en-US" w:bidi="en-US"/>
        </w:rPr>
        <w:t xml:space="preserve">(W. Bacher,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Bibelexegese </w:t>
      </w:r>
      <w:r>
        <w:rPr>
          <w:rFonts w:ascii="Times New Roman" w:eastAsia="Times New Roman" w:hAnsi="Times New Roman" w:cs="Times New Roman"/>
          <w:i/>
          <w:iCs/>
          <w:color w:val="000000"/>
          <w:spacing w:val="0"/>
          <w:w w:val="100"/>
          <w:position w:val="0"/>
          <w:shd w:val="clear" w:color="auto" w:fill="auto"/>
          <w:lang w:val="hr-HR" w:eastAsia="hr-HR" w:bidi="hr-HR"/>
        </w:rPr>
        <w:t>der judischen Religionsphilosophen vor Maimuni,</w:t>
      </w:r>
      <w:r>
        <w:rPr>
          <w:rFonts w:ascii="Times New Roman" w:eastAsia="Times New Roman" w:hAnsi="Times New Roman" w:cs="Times New Roman"/>
          <w:color w:val="000000"/>
          <w:spacing w:val="0"/>
          <w:w w:val="100"/>
          <w:position w:val="0"/>
          <w:shd w:val="clear" w:color="auto" w:fill="auto"/>
          <w:lang w:val="hr-HR" w:eastAsia="hr-HR" w:bidi="hr-HR"/>
        </w:rPr>
        <w:t xml:space="preserve"> 1892/1970;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Maicr, na naved. mjestu, 240 i d.).</w:t>
      </w:r>
    </w:p>
    <w:p>
      <w:pPr>
        <w:pStyle w:val="Style56"/>
        <w:keepNext w:val="0"/>
        <w:keepLines w:val="0"/>
        <w:widowControl w:val="0"/>
        <w:shd w:val="clear" w:color="auto" w:fill="auto"/>
        <w:tabs>
          <w:tab w:pos="2434" w:val="left"/>
        </w:tabs>
        <w:bidi w:val="0"/>
        <w:spacing w:before="0" w:after="4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Jiidisches Lexikon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 </w:t>
      </w:r>
      <w:r>
        <w:rPr>
          <w:color w:val="000000"/>
          <w:spacing w:val="0"/>
          <w:w w:val="100"/>
          <w:position w:val="0"/>
          <w:shd w:val="clear" w:color="auto" w:fill="auto"/>
        </w:rPr>
        <w:t xml:space="preserve">V/2. </w:t>
      </w:r>
      <w:r>
        <w:rPr>
          <w:color w:val="000000"/>
          <w:spacing w:val="0"/>
          <w:w w:val="100"/>
          <w:position w:val="0"/>
          <w:shd w:val="clear" w:color="auto" w:fill="auto"/>
          <w:lang w:val="hr-HR" w:eastAsia="hr-HR" w:bidi="hr-HR"/>
        </w:rPr>
        <w:t xml:space="preserve">1927/1982. 262-69; </w:t>
      </w:r>
      <w:r>
        <w:rPr>
          <w:i/>
          <w:iCs/>
          <w:color w:val="000000"/>
          <w:spacing w:val="0"/>
          <w:w w:val="100"/>
          <w:position w:val="0"/>
          <w:shd w:val="clear" w:color="auto" w:fill="auto"/>
        </w:rPr>
        <w:t>Encyclo</w:t>
        <w:softHyphen/>
        <w:t>paedia Judaica</w:t>
      </w:r>
      <w:r>
        <w:rPr>
          <w:color w:val="000000"/>
          <w:spacing w:val="0"/>
          <w:w w:val="100"/>
          <w:position w:val="0"/>
          <w:shd w:val="clear" w:color="auto" w:fill="auto"/>
        </w:rPr>
        <w:t xml:space="preserve"> 4, </w:t>
      </w:r>
      <w:r>
        <w:rPr>
          <w:color w:val="000000"/>
          <w:spacing w:val="0"/>
          <w:w w:val="100"/>
          <w:position w:val="0"/>
          <w:shd w:val="clear" w:color="auto" w:fill="auto"/>
          <w:vertAlign w:val="superscript"/>
        </w:rPr>
        <w:t>4</w:t>
      </w:r>
      <w:r>
        <w:rPr>
          <w:color w:val="000000"/>
          <w:spacing w:val="0"/>
          <w:w w:val="100"/>
          <w:position w:val="0"/>
          <w:shd w:val="clear" w:color="auto" w:fill="auto"/>
        </w:rPr>
        <w:t>1978, 889-915.</w:t>
        <w:tab/>
        <w:t>D. VLTnijR</w:t>
      </w:r>
    </w:p>
    <w:p>
      <w:pPr>
        <w:pStyle w:val="Style63"/>
        <w:keepNext/>
        <w:keepLines/>
        <w:widowControl w:val="0"/>
        <w:numPr>
          <w:ilvl w:val="0"/>
          <w:numId w:val="123"/>
        </w:numPr>
        <w:shd w:val="clear" w:color="auto" w:fill="auto"/>
        <w:tabs>
          <w:tab w:pos="255" w:val="left"/>
        </w:tabs>
        <w:bidi w:val="0"/>
        <w:spacing w:before="0" w:after="100" w:line="223" w:lineRule="auto"/>
        <w:ind w:left="0" w:right="0" w:firstLine="0"/>
        <w:jc w:val="both"/>
      </w:pPr>
      <w:bookmarkStart w:id="91" w:name="bookmark9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91"/>
    </w:p>
    <w:p>
      <w:pPr>
        <w:pStyle w:val="Style20"/>
        <w:keepNext w:val="0"/>
        <w:keepLines w:val="0"/>
        <w:widowControl w:val="0"/>
        <w:numPr>
          <w:ilvl w:val="0"/>
          <w:numId w:val="125"/>
        </w:numPr>
        <w:shd w:val="clear" w:color="auto" w:fill="auto"/>
        <w:tabs>
          <w:tab w:pos="260" w:val="left"/>
        </w:tabs>
        <w:bidi w:val="0"/>
        <w:spacing w:before="0" w:after="4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Biblijska e.</w:t>
      </w:r>
      <w:r>
        <w:rPr>
          <w:rFonts w:ascii="Times New Roman" w:eastAsia="Times New Roman" w:hAnsi="Times New Roman" w:cs="Times New Roman"/>
          <w:color w:val="000000"/>
          <w:spacing w:val="0"/>
          <w:w w:val="100"/>
          <w:position w:val="0"/>
          <w:shd w:val="clear" w:color="auto" w:fill="auto"/>
          <w:lang w:val="hr-HR" w:eastAsia="hr-HR" w:bidi="hr-HR"/>
        </w:rPr>
        <w:t xml:space="preserve"> je znanstveno istraživanje bib</w:t>
        <w:softHyphen/>
        <w:t>lijskih tekstova prema načelima i kriterijima koje je postavila hermeneutika. Budući da se radi o duhovnoj znanosti, intuitivna moć uživ- Ijavanja i osobna očekivanja egzegeta igraju ulogu kojoj on može pripisati pozitivnu vrijed</w:t>
        <w:softHyphen/>
        <w:t>nost dok god je svjestan tog »predstadija«. Nužnost ove znanosti proizlazi s jedne strane iz jezičnoga karaktera biblijskih dokumenata, a s druge strane iz velikoga vremenskog i kul</w:t>
        <w:softHyphen/>
        <w:t>turološkog razmaka između zapisivanja i da</w:t>
        <w:softHyphen/>
        <w:t>našnjeg čitanja. Budući da značenja nekog teksta (više) nisu pri ruci, današnja e. vidi svo</w:t>
        <w:softHyphen/>
        <w:t>ju prvenstvenu zadaću u isticanju tih značenja barem u vremenu i sredini kada je tekst bio sastavljen. Već dugo postoji biblijsko istraži</w:t>
        <w:softHyphen/>
        <w:t>vanje koje bi se moglo zvati znanstvenim, ali počevši od »prosvjetiteljstva« porasla je svijest o primijenjenim metodama koje su se poku</w:t>
        <w:softHyphen/>
        <w:t xml:space="preserve">šale izoštravati s namjerom da se u svakom slučaju pronađe »što se zapravo dogodilo«. Iz toga je proizašla tzv.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povijesno-kritička metoda </w:t>
      </w:r>
      <w:r>
        <w:rPr>
          <w:rFonts w:ascii="Times New Roman" w:eastAsia="Times New Roman" w:hAnsi="Times New Roman" w:cs="Times New Roman"/>
          <w:color w:val="000000"/>
          <w:spacing w:val="0"/>
          <w:w w:val="100"/>
          <w:position w:val="0"/>
          <w:shd w:val="clear" w:color="auto" w:fill="auto"/>
          <w:lang w:val="hr-HR" w:eastAsia="hr-HR" w:bidi="hr-HR"/>
        </w:rPr>
        <w:t xml:space="preserve">koja se još danas provodi, a izazov joj je </w:t>
      </w:r>
      <w:r>
        <w:rPr>
          <w:rFonts w:ascii="Times New Roman" w:eastAsia="Times New Roman" w:hAnsi="Times New Roman" w:cs="Times New Roman"/>
          <w:i/>
          <w:iCs/>
          <w:color w:val="000000"/>
          <w:spacing w:val="0"/>
          <w:w w:val="100"/>
          <w:position w:val="0"/>
          <w:shd w:val="clear" w:color="auto" w:fill="auto"/>
          <w:lang w:val="hr-HR" w:eastAsia="hr-HR" w:bidi="hr-HR"/>
        </w:rPr>
        <w:t>»Nova kritika«.</w:t>
      </w:r>
      <w:r>
        <w:rPr>
          <w:rFonts w:ascii="Times New Roman" w:eastAsia="Times New Roman" w:hAnsi="Times New Roman" w:cs="Times New Roman"/>
          <w:color w:val="000000"/>
          <w:spacing w:val="0"/>
          <w:w w:val="100"/>
          <w:position w:val="0"/>
          <w:shd w:val="clear" w:color="auto" w:fill="auto"/>
          <w:lang w:val="hr-HR" w:eastAsia="hr-HR" w:bidi="hr-HR"/>
        </w:rPr>
        <w:t xml:space="preserve"> Unatoč raznolikim iskrivljavanjima i pojmovima koji se upotrebljavaju u više zna</w:t>
        <w:softHyphen/>
        <w:t>čenja, ovdje treba ukratko orisati povijesno- kritičku metodu, ali dopustiti da se oglase i njezini protivnici.</w:t>
      </w:r>
    </w:p>
    <w:p>
      <w:pPr>
        <w:pStyle w:val="Style20"/>
        <w:keepNext w:val="0"/>
        <w:keepLines w:val="0"/>
        <w:widowControl w:val="0"/>
        <w:numPr>
          <w:ilvl w:val="0"/>
          <w:numId w:val="125"/>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Kako ni za jedan dio Biblije nije sačuvan pratekst, a rukopisi pokazuju mnoge varijante teksta, </w:t>
      </w:r>
      <w:r>
        <w:rPr>
          <w:rFonts w:ascii="Times New Roman" w:eastAsia="Times New Roman" w:hAnsi="Times New Roman" w:cs="Times New Roman"/>
          <w:i/>
          <w:iCs/>
          <w:color w:val="000000"/>
          <w:spacing w:val="0"/>
          <w:w w:val="100"/>
          <w:position w:val="0"/>
          <w:shd w:val="clear" w:color="auto" w:fill="auto"/>
          <w:lang w:val="hr-HR" w:eastAsia="hr-HR" w:bidi="hr-HR"/>
        </w:rPr>
        <w:t>tekstualna kritika,</w:t>
      </w:r>
      <w:r>
        <w:rPr>
          <w:rFonts w:ascii="Times New Roman" w:eastAsia="Times New Roman" w:hAnsi="Times New Roman" w:cs="Times New Roman"/>
          <w:color w:val="000000"/>
          <w:spacing w:val="0"/>
          <w:w w:val="100"/>
          <w:position w:val="0"/>
          <w:shd w:val="clear" w:color="auto" w:fill="auto"/>
          <w:lang w:val="hr-HR" w:eastAsia="hr-HR" w:bidi="hr-HR"/>
        </w:rPr>
        <w:t xml:space="preserve"> pomoćna znanost egzegeze, pokušava osvijetliti povijest tekstu</w:t>
        <w:softHyphen/>
        <w:t>alne predaje i pronaći vjerojatan izvorni način čitanja. Pritom mora uzeti u obzir raznolike rukopise: pisane na prajeziku (hebrejski, ara- mejski, grčki), stare prijevode (aramejski, grč</w:t>
        <w:softHyphen/>
        <w:t>ki, sirijski, koptski, latinski), citate rabina ili crkvenih učitelja, lekcionare. Rukopise treba uspoređivati pojedinačno kao i u njihovim međusobnim odnosima. Tako postoji nada da se utvrdi relativna blizina ili udaljenost od prateksta koji je uzet za ogled. Kod konkret</w:t>
        <w:softHyphen/>
        <w:t>nih tekstualnih varijanti, osim ove izvanjske kritike teksta, primjenjuju se kriteriji unutar</w:t>
        <w:softHyphen/>
        <w:t>nje tekstualne kritike. Najpoznatiji su sljedeći: Treba davati prednost kraćim ili težim verzi</w:t>
        <w:softHyphen/>
        <w:t>jama ili takvima koje nisu u skladu s paralel</w:t>
        <w:softHyphen/>
        <w:t>nim mjestima; greške u pisanju ili svjesne pro</w:t>
        <w:softHyphen/>
        <w:t xml:space="preserve">mjene, koje je učinio prepisivač, moraju se kao takve držati vjerojatnima; verzija, koja je </w:t>
      </w:r>
      <w:r>
        <w:rPr>
          <w:rFonts w:ascii="Times New Roman" w:eastAsia="Times New Roman" w:hAnsi="Times New Roman" w:cs="Times New Roman"/>
          <w:color w:val="000000"/>
          <w:spacing w:val="0"/>
          <w:w w:val="100"/>
          <w:position w:val="0"/>
          <w:shd w:val="clear" w:color="auto" w:fill="auto"/>
          <w:lang w:val="hr-HR" w:eastAsia="hr-HR" w:bidi="hr-HR"/>
        </w:rPr>
        <w:t>uzeta kao izvorna, mora se istaknuti kao pola</w:t>
        <w:softHyphen/>
        <w:t>zište svih ostalih čitanja. »Pratekst«, zajamčen takvim kriterijima, e. uzima kao osnovu za svoja istraživanja, ali katkada može prema kriterijima koji su egzegetske naravi (npr. na temelju tipičnog rječnika nekog pisca) ponov</w:t>
        <w:softHyphen/>
        <w:t>no staviti u pitanje rezultate tekstualne kri</w:t>
        <w:softHyphen/>
        <w:t>tike.</w:t>
      </w:r>
    </w:p>
    <w:p>
      <w:pPr>
        <w:pStyle w:val="Style20"/>
        <w:keepNext w:val="0"/>
        <w:keepLines w:val="0"/>
        <w:widowControl w:val="0"/>
        <w:numPr>
          <w:ilvl w:val="0"/>
          <w:numId w:val="125"/>
        </w:numPr>
        <w:shd w:val="clear" w:color="auto" w:fill="auto"/>
        <w:tabs>
          <w:tab w:pos="25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Kako biblijski tekstovi često otkrivaju tra</w:t>
        <w:softHyphen/>
        <w:t>gove starijih izvora i tradicija, povijesno-kri</w:t>
        <w:softHyphen/>
        <w:t xml:space="preserve">tička metoda se koristi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literarnom kritikom. </w:t>
      </w:r>
      <w:r>
        <w:rPr>
          <w:rFonts w:ascii="Times New Roman" w:eastAsia="Times New Roman" w:hAnsi="Times New Roman" w:cs="Times New Roman"/>
          <w:color w:val="000000"/>
          <w:spacing w:val="0"/>
          <w:w w:val="100"/>
          <w:position w:val="0"/>
          <w:shd w:val="clear" w:color="auto" w:fill="auto"/>
          <w:lang w:val="hr-HR" w:eastAsia="hr-HR" w:bidi="hr-HR"/>
        </w:rPr>
        <w:t>Pazi se na rječnik i gramatičko-stilske struk</w:t>
        <w:softHyphen/>
        <w:t>ture da bi se vidjelo, je li izabrana tekstualna jedinica slobodan sastav ili obrada više-manje fiksiranih tradicija tj. izvora. Cilj je tako shva</w:t>
        <w:softHyphen/>
        <w:t>ćene literarne kritike, koja je gotovo postala kritika izvora, pokazati da su biblijske knjige često konačni proizvodi jednoga složenog pro</w:t>
        <w:softHyphen/>
        <w:t>cesa rasta. Pa ipak, mora se imati u vidu da novi egzegetski pravac drugačije shvaća »lite</w:t>
        <w:softHyphen/>
        <w:t>rarnu kritiku«: To je istraživanje nekog teksta kao estetske tvorbe, bez obzira na povijesne situacije ili primjenu izvora.</w:t>
      </w:r>
    </w:p>
    <w:p>
      <w:pPr>
        <w:pStyle w:val="Style20"/>
        <w:keepNext w:val="0"/>
        <w:keepLines w:val="0"/>
        <w:widowControl w:val="0"/>
        <w:numPr>
          <w:ilvl w:val="0"/>
          <w:numId w:val="125"/>
        </w:numPr>
        <w:shd w:val="clear" w:color="auto" w:fill="auto"/>
        <w:tabs>
          <w:tab w:pos="270" w:val="left"/>
        </w:tabs>
        <w:bidi w:val="0"/>
        <w:spacing w:before="0" w:after="0"/>
        <w:ind w:left="0" w:right="0" w:firstLine="0"/>
        <w:jc w:val="both"/>
        <w:sectPr>
          <w:headerReference w:type="default" r:id="rId387"/>
          <w:footerReference w:type="default" r:id="rId388"/>
          <w:headerReference w:type="even" r:id="rId389"/>
          <w:footerReference w:type="even" r:id="rId390"/>
          <w:footnotePr>
            <w:pos w:val="pageBottom"/>
            <w:numFmt w:val="decimal"/>
            <w:numStart w:val="5"/>
            <w:numRestart w:val="continuous"/>
            <w15:footnoteColumns w:val="1"/>
          </w:footnotePr>
          <w:pgSz w:w="6816" w:h="11006"/>
          <w:pgMar w:top="1013" w:left="193" w:right="193" w:bottom="508" w:header="0" w:footer="3" w:gutter="0"/>
          <w:pgNumType w:start="130"/>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Klasična </w:t>
      </w:r>
      <w:r>
        <w:rPr>
          <w:rFonts w:ascii="Times New Roman" w:eastAsia="Times New Roman" w:hAnsi="Times New Roman" w:cs="Times New Roman"/>
          <w:i/>
          <w:iCs/>
          <w:color w:val="000000"/>
          <w:spacing w:val="0"/>
          <w:w w:val="100"/>
          <w:position w:val="0"/>
          <w:shd w:val="clear" w:color="auto" w:fill="auto"/>
          <w:lang w:val="hr-HR" w:eastAsia="hr-HR" w:bidi="hr-HR"/>
        </w:rPr>
        <w:t>povijesno-formalna metoda</w:t>
      </w:r>
      <w:r>
        <w:rPr>
          <w:rFonts w:ascii="Times New Roman" w:eastAsia="Times New Roman" w:hAnsi="Times New Roman" w:cs="Times New Roman"/>
          <w:color w:val="000000"/>
          <w:spacing w:val="0"/>
          <w:w w:val="100"/>
          <w:position w:val="0"/>
          <w:shd w:val="clear" w:color="auto" w:fill="auto"/>
          <w:lang w:val="hr-HR" w:eastAsia="hr-HR" w:bidi="hr-HR"/>
        </w:rPr>
        <w:t xml:space="preserve"> preuzi</w:t>
        <w:softHyphen/>
        <w:t>ma zapažanja literarne kritike i pokušava prodrijeti do najmanjih cjelina koje stoje na početku neke tradicije. Njih će istraživati pre</w:t>
        <w:softHyphen/>
        <w:t>ma njihovoj »formi«: obrasci (tj. kratki, upe</w:t>
        <w:softHyphen/>
        <w:t>čatljivi izrazi), motivi, tvorba, raspoloženje, namjera ... ispituju se prema sličnosti s ti</w:t>
        <w:softHyphen/>
        <w:t>pičnim aspektima drugih cjelina. Na taj je na</w:t>
        <w:softHyphen/>
        <w:t>čin moguće pripisati ih nekom poznatom li</w:t>
        <w:softHyphen/>
        <w:t xml:space="preserve">terarnom uzorku, vrsti </w:t>
      </w:r>
      <w:r>
        <w:rPr>
          <w:rFonts w:ascii="Times New Roman" w:eastAsia="Times New Roman" w:hAnsi="Times New Roman" w:cs="Times New Roman"/>
          <w:color w:val="000000"/>
          <w:spacing w:val="0"/>
          <w:w w:val="100"/>
          <w:position w:val="0"/>
          <w:shd w:val="clear" w:color="auto" w:fill="auto"/>
          <w:lang w:val="en-US" w:eastAsia="en-US" w:bidi="en-US"/>
        </w:rPr>
        <w:t xml:space="preserve">(genus </w:t>
      </w:r>
      <w:r>
        <w:rPr>
          <w:rFonts w:ascii="Times New Roman" w:eastAsia="Times New Roman" w:hAnsi="Times New Roman" w:cs="Times New Roman"/>
          <w:color w:val="000000"/>
          <w:spacing w:val="0"/>
          <w:w w:val="100"/>
          <w:position w:val="0"/>
          <w:shd w:val="clear" w:color="auto" w:fill="auto"/>
          <w:lang w:val="hr-HR" w:eastAsia="hr-HR" w:bidi="hr-HR"/>
        </w:rPr>
        <w:t>littcrarium). Tako se npr. neka cjelina u Knjizi Postanka određuje kao »mit«, neka druga u proročkoj knjizi kao »proročanstvo«, treća među psalmi</w:t>
        <w:softHyphen/>
        <w:t>ma kao »pučka tužaljka«, četvrta u nekom evanđelju kao »povijest čudesa«, peta u nekoj novozavjetnoj poslanici kao »kućna ploča«. Svaka od ovih vrsta ima izvoran »Sitz im Lc- ben«, tj. neku funkciju u zajednici, bilo kod pučke svečanosti, na nekom hodočašću, bilo u misijskoj promidžbi, parcnezi itđ. Ovdje mogu hagiografija, poredbena religijska znanost, so</w:t>
        <w:softHyphen/>
        <w:t>ciologija i arheologija poslužiti kao pomoćne službe u istraživanju vrsta da bi se više saznalo o čovjekovoj situaciji koja je uzrokovala poče</w:t>
        <w:softHyphen/>
        <w:t xml:space="preserve">tak neke cjeline i da bi se tako bolje razumjela sama cjelina i njezina prvobitna svrha. Nakon istraživanja toga najstarijeg stupnja tradicije, egzeget pokušava osvijetliti čitavu </w:t>
      </w:r>
      <w:r>
        <w:rPr>
          <w:rFonts w:ascii="Times New Roman" w:eastAsia="Times New Roman" w:hAnsi="Times New Roman" w:cs="Times New Roman"/>
          <w:i/>
          <w:iCs/>
          <w:color w:val="000000"/>
          <w:spacing w:val="0"/>
          <w:w w:val="100"/>
          <w:position w:val="0"/>
          <w:shd w:val="clear" w:color="auto" w:fill="auto"/>
          <w:lang w:val="hr-HR" w:eastAsia="hr-HR" w:bidi="hr-HR"/>
        </w:rPr>
        <w:t>povijest tra</w:t>
        <w:softHyphen/>
        <w:t>dicije</w:t>
      </w:r>
      <w:r>
        <w:rPr>
          <w:rFonts w:ascii="Times New Roman" w:eastAsia="Times New Roman" w:hAnsi="Times New Roman" w:cs="Times New Roman"/>
          <w:color w:val="000000"/>
          <w:spacing w:val="0"/>
          <w:w w:val="100"/>
          <w:position w:val="0"/>
          <w:shd w:val="clear" w:color="auto" w:fill="auto"/>
          <w:lang w:val="hr-HR" w:eastAsia="hr-HR" w:bidi="hr-HR"/>
        </w:rPr>
        <w:t xml:space="preserve"> za tu cjelinu, tj. rekonstruirati različite </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stupnjeve kod daljnje tvorbe sve do sastava koji je pred njim. Pritom pokušava identifici</w:t>
        <w:softHyphen/>
        <w:t>rali elemente koji su na svakom stupnju dove</w:t>
        <w:softHyphen/>
        <w:t>li do promjene svrhe, do daljnje tvorbe, dekli- nacije ili grupiranja. Danas se naglašava da povijesno-formalna metoda ne smije ostati kod najmanje cjeline, nego se mora primjenji</w:t>
        <w:softHyphen/>
        <w:t>vati na sve stupnjeve razvoja: od mita preko J-dokumenta do Petoknjižja; od prispodobe preko zbirke prispodoba do Markova evan</w:t>
        <w:softHyphen/>
        <w:t>đelja. Sukladno tomu mora se istražiti »Sitz im Leben«, koji je različit kod svake etape, kao i svrha uporabe. Tako se događa da se danas postavljaju povijesno-formalna pitanja o vrsti kao što je »evanđelje« ili »poslanica«, tj. o vrstama koje nemaju usmeni predstadij i pokušava se povijesno-tipološki svrstati »ob</w:t>
        <w:softHyphen/>
        <w:t>lik« konačnog produkta.</w:t>
      </w:r>
    </w:p>
    <w:p>
      <w:pPr>
        <w:pStyle w:val="Style20"/>
        <w:keepNext w:val="0"/>
        <w:keepLines w:val="0"/>
        <w:widowControl w:val="0"/>
        <w:numPr>
          <w:ilvl w:val="0"/>
          <w:numId w:val="125"/>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se povijest forme često zaustav</w:t>
        <w:softHyphen/>
        <w:t>lja kod predstadija konačnog produkta, javlja se »povijest redakcije«. Sada punu pozornost privlači ono što je literarna kritika svrstala u »uredničke dodatke« i u tome slično: scenska nadovezivanja, preinaka teksta, izbor i raščla</w:t>
        <w:softHyphen/>
        <w:t>njivanje građe, uvodne i završne scene, okvir</w:t>
        <w:softHyphen/>
        <w:t>ni stihovi, tematska i dramska izgradnja. Taj redakcijski udio treba baciti svjetlo na ured</w:t>
        <w:softHyphen/>
        <w:t>nikovu teološku misao vodilju i nakanu, nje</w:t>
        <w:softHyphen/>
        <w:t>gov položaj unutar zajednice, njegov identitet (tu se postavlja problem autentičnosti nekog zapisa!), nadnevak i suvremenu pozadinu ru</w:t>
        <w:softHyphen/>
        <w:t xml:space="preserve">kopisa. Tako se danas postavlja pitanje o »kompoziciji« Izaijine knjige, o »teologiji« evanđelista Marka. Izdavači ovih knjiga nisu više otpisani kao »skupljači« tradicija, nego su priznati kao autori. - No brzo se uvidjela opasnost pretjerivanja: Zašto se daje prednost redakcijskim promjenama? Nije li i pisac iz preuzetih nepromijenjenih tradicija učinio opeke kojima je gradio svoje kompozicije? Dakle, </w:t>
      </w:r>
      <w:r>
        <w:rPr>
          <w:rFonts w:ascii="Times New Roman" w:eastAsia="Times New Roman" w:hAnsi="Times New Roman" w:cs="Times New Roman"/>
          <w:i/>
          <w:iCs/>
          <w:color w:val="000000"/>
          <w:spacing w:val="0"/>
          <w:w w:val="100"/>
          <w:position w:val="0"/>
          <w:shd w:val="clear" w:color="auto" w:fill="auto"/>
          <w:lang w:val="hr-HR" w:eastAsia="hr-HR" w:bidi="hr-HR"/>
        </w:rPr>
        <w:t>čitav</w:t>
      </w:r>
      <w:r>
        <w:rPr>
          <w:rFonts w:ascii="Times New Roman" w:eastAsia="Times New Roman" w:hAnsi="Times New Roman" w:cs="Times New Roman"/>
          <w:color w:val="000000"/>
          <w:spacing w:val="0"/>
          <w:w w:val="100"/>
          <w:position w:val="0"/>
          <w:shd w:val="clear" w:color="auto" w:fill="auto"/>
          <w:lang w:val="hr-HR" w:eastAsia="hr-HR" w:bidi="hr-HR"/>
        </w:rPr>
        <w:t xml:space="preserve"> se tekst mora čitati kao kompozi</w:t>
        <w:softHyphen/>
        <w:t>cija. Općenito se sumnjiči kao neznanstven postupak lov na autora koji je postao nevidljiv i na to »što je on zapravo htio reći«. Pozornost egzegeta treba biti upućena samom djelu i njegovu smislu kao što s pravom zahtijeva »Nova kritika«.</w:t>
      </w:r>
    </w:p>
    <w:p>
      <w:pPr>
        <w:pStyle w:val="Style20"/>
        <w:keepNext w:val="0"/>
        <w:keepLines w:val="0"/>
        <w:widowControl w:val="0"/>
        <w:numPr>
          <w:ilvl w:val="0"/>
          <w:numId w:val="125"/>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 kakvim </w:t>
      </w:r>
      <w:r>
        <w:rPr>
          <w:rFonts w:ascii="Times New Roman" w:eastAsia="Times New Roman" w:hAnsi="Times New Roman" w:cs="Times New Roman"/>
          <w:i/>
          <w:iCs/>
          <w:color w:val="000000"/>
          <w:spacing w:val="0"/>
          <w:w w:val="100"/>
          <w:position w:val="0"/>
          <w:shd w:val="clear" w:color="auto" w:fill="auto"/>
          <w:lang w:val="hr-HR" w:eastAsia="hr-HR" w:bidi="hr-HR"/>
        </w:rPr>
        <w:t>ciljem</w:t>
      </w:r>
      <w:r>
        <w:rPr>
          <w:rFonts w:ascii="Times New Roman" w:eastAsia="Times New Roman" w:hAnsi="Times New Roman" w:cs="Times New Roman"/>
          <w:color w:val="000000"/>
          <w:spacing w:val="0"/>
          <w:w w:val="100"/>
          <w:position w:val="0"/>
          <w:shd w:val="clear" w:color="auto" w:fill="auto"/>
          <w:lang w:val="hr-HR" w:eastAsia="hr-HR" w:bidi="hr-HR"/>
        </w:rPr>
        <w:t xml:space="preserve"> teže oni koji prakticiraju povijesno-kritičku metodu? Budući da zastu</w:t>
        <w:softHyphen/>
        <w:t>paju različite interese, nema jedinstvenog od</w:t>
        <w:softHyphen/>
        <w:t>govora. Prije no što se pojavila povijesno-re- dakcijska metoda, išlo se pretežito za povijes</w:t>
        <w:softHyphen/>
      </w:r>
      <w:r>
        <w:rPr>
          <w:rFonts w:ascii="Times New Roman" w:eastAsia="Times New Roman" w:hAnsi="Times New Roman" w:cs="Times New Roman"/>
          <w:color w:val="000000"/>
          <w:spacing w:val="0"/>
          <w:w w:val="100"/>
          <w:position w:val="0"/>
          <w:shd w:val="clear" w:color="auto" w:fill="auto"/>
          <w:lang w:val="hr-HR" w:eastAsia="hr-HR" w:bidi="hr-HR"/>
        </w:rPr>
        <w:t>nim interesom: Kako je stvarno izgledao izla</w:t>
        <w:softHyphen/>
        <w:t>zak iz Egipta? Što se stvarno događalo na Isu</w:t>
        <w:softHyphen/>
        <w:t>sovu suđenju? Pa ipak, sa spoznajom da su biblijski tekstovi vjerska svjedočanstva i da imaju teološku pretenziju, kao cilj egzegeze zahtijeva se objašnjenje teološkog sadržaja Bi</w:t>
        <w:softHyphen/>
        <w:t xml:space="preserve">blije. To se treba provesti na svim razinama, dakle, s obzirom na tradicije, preradivanja i konačnu redakciju. Egzeget treba odgovoriti na pitanje što je tekst (ili tradicija) </w:t>
      </w:r>
      <w:r>
        <w:rPr>
          <w:rFonts w:ascii="Times New Roman" w:eastAsia="Times New Roman" w:hAnsi="Times New Roman" w:cs="Times New Roman"/>
          <w:i/>
          <w:iCs/>
          <w:color w:val="000000"/>
          <w:spacing w:val="0"/>
          <w:w w:val="100"/>
          <w:position w:val="0"/>
          <w:shd w:val="clear" w:color="auto" w:fill="auto"/>
          <w:lang w:val="hr-HR" w:eastAsia="hr-HR" w:bidi="hr-HR"/>
        </w:rPr>
        <w:t>značio</w:t>
      </w:r>
      <w:r>
        <w:rPr>
          <w:rFonts w:ascii="Times New Roman" w:eastAsia="Times New Roman" w:hAnsi="Times New Roman" w:cs="Times New Roman"/>
          <w:color w:val="000000"/>
          <w:spacing w:val="0"/>
          <w:w w:val="100"/>
          <w:position w:val="0"/>
          <w:shd w:val="clear" w:color="auto" w:fill="auto"/>
          <w:lang w:val="hr-HR" w:eastAsia="hr-HR" w:bidi="hr-HR"/>
        </w:rPr>
        <w:t xml:space="preserve"> u svom »Sitz im I.eben«. Ili još korak dalje: On treba njegov teološki sadržaj suočiti s ostalim zapisima u Bibliji, npr. temu »saveza« u tradi</w:t>
        <w:softHyphen/>
        <w:t>ciji Ponovljenog zakona sa »savezom« u sve</w:t>
        <w:softHyphen/>
        <w:t xml:space="preserve">ćeničkom zapisu, »pravdu«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(Rim i Gal) s »pravdom« kod Ml. Tako se konačno dolazi do »teologije Staroga i Novoga zavje</w:t>
        <w:softHyphen/>
        <w:t xml:space="preserve">ta«, do povijesti teologije biblijske objave. Slično zahtijeva </w:t>
      </w:r>
      <w:r>
        <w:rPr>
          <w:rFonts w:ascii="Times New Roman" w:eastAsia="Times New Roman" w:hAnsi="Times New Roman" w:cs="Times New Roman"/>
          <w:color w:val="000000"/>
          <w:spacing w:val="0"/>
          <w:w w:val="100"/>
          <w:position w:val="0"/>
          <w:shd w:val="clear" w:color="auto" w:fill="auto"/>
          <w:lang w:val="en-US" w:eastAsia="en-US" w:bidi="en-US"/>
        </w:rPr>
        <w:t xml:space="preserve">»canonical exegesis«: </w:t>
      </w:r>
      <w:r>
        <w:rPr>
          <w:rFonts w:ascii="Times New Roman" w:eastAsia="Times New Roman" w:hAnsi="Times New Roman" w:cs="Times New Roman"/>
          <w:color w:val="000000"/>
          <w:spacing w:val="0"/>
          <w:w w:val="100"/>
          <w:position w:val="0"/>
          <w:shd w:val="clear" w:color="auto" w:fill="auto"/>
          <w:lang w:val="hr-HR" w:eastAsia="hr-HR" w:bidi="hr-HR"/>
        </w:rPr>
        <w:t>svaki se zapis treba tumačiti kao dio kanonskih zapisa. Prijeporno je da lije isto tako zadaća egzegeta (a ne toliko teologa, propovjednika i vjero</w:t>
        <w:softHyphen/>
        <w:t xml:space="preserve">učitelja) također pokazati što tekst </w:t>
      </w:r>
      <w:r>
        <w:rPr>
          <w:rFonts w:ascii="Times New Roman" w:eastAsia="Times New Roman" w:hAnsi="Times New Roman" w:cs="Times New Roman"/>
          <w:i/>
          <w:iCs/>
          <w:color w:val="000000"/>
          <w:spacing w:val="0"/>
          <w:w w:val="100"/>
          <w:position w:val="0"/>
          <w:shd w:val="clear" w:color="auto" w:fill="auto"/>
          <w:lang w:val="hr-HR" w:eastAsia="hr-HR" w:bidi="hr-HR"/>
        </w:rPr>
        <w:t>znači</w:t>
      </w:r>
      <w:r>
        <w:rPr>
          <w:rFonts w:ascii="Times New Roman" w:eastAsia="Times New Roman" w:hAnsi="Times New Roman" w:cs="Times New Roman"/>
          <w:color w:val="000000"/>
          <w:spacing w:val="0"/>
          <w:w w:val="100"/>
          <w:position w:val="0"/>
          <w:shd w:val="clear" w:color="auto" w:fill="auto"/>
          <w:lang w:val="hr-HR" w:eastAsia="hr-HR" w:bidi="hr-HR"/>
        </w:rPr>
        <w:t xml:space="preserve"> da</w:t>
        <w:softHyphen/>
        <w:t>nas. Točno je da nijedan egzeget ne može »biti neutralan kad vrednujući« prilazi biblij</w:t>
        <w:softHyphen/>
        <w:t>skom tekstu. On sa sobom donosi vlastito iskustvo, pitanja svoje društvene sredine, vjer</w:t>
        <w:softHyphen/>
        <w:t>sku tradiciju u kojoj se nalazi i, zahvaljujući toj životnoj pozadini, otkriva nove smislove u starom tekstu. Ali »Nova hermeneutika«, ute</w:t>
        <w:softHyphen/>
        <w:t>meljena na funkciji jezika u društvu, zahtijeva više, naime, transkulturaciju biblijskih teksto</w:t>
        <w:softHyphen/>
        <w:t>va da bi se premostio razmak između staroga teksta s njegovim prepoznatljivim smislovima i značenjima i modernih sustava mišljenja. Is</w:t>
        <w:softHyphen/>
        <w:t>tinski proročka zadaća!</w:t>
      </w:r>
    </w:p>
    <w:p>
      <w:pPr>
        <w:pStyle w:val="Style20"/>
        <w:keepNext w:val="0"/>
        <w:keepLines w:val="0"/>
        <w:widowControl w:val="0"/>
        <w:numPr>
          <w:ilvl w:val="0"/>
          <w:numId w:val="125"/>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Protiv slabih strana povijesno-kritičke me</w:t>
        <w:softHyphen/>
        <w:t>tode sve je glasnija »Nova kritika«. Iako u njoj treba razlikovati vrlo različite smjerove, svi imaju zajedničko to da svjesnije postupaju s »jezikom« kao sredstvom i s Biblijom kao lite</w:t>
        <w:softHyphen/>
        <w:t>raturom. Njihovi su predstavnici protiv »di- jakronijskog« načina promatranja biblijskih tekstova s njegovim zanimanjem za povijest i nositelje tradicije. Oni čitaju tekst »sinkro- nijski« kao cjelinu, dijelove koji imaju smisao samo ako se gledaju u svojim međusobnim odnosima i u odnosima prema cjelini. Izvan- tekstualni pisac ne uzima se u obzir. Nadah</w:t>
        <w:softHyphen/>
        <w:t>nuti modernom lingvistikom tekst podvrgava</w:t>
        <w:softHyphen/>
        <w:t xml:space="preserve">ju točnoj analizi s obzirom na sintaktičke strukture, raspodjelu vokabulara, semantička </w:t>
      </w:r>
      <w:r>
        <w:rPr>
          <w:rFonts w:ascii="Times New Roman" w:eastAsia="Times New Roman" w:hAnsi="Times New Roman" w:cs="Times New Roman"/>
          <w:color w:val="000000"/>
          <w:spacing w:val="0"/>
          <w:w w:val="100"/>
          <w:position w:val="0"/>
          <w:shd w:val="clear" w:color="auto" w:fill="auto"/>
          <w:lang w:val="hr-HR" w:eastAsia="hr-HR" w:bidi="hr-HR"/>
        </w:rPr>
        <w:t>polja riječi, stilske figure, koncentrične struk</w:t>
        <w:softHyphen/>
        <w:t>ture, literarne motive i teme, izgradnju rad</w:t>
        <w:softHyphen/>
        <w:t xml:space="preserve">nje, pripovjedačke perspektive itd. Tzv. </w:t>
      </w:r>
      <w:r>
        <w:rPr>
          <w:rFonts w:ascii="Times New Roman" w:eastAsia="Times New Roman" w:hAnsi="Times New Roman" w:cs="Times New Roman"/>
          <w:i/>
          <w:iCs/>
          <w:color w:val="000000"/>
          <w:spacing w:val="0"/>
          <w:w w:val="100"/>
          <w:position w:val="0"/>
          <w:shd w:val="clear" w:color="auto" w:fill="auto"/>
          <w:lang w:val="hr-HR" w:eastAsia="hr-HR" w:bidi="hr-HR"/>
        </w:rPr>
        <w:t>struk</w:t>
        <w:softHyphen/>
        <w:t>turalizam</w:t>
      </w:r>
      <w:r>
        <w:rPr>
          <w:rFonts w:ascii="Times New Roman" w:eastAsia="Times New Roman" w:hAnsi="Times New Roman" w:cs="Times New Roman"/>
          <w:color w:val="000000"/>
          <w:spacing w:val="0"/>
          <w:w w:val="100"/>
          <w:position w:val="0"/>
          <w:shd w:val="clear" w:color="auto" w:fill="auto"/>
          <w:lang w:val="hr-HR" w:eastAsia="hr-HR" w:bidi="hr-HR"/>
        </w:rPr>
        <w:t xml:space="preserve"> (nazvan i semiotikom) svakako nije zadovoljan tom retoričkom kritikom, jer se ona drži samo »struktura s površine« teksta (to je razina izraza). On istražuje tekst u nje</w:t>
        <w:softHyphen/>
        <w:t>govoj »dubinskoj strukturi«. Tako iz nekog pripovijedanja izvlače pripovjedačke funkcije i uloge ( predigra). Na jednoj još apstraktnijoj razini strukturalist se susreće s binarno izgra</w:t>
        <w:softHyphen/>
        <w:t>đenim kodovima koji odgovaraju strukturi ljudskog mišljenja. Unatoč priznatom uspjehu u isticanju smislenih struktura u biblijskim teks</w:t>
        <w:softHyphen/>
        <w:t>tovima, strukturna analiza ima i lošu stranu jer nije dosad pronašla semiotsku teoriju; nje</w:t>
        <w:softHyphen/>
        <w:t xml:space="preserve">zini predstavnici rade s uvjerenjem: </w:t>
      </w:r>
      <w:r>
        <w:rPr>
          <w:rFonts w:ascii="Times New Roman" w:eastAsia="Times New Roman" w:hAnsi="Times New Roman" w:cs="Times New Roman"/>
          <w:color w:val="000000"/>
          <w:spacing w:val="0"/>
          <w:w w:val="100"/>
          <w:position w:val="0"/>
          <w:shd w:val="clear" w:color="auto" w:fill="auto"/>
          <w:lang w:val="en-US" w:eastAsia="en-US" w:bidi="en-US"/>
        </w:rPr>
        <w:t xml:space="preserve">»Tout </w:t>
      </w:r>
      <w:r>
        <w:rPr>
          <w:rFonts w:ascii="Times New Roman" w:eastAsia="Times New Roman" w:hAnsi="Times New Roman" w:cs="Times New Roman"/>
          <w:color w:val="000000"/>
          <w:spacing w:val="0"/>
          <w:w w:val="100"/>
          <w:position w:val="0"/>
          <w:shd w:val="clear" w:color="auto" w:fill="auto"/>
          <w:lang w:val="hr-HR" w:eastAsia="hr-HR" w:bidi="hr-HR"/>
        </w:rPr>
        <w:t xml:space="preserve">est </w:t>
      </w:r>
      <w:r>
        <w:rPr>
          <w:rFonts w:ascii="Times New Roman" w:eastAsia="Times New Roman" w:hAnsi="Times New Roman" w:cs="Times New Roman"/>
          <w:color w:val="000000"/>
          <w:spacing w:val="0"/>
          <w:w w:val="100"/>
          <w:position w:val="0"/>
          <w:shd w:val="clear" w:color="auto" w:fill="auto"/>
          <w:lang w:val="en-US" w:eastAsia="en-US" w:bidi="en-US"/>
        </w:rPr>
        <w:t>relation«.</w:t>
      </w:r>
    </w:p>
    <w:p>
      <w:pPr>
        <w:pStyle w:val="Style20"/>
        <w:keepNext w:val="0"/>
        <w:keepLines w:val="0"/>
        <w:widowControl w:val="0"/>
        <w:numPr>
          <w:ilvl w:val="0"/>
          <w:numId w:val="125"/>
        </w:numPr>
        <w:shd w:val="clear" w:color="auto" w:fill="auto"/>
        <w:tabs>
          <w:tab w:pos="27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Ovaj pojednostavljeni prikaz biblijske egze- geze trebao jc jasno pokazati da je ova zna</w:t>
        <w:softHyphen/>
        <w:t>nost - kao i druge duhovne znanosti - dijete svoga vremena. Biblijska e. ide različitim pu</w:t>
        <w:softHyphen/>
        <w:t>tovima; ne treba ih ipak gledati kao isključive. Podudaranje metoda, pa i sukobljavanje me</w:t>
        <w:softHyphen/>
        <w:t>toda, otkrivaju nova značenja biblijskih tek</w:t>
        <w:softHyphen/>
        <w:t>stova i tako omogućuju da Biblija još više kaže današnjem čovjeku.</w:t>
      </w:r>
    </w:p>
    <w:p>
      <w:pPr>
        <w:pStyle w:val="Style56"/>
        <w:keepNext w:val="0"/>
        <w:keepLines w:val="0"/>
        <w:widowControl w:val="0"/>
        <w:shd w:val="clear" w:color="auto" w:fill="auto"/>
        <w:tabs>
          <w:tab w:pos="2429" w:val="left"/>
        </w:tabs>
        <w:bidi w:val="0"/>
        <w:spacing w:before="0" w:after="200" w:line="240" w:lineRule="auto"/>
        <w:ind w:left="0" w:right="0" w:firstLine="0"/>
        <w:jc w:val="both"/>
      </w:pPr>
      <w:r>
        <w:rPr>
          <w:color w:val="000000"/>
          <w:spacing w:val="0"/>
          <w:w w:val="100"/>
          <w:position w:val="0"/>
          <w:shd w:val="clear" w:color="auto" w:fill="auto"/>
          <w:lang w:val="hr-HR" w:eastAsia="hr-HR" w:bidi="hr-HR"/>
        </w:rPr>
        <w:t xml:space="preserve">Lit.: K. </w:t>
      </w:r>
      <w:r>
        <w:rPr>
          <w:color w:val="000000"/>
          <w:spacing w:val="0"/>
          <w:w w:val="100"/>
          <w:position w:val="0"/>
          <w:shd w:val="clear" w:color="auto" w:fill="auto"/>
        </w:rPr>
        <w:t xml:space="preserve">Berger. </w:t>
      </w:r>
      <w:r>
        <w:rPr>
          <w:i/>
          <w:iCs/>
          <w:color w:val="000000"/>
          <w:spacing w:val="0"/>
          <w:w w:val="100"/>
          <w:position w:val="0"/>
          <w:shd w:val="clear" w:color="auto" w:fill="auto"/>
        </w:rPr>
        <w:t>Exegese des Netien Testaments,</w:t>
      </w:r>
      <w:r>
        <w:rPr>
          <w:color w:val="000000"/>
          <w:spacing w:val="0"/>
          <w:w w:val="100"/>
          <w:position w:val="0"/>
          <w:shd w:val="clear" w:color="auto" w:fill="auto"/>
        </w:rPr>
        <w:t xml:space="preserve"> Heidelberg 1977; R. E. Brown, The Meaning of the Bible, u: </w:t>
      </w:r>
      <w:r>
        <w:rPr>
          <w:i/>
          <w:iCs/>
          <w:color w:val="000000"/>
          <w:spacing w:val="0"/>
          <w:w w:val="100"/>
          <w:position w:val="0"/>
          <w:shd w:val="clear" w:color="auto" w:fill="auto"/>
        </w:rPr>
        <w:t>Theology Digest</w:t>
      </w:r>
      <w:r>
        <w:rPr>
          <w:color w:val="000000"/>
          <w:spacing w:val="0"/>
          <w:w w:val="100"/>
          <w:position w:val="0"/>
          <w:shd w:val="clear" w:color="auto" w:fill="auto"/>
        </w:rPr>
        <w:t xml:space="preserve"> 28 (1980) 305-320; E Guttgcnianns, </w:t>
      </w:r>
      <w:r>
        <w:rPr>
          <w:i/>
          <w:iCs/>
          <w:color w:val="000000"/>
          <w:spacing w:val="0"/>
          <w:w w:val="100"/>
          <w:position w:val="0"/>
          <w:shd w:val="clear" w:color="auto" w:fill="auto"/>
        </w:rPr>
        <w:t>Offcnc Fragcn zur Formgeschichte. des Evangehums,</w:t>
      </w:r>
      <w:r>
        <w:rPr>
          <w:color w:val="000000"/>
          <w:spacing w:val="0"/>
          <w:w w:val="100"/>
          <w:position w:val="0"/>
          <w:shd w:val="clear" w:color="auto" w:fill="auto"/>
        </w:rPr>
        <w:t xml:space="preserve"> Munchcn 1971; O. Kaiscr/W. G. Kummel, </w:t>
      </w:r>
      <w:r>
        <w:rPr>
          <w:i/>
          <w:iCs/>
          <w:color w:val="000000"/>
          <w:spacing w:val="0"/>
          <w:w w:val="100"/>
          <w:position w:val="0"/>
          <w:shd w:val="clear" w:color="auto" w:fill="auto"/>
        </w:rPr>
        <w:t>Einfiihrung in die exegetischen Me</w:t>
        <w:softHyphen/>
        <w:t>thoden,</w:t>
      </w:r>
      <w:r>
        <w:rPr>
          <w:color w:val="000000"/>
          <w:spacing w:val="0"/>
          <w:w w:val="100"/>
          <w:position w:val="0"/>
          <w:shd w:val="clear" w:color="auto" w:fill="auto"/>
        </w:rPr>
        <w:t xml:space="preserve"> .Munchcn 1964; K. Koch, </w:t>
      </w:r>
      <w:r>
        <w:rPr>
          <w:i/>
          <w:iCs/>
          <w:color w:val="000000"/>
          <w:spacing w:val="0"/>
          <w:w w:val="100"/>
          <w:position w:val="0"/>
          <w:shd w:val="clear" w:color="auto" w:fill="auto"/>
        </w:rPr>
        <w:t>Was ist Formgeschichte? Neue Wege der Bibelexegese.</w:t>
      </w:r>
      <w:r>
        <w:rPr>
          <w:color w:val="000000"/>
          <w:spacing w:val="0"/>
          <w:w w:val="100"/>
          <w:position w:val="0"/>
          <w:shd w:val="clear" w:color="auto" w:fill="auto"/>
        </w:rPr>
        <w:t xml:space="preserve"> Ncukirchcn/Vluyn 1967; D. Pa«e, </w:t>
      </w:r>
      <w:r>
        <w:rPr>
          <w:i/>
          <w:iCs/>
          <w:color w:val="000000"/>
          <w:spacing w:val="0"/>
          <w:w w:val="100"/>
          <w:position w:val="0"/>
          <w:shd w:val="clear" w:color="auto" w:fill="auto"/>
        </w:rPr>
        <w:t>What is Structural Exegesis?,</w:t>
      </w:r>
      <w:r>
        <w:rPr>
          <w:color w:val="000000"/>
          <w:spacing w:val="0"/>
          <w:w w:val="100"/>
          <w:position w:val="0"/>
          <w:shd w:val="clear" w:color="auto" w:fill="auto"/>
        </w:rPr>
        <w:t xml:space="preserve"> Philadelphia 1967; W Richter, </w:t>
      </w:r>
      <w:r>
        <w:rPr>
          <w:i/>
          <w:iCs/>
          <w:color w:val="000000"/>
          <w:spacing w:val="0"/>
          <w:w w:val="100"/>
          <w:position w:val="0"/>
          <w:shd w:val="clear" w:color="auto" w:fill="auto"/>
        </w:rPr>
        <w:t>Exegese als Literaiunvissenschafl,</w:t>
      </w:r>
      <w:r>
        <w:rPr>
          <w:color w:val="000000"/>
          <w:spacing w:val="0"/>
          <w:w w:val="100"/>
          <w:position w:val="0"/>
          <w:shd w:val="clear" w:color="auto" w:fill="auto"/>
        </w:rPr>
        <w:t xml:space="preserve"> Gottingen 1971; J. A. Sanders, </w:t>
      </w:r>
      <w:r>
        <w:rPr>
          <w:i/>
          <w:iCs/>
          <w:color w:val="000000"/>
          <w:spacing w:val="0"/>
          <w:w w:val="100"/>
          <w:position w:val="0"/>
          <w:shd w:val="clear" w:color="auto" w:fill="auto"/>
        </w:rPr>
        <w:t>Hermeneutics,</w:t>
      </w:r>
      <w:r>
        <w:rPr>
          <w:color w:val="000000"/>
          <w:spacing w:val="0"/>
          <w:w w:val="100"/>
          <w:position w:val="0"/>
          <w:shd w:val="clear" w:color="auto" w:fill="auto"/>
        </w:rPr>
        <w:t xml:space="preserve"> IDB Suppl., Nashville 1976; H. Zimmermann, </w:t>
      </w:r>
      <w:r>
        <w:rPr>
          <w:i/>
          <w:iCs/>
          <w:color w:val="000000"/>
          <w:spacing w:val="0"/>
          <w:w w:val="100"/>
          <w:position w:val="0"/>
          <w:shd w:val="clear" w:color="auto" w:fill="auto"/>
        </w:rPr>
        <w:t>N'eutcstamentliche Mcthodenlchrc,</w:t>
      </w:r>
      <w:r>
        <w:rPr>
          <w:color w:val="000000"/>
          <w:spacing w:val="0"/>
          <w:w w:val="100"/>
          <w:position w:val="0"/>
          <w:shd w:val="clear" w:color="auto" w:fill="auto"/>
        </w:rPr>
        <w:t xml:space="preserve"> Stuttgart 1968.</w:t>
        <w:tab/>
        <w:t>It. HAUSER</w:t>
      </w:r>
    </w:p>
    <w:p>
      <w:pPr>
        <w:pStyle w:val="Style63"/>
        <w:keepNext/>
        <w:keepLines/>
        <w:widowControl w:val="0"/>
        <w:numPr>
          <w:ilvl w:val="0"/>
          <w:numId w:val="123"/>
        </w:numPr>
        <w:shd w:val="clear" w:color="auto" w:fill="auto"/>
        <w:tabs>
          <w:tab w:pos="260" w:val="left"/>
        </w:tabs>
        <w:bidi w:val="0"/>
        <w:spacing w:before="0" w:line="223" w:lineRule="auto"/>
        <w:ind w:left="0" w:right="0" w:firstLine="0"/>
        <w:jc w:val="both"/>
      </w:pPr>
      <w:bookmarkStart w:id="92" w:name="bookmark92"/>
      <w:r>
        <w:rPr>
          <w:rFonts w:ascii="Times New Roman" w:eastAsia="Times New Roman" w:hAnsi="Times New Roman" w:cs="Times New Roman"/>
          <w:color w:val="000000"/>
          <w:spacing w:val="0"/>
          <w:w w:val="100"/>
          <w:position w:val="0"/>
          <w:shd w:val="clear" w:color="auto" w:fill="auto"/>
          <w:lang w:val="hr-HR" w:eastAsia="hr-HR" w:bidi="hr-HR"/>
        </w:rPr>
        <w:t>islamski</w:t>
      </w:r>
      <w:bookmarkEnd w:id="9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Kuran </w:t>
      </w:r>
      <w:r>
        <w:rPr>
          <w:rFonts w:ascii="Times New Roman" w:eastAsia="Times New Roman" w:hAnsi="Times New Roman" w:cs="Times New Roman"/>
          <w:color w:val="000000"/>
          <w:spacing w:val="0"/>
          <w:w w:val="100"/>
          <w:position w:val="0"/>
          <w:shd w:val="clear" w:color="auto" w:fill="auto"/>
          <w:lang w:val="hr-HR" w:eastAsia="hr-HR" w:bidi="hr-HR"/>
        </w:rPr>
        <w:t>sadrži niz slikovitih i ne u potpunosti razumljivih iskaza koji se ne mogu razumjeti sami od sebe, te povrh roga na izričit način ukazuje na Muhameda kao na njegova mjero</w:t>
        <w:softHyphen/>
        <w:t>davnoga tumačitelja. To je razlog što se e. Kurana uvelike orijentira prema tradiciji. Pod predajom se u islamu u prvome redu podrazu</w:t>
        <w:softHyphen/>
        <w:t>mijevaju Muhamedovc riječi i prešutna odo</w:t>
        <w:softHyphen/>
        <w:t>bravanja. U nju zatim spadaju izvješća o nje</w:t>
        <w:softHyphen/>
        <w:t xml:space="preserve">govu životu i djelovanju, ali i izjave i stavovi njegovih sljedbenika prema religiji. Tradirani je materijal nakon Muhamedove smrti toliko narastao da je razdvajanje autentičnoga od </w:t>
      </w:r>
      <w:r>
        <w:rPr>
          <w:rFonts w:ascii="Times New Roman" w:eastAsia="Times New Roman" w:hAnsi="Times New Roman" w:cs="Times New Roman"/>
          <w:color w:val="000000"/>
          <w:spacing w:val="0"/>
          <w:w w:val="100"/>
          <w:position w:val="0"/>
          <w:shd w:val="clear" w:color="auto" w:fill="auto"/>
          <w:lang w:val="hr-HR" w:eastAsia="hr-HR" w:bidi="hr-HR"/>
        </w:rPr>
        <w:t xml:space="preserve">nečistoga postalo vrlo teško. Tek su kritički radovi velikih tradicionalista kao što su al- Bukhari (u. 870) i </w:t>
      </w:r>
      <w:r>
        <w:rPr>
          <w:rFonts w:ascii="Times New Roman" w:eastAsia="Times New Roman" w:hAnsi="Times New Roman" w:cs="Times New Roman"/>
          <w:color w:val="000000"/>
          <w:spacing w:val="0"/>
          <w:w w:val="100"/>
          <w:position w:val="0"/>
          <w:shd w:val="clear" w:color="auto" w:fill="auto"/>
          <w:lang w:val="en-US" w:eastAsia="en-US" w:bidi="en-US"/>
        </w:rPr>
        <w:t xml:space="preserve">Muslim </w:t>
      </w:r>
      <w:r>
        <w:rPr>
          <w:rFonts w:ascii="Times New Roman" w:eastAsia="Times New Roman" w:hAnsi="Times New Roman" w:cs="Times New Roman"/>
          <w:color w:val="000000"/>
          <w:spacing w:val="0"/>
          <w:w w:val="100"/>
          <w:position w:val="0"/>
          <w:shd w:val="clear" w:color="auto" w:fill="auto"/>
          <w:lang w:val="hr-HR" w:eastAsia="hr-HR" w:bidi="hr-HR"/>
        </w:rPr>
        <w:t>(u. 875) omogućili izvjesno pročišćavanje i provjeru prema isli- nosnome sadržaju. Središnja figura medu jam</w:t>
        <w:softHyphen/>
        <w:t xml:space="preserve">cima egzegetske predaje je </w:t>
      </w:r>
      <w:r>
        <w:rPr>
          <w:rFonts w:ascii="Times New Roman" w:eastAsia="Times New Roman" w:hAnsi="Times New Roman" w:cs="Times New Roman"/>
          <w:color w:val="000000"/>
          <w:spacing w:val="0"/>
          <w:w w:val="100"/>
          <w:position w:val="0"/>
          <w:shd w:val="clear" w:color="auto" w:fill="auto"/>
          <w:lang w:val="en-US" w:eastAsia="en-US" w:bidi="en-US"/>
        </w:rPr>
        <w:t xml:space="preserve">‘Abdallah </w:t>
      </w:r>
      <w:r>
        <w:rPr>
          <w:rFonts w:ascii="Times New Roman" w:eastAsia="Times New Roman" w:hAnsi="Times New Roman" w:cs="Times New Roman"/>
          <w:color w:val="000000"/>
          <w:spacing w:val="0"/>
          <w:w w:val="100"/>
          <w:position w:val="0"/>
          <w:shd w:val="clear" w:color="auto" w:fill="auto"/>
          <w:lang w:val="hr-HR" w:eastAsia="hr-HR" w:bidi="hr-HR"/>
        </w:rPr>
        <w:t xml:space="preserve">ibn </w:t>
      </w:r>
      <w:r>
        <w:rPr>
          <w:rFonts w:ascii="Times New Roman" w:eastAsia="Times New Roman" w:hAnsi="Times New Roman" w:cs="Times New Roman"/>
          <w:color w:val="000000"/>
          <w:spacing w:val="0"/>
          <w:w w:val="100"/>
          <w:position w:val="0"/>
          <w:shd w:val="clear" w:color="auto" w:fill="auto"/>
          <w:lang w:val="en-US" w:eastAsia="en-US" w:bidi="en-US"/>
        </w:rPr>
        <w:t xml:space="preserve">‘Abbas </w:t>
      </w:r>
      <w:r>
        <w:rPr>
          <w:rFonts w:ascii="Times New Roman" w:eastAsia="Times New Roman" w:hAnsi="Times New Roman" w:cs="Times New Roman"/>
          <w:color w:val="000000"/>
          <w:spacing w:val="0"/>
          <w:w w:val="100"/>
          <w:position w:val="0"/>
          <w:shd w:val="clear" w:color="auto" w:fill="auto"/>
          <w:lang w:val="hr-HR" w:eastAsia="hr-HR" w:bidi="hr-HR"/>
        </w:rPr>
        <w:t>(u. 686). On je bio mladac star oko 15 godina kada je Muhamed umro u Medini. Njegova su djela mogla imati vrijednost prvih izvora, no nemali se broj izvješća koja potječu od njega svodi na izvješća židovskih i kršćan</w:t>
        <w:softHyphen/>
        <w:t>skih konvertita na islam. Dakle, u egzegezi već su tada djelovale tendencije koje su pro</w:t>
        <w:softHyphen/>
        <w:t>drle izvana. One su po broju i značenju jačale sa širenjem islamske države. Njihovom je pro</w:t>
        <w:softHyphen/>
        <w:t xml:space="preserve">doru na ruku išlo cijepanje islama na —&gt; </w:t>
      </w:r>
      <w:r>
        <w:rPr>
          <w:rFonts w:ascii="Times New Roman" w:eastAsia="Times New Roman" w:hAnsi="Times New Roman" w:cs="Times New Roman"/>
          <w:i/>
          <w:iCs/>
          <w:color w:val="000000"/>
          <w:spacing w:val="0"/>
          <w:w w:val="100"/>
          <w:position w:val="0"/>
          <w:shd w:val="clear" w:color="auto" w:fill="auto"/>
          <w:lang w:val="hr-HR" w:eastAsia="hr-HR" w:bidi="hr-HR"/>
        </w:rPr>
        <w:t>suni- zam</w:t>
      </w:r>
      <w:r>
        <w:rPr>
          <w:rFonts w:ascii="Times New Roman" w:eastAsia="Times New Roman" w:hAnsi="Times New Roman" w:cs="Times New Roman"/>
          <w:color w:val="000000"/>
          <w:spacing w:val="0"/>
          <w:w w:val="100"/>
          <w:position w:val="0"/>
          <w:shd w:val="clear" w:color="auto" w:fill="auto"/>
          <w:lang w:val="hr-HR" w:eastAsia="hr-HR" w:bidi="hr-HR"/>
        </w:rPr>
        <w:t xml:space="preserve"> i —&gt; </w:t>
      </w:r>
      <w:r>
        <w:rPr>
          <w:rFonts w:ascii="Times New Roman" w:eastAsia="Times New Roman" w:hAnsi="Times New Roman" w:cs="Times New Roman"/>
          <w:i/>
          <w:iCs/>
          <w:color w:val="000000"/>
          <w:spacing w:val="0"/>
          <w:w w:val="100"/>
          <w:position w:val="0"/>
          <w:shd w:val="clear" w:color="auto" w:fill="auto"/>
          <w:lang w:val="hr-HR" w:eastAsia="hr-HR" w:bidi="hr-HR"/>
        </w:rPr>
        <w:t>šijizam.</w:t>
      </w:r>
      <w:r>
        <w:rPr>
          <w:rFonts w:ascii="Times New Roman" w:eastAsia="Times New Roman" w:hAnsi="Times New Roman" w:cs="Times New Roman"/>
          <w:color w:val="000000"/>
          <w:spacing w:val="0"/>
          <w:w w:val="100"/>
          <w:position w:val="0"/>
          <w:shd w:val="clear" w:color="auto" w:fill="auto"/>
          <w:lang w:val="hr-HR" w:eastAsia="hr-HR" w:bidi="hr-HR"/>
        </w:rPr>
        <w:t xml:space="preserve"> Oblikovala se vremenom uvjetovana e. koja je u pojedinim slučajevima čak zlorabljena kao sredstvo političke borbe. Tradicionalna je e. dostigla vrhunac u djelima Abu Dja’far at-TabarTja (u. 923). Njegov ko</w:t>
        <w:softHyphen/>
        <w:t>mentar Kurana, koji obuhvaća 30 debelih svezaka, predstavlja riznicu starijih egzeget- skih primjera. At-Tabari je slijedio načelo da bi svako razumijevanje smisla moralo počivati na jasnom, očiglednom i jezično utemeljenom smislu teksta, inače on poseže za predajom kao dopunskim izvorom religioznih spoznaja. Unatoč svoj svojoj vjernosti doslovnosti, za</w:t>
        <w:softHyphen/>
        <w:t xml:space="preserve">pravo unatoč njegovoj ljubavi prema jezičnim finesama, Ab0l-Q5sTm </w:t>
      </w:r>
      <w:r>
        <w:rPr>
          <w:rFonts w:ascii="Times New Roman" w:eastAsia="Times New Roman" w:hAnsi="Times New Roman" w:cs="Times New Roman"/>
          <w:color w:val="000000"/>
          <w:spacing w:val="0"/>
          <w:w w:val="100"/>
          <w:position w:val="0"/>
          <w:shd w:val="clear" w:color="auto" w:fill="auto"/>
          <w:lang w:val="en-US" w:eastAsia="en-US" w:bidi="en-US"/>
        </w:rPr>
        <w:t xml:space="preserve">Mahmud </w:t>
      </w:r>
      <w:r>
        <w:rPr>
          <w:rFonts w:ascii="Times New Roman" w:eastAsia="Times New Roman" w:hAnsi="Times New Roman" w:cs="Times New Roman"/>
          <w:color w:val="000000"/>
          <w:spacing w:val="0"/>
          <w:w w:val="100"/>
          <w:position w:val="0"/>
          <w:shd w:val="clear" w:color="auto" w:fill="auto"/>
          <w:lang w:val="hr-HR" w:eastAsia="hr-HR" w:bidi="hr-HR"/>
        </w:rPr>
        <w:t>az-Zamak- kharl (u. 1114) bio jc, nasuprot tomu, zago</w:t>
        <w:softHyphen/>
        <w:t>vornik slobodno-mislitcljskoga tumačenja. On je pripadao mutezilitskoj pravoj i egzegetskoj školi koja svoje nazore gradi poglavito na umu. Njegov je komentar Kurana bitno kraći i zahtjevniji od at-Tabarljevoga.</w:t>
      </w:r>
    </w:p>
    <w:p>
      <w:pPr>
        <w:pStyle w:val="Style20"/>
        <w:keepNext w:val="0"/>
        <w:keepLines w:val="0"/>
        <w:widowControl w:val="0"/>
        <w:shd w:val="clear" w:color="auto" w:fill="auto"/>
        <w:bidi w:val="0"/>
        <w:spacing w:before="0" w:after="0"/>
        <w:ind w:left="0" w:right="0" w:firstLine="0"/>
        <w:jc w:val="both"/>
        <w:sectPr>
          <w:headerReference w:type="default" r:id="rId391"/>
          <w:footerReference w:type="default" r:id="rId392"/>
          <w:headerReference w:type="even" r:id="rId393"/>
          <w:footerReference w:type="even" r:id="rId394"/>
          <w:headerReference w:type="first" r:id="rId395"/>
          <w:footerReference w:type="first" r:id="rId396"/>
          <w:footnotePr>
            <w:pos w:val="pageBottom"/>
            <w:numFmt w:val="decimal"/>
            <w:numStart w:val="5"/>
            <w:numRestart w:val="continuous"/>
            <w15:footnoteColumns w:val="1"/>
          </w:footnotePr>
          <w:pgSz w:w="6816" w:h="11006"/>
          <w:pgMar w:top="1013" w:left="193" w:right="193" w:bottom="508" w:header="0" w:footer="3" w:gutter="0"/>
          <w:pgNumType w:start="137"/>
          <w:cols w:num="2" w:space="19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Među otvorenim protivnicima mutezilitske egzegeze pojavljuje se, paradoksalno, glaso</w:t>
        <w:softHyphen/>
        <w:t xml:space="preserve">viti teolog i filozof </w:t>
      </w:r>
      <w:r>
        <w:rPr>
          <w:rFonts w:ascii="Times New Roman" w:eastAsia="Times New Roman" w:hAnsi="Times New Roman" w:cs="Times New Roman"/>
          <w:i/>
          <w:iCs/>
          <w:color w:val="000000"/>
          <w:spacing w:val="0"/>
          <w:w w:val="100"/>
          <w:position w:val="0"/>
          <w:shd w:val="clear" w:color="auto" w:fill="auto"/>
          <w:lang w:val="hr-HR" w:eastAsia="hr-HR" w:bidi="hr-HR"/>
        </w:rPr>
        <w:t>Averroes</w:t>
      </w:r>
      <w:r>
        <w:rPr>
          <w:rFonts w:ascii="Times New Roman" w:eastAsia="Times New Roman" w:hAnsi="Times New Roman" w:cs="Times New Roman"/>
          <w:color w:val="000000"/>
          <w:spacing w:val="0"/>
          <w:w w:val="100"/>
          <w:position w:val="0"/>
          <w:shd w:val="clear" w:color="auto" w:fill="auto"/>
          <w:lang w:val="hr-HR" w:eastAsia="hr-HR" w:bidi="hr-HR"/>
        </w:rPr>
        <w:t xml:space="preserve"> (Ibn Rušd, u. 1209). On je ostavio iza sebe jedan nepotpuni komentar Kurana koji jc prepun filozofskoga misaonog blaga i koji se odlikuje temeljitom argumentacijom. S Averroesom je skončana samostalna, stara sunitska e. Veliki egzeget XV. stoljeća bio je DjalJladdTn as-Suyuti (u. 1505), o u njegovim radovima nema puno to</w:t>
        <w:softHyphen/>
        <w:t xml:space="preserve">ga originalnoga. U sunitskoj egzegezi snažnije nego u šijitskoj na vidjelo izlazi namjera da se vlastite predodžbe u vjeri utumače u Kuran. To je naročito slučaj kod ekstremnih šijitskih skupina. Šijitski imami posjeduju posebna eg-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zcgctska ovlaštenja, tako da njihova osobna tumačenja i dopune vrijede kao smjerodajna. Jedan se komentar Kurana pripisuje 5. imamu Muhammadu a)-Baqiru (u. 733). Šijitska c. Ku</w:t>
        <w:softHyphen/>
        <w:t>rana doživjela je svoj procvat u III. i IV. sto</w:t>
        <w:softHyphen/>
        <w:t>ljeću po hidžri. Jedna od njezinih najvažnijih karakternih crta jest sklonost alegorijskom ra</w:t>
        <w:softHyphen/>
        <w:t>zumijevanju smisla. Ona se pritom dodiruje s egzegezom mističnih krugova kojima je legi</w:t>
        <w:softHyphen/>
        <w:t>timnost dao Muhamed al-Gazali (u. 1111). Taj se veliki teolog odlučno zalagao za alego</w:t>
        <w:softHyphen/>
        <w:t>rijsku hermeneutiku: » Tvrdi li netko da Ku</w:t>
        <w:softHyphen/>
        <w:t>ran nema nikakav drugi smisao osim onoga koji izražava izvanjski dio egzegeze, on tada time u potpunosti potvrđuje svoje vlastite granice. Pritom bi on s tom tvrdnjom o sa</w:t>
        <w:softHyphen/>
        <w:t>mome sebi mogao sasvim pogoditi nešto što je točno. Nasuprot tomu, on se vara sa sudom da se cjelokupno stvaranje treba svesti na njegov stupanj koji čini njegove granice i njegov po</w:t>
        <w:softHyphen/>
        <w:t>ložaj. Naprotiv, izvješća i predaje dokazuju da smisleni sadržaji Kurana predstavljaju za po</w:t>
        <w:softHyphen/>
        <w:t>znavatelja stvari jedno široko polje. Tako je -&gt; Alija (‘Ali) kazao da je tumačenje Kurana moguće samo ako Bog nekome udijeli razu</w:t>
        <w:softHyphen/>
        <w:t>mijevanje za Kuran. Ako ne bi bilo ničega osim tradirane interpretacije, onda ne bilo ni</w:t>
        <w:softHyphen/>
        <w:t>kakvoga razumijevanja. Nije li ipak sam Mu</w:t>
        <w:softHyphen/>
        <w:t>hamed kazao da Kuran ima vanjštinu i nu</w:t>
        <w:softHyphen/>
        <w:t>trinu kao i područje značenja i jednu točku iz koje ga se može razumjeti«.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»Onaj tko bi htio steći znanje prethodnika i nastavljača« - smatra Ibn Mas’ud -, »neka razmišlja o Kuranu. Čisto izvanjski dio tuma</w:t>
        <w:softHyphen/>
        <w:t>čenja ne pruža nikakvu uputu na dublji smisao teksta. Naprotiv, stvar je takva da za sve, čiji način razmatranja ostaje nejasan i u čemu su tvorevine u teorijskim znanostima i u umnim pojmovima nejedinstvene, Kuran sadrži puto</w:t>
        <w:softHyphen/>
        <w:t>kaze i upute koje mogu shvatiti isključivo ljudi s ispravnim razumijevanjem.« Ovdje navodi</w:t>
        <w:softHyphen/>
        <w:t>mo jedan primjer egzegeze Kurana prema Zemakđariju (Zemakhshari): »U vjeri nema prisiljavanja. Pravi put se raspoznaje od stran</w:t>
        <w:softHyphen/>
        <w:t>putice« (2,256).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U vjeri nema nikakve prisile; to znači da Bog ne dopušta da se vjera događa pomoću prisile i primoravanja, već putem osposoblja</w:t>
        <w:softHyphen/>
        <w:t>vanja i slobodnog izbora. »Da je htio tvoj Gospodar, vjerovali bi svi zajedno koji su na zemlji. Pa zar ćeš ti prisiliti ljude da budu vjer</w:t>
        <w:softHyphen/>
        <w:t xml:space="preserve">nici?!« (10,99). To znači: Ako bi htio, onda bi </w:t>
      </w:r>
      <w:r>
        <w:rPr>
          <w:rFonts w:ascii="Times New Roman" w:eastAsia="Times New Roman" w:hAnsi="Times New Roman" w:cs="Times New Roman"/>
          <w:color w:val="000000"/>
          <w:spacing w:val="0"/>
          <w:w w:val="100"/>
          <w:position w:val="0"/>
          <w:shd w:val="clear" w:color="auto" w:fill="auto"/>
          <w:lang w:val="hr-HR" w:eastAsia="hr-HR" w:bidi="hr-HR"/>
        </w:rPr>
        <w:t>ih On prisilio na vjeru. Ali On to upravo nije učinio, nego je zasnovao vjeru na slobodnome izboru. Pravi je put vjere jasno razdvojen od stranputice: Jasnim uputama vjera je razliko</w:t>
        <w:softHyphen/>
        <w:t xml:space="preserve">vana od nevjere. »Tko se uputi na pravi put, taj se uputio (u </w:t>
      </w:r>
      <w:r>
        <w:rPr>
          <w:rFonts w:ascii="Times New Roman" w:eastAsia="Times New Roman" w:hAnsi="Times New Roman" w:cs="Times New Roman"/>
          <w:i/>
          <w:iCs/>
          <w:color w:val="000000"/>
          <w:spacing w:val="0"/>
          <w:w w:val="100"/>
          <w:position w:val="0"/>
          <w:shd w:val="clear" w:color="auto" w:fill="auto"/>
          <w:lang w:val="hr-HR" w:eastAsia="hr-HR" w:bidi="hr-HR"/>
        </w:rPr>
        <w:t>svoju korist),</w:t>
      </w:r>
      <w:r>
        <w:rPr>
          <w:rFonts w:ascii="Times New Roman" w:eastAsia="Times New Roman" w:hAnsi="Times New Roman" w:cs="Times New Roman"/>
          <w:color w:val="000000"/>
          <w:spacing w:val="0"/>
          <w:w w:val="100"/>
          <w:position w:val="0"/>
          <w:shd w:val="clear" w:color="auto" w:fill="auto"/>
          <w:lang w:val="hr-HR" w:eastAsia="hr-HR" w:bidi="hr-HR"/>
        </w:rPr>
        <w:t xml:space="preserve"> a tko je zalutao, taj je zalutao </w:t>
      </w:r>
      <w:r>
        <w:rPr>
          <w:rFonts w:ascii="Times New Roman" w:eastAsia="Times New Roman" w:hAnsi="Times New Roman" w:cs="Times New Roman"/>
          <w:i/>
          <w:iCs/>
          <w:color w:val="000000"/>
          <w:spacing w:val="0"/>
          <w:w w:val="100"/>
          <w:position w:val="0"/>
          <w:shd w:val="clear" w:color="auto" w:fill="auto"/>
          <w:lang w:val="hr-HR" w:eastAsia="hr-HR" w:bidi="hr-HR"/>
        </w:rPr>
        <w:t>(na svoju štetu).</w:t>
      </w:r>
      <w:r>
        <w:rPr>
          <w:rFonts w:ascii="Times New Roman" w:eastAsia="Times New Roman" w:hAnsi="Times New Roman" w:cs="Times New Roman"/>
          <w:color w:val="000000"/>
          <w:spacing w:val="0"/>
          <w:w w:val="100"/>
          <w:position w:val="0"/>
          <w:shd w:val="clear" w:color="auto" w:fill="auto"/>
          <w:lang w:val="hr-HR" w:eastAsia="hr-HR" w:bidi="hr-HR"/>
        </w:rPr>
        <w:t xml:space="preserve"> Nitko neće no</w:t>
        <w:softHyphen/>
        <w:t xml:space="preserve">siti breme drugoga. Mi ne kažnjavamo </w:t>
      </w:r>
      <w:r>
        <w:rPr>
          <w:rFonts w:ascii="Times New Roman" w:eastAsia="Times New Roman" w:hAnsi="Times New Roman" w:cs="Times New Roman"/>
          <w:i/>
          <w:iCs/>
          <w:color w:val="000000"/>
          <w:spacing w:val="0"/>
          <w:w w:val="100"/>
          <w:position w:val="0"/>
          <w:shd w:val="clear" w:color="auto" w:fill="auto"/>
          <w:lang w:val="hr-HR" w:eastAsia="hr-HR" w:bidi="hr-HR"/>
        </w:rPr>
        <w:t>(nije</w:t>
        <w:softHyphen/>
        <w:t>dan narod)</w:t>
      </w:r>
      <w:r>
        <w:rPr>
          <w:rFonts w:ascii="Times New Roman" w:eastAsia="Times New Roman" w:hAnsi="Times New Roman" w:cs="Times New Roman"/>
          <w:color w:val="000000"/>
          <w:spacing w:val="0"/>
          <w:w w:val="100"/>
          <w:position w:val="0"/>
          <w:shd w:val="clear" w:color="auto" w:fill="auto"/>
          <w:lang w:val="hr-HR" w:eastAsia="hr-HR" w:bidi="hr-HR"/>
        </w:rPr>
        <w:t xml:space="preserve"> dok ne pošaljemo poslanika« (17,15).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znači: Svatko nosi neko breme; no on nosi samo svoje vlastito, a ne tuđe breme. »Mi ne kažnjavamo«: Kod Boga ne postoji nikakvo načelo prema kojemu bi mudrost zahtijevala da On kažnjava ljude nakon što im je poslao poslanika, tako što im je On nametnuo dokaz (za vjeru). Sada se može kazati: Ljudi su sva</w:t>
        <w:softHyphen/>
        <w:t>kako potrebovali dokaz već prije nego što su poslani poslanici; jer oni su zapravo imali um</w:t>
        <w:softHyphen/>
        <w:t>ne dokaze putem kojih im je Bog udijelio zna</w:t>
        <w:softHyphen/>
        <w:t>nje. Dakle, oni moraju biti kažnjeni zato što su zapostavili razmatranje onoga što im je (posredstvom uma) dano i zato što su zane</w:t>
        <w:softHyphen/>
        <w:t>marili objavljene zakone do kojih bez Božje pomoći nema nikakva pristupa i koji se mogu ispravno izvršavati tek kada je stečena vjera. Slanje poslanika spada u ono što potiče na razmatranje i što opominje na opasnost drije- meži u nemaru. Naime, ne smije se kazati: Bili smo nemarni. Možeš li nam ipak poslati po</w:t>
        <w:softHyphen/>
        <w:t>slanika koji bi nas potaknuo na razmatranje umnih dokaza!«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Pođe li se od pretpostavke da je Kuran riječ Božja, tada je opravdano primijeniti na Njega stajališta koja se smatraju dovoljno vrijednos</w:t>
        <w:softHyphen/>
        <w:t>no postojanim i uvjerljivim kako bi im se na</w:t>
        <w:softHyphen/>
        <w:t xml:space="preserve">pravilo trajno mjesto u religijskoj i povijesnoj svijesti, ali i u općoj slici svijeta. Tako je jedan moderni egzeget iz XIX. stoljeća, </w:t>
      </w:r>
      <w:r>
        <w:rPr>
          <w:rFonts w:ascii="Times New Roman" w:eastAsia="Times New Roman" w:hAnsi="Times New Roman" w:cs="Times New Roman"/>
          <w:i/>
          <w:iCs/>
          <w:color w:val="000000"/>
          <w:spacing w:val="0"/>
          <w:w w:val="100"/>
          <w:position w:val="0"/>
          <w:shd w:val="clear" w:color="auto" w:fill="auto"/>
          <w:lang w:val="hr-HR" w:eastAsia="hr-HR" w:bidi="hr-HR"/>
        </w:rPr>
        <w:t>Muhamed Abduh,</w:t>
      </w:r>
      <w:r>
        <w:rPr>
          <w:rFonts w:ascii="Times New Roman" w:eastAsia="Times New Roman" w:hAnsi="Times New Roman" w:cs="Times New Roman"/>
          <w:color w:val="000000"/>
          <w:spacing w:val="0"/>
          <w:w w:val="100"/>
          <w:position w:val="0"/>
          <w:shd w:val="clear" w:color="auto" w:fill="auto"/>
          <w:lang w:val="hr-HR" w:eastAsia="hr-HR" w:bidi="hr-HR"/>
        </w:rPr>
        <w:t xml:space="preserve"> postavio načelo: »Ispravno razumije</w:t>
        <w:softHyphen/>
        <w:t>vanje Kurana bitno ovisi o ispravnome razu</w:t>
        <w:softHyphen/>
        <w:t>mijevanju svijeta«. E. je zapravo od prvih po</w:t>
        <w:softHyphen/>
        <w:t>četaka bila izložena različitim, često među</w:t>
        <w:softHyphen/>
        <w:t xml:space="preserve">sobno protuslovnim tendencijama. I za Kuran kao i za Bibliju vrijedi izjava evangelićkoga teologa Pctcra </w:t>
      </w:r>
      <w:r>
        <w:rPr>
          <w:rFonts w:ascii="Times New Roman" w:eastAsia="Times New Roman" w:hAnsi="Times New Roman" w:cs="Times New Roman"/>
          <w:color w:val="000000"/>
          <w:spacing w:val="0"/>
          <w:w w:val="100"/>
          <w:position w:val="0"/>
          <w:shd w:val="clear" w:color="auto" w:fill="auto"/>
          <w:lang w:val="en-US" w:eastAsia="en-US" w:bidi="en-US"/>
        </w:rPr>
        <w:t xml:space="preserve">Wcrenfelsa: </w:t>
      </w:r>
      <w:r>
        <w:rPr>
          <w:rFonts w:ascii="Times New Roman" w:eastAsia="Times New Roman" w:hAnsi="Times New Roman" w:cs="Times New Roman"/>
          <w:color w:val="000000"/>
          <w:spacing w:val="0"/>
          <w:w w:val="100"/>
          <w:position w:val="0"/>
          <w:shd w:val="clear" w:color="auto" w:fill="auto"/>
          <w:lang w:val="hr-HR" w:eastAsia="hr-HR" w:bidi="hr-HR"/>
        </w:rPr>
        <w:t>»Svatko u toj sve</w:t>
        <w:softHyphen/>
        <w:t>toj knjizi traži svoje dogme. Svatko osobito nalazi ono što je tražio u njoj«.</w:t>
      </w:r>
    </w:p>
    <w:p>
      <w:pPr>
        <w:pStyle w:val="Style20"/>
        <w:keepNext w:val="0"/>
        <w:keepLines w:val="0"/>
        <w:widowControl w:val="0"/>
        <w:shd w:val="clear" w:color="auto" w:fill="auto"/>
        <w:bidi w:val="0"/>
        <w:spacing w:before="0" w:after="0"/>
        <w:ind w:left="0" w:right="0" w:firstLine="0"/>
        <w:jc w:val="both"/>
        <w:sectPr>
          <w:headerReference w:type="default" r:id="rId397"/>
          <w:footerReference w:type="default" r:id="rId398"/>
          <w:headerReference w:type="even" r:id="rId399"/>
          <w:footerReference w:type="even" r:id="rId400"/>
          <w:footnotePr>
            <w:pos w:val="pageBottom"/>
            <w:numFmt w:val="decimal"/>
            <w:numStart w:val="5"/>
            <w:numRestart w:val="continuous"/>
            <w15:footnoteColumns w:val="1"/>
          </w:footnotePr>
          <w:type w:val="continuous"/>
          <w:pgSz w:w="6816" w:h="11006"/>
          <w:pgMar w:top="1013" w:left="193" w:right="193" w:bottom="508" w:header="0" w:footer="3" w:gutter="0"/>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Već odavno je ustaljen novi pristup islamskoj tradiciji koji je, gledano povijesno i na temelju dokumenata, svoje najsnažnije svjedočanstvo našao u Kuranu. Ponovno promišljanje o iz-</w:t>
      </w:r>
    </w:p>
    <w:p>
      <w:pPr>
        <w:pStyle w:val="Style85"/>
        <w:keepNext w:val="0"/>
        <w:keepLines w:val="0"/>
        <w:widowControl w:val="0"/>
        <w:pBdr>
          <w:bottom w:val="single" w:sz="4" w:space="0" w:color="auto"/>
        </w:pBdr>
        <w:shd w:val="clear" w:color="auto" w:fill="auto"/>
        <w:bidi w:val="0"/>
        <w:spacing w:before="0" w:after="0" w:line="240" w:lineRule="auto"/>
        <w:ind w:left="0" w:right="0" w:firstLine="0"/>
        <w:jc w:val="left"/>
        <w:sectPr>
          <w:headerReference w:type="default" r:id="rId401"/>
          <w:footerReference w:type="default" r:id="rId402"/>
          <w:headerReference w:type="even" r:id="rId403"/>
          <w:footerReference w:type="even" r:id="rId404"/>
          <w:headerReference w:type="first" r:id="rId405"/>
          <w:footerReference w:type="first" r:id="rId406"/>
          <w:footnotePr>
            <w:pos w:val="pageBottom"/>
            <w:numFmt w:val="decimal"/>
            <w:numStart w:val="5"/>
            <w:numRestart w:val="continuous"/>
            <w15:footnoteColumns w:val="1"/>
          </w:footnotePr>
          <w:pgSz w:w="6816" w:h="11006"/>
          <w:pgMar w:top="583" w:left="187" w:right="187" w:bottom="359" w:header="0" w:footer="3" w:gutter="0"/>
          <w:pgNumType w:start="136"/>
          <w:cols w:space="720"/>
          <w:noEndnote/>
          <w:titlePg/>
          <w:rtlGutter w:val="0"/>
          <w:docGrid w:linePitch="360"/>
        </w:sectPr>
      </w:pPr>
      <w:r>
        <w:rPr>
          <w:color w:val="000000"/>
          <w:spacing w:val="0"/>
          <w:w w:val="100"/>
          <w:position w:val="0"/>
          <w:shd w:val="clear" w:color="auto" w:fill="auto"/>
        </w:rPr>
        <w:t>egzegeza/ekstaza'Ekgmena</w:t>
      </w:r>
    </w:p>
    <w:p>
      <w:pPr>
        <w:widowControl w:val="0"/>
        <w:spacing w:line="66" w:lineRule="exact"/>
        <w:rPr>
          <w:sz w:val="5"/>
          <w:szCs w:val="5"/>
        </w:rPr>
      </w:pPr>
    </w:p>
    <w:p>
      <w:pPr>
        <w:widowControl w:val="0"/>
        <w:spacing w:line="1" w:lineRule="exact"/>
        <w:sectPr>
          <w:footnotePr>
            <w:pos w:val="pageBottom"/>
            <w:numFmt w:val="decimal"/>
            <w:numStart w:val="5"/>
            <w:numRestart w:val="continuous"/>
            <w15:footnoteColumns w:val="1"/>
          </w:footnotePr>
          <w:type w:val="continuous"/>
          <w:pgSz w:w="6816" w:h="11006"/>
          <w:pgMar w:top="758" w:left="0" w:right="0" w:bottom="384" w:header="0" w:footer="3" w:gutter="0"/>
          <w:cols w:space="720"/>
          <w:noEndnote/>
          <w:rtlGutter w:val="0"/>
          <w:docGrid w:linePitch="360"/>
        </w:sectPr>
      </w:pP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vornom </w:t>
      </w:r>
      <w:r>
        <w:rPr>
          <w:rFonts w:ascii="Times New Roman" w:eastAsia="Times New Roman" w:hAnsi="Times New Roman" w:cs="Times New Roman"/>
          <w:color w:val="000000"/>
          <w:spacing w:val="0"/>
          <w:w w:val="100"/>
          <w:position w:val="0"/>
          <w:shd w:val="clear" w:color="auto" w:fill="auto"/>
          <w:lang w:val="hr-HR" w:eastAsia="hr-HR" w:bidi="hr-HR"/>
        </w:rPr>
        <w:t>islamu uvelo je postupno prevlada</w:t>
        <w:softHyphen/>
        <w:t>vanje historijskoga balasta koji su iza sebe ostavile odavno prošle epohe i proživljene ljudske situacije. Taj proces obećava teološko prevladavanje razdvajanja sunizma i šijizma kao i razdvajanje na četiri poznate ortodoksne pravne škole. On, dakako, uzrokuje i reduci</w:t>
        <w:softHyphen/>
        <w:t>ranje religijskoga kanona obligacija koji se ogromno povećao zbog kazuističke djelotvor</w:t>
        <w:softHyphen/>
        <w:t>nosti pravnih škola i njihovih epigonskih sljed</w:t>
        <w:softHyphen/>
        <w:t xml:space="preserve">benika među </w:t>
      </w:r>
      <w:r>
        <w:rPr>
          <w:rFonts w:ascii="Times New Roman" w:eastAsia="Times New Roman" w:hAnsi="Times New Roman" w:cs="Times New Roman"/>
          <w:i/>
          <w:iCs/>
          <w:color w:val="000000"/>
          <w:spacing w:val="0"/>
          <w:w w:val="100"/>
          <w:position w:val="0"/>
          <w:shd w:val="clear" w:color="auto" w:fill="auto"/>
          <w:lang w:val="hr-HR" w:eastAsia="hr-HR" w:bidi="hr-HR"/>
        </w:rPr>
        <w:t>ulemama.</w:t>
      </w:r>
      <w:r>
        <w:rPr>
          <w:rFonts w:ascii="Times New Roman" w:eastAsia="Times New Roman" w:hAnsi="Times New Roman" w:cs="Times New Roman"/>
          <w:color w:val="000000"/>
          <w:spacing w:val="0"/>
          <w:w w:val="100"/>
          <w:position w:val="0"/>
          <w:shd w:val="clear" w:color="auto" w:fill="auto"/>
          <w:lang w:val="hr-HR" w:eastAsia="hr-HR" w:bidi="hr-HR"/>
        </w:rPr>
        <w:t xml:space="preserve"> Ponovno stjecanje slobode i dinamike, stoje praćeno osnaženim ćudorednim usmjerenjem vjerske svijesti, si</w:t>
        <w:softHyphen/>
        <w:t>gurno će ubrzati aggiornamento islama i nje</w:t>
        <w:softHyphen/>
        <w:t>govih naroda. U tome se ne osvjedočuje ni</w:t>
        <w:softHyphen/>
        <w:t>kakvo odricanje od tradicije, već jedino nje</w:t>
        <w:softHyphen/>
        <w:t>govo produhovljenje. Islamu je svakako izvor</w:t>
        <w:softHyphen/>
        <w:t>no stran zatvoreni dogmatizam, kako s pra</w:t>
        <w:softHyphen/>
        <w:t xml:space="preserve">vom primjećuje </w:t>
      </w:r>
      <w:r>
        <w:rPr>
          <w:rFonts w:ascii="Times New Roman" w:eastAsia="Times New Roman" w:hAnsi="Times New Roman" w:cs="Times New Roman"/>
          <w:color w:val="000000"/>
          <w:spacing w:val="0"/>
          <w:w w:val="100"/>
          <w:position w:val="0"/>
          <w:shd w:val="clear" w:color="auto" w:fill="auto"/>
          <w:lang w:val="en-US" w:eastAsia="en-US" w:bidi="en-US"/>
        </w:rPr>
        <w:t xml:space="preserve">Ignaz </w:t>
      </w:r>
      <w:r>
        <w:rPr>
          <w:rFonts w:ascii="Times New Roman" w:eastAsia="Times New Roman" w:hAnsi="Times New Roman" w:cs="Times New Roman"/>
          <w:color w:val="000000"/>
          <w:spacing w:val="0"/>
          <w:w w:val="100"/>
          <w:position w:val="0"/>
          <w:shd w:val="clear" w:color="auto" w:fill="auto"/>
          <w:lang w:val="hr-HR" w:eastAsia="hr-HR" w:bidi="hr-HR"/>
        </w:rPr>
        <w:t xml:space="preserve">Goldzieher. U novije vrijeme započet je pokušaj oživljavanja histo- rijsko-semantičke egzegeze Kurana. Njegov je nositelj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Arkoun sa sorbonskoga sveučilišta. Po njegovu nazoru, slično kao i u drugim svetim knjigama jezična su obilježja Kurana takva da dozvoljavaju prelazak s jed</w:t>
        <w:softHyphen/>
        <w:t>noga duhovnog slava na drugi. Smisao se vje</w:t>
        <w:softHyphen/>
        <w:t>re sastoji u tome da se izađe u susret Božje</w:t>
        <w:softHyphen/>
        <w:t>mu nedokučivom savjetu, a ne u tome »da se vezujemo za opipljive spektakularne, hic ct nunc pružene dokaze«. Sukladno tomu, »ne</w:t>
        <w:softHyphen/>
        <w:t>vjernik« - sasvim u smislu Kurana - »nije onaj koji zahtijeva legitimne dokaze, već onaj koji kao smetnja ostaje izvan religioznoga događanja, čak i kada ti dokazi nisu izne</w:t>
        <w:softHyphen/>
        <w:t>seni« (tako se o problemu božanske autentič</w:t>
        <w:softHyphen/>
        <w:t>nosti Kurana kaže u jednom članku objavlje</w:t>
        <w:softHyphen/>
        <w:t xml:space="preserve">nom na francuskome jeziku u slavljcničkome spisu posvećenom Georgesu C. </w:t>
      </w:r>
      <w:r>
        <w:rPr>
          <w:rFonts w:ascii="Times New Roman" w:eastAsia="Times New Roman" w:hAnsi="Times New Roman" w:cs="Times New Roman"/>
          <w:color w:val="000000"/>
          <w:spacing w:val="0"/>
          <w:w w:val="100"/>
          <w:position w:val="0"/>
          <w:shd w:val="clear" w:color="auto" w:fill="auto"/>
          <w:lang w:val="en-US" w:eastAsia="en-US" w:bidi="en-US"/>
        </w:rPr>
        <w:t xml:space="preserve">Anawatiju </w:t>
      </w:r>
      <w:r>
        <w:rPr>
          <w:rFonts w:ascii="Times New Roman" w:eastAsia="Times New Roman" w:hAnsi="Times New Roman" w:cs="Times New Roman"/>
          <w:color w:val="000000"/>
          <w:spacing w:val="0"/>
          <w:w w:val="100"/>
          <w:position w:val="0"/>
          <w:shd w:val="clear" w:color="auto" w:fill="auto"/>
          <w:lang w:val="hr-HR" w:eastAsia="hr-HR" w:bidi="hr-HR"/>
        </w:rPr>
        <w:t>i Louisu Gardetu).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Ovdje je načet problem egzegeze Kurana u sekularnom dobu. Ništa manje nego židovstvo i kršćanstvo islam stoji pred nužnošću egze- getske obnove. </w:t>
      </w:r>
      <w:r>
        <w:rPr>
          <w:rFonts w:ascii="Times New Roman" w:eastAsia="Times New Roman" w:hAnsi="Times New Roman" w:cs="Times New Roman"/>
          <w:i/>
          <w:iCs/>
          <w:color w:val="000000"/>
          <w:spacing w:val="0"/>
          <w:w w:val="100"/>
          <w:position w:val="0"/>
          <w:shd w:val="clear" w:color="auto" w:fill="auto"/>
          <w:lang w:val="hr-HR" w:eastAsia="hr-HR" w:bidi="hr-HR"/>
        </w:rPr>
        <w:t>Hans-Jochen Gamm</w:t>
      </w:r>
      <w:r>
        <w:rPr>
          <w:rFonts w:ascii="Times New Roman" w:eastAsia="Times New Roman" w:hAnsi="Times New Roman" w:cs="Times New Roman"/>
          <w:color w:val="000000"/>
          <w:spacing w:val="0"/>
          <w:w w:val="100"/>
          <w:position w:val="0"/>
          <w:shd w:val="clear" w:color="auto" w:fill="auto"/>
          <w:lang w:val="hr-HR" w:eastAsia="hr-HR" w:bidi="hr-HR"/>
        </w:rPr>
        <w:t xml:space="preserve"> je s obzi</w:t>
        <w:softHyphen/>
        <w:t xml:space="preserve">rom na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sljedećim riječima pokušao opisati rabinske pokušaje obnove: »Radilo se o tome da se riječi Svetoga pisma dadne ona elastičnost koja je bila potrebna kako u novoj, izvorno potpuno različitoj političkoj i socijal</w:t>
        <w:softHyphen/>
        <w:t>noj situaciji ne bi bilo bezduhovnoga vodstva. Radilo se o tome da se riječ Biblije putem vre</w:t>
        <w:softHyphen/>
        <w:t>menu primjerenoga tumačenja uvijek iznova stječe u svom načelnom i neprestanom</w:t>
      </w:r>
    </w:p>
    <w:p>
      <w:pPr>
        <w:pStyle w:val="Style20"/>
        <w:keepNext w:val="0"/>
        <w:keepLines w:val="0"/>
        <w:widowControl w:val="0"/>
        <w:shd w:val="clear" w:color="auto" w:fill="auto"/>
        <w:tabs>
          <w:tab w:pos="2525" w:val="left"/>
        </w:tabs>
        <w:bidi w:val="0"/>
        <w:spacing w:before="0" w:after="240" w:line="283" w:lineRule="auto"/>
        <w:ind w:left="0" w:right="0" w:firstLine="0"/>
        <w:jc w:val="left"/>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važenju« (Hans-Jochen Gamm,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Judentums- kunde,</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Miinchen/Frankfurt a.M. ’1961, 25). </w:t>
      </w:r>
      <w:r>
        <w:rPr>
          <w:rFonts w:ascii="Arial" w:eastAsia="Arial" w:hAnsi="Arial" w:cs="Arial"/>
          <w:color w:val="000000"/>
          <w:spacing w:val="0"/>
          <w:w w:val="100"/>
          <w:position w:val="0"/>
          <w:sz w:val="12"/>
          <w:szCs w:val="12"/>
          <w:shd w:val="clear" w:color="auto" w:fill="auto"/>
          <w:lang w:val="en-US" w:eastAsia="en-US" w:bidi="en-US"/>
        </w:rPr>
        <w:t xml:space="preserve">Lit.: Ignaz </w:t>
      </w:r>
      <w:r>
        <w:rPr>
          <w:rFonts w:ascii="Arial" w:eastAsia="Arial" w:hAnsi="Arial" w:cs="Arial"/>
          <w:color w:val="000000"/>
          <w:spacing w:val="0"/>
          <w:w w:val="100"/>
          <w:position w:val="0"/>
          <w:sz w:val="12"/>
          <w:szCs w:val="12"/>
          <w:shd w:val="clear" w:color="auto" w:fill="auto"/>
          <w:lang w:val="hr-HR" w:eastAsia="hr-HR" w:bidi="hr-HR"/>
        </w:rPr>
        <w:t xml:space="preserve">Goldzieher. </w:t>
      </w:r>
      <w:r>
        <w:rPr>
          <w:rFonts w:ascii="Arial" w:eastAsia="Arial" w:hAnsi="Arial" w:cs="Arial"/>
          <w:color w:val="000000"/>
          <w:spacing w:val="0"/>
          <w:w w:val="100"/>
          <w:position w:val="0"/>
          <w:sz w:val="12"/>
          <w:szCs w:val="12"/>
          <w:shd w:val="clear" w:color="auto" w:fill="auto"/>
          <w:lang w:val="en-US" w:eastAsia="en-US" w:bidi="en-US"/>
        </w:rPr>
        <w:t xml:space="preserve">Die </w:t>
      </w:r>
      <w:r>
        <w:rPr>
          <w:rFonts w:ascii="Arial" w:eastAsia="Arial" w:hAnsi="Arial" w:cs="Arial"/>
          <w:i/>
          <w:iCs/>
          <w:color w:val="000000"/>
          <w:spacing w:val="0"/>
          <w:w w:val="100"/>
          <w:position w:val="0"/>
          <w:sz w:val="12"/>
          <w:szCs w:val="12"/>
          <w:shd w:val="clear" w:color="auto" w:fill="auto"/>
          <w:lang w:val="hr-HR" w:eastAsia="hr-HR" w:bidi="hr-HR"/>
        </w:rPr>
        <w:t>Richtungen dcr islumischcn Ko- ranauslegung,</w:t>
      </w:r>
      <w:r>
        <w:rPr>
          <w:rFonts w:ascii="Arial" w:eastAsia="Arial" w:hAnsi="Arial" w:cs="Arial"/>
          <w:color w:val="000000"/>
          <w:spacing w:val="0"/>
          <w:w w:val="100"/>
          <w:position w:val="0"/>
          <w:sz w:val="12"/>
          <w:szCs w:val="12"/>
          <w:shd w:val="clear" w:color="auto" w:fill="auto"/>
          <w:lang w:val="hr-HR" w:eastAsia="hr-HR" w:bidi="hr-HR"/>
        </w:rPr>
        <w:t xml:space="preserve"> 1920.</w:t>
        <w:tab/>
        <w:t>S. L3AL1Ć</w:t>
      </w:r>
    </w:p>
    <w:p>
      <w:pPr>
        <w:pStyle w:val="Style33"/>
        <w:keepNext w:val="0"/>
        <w:keepLines w:val="0"/>
        <w:widowControl w:val="0"/>
        <w:shd w:val="clear" w:color="auto" w:fill="auto"/>
        <w:bidi w:val="0"/>
        <w:spacing w:before="0" w:after="2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EKSTAZA MISTIKA</w:t>
      </w:r>
    </w:p>
    <w:p>
      <w:pPr>
        <w:pStyle w:val="Style33"/>
        <w:keepNext w:val="0"/>
        <w:keepLines w:val="0"/>
        <w:widowControl w:val="0"/>
        <w:shd w:val="clear" w:color="auto" w:fill="auto"/>
        <w:bidi w:val="0"/>
        <w:spacing w:before="0" w:after="140" w:line="221"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EKUMENA (EKUMENIZAM)</w:t>
      </w:r>
    </w:p>
    <w:p>
      <w:pPr>
        <w:pStyle w:val="Style63"/>
        <w:keepNext/>
        <w:keepLines/>
        <w:widowControl w:val="0"/>
        <w:numPr>
          <w:ilvl w:val="0"/>
          <w:numId w:val="127"/>
        </w:numPr>
        <w:shd w:val="clear" w:color="auto" w:fill="auto"/>
        <w:tabs>
          <w:tab w:pos="250" w:val="left"/>
        </w:tabs>
        <w:bidi w:val="0"/>
        <w:spacing w:before="0"/>
        <w:ind w:left="0" w:right="0" w:firstLine="0"/>
        <w:jc w:val="left"/>
      </w:pPr>
      <w:bookmarkStart w:id="93" w:name="bookmark93"/>
      <w:r>
        <w:rPr>
          <w:rFonts w:ascii="Times New Roman" w:eastAsia="Times New Roman" w:hAnsi="Times New Roman" w:cs="Times New Roman"/>
          <w:color w:val="000000"/>
          <w:spacing w:val="0"/>
          <w:w w:val="100"/>
          <w:position w:val="0"/>
          <w:shd w:val="clear" w:color="auto" w:fill="auto"/>
          <w:lang w:val="hr-HR" w:eastAsia="hr-HR" w:bidi="hr-HR"/>
        </w:rPr>
        <w:t>židovski</w:t>
      </w:r>
      <w:bookmarkEnd w:id="93"/>
    </w:p>
    <w:p>
      <w:pPr>
        <w:pStyle w:val="Style20"/>
        <w:keepNext w:val="0"/>
        <w:keepLines w:val="0"/>
        <w:widowControl w:val="0"/>
        <w:numPr>
          <w:ilvl w:val="0"/>
          <w:numId w:val="129"/>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Židovstvo povezano s tradicijom odobrava partikularizam kao Bogom danu stvarnost. No nipošto ga ne smatraju standardom. To razjašnjava konfrontaciju dviju riječi iz tal</w:t>
        <w:softHyphen/>
        <w:t>mudskoga doba: »Rabanani su poučavali: Ako tko u sadašnjici želi biti prozelit, kaže mu se ovo: ‘Što si vidio da želiš prijeći k njima? Pa, zar ne znaš da Izraelce u sadašnjici muče, poguravaju, ponižavaju i protjeruju te da ih pogađaju nevolje?« Ako on kaže: ‘Znam i ni</w:t>
        <w:softHyphen/>
        <w:t>sam dostojan’, odmah ga se prihvaća i upo</w:t>
        <w:softHyphen/>
        <w:t>znaje s nekim lakšim i nekim strožim zapo</w:t>
        <w:softHyphen/>
        <w:t>vijedima« (b Jabmut 47a). Ovdje se židovska zajednica opredjeljuje za svoj posebni iden</w:t>
        <w:softHyphen/>
        <w:t>titet znajući da Božje izabranje obuhvaća i nji</w:t>
        <w:softHyphen/>
        <w:t>hovu nevolju i ponižavanje. Naprotiv, midraš naglašava univerzalni vid kad propovijeda o vratima Božjim koja su otvorena za sve ljude: »Sveti, blagoslovljen bio, ne proglašava nijed</w:t>
        <w:softHyphen/>
        <w:t xml:space="preserve">no biće nedostojnim, već prihvaća sve. Vrata su otvorena u svako doba, i tko traži da uđe, ući će. 1 tako govori On (Iz 26,2: ‘Otvorite vrata! Nek uđe narod pravedni </w:t>
      </w:r>
      <w:r>
        <w:rPr>
          <w:rFonts w:ascii="Times New Roman" w:eastAsia="Times New Roman" w:hAnsi="Times New Roman" w:cs="Times New Roman"/>
          <w:i/>
          <w:iCs/>
          <w:color w:val="000000"/>
          <w:spacing w:val="0"/>
          <w:w w:val="100"/>
          <w:position w:val="0"/>
          <w:shd w:val="clear" w:color="auto" w:fill="auto"/>
          <w:lang w:val="hr-HR" w:eastAsia="hr-HR" w:bidi="hr-HR"/>
        </w:rPr>
        <w:t>(goj cadik)</w:t>
      </w:r>
      <w:r>
        <w:rPr>
          <w:rFonts w:ascii="Times New Roman" w:eastAsia="Times New Roman" w:hAnsi="Times New Roman" w:cs="Times New Roman"/>
          <w:color w:val="000000"/>
          <w:spacing w:val="0"/>
          <w:w w:val="100"/>
          <w:position w:val="0"/>
          <w:shd w:val="clear" w:color="auto" w:fill="auto"/>
          <w:lang w:val="hr-HR" w:eastAsia="hr-HR" w:bidi="hr-HR"/>
        </w:rPr>
        <w:t xml:space="preserve"> koji čuva vjernost.’ Ovdje nije rečeno: Nek sveće</w:t>
        <w:softHyphen/>
        <w:t xml:space="preserve">nici uđu, nek leviti udu, nek Izraelci uđu, već je rečeno: Nek ude </w:t>
      </w:r>
      <w:r>
        <w:rPr>
          <w:rFonts w:ascii="Times New Roman" w:eastAsia="Times New Roman" w:hAnsi="Times New Roman" w:cs="Times New Roman"/>
          <w:i/>
          <w:iCs/>
          <w:color w:val="000000"/>
          <w:spacing w:val="0"/>
          <w:w w:val="100"/>
          <w:position w:val="0"/>
          <w:shd w:val="clear" w:color="auto" w:fill="auto"/>
          <w:lang w:val="hr-HR" w:eastAsia="hr-HR" w:bidi="hr-HR"/>
        </w:rPr>
        <w:t>goj cadik«</w:t>
      </w:r>
      <w:r>
        <w:rPr>
          <w:rFonts w:ascii="Times New Roman" w:eastAsia="Times New Roman" w:hAnsi="Times New Roman" w:cs="Times New Roman"/>
          <w:color w:val="000000"/>
          <w:spacing w:val="0"/>
          <w:w w:val="100"/>
          <w:position w:val="0"/>
          <w:shd w:val="clear" w:color="auto" w:fill="auto"/>
          <w:lang w:val="hr-HR" w:eastAsia="hr-HR" w:bidi="hr-HR"/>
        </w:rPr>
        <w:t xml:space="preserve"> (Šemot raba XIX,12,43 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18,5; usp. Bava kama 38a;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3a;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59a). U razgo</w:t>
        <w:softHyphen/>
        <w:t>voru s cvangeličkim stručnjakom za Novi za</w:t>
        <w:softHyphen/>
        <w:t xml:space="preserve">vjet, Karlom </w:t>
      </w:r>
      <w:r>
        <w:rPr>
          <w:rFonts w:ascii="Times New Roman" w:eastAsia="Times New Roman" w:hAnsi="Times New Roman" w:cs="Times New Roman"/>
          <w:color w:val="000000"/>
          <w:spacing w:val="0"/>
          <w:w w:val="100"/>
          <w:position w:val="0"/>
          <w:shd w:val="clear" w:color="auto" w:fill="auto"/>
          <w:lang w:val="en-US" w:eastAsia="en-US" w:bidi="en-US"/>
        </w:rPr>
        <w:t xml:space="preserve">Ludwigom </w:t>
      </w:r>
      <w:r>
        <w:rPr>
          <w:rFonts w:ascii="Times New Roman" w:eastAsia="Times New Roman" w:hAnsi="Times New Roman" w:cs="Times New Roman"/>
          <w:color w:val="000000"/>
          <w:spacing w:val="0"/>
          <w:w w:val="100"/>
          <w:position w:val="0"/>
          <w:shd w:val="clear" w:color="auto" w:fill="auto"/>
          <w:lang w:val="hr-HR" w:eastAsia="hr-HR" w:bidi="hr-HR"/>
        </w:rPr>
        <w:t>Schmidtom, 14. siječ</w:t>
        <w:softHyphen/>
        <w:t xml:space="preserve">nja 1933. u židovskom učilištu u Stultgartu,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je zaključio: »Kršćanin ne treba proći kroz židovstvo niti Židov kroz kršćan</w:t>
        <w:softHyphen/>
        <w:t xml:space="preserve">stvo kako bi dospio k Bogu«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Stunde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Erkenntnis. Reden </w:t>
      </w:r>
      <w:r>
        <w:rPr>
          <w:rFonts w:ascii="Times New Roman" w:eastAsia="Times New Roman" w:hAnsi="Times New Roman" w:cs="Times New Roman"/>
          <w:i/>
          <w:iCs/>
          <w:color w:val="000000"/>
          <w:spacing w:val="0"/>
          <w:w w:val="100"/>
          <w:position w:val="0"/>
          <w:shd w:val="clear" w:color="auto" w:fill="auto"/>
          <w:lang w:val="hr-HR" w:eastAsia="hr-HR" w:bidi="hr-HR"/>
        </w:rPr>
        <w:t>und Aufsdtze,</w:t>
      </w:r>
      <w:r>
        <w:rPr>
          <w:rFonts w:ascii="Times New Roman" w:eastAsia="Times New Roman" w:hAnsi="Times New Roman" w:cs="Times New Roman"/>
          <w:color w:val="000000"/>
          <w:spacing w:val="0"/>
          <w:w w:val="100"/>
          <w:position w:val="0"/>
          <w:shd w:val="clear" w:color="auto" w:fill="auto"/>
          <w:lang w:val="hr-HR" w:eastAsia="hr-HR" w:bidi="hr-HR"/>
        </w:rPr>
        <w:t xml:space="preserve"> 1933-35, 1936, 167). Taj pravac u sadašnjem židovsko- kršćanskom dijalogu zastupa i jeruzalemski bibličar Šemarjahu Talmon. On se boji da »neposredni univerzalizam koji se temelji na uzvišenoj viziji ujedinjenog čovječanstva... može lako izazvati prezir pojedinaca ili skupina koji </w:t>
      </w:r>
      <w:r>
        <w:rPr>
          <w:rFonts w:ascii="Times New Roman" w:eastAsia="Times New Roman" w:hAnsi="Times New Roman" w:cs="Times New Roman"/>
          <w:color w:val="000000"/>
          <w:spacing w:val="0"/>
          <w:w w:val="100"/>
          <w:position w:val="0"/>
          <w:shd w:val="clear" w:color="auto" w:fill="auto"/>
          <w:lang w:val="hr-HR" w:eastAsia="hr-HR" w:bidi="hr-HR"/>
        </w:rPr>
        <w:t xml:space="preserve">nisu vidjeli svjetlost«...«Budući da se ta vrsta univerzalizma shvaća kao jedini legitimni put prema spasenju čovječanstva - </w:t>
      </w:r>
      <w:r>
        <w:rPr>
          <w:rFonts w:ascii="Times New Roman" w:eastAsia="Times New Roman" w:hAnsi="Times New Roman" w:cs="Times New Roman"/>
          <w:i/>
          <w:iCs/>
          <w:color w:val="000000"/>
          <w:spacing w:val="0"/>
          <w:w w:val="100"/>
          <w:position w:val="0"/>
          <w:shd w:val="clear" w:color="auto" w:fill="auto"/>
          <w:lang w:val="en-US" w:eastAsia="en-US" w:bidi="en-US"/>
        </w:rPr>
        <w:t xml:space="preserve">nulla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salus </w:t>
      </w:r>
      <w:r>
        <w:rPr>
          <w:rFonts w:ascii="Times New Roman" w:eastAsia="Times New Roman" w:hAnsi="Times New Roman" w:cs="Times New Roman"/>
          <w:i/>
          <w:iCs/>
          <w:color w:val="000000"/>
          <w:spacing w:val="0"/>
          <w:w w:val="100"/>
          <w:position w:val="0"/>
          <w:shd w:val="clear" w:color="auto" w:fill="auto"/>
          <w:lang w:val="en-US" w:eastAsia="en-US" w:bidi="en-US"/>
        </w:rPr>
        <w:t>ex</w:t>
        <w:softHyphen/>
        <w:t xml:space="preserve">tra </w:t>
      </w:r>
      <w:r>
        <w:rPr>
          <w:rFonts w:ascii="Times New Roman" w:eastAsia="Times New Roman" w:hAnsi="Times New Roman" w:cs="Times New Roman"/>
          <w:i/>
          <w:iCs/>
          <w:color w:val="000000"/>
          <w:spacing w:val="0"/>
          <w:w w:val="100"/>
          <w:position w:val="0"/>
          <w:shd w:val="clear" w:color="auto" w:fill="auto"/>
          <w:lang w:val="hr-HR" w:eastAsia="hr-HR" w:bidi="hr-HR"/>
        </w:rPr>
        <w:t>ecclesiam -</w:t>
      </w:r>
      <w:r>
        <w:rPr>
          <w:rFonts w:ascii="Times New Roman" w:eastAsia="Times New Roman" w:hAnsi="Times New Roman" w:cs="Times New Roman"/>
          <w:color w:val="000000"/>
          <w:spacing w:val="0"/>
          <w:w w:val="100"/>
          <w:position w:val="0"/>
          <w:shd w:val="clear" w:color="auto" w:fill="auto"/>
          <w:lang w:val="hr-HR" w:eastAsia="hr-HR" w:bidi="hr-HR"/>
        </w:rPr>
        <w:t xml:space="preserve"> njegovi će se pobornici sma</w:t>
        <w:softHyphen/>
        <w:t>trati ovlaštenima, čak određenima, za prim</w:t>
        <w:softHyphen/>
        <w:t>jenu ne samo misionarskog nagovaranja nego grube prisile kako bi nepokorenima namet</w:t>
        <w:softHyphen/>
        <w:t>nuli taj univerzalizam.« Svoje razlaganje ži</w:t>
        <w:softHyphen/>
        <w:t>dovskoga poimanja univerzalizma Talmon za</w:t>
        <w:softHyphen/>
        <w:t xml:space="preserve">ključuje ovako: »Židovstvo narodima obećava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salus </w:t>
      </w:r>
      <w:r>
        <w:rPr>
          <w:rFonts w:ascii="Times New Roman" w:eastAsia="Times New Roman" w:hAnsi="Times New Roman" w:cs="Times New Roman"/>
          <w:i/>
          <w:iCs/>
          <w:color w:val="000000"/>
          <w:spacing w:val="0"/>
          <w:w w:val="100"/>
          <w:position w:val="0"/>
          <w:shd w:val="clear" w:color="auto" w:fill="auto"/>
          <w:lang w:val="en-US" w:eastAsia="en-US" w:bidi="en-US"/>
        </w:rPr>
        <w:t>extra synagogam«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(Partikularismus und Universalismus aus jiidischer Sicht,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Freibur- ger </w:t>
      </w:r>
      <w:r>
        <w:rPr>
          <w:rFonts w:ascii="Times New Roman" w:eastAsia="Times New Roman" w:hAnsi="Times New Roman" w:cs="Times New Roman"/>
          <w:i/>
          <w:iCs/>
          <w:color w:val="000000"/>
          <w:spacing w:val="0"/>
          <w:w w:val="100"/>
          <w:position w:val="0"/>
          <w:shd w:val="clear" w:color="auto" w:fill="auto"/>
          <w:lang w:val="en-US" w:eastAsia="en-US" w:bidi="en-US"/>
        </w:rPr>
        <w:t>Rundbrief XXVLII,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1976, 33-36, 33.35).</w:t>
      </w:r>
    </w:p>
    <w:p>
      <w:pPr>
        <w:pStyle w:val="Style20"/>
        <w:keepNext w:val="0"/>
        <w:keepLines w:val="0"/>
        <w:widowControl w:val="0"/>
        <w:numPr>
          <w:ilvl w:val="0"/>
          <w:numId w:val="129"/>
        </w:numPr>
        <w:shd w:val="clear" w:color="auto" w:fill="auto"/>
        <w:tabs>
          <w:tab w:pos="265" w:val="left"/>
        </w:tabs>
        <w:bidi w:val="0"/>
        <w:spacing w:before="0" w:after="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Struktura židovstva ne traži susret s krš</w:t>
        <w:softHyphen/>
        <w:t>ćanstvom. Ortodoksni židovski teolozi ustru</w:t>
        <w:softHyphen/>
        <w:t>čavaju se ući u međureligijski dijalog u vezi s pitanjem o posljednjoj istini što ga stalno po</w:t>
        <w:softHyphen/>
        <w:t>stavljaju kršćani; oni odbijaju svaku raspravu o osobnim vjerskim obvezama s rabinom Jo- sephom B. Soloveitchikom. U tome se slažu i s neortodoksnim židovskim učenjacima koji zagovaraju razgovor s kršćanima. Prema Abra- hamu Joshui Heschelu tumačenje unutarnje</w:t>
        <w:softHyphen/>
        <w:t>ga vjerskog života nipošto ne svjedoči reli</w:t>
        <w:softHyphen/>
        <w:t>gijsku autentičnost i vjerodostojnost: »Izrael</w:t>
        <w:softHyphen/>
        <w:t>ska zajednica mora uvijek biti svjesna svoje osamljenosti i jedinstvenosti svoje egzisten</w:t>
        <w:softHyphen/>
        <w:t xml:space="preserve">cije« </w:t>
      </w:r>
      <w:r>
        <w:rPr>
          <w:rFonts w:ascii="Times New Roman" w:eastAsia="Times New Roman" w:hAnsi="Times New Roman" w:cs="Times New Roman"/>
          <w:color w:val="000000"/>
          <w:spacing w:val="0"/>
          <w:w w:val="100"/>
          <w:position w:val="0"/>
          <w:shd w:val="clear" w:color="auto" w:fill="auto"/>
          <w:lang w:val="en-US" w:eastAsia="en-US" w:bidi="en-US"/>
        </w:rPr>
        <w:t xml:space="preserve">(No Religion is an </w:t>
      </w:r>
      <w:r>
        <w:rPr>
          <w:rFonts w:ascii="Times New Roman" w:eastAsia="Times New Roman" w:hAnsi="Times New Roman" w:cs="Times New Roman"/>
          <w:color w:val="000000"/>
          <w:spacing w:val="0"/>
          <w:w w:val="100"/>
          <w:position w:val="0"/>
          <w:shd w:val="clear" w:color="auto" w:fill="auto"/>
          <w:lang w:val="hr-HR" w:eastAsia="hr-HR" w:bidi="hr-HR"/>
        </w:rPr>
        <w:t xml:space="preserve">Island, u: </w:t>
      </w:r>
      <w:r>
        <w:rPr>
          <w:rFonts w:ascii="Times New Roman" w:eastAsia="Times New Roman" w:hAnsi="Times New Roman" w:cs="Times New Roman"/>
          <w:i/>
          <w:iCs/>
          <w:color w:val="000000"/>
          <w:spacing w:val="0"/>
          <w:w w:val="100"/>
          <w:position w:val="0"/>
          <w:shd w:val="clear" w:color="auto" w:fill="auto"/>
          <w:lang w:val="en-US" w:eastAsia="en-US" w:bidi="en-US"/>
        </w:rPr>
        <w:t>Union Semi</w:t>
        <w:softHyphen/>
        <w:t>nary Quarterly Review,</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siječanj </w:t>
      </w:r>
      <w:r>
        <w:rPr>
          <w:rFonts w:ascii="Times New Roman" w:eastAsia="Times New Roman" w:hAnsi="Times New Roman" w:cs="Times New Roman"/>
          <w:color w:val="000000"/>
          <w:spacing w:val="0"/>
          <w:w w:val="100"/>
          <w:position w:val="0"/>
          <w:shd w:val="clear" w:color="auto" w:fill="auto"/>
          <w:lang w:val="en-US" w:eastAsia="en-US" w:bidi="en-US"/>
        </w:rPr>
        <w:t xml:space="preserve">1966, 119). </w:t>
      </w: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 xml:space="preserve">Heschelovu </w:t>
      </w:r>
      <w:r>
        <w:rPr>
          <w:rFonts w:ascii="Times New Roman" w:eastAsia="Times New Roman" w:hAnsi="Times New Roman" w:cs="Times New Roman"/>
          <w:color w:val="000000"/>
          <w:spacing w:val="0"/>
          <w:w w:val="100"/>
          <w:position w:val="0"/>
          <w:shd w:val="clear" w:color="auto" w:fill="auto"/>
          <w:lang w:val="hr-HR" w:eastAsia="hr-HR" w:bidi="hr-HR"/>
        </w:rPr>
        <w:t>sudu, Židove u traženju dijaloga s kršćanima ne motivira pitanje is</w:t>
        <w:softHyphen/>
        <w:t>tine, pa radi toga prije potiču na »uvjete na kojima počivaju obje religije, naime, na posto</w:t>
        <w:softHyphen/>
        <w:t>janje zanosa, božanske stvarnosti koja se bri</w:t>
        <w:softHyphen/>
        <w:t>ne za ljudsku sudbinu, koja na tajanstven na</w:t>
        <w:softHyphen/>
        <w:t>čin utječe na povijest; krajnje je pitanje da li se suočavamo s pozivom i očekivanjem živoga Boga mrtvi ili živi« (op. cit., 118). Premda Ži</w:t>
        <w:softHyphen/>
        <w:t>dovi i kršćani moraju dati različite odgovore na osnovna pitanja svoje vjere, njihov sasta</w:t>
        <w:softHyphen/>
        <w:t>nak bit će moguć i potreban kad jedni i drugi priznaju da Bogu podnose račun te da žive od njegove skrbi i vjernosti. No Židovi nisu sklo</w:t>
        <w:softHyphen/>
        <w:t>ni međureligijskoj raspravi o teološkim pro</w:t>
        <w:softHyphen/>
        <w:t>blemima samo zato što »svaka vjeroispovi</w:t>
        <w:softHyphen/>
        <w:t>jest... gradi vlastite pojmove iz obilja svojih iskustava i na vlastiti način« i stoga su »od</w:t>
        <w:softHyphen/>
        <w:t>govarajući pojmovi drugih vjera... s tim ne</w:t>
        <w:softHyphen/>
        <w:t xml:space="preserve">spojivi« (Jakob B. </w:t>
      </w:r>
      <w:r>
        <w:rPr>
          <w:rFonts w:ascii="Times New Roman" w:eastAsia="Times New Roman" w:hAnsi="Times New Roman" w:cs="Times New Roman"/>
          <w:color w:val="000000"/>
          <w:spacing w:val="0"/>
          <w:w w:val="100"/>
          <w:position w:val="0"/>
          <w:shd w:val="clear" w:color="auto" w:fill="auto"/>
          <w:lang w:val="en-US" w:eastAsia="en-US" w:bidi="en-US"/>
        </w:rPr>
        <w:t xml:space="preserve">Agus, Response to Father Danielou’s Dialogue with Israel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Dialogue and Tradition,</w:t>
      </w:r>
      <w:r>
        <w:rPr>
          <w:rFonts w:ascii="Times New Roman" w:eastAsia="Times New Roman" w:hAnsi="Times New Roman" w:cs="Times New Roman"/>
          <w:color w:val="000000"/>
          <w:spacing w:val="0"/>
          <w:w w:val="100"/>
          <w:position w:val="0"/>
          <w:shd w:val="clear" w:color="auto" w:fill="auto"/>
          <w:lang w:val="en-US" w:eastAsia="en-US" w:bidi="en-US"/>
        </w:rPr>
        <w:t xml:space="preserve"> 1971, 123); </w:t>
      </w:r>
      <w:r>
        <w:rPr>
          <w:rFonts w:ascii="Times New Roman" w:eastAsia="Times New Roman" w:hAnsi="Times New Roman" w:cs="Times New Roman"/>
          <w:color w:val="000000"/>
          <w:spacing w:val="0"/>
          <w:w w:val="100"/>
          <w:position w:val="0"/>
          <w:shd w:val="clear" w:color="auto" w:fill="auto"/>
          <w:lang w:val="hr-HR" w:eastAsia="hr-HR" w:bidi="hr-HR"/>
        </w:rPr>
        <w:t>protivljenje se ob</w:t>
        <w:softHyphen/>
        <w:t>jašnjava samo dijelom i povijesno utemelje</w:t>
        <w:softHyphen/>
      </w:r>
      <w:r>
        <w:rPr>
          <w:rFonts w:ascii="Times New Roman" w:eastAsia="Times New Roman" w:hAnsi="Times New Roman" w:cs="Times New Roman"/>
          <w:color w:val="000000"/>
          <w:spacing w:val="0"/>
          <w:w w:val="100"/>
          <w:position w:val="0"/>
          <w:shd w:val="clear" w:color="auto" w:fill="auto"/>
          <w:lang w:val="hr-HR" w:eastAsia="hr-HR" w:bidi="hr-HR"/>
        </w:rPr>
        <w:t>nim nepovjerenjem zbog toga što unatoč svim uvjeravanjima kršćanski sugovornici ne pro</w:t>
        <w:softHyphen/>
        <w:t>puštaju priliku za misionarstvo. Presudni uzrok židovske suzdržanosti u medureligijskom teo</w:t>
        <w:softHyphen/>
        <w:t xml:space="preserve">loškom razgovoru leži u biblijsko-talmudsko usađenom strahu od teološki-pojmovnog shvaćanja odnosa židovskoga naroda s Bogom (Izl 33,12-23, usp. b Berahot 7a; Roš ha-šana 17b; Šemot raba XXIII,15,1; XLV,33,12; Silra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 Šifre Br 12,8). Budući da židovstvo nije razradilo usporednu tradiciju kršćanske sustavne teologije, njegova je međureligijska spremnost za teološki dijalog mala: »Židov</w:t>
        <w:softHyphen/>
        <w:t>stvo nije svoju stvaralačku energiju upregnuto u teološke pothvate, u ona područja koja otkrivaju Božje lice. Štoviše, ono je svoju spo</w:t>
        <w:softHyphen/>
        <w:t>sobnost predočavanja usmjerilo na tragove koje Božja prisutnost ostavlja u ljudskoj povi</w:t>
        <w:softHyphen/>
        <w:t>jesti. U toj je zadaći halaha (pravila za način židovskoga života) pouzdaniji vodič od teolo</w:t>
        <w:softHyphen/>
        <w:t xml:space="preserve">gije« </w:t>
      </w:r>
      <w:r>
        <w:rPr>
          <w:rFonts w:ascii="Times New Roman" w:eastAsia="Times New Roman" w:hAnsi="Times New Roman" w:cs="Times New Roman"/>
          <w:color w:val="000000"/>
          <w:spacing w:val="0"/>
          <w:w w:val="100"/>
          <w:position w:val="0"/>
          <w:shd w:val="clear" w:color="auto" w:fill="auto"/>
          <w:lang w:val="en-US" w:eastAsia="en-US" w:bidi="en-US"/>
        </w:rPr>
        <w:t xml:space="preserve">(Henry </w:t>
      </w:r>
      <w:r>
        <w:rPr>
          <w:rFonts w:ascii="Times New Roman" w:eastAsia="Times New Roman" w:hAnsi="Times New Roman" w:cs="Times New Roman"/>
          <w:color w:val="000000"/>
          <w:spacing w:val="0"/>
          <w:w w:val="100"/>
          <w:position w:val="0"/>
          <w:shd w:val="clear" w:color="auto" w:fill="auto"/>
          <w:lang w:val="hr-HR" w:eastAsia="hr-HR" w:bidi="hr-HR"/>
        </w:rPr>
        <w:t>Siegman, izvršni potpredsjednik Sinagogalnoga vijeća Amerike, u govoru pred katoličko-židovskim Odborom za vezu u Jeru</w:t>
        <w:softHyphen/>
        <w:t xml:space="preserve">zalemu u ožujku 1976, usp.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Freiburger Rund- </w:t>
      </w:r>
      <w:r>
        <w:rPr>
          <w:rFonts w:ascii="Times New Roman" w:eastAsia="Times New Roman" w:hAnsi="Times New Roman" w:cs="Times New Roman"/>
          <w:color w:val="000000"/>
          <w:spacing w:val="0"/>
          <w:w w:val="100"/>
          <w:position w:val="0"/>
          <w:shd w:val="clear" w:color="auto" w:fill="auto"/>
          <w:lang w:val="en-US" w:eastAsia="en-US" w:bidi="en-US"/>
        </w:rPr>
        <w:t xml:space="preserve">brief </w:t>
      </w:r>
      <w:r>
        <w:rPr>
          <w:rFonts w:ascii="Times New Roman" w:eastAsia="Times New Roman" w:hAnsi="Times New Roman" w:cs="Times New Roman"/>
          <w:color w:val="000000"/>
          <w:spacing w:val="0"/>
          <w:w w:val="100"/>
          <w:position w:val="0"/>
          <w:shd w:val="clear" w:color="auto" w:fill="auto"/>
          <w:lang w:val="hr-HR" w:eastAsia="hr-HR" w:bidi="hr-HR"/>
        </w:rPr>
        <w:t>XXVIII, 1976, 3-11,5).</w:t>
      </w:r>
    </w:p>
    <w:p>
      <w:pPr>
        <w:pStyle w:val="Style20"/>
        <w:keepNext w:val="0"/>
        <w:keepLines w:val="0"/>
        <w:widowControl w:val="0"/>
        <w:numPr>
          <w:ilvl w:val="0"/>
          <w:numId w:val="129"/>
        </w:numPr>
        <w:shd w:val="clear" w:color="auto" w:fill="auto"/>
        <w:tabs>
          <w:tab w:pos="265" w:val="left"/>
        </w:tabs>
        <w:bidi w:val="0"/>
        <w:spacing w:before="0" w:after="0" w:line="257" w:lineRule="auto"/>
        <w:ind w:left="0" w:right="0" w:firstLine="0"/>
        <w:jc w:val="both"/>
        <w:sectPr>
          <w:footnotePr>
            <w:pos w:val="pageBottom"/>
            <w:numFmt w:val="decimal"/>
            <w:numStart w:val="5"/>
            <w:numRestart w:val="continuous"/>
            <w15:footnoteColumns w:val="1"/>
          </w:footnotePr>
          <w:type w:val="continuous"/>
          <w:pgSz w:w="6816" w:h="11006"/>
          <w:pgMar w:top="758" w:left="186" w:right="188" w:bottom="384" w:header="0" w:footer="3" w:gutter="0"/>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Povijesna razmišljanja bude egzistencijalno zanimanje Židova za razgovor s kršćanima. Višestoljetnim kršćansko-židovskim »vezama« vladao je prije svega odnos »supstitucije spa- senjske povijesti«, u kojem se kršćani vide su</w:t>
        <w:softHyphen/>
        <w:t>protstavljeni Židovima; to ih je sprečavalo da Židove doista prihvate kao partnere ili protiv</w:t>
        <w:softHyphen/>
        <w:t>nike i zavelo ih da umjesto toga Židove stave u zastarjelu spasenjsko-povijesnu pretpostav</w:t>
        <w:softHyphen/>
        <w:t xml:space="preserve">ku. Židovi su proživjeli povijest u kojoj su kršćanski nauk i propovijedanje te kršćansko djelovanje u njima kao ljudima rušili njihovo dostojanstvo i prisiljavali ih na mučeništvo: </w:t>
      </w:r>
      <w:r>
        <w:rPr>
          <w:rFonts w:ascii="Times New Roman" w:eastAsia="Times New Roman" w:hAnsi="Times New Roman" w:cs="Times New Roman"/>
          <w:i/>
          <w:iCs/>
          <w:color w:val="000000"/>
          <w:spacing w:val="0"/>
          <w:w w:val="100"/>
          <w:position w:val="0"/>
          <w:shd w:val="clear" w:color="auto" w:fill="auto"/>
          <w:lang w:val="hr-HR" w:eastAsia="hr-HR" w:bidi="hr-HR"/>
        </w:rPr>
        <w:t>Šoa -</w:t>
      </w:r>
      <w:r>
        <w:rPr>
          <w:rFonts w:ascii="Times New Roman" w:eastAsia="Times New Roman" w:hAnsi="Times New Roman" w:cs="Times New Roman"/>
          <w:color w:val="000000"/>
          <w:spacing w:val="0"/>
          <w:w w:val="100"/>
          <w:position w:val="0"/>
          <w:shd w:val="clear" w:color="auto" w:fill="auto"/>
          <w:lang w:val="hr-HR" w:eastAsia="hr-HR" w:bidi="hr-HR"/>
        </w:rPr>
        <w:t xml:space="preserve"> holokaust za vrijeme nacizma - prisutna je u Židova u svakom sučeljavanju s kršća</w:t>
        <w:softHyphen/>
        <w:t>nima. Stoga ih vodi nada da međusobna reli</w:t>
        <w:softHyphen/>
        <w:t>gijska potpora pridonosi otporu protiv sadaš</w:t>
        <w:softHyphen/>
        <w:t>njih i budućih prijetnji životu Židova u svijetu. Povrh toga, još jedan razlog navodi Židove na dijalog s kršćanima: Božje izabranje određuje židovski narod spasenjskim instrumentom za čovječanstvo (Post 12,3); stoga on mora po</w:t>
        <w:softHyphen/>
        <w:t>sebno sudjelovati u životu kršćanskih crkvi, koje na zemlji šire tekst i poruku hebrejske Biblije i s kojima se Izrael zajednički nalazi na spasenjskom putu.</w:t>
      </w:r>
    </w:p>
    <w:p>
      <w:pPr>
        <w:pStyle w:val="Style20"/>
        <w:keepNext w:val="0"/>
        <w:keepLines w:val="0"/>
        <w:widowControl w:val="0"/>
        <w:numPr>
          <w:ilvl w:val="0"/>
          <w:numId w:val="129"/>
        </w:numPr>
        <w:shd w:val="clear" w:color="auto" w:fill="auto"/>
        <w:tabs>
          <w:tab w:pos="27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Prihvaćanje kršćansko-židovskoga dijaloga u ekumensku teologiju i širenje unutarnjo- kršćanske, odnosno medukonfcsionalnc eku</w:t>
        <w:softHyphen/>
        <w:t xml:space="preserve">mene, koje iz toga slijedi, kršćansko-židov- skom ekumenom (s tim u vezi H. H. </w:t>
      </w:r>
      <w:r>
        <w:rPr>
          <w:rFonts w:ascii="Times New Roman" w:eastAsia="Times New Roman" w:hAnsi="Times New Roman" w:cs="Times New Roman"/>
          <w:color w:val="000000"/>
          <w:spacing w:val="0"/>
          <w:w w:val="100"/>
          <w:position w:val="0"/>
          <w:shd w:val="clear" w:color="auto" w:fill="auto"/>
          <w:lang w:val="en-US" w:eastAsia="en-US" w:bidi="en-US"/>
        </w:rPr>
        <w:t xml:space="preserve">Henrix, </w:t>
      </w:r>
      <w:r>
        <w:rPr>
          <w:rFonts w:ascii="Times New Roman" w:eastAsia="Times New Roman" w:hAnsi="Times New Roman" w:cs="Times New Roman"/>
          <w:color w:val="000000"/>
          <w:spacing w:val="0"/>
          <w:w w:val="100"/>
          <w:position w:val="0"/>
          <w:shd w:val="clear" w:color="auto" w:fill="auto"/>
          <w:lang w:val="hr-HR" w:eastAsia="hr-HR" w:bidi="hr-HR"/>
        </w:rPr>
        <w:t xml:space="preserve">Okumenische Theologie und Judentum,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Freiburger </w:t>
      </w:r>
      <w:r>
        <w:rPr>
          <w:rFonts w:ascii="Times New Roman" w:eastAsia="Times New Roman" w:hAnsi="Times New Roman" w:cs="Times New Roman"/>
          <w:i/>
          <w:iCs/>
          <w:color w:val="000000"/>
          <w:spacing w:val="0"/>
          <w:w w:val="100"/>
          <w:position w:val="0"/>
          <w:shd w:val="clear" w:color="auto" w:fill="auto"/>
          <w:lang w:val="en-US" w:eastAsia="en-US" w:bidi="en-US"/>
        </w:rPr>
        <w:t>RundbnefXVHl,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1976, 16-27) zna</w:t>
        <w:softHyphen/>
        <w:t xml:space="preserve">či za kršćane ponovno dobivanje biblijsko-me- sijanske ekumene (usp.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B. Mctz, Okumene </w:t>
      </w:r>
      <w:r>
        <w:rPr>
          <w:rFonts w:ascii="Times New Roman" w:eastAsia="Times New Roman" w:hAnsi="Times New Roman" w:cs="Times New Roman"/>
          <w:color w:val="000000"/>
          <w:spacing w:val="0"/>
          <w:w w:val="100"/>
          <w:position w:val="0"/>
          <w:shd w:val="clear" w:color="auto" w:fill="auto"/>
          <w:lang w:val="en-US" w:eastAsia="en-US" w:bidi="en-US"/>
        </w:rPr>
        <w:t xml:space="preserve">nach Auschwitz,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Freibttrger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Rundbrief </w:t>
      </w:r>
      <w:r>
        <w:rPr>
          <w:rFonts w:ascii="Times New Roman" w:eastAsia="Times New Roman" w:hAnsi="Times New Roman" w:cs="Times New Roman"/>
          <w:i/>
          <w:iCs/>
          <w:color w:val="000000"/>
          <w:spacing w:val="0"/>
          <w:w w:val="100"/>
          <w:position w:val="0"/>
          <w:shd w:val="clear" w:color="auto" w:fill="auto"/>
          <w:lang w:val="hr-HR" w:eastAsia="hr-HR" w:bidi="hr-HR"/>
        </w:rPr>
        <w:t xml:space="preserve">XXX, </w:t>
      </w:r>
      <w:r>
        <w:rPr>
          <w:rFonts w:ascii="Times New Roman" w:eastAsia="Times New Roman" w:hAnsi="Times New Roman" w:cs="Times New Roman"/>
          <w:color w:val="000000"/>
          <w:spacing w:val="0"/>
          <w:w w:val="100"/>
          <w:position w:val="0"/>
          <w:shd w:val="clear" w:color="auto" w:fill="auto"/>
          <w:lang w:val="hr-HR" w:eastAsia="hr-HR" w:bidi="hr-HR"/>
        </w:rPr>
        <w:t>1978, 7-13). Potrebna ekumenska svijest mo</w:t>
        <w:softHyphen/>
        <w:t>rala bi razjasniti temeljna pitanja: je li kršćan</w:t>
        <w:softHyphen/>
        <w:t>ska teologija spremna i sposobna priznati me</w:t>
        <w:softHyphen/>
        <w:t>sijansku tradiciju židovstva u njegovu vlastitu dostojanstvu i dopustiti židovskom narodu da u židovskoj povijesti dođe do riječi? Hoće li kršćanskoj teologiji uspjeti potvrditi trajnu za</w:t>
        <w:softHyphen/>
        <w:t>konitost Sinajskoga saveza i time se odreći mi</w:t>
        <w:softHyphen/>
        <w:t>sije nad Židovima u prilog razgovora sa Žido</w:t>
        <w:softHyphen/>
        <w:t>vima, u kojem će kršćani slušati ono što Ži</w:t>
        <w:softHyphen/>
        <w:t>dovi govore o samima sebi? Hoće li kršćanska teologija prihvatiti veze kršćana i Židova radi Boga tako da iskorijeni svako kršćansko ozlo- glašivanje i progon Židova i može li ona za</w:t>
        <w:softHyphen/>
        <w:t>misliti krajnji slučaj samo kao progon koji bi zajednički zadesio Židove i kršćane - kao u počecima kršćanske Crkve? Uzima li kršćan</w:t>
        <w:softHyphen/>
        <w:t>ska teologija ozbiljno činjenicu da za židovski narod zemlja Izrael nije samo politički prob</w:t>
        <w:softHyphen/>
        <w:t>lem, nego da su to sveobuhvatni povijesno- vjcrsko-ctički aspekti - traženje autentičnosti, povratak dijaspore u Jeruzalem, ponovno sje</w:t>
        <w:softHyphen/>
        <w:t>dinjenje sa zemljom, ispunjenje Tore? Židov</w:t>
        <w:softHyphen/>
        <w:t>ski zahtjev postavljen kršćanskoj teologiji da se prihvati valjanost židovstva za Židove po</w:t>
        <w:softHyphen/>
        <w:t>drazumijeva istodobno židovsko ozakonjenje kršćanske teologije.</w:t>
      </w:r>
    </w:p>
    <w:p>
      <w:pPr>
        <w:pStyle w:val="Style56"/>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5 545 i d.; 13, 1250—55; R. Rcndtorff, (Hrsg.), </w:t>
      </w:r>
      <w:r>
        <w:rPr>
          <w:i/>
          <w:iCs/>
          <w:color w:val="000000"/>
          <w:spacing w:val="0"/>
          <w:w w:val="100"/>
          <w:position w:val="0"/>
          <w:shd w:val="clear" w:color="auto" w:fill="auto"/>
        </w:rPr>
        <w:t xml:space="preserve">Christen </w:t>
      </w:r>
      <w:r>
        <w:rPr>
          <w:i/>
          <w:iCs/>
          <w:color w:val="000000"/>
          <w:spacing w:val="0"/>
          <w:w w:val="100"/>
          <w:position w:val="0"/>
          <w:shd w:val="clear" w:color="auto" w:fill="auto"/>
          <w:lang w:val="hr-HR" w:eastAsia="hr-HR" w:bidi="hr-HR"/>
        </w:rPr>
        <w:t xml:space="preserve">und Juden. Zur Studie des </w:t>
      </w:r>
      <w:r>
        <w:rPr>
          <w:i/>
          <w:iCs/>
          <w:color w:val="000000"/>
          <w:spacing w:val="0"/>
          <w:w w:val="100"/>
          <w:position w:val="0"/>
          <w:shd w:val="clear" w:color="auto" w:fill="auto"/>
        </w:rPr>
        <w:t xml:space="preserve">Rales; </w:t>
      </w:r>
      <w:r>
        <w:rPr>
          <w:i/>
          <w:iCs/>
          <w:color w:val="000000"/>
          <w:spacing w:val="0"/>
          <w:w w:val="100"/>
          <w:position w:val="0"/>
          <w:shd w:val="clear" w:color="auto" w:fill="auto"/>
          <w:lang w:val="hr-HR" w:eastAsia="hr-HR" w:bidi="hr-HR"/>
        </w:rPr>
        <w:t xml:space="preserve">der Ev. Kirche </w:t>
      </w:r>
      <w:r>
        <w:rPr>
          <w:i/>
          <w:iCs/>
          <w:color w:val="000000"/>
          <w:spacing w:val="0"/>
          <w:w w:val="100"/>
          <w:position w:val="0"/>
          <w:shd w:val="clear" w:color="auto" w:fill="auto"/>
        </w:rPr>
        <w:t>in Deutschland.</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1979: </w:t>
      </w:r>
      <w:r>
        <w:rPr>
          <w:i/>
          <w:iCs/>
          <w:color w:val="000000"/>
          <w:spacing w:val="0"/>
          <w:w w:val="100"/>
          <w:position w:val="0"/>
          <w:shd w:val="clear" w:color="auto" w:fill="auto"/>
          <w:lang w:val="hr-HR" w:eastAsia="hr-HR" w:bidi="hr-HR"/>
        </w:rPr>
        <w:t xml:space="preserve">Zur Emeuerung des Verhdlmisses </w:t>
      </w:r>
      <w:r>
        <w:rPr>
          <w:i/>
          <w:iCs/>
          <w:color w:val="000000"/>
          <w:spacing w:val="0"/>
          <w:w w:val="100"/>
          <w:position w:val="0"/>
          <w:shd w:val="clear" w:color="auto" w:fill="auto"/>
        </w:rPr>
        <w:t xml:space="preserve">von Christen </w:t>
      </w:r>
      <w:r>
        <w:rPr>
          <w:i/>
          <w:iCs/>
          <w:color w:val="000000"/>
          <w:spacing w:val="0"/>
          <w:w w:val="100"/>
          <w:position w:val="0"/>
          <w:shd w:val="clear" w:color="auto" w:fill="auto"/>
          <w:lang w:val="hr-HR" w:eastAsia="hr-HR" w:bidi="hr-HR"/>
        </w:rPr>
        <w:t xml:space="preserve">und Juden. Handreichung der </w:t>
      </w:r>
      <w:r>
        <w:rPr>
          <w:i/>
          <w:iCs/>
          <w:color w:val="000000"/>
          <w:spacing w:val="0"/>
          <w:w w:val="100"/>
          <w:position w:val="0"/>
          <w:shd w:val="clear" w:color="auto" w:fill="auto"/>
        </w:rPr>
        <w:t xml:space="preserve">Landcssynode </w:t>
      </w:r>
      <w:r>
        <w:rPr>
          <w:i/>
          <w:iCs/>
          <w:color w:val="000000"/>
          <w:spacing w:val="0"/>
          <w:w w:val="100"/>
          <w:position w:val="0"/>
          <w:shd w:val="clear" w:color="auto" w:fill="auto"/>
          <w:lang w:val="hr-HR" w:eastAsia="hr-HR" w:bidi="hr-HR"/>
        </w:rPr>
        <w:t xml:space="preserve">der Ev. Kirche im </w:t>
      </w:r>
      <w:r>
        <w:rPr>
          <w:i/>
          <w:iCs/>
          <w:color w:val="000000"/>
          <w:spacing w:val="0"/>
          <w:w w:val="100"/>
          <w:position w:val="0"/>
          <w:shd w:val="clear" w:color="auto" w:fill="auto"/>
        </w:rPr>
        <w:t>Rheinland,</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1980; B. KJap- pcrt/lL </w:t>
      </w:r>
      <w:r>
        <w:rPr>
          <w:color w:val="000000"/>
          <w:spacing w:val="0"/>
          <w:w w:val="100"/>
          <w:position w:val="0"/>
          <w:shd w:val="clear" w:color="auto" w:fill="auto"/>
        </w:rPr>
        <w:t xml:space="preserve">Starck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Umkehr und Emeuerung.</w:t>
      </w:r>
      <w:r>
        <w:rPr>
          <w:color w:val="000000"/>
          <w:spacing w:val="0"/>
          <w:w w:val="100"/>
          <w:position w:val="0"/>
          <w:shd w:val="clear" w:color="auto" w:fill="auto"/>
          <w:lang w:val="hr-HR" w:eastAsia="hr-HR" w:bidi="hr-HR"/>
        </w:rPr>
        <w:t xml:space="preserve"> 1980, </w:t>
      </w:r>
      <w:r>
        <w:rPr>
          <w:i/>
          <w:iCs/>
          <w:color w:val="000000"/>
          <w:spacing w:val="0"/>
          <w:w w:val="100"/>
          <w:position w:val="0"/>
          <w:shd w:val="clear" w:color="auto" w:fill="auto"/>
          <w:lang w:val="hr-HR" w:eastAsia="hr-HR" w:bidi="hr-HR"/>
        </w:rPr>
        <w:t>Ubcr dus Verhdllnis der Kirche zum Judentum. Erkliirung der deul- schen Bischofe,</w:t>
      </w:r>
      <w:r>
        <w:rPr>
          <w:color w:val="000000"/>
          <w:spacing w:val="0"/>
          <w:w w:val="100"/>
          <w:position w:val="0"/>
          <w:shd w:val="clear" w:color="auto" w:fill="auto"/>
          <w:lang w:val="hr-HR" w:eastAsia="hr-HR" w:bidi="hr-HR"/>
        </w:rPr>
        <w:t xml:space="preserve"> 1980; R. </w:t>
      </w:r>
      <w:r>
        <w:rPr>
          <w:color w:val="000000"/>
          <w:spacing w:val="0"/>
          <w:w w:val="100"/>
          <w:position w:val="0"/>
          <w:shd w:val="clear" w:color="auto" w:fill="auto"/>
        </w:rPr>
        <w:t xml:space="preserve">Pfisterer, von A </w:t>
      </w:r>
      <w:r>
        <w:rPr>
          <w:color w:val="000000"/>
          <w:spacing w:val="0"/>
          <w:w w:val="100"/>
          <w:position w:val="0"/>
          <w:shd w:val="clear" w:color="auto" w:fill="auto"/>
          <w:lang w:val="hr-HR" w:eastAsia="hr-HR" w:bidi="hr-HR"/>
        </w:rPr>
        <w:t xml:space="preserve">bis Z. </w:t>
      </w:r>
      <w:r>
        <w:rPr>
          <w:i/>
          <w:iCs/>
          <w:color w:val="000000"/>
          <w:spacing w:val="0"/>
          <w:w w:val="100"/>
          <w:position w:val="0"/>
          <w:shd w:val="clear" w:color="auto" w:fill="auto"/>
        </w:rPr>
        <w:t xml:space="preserve">Quellen </w:t>
      </w:r>
      <w:r>
        <w:rPr>
          <w:i/>
          <w:iCs/>
          <w:color w:val="000000"/>
          <w:spacing w:val="0"/>
          <w:w w:val="100"/>
          <w:position w:val="0"/>
          <w:shd w:val="clear" w:color="auto" w:fill="auto"/>
          <w:lang w:val="hr-HR" w:eastAsia="hr-HR" w:bidi="hr-HR"/>
        </w:rPr>
        <w:t xml:space="preserve">zu Fragen um Juden und </w:t>
      </w:r>
      <w:r>
        <w:rPr>
          <w:i/>
          <w:iCs/>
          <w:color w:val="000000"/>
          <w:spacing w:val="0"/>
          <w:w w:val="100"/>
          <w:position w:val="0"/>
          <w:shd w:val="clear" w:color="auto" w:fill="auto"/>
        </w:rPr>
        <w:t>Christen.,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1971,275-80). D. VETTCR</w:t>
      </w:r>
    </w:p>
    <w:p>
      <w:pPr>
        <w:pStyle w:val="Style63"/>
        <w:keepNext/>
        <w:keepLines/>
        <w:widowControl w:val="0"/>
        <w:numPr>
          <w:ilvl w:val="0"/>
          <w:numId w:val="127"/>
        </w:numPr>
        <w:shd w:val="clear" w:color="auto" w:fill="auto"/>
        <w:tabs>
          <w:tab w:pos="260" w:val="left"/>
        </w:tabs>
        <w:bidi w:val="0"/>
        <w:spacing w:before="0"/>
        <w:ind w:left="0" w:right="0" w:firstLine="0"/>
        <w:jc w:val="both"/>
      </w:pPr>
      <w:bookmarkStart w:id="94" w:name="bookmark9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9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Ponovno uspostaviti jedinstvo Crkve koje se u povijesti izgubilo nakana je ekumenskog po</w:t>
        <w:softHyphen/>
        <w:t>kreta koji je započeo u XX. stoljeću. Riječ »eku</w:t>
        <w:softHyphen/>
        <w:t>menski« izvodi se iz grčke riječi oikumćnc ko</w:t>
        <w:softHyphen/>
        <w:t xml:space="preserve">ja znači cijelu nastanjenu zemlju (Dj 17,6; Mt </w:t>
      </w:r>
      <w:r>
        <w:rPr>
          <w:rFonts w:ascii="Times New Roman" w:eastAsia="Times New Roman" w:hAnsi="Times New Roman" w:cs="Times New Roman"/>
          <w:color w:val="000000"/>
          <w:spacing w:val="0"/>
          <w:w w:val="100"/>
          <w:position w:val="0"/>
          <w:shd w:val="clear" w:color="auto" w:fill="auto"/>
          <w:lang w:val="hr-HR" w:eastAsia="hr-HR" w:bidi="hr-HR"/>
        </w:rPr>
        <w:t>24,14; Heb 2,5). Ona danas prije svega služi obilježavanju napora oko jedinstva svih krš</w:t>
        <w:softHyphen/>
        <w:t>ćana. To je jedinstvo bilo od početka ugrože</w:t>
        <w:softHyphen/>
        <w:t>no. Već u NZ vodila se borba za njega (1 Kor 1,10—16; Fil 4,2). Odcjepljenje značajnih sku</w:t>
        <w:softHyphen/>
        <w:t>pina rane Crkve (manihejci, donatisti, arijev</w:t>
        <w:softHyphen/>
        <w:t>ci, montanisti, novacijanci, monofiziti, nešto- rijanci) bilo je bolno za Crkvu, ali nije značilo tako snažan rascjep kao rastavljanje koje je 1054. uslijedilo u tzv. Istočnom crkvenom ras</w:t>
        <w:softHyphen/>
        <w:t xml:space="preserve">kolu između zapadne i istočne (bizantske) Crkve. Otada su crkve koje su označene kao </w:t>
      </w:r>
      <w:r>
        <w:rPr>
          <w:rFonts w:ascii="Times New Roman" w:eastAsia="Times New Roman" w:hAnsi="Times New Roman" w:cs="Times New Roman"/>
          <w:i/>
          <w:iCs/>
          <w:color w:val="000000"/>
          <w:spacing w:val="0"/>
          <w:w w:val="100"/>
          <w:position w:val="0"/>
          <w:shd w:val="clear" w:color="auto" w:fill="auto"/>
          <w:lang w:val="hr-HR" w:eastAsia="hr-HR" w:bidi="hr-HR"/>
        </w:rPr>
        <w:t>pravoslavne</w:t>
      </w:r>
      <w:r>
        <w:rPr>
          <w:rFonts w:ascii="Times New Roman" w:eastAsia="Times New Roman" w:hAnsi="Times New Roman" w:cs="Times New Roman"/>
          <w:color w:val="000000"/>
          <w:spacing w:val="0"/>
          <w:w w:val="100"/>
          <w:position w:val="0"/>
          <w:shd w:val="clear" w:color="auto" w:fill="auto"/>
          <w:lang w:val="hr-HR" w:eastAsia="hr-HR" w:bidi="hr-HR"/>
        </w:rPr>
        <w:t xml:space="preserve"> zajednice i koje se svode na bi</w:t>
        <w:softHyphen/>
        <w:t>zantsku Crkvu odijeljene od zapadne Crkve bez obzira na povremene unije. U još oštrijem obliku bilo je već ionako nepostojeće jedin</w:t>
        <w:softHyphen/>
        <w:t>stvo kršćana iznova suženo raskolom zapad</w:t>
        <w:softHyphen/>
        <w:t xml:space="preserve">nog kršćanstva u katolike </w:t>
      </w:r>
      <w:r>
        <w:rPr>
          <w:rFonts w:ascii="Times New Roman" w:eastAsia="Times New Roman" w:hAnsi="Times New Roman" w:cs="Times New Roman"/>
          <w:i/>
          <w:iCs/>
          <w:color w:val="000000"/>
          <w:spacing w:val="0"/>
          <w:w w:val="100"/>
          <w:position w:val="0"/>
          <w:shd w:val="clear" w:color="auto" w:fill="auto"/>
          <w:lang w:val="hr-HR" w:eastAsia="hr-HR" w:bidi="hr-HR"/>
        </w:rPr>
        <w:t>(Katolička crkva)</w:t>
      </w:r>
      <w:r>
        <w:rPr>
          <w:rFonts w:ascii="Times New Roman" w:eastAsia="Times New Roman" w:hAnsi="Times New Roman" w:cs="Times New Roman"/>
          <w:color w:val="000000"/>
          <w:spacing w:val="0"/>
          <w:w w:val="100"/>
          <w:position w:val="0"/>
          <w:shd w:val="clear" w:color="auto" w:fill="auto"/>
          <w:lang w:val="hr-HR" w:eastAsia="hr-HR" w:bidi="hr-HR"/>
        </w:rPr>
        <w:t xml:space="preserve"> i protestante </w:t>
      </w:r>
      <w:r>
        <w:rPr>
          <w:rFonts w:ascii="Times New Roman" w:eastAsia="Times New Roman" w:hAnsi="Times New Roman" w:cs="Times New Roman"/>
          <w:i/>
          <w:iCs/>
          <w:color w:val="000000"/>
          <w:spacing w:val="0"/>
          <w:w w:val="100"/>
          <w:position w:val="0"/>
          <w:shd w:val="clear" w:color="auto" w:fill="auto"/>
          <w:lang w:val="hr-HR" w:eastAsia="hr-HR" w:bidi="hr-HR"/>
        </w:rPr>
        <w:t>(evangeličke crkve)</w:t>
      </w:r>
      <w:r>
        <w:rPr>
          <w:rFonts w:ascii="Times New Roman" w:eastAsia="Times New Roman" w:hAnsi="Times New Roman" w:cs="Times New Roman"/>
          <w:color w:val="000000"/>
          <w:spacing w:val="0"/>
          <w:w w:val="100"/>
          <w:position w:val="0"/>
          <w:shd w:val="clear" w:color="auto" w:fill="auto"/>
          <w:lang w:val="hr-HR" w:eastAsia="hr-HR" w:bidi="hr-HR"/>
        </w:rPr>
        <w:t xml:space="preserve"> u XVI. stolje</w:t>
        <w:softHyphen/>
        <w:t xml:space="preserve">ću uslijed reformacije. Godine 1534. engleski kralj </w:t>
      </w:r>
      <w:r>
        <w:rPr>
          <w:rFonts w:ascii="Times New Roman" w:eastAsia="Times New Roman" w:hAnsi="Times New Roman" w:cs="Times New Roman"/>
          <w:color w:val="000000"/>
          <w:spacing w:val="0"/>
          <w:w w:val="100"/>
          <w:position w:val="0"/>
          <w:shd w:val="clear" w:color="auto" w:fill="auto"/>
          <w:lang w:val="en-US" w:eastAsia="en-US" w:bidi="en-US"/>
        </w:rPr>
        <w:t xml:space="preserve">Henrik </w:t>
      </w:r>
      <w:r>
        <w:rPr>
          <w:rFonts w:ascii="Times New Roman" w:eastAsia="Times New Roman" w:hAnsi="Times New Roman" w:cs="Times New Roman"/>
          <w:color w:val="000000"/>
          <w:spacing w:val="0"/>
          <w:w w:val="100"/>
          <w:position w:val="0"/>
          <w:shd w:val="clear" w:color="auto" w:fill="auto"/>
          <w:lang w:val="hr-HR" w:eastAsia="hr-HR" w:bidi="hr-HR"/>
        </w:rPr>
        <w:t xml:space="preserve">VIII. odrekao se Rima, jer je papa odbio proglasiti nevažećim njegov brak s Katarinom Aragonskom i dao je da ga kler i parlament priznaju poglavarom engleske Crkve, nazvane </w:t>
      </w:r>
      <w:r>
        <w:rPr>
          <w:rFonts w:ascii="Times New Roman" w:eastAsia="Times New Roman" w:hAnsi="Times New Roman" w:cs="Times New Roman"/>
          <w:i/>
          <w:iCs/>
          <w:color w:val="000000"/>
          <w:spacing w:val="0"/>
          <w:w w:val="100"/>
          <w:position w:val="0"/>
          <w:shd w:val="clear" w:color="auto" w:fill="auto"/>
          <w:lang w:val="hr-HR" w:eastAsia="hr-HR" w:bidi="hr-HR"/>
        </w:rPr>
        <w:t>Anglikanskom crkvom.</w:t>
      </w:r>
      <w:r>
        <w:rPr>
          <w:rFonts w:ascii="Times New Roman" w:eastAsia="Times New Roman" w:hAnsi="Times New Roman" w:cs="Times New Roman"/>
          <w:color w:val="000000"/>
          <w:spacing w:val="0"/>
          <w:w w:val="100"/>
          <w:position w:val="0"/>
          <w:shd w:val="clear" w:color="auto" w:fill="auto"/>
          <w:lang w:val="hr-HR" w:eastAsia="hr-HR" w:bidi="hr-HR"/>
        </w:rPr>
        <w:t xml:space="preserve"> Novo rastav- ljanjc uslijedilo je Prvim vatikanskim konci</w:t>
        <w:softHyphen/>
        <w:t xml:space="preserve">lom kada su se 1870. zbog pitanja primata (primat jurisdikcije i papine nezabludivosti) odijelili tzv. starokatolici </w:t>
      </w:r>
      <w:r>
        <w:rPr>
          <w:rFonts w:ascii="Times New Roman" w:eastAsia="Times New Roman" w:hAnsi="Times New Roman" w:cs="Times New Roman"/>
          <w:i/>
          <w:iCs/>
          <w:color w:val="000000"/>
          <w:spacing w:val="0"/>
          <w:w w:val="100"/>
          <w:position w:val="0"/>
          <w:shd w:val="clear" w:color="auto" w:fill="auto"/>
          <w:lang w:val="hr-HR" w:eastAsia="hr-HR" w:bidi="hr-HR"/>
        </w:rPr>
        <w:t xml:space="preserve">(Starokatolička crkva) </w:t>
      </w:r>
      <w:r>
        <w:rPr>
          <w:rFonts w:ascii="Times New Roman" w:eastAsia="Times New Roman" w:hAnsi="Times New Roman" w:cs="Times New Roman"/>
          <w:color w:val="000000"/>
          <w:spacing w:val="0"/>
          <w:w w:val="100"/>
          <w:position w:val="0"/>
          <w:shd w:val="clear" w:color="auto" w:fill="auto"/>
          <w:lang w:val="hr-HR" w:eastAsia="hr-HR" w:bidi="hr-HR"/>
        </w:rPr>
        <w:t xml:space="preserve">od Katoličke crkve </w:t>
      </w:r>
      <w:r>
        <w:rPr>
          <w:rFonts w:ascii="Times New Roman" w:eastAsia="Times New Roman" w:hAnsi="Times New Roman" w:cs="Times New Roman"/>
          <w:i/>
          <w:iCs/>
          <w:color w:val="000000"/>
          <w:spacing w:val="0"/>
          <w:w w:val="100"/>
          <w:position w:val="0"/>
          <w:shd w:val="clear" w:color="auto" w:fill="auto"/>
          <w:lang w:val="hr-HR" w:eastAsia="hr-HR" w:bidi="hr-HR"/>
        </w:rPr>
        <w:t>(Rimokatolička crkva).</w:t>
      </w:r>
    </w:p>
    <w:p>
      <w:pPr>
        <w:pStyle w:val="Style20"/>
        <w:keepNext w:val="0"/>
        <w:keepLines w:val="0"/>
        <w:widowControl w:val="0"/>
        <w:shd w:val="clear" w:color="auto" w:fill="auto"/>
        <w:bidi w:val="0"/>
        <w:spacing w:before="0" w:after="0"/>
        <w:ind w:left="0" w:right="0" w:firstLine="0"/>
        <w:jc w:val="both"/>
        <w:sectPr>
          <w:headerReference w:type="default" r:id="rId407"/>
          <w:footerReference w:type="default" r:id="rId408"/>
          <w:headerReference w:type="even" r:id="rId409"/>
          <w:footerReference w:type="even" r:id="rId410"/>
          <w:footnotePr>
            <w:pos w:val="pageBottom"/>
            <w:numFmt w:val="decimal"/>
            <w:numStart w:val="5"/>
            <w:numRestart w:val="continuous"/>
            <w15:footnoteColumns w:val="1"/>
          </w:footnotePr>
          <w:type w:val="continuous"/>
          <w:pgSz w:w="6816" w:h="11006"/>
          <w:pgMar w:top="758" w:left="186" w:right="188" w:bottom="384" w:header="0" w:footer="3" w:gutter="0"/>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Mnogi raskoli i odvajanja o kojima izvješćuje crkvena povijest i koji danas nas kršćane op</w:t>
        <w:softHyphen/>
        <w:t>terećuju kao hipoteka iz ranijih vremena, ipak nisu mogli razoriti načelno jedinstvo kršćan</w:t>
        <w:softHyphen/>
        <w:t>ske vjere. Svim konfesijama (vjeroispovijesti</w:t>
        <w:softHyphen/>
        <w:t>ma) zajedničko je pozivanje na poruku Isusa Krista. Bez obzira na privremene unije i poku</w:t>
        <w:softHyphen/>
        <w:t>šaje unije, pravi ekumenski pokret čiji korijeni sežu u XIX. stoljeće, tek početkom XX. sto</w:t>
        <w:softHyphen/>
        <w:t>ljeća započeo je sa strujanjima unutar evange- ličkih crkava: Odlučan poticaj dala je 1910. održana »Svjetska misijska konferencija« u Edinburghu cilj koje je bio privesti suradnji različita međusobno suparnička misijska druš</w:t>
        <w:softHyphen/>
        <w:t>tva. Pravoslavci i katolici nisu u tome sudjelo</w:t>
        <w:softHyphen/>
        <w:t>vali. Budući da se uvidjelo kako sama praktič</w:t>
        <w:softHyphen/>
        <w:t>na suradnja nije dostatna, nego da bi i razlike u učenju morale biti navedene, nastao je »Po</w:t>
        <w:softHyphen/>
        <w:t xml:space="preserve">kret za vjeru i crkveno ustrojstvo« </w:t>
      </w:r>
      <w:r>
        <w:rPr>
          <w:rFonts w:ascii="Times New Roman" w:eastAsia="Times New Roman" w:hAnsi="Times New Roman" w:cs="Times New Roman"/>
          <w:color w:val="000000"/>
          <w:spacing w:val="0"/>
          <w:w w:val="100"/>
          <w:position w:val="0"/>
          <w:shd w:val="clear" w:color="auto" w:fill="auto"/>
          <w:lang w:val="en-US" w:eastAsia="en-US" w:bidi="en-US"/>
        </w:rPr>
        <w:t xml:space="preserve">(Faith and Order) </w:t>
      </w:r>
      <w:r>
        <w:rPr>
          <w:rFonts w:ascii="Times New Roman" w:eastAsia="Times New Roman" w:hAnsi="Times New Roman" w:cs="Times New Roman"/>
          <w:color w:val="000000"/>
          <w:spacing w:val="0"/>
          <w:w w:val="100"/>
          <w:position w:val="0"/>
          <w:shd w:val="clear" w:color="auto" w:fill="auto"/>
          <w:lang w:val="hr-HR" w:eastAsia="hr-HR" w:bidi="hr-HR"/>
        </w:rPr>
        <w:t>koji se 1927. u Lausanni sastao na svo</w:t>
        <w:softHyphen/>
        <w:t>joj prvoj Svjetskoj konferenciji na kojoj su su</w:t>
        <w:softHyphen/>
        <w:t>djelovali zastupnici iz 108 crkvenih zajednica.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Osim toga, polazeći od nužnosti praktičnoga socijalnog i mirovnog rada, 1914, osnovan je u Konstanzi na međunarodnoj razini »Svjetski savez za prijateljski rad crkava« iz kojega je 1919. proizašao </w:t>
      </w:r>
      <w:r>
        <w:rPr>
          <w:rFonts w:ascii="Times New Roman" w:eastAsia="Times New Roman" w:hAnsi="Times New Roman" w:cs="Times New Roman"/>
          <w:i/>
          <w:iCs/>
          <w:color w:val="000000"/>
          <w:spacing w:val="0"/>
          <w:w w:val="100"/>
          <w:position w:val="0"/>
          <w:shd w:val="clear" w:color="auto" w:fill="auto"/>
          <w:lang w:val="hr-HR" w:eastAsia="hr-HR" w:bidi="hr-HR"/>
        </w:rPr>
        <w:t>»Pokret za praktično kršćan</w:t>
        <w:softHyphen/>
        <w:t>stvo«</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(Life and Work). </w:t>
      </w:r>
      <w:r>
        <w:rPr>
          <w:rFonts w:ascii="Times New Roman" w:eastAsia="Times New Roman" w:hAnsi="Times New Roman" w:cs="Times New Roman"/>
          <w:color w:val="000000"/>
          <w:spacing w:val="0"/>
          <w:w w:val="100"/>
          <w:position w:val="0"/>
          <w:shd w:val="clear" w:color="auto" w:fill="auto"/>
          <w:lang w:val="hr-HR" w:eastAsia="hr-HR" w:bidi="hr-HR"/>
        </w:rPr>
        <w:t xml:space="preserve">Na inicijativu uppsal- skog nadbiskupa Nathana Sdderbldma (u. 1931) već je 1925. došlo do prve »Svjetske konferencije za praktično kršćanstvo« u Stock- holmu. U godini 1948. oba su se pokreta </w:t>
      </w:r>
      <w:r>
        <w:rPr>
          <w:rFonts w:ascii="Times New Roman" w:eastAsia="Times New Roman" w:hAnsi="Times New Roman" w:cs="Times New Roman"/>
          <w:color w:val="000000"/>
          <w:spacing w:val="0"/>
          <w:w w:val="100"/>
          <w:position w:val="0"/>
          <w:shd w:val="clear" w:color="auto" w:fill="auto"/>
          <w:lang w:val="en-US" w:eastAsia="en-US" w:bidi="en-US"/>
        </w:rPr>
        <w:t xml:space="preserve">»Faith and Order«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»Life and Work« </w:t>
      </w:r>
      <w:r>
        <w:rPr>
          <w:rFonts w:ascii="Times New Roman" w:eastAsia="Times New Roman" w:hAnsi="Times New Roman" w:cs="Times New Roman"/>
          <w:color w:val="000000"/>
          <w:spacing w:val="0"/>
          <w:w w:val="100"/>
          <w:position w:val="0"/>
          <w:shd w:val="clear" w:color="auto" w:fill="auto"/>
          <w:lang w:val="hr-HR" w:eastAsia="hr-HR" w:bidi="hr-HR"/>
        </w:rPr>
        <w:t xml:space="preserve">spojila u Amsterdamu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»Ekumensko vijeće crkava« </w:t>
      </w:r>
      <w:r>
        <w:rPr>
          <w:rFonts w:ascii="Times New Roman" w:eastAsia="Times New Roman" w:hAnsi="Times New Roman" w:cs="Times New Roman"/>
          <w:color w:val="000000"/>
          <w:spacing w:val="0"/>
          <w:w w:val="100"/>
          <w:position w:val="0"/>
          <w:shd w:val="clear" w:color="auto" w:fill="auto"/>
          <w:lang w:val="en-US" w:eastAsia="en-US" w:bidi="en-US"/>
        </w:rPr>
        <w:t xml:space="preserve">(World Council of Churches; </w:t>
      </w:r>
      <w:r>
        <w:rPr>
          <w:rFonts w:ascii="Times New Roman" w:eastAsia="Times New Roman" w:hAnsi="Times New Roman" w:cs="Times New Roman"/>
          <w:color w:val="000000"/>
          <w:spacing w:val="0"/>
          <w:w w:val="100"/>
          <w:position w:val="0"/>
          <w:shd w:val="clear" w:color="auto" w:fill="auto"/>
          <w:lang w:val="hr-HR" w:eastAsia="hr-HR" w:bidi="hr-HR"/>
        </w:rPr>
        <w:t>nazvano tako</w:t>
        <w:softHyphen/>
        <w:t>đer Svjetsko vijeće crkava). Daljnje glavne skupštine »Ekumenskog vijeća crkava« bile su 1954. u Evanstonu/SAD, 1961. u New-Del- hiju/Indija, 1968. u Uppsali/Švedska, 1975. u Nairobiju/Kenija, 1979. u Cambridgeu kod Bostona/SAD i 1983. u Vancouveru/Kanada. Sjedište mu je u Ženevi. U njemu je zajedno s pravoslavnim crkvama obuhvaćeno približno 300 crkvenih zajednica; Rimokatolička crkva ima status promatrača. Ona je dugo vremena odbijala svoje sudjelovanje u ekumenskom pokretu. Papa Bcncdikt XV. (u. 1922) katoli</w:t>
        <w:softHyphen/>
        <w:t xml:space="preserve">cima je zabranio sudjelovanje. </w:t>
      </w:r>
      <w:r>
        <w:rPr>
          <w:rFonts w:ascii="Times New Roman" w:eastAsia="Times New Roman" w:hAnsi="Times New Roman" w:cs="Times New Roman"/>
          <w:color w:val="000000"/>
          <w:spacing w:val="0"/>
          <w:w w:val="100"/>
          <w:position w:val="0"/>
          <w:shd w:val="clear" w:color="auto" w:fill="auto"/>
          <w:lang w:val="en-US" w:eastAsia="en-US" w:bidi="en-US"/>
        </w:rPr>
        <w:t xml:space="preserve">I </w:t>
      </w:r>
      <w:r>
        <w:rPr>
          <w:rFonts w:ascii="Times New Roman" w:eastAsia="Times New Roman" w:hAnsi="Times New Roman" w:cs="Times New Roman"/>
          <w:color w:val="000000"/>
          <w:spacing w:val="0"/>
          <w:w w:val="100"/>
          <w:position w:val="0"/>
          <w:shd w:val="clear" w:color="auto" w:fill="auto"/>
          <w:lang w:val="hr-HR" w:eastAsia="hr-HR" w:bidi="hr-HR"/>
        </w:rPr>
        <w:t>Pio XI. (u. 1939) zastupao je 1928. odbojan stav naspram ekumenskog pokreta. Pio XII. (u. 1958) napi</w:t>
        <w:softHyphen/>
        <w:t>sao je ćak još 1948. pismo upozorenja u kojem doduše pozdravlja nakanu ekumenizma, ali ostvarenje jedinstva svih »crkava« drži ovis</w:t>
        <w:softHyphen/>
        <w:t>nim o njihovu povratku Rimokatoličkoj crkvi. Odlučan obrat donio je papa Ivan XXIII. (u. 1963) koji je ekumensku zamisao učinio glavnom nakanom Drugoga vatikanskoga koncila (1962-65) koji je sazvao i na kojem su bile zastu</w:t>
        <w:softHyphen/>
        <w:t>pane gotovo sve nekatolićke crkve putem pro</w:t>
        <w:softHyphen/>
        <w:t xml:space="preserve">matrača. U svezi s time kamen međaš po svom sadržaju predstavljaju »Deklaracija o vjerskoj slobodi« i »Dekret o ekumenizmu«. Već je 1960. Ivan </w:t>
      </w:r>
      <w:r>
        <w:rPr>
          <w:rFonts w:ascii="Times New Roman" w:eastAsia="Times New Roman" w:hAnsi="Times New Roman" w:cs="Times New Roman"/>
          <w:color w:val="000000"/>
          <w:spacing w:val="0"/>
          <w:w w:val="100"/>
          <w:position w:val="0"/>
          <w:shd w:val="clear" w:color="auto" w:fill="auto"/>
          <w:lang w:val="en-US" w:eastAsia="en-US" w:bidi="en-US"/>
        </w:rPr>
        <w:t xml:space="preserve">XX111. </w:t>
      </w:r>
      <w:r>
        <w:rPr>
          <w:rFonts w:ascii="Times New Roman" w:eastAsia="Times New Roman" w:hAnsi="Times New Roman" w:cs="Times New Roman"/>
          <w:color w:val="000000"/>
          <w:spacing w:val="0"/>
          <w:w w:val="100"/>
          <w:position w:val="0"/>
          <w:shd w:val="clear" w:color="auto" w:fill="auto"/>
          <w:lang w:val="hr-HR" w:eastAsia="hr-HR" w:bidi="hr-HR"/>
        </w:rPr>
        <w:t>osnovao Tajništvo za jedinstvo krš</w:t>
        <w:softHyphen/>
        <w:t>ćana. Otada su se odnosi između Rimokatoličke crkve i zajednica okupljenih u Ekumenskom vi</w:t>
        <w:softHyphen/>
        <w:t>jeću crkava bitno poboljšali i pojačali. To u priličnoj mjeri dolazi do izražaja u službenom sudjelovanju katoličkih teologa i zastupnika na glavnim skupštinama Ekumenskog vijeća crkava - prvi put 1961. Postoje mješovite radne skupine sa Svjetskim vijećem crkava, Luteranskim i Re</w:t>
        <w:softHyphen/>
        <w:t>formiranim svjetskim savezom, Anglikanskom crkvom, Metodističkim svjetskim savezom kao i sa pravoslavnim crkvama prema kojima su podu</w:t>
        <w:softHyphen/>
      </w:r>
      <w:r>
        <w:rPr>
          <w:rFonts w:ascii="Times New Roman" w:eastAsia="Times New Roman" w:hAnsi="Times New Roman" w:cs="Times New Roman"/>
          <w:color w:val="000000"/>
          <w:spacing w:val="0"/>
          <w:w w:val="100"/>
          <w:position w:val="0"/>
          <w:shd w:val="clear" w:color="auto" w:fill="auto"/>
          <w:lang w:val="hr-HR" w:eastAsia="hr-HR" w:bidi="hr-HR"/>
        </w:rPr>
        <w:t>zeti intenzivniji odnosi već od 1917. osnutkom Orijentalnog instituta u Rimu i daljnjim inicijati</w:t>
        <w:softHyphen/>
        <w:t>vama. Pod Ivanom XXIII. došlo je tada do raz</w:t>
        <w:softHyphen/>
        <w:t xml:space="preserve">mjene međusobnih službenih poruka. Osobnim kontaktima s bivšim carigradskim patrijarhom Atcnagorom - susreti 1964. u Jeruzalemu, 1965. i 1967. u Rimu kao i 1967. u Carigradu - bili su još pojačani odnosi u vrijeme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VI. (u. 1978). Kao izraz dobre volje s obje strane papa i patri</w:t>
        <w:softHyphen/>
        <w:t>jarh su 7. prosinca 1965. istodobno u Rimu i Carigradu poništili crkveno izopćenje iz godine 1054. Niz osobnih susreta nastavno je papa Ivan Pavao II. u studenom 1979. u Carigradu i pritom izrazio nadu da se do prijelaza u novo stoljeće može uspostaviti potpuno crkveno zajedništvo s pravoslavnim crkvama.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Što se tiče odnosa Katoličke crkve prema crkvama reformacije, najdalje je napredovao dijalog s anglikancima. O tome svjedoče za</w:t>
        <w:softHyphen/>
        <w:t xml:space="preserve">jedničke izjave o euharistiji </w:t>
      </w:r>
      <w:r>
        <w:rPr>
          <w:rFonts w:ascii="Times New Roman" w:eastAsia="Times New Roman" w:hAnsi="Times New Roman" w:cs="Times New Roman"/>
          <w:color w:val="000000"/>
          <w:spacing w:val="0"/>
          <w:w w:val="100"/>
          <w:position w:val="0"/>
          <w:shd w:val="clear" w:color="auto" w:fill="auto"/>
          <w:lang w:val="en-US" w:eastAsia="en-US" w:bidi="en-US"/>
        </w:rPr>
        <w:t xml:space="preserve">(Windsor </w:t>
      </w:r>
      <w:r>
        <w:rPr>
          <w:rFonts w:ascii="Times New Roman" w:eastAsia="Times New Roman" w:hAnsi="Times New Roman" w:cs="Times New Roman"/>
          <w:color w:val="000000"/>
          <w:spacing w:val="0"/>
          <w:w w:val="100"/>
          <w:position w:val="0"/>
          <w:shd w:val="clear" w:color="auto" w:fill="auto"/>
          <w:lang w:val="hr-HR" w:eastAsia="hr-HR" w:bidi="hr-HR"/>
        </w:rPr>
        <w:t xml:space="preserve">1971), o razumijevanju službe </w:t>
      </w:r>
      <w:r>
        <w:rPr>
          <w:rFonts w:ascii="Times New Roman" w:eastAsia="Times New Roman" w:hAnsi="Times New Roman" w:cs="Times New Roman"/>
          <w:color w:val="000000"/>
          <w:spacing w:val="0"/>
          <w:w w:val="100"/>
          <w:position w:val="0"/>
          <w:shd w:val="clear" w:color="auto" w:fill="auto"/>
          <w:lang w:val="en-US" w:eastAsia="en-US" w:bidi="en-US"/>
        </w:rPr>
        <w:t xml:space="preserve">(Canterbury </w:t>
      </w:r>
      <w:r>
        <w:rPr>
          <w:rFonts w:ascii="Times New Roman" w:eastAsia="Times New Roman" w:hAnsi="Times New Roman" w:cs="Times New Roman"/>
          <w:color w:val="000000"/>
          <w:spacing w:val="0"/>
          <w:w w:val="100"/>
          <w:position w:val="0"/>
          <w:shd w:val="clear" w:color="auto" w:fill="auto"/>
          <w:lang w:val="hr-HR" w:eastAsia="hr-HR" w:bidi="hr-HR"/>
        </w:rPr>
        <w:t>1973) i o autoritetu u Crkvi (Venecija 1976). Kontaktni razgovori s Luteranskim svjetskim savezom doveli su 1971. do tzv. Malteškog izvješća o »Evanđelju i Crkvi«. Nije se još mogla postići nikakva suglasnost u pitanjima crkvene službe i interkomunijc. Glavne teme dijaloga između katolika i luterana u SAD-u bile su euharistija (1967), euharistija i služba (1970), kao i au</w:t>
        <w:softHyphen/>
        <w:t>toritet učitcljstva i nezabludivost u Crkvi. Su</w:t>
        <w:softHyphen/>
        <w:t>glasnost na području duhovnosti i pobožnosti postignuta je razgovorima između Rimokato</w:t>
        <w:softHyphen/>
        <w:t>ličke crkve i Metodističkog svjetskog saveza kao što proizlazi iz 1967. predložene predstav</w:t>
        <w:softHyphen/>
        <w:t>ke »Svetost i duhovnost«. Od osobitog je zna</w:t>
        <w:softHyphen/>
        <w:t>čenja za odnos između crkava članica Eku</w:t>
        <w:softHyphen/>
        <w:t>menskog vijeća crkava u Ženevi i Rimokato</w:t>
        <w:softHyphen/>
        <w:t>ličke crkve tzv. Limska izjava iz 1982. Riječ je pritom o izjavama koje se približavaju kada je u pitanju krštenje, euharistija i služba a koje su bile poslane pojedinim crkvama u svrhu službenog zauzimanja stava.</w:t>
      </w:r>
    </w:p>
    <w:p>
      <w:pPr>
        <w:pStyle w:val="Style20"/>
        <w:keepNext w:val="0"/>
        <w:keepLines w:val="0"/>
        <w:widowControl w:val="0"/>
        <w:shd w:val="clear" w:color="auto" w:fill="auto"/>
        <w:bidi w:val="0"/>
        <w:spacing w:before="0" w:after="0" w:line="257" w:lineRule="auto"/>
        <w:ind w:left="0" w:right="0" w:firstLine="0"/>
        <w:jc w:val="both"/>
        <w:sectPr>
          <w:headerReference w:type="default" r:id="rId411"/>
          <w:footerReference w:type="default" r:id="rId412"/>
          <w:headerReference w:type="even" r:id="rId413"/>
          <w:footerReference w:type="even" r:id="rId414"/>
          <w:footnotePr>
            <w:pos w:val="pageBottom"/>
            <w:numFmt w:val="decimal"/>
            <w:numStart w:val="5"/>
            <w:numRestart w:val="continuous"/>
            <w15:footnoteColumns w:val="1"/>
          </w:footnotePr>
          <w:pgSz w:w="6816" w:h="11006"/>
          <w:pgMar w:top="758" w:left="186" w:right="188" w:bottom="384" w:header="0" w:footer="3" w:gutter="0"/>
          <w:pgNumType w:start="143"/>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Svi su ovi napori koraci puni nade na putu uzajamnog približavanja crkava s ciljem prev</w:t>
        <w:softHyphen/>
        <w:t>ladavanja raskola i rastave prema ponovnom ujedinjenju. Da bi se taj cilj postigao, sve crkve trebaju obraćenje, kao što je papa Ivan Pavao II. utvrdio prigodom svog posjeta Sa</w:t>
        <w:softHyphen/>
        <w:t>veznoj Republici Njemačkoj 17. studenoga 1980. u svom nagovoru u povodu susreta s predstavnicima Vijeća Evangeličke crkve Nje</w:t>
        <w:softHyphen/>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mačke: »Nema kršćanskog života bez kajanja, ‘Nema pravog ekumenizma bez unutarnjeg obraćenja’ (Dekret o ekumenizmu, br.7). ‘Ne želimo se međusobno osuđivati’ (Rim 14,3). No želimo jedni drugima priznati svoju kriv</w:t>
        <w:softHyphen/>
        <w:t>nju. U pogledu milosti jedinstva također vri</w:t>
        <w:softHyphen/>
        <w:t>jedi: ‘Svi su sagriješili’ (Rim 3,23). To mo</w:t>
        <w:softHyphen/>
        <w:t>ramo sa svom ozbiljnošću uvidjeti i reći pa iz toga izvući svoje posljedice ... Ne smijemo ništa ostaviti a da nismo pokušali. Moramo činiti ono što ujedinjuje. Dugujemo to Bogu i svijetu.«</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partnere ekumenskog dijaloga osim kršćan</w:t>
        <w:softHyphen/>
        <w:t>skih crkava ubrajaju se danas na osobit način velike svjetske religije (budizam, hinduizam, židovstvo i islam), koje odavno nisu više samo objekt misije nego izazovi za kršćanstvo. Go</w:t>
        <w:softHyphen/>
        <w:t xml:space="preserve">dine 1964. papa Pavao VI. osnutkom </w:t>
      </w:r>
      <w:r>
        <w:rPr>
          <w:rFonts w:ascii="Times New Roman" w:eastAsia="Times New Roman" w:hAnsi="Times New Roman" w:cs="Times New Roman"/>
          <w:i/>
          <w:iCs/>
          <w:color w:val="000000"/>
          <w:spacing w:val="0"/>
          <w:w w:val="100"/>
          <w:position w:val="0"/>
          <w:shd w:val="clear" w:color="auto" w:fill="auto"/>
          <w:lang w:val="hr-HR" w:eastAsia="hr-HR" w:bidi="hr-HR"/>
        </w:rPr>
        <w:t>Sekre</w:t>
        <w:softHyphen/>
        <w:t>tarijata za nekršćane</w:t>
      </w:r>
      <w:r>
        <w:rPr>
          <w:rFonts w:ascii="Times New Roman" w:eastAsia="Times New Roman" w:hAnsi="Times New Roman" w:cs="Times New Roman"/>
          <w:color w:val="000000"/>
          <w:spacing w:val="0"/>
          <w:w w:val="100"/>
          <w:position w:val="0"/>
          <w:shd w:val="clear" w:color="auto" w:fill="auto"/>
          <w:lang w:val="hr-HR" w:eastAsia="hr-HR" w:bidi="hr-HR"/>
        </w:rPr>
        <w:t xml:space="preserve"> oživotvorio je forum koji treba između kršćana i predstavnika ostalih religija uspostaviti odnos povjerenja i ozračje uzajamnog poštovanja. Koncilska deklaracija o »Odnosu Crkve prema nekršćanskim religi</w:t>
        <w:softHyphen/>
        <w:t>jama« iz 1965. može se držati za kamen međaš u odnosima Rimokatoličke crkve prema osta</w:t>
        <w:softHyphen/>
        <w:t>lim religijama jer, prvi se put jedan koncil eksplicitno pozitivno sučelio s nekršćanskim religijama i izričito odao priznanje njihovoj važnosti u tumačenju smisla i egzistencije koje ispunjava bezbrojne ljude. Otada je i ovdje pokrenut stanovit dijalog i došlo je do različi</w:t>
        <w:softHyphen/>
        <w:t>tih susreta između predstavnika pojedinih re</w:t>
        <w:softHyphen/>
        <w:t>ligija. Od osobitog je značenja - upravo u Saveznoj Republici Njemačkoj - sučeljavanje i razgovor s islamom jer tu živi oko 1,9 mili</w:t>
        <w:softHyphen/>
        <w:t>juna muslimana. Stupanje s njima u dijalog postavlja se kao osobito važan zadatak.</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Lil.: </w:t>
      </w:r>
      <w:r>
        <w:rPr>
          <w:color w:val="000000"/>
          <w:spacing w:val="0"/>
          <w:w w:val="100"/>
          <w:position w:val="0"/>
          <w:shd w:val="clear" w:color="auto" w:fill="auto"/>
          <w:lang w:val="hr-HR" w:eastAsia="hr-HR" w:bidi="hr-HR"/>
        </w:rPr>
        <w:t xml:space="preserve">LThK, </w:t>
      </w:r>
      <w:r>
        <w:rPr>
          <w:i/>
          <w:iCs/>
          <w:color w:val="000000"/>
          <w:spacing w:val="0"/>
          <w:w w:val="100"/>
          <w:position w:val="0"/>
          <w:shd w:val="clear" w:color="auto" w:fill="auto"/>
        </w:rPr>
        <w:t xml:space="preserve">Das Zweite </w:t>
      </w:r>
      <w:r>
        <w:rPr>
          <w:i/>
          <w:iCs/>
          <w:color w:val="000000"/>
          <w:spacing w:val="0"/>
          <w:w w:val="100"/>
          <w:position w:val="0"/>
          <w:shd w:val="clear" w:color="auto" w:fill="auto"/>
          <w:lang w:val="hr-HR" w:eastAsia="hr-HR" w:bidi="hr-HR"/>
        </w:rPr>
        <w:t>Vatikantsche Konzd,</w:t>
      </w:r>
      <w:r>
        <w:rPr>
          <w:color w:val="000000"/>
          <w:spacing w:val="0"/>
          <w:w w:val="100"/>
          <w:position w:val="0"/>
          <w:shd w:val="clear" w:color="auto" w:fill="auto"/>
          <w:lang w:val="hr-HR" w:eastAsia="hr-HR" w:bidi="hr-HR"/>
        </w:rPr>
        <w:t xml:space="preserve"> Bd. II, Frci- </w:t>
      </w:r>
      <w:r>
        <w:rPr>
          <w:color w:val="000000"/>
          <w:spacing w:val="0"/>
          <w:w w:val="100"/>
          <w:position w:val="0"/>
          <w:shd w:val="clear" w:color="auto" w:fill="auto"/>
        </w:rPr>
        <w:t xml:space="preserve">burg'Ba.scl/Wien </w:t>
      </w:r>
      <w:r>
        <w:rPr>
          <w:color w:val="000000"/>
          <w:spacing w:val="0"/>
          <w:w w:val="100"/>
          <w:position w:val="0"/>
          <w:shd w:val="clear" w:color="auto" w:fill="auto"/>
          <w:lang w:val="hr-HR" w:eastAsia="hr-HR" w:bidi="hr-HR"/>
        </w:rPr>
        <w:t>1967, 9-126.405-495, 703-748; RGG Bd. IV,</w:t>
      </w:r>
      <w:r>
        <w:rPr>
          <w:color w:val="000000"/>
          <w:spacing w:val="0"/>
          <w:w w:val="100"/>
          <w:position w:val="0"/>
          <w:shd w:val="clear" w:color="auto" w:fill="auto"/>
          <w:vertAlign w:val="superscript"/>
          <w:lang w:val="hr-HR" w:eastAsia="hr-HR" w:bidi="hr-HR"/>
        </w:rPr>
        <w:t>J</w:t>
      </w:r>
      <w:r>
        <w:rPr>
          <w:color w:val="000000"/>
          <w:spacing w:val="0"/>
          <w:w w:val="100"/>
          <w:position w:val="0"/>
          <w:shd w:val="clear" w:color="auto" w:fill="auto"/>
          <w:lang w:val="hr-HR" w:eastAsia="hr-HR" w:bidi="hr-HR"/>
        </w:rPr>
        <w:t xml:space="preserve"> I960, 1571-1585; E. </w:t>
      </w:r>
      <w:r>
        <w:rPr>
          <w:color w:val="000000"/>
          <w:spacing w:val="0"/>
          <w:w w:val="100"/>
          <w:position w:val="0"/>
          <w:shd w:val="clear" w:color="auto" w:fill="auto"/>
        </w:rPr>
        <w:t xml:space="preserve">Iserloh, Die </w:t>
      </w:r>
      <w:r>
        <w:rPr>
          <w:color w:val="000000"/>
          <w:spacing w:val="0"/>
          <w:w w:val="100"/>
          <w:position w:val="0"/>
          <w:shd w:val="clear" w:color="auto" w:fill="auto"/>
          <w:lang w:val="hr-HR" w:eastAsia="hr-HR" w:bidi="hr-HR"/>
        </w:rPr>
        <w:t xml:space="preserve">Gcschichtc dcr oku- </w:t>
      </w:r>
      <w:r>
        <w:rPr>
          <w:color w:val="000000"/>
          <w:spacing w:val="0"/>
          <w:w w:val="100"/>
          <w:position w:val="0"/>
          <w:shd w:val="clear" w:color="auto" w:fill="auto"/>
        </w:rPr>
        <w:t xml:space="preserve">mcnischen Bcwcgung,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 xml:space="preserve">Handbuch dcr Kirchengeschichte, </w:t>
      </w:r>
      <w:r>
        <w:rPr>
          <w:color w:val="000000"/>
          <w:spacing w:val="0"/>
          <w:w w:val="100"/>
          <w:position w:val="0"/>
          <w:shd w:val="clear" w:color="auto" w:fill="auto"/>
          <w:lang w:val="hr-HR" w:eastAsia="hr-HR" w:bidi="hr-HR"/>
        </w:rPr>
        <w:t xml:space="preserve">Bd. VII, </w:t>
      </w:r>
      <w:r>
        <w:rPr>
          <w:color w:val="000000"/>
          <w:spacing w:val="0"/>
          <w:w w:val="100"/>
          <w:position w:val="0"/>
          <w:shd w:val="clear" w:color="auto" w:fill="auto"/>
        </w:rPr>
        <w:t xml:space="preserve">Frcihurg/BascL'Wicn </w:t>
      </w:r>
      <w:r>
        <w:rPr>
          <w:color w:val="000000"/>
          <w:spacing w:val="0"/>
          <w:w w:val="100"/>
          <w:position w:val="0"/>
          <w:shd w:val="clear" w:color="auto" w:fill="auto"/>
          <w:lang w:val="hr-HR" w:eastAsia="hr-HR" w:bidi="hr-HR"/>
        </w:rPr>
        <w:t xml:space="preserve">1979, 458-473; 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Konfcssioncn und Okumcnc, u: </w:t>
      </w:r>
      <w:r>
        <w:rPr>
          <w:i/>
          <w:iCs/>
          <w:color w:val="000000"/>
          <w:spacing w:val="0"/>
          <w:w w:val="100"/>
          <w:position w:val="0"/>
          <w:shd w:val="clear" w:color="auto" w:fill="auto"/>
          <w:lang w:val="hr-HR" w:eastAsia="hr-HR" w:bidi="hr-HR"/>
        </w:rPr>
        <w:t xml:space="preserve">Christlicher Glaube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modemer </w:t>
      </w:r>
      <w:r>
        <w:rPr>
          <w:i/>
          <w:iCs/>
          <w:color w:val="000000"/>
          <w:spacing w:val="0"/>
          <w:w w:val="100"/>
          <w:position w:val="0"/>
          <w:shd w:val="clear" w:color="auto" w:fill="auto"/>
        </w:rPr>
        <w:t>Gesellschaft,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Bd. 29. Frciburg/BascIAVien 1982, 189-233; </w:t>
      </w:r>
      <w:r>
        <w:rPr>
          <w:color w:val="000000"/>
          <w:spacing w:val="0"/>
          <w:w w:val="100"/>
          <w:position w:val="0"/>
          <w:shd w:val="clear" w:color="auto" w:fill="auto"/>
        </w:rPr>
        <w:t xml:space="preserve">J. Ratzinger, Die </w:t>
      </w:r>
      <w:r>
        <w:rPr>
          <w:color w:val="000000"/>
          <w:spacing w:val="0"/>
          <w:w w:val="100"/>
          <w:position w:val="0"/>
          <w:shd w:val="clear" w:color="auto" w:fill="auto"/>
          <w:lang w:val="hr-HR" w:eastAsia="hr-HR" w:bidi="hr-HR"/>
        </w:rPr>
        <w:t xml:space="preserve">Formalpriozipicn </w:t>
      </w:r>
      <w:r>
        <w:rPr>
          <w:color w:val="000000"/>
          <w:spacing w:val="0"/>
          <w:w w:val="100"/>
          <w:position w:val="0"/>
          <w:shd w:val="clear" w:color="auto" w:fill="auto"/>
        </w:rPr>
        <w:t xml:space="preserve">des Christen- turns </w:t>
      </w:r>
      <w:r>
        <w:rPr>
          <w:color w:val="000000"/>
          <w:spacing w:val="0"/>
          <w:w w:val="100"/>
          <w:position w:val="0"/>
          <w:shd w:val="clear" w:color="auto" w:fill="auto"/>
          <w:lang w:val="hr-HR" w:eastAsia="hr-HR" w:bidi="hr-HR"/>
        </w:rPr>
        <w:t xml:space="preserve">im okumcnischcn Disput, u: isti, </w:t>
      </w:r>
      <w:r>
        <w:rPr>
          <w:i/>
          <w:iCs/>
          <w:color w:val="000000"/>
          <w:spacing w:val="0"/>
          <w:w w:val="100"/>
          <w:position w:val="0"/>
          <w:shd w:val="clear" w:color="auto" w:fill="auto"/>
          <w:lang w:val="hr-HR" w:eastAsia="hr-HR" w:bidi="hr-HR"/>
        </w:rPr>
        <w:t xml:space="preserve">Thevlogische Prin- zipienlehre. Bausleine zur Fundament </w:t>
      </w:r>
      <w:r>
        <w:rPr>
          <w:i/>
          <w:iCs/>
          <w:color w:val="000000"/>
          <w:spacing w:val="0"/>
          <w:w w:val="100"/>
          <w:position w:val="0"/>
          <w:shd w:val="clear" w:color="auto" w:fill="auto"/>
        </w:rPr>
        <w:t xml:space="preserve">alike </w:t>
      </w:r>
      <w:r>
        <w:rPr>
          <w:i/>
          <w:iCs/>
          <w:color w:val="000000"/>
          <w:spacing w:val="0"/>
          <w:w w:val="100"/>
          <w:position w:val="0"/>
          <w:shd w:val="clear" w:color="auto" w:fill="auto"/>
          <w:lang w:val="hr-HR" w:eastAsia="hr-HR" w:bidi="hr-HR"/>
        </w:rPr>
        <w:t>ologie,</w:t>
      </w:r>
      <w:r>
        <w:rPr>
          <w:color w:val="000000"/>
          <w:spacing w:val="0"/>
          <w:w w:val="100"/>
          <w:position w:val="0"/>
          <w:shd w:val="clear" w:color="auto" w:fill="auto"/>
          <w:lang w:val="hr-HR" w:eastAsia="hr-HR" w:bidi="hr-HR"/>
        </w:rPr>
        <w:t xml:space="preserve"> Miinchen</w:t>
      </w:r>
    </w:p>
    <w:p>
      <w:pPr>
        <w:pStyle w:val="Style56"/>
        <w:keepNext w:val="0"/>
        <w:keepLines w:val="0"/>
        <w:widowControl w:val="0"/>
        <w:numPr>
          <w:ilvl w:val="0"/>
          <w:numId w:val="131"/>
        </w:numPr>
        <w:shd w:val="clear" w:color="auto" w:fill="auto"/>
        <w:tabs>
          <w:tab w:pos="404"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201-250; </w:t>
      </w:r>
      <w:r>
        <w:rPr>
          <w:color w:val="000000"/>
          <w:spacing w:val="0"/>
          <w:w w:val="100"/>
          <w:position w:val="0"/>
          <w:shd w:val="clear" w:color="auto" w:fill="auto"/>
        </w:rPr>
        <w:t>J. Auer,</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Kirche-Dasaiigemelne Heilssak- rament</w:t>
      </w:r>
      <w:r>
        <w:rPr>
          <w:color w:val="000000"/>
          <w:spacing w:val="0"/>
          <w:w w:val="100"/>
          <w:position w:val="0"/>
          <w:shd w:val="clear" w:color="auto" w:fill="auto"/>
          <w:lang w:val="hr-HR" w:eastAsia="hr-HR" w:bidi="hr-HR"/>
        </w:rPr>
        <w:t xml:space="preserve"> (KJcinc katholiscl&gt;c Dogmatik, Bd. 8), </w:t>
      </w:r>
      <w:r>
        <w:rPr>
          <w:color w:val="000000"/>
          <w:spacing w:val="0"/>
          <w:w w:val="100"/>
          <w:position w:val="0"/>
          <w:shd w:val="clear" w:color="auto" w:fill="auto"/>
        </w:rPr>
        <w:t>Regensburg</w:t>
      </w:r>
    </w:p>
    <w:p>
      <w:pPr>
        <w:pStyle w:val="Style56"/>
        <w:keepNext w:val="0"/>
        <w:keepLines w:val="0"/>
        <w:widowControl w:val="0"/>
        <w:numPr>
          <w:ilvl w:val="0"/>
          <w:numId w:val="133"/>
        </w:numPr>
        <w:shd w:val="clear" w:color="auto" w:fill="auto"/>
        <w:tabs>
          <w:tab w:pos="404"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329-350; H. </w:t>
      </w:r>
      <w:r>
        <w:rPr>
          <w:color w:val="000000"/>
          <w:spacing w:val="0"/>
          <w:w w:val="100"/>
          <w:position w:val="0"/>
          <w:shd w:val="clear" w:color="auto" w:fill="auto"/>
        </w:rPr>
        <w:t xml:space="preserve">Meyer.«. J. </w:t>
      </w:r>
      <w:r>
        <w:rPr>
          <w:color w:val="000000"/>
          <w:spacing w:val="0"/>
          <w:w w:val="100"/>
          <w:position w:val="0"/>
          <w:shd w:val="clear" w:color="auto" w:fill="auto"/>
          <w:lang w:val="hr-HR" w:eastAsia="hr-HR" w:bidi="hr-HR"/>
        </w:rPr>
        <w:t xml:space="preserve">Urban/L. </w:t>
      </w:r>
      <w:r>
        <w:rPr>
          <w:color w:val="000000"/>
          <w:spacing w:val="0"/>
          <w:w w:val="100"/>
          <w:position w:val="0"/>
          <w:shd w:val="clear" w:color="auto" w:fill="auto"/>
        </w:rPr>
        <w:t xml:space="preserve">Vischer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Dokumente ivuchsender Ubercinstimmung,</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Paderborn/ </w:t>
      </w:r>
      <w:r>
        <w:rPr>
          <w:color w:val="000000"/>
          <w:spacing w:val="0"/>
          <w:w w:val="100"/>
          <w:position w:val="0"/>
          <w:shd w:val="clear" w:color="auto" w:fill="auto"/>
          <w:lang w:val="hr-HR" w:eastAsia="hr-HR" w:bidi="hr-HR"/>
        </w:rPr>
        <w:t xml:space="preserve">Frankfurt 1983; L. Hagcmann, </w:t>
      </w:r>
      <w:r>
        <w:rPr>
          <w:i/>
          <w:iCs/>
          <w:color w:val="000000"/>
          <w:spacing w:val="0"/>
          <w:w w:val="100"/>
          <w:position w:val="0"/>
          <w:shd w:val="clear" w:color="auto" w:fill="auto"/>
          <w:lang w:val="hr-HR" w:eastAsia="hr-HR" w:bidi="hr-HR"/>
        </w:rPr>
        <w:t>Christentum. Furdus Gesprach mit Muslimen,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Altenberge </w:t>
      </w:r>
      <w:r>
        <w:rPr>
          <w:color w:val="000000"/>
          <w:spacing w:val="0"/>
          <w:w w:val="100"/>
          <w:position w:val="0"/>
          <w:shd w:val="clear" w:color="auto" w:fill="auto"/>
          <w:vertAlign w:val="superscript"/>
          <w:lang w:val="hr-HR" w:eastAsia="hr-HR" w:bidi="hr-HR"/>
        </w:rPr>
        <w:t>5</w:t>
      </w:r>
      <w:r>
        <w:rPr>
          <w:color w:val="000000"/>
          <w:spacing w:val="0"/>
          <w:w w:val="100"/>
          <w:position w:val="0"/>
          <w:shd w:val="clear" w:color="auto" w:fill="auto"/>
          <w:lang w:val="hr-HR" w:eastAsia="hr-HR" w:bidi="hr-HR"/>
        </w:rPr>
        <w:t xml:space="preserve">1986,127-134; isti. </w:t>
      </w:r>
      <w:r>
        <w:rPr>
          <w:i/>
          <w:iCs/>
          <w:color w:val="000000"/>
          <w:spacing w:val="0"/>
          <w:w w:val="100"/>
          <w:position w:val="0"/>
          <w:shd w:val="clear" w:color="auto" w:fill="auto"/>
          <w:lang w:val="hr-HR" w:eastAsia="hr-HR" w:bidi="hr-HR"/>
        </w:rPr>
        <w:t xml:space="preserve">Christentum und </w:t>
      </w:r>
      <w:r>
        <w:rPr>
          <w:i/>
          <w:iCs/>
          <w:color w:val="000000"/>
          <w:spacing w:val="0"/>
          <w:w w:val="100"/>
          <w:position w:val="0"/>
          <w:shd w:val="clear" w:color="auto" w:fill="auto"/>
        </w:rPr>
        <w:t xml:space="preserve">Islam znischen /Confrontation </w:t>
      </w:r>
      <w:r>
        <w:rPr>
          <w:i/>
          <w:iCs/>
          <w:color w:val="000000"/>
          <w:spacing w:val="0"/>
          <w:w w:val="100"/>
          <w:position w:val="0"/>
          <w:shd w:val="clear" w:color="auto" w:fill="auto"/>
          <w:lang w:val="hr-HR" w:eastAsia="hr-HR" w:bidi="hr-HR"/>
        </w:rPr>
        <w:t xml:space="preserve">und Begcgnung (Studien, </w:t>
      </w:r>
      <w:r>
        <w:rPr>
          <w:color w:val="000000"/>
          <w:spacing w:val="0"/>
          <w:w w:val="100"/>
          <w:position w:val="0"/>
          <w:shd w:val="clear" w:color="auto" w:fill="auto"/>
          <w:lang w:val="hr-HR" w:eastAsia="hr-HR" w:bidi="hr-HR"/>
        </w:rPr>
        <w:t xml:space="preserve">Bd. 4), </w:t>
      </w:r>
      <w:r>
        <w:rPr>
          <w:color w:val="000000"/>
          <w:spacing w:val="0"/>
          <w:w w:val="100"/>
          <w:position w:val="0"/>
          <w:shd w:val="clear" w:color="auto" w:fill="auto"/>
        </w:rPr>
        <w:t xml:space="preserve">Altenberge </w:t>
      </w:r>
      <w:r>
        <w:rPr>
          <w:color w:val="000000"/>
          <w:spacing w:val="0"/>
          <w:w w:val="100"/>
          <w:position w:val="0"/>
          <w:shd w:val="clear" w:color="auto" w:fill="auto"/>
          <w:lang w:val="hr-HR" w:eastAsia="hr-HR" w:bidi="hr-HR"/>
        </w:rPr>
        <w:t xml:space="preserve">1983, 97-119; isti, </w:t>
      </w:r>
      <w:r>
        <w:rPr>
          <w:i/>
          <w:iCs/>
          <w:color w:val="000000"/>
          <w:spacing w:val="0"/>
          <w:w w:val="100"/>
          <w:position w:val="0"/>
          <w:shd w:val="clear" w:color="auto" w:fill="auto"/>
          <w:lang w:val="hr-HR" w:eastAsia="hr-HR" w:bidi="hr-HR"/>
        </w:rPr>
        <w:t xml:space="preserve">Prophelen - Zeugen </w:t>
      </w:r>
      <w:r>
        <w:rPr>
          <w:i/>
          <w:iCs/>
          <w:color w:val="000000"/>
          <w:spacing w:val="0"/>
          <w:w w:val="100"/>
          <w:position w:val="0"/>
          <w:shd w:val="clear" w:color="auto" w:fill="auto"/>
          <w:lang w:val="hr-HR" w:eastAsia="hr-HR" w:bidi="hr-HR"/>
        </w:rPr>
        <w:t>des Gluubens. Koranischc und biblisehe Deutungen</w:t>
      </w:r>
      <w:r>
        <w:rPr>
          <w:color w:val="000000"/>
          <w:spacing w:val="0"/>
          <w:w w:val="100"/>
          <w:position w:val="0"/>
          <w:shd w:val="clear" w:color="auto" w:fill="auto"/>
          <w:lang w:val="hr-HR" w:eastAsia="hr-HR" w:bidi="hr-HR"/>
        </w:rPr>
        <w:t xml:space="preserve"> (Islam und </w:t>
      </w:r>
      <w:r>
        <w:rPr>
          <w:color w:val="000000"/>
          <w:spacing w:val="0"/>
          <w:w w:val="100"/>
          <w:position w:val="0"/>
          <w:shd w:val="clear" w:color="auto" w:fill="auto"/>
        </w:rPr>
        <w:t xml:space="preserve">wcstliche Well, </w:t>
      </w:r>
      <w:r>
        <w:rPr>
          <w:color w:val="000000"/>
          <w:spacing w:val="0"/>
          <w:w w:val="100"/>
          <w:position w:val="0"/>
          <w:shd w:val="clear" w:color="auto" w:fill="auto"/>
          <w:lang w:val="hr-HR" w:eastAsia="hr-HR" w:bidi="hr-HR"/>
        </w:rPr>
        <w:t>Bd. 7), GrazAVicn/Kdln 1985.</w:t>
      </w:r>
    </w:p>
    <w:p>
      <w:pPr>
        <w:pStyle w:val="Style56"/>
        <w:keepNext w:val="0"/>
        <w:keepLines w:val="0"/>
        <w:widowControl w:val="0"/>
        <w:shd w:val="clear" w:color="auto" w:fill="auto"/>
        <w:bidi w:val="0"/>
        <w:spacing w:before="0" w:after="0" w:line="480" w:lineRule="auto"/>
        <w:ind w:left="0" w:right="0" w:firstLine="2260"/>
        <w:jc w:val="both"/>
      </w:pPr>
      <w:r>
        <w:rPr>
          <w:b/>
          <w:bCs/>
          <w:color w:val="000000"/>
          <w:spacing w:val="0"/>
          <w:w w:val="100"/>
          <w:position w:val="0"/>
          <w:shd w:val="clear" w:color="auto" w:fill="auto"/>
          <w:lang w:val="hr-HR" w:eastAsia="hr-HR" w:bidi="hr-HR"/>
        </w:rPr>
        <w:t>L. HAGE'MANN 3. islamski</w:t>
      </w:r>
    </w:p>
    <w:p>
      <w:pPr>
        <w:pStyle w:val="Style20"/>
        <w:keepNext w:val="0"/>
        <w:keepLines w:val="0"/>
        <w:widowControl w:val="0"/>
        <w:shd w:val="clear" w:color="auto" w:fill="auto"/>
        <w:bidi w:val="0"/>
        <w:spacing w:before="0" w:after="0"/>
        <w:ind w:left="0" w:right="0" w:firstLine="0"/>
        <w:jc w:val="both"/>
        <w:sectPr>
          <w:headerReference w:type="default" r:id="rId415"/>
          <w:footerReference w:type="default" r:id="rId416"/>
          <w:headerReference w:type="even" r:id="rId417"/>
          <w:footerReference w:type="even" r:id="rId418"/>
          <w:footnotePr>
            <w:pos w:val="pageBottom"/>
            <w:numFmt w:val="decimal"/>
            <w:numStart w:val="5"/>
            <w:numRestart w:val="continuous"/>
            <w15:footnoteColumns w:val="1"/>
          </w:footnotePr>
          <w:pgSz w:w="6816" w:h="11006"/>
          <w:pgMar w:top="758" w:left="186" w:right="188" w:bottom="384" w:header="0" w:footer="3" w:gutter="0"/>
          <w:pgNumType w:start="140"/>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Budući da se islam u odnosu na svoj nauk shvaća kao ponovno uspostavljena autentična božanska objava iz biblijskoga vremena, ži</w:t>
        <w:softHyphen/>
        <w:t>dovstvo i kršćanstvo za njega su prethodeći elementi njegove geneze. Zapravo, islam se identificira s njima kao sa svojim vlastitim his</w:t>
        <w:softHyphen/>
        <w:t>torijskim pojavnim formama (ne kao sa svo</w:t>
        <w:softHyphen/>
        <w:t>jim predstupnjevima, kako to smatraju mnogi istraživači). Time je islam univerzalan u svojoj koncepcijskoj jezgri i u biblijski prethodno oblikovanom religijsko-povijesnom smislu. Eku</w:t>
        <w:softHyphen/>
        <w:t>menizam pretpostavlja stanovitu mjeru tole</w:t>
        <w:softHyphen/>
        <w:t>rantnosti i »priznavanja spasonosnosti«. Obje ove pretpostavke islam od početka iznosi u odnosu na Židove, kršćane i sabelijance koji zastupaju sve druge ljude koji vjeruju u Boga. »U vjeri nema prisiljavanja«, kaže se na 256. mjestu 2. sure. U jednoj drugoj suri može se, nasuprot tomu, naći sljedeći, promišljanja do</w:t>
        <w:softHyphen/>
        <w:t>stojan stav: »Muslimani (doslovce u tekstu: ‘oni koji vjeruju’) i oni koji pripadaju židov</w:t>
        <w:softHyphen/>
        <w:t xml:space="preserve">stvu, i poklonici zvijezda i kršćani - svi oni koji vjeruju u Boga i sudnji dan i koji čine ono što je pravedno, ne trebaju imati nikakva straha; oni (nakon obračuna na sudnjemu danu) neće biti tužni« (5,72). Ekumensko otvaranje čini islam pripravnim za dijalog: »I raspravljajte s pripadnicima Knjige </w:t>
      </w:r>
      <w:r>
        <w:rPr>
          <w:rFonts w:ascii="Times New Roman" w:eastAsia="Times New Roman" w:hAnsi="Times New Roman" w:cs="Times New Roman"/>
          <w:i/>
          <w:iCs/>
          <w:color w:val="000000"/>
          <w:spacing w:val="0"/>
          <w:w w:val="100"/>
          <w:position w:val="0"/>
          <w:shd w:val="clear" w:color="auto" w:fill="auto"/>
          <w:lang w:val="hr-HR" w:eastAsia="hr-HR" w:bidi="hr-HR"/>
        </w:rPr>
        <w:t>(Tevrata i Indžila)</w:t>
      </w:r>
      <w:r>
        <w:rPr>
          <w:rFonts w:ascii="Times New Roman" w:eastAsia="Times New Roman" w:hAnsi="Times New Roman" w:cs="Times New Roman"/>
          <w:color w:val="000000"/>
          <w:spacing w:val="0"/>
          <w:w w:val="100"/>
          <w:position w:val="0"/>
          <w:shd w:val="clear" w:color="auto" w:fill="auto"/>
          <w:lang w:val="hr-HR" w:eastAsia="hr-HR" w:bidi="hr-HR"/>
        </w:rPr>
        <w:t xml:space="preserve"> samo na najljepši način - 1 naš Bog i vaš Bog je je</w:t>
        <w:softHyphen/>
        <w:t>dan i mi smo mu pokorni« (29,46). Svjetska is</w:t>
        <w:softHyphen/>
        <w:t xml:space="preserve">lamska zajednica </w:t>
      </w:r>
      <w:r>
        <w:rPr>
          <w:rFonts w:ascii="Times New Roman" w:eastAsia="Times New Roman" w:hAnsi="Times New Roman" w:cs="Times New Roman"/>
          <w:i/>
          <w:iCs/>
          <w:color w:val="000000"/>
          <w:spacing w:val="0"/>
          <w:w w:val="100"/>
          <w:position w:val="0"/>
          <w:shd w:val="clear" w:color="auto" w:fill="auto"/>
          <w:lang w:val="hr-HR" w:eastAsia="hr-HR" w:bidi="hr-HR"/>
        </w:rPr>
        <w:t>(uma)</w:t>
      </w:r>
      <w:r>
        <w:rPr>
          <w:rFonts w:ascii="Times New Roman" w:eastAsia="Times New Roman" w:hAnsi="Times New Roman" w:cs="Times New Roman"/>
          <w:color w:val="000000"/>
          <w:spacing w:val="0"/>
          <w:w w:val="100"/>
          <w:position w:val="0"/>
          <w:shd w:val="clear" w:color="auto" w:fill="auto"/>
          <w:lang w:val="hr-HR" w:eastAsia="hr-HR" w:bidi="hr-HR"/>
        </w:rPr>
        <w:t xml:space="preserve"> bila je prvobitno za</w:t>
        <w:softHyphen/>
        <w:t xml:space="preserve">mišljena kao židovsko-kršćansko-muslimanska e. Tek kada je postalo jasno da je to želja samo jednoga partnera, a ne i drugih, pojam </w:t>
      </w:r>
      <w:r>
        <w:rPr>
          <w:rFonts w:ascii="Times New Roman" w:eastAsia="Times New Roman" w:hAnsi="Times New Roman" w:cs="Times New Roman"/>
          <w:i/>
          <w:iCs/>
          <w:color w:val="000000"/>
          <w:spacing w:val="0"/>
          <w:w w:val="100"/>
          <w:position w:val="0"/>
          <w:shd w:val="clear" w:color="auto" w:fill="auto"/>
          <w:lang w:val="hr-HR" w:eastAsia="hr-HR" w:bidi="hr-HR"/>
        </w:rPr>
        <w:t>ume</w:t>
      </w:r>
      <w:r>
        <w:rPr>
          <w:rFonts w:ascii="Times New Roman" w:eastAsia="Times New Roman" w:hAnsi="Times New Roman" w:cs="Times New Roman"/>
          <w:color w:val="000000"/>
          <w:spacing w:val="0"/>
          <w:w w:val="100"/>
          <w:position w:val="0"/>
          <w:shd w:val="clear" w:color="auto" w:fill="auto"/>
          <w:lang w:val="hr-HR" w:eastAsia="hr-HR" w:bidi="hr-HR"/>
        </w:rPr>
        <w:t xml:space="preserve"> reduciran jc na svoju unutarislamsku di</w:t>
        <w:softHyphen/>
        <w:t xml:space="preserve">menziju. Povijesna povelja, </w:t>
      </w:r>
      <w:r>
        <w:rPr>
          <w:rFonts w:ascii="Times New Roman" w:eastAsia="Times New Roman" w:hAnsi="Times New Roman" w:cs="Times New Roman"/>
          <w:i/>
          <w:iCs/>
          <w:color w:val="000000"/>
          <w:spacing w:val="0"/>
          <w:w w:val="100"/>
          <w:position w:val="0"/>
          <w:shd w:val="clear" w:color="auto" w:fill="auto"/>
          <w:lang w:val="hr-HR" w:eastAsia="hr-HR" w:bidi="hr-HR"/>
        </w:rPr>
        <w:t>Ustav Medine,</w:t>
      </w:r>
      <w:r>
        <w:rPr>
          <w:rFonts w:ascii="Times New Roman" w:eastAsia="Times New Roman" w:hAnsi="Times New Roman" w:cs="Times New Roman"/>
          <w:color w:val="000000"/>
          <w:spacing w:val="0"/>
          <w:w w:val="100"/>
          <w:position w:val="0"/>
          <w:shd w:val="clear" w:color="auto" w:fill="auto"/>
          <w:lang w:val="hr-HR" w:eastAsia="hr-HR" w:bidi="hr-HR"/>
        </w:rPr>
        <w:t xml:space="preserve"> ilu</w:t>
        <w:softHyphen/>
        <w:t>strativno pojašnjava taj izvorni ekumenski osjećaj. Ta povelja glasi: »U ime dobrostivoga i milostivoga Boga! Ovo je povelja Muhame</w:t>
        <w:softHyphen/>
        <w:t>da, Božjega poslanika, o odnosu između ise</w:t>
        <w:softHyphen/>
        <w:t>ljenika iz Meke i pomoćnika iz Medine. Oni su jedna zajednica. To ih razlikuje od nevjer</w:t>
        <w:softHyphen/>
        <w:t>nika. Vjernici se međusobno štite bez obzira na pleme ili srodstvo. Božja je zaštita jedna jedina. Židovi, naši sugrađani, uživaju jedna</w:t>
        <w:softHyphen/>
        <w:t xml:space="preserve">ku pomoć i potporu. Mir Božji je jedan jedini. Svi ugovori među vama i s njima počivaju na pravednosti i jednakosti. Židovi se vladaju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zakonima svoje religije, oni su podči</w:t>
        <w:softHyphen/>
        <w:t>njeni svojim vladarima. Židovima njihova vje</w:t>
        <w:softHyphen/>
        <w:t>ra, muslimanima njihova! Naš Bog i njihov Bog je jedan. Židovi i muslimani plaćaju jed</w:t>
        <w:softHyphen/>
        <w:t xml:space="preserve">nake prinose za opće dobro. Oni se zajedno pomažu protiv svakoga tko se bori protiv ljudi ove povelje. Ljudi ove povelje bore se protiv svakoga tko napada državu. Kurejšitima se ne pruža nikakva pomoć. Nitko tko je stupio u ovaj savez ne smije ga raskinuti. Doista, Bog se srdi kada se raskida Njegov Savez. Bog odobrava ovu povelju. Bog ćuva svakoga tko je iskren« </w:t>
      </w:r>
      <w:r>
        <w:rPr>
          <w:rFonts w:ascii="Times New Roman" w:eastAsia="Times New Roman" w:hAnsi="Times New Roman" w:cs="Times New Roman"/>
          <w:color w:val="000000"/>
          <w:spacing w:val="0"/>
          <w:w w:val="100"/>
          <w:position w:val="0"/>
          <w:shd w:val="clear" w:color="auto" w:fill="auto"/>
          <w:lang w:val="en-US" w:eastAsia="en-US" w:bidi="en-US"/>
        </w:rPr>
        <w:t xml:space="preserve">(Ibn Ishaq,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Leben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Profeten, </w:t>
      </w:r>
      <w:r>
        <w:rPr>
          <w:rFonts w:ascii="Times New Roman" w:eastAsia="Times New Roman" w:hAnsi="Times New Roman" w:cs="Times New Roman"/>
          <w:color w:val="000000"/>
          <w:spacing w:val="0"/>
          <w:w w:val="100"/>
          <w:position w:val="0"/>
          <w:shd w:val="clear" w:color="auto" w:fill="auto"/>
          <w:lang w:val="hr-HR" w:eastAsia="hr-HR" w:bidi="hr-HR"/>
        </w:rPr>
        <w:t>109-111).</w:t>
      </w:r>
    </w:p>
    <w:p>
      <w:pPr>
        <w:pStyle w:val="Style20"/>
        <w:keepNext w:val="0"/>
        <w:keepLines w:val="0"/>
        <w:widowControl w:val="0"/>
        <w:shd w:val="clear" w:color="auto" w:fill="auto"/>
        <w:tabs>
          <w:tab w:pos="2568" w:val="left"/>
        </w:tabs>
        <w:bidi w:val="0"/>
        <w:spacing w:before="0" w:after="3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Ekumensko mišljenje prožimlje više kontro</w:t>
        <w:softHyphen/>
        <w:t>verzi. Jedan primjer: »Ako čovjek ne bi pri</w:t>
        <w:softHyphen/>
        <w:t>pitomio jednoga čovjeka pomoću drugih ljudi, doista, onda bi bi bili uništeni samostani, crkve, sinagoge i džamije, u kojima se nepre</w:t>
        <w:softHyphen/>
        <w:t xml:space="preserve">stano izgovara ime Božje. No Bog će sigurno pomoći onomu koji Njegovu stvar usvaja kao svoju«. Nasuprot ovom solidarnom stavu, koji je iznenađujuće otvoren prema svijetu, Paul </w:t>
      </w:r>
      <w:r>
        <w:rPr>
          <w:rFonts w:ascii="Times New Roman" w:eastAsia="Times New Roman" w:hAnsi="Times New Roman" w:cs="Times New Roman"/>
          <w:color w:val="000000"/>
          <w:spacing w:val="0"/>
          <w:w w:val="100"/>
          <w:position w:val="0"/>
          <w:shd w:val="clear" w:color="auto" w:fill="auto"/>
          <w:lang w:val="en-US" w:eastAsia="en-US" w:bidi="en-US"/>
        </w:rPr>
        <w:t xml:space="preserve">Sehwarzenau </w:t>
      </w:r>
      <w:r>
        <w:rPr>
          <w:rFonts w:ascii="Times New Roman" w:eastAsia="Times New Roman" w:hAnsi="Times New Roman" w:cs="Times New Roman"/>
          <w:color w:val="000000"/>
          <w:spacing w:val="0"/>
          <w:w w:val="100"/>
          <w:position w:val="0"/>
          <w:shd w:val="clear" w:color="auto" w:fill="auto"/>
          <w:lang w:val="hr-HR" w:eastAsia="hr-HR" w:bidi="hr-HR"/>
        </w:rPr>
        <w:t>se osjeća potaknutim na sljede</w:t>
        <w:softHyphen/>
        <w:t>će razmišljanje: »U temeljnom ekumenskom stavu Kurana leži jedna korektura razumije</w:t>
        <w:softHyphen/>
        <w:t>vanja misije koju kršćanstvo trajno ne smije izbjeći. Kuranska poruka glasi: Zahtjev za pri</w:t>
        <w:softHyphen/>
        <w:t>znavanjem vjere, za dijalogom i za proširiva</w:t>
        <w:softHyphen/>
        <w:t>njem razumijevanja objave: Bog se otkrio lju</w:t>
        <w:softHyphen/>
        <w:t xml:space="preserve">dima ne samo u Bibliji« (P. </w:t>
      </w:r>
      <w:r>
        <w:rPr>
          <w:rFonts w:ascii="Times New Roman" w:eastAsia="Times New Roman" w:hAnsi="Times New Roman" w:cs="Times New Roman"/>
          <w:color w:val="000000"/>
          <w:spacing w:val="0"/>
          <w:w w:val="100"/>
          <w:position w:val="0"/>
          <w:shd w:val="clear" w:color="auto" w:fill="auto"/>
          <w:lang w:val="en-US" w:eastAsia="en-US" w:bidi="en-US"/>
        </w:rPr>
        <w:t xml:space="preserve">Sehwarzenau,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 rankunde </w:t>
      </w:r>
      <w:r>
        <w:rPr>
          <w:rFonts w:ascii="Times New Roman" w:eastAsia="Times New Roman" w:hAnsi="Times New Roman" w:cs="Times New Roman"/>
          <w:i/>
          <w:iCs/>
          <w:color w:val="000000"/>
          <w:spacing w:val="0"/>
          <w:w w:val="100"/>
          <w:position w:val="0"/>
          <w:shd w:val="clear" w:color="auto" w:fill="auto"/>
          <w:lang w:val="en-US" w:eastAsia="en-US" w:bidi="en-US"/>
        </w:rPr>
        <w:t xml:space="preserve">fiir Christen.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Ein Zugang zum heili- gen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Buch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Moslems,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Stuttgart/Berlin 1982, 118).</w:t>
        <w:tab/>
        <w:t>S BAI.IĆ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ESHATOLOGUA</w:t>
      </w:r>
    </w:p>
    <w:p>
      <w:pPr>
        <w:pStyle w:val="Style63"/>
        <w:keepNext/>
        <w:keepLines/>
        <w:widowControl w:val="0"/>
        <w:numPr>
          <w:ilvl w:val="0"/>
          <w:numId w:val="135"/>
        </w:numPr>
        <w:shd w:val="clear" w:color="auto" w:fill="auto"/>
        <w:tabs>
          <w:tab w:pos="246" w:val="left"/>
        </w:tabs>
        <w:bidi w:val="0"/>
        <w:spacing w:before="0"/>
        <w:ind w:left="0" w:right="0" w:firstLine="0"/>
        <w:jc w:val="both"/>
      </w:pPr>
      <w:bookmarkStart w:id="95" w:name="bookmark95"/>
      <w:r>
        <w:rPr>
          <w:rFonts w:ascii="Times New Roman" w:eastAsia="Times New Roman" w:hAnsi="Times New Roman" w:cs="Times New Roman"/>
          <w:color w:val="000000"/>
          <w:spacing w:val="0"/>
          <w:w w:val="100"/>
          <w:position w:val="0"/>
          <w:shd w:val="clear" w:color="auto" w:fill="auto"/>
          <w:lang w:val="hr-HR" w:eastAsia="hr-HR" w:bidi="hr-HR"/>
        </w:rPr>
        <w:t>židovski</w:t>
      </w:r>
      <w:bookmarkEnd w:id="9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Eshatologijom (grč. </w:t>
      </w:r>
      <w:r>
        <w:rPr>
          <w:rFonts w:ascii="Times New Roman" w:eastAsia="Times New Roman" w:hAnsi="Times New Roman" w:cs="Times New Roman"/>
          <w:i/>
          <w:iCs/>
          <w:color w:val="000000"/>
          <w:spacing w:val="0"/>
          <w:w w:val="100"/>
          <w:position w:val="0"/>
          <w:shd w:val="clear" w:color="auto" w:fill="auto"/>
          <w:lang w:val="hr-HR" w:eastAsia="hr-HR" w:bidi="hr-HR"/>
        </w:rPr>
        <w:t>ta eshata</w:t>
      </w:r>
      <w:r>
        <w:rPr>
          <w:rFonts w:ascii="Times New Roman" w:eastAsia="Times New Roman" w:hAnsi="Times New Roman" w:cs="Times New Roman"/>
          <w:color w:val="000000"/>
          <w:spacing w:val="0"/>
          <w:w w:val="100"/>
          <w:position w:val="0"/>
          <w:shd w:val="clear" w:color="auto" w:fill="auto"/>
          <w:lang w:val="hr-HR" w:eastAsia="hr-HR" w:bidi="hr-HR"/>
        </w:rPr>
        <w:t xml:space="preserve"> = »posljednje stvari«) smatra se u SZ snažno događanje Bo</w:t>
        <w:softHyphen/>
        <w:t>ga u bliskoj ili (uglavnom) daljoj budućnosti, koje će ponovno uspostaviti negdašnje »raj</w:t>
        <w:softHyphen/>
        <w:t>sko« stanje na zemlji. Stari istok i te kako poznaje eshatološke predodžbe. U znakove početnih događaja u eshatologiji, u »posljed</w:t>
        <w:softHyphen/>
        <w:t>nje vrijeme«, ubrajaju se povratak Izraela, raspršenog po cijelom svijetu, u svoju zemlju, obnova razorenih gradova i oplođenje pusti</w:t>
        <w:softHyphen/>
        <w:t xml:space="preserve">nje. Proroci, posebice Amos (oko 750. pr. Kr.), govore o prethodnom »danu Božjem«, koji se, dakako, ne smije oslikavati svijetlim </w:t>
      </w:r>
      <w:r>
        <w:rPr>
          <w:rFonts w:ascii="Times New Roman" w:eastAsia="Times New Roman" w:hAnsi="Times New Roman" w:cs="Times New Roman"/>
          <w:color w:val="000000"/>
          <w:spacing w:val="0"/>
          <w:w w:val="100"/>
          <w:position w:val="0"/>
          <w:shd w:val="clear" w:color="auto" w:fill="auto"/>
          <w:lang w:val="hr-HR" w:eastAsia="hr-HR" w:bidi="hr-HR"/>
        </w:rPr>
        <w:t>bojama. Amos (5,18.20) povezuje s njim Božji sud nad prijestupnicima. Ipak ostaje »osta</w:t>
        <w:softHyphen/>
        <w:t>tak« koji osigurava budući opstanak Izraela. »Posljednje vrijeme« je vrijeme Mesije, mi</w:t>
        <w:softHyphen/>
        <w:t>rovnoga kneza iz Davidove dinastije (Iz 11,1). Njegova pojava donosi narodima spoznaju o Bogu i njegovu nauku (Iz 2,3). Rat nestaje sa zemlje i oružje će se pretopiti. Od oružja će nastati poljodjelsko oruđe. Oružje će se »pre- namijeniti« u oruđe. U vremenski završnoj, ne baš razjašnjivoj borbi Goga i Magoga (Ez 38-39) sila jc zla pobijeđena.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kasnobiblijskim tekstovima s eshatološkim događanjem povezuje se vjera u uskrsnuće mrtvih (Izaijina apokalipsa 24-27; Dn 12,1-2). Bog uništava smrt (Iz 25,7). Talmudska litera</w:t>
        <w:softHyphen/>
        <w:t>tura razrađuje eshatološku ideju: Prije Mesiji- na dolaska treba izdržati teško prijelazno raz</w:t>
        <w:softHyphen/>
        <w:t>doblje (Mišna, Sota IX,15). To je mesijanski »Jao!« koji se naziva i »tragovi Mesije«: »Drskost će uzeti maha, cijene previsoke... Vlada pada pod heretike, nema prijekora... Mudrost se učenjaka iskvarila. Tko se boji gri</w:t>
        <w:softHyphen/>
        <w:t>jeha, prezren je. Mladi posramljuju stare, stari ustaju (iz poštovanja) pred mladima... U ko</w:t>
        <w:softHyphen/>
        <w:t>ga se još možemo pouzdati? U našega nebes</w:t>
        <w:softHyphen/>
        <w:t xml:space="preserve">kog Oca.« Tek nakon razdoblja nećudoređa dolazi otkupljenje. Za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jc bitna okol</w:t>
        <w:softHyphen/>
        <w:t>nost da jc mesijansko kraljevstvo ovozemalj</w:t>
        <w:softHyphen/>
        <w:t>sko. Protiv pretjerano fantastičnoga kićenja onoga vremena okreće se Mojsije Majmonid (1135-1204): prema njemu razlikuju se »Mc- sijini dani« od prijašnjeg vremena samo time što nema »potlačenosti naroda«. Svaki je na</w:t>
        <w:softHyphen/>
        <w:t>rod slobodan i više se ne treba bojati rata. U II. stoljeću pos. Kr. mesijanska ideja postaje »dvotračna«. Ima dvojica Mesija: Mesija iz Josipovc kuće, koji pogiba u ratu, i pravi Me</w:t>
        <w:softHyphen/>
        <w:t>sija iz Davidove kuće. Mesijanski dualizam najvjerojatnije je posljedica neuspješne borbe za slobodu protiv rimskih gospodara Pales</w:t>
        <w:softHyphen/>
        <w:t xml:space="preserve">tine. Šimun </w:t>
      </w:r>
      <w:r>
        <w:rPr>
          <w:rFonts w:ascii="Times New Roman" w:eastAsia="Times New Roman" w:hAnsi="Times New Roman" w:cs="Times New Roman"/>
          <w:color w:val="000000"/>
          <w:spacing w:val="0"/>
          <w:w w:val="100"/>
          <w:position w:val="0"/>
          <w:shd w:val="clear" w:color="auto" w:fill="auto"/>
          <w:lang w:val="en-US" w:eastAsia="en-US" w:bidi="en-US"/>
        </w:rPr>
        <w:t xml:space="preserve">bar Kosiba, </w:t>
      </w:r>
      <w:r>
        <w:rPr>
          <w:rFonts w:ascii="Times New Roman" w:eastAsia="Times New Roman" w:hAnsi="Times New Roman" w:cs="Times New Roman"/>
          <w:color w:val="000000"/>
          <w:spacing w:val="0"/>
          <w:w w:val="100"/>
          <w:position w:val="0"/>
          <w:shd w:val="clear" w:color="auto" w:fill="auto"/>
          <w:lang w:val="hr-HR" w:eastAsia="hr-HR" w:bidi="hr-HR"/>
        </w:rPr>
        <w:t>kojega je mjerodavni Rabi Akiva proglasio mesijom (»sin zvijezde«, odatle Bar Kohba), pogiba u odlučujućoj Bitci kod Betera (135. pos. Kr.). Mesija.</w:t>
      </w:r>
    </w:p>
    <w:p>
      <w:pPr>
        <w:pStyle w:val="Style20"/>
        <w:keepNext w:val="0"/>
        <w:keepLines w:val="0"/>
        <w:widowControl w:val="0"/>
        <w:shd w:val="clear" w:color="auto" w:fill="auto"/>
        <w:bidi w:val="0"/>
        <w:spacing w:before="0" w:after="60"/>
        <w:ind w:left="0" w:right="0" w:firstLine="0"/>
        <w:jc w:val="both"/>
        <w:sectPr>
          <w:headerReference w:type="default" r:id="rId419"/>
          <w:footerReference w:type="default" r:id="rId420"/>
          <w:headerReference w:type="even" r:id="rId421"/>
          <w:footerReference w:type="even" r:id="rId422"/>
          <w:footnotePr>
            <w:pos w:val="pageBottom"/>
            <w:numFmt w:val="decimal"/>
            <w:numStart w:val="5"/>
            <w:numRestart w:val="continuous"/>
            <w15:footnoteColumns w:val="1"/>
          </w:footnotePr>
          <w:pgSz w:w="6816" w:h="11006"/>
          <w:pgMar w:top="758" w:left="186" w:right="188" w:bottom="384" w:header="0" w:footer="3" w:gutter="0"/>
          <w:pgNumType w:start="145"/>
          <w:cols w:num="2" w:space="184"/>
          <w:noEndnote/>
          <w:rtlGutter w:val="0"/>
          <w:docGrid w:linePitch="360"/>
        </w:sectPr>
      </w:pPr>
      <w:r>
        <mc:AlternateContent>
          <mc:Choice Requires="wps">
            <w:drawing>
              <wp:anchor distT="12700" distB="254000" distL="114300" distR="114300" simplePos="0" relativeHeight="125829389" behindDoc="0" locked="0" layoutInCell="1" allowOverlap="1">
                <wp:simplePos x="0" y="0"/>
                <wp:positionH relativeFrom="page">
                  <wp:posOffset>4022725</wp:posOffset>
                </wp:positionH>
                <wp:positionV relativeFrom="margin">
                  <wp:posOffset>6184900</wp:posOffset>
                </wp:positionV>
                <wp:extent cx="164465" cy="133985"/>
                <wp:wrapTopAndBottom/>
                <wp:docPr id="908" name="Shape 908"/>
                <a:graphic xmlns:a="http://schemas.openxmlformats.org/drawingml/2006/main">
                  <a:graphicData uri="http://schemas.microsoft.com/office/word/2010/wordprocessingShape">
                    <wps:wsp>
                      <wps:cNvSpPr txBox="1"/>
                      <wps:spPr>
                        <a:xfrm>
                          <a:ext cx="164465"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izi</w:t>
                            </w:r>
                          </w:p>
                        </w:txbxContent>
                      </wps:txbx>
                      <wps:bodyPr wrap="none" lIns="0" tIns="0" rIns="0" bIns="0">
                        <a:noAutoFit/>
                      </wps:bodyPr>
                    </wps:wsp>
                  </a:graphicData>
                </a:graphic>
              </wp:anchor>
            </w:drawing>
          </mc:Choice>
          <mc:Fallback>
            <w:pict>
              <v:shape id="_x0000_s1934" type="#_x0000_t202" style="position:absolute;margin-left:316.75pt;margin-top:487.pt;width:12.949999999999999pt;height:10.550000000000001pt;z-index:-125829364;mso-wrap-distance-left:9.pt;mso-wrap-distance-top:1.pt;mso-wrap-distance-right:9.pt;mso-wrap-distance-bottom:20.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izi</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U Talmudu je uskrsnuće mrtvih uzdignuto na obvezatno načelo vjere. Tko u njega čvrsto ne vjeruje, neće dočekati uskrsnuće (Mišna,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 xml:space="preserve">X,l). Ono jc moguće zbog toga što pokojnik ima malu neraspadljivu kost </w:t>
      </w:r>
      <w:r>
        <w:rPr>
          <w:rFonts w:ascii="Times New Roman" w:eastAsia="Times New Roman" w:hAnsi="Times New Roman" w:cs="Times New Roman"/>
          <w:i/>
          <w:iCs/>
          <w:color w:val="000000"/>
          <w:spacing w:val="0"/>
          <w:w w:val="100"/>
          <w:position w:val="0"/>
          <w:shd w:val="clear" w:color="auto" w:fill="auto"/>
          <w:lang w:val="hr-HR" w:eastAsia="hr-HR" w:bidi="hr-HR"/>
        </w:rPr>
        <w:t>(lus)</w:t>
      </w:r>
      <w:r>
        <w:rPr>
          <w:rFonts w:ascii="Times New Roman" w:eastAsia="Times New Roman" w:hAnsi="Times New Roman" w:cs="Times New Roman"/>
          <w:color w:val="000000"/>
          <w:spacing w:val="0"/>
          <w:w w:val="100"/>
          <w:position w:val="0"/>
          <w:shd w:val="clear" w:color="auto" w:fill="auto"/>
          <w:lang w:val="hr-HR" w:eastAsia="hr-HR" w:bidi="hr-HR"/>
        </w:rPr>
        <w:t xml:space="preserve"> u kralježnici; to je jedan od razloga zašto ži</w:t>
        <w:softHyphen/>
        <w:t xml:space="preserve">dovstvo odbija kremiranje. Eshatološke </w:t>
      </w:r>
      <w:r>
        <w:rPr>
          <w:rFonts w:ascii="Times New Roman" w:eastAsia="Times New Roman" w:hAnsi="Times New Roman" w:cs="Times New Roman"/>
          <w:color w:val="000000"/>
          <w:spacing w:val="0"/>
          <w:w w:val="100"/>
          <w:position w:val="0"/>
          <w:shd w:val="clear" w:color="auto" w:fill="auto"/>
          <w:lang w:val="en-US" w:eastAsia="en-US" w:bidi="en-US"/>
        </w:rPr>
        <w:t xml:space="preserve">pre-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dodžbe imaju i danas važnu ulogu u liturgiji. U središnjoj molitvi </w:t>
      </w:r>
      <w:r>
        <w:rPr>
          <w:rFonts w:ascii="Times New Roman" w:eastAsia="Times New Roman" w:hAnsi="Times New Roman" w:cs="Times New Roman"/>
          <w:i/>
          <w:iCs/>
          <w:color w:val="000000"/>
          <w:spacing w:val="0"/>
          <w:w w:val="100"/>
          <w:position w:val="0"/>
          <w:shd w:val="clear" w:color="auto" w:fill="auto"/>
          <w:lang w:val="hr-HR" w:eastAsia="hr-HR" w:bidi="hr-HR"/>
        </w:rPr>
        <w:t>Šemone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sa svojih de</w:t>
        <w:softHyphen/>
        <w:t>vetnaest (izvorno osamnaest) blagoslova moli se za »skupljanje izgnanog naroda«, »obnovu Jeruzalema« i »dolazak potomka tvojega slu</w:t>
        <w:softHyphen/>
        <w:t>ge Davida«. Drugi blagoslov obećava »oživ</w:t>
        <w:softHyphen/>
        <w:t>ljavanje mrtvih«. U povijesti židovskoga na</w:t>
        <w:softHyphen/>
        <w:t>roda i židovske vjere ponavljaju se pokušaji prizivanja mesijanskog vremena (pokret »lažnih« mesija). Najtemeljitiji je bio pokret koji je vo</w:t>
        <w:softHyphen/>
        <w:t>dio Sabetaj Cevi u XVII. stoljeću i uzdrmao široke slojeve naroda. Ponovno rođenje nove države Izraela, koja vraća »prognanike« kući, obnavlja Jeruzalem i oživljava pustinju za mno</w:t>
        <w:softHyphen/>
        <w:t>ge je Židove znak početka mesijanskog doba. Varaju li znakovi, pokazat će budućnost.</w:t>
      </w:r>
    </w:p>
    <w:p>
      <w:pPr>
        <w:pStyle w:val="Style56"/>
        <w:keepNext w:val="0"/>
        <w:keepLines w:val="0"/>
        <w:widowControl w:val="0"/>
        <w:shd w:val="clear" w:color="auto" w:fill="auto"/>
        <w:tabs>
          <w:tab w:pos="2213" w:val="left"/>
        </w:tabs>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H. Grcssmann, </w:t>
      </w:r>
      <w:r>
        <w:rPr>
          <w:i/>
          <w:iCs/>
          <w:color w:val="000000"/>
          <w:spacing w:val="0"/>
          <w:w w:val="100"/>
          <w:position w:val="0"/>
          <w:shd w:val="clear" w:color="auto" w:fill="auto"/>
          <w:lang w:val="hr-HR" w:eastAsia="hr-HR" w:bidi="hr-HR"/>
        </w:rPr>
        <w:t>Ursprung dcr israditisch-judischen Es- ehalologie,</w:t>
      </w:r>
      <w:r>
        <w:rPr>
          <w:color w:val="000000"/>
          <w:spacing w:val="0"/>
          <w:w w:val="100"/>
          <w:position w:val="0"/>
          <w:shd w:val="clear" w:color="auto" w:fill="auto"/>
          <w:lang w:val="hr-HR" w:eastAsia="hr-HR" w:bidi="hr-HR"/>
        </w:rPr>
        <w:t xml:space="preserve"> 1905. G. Hdlschcr,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Urspriinge der judischen Eschalologic,</w:t>
      </w:r>
      <w:r>
        <w:rPr>
          <w:color w:val="000000"/>
          <w:spacing w:val="0"/>
          <w:w w:val="100"/>
          <w:position w:val="0"/>
          <w:shd w:val="clear" w:color="auto" w:fill="auto"/>
          <w:lang w:val="hr-HR" w:eastAsia="hr-HR" w:bidi="hr-HR"/>
        </w:rPr>
        <w:t xml:space="preserve"> 1925; K. </w:t>
      </w:r>
      <w:r>
        <w:rPr>
          <w:color w:val="000000"/>
          <w:spacing w:val="0"/>
          <w:w w:val="100"/>
          <w:position w:val="0"/>
          <w:shd w:val="clear" w:color="auto" w:fill="auto"/>
        </w:rPr>
        <w:t xml:space="preserve">Schubert, </w:t>
      </w:r>
      <w:r>
        <w:rPr>
          <w:i/>
          <w:iCs/>
          <w:color w:val="000000"/>
          <w:spacing w:val="0"/>
          <w:w w:val="100"/>
          <w:position w:val="0"/>
          <w:shd w:val="clear" w:color="auto" w:fill="auto"/>
        </w:rPr>
        <w:t>Die Religion des nachbib- itschen Judeniums,</w:t>
      </w:r>
      <w:r>
        <w:rPr>
          <w:color w:val="000000"/>
          <w:spacing w:val="0"/>
          <w:w w:val="100"/>
          <w:position w:val="0"/>
          <w:shd w:val="clear" w:color="auto" w:fill="auto"/>
        </w:rPr>
        <w:t xml:space="preserve"> 1955; J. Klausncr, </w:t>
      </w:r>
      <w:r>
        <w:rPr>
          <w:i/>
          <w:iCs/>
          <w:color w:val="000000"/>
          <w:spacing w:val="0"/>
          <w:w w:val="100"/>
          <w:position w:val="0"/>
          <w:shd w:val="clear" w:color="auto" w:fill="auto"/>
        </w:rPr>
        <w:t>The Messianic Idea in Israel,</w:t>
      </w:r>
      <w:r>
        <w:rPr>
          <w:color w:val="000000"/>
          <w:spacing w:val="0"/>
          <w:w w:val="100"/>
          <w:position w:val="0"/>
          <w:shd w:val="clear" w:color="auto" w:fill="auto"/>
        </w:rPr>
        <w:t xml:space="preserve"> 1956.</w:t>
        <w:tab/>
        <w:t>K. GR/XDWOHU</w:t>
      </w:r>
    </w:p>
    <w:p>
      <w:pPr>
        <w:pStyle w:val="Style63"/>
        <w:keepNext/>
        <w:keepLines/>
        <w:widowControl w:val="0"/>
        <w:numPr>
          <w:ilvl w:val="0"/>
          <w:numId w:val="135"/>
        </w:numPr>
        <w:shd w:val="clear" w:color="auto" w:fill="auto"/>
        <w:tabs>
          <w:tab w:pos="260" w:val="left"/>
        </w:tabs>
        <w:bidi w:val="0"/>
        <w:spacing w:before="0"/>
        <w:ind w:left="0" w:right="0" w:firstLine="0"/>
        <w:jc w:val="both"/>
      </w:pPr>
      <w:bookmarkStart w:id="96" w:name="bookmark9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9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Pod </w:t>
      </w:r>
      <w:r>
        <w:rPr>
          <w:rFonts w:ascii="Times New Roman" w:eastAsia="Times New Roman" w:hAnsi="Times New Roman" w:cs="Times New Roman"/>
          <w:color w:val="000000"/>
          <w:spacing w:val="0"/>
          <w:w w:val="100"/>
          <w:position w:val="0"/>
          <w:shd w:val="clear" w:color="auto" w:fill="auto"/>
          <w:lang w:val="hr-HR" w:eastAsia="hr-HR" w:bidi="hr-HR"/>
        </w:rPr>
        <w:t>eshatologijom kao teološkim traktatom razumijeva se učenje o »posljednjim stvarima« koje ima za predmet konačnu sudbinu čovje</w:t>
        <w:softHyphen/>
        <w:t>ka kao pojedinca (individualna e.) i konačno dovršenje svijeta (kolektivna e.). Prema tomu, teme su individualne eshatologije: smrt kao svršetak mogućnosti za čovjeka da u ovome vremenu radi na »svom spasenju«, »poseban sud« koji prema katoličkom učenju slijedi od</w:t>
        <w:softHyphen/>
        <w:t>mah nakon smrti i razlikuje se od »općeg su</w:t>
        <w:softHyphen/>
        <w:t>da« na kraju vremena. Među kršćanskim crkva</w:t>
        <w:softHyphen/>
        <w:t>ma sporno je učenje o medustanju koje pruža mogućnost pročišćenja (čistilište) onima koji u ljubavi imaju još nesavršenosti i nedostataka - a to je pravoslavno i katoličko učenje. Pro</w:t>
        <w:softHyphen/>
        <w:t>testantske crkve odbacuju prihvaćanje među- stanja i mogućnost zagovora za mrtve kao nešto što se ne slaže s biblijskim stanjem stvari i kao ustupak pučkoj pobožnosti. Učenje o mogućnosti individualnog ispunjenja (nebo) i o konačnom promašaju spasenjskog cilja (pa</w:t>
        <w:softHyphen/>
        <w:t>kao) ozbiljno uzima čovjekovu slobodu odlu</w:t>
        <w:softHyphen/>
        <w:t>čivanja i vidi ljudski život kao jedinu šansu (neprihvaćanje učenja o selidbi duša) i kao neopozivu slobodnu odluku (neprihvaćanje učenja o općoj apokatastazi). Kolektivna c. obuhvaća teme Kristova ponovnog dolaska (paruzija), opće uskrsnuće mrtvih, opći sud i učenje o »novom nebu« i »novoj zemlji«. Tra</w:t>
        <w:softHyphen/>
      </w:r>
      <w:r>
        <w:rPr>
          <w:rFonts w:ascii="Times New Roman" w:eastAsia="Times New Roman" w:hAnsi="Times New Roman" w:cs="Times New Roman"/>
          <w:color w:val="000000"/>
          <w:spacing w:val="0"/>
          <w:w w:val="100"/>
          <w:position w:val="0"/>
          <w:shd w:val="clear" w:color="auto" w:fill="auto"/>
          <w:lang w:val="hr-HR" w:eastAsia="hr-HR" w:bidi="hr-HR"/>
        </w:rPr>
        <w:t>dicionalno obrađivanje toga traktata u povi</w:t>
        <w:softHyphen/>
        <w:t>jesti teologije dovelo je do potiskivanja esha- tologijc na rub teološkog učenja koje je do</w:t>
        <w:softHyphen/>
        <w:t>pustilo da e. nadalje bude predmet pobožne literature.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 gledamo povijesno-teološki, na početku učenja o eshatologiji stoji očekivanje skore Kristove paruzije u prakršćanstvu, kao što je zapisano u Pavlovim poslanicama i evanđelji</w:t>
        <w:softHyphen/>
        <w:t>ma. Izostanak ponovnoga Kristova dolaska vodi do promjene u očekivanju skorog dolas</w:t>
        <w:softHyphen/>
        <w:t>ka. Crkveni oci razvijaju učenje o odgodi pa</w:t>
        <w:softHyphen/>
        <w:t>ruzije kao o vremenu dovršenja svijeta ili - a to mišljenje prevladava - kao o vremenu po</w:t>
        <w:softHyphen/>
        <w:t>kore koje je Bog u svojoj dobroti pružio inače izgubljenom čovječanstvu. U srednjem vijeku e. se razvija u samostalan traktat koji se dugo nepromijenjeno, dakle sterilno, usmeno pre</w:t>
        <w:softHyphen/>
        <w:t>nosio u svojoj tematici i tumačenjima. Otprilike prije 50 godina došlo je do ponovnog oživ</w:t>
        <w:softHyphen/>
        <w:t xml:space="preserve">ljavanja, čak neke vrste ponovnog otkrivanja eshatologije koja je time iz ponešto prašinom pokrivenog teološkog traktata postala opće- teološka kategorija. Poticaji za to dolazili su osobito iz protestantske teologije. </w:t>
      </w:r>
      <w:r>
        <w:rPr>
          <w:rFonts w:ascii="Times New Roman" w:eastAsia="Times New Roman" w:hAnsi="Times New Roman" w:cs="Times New Roman"/>
          <w:color w:val="000000"/>
          <w:spacing w:val="0"/>
          <w:w w:val="100"/>
          <w:position w:val="0"/>
          <w:shd w:val="clear" w:color="auto" w:fill="auto"/>
          <w:lang w:val="en-US" w:eastAsia="en-US" w:bidi="en-US"/>
        </w:rPr>
        <w:t xml:space="preserve">J. Weiss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A. Schweitzer </w:t>
      </w:r>
      <w:r>
        <w:rPr>
          <w:rFonts w:ascii="Times New Roman" w:eastAsia="Times New Roman" w:hAnsi="Times New Roman" w:cs="Times New Roman"/>
          <w:color w:val="000000"/>
          <w:spacing w:val="0"/>
          <w:w w:val="100"/>
          <w:position w:val="0"/>
          <w:shd w:val="clear" w:color="auto" w:fill="auto"/>
          <w:lang w:val="hr-HR" w:eastAsia="hr-HR" w:bidi="hr-HR"/>
        </w:rPr>
        <w:t>zastupali su tezu da su odga</w:t>
        <w:softHyphen/>
        <w:t>đanje paruzije i zadaća očekivanja skorog svršetka tek omogućili postanak kršćanstva, pri čemu je cijena bila gubitak cshatološkoga na čije je mjesto došla dogmatika sa svojim bitnim iskazima. U dijalektičkoj teologiji e. je naglašeno stavljena u središte teološkog miš</w:t>
        <w:softHyphen/>
        <w:t xml:space="preserve">ljenja. Poznata je izjava K.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»Kršćan</w:t>
        <w:softHyphen/>
        <w:t>stvo koje sasvim i bez ostatka nije e., sasvim i bez ostatka nema veze s Kristom.« Isto tako za egzistencijalnu teologiju R. Bultmanna c. igra vodeću ulogu. F.. se shvaća kao e. sadaš</w:t>
        <w:softHyphen/>
        <w:t>njosti koja se s ljudima suočava u dotičnoj živ</w:t>
        <w:softHyphen/>
        <w:t>otnoj situaciji u obliku kerigme. U tom poi</w:t>
        <w:softHyphen/>
        <w:t>manju eshatologije nema mjesta za iskaze o budućnosti, kao što objašnjava sljedeća Bult- mannova izjava: »Kršćanska nada zna da se nada, ali ne zna čemu se nada.«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sadašnjoj teologiji c. igra veliku ulogu kao općeteološka kategorija u novom promišlja</w:t>
        <w:softHyphen/>
        <w:t>nju teologije povijesti, kod teološkog prodora u problematiku budućnosti, u raspravi o od</w:t>
        <w:softHyphen/>
        <w:t>nosu između povijesti svijeta i povijesti spa</w:t>
        <w:softHyphen/>
        <w:t xml:space="preserve">senja, kod teološkog sučeljavanja s unutar svjetskim ideologijama, utopijama i ostalim konceptima o svijetu. Uz poticaje iz biblijske i </w:t>
      </w:r>
      <w:r>
        <w:rPr>
          <w:rFonts w:ascii="Times New Roman" w:eastAsia="Times New Roman" w:hAnsi="Times New Roman" w:cs="Times New Roman"/>
          <w:color w:val="000000"/>
          <w:spacing w:val="0"/>
          <w:w w:val="100"/>
          <w:position w:val="0"/>
          <w:shd w:val="clear" w:color="auto" w:fill="auto"/>
          <w:lang w:val="hr-HR" w:eastAsia="hr-HR" w:bidi="hr-HR"/>
        </w:rPr>
        <w:t>dogmatske teologije na jednoj je strani prije svega izazov prirodno-znanstvenog i filozof- sko-evolucijskog poimanja svijeta, a na drugoj je strani marksizam kao povijcsno-filozofska, politička i društvena slika svijeta koja jc do</w:t>
        <w:softHyphen/>
        <w:t>vela do novoga teološkog shvaćanja kršćanske eshatologije. Izvanredan pokušaj da se spo</w:t>
        <w:softHyphen/>
        <w:t>znaje moderne prirodne znanosti i njezino mišljenje o evoluciji usklade s kršćanstvom, predstavlja djelo Teilharda de Chardina. Poti</w:t>
        <w:softHyphen/>
        <w:t>caji za novo promišljanje kršćanske nade do</w:t>
        <w:softHyphen/>
        <w:t xml:space="preserve">lazili su od E. Blocha, marksista židovskog podrijetla, koji je izvršio veliki utjecaj na J. </w:t>
      </w:r>
      <w:r>
        <w:rPr>
          <w:rFonts w:ascii="Times New Roman" w:eastAsia="Times New Roman" w:hAnsi="Times New Roman" w:cs="Times New Roman"/>
          <w:color w:val="000000"/>
          <w:spacing w:val="0"/>
          <w:w w:val="100"/>
          <w:position w:val="0"/>
          <w:shd w:val="clear" w:color="auto" w:fill="auto"/>
          <w:lang w:val="en-US" w:eastAsia="en-US" w:bidi="en-US"/>
        </w:rPr>
        <w:t xml:space="preserve">Moltmanna, </w:t>
      </w:r>
      <w:r>
        <w:rPr>
          <w:rFonts w:ascii="Times New Roman" w:eastAsia="Times New Roman" w:hAnsi="Times New Roman" w:cs="Times New Roman"/>
          <w:color w:val="000000"/>
          <w:spacing w:val="0"/>
          <w:w w:val="100"/>
          <w:position w:val="0"/>
          <w:shd w:val="clear" w:color="auto" w:fill="auto"/>
          <w:lang w:val="hr-HR" w:eastAsia="hr-HR" w:bidi="hr-HR"/>
        </w:rPr>
        <w:t xml:space="preserve">W. Pannenberga i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B. Metza. Natuknice toga teološkog napora su: teologija nade, teologija budućnosti i politička teolo</w:t>
        <w:softHyphen/>
        <w:t xml:space="preserve">gija. Bog se shvaća kao onaj koji dolazi, kao apsolutna budućnost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budućnost se vidi kao paradigma transcendencije (J. Moltmann). U sučeljavanju s futurologijom pojam utopije razumijeva se kao »realna uto</w:t>
        <w:softHyphen/>
        <w:t>pija« koja je ugrađena u kršćansku teologiju budućnosti. Pritom sc kao kriterij kršćanskog shvaćanja budućnosti unosi cshatološka za</w:t>
        <w:softHyphen/>
        <w:t>drška, koja treba osigurati da se spriječi ispu</w:t>
        <w:softHyphen/>
        <w:t>njenje unutar svijeta i sužavanje budućnosti, pa da ostane zajamčena transcendentalna otvo</w:t>
        <w:softHyphen/>
        <w:t>renost budućnosti koja stoji na raspolaganju samo Bogu.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toga ponovnog otkrivanja eshatologije jav</w:t>
        <w:softHyphen/>
        <w:t>lja se u pojačanoj mjeri zahtjev za hermeneu- tikom eshatoloških izjava. Izjave Svetoga pis</w:t>
        <w:softHyphen/>
        <w:t>ma o sudbini pojedinog čovjeka i svijeta mo</w:t>
        <w:softHyphen/>
        <w:t>raju se ispitati s obzirom na razliku između sadržaja iskazivanja i načina iskazivanja da bi u promijenjenom gledanju na svijet zadržale odnosno razvijale svoje značenje. Odnos pre</w:t>
        <w:softHyphen/>
        <w:t>ma evanđelju i nikakvo uzmicanje pred iskust</w:t>
        <w:softHyphen/>
        <w:t>vima iz stvarnosti koja ima današnji čovjek, kriteriji su koji moraju biti ispunjeni da se eshatološki iskazi ne bi krivo razumjeli kao čisto buduće najave. Tomu se pridružuje zah</w:t>
        <w:softHyphen/>
        <w:t>tjev da se budućnost uistinu shvaća kao ono što treba doći, što sc opire raščlanjivanju i razrje</w:t>
        <w:softHyphen/>
        <w:t>šavanju u čisto sadašnju ili čisto buduću csha- tologiju. U tako shvaćenoj cshatologiji Bog ostaje gospodar vremena i budućnosti, a buduć</w:t>
        <w:softHyphen/>
        <w:t>nost ostaje na raspolaganju Bogu uza svu čovje</w:t>
        <w:softHyphen/>
        <w:t>kovu odgovornost za vlastitu sudbinu i svijet.</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posljednja pradanost i polazište kršćan</w:t>
        <w:softHyphen/>
        <w:t xml:space="preserve">ske eshatologije ostaje smrt i uskrsnuće Isusa Krista. Polazeći od toga spasenjsko-povijesnog </w:t>
      </w:r>
      <w:r>
        <w:rPr>
          <w:rFonts w:ascii="Times New Roman" w:eastAsia="Times New Roman" w:hAnsi="Times New Roman" w:cs="Times New Roman"/>
          <w:color w:val="000000"/>
          <w:spacing w:val="0"/>
          <w:w w:val="100"/>
          <w:position w:val="0"/>
          <w:shd w:val="clear" w:color="auto" w:fill="auto"/>
          <w:lang w:val="hr-HR" w:eastAsia="hr-HR" w:bidi="hr-HR"/>
        </w:rPr>
        <w:t>čovjekova stanja, prihvaćenog u vjeri i milosti, mogu se činiti eshatološke izjave koje nisu sa</w:t>
        <w:softHyphen/>
        <w:t>mo buduće ekstrapolacije nego i prenošenje sadašnjega vjerskog uvjerenja u budućnost. Za židovsko-kršćanski dijalog bit će važno da kršćanin u svojoj vjeri u kraljevstvo, koje je već došlo u Isusu Kristu, ne podcijeni još izo</w:t>
        <w:softHyphen/>
        <w:t>stavljeno ispunjenje, pa da tako lakomisleno ne skrati napetost između »već« prispjelog spa</w:t>
        <w:softHyphen/>
        <w:t>senja i ispunjenja koje »još nije« uslijedilo.</w:t>
      </w:r>
    </w:p>
    <w:p>
      <w:pPr>
        <w:pStyle w:val="Style56"/>
        <w:keepNext w:val="0"/>
        <w:keepLines w:val="0"/>
        <w:widowControl w:val="0"/>
        <w:shd w:val="clear" w:color="auto" w:fill="auto"/>
        <w:tabs>
          <w:tab w:pos="2506" w:val="left"/>
        </w:tabs>
        <w:bidi w:val="0"/>
        <w:spacing w:before="0" w:after="240" w:line="240" w:lineRule="auto"/>
        <w:ind w:left="0" w:right="0" w:firstLine="0"/>
        <w:jc w:val="both"/>
      </w:pPr>
      <w:r>
        <w:rPr>
          <w:color w:val="000000"/>
          <w:spacing w:val="0"/>
          <w:w w:val="100"/>
          <w:position w:val="0"/>
          <w:shd w:val="clear" w:color="auto" w:fill="auto"/>
        </w:rPr>
        <w:t>I</w:t>
      </w:r>
      <w:r>
        <w:rPr>
          <w:color w:val="000000"/>
          <w:spacing w:val="0"/>
          <w:w w:val="100"/>
          <w:position w:val="0"/>
          <w:shd w:val="clear" w:color="auto" w:fill="auto"/>
          <w:lang w:val="hr-HR" w:eastAsia="hr-HR" w:bidi="hr-HR"/>
        </w:rPr>
        <w:t xml:space="preserve">jt.; P. </w:t>
      </w:r>
      <w:r>
        <w:rPr>
          <w:color w:val="000000"/>
          <w:spacing w:val="0"/>
          <w:w w:val="100"/>
          <w:position w:val="0"/>
          <w:shd w:val="clear" w:color="auto" w:fill="auto"/>
        </w:rPr>
        <w:t xml:space="preserve">Allhaus.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lelzlen Dinge,</w:t>
      </w:r>
      <w:r>
        <w:rPr>
          <w:color w:val="000000"/>
          <w:spacing w:val="0"/>
          <w:w w:val="100"/>
          <w:position w:val="0"/>
          <w:shd w:val="clear" w:color="auto" w:fill="auto"/>
          <w:lang w:val="hr-HR" w:eastAsia="hr-HR" w:bidi="hr-HR"/>
        </w:rPr>
        <w:t xml:space="preserve"> GiiCcndnh ’1957; A. </w:t>
      </w:r>
      <w:r>
        <w:rPr>
          <w:color w:val="000000"/>
          <w:spacing w:val="0"/>
          <w:w w:val="100"/>
          <w:position w:val="0"/>
          <w:shd w:val="clear" w:color="auto" w:fill="auto"/>
        </w:rPr>
        <w:t xml:space="preserve">Winklhofcr, </w:t>
      </w:r>
      <w:r>
        <w:rPr>
          <w:i/>
          <w:iCs/>
          <w:color w:val="000000"/>
          <w:spacing w:val="0"/>
          <w:w w:val="100"/>
          <w:position w:val="0"/>
          <w:shd w:val="clear" w:color="auto" w:fill="auto"/>
        </w:rPr>
        <w:t>Dus Kommen seines Reiches,</w:t>
      </w:r>
      <w:r>
        <w:rPr>
          <w:color w:val="000000"/>
          <w:spacing w:val="0"/>
          <w:w w:val="100"/>
          <w:position w:val="0"/>
          <w:shd w:val="clear" w:color="auto" w:fill="auto"/>
        </w:rPr>
        <w:t xml:space="preserve"> Frankfurt 1959; K. Rahner, </w:t>
      </w:r>
      <w:r>
        <w:rPr>
          <w:i/>
          <w:iCs/>
          <w:color w:val="000000"/>
          <w:spacing w:val="0"/>
          <w:w w:val="100"/>
          <w:position w:val="0"/>
          <w:shd w:val="clear" w:color="auto" w:fill="auto"/>
        </w:rPr>
        <w:t>Eschalologie,</w:t>
      </w:r>
      <w:r>
        <w:rPr>
          <w:color w:val="000000"/>
          <w:spacing w:val="0"/>
          <w:w w:val="100"/>
          <w:position w:val="0"/>
          <w:shd w:val="clear" w:color="auto" w:fill="auto"/>
        </w:rPr>
        <w:t xml:space="preserve"> Schriftcn Vlll. Einsicdcln 1967. 555-612;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Eschulologie,</w:t>
      </w:r>
      <w:r>
        <w:rPr>
          <w:color w:val="000000"/>
          <w:spacing w:val="0"/>
          <w:w w:val="100"/>
          <w:position w:val="0"/>
          <w:shd w:val="clear" w:color="auto" w:fill="auto"/>
        </w:rPr>
        <w:t xml:space="preserve"> SM I, 1183-1192; J. Moltmann. </w:t>
      </w:r>
      <w:r>
        <w:rPr>
          <w:i/>
          <w:iCs/>
          <w:color w:val="000000"/>
          <w:spacing w:val="0"/>
          <w:w w:val="100"/>
          <w:position w:val="0"/>
          <w:shd w:val="clear" w:color="auto" w:fill="auto"/>
        </w:rPr>
        <w:t>Theologie tier Hoffnung,</w:t>
      </w:r>
      <w:r>
        <w:rPr>
          <w:color w:val="000000"/>
          <w:spacing w:val="0"/>
          <w:w w:val="100"/>
          <w:position w:val="0"/>
          <w:shd w:val="clear" w:color="auto" w:fill="auto"/>
        </w:rPr>
        <w:t xml:space="preserve"> Munchcn </w:t>
      </w:r>
      <w:r>
        <w:rPr>
          <w:color w:val="000000"/>
          <w:spacing w:val="0"/>
          <w:w w:val="100"/>
          <w:position w:val="0"/>
          <w:shd w:val="clear" w:color="auto" w:fill="auto"/>
          <w:vertAlign w:val="superscript"/>
        </w:rPr>
        <w:t>R</w:t>
      </w:r>
      <w:r>
        <w:rPr>
          <w:color w:val="000000"/>
          <w:spacing w:val="0"/>
          <w:w w:val="100"/>
          <w:position w:val="0"/>
          <w:shd w:val="clear" w:color="auto" w:fill="auto"/>
        </w:rPr>
        <w:t xml:space="preserve">1969; Ch. Schiilz/H. Gross/K H. SchclklcAV Brcuning. </w:t>
      </w:r>
      <w:r>
        <w:rPr>
          <w:i/>
          <w:iCs/>
          <w:color w:val="000000"/>
          <w:spacing w:val="0"/>
          <w:w w:val="100"/>
          <w:position w:val="0"/>
          <w:shd w:val="clear" w:color="auto" w:fill="auto"/>
        </w:rPr>
        <w:t>Die Vollendttng tier Heilsgeschichle,</w:t>
      </w:r>
      <w:r>
        <w:rPr>
          <w:color w:val="000000"/>
          <w:spacing w:val="0"/>
          <w:w w:val="100"/>
          <w:position w:val="0"/>
          <w:shd w:val="clear" w:color="auto" w:fill="auto"/>
        </w:rPr>
        <w:t xml:space="preserve"> MS V, Einsicdcln 1976, 553-890 (v. tamo hibliografiju).</w:t>
        <w:tab/>
        <w:t>&lt;■&gt;. Evens</w:t>
      </w:r>
    </w:p>
    <w:p>
      <w:pPr>
        <w:pStyle w:val="Style63"/>
        <w:keepNext/>
        <w:keepLines/>
        <w:widowControl w:val="0"/>
        <w:numPr>
          <w:ilvl w:val="0"/>
          <w:numId w:val="135"/>
        </w:numPr>
        <w:shd w:val="clear" w:color="auto" w:fill="auto"/>
        <w:tabs>
          <w:tab w:pos="265" w:val="left"/>
        </w:tabs>
        <w:bidi w:val="0"/>
        <w:spacing w:before="0" w:after="80" w:line="226" w:lineRule="auto"/>
        <w:ind w:left="0" w:right="0" w:firstLine="0"/>
        <w:jc w:val="both"/>
      </w:pPr>
      <w:bookmarkStart w:id="97" w:name="bookmark97"/>
      <w:r>
        <w:rPr>
          <w:rFonts w:ascii="Times New Roman" w:eastAsia="Times New Roman" w:hAnsi="Times New Roman" w:cs="Times New Roman"/>
          <w:color w:val="000000"/>
          <w:spacing w:val="0"/>
          <w:w w:val="100"/>
          <w:position w:val="0"/>
          <w:shd w:val="clear" w:color="auto" w:fill="auto"/>
          <w:lang w:val="hr-HR" w:eastAsia="hr-HR" w:bidi="hr-HR"/>
        </w:rPr>
        <w:t>islamski</w:t>
      </w:r>
      <w:bookmarkEnd w:id="97"/>
    </w:p>
    <w:p>
      <w:pPr>
        <w:pStyle w:val="Style20"/>
        <w:keepNext w:val="0"/>
        <w:keepLines w:val="0"/>
        <w:widowControl w:val="0"/>
        <w:shd w:val="clear" w:color="auto" w:fill="auto"/>
        <w:bidi w:val="0"/>
        <w:spacing w:before="0" w:after="0" w:line="254" w:lineRule="auto"/>
        <w:ind w:left="0" w:right="0" w:firstLine="0"/>
        <w:jc w:val="both"/>
        <w:sectPr>
          <w:headerReference w:type="default" r:id="rId423"/>
          <w:footerReference w:type="default" r:id="rId424"/>
          <w:headerReference w:type="even" r:id="rId425"/>
          <w:footerReference w:type="even" r:id="rId426"/>
          <w:headerReference w:type="first" r:id="rId427"/>
          <w:footerReference w:type="first" r:id="rId428"/>
          <w:footnotePr>
            <w:pos w:val="pageBottom"/>
            <w:numFmt w:val="decimal"/>
            <w:numStart w:val="5"/>
            <w:numRestart w:val="continuous"/>
            <w15:footnoteColumns w:val="1"/>
          </w:footnotePr>
          <w:pgSz w:w="6816" w:h="11006"/>
          <w:pgMar w:top="758" w:left="186" w:right="188" w:bottom="384" w:header="0" w:footer="3" w:gutter="0"/>
          <w:pgNumType w:start="142"/>
          <w:cols w:num="2" w:space="18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Muhamed </w:t>
      </w:r>
      <w:r>
        <w:rPr>
          <w:rFonts w:ascii="Times New Roman" w:eastAsia="Times New Roman" w:hAnsi="Times New Roman" w:cs="Times New Roman"/>
          <w:color w:val="000000"/>
          <w:spacing w:val="0"/>
          <w:w w:val="100"/>
          <w:position w:val="0"/>
          <w:shd w:val="clear" w:color="auto" w:fill="auto"/>
          <w:lang w:val="en-US" w:eastAsia="en-US" w:bidi="en-US"/>
        </w:rPr>
        <w:t xml:space="preserve">jc </w:t>
      </w:r>
      <w:r>
        <w:rPr>
          <w:rFonts w:ascii="Times New Roman" w:eastAsia="Times New Roman" w:hAnsi="Times New Roman" w:cs="Times New Roman"/>
          <w:color w:val="000000"/>
          <w:spacing w:val="0"/>
          <w:w w:val="100"/>
          <w:position w:val="0"/>
          <w:shd w:val="clear" w:color="auto" w:fill="auto"/>
          <w:lang w:val="hr-HR" w:eastAsia="hr-HR" w:bidi="hr-HR"/>
        </w:rPr>
        <w:t>stupio na religijsko-povijesnu pozornicu kao kritičar društva i kao onaj koji opominje. Ukazujući na prolaznost svega ze</w:t>
        <w:softHyphen/>
        <w:t>maljskoga on jc žarkim riječima pozivao na promišljanje o Bogu. E. je bila u središtu opo</w:t>
        <w:softHyphen/>
        <w:t xml:space="preserve">mena: </w:t>
      </w:r>
      <w:r>
        <w:rPr>
          <w:rFonts w:ascii="Times New Roman" w:eastAsia="Times New Roman" w:hAnsi="Times New Roman" w:cs="Times New Roman"/>
          <w:i/>
          <w:iCs/>
          <w:color w:val="000000"/>
          <w:spacing w:val="0"/>
          <w:w w:val="100"/>
          <w:position w:val="0"/>
          <w:shd w:val="clear" w:color="auto" w:fill="auto"/>
          <w:lang w:val="hr-HR" w:eastAsia="hr-HR" w:bidi="hr-HR"/>
        </w:rPr>
        <w:t>»U ime Boga, Sveopćeg Dobročinitelja, Milostivog'. (Strašni)</w:t>
      </w:r>
      <w:r>
        <w:rPr>
          <w:rFonts w:ascii="Times New Roman" w:eastAsia="Times New Roman" w:hAnsi="Times New Roman" w:cs="Times New Roman"/>
          <w:color w:val="000000"/>
          <w:spacing w:val="0"/>
          <w:w w:val="100"/>
          <w:position w:val="0"/>
          <w:shd w:val="clear" w:color="auto" w:fill="auto"/>
          <w:lang w:val="hr-HR" w:eastAsia="hr-HR" w:bidi="hr-HR"/>
        </w:rPr>
        <w:t xml:space="preserve"> udarac </w:t>
      </w:r>
      <w:r>
        <w:rPr>
          <w:rFonts w:ascii="Times New Roman" w:eastAsia="Times New Roman" w:hAnsi="Times New Roman" w:cs="Times New Roman"/>
          <w:i/>
          <w:iCs/>
          <w:color w:val="000000"/>
          <w:spacing w:val="0"/>
          <w:w w:val="100"/>
          <w:position w:val="0"/>
          <w:shd w:val="clear" w:color="auto" w:fill="auto"/>
          <w:lang w:val="hr-HR" w:eastAsia="hr-HR" w:bidi="hr-HR"/>
        </w:rPr>
        <w:t>(sudnji dan)?</w:t>
      </w:r>
      <w:r>
        <w:rPr>
          <w:rFonts w:ascii="Times New Roman" w:eastAsia="Times New Roman" w:hAnsi="Times New Roman" w:cs="Times New Roman"/>
          <w:color w:val="000000"/>
          <w:spacing w:val="0"/>
          <w:w w:val="100"/>
          <w:position w:val="0"/>
          <w:shd w:val="clear" w:color="auto" w:fill="auto"/>
          <w:lang w:val="hr-HR" w:eastAsia="hr-HR" w:bidi="hr-HR"/>
        </w:rPr>
        <w:t xml:space="preserve"> I tko će reći, što je </w:t>
      </w:r>
      <w:r>
        <w:rPr>
          <w:rFonts w:ascii="Times New Roman" w:eastAsia="Times New Roman" w:hAnsi="Times New Roman" w:cs="Times New Roman"/>
          <w:i/>
          <w:iCs/>
          <w:color w:val="000000"/>
          <w:spacing w:val="0"/>
          <w:w w:val="100"/>
          <w:position w:val="0"/>
          <w:shd w:val="clear" w:color="auto" w:fill="auto"/>
          <w:lang w:val="hr-HR" w:eastAsia="hr-HR" w:bidi="hr-HR"/>
        </w:rPr>
        <w:t>(strašni)</w:t>
      </w:r>
      <w:r>
        <w:rPr>
          <w:rFonts w:ascii="Times New Roman" w:eastAsia="Times New Roman" w:hAnsi="Times New Roman" w:cs="Times New Roman"/>
          <w:color w:val="000000"/>
          <w:spacing w:val="0"/>
          <w:w w:val="100"/>
          <w:position w:val="0"/>
          <w:shd w:val="clear" w:color="auto" w:fill="auto"/>
          <w:lang w:val="hr-HR" w:eastAsia="hr-HR" w:bidi="hr-HR"/>
        </w:rPr>
        <w:t xml:space="preserve"> udarac </w:t>
      </w:r>
      <w:r>
        <w:rPr>
          <w:rFonts w:ascii="Times New Roman" w:eastAsia="Times New Roman" w:hAnsi="Times New Roman" w:cs="Times New Roman"/>
          <w:i/>
          <w:iCs/>
          <w:color w:val="000000"/>
          <w:spacing w:val="0"/>
          <w:w w:val="100"/>
          <w:position w:val="0"/>
          <w:shd w:val="clear" w:color="auto" w:fill="auto"/>
          <w:lang w:val="hr-HR" w:eastAsia="hr-HR" w:bidi="hr-HR"/>
        </w:rPr>
        <w:t xml:space="preserve">(sudnji dan)? </w:t>
      </w:r>
      <w:r>
        <w:rPr>
          <w:rFonts w:ascii="Times New Roman" w:eastAsia="Times New Roman" w:hAnsi="Times New Roman" w:cs="Times New Roman"/>
          <w:color w:val="000000"/>
          <w:spacing w:val="0"/>
          <w:w w:val="100"/>
          <w:position w:val="0"/>
          <w:shd w:val="clear" w:color="auto" w:fill="auto"/>
          <w:lang w:val="hr-HR" w:eastAsia="hr-HR" w:bidi="hr-HR"/>
        </w:rPr>
        <w:t xml:space="preserve">Toga dana će svijet biti kao raštrkani leptiri, a brda će biti kao raščupana vuna. Onaj čija mjera (vaga) bude teška </w:t>
      </w:r>
      <w:r>
        <w:rPr>
          <w:rFonts w:ascii="Times New Roman" w:eastAsia="Times New Roman" w:hAnsi="Times New Roman" w:cs="Times New Roman"/>
          <w:i/>
          <w:iCs/>
          <w:color w:val="000000"/>
          <w:spacing w:val="0"/>
          <w:w w:val="100"/>
          <w:position w:val="0"/>
          <w:shd w:val="clear" w:color="auto" w:fill="auto"/>
          <w:lang w:val="hr-HR" w:eastAsia="hr-HR" w:bidi="hr-HR"/>
        </w:rPr>
        <w:t>(koji bude radio dobra djela),</w:t>
      </w:r>
      <w:r>
        <w:rPr>
          <w:rFonts w:ascii="Times New Roman" w:eastAsia="Times New Roman" w:hAnsi="Times New Roman" w:cs="Times New Roman"/>
          <w:color w:val="000000"/>
          <w:spacing w:val="0"/>
          <w:w w:val="100"/>
          <w:position w:val="0"/>
          <w:shd w:val="clear" w:color="auto" w:fill="auto"/>
          <w:lang w:val="hr-HR" w:eastAsia="hr-HR" w:bidi="hr-HR"/>
        </w:rPr>
        <w:t xml:space="preserve"> on će </w:t>
      </w:r>
      <w:r>
        <w:rPr>
          <w:rFonts w:ascii="Times New Roman" w:eastAsia="Times New Roman" w:hAnsi="Times New Roman" w:cs="Times New Roman"/>
          <w:i/>
          <w:iCs/>
          <w:color w:val="000000"/>
          <w:spacing w:val="0"/>
          <w:w w:val="100"/>
          <w:position w:val="0"/>
          <w:shd w:val="clear" w:color="auto" w:fill="auto"/>
          <w:lang w:val="hr-HR" w:eastAsia="hr-HR" w:bidi="hr-HR"/>
        </w:rPr>
        <w:t>(biti)</w:t>
      </w:r>
      <w:r>
        <w:rPr>
          <w:rFonts w:ascii="Times New Roman" w:eastAsia="Times New Roman" w:hAnsi="Times New Roman" w:cs="Times New Roman"/>
          <w:color w:val="000000"/>
          <w:spacing w:val="0"/>
          <w:w w:val="100"/>
          <w:position w:val="0"/>
          <w:shd w:val="clear" w:color="auto" w:fill="auto"/>
          <w:lang w:val="hr-HR" w:eastAsia="hr-HR" w:bidi="hr-HR"/>
        </w:rPr>
        <w:t xml:space="preserve"> u zadovoljnom životu; a onaj čija mjera bude laka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(bez dobrih djela), </w:t>
      </w:r>
      <w:r>
        <w:rPr>
          <w:rFonts w:ascii="Times New Roman" w:eastAsia="Times New Roman" w:hAnsi="Times New Roman" w:cs="Times New Roman"/>
          <w:color w:val="000000"/>
          <w:spacing w:val="0"/>
          <w:w w:val="100"/>
          <w:position w:val="0"/>
          <w:shd w:val="clear" w:color="auto" w:fill="auto"/>
          <w:lang w:val="hr-HR" w:eastAsia="hr-HR" w:bidi="hr-HR"/>
        </w:rPr>
        <w:t>njegovo je sklonište bezdana provalija« (101). U ovom i sličnom stilu izlagane su prve sure. Znameni predstojećega kraja svijeta na više sc mjesta u Kuranu slikaju u jednako živim bo</w:t>
        <w:softHyphen/>
        <w:t xml:space="preserve">jama: Zemlja će se tresti i rigati svoju utrobu, Mjesec ćc sc prepoloviti, nebo će se prolomiti a grobovi se isprazniti. »Kada dođe udarac </w:t>
      </w:r>
      <w:r>
        <w:rPr>
          <w:rFonts w:ascii="Times New Roman" w:eastAsia="Times New Roman" w:hAnsi="Times New Roman" w:cs="Times New Roman"/>
          <w:i/>
          <w:iCs/>
          <w:color w:val="000000"/>
          <w:spacing w:val="0"/>
          <w:w w:val="100"/>
          <w:position w:val="0"/>
          <w:shd w:val="clear" w:color="auto" w:fill="auto"/>
          <w:lang w:val="hr-HR" w:eastAsia="hr-HR" w:bidi="hr-HR"/>
        </w:rPr>
        <w:t>(Suda),</w:t>
      </w:r>
      <w:r>
        <w:rPr>
          <w:rFonts w:ascii="Times New Roman" w:eastAsia="Times New Roman" w:hAnsi="Times New Roman" w:cs="Times New Roman"/>
          <w:color w:val="000000"/>
          <w:spacing w:val="0"/>
          <w:w w:val="100"/>
          <w:position w:val="0"/>
          <w:shd w:val="clear" w:color="auto" w:fill="auto"/>
          <w:lang w:val="hr-HR" w:eastAsia="hr-HR" w:bidi="hr-HR"/>
        </w:rPr>
        <w:t xml:space="preserve"> tada će ono što je visoko postati nisko a ono što je nisko visoko. Kada sc Zemlja bude tresla tamo-amo i kada sc brda zdrobe u sveopći prah, to će biti stan na sudnji dan« (66,1-6.56). U svojim prvim propovijedima Muhamed jc jednako kao i Isus polazio od pretpostavke da se bliži kraj svijeta. Stoga je u surama nastalim u Meki razmjerno mnogo prostora posvećeno eshatologiji. I u tradiciji se mnogi tekstovi odnose na predznake pro</w:t>
        <w:softHyphen/>
        <w:t xml:space="preserve">pasti svijeta i na zadnje stvari. Zbirka tekstova iz tradicije </w:t>
      </w:r>
      <w:r>
        <w:rPr>
          <w:rFonts w:ascii="Times New Roman" w:eastAsia="Times New Roman" w:hAnsi="Times New Roman" w:cs="Times New Roman"/>
          <w:i/>
          <w:iCs/>
          <w:color w:val="000000"/>
          <w:spacing w:val="0"/>
          <w:w w:val="100"/>
          <w:position w:val="0"/>
          <w:shd w:val="clear" w:color="auto" w:fill="auto"/>
          <w:lang w:val="hr-HR" w:eastAsia="hr-HR" w:bidi="hr-HR"/>
        </w:rPr>
        <w:t>Sakih</w:t>
      </w:r>
      <w:r>
        <w:rPr>
          <w:rFonts w:ascii="Times New Roman" w:eastAsia="Times New Roman" w:hAnsi="Times New Roman" w:cs="Times New Roman"/>
          <w:color w:val="000000"/>
          <w:spacing w:val="0"/>
          <w:w w:val="100"/>
          <w:position w:val="0"/>
          <w:shd w:val="clear" w:color="auto" w:fill="auto"/>
          <w:lang w:val="hr-HR" w:eastAsia="hr-HR" w:bidi="hr-HR"/>
        </w:rPr>
        <w:t xml:space="preserve"> sadrži sustavnu listu tih pred</w:t>
        <w:softHyphen/>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znaka. Nakon dramatične predigre, u kojoj će svaka duša iskusiti smrt (29,56), uslijedit će potpuno uništenje svijeta. Samo će Bog ostati u svojoj apsolutnoj svemoći. Na drugi »zvuk trube«, u koju će po tradiciji zapuhati anđeo Izrafil, započet će uskrsnuće mrtvih.</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Treći događaj, koji se spominje u scenariju sudnjega dana, predstavlja veliko okupljanje ljudi </w:t>
      </w:r>
      <w:r>
        <w:rPr>
          <w:rFonts w:ascii="Times New Roman" w:eastAsia="Times New Roman" w:hAnsi="Times New Roman" w:cs="Times New Roman"/>
          <w:i/>
          <w:iCs/>
          <w:color w:val="000000"/>
          <w:spacing w:val="0"/>
          <w:w w:val="100"/>
          <w:position w:val="0"/>
          <w:shd w:val="clear" w:color="auto" w:fill="auto"/>
          <w:lang w:val="hr-HR" w:eastAsia="hr-HR" w:bidi="hr-HR"/>
        </w:rPr>
        <w:t>(hashr)</w:t>
      </w:r>
      <w:r>
        <w:rPr>
          <w:rFonts w:ascii="Times New Roman" w:eastAsia="Times New Roman" w:hAnsi="Times New Roman" w:cs="Times New Roman"/>
          <w:color w:val="000000"/>
          <w:spacing w:val="0"/>
          <w:w w:val="100"/>
          <w:position w:val="0"/>
          <w:shd w:val="clear" w:color="auto" w:fill="auto"/>
          <w:lang w:val="hr-HR" w:eastAsia="hr-HR" w:bidi="hr-HR"/>
        </w:rPr>
        <w:t xml:space="preserve"> koji trebaju stupiti pred Božji sud. Najracionalnije stajalište zastupaju mutc- ziliti. O cshatološkom shvaćanju bilo je žučnih rasprava i s filozofima. Ponovno oživljavanje Kuran stalno uspoređuje sa stvaranjem i zgo- dimice ga naziva »novo stvaranje«. Pored na</w:t>
        <w:softHyphen/>
        <w:t>uka o potpunoj tjelesnom oživljavanju indi</w:t>
        <w:softHyphen/>
        <w:t>vidue izneseni su i nazori da su eshatološki događaji duhovne vrste. Iza svih eshatoloških razmišljanja krije se nazor da vremena moraju postati sasvim loša prije nego što se pobolj</w:t>
        <w:softHyphen/>
        <w:t>šaju. O tome se pripovijedaju različite pre</w:t>
        <w:softHyphen/>
        <w:t>daje. Medu njih spadaju i one koje objašnja</w:t>
        <w:softHyphen/>
        <w:t>vaju da taj čas neće doći prije nego što iz svi</w:t>
        <w:softHyphen/>
        <w:t>jeta nc iščezne vapaj: »Alah, Alah!«, tj. kada vjera potpuno umre (Al-Kiyama, u: HI, 331). Raznovrsne su islamske eshatološke predodžbe. One vrhune u ideji o propasti svijeta na kraju povijesnoga razvoja koji je suoblikovan uzro- kujućom Božjom voljom. To se ne odvija sas</w:t>
        <w:softHyphen/>
        <w:t>vim linearno. Povijesni razvoj nije također je</w:t>
        <w:softHyphen/>
        <w:t>dino predodređen za propast. Muhamed je navodno za svako stoljeće predvidio pojavu obnovitelja religije (mudjaddid). Njegova se uloga sastoji u ponovnom podizanju islam</w:t>
        <w:softHyphen/>
        <w:t>skoga svijeta koji je dospio u zaborav dužnosti i u teološku i moralnu propast. Ortodoksno je shvaćanje povijesti pesimistično svakako zbog utjecaja orijentalnih učenja, poimence sirij</w:t>
        <w:softHyphen/>
        <w:t>skoga monaškoga kršćanstva i indijske filozo</w:t>
        <w:softHyphen/>
        <w:t>fije. Idealizira se prvo doba islama; manjkavo je sve što je došlo kasnije ili sve što će tek doći. Prema tom shvaćanju zadnja postaja čo</w:t>
        <w:softHyphen/>
        <w:t>vječanstva bit će jednaka stanju potpune opa</w:t>
        <w:softHyphen/>
        <w:t>čine, otuđenja od vjere i sveopće pokvarenos- ti. Čovjek pritom uopće neće biti svjestan svo</w:t>
        <w:softHyphen/>
        <w:t>je ugroženosti. »Svatko će se«, kaže se u jednoj predaji koja se vraća na Muhameda, »osjećati, štoviše, pozvanim da drugomu drži propovijed«. Tako opterećen nazor o sudnje</w:t>
        <w:softHyphen/>
        <w:t xml:space="preserve">mu danu pružit će prirodno tlo za pojavu i djelotvornost </w:t>
      </w:r>
      <w:r>
        <w:rPr>
          <w:rFonts w:ascii="Times New Roman" w:eastAsia="Times New Roman" w:hAnsi="Times New Roman" w:cs="Times New Roman"/>
          <w:i/>
          <w:iCs/>
          <w:color w:val="000000"/>
          <w:spacing w:val="0"/>
          <w:w w:val="100"/>
          <w:position w:val="0"/>
          <w:shd w:val="clear" w:color="auto" w:fill="auto"/>
          <w:lang w:val="hr-HR" w:eastAsia="hr-HR" w:bidi="hr-HR"/>
        </w:rPr>
        <w:t>Dedala (Dadjdjal),</w:t>
      </w:r>
      <w:r>
        <w:rPr>
          <w:rFonts w:ascii="Times New Roman" w:eastAsia="Times New Roman" w:hAnsi="Times New Roman" w:cs="Times New Roman"/>
          <w:color w:val="000000"/>
          <w:spacing w:val="0"/>
          <w:w w:val="100"/>
          <w:position w:val="0"/>
          <w:shd w:val="clear" w:color="auto" w:fill="auto"/>
          <w:lang w:val="hr-HR" w:eastAsia="hr-HR" w:bidi="hr-HR"/>
        </w:rPr>
        <w:t xml:space="preserve"> Antikrista, koji će zavesti mnoge ljude.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sunitskom narodnom vjerovanju, koje je za</w:t>
        <w:softHyphen/>
        <w:t>stupljeno i u mnogim teološkim djelima, raz</w:t>
        <w:softHyphen/>
        <w:t xml:space="preserve">vijena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predodžba o </w:t>
      </w:r>
      <w:r>
        <w:rPr>
          <w:rFonts w:ascii="Times New Roman" w:eastAsia="Times New Roman" w:hAnsi="Times New Roman" w:cs="Times New Roman"/>
          <w:i/>
          <w:iCs/>
          <w:color w:val="000000"/>
          <w:spacing w:val="0"/>
          <w:w w:val="100"/>
          <w:position w:val="0"/>
          <w:shd w:val="clear" w:color="auto" w:fill="auto"/>
          <w:lang w:val="hr-HR" w:eastAsia="hr-HR" w:bidi="hr-HR"/>
        </w:rPr>
        <w:t>Kristu</w:t>
      </w:r>
      <w:r>
        <w:rPr>
          <w:rFonts w:ascii="Times New Roman" w:eastAsia="Times New Roman" w:hAnsi="Times New Roman" w:cs="Times New Roman"/>
          <w:color w:val="000000"/>
          <w:spacing w:val="0"/>
          <w:w w:val="100"/>
          <w:position w:val="0"/>
          <w:shd w:val="clear" w:color="auto" w:fill="auto"/>
          <w:lang w:val="hr-HR" w:eastAsia="hr-HR" w:bidi="hr-HR"/>
        </w:rPr>
        <w:t xml:space="preserve"> (Tsa) kao o pro</w:t>
        <w:softHyphen/>
        <w:t>tivniku zavoditelja puka. Dakle, Kristov se do</w:t>
        <w:softHyphen/>
        <w:t>lazak očekuje na sudnji dan. Dakako, njegovo se djelo spasenja treba u potpunosti i cijelosti dogoditi u znaku islama. Ali u Kuranu i u vjerodostojnoj tradiciji za tu vjeru u ponovni dolazak Krista ne postoje nikakva uporišta. Izvorno je jednako tako malo opravdana ideja mahdija, spasitelja svijeta, koji na sudnji dan treba izvršiti svoju zadaću otkupljenja. Ta je ideja nastala pod utjecajem židovskog očeki</w:t>
        <w:softHyphen/>
        <w:t xml:space="preserve">vanja Mesije i kršćanskog očekivanja paruzije. Šijitski muslimani očukuju ponovni dolazak ne- staloga dvanaestog imama Muhameda </w:t>
      </w:r>
      <w:r>
        <w:rPr>
          <w:rFonts w:ascii="Times New Roman" w:eastAsia="Times New Roman" w:hAnsi="Times New Roman" w:cs="Times New Roman"/>
          <w:color w:val="000000"/>
          <w:spacing w:val="0"/>
          <w:w w:val="100"/>
          <w:position w:val="0"/>
          <w:shd w:val="clear" w:color="auto" w:fill="auto"/>
          <w:lang w:val="en-US" w:eastAsia="en-US" w:bidi="en-US"/>
        </w:rPr>
        <w:t>(Mu</w:t>
        <w:softHyphen/>
        <w:t xml:space="preserve">hammad </w:t>
      </w:r>
      <w:r>
        <w:rPr>
          <w:rFonts w:ascii="Times New Roman" w:eastAsia="Times New Roman" w:hAnsi="Times New Roman" w:cs="Times New Roman"/>
          <w:color w:val="000000"/>
          <w:spacing w:val="0"/>
          <w:w w:val="100"/>
          <w:position w:val="0"/>
          <w:shd w:val="clear" w:color="auto" w:fill="auto"/>
          <w:lang w:val="hr-HR" w:eastAsia="hr-HR" w:bidi="hr-HR"/>
        </w:rPr>
        <w:t>al-Ma’sum) iz roda Fatimida. Oni ga smatraju ponovnim uspostaviteljem praved</w:t>
        <w:softHyphen/>
        <w:t>nosti na zemlji. U svim tim očekivanjima po</w:t>
        <w:softHyphen/>
        <w:t>boljšavanja svijeta zrcali se i izvjesni smisao za društveni zakon evolucije. U njima je sadržan i dobar dio nade vjernika.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šijitskom shvaćanju mahdi je voden Bogom i zaštićen od svake zablude. On će sam vladati </w:t>
      </w:r>
      <w:r>
        <w:rPr>
          <w:rFonts w:ascii="Times New Roman" w:eastAsia="Times New Roman" w:hAnsi="Times New Roman" w:cs="Times New Roman"/>
          <w:i/>
          <w:iCs/>
          <w:color w:val="000000"/>
          <w:spacing w:val="0"/>
          <w:w w:val="100"/>
          <w:position w:val="0"/>
          <w:shd w:val="clear" w:color="auto" w:fill="auto"/>
          <w:lang w:val="hr-HR" w:eastAsia="hr-HR" w:bidi="hr-HR"/>
        </w:rPr>
        <w:t>na temelju božanskoga prava.</w:t>
      </w:r>
      <w:r>
        <w:rPr>
          <w:rFonts w:ascii="Times New Roman" w:eastAsia="Times New Roman" w:hAnsi="Times New Roman" w:cs="Times New Roman"/>
          <w:color w:val="000000"/>
          <w:spacing w:val="0"/>
          <w:w w:val="100"/>
          <w:position w:val="0"/>
          <w:shd w:val="clear" w:color="auto" w:fill="auto"/>
          <w:lang w:val="hr-HR" w:eastAsia="hr-HR" w:bidi="hr-HR"/>
        </w:rPr>
        <w:t xml:space="preserve"> Su</w:t>
        <w:softHyphen/>
        <w:t>nitima je strana predodžba o nezabludivosti i bezgrešnosti. U tome se sastoji jedna od ve</w:t>
        <w:softHyphen/>
        <w:t>likih zabluda u razumijevanju mahtija kod ši- jita i sunita. Osim toga, za šijitc je očekivanje mahdija temeljna sastavnica vjere. Nasuprot tomu, mnogi sunitski teolozi zastupaju staja</w:t>
        <w:softHyphen/>
        <w:t>lište da se za tu vjeru ne mogu naći nikakva uporišta u religioznim izvorima. Eshatološkim navještajima posvećene su mnoge sure. Oni su odigrali važnu ulogu prilikom pridobivanja prvih muslimana. Prijetnja Strašnim sudom ni</w:t>
        <w:softHyphen/>
        <w:t>je mogla izgubiti učinkovitost u jednome druš</w:t>
        <w:softHyphen/>
        <w:t>tvu koje je polagano postajalo svjesnim svojih slabosti, u društvu kakvo je bilo ono arapsko u Muhamedovo doba.</w:t>
      </w:r>
    </w:p>
    <w:p>
      <w:pPr>
        <w:pStyle w:val="Style56"/>
        <w:keepNext w:val="0"/>
        <w:keepLines w:val="0"/>
        <w:widowControl w:val="0"/>
        <w:shd w:val="clear" w:color="auto" w:fill="auto"/>
        <w:bidi w:val="0"/>
        <w:spacing w:before="0" w:after="260" w:line="240" w:lineRule="auto"/>
        <w:ind w:left="0" w:right="0" w:firstLine="0"/>
        <w:jc w:val="both"/>
      </w:pPr>
      <w:r>
        <w:rPr>
          <w:color w:val="000000"/>
          <w:spacing w:val="0"/>
          <w:w w:val="100"/>
          <w:position w:val="0"/>
          <w:shd w:val="clear" w:color="auto" w:fill="auto"/>
          <w:lang w:val="hr-HR" w:eastAsia="hr-HR" w:bidi="hr-HR"/>
        </w:rPr>
        <w:t xml:space="preserve">Lit.: tuiuis </w:t>
      </w:r>
      <w:r>
        <w:rPr>
          <w:color w:val="000000"/>
          <w:spacing w:val="0"/>
          <w:w w:val="100"/>
          <w:position w:val="0"/>
          <w:shd w:val="clear" w:color="auto" w:fill="auto"/>
        </w:rPr>
        <w:t xml:space="preserve">Gardct: KjySma. </w:t>
      </w:r>
      <w:r>
        <w:rPr>
          <w:color w:val="000000"/>
          <w:spacing w:val="0"/>
          <w:w w:val="100"/>
          <w:position w:val="0"/>
          <w:shd w:val="clear" w:color="auto" w:fill="auto"/>
          <w:lang w:val="hr-HR" w:eastAsia="hr-HR" w:bidi="hr-HR"/>
        </w:rPr>
        <w:t>u: EP. V. 235-238. S. RAI.IĆ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ETIKA -&gt; MORAL</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EUHARISTIJA -&gt; SAKRAMENT</w:t>
      </w:r>
    </w:p>
    <w:p>
      <w:pPr>
        <w:pStyle w:val="Style33"/>
        <w:keepNext w:val="0"/>
        <w:keepLines w:val="0"/>
        <w:widowControl w:val="0"/>
        <w:shd w:val="clear" w:color="auto" w:fill="auto"/>
        <w:bidi w:val="0"/>
        <w:spacing w:before="0" w:after="140" w:line="254"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EVANĐELJE -&gt; ISUS KRIST, -&gt; NOVI ZAVJET, -&gt; SVETO PISMO</w:t>
      </w: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FATIMA</w:t>
      </w:r>
    </w:p>
    <w:p>
      <w:pPr>
        <w:pStyle w:val="Style63"/>
        <w:keepNext/>
        <w:keepLines/>
        <w:widowControl w:val="0"/>
        <w:shd w:val="clear" w:color="auto" w:fill="auto"/>
        <w:bidi w:val="0"/>
        <w:spacing w:before="0"/>
        <w:ind w:left="0" w:right="0" w:firstLine="0"/>
        <w:jc w:val="both"/>
      </w:pPr>
      <w:bookmarkStart w:id="98" w:name="bookmark98"/>
      <w:r>
        <w:rPr>
          <w:rFonts w:ascii="Times New Roman" w:eastAsia="Times New Roman" w:hAnsi="Times New Roman" w:cs="Times New Roman"/>
          <w:color w:val="000000"/>
          <w:spacing w:val="0"/>
          <w:w w:val="100"/>
          <w:position w:val="0"/>
          <w:shd w:val="clear" w:color="auto" w:fill="auto"/>
          <w:lang w:val="hr-HR" w:eastAsia="hr-HR" w:bidi="hr-HR"/>
        </w:rPr>
        <w:t>islamski</w:t>
      </w:r>
      <w:bookmarkEnd w:id="9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ranoj povijesti islama svojim se značenjem ističu tri ženska lika: Hatidža (Khadidja), prva Muhamedova supruga koja je prva primila is</w:t>
        <w:softHyphen/>
        <w:t xml:space="preserve">lam, Ajša </w:t>
      </w:r>
      <w:r>
        <w:rPr>
          <w:rFonts w:ascii="Times New Roman" w:eastAsia="Times New Roman" w:hAnsi="Times New Roman" w:cs="Times New Roman"/>
          <w:color w:val="000000"/>
          <w:spacing w:val="0"/>
          <w:w w:val="100"/>
          <w:position w:val="0"/>
          <w:shd w:val="clear" w:color="auto" w:fill="auto"/>
          <w:lang w:val="en-US" w:eastAsia="en-US" w:bidi="en-US"/>
        </w:rPr>
        <w:t xml:space="preserve">(‘Aisha), </w:t>
      </w:r>
      <w:r>
        <w:rPr>
          <w:rFonts w:ascii="Times New Roman" w:eastAsia="Times New Roman" w:hAnsi="Times New Roman" w:cs="Times New Roman"/>
          <w:color w:val="000000"/>
          <w:spacing w:val="0"/>
          <w:w w:val="100"/>
          <w:position w:val="0"/>
          <w:shd w:val="clear" w:color="auto" w:fill="auto"/>
          <w:lang w:val="hr-HR" w:eastAsia="hr-HR" w:bidi="hr-HR"/>
        </w:rPr>
        <w:t>najmlađa žena poslaniko</w:t>
        <w:softHyphen/>
        <w:t xml:space="preserve">va, i </w:t>
      </w:r>
      <w:r>
        <w:rPr>
          <w:rFonts w:ascii="Times New Roman" w:eastAsia="Times New Roman" w:hAnsi="Times New Roman" w:cs="Times New Roman"/>
          <w:color w:val="000000"/>
          <w:spacing w:val="0"/>
          <w:w w:val="100"/>
          <w:position w:val="0"/>
          <w:shd w:val="clear" w:color="auto" w:fill="auto"/>
          <w:lang w:val="en-US" w:eastAsia="en-US" w:bidi="en-US"/>
        </w:rPr>
        <w:t xml:space="preserve">Fatima, </w:t>
      </w:r>
      <w:r>
        <w:rPr>
          <w:rFonts w:ascii="Times New Roman" w:eastAsia="Times New Roman" w:hAnsi="Times New Roman" w:cs="Times New Roman"/>
          <w:color w:val="000000"/>
          <w:spacing w:val="0"/>
          <w:w w:val="100"/>
          <w:position w:val="0"/>
          <w:shd w:val="clear" w:color="auto" w:fill="auto"/>
          <w:lang w:val="hr-HR" w:eastAsia="hr-HR" w:bidi="hr-HR"/>
        </w:rPr>
        <w:t>jedna od njegove tri kćeri. Povi</w:t>
        <w:softHyphen/>
        <w:t>jesno je značajna prije svih Ajša koja je sudje</w:t>
        <w:softHyphen/>
        <w:t>lovala u političkih događajima svojega doba i koja je stekla i vjerske zasluge - zbog tradi- ranja brojnih hadisa. U zbirkama tekstova iz tradicije Ibn Hanbala lanac posredovatelja tradicije, koji se nadovezuje na Ajšu kao jamca, obuhvaćaju 250 stranica, dok oni koji spominju Fatimino ime zauzimaju samo ne</w:t>
        <w:softHyphen/>
        <w:t>koliko stranica. Sijiti su bili oni koji su izgra</w:t>
        <w:softHyphen/>
        <w:t>dili Fatimu kao suprotnost Ajši koja im je po</w:t>
        <w:softHyphen/>
        <w:t>litički bila teško prihvatljiva.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Točan datum Fatimina rođenja nije poznat. Umrla je nedugo nakon smrti svojeg oca 632. i nije bila starija od 30 godina. Poznate su samo neke provjerene činjenice iz njezina života: tako npr. činjenica da je jako žalila za svojom umrlom majkom Hatidžom, da je bila udana za -» </w:t>
      </w:r>
      <w:r>
        <w:rPr>
          <w:rFonts w:ascii="Times New Roman" w:eastAsia="Times New Roman" w:hAnsi="Times New Roman" w:cs="Times New Roman"/>
          <w:i/>
          <w:iCs/>
          <w:color w:val="000000"/>
          <w:spacing w:val="0"/>
          <w:w w:val="100"/>
          <w:position w:val="0"/>
          <w:shd w:val="clear" w:color="auto" w:fill="auto"/>
          <w:lang w:val="hr-HR" w:eastAsia="hr-HR" w:bidi="hr-HR"/>
        </w:rPr>
        <w:t>Aliju,</w:t>
      </w:r>
      <w:r>
        <w:rPr>
          <w:rFonts w:ascii="Times New Roman" w:eastAsia="Times New Roman" w:hAnsi="Times New Roman" w:cs="Times New Roman"/>
          <w:color w:val="000000"/>
          <w:spacing w:val="0"/>
          <w:w w:val="100"/>
          <w:position w:val="0"/>
          <w:shd w:val="clear" w:color="auto" w:fill="auto"/>
          <w:lang w:val="hr-HR" w:eastAsia="hr-HR" w:bidi="hr-HR"/>
        </w:rPr>
        <w:t xml:space="preserve"> kasnijega četvrtoga kalifa, da mu je rodila dva sina, Hasana i Huseina, i da se njezin otac oštro suprotstavio Alijinoj namjeri da se oženi drugom ženom. On je svojega zeta stavio pred izbor, ili da se rastavi ili da se prema Fatimi ponaša kao prema jedinoj ženi: »Jer ona je dio mojega tijela«. Muhamed je velikom ljubavlju bio vezan za oba dječaka koji su rođeni u Fatiminom braku s Alijom. Stoga je on mogao kazati: »Alija će ovjeko</w:t>
        <w:softHyphen/>
        <w:t>vječiti moje potomstvo«. Nakon Muhamedo- ve smrti izbile su svađe oko nasljedstva. F. je tražila jednu oazu koja je bila osobno vlas</w:t>
        <w:softHyphen/>
        <w:t>ništvo njezina oca. Međutim, Abu Bekr (Abu Bakr) je njegovu cjelokupnu nekretninu pro</w:t>
        <w:softHyphen/>
        <w:t>glasio državnim vlasništvom. Pritom se pozi</w:t>
        <w:softHyphen/>
        <w:t xml:space="preserve">vao na Muhamedovu izjavu da proroci »ne </w:t>
      </w:r>
      <w:r>
        <w:rPr>
          <w:rFonts w:ascii="Times New Roman" w:eastAsia="Times New Roman" w:hAnsi="Times New Roman" w:cs="Times New Roman"/>
          <w:color w:val="000000"/>
          <w:spacing w:val="0"/>
          <w:w w:val="100"/>
          <w:position w:val="0"/>
          <w:shd w:val="clear" w:color="auto" w:fill="auto"/>
          <w:lang w:val="hr-HR" w:eastAsia="hr-HR" w:bidi="hr-HR"/>
        </w:rPr>
        <w:t>ostavljaju iza sebe nikakvo nasljedstvo«. F. je uzaludno dokazivala da se to odnosi na biblij</w:t>
        <w:softHyphen/>
        <w:t>ske proroke, jer u Kuranu se o Salomonu kaže da je naslijedio Davida (27,16). F. se kao di</w:t>
        <w:softHyphen/>
        <w:t>plomatska posredovateljica mogla sačuvati od osvajanja Meke. Šijiti su Fatimin život ukrasili različitim legendarnim pojedinostima. U njiho</w:t>
        <w:softHyphen/>
        <w:t>vim očima ona je »utjelovljenje svega božan</w:t>
        <w:softHyphen/>
        <w:t>skog u ženskoj prirodi, najplemenitiji ideal koji je dostigla snaga ljudskoga mišljenja«. U prosudbi Fatime suniti su daleko stvarniji, no ipak joj i oni pripisuju mnoga odličja. Njezina smrt uzrokovana boli zbog smrti oca predstav</w:t>
        <w:softHyphen/>
        <w:t xml:space="preserve">lja omiljenu temu pobožnih pučkih pjesama. </w:t>
      </w:r>
      <w:r>
        <w:rPr>
          <w:rFonts w:ascii="Times New Roman" w:eastAsia="Times New Roman" w:hAnsi="Times New Roman" w:cs="Times New Roman"/>
          <w:color w:val="000000"/>
          <w:spacing w:val="0"/>
          <w:w w:val="100"/>
          <w:position w:val="0"/>
          <w:shd w:val="clear" w:color="auto" w:fill="auto"/>
          <w:lang w:val="en-US" w:eastAsia="en-US" w:bidi="en-US"/>
        </w:rPr>
        <w:t xml:space="preserve">Mahdi, </w:t>
      </w:r>
      <w:r>
        <w:rPr>
          <w:rFonts w:ascii="Times New Roman" w:eastAsia="Times New Roman" w:hAnsi="Times New Roman" w:cs="Times New Roman"/>
          <w:color w:val="000000"/>
          <w:spacing w:val="0"/>
          <w:w w:val="100"/>
          <w:position w:val="0"/>
          <w:shd w:val="clear" w:color="auto" w:fill="auto"/>
          <w:lang w:val="hr-HR" w:eastAsia="hr-HR" w:bidi="hr-HR"/>
        </w:rPr>
        <w:t>koji se očekuje u islamu, bit će Fati</w:t>
        <w:softHyphen/>
        <w:t>min potomak. Preko Fatime Muhamed je do</w:t>
        <w:softHyphen/>
        <w:t>bio daljnju genealošku prisutnost među lju</w:t>
        <w:softHyphen/>
        <w:t>dima. U tome leži njezino veliko značenje. U mnogim afroazijskim područjima slici Fatimi- ne ruke pripisuju se magične moći. Na proče</w:t>
        <w:softHyphen/>
        <w:t>ljima mnogih kuća ta se slika treba smatrati zaštitnim simbolom ili talismanom.</w:t>
      </w:r>
    </w:p>
    <w:p>
      <w:pPr>
        <w:pStyle w:val="Style56"/>
        <w:keepNext w:val="0"/>
        <w:keepLines w:val="0"/>
        <w:widowControl w:val="0"/>
        <w:shd w:val="clear" w:color="auto" w:fill="auto"/>
        <w:tabs>
          <w:tab w:pos="2554" w:val="left"/>
        </w:tabs>
        <w:bidi w:val="0"/>
        <w:spacing w:before="0" w:after="320" w:line="240" w:lineRule="auto"/>
        <w:ind w:left="0" w:right="0" w:firstLine="0"/>
        <w:jc w:val="both"/>
        <w:rPr>
          <w:sz w:val="15"/>
          <w:szCs w:val="15"/>
        </w:rPr>
      </w:pPr>
      <w:r>
        <w:rPr>
          <w:color w:val="000000"/>
          <w:spacing w:val="0"/>
          <w:w w:val="100"/>
          <w:position w:val="0"/>
          <w:sz w:val="12"/>
          <w:szCs w:val="12"/>
          <w:shd w:val="clear" w:color="auto" w:fill="auto"/>
          <w:lang w:val="hr-HR" w:eastAsia="hr-HR" w:bidi="hr-HR"/>
        </w:rPr>
        <w:t>Lit: f'atima, u: HI, 127-130.</w:t>
        <w:tab/>
        <w:t xml:space="preserve">s. </w:t>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BaLIć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FILOZOFIJA</w:t>
      </w:r>
    </w:p>
    <w:p>
      <w:pPr>
        <w:pStyle w:val="Style63"/>
        <w:keepNext/>
        <w:keepLines/>
        <w:widowControl w:val="0"/>
        <w:numPr>
          <w:ilvl w:val="0"/>
          <w:numId w:val="137"/>
        </w:numPr>
        <w:shd w:val="clear" w:color="auto" w:fill="auto"/>
        <w:tabs>
          <w:tab w:pos="246" w:val="left"/>
        </w:tabs>
        <w:bidi w:val="0"/>
        <w:spacing w:before="0"/>
        <w:ind w:left="0" w:right="0" w:firstLine="0"/>
        <w:jc w:val="both"/>
      </w:pPr>
      <w:bookmarkStart w:id="99" w:name="bookmark99"/>
      <w:r>
        <w:rPr>
          <w:rFonts w:ascii="Times New Roman" w:eastAsia="Times New Roman" w:hAnsi="Times New Roman" w:cs="Times New Roman"/>
          <w:color w:val="000000"/>
          <w:spacing w:val="0"/>
          <w:w w:val="100"/>
          <w:position w:val="0"/>
          <w:shd w:val="clear" w:color="auto" w:fill="auto"/>
          <w:lang w:val="hr-HR" w:eastAsia="hr-HR" w:bidi="hr-HR"/>
        </w:rPr>
        <w:t>židovski</w:t>
      </w:r>
      <w:bookmarkEnd w:id="99"/>
    </w:p>
    <w:p>
      <w:pPr>
        <w:pStyle w:val="Style20"/>
        <w:keepNext w:val="0"/>
        <w:keepLines w:val="0"/>
        <w:widowControl w:val="0"/>
        <w:numPr>
          <w:ilvl w:val="0"/>
          <w:numId w:val="139"/>
        </w:numPr>
        <w:shd w:val="clear" w:color="auto" w:fill="auto"/>
        <w:tabs>
          <w:tab w:pos="270" w:val="left"/>
        </w:tabs>
        <w:bidi w:val="0"/>
        <w:spacing w:before="0" w:after="0"/>
        <w:ind w:left="0" w:right="0" w:firstLine="0"/>
        <w:jc w:val="both"/>
        <w:sectPr>
          <w:headerReference w:type="default" r:id="rId429"/>
          <w:footerReference w:type="default" r:id="rId430"/>
          <w:headerReference w:type="even" r:id="rId431"/>
          <w:footerReference w:type="even" r:id="rId432"/>
          <w:headerReference w:type="first" r:id="rId433"/>
          <w:footerReference w:type="first" r:id="rId434"/>
          <w:footnotePr>
            <w:pos w:val="pageBottom"/>
            <w:numFmt w:val="decimal"/>
            <w:numStart w:val="5"/>
            <w:numRestart w:val="continuous"/>
            <w15:footnoteColumns w:val="1"/>
          </w:footnotePr>
          <w:pgSz w:w="6816" w:h="11006"/>
          <w:pgMar w:top="758" w:left="186" w:right="188" w:bottom="384" w:header="0" w:footer="3" w:gutter="0"/>
          <w:cols w:num="2" w:space="18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Mudraci mišnajsko-talmudske literature go</w:t>
        <w:softHyphen/>
        <w:t>vorili su nepristrano o svojoj stvarnosti ne raz</w:t>
        <w:softHyphen/>
        <w:t>mišljajući o njoj. Židovski filozofi više se nisu izražavali neposredno; problem su im bile bib</w:t>
        <w:softHyphen/>
        <w:t>lijske i rabinske predaje, jer su bili sudioni</w:t>
        <w:softHyphen/>
        <w:t>cima filozofskih teorija nežidovske kulture. Njihova borba za židovsko samoočuvanje na</w:t>
        <w:softHyphen/>
        <w:t>vela ih je na pokušaj spašavanja opstojnosti promjenom u interpretaciji. No time su izgu</w:t>
        <w:softHyphen/>
        <w:t>bili naivnost u svojem odnosu prema duhov</w:t>
        <w:softHyphen/>
        <w:t>noj baštini rabinskoga židovstva. Budući da im se zatvorio dubok i pozitivan pristup sna</w:t>
        <w:softHyphen/>
        <w:t xml:space="preserve">gama koje su djelovale u stvaranju židovskih zajednica, židovski su filozofi svoj pravi život </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našli tek ondje gdje su posve konkretnu stvar</w:t>
        <w:softHyphen/>
        <w:t>nost biblijsko-talmudske tradicije mogli pret</w:t>
        <w:softHyphen/>
        <w:t>voriti u općenitost. Oni su iz temelja preinačili staro židovstvo; doduše, nastojali su protuma</w:t>
        <w:softHyphen/>
        <w:t xml:space="preserve">čiti »tajne Nauka« </w:t>
      </w:r>
      <w:r>
        <w:rPr>
          <w:rFonts w:ascii="Times New Roman" w:eastAsia="Times New Roman" w:hAnsi="Times New Roman" w:cs="Times New Roman"/>
          <w:i/>
          <w:iCs/>
          <w:color w:val="000000"/>
          <w:spacing w:val="0"/>
          <w:w w:val="100"/>
          <w:position w:val="0"/>
          <w:shd w:val="clear" w:color="auto" w:fill="auto"/>
          <w:lang w:val="hr-HR" w:eastAsia="hr-HR" w:bidi="hr-HR"/>
        </w:rPr>
        <w:t>(silre tora,</w:t>
      </w:r>
      <w:r>
        <w:rPr>
          <w:rFonts w:ascii="Times New Roman" w:eastAsia="Times New Roman" w:hAnsi="Times New Roman" w:cs="Times New Roman"/>
          <w:color w:val="000000"/>
          <w:spacing w:val="0"/>
          <w:w w:val="100"/>
          <w:position w:val="0"/>
          <w:shd w:val="clear" w:color="auto" w:fill="auto"/>
          <w:lang w:val="hr-HR" w:eastAsia="hr-HR" w:bidi="hr-HR"/>
        </w:rPr>
        <w:t xml:space="preserve"> j Ketubot V,29d), no nisu ih zanimale najskrivenije po</w:t>
        <w:softHyphen/>
        <w:t>jedinosti u Tori (halaha, b Kidušin 10a), iz</w:t>
        <w:softHyphen/>
        <w:t>vršne odredbe nekoga halaškog propisa (Ha- giga 11a) neposredno iz biblijskoga teksta niti »tajni Nauk« mudraca (b Pcsahim 119a), već su ih zanimale filozofske istine, istine Aristo</w:t>
        <w:softHyphen/>
        <w:t>telove metafizike ili etike. Oni su izjednačili »tajne Tore« s istinama koje su se mogle spo</w:t>
        <w:softHyphen/>
        <w:t>znati i izvan židovske zajednice, čak izvan sva</w:t>
        <w:softHyphen/>
        <w:t>ke religijske razine; alegorijskom i tipološkom interpretacijom te su filozofske istine spozna- vali u biblijskim tekstovima, pa su npr. od pri</w:t>
        <w:softHyphen/>
        <w:t>ča o praocima i pramajkama u Postanku po</w:t>
        <w:softHyphen/>
        <w:t>slali opisi odnosa materije i forme, intelekta i materije ili četiriju elemenata. Dokumente o specifičnim iskustvima zbilje židovskoga na</w:t>
        <w:softHyphen/>
        <w:t>roda čitali su kao pučko odijevanje relacije iz</w:t>
        <w:softHyphen/>
        <w:t>među raznih filozofskih predodžbi; Tora im se činila kao sredstvo za prodor u duboke opće istine. Veza židovskih filozofa s jednom i dru</w:t>
        <w:softHyphen/>
        <w:t>gom stvaralačko-formativnom silom rabinsko- ga židovstva - s halahom i hagadom koje se susreću u odredbenim i inspirirajućim dijelo</w:t>
        <w:softHyphen/>
        <w:t>vima predaje - ostaje prekinuta. Premda su se i oni pokoravali normama djelovanja u svako</w:t>
        <w:softHyphen/>
        <w:t>dnevnom životu, halahu nisu uključivali ni u svoja pitanja niti u kritike, i njihove su poti</w:t>
        <w:softHyphen/>
        <w:t>caje primali izvan nje. Istaknuti primjer toga veliko je djelo kodifikacije halahe, Mišne To</w:t>
        <w:softHyphen/>
        <w:t xml:space="preserve">ra Moše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 xml:space="preserve">Majmonida (1135-1204). Autor, doduše, daje jedno filozofsko poglavlje kao uvod; no njegova pitanja ne tiču se biti halahe niti osvjetljavaju njezinu pravu bit. Iako je Majmonid objavio filozofiju i Halahu kao jedno, ipak nije mogao prevladati imanentni raskol tih dvaju svjetova. Njegova istraživanja o uzrocima zapovijedi </w:t>
      </w:r>
      <w:r>
        <w:rPr>
          <w:rFonts w:ascii="Times New Roman" w:eastAsia="Times New Roman" w:hAnsi="Times New Roman" w:cs="Times New Roman"/>
          <w:i/>
          <w:iCs/>
          <w:color w:val="000000"/>
          <w:spacing w:val="0"/>
          <w:w w:val="100"/>
          <w:position w:val="0"/>
          <w:shd w:val="clear" w:color="auto" w:fill="auto"/>
          <w:lang w:val="hr-HR" w:eastAsia="hr-HR" w:bidi="hr-HR"/>
        </w:rPr>
        <w:t xml:space="preserve">(More nevuhim III) </w:t>
      </w:r>
      <w:r>
        <w:rPr>
          <w:rFonts w:ascii="Times New Roman" w:eastAsia="Times New Roman" w:hAnsi="Times New Roman" w:cs="Times New Roman"/>
          <w:color w:val="000000"/>
          <w:spacing w:val="0"/>
          <w:w w:val="100"/>
          <w:position w:val="0"/>
          <w:shd w:val="clear" w:color="auto" w:fill="auto"/>
          <w:lang w:val="hr-HR" w:eastAsia="hr-HR" w:bidi="hr-HR"/>
        </w:rPr>
        <w:t>otvaraju povijesnom shvaćanju židovske reli</w:t>
        <w:softHyphen/>
        <w:t>gije važne aspekte; no oni ne potiču njihovo ispunjenje u životu. Ni srednjovjekovni židov</w:t>
        <w:softHyphen/>
        <w:t>ski filozofi nisu se uspjeli otvoriti neposred</w:t>
        <w:softHyphen/>
        <w:t>nom izrazu intenzivnoga religioznog života u rabinskom židovstvu, hagadi; u svojim pripo</w:t>
        <w:softHyphen/>
        <w:t>vijestima, legendama, alegorijama, opomena</w:t>
        <w:softHyphen/>
        <w:t>ma oni prije otkrivaju srdžbu negoli objavu tajne. Ako hagadu tumače alegorijski, ne čine to sloga da se zadovolji zahtjev alegorije;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često se upravo u njoj izražavalo kritično od</w:t>
        <w:softHyphen/>
        <w:t>bijanje filozofa. Njihovoj religioznoj svijesti, orijentiranoj na um, proturječile su antropo- morfne crte hagade. Rabinsko tumačenje Pis</w:t>
        <w:softHyphen/>
        <w:t>ma (midraš), aktualizirano u odnosu na sluša- teljsku sadašnjost činilo se neobičnim nači</w:t>
        <w:softHyphen/>
        <w:t>nom mišljenja za židovske filozofe školovane na Aristotelu. I prema liturgiji, u kojoj su se skupili religiozni poticaji poslijebiblijskoga ži</w:t>
        <w:softHyphen/>
        <w:t xml:space="preserve">dovstva u obraćanju Bogu, kako su na način halahe i hagade došli do izražaja u sklonosti prema čovjeku, židovski filozofi gotovo i nisu imali topao odnos kao autori molitvi. Iznimke su bila djela pjesnika i filozofa Salomona ben Jude ibn Gabirola (oko 1021-1058) i Jude Ha- levija (oko 1075-1141), u kojima se osjeća prvobitna religiozna strast i iskustvo (usp.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Rosenzweigovc </w:t>
      </w:r>
      <w:r>
        <w:rPr>
          <w:rFonts w:ascii="Times New Roman" w:eastAsia="Times New Roman" w:hAnsi="Times New Roman" w:cs="Times New Roman"/>
          <w:color w:val="000000"/>
          <w:spacing w:val="0"/>
          <w:w w:val="100"/>
          <w:position w:val="0"/>
          <w:shd w:val="clear" w:color="auto" w:fill="auto"/>
          <w:lang w:val="hr-HR" w:eastAsia="hr-HR" w:bidi="hr-HR"/>
        </w:rPr>
        <w:t>prijevode llalevijevih himana i pjesama na njemački). Ta je skica dostatna za objašnjenje činjenice da se židovska f. nije uspjela potvrditi u židovskom narodu - za razliku od paralelnog pokreta židovske misti</w:t>
        <w:softHyphen/>
        <w:t>ke koja je u židovskoj povijesti zauzela utje</w:t>
        <w:softHyphen/>
        <w:t xml:space="preserve">cajno mjesto (s tim u vezi v. G. Scholem,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jildische </w:t>
      </w:r>
      <w:r>
        <w:rPr>
          <w:rFonts w:ascii="Times New Roman" w:eastAsia="Times New Roman" w:hAnsi="Times New Roman" w:cs="Times New Roman"/>
          <w:i/>
          <w:iCs/>
          <w:color w:val="000000"/>
          <w:spacing w:val="0"/>
          <w:w w:val="100"/>
          <w:position w:val="0"/>
          <w:shd w:val="clear" w:color="auto" w:fill="auto"/>
          <w:lang w:val="en-US" w:eastAsia="en-US" w:bidi="en-US"/>
        </w:rPr>
        <w:t xml:space="preserve">Mystik in ihren </w:t>
      </w:r>
      <w:r>
        <w:rPr>
          <w:rFonts w:ascii="Times New Roman" w:eastAsia="Times New Roman" w:hAnsi="Times New Roman" w:cs="Times New Roman"/>
          <w:i/>
          <w:iCs/>
          <w:color w:val="000000"/>
          <w:spacing w:val="0"/>
          <w:w w:val="100"/>
          <w:position w:val="0"/>
          <w:shd w:val="clear" w:color="auto" w:fill="auto"/>
          <w:lang w:val="hr-HR" w:eastAsia="hr-HR" w:bidi="hr-HR"/>
        </w:rPr>
        <w:t>Hauptstrbmungen,</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1957, 1-42).</w:t>
      </w:r>
    </w:p>
    <w:p>
      <w:pPr>
        <w:pStyle w:val="Style20"/>
        <w:keepNext w:val="0"/>
        <w:keepLines w:val="0"/>
        <w:widowControl w:val="0"/>
        <w:numPr>
          <w:ilvl w:val="0"/>
          <w:numId w:val="139"/>
        </w:numPr>
        <w:shd w:val="clear" w:color="auto" w:fill="auto"/>
        <w:tabs>
          <w:tab w:pos="270" w:val="left"/>
        </w:tabs>
        <w:bidi w:val="0"/>
        <w:spacing w:before="0" w:after="0"/>
        <w:ind w:left="0" w:right="0" w:firstLine="0"/>
        <w:jc w:val="both"/>
        <w:sectPr>
          <w:headerReference w:type="default" r:id="rId435"/>
          <w:footerReference w:type="default" r:id="rId436"/>
          <w:headerReference w:type="even" r:id="rId437"/>
          <w:footerReference w:type="even" r:id="rId438"/>
          <w:footnotePr>
            <w:pos w:val="pageBottom"/>
            <w:numFmt w:val="decimal"/>
            <w:numStart w:val="5"/>
            <w:numRestart w:val="continuous"/>
            <w15:footnoteColumns w:val="1"/>
          </w:footnotePr>
          <w:type w:val="continuous"/>
          <w:pgSz w:w="6816" w:h="11006"/>
          <w:pgMar w:top="758" w:left="186" w:right="188" w:bottom="384" w:header="0" w:footer="3" w:gutter="0"/>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Židovska je </w:t>
      </w:r>
      <w:r>
        <w:rPr>
          <w:rFonts w:ascii="Times New Roman" w:eastAsia="Times New Roman" w:hAnsi="Times New Roman" w:cs="Times New Roman"/>
          <w:color w:val="000000"/>
          <w:spacing w:val="0"/>
          <w:w w:val="100"/>
          <w:position w:val="0"/>
          <w:shd w:val="clear" w:color="auto" w:fill="auto"/>
          <w:lang w:val="en-US" w:eastAsia="en-US" w:bidi="en-US"/>
        </w:rPr>
        <w:t xml:space="preserve">f. </w:t>
      </w:r>
      <w:r>
        <w:rPr>
          <w:rFonts w:ascii="Times New Roman" w:eastAsia="Times New Roman" w:hAnsi="Times New Roman" w:cs="Times New Roman"/>
          <w:color w:val="000000"/>
          <w:spacing w:val="0"/>
          <w:w w:val="100"/>
          <w:position w:val="0"/>
          <w:shd w:val="clear" w:color="auto" w:fill="auto"/>
          <w:lang w:val="hr-HR" w:eastAsia="hr-HR" w:bidi="hr-HR"/>
        </w:rPr>
        <w:t>nastala i potvrdila se u vječ</w:t>
        <w:softHyphen/>
        <w:t>noj borbi za duhovnu opstojnost židovskoga naroda kao cjeline. Ona je htjela zastupati stvar svih i o tome ispitivala svijet koji je okružuje. Beskrajno racionalno istraživanje i razmišljanje karakterizira stoljećima tu židov</w:t>
        <w:softHyphen/>
        <w:t>sku filozofiju: »... vrata objašnjenja nisu za</w:t>
        <w:softHyphen/>
        <w:t xml:space="preserve">tvorena« (Majmonid, </w:t>
      </w:r>
      <w:r>
        <w:rPr>
          <w:rFonts w:ascii="Times New Roman" w:eastAsia="Times New Roman" w:hAnsi="Times New Roman" w:cs="Times New Roman"/>
          <w:i/>
          <w:iCs/>
          <w:color w:val="000000"/>
          <w:spacing w:val="0"/>
          <w:w w:val="100"/>
          <w:position w:val="0"/>
          <w:shd w:val="clear" w:color="auto" w:fill="auto"/>
          <w:lang w:val="hr-HR" w:eastAsia="hr-HR" w:bidi="hr-HR"/>
        </w:rPr>
        <w:t>More nevuliim</w:t>
      </w:r>
      <w:r>
        <w:rPr>
          <w:rFonts w:ascii="Times New Roman" w:eastAsia="Times New Roman" w:hAnsi="Times New Roman" w:cs="Times New Roman"/>
          <w:color w:val="000000"/>
          <w:spacing w:val="0"/>
          <w:w w:val="100"/>
          <w:position w:val="0"/>
          <w:shd w:val="clear" w:color="auto" w:fill="auto"/>
          <w:lang w:val="hr-HR" w:eastAsia="hr-HR" w:bidi="hr-HR"/>
        </w:rPr>
        <w:t xml:space="preserve"> /Vodič pokolebanima/, II, 25). Unatoč značajnim re</w:t>
        <w:softHyphen/>
        <w:t>ligijskim i filozofskim razlikama, koje su me</w:t>
        <w:softHyphen/>
        <w:t>đusobno odvajale srednjovjekovne od novo</w:t>
        <w:softHyphen/>
        <w:t>vjekovnih spoznaja, na vidjelo su došla tri ve</w:t>
        <w:softHyphen/>
        <w:t>lika tematska područja kojima su se posve</w:t>
        <w:softHyphen/>
        <w:t>ćivali židovski mislioci različitih epoha: (1) u tumačenju neobičnih značajki židovske pre</w:t>
        <w:softHyphen/>
        <w:t>daje židovski su se filozofi religije bavili te</w:t>
        <w:softHyphen/>
        <w:t>mama kao što su Izraelovo izabranje, objava, sadržaj i vječnost Tore, posebni značaj Moj- sijeva proročanstva, mesijanske i cshatološke predodžbe; (2) glede veza između židovstva, kršćanstva i islama židovski su filozofi religije istraživali zajedničke probleme kao što su po</w:t>
        <w:softHyphen/>
        <w:t>stojanje Boga, Božji »atributi« (načini pona</w:t>
        <w:softHyphen/>
        <w:t xml:space="preserve">šanja), stvaranje svijeta, proročke pojave, ljudska duša, opća načela ljudskog djelovanja; (3) Konačno, židovski su se filozofi bavili i </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pravim filozofskim temama, logičkim katego</w:t>
        <w:softHyphen/>
        <w:t>rijama, strukturom logičkih dokaza, podjelom bitka, biti i sastavom svemira. Židovski filo</w:t>
        <w:softHyphen/>
        <w:t>zofi nisu nikada razvili puku školsku filozo</w:t>
        <w:softHyphen/>
        <w:t>fiju, koja bi tradicijskoj religiji davala samo tražene dokaze, pa ni dnevnom filozofijom koja bi osiguranoj religiji služila kao ukras; iz njihovih ispitivanja i prosudbi u sukobu i obra</w:t>
        <w:softHyphen/>
        <w:t>ni uvijek bi nastajala f. religije. Ona nije na</w:t>
        <w:softHyphen/>
        <w:t>domjestila tradicijska religijska načela i nije oblikovala svijest židovske zajednice; ali pre</w:t>
        <w:softHyphen/>
        <w:t>ma van, prema nežidovskom svijetu, postigla je ono bez čega samo židovstvo nije moglo: određenost pojmovno utvrđenoga, vječnog nauka o vjeri. F. religije mogla je spoznati tu zadaću i - poput Majmonida na kraju veliko</w:t>
        <w:softHyphen/>
        <w:t>ga teološkog uvoda u svoj komentar X. od</w:t>
        <w:softHyphen/>
        <w:t>lomka Sanhcdrina - postaviti vjerske članke u židovstvu, stoga što je ona »vjeru« shvaćala kao »znanje«, i formulirano znanje htjela pružiti narodu kao »vjeru«. No židovski narod u cjelini nije nikada prihvatio Majmonidov re- Iigijsko-filozofski nauk niti teorije drugih filo</w:t>
        <w:softHyphen/>
        <w:t xml:space="preserve">zofa religije kao svoje zajedničko vlasništvo, a za to je, prije svega, primjer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 xml:space="preserve">Albo (oko 1380-1445) sa svojim religijsko-filozofskim djelom »Članci vjere« </w:t>
      </w:r>
      <w:r>
        <w:rPr>
          <w:rFonts w:ascii="Times New Roman" w:eastAsia="Times New Roman" w:hAnsi="Times New Roman" w:cs="Times New Roman"/>
          <w:i/>
          <w:iCs/>
          <w:color w:val="000000"/>
          <w:spacing w:val="0"/>
          <w:w w:val="100"/>
          <w:position w:val="0"/>
          <w:shd w:val="clear" w:color="auto" w:fill="auto"/>
          <w:lang w:val="hr-HR" w:eastAsia="hr-HR" w:bidi="hr-HR"/>
        </w:rPr>
        <w:t>(Ikarim)</w:t>
      </w:r>
      <w:r>
        <w:rPr>
          <w:rFonts w:ascii="Times New Roman" w:eastAsia="Times New Roman" w:hAnsi="Times New Roman" w:cs="Times New Roman"/>
          <w:color w:val="000000"/>
          <w:spacing w:val="0"/>
          <w:w w:val="100"/>
          <w:position w:val="0"/>
          <w:shd w:val="clear" w:color="auto" w:fill="auto"/>
          <w:lang w:val="hr-HR" w:eastAsia="hr-HR" w:bidi="hr-HR"/>
        </w:rPr>
        <w:t xml:space="preserve"> koji su vodili, premda manje izrazito, prema utvrđivanju dogme, a izrazito prema pokušaju formulacije židovskoga pogleda na vjeru. F. religije, koja još traži put, daje židovskoj zajednici uvijek prije metodu negoli sustav. Ona se samo</w:t>
        <w:softHyphen/>
        <w:t>svjesno i kritički susreće s filozofijom religije, čije su se spoznaje i zahtjevi vrlo slobodno suprotstavljali tradiciji i pod utjecajem Aristo</w:t>
        <w:softHyphen/>
        <w:t>telova nauka odlučno značenje pripisivali uče</w:t>
        <w:softHyphen/>
        <w:t>nju, znanju i spoznaji. Kako je racionalizam, raširen među obrazovanim Židovima od Maj</w:t>
        <w:softHyphen/>
        <w:t>monida, više slabio negoli poticao u teškim vremenima, zajednica je bila ponukana obra</w:t>
        <w:softHyphen/>
        <w:t>titi pozornost na drugog filozofa religije i po</w:t>
        <w:softHyphen/>
        <w:t xml:space="preserve">taknuti ga na sustavnu borbu protiv osnove djela uglednog učitelja. </w:t>
      </w:r>
      <w:r>
        <w:rPr>
          <w:rFonts w:ascii="Times New Roman" w:eastAsia="Times New Roman" w:hAnsi="Times New Roman" w:cs="Times New Roman"/>
          <w:color w:val="000000"/>
          <w:spacing w:val="0"/>
          <w:w w:val="100"/>
          <w:position w:val="0"/>
          <w:shd w:val="clear" w:color="auto" w:fill="auto"/>
          <w:lang w:val="en-US" w:eastAsia="en-US" w:bidi="en-US"/>
        </w:rPr>
        <w:t xml:space="preserve">Hasdaj Crescas </w:t>
      </w:r>
      <w:r>
        <w:rPr>
          <w:rFonts w:ascii="Times New Roman" w:eastAsia="Times New Roman" w:hAnsi="Times New Roman" w:cs="Times New Roman"/>
          <w:color w:val="000000"/>
          <w:spacing w:val="0"/>
          <w:w w:val="100"/>
          <w:position w:val="0"/>
          <w:shd w:val="clear" w:color="auto" w:fill="auto"/>
          <w:lang w:val="hr-HR" w:eastAsia="hr-HR" w:bidi="hr-HR"/>
        </w:rPr>
        <w:t>(1340-1410) napisao je: »Tom su se stajalištu domislili strani filozofi, a i židovski su se mis</w:t>
        <w:softHyphen/>
        <w:t>lioci, nažalost, dali pridobiti ne razmišljajući ozbiljno o tome kako time ruše osebujnost re</w:t>
        <w:softHyphen/>
        <w:t xml:space="preserve">ligije, pomiču granice religije«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(Or </w:t>
      </w:r>
      <w:r>
        <w:rPr>
          <w:rFonts w:ascii="Times New Roman" w:eastAsia="Times New Roman" w:hAnsi="Times New Roman" w:cs="Times New Roman"/>
          <w:i/>
          <w:iCs/>
          <w:color w:val="000000"/>
          <w:spacing w:val="0"/>
          <w:w w:val="100"/>
          <w:position w:val="0"/>
          <w:shd w:val="clear" w:color="auto" w:fill="auto"/>
          <w:lang w:val="hr-HR" w:eastAsia="hr-HR" w:bidi="hr-HR"/>
        </w:rPr>
        <w:t xml:space="preserve">Adonaj, </w:t>
      </w:r>
      <w:r>
        <w:rPr>
          <w:rFonts w:ascii="Times New Roman" w:eastAsia="Times New Roman" w:hAnsi="Times New Roman" w:cs="Times New Roman"/>
          <w:color w:val="000000"/>
          <w:spacing w:val="0"/>
          <w:w w:val="100"/>
          <w:position w:val="0"/>
          <w:shd w:val="clear" w:color="auto" w:fill="auto"/>
          <w:lang w:val="hr-HR" w:eastAsia="hr-HR" w:bidi="hr-HR"/>
        </w:rPr>
        <w:t>11,6,1). Otvorenost židovskih filozofa prema grčko-arapskim filozofskim spoznajama i pri- rodoznanstvenim znanjima naposljetku je po</w:t>
        <w:softHyphen/>
        <w:t xml:space="preserve">novno ojačala židovski narod u cjelini: što su </w:t>
      </w:r>
      <w:r>
        <w:rPr>
          <w:rFonts w:ascii="Times New Roman" w:eastAsia="Times New Roman" w:hAnsi="Times New Roman" w:cs="Times New Roman"/>
          <w:color w:val="000000"/>
          <w:spacing w:val="0"/>
          <w:w w:val="100"/>
          <w:position w:val="0"/>
          <w:shd w:val="clear" w:color="auto" w:fill="auto"/>
          <w:lang w:val="hr-HR" w:eastAsia="hr-HR" w:bidi="hr-HR"/>
        </w:rPr>
        <w:t>bivali svjesniji svojih vlastitih duhovnih i reli</w:t>
        <w:softHyphen/>
        <w:t>gijskih korijena i poistovjetili se s preživjelim obilježjem židovstva da će poštovati Toru, koja određuje životni put i izraz je Božje za</w:t>
        <w:softHyphen/>
        <w:t>povijedi, to su spremnije i prirodnije prihva</w:t>
        <w:softHyphen/>
        <w:t>ćali napredak mišljenja i pomogli sljedećim generacijama židovskoga naroda da poštuju znanost i budu svjesni vlastitih tradicijskih uvje</w:t>
        <w:softHyphen/>
        <w:t>renja.</w:t>
      </w:r>
    </w:p>
    <w:p>
      <w:pPr>
        <w:pStyle w:val="Style20"/>
        <w:keepNext w:val="0"/>
        <w:keepLines w:val="0"/>
        <w:widowControl w:val="0"/>
        <w:numPr>
          <w:ilvl w:val="0"/>
          <w:numId w:val="139"/>
        </w:numPr>
        <w:shd w:val="clear" w:color="auto" w:fill="auto"/>
        <w:tabs>
          <w:tab w:pos="270" w:val="left"/>
        </w:tabs>
        <w:bidi w:val="0"/>
        <w:spacing w:before="0" w:after="60"/>
        <w:ind w:left="0" w:right="0" w:firstLine="0"/>
        <w:jc w:val="both"/>
        <w:sectPr>
          <w:headerReference w:type="default" r:id="rId439"/>
          <w:footerReference w:type="default" r:id="rId440"/>
          <w:headerReference w:type="even" r:id="rId441"/>
          <w:footerReference w:type="even" r:id="rId442"/>
          <w:footnotePr>
            <w:pos w:val="pageBottom"/>
            <w:numFmt w:val="decimal"/>
            <w:numStart w:val="5"/>
            <w:numRestart w:val="continuous"/>
            <w15:footnoteColumns w:val="1"/>
          </w:footnotePr>
          <w:pgSz w:w="6816" w:h="11006"/>
          <w:pgMar w:top="758" w:left="186" w:right="188" w:bottom="384" w:header="0" w:footer="3" w:gutter="0"/>
          <w:pgNumType w:start="151"/>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Židovska f. potječe od susreta židovske reli</w:t>
        <w:softHyphen/>
        <w:t>gije i grčke filozofije, posebice sloičko-platon- ske, u općinama dijaspore helenističkoga svi</w:t>
        <w:softHyphen/>
        <w:t>jeta tijekom II. stoljeća pr. Kr. do sredine I. stoljeća pos. Kr. Ona je pokušavala postići svoj apologetski stil - dokazati kako je židov</w:t>
        <w:softHyphen/>
        <w:t>stvo f. nadmoćna drugim sustavima, koja pri</w:t>
        <w:softHyphen/>
        <w:t>mjenjuje duhovni pojam Boga i svoju etiku usmjerava prema razumu - filozofskom inter</w:t>
        <w:softHyphen/>
        <w:t>pretacijom židovske predaje. Od židovsko-hc- lenističkih filozofa preživjeli su tekstovi Filo- na Aleksandrijskoga (oko 15. pr. Kr. do 50. pos. Kr.). Srednjovjekovna židovska f. zapo</w:t>
        <w:softHyphen/>
        <w:t>čela je početkom X. stoljeća kao dio opće kul</w:t>
        <w:softHyphen/>
        <w:t>turne obnove na islamskom istoku i cvjetala otprilike tri stotine godina u muslimanskim zemljama (Sjeverna Afrika, Španjolska, Egi</w:t>
        <w:softHyphen/>
        <w:t>pat). Židovski mislioci toga razdoblja sudjelo</w:t>
        <w:softHyphen/>
        <w:t>vali su u općoj kulturi svojega vremena, bili su školovani na arapskom jeziku i pisali filozof</w:t>
        <w:softHyphen/>
        <w:t>ska djela na arapskom. Nisu dali samostalnu, sveobuhvatnu znanstvenu i filozofsku litera</w:t>
        <w:softHyphen/>
        <w:t>turu, nego su istraživali odnos židovstva i filo</w:t>
        <w:softHyphen/>
        <w:t xml:space="preserve">zofije </w:t>
      </w:r>
      <w:r>
        <w:rPr>
          <w:rFonts w:ascii="Times New Roman" w:eastAsia="Times New Roman" w:hAnsi="Times New Roman" w:cs="Times New Roman"/>
          <w:color w:val="000000"/>
          <w:spacing w:val="0"/>
          <w:w w:val="100"/>
          <w:position w:val="0"/>
          <w:shd w:val="clear" w:color="auto" w:fill="auto"/>
          <w:lang w:val="en-US" w:eastAsia="en-US" w:bidi="en-US"/>
        </w:rPr>
        <w:t xml:space="preserve">(Saadja ben Josef </w:t>
      </w:r>
      <w:r>
        <w:rPr>
          <w:rFonts w:ascii="Times New Roman" w:eastAsia="Times New Roman" w:hAnsi="Times New Roman" w:cs="Times New Roman"/>
          <w:color w:val="000000"/>
          <w:spacing w:val="0"/>
          <w:w w:val="100"/>
          <w:position w:val="0"/>
          <w:shd w:val="clear" w:color="auto" w:fill="auto"/>
          <w:lang w:val="hr-HR" w:eastAsia="hr-HR" w:bidi="hr-HR"/>
        </w:rPr>
        <w:t xml:space="preserve">Gaon, 882-942; Izak </w:t>
      </w:r>
      <w:r>
        <w:rPr>
          <w:rFonts w:ascii="Times New Roman" w:eastAsia="Times New Roman" w:hAnsi="Times New Roman" w:cs="Times New Roman"/>
          <w:color w:val="000000"/>
          <w:spacing w:val="0"/>
          <w:w w:val="100"/>
          <w:position w:val="0"/>
          <w:shd w:val="clear" w:color="auto" w:fill="auto"/>
          <w:lang w:val="en-US" w:eastAsia="en-US" w:bidi="en-US"/>
        </w:rPr>
        <w:t xml:space="preserve">ben Salomon Israeli, </w:t>
      </w:r>
      <w:r>
        <w:rPr>
          <w:rFonts w:ascii="Times New Roman" w:eastAsia="Times New Roman" w:hAnsi="Times New Roman" w:cs="Times New Roman"/>
          <w:color w:val="000000"/>
          <w:spacing w:val="0"/>
          <w:w w:val="100"/>
          <w:position w:val="0"/>
          <w:shd w:val="clear" w:color="auto" w:fill="auto"/>
          <w:lang w:val="hr-HR" w:eastAsia="hr-HR" w:bidi="hr-HR"/>
        </w:rPr>
        <w:t xml:space="preserve">855-955; </w:t>
      </w:r>
      <w:r>
        <w:rPr>
          <w:rFonts w:ascii="Times New Roman" w:eastAsia="Times New Roman" w:hAnsi="Times New Roman" w:cs="Times New Roman"/>
          <w:color w:val="000000"/>
          <w:spacing w:val="0"/>
          <w:w w:val="100"/>
          <w:position w:val="0"/>
          <w:shd w:val="clear" w:color="auto" w:fill="auto"/>
          <w:lang w:val="en-US" w:eastAsia="en-US" w:bidi="en-US"/>
        </w:rPr>
        <w:t xml:space="preserve">Salomon ibn Gabirol, </w:t>
      </w:r>
      <w:r>
        <w:rPr>
          <w:rFonts w:ascii="Times New Roman" w:eastAsia="Times New Roman" w:hAnsi="Times New Roman" w:cs="Times New Roman"/>
          <w:color w:val="000000"/>
          <w:spacing w:val="0"/>
          <w:w w:val="100"/>
          <w:position w:val="0"/>
          <w:shd w:val="clear" w:color="auto" w:fill="auto"/>
          <w:lang w:val="hr-HR" w:eastAsia="hr-HR" w:bidi="hr-HR"/>
        </w:rPr>
        <w:t xml:space="preserve">oko </w:t>
      </w:r>
      <w:r>
        <w:rPr>
          <w:rFonts w:ascii="Times New Roman" w:eastAsia="Times New Roman" w:hAnsi="Times New Roman" w:cs="Times New Roman"/>
          <w:color w:val="000000"/>
          <w:spacing w:val="0"/>
          <w:w w:val="100"/>
          <w:position w:val="0"/>
          <w:shd w:val="clear" w:color="auto" w:fill="auto"/>
          <w:lang w:val="en-US" w:eastAsia="en-US" w:bidi="en-US"/>
        </w:rPr>
        <w:t xml:space="preserve">1020-1057; Bahja ben Josef ibn Pakuda, </w:t>
      </w:r>
      <w:r>
        <w:rPr>
          <w:rFonts w:ascii="Times New Roman" w:eastAsia="Times New Roman" w:hAnsi="Times New Roman" w:cs="Times New Roman"/>
          <w:color w:val="000000"/>
          <w:spacing w:val="0"/>
          <w:w w:val="100"/>
          <w:position w:val="0"/>
          <w:shd w:val="clear" w:color="auto" w:fill="auto"/>
          <w:lang w:val="hr-HR" w:eastAsia="hr-HR" w:bidi="hr-HR"/>
        </w:rPr>
        <w:t xml:space="preserve">potkraj </w:t>
      </w:r>
      <w:r>
        <w:rPr>
          <w:rFonts w:ascii="Times New Roman" w:eastAsia="Times New Roman" w:hAnsi="Times New Roman" w:cs="Times New Roman"/>
          <w:color w:val="000000"/>
          <w:spacing w:val="0"/>
          <w:w w:val="100"/>
          <w:position w:val="0"/>
          <w:shd w:val="clear" w:color="auto" w:fill="auto"/>
          <w:lang w:val="en-US" w:eastAsia="en-US" w:bidi="en-US"/>
        </w:rPr>
        <w:t xml:space="preserve">XI. </w:t>
      </w:r>
      <w:r>
        <w:rPr>
          <w:rFonts w:ascii="Times New Roman" w:eastAsia="Times New Roman" w:hAnsi="Times New Roman" w:cs="Times New Roman"/>
          <w:color w:val="000000"/>
          <w:spacing w:val="0"/>
          <w:w w:val="100"/>
          <w:position w:val="0"/>
          <w:shd w:val="clear" w:color="auto" w:fill="auto"/>
          <w:lang w:val="hr-HR" w:eastAsia="hr-HR" w:bidi="hr-HR"/>
        </w:rPr>
        <w:t xml:space="preserve">stoljeća; </w:t>
      </w:r>
      <w:r>
        <w:rPr>
          <w:rFonts w:ascii="Times New Roman" w:eastAsia="Times New Roman" w:hAnsi="Times New Roman" w:cs="Times New Roman"/>
          <w:color w:val="000000"/>
          <w:spacing w:val="0"/>
          <w:w w:val="100"/>
          <w:position w:val="0"/>
          <w:shd w:val="clear" w:color="auto" w:fill="auto"/>
          <w:lang w:val="en-US" w:eastAsia="en-US" w:bidi="en-US"/>
        </w:rPr>
        <w:t xml:space="preserve">Jehuda llalevi, </w:t>
      </w:r>
      <w:r>
        <w:rPr>
          <w:rFonts w:ascii="Times New Roman" w:eastAsia="Times New Roman" w:hAnsi="Times New Roman" w:cs="Times New Roman"/>
          <w:color w:val="000000"/>
          <w:spacing w:val="0"/>
          <w:w w:val="100"/>
          <w:position w:val="0"/>
          <w:shd w:val="clear" w:color="auto" w:fill="auto"/>
          <w:lang w:val="hr-HR" w:eastAsia="hr-HR" w:bidi="hr-HR"/>
        </w:rPr>
        <w:t xml:space="preserve">prije </w:t>
      </w:r>
      <w:r>
        <w:rPr>
          <w:rFonts w:ascii="Times New Roman" w:eastAsia="Times New Roman" w:hAnsi="Times New Roman" w:cs="Times New Roman"/>
          <w:color w:val="000000"/>
          <w:spacing w:val="0"/>
          <w:w w:val="100"/>
          <w:position w:val="0"/>
          <w:shd w:val="clear" w:color="auto" w:fill="auto"/>
          <w:lang w:val="en-US" w:eastAsia="en-US" w:bidi="en-US"/>
        </w:rPr>
        <w:t xml:space="preserve">1075-1141; Abraham ibn Daud, </w:t>
      </w:r>
      <w:r>
        <w:rPr>
          <w:rFonts w:ascii="Times New Roman" w:eastAsia="Times New Roman" w:hAnsi="Times New Roman" w:cs="Times New Roman"/>
          <w:color w:val="000000"/>
          <w:spacing w:val="0"/>
          <w:w w:val="100"/>
          <w:position w:val="0"/>
          <w:shd w:val="clear" w:color="auto" w:fill="auto"/>
          <w:lang w:val="hr-HR" w:eastAsia="hr-HR" w:bidi="hr-HR"/>
        </w:rPr>
        <w:t xml:space="preserve">sredina </w:t>
      </w:r>
      <w:r>
        <w:rPr>
          <w:rFonts w:ascii="Times New Roman" w:eastAsia="Times New Roman" w:hAnsi="Times New Roman" w:cs="Times New Roman"/>
          <w:color w:val="000000"/>
          <w:spacing w:val="0"/>
          <w:w w:val="100"/>
          <w:position w:val="0"/>
          <w:shd w:val="clear" w:color="auto" w:fill="auto"/>
          <w:lang w:val="en-US" w:eastAsia="en-US" w:bidi="en-US"/>
        </w:rPr>
        <w:t xml:space="preserve">XII. </w:t>
      </w:r>
      <w:r>
        <w:rPr>
          <w:rFonts w:ascii="Times New Roman" w:eastAsia="Times New Roman" w:hAnsi="Times New Roman" w:cs="Times New Roman"/>
          <w:color w:val="000000"/>
          <w:spacing w:val="0"/>
          <w:w w:val="100"/>
          <w:position w:val="0"/>
          <w:shd w:val="clear" w:color="auto" w:fill="auto"/>
          <w:lang w:val="hr-HR" w:eastAsia="hr-HR" w:bidi="hr-HR"/>
        </w:rPr>
        <w:t xml:space="preserve">stoljeća; Moše </w:t>
      </w:r>
      <w:r>
        <w:rPr>
          <w:rFonts w:ascii="Times New Roman" w:eastAsia="Times New Roman" w:hAnsi="Times New Roman" w:cs="Times New Roman"/>
          <w:color w:val="000000"/>
          <w:spacing w:val="0"/>
          <w:w w:val="100"/>
          <w:position w:val="0"/>
          <w:shd w:val="clear" w:color="auto" w:fill="auto"/>
          <w:lang w:val="en-US" w:eastAsia="en-US" w:bidi="en-US"/>
        </w:rPr>
        <w:t xml:space="preserve">Majmonid, 1135-1204). </w:t>
      </w:r>
      <w:r>
        <w:rPr>
          <w:rFonts w:ascii="Times New Roman" w:eastAsia="Times New Roman" w:hAnsi="Times New Roman" w:cs="Times New Roman"/>
          <w:color w:val="000000"/>
          <w:spacing w:val="0"/>
          <w:w w:val="100"/>
          <w:position w:val="0"/>
          <w:shd w:val="clear" w:color="auto" w:fill="auto"/>
          <w:lang w:val="hr-HR" w:eastAsia="hr-HR" w:bidi="hr-HR"/>
        </w:rPr>
        <w:t>Ka</w:t>
        <w:softHyphen/>
        <w:t xml:space="preserve">da su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 xml:space="preserve">potkraj </w:t>
      </w:r>
      <w:r>
        <w:rPr>
          <w:rFonts w:ascii="Times New Roman" w:eastAsia="Times New Roman" w:hAnsi="Times New Roman" w:cs="Times New Roman"/>
          <w:color w:val="000000"/>
          <w:spacing w:val="0"/>
          <w:w w:val="100"/>
          <w:position w:val="0"/>
          <w:shd w:val="clear" w:color="auto" w:fill="auto"/>
          <w:lang w:val="en-US" w:eastAsia="en-US" w:bidi="en-US"/>
        </w:rPr>
        <w:t xml:space="preserve">XII. </w:t>
      </w:r>
      <w:r>
        <w:rPr>
          <w:rFonts w:ascii="Times New Roman" w:eastAsia="Times New Roman" w:hAnsi="Times New Roman" w:cs="Times New Roman"/>
          <w:color w:val="000000"/>
          <w:spacing w:val="0"/>
          <w:w w:val="100"/>
          <w:position w:val="0"/>
          <w:shd w:val="clear" w:color="auto" w:fill="auto"/>
          <w:lang w:val="hr-HR" w:eastAsia="hr-HR" w:bidi="hr-HR"/>
        </w:rPr>
        <w:t>stoljeća židovske općine vratile u islamski svijet i kada su u kršćanskim zemljama nastale zajednice otvorene za zna</w:t>
        <w:softHyphen/>
        <w:t>nost i filozofiju (Španjolska, južna Francuska, Italija), hebrejski je postao jezikom židovskih filozofa. Za razliku od svoje dotadašnje inte</w:t>
        <w:softHyphen/>
        <w:t>gracije u muslimanskim zemljama, Židovi su u kršćanskom kulturnom krugu morali njegova</w:t>
        <w:softHyphen/>
        <w:t>ti vlastitu opću kulturu. Njihovi mislioci na</w:t>
        <w:softHyphen/>
        <w:t>stavili su, doduše, svojim nastojanjima pronik</w:t>
        <w:softHyphen/>
        <w:t>nuti u veze između židovstva i filozofije, no stvorili su vlastitu literaturu u kojoj su se po</w:t>
        <w:softHyphen/>
        <w:t xml:space="preserve">svetili čistim filozofskim temama, prevodili opsežnu arapsku literaturu ranijih vremena </w:t>
      </w:r>
    </w:p>
    <w:p>
      <w:pPr>
        <w:pStyle w:val="Style20"/>
        <w:keepNext w:val="0"/>
        <w:keepLines w:val="0"/>
        <w:widowControl w:val="0"/>
        <w:shd w:val="clear" w:color="auto" w:fill="auto"/>
        <w:tabs>
          <w:tab w:pos="27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hebrejski, komentirali je te je sažimali u obrisima i u leksikonima. Židovska f. novoga vijeka dijelila je sa svojim prethodnicama u helenističkom razdoblju i u srednjem vijeku zanimanje za srodnost židovstva i filozofije, raspravljala o istim problemima koje je ranija židovska f. nastojala riješiti, ali se od nje razlikovala svojim stajalištem o židovskoj tra</w:t>
        <w:softHyphen/>
        <w:t>diciji; dok su neki novovjekovni mislioci u sebi odobravali tradicijsku poziciju, većina ih je u židovstvu prepoznala samo mišljenje i intui</w:t>
        <w:softHyphen/>
        <w:t>ciju ljudi koja se razvila u povijesti i slijedila, umjesto ranije metafizičke spekulacije, svoje zanimanje za ćudorednost kao preduvjet za ostvarenje toga cilja. Prosvjetiteljstvo i eman</w:t>
        <w:softHyphen/>
        <w:t>cipacija imali su jak utjecaj na židovske misli</w:t>
        <w:softHyphen/>
        <w:t xml:space="preserve">oce. Neki su posezali za srednjovjekovnom židovskom filozofijom i tumačili je racionalis- tičkom etikom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Formstecher, 1808</w:t>
        <w:softHyphen/>
        <w:t xml:space="preserve">-1889; </w:t>
      </w:r>
      <w:r>
        <w:rPr>
          <w:rFonts w:ascii="Times New Roman" w:eastAsia="Times New Roman" w:hAnsi="Times New Roman" w:cs="Times New Roman"/>
          <w:color w:val="000000"/>
          <w:spacing w:val="0"/>
          <w:w w:val="100"/>
          <w:position w:val="0"/>
          <w:shd w:val="clear" w:color="auto" w:fill="auto"/>
          <w:lang w:val="en-US" w:eastAsia="en-US" w:bidi="en-US"/>
        </w:rPr>
        <w:t xml:space="preserve">Isaak </w:t>
      </w:r>
      <w:r>
        <w:rPr>
          <w:rFonts w:ascii="Times New Roman" w:eastAsia="Times New Roman" w:hAnsi="Times New Roman" w:cs="Times New Roman"/>
          <w:color w:val="000000"/>
          <w:spacing w:val="0"/>
          <w:w w:val="100"/>
          <w:position w:val="0"/>
          <w:shd w:val="clear" w:color="auto" w:fill="auto"/>
          <w:lang w:val="hr-HR" w:eastAsia="hr-HR" w:bidi="hr-HR"/>
        </w:rPr>
        <w:t xml:space="preserve">Ascher Francolm, 1788-1849; </w:t>
      </w:r>
      <w:r>
        <w:rPr>
          <w:rFonts w:ascii="Times New Roman" w:eastAsia="Times New Roman" w:hAnsi="Times New Roman" w:cs="Times New Roman"/>
          <w:color w:val="000000"/>
          <w:spacing w:val="0"/>
          <w:w w:val="100"/>
          <w:position w:val="0"/>
          <w:shd w:val="clear" w:color="auto" w:fill="auto"/>
          <w:lang w:val="en-US" w:eastAsia="en-US" w:bidi="en-US"/>
        </w:rPr>
        <w:t>Sa</w:t>
        <w:softHyphen/>
        <w:t xml:space="preserve">muel </w:t>
      </w:r>
      <w:r>
        <w:rPr>
          <w:rFonts w:ascii="Times New Roman" w:eastAsia="Times New Roman" w:hAnsi="Times New Roman" w:cs="Times New Roman"/>
          <w:color w:val="000000"/>
          <w:spacing w:val="0"/>
          <w:w w:val="100"/>
          <w:position w:val="0"/>
          <w:shd w:val="clear" w:color="auto" w:fill="auto"/>
          <w:lang w:val="hr-HR" w:eastAsia="hr-HR" w:bidi="hr-HR"/>
        </w:rPr>
        <w:t xml:space="preserve">Hirseh, 1815-1889; </w:t>
      </w:r>
      <w:r>
        <w:rPr>
          <w:rFonts w:ascii="Times New Roman" w:eastAsia="Times New Roman" w:hAnsi="Times New Roman" w:cs="Times New Roman"/>
          <w:color w:val="000000"/>
          <w:spacing w:val="0"/>
          <w:w w:val="100"/>
          <w:position w:val="0"/>
          <w:shd w:val="clear" w:color="auto" w:fill="auto"/>
          <w:lang w:val="en-US" w:eastAsia="en-US" w:bidi="en-US"/>
        </w:rPr>
        <w:t xml:space="preserve">Hermann Cohen, </w:t>
      </w:r>
      <w:r>
        <w:rPr>
          <w:rFonts w:ascii="Times New Roman" w:eastAsia="Times New Roman" w:hAnsi="Times New Roman" w:cs="Times New Roman"/>
          <w:color w:val="000000"/>
          <w:spacing w:val="0"/>
          <w:w w:val="100"/>
          <w:position w:val="0"/>
          <w:shd w:val="clear" w:color="auto" w:fill="auto"/>
          <w:lang w:val="hr-HR" w:eastAsia="hr-HR" w:bidi="hr-HR"/>
        </w:rPr>
        <w:t>1842-1918). Mnogi su prihvatili prosvjetitelj</w:t>
        <w:softHyphen/>
        <w:t>ski pojam religije razuma, koja postoji u ra</w:t>
        <w:softHyphen/>
        <w:t>cionalnim uvjerenjima i postupcima i usmje</w:t>
        <w:softHyphen/>
        <w:t xml:space="preserve">rena je prema svim ljudima bez razlike. </w:t>
      </w:r>
      <w:r>
        <w:rPr>
          <w:rFonts w:ascii="Times New Roman" w:eastAsia="Times New Roman" w:hAnsi="Times New Roman" w:cs="Times New Roman"/>
          <w:color w:val="000000"/>
          <w:spacing w:val="0"/>
          <w:w w:val="100"/>
          <w:position w:val="0"/>
          <w:shd w:val="clear" w:color="auto" w:fill="auto"/>
          <w:lang w:val="en-US" w:eastAsia="en-US" w:bidi="en-US"/>
        </w:rPr>
        <w:t xml:space="preserve">Moses Mendelssohn </w:t>
      </w:r>
      <w:r>
        <w:rPr>
          <w:rFonts w:ascii="Times New Roman" w:eastAsia="Times New Roman" w:hAnsi="Times New Roman" w:cs="Times New Roman"/>
          <w:color w:val="000000"/>
          <w:spacing w:val="0"/>
          <w:w w:val="100"/>
          <w:position w:val="0"/>
          <w:shd w:val="clear" w:color="auto" w:fill="auto"/>
          <w:lang w:val="hr-HR" w:eastAsia="hr-HR" w:bidi="hr-HR"/>
        </w:rPr>
        <w:t>(1729-1786) istraživao je u ko</w:t>
        <w:softHyphen/>
        <w:t>joj se mjeri povijesno židovstvo poklapa s reli</w:t>
        <w:softHyphen/>
        <w:t>gijom razuma ili se od nje razlikuje. Drugi, poput Hermanna Cohcna, prikazivali su ži</w:t>
        <w:softHyphen/>
        <w:t>dovstvo kao idealno utjelovljenje religije ra</w:t>
        <w:softHyphen/>
        <w:t xml:space="preserve">zuma.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 xml:space="preserve">(1878-1965) i </w:t>
      </w:r>
      <w:r>
        <w:rPr>
          <w:rFonts w:ascii="Times New Roman" w:eastAsia="Times New Roman" w:hAnsi="Times New Roman" w:cs="Times New Roman"/>
          <w:color w:val="000000"/>
          <w:spacing w:val="0"/>
          <w:w w:val="100"/>
          <w:position w:val="0"/>
          <w:shd w:val="clear" w:color="auto" w:fill="auto"/>
          <w:lang w:val="en-US" w:eastAsia="en-US" w:bidi="en-US"/>
        </w:rPr>
        <w:t xml:space="preserve">Franz </w:t>
      </w:r>
      <w:r>
        <w:rPr>
          <w:rFonts w:ascii="Times New Roman" w:eastAsia="Times New Roman" w:hAnsi="Times New Roman" w:cs="Times New Roman"/>
          <w:color w:val="000000"/>
          <w:spacing w:val="0"/>
          <w:w w:val="100"/>
          <w:position w:val="0"/>
          <w:shd w:val="clear" w:color="auto" w:fill="auto"/>
          <w:lang w:val="hr-HR" w:eastAsia="hr-HR" w:bidi="hr-HR"/>
        </w:rPr>
        <w:t xml:space="preserve">Ro- </w:t>
      </w:r>
      <w:r>
        <w:rPr>
          <w:rFonts w:ascii="Times New Roman" w:eastAsia="Times New Roman" w:hAnsi="Times New Roman" w:cs="Times New Roman"/>
          <w:color w:val="000000"/>
          <w:spacing w:val="0"/>
          <w:w w:val="100"/>
          <w:position w:val="0"/>
          <w:shd w:val="clear" w:color="auto" w:fill="auto"/>
          <w:lang w:val="en-US" w:eastAsia="en-US" w:bidi="en-US"/>
        </w:rPr>
        <w:t xml:space="preserve">senzweig </w:t>
      </w:r>
      <w:r>
        <w:rPr>
          <w:rFonts w:ascii="Times New Roman" w:eastAsia="Times New Roman" w:hAnsi="Times New Roman" w:cs="Times New Roman"/>
          <w:color w:val="000000"/>
          <w:spacing w:val="0"/>
          <w:w w:val="100"/>
          <w:position w:val="0"/>
          <w:shd w:val="clear" w:color="auto" w:fill="auto"/>
          <w:lang w:val="hr-HR" w:eastAsia="hr-HR" w:bidi="hr-HR"/>
        </w:rPr>
        <w:t>(1886-1929) strogo su odbijali da ih smatraju filozofima.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13. *1978, 421-65; 3, 657 i d..; ¥. </w:t>
      </w:r>
      <w:r>
        <w:rPr>
          <w:color w:val="000000"/>
          <w:spacing w:val="0"/>
          <w:w w:val="100"/>
          <w:position w:val="0"/>
          <w:shd w:val="clear" w:color="auto" w:fill="auto"/>
        </w:rPr>
        <w:t xml:space="preserve">Amir,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helleni.stische </w:t>
      </w:r>
      <w:r>
        <w:rPr>
          <w:i/>
          <w:iCs/>
          <w:color w:val="000000"/>
          <w:spacing w:val="0"/>
          <w:w w:val="100"/>
          <w:position w:val="0"/>
          <w:shd w:val="clear" w:color="auto" w:fill="auto"/>
        </w:rPr>
        <w:t>Gestalt des Judeniums ba Philon von Alexandrien,</w:t>
      </w:r>
      <w:r>
        <w:rPr>
          <w:color w:val="000000"/>
          <w:spacing w:val="0"/>
          <w:w w:val="100"/>
          <w:position w:val="0"/>
          <w:shd w:val="clear" w:color="auto" w:fill="auto"/>
        </w:rPr>
        <w:t xml:space="preserve"> 1983; A. J. Hcschcl, </w:t>
      </w:r>
      <w:r>
        <w:rPr>
          <w:i/>
          <w:iCs/>
          <w:color w:val="000000"/>
          <w:spacing w:val="0"/>
          <w:w w:val="100"/>
          <w:position w:val="0"/>
          <w:shd w:val="clear" w:color="auto" w:fill="auto"/>
        </w:rPr>
        <w:t>Gott suchl den Men- when. Eine Philosophie des Judentums,</w:t>
      </w:r>
      <w:r>
        <w:rPr>
          <w:color w:val="000000"/>
          <w:spacing w:val="0"/>
          <w:w w:val="100"/>
          <w:position w:val="0"/>
          <w:shd w:val="clear" w:color="auto" w:fill="auto"/>
        </w:rPr>
        <w:t xml:space="preserve"> 1980.</w:t>
      </w:r>
    </w:p>
    <w:p>
      <w:pPr>
        <w:pStyle w:val="Style56"/>
        <w:keepNext w:val="0"/>
        <w:keepLines w:val="0"/>
        <w:widowControl w:val="0"/>
        <w:shd w:val="clear" w:color="auto" w:fill="auto"/>
        <w:bidi w:val="0"/>
        <w:spacing w:before="0" w:after="140" w:line="240" w:lineRule="auto"/>
        <w:ind w:left="0" w:right="0" w:firstLine="0"/>
        <w:jc w:val="right"/>
      </w:pPr>
      <w:r>
        <w:rPr>
          <w:color w:val="000000"/>
          <w:spacing w:val="0"/>
          <w:w w:val="100"/>
          <w:position w:val="0"/>
          <w:shd w:val="clear" w:color="auto" w:fill="auto"/>
        </w:rPr>
        <w:t>D. VO'ITER</w:t>
      </w:r>
    </w:p>
    <w:p>
      <w:pPr>
        <w:pStyle w:val="Style56"/>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hd w:val="clear" w:color="auto" w:fill="auto"/>
        </w:rPr>
        <w:t xml:space="preserve">2. </w:t>
      </w: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filozofije i sam je predmet filozofije. Začaran krug uključuje nemogućnost defini</w:t>
        <w:softHyphen/>
        <w:t>cije; takve pokušaje kakvi su možda učinjeni na prvim stranicama povijesti filozofije (npr. F. Ucbcnvcg: »F. je nauk o načelima«) treba zato odbaciti kao nedostatne. Pojam filozofije razvija se mnogo više u načelno nedovršivom procesu filozofiranja koji je kao takav moguć predmet »fenomenologije filozofiranja«. Ova bitno ukazuje na filozofiranje kao na »radi</w:t>
        <w:softHyphen/>
        <w:t xml:space="preserve">kalno propitivanje« </w:t>
      </w:r>
      <w:r>
        <w:rPr>
          <w:rFonts w:ascii="Times New Roman" w:eastAsia="Times New Roman" w:hAnsi="Times New Roman" w:cs="Times New Roman"/>
          <w:color w:val="000000"/>
          <w:spacing w:val="0"/>
          <w:w w:val="100"/>
          <w:position w:val="0"/>
          <w:shd w:val="clear" w:color="auto" w:fill="auto"/>
          <w:lang w:val="en-US" w:eastAsia="en-US" w:bidi="en-US"/>
        </w:rPr>
        <w:t xml:space="preserve">(Wcischedel) </w:t>
      </w:r>
      <w:r>
        <w:rPr>
          <w:rFonts w:ascii="Times New Roman" w:eastAsia="Times New Roman" w:hAnsi="Times New Roman" w:cs="Times New Roman"/>
          <w:color w:val="000000"/>
          <w:spacing w:val="0"/>
          <w:w w:val="100"/>
          <w:position w:val="0"/>
          <w:shd w:val="clear" w:color="auto" w:fill="auto"/>
          <w:lang w:val="hr-HR" w:eastAsia="hr-HR" w:bidi="hr-HR"/>
        </w:rPr>
        <w:t>koje se sa</w:t>
        <w:softHyphen/>
        <w:t xml:space="preserve">mo dakako opet mora dosljedno tome učiniti predmetom propitivanja čime i ova definicija </w:t>
      </w:r>
      <w:r>
        <w:rPr>
          <w:rFonts w:ascii="Times New Roman" w:eastAsia="Times New Roman" w:hAnsi="Times New Roman" w:cs="Times New Roman"/>
          <w:color w:val="000000"/>
          <w:spacing w:val="0"/>
          <w:w w:val="100"/>
          <w:position w:val="0"/>
          <w:shd w:val="clear" w:color="auto" w:fill="auto"/>
          <w:lang w:val="hr-HR" w:eastAsia="hr-HR" w:bidi="hr-HR"/>
        </w:rPr>
        <w:t>zapada u krug. Čini se da je »rješenje« prob</w:t>
        <w:softHyphen/>
        <w:t xml:space="preserve">lema moguće samo na taj način da se f. svede na »izrecive rečenice« i da time f. samu sebe poništi, jer »o čemu se ne može govoriti, o tome se mora šutjeti« </w:t>
      </w:r>
      <w:r>
        <w:rPr>
          <w:rFonts w:ascii="Times New Roman" w:eastAsia="Times New Roman" w:hAnsi="Times New Roman" w:cs="Times New Roman"/>
          <w:color w:val="000000"/>
          <w:spacing w:val="0"/>
          <w:w w:val="100"/>
          <w:position w:val="0"/>
          <w:shd w:val="clear" w:color="auto" w:fill="auto"/>
          <w:lang w:val="en-US" w:eastAsia="en-US" w:bidi="en-US"/>
        </w:rPr>
        <w:t xml:space="preserve">(Wittgenstein) </w:t>
      </w:r>
      <w:r>
        <w:rPr>
          <w:rFonts w:ascii="Times New Roman" w:eastAsia="Times New Roman" w:hAnsi="Times New Roman" w:cs="Times New Roman"/>
          <w:color w:val="000000"/>
          <w:spacing w:val="0"/>
          <w:w w:val="100"/>
          <w:position w:val="0"/>
          <w:shd w:val="clear" w:color="auto" w:fill="auto"/>
          <w:lang w:val="hr-HR" w:eastAsia="hr-HR" w:bidi="hr-HR"/>
        </w:rPr>
        <w:t>- što je uostalom opet jedna filozofska rečenica.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ipak, ima nešto točno u shvaćanju filozofije kao o »radikalnom propitivanju«: F. ima prije svega kritičku zadaću (Kant); ona pita o sva</w:t>
        <w:softHyphen/>
        <w:t>kodnevnom, po sebi razumljivom, »jer čuđe</w:t>
        <w:softHyphen/>
        <w:t>nje je bilo ljudima sada kao i prije početak filozofiranja« (Aristotel). Nasuprot tom »pri</w:t>
        <w:softHyphen/>
        <w:t>marnom filozofiranju«, dakle, elementarnom bavljenju filozofijom stoji »sekundarno filo</w:t>
        <w:softHyphen/>
        <w:t>zofiranje«, tj. sučeljavanje s filozofskim misli</w:t>
        <w:softHyphen/>
        <w:t>ma i sustavima kao s njezinim kritičkim nak</w:t>
        <w:softHyphen/>
        <w:t>nadnim promišljanjem. Tako je povijest filo</w:t>
        <w:softHyphen/>
        <w:t>zofije dio same filozofije; »deskriptivna de</w:t>
        <w:softHyphen/>
        <w:t>finicija« filozofije moguća je pomoću njezine povijesti makar nije iscrpna, jer bi se za to mo</w:t>
        <w:softHyphen/>
        <w:t>rale uzeti u obzir sve filozofije koje se mogu zamisliti u prošlosti, sadašnjosti i budućnosti. Ograničenje na zapadnu filozofiju, koje podu</w:t>
        <w:softHyphen/>
        <w:t>zimamo u ovome što slijedi, može, dakle, iz početka objasniti samo ograničen aspekt filo</w:t>
        <w:softHyphen/>
        <w:t>zofije.</w:t>
      </w:r>
    </w:p>
    <w:p>
      <w:pPr>
        <w:pStyle w:val="Style20"/>
        <w:keepNext w:val="0"/>
        <w:keepLines w:val="0"/>
        <w:widowControl w:val="0"/>
        <w:shd w:val="clear" w:color="auto" w:fill="auto"/>
        <w:bidi w:val="0"/>
        <w:spacing w:before="0" w:after="0"/>
        <w:ind w:left="0" w:right="0" w:firstLine="0"/>
        <w:jc w:val="both"/>
        <w:sectPr>
          <w:headerReference w:type="default" r:id="rId443"/>
          <w:footerReference w:type="default" r:id="rId444"/>
          <w:headerReference w:type="even" r:id="rId445"/>
          <w:footerReference w:type="even" r:id="rId446"/>
          <w:footnotePr>
            <w:pos w:val="pageBottom"/>
            <w:numFmt w:val="decimal"/>
            <w:numStart w:val="5"/>
            <w:numRestart w:val="continuous"/>
            <w15:footnoteColumns w:val="1"/>
          </w:footnotePr>
          <w:pgSz w:w="6816" w:h="11006"/>
          <w:pgMar w:top="758" w:left="186" w:right="188" w:bottom="384" w:header="0" w:footer="3" w:gutter="0"/>
          <w:pgNumType w:start="148"/>
          <w:cols w:num="2" w:space="18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Pojam philosophia, prema Platonovu učeniku Heraklitu Pontiku, najprije je označio </w:t>
      </w:r>
      <w:r>
        <w:rPr>
          <w:rFonts w:ascii="Times New Roman" w:eastAsia="Times New Roman" w:hAnsi="Times New Roman" w:cs="Times New Roman"/>
          <w:color w:val="000000"/>
          <w:spacing w:val="0"/>
          <w:w w:val="100"/>
          <w:position w:val="0"/>
          <w:shd w:val="clear" w:color="auto" w:fill="auto"/>
          <w:lang w:val="en-US" w:eastAsia="en-US" w:bidi="en-US"/>
        </w:rPr>
        <w:t>Pita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gora</w:t>
      </w:r>
      <w:r>
        <w:rPr>
          <w:rFonts w:ascii="Times New Roman" w:eastAsia="Times New Roman" w:hAnsi="Times New Roman" w:cs="Times New Roman"/>
          <w:color w:val="000000"/>
          <w:spacing w:val="0"/>
          <w:w w:val="100"/>
          <w:position w:val="0"/>
          <w:shd w:val="clear" w:color="auto" w:fill="auto"/>
          <w:lang w:val="hr-HR" w:eastAsia="hr-HR" w:bidi="hr-HR"/>
        </w:rPr>
        <w:t xml:space="preserve"> koji je time htio reći da samo Bog može biti u posjedu mudrosti (sophia), a čovjeku pripada samo philosophia (ljubav prema mu</w:t>
        <w:softHyphen/>
        <w:t>drosti). Pa ipak, čini se da ispred toga leži pla</w:t>
        <w:softHyphen/>
        <w:t>tonsko, odnosno sokratovsko misaono blago, jer se ovaj pojam filozofije pokriva sa Sokra- tovim »znam da ništa ne znam«. Nakon pre</w:t>
        <w:softHyphen/>
        <w:t>vladavanja Sokratove »aporetičke« filozofije, Platon razvija kasnije filozofiju kao nauk o istinskom bitku, idejama; za Platonova učeni</w:t>
        <w:softHyphen/>
        <w:t>ka Aristotela f. je najprije svaka znanost uop</w:t>
        <w:softHyphen/>
        <w:t xml:space="preserve">će; pandan učenju o idejama njegova učitelja kod njega je »prva f.« ili metafizika koja se bavi bićem ako ono bivajući jest </w:t>
      </w:r>
      <w:r>
        <w:rPr>
          <w:rFonts w:ascii="Times New Roman" w:eastAsia="Times New Roman" w:hAnsi="Times New Roman" w:cs="Times New Roman"/>
          <w:color w:val="000000"/>
          <w:spacing w:val="0"/>
          <w:w w:val="100"/>
          <w:position w:val="0"/>
          <w:shd w:val="clear" w:color="auto" w:fill="auto"/>
          <w:lang w:val="en-US" w:eastAsia="en-US" w:bidi="en-US"/>
        </w:rPr>
        <w:t xml:space="preserve">(on he </w:t>
      </w:r>
      <w:r>
        <w:rPr>
          <w:rFonts w:ascii="Times New Roman" w:eastAsia="Times New Roman" w:hAnsi="Times New Roman" w:cs="Times New Roman"/>
          <w:color w:val="000000"/>
          <w:spacing w:val="0"/>
          <w:w w:val="100"/>
          <w:position w:val="0"/>
          <w:shd w:val="clear" w:color="auto" w:fill="auto"/>
          <w:lang w:val="hr-HR" w:eastAsia="hr-HR" w:bidi="hr-HR"/>
        </w:rPr>
        <w:t>on). Na Aristotela se svodi djelomično do danas upotrebljiva podjela filozofije na teoretsku (metafizika, fizika, matematika), praktičnu (etika, politika) i poietičku filozofiju (poictika, retorika, ekonomika). U helenističkim filozof</w:t>
        <w:softHyphen/>
        <w:t>skim školama (Akademija, Peripatos, Stoa, epikurejstvo) i u rimskoj filozofiji (Ciceron, Seneka) razvijalo se prije svega težište u prak</w:t>
        <w:softHyphen/>
        <w:t xml:space="preserve">tičnoj filozofiji (etika). Nastupom kršćanstva nastala je nova situacija; prva su stoljeća bila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obilježena sučeljavanjem kršćanstva s grčkom filozofijom; tu treba navesti, oslanjajući se prije svega na Filona Alcksandrijskog, alego- rijsko izlaganje Biblije, koje je razvio </w:t>
      </w:r>
      <w:r>
        <w:rPr>
          <w:rFonts w:ascii="Times New Roman" w:eastAsia="Times New Roman" w:hAnsi="Times New Roman" w:cs="Times New Roman"/>
          <w:color w:val="000000"/>
          <w:spacing w:val="0"/>
          <w:w w:val="100"/>
          <w:position w:val="0"/>
          <w:shd w:val="clear" w:color="auto" w:fill="auto"/>
          <w:lang w:val="en-US" w:eastAsia="en-US" w:bidi="en-US"/>
        </w:rPr>
        <w:t xml:space="preserve">Origen </w:t>
      </w:r>
      <w:r>
        <w:rPr>
          <w:rFonts w:ascii="Times New Roman" w:eastAsia="Times New Roman" w:hAnsi="Times New Roman" w:cs="Times New Roman"/>
          <w:color w:val="000000"/>
          <w:spacing w:val="0"/>
          <w:w w:val="100"/>
          <w:position w:val="0"/>
          <w:shd w:val="clear" w:color="auto" w:fill="auto"/>
          <w:lang w:val="hr-HR" w:eastAsia="hr-HR" w:bidi="hr-HR"/>
        </w:rPr>
        <w:t xml:space="preserve">i koje je stoljećima dalje djelovalo, a s druge strane adaptaciju neoplatonske filozofije koju su izvršili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i Boetije i osobito Dio- nizije Areopagita koji je pod pseudonimom Pavlovog učenika postao poznati autor u V. stoljeću.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Iako je u srednjem vijeku f., a to znači prije svega Aristotelova f., bila doduše pod prima</w:t>
        <w:softHyphen/>
        <w:t>tom teologije (philosophia ancilla theologiae), ona se ipak nimalo nije srozala do čistog in</w:t>
        <w:softHyphen/>
        <w:t xml:space="preserve">strumenta »dokaza« vjerskih rečenica (unatoč »dokazima o Bogu« </w:t>
      </w:r>
      <w:r>
        <w:rPr>
          <w:rFonts w:ascii="Times New Roman" w:eastAsia="Times New Roman" w:hAnsi="Times New Roman" w:cs="Times New Roman"/>
          <w:color w:val="000000"/>
          <w:spacing w:val="0"/>
          <w:w w:val="100"/>
          <w:position w:val="0"/>
          <w:shd w:val="clear" w:color="auto" w:fill="auto"/>
          <w:lang w:val="en-US" w:eastAsia="en-US" w:bidi="en-US"/>
        </w:rPr>
        <w:t xml:space="preserve">Anselma Canterburyjsko- </w:t>
      </w:r>
      <w:r>
        <w:rPr>
          <w:rFonts w:ascii="Times New Roman" w:eastAsia="Times New Roman" w:hAnsi="Times New Roman" w:cs="Times New Roman"/>
          <w:color w:val="000000"/>
          <w:spacing w:val="0"/>
          <w:w w:val="100"/>
          <w:position w:val="0"/>
          <w:shd w:val="clear" w:color="auto" w:fill="auto"/>
          <w:lang w:val="hr-HR" w:eastAsia="hr-HR" w:bidi="hr-HR"/>
        </w:rPr>
        <w:t>ga ili Tome Akvinskoga); uz svoju propede</w:t>
        <w:softHyphen/>
        <w:t>utiku funkciju (sustav od sedam slobodnih umjetnosti) ispunjavala je svoju kritičku za</w:t>
        <w:softHyphen/>
        <w:t xml:space="preserve">daću u razlučivanju znanja od vjere (Toma Akvinski) sve do načela ekonomičnosti kod </w:t>
      </w:r>
      <w:r>
        <w:rPr>
          <w:rFonts w:ascii="Times New Roman" w:eastAsia="Times New Roman" w:hAnsi="Times New Roman" w:cs="Times New Roman"/>
          <w:color w:val="000000"/>
          <w:spacing w:val="0"/>
          <w:w w:val="100"/>
          <w:position w:val="0"/>
          <w:shd w:val="clear" w:color="auto" w:fill="auto"/>
          <w:lang w:val="en-US" w:eastAsia="en-US" w:bidi="en-US"/>
        </w:rPr>
        <w:t xml:space="preserve">Williama </w:t>
      </w:r>
      <w:r>
        <w:rPr>
          <w:rFonts w:ascii="Times New Roman" w:eastAsia="Times New Roman" w:hAnsi="Times New Roman" w:cs="Times New Roman"/>
          <w:color w:val="000000"/>
          <w:spacing w:val="0"/>
          <w:w w:val="100"/>
          <w:position w:val="0"/>
          <w:shd w:val="clear" w:color="auto" w:fill="auto"/>
          <w:lang w:val="hr-HR" w:eastAsia="hr-HR" w:bidi="hr-HR"/>
        </w:rPr>
        <w:t>Ockhama.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Početkom novoga doba počelo je razlučivanje i osamostaljivanje pojedinih znanosti; najprije su se oslobodile matematičke prirodne zna</w:t>
        <w:softHyphen/>
        <w:t>nosti od diktata (aristotelovske) filozofije i ti</w:t>
        <w:softHyphen/>
        <w:t>jekom vremena sve se više nastavljalo oslo</w:t>
        <w:softHyphen/>
        <w:t>bađanje znanosti od filozofije, pa se stiglo go</w:t>
        <w:softHyphen/>
        <w:t>tovo do paradoksalne i pomalo rezignirajućc formulacije »da se neki predmet više ne ra</w:t>
        <w:softHyphen/>
        <w:t xml:space="preserve">čuna u filozofiju čim su moguće definitivne spoznaje o njemu« (B. </w:t>
      </w:r>
      <w:r>
        <w:rPr>
          <w:rFonts w:ascii="Times New Roman" w:eastAsia="Times New Roman" w:hAnsi="Times New Roman" w:cs="Times New Roman"/>
          <w:color w:val="000000"/>
          <w:spacing w:val="0"/>
          <w:w w:val="100"/>
          <w:position w:val="0"/>
          <w:shd w:val="clear" w:color="auto" w:fill="auto"/>
          <w:lang w:val="en-US" w:eastAsia="en-US" w:bidi="en-US"/>
        </w:rPr>
        <w:t xml:space="preserve">Russell). </w:t>
      </w:r>
      <w:r>
        <w:rPr>
          <w:rFonts w:ascii="Times New Roman" w:eastAsia="Times New Roman" w:hAnsi="Times New Roman" w:cs="Times New Roman"/>
          <w:color w:val="000000"/>
          <w:spacing w:val="0"/>
          <w:w w:val="100"/>
          <w:position w:val="0"/>
          <w:shd w:val="clear" w:color="auto" w:fill="auto"/>
          <w:lang w:val="hr-HR" w:eastAsia="hr-HR" w:bidi="hr-HR"/>
        </w:rPr>
        <w:t>Pa ipak, to nije »smrt filozofije«, nego, naprotiv, ona i na području pojedinačnih znanosti spoznaje svo</w:t>
        <w:softHyphen/>
        <w:t>ju kritičku zadaću i istražuje premise, propiti</w:t>
        <w:softHyphen/>
        <w:t>vanja i metode različitih znanstvenih discipli</w:t>
        <w:softHyphen/>
        <w:t>na. Pritom postoji nužnost kritičkog propiti</w:t>
        <w:softHyphen/>
        <w:t>vanja temelja ne samo na području onih zna</w:t>
        <w:softHyphen/>
        <w:t>nosti kod kojih načelno ne mogu biti odije</w:t>
        <w:softHyphen/>
        <w:t>ljeni objekt i subjekt spoznaje (psihologija, so</w:t>
        <w:softHyphen/>
        <w:t>ciologija, političke i ekonomske znanosti) ne</w:t>
        <w:softHyphen/>
        <w:t>go i kod tzv. egzaktnih prirodnih znanosti: Da čovjek kao subjekt koji promatra uvijek isto</w:t>
        <w:softHyphen/>
        <w:t>dobno već specifično mijenja objekt svoje spo</w:t>
        <w:softHyphen/>
        <w:t>znaje, pojasnila su prije svega revolucionarna otkrića fizike na prijelazu u novo stoljeće.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Uza znanstveno kritičku funkciju, f. ima ta</w:t>
        <w:softHyphen/>
        <w:t>kođer zadatak kritizirati ideologije: utvrditi znakove ideologija, raskrinkavati pseudoznan</w:t>
        <w:softHyphen/>
        <w:t>stvene svjetonazore kao ideološke, problema</w:t>
        <w:softHyphen/>
        <w:t xml:space="preserve">tizirati ono što se navodno ne može više staviti u pitanje, ozbiljno shvatiti radikalna pitanja, </w:t>
      </w:r>
      <w:r>
        <w:rPr>
          <w:rFonts w:ascii="Times New Roman" w:eastAsia="Times New Roman" w:hAnsi="Times New Roman" w:cs="Times New Roman"/>
          <w:color w:val="000000"/>
          <w:spacing w:val="0"/>
          <w:w w:val="100"/>
          <w:position w:val="0"/>
          <w:shd w:val="clear" w:color="auto" w:fill="auto"/>
          <w:lang w:val="hr-HR" w:eastAsia="hr-HR" w:bidi="hr-HR"/>
        </w:rPr>
        <w:t>ukratko, »ukinuti sljepariju ... pa makar pri</w:t>
        <w:softHyphen/>
        <w:t>tom propala ne znam kako veličana i omiljena zabluda« (Kant).</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 čini uopće sve svojim predmetom pa i samu sebe, lako ona nije moguća potpuno bez uvje</w:t>
        <w:softHyphen/>
        <w:t>ta, ipak može formulirati i kritizirati svoje uvjete; zato kao postulat ostaje bezuvjetnost ili, bolje, štedljivost na uvjetima. F. se ispu</w:t>
        <w:softHyphen/>
        <w:t>njava u načelno nedovršivom naporu spozna</w:t>
        <w:softHyphen/>
        <w:t>vanja; čovjek koji filozofira stoji pred para</w:t>
        <w:softHyphen/>
        <w:t>doksalnom zadaćom, jer se ona ne može ispu</w:t>
        <w:softHyphen/>
        <w:t>niti, »da surađuje na tome da se f. približi ob</w:t>
        <w:softHyphen/>
        <w:t xml:space="preserve">liku znanosti - s ciljem da može skinuti sa sebe oznaku kako je </w:t>
      </w:r>
      <w:r>
        <w:rPr>
          <w:rFonts w:ascii="Times New Roman" w:eastAsia="Times New Roman" w:hAnsi="Times New Roman" w:cs="Times New Roman"/>
          <w:i/>
          <w:iCs/>
          <w:color w:val="000000"/>
          <w:spacing w:val="0"/>
          <w:w w:val="100"/>
          <w:position w:val="0"/>
          <w:shd w:val="clear" w:color="auto" w:fill="auto"/>
          <w:lang w:val="hr-HR" w:eastAsia="hr-HR" w:bidi="hr-HR"/>
        </w:rPr>
        <w:t>ljubav prema znanju</w:t>
      </w:r>
      <w:r>
        <w:rPr>
          <w:rFonts w:ascii="Times New Roman" w:eastAsia="Times New Roman" w:hAnsi="Times New Roman" w:cs="Times New Roman"/>
          <w:color w:val="000000"/>
          <w:spacing w:val="0"/>
          <w:w w:val="100"/>
          <w:position w:val="0"/>
          <w:shd w:val="clear" w:color="auto" w:fill="auto"/>
          <w:lang w:val="hr-HR" w:eastAsia="hr-HR" w:bidi="hr-HR"/>
        </w:rPr>
        <w:t xml:space="preserve"> i biti </w:t>
      </w:r>
      <w:r>
        <w:rPr>
          <w:rFonts w:ascii="Times New Roman" w:eastAsia="Times New Roman" w:hAnsi="Times New Roman" w:cs="Times New Roman"/>
          <w:i/>
          <w:iCs/>
          <w:color w:val="000000"/>
          <w:spacing w:val="0"/>
          <w:w w:val="100"/>
          <w:position w:val="0"/>
          <w:shd w:val="clear" w:color="auto" w:fill="auto"/>
          <w:lang w:val="hr-HR" w:eastAsia="hr-HR" w:bidi="hr-HR"/>
        </w:rPr>
        <w:t>stvarno znanje«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(Hegel).</w:t>
      </w:r>
    </w:p>
    <w:p>
      <w:pPr>
        <w:pStyle w:val="Style56"/>
        <w:keepNext w:val="0"/>
        <w:keepLines w:val="0"/>
        <w:widowControl w:val="0"/>
        <w:shd w:val="clear" w:color="auto" w:fill="auto"/>
        <w:tabs>
          <w:tab w:pos="2616" w:val="left"/>
        </w:tabs>
        <w:bidi w:val="0"/>
        <w:spacing w:before="0" w:after="12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lang w:val="hr-HR" w:eastAsia="hr-HR" w:bidi="hr-HR"/>
        </w:rPr>
        <w:t xml:space="preserve">Historisches </w:t>
      </w:r>
      <w:r>
        <w:rPr>
          <w:i/>
          <w:iCs/>
          <w:color w:val="000000"/>
          <w:spacing w:val="0"/>
          <w:w w:val="100"/>
          <w:position w:val="0"/>
          <w:shd w:val="clear" w:color="auto" w:fill="auto"/>
        </w:rPr>
        <w:t xml:space="preserve">Worterbuch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Philosophic,</w:t>
      </w:r>
      <w:r>
        <w:rPr>
          <w:color w:val="000000"/>
          <w:spacing w:val="0"/>
          <w:w w:val="100"/>
          <w:position w:val="0"/>
          <w:shd w:val="clear" w:color="auto" w:fill="auto"/>
        </w:rPr>
        <w:t xml:space="preserve"> hrsg. </w:t>
      </w:r>
      <w:r>
        <w:rPr>
          <w:color w:val="000000"/>
          <w:spacing w:val="0"/>
          <w:w w:val="100"/>
          <w:position w:val="0"/>
          <w:shd w:val="clear" w:color="auto" w:fill="auto"/>
          <w:lang w:val="hr-HR" w:eastAsia="hr-HR" w:bidi="hr-HR"/>
        </w:rPr>
        <w:t xml:space="preserve">v. </w:t>
      </w:r>
      <w:r>
        <w:rPr>
          <w:color w:val="000000"/>
          <w:spacing w:val="0"/>
          <w:w w:val="100"/>
          <w:position w:val="0"/>
          <w:shd w:val="clear" w:color="auto" w:fill="auto"/>
        </w:rPr>
        <w:t>J. Rit</w:t>
        <w:softHyphen/>
        <w:t xml:space="preserve">ter </w:t>
      </w:r>
      <w:r>
        <w:rPr>
          <w:color w:val="000000"/>
          <w:spacing w:val="0"/>
          <w:w w:val="100"/>
          <w:position w:val="0"/>
          <w:shd w:val="clear" w:color="auto" w:fill="auto"/>
          <w:lang w:val="hr-HR" w:eastAsia="hr-HR" w:bidi="hr-HR"/>
        </w:rPr>
        <w:t xml:space="preserve">u. K. Griindcr, 10 Bdc., </w:t>
      </w:r>
      <w:r>
        <w:rPr>
          <w:color w:val="000000"/>
          <w:spacing w:val="0"/>
          <w:w w:val="100"/>
          <w:position w:val="0"/>
          <w:shd w:val="clear" w:color="auto" w:fill="auto"/>
        </w:rPr>
        <w:t xml:space="preserve">Basel </w:t>
      </w:r>
      <w:r>
        <w:rPr>
          <w:color w:val="000000"/>
          <w:spacing w:val="0"/>
          <w:w w:val="100"/>
          <w:position w:val="0"/>
          <w:shd w:val="clear" w:color="auto" w:fill="auto"/>
          <w:lang w:val="hr-HR" w:eastAsia="hr-HR" w:bidi="hr-HR"/>
        </w:rPr>
        <w:t xml:space="preserve">1971 i d.; </w:t>
      </w:r>
      <w:r>
        <w:rPr>
          <w:i/>
          <w:iCs/>
          <w:color w:val="000000"/>
          <w:spacing w:val="0"/>
          <w:w w:val="100"/>
          <w:position w:val="0"/>
          <w:shd w:val="clear" w:color="auto" w:fill="auto"/>
          <w:lang w:val="hr-HR" w:eastAsia="hr-HR" w:bidi="hr-HR"/>
        </w:rPr>
        <w:t>Handbuch phi- losophischer Grundbegriffe,</w:t>
      </w:r>
      <w:r>
        <w:rPr>
          <w:color w:val="000000"/>
          <w:spacing w:val="0"/>
          <w:w w:val="100"/>
          <w:position w:val="0"/>
          <w:shd w:val="clear" w:color="auto" w:fill="auto"/>
          <w:lang w:val="hr-HR" w:eastAsia="hr-HR" w:bidi="hr-HR"/>
        </w:rPr>
        <w:t xml:space="preserve"> hrsg. v. H. </w:t>
      </w:r>
      <w:r>
        <w:rPr>
          <w:color w:val="000000"/>
          <w:spacing w:val="0"/>
          <w:w w:val="100"/>
          <w:position w:val="0"/>
          <w:shd w:val="clear" w:color="auto" w:fill="auto"/>
        </w:rPr>
        <w:t xml:space="preserve">Krings </w:t>
      </w:r>
      <w:r>
        <w:rPr>
          <w:color w:val="000000"/>
          <w:spacing w:val="0"/>
          <w:w w:val="100"/>
          <w:position w:val="0"/>
          <w:shd w:val="clear" w:color="auto" w:fill="auto"/>
          <w:lang w:val="hr-HR" w:eastAsia="hr-HR" w:bidi="hr-HR"/>
        </w:rPr>
        <w:t xml:space="preserve">i dr., 3 Bdc., Munchcn 1973-74; F. </w:t>
      </w:r>
      <w:r>
        <w:rPr>
          <w:color w:val="000000"/>
          <w:spacing w:val="0"/>
          <w:w w:val="100"/>
          <w:position w:val="0"/>
          <w:shd w:val="clear" w:color="auto" w:fill="auto"/>
        </w:rPr>
        <w:t xml:space="preserve">(jeberweg, </w:t>
      </w:r>
      <w:r>
        <w:rPr>
          <w:i/>
          <w:iCs/>
          <w:color w:val="000000"/>
          <w:spacing w:val="0"/>
          <w:w w:val="100"/>
          <w:position w:val="0"/>
          <w:shd w:val="clear" w:color="auto" w:fill="auto"/>
          <w:lang w:val="hr-HR" w:eastAsia="hr-HR" w:bidi="hr-HR"/>
        </w:rPr>
        <w:t xml:space="preserve">Grundrifl der Geschichte der </w:t>
      </w:r>
      <w:r>
        <w:rPr>
          <w:i/>
          <w:iCs/>
          <w:color w:val="000000"/>
          <w:spacing w:val="0"/>
          <w:w w:val="100"/>
          <w:position w:val="0"/>
          <w:shd w:val="clear" w:color="auto" w:fill="auto"/>
        </w:rPr>
        <w:t>Philosophic,</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5 Bdc., Berlin »1923-28. Ncudruck 1951 i d., vollig ncubcarbcitclc Ausgabc Basel/StuUgart 1983 i d.; Geschichte der </w:t>
      </w:r>
      <w:r>
        <w:rPr>
          <w:color w:val="000000"/>
          <w:spacing w:val="0"/>
          <w:w w:val="100"/>
          <w:position w:val="0"/>
          <w:shd w:val="clear" w:color="auto" w:fill="auto"/>
        </w:rPr>
        <w:t xml:space="preserve">Philosophic in Langsschnilten, </w:t>
      </w:r>
      <w:r>
        <w:rPr>
          <w:color w:val="000000"/>
          <w:spacing w:val="0"/>
          <w:w w:val="100"/>
          <w:position w:val="0"/>
          <w:shd w:val="clear" w:color="auto" w:fill="auto"/>
          <w:lang w:val="hr-HR" w:eastAsia="hr-HR" w:bidi="hr-HR"/>
        </w:rPr>
        <w:t xml:space="preserve">hrsg. v. W. Moog, 10 Bdc., Berlin 1931 i d.; W. </w:t>
      </w:r>
      <w:r>
        <w:rPr>
          <w:color w:val="000000"/>
          <w:spacing w:val="0"/>
          <w:w w:val="100"/>
          <w:position w:val="0"/>
          <w:shd w:val="clear" w:color="auto" w:fill="auto"/>
        </w:rPr>
        <w:t xml:space="preserve">Dilthcy, </w:t>
      </w:r>
      <w:r>
        <w:rPr>
          <w:i/>
          <w:iCs/>
          <w:color w:val="000000"/>
          <w:spacing w:val="0"/>
          <w:w w:val="100"/>
          <w:position w:val="0"/>
          <w:shd w:val="clear" w:color="auto" w:fill="auto"/>
        </w:rPr>
        <w:t xml:space="preserve">Das Wesen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Philosophic {Gesammelte Schriten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V, 1923, ‘1957, 339-416); M </w:t>
      </w:r>
      <w:r>
        <w:rPr>
          <w:color w:val="000000"/>
          <w:spacing w:val="0"/>
          <w:w w:val="100"/>
          <w:position w:val="0"/>
          <w:shd w:val="clear" w:color="auto" w:fill="auto"/>
        </w:rPr>
        <w:t xml:space="preserve">Heidegger, </w:t>
      </w:r>
      <w:r>
        <w:rPr>
          <w:i/>
          <w:iCs/>
          <w:color w:val="000000"/>
          <w:spacing w:val="0"/>
          <w:w w:val="100"/>
          <w:position w:val="0"/>
          <w:shd w:val="clear" w:color="auto" w:fill="auto"/>
        </w:rPr>
        <w:t>Was ist das - die Philosophic?,</w:t>
      </w:r>
      <w:r>
        <w:rPr>
          <w:color w:val="000000"/>
          <w:spacing w:val="0"/>
          <w:w w:val="100"/>
          <w:position w:val="0"/>
          <w:shd w:val="clear" w:color="auto" w:fill="auto"/>
        </w:rPr>
        <w:t xml:space="preserve"> Pfullingen 1956; E. Husserl, </w:t>
      </w:r>
      <w:r>
        <w:rPr>
          <w:i/>
          <w:iCs/>
          <w:color w:val="000000"/>
          <w:spacing w:val="0"/>
          <w:w w:val="100"/>
          <w:position w:val="0"/>
          <w:shd w:val="clear" w:color="auto" w:fill="auto"/>
        </w:rPr>
        <w:t>Philosophic als strenge Wissenschaft, Lo</w:t>
        <w:softHyphen/>
        <w:t>gos</w:t>
      </w:r>
      <w:r>
        <w:rPr>
          <w:color w:val="000000"/>
          <w:spacing w:val="0"/>
          <w:w w:val="100"/>
          <w:position w:val="0"/>
          <w:shd w:val="clear" w:color="auto" w:fill="auto"/>
        </w:rPr>
        <w:t xml:space="preserve"> I, 1910/11,289-341; .1. Pieper. </w:t>
      </w:r>
      <w:r>
        <w:rPr>
          <w:i/>
          <w:iCs/>
          <w:color w:val="000000"/>
          <w:spacing w:val="0"/>
          <w:w w:val="100"/>
          <w:position w:val="0"/>
          <w:shd w:val="clear" w:color="auto" w:fill="auto"/>
        </w:rPr>
        <w:t xml:space="preserve">Was heifiiphilosophieren? </w:t>
      </w:r>
      <w:r>
        <w:rPr>
          <w:color w:val="000000"/>
          <w:spacing w:val="0"/>
          <w:w w:val="100"/>
          <w:position w:val="0"/>
          <w:shd w:val="clear" w:color="auto" w:fill="auto"/>
        </w:rPr>
        <w:t xml:space="preserve">Munchcn 1959; H. Plessncr, Die Fragc nach dem Wcscn dcr Philosophic, u: </w:t>
      </w:r>
      <w:r>
        <w:rPr>
          <w:i/>
          <w:iCs/>
          <w:color w:val="000000"/>
          <w:spacing w:val="0"/>
          <w:w w:val="100"/>
          <w:position w:val="0"/>
          <w:shd w:val="clear" w:color="auto" w:fill="auto"/>
        </w:rPr>
        <w:t xml:space="preserve">Zwchen Philosophic und Gesellschaft. </w:t>
      </w:r>
      <w:r>
        <w:rPr>
          <w:color w:val="000000"/>
          <w:spacing w:val="0"/>
          <w:w w:val="100"/>
          <w:position w:val="0"/>
          <w:shd w:val="clear" w:color="auto" w:fill="auto"/>
        </w:rPr>
        <w:t xml:space="preserve">Bern 1953, 79-98; E. Bloch, </w:t>
      </w:r>
      <w:r>
        <w:rPr>
          <w:i/>
          <w:iCs/>
          <w:color w:val="000000"/>
          <w:spacing w:val="0"/>
          <w:w w:val="100"/>
          <w:position w:val="0"/>
          <w:shd w:val="clear" w:color="auto" w:fill="auto"/>
        </w:rPr>
        <w:t>Tubinger Einleitung in die Phi</w:t>
        <w:softHyphen/>
        <w:t>losophic, 2</w:t>
      </w:r>
      <w:r>
        <w:rPr>
          <w:color w:val="000000"/>
          <w:spacing w:val="0"/>
          <w:w w:val="100"/>
          <w:position w:val="0"/>
          <w:shd w:val="clear" w:color="auto" w:fill="auto"/>
        </w:rPr>
        <w:t xml:space="preserve"> Bdc., Frankfurt a. M. 1963/64; B. Russell. </w:t>
      </w:r>
      <w:r>
        <w:rPr>
          <w:i/>
          <w:iCs/>
          <w:color w:val="000000"/>
          <w:spacing w:val="0"/>
          <w:w w:val="100"/>
          <w:position w:val="0"/>
          <w:shd w:val="clear" w:color="auto" w:fill="auto"/>
        </w:rPr>
        <w:t>The Problems of Philosophy,</w:t>
      </w:r>
      <w:r>
        <w:rPr>
          <w:color w:val="000000"/>
          <w:spacing w:val="0"/>
          <w:w w:val="100"/>
          <w:position w:val="0"/>
          <w:shd w:val="clear" w:color="auto" w:fill="auto"/>
        </w:rPr>
        <w:t xml:space="preserve"> Oxford 1912 (di. Frankfurt a. M. 1967); W. Wciwhcdcl, </w:t>
      </w:r>
      <w:r>
        <w:rPr>
          <w:i/>
          <w:iCs/>
          <w:color w:val="000000"/>
          <w:spacing w:val="0"/>
          <w:w w:val="100"/>
          <w:position w:val="0"/>
          <w:shd w:val="clear" w:color="auto" w:fill="auto"/>
        </w:rPr>
        <w:t>Dcr Gott der Philosopher Grundle- gung einrr Philotophischen Theologie im Zeitalier des Nihi- litmus,</w:t>
      </w:r>
      <w:r>
        <w:rPr>
          <w:color w:val="000000"/>
          <w:spacing w:val="0"/>
          <w:w w:val="100"/>
          <w:position w:val="0"/>
          <w:shd w:val="clear" w:color="auto" w:fill="auto"/>
        </w:rPr>
        <w:t xml:space="preserve"> 2 Bdc., Darmstadt 1971/72.</w:t>
        <w:tab/>
        <w:t>R CU.Lir</w:t>
      </w:r>
    </w:p>
    <w:p>
      <w:pPr>
        <w:pStyle w:val="Style63"/>
        <w:keepNext/>
        <w:keepLines/>
        <w:widowControl w:val="0"/>
        <w:numPr>
          <w:ilvl w:val="0"/>
          <w:numId w:val="127"/>
        </w:numPr>
        <w:shd w:val="clear" w:color="auto" w:fill="auto"/>
        <w:tabs>
          <w:tab w:pos="255" w:val="left"/>
        </w:tabs>
        <w:bidi w:val="0"/>
        <w:spacing w:before="0" w:after="80" w:line="216" w:lineRule="auto"/>
        <w:ind w:left="0" w:right="0" w:firstLine="0"/>
        <w:jc w:val="both"/>
      </w:pPr>
      <w:bookmarkStart w:id="100" w:name="bookmark100"/>
      <w:r>
        <w:rPr>
          <w:rFonts w:ascii="Times New Roman" w:eastAsia="Times New Roman" w:hAnsi="Times New Roman" w:cs="Times New Roman"/>
          <w:color w:val="000000"/>
          <w:spacing w:val="0"/>
          <w:w w:val="100"/>
          <w:position w:val="0"/>
          <w:shd w:val="clear" w:color="auto" w:fill="auto"/>
          <w:lang w:val="hr-HR" w:eastAsia="hr-HR" w:bidi="hr-HR"/>
        </w:rPr>
        <w:t>islamski</w:t>
      </w:r>
      <w:bookmarkEnd w:id="100"/>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 </w:t>
      </w:r>
      <w:r>
        <w:rPr>
          <w:rFonts w:ascii="Times New Roman" w:eastAsia="Times New Roman" w:hAnsi="Times New Roman" w:cs="Times New Roman"/>
          <w:color w:val="000000"/>
          <w:spacing w:val="0"/>
          <w:w w:val="100"/>
          <w:position w:val="0"/>
          <w:shd w:val="clear" w:color="auto" w:fill="auto"/>
          <w:lang w:val="hr-HR" w:eastAsia="hr-HR" w:bidi="hr-HR"/>
        </w:rPr>
        <w:t>općenito označuje ono spekulativno mišlje</w:t>
        <w:softHyphen/>
        <w:t>nje u svijetu islamske duhovnosti, čije se po</w:t>
        <w:softHyphen/>
        <w:t>stavke održavaju u refleksiji o predmetima is</w:t>
        <w:softHyphen/>
        <w:t>lamske vjere i koje se preuzimanjem i usvaja</w:t>
        <w:softHyphen/>
        <w:t>njem neislamskoga misaonog dobra, uglavnom grčkoga, razvilo u jedan, u sebi zaokruženi fi</w:t>
        <w:softHyphen/>
        <w:t>lozofski sustav. U bitnom opisu islamske filo</w:t>
        <w:softHyphen/>
        <w:t>zofije karakteristično se ističe aristotelovska f. kao fundament a ncoplatonička kao način njezina razumijevanja. Ali prema vlastitom is</w:t>
        <w:softHyphen/>
        <w:t>traživanju, navlastito islamski, točnije kuran- ski način mišljenja jest onaj koji je doveo do načelne modifikacije svih preuzetih filozofija: platonovske, aristotelovske. peripatetičke, sto</w:t>
        <w:softHyphen/>
        <w:t>ičke, neoplatoničke itd., kao i do modifikacije svih drugih preuzetih sjevernoafričkih (egipat</w:t>
        <w:softHyphen/>
        <w:t>skih) i azijskih (iranskih, indijskih i dr.) filo</w:t>
        <w:softHyphen/>
        <w:t>zofija.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Neovisno o pojedinim neslužbenim poznava</w:t>
        <w:softHyphen/>
        <w:t xml:space="preserve">njima tuđega misaonog blaga u VII. i počet- </w:t>
      </w:r>
      <w:r>
        <w:rPr>
          <w:rFonts w:ascii="Times New Roman" w:eastAsia="Times New Roman" w:hAnsi="Times New Roman" w:cs="Times New Roman"/>
          <w:color w:val="000000"/>
          <w:spacing w:val="0"/>
          <w:w w:val="100"/>
          <w:position w:val="0"/>
          <w:shd w:val="clear" w:color="auto" w:fill="auto"/>
          <w:lang w:val="hr-HR" w:eastAsia="hr-HR" w:bidi="hr-HR"/>
        </w:rPr>
        <w:t>koni Vili, stoljeća, proces njegova preuzima</w:t>
        <w:softHyphen/>
        <w:t xml:space="preserve">nja započeo je sredinom VIII. stoljeća. On je svoj vrhunac postigao u IX. stoljeću pod aba- sidskim kalifom Al-Ma’Munom (833) i završen je u X. stoljeću. Iz tog su se raznovrsnog obilja istaknule prije svega peripatetička </w:t>
      </w:r>
      <w:r>
        <w:rPr>
          <w:rFonts w:ascii="Times New Roman" w:eastAsia="Times New Roman" w:hAnsi="Times New Roman" w:cs="Times New Roman"/>
          <w:color w:val="000000"/>
          <w:spacing w:val="0"/>
          <w:w w:val="100"/>
          <w:position w:val="0"/>
          <w:shd w:val="clear" w:color="auto" w:fill="auto"/>
          <w:lang w:val="en-US" w:eastAsia="en-US" w:bidi="en-US"/>
        </w:rPr>
        <w:t xml:space="preserve">(Mashsha’iy- </w:t>
      </w:r>
      <w:r>
        <w:rPr>
          <w:rFonts w:ascii="Times New Roman" w:eastAsia="Times New Roman" w:hAnsi="Times New Roman" w:cs="Times New Roman"/>
          <w:color w:val="000000"/>
          <w:spacing w:val="0"/>
          <w:w w:val="100"/>
          <w:position w:val="0"/>
          <w:shd w:val="clear" w:color="auto" w:fill="auto"/>
          <w:lang w:val="hr-HR" w:eastAsia="hr-HR" w:bidi="hr-HR"/>
        </w:rPr>
        <w:t xml:space="preserve">yun), iluministička </w:t>
      </w:r>
      <w:r>
        <w:rPr>
          <w:rFonts w:ascii="Times New Roman" w:eastAsia="Times New Roman" w:hAnsi="Times New Roman" w:cs="Times New Roman"/>
          <w:color w:val="000000"/>
          <w:spacing w:val="0"/>
          <w:w w:val="100"/>
          <w:position w:val="0"/>
          <w:shd w:val="clear" w:color="auto" w:fill="auto"/>
          <w:lang w:val="en-US" w:eastAsia="en-US" w:bidi="en-US"/>
        </w:rPr>
        <w:t xml:space="preserve">(Ishraqiyyun) </w:t>
      </w:r>
      <w:r>
        <w:rPr>
          <w:rFonts w:ascii="Times New Roman" w:eastAsia="Times New Roman" w:hAnsi="Times New Roman" w:cs="Times New Roman"/>
          <w:color w:val="000000"/>
          <w:spacing w:val="0"/>
          <w:w w:val="100"/>
          <w:position w:val="0"/>
          <w:shd w:val="clear" w:color="auto" w:fill="auto"/>
          <w:lang w:val="hr-HR" w:eastAsia="hr-HR" w:bidi="hr-HR"/>
        </w:rPr>
        <w:t xml:space="preserve">i prirodo- znanstvena škola </w:t>
      </w:r>
      <w:r>
        <w:rPr>
          <w:rFonts w:ascii="Times New Roman" w:eastAsia="Times New Roman" w:hAnsi="Times New Roman" w:cs="Times New Roman"/>
          <w:color w:val="000000"/>
          <w:spacing w:val="0"/>
          <w:w w:val="100"/>
          <w:position w:val="0"/>
          <w:shd w:val="clear" w:color="auto" w:fill="auto"/>
          <w:lang w:val="en-US" w:eastAsia="en-US" w:bidi="en-US"/>
        </w:rPr>
        <w:t xml:space="preserve">(Tabl'iyyun). </w:t>
      </w:r>
      <w:r>
        <w:rPr>
          <w:rFonts w:ascii="Times New Roman" w:eastAsia="Times New Roman" w:hAnsi="Times New Roman" w:cs="Times New Roman"/>
          <w:color w:val="000000"/>
          <w:spacing w:val="0"/>
          <w:w w:val="100"/>
          <w:position w:val="0"/>
          <w:shd w:val="clear" w:color="auto" w:fill="auto"/>
          <w:lang w:val="hr-HR" w:eastAsia="hr-HR" w:bidi="hr-HR"/>
        </w:rPr>
        <w:t>Glavni pred</w:t>
        <w:softHyphen/>
        <w:t>stavnici prve škole su: al-Kindi (nakon 870), al-Farabi (950) i Ibn Sina (Avicena - 1037). Glavni je predstavnik druge škole Suhravardi (1191), a treće ar-Razi (932). U njezinoj tradi</w:t>
        <w:softHyphen/>
        <w:t>ciji, islamsku su filozofiju odredile prve dvije škole, od kojih je prvu opovrgnuo al-Gazali (1111), zahvaljujući kojemu je nastala »filo</w:t>
        <w:softHyphen/>
        <w:t>zofska« anti-grćka filozofska islamska škola. Njezinu trajnu vrijednost nije mogao opovrg</w:t>
        <w:softHyphen/>
        <w:t xml:space="preserve">nuti ni islamski aristotelićar Ibn Rušd </w:t>
      </w:r>
      <w:r>
        <w:rPr>
          <w:rFonts w:ascii="Times New Roman" w:eastAsia="Times New Roman" w:hAnsi="Times New Roman" w:cs="Times New Roman"/>
          <w:color w:val="000000"/>
          <w:spacing w:val="0"/>
          <w:w w:val="100"/>
          <w:position w:val="0"/>
          <w:shd w:val="clear" w:color="auto" w:fill="auto"/>
          <w:lang w:val="en-US" w:eastAsia="en-US" w:bidi="en-US"/>
        </w:rPr>
        <w:t>(Aver</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roes</w:t>
      </w:r>
      <w:r>
        <w:rPr>
          <w:rFonts w:ascii="Times New Roman" w:eastAsia="Times New Roman" w:hAnsi="Times New Roman" w:cs="Times New Roman"/>
          <w:color w:val="000000"/>
          <w:spacing w:val="0"/>
          <w:w w:val="100"/>
          <w:position w:val="0"/>
          <w:shd w:val="clear" w:color="auto" w:fill="auto"/>
          <w:lang w:val="hr-HR" w:eastAsia="hr-HR" w:bidi="hr-HR"/>
        </w:rPr>
        <w:t xml:space="preserve"> - 1198). Sve te škole dobivaju svoje je</w:t>
        <w:softHyphen/>
        <w:t xml:space="preserve">dinstveno uobličenje u spisu al-Hikma al-Mu- </w:t>
      </w:r>
      <w:r>
        <w:rPr>
          <w:rFonts w:ascii="Times New Roman" w:eastAsia="Times New Roman" w:hAnsi="Times New Roman" w:cs="Times New Roman"/>
          <w:color w:val="000000"/>
          <w:spacing w:val="0"/>
          <w:w w:val="100"/>
          <w:position w:val="0"/>
          <w:shd w:val="clear" w:color="auto" w:fill="auto"/>
          <w:lang w:val="en-US" w:eastAsia="en-US" w:bidi="en-US"/>
        </w:rPr>
        <w:t xml:space="preserve">ta'aliya </w:t>
      </w:r>
      <w:r>
        <w:rPr>
          <w:rFonts w:ascii="Times New Roman" w:eastAsia="Times New Roman" w:hAnsi="Times New Roman" w:cs="Times New Roman"/>
          <w:color w:val="000000"/>
          <w:spacing w:val="0"/>
          <w:w w:val="100"/>
          <w:position w:val="0"/>
          <w:shd w:val="clear" w:color="auto" w:fill="auto"/>
          <w:lang w:val="hr-HR" w:eastAsia="hr-HR" w:bidi="hr-HR"/>
        </w:rPr>
        <w:t>(mudrost koja povrh mnoštva biti transcendira k bitku) aš-Sirazija (Sadr ad-DIn ash-Shirazi, 1640).</w:t>
      </w:r>
    </w:p>
    <w:p>
      <w:pPr>
        <w:pStyle w:val="Style20"/>
        <w:keepNext w:val="0"/>
        <w:keepLines w:val="0"/>
        <w:widowControl w:val="0"/>
        <w:shd w:val="clear" w:color="auto" w:fill="auto"/>
        <w:bidi w:val="0"/>
        <w:spacing w:before="0" w:after="4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svojim počecima islamska f. obuhvaća do</w:t>
        <w:softHyphen/>
        <w:t>duše logiku, metafiziku, etiku, politiku, mate</w:t>
        <w:softHyphen/>
        <w:t>matiku, medicinu i sve prirodne znanosti i tehnike (funun). No vremenom, prije svega od XVII. stoljeća, ona je uglavnom sužena na logiku i metafiziku, uz koje u podređenoj ulo</w:t>
        <w:softHyphen/>
        <w:t>zi dolaze psihologija, fizika i matematika. Ipak, islamska je f. ipak uvijek oplođivala nauk o vjeri i dužnosti i korespondirala s njima. No ona je - analogno zapadnoj filozofiji - do da</w:t>
        <w:softHyphen/>
        <w:t>nas postigla samostalnost u odnosu na reli</w:t>
        <w:softHyphen/>
        <w:t>giju.</w:t>
      </w:r>
    </w:p>
    <w:p>
      <w:pPr>
        <w:pStyle w:val="Style56"/>
        <w:keepNext w:val="0"/>
        <w:keepLines w:val="0"/>
        <w:widowControl w:val="0"/>
        <w:shd w:val="clear" w:color="auto" w:fill="auto"/>
        <w:bidi w:val="0"/>
        <w:spacing w:before="0" w:after="0" w:line="240" w:lineRule="auto"/>
        <w:ind w:left="0" w:right="0" w:firstLine="0"/>
        <w:jc w:val="both"/>
        <w:rPr>
          <w:sz w:val="15"/>
          <w:szCs w:val="15"/>
        </w:rPr>
        <w:sectPr>
          <w:headerReference w:type="default" r:id="rId447"/>
          <w:footerReference w:type="default" r:id="rId448"/>
          <w:headerReference w:type="even" r:id="rId449"/>
          <w:footerReference w:type="even" r:id="rId450"/>
          <w:headerReference w:type="first" r:id="rId451"/>
          <w:footerReference w:type="first" r:id="rId452"/>
          <w:footnotePr>
            <w:pos w:val="pageBottom"/>
            <w:numFmt w:val="decimal"/>
            <w:numStart w:val="5"/>
            <w:numRestart w:val="continuous"/>
            <w15:footnoteColumns w:val="1"/>
          </w:footnotePr>
          <w:pgSz w:w="6816" w:h="11006"/>
          <w:pgMar w:top="758" w:left="186" w:right="188" w:bottom="384" w:header="0" w:footer="3" w:gutter="0"/>
          <w:pgNumType w:start="153"/>
          <w:cols w:num="2" w:space="184"/>
          <w:noEndnote/>
          <w:titlePg/>
          <w:rtlGutter w:val="0"/>
          <w:docGrid w:linePitch="360"/>
        </w:sectPr>
      </w:pPr>
      <w:r>
        <w:rPr>
          <w:color w:val="000000"/>
          <w:spacing w:val="0"/>
          <w:w w:val="100"/>
          <w:position w:val="0"/>
          <w:sz w:val="12"/>
          <w:szCs w:val="12"/>
          <w:shd w:val="clear" w:color="auto" w:fill="auto"/>
        </w:rPr>
        <w:t xml:space="preserve">Lit.: </w:t>
      </w:r>
      <w:r>
        <w:rPr>
          <w:color w:val="000000"/>
          <w:spacing w:val="0"/>
          <w:w w:val="100"/>
          <w:position w:val="0"/>
          <w:sz w:val="12"/>
          <w:szCs w:val="12"/>
          <w:shd w:val="clear" w:color="auto" w:fill="auto"/>
          <w:lang w:val="hr-HR" w:eastAsia="hr-HR" w:bidi="hr-HR"/>
        </w:rPr>
        <w:t xml:space="preserve">R. </w:t>
      </w:r>
      <w:r>
        <w:rPr>
          <w:color w:val="000000"/>
          <w:spacing w:val="0"/>
          <w:w w:val="100"/>
          <w:position w:val="0"/>
          <w:sz w:val="12"/>
          <w:szCs w:val="12"/>
          <w:shd w:val="clear" w:color="auto" w:fill="auto"/>
        </w:rPr>
        <w:t xml:space="preserve">Walzcr, </w:t>
      </w:r>
      <w:r>
        <w:rPr>
          <w:i/>
          <w:iCs/>
          <w:color w:val="000000"/>
          <w:spacing w:val="0"/>
          <w:w w:val="100"/>
          <w:position w:val="0"/>
          <w:sz w:val="12"/>
          <w:szCs w:val="12"/>
          <w:shd w:val="clear" w:color="auto" w:fill="auto"/>
        </w:rPr>
        <w:t>Greek into Arabic,</w:t>
      </w:r>
      <w:r>
        <w:rPr>
          <w:color w:val="000000"/>
          <w:spacing w:val="0"/>
          <w:w w:val="100"/>
          <w:position w:val="0"/>
          <w:sz w:val="12"/>
          <w:szCs w:val="12"/>
          <w:shd w:val="clear" w:color="auto" w:fill="auto"/>
        </w:rPr>
        <w:t xml:space="preserve"> London/Oxford 1962; R. Arnaldcz, Falsafa, u: </w:t>
      </w:r>
      <w:r>
        <w:rPr>
          <w:i/>
          <w:iCs/>
          <w:color w:val="000000"/>
          <w:spacing w:val="0"/>
          <w:w w:val="100"/>
          <w:position w:val="0"/>
          <w:sz w:val="12"/>
          <w:szCs w:val="12"/>
          <w:shd w:val="clear" w:color="auto" w:fill="auto"/>
        </w:rPr>
        <w:t>Encyclopedic de Tlslam,</w:t>
      </w:r>
      <w:r>
        <w:rPr>
          <w:color w:val="000000"/>
          <w:spacing w:val="0"/>
          <w:w w:val="100"/>
          <w:position w:val="0"/>
          <w:sz w:val="12"/>
          <w:szCs w:val="12"/>
          <w:shd w:val="clear" w:color="auto" w:fill="auto"/>
        </w:rPr>
        <w:t xml:space="preserve"> </w:t>
      </w:r>
      <w:r>
        <w:rPr>
          <w:color w:val="000000"/>
          <w:spacing w:val="0"/>
          <w:w w:val="100"/>
          <w:position w:val="0"/>
          <w:sz w:val="12"/>
          <w:szCs w:val="12"/>
          <w:shd w:val="clear" w:color="auto" w:fill="auto"/>
          <w:lang w:val="hr-HR" w:eastAsia="hr-HR" w:bidi="hr-HR"/>
        </w:rPr>
        <w:t xml:space="preserve">novo </w:t>
      </w:r>
      <w:r>
        <w:rPr>
          <w:color w:val="000000"/>
          <w:spacing w:val="0"/>
          <w:w w:val="100"/>
          <w:position w:val="0"/>
          <w:sz w:val="12"/>
          <w:szCs w:val="12"/>
          <w:shd w:val="clear" w:color="auto" w:fill="auto"/>
        </w:rPr>
        <w:t>izd. Lei</w:t>
        <w:softHyphen/>
        <w:t xml:space="preserve">den 1964; H. Corbin, </w:t>
      </w:r>
      <w:r>
        <w:rPr>
          <w:i/>
          <w:iCs/>
          <w:color w:val="000000"/>
          <w:spacing w:val="0"/>
          <w:w w:val="100"/>
          <w:position w:val="0"/>
          <w:sz w:val="12"/>
          <w:szCs w:val="12"/>
          <w:shd w:val="clear" w:color="auto" w:fill="auto"/>
        </w:rPr>
        <w:t xml:space="preserve">Histoire de la philosophic islamique, </w:t>
      </w:r>
      <w:r>
        <w:rPr>
          <w:color w:val="000000"/>
          <w:spacing w:val="0"/>
          <w:w w:val="100"/>
          <w:position w:val="0"/>
          <w:sz w:val="12"/>
          <w:szCs w:val="12"/>
          <w:shd w:val="clear" w:color="auto" w:fill="auto"/>
        </w:rPr>
        <w:t xml:space="preserve">Sv. I, Paris 1964; Sh. Pines, Philosophy, u: </w:t>
      </w:r>
      <w:r>
        <w:rPr>
          <w:i/>
          <w:iCs/>
          <w:color w:val="000000"/>
          <w:spacing w:val="0"/>
          <w:w w:val="100"/>
          <w:position w:val="0"/>
          <w:sz w:val="12"/>
          <w:szCs w:val="12"/>
          <w:shd w:val="clear" w:color="auto" w:fill="auto"/>
        </w:rPr>
        <w:t>The Cambridge History of Islam,</w:t>
      </w:r>
      <w:r>
        <w:rPr>
          <w:color w:val="000000"/>
          <w:spacing w:val="0"/>
          <w:w w:val="100"/>
          <w:position w:val="0"/>
          <w:sz w:val="12"/>
          <w:szCs w:val="12"/>
          <w:shd w:val="clear" w:color="auto" w:fill="auto"/>
        </w:rPr>
        <w:t xml:space="preserve"> sv. 2, Cambridge 1970. </w:t>
      </w:r>
      <w:r>
        <w:rPr>
          <w:rFonts w:ascii="Times New Roman" w:eastAsia="Times New Roman" w:hAnsi="Times New Roman" w:cs="Times New Roman"/>
          <w:smallCaps/>
          <w:color w:val="000000"/>
          <w:spacing w:val="0"/>
          <w:w w:val="100"/>
          <w:position w:val="0"/>
          <w:sz w:val="15"/>
          <w:szCs w:val="15"/>
          <w:shd w:val="clear" w:color="auto" w:fill="auto"/>
        </w:rPr>
        <w:t>a. FzXLaTURI</w:t>
      </w:r>
    </w:p>
    <w:p>
      <w:pPr>
        <w:rPr>
          <w:sz w:val="2"/>
          <w:szCs w:val="2"/>
        </w:rPr>
        <w:sectPr>
          <w:footnotePr>
            <w:pos w:val="pageBottom"/>
            <w:numFmt w:val="decimal"/>
            <w:numStart w:val="5"/>
            <w:numRestart w:val="continuous"/>
            <w15:footnoteColumns w:val="1"/>
          </w:footnotePr>
          <w:type w:val="continuous"/>
          <w:pgSz w:w="6816" w:h="11006"/>
          <w:pgMar w:top="758" w:left="186" w:right="188" w:bottom="384" w:header="0" w:footer="3" w:gutter="0"/>
          <w:cols w:num="2" w:space="184"/>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72" w:after="72" w:line="240" w:lineRule="exact"/>
        <w:rPr>
          <w:sz w:val="19"/>
          <w:szCs w:val="19"/>
        </w:rPr>
      </w:pPr>
    </w:p>
    <w:p>
      <w:pPr>
        <w:widowControl w:val="0"/>
        <w:spacing w:line="1" w:lineRule="exact"/>
        <w:sectPr>
          <w:headerReference w:type="default" r:id="rId453"/>
          <w:footerReference w:type="default" r:id="rId454"/>
          <w:headerReference w:type="even" r:id="rId455"/>
          <w:footerReference w:type="even" r:id="rId456"/>
          <w:footnotePr>
            <w:pos w:val="pageBottom"/>
            <w:numFmt w:val="decimal"/>
            <w:numStart w:val="5"/>
            <w:numRestart w:val="continuous"/>
            <w15:footnoteColumns w:val="1"/>
          </w:footnotePr>
          <w:pgSz w:w="6816" w:h="11006"/>
          <w:pgMar w:top="1027" w:left="190" w:right="193" w:bottom="476" w:header="0" w:footer="3" w:gutter="0"/>
          <w:cols w:num="2" w:space="192"/>
          <w:noEndnote/>
          <w:rtlGutter w:val="0"/>
          <w:docGrid w:linePitch="360"/>
        </w:sectPr>
      </w:pPr>
    </w:p>
    <w:p>
      <w:pPr>
        <w:pStyle w:val="Style33"/>
        <w:keepNext w:val="0"/>
        <w:keepLines w:val="0"/>
        <w:widowControl w:val="0"/>
        <w:shd w:val="clear" w:color="auto" w:fill="auto"/>
        <w:bidi w:val="0"/>
        <w:spacing w:before="0" w:after="2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 xml:space="preserve">GABRIEL -&gt; </w:t>
      </w:r>
      <w:r>
        <w:rPr>
          <w:rFonts w:ascii="Times New Roman" w:eastAsia="Times New Roman" w:hAnsi="Times New Roman" w:cs="Times New Roman"/>
          <w:b/>
          <w:bCs/>
          <w:color w:val="000000"/>
          <w:spacing w:val="0"/>
          <w:w w:val="100"/>
          <w:position w:val="0"/>
          <w:shd w:val="clear" w:color="auto" w:fill="auto"/>
          <w:lang w:val="hr-HR" w:eastAsia="hr-HR" w:bidi="hr-HR"/>
        </w:rPr>
        <w:t>ANĐEO</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GNOZA</w:t>
      </w:r>
    </w:p>
    <w:p>
      <w:pPr>
        <w:pStyle w:val="Style63"/>
        <w:keepNext/>
        <w:keepLines/>
        <w:widowControl w:val="0"/>
        <w:numPr>
          <w:ilvl w:val="0"/>
          <w:numId w:val="141"/>
        </w:numPr>
        <w:shd w:val="clear" w:color="auto" w:fill="auto"/>
        <w:tabs>
          <w:tab w:pos="250" w:val="left"/>
        </w:tabs>
        <w:bidi w:val="0"/>
        <w:spacing w:before="0" w:line="223" w:lineRule="auto"/>
        <w:ind w:left="0" w:right="0" w:firstLine="0"/>
        <w:jc w:val="left"/>
      </w:pPr>
      <w:bookmarkStart w:id="101" w:name="bookmark101"/>
      <w:r>
        <w:rPr>
          <w:rFonts w:ascii="Times New Roman" w:eastAsia="Times New Roman" w:hAnsi="Times New Roman" w:cs="Times New Roman"/>
          <w:color w:val="000000"/>
          <w:spacing w:val="0"/>
          <w:w w:val="100"/>
          <w:position w:val="0"/>
          <w:shd w:val="clear" w:color="auto" w:fill="auto"/>
          <w:lang w:val="hr-HR" w:eastAsia="hr-HR" w:bidi="hr-HR"/>
        </w:rPr>
        <w:t>židovski</w:t>
      </w:r>
      <w:bookmarkEnd w:id="10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 sam i nema drugoga; ja tvorim svjetlost i stvaram tamu. Ja stvaram sreću (mir) i dovo</w:t>
        <w:softHyphen/>
        <w:t>dim nesreću, JA ćinim sve to« (Iz 45,6 i d.). Poruka neimenovana proroka iz doba izgnan</w:t>
        <w:softHyphen/>
        <w:t>stva koji citira Božju santoobjavu imenuje, što svi narodi trebaju »priznati«: jedinoga Boga Izraela kao kreativnoga stvoritelja tijeka svije</w:t>
        <w:softHyphen/>
        <w:t>ta u prirodi i u povijesti. Ona time odbija dvoj</w:t>
        <w:softHyphen/>
        <w:t>nost načela (dualizam), oštro suprotstavljanje, smatrano fiktivnim, dvaju bitno različitih ele</w:t>
        <w:softHyphen/>
        <w:t xml:space="preserve">menata. Protiv utjecaja perzijskoga dualizma, koji je odvajao boga svjetlosti od boga tame, ona je naglašavala da jc </w:t>
      </w:r>
      <w:r>
        <w:rPr>
          <w:rFonts w:ascii="Times New Roman" w:eastAsia="Times New Roman" w:hAnsi="Times New Roman" w:cs="Times New Roman"/>
          <w:i/>
          <w:iCs/>
          <w:color w:val="000000"/>
          <w:spacing w:val="0"/>
          <w:w w:val="100"/>
          <w:position w:val="0"/>
          <w:shd w:val="clear" w:color="auto" w:fill="auto"/>
          <w:lang w:val="hr-HR" w:eastAsia="hr-HR" w:bidi="hr-HR"/>
        </w:rPr>
        <w:t>sve</w:t>
      </w:r>
      <w:r>
        <w:rPr>
          <w:rFonts w:ascii="Times New Roman" w:eastAsia="Times New Roman" w:hAnsi="Times New Roman" w:cs="Times New Roman"/>
          <w:color w:val="000000"/>
          <w:spacing w:val="0"/>
          <w:w w:val="100"/>
          <w:position w:val="0"/>
          <w:shd w:val="clear" w:color="auto" w:fill="auto"/>
          <w:lang w:val="hr-HR" w:eastAsia="hr-HR" w:bidi="hr-HR"/>
        </w:rPr>
        <w:t xml:space="preserve"> bez iznimke - svjetlost i tama, sreća i nesreća - jedinstveno djelo Jednoga Jedinog. Protusvjctski dualizam svojstven je svim izrazima za onu kasnoan</w:t>
        <w:softHyphen/>
        <w:t>tičku religijsku struju koja se naziva »g.« (»spoznaja«): ona niječe svijet kao djelo istin</w:t>
        <w:softHyphen/>
        <w:t>skoga Boga, koji je Bog ljubavi i milosti, pa želi u njemu vidjeti samo tvorbu drugoga božanskog bića Dcmijurga (»stvoritelja svi</w:t>
        <w:softHyphen/>
        <w:t>jeta«), podređenoga najvišem bogu; njega je izjednačila s Bogom hebrejske Biblije kojega je proglasila Izraelovim otkupiteljem i auto</w:t>
        <w:softHyphen/>
        <w:t>rom zakona, Bogom stroge pravednosti i osve</w:t>
        <w:softHyphen/>
        <w:t>te kojemu, navodno, nedostaje milosrdne lju</w:t>
        <w:softHyphen/>
        <w:t>bavi. Gnostici su nastojali postići spasenje »spoznajom« pravog izvorišta, bitka i cilja čo</w:t>
        <w:softHyphen/>
        <w:t>vjekova izvan svijeta što ga je stvorio Demi- jurg. Budući da su se za njih prosvjetljenje i otkupljenje stopili i da samo sve znanje vodi spasenju, ali su priječi put svakom nedostatku i pogrešci, u gnostika se pojavila potreba da se cijeli sadržaj vjere jednom zauvijek utvrdi poj</w:t>
        <w:softHyphen/>
        <w:t>movno. Gnostičkom iskušenju, znanju o do</w:t>
        <w:softHyphen/>
        <w:t>kučivoj tajni, već je odgovorila Tora temelj</w:t>
        <w:softHyphen/>
      </w:r>
      <w:r>
        <w:rPr>
          <w:rFonts w:ascii="Times New Roman" w:eastAsia="Times New Roman" w:hAnsi="Times New Roman" w:cs="Times New Roman"/>
          <w:color w:val="000000"/>
          <w:spacing w:val="0"/>
          <w:w w:val="100"/>
          <w:position w:val="0"/>
          <w:shd w:val="clear" w:color="auto" w:fill="auto"/>
          <w:lang w:val="hr-HR" w:eastAsia="hr-HR" w:bidi="hr-HR"/>
        </w:rPr>
        <w:t>nim uzvikom: »Što je sakriveno, pripada NJE</w:t>
        <w:softHyphen/>
        <w:t>MU, Bogu našemu, a objava nama i sinovima našim zauvijek, da vršimo sve riječi ovoga Za</w:t>
        <w:softHyphen/>
        <w:t>kona!« (Pnz 29,28). U objavi dodijeljenoj Iz</w:t>
        <w:softHyphen/>
        <w:t>raelu nije riječ o tajni Boga, već prije o Božjoj tajni prema kojoj i s kojom je čovjek morao živjeti. Samo onaj tko tvrdi da ne zna tajnu, ntože potvrditi uzajamni odnos što ga je Iz</w:t>
        <w:softHyphen/>
        <w:t>raelu ponudio Bog i prisno se suočiti s Bogom koji ostaje tajanstven.</w:t>
      </w:r>
    </w:p>
    <w:p>
      <w:pPr>
        <w:pStyle w:val="Style20"/>
        <w:keepNext w:val="0"/>
        <w:keepLines w:val="0"/>
        <w:widowControl w:val="0"/>
        <w:shd w:val="clear" w:color="auto" w:fill="auto"/>
        <w:bidi w:val="0"/>
        <w:spacing w:before="0" w:after="0" w:line="257" w:lineRule="auto"/>
        <w:ind w:left="0" w:right="0" w:firstLine="0"/>
        <w:jc w:val="both"/>
        <w:sectPr>
          <w:footnotePr>
            <w:pos w:val="pageBottom"/>
            <w:numFmt w:val="decimal"/>
            <w:numStart w:val="5"/>
            <w:numRestart w:val="continuous"/>
            <w15:footnoteColumns w:val="1"/>
          </w:footnotePr>
          <w:type w:val="continuous"/>
          <w:pgSz w:w="6816" w:h="11006"/>
          <w:pgMar w:top="1027" w:left="190" w:right="193" w:bottom="476" w:header="599" w:footer="3" w:gutter="0"/>
          <w:cols w:num="2" w:space="19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Talmudska literatura odražava unutarnju bor</w:t>
        <w:softHyphen/>
        <w:t>bu židovskoga naroda protiv opasnosti za svo</w:t>
        <w:softHyphen/>
        <w:t>ju religijsku stvarnost od gnoze u kasnoper- zijskom nauku o dvostrukim principima i pos</w:t>
        <w:softHyphen/>
        <w:t>redničkim supstancijama: »Ako tko kaže: ‘Bla</w:t>
        <w:softHyphen/>
        <w:t>goslivljali te blaženi’, služi se heretičkim rije</w:t>
        <w:softHyphen/>
        <w:t xml:space="preserve">čima.« O toj Misni (Megila IV,9)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Je- rušalmi kaže: »Dualizam« (»dvije instanci</w:t>
        <w:softHyphen/>
        <w:t xml:space="preserve">je«), jer se opredjeljuje za vladanje svijetom u kojem se dijele dva bića, jedno dobro i jedno zlo (Ormuzd i </w:t>
      </w:r>
      <w:r>
        <w:rPr>
          <w:rFonts w:ascii="Times New Roman" w:eastAsia="Times New Roman" w:hAnsi="Times New Roman" w:cs="Times New Roman"/>
          <w:color w:val="000000"/>
          <w:spacing w:val="0"/>
          <w:w w:val="100"/>
          <w:position w:val="0"/>
          <w:shd w:val="clear" w:color="auto" w:fill="auto"/>
          <w:lang w:val="en-US" w:eastAsia="en-US" w:bidi="en-US"/>
        </w:rPr>
        <w:t xml:space="preserve">Ahriman </w:t>
      </w:r>
      <w:r>
        <w:rPr>
          <w:rFonts w:ascii="Times New Roman" w:eastAsia="Times New Roman" w:hAnsi="Times New Roman" w:cs="Times New Roman"/>
          <w:color w:val="000000"/>
          <w:spacing w:val="0"/>
          <w:w w:val="100"/>
          <w:position w:val="0"/>
          <w:shd w:val="clear" w:color="auto" w:fill="auto"/>
          <w:lang w:val="hr-HR" w:eastAsia="hr-HR" w:bidi="hr-HR"/>
        </w:rPr>
        <w:t xml:space="preserve">prema parsizmu), i čeka spasenje od »blaženoga/dobrostivoga«; on niječe Izraelu nametnuto opredjeljenje za Jednoga Jedinog u </w:t>
      </w:r>
      <w:r>
        <w:rPr>
          <w:rFonts w:ascii="Times New Roman" w:eastAsia="Times New Roman" w:hAnsi="Times New Roman" w:cs="Times New Roman"/>
          <w:i/>
          <w:iCs/>
          <w:color w:val="000000"/>
          <w:spacing w:val="0"/>
          <w:w w:val="100"/>
          <w:position w:val="0"/>
          <w:shd w:val="clear" w:color="auto" w:fill="auto"/>
          <w:lang w:val="hr-HR" w:eastAsia="hr-HR" w:bidi="hr-HR"/>
        </w:rPr>
        <w:t>Sema</w:t>
      </w:r>
      <w:r>
        <w:rPr>
          <w:rFonts w:ascii="Times New Roman" w:eastAsia="Times New Roman" w:hAnsi="Times New Roman" w:cs="Times New Roman"/>
          <w:color w:val="000000"/>
          <w:spacing w:val="0"/>
          <w:w w:val="100"/>
          <w:position w:val="0"/>
          <w:shd w:val="clear" w:color="auto" w:fill="auto"/>
          <w:lang w:val="hr-HR" w:eastAsia="hr-HR" w:bidi="hr-HR"/>
        </w:rPr>
        <w:t xml:space="preserve"> (Pnz 6,4). To shva</w:t>
        <w:softHyphen/>
        <w:t>ćanje objašnjava jedna druga Mišna: Kad su pristaše dualizma uveli pozdrav »Blagoslivljali te blaženi/dobrostivi«, porasla je opasnost ko</w:t>
        <w:softHyphen/>
        <w:t>ja jc mogla nastati zbog pijetetne preinake Božjeg imena; stoga jc »zapovijedeno da svat</w:t>
        <w:softHyphen/>
        <w:t>ko pozdravlja bližnjega Božjim imenom (pre</w:t>
        <w:softHyphen/>
        <w:t xml:space="preserve">ma Rut 2,4)« </w:t>
      </w:r>
      <w:r>
        <w:rPr>
          <w:rFonts w:ascii="Times New Roman" w:eastAsia="Times New Roman" w:hAnsi="Times New Roman" w:cs="Times New Roman"/>
          <w:color w:val="000000"/>
          <w:spacing w:val="0"/>
          <w:w w:val="100"/>
          <w:position w:val="0"/>
          <w:shd w:val="clear" w:color="auto" w:fill="auto"/>
          <w:lang w:val="en-US" w:eastAsia="en-US" w:bidi="en-US"/>
        </w:rPr>
        <w:t xml:space="preserve">(Bcrahot </w:t>
      </w:r>
      <w:r>
        <w:rPr>
          <w:rFonts w:ascii="Times New Roman" w:eastAsia="Times New Roman" w:hAnsi="Times New Roman" w:cs="Times New Roman"/>
          <w:color w:val="000000"/>
          <w:spacing w:val="0"/>
          <w:w w:val="100"/>
          <w:position w:val="0"/>
          <w:shd w:val="clear" w:color="auto" w:fill="auto"/>
          <w:lang w:val="hr-HR" w:eastAsia="hr-HR" w:bidi="hr-HR"/>
        </w:rPr>
        <w:t>IX,5). Kao dijalog ca</w:t>
        <w:softHyphen/>
        <w:t>ra i Raban Gamliela stvorena je karikatura dualističkih sistema i gnosticirane biblijske pri</w:t>
        <w:softHyphen/>
        <w:t xml:space="preserve">mjene: car smatra da su u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4,13 - »on sazda planine i stvori vjetar« - posrijedi dva stvoritelja. Kao protudokaz mudrac uzima u obzir Ps 94,9: »Onaj što uho zasadi... ili oko stvori...« Da nisu možda različiti stvoritelji imali prste u pojedinim dijelovima tijela? »Ni</w:t>
        <w:softHyphen/>
        <w:t>su li se na njegovoj (čovjekovoj) samrti spri</w:t>
        <w:softHyphen/>
        <w:t xml:space="preserve">jateljili?«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39a).</w:t>
      </w:r>
    </w:p>
    <w:p>
      <w:pPr>
        <w:pStyle w:val="Style20"/>
        <w:keepNext w:val="0"/>
        <w:keepLines w:val="0"/>
        <w:widowControl w:val="0"/>
        <w:shd w:val="clear" w:color="auto" w:fill="auto"/>
        <w:tabs>
          <w:tab w:pos="2453" w:val="left"/>
        </w:tabs>
        <w:bidi w:val="0"/>
        <w:spacing w:before="0" w:after="260"/>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Gnostički Židovi ne pojavljuju sc samo u tal</w:t>
        <w:softHyphen/>
        <w:t>mudskoj literaturi zajedno s drugim hereti</w:t>
        <w:softHyphen/>
        <w:t xml:space="preserve">cima kao posebna kategorija pod zajedničkim nazivom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minim;</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5"/>
          <w:szCs w:val="15"/>
          <w:shd w:val="clear" w:color="auto" w:fill="auto"/>
          <w:lang w:val="hr-HR" w:eastAsia="hr-HR" w:bidi="hr-HR"/>
        </w:rPr>
        <w:t>u pet vrsta heretika, koje raz</w:t>
        <w:softHyphen/>
        <w:t xml:space="preserve">likuje Majmonid (Misne Tora, Hilhot tešuva) i popis židovskih heretika koje spominju </w:t>
      </w:r>
      <w:r>
        <w:rPr>
          <w:rFonts w:ascii="Times New Roman" w:eastAsia="Times New Roman" w:hAnsi="Times New Roman" w:cs="Times New Roman"/>
          <w:color w:val="000000"/>
          <w:spacing w:val="0"/>
          <w:w w:val="100"/>
          <w:position w:val="0"/>
          <w:sz w:val="15"/>
          <w:szCs w:val="15"/>
          <w:shd w:val="clear" w:color="auto" w:fill="auto"/>
          <w:lang w:val="en-US" w:eastAsia="en-US" w:bidi="en-US"/>
        </w:rPr>
        <w:t>Ju</w:t>
        <w:softHyphen/>
        <w:t xml:space="preserve">stin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(Dijalog</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80) i Hegesip (fragmenti u Euze- bija,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Historia ecclesiastica,</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IV,22,7), ubrajaju se i dualistički gnostici. Veza mistično-speku- lativnoga mišljenja s gnosticima može se, do</w:t>
        <w:softHyphen/>
        <w:t xml:space="preserve">duše, povijesno dokazati; no ortodoksna ka- balistička spekulacija usmjerila je sve snage u to da izbjegne dualističke konzekvencijc. </w:t>
      </w:r>
      <w:r>
        <w:rPr>
          <w:rFonts w:ascii="Arial" w:eastAsia="Arial" w:hAnsi="Arial" w:cs="Arial"/>
          <w:color w:val="000000"/>
          <w:spacing w:val="0"/>
          <w:w w:val="100"/>
          <w:position w:val="0"/>
          <w:sz w:val="12"/>
          <w:szCs w:val="12"/>
          <w:shd w:val="clear" w:color="auto" w:fill="auto"/>
          <w:lang w:val="hr-HR" w:eastAsia="hr-HR" w:bidi="hr-HR"/>
        </w:rPr>
        <w:t xml:space="preserve">t jt.: A. Marmorsiein, </w:t>
      </w:r>
      <w:r>
        <w:rPr>
          <w:rFonts w:ascii="Arial" w:eastAsia="Arial" w:hAnsi="Arial" w:cs="Arial"/>
          <w:i/>
          <w:iCs/>
          <w:color w:val="000000"/>
          <w:spacing w:val="0"/>
          <w:w w:val="100"/>
          <w:position w:val="0"/>
          <w:sz w:val="12"/>
          <w:szCs w:val="12"/>
          <w:shd w:val="clear" w:color="auto" w:fill="auto"/>
          <w:lang w:val="en-US" w:eastAsia="en-US" w:bidi="en-US"/>
        </w:rPr>
        <w:t>Studies in Jewish Theology',</w:t>
      </w:r>
      <w:r>
        <w:rPr>
          <w:rFonts w:ascii="Arial" w:eastAsia="Arial" w:hAnsi="Arial" w:cs="Arial"/>
          <w:color w:val="000000"/>
          <w:spacing w:val="0"/>
          <w:w w:val="100"/>
          <w:position w:val="0"/>
          <w:sz w:val="12"/>
          <w:szCs w:val="12"/>
          <w:shd w:val="clear" w:color="auto" w:fill="auto"/>
          <w:lang w:val="en-US" w:eastAsia="en-US" w:bidi="en-US"/>
        </w:rPr>
        <w:t xml:space="preserve"> 1950, 93 </w:t>
      </w:r>
      <w:r>
        <w:rPr>
          <w:rFonts w:ascii="Arial" w:eastAsia="Arial" w:hAnsi="Arial" w:cs="Arial"/>
          <w:color w:val="000000"/>
          <w:spacing w:val="0"/>
          <w:w w:val="100"/>
          <w:position w:val="0"/>
          <w:sz w:val="12"/>
          <w:szCs w:val="12"/>
          <w:shd w:val="clear" w:color="auto" w:fill="auto"/>
          <w:lang w:val="hr-HR" w:eastAsia="hr-HR" w:bidi="hr-HR"/>
        </w:rPr>
        <w:t xml:space="preserve">i </w:t>
      </w:r>
      <w:r>
        <w:rPr>
          <w:rFonts w:ascii="Arial" w:eastAsia="Arial" w:hAnsi="Arial" w:cs="Arial"/>
          <w:color w:val="000000"/>
          <w:spacing w:val="0"/>
          <w:w w:val="100"/>
          <w:position w:val="0"/>
          <w:sz w:val="12"/>
          <w:szCs w:val="12"/>
          <w:shd w:val="clear" w:color="auto" w:fill="auto"/>
          <w:lang w:val="en-US" w:eastAsia="en-US" w:bidi="en-US"/>
        </w:rPr>
        <w:t xml:space="preserve">d.; G. Schdcm. </w:t>
      </w:r>
      <w:r>
        <w:rPr>
          <w:rFonts w:ascii="Arial" w:eastAsia="Arial" w:hAnsi="Arial" w:cs="Arial"/>
          <w:i/>
          <w:iCs/>
          <w:color w:val="000000"/>
          <w:spacing w:val="0"/>
          <w:w w:val="100"/>
          <w:position w:val="0"/>
          <w:sz w:val="12"/>
          <w:szCs w:val="12"/>
          <w:shd w:val="clear" w:color="auto" w:fill="auto"/>
          <w:lang w:val="en-US" w:eastAsia="en-US" w:bidi="en-US"/>
        </w:rPr>
        <w:t>Die judischc Myslik in ihren Haupistrdmun- gen,</w:t>
      </w:r>
      <w:r>
        <w:rPr>
          <w:rFonts w:ascii="Arial" w:eastAsia="Arial" w:hAnsi="Arial" w:cs="Arial"/>
          <w:color w:val="000000"/>
          <w:spacing w:val="0"/>
          <w:w w:val="100"/>
          <w:position w:val="0"/>
          <w:sz w:val="12"/>
          <w:szCs w:val="12"/>
          <w:shd w:val="clear" w:color="auto" w:fill="auto"/>
          <w:lang w:val="en-US" w:eastAsia="en-US" w:bidi="en-US"/>
        </w:rPr>
        <w:t xml:space="preserve"> 1957. 14 i d , 72 </w:t>
      </w:r>
      <w:r>
        <w:rPr>
          <w:rFonts w:ascii="Arial" w:eastAsia="Arial" w:hAnsi="Arial" w:cs="Arial"/>
          <w:color w:val="000000"/>
          <w:spacing w:val="0"/>
          <w:w w:val="100"/>
          <w:position w:val="0"/>
          <w:sz w:val="12"/>
          <w:szCs w:val="12"/>
          <w:shd w:val="clear" w:color="auto" w:fill="auto"/>
          <w:lang w:val="hr-HR" w:eastAsia="hr-HR" w:bidi="hr-HR"/>
        </w:rPr>
        <w:t xml:space="preserve">i </w:t>
      </w:r>
      <w:r>
        <w:rPr>
          <w:rFonts w:ascii="Arial" w:eastAsia="Arial" w:hAnsi="Arial" w:cs="Arial"/>
          <w:color w:val="000000"/>
          <w:spacing w:val="0"/>
          <w:w w:val="100"/>
          <w:position w:val="0"/>
          <w:sz w:val="12"/>
          <w:szCs w:val="12"/>
          <w:shd w:val="clear" w:color="auto" w:fill="auto"/>
          <w:lang w:val="en-US" w:eastAsia="en-US" w:bidi="en-US"/>
        </w:rPr>
        <w:t xml:space="preserve">d.; K. Schubert, Judischcr Hclcnis- rmis und judischc Gnosis, u: </w:t>
      </w:r>
      <w:r>
        <w:rPr>
          <w:rFonts w:ascii="Arial" w:eastAsia="Arial" w:hAnsi="Arial" w:cs="Arial"/>
          <w:i/>
          <w:iCs/>
          <w:color w:val="000000"/>
          <w:spacing w:val="0"/>
          <w:w w:val="100"/>
          <w:position w:val="0"/>
          <w:sz w:val="12"/>
          <w:szCs w:val="12"/>
          <w:shd w:val="clear" w:color="auto" w:fill="auto"/>
          <w:lang w:val="en-US" w:eastAsia="en-US" w:bidi="en-US"/>
        </w:rPr>
        <w:t>Wort und Wahrheit</w:t>
      </w:r>
      <w:r>
        <w:rPr>
          <w:rFonts w:ascii="Arial" w:eastAsia="Arial" w:hAnsi="Arial" w:cs="Arial"/>
          <w:color w:val="000000"/>
          <w:spacing w:val="0"/>
          <w:w w:val="100"/>
          <w:position w:val="0"/>
          <w:sz w:val="12"/>
          <w:szCs w:val="12"/>
          <w:shd w:val="clear" w:color="auto" w:fill="auto"/>
          <w:lang w:val="en-US" w:eastAsia="en-US" w:bidi="en-US"/>
        </w:rPr>
        <w:t xml:space="preserve"> 18, 1963, 455-61; J- Maier. </w:t>
      </w:r>
      <w:r>
        <w:rPr>
          <w:rFonts w:ascii="Arial" w:eastAsia="Arial" w:hAnsi="Arial" w:cs="Arial"/>
          <w:i/>
          <w:iCs/>
          <w:color w:val="000000"/>
          <w:spacing w:val="0"/>
          <w:w w:val="100"/>
          <w:position w:val="0"/>
          <w:sz w:val="12"/>
          <w:szCs w:val="12"/>
          <w:shd w:val="clear" w:color="auto" w:fill="auto"/>
          <w:lang w:val="en-US" w:eastAsia="en-US" w:bidi="en-US"/>
        </w:rPr>
        <w:t>Geschichie der jiidischen Religion,</w:t>
      </w:r>
      <w:r>
        <w:rPr>
          <w:rFonts w:ascii="Arial" w:eastAsia="Arial" w:hAnsi="Arial" w:cs="Arial"/>
          <w:color w:val="000000"/>
          <w:spacing w:val="0"/>
          <w:w w:val="100"/>
          <w:position w:val="0"/>
          <w:sz w:val="12"/>
          <w:szCs w:val="12"/>
          <w:shd w:val="clear" w:color="auto" w:fill="auto"/>
          <w:lang w:val="en-US" w:eastAsia="en-US" w:bidi="en-US"/>
        </w:rPr>
        <w:t xml:space="preserve"> 1972, 87 i d., 193 i d., 205 </w:t>
      </w:r>
      <w:r>
        <w:rPr>
          <w:rFonts w:ascii="Arial" w:eastAsia="Arial" w:hAnsi="Arial" w:cs="Arial"/>
          <w:color w:val="000000"/>
          <w:spacing w:val="0"/>
          <w:w w:val="100"/>
          <w:position w:val="0"/>
          <w:sz w:val="12"/>
          <w:szCs w:val="12"/>
          <w:shd w:val="clear" w:color="auto" w:fill="auto"/>
          <w:lang w:val="hr-HR" w:eastAsia="hr-HR" w:bidi="hr-HR"/>
        </w:rPr>
        <w:t xml:space="preserve">i </w:t>
      </w:r>
      <w:r>
        <w:rPr>
          <w:rFonts w:ascii="Arial" w:eastAsia="Arial" w:hAnsi="Arial" w:cs="Arial"/>
          <w:color w:val="000000"/>
          <w:spacing w:val="0"/>
          <w:w w:val="100"/>
          <w:position w:val="0"/>
          <w:sz w:val="12"/>
          <w:szCs w:val="12"/>
          <w:shd w:val="clear" w:color="auto" w:fill="auto"/>
          <w:lang w:val="en-US" w:eastAsia="en-US" w:bidi="en-US"/>
        </w:rPr>
        <w:t xml:space="preserve">d.: G. Stemberger, </w:t>
      </w:r>
      <w:r>
        <w:rPr>
          <w:rFonts w:ascii="Arial" w:eastAsia="Arial" w:hAnsi="Arial" w:cs="Arial"/>
          <w:i/>
          <w:iCs/>
          <w:color w:val="000000"/>
          <w:spacing w:val="0"/>
          <w:w w:val="100"/>
          <w:position w:val="0"/>
          <w:sz w:val="12"/>
          <w:szCs w:val="12"/>
          <w:shd w:val="clear" w:color="auto" w:fill="auto"/>
          <w:lang w:val="en-US" w:eastAsia="en-US" w:bidi="en-US"/>
        </w:rPr>
        <w:t>Das klassische Ju- dentum.</w:t>
      </w:r>
      <w:r>
        <w:rPr>
          <w:rFonts w:ascii="Arial" w:eastAsia="Arial" w:hAnsi="Arial" w:cs="Arial"/>
          <w:color w:val="000000"/>
          <w:spacing w:val="0"/>
          <w:w w:val="100"/>
          <w:position w:val="0"/>
          <w:sz w:val="12"/>
          <w:szCs w:val="12"/>
          <w:shd w:val="clear" w:color="auto" w:fill="auto"/>
          <w:lang w:val="en-US" w:eastAsia="en-US" w:bidi="en-US"/>
        </w:rPr>
        <w:t xml:space="preserve"> 1979, 214 </w:t>
      </w:r>
      <w:r>
        <w:rPr>
          <w:rFonts w:ascii="Arial" w:eastAsia="Arial" w:hAnsi="Arial" w:cs="Arial"/>
          <w:color w:val="000000"/>
          <w:spacing w:val="0"/>
          <w:w w:val="100"/>
          <w:position w:val="0"/>
          <w:sz w:val="12"/>
          <w:szCs w:val="12"/>
          <w:shd w:val="clear" w:color="auto" w:fill="auto"/>
          <w:lang w:val="hr-HR" w:eastAsia="hr-HR" w:bidi="hr-HR"/>
        </w:rPr>
        <w:t xml:space="preserve">i </w:t>
      </w:r>
      <w:r>
        <w:rPr>
          <w:rFonts w:ascii="Arial" w:eastAsia="Arial" w:hAnsi="Arial" w:cs="Arial"/>
          <w:color w:val="000000"/>
          <w:spacing w:val="0"/>
          <w:w w:val="100"/>
          <w:position w:val="0"/>
          <w:sz w:val="12"/>
          <w:szCs w:val="12"/>
          <w:shd w:val="clear" w:color="auto" w:fill="auto"/>
          <w:lang w:val="en-US" w:eastAsia="en-US" w:bidi="en-US"/>
        </w:rPr>
        <w:t>d.</w:t>
        <w:tab/>
        <w:t>D- VETJT-R</w:t>
      </w:r>
    </w:p>
    <w:p>
      <w:pPr>
        <w:pStyle w:val="Style63"/>
        <w:keepNext/>
        <w:keepLines/>
        <w:widowControl w:val="0"/>
        <w:numPr>
          <w:ilvl w:val="0"/>
          <w:numId w:val="141"/>
        </w:numPr>
        <w:shd w:val="clear" w:color="auto" w:fill="auto"/>
        <w:tabs>
          <w:tab w:pos="250" w:val="left"/>
        </w:tabs>
        <w:bidi w:val="0"/>
        <w:spacing w:before="0" w:after="120" w:line="223" w:lineRule="auto"/>
        <w:ind w:left="0" w:right="0" w:firstLine="0"/>
        <w:jc w:val="both"/>
      </w:pPr>
      <w:bookmarkStart w:id="102" w:name="bookmark10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02"/>
    </w:p>
    <w:p>
      <w:pPr>
        <w:pStyle w:val="Style20"/>
        <w:keepNext w:val="0"/>
        <w:keepLines w:val="0"/>
        <w:widowControl w:val="0"/>
        <w:numPr>
          <w:ilvl w:val="0"/>
          <w:numId w:val="143"/>
        </w:numPr>
        <w:shd w:val="clear" w:color="auto" w:fill="auto"/>
        <w:tabs>
          <w:tab w:pos="265" w:val="left"/>
        </w:tabs>
        <w:bidi w:val="0"/>
        <w:spacing w:before="0" w:after="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Pojam: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G. (= </w:t>
      </w:r>
      <w:r>
        <w:rPr>
          <w:rFonts w:ascii="Times New Roman" w:eastAsia="Times New Roman" w:hAnsi="Times New Roman" w:cs="Times New Roman"/>
          <w:color w:val="000000"/>
          <w:spacing w:val="0"/>
          <w:w w:val="100"/>
          <w:position w:val="0"/>
          <w:shd w:val="clear" w:color="auto" w:fill="auto"/>
          <w:lang w:val="hr-HR" w:eastAsia="hr-HR" w:bidi="hr-HR"/>
        </w:rPr>
        <w:t>spoznaja) je raznolik svoje</w:t>
        <w:softHyphen/>
        <w:t>vrsni religijsko-povijesni fenomen koji u kas</w:t>
        <w:softHyphen/>
        <w:t>noj antici (vrhunac u II. stoljeću) prije ranoga kršćanstva, a zatim u njemu i uz njega, razvija široko djelovanje kao pokret otkupljenja koji negira svijet. Sinkretističko strujanje, koje se oblikovalo u brojnim gnozama, naglašava kao put spasenja spoznaju, utemeljenu na objavi, kojom se poništava otuđenost u svemiru živu</w:t>
        <w:softHyphen/>
        <w:t>ćeg (duhovnog) čovjeka od njegova božan</w:t>
        <w:softHyphen/>
        <w:t>skog izvora.</w:t>
      </w:r>
    </w:p>
    <w:p>
      <w:pPr>
        <w:pStyle w:val="Style20"/>
        <w:keepNext w:val="0"/>
        <w:keepLines w:val="0"/>
        <w:widowControl w:val="0"/>
        <w:shd w:val="clear" w:color="auto" w:fill="auto"/>
        <w:bidi w:val="0"/>
        <w:spacing w:before="0" w:after="12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posrednici za spoznavanje tajne svijeta i čovjeka služe slike svijeta, mitovi i složeni sus</w:t>
        <w:softHyphen/>
        <w:t>tavi koji povezuju najrazličitijc religijske i filo</w:t>
        <w:softHyphen/>
        <w:t>zofske tradicije. Sporni su podrijetlo, razvoj i raširenost gnoze kao i njezin odnos prema ži</w:t>
        <w:softHyphen/>
        <w:t>dovstvu i kršćanstvu (osobito prema njihovim rubnim područjima i odijeljenim skupinama) te prema istočnjačkim, egipatskim i helenis</w:t>
        <w:softHyphen/>
        <w:t xml:space="preserve">tičkim religijama i spekulativnim tradicijama. Terminološki je razlika između »gnoze« (znanje neke elite o božanskim tajnama) i »gnosticizma« (skupina oblikovanih sustava u II. stoljeću). Objektivno teološki razlikuje se vjerodostojna kršćanska g. sa snažnom, pounu- tarnjenom i s </w:t>
      </w:r>
      <w:r>
        <w:rPr>
          <w:rFonts w:ascii="Times New Roman" w:eastAsia="Times New Roman" w:hAnsi="Times New Roman" w:cs="Times New Roman"/>
          <w:color w:val="000000"/>
          <w:spacing w:val="0"/>
          <w:w w:val="100"/>
          <w:position w:val="0"/>
          <w:shd w:val="clear" w:color="auto" w:fill="auto"/>
          <w:lang w:val="en-US" w:eastAsia="en-US" w:bidi="en-US"/>
        </w:rPr>
        <w:t xml:space="preserve">agape </w:t>
      </w:r>
      <w:r>
        <w:rPr>
          <w:rFonts w:ascii="Times New Roman" w:eastAsia="Times New Roman" w:hAnsi="Times New Roman" w:cs="Times New Roman"/>
          <w:color w:val="000000"/>
          <w:spacing w:val="0"/>
          <w:w w:val="100"/>
          <w:position w:val="0"/>
          <w:shd w:val="clear" w:color="auto" w:fill="auto"/>
          <w:lang w:val="hr-HR" w:eastAsia="hr-HR" w:bidi="hr-HR"/>
        </w:rPr>
        <w:t>ispunjenom vjerskom spoznajom od heterodoksne gnoze s emanci</w:t>
        <w:softHyphen/>
        <w:t>piranom, antropoccntričnom spasenjskom spo</w:t>
        <w:softHyphen/>
        <w:t>znajom, dijelom ezoteričnog, dijelom raciona- lističkog oblika.</w:t>
      </w:r>
    </w:p>
    <w:p>
      <w:pPr>
        <w:pStyle w:val="Style20"/>
        <w:keepNext w:val="0"/>
        <w:keepLines w:val="0"/>
        <w:widowControl w:val="0"/>
        <w:numPr>
          <w:ilvl w:val="0"/>
          <w:numId w:val="14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Izvori:</w:t>
      </w:r>
      <w:r>
        <w:rPr>
          <w:rFonts w:ascii="Times New Roman" w:eastAsia="Times New Roman" w:hAnsi="Times New Roman" w:cs="Times New Roman"/>
          <w:color w:val="000000"/>
          <w:spacing w:val="0"/>
          <w:w w:val="100"/>
          <w:position w:val="0"/>
          <w:shd w:val="clear" w:color="auto" w:fill="auto"/>
          <w:lang w:val="hr-HR" w:eastAsia="hr-HR" w:bidi="hr-HR"/>
        </w:rPr>
        <w:t xml:space="preserve"> Originalni gnostički zapisi su traktati iz </w:t>
      </w:r>
      <w:r>
        <w:rPr>
          <w:rFonts w:ascii="Times New Roman" w:eastAsia="Times New Roman" w:hAnsi="Times New Roman" w:cs="Times New Roman"/>
          <w:color w:val="000000"/>
          <w:spacing w:val="0"/>
          <w:w w:val="100"/>
          <w:position w:val="0"/>
          <w:shd w:val="clear" w:color="auto" w:fill="auto"/>
          <w:lang w:val="en-US" w:eastAsia="en-US" w:bidi="en-US"/>
        </w:rPr>
        <w:t xml:space="preserve">tzv. Corpus </w:t>
      </w:r>
      <w:r>
        <w:rPr>
          <w:rFonts w:ascii="Times New Roman" w:eastAsia="Times New Roman" w:hAnsi="Times New Roman" w:cs="Times New Roman"/>
          <w:color w:val="000000"/>
          <w:spacing w:val="0"/>
          <w:w w:val="100"/>
          <w:position w:val="0"/>
          <w:shd w:val="clear" w:color="auto" w:fill="auto"/>
          <w:lang w:val="hr-HR" w:eastAsia="hr-HR" w:bidi="hr-HR"/>
        </w:rPr>
        <w:t>Ilermeticum (osobito Traktat 1 i 13), prije svega opsežna literatura koja je pronađena 1945/46 u biblioteci zajednice u Nag’ Ilammadi (Gornji Egipat), mandejski i maniheistički zapisi kao vrijedni prvobitni iz</w:t>
        <w:softHyphen/>
        <w:t>vori. Oni pružaju bogatu gradu za poredbeno istraživanje gnostičkih tendencija u NZ i krš</w:t>
        <w:softHyphen/>
        <w:t>ćanskoj gnozi (gnosticizmu). Važan uvid do</w:t>
        <w:softHyphen/>
        <w:t>biva se posredstvom prikaza, citata i izvadaka iz djela crkvenih otaca u kojima se prije svega zrcale veliki kršćansko-gnostički sustavi. Pa ipak, kod vrednovanja ovih svjedočanstava kao sekundarnih izvora treba računati s ne</w:t>
        <w:softHyphen/>
        <w:t>sporazumom, greškama i iskrivljavanjem, jer su se crkveni oci bavili gnozama i njihovim vodećim školama s gledišta crkvenih protiv</w:t>
        <w:softHyphen/>
        <w:t>nika. Veoma autentične izvatke prenose Ire- nej, Hipolit i Epifanije. Grada se nalazi tako</w:t>
        <w:softHyphen/>
        <w:t>đer kod Klementa Aleksandrijskog, Origena i Tcrtulijana (i dr.). Najveći dio gnostičke, obli</w:t>
        <w:softHyphen/>
        <w:t>cima bogate literature izgubio se uslijed po</w:t>
        <w:softHyphen/>
        <w:t>tiskivanja i kasnije oslabljenog zanimanja; isto je tako nepotpuno sačuvana crkvena antig- nostička literatura (npr. Justinovo djelo »Pro</w:t>
        <w:softHyphen/>
        <w:t>tiv svih hereza«).</w:t>
      </w:r>
    </w:p>
    <w:p>
      <w:pPr>
        <w:pStyle w:val="Style20"/>
        <w:keepNext w:val="0"/>
        <w:keepLines w:val="0"/>
        <w:widowControl w:val="0"/>
        <w:numPr>
          <w:ilvl w:val="0"/>
          <w:numId w:val="143"/>
        </w:numPr>
        <w:shd w:val="clear" w:color="auto" w:fill="auto"/>
        <w:tabs>
          <w:tab w:pos="265" w:val="left"/>
        </w:tabs>
        <w:bidi w:val="0"/>
        <w:spacing w:before="0" w:after="0"/>
        <w:ind w:left="0" w:right="0" w:firstLine="0"/>
        <w:jc w:val="both"/>
        <w:sectPr>
          <w:headerReference w:type="default" r:id="rId457"/>
          <w:footerReference w:type="default" r:id="rId458"/>
          <w:headerReference w:type="even" r:id="rId459"/>
          <w:footerReference w:type="even" r:id="rId460"/>
          <w:footnotePr>
            <w:pos w:val="pageBottom"/>
            <w:numFmt w:val="decimal"/>
            <w:numStart w:val="5"/>
            <w:numRestart w:val="continuous"/>
            <w15:footnoteColumns w:val="1"/>
          </w:footnotePr>
          <w:pgSz w:w="6816" w:h="11006"/>
          <w:pgMar w:top="1027" w:left="190" w:right="193" w:bottom="476" w:header="0" w:footer="3" w:gutter="0"/>
          <w:pgNumType w:start="152"/>
          <w:cols w:num="2" w:space="192"/>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G. i NZ:</w:t>
      </w:r>
      <w:r>
        <w:rPr>
          <w:rFonts w:ascii="Times New Roman" w:eastAsia="Times New Roman" w:hAnsi="Times New Roman" w:cs="Times New Roman"/>
          <w:color w:val="000000"/>
          <w:spacing w:val="0"/>
          <w:w w:val="100"/>
          <w:position w:val="0"/>
          <w:shd w:val="clear" w:color="auto" w:fill="auto"/>
          <w:lang w:val="hr-HR" w:eastAsia="hr-HR" w:bidi="hr-HR"/>
        </w:rPr>
        <w:t xml:space="preserve"> Na prethodne, odnosno rane ob</w:t>
        <w:softHyphen/>
        <w:t>like gnoze ukazuju sučeljavanja, napomene, argumentacije i načini mišljenja u nekim no- vozavjetnim zapisima. Tako sc polemičke izjave u Pavlovim Poslanicama Korinćanima, u deuteropavlovskim zapisima Kol, Ef i pas</w:t>
        <w:softHyphen/>
        <w:t>toralnim poslanicama, u ivanovskoj literaturi, u Heb, Jd i 2 Pt svode na sukobe s gnostičkim krugovima i tendencijama. Pa ipak, ne donose nikakvu jedinstvenu sliku niti neprekidan raz</w:t>
        <w:softHyphen/>
        <w:t>voj. Kao pozadina dadu se naslutiti različiti mješoviti oblici predgnostičkog i ranoga gnos- tičkog judeokršćanstva koje možda stoji u po</w:t>
        <w:softHyphen/>
        <w:t>vezanosti s razvojima u heterodoksnom ili he</w:t>
        <w:softHyphen/>
        <w:t>lenističkom spekulativno obilježenom ranom židovstvu. Rano sučeljavanje predkršćansko- ga gnostičkog učenja s kršćanskim naviješta- njem tumači pripovijest o Šimunu Magu iz Sa- marijc Dj 8. Neposredna ovisnost o određe</w:t>
        <w:softHyphen/>
        <w:t>nom tipu gnoze teško se može dokazati u NZ iako postoje konvergencije motiva (npr. duali</w:t>
        <w:softHyphen/>
        <w:t>zam: svjetlo-mrak, spekulacija s mudrošću, predodžba o otkupiteljevu silaženju i uzlaže- nju). Uostalom, antientuzijastična stajališta i odbijanja pooštrene askeze ne moraju se shva</w:t>
        <w:softHyphen/>
        <w:t>ćati samo kao protugnostičke reakcije.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Upitno je jesu li se naspram Pavlove gnostičke zaokupljenosti u NZ odrazili pokušaji da se otupi oštrina Pavlove slike kako bi se spasila Pavlova tradicija za Velecrkvu koja se stvarala (takva je hipoteza G. Kleina o Dj), makar je i nakon novozavjetnog vremena dolazilo do gnostičke Pavlove recepcije. Kako potvrđuju izvannovozavjctni izvori i svjedočanstva bilo je presijecanja kršćanskog i gnostičkog nauča- vanja i uzajamnog utjecaja tako da su, s jedne strane, crkveni učitelji vidjeli opasnost u gnozi (gnosticizmu) koja je od prvih desetljeća II. stoljeća postajala sve značajnija, a nekršćani su, s druge strane, vidjeli u gnosticima kršća</w:t>
        <w:softHyphen/>
        <w:t>ne, čak su se i same gnostičke skupine nazi</w:t>
        <w:softHyphen/>
        <w:t>vale kršćanima. Iz crkvenih rasprava dade se izvesti pretpostavka da su gnostički učitelji i skupine (škole, tajne udruge, crkve) stjecali članove iz Velecrkve i da su u zajednicama mogli oblikovati gnostičke ćelije.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Osnovne teme gnosticizma:</w:t>
      </w:r>
      <w:r>
        <w:rPr>
          <w:rFonts w:ascii="Times New Roman" w:eastAsia="Times New Roman" w:hAnsi="Times New Roman" w:cs="Times New Roman"/>
          <w:color w:val="000000"/>
          <w:spacing w:val="0"/>
          <w:w w:val="100"/>
          <w:position w:val="0"/>
          <w:shd w:val="clear" w:color="auto" w:fill="auto"/>
          <w:lang w:val="hr-HR" w:eastAsia="hr-HR" w:bidi="hr-HR"/>
        </w:rPr>
        <w:t xml:space="preserve"> Budući da se reli</w:t>
        <w:softHyphen/>
        <w:t>gijske teme i terminologije razilaze u pojedi</w:t>
        <w:softHyphen/>
        <w:t>načnome i budući da su se razvili različiti ti</w:t>
        <w:softHyphen/>
        <w:t>povi gnoze, može se, bez obzira na varijacije, orisati samo jedna osnovna tematika gnostič</w:t>
        <w:softHyphen/>
        <w:t>kog mišljenja. G. kao pokret otkupljenja ide za ispunjenjem gnostika (pneumatika) u spa</w:t>
        <w:softHyphen/>
        <w:t>senju. Do toga vodi čovjekova samospoznaja (kao Boga) na temelju uvida u tajanstvene ob</w:t>
        <w:softHyphen/>
        <w:t>jave o podrijetlu, cilju i otkupiteljskom putu čovjekove egzistencije tj. samoga duha. Gnos- tik sa spoznajom postiže svoje otkupljenje iz tuđega, neprijateljskog svemira i jedinstvenost istinskoga samog sebe s onostranim, božan</w:t>
        <w:softHyphen/>
        <w:t>skim svijetom svjetla, s pravom domovinom. Zemaljski svijet je kao djelo jednog demijurga (ili više duhova), koji se razlikuje od dobrog božanstva, nesavršen i njime vladaju zle sile. On ne može postati mjesto pravoga pneumat</w:t>
        <w:softHyphen/>
        <w:t>skog ‘ja’. Osim toga, duša (iskra svjetla), koja potječe od gornjega svijeta, ulovljena je u tamnicu tijela. No, prema najunutarnjijoj biti, ‘ja’ teži - u udaljenosti od svog izvora - za ujedinjenjem s božanskim svijetom svjetla. Tako povratak u svijetli gornji svijet spozna</w:t>
        <w:softHyphen/>
        <w:t>jom tajne svijeta, čovjeka i otkupljenja oslo</w:t>
        <w:softHyphen/>
        <w:t>bađa sam gnostičarev duh u izvoran božanski bitak.</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 osnovna misao dualistički strukturirane slike svijeta i čovjeka postaje mitska drama otkupljenja u koju su spekulativnom interpre</w:t>
        <w:softHyphen/>
        <w:t>tacijom integrirani i kršćanski elementi. Pozi</w:t>
        <w:softHyphen/>
      </w:r>
      <w:r>
        <w:rPr>
          <w:rFonts w:ascii="Times New Roman" w:eastAsia="Times New Roman" w:hAnsi="Times New Roman" w:cs="Times New Roman"/>
          <w:color w:val="000000"/>
          <w:spacing w:val="0"/>
          <w:w w:val="100"/>
          <w:position w:val="0"/>
          <w:shd w:val="clear" w:color="auto" w:fill="auto"/>
          <w:lang w:val="hr-HR" w:eastAsia="hr-HR" w:bidi="hr-HR"/>
        </w:rPr>
        <w:t>vajući se na usmeno prenesene tajne poduke (Isusa, apostola) i u povezanosti različitih reli</w:t>
        <w:softHyphen/>
        <w:t>gijskih i filozofijskih tradicija, g. razvija »to</w:t>
        <w:softHyphen/>
        <w:t>talni mit« (M. Eliade) o podrijetlu, o stvaranju svijeta, o podrijetlu zla, o planetarnim područ</w:t>
        <w:softHyphen/>
        <w:t>jima kraljevstva i sudbinskim silama, o drami otkupitelja ili vjesnika kao posrednika božan</w:t>
        <w:softHyphen/>
        <w:t>ske tajne objave, koji je sišao na zemlju radi spasenja i uzašao, o uzlasku ljudskoga duha- duše kroz kozmičke sfere do onostranoga Božjeg svijeta svjetla i o konačnoj Božjoj po</w:t>
        <w:softHyphen/>
        <w:t>bjedi bez eshatološkoga novog stvaranja svije</w:t>
        <w:softHyphen/>
        <w:t>ta. Crkveno tradicionalno učenje višestruko je dotaknuto gnostičkom spekulacijom i mitolo</w:t>
        <w:softHyphen/>
        <w:t>gijom: shvaćanjem Boga (transcendentno do</w:t>
        <w:softHyphen/>
        <w:t>bro božanstvo - demijurg) i prcinačavanjcm (starozavjetnog) učenja o stvaranju, struktur</w:t>
        <w:softHyphen/>
        <w:t>no određujućim dualizmom duha/svjetla i ma- terije/tame, tj. duše i tijela, učenjem o otkup</w:t>
        <w:softHyphen/>
        <w:t>ljenju, doketskom kristologijom, žrtvovanjem tjelesnog uskrsnuća, zakržljavanjem misli o kraljevstvu Božjem i preoblikovanjem kršćan</w:t>
        <w:softHyphen/>
        <w:t>ske eshatologije, etikom koja isto tako radika</w:t>
        <w:softHyphen/>
        <w:t>lizira askezu kao što omogućuje antinomijski libertinizam, elitističkim individualizmom i stvaranjem posebnih skupina kršćana višega reda, uvođenjem novih obreda i posvećenja, ozakonjujućim svođenjem gnostičke spekula</w:t>
        <w:softHyphen/>
        <w:t>cije na tajnu Isusovu i apostolsku tradiciju i davanjem prednosti alegorijskoj egzegezi.</w:t>
      </w:r>
    </w:p>
    <w:p>
      <w:pPr>
        <w:pStyle w:val="Style20"/>
        <w:keepNext w:val="0"/>
        <w:keepLines w:val="0"/>
        <w:widowControl w:val="0"/>
        <w:shd w:val="clear" w:color="auto" w:fill="auto"/>
        <w:bidi w:val="0"/>
        <w:spacing w:before="0" w:after="0"/>
        <w:ind w:left="0" w:right="0" w:firstLine="0"/>
        <w:jc w:val="both"/>
        <w:sectPr>
          <w:headerReference w:type="default" r:id="rId461"/>
          <w:footerReference w:type="default" r:id="rId462"/>
          <w:headerReference w:type="even" r:id="rId463"/>
          <w:footerReference w:type="even" r:id="rId464"/>
          <w:footnotePr>
            <w:pos w:val="pageBottom"/>
            <w:numFmt w:val="decimal"/>
            <w:numStart w:val="5"/>
            <w:numRestart w:val="continuous"/>
            <w15:footnoteColumns w:val="1"/>
          </w:footnotePr>
          <w:pgSz w:w="6816" w:h="11006"/>
          <w:pgMar w:top="1027" w:left="190" w:right="193" w:bottom="476" w:header="0" w:footer="48" w:gutter="0"/>
          <w:pgNumType w:start="157"/>
          <w:cols w:num="2" w:space="19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Sučeljavanje Velecrkve, koje jc očigledno u li</w:t>
        <w:softHyphen/>
        <w:t>teraturi crkvenih otaca, djeluje na usmjerava</w:t>
        <w:softHyphen/>
        <w:t>nje crkvenog učiteljskog razvoja i provodi ras</w:t>
        <w:softHyphen/>
        <w:t>vjetljavanje autentične apostolske tradicije, novozavjetnoga kanona i pojma Crkve. Pro</w:t>
        <w:softHyphen/>
        <w:t>blemi, koje je g. nabacila, zahtijevaju crkveno rješenje u učenju o Bogu i stvaranju, u kristo- logiji, u shvaćanju uskrsnuća, u učenju o mi</w:t>
        <w:softHyphen/>
        <w:t>losti i u etici.Velecrkva, koja se razvija, uspi</w:t>
        <w:softHyphen/>
        <w:t>jeva se teološki i organizacijski učvrstiti i svla</w:t>
        <w:softHyphen/>
        <w:t>dati gnozu. Pa ipak, ovom je religijskom stru</w:t>
        <w:softHyphen/>
        <w:t>janju bilo moguće raširiti se u manihejskom obliku od sjeverne Afrike do središnje Azije i održati se do danas kao mandejska skupina u Iraku. I u srednjovjekovnim sektama (npr. al- bigenzi, katari) dalje djeluju gnozine pre</w:t>
        <w:softHyphen/>
        <w:t>dodžbe. Iako novovjeki gnostički pokreti nisu postigli široko djelovanje, ipak crkveno krš</w:t>
        <w:softHyphen/>
        <w:t>ćanstvo stoji uvijek iznova pred zadaćom da sačuva kontinuitet i identitet nasuprot izazo</w:t>
        <w:softHyphen/>
        <w:t>vima sinkretističkih polazišta ezoterijsko-ra- cionalnc i mitološke vrste.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I .it.: K.. Bcyschlag. </w:t>
      </w:r>
      <w:r>
        <w:rPr>
          <w:i/>
          <w:iCs/>
          <w:color w:val="000000"/>
          <w:spacing w:val="0"/>
          <w:w w:val="100"/>
          <w:position w:val="0"/>
          <w:shd w:val="clear" w:color="auto" w:fill="auto"/>
        </w:rPr>
        <w:t xml:space="preserve">Simon Magus und die christliche Gnosis. </w:t>
      </w:r>
      <w:r>
        <w:rPr>
          <w:color w:val="000000"/>
          <w:spacing w:val="0"/>
          <w:w w:val="100"/>
          <w:position w:val="0"/>
          <w:shd w:val="clear" w:color="auto" w:fill="auto"/>
        </w:rPr>
        <w:t xml:space="preserve">1974; C. Colpc, </w:t>
      </w:r>
      <w:r>
        <w:rPr>
          <w:i/>
          <w:iCs/>
          <w:color w:val="000000"/>
          <w:spacing w:val="0"/>
          <w:w w:val="100"/>
          <w:position w:val="0"/>
          <w:shd w:val="clear" w:color="auto" w:fill="auto"/>
        </w:rPr>
        <w:t xml:space="preserve">Die religionsgeschichlliche Schute. Darstel- lung und </w:t>
      </w:r>
      <w:r>
        <w:rPr>
          <w:i/>
          <w:iCs/>
          <w:color w:val="000000"/>
          <w:spacing w:val="0"/>
          <w:w w:val="100"/>
          <w:position w:val="0"/>
          <w:shd w:val="clear" w:color="auto" w:fill="auto"/>
          <w:lang w:val="hr-HR" w:eastAsia="hr-HR" w:bidi="hr-HR"/>
        </w:rPr>
        <w:t xml:space="preserve">Kritik </w:t>
      </w:r>
      <w:r>
        <w:rPr>
          <w:i/>
          <w:iCs/>
          <w:color w:val="000000"/>
          <w:spacing w:val="0"/>
          <w:w w:val="100"/>
          <w:position w:val="0"/>
          <w:shd w:val="clear" w:color="auto" w:fill="auto"/>
        </w:rPr>
        <w:t xml:space="preserve">ihres Bildts vom gnostischen Erlosermythus, </w:t>
      </w:r>
      <w:r>
        <w:rPr>
          <w:color w:val="000000"/>
          <w:spacing w:val="0"/>
          <w:w w:val="100"/>
          <w:position w:val="0"/>
          <w:shd w:val="clear" w:color="auto" w:fill="auto"/>
        </w:rPr>
        <w:t xml:space="preserve">1961; M. Eliadc, </w:t>
      </w:r>
      <w:r>
        <w:rPr>
          <w:i/>
          <w:iCs/>
          <w:color w:val="000000"/>
          <w:spacing w:val="0"/>
          <w:w w:val="100"/>
          <w:position w:val="0"/>
          <w:shd w:val="clear" w:color="auto" w:fill="auto"/>
        </w:rPr>
        <w:t>Geschichte der religiosen Ideen.</w:t>
      </w:r>
      <w:r>
        <w:rPr>
          <w:color w:val="000000"/>
          <w:spacing w:val="0"/>
          <w:w w:val="100"/>
          <w:position w:val="0"/>
          <w:shd w:val="clear" w:color="auto" w:fill="auto"/>
        </w:rPr>
        <w:t xml:space="preserve"> H 1979; W. Foerster i dr.. </w:t>
      </w:r>
      <w:r>
        <w:rPr>
          <w:i/>
          <w:iCs/>
          <w:color w:val="000000"/>
          <w:spacing w:val="0"/>
          <w:w w:val="100"/>
          <w:position w:val="0"/>
          <w:shd w:val="clear" w:color="auto" w:fill="auto"/>
        </w:rPr>
        <w:t xml:space="preserve">Die Gnosis I Ztugnisse der Kirchenvater. </w:t>
      </w:r>
      <w:r>
        <w:rPr>
          <w:color w:val="000000"/>
          <w:spacing w:val="0"/>
          <w:w w:val="100"/>
          <w:position w:val="0"/>
          <w:shd w:val="clear" w:color="auto" w:fill="auto"/>
        </w:rPr>
        <w:t xml:space="preserve">1969; IL Knptische und mandatschc Quellcn, 1971; R. M. Grant. </w:t>
      </w:r>
      <w:r>
        <w:rPr>
          <w:i/>
          <w:iCs/>
          <w:color w:val="000000"/>
          <w:spacing w:val="0"/>
          <w:w w:val="100"/>
          <w:position w:val="0"/>
          <w:shd w:val="clear" w:color="auto" w:fill="auto"/>
        </w:rPr>
        <w:t>Gnosticism. A Sourcebook of Heretical Writings from the Early Christian Period,</w:t>
      </w:r>
      <w:r>
        <w:rPr>
          <w:color w:val="000000"/>
          <w:spacing w:val="0"/>
          <w:w w:val="100"/>
          <w:position w:val="0"/>
          <w:shd w:val="clear" w:color="auto" w:fill="auto"/>
        </w:rPr>
        <w:t xml:space="preserve"> 1961; R. Haardl, </w:t>
      </w:r>
      <w:r>
        <w:rPr>
          <w:i/>
          <w:iCs/>
          <w:color w:val="000000"/>
          <w:spacing w:val="0"/>
          <w:w w:val="100"/>
          <w:position w:val="0"/>
          <w:shd w:val="clear" w:color="auto" w:fill="auto"/>
        </w:rPr>
        <w:t>Die Gnosis. We- sen und Ztugnisse,</w:t>
      </w:r>
      <w:r>
        <w:rPr>
          <w:color w:val="000000"/>
          <w:spacing w:val="0"/>
          <w:w w:val="100"/>
          <w:position w:val="0"/>
          <w:shd w:val="clear" w:color="auto" w:fill="auto"/>
        </w:rPr>
        <w:t xml:space="preserve"> 1976; H. Jonas, </w:t>
      </w:r>
      <w:r>
        <w:rPr>
          <w:i/>
          <w:iCs/>
          <w:color w:val="000000"/>
          <w:spacing w:val="0"/>
          <w:w w:val="100"/>
          <w:position w:val="0"/>
          <w:shd w:val="clear" w:color="auto" w:fill="auto"/>
        </w:rPr>
        <w:t>Gnosis und spatantiker Geist,</w:t>
      </w:r>
      <w:r>
        <w:rPr>
          <w:color w:val="000000"/>
          <w:spacing w:val="0"/>
          <w:w w:val="100"/>
          <w:position w:val="0"/>
          <w:shd w:val="clear" w:color="auto" w:fill="auto"/>
        </w:rPr>
        <w:t xml:space="preserve"> I '1964, II *1966; K. Rudolph, </w:t>
      </w:r>
      <w:r>
        <w:rPr>
          <w:i/>
          <w:iCs/>
          <w:color w:val="000000"/>
          <w:spacing w:val="0"/>
          <w:w w:val="100"/>
          <w:position w:val="0"/>
          <w:shd w:val="clear" w:color="auto" w:fill="auto"/>
        </w:rPr>
        <w:t>Die Mandder.</w:t>
      </w:r>
      <w:r>
        <w:rPr>
          <w:color w:val="000000"/>
          <w:spacing w:val="0"/>
          <w:w w:val="100"/>
          <w:position w:val="0"/>
          <w:shd w:val="clear" w:color="auto" w:fill="auto"/>
        </w:rPr>
        <w:t xml:space="preserve"> 1 1959, II 1961;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(Hrsg.), </w:t>
      </w:r>
      <w:r>
        <w:rPr>
          <w:i/>
          <w:iCs/>
          <w:color w:val="000000"/>
          <w:spacing w:val="0"/>
          <w:w w:val="100"/>
          <w:position w:val="0"/>
          <w:shd w:val="clear" w:color="auto" w:fill="auto"/>
        </w:rPr>
        <w:t>Gnosis und Gnostizismus,</w:t>
      </w:r>
      <w:r>
        <w:rPr>
          <w:color w:val="000000"/>
          <w:spacing w:val="0"/>
          <w:w w:val="100"/>
          <w:position w:val="0"/>
          <w:shd w:val="clear" w:color="auto" w:fill="auto"/>
        </w:rPr>
        <w:t xml:space="preserve"> 1979; H.-M. Schcnkc, Die Gnosis, u: Lcipoldt'Grundmann, </w:t>
      </w:r>
      <w:r>
        <w:rPr>
          <w:i/>
          <w:iCs/>
          <w:color w:val="000000"/>
          <w:spacing w:val="0"/>
          <w:w w:val="100"/>
          <w:position w:val="0"/>
          <w:shd w:val="clear" w:color="auto" w:fill="auto"/>
        </w:rPr>
        <w:t>Umwelt des Urchristentums,</w:t>
      </w:r>
      <w:r>
        <w:rPr>
          <w:color w:val="000000"/>
          <w:spacing w:val="0"/>
          <w:w w:val="100"/>
          <w:position w:val="0"/>
          <w:shd w:val="clear" w:color="auto" w:fill="auto"/>
        </w:rPr>
        <w:t xml:space="preserve"> I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1967. 370—415; K.-W. Trtigcr (Hrsg.), </w:t>
      </w:r>
      <w:r>
        <w:rPr>
          <w:i/>
          <w:iCs/>
          <w:color w:val="000000"/>
          <w:spacing w:val="0"/>
          <w:w w:val="100"/>
          <w:position w:val="0"/>
          <w:shd w:val="clear" w:color="auto" w:fill="auto"/>
        </w:rPr>
        <w:t>Gnosis und Neues Testament,</w:t>
      </w:r>
      <w:r>
        <w:rPr>
          <w:color w:val="000000"/>
          <w:spacing w:val="0"/>
          <w:w w:val="100"/>
          <w:position w:val="0"/>
          <w:shd w:val="clear" w:color="auto" w:fill="auto"/>
        </w:rPr>
        <w:t xml:space="preserve"> 1973; R. McL Wilson, </w:t>
      </w:r>
      <w:r>
        <w:rPr>
          <w:i/>
          <w:iCs/>
          <w:color w:val="000000"/>
          <w:spacing w:val="0"/>
          <w:w w:val="100"/>
          <w:position w:val="0"/>
          <w:shd w:val="clear" w:color="auto" w:fill="auto"/>
        </w:rPr>
        <w:t>Gnosis undHeues Testament.</w:t>
      </w:r>
      <w:r>
        <w:rPr>
          <w:color w:val="000000"/>
          <w:spacing w:val="0"/>
          <w:w w:val="100"/>
          <w:position w:val="0"/>
          <w:shd w:val="clear" w:color="auto" w:fill="auto"/>
        </w:rPr>
        <w:t xml:space="preserve"> 1971. - </w:t>
      </w:r>
      <w:r>
        <w:rPr>
          <w:color w:val="000000"/>
          <w:spacing w:val="0"/>
          <w:w w:val="100"/>
          <w:position w:val="0"/>
          <w:shd w:val="clear" w:color="auto" w:fill="auto"/>
          <w:lang w:val="hr-HR" w:eastAsia="hr-HR" w:bidi="hr-HR"/>
        </w:rPr>
        <w:t xml:space="preserve">Natuknica </w:t>
      </w:r>
      <w:r>
        <w:rPr>
          <w:color w:val="000000"/>
          <w:spacing w:val="0"/>
          <w:w w:val="100"/>
          <w:position w:val="0"/>
          <w:shd w:val="clear" w:color="auto" w:fill="auto"/>
        </w:rPr>
        <w:t xml:space="preserve">Gnoza s </w:t>
      </w:r>
      <w:r>
        <w:rPr>
          <w:color w:val="000000"/>
          <w:spacing w:val="0"/>
          <w:w w:val="100"/>
          <w:position w:val="0"/>
          <w:shd w:val="clear" w:color="auto" w:fill="auto"/>
          <w:lang w:val="hr-HR" w:eastAsia="hr-HR" w:bidi="hr-HR"/>
        </w:rPr>
        <w:t xml:space="preserve">dodatnim navodima </w:t>
      </w:r>
      <w:r>
        <w:rPr>
          <w:color w:val="000000"/>
          <w:spacing w:val="0"/>
          <w:w w:val="100"/>
          <w:position w:val="0"/>
          <w:shd w:val="clear" w:color="auto" w:fill="auto"/>
        </w:rPr>
        <w:t xml:space="preserve">literature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R. Bultmann. ThWNT I 688-715; L. Cerfaux: DBS III 659-702; R. Haardt: SM, 476-490; H. Lcisegang/C. Schmidt: RGG </w:t>
      </w:r>
      <w:r>
        <w:rPr>
          <w:color w:val="000000"/>
          <w:spacing w:val="0"/>
          <w:w w:val="100"/>
          <w:position w:val="0"/>
          <w:shd w:val="clear" w:color="auto" w:fill="auto"/>
          <w:vertAlign w:val="superscript"/>
        </w:rPr>
        <w:t>Z</w:t>
      </w:r>
      <w:r>
        <w:rPr>
          <w:color w:val="000000"/>
          <w:spacing w:val="0"/>
          <w:w w:val="100"/>
          <w:position w:val="0"/>
          <w:shd w:val="clear" w:color="auto" w:fill="auto"/>
        </w:rPr>
        <w:t xml:space="preserve">II, 1272-1281; K. Rahner: LThK W. 1019-1021; H. Schlicr: HThG 1, 562-573; R. SchnackcnburgyK. Rahner. LThK </w:t>
      </w:r>
      <w:r>
        <w:rPr>
          <w:color w:val="000000"/>
          <w:spacing w:val="0"/>
          <w:w w:val="100"/>
          <w:position w:val="0"/>
          <w:shd w:val="clear" w:color="auto" w:fill="auto"/>
          <w:vertAlign w:val="superscript"/>
        </w:rPr>
        <w:t>2</w:t>
      </w:r>
      <w:r>
        <w:rPr>
          <w:color w:val="000000"/>
          <w:spacing w:val="0"/>
          <w:w w:val="100"/>
          <w:position w:val="0"/>
          <w:shd w:val="clear" w:color="auto" w:fill="auto"/>
        </w:rPr>
        <w:t>1V. 1026-1030.</w:t>
      </w:r>
    </w:p>
    <w:p>
      <w:pPr>
        <w:pStyle w:val="Style20"/>
        <w:keepNext w:val="0"/>
        <w:keepLines w:val="0"/>
        <w:widowControl w:val="0"/>
        <w:shd w:val="clear" w:color="auto" w:fill="auto"/>
        <w:bidi w:val="0"/>
        <w:spacing w:before="0" w:after="120" w:line="185" w:lineRule="auto"/>
        <w:ind w:left="0" w:right="0" w:firstLine="0"/>
        <w:jc w:val="right"/>
      </w:pPr>
      <w:r>
        <w:rPr>
          <w:rFonts w:ascii="Times New Roman" w:eastAsia="Times New Roman" w:hAnsi="Times New Roman" w:cs="Times New Roman"/>
          <w:b/>
          <w:bCs/>
          <w:color w:val="000000"/>
          <w:spacing w:val="0"/>
          <w:w w:val="100"/>
          <w:position w:val="0"/>
          <w:shd w:val="clear" w:color="auto" w:fill="auto"/>
          <w:lang w:val="en-US" w:eastAsia="en-US" w:bidi="en-US"/>
        </w:rPr>
        <w:t xml:space="preserve">H.-J. </w:t>
      </w:r>
      <w:r>
        <w:rPr>
          <w:rFonts w:ascii="Times New Roman" w:eastAsia="Times New Roman" w:hAnsi="Times New Roman" w:cs="Times New Roman"/>
          <w:b/>
          <w:bCs/>
          <w:color w:val="000000"/>
          <w:spacing w:val="0"/>
          <w:w w:val="100"/>
          <w:position w:val="0"/>
          <w:shd w:val="clear" w:color="auto" w:fill="auto"/>
          <w:lang w:val="hr-HR" w:eastAsia="hr-HR" w:bidi="hr-HR"/>
        </w:rPr>
        <w:t>HNĐEIS</w:t>
      </w:r>
    </w:p>
    <w:p>
      <w:pPr>
        <w:pStyle w:val="Style63"/>
        <w:keepNext/>
        <w:keepLines/>
        <w:widowControl w:val="0"/>
        <w:numPr>
          <w:ilvl w:val="0"/>
          <w:numId w:val="141"/>
        </w:numPr>
        <w:shd w:val="clear" w:color="auto" w:fill="auto"/>
        <w:tabs>
          <w:tab w:pos="260" w:val="left"/>
        </w:tabs>
        <w:bidi w:val="0"/>
        <w:spacing w:before="0" w:line="240" w:lineRule="auto"/>
        <w:ind w:left="0" w:right="0" w:firstLine="0"/>
        <w:jc w:val="both"/>
      </w:pPr>
      <w:bookmarkStart w:id="103" w:name="bookmark103"/>
      <w:r>
        <w:rPr>
          <w:rFonts w:ascii="Times New Roman" w:eastAsia="Times New Roman" w:hAnsi="Times New Roman" w:cs="Times New Roman"/>
          <w:color w:val="000000"/>
          <w:spacing w:val="0"/>
          <w:w w:val="100"/>
          <w:position w:val="0"/>
          <w:shd w:val="clear" w:color="auto" w:fill="auto"/>
          <w:lang w:val="hr-HR" w:eastAsia="hr-HR" w:bidi="hr-HR"/>
        </w:rPr>
        <w:t>islamski</w:t>
      </w:r>
      <w:bookmarkEnd w:id="10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Glasoviti »stih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svjetlu« iz Kurana: »Alah je svjetlo nebesa i zemlje... (7b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svjetlo nad svjetlom. Bog upućuje Svome svjetlu koga ho</w:t>
        <w:softHyphen/>
        <w:t>će« (24,35), uvijek je iznova davao poticaja gnostičkim misaonim pokretima u islamu. Njihov je najvažniji predstavnik Ibn-’Arabi (u. 1240), čija je fantastična metafizika osta</w:t>
        <w:softHyphen/>
        <w:t>vila mnoge tragove i u (mističnom) sufizmu. Spoznaja dubokih sveza u kozmosu (‘irfan) tražena je i putem analize samoga sebe. Re</w:t>
        <w:softHyphen/>
        <w:t>ligiozno obrazloženje za to nalazilo se u jed</w:t>
        <w:softHyphen/>
        <w:t>noj navodnoj Alijinoj izreci, po kojoj je samo- spoznavanje najbolji put do spoznaje Boga. Unatoč tom legitimnom religioznom polaziš</w:t>
        <w:softHyphen/>
        <w:t>tu g. je u islamu ubrzo počela izazivati sum</w:t>
        <w:softHyphen/>
        <w:t>njičavost. Budući da je u pravilu činila mješa</w:t>
        <w:softHyphen/>
        <w:t>vinu različitih heretičkih, bilo je neizbježno da postane predmetom napada od strane ortodoksije. Vrlo jasnu opasnost za ortodok- siju posebno su činili neki socijalni pokreti koji su bili pod utjecajem manihejstva i mazdaizma.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i inače, g. je i u islamu imala širok raspon svojih društvenih izražajnih oblika; jednom se očitovala u askezi, a drugi put opet u komu</w:t>
        <w:softHyphen/>
        <w:t>nizmu sve do krajnjega libertinizma. G. je mjerodavno odredila oblikovanje islamskoga nauka o anđelima i korištenje alfabeta za iz</w:t>
        <w:softHyphen/>
        <w:t>vođenje iz različitih metafizičkih detalja, od</w:t>
        <w:softHyphen/>
        <w:t>nosno ona je mjerodavno odredila kabalisti- ku. Iz područja u kojemu se miješaju mašta i misaoni napor dobrim je dijelom svoje korije</w:t>
        <w:softHyphen/>
        <w:t>nje pustila magija. Gnostičkoga je podrijetla i legenda da Muhamed nije bacao nikakvu sje</w:t>
        <w:softHyphen/>
      </w:r>
      <w:r>
        <w:rPr>
          <w:rFonts w:ascii="Times New Roman" w:eastAsia="Times New Roman" w:hAnsi="Times New Roman" w:cs="Times New Roman"/>
          <w:color w:val="000000"/>
          <w:spacing w:val="0"/>
          <w:w w:val="100"/>
          <w:position w:val="0"/>
          <w:shd w:val="clear" w:color="auto" w:fill="auto"/>
          <w:lang w:val="hr-HR" w:eastAsia="hr-HR" w:bidi="hr-HR"/>
        </w:rPr>
        <w:t>nu zato što je bio ispunjen svjetlošću zbog mnoštva dobivenih božanskih svojstava.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w:t>
      </w:r>
      <w:r>
        <w:rPr>
          <w:color w:val="000000"/>
          <w:spacing w:val="0"/>
          <w:w w:val="100"/>
          <w:position w:val="0"/>
          <w:shd w:val="clear" w:color="auto" w:fill="auto"/>
        </w:rPr>
        <w:t xml:space="preserve">Darko </w:t>
      </w:r>
      <w:r>
        <w:rPr>
          <w:color w:val="000000"/>
          <w:spacing w:val="0"/>
          <w:w w:val="100"/>
          <w:position w:val="0"/>
          <w:shd w:val="clear" w:color="auto" w:fill="auto"/>
          <w:lang w:val="hr-HR" w:eastAsia="hr-HR" w:bidi="hr-HR"/>
        </w:rPr>
        <w:t xml:space="preserve">Tanaskuvić/Ivan Šop: </w:t>
      </w:r>
      <w:r>
        <w:rPr>
          <w:i/>
          <w:iCs/>
          <w:color w:val="000000"/>
          <w:spacing w:val="0"/>
          <w:w w:val="100"/>
          <w:position w:val="0"/>
          <w:shd w:val="clear" w:color="auto" w:fill="auto"/>
          <w:lang w:val="hr-HR" w:eastAsia="hr-HR" w:bidi="hr-HR"/>
        </w:rPr>
        <w:t>Siifaim.</w:t>
      </w:r>
      <w:r>
        <w:rPr>
          <w:color w:val="000000"/>
          <w:spacing w:val="0"/>
          <w:w w:val="100"/>
          <w:position w:val="0"/>
          <w:shd w:val="clear" w:color="auto" w:fill="auto"/>
          <w:lang w:val="hr-HR" w:eastAsia="hr-HR" w:bidi="hr-HR"/>
        </w:rPr>
        <w:t xml:space="preserve"> Beograd 1982.</w:t>
      </w:r>
    </w:p>
    <w:p>
      <w:pPr>
        <w:pStyle w:val="Style74"/>
        <w:keepNext w:val="0"/>
        <w:keepLines w:val="0"/>
        <w:widowControl w:val="0"/>
        <w:shd w:val="clear" w:color="auto" w:fill="auto"/>
        <w:bidi w:val="0"/>
        <w:spacing w:before="0" w:after="22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S.BA1.1Ć</w:t>
      </w:r>
    </w:p>
    <w:p>
      <w:pPr>
        <w:pStyle w:val="Style33"/>
        <w:keepNext w:val="0"/>
        <w:keepLines w:val="0"/>
        <w:widowControl w:val="0"/>
        <w:shd w:val="clear" w:color="auto" w:fill="auto"/>
        <w:bidi w:val="0"/>
        <w:spacing w:before="0" w:after="120" w:line="22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GOSTOPRIMSTVO</w:t>
      </w:r>
    </w:p>
    <w:p>
      <w:pPr>
        <w:pStyle w:val="Style63"/>
        <w:keepNext/>
        <w:keepLines/>
        <w:widowControl w:val="0"/>
        <w:numPr>
          <w:ilvl w:val="0"/>
          <w:numId w:val="145"/>
        </w:numPr>
        <w:shd w:val="clear" w:color="auto" w:fill="auto"/>
        <w:tabs>
          <w:tab w:pos="241" w:val="left"/>
        </w:tabs>
        <w:bidi w:val="0"/>
        <w:spacing w:before="0" w:line="226" w:lineRule="auto"/>
        <w:ind w:left="0" w:right="0" w:firstLine="0"/>
        <w:jc w:val="both"/>
      </w:pPr>
      <w:bookmarkStart w:id="104" w:name="bookmark104"/>
      <w:r>
        <w:rPr>
          <w:rFonts w:ascii="Times New Roman" w:eastAsia="Times New Roman" w:hAnsi="Times New Roman" w:cs="Times New Roman"/>
          <w:color w:val="000000"/>
          <w:spacing w:val="0"/>
          <w:w w:val="100"/>
          <w:position w:val="0"/>
          <w:shd w:val="clear" w:color="auto" w:fill="auto"/>
          <w:lang w:val="hr-HR" w:eastAsia="hr-HR" w:bidi="hr-HR"/>
        </w:rPr>
        <w:t>židovski</w:t>
      </w:r>
      <w:bookmarkEnd w:id="104"/>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biblijskih vremena gostoljublje se smatra sastavnim dijelom -»ljubavi prema bližnjemu. Tako se o Abrahamovu ponašanju prema tro</w:t>
        <w:softHyphen/>
        <w:t>jici anđela ili glasnika izvješćuje daje njegovo gostoljublje primjerno (Post 18,2-8). Uosta</w:t>
        <w:softHyphen/>
        <w:t xml:space="preserve">lom, i njegov je nećak </w:t>
      </w:r>
      <w:r>
        <w:rPr>
          <w:rFonts w:ascii="Times New Roman" w:eastAsia="Times New Roman" w:hAnsi="Times New Roman" w:cs="Times New Roman"/>
          <w:color w:val="000000"/>
          <w:spacing w:val="0"/>
          <w:w w:val="100"/>
          <w:position w:val="0"/>
          <w:shd w:val="clear" w:color="auto" w:fill="auto"/>
          <w:lang w:val="en-US" w:eastAsia="en-US" w:bidi="en-US"/>
        </w:rPr>
        <w:t xml:space="preserve">Lot </w:t>
      </w:r>
      <w:r>
        <w:rPr>
          <w:rFonts w:ascii="Times New Roman" w:eastAsia="Times New Roman" w:hAnsi="Times New Roman" w:cs="Times New Roman"/>
          <w:color w:val="000000"/>
          <w:spacing w:val="0"/>
          <w:w w:val="100"/>
          <w:position w:val="0"/>
          <w:shd w:val="clear" w:color="auto" w:fill="auto"/>
          <w:lang w:val="hr-HR" w:eastAsia="hr-HR" w:bidi="hr-HR"/>
        </w:rPr>
        <w:t>imao tu vrlinu, na</w:t>
        <w:softHyphen/>
        <w:t>daleko raširenu na Istoku. Stoga su ga susjedi u Sodomi napali, pa je morao pobjeći (Post 19,1 i d.). Rebeka prima Eleazara i napoji nje</w:t>
        <w:softHyphen/>
        <w:t xml:space="preserve">gove životinje (Post 24,18 i d.); </w:t>
      </w:r>
      <w:r>
        <w:rPr>
          <w:rFonts w:ascii="Times New Roman" w:eastAsia="Times New Roman" w:hAnsi="Times New Roman" w:cs="Times New Roman"/>
          <w:color w:val="000000"/>
          <w:spacing w:val="0"/>
          <w:w w:val="100"/>
          <w:position w:val="0"/>
          <w:shd w:val="clear" w:color="auto" w:fill="auto"/>
          <w:lang w:val="en-US" w:eastAsia="en-US" w:bidi="en-US"/>
        </w:rPr>
        <w:t xml:space="preserve">Laban </w:t>
      </w:r>
      <w:r>
        <w:rPr>
          <w:rFonts w:ascii="Times New Roman" w:eastAsia="Times New Roman" w:hAnsi="Times New Roman" w:cs="Times New Roman"/>
          <w:color w:val="000000"/>
          <w:spacing w:val="0"/>
          <w:w w:val="100"/>
          <w:position w:val="0"/>
          <w:shd w:val="clear" w:color="auto" w:fill="auto"/>
          <w:lang w:val="hr-HR" w:eastAsia="hr-HR" w:bidi="hr-HR"/>
        </w:rPr>
        <w:t>prima Jakova (Post 29,13), a Jitro grdi kćeri jer nisu uslužna Mojsija pozvale na objed (Izl 2,20). Odbijanje gostoljublja bilo je za pleme Bcnja- mina povod rata (Suci 11,19 i d.). Protiv volje svojega škrtog muža Abigajila prima Davida i njegove momke (1 Sam 25), a jedan svećenik daje mu svetoga kruha (21,4 i d.). Šunamka priprema proroku Elizeju gostinjsku sobu (2 Kr 4,8 i d.). Biblija obrazlaže zabranu prima</w:t>
        <w:softHyphen/>
        <w:t>nja Amonaca i Moabaca u zajednicu Izraelo- vu zbog mizantropije tih naroda koji su Iz</w:t>
        <w:softHyphen/>
        <w:t xml:space="preserve">raelu na putu kroz pustinju uskratili vodu i kruh (Pnz 23,4-5; usp. ipak s Knjigom o Ruti).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izvješćuje da nikada nije ostavio stranca da prenoći vani, da mu je kuća uvijek otvo</w:t>
        <w:softHyphen/>
        <w:t xml:space="preserve">rena za goste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31,32). - Gostoljublje nije samo -&gt; zapovijed Tore, ono je i dio cjelokup</w:t>
        <w:softHyphen/>
        <w:t>noga životnog puta.</w:t>
      </w:r>
    </w:p>
    <w:p>
      <w:pPr>
        <w:pStyle w:val="Style20"/>
        <w:keepNext w:val="0"/>
        <w:keepLines w:val="0"/>
        <w:widowControl w:val="0"/>
        <w:shd w:val="clear" w:color="auto" w:fill="auto"/>
        <w:bidi w:val="0"/>
        <w:spacing w:before="0" w:after="0" w:line="254" w:lineRule="auto"/>
        <w:ind w:left="0" w:right="0" w:firstLine="0"/>
        <w:jc w:val="both"/>
        <w:sectPr>
          <w:headerReference w:type="default" r:id="rId465"/>
          <w:footerReference w:type="default" r:id="rId466"/>
          <w:headerReference w:type="even" r:id="rId467"/>
          <w:footerReference w:type="even" r:id="rId468"/>
          <w:footnotePr>
            <w:pos w:val="pageBottom"/>
            <w:numFmt w:val="decimal"/>
            <w:numStart w:val="5"/>
            <w:numRestart w:val="continuous"/>
            <w15:footnoteColumns w:val="1"/>
          </w:footnotePr>
          <w:pgSz w:w="6816" w:h="11006"/>
          <w:pgMar w:top="1027" w:left="190" w:right="193" w:bottom="476" w:header="0" w:footer="3" w:gutter="0"/>
          <w:pgNumType w:start="154"/>
          <w:cols w:num="2" w:space="19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Poslijebiblijska židovska literatura posvećuje posebnu pozornost toj religijskoj obvezi; ubra</w:t>
        <w:softHyphen/>
        <w:t xml:space="preserve">ja se u temelje života s bližnjima, a time i javne dobrotvornosti. Gostoljublje, hebr. </w:t>
      </w:r>
      <w:r>
        <w:rPr>
          <w:rFonts w:ascii="Times New Roman" w:eastAsia="Times New Roman" w:hAnsi="Times New Roman" w:cs="Times New Roman"/>
          <w:i/>
          <w:iCs/>
          <w:color w:val="000000"/>
          <w:spacing w:val="0"/>
          <w:w w:val="100"/>
          <w:position w:val="0"/>
          <w:shd w:val="clear" w:color="auto" w:fill="auto"/>
          <w:lang w:val="hr-HR" w:eastAsia="hr-HR" w:bidi="hr-HR"/>
        </w:rPr>
        <w:t>hah- nasit orhim,</w:t>
      </w:r>
      <w:r>
        <w:rPr>
          <w:rFonts w:ascii="Times New Roman" w:eastAsia="Times New Roman" w:hAnsi="Times New Roman" w:cs="Times New Roman"/>
          <w:color w:val="000000"/>
          <w:spacing w:val="0"/>
          <w:w w:val="100"/>
          <w:position w:val="0"/>
          <w:shd w:val="clear" w:color="auto" w:fill="auto"/>
          <w:lang w:val="hr-HR" w:eastAsia="hr-HR" w:bidi="hr-HR"/>
        </w:rPr>
        <w:t xml:space="preserve"> ubraja se u glavne zadaće vjer</w:t>
        <w:softHyphen/>
        <w:t xml:space="preserve">nika, za koje mu je sigurna nagrada u ovom i u onom svijetu (Mišna peah 1,1 i Meditacije u jutarnjoj molitvi). U tu svrhu postojala su već u srednjem vijeku društva zajednice koja su bila odgovorna za svratište, </w:t>
      </w:r>
      <w:r>
        <w:rPr>
          <w:rFonts w:ascii="Times New Roman" w:eastAsia="Times New Roman" w:hAnsi="Times New Roman" w:cs="Times New Roman"/>
          <w:i/>
          <w:iCs/>
          <w:color w:val="000000"/>
          <w:spacing w:val="0"/>
          <w:w w:val="100"/>
          <w:position w:val="0"/>
          <w:shd w:val="clear" w:color="auto" w:fill="auto"/>
          <w:lang w:val="hr-HR" w:eastAsia="hr-HR" w:bidi="hr-HR"/>
        </w:rPr>
        <w:t>hekdei.</w:t>
      </w:r>
      <w:r>
        <w:rPr>
          <w:rFonts w:ascii="Times New Roman" w:eastAsia="Times New Roman" w:hAnsi="Times New Roman" w:cs="Times New Roman"/>
          <w:color w:val="000000"/>
          <w:spacing w:val="0"/>
          <w:w w:val="100"/>
          <w:position w:val="0"/>
          <w:shd w:val="clear" w:color="auto" w:fill="auto"/>
          <w:lang w:val="hr-HR" w:eastAsia="hr-HR" w:bidi="hr-HR"/>
        </w:rPr>
        <w:t xml:space="preserve"> Takva ko- načišta postojala su uglavnom u Europi. Osim toga, tradicionalno je propisano da se na sve</w:t>
        <w:softHyphen/>
        <w:t xml:space="preserve">čane obroke na šabat i na blagdane dovede kući iz sinagoge siromašna gosta i da mu se dade počasno mjesto. Pashalna večera uvodi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se </w:t>
      </w: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pozivom: »Neka dođe svatko gladan i jede s nama, neka nam se na našoj pashalnoj večeri priključi svaki siromah!«</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na talmudskoj visokoj školi njegovalo se gos- toljublje. Neki talmudski učitelji hranili su svo</w:t>
        <w:softHyphen/>
        <w:t>je učenike, tako i Raši u XI. stoljeću u Fran</w:t>
        <w:softHyphen/>
        <w:t>cuskoj. U Istočnoj Europi davala se učenicima besplatna hrana u obiteljima i u najsiromašni</w:t>
        <w:softHyphen/>
        <w:t>jim općinama. Na toj tradiciji temelji se i op</w:t>
        <w:softHyphen/>
        <w:t>sežno moderno odobravanje stipendija s osob</w:t>
        <w:softHyphen/>
        <w:t>nim učešćem, posebice ženskih društava u židovskim općinama. Još jedan izraz gosto- ljublja zajednički je obrok u prostorijama za</w:t>
        <w:softHyphen/>
        <w:t>jednice nakon bogoslužja, u kojima se stran</w:t>
        <w:softHyphen/>
        <w:t>cima zaželi srdačna dobrodošlica.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IJt.: M. </w:t>
      </w:r>
      <w:r>
        <w:rPr>
          <w:color w:val="000000"/>
          <w:spacing w:val="0"/>
          <w:w w:val="100"/>
          <w:position w:val="0"/>
          <w:shd w:val="clear" w:color="auto" w:fill="auto"/>
        </w:rPr>
        <w:t xml:space="preserve">Lazarus. </w:t>
      </w:r>
      <w:r>
        <w:rPr>
          <w:i/>
          <w:iCs/>
          <w:color w:val="000000"/>
          <w:spacing w:val="0"/>
          <w:w w:val="100"/>
          <w:position w:val="0"/>
          <w:shd w:val="clear" w:color="auto" w:fill="auto"/>
          <w:lang w:val="hr-HR" w:eastAsia="hr-HR" w:bidi="hr-HR"/>
        </w:rPr>
        <w:t xml:space="preserve">Eihik des Judentums, </w:t>
      </w:r>
      <w:r>
        <w:rPr>
          <w:i/>
          <w:iCs/>
          <w:color w:val="000000"/>
          <w:spacing w:val="0"/>
          <w:w w:val="100"/>
          <w:position w:val="0"/>
          <w:shd w:val="clear" w:color="auto" w:fill="auto"/>
        </w:rPr>
        <w:t xml:space="preserve">Rd. </w:t>
      </w:r>
      <w:r>
        <w:rPr>
          <w:i/>
          <w:iCs/>
          <w:color w:val="000000"/>
          <w:spacing w:val="0"/>
          <w:w w:val="100"/>
          <w:position w:val="0"/>
          <w:shd w:val="clear" w:color="auto" w:fill="auto"/>
          <w:lang w:val="hr-HR" w:eastAsia="hr-HR" w:bidi="hr-HR"/>
        </w:rPr>
        <w:t>1,</w:t>
      </w:r>
      <w:r>
        <w:rPr>
          <w:color w:val="000000"/>
          <w:spacing w:val="0"/>
          <w:w w:val="100"/>
          <w:position w:val="0"/>
          <w:shd w:val="clear" w:color="auto" w:fill="auto"/>
          <w:lang w:val="hr-HR" w:eastAsia="hr-HR" w:bidi="hr-HR"/>
        </w:rPr>
        <w:t xml:space="preserve"> 1898, 37; na</w:t>
        <w:softHyphen/>
        <w:t xml:space="preserve">tuknica Gastfreundschaft, u: </w:t>
      </w:r>
      <w:r>
        <w:rPr>
          <w:i/>
          <w:iCs/>
          <w:color w:val="000000"/>
          <w:spacing w:val="0"/>
          <w:w w:val="100"/>
          <w:position w:val="0"/>
          <w:shd w:val="clear" w:color="auto" w:fill="auto"/>
          <w:lang w:val="hr-HR" w:eastAsia="hr-HR" w:bidi="hr-HR"/>
        </w:rPr>
        <w:t xml:space="preserve">Judisches </w:t>
      </w:r>
      <w:r>
        <w:rPr>
          <w:i/>
          <w:iCs/>
          <w:color w:val="000000"/>
          <w:spacing w:val="0"/>
          <w:w w:val="100"/>
          <w:position w:val="0"/>
          <w:shd w:val="clear" w:color="auto" w:fill="auto"/>
        </w:rPr>
        <w:t xml:space="preserve">Ltxikon, </w:t>
      </w:r>
      <w:r>
        <w:rPr>
          <w:i/>
          <w:iCs/>
          <w:color w:val="000000"/>
          <w:spacing w:val="0"/>
          <w:w w:val="100"/>
          <w:position w:val="0"/>
          <w:shd w:val="clear" w:color="auto" w:fill="auto"/>
          <w:lang w:val="hr-HR" w:eastAsia="hr-HR" w:bidi="hr-HR"/>
        </w:rPr>
        <w:t>2.</w:t>
      </w:r>
      <w:r>
        <w:rPr>
          <w:color w:val="000000"/>
          <w:spacing w:val="0"/>
          <w:w w:val="100"/>
          <w:position w:val="0"/>
          <w:shd w:val="clear" w:color="auto" w:fill="auto"/>
          <w:lang w:val="hr-HR" w:eastAsia="hr-HR" w:bidi="hr-HR"/>
        </w:rPr>
        <w:t xml:space="preserve"> 37; na</w:t>
        <w:softHyphen/>
        <w:t xml:space="preserve">tuknica: </w:t>
      </w:r>
      <w:r>
        <w:rPr>
          <w:color w:val="000000"/>
          <w:spacing w:val="0"/>
          <w:w w:val="100"/>
          <w:position w:val="0"/>
          <w:shd w:val="clear" w:color="auto" w:fill="auto"/>
        </w:rPr>
        <w:t xml:space="preserve">Hospitably,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(1971), 8. Sp. 1030-33; C. G. Montcfiorc/H. </w:t>
      </w:r>
      <w:r>
        <w:rPr>
          <w:color w:val="000000"/>
          <w:spacing w:val="0"/>
          <w:w w:val="100"/>
          <w:position w:val="0"/>
          <w:shd w:val="clear" w:color="auto" w:fill="auto"/>
        </w:rPr>
        <w:t xml:space="preserve">Loewe, </w:t>
      </w:r>
      <w:r>
        <w:rPr>
          <w:i/>
          <w:iCs/>
          <w:color w:val="000000"/>
          <w:spacing w:val="0"/>
          <w:w w:val="100"/>
          <w:position w:val="0"/>
          <w:shd w:val="clear" w:color="auto" w:fill="auto"/>
        </w:rPr>
        <w:t>A Rabbinic Antho</w:t>
        <w:softHyphen/>
        <w:t>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18. pogl-, London 1939. pretisak </w:t>
      </w:r>
      <w:r>
        <w:rPr>
          <w:color w:val="000000"/>
          <w:spacing w:val="0"/>
          <w:w w:val="100"/>
          <w:position w:val="0"/>
          <w:shd w:val="clear" w:color="auto" w:fill="auto"/>
        </w:rPr>
        <w:t xml:space="preserve">New York </w:t>
      </w:r>
      <w:r>
        <w:rPr>
          <w:color w:val="000000"/>
          <w:spacing w:val="0"/>
          <w:w w:val="100"/>
          <w:position w:val="0"/>
          <w:shd w:val="clear" w:color="auto" w:fill="auto"/>
          <w:lang w:val="hr-HR" w:eastAsia="hr-HR" w:bidi="hr-HR"/>
        </w:rPr>
        <w:t>1973.</w:t>
      </w:r>
    </w:p>
    <w:p>
      <w:pPr>
        <w:pStyle w:val="Style74"/>
        <w:keepNext w:val="0"/>
        <w:keepLines w:val="0"/>
        <w:widowControl w:val="0"/>
        <w:shd w:val="clear" w:color="auto" w:fill="auto"/>
        <w:bidi w:val="0"/>
        <w:spacing w:before="0" w:after="260" w:line="286"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M M. </w:t>
      </w:r>
      <w:r>
        <w:rPr>
          <w:rFonts w:ascii="Times New Roman" w:eastAsia="Times New Roman" w:hAnsi="Times New Roman" w:cs="Times New Roman"/>
          <w:color w:val="000000"/>
          <w:spacing w:val="0"/>
          <w:w w:val="100"/>
          <w:position w:val="0"/>
          <w:shd w:val="clear" w:color="auto" w:fill="auto"/>
          <w:lang w:val="en-US" w:eastAsia="en-US" w:bidi="en-US"/>
        </w:rPr>
        <w:t>YDIT</w:t>
      </w:r>
    </w:p>
    <w:p>
      <w:pPr>
        <w:pStyle w:val="Style63"/>
        <w:keepNext/>
        <w:keepLines/>
        <w:widowControl w:val="0"/>
        <w:numPr>
          <w:ilvl w:val="0"/>
          <w:numId w:val="145"/>
        </w:numPr>
        <w:shd w:val="clear" w:color="auto" w:fill="auto"/>
        <w:tabs>
          <w:tab w:pos="260" w:val="left"/>
        </w:tabs>
        <w:bidi w:val="0"/>
        <w:spacing w:before="0" w:line="223" w:lineRule="auto"/>
        <w:ind w:left="0" w:right="0" w:firstLine="0"/>
        <w:jc w:val="both"/>
      </w:pPr>
      <w:bookmarkStart w:id="105" w:name="bookmark10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0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 predstavlja novi stupanj kulturološkog raz</w:t>
        <w:softHyphen/>
        <w:t>voja u ophođenju sa strancem. Stranac uživa posebnu božansku zaštitu čime se obuzdava agresivnost koju raspiruje njegova drugačijost. Taj stav koji se od početka susreće u židov- sko-kršćanskoj tradiciji ipak doživljava speci</w:t>
        <w:softHyphen/>
        <w:t>fično naglašavanje. Biblijsko gostoprimstvo je više nego gesta čovjekoljubivosti i ne može se svesti na djelo milosrđa. Sam Jahve javlja se Abrahamu u trojici stranaca (Post 18). Isuso</w:t>
        <w:softHyphen/>
        <w:t>vo naviještanje Božjega kraljevstva sažima se u djelima gostoprimstva pa tako objavljuje čo</w:t>
        <w:softHyphen/>
        <w:t>vjekoljubivoga Boga koji se sa strancima ne samo solidariz.ira (Izl) nego i potpuno identi</w:t>
        <w:softHyphen/>
        <w:t>ficira (Fil 2).</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Kada dopuštamo strančevu drugačijost, koja stavlja u pitanje naš vlastiti identitet, javlja se posebna šansa da iskusimo Boga, pa se tako otvara mogućnost za novo oslobađajuće me</w:t>
        <w:softHyphen/>
        <w:t>đusobno ophođenje. Stranac postaje realni simbol (sakrament) Boga. G. je stoga konsti</w:t>
        <w:softHyphen/>
        <w:t>tutivna dimenzija kršćanskog djelovanja, izraz širenja Božjega kraljevstva. To se najdosljed</w:t>
        <w:softHyphen/>
        <w:t>nije potvrđuje u potpori »najmanjemu« (Mt 2,5). U ranokršćanskim zajednicama ta du</w:t>
        <w:softHyphen/>
        <w:t>hovnost nade doživjela je svoj socijalni oblik. Budući da su se kršćani, nastavljajući tradiciju izlaska, shvaćali kao stranci (paroikia), osje</w:t>
        <w:softHyphen/>
        <w:t xml:space="preserve">ćali su se u sebi ojačani za životni stil koji na </w:t>
      </w:r>
      <w:r>
        <w:rPr>
          <w:rFonts w:ascii="Times New Roman" w:eastAsia="Times New Roman" w:hAnsi="Times New Roman" w:cs="Times New Roman"/>
          <w:color w:val="000000"/>
          <w:spacing w:val="0"/>
          <w:w w:val="100"/>
          <w:position w:val="0"/>
          <w:shd w:val="clear" w:color="auto" w:fill="auto"/>
          <w:lang w:val="hr-HR" w:eastAsia="hr-HR" w:bidi="hr-HR"/>
        </w:rPr>
        <w:t>poseban način vodi brigu o strancima pa otu</w:t>
        <w:softHyphen/>
        <w:t>da njegova privlačnost. Tako je uvedena kul</w:t>
        <w:softHyphen/>
        <w:t>tura gostoprimstva koja ima učinak i izvan kršćanstva, ali danas i u Crkvi i u društvu pri</w:t>
        <w:softHyphen/>
        <w:t>jeti osiromašenjem. Pozivanje na g. kao na misao vodilju za kršćanstvo i dušobrižničko djelovanje može nam pomoći da se suprotsta</w:t>
        <w:softHyphen/>
        <w:t>vimo razvojima koji u današnje vrijeme prijete međuljudskim odnosima.</w:t>
      </w:r>
    </w:p>
    <w:p>
      <w:pPr>
        <w:pStyle w:val="Style56"/>
        <w:keepNext w:val="0"/>
        <w:keepLines w:val="0"/>
        <w:widowControl w:val="0"/>
        <w:shd w:val="clear" w:color="auto" w:fill="auto"/>
        <w:bidi w:val="0"/>
        <w:spacing w:before="0" w:after="0" w:line="230" w:lineRule="auto"/>
        <w:ind w:left="0" w:right="0" w:firstLine="0"/>
        <w:jc w:val="both"/>
      </w:pPr>
      <w:r>
        <w:rPr>
          <w:color w:val="000000"/>
          <w:spacing w:val="0"/>
          <w:w w:val="100"/>
          <w:position w:val="0"/>
          <w:shd w:val="clear" w:color="auto" w:fill="auto"/>
          <w:lang w:val="hr-HR" w:eastAsia="hr-HR" w:bidi="hr-HR"/>
        </w:rPr>
        <w:t xml:space="preserve">Lit: R. ZcrfaB. Scclsorgc als Gastfrcunclscbaft, u: </w:t>
      </w:r>
      <w:r>
        <w:rPr>
          <w:i/>
          <w:iCs/>
          <w:color w:val="000000"/>
          <w:spacing w:val="0"/>
          <w:w w:val="100"/>
          <w:position w:val="0"/>
          <w:shd w:val="clear" w:color="auto" w:fill="auto"/>
          <w:lang w:val="hr-HR" w:eastAsia="hr-HR" w:bidi="hr-HR"/>
        </w:rPr>
        <w:t>Diakt&gt; ma</w:t>
      </w:r>
      <w:r>
        <w:rPr>
          <w:color w:val="000000"/>
          <w:spacing w:val="0"/>
          <w:w w:val="100"/>
          <w:position w:val="0"/>
          <w:shd w:val="clear" w:color="auto" w:fill="auto"/>
          <w:lang w:val="hr-HR" w:eastAsia="hr-HR" w:bidi="hr-HR"/>
        </w:rPr>
        <w:t xml:space="preserve"> 11 (1980). 293-305: </w:t>
      </w:r>
      <w:r>
        <w:rPr>
          <w:color w:val="000000"/>
          <w:spacing w:val="0"/>
          <w:w w:val="100"/>
          <w:position w:val="0"/>
          <w:shd w:val="clear" w:color="auto" w:fill="auto"/>
        </w:rPr>
        <w:t xml:space="preserve">J. Schreiner. Gastfrcundschaft </w:t>
      </w:r>
      <w:r>
        <w:rPr>
          <w:color w:val="000000"/>
          <w:spacing w:val="0"/>
          <w:w w:val="100"/>
          <w:position w:val="0"/>
          <w:shd w:val="clear" w:color="auto" w:fill="auto"/>
          <w:lang w:val="hr-HR" w:eastAsia="hr-HR" w:bidi="hr-HR"/>
        </w:rPr>
        <w:t>im Zcugnis dcr Bibcl. u: TIliZ 89 (1980), 50-60.</w:t>
      </w:r>
    </w:p>
    <w:p>
      <w:pPr>
        <w:pStyle w:val="Style74"/>
        <w:keepNext w:val="0"/>
        <w:keepLines w:val="0"/>
        <w:widowControl w:val="0"/>
        <w:shd w:val="clear" w:color="auto" w:fill="auto"/>
        <w:bidi w:val="0"/>
        <w:spacing w:before="0" w:after="200" w:line="185" w:lineRule="auto"/>
        <w:ind w:left="0" w:right="0" w:firstLine="0"/>
        <w:jc w:val="right"/>
      </w:pPr>
      <w:r>
        <w:rPr>
          <w:rFonts w:ascii="Times New Roman" w:eastAsia="Times New Roman" w:hAnsi="Times New Roman" w:cs="Times New Roman"/>
          <w:b w:val="0"/>
          <w:bCs w:val="0"/>
          <w:smallCaps/>
          <w:color w:val="000000"/>
          <w:spacing w:val="0"/>
          <w:w w:val="100"/>
          <w:position w:val="0"/>
          <w:sz w:val="15"/>
          <w:szCs w:val="15"/>
          <w:shd w:val="clear" w:color="auto" w:fill="auto"/>
          <w:lang w:val="hr-HR" w:eastAsia="hr-HR" w:bidi="hr-HR"/>
        </w:rPr>
        <w:t>n</w:t>
      </w:r>
      <w:r>
        <w:rPr>
          <w:rFonts w:ascii="Times New Roman" w:eastAsia="Times New Roman" w:hAnsi="Times New Roman" w:cs="Times New Roman"/>
          <w:color w:val="000000"/>
          <w:spacing w:val="0"/>
          <w:w w:val="100"/>
          <w:position w:val="0"/>
          <w:shd w:val="clear" w:color="auto" w:fill="auto"/>
          <w:lang w:val="hr-HR" w:eastAsia="hr-HR" w:bidi="hr-HR"/>
        </w:rPr>
        <w:t xml:space="preserve"> Mitrin</w:t>
      </w:r>
    </w:p>
    <w:p>
      <w:pPr>
        <w:pStyle w:val="Style63"/>
        <w:keepNext/>
        <w:keepLines/>
        <w:widowControl w:val="0"/>
        <w:numPr>
          <w:ilvl w:val="0"/>
          <w:numId w:val="145"/>
        </w:numPr>
        <w:shd w:val="clear" w:color="auto" w:fill="auto"/>
        <w:tabs>
          <w:tab w:pos="265" w:val="left"/>
        </w:tabs>
        <w:bidi w:val="0"/>
        <w:spacing w:before="0" w:after="80"/>
        <w:ind w:left="0" w:right="0" w:firstLine="0"/>
        <w:jc w:val="both"/>
      </w:pPr>
      <w:bookmarkStart w:id="106" w:name="bookmark106"/>
      <w:r>
        <w:rPr>
          <w:rFonts w:ascii="Times New Roman" w:eastAsia="Times New Roman" w:hAnsi="Times New Roman" w:cs="Times New Roman"/>
          <w:color w:val="000000"/>
          <w:spacing w:val="0"/>
          <w:w w:val="100"/>
          <w:position w:val="0"/>
          <w:shd w:val="clear" w:color="auto" w:fill="auto"/>
          <w:lang w:val="hr-HR" w:eastAsia="hr-HR" w:bidi="hr-HR"/>
        </w:rPr>
        <w:t>islamski</w:t>
      </w:r>
      <w:bookmarkEnd w:id="10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mnogim stihovima Kurana i u predajama muslimanima se preporuča g. Strani se putnik raduje naročitoj društvenoj i etičkoj pozornos</w:t>
        <w:softHyphen/>
        <w:t xml:space="preserve">ti. Za njega se može ubirati godišnji socijalni porez </w:t>
      </w:r>
      <w:r>
        <w:rPr>
          <w:rFonts w:ascii="Times New Roman" w:eastAsia="Times New Roman" w:hAnsi="Times New Roman" w:cs="Times New Roman"/>
          <w:i/>
          <w:iCs/>
          <w:color w:val="000000"/>
          <w:spacing w:val="0"/>
          <w:w w:val="100"/>
          <w:position w:val="0"/>
          <w:shd w:val="clear" w:color="auto" w:fill="auto"/>
          <w:lang w:val="hr-HR" w:eastAsia="hr-HR" w:bidi="hr-HR"/>
        </w:rPr>
        <w:t>(zekat).</w:t>
      </w:r>
      <w:r>
        <w:rPr>
          <w:rFonts w:ascii="Times New Roman" w:eastAsia="Times New Roman" w:hAnsi="Times New Roman" w:cs="Times New Roman"/>
          <w:color w:val="000000"/>
          <w:spacing w:val="0"/>
          <w:w w:val="100"/>
          <w:position w:val="0"/>
          <w:shd w:val="clear" w:color="auto" w:fill="auto"/>
          <w:lang w:val="hr-HR" w:eastAsia="hr-HR" w:bidi="hr-HR"/>
        </w:rPr>
        <w:t xml:space="preserve"> Kao što je poznato, on iznosi 2,5% trgovinskog obrta ili vrijednosti dragocje</w:t>
        <w:softHyphen/>
        <w:t>nosti zatečenih u vlasništvu. Sukladno tradiciji g. je zajamčeno potpuno besplatno u trajanju od tri dana. Tako su ranije u muslimanskim zemljama postojala prenoćišta, u kojima je svaki stranac - bez obzira na vjeru ili naciju - mogao tri dana dobiti besplatno smještaj i skrb, a da ga nitko čak ne pita ni za njegovo ime.</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Pružanje azila također je važna religiozna dužnost. Ona je obrazložena u Kuranu: »Ako netko od pogana zatraži od tebe utočište </w:t>
      </w:r>
      <w:r>
        <w:rPr>
          <w:rFonts w:ascii="Times New Roman" w:eastAsia="Times New Roman" w:hAnsi="Times New Roman" w:cs="Times New Roman"/>
          <w:i/>
          <w:iCs/>
          <w:color w:val="000000"/>
          <w:spacing w:val="0"/>
          <w:w w:val="100"/>
          <w:position w:val="0"/>
          <w:shd w:val="clear" w:color="auto" w:fill="auto"/>
          <w:lang w:val="hr-HR" w:eastAsia="hr-HR" w:bidi="hr-HR"/>
        </w:rPr>
        <w:t>(zaš</w:t>
        <w:softHyphen/>
        <w:t>titu),</w:t>
      </w:r>
      <w:r>
        <w:rPr>
          <w:rFonts w:ascii="Times New Roman" w:eastAsia="Times New Roman" w:hAnsi="Times New Roman" w:cs="Times New Roman"/>
          <w:color w:val="000000"/>
          <w:spacing w:val="0"/>
          <w:w w:val="100"/>
          <w:position w:val="0"/>
          <w:shd w:val="clear" w:color="auto" w:fill="auto"/>
          <w:lang w:val="hr-HR" w:eastAsia="hr-HR" w:bidi="hr-HR"/>
        </w:rPr>
        <w:t xml:space="preserve"> ti mu </w:t>
      </w:r>
      <w:r>
        <w:rPr>
          <w:rFonts w:ascii="Times New Roman" w:eastAsia="Times New Roman" w:hAnsi="Times New Roman" w:cs="Times New Roman"/>
          <w:i/>
          <w:iCs/>
          <w:color w:val="000000"/>
          <w:spacing w:val="0"/>
          <w:w w:val="100"/>
          <w:position w:val="0"/>
          <w:shd w:val="clear" w:color="auto" w:fill="auto"/>
          <w:lang w:val="hr-HR" w:eastAsia="hr-HR" w:bidi="hr-HR"/>
        </w:rPr>
        <w:t>(ga)</w:t>
      </w:r>
      <w:r>
        <w:rPr>
          <w:rFonts w:ascii="Times New Roman" w:eastAsia="Times New Roman" w:hAnsi="Times New Roman" w:cs="Times New Roman"/>
          <w:color w:val="000000"/>
          <w:spacing w:val="0"/>
          <w:w w:val="100"/>
          <w:position w:val="0"/>
          <w:shd w:val="clear" w:color="auto" w:fill="auto"/>
          <w:lang w:val="hr-HR" w:eastAsia="hr-HR" w:bidi="hr-HR"/>
        </w:rPr>
        <w:t xml:space="preserve"> podaj..., zatim ga opremi na njegovo sigurno mjesto« (9,7). Islamska povi</w:t>
        <w:softHyphen/>
        <w:t>jest sadrži veliki broj dojmljivih primjera tak</w:t>
        <w:softHyphen/>
        <w:t>voga pružanja azila - kao npr. španjolskim Židovima ili Mađarima nakon Rakćczijevih ustanaka (1703-1730).</w:t>
      </w:r>
    </w:p>
    <w:p>
      <w:pPr>
        <w:pStyle w:val="Style56"/>
        <w:keepNext w:val="0"/>
        <w:keepLines w:val="0"/>
        <w:widowControl w:val="0"/>
        <w:shd w:val="clear" w:color="auto" w:fill="auto"/>
        <w:tabs>
          <w:tab w:pos="2549" w:val="left"/>
        </w:tabs>
        <w:bidi w:val="0"/>
        <w:spacing w:before="0" w:after="400" w:line="240" w:lineRule="auto"/>
        <w:ind w:left="0" w:right="0" w:firstLine="0"/>
        <w:jc w:val="both"/>
      </w:pPr>
      <w:r>
        <w:rPr>
          <w:color w:val="000000"/>
          <w:spacing w:val="0"/>
          <w:w w:val="100"/>
          <w:position w:val="0"/>
          <w:shd w:val="clear" w:color="auto" w:fill="auto"/>
        </w:rPr>
        <w:t xml:space="preserve">Lit.: Muhammad </w:t>
      </w:r>
      <w:r>
        <w:rPr>
          <w:color w:val="000000"/>
          <w:spacing w:val="0"/>
          <w:w w:val="100"/>
          <w:position w:val="0"/>
          <w:shd w:val="clear" w:color="auto" w:fill="auto"/>
          <w:lang w:val="hr-HR" w:eastAsia="hr-HR" w:bidi="hr-HR"/>
        </w:rPr>
        <w:t xml:space="preserve">Hamidullah. </w:t>
      </w:r>
      <w:r>
        <w:rPr>
          <w:i/>
          <w:iCs/>
          <w:color w:val="000000"/>
          <w:spacing w:val="0"/>
          <w:w w:val="100"/>
          <w:position w:val="0"/>
          <w:shd w:val="clear" w:color="auto" w:fill="auto"/>
          <w:lang w:val="hr-HR" w:eastAsia="hr-HR" w:bidi="hr-HR"/>
        </w:rPr>
        <w:t>Der Jslam,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Salmiyah-Kuwait </w:t>
      </w:r>
      <w:r>
        <w:rPr>
          <w:color w:val="000000"/>
          <w:spacing w:val="0"/>
          <w:w w:val="100"/>
          <w:position w:val="0"/>
          <w:shd w:val="clear" w:color="auto" w:fill="auto"/>
          <w:lang w:val="hr-HR" w:eastAsia="hr-HR" w:bidi="hr-HR"/>
        </w:rPr>
        <w:t>1973.</w:t>
        <w:tab/>
        <w:t>S. BA1JĆ</w:t>
      </w:r>
    </w:p>
    <w:p>
      <w:pPr>
        <w:pStyle w:val="Style33"/>
        <w:keepNext w:val="0"/>
        <w:keepLines w:val="0"/>
        <w:widowControl w:val="0"/>
        <w:shd w:val="clear" w:color="auto" w:fill="auto"/>
        <w:bidi w:val="0"/>
        <w:spacing w:before="0" w:after="160" w:line="22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GRIJEH</w:t>
      </w:r>
    </w:p>
    <w:p>
      <w:pPr>
        <w:pStyle w:val="Style63"/>
        <w:keepNext/>
        <w:keepLines/>
        <w:widowControl w:val="0"/>
        <w:numPr>
          <w:ilvl w:val="0"/>
          <w:numId w:val="147"/>
        </w:numPr>
        <w:shd w:val="clear" w:color="auto" w:fill="auto"/>
        <w:tabs>
          <w:tab w:pos="246" w:val="left"/>
        </w:tabs>
        <w:bidi w:val="0"/>
        <w:spacing w:before="0" w:after="80" w:line="226" w:lineRule="auto"/>
        <w:ind w:left="0" w:right="0" w:firstLine="0"/>
        <w:jc w:val="both"/>
      </w:pPr>
      <w:bookmarkStart w:id="107" w:name="bookmark107"/>
      <w:r>
        <w:rPr>
          <w:rFonts w:ascii="Times New Roman" w:eastAsia="Times New Roman" w:hAnsi="Times New Roman" w:cs="Times New Roman"/>
          <w:color w:val="000000"/>
          <w:spacing w:val="0"/>
          <w:w w:val="100"/>
          <w:position w:val="0"/>
          <w:shd w:val="clear" w:color="auto" w:fill="auto"/>
          <w:lang w:val="hr-HR" w:eastAsia="hr-HR" w:bidi="hr-HR"/>
        </w:rPr>
        <w:t>židovski</w:t>
      </w:r>
      <w:bookmarkEnd w:id="107"/>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Terminologija hebrejske Biblije otkriva podri</w:t>
        <w:softHyphen/>
        <w:t>jetlo grijeha u neposluhu i pobuni čovjeka, a čin grijeha kao razaranje uzajamnih odnosa. Biblija manje osvjetljava ljudsku grešnost, sla</w:t>
        <w:softHyphen/>
        <w:t xml:space="preserve">bost (Izr 20,9;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4,17 i d.; 25,4 i d.). a više ljude koji griješe: oni su »promašili put« (Suci 20,16; Izr 8,36) ako je »prijestup« protiv Boga </w:t>
      </w:r>
      <w:r>
        <w:rPr>
          <w:rFonts w:ascii="Times New Roman" w:eastAsia="Times New Roman" w:hAnsi="Times New Roman" w:cs="Times New Roman"/>
          <w:color w:val="000000"/>
          <w:spacing w:val="0"/>
          <w:w w:val="100"/>
          <w:position w:val="0"/>
          <w:shd w:val="clear" w:color="auto" w:fill="auto"/>
          <w:lang w:val="hr-HR" w:eastAsia="hr-HR" w:bidi="hr-HR"/>
        </w:rPr>
        <w:t>(Suci 10,10; 2 Sam 12,13; 1 Kr 8,33.35; Ps 41,5; 51,6) ilisučovjeka (Post 20,9; Suci 11,27); oni svojim otporom (Izl 22,8), svojom »pobu</w:t>
        <w:softHyphen/>
        <w:t>nom« prekidaju odnos (Iz 1,2; 1 Kr 12,9; Hoš 8,1) ili »kvare, iskrivljuju« odnos (2 Sam 7,14; 19,20; 24,17), pa g. ovdje treba shvatiti kao »iskrivljenost, pokvarenost, izvrtanje« (1 Kr 17,18; Iz 30,13; Jr 13,22; Hoš 5,5; Ps 32,2.5). Grijehu u povijesti Božjega naroda uvijek prethodi dobro što ga je Izrael iskusio od svo</w:t>
        <w:softHyphen/>
        <w:t>jega Boga i Izraelovo »da« Bogu: »Sve što je ON rekao, izvršit ćemo i poslušat ćemo!« (Izl 24,7; usp. Izl 19,8); »Daleko je od nas da osta</w:t>
        <w:softHyphen/>
        <w:t>vimo NJEGA a služimo drugim bogovima! ON, Bog naš, izveo je nas i naše oce iz Egipta, iz kuće ropstva, i ON je pred našim očima učinio velika čudesa i čuvao nas cijelim putem kojim smo išli i među svim narodima...I mi ćemo služiti NJEMU, jer je on Bog naš« (Jš 24,16-18). U tom kontekstu često rabljeni gla</w:t>
        <w:softHyphen/>
        <w:t>gol »zaboraviti« dobiva težinu (Iz 17,10; Jr 2,32; 3,21; 13,25; 18,15; 23,27; Ez 22,12; 23,35; Hoš 2,15; 4,6; 8,14; 13,6). Izraelovi prijestupi, koji opravdavaju proročku optužbu, pokazuju osobitost tc dijaloške povijesti djelovanja Bo</w:t>
        <w:softHyphen/>
        <w:t>ga i njegova naroda. Posebnost je u Tori (uputi, zakonu) koju je Bog dao Izraelu i ko</w:t>
        <w:softHyphen/>
        <w:t>jom mu je zapovijedio da pode posebnim putem. Mnoge opomene, izražene glagolima »sjetiti se« i »držati«, trebaju podsjetiti Izrael na to da je njegov neposluh g. koji ga odvaja od Boga: »Sjeti se što je ON, Bog tvoj, učinio« (Pnz 7,18); »Sjeti se NJEGA, Boga svoga, jer on ti je dao snagu« (8,18); »Sjeti se i ne zabo</w:t>
        <w:softHyphen/>
        <w:t>ravljaj« (9,7); »...drži njegove zakone i nje</w:t>
        <w:softHyphen/>
        <w:t>gove zapovijedi« (4,40), »Drži ih i vrši« (6,3); «... držite ih i vršite kako vam je zapovjedio ON« (5,29). Rabini su kao i Biblija malo pre</w:t>
        <w:softHyphen/>
        <w:t>šućivali ljudske prijestupe. Oni su smatrali da je čovjek još veoma daleko od svojega cilja i da ga je lako zavesti u g. No, kako je za svaki g. krivnja na čovjeku koji sc okrenuo od Boga (Izr 5,22; Br 32,23; Pnz 9,16.18.21; Jr 40,3; 44,23; Hoš 10,9), ni oni nisu shvatili g. kao neumitnu sudbinu čovjeka, već kao kaznu za ljudski postupak: »No, kad bi rekao: Zašto je Sveti, hvaljen bio, stvorio zli nagon, o kojem se kaže: ‘...čovječje su misli opake od njegova početka’ (Post 8,21) - i tko ga može pretvoriti u dobar? Sveti, hvaljen bio, na to kaže: Ti ga sam činiš zlim. Kako? Bio si dijete i nisi gri</w:t>
        <w:softHyphen/>
      </w:r>
      <w:r>
        <w:rPr>
          <w:rFonts w:ascii="Times New Roman" w:eastAsia="Times New Roman" w:hAnsi="Times New Roman" w:cs="Times New Roman"/>
          <w:color w:val="000000"/>
          <w:spacing w:val="0"/>
          <w:w w:val="100"/>
          <w:position w:val="0"/>
          <w:shd w:val="clear" w:color="auto" w:fill="auto"/>
          <w:lang w:val="hr-HR" w:eastAsia="hr-HR" w:bidi="hr-HR"/>
        </w:rPr>
        <w:t>ješio, narastao si i griješiš« (Avot Rabi Natana, pogl. 17; Tanhuma uz Post 8,21). Samo čo</w:t>
        <w:softHyphen/>
        <w:t>vjek, koji može biti za i protiv Boga, stvara g. i time postaje vlastiti objekt: »Požuri i prema malom djelu (vršenju zapovijedi) i bježi od prijestupa, jer dobro djelo (vršenje zapovije</w:t>
        <w:softHyphen/>
        <w:t>di) vuče za sobom drugo, a jedan prijestup vuče za sobom drugi, jer plača za dobro djelo je dobro djelo, a plaća za prijestup je prijes</w:t>
        <w:softHyphen/>
        <w:t>tup« (M Avot IV,2). Čovjek ostaje odgovoran za g.: »U kome je strah od grijeha prije nje</w:t>
        <w:softHyphen/>
        <w:t>gove mudrosti, njegova je mudrost ustrajna, no u kome je mudrost prije njegova straha od grijeha, njegova mudrost nije ustrajna« (M Avot III, 10). Mudraci su svojem narodu po</w:t>
        <w:softHyphen/>
        <w:t>kazali izvor snage kojom ljudi mogu svladati sklonost prema grijehu: »Ako se oni bave Torom i dobrim djelima, njihov je nagon u njihovoj vlasti, a ne oni u vlasti svojega na</w:t>
        <w:softHyphen/>
        <w:t xml:space="preserve">gona«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5b). I premda hagadska predaja katkada personificira »zli nagon« </w:t>
      </w:r>
      <w:r>
        <w:rPr>
          <w:rFonts w:ascii="Times New Roman" w:eastAsia="Times New Roman" w:hAnsi="Times New Roman" w:cs="Times New Roman"/>
          <w:i/>
          <w:iCs/>
          <w:color w:val="000000"/>
          <w:spacing w:val="0"/>
          <w:w w:val="100"/>
          <w:position w:val="0"/>
          <w:shd w:val="clear" w:color="auto" w:fill="auto"/>
          <w:lang w:val="hr-HR" w:eastAsia="hr-HR" w:bidi="hr-HR"/>
        </w:rPr>
        <w:t>(je- cer ha-ra)</w:t>
      </w:r>
      <w:r>
        <w:rPr>
          <w:rFonts w:ascii="Times New Roman" w:eastAsia="Times New Roman" w:hAnsi="Times New Roman" w:cs="Times New Roman"/>
          <w:color w:val="000000"/>
          <w:spacing w:val="0"/>
          <w:w w:val="100"/>
          <w:position w:val="0"/>
          <w:shd w:val="clear" w:color="auto" w:fill="auto"/>
          <w:lang w:val="hr-HR" w:eastAsia="hr-HR" w:bidi="hr-HR"/>
        </w:rPr>
        <w:t xml:space="preserve"> i izjednačava ga sa »Satanom« i »anđelom smrti« (b Bava batra 16a) i govori kako mu je kraj u mesijanskoj vladavini Božjoj (b Suka 52a), mudraci ga ipak češće nazivaju otrovom protiv kojega Tora uvijek ima spremno odgovarajuće sredstvo (b Kidu- šin 30b; Šabat 146a) i suprotstavljaju mu »do</w:t>
        <w:softHyphen/>
        <w:t xml:space="preserve">bri nagon« </w:t>
      </w:r>
      <w:r>
        <w:rPr>
          <w:rFonts w:ascii="Times New Roman" w:eastAsia="Times New Roman" w:hAnsi="Times New Roman" w:cs="Times New Roman"/>
          <w:i/>
          <w:iCs/>
          <w:color w:val="000000"/>
          <w:spacing w:val="0"/>
          <w:w w:val="100"/>
          <w:position w:val="0"/>
          <w:shd w:val="clear" w:color="auto" w:fill="auto"/>
          <w:lang w:val="hr-HR" w:eastAsia="hr-HR" w:bidi="hr-HR"/>
        </w:rPr>
        <w:t>(jecer ha-lov)</w:t>
      </w:r>
      <w:r>
        <w:rPr>
          <w:rFonts w:ascii="Times New Roman" w:eastAsia="Times New Roman" w:hAnsi="Times New Roman" w:cs="Times New Roman"/>
          <w:color w:val="000000"/>
          <w:spacing w:val="0"/>
          <w:w w:val="100"/>
          <w:position w:val="0"/>
          <w:shd w:val="clear" w:color="auto" w:fill="auto"/>
          <w:lang w:val="hr-HR" w:eastAsia="hr-HR" w:bidi="hr-HR"/>
        </w:rPr>
        <w:t xml:space="preserve"> kako bi naglasili čo</w:t>
        <w:softHyphen/>
        <w:t>vjekovu slobodu volje da ga prihvati (b Bera- hot 61a; Bercšit raba XIV,2,7; Kohclet raba 111,11). Podučavali su kako čovjek može uklo</w:t>
        <w:softHyphen/>
        <w:t xml:space="preserve">niti pregradu koju je podigao između sebe i Boga svojim grijehom: »Bolje jedan sat u obraćenju </w:t>
      </w:r>
      <w:r>
        <w:rPr>
          <w:rFonts w:ascii="Times New Roman" w:eastAsia="Times New Roman" w:hAnsi="Times New Roman" w:cs="Times New Roman"/>
          <w:i/>
          <w:iCs/>
          <w:color w:val="000000"/>
          <w:spacing w:val="0"/>
          <w:w w:val="100"/>
          <w:position w:val="0"/>
          <w:shd w:val="clear" w:color="auto" w:fill="auto"/>
          <w:lang w:val="hr-HR" w:eastAsia="hr-HR" w:bidi="hr-HR"/>
        </w:rPr>
        <w:t>(tešuva,</w:t>
      </w:r>
      <w:r>
        <w:rPr>
          <w:rFonts w:ascii="Times New Roman" w:eastAsia="Times New Roman" w:hAnsi="Times New Roman" w:cs="Times New Roman"/>
          <w:color w:val="000000"/>
          <w:spacing w:val="0"/>
          <w:w w:val="100"/>
          <w:position w:val="0"/>
          <w:shd w:val="clear" w:color="auto" w:fill="auto"/>
          <w:lang w:val="hr-HR" w:eastAsia="hr-HR" w:bidi="hr-HR"/>
        </w:rPr>
        <w:t xml:space="preserve"> tj. povratku Bogu) i dobrim djelima u ovom svijetu nego sav život u bu</w:t>
        <w:softHyphen/>
        <w:t>dućem svijetu« (M Avot IV,17); »Obrati sc je</w:t>
        <w:softHyphen/>
        <w:t xml:space="preserve">dan dan prije svoje smrti«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11,10), tj. čo</w:t>
        <w:softHyphen/>
        <w:t xml:space="preserve">vjek sc »mora obratiti danas, sutra će možda umrijeti« (b Šabat 153a). Rabinsko židovstvo svaki g. naziva »kršenjem« </w:t>
      </w:r>
      <w:r>
        <w:rPr>
          <w:rFonts w:ascii="Times New Roman" w:eastAsia="Times New Roman" w:hAnsi="Times New Roman" w:cs="Times New Roman"/>
          <w:i/>
          <w:iCs/>
          <w:color w:val="000000"/>
          <w:spacing w:val="0"/>
          <w:w w:val="100"/>
          <w:position w:val="0"/>
          <w:shd w:val="clear" w:color="auto" w:fill="auto"/>
          <w:lang w:val="hr-HR" w:eastAsia="hr-HR" w:bidi="hr-HR"/>
        </w:rPr>
        <w:t>(avera)</w:t>
      </w:r>
      <w:r>
        <w:rPr>
          <w:rFonts w:ascii="Times New Roman" w:eastAsia="Times New Roman" w:hAnsi="Times New Roman" w:cs="Times New Roman"/>
          <w:color w:val="000000"/>
          <w:spacing w:val="0"/>
          <w:w w:val="100"/>
          <w:position w:val="0"/>
          <w:shd w:val="clear" w:color="auto" w:fill="auto"/>
          <w:lang w:val="hr-HR" w:eastAsia="hr-HR" w:bidi="hr-HR"/>
        </w:rPr>
        <w:t xml:space="preserve"> Božje od</w:t>
        <w:softHyphen/>
        <w:t xml:space="preserve">redbe i razlikuje prekršaj zabludom i namjerni prekršaj (M Joma VIII,8,9; b Eruvin 100a; M </w:t>
      </w:r>
      <w:r>
        <w:rPr>
          <w:rFonts w:ascii="Times New Roman" w:eastAsia="Times New Roman" w:hAnsi="Times New Roman" w:cs="Times New Roman"/>
          <w:color w:val="000000"/>
          <w:spacing w:val="0"/>
          <w:w w:val="100"/>
          <w:position w:val="0"/>
          <w:shd w:val="clear" w:color="auto" w:fill="auto"/>
          <w:lang w:val="en-US" w:eastAsia="en-US" w:bidi="en-US"/>
        </w:rPr>
        <w:t xml:space="preserve">Ketubot </w:t>
      </w:r>
      <w:r>
        <w:rPr>
          <w:rFonts w:ascii="Times New Roman" w:eastAsia="Times New Roman" w:hAnsi="Times New Roman" w:cs="Times New Roman"/>
          <w:color w:val="000000"/>
          <w:spacing w:val="0"/>
          <w:w w:val="100"/>
          <w:position w:val="0"/>
          <w:shd w:val="clear" w:color="auto" w:fill="auto"/>
          <w:lang w:val="hr-HR" w:eastAsia="hr-HR" w:bidi="hr-HR"/>
        </w:rPr>
        <w:t xml:space="preserve">VII,6). Pritom se starom načelu o </w:t>
      </w:r>
      <w:r>
        <w:rPr>
          <w:rFonts w:ascii="Times New Roman" w:eastAsia="Times New Roman" w:hAnsi="Times New Roman" w:cs="Times New Roman"/>
          <w:i/>
          <w:iCs/>
          <w:color w:val="000000"/>
          <w:spacing w:val="0"/>
          <w:w w:val="100"/>
          <w:position w:val="0"/>
          <w:shd w:val="clear" w:color="auto" w:fill="auto"/>
          <w:lang w:val="hr-HR" w:eastAsia="hr-HR" w:bidi="hr-HR"/>
        </w:rPr>
        <w:t>solidarnom jamstvu (arevut)</w:t>
      </w:r>
      <w:r>
        <w:rPr>
          <w:rFonts w:ascii="Times New Roman" w:eastAsia="Times New Roman" w:hAnsi="Times New Roman" w:cs="Times New Roman"/>
          <w:color w:val="000000"/>
          <w:spacing w:val="0"/>
          <w:w w:val="100"/>
          <w:position w:val="0"/>
          <w:shd w:val="clear" w:color="auto" w:fill="auto"/>
          <w:lang w:val="hr-HR" w:eastAsia="hr-HR" w:bidi="hr-HR"/>
        </w:rPr>
        <w:t xml:space="preserve"> pridružuje znače</w:t>
        <w:softHyphen/>
        <w:t>nje: »Svi Izraelci jamče jedan za drugoga« (Ši</w:t>
        <w:softHyphen/>
        <w:t xml:space="preserve">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26,37; usp.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 Savuot 39a; Roš ha-šana 29a; Šir ha-širim 1,3; Jalkut Izr 6,1); naime, za »prijestup« pojedinca od</w:t>
        <w:softHyphen/>
        <w:t xml:space="preserve">govorna je i cjelina. Stoga priznanje grijeha na Dan pomirenja glasi: »Mi smo griješili« </w:t>
      </w:r>
      <w:r>
        <w:rPr>
          <w:rFonts w:ascii="Times New Roman" w:eastAsia="Times New Roman" w:hAnsi="Times New Roman" w:cs="Times New Roman"/>
          <w:i/>
          <w:iCs/>
          <w:color w:val="000000"/>
          <w:spacing w:val="0"/>
          <w:w w:val="100"/>
          <w:position w:val="0"/>
          <w:shd w:val="clear" w:color="auto" w:fill="auto"/>
          <w:lang w:val="hr-HR" w:eastAsia="hr-HR" w:bidi="hr-HR"/>
        </w:rPr>
        <w:t>(ašam- nu).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srednjovjekovna i novija židovska literatura suprotstavlja grijehu, kao djelu za koje čovjek treba odgovarati, mogućnost obraćenja. Citi</w:t>
        <w:softHyphen/>
        <w:t>raju se dva glasa koja zamjenjuju mnoge: »Čovjek koji... uvijek sebi predočava težinu svoje krivnje i grijeha...; neprekidno zbog to</w:t>
        <w:softHyphen/>
        <w:t>ga osjeća kajanje i cijeloga života... moli za oproštenje, njega će Stvoritelj smatrati dostoj</w:t>
        <w:softHyphen/>
        <w:t xml:space="preserve">nim da bude spašen« (Bahja ibn Pakuda, </w:t>
      </w:r>
      <w:r>
        <w:rPr>
          <w:rFonts w:ascii="Times New Roman" w:eastAsia="Times New Roman" w:hAnsi="Times New Roman" w:cs="Times New Roman"/>
          <w:color w:val="000000"/>
          <w:spacing w:val="0"/>
          <w:w w:val="100"/>
          <w:position w:val="0"/>
          <w:shd w:val="clear" w:color="auto" w:fill="auto"/>
          <w:lang w:val="en-US" w:eastAsia="en-US" w:bidi="en-US"/>
        </w:rPr>
        <w:t xml:space="preserve">XI./XII.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w:t>
      </w:r>
      <w:r>
        <w:rPr>
          <w:rFonts w:ascii="Times New Roman" w:eastAsia="Times New Roman" w:hAnsi="Times New Roman" w:cs="Times New Roman"/>
          <w:i/>
          <w:iCs/>
          <w:color w:val="000000"/>
          <w:spacing w:val="0"/>
          <w:w w:val="100"/>
          <w:position w:val="0"/>
          <w:shd w:val="clear" w:color="auto" w:fill="auto"/>
          <w:lang w:val="en-US" w:eastAsia="en-US" w:bidi="en-US"/>
        </w:rPr>
        <w:t xml:space="preserve">Hovot </w:t>
      </w:r>
      <w:r>
        <w:rPr>
          <w:rFonts w:ascii="Times New Roman" w:eastAsia="Times New Roman" w:hAnsi="Times New Roman" w:cs="Times New Roman"/>
          <w:i/>
          <w:iCs/>
          <w:color w:val="000000"/>
          <w:spacing w:val="0"/>
          <w:w w:val="100"/>
          <w:position w:val="0"/>
          <w:shd w:val="clear" w:color="auto" w:fill="auto"/>
          <w:lang w:val="hr-HR" w:eastAsia="hr-HR" w:bidi="hr-HR"/>
        </w:rPr>
        <w:t>ha-levavot</w:t>
      </w:r>
      <w:r>
        <w:rPr>
          <w:rFonts w:ascii="Times New Roman" w:eastAsia="Times New Roman" w:hAnsi="Times New Roman" w:cs="Times New Roman"/>
          <w:color w:val="000000"/>
          <w:spacing w:val="0"/>
          <w:w w:val="100"/>
          <w:position w:val="0"/>
          <w:shd w:val="clear" w:color="auto" w:fill="auto"/>
          <w:lang w:val="hr-HR" w:eastAsia="hr-HR" w:bidi="hr-HR"/>
        </w:rPr>
        <w:t xml:space="preserve"> VII,2). »Ži</w:t>
        <w:softHyphen/>
        <w:t>dovstvo ne zna otkupiti samo od smrti, nego i od grijeha! Potrebno je da grešnik... samo je</w:t>
        <w:softHyphen/>
        <w:t>danput kako treba i ozbiljno ... htjedne otres</w:t>
        <w:softHyphen/>
        <w:t xml:space="preserve">ti okove grijeha - Bog će mu bili bliže, poći mu u susret pola puta, pomoći mu da pobijedi u sebi neprijatelja, i on je u svakom trenutku spreman i najstarijeg grešnika... prihvatiti s ljubavlju« (S. R. Hirsch, </w:t>
      </w:r>
      <w:r>
        <w:rPr>
          <w:rFonts w:ascii="Times New Roman" w:eastAsia="Times New Roman" w:hAnsi="Times New Roman" w:cs="Times New Roman"/>
          <w:i/>
          <w:iCs/>
          <w:color w:val="000000"/>
          <w:spacing w:val="0"/>
          <w:w w:val="100"/>
          <w:position w:val="0"/>
          <w:shd w:val="clear" w:color="auto" w:fill="auto"/>
          <w:lang w:val="hr-HR" w:eastAsia="hr-HR" w:bidi="hr-HR"/>
        </w:rPr>
        <w:t>Gesammelte Schriften</w:t>
      </w:r>
    </w:p>
    <w:p>
      <w:pPr>
        <w:pStyle w:val="Style20"/>
        <w:keepNext w:val="0"/>
        <w:keepLines w:val="0"/>
        <w:widowControl w:val="0"/>
        <w:numPr>
          <w:ilvl w:val="0"/>
          <w:numId w:val="149"/>
        </w:numPr>
        <w:shd w:val="clear" w:color="auto" w:fill="auto"/>
        <w:tabs>
          <w:tab w:pos="226"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1902, 477).</w:t>
      </w:r>
    </w:p>
    <w:p>
      <w:pPr>
        <w:pStyle w:val="Style56"/>
        <w:keepNext w:val="0"/>
        <w:keepLines w:val="0"/>
        <w:widowControl w:val="0"/>
        <w:shd w:val="clear" w:color="auto" w:fill="auto"/>
        <w:tabs>
          <w:tab w:pos="2458" w:val="left"/>
        </w:tabs>
        <w:bidi w:val="0"/>
        <w:spacing w:before="0" w:after="200" w:line="230" w:lineRule="auto"/>
        <w:ind w:left="0" w:right="0" w:firstLine="0"/>
        <w:jc w:val="both"/>
      </w:pPr>
      <w:r>
        <w:rPr>
          <w:color w:val="000000"/>
          <w:spacing w:val="0"/>
          <w:w w:val="100"/>
          <w:position w:val="0"/>
          <w:shd w:val="clear" w:color="auto" w:fill="auto"/>
          <w:lang w:val="hr-HR" w:eastAsia="hr-HR" w:bidi="hr-HR"/>
        </w:rPr>
        <w:t xml:space="preserve">Lit.: E. E. </w:t>
      </w:r>
      <w:r>
        <w:rPr>
          <w:color w:val="000000"/>
          <w:spacing w:val="0"/>
          <w:w w:val="100"/>
          <w:position w:val="0"/>
          <w:shd w:val="clear" w:color="auto" w:fill="auto"/>
        </w:rPr>
        <w:t xml:space="preserve">Urbach. </w:t>
      </w:r>
      <w:r>
        <w:rPr>
          <w:i/>
          <w:iCs/>
          <w:color w:val="000000"/>
          <w:spacing w:val="0"/>
          <w:w w:val="100"/>
          <w:position w:val="0"/>
          <w:shd w:val="clear" w:color="auto" w:fill="auto"/>
        </w:rPr>
        <w:t>The Sages.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1975, </w:t>
      </w:r>
      <w:r>
        <w:rPr>
          <w:color w:val="000000"/>
          <w:spacing w:val="0"/>
          <w:w w:val="100"/>
          <w:position w:val="0"/>
          <w:shd w:val="clear" w:color="auto" w:fill="auto"/>
        </w:rPr>
        <w:t xml:space="preserve">Index: C. G. Montefio- re/'H. Loewe, </w:t>
      </w:r>
      <w:r>
        <w:rPr>
          <w:i/>
          <w:iCs/>
          <w:color w:val="000000"/>
          <w:spacing w:val="0"/>
          <w:w w:val="100"/>
          <w:position w:val="0"/>
          <w:shd w:val="clear" w:color="auto" w:fill="auto"/>
        </w:rPr>
        <w:t>A Rabbinic Anthology,</w:t>
      </w:r>
      <w:r>
        <w:rPr>
          <w:color w:val="000000"/>
          <w:spacing w:val="0"/>
          <w:w w:val="100"/>
          <w:position w:val="0"/>
          <w:shd w:val="clear" w:color="auto" w:fill="auto"/>
        </w:rPr>
        <w:t xml:space="preserve"> 1974, Index: P. Nave Levinson, </w:t>
      </w:r>
      <w:r>
        <w:rPr>
          <w:i/>
          <w:iCs/>
          <w:color w:val="000000"/>
          <w:spacing w:val="0"/>
          <w:w w:val="100"/>
          <w:position w:val="0"/>
          <w:shd w:val="clear" w:color="auto" w:fill="auto"/>
        </w:rPr>
        <w:t>Einfiihrung in die rabbinische Theolcjpe,</w:t>
      </w:r>
      <w:r>
        <w:rPr>
          <w:color w:val="000000"/>
          <w:spacing w:val="0"/>
          <w:w w:val="100"/>
          <w:position w:val="0"/>
          <w:shd w:val="clear" w:color="auto" w:fill="auto"/>
        </w:rPr>
        <w:t xml:space="preserve"> 1982, 61 id.</w:t>
        <w:tab/>
        <w:t>D. VF/m-R</w:t>
      </w:r>
    </w:p>
    <w:p>
      <w:pPr>
        <w:pStyle w:val="Style63"/>
        <w:keepNext/>
        <w:keepLines/>
        <w:widowControl w:val="0"/>
        <w:numPr>
          <w:ilvl w:val="0"/>
          <w:numId w:val="147"/>
        </w:numPr>
        <w:shd w:val="clear" w:color="auto" w:fill="auto"/>
        <w:tabs>
          <w:tab w:pos="260" w:val="left"/>
        </w:tabs>
        <w:bidi w:val="0"/>
        <w:spacing w:before="0" w:after="80"/>
        <w:ind w:left="0" w:right="0" w:firstLine="0"/>
        <w:jc w:val="both"/>
      </w:pPr>
      <w:bookmarkStart w:id="108" w:name="bookmark10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08"/>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Riječi </w:t>
      </w:r>
      <w:r>
        <w:rPr>
          <w:rFonts w:ascii="Times New Roman" w:eastAsia="Times New Roman" w:hAnsi="Times New Roman" w:cs="Times New Roman"/>
          <w:color w:val="000000"/>
          <w:spacing w:val="0"/>
          <w:w w:val="100"/>
          <w:position w:val="0"/>
          <w:shd w:val="clear" w:color="auto" w:fill="auto"/>
          <w:lang w:val="en-US" w:eastAsia="en-US" w:bidi="en-US"/>
        </w:rPr>
        <w:t xml:space="preserve">g. </w:t>
      </w:r>
      <w:r>
        <w:rPr>
          <w:rFonts w:ascii="Times New Roman" w:eastAsia="Times New Roman" w:hAnsi="Times New Roman" w:cs="Times New Roman"/>
          <w:color w:val="000000"/>
          <w:spacing w:val="0"/>
          <w:w w:val="100"/>
          <w:position w:val="0"/>
          <w:shd w:val="clear" w:color="auto" w:fill="auto"/>
          <w:lang w:val="hr-HR" w:eastAsia="hr-HR" w:bidi="hr-HR"/>
        </w:rPr>
        <w:t>i grijesi važni su sastavni dijelovi krš</w:t>
        <w:softHyphen/>
        <w:t>ćanskoga osnovnog rječnika. Ispravno sudimo o svojstvu kršćanske ideje o grijehu tek kada kao pozadinu uzmemo shvaćanje grijeha koje dolazi u općoj povijesti religije. G. Mcnsching načelno razlikuje između »aktualnih i konkrc- tiziranih grijeha« te »bitne i opće ideje o gri</w:t>
        <w:softHyphen/>
        <w:t xml:space="preserve">jehu« </w:t>
      </w:r>
      <w:r>
        <w:rPr>
          <w:rFonts w:ascii="Times New Roman" w:eastAsia="Times New Roman" w:hAnsi="Times New Roman" w:cs="Times New Roman"/>
          <w:color w:val="000000"/>
          <w:spacing w:val="0"/>
          <w:w w:val="100"/>
          <w:position w:val="0"/>
          <w:shd w:val="clear" w:color="auto" w:fill="auto"/>
          <w:lang w:val="en-US" w:eastAsia="en-US" w:bidi="en-US"/>
        </w:rPr>
        <w:t xml:space="preserve">(Die Idee </w:t>
      </w:r>
      <w:r>
        <w:rPr>
          <w:rFonts w:ascii="Times New Roman" w:eastAsia="Times New Roman" w:hAnsi="Times New Roman" w:cs="Times New Roman"/>
          <w:color w:val="000000"/>
          <w:spacing w:val="0"/>
          <w:w w:val="100"/>
          <w:position w:val="0"/>
          <w:shd w:val="clear" w:color="auto" w:fill="auto"/>
          <w:lang w:val="hr-HR" w:eastAsia="hr-HR" w:bidi="hr-HR"/>
        </w:rPr>
        <w:t xml:space="preserve">der Siinde, </w:t>
      </w:r>
      <w:r>
        <w:rPr>
          <w:rFonts w:ascii="Times New Roman" w:eastAsia="Times New Roman" w:hAnsi="Times New Roman" w:cs="Times New Roman"/>
          <w:color w:val="000000"/>
          <w:spacing w:val="0"/>
          <w:w w:val="100"/>
          <w:position w:val="0"/>
          <w:shd w:val="clear" w:color="auto" w:fill="auto"/>
          <w:lang w:val="en-US" w:eastAsia="en-US" w:bidi="en-US"/>
        </w:rPr>
        <w:t xml:space="preserve">Leipzig </w:t>
      </w:r>
      <w:r>
        <w:rPr>
          <w:rFonts w:ascii="Times New Roman" w:eastAsia="Times New Roman" w:hAnsi="Times New Roman" w:cs="Times New Roman"/>
          <w:color w:val="000000"/>
          <w:spacing w:val="0"/>
          <w:w w:val="100"/>
          <w:position w:val="0"/>
          <w:shd w:val="clear" w:color="auto" w:fill="auto"/>
          <w:lang w:val="hr-HR" w:eastAsia="hr-HR" w:bidi="hr-HR"/>
        </w:rPr>
        <w:t xml:space="preserve">1931). Bitna je crta svih svjetskih religija da polaze od zatečenoga grijeha u singularu. 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toga </w:t>
      </w:r>
      <w:r>
        <w:rPr>
          <w:rFonts w:ascii="Times New Roman" w:eastAsia="Times New Roman" w:hAnsi="Times New Roman" w:cs="Times New Roman"/>
          <w:color w:val="000000"/>
          <w:spacing w:val="0"/>
          <w:w w:val="100"/>
          <w:position w:val="0"/>
          <w:shd w:val="clear" w:color="auto" w:fill="auto"/>
          <w:lang w:val="hr-HR" w:eastAsia="hr-HR" w:bidi="hr-HR"/>
        </w:rPr>
        <w:t>grijeha nema plurala. Radi se naime o »ukup</w:t>
        <w:softHyphen/>
        <w:t>noj situaciji«, o »bitku koji leži prije svakog čina i prije svakog raspoloženja, o općoj si</w:t>
        <w:softHyphen/>
        <w:t xml:space="preserve">tuaciji nasuprot transcendentnome«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18). Stoga g. nc znači u prvom redu moralno zata- jenje nego simbol za nešto općenito i temelj</w:t>
        <w:softHyphen/>
        <w:t xml:space="preserve">no, za </w:t>
      </w:r>
      <w:r>
        <w:rPr>
          <w:rFonts w:ascii="Times New Roman" w:eastAsia="Times New Roman" w:hAnsi="Times New Roman" w:cs="Times New Roman"/>
          <w:i/>
          <w:iCs/>
          <w:color w:val="000000"/>
          <w:spacing w:val="0"/>
          <w:w w:val="100"/>
          <w:position w:val="0"/>
          <w:shd w:val="clear" w:color="auto" w:fill="auto"/>
          <w:lang w:val="hr-HR" w:eastAsia="hr-HR" w:bidi="hr-HR"/>
        </w:rPr>
        <w:t>»pramisterij</w:t>
      </w:r>
      <w:r>
        <w:rPr>
          <w:rFonts w:ascii="Times New Roman" w:eastAsia="Times New Roman" w:hAnsi="Times New Roman" w:cs="Times New Roman"/>
          <w:color w:val="000000"/>
          <w:spacing w:val="0"/>
          <w:w w:val="100"/>
          <w:position w:val="0"/>
          <w:shd w:val="clear" w:color="auto" w:fill="auto"/>
          <w:lang w:val="hr-HR" w:eastAsia="hr-HR" w:bidi="hr-HR"/>
        </w:rPr>
        <w:t xml:space="preserve"> naše vlastite egzistencije i svih ljudskih egzistencija« (R. </w:t>
      </w:r>
      <w:r>
        <w:rPr>
          <w:rFonts w:ascii="Times New Roman" w:eastAsia="Times New Roman" w:hAnsi="Times New Roman" w:cs="Times New Roman"/>
          <w:color w:val="000000"/>
          <w:spacing w:val="0"/>
          <w:w w:val="100"/>
          <w:position w:val="0"/>
          <w:shd w:val="clear" w:color="auto" w:fill="auto"/>
          <w:lang w:val="en-US" w:eastAsia="en-US" w:bidi="en-US"/>
        </w:rPr>
        <w:t>Otto, Die reli</w:t>
        <w:softHyphen/>
        <w:t xml:space="preserve">giose Idee </w:t>
      </w:r>
      <w:r>
        <w:rPr>
          <w:rFonts w:ascii="Times New Roman" w:eastAsia="Times New Roman" w:hAnsi="Times New Roman" w:cs="Times New Roman"/>
          <w:color w:val="000000"/>
          <w:spacing w:val="0"/>
          <w:w w:val="100"/>
          <w:position w:val="0"/>
          <w:shd w:val="clear" w:color="auto" w:fill="auto"/>
          <w:lang w:val="hr-HR" w:eastAsia="hr-HR" w:bidi="hr-HR"/>
        </w:rPr>
        <w:t xml:space="preserve">der Urschuld, u isti: </w:t>
      </w:r>
      <w:r>
        <w:rPr>
          <w:rFonts w:ascii="Times New Roman" w:eastAsia="Times New Roman" w:hAnsi="Times New Roman" w:cs="Times New Roman"/>
          <w:i/>
          <w:iCs/>
          <w:color w:val="000000"/>
          <w:spacing w:val="0"/>
          <w:w w:val="100"/>
          <w:position w:val="0"/>
          <w:shd w:val="clear" w:color="auto" w:fill="auto"/>
          <w:lang w:val="hr-HR" w:eastAsia="hr-HR" w:bidi="hr-HR"/>
        </w:rPr>
        <w:t>Siinde und Urschuld,</w:t>
      </w:r>
      <w:r>
        <w:rPr>
          <w:rFonts w:ascii="Times New Roman" w:eastAsia="Times New Roman" w:hAnsi="Times New Roman" w:cs="Times New Roman"/>
          <w:color w:val="000000"/>
          <w:spacing w:val="0"/>
          <w:w w:val="100"/>
          <w:position w:val="0"/>
          <w:shd w:val="clear" w:color="auto" w:fill="auto"/>
          <w:lang w:val="hr-HR" w:eastAsia="hr-HR" w:bidi="hr-HR"/>
        </w:rPr>
        <w:t xml:space="preserve"> Miinchen 1932, 39). Religijski-po- vijesno razlikuje se shvaćanje o grijehu na vi</w:t>
        <w:softHyphen/>
        <w:t>šestruk način. Gledajući na proročki struktu</w:t>
        <w:softHyphen/>
        <w:t>rirane religije Gustav Mensching jc »sebičnu egzistenciju odnosno »sebičnost« okarakterizi</w:t>
        <w:softHyphen/>
        <w:t xml:space="preserve">rao kao načelnu »zapreku« za jedinstvo onoga što je svelo i čovjeka. Pod time razumijeva </w:t>
      </w:r>
      <w:r>
        <w:rPr>
          <w:rFonts w:ascii="Times New Roman" w:eastAsia="Times New Roman" w:hAnsi="Times New Roman" w:cs="Times New Roman"/>
          <w:i/>
          <w:iCs/>
          <w:color w:val="000000"/>
          <w:spacing w:val="0"/>
          <w:w w:val="100"/>
          <w:position w:val="0"/>
          <w:shd w:val="clear" w:color="auto" w:fill="auto"/>
          <w:lang w:val="hr-HR" w:eastAsia="hr-HR" w:bidi="hr-HR"/>
        </w:rPr>
        <w:t>»smjer svih bitnih čovjekovih snaga</w:t>
      </w:r>
      <w:r>
        <w:rPr>
          <w:rFonts w:ascii="Times New Roman" w:eastAsia="Times New Roman" w:hAnsi="Times New Roman" w:cs="Times New Roman"/>
          <w:color w:val="000000"/>
          <w:spacing w:val="0"/>
          <w:w w:val="100"/>
          <w:position w:val="0"/>
          <w:shd w:val="clear" w:color="auto" w:fill="auto"/>
          <w:lang w:val="hr-HR" w:eastAsia="hr-HR" w:bidi="hr-HR"/>
        </w:rPr>
        <w:t xml:space="preserve"> na Ja i nje</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gove potrebe« (G. Mensching,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Religion, </w:t>
      </w:r>
      <w:r>
        <w:rPr>
          <w:rFonts w:ascii="Times New Roman" w:eastAsia="Times New Roman" w:hAnsi="Times New Roman" w:cs="Times New Roman"/>
          <w:color w:val="000000"/>
          <w:spacing w:val="0"/>
          <w:w w:val="100"/>
          <w:position w:val="0"/>
          <w:shd w:val="clear" w:color="auto" w:fill="auto"/>
          <w:lang w:val="en-US" w:eastAsia="en-US" w:bidi="en-US"/>
        </w:rPr>
        <w:t xml:space="preserve">Stuttgart </w:t>
      </w:r>
      <w:r>
        <w:rPr>
          <w:rFonts w:ascii="Times New Roman" w:eastAsia="Times New Roman" w:hAnsi="Times New Roman" w:cs="Times New Roman"/>
          <w:color w:val="000000"/>
          <w:spacing w:val="0"/>
          <w:w w:val="100"/>
          <w:position w:val="0"/>
          <w:shd w:val="clear" w:color="auto" w:fill="auto"/>
          <w:lang w:val="hr-HR" w:eastAsia="hr-HR" w:bidi="hr-HR"/>
        </w:rPr>
        <w:t>1959 [Miinchen 1962]), 234). Od toga se razlikuje predodžba o grijehu koja do</w:t>
        <w:softHyphen/>
        <w:t>lazi u mističnim religijama kao »vezanost uz sebe«. »Stoga su Ja i svijest o sebi faktori pro</w:t>
        <w:softHyphen/>
        <w:t>tiv kojih se, kao u prvom redu veličina koje sprečavaju spasenje, usmjerava čežnja za ot</w:t>
        <w:softHyphen/>
        <w:t>kupljenjem, jer je svijest o sebi za mistiku naj</w:t>
        <w:softHyphen/>
        <w:t>značajniji izraz neotkupljene ljudske egzisten</w:t>
        <w:softHyphen/>
        <w:t xml:space="preserve">cije«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233).</w:t>
      </w:r>
    </w:p>
    <w:p>
      <w:pPr>
        <w:pStyle w:val="Style20"/>
        <w:keepNext w:val="0"/>
        <w:keepLines w:val="0"/>
        <w:widowControl w:val="0"/>
        <w:numPr>
          <w:ilvl w:val="0"/>
          <w:numId w:val="151"/>
        </w:numPr>
        <w:shd w:val="clear" w:color="auto" w:fill="auto"/>
        <w:tabs>
          <w:tab w:pos="28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u SZ propust, tj. pogreška u odnosu na danu zapovijed i zabranu. Iznad toga dolazi do izražaja cijela dubina starozavjetne pre</w:t>
        <w:softHyphen/>
        <w:t>dodžbe o grijehu u značenju »pobuniti se, dići se protiv nekoga«, dakle, u značenju pobune. No, nema općenitog učenja o grijehu, nego se g. ostvaruje u konkretnim situacijama ljudsko</w:t>
        <w:softHyphen/>
        <w:t>ga života. SZ ne poznaje učenje o nasljednom grijehu. No, Post 6,5-8, 21 i daljnja mjesta u tekstu govore o prihvaćanju općenite, potpu</w:t>
        <w:softHyphen/>
        <w:t>ne čovjekove krivnje. G. nije sastavni dio do</w:t>
        <w:softHyphen/>
        <w:t>broga Božjeg stvorenja nego demonski izbija iz čovjekovih prikrivenih dubina. U pripovije</w:t>
        <w:softHyphen/>
        <w:t>danjima o Postanku izvješćuje se o tome kako g. na zemlji sve više raste (Post 4,3-24; 6,1-4; 11,1-9).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nastavlja se naznačena linija. I u evan</w:t>
        <w:softHyphen/>
        <w:t>đeljima se govori o čovjeku i njegovoj nepre</w:t>
        <w:softHyphen/>
        <w:t>stanoj okrivljenosti. U sinoptičkim evanđelji</w:t>
        <w:softHyphen/>
        <w:t>ma i Djelima apostolskim dolazi riječ g. samo u povezanosti s opraštanjem grijeha koje se događa Isusovim djelovanjem. Isus je došao da grešnike pozove na kajanje (Mk 2,17) i on ima punomoć opraštati grijehe, a tu jc puno</w:t>
        <w:softHyphen/>
        <w:t>moć prenio na svoje nasljednike (Mk 11,25 i d.; Mt 6,14 i d.; Iv 20,23). U pavlovskim spi</w:t>
        <w:softHyphen/>
        <w:t>sima se drugačije govori o grijehu. Pavao ka</w:t>
        <w:softHyphen/>
        <w:t>rakterizira g. kao personificiranu moć koja vlada čovječanstvom od Adamova pada i kojoj je čovjek ropski izložen do otkupljenja po Kristu. G. je sudbina i zla kob (Rim 7,15-20; 5,12 i d.), ali istodobno i ono što se s odgovor</w:t>
        <w:softHyphen/>
        <w:t>nošću čini. Pavao govori o »životu po tijelu« što ne znači obezvrjeđivanje tijela nego krivo usmjerenje »sebičnog čovjeka« koji se hoće potvrdili pred Bogom (Gal 5,19 i d.; Fil 3,3-7; 1 Kor 1,26; 7,32; Rim 2,17; 1 Kor 1,19-31; 4,7; Gal 6,4). Po grijehu je na svijet došao i njegov plod: smrt.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Uz Tertulijana koji je zapečatio pojam »vi- tium originis« (pragrijeh),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jc nada</w:t>
        <w:softHyphen/>
        <w:t>sve onaj koji je mjerodavno utjecao na kršćan</w:t>
        <w:softHyphen/>
      </w:r>
      <w:r>
        <w:rPr>
          <w:rFonts w:ascii="Times New Roman" w:eastAsia="Times New Roman" w:hAnsi="Times New Roman" w:cs="Times New Roman"/>
          <w:color w:val="000000"/>
          <w:spacing w:val="0"/>
          <w:w w:val="100"/>
          <w:position w:val="0"/>
          <w:shd w:val="clear" w:color="auto" w:fill="auto"/>
          <w:lang w:val="hr-HR" w:eastAsia="hr-HR" w:bidi="hr-HR"/>
        </w:rPr>
        <w:t>sko učenje o grijehu. U svom sučeljavanju s Pelagijcm taj najveći zapadni crkveni otac raz</w:t>
        <w:softHyphen/>
        <w:t>vio je učenje o nasljednom grijehu koje se u bitnome nametnulo u Velecrkvi. Dok je Pcla- gije vjerovao da se Adamov g. ne nasljeduje u sljedećim generacijama, nego se mora shvatiti kao »snaga navike prema zlu« koja se odgo</w:t>
        <w:softHyphen/>
        <w:t xml:space="preserve">jem treba obuzdati,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je učio daje čo</w:t>
        <w:softHyphen/>
        <w:t xml:space="preserve">vjek prije pada u g. posjedovao »moć da ne griješi« </w:t>
      </w:r>
      <w:r>
        <w:rPr>
          <w:rFonts w:ascii="Times New Roman" w:eastAsia="Times New Roman" w:hAnsi="Times New Roman" w:cs="Times New Roman"/>
          <w:color w:val="000000"/>
          <w:spacing w:val="0"/>
          <w:w w:val="100"/>
          <w:position w:val="0"/>
          <w:shd w:val="clear" w:color="auto" w:fill="auto"/>
          <w:lang w:val="en-US" w:eastAsia="en-US" w:bidi="en-US"/>
        </w:rPr>
        <w:t xml:space="preserve">(posse, non </w:t>
      </w:r>
      <w:r>
        <w:rPr>
          <w:rFonts w:ascii="Times New Roman" w:eastAsia="Times New Roman" w:hAnsi="Times New Roman" w:cs="Times New Roman"/>
          <w:color w:val="000000"/>
          <w:spacing w:val="0"/>
          <w:w w:val="100"/>
          <w:position w:val="0"/>
          <w:shd w:val="clear" w:color="auto" w:fill="auto"/>
          <w:lang w:val="hr-HR" w:eastAsia="hr-HR" w:bidi="hr-HR"/>
        </w:rPr>
        <w:t>pcccarc). Nakon pada na</w:t>
        <w:softHyphen/>
        <w:t xml:space="preserve">stala je iz toga načelna »nentoć da ne griješi« </w:t>
      </w:r>
      <w:r>
        <w:rPr>
          <w:rFonts w:ascii="Times New Roman" w:eastAsia="Times New Roman" w:hAnsi="Times New Roman" w:cs="Times New Roman"/>
          <w:color w:val="000000"/>
          <w:spacing w:val="0"/>
          <w:w w:val="100"/>
          <w:position w:val="0"/>
          <w:shd w:val="clear" w:color="auto" w:fill="auto"/>
          <w:lang w:val="en-US" w:eastAsia="en-US" w:bidi="en-US"/>
        </w:rPr>
        <w:t xml:space="preserve">(non posse, non </w:t>
      </w:r>
      <w:r>
        <w:rPr>
          <w:rFonts w:ascii="Times New Roman" w:eastAsia="Times New Roman" w:hAnsi="Times New Roman" w:cs="Times New Roman"/>
          <w:color w:val="000000"/>
          <w:spacing w:val="0"/>
          <w:w w:val="100"/>
          <w:position w:val="0"/>
          <w:shd w:val="clear" w:color="auto" w:fill="auto"/>
          <w:lang w:val="hr-HR" w:eastAsia="hr-HR" w:bidi="hr-HR"/>
        </w:rPr>
        <w:t>pcccare). U srednjovjekov</w:t>
        <w:softHyphen/>
        <w:t xml:space="preserve">nom učenju o grijehu došao je novi motiv u teologiju porijeklom iz neoplatonizma. G. se promatrao kao nepostojeće dobro, kao </w:t>
      </w:r>
      <w:r>
        <w:rPr>
          <w:rFonts w:ascii="Times New Roman" w:eastAsia="Times New Roman" w:hAnsi="Times New Roman" w:cs="Times New Roman"/>
          <w:color w:val="000000"/>
          <w:spacing w:val="0"/>
          <w:w w:val="100"/>
          <w:position w:val="0"/>
          <w:shd w:val="clear" w:color="auto" w:fill="auto"/>
          <w:lang w:val="en-US" w:eastAsia="en-US" w:bidi="en-US"/>
        </w:rPr>
        <w:t>»ab</w:t>
        <w:softHyphen/>
        <w:t xml:space="preserve">sentia« </w:t>
      </w:r>
      <w:r>
        <w:rPr>
          <w:rFonts w:ascii="Times New Roman" w:eastAsia="Times New Roman" w:hAnsi="Times New Roman" w:cs="Times New Roman"/>
          <w:color w:val="000000"/>
          <w:spacing w:val="0"/>
          <w:w w:val="100"/>
          <w:position w:val="0"/>
          <w:shd w:val="clear" w:color="auto" w:fill="auto"/>
          <w:lang w:val="hr-HR" w:eastAsia="hr-HR" w:bidi="hr-HR"/>
        </w:rPr>
        <w:t>ili »defeetus boni«.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reformaciji g. se opet shvaćao radikalno kao neposlušnost, nevjera, ohola emancipa</w:t>
        <w:softHyphen/>
        <w:t>cija, naopak odnos prema Bogu itd. »Sebič</w:t>
        <w:softHyphen/>
        <w:t>nost« se pokazuje u »naopakom srcu« koje svoje spasenje traži kod samoga sebe. Odba</w:t>
        <w:softHyphen/>
        <w:t>čeno je srednjovjekovno shvaćanje prema ko</w:t>
        <w:softHyphen/>
        <w:t xml:space="preserve">jem se g. sastojao u tome da su čovjekovi niži nagoni pobijedili one više. U pravoslavlju </w:t>
      </w:r>
      <w:r>
        <w:rPr>
          <w:rFonts w:ascii="Times New Roman" w:eastAsia="Times New Roman" w:hAnsi="Times New Roman" w:cs="Times New Roman"/>
          <w:color w:val="000000"/>
          <w:spacing w:val="0"/>
          <w:w w:val="100"/>
          <w:position w:val="0"/>
          <w:shd w:val="clear" w:color="auto" w:fill="auto"/>
          <w:lang w:val="en-US" w:eastAsia="en-US" w:bidi="en-US"/>
        </w:rPr>
        <w:t xml:space="preserve">(XVI1./XVIII. </w:t>
      </w:r>
      <w:r>
        <w:rPr>
          <w:rFonts w:ascii="Times New Roman" w:eastAsia="Times New Roman" w:hAnsi="Times New Roman" w:cs="Times New Roman"/>
          <w:color w:val="000000"/>
          <w:spacing w:val="0"/>
          <w:w w:val="100"/>
          <w:position w:val="0"/>
          <w:shd w:val="clear" w:color="auto" w:fill="auto"/>
          <w:lang w:val="hr-HR" w:eastAsia="hr-HR" w:bidi="hr-HR"/>
        </w:rPr>
        <w:t>stoljeće) učila se »sinteza sud</w:t>
        <w:softHyphen/>
        <w:t xml:space="preserve">bine i krivnje« </w:t>
      </w:r>
      <w:r>
        <w:rPr>
          <w:rFonts w:ascii="Times New Roman" w:eastAsia="Times New Roman" w:hAnsi="Times New Roman" w:cs="Times New Roman"/>
          <w:color w:val="000000"/>
          <w:spacing w:val="0"/>
          <w:w w:val="100"/>
          <w:position w:val="0"/>
          <w:shd w:val="clear" w:color="auto" w:fill="auto"/>
          <w:lang w:val="en-US" w:eastAsia="en-US" w:bidi="en-US"/>
        </w:rPr>
        <w:t xml:space="preserve">(Elert). </w:t>
      </w:r>
      <w:r>
        <w:rPr>
          <w:rFonts w:ascii="Times New Roman" w:eastAsia="Times New Roman" w:hAnsi="Times New Roman" w:cs="Times New Roman"/>
          <w:color w:val="000000"/>
          <w:spacing w:val="0"/>
          <w:w w:val="100"/>
          <w:position w:val="0"/>
          <w:shd w:val="clear" w:color="auto" w:fill="auto"/>
          <w:lang w:val="hr-HR" w:eastAsia="hr-HR" w:bidi="hr-HR"/>
        </w:rPr>
        <w:t>Nasljedni g. i činjenični g. međusobno su isprepleteni; jedan je korijen drugoga. Lutherovo naglašavanje osobnoga grijeha opet se izgubilo u pravoslavlju u korist njegova interesa za nasljedni g. Zato su u teo</w:t>
        <w:softHyphen/>
        <w:t>logiji prosvjetiteljstva i u idealizmu važna pc- lagijevska shvaćanja. G. se više ne shvaća kao transpersonalna kategorija nego kao osobno činjenje.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novije protestantske teologije istaknut će</w:t>
        <w:softHyphen/>
        <w:t>mo nekoliko značajnih polazišta. U dijalek</w:t>
        <w:softHyphen/>
        <w:t xml:space="preserve">tičkoj teologiji i Lutherovoj renesansi g. je bio opet radikaliziran i prepoznat u svojoj dubini. Prema Karlu Barthu g. može biti prepoznat samo u Božjoj objavi u Kristu, dakle, ne prije ni izvan Krista. Učenje o grijehu pripada dakle kristologiji. Za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je g. oholost, lije</w:t>
        <w:softHyphen/>
        <w:t xml:space="preserve">nost i laž. Emil </w:t>
      </w:r>
      <w:r>
        <w:rPr>
          <w:rFonts w:ascii="Times New Roman" w:eastAsia="Times New Roman" w:hAnsi="Times New Roman" w:cs="Times New Roman"/>
          <w:color w:val="000000"/>
          <w:spacing w:val="0"/>
          <w:w w:val="100"/>
          <w:position w:val="0"/>
          <w:shd w:val="clear" w:color="auto" w:fill="auto"/>
          <w:lang w:val="en-US" w:eastAsia="en-US" w:bidi="en-US"/>
        </w:rPr>
        <w:t xml:space="preserve">Brunner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christliche Lehre von Schdpfung und Erlosung. Dogmatik,</w:t>
      </w:r>
      <w:r>
        <w:rPr>
          <w:rFonts w:ascii="Times New Roman" w:eastAsia="Times New Roman" w:hAnsi="Times New Roman" w:cs="Times New Roman"/>
          <w:color w:val="000000"/>
          <w:spacing w:val="0"/>
          <w:w w:val="100"/>
          <w:position w:val="0"/>
          <w:shd w:val="clear" w:color="auto" w:fill="auto"/>
          <w:lang w:val="hr-HR" w:eastAsia="hr-HR" w:bidi="hr-HR"/>
        </w:rPr>
        <w:t xml:space="preserve"> Bd. 2, </w:t>
      </w:r>
      <w:r>
        <w:rPr>
          <w:rFonts w:ascii="Times New Roman" w:eastAsia="Times New Roman" w:hAnsi="Times New Roman" w:cs="Times New Roman"/>
          <w:color w:val="000000"/>
          <w:spacing w:val="0"/>
          <w:w w:val="100"/>
          <w:position w:val="0"/>
          <w:shd w:val="clear" w:color="auto" w:fill="auto"/>
          <w:lang w:val="en-US" w:eastAsia="en-US" w:bidi="en-US"/>
        </w:rPr>
        <w:t xml:space="preserve">Zurich </w:t>
      </w:r>
      <w:r>
        <w:rPr>
          <w:rFonts w:ascii="Times New Roman" w:eastAsia="Times New Roman" w:hAnsi="Times New Roman" w:cs="Times New Roman"/>
          <w:color w:val="000000"/>
          <w:spacing w:val="0"/>
          <w:w w:val="100"/>
          <w:position w:val="0"/>
          <w:shd w:val="clear" w:color="auto" w:fill="auto"/>
          <w:lang w:val="hr-HR" w:eastAsia="hr-HR" w:bidi="hr-HR"/>
        </w:rPr>
        <w:t>1950) odbacuje biološko učenje o na</w:t>
        <w:softHyphen/>
        <w:t>sljednom grijehu. G. je u biti pobuna koja se izražava padom u g. On je »osobni čin od</w:t>
        <w:softHyphen/>
        <w:t xml:space="preserve">vraćanja od Boga« (105), čovjekov »totalni čin« (107) i univerzalnog je razmjera </w:t>
      </w:r>
      <w:r>
        <w:rPr>
          <w:rFonts w:ascii="Times New Roman" w:eastAsia="Times New Roman" w:hAnsi="Times New Roman" w:cs="Times New Roman"/>
          <w:color w:val="000000"/>
          <w:spacing w:val="0"/>
          <w:w w:val="100"/>
          <w:position w:val="0"/>
          <w:shd w:val="clear" w:color="auto" w:fill="auto"/>
          <w:lang w:val="en-US" w:eastAsia="en-US" w:bidi="en-US"/>
        </w:rPr>
        <w:t xml:space="preserve">(111). </w:t>
      </w:r>
      <w:r>
        <w:rPr>
          <w:rFonts w:ascii="Times New Roman" w:eastAsia="Times New Roman" w:hAnsi="Times New Roman" w:cs="Times New Roman"/>
          <w:color w:val="000000"/>
          <w:spacing w:val="0"/>
          <w:w w:val="100"/>
          <w:position w:val="0"/>
          <w:shd w:val="clear" w:color="auto" w:fill="auto"/>
          <w:lang w:val="hr-HR" w:eastAsia="hr-HR" w:bidi="hr-HR"/>
        </w:rPr>
        <w:t>G. se ne može shvatiti polazeći samo od bitka nego od grešnog čina: »No, sada je taj čin uvi</w:t>
        <w:softHyphen/>
        <w:t xml:space="preserve">jek istodobno i stanje, bitak-u-činu, ne moći </w:t>
      </w:r>
      <w:r>
        <w:rPr>
          <w:rFonts w:ascii="Times New Roman" w:eastAsia="Times New Roman" w:hAnsi="Times New Roman" w:cs="Times New Roman"/>
          <w:color w:val="000000"/>
          <w:spacing w:val="0"/>
          <w:w w:val="100"/>
          <w:position w:val="0"/>
          <w:shd w:val="clear" w:color="auto" w:fill="auto"/>
          <w:lang w:val="hr-HR" w:eastAsia="hr-HR" w:bidi="hr-HR"/>
        </w:rPr>
        <w:t xml:space="preserve">više drugačije, vezanost« (127). </w:t>
      </w:r>
      <w:r>
        <w:rPr>
          <w:rFonts w:ascii="Times New Roman" w:eastAsia="Times New Roman" w:hAnsi="Times New Roman" w:cs="Times New Roman"/>
          <w:color w:val="000000"/>
          <w:spacing w:val="0"/>
          <w:w w:val="100"/>
          <w:position w:val="0"/>
          <w:shd w:val="clear" w:color="auto" w:fill="auto"/>
          <w:lang w:val="en-US" w:eastAsia="en-US" w:bidi="en-US"/>
        </w:rPr>
        <w:t xml:space="preserve">Paul Tillich </w:t>
      </w:r>
      <w:r>
        <w:rPr>
          <w:rFonts w:ascii="Times New Roman" w:eastAsia="Times New Roman" w:hAnsi="Times New Roman" w:cs="Times New Roman"/>
          <w:color w:val="000000"/>
          <w:spacing w:val="0"/>
          <w:w w:val="100"/>
          <w:position w:val="0"/>
          <w:shd w:val="clear" w:color="auto" w:fill="auto"/>
          <w:lang w:val="hr-HR" w:eastAsia="hr-HR" w:bidi="hr-HR"/>
        </w:rPr>
        <w:t xml:space="preserve">misli - suprotno od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hr-HR" w:eastAsia="hr-HR" w:bidi="hr-HR"/>
        </w:rPr>
        <w:t>o</w:t>
      </w:r>
      <w:r>
        <w:rPr>
          <w:rFonts w:ascii="Times New Roman" w:eastAsia="Times New Roman" w:hAnsi="Times New Roman" w:cs="Times New Roman"/>
          <w:color w:val="000000"/>
          <w:spacing w:val="0"/>
          <w:w w:val="100"/>
          <w:position w:val="0"/>
          <w:shd w:val="clear" w:color="auto" w:fill="auto"/>
          <w:lang w:val="hr-HR" w:eastAsia="hr-HR" w:bidi="hr-HR"/>
        </w:rPr>
        <w:t xml:space="preserve"> grijehu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hr-HR" w:eastAsia="hr-HR" w:bidi="hr-HR"/>
        </w:rPr>
        <w:t xml:space="preserve">Kristu kao Otkupitelju. On tumači biblijske predodžbe uz pomoć novih pojmova i govori o »otuđenju« kao stanju egzistencije. »Čovjek je otuđen od temelja bitka, od drugih bića i od samoga sebe.« </w:t>
      </w:r>
      <w:r>
        <w:rPr>
          <w:rFonts w:ascii="Times New Roman" w:eastAsia="Times New Roman" w:hAnsi="Times New Roman" w:cs="Times New Roman"/>
          <w:color w:val="000000"/>
          <w:spacing w:val="0"/>
          <w:w w:val="100"/>
          <w:position w:val="0"/>
          <w:shd w:val="clear" w:color="auto" w:fill="auto"/>
          <w:lang w:val="en-US" w:eastAsia="en-US" w:bidi="en-US"/>
        </w:rPr>
        <w:t xml:space="preserve">Tillich </w:t>
      </w:r>
      <w:r>
        <w:rPr>
          <w:rFonts w:ascii="Times New Roman" w:eastAsia="Times New Roman" w:hAnsi="Times New Roman" w:cs="Times New Roman"/>
          <w:color w:val="000000"/>
          <w:spacing w:val="0"/>
          <w:w w:val="100"/>
          <w:position w:val="0"/>
          <w:shd w:val="clear" w:color="auto" w:fill="auto"/>
          <w:lang w:val="hr-HR" w:eastAsia="hr-HR" w:bidi="hr-HR"/>
        </w:rPr>
        <w:t>ne napušta pojam gri</w:t>
        <w:softHyphen/>
        <w:t>jeha »jer naglašava osobnu slobodu i krivnju u suprotnosti s tragičnom krivnjom i univerzal</w:t>
        <w:softHyphen/>
        <w:t>nom sudbinom otuđenja«. »Otuđenje nije stanje stvari nego stvar osobne slobode i uni</w:t>
        <w:softHyphen/>
        <w:t xml:space="preserve">verzalne sudbine « »G. kao individualan čin aktualizira univerzalnu činjenicu otuđenja« </w:t>
      </w:r>
      <w:r>
        <w:rPr>
          <w:rFonts w:ascii="Times New Roman" w:eastAsia="Times New Roman" w:hAnsi="Times New Roman" w:cs="Times New Roman"/>
          <w:i/>
          <w:iCs/>
          <w:color w:val="000000"/>
          <w:spacing w:val="0"/>
          <w:w w:val="100"/>
          <w:position w:val="0"/>
          <w:shd w:val="clear" w:color="auto" w:fill="auto"/>
          <w:lang w:val="en-US" w:eastAsia="en-US" w:bidi="en-US"/>
        </w:rPr>
        <w:t>(Syslematische Theologie,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Bd. II, 52-56).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Novim putovima tumačenja korača npr. Do- rothee Solle. Ona odbacuje shvaćanje grijeha »u specijalno religioznom smislu« i pojam tu</w:t>
        <w:softHyphen/>
        <w:t xml:space="preserve">mači »svjetsko-politički« (Siindc. Zur politi- </w:t>
      </w:r>
      <w:r>
        <w:rPr>
          <w:rFonts w:ascii="Times New Roman" w:eastAsia="Times New Roman" w:hAnsi="Times New Roman" w:cs="Times New Roman"/>
          <w:color w:val="000000"/>
          <w:spacing w:val="0"/>
          <w:w w:val="100"/>
          <w:position w:val="0"/>
          <w:shd w:val="clear" w:color="auto" w:fill="auto"/>
          <w:lang w:val="en-US" w:eastAsia="en-US" w:bidi="en-US"/>
        </w:rPr>
        <w:t xml:space="preserve">schen Interpretation </w:t>
      </w:r>
      <w:r>
        <w:rPr>
          <w:rFonts w:ascii="Times New Roman" w:eastAsia="Times New Roman" w:hAnsi="Times New Roman" w:cs="Times New Roman"/>
          <w:color w:val="000000"/>
          <w:spacing w:val="0"/>
          <w:w w:val="100"/>
          <w:position w:val="0"/>
          <w:shd w:val="clear" w:color="auto" w:fill="auto"/>
          <w:lang w:val="hr-HR" w:eastAsia="hr-HR" w:bidi="hr-HR"/>
        </w:rPr>
        <w:t xml:space="preserve">eines theologischcn Be- griffs, u: </w:t>
      </w:r>
      <w:r>
        <w:rPr>
          <w:rFonts w:ascii="Times New Roman" w:eastAsia="Times New Roman" w:hAnsi="Times New Roman" w:cs="Times New Roman"/>
          <w:i/>
          <w:iCs/>
          <w:color w:val="000000"/>
          <w:spacing w:val="0"/>
          <w:w w:val="100"/>
          <w:position w:val="0"/>
          <w:shd w:val="clear" w:color="auto" w:fill="auto"/>
          <w:lang w:val="hr-HR" w:eastAsia="hr-HR" w:bidi="hr-HR"/>
        </w:rPr>
        <w:t>Theologia Praclica</w:t>
      </w:r>
      <w:r>
        <w:rPr>
          <w:rFonts w:ascii="Times New Roman" w:eastAsia="Times New Roman" w:hAnsi="Times New Roman" w:cs="Times New Roman"/>
          <w:color w:val="000000"/>
          <w:spacing w:val="0"/>
          <w:w w:val="100"/>
          <w:position w:val="0"/>
          <w:shd w:val="clear" w:color="auto" w:fill="auto"/>
          <w:lang w:val="hr-HR" w:eastAsia="hr-HR" w:bidi="hr-HR"/>
        </w:rPr>
        <w:t xml:space="preserve"> VI (1971)).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crkvenoj praksi došlo je u pogledu aktual</w:t>
        <w:softHyphen/>
        <w:t>nih grijeha do njihova stupnjevanja. Već je 1. Ivanova poslanica razlikovala između »smrt</w:t>
        <w:softHyphen/>
        <w:t>nog grijeha« i »grijeha koji nije smrtan«. Iz toga se razvilo shvaćanje o smrtnim grijesima. Smrtni g. čini onaj koji »griješi u važnoj stvari s jasnom spoznajom i istodobno s punim pris</w:t>
        <w:softHyphen/>
        <w:t xml:space="preserve">tankom« protiv Boga. Navikom takvi smrtni grijesi postaju porok. Kao posljedice smrtnih grijeha navode se: Gubitak tnilosnog života i svih zasluga za nebo kao i vremenite kazne i konačno vječno prokletstvo. Laki grijesi mogu biti različito veliki. Oni se odnose na ne tako važne stvari i postupno ugrožavaju milosni život, »zamućuju ljubav prema Bogu i donose vremenite kazne« (Kratki katolički katekizam. Prema: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Directorium Catechisticum Generale, </w:t>
      </w:r>
      <w:r>
        <w:rPr>
          <w:rFonts w:ascii="Times New Roman" w:eastAsia="Times New Roman" w:hAnsi="Times New Roman" w:cs="Times New Roman"/>
          <w:color w:val="000000"/>
          <w:spacing w:val="0"/>
          <w:w w:val="100"/>
          <w:position w:val="0"/>
          <w:shd w:val="clear" w:color="auto" w:fill="auto"/>
          <w:lang w:val="hr-HR" w:eastAsia="hr-HR" w:bidi="hr-HR"/>
        </w:rPr>
        <w:t>Rim/Vatikan 1971, njemačko izdanje Par- zeller-Fulda 1973. Izd. Intcrdijccezanska za</w:t>
        <w:softHyphen/>
        <w:t>jednica vjeroučitelja, 1977, 34 i d.).</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Svi grijesi, pa i najteži, mogu prema katolič</w:t>
        <w:softHyphen/>
        <w:t>kom shvaćanju biti otpušteni Kristovim zaslu</w:t>
        <w:softHyphen/>
        <w:t>gama na križu - uz pretpostavku da se grešnik kajanjem i pokorom obrati Bogu te da moli Boga za oproštenje.</w:t>
      </w:r>
    </w:p>
    <w:p>
      <w:pPr>
        <w:pStyle w:val="Style56"/>
        <w:keepNext w:val="0"/>
        <w:keepLines w:val="0"/>
        <w:widowControl w:val="0"/>
        <w:shd w:val="clear" w:color="auto" w:fill="auto"/>
        <w:bidi w:val="0"/>
        <w:spacing w:before="0" w:after="0" w:line="240" w:lineRule="auto"/>
        <w:ind w:left="0" w:right="0" w:firstLine="0"/>
        <w:jc w:val="both"/>
        <w:sectPr>
          <w:headerReference w:type="default" r:id="rId469"/>
          <w:footerReference w:type="default" r:id="rId470"/>
          <w:headerReference w:type="even" r:id="rId471"/>
          <w:footerReference w:type="even" r:id="rId472"/>
          <w:headerReference w:type="first" r:id="rId473"/>
          <w:footerReference w:type="first" r:id="rId474"/>
          <w:footnotePr>
            <w:pos w:val="pageBottom"/>
            <w:numFmt w:val="decimal"/>
            <w:numStart w:val="5"/>
            <w:numRestart w:val="continuous"/>
            <w15:footnoteColumns w:val="1"/>
          </w:footnotePr>
          <w:pgSz w:w="6816" w:h="11006"/>
          <w:pgMar w:top="1027" w:left="190" w:right="193" w:bottom="476" w:header="0" w:footer="3" w:gutter="0"/>
          <w:pgNumType w:start="159"/>
          <w:cols w:num="2" w:space="192"/>
          <w:noEndnote/>
          <w:titlePg/>
          <w:rtlGutter w:val="0"/>
          <w:docGrid w:linePitch="360"/>
        </w:sectPr>
      </w:pPr>
      <w:r>
        <w:rPr>
          <w:color w:val="000000"/>
          <w:spacing w:val="0"/>
          <w:w w:val="100"/>
          <w:position w:val="0"/>
          <w:shd w:val="clear" w:color="auto" w:fill="auto"/>
          <w:lang w:val="hr-HR" w:eastAsia="hr-HR" w:bidi="hr-HR"/>
        </w:rPr>
        <w:t xml:space="preserve">Lit.: ii. </w:t>
      </w:r>
      <w:r>
        <w:rPr>
          <w:color w:val="000000"/>
          <w:spacing w:val="0"/>
          <w:w w:val="100"/>
          <w:position w:val="0"/>
          <w:shd w:val="clear" w:color="auto" w:fill="auto"/>
        </w:rPr>
        <w:t xml:space="preserve">Dcmbowski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Šunde - das Bose - dieSchuld. Aus theologischer, arztlicher und soziologischer Sicht,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Stutt</w:t>
        <w:softHyphen/>
        <w:t xml:space="preserve">gart </w:t>
      </w:r>
      <w:r>
        <w:rPr>
          <w:color w:val="000000"/>
          <w:spacing w:val="0"/>
          <w:w w:val="100"/>
          <w:position w:val="0"/>
          <w:shd w:val="clear" w:color="auto" w:fill="auto"/>
          <w:lang w:val="hr-HR" w:eastAsia="hr-HR" w:bidi="hr-HR"/>
        </w:rPr>
        <w:t xml:space="preserve">1971: G. </w:t>
      </w:r>
      <w:r>
        <w:rPr>
          <w:color w:val="000000"/>
          <w:spacing w:val="0"/>
          <w:w w:val="100"/>
          <w:position w:val="0"/>
          <w:shd w:val="clear" w:color="auto" w:fill="auto"/>
        </w:rPr>
        <w:t xml:space="preserve">Mooching. </w:t>
      </w:r>
      <w:r>
        <w:rPr>
          <w:i/>
          <w:iCs/>
          <w:color w:val="000000"/>
          <w:spacing w:val="0"/>
          <w:w w:val="100"/>
          <w:position w:val="0"/>
          <w:shd w:val="clear" w:color="auto" w:fill="auto"/>
        </w:rPr>
        <w:t xml:space="preserve">Die Idee </w:t>
      </w:r>
      <w:r>
        <w:rPr>
          <w:i/>
          <w:iCs/>
          <w:color w:val="000000"/>
          <w:spacing w:val="0"/>
          <w:w w:val="100"/>
          <w:position w:val="0"/>
          <w:shd w:val="clear" w:color="auto" w:fill="auto"/>
          <w:lang w:val="hr-HR" w:eastAsia="hr-HR" w:bidi="hr-HR"/>
        </w:rPr>
        <w:t xml:space="preserve">der Šunde, </w:t>
      </w:r>
      <w:r>
        <w:rPr>
          <w:i/>
          <w:iCs/>
          <w:color w:val="000000"/>
          <w:spacing w:val="0"/>
          <w:w w:val="100"/>
          <w:position w:val="0"/>
          <w:shd w:val="clear" w:color="auto" w:fill="auto"/>
        </w:rPr>
        <w:t>ihre Entwick</w:t>
        <w:softHyphen/>
        <w:t>lung tn den Hoc.hreligtonen des Orients und Occidents,</w:t>
      </w:r>
      <w:r>
        <w:rPr>
          <w:color w:val="000000"/>
          <w:spacing w:val="0"/>
          <w:w w:val="100"/>
          <w:position w:val="0"/>
          <w:shd w:val="clear" w:color="auto" w:fill="auto"/>
        </w:rPr>
        <w:t xml:space="preserve"> Leip</w:t>
        <w:softHyphen/>
        <w:t xml:space="preserve">zig 1931; P. Schoenenberg, Dcr Mensch in dcr Sundc, u: </w:t>
      </w:r>
      <w:r>
        <w:rPr>
          <w:i/>
          <w:iCs/>
          <w:color w:val="000000"/>
          <w:spacing w:val="0"/>
          <w:w w:val="100"/>
          <w:position w:val="0"/>
          <w:shd w:val="clear" w:color="auto" w:fill="auto"/>
        </w:rPr>
        <w:t>Mysteriurn Salulis</w:t>
      </w:r>
      <w:r>
        <w:rPr>
          <w:color w:val="000000"/>
          <w:spacing w:val="0"/>
          <w:w w:val="100"/>
          <w:position w:val="0"/>
          <w:shd w:val="clear" w:color="auto" w:fill="auto"/>
        </w:rPr>
        <w:t xml:space="preserve"> 11. Einsicdcln 1967, #45-941; J’. Stolz, </w:t>
      </w:r>
      <w:r>
        <w:rPr>
          <w:i/>
          <w:iCs/>
          <w:color w:val="000000"/>
          <w:spacing w:val="0"/>
          <w:w w:val="100"/>
          <w:position w:val="0"/>
          <w:shd w:val="clear" w:color="auto" w:fill="auto"/>
        </w:rPr>
        <w:t>Chrisientum,</w:t>
      </w:r>
      <w:r>
        <w:rPr>
          <w:color w:val="000000"/>
          <w:spacing w:val="0"/>
          <w:w w:val="100"/>
          <w:position w:val="0"/>
          <w:shd w:val="clear" w:color="auto" w:fill="auto"/>
        </w:rPr>
        <w:t xml:space="preserve"> Gottingen 19K5. X#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 U. IWORUSCHKA</w:t>
      </w:r>
    </w:p>
    <w:p>
      <w:pPr>
        <w:pStyle w:val="Style63"/>
        <w:keepNext/>
        <w:keepLines/>
        <w:widowControl w:val="0"/>
        <w:numPr>
          <w:ilvl w:val="0"/>
          <w:numId w:val="147"/>
        </w:numPr>
        <w:shd w:val="clear" w:color="auto" w:fill="auto"/>
        <w:tabs>
          <w:tab w:pos="265" w:val="left"/>
        </w:tabs>
        <w:bidi w:val="0"/>
        <w:spacing w:before="0"/>
        <w:ind w:left="0" w:right="0" w:firstLine="0"/>
        <w:jc w:val="both"/>
      </w:pPr>
      <w:bookmarkStart w:id="109" w:name="bookmark109"/>
      <w:r>
        <w:rPr>
          <w:rFonts w:ascii="Times New Roman" w:eastAsia="Times New Roman" w:hAnsi="Times New Roman" w:cs="Times New Roman"/>
          <w:color w:val="000000"/>
          <w:spacing w:val="0"/>
          <w:w w:val="100"/>
          <w:position w:val="0"/>
          <w:shd w:val="clear" w:color="auto" w:fill="auto"/>
          <w:lang w:val="hr-HR" w:eastAsia="hr-HR" w:bidi="hr-HR"/>
        </w:rPr>
        <w:t>islamski</w:t>
      </w:r>
      <w:bookmarkEnd w:id="10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 jc namjerni prijestup protiv božanske nor</w:t>
        <w:softHyphen/>
        <w:t>me, ali i povreda prava. Izvjesni grijesi povrc- duju dodatno i ćudorednost. Svaki je zločin automatski i g. U muslimanskom nauku o mo</w:t>
        <w:softHyphen/>
        <w:t xml:space="preserve">ralu nije uobičajeno razlikovanje smrtnih i oprostivih grijeha. Razlog za to mogao bi ležati u narednom stihu iz Kurana: »O moji robovi, koji ste </w:t>
      </w:r>
      <w:r>
        <w:rPr>
          <w:rFonts w:ascii="Times New Roman" w:eastAsia="Times New Roman" w:hAnsi="Times New Roman" w:cs="Times New Roman"/>
          <w:i/>
          <w:iCs/>
          <w:color w:val="000000"/>
          <w:spacing w:val="0"/>
          <w:w w:val="100"/>
          <w:position w:val="0"/>
          <w:shd w:val="clear" w:color="auto" w:fill="auto"/>
          <w:lang w:val="hr-HR" w:eastAsia="hr-HR" w:bidi="hr-HR"/>
        </w:rPr>
        <w:t>(pretjerujući u zlim djelima)</w:t>
      </w:r>
      <w:r>
        <w:rPr>
          <w:rFonts w:ascii="Times New Roman" w:eastAsia="Times New Roman" w:hAnsi="Times New Roman" w:cs="Times New Roman"/>
          <w:color w:val="000000"/>
          <w:spacing w:val="0"/>
          <w:w w:val="100"/>
          <w:position w:val="0"/>
          <w:shd w:val="clear" w:color="auto" w:fill="auto"/>
          <w:lang w:val="hr-HR" w:eastAsia="hr-HR" w:bidi="hr-HR"/>
        </w:rPr>
        <w:t xml:space="preserve"> či</w:t>
        <w:softHyphen/>
        <w:t>nili zločin prema sebi, ne gubite nadu u Božju milost, jer Bog zaista oprašta sve grijehe« (39,53). Po Kuranu, najteži je g. pridruživanje drugih božanstava jednomu Bogu. Njime se povređuje Božje pravo. Povrede te vrste mogu se ublažiti prihvaćanjem propisane kazne. Inače ostaje nada da će ih oprostiti Bog. Ljudi na bilo koji način moraju ispraviti svoje gri</w:t>
        <w:softHyphen/>
        <w:t>jehe kako bi se smatrali otklonjenim. Teški zločini spadaju u kategoriju velikih grijeha. »Glavni grijesi« ne ograničuju se na sedam kao u katoličkom nauku o moralu; oni se pro</w:t>
        <w:softHyphen/>
        <w:t>širuju za nekoliko drugih: klevetanje, nemo</w:t>
        <w:softHyphen/>
      </w:r>
      <w:r>
        <w:rPr>
          <w:rFonts w:ascii="Times New Roman" w:eastAsia="Times New Roman" w:hAnsi="Times New Roman" w:cs="Times New Roman"/>
          <w:color w:val="000000"/>
          <w:spacing w:val="0"/>
          <w:w w:val="100"/>
          <w:position w:val="0"/>
          <w:shd w:val="clear" w:color="auto" w:fill="auto"/>
          <w:lang w:val="hr-HR" w:eastAsia="hr-HR" w:bidi="hr-HR"/>
        </w:rPr>
        <w:t>ralnost, rđavo ogovaranje, krivo svjedočenje, nadmenost, škrtost, zavist, neumjerenost i srdžba.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Prikladnim vođenjem života vjernik treba iz</w:t>
        <w:softHyphen/>
        <w:t>bjegavati iskušenja i grijehe. Za to najbolje služi post. U oprost grijeha čovjek se može na</w:t>
        <w:softHyphen/>
        <w:t>dati tek nakon odgovarajućega pokajanja i nji</w:t>
        <w:softHyphen/>
        <w:t>hova ispravljanja. Nema oslobađanja od grije</w:t>
        <w:softHyphen/>
        <w:t>ha od strane nekoga religioznog organa. Naj</w:t>
        <w:softHyphen/>
        <w:t>viša i zadnja instancija je Bog, o kojemu Mu</w:t>
        <w:softHyphen/>
        <w:t xml:space="preserve">hamed kaže: »Ako čovjek učini jedan korak prema Bogu, onda Bog čini dva koraka prema čovjeku«. Svaki jc čovjek po svojoj stvorenosti slab i stoga grešan. </w:t>
      </w:r>
      <w:r>
        <w:rPr>
          <w:rFonts w:ascii="Times New Roman" w:eastAsia="Times New Roman" w:hAnsi="Times New Roman" w:cs="Times New Roman"/>
          <w:i/>
          <w:iCs/>
          <w:color w:val="000000"/>
          <w:spacing w:val="0"/>
          <w:w w:val="100"/>
          <w:position w:val="0"/>
          <w:shd w:val="clear" w:color="auto" w:fill="auto"/>
          <w:lang w:val="hr-HR" w:eastAsia="hr-HR" w:bidi="hr-HR"/>
        </w:rPr>
        <w:t>Šijitski</w:t>
      </w:r>
      <w:r>
        <w:rPr>
          <w:rFonts w:ascii="Times New Roman" w:eastAsia="Times New Roman" w:hAnsi="Times New Roman" w:cs="Times New Roman"/>
          <w:color w:val="000000"/>
          <w:spacing w:val="0"/>
          <w:w w:val="100"/>
          <w:position w:val="0"/>
          <w:shd w:val="clear" w:color="auto" w:fill="auto"/>
          <w:lang w:val="hr-HR" w:eastAsia="hr-HR" w:bidi="hr-HR"/>
        </w:rPr>
        <w:t xml:space="preserve"> je islam uvijek raz</w:t>
        <w:softHyphen/>
        <w:t>vijao teoriju prema kojoj su imami bezgrešni. Dogmatski princip te bezgrešnosti i nepogre</w:t>
        <w:softHyphen/>
        <w:t>šivosti utemeljuje fleksibilnije shvaćanje ob</w:t>
        <w:softHyphen/>
        <w:t>jave kod šijita u usporedbi sa shvaćanjem koje zastupa sunitska većina.</w:t>
      </w:r>
    </w:p>
    <w:p>
      <w:pPr>
        <w:pStyle w:val="Style56"/>
        <w:keepNext w:val="0"/>
        <w:keepLines w:val="0"/>
        <w:widowControl w:val="0"/>
        <w:shd w:val="clear" w:color="auto" w:fill="auto"/>
        <w:tabs>
          <w:tab w:pos="2520" w:val="left"/>
        </w:tabs>
        <w:bidi w:val="0"/>
        <w:spacing w:before="0" w:after="40" w:line="240" w:lineRule="auto"/>
        <w:ind w:left="0" w:right="0" w:firstLine="0"/>
        <w:jc w:val="both"/>
        <w:sectPr>
          <w:headerReference w:type="default" r:id="rId475"/>
          <w:footerReference w:type="default" r:id="rId476"/>
          <w:headerReference w:type="even" r:id="rId477"/>
          <w:footerReference w:type="even" r:id="rId478"/>
          <w:footnotePr>
            <w:pos w:val="pageBottom"/>
            <w:numFmt w:val="decimal"/>
            <w:numStart w:val="5"/>
            <w:numRestart w:val="continuous"/>
            <w15:footnoteColumns w:val="1"/>
          </w:footnotePr>
          <w:type w:val="continuous"/>
          <w:pgSz w:w="6816" w:h="11006"/>
          <w:pgMar w:top="1027" w:left="190" w:right="193" w:bottom="476" w:header="0" w:footer="48" w:gutter="0"/>
          <w:cols w:num="2" w:space="192"/>
          <w:noEndnote/>
          <w:rtlGutter w:val="0"/>
          <w:docGrid w:linePitch="360"/>
        </w:sectPr>
      </w:pPr>
      <w:r>
        <w:rPr>
          <w:color w:val="000000"/>
          <w:spacing w:val="0"/>
          <w:w w:val="100"/>
          <w:position w:val="0"/>
          <w:shd w:val="clear" w:color="auto" w:fill="auto"/>
        </w:rPr>
        <w:t xml:space="preserve">Lit.: Muhammad </w:t>
      </w:r>
      <w:r>
        <w:rPr>
          <w:color w:val="000000"/>
          <w:spacing w:val="0"/>
          <w:w w:val="100"/>
          <w:position w:val="0"/>
          <w:shd w:val="clear" w:color="auto" w:fill="auto"/>
          <w:lang w:val="hr-HR" w:eastAsia="hr-HR" w:bidi="hr-HR"/>
        </w:rPr>
        <w:t xml:space="preserve">Hamidullali,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Islam,</w:t>
      </w:r>
      <w:r>
        <w:rPr>
          <w:color w:val="000000"/>
          <w:spacing w:val="0"/>
          <w:w w:val="100"/>
          <w:position w:val="0"/>
          <w:shd w:val="clear" w:color="auto" w:fill="auto"/>
        </w:rPr>
        <w:t xml:space="preserve"> Kuwaii/Salmiya, </w:t>
      </w:r>
      <w:r>
        <w:rPr>
          <w:color w:val="000000"/>
          <w:spacing w:val="0"/>
          <w:w w:val="100"/>
          <w:position w:val="0"/>
          <w:shd w:val="clear" w:color="auto" w:fill="auto"/>
          <w:lang w:val="hr-HR" w:eastAsia="hr-HR" w:bidi="hr-HR"/>
        </w:rPr>
        <w:t xml:space="preserve">1976,158-160; </w:t>
      </w:r>
      <w:r>
        <w:rPr>
          <w:color w:val="000000"/>
          <w:spacing w:val="0"/>
          <w:w w:val="100"/>
          <w:position w:val="0"/>
          <w:shd w:val="clear" w:color="auto" w:fill="auto"/>
        </w:rPr>
        <w:t xml:space="preserve">Alfred Nielsen, </w:t>
      </w:r>
      <w:r>
        <w:rPr>
          <w:color w:val="000000"/>
          <w:spacing w:val="0"/>
          <w:w w:val="100"/>
          <w:position w:val="0"/>
          <w:shd w:val="clear" w:color="auto" w:fill="auto"/>
          <w:lang w:val="hr-HR" w:eastAsia="hr-HR" w:bidi="hr-HR"/>
        </w:rPr>
        <w:t xml:space="preserve">Šunde und Schuld im Islam, u: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Orient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7(1935), 126-131.</w:t>
        <w:tab/>
        <w:t>S.B/V.IĆ</w:t>
      </w:r>
    </w:p>
    <w:p>
      <w:pPr>
        <w:rPr>
          <w:sz w:val="2"/>
          <w:szCs w:val="2"/>
        </w:rPr>
        <w:sectPr>
          <w:footnotePr>
            <w:pos w:val="pageBottom"/>
            <w:numFmt w:val="decimal"/>
            <w:numStart w:val="5"/>
            <w:numRestart w:val="continuous"/>
            <w15:footnoteColumns w:val="1"/>
          </w:footnotePr>
          <w:type w:val="continuous"/>
          <w:pgSz w:w="6816" w:h="11006"/>
          <w:pgMar w:top="1027" w:left="190" w:right="193" w:bottom="476" w:header="0" w:footer="3" w:gutter="0"/>
          <w:cols w:num="2" w:space="192"/>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90" w:after="90" w:line="240" w:lineRule="exact"/>
        <w:rPr>
          <w:sz w:val="19"/>
          <w:szCs w:val="19"/>
        </w:rPr>
      </w:pPr>
    </w:p>
    <w:p>
      <w:pPr>
        <w:widowControl w:val="0"/>
        <w:spacing w:line="1" w:lineRule="exact"/>
        <w:sectPr>
          <w:headerReference w:type="default" r:id="rId479"/>
          <w:footerReference w:type="default" r:id="rId480"/>
          <w:headerReference w:type="even" r:id="rId481"/>
          <w:footerReference w:type="even" r:id="rId482"/>
          <w:headerReference w:type="first" r:id="rId483"/>
          <w:footerReference w:type="first" r:id="rId484"/>
          <w:footnotePr>
            <w:pos w:val="pageBottom"/>
            <w:numFmt w:val="decimal"/>
            <w:numStart w:val="5"/>
            <w:numRestart w:val="continuous"/>
            <w15:footnoteColumns w:val="1"/>
          </w:footnotePr>
          <w:pgSz w:w="6816" w:h="11006"/>
          <w:pgMar w:top="987" w:left="169" w:right="172" w:bottom="443" w:header="0" w:footer="3" w:gutter="0"/>
          <w:pgNumType w:start="160"/>
          <w:cols w:num="2" w:space="157"/>
          <w:noEndnote/>
          <w:titlePg/>
          <w:rtlGutter w:val="0"/>
          <w:docGrid w:linePitch="360"/>
        </w:sectPr>
      </w:pP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HADIS</w:t>
      </w:r>
    </w:p>
    <w:p>
      <w:pPr>
        <w:pStyle w:val="Style63"/>
        <w:keepNext/>
        <w:keepLines/>
        <w:widowControl w:val="0"/>
        <w:shd w:val="clear" w:color="auto" w:fill="auto"/>
        <w:bidi w:val="0"/>
        <w:spacing w:before="0" w:line="223" w:lineRule="auto"/>
        <w:ind w:left="0" w:right="0" w:firstLine="0"/>
        <w:jc w:val="both"/>
      </w:pPr>
      <w:bookmarkStart w:id="110" w:name="bookmark110"/>
      <w:r>
        <w:rPr>
          <w:rFonts w:ascii="Times New Roman" w:eastAsia="Times New Roman" w:hAnsi="Times New Roman" w:cs="Times New Roman"/>
          <w:color w:val="000000"/>
          <w:spacing w:val="0"/>
          <w:w w:val="100"/>
          <w:position w:val="0"/>
          <w:shd w:val="clear" w:color="auto" w:fill="auto"/>
          <w:lang w:val="hr-HR" w:eastAsia="hr-HR" w:bidi="hr-HR"/>
        </w:rPr>
        <w:t>islamski</w:t>
      </w:r>
      <w:bookmarkEnd w:id="110"/>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Pod </w:t>
      </w:r>
      <w:r>
        <w:rPr>
          <w:rFonts w:ascii="Times New Roman" w:eastAsia="Times New Roman" w:hAnsi="Times New Roman" w:cs="Times New Roman"/>
          <w:color w:val="000000"/>
          <w:spacing w:val="0"/>
          <w:w w:val="100"/>
          <w:position w:val="0"/>
          <w:shd w:val="clear" w:color="auto" w:fill="auto"/>
          <w:lang w:val="hr-HR" w:eastAsia="hr-HR" w:bidi="hr-HR"/>
        </w:rPr>
        <w:t xml:space="preserve">pojmom </w:t>
      </w:r>
      <w:r>
        <w:rPr>
          <w:rFonts w:ascii="Times New Roman" w:eastAsia="Times New Roman" w:hAnsi="Times New Roman" w:cs="Times New Roman"/>
          <w:color w:val="000000"/>
          <w:spacing w:val="0"/>
          <w:w w:val="100"/>
          <w:position w:val="0"/>
          <w:shd w:val="clear" w:color="auto" w:fill="auto"/>
          <w:lang w:val="en-US" w:eastAsia="en-US" w:bidi="en-US"/>
        </w:rPr>
        <w:t xml:space="preserve">hadis (hadith) </w:t>
      </w:r>
      <w:r>
        <w:rPr>
          <w:rFonts w:ascii="Times New Roman" w:eastAsia="Times New Roman" w:hAnsi="Times New Roman" w:cs="Times New Roman"/>
          <w:color w:val="000000"/>
          <w:spacing w:val="0"/>
          <w:w w:val="100"/>
          <w:position w:val="0"/>
          <w:shd w:val="clear" w:color="auto" w:fill="auto"/>
          <w:lang w:val="hr-HR" w:eastAsia="hr-HR" w:bidi="hr-HR"/>
        </w:rPr>
        <w:t xml:space="preserve">podrazumijeva se izvješće </w:t>
      </w:r>
      <w:r>
        <w:rPr>
          <w:rFonts w:ascii="Times New Roman" w:eastAsia="Times New Roman" w:hAnsi="Times New Roman" w:cs="Times New Roman"/>
          <w:color w:val="000000"/>
          <w:spacing w:val="0"/>
          <w:w w:val="100"/>
          <w:position w:val="0"/>
          <w:shd w:val="clear" w:color="auto" w:fill="auto"/>
          <w:lang w:val="en-US" w:eastAsia="en-US" w:bidi="en-US"/>
        </w:rPr>
        <w:t xml:space="preserve">o Muhamedovim </w:t>
      </w:r>
      <w:r>
        <w:rPr>
          <w:rFonts w:ascii="Times New Roman" w:eastAsia="Times New Roman" w:hAnsi="Times New Roman" w:cs="Times New Roman"/>
          <w:color w:val="000000"/>
          <w:spacing w:val="0"/>
          <w:w w:val="100"/>
          <w:position w:val="0"/>
          <w:shd w:val="clear" w:color="auto" w:fill="auto"/>
          <w:lang w:val="hr-HR" w:eastAsia="hr-HR" w:bidi="hr-HR"/>
        </w:rPr>
        <w:t>izjavama, djelima, prešutnim odobravanjima ili ponašanju. Time se između ostaloga označuje i ukupnost tih iz</w:t>
        <w:softHyphen/>
        <w:t xml:space="preserve">vješća, tako da h. zrcali drugi izvor islama -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Predmet hadisa izravno je ili neizravno vjerovjesnikova osoba. Gledano religijsko-ti- pološki, one odgovaraju evanđeljima koja za</w:t>
        <w:softHyphen/>
        <w:t>pravo također obrađuju povijest jednoga reli</w:t>
        <w:softHyphen/>
        <w:t>gijskog vjeroučitelja. No takva se usporedba ipak ogtješuje o osjećaje muslimana koji u evanđeljima - ili točnije u Evanđelju - isklju</w:t>
        <w:softHyphen/>
        <w:t>čivo očekuje autentične Isusove riječi koje su izrečene po Božjemu nalogu, naime u njega udahnutu objavu.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Prve hadise potječu razumljivo od Muhame- dovih sljedbenika ili srodnika. Od njih su one slušane i u nizu daljnjih predavatelja ostavlje</w:t>
        <w:softHyphen/>
        <w:t>ne u naslijeđe potomstvu. Tradicionalna kri</w:t>
        <w:softHyphen/>
        <w:t>tika hadisa ograničuje se na provjeravanje vje</w:t>
        <w:softHyphen/>
        <w:t>rodostojnosti osoba koje se pojavljuju u do</w:t>
        <w:softHyphen/>
        <w:t>tičnom nizu predavatelja. Nasuprot tomu, u novije se vrijeme može susresti kritika teksta. Način historijskoga pristupa hadisima objaš</w:t>
        <w:softHyphen/>
        <w:t>njava zašto se u tom naslijeđu nalaze brojna krivotvorena izvješća. Abu Hanifa (AbQ Ha- nifa, 699-767), utemeljitelj hanefitske pravne škole, apsolutno čistim smatra samo sedam</w:t>
        <w:softHyphen/>
        <w:t xml:space="preserve">naest hadisa </w:t>
      </w:r>
      <w:r>
        <w:rPr>
          <w:rFonts w:ascii="Times New Roman" w:eastAsia="Times New Roman" w:hAnsi="Times New Roman" w:cs="Times New Roman"/>
          <w:color w:val="000000"/>
          <w:spacing w:val="0"/>
          <w:w w:val="100"/>
          <w:position w:val="0"/>
          <w:shd w:val="clear" w:color="auto" w:fill="auto"/>
          <w:lang w:val="en-US" w:eastAsia="en-US" w:bidi="en-US"/>
        </w:rPr>
        <w:t xml:space="preserve">(Osman Nuri </w:t>
      </w:r>
      <w:r>
        <w:rPr>
          <w:rFonts w:ascii="Times New Roman" w:eastAsia="Times New Roman" w:hAnsi="Times New Roman" w:cs="Times New Roman"/>
          <w:color w:val="000000"/>
          <w:spacing w:val="0"/>
          <w:w w:val="100"/>
          <w:position w:val="0"/>
          <w:shd w:val="clear" w:color="auto" w:fill="auto"/>
          <w:lang w:val="hr-HR" w:eastAsia="hr-HR" w:bidi="hr-HR"/>
        </w:rPr>
        <w:t xml:space="preserve">Iladžić, </w:t>
      </w:r>
      <w:r>
        <w:rPr>
          <w:rFonts w:ascii="Times New Roman" w:eastAsia="Times New Roman" w:hAnsi="Times New Roman" w:cs="Times New Roman"/>
          <w:i/>
          <w:iCs/>
          <w:color w:val="000000"/>
          <w:spacing w:val="0"/>
          <w:w w:val="100"/>
          <w:position w:val="0"/>
          <w:shd w:val="clear" w:color="auto" w:fill="auto"/>
          <w:lang w:val="hr-HR" w:eastAsia="hr-HR" w:bidi="hr-HR"/>
        </w:rPr>
        <w:t>Muhamed a.s. i Kur'an,</w:t>
      </w:r>
      <w:r>
        <w:rPr>
          <w:rFonts w:ascii="Times New Roman" w:eastAsia="Times New Roman" w:hAnsi="Times New Roman" w:cs="Times New Roman"/>
          <w:color w:val="000000"/>
          <w:spacing w:val="0"/>
          <w:w w:val="100"/>
          <w:position w:val="0"/>
          <w:shd w:val="clear" w:color="auto" w:fill="auto"/>
          <w:lang w:val="hr-HR" w:eastAsia="hr-HR" w:bidi="hr-HR"/>
        </w:rPr>
        <w:t xml:space="preserve"> Sarajevo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1968, 181). Sve skupa on pridaje važnost 100 hadisa.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 IX. stoljeća potječe šest kanonski priznatih zbirki hadisa. Na vrhu su dvije hadise koje potječu od Muhameda al-Buharija </w:t>
      </w:r>
      <w:r>
        <w:rPr>
          <w:rFonts w:ascii="Times New Roman" w:eastAsia="Times New Roman" w:hAnsi="Times New Roman" w:cs="Times New Roman"/>
          <w:color w:val="000000"/>
          <w:spacing w:val="0"/>
          <w:w w:val="100"/>
          <w:position w:val="0"/>
          <w:shd w:val="clear" w:color="auto" w:fill="auto"/>
          <w:lang w:val="en-US" w:eastAsia="en-US" w:bidi="en-US"/>
        </w:rPr>
        <w:t>(Muham</w:t>
        <w:softHyphen/>
        <w:t xml:space="preserve">mad </w:t>
      </w:r>
      <w:r>
        <w:rPr>
          <w:rFonts w:ascii="Times New Roman" w:eastAsia="Times New Roman" w:hAnsi="Times New Roman" w:cs="Times New Roman"/>
          <w:color w:val="000000"/>
          <w:spacing w:val="0"/>
          <w:w w:val="100"/>
          <w:position w:val="0"/>
          <w:shd w:val="clear" w:color="auto" w:fill="auto"/>
          <w:lang w:val="hr-HR" w:eastAsia="hr-HR" w:bidi="hr-HR"/>
        </w:rPr>
        <w:t xml:space="preserve">al-BukhSn) i </w:t>
      </w:r>
      <w:r>
        <w:rPr>
          <w:rFonts w:ascii="Times New Roman" w:eastAsia="Times New Roman" w:hAnsi="Times New Roman" w:cs="Times New Roman"/>
          <w:color w:val="000000"/>
          <w:spacing w:val="0"/>
          <w:w w:val="100"/>
          <w:position w:val="0"/>
          <w:shd w:val="clear" w:color="auto" w:fill="auto"/>
          <w:lang w:val="en-US" w:eastAsia="en-US" w:bidi="en-US"/>
        </w:rPr>
        <w:t xml:space="preserve">Muslima </w:t>
      </w:r>
      <w:r>
        <w:rPr>
          <w:rFonts w:ascii="Times New Roman" w:eastAsia="Times New Roman" w:hAnsi="Times New Roman" w:cs="Times New Roman"/>
          <w:color w:val="000000"/>
          <w:spacing w:val="0"/>
          <w:w w:val="100"/>
          <w:position w:val="0"/>
          <w:shd w:val="clear" w:color="auto" w:fill="auto"/>
          <w:lang w:val="hr-HR" w:eastAsia="hr-HR" w:bidi="hr-HR"/>
        </w:rPr>
        <w:t xml:space="preserve">ibn al-Hadžađa </w:t>
      </w:r>
      <w:r>
        <w:rPr>
          <w:rFonts w:ascii="Times New Roman" w:eastAsia="Times New Roman" w:hAnsi="Times New Roman" w:cs="Times New Roman"/>
          <w:color w:val="000000"/>
          <w:spacing w:val="0"/>
          <w:w w:val="100"/>
          <w:position w:val="0"/>
          <w:shd w:val="clear" w:color="auto" w:fill="auto"/>
          <w:lang w:val="en-US" w:eastAsia="en-US" w:bidi="en-US"/>
        </w:rPr>
        <w:t xml:space="preserve">(Muslim </w:t>
      </w:r>
      <w:r>
        <w:rPr>
          <w:rFonts w:ascii="Times New Roman" w:eastAsia="Times New Roman" w:hAnsi="Times New Roman" w:cs="Times New Roman"/>
          <w:color w:val="000000"/>
          <w:spacing w:val="0"/>
          <w:w w:val="100"/>
          <w:position w:val="0"/>
          <w:shd w:val="clear" w:color="auto" w:fill="auto"/>
          <w:lang w:val="hr-HR" w:eastAsia="hr-HR" w:bidi="hr-HR"/>
        </w:rPr>
        <w:t xml:space="preserve">ibn al-I Iadjjadj). Tradicionalistički usmjerene skupine unutar islama (ahl al-h) prilikom svojih teoloških razmišljanja rado se </w:t>
      </w:r>
      <w:r>
        <w:rPr>
          <w:rFonts w:ascii="Times New Roman" w:eastAsia="Times New Roman" w:hAnsi="Times New Roman" w:cs="Times New Roman"/>
          <w:color w:val="000000"/>
          <w:spacing w:val="0"/>
          <w:w w:val="100"/>
          <w:position w:val="0"/>
          <w:shd w:val="clear" w:color="auto" w:fill="auto"/>
          <w:lang w:val="hr-HR" w:eastAsia="hr-HR" w:bidi="hr-HR"/>
        </w:rPr>
        <w:t>služe kazuističkom metodom argumentiranja. Jedno od središnjih pitanja islamskog aagior- namenta jest odnos vjernika prema hadisu u sekularno doba. Muhamed je u islamskome shvaćanju vjere doduše samo »Božji sluga i poslanik«; no, unatoč tomu, njegov životni pri</w:t>
        <w:softHyphen/>
        <w:t>mjer važi kao ono što je najdostojnije opona</w:t>
        <w:softHyphen/>
        <w:t>šanja. Mnoštvo ga vjernika smatra savršenim čovjekom naprosto. Njegovi se postupci opo</w:t>
        <w:softHyphen/>
        <w:t>našaju. Ovdje leže korijeni jedne iscrpne tra</w:t>
        <w:softHyphen/>
        <w:t>dicije koja život mnogih vjernika čini šablo- niziranim i lišenim duhovnosti.</w:t>
      </w:r>
    </w:p>
    <w:p>
      <w:pPr>
        <w:pStyle w:val="Style20"/>
        <w:keepNext w:val="0"/>
        <w:keepLines w:val="0"/>
        <w:widowControl w:val="0"/>
        <w:shd w:val="clear" w:color="auto" w:fill="auto"/>
        <w:tabs>
          <w:tab w:pos="2573" w:val="left"/>
        </w:tabs>
        <w:bidi w:val="0"/>
        <w:spacing w:before="0" w:after="30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Ahl al-h svjesno ili nesvjesno predstavljaju za</w:t>
        <w:softHyphen/>
        <w:t>govornike arapskoga načina života. U duhov</w:t>
        <w:softHyphen/>
        <w:t>nom uzvisivanju Muhamedove osobe može se zamijetiti prilagodba kršćanskom stavu prema Kristovoj osobi. Prema tom konceptu radikal</w:t>
        <w:softHyphen/>
        <w:t>nih tradicionalista islam se reducira na meha</w:t>
        <w:softHyphen/>
        <w:t xml:space="preserve">ničko slijeđenje davno ustaljenih životnih šablona. Krajnje konzervativni elementi su na čudnovat način upravo oni koji luđe misli i oznake uvode u islamsku teologiju. U njihovu se vokabularu susreću npr. tipični kršćanski termini </w:t>
      </w:r>
      <w:r>
        <w:rPr>
          <w:rFonts w:ascii="Times New Roman" w:eastAsia="Times New Roman" w:hAnsi="Times New Roman" w:cs="Times New Roman"/>
          <w:i/>
          <w:iCs/>
          <w:color w:val="000000"/>
          <w:spacing w:val="0"/>
          <w:w w:val="100"/>
          <w:position w:val="0"/>
          <w:shd w:val="clear" w:color="auto" w:fill="auto"/>
          <w:lang w:val="hr-HR" w:eastAsia="hr-HR" w:bidi="hr-HR"/>
        </w:rPr>
        <w:t>A(nno) D(omini) -</w:t>
      </w:r>
      <w:r>
        <w:rPr>
          <w:rFonts w:ascii="Times New Roman" w:eastAsia="Times New Roman" w:hAnsi="Times New Roman" w:cs="Times New Roman"/>
          <w:color w:val="000000"/>
          <w:spacing w:val="0"/>
          <w:w w:val="100"/>
          <w:position w:val="0"/>
          <w:shd w:val="clear" w:color="auto" w:fill="auto"/>
          <w:lang w:val="hr-HR" w:eastAsia="hr-HR" w:bidi="hr-HR"/>
        </w:rPr>
        <w:t xml:space="preserve"> čak u jednom pri</w:t>
        <w:softHyphen/>
        <w:t xml:space="preserve">jevodu Kurana -, sveta duša, sveti Muhamed, </w:t>
      </w:r>
      <w:r>
        <w:rPr>
          <w:rFonts w:ascii="Times New Roman" w:eastAsia="Times New Roman" w:hAnsi="Times New Roman" w:cs="Times New Roman"/>
          <w:i/>
          <w:iCs/>
          <w:color w:val="000000"/>
          <w:spacing w:val="0"/>
          <w:w w:val="100"/>
          <w:position w:val="0"/>
          <w:shd w:val="clear" w:color="auto" w:fill="auto"/>
          <w:lang w:val="hr-HR" w:eastAsia="hr-HR" w:bidi="hr-HR"/>
        </w:rPr>
        <w:t>posvećenje</w:t>
      </w:r>
      <w:r>
        <w:rPr>
          <w:rFonts w:ascii="Times New Roman" w:eastAsia="Times New Roman" w:hAnsi="Times New Roman" w:cs="Times New Roman"/>
          <w:color w:val="000000"/>
          <w:spacing w:val="0"/>
          <w:w w:val="100"/>
          <w:position w:val="0"/>
          <w:shd w:val="clear" w:color="auto" w:fill="auto"/>
          <w:lang w:val="hr-HR" w:eastAsia="hr-HR" w:bidi="hr-HR"/>
        </w:rPr>
        <w:t xml:space="preserve"> (oznaka za otvaranje, recimo, ne</w:t>
        <w:softHyphen/>
        <w:t xml:space="preserve">koga islamskog centra), </w:t>
      </w:r>
      <w:r>
        <w:rPr>
          <w:rFonts w:ascii="Times New Roman" w:eastAsia="Times New Roman" w:hAnsi="Times New Roman" w:cs="Times New Roman"/>
          <w:i/>
          <w:iCs/>
          <w:color w:val="000000"/>
          <w:spacing w:val="0"/>
          <w:w w:val="100"/>
          <w:position w:val="0"/>
          <w:shd w:val="clear" w:color="auto" w:fill="auto"/>
          <w:lang w:val="hr-HR" w:eastAsia="hr-HR" w:bidi="hr-HR"/>
        </w:rPr>
        <w:t>Njegova svetost</w:t>
      </w:r>
      <w:r>
        <w:rPr>
          <w:rFonts w:ascii="Times New Roman" w:eastAsia="Times New Roman" w:hAnsi="Times New Roman" w:cs="Times New Roman"/>
          <w:color w:val="000000"/>
          <w:spacing w:val="0"/>
          <w:w w:val="100"/>
          <w:position w:val="0"/>
          <w:shd w:val="clear" w:color="auto" w:fill="auto"/>
          <w:lang w:val="hr-HR" w:eastAsia="hr-HR" w:bidi="hr-HR"/>
        </w:rPr>
        <w:t xml:space="preserve"> kao način osiovljavanja 2. imama Kabe, </w:t>
      </w:r>
      <w:r>
        <w:rPr>
          <w:rFonts w:ascii="Times New Roman" w:eastAsia="Times New Roman" w:hAnsi="Times New Roman" w:cs="Times New Roman"/>
          <w:i/>
          <w:iCs/>
          <w:color w:val="000000"/>
          <w:spacing w:val="0"/>
          <w:w w:val="100"/>
          <w:position w:val="0"/>
          <w:shd w:val="clear" w:color="auto" w:fill="auto"/>
          <w:lang w:val="hr-HR" w:eastAsia="hr-HR" w:bidi="hr-HR"/>
        </w:rPr>
        <w:t>Svjetski džamijski savjet</w:t>
      </w:r>
      <w:r>
        <w:rPr>
          <w:rFonts w:ascii="Times New Roman" w:eastAsia="Times New Roman" w:hAnsi="Times New Roman" w:cs="Times New Roman"/>
          <w:color w:val="000000"/>
          <w:spacing w:val="0"/>
          <w:w w:val="100"/>
          <w:position w:val="0"/>
          <w:shd w:val="clear" w:color="auto" w:fill="auto"/>
          <w:lang w:val="hr-HR" w:eastAsia="hr-HR" w:bidi="hr-HR"/>
        </w:rPr>
        <w:t xml:space="preserve"> (kao prilagodba Svjetskom sa</w:t>
        <w:softHyphen/>
        <w:t>vjetu crkava) i tomu si.</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HASIDIZAM -&gt; MISTIKA, -&gt;</w:t>
      </w:r>
    </w:p>
    <w:p>
      <w:pPr>
        <w:pStyle w:val="Style33"/>
        <w:keepNext w:val="0"/>
        <w:keepLines w:val="0"/>
        <w:widowControl w:val="0"/>
        <w:shd w:val="clear" w:color="auto" w:fill="auto"/>
        <w:bidi w:val="0"/>
        <w:spacing w:before="0" w:after="24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DUHOVNOST</w:t>
      </w:r>
    </w:p>
    <w:p>
      <w:pPr>
        <w:pStyle w:val="Style33"/>
        <w:keepNext w:val="0"/>
        <w:keepLines w:val="0"/>
        <w:widowControl w:val="0"/>
        <w:shd w:val="clear" w:color="auto" w:fill="auto"/>
        <w:bidi w:val="0"/>
        <w:spacing w:before="0" w:after="16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HEREZA</w:t>
      </w:r>
    </w:p>
    <w:p>
      <w:pPr>
        <w:pStyle w:val="Style63"/>
        <w:keepNext/>
        <w:keepLines/>
        <w:widowControl w:val="0"/>
        <w:numPr>
          <w:ilvl w:val="0"/>
          <w:numId w:val="153"/>
        </w:numPr>
        <w:shd w:val="clear" w:color="auto" w:fill="auto"/>
        <w:tabs>
          <w:tab w:pos="255" w:val="left"/>
        </w:tabs>
        <w:bidi w:val="0"/>
        <w:spacing w:before="0" w:after="80" w:line="216" w:lineRule="auto"/>
        <w:ind w:left="0" w:right="0" w:firstLine="0"/>
        <w:jc w:val="both"/>
      </w:pPr>
      <w:bookmarkStart w:id="111" w:name="bookmark111"/>
      <w:r>
        <w:rPr>
          <w:rFonts w:ascii="Times New Roman" w:eastAsia="Times New Roman" w:hAnsi="Times New Roman" w:cs="Times New Roman"/>
          <w:color w:val="000000"/>
          <w:spacing w:val="0"/>
          <w:w w:val="100"/>
          <w:position w:val="0"/>
          <w:shd w:val="clear" w:color="auto" w:fill="auto"/>
          <w:lang w:val="hr-HR" w:eastAsia="hr-HR" w:bidi="hr-HR"/>
        </w:rPr>
        <w:t>židovski</w:t>
      </w:r>
      <w:bookmarkEnd w:id="111"/>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shvaćanju farizejsko-rabinskoga židov</w:t>
        <w:softHyphen/>
        <w:t>stva »hereza« odnosno »krivovjerje« postoji u svim vrstama »pobune protiv tradicijskog na</w:t>
        <w:softHyphen/>
        <w:t xml:space="preserve">uka« </w:t>
      </w:r>
      <w:r>
        <w:rPr>
          <w:rFonts w:ascii="Times New Roman" w:eastAsia="Times New Roman" w:hAnsi="Times New Roman" w:cs="Times New Roman"/>
          <w:i/>
          <w:iCs/>
          <w:color w:val="000000"/>
          <w:spacing w:val="0"/>
          <w:w w:val="100"/>
          <w:position w:val="0"/>
          <w:shd w:val="clear" w:color="auto" w:fill="auto"/>
          <w:lang w:val="hr-HR" w:eastAsia="hr-HR" w:bidi="hr-HR"/>
        </w:rPr>
        <w:t>(minut),</w:t>
      </w:r>
      <w:r>
        <w:rPr>
          <w:rFonts w:ascii="Times New Roman" w:eastAsia="Times New Roman" w:hAnsi="Times New Roman" w:cs="Times New Roman"/>
          <w:color w:val="000000"/>
          <w:spacing w:val="0"/>
          <w:w w:val="100"/>
          <w:position w:val="0"/>
          <w:shd w:val="clear" w:color="auto" w:fill="auto"/>
          <w:lang w:val="hr-HR" w:eastAsia="hr-HR" w:bidi="hr-HR"/>
        </w:rPr>
        <w:t xml:space="preserve"> bez obzira na to da li je usmje</w:t>
        <w:softHyphen/>
      </w:r>
      <w:r>
        <w:rPr>
          <w:rFonts w:ascii="Times New Roman" w:eastAsia="Times New Roman" w:hAnsi="Times New Roman" w:cs="Times New Roman"/>
          <w:color w:val="000000"/>
          <w:spacing w:val="0"/>
          <w:w w:val="100"/>
          <w:position w:val="0"/>
          <w:shd w:val="clear" w:color="auto" w:fill="auto"/>
          <w:lang w:val="hr-HR" w:eastAsia="hr-HR" w:bidi="hr-HR"/>
        </w:rPr>
        <w:t>rena protiv zapovijedi stavljajući molitvenu kutijicu sa šake na nadlakticu, onu s glave iz</w:t>
        <w:softHyphen/>
        <w:t xml:space="preserve">nad ćela (M </w:t>
      </w:r>
      <w:r>
        <w:rPr>
          <w:rFonts w:ascii="Times New Roman" w:eastAsia="Times New Roman" w:hAnsi="Times New Roman" w:cs="Times New Roman"/>
          <w:color w:val="000000"/>
          <w:spacing w:val="0"/>
          <w:w w:val="100"/>
          <w:position w:val="0"/>
          <w:shd w:val="clear" w:color="auto" w:fill="auto"/>
          <w:lang w:val="en-US" w:eastAsia="en-US" w:bidi="en-US"/>
        </w:rPr>
        <w:t xml:space="preserve">Mcgila </w:t>
      </w:r>
      <w:r>
        <w:rPr>
          <w:rFonts w:ascii="Times New Roman" w:eastAsia="Times New Roman" w:hAnsi="Times New Roman" w:cs="Times New Roman"/>
          <w:color w:val="000000"/>
          <w:spacing w:val="0"/>
          <w:w w:val="100"/>
          <w:position w:val="0"/>
          <w:shd w:val="clear" w:color="auto" w:fill="auto"/>
          <w:lang w:val="hr-HR" w:eastAsia="hr-HR" w:bidi="hr-HR"/>
        </w:rPr>
        <w:t xml:space="preserve">IV,8) ili dovodi u sumnju samu osnovu židovske religije, monoteizam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IV,9). Prema tomu, heretikom se sma</w:t>
        <w:softHyphen/>
        <w:t>tra svaki onaj tko niječe određeni rabin.ski te</w:t>
        <w:softHyphen/>
        <w:t xml:space="preserve">meljni nauk </w:t>
      </w:r>
      <w:r>
        <w:rPr>
          <w:rFonts w:ascii="Times New Roman" w:eastAsia="Times New Roman" w:hAnsi="Times New Roman" w:cs="Times New Roman"/>
          <w:i/>
          <w:iCs/>
          <w:color w:val="000000"/>
          <w:spacing w:val="0"/>
          <w:w w:val="100"/>
          <w:position w:val="0"/>
          <w:shd w:val="clear" w:color="auto" w:fill="auto"/>
          <w:lang w:val="hr-HR" w:eastAsia="hr-HR" w:bidi="hr-HR"/>
        </w:rPr>
        <w:t>(kofer ba'ikar,</w:t>
      </w:r>
      <w:r>
        <w:rPr>
          <w:rFonts w:ascii="Times New Roman" w:eastAsia="Times New Roman" w:hAnsi="Times New Roman" w:cs="Times New Roman"/>
          <w:color w:val="000000"/>
          <w:spacing w:val="0"/>
          <w:w w:val="100"/>
          <w:position w:val="0"/>
          <w:shd w:val="clear" w:color="auto" w:fill="auto"/>
          <w:lang w:val="hr-HR" w:eastAsia="hr-HR" w:bidi="hr-HR"/>
        </w:rPr>
        <w:t xml:space="preserve"> b Bava batra 16b;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16,26) ili ga povrijedi </w:t>
      </w:r>
      <w:r>
        <w:rPr>
          <w:rFonts w:ascii="Times New Roman" w:eastAsia="Times New Roman" w:hAnsi="Times New Roman" w:cs="Times New Roman"/>
          <w:i/>
          <w:iCs/>
          <w:color w:val="000000"/>
          <w:spacing w:val="0"/>
          <w:w w:val="100"/>
          <w:position w:val="0"/>
          <w:shd w:val="clear" w:color="auto" w:fill="auto"/>
          <w:lang w:val="hr-HR" w:eastAsia="hr-HR" w:bidi="hr-HR"/>
        </w:rPr>
        <w:t>(pošet jado ba'ikar,</w:t>
      </w:r>
      <w:r>
        <w:rPr>
          <w:rFonts w:ascii="Times New Roman" w:eastAsia="Times New Roman" w:hAnsi="Times New Roman" w:cs="Times New Roman"/>
          <w:color w:val="000000"/>
          <w:spacing w:val="0"/>
          <w:w w:val="100"/>
          <w:position w:val="0"/>
          <w:shd w:val="clear" w:color="auto" w:fill="auto"/>
          <w:lang w:val="hr-HR" w:eastAsia="hr-HR" w:bidi="hr-HR"/>
        </w:rPr>
        <w:t xml:space="preserve"> j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VI,23c) jer se time »od</w:t>
        <w:softHyphen/>
        <w:t xml:space="preserve">vaja od putova zajednice« </w:t>
      </w:r>
      <w:r>
        <w:rPr>
          <w:rFonts w:ascii="Times New Roman" w:eastAsia="Times New Roman" w:hAnsi="Times New Roman" w:cs="Times New Roman"/>
          <w:i/>
          <w:iCs/>
          <w:color w:val="000000"/>
          <w:spacing w:val="0"/>
          <w:w w:val="100"/>
          <w:position w:val="0"/>
          <w:shd w:val="clear" w:color="auto" w:fill="auto"/>
          <w:lang w:val="hr-HR" w:eastAsia="hr-HR" w:bidi="hr-HR"/>
        </w:rPr>
        <w:t>(poreš midarke ci- bur,</w:t>
      </w:r>
      <w:r>
        <w:rPr>
          <w:rFonts w:ascii="Times New Roman" w:eastAsia="Times New Roman" w:hAnsi="Times New Roman" w:cs="Times New Roman"/>
          <w:color w:val="000000"/>
          <w:spacing w:val="0"/>
          <w:w w:val="100"/>
          <w:position w:val="0"/>
          <w:shd w:val="clear" w:color="auto" w:fill="auto"/>
          <w:lang w:val="hr-HR" w:eastAsia="hr-HR" w:bidi="hr-HR"/>
        </w:rPr>
        <w:t xml:space="preserve"> b Roš ha-šana 17a;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XIII,5) i ne poštuje opomene mudraca: »Hilcl kaže: Ne odvajaj se od zajednice« (M Avot 11,4). Misna navodi temeljne nauke što ih je oblikovalo rabinsko židovstvo: uskrsnuće mrtvih, podrijetlo jedine Tore od Boga i valjanost (pi</w:t>
        <w:softHyphen/>
        <w:t>sane i usmene) Tore. Onima koji je ne poštuju ona ne priznaje pravo »sudjelovanja u budu</w:t>
        <w:softHyphen/>
        <w:t xml:space="preserve">ćem svijetu«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Tema heretici s izričitim proklinjanjem otpadnika </w:t>
      </w:r>
      <w:r>
        <w:rPr>
          <w:rFonts w:ascii="Times New Roman" w:eastAsia="Times New Roman" w:hAnsi="Times New Roman" w:cs="Times New Roman"/>
          <w:i/>
          <w:iCs/>
          <w:color w:val="000000"/>
          <w:spacing w:val="0"/>
          <w:w w:val="100"/>
          <w:position w:val="0"/>
          <w:shd w:val="clear" w:color="auto" w:fill="auto"/>
          <w:lang w:val="en-US" w:eastAsia="en-US" w:bidi="en-US"/>
        </w:rPr>
        <w:t xml:space="preserve">(minim) </w:t>
      </w:r>
      <w:r>
        <w:rPr>
          <w:rFonts w:ascii="Times New Roman" w:eastAsia="Times New Roman" w:hAnsi="Times New Roman" w:cs="Times New Roman"/>
          <w:color w:val="000000"/>
          <w:spacing w:val="0"/>
          <w:w w:val="100"/>
          <w:position w:val="0"/>
          <w:shd w:val="clear" w:color="auto" w:fill="auto"/>
          <w:lang w:val="hr-HR" w:eastAsia="hr-HR" w:bidi="hr-HR"/>
        </w:rPr>
        <w:t xml:space="preserve">ušla je za vrijeme </w:t>
      </w:r>
      <w:r>
        <w:rPr>
          <w:rFonts w:ascii="Times New Roman" w:eastAsia="Times New Roman" w:hAnsi="Times New Roman" w:cs="Times New Roman"/>
          <w:color w:val="000000"/>
          <w:spacing w:val="0"/>
          <w:w w:val="100"/>
          <w:position w:val="0"/>
          <w:shd w:val="clear" w:color="auto" w:fill="auto"/>
          <w:lang w:val="en-US" w:eastAsia="en-US" w:bidi="en-US"/>
        </w:rPr>
        <w:t xml:space="preserve">Gamliela </w:t>
      </w:r>
      <w:r>
        <w:rPr>
          <w:rFonts w:ascii="Times New Roman" w:eastAsia="Times New Roman" w:hAnsi="Times New Roman" w:cs="Times New Roman"/>
          <w:color w:val="000000"/>
          <w:spacing w:val="0"/>
          <w:w w:val="100"/>
          <w:position w:val="0"/>
          <w:shd w:val="clear" w:color="auto" w:fill="auto"/>
          <w:lang w:val="hr-HR" w:eastAsia="hr-HR" w:bidi="hr-HR"/>
        </w:rPr>
        <w:t>II u Javncu, du</w:t>
        <w:softHyphen/>
        <w:t xml:space="preserve">hovnom središtu rabinskoga židovstva nakon razorenja lirama 70. pos. Kr., u molitvu Osamnaest blagoslova kao XII. blagoslov. Prema talmudskom izvoru,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Mali do</w:t>
        <w:softHyphen/>
        <w:t xml:space="preserve">bio je nalog od nasljednika Johanana ben Za- kaja da »sastavi blagoslov protiv </w:t>
      </w:r>
      <w:r>
        <w:rPr>
          <w:rFonts w:ascii="Times New Roman" w:eastAsia="Times New Roman" w:hAnsi="Times New Roman" w:cs="Times New Roman"/>
          <w:i/>
          <w:iCs/>
          <w:color w:val="000000"/>
          <w:spacing w:val="0"/>
          <w:w w:val="100"/>
          <w:position w:val="0"/>
          <w:shd w:val="clear" w:color="auto" w:fill="auto"/>
          <w:lang w:val="hr-HR" w:eastAsia="hr-HR" w:bidi="hr-HR"/>
        </w:rPr>
        <w:t>minim«.</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28b). U tom »otpadnićkom blagoslo</w:t>
        <w:softHyphen/>
        <w:t xml:space="preserve">vu« </w:t>
      </w:r>
      <w:r>
        <w:rPr>
          <w:rFonts w:ascii="Times New Roman" w:eastAsia="Times New Roman" w:hAnsi="Times New Roman" w:cs="Times New Roman"/>
          <w:i/>
          <w:iCs/>
          <w:color w:val="000000"/>
          <w:spacing w:val="0"/>
          <w:w w:val="100"/>
          <w:position w:val="0"/>
          <w:shd w:val="clear" w:color="auto" w:fill="auto"/>
          <w:lang w:val="hr-HR" w:eastAsia="hr-HR" w:bidi="hr-HR"/>
        </w:rPr>
        <w:t>(birkat ha-minim,</w:t>
      </w:r>
      <w:r>
        <w:rPr>
          <w:rFonts w:ascii="Times New Roman" w:eastAsia="Times New Roman" w:hAnsi="Times New Roman" w:cs="Times New Roman"/>
          <w:color w:val="000000"/>
          <w:spacing w:val="0"/>
          <w:w w:val="100"/>
          <w:position w:val="0"/>
          <w:shd w:val="clear" w:color="auto" w:fill="auto"/>
          <w:lang w:val="hr-HR" w:eastAsia="hr-HR" w:bidi="hr-HR"/>
        </w:rPr>
        <w:t xml:space="preserve"> eufemizam za »proklet</w:t>
        <w:softHyphen/>
        <w:t>stvo otpadnika) vjerojatno je posrijedi pre</w:t>
        <w:softHyphen/>
        <w:t>oblikovanje i proširena verzija već korišteno</w:t>
        <w:softHyphen/>
        <w:t>ga blagoslova. Ona je usmjerena protiv raznih židovskih heretika (b Hulin 13b; Rašijev ko</w:t>
        <w:softHyphen/>
        <w:t xml:space="preserve">mentar na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45b) - oni nijeću »budući svijet« (M Berahot IX,5; b Roš ha-šana 17a), bave se idolopoklonstvom (b </w:t>
      </w:r>
      <w:r>
        <w:rPr>
          <w:rFonts w:ascii="Times New Roman" w:eastAsia="Times New Roman" w:hAnsi="Times New Roman" w:cs="Times New Roman"/>
          <w:color w:val="000000"/>
          <w:spacing w:val="0"/>
          <w:w w:val="100"/>
          <w:position w:val="0"/>
          <w:shd w:val="clear" w:color="auto" w:fill="auto"/>
          <w:lang w:val="en-US" w:eastAsia="en-US" w:bidi="en-US"/>
        </w:rPr>
        <w:t xml:space="preserve">Avoda Zara </w:t>
      </w:r>
      <w:r>
        <w:rPr>
          <w:rFonts w:ascii="Times New Roman" w:eastAsia="Times New Roman" w:hAnsi="Times New Roman" w:cs="Times New Roman"/>
          <w:color w:val="000000"/>
          <w:spacing w:val="0"/>
          <w:w w:val="100"/>
          <w:position w:val="0"/>
          <w:shd w:val="clear" w:color="auto" w:fill="auto"/>
          <w:lang w:val="hr-HR" w:eastAsia="hr-HR" w:bidi="hr-HR"/>
        </w:rPr>
        <w:t xml:space="preserve">26b), poriču Boga (b Berahot 12b; Mcgila 25b) - i protiv neprijateljske rimske vlasti. Spominjanje »nocrim« (nazarenci = kršćani) u nekim varijantama ne daje ni u najstarijem obliku teksta niti u judeokršćana povoda za uvođenje »blagoslova protiv heretika«, jer su poslije u njih ubrojeni i kršćani odnosno ju- deokršćani (P. </w:t>
      </w:r>
      <w:r>
        <w:rPr>
          <w:rFonts w:ascii="Times New Roman" w:eastAsia="Times New Roman" w:hAnsi="Times New Roman" w:cs="Times New Roman"/>
          <w:color w:val="000000"/>
          <w:spacing w:val="0"/>
          <w:w w:val="100"/>
          <w:position w:val="0"/>
          <w:shd w:val="clear" w:color="auto" w:fill="auto"/>
          <w:lang w:val="en-US" w:eastAsia="en-US" w:bidi="en-US"/>
        </w:rPr>
        <w:t xml:space="preserve">Schafer,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der Juden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Antike,</w:t>
      </w:r>
      <w:r>
        <w:rPr>
          <w:rFonts w:ascii="Times New Roman" w:eastAsia="Times New Roman" w:hAnsi="Times New Roman" w:cs="Times New Roman"/>
          <w:color w:val="000000"/>
          <w:spacing w:val="0"/>
          <w:w w:val="100"/>
          <w:position w:val="0"/>
          <w:shd w:val="clear" w:color="auto" w:fill="auto"/>
          <w:lang w:val="hr-HR" w:eastAsia="hr-HR" w:bidi="hr-HR"/>
        </w:rPr>
        <w:t xml:space="preserve"> 1983, 154; drukčije H. H. Ben- Sasson (Hrsg.),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des jiidischen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Volkes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1978, 399). - Majmonid (1135-1204) nazvao je heretikom svakoga tko odbacuje »trinaest temeljnih načela«, koja je on u svo</w:t>
        <w:softHyphen/>
        <w:t xml:space="preserve">jem Komentaru Mišne popisao kao vjerska načela židovstva i koja su u pjesničkoj obradi </w:t>
      </w:r>
      <w:r>
        <w:rPr>
          <w:rFonts w:ascii="Times New Roman" w:eastAsia="Times New Roman" w:hAnsi="Times New Roman" w:cs="Times New Roman"/>
          <w:i/>
          <w:iCs/>
          <w:color w:val="000000"/>
          <w:spacing w:val="0"/>
          <w:w w:val="100"/>
          <w:position w:val="0"/>
          <w:shd w:val="clear" w:color="auto" w:fill="auto"/>
          <w:lang w:val="hr-HR" w:eastAsia="hr-HR" w:bidi="hr-HR"/>
        </w:rPr>
        <w:t>(jigdal)</w:t>
      </w:r>
      <w:r>
        <w:rPr>
          <w:rFonts w:ascii="Times New Roman" w:eastAsia="Times New Roman" w:hAnsi="Times New Roman" w:cs="Times New Roman"/>
          <w:color w:val="000000"/>
          <w:spacing w:val="0"/>
          <w:w w:val="100"/>
          <w:position w:val="0"/>
          <w:shd w:val="clear" w:color="auto" w:fill="auto"/>
          <w:lang w:val="hr-HR" w:eastAsia="hr-HR" w:bidi="hr-HR"/>
        </w:rPr>
        <w:t xml:space="preserve"> kao i u molitveniku preuzeta u obliku </w:t>
      </w:r>
      <w:r>
        <w:rPr>
          <w:rFonts w:ascii="Times New Roman" w:eastAsia="Times New Roman" w:hAnsi="Times New Roman" w:cs="Times New Roman"/>
          <w:color w:val="000000"/>
          <w:spacing w:val="0"/>
          <w:w w:val="100"/>
          <w:position w:val="0"/>
          <w:shd w:val="clear" w:color="auto" w:fill="auto"/>
          <w:lang w:val="hr-HR" w:eastAsia="hr-HR" w:bidi="hr-HR"/>
        </w:rPr>
        <w:t>ispovijedi na svršetku jutarnje molitve. - He</w:t>
        <w:softHyphen/>
        <w:t>reticima su vlasti, poslije školski poglavari, na</w:t>
        <w:softHyphen/>
        <w:t xml:space="preserve">posljetku i pojedini rabini odredili izopćenje: najprije je to bilo privremeno isključenje </w:t>
      </w:r>
      <w:r>
        <w:rPr>
          <w:rFonts w:ascii="Times New Roman" w:eastAsia="Times New Roman" w:hAnsi="Times New Roman" w:cs="Times New Roman"/>
          <w:i/>
          <w:iCs/>
          <w:color w:val="000000"/>
          <w:spacing w:val="0"/>
          <w:w w:val="100"/>
          <w:position w:val="0"/>
          <w:shd w:val="clear" w:color="auto" w:fill="auto"/>
          <w:lang w:val="hr-HR" w:eastAsia="hr-HR" w:bidi="hr-HR"/>
        </w:rPr>
        <w:t>(niduj)</w:t>
      </w:r>
      <w:r>
        <w:rPr>
          <w:rFonts w:ascii="Times New Roman" w:eastAsia="Times New Roman" w:hAnsi="Times New Roman" w:cs="Times New Roman"/>
          <w:color w:val="000000"/>
          <w:spacing w:val="0"/>
          <w:w w:val="100"/>
          <w:position w:val="0"/>
          <w:shd w:val="clear" w:color="auto" w:fill="auto"/>
          <w:lang w:val="hr-HR" w:eastAsia="hr-HR" w:bidi="hr-HR"/>
        </w:rPr>
        <w:t xml:space="preserve"> iz zajednice Božjega naroda (M Edu- jot V,6f; b Berahot 19a; Sabat 19b; Kidušin 72a), zatim još jedno proširenje ekskomunika- cije ako se kažnjeni ne pokaje; ako se besko</w:t>
        <w:softHyphen/>
        <w:t>risnim pokazalo i dvaput po trideset dana »iz</w:t>
        <w:softHyphen/>
        <w:t>dvajanja«, sud je kao posljednje kazneno sred</w:t>
        <w:softHyphen/>
        <w:t xml:space="preserve">stvo izricao pooštreno izopćenje </w:t>
      </w:r>
      <w:r>
        <w:rPr>
          <w:rFonts w:ascii="Times New Roman" w:eastAsia="Times New Roman" w:hAnsi="Times New Roman" w:cs="Times New Roman"/>
          <w:i/>
          <w:iCs/>
          <w:color w:val="000000"/>
          <w:spacing w:val="0"/>
          <w:w w:val="100"/>
          <w:position w:val="0"/>
          <w:shd w:val="clear" w:color="auto" w:fill="auto"/>
          <w:lang w:val="en-US" w:eastAsia="en-US" w:bidi="en-US"/>
        </w:rPr>
        <w:t>(herein),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no ono se, prema malobrojnim dokazima, pri</w:t>
        <w:softHyphen/>
        <w:t xml:space="preserve">mjenjivalo vrlo rijetko; kažnjenoga su izolirali iz zajednice i u svakodnevnom životu, ali ga nisu isključivali iz židovstva (H. L. Strack/P. Billcrbeck,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Kommentar zum Neuen Testament aus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Talmud </w:t>
      </w:r>
      <w:r>
        <w:rPr>
          <w:rFonts w:ascii="Times New Roman" w:eastAsia="Times New Roman" w:hAnsi="Times New Roman" w:cs="Times New Roman"/>
          <w:i/>
          <w:iCs/>
          <w:color w:val="000000"/>
          <w:spacing w:val="0"/>
          <w:w w:val="100"/>
          <w:position w:val="0"/>
          <w:shd w:val="clear" w:color="auto" w:fill="auto"/>
          <w:lang w:val="hr-HR" w:eastAsia="hr-HR" w:bidi="hr-HR"/>
        </w:rPr>
        <w:t>tmd Midrasch IVU,</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ć</w:t>
      </w:r>
      <w:r>
        <w:rPr>
          <w:rFonts w:ascii="Times New Roman" w:eastAsia="Times New Roman" w:hAnsi="Times New Roman" w:cs="Times New Roman"/>
          <w:color w:val="000000"/>
          <w:spacing w:val="0"/>
          <w:w w:val="100"/>
          <w:position w:val="0"/>
          <w:shd w:val="clear" w:color="auto" w:fill="auto"/>
          <w:lang w:val="hr-HR" w:eastAsia="hr-HR" w:bidi="hr-HR"/>
        </w:rPr>
        <w:t xml:space="preserve">1975, 293-333,327). - Od heretika valja razlikovati apostata (2 Mak 5,8), otpadnika od židovstva </w:t>
      </w:r>
      <w:r>
        <w:rPr>
          <w:rFonts w:ascii="Times New Roman" w:eastAsia="Times New Roman" w:hAnsi="Times New Roman" w:cs="Times New Roman"/>
          <w:i/>
          <w:iCs/>
          <w:color w:val="000000"/>
          <w:spacing w:val="0"/>
          <w:w w:val="100"/>
          <w:position w:val="0"/>
          <w:shd w:val="clear" w:color="auto" w:fill="auto"/>
          <w:lang w:val="hr-HR" w:eastAsia="hr-HR" w:bidi="hr-HR"/>
        </w:rPr>
        <w:t>(mumar,</w:t>
      </w:r>
      <w:r>
        <w:rPr>
          <w:rFonts w:ascii="Times New Roman" w:eastAsia="Times New Roman" w:hAnsi="Times New Roman" w:cs="Times New Roman"/>
          <w:color w:val="000000"/>
          <w:spacing w:val="0"/>
          <w:w w:val="100"/>
          <w:position w:val="0"/>
          <w:shd w:val="clear" w:color="auto" w:fill="auto"/>
          <w:lang w:val="hr-HR" w:eastAsia="hr-HR" w:bidi="hr-HR"/>
        </w:rPr>
        <w:t xml:space="preserve"> b Hulin 4b) koji prihvaća drugu vje</w:t>
        <w:softHyphen/>
        <w:t>ru, ali se prema propisima smatra i dalje Ži</w:t>
        <w:softHyphen/>
        <w:t xml:space="preserve">dovom (Šulhan aruh. </w:t>
      </w:r>
      <w:r>
        <w:rPr>
          <w:rFonts w:ascii="Times New Roman" w:eastAsia="Times New Roman" w:hAnsi="Times New Roman" w:cs="Times New Roman"/>
          <w:color w:val="000000"/>
          <w:spacing w:val="0"/>
          <w:w w:val="100"/>
          <w:position w:val="0"/>
          <w:shd w:val="clear" w:color="auto" w:fill="auto"/>
          <w:lang w:val="en-US" w:eastAsia="en-US" w:bidi="en-US"/>
        </w:rPr>
        <w:t xml:space="preserve">Even </w:t>
      </w:r>
      <w:r>
        <w:rPr>
          <w:rFonts w:ascii="Times New Roman" w:eastAsia="Times New Roman" w:hAnsi="Times New Roman" w:cs="Times New Roman"/>
          <w:color w:val="000000"/>
          <w:spacing w:val="0"/>
          <w:w w:val="100"/>
          <w:position w:val="0"/>
          <w:shd w:val="clear" w:color="auto" w:fill="auto"/>
          <w:lang w:val="hr-HR" w:eastAsia="hr-HR" w:bidi="hr-HR"/>
        </w:rPr>
        <w:t>ha-eser § 129,5).</w:t>
      </w:r>
    </w:p>
    <w:p>
      <w:pPr>
        <w:pStyle w:val="Style56"/>
        <w:keepNext w:val="0"/>
        <w:keepLines w:val="0"/>
        <w:widowControl w:val="0"/>
        <w:shd w:val="clear" w:color="auto" w:fill="auto"/>
        <w:tabs>
          <w:tab w:pos="2429"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1L </w:t>
      </w:r>
      <w:r>
        <w:rPr>
          <w:color w:val="000000"/>
          <w:spacing w:val="0"/>
          <w:w w:val="100"/>
          <w:position w:val="0"/>
          <w:shd w:val="clear" w:color="auto" w:fill="auto"/>
        </w:rPr>
        <w:t xml:space="preserve">Kraus, </w:t>
      </w:r>
      <w:r>
        <w:rPr>
          <w:i/>
          <w:iCs/>
          <w:color w:val="000000"/>
          <w:spacing w:val="0"/>
          <w:w w:val="100"/>
          <w:position w:val="0"/>
          <w:shd w:val="clear" w:color="auto" w:fill="auto"/>
          <w:lang w:val="hr-HR" w:eastAsia="hr-HR" w:bidi="hr-HR"/>
        </w:rPr>
        <w:t xml:space="preserve">Uegriff tinti </w:t>
      </w:r>
      <w:r>
        <w:rPr>
          <w:i/>
          <w:iCs/>
          <w:color w:val="000000"/>
          <w:spacing w:val="0"/>
          <w:w w:val="100"/>
          <w:position w:val="0"/>
          <w:shd w:val="clear" w:color="auto" w:fill="auto"/>
        </w:rPr>
        <w:t xml:space="preserve">Form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Hdresie nach Talmud </w:t>
      </w:r>
      <w:r>
        <w:rPr>
          <w:i/>
          <w:iCs/>
          <w:color w:val="000000"/>
          <w:spacing w:val="0"/>
          <w:w w:val="100"/>
          <w:position w:val="0"/>
          <w:shd w:val="clear" w:color="auto" w:fill="auto"/>
          <w:lang w:val="hr-HR" w:eastAsia="hr-HR" w:bidi="hr-HR"/>
        </w:rPr>
        <w:t>und Midrasch,</w:t>
      </w:r>
      <w:r>
        <w:rPr>
          <w:color w:val="000000"/>
          <w:spacing w:val="0"/>
          <w:w w:val="100"/>
          <w:position w:val="0"/>
          <w:shd w:val="clear" w:color="auto" w:fill="auto"/>
          <w:lang w:val="hr-HR" w:eastAsia="hr-HR" w:bidi="hr-HR"/>
        </w:rPr>
        <w:t xml:space="preserve"> 1896; </w:t>
      </w:r>
      <w:r>
        <w:rPr>
          <w:i/>
          <w:iCs/>
          <w:color w:val="000000"/>
          <w:spacing w:val="0"/>
          <w:w w:val="100"/>
          <w:position w:val="0"/>
          <w:shd w:val="clear" w:color="auto" w:fill="auto"/>
          <w:lang w:val="hr-HR" w:eastAsia="hr-HR" w:bidi="hr-HR"/>
        </w:rPr>
        <w:t xml:space="preserve">Jtulisches </w:t>
      </w:r>
      <w:r>
        <w:rPr>
          <w:i/>
          <w:iCs/>
          <w:color w:val="000000"/>
          <w:spacing w:val="0"/>
          <w:w w:val="100"/>
          <w:position w:val="0"/>
          <w:shd w:val="clear" w:color="auto" w:fill="auto"/>
        </w:rPr>
        <w:t xml:space="preserve">Lexikon </w:t>
      </w:r>
      <w:r>
        <w:rPr>
          <w:i/>
          <w:iCs/>
          <w:color w:val="000000"/>
          <w:spacing w:val="0"/>
          <w:w w:val="100"/>
          <w:position w:val="0"/>
          <w:shd w:val="clear" w:color="auto" w:fill="auto"/>
          <w:lang w:val="hr-HR" w:eastAsia="hr-HR" w:bidi="hr-HR"/>
        </w:rPr>
        <w:t>III,</w:t>
      </w:r>
      <w:r>
        <w:rPr>
          <w:color w:val="000000"/>
          <w:spacing w:val="0"/>
          <w:w w:val="100"/>
          <w:position w:val="0"/>
          <w:shd w:val="clear" w:color="auto" w:fill="auto"/>
          <w:lang w:val="hr-HR" w:eastAsia="hr-HR" w:bidi="hr-HR"/>
        </w:rPr>
        <w:t xml:space="preserve"> 1927/1982, 679-81; </w:t>
      </w:r>
      <w:r>
        <w:rPr>
          <w:i/>
          <w:iCs/>
          <w:color w:val="000000"/>
          <w:spacing w:val="0"/>
          <w:w w:val="100"/>
          <w:position w:val="0"/>
          <w:shd w:val="clear" w:color="auto" w:fill="auto"/>
        </w:rPr>
        <w:t xml:space="preserve">Encyclopaedia Judaica </w:t>
      </w:r>
      <w:r>
        <w:rPr>
          <w:i/>
          <w:iCs/>
          <w:color w:val="000000"/>
          <w:spacing w:val="0"/>
          <w:w w:val="100"/>
          <w:position w:val="0"/>
          <w:shd w:val="clear" w:color="auto" w:fill="auto"/>
          <w:lang w:val="hr-HR" w:eastAsia="hr-HR" w:bidi="hr-HR"/>
        </w:rPr>
        <w:t>8,</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201-15; </w:t>
      </w:r>
      <w:r>
        <w:rPr>
          <w:i/>
          <w:iCs/>
          <w:color w:val="000000"/>
          <w:spacing w:val="0"/>
          <w:w w:val="100"/>
          <w:position w:val="0"/>
          <w:shd w:val="clear" w:color="auto" w:fill="auto"/>
          <w:lang w:val="hr-HR" w:eastAsia="hr-HR" w:bidi="hr-HR"/>
        </w:rPr>
        <w:t>J</w:t>
      </w:r>
      <w:r>
        <w:rPr>
          <w:color w:val="000000"/>
          <w:spacing w:val="0"/>
          <w:w w:val="100"/>
          <w:position w:val="0"/>
          <w:shd w:val="clear" w:color="auto" w:fill="auto"/>
          <w:lang w:val="hr-HR" w:eastAsia="hr-HR" w:bidi="hr-HR"/>
        </w:rPr>
        <w:t xml:space="preserve"> Maicr, </w:t>
      </w:r>
      <w:r>
        <w:rPr>
          <w:i/>
          <w:iCs/>
          <w:color w:val="000000"/>
          <w:spacing w:val="0"/>
          <w:w w:val="100"/>
          <w:position w:val="0"/>
          <w:shd w:val="clear" w:color="auto" w:fill="auto"/>
          <w:lang w:val="hr-HR" w:eastAsia="hr-HR" w:bidi="hr-HR"/>
        </w:rPr>
        <w:t xml:space="preserve">Geschichte der jiidischen </w:t>
      </w:r>
      <w:r>
        <w:rPr>
          <w:i/>
          <w:iCs/>
          <w:color w:val="000000"/>
          <w:spacing w:val="0"/>
          <w:w w:val="100"/>
          <w:position w:val="0"/>
          <w:shd w:val="clear" w:color="auto" w:fill="auto"/>
        </w:rPr>
        <w:t>Religion,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1972, 144 i d„ 205 </w:t>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j</w:t>
      </w:r>
      <w:r>
        <w:rPr>
          <w:color w:val="000000"/>
          <w:spacing w:val="0"/>
          <w:w w:val="100"/>
          <w:position w:val="0"/>
          <w:shd w:val="clear" w:color="auto" w:fill="auto"/>
          <w:lang w:val="hr-HR" w:eastAsia="hr-HR" w:bidi="hr-HR"/>
        </w:rPr>
        <w:t xml:space="preserve"> d.. 441 i d . 494 i d.</w:t>
        <w:tab/>
        <w:t>D. V1T1TER</w:t>
      </w:r>
    </w:p>
    <w:p>
      <w:pPr>
        <w:pStyle w:val="Style63"/>
        <w:keepNext/>
        <w:keepLines/>
        <w:widowControl w:val="0"/>
        <w:numPr>
          <w:ilvl w:val="0"/>
          <w:numId w:val="153"/>
        </w:numPr>
        <w:shd w:val="clear" w:color="auto" w:fill="auto"/>
        <w:tabs>
          <w:tab w:pos="260" w:val="left"/>
        </w:tabs>
        <w:bidi w:val="0"/>
        <w:spacing w:before="0" w:line="228" w:lineRule="auto"/>
        <w:ind w:left="0" w:right="0" w:firstLine="0"/>
        <w:jc w:val="both"/>
      </w:pPr>
      <w:bookmarkStart w:id="112" w:name="bookmark11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12"/>
    </w:p>
    <w:p>
      <w:pPr>
        <w:pStyle w:val="Style20"/>
        <w:keepNext w:val="0"/>
        <w:keepLines w:val="0"/>
        <w:widowControl w:val="0"/>
        <w:numPr>
          <w:ilvl w:val="0"/>
          <w:numId w:val="151"/>
        </w:numPr>
        <w:shd w:val="clear" w:color="auto" w:fill="auto"/>
        <w:tabs>
          <w:tab w:pos="303" w:val="left"/>
        </w:tabs>
        <w:bidi w:val="0"/>
        <w:spacing w:before="0" w:after="40" w:line="257" w:lineRule="auto"/>
        <w:ind w:left="0" w:right="0" w:firstLine="0"/>
        <w:jc w:val="both"/>
        <w:sectPr>
          <w:footnotePr>
            <w:pos w:val="pageBottom"/>
            <w:numFmt w:val="decimal"/>
            <w:numStart w:val="5"/>
            <w:numRestart w:val="continuous"/>
            <w15:footnoteColumns w:val="1"/>
          </w:footnotePr>
          <w:type w:val="continuous"/>
          <w:pgSz w:w="6816" w:h="11006"/>
          <w:pgMar w:top="987" w:left="169" w:right="172" w:bottom="443" w:header="0" w:footer="3"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ili krivovjerje je otklon od vjerske istine koja se u crkvenom učenju definira i naviješta kao obvezatna. Heretik se tako postavlja pro</w:t>
        <w:softHyphen/>
        <w:t>tiv božanske objave kako je ona prihvaćena i formulirana u vjeroispovijedanju zajednice. On daje prednost svojim vlastitim gledištima pred osnovnim učenjima Crkve koja se teme</w:t>
        <w:softHyphen/>
        <w:t>lje na Božjem autoritetu, a Crkva ih je pod vodstvom Duha Svetoga utvrdila i objasnila pa zato ona obvezujuće izražavaju Božju ob</w:t>
        <w:softHyphen/>
        <w:t>javu. U osnovi heretik se okreće protiv temelj</w:t>
        <w:softHyphen/>
        <w:t>nih istina koje sačinjavaju identitet vjerskog zajedništva i tako stavlja samoga sebe izvan toga zajedništva. H. postaje moralni grijeh kada je heretik svjestan otklona od obvezat</w:t>
        <w:softHyphen/>
        <w:t>noga crkvenog učenja i kada ga ipak tvrdo</w:t>
        <w:softHyphen/>
        <w:t>korno zastupa. Prije no što se konačno pro</w:t>
        <w:softHyphen/>
        <w:t>sudi o moralnoj kakvoći stvarno heretičkih izjava, moraju se uzeti u obzir različiti faktori koji su povezani s osobom heretika: njegova duhovna nadarenost, eventualna nedostatna naobrazba, njegovo traganje za većom jasno</w:t>
        <w:softHyphen/>
        <w:t xml:space="preserve">ćom u vjerskim pitanjima itd. Ako se heretik </w:t>
      </w:r>
    </w:p>
    <w:p>
      <w:pPr>
        <w:pStyle w:val="Style20"/>
        <w:keepNext w:val="0"/>
        <w:keepLines w:val="0"/>
        <w:widowControl w:val="0"/>
        <w:shd w:val="clear" w:color="auto" w:fill="auto"/>
        <w:tabs>
          <w:tab w:pos="303" w:val="left"/>
        </w:tabs>
        <w:bidi w:val="0"/>
        <w:spacing w:before="0" w:after="4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pravno relevantan način javno izjasni za svoju zabludu i tvrdokorno na tome ostane, tada se radi o krivnji koja za sobom povlači kažnjavanje prema crkvenom pravu. Najteže od toga je ckskomunikacija, tj. isključenje iz zajedništva vjernika. Već u novozavjetnim po</w:t>
        <w:softHyphen/>
        <w:t>slanicama, koje su upućene kršćanskim zajed</w:t>
        <w:softHyphen/>
        <w:t>nicama, upozorava se na herezu i heretike ko</w:t>
        <w:softHyphen/>
        <w:t>ji preokreću Kristovu poruku spasenja (usp. Gal 17). »Molim vas, braćo, čuvajte se onih koji prave razmirice i sablazni suprotno nau</w:t>
        <w:softHyphen/>
        <w:t>ci koju vi primiste! Klonite se njih!« (Rim 16,17). »Krivovjerca, nakon prve i druge (uza</w:t>
        <w:softHyphen/>
        <w:t>ludne) opomene, istjeraj, svjestan da je takav čovjek izopačen i da griješi, premda ga osu</w:t>
        <w:softHyphen/>
        <w:t>đuje vlastita savjest« (Tit 3,10-11). Što se tiče crkvenog stava prema hereticima, mogu se razlikovati različite epohe. U doba kada je Grkva predstavljala samo manjinu, primjenji</w:t>
        <w:softHyphen/>
        <w:t>vala su se sredstva bratske opomene. U teš</w:t>
        <w:softHyphen/>
        <w:t>kim slučajevima čak se sudilo isključivanjem iz zajednice prema riječima iz. Ivanova Otkri</w:t>
        <w:softHyphen/>
        <w:t>venja: »Vani ostaju psi i vračari, bludnici i ubojice, idolopoklonici i svi koji ljube i govore laž« (Otk 22,15). U svim se ovim slučajevima ostaje dakle pri duhovnim sankcijama. Pod krš</w:t>
        <w:softHyphen/>
        <w:t>ćanskim carevima i moćnicima patrističkoga doba polazilo se od dviju mogućnosti pri utvr</w:t>
        <w:softHyphen/>
        <w:t>đivanju stava prema nevjernicima i heretici</w:t>
        <w:softHyphen/>
        <w:t>ma. Ako je politička vlast podupirala herezu ili čak poduzimala mjere protiv Crkve, zah</w:t>
        <w:softHyphen/>
        <w:t>tijevala se odijcljcnost države od Crkve i odbi</w:t>
        <w:softHyphen/>
        <w:t>jala su se uplitanja vlasti. No, ako je car u dosluhu s Crkvom djelovao u korist vjernika, nije bilo prigovora zbog državne potpore. Crkva je ipak odbacivala prisilna obraćenja, jer po</w:t>
        <w:softHyphen/>
        <w:t>jedinac mora unutarnjim obraćenjem naći put do ispravne vjere. Samo u slučaju da je h. bila raširena svim raspoloživim sredstvima pa da je time uzrokovala nemir i ugrožavala jedin</w:t>
        <w:softHyphen/>
        <w:t>stvo zajednice i također autoritet države, nisu crkveni oci imali ništa protiv uplitanja države, čak su i zahtijevali takvo uplitanje protiv he</w:t>
        <w:softHyphen/>
        <w:t>reze. U srednjem vijeku, u vrijeme skladnog jedinstva države i Crkve, obje su vlasti izricale sankcije sve do smrtne kazne za heretike koji su ometali ili ugrožavali to jedinstvo.</w:t>
      </w:r>
    </w:p>
    <w:p>
      <w:pPr>
        <w:pStyle w:val="Style56"/>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rPr>
        <w:t xml:space="preserve">I .it.: </w:t>
      </w:r>
      <w:r>
        <w:rPr>
          <w:color w:val="000000"/>
          <w:spacing w:val="0"/>
          <w:w w:val="100"/>
          <w:position w:val="0"/>
          <w:shd w:val="clear" w:color="auto" w:fill="auto"/>
          <w:lang w:val="hr-HR" w:eastAsia="hr-HR" w:bidi="hr-HR"/>
        </w:rPr>
        <w:t xml:space="preserve">O. Karrcr. natuknica: Harcsic, u: </w:t>
      </w:r>
      <w:r>
        <w:rPr>
          <w:i/>
          <w:iCs/>
          <w:color w:val="000000"/>
          <w:spacing w:val="0"/>
          <w:w w:val="100"/>
          <w:position w:val="0"/>
          <w:shd w:val="clear" w:color="auto" w:fill="auto"/>
          <w:lang w:val="hr-HR" w:eastAsia="hr-HR" w:bidi="hr-HR"/>
        </w:rPr>
        <w:t xml:space="preserve">f/andbuch der theo- logischer </w:t>
      </w:r>
      <w:r>
        <w:rPr>
          <w:i/>
          <w:iCs/>
          <w:color w:val="000000"/>
          <w:spacing w:val="0"/>
          <w:w w:val="100"/>
          <w:position w:val="0"/>
          <w:shd w:val="clear" w:color="auto" w:fill="auto"/>
        </w:rPr>
        <w:t>Grundbegriffe.</w:t>
      </w:r>
      <w:r>
        <w:rPr>
          <w:color w:val="000000"/>
          <w:spacing w:val="0"/>
          <w:w w:val="100"/>
          <w:position w:val="0"/>
          <w:shd w:val="clear" w:color="auto" w:fill="auto"/>
        </w:rPr>
        <w:t xml:space="preserve"> hrsg. von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Bd. I, Miinchcn 1962, 616-623: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I^clcr.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Geschichtc der iieligionsfreiheii im </w:t>
      </w:r>
      <w:r>
        <w:rPr>
          <w:i/>
          <w:iCs/>
          <w:color w:val="000000"/>
          <w:spacing w:val="0"/>
          <w:w w:val="100"/>
          <w:position w:val="0"/>
          <w:shd w:val="clear" w:color="auto" w:fill="auto"/>
        </w:rPr>
        <w:t xml:space="preserve">Zeiialler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Reformation,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2 Bdc.,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1965; A. Tli. </w:t>
      </w:r>
      <w:r>
        <w:rPr>
          <w:color w:val="000000"/>
          <w:spacing w:val="0"/>
          <w:w w:val="100"/>
          <w:position w:val="0"/>
          <w:shd w:val="clear" w:color="auto" w:fill="auto"/>
        </w:rPr>
        <w:t xml:space="preserve">Khoury. Religiose </w:t>
      </w:r>
      <w:r>
        <w:rPr>
          <w:color w:val="000000"/>
          <w:spacing w:val="0"/>
          <w:w w:val="100"/>
          <w:position w:val="0"/>
          <w:shd w:val="clear" w:color="auto" w:fill="auto"/>
          <w:lang w:val="hr-HR" w:eastAsia="hr-HR" w:bidi="hr-HR"/>
        </w:rPr>
        <w:t>Tolcranz itj Christcntum und Islam. Ele</w:t>
        <w:softHyphen/>
      </w:r>
      <w:r>
        <w:rPr>
          <w:color w:val="000000"/>
          <w:spacing w:val="0"/>
          <w:w w:val="100"/>
          <w:position w:val="0"/>
          <w:shd w:val="clear" w:color="auto" w:fill="auto"/>
          <w:lang w:val="hr-HR" w:eastAsia="hr-HR" w:bidi="hr-HR"/>
        </w:rPr>
        <w:t xml:space="preserve">mente zu cinem Vergleicb. u: </w:t>
      </w:r>
      <w:r>
        <w:rPr>
          <w:i/>
          <w:iCs/>
          <w:color w:val="000000"/>
          <w:spacing w:val="0"/>
          <w:w w:val="100"/>
          <w:position w:val="0"/>
          <w:shd w:val="clear" w:color="auto" w:fill="auto"/>
        </w:rPr>
        <w:t>Renaissance des Islams,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hrsg. </w:t>
      </w:r>
      <w:r>
        <w:rPr>
          <w:color w:val="000000"/>
          <w:spacing w:val="0"/>
          <w:w w:val="100"/>
          <w:position w:val="0"/>
          <w:shd w:val="clear" w:color="auto" w:fill="auto"/>
        </w:rPr>
        <w:t>von Filzgcrald/Khoury/Wanzura, Graz 1980,127-150.</w:t>
      </w:r>
    </w:p>
    <w:p>
      <w:pPr>
        <w:pStyle w:val="Style74"/>
        <w:keepNext w:val="0"/>
        <w:keepLines w:val="0"/>
        <w:widowControl w:val="0"/>
        <w:shd w:val="clear" w:color="auto" w:fill="auto"/>
        <w:bidi w:val="0"/>
        <w:spacing w:before="0" w:after="60" w:line="262"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A. KHOURI</w:t>
      </w:r>
    </w:p>
    <w:p>
      <w:pPr>
        <w:pStyle w:val="Style63"/>
        <w:keepNext/>
        <w:keepLines/>
        <w:widowControl w:val="0"/>
        <w:numPr>
          <w:ilvl w:val="0"/>
          <w:numId w:val="153"/>
        </w:numPr>
        <w:shd w:val="clear" w:color="auto" w:fill="auto"/>
        <w:tabs>
          <w:tab w:pos="260" w:val="left"/>
        </w:tabs>
        <w:bidi w:val="0"/>
        <w:spacing w:before="0"/>
        <w:ind w:left="0" w:right="0" w:firstLine="0"/>
        <w:jc w:val="both"/>
      </w:pPr>
      <w:bookmarkStart w:id="113" w:name="bookmark113"/>
      <w:r>
        <w:rPr>
          <w:rFonts w:ascii="Times New Roman" w:eastAsia="Times New Roman" w:hAnsi="Times New Roman" w:cs="Times New Roman"/>
          <w:color w:val="000000"/>
          <w:spacing w:val="0"/>
          <w:w w:val="100"/>
          <w:position w:val="0"/>
          <w:shd w:val="clear" w:color="auto" w:fill="auto"/>
          <w:lang w:val="hr-HR" w:eastAsia="hr-HR" w:bidi="hr-HR"/>
        </w:rPr>
        <w:t>islamski</w:t>
      </w:r>
      <w:bookmarkEnd w:id="11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hereze u islamskom se kaznenom pra</w:t>
        <w:softHyphen/>
        <w:t>vu najtočnije podudara sa značenjskim sadrža</w:t>
        <w:softHyphen/>
        <w:t xml:space="preserve">jem riječi </w:t>
      </w:r>
      <w:r>
        <w:rPr>
          <w:rFonts w:ascii="Times New Roman" w:eastAsia="Times New Roman" w:hAnsi="Times New Roman" w:cs="Times New Roman"/>
          <w:i/>
          <w:iCs/>
          <w:color w:val="000000"/>
          <w:spacing w:val="0"/>
          <w:w w:val="100"/>
          <w:position w:val="0"/>
          <w:shd w:val="clear" w:color="auto" w:fill="auto"/>
          <w:lang w:val="hr-HR" w:eastAsia="hr-HR" w:bidi="hr-HR"/>
        </w:rPr>
        <w:t>zendeka,</w:t>
      </w:r>
      <w:r>
        <w:rPr>
          <w:rFonts w:ascii="Times New Roman" w:eastAsia="Times New Roman" w:hAnsi="Times New Roman" w:cs="Times New Roman"/>
          <w:color w:val="000000"/>
          <w:spacing w:val="0"/>
          <w:w w:val="100"/>
          <w:position w:val="0"/>
          <w:shd w:val="clear" w:color="auto" w:fill="auto"/>
          <w:lang w:val="hr-HR" w:eastAsia="hr-HR" w:bidi="hr-HR"/>
        </w:rPr>
        <w:t xml:space="preserve"> Pod tim se podrazumijeva egzegeza koja snažno odstupa od norme i ko</w:t>
        <w:softHyphen/>
        <w:t xml:space="preserve">ja predstavlja opasnost za sigurnost islamske države. Takvo ponašanje, koje smjera na ruši- lački učinak, izjednačuje se s uništavanjem društva i njemu se prijeti smrtnom kaznom. Hancfitska pravna škola jamči heretičaru </w:t>
      </w:r>
      <w:r>
        <w:rPr>
          <w:rFonts w:ascii="Times New Roman" w:eastAsia="Times New Roman" w:hAnsi="Times New Roman" w:cs="Times New Roman"/>
          <w:color w:val="000000"/>
          <w:spacing w:val="0"/>
          <w:w w:val="100"/>
          <w:position w:val="0"/>
          <w:shd w:val="clear" w:color="auto" w:fill="auto"/>
          <w:lang w:val="en-US" w:eastAsia="en-US" w:bidi="en-US"/>
        </w:rPr>
        <w:t xml:space="preserve">(zindlq) </w:t>
      </w:r>
      <w:r>
        <w:rPr>
          <w:rFonts w:ascii="Times New Roman" w:eastAsia="Times New Roman" w:hAnsi="Times New Roman" w:cs="Times New Roman"/>
          <w:color w:val="000000"/>
          <w:spacing w:val="0"/>
          <w:w w:val="100"/>
          <w:position w:val="0"/>
          <w:shd w:val="clear" w:color="auto" w:fill="auto"/>
          <w:lang w:val="hr-HR" w:eastAsia="hr-HR" w:bidi="hr-HR"/>
        </w:rPr>
        <w:t>mogućnost da pokajanjem izbjegne kaznu. Odstupajući način vjerovanja, koji se prije događa u privatnom području, može do</w:t>
        <w:softHyphen/>
        <w:t>duše uzrokovati izopćenje iz zajednice (tak- flr), ali on za sobom ne povlači nikakve kaz- neno-pravne posljedice. H. u smislu zendeke nije imala nikakav politički karakter. Neki uče</w:t>
        <w:softHyphen/>
        <w:t xml:space="preserve">njaci </w:t>
      </w:r>
      <w:r>
        <w:rPr>
          <w:rFonts w:ascii="Times New Roman" w:eastAsia="Times New Roman" w:hAnsi="Times New Roman" w:cs="Times New Roman"/>
          <w:color w:val="000000"/>
          <w:spacing w:val="0"/>
          <w:w w:val="100"/>
          <w:position w:val="0"/>
          <w:shd w:val="clear" w:color="auto" w:fill="auto"/>
          <w:lang w:val="en-US" w:eastAsia="en-US" w:bidi="en-US"/>
        </w:rPr>
        <w:t xml:space="preserve">(Ibn Tayntiyya </w:t>
      </w:r>
      <w:r>
        <w:rPr>
          <w:rFonts w:ascii="Times New Roman" w:eastAsia="Times New Roman" w:hAnsi="Times New Roman" w:cs="Times New Roman"/>
          <w:color w:val="000000"/>
          <w:spacing w:val="0"/>
          <w:w w:val="100"/>
          <w:position w:val="0"/>
          <w:shd w:val="clear" w:color="auto" w:fill="auto"/>
          <w:lang w:val="hr-HR" w:eastAsia="hr-HR" w:bidi="hr-HR"/>
        </w:rPr>
        <w:t>i Ibn Hadjar al-Haytami) smatrali su je pobunom protiv dostojanstva navjestitelja islama.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konzervativnoj je politici u novije vrijeme postalo uobičajeno da se slobodni mislitclj označuje kao </w:t>
      </w:r>
      <w:r>
        <w:rPr>
          <w:rFonts w:ascii="Times New Roman" w:eastAsia="Times New Roman" w:hAnsi="Times New Roman" w:cs="Times New Roman"/>
          <w:color w:val="000000"/>
          <w:spacing w:val="0"/>
          <w:w w:val="100"/>
          <w:position w:val="0"/>
          <w:shd w:val="clear" w:color="auto" w:fill="auto"/>
          <w:lang w:val="en-US" w:eastAsia="en-US" w:bidi="en-US"/>
        </w:rPr>
        <w:t xml:space="preserve">zindTq. </w:t>
      </w:r>
      <w:r>
        <w:rPr>
          <w:rFonts w:ascii="Times New Roman" w:eastAsia="Times New Roman" w:hAnsi="Times New Roman" w:cs="Times New Roman"/>
          <w:color w:val="000000"/>
          <w:spacing w:val="0"/>
          <w:w w:val="100"/>
          <w:position w:val="0"/>
          <w:shd w:val="clear" w:color="auto" w:fill="auto"/>
          <w:lang w:val="hr-HR" w:eastAsia="hr-HR" w:bidi="hr-HR"/>
        </w:rPr>
        <w:t>Takve su optužbe mo</w:t>
        <w:softHyphen/>
        <w:t xml:space="preserve">rale biti upućene npr. egipatskom spisatelju Tahi Husavnu i bagdadskom pjesniku Dj. S. </w:t>
      </w:r>
      <w:r>
        <w:rPr>
          <w:rFonts w:ascii="Times New Roman" w:eastAsia="Times New Roman" w:hAnsi="Times New Roman" w:cs="Times New Roman"/>
          <w:color w:val="000000"/>
          <w:spacing w:val="0"/>
          <w:w w:val="100"/>
          <w:position w:val="0"/>
          <w:shd w:val="clear" w:color="auto" w:fill="auto"/>
          <w:lang w:val="en-US" w:eastAsia="en-US" w:bidi="en-US"/>
        </w:rPr>
        <w:t xml:space="preserve">Zahawlju. </w:t>
      </w:r>
      <w:r>
        <w:rPr>
          <w:rFonts w:ascii="Times New Roman" w:eastAsia="Times New Roman" w:hAnsi="Times New Roman" w:cs="Times New Roman"/>
          <w:color w:val="000000"/>
          <w:spacing w:val="0"/>
          <w:w w:val="100"/>
          <w:position w:val="0"/>
          <w:shd w:val="clear" w:color="auto" w:fill="auto"/>
          <w:lang w:val="hr-HR" w:eastAsia="hr-HR" w:bidi="hr-HR"/>
        </w:rPr>
        <w:t>Pravne škole nisu jedinstvene u to</w:t>
        <w:softHyphen/>
        <w:t>me, što se u pojedinostima treba smatrati he</w:t>
        <w:softHyphen/>
        <w:t>rezom. Najradikalnije postupaju puritanski hanbeliti. Po mišljenju njihova utemeljitelja, Ibn I lanbela, herezu već čini nauk o duhu kao nekoj netvarnoj, božanskoj emanaciji. H. je često pokušaj oslobađanja od religioznih ob</w:t>
        <w:softHyphen/>
        <w:t>veza. Prema al-Gazaliju, ona je jednaka sklo</w:t>
        <w:softHyphen/>
        <w:t>nosti ateizmu. Opasnosti da budu sumnjičene zbog hereze izlažu se također mistične i eksta- tične struje koje sjedinjenjem s Bogom u lju</w:t>
        <w:softHyphen/>
        <w:t>bavi nastoje izbjeći silu propisa i zakona.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islamu h. općenito nikada nije uzimana kao poticaj da sile mraka istupe protiv slobode sa</w:t>
        <w:softHyphen/>
        <w:t>vjesti i ljudskoga dostojanstva. Inkvizicija i mučenje kao sredstvo borbe protiv hereze ni</w:t>
        <w:softHyphen/>
        <w:t>su se pojavili u islamskome svijetu. U rano doba islama čak su postojali pravci mišljenja (pa tako i pojedini murdžijiti) koji su izbjega</w:t>
        <w:softHyphen/>
        <w:t>vali da bilo čije vjerske nazore dovedu pred sud. Oni su tako dopuštali mogućnost da me</w:t>
        <w:softHyphen/>
        <w:t>đu Židovima, kršćanima i sabclijancima - koji zastupaju sve druge koji vjeruju u Boga - može biti »anonimnih muslimana« koji se su</w:t>
        <w:softHyphen/>
      </w:r>
      <w:r>
        <w:rPr>
          <w:rFonts w:ascii="Times New Roman" w:eastAsia="Times New Roman" w:hAnsi="Times New Roman" w:cs="Times New Roman"/>
          <w:color w:val="000000"/>
          <w:spacing w:val="0"/>
          <w:w w:val="100"/>
          <w:position w:val="0"/>
          <w:shd w:val="clear" w:color="auto" w:fill="auto"/>
          <w:lang w:val="hr-HR" w:eastAsia="hr-HR" w:bidi="hr-HR"/>
        </w:rPr>
        <w:t>kladno lomu moraju prihvatiti kao braća po vjeri.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svojemu traktatu </w:t>
      </w:r>
      <w:r>
        <w:rPr>
          <w:rFonts w:ascii="Times New Roman" w:eastAsia="Times New Roman" w:hAnsi="Times New Roman" w:cs="Times New Roman"/>
          <w:color w:val="000000"/>
          <w:spacing w:val="0"/>
          <w:w w:val="100"/>
          <w:position w:val="0"/>
          <w:shd w:val="clear" w:color="auto" w:fill="auto"/>
          <w:lang w:val="en-US" w:eastAsia="en-US" w:bidi="en-US"/>
        </w:rPr>
        <w:t xml:space="preserve">Faysal at-tafriqa bayna </w:t>
      </w:r>
      <w:r>
        <w:rPr>
          <w:rFonts w:ascii="Times New Roman" w:eastAsia="Times New Roman" w:hAnsi="Times New Roman" w:cs="Times New Roman"/>
          <w:color w:val="000000"/>
          <w:spacing w:val="0"/>
          <w:w w:val="100"/>
          <w:position w:val="0"/>
          <w:shd w:val="clear" w:color="auto" w:fill="auto"/>
          <w:lang w:val="hr-HR" w:eastAsia="hr-HR" w:bidi="hr-HR"/>
        </w:rPr>
        <w:t xml:space="preserve">1-Islam </w:t>
      </w:r>
      <w:r>
        <w:rPr>
          <w:rFonts w:ascii="Times New Roman" w:eastAsia="Times New Roman" w:hAnsi="Times New Roman" w:cs="Times New Roman"/>
          <w:color w:val="000000"/>
          <w:spacing w:val="0"/>
          <w:w w:val="100"/>
          <w:position w:val="0"/>
          <w:shd w:val="clear" w:color="auto" w:fill="auto"/>
          <w:lang w:val="en-US" w:eastAsia="en-US" w:bidi="en-US"/>
        </w:rPr>
        <w:t xml:space="preserve">wa z-zandaqa </w:t>
      </w:r>
      <w:r>
        <w:rPr>
          <w:rFonts w:ascii="Times New Roman" w:eastAsia="Times New Roman" w:hAnsi="Times New Roman" w:cs="Times New Roman"/>
          <w:color w:val="000000"/>
          <w:spacing w:val="0"/>
          <w:w w:val="100"/>
          <w:position w:val="0"/>
          <w:shd w:val="clear" w:color="auto" w:fill="auto"/>
          <w:lang w:val="hr-HR" w:eastAsia="hr-HR" w:bidi="hr-HR"/>
        </w:rPr>
        <w:t>(Razlikujuća obilježja između islama i hereze) al-Gazali (u. 1111) »izriče uvjerenje da se Božje milosrđe proteže i na kršćane i na - tada još najvećim dijelom poganske - Turke. Bit će izgubljeni samo oni koji se protivno boljem znanju protive prizna</w:t>
        <w:softHyphen/>
        <w:t xml:space="preserve">vanju Muhamedova proročkog poslanja </w:t>
      </w:r>
      <w:r>
        <w:rPr>
          <w:rFonts w:ascii="Times New Roman" w:eastAsia="Times New Roman" w:hAnsi="Times New Roman" w:cs="Times New Roman"/>
          <w:i/>
          <w:iCs/>
          <w:color w:val="000000"/>
          <w:spacing w:val="0"/>
          <w:w w:val="100"/>
          <w:position w:val="0"/>
          <w:shd w:val="clear" w:color="auto" w:fill="auto"/>
          <w:lang w:val="hr-HR" w:eastAsia="hr-HR" w:bidi="hr-HR"/>
        </w:rPr>
        <w:t xml:space="preserve">(inft-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deles </w:t>
      </w:r>
      <w:r>
        <w:rPr>
          <w:rFonts w:ascii="Times New Roman" w:eastAsia="Times New Roman" w:hAnsi="Times New Roman" w:cs="Times New Roman"/>
          <w:i/>
          <w:iCs/>
          <w:color w:val="000000"/>
          <w:spacing w:val="0"/>
          <w:w w:val="100"/>
          <w:position w:val="0"/>
          <w:shd w:val="clear" w:color="auto" w:fill="auto"/>
          <w:lang w:val="hr-HR" w:eastAsia="hr-HR" w:bidi="hr-HR"/>
        </w:rPr>
        <w:t>malae fulei),</w:t>
      </w:r>
      <w:r>
        <w:rPr>
          <w:rFonts w:ascii="Times New Roman" w:eastAsia="Times New Roman" w:hAnsi="Times New Roman" w:cs="Times New Roman"/>
          <w:color w:val="000000"/>
          <w:spacing w:val="0"/>
          <w:w w:val="100"/>
          <w:position w:val="0"/>
          <w:shd w:val="clear" w:color="auto" w:fill="auto"/>
          <w:lang w:val="hr-HR" w:eastAsia="hr-HR" w:bidi="hr-HR"/>
        </w:rPr>
        <w:t xml:space="preserve"> ali ne i oni koji žive predale</w:t>
        <w:softHyphen/>
        <w:t>ko da bi mogli ćuti vijest o Muhamedu ili oni koji su samo u mladosti čuli o njemu samo to da je lažov i prevarant koji se lažno predstav</w:t>
        <w:softHyphen/>
        <w:t>ljao kao prorok. »Ako netko«, smatra al-Ga</w:t>
        <w:softHyphen/>
        <w:t>zali, »vjeruje u Boga i u sudnji dan te iskreno traga za istinom, ali ga je preduhitrila smrt prije nego što ju je našao, njemu će onda biti udijcljen oprost i ‘veliko Božje milosrđe', ma kojoj on vjeri pripadao.« »Dakle, Božjoj se milosti treba ostaviti širok prostor a božanske se stvari ne trebaju vagali nedostatnom službe</w:t>
        <w:softHyphen/>
        <w:t xml:space="preserve">nom vagom!« Uz ove al-Gazalijeve izvode </w:t>
      </w:r>
      <w:r>
        <w:rPr>
          <w:rFonts w:ascii="Times New Roman" w:eastAsia="Times New Roman" w:hAnsi="Times New Roman" w:cs="Times New Roman"/>
          <w:color w:val="000000"/>
          <w:spacing w:val="0"/>
          <w:w w:val="100"/>
          <w:position w:val="0"/>
          <w:shd w:val="clear" w:color="auto" w:fill="auto"/>
          <w:lang w:val="en-US" w:eastAsia="en-US" w:bidi="en-US"/>
        </w:rPr>
        <w:t xml:space="preserve">Hans Bauer </w:t>
      </w:r>
      <w:r>
        <w:rPr>
          <w:rFonts w:ascii="Times New Roman" w:eastAsia="Times New Roman" w:hAnsi="Times New Roman" w:cs="Times New Roman"/>
          <w:color w:val="000000"/>
          <w:spacing w:val="0"/>
          <w:w w:val="100"/>
          <w:position w:val="0"/>
          <w:shd w:val="clear" w:color="auto" w:fill="auto"/>
          <w:lang w:val="hr-HR" w:eastAsia="hr-HR" w:bidi="hr-HR"/>
        </w:rPr>
        <w:t>primjećuje: »Neka se ima u vidu da su ove rečenice napisane nedugo nakon prvoga križarskog pohoda«. Stav mjerodavnih teologa pokazuje da se vjerski naložena čo</w:t>
        <w:softHyphen/>
        <w:t>vječnost vjernika ne smije zanemariti ni u do</w:t>
        <w:softHyphen/>
        <w:t>ba oštrih političkih i vojnih sukoba.</w:t>
      </w:r>
    </w:p>
    <w:p>
      <w:pPr>
        <w:pStyle w:val="Style56"/>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natuknica: </w:t>
      </w:r>
      <w:r>
        <w:rPr>
          <w:color w:val="000000"/>
          <w:spacing w:val="0"/>
          <w:w w:val="100"/>
          <w:position w:val="0"/>
          <w:shd w:val="clear" w:color="auto" w:fill="auto"/>
        </w:rPr>
        <w:t xml:space="preserve">Zindlq, it: HI. Leiden </w:t>
      </w:r>
      <w:r>
        <w:rPr>
          <w:color w:val="000000"/>
          <w:spacing w:val="0"/>
          <w:w w:val="100"/>
          <w:position w:val="0"/>
          <w:shd w:val="clear" w:color="auto" w:fill="auto"/>
          <w:lang w:val="hr-HR" w:eastAsia="hr-HR" w:bidi="hr-HR"/>
        </w:rPr>
        <w:t>1941. s. BAl.lć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HIDŽRA</w:t>
      </w:r>
    </w:p>
    <w:p>
      <w:pPr>
        <w:pStyle w:val="Style63"/>
        <w:keepNext/>
        <w:keepLines/>
        <w:widowControl w:val="0"/>
        <w:shd w:val="clear" w:color="auto" w:fill="auto"/>
        <w:bidi w:val="0"/>
        <w:spacing w:before="0" w:line="223" w:lineRule="auto"/>
        <w:ind w:left="0" w:right="0" w:firstLine="0"/>
        <w:jc w:val="both"/>
      </w:pPr>
      <w:bookmarkStart w:id="114" w:name="bookmark114"/>
      <w:r>
        <w:rPr>
          <w:rFonts w:ascii="Times New Roman" w:eastAsia="Times New Roman" w:hAnsi="Times New Roman" w:cs="Times New Roman"/>
          <w:color w:val="000000"/>
          <w:spacing w:val="0"/>
          <w:w w:val="100"/>
          <w:position w:val="0"/>
          <w:shd w:val="clear" w:color="auto" w:fill="auto"/>
          <w:lang w:val="hr-HR" w:eastAsia="hr-HR" w:bidi="hr-HR"/>
        </w:rPr>
        <w:t>islamski</w:t>
      </w:r>
      <w:bookmarkEnd w:id="11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Muhamed je 23 godine propovijedao islam: deset godina u Meki i trinaest u Jesribu, kas</w:t>
        <w:softHyphen/>
        <w:t>nijoj Medini. Navještaj nije tekao bez sukoba i borbi. Vrlo brzo došlo je do progona. Protiv Muhameda i njegovih sljedbenika bio je uve</w:t>
        <w:softHyphen/>
        <w:t>den društveni bojkot. Tada su započele prijet</w:t>
        <w:softHyphen/>
        <w:t>nje i stvarni napadi. Kako bi izbjegao tu opas</w:t>
        <w:softHyphen/>
        <w:t>nost i gašenje vjerskoga pokreta Muhamed je u pratnji Abu Bekra 20. rujna 622. napustio Meku i u Jesribu smještenom na sjeveru na</w:t>
        <w:softHyphen/>
        <w:t>stojao pronaći novo polje djelovanja. Dakle, preseljenje je intalo taktičke razloge. Već pri</w:t>
        <w:softHyphen/>
        <w:t>je toga jedna se skupina Muhamedovih sljed</w:t>
        <w:softHyphen/>
        <w:t>benika naselila u spomenutome gradu. Ple</w:t>
        <w:softHyphen/>
        <w:t>mena koja su vladala u Jesribu prešla su na is</w:t>
        <w:softHyphen/>
        <w:t>lam i obvezala su se da će, ako zatreba, braniti oružjem Muhameda. Drugi su muslimani naš</w:t>
        <w:softHyphen/>
      </w:r>
      <w:r>
        <w:rPr>
          <w:rFonts w:ascii="Times New Roman" w:eastAsia="Times New Roman" w:hAnsi="Times New Roman" w:cs="Times New Roman"/>
          <w:color w:val="000000"/>
          <w:spacing w:val="0"/>
          <w:w w:val="100"/>
          <w:position w:val="0"/>
          <w:shd w:val="clear" w:color="auto" w:fill="auto"/>
          <w:lang w:val="hr-HR" w:eastAsia="hr-HR" w:bidi="hr-HR"/>
        </w:rPr>
        <w:t>li zaštitu u Abesiniji. S preseljenjem iz Meke u Jesrib - h. - započinje brzi uspon islama u svijetu. Stoga je taj datum početak islamskoga računanja vremena.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pripremama za hidžru sudjelovao je na mje</w:t>
        <w:softHyphen/>
        <w:t>rodavan način i mladi Alija, kasniji Muhamc- dov zet. Pravi razlog iseljenju bio je gubitak zaštite zbog smrti Abu Taliba (u. nedugo na</w:t>
        <w:softHyphen/>
        <w:t>kon 619) koju je Muhamed sve do tada uživao u njegovu klanu. Time su bile uskraćene i ob</w:t>
        <w:softHyphen/>
        <w:t>jektivne mogućnosti daljnjega rada na navješ- tanju vjere. Prije preseljenja u Medinu Mu</w:t>
        <w:softHyphen/>
        <w:t>hamed je uzaludno poduzimao neke druge pokušaje kako bi se etablirao izvan naglašeno neprijateljske i agresivne Meke.</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Christian </w:t>
      </w:r>
      <w:r>
        <w:rPr>
          <w:rFonts w:ascii="Times New Roman" w:eastAsia="Times New Roman" w:hAnsi="Times New Roman" w:cs="Times New Roman"/>
          <w:color w:val="000000"/>
          <w:spacing w:val="0"/>
          <w:w w:val="100"/>
          <w:position w:val="0"/>
          <w:shd w:val="clear" w:color="auto" w:fill="auto"/>
          <w:lang w:val="hr-HR" w:eastAsia="hr-HR" w:bidi="hr-HR"/>
        </w:rPr>
        <w:t>Snouck Hurgronje je pokazao da je h. iseljenje ili otkazivanje. Od tada se taj do</w:t>
        <w:softHyphen/>
        <w:t>gađaj više ne promatra kao »bijeg«, kako je on promatran ranije. Planski i mirno izvršeni borbeni pokret koji vodi k pobjedi ne može se okvalificirati kao bijeg. Prilikom donošenja odluke da se nađe izlazna mogućnost za dalj</w:t>
        <w:softHyphen/>
        <w:t>nji nastavak poslanja na Muhameda je najvje</w:t>
        <w:softHyphen/>
        <w:t>rojatnije presudno utjecala predodžba o egzo</w:t>
        <w:softHyphen/>
        <w:t>dusu patrijarha Abrahama kojega je on visoko cijenio kao uzora svoje vjere. Prva djelatnost, kojoj se predao nakon smještanja u Jesribu, bila je uspostava jedne vrste bratstva između iseljenika (muhadžiri: al-muhadjirun) i doma</w:t>
        <w:softHyphen/>
        <w:t>ćih pomagača (al-ansar). Obitelji su se okup</w:t>
        <w:softHyphen/>
        <w:t>ljale u radne i interesne zajednice, čime je stvorena dobra podloga za stvaranje nadređe</w:t>
        <w:softHyphen/>
        <w:t>ne zajednice, naime prve islamske države.</w:t>
      </w:r>
    </w:p>
    <w:p>
      <w:pPr>
        <w:pStyle w:val="Style56"/>
        <w:keepNext w:val="0"/>
        <w:keepLines w:val="0"/>
        <w:widowControl w:val="0"/>
        <w:shd w:val="clear" w:color="auto" w:fill="auto"/>
        <w:tabs>
          <w:tab w:pos="2563" w:val="left"/>
        </w:tabs>
        <w:bidi w:val="0"/>
        <w:spacing w:before="0" w:after="240" w:line="240" w:lineRule="auto"/>
        <w:ind w:left="0" w:right="0" w:firstLine="0"/>
        <w:jc w:val="both"/>
      </w:pPr>
      <w:r>
        <w:rPr>
          <w:color w:val="000000"/>
          <w:spacing w:val="0"/>
          <w:w w:val="100"/>
          <w:position w:val="0"/>
          <w:shd w:val="clear" w:color="auto" w:fill="auto"/>
        </w:rPr>
        <w:t xml:space="preserve">Lil.-. W. Montgomery Wall, </w:t>
      </w:r>
      <w:r>
        <w:rPr>
          <w:color w:val="000000"/>
          <w:spacing w:val="0"/>
          <w:w w:val="100"/>
          <w:position w:val="0"/>
          <w:shd w:val="clear" w:color="auto" w:fill="auto"/>
          <w:lang w:val="hr-HR" w:eastAsia="hr-HR" w:bidi="hr-HR"/>
        </w:rPr>
        <w:t>naluknica: Hidjra, u: F.P III, 366-367.</w:t>
        <w:tab/>
        <w:t>s. IlAt.tć</w:t>
      </w:r>
    </w:p>
    <w:p>
      <w:pPr>
        <w:pStyle w:val="Style33"/>
        <w:keepNext w:val="0"/>
        <w:keepLines w:val="0"/>
        <w:widowControl w:val="0"/>
        <w:shd w:val="clear" w:color="auto" w:fill="auto"/>
        <w:bidi w:val="0"/>
        <w:spacing w:before="0" w:after="2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HIJERARHIJA -» SLUŽBA, -» CRKVA</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HODOČAŠĆE</w:t>
      </w:r>
    </w:p>
    <w:p>
      <w:pPr>
        <w:pStyle w:val="Style63"/>
        <w:keepNext/>
        <w:keepLines/>
        <w:widowControl w:val="0"/>
        <w:numPr>
          <w:ilvl w:val="0"/>
          <w:numId w:val="155"/>
        </w:numPr>
        <w:shd w:val="clear" w:color="auto" w:fill="auto"/>
        <w:tabs>
          <w:tab w:pos="246" w:val="left"/>
        </w:tabs>
        <w:bidi w:val="0"/>
        <w:spacing w:before="0" w:line="223" w:lineRule="auto"/>
        <w:ind w:left="0" w:right="0" w:firstLine="0"/>
        <w:jc w:val="both"/>
      </w:pPr>
      <w:bookmarkStart w:id="115" w:name="bookmark115"/>
      <w:r>
        <w:rPr>
          <w:rFonts w:ascii="Times New Roman" w:eastAsia="Times New Roman" w:hAnsi="Times New Roman" w:cs="Times New Roman"/>
          <w:color w:val="000000"/>
          <w:spacing w:val="0"/>
          <w:w w:val="100"/>
          <w:position w:val="0"/>
          <w:shd w:val="clear" w:color="auto" w:fill="auto"/>
          <w:lang w:val="hr-HR" w:eastAsia="hr-HR" w:bidi="hr-HR"/>
        </w:rPr>
        <w:t>židovski</w:t>
      </w:r>
      <w:bookmarkEnd w:id="115"/>
    </w:p>
    <w:p>
      <w:pPr>
        <w:pStyle w:val="Style20"/>
        <w:keepNext w:val="0"/>
        <w:keepLines w:val="0"/>
        <w:widowControl w:val="0"/>
        <w:numPr>
          <w:ilvl w:val="0"/>
          <w:numId w:val="157"/>
        </w:numPr>
        <w:shd w:val="clear" w:color="auto" w:fill="auto"/>
        <w:tabs>
          <w:tab w:pos="284" w:val="left"/>
        </w:tabs>
        <w:bidi w:val="0"/>
        <w:spacing w:before="0" w:after="100"/>
        <w:ind w:left="0" w:right="0" w:firstLine="0"/>
        <w:jc w:val="both"/>
        <w:sectPr>
          <w:headerReference w:type="default" r:id="rId485"/>
          <w:footerReference w:type="default" r:id="rId486"/>
          <w:headerReference w:type="even" r:id="rId487"/>
          <w:footerReference w:type="even" r:id="rId488"/>
          <w:headerReference w:type="first" r:id="rId489"/>
          <w:footerReference w:type="first" r:id="rId490"/>
          <w:footnotePr>
            <w:pos w:val="pageBottom"/>
            <w:numFmt w:val="decimal"/>
            <w:numStart w:val="5"/>
            <w:numRestart w:val="continuous"/>
            <w15:footnoteColumns w:val="1"/>
          </w:footnotePr>
          <w:pgSz w:w="6816" w:h="11006"/>
          <w:pgMar w:top="987" w:left="169" w:right="172" w:bottom="443" w:header="0" w:footer="3" w:gutter="0"/>
          <w:cols w:num="2" w:space="15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»Triput na godinu neka se svi tvoji muški po</w:t>
        <w:softHyphen/>
        <w:t>jave...«</w:t>
      </w:r>
      <w:r>
        <w:rPr>
          <w:rFonts w:ascii="Times New Roman" w:eastAsia="Times New Roman" w:hAnsi="Times New Roman" w:cs="Times New Roman"/>
          <w:color w:val="000000"/>
          <w:spacing w:val="0"/>
          <w:w w:val="100"/>
          <w:position w:val="0"/>
          <w:shd w:val="clear" w:color="auto" w:fill="auto"/>
          <w:lang w:val="hr-HR" w:eastAsia="hr-HR" w:bidi="hr-HR"/>
        </w:rPr>
        <w:t xml:space="preserve"> U vezi s biblijskim propisima za tri stara žetvena blagdana - Pesah, s kojim je u ožujku/travnju počinjala žetva žita s prvim otkosom ječma i prinošenjem brašna; Šavuot, s kojim završava žetva žita, posebice pšenice, nakon sedam tjedana u svibnju/lipnju prinoše</w:t>
        <w:softHyphen/>
        <w:t>njem prvina; Sukot, glavni žetveni blagdan u rujnu/listopadu, posebice berba voća i grožđa, sa žrtvovanjem prvina voća, odnosno desetine</w:t>
      </w:r>
    </w:p>
    <w:p>
      <w:pPr>
        <w:pStyle w:val="Style20"/>
        <w:keepNext w:val="0"/>
        <w:keepLines w:val="0"/>
        <w:widowControl w:val="0"/>
        <w:numPr>
          <w:ilvl w:val="0"/>
          <w:numId w:val="159"/>
        </w:numPr>
        <w:shd w:val="clear" w:color="auto" w:fill="auto"/>
        <w:tabs>
          <w:tab w:pos="21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susrećemo »h«. u Petoknjižju kao zapovijed koja se triput ponavlja: »Triput na godinu ne</w:t>
        <w:softHyphen/>
        <w:t>ka se svi njegovi muškarci pojave pred NJIM« (Izl 23,17; 34,23; Pnz 16,16). Tradicija je sko</w:t>
        <w:softHyphen/>
        <w:t>vala biblijski izraz sa značenjem »triput« (do</w:t>
        <w:softHyphen/>
        <w:t>slovce: »tri stope« u Izl 23,14, usp. Br 22,28,32 i d.) u čvrst pojam za »tri hodočasna blag</w:t>
        <w:softHyphen/>
        <w:t xml:space="preserve">dana«, odnosno »pješačka blagdana« (M Ha- giga 1,1: </w:t>
      </w:r>
      <w:r>
        <w:rPr>
          <w:rFonts w:ascii="Times New Roman" w:eastAsia="Times New Roman" w:hAnsi="Times New Roman" w:cs="Times New Roman"/>
          <w:i/>
          <w:iCs/>
          <w:color w:val="000000"/>
          <w:spacing w:val="0"/>
          <w:w w:val="100"/>
          <w:position w:val="0"/>
          <w:shd w:val="clear" w:color="auto" w:fill="auto"/>
          <w:lang w:val="hr-HR" w:eastAsia="hr-HR" w:bidi="hr-HR"/>
        </w:rPr>
        <w:t>šaloš regalim;</w:t>
      </w:r>
      <w:r>
        <w:rPr>
          <w:rFonts w:ascii="Times New Roman" w:eastAsia="Times New Roman" w:hAnsi="Times New Roman" w:cs="Times New Roman"/>
          <w:color w:val="000000"/>
          <w:spacing w:val="0"/>
          <w:w w:val="100"/>
          <w:position w:val="0"/>
          <w:shd w:val="clear" w:color="auto" w:fill="auto"/>
          <w:lang w:val="hr-HR" w:eastAsia="hr-HR" w:bidi="hr-HR"/>
        </w:rPr>
        <w:t xml:space="preserve"> usp. b Eruvin 40b) i nazvala svaki od ta tri radosna blagdana (Pc- sah, Šavuot, Sukot) »pješačkim blagdanom« </w:t>
      </w:r>
      <w:r>
        <w:rPr>
          <w:rFonts w:ascii="Times New Roman" w:eastAsia="Times New Roman" w:hAnsi="Times New Roman" w:cs="Times New Roman"/>
          <w:i/>
          <w:iCs/>
          <w:color w:val="000000"/>
          <w:spacing w:val="0"/>
          <w:w w:val="100"/>
          <w:position w:val="0"/>
          <w:shd w:val="clear" w:color="auto" w:fill="auto"/>
          <w:lang w:val="en-US" w:eastAsia="en-US" w:bidi="en-US"/>
        </w:rPr>
        <w:t>(regel,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M Moed Katan 1,5; III, 5; b 19a; jer se »pješice« penjalo na svetkovanje žrtve u sve</w:t>
        <w:softHyphen/>
        <w:t>tište u Jeruzalem (b Hagiga 6b; b Joma 21a), odnosno penjalo »od Jeruzalema na Hramsko brdo« (M Hagiga 1,1), pa su tako i hodočasnici postali »oni koji se penju na »Hodočasni (od</w:t>
        <w:softHyphen/>
        <w:t xml:space="preserve">nosno »pješački«) blagdan« </w:t>
      </w:r>
      <w:r>
        <w:rPr>
          <w:rFonts w:ascii="Times New Roman" w:eastAsia="Times New Roman" w:hAnsi="Times New Roman" w:cs="Times New Roman"/>
          <w:i/>
          <w:iCs/>
          <w:color w:val="000000"/>
          <w:spacing w:val="0"/>
          <w:w w:val="100"/>
          <w:position w:val="0"/>
          <w:shd w:val="clear" w:color="auto" w:fill="auto"/>
          <w:lang w:val="hr-HR" w:eastAsia="hr-HR" w:bidi="hr-HR"/>
        </w:rPr>
        <w:t>(olej regel,</w:t>
      </w:r>
      <w:r>
        <w:rPr>
          <w:rFonts w:ascii="Times New Roman" w:eastAsia="Times New Roman" w:hAnsi="Times New Roman" w:cs="Times New Roman"/>
          <w:color w:val="000000"/>
          <w:spacing w:val="0"/>
          <w:w w:val="100"/>
          <w:position w:val="0"/>
          <w:shd w:val="clear" w:color="auto" w:fill="auto"/>
          <w:lang w:val="hr-HR" w:eastAsia="hr-HR" w:bidi="hr-HR"/>
        </w:rPr>
        <w:t xml:space="preserve"> b Pesa- him 8b).</w:t>
      </w:r>
    </w:p>
    <w:p>
      <w:pPr>
        <w:pStyle w:val="Style20"/>
        <w:keepNext w:val="0"/>
        <w:keepLines w:val="0"/>
        <w:widowControl w:val="0"/>
        <w:numPr>
          <w:ilvl w:val="0"/>
          <w:numId w:val="157"/>
        </w:numPr>
        <w:shd w:val="clear" w:color="auto" w:fill="auto"/>
        <w:tabs>
          <w:tab w:pos="25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»Svi su dužni doći na 'gledanje'.« O</w:t>
      </w:r>
      <w:r>
        <w:rPr>
          <w:rFonts w:ascii="Times New Roman" w:eastAsia="Times New Roman" w:hAnsi="Times New Roman" w:cs="Times New Roman"/>
          <w:color w:val="000000"/>
          <w:spacing w:val="0"/>
          <w:w w:val="100"/>
          <w:position w:val="0"/>
          <w:shd w:val="clear" w:color="auto" w:fill="auto"/>
          <w:lang w:val="hr-HR" w:eastAsia="hr-HR" w:bidi="hr-HR"/>
        </w:rPr>
        <w:t xml:space="preserve"> teoriji i primjeni biblijske »hodočasne zapovijedi« u doba drugoga Hrama učenjaci raspravljaju od staroga vijeka sve do današnjeg dana kao o spornom pitanju. Rečenicu iz Misne: »Svi su dužni doći na ‘gledanje’« (Hagiga 1,1) komen</w:t>
        <w:softHyphen/>
        <w:t>tatori su tumačili kao obvezu svakog Izraelca</w:t>
      </w:r>
    </w:p>
    <w:p>
      <w:pPr>
        <w:pStyle w:val="Style20"/>
        <w:keepNext w:val="0"/>
        <w:keepLines w:val="0"/>
        <w:widowControl w:val="0"/>
        <w:numPr>
          <w:ilvl w:val="0"/>
          <w:numId w:val="159"/>
        </w:numPr>
        <w:shd w:val="clear" w:color="auto" w:fill="auto"/>
        <w:tabs>
          <w:tab w:pos="217" w:val="left"/>
        </w:tabs>
        <w:bidi w:val="0"/>
        <w:spacing w:before="0" w:after="0"/>
        <w:ind w:left="0" w:right="0" w:firstLine="0"/>
        <w:jc w:val="both"/>
        <w:sectPr>
          <w:headerReference w:type="default" r:id="rId491"/>
          <w:footerReference w:type="default" r:id="rId492"/>
          <w:headerReference w:type="even" r:id="rId493"/>
          <w:footerReference w:type="even" r:id="rId494"/>
          <w:footnotePr>
            <w:pos w:val="pageBottom"/>
            <w:numFmt w:val="decimal"/>
            <w:numStart w:val="5"/>
            <w:numRestart w:val="continuous"/>
            <w15:footnoteColumns w:val="1"/>
          </w:footnotePr>
          <w:type w:val="continuous"/>
          <w:pgSz w:w="6816" w:h="11006"/>
          <w:pgMar w:top="987" w:left="169" w:right="172" w:bottom="443" w:header="0" w:footer="3"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osim ondje spomenutih iznimaka - da triput na godinu odlazi u Jeruzalem na hodočasne blagdane; oni su shvatili »gledanje« propisano u Misni u smislu osobnoga pojavljivanja u dvorištu Hrama (tako Raši i drugi nakon nje</w:t>
        <w:softHyphen/>
        <w:t xml:space="preserve">ga, posljednji </w:t>
      </w:r>
      <w:r>
        <w:rPr>
          <w:rFonts w:ascii="Times New Roman" w:eastAsia="Times New Roman" w:hAnsi="Times New Roman" w:cs="Times New Roman"/>
          <w:color w:val="000000"/>
          <w:spacing w:val="0"/>
          <w:w w:val="100"/>
          <w:position w:val="0"/>
          <w:shd w:val="clear" w:color="auto" w:fill="auto"/>
          <w:lang w:val="en-US" w:eastAsia="en-US" w:bidi="en-US"/>
        </w:rPr>
        <w:t xml:space="preserve">Ch. </w:t>
      </w:r>
      <w:r>
        <w:rPr>
          <w:rFonts w:ascii="Times New Roman" w:eastAsia="Times New Roman" w:hAnsi="Times New Roman" w:cs="Times New Roman"/>
          <w:color w:val="000000"/>
          <w:spacing w:val="0"/>
          <w:w w:val="100"/>
          <w:position w:val="0"/>
          <w:shd w:val="clear" w:color="auto" w:fill="auto"/>
          <w:lang w:val="hr-HR" w:eastAsia="hr-HR" w:bidi="hr-HR"/>
        </w:rPr>
        <w:t xml:space="preserve">Albcck i </w:t>
      </w:r>
      <w:r>
        <w:rPr>
          <w:rFonts w:ascii="Times New Roman" w:eastAsia="Times New Roman" w:hAnsi="Times New Roman" w:cs="Times New Roman"/>
          <w:color w:val="000000"/>
          <w:spacing w:val="0"/>
          <w:w w:val="100"/>
          <w:position w:val="0"/>
          <w:shd w:val="clear" w:color="auto" w:fill="auto"/>
          <w:lang w:val="en-US" w:eastAsia="en-US" w:bidi="en-US"/>
        </w:rPr>
        <w:t xml:space="preserve">A. Y. Rosenberg </w:t>
      </w:r>
      <w:r>
        <w:rPr>
          <w:rFonts w:ascii="Times New Roman" w:eastAsia="Times New Roman" w:hAnsi="Times New Roman" w:cs="Times New Roman"/>
          <w:color w:val="000000"/>
          <w:spacing w:val="0"/>
          <w:w w:val="100"/>
          <w:position w:val="0"/>
          <w:shd w:val="clear" w:color="auto" w:fill="auto"/>
          <w:lang w:val="hr-HR" w:eastAsia="hr-HR" w:bidi="hr-HR"/>
        </w:rPr>
        <w:t>u svojim komentarima na Mišnu moed). I Maj- monid jc utvrdio halahu: »Izraelcima je triput zapovijedalo na Hodočasni blagdan: »gleda</w:t>
        <w:softHyphen/>
        <w:t>nje« - jer stoji napisano:«... ‘neka se pokažu svi muškarci’... ‘Gledanje’ iz Biblije sastoji se u tome da se prvoga dana blagdana pojave u predvoiju Hrama« (Mišne Tora, Hilhot Ha</w:t>
        <w:softHyphen/>
        <w:t>giga 1,1). To tumačenje odredbe iz Mišne po</w:t>
        <w:softHyphen/>
        <w:t>dupiru razni izvori koji izvješćuju o prisutnosti mnogih Izraelaca na Hodočasnom blagdanu iz tuzemstva i inozemstva (b Pesahim 8b; Jo</w:t>
        <w:softHyphen/>
        <w:t xml:space="preserve">sip Flavije, </w:t>
      </w:r>
      <w:r>
        <w:rPr>
          <w:rFonts w:ascii="Times New Roman" w:eastAsia="Times New Roman" w:hAnsi="Times New Roman" w:cs="Times New Roman"/>
          <w:i/>
          <w:iCs/>
          <w:color w:val="000000"/>
          <w:spacing w:val="0"/>
          <w:w w:val="100"/>
          <w:position w:val="0"/>
          <w:shd w:val="clear" w:color="auto" w:fill="auto"/>
          <w:lang w:val="en-US" w:eastAsia="en-US" w:bidi="en-US"/>
        </w:rPr>
        <w:t>Helium judaicum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II, 1,3; 2,5; Filon Alcksandrijski, </w:t>
      </w:r>
      <w:r>
        <w:rPr>
          <w:rFonts w:ascii="Times New Roman" w:eastAsia="Times New Roman" w:hAnsi="Times New Roman" w:cs="Times New Roman"/>
          <w:i/>
          <w:iCs/>
          <w:color w:val="000000"/>
          <w:spacing w:val="0"/>
          <w:w w:val="100"/>
          <w:position w:val="0"/>
          <w:shd w:val="clear" w:color="auto" w:fill="auto"/>
          <w:lang w:val="hr-HR" w:eastAsia="hr-HR" w:bidi="hr-HR"/>
        </w:rPr>
        <w:t>De specialibus legibus</w:t>
      </w:r>
      <w:r>
        <w:rPr>
          <w:rFonts w:ascii="Times New Roman" w:eastAsia="Times New Roman" w:hAnsi="Times New Roman" w:cs="Times New Roman"/>
          <w:color w:val="000000"/>
          <w:spacing w:val="0"/>
          <w:w w:val="100"/>
          <w:position w:val="0"/>
          <w:shd w:val="clear" w:color="auto" w:fill="auto"/>
          <w:lang w:val="hr-HR" w:eastAsia="hr-HR" w:bidi="hr-HR"/>
        </w:rPr>
        <w:t xml:space="preserve"> 1,68 i d.). Naravno, samo zahtjevi koji se postavljaju ho</w:t>
        <w:softHyphen/>
        <w:t>dočasniku (Izl 23,15; 34,20; Pnz 16,16) - »Tri zapovijedi su nametnute Izraelu na hodočaš</w:t>
        <w:softHyphen/>
        <w:t>ću: žrtveni dar u Božjoj prisutnosti (koji se prinosi kao cijela žrtva), blagdanska (= po</w:t>
        <w:softHyphen/>
        <w:t xml:space="preserve">mirbena) žrtva i radosna žrtva« (b Hagiga 6b; Šifre Pnz 16,11), pored toga povratak tek </w:t>
      </w:r>
      <w:r>
        <w:rPr>
          <w:rFonts w:ascii="Times New Roman" w:eastAsia="Times New Roman" w:hAnsi="Times New Roman" w:cs="Times New Roman"/>
          <w:color w:val="000000"/>
          <w:spacing w:val="0"/>
          <w:w w:val="100"/>
          <w:position w:val="0"/>
          <w:shd w:val="clear" w:color="auto" w:fill="auto"/>
          <w:lang w:val="hr-HR" w:eastAsia="hr-HR" w:bidi="hr-HR"/>
        </w:rPr>
        <w:t xml:space="preserve">nakon isteka svih blagdanskih dana (M Zeva- him XI,7; Tos. X,13; b 97a) - objašnjavaju sumnju u to da bi samo oni, koji se trude da sve zapovijedi izvršavaju savjesno (b Joma 9b; j </w:t>
      </w:r>
      <w:r>
        <w:rPr>
          <w:rFonts w:ascii="Times New Roman" w:eastAsia="Times New Roman" w:hAnsi="Times New Roman" w:cs="Times New Roman"/>
          <w:color w:val="000000"/>
          <w:spacing w:val="0"/>
          <w:w w:val="100"/>
          <w:position w:val="0"/>
          <w:shd w:val="clear" w:color="auto" w:fill="auto"/>
          <w:lang w:val="en-US" w:eastAsia="en-US" w:bidi="en-US"/>
        </w:rPr>
        <w:t>1,</w:t>
      </w:r>
      <w:r>
        <w:rPr>
          <w:rFonts w:ascii="Times New Roman" w:eastAsia="Times New Roman" w:hAnsi="Times New Roman" w:cs="Times New Roman"/>
          <w:color w:val="000000"/>
          <w:spacing w:val="0"/>
          <w:w w:val="100"/>
          <w:position w:val="0"/>
          <w:shd w:val="clear" w:color="auto" w:fill="auto"/>
          <w:lang w:val="hr-HR" w:eastAsia="hr-HR" w:bidi="hr-HR"/>
        </w:rPr>
        <w:t xml:space="preserve">38c; Tos. Menahot </w:t>
      </w:r>
      <w:r>
        <w:rPr>
          <w:rFonts w:ascii="Times New Roman" w:eastAsia="Times New Roman" w:hAnsi="Times New Roman" w:cs="Times New Roman"/>
          <w:color w:val="000000"/>
          <w:spacing w:val="0"/>
          <w:w w:val="100"/>
          <w:position w:val="0"/>
          <w:shd w:val="clear" w:color="auto" w:fill="auto"/>
          <w:lang w:val="en-US" w:eastAsia="en-US" w:bidi="en-US"/>
        </w:rPr>
        <w:t xml:space="preserve">X1I1.22), </w:t>
      </w:r>
      <w:r>
        <w:rPr>
          <w:rFonts w:ascii="Times New Roman" w:eastAsia="Times New Roman" w:hAnsi="Times New Roman" w:cs="Times New Roman"/>
          <w:color w:val="000000"/>
          <w:spacing w:val="0"/>
          <w:w w:val="100"/>
          <w:position w:val="0"/>
          <w:shd w:val="clear" w:color="auto" w:fill="auto"/>
          <w:lang w:val="hr-HR" w:eastAsia="hr-HR" w:bidi="hr-HR"/>
        </w:rPr>
        <w:t>triput godišnje mogli nositi takav teret. Osim toga, izvori tal</w:t>
        <w:softHyphen/>
        <w:t>mudske i izvantalmudske literature izvješćuju o muškarcima, poznatim po vjernom izvrša</w:t>
        <w:softHyphen/>
        <w:t>vanju zapovijedi i kao značajni učitelji, koji su samo jedanput na godinu ili čak samo jedan</w:t>
        <w:softHyphen/>
        <w:t xml:space="preserve">put u nekoliko godina hodočastili u Jeruzalem penjući se na Hramsko brdo na Hodočasni blagdan </w:t>
      </w:r>
      <w:r>
        <w:rPr>
          <w:rFonts w:ascii="Times New Roman" w:eastAsia="Times New Roman" w:hAnsi="Times New Roman" w:cs="Times New Roman"/>
          <w:color w:val="000000"/>
          <w:spacing w:val="0"/>
          <w:w w:val="100"/>
          <w:position w:val="0"/>
          <w:shd w:val="clear" w:color="auto" w:fill="auto"/>
          <w:lang w:val="en-US" w:eastAsia="en-US" w:bidi="en-US"/>
        </w:rPr>
        <w:t xml:space="preserve">(Tanhuma </w:t>
      </w:r>
      <w:r>
        <w:rPr>
          <w:rFonts w:ascii="Times New Roman" w:eastAsia="Times New Roman" w:hAnsi="Times New Roman" w:cs="Times New Roman"/>
          <w:color w:val="000000"/>
          <w:spacing w:val="0"/>
          <w:w w:val="100"/>
          <w:position w:val="0"/>
          <w:shd w:val="clear" w:color="auto" w:fill="auto"/>
          <w:lang w:val="hr-HR" w:eastAsia="hr-HR" w:bidi="hr-HR"/>
        </w:rPr>
        <w:t xml:space="preserve">/S.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 xml:space="preserve">51b; Midraš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1,1,/S. Bubcr/23a; Jalkut Šimoni § 77;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Elijahu raba IX; Tob 1,6; Lk 2,41). Svi argumenti zajedno opravdavaju pretpostavku da sc izraz »izložba« u prvoj rečenici Mišne glede njezina sadržaja ne smije razlikovati od svoje upotrebe u drugoj rečenici i da je stoga ne treba shvatiti kao osobno pojavljivanje u predvorju Hrama nego kao prinesena (»iz</w:t>
        <w:softHyphen/>
        <w:t>ložena«) žrtva (Hagiga 1,1 i 2). Upotrebu toga pojma nedvosmisleno dokazuje tradicijska li</w:t>
        <w:softHyphen/>
        <w:t xml:space="preserve">teratura (Tos. Hagiga 1,1; b 4b; svi halaški midraši; usp. M. Kelim 1,8); i Jeruzalemski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pretpostavlja tu namjeru: »Mišna go</w:t>
        <w:softHyphen/>
        <w:t>vori o ‘izloženoj žrtvi’, ali i maloljetnik jc dužan osobno se pojaviti« (j Hagiga 1,75a); u tom smislu objašnjavali su i srednjovjekovni učenjaci (»tosafisti«), koji su tumačili rane talmudske komentare, shvaćanje gemare (dis</w:t>
        <w:softHyphen/>
        <w:t xml:space="preserve">kusija kasnijih rabina) o Mišni (b llagiga 2a). Halaški </w:t>
      </w:r>
      <w:r>
        <w:rPr>
          <w:rFonts w:ascii="Times New Roman" w:eastAsia="Times New Roman" w:hAnsi="Times New Roman" w:cs="Times New Roman"/>
          <w:i/>
          <w:iCs/>
          <w:color w:val="000000"/>
          <w:spacing w:val="0"/>
          <w:w w:val="100"/>
          <w:position w:val="0"/>
          <w:shd w:val="clear" w:color="auto" w:fill="auto"/>
          <w:lang w:val="hr-HR" w:eastAsia="hr-HR" w:bidi="hr-HR"/>
        </w:rPr>
        <w:t>midraši</w:t>
      </w:r>
      <w:r>
        <w:rPr>
          <w:rFonts w:ascii="Times New Roman" w:eastAsia="Times New Roman" w:hAnsi="Times New Roman" w:cs="Times New Roman"/>
          <w:color w:val="000000"/>
          <w:spacing w:val="0"/>
          <w:w w:val="100"/>
          <w:position w:val="0"/>
          <w:shd w:val="clear" w:color="auto" w:fill="auto"/>
          <w:lang w:val="hr-HR" w:eastAsia="hr-HR" w:bidi="hr-HR"/>
        </w:rPr>
        <w:t xml:space="preserve"> bavili su se žrtvama koje su obvezivale svakoga hodočasnika na tri biblij</w:t>
        <w:softHyphen/>
        <w:t>ska hodočasnička blagdana, ali ne i na ho- dočasnu dužnost (Mehilta i Mehilta Rabi Jiš- maela uz Izl 23,17; Šifre uz Pnz 16,16). Poveže li se to razmatranje sa šestom rečenicom Miš</w:t>
        <w:softHyphen/>
        <w:t>ne koja govori o jednom hodočasniku koji već boravi u Jeruzalemu, ali još ne izvršava svoju žrtvenu dužnost (Hagiga 1,6; usp. b 9a), iz to</w:t>
        <w:softHyphen/>
        <w:t>ga slijedi da Mišna (Hagiga 1,1) govori o ob</w:t>
        <w:softHyphen/>
        <w:t>vezi prinošenja izložene žrtve koja sc tiče ho</w:t>
        <w:softHyphen/>
        <w:t xml:space="preserve">dočasnika na putu u Jeruzalem. Osim Mišne, to tumačenje potvrđuju i </w:t>
      </w:r>
      <w:r>
        <w:rPr>
          <w:rFonts w:ascii="Times New Roman" w:eastAsia="Times New Roman" w:hAnsi="Times New Roman" w:cs="Times New Roman"/>
          <w:i/>
          <w:iCs/>
          <w:color w:val="000000"/>
          <w:spacing w:val="0"/>
          <w:w w:val="100"/>
          <w:position w:val="0"/>
          <w:shd w:val="clear" w:color="auto" w:fill="auto"/>
          <w:lang w:val="hr-HR" w:eastAsia="hr-HR" w:bidi="hr-HR"/>
        </w:rPr>
        <w:t>berajtot</w:t>
      </w:r>
      <w:r>
        <w:rPr>
          <w:rFonts w:ascii="Times New Roman" w:eastAsia="Times New Roman" w:hAnsi="Times New Roman" w:cs="Times New Roman"/>
          <w:color w:val="000000"/>
          <w:spacing w:val="0"/>
          <w:w w:val="100"/>
          <w:position w:val="0"/>
          <w:shd w:val="clear" w:color="auto" w:fill="auto"/>
          <w:lang w:val="hr-HR" w:eastAsia="hr-HR" w:bidi="hr-HR"/>
        </w:rPr>
        <w:t xml:space="preserve"> (b Hagiga 6b; Tos. 1,4;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1,76b; s tim u vezi usp. S. Safrai,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Wallfahrt </w:t>
      </w:r>
      <w:r>
        <w:rPr>
          <w:rFonts w:ascii="Times New Roman" w:eastAsia="Times New Roman" w:hAnsi="Times New Roman" w:cs="Times New Roman"/>
          <w:i/>
          <w:iCs/>
          <w:color w:val="000000"/>
          <w:spacing w:val="0"/>
          <w:w w:val="100"/>
          <w:position w:val="0"/>
          <w:shd w:val="clear" w:color="auto" w:fill="auto"/>
          <w:lang w:val="hr-HR" w:eastAsia="hr-HR" w:bidi="hr-HR"/>
        </w:rPr>
        <w:t xml:space="preserve">im </w:t>
      </w:r>
      <w:r>
        <w:rPr>
          <w:rFonts w:ascii="Times New Roman" w:eastAsia="Times New Roman" w:hAnsi="Times New Roman" w:cs="Times New Roman"/>
          <w:i/>
          <w:iCs/>
          <w:color w:val="000000"/>
          <w:spacing w:val="0"/>
          <w:w w:val="100"/>
          <w:position w:val="0"/>
          <w:shd w:val="clear" w:color="auto" w:fill="auto"/>
          <w:lang w:val="en-US" w:eastAsia="en-US" w:bidi="en-US"/>
        </w:rPr>
        <w:t xml:space="preserve">Zeitalterdes Zweiten Tempels, </w:t>
      </w:r>
      <w:r>
        <w:rPr>
          <w:rFonts w:ascii="Times New Roman" w:eastAsia="Times New Roman" w:hAnsi="Times New Roman" w:cs="Times New Roman"/>
          <w:color w:val="000000"/>
          <w:spacing w:val="0"/>
          <w:w w:val="100"/>
          <w:position w:val="0"/>
          <w:shd w:val="clear" w:color="auto" w:fill="auto"/>
          <w:lang w:val="hr-HR" w:eastAsia="hr-HR" w:bidi="hr-HR"/>
        </w:rPr>
        <w:t>1981, 20-43). Prema tomu, u doba drugoga Hrama postojala jc obveza hodočašća na sva</w:t>
        <w:softHyphen/>
        <w:t>ki od ta tri blagdana, ali ne kao konkretna već kao opća zapovijed, koju čovjek treba nasto</w:t>
        <w:softHyphen/>
        <w:t xml:space="preserve">jati izvršiti poput »stvari koje nemaju odre- </w:t>
      </w:r>
    </w:p>
    <w:p>
      <w:pPr>
        <w:pStyle w:val="Style20"/>
        <w:keepNext w:val="0"/>
        <w:keepLines w:val="0"/>
        <w:widowControl w:val="0"/>
        <w:shd w:val="clear" w:color="auto" w:fill="auto"/>
        <w:tabs>
          <w:tab w:pos="217"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đcnu mjeru« (usp. s prvim dijelom jutarnje molitve): »dobročinstvo i učenje Tore« (M Pca 1,1; b Šabat 127a; Kidušin 39b). Predaje praktične halahe potkrepljuju pretpostavku da u doba postojanja drugoga Hrama h. nije bilo zapovjeđeno kao obvezatno (M Pesahim VI,3; b 70b; j VI,33a). Misna je ipak vrijedila kao obvezni pravilnik prinošenja žrtve za ho</w:t>
        <w:softHyphen/>
        <w:t>dočasnike koji su se zadržavali u Jeruzalemu na te blagdane, kako to pokazuje nabrajanje osoba koje su izuzete od te obveze (Hagiga 1,1). Izvršavanje te odredbe traži i od svakog djeteta da se osobno pojavi u predvorju Hra</w:t>
        <w:softHyphen/>
        <w:t>ma, ako su ga roditelji poveli sa sobom u Jeru</w:t>
        <w:softHyphen/>
        <w:t>zalem, pa i onda kada ne može hodati i drži se ocu za ruku ili sjedi na njegovim ramenima; za maloljetnika se čak mora izvršiti obred pri</w:t>
        <w:softHyphen/>
        <w:t xml:space="preserve">nosa (»izložene žrtve«) i blagdanske žrtve (b Hagiga 4a;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1,76a).</w:t>
      </w:r>
    </w:p>
    <w:p>
      <w:pPr>
        <w:pStyle w:val="Style20"/>
        <w:keepNext w:val="0"/>
        <w:keepLines w:val="0"/>
        <w:widowControl w:val="0"/>
        <w:numPr>
          <w:ilvl w:val="0"/>
          <w:numId w:val="157"/>
        </w:numPr>
        <w:shd w:val="clear" w:color="auto" w:fill="auto"/>
        <w:tabs>
          <w:tab w:pos="250"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»Proveseli se na svoj blagdan.«</w:t>
      </w:r>
      <w:r>
        <w:rPr>
          <w:rFonts w:ascii="Times New Roman" w:eastAsia="Times New Roman" w:hAnsi="Times New Roman" w:cs="Times New Roman"/>
          <w:color w:val="000000"/>
          <w:spacing w:val="0"/>
          <w:w w:val="100"/>
          <w:position w:val="0"/>
          <w:shd w:val="clear" w:color="auto" w:fill="auto"/>
          <w:lang w:val="hr-HR" w:eastAsia="hr-HR" w:bidi="hr-HR"/>
        </w:rPr>
        <w:t xml:space="preserve"> Kao moto za sve događaje povezane s hodočasničkim blag</w:t>
        <w:softHyphen/>
        <w:t>danima ljudi su čuli poziv Tore: »Proveseli se na svoj blagdan ti, sin tvoj, kći tvoja, sluga tvoj, sluškinja tvoja, levit i došljak, sirota i udovica što se nađe u tvome gradu« (Pnz 16,14). Rabini su ih primjenjivali na »sve vrste radosti« (Šifre uz Pnz 16,14), pa i na to da se čovjek dosita najede: »Nema radosti bez jela i pića« (b Moed katan 9a). Podučavali su o blagdanskoj radosti kao o zapovijedi (b Pesa</w:t>
        <w:softHyphen/>
        <w:t>him 68b) i naglašavali komunikativni karakter hodočasničkih blagdana: »Čovjek je dužan razveseliti svoju djecu i ukućane... Muškarci onim što im dolikuje i žene onim što im do</w:t>
        <w:softHyphen/>
        <w:t xml:space="preserve">likuje. Muškarci vinom. A čime žene?... U Babilonu šarenim haljinama, u zemlji Izraelu čistim lanenim haljinama«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109a). Blag</w:t>
        <w:softHyphen/>
        <w:t>danski boravak u Jeruzalemu hodočasnici su podmirivali od »druge desetine« (I^v 19,24) koja je nakon odvajanja »prve desetine« za lo</w:t>
        <w:softHyphen/>
        <w:t xml:space="preserve">vite izdvojena iz preostalih plodina (Pnz 14,22 i d.;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27,30 i d.) i ušteđena za h. (M Maascr šeni V,6; j V,56e; usp. M V,2; b Roš ha-šana 31b; Beča 5a). U Jeruzalem se hodočastilo i nakon razorenja drugoga Hrama (b Nedarim 23a). Radost, koja je prije vladala, sjedinila se s jadikovanjem. »Sve dotle dok je Hram pos</w:t>
        <w:softHyphen/>
        <w:t>tojao, radost je bila u mesu (tj. u jedenju me</w:t>
        <w:softHyphen/>
        <w:t xml:space="preserve">sa)... (Pnz 27,7). A sada kada Hram više ne postoji, radost je samo u vinu... (Ps 104,15)« (b Pesahim 109a). Kad su hodočasnici naišli na razoreno svetište, razderali su svoje haljine </w:t>
      </w:r>
      <w:r>
        <w:rPr>
          <w:rFonts w:ascii="Times New Roman" w:eastAsia="Times New Roman" w:hAnsi="Times New Roman" w:cs="Times New Roman"/>
          <w:color w:val="000000"/>
          <w:spacing w:val="0"/>
          <w:w w:val="100"/>
          <w:position w:val="0"/>
          <w:shd w:val="clear" w:color="auto" w:fill="auto"/>
          <w:lang w:val="hr-HR" w:eastAsia="hr-HR" w:bidi="hr-HR"/>
        </w:rPr>
        <w:t>u znak žalosti i govorili: »Opustješc sveti gra</w:t>
        <w:softHyphen/>
        <w:t>dovi tvoji, Cion pustinja posta, i pustoš Jeru</w:t>
        <w:softHyphen/>
        <w:t>zalem. Dom, svetinja naša i ponos naš, u kom te oci naši slavljahu, ognjem izgori, i sve su nam dragocjenosti opljačkane« (Iz 64,10; usp. b Moed katan 26a). Neki su se suzdržali od mesa i vina na dan kad su ugledali poharani Hram (b Šavuot 20a). Propovjednici su pred</w:t>
        <w:softHyphen/>
        <w:t xml:space="preserve">bacivali narodu: »Da ste bili čestiti, pročitali biste u Tori: ‘Triput na godinu neka svi tvoji muški stupe pred Gospodara* (Izl 23,17), a sada kada niste čestiti, gle, morate pročitati: ‘Putovi cionski tuguju </w:t>
      </w:r>
      <w:r>
        <w:rPr>
          <w:rFonts w:ascii="Times New Roman" w:eastAsia="Times New Roman" w:hAnsi="Times New Roman" w:cs="Times New Roman"/>
          <w:i/>
          <w:iCs/>
          <w:color w:val="000000"/>
          <w:spacing w:val="0"/>
          <w:w w:val="100"/>
          <w:position w:val="0"/>
          <w:shd w:val="clear" w:color="auto" w:fill="auto"/>
          <w:lang w:val="hr-HR" w:eastAsia="hr-HR" w:bidi="hr-HR"/>
        </w:rPr>
        <w:t>(Threni</w:t>
      </w:r>
      <w:r>
        <w:rPr>
          <w:rFonts w:ascii="Times New Roman" w:eastAsia="Times New Roman" w:hAnsi="Times New Roman" w:cs="Times New Roman"/>
          <w:color w:val="000000"/>
          <w:spacing w:val="0"/>
          <w:w w:val="100"/>
          <w:position w:val="0"/>
          <w:shd w:val="clear" w:color="auto" w:fill="auto"/>
          <w:lang w:val="hr-HR" w:eastAsia="hr-HR" w:bidi="hr-HR"/>
        </w:rPr>
        <w:t xml:space="preserve"> (Tuž) 1,4)« (Eha rabati, uvod pismoznanaca). Aktualizi</w:t>
        <w:softHyphen/>
        <w:t>rali su Iz 33,8, pa su anđeoski sluge govorili pred Bogom: »Opustješe putovi za Jeruzalem, utrti kako ne bi zaustavljali putnike (tj. ho</w:t>
        <w:softHyphen/>
        <w:t xml:space="preserve">dočasnike)... Kako li svetkuju putovi kojima su prolazili Izraelci na blagdane!«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Usprkos davanjima i odredbama, koje su ih diskriminirale. Zidovi su nastavili hodočastiti u Jeruzalem i u srednjem vijeku. Iz hodočašća u Svetu zemlju proizišla je financijska pomoć za novo naseljavanje što ga je potaknuo cio</w:t>
        <w:softHyphen/>
        <w:t>nistički pokret. S ponovnim naseljavanjem Ži</w:t>
        <w:softHyphen/>
        <w:t>dova i od osnivanja države rastao je broj go</w:t>
        <w:softHyphen/>
        <w:t>dišnjih posjetitelja Erec Jisraclu iz dijaspore. Kad je Jordan 1949. godine zabranio židov</w:t>
        <w:softHyphen/>
        <w:t xml:space="preserve">skim hodočasnicima pristup svetim mjestima, tradicionalni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grob na »brdu Cionu« (zapadni brežuljak) postao je glavnim ciljem hodočasnika koji odande mogu vidjeti stari grad Jeruzalem i nekadašnji hramski trg. Po</w:t>
        <w:softHyphen/>
        <w:t xml:space="preserve">novno ujedinjenje Jeruzalema 1967. otvara i hodočasnicima put k Zapadnom zidu </w:t>
      </w:r>
      <w:r>
        <w:rPr>
          <w:rFonts w:ascii="Times New Roman" w:eastAsia="Times New Roman" w:hAnsi="Times New Roman" w:cs="Times New Roman"/>
          <w:i/>
          <w:iCs/>
          <w:color w:val="000000"/>
          <w:spacing w:val="0"/>
          <w:w w:val="100"/>
          <w:position w:val="0"/>
          <w:shd w:val="clear" w:color="auto" w:fill="auto"/>
          <w:lang w:val="hr-HR" w:eastAsia="hr-HR" w:bidi="hr-HR"/>
        </w:rPr>
        <w:t>(lla-ko- lel ha-maaravi - Zid plaća),</w:t>
      </w:r>
      <w:r>
        <w:rPr>
          <w:rFonts w:ascii="Times New Roman" w:eastAsia="Times New Roman" w:hAnsi="Times New Roman" w:cs="Times New Roman"/>
          <w:color w:val="000000"/>
          <w:spacing w:val="0"/>
          <w:w w:val="100"/>
          <w:position w:val="0"/>
          <w:shd w:val="clear" w:color="auto" w:fill="auto"/>
          <w:lang w:val="hr-HR" w:eastAsia="hr-HR" w:bidi="hr-HR"/>
        </w:rPr>
        <w:t xml:space="preserve"> ostatku herodi- janskoga hramskog okruga; Židovi se od sred</w:t>
        <w:softHyphen/>
        <w:t>njega vijeka mole pred njim, pa je upravo ste</w:t>
        <w:softHyphen/>
        <w:t>kao važnost hodočasničkoga mjesta.</w:t>
      </w:r>
    </w:p>
    <w:p>
      <w:pPr>
        <w:pStyle w:val="Style56"/>
        <w:keepNext w:val="0"/>
        <w:keepLines w:val="0"/>
        <w:widowControl w:val="0"/>
        <w:shd w:val="clear" w:color="auto" w:fill="auto"/>
        <w:tabs>
          <w:tab w:pos="2434" w:val="left"/>
        </w:tabs>
        <w:bidi w:val="0"/>
        <w:spacing w:before="0" w:after="18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13, *1978, 510-20; S. Safrai, </w:t>
      </w:r>
      <w:r>
        <w:rPr>
          <w:i/>
          <w:iCs/>
          <w:color w:val="000000"/>
          <w:spacing w:val="0"/>
          <w:w w:val="100"/>
          <w:position w:val="0"/>
          <w:shd w:val="clear" w:color="auto" w:fill="auto"/>
          <w:lang w:val="hr-HR" w:eastAsia="hr-HR" w:bidi="hr-HR"/>
        </w:rPr>
        <w:t xml:space="preserve">Das jiidische l'olk im Zeitalier </w:t>
      </w:r>
      <w:r>
        <w:rPr>
          <w:i/>
          <w:iCs/>
          <w:color w:val="000000"/>
          <w:spacing w:val="0"/>
          <w:w w:val="100"/>
          <w:position w:val="0"/>
          <w:shd w:val="clear" w:color="auto" w:fill="auto"/>
        </w:rPr>
        <w:t>des Zweiuin Tempels.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*I9W. 58; isti. </w:t>
      </w:r>
      <w:r>
        <w:rPr>
          <w:i/>
          <w:iCs/>
          <w:color w:val="000000"/>
          <w:spacing w:val="0"/>
          <w:w w:val="100"/>
          <w:position w:val="0"/>
          <w:shd w:val="clear" w:color="auto" w:fill="auto"/>
        </w:rPr>
        <w:t xml:space="preserve">Die Wallfahrt </w:t>
      </w:r>
      <w:r>
        <w:rPr>
          <w:i/>
          <w:iCs/>
          <w:color w:val="000000"/>
          <w:spacing w:val="0"/>
          <w:w w:val="100"/>
          <w:position w:val="0"/>
          <w:shd w:val="clear" w:color="auto" w:fill="auto"/>
          <w:lang w:val="hr-HR" w:eastAsia="hr-HR" w:bidi="hr-HR"/>
        </w:rPr>
        <w:t xml:space="preserve">im </w:t>
      </w:r>
      <w:r>
        <w:rPr>
          <w:i/>
          <w:iCs/>
          <w:color w:val="000000"/>
          <w:spacing w:val="0"/>
          <w:w w:val="100"/>
          <w:position w:val="0"/>
          <w:shd w:val="clear" w:color="auto" w:fill="auto"/>
        </w:rPr>
        <w:t xml:space="preserve">Zeilalter des Zweben Tempels, </w:t>
      </w:r>
      <w:r>
        <w:rPr>
          <w:color w:val="000000"/>
          <w:spacing w:val="0"/>
          <w:w w:val="100"/>
          <w:position w:val="0"/>
          <w:shd w:val="clear" w:color="auto" w:fill="auto"/>
          <w:lang w:val="hr-HR" w:eastAsia="hr-HR" w:bidi="hr-HR"/>
        </w:rPr>
        <w:t>1981.</w:t>
        <w:tab/>
        <w:t>D.Vb'HER</w:t>
      </w:r>
    </w:p>
    <w:p>
      <w:pPr>
        <w:pStyle w:val="Style63"/>
        <w:keepNext/>
        <w:keepLines/>
        <w:widowControl w:val="0"/>
        <w:numPr>
          <w:ilvl w:val="0"/>
          <w:numId w:val="155"/>
        </w:numPr>
        <w:shd w:val="clear" w:color="auto" w:fill="auto"/>
        <w:tabs>
          <w:tab w:pos="260" w:val="left"/>
        </w:tabs>
        <w:bidi w:val="0"/>
        <w:spacing w:before="0" w:after="80"/>
        <w:ind w:left="0" w:right="0" w:firstLine="0"/>
        <w:jc w:val="both"/>
      </w:pPr>
      <w:bookmarkStart w:id="116" w:name="bookmark11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16"/>
    </w:p>
    <w:p>
      <w:pPr>
        <w:pStyle w:val="Style20"/>
        <w:keepNext w:val="0"/>
        <w:keepLines w:val="0"/>
        <w:widowControl w:val="0"/>
        <w:shd w:val="clear" w:color="auto" w:fill="auto"/>
        <w:bidi w:val="0"/>
        <w:spacing w:before="0" w:after="14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 je religiozno motiviran posjet određenim mjestima uglavnom u vjeri da je božanstvo na određenim mjestima pristupačnije. U kršćan</w:t>
        <w:softHyphen/>
        <w:t xml:space="preserve">stvu već zarana pojedinci posjećuju zajednice u Palestini da bi na mjestima Isusova života i djelovanja ojačali svoju vjeru i čuli riječ Pisma na njegovu izvornome mjestu. Pod </w:t>
      </w:r>
      <w:r>
        <w:rPr>
          <w:rFonts w:ascii="Times New Roman" w:eastAsia="Times New Roman" w:hAnsi="Times New Roman" w:cs="Times New Roman"/>
          <w:color w:val="000000"/>
          <w:spacing w:val="0"/>
          <w:w w:val="100"/>
          <w:position w:val="0"/>
          <w:shd w:val="clear" w:color="auto" w:fill="auto"/>
          <w:lang w:val="en-US" w:eastAsia="en-US" w:bidi="en-US"/>
        </w:rPr>
        <w:t>carom</w:t>
      </w:r>
    </w:p>
    <w:p>
      <w:pPr>
        <w:pStyle w:val="Style20"/>
        <w:keepNext w:val="0"/>
        <w:keepLines w:val="0"/>
        <w:widowControl w:val="0"/>
        <w:shd w:val="clear" w:color="auto" w:fill="auto"/>
        <w:bidi w:val="0"/>
        <w:spacing w:before="0" w:after="8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Konstantinom izgrađene su u tu svrhu prve hodočasničke crkve. Štovanje mučenika drugi je razlog z.a hodočašća. Na mjestu njihova mučeništva ili njihova groba moli se zagovor tih svjedoka vjere i slave se karmine i euharis</w:t>
        <w:softHyphen/>
        <w:t xml:space="preserve">tija. U Rimu su se tako osobito štovah grobovi apostolskih vođa Petra 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Daljnji je još razlog doživljaj ukazanja (npr. </w:t>
      </w:r>
      <w:r>
        <w:rPr>
          <w:rFonts w:ascii="Times New Roman" w:eastAsia="Times New Roman" w:hAnsi="Times New Roman" w:cs="Times New Roman"/>
          <w:color w:val="000000"/>
          <w:spacing w:val="0"/>
          <w:w w:val="100"/>
          <w:position w:val="0"/>
          <w:shd w:val="clear" w:color="auto" w:fill="auto"/>
          <w:lang w:val="en-US" w:eastAsia="en-US" w:bidi="en-US"/>
        </w:rPr>
        <w:t xml:space="preserve">Lourdes) </w:t>
      </w:r>
      <w:r>
        <w:rPr>
          <w:rFonts w:ascii="Times New Roman" w:eastAsia="Times New Roman" w:hAnsi="Times New Roman" w:cs="Times New Roman"/>
          <w:color w:val="000000"/>
          <w:spacing w:val="0"/>
          <w:w w:val="100"/>
          <w:position w:val="0"/>
          <w:shd w:val="clear" w:color="auto" w:fill="auto"/>
          <w:lang w:val="hr-HR" w:eastAsia="hr-HR" w:bidi="hr-HR"/>
        </w:rPr>
        <w:t>i po</w:t>
        <w:softHyphen/>
        <w:t>sjet čudotvornim slikama na mjestima gdje su na temelju molitve uslijedile neobjašnjive stva</w:t>
        <w:softHyphen/>
        <w:t>ri, prije svega ozdravljenja. Ima hodočašća s ciljem da bi se ljudi našli u većem religioznom zajedništvu, npr. u povodu blagdana. Pritom je svako h. izraz hodočasničkog stanja u ko</w:t>
        <w:softHyphen/>
        <w:t>jem se kršćanin na zemlji nalazi. Vrijednost hodočašća leži u jačanju vjere, obraćenju i okretanju kršćanskom zajedništvu. Tu se sva</w:t>
        <w:softHyphen/>
        <w:t>kako ubraja i ispravan stav. Kako je on ne</w:t>
        <w:softHyphen/>
        <w:t>rijetko nedostajao, u Crkvi je od početka bilo kritičkog držanja prema hodočašćenju. Ta kri</w:t>
        <w:softHyphen/>
        <w:t>tika naglašava da svako h. smije biti samo iz</w:t>
        <w:softHyphen/>
        <w:t>raz unutarnjeg predanja, a ne njegov nado</w:t>
        <w:softHyphen/>
        <w:t>mjestak. Hodočašća ne pripadaju području službenoga crkvenog bogoštovlja, ali su ho</w:t>
        <w:softHyphen/>
        <w:t>dočasnička mjesta često omiljena mjesta iz</w:t>
        <w:softHyphen/>
        <w:t>vanrednog dušobrižništva.</w:t>
      </w:r>
    </w:p>
    <w:p>
      <w:pPr>
        <w:pStyle w:val="Style56"/>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B. </w:t>
      </w:r>
      <w:r>
        <w:rPr>
          <w:color w:val="000000"/>
          <w:spacing w:val="0"/>
          <w:w w:val="100"/>
          <w:position w:val="0"/>
          <w:shd w:val="clear" w:color="auto" w:fill="auto"/>
        </w:rPr>
        <w:t xml:space="preserve">Rolling. </w:t>
      </w:r>
      <w:r>
        <w:rPr>
          <w:i/>
          <w:iCs/>
          <w:color w:val="000000"/>
          <w:spacing w:val="0"/>
          <w:w w:val="100"/>
          <w:position w:val="0"/>
          <w:shd w:val="clear" w:color="auto" w:fill="auto"/>
          <w:lang w:val="hr-HR" w:eastAsia="hr-HR" w:bidi="hr-HR"/>
        </w:rPr>
        <w:t xml:space="preserve">Pcregrinaiic Religiosa. </w:t>
      </w:r>
      <w:r>
        <w:rPr>
          <w:i/>
          <w:iCs/>
          <w:color w:val="000000"/>
          <w:spacing w:val="0"/>
          <w:w w:val="100"/>
          <w:position w:val="0"/>
          <w:shd w:val="clear" w:color="auto" w:fill="auto"/>
        </w:rPr>
        <w:t xml:space="preserve">Wallfahrten in </w:t>
      </w:r>
      <w:r>
        <w:rPr>
          <w:i/>
          <w:iCs/>
          <w:color w:val="000000"/>
          <w:spacing w:val="0"/>
          <w:w w:val="100"/>
          <w:position w:val="0"/>
          <w:shd w:val="clear" w:color="auto" w:fill="auto"/>
          <w:lang w:val="hr-HR" w:eastAsia="hr-HR" w:bidi="hr-HR"/>
        </w:rPr>
        <w:t xml:space="preserve">der Antike </w:t>
      </w:r>
      <w:r>
        <w:rPr>
          <w:i/>
          <w:iCs/>
          <w:color w:val="000000"/>
          <w:spacing w:val="0"/>
          <w:w w:val="100"/>
          <w:position w:val="0"/>
          <w:shd w:val="clear" w:color="auto" w:fill="auto"/>
        </w:rPr>
        <w:t xml:space="preserve">and das Pilgerwesen 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alien Kirche,</w:t>
      </w:r>
      <w:r>
        <w:rPr>
          <w:color w:val="000000"/>
          <w:spacing w:val="0"/>
          <w:w w:val="100"/>
          <w:position w:val="0"/>
          <w:shd w:val="clear" w:color="auto" w:fill="auto"/>
        </w:rPr>
        <w:t xml:space="preserve"> Munster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1981); 1. BaumcrAV. Heim, </w:t>
      </w:r>
      <w:r>
        <w:rPr>
          <w:i/>
          <w:iCs/>
          <w:color w:val="000000"/>
          <w:spacing w:val="0"/>
          <w:w w:val="100"/>
          <w:position w:val="0"/>
          <w:shd w:val="clear" w:color="auto" w:fill="auto"/>
        </w:rPr>
        <w:t>Wallfahrt htuie,</w:t>
      </w:r>
      <w:r>
        <w:rPr>
          <w:color w:val="000000"/>
          <w:spacing w:val="0"/>
          <w:w w:val="100"/>
          <w:position w:val="0"/>
          <w:shd w:val="clear" w:color="auto" w:fill="auto"/>
        </w:rPr>
        <w:t xml:space="preserve"> Freiburg-Schweiz 1978. K Guth, Die Wallfahrt - Au-sdruck rcligibscr Kultur.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IAlurgin hes Jahrbuch</w:t>
      </w:r>
      <w:r>
        <w:rPr>
          <w:color w:val="000000"/>
          <w:spacing w:val="0"/>
          <w:w w:val="100"/>
          <w:position w:val="0"/>
          <w:shd w:val="clear" w:color="auto" w:fill="auto"/>
        </w:rPr>
        <w:t xml:space="preserve"> 36 (1986), 1 Wk20l. K. RICHTER</w:t>
      </w:r>
    </w:p>
    <w:p>
      <w:pPr>
        <w:pStyle w:val="Style63"/>
        <w:keepNext/>
        <w:keepLines/>
        <w:widowControl w:val="0"/>
        <w:numPr>
          <w:ilvl w:val="0"/>
          <w:numId w:val="155"/>
        </w:numPr>
        <w:shd w:val="clear" w:color="auto" w:fill="auto"/>
        <w:tabs>
          <w:tab w:pos="260" w:val="left"/>
        </w:tabs>
        <w:bidi w:val="0"/>
        <w:spacing w:before="0" w:after="80" w:line="226" w:lineRule="auto"/>
        <w:ind w:left="0" w:right="0" w:firstLine="0"/>
        <w:jc w:val="both"/>
      </w:pPr>
      <w:bookmarkStart w:id="117" w:name="bookmark117"/>
      <w:r>
        <w:rPr>
          <w:rFonts w:ascii="Times New Roman" w:eastAsia="Times New Roman" w:hAnsi="Times New Roman" w:cs="Times New Roman"/>
          <w:color w:val="000000"/>
          <w:spacing w:val="0"/>
          <w:w w:val="100"/>
          <w:position w:val="0"/>
          <w:shd w:val="clear" w:color="auto" w:fill="auto"/>
          <w:lang w:val="hr-HR" w:eastAsia="hr-HR" w:bidi="hr-HR"/>
        </w:rPr>
        <w:t>islamski</w:t>
      </w:r>
      <w:bookmarkEnd w:id="117"/>
    </w:p>
    <w:p>
      <w:pPr>
        <w:pStyle w:val="Style20"/>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Jedino </w:t>
      </w:r>
      <w:r>
        <w:rPr>
          <w:rFonts w:ascii="Times New Roman" w:eastAsia="Times New Roman" w:hAnsi="Times New Roman" w:cs="Times New Roman"/>
          <w:color w:val="000000"/>
          <w:spacing w:val="0"/>
          <w:w w:val="100"/>
          <w:position w:val="0"/>
          <w:shd w:val="clear" w:color="auto" w:fill="auto"/>
          <w:lang w:val="en-US" w:eastAsia="en-US" w:bidi="en-US"/>
        </w:rPr>
        <w:t xml:space="preserve">h., </w:t>
      </w:r>
      <w:r>
        <w:rPr>
          <w:rFonts w:ascii="Times New Roman" w:eastAsia="Times New Roman" w:hAnsi="Times New Roman" w:cs="Times New Roman"/>
          <w:color w:val="000000"/>
          <w:spacing w:val="0"/>
          <w:w w:val="100"/>
          <w:position w:val="0"/>
          <w:shd w:val="clear" w:color="auto" w:fill="auto"/>
          <w:lang w:val="hr-HR" w:eastAsia="hr-HR" w:bidi="hr-HR"/>
        </w:rPr>
        <w:t>koje islam priznaje, zapravo pro</w:t>
        <w:softHyphen/>
        <w:t xml:space="preserve">pisuje kao područje svoje vjere, jest ono koje se odnosi na njegovu kolijevku, na grad Meku u Arabiji. Arapi su prije islama poznavali mnoga hodočašća. Njih je zamijenio pobožni posjet Meki jednom u godini - u mjesecu zul- hidže. H. u Meku (hadž, od arap.: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al-hadjj) </w:t>
      </w:r>
      <w:r>
        <w:rPr>
          <w:rFonts w:ascii="Times New Roman" w:eastAsia="Times New Roman" w:hAnsi="Times New Roman" w:cs="Times New Roman"/>
          <w:color w:val="000000"/>
          <w:spacing w:val="0"/>
          <w:w w:val="100"/>
          <w:position w:val="0"/>
          <w:shd w:val="clear" w:color="auto" w:fill="auto"/>
          <w:lang w:val="hr-HR" w:eastAsia="hr-HR" w:bidi="hr-HR"/>
        </w:rPr>
        <w:t>jest peta islamska religiozna dužnost. U sre</w:t>
        <w:softHyphen/>
        <w:t>dištu je obreda hadža obilazak Kabe (ili Ća- ba). jedne kockaste, otprilike 15 metara vi</w:t>
        <w:softHyphen/>
        <w:t>soke građevine od vulkanskoga kamena u sre</w:t>
        <w:softHyphen/>
        <w:t>dini centralne džamije u Meki. U vanjski is</w:t>
        <w:softHyphen/>
        <w:t>točni kut Kabe ugrađen je jedan, još samo fragmentarno sačuvani crni kamen, meteorit. U Kuranu se pripovijest o gradnji Kabe do</w:t>
        <w:softHyphen/>
        <w:t>vodi u vezu s Abrahamom. U tome se kao i u mnogim kuranskim pripovijestima o proroci</w:t>
        <w:softHyphen/>
        <w:t>ma zrcali jedna stara kaza koja se morala doživjeti u arapskom okružju.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okvini hodočasničkoga ceremonijala običa</w:t>
        <w:softHyphen/>
        <w:t>va se doticati ili čak ljubiti crni kamen - to je običaj koji slijedi Muhamedov primjer. Omer, drugi kalif, nije držao mnogo do kamena. Jed</w:t>
        <w:softHyphen/>
        <w:t>nom je navodno kazao: »Da nisam vidio kako te Muhamed dotiče s poštovanjem, ne bih te, o crni kamenu, smatrao dostojnim niti jednoga pogleda«. Dakle, potpuno neprepoznavanje islamske vjerske zbilje predstavlja zgodimična tvrdnja da muslimani poput fetiša štuju »crni kamen« u Kabi. Svaki je duševno i tjelesno zdrav, punoljetan musliman dužan barem jed</w:t>
        <w:softHyphen/>
        <w:t>nom u životu hodočastiti u Meku - kada mu to dozvole njegove imovinske prilike i druge okolnosti. Pritom se u obzir moraju u pojedi</w:t>
        <w:softHyphen/>
        <w:t>nostima uzeti sljedeće točke: a) Prije dolaska na mjesto okupljanja nužno je: iskreno se po- kajati za grijehe i donijeti čvrstu odluku da će se u odnosu na Boga kao i u odnosu prema ljudima voditi besprijekoran život; b) namiriti moguće dugove i izvršiti druge obveze te is</w:t>
        <w:softHyphen/>
        <w:t>praviti počinjene promašaje ili uvrede; c) ma</w:t>
        <w:softHyphen/>
        <w:t>terijalno zbrinjavanje vlastite obitelji i svih šti</w:t>
        <w:softHyphen/>
        <w:t>ćenika sve do mogućega povratka.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Onaj tko je hodočastio u Meku zove se hadži</w:t>
        <w:softHyphen/>
        <w:t xml:space="preserve">ja </w:t>
      </w:r>
      <w:r>
        <w:rPr>
          <w:rFonts w:ascii="Times New Roman" w:eastAsia="Times New Roman" w:hAnsi="Times New Roman" w:cs="Times New Roman"/>
          <w:i/>
          <w:iCs/>
          <w:color w:val="000000"/>
          <w:spacing w:val="0"/>
          <w:w w:val="100"/>
          <w:position w:val="0"/>
          <w:shd w:val="clear" w:color="auto" w:fill="auto"/>
          <w:lang w:val="hr-HR" w:eastAsia="hr-HR" w:bidi="hr-HR"/>
        </w:rPr>
        <w:t>(al-hadjj).</w:t>
      </w:r>
      <w:r>
        <w:rPr>
          <w:rFonts w:ascii="Times New Roman" w:eastAsia="Times New Roman" w:hAnsi="Times New Roman" w:cs="Times New Roman"/>
          <w:color w:val="000000"/>
          <w:spacing w:val="0"/>
          <w:w w:val="100"/>
          <w:position w:val="0"/>
          <w:shd w:val="clear" w:color="auto" w:fill="auto"/>
          <w:lang w:val="hr-HR" w:eastAsia="hr-HR" w:bidi="hr-HR"/>
        </w:rPr>
        <w:t xml:space="preserve"> Nakon obavljenoga hodočašća u Meki barem se posjećuje i Medina kao grad u kojemu je Muhamed živio mnogo godina i gdje se nalazi njegov grob. H. započinje krat</w:t>
        <w:softHyphen/>
        <w:t>ko prije početka blagdana žrtve. U Meki se ne traži »kuća Božja«, već Gospodar kuće. »Tre</w:t>
        <w:softHyphen/>
        <w:t>bam Gospodara kuće, što će mi kuća«, govo</w:t>
        <w:softHyphen/>
        <w:t xml:space="preserve">rila je pobožna </w:t>
      </w:r>
      <w:r>
        <w:rPr>
          <w:rFonts w:ascii="Times New Roman" w:eastAsia="Times New Roman" w:hAnsi="Times New Roman" w:cs="Times New Roman"/>
          <w:color w:val="000000"/>
          <w:spacing w:val="0"/>
          <w:w w:val="100"/>
          <w:position w:val="0"/>
          <w:shd w:val="clear" w:color="auto" w:fill="auto"/>
          <w:lang w:val="en-US" w:eastAsia="en-US" w:bidi="en-US"/>
        </w:rPr>
        <w:t xml:space="preserve">Rabija </w:t>
      </w:r>
      <w:r>
        <w:rPr>
          <w:rFonts w:ascii="Times New Roman" w:eastAsia="Times New Roman" w:hAnsi="Times New Roman" w:cs="Times New Roman"/>
          <w:color w:val="000000"/>
          <w:spacing w:val="0"/>
          <w:w w:val="100"/>
          <w:position w:val="0"/>
          <w:shd w:val="clear" w:color="auto" w:fill="auto"/>
          <w:lang w:val="hr-HR" w:eastAsia="hr-HR" w:bidi="hr-HR"/>
        </w:rPr>
        <w:t>(u. 801). Posjet i okup</w:t>
        <w:softHyphen/>
        <w:t>ljanje muslimana iz cijeloga svijeta u Meki služe učvršćivanju povezanosti medu ljudima različitih naroda i rasa, te promiču međuna</w:t>
        <w:softHyphen/>
        <w:t>rodno sporazumijevanje i mir. Dok su molitva i post naglašeno osobne dužnosti, h. u Meku i davanje socijalnih prinosa može obaviti ovlaš</w:t>
        <w:softHyphen/>
        <w:t>teni zastupnik.</w:t>
      </w:r>
    </w:p>
    <w:p>
      <w:pPr>
        <w:pStyle w:val="Style20"/>
        <w:keepNext w:val="0"/>
        <w:keepLines w:val="0"/>
        <w:widowControl w:val="0"/>
        <w:shd w:val="clear" w:color="auto" w:fill="auto"/>
        <w:bidi w:val="0"/>
        <w:spacing w:before="0" w:after="80"/>
        <w:ind w:left="0" w:right="0" w:firstLine="0"/>
        <w:jc w:val="both"/>
        <w:sectPr>
          <w:headerReference w:type="default" r:id="rId495"/>
          <w:footerReference w:type="default" r:id="rId496"/>
          <w:headerReference w:type="even" r:id="rId497"/>
          <w:footerReference w:type="even" r:id="rId498"/>
          <w:headerReference w:type="first" r:id="rId499"/>
          <w:footerReference w:type="first" r:id="rId500"/>
          <w:footnotePr>
            <w:pos w:val="pageBottom"/>
            <w:numFmt w:val="decimal"/>
            <w:numStart w:val="5"/>
            <w:numRestart w:val="continuous"/>
            <w15:footnoteColumns w:val="1"/>
          </w:footnotePr>
          <w:pgSz w:w="6816" w:h="11006"/>
          <w:pgMar w:top="987" w:left="169" w:right="172" w:bottom="443" w:header="0" w:footer="3" w:gutter="0"/>
          <w:pgNumType w:start="169"/>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Prostor, na kojemu se odvijaju ceremonije ha</w:t>
        <w:softHyphen/>
        <w:t xml:space="preserve">dža, zove se </w:t>
      </w:r>
      <w:r>
        <w:rPr>
          <w:rFonts w:ascii="Times New Roman" w:eastAsia="Times New Roman" w:hAnsi="Times New Roman" w:cs="Times New Roman"/>
          <w:i/>
          <w:iCs/>
          <w:color w:val="000000"/>
          <w:spacing w:val="0"/>
          <w:w w:val="100"/>
          <w:position w:val="0"/>
          <w:shd w:val="clear" w:color="auto" w:fill="auto"/>
          <w:lang w:val="hr-HR" w:eastAsia="hr-HR" w:bidi="hr-HR"/>
        </w:rPr>
        <w:t>harem.</w:t>
      </w:r>
      <w:r>
        <w:rPr>
          <w:rFonts w:ascii="Times New Roman" w:eastAsia="Times New Roman" w:hAnsi="Times New Roman" w:cs="Times New Roman"/>
          <w:color w:val="000000"/>
          <w:spacing w:val="0"/>
          <w:w w:val="100"/>
          <w:position w:val="0"/>
          <w:shd w:val="clear" w:color="auto" w:fill="auto"/>
          <w:lang w:val="hr-HR" w:eastAsia="hr-HR" w:bidi="hr-HR"/>
        </w:rPr>
        <w:t xml:space="preserve"> On obuhvaća cjelokupno područje Meke uključujući neke susjedne uzvisine i lokalitete </w:t>
      </w:r>
      <w:r>
        <w:rPr>
          <w:rFonts w:ascii="Times New Roman" w:eastAsia="Times New Roman" w:hAnsi="Times New Roman" w:cs="Times New Roman"/>
          <w:color w:val="000000"/>
          <w:spacing w:val="0"/>
          <w:w w:val="100"/>
          <w:position w:val="0"/>
          <w:shd w:val="clear" w:color="auto" w:fill="auto"/>
          <w:lang w:val="en-US" w:eastAsia="en-US" w:bidi="en-US"/>
        </w:rPr>
        <w:t xml:space="preserve">(‘Arafat, </w:t>
      </w:r>
      <w:r>
        <w:rPr>
          <w:rFonts w:ascii="Times New Roman" w:eastAsia="Times New Roman" w:hAnsi="Times New Roman" w:cs="Times New Roman"/>
          <w:color w:val="000000"/>
          <w:spacing w:val="0"/>
          <w:w w:val="100"/>
          <w:position w:val="0"/>
          <w:shd w:val="clear" w:color="auto" w:fill="auto"/>
          <w:lang w:val="hr-HR" w:eastAsia="hr-HR" w:bidi="hr-HR"/>
        </w:rPr>
        <w:t xml:space="preserve">Mina, Muzda- lifa). Nemuslimanima je zabranjeno stupanje na to područje. Presudni za tu zabranu mogli bi biti psihološki i sigurnosno-politieki razlozi. Prijevod riječi </w:t>
      </w:r>
      <w:r>
        <w:rPr>
          <w:rFonts w:ascii="Times New Roman" w:eastAsia="Times New Roman" w:hAnsi="Times New Roman" w:cs="Times New Roman"/>
          <w:i/>
          <w:iCs/>
          <w:color w:val="000000"/>
          <w:spacing w:val="0"/>
          <w:w w:val="100"/>
          <w:position w:val="0"/>
          <w:shd w:val="clear" w:color="auto" w:fill="auto"/>
          <w:lang w:val="hr-HR" w:eastAsia="hr-HR" w:bidi="hr-HR"/>
        </w:rPr>
        <w:t>harem</w:t>
      </w:r>
      <w:r>
        <w:rPr>
          <w:rFonts w:ascii="Times New Roman" w:eastAsia="Times New Roman" w:hAnsi="Times New Roman" w:cs="Times New Roman"/>
          <w:color w:val="000000"/>
          <w:spacing w:val="0"/>
          <w:w w:val="100"/>
          <w:position w:val="0"/>
          <w:shd w:val="clear" w:color="auto" w:fill="auto"/>
          <w:lang w:val="hr-HR" w:eastAsia="hr-HR" w:bidi="hr-HR"/>
        </w:rPr>
        <w:t xml:space="preserve"> kao »sveto mjesto« nije sasvim ispravan. Njegova etimologija prije svega daje značenje: uskraćen, ne-bližnji, ne</w:t>
        <w:softHyphen/>
        <w:t xml:space="preserve">pristupačan. Ni označavanje oba važna grada islama, Meke i Medine, </w:t>
      </w:r>
      <w:r>
        <w:rPr>
          <w:rFonts w:ascii="Times New Roman" w:eastAsia="Times New Roman" w:hAnsi="Times New Roman" w:cs="Times New Roman"/>
          <w:i/>
          <w:iCs/>
          <w:color w:val="000000"/>
          <w:spacing w:val="0"/>
          <w:w w:val="100"/>
          <w:position w:val="0"/>
          <w:shd w:val="clear" w:color="auto" w:fill="auto"/>
          <w:lang w:val="hr-HR" w:eastAsia="hr-HR" w:bidi="hr-HR"/>
        </w:rPr>
        <w:t>svetima,</w:t>
      </w:r>
      <w:r>
        <w:rPr>
          <w:rFonts w:ascii="Times New Roman" w:eastAsia="Times New Roman" w:hAnsi="Times New Roman" w:cs="Times New Roman"/>
          <w:color w:val="000000"/>
          <w:spacing w:val="0"/>
          <w:w w:val="100"/>
          <w:position w:val="0"/>
          <w:shd w:val="clear" w:color="auto" w:fill="auto"/>
          <w:lang w:val="hr-HR" w:eastAsia="hr-HR" w:bidi="hr-HR"/>
        </w:rPr>
        <w:t xml:space="preserve"> također ne </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odgovara autentičnom religioznom čuvstvu vjerski osviještenih muslimana. Oni u tom slu</w:t>
        <w:softHyphen/>
        <w:t>čaju upotrebljavaju epitete »častan« (za Me</w:t>
        <w:softHyphen/>
        <w:t>ku) i »prosvijetljen« (za Medinu).</w:t>
      </w:r>
    </w:p>
    <w:p>
      <w:pPr>
        <w:pStyle w:val="Style56"/>
        <w:keepNext w:val="0"/>
        <w:keepLines w:val="0"/>
        <w:widowControl w:val="0"/>
        <w:shd w:val="clear" w:color="auto" w:fill="auto"/>
        <w:bidi w:val="0"/>
        <w:spacing w:before="0" w:after="380" w:line="226" w:lineRule="auto"/>
        <w:ind w:left="0" w:right="0" w:firstLine="0"/>
        <w:jc w:val="both"/>
      </w:pPr>
      <w:r>
        <w:rPr>
          <w:color w:val="000000"/>
          <w:spacing w:val="0"/>
          <w:w w:val="100"/>
          <w:position w:val="0"/>
          <w:shd w:val="clear" w:color="auto" w:fill="auto"/>
          <w:lang w:val="hr-HR" w:eastAsia="hr-HR" w:bidi="hr-HR"/>
        </w:rPr>
        <w:t xml:space="preserve">Lit: M. Arkaun/Ezzcdhtc Guclh&gt;u&amp;'?MxJclaziz Erikha, </w:t>
      </w:r>
      <w:r>
        <w:rPr>
          <w:i/>
          <w:iCs/>
          <w:color w:val="000000"/>
          <w:spacing w:val="0"/>
          <w:w w:val="100"/>
          <w:position w:val="0"/>
          <w:shd w:val="clear" w:color="auto" w:fill="auto"/>
          <w:lang w:val="hr-HR" w:eastAsia="hr-HR" w:bidi="hr-HR"/>
        </w:rPr>
        <w:t>Pil- ge/fahrt nach Mekka,</w:t>
      </w:r>
      <w:r>
        <w:rPr>
          <w:color w:val="000000"/>
          <w:spacing w:val="0"/>
          <w:w w:val="100"/>
          <w:position w:val="0"/>
          <w:shd w:val="clear" w:color="auto" w:fill="auto"/>
          <w:lang w:val="hr-HR" w:eastAsia="hr-HR" w:bidi="hr-HR"/>
        </w:rPr>
        <w:t xml:space="preserve"> Zunch/brciburg 1978. s. BAl.ić</w:t>
      </w:r>
    </w:p>
    <w:p>
      <w:pPr>
        <w:pStyle w:val="Style33"/>
        <w:keepNext w:val="0"/>
        <w:keepLines w:val="0"/>
        <w:widowControl w:val="0"/>
        <w:shd w:val="clear" w:color="auto" w:fill="auto"/>
        <w:bidi w:val="0"/>
        <w:spacing w:before="0" w:after="140" w:line="22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HRAM</w:t>
      </w:r>
    </w:p>
    <w:p>
      <w:pPr>
        <w:pStyle w:val="Style63"/>
        <w:keepNext/>
        <w:keepLines/>
        <w:widowControl w:val="0"/>
        <w:numPr>
          <w:ilvl w:val="0"/>
          <w:numId w:val="161"/>
        </w:numPr>
        <w:shd w:val="clear" w:color="auto" w:fill="auto"/>
        <w:tabs>
          <w:tab w:pos="250" w:val="left"/>
        </w:tabs>
        <w:bidi w:val="0"/>
        <w:spacing w:before="0" w:after="80" w:line="226" w:lineRule="auto"/>
        <w:ind w:left="0" w:right="0" w:firstLine="0"/>
        <w:jc w:val="both"/>
      </w:pPr>
      <w:bookmarkStart w:id="118" w:name="bookmark118"/>
      <w:r>
        <w:rPr>
          <w:rFonts w:ascii="Times New Roman" w:eastAsia="Times New Roman" w:hAnsi="Times New Roman" w:cs="Times New Roman"/>
          <w:color w:val="000000"/>
          <w:spacing w:val="0"/>
          <w:w w:val="100"/>
          <w:position w:val="0"/>
          <w:shd w:val="clear" w:color="auto" w:fill="auto"/>
          <w:lang w:val="hr-HR" w:eastAsia="hr-HR" w:bidi="hr-HR"/>
        </w:rPr>
        <w:t>židovski</w:t>
      </w:r>
      <w:bookmarkEnd w:id="118"/>
    </w:p>
    <w:p>
      <w:pPr>
        <w:pStyle w:val="Style20"/>
        <w:keepNext w:val="0"/>
        <w:keepLines w:val="0"/>
        <w:widowControl w:val="0"/>
        <w:numPr>
          <w:ilvl w:val="0"/>
          <w:numId w:val="163"/>
        </w:numPr>
        <w:shd w:val="clear" w:color="auto" w:fill="auto"/>
        <w:tabs>
          <w:tab w:pos="265" w:val="left"/>
        </w:tabs>
        <w:bidi w:val="0"/>
        <w:spacing w:before="0" w:after="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 Izraelcima ću se tu sastajati.«</w:t>
      </w:r>
      <w:r>
        <w:rPr>
          <w:rFonts w:ascii="Times New Roman" w:eastAsia="Times New Roman" w:hAnsi="Times New Roman" w:cs="Times New Roman"/>
          <w:color w:val="000000"/>
          <w:spacing w:val="0"/>
          <w:w w:val="100"/>
          <w:position w:val="0"/>
          <w:shd w:val="clear" w:color="auto" w:fill="auto"/>
          <w:lang w:val="hr-HR" w:eastAsia="hr-HR" w:bidi="hr-HR"/>
        </w:rPr>
        <w:t xml:space="preserve"> Prva od dviju biblijskih priča o postanku obuhvaća stvaranje svijeta (»neba i zemlje«, Post 2,1, usp. 1,1; 2,4) ljudskim riječima: »svoje djelo koje učini« (2,2 i d.). Uz druga važna ponav</w:t>
        <w:softHyphen/>
        <w:t>ljanja upadljivo je ponovno javljanje riječi »dje</w:t>
        <w:softHyphen/>
        <w:t>lo« i »činiti« u priči o podizanju »šatora sas</w:t>
        <w:softHyphen/>
        <w:t>tanka pred NJIM« (Izl 29,42); ono uspostavlja odnos između dviju priča, pa se slušatelj i či</w:t>
        <w:softHyphen/>
        <w:t>tatelj zakona Božjeg (Izl 25-31) i izvješća o njegovoj provedbi (35-40) mora sjetiti povi</w:t>
        <w:softHyphen/>
        <w:t>jesti postanka (Post 1,1-2,4a) kada se »dje- lo/rad« i »činiti« ponavljaju u čovjekovu radu na »Šatoru sastanka« (Izl 31,3.5; 35,21.29; 36,1 i d.), pa tekst na svršetku glasi: »Mojsijc pregleda sve radove i utvrdi da su ih dovršili: kako je ON naredio, onako su ih napravili« (39,43). Izrazi kojima se uspoređuje božansko djelovanje s čovječjim i čovječji postupci s božanskim služe kao jezično sredstvo za stvar</w:t>
        <w:softHyphen/>
        <w:t>anje te za proizvodnju prenosivoga svetišta u prolasku kroz pustinju. Narod uči graditi pre</w:t>
        <w:softHyphen/>
        <w:t>ma »uzorku Prebivališta«, koji je Bog poka</w:t>
        <w:softHyphen/>
        <w:t>zao Mojsiju »sedmoga dana« na brdu ispred oblaka (24,16 i d„ usp. 25,9.40; 26,30; 27,8): »Neka mi sagrade Svetište da mogu boraviti medu njima« (25,8), mjesto Božjega prebiva</w:t>
        <w:softHyphen/>
        <w:t>lišta (25,22; 29,42; 30,6.36) u ljudskom svijetu: »I s Izraelcima ču se tu sastajati« (29,43). Božjom »slavom« narod graditelja je »posve</w:t>
        <w:softHyphen/>
        <w:t xml:space="preserve">ćen«, a posvećen je i »Šator sastanka« (29,43 i d.). Rabinsko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tumačenje bilo konkretno: »Sve dotle dok nije bio podignut Šator sas</w:t>
        <w:softHyphen/>
        <w:t>tanka, u svijetu je vladalo neprijateljstvo, lju</w:t>
        <w:softHyphen/>
        <w:t>bomora, svađe, sukobi i podvojenosti; no, kad je podignut Šator sastanka (u kojem je Bog svojem narodu i pobožnicima obećavao mir, usp. Ps 85,9, i u kojem je Izrael učio Toru), u svijetu je nastala ljubav, naklonost, prijatelj</w:t>
        <w:softHyphen/>
        <w:t xml:space="preserve">stvo, pravda i mir. Koji je razlog Pisma? Ta </w:t>
      </w:r>
      <w:r>
        <w:rPr>
          <w:rFonts w:ascii="Times New Roman" w:eastAsia="Times New Roman" w:hAnsi="Times New Roman" w:cs="Times New Roman"/>
          <w:color w:val="000000"/>
          <w:spacing w:val="0"/>
          <w:w w:val="100"/>
          <w:position w:val="0"/>
          <w:shd w:val="clear" w:color="auto" w:fill="auto"/>
          <w:lang w:val="hr-HR" w:eastAsia="hr-HR" w:bidi="hr-HR"/>
        </w:rPr>
        <w:t xml:space="preserve">hoću čuti što Bog govori (Izl 25,22; Br 7,89)« (Pesikta 7a, usp. Tanhunta /S.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 25 ,'19b/; Pesikta rabati 5 /22a/; Bcmidbar raba XII,7,1).</w:t>
      </w:r>
    </w:p>
    <w:p>
      <w:pPr>
        <w:pStyle w:val="Style20"/>
        <w:keepNext w:val="0"/>
        <w:keepLines w:val="0"/>
        <w:widowControl w:val="0"/>
        <w:numPr>
          <w:ilvl w:val="0"/>
          <w:numId w:val="163"/>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»Blagoslovljen</w:t>
      </w:r>
      <w:r>
        <w:rPr>
          <w:rFonts w:ascii="Times New Roman" w:eastAsia="Times New Roman" w:hAnsi="Times New Roman" w:cs="Times New Roman"/>
          <w:color w:val="000000"/>
          <w:spacing w:val="0"/>
          <w:w w:val="100"/>
          <w:position w:val="0"/>
          <w:shd w:val="clear" w:color="auto" w:fill="auto"/>
          <w:lang w:val="hr-HR" w:eastAsia="hr-HR" w:bidi="hr-HR"/>
        </w:rPr>
        <w:t xml:space="preserve"> CW, </w:t>
      </w:r>
      <w:r>
        <w:rPr>
          <w:rFonts w:ascii="Times New Roman" w:eastAsia="Times New Roman" w:hAnsi="Times New Roman" w:cs="Times New Roman"/>
          <w:i/>
          <w:iCs/>
          <w:color w:val="000000"/>
          <w:spacing w:val="0"/>
          <w:w w:val="100"/>
          <w:position w:val="0"/>
          <w:shd w:val="clear" w:color="auto" w:fill="auto"/>
          <w:lang w:val="hr-HR" w:eastAsia="hr-HR" w:bidi="hr-HR"/>
        </w:rPr>
        <w:t>koji je narodu svom Iz</w:t>
        <w:softHyphen/>
        <w:t>raelu dao mir.«</w:t>
      </w:r>
      <w:r>
        <w:rPr>
          <w:rFonts w:ascii="Times New Roman" w:eastAsia="Times New Roman" w:hAnsi="Times New Roman" w:cs="Times New Roman"/>
          <w:color w:val="000000"/>
          <w:spacing w:val="0"/>
          <w:w w:val="100"/>
          <w:position w:val="0"/>
          <w:shd w:val="clear" w:color="auto" w:fill="auto"/>
          <w:lang w:val="hr-HR" w:eastAsia="hr-HR" w:bidi="hr-HR"/>
        </w:rPr>
        <w:t xml:space="preserve"> Izrael je nakon prolaska kroz pustinju našao mir u Svetištu koje »ispuni NJEGOVA slava« (1 Kr 8,11) kad je »prive</w:t>
        <w:softHyphen/>
        <w:t xml:space="preserve">den kraju sav posao što ga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obavi za Dom NJEGOV« (7,51). Za posvete Hrama kralj je blagoslovio »sav zbor Izraclov govo</w:t>
        <w:softHyphen/>
        <w:t>reći jakim glasom: Blagoslovljen ON, koji je narodu svom Izraelu dao mir« i molio: »Neka bude ON, naš Bog, s nama kao što je bio s našim očima, neka nas nikad ne napusti, neka prikloni naša srca k sebi da bismo hodili svim njegovim putovima« (8,55 i d.). Blagdan sjeni</w:t>
        <w:softHyphen/>
        <w:t>ca (Sukot, usp. M Suka I-V) predočava u ži</w:t>
        <w:softHyphen/>
        <w:t>dovskoj godini i prolazak kroz pustinju i mir: na brzinu podignute sjenice (kolibe) podsjeća</w:t>
        <w:softHyphen/>
        <w:t>ju na negdašnje dugo putovanje, koje je s prvim posvećenjem Hrama u danima Blagdana sje</w:t>
        <w:softHyphen/>
        <w:t>nica napokon vodilo miru (1 Kr 8,2.65; usp. b Moed katan 9a), i opominje da u svakoj kući, koja poziva na naseljavanje i sigurno stano</w:t>
        <w:softHyphen/>
        <w:t>vanje, prepoznaju sjenicu koja dopušta samo predah na putovanju kroz vrijeme; no na kra</w:t>
        <w:softHyphen/>
        <w:t>ju toga putovanja Bog će putnicima pripremiti mir kao što opravdavaju Salomonovc riječi nade drugoga blagdanskog dana na posveće</w:t>
        <w:softHyphen/>
        <w:t>nju Hrama (8,1-21, usp. 8,54-66).</w:t>
      </w:r>
    </w:p>
    <w:p>
      <w:pPr>
        <w:pStyle w:val="Style20"/>
        <w:keepNext w:val="0"/>
        <w:keepLines w:val="0"/>
        <w:widowControl w:val="0"/>
        <w:numPr>
          <w:ilvl w:val="0"/>
          <w:numId w:val="163"/>
        </w:numPr>
        <w:shd w:val="clear" w:color="auto" w:fill="auto"/>
        <w:tabs>
          <w:tab w:pos="274"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»Kad god ga budete čitali...«</w:t>
      </w:r>
      <w:r>
        <w:rPr>
          <w:rFonts w:ascii="Times New Roman" w:eastAsia="Times New Roman" w:hAnsi="Times New Roman" w:cs="Times New Roman"/>
          <w:color w:val="000000"/>
          <w:spacing w:val="0"/>
          <w:w w:val="100"/>
          <w:position w:val="0"/>
          <w:shd w:val="clear" w:color="auto" w:fill="auto"/>
          <w:lang w:val="hr-HR" w:eastAsia="hr-HR" w:bidi="hr-HR"/>
        </w:rPr>
        <w:t xml:space="preserve"> U spomen ob</w:t>
        <w:softHyphen/>
        <w:t>reda u Hramu, svakoga dana na Blagdan sje</w:t>
        <w:softHyphen/>
        <w:t>nica treba jedanput obići oltar, a sedmoga da</w:t>
        <w:softHyphen/>
        <w:t xml:space="preserve">na sedam puta (M Suka IV,5), u sinagogi, s blagdanskim stručkom u ruci, obilazi se </w:t>
      </w:r>
      <w:r>
        <w:rPr>
          <w:rFonts w:ascii="Times New Roman" w:eastAsia="Times New Roman" w:hAnsi="Times New Roman" w:cs="Times New Roman"/>
          <w:i/>
          <w:iCs/>
          <w:color w:val="000000"/>
          <w:spacing w:val="0"/>
          <w:w w:val="100"/>
          <w:position w:val="0"/>
          <w:shd w:val="clear" w:color="auto" w:fill="auto"/>
          <w:lang w:val="hr-HR" w:eastAsia="hr-HR" w:bidi="hr-HR"/>
        </w:rPr>
        <w:t>bima (almemar)</w:t>
      </w:r>
      <w:r>
        <w:rPr>
          <w:rFonts w:ascii="Times New Roman" w:eastAsia="Times New Roman" w:hAnsi="Times New Roman" w:cs="Times New Roman"/>
          <w:color w:val="000000"/>
          <w:spacing w:val="0"/>
          <w:w w:val="100"/>
          <w:position w:val="0"/>
          <w:shd w:val="clear" w:color="auto" w:fill="auto"/>
          <w:lang w:val="hr-HR" w:eastAsia="hr-HR" w:bidi="hr-HR"/>
        </w:rPr>
        <w:t xml:space="preserve"> na koju su prije toga donijeli svitak Tore; naime, od razorcnja lirama mjesto ol</w:t>
        <w:softHyphen/>
        <w:t>tara zauzelo je mjesto s kojeg se čita Tora: »Bog reče Abrahamu: Već sam odredio vama (tvojoj djeci) da čitate odlomak o žrtvama: kad god ga budete čitali, pripisat ću vam u zaslugu kao da ste mi prinijeli žrtve, pa ću vam oprostiti sve grijehe« (b Megila 31b). Svatko - izraženo paradigmatski: i lihvar (M Šekalim 1,3) - ima pravo na mjesto u Hramu ili u sinagogi; ona se koristi i za učilište (j Me</w:t>
        <w:softHyphen/>
        <w:t xml:space="preserve">gila III,73d; Pesikta 121b; b Bava kama 60b). Santo ondje čovjeku se može pomoći da nade put k Bogu i obraćenju. Prema jednoj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berajli </w:t>
      </w:r>
      <w:r>
        <w:rPr>
          <w:rFonts w:ascii="Times New Roman" w:eastAsia="Times New Roman" w:hAnsi="Times New Roman" w:cs="Times New Roman"/>
          <w:color w:val="000000"/>
          <w:spacing w:val="0"/>
          <w:w w:val="100"/>
          <w:position w:val="0"/>
          <w:shd w:val="clear" w:color="auto" w:fill="auto"/>
          <w:lang w:val="hr-HR" w:eastAsia="hr-HR" w:bidi="hr-HR"/>
        </w:rPr>
        <w:t xml:space="preserve">Rabi je </w:t>
      </w:r>
      <w:r>
        <w:rPr>
          <w:rFonts w:ascii="Times New Roman" w:eastAsia="Times New Roman" w:hAnsi="Times New Roman" w:cs="Times New Roman"/>
          <w:color w:val="000000"/>
          <w:spacing w:val="0"/>
          <w:w w:val="100"/>
          <w:position w:val="0"/>
          <w:shd w:val="clear" w:color="auto" w:fill="auto"/>
          <w:lang w:val="en-US" w:eastAsia="en-US" w:bidi="en-US"/>
        </w:rPr>
        <w:t xml:space="preserve">Natan </w:t>
      </w:r>
      <w:r>
        <w:rPr>
          <w:rFonts w:ascii="Times New Roman" w:eastAsia="Times New Roman" w:hAnsi="Times New Roman" w:cs="Times New Roman"/>
          <w:color w:val="000000"/>
          <w:spacing w:val="0"/>
          <w:w w:val="100"/>
          <w:position w:val="0"/>
          <w:shd w:val="clear" w:color="auto" w:fill="auto"/>
          <w:lang w:val="hr-HR" w:eastAsia="hr-HR" w:bidi="hr-HR"/>
        </w:rPr>
        <w:t xml:space="preserve">(oko 160) podučavao: »Sveti, blagoslovljen bio, reče: Tko se bavi Torom i </w:t>
      </w:r>
      <w:r>
        <w:rPr>
          <w:rFonts w:ascii="Times New Roman" w:eastAsia="Times New Roman" w:hAnsi="Times New Roman" w:cs="Times New Roman"/>
          <w:color w:val="000000"/>
          <w:spacing w:val="0"/>
          <w:w w:val="100"/>
          <w:position w:val="0"/>
          <w:shd w:val="clear" w:color="auto" w:fill="auto"/>
          <w:lang w:val="hr-HR" w:eastAsia="hr-HR" w:bidi="hr-HR"/>
        </w:rPr>
        <w:t>djelima ljubavi i moli s općinom, njemu će se uzeti u zaslugu kao da je mene i moju djecu izbavio od naroda svijeta« (b Berahot 8a). Takve tradicije mudraca opravdale su odnos pobožnika prema Hramu i sinagogi: »Hilel Stariji (oko 20. pr. Kr.) rekao je: Na mjesto, koje moje srce ljubi, nose me noge; ako dođeš u moju kuću (= H.), doći ću i ja u tvoju; a ako ne dodeš u moju kuću, neću ni ja doći u tvoju (Izl 20,24)« (Tos. Suka IV.3; b 53a).</w:t>
      </w:r>
    </w:p>
    <w:p>
      <w:pPr>
        <w:pStyle w:val="Style56"/>
        <w:keepNext w:val="0"/>
        <w:keepLines w:val="0"/>
        <w:widowControl w:val="0"/>
        <w:shd w:val="clear" w:color="auto" w:fill="auto"/>
        <w:tabs>
          <w:tab w:pos="2448" w:val="left"/>
        </w:tabs>
        <w:bidi w:val="0"/>
        <w:spacing w:before="0" w:after="16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15.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942-88; K. </w:t>
      </w:r>
      <w:r>
        <w:rPr>
          <w:color w:val="000000"/>
          <w:spacing w:val="0"/>
          <w:w w:val="100"/>
          <w:position w:val="0"/>
          <w:shd w:val="clear" w:color="auto" w:fill="auto"/>
        </w:rPr>
        <w:t xml:space="preserve">Galling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rPr>
        <w:t>BibHtches Reallexikon,</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1977, 333-42; E. Ollo.^e- </w:t>
      </w:r>
      <w:r>
        <w:rPr>
          <w:i/>
          <w:iCs/>
          <w:color w:val="000000"/>
          <w:spacing w:val="0"/>
          <w:w w:val="100"/>
          <w:position w:val="0"/>
          <w:shd w:val="clear" w:color="auto" w:fill="auto"/>
          <w:lang w:val="hr-HR" w:eastAsia="hr-HR" w:bidi="hr-HR"/>
        </w:rPr>
        <w:t xml:space="preserve">rusalem -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Gtschichle der heiligen Sladi,</w:t>
      </w:r>
      <w:r>
        <w:rPr>
          <w:color w:val="000000"/>
          <w:spacing w:val="0"/>
          <w:w w:val="100"/>
          <w:position w:val="0"/>
          <w:shd w:val="clear" w:color="auto" w:fill="auto"/>
          <w:lang w:val="hr-HR" w:eastAsia="hr-HR" w:bidi="hr-HR"/>
        </w:rPr>
        <w:t xml:space="preserve"> 1980,51 i d.129 i d.</w:t>
        <w:tab/>
        <w:t xml:space="preserve">D. </w:t>
      </w:r>
      <w:r>
        <w:rPr>
          <w:color w:val="000000"/>
          <w:spacing w:val="0"/>
          <w:w w:val="100"/>
          <w:position w:val="0"/>
          <w:shd w:val="clear" w:color="auto" w:fill="auto"/>
        </w:rPr>
        <w:t>VEITT-R</w:t>
      </w:r>
    </w:p>
    <w:p>
      <w:pPr>
        <w:pStyle w:val="Style63"/>
        <w:keepNext/>
        <w:keepLines/>
        <w:widowControl w:val="0"/>
        <w:numPr>
          <w:ilvl w:val="0"/>
          <w:numId w:val="161"/>
        </w:numPr>
        <w:shd w:val="clear" w:color="auto" w:fill="auto"/>
        <w:tabs>
          <w:tab w:pos="255" w:val="left"/>
        </w:tabs>
        <w:bidi w:val="0"/>
        <w:spacing w:before="0"/>
        <w:ind w:left="0" w:right="0" w:firstLine="0"/>
        <w:jc w:val="both"/>
      </w:pPr>
      <w:bookmarkStart w:id="119" w:name="bookmark11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19"/>
    </w:p>
    <w:p>
      <w:pPr>
        <w:pStyle w:val="Style20"/>
        <w:keepNext w:val="0"/>
        <w:keepLines w:val="0"/>
        <w:widowControl w:val="0"/>
        <w:numPr>
          <w:ilvl w:val="0"/>
          <w:numId w:val="165"/>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dolazi pojam hrama u različitim rije</w:t>
        <w:softHyphen/>
        <w:t>čima: »svetište« (hieron: 71 put) kojim se ve</w:t>
        <w:softHyphen/>
        <w:t>ćinom mislilo na jeruzalemski h. i to na ukup</w:t>
        <w:softHyphen/>
        <w:t>nost zgrada, predvorja i dvorana; »h.« (naos: 45 puta) što katkada označava poganska kult</w:t>
        <w:softHyphen/>
        <w:t>na mjesta, ali češće pravu zgradu jeruzalem</w:t>
        <w:softHyphen/>
        <w:t>skoga hrama (Svetinja nad svetinjama, trijem, predvorje) ili služi kao simbol; zatim nekoliko puta »(Božji) dom« (oikos), osobito u teksto</w:t>
        <w:softHyphen/>
        <w:t xml:space="preserve">vima koji se odnose na SZ i »(sveto, ovo) mjesto« </w:t>
      </w:r>
      <w:r>
        <w:rPr>
          <w:rFonts w:ascii="Times New Roman" w:eastAsia="Times New Roman" w:hAnsi="Times New Roman" w:cs="Times New Roman"/>
          <w:color w:val="000000"/>
          <w:spacing w:val="0"/>
          <w:w w:val="100"/>
          <w:position w:val="0"/>
          <w:shd w:val="clear" w:color="auto" w:fill="auto"/>
          <w:lang w:val="en-US" w:eastAsia="en-US" w:bidi="en-US"/>
        </w:rPr>
        <w:t>(topos).</w:t>
      </w:r>
    </w:p>
    <w:p>
      <w:pPr>
        <w:pStyle w:val="Style20"/>
        <w:keepNext w:val="0"/>
        <w:keepLines w:val="0"/>
        <w:widowControl w:val="0"/>
        <w:numPr>
          <w:ilvl w:val="0"/>
          <w:numId w:val="165"/>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tradiciji evanđelja može se zaključiti da je Isus nastavljao različite starozavjetne sta</w:t>
        <w:softHyphen/>
        <w:t>vove proroka. H. je označavao kao »kuću Božju« (Mk 2.26 par.), »kuću svoga Oca« (Iv 2,16; usp. Lk 2,49), »kuću molitve« (Mk 11,17 par.; usp. Iz 56,7) i vidio je u njemu Božje pre</w:t>
        <w:softHyphen/>
        <w:t>bivalište (Mt 23,16-21; 5,23.) gdje su se prino</w:t>
        <w:softHyphen/>
        <w:t>sile žrtve i molitve (Mt 5,23- 24; Mk 1,44 par.; Lk 18,10-14). »Vrh Hrama« bio je poprište jednog od njegovih iskušenja (Mt 4,5-7 par.). Posjećivao je i hodočasničke svečanosti na Hramskom brežuljku (Iv 2,13; 5,1; 7,2 i d.; 11,55 i d.; usp. Lk 2,41) i podučavao u hram- skim trijemovima (Mk 12,35 par.; 14,49 par.; Iv 7,14.28; 8.20; usp. Lk 2,46 i d.), osobito u »Salomonovu trijemu« (Iv 10,23); običaj koji su apostoli nastavljali u ranoj Crkvi (Dj 3,11 i d.; 5,12.21.42). Pa ipak, hramske vlasti stavile su ga u pitanje (Mk 11,27 par ). Četiri evan</w:t>
        <w:softHyphen/>
        <w:t>đelja u varijacijama izvješćuju o ispražnjava- nju Hrama (Mk 11,15-17 par.; Iv 2,14-17), svakako proročkoj gesti, da bi H. mogao biti mjesto susreta s Bogom (usp. Iz 56,7; Mal 3,1).Vjerojatno je također navijestio razara</w:t>
        <w:softHyphen/>
        <w:t xml:space="preserve">nje lirama i utemeljenje novoga koji neće </w:t>
      </w:r>
      <w:r>
        <w:rPr>
          <w:rFonts w:ascii="Times New Roman" w:eastAsia="Times New Roman" w:hAnsi="Times New Roman" w:cs="Times New Roman"/>
          <w:color w:val="000000"/>
          <w:spacing w:val="0"/>
          <w:w w:val="100"/>
          <w:position w:val="0"/>
          <w:shd w:val="clear" w:color="auto" w:fill="auto"/>
          <w:lang w:val="hr-HR" w:eastAsia="hr-HR" w:bidi="hr-HR"/>
        </w:rPr>
        <w:t>sagraditi ljudi (Mt 23,38; Lk 13,35; usp. Mk 14,58). No, izjava da će on sam razoriti taj h. i izgraditi novi, uzima se u Mk 14,58 (usp. Mt 26,61; Dj 6,14) kao »lažna optužba« i u Iv 2,19-22 (ovdje se razaranje ipak pripisuje Zidovima) kao židovski nesporazum. Možda je njegovo ponašanje prema Hramu pridoni</w:t>
        <w:softHyphen/>
        <w:t>jelo njegovoj smrtnoj presudi (Mk 15,29; Mt 27,40). Za njegove smrti na križu, »hramski zastor« se razderao (Mk 15,38 par.) ćime se, dakako, misli na »unutarnji zastor« koji je po</w:t>
        <w:softHyphen/>
        <w:t>krivao prilaz Svetinji nad svetinjama. To se znakovito zbivanje može različito tumačiti: kao predznak razaranja Hrama ili suda nad Izraelom? Ili pak treba pokazati da je Isuso</w:t>
        <w:softHyphen/>
        <w:t>vom otkupiteljskom smrću svima otvoren pri</w:t>
        <w:softHyphen/>
        <w:t>stup Svetinji nad svetinjama.</w:t>
      </w:r>
    </w:p>
    <w:p>
      <w:pPr>
        <w:pStyle w:val="Style20"/>
        <w:keepNext w:val="0"/>
        <w:keepLines w:val="0"/>
        <w:widowControl w:val="0"/>
        <w:numPr>
          <w:ilvl w:val="0"/>
          <w:numId w:val="165"/>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Kao što je </w:t>
      </w:r>
      <w:r>
        <w:rPr>
          <w:rFonts w:ascii="Times New Roman" w:eastAsia="Times New Roman" w:hAnsi="Times New Roman" w:cs="Times New Roman"/>
          <w:i/>
          <w:iCs/>
          <w:color w:val="000000"/>
          <w:spacing w:val="0"/>
          <w:w w:val="100"/>
          <w:position w:val="0"/>
          <w:shd w:val="clear" w:color="auto" w:fill="auto"/>
          <w:lang w:val="hr-HR" w:eastAsia="hr-HR" w:bidi="hr-HR"/>
        </w:rPr>
        <w:t>Pavao</w:t>
      </w:r>
      <w:r>
        <w:rPr>
          <w:rFonts w:ascii="Times New Roman" w:eastAsia="Times New Roman" w:hAnsi="Times New Roman" w:cs="Times New Roman"/>
          <w:color w:val="000000"/>
          <w:spacing w:val="0"/>
          <w:w w:val="100"/>
          <w:position w:val="0"/>
          <w:shd w:val="clear" w:color="auto" w:fill="auto"/>
          <w:lang w:val="hr-HR" w:eastAsia="hr-HR" w:bidi="hr-HR"/>
        </w:rPr>
        <w:t xml:space="preserve"> odustao od židovskog za</w:t>
        <w:softHyphen/>
        <w:t>kona iz dužnosti Kristova vjernika, tako je, čini se, odustao i od jeruzalemskoga hrama. On je vidio kršćansku zajednicu kao »građevi</w:t>
        <w:softHyphen/>
        <w:t>nu« i »h. Božji« (1 Kor 3,9.16-17; 2 Kor 6,16; usp. Ef 2,21-22; 1 Tim 3,15; 1 Pt 2,5; 4,17; Heb 10,21), a tijelo pojedinoga kršćanina kao »h. Duha Svetoga« (1 Kor 6,19). U novoj eko</w:t>
        <w:softHyphen/>
        <w:t>nomiji spasenja umjesto žrtvene životinje do</w:t>
        <w:softHyphen/>
        <w:t>lazi ćudoredna žrtvena služba (Rim 12,1; usp. 1 Pt 2,5).</w:t>
      </w:r>
    </w:p>
    <w:p>
      <w:pPr>
        <w:pStyle w:val="Style20"/>
        <w:keepNext w:val="0"/>
        <w:keepLines w:val="0"/>
        <w:widowControl w:val="0"/>
        <w:numPr>
          <w:ilvl w:val="0"/>
          <w:numId w:val="165"/>
        </w:numPr>
        <w:shd w:val="clear" w:color="auto" w:fill="auto"/>
        <w:tabs>
          <w:tab w:pos="274" w:val="left"/>
        </w:tabs>
        <w:bidi w:val="0"/>
        <w:spacing w:before="0" w:after="0"/>
        <w:ind w:left="0" w:right="0" w:firstLine="0"/>
        <w:jc w:val="both"/>
        <w:sectPr>
          <w:headerReference w:type="default" r:id="rId501"/>
          <w:footerReference w:type="default" r:id="rId502"/>
          <w:headerReference w:type="even" r:id="rId503"/>
          <w:footerReference w:type="even" r:id="rId504"/>
          <w:headerReference w:type="first" r:id="rId505"/>
          <w:footerReference w:type="first" r:id="rId506"/>
          <w:footnotePr>
            <w:pos w:val="pageBottom"/>
            <w:numFmt w:val="decimal"/>
            <w:numStart w:val="5"/>
            <w:numRestart w:val="continuous"/>
            <w15:footnoteColumns w:val="1"/>
          </w:footnotePr>
          <w:pgSz w:w="6816" w:h="11006"/>
          <w:pgMar w:top="987" w:left="169" w:right="172" w:bottom="443" w:header="0" w:footer="3" w:gutter="0"/>
          <w:pgNumType w:start="167"/>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Razaranje Hrama 70. pos. Kr., povezano u početku s očekivanjem paruzije (Mk 13,1 i d.), u Lukinim se zapisima shvaća kao vremeniti kazneni sud nad Izraelom (Lk 21,20-24). To je tim značajnije, jer jeruzalemski h. zauzima kod Luke središnje mjesto. Već počevši od priče o djetinjstvu (Lk 1,5 i d.; 2,22 i d., 41 i d.) on je poprište Kristove objave; »Putovanje« (Lk 9,51) od Galileje do Jeruzalema ima za cilj poučavanje u Hramu (19,45; 20,1; 21,37 i d.). Tamo se vraćaju apostoli nakon Isusova uzašašća (24,53); tu mole jeruzalemski kršćani (Dj 2,46) i poučavaju apostoli (5,12.21.42). Čak Pavao iz Djela apostolskih hodočasti na</w:t>
        <w:softHyphen/>
        <w:t>trag u Jeruzalem da bi se u Hramu poklonio i prinio žrtvu povezanu sa zavjetima (21,26; 24,17; usp. Lk 2,24). Prema Dj 22,17-21 on tijekom viđenja Krista u jeruzalemskom hra</w:t>
        <w:softHyphen/>
        <w:t>mu dobiva nalog da ode daleko do pogana. Kako se čini, pisac je želio na taj način nago</w:t>
        <w:softHyphen/>
        <w:t>vijestiti da poruka spasenja treba proizaći iz Jeruzalema, središta židovstva, i da bi H. i na</w:t>
        <w:softHyphen/>
        <w:t xml:space="preserve">dalje trebao ostati središte za Židove i judeo- kršćane, ali ne i za kršćane iz poganstva (Lk </w:t>
      </w:r>
    </w:p>
    <w:p>
      <w:pPr>
        <w:pStyle w:val="Style20"/>
        <w:keepNext w:val="0"/>
        <w:keepLines w:val="0"/>
        <w:widowControl w:val="0"/>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19,46 izostavlja: »za sve narode« iz citata Iz 56,7). Hodočašće naroda na brežuljak Sion Luka ne poznaje! No, u Stjepanovu govoru isti autor daje da dođe do riječi proročka i židovsko-helenistička kritika Hrama, dakako, kao pogled u budućnost kada će se sudili Iz</w:t>
        <w:softHyphen/>
        <w:t>raelu (Dj 7,51-53). Stjepan se izričito poziva na Jr 7,18 (Dj 7,42) i Iz 66,1-2 (Dj 7,49-50). Ista se kritika podiže i protiv poganskih hra</w:t>
        <w:softHyphen/>
        <w:t>mova (Dj 17,24): Bog ne stanuje u hramovima koji su učinjeni ljudskom rukom.</w:t>
      </w:r>
    </w:p>
    <w:p>
      <w:pPr>
        <w:pStyle w:val="Style20"/>
        <w:keepNext w:val="0"/>
        <w:keepLines w:val="0"/>
        <w:widowControl w:val="0"/>
        <w:numPr>
          <w:ilvl w:val="0"/>
          <w:numId w:val="165"/>
        </w:numPr>
        <w:shd w:val="clear" w:color="auto" w:fill="auto"/>
        <w:tabs>
          <w:tab w:pos="25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Poslanici Hebrejima</w:t>
      </w:r>
      <w:r>
        <w:rPr>
          <w:rFonts w:ascii="Times New Roman" w:eastAsia="Times New Roman" w:hAnsi="Times New Roman" w:cs="Times New Roman"/>
          <w:color w:val="000000"/>
          <w:spacing w:val="0"/>
          <w:w w:val="100"/>
          <w:position w:val="0"/>
          <w:shd w:val="clear" w:color="auto" w:fill="auto"/>
          <w:lang w:val="hr-HR" w:eastAsia="hr-HR" w:bidi="hr-HR"/>
        </w:rPr>
        <w:t xml:space="preserve"> tema »hrama« isko</w:t>
        <w:softHyphen/>
        <w:t>rištava se tipološki: Krist, veliki svećenik, na</w:t>
        <w:softHyphen/>
        <w:t>kon svoje smrti na križu »ušao je jedanput zauvijek u Svetinju nad svetinjama ... vlasti</w:t>
        <w:softHyphen/>
        <w:t xml:space="preserve">tom krvi« (9,12) i tako je ostvario očišćenje od grijeha (1,3; 8,5-13; 9,11-15.26). Obred iz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 je nadmašen (Heb 10,1-4). Dakle, zemalj</w:t>
        <w:softHyphen/>
        <w:t>ski h. i zemaljski Jeruzalem kršćani trebaju ostaviti za sobom (13,10-14).</w:t>
      </w:r>
    </w:p>
    <w:p>
      <w:pPr>
        <w:pStyle w:val="Style20"/>
        <w:keepNext w:val="0"/>
        <w:keepLines w:val="0"/>
        <w:widowControl w:val="0"/>
        <w:numPr>
          <w:ilvl w:val="0"/>
          <w:numId w:val="165"/>
        </w:numPr>
        <w:shd w:val="clear" w:color="auto" w:fill="auto"/>
        <w:tabs>
          <w:tab w:pos="25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knjizi </w:t>
      </w:r>
      <w:r>
        <w:rPr>
          <w:rFonts w:ascii="Times New Roman" w:eastAsia="Times New Roman" w:hAnsi="Times New Roman" w:cs="Times New Roman"/>
          <w:i/>
          <w:iCs/>
          <w:color w:val="000000"/>
          <w:spacing w:val="0"/>
          <w:w w:val="100"/>
          <w:position w:val="0"/>
          <w:shd w:val="clear" w:color="auto" w:fill="auto"/>
          <w:lang w:val="hr-HR" w:eastAsia="hr-HR" w:bidi="hr-HR"/>
        </w:rPr>
        <w:t>Otkrivenja</w:t>
      </w:r>
      <w:r>
        <w:rPr>
          <w:rFonts w:ascii="Times New Roman" w:eastAsia="Times New Roman" w:hAnsi="Times New Roman" w:cs="Times New Roman"/>
          <w:color w:val="000000"/>
          <w:spacing w:val="0"/>
          <w:w w:val="100"/>
          <w:position w:val="0"/>
          <w:shd w:val="clear" w:color="auto" w:fill="auto"/>
          <w:lang w:val="hr-HR" w:eastAsia="hr-HR" w:bidi="hr-HR"/>
        </w:rPr>
        <w:t xml:space="preserve"> govori se 19 puta o hra</w:t>
        <w:softHyphen/>
        <w:t>mu (naos), većinom kao Božjem stanu na ne</w:t>
        <w:softHyphen/>
        <w:t>bu (naprotiv 11,1.2: kao simbol zajednice na zemlji?), gdje će izabranici biti stupovi (3,12) i služiti Bogu (7,15). No, u novom Jeruzalemu koji kao hramska Svetinja nad svetinjama ima oblik kocke (21,16; usp. 1 Kr 6,20) neće biti hrama, jer su Bog i janje h. (21,22).</w:t>
      </w:r>
    </w:p>
    <w:p>
      <w:pPr>
        <w:pStyle w:val="Style56"/>
        <w:keepNext w:val="0"/>
        <w:keepLines w:val="0"/>
        <w:widowControl w:val="0"/>
        <w:shd w:val="clear" w:color="auto" w:fill="auto"/>
        <w:tabs>
          <w:tab w:pos="2357"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IJt.: K. Baltzcr, </w:t>
      </w:r>
      <w:r>
        <w:rPr>
          <w:color w:val="000000"/>
          <w:spacing w:val="0"/>
          <w:w w:val="100"/>
          <w:position w:val="0"/>
          <w:shd w:val="clear" w:color="auto" w:fill="auto"/>
        </w:rPr>
        <w:t xml:space="preserve">The Meaning of the Temple in the Lukan Writings, u: HThR 58 (1965) 263-277;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Borsc. </w:t>
      </w:r>
      <w:r>
        <w:rPr>
          <w:color w:val="000000"/>
          <w:spacing w:val="0"/>
          <w:w w:val="100"/>
          <w:position w:val="0"/>
          <w:shd w:val="clear" w:color="auto" w:fill="auto"/>
          <w:lang w:val="hr-HR" w:eastAsia="hr-HR" w:bidi="hr-HR"/>
        </w:rPr>
        <w:t xml:space="preserve">natuknice »naos« i » </w:t>
      </w:r>
      <w:r>
        <w:rPr>
          <w:color w:val="000000"/>
          <w:spacing w:val="0"/>
          <w:w w:val="100"/>
          <w:position w:val="0"/>
          <w:shd w:val="clear" w:color="auto" w:fill="auto"/>
        </w:rPr>
        <w:t>heron«, u: EWNT II; F. D. Weinert, The Mean</w:t>
        <w:softHyphen/>
        <w:t xml:space="preserve">ing of the Temple in Luke-Acts, u: </w:t>
      </w:r>
      <w:r>
        <w:rPr>
          <w:i/>
          <w:iCs/>
          <w:color w:val="000000"/>
          <w:spacing w:val="0"/>
          <w:w w:val="100"/>
          <w:position w:val="0"/>
          <w:shd w:val="clear" w:color="auto" w:fill="auto"/>
        </w:rPr>
        <w:t>BtbThedBul</w:t>
      </w:r>
      <w:r>
        <w:rPr>
          <w:color w:val="000000"/>
          <w:spacing w:val="0"/>
          <w:w w:val="100"/>
          <w:position w:val="0"/>
          <w:shd w:val="clear" w:color="auto" w:fill="auto"/>
        </w:rPr>
        <w:t xml:space="preserve"> 11/3 (1981) 85-89;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Luke, The Temple, and Jesus’ Saying about Je</w:t>
        <w:softHyphen/>
        <w:t>rusalem's Abandonend House (Lk 13:34-35), u: CBQ 44 (1982)68-76.</w:t>
        <w:tab/>
        <w:t>H. HAUSER</w:t>
      </w:r>
    </w:p>
    <w:p>
      <w:pPr>
        <w:pStyle w:val="Style63"/>
        <w:keepNext/>
        <w:keepLines/>
        <w:widowControl w:val="0"/>
        <w:numPr>
          <w:ilvl w:val="0"/>
          <w:numId w:val="161"/>
        </w:numPr>
        <w:shd w:val="clear" w:color="auto" w:fill="auto"/>
        <w:tabs>
          <w:tab w:pos="260" w:val="left"/>
        </w:tabs>
        <w:bidi w:val="0"/>
        <w:spacing w:before="0" w:line="223" w:lineRule="auto"/>
        <w:ind w:left="0" w:right="0" w:firstLine="0"/>
        <w:jc w:val="both"/>
      </w:pPr>
      <w:bookmarkStart w:id="120" w:name="bookmark120"/>
      <w:r>
        <w:rPr>
          <w:rFonts w:ascii="Times New Roman" w:eastAsia="Times New Roman" w:hAnsi="Times New Roman" w:cs="Times New Roman"/>
          <w:color w:val="000000"/>
          <w:spacing w:val="0"/>
          <w:w w:val="100"/>
          <w:position w:val="0"/>
          <w:shd w:val="clear" w:color="auto" w:fill="auto"/>
          <w:lang w:val="hr-HR" w:eastAsia="hr-HR" w:bidi="hr-HR"/>
        </w:rPr>
        <w:t>islamski</w:t>
      </w:r>
      <w:bookmarkEnd w:id="120"/>
    </w:p>
    <w:p>
      <w:pPr>
        <w:pStyle w:val="Style20"/>
        <w:keepNext w:val="0"/>
        <w:keepLines w:val="0"/>
        <w:widowControl w:val="0"/>
        <w:shd w:val="clear" w:color="auto" w:fill="auto"/>
        <w:tabs>
          <w:tab w:pos="2592" w:val="left"/>
        </w:tabs>
        <w:bidi w:val="0"/>
        <w:spacing w:before="0" w:after="100"/>
        <w:ind w:left="0" w:right="0" w:firstLine="0"/>
        <w:jc w:val="both"/>
        <w:sectPr>
          <w:headerReference w:type="default" r:id="rId507"/>
          <w:footerReference w:type="default" r:id="rId508"/>
          <w:headerReference w:type="even" r:id="rId509"/>
          <w:footerReference w:type="even" r:id="rId510"/>
          <w:footnotePr>
            <w:pos w:val="pageBottom"/>
            <w:numFmt w:val="decimal"/>
            <w:numStart w:val="5"/>
            <w:numRestart w:val="continuous"/>
            <w15:footnoteColumns w:val="1"/>
          </w:footnotePr>
          <w:pgSz w:w="6816" w:h="11006"/>
          <w:pgMar w:top="987" w:left="169" w:right="172" w:bottom="443" w:header="0" w:footer="15" w:gutter="0"/>
          <w:pgNumType w:start="173"/>
          <w:cols w:num="2" w:space="157"/>
          <w:noEndnote/>
          <w:rtlGutter w:val="0"/>
          <w:docGrid w:linePitch="360"/>
        </w:sectPr>
      </w:pPr>
      <w:r>
        <mc:AlternateContent>
          <mc:Choice Requires="wps">
            <w:drawing>
              <wp:anchor distT="2959100" distB="254000" distL="114300" distR="114300" simplePos="0" relativeHeight="125829391" behindDoc="0" locked="0" layoutInCell="1" allowOverlap="1">
                <wp:simplePos x="0" y="0"/>
                <wp:positionH relativeFrom="page">
                  <wp:posOffset>4033520</wp:posOffset>
                </wp:positionH>
                <wp:positionV relativeFrom="margin">
                  <wp:posOffset>6120130</wp:posOffset>
                </wp:positionV>
                <wp:extent cx="179705" cy="133985"/>
                <wp:wrapTopAndBottom/>
                <wp:docPr id="1099" name="Shape 1099"/>
                <a:graphic xmlns:a="http://schemas.openxmlformats.org/drawingml/2006/main">
                  <a:graphicData uri="http://schemas.microsoft.com/office/word/2010/wordprocessingShape">
                    <wps:wsp>
                      <wps:cNvSpPr txBox="1"/>
                      <wps:spPr>
                        <a:xfrm>
                          <a:ext cx="179705"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ir,o</w:t>
                            </w:r>
                          </w:p>
                        </w:txbxContent>
                      </wps:txbx>
                      <wps:bodyPr wrap="none" lIns="0" tIns="0" rIns="0" bIns="0">
                        <a:noAutoFit/>
                      </wps:bodyPr>
                    </wps:wsp>
                  </a:graphicData>
                </a:graphic>
              </wp:anchor>
            </w:drawing>
          </mc:Choice>
          <mc:Fallback>
            <w:pict>
              <v:shape id="_x0000_s2125" type="#_x0000_t202" style="position:absolute;margin-left:317.60000000000002pt;margin-top:481.89999999999998pt;width:14.15pt;height:10.550000000000001pt;z-index:-125829362;mso-wrap-distance-left:9.pt;mso-wrap-distance-top:233.pt;mso-wrap-distance-right:9.pt;mso-wrap-distance-bottom:20.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ir,o</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Nakon što su Arapi 637. osvojili Jeruzalem, kalif Omer dao je na mjestu opustošenoga gradskoga hrama izgraditi jednostavnu džami</w:t>
        <w:softHyphen/>
        <w:t>ju u sjećanje na Muhamedov noćni put (usp. suru 17,1). Kalif Abdclmalik (685-785) izgra</w:t>
        <w:softHyphen/>
        <w:t xml:space="preserve">dio je kasnije u Jeruzalemu kupelj </w:t>
      </w:r>
      <w:r>
        <w:rPr>
          <w:rFonts w:ascii="Times New Roman" w:eastAsia="Times New Roman" w:hAnsi="Times New Roman" w:cs="Times New Roman"/>
          <w:i/>
          <w:iCs/>
          <w:color w:val="000000"/>
          <w:spacing w:val="0"/>
          <w:w w:val="100"/>
          <w:position w:val="0"/>
          <w:shd w:val="clear" w:color="auto" w:fill="auto"/>
          <w:lang w:val="en-US" w:eastAsia="en-US" w:bidi="en-US"/>
        </w:rPr>
        <w:t xml:space="preserve">{qubbat </w:t>
      </w:r>
      <w:r>
        <w:rPr>
          <w:rFonts w:ascii="Times New Roman" w:eastAsia="Times New Roman" w:hAnsi="Times New Roman" w:cs="Times New Roman"/>
          <w:i/>
          <w:iCs/>
          <w:color w:val="000000"/>
          <w:spacing w:val="0"/>
          <w:w w:val="100"/>
          <w:position w:val="0"/>
          <w:shd w:val="clear" w:color="auto" w:fill="auto"/>
          <w:lang w:val="hr-HR" w:eastAsia="hr-HR" w:bidi="hr-HR"/>
        </w:rPr>
        <w:t>as-sakhra)</w:t>
      </w:r>
      <w:r>
        <w:rPr>
          <w:rFonts w:ascii="Times New Roman" w:eastAsia="Times New Roman" w:hAnsi="Times New Roman" w:cs="Times New Roman"/>
          <w:color w:val="000000"/>
          <w:spacing w:val="0"/>
          <w:w w:val="100"/>
          <w:position w:val="0"/>
          <w:shd w:val="clear" w:color="auto" w:fill="auto"/>
          <w:lang w:val="hr-HR" w:eastAsia="hr-HR" w:bidi="hr-HR"/>
        </w:rPr>
        <w:t xml:space="preserve"> i svraćao je sirijske hodočasnike na obilazak </w:t>
      </w:r>
      <w:r>
        <w:rPr>
          <w:rFonts w:ascii="Times New Roman" w:eastAsia="Times New Roman" w:hAnsi="Times New Roman" w:cs="Times New Roman"/>
          <w:color w:val="000000"/>
          <w:spacing w:val="0"/>
          <w:w w:val="100"/>
          <w:position w:val="0"/>
          <w:shd w:val="clear" w:color="auto" w:fill="auto"/>
          <w:lang w:val="en-US" w:eastAsia="en-US" w:bidi="en-US"/>
        </w:rPr>
        <w:t xml:space="preserve">(tawSf) </w:t>
      </w:r>
      <w:r>
        <w:rPr>
          <w:rFonts w:ascii="Times New Roman" w:eastAsia="Times New Roman" w:hAnsi="Times New Roman" w:cs="Times New Roman"/>
          <w:color w:val="000000"/>
          <w:spacing w:val="0"/>
          <w:w w:val="100"/>
          <w:position w:val="0"/>
          <w:shd w:val="clear" w:color="auto" w:fill="auto"/>
          <w:lang w:val="hr-HR" w:eastAsia="hr-HR" w:bidi="hr-HR"/>
        </w:rPr>
        <w:t>te građevine kako bi ih od</w:t>
        <w:softHyphen/>
        <w:t>vratio od daljnjega putovanja u Meku, gdje je vladao njegov politički protivnik. Omejid se pritom pozivao na tradiciju da su Meka, Me</w:t>
        <w:softHyphen/>
        <w:t>dina i Jeruzalem ista mjesta hodočašća. Na mjestu toga hrama u isto je vrijeme nastala džamija al-Aksa, čije je sjedište u to doba ozna</w:t>
        <w:softHyphen/>
        <w:t>čavalo prvu islamsku vjersku ustanovu. Riječ h. nije uobičajena u islamskoj jezičnoj upotre</w:t>
        <w:softHyphen/>
        <w:t>bi. Jedino behaisti, pristaše jedne nove mije</w:t>
        <w:softHyphen/>
        <w:t>šane religije proistekle iz islama, nazivaju tim imenom svoje bogomolje.</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balic</w:t>
      </w:r>
    </w:p>
    <w:p>
      <w:pPr>
        <w:pStyle w:val="Style33"/>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en-US" w:eastAsia="en-US" w:bidi="en-US"/>
        </w:rPr>
        <w:t xml:space="preserve">IUOLOPOKLONSTVO -► BOG, -&gt; </w:t>
      </w:r>
      <w:r>
        <w:rPr>
          <w:rFonts w:ascii="Times New Roman" w:eastAsia="Times New Roman" w:hAnsi="Times New Roman" w:cs="Times New Roman"/>
          <w:b/>
          <w:bCs/>
          <w:color w:val="000000"/>
          <w:spacing w:val="0"/>
          <w:w w:val="100"/>
          <w:position w:val="0"/>
          <w:shd w:val="clear" w:color="auto" w:fill="auto"/>
          <w:lang w:val="hr-HR" w:eastAsia="hr-HR" w:bidi="hr-HR"/>
        </w:rPr>
        <w:t xml:space="preserve">KULT, </w:t>
      </w:r>
      <w:r>
        <w:rPr>
          <w:rFonts w:ascii="Times New Roman" w:eastAsia="Times New Roman" w:hAnsi="Times New Roman" w:cs="Times New Roman"/>
          <w:b/>
          <w:bCs/>
          <w:color w:val="000000"/>
          <w:spacing w:val="0"/>
          <w:w w:val="100"/>
          <w:position w:val="0"/>
          <w:shd w:val="clear" w:color="auto" w:fill="auto"/>
          <w:lang w:val="en-US" w:eastAsia="en-US" w:bidi="en-US"/>
        </w:rPr>
        <w:t xml:space="preserve">-&gt; </w:t>
      </w:r>
      <w:r>
        <w:rPr>
          <w:rFonts w:ascii="Times New Roman" w:eastAsia="Times New Roman" w:hAnsi="Times New Roman" w:cs="Times New Roman"/>
          <w:b/>
          <w:bCs/>
          <w:color w:val="000000"/>
          <w:spacing w:val="0"/>
          <w:w w:val="100"/>
          <w:position w:val="0"/>
          <w:shd w:val="clear" w:color="auto" w:fill="auto"/>
          <w:lang w:val="hr-HR" w:eastAsia="hr-HR" w:bidi="hr-HR"/>
        </w:rPr>
        <w:t>POGANSTVO</w:t>
      </w:r>
    </w:p>
    <w:p>
      <w:pPr>
        <w:pStyle w:val="Style33"/>
        <w:keepNext w:val="0"/>
        <w:keepLines w:val="0"/>
        <w:widowControl w:val="0"/>
        <w:shd w:val="clear" w:color="auto" w:fill="auto"/>
        <w:bidi w:val="0"/>
        <w:spacing w:before="0" w:after="30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IDŽMA -&gt;■ SLAGANJE</w:t>
      </w:r>
    </w:p>
    <w:p>
      <w:pPr>
        <w:pStyle w:val="Style33"/>
        <w:keepNext w:val="0"/>
        <w:keepLines w:val="0"/>
        <w:widowControl w:val="0"/>
        <w:shd w:val="clear" w:color="auto" w:fill="auto"/>
        <w:bidi w:val="0"/>
        <w:spacing w:before="0" w:after="160" w:line="221"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INICIJACIJA</w:t>
      </w:r>
    </w:p>
    <w:p>
      <w:pPr>
        <w:pStyle w:val="Style63"/>
        <w:keepNext/>
        <w:keepLines/>
        <w:widowControl w:val="0"/>
        <w:numPr>
          <w:ilvl w:val="0"/>
          <w:numId w:val="151"/>
        </w:numPr>
        <w:shd w:val="clear" w:color="auto" w:fill="auto"/>
        <w:tabs>
          <w:tab w:pos="246" w:val="left"/>
        </w:tabs>
        <w:bidi w:val="0"/>
        <w:spacing w:before="0" w:after="100"/>
        <w:ind w:left="0" w:right="0" w:firstLine="0"/>
        <w:jc w:val="left"/>
      </w:pPr>
      <w:bookmarkStart w:id="121" w:name="bookmark121"/>
      <w:r>
        <w:rPr>
          <w:rFonts w:ascii="Times New Roman" w:eastAsia="Times New Roman" w:hAnsi="Times New Roman" w:cs="Times New Roman"/>
          <w:color w:val="000000"/>
          <w:spacing w:val="0"/>
          <w:w w:val="100"/>
          <w:position w:val="0"/>
          <w:shd w:val="clear" w:color="auto" w:fill="auto"/>
          <w:lang w:val="hr-HR" w:eastAsia="hr-HR" w:bidi="hr-HR"/>
        </w:rPr>
        <w:t>židovski</w:t>
      </w:r>
      <w:bookmarkEnd w:id="12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Midraš poznaje sedam </w:t>
      </w:r>
      <w:r>
        <w:rPr>
          <w:rFonts w:ascii="Times New Roman" w:eastAsia="Times New Roman" w:hAnsi="Times New Roman" w:cs="Times New Roman"/>
          <w:i/>
          <w:iCs/>
          <w:color w:val="000000"/>
          <w:spacing w:val="0"/>
          <w:w w:val="100"/>
          <w:position w:val="0"/>
          <w:shd w:val="clear" w:color="auto" w:fill="auto"/>
          <w:lang w:val="hr-HR" w:eastAsia="hr-HR" w:bidi="hr-HR"/>
        </w:rPr>
        <w:t>svečanosti posvećenja</w:t>
      </w:r>
      <w:r>
        <w:rPr>
          <w:rFonts w:ascii="Times New Roman" w:eastAsia="Times New Roman" w:hAnsi="Times New Roman" w:cs="Times New Roman"/>
          <w:color w:val="000000"/>
          <w:spacing w:val="0"/>
          <w:w w:val="100"/>
          <w:position w:val="0"/>
          <w:shd w:val="clear" w:color="auto" w:fill="auto"/>
          <w:lang w:val="hr-HR" w:eastAsia="hr-HR" w:bidi="hr-HR"/>
        </w:rPr>
        <w:t xml:space="preserve"> u tjednu stvaranja - u povodu prve svjetiljke, utemeljenja svijeta koji prosvjetljuje Tora, stvaranja masline čije ulje daje svjetlo, kao i nebeskih svjetala zajedno s Davidovim prijes</w:t>
        <w:softHyphen/>
        <w:t>toljem, munja i naposljetku prvih ljudi koji svi imaju svjetlosnu funkciju u stvaranju. Ipak: »Sedmoga dana nećeš naći svjetiljku. R. Ši- mon b. Lakiš kaže: Slično onom kralju koji je udavao kćer i stajao usred svadbene prosto</w:t>
        <w:softHyphen/>
        <w:t>rije; mora li se (još) pitati da li je svjetla bilo u potpunosti?« (Jalkut Šimoni I, § 47 kraj). Ovdje još djeluje arhaična predodžba o po</w:t>
        <w:softHyphen/>
        <w:t xml:space="preserve">svećenju kao stvaralačkom činu i širenju prave moći (G. </w:t>
      </w:r>
      <w:r>
        <w:rPr>
          <w:rFonts w:ascii="Times New Roman" w:eastAsia="Times New Roman" w:hAnsi="Times New Roman" w:cs="Times New Roman"/>
          <w:color w:val="000000"/>
          <w:spacing w:val="0"/>
          <w:w w:val="100"/>
          <w:position w:val="0"/>
          <w:shd w:val="clear" w:color="auto" w:fill="auto"/>
          <w:lang w:val="en-US" w:eastAsia="en-US" w:bidi="en-US"/>
        </w:rPr>
        <w:t xml:space="preserve">van </w:t>
      </w:r>
      <w:r>
        <w:rPr>
          <w:rFonts w:ascii="Times New Roman" w:eastAsia="Times New Roman" w:hAnsi="Times New Roman" w:cs="Times New Roman"/>
          <w:color w:val="000000"/>
          <w:spacing w:val="0"/>
          <w:w w:val="100"/>
          <w:position w:val="0"/>
          <w:shd w:val="clear" w:color="auto" w:fill="auto"/>
          <w:lang w:val="hr-HR" w:eastAsia="hr-HR" w:bidi="hr-HR"/>
        </w:rPr>
        <w:t xml:space="preserve">dcr </w:t>
      </w:r>
      <w:r>
        <w:rPr>
          <w:rFonts w:ascii="Times New Roman" w:eastAsia="Times New Roman" w:hAnsi="Times New Roman" w:cs="Times New Roman"/>
          <w:color w:val="000000"/>
          <w:spacing w:val="0"/>
          <w:w w:val="100"/>
          <w:position w:val="0"/>
          <w:shd w:val="clear" w:color="auto" w:fill="auto"/>
          <w:lang w:val="en-US" w:eastAsia="en-US" w:bidi="en-US"/>
        </w:rPr>
        <w:t xml:space="preserve">Leeuw, </w:t>
      </w:r>
      <w:r>
        <w:rPr>
          <w:rFonts w:ascii="Times New Roman" w:eastAsia="Times New Roman" w:hAnsi="Times New Roman" w:cs="Times New Roman"/>
          <w:i/>
          <w:iCs/>
          <w:color w:val="000000"/>
          <w:spacing w:val="0"/>
          <w:w w:val="100"/>
          <w:position w:val="0"/>
          <w:shd w:val="clear" w:color="auto" w:fill="auto"/>
          <w:lang w:val="hr-HR" w:eastAsia="hr-HR" w:bidi="hr-HR"/>
        </w:rPr>
        <w:t xml:space="preserve">l’hiinomenologie der </w:t>
      </w:r>
      <w:r>
        <w:rPr>
          <w:rFonts w:ascii="Times New Roman" w:eastAsia="Times New Roman" w:hAnsi="Times New Roman" w:cs="Times New Roman"/>
          <w:i/>
          <w:iCs/>
          <w:color w:val="000000"/>
          <w:spacing w:val="0"/>
          <w:w w:val="100"/>
          <w:position w:val="0"/>
          <w:shd w:val="clear" w:color="auto" w:fill="auto"/>
          <w:lang w:val="en-US" w:eastAsia="en-US" w:bidi="en-US"/>
        </w:rPr>
        <w:t>Religion,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1956, 212 i d.). Ono svjetluca tije</w:t>
        <w:softHyphen/>
        <w:t>kom obreda posvećenja, koji u različitim pri</w:t>
        <w:softHyphen/>
        <w:t>godama obnavljaju život i, prema izraclsko-ži- dovskom shvaćanju, trebaju »posvetiti« ono važno u životu zajednice i pojedinca, te to pove</w:t>
        <w:softHyphen/>
        <w:t>zati s voljom davatelja Tore, pri »posvećiva</w:t>
        <w:softHyphen/>
        <w:t xml:space="preserve">nju« </w:t>
      </w:r>
      <w:r>
        <w:rPr>
          <w:rFonts w:ascii="Times New Roman" w:eastAsia="Times New Roman" w:hAnsi="Times New Roman" w:cs="Times New Roman"/>
          <w:i/>
          <w:iCs/>
          <w:color w:val="000000"/>
          <w:spacing w:val="0"/>
          <w:w w:val="100"/>
          <w:position w:val="0"/>
          <w:shd w:val="clear" w:color="auto" w:fill="auto"/>
          <w:lang w:val="hr-HR" w:eastAsia="hr-HR" w:bidi="hr-HR"/>
        </w:rPr>
        <w:t>(hanuka)</w:t>
      </w:r>
      <w:r>
        <w:rPr>
          <w:rFonts w:ascii="Times New Roman" w:eastAsia="Times New Roman" w:hAnsi="Times New Roman" w:cs="Times New Roman"/>
          <w:color w:val="000000"/>
          <w:spacing w:val="0"/>
          <w:w w:val="100"/>
          <w:position w:val="0"/>
          <w:shd w:val="clear" w:color="auto" w:fill="auto"/>
          <w:lang w:val="hr-HR" w:eastAsia="hr-HR" w:bidi="hr-HR"/>
        </w:rPr>
        <w:t xml:space="preserve"> oltara u pustinjskom svetištu (Br 7,10.84.88) pošto je Mojsijc »pomazao« i »po</w:t>
        <w:softHyphen/>
        <w:t xml:space="preserve">svetio« šator, žrtvenik i pribor (V.l: </w:t>
      </w:r>
      <w:r>
        <w:rPr>
          <w:rFonts w:ascii="Times New Roman" w:eastAsia="Times New Roman" w:hAnsi="Times New Roman" w:cs="Times New Roman"/>
          <w:i/>
          <w:iCs/>
          <w:color w:val="000000"/>
          <w:spacing w:val="0"/>
          <w:w w:val="100"/>
          <w:position w:val="0"/>
          <w:shd w:val="clear" w:color="auto" w:fill="auto"/>
          <w:lang w:val="hr-HR" w:eastAsia="hr-HR" w:bidi="hr-HR"/>
        </w:rPr>
        <w:t>ntašah kidei)</w:t>
      </w:r>
      <w:r>
        <w:rPr>
          <w:rFonts w:ascii="Times New Roman" w:eastAsia="Times New Roman" w:hAnsi="Times New Roman" w:cs="Times New Roman"/>
          <w:color w:val="000000"/>
          <w:spacing w:val="0"/>
          <w:w w:val="100"/>
          <w:position w:val="0"/>
          <w:shd w:val="clear" w:color="auto" w:fill="auto"/>
          <w:lang w:val="hr-HR" w:eastAsia="hr-HR" w:bidi="hr-HR"/>
        </w:rPr>
        <w:t xml:space="preserve"> hrama koji su »posvetili«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i Iz</w:t>
        <w:softHyphen/>
        <w:t xml:space="preserve">raelci </w:t>
      </w:r>
      <w:r>
        <w:rPr>
          <w:rFonts w:ascii="Times New Roman" w:eastAsia="Times New Roman" w:hAnsi="Times New Roman" w:cs="Times New Roman"/>
          <w:i/>
          <w:iCs/>
          <w:color w:val="000000"/>
          <w:spacing w:val="0"/>
          <w:w w:val="100"/>
          <w:position w:val="0"/>
          <w:shd w:val="clear" w:color="auto" w:fill="auto"/>
          <w:lang w:val="hr-HR" w:eastAsia="hr-HR" w:bidi="hr-HR"/>
        </w:rPr>
        <w:t>(banak,</w:t>
      </w:r>
      <w:r>
        <w:rPr>
          <w:rFonts w:ascii="Times New Roman" w:eastAsia="Times New Roman" w:hAnsi="Times New Roman" w:cs="Times New Roman"/>
          <w:color w:val="000000"/>
          <w:spacing w:val="0"/>
          <w:w w:val="100"/>
          <w:position w:val="0"/>
          <w:shd w:val="clear" w:color="auto" w:fill="auto"/>
          <w:lang w:val="hr-HR" w:eastAsia="hr-HR" w:bidi="hr-HR"/>
        </w:rPr>
        <w:t xml:space="preserve"> 1 Kr 8,63; 2 Ljet 7,5), uz »po</w:t>
        <w:softHyphen/>
        <w:t>svećivanje« drugoga Hrama svečanim žrtvo</w:t>
        <w:softHyphen/>
        <w:t>vanjem paljenica i okajnica (Ezr 6,16 i d ), pri obnovi jeruzalemskoga zida (Nch 12,27) i gradnji nove kuće (Pnz 20,5). Pri tradicional</w:t>
        <w:softHyphen/>
        <w:t xml:space="preserve">nom obavljanju »posvećivanja« </w:t>
      </w:r>
      <w:r>
        <w:rPr>
          <w:rFonts w:ascii="Times New Roman" w:eastAsia="Times New Roman" w:hAnsi="Times New Roman" w:cs="Times New Roman"/>
          <w:i/>
          <w:iCs/>
          <w:color w:val="000000"/>
          <w:spacing w:val="0"/>
          <w:w w:val="100"/>
          <w:position w:val="0"/>
          <w:shd w:val="clear" w:color="auto" w:fill="auto"/>
          <w:lang w:val="hr-HR" w:eastAsia="hr-HR" w:bidi="hr-HR"/>
        </w:rPr>
        <w:t>(hanukat ha- bajit)</w:t>
      </w:r>
      <w:r>
        <w:rPr>
          <w:rFonts w:ascii="Times New Roman" w:eastAsia="Times New Roman" w:hAnsi="Times New Roman" w:cs="Times New Roman"/>
          <w:color w:val="000000"/>
          <w:spacing w:val="0"/>
          <w:w w:val="100"/>
          <w:position w:val="0"/>
          <w:shd w:val="clear" w:color="auto" w:fill="auto"/>
          <w:lang w:val="hr-HR" w:eastAsia="hr-HR" w:bidi="hr-HR"/>
        </w:rPr>
        <w:t xml:space="preserve"> recitiraju se psalmi (30; 15: 127; 128; 121), proučavaju se odgovarajući odlomci </w:t>
      </w:r>
      <w:r>
        <w:rPr>
          <w:rFonts w:ascii="Times New Roman" w:eastAsia="Times New Roman" w:hAnsi="Times New Roman" w:cs="Times New Roman"/>
          <w:color w:val="000000"/>
          <w:spacing w:val="0"/>
          <w:w w:val="100"/>
          <w:position w:val="0"/>
          <w:shd w:val="clear" w:color="auto" w:fill="auto"/>
          <w:lang w:val="hr-HR" w:eastAsia="hr-HR" w:bidi="hr-HR"/>
        </w:rPr>
        <w:t xml:space="preserve">traktata iz Misne ili se drži poučno predavanje </w:t>
      </w:r>
      <w:r>
        <w:rPr>
          <w:rFonts w:ascii="Times New Roman" w:eastAsia="Times New Roman" w:hAnsi="Times New Roman" w:cs="Times New Roman"/>
          <w:i/>
          <w:iCs/>
          <w:color w:val="000000"/>
          <w:spacing w:val="0"/>
          <w:w w:val="100"/>
          <w:position w:val="0"/>
          <w:shd w:val="clear" w:color="auto" w:fill="auto"/>
          <w:lang w:val="hr-HR" w:eastAsia="hr-HR" w:bidi="hr-HR"/>
        </w:rPr>
        <w:t>(deraša =</w:t>
      </w:r>
      <w:r>
        <w:rPr>
          <w:rFonts w:ascii="Times New Roman" w:eastAsia="Times New Roman" w:hAnsi="Times New Roman" w:cs="Times New Roman"/>
          <w:color w:val="000000"/>
          <w:spacing w:val="0"/>
          <w:w w:val="100"/>
          <w:position w:val="0"/>
          <w:shd w:val="clear" w:color="auto" w:fill="auto"/>
          <w:lang w:val="hr-HR" w:eastAsia="hr-HR" w:bidi="hr-HR"/>
        </w:rPr>
        <w:t xml:space="preserve"> propovijed, tumačenje) (F. Thie- berger /Hrsg./,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Jiidisches FestUiidischer Brauch. </w:t>
      </w:r>
      <w:r>
        <w:rPr>
          <w:rFonts w:ascii="Times New Roman" w:eastAsia="Times New Roman" w:hAnsi="Times New Roman" w:cs="Times New Roman"/>
          <w:color w:val="000000"/>
          <w:spacing w:val="0"/>
          <w:w w:val="100"/>
          <w:position w:val="0"/>
          <w:shd w:val="clear" w:color="auto" w:fill="auto"/>
          <w:lang w:val="hr-HR" w:eastAsia="hr-HR" w:bidi="hr-HR"/>
        </w:rPr>
        <w:t xml:space="preserve">1937,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1979, 12 i d.). Osmodnevni Blagdan svjetlosti u studenom/prosincu (naziv »Hanu</w:t>
        <w:softHyphen/>
        <w:t xml:space="preserve">ka« dokazano je tek u rabinskoj literaturi, b Šabat 21b) spomen je na novo posvećenje Hrama 25. </w:t>
      </w:r>
      <w:r>
        <w:rPr>
          <w:rFonts w:ascii="Times New Roman" w:eastAsia="Times New Roman" w:hAnsi="Times New Roman" w:cs="Times New Roman"/>
          <w:i/>
          <w:iCs/>
          <w:color w:val="000000"/>
          <w:spacing w:val="0"/>
          <w:w w:val="100"/>
          <w:position w:val="0"/>
          <w:shd w:val="clear" w:color="auto" w:fill="auto"/>
          <w:lang w:val="hr-HR" w:eastAsia="hr-HR" w:bidi="hr-HR"/>
        </w:rPr>
        <w:t>kisleva</w:t>
      </w:r>
      <w:r>
        <w:rPr>
          <w:rFonts w:ascii="Times New Roman" w:eastAsia="Times New Roman" w:hAnsi="Times New Roman" w:cs="Times New Roman"/>
          <w:color w:val="000000"/>
          <w:spacing w:val="0"/>
          <w:w w:val="100"/>
          <w:position w:val="0"/>
          <w:shd w:val="clear" w:color="auto" w:fill="auto"/>
          <w:lang w:val="hr-HR" w:eastAsia="hr-HR" w:bidi="hr-HR"/>
        </w:rPr>
        <w:t xml:space="preserve"> 164. pr. Kr., oskvrnutoga za vrijeme sirijskoga religijskog progona (1 Mak 4,36-59; 2 Mak 10,1-8; Josip Flavijc, </w:t>
      </w:r>
      <w:r>
        <w:rPr>
          <w:rFonts w:ascii="Times New Roman" w:eastAsia="Times New Roman" w:hAnsi="Times New Roman" w:cs="Times New Roman"/>
          <w:i/>
          <w:iCs/>
          <w:color w:val="000000"/>
          <w:spacing w:val="0"/>
          <w:w w:val="100"/>
          <w:position w:val="0"/>
          <w:shd w:val="clear" w:color="auto" w:fill="auto"/>
          <w:lang w:val="en-US" w:eastAsia="en-US" w:bidi="en-US"/>
        </w:rPr>
        <w:t>Antiqui</w:t>
        <w:softHyphen/>
        <w:t>tales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XII,7,7). Svečanost se ponavlja svake go</w:t>
        <w:softHyphen/>
        <w:t>dine, pale se svijeće i pjevaju radosne pjesme (Halel, Ps 113-118) (F. Thicbcrger, op. cit., 343 i d.). Pri posvećenju sinagoge svitci Tore stavljaju se u ormarić za čuvanje Tore u sveča</w:t>
        <w:softHyphen/>
        <w:t xml:space="preserve">noj procesiji i uz pjesmu. »Vječno svjetlo« </w:t>
      </w:r>
      <w:r>
        <w:rPr>
          <w:rFonts w:ascii="Times New Roman" w:eastAsia="Times New Roman" w:hAnsi="Times New Roman" w:cs="Times New Roman"/>
          <w:i/>
          <w:iCs/>
          <w:color w:val="000000"/>
          <w:spacing w:val="0"/>
          <w:w w:val="100"/>
          <w:position w:val="0"/>
          <w:shd w:val="clear" w:color="auto" w:fill="auto"/>
          <w:lang w:val="hr-HR" w:eastAsia="hr-HR" w:bidi="hr-HR"/>
        </w:rPr>
        <w:t>(nertamid,</w:t>
      </w:r>
      <w:r>
        <w:rPr>
          <w:rFonts w:ascii="Times New Roman" w:eastAsia="Times New Roman" w:hAnsi="Times New Roman" w:cs="Times New Roman"/>
          <w:color w:val="000000"/>
          <w:spacing w:val="0"/>
          <w:w w:val="100"/>
          <w:position w:val="0"/>
          <w:shd w:val="clear" w:color="auto" w:fill="auto"/>
          <w:lang w:val="hr-HR" w:eastAsia="hr-HR" w:bidi="hr-HR"/>
        </w:rPr>
        <w:t xml:space="preserve"> Izl 27,20;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24,2 i d.), koje se već uporabilo u »šatoru sastanka« i preuzelo u sinagogi, pali se uz blagoslove kao znak za Božju nazočnost usred Izraela (b Šabat 22b). 'l aj govor prelazi u »molitvu posvete« na koju se nastavlja molitva za napredak zajednice i države (usp. K. </w:t>
      </w:r>
      <w:r>
        <w:rPr>
          <w:rFonts w:ascii="Times New Roman" w:eastAsia="Times New Roman" w:hAnsi="Times New Roman" w:cs="Times New Roman"/>
          <w:color w:val="000000"/>
          <w:spacing w:val="0"/>
          <w:w w:val="100"/>
          <w:position w:val="0"/>
          <w:shd w:val="clear" w:color="auto" w:fill="auto"/>
          <w:lang w:val="en-US" w:eastAsia="en-US" w:bidi="en-US"/>
        </w:rPr>
        <w:t xml:space="preserve">Hruby, </w:t>
      </w:r>
      <w:r>
        <w:rPr>
          <w:rFonts w:ascii="Times New Roman" w:eastAsia="Times New Roman" w:hAnsi="Times New Roman" w:cs="Times New Roman"/>
          <w:i/>
          <w:iCs/>
          <w:color w:val="000000"/>
          <w:spacing w:val="0"/>
          <w:w w:val="100"/>
          <w:position w:val="0"/>
          <w:shd w:val="clear" w:color="auto" w:fill="auto"/>
          <w:lang w:val="en-US" w:eastAsia="en-US" w:bidi="en-US"/>
        </w:rPr>
        <w:t>Die Synagoge,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1971; F. </w:t>
      </w:r>
      <w:r>
        <w:rPr>
          <w:rFonts w:ascii="Times New Roman" w:eastAsia="Times New Roman" w:hAnsi="Times New Roman" w:cs="Times New Roman"/>
          <w:color w:val="000000"/>
          <w:spacing w:val="0"/>
          <w:w w:val="100"/>
          <w:position w:val="0"/>
          <w:shd w:val="clear" w:color="auto" w:fill="auto"/>
          <w:lang w:val="en-US" w:eastAsia="en-US" w:bidi="en-US"/>
        </w:rPr>
        <w:t xml:space="preserve">Thiebergcr, op. cit., 38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 </w:t>
      </w:r>
      <w:r>
        <w:rPr>
          <w:rFonts w:ascii="Times New Roman" w:eastAsia="Times New Roman" w:hAnsi="Times New Roman" w:cs="Times New Roman"/>
          <w:color w:val="000000"/>
          <w:spacing w:val="0"/>
          <w:w w:val="100"/>
          <w:position w:val="0"/>
          <w:shd w:val="clear" w:color="auto" w:fill="auto"/>
          <w:lang w:val="hr-HR" w:eastAsia="hr-HR" w:bidi="hr-HR"/>
        </w:rPr>
        <w:t xml:space="preserve">Jedna </w:t>
      </w:r>
      <w:r>
        <w:rPr>
          <w:rFonts w:ascii="Times New Roman" w:eastAsia="Times New Roman" w:hAnsi="Times New Roman" w:cs="Times New Roman"/>
          <w:color w:val="000000"/>
          <w:spacing w:val="0"/>
          <w:w w:val="100"/>
          <w:position w:val="0"/>
          <w:shd w:val="clear" w:color="auto" w:fill="auto"/>
          <w:lang w:val="en-US" w:eastAsia="en-US" w:bidi="en-US"/>
        </w:rPr>
        <w:t xml:space="preserve">halalta </w:t>
      </w:r>
      <w:r>
        <w:rPr>
          <w:rFonts w:ascii="Times New Roman" w:eastAsia="Times New Roman" w:hAnsi="Times New Roman" w:cs="Times New Roman"/>
          <w:color w:val="000000"/>
          <w:spacing w:val="0"/>
          <w:w w:val="100"/>
          <w:position w:val="0"/>
          <w:shd w:val="clear" w:color="auto" w:fill="auto"/>
          <w:lang w:val="hr-HR" w:eastAsia="hr-HR" w:bidi="hr-HR"/>
        </w:rPr>
        <w:t xml:space="preserve">određuje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 xml:space="preserve">odrastao muškarac »uputi sina u zapovijedi«, tj. uhoda u religijske dužnosti (b </w:t>
      </w:r>
      <w:r>
        <w:rPr>
          <w:rFonts w:ascii="Times New Roman" w:eastAsia="Times New Roman" w:hAnsi="Times New Roman" w:cs="Times New Roman"/>
          <w:color w:val="000000"/>
          <w:spacing w:val="0"/>
          <w:w w:val="100"/>
          <w:position w:val="0"/>
          <w:shd w:val="clear" w:color="auto" w:fill="auto"/>
          <w:lang w:val="en-US" w:eastAsia="en-US" w:bidi="en-US"/>
        </w:rPr>
        <w:t xml:space="preserve">Nazir </w:t>
      </w:r>
      <w:r>
        <w:rPr>
          <w:rFonts w:ascii="Times New Roman" w:eastAsia="Times New Roman" w:hAnsi="Times New Roman" w:cs="Times New Roman"/>
          <w:color w:val="000000"/>
          <w:spacing w:val="0"/>
          <w:w w:val="100"/>
          <w:position w:val="0"/>
          <w:shd w:val="clear" w:color="auto" w:fill="auto"/>
          <w:lang w:val="hr-HR" w:eastAsia="hr-HR" w:bidi="hr-HR"/>
        </w:rPr>
        <w:t>29a); druga halaha traži da roditelji pri</w:t>
        <w:softHyphen/>
        <w:t>preme djecu za Dan pomirenja i da ih godi- nu-dvije prije nastupa religijske punoljetnosti, koju dječak dosiže s navršenih trinaest a dje</w:t>
        <w:softHyphen/>
        <w:t xml:space="preserve">vojčica s navršenih dvanaest godina (F. Thie- berger, op.cit., 426 i d.; L. Hirsch,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Jiidische </w:t>
      </w:r>
      <w:r>
        <w:rPr>
          <w:rFonts w:ascii="Times New Roman" w:eastAsia="Times New Roman" w:hAnsi="Times New Roman" w:cs="Times New Roman"/>
          <w:i/>
          <w:iCs/>
          <w:color w:val="000000"/>
          <w:spacing w:val="0"/>
          <w:w w:val="100"/>
          <w:position w:val="0"/>
          <w:shd w:val="clear" w:color="auto" w:fill="auto"/>
          <w:lang w:val="en-US" w:eastAsia="en-US" w:bidi="en-US"/>
        </w:rPr>
        <w:t>Glaubenswelt,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1978, 44 i d.; R. R. Gcis, </w:t>
      </w:r>
      <w:r>
        <w:rPr>
          <w:rFonts w:ascii="Times New Roman" w:eastAsia="Times New Roman" w:hAnsi="Times New Roman" w:cs="Times New Roman"/>
          <w:i/>
          <w:iCs/>
          <w:color w:val="000000"/>
          <w:spacing w:val="0"/>
          <w:w w:val="100"/>
          <w:position w:val="0"/>
          <w:shd w:val="clear" w:color="auto" w:fill="auto"/>
          <w:lang w:val="hr-HR" w:eastAsia="hr-HR" w:bidi="hr-HR"/>
        </w:rPr>
        <w:t>Vom unbekannten Judentum,</w:t>
      </w:r>
      <w:r>
        <w:rPr>
          <w:rFonts w:ascii="Times New Roman" w:eastAsia="Times New Roman" w:hAnsi="Times New Roman" w:cs="Times New Roman"/>
          <w:color w:val="000000"/>
          <w:spacing w:val="0"/>
          <w:w w:val="100"/>
          <w:position w:val="0"/>
          <w:shd w:val="clear" w:color="auto" w:fill="auto"/>
          <w:lang w:val="hr-HR" w:eastAsia="hr-HR" w:bidi="hr-HR"/>
        </w:rPr>
        <w:t xml:space="preserve"> 1975, 90 i d.), te ih »poučavaju kako bi se upoznali sa zapovijedi</w:t>
        <w:softHyphen/>
        <w:t>ma« (M Joma VIII,4: Tos. V[IV],2).</w:t>
      </w:r>
    </w:p>
    <w:p>
      <w:pPr>
        <w:pStyle w:val="Style20"/>
        <w:keepNext w:val="0"/>
        <w:keepLines w:val="0"/>
        <w:widowControl w:val="0"/>
        <w:shd w:val="clear" w:color="auto" w:fill="auto"/>
        <w:bidi w:val="0"/>
        <w:spacing w:before="0" w:after="0" w:line="42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i&gt;. v&gt;:rn;R</w:t>
      </w:r>
    </w:p>
    <w:p>
      <w:pPr>
        <w:pStyle w:val="Style63"/>
        <w:keepNext/>
        <w:keepLines/>
        <w:widowControl w:val="0"/>
        <w:numPr>
          <w:ilvl w:val="0"/>
          <w:numId w:val="137"/>
        </w:numPr>
        <w:shd w:val="clear" w:color="auto" w:fill="auto"/>
        <w:tabs>
          <w:tab w:pos="255" w:val="left"/>
        </w:tabs>
        <w:bidi w:val="0"/>
        <w:spacing w:before="0" w:after="0" w:line="420" w:lineRule="auto"/>
        <w:ind w:left="0" w:right="0" w:firstLine="0"/>
        <w:jc w:val="both"/>
      </w:pPr>
      <w:bookmarkStart w:id="122" w:name="bookmark12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22"/>
    </w:p>
    <w:p>
      <w:pPr>
        <w:pStyle w:val="Style20"/>
        <w:keepNext w:val="0"/>
        <w:keepLines w:val="0"/>
        <w:widowControl w:val="0"/>
        <w:shd w:val="clear" w:color="auto" w:fill="auto"/>
        <w:bidi w:val="0"/>
        <w:spacing w:before="0" w:after="60" w:line="240" w:lineRule="auto"/>
        <w:ind w:left="0" w:right="0" w:firstLine="0"/>
        <w:jc w:val="both"/>
        <w:sectPr>
          <w:headerReference w:type="default" r:id="rId511"/>
          <w:footerReference w:type="default" r:id="rId512"/>
          <w:headerReference w:type="even" r:id="rId513"/>
          <w:footerReference w:type="even" r:id="rId514"/>
          <w:footnotePr>
            <w:pos w:val="pageBottom"/>
            <w:numFmt w:val="decimal"/>
            <w:numStart w:val="5"/>
            <w:numRestart w:val="continuous"/>
            <w15:footnoteColumns w:val="1"/>
          </w:footnotePr>
          <w:pgSz w:w="6816" w:h="11006"/>
          <w:pgMar w:top="987" w:left="169" w:right="172" w:bottom="443" w:header="559" w:footer="3" w:gutter="0"/>
          <w:pgNumType w:start="17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 je religijsko-povijesni stručni izraz za ob</w:t>
        <w:softHyphen/>
        <w:t xml:space="preserve">redno prihvaćanje u neku udrugu ili životno zajedništvo. Na kršćanskom prostoru to znači </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sakramentalno </w:t>
      </w:r>
      <w:r>
        <w:rPr>
          <w:rFonts w:ascii="Times New Roman" w:eastAsia="Times New Roman" w:hAnsi="Times New Roman" w:cs="Times New Roman"/>
          <w:color w:val="000000"/>
          <w:spacing w:val="0"/>
          <w:w w:val="100"/>
          <w:position w:val="0"/>
          <w:shd w:val="clear" w:color="auto" w:fill="auto"/>
          <w:lang w:val="hr-HR" w:eastAsia="hr-HR" w:bidi="hr-HR"/>
        </w:rPr>
        <w:t>učlanjivanjc u Crkvu i zajed</w:t>
        <w:softHyphen/>
        <w:t>nicu primanjem triju sakramenata: krštenja, potvrde i euharistije, .što se izvorno primalo unutar jedne službe Božje, većinom u uskrs</w:t>
        <w:softHyphen/>
        <w:t>noj noći. Tu inicijaciju pripremao je kateku- menat koji je imao više stupnjeva i koji je obu</w:t>
        <w:softHyphen/>
        <w:t>hvaćao otprilike trogodišnje vrijeme priprave. Nekoliko tjedana prije učlanjivanja počelo bi intenzivnije pripremanje. Kada je, međutim, prihvaćeno krštenje djece, taj se katekumenat od V. stoljeća sve više raspada. Obredi i teks</w:t>
        <w:softHyphen/>
        <w:t>tovi sažimaju se u jednom jedinom obredu krštenja koje vrši svećenik dok potvrdu dijeli biskup u nekom kasnijem vremenu. Tako sve do našega vremena proizlazi trajno faktično mijenjanje izvornog i ekumenskog slijeda: krš</w:t>
        <w:softHyphen/>
        <w:t>tenja - potvrde - euharistije u: krštenje - eu</w:t>
        <w:softHyphen/>
        <w:t>haristiju - potvrdu u Rimokatoličkoj crkvi. Istočne crkve zadržavaju sve do danas slijed učlanjivanja: krštenje - potvrda - euharistija većinom u jednoj službi Božjoj, nezavisno od starosti onih koji se trebaju učlaniti. To vrijedi i za crkve reformacije koje - makar vremenski odijeljeno - uvažavaju slijed: krštenje-potvr- da-Gospodnja večera. Za djecu u predškol</w:t>
        <w:softHyphen/>
        <w:t>skoj dobi, mlade i odrasle Rimska je crkva ponovno uspostavila izvorni slijed u obredni</w:t>
        <w:softHyphen/>
        <w:t>ku: »Svečanost uključivanja odraslih u Crkvu«. Sva tri sakramenta inicijacije mogu se sada opet primiti tijekom jedne svečanosti bogo</w:t>
        <w:softHyphen/>
        <w:t>služja, po mogućnosti u uskrsnoj noći, pri če</w:t>
        <w:softHyphen/>
        <w:t>mu svećenik smije dijeliti potvrdu. Za odrasle kandidate koji bi trebali biti primljeni u Crkvu predviđen je opet katekumenat od više stup</w:t>
        <w:softHyphen/>
        <w:t>njeva. Učlanjivanjc teče u pravilu nakon riječi Božje (čitanja evanđelja) na euharistijskom slavlju ovako: nakon poziva na molitvu pje</w:t>
        <w:softHyphen/>
        <w:t>vaju se litanije svih svetih, posvećuje se krsna voda, kandidati se pomazuju katekumenskim uljem, izgovara se vjerovanje i vrši se krštenje. Nakon obreda tijekom kojega se predaje bi</w:t>
        <w:softHyphen/>
        <w:t>jela haljina i zapaljena svijeća, slijedi potvrda i euharistijska svečanost na kojoj se prima pri</w:t>
        <w:softHyphen/>
        <w:t>čest pod obje prilike. Čitavo uskrsno vrijeme vrijedi za nove članove kao vrijeme mistago- gije u kojem trebaju dublje urasti u Kristovo otajstvo i zajednicu.</w:t>
      </w:r>
    </w:p>
    <w:p>
      <w:pPr>
        <w:pStyle w:val="Style56"/>
        <w:keepNext w:val="0"/>
        <w:keepLines w:val="0"/>
        <w:widowControl w:val="0"/>
        <w:shd w:val="clear" w:color="auto" w:fill="auto"/>
        <w:tabs>
          <w:tab w:pos="2395" w:val="left"/>
        </w:tabs>
        <w:bidi w:val="0"/>
        <w:spacing w:before="0" w:after="14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Probst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dr. (Hrsg.), </w:t>
      </w:r>
      <w:r>
        <w:rPr>
          <w:i/>
          <w:iCs/>
          <w:color w:val="000000"/>
          <w:spacing w:val="0"/>
          <w:w w:val="100"/>
          <w:position w:val="0"/>
          <w:shd w:val="clear" w:color="auto" w:fill="auto"/>
          <w:lang w:val="hr-HR" w:eastAsia="hr-HR" w:bidi="hr-HR"/>
        </w:rPr>
        <w:t>Katfchumenat heule,</w:t>
      </w:r>
      <w:r>
        <w:rPr>
          <w:color w:val="000000"/>
          <w:spacing w:val="0"/>
          <w:w w:val="100"/>
          <w:position w:val="0"/>
          <w:shd w:val="clear" w:color="auto" w:fill="auto"/>
          <w:lang w:val="hr-HR" w:eastAsia="hr-HR" w:bidi="hr-HR"/>
        </w:rPr>
        <w:t xml:space="preserve"> Einsic- dcln/Prcibutg 1976; J. Brosscdcr, Taufc/Firmung. u: NHThG 4 </w:t>
      </w:r>
      <w:r>
        <w:rPr>
          <w:color w:val="000000"/>
          <w:spacing w:val="0"/>
          <w:w w:val="100"/>
          <w:position w:val="0"/>
          <w:shd w:val="clear" w:color="auto" w:fill="auto"/>
        </w:rPr>
        <w:t xml:space="preserve">(19X5) </w:t>
      </w:r>
      <w:r>
        <w:rPr>
          <w:color w:val="000000"/>
          <w:spacing w:val="0"/>
          <w:w w:val="100"/>
          <w:position w:val="0"/>
          <w:shd w:val="clear" w:color="auto" w:fill="auto"/>
          <w:lang w:val="hr-HR" w:eastAsia="hr-HR" w:bidi="hr-HR"/>
        </w:rPr>
        <w:t>167-182.</w:t>
        <w:tab/>
        <w:t>K. RlCIHl-R</w:t>
      </w:r>
    </w:p>
    <w:p>
      <w:pPr>
        <w:pStyle w:val="Style63"/>
        <w:keepNext/>
        <w:keepLines/>
        <w:widowControl w:val="0"/>
        <w:numPr>
          <w:ilvl w:val="0"/>
          <w:numId w:val="137"/>
        </w:numPr>
        <w:shd w:val="clear" w:color="auto" w:fill="auto"/>
        <w:tabs>
          <w:tab w:pos="265" w:val="left"/>
        </w:tabs>
        <w:bidi w:val="0"/>
        <w:spacing w:before="0" w:line="214" w:lineRule="auto"/>
        <w:ind w:left="0" w:right="0" w:firstLine="0"/>
        <w:jc w:val="both"/>
      </w:pPr>
      <w:bookmarkStart w:id="123" w:name="bookmark123"/>
      <w:r>
        <w:rPr>
          <w:rFonts w:ascii="Times New Roman" w:eastAsia="Times New Roman" w:hAnsi="Times New Roman" w:cs="Times New Roman"/>
          <w:color w:val="000000"/>
          <w:spacing w:val="0"/>
          <w:w w:val="100"/>
          <w:position w:val="0"/>
          <w:shd w:val="clear" w:color="auto" w:fill="auto"/>
          <w:lang w:val="hr-HR" w:eastAsia="hr-HR" w:bidi="hr-HR"/>
        </w:rPr>
        <w:t>islamski</w:t>
      </w:r>
      <w:bookmarkEnd w:id="123"/>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Medu najuočljivije islamske »prijelazne obre</w:t>
        <w:softHyphen/>
        <w:t>de« pripada obrezivanje dječaka. Prema pre</w:t>
        <w:softHyphen/>
      </w:r>
      <w:r>
        <w:rPr>
          <w:rFonts w:ascii="Times New Roman" w:eastAsia="Times New Roman" w:hAnsi="Times New Roman" w:cs="Times New Roman"/>
          <w:color w:val="000000"/>
          <w:spacing w:val="0"/>
          <w:w w:val="100"/>
          <w:position w:val="0"/>
          <w:shd w:val="clear" w:color="auto" w:fill="auto"/>
          <w:lang w:val="hr-HR" w:eastAsia="hr-HR" w:bidi="hr-HR"/>
        </w:rPr>
        <w:t>vladavajućemu nazoru pismoznanaca, i. je je</w:t>
        <w:softHyphen/>
        <w:t xml:space="preserve">dini preporučljivi običaj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ali ne i iz</w:t>
        <w:softHyphen/>
        <w:t>ričita zapovijed. Kuran je nijednom riječju ne spominje kao zapovijed. No, puk joj pridaje veliko značenje. Kao što Snouck Ilurgronje točno primjećuje, osim poštovanja zabrane konzumiranja svinjskoga mesa, i. je za niže slojeve u izvjesnom smislu prcpoznanica is</w:t>
        <w:softHyphen/>
        <w:t xml:space="preserve">lama </w:t>
      </w:r>
      <w:r>
        <w:rPr>
          <w:rFonts w:ascii="Times New Roman" w:eastAsia="Times New Roman" w:hAnsi="Times New Roman" w:cs="Times New Roman"/>
          <w:color w:val="000000"/>
          <w:spacing w:val="0"/>
          <w:w w:val="100"/>
          <w:position w:val="0"/>
          <w:shd w:val="clear" w:color="auto" w:fill="auto"/>
          <w:lang w:val="en-US" w:eastAsia="en-US" w:bidi="en-US"/>
        </w:rPr>
        <w:t xml:space="preserve">par exellence. </w:t>
      </w:r>
      <w:r>
        <w:rPr>
          <w:rFonts w:ascii="Times New Roman" w:eastAsia="Times New Roman" w:hAnsi="Times New Roman" w:cs="Times New Roman"/>
          <w:color w:val="000000"/>
          <w:spacing w:val="0"/>
          <w:w w:val="100"/>
          <w:position w:val="0"/>
          <w:shd w:val="clear" w:color="auto" w:fill="auto"/>
          <w:lang w:val="hr-HR" w:eastAsia="hr-HR" w:bidi="hr-HR"/>
        </w:rPr>
        <w:t>»Pretjerano vrednovanje oba ova propisa nema oslonca u Zakonu, jer oni su tamo na istoj razini s brojnim drugim propisima kojima puk pridaje daleko manju važnost«.</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Ovisno o zemljama obrezivanje se vrši u raz</w:t>
        <w:softHyphen/>
        <w:t>ličitoj dobi. No to se obično događa kada dje</w:t>
        <w:softHyphen/>
        <w:t>čak navrši sedmu godinu. Gornja je starosna granica u pravilu 13. godina života. I. se vrši u svečarskom okruženju. Ponekad se njoj, u orga</w:t>
        <w:softHyphen/>
        <w:t>niziranome obliku, podvrgava čitava skupina vršnjaka. Za njegovanjem tog običaja zanima</w:t>
        <w:softHyphen/>
        <w:t>nje pokazuju posebice ženske udruge u Tur</w:t>
        <w:softHyphen/>
        <w:t>skoj zato što se pokazao medicinski oprav</w:t>
        <w:softHyphen/>
        <w:t>danim. Obrezivanje je istočnjački običaj. U F.giptu su taj običaj njegovali i kršćanski Kop- ti. U islamu, novorođenče dobiva svoje ime jednostavnom ceremonijom, prilikom koje se novorođenomu na uho šapće molitveni zaziv. Mistici poznaju inicijaciju opasivanja novaka prilikom primanja u novicijat. Umjesto toga ponekad se vrši posudba hlača. Slične su cere</w:t>
        <w:softHyphen/>
        <w:t>monije bile uobičajene i prilikom prijema no</w:t>
        <w:softHyphen/>
        <w:t xml:space="preserve">vih članova u islamsko viteštvo </w:t>
      </w:r>
      <w:r>
        <w:rPr>
          <w:rFonts w:ascii="Times New Roman" w:eastAsia="Times New Roman" w:hAnsi="Times New Roman" w:cs="Times New Roman"/>
          <w:color w:val="000000"/>
          <w:spacing w:val="0"/>
          <w:w w:val="100"/>
          <w:position w:val="0"/>
          <w:shd w:val="clear" w:color="auto" w:fill="auto"/>
          <w:lang w:val="en-US" w:eastAsia="en-US" w:bidi="en-US"/>
        </w:rPr>
        <w:t xml:space="preserve">(futuwwa). </w:t>
      </w:r>
      <w:r>
        <w:rPr>
          <w:rFonts w:ascii="Times New Roman" w:eastAsia="Times New Roman" w:hAnsi="Times New Roman" w:cs="Times New Roman"/>
          <w:color w:val="000000"/>
          <w:spacing w:val="0"/>
          <w:w w:val="100"/>
          <w:position w:val="0"/>
          <w:shd w:val="clear" w:color="auto" w:fill="auto"/>
          <w:lang w:val="hr-HR" w:eastAsia="hr-HR" w:bidi="hr-HR"/>
        </w:rPr>
        <w:t>Muhamed je običavao zamjenjivati ogrtače kako bi zaslužnike uzdigao iz njihove u viši stalež.</w:t>
      </w:r>
    </w:p>
    <w:p>
      <w:pPr>
        <w:pStyle w:val="Style56"/>
        <w:keepNext w:val="0"/>
        <w:keepLines w:val="0"/>
        <w:widowControl w:val="0"/>
        <w:shd w:val="clear" w:color="auto" w:fill="auto"/>
        <w:tabs>
          <w:tab w:pos="2573" w:val="left"/>
        </w:tabs>
        <w:bidi w:val="0"/>
        <w:spacing w:before="0" w:after="320" w:line="240" w:lineRule="auto"/>
        <w:ind w:left="0" w:right="0" w:firstLine="0"/>
        <w:jc w:val="both"/>
      </w:pPr>
      <w:r>
        <w:rPr>
          <w:color w:val="000000"/>
          <w:spacing w:val="0"/>
          <w:w w:val="100"/>
          <w:position w:val="0"/>
          <w:shd w:val="clear" w:color="auto" w:fill="auto"/>
          <w:lang w:val="hr-HR" w:eastAsia="hr-HR" w:bidi="hr-HR"/>
        </w:rPr>
        <w:t xml:space="preserve">Lit.: Hl, 315; A. E. </w:t>
      </w:r>
      <w:r>
        <w:rPr>
          <w:color w:val="000000"/>
          <w:spacing w:val="0"/>
          <w:w w:val="100"/>
          <w:position w:val="0"/>
          <w:shd w:val="clear" w:color="auto" w:fill="auto"/>
        </w:rPr>
        <w:t xml:space="preserve">Jensen, </w:t>
      </w:r>
      <w:r>
        <w:rPr>
          <w:i/>
          <w:iCs/>
          <w:color w:val="000000"/>
          <w:spacing w:val="0"/>
          <w:w w:val="100"/>
          <w:position w:val="0"/>
          <w:shd w:val="clear" w:color="auto" w:fill="auto"/>
          <w:lang w:val="hr-HR" w:eastAsia="hr-HR" w:bidi="hr-HR"/>
        </w:rPr>
        <w:t>Beschneidung und Reifezeremo- nien bti Nalunvlkern.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1935.</w:t>
        <w:tab/>
        <w:t>S BAl.lĆ</w:t>
      </w:r>
    </w:p>
    <w:p>
      <w:pPr>
        <w:pStyle w:val="Style33"/>
        <w:keepNext w:val="0"/>
        <w:keepLines w:val="0"/>
        <w:widowControl w:val="0"/>
        <w:shd w:val="clear" w:color="auto" w:fill="auto"/>
        <w:bidi w:val="0"/>
        <w:spacing w:before="0" w:after="24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INKARNACIJA -&gt; </w:t>
      </w:r>
      <w:r>
        <w:rPr>
          <w:rFonts w:ascii="Times New Roman" w:eastAsia="Times New Roman" w:hAnsi="Times New Roman" w:cs="Times New Roman"/>
          <w:color w:val="000000"/>
          <w:spacing w:val="0"/>
          <w:w w:val="100"/>
          <w:position w:val="0"/>
          <w:shd w:val="clear" w:color="auto" w:fill="auto"/>
          <w:lang w:val="hr-HR" w:eastAsia="hr-HR" w:bidi="hr-HR"/>
        </w:rPr>
        <w:t>ISUS KRIST</w:t>
      </w:r>
    </w:p>
    <w:p>
      <w:pPr>
        <w:pStyle w:val="Style33"/>
        <w:keepNext w:val="0"/>
        <w:keepLines w:val="0"/>
        <w:widowControl w:val="0"/>
        <w:shd w:val="clear" w:color="auto" w:fill="auto"/>
        <w:bidi w:val="0"/>
        <w:spacing w:before="0" w:after="14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INSPIRACIJA (NADAHNUĆE)</w:t>
      </w:r>
    </w:p>
    <w:p>
      <w:pPr>
        <w:pStyle w:val="Style63"/>
        <w:keepNext/>
        <w:keepLines/>
        <w:widowControl w:val="0"/>
        <w:numPr>
          <w:ilvl w:val="0"/>
          <w:numId w:val="167"/>
        </w:numPr>
        <w:shd w:val="clear" w:color="auto" w:fill="auto"/>
        <w:tabs>
          <w:tab w:pos="246" w:val="left"/>
        </w:tabs>
        <w:bidi w:val="0"/>
        <w:spacing w:before="0" w:after="80" w:line="218" w:lineRule="auto"/>
        <w:ind w:left="0" w:right="0" w:firstLine="0"/>
        <w:jc w:val="both"/>
      </w:pPr>
      <w:bookmarkStart w:id="124" w:name="bookmark124"/>
      <w:r>
        <w:rPr>
          <w:rFonts w:ascii="Times New Roman" w:eastAsia="Times New Roman" w:hAnsi="Times New Roman" w:cs="Times New Roman"/>
          <w:color w:val="000000"/>
          <w:spacing w:val="0"/>
          <w:w w:val="100"/>
          <w:position w:val="0"/>
          <w:shd w:val="clear" w:color="auto" w:fill="auto"/>
          <w:lang w:val="hr-HR" w:eastAsia="hr-HR" w:bidi="hr-HR"/>
        </w:rPr>
        <w:t>židovski</w:t>
      </w:r>
      <w:bookmarkEnd w:id="12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izraelskom iskustvu, čovjeka može zahvatiti osobna sila, koja dolazi na njega ili ulazi u njega (Br 24,2; Suci 3,10, 1 Sam 16,16; Ez 37,9 i d.; 2,3; 3,24) ili počiva na njemu (Br</w:t>
      </w:r>
    </w:p>
    <w:p>
      <w:pPr>
        <w:pStyle w:val="Style20"/>
        <w:keepNext w:val="0"/>
        <w:keepLines w:val="0"/>
        <w:widowControl w:val="0"/>
        <w:numPr>
          <w:ilvl w:val="0"/>
          <w:numId w:val="169"/>
        </w:numPr>
        <w:shd w:val="clear" w:color="auto" w:fill="auto"/>
        <w:tabs>
          <w:tab w:pos="322"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25 i d.; Iz 11,2; 2 Kr 2,15), ali se nikada s njim ne miješa (Suci 6,34; 13,25; Ez 3,12.14; Hab 1,11;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4,15). Smatra se, prije svega, da su proroci »nadahnuti« (inspirirani) Božjim </w:t>
      </w:r>
      <w:r>
        <w:rPr>
          <w:rFonts w:ascii="Times New Roman" w:eastAsia="Times New Roman" w:hAnsi="Times New Roman" w:cs="Times New Roman"/>
          <w:color w:val="000000"/>
          <w:spacing w:val="0"/>
          <w:w w:val="100"/>
          <w:position w:val="0"/>
          <w:shd w:val="clear" w:color="auto" w:fill="auto"/>
          <w:lang w:val="hr-HR" w:eastAsia="hr-HR" w:bidi="hr-HR"/>
        </w:rPr>
        <w:t>duhom (Mih 3,8; IIoš 9,7; Hab 1,11; Zah 7,12; Nah 9,30; Sir 48); stoga su rabini »Duha Sve</w:t>
        <w:softHyphen/>
        <w:t>toga« smatrali prije svega proročkim duhom (Targumim; b Makot 23b; Berahot 31b). Budući da se svi biblijski autori smatraju pro</w:t>
        <w:softHyphen/>
        <w:t>rocima (b Bava batra 14b-l5a), duh koji ih na</w:t>
        <w:softHyphen/>
        <w:t xml:space="preserve">dahnjuje </w:t>
      </w:r>
      <w:r>
        <w:rPr>
          <w:rFonts w:ascii="Times New Roman" w:eastAsia="Times New Roman" w:hAnsi="Times New Roman" w:cs="Times New Roman"/>
          <w:i/>
          <w:iCs/>
          <w:color w:val="000000"/>
          <w:spacing w:val="0"/>
          <w:w w:val="100"/>
          <w:position w:val="0"/>
          <w:shd w:val="clear" w:color="auto" w:fill="auto"/>
          <w:lang w:val="hr-HR" w:eastAsia="hr-HR" w:bidi="hr-HR"/>
        </w:rPr>
        <w:t>(ruah ha-kodeš</w:t>
      </w:r>
      <w:r>
        <w:rPr>
          <w:rFonts w:ascii="Times New Roman" w:eastAsia="Times New Roman" w:hAnsi="Times New Roman" w:cs="Times New Roman"/>
          <w:color w:val="000000"/>
          <w:spacing w:val="0"/>
          <w:w w:val="100"/>
          <w:position w:val="0"/>
          <w:shd w:val="clear" w:color="auto" w:fill="auto"/>
          <w:lang w:val="hr-HR" w:eastAsia="hr-HR" w:bidi="hr-HR"/>
        </w:rPr>
        <w:t xml:space="preserve"> Ps 51,13; Iz 63,10) djeluje kao pravi autor pri nastanku »svetih spisa« i njihovih pojedinih dijelova (IV Ezr 14,39^45; II Hen 22,10; Mekilta 40b uz Izl 15,1; Šir ha-širim 1,1;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1,1). I predodžba o nebeskim knjigama, pločama i spisima poka</w:t>
        <w:softHyphen/>
        <w:t>zuje Boga, odnosno njegova duha nadahnuća kao pravog autora (I Hen 93,2; 104,12; 106,19; Jubil 1,29; 3,10.31; 4,4.32). Filon je nedvos</w:t>
        <w:softHyphen/>
        <w:t>misleno zastupao teoriju apsolutnoga nadah</w:t>
        <w:softHyphen/>
        <w:t xml:space="preserve">nuća: »Prorok ne kaže uopće ništa svoje, on je samo tumač. Netko drugi daje mu sve što on iznosi... No duh Božji dođe i nastani se kod njega... i proizvodi glasove radi jasne najave onoga što on objavljuje« </w:t>
      </w:r>
      <w:r>
        <w:rPr>
          <w:rFonts w:ascii="Times New Roman" w:eastAsia="Times New Roman" w:hAnsi="Times New Roman" w:cs="Times New Roman"/>
          <w:i/>
          <w:iCs/>
          <w:color w:val="000000"/>
          <w:spacing w:val="0"/>
          <w:w w:val="100"/>
          <w:position w:val="0"/>
          <w:shd w:val="clear" w:color="auto" w:fill="auto"/>
          <w:lang w:val="hr-HR" w:eastAsia="hr-HR" w:bidi="hr-HR"/>
        </w:rPr>
        <w:t>(De specialibus legi- bus</w:t>
      </w:r>
      <w:r>
        <w:rPr>
          <w:rFonts w:ascii="Times New Roman" w:eastAsia="Times New Roman" w:hAnsi="Times New Roman" w:cs="Times New Roman"/>
          <w:color w:val="000000"/>
          <w:spacing w:val="0"/>
          <w:w w:val="100"/>
          <w:position w:val="0"/>
          <w:shd w:val="clear" w:color="auto" w:fill="auto"/>
          <w:lang w:val="hr-HR" w:eastAsia="hr-HR" w:bidi="hr-HR"/>
        </w:rPr>
        <w:t xml:space="preserve"> 111,8). Rabinski nauk o nadahnuću, prema kojem se kanonska biblijska literatura smatra Bogom dana, ubraja se u Mišni u neotuđiva načela čije nijekanje prijeti gubitkom udjela u budućem svijetu: »Tko kaže da Tora nije od Boga«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usp. XI,3). Učenjačka je rasprava pojasnila: »Čak kad bi netko rekao da je cijela Tora od Boga i samo za jedan stih tvrdio kako ga Sveti nije rekao, već Mojsije sam od sebe, za njega se kaže da je prezreo Gospodnju riječ«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99a). Pojam nadahnuća naposljetku se proširio na ukupno literarno utvrđivanje teksta hebrejske Biblije. Majmonid je doslovno tumačenje preuzeo u svoj 8. članak vjere.</w:t>
      </w:r>
    </w:p>
    <w:p>
      <w:pPr>
        <w:pStyle w:val="Style56"/>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14, * 1978, 364-8. P. VLTItR</w:t>
      </w:r>
    </w:p>
    <w:p>
      <w:pPr>
        <w:pStyle w:val="Style63"/>
        <w:keepNext/>
        <w:keepLines/>
        <w:widowControl w:val="0"/>
        <w:numPr>
          <w:ilvl w:val="0"/>
          <w:numId w:val="171"/>
        </w:numPr>
        <w:shd w:val="clear" w:color="auto" w:fill="auto"/>
        <w:tabs>
          <w:tab w:pos="255" w:val="left"/>
        </w:tabs>
        <w:bidi w:val="0"/>
        <w:spacing w:before="0" w:line="223" w:lineRule="auto"/>
        <w:ind w:left="0" w:right="0" w:firstLine="0"/>
        <w:jc w:val="both"/>
      </w:pPr>
      <w:bookmarkStart w:id="125" w:name="bookmark12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25"/>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 inspiracijom kršćanska teologija razumi</w:t>
        <w:softHyphen/>
        <w:t>jeva onaj karizmatički utjecaj Boga na biblij</w:t>
        <w:softHyphen/>
        <w:t>ske pisce kojim on u posebnom smislu postaje »začetnik« biblijskih spisa i time jamči njihovu nepogrešivost kao riječ Božju pri čemu do</w:t>
        <w:softHyphen/>
        <w:t>tični ljudski pisac nekog spisa ostaje njegov literarni začetnik. Biblija - riječ se izvodi iz grčkoga »biblos«, tj. knjiga - Sveto je pismo kršćana. U njoj su ocrtana iskustva koja su ljudi prošli riječju i djelom u dugoj povijesti s Bogom i njegovom objavom. Sastojeći se iz SZ i NZ, Biblija je u neku ruku isprava Saveza koji je Bog sklopio s ljudima. Budući da se he</w:t>
        <w:softHyphen/>
      </w:r>
      <w:r>
        <w:rPr>
          <w:rFonts w:ascii="Times New Roman" w:eastAsia="Times New Roman" w:hAnsi="Times New Roman" w:cs="Times New Roman"/>
          <w:color w:val="000000"/>
          <w:spacing w:val="0"/>
          <w:w w:val="100"/>
          <w:position w:val="0"/>
          <w:shd w:val="clear" w:color="auto" w:fill="auto"/>
          <w:lang w:val="hr-HR" w:eastAsia="hr-HR" w:bidi="hr-HR"/>
        </w:rPr>
        <w:t>brejska riječ »berit« (Savez), oslanjanjem na grčku »diatheke«, prevodila latinski s »testa- mentum«, došlo je do naziva »Stari zavjet« za stari Savez, koji je Bog sklopio s izraelskim narodom, i »Novi zavjet« za novi Savez koji je utemeljio Isus Krist (Lk 22, 20; 1 Kor 11,15; 2 Kor 3,6 - 13). Ti su nazivi tada preneseni na same knjige: SZ zovu se oni spisi koji se od</w:t>
        <w:softHyphen/>
        <w:t>nose na stari Savez, a NZ su oni koji imaju kao sadržaj novi Savez.</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SZ sadrži povijest izraelskog naroda s Bogom; on zrcali vjerničku egzistenciju naroda koji je znao da je u savezu s Bogom i koji bi uvijek iznova iskusio Božju spasonosnu snagu. NZ daje svjedočanstvo o iskustvima učenika i ra</w:t>
        <w:softHyphen/>
        <w:t>ne Crkve, koja su imali s Isusom Kristom. No- vozavjetni spisi su vjerska svjedočanstva o Isu</w:t>
        <w:softHyphen/>
        <w:t>su Kristu i oni su priznavanje njega kao u SZ obećanog mesije. Autori NZ shvaćaju SZ kao svjedočanstvo djelovanja istoga Boga kojega je Isus naviještao. I to s pravom. Isus je bio Židov pa je njegova vjera bila vjera tadašnjeg židovstva, »vjera otaca«: SZ se drži knjigom obećanja koje je u Isusu Kristu našlo svoje posljednje nenadmašivo ispunjenje. To ispo</w:t>
        <w:softHyphen/>
        <w:t>vijeda kršćanska vjera i zato oba zavjeta pri</w:t>
        <w:softHyphen/>
        <w:t>padaju zajedno.</w:t>
      </w:r>
    </w:p>
    <w:p>
      <w:pPr>
        <w:pStyle w:val="Style20"/>
        <w:keepNext w:val="0"/>
        <w:keepLines w:val="0"/>
        <w:widowControl w:val="0"/>
        <w:shd w:val="clear" w:color="auto" w:fill="auto"/>
        <w:bidi w:val="0"/>
        <w:spacing w:before="0" w:after="0" w:line="240" w:lineRule="auto"/>
        <w:ind w:left="0" w:right="0" w:firstLine="0"/>
        <w:jc w:val="both"/>
        <w:sectPr>
          <w:headerReference w:type="default" r:id="rId515"/>
          <w:footerReference w:type="default" r:id="rId516"/>
          <w:headerReference w:type="even" r:id="rId517"/>
          <w:footerReference w:type="even" r:id="rId518"/>
          <w:headerReference w:type="first" r:id="rId519"/>
          <w:footerReference w:type="first" r:id="rId520"/>
          <w:footnotePr>
            <w:pos w:val="pageBottom"/>
            <w:numFmt w:val="decimal"/>
            <w:numStart w:val="5"/>
            <w:numRestart w:val="continuous"/>
            <w15:footnoteColumns w:val="1"/>
          </w:footnotePr>
          <w:pgSz w:w="6816" w:h="11006"/>
          <w:pgMar w:top="987" w:left="169" w:right="172" w:bottom="443" w:header="0" w:footer="3" w:gutter="0"/>
          <w:pgNumType w:start="175"/>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Biblija je opsežna zbirka pisama u kojima su sudjelovali mnogi ljudi. Vrijeme nastanka bib</w:t>
        <w:softHyphen/>
        <w:t>lijskih pisama proteže se na ukupno više od ti</w:t>
        <w:softHyphen/>
        <w:t>suću godina: SZ nastao je tijekom prvog ti</w:t>
        <w:softHyphen/>
        <w:t xml:space="preserve">sućljeća prije Krista, a NZ u prvim stoljećima poslije Krista. Upravo je ovo dugačko vrijeme nastanka izrazito svjedočanstvo </w:t>
      </w:r>
      <w:r>
        <w:rPr>
          <w:rFonts w:ascii="Times New Roman" w:eastAsia="Times New Roman" w:hAnsi="Times New Roman" w:cs="Times New Roman"/>
          <w:i/>
          <w:iCs/>
          <w:color w:val="000000"/>
          <w:spacing w:val="0"/>
          <w:w w:val="100"/>
          <w:position w:val="0"/>
          <w:shd w:val="clear" w:color="auto" w:fill="auto"/>
          <w:lang w:val="hr-HR" w:eastAsia="hr-HR" w:bidi="hr-HR"/>
        </w:rPr>
        <w:t>snage Božje ri</w:t>
        <w:softHyphen/>
        <w:t>ječi.</w:t>
      </w:r>
      <w:r>
        <w:rPr>
          <w:rFonts w:ascii="Times New Roman" w:eastAsia="Times New Roman" w:hAnsi="Times New Roman" w:cs="Times New Roman"/>
          <w:color w:val="000000"/>
          <w:spacing w:val="0"/>
          <w:w w:val="100"/>
          <w:position w:val="0"/>
          <w:shd w:val="clear" w:color="auto" w:fill="auto"/>
          <w:lang w:val="hr-HR" w:eastAsia="hr-HR" w:bidi="hr-HR"/>
        </w:rPr>
        <w:t xml:space="preserve"> Pogođeni tom riječju ljudi različitog pod</w:t>
        <w:softHyphen/>
        <w:t>rijetla i naobrazbe uvijek su iznova pokuša</w:t>
        <w:softHyphen/>
        <w:t xml:space="preserve">vali u svom određenom vremenu, pod novim društvenim i političkim okolnostima, naviješ- tati svojim bližnjima </w:t>
      </w:r>
      <w:r>
        <w:rPr>
          <w:rFonts w:ascii="Times New Roman" w:eastAsia="Times New Roman" w:hAnsi="Times New Roman" w:cs="Times New Roman"/>
          <w:i/>
          <w:iCs/>
          <w:color w:val="000000"/>
          <w:spacing w:val="0"/>
          <w:w w:val="100"/>
          <w:position w:val="0"/>
          <w:shd w:val="clear" w:color="auto" w:fill="auto"/>
          <w:lang w:val="hr-HR" w:eastAsia="hr-HR" w:bidi="hr-HR"/>
        </w:rPr>
        <w:t>Božju riječ kao nosivu snagu života.</w:t>
      </w:r>
      <w:r>
        <w:rPr>
          <w:rFonts w:ascii="Times New Roman" w:eastAsia="Times New Roman" w:hAnsi="Times New Roman" w:cs="Times New Roman"/>
          <w:color w:val="000000"/>
          <w:spacing w:val="0"/>
          <w:w w:val="100"/>
          <w:position w:val="0"/>
          <w:shd w:val="clear" w:color="auto" w:fill="auto"/>
          <w:lang w:val="hr-HR" w:eastAsia="hr-HR" w:bidi="hr-HR"/>
        </w:rPr>
        <w:t xml:space="preserve"> Zato iza biblijskih pisama uvijek konačno stoji autoritet samoga Boga koji je tako pravi </w:t>
      </w:r>
      <w:r>
        <w:rPr>
          <w:rFonts w:ascii="Times New Roman" w:eastAsia="Times New Roman" w:hAnsi="Times New Roman" w:cs="Times New Roman"/>
          <w:i/>
          <w:iCs/>
          <w:color w:val="000000"/>
          <w:spacing w:val="0"/>
          <w:w w:val="100"/>
          <w:position w:val="0"/>
          <w:shd w:val="clear" w:color="auto" w:fill="auto"/>
          <w:lang w:val="hr-HR" w:eastAsia="hr-HR" w:bidi="hr-HR"/>
        </w:rPr>
        <w:t>začetnik Biblije.</w:t>
      </w:r>
      <w:r>
        <w:rPr>
          <w:rFonts w:ascii="Times New Roman" w:eastAsia="Times New Roman" w:hAnsi="Times New Roman" w:cs="Times New Roman"/>
          <w:color w:val="000000"/>
          <w:spacing w:val="0"/>
          <w:w w:val="100"/>
          <w:position w:val="0"/>
          <w:shd w:val="clear" w:color="auto" w:fill="auto"/>
          <w:lang w:val="hr-HR" w:eastAsia="hr-HR" w:bidi="hr-HR"/>
        </w:rPr>
        <w:t xml:space="preserve"> Proroci SZ bili su svjesni da ne naviještaju svoju vlastitu riječ nego od Boga objavljenu i predanu riječ. Zato su svom naviještanju često dodavali rečenicu »tako govori Jahve« ili »riječ je Jahvina«. Ti</w:t>
        <w:softHyphen/>
        <w:t>me se izričito naglašava da oni ne naviještaju i ne pišu iz vlastita autoriteta nego po Božjem nalogu: »Uzmi svitak i zapiši na nj sve riječi koje ti kazah o Jeruzalemu, Judeji i svim naro</w:t>
        <w:softHyphen/>
        <w:t xml:space="preserve">dima, od dana kad ti počeh govoriti ...« (Jr 36,2). Slično se kaže u Knjizi Izlaska: »Zapiši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ove riječi - reče Jahve Mojsiju - jer su one te</w:t>
        <w:softHyphen/>
        <w:t>melji na kojima sam s tobom i s Izraelom sklo</w:t>
        <w:softHyphen/>
        <w:t>pio Savez« (Izl 34,27). Ovo starozavjetno vjer</w:t>
        <w:softHyphen/>
        <w:t>sko uvjerenje izričito potvrđuje NZ: »Svakoje Pismo od Boga nadahnuto korisno za pouku, za karanje, za popravljanje i odgajanje u pra</w:t>
        <w:softHyphen/>
        <w:t>vednosti, da čovjek Božji bude savršen - opremljen za svako djelo ljubavi« (2 Tim 3, 16). To izražava i 2. Petrova poslanica: »Jer nikad neko proročanstvo nije došlo od ljud</w:t>
        <w:softHyphen/>
        <w:t>skoga htijenja, nego su ljudi govorili od Boga, poneseni Duhom Svetim« (2 Pt 1,21). Da »Bog daje ljudima govoriti« i da je na njegovu inicijativu pismeno zadržana njegova riječ, krš</w:t>
        <w:softHyphen/>
        <w:t>ćanska teologija opisuje pojmom »i.«, tj. Bog poziva u svoju službu ljude koji ljudima pri</w:t>
        <w:softHyphen/>
        <w:t>općavaju njegovu riječ. Nastanak knjige Božje riječi rezultat je, dakle, božanske objave na ljudskom jeziku.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učenjem o </w:t>
      </w:r>
      <w:r>
        <w:rPr>
          <w:rFonts w:ascii="Times New Roman" w:eastAsia="Times New Roman" w:hAnsi="Times New Roman" w:cs="Times New Roman"/>
          <w:i/>
          <w:iCs/>
          <w:color w:val="000000"/>
          <w:spacing w:val="0"/>
          <w:w w:val="100"/>
          <w:position w:val="0"/>
          <w:shd w:val="clear" w:color="auto" w:fill="auto"/>
          <w:lang w:val="hr-HR" w:eastAsia="hr-HR" w:bidi="hr-HR"/>
        </w:rPr>
        <w:t>nastanku knjige</w:t>
      </w:r>
      <w:r>
        <w:rPr>
          <w:rFonts w:ascii="Times New Roman" w:eastAsia="Times New Roman" w:hAnsi="Times New Roman" w:cs="Times New Roman"/>
          <w:color w:val="000000"/>
          <w:spacing w:val="0"/>
          <w:w w:val="100"/>
          <w:position w:val="0"/>
          <w:shd w:val="clear" w:color="auto" w:fill="auto"/>
          <w:lang w:val="hr-HR" w:eastAsia="hr-HR" w:bidi="hr-HR"/>
        </w:rPr>
        <w:t xml:space="preserve"> božanske riječi ljudskim pismom i jezikom starozavjetna je objava dosegla svoj vrhunac. Znanje o </w:t>
      </w:r>
      <w:r>
        <w:rPr>
          <w:rFonts w:ascii="Times New Roman" w:eastAsia="Times New Roman" w:hAnsi="Times New Roman" w:cs="Times New Roman"/>
          <w:i/>
          <w:iCs/>
          <w:color w:val="000000"/>
          <w:spacing w:val="0"/>
          <w:w w:val="100"/>
          <w:position w:val="0"/>
          <w:shd w:val="clear" w:color="auto" w:fill="auto"/>
          <w:lang w:val="hr-HR" w:eastAsia="hr-HR" w:bidi="hr-HR"/>
        </w:rPr>
        <w:t>očovje- čcnju</w:t>
      </w:r>
      <w:r>
        <w:rPr>
          <w:rFonts w:ascii="Times New Roman" w:eastAsia="Times New Roman" w:hAnsi="Times New Roman" w:cs="Times New Roman"/>
          <w:color w:val="000000"/>
          <w:spacing w:val="0"/>
          <w:w w:val="100"/>
          <w:position w:val="0"/>
          <w:shd w:val="clear" w:color="auto" w:fill="auto"/>
          <w:lang w:val="hr-HR" w:eastAsia="hr-HR" w:bidi="hr-HR"/>
        </w:rPr>
        <w:t xml:space="preserve"> (inkarnaciji) božanske riječi u Isusu Kristu (usp. Iv 1,1 i d. 14; 1 Iv 1,1; Otk 19,13) zahvaljujemo Novom zavjetu. Obadvije: u »Ti</w:t>
        <w:softHyphen/>
        <w:t xml:space="preserve">jelu« u kojem se Riječ vidljivo pojavila i ona koja se može uhom čuti (usp. Mt 15,6; Lk 5,1 i si.) na isti su način </w:t>
      </w:r>
      <w:r>
        <w:rPr>
          <w:rFonts w:ascii="Times New Roman" w:eastAsia="Times New Roman" w:hAnsi="Times New Roman" w:cs="Times New Roman"/>
          <w:i/>
          <w:iCs/>
          <w:color w:val="000000"/>
          <w:spacing w:val="0"/>
          <w:w w:val="100"/>
          <w:position w:val="0"/>
          <w:shd w:val="clear" w:color="auto" w:fill="auto"/>
          <w:lang w:val="hr-HR" w:eastAsia="hr-HR" w:bidi="hr-HR"/>
        </w:rPr>
        <w:t>Božja riječ</w:t>
      </w:r>
      <w:r>
        <w:rPr>
          <w:rFonts w:ascii="Times New Roman" w:eastAsia="Times New Roman" w:hAnsi="Times New Roman" w:cs="Times New Roman"/>
          <w:color w:val="000000"/>
          <w:spacing w:val="0"/>
          <w:w w:val="100"/>
          <w:position w:val="0"/>
          <w:shd w:val="clear" w:color="auto" w:fill="auto"/>
          <w:lang w:val="hr-HR" w:eastAsia="hr-HR" w:bidi="hr-HR"/>
        </w:rPr>
        <w:t xml:space="preserve"> (usp. 1 Sol 2, 13). Da je na kraju Bog po svome Šinu koji je postao čovjekom konačno i nenadmašivo pro</w:t>
        <w:softHyphen/>
        <w:t>govorio (Heb 1,1), iskonska je novozavjetna poruka.</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Po kršćanskom su shvaćanju biblijska pisma riječ Božja, jer iza njih konačno stoji Božji autoritet. Istodobno su i čovjekova riječ, utoliko što potječu iz pera čovjeka kao pisca. Zajedničko djelovanje božanskog i ljudskog djelovanja kod </w:t>
      </w:r>
      <w:r>
        <w:rPr>
          <w:rFonts w:ascii="Times New Roman" w:eastAsia="Times New Roman" w:hAnsi="Times New Roman" w:cs="Times New Roman"/>
          <w:i/>
          <w:iCs/>
          <w:color w:val="000000"/>
          <w:spacing w:val="0"/>
          <w:w w:val="100"/>
          <w:position w:val="0"/>
          <w:shd w:val="clear" w:color="auto" w:fill="auto"/>
          <w:lang w:val="hr-HR" w:eastAsia="hr-HR" w:bidi="hr-HR"/>
        </w:rPr>
        <w:t>nastanka knjige Božje riječi</w:t>
      </w:r>
      <w:r>
        <w:rPr>
          <w:rFonts w:ascii="Times New Roman" w:eastAsia="Times New Roman" w:hAnsi="Times New Roman" w:cs="Times New Roman"/>
          <w:color w:val="000000"/>
          <w:spacing w:val="0"/>
          <w:w w:val="100"/>
          <w:position w:val="0"/>
          <w:shd w:val="clear" w:color="auto" w:fill="auto"/>
          <w:lang w:val="hr-HR" w:eastAsia="hr-HR" w:bidi="hr-HR"/>
        </w:rPr>
        <w:t xml:space="preserve"> krš</w:t>
        <w:softHyphen/>
        <w:t xml:space="preserve">ćanska teologija naziva inspiracijom koja je svoje posljednje i najviše ispunjenje našla u </w:t>
      </w:r>
      <w:r>
        <w:rPr>
          <w:rFonts w:ascii="Times New Roman" w:eastAsia="Times New Roman" w:hAnsi="Times New Roman" w:cs="Times New Roman"/>
          <w:i/>
          <w:iCs/>
          <w:color w:val="000000"/>
          <w:spacing w:val="0"/>
          <w:w w:val="100"/>
          <w:position w:val="0"/>
          <w:shd w:val="clear" w:color="auto" w:fill="auto"/>
          <w:lang w:val="hr-HR" w:eastAsia="hr-HR" w:bidi="hr-HR"/>
        </w:rPr>
        <w:t>utje</w:t>
        <w:softHyphen/>
        <w:t>lovljenju Božje riječi</w:t>
      </w:r>
      <w:r>
        <w:rPr>
          <w:rFonts w:ascii="Times New Roman" w:eastAsia="Times New Roman" w:hAnsi="Times New Roman" w:cs="Times New Roman"/>
          <w:color w:val="000000"/>
          <w:spacing w:val="0"/>
          <w:w w:val="100"/>
          <w:position w:val="0"/>
          <w:shd w:val="clear" w:color="auto" w:fill="auto"/>
          <w:lang w:val="hr-HR" w:eastAsia="hr-HR" w:bidi="hr-HR"/>
        </w:rPr>
        <w:t xml:space="preserve"> u Isusu Kristu.</w:t>
      </w:r>
    </w:p>
    <w:p>
      <w:pPr>
        <w:pStyle w:val="Style56"/>
        <w:keepNext w:val="0"/>
        <w:keepLines w:val="0"/>
        <w:widowControl w:val="0"/>
        <w:shd w:val="clear" w:color="auto" w:fill="auto"/>
        <w:tabs>
          <w:tab w:pos="2251" w:val="left"/>
        </w:tabs>
        <w:bidi w:val="0"/>
        <w:spacing w:before="0" w:after="180" w:line="240" w:lineRule="auto"/>
        <w:ind w:left="0" w:right="0" w:firstLine="0"/>
        <w:jc w:val="both"/>
      </w:pPr>
      <w:r>
        <w:rPr>
          <w:color w:val="000000"/>
          <w:spacing w:val="0"/>
          <w:w w:val="100"/>
          <w:position w:val="0"/>
          <w:shd w:val="clear" w:color="auto" w:fill="auto"/>
          <w:lang w:val="hr-HR" w:eastAsia="hr-HR" w:bidi="hr-HR"/>
        </w:rPr>
        <w:t xml:space="preserve">Lit: H. Haag (Hrsg ), </w:t>
      </w:r>
      <w:r>
        <w:rPr>
          <w:i/>
          <w:iCs/>
          <w:color w:val="000000"/>
          <w:spacing w:val="0"/>
          <w:w w:val="100"/>
          <w:position w:val="0"/>
          <w:shd w:val="clear" w:color="auto" w:fill="auto"/>
          <w:lang w:val="hr-HR" w:eastAsia="hr-HR" w:bidi="hr-HR"/>
        </w:rPr>
        <w:t>Bibellaakon,</w:t>
      </w:r>
      <w:r>
        <w:rPr>
          <w:color w:val="000000"/>
          <w:spacing w:val="0"/>
          <w:w w:val="100"/>
          <w:position w:val="0"/>
          <w:shd w:val="clear" w:color="auto" w:fill="auto"/>
          <w:lang w:val="hr-HR" w:eastAsia="hr-HR" w:bidi="hr-HR"/>
        </w:rPr>
        <w:t xml:space="preserve"> Zurich/Einsicdcln/Kdln </w:t>
      </w:r>
      <w:r>
        <w:rPr>
          <w:color w:val="000000"/>
          <w:spacing w:val="0"/>
          <w:w w:val="100"/>
          <w:position w:val="0"/>
          <w:shd w:val="clear" w:color="auto" w:fill="auto"/>
          <w:vertAlign w:val="superscript"/>
          <w:lang w:val="hr-HR" w:eastAsia="hr-HR" w:bidi="hr-HR"/>
        </w:rPr>
        <w:t>3</w:t>
      </w:r>
      <w:r>
        <w:rPr>
          <w:color w:val="000000"/>
          <w:spacing w:val="0"/>
          <w:w w:val="100"/>
          <w:position w:val="0"/>
          <w:shd w:val="clear" w:color="auto" w:fill="auto"/>
          <w:lang w:val="hr-HR" w:eastAsia="hr-HR" w:bidi="hr-HR"/>
        </w:rPr>
        <w:t xml:space="preserve">1982,760—777; A. Grabncr-Hciđcr (Hrsg.), </w:t>
      </w:r>
      <w:r>
        <w:rPr>
          <w:i/>
          <w:iCs/>
          <w:color w:val="000000"/>
          <w:spacing w:val="0"/>
          <w:w w:val="100"/>
          <w:position w:val="0"/>
          <w:shd w:val="clear" w:color="auto" w:fill="auto"/>
          <w:lang w:val="hr-HR" w:eastAsia="hr-HR" w:bidi="hr-HR"/>
        </w:rPr>
        <w:t>Prakiisches Bi- Mlejakon,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Frciburg'Da-scl/Wicn </w:t>
      </w:r>
      <w:r>
        <w:rPr>
          <w:color w:val="000000"/>
          <w:spacing w:val="0"/>
          <w:w w:val="100"/>
          <w:position w:val="0"/>
          <w:shd w:val="clear" w:color="auto" w:fill="auto"/>
          <w:lang w:val="hr-HR" w:eastAsia="hr-HR" w:bidi="hr-HR"/>
        </w:rPr>
        <w:t xml:space="preserve">1969, 549-552; L- </w:t>
      </w:r>
      <w:r>
        <w:rPr>
          <w:color w:val="000000"/>
          <w:spacing w:val="0"/>
          <w:w w:val="100"/>
          <w:position w:val="0"/>
          <w:shd w:val="clear" w:color="auto" w:fill="auto"/>
        </w:rPr>
        <w:t xml:space="preserve">Alonso- </w:t>
      </w:r>
      <w:r>
        <w:rPr>
          <w:color w:val="000000"/>
          <w:spacing w:val="0"/>
          <w:w w:val="100"/>
          <w:position w:val="0"/>
          <w:shd w:val="clear" w:color="auto" w:fill="auto"/>
          <w:lang w:val="hr-HR" w:eastAsia="hr-HR" w:bidi="hr-HR"/>
        </w:rPr>
        <w:t xml:space="preserve">Schdckcl, natuknica: </w:t>
      </w:r>
      <w:r>
        <w:rPr>
          <w:color w:val="000000"/>
          <w:spacing w:val="0"/>
          <w:w w:val="100"/>
          <w:position w:val="0"/>
          <w:shd w:val="clear" w:color="auto" w:fill="auto"/>
        </w:rPr>
        <w:t xml:space="preserve">Inspiration,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 xml:space="preserve">Sacramtntum </w:t>
      </w:r>
      <w:r>
        <w:rPr>
          <w:i/>
          <w:iCs/>
          <w:color w:val="000000"/>
          <w:spacing w:val="0"/>
          <w:w w:val="100"/>
          <w:position w:val="0"/>
          <w:shd w:val="clear" w:color="auto" w:fill="auto"/>
        </w:rPr>
        <w:t xml:space="preserve">Mundi, </w:t>
      </w:r>
      <w:r>
        <w:rPr>
          <w:color w:val="000000"/>
          <w:spacing w:val="0"/>
          <w:w w:val="100"/>
          <w:position w:val="0"/>
          <w:shd w:val="clear" w:color="auto" w:fill="auto"/>
          <w:lang w:val="hr-HR" w:eastAsia="hr-HR" w:bidi="hr-HR"/>
        </w:rPr>
        <w:t xml:space="preserve">Bd. 2, Frciburg/BascJAVien 1968, 847-860; L. Hagcmann, </w:t>
      </w:r>
      <w:r>
        <w:rPr>
          <w:i/>
          <w:iCs/>
          <w:color w:val="000000"/>
          <w:spacing w:val="0"/>
          <w:w w:val="100"/>
          <w:position w:val="0"/>
          <w:shd w:val="clear" w:color="auto" w:fill="auto"/>
          <w:lang w:val="hr-HR" w:eastAsia="hr-HR" w:bidi="hr-HR"/>
        </w:rPr>
        <w:t xml:space="preserve">Chriuemum. Fi&lt;r das Gesprach </w:t>
      </w:r>
      <w:r>
        <w:rPr>
          <w:i/>
          <w:iCs/>
          <w:color w:val="000000"/>
          <w:spacing w:val="0"/>
          <w:w w:val="100"/>
          <w:position w:val="0"/>
          <w:shd w:val="clear" w:color="auto" w:fill="auto"/>
        </w:rPr>
        <w:t xml:space="preserve">mil </w:t>
      </w:r>
      <w:r>
        <w:rPr>
          <w:i/>
          <w:iCs/>
          <w:color w:val="000000"/>
          <w:spacing w:val="0"/>
          <w:w w:val="100"/>
          <w:position w:val="0"/>
          <w:shd w:val="clear" w:color="auto" w:fill="auto"/>
          <w:lang w:val="hr-HR" w:eastAsia="hr-HR" w:bidi="hr-HR"/>
        </w:rPr>
        <w:t>Muslimen,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Altenberge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1984.29-31.</w:t>
        <w:tab/>
        <w:t>L KAGEMANN</w:t>
      </w:r>
    </w:p>
    <w:p>
      <w:pPr>
        <w:pStyle w:val="Style63"/>
        <w:keepNext/>
        <w:keepLines/>
        <w:widowControl w:val="0"/>
        <w:numPr>
          <w:ilvl w:val="0"/>
          <w:numId w:val="171"/>
        </w:numPr>
        <w:shd w:val="clear" w:color="auto" w:fill="auto"/>
        <w:tabs>
          <w:tab w:pos="260" w:val="left"/>
        </w:tabs>
        <w:bidi w:val="0"/>
        <w:spacing w:before="0" w:after="80"/>
        <w:ind w:left="0" w:right="0" w:firstLine="0"/>
        <w:jc w:val="both"/>
      </w:pPr>
      <w:bookmarkStart w:id="126" w:name="bookmark126"/>
      <w:r>
        <w:rPr>
          <w:rFonts w:ascii="Times New Roman" w:eastAsia="Times New Roman" w:hAnsi="Times New Roman" w:cs="Times New Roman"/>
          <w:color w:val="000000"/>
          <w:spacing w:val="0"/>
          <w:w w:val="100"/>
          <w:position w:val="0"/>
          <w:shd w:val="clear" w:color="auto" w:fill="auto"/>
          <w:lang w:val="hr-HR" w:eastAsia="hr-HR" w:bidi="hr-HR"/>
        </w:rPr>
        <w:t>islamski</w:t>
      </w:r>
      <w:bookmarkEnd w:id="126"/>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 islamskome shvaćanju, i. je jedna posebna vrsta Božje objave kojom ljudi čista srca mogu nadahnućem primiti spoznaju. Iako stečena </w:t>
      </w:r>
      <w:r>
        <w:rPr>
          <w:rFonts w:ascii="Times New Roman" w:eastAsia="Times New Roman" w:hAnsi="Times New Roman" w:cs="Times New Roman"/>
          <w:color w:val="000000"/>
          <w:spacing w:val="0"/>
          <w:w w:val="100"/>
          <w:position w:val="0"/>
          <w:shd w:val="clear" w:color="auto" w:fill="auto"/>
          <w:lang w:val="hr-HR" w:eastAsia="hr-HR" w:bidi="hr-HR"/>
        </w:rPr>
        <w:t>znanja nisu posljedice nekoga procesa mišljenja i stoga se izmiču pitanjima »Kako?«, »Otku</w:t>
        <w:softHyphen/>
        <w:t>da?« i »Zašto?«. Ona su jednostavno dar iz punine božanske mudrosti. Sadržaju inspira</w:t>
        <w:softHyphen/>
        <w:t>cije ne pripada nikakav općenito važeći i ob</w:t>
        <w:softHyphen/>
        <w:t xml:space="preserve">vezatni karakter. Razlika spram </w:t>
      </w:r>
      <w:r>
        <w:rPr>
          <w:rFonts w:ascii="Times New Roman" w:eastAsia="Times New Roman" w:hAnsi="Times New Roman" w:cs="Times New Roman"/>
          <w:i/>
          <w:iCs/>
          <w:color w:val="000000"/>
          <w:spacing w:val="0"/>
          <w:w w:val="100"/>
          <w:position w:val="0"/>
          <w:shd w:val="clear" w:color="auto" w:fill="auto"/>
          <w:lang w:val="hr-HR" w:eastAsia="hr-HR" w:bidi="hr-HR"/>
        </w:rPr>
        <w:t>wahy,</w:t>
      </w:r>
      <w:r>
        <w:rPr>
          <w:rFonts w:ascii="Times New Roman" w:eastAsia="Times New Roman" w:hAnsi="Times New Roman" w:cs="Times New Roman"/>
          <w:color w:val="000000"/>
          <w:spacing w:val="0"/>
          <w:w w:val="100"/>
          <w:position w:val="0"/>
          <w:shd w:val="clear" w:color="auto" w:fill="auto"/>
          <w:lang w:val="hr-HR" w:eastAsia="hr-HR" w:bidi="hr-HR"/>
        </w:rPr>
        <w:t xml:space="preserve"> tj. spram objave usmjerene na nekoga proroka ili Božjega poslanika, sastoji se u tome da ova zadnja vrsta objave sadrži poruku koja obve</w:t>
        <w:softHyphen/>
        <w:t>zuje na djelovanje. Od inspiracije, koja načel</w:t>
        <w:softHyphen/>
        <w:t>no posreduje spoznaje iz područja pozitivnih vrijednosti, razlikuje se demonski nagovor (tvastvasa). No on se ipak prije razumije kao suprotnost proročkoj objavi negoli kao suprot</w:t>
        <w:softHyphen/>
        <w:t>nost inspiraciji.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Primatelje inspiracije puk smatra svecima. Bi</w:t>
        <w:softHyphen/>
        <w:t>lo je sufija (mistika) koji su se pobliže bavili istinosnim sadržajem i obvezujućom vrijednoš</w:t>
        <w:softHyphen/>
        <w:t>ću inspiracije. Neki od njih smatraju da i. ne bi mogla zasnovati nikakvu sigurnu spoznaju. No većina ipak zastupa shvaćanje da ona njezi</w:t>
        <w:softHyphen/>
        <w:t xml:space="preserve">nu primatelju svakako pruža neku sigurnost, da nasuprot općenitosti ipak potrebuje veću uvjerljivost i argumente. U Kuranu se samo jednom pojavljuje izraz </w:t>
      </w:r>
      <w:r>
        <w:rPr>
          <w:rFonts w:ascii="Times New Roman" w:eastAsia="Times New Roman" w:hAnsi="Times New Roman" w:cs="Times New Roman"/>
          <w:i/>
          <w:iCs/>
          <w:color w:val="000000"/>
          <w:spacing w:val="0"/>
          <w:w w:val="100"/>
          <w:position w:val="0"/>
          <w:shd w:val="clear" w:color="auto" w:fill="auto"/>
          <w:lang w:val="hr-HR" w:eastAsia="hr-HR" w:bidi="hr-HR"/>
        </w:rPr>
        <w:t>ilham</w:t>
      </w:r>
      <w:r>
        <w:rPr>
          <w:rFonts w:ascii="Times New Roman" w:eastAsia="Times New Roman" w:hAnsi="Times New Roman" w:cs="Times New Roman"/>
          <w:color w:val="000000"/>
          <w:spacing w:val="0"/>
          <w:w w:val="100"/>
          <w:position w:val="0"/>
          <w:shd w:val="clear" w:color="auto" w:fill="auto"/>
          <w:lang w:val="hr-HR" w:eastAsia="hr-HR" w:bidi="hr-HR"/>
        </w:rPr>
        <w:t xml:space="preserve"> koji se u islam</w:t>
        <w:softHyphen/>
        <w:t>skoj teologiji koristi za inspiraciju. Dotični stih (9,18) ima kontroverzno značenje. I. pjes</w:t>
        <w:softHyphen/>
        <w:t>nika i drugih umjetnika nema nikakvu religioz</w:t>
        <w:softHyphen/>
        <w:t>nu relevantnost. Za nju se također rabe drugi izrazi.</w:t>
      </w:r>
    </w:p>
    <w:p>
      <w:pPr>
        <w:pStyle w:val="Style56"/>
        <w:keepNext w:val="0"/>
        <w:keepLines w:val="0"/>
        <w:widowControl w:val="0"/>
        <w:shd w:val="clear" w:color="auto" w:fill="auto"/>
        <w:tabs>
          <w:tab w:pos="2525" w:val="left"/>
        </w:tabs>
        <w:bidi w:val="0"/>
        <w:spacing w:before="0" w:after="280" w:line="240" w:lineRule="auto"/>
        <w:ind w:left="0" w:right="0" w:firstLine="0"/>
        <w:jc w:val="both"/>
        <w:rPr>
          <w:sz w:val="15"/>
          <w:szCs w:val="15"/>
        </w:rPr>
      </w:pPr>
      <w:r>
        <w:rPr>
          <w:color w:val="000000"/>
          <w:spacing w:val="0"/>
          <w:w w:val="100"/>
          <w:position w:val="0"/>
          <w:sz w:val="12"/>
          <w:szCs w:val="12"/>
          <w:shd w:val="clear" w:color="auto" w:fill="auto"/>
          <w:lang w:val="hr-HR" w:eastAsia="hr-HR" w:bidi="hr-HR"/>
        </w:rPr>
        <w:t>Lit.: natuknica Ilham. u: Hl, 203-204.</w:t>
        <w:tab/>
        <w:t xml:space="preserve">s. </w:t>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ualič</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ISLAM</w:t>
      </w:r>
    </w:p>
    <w:p>
      <w:pPr>
        <w:pStyle w:val="Style63"/>
        <w:keepNext/>
        <w:keepLines/>
        <w:widowControl w:val="0"/>
        <w:numPr>
          <w:ilvl w:val="0"/>
          <w:numId w:val="173"/>
        </w:numPr>
        <w:shd w:val="clear" w:color="auto" w:fill="auto"/>
        <w:tabs>
          <w:tab w:pos="250" w:val="left"/>
        </w:tabs>
        <w:bidi w:val="0"/>
        <w:spacing w:before="0"/>
        <w:ind w:left="0" w:right="0" w:firstLine="0"/>
        <w:jc w:val="both"/>
      </w:pPr>
      <w:bookmarkStart w:id="127" w:name="bookmark127"/>
      <w:r>
        <w:rPr>
          <w:rFonts w:ascii="Times New Roman" w:eastAsia="Times New Roman" w:hAnsi="Times New Roman" w:cs="Times New Roman"/>
          <w:color w:val="000000"/>
          <w:spacing w:val="0"/>
          <w:w w:val="100"/>
          <w:position w:val="0"/>
          <w:shd w:val="clear" w:color="auto" w:fill="auto"/>
          <w:lang w:val="hr-HR" w:eastAsia="hr-HR" w:bidi="hr-HR"/>
        </w:rPr>
        <w:t>židovski</w:t>
      </w:r>
      <w:bookmarkEnd w:id="127"/>
    </w:p>
    <w:p>
      <w:pPr>
        <w:pStyle w:val="Style20"/>
        <w:keepNext w:val="0"/>
        <w:keepLines w:val="0"/>
        <w:widowControl w:val="0"/>
        <w:shd w:val="clear" w:color="auto" w:fill="auto"/>
        <w:bidi w:val="0"/>
        <w:spacing w:before="0" w:after="100"/>
        <w:ind w:left="0" w:right="0" w:firstLine="0"/>
        <w:jc w:val="both"/>
        <w:sectPr>
          <w:headerReference w:type="default" r:id="rId521"/>
          <w:footerReference w:type="default" r:id="rId522"/>
          <w:headerReference w:type="even" r:id="rId523"/>
          <w:footerReference w:type="even" r:id="rId524"/>
          <w:footnotePr>
            <w:pos w:val="pageBottom"/>
            <w:numFmt w:val="decimal"/>
            <w:numStart w:val="5"/>
            <w:numRestart w:val="continuous"/>
            <w15:footnoteColumns w:val="1"/>
          </w:footnotePr>
          <w:type w:val="continuous"/>
          <w:pgSz w:w="6816" w:h="11006"/>
          <w:pgMar w:top="987" w:left="169" w:right="172" w:bottom="443" w:header="0" w:footer="15"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Širina horizonta proizlazi iz posebnog oblika molitve Osamnaest blagoslova za blagdan No</w:t>
        <w:softHyphen/>
        <w:t>ve godine i za Dan pomirenja: «I usadi strah od Tebe, Vječni, naš Bože, na sva tvoja djela i neka drhti pred Tobom sve što si stvorio..., kada znamo... da vlast dolazi od Tebe... i da se Tvoje ime uzdiže iznad svega što si stvo</w:t>
        <w:softHyphen/>
        <w:t>rio.« Židovstvo gleda iz povijesne stiješnje</w:t>
        <w:softHyphen/>
        <w:t>nosti u univerzalnu budućnost i time na cijelo čovječanstvo. Istaknuta crta njegove religije, naglašavanje moralnoga čina, opire se svakom ograničenom sudu o drugoj religiji. S uvaža</w:t>
        <w:softHyphen/>
        <w:t>vanjem se susreće sa starom poganskom mu</w:t>
        <w:softHyphen/>
        <w:t>drošću: »Sveti, hvaljen bio, daje mudrost sa</w:t>
        <w:softHyphen/>
        <w:t>mo onomu tko već posjeduje mudrost« (b Be- rahot 55a). Svijest o vlastitoj vrijednosti daje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 slobodu da pravedno ocijeni druge reli</w:t>
        <w:softHyphen/>
        <w:t>gije. Židovstvo je priznalo značenje i poslanje islama u svjetskoj povijesti da »među naro</w:t>
        <w:softHyphen/>
        <w:t xml:space="preserve">dima širi monoteizam« </w:t>
      </w:r>
      <w:r>
        <w:rPr>
          <w:rFonts w:ascii="Times New Roman" w:eastAsia="Times New Roman" w:hAnsi="Times New Roman" w:cs="Times New Roman"/>
          <w:color w:val="000000"/>
          <w:spacing w:val="0"/>
          <w:w w:val="100"/>
          <w:position w:val="0"/>
          <w:shd w:val="clear" w:color="auto" w:fill="auto"/>
          <w:lang w:val="en-US" w:eastAsia="en-US" w:bidi="en-US"/>
        </w:rPr>
        <w:t xml:space="preserve">(Hermann Cohen, </w:t>
      </w:r>
      <w:r>
        <w:rPr>
          <w:rFonts w:ascii="Times New Roman" w:eastAsia="Times New Roman" w:hAnsi="Times New Roman" w:cs="Times New Roman"/>
          <w:i/>
          <w:iCs/>
          <w:color w:val="000000"/>
          <w:spacing w:val="0"/>
          <w:w w:val="100"/>
          <w:position w:val="0"/>
          <w:shd w:val="clear" w:color="auto" w:fill="auto"/>
          <w:lang w:val="en-US" w:eastAsia="en-US" w:bidi="en-US"/>
        </w:rPr>
        <w:t>Re</w:t>
        <w:softHyphen/>
        <w:t xml:space="preserve">ligion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Vemunft aus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den Quellen des </w:t>
      </w:r>
      <w:r>
        <w:rPr>
          <w:rFonts w:ascii="Times New Roman" w:eastAsia="Times New Roman" w:hAnsi="Times New Roman" w:cs="Times New Roman"/>
          <w:i/>
          <w:iCs/>
          <w:color w:val="000000"/>
          <w:spacing w:val="0"/>
          <w:w w:val="100"/>
          <w:position w:val="0"/>
          <w:shd w:val="clear" w:color="auto" w:fill="auto"/>
          <w:lang w:val="hr-HR" w:eastAsia="hr-HR" w:bidi="hr-HR"/>
        </w:rPr>
        <w:t>Juden- tums,</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1928, 1978, 280). To potvrđuju izjave njegovih velikih srednjovjekovnih mislilaca. Oni ističu da i. i kršćanstvo »pripremaju za mesijansko vrijeme i da vode prema njemu«, da su »pozvani utirati put kraljevstvu Božjem« te da je zasluga jednog i drugog da »riječi Svetoga pisma dopiru do kraja svijeta« (Jc- </w:t>
      </w:r>
      <w:r>
        <w:rPr>
          <w:rFonts w:ascii="Times New Roman" w:eastAsia="Times New Roman" w:hAnsi="Times New Roman" w:cs="Times New Roman"/>
          <w:color w:val="000000"/>
          <w:spacing w:val="0"/>
          <w:w w:val="100"/>
          <w:position w:val="0"/>
          <w:shd w:val="clear" w:color="auto" w:fill="auto"/>
          <w:lang w:val="en-US" w:eastAsia="en-US" w:bidi="en-US"/>
        </w:rPr>
        <w:t xml:space="preserve">huda Halevi, </w:t>
      </w:r>
      <w:r>
        <w:rPr>
          <w:rFonts w:ascii="Times New Roman" w:eastAsia="Times New Roman" w:hAnsi="Times New Roman" w:cs="Times New Roman"/>
          <w:i/>
          <w:iCs/>
          <w:color w:val="000000"/>
          <w:spacing w:val="0"/>
          <w:w w:val="100"/>
          <w:position w:val="0"/>
          <w:shd w:val="clear" w:color="auto" w:fill="auto"/>
          <w:lang w:val="hr-HR" w:eastAsia="hr-HR" w:bidi="hr-HR"/>
        </w:rPr>
        <w:t>Knjiga o Hazaru IV,</w:t>
      </w:r>
      <w:r>
        <w:rPr>
          <w:rFonts w:ascii="Times New Roman" w:eastAsia="Times New Roman" w:hAnsi="Times New Roman" w:cs="Times New Roman"/>
          <w:color w:val="000000"/>
          <w:spacing w:val="0"/>
          <w:w w:val="100"/>
          <w:position w:val="0"/>
          <w:shd w:val="clear" w:color="auto" w:fill="auto"/>
          <w:lang w:val="hr-HR" w:eastAsia="hr-HR" w:bidi="hr-HR"/>
        </w:rPr>
        <w:t xml:space="preserve"> 23; Moše ben Maimon, </w:t>
      </w:r>
      <w:r>
        <w:rPr>
          <w:rFonts w:ascii="Times New Roman" w:eastAsia="Times New Roman" w:hAnsi="Times New Roman" w:cs="Times New Roman"/>
          <w:i/>
          <w:iCs/>
          <w:color w:val="000000"/>
          <w:spacing w:val="0"/>
          <w:w w:val="100"/>
          <w:position w:val="0"/>
          <w:shd w:val="clear" w:color="auto" w:fill="auto"/>
          <w:lang w:val="hr-HR" w:eastAsia="hr-HR" w:bidi="hr-HR"/>
        </w:rPr>
        <w:t>Mišne Tora,</w:t>
      </w:r>
      <w:r>
        <w:rPr>
          <w:rFonts w:ascii="Times New Roman" w:eastAsia="Times New Roman" w:hAnsi="Times New Roman" w:cs="Times New Roman"/>
          <w:color w:val="000000"/>
          <w:spacing w:val="0"/>
          <w:w w:val="100"/>
          <w:position w:val="0"/>
          <w:shd w:val="clear" w:color="auto" w:fill="auto"/>
          <w:lang w:val="hr-HR" w:eastAsia="hr-HR" w:bidi="hr-HR"/>
        </w:rPr>
        <w:t xml:space="preserve"> Hilhot melahim </w:t>
      </w:r>
      <w:r>
        <w:rPr>
          <w:rFonts w:ascii="Times New Roman" w:eastAsia="Times New Roman" w:hAnsi="Times New Roman" w:cs="Times New Roman"/>
          <w:color w:val="000000"/>
          <w:spacing w:val="0"/>
          <w:w w:val="100"/>
          <w:position w:val="0"/>
          <w:shd w:val="clear" w:color="auto" w:fill="auto"/>
          <w:lang w:val="en-US" w:eastAsia="en-US" w:bidi="en-US"/>
        </w:rPr>
        <w:t>XI.4).</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Franz Rosenzwcig </w:t>
      </w:r>
      <w:r>
        <w:rPr>
          <w:rFonts w:ascii="Times New Roman" w:eastAsia="Times New Roman" w:hAnsi="Times New Roman" w:cs="Times New Roman"/>
          <w:color w:val="000000"/>
          <w:spacing w:val="0"/>
          <w:w w:val="100"/>
          <w:position w:val="0"/>
          <w:shd w:val="clear" w:color="auto" w:fill="auto"/>
          <w:lang w:val="hr-HR" w:eastAsia="hr-HR" w:bidi="hr-HR"/>
        </w:rPr>
        <w:t>utvrdio je razlike s vlasti</w:t>
        <w:softHyphen/>
        <w:t xml:space="preserve">tom religijom: »I. ima samo objavu, a nema proricanje. Stoga čudo objave kod njega nije ‘znak’, Kuran nije objava učinkovite božanske providnosti u stvaranju »spasenjskoga plana« nego čudo po sebi... On se ne legitimira kao čudo svojim proročanstvom nego svojom ne- razjašnjivošču«, dok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svoje podrijetlo od Boga potvrđuje teoretski i povezanošču s hebrejskom Biblijom »općim potvrđenim lo</w:t>
        <w:softHyphen/>
        <w:t>gičkim slijedom«. »Preuzevši prividno pojmo</w:t>
        <w:softHyphen/>
        <w:t>ve objave, Muhamed se nužno zaustavio na poganstvu u temeljnim pojmovima stvaranja. Naime, on nije shvatio vezu objave sa stvara</w:t>
        <w:softHyphen/>
        <w:t>njem.« Ako je rabinska teologija Božju stvara</w:t>
        <w:softHyphen/>
        <w:t>lačku moć oblikovala u pitanju »da li je Bog stvarao svijet zbog pravde, a ne iz ljubavi«, tada se prema Kuranu Stvoriteljeva moć po</w:t>
        <w:softHyphen/>
        <w:t>kazala kao »moć istočnjačkoga vladara, ne u stvaranju potrebnoga, ne u ovlaštenju da do</w:t>
        <w:softHyphen/>
        <w:t xml:space="preserve">nosi zakon, nego u slobodi samovoljnog čina«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Erldsung,</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1976, 129 i d.j. Pre</w:t>
        <w:softHyphen/>
        <w:t>ma židovskom shvaćanju, »Božji su putovi... vladavina Božje odluke daleko iznad ljudskog događanja. Međutim, hodanje Alahovim pu</w:t>
        <w:softHyphen/>
        <w:t>tom znači, u najužem smislu, širenje islama vjerskim ratom«, »Alahov put znači neposred</w:t>
        <w:softHyphen/>
        <w:t>no put njegovih vjernika. To je put posluš</w:t>
        <w:softHyphen/>
        <w:t>nosti. U tome se on razlikuje, više od svojega sadržaja, od ljubavi prema bližnjemu« (op. cit. 240).</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 židovskoga stajališta, razgraničenje počinje već s činjenicom što se Izrael susreo s proro</w:t>
        <w:softHyphen/>
        <w:t>cima usmjeravajući ih prema povijesti ili ih vraćajući u povijest, a ni jedan od njih nije uveo rad na religiji niti ga je cksplicitno za</w:t>
        <w:softHyphen/>
        <w:t>vršio. Nasuprot tomu, u islamu se prekida naj</w:t>
        <w:softHyphen/>
      </w:r>
      <w:r>
        <w:rPr>
          <w:rFonts w:ascii="Times New Roman" w:eastAsia="Times New Roman" w:hAnsi="Times New Roman" w:cs="Times New Roman"/>
          <w:color w:val="000000"/>
          <w:spacing w:val="0"/>
          <w:w w:val="100"/>
          <w:position w:val="0"/>
          <w:shd w:val="clear" w:color="auto" w:fill="auto"/>
          <w:lang w:val="hr-HR" w:eastAsia="hr-HR" w:bidi="hr-HR"/>
        </w:rPr>
        <w:t>važniji proces razvitka već u samom početku, jer je njegovo proroštvo počelo i završilo u jednom proroku. Izrael poznaje samo čitav niz ravnopravnih učitelja; ni jedan nije dao niti prikazao cjelinu. Naprotiv, u islamu je pu</w:t>
        <w:softHyphen/>
        <w:t>nina religije obuhvaćena u tom pojedincu. S druge strane, i. se slaže s Izraclovom vjerom, jer i on gleda religijsku budućnost čovječan</w:t>
        <w:softHyphen/>
        <w:t>stva u svjetlu vlastite religije. Naime, židov</w:t>
        <w:softHyphen/>
        <w:t>stvo čeka svoje povijesno ispunjenje tek u uni</w:t>
        <w:softHyphen/>
        <w:t xml:space="preserve">verzalnom Božjem kraljevstvu koje obuhvaća sve ljude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E. </w:t>
      </w:r>
      <w:r>
        <w:rPr>
          <w:color w:val="000000"/>
          <w:spacing w:val="0"/>
          <w:w w:val="100"/>
          <w:position w:val="0"/>
          <w:shd w:val="clear" w:color="auto" w:fill="auto"/>
        </w:rPr>
        <w:t xml:space="preserve">I. Rosenthal. </w:t>
      </w:r>
      <w:r>
        <w:rPr>
          <w:b/>
          <w:bCs/>
          <w:i/>
          <w:iCs/>
          <w:color w:val="000000"/>
          <w:spacing w:val="0"/>
          <w:w w:val="100"/>
          <w:position w:val="0"/>
          <w:sz w:val="9"/>
          <w:szCs w:val="9"/>
          <w:shd w:val="clear" w:color="auto" w:fill="auto"/>
        </w:rPr>
        <w:t>Judaism and Islam,</w:t>
      </w:r>
      <w:r>
        <w:rPr>
          <w:color w:val="000000"/>
          <w:spacing w:val="0"/>
          <w:w w:val="100"/>
          <w:position w:val="0"/>
          <w:shd w:val="clear" w:color="auto" w:fill="auto"/>
        </w:rPr>
        <w:t xml:space="preserve"> 1961.</w:t>
      </w:r>
    </w:p>
    <w:p>
      <w:pPr>
        <w:pStyle w:val="Style74"/>
        <w:keepNext w:val="0"/>
        <w:keepLines w:val="0"/>
        <w:widowControl w:val="0"/>
        <w:shd w:val="clear" w:color="auto" w:fill="auto"/>
        <w:bidi w:val="0"/>
        <w:spacing w:before="0" w:line="192" w:lineRule="auto"/>
        <w:ind w:left="0" w:right="0" w:firstLine="0"/>
        <w:jc w:val="right"/>
      </w:pPr>
      <w:r>
        <w:rPr>
          <w:rFonts w:ascii="Times New Roman" w:eastAsia="Times New Roman" w:hAnsi="Times New Roman" w:cs="Times New Roman"/>
          <w:b w:val="0"/>
          <w:bCs w:val="0"/>
          <w:smallCaps/>
          <w:color w:val="000000"/>
          <w:spacing w:val="0"/>
          <w:w w:val="100"/>
          <w:position w:val="0"/>
          <w:sz w:val="15"/>
          <w:szCs w:val="15"/>
          <w:shd w:val="clear" w:color="auto" w:fill="auto"/>
          <w:lang w:val="hr-HR" w:eastAsia="hr-HR" w:bidi="hr-HR"/>
        </w:rPr>
        <w:t>đ.</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vrriLR</w:t>
      </w:r>
    </w:p>
    <w:p>
      <w:pPr>
        <w:pStyle w:val="Style63"/>
        <w:keepNext/>
        <w:keepLines/>
        <w:widowControl w:val="0"/>
        <w:shd w:val="clear" w:color="auto" w:fill="auto"/>
        <w:bidi w:val="0"/>
        <w:spacing w:before="0" w:line="223" w:lineRule="auto"/>
        <w:ind w:left="0" w:right="0" w:firstLine="0"/>
        <w:jc w:val="both"/>
      </w:pPr>
      <w:bookmarkStart w:id="128" w:name="bookmark128"/>
      <w:r>
        <w:rPr>
          <w:rFonts w:ascii="Times New Roman" w:eastAsia="Times New Roman" w:hAnsi="Times New Roman" w:cs="Times New Roman"/>
          <w:color w:val="000000"/>
          <w:spacing w:val="0"/>
          <w:w w:val="100"/>
          <w:position w:val="0"/>
          <w:shd w:val="clear" w:color="auto" w:fill="auto"/>
          <w:lang w:val="hr-HR" w:eastAsia="hr-HR" w:bidi="hr-HR"/>
        </w:rPr>
        <w:t>2. kršćanski</w:t>
      </w:r>
      <w:bookmarkEnd w:id="12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Nastup islama značio je za kršćansku teolo</w:t>
        <w:softHyphen/>
        <w:t>giju presudnu usjeklinu u njezinu tumačenju izvan kršćanske povijesti religija. Univerzalno shvaćanje povijesti spasenja koje su zastupali starocrkveni apologeti, a koje je i u ostalim re</w:t>
        <w:softHyphen/>
        <w:t>ligijama posijalo sjeme spoznaje, bilo je uzdr</w:t>
        <w:softHyphen/>
        <w:t xml:space="preserve">mano nastupom islama. Učenje o »kao sjeme raspršenom Logosu« (grč.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spermatikos) sadržavalo je misao da se elementi istine na</w:t>
        <w:softHyphen/>
        <w:t>laze i kod razumnih »pogana« (—&gt; Pogani), npr. u filozofiji Indijaca, Perzijanaca, Egipća</w:t>
        <w:softHyphen/>
        <w:t xml:space="preserve">na i Grka, ali da se kao cijeli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 xml:space="preserve">(grč. pas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istina ipak pojavila u Kristu. Ova ideja o prirodnoj religiji omogućila je umetanje po</w:t>
        <w:softHyphen/>
        <w:t>vijesti predaje u opću religijsku povijest. Krš</w:t>
        <w:softHyphen/>
        <w:t xml:space="preserve">ćanska teologija nije više mogla susretati ovu novu »post </w:t>
      </w:r>
      <w:r>
        <w:rPr>
          <w:rFonts w:ascii="Times New Roman" w:eastAsia="Times New Roman" w:hAnsi="Times New Roman" w:cs="Times New Roman"/>
          <w:color w:val="000000"/>
          <w:spacing w:val="0"/>
          <w:w w:val="100"/>
          <w:position w:val="0"/>
          <w:shd w:val="clear" w:color="auto" w:fill="auto"/>
          <w:lang w:val="en-US" w:eastAsia="en-US" w:bidi="en-US"/>
        </w:rPr>
        <w:t xml:space="preserve">Christum </w:t>
      </w:r>
      <w:r>
        <w:rPr>
          <w:rFonts w:ascii="Times New Roman" w:eastAsia="Times New Roman" w:hAnsi="Times New Roman" w:cs="Times New Roman"/>
          <w:color w:val="000000"/>
          <w:spacing w:val="0"/>
          <w:w w:val="100"/>
          <w:position w:val="0"/>
          <w:shd w:val="clear" w:color="auto" w:fill="auto"/>
          <w:lang w:val="hr-HR" w:eastAsia="hr-HR" w:bidi="hr-HR"/>
        </w:rPr>
        <w:t>natum« svjetsku religiju kroz stari apologetski model mišljenja. 1. je upravo poricao pravo kršćanske Crkve da bude ispunjenje svekolike dotadašnje povijes</w:t>
        <w:softHyphen/>
        <w:t xml:space="preserve">ti spasenja i promatrao je kršćanstvo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svoj </w:t>
      </w:r>
      <w:r>
        <w:rPr>
          <w:rFonts w:ascii="Times New Roman" w:eastAsia="Times New Roman" w:hAnsi="Times New Roman" w:cs="Times New Roman"/>
          <w:color w:val="000000"/>
          <w:spacing w:val="0"/>
          <w:w w:val="100"/>
          <w:position w:val="0"/>
          <w:shd w:val="clear" w:color="auto" w:fill="auto"/>
          <w:lang w:val="hr-HR" w:eastAsia="hr-HR" w:bidi="hr-HR"/>
        </w:rPr>
        <w:t>predstupanj. Islamsko osvajanje naišlo je na slab otpor kršćanske zajednice na arapskom poluotoku, jer su pojedinačne crkve bile me</w:t>
        <w:softHyphen/>
        <w:t>đusobno razjedinjene. Zapađnosirijski Ara- mcjci i Kopti kao monofiziti nisu bili priznati od bizantske državne Crkve i bili su podčinje</w:t>
        <w:softHyphen/>
        <w:t>ni. Nestorijanci su također iz straha od bizant</w:t>
        <w:softHyphen/>
        <w:t>skog progona tražili utočište kod Sasanida. Stoga su se muslimani često smatrali oslobo</w:t>
        <w:softHyphen/>
        <w:t>diteljima. Uz to su monofizitski Gasanidi i nc- storijanski Lahmidi na rubu Bizantskog i Per</w:t>
        <w:softHyphen/>
        <w:t>zijskog Carstva oblikovali kneževine i bili do</w:t>
        <w:softHyphen/>
        <w:t xml:space="preserve">bro poznati i povezani s /Arapima.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Europsko </w:t>
      </w:r>
      <w:r>
        <w:rPr>
          <w:rFonts w:ascii="Times New Roman" w:eastAsia="Times New Roman" w:hAnsi="Times New Roman" w:cs="Times New Roman"/>
          <w:color w:val="000000"/>
          <w:spacing w:val="0"/>
          <w:w w:val="100"/>
          <w:position w:val="0"/>
          <w:shd w:val="clear" w:color="auto" w:fill="auto"/>
          <w:lang w:val="hr-HR" w:eastAsia="hr-HR" w:bidi="hr-HR"/>
        </w:rPr>
        <w:t xml:space="preserve">kršćanstvo osjećalo je i. kao prijetnju kada su se njegova osvajanja protegnula preko arap- </w:t>
      </w:r>
      <w:r>
        <w:rPr>
          <w:rFonts w:ascii="Times New Roman" w:eastAsia="Times New Roman" w:hAnsi="Times New Roman" w:cs="Times New Roman"/>
          <w:color w:val="000000"/>
          <w:spacing w:val="0"/>
          <w:w w:val="100"/>
          <w:position w:val="0"/>
          <w:shd w:val="clear" w:color="auto" w:fill="auto"/>
          <w:lang w:val="en-US" w:eastAsia="en-US" w:bidi="en-US"/>
        </w:rPr>
        <w:t xml:space="preserve">ske </w:t>
      </w:r>
      <w:r>
        <w:rPr>
          <w:rFonts w:ascii="Times New Roman" w:eastAsia="Times New Roman" w:hAnsi="Times New Roman" w:cs="Times New Roman"/>
          <w:color w:val="000000"/>
          <w:spacing w:val="0"/>
          <w:w w:val="100"/>
          <w:position w:val="0"/>
          <w:shd w:val="clear" w:color="auto" w:fill="auto"/>
          <w:lang w:val="hr-HR" w:eastAsia="hr-HR" w:bidi="hr-HR"/>
        </w:rPr>
        <w:t>iskonske zemlje daleko prema zapadu. Taj osjećaj straha stoljećima je obilježio krš</w:t>
        <w:softHyphen/>
        <w:t>ćansku svijest sve do danas i znatno je otežao teološko približavanje. Doduše, arapski na</w:t>
        <w:softHyphen/>
        <w:t>pad uspješno su odbili Franci kod Toursa i Poitiersa (732) i na kraju se uspjela ponovno zadobiti Španjolska. No sve to nije ništa pro</w:t>
        <w:softHyphen/>
        <w:t>mijenilo na činjenici da su prastara kršćanska područja bila zauvijek izgubljena. Kršćansku skolastiku srednjega vijeka može se djelomič</w:t>
        <w:softHyphen/>
        <w:t>no razumjeti kao odgovor na taj islamski iza</w:t>
        <w:softHyphen/>
        <w:t>zov. Brojčano znatna skupina ranih bizantskih teologa pridružila je i. židovstvu i istaknula je ono što je teološki bilo zajedničko i čak je izričito naglasila vrijednost islama. Srednjovje</w:t>
        <w:softHyphen/>
        <w:t>kovno shvaćanje islama pretežito je nega</w:t>
        <w:softHyphen/>
        <w:t>tivno. I. se označavao kao vjera životinje (Mu</w:t>
        <w:softHyphen/>
        <w:t>hamed). U islamu se vidjelo ispunjenje obe</w:t>
        <w:softHyphen/>
        <w:t xml:space="preserve">ćanja na kraju vremena iz Ivanove Apokalipse o dolasku »lažnog proroka« (19,20) kao i naznaka da je započeo kraj vremena. Tako su nastale legende koje su Muhamedovu religiju činile smiješnom. </w:t>
      </w:r>
      <w:r>
        <w:rPr>
          <w:rFonts w:ascii="Times New Roman" w:eastAsia="Times New Roman" w:hAnsi="Times New Roman" w:cs="Times New Roman"/>
          <w:color w:val="000000"/>
          <w:spacing w:val="0"/>
          <w:w w:val="100"/>
          <w:position w:val="0"/>
          <w:shd w:val="clear" w:color="auto" w:fill="auto"/>
          <w:lang w:val="en-US" w:eastAsia="en-US" w:bidi="en-US"/>
        </w:rPr>
        <w:t xml:space="preserve">Petrus </w:t>
      </w:r>
      <w:r>
        <w:rPr>
          <w:rFonts w:ascii="Times New Roman" w:eastAsia="Times New Roman" w:hAnsi="Times New Roman" w:cs="Times New Roman"/>
          <w:color w:val="000000"/>
          <w:spacing w:val="0"/>
          <w:w w:val="100"/>
          <w:position w:val="0"/>
          <w:shd w:val="clear" w:color="auto" w:fill="auto"/>
          <w:lang w:val="hr-HR" w:eastAsia="hr-HR" w:bidi="hr-HR"/>
        </w:rPr>
        <w:t xml:space="preserve">Vcnerabilis, opat </w:t>
      </w:r>
      <w:r>
        <w:rPr>
          <w:rFonts w:ascii="Times New Roman" w:eastAsia="Times New Roman" w:hAnsi="Times New Roman" w:cs="Times New Roman"/>
          <w:color w:val="000000"/>
          <w:spacing w:val="0"/>
          <w:w w:val="100"/>
          <w:position w:val="0"/>
          <w:shd w:val="clear" w:color="auto" w:fill="auto"/>
          <w:lang w:val="en-US" w:eastAsia="en-US" w:bidi="en-US"/>
        </w:rPr>
        <w:t xml:space="preserve">Clunyja </w:t>
      </w:r>
      <w:r>
        <w:rPr>
          <w:rFonts w:ascii="Times New Roman" w:eastAsia="Times New Roman" w:hAnsi="Times New Roman" w:cs="Times New Roman"/>
          <w:color w:val="000000"/>
          <w:spacing w:val="0"/>
          <w:w w:val="100"/>
          <w:position w:val="0"/>
          <w:shd w:val="clear" w:color="auto" w:fill="auto"/>
          <w:lang w:val="hr-HR" w:eastAsia="hr-HR" w:bidi="hr-HR"/>
        </w:rPr>
        <w:t>(1092/94-1156), bio je jedan od prvih teologa koji se ozbiljno suočio s islamom. Unatoč svojim pretežito manje vrijednim crta</w:t>
        <w:softHyphen/>
        <w:t>ma, i. sadrži, kako on kaže, i ponešto pozitiv</w:t>
        <w:softHyphen/>
        <w:t xml:space="preserve">no. </w:t>
      </w:r>
      <w:r>
        <w:rPr>
          <w:rFonts w:ascii="Times New Roman" w:eastAsia="Times New Roman" w:hAnsi="Times New Roman" w:cs="Times New Roman"/>
          <w:color w:val="000000"/>
          <w:spacing w:val="0"/>
          <w:w w:val="100"/>
          <w:position w:val="0"/>
          <w:shd w:val="clear" w:color="auto" w:fill="auto"/>
          <w:lang w:val="en-US" w:eastAsia="en-US" w:bidi="en-US"/>
        </w:rPr>
        <w:t xml:space="preserve">Petrus </w:t>
      </w:r>
      <w:r>
        <w:rPr>
          <w:rFonts w:ascii="Times New Roman" w:eastAsia="Times New Roman" w:hAnsi="Times New Roman" w:cs="Times New Roman"/>
          <w:color w:val="000000"/>
          <w:spacing w:val="0"/>
          <w:w w:val="100"/>
          <w:position w:val="0"/>
          <w:shd w:val="clear" w:color="auto" w:fill="auto"/>
          <w:lang w:val="hr-HR" w:eastAsia="hr-HR" w:bidi="hr-HR"/>
        </w:rPr>
        <w:t xml:space="preserve">je između ostaloga naredio da </w:t>
      </w:r>
      <w:r>
        <w:rPr>
          <w:rFonts w:ascii="Times New Roman" w:eastAsia="Times New Roman" w:hAnsi="Times New Roman" w:cs="Times New Roman"/>
          <w:color w:val="000000"/>
          <w:spacing w:val="0"/>
          <w:w w:val="100"/>
          <w:position w:val="0"/>
          <w:shd w:val="clear" w:color="auto" w:fill="auto"/>
          <w:lang w:val="en-US" w:eastAsia="en-US" w:bidi="en-US"/>
        </w:rPr>
        <w:t>Ro</w:t>
        <w:softHyphen/>
        <w:t xml:space="preserve">bert </w:t>
      </w:r>
      <w:r>
        <w:rPr>
          <w:rFonts w:ascii="Times New Roman" w:eastAsia="Times New Roman" w:hAnsi="Times New Roman" w:cs="Times New Roman"/>
          <w:color w:val="000000"/>
          <w:spacing w:val="0"/>
          <w:w w:val="100"/>
          <w:position w:val="0"/>
          <w:shd w:val="clear" w:color="auto" w:fill="auto"/>
          <w:lang w:val="hr-HR" w:eastAsia="hr-HR" w:bidi="hr-HR"/>
        </w:rPr>
        <w:t xml:space="preserve">iz Kettona (1143) prevede Kuran i taj je prijevod sve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XVII. stoljeća predstavljao najvažniji europski prijevod Kurana. Pobija</w:t>
        <w:softHyphen/>
        <w:t>nje islama bilo je tim uvjerljivije što se više moglo pozivati na to da ga se točno poznaje. Toma Akvinski (1225-1274) dao je svojoj do</w:t>
        <w:softHyphen/>
        <w:t xml:space="preserve">minikanskoj subraći priručnik o širenju islama u svojoj </w:t>
      </w:r>
      <w:r>
        <w:rPr>
          <w:rFonts w:ascii="Times New Roman" w:eastAsia="Times New Roman" w:hAnsi="Times New Roman" w:cs="Times New Roman"/>
          <w:color w:val="000000"/>
          <w:spacing w:val="0"/>
          <w:w w:val="100"/>
          <w:position w:val="0"/>
          <w:shd w:val="clear" w:color="auto" w:fill="auto"/>
          <w:lang w:val="en-US" w:eastAsia="en-US" w:bidi="en-US"/>
        </w:rPr>
        <w:t xml:space="preserve">»Summa </w:t>
      </w:r>
      <w:r>
        <w:rPr>
          <w:rFonts w:ascii="Times New Roman" w:eastAsia="Times New Roman" w:hAnsi="Times New Roman" w:cs="Times New Roman"/>
          <w:color w:val="000000"/>
          <w:spacing w:val="0"/>
          <w:w w:val="100"/>
          <w:position w:val="0"/>
          <w:shd w:val="clear" w:color="auto" w:fill="auto"/>
          <w:lang w:val="hr-HR" w:eastAsia="hr-HR" w:bidi="hr-HR"/>
        </w:rPr>
        <w:t xml:space="preserve">de veritate catholicac fidei </w:t>
      </w:r>
      <w:r>
        <w:rPr>
          <w:rFonts w:ascii="Times New Roman" w:eastAsia="Times New Roman" w:hAnsi="Times New Roman" w:cs="Times New Roman"/>
          <w:color w:val="000000"/>
          <w:spacing w:val="0"/>
          <w:w w:val="100"/>
          <w:position w:val="0"/>
          <w:shd w:val="clear" w:color="auto" w:fill="auto"/>
          <w:lang w:val="en-US" w:eastAsia="en-US" w:bidi="en-US"/>
        </w:rPr>
        <w:t xml:space="preserve">contra gentiles«, </w:t>
      </w:r>
      <w:r>
        <w:rPr>
          <w:rFonts w:ascii="Times New Roman" w:eastAsia="Times New Roman" w:hAnsi="Times New Roman" w:cs="Times New Roman"/>
          <w:color w:val="000000"/>
          <w:spacing w:val="0"/>
          <w:w w:val="100"/>
          <w:position w:val="0"/>
          <w:shd w:val="clear" w:color="auto" w:fill="auto"/>
          <w:lang w:val="hr-HR" w:eastAsia="hr-HR" w:bidi="hr-HR"/>
        </w:rPr>
        <w:t>koja i. promatra kao »pogan</w:t>
        <w:softHyphen/>
        <w:t>stvo« a ne više kao »herezu«.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Križarski ratovi donijeli su Europi prolazno političke uspjehe i iznova su odredili odnos prema islamu. E. Benz govori o »teologiji križarskog rata« koja je »obilježila određeni osnovni tip praktičkog sučeljavanja kršćanske Crkve s tuđim religijama« (E. Benz, </w:t>
      </w:r>
      <w:r>
        <w:rPr>
          <w:rFonts w:ascii="Times New Roman" w:eastAsia="Times New Roman" w:hAnsi="Times New Roman" w:cs="Times New Roman"/>
          <w:i/>
          <w:iCs/>
          <w:color w:val="000000"/>
          <w:spacing w:val="0"/>
          <w:w w:val="100"/>
          <w:position w:val="0"/>
          <w:shd w:val="clear" w:color="auto" w:fill="auto"/>
          <w:lang w:val="hr-HR" w:eastAsia="hr-HR" w:bidi="hr-HR"/>
        </w:rPr>
        <w:t>Ideen zu einer Theologie der Religionsgeschichte,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Wies</w:t>
        <w:softHyphen/>
        <w:t xml:space="preserve">baden </w:t>
      </w:r>
      <w:r>
        <w:rPr>
          <w:rFonts w:ascii="Times New Roman" w:eastAsia="Times New Roman" w:hAnsi="Times New Roman" w:cs="Times New Roman"/>
          <w:color w:val="000000"/>
          <w:spacing w:val="0"/>
          <w:w w:val="100"/>
          <w:position w:val="0"/>
          <w:shd w:val="clear" w:color="auto" w:fill="auto"/>
          <w:lang w:val="hr-HR" w:eastAsia="hr-HR" w:bidi="hr-HR"/>
        </w:rPr>
        <w:t>1960, 22). Kršćanski znanstvenici ono</w:t>
        <w:softHyphen/>
        <w:t>ga vremena skicirali su sliku islama koja u bit</w:t>
        <w:softHyphen/>
        <w:t>nome pokazuje sljedeće stereotipe: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je a) kriva nauka i namjerno izvrtanje istine, b) ratnička i nasilna religija, c) religija koja traži užitak. Muhamed (—&gt; Muhamed) je vo</w:t>
        <w:softHyphen/>
        <w:t>đen od đavla i antikrist.</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Slika islama koju je imao </w:t>
      </w:r>
      <w:r>
        <w:rPr>
          <w:rFonts w:ascii="Times New Roman" w:eastAsia="Times New Roman" w:hAnsi="Times New Roman" w:cs="Times New Roman"/>
          <w:color w:val="000000"/>
          <w:spacing w:val="0"/>
          <w:w w:val="100"/>
          <w:position w:val="0"/>
          <w:shd w:val="clear" w:color="auto" w:fill="auto"/>
          <w:lang w:val="en-US" w:eastAsia="en-US" w:bidi="en-US"/>
        </w:rPr>
        <w:t xml:space="preserve">Martin Luther </w:t>
      </w:r>
      <w:r>
        <w:rPr>
          <w:rFonts w:ascii="Times New Roman" w:eastAsia="Times New Roman" w:hAnsi="Times New Roman" w:cs="Times New Roman"/>
          <w:color w:val="000000"/>
          <w:spacing w:val="0"/>
          <w:w w:val="100"/>
          <w:position w:val="0"/>
          <w:shd w:val="clear" w:color="auto" w:fill="auto"/>
          <w:lang w:val="hr-HR" w:eastAsia="hr-HR" w:bidi="hr-HR"/>
        </w:rPr>
        <w:t xml:space="preserve">bila je trajno pod utjecajem turskih ratova.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nikada ne govori o islamu nego uvijek samo o Turcima. Njegov stav prema njima je dvozna</w:t>
        <w:softHyphen/>
        <w:t>čan: S jedne strane vidi kod Turaka poneke pozitivne crte (vjerski žar, cjelovitost duhov</w:t>
        <w:softHyphen/>
        <w:t>noga), a s druge strane kritizira njihov fanati</w:t>
        <w:softHyphen/>
        <w:t>zam i označava ih kao pravoga vraga. Zalaže se za prijevod Kurana, ali svakako s namje</w:t>
        <w:softHyphen/>
        <w:t>rom da se i. svlada. On promatra i. - također kao židovstvo i katolicizam - kao religiju za</w:t>
        <w:softHyphen/>
        <w:t>kona u teološki negativnom smislu. Odnos protestantskog pravovjerja prema islamu na prijelazu XVI. u XVII. stoljeće načelno ne donosi nikakve nove uvide. Tema »i.« naila</w:t>
        <w:softHyphen/>
        <w:t>zila je na veliko zanimanje s obzirom na tur</w:t>
        <w:softHyphen/>
        <w:t>ske ratove. Osobito tzv. »prodike o Turcima«, koje su zbog turske prijetnje držali vladari, učvrstile su stare klišeizirane predodžbe.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poticajnom ozračju prosvjetiteljstva i. se objektivnije prosuđivao prije svega u Francus</w:t>
        <w:softHyphen/>
        <w:t xml:space="preserve">koj. Nastajali su novi Muhamedovi životopisi kao npr. </w:t>
      </w:r>
      <w:r>
        <w:rPr>
          <w:rFonts w:ascii="Times New Roman" w:eastAsia="Times New Roman" w:hAnsi="Times New Roman" w:cs="Times New Roman"/>
          <w:i/>
          <w:iCs/>
          <w:color w:val="000000"/>
          <w:spacing w:val="0"/>
          <w:w w:val="100"/>
          <w:position w:val="0"/>
          <w:shd w:val="clear" w:color="auto" w:fill="auto"/>
          <w:lang w:val="en-US" w:eastAsia="en-US" w:bidi="en-US"/>
        </w:rPr>
        <w:t>La vie de Mahomet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(173(1) </w:t>
      </w:r>
      <w:r>
        <w:rPr>
          <w:rFonts w:ascii="Times New Roman" w:eastAsia="Times New Roman" w:hAnsi="Times New Roman" w:cs="Times New Roman"/>
          <w:color w:val="000000"/>
          <w:spacing w:val="0"/>
          <w:w w:val="100"/>
          <w:position w:val="0"/>
          <w:shd w:val="clear" w:color="auto" w:fill="auto"/>
          <w:lang w:val="en-US" w:eastAsia="en-US" w:bidi="en-US"/>
        </w:rPr>
        <w:t xml:space="preserve">Henrija de Boulainvilliersa </w:t>
      </w:r>
      <w:r>
        <w:rPr>
          <w:rFonts w:ascii="Times New Roman" w:eastAsia="Times New Roman" w:hAnsi="Times New Roman" w:cs="Times New Roman"/>
          <w:color w:val="000000"/>
          <w:spacing w:val="0"/>
          <w:w w:val="100"/>
          <w:position w:val="0"/>
          <w:shd w:val="clear" w:color="auto" w:fill="auto"/>
          <w:lang w:val="hr-HR" w:eastAsia="hr-HR" w:bidi="hr-HR"/>
        </w:rPr>
        <w:t>te engleski i francuski prije</w:t>
        <w:softHyphen/>
        <w:t xml:space="preserve">vodi Kurana </w:t>
      </w:r>
      <w:r>
        <w:rPr>
          <w:rFonts w:ascii="Times New Roman" w:eastAsia="Times New Roman" w:hAnsi="Times New Roman" w:cs="Times New Roman"/>
          <w:color w:val="000000"/>
          <w:spacing w:val="0"/>
          <w:w w:val="100"/>
          <w:position w:val="0"/>
          <w:shd w:val="clear" w:color="auto" w:fill="auto"/>
          <w:lang w:val="en-US" w:eastAsia="en-US" w:bidi="en-US"/>
        </w:rPr>
        <w:t xml:space="preserve">Gcorga </w:t>
      </w:r>
      <w:r>
        <w:rPr>
          <w:rFonts w:ascii="Times New Roman" w:eastAsia="Times New Roman" w:hAnsi="Times New Roman" w:cs="Times New Roman"/>
          <w:color w:val="000000"/>
          <w:spacing w:val="0"/>
          <w:w w:val="100"/>
          <w:position w:val="0"/>
          <w:shd w:val="clear" w:color="auto" w:fill="auto"/>
          <w:lang w:val="hr-HR" w:eastAsia="hr-HR" w:bidi="hr-HR"/>
        </w:rPr>
        <w:t xml:space="preserve">Salea i Nicolasa Sava- ryja. Uz takve pozitivne pokušaje tu je ipak Voltaireova rasprava </w:t>
      </w:r>
      <w:r>
        <w:rPr>
          <w:rFonts w:ascii="Times New Roman" w:eastAsia="Times New Roman" w:hAnsi="Times New Roman" w:cs="Times New Roman"/>
          <w:i/>
          <w:iCs/>
          <w:color w:val="000000"/>
          <w:spacing w:val="0"/>
          <w:w w:val="100"/>
          <w:position w:val="0"/>
          <w:shd w:val="clear" w:color="auto" w:fill="auto"/>
          <w:lang w:val="en-US" w:eastAsia="en-US" w:bidi="en-US"/>
        </w:rPr>
        <w:t>(Mahomet)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koja je obi</w:t>
        <w:softHyphen/>
        <w:t>lježena krupnim predrasudama.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djelima romantike možemo također usta</w:t>
        <w:softHyphen/>
        <w:t xml:space="preserve">noviti pokušaj nekih autora da se odmaknu od predrasuda prošlosti i da ocrtaju pravu sliku islamske kulture. Treba upozoriti na Goethcov </w:t>
      </w:r>
      <w:r>
        <w:rPr>
          <w:rFonts w:ascii="Times New Roman" w:eastAsia="Times New Roman" w:hAnsi="Times New Roman" w:cs="Times New Roman"/>
          <w:i/>
          <w:iCs/>
          <w:color w:val="000000"/>
          <w:spacing w:val="0"/>
          <w:w w:val="100"/>
          <w:position w:val="0"/>
          <w:shd w:val="clear" w:color="auto" w:fill="auto"/>
          <w:lang w:val="en-US" w:eastAsia="en-US" w:bidi="en-US"/>
        </w:rPr>
        <w:t>Westostlicher Diwan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kao i na predavanja Tho- masa </w:t>
      </w:r>
      <w:r>
        <w:rPr>
          <w:rFonts w:ascii="Times New Roman" w:eastAsia="Times New Roman" w:hAnsi="Times New Roman" w:cs="Times New Roman"/>
          <w:color w:val="000000"/>
          <w:spacing w:val="0"/>
          <w:w w:val="100"/>
          <w:position w:val="0"/>
          <w:shd w:val="clear" w:color="auto" w:fill="auto"/>
          <w:lang w:val="en-US" w:eastAsia="en-US" w:bidi="en-US"/>
        </w:rPr>
        <w:t xml:space="preserve">Carlylea </w:t>
      </w:r>
      <w:r>
        <w:rPr>
          <w:rFonts w:ascii="Times New Roman" w:eastAsia="Times New Roman" w:hAnsi="Times New Roman" w:cs="Times New Roman"/>
          <w:i/>
          <w:iCs/>
          <w:color w:val="000000"/>
          <w:spacing w:val="0"/>
          <w:w w:val="100"/>
          <w:position w:val="0"/>
          <w:shd w:val="clear" w:color="auto" w:fill="auto"/>
          <w:lang w:val="en-US" w:eastAsia="en-US" w:bidi="en-US"/>
        </w:rPr>
        <w:t xml:space="preserve">On Heroes,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Heroe </w:t>
      </w:r>
      <w:r>
        <w:rPr>
          <w:rFonts w:ascii="Times New Roman" w:eastAsia="Times New Roman" w:hAnsi="Times New Roman" w:cs="Times New Roman"/>
          <w:i/>
          <w:iCs/>
          <w:color w:val="000000"/>
          <w:spacing w:val="0"/>
          <w:w w:val="100"/>
          <w:position w:val="0"/>
          <w:shd w:val="clear" w:color="auto" w:fill="auto"/>
          <w:lang w:val="en-US" w:eastAsia="en-US" w:bidi="en-US"/>
        </w:rPr>
        <w:t>worship and the Heroic in History</w:t>
      </w:r>
      <w:r>
        <w:rPr>
          <w:rFonts w:ascii="Times New Roman" w:eastAsia="Times New Roman" w:hAnsi="Times New Roman" w:cs="Times New Roman"/>
          <w:color w:val="000000"/>
          <w:spacing w:val="0"/>
          <w:w w:val="100"/>
          <w:position w:val="0"/>
          <w:shd w:val="clear" w:color="auto" w:fill="auto"/>
          <w:lang w:val="en-US" w:eastAsia="en-US" w:bidi="en-US"/>
        </w:rPr>
        <w:t xml:space="preserve"> (1841). </w:t>
      </w:r>
      <w:r>
        <w:rPr>
          <w:rFonts w:ascii="Times New Roman" w:eastAsia="Times New Roman" w:hAnsi="Times New Roman" w:cs="Times New Roman"/>
          <w:color w:val="000000"/>
          <w:spacing w:val="0"/>
          <w:w w:val="100"/>
          <w:position w:val="0"/>
          <w:shd w:val="clear" w:color="auto" w:fill="auto"/>
          <w:lang w:val="hr-HR" w:eastAsia="hr-HR" w:bidi="hr-HR"/>
        </w:rPr>
        <w:t xml:space="preserve">U značajnom članku katoličkoga crkvenog povjesničara </w:t>
      </w:r>
      <w:r>
        <w:rPr>
          <w:rFonts w:ascii="Times New Roman" w:eastAsia="Times New Roman" w:hAnsi="Times New Roman" w:cs="Times New Roman"/>
          <w:color w:val="000000"/>
          <w:spacing w:val="0"/>
          <w:w w:val="100"/>
          <w:position w:val="0"/>
          <w:shd w:val="clear" w:color="auto" w:fill="auto"/>
          <w:lang w:val="en-US" w:eastAsia="en-US" w:bidi="en-US"/>
        </w:rPr>
        <w:t>Jo</w:t>
        <w:softHyphen/>
        <w:t xml:space="preserve">hanna </w:t>
      </w:r>
      <w:r>
        <w:rPr>
          <w:rFonts w:ascii="Times New Roman" w:eastAsia="Times New Roman" w:hAnsi="Times New Roman" w:cs="Times New Roman"/>
          <w:color w:val="000000"/>
          <w:spacing w:val="0"/>
          <w:w w:val="100"/>
          <w:position w:val="0"/>
          <w:shd w:val="clear" w:color="auto" w:fill="auto"/>
          <w:lang w:val="hr-HR" w:eastAsia="hr-HR" w:bidi="hr-HR"/>
        </w:rPr>
        <w:t>Adama Mohlera (1796-1838) »O od</w:t>
        <w:softHyphen/>
        <w:t>nosu islama prema evanđelju« (1830) nalazi se istodobno kritički i začuđujuće otvoren pri</w:t>
        <w:softHyphen/>
        <w:t>kaz islama.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Slika islama protestantskih teologa prilično dugo u XX. stoljeću ne pokazuje nikakve oso</w:t>
        <w:softHyphen/>
        <w:t>bite simpatije za ovu religiju. Najviše se kritizi</w:t>
        <w:softHyphen/>
        <w:t>raju sljedeći momenti islamskog učenja: Božja slika, odnosi između Boga i čovjeka, ideja ob</w:t>
        <w:softHyphen/>
        <w:t>jave, služba Božja, etika kao i osoba proroka Muhameda (v. g.). Bog se shvaća kao od čo</w:t>
        <w:softHyphen/>
        <w:t>vjeka udaljen, nepristupačan, tiranski, samo</w:t>
        <w:softHyphen/>
        <w:t>voljni vladar. Klasično shvaćanje Boga u isla</w:t>
        <w:softHyphen/>
        <w:t xml:space="preserve">mu tumači se kao »prejaki monoteizam« (H. </w:t>
      </w:r>
      <w:r>
        <w:rPr>
          <w:rFonts w:ascii="Times New Roman" w:eastAsia="Times New Roman" w:hAnsi="Times New Roman" w:cs="Times New Roman"/>
          <w:color w:val="000000"/>
          <w:spacing w:val="0"/>
          <w:w w:val="100"/>
          <w:position w:val="0"/>
          <w:shd w:val="clear" w:color="auto" w:fill="auto"/>
          <w:lang w:val="en-US" w:eastAsia="en-US" w:bidi="en-US"/>
        </w:rPr>
        <w:t>Kraemer).</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»Svemoć prelazi u neograničenu omnipoten- cijalnost, sveznadarstvo, determinističku pre</w:t>
        <w:softHyphen/>
      </w:r>
      <w:r>
        <w:rPr>
          <w:rFonts w:ascii="Times New Roman" w:eastAsia="Times New Roman" w:hAnsi="Times New Roman" w:cs="Times New Roman"/>
          <w:color w:val="000000"/>
          <w:spacing w:val="0"/>
          <w:w w:val="100"/>
          <w:position w:val="0"/>
          <w:shd w:val="clear" w:color="auto" w:fill="auto"/>
          <w:lang w:val="hr-HR" w:eastAsia="hr-HR" w:bidi="hr-HR"/>
        </w:rPr>
        <w:t>destinaciju, sveprisutnost (kod mistika) do panteizma, milosrđe u neosnovanu samovo</w:t>
        <w:softHyphen/>
        <w:t>lju« (E. Kellerhals). Na temelju Božje nepris- tupačnosti i. ne poznaje ideju Božjeg sinov- stva. Vrijedi kao religija »pravednosti po dje</w:t>
        <w:softHyphen/>
        <w:t>lima« i samootkupljenja koje potpuno odbija kršćansku ideju otkupljenja. Islamska ideja otkupljenja shvaća se kao nepovijesna i sta</w:t>
        <w:softHyphen/>
        <w:t>tična. Islamsko uživanje u ispravnom, formal</w:t>
        <w:softHyphen/>
        <w:t>no korektnom postupanju drži se izvanjskim i formalističkim. Kod etike se nadalje kritizira da je (etiku) i. želi »olakšavati« svojim vjerni</w:t>
        <w:softHyphen/>
        <w:t>cima. Osim toga, i. navodno ne poznaje ideal ćudoredne ličnosti, jer se sve svodi samo na obredno djelovanje. Ovu fazu unutar prote</w:t>
        <w:softHyphen/>
        <w:t>stantske teologije i misijske znanosti predstav</w:t>
        <w:softHyphen/>
        <w:t xml:space="preserve">ljaju osobito sljedeći autori i njihova djela: S. M. </w:t>
      </w:r>
      <w:r>
        <w:rPr>
          <w:rFonts w:ascii="Times New Roman" w:eastAsia="Times New Roman" w:hAnsi="Times New Roman" w:cs="Times New Roman"/>
          <w:color w:val="000000"/>
          <w:spacing w:val="0"/>
          <w:w w:val="100"/>
          <w:position w:val="0"/>
          <w:shd w:val="clear" w:color="auto" w:fill="auto"/>
          <w:lang w:val="en-US" w:eastAsia="en-US" w:bidi="en-US"/>
        </w:rPr>
        <w:t xml:space="preserve">Zwemer, </w:t>
      </w:r>
      <w:r>
        <w:rPr>
          <w:rFonts w:ascii="Times New Roman" w:eastAsia="Times New Roman" w:hAnsi="Times New Roman" w:cs="Times New Roman"/>
          <w:i/>
          <w:iCs/>
          <w:color w:val="000000"/>
          <w:spacing w:val="0"/>
          <w:w w:val="100"/>
          <w:position w:val="0"/>
          <w:shd w:val="clear" w:color="auto" w:fill="auto"/>
          <w:lang w:val="hr-HR" w:eastAsia="hr-HR" w:bidi="hr-HR"/>
        </w:rPr>
        <w:t>Der Islam,</w:t>
      </w:r>
      <w:r>
        <w:rPr>
          <w:rFonts w:ascii="Times New Roman" w:eastAsia="Times New Roman" w:hAnsi="Times New Roman" w:cs="Times New Roman"/>
          <w:color w:val="000000"/>
          <w:spacing w:val="0"/>
          <w:w w:val="100"/>
          <w:position w:val="0"/>
          <w:shd w:val="clear" w:color="auto" w:fill="auto"/>
          <w:lang w:val="hr-HR" w:eastAsia="hr-HR" w:bidi="hr-HR"/>
        </w:rPr>
        <w:t xml:space="preserve"> 1909; G. </w:t>
      </w:r>
      <w:r>
        <w:rPr>
          <w:rFonts w:ascii="Times New Roman" w:eastAsia="Times New Roman" w:hAnsi="Times New Roman" w:cs="Times New Roman"/>
          <w:color w:val="000000"/>
          <w:spacing w:val="0"/>
          <w:w w:val="100"/>
          <w:position w:val="0"/>
          <w:shd w:val="clear" w:color="auto" w:fill="auto"/>
          <w:lang w:val="en-US" w:eastAsia="en-US" w:bidi="en-US"/>
        </w:rPr>
        <w:t xml:space="preserve">Simon, </w:t>
      </w:r>
      <w:r>
        <w:rPr>
          <w:rFonts w:ascii="Times New Roman" w:eastAsia="Times New Roman" w:hAnsi="Times New Roman" w:cs="Times New Roman"/>
          <w:i/>
          <w:iCs/>
          <w:color w:val="000000"/>
          <w:spacing w:val="0"/>
          <w:w w:val="100"/>
          <w:position w:val="0"/>
          <w:shd w:val="clear" w:color="auto" w:fill="auto"/>
          <w:lang w:val="en-US" w:eastAsia="en-US" w:bidi="en-US"/>
        </w:rPr>
        <w:t>Die Welt des Islam und ihre Beriihrung mil der Christenheit,</w:t>
      </w:r>
      <w:r>
        <w:rPr>
          <w:rFonts w:ascii="Times New Roman" w:eastAsia="Times New Roman" w:hAnsi="Times New Roman" w:cs="Times New Roman"/>
          <w:color w:val="000000"/>
          <w:spacing w:val="0"/>
          <w:w w:val="100"/>
          <w:position w:val="0"/>
          <w:shd w:val="clear" w:color="auto" w:fill="auto"/>
          <w:lang w:val="en-US" w:eastAsia="en-US" w:bidi="en-US"/>
        </w:rPr>
        <w:t xml:space="preserve"> 1949; M. Schlunk, </w:t>
      </w:r>
      <w:r>
        <w:rPr>
          <w:rFonts w:ascii="Times New Roman" w:eastAsia="Times New Roman" w:hAnsi="Times New Roman" w:cs="Times New Roman"/>
          <w:i/>
          <w:iCs/>
          <w:color w:val="000000"/>
          <w:spacing w:val="0"/>
          <w:w w:val="100"/>
          <w:position w:val="0"/>
          <w:shd w:val="clear" w:color="auto" w:fill="auto"/>
          <w:lang w:val="en-US" w:eastAsia="en-US" w:bidi="en-US"/>
        </w:rPr>
        <w:t>Die Weltreli- gionen und das Christentum,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10</w:t>
      </w:r>
      <w:r>
        <w:rPr>
          <w:rFonts w:ascii="Times New Roman" w:eastAsia="Times New Roman" w:hAnsi="Times New Roman" w:cs="Times New Roman"/>
          <w:color w:val="000000"/>
          <w:spacing w:val="0"/>
          <w:w w:val="100"/>
          <w:position w:val="0"/>
          <w:shd w:val="clear" w:color="auto" w:fill="auto"/>
          <w:lang w:val="en-US" w:eastAsia="en-US" w:bidi="en-US"/>
        </w:rPr>
        <w:t>l 953; E. Keller</w:t>
        <w:softHyphen/>
        <w:t xml:space="preserve">hals, </w:t>
      </w:r>
      <w:r>
        <w:rPr>
          <w:rFonts w:ascii="Times New Roman" w:eastAsia="Times New Roman" w:hAnsi="Times New Roman" w:cs="Times New Roman"/>
          <w:i/>
          <w:iCs/>
          <w:color w:val="000000"/>
          <w:spacing w:val="0"/>
          <w:w w:val="100"/>
          <w:position w:val="0"/>
          <w:shd w:val="clear" w:color="auto" w:fill="auto"/>
          <w:lang w:val="en-US" w:eastAsia="en-US" w:bidi="en-US"/>
        </w:rPr>
        <w:t>Der Islam,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2</w:t>
      </w:r>
      <w:r>
        <w:rPr>
          <w:rFonts w:ascii="Times New Roman" w:eastAsia="Times New Roman" w:hAnsi="Times New Roman" w:cs="Times New Roman"/>
          <w:color w:val="000000"/>
          <w:spacing w:val="0"/>
          <w:w w:val="100"/>
          <w:position w:val="0"/>
          <w:shd w:val="clear" w:color="auto" w:fill="auto"/>
          <w:lang w:val="en-US" w:eastAsia="en-US" w:bidi="en-US"/>
        </w:rPr>
        <w:t>1956.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 svega su djela nizozemskoga misijskog znanstvenika Hendrika Kraemera (1888-1965) postala mjerodavna. Taj je znanstvenik trajno utjecao na protestantsku sliku islama. Krae- merova procjena islama obilježena je njego</w:t>
        <w:softHyphen/>
        <w:t>vim dugogodišnjim boravkom u Indoneziji kao i njegovom ovisnošću o dijalektičkoj teo</w:t>
        <w:softHyphen/>
        <w:t xml:space="preserve">logiji Karla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koja nije posjedovala svi</w:t>
        <w:softHyphen/>
        <w:t>jest o religiji i religijama pa ih je paušalno dis</w:t>
        <w:softHyphen/>
        <w:t>kvalificirala kao stvar bezbožnih ljudi (—&gt; reli</w:t>
        <w:softHyphen/>
        <w:t>gija). Za Kraemera je i. tipična religija prirod</w:t>
        <w:softHyphen/>
        <w:t xml:space="preserve">nog čovjeka, religija bez dubine i siromašna religijskim sadržajem. Bog i Alah su različiti bogovi. </w:t>
      </w:r>
      <w:r>
        <w:rPr>
          <w:rFonts w:ascii="Times New Roman" w:eastAsia="Times New Roman" w:hAnsi="Times New Roman" w:cs="Times New Roman"/>
          <w:color w:val="000000"/>
          <w:spacing w:val="0"/>
          <w:w w:val="100"/>
          <w:position w:val="0"/>
          <w:shd w:val="clear" w:color="auto" w:fill="auto"/>
          <w:lang w:val="en-US" w:eastAsia="en-US" w:bidi="en-US"/>
        </w:rPr>
        <w:t xml:space="preserve">Kraemer </w:t>
      </w:r>
      <w:r>
        <w:rPr>
          <w:rFonts w:ascii="Times New Roman" w:eastAsia="Times New Roman" w:hAnsi="Times New Roman" w:cs="Times New Roman"/>
          <w:color w:val="000000"/>
          <w:spacing w:val="0"/>
          <w:w w:val="100"/>
          <w:position w:val="0"/>
          <w:shd w:val="clear" w:color="auto" w:fill="auto"/>
          <w:lang w:val="hr-HR" w:eastAsia="hr-HR" w:bidi="hr-HR"/>
        </w:rPr>
        <w:t xml:space="preserve">je svoje u svemu negativno gledanje na i. osobito razvio u sljedećim vrlo utjecajnim zapisima: </w:t>
      </w:r>
      <w:r>
        <w:rPr>
          <w:rFonts w:ascii="Times New Roman" w:eastAsia="Times New Roman" w:hAnsi="Times New Roman" w:cs="Times New Roman"/>
          <w:i/>
          <w:iCs/>
          <w:color w:val="000000"/>
          <w:spacing w:val="0"/>
          <w:w w:val="100"/>
          <w:position w:val="0"/>
          <w:shd w:val="clear" w:color="auto" w:fill="auto"/>
          <w:lang w:val="en-US" w:eastAsia="en-US" w:bidi="en-US"/>
        </w:rPr>
        <w:t>The Christian Message in a Hon-Christian World</w:t>
      </w:r>
      <w:r>
        <w:rPr>
          <w:rFonts w:ascii="Times New Roman" w:eastAsia="Times New Roman" w:hAnsi="Times New Roman" w:cs="Times New Roman"/>
          <w:color w:val="000000"/>
          <w:spacing w:val="0"/>
          <w:w w:val="100"/>
          <w:position w:val="0"/>
          <w:shd w:val="clear" w:color="auto" w:fill="auto"/>
          <w:lang w:val="en-US" w:eastAsia="en-US" w:bidi="en-US"/>
        </w:rPr>
        <w:t xml:space="preserve"> (1938), </w:t>
      </w:r>
      <w:r>
        <w:rPr>
          <w:rFonts w:ascii="Times New Roman" w:eastAsia="Times New Roman" w:hAnsi="Times New Roman" w:cs="Times New Roman"/>
          <w:i/>
          <w:iCs/>
          <w:color w:val="000000"/>
          <w:spacing w:val="0"/>
          <w:w w:val="100"/>
          <w:position w:val="0"/>
          <w:shd w:val="clear" w:color="auto" w:fill="auto"/>
          <w:lang w:val="en-US" w:eastAsia="en-US" w:bidi="en-US"/>
        </w:rPr>
        <w:t>Religion and the Christian Faith</w:t>
      </w:r>
      <w:r>
        <w:rPr>
          <w:rFonts w:ascii="Times New Roman" w:eastAsia="Times New Roman" w:hAnsi="Times New Roman" w:cs="Times New Roman"/>
          <w:color w:val="000000"/>
          <w:spacing w:val="0"/>
          <w:w w:val="100"/>
          <w:position w:val="0"/>
          <w:shd w:val="clear" w:color="auto" w:fill="auto"/>
          <w:lang w:val="en-US" w:eastAsia="en-US" w:bidi="en-US"/>
        </w:rPr>
        <w:t xml:space="preserve"> (1956).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Posljednjih su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godina kršćanska i islamska strana sve više trudile oko dijaloga i razumije</w:t>
        <w:softHyphen/>
        <w:t>vanja. U katolicizmu Drugi vatikanski koncil predstavlja značajan obrat za dijalog s isla</w:t>
        <w:softHyphen/>
        <w:t>mom. Na protestantskom je području stav prema dijalogu dvoznačan: Odnos prema is</w:t>
        <w:softHyphen/>
        <w:t>lamu, koji je bio pod negativnim utjecajem di</w:t>
        <w:softHyphen/>
        <w:t>jalektičke teologije, već je nekoliko godina korigiran ponekim istraživanjem punim razu</w:t>
        <w:softHyphen/>
        <w:t>mijevanja. Osim toga, Ekumensko vijeće crka</w:t>
        <w:softHyphen/>
        <w:t>va kao i Drugi vatikanski koncil igraju istu ulogu koja oživljava dijalog. Potpuno suprot</w:t>
        <w:softHyphen/>
      </w:r>
      <w:r>
        <w:rPr>
          <w:rFonts w:ascii="Times New Roman" w:eastAsia="Times New Roman" w:hAnsi="Times New Roman" w:cs="Times New Roman"/>
          <w:color w:val="000000"/>
          <w:spacing w:val="0"/>
          <w:w w:val="100"/>
          <w:position w:val="0"/>
          <w:shd w:val="clear" w:color="auto" w:fill="auto"/>
          <w:lang w:val="hr-HR" w:eastAsia="hr-HR" w:bidi="hr-HR"/>
        </w:rPr>
        <w:t>no tomu stoji »Riječ Konferencije vjerničkih zajednica u evangeličkim crkvama Njemačke i radna zajednica evangelikalnih misija« koje su 1984. objavile svoj zapis »Kršćansko vjerova</w:t>
        <w:softHyphen/>
        <w:t>nje i biblijski nalog glede islama« u kojem se i. promatra kao »Božji sud nad kršćanstvom ko</w:t>
        <w:softHyphen/>
        <w:t>je se višestruko udaljilo od biblijskog evanđe</w:t>
        <w:softHyphen/>
        <w:t>lja«.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Kraemerovo i Kellerhalsovo gledanje na i. da</w:t>
        <w:softHyphen/>
        <w:t>nas je na protestantskom području izmijenje</w:t>
        <w:softHyphen/>
        <w:t>no osobito zbog istaknutih izdanja anglikan</w:t>
        <w:softHyphen/>
        <w:t>skog biskupa Kennetha Cragga. On je zastu</w:t>
        <w:softHyphen/>
        <w:t>pao pozitivno gledanje na i. koji je nastojao razumjeti polazeći od njegovih najvrednijih nakana. To mu je pribavilo priznanje u musli</w:t>
        <w:softHyphen/>
        <w:t>manskim krugovima. Unatoč djelomično znat</w:t>
        <w:softHyphen/>
        <w:t>nim razlikama između obadviju religija Cragg se trudi oko približavanja. Bog u islamu i Bog u kršćanstvu nisu jednostavno dva različita boga. Radi se o jednom i istom Gospodinu iako različito izgledaju iskazi o jednoj istini. Od Craggovih brojnih djela spomenimo oso</w:t>
        <w:softHyphen/>
        <w:t xml:space="preserve">bito neka: </w:t>
      </w:r>
      <w:r>
        <w:rPr>
          <w:rFonts w:ascii="Times New Roman" w:eastAsia="Times New Roman" w:hAnsi="Times New Roman" w:cs="Times New Roman"/>
          <w:i/>
          <w:iCs/>
          <w:color w:val="000000"/>
          <w:spacing w:val="0"/>
          <w:w w:val="100"/>
          <w:position w:val="0"/>
          <w:shd w:val="clear" w:color="auto" w:fill="auto"/>
          <w:lang w:val="en-US" w:eastAsia="en-US" w:bidi="en-US"/>
        </w:rPr>
        <w:t xml:space="preserve">The Call of the </w:t>
      </w:r>
      <w:r>
        <w:rPr>
          <w:rFonts w:ascii="Times New Roman" w:eastAsia="Times New Roman" w:hAnsi="Times New Roman" w:cs="Times New Roman"/>
          <w:i/>
          <w:iCs/>
          <w:color w:val="000000"/>
          <w:spacing w:val="0"/>
          <w:w w:val="100"/>
          <w:position w:val="0"/>
          <w:shd w:val="clear" w:color="auto" w:fill="auto"/>
          <w:lang w:val="hr-HR" w:eastAsia="hr-HR" w:bidi="hr-HR"/>
        </w:rPr>
        <w:t>Minareti</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(1956), </w:t>
      </w:r>
      <w:r>
        <w:rPr>
          <w:rFonts w:ascii="Times New Roman" w:eastAsia="Times New Roman" w:hAnsi="Times New Roman" w:cs="Times New Roman"/>
          <w:i/>
          <w:iCs/>
          <w:color w:val="000000"/>
          <w:spacing w:val="0"/>
          <w:w w:val="100"/>
          <w:position w:val="0"/>
          <w:shd w:val="clear" w:color="auto" w:fill="auto"/>
          <w:lang w:val="en-US" w:eastAsia="en-US" w:bidi="en-US"/>
        </w:rPr>
        <w:t>The Dome and the Rock</w:t>
      </w:r>
      <w:r>
        <w:rPr>
          <w:rFonts w:ascii="Times New Roman" w:eastAsia="Times New Roman" w:hAnsi="Times New Roman" w:cs="Times New Roman"/>
          <w:color w:val="000000"/>
          <w:spacing w:val="0"/>
          <w:w w:val="100"/>
          <w:position w:val="0"/>
          <w:shd w:val="clear" w:color="auto" w:fill="auto"/>
          <w:lang w:val="en-US" w:eastAsia="en-US" w:bidi="en-US"/>
        </w:rPr>
        <w:t xml:space="preserve"> (1964), </w:t>
      </w:r>
      <w:r>
        <w:rPr>
          <w:rFonts w:ascii="Times New Roman" w:eastAsia="Times New Roman" w:hAnsi="Times New Roman" w:cs="Times New Roman"/>
          <w:i/>
          <w:iCs/>
          <w:color w:val="000000"/>
          <w:spacing w:val="0"/>
          <w:w w:val="100"/>
          <w:position w:val="0"/>
          <w:shd w:val="clear" w:color="auto" w:fill="auto"/>
          <w:lang w:val="en-US" w:eastAsia="en-US" w:bidi="en-US"/>
        </w:rPr>
        <w:t>The Privilege of Man</w:t>
      </w:r>
      <w:r>
        <w:rPr>
          <w:rFonts w:ascii="Times New Roman" w:eastAsia="Times New Roman" w:hAnsi="Times New Roman" w:cs="Times New Roman"/>
          <w:color w:val="000000"/>
          <w:spacing w:val="0"/>
          <w:w w:val="100"/>
          <w:position w:val="0"/>
          <w:shd w:val="clear" w:color="auto" w:fill="auto"/>
          <w:lang w:val="en-US" w:eastAsia="en-US" w:bidi="en-US"/>
        </w:rPr>
        <w:t xml:space="preserve"> (1968) </w:t>
      </w:r>
      <w:r>
        <w:rPr>
          <w:rFonts w:ascii="Times New Roman" w:eastAsia="Times New Roman" w:hAnsi="Times New Roman" w:cs="Times New Roman"/>
          <w:color w:val="000000"/>
          <w:spacing w:val="0"/>
          <w:w w:val="100"/>
          <w:position w:val="0"/>
          <w:shd w:val="clear" w:color="auto" w:fill="auto"/>
          <w:lang w:val="hr-HR" w:eastAsia="hr-HR" w:bidi="hr-HR"/>
        </w:rPr>
        <w:t xml:space="preserve">i zbirku tekstova </w:t>
      </w:r>
      <w:r>
        <w:rPr>
          <w:rFonts w:ascii="Times New Roman" w:eastAsia="Times New Roman" w:hAnsi="Times New Roman" w:cs="Times New Roman"/>
          <w:i/>
          <w:iCs/>
          <w:color w:val="000000"/>
          <w:spacing w:val="0"/>
          <w:w w:val="100"/>
          <w:position w:val="0"/>
          <w:shd w:val="clear" w:color="auto" w:fill="auto"/>
          <w:lang w:val="en-US" w:eastAsia="en-US" w:bidi="en-US"/>
        </w:rPr>
        <w:t xml:space="preserve">Alive to Cod </w:t>
      </w:r>
      <w:r>
        <w:rPr>
          <w:rFonts w:ascii="Times New Roman" w:eastAsia="Times New Roman" w:hAnsi="Times New Roman" w:cs="Times New Roman"/>
          <w:color w:val="000000"/>
          <w:spacing w:val="0"/>
          <w:w w:val="100"/>
          <w:position w:val="0"/>
          <w:shd w:val="clear" w:color="auto" w:fill="auto"/>
          <w:lang w:val="en-US" w:eastAsia="en-US" w:bidi="en-US"/>
        </w:rPr>
        <w:t xml:space="preserve">(1970). </w:t>
      </w:r>
      <w:r>
        <w:rPr>
          <w:rFonts w:ascii="Times New Roman" w:eastAsia="Times New Roman" w:hAnsi="Times New Roman" w:cs="Times New Roman"/>
          <w:color w:val="000000"/>
          <w:spacing w:val="0"/>
          <w:w w:val="100"/>
          <w:position w:val="0"/>
          <w:shd w:val="clear" w:color="auto" w:fill="auto"/>
          <w:lang w:val="hr-HR" w:eastAsia="hr-HR" w:bidi="hr-HR"/>
        </w:rPr>
        <w:t xml:space="preserve">Od velikog su značenja konačno djela kanadskog teologa i religijskog znanstvenika </w:t>
      </w:r>
      <w:r>
        <w:rPr>
          <w:rFonts w:ascii="Times New Roman" w:eastAsia="Times New Roman" w:hAnsi="Times New Roman" w:cs="Times New Roman"/>
          <w:color w:val="000000"/>
          <w:spacing w:val="0"/>
          <w:w w:val="100"/>
          <w:position w:val="0"/>
          <w:shd w:val="clear" w:color="auto" w:fill="auto"/>
          <w:lang w:val="en-US" w:eastAsia="en-US" w:bidi="en-US"/>
        </w:rPr>
        <w:t>Wilfreda Cantwella Smitha.</w:t>
      </w:r>
    </w:p>
    <w:p>
      <w:pPr>
        <w:pStyle w:val="Style20"/>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 području njemačkog protestantizma valja istaknuti napore </w:t>
      </w:r>
      <w:r>
        <w:rPr>
          <w:rFonts w:ascii="Times New Roman" w:eastAsia="Times New Roman" w:hAnsi="Times New Roman" w:cs="Times New Roman"/>
          <w:i/>
          <w:iCs/>
          <w:color w:val="000000"/>
          <w:spacing w:val="0"/>
          <w:w w:val="100"/>
          <w:position w:val="0"/>
          <w:shd w:val="clear" w:color="auto" w:fill="auto"/>
          <w:lang w:val="en-US" w:eastAsia="en-US" w:bidi="en-US"/>
        </w:rPr>
        <w:t>J.</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Boumana </w:t>
      </w:r>
      <w:r>
        <w:rPr>
          <w:rFonts w:ascii="Times New Roman" w:eastAsia="Times New Roman" w:hAnsi="Times New Roman" w:cs="Times New Roman"/>
          <w:i/>
          <w:iCs/>
          <w:color w:val="000000"/>
          <w:spacing w:val="0"/>
          <w:w w:val="100"/>
          <w:position w:val="0"/>
          <w:shd w:val="clear" w:color="auto" w:fill="auto"/>
          <w:lang w:val="hr-HR" w:eastAsia="hr-HR" w:bidi="hr-HR"/>
        </w:rPr>
        <w:t xml:space="preserve">(Cott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Mensch </w:t>
      </w:r>
      <w:r>
        <w:rPr>
          <w:rFonts w:ascii="Times New Roman" w:eastAsia="Times New Roman" w:hAnsi="Times New Roman" w:cs="Times New Roman"/>
          <w:i/>
          <w:iCs/>
          <w:color w:val="000000"/>
          <w:spacing w:val="0"/>
          <w:w w:val="100"/>
          <w:position w:val="0"/>
          <w:shd w:val="clear" w:color="auto" w:fill="auto"/>
          <w:lang w:val="hr-HR" w:eastAsia="hr-HR" w:bidi="hr-HR"/>
        </w:rPr>
        <w:t xml:space="preserve">im </w:t>
      </w:r>
      <w:r>
        <w:rPr>
          <w:rFonts w:ascii="Times New Roman" w:eastAsia="Times New Roman" w:hAnsi="Times New Roman" w:cs="Times New Roman"/>
          <w:i/>
          <w:iCs/>
          <w:color w:val="000000"/>
          <w:spacing w:val="0"/>
          <w:w w:val="100"/>
          <w:position w:val="0"/>
          <w:shd w:val="clear" w:color="auto" w:fill="auto"/>
          <w:lang w:val="en-US" w:eastAsia="en-US" w:bidi="en-US"/>
        </w:rPr>
        <w:t>Koran,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1977; </w:t>
      </w:r>
      <w:r>
        <w:rPr>
          <w:rFonts w:ascii="Times New Roman" w:eastAsia="Times New Roman" w:hAnsi="Times New Roman" w:cs="Times New Roman"/>
          <w:i/>
          <w:iCs/>
          <w:color w:val="000000"/>
          <w:spacing w:val="0"/>
          <w:w w:val="100"/>
          <w:position w:val="0"/>
          <w:shd w:val="clear" w:color="auto" w:fill="auto"/>
          <w:lang w:val="en-US" w:eastAsia="en-US" w:bidi="en-US"/>
        </w:rPr>
        <w:t>Das Wort vom Kreuz und das Bekenntnis zu Allah,</w:t>
      </w:r>
      <w:r>
        <w:rPr>
          <w:rFonts w:ascii="Times New Roman" w:eastAsia="Times New Roman" w:hAnsi="Times New Roman" w:cs="Times New Roman"/>
          <w:color w:val="000000"/>
          <w:spacing w:val="0"/>
          <w:w w:val="100"/>
          <w:position w:val="0"/>
          <w:shd w:val="clear" w:color="auto" w:fill="auto"/>
          <w:lang w:val="en-US" w:eastAsia="en-US" w:bidi="en-US"/>
        </w:rPr>
        <w:t xml:space="preserve"> 1980)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P. Schwarzenaua </w:t>
      </w:r>
      <w:r>
        <w:rPr>
          <w:rFonts w:ascii="Times New Roman" w:eastAsia="Times New Roman" w:hAnsi="Times New Roman" w:cs="Times New Roman"/>
          <w:i/>
          <w:iCs/>
          <w:color w:val="000000"/>
          <w:spacing w:val="0"/>
          <w:w w:val="100"/>
          <w:position w:val="0"/>
          <w:shd w:val="clear" w:color="auto" w:fill="auto"/>
          <w:lang w:val="en-US" w:eastAsia="en-US" w:bidi="en-US"/>
        </w:rPr>
        <w:t>(Korankunde fur Christen,</w:t>
      </w:r>
      <w:r>
        <w:rPr>
          <w:rFonts w:ascii="Times New Roman" w:eastAsia="Times New Roman" w:hAnsi="Times New Roman" w:cs="Times New Roman"/>
          <w:color w:val="000000"/>
          <w:spacing w:val="0"/>
          <w:w w:val="100"/>
          <w:position w:val="0"/>
          <w:shd w:val="clear" w:color="auto" w:fill="auto"/>
          <w:lang w:val="en-US" w:eastAsia="en-US" w:bidi="en-US"/>
        </w:rPr>
        <w:t xml:space="preserve"> 1982). Schwarzcnau sc </w:t>
      </w:r>
      <w:r>
        <w:rPr>
          <w:rFonts w:ascii="Times New Roman" w:eastAsia="Times New Roman" w:hAnsi="Times New Roman" w:cs="Times New Roman"/>
          <w:color w:val="000000"/>
          <w:spacing w:val="0"/>
          <w:w w:val="100"/>
          <w:position w:val="0"/>
          <w:shd w:val="clear" w:color="auto" w:fill="auto"/>
          <w:lang w:val="hr-HR" w:eastAsia="hr-HR" w:bidi="hr-HR"/>
        </w:rPr>
        <w:t>okomljuje na predrasude pre</w:t>
        <w:softHyphen/>
        <w:t>ma Kuranu i postavlja se za odvjetnika musli</w:t>
        <w:softHyphen/>
        <w:t>manskoga Svetog pisma. Zastupao je shvaća</w:t>
        <w:softHyphen/>
        <w:t>nje »da židovstvo, kršćanstvo i i. pripadaju za</w:t>
        <w:softHyphen/>
        <w:t>jedno i tvore cjelinu. Te tri monoteističke reli</w:t>
        <w:softHyphen/>
        <w:t>gije uzajamno ukazuju jedna na drugu. Jedna nadopunjava drugu, a to je tajna koja će se tek u eshatonu, u punini vremena, potpuno otkri</w:t>
        <w:softHyphen/>
        <w:t xml:space="preserve">ti« (9). Na protestantskom području svakako se </w:t>
      </w:r>
      <w:r>
        <w:rPr>
          <w:rFonts w:ascii="Times New Roman" w:eastAsia="Times New Roman" w:hAnsi="Times New Roman" w:cs="Times New Roman"/>
          <w:color w:val="000000"/>
          <w:spacing w:val="0"/>
          <w:w w:val="100"/>
          <w:position w:val="0"/>
          <w:shd w:val="clear" w:color="auto" w:fill="auto"/>
          <w:lang w:val="en-US" w:eastAsia="en-US" w:bidi="en-US"/>
        </w:rPr>
        <w:t xml:space="preserve">Schwarzenau </w:t>
      </w:r>
      <w:r>
        <w:rPr>
          <w:rFonts w:ascii="Times New Roman" w:eastAsia="Times New Roman" w:hAnsi="Times New Roman" w:cs="Times New Roman"/>
          <w:color w:val="000000"/>
          <w:spacing w:val="0"/>
          <w:w w:val="100"/>
          <w:position w:val="0"/>
          <w:shd w:val="clear" w:color="auto" w:fill="auto"/>
          <w:lang w:val="hr-HR" w:eastAsia="hr-HR" w:bidi="hr-HR"/>
        </w:rPr>
        <w:t>najviše odvažio u razumije</w:t>
        <w:softHyphen/>
        <w:t>vanju i teološkom uvažavanju islama.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w:t>
      </w:r>
      <w:r>
        <w:rPr>
          <w:color w:val="000000"/>
          <w:spacing w:val="0"/>
          <w:w w:val="100"/>
          <w:position w:val="0"/>
          <w:shd w:val="clear" w:color="auto" w:fill="auto"/>
        </w:rPr>
        <w:t xml:space="preserve">Brenner. </w:t>
      </w:r>
      <w:r>
        <w:rPr>
          <w:i/>
          <w:iCs/>
          <w:color w:val="000000"/>
          <w:spacing w:val="0"/>
          <w:w w:val="100"/>
          <w:position w:val="0"/>
          <w:shd w:val="clear" w:color="auto" w:fill="auto"/>
          <w:lang w:val="hr-HR" w:eastAsia="hr-HR" w:bidi="hr-HR"/>
        </w:rPr>
        <w:t xml:space="preserve">Protestaniische </w:t>
      </w:r>
      <w:r>
        <w:rPr>
          <w:i/>
          <w:iCs/>
          <w:color w:val="000000"/>
          <w:spacing w:val="0"/>
          <w:w w:val="100"/>
          <w:position w:val="0"/>
          <w:shd w:val="clear" w:color="auto" w:fill="auto"/>
        </w:rPr>
        <w:t xml:space="preserve">Orthodoxie </w:t>
      </w:r>
      <w:r>
        <w:rPr>
          <w:i/>
          <w:iCs/>
          <w:color w:val="000000"/>
          <w:spacing w:val="0"/>
          <w:w w:val="100"/>
          <w:position w:val="0"/>
          <w:shd w:val="clear" w:color="auto" w:fill="auto"/>
          <w:lang w:val="hr-HR" w:eastAsia="hr-HR" w:bidi="hr-HR"/>
        </w:rPr>
        <w:t xml:space="preserve">und Islam </w:t>
      </w:r>
      <w:r>
        <w:rPr>
          <w:color w:val="000000"/>
          <w:spacing w:val="0"/>
          <w:w w:val="100"/>
          <w:position w:val="0"/>
          <w:shd w:val="clear" w:color="auto" w:fill="auto"/>
          <w:lang w:val="hr-HR" w:eastAsia="hr-HR" w:bidi="hr-HR"/>
        </w:rPr>
        <w:t xml:space="preserve">(ncobj. </w:t>
      </w:r>
      <w:r>
        <w:rPr>
          <w:color w:val="000000"/>
          <w:spacing w:val="0"/>
          <w:w w:val="100"/>
          <w:position w:val="0"/>
          <w:shd w:val="clear" w:color="auto" w:fill="auto"/>
        </w:rPr>
        <w:t xml:space="preserve">dis.), Heidelberg </w:t>
      </w:r>
      <w:r>
        <w:rPr>
          <w:color w:val="000000"/>
          <w:spacing w:val="0"/>
          <w:w w:val="100"/>
          <w:position w:val="0"/>
          <w:shd w:val="clear" w:color="auto" w:fill="auto"/>
          <w:lang w:val="hr-HR" w:eastAsia="hr-HR" w:bidi="hr-HR"/>
        </w:rPr>
        <w:t xml:space="preserve">1968; N. </w:t>
      </w:r>
      <w:r>
        <w:rPr>
          <w:color w:val="000000"/>
          <w:spacing w:val="0"/>
          <w:w w:val="100"/>
          <w:position w:val="0"/>
          <w:shd w:val="clear" w:color="auto" w:fill="auto"/>
        </w:rPr>
        <w:t xml:space="preserve">Daniel, </w:t>
      </w:r>
      <w:r>
        <w:rPr>
          <w:i/>
          <w:iCs/>
          <w:color w:val="000000"/>
          <w:spacing w:val="0"/>
          <w:w w:val="100"/>
          <w:position w:val="0"/>
          <w:shd w:val="clear" w:color="auto" w:fill="auto"/>
        </w:rPr>
        <w:t>Islam and the West,</w:t>
      </w:r>
      <w:r>
        <w:rPr>
          <w:color w:val="000000"/>
          <w:spacing w:val="0"/>
          <w:w w:val="100"/>
          <w:position w:val="0"/>
          <w:shd w:val="clear" w:color="auto" w:fill="auto"/>
        </w:rPr>
        <w:t xml:space="preserve"> Edinburgh </w:t>
      </w:r>
      <w:r>
        <w:rPr>
          <w:color w:val="000000"/>
          <w:spacing w:val="0"/>
          <w:w w:val="100"/>
          <w:position w:val="0"/>
          <w:shd w:val="clear" w:color="auto" w:fill="auto"/>
          <w:vertAlign w:val="superscript"/>
          <w:lang w:val="hr-HR" w:eastAsia="hr-HR" w:bidi="hr-HR"/>
        </w:rPr>
        <w:t>J</w:t>
      </w:r>
      <w:r>
        <w:rPr>
          <w:color w:val="000000"/>
          <w:spacing w:val="0"/>
          <w:w w:val="100"/>
          <w:position w:val="0"/>
          <w:shd w:val="clear" w:color="auto" w:fill="auto"/>
          <w:lang w:val="hr-HR" w:eastAsia="hr-HR" w:bidi="hr-HR"/>
        </w:rPr>
        <w:t xml:space="preserve">l966 (1958); isti, </w:t>
      </w:r>
      <w:r>
        <w:rPr>
          <w:i/>
          <w:iCs/>
          <w:color w:val="000000"/>
          <w:spacing w:val="0"/>
          <w:w w:val="100"/>
          <w:position w:val="0"/>
          <w:shd w:val="clear" w:color="auto" w:fill="auto"/>
        </w:rPr>
        <w:t>The Arabs and Medieval Europe,</w:t>
      </w:r>
      <w:r>
        <w:rPr>
          <w:color w:val="000000"/>
          <w:spacing w:val="0"/>
          <w:w w:val="100"/>
          <w:position w:val="0"/>
          <w:shd w:val="clear" w:color="auto" w:fill="auto"/>
        </w:rPr>
        <w:t xml:space="preserve"> London/Bcirut 1975; K. Hock, </w:t>
      </w:r>
      <w:r>
        <w:rPr>
          <w:i/>
          <w:iCs/>
          <w:color w:val="000000"/>
          <w:spacing w:val="0"/>
          <w:w w:val="100"/>
          <w:position w:val="0"/>
          <w:shd w:val="clear" w:color="auto" w:fill="auto"/>
        </w:rPr>
        <w:t>Der Islam im Spiegel wesilicher Theologie,</w:t>
      </w:r>
      <w:r>
        <w:rPr>
          <w:color w:val="000000"/>
          <w:spacing w:val="0"/>
          <w:w w:val="100"/>
          <w:position w:val="0"/>
          <w:shd w:val="clear" w:color="auto" w:fill="auto"/>
        </w:rPr>
        <w:t xml:space="preserve"> KOIo/Wicn 1986; A. Th. Khoury, </w:t>
      </w:r>
      <w:r>
        <w:rPr>
          <w:i/>
          <w:iCs/>
          <w:color w:val="000000"/>
          <w:spacing w:val="0"/>
          <w:w w:val="100"/>
          <w:position w:val="0"/>
          <w:shd w:val="clear" w:color="auto" w:fill="auto"/>
        </w:rPr>
        <w:t>Po- lemique byzantine conire Tisiam,</w:t>
      </w:r>
      <w:r>
        <w:rPr>
          <w:color w:val="000000"/>
          <w:spacing w:val="0"/>
          <w:w w:val="100"/>
          <w:position w:val="0"/>
          <w:shd w:val="clear" w:color="auto" w:fill="auto"/>
        </w:rPr>
        <w:t xml:space="preserve"> Leiden *1972; J. Moor</w:t>
        <w:softHyphen/>
        <w:t>head, The Earliest Christian Theological Response to Is</w:t>
        <w:softHyphen/>
        <w:t xml:space="preserve">lam, u: </w:t>
      </w:r>
      <w:r>
        <w:rPr>
          <w:i/>
          <w:iCs/>
          <w:color w:val="000000"/>
          <w:spacing w:val="0"/>
          <w:w w:val="100"/>
          <w:position w:val="0"/>
          <w:shd w:val="clear" w:color="auto" w:fill="auto"/>
        </w:rPr>
        <w:t>Religion</w:t>
      </w:r>
      <w:r>
        <w:rPr>
          <w:color w:val="000000"/>
          <w:spacing w:val="0"/>
          <w:w w:val="100"/>
          <w:position w:val="0"/>
          <w:shd w:val="clear" w:color="auto" w:fill="auto"/>
        </w:rPr>
        <w:t xml:space="preserve"> 11 (1981), 265—274; R. W. Southern, </w:t>
      </w:r>
      <w:r>
        <w:rPr>
          <w:i/>
          <w:iCs/>
          <w:color w:val="000000"/>
          <w:spacing w:val="0"/>
          <w:w w:val="100"/>
          <w:position w:val="0"/>
          <w:shd w:val="clear" w:color="auto" w:fill="auto"/>
        </w:rPr>
        <w:t>Das Islambitd des Miuelahers,</w:t>
      </w:r>
      <w:r>
        <w:rPr>
          <w:color w:val="000000"/>
          <w:spacing w:val="0"/>
          <w:w w:val="100"/>
          <w:position w:val="0"/>
          <w:shd w:val="clear" w:color="auto" w:fill="auto"/>
        </w:rPr>
        <w:t xml:space="preserve"> Stuttgart 1981; M. Tworuscbka, </w:t>
      </w:r>
      <w:r>
        <w:rPr>
          <w:i/>
          <w:iCs/>
          <w:color w:val="000000"/>
          <w:spacing w:val="0"/>
          <w:w w:val="100"/>
          <w:position w:val="0"/>
          <w:shd w:val="clear" w:color="auto" w:fill="auto"/>
        </w:rPr>
        <w:t>Analyse der Geschichtsbilcher zum Thema Islam (= Der Is</w:t>
        <w:softHyphen/>
      </w:r>
      <w:r>
        <w:rPr>
          <w:i/>
          <w:iCs/>
          <w:color w:val="000000"/>
          <w:spacing w:val="0"/>
          <w:w w:val="100"/>
          <w:position w:val="0"/>
          <w:shd w:val="clear" w:color="auto" w:fill="auto"/>
        </w:rPr>
        <w:t xml:space="preserve">lam in den Schulbuchern der Bundesrepublik Deutschland, </w:t>
      </w:r>
      <w:r>
        <w:rPr>
          <w:color w:val="000000"/>
          <w:spacing w:val="0"/>
          <w:w w:val="100"/>
          <w:position w:val="0"/>
          <w:shd w:val="clear" w:color="auto" w:fill="auto"/>
        </w:rPr>
        <w:t>niz: Studicn zur Intcroationalcn Schulbuchforschung, Bd.</w:t>
      </w:r>
    </w:p>
    <w:p>
      <w:pPr>
        <w:pStyle w:val="Style56"/>
        <w:keepNext w:val="0"/>
        <w:keepLines w:val="0"/>
        <w:widowControl w:val="0"/>
        <w:numPr>
          <w:ilvl w:val="0"/>
          <w:numId w:val="175"/>
        </w:numPr>
        <w:shd w:val="clear" w:color="auto" w:fill="auto"/>
        <w:tabs>
          <w:tab w:pos="308" w:val="left"/>
        </w:tabs>
        <w:bidi w:val="0"/>
        <w:spacing w:before="0" w:after="0" w:line="240" w:lineRule="auto"/>
        <w:ind w:left="0" w:right="0" w:firstLine="0"/>
        <w:jc w:val="both"/>
      </w:pPr>
      <w:r>
        <w:rPr>
          <w:color w:val="000000"/>
          <w:spacing w:val="0"/>
          <w:w w:val="100"/>
          <w:position w:val="0"/>
          <w:shd w:val="clear" w:color="auto" w:fill="auto"/>
        </w:rPr>
        <w:t xml:space="preserve">. Braunschweig 1986; U. Twonischka, </w:t>
      </w:r>
      <w:r>
        <w:rPr>
          <w:i/>
          <w:iCs/>
          <w:color w:val="000000"/>
          <w:spacing w:val="0"/>
          <w:w w:val="100"/>
          <w:position w:val="0"/>
          <w:shd w:val="clear" w:color="auto" w:fill="auto"/>
        </w:rPr>
        <w:t>Analyse der evan- gelischen Religionsbucher zum Thcma Islam</w:t>
      </w:r>
      <w:r>
        <w:rPr>
          <w:color w:val="000000"/>
          <w:spacing w:val="0"/>
          <w:w w:val="100"/>
          <w:position w:val="0"/>
          <w:shd w:val="clear" w:color="auto" w:fill="auto"/>
        </w:rPr>
        <w:t xml:space="preserve"> (- ihjd . Bd.</w:t>
      </w:r>
    </w:p>
    <w:p>
      <w:pPr>
        <w:pStyle w:val="Style56"/>
        <w:keepNext w:val="0"/>
        <w:keepLines w:val="0"/>
        <w:widowControl w:val="0"/>
        <w:numPr>
          <w:ilvl w:val="0"/>
          <w:numId w:val="175"/>
        </w:numPr>
        <w:shd w:val="clear" w:color="auto" w:fill="auto"/>
        <w:tabs>
          <w:tab w:pos="303" w:val="left"/>
          <w:tab w:pos="2064" w:val="left"/>
        </w:tabs>
        <w:bidi w:val="0"/>
        <w:spacing w:before="0" w:after="320" w:line="240" w:lineRule="auto"/>
        <w:ind w:left="0" w:right="0" w:firstLine="0"/>
        <w:jc w:val="both"/>
      </w:pPr>
      <w:r>
        <w:rPr>
          <w:color w:val="000000"/>
          <w:spacing w:val="0"/>
          <w:w w:val="100"/>
          <w:position w:val="0"/>
          <w:shd w:val="clear" w:color="auto" w:fill="auto"/>
        </w:rPr>
        <w:t>. Braunschweig 1986.</w:t>
        <w:tab/>
        <w:t>U. TWORUSC1IKA</w:t>
      </w:r>
    </w:p>
    <w:p>
      <w:pPr>
        <w:pStyle w:val="Style63"/>
        <w:keepNext/>
        <w:keepLines/>
        <w:widowControl w:val="0"/>
        <w:numPr>
          <w:ilvl w:val="0"/>
          <w:numId w:val="177"/>
        </w:numPr>
        <w:shd w:val="clear" w:color="auto" w:fill="auto"/>
        <w:tabs>
          <w:tab w:pos="260" w:val="left"/>
          <w:tab w:pos="2789" w:val="left"/>
        </w:tabs>
        <w:bidi w:val="0"/>
        <w:spacing w:before="0"/>
        <w:ind w:left="0" w:right="0" w:firstLine="0"/>
        <w:jc w:val="both"/>
      </w:pPr>
      <w:bookmarkStart w:id="129" w:name="bookmark129"/>
      <w:r>
        <w:rPr>
          <w:rFonts w:ascii="Times New Roman" w:eastAsia="Times New Roman" w:hAnsi="Times New Roman" w:cs="Times New Roman"/>
          <w:color w:val="000000"/>
          <w:spacing w:val="0"/>
          <w:w w:val="100"/>
          <w:position w:val="0"/>
          <w:shd w:val="clear" w:color="auto" w:fill="auto"/>
          <w:lang w:val="hr-HR" w:eastAsia="hr-HR" w:bidi="hr-HR"/>
        </w:rPr>
        <w:t>islamski</w:t>
        <w:tab/>
        <w:t>»</w:t>
      </w:r>
      <w:bookmarkEnd w:id="12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 pitanje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korijenima islama </w:t>
      </w:r>
      <w:r>
        <w:rPr>
          <w:rFonts w:ascii="Times New Roman" w:eastAsia="Times New Roman" w:hAnsi="Times New Roman" w:cs="Times New Roman"/>
          <w:color w:val="000000"/>
          <w:spacing w:val="0"/>
          <w:w w:val="100"/>
          <w:position w:val="0"/>
          <w:shd w:val="clear" w:color="auto" w:fill="auto"/>
          <w:lang w:val="en-US" w:eastAsia="en-US" w:bidi="en-US"/>
        </w:rPr>
        <w:t xml:space="preserve">Kuran </w:t>
      </w:r>
      <w:r>
        <w:rPr>
          <w:rFonts w:ascii="Times New Roman" w:eastAsia="Times New Roman" w:hAnsi="Times New Roman" w:cs="Times New Roman"/>
          <w:color w:val="000000"/>
          <w:spacing w:val="0"/>
          <w:w w:val="100"/>
          <w:position w:val="0"/>
          <w:shd w:val="clear" w:color="auto" w:fill="auto"/>
          <w:lang w:val="hr-HR" w:eastAsia="hr-HR" w:bidi="hr-HR"/>
        </w:rPr>
        <w:t>odgo</w:t>
        <w:softHyphen/>
        <w:t xml:space="preserve">vara: »Reci: ‘Meni je naređeno da obožavam Boga </w:t>
      </w:r>
      <w:r>
        <w:rPr>
          <w:rFonts w:ascii="Arial" w:eastAsia="Arial" w:hAnsi="Arial" w:cs="Arial"/>
          <w:i/>
          <w:iCs/>
          <w:color w:val="000000"/>
          <w:spacing w:val="0"/>
          <w:w w:val="100"/>
          <w:position w:val="0"/>
          <w:sz w:val="12"/>
          <w:szCs w:val="12"/>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da Mu budem iskren u vjeri« (39,11). Dakle, i. je jednak vođenju života u znaku predanosti Bogu. Na pitanje, »Sto je i.?«, Mu</w:t>
        <w:softHyphen/>
        <w:t>hamed je odgovorio: »I. je molitva Bogu u ko</w:t>
        <w:softHyphen/>
        <w:t>joj mu se ništa ne pridodaje, obavljanje mo</w:t>
        <w:softHyphen/>
        <w:t>litvi, davanje socijalnoga prinosa i post za vri</w:t>
        <w:softHyphen/>
        <w:t>jeme mjeseca ramazana, ali i nahranjivanje gladnih, prijateljski pozdrav upućen poznani</w:t>
        <w:softHyphen/>
        <w:t>cima i nepoznatima«. Drugi put je Muhamed kazao: »Najbolji je i. onoga muslimana od čije ruke i jezika nitko ne mora strahovati«.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potvrdu pripadnosti islamu dovoljna je sasvim određena formula ispovijedi koja se izgovara iz srca. Ta formula počinje s nije</w:t>
        <w:softHyphen/>
        <w:t>kanjem nakon kojega započinje apodiktična potvrdna ispovijed: »Nema nikakvoga drugog božanstva osim jednoga Boga«. Ta je formula znakovita za bit islama: Premda se drži bib</w:t>
        <w:softHyphen/>
        <w:t>lijske tradicije, on se postavlja iznad brojnih nazora i vjerskih praktika »ljudi Biblije«, kako se u Kuranu nazivaju Židovi i kršćani. K tomu se u islamu uvažavaju glavni iskazi Biblije; oni zapravo sačinjavaju njegov glavni sadržaj.</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 »i.« je arapskoga podrijetla i ima tri zna</w:t>
        <w:softHyphen/>
        <w:t>čenja: predanost, traganje za mirom i spas. U teološkom jeziku i. se shvaća kao predanost Bogu. Ljudi koji žive pod tim znakom zovu se muslimani ili u indoiranskom izgovoru - mos- lemani. Bog stoji u središtu islamske vjere, a ne Muhamed (571-632), navjestitelj islama.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povezanost s čovjekom služi objava. Nauk islama vrhuni u ispovijedi da je samo jedan Bog i da sve što postoji ima nalog koji je dan od Boga, dakle služi Bogu. Čovjek ne može izbjeći taj nalog, premda je po Kuranu Božji predstavnik na zemlji.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prihvaća sve biblijske proroke. On je univer</w:t>
        <w:softHyphen/>
        <w:t>zalan i stoga se ne smije razumjeti kao »mu- hameđanizam«. Muhamed nije prvobitno htio ukinuti niti židovstvo niti kršćanstvo; on je je</w:t>
        <w:softHyphen/>
        <w:t>dino težio ponovnom promišljanju o auten</w:t>
        <w:softHyphen/>
        <w:t>tičnim sadržajima objave, tako kako ih je on razumio. U »crkvenoj povijesti« on je bio je</w:t>
        <w:softHyphen/>
      </w:r>
      <w:r>
        <w:rPr>
          <w:rFonts w:ascii="Times New Roman" w:eastAsia="Times New Roman" w:hAnsi="Times New Roman" w:cs="Times New Roman"/>
          <w:color w:val="000000"/>
          <w:spacing w:val="0"/>
          <w:w w:val="100"/>
          <w:position w:val="0"/>
          <w:shd w:val="clear" w:color="auto" w:fill="auto"/>
          <w:lang w:val="hr-HR" w:eastAsia="hr-HR" w:bidi="hr-HR"/>
        </w:rPr>
        <w:t>dan od prvih koji su se usprotivili otuđenju biblijskih tekstova. Sve tri religije - židovstvo, kršćanstvo i religijsku varijantu koju je on na</w:t>
        <w:softHyphen/>
        <w:t>učavao - promatrao je kao tri grane jednog te istog stabla.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Boga u islamu jest čisto monoteistički i osobni Bog, koji je Stvoritelj i Uzdržavatelj svjetova, ne nalikuje ni mrtvoj niti živoj pri</w:t>
        <w:softHyphen/>
        <w:t>rodi. On je slobodan od svakog ograničenja koje se očituje rođenjem i smrću. Ne zahvaća ga ni oko niti osjetilo. Nedopustivo je pripisi</w:t>
        <w:softHyphen/>
        <w:t>vati Bogu spolna obilježja. Nad ljudima bes</w:t>
        <w:softHyphen/>
        <w:t>konačno uzvišen, On im je ipak »bliži od žile kucavice« (50,16). Po islamskome shvaćanju, svaki čovjek dolazi na svijet kao »neispisani papir«. Nasljedni grijeh nije poznat. »Svatko je pastir; odgovoran za svoje stado«, govorio je Muhamed. Onaj tko djeluje u smislu te od</w:t>
        <w:softHyphen/>
        <w:t>govornosti i u skladu s Božjim zapovijedima, zaslužuje vječni život na zadovoljstvo Gospo</w:t>
        <w:softHyphen/>
        <w:t>dina. Grešnici će iskusiti posljedice svojih pro</w:t>
        <w:softHyphen/>
        <w:t>pusta ili na zemlji ili u onome životu. Onaj tko ispravi počinjenu nepravdu ili se pokaje, smije se nadati u Božju milost. Vjera u uskrsnuće nakon smrti predstavlja nerazdvojni dio isla</w:t>
        <w:softHyphen/>
        <w:t>ma. Dobro se nagrađuje, zlo kažnjava. Po na</w:t>
        <w:softHyphen/>
        <w:t>zoru razmjerno liberalne hanefitske pravne škole, kazne u onome životu imaju svoj kraj. »Tko služi Bogu kako bi bio nagrađen u raju, taj ima nekakvu manu. Naprotiv, ispravno je da lice Božje traži jedino djelom« - tako je go</w:t>
        <w:softHyphen/>
        <w:t xml:space="preserve">vorio teolog </w:t>
      </w:r>
      <w:r>
        <w:rPr>
          <w:rFonts w:ascii="Times New Roman" w:eastAsia="Times New Roman" w:hAnsi="Times New Roman" w:cs="Times New Roman"/>
          <w:color w:val="000000"/>
          <w:spacing w:val="0"/>
          <w:w w:val="100"/>
          <w:position w:val="0"/>
          <w:shd w:val="clear" w:color="auto" w:fill="auto"/>
          <w:lang w:val="en-US" w:eastAsia="en-US" w:bidi="en-US"/>
        </w:rPr>
        <w:t>Abu Muhammad Ruwaym.</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 - tj. glavno svjedočanstvo islama - ne poznaje nikakvo misionarstvo. »Islamska mi</w:t>
        <w:softHyphen/>
        <w:t>sija« predstavlja oponašanje kršćanskoga na</w:t>
        <w:softHyphen/>
        <w:t>loga poslanja. Ona je započela u Indiji, gdje se i. osjećao vrlo ugroženim kršćanskom misi</w:t>
        <w:softHyphen/>
        <w:t>jom. Stihovi iz Kurana, koje branitelji »islam</w:t>
        <w:softHyphen/>
        <w:t>ske misije« navode kao obrazloženje svoje djelatnosti, odnose se u stvari na moralnu skrb vlastite zajednice i na ophođenje s pristašama drugih vjeroispovijesti.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Stav islama prema životu je pozitivan. Altrui</w:t>
        <w:softHyphen/>
        <w:t>zam je na vrhu vrijednosne skale. »Imutak i djeca su ukras ovoga svijeta. Nasuprot tomu, u očima umnika bolja su trajna dobra djela.« S rastućim utjecajem mistike, koja je počela jačati u XIII. stoljeću raspadom Abasidskoga Carstva, širila se pesimistična filozofija. U to je vrijeme mogla nastati navodna proročka iz</w:t>
        <w:softHyphen/>
        <w:t>reka, po kojoj je ovaj svijet »za vjernike pa</w:t>
        <w:softHyphen/>
      </w:r>
      <w:r>
        <w:rPr>
          <w:rFonts w:ascii="Times New Roman" w:eastAsia="Times New Roman" w:hAnsi="Times New Roman" w:cs="Times New Roman"/>
          <w:color w:val="000000"/>
          <w:spacing w:val="0"/>
          <w:w w:val="100"/>
          <w:position w:val="0"/>
          <w:shd w:val="clear" w:color="auto" w:fill="auto"/>
          <w:lang w:val="hr-HR" w:eastAsia="hr-HR" w:bidi="hr-HR"/>
        </w:rPr>
        <w:t>kao, a za nevjernike, naprotiv, raj«. Usmjere</w:t>
        <w:softHyphen/>
        <w:t>nost islama na svijet potvrđuje se nizom soci</w:t>
        <w:softHyphen/>
        <w:t>jalnih propisa kao i zapovijedima da se go</w:t>
        <w:softHyphen/>
        <w:t>dišnje daje prinos u iznosu od 2,5% obrta (uključujući dragocjenosti), da se oživljavaju pobožne zaklade i da se izbjegava alkohol. Prema islamskoj socijalnoj etici, rijeke, mora, rudna blaga i zračni prostor predstavljaju za</w:t>
        <w:softHyphen/>
        <w:t>jedničko vlasništvo.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Crta razdvajanja između duhovnog i materi</w:t>
        <w:softHyphen/>
        <w:t>jalnog u islamu je slabo izražena. Polazi se od pretpostavke da se ta dva područja života me</w:t>
        <w:softHyphen/>
        <w:t>đusobno križaju. Stoga mnogi muslimani pro</w:t>
        <w:softHyphen/>
        <w:t>matraju religiju i politiku kao sestre blizanke. S općeljudskim elhosom u središtu vjeroispo</w:t>
        <w:softHyphen/>
        <w:t>vijest ipak za sobom povlači političke konze- kvcncije. I. zahtijeva da svatko u društvu za</w:t>
        <w:softHyphen/>
        <w:t>uzima ono mjesto koje mu pripada prema nje</w:t>
        <w:softHyphen/>
        <w:t>govim kvalifikacijama. Krivo je mišljenje da i. ne poznaje nikakva ljudska prava. On poznaje ništa manje nego dvadeset temeljnih ljudskih prava, medu njima pravo na život i slobodu, na zaštitu od državnih prekoračivanja ovlasti i zlorabe, pravo na azil, na zaštitu manjina, na slobodu vjere, pravo na socijalnu sigurnost i na radnu zaštitu. U Kuranu se izričito govori o ljudskome dostojanstvu: »Mi smo Adamo</w:t>
        <w:softHyphen/>
        <w:t>vim sinovima [i kćerima] dali dostojanstvo«.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je dužan borili se protiv nepravde i agresije u svijetu. »Neka vas ne navede mržnja naroda na prijestupe. Potpomažitc se među</w:t>
        <w:softHyphen/>
        <w:t>sobno u dobročinstvu i bogobojaznosti« (5,3). U Kuranu i u tradiciji ima mnogo iskaza koji ukazuju na to da je uvijek bolje oprostiti i vraćati zlo dobrim nego se osvećivati: »Doista, onaj tko ima strpljenja i oprašta, pokazuje snagu duha« (42,44). Te je misli prihvatila i dalje razvijala teologija, posebice mistika. Ta</w:t>
        <w:softHyphen/>
        <w:t>ko u islamu svakako susrećemo preporuke da se neprijatelja ljubi kada je u pitanju čisto osobni odnos. »Kako to da se onda i. danas čini tako grubim?« Kako to da se on tako ma</w:t>
        <w:softHyphen/>
        <w:t>lo brine o svetim ljudskim pravima? Ta su pi</w:t>
        <w:softHyphen/>
        <w:t>tanja često postavljana nakon »Islamske revo</w:t>
        <w:softHyphen/>
        <w:t>lucije« u Iranu 1979. godine. Odgovor glasi: »7_alo što u Kuranu - kao i u Bibliji - svatko nalazi ono što traži i zato što je Treći svijet sklon shvaćati religiju kao ideologiju«. Potpu</w:t>
        <w:softHyphen/>
        <w:t xml:space="preserve">nijem razumijevanju tog jaza mogu doprinijeti riječi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Wemera </w:t>
      </w:r>
      <w:r>
        <w:rPr>
          <w:rFonts w:ascii="Times New Roman" w:eastAsia="Times New Roman" w:hAnsi="Times New Roman" w:cs="Times New Roman"/>
          <w:i/>
          <w:iCs/>
          <w:color w:val="000000"/>
          <w:spacing w:val="0"/>
          <w:w w:val="100"/>
          <w:position w:val="0"/>
          <w:shd w:val="clear" w:color="auto" w:fill="auto"/>
          <w:lang w:val="hr-HR" w:eastAsia="hr-HR" w:bidi="hr-HR"/>
        </w:rPr>
        <w:t>Heisenberga:</w:t>
      </w:r>
      <w:r>
        <w:rPr>
          <w:rFonts w:ascii="Times New Roman" w:eastAsia="Times New Roman" w:hAnsi="Times New Roman" w:cs="Times New Roman"/>
          <w:color w:val="000000"/>
          <w:spacing w:val="0"/>
          <w:w w:val="100"/>
          <w:position w:val="0"/>
          <w:shd w:val="clear" w:color="auto" w:fill="auto"/>
          <w:lang w:val="hr-HR" w:eastAsia="hr-HR" w:bidi="hr-HR"/>
        </w:rPr>
        <w:t xml:space="preserve"> »Čovjek se uvijek susreće u zbiljnosti jedino sa samim sobom; između njegovoga pitanja i njegovog odgo</w:t>
        <w:softHyphen/>
      </w:r>
      <w:r>
        <w:rPr>
          <w:rFonts w:ascii="Times New Roman" w:eastAsia="Times New Roman" w:hAnsi="Times New Roman" w:cs="Times New Roman"/>
          <w:color w:val="000000"/>
          <w:spacing w:val="0"/>
          <w:w w:val="100"/>
          <w:position w:val="0"/>
          <w:shd w:val="clear" w:color="auto" w:fill="auto"/>
          <w:lang w:val="hr-HR" w:eastAsia="hr-HR" w:bidi="hr-HR"/>
        </w:rPr>
        <w:t>vora postoji neukidiva relacija«. Kuran, kako se zove islamska objava koju je posredovao Muhamed, samo je jedan član u nizu spisa ob</w:t>
        <w:softHyphen/>
        <w:t>jave, među koje spadaju i Tora, evanđelja i psalmi, no on ima konačni i dijelom ukidajući karakter. Tako se i. u svojoj provedbi postav</w:t>
        <w:softHyphen/>
        <w:t>lja kao nadređena vrijednost koju je htio Bog i koja ne trpi nikakvu subordinaciju. Čovjek ni</w:t>
        <w:softHyphen/>
        <w:t xml:space="preserve">je u islamu mjera svih stvari; to je samo Bog. Ali je islamsko bogoslužje </w:t>
      </w:r>
      <w:r>
        <w:rPr>
          <w:rFonts w:ascii="Times New Roman" w:eastAsia="Times New Roman" w:hAnsi="Times New Roman" w:cs="Times New Roman"/>
          <w:i/>
          <w:iCs/>
          <w:color w:val="000000"/>
          <w:spacing w:val="0"/>
          <w:w w:val="100"/>
          <w:position w:val="0"/>
          <w:shd w:val="clear" w:color="auto" w:fill="auto"/>
          <w:lang w:val="hr-HR" w:eastAsia="hr-HR" w:bidi="hr-HR"/>
        </w:rPr>
        <w:t>(‘ibada)</w:t>
      </w:r>
      <w:r>
        <w:rPr>
          <w:rFonts w:ascii="Times New Roman" w:eastAsia="Times New Roman" w:hAnsi="Times New Roman" w:cs="Times New Roman"/>
          <w:color w:val="000000"/>
          <w:spacing w:val="0"/>
          <w:w w:val="100"/>
          <w:position w:val="0"/>
          <w:shd w:val="clear" w:color="auto" w:fill="auto"/>
          <w:lang w:val="hr-HR" w:eastAsia="hr-HR" w:bidi="hr-HR"/>
        </w:rPr>
        <w:t xml:space="preserve"> u konač- nici ipak služenje i čovjeku. »Tko je čist u svo</w:t>
        <w:softHyphen/>
        <w:t>jim djelima?«, pita Muhamed al-Gazali (u. 1111), veliki teolog islama, i pušta Isusa da odgovori: »Tko čini djela za Boga, bez želje da ga zbog toga nagradi neki čovjek«. U mus</w:t>
        <w:softHyphen/>
        <w:t>limanskom teološkom shvaćanju i. je ona reli</w:t>
        <w:softHyphen/>
        <w:t>gija koja se kao božanska objava provlači kroz cjelokupnu povijest i u kojoj su se Mojsije i Isus ispovijedali jednako kao i Muhamed. Mnogi su muslimani - posebice muslimani Trećega svijeta - skloni vidjeli u islamu reli</w:t>
        <w:softHyphen/>
        <w:t xml:space="preserve">giju i državu </w:t>
      </w:r>
      <w:r>
        <w:rPr>
          <w:rFonts w:ascii="Times New Roman" w:eastAsia="Times New Roman" w:hAnsi="Times New Roman" w:cs="Times New Roman"/>
          <w:i/>
          <w:iCs/>
          <w:color w:val="000000"/>
          <w:spacing w:val="0"/>
          <w:w w:val="100"/>
          <w:position w:val="0"/>
          <w:shd w:val="clear" w:color="auto" w:fill="auto"/>
          <w:lang w:val="hr-HR" w:eastAsia="hr-HR" w:bidi="hr-HR"/>
        </w:rPr>
        <w:t xml:space="preserve">(din </w:t>
      </w:r>
      <w:r>
        <w:rPr>
          <w:rFonts w:ascii="Times New Roman" w:eastAsia="Times New Roman" w:hAnsi="Times New Roman" w:cs="Times New Roman"/>
          <w:i/>
          <w:iCs/>
          <w:color w:val="000000"/>
          <w:spacing w:val="0"/>
          <w:w w:val="100"/>
          <w:position w:val="0"/>
          <w:shd w:val="clear" w:color="auto" w:fill="auto"/>
          <w:lang w:val="en-US" w:eastAsia="en-US" w:bidi="en-US"/>
        </w:rPr>
        <w:t>wa dawla).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Ali u Kuranu nema nikakva uporišta za takvo shvaćanje is</w:t>
        <w:softHyphen/>
        <w:t>lama.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Višestruko se vjeruje da je i. kruta religija za</w:t>
        <w:softHyphen/>
        <w:t>kona. To proturječi njegovu samorazumijeva- nju. No, on se ipak promatra kao vječna božanska poruka koja stoji na početku povi</w:t>
        <w:softHyphen/>
        <w:t>jesti i koja važi sve do kraja vremena. U du</w:t>
        <w:softHyphen/>
        <w:t>gom lijeku povijesti bilo je nebrojenih vari</w:t>
        <w:softHyphen/>
        <w:t xml:space="preserve">janti zakona - pa i božanskoga Zakona. Pre- sižuća vrijednost islamskoga nauka, koja se odnosi na čovjeka, nedvojbeno je opći </w:t>
      </w:r>
      <w:r>
        <w:rPr>
          <w:rFonts w:ascii="Times New Roman" w:eastAsia="Times New Roman" w:hAnsi="Times New Roman" w:cs="Times New Roman"/>
          <w:color w:val="000000"/>
          <w:spacing w:val="0"/>
          <w:w w:val="100"/>
          <w:position w:val="0"/>
          <w:shd w:val="clear" w:color="auto" w:fill="auto"/>
          <w:lang w:val="en-US" w:eastAsia="en-US" w:bidi="en-US"/>
        </w:rPr>
        <w:t xml:space="preserve">ethos. </w:t>
      </w:r>
      <w:r>
        <w:rPr>
          <w:rFonts w:ascii="Times New Roman" w:eastAsia="Times New Roman" w:hAnsi="Times New Roman" w:cs="Times New Roman"/>
          <w:color w:val="000000"/>
          <w:spacing w:val="0"/>
          <w:w w:val="100"/>
          <w:position w:val="0"/>
          <w:shd w:val="clear" w:color="auto" w:fill="auto"/>
          <w:lang w:val="hr-HR" w:eastAsia="hr-HR" w:bidi="hr-HR"/>
        </w:rPr>
        <w:t xml:space="preserve">Sam je Muhamed skicirao smisao svoje misije kao vjerovjesnika riječima koje upućuju na taj </w:t>
      </w:r>
      <w:r>
        <w:rPr>
          <w:rFonts w:ascii="Times New Roman" w:eastAsia="Times New Roman" w:hAnsi="Times New Roman" w:cs="Times New Roman"/>
          <w:color w:val="000000"/>
          <w:spacing w:val="0"/>
          <w:w w:val="100"/>
          <w:position w:val="0"/>
          <w:shd w:val="clear" w:color="auto" w:fill="auto"/>
          <w:lang w:val="en-US" w:eastAsia="en-US" w:bidi="en-US"/>
        </w:rPr>
        <w:t xml:space="preserve">ethos: </w:t>
      </w:r>
      <w:r>
        <w:rPr>
          <w:rFonts w:ascii="Times New Roman" w:eastAsia="Times New Roman" w:hAnsi="Times New Roman" w:cs="Times New Roman"/>
          <w:color w:val="000000"/>
          <w:spacing w:val="0"/>
          <w:w w:val="100"/>
          <w:position w:val="0"/>
          <w:shd w:val="clear" w:color="auto" w:fill="auto"/>
          <w:lang w:val="hr-HR" w:eastAsia="hr-HR" w:bidi="hr-HR"/>
        </w:rPr>
        <w:t>»Bio sam poslan da bih plemenite stra</w:t>
        <w:softHyphen/>
        <w:t>ne ljudske naravi doveo do potpune zrelosti«. Za vjerujućega muslimana Kuran i Muhame- dovc izvankuranske upute (hadis) predstav</w:t>
        <w:softHyphen/>
        <w:t>ljaju prve izvore moralne teologije. Oni su ori- jentacijska podloga njegova individualnog i društvenog ponašanja.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svojoj predanosti Bogu i u svojem povjere</w:t>
        <w:softHyphen/>
        <w:t>nju u božansku mudrost pobožni se musliman ne povija pred teškim udarcima sudbine. Ali, unatoč tomu, on se osjeća odgovornim za svoj čin i svoje ponašanje. Čovjek nije bez slobod</w:t>
        <w:softHyphen/>
        <w:t>ne volje, premda su i njoj postavljene granice prirodnim zakonima. »Čovjekova dobit ne pre</w:t>
        <w:softHyphen/>
        <w:t xml:space="preserve">koračuje okvir njegova uloga« (13,39). I poziv Kurana na ispunjenje religioznih i općeljud- skih dužnosti govori za to da čovjek nije prc- </w:t>
      </w:r>
      <w:r>
        <w:rPr>
          <w:rFonts w:ascii="Times New Roman" w:eastAsia="Times New Roman" w:hAnsi="Times New Roman" w:cs="Times New Roman"/>
          <w:color w:val="000000"/>
          <w:spacing w:val="0"/>
          <w:w w:val="100"/>
          <w:position w:val="0"/>
          <w:shd w:val="clear" w:color="auto" w:fill="auto"/>
          <w:lang w:val="hr-HR" w:eastAsia="hr-HR" w:bidi="hr-HR"/>
        </w:rPr>
        <w:t>pušten slijepoj sudbini. I'atalizam nije nikak</w:t>
        <w:softHyphen/>
        <w:t>vo obilježje vjerski svjesnoga muslimana. Sas</w:t>
        <w:softHyphen/>
        <w:t>vim suprotno: on doživljava i. kao stalnu za</w:t>
        <w:softHyphen/>
        <w:t>daću.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 obuhvaća tri aspekta: a) </w:t>
      </w:r>
      <w:r>
        <w:rPr>
          <w:rFonts w:ascii="Times New Roman" w:eastAsia="Times New Roman" w:hAnsi="Times New Roman" w:cs="Times New Roman"/>
          <w:i/>
          <w:iCs/>
          <w:color w:val="000000"/>
          <w:spacing w:val="0"/>
          <w:w w:val="100"/>
          <w:position w:val="0"/>
          <w:shd w:val="clear" w:color="auto" w:fill="auto"/>
          <w:lang w:val="hr-HR" w:eastAsia="hr-HR" w:bidi="hr-HR"/>
        </w:rPr>
        <w:t>vjeroispovijesti -</w:t>
      </w:r>
      <w:r>
        <w:rPr>
          <w:rFonts w:ascii="Times New Roman" w:eastAsia="Times New Roman" w:hAnsi="Times New Roman" w:cs="Times New Roman"/>
          <w:color w:val="000000"/>
          <w:spacing w:val="0"/>
          <w:w w:val="100"/>
          <w:position w:val="0"/>
          <w:shd w:val="clear" w:color="auto" w:fill="auto"/>
          <w:lang w:val="hr-HR" w:eastAsia="hr-HR" w:bidi="hr-HR"/>
        </w:rPr>
        <w:t xml:space="preserve"> ko</w:t>
        <w:softHyphen/>
        <w:t xml:space="preserve">ja je povezana sa stalnom spremnošću da se nastupi kao Božji svjedok; b) </w:t>
      </w:r>
      <w:r>
        <w:rPr>
          <w:rFonts w:ascii="Times New Roman" w:eastAsia="Times New Roman" w:hAnsi="Times New Roman" w:cs="Times New Roman"/>
          <w:i/>
          <w:iCs/>
          <w:color w:val="000000"/>
          <w:spacing w:val="0"/>
          <w:w w:val="100"/>
          <w:position w:val="0"/>
          <w:shd w:val="clear" w:color="auto" w:fill="auto"/>
          <w:lang w:val="hr-HR" w:eastAsia="hr-HR" w:bidi="hr-HR"/>
        </w:rPr>
        <w:t>obavljanje religi</w:t>
        <w:softHyphen/>
        <w:t>oznih vježbi</w:t>
      </w:r>
      <w:r>
        <w:rPr>
          <w:rFonts w:ascii="Times New Roman" w:eastAsia="Times New Roman" w:hAnsi="Times New Roman" w:cs="Times New Roman"/>
          <w:color w:val="000000"/>
          <w:spacing w:val="0"/>
          <w:w w:val="100"/>
          <w:position w:val="0"/>
          <w:shd w:val="clear" w:color="auto" w:fill="auto"/>
          <w:lang w:val="hr-HR" w:eastAsia="hr-HR" w:bidi="hr-HR"/>
        </w:rPr>
        <w:t xml:space="preserve"> kojima se prije svega trebaju jača</w:t>
        <w:softHyphen/>
        <w:t xml:space="preserve">ti samodisciplina, nesebičnost i međusobna solidarnost vjernika, i c) </w:t>
      </w:r>
      <w:r>
        <w:rPr>
          <w:rFonts w:ascii="Times New Roman" w:eastAsia="Times New Roman" w:hAnsi="Times New Roman" w:cs="Times New Roman"/>
          <w:i/>
          <w:iCs/>
          <w:color w:val="000000"/>
          <w:spacing w:val="0"/>
          <w:w w:val="100"/>
          <w:position w:val="0"/>
          <w:shd w:val="clear" w:color="auto" w:fill="auto"/>
          <w:lang w:val="hr-HR" w:eastAsia="hr-HR" w:bidi="hr-HR"/>
        </w:rPr>
        <w:t xml:space="preserve">uzorno ponašanje - </w:t>
      </w:r>
      <w:r>
        <w:rPr>
          <w:rFonts w:ascii="Times New Roman" w:eastAsia="Times New Roman" w:hAnsi="Times New Roman" w:cs="Times New Roman"/>
          <w:color w:val="000000"/>
          <w:spacing w:val="0"/>
          <w:w w:val="100"/>
          <w:position w:val="0"/>
          <w:shd w:val="clear" w:color="auto" w:fill="auto"/>
          <w:lang w:val="hr-HR" w:eastAsia="hr-HR" w:bidi="hr-HR"/>
        </w:rPr>
        <w:t>koje je povezano sa stalnom spremnošću zala</w:t>
        <w:softHyphen/>
        <w:t xml:space="preserve">ganja za bolje društvo. I. se ne smije shvatiti kao povijest zato što je on živa povezanost s Bogom koja se uvijek iznova treba dokazivati. »Tko se </w:t>
      </w:r>
      <w:r>
        <w:rPr>
          <w:rFonts w:ascii="Times New Roman" w:eastAsia="Times New Roman" w:hAnsi="Times New Roman" w:cs="Times New Roman"/>
          <w:i/>
          <w:iCs/>
          <w:color w:val="000000"/>
          <w:spacing w:val="0"/>
          <w:w w:val="100"/>
          <w:position w:val="0"/>
          <w:shd w:val="clear" w:color="auto" w:fill="auto"/>
          <w:lang w:val="hr-HR" w:eastAsia="hr-HR" w:bidi="hr-HR"/>
        </w:rPr>
        <w:t>(čitavim svojim bičem)</w:t>
      </w:r>
      <w:r>
        <w:rPr>
          <w:rFonts w:ascii="Times New Roman" w:eastAsia="Times New Roman" w:hAnsi="Times New Roman" w:cs="Times New Roman"/>
          <w:color w:val="000000"/>
          <w:spacing w:val="0"/>
          <w:w w:val="100"/>
          <w:position w:val="0"/>
          <w:shd w:val="clear" w:color="auto" w:fill="auto"/>
          <w:lang w:val="hr-HR" w:eastAsia="hr-HR" w:bidi="hr-HR"/>
        </w:rPr>
        <w:t xml:space="preserve"> preda Bogu a čini dobra djela imat će svoju nagradu kod svoga gospodara. Oni neće imati straha niti će tugovati!« (2,112).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teorijski gledano pretpostavlja svjesno dje</w:t>
        <w:softHyphen/>
        <w:t>lovanje. Prilikom potvrđivanja svoje preda</w:t>
        <w:softHyphen/>
        <w:t>nosti Bogu vjernik mora razviti sve svoje stva</w:t>
        <w:softHyphen/>
        <w:t>ralačke mogućnosti: »Duši nagrada za ono što uradi; duši kazna za ono što je sebi učinila« (2,286). »Doživljavam časove božanske krea</w:t>
        <w:softHyphen/>
        <w:t>tivnosti«, opisivao je Muhamed svoju vlastitu životnu dinamiku. Na i., kakav se oblikovao tijekom povijesti, reflektira se ne samo kuran- ski nauk kao pravi izvor islama. Dodatni su iz</w:t>
        <w:softHyphen/>
        <w:t xml:space="preserve">vori: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tj. ukupnost izvankuranskih riječi koje je izrekao Muhamed kao i izvješća o nje</w:t>
        <w:softHyphen/>
        <w:t xml:space="preserve">govim djelima i prešutnim odobravanjima; b)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consensus </w:t>
      </w:r>
      <w:r>
        <w:rPr>
          <w:rFonts w:ascii="Times New Roman" w:eastAsia="Times New Roman" w:hAnsi="Times New Roman" w:cs="Times New Roman"/>
          <w:i/>
          <w:iCs/>
          <w:color w:val="000000"/>
          <w:spacing w:val="0"/>
          <w:w w:val="100"/>
          <w:position w:val="0"/>
          <w:shd w:val="clear" w:color="auto" w:fill="auto"/>
          <w:lang w:val="hr-HR" w:eastAsia="hr-HR" w:bidi="hr-HR"/>
        </w:rPr>
        <w:t>doctorum,</w:t>
      </w:r>
      <w:r>
        <w:rPr>
          <w:rFonts w:ascii="Times New Roman" w:eastAsia="Times New Roman" w:hAnsi="Times New Roman" w:cs="Times New Roman"/>
          <w:color w:val="000000"/>
          <w:spacing w:val="0"/>
          <w:w w:val="100"/>
          <w:position w:val="0"/>
          <w:shd w:val="clear" w:color="auto" w:fill="auto"/>
          <w:lang w:val="hr-HR" w:eastAsia="hr-HR" w:bidi="hr-HR"/>
        </w:rPr>
        <w:t xml:space="preserve"> tj. jednodušno mišljenje vjeri predanih i stručnih učenjaka jedne gene</w:t>
        <w:softHyphen/>
        <w:t xml:space="preserve">racije; c) </w:t>
      </w:r>
      <w:r>
        <w:rPr>
          <w:rFonts w:ascii="Times New Roman" w:eastAsia="Times New Roman" w:hAnsi="Times New Roman" w:cs="Times New Roman"/>
          <w:i/>
          <w:iCs/>
          <w:color w:val="000000"/>
          <w:spacing w:val="0"/>
          <w:w w:val="100"/>
          <w:position w:val="0"/>
          <w:shd w:val="clear" w:color="auto" w:fill="auto"/>
          <w:lang w:val="hr-HR" w:eastAsia="hr-HR" w:bidi="hr-HR"/>
        </w:rPr>
        <w:t>zaključak po analogiji,</w:t>
      </w:r>
      <w:r>
        <w:rPr>
          <w:rFonts w:ascii="Times New Roman" w:eastAsia="Times New Roman" w:hAnsi="Times New Roman" w:cs="Times New Roman"/>
          <w:color w:val="000000"/>
          <w:spacing w:val="0"/>
          <w:w w:val="100"/>
          <w:position w:val="0"/>
          <w:shd w:val="clear" w:color="auto" w:fill="auto"/>
          <w:lang w:val="hr-HR" w:eastAsia="hr-HR" w:bidi="hr-HR"/>
        </w:rPr>
        <w:t xml:space="preserve"> tj. religiozna spoznaja na temelju prilagodbe nekoga novog slučaja s pretpostavkama iz prvoga razdoblja islama.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Zadnje spomenuti izvor ne priznaju strogi tra</w:t>
        <w:softHyphen/>
        <w:t>dicionalisti kakvi su npr. pristaše četvrte prav</w:t>
        <w:softHyphen/>
        <w:t>ne škole sunitskog islama. U religioznom ha</w:t>
        <w:softHyphen/>
        <w:t>bitusu muslimanskih narodnih masa izražava</w:t>
        <w:softHyphen/>
        <w:t>ju se različiti neislamski utjecaji. I. i obje sta</w:t>
        <w:softHyphen/>
        <w:t>rije objavljene religije - židovstvo i kršćanstvo - međusobno su otuđene uglavnom iz dva raz</w:t>
        <w:softHyphen/>
        <w:t>loga: a) zbog snažnog azijatiziranja islamsko</w:t>
        <w:softHyphen/>
        <w:t>ga misaonog svijeta koje je nastupilo nakon potiskivanja miroljubive teološke škole mute- zilita u X, stoljeću, i b) zbog procesa premišlja</w:t>
        <w:softHyphen/>
        <w:t>nja koja su se javila nakon reformacije u krš</w:t>
        <w:softHyphen/>
        <w:t>ćanstvu i koji su doveli do stapanja nanovo ak- centuiranih kršćanskih sadržaja nauka sa sa</w:t>
        <w:softHyphen/>
        <w:t>držajima prosvjetiteljstva.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Prosvijećeni musliman prepoznaje samoga se</w:t>
        <w:softHyphen/>
        <w:t>be u suvremenim kršćanskim i židovskim sa</w:t>
        <w:softHyphen/>
        <w:t>držajima nauka - ukoliko se to tiče moralne teologije. Ukoliko se i. uspije osloboditi dnev</w:t>
        <w:softHyphen/>
        <w:t>ne politike i ukoliko mu se prosvjećivanje omo</w:t>
        <w:softHyphen/>
        <w:t>gući na temelju njegovog autentičnoga kultur</w:t>
        <w:softHyphen/>
        <w:t>nog naslijeđa, utoliko će se izvršiti veliki ko</w:t>
        <w:softHyphen/>
        <w:t>rak u mcdiircligijskom približavanju. Teškoće zgodimice zapaženoga nedostatnog razumije</w:t>
        <w:softHyphen/>
        <w:t>vanja leže uglavnom u raznovrsnosti ideala obrazovanja i u različitim stupnjevima civiliza</w:t>
        <w:softHyphen/>
        <w:t>cijskoga razvoja. Tek je u XIX. i XX. stoljeću postalo uobičajeno da se pod oznakom i. pod</w:t>
        <w:softHyphen/>
        <w:t>razumijeva jedan raspon, naime religija i po- litičko-socijalno područje.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razliku od kršćanstva i. odbacuje svaku an- tropomorfnu predodžbu o Bogu. Istočni gri</w:t>
        <w:softHyphen/>
        <w:t>jeh i otkupljenje kao spasenjsko-povijesni do</w:t>
        <w:softHyphen/>
        <w:t>gađaji ne priznaju se. Križ, krštenje i euharis</w:t>
        <w:softHyphen/>
        <w:t>tija se odbacuju. Vino je zabranjeno, pogo</w:t>
        <w:softHyphen/>
        <w:t>tovo u bogoslužju. Svećeništvo i celibat su ne</w:t>
        <w:softHyphen/>
        <w:t>poznati. Ova suprotnost ostavlja dojam da je i. reakcija na kršćanstvo. Prate li se najnoviji razvoji u kršćanskoj teologiji, tada se ponekad stječe dojam kao da je on usmjeren na pri</w:t>
        <w:softHyphen/>
        <w:t>bližavanje. Naime, njime se rehabilitiraju mno</w:t>
        <w:softHyphen/>
        <w:t>gi sadržaji islamske vjere.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Pozivanje Kurana na židovstvo i kršćanstvo donijelo je islamu tragičan sukob s tim pret</w:t>
        <w:softHyphen/>
        <w:t>hodnim religijama. Budući da se u njemu bib</w:t>
        <w:softHyphen/>
        <w:t>lijsko naslijede razumije djelomice drugačije nego u njima, on se izlaže prigovoru da je krivo razumio židovstvo i kršćanstvo. Tako je u početku nastao dojam da se kod islama radi o nekoj židovskoj ili kršćanskoj sekti. Muha</w:t>
        <w:softHyphen/>
        <w:t>med je u srednjem vijeku bio poznat i kao »ot- padnički kardinal« Dakle, i. je postao gotovo unutarnjom kršćanskom stvari. I. se razumije kao autentična Božja objava. Ovdje leži jedan od glavnih razloga za nerazumijevanje i odba</w:t>
        <w:softHyphen/>
        <w:t>civanje od strane »posjedovatelja Knjige«, ka</w:t>
        <w:softHyphen/>
        <w:t>ko se u Kuranu nazivaju Zidovi i kršćani. »Među rodbinom se biva najmanje razumlje- nim.« To pravilo dolazi dakle ovdje do pu</w:t>
        <w:softHyphen/>
        <w:t>noga važenja.</w:t>
      </w:r>
    </w:p>
    <w:p>
      <w:pPr>
        <w:pStyle w:val="Style20"/>
        <w:keepNext w:val="0"/>
        <w:keepLines w:val="0"/>
        <w:widowControl w:val="0"/>
        <w:shd w:val="clear" w:color="auto" w:fill="auto"/>
        <w:bidi w:val="0"/>
        <w:spacing w:before="0" w:after="0"/>
        <w:ind w:left="0" w:right="0" w:firstLine="0"/>
        <w:jc w:val="both"/>
        <w:sectPr>
          <w:headerReference w:type="default" r:id="rId525"/>
          <w:footerReference w:type="default" r:id="rId526"/>
          <w:headerReference w:type="even" r:id="rId527"/>
          <w:footerReference w:type="even" r:id="rId528"/>
          <w:footnotePr>
            <w:pos w:val="pageBottom"/>
            <w:numFmt w:val="decimal"/>
            <w:numStart w:val="5"/>
            <w:numRestart w:val="continuous"/>
            <w15:footnoteColumns w:val="1"/>
          </w:footnotePr>
          <w:pgSz w:w="6816" w:h="11006"/>
          <w:pgMar w:top="987" w:left="169" w:right="172" w:bottom="443" w:header="0" w:footer="3" w:gutter="0"/>
          <w:pgNumType w:start="174"/>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»Kršćanin«, smatra </w:t>
      </w:r>
      <w:r>
        <w:rPr>
          <w:rFonts w:ascii="Times New Roman" w:eastAsia="Times New Roman" w:hAnsi="Times New Roman" w:cs="Times New Roman"/>
          <w:color w:val="000000"/>
          <w:spacing w:val="0"/>
          <w:w w:val="100"/>
          <w:position w:val="0"/>
          <w:shd w:val="clear" w:color="auto" w:fill="auto"/>
          <w:lang w:val="en-US" w:eastAsia="en-US" w:bidi="en-US"/>
        </w:rPr>
        <w:t xml:space="preserve">Marcel </w:t>
      </w:r>
      <w:r>
        <w:rPr>
          <w:rFonts w:ascii="Times New Roman" w:eastAsia="Times New Roman" w:hAnsi="Times New Roman" w:cs="Times New Roman"/>
          <w:color w:val="000000"/>
          <w:spacing w:val="0"/>
          <w:w w:val="100"/>
          <w:position w:val="0"/>
          <w:shd w:val="clear" w:color="auto" w:fill="auto"/>
          <w:lang w:val="hr-HR" w:eastAsia="hr-HR" w:bidi="hr-HR"/>
        </w:rPr>
        <w:t>A. Boisard, »na</w:t>
        <w:softHyphen/>
        <w:t>lazi mnogo toga u islamu što ga podsjeća na njegovu vlastitu religiju, kao što su članci vje</w:t>
        <w:softHyphen/>
        <w:t>re i ideje koje su identične ili slične s njego</w:t>
        <w:softHyphen/>
        <w:t xml:space="preserve">vim. One su mu toliko poznate da prolazi pokraj njih, a da se ne informira o njihovom pobližem sadržaju. On prema njima pokazuje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totalnu ravnodušnost kakva se ima prema stvarima za koje vjerujemo da ih dobro po</w:t>
        <w:softHyphen/>
        <w:t xml:space="preserve">znajemo, ali koje se ne poznaju dovoljno da bi se mogle razumjeti« (M. </w:t>
      </w:r>
      <w:r>
        <w:rPr>
          <w:rFonts w:ascii="Times New Roman" w:eastAsia="Times New Roman" w:hAnsi="Times New Roman" w:cs="Times New Roman"/>
          <w:color w:val="000000"/>
          <w:spacing w:val="0"/>
          <w:w w:val="100"/>
          <w:position w:val="0"/>
          <w:shd w:val="clear" w:color="auto" w:fill="auto"/>
          <w:lang w:val="en-US" w:eastAsia="en-US" w:bidi="en-US"/>
        </w:rPr>
        <w:t xml:space="preserve">A. </w:t>
      </w:r>
      <w:r>
        <w:rPr>
          <w:rFonts w:ascii="Times New Roman" w:eastAsia="Times New Roman" w:hAnsi="Times New Roman" w:cs="Times New Roman"/>
          <w:color w:val="000000"/>
          <w:spacing w:val="0"/>
          <w:w w:val="100"/>
          <w:position w:val="0"/>
          <w:shd w:val="clear" w:color="auto" w:fill="auto"/>
          <w:lang w:val="hr-HR" w:eastAsia="hr-HR" w:bidi="hr-HR"/>
        </w:rPr>
        <w:t xml:space="preserve">Boisard, </w:t>
      </w:r>
      <w:r>
        <w:rPr>
          <w:rFonts w:ascii="Times New Roman" w:eastAsia="Times New Roman" w:hAnsi="Times New Roman" w:cs="Times New Roman"/>
          <w:color w:val="000000"/>
          <w:spacing w:val="0"/>
          <w:w w:val="100"/>
          <w:position w:val="0"/>
          <w:shd w:val="clear" w:color="auto" w:fill="auto"/>
          <w:lang w:val="en-US" w:eastAsia="en-US" w:bidi="en-US"/>
        </w:rPr>
        <w:t xml:space="preserve">Die Wurzeln des </w:t>
      </w:r>
      <w:r>
        <w:rPr>
          <w:rFonts w:ascii="Times New Roman" w:eastAsia="Times New Roman" w:hAnsi="Times New Roman" w:cs="Times New Roman"/>
          <w:color w:val="000000"/>
          <w:spacing w:val="0"/>
          <w:w w:val="100"/>
          <w:position w:val="0"/>
          <w:shd w:val="clear" w:color="auto" w:fill="auto"/>
          <w:lang w:val="hr-HR" w:eastAsia="hr-HR" w:bidi="hr-HR"/>
        </w:rPr>
        <w:t xml:space="preserve">Nichtverstchcns </w:t>
      </w:r>
      <w:r>
        <w:rPr>
          <w:rFonts w:ascii="Times New Roman" w:eastAsia="Times New Roman" w:hAnsi="Times New Roman" w:cs="Times New Roman"/>
          <w:color w:val="000000"/>
          <w:spacing w:val="0"/>
          <w:w w:val="100"/>
          <w:position w:val="0"/>
          <w:shd w:val="clear" w:color="auto" w:fill="auto"/>
          <w:lang w:val="en-US" w:eastAsia="en-US" w:bidi="en-US"/>
        </w:rPr>
        <w:t xml:space="preserve">des Islams,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Islam und Westen</w:t>
      </w:r>
      <w:r>
        <w:rPr>
          <w:rFonts w:ascii="Times New Roman" w:eastAsia="Times New Roman" w:hAnsi="Times New Roman" w:cs="Times New Roman"/>
          <w:color w:val="000000"/>
          <w:spacing w:val="0"/>
          <w:w w:val="100"/>
          <w:position w:val="0"/>
          <w:shd w:val="clear" w:color="auto" w:fill="auto"/>
          <w:lang w:val="en-US" w:eastAsia="en-US" w:bidi="en-US"/>
        </w:rPr>
        <w:t xml:space="preserve"> [Wien 1/1981] 1, 11).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Simbolika kuranskog jezika i različite </w:t>
      </w:r>
      <w:r>
        <w:rPr>
          <w:rFonts w:ascii="Times New Roman" w:eastAsia="Times New Roman" w:hAnsi="Times New Roman" w:cs="Times New Roman"/>
          <w:color w:val="000000"/>
          <w:spacing w:val="0"/>
          <w:w w:val="100"/>
          <w:position w:val="0"/>
          <w:shd w:val="clear" w:color="auto" w:fill="auto"/>
          <w:lang w:val="en-US" w:eastAsia="en-US" w:bidi="en-US"/>
        </w:rPr>
        <w:t xml:space="preserve">forme </w:t>
      </w:r>
      <w:r>
        <w:rPr>
          <w:rFonts w:ascii="Times New Roman" w:eastAsia="Times New Roman" w:hAnsi="Times New Roman" w:cs="Times New Roman"/>
          <w:color w:val="000000"/>
          <w:spacing w:val="0"/>
          <w:w w:val="100"/>
          <w:position w:val="0"/>
          <w:shd w:val="clear" w:color="auto" w:fill="auto"/>
          <w:lang w:val="hr-HR" w:eastAsia="hr-HR" w:bidi="hr-HR"/>
        </w:rPr>
        <w:t>egzegeze oblikovale su tijekom povijesti više</w:t>
        <w:softHyphen/>
        <w:t>slojnu sliku svjetskog islama, tako da je pro</w:t>
        <w:softHyphen/>
        <w:t>mašeno govoriti o njemu kao o nekoj jedno</w:t>
        <w:softHyphen/>
        <w:t>stavnoj ili čak monolitnoj religiji. Diferenci</w:t>
        <w:softHyphen/>
        <w:t>ranje je nužno ako se želi udovoljiti stvari. Jedino u sunitskom islamu postoji niz osjen- čenja: tolerantni i širokogrudi murdžijiti, koji ncmuslimanima koji vjeruju u Boga priznaju sudjelovanje u spasu, slobodoumni muteziliti koji žele racionalno razumjeti svaki religiozni zahtjev, hanefiti koji su relativno otvoreni prema svijetu, ali i integralisti poput hanbelit- skih tradicionalista koji danas vladaju u dije</w:t>
        <w:softHyphen/>
        <w:t>lovima Arabije.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Istaknuto ujedinjavajuće obilježje svih musli</w:t>
        <w:softHyphen/>
        <w:t>mana jedino je ispovijedanje u jednome Bogu i priznavanje Muhameda kao njegova posla</w:t>
        <w:softHyphen/>
        <w:t>nika. Osim zajedništva u kultu postoji još niz vodećih moralnih načela koja jednako ozbilj</w:t>
        <w:softHyphen/>
        <w:t>no prihvaćaju svi islamski vjernici. Neka se spomene bratstvo svih vjernika, požrtvovnost, sposobnost strpljivosti a višestruko i sprem</w:t>
        <w:softHyphen/>
        <w:t>nost da sc umre za vjeru, što u posebnim poli</w:t>
        <w:softHyphen/>
        <w:t>tičkim konotacijama može biti podloga za fa</w:t>
        <w:softHyphen/>
        <w:t>natizam.</w:t>
      </w:r>
    </w:p>
    <w:p>
      <w:pPr>
        <w:pStyle w:val="Style56"/>
        <w:keepNext w:val="0"/>
        <w:keepLines w:val="0"/>
        <w:widowControl w:val="0"/>
        <w:shd w:val="clear" w:color="auto" w:fill="auto"/>
        <w:tabs>
          <w:tab w:pos="2563" w:val="left"/>
        </w:tabs>
        <w:bidi w:val="0"/>
        <w:spacing w:before="0" w:after="260" w:line="240" w:lineRule="auto"/>
        <w:ind w:left="0" w:right="0" w:firstLine="0"/>
        <w:jc w:val="both"/>
      </w:pPr>
      <w:r>
        <w:rPr>
          <w:color w:val="000000"/>
          <w:spacing w:val="0"/>
          <w:w w:val="100"/>
          <w:position w:val="0"/>
          <w:shd w:val="clear" w:color="auto" w:fill="auto"/>
        </w:rPr>
        <w:t xml:space="preserve">Lit.: J </w:t>
      </w:r>
      <w:r>
        <w:rPr>
          <w:color w:val="000000"/>
          <w:spacing w:val="0"/>
          <w:w w:val="100"/>
          <w:position w:val="0"/>
          <w:shd w:val="clear" w:color="auto" w:fill="auto"/>
          <w:lang w:val="hr-HR" w:eastAsia="hr-HR" w:bidi="hr-HR"/>
        </w:rPr>
        <w:t xml:space="preserve">Joniicr, u: EP IV, 171-177, cd. </w:t>
      </w:r>
      <w:r>
        <w:rPr>
          <w:color w:val="000000"/>
          <w:spacing w:val="0"/>
          <w:w w:val="100"/>
          <w:position w:val="0"/>
          <w:shd w:val="clear" w:color="auto" w:fill="auto"/>
        </w:rPr>
        <w:t xml:space="preserve">by Kuishid Ahmad, </w:t>
      </w:r>
      <w:r>
        <w:rPr>
          <w:i/>
          <w:iCs/>
          <w:color w:val="000000"/>
          <w:spacing w:val="0"/>
          <w:w w:val="100"/>
          <w:position w:val="0"/>
          <w:shd w:val="clear" w:color="auto" w:fill="auto"/>
          <w:lang w:val="hr-HR" w:eastAsia="hr-HR" w:bidi="hr-HR"/>
        </w:rPr>
        <w:t xml:space="preserve">fatum - </w:t>
      </w:r>
      <w:r>
        <w:rPr>
          <w:i/>
          <w:iCs/>
          <w:color w:val="000000"/>
          <w:spacing w:val="0"/>
          <w:w w:val="100"/>
          <w:position w:val="0"/>
          <w:shd w:val="clear" w:color="auto" w:fill="auto"/>
        </w:rPr>
        <w:t>its meaning and message,</w:t>
      </w:r>
      <w:r>
        <w:rPr>
          <w:color w:val="000000"/>
          <w:spacing w:val="0"/>
          <w:w w:val="100"/>
          <w:position w:val="0"/>
          <w:shd w:val="clear" w:color="auto" w:fill="auto"/>
        </w:rPr>
        <w:t xml:space="preserve"> London -1976; Osman Nuri </w:t>
      </w:r>
      <w:r>
        <w:rPr>
          <w:color w:val="000000"/>
          <w:spacing w:val="0"/>
          <w:w w:val="100"/>
          <w:position w:val="0"/>
          <w:shd w:val="clear" w:color="auto" w:fill="auto"/>
          <w:lang w:val="hr-HR" w:eastAsia="hr-HR" w:bidi="hr-HR"/>
        </w:rPr>
        <w:t xml:space="preserve">Hadžić, </w:t>
      </w:r>
      <w:r>
        <w:rPr>
          <w:i/>
          <w:iCs/>
          <w:color w:val="000000"/>
          <w:spacing w:val="0"/>
          <w:w w:val="100"/>
          <w:position w:val="0"/>
          <w:shd w:val="clear" w:color="auto" w:fill="auto"/>
          <w:lang w:val="hr-HR" w:eastAsia="hr-HR" w:bidi="hr-HR"/>
        </w:rPr>
        <w:t xml:space="preserve">Muhamed </w:t>
      </w:r>
      <w:r>
        <w:rPr>
          <w:i/>
          <w:iCs/>
          <w:color w:val="000000"/>
          <w:spacing w:val="0"/>
          <w:w w:val="100"/>
          <w:position w:val="0"/>
          <w:shd w:val="clear" w:color="auto" w:fill="auto"/>
        </w:rPr>
        <w:t>a. s i Kur'an,</w:t>
      </w:r>
      <w:r>
        <w:rPr>
          <w:color w:val="000000"/>
          <w:spacing w:val="0"/>
          <w:w w:val="100"/>
          <w:position w:val="0"/>
          <w:shd w:val="clear" w:color="auto" w:fill="auto"/>
        </w:rPr>
        <w:t xml:space="preserve"> Sarajevo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1968; Smail </w:t>
      </w:r>
      <w:r>
        <w:rPr>
          <w:color w:val="000000"/>
          <w:spacing w:val="0"/>
          <w:w w:val="100"/>
          <w:position w:val="0"/>
          <w:shd w:val="clear" w:color="auto" w:fill="auto"/>
          <w:lang w:val="hr-HR" w:eastAsia="hr-HR" w:bidi="hr-HR"/>
        </w:rPr>
        <w:t xml:space="preserve">Balić, </w:t>
      </w:r>
      <w:r>
        <w:rPr>
          <w:i/>
          <w:iCs/>
          <w:color w:val="000000"/>
          <w:spacing w:val="0"/>
          <w:w w:val="100"/>
          <w:position w:val="0"/>
          <w:shd w:val="clear" w:color="auto" w:fill="auto"/>
        </w:rPr>
        <w:t xml:space="preserve">Ruf vom </w:t>
      </w:r>
      <w:r>
        <w:rPr>
          <w:i/>
          <w:iCs/>
          <w:color w:val="000000"/>
          <w:spacing w:val="0"/>
          <w:w w:val="100"/>
          <w:position w:val="0"/>
          <w:shd w:val="clear" w:color="auto" w:fill="auto"/>
          <w:lang w:val="hr-HR" w:eastAsia="hr-HR" w:bidi="hr-HR"/>
        </w:rPr>
        <w:t>Minareti,</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Hamburg </w:t>
      </w:r>
      <w:r>
        <w:rPr>
          <w:color w:val="000000"/>
          <w:spacing w:val="0"/>
          <w:w w:val="100"/>
          <w:position w:val="0"/>
          <w:shd w:val="clear" w:color="auto" w:fill="auto"/>
          <w:lang w:val="hr-HR" w:eastAsia="hr-HR" w:bidi="hr-HR"/>
        </w:rPr>
        <w:t xml:space="preserve">’19Š4. Vidjeli </w:t>
      </w:r>
      <w:r>
        <w:rPr>
          <w:color w:val="000000"/>
          <w:spacing w:val="0"/>
          <w:w w:val="100"/>
          <w:position w:val="0"/>
          <w:shd w:val="clear" w:color="auto" w:fill="auto"/>
        </w:rPr>
        <w:t xml:space="preserve">tamo </w:t>
      </w:r>
      <w:r>
        <w:rPr>
          <w:color w:val="000000"/>
          <w:spacing w:val="0"/>
          <w:w w:val="100"/>
          <w:position w:val="0"/>
          <w:shd w:val="clear" w:color="auto" w:fill="auto"/>
          <w:lang w:val="hr-HR" w:eastAsia="hr-HR" w:bidi="hr-HR"/>
        </w:rPr>
        <w:t>ostalu literaturu.</w:t>
        <w:tab/>
      </w:r>
      <w:r>
        <w:rPr>
          <w:color w:val="000000"/>
          <w:spacing w:val="0"/>
          <w:w w:val="100"/>
          <w:position w:val="0"/>
          <w:shd w:val="clear" w:color="auto" w:fill="auto"/>
        </w:rPr>
        <w:t xml:space="preserve">S. </w:t>
      </w:r>
      <w:r>
        <w:rPr>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ISTINA</w:t>
      </w:r>
    </w:p>
    <w:p>
      <w:pPr>
        <w:pStyle w:val="Style63"/>
        <w:keepNext/>
        <w:keepLines/>
        <w:widowControl w:val="0"/>
        <w:shd w:val="clear" w:color="auto" w:fill="auto"/>
        <w:bidi w:val="0"/>
        <w:spacing w:before="0" w:line="223" w:lineRule="auto"/>
        <w:ind w:left="0" w:right="0" w:firstLine="0"/>
        <w:jc w:val="both"/>
      </w:pPr>
      <w:bookmarkStart w:id="130" w:name="bookmark13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30"/>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izražava slaganje mišljenja i bitka, tj. pojam se može odnositi na oboje. Tako sc i. spoznaje razlikuje od istine bitka. Spoznavanje je isti</w:t>
        <w:softHyphen/>
        <w:t>nito kada se spoznato slaže sa stvarnošću koja treba biti spoznata (spoznajno-teoretski aspekt). 1. bitka znači strukturu stvarnosti koja stoji nasuprot spoznavanju, koja omogućuje da sc ona razotkriva, otvara spoznavanju, da je ne</w:t>
        <w:softHyphen/>
        <w:t>prikrivena za spoznavanje (ontološki aspekt). Spoznata i. obvezuje spoznavatelja na istini</w:t>
        <w:softHyphen/>
        <w:t>tost (etički aspekt).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Priopćavanje usmjereno prema van u govoru i postupanju mora se slagati s unutarnjim uvje</w:t>
        <w:softHyphen/>
        <w:t xml:space="preserve">renjem. Po predaji, definicijom čovjeka kao </w:t>
      </w:r>
      <w:r>
        <w:rPr>
          <w:rFonts w:ascii="Times New Roman" w:eastAsia="Times New Roman" w:hAnsi="Times New Roman" w:cs="Times New Roman"/>
          <w:color w:val="000000"/>
          <w:spacing w:val="0"/>
          <w:w w:val="100"/>
          <w:position w:val="0"/>
          <w:shd w:val="clear" w:color="auto" w:fill="auto"/>
          <w:lang w:val="en-US" w:eastAsia="en-US" w:bidi="en-US"/>
        </w:rPr>
        <w:t xml:space="preserve">animal rationale </w:t>
      </w:r>
      <w:r>
        <w:rPr>
          <w:rFonts w:ascii="Times New Roman" w:eastAsia="Times New Roman" w:hAnsi="Times New Roman" w:cs="Times New Roman"/>
          <w:color w:val="000000"/>
          <w:spacing w:val="0"/>
          <w:w w:val="100"/>
          <w:position w:val="0"/>
          <w:shd w:val="clear" w:color="auto" w:fill="auto"/>
          <w:lang w:val="hr-HR" w:eastAsia="hr-HR" w:bidi="hr-HR"/>
        </w:rPr>
        <w:t>(razumno biće) istodobno je izražen odnos prema istini. »Obdaren razu</w:t>
        <w:softHyphen/>
        <w:t>mom« znači biti sposoban za duhovnu spo</w:t>
        <w:softHyphen/>
        <w:t>znaju koja je opet usmjerena na pravo spo</w:t>
        <w:softHyphen/>
        <w:t>znavanje, na istinu. Dakle, razumno biće, ako hoće biti ono što mora biti, usmjereno je na istinu. Ovo čovjekovo usmjerenje na istinu is</w:t>
        <w:softHyphen/>
        <w:t xml:space="preserve">todobno se pokazuje kao životno važno za njega, jer je on i </w:t>
      </w:r>
      <w:r>
        <w:rPr>
          <w:rFonts w:ascii="Times New Roman" w:eastAsia="Times New Roman" w:hAnsi="Times New Roman" w:cs="Times New Roman"/>
          <w:color w:val="000000"/>
          <w:spacing w:val="0"/>
          <w:w w:val="100"/>
          <w:position w:val="0"/>
          <w:shd w:val="clear" w:color="auto" w:fill="auto"/>
          <w:lang w:val="en-US" w:eastAsia="en-US" w:bidi="en-US"/>
        </w:rPr>
        <w:t xml:space="preserve">animal </w:t>
      </w:r>
      <w:r>
        <w:rPr>
          <w:rFonts w:ascii="Times New Roman" w:eastAsia="Times New Roman" w:hAnsi="Times New Roman" w:cs="Times New Roman"/>
          <w:color w:val="000000"/>
          <w:spacing w:val="0"/>
          <w:w w:val="100"/>
          <w:position w:val="0"/>
          <w:shd w:val="clear" w:color="auto" w:fill="auto"/>
          <w:lang w:val="hr-HR" w:eastAsia="hr-HR" w:bidi="hr-HR"/>
        </w:rPr>
        <w:t>sociale (biće zajed</w:t>
        <w:softHyphen/>
        <w:t>nice). Čovjekova komunikacija samo je tada moguća ako sc načelno potvrđuje mogućnost istine. Odatle istini također pripada značenje za ljudsko postupanje u kojem sc i. mora po</w:t>
        <w:softHyphen/>
        <w:t>kazati kao istinitost, tj. kao slaganje vanjskog postupanja s unutarnjim uvjerenjem.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se u svom svakodnevnom životu poka</w:t>
        <w:softHyphen/>
        <w:t>zuje, dakle, s jedne strane usmjeren na istinu, ali i upućen na istinu u svojim postupcima. Ako se ta činjenica propituje u svojim uvje</w:t>
        <w:softHyphen/>
        <w:t>tima i mogućnostima, i. postaje problem filo</w:t>
        <w:softHyphen/>
        <w:t>zofskog razmišljanja. Na tom stupnju razmiš</w:t>
        <w:softHyphen/>
        <w:t>ljanja pitanje o istini u grčkoj filozofiji najprije je postavio Parmenid. U razlikovanju između istine i privida, između pravoga puta i puta obmane, prvi put za nas filozofsko razmišlja</w:t>
        <w:softHyphen/>
        <w:t>nje postaje utvrđivanje istine koje se može shvatiti kao slaganje mišljenja i bitka.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Potpuno je razvijen problem istine u Platono</w:t>
        <w:softHyphen/>
        <w:t>voj filozofiji i to s triju aspekata: ontološkoga, logično-spoznajno-teoretskog i etičkog koji se ne smiju rastavljati jedan od drugoga nego postaju jasni u svojoj ograničenosti i uzajam</w:t>
        <w:softHyphen/>
        <w:t>noj ovisnosti. Za Platona je najvažniji i isto</w:t>
        <w:softHyphen/>
        <w:t>dobno najteži ontološki aspekt, tj. i. stvari. Po</w:t>
        <w:softHyphen/>
        <w:t>uzdana spoznaja ne smije se usmjeravati na čistu pojavnost koja je podložna nastajanju i promjenljivosti nego sc mora oslanjati na isti</w:t>
        <w:softHyphen/>
        <w:t>nit, nepromjenljiv bitak stvari, na ideje, na »logoi« koji sc s pomoću postupka hipoteza pokazuju kao najjači. Samo se tako može pos</w:t>
        <w:softHyphen/>
        <w:t>tići uvid u istinu stvari. Taj se uvid mora vježbati i učiti metodom dijalektike pomoću koje sc i. osigurava i može razlikovati od čis</w:t>
        <w:softHyphen/>
        <w:t>tog privida.</w:t>
      </w:r>
    </w:p>
    <w:p>
      <w:pPr>
        <w:pStyle w:val="Style20"/>
        <w:keepNext w:val="0"/>
        <w:keepLines w:val="0"/>
        <w:widowControl w:val="0"/>
        <w:shd w:val="clear" w:color="auto" w:fill="auto"/>
        <w:bidi w:val="0"/>
        <w:spacing w:before="0" w:after="0"/>
        <w:ind w:left="0" w:right="0" w:firstLine="0"/>
        <w:jc w:val="both"/>
        <w:sectPr>
          <w:headerReference w:type="default" r:id="rId529"/>
          <w:footerReference w:type="default" r:id="rId530"/>
          <w:headerReference w:type="even" r:id="rId531"/>
          <w:footerReference w:type="even" r:id="rId532"/>
          <w:footnotePr>
            <w:pos w:val="pageBottom"/>
            <w:numFmt w:val="decimal"/>
            <w:numStart w:val="5"/>
            <w:numRestart w:val="continuous"/>
            <w15:footnoteColumns w:val="1"/>
          </w:footnotePr>
          <w:type w:val="continuous"/>
          <w:pgSz w:w="6816" w:h="11006"/>
          <w:pgMar w:top="987" w:left="169" w:right="172" w:bottom="443" w:header="0" w:footer="3"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Mišljenje je preslušavanje strukture bitka, ne- prikrivenosti, istine bitka. Ona tako jamči mi</w:t>
        <w:softHyphen/>
        <w:t>šljenju vlastitu točnost i istinu. Okretanje bit</w:t>
        <w:softHyphen/>
        <w:t>ku znači istodobno okretanje istini. To sc okre</w:t>
        <w:softHyphen/>
        <w:t xml:space="preserve">tanje može razumjeti kao uspinjanje od čistog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privida do u sebi postojeće istine. Usporedba sa spiljom i usporedba sa suncem u njihovoj ograničenosti pokazuju ograničenost spoznaj</w:t>
        <w:softHyphen/>
        <w:t>ne istine i istine bitka. Kao što sunce svojim svjetlom pušta da rastu stvari i daje moguć</w:t>
        <w:softHyphen/>
        <w:t>nost njihova razlikovanja i spoznavanja tako je i najviša ideja, ideja dobroga, razlog za bi</w:t>
        <w:softHyphen/>
        <w:t>tak i raspoznatljivost ideja i od njih ovisnih stvari. Uzdizanje do promatranja ideje dobro</w:t>
        <w:softHyphen/>
        <w:t>ga znači katarzu, oslobađanje od područja osjetilnosti, nastajanja i čistog privida i okre</w:t>
        <w:softHyphen/>
        <w:t>tanje području nepromjenljivog bitka koji je</w:t>
        <w:softHyphen/>
        <w:t>dini može jamčiti spoznavanje istine. Tako spoznaja istine znači biti slobodan od subjek</w:t>
        <w:softHyphen/>
        <w:t>tivnih utjecaja. Tko je uspio gledati istinu, ima tešku dužnost druge izvijestiti o toj istini i vo</w:t>
        <w:softHyphen/>
        <w:t>diti ih k njoj. Dakle, pojam istine je ovdje prvenstveno pojam koji pripada bitku, a tek sekundarno pripada spoznavanju koje se obra</w:t>
        <w:softHyphen/>
        <w:t>ća toj istini. Pitanje o mogućnosti spoznaje is</w:t>
        <w:softHyphen/>
        <w:t>tine obrazlaže se izvornim identitetom bitka i istine u osnovi svega, a to vrijedi za grčku filo</w:t>
        <w:softHyphen/>
        <w:t>zofiju preko Aristotela do Plotina.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Biblijska uporaba istine donosi novu dimen</w:t>
        <w:softHyphen/>
        <w:t>ziju u pojam istine. Ekvivalent grčkoj »alc- theia« u SZ su hebrejski pojmovi »emuna« i »emet«. Oni označavaju vjernost i čestitost, pouzdanost i istinu Božjih postupaka prema svom narodu. I. dobiva osobno-dijaloški od</w:t>
        <w:softHyphen/>
        <w:t>nos; ona je Jahvin bitak koji se u povijesti s njegovim narodom pokazuje kao postojan. Ovo spasenjsko djelovanje ima svoj vrhunac u NZ u objavi božanske riječi u Isusu. U njego</w:t>
        <w:softHyphen/>
        <w:t>voj je osobi, prema Ivanovu evanđelju, Božja istina povijesno prisutna. U ranokršćanskoj fi</w:t>
        <w:softHyphen/>
        <w:t>lozofskoj teologiji, npr. kod Augustina, oba aspekta, metafizički i osobni pojam istine, ula</w:t>
        <w:softHyphen/>
        <w:t>ze u sintezu.</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je kao apsolutni temelj bitka istodobno i apsolutna i. koja u Kristu kao objavljenoj ri</w:t>
        <w:softHyphen/>
        <w:t>ječi Božjoj pruža čovjeku sudjelovanje u sebi, tj. u istini. Srednjovjekovna filozofija preuzi</w:t>
        <w:softHyphen/>
        <w:t>ma taj pojam istine. U Božjem duhu postoje ideje kao plan stvaranja. Isto se tako na to tre</w:t>
        <w:softHyphen/>
        <w:t>baju usmjeravati i. stvari kao i njihovo spozna</w:t>
        <w:softHyphen/>
        <w:t xml:space="preserve">vanje ljudskim duhom. Klasična formula za istinu kao </w:t>
      </w:r>
      <w:r>
        <w:rPr>
          <w:rFonts w:ascii="Times New Roman" w:eastAsia="Times New Roman" w:hAnsi="Times New Roman" w:cs="Times New Roman"/>
          <w:color w:val="000000"/>
          <w:spacing w:val="0"/>
          <w:w w:val="100"/>
          <w:position w:val="0"/>
          <w:shd w:val="clear" w:color="auto" w:fill="auto"/>
          <w:lang w:val="en-US" w:eastAsia="en-US" w:bidi="en-US"/>
        </w:rPr>
        <w:t xml:space="preserve">adaeqatio </w:t>
      </w:r>
      <w:r>
        <w:rPr>
          <w:rFonts w:ascii="Times New Roman" w:eastAsia="Times New Roman" w:hAnsi="Times New Roman" w:cs="Times New Roman"/>
          <w:color w:val="000000"/>
          <w:spacing w:val="0"/>
          <w:w w:val="100"/>
          <w:position w:val="0"/>
          <w:shd w:val="clear" w:color="auto" w:fill="auto"/>
          <w:lang w:val="hr-HR" w:eastAsia="hr-HR" w:bidi="hr-HR"/>
        </w:rPr>
        <w:t>rei et intellectus vrijedi za ontološku kao i za spoznajno-teoretsku is</w:t>
        <w:softHyphen/>
        <w:t xml:space="preserve">tinu. I. stvari kazuje katkada slaganje stvari s njezinom idejom u Stvoritcljcvu duhu. Ono je istodobno mjera za spoznajnu istinu kojoj teži </w:t>
      </w:r>
      <w:r>
        <w:rPr>
          <w:rFonts w:ascii="Times New Roman" w:eastAsia="Times New Roman" w:hAnsi="Times New Roman" w:cs="Times New Roman"/>
          <w:color w:val="000000"/>
          <w:spacing w:val="0"/>
          <w:w w:val="100"/>
          <w:position w:val="0"/>
          <w:shd w:val="clear" w:color="auto" w:fill="auto"/>
          <w:lang w:val="hr-HR" w:eastAsia="hr-HR" w:bidi="hr-HR"/>
        </w:rPr>
        <w:t>ljudski intelekt. Utemeljenje i jamstvo istine leže u pojmu Boga Stvoritelja.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novovjekovnoj filozofiji poduzeo se pokušaj da se ljudsko mišljenje i njegova i. utemeljuju sasvim iz njih samih. Tu zadaću treba preuzeti »cogito« kao temelj filozofije </w:t>
      </w:r>
      <w:r>
        <w:rPr>
          <w:rFonts w:ascii="Times New Roman" w:eastAsia="Times New Roman" w:hAnsi="Times New Roman" w:cs="Times New Roman"/>
          <w:color w:val="000000"/>
          <w:spacing w:val="0"/>
          <w:w w:val="100"/>
          <w:position w:val="0"/>
          <w:shd w:val="clear" w:color="auto" w:fill="auto"/>
          <w:lang w:val="en-US" w:eastAsia="en-US" w:bidi="en-US"/>
        </w:rPr>
        <w:t xml:space="preserve">(Descartes). </w:t>
      </w:r>
      <w:r>
        <w:rPr>
          <w:rFonts w:ascii="Times New Roman" w:eastAsia="Times New Roman" w:hAnsi="Times New Roman" w:cs="Times New Roman"/>
          <w:color w:val="000000"/>
          <w:spacing w:val="0"/>
          <w:w w:val="100"/>
          <w:position w:val="0"/>
          <w:shd w:val="clear" w:color="auto" w:fill="auto"/>
          <w:lang w:val="hr-HR" w:eastAsia="hr-HR" w:bidi="hr-HR"/>
        </w:rPr>
        <w:t>To vodi do »kritike uma« (Kant) tj. do ispitivanja dosega ljudskog spoznavanja. Filozofija nje</w:t>
        <w:softHyphen/>
        <w:t>mačkog idealizma pokušava utemeljiti spo</w:t>
        <w:softHyphen/>
        <w:t>znaju istine iz ideje apsolutnog znanja.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sadašnjoj filozofiji premješta se problem is</w:t>
        <w:softHyphen/>
        <w:t>tine sa spekulativnog utemeljivanja na analize spoznajno-teoretskih problema u pojedinim znanostima ili na jezično analitička istraživa</w:t>
        <w:softHyphen/>
        <w:t>nja gramatičko-semantičke ili povijesno-her- meneutičke vrste. Pritom se dadu utvrditi dvi</w:t>
        <w:softHyphen/>
        <w:t>je suprotne tendencije u diskusiji o pojmu is</w:t>
        <w:softHyphen/>
        <w:t>tine koje obadvije mogu dovesti do njegova produbljivanja. S jedne se strane, ograničenje pojma istine na čistu logiku izlaže opasnosti da se sroza u banalnost. S druge strane, po</w:t>
        <w:softHyphen/>
        <w:t>stoji opasnost da odveć općim proširenjem na neprikrivenost i očevidnost, gubitkom izvor</w:t>
        <w:softHyphen/>
        <w:t>nog sadržaja, postane mutan i nejasan. Do</w:t>
        <w:softHyphen/>
        <w:t>duše, apsolutno utemeljenje istine konačnim, povijesno shvaćenim umom i jezikom nije mo</w:t>
        <w:softHyphen/>
        <w:t>guće. No, i. kao moguća mora biti prihvaćena; ona je neosporan zahtjev uma i jezika ako obadva sami sebe u svojoj mogućnosti ne ras</w:t>
        <w:softHyphen/>
        <w:t>tvore i ne ponište.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je nešto dinamično. Kako ona postaje za nas shvatljiva kao čin koji se može i mora izvesti u konačnom umu? Treba razlikovati sljedeće strukturne momente: I., koja je otkrivena spo- znavajučem subjektu, mora biti očigledna; pro</w:t>
        <w:softHyphen/>
        <w:t>suđivanjem se tada i. spoznajno ispunjava; kriteriji istine mogu neki sud pokazati kao is</w:t>
        <w:softHyphen/>
        <w:t>tinit ili kao lažan. Konačnost ljudskog spozna</w:t>
        <w:softHyphen/>
        <w:t>vanja istine i njegova povijesna uvjetovanost ne dopuštaju da se konačno dade sadržajni is</w:t>
        <w:softHyphen/>
        <w:t>kaz o istini. No, struktura istine može se opi</w:t>
        <w:softHyphen/>
        <w:t xml:space="preserve">sati klasičnom formulom: veritas est </w:t>
      </w:r>
      <w:r>
        <w:rPr>
          <w:rFonts w:ascii="Times New Roman" w:eastAsia="Times New Roman" w:hAnsi="Times New Roman" w:cs="Times New Roman"/>
          <w:color w:val="000000"/>
          <w:spacing w:val="0"/>
          <w:w w:val="100"/>
          <w:position w:val="0"/>
          <w:shd w:val="clear" w:color="auto" w:fill="auto"/>
          <w:lang w:val="en-US" w:eastAsia="en-US" w:bidi="en-US"/>
        </w:rPr>
        <w:t xml:space="preserve">adaequa- </w:t>
      </w:r>
      <w:r>
        <w:rPr>
          <w:rFonts w:ascii="Times New Roman" w:eastAsia="Times New Roman" w:hAnsi="Times New Roman" w:cs="Times New Roman"/>
          <w:color w:val="000000"/>
          <w:spacing w:val="0"/>
          <w:w w:val="100"/>
          <w:position w:val="0"/>
          <w:shd w:val="clear" w:color="auto" w:fill="auto"/>
          <w:lang w:val="hr-HR" w:eastAsia="hr-HR" w:bidi="hr-HR"/>
        </w:rPr>
        <w:t>tio rei et intellectus. Ta određenost ostaje for</w:t>
        <w:softHyphen/>
        <w:t>malna i stoga je primjenjiva na svaku teoriju o istini.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temelju hipotetičkoga karaktera čovjekove spoznaje istine ne može se postići apsolutna i. Unatoč tomu, spoznaja se može usmjeravati na ideju istine kao potpunog identiteta miš</w:t>
        <w:softHyphen/>
        <w:t xml:space="preserve">ljenja i bitka, što je cilj kojem treba težiti i na kojem sudjeluje spoznavajući konačni subjekt. Nasuprot tom reduciranom relativnom zali- </w:t>
      </w:r>
      <w:r>
        <w:rPr>
          <w:rFonts w:ascii="Times New Roman" w:eastAsia="Times New Roman" w:hAnsi="Times New Roman" w:cs="Times New Roman"/>
          <w:color w:val="000000"/>
          <w:spacing w:val="0"/>
          <w:w w:val="100"/>
          <w:position w:val="0"/>
          <w:shd w:val="clear" w:color="auto" w:fill="auto"/>
          <w:lang w:val="hr-HR" w:eastAsia="hr-HR" w:bidi="hr-HR"/>
        </w:rPr>
        <w:t>tjevu filozofije za istinom stoji apsolutni zaht</w:t>
        <w:softHyphen/>
        <w:t>jev kršćanske teologije za istinom. Ona sebi postavlja pravo da je u posjedovanju po</w:t>
        <w:softHyphen/>
        <w:t>sljednje istine o smislu i cilju svijeta i čovjeka. U Isusu Kristu na vrhuncu je Božja pomoć čovjeku. Kristom kao utjelovljenom Božjom istinom čovjeku je konačno otvoren put spa</w:t>
        <w:softHyphen/>
        <w:t>senja.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Takva je i. za konačni um nedokaziva. Mora li je on zato nužno odbaciti ili se može zamisliti odnos koji ispunjava zahtjev konačnog uma i religiozne objave, mišljenja i vjere, filozofije i teologije, a da se oboje međusobno ne isklju</w:t>
        <w:softHyphen/>
        <w:t>čuju? Kako se apsolutna i. teologije uvijek iz</w:t>
        <w:softHyphen/>
        <w:t>nova formulira i naviješta lijekom povijesti sredstvima konačnog uma, filozofija bi ovdje mogla preuzeti kritičku funkciju prema teolo</w:t>
        <w:softHyphen/>
        <w:t>giji. No teologija bi mogla filozofskom naporu dati posljednji smisao i posljednji cilj koji taj napor sam iz sebe ne može dati.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Baumgartner, WahrheiuGewiBhcit.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 xml:space="preserve">Nettes </w:t>
      </w:r>
      <w:r>
        <w:rPr>
          <w:i/>
          <w:iCs/>
          <w:color w:val="000000"/>
          <w:spacing w:val="0"/>
          <w:w w:val="100"/>
          <w:position w:val="0"/>
          <w:shd w:val="clear" w:color="auto" w:fill="auto"/>
        </w:rPr>
        <w:t xml:space="preserve">Hand- bach </w:t>
      </w:r>
      <w:r>
        <w:rPr>
          <w:i/>
          <w:iCs/>
          <w:color w:val="000000"/>
          <w:spacing w:val="0"/>
          <w:w w:val="100"/>
          <w:position w:val="0"/>
          <w:shd w:val="clear" w:color="auto" w:fill="auto"/>
          <w:lang w:val="hr-HR" w:eastAsia="hr-HR" w:bidi="hr-HR"/>
        </w:rPr>
        <w:t xml:space="preserve">iheoitrgischrr </w:t>
      </w:r>
      <w:r>
        <w:rPr>
          <w:i/>
          <w:iCs/>
          <w:color w:val="000000"/>
          <w:spacing w:val="0"/>
          <w:w w:val="100"/>
          <w:position w:val="0"/>
          <w:shd w:val="clear" w:color="auto" w:fill="auto"/>
        </w:rPr>
        <w:t>Grundbegriffe,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hrsg </w:t>
      </w:r>
      <w:r>
        <w:rPr>
          <w:color w:val="000000"/>
          <w:spacing w:val="0"/>
          <w:w w:val="100"/>
          <w:position w:val="0"/>
          <w:shd w:val="clear" w:color="auto" w:fill="auto"/>
        </w:rPr>
        <w:t xml:space="preserve">von Peter Eicher, Bd. 4. Munchcn 1985, 263-274: W. Bcicrwahcs, </w:t>
      </w:r>
      <w:r>
        <w:rPr>
          <w:i/>
          <w:iCs/>
          <w:color w:val="000000"/>
          <w:spacing w:val="0"/>
          <w:w w:val="100"/>
          <w:position w:val="0"/>
          <w:shd w:val="clear" w:color="auto" w:fill="auto"/>
        </w:rPr>
        <w:t>Deus tst vrritus in »Pteias*.</w:t>
      </w:r>
      <w:r>
        <w:rPr>
          <w:color w:val="000000"/>
          <w:spacing w:val="0"/>
          <w:w w:val="100"/>
          <w:position w:val="0"/>
          <w:shd w:val="clear" w:color="auto" w:fill="auto"/>
        </w:rPr>
        <w:t xml:space="preserve"> Festschrift fur Bernhard Rotting, hrsg. von Ernst Dassmann/K. Suso Frank, Jahrbuch f. </w:t>
      </w:r>
      <w:r>
        <w:rPr>
          <w:color w:val="000000"/>
          <w:spacing w:val="0"/>
          <w:w w:val="100"/>
          <w:position w:val="0"/>
          <w:shd w:val="clear" w:color="auto" w:fill="auto"/>
          <w:lang w:val="hr-HR" w:eastAsia="hr-HR" w:bidi="hr-HR"/>
        </w:rPr>
        <w:t xml:space="preserve">Antike </w:t>
      </w:r>
      <w:r>
        <w:rPr>
          <w:color w:val="000000"/>
          <w:spacing w:val="0"/>
          <w:w w:val="100"/>
          <w:position w:val="0"/>
          <w:shd w:val="clear" w:color="auto" w:fill="auto"/>
        </w:rPr>
        <w:t xml:space="preserve">und Chri.stcntum, Erg.-Bd. 8, Munster 1980, 15-29; J Blank, Dcr johanncischc Wahrhcitsbcgriff, u; </w:t>
      </w:r>
      <w:r>
        <w:rPr>
          <w:i/>
          <w:iCs/>
          <w:color w:val="000000"/>
          <w:spacing w:val="0"/>
          <w:w w:val="100"/>
          <w:position w:val="0"/>
          <w:shd w:val="clear" w:color="auto" w:fill="auto"/>
        </w:rPr>
        <w:t xml:space="preserve">RibUsche Zeiischrift </w:t>
      </w:r>
      <w:r>
        <w:rPr>
          <w:color w:val="000000"/>
          <w:spacing w:val="0"/>
          <w:w w:val="100"/>
          <w:position w:val="0"/>
          <w:shd w:val="clear" w:color="auto" w:fill="auto"/>
        </w:rPr>
        <w:t xml:space="preserve">N. F. 7 (1963), 163-173; H. Krings. Wahrhcit. u: </w:t>
      </w:r>
      <w:r>
        <w:rPr>
          <w:i/>
          <w:iCs/>
          <w:color w:val="000000"/>
          <w:spacing w:val="0"/>
          <w:w w:val="100"/>
          <w:position w:val="0"/>
          <w:shd w:val="clear" w:color="auto" w:fill="auto"/>
        </w:rPr>
        <w:t>Handbuch iheologischer Grundbegriffe,</w:t>
      </w:r>
      <w:r>
        <w:rPr>
          <w:color w:val="000000"/>
          <w:spacing w:val="0"/>
          <w:w w:val="100"/>
          <w:position w:val="0"/>
          <w:shd w:val="clear" w:color="auto" w:fill="auto"/>
        </w:rPr>
        <w:t xml:space="preserve"> hrsg. von H. Fries, Bd. 2, </w:t>
      </w:r>
      <w:r>
        <w:rPr>
          <w:color w:val="000000"/>
          <w:spacing w:val="0"/>
          <w:w w:val="100"/>
          <w:position w:val="0"/>
          <w:shd w:val="clear" w:color="auto" w:fill="auto"/>
          <w:lang w:val="hr-HR" w:eastAsia="hr-HR" w:bidi="hr-HR"/>
        </w:rPr>
        <w:t xml:space="preserve">Mlin- </w:t>
      </w:r>
      <w:r>
        <w:rPr>
          <w:color w:val="000000"/>
          <w:spacing w:val="0"/>
          <w:w w:val="100"/>
          <w:position w:val="0"/>
          <w:shd w:val="clear" w:color="auto" w:fill="auto"/>
        </w:rPr>
        <w:t xml:space="preserve">chcn 1963, 786-794; L. B. Puntel, Wahrhcit. u: </w:t>
      </w:r>
      <w:r>
        <w:rPr>
          <w:i/>
          <w:iCs/>
          <w:color w:val="000000"/>
          <w:spacing w:val="0"/>
          <w:w w:val="100"/>
          <w:position w:val="0"/>
          <w:shd w:val="clear" w:color="auto" w:fill="auto"/>
        </w:rPr>
        <w:t>Handbuch philoxophiseher Gruruibegriffe.</w:t>
      </w:r>
      <w:r>
        <w:rPr>
          <w:color w:val="000000"/>
          <w:spacing w:val="0"/>
          <w:w w:val="100"/>
          <w:position w:val="0"/>
          <w:shd w:val="clear" w:color="auto" w:fill="auto"/>
        </w:rPr>
        <w:t xml:space="preserve"> hrsg. von II. Krings/H. M. Baurngartncr.'C. Wild, Munchcn 1974, 1649-1668; E. Tu</w:t>
        <w:softHyphen/>
        <w:t xml:space="preserve">gendhat. Zum Vcrhaltnis von Wisscnschatt und Wahrhcit, u: </w:t>
      </w:r>
      <w:r>
        <w:rPr>
          <w:i/>
          <w:iCs/>
          <w:color w:val="000000"/>
          <w:spacing w:val="0"/>
          <w:w w:val="100"/>
          <w:position w:val="0"/>
          <w:shd w:val="clear" w:color="auto" w:fill="auto"/>
        </w:rPr>
        <w:t>„Collegium philosophicitm*. Sludien J. Riner zum 60. Ge- bunslag,</w:t>
      </w:r>
      <w:r>
        <w:rPr>
          <w:color w:val="000000"/>
          <w:spacing w:val="0"/>
          <w:w w:val="100"/>
          <w:position w:val="0"/>
          <w:shd w:val="clear" w:color="auto" w:fill="auto"/>
        </w:rPr>
        <w:t xml:space="preserve"> Basci/Stuttgart 1965,389—402,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Der Walvheits- begriff bei Husserl und Heidegger,</w:t>
      </w:r>
      <w:r>
        <w:rPr>
          <w:color w:val="000000"/>
          <w:spacing w:val="0"/>
          <w:w w:val="100"/>
          <w:position w:val="0"/>
          <w:shd w:val="clear" w:color="auto" w:fill="auto"/>
        </w:rPr>
        <w:t xml:space="preserve"> Berlin </w:t>
      </w:r>
      <w:r>
        <w:rPr>
          <w:color w:val="000000"/>
          <w:spacing w:val="0"/>
          <w:w w:val="100"/>
          <w:position w:val="0"/>
          <w:shd w:val="clear" w:color="auto" w:fill="auto"/>
          <w:vertAlign w:val="superscript"/>
        </w:rPr>
        <w:t>2</w:t>
      </w:r>
      <w:r>
        <w:rPr>
          <w:color w:val="000000"/>
          <w:spacing w:val="0"/>
          <w:w w:val="100"/>
          <w:position w:val="0"/>
          <w:shd w:val="clear" w:color="auto" w:fill="auto"/>
        </w:rPr>
        <w:t>97O.</w:t>
      </w:r>
    </w:p>
    <w:p>
      <w:pPr>
        <w:pStyle w:val="Style74"/>
        <w:keepNext w:val="0"/>
        <w:keepLines w:val="0"/>
        <w:widowControl w:val="0"/>
        <w:shd w:val="clear" w:color="auto" w:fill="auto"/>
        <w:bidi w:val="0"/>
        <w:spacing w:before="0" w:after="32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H. SCHNARR</w:t>
      </w:r>
    </w:p>
    <w:p>
      <w:pPr>
        <w:pStyle w:val="Style33"/>
        <w:keepNext w:val="0"/>
        <w:keepLines w:val="0"/>
        <w:widowControl w:val="0"/>
        <w:shd w:val="clear" w:color="auto" w:fill="auto"/>
        <w:bidi w:val="0"/>
        <w:spacing w:before="0" w:after="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ISTOČNI GRIJEH </w:t>
      </w:r>
      <w:r>
        <w:rPr>
          <w:rFonts w:ascii="Times New Roman" w:eastAsia="Times New Roman" w:hAnsi="Times New Roman" w:cs="Times New Roman"/>
          <w:b/>
          <w:bCs/>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 xml:space="preserve">GRIJEH, </w:t>
      </w:r>
      <w:r>
        <w:rPr>
          <w:rFonts w:ascii="Times New Roman" w:eastAsia="Times New Roman" w:hAnsi="Times New Roman" w:cs="Times New Roman"/>
          <w:color w:val="000000"/>
          <w:spacing w:val="0"/>
          <w:w w:val="100"/>
          <w:position w:val="0"/>
          <w:shd w:val="clear" w:color="auto" w:fill="auto"/>
          <w:lang w:val="en-US" w:eastAsia="en-US" w:bidi="en-US"/>
        </w:rPr>
        <w:t>-&gt;</w:t>
      </w:r>
    </w:p>
    <w:p>
      <w:pPr>
        <w:pStyle w:val="Style91"/>
        <w:keepNext/>
        <w:keepLines/>
        <w:widowControl w:val="0"/>
        <w:shd w:val="clear" w:color="auto" w:fill="auto"/>
        <w:bidi w:val="0"/>
        <w:spacing w:before="0" w:after="260" w:line="240" w:lineRule="auto"/>
        <w:ind w:left="0" w:right="0" w:firstLine="0"/>
        <w:jc w:val="both"/>
      </w:pPr>
      <w:bookmarkStart w:id="131" w:name="bookmark131"/>
      <w:r>
        <w:rPr>
          <w:rFonts w:ascii="Times New Roman" w:eastAsia="Times New Roman" w:hAnsi="Times New Roman" w:cs="Times New Roman"/>
          <w:color w:val="000000"/>
          <w:spacing w:val="0"/>
          <w:w w:val="100"/>
          <w:position w:val="0"/>
          <w:shd w:val="clear" w:color="auto" w:fill="auto"/>
          <w:lang w:val="hr-HR" w:eastAsia="hr-HR" w:bidi="hr-HR"/>
        </w:rPr>
        <w:t>PRAGRIJEH</w:t>
      </w:r>
      <w:bookmarkEnd w:id="131"/>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ISUS KRIST</w:t>
      </w:r>
    </w:p>
    <w:p>
      <w:pPr>
        <w:pStyle w:val="Style63"/>
        <w:keepNext/>
        <w:keepLines/>
        <w:widowControl w:val="0"/>
        <w:numPr>
          <w:ilvl w:val="0"/>
          <w:numId w:val="179"/>
        </w:numPr>
        <w:shd w:val="clear" w:color="auto" w:fill="auto"/>
        <w:tabs>
          <w:tab w:pos="241" w:val="left"/>
        </w:tabs>
        <w:bidi w:val="0"/>
        <w:spacing w:before="0" w:line="223" w:lineRule="auto"/>
        <w:ind w:left="0" w:right="0" w:firstLine="0"/>
        <w:jc w:val="both"/>
      </w:pPr>
      <w:bookmarkStart w:id="132" w:name="bookmark132"/>
      <w:r>
        <w:rPr>
          <w:rFonts w:ascii="Times New Roman" w:eastAsia="Times New Roman" w:hAnsi="Times New Roman" w:cs="Times New Roman"/>
          <w:color w:val="000000"/>
          <w:spacing w:val="0"/>
          <w:w w:val="100"/>
          <w:position w:val="0"/>
          <w:shd w:val="clear" w:color="auto" w:fill="auto"/>
          <w:lang w:val="hr-HR" w:eastAsia="hr-HR" w:bidi="hr-HR"/>
        </w:rPr>
        <w:t>židovski</w:t>
      </w:r>
      <w:bookmarkEnd w:id="13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Rabinski izvori:</w:t>
      </w:r>
      <w:r>
        <w:rPr>
          <w:rFonts w:ascii="Times New Roman" w:eastAsia="Times New Roman" w:hAnsi="Times New Roman" w:cs="Times New Roman"/>
          <w:color w:val="000000"/>
          <w:spacing w:val="0"/>
          <w:w w:val="100"/>
          <w:position w:val="0"/>
          <w:shd w:val="clear" w:color="auto" w:fill="auto"/>
          <w:lang w:val="hr-HR" w:eastAsia="hr-HR" w:bidi="hr-HR"/>
        </w:rPr>
        <w:t xml:space="preserve"> U rabinskoj literaturi oskudni su podaci u kojima se izričito spominje I. K. ili se aludira na njega, na njegove riječi ili djela. U ime mudraca nema ni spomena iz prve po</w:t>
        <w:softHyphen/>
        <w:t>lovine I. stoljeća. Iz II. stoljeća potječu objaš</w:t>
        <w:softHyphen/>
        <w:t>njenja koja već odražavaju znanja i mišljenja Židova onoga vremena o kršćanima i o Isusu Kristu, a ona djelomice potječu iz istodobnih kršćanskih izvora. Stoga je talmudski materi</w:t>
        <w:softHyphen/>
        <w:t xml:space="preserve">jal oskudan, jer rabinski autoriteti iz razdoblja </w:t>
      </w:r>
      <w:r>
        <w:rPr>
          <w:rFonts w:ascii="Times New Roman" w:eastAsia="Times New Roman" w:hAnsi="Times New Roman" w:cs="Times New Roman"/>
          <w:color w:val="000000"/>
          <w:spacing w:val="0"/>
          <w:w w:val="100"/>
          <w:position w:val="0"/>
          <w:shd w:val="clear" w:color="auto" w:fill="auto"/>
          <w:lang w:val="hr-HR" w:eastAsia="hr-HR" w:bidi="hr-HR"/>
        </w:rPr>
        <w:t>drugoga Hrama izvješćuju vrlo slabo i samo u vezi s halaškim razmatranjima, odnosno spo</w:t>
        <w:softHyphen/>
        <w:t>minju ga samo usput u nekoj hagadi; napo</w:t>
        <w:softHyphen/>
        <w:t>kon, I. K. i njegovi pristaše u politički nemir</w:t>
        <w:softHyphen/>
        <w:t>no doba herodovaca i posljednjih prokuratora budili su samo onoliko pozornosti koliko i na</w:t>
        <w:softHyphen/>
        <w:t xml:space="preserve">stanak mnogih drugih sekti. Mjesta o Isusu Kristu, koja su glede svoje povijesne kvalitete u istraživanjima ocijenjena vrlo raznovrsno (dok npr. T. 1 </w:t>
      </w:r>
      <w:r>
        <w:rPr>
          <w:rFonts w:ascii="Times New Roman" w:eastAsia="Times New Roman" w:hAnsi="Times New Roman" w:cs="Times New Roman"/>
          <w:color w:val="000000"/>
          <w:spacing w:val="0"/>
          <w:w w:val="100"/>
          <w:position w:val="0"/>
          <w:shd w:val="clear" w:color="auto" w:fill="auto"/>
          <w:lang w:val="en-US" w:eastAsia="en-US" w:bidi="en-US"/>
        </w:rPr>
        <w:t xml:space="preserve">lerford, </w:t>
      </w:r>
      <w:r>
        <w:rPr>
          <w:rFonts w:ascii="Times New Roman" w:eastAsia="Times New Roman" w:hAnsi="Times New Roman" w:cs="Times New Roman"/>
          <w:i/>
          <w:iCs/>
          <w:color w:val="000000"/>
          <w:spacing w:val="0"/>
          <w:w w:val="100"/>
          <w:position w:val="0"/>
          <w:shd w:val="clear" w:color="auto" w:fill="auto"/>
          <w:lang w:val="en-US" w:eastAsia="en-US" w:bidi="en-US"/>
        </w:rPr>
        <w:t xml:space="preserve">Christianity in Talmud and </w:t>
      </w:r>
      <w:r>
        <w:rPr>
          <w:rFonts w:ascii="Times New Roman" w:eastAsia="Times New Roman" w:hAnsi="Times New Roman" w:cs="Times New Roman"/>
          <w:i/>
          <w:iCs/>
          <w:color w:val="000000"/>
          <w:spacing w:val="0"/>
          <w:w w:val="100"/>
          <w:position w:val="0"/>
          <w:shd w:val="clear" w:color="auto" w:fill="auto"/>
          <w:lang w:val="hr-HR" w:eastAsia="hr-HR" w:bidi="hr-HR"/>
        </w:rPr>
        <w:t>Midraš,</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1903,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Klausner, </w:t>
      </w:r>
      <w:r>
        <w:rPr>
          <w:rFonts w:ascii="Times New Roman" w:eastAsia="Times New Roman" w:hAnsi="Times New Roman" w:cs="Times New Roman"/>
          <w:i/>
          <w:iCs/>
          <w:color w:val="000000"/>
          <w:spacing w:val="0"/>
          <w:w w:val="100"/>
          <w:position w:val="0"/>
          <w:shd w:val="clear" w:color="auto" w:fill="auto"/>
          <w:lang w:val="en-US" w:eastAsia="en-US" w:bidi="en-US"/>
        </w:rPr>
        <w:t>Jesus von Na</w:t>
        <w:softHyphen/>
        <w:t>zareth,</w:t>
      </w:r>
      <w:r>
        <w:rPr>
          <w:rFonts w:ascii="Times New Roman" w:eastAsia="Times New Roman" w:hAnsi="Times New Roman" w:cs="Times New Roman"/>
          <w:color w:val="000000"/>
          <w:spacing w:val="0"/>
          <w:w w:val="100"/>
          <w:position w:val="0"/>
          <w:shd w:val="clear" w:color="auto" w:fill="auto"/>
          <w:lang w:val="en-US" w:eastAsia="en-US" w:bidi="en-US"/>
        </w:rPr>
        <w:t xml:space="preserve"> 1907, ’1952, 15-66, </w:t>
      </w:r>
      <w:r>
        <w:rPr>
          <w:rFonts w:ascii="Times New Roman" w:eastAsia="Times New Roman" w:hAnsi="Times New Roman" w:cs="Times New Roman"/>
          <w:color w:val="000000"/>
          <w:spacing w:val="0"/>
          <w:w w:val="100"/>
          <w:position w:val="0"/>
          <w:shd w:val="clear" w:color="auto" w:fill="auto"/>
          <w:lang w:val="hr-HR" w:eastAsia="hr-HR" w:bidi="hr-HR"/>
        </w:rPr>
        <w:t xml:space="preserve">žele u njima prije vidjeti rana izvješća, M. </w:t>
      </w:r>
      <w:r>
        <w:rPr>
          <w:rFonts w:ascii="Times New Roman" w:eastAsia="Times New Roman" w:hAnsi="Times New Roman" w:cs="Times New Roman"/>
          <w:color w:val="000000"/>
          <w:spacing w:val="0"/>
          <w:w w:val="100"/>
          <w:position w:val="0"/>
          <w:shd w:val="clear" w:color="auto" w:fill="auto"/>
          <w:lang w:val="en-US" w:eastAsia="en-US" w:bidi="en-US"/>
        </w:rPr>
        <w:t xml:space="preserve">Friedlaender,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reli- </w:t>
      </w:r>
      <w:r>
        <w:rPr>
          <w:rFonts w:ascii="Times New Roman" w:eastAsia="Times New Roman" w:hAnsi="Times New Roman" w:cs="Times New Roman"/>
          <w:i/>
          <w:iCs/>
          <w:color w:val="000000"/>
          <w:spacing w:val="0"/>
          <w:w w:val="100"/>
          <w:position w:val="0"/>
          <w:shd w:val="clear" w:color="auto" w:fill="auto"/>
          <w:lang w:val="en-US" w:eastAsia="en-US" w:bidi="en-US"/>
        </w:rPr>
        <w:t xml:space="preserve">gibsen Bewegungen </w:t>
      </w:r>
      <w:r>
        <w:rPr>
          <w:rFonts w:ascii="Times New Roman" w:eastAsia="Times New Roman" w:hAnsi="Times New Roman" w:cs="Times New Roman"/>
          <w:i/>
          <w:iCs/>
          <w:color w:val="000000"/>
          <w:spacing w:val="0"/>
          <w:w w:val="100"/>
          <w:position w:val="0"/>
          <w:shd w:val="clear" w:color="auto" w:fill="auto"/>
          <w:lang w:val="hr-HR" w:eastAsia="hr-HR" w:bidi="hr-HR"/>
        </w:rPr>
        <w:t>innerhalb des Judentums im Z.eitalter Jesu,</w:t>
      </w:r>
      <w:r>
        <w:rPr>
          <w:rFonts w:ascii="Times New Roman" w:eastAsia="Times New Roman" w:hAnsi="Times New Roman" w:cs="Times New Roman"/>
          <w:color w:val="000000"/>
          <w:spacing w:val="0"/>
          <w:w w:val="100"/>
          <w:position w:val="0"/>
          <w:shd w:val="clear" w:color="auto" w:fill="auto"/>
          <w:lang w:val="hr-HR" w:eastAsia="hr-HR" w:bidi="hr-HR"/>
        </w:rPr>
        <w:t xml:space="preserve"> 1905, i </w:t>
      </w:r>
      <w:r>
        <w:rPr>
          <w:rFonts w:ascii="Times New Roman" w:eastAsia="Times New Roman" w:hAnsi="Times New Roman" w:cs="Times New Roman"/>
          <w:color w:val="000000"/>
          <w:spacing w:val="0"/>
          <w:w w:val="100"/>
          <w:position w:val="0"/>
          <w:shd w:val="clear" w:color="auto" w:fill="auto"/>
          <w:lang w:val="en-US" w:eastAsia="en-US" w:bidi="en-US"/>
        </w:rPr>
        <w:t xml:space="preserve">J. Maier,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Jesus Christus </w:t>
      </w:r>
      <w:r>
        <w:rPr>
          <w:rFonts w:ascii="Times New Roman" w:eastAsia="Times New Roman" w:hAnsi="Times New Roman" w:cs="Times New Roman"/>
          <w:i/>
          <w:iCs/>
          <w:color w:val="000000"/>
          <w:spacing w:val="0"/>
          <w:w w:val="100"/>
          <w:position w:val="0"/>
          <w:shd w:val="clear" w:color="auto" w:fill="auto"/>
          <w:lang w:val="hr-HR" w:eastAsia="hr-HR" w:bidi="hr-HR"/>
        </w:rPr>
        <w:t xml:space="preserve">im </w:t>
      </w:r>
      <w:r>
        <w:rPr>
          <w:rFonts w:ascii="Times New Roman" w:eastAsia="Times New Roman" w:hAnsi="Times New Roman" w:cs="Times New Roman"/>
          <w:i/>
          <w:iCs/>
          <w:color w:val="000000"/>
          <w:spacing w:val="0"/>
          <w:w w:val="100"/>
          <w:position w:val="0"/>
          <w:shd w:val="clear" w:color="auto" w:fill="auto"/>
          <w:lang w:val="en-US" w:eastAsia="en-US" w:bidi="en-US"/>
        </w:rPr>
        <w:t>Talmud,</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1977, smatraju ih kasnijim doda</w:t>
        <w:softHyphen/>
        <w:t xml:space="preserve">cima) obavješćuju nas (s rezervom!) da se on zvao Ješua (Ješu) iz Nazareta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43a;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16b.l7a), da se bavio čarob</w:t>
        <w:softHyphen/>
        <w:t xml:space="preserve">njaštvom (tj. činio čuda,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43a; 107b; Sota 47b; usp. j Hagiga 11,2), zaveo Iz</w:t>
        <w:softHyphen/>
        <w:t xml:space="preserve">rael i odveo ga na krivi </w:t>
      </w:r>
      <w:r>
        <w:rPr>
          <w:rFonts w:ascii="Times New Roman" w:eastAsia="Times New Roman" w:hAnsi="Times New Roman" w:cs="Times New Roman"/>
          <w:color w:val="000000"/>
          <w:spacing w:val="0"/>
          <w:w w:val="100"/>
          <w:position w:val="0"/>
          <w:shd w:val="clear" w:color="auto" w:fill="auto"/>
          <w:lang w:val="en-US" w:eastAsia="en-US" w:bidi="en-US"/>
        </w:rPr>
        <w:t xml:space="preserve">put </w:t>
      </w:r>
      <w:r>
        <w:rPr>
          <w:rFonts w:ascii="Times New Roman" w:eastAsia="Times New Roman" w:hAnsi="Times New Roman" w:cs="Times New Roman"/>
          <w:color w:val="000000"/>
          <w:spacing w:val="0"/>
          <w:w w:val="100"/>
          <w:position w:val="0"/>
          <w:shd w:val="clear" w:color="auto" w:fill="auto"/>
          <w:lang w:val="hr-HR" w:eastAsia="hr-HR" w:bidi="hr-HR"/>
        </w:rPr>
        <w:t xml:space="preserve">(b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43a), rugao se riječima mudraca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56b; 57a), Toru tumačio kao farizeji (Tos. Hulin 11,22 i d.;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27b: j 11,2), da je imao pet učenika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43a), govorio da nije došao kako bi nešto oduzeo Tori ili joj dodao (b Sabat U6a.b), daje dan uoči Pesaha, koji je pao na jedan šabat, bio obješen (raspet) zbog hereze i zavođenja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43a, 67a), da su njegovi učenici u njegovo ime liječili bolesnike (Tos. Hulin 11,22 i d.;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27b;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11,2). U tendencioznim prikazima tvrdi se da je 1. K. nezakonito dijete preljubnice (traktat Kala 51a; usp. M </w:t>
      </w:r>
      <w:r>
        <w:rPr>
          <w:rFonts w:ascii="Times New Roman" w:eastAsia="Times New Roman" w:hAnsi="Times New Roman" w:cs="Times New Roman"/>
          <w:color w:val="000000"/>
          <w:spacing w:val="0"/>
          <w:w w:val="100"/>
          <w:position w:val="0"/>
          <w:shd w:val="clear" w:color="auto" w:fill="auto"/>
          <w:lang w:val="en-US" w:eastAsia="en-US" w:bidi="en-US"/>
        </w:rPr>
        <w:t xml:space="preserve">Jevamot </w:t>
      </w:r>
      <w:r>
        <w:rPr>
          <w:rFonts w:ascii="Times New Roman" w:eastAsia="Times New Roman" w:hAnsi="Times New Roman" w:cs="Times New Roman"/>
          <w:color w:val="000000"/>
          <w:spacing w:val="0"/>
          <w:w w:val="100"/>
          <w:position w:val="0"/>
          <w:shd w:val="clear" w:color="auto" w:fill="auto"/>
          <w:lang w:val="hr-HR" w:eastAsia="hr-HR" w:bidi="hr-HR"/>
        </w:rPr>
        <w:t>IV,3; b 49a) i da je četrdeset dana prije njegova raspeća je</w:t>
        <w:softHyphen/>
        <w:t>dan izvikivač javno oglasio razlog njegove pre</w:t>
        <w:softHyphen/>
        <w:t xml:space="preserve">sude kako bi ga oslobodili iskazi svjedoka: »Ali, nisu ga oslobodili«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43a). Nakon preokreta u doba cara Konstantina u</w:t>
      </w:r>
    </w:p>
    <w:p>
      <w:pPr>
        <w:pStyle w:val="Style20"/>
        <w:keepNext w:val="0"/>
        <w:keepLines w:val="0"/>
        <w:widowControl w:val="0"/>
        <w:numPr>
          <w:ilvl w:val="0"/>
          <w:numId w:val="181"/>
        </w:numPr>
        <w:shd w:val="clear" w:color="auto" w:fill="auto"/>
        <w:tabs>
          <w:tab w:pos="342" w:val="left"/>
        </w:tabs>
        <w:bidi w:val="0"/>
        <w:spacing w:before="0" w:after="0"/>
        <w:ind w:left="0" w:right="0" w:firstLine="0"/>
        <w:jc w:val="both"/>
        <w:sectPr>
          <w:headerReference w:type="default" r:id="rId533"/>
          <w:footerReference w:type="default" r:id="rId534"/>
          <w:headerReference w:type="even" r:id="rId535"/>
          <w:footerReference w:type="even" r:id="rId536"/>
          <w:headerReference w:type="first" r:id="rId537"/>
          <w:footerReference w:type="first" r:id="rId538"/>
          <w:footnotePr>
            <w:pos w:val="pageBottom"/>
            <w:numFmt w:val="decimal"/>
            <w:numStart w:val="5"/>
            <w:numRestart w:val="continuous"/>
            <w15:footnoteColumns w:val="1"/>
          </w:footnotePr>
          <w:pgSz w:w="6816" w:h="11006"/>
          <w:pgMar w:top="987" w:left="169" w:right="172" w:bottom="443" w:header="0" w:footer="3" w:gutter="0"/>
          <w:pgNumType w:start="185"/>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stoljeću cilj im je bio da Židove učine ne</w:t>
        <w:softHyphen/>
        <w:t>osjetljivima na pritisak kršćana, da ih zaštite od prejake Crkve. Te religijsko-apologetski pre</w:t>
        <w:softHyphen/>
        <w:t>uveličane legende o Isusu Kristu ne sadrže te</w:t>
        <w:softHyphen/>
        <w:t>meljno židovsko antikršćansko načelo. Polemič</w:t>
        <w:softHyphen/>
        <w:t>ka očitovanja u talmudskoj literaturi uobliče</w:t>
        <w:softHyphen/>
        <w:t xml:space="preserve">na su od </w:t>
      </w:r>
      <w:r>
        <w:rPr>
          <w:rFonts w:ascii="Times New Roman" w:eastAsia="Times New Roman" w:hAnsi="Times New Roman" w:cs="Times New Roman"/>
          <w:i/>
          <w:iCs/>
          <w:color w:val="000000"/>
          <w:spacing w:val="0"/>
          <w:w w:val="100"/>
          <w:position w:val="0"/>
          <w:shd w:val="clear" w:color="auto" w:fill="auto"/>
          <w:lang w:val="en-US" w:eastAsia="en-US" w:bidi="en-US"/>
        </w:rPr>
        <w:t>VX.JX..</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stoljeća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Toledo! </w:t>
      </w:r>
      <w:r>
        <w:rPr>
          <w:rFonts w:ascii="Times New Roman" w:eastAsia="Times New Roman" w:hAnsi="Times New Roman" w:cs="Times New Roman"/>
          <w:i/>
          <w:iCs/>
          <w:color w:val="000000"/>
          <w:spacing w:val="0"/>
          <w:w w:val="100"/>
          <w:position w:val="0"/>
          <w:shd w:val="clear" w:color="auto" w:fill="auto"/>
          <w:lang w:val="hr-HR" w:eastAsia="hr-HR" w:bidi="hr-HR"/>
        </w:rPr>
        <w:t>Jesu</w:t>
      </w:r>
      <w:r>
        <w:rPr>
          <w:rFonts w:ascii="Times New Roman" w:eastAsia="Times New Roman" w:hAnsi="Times New Roman" w:cs="Times New Roman"/>
          <w:color w:val="000000"/>
          <w:spacing w:val="0"/>
          <w:w w:val="100"/>
          <w:position w:val="0"/>
          <w:shd w:val="clear" w:color="auto" w:fill="auto"/>
          <w:lang w:val="hr-HR" w:eastAsia="hr-HR" w:bidi="hr-HR"/>
        </w:rPr>
        <w:t xml:space="preserve"> (»Život Isusa Krista«) koji se proširio u mnogobroj</w:t>
        <w:softHyphen/>
        <w:t>nim verzijama. Satiričku priču, koja je obli</w:t>
        <w:softHyphen/>
        <w:t xml:space="preserve">kovana poput srednjovjekovnog romana, koja je sve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XIX. stoljeća mnogim Židovima pre</w:t>
        <w:softHyphen/>
        <w:t xml:space="preserve">nosila podrugljivu imitaciju Isusova života, </w:t>
      </w:r>
    </w:p>
    <w:p>
      <w:pPr>
        <w:pStyle w:val="Style20"/>
        <w:keepNext w:val="0"/>
        <w:keepLines w:val="0"/>
        <w:widowControl w:val="0"/>
        <w:shd w:val="clear" w:color="auto" w:fill="auto"/>
        <w:tabs>
          <w:tab w:pos="34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odbili su </w:t>
      </w:r>
      <w:r>
        <w:rPr>
          <w:rFonts w:ascii="Times New Roman" w:eastAsia="Times New Roman" w:hAnsi="Times New Roman" w:cs="Times New Roman"/>
          <w:color w:val="000000"/>
          <w:spacing w:val="0"/>
          <w:w w:val="100"/>
          <w:position w:val="0"/>
          <w:shd w:val="clear" w:color="auto" w:fill="auto"/>
          <w:lang w:val="en-US" w:eastAsia="en-US" w:bidi="en-US"/>
        </w:rPr>
        <w:t xml:space="preserve">Moses Mendelssohn </w:t>
      </w:r>
      <w:r>
        <w:rPr>
          <w:rFonts w:ascii="Times New Roman" w:eastAsia="Times New Roman" w:hAnsi="Times New Roman" w:cs="Times New Roman"/>
          <w:color w:val="000000"/>
          <w:spacing w:val="0"/>
          <w:w w:val="100"/>
          <w:position w:val="0"/>
          <w:shd w:val="clear" w:color="auto" w:fill="auto"/>
          <w:lang w:val="hr-HR" w:eastAsia="hr-HR" w:bidi="hr-HR"/>
        </w:rPr>
        <w:t>(u obraćanju Lavateru) kao »izrod iz doba legendi« i židov</w:t>
        <w:softHyphen/>
        <w:t xml:space="preserve">ski povjesničar </w:t>
      </w:r>
      <w:r>
        <w:rPr>
          <w:rFonts w:ascii="Times New Roman" w:eastAsia="Times New Roman" w:hAnsi="Times New Roman" w:cs="Times New Roman"/>
          <w:color w:val="000000"/>
          <w:spacing w:val="0"/>
          <w:w w:val="100"/>
          <w:position w:val="0"/>
          <w:shd w:val="clear" w:color="auto" w:fill="auto"/>
          <w:lang w:val="en-US" w:eastAsia="en-US" w:bidi="en-US"/>
        </w:rPr>
        <w:t xml:space="preserve">Heinrich </w:t>
      </w:r>
      <w:r>
        <w:rPr>
          <w:rFonts w:ascii="Times New Roman" w:eastAsia="Times New Roman" w:hAnsi="Times New Roman" w:cs="Times New Roman"/>
          <w:color w:val="000000"/>
          <w:spacing w:val="0"/>
          <w:w w:val="100"/>
          <w:position w:val="0"/>
          <w:shd w:val="clear" w:color="auto" w:fill="auto"/>
          <w:lang w:val="hr-HR" w:eastAsia="hr-HR" w:bidi="hr-HR"/>
        </w:rPr>
        <w:t xml:space="preserve">Graetz kao »bijednu krpariju. kompiliranu od fragmentarnih saga iz Talmuda o Isusu« (usp. </w:t>
      </w:r>
      <w:r>
        <w:rPr>
          <w:rFonts w:ascii="Times New Roman" w:eastAsia="Times New Roman" w:hAnsi="Times New Roman" w:cs="Times New Roman"/>
          <w:color w:val="000000"/>
          <w:spacing w:val="0"/>
          <w:w w:val="100"/>
          <w:position w:val="0"/>
          <w:shd w:val="clear" w:color="auto" w:fill="auto"/>
          <w:lang w:val="en-US" w:eastAsia="en-US" w:bidi="en-US"/>
        </w:rPr>
        <w:t xml:space="preserve">Krauss, </w:t>
      </w:r>
      <w:r>
        <w:rPr>
          <w:rFonts w:ascii="Times New Roman" w:eastAsia="Times New Roman" w:hAnsi="Times New Roman" w:cs="Times New Roman"/>
          <w:i/>
          <w:iCs/>
          <w:color w:val="000000"/>
          <w:spacing w:val="0"/>
          <w:w w:val="100"/>
          <w:position w:val="0"/>
          <w:shd w:val="clear" w:color="auto" w:fill="auto"/>
          <w:lang w:val="hr-HR" w:eastAsia="hr-HR" w:bidi="hr-HR"/>
        </w:rPr>
        <w:t>Leben Jesu nach judischen (Juellen,</w:t>
      </w:r>
      <w:r>
        <w:rPr>
          <w:rFonts w:ascii="Times New Roman" w:eastAsia="Times New Roman" w:hAnsi="Times New Roman" w:cs="Times New Roman"/>
          <w:color w:val="000000"/>
          <w:spacing w:val="0"/>
          <w:w w:val="100"/>
          <w:position w:val="0"/>
          <w:shd w:val="clear" w:color="auto" w:fill="auto"/>
          <w:lang w:val="hr-HR" w:eastAsia="hr-HR" w:bidi="hr-HR"/>
        </w:rPr>
        <w:t xml:space="preserve"> 1902).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Noviji židovski prikazi:</w:t>
      </w:r>
      <w:r>
        <w:rPr>
          <w:rFonts w:ascii="Times New Roman" w:eastAsia="Times New Roman" w:hAnsi="Times New Roman" w:cs="Times New Roman"/>
          <w:color w:val="000000"/>
          <w:spacing w:val="0"/>
          <w:w w:val="100"/>
          <w:position w:val="0"/>
          <w:shd w:val="clear" w:color="auto" w:fill="auto"/>
          <w:lang w:val="hr-HR" w:eastAsia="hr-HR" w:bidi="hr-HR"/>
        </w:rPr>
        <w:t xml:space="preserve"> Ako su dotad židov</w:t>
        <w:softHyphen/>
        <w:t>ski povjesničari i teolozi izbjegavali zauzeti sta</w:t>
        <w:softHyphen/>
        <w:t>jalište, u XX. stoljeću pozabavili su se opširni</w:t>
        <w:softHyphen/>
        <w:t>je pitanjima trebaju li se Isusova osoba i nauk pripisali židovstvu. Temelj takvim radovima postavio je C. G. Montefiore svojim prikazom židovskih elemenata u sinoptičkim evanđelji</w:t>
        <w:softHyphen/>
        <w:t xml:space="preserve">ma </w:t>
      </w:r>
      <w:r>
        <w:rPr>
          <w:rFonts w:ascii="Times New Roman" w:eastAsia="Times New Roman" w:hAnsi="Times New Roman" w:cs="Times New Roman"/>
          <w:i/>
          <w:iCs/>
          <w:color w:val="000000"/>
          <w:spacing w:val="0"/>
          <w:w w:val="100"/>
          <w:position w:val="0"/>
          <w:shd w:val="clear" w:color="auto" w:fill="auto"/>
          <w:lang w:val="en-US" w:eastAsia="en-US" w:bidi="en-US"/>
        </w:rPr>
        <w:t>(The Synoptic Gospels,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1927). Isusovu nauku priznao je neke odlike u odnosu na rabinsko židovstvo, ali je odbacio njihovu dalj</w:t>
        <w:softHyphen/>
        <w:t>nju kršćansku razradu. Njegovu shvaćanju da je Isusova etika židovska i da se Židovi ne bi trebali opirati njezinu uključivanju u židov</w:t>
        <w:softHyphen/>
        <w:t xml:space="preserve">stvo, usprotivio se, između ostalih, Ahad ha- Am (esej: </w:t>
      </w:r>
      <w:r>
        <w:rPr>
          <w:rFonts w:ascii="Times New Roman" w:eastAsia="Times New Roman" w:hAnsi="Times New Roman" w:cs="Times New Roman"/>
          <w:i/>
          <w:iCs/>
          <w:color w:val="000000"/>
          <w:spacing w:val="0"/>
          <w:w w:val="100"/>
          <w:position w:val="0"/>
          <w:shd w:val="clear" w:color="auto" w:fill="auto"/>
          <w:lang w:val="hr-HR" w:eastAsia="hr-HR" w:bidi="hr-HR"/>
        </w:rPr>
        <w:t>Nach zwei Seiten</w:t>
      </w:r>
      <w:r>
        <w:rPr>
          <w:rFonts w:ascii="Times New Roman" w:eastAsia="Times New Roman" w:hAnsi="Times New Roman" w:cs="Times New Roman"/>
          <w:color w:val="000000"/>
          <w:spacing w:val="0"/>
          <w:w w:val="100"/>
          <w:position w:val="0"/>
          <w:shd w:val="clear" w:color="auto" w:fill="auto"/>
          <w:lang w:val="hr-HR" w:eastAsia="hr-HR" w:bidi="hr-HR"/>
        </w:rPr>
        <w:t xml:space="preserve"> /Nakon dvije stra</w:t>
        <w:softHyphen/>
        <w:t xml:space="preserve">nice/). S. </w:t>
      </w:r>
      <w:r>
        <w:rPr>
          <w:rFonts w:ascii="Times New Roman" w:eastAsia="Times New Roman" w:hAnsi="Times New Roman" w:cs="Times New Roman"/>
          <w:color w:val="000000"/>
          <w:spacing w:val="0"/>
          <w:w w:val="100"/>
          <w:position w:val="0"/>
          <w:shd w:val="clear" w:color="auto" w:fill="auto"/>
          <w:lang w:val="en-US" w:eastAsia="en-US" w:bidi="en-US"/>
        </w:rPr>
        <w:t xml:space="preserve">Hurwitz </w:t>
      </w:r>
      <w:r>
        <w:rPr>
          <w:rFonts w:ascii="Times New Roman" w:eastAsia="Times New Roman" w:hAnsi="Times New Roman" w:cs="Times New Roman"/>
          <w:color w:val="000000"/>
          <w:spacing w:val="0"/>
          <w:w w:val="100"/>
          <w:position w:val="0"/>
          <w:shd w:val="clear" w:color="auto" w:fill="auto"/>
          <w:lang w:val="hr-HR" w:eastAsia="hr-HR" w:bidi="hr-HR"/>
        </w:rPr>
        <w:t xml:space="preserve">(Zur </w:t>
      </w:r>
      <w:r>
        <w:rPr>
          <w:rFonts w:ascii="Times New Roman" w:eastAsia="Times New Roman" w:hAnsi="Times New Roman" w:cs="Times New Roman"/>
          <w:color w:val="000000"/>
          <w:spacing w:val="0"/>
          <w:w w:val="100"/>
          <w:position w:val="0"/>
          <w:shd w:val="clear" w:color="auto" w:fill="auto"/>
          <w:lang w:val="en-US" w:eastAsia="en-US" w:bidi="en-US"/>
        </w:rPr>
        <w:t xml:space="preserve">Erwcitcrung </w:t>
      </w:r>
      <w:r>
        <w:rPr>
          <w:rFonts w:ascii="Times New Roman" w:eastAsia="Times New Roman" w:hAnsi="Times New Roman" w:cs="Times New Roman"/>
          <w:color w:val="000000"/>
          <w:spacing w:val="0"/>
          <w:w w:val="100"/>
          <w:position w:val="0"/>
          <w:shd w:val="clear" w:color="auto" w:fill="auto"/>
          <w:lang w:val="hr-HR" w:eastAsia="hr-HR" w:bidi="hr-HR"/>
        </w:rPr>
        <w:t xml:space="preserve">dcr Grenzen, u: </w:t>
      </w:r>
      <w:r>
        <w:rPr>
          <w:rFonts w:ascii="Times New Roman" w:eastAsia="Times New Roman" w:hAnsi="Times New Roman" w:cs="Times New Roman"/>
          <w:i/>
          <w:iCs/>
          <w:color w:val="000000"/>
          <w:spacing w:val="0"/>
          <w:w w:val="100"/>
          <w:position w:val="0"/>
          <w:shd w:val="clear" w:color="auto" w:fill="auto"/>
          <w:lang w:val="hr-HR" w:eastAsia="hr-HR" w:bidi="hr-HR"/>
        </w:rPr>
        <w:t>Heatid,</w:t>
      </w:r>
      <w:r>
        <w:rPr>
          <w:rFonts w:ascii="Times New Roman" w:eastAsia="Times New Roman" w:hAnsi="Times New Roman" w:cs="Times New Roman"/>
          <w:color w:val="000000"/>
          <w:spacing w:val="0"/>
          <w:w w:val="100"/>
          <w:position w:val="0"/>
          <w:shd w:val="clear" w:color="auto" w:fill="auto"/>
          <w:lang w:val="hr-HR" w:eastAsia="hr-HR" w:bidi="hr-HR"/>
        </w:rPr>
        <w:t xml:space="preserve"> 1911) borio se protiv po</w:t>
        <w:softHyphen/>
        <w:t>kušaja uskogrudnog ograničavanja židovstva.</w:t>
      </w:r>
    </w:p>
    <w:p>
      <w:pPr>
        <w:pStyle w:val="Style20"/>
        <w:keepNext w:val="0"/>
        <w:keepLines w:val="0"/>
        <w:widowControl w:val="0"/>
        <w:shd w:val="clear" w:color="auto" w:fill="auto"/>
        <w:tabs>
          <w:tab w:pos="25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w:t>
        <w:tab/>
        <w:t>Klausner (op.cit.) prihvatio se, prije svega, rasprave o Isusu sa židovskoga stajališta. Do</w:t>
        <w:softHyphen/>
        <w:t>šao je do rezultata da »u Isusovu životu nema ni koraka, pa ni retka u prikazu njegova na</w:t>
        <w:softHyphen/>
        <w:t>uka koji ne bi nosio žig proročkoga i farizej</w:t>
        <w:softHyphen/>
        <w:t>skog židovstva i žig zemlje Palestine nepo</w:t>
        <w:softHyphen/>
        <w:t>sredno prije razorenja drugoga Hrama«. On ipak »ne može biti mesija židovskomu naro</w:t>
        <w:softHyphen/>
        <w:t>du: kraljevstvo Božje... još mu nije došlo. Ne može ga se priznati ni za ‘proroka’: za to on nema političkog razumijevanja i dar za na</w:t>
        <w:softHyphen/>
        <w:t xml:space="preserve">cionalnu utjehu i bodrenje... No za židovski narod Isus je </w:t>
      </w:r>
      <w:r>
        <w:rPr>
          <w:rFonts w:ascii="Times New Roman" w:eastAsia="Times New Roman" w:hAnsi="Times New Roman" w:cs="Times New Roman"/>
          <w:i/>
          <w:iCs/>
          <w:color w:val="000000"/>
          <w:spacing w:val="0"/>
          <w:w w:val="100"/>
          <w:position w:val="0"/>
          <w:shd w:val="clear" w:color="auto" w:fill="auto"/>
          <w:lang w:val="hr-HR" w:eastAsia="hr-HR" w:bidi="hr-HR"/>
        </w:rPr>
        <w:t>učitelj visoka morala i prvoraz</w:t>
        <w:softHyphen/>
        <w:t>redni pripovjedač prispodobi.</w:t>
      </w:r>
      <w:r>
        <w:rPr>
          <w:rFonts w:ascii="Times New Roman" w:eastAsia="Times New Roman" w:hAnsi="Times New Roman" w:cs="Times New Roman"/>
          <w:color w:val="000000"/>
          <w:spacing w:val="0"/>
          <w:w w:val="100"/>
          <w:position w:val="0"/>
          <w:shd w:val="clear" w:color="auto" w:fill="auto"/>
          <w:lang w:val="hr-HR" w:eastAsia="hr-HR" w:bidi="hr-HR"/>
        </w:rPr>
        <w:t xml:space="preserve"> On je baš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pravi </w:t>
      </w:r>
      <w:r>
        <w:rPr>
          <w:rFonts w:ascii="Times New Roman" w:eastAsia="Times New Roman" w:hAnsi="Times New Roman" w:cs="Times New Roman"/>
          <w:color w:val="000000"/>
          <w:spacing w:val="0"/>
          <w:w w:val="100"/>
          <w:position w:val="0"/>
          <w:shd w:val="clear" w:color="auto" w:fill="auto"/>
          <w:lang w:val="hr-HR" w:eastAsia="hr-HR" w:bidi="hr-HR"/>
        </w:rPr>
        <w:t xml:space="preserve">učitelj morala« (op.cit. 572 i d.).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vidio je u Isusu »središnjeg Židova« »u ko</w:t>
        <w:softHyphen/>
        <w:t>jemu se skupila židovska volja za ostvarenje i kojom se on probio«: »To što se Bog u svijetu i svjetovnome želi ostvariti njihovim strastve</w:t>
        <w:softHyphen/>
        <w:t>nim očišćenjem i kreativnim savršenstvom, što je svijet opustošena kuća koju treba opremiti za duh i to što duh, sve dotle dok se to ne do</w:t>
        <w:softHyphen/>
        <w:t>godi, nema kamo položiti glavu, to neizmjer</w:t>
        <w:softHyphen/>
        <w:t>no duboko znanje Isusovo je najdublje židov</w:t>
        <w:softHyphen/>
        <w:t xml:space="preserve">stvo« (Der </w:t>
      </w:r>
      <w:r>
        <w:rPr>
          <w:rFonts w:ascii="Times New Roman" w:eastAsia="Times New Roman" w:hAnsi="Times New Roman" w:cs="Times New Roman"/>
          <w:color w:val="000000"/>
          <w:spacing w:val="0"/>
          <w:w w:val="100"/>
          <w:position w:val="0"/>
          <w:shd w:val="clear" w:color="auto" w:fill="auto"/>
          <w:lang w:val="en-US" w:eastAsia="en-US" w:bidi="en-US"/>
        </w:rPr>
        <w:t xml:space="preserve">heilige Wcg,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Reden </w:t>
      </w:r>
      <w:r>
        <w:rPr>
          <w:rFonts w:ascii="Times New Roman" w:eastAsia="Times New Roman" w:hAnsi="Times New Roman" w:cs="Times New Roman"/>
          <w:i/>
          <w:iCs/>
          <w:color w:val="000000"/>
          <w:spacing w:val="0"/>
          <w:w w:val="100"/>
          <w:position w:val="0"/>
          <w:shd w:val="clear" w:color="auto" w:fill="auto"/>
          <w:lang w:val="hr-HR" w:eastAsia="hr-HR" w:bidi="hr-HR"/>
        </w:rPr>
        <w:t>iiber das Ju</w:t>
        <w:softHyphen/>
        <w:t>dentum,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1932, 143-197, 163.164 i d.).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priznaje: »Isusa sam od mladosti osjećao kao svojega starijeg brata. Da su ga kršćani sma</w:t>
        <w:softHyphen/>
      </w:r>
    </w:p>
    <w:p>
      <w:pPr>
        <w:pStyle w:val="Style20"/>
        <w:keepNext w:val="0"/>
        <w:keepLines w:val="0"/>
        <w:widowControl w:val="0"/>
        <w:shd w:val="clear" w:color="auto" w:fill="auto"/>
        <w:tabs>
          <w:tab w:pos="2438" w:val="left"/>
        </w:tabs>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trali i da ga smatraju Bogom i Otkupiteljem, činilo mi se uvijek nadasve ozbiljnom činjeni</w:t>
        <w:softHyphen/>
        <w:t>com koju radi njega i radi sebe moram nasto</w:t>
        <w:softHyphen/>
        <w:t xml:space="preserve">jati shvatiti« </w:t>
      </w:r>
      <w:r>
        <w:rPr>
          <w:rFonts w:ascii="Times New Roman" w:eastAsia="Times New Roman" w:hAnsi="Times New Roman" w:cs="Times New Roman"/>
          <w:color w:val="000000"/>
          <w:spacing w:val="0"/>
          <w:w w:val="100"/>
          <w:position w:val="0"/>
          <w:shd w:val="clear" w:color="auto" w:fill="auto"/>
          <w:lang w:val="en-US" w:eastAsia="en-US" w:bidi="en-US"/>
        </w:rPr>
        <w:t xml:space="preserve">(Zwei Glaubcnswciscn, </w:t>
      </w:r>
      <w:r>
        <w:rPr>
          <w:rFonts w:ascii="Times New Roman" w:eastAsia="Times New Roman" w:hAnsi="Times New Roman" w:cs="Times New Roman"/>
          <w:color w:val="000000"/>
          <w:spacing w:val="0"/>
          <w:w w:val="100"/>
          <w:position w:val="0"/>
          <w:shd w:val="clear" w:color="auto" w:fill="auto"/>
          <w:lang w:val="hr-HR" w:eastAsia="hr-HR" w:bidi="hr-HR"/>
        </w:rPr>
        <w:t xml:space="preserve">1950, u: </w:t>
      </w:r>
      <w:r>
        <w:rPr>
          <w:rFonts w:ascii="Times New Roman" w:eastAsia="Times New Roman" w:hAnsi="Times New Roman" w:cs="Times New Roman"/>
          <w:i/>
          <w:iCs/>
          <w:color w:val="000000"/>
          <w:spacing w:val="0"/>
          <w:w w:val="100"/>
          <w:position w:val="0"/>
          <w:shd w:val="clear" w:color="auto" w:fill="auto"/>
          <w:lang w:val="en-US" w:eastAsia="en-US" w:bidi="en-US"/>
        </w:rPr>
        <w:t>Werke 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1962, 651—782, 657). Prema istraži</w:t>
        <w:softHyphen/>
        <w:t xml:space="preserve">vanjima D. Flussera, Isusov lik u evanđeljima uklapa se glatko u njegov židovski okoliš </w:t>
      </w:r>
      <w:r>
        <w:rPr>
          <w:rFonts w:ascii="Times New Roman" w:eastAsia="Times New Roman" w:hAnsi="Times New Roman" w:cs="Times New Roman"/>
          <w:color w:val="000000"/>
          <w:spacing w:val="0"/>
          <w:w w:val="100"/>
          <w:position w:val="0"/>
          <w:shd w:val="clear" w:color="auto" w:fill="auto"/>
          <w:lang w:val="en-US" w:eastAsia="en-US" w:bidi="en-US"/>
        </w:rPr>
        <w:t xml:space="preserve">(Die konsequente Philologie und die Worte </w:t>
      </w:r>
      <w:r>
        <w:rPr>
          <w:rFonts w:ascii="Times New Roman" w:eastAsia="Times New Roman" w:hAnsi="Times New Roman" w:cs="Times New Roman"/>
          <w:color w:val="000000"/>
          <w:spacing w:val="0"/>
          <w:w w:val="100"/>
          <w:position w:val="0"/>
          <w:shd w:val="clear" w:color="auto" w:fill="auto"/>
          <w:lang w:val="hr-HR" w:eastAsia="hr-HR" w:bidi="hr-HR"/>
        </w:rPr>
        <w:t xml:space="preserve">Jesu,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Almanach auf das Jahr des Herm 1963, </w:t>
      </w:r>
      <w:r>
        <w:rPr>
          <w:rFonts w:ascii="Times New Roman" w:eastAsia="Times New Roman" w:hAnsi="Times New Roman" w:cs="Times New Roman"/>
          <w:color w:val="000000"/>
          <w:spacing w:val="0"/>
          <w:w w:val="100"/>
          <w:position w:val="0"/>
          <w:shd w:val="clear" w:color="auto" w:fill="auto"/>
          <w:lang w:val="hr-HR" w:eastAsia="hr-HR" w:bidi="hr-HR"/>
        </w:rPr>
        <w:t xml:space="preserve">39-73; isti, </w:t>
      </w:r>
      <w:r>
        <w:rPr>
          <w:rFonts w:ascii="Times New Roman" w:eastAsia="Times New Roman" w:hAnsi="Times New Roman" w:cs="Times New Roman"/>
          <w:i/>
          <w:iCs/>
          <w:color w:val="000000"/>
          <w:spacing w:val="0"/>
          <w:w w:val="100"/>
          <w:position w:val="0"/>
          <w:shd w:val="clear" w:color="auto" w:fill="auto"/>
          <w:lang w:val="en-US" w:eastAsia="en-US" w:bidi="en-US"/>
        </w:rPr>
        <w:t>Jesus,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1968/1978). »Eminentno ži</w:t>
        <w:softHyphen/>
        <w:t>dovski« u riječima sinoptičkog Isusa prevla</w:t>
        <w:softHyphen/>
        <w:t xml:space="preserve">dava i u prikazima S. Ben-Chorina </w:t>
      </w:r>
      <w:r>
        <w:rPr>
          <w:rFonts w:ascii="Times New Roman" w:eastAsia="Times New Roman" w:hAnsi="Times New Roman" w:cs="Times New Roman"/>
          <w:i/>
          <w:iCs/>
          <w:color w:val="000000"/>
          <w:spacing w:val="0"/>
          <w:w w:val="100"/>
          <w:position w:val="0"/>
          <w:shd w:val="clear" w:color="auto" w:fill="auto"/>
          <w:lang w:val="hr-HR" w:eastAsia="hr-HR" w:bidi="hr-HR"/>
        </w:rPr>
        <w:t>(li</w:t>
      </w:r>
      <w:r>
        <w:rPr>
          <w:rFonts w:ascii="Times New Roman" w:eastAsia="Times New Roman" w:hAnsi="Times New Roman" w:cs="Times New Roman"/>
          <w:i/>
          <w:iCs/>
          <w:color w:val="000000"/>
          <w:spacing w:val="0"/>
          <w:w w:val="100"/>
          <w:position w:val="0"/>
          <w:shd w:val="clear" w:color="auto" w:fill="auto"/>
          <w:lang w:val="en-US" w:eastAsia="en-US" w:bidi="en-US"/>
        </w:rPr>
        <w:t>ruder Je</w:t>
        <w:softHyphen/>
        <w:t>sus,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1967/1977; isti, Das Jesus-Bild im moder- nen Judentum, u: </w:t>
      </w:r>
      <w:r>
        <w:rPr>
          <w:rFonts w:ascii="Times New Roman" w:eastAsia="Times New Roman" w:hAnsi="Times New Roman" w:cs="Times New Roman"/>
          <w:i/>
          <w:iCs/>
          <w:color w:val="000000"/>
          <w:spacing w:val="0"/>
          <w:w w:val="100"/>
          <w:position w:val="0"/>
          <w:shd w:val="clear" w:color="auto" w:fill="auto"/>
          <w:lang w:val="hr-HR" w:eastAsia="hr-HR" w:bidi="hr-HR"/>
        </w:rPr>
        <w:t>lm jiidisch-christlichen Ge- sprach,</w:t>
      </w:r>
      <w:r>
        <w:rPr>
          <w:rFonts w:ascii="Times New Roman" w:eastAsia="Times New Roman" w:hAnsi="Times New Roman" w:cs="Times New Roman"/>
          <w:color w:val="000000"/>
          <w:spacing w:val="0"/>
          <w:w w:val="100"/>
          <w:position w:val="0"/>
          <w:shd w:val="clear" w:color="auto" w:fill="auto"/>
          <w:lang w:val="hr-HR" w:eastAsia="hr-HR" w:bidi="hr-HR"/>
        </w:rPr>
        <w:t xml:space="preserve"> 1962; isti, Judischc Fragcn um </w:t>
      </w:r>
      <w:r>
        <w:rPr>
          <w:rFonts w:ascii="Times New Roman" w:eastAsia="Times New Roman" w:hAnsi="Times New Roman" w:cs="Times New Roman"/>
          <w:color w:val="000000"/>
          <w:spacing w:val="0"/>
          <w:w w:val="100"/>
          <w:position w:val="0"/>
          <w:shd w:val="clear" w:color="auto" w:fill="auto"/>
          <w:lang w:val="en-US" w:eastAsia="en-US" w:bidi="en-US"/>
        </w:rPr>
        <w:t xml:space="preserve">Jesus,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Judentum im Ringen 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Gegenwart, </w:t>
      </w:r>
      <w:r>
        <w:rPr>
          <w:rFonts w:ascii="Times New Roman" w:eastAsia="Times New Roman" w:hAnsi="Times New Roman" w:cs="Times New Roman"/>
          <w:color w:val="000000"/>
          <w:spacing w:val="0"/>
          <w:w w:val="100"/>
          <w:position w:val="0"/>
          <w:shd w:val="clear" w:color="auto" w:fill="auto"/>
          <w:lang w:val="hr-HR" w:eastAsia="hr-HR" w:bidi="hr-HR"/>
        </w:rPr>
        <w:t xml:space="preserve">1965, i P. Lapidc, </w:t>
      </w:r>
      <w:r>
        <w:rPr>
          <w:rFonts w:ascii="Times New Roman" w:eastAsia="Times New Roman" w:hAnsi="Times New Roman" w:cs="Times New Roman"/>
          <w:i/>
          <w:iCs/>
          <w:color w:val="000000"/>
          <w:spacing w:val="0"/>
          <w:w w:val="100"/>
          <w:position w:val="0"/>
          <w:shd w:val="clear" w:color="auto" w:fill="auto"/>
          <w:lang w:val="en-US" w:eastAsia="en-US" w:bidi="en-US"/>
        </w:rPr>
        <w:t xml:space="preserve">Er predigte in ihren Synago- </w:t>
      </w:r>
      <w:r>
        <w:rPr>
          <w:rFonts w:ascii="Times New Roman" w:eastAsia="Times New Roman" w:hAnsi="Times New Roman" w:cs="Times New Roman"/>
          <w:i/>
          <w:iCs/>
          <w:color w:val="000000"/>
          <w:spacing w:val="0"/>
          <w:w w:val="100"/>
          <w:position w:val="0"/>
          <w:shd w:val="clear" w:color="auto" w:fill="auto"/>
          <w:lang w:val="hr-HR" w:eastAsia="hr-HR" w:bidi="hr-HR"/>
        </w:rPr>
        <w:t>gen,</w:t>
      </w:r>
      <w:r>
        <w:rPr>
          <w:rFonts w:ascii="Times New Roman" w:eastAsia="Times New Roman" w:hAnsi="Times New Roman" w:cs="Times New Roman"/>
          <w:color w:val="000000"/>
          <w:spacing w:val="0"/>
          <w:w w:val="100"/>
          <w:position w:val="0"/>
          <w:shd w:val="clear" w:color="auto" w:fill="auto"/>
          <w:lang w:val="hr-HR" w:eastAsia="hr-HR" w:bidi="hr-HR"/>
        </w:rPr>
        <w:t xml:space="preserve"> 1980; isti,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Rabbi von Nazareth,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1974; isti,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1st das </w:t>
      </w:r>
      <w:r>
        <w:rPr>
          <w:rFonts w:ascii="Times New Roman" w:eastAsia="Times New Roman" w:hAnsi="Times New Roman" w:cs="Times New Roman"/>
          <w:i/>
          <w:iCs/>
          <w:color w:val="000000"/>
          <w:spacing w:val="0"/>
          <w:w w:val="100"/>
          <w:position w:val="0"/>
          <w:shd w:val="clear" w:color="auto" w:fill="auto"/>
          <w:lang w:val="en-US" w:eastAsia="en-US" w:bidi="en-US"/>
        </w:rPr>
        <w:t>nicht Josephs Sohn?,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1976). Iz to</w:t>
        <w:softHyphen/>
        <w:t>lerantnoga spasenjsko-povijesnog kuta gleda</w:t>
        <w:softHyphen/>
        <w:t xml:space="preserve">nja F. </w:t>
      </w:r>
      <w:r>
        <w:rPr>
          <w:rFonts w:ascii="Times New Roman" w:eastAsia="Times New Roman" w:hAnsi="Times New Roman" w:cs="Times New Roman"/>
          <w:color w:val="000000"/>
          <w:spacing w:val="0"/>
          <w:w w:val="100"/>
          <w:position w:val="0"/>
          <w:shd w:val="clear" w:color="auto" w:fill="auto"/>
          <w:lang w:val="en-US" w:eastAsia="en-US" w:bidi="en-US"/>
        </w:rPr>
        <w:t xml:space="preserve">Roscnzweig </w:t>
      </w:r>
      <w:r>
        <w:rPr>
          <w:rFonts w:ascii="Times New Roman" w:eastAsia="Times New Roman" w:hAnsi="Times New Roman" w:cs="Times New Roman"/>
          <w:color w:val="000000"/>
          <w:spacing w:val="0"/>
          <w:w w:val="100"/>
          <w:position w:val="0"/>
          <w:shd w:val="clear" w:color="auto" w:fill="auto"/>
          <w:lang w:val="hr-HR" w:eastAsia="hr-HR" w:bidi="hr-HR"/>
        </w:rPr>
        <w:t>ipak vuče granicu koja je potrebna prema židovskom shvaćanju: »Slaže</w:t>
        <w:softHyphen/>
        <w:t xml:space="preserve">mo se u tome što Krist i njegova Crkva znače u svijetu: nitko ne dolazi k ocu osim preko njega. Nitko ne </w:t>
      </w:r>
      <w:r>
        <w:rPr>
          <w:rFonts w:ascii="Times New Roman" w:eastAsia="Times New Roman" w:hAnsi="Times New Roman" w:cs="Times New Roman"/>
          <w:i/>
          <w:iCs/>
          <w:color w:val="000000"/>
          <w:spacing w:val="0"/>
          <w:w w:val="100"/>
          <w:position w:val="0"/>
          <w:shd w:val="clear" w:color="auto" w:fill="auto"/>
          <w:lang w:val="hr-HR" w:eastAsia="hr-HR" w:bidi="hr-HR"/>
        </w:rPr>
        <w:t>dolazi</w:t>
      </w:r>
      <w:r>
        <w:rPr>
          <w:rFonts w:ascii="Times New Roman" w:eastAsia="Times New Roman" w:hAnsi="Times New Roman" w:cs="Times New Roman"/>
          <w:color w:val="000000"/>
          <w:spacing w:val="0"/>
          <w:w w:val="100"/>
          <w:position w:val="0"/>
          <w:shd w:val="clear" w:color="auto" w:fill="auto"/>
          <w:lang w:val="hr-HR" w:eastAsia="hr-HR" w:bidi="hr-HR"/>
        </w:rPr>
        <w:t xml:space="preserve"> k ocu - ali je drukčije ako netko više ne mora dolaziti k ocu jer već kod njega </w:t>
      </w:r>
      <w:r>
        <w:rPr>
          <w:rFonts w:ascii="Times New Roman" w:eastAsia="Times New Roman" w:hAnsi="Times New Roman" w:cs="Times New Roman"/>
          <w:i/>
          <w:iCs/>
          <w:color w:val="000000"/>
          <w:spacing w:val="0"/>
          <w:w w:val="100"/>
          <w:position w:val="0"/>
          <w:shd w:val="clear" w:color="auto" w:fill="auto"/>
          <w:lang w:val="hr-HR" w:eastAsia="hr-HR" w:bidi="hr-HR"/>
        </w:rPr>
        <w:t>jest.</w:t>
      </w:r>
      <w:r>
        <w:rPr>
          <w:rFonts w:ascii="Times New Roman" w:eastAsia="Times New Roman" w:hAnsi="Times New Roman" w:cs="Times New Roman"/>
          <w:color w:val="000000"/>
          <w:spacing w:val="0"/>
          <w:w w:val="100"/>
          <w:position w:val="0"/>
          <w:shd w:val="clear" w:color="auto" w:fill="auto"/>
          <w:lang w:val="hr-HR" w:eastAsia="hr-HR" w:bidi="hr-HR"/>
        </w:rPr>
        <w:t xml:space="preserve"> I to je sada slučaj izraelskoga naroda (ne pojedinoga Židova)« </w:t>
      </w:r>
      <w:r>
        <w:rPr>
          <w:rFonts w:ascii="Times New Roman" w:eastAsia="Times New Roman" w:hAnsi="Times New Roman" w:cs="Times New Roman"/>
          <w:i/>
          <w:iCs/>
          <w:color w:val="000000"/>
          <w:spacing w:val="0"/>
          <w:w w:val="100"/>
          <w:position w:val="0"/>
          <w:shd w:val="clear" w:color="auto" w:fill="auto"/>
          <w:lang w:val="hr-HR" w:eastAsia="hr-HR" w:bidi="hr-HR"/>
        </w:rPr>
        <w:t>(Briefe,</w:t>
      </w:r>
      <w:r>
        <w:rPr>
          <w:rFonts w:ascii="Times New Roman" w:eastAsia="Times New Roman" w:hAnsi="Times New Roman" w:cs="Times New Roman"/>
          <w:color w:val="000000"/>
          <w:spacing w:val="0"/>
          <w:w w:val="100"/>
          <w:position w:val="0"/>
          <w:shd w:val="clear" w:color="auto" w:fill="auto"/>
          <w:lang w:val="hr-HR" w:eastAsia="hr-HR" w:bidi="hr-HR"/>
        </w:rPr>
        <w:t xml:space="preserve"> 1935, 73).</w:t>
        <w:tab/>
        <w:t>O. VLITtll</w:t>
      </w:r>
    </w:p>
    <w:p>
      <w:pPr>
        <w:pStyle w:val="Style63"/>
        <w:keepNext/>
        <w:keepLines/>
        <w:widowControl w:val="0"/>
        <w:numPr>
          <w:ilvl w:val="0"/>
          <w:numId w:val="179"/>
        </w:numPr>
        <w:shd w:val="clear" w:color="auto" w:fill="auto"/>
        <w:tabs>
          <w:tab w:pos="255" w:val="left"/>
        </w:tabs>
        <w:bidi w:val="0"/>
        <w:spacing w:before="0" w:after="100" w:line="223" w:lineRule="auto"/>
        <w:ind w:left="0" w:right="0" w:firstLine="0"/>
        <w:jc w:val="both"/>
      </w:pPr>
      <w:bookmarkStart w:id="133" w:name="bookmark13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33"/>
    </w:p>
    <w:p>
      <w:pPr>
        <w:pStyle w:val="Style20"/>
        <w:keepNext w:val="0"/>
        <w:keepLines w:val="0"/>
        <w:widowControl w:val="0"/>
        <w:shd w:val="clear" w:color="auto" w:fill="auto"/>
        <w:bidi w:val="0"/>
        <w:spacing w:before="0" w:after="0"/>
        <w:ind w:left="0" w:right="0" w:firstLine="0"/>
        <w:jc w:val="both"/>
        <w:sectPr>
          <w:headerReference w:type="default" r:id="rId539"/>
          <w:footerReference w:type="default" r:id="rId540"/>
          <w:headerReference w:type="even" r:id="rId541"/>
          <w:footerReference w:type="even" r:id="rId542"/>
          <w:footnotePr>
            <w:pos w:val="pageBottom"/>
            <w:numFmt w:val="decimal"/>
            <w:numStart w:val="5"/>
            <w:numRestart w:val="continuous"/>
            <w15:footnoteColumns w:val="1"/>
          </w:footnotePr>
          <w:type w:val="continuous"/>
          <w:pgSz w:w="6816" w:h="11006"/>
          <w:pgMar w:top="987" w:left="169" w:right="172" w:bottom="443" w:header="0" w:footer="15"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Središte kršćanske vjere je I. K. Apostolsko vje</w:t>
        <w:softHyphen/>
        <w:t>rovanje formulira ovu vjeru ovako: »Vjerujem u Isusa Krista, jedinoga Sina Božjega, Gospo</w:t>
        <w:softHyphen/>
        <w:t>dina našega, koji je začet po Duhu Svetom, rođen od Marije Djevice, mučen pod Ponci- jem Pilatom, raspet, umro i pokopan, sašao nad pakao, treći dan uskrsnuo od mrtvih, uza- šao na nebesa, sjedi o desnu Boga, Oca sve</w:t>
        <w:softHyphen/>
        <w:t>mogućega, odonud će doći suditi žive i mrtve.« To vjerovanje u Isusa Krista ima svoje ko</w:t>
        <w:softHyphen/>
        <w:t>rijene u iskazima NZ. Ljudi su uvijek sebi iznova postavljali pitanje: Tko je bio I.? Što je on htio? Već NZ nabacuje ovo pitanje: »Tko je ovaj?« Prije svega I. je bio Židov. On nije samo živio kao Židov nego je isto tako kao Židov i vjerovao: u jednoga Boga, Jahvu, koji se objavio tijekom povijesti i čija se volja za</w:t>
        <w:softHyphen/>
        <w:t>držala u Tori. I. je bio rođen u vrijeme cara Augusta (usp. Lk 2,1), otprilike sedam godina prije našeg računanja vremena. Njegova do</w:t>
        <w:softHyphen/>
        <w:t xml:space="preserve">movina bila je Palestina na području današnje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države Izrael, koja je nekoć pripadala Rim</w:t>
        <w:softHyphen/>
        <w:t>skom Carstvu. NZ navodi Betlehem kao nje</w:t>
        <w:softHyphen/>
        <w:t>govo rodno mjesto; Isus je odrastao u Naza- retu (usp. .Mt 1,18 i d.; Lk 1,26 i d.). Rimski i židovski povjesničari onoga vremena samo usput spominju Isusa. Glavni izvori za Isusov život i djelo su zapisi NZ. Iako oni na prvome mjestu ne pokazuju zanimanje za životopis, iz njih se ipak mogu razabrati mnogi povijesni i zemljopisni podaci koji su bili značajni za Isu</w:t>
        <w:softHyphen/>
        <w:t>sov život i djelo. Od početka je Isusov nastup izazivao očaranost i čuđenje, ali i suzdržanost, ljutnju i neprihvaćanje. Razlog za to leži u njegovoj posebnoj originalnosti kako je susre</w:t>
        <w:softHyphen/>
        <w:t>tao ljude. Presudno je bilo njegovo držanje kad bi pristupao ljudima. Način na koji bi za</w:t>
        <w:softHyphen/>
        <w:t>počeo razgovor privlačio je ljude u njegov krug. I tako bi oni pošli za njime i proputovali s njime svoju domovinu Palestinu.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Srž njegove poruke bilo je naviještanje »kra</w:t>
        <w:softHyphen/>
        <w:t>ljevstva Božjeg«. »Kraljevstvo Božje« značilo je za Židove, koji su u Isusovo vrijeme bili pod tuđinskom rimskom vlašću, ispunjenje staroga sna; ostvarenje na zemlji nikada ispunjenog ideala pravednog vladara. Većina Isusovih su</w:t>
        <w:softHyphen/>
        <w:t>vremenika nadala se dolazećem »kraljevstvu Božjem«, ali pod time su podrazumijevali vrlo različito: jednima se ono činilo kao idealna vladavina na ovome svijetu, a drugima kao is</w:t>
        <w:softHyphen/>
        <w:t>punjenje sreće nakon smrti; za jedne se ono odnosilo na čitav kozmos, a za druge je bilo ograničeno samo na izraelski narod.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Nalazeći se u ovim tradicijskim strujanjima, I. je primijenio na »kraljevstvo Božje« to staro a ipak živo nadanje, ali mu je dao novi smisao. Za Isusa je odlučujuće ovo: »Kraljevstvo Božje« je blizu, tj. počinje biti stvarnost. Bog će sam ustanoviti taj novi početak. On sam će ispuniti nade, očekivanja i čežnje ljudi kada uspostavi svoje »kraljevstvo«, kraljevstvo sas</w:t>
        <w:softHyphen/>
        <w:t>vim nove vrste, bez moći i nasilja, u kojem nema podčinjavanja i porobljavanja. Njegov tipičan znak je ljubav, Božja ljubav prema svim ljudima. Evanđelist Marko ovako sažima ovu Isusovu poruku: »Ispunilo se vrijeme, bli</w:t>
        <w:softHyphen/>
        <w:t>zu je kraljevstvo Božje. Obratite se i vjerujte u radosnu vijest!« (Mk 1,15). Pretpostavka za to da će sam Bog vladati i uspostaviti svoje kra</w:t>
        <w:softHyphen/>
        <w:t>ljevstvo ljubavi, pravde i mira, korjenita je čovjekova odluka za Boga. Ovdje se postavlja zahtjev svakom pojedinom čovjeku. U posluš</w:t>
        <w:softHyphen/>
        <w:t xml:space="preserve">nosti prema Bogu ne treba svoje srce vezati uz </w:t>
      </w:r>
      <w:r>
        <w:rPr>
          <w:rFonts w:ascii="Times New Roman" w:eastAsia="Times New Roman" w:hAnsi="Times New Roman" w:cs="Times New Roman"/>
          <w:color w:val="000000"/>
          <w:spacing w:val="0"/>
          <w:w w:val="100"/>
          <w:position w:val="0"/>
          <w:shd w:val="clear" w:color="auto" w:fill="auto"/>
          <w:lang w:val="hr-HR" w:eastAsia="hr-HR" w:bidi="hr-HR"/>
        </w:rPr>
        <w:t>novac i vlasništvo (Mt 6,19 i d.; Mk 10,17 i d.), uz pravo i čast (Mt 5,39 i d.; Mk 10,42 i d.), uz roditelje i obitelj (Lk 14,26 i d.; Mt 10,34 i d.) nego jedino uz Boga.</w:t>
      </w:r>
    </w:p>
    <w:p>
      <w:pPr>
        <w:pStyle w:val="Style20"/>
        <w:keepNext w:val="0"/>
        <w:keepLines w:val="0"/>
        <w:widowControl w:val="0"/>
        <w:shd w:val="clear" w:color="auto" w:fill="auto"/>
        <w:bidi w:val="0"/>
        <w:spacing w:before="0" w:after="0"/>
        <w:ind w:left="0" w:right="0" w:firstLine="0"/>
        <w:jc w:val="both"/>
        <w:sectPr>
          <w:headerReference w:type="default" r:id="rId543"/>
          <w:footerReference w:type="default" r:id="rId544"/>
          <w:headerReference w:type="even" r:id="rId545"/>
          <w:footerReference w:type="even" r:id="rId546"/>
          <w:footnotePr>
            <w:pos w:val="pageBottom"/>
            <w:numFmt w:val="decimal"/>
            <w:numStart w:val="5"/>
            <w:numRestart w:val="continuous"/>
            <w15:footnoteColumns w:val="1"/>
          </w:footnotePr>
          <w:pgSz w:w="6816" w:h="11006"/>
          <w:pgMar w:top="987" w:left="169" w:right="172" w:bottom="443" w:header="0" w:footer="3" w:gutter="0"/>
          <w:pgNumType w:start="184"/>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Da je to »kraljevstvo Božje« započelo već s Isusom i njegovom porukom, postaje jasno u Isusovu odgovoru na pitanje Ivana Krstitelja: »Jesi li ti onaj koji ima doći, ili da drugoga čekamo?« Na to je I. rekao Ivanovim učeni</w:t>
        <w:softHyphen/>
        <w:t>cima: »Idite i javite Ivanu što čujete i vidite! Slijepi progledaju, hromi hodaju, gubavi se čiste, gluhi čuju, mrtvi ustaju, siromasima se propovijeda radosna vijest. Blago onomu tko se zbog mene ne pokoleba!« (Mt 11,3-6 par). Iz ovog Isusova odgovora slijedi da je on u svom djelovanju i postupcima držao da su is</w:t>
        <w:softHyphen/>
        <w:t>punjena obećanja iz Izaijine knjige (Iz 33,5 i d.; 61,1), dakle, da je u njemu, Isusu, već po</w:t>
        <w:softHyphen/>
        <w:t>čelo i postalo djelotvorno »kraljevstvo Božje« i time eshatološko spasenje za sve ljude. Pre</w:t>
        <w:softHyphen/>
        <w:t>ma tomu, I. je, kao što prenosi Luka, već kod svoje prve propovijedi u nazaretskoj sinagogi uzeo riječ iz Izajine knjige (61,1 i d.) i povezao je sa sobom: »Na meni je Duh Gospodnji, jer me pomazao. Poslao me da donesem radosnu vijest siromasima, da navijestim oslobođenje zarobljenicima i vraćanje vida slijepcima, da oslobodim potlačene, da proglasim godinu milosti Gospodnje« (Lk 4,18 i d.). Taj Isusov zahtjev susrećemo i drugdje u NZ: S Isusom je došao čas odluke. Zato I. naziva »blaženima« one koji u njegovim djelima i riječima mogu iskusiti i doživjeti blizinu cshatološkog spase</w:t>
        <w:softHyphen/>
        <w:t>nja: »A blago vašim očima jer vide i ušima jer čuju! Zaista, kažem vam, mnogi su proroci i pravednici željeli vidjeti što vi vidite, ali ne vidješe; čuti što vi čujete, ali ne čuše« (Mt 13,16 i d.; Lk 10,23 i d.). Nadalje se kaže: Kada je već kraljica Juga došla da bi čula Sa- lomonovu mudrost (1 Kr 10,1 i d.): »A evo, ovdje je nešto više od Salomonal«. I kada su se stanovnici Ninive obratili na temelju Jonine propovijedi (Jon 3): »A evo, ovdje je nešto više od Jone!« (Lk 11,30 i d. par). Ovdje: Isu</w:t>
        <w:softHyphen/>
        <w:t>sovo polaganje prava na to da je veći autoritet od Jone, veći od Salomona, čak veći od Moj- sija: »Čuli ste daje rečeno starima ... ay'u vam kažem (Mt 5,21 i d.), kao zahtjev je jedin</w:t>
        <w:softHyphen/>
        <w:t>stveno; on razbija okvire svega dotad uobiča</w:t>
        <w:softHyphen/>
        <w:t xml:space="preserve">jenog. Zato je NZ Isusu pridao onaj naslov koji odgovara tom zahtjevu iz starozavjetne tradicije pa je u njemu vidio očekivanog </w:t>
      </w:r>
      <w:r>
        <w:rPr>
          <w:rFonts w:ascii="Times New Roman" w:eastAsia="Times New Roman" w:hAnsi="Times New Roman" w:cs="Times New Roman"/>
          <w:i/>
          <w:iCs/>
          <w:color w:val="000000"/>
          <w:spacing w:val="0"/>
          <w:w w:val="100"/>
          <w:position w:val="0"/>
          <w:shd w:val="clear" w:color="auto" w:fill="auto"/>
          <w:lang w:val="hr-HR" w:eastAsia="hr-HR" w:bidi="hr-HR"/>
        </w:rPr>
        <w:t>ME-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SIJU,</w:t>
      </w:r>
      <w:r>
        <w:rPr>
          <w:rFonts w:ascii="Times New Roman" w:eastAsia="Times New Roman" w:hAnsi="Times New Roman" w:cs="Times New Roman"/>
          <w:color w:val="000000"/>
          <w:spacing w:val="0"/>
          <w:w w:val="100"/>
          <w:position w:val="0"/>
          <w:shd w:val="clear" w:color="auto" w:fill="auto"/>
          <w:lang w:val="hr-HR" w:eastAsia="hr-HR" w:bidi="hr-HR"/>
        </w:rPr>
        <w:t xml:space="preserve"> koji se grčki kaže </w:t>
      </w:r>
      <w:r>
        <w:rPr>
          <w:rFonts w:ascii="Times New Roman" w:eastAsia="Times New Roman" w:hAnsi="Times New Roman" w:cs="Times New Roman"/>
          <w:color w:val="000000"/>
          <w:spacing w:val="0"/>
          <w:w w:val="100"/>
          <w:position w:val="0"/>
          <w:shd w:val="clear" w:color="auto" w:fill="auto"/>
          <w:lang w:val="en-US" w:eastAsia="en-US" w:bidi="en-US"/>
        </w:rPr>
        <w:t xml:space="preserve">Christos, </w:t>
      </w:r>
      <w:r>
        <w:rPr>
          <w:rFonts w:ascii="Times New Roman" w:eastAsia="Times New Roman" w:hAnsi="Times New Roman" w:cs="Times New Roman"/>
          <w:color w:val="000000"/>
          <w:spacing w:val="0"/>
          <w:w w:val="100"/>
          <w:position w:val="0"/>
          <w:shd w:val="clear" w:color="auto" w:fill="auto"/>
          <w:lang w:val="hr-HR" w:eastAsia="hr-HR" w:bidi="hr-HR"/>
        </w:rPr>
        <w:t xml:space="preserve">a latinski </w:t>
      </w:r>
      <w:r>
        <w:rPr>
          <w:rFonts w:ascii="Times New Roman" w:eastAsia="Times New Roman" w:hAnsi="Times New Roman" w:cs="Times New Roman"/>
          <w:i/>
          <w:iCs/>
          <w:color w:val="000000"/>
          <w:spacing w:val="0"/>
          <w:w w:val="100"/>
          <w:position w:val="0"/>
          <w:shd w:val="clear" w:color="auto" w:fill="auto"/>
          <w:lang w:val="hr-HR" w:eastAsia="hr-HR" w:bidi="hr-HR"/>
        </w:rPr>
        <w:t>CHRISTUS</w:t>
      </w:r>
      <w:r>
        <w:rPr>
          <w:rFonts w:ascii="Times New Roman" w:eastAsia="Times New Roman" w:hAnsi="Times New Roman" w:cs="Times New Roman"/>
          <w:color w:val="000000"/>
          <w:spacing w:val="0"/>
          <w:w w:val="100"/>
          <w:position w:val="0"/>
          <w:shd w:val="clear" w:color="auto" w:fill="auto"/>
          <w:lang w:val="hr-HR" w:eastAsia="hr-HR" w:bidi="hr-HR"/>
        </w:rPr>
        <w:t xml:space="preserve"> i zato ga označava kao Isusa Krista.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Isusova poruka o »kraljevstvu Božjem« koje je blizu, njegova bezuvjetna praksa ljubavi ko</w:t>
        <w:softHyphen/>
        <w:t>ja nije nikoga isključivala niti odbacivala, uznemirivala je zaštitnike religijskog zakona: Njegova poruka o jednome Bogu koji se brine i o grešnicima stavljala je u pitanje njihovu predodžbu o Božjoj svetosti i pravednosti. Za</w:t>
        <w:softHyphen/>
        <w:t>to je tada došlo do sukoba s vodećim pred</w:t>
        <w:softHyphen/>
        <w:t>stavnicima tadašnjeg židovstva. U Isusu su vi</w:t>
        <w:softHyphen/>
        <w:t>djeli lažnoga proroka kojem je na osnovi nje</w:t>
        <w:softHyphen/>
        <w:t>gove Božje poruke prijetila smrtna kazna (Pnz 18,20). Tako je Isusova naprasita smrt posljedica unutarnje dosljednosti njegova uče</w:t>
        <w:softHyphen/>
        <w:t xml:space="preserve">nja i njegova ponašanja </w:t>
      </w:r>
      <w:r>
        <w:rPr>
          <w:rFonts w:ascii="Times New Roman" w:eastAsia="Times New Roman" w:hAnsi="Times New Roman" w:cs="Times New Roman"/>
          <w:color w:val="000000"/>
          <w:spacing w:val="0"/>
          <w:w w:val="100"/>
          <w:position w:val="0"/>
          <w:shd w:val="clear" w:color="auto" w:fill="auto"/>
          <w:lang w:val="en-US" w:eastAsia="en-US" w:bidi="en-US"/>
        </w:rPr>
        <w:t>(W. Kasper).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je I. iz Nazarcta bio smaknut na križu, ubraja se u povijesno utvrđene činjenice Isu</w:t>
        <w:softHyphen/>
        <w:t>sova života. Sva četiri evanđelja opširno pri</w:t>
        <w:softHyphen/>
        <w:t>povijedaju o Isusovoj muci i smrti (Mk 14-15; Mt 26-27; Lk 22-23; Iv 18-19). Događaji koji su povezani s Isusovim uhićenjem, njegovim procesom i smaknućem na križu ubrajaju se u najstarije dijelove predaje. Već Pavao ukazuje na to: »Gospodin Isus one noći kad bijaše pre</w:t>
        <w:softHyphen/>
        <w:t>dan ...« (1 Kor 11,23). Izrazi kao »predati«, »izručiti«, »izdati« pripadaju čvrstom sastav</w:t>
        <w:softHyphen/>
        <w:t>nom dijelu tradicije muke u evanđeljima.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Sva su četiri evanđelja jedinstvena u tome da je I. bio smaknut na križu u petak židovskoga pashalnog tjedna. Prema sinopticima (Mk, Mt, Lk) bio je to prvi dan blagdana Pashe pošto je Isus prije toga sa svojim učenicima blagovao pashalnu večeru (Mk 14,12 i d.; Mt 26,17 i d.; Lk 22,7 i d.). Prema Ivanovu evan</w:t>
        <w:softHyphen/>
        <w:t>đelju, Isusov smrtni dan padao je na dan pri</w:t>
        <w:softHyphen/>
        <w:t>prave za Pashu (Iv 19,14), na koji su se klali pashalni janjci, a tek je navečer održana pa- shalna večera (Iv 18,28). Reklo bi se da su teološki motivi diktirali to razlikovanje: S Iva</w:t>
        <w:softHyphen/>
        <w:t>nova gledišta (19,36), I. umire kao pravo pashalno janje, dok su sinoptici htjeli prika</w:t>
        <w:softHyphen/>
        <w:t>zati posljednju Isusovu večeru kao novu pas</w:t>
        <w:softHyphen/>
        <w:t>halnu večeru. Povijesno gledano, ponešto go</w:t>
        <w:softHyphen/>
        <w:t>vori u prilog Ivanova navoda Isusova smrt</w:t>
        <w:softHyphen/>
        <w:t>noga dana. Teško je prihvatljivo da se Veliko vijeće sastalo upravo na najveći židovski blag</w:t>
        <w:softHyphen/>
        <w:t xml:space="preserve">dan, isto tako da su Isusovi učenici (Lk 22,38; Mk 14,47) i oni koji su ga uhitili (Mk 14,43 par) nosili oružje ili da se izričito na taj dan Simun Cirenac vračao s rada u polju (Mk </w:t>
      </w:r>
      <w:r>
        <w:rPr>
          <w:rFonts w:ascii="Times New Roman" w:eastAsia="Times New Roman" w:hAnsi="Times New Roman" w:cs="Times New Roman"/>
          <w:color w:val="000000"/>
          <w:spacing w:val="0"/>
          <w:w w:val="100"/>
          <w:position w:val="0"/>
          <w:shd w:val="clear" w:color="auto" w:fill="auto"/>
          <w:lang w:val="hr-HR" w:eastAsia="hr-HR" w:bidi="hr-HR"/>
        </w:rPr>
        <w:t>15,21). Stoga je dan prije blagdana Pashe naj</w:t>
        <w:softHyphen/>
        <w:t>vjerojatniji Isusov smrtni dan, što je tada pre</w:t>
        <w:softHyphen/>
        <w:t>ma astronomskim računanjima bio 7. travanj 30. pos. Kr. Prema natpisu na križu: »Kralj židovski« dade se razabrati da je I. bio osuđen od Rimljana kao onaj koji hoće biti mesija, dakle, na temelju političke optužbe. Sa židov</w:t>
        <w:softHyphen/>
        <w:t>ske strane vjerojatno je prigovor da huli na Boga i da je lažni prorok (Mk 14,53-65 par) bilo odlučujuće za presudu. Optuživanja zbog navodne Isusove hule na Boga često se sus</w:t>
        <w:softHyphen/>
        <w:t>reću u evanđeljima, a isto tako i prijetnja smrtnom kaznom koja je prema židovskom zakonu bila kamenovanje. Objede takve vrste i prijetnje smrću raspirivale su se zbog nje</w:t>
        <w:softHyphen/>
        <w:t>gova ponašanja naspram tradicionalne religi</w:t>
        <w:softHyphen/>
        <w:t>je, zbog njegova ophođenja s grešnicima, zbog nepoštivanja propisa o čistoći, zbog kršenja stroge šabatne zabrane, konačno, zbog Isu</w:t>
        <w:softHyphen/>
        <w:t>sova kritiziranja tradicionalne pobožnosti pre</w:t>
        <w:softHyphen/>
        <w:t>ma Bogu. No, budući da je u ono vrijeme Ve</w:t>
        <w:softHyphen/>
        <w:t>likom vijeću bilo uskraćeno pravo da donosi smrtnu presudu, morala se uključiti vlast rim</w:t>
        <w:softHyphen/>
        <w:t>ske posade da bi podastiranjem političke op</w:t>
        <w:softHyphen/>
        <w:t>tužnice I. mogao biti smaknut. Tako se Isu</w:t>
        <w:softHyphen/>
        <w:t>sovo raspeće objašnjava kao izvršenje smrtne kazne po rimskom pravu.</w:t>
      </w:r>
    </w:p>
    <w:p>
      <w:pPr>
        <w:pStyle w:val="Style20"/>
        <w:keepNext w:val="0"/>
        <w:keepLines w:val="0"/>
        <w:widowControl w:val="0"/>
        <w:shd w:val="clear" w:color="auto" w:fill="auto"/>
        <w:bidi w:val="0"/>
        <w:spacing w:before="0" w:after="0"/>
        <w:ind w:left="0" w:right="0" w:firstLine="0"/>
        <w:jc w:val="both"/>
        <w:sectPr>
          <w:headerReference w:type="default" r:id="rId547"/>
          <w:footerReference w:type="default" r:id="rId548"/>
          <w:headerReference w:type="even" r:id="rId549"/>
          <w:footerReference w:type="even" r:id="rId550"/>
          <w:footnotePr>
            <w:pos w:val="pageBottom"/>
            <w:numFmt w:val="decimal"/>
            <w:numStart w:val="5"/>
            <w:numRestart w:val="continuous"/>
            <w15:footnoteColumns w:val="1"/>
          </w:footnotePr>
          <w:pgSz w:w="6816" w:h="11006"/>
          <w:pgMar w:top="987" w:left="169" w:right="172" w:bottom="443" w:header="0" w:footer="15" w:gutter="0"/>
          <w:pgNumType w:start="189"/>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Isusova smrt na križu oduvijek je bila kamen spoticanja. Već Pavao piše u svojoj Prvoj po</w:t>
        <w:softHyphen/>
        <w:t>slanici Korinćanima: »I dok Židovi zahtijeva</w:t>
        <w:softHyphen/>
        <w:t>ju znakove, a Grci traže mudrost, mi propo</w:t>
        <w:softHyphen/>
        <w:t>vijedamo Krista razapetoga, sablazan za Ži</w:t>
        <w:softHyphen/>
        <w:t>dove, ludost za pogane« (1 Kor 1,22 i d.). Zato je imperativ onoga trenutka protumačiti smisao Isusove smrti. Starozavjetna pjesma o Božjem sluzi koji trpi (Iz 53,1-12) u ranom obrascu vjere iz Kor 15,3,5 služi već tomu da se Isusova smrt protumači kao zadovoljština za spasenje ljudi. »Krist je umro zbog naših grijeha« piše Pavao i tumači Isusovu smrt u svjetlu starozavjetnih iskaza kao smrt pomi</w:t>
        <w:softHyphen/>
        <w:t>renja »za nas«. To se isto tako pokazuje u sta</w:t>
        <w:softHyphen/>
        <w:t xml:space="preserve">roj predaji o Posljednjoj večeri u 1 Kor 11,24 gdje se kaže: »Ovo je tijelo moje koje je za vas«. Isusova se smrt prepoznaje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predanje, </w:t>
      </w:r>
      <w:r>
        <w:rPr>
          <w:rFonts w:ascii="Times New Roman" w:eastAsia="Times New Roman" w:hAnsi="Times New Roman" w:cs="Times New Roman"/>
          <w:color w:val="000000"/>
          <w:spacing w:val="0"/>
          <w:w w:val="100"/>
          <w:position w:val="0"/>
          <w:shd w:val="clear" w:color="auto" w:fill="auto"/>
          <w:lang w:val="hr-HR" w:eastAsia="hr-HR" w:bidi="hr-HR"/>
        </w:rPr>
        <w:t>kao što je njegov život, njegovo postojanje za druge bilo već potpuno predanje Bogu i lju</w:t>
        <w:softHyphen/>
        <w:t xml:space="preserve">dima (usp. Lk 22,27; Iv 13,12-20; Mk 9,35 i </w:t>
      </w: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 xml:space="preserve">Time Isusov put, njegova praksa ljubavi dosljedno vodi u smrt. U svakom slučaju ta se smrt ne pokazuje kao besmislen događaj nego kao spasenje i otkupljenje za ljude. Pavao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kaže da I. nije živio za sebe (Rim 15,3). Kao što je živio, tako je i umro: za druge.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Iza toga gledišta stoji starozavjetna misao o žrtvi okajnici. Kao obredna žrtva koja je tre</w:t>
        <w:softHyphen/>
        <w:t>bala pomiriti ljude s Bogom, kao žrtvena živo</w:t>
        <w:softHyphen/>
        <w:t>tinja koja ih je trebala očistiti od krivnje i oka- janja, tako je Krist svojom mukom i križem konačno izmirio Boga preuzimajući na sebe svu krivnju. U Kristu »imamo otkupljenje nje</w:t>
        <w:softHyphen/>
        <w:t>govom krvlju« (Ef 1,7; usp. Rim 3, 24; Kol 1,13 i d.; Heb 1,3): »krvlju svoga križa« on je ute</w:t>
        <w:softHyphen/>
        <w:t>meljio mir, pomirio je »sve što je na zemlji ili na nebu« (Kor 1,20). Okajanje nas je pomirilo s Bogom i objavilo spasenje »kao što je si</w:t>
        <w:softHyphen/>
        <w:t>gurno da Bog bijaše onaj koji je u Kristu pri</w:t>
        <w:softHyphen/>
        <w:t>mirio svijet sa sobom, koji nije uračunao lju</w:t>
        <w:softHyphen/>
        <w:t>dima njihovih prekršaja i koji je stavio u nas riječ pomirenja« (2 Kor 5,19). »Da, Bog je tako ljubio svijet da je dao svoga jedinorode- nog Sina da ne propadne nijedan koji u nj vje</w:t>
        <w:softHyphen/>
        <w:t>ruje, već da ima život vječni. Jer Bog nije po</w:t>
        <w:softHyphen/>
        <w:t>slao svoga Sina na svijet da sudi svijet, nego da se svijet spasi po njemu« (Iv 3,16 17). Ako ovako gledamo, Isusova smrt na križu ne treba se ocijeniti kao njegova propast i svršetak nego kao njegova dosljedno održana ljubav do smrti (Iv 13,1; 15,13). Značenje Isusove smrti sadržano je, dakle, u tome da je njegovom smrću na križu konačno postala vidljiva Božja ljubav prema nama ljudima: »U ovome se sas</w:t>
        <w:softHyphen/>
        <w:t>toji ljubav: nismo mi ljubili Boga, nego je on ljubio nas i poslao Sina svoga kao žrtvu po- mirnicu za naše grijehe« (1 Iv 4,10). Jer je Isus »poslušan do smrti, i to do smrti na križu« (Fil 2,8) išao tim svojim putem koji je Bog htio, »Bog ga uzdiže na najvišu visinu i dade mu jedincato ime koje je iznad svakoga drugog imena, da se Isusovu imenu ‘pokloni svako koljeno’ nebeskih, zemaljskih i podzemaljskih bića, i da ‘svaki jezik prizna’ - na slavu Boga Oca: Gospodar je I. K.« (Fil 2,9-11).</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Tako mi kao ludi »zbog Krista« stojimo (1 Kor 4,10), piše l’avao koji je prema vlastitom svjedočenju »ne s visokim govorom ili s mud</w:t>
        <w:softHyphen/>
        <w:t>rošću« htio naviještati »svjedočanstvo Božje« nego kojem nije bilo stalo »išta drugo znati osim Isusa Krista, i to razapetoga« (1 Kor 2,1-2). Zato se on hoće ponositi »križem Gos</w:t>
        <w:softHyphen/>
        <w:t>podina našega Isusa Krista« (Gal 6,14). Jer put k Bogu ne vodi više preko Mojsijeva zako</w:t>
        <w:softHyphen/>
        <w:t xml:space="preserve">na (Gal 2,21) ili obrednih žrtava (Heb 10.1 i </w:t>
      </w:r>
      <w:r>
        <w:rPr>
          <w:rFonts w:ascii="Times New Roman" w:eastAsia="Times New Roman" w:hAnsi="Times New Roman" w:cs="Times New Roman"/>
          <w:color w:val="000000"/>
          <w:spacing w:val="0"/>
          <w:w w:val="100"/>
          <w:position w:val="0"/>
          <w:shd w:val="clear" w:color="auto" w:fill="auto"/>
          <w:lang w:val="hr-HR" w:eastAsia="hr-HR" w:bidi="hr-HR"/>
        </w:rPr>
        <w:t>d.) nego snagom krvi Isusove (Heb 10,19 i d.), jer »jedan je Bog, jedan je posrednik između Boga i ljudi: čovjek Krist Isus koji dade samog sebe kao otkup mjesto sviju« (1 Tim 2,5-6). Zato je I. K. »posrednik jednoga novog Sa</w:t>
        <w:softHyphen/>
        <w:t>veza (Heb 9,15) koji je utemeljio svojom krvlju (Heb 13.20). U Isusovu samopredanju na križu ustanovljen je taj novi Savez između Boga i ljudi (usp. Lk 22,20). Ovo vrednovanje Kris</w:t>
        <w:softHyphen/>
        <w:t xml:space="preserve">tove smrti na križu ima svoj temelj u vjeri u </w:t>
      </w:r>
      <w:r>
        <w:rPr>
          <w:rFonts w:ascii="Times New Roman" w:eastAsia="Times New Roman" w:hAnsi="Times New Roman" w:cs="Times New Roman"/>
          <w:i/>
          <w:iCs/>
          <w:color w:val="000000"/>
          <w:spacing w:val="0"/>
          <w:w w:val="100"/>
          <w:position w:val="0"/>
          <w:shd w:val="clear" w:color="auto" w:fill="auto"/>
          <w:lang w:val="hr-HR" w:eastAsia="hr-HR" w:bidi="hr-HR"/>
        </w:rPr>
        <w:t>Isusovo uskrsnuće.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Oko 56. pos. Kr. piše Pavao zajednici u Ko- rintu: »Ako li Krist nije uskrsnuo, onda je ne</w:t>
        <w:softHyphen/>
        <w:t>osnovano naše propovijedanje, neosnovana je i naša vjera« (1 Kor 15.14). Jer, bez Isusova uskrsnuća bila bi vjera u njega (Gal 2,20) bez</w:t>
        <w:softHyphen/>
        <w:t>nadno i neutemeljeno držanje uz nekoga ko</w:t>
        <w:softHyphen/>
        <w:t>jeg više nema; kada bi stvarno Isusova smrt bila posljednja riječ o njemu, bilo bi suvišno naviještati Razapetoga kao Gospodina svih bića (usp. Fil 2,9 i d.); svako s povjerenjem obraćanje njemu u molitvi (Dj 7,59; 1 Kor 16,22; Otk 22,20) bilo bi besmisleno; nada u vlastito uskrsnuće koja ima svoj korijen u vjeri u Isusovo uskrsnuće (1 Kor 15,22) i u vječni život s Kristom (1 Sol 4,17) bila bi uzalud</w:t>
        <w:softHyphen/>
        <w:t>na.Veliki petak bio bi ubrzo zaboravljen kao mučna zgoda da I. nije uskrsnuo. Nitko se više ne bi obazirao na njega. No, dogodilo se dru</w:t>
        <w:softHyphen/>
        <w:t>gačije.</w:t>
      </w:r>
    </w:p>
    <w:p>
      <w:pPr>
        <w:pStyle w:val="Style20"/>
        <w:keepNext w:val="0"/>
        <w:keepLines w:val="0"/>
        <w:widowControl w:val="0"/>
        <w:shd w:val="clear" w:color="auto" w:fill="auto"/>
        <w:bidi w:val="0"/>
        <w:spacing w:before="0" w:after="0" w:line="257" w:lineRule="auto"/>
        <w:ind w:left="0" w:right="0" w:firstLine="0"/>
        <w:jc w:val="both"/>
        <w:sectPr>
          <w:headerReference w:type="default" r:id="rId551"/>
          <w:footerReference w:type="default" r:id="rId552"/>
          <w:headerReference w:type="even" r:id="rId553"/>
          <w:footerReference w:type="even" r:id="rId554"/>
          <w:footnotePr>
            <w:pos w:val="pageBottom"/>
            <w:numFmt w:val="decimal"/>
            <w:numStart w:val="5"/>
            <w:numRestart w:val="continuous"/>
            <w15:footnoteColumns w:val="1"/>
          </w:footnotePr>
          <w:pgSz w:w="6816" w:h="11006"/>
          <w:pgMar w:top="987" w:left="169" w:right="172" w:bottom="443" w:header="0" w:footer="3" w:gutter="0"/>
          <w:pgNumType w:start="186"/>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Već ubrzo nakon Isusova raspeća - to je su</w:t>
        <w:softHyphen/>
        <w:t xml:space="preserve">glasno svjedočanstvo NZ - Isusovi učenici na- viještaju da ga je Bog uskrisio, da su ga oni sami doživjeli kao uskrsloga, jer im se </w:t>
      </w:r>
      <w:r>
        <w:rPr>
          <w:rFonts w:ascii="Times New Roman" w:eastAsia="Times New Roman" w:hAnsi="Times New Roman" w:cs="Times New Roman"/>
          <w:i/>
          <w:iCs/>
          <w:color w:val="000000"/>
          <w:spacing w:val="0"/>
          <w:w w:val="100"/>
          <w:position w:val="0"/>
          <w:shd w:val="clear" w:color="auto" w:fill="auto"/>
          <w:lang w:val="hr-HR" w:eastAsia="hr-HR" w:bidi="hr-HR"/>
        </w:rPr>
        <w:t xml:space="preserve">ukazao. </w:t>
      </w:r>
      <w:r>
        <w:rPr>
          <w:rFonts w:ascii="Times New Roman" w:eastAsia="Times New Roman" w:hAnsi="Times New Roman" w:cs="Times New Roman"/>
          <w:color w:val="000000"/>
          <w:spacing w:val="0"/>
          <w:w w:val="100"/>
          <w:position w:val="0"/>
          <w:shd w:val="clear" w:color="auto" w:fill="auto"/>
          <w:lang w:val="hr-HR" w:eastAsia="hr-HR" w:bidi="hr-HR"/>
        </w:rPr>
        <w:t>On im je, kažu, dao nalog prenijeti ovu po</w:t>
        <w:softHyphen/>
        <w:t>ruku diljem svijeta. Iskustvo s Uskrsnulim bio je razlog za proširenje vjere u Isusa Krista. Opširno je svjedočanstvo o istinitosti Isusova uskrsnuća onaj odlomak u 1 Kor 15,3-5.7 koji je Pavao. kao što kaže, već preuzeo i sada predstavlja temelj njegovih dokazivanja uskrs</w:t>
        <w:softHyphen/>
        <w:t>nuća. Kako je Pavao tu predaju o Isusovu uskrsnuću već prije našao, vjerojatno se radi o vrlo drevnom vjerovanju prakršćanske zajed</w:t>
        <w:softHyphen/>
        <w:t>nice koje je vjerojatno bilo formulirano već malo godina nakon raspeća. Podsjetimo se na onaj već prije citirani tekst. Pavao piše: »Pre</w:t>
        <w:softHyphen/>
        <w:t>dao sam vam najprije ono što sam primio: da je Krist, suglasno Pismima, umro za naše gri</w:t>
        <w:softHyphen/>
        <w:t>jehe, da je pokopan, da je treći dan, suglasno Pismima, uskrsnuo, da se ukazao Kefi, potom</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Dvanaestorici. Zatim se ukazao braći kojih je bilo zajedno više od pet stotina, od kojih veći</w:t>
        <w:softHyphen/>
        <w:t>na još i sada živi, a neki su već pomrli. Potom se ukazao Jakovu, pa onda svim apostolima« (1 Kor 15,3-7). Slična svjedočanstva o ukaza</w:t>
        <w:softHyphen/>
        <w:t>nju Uskrsloga nalaze se u Dj 10,40 i d. i u 1 Tim 3,16.</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razliku od zornih svjedočenja u evanđelji</w:t>
        <w:softHyphen/>
        <w:t>ma i Djelima apostolskim iskustvo s Uskrslim u najstarijim svjedočanstvima izraženo je krat</w:t>
        <w:softHyphen/>
        <w:t>ko i sažeto s: »On se ukazao«. Ova se riječ češće nalazi u grčkom prijevodu SZ i njome se hoće iskazali sebe-pokazivanje Boga ili nje</w:t>
        <w:softHyphen/>
        <w:t>gova anđela (usp. npr. Izl 3,2; I’nz 33.16). Kada se u NZ uzima ova riječ, tada se njome ukazivanje Uskrsloga vidi na istoj razini s uka</w:t>
        <w:softHyphen/>
        <w:t>zivanjima Boga ili anđela i to kao susret s Uskrsnulim u novom načinu postojanja (usp. 1 Kor 15,44). ‘Ukazivanje’ je dakle izraz pri</w:t>
        <w:softHyphen/>
        <w:t>sutnosti objave kao takve bez pobližeg upući</w:t>
        <w:softHyphen/>
        <w:t>vanja na način njezina zapažanja. O istinitosti ove iskustvene prisutnosti Uskrsloga Pavao je bio najdublje uvjeren. Njegovo vlastito svje</w:t>
        <w:softHyphen/>
        <w:t>dočenje u 1 Kor 15,8 ne ostavlja nikakvu sum</w:t>
        <w:softHyphen/>
        <w:t>nju u to: »A naposljetku ukazao se i meni.« Sam je Pavao dakle svjedok Uskrsloga: »Zar nisam vidio našega Gospodina Isusa?« (1 Kor 9,1). O istom ukazanju riječ je u Poslanici Ga- laćanima: »A kad odluči onaj koji me izdvoji ‘u utrobi majke moje i pozva’ svojom milošću da u meni objavi Sina svoga ...« (Gal 1,15 i d.). Na isti način Pavao ulazi u »spoznaju« Krista koja mu je bila darovana u doživljaju u Damasku u I'il 3,8 i 2 Kor 4,6. Uz to u NZ sus</w:t>
        <w:softHyphen/>
        <w:t>rećemo čitav niz vjeroispovijedanja i himana koji neposredno ističu uskrsnuće, ne govoreći o ukazanjima (usp. Rim 3,1 i d.; P'il 2,6-11; Rim 10,9 i dr.). Mnoga priznavanja Isusa kao Uskrsloga nalaze se u prvim poglavljima Dje</w:t>
        <w:softHyphen/>
        <w:t>la apostolskih: »Njega je, to jest Isusa, Bog uskrisio. Tome smo mi svi svjedoci« (2,32); ili: »A začetnika života ubiste, koga je Bog uskri</w:t>
        <w:softHyphen/>
        <w:t>sio od mrtvih, tomu smo mi svjedoci« (3,15; usp. nadalje 5,30 i d. i dr.). Pred oskudnim na</w:t>
        <w:softHyphen/>
        <w:t>vodima u najstarijim svjedočanstvima ističu se zorni opisi uskrsnuća u evanđeljima (Mk 16,9-20; Ml 28,16-20; Lk 24; Iv 20-21) i u Djelima apostolskim (1,1-11; 9,3-9; 22,6-11, 26,12-18). U njima evanđelja hoće, svako iz svoje situacije, svako na svom jeziku i u svom svijetu predodžbi, svako gledajući na svoj čita</w:t>
        <w:softHyphen/>
      </w:r>
      <w:r>
        <w:rPr>
          <w:rFonts w:ascii="Times New Roman" w:eastAsia="Times New Roman" w:hAnsi="Times New Roman" w:cs="Times New Roman"/>
          <w:color w:val="000000"/>
          <w:spacing w:val="0"/>
          <w:w w:val="100"/>
          <w:position w:val="0"/>
          <w:shd w:val="clear" w:color="auto" w:fill="auto"/>
          <w:lang w:val="hr-HR" w:eastAsia="hr-HR" w:bidi="hr-HR"/>
        </w:rPr>
        <w:t>lački krug - iznova posvjedočiti staru predaju uskrsne vjere i pričajući je aktualizirati da bi tako priveo toj vjeri.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uskrsna poruka nije bila jednostav</w:t>
        <w:softHyphen/>
        <w:t>no nekritički uzeta i prihvaćena (usp. jasno navođenje svjedoka u 1 Kor 15,5-8), rana svje</w:t>
        <w:softHyphen/>
        <w:t>dočanstva upućuju na to da je Kristovo uskrs</w:t>
        <w:softHyphen/>
        <w:t>nuće uslijedilo »suglasno Pismima« (1 Kor 15,4), tj. uskrsna poruka leži kao posljedica starozavjetne objave Boga koji se brine za one koji mu vjeruju (usp. Hoš 6.2; Jš 1,2). Osim toga, vjerodostojnost uskrsne poruke podcrta</w:t>
        <w:softHyphen/>
        <w:t>na je upozorenjima koja evanđelja daju na Isusova predskazanja (usp. npr. Mt 28,6; Lk 24,6 i dr.); kao što je I. po sudbini Ivana Krstitelja (Mk 6,14-29; 9,13) mogao s jedne strane naslutiti svoju vlastitu smrt, tako je ipak s druge strane bio ispunjen čvrstim po</w:t>
        <w:softHyphen/>
        <w:t>vjerenjem da ga Bog, kojega je zvao Ocem, neće pustiti da konačno propadne. Jer pritom se radilo o »kraljevstvu Božjem« i njegovu ši</w:t>
        <w:softHyphen/>
        <w:t>renju.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ipak, uskrsna je poruka uvijek iznova bu</w:t>
        <w:softHyphen/>
        <w:t>dila sumnju. Već Pavao navodi razlog za to: »Nitko ne može priznati Isusa kao Gospodina - to znači isto što i ‘on je uskrsnuo’ (usp. Rim 10,9) - nego djelovanjem Duha Svetoga« (1 Kor 12,3). To kazuje samo to da nitko ne može vlastitom snagom vjerovati u Isusovo uskrsnuće nego samo Božjom milošću.</w:t>
      </w:r>
    </w:p>
    <w:p>
      <w:pPr>
        <w:pStyle w:val="Style20"/>
        <w:keepNext w:val="0"/>
        <w:keepLines w:val="0"/>
        <w:widowControl w:val="0"/>
        <w:shd w:val="clear" w:color="auto" w:fill="auto"/>
        <w:bidi w:val="0"/>
        <w:spacing w:before="0" w:after="0" w:line="254" w:lineRule="auto"/>
        <w:ind w:left="0" w:right="0" w:firstLine="0"/>
        <w:jc w:val="both"/>
      </w:pPr>
      <w:r>
        <mc:AlternateContent>
          <mc:Choice Requires="wps">
            <w:drawing>
              <wp:anchor distT="38100" distB="254000" distL="114300" distR="114300" simplePos="0" relativeHeight="125829393" behindDoc="0" locked="0" layoutInCell="1" allowOverlap="1">
                <wp:simplePos x="0" y="0"/>
                <wp:positionH relativeFrom="page">
                  <wp:posOffset>4022725</wp:posOffset>
                </wp:positionH>
                <wp:positionV relativeFrom="margin">
                  <wp:posOffset>6132830</wp:posOffset>
                </wp:positionV>
                <wp:extent cx="121920" cy="109855"/>
                <wp:wrapTopAndBottom/>
                <wp:docPr id="1185" name="Shape 1185"/>
                <a:graphic xmlns:a="http://schemas.openxmlformats.org/drawingml/2006/main">
                  <a:graphicData uri="http://schemas.microsoft.com/office/word/2010/wordprocessingShape">
                    <wps:wsp>
                      <wps:cNvSpPr txBox="1"/>
                      <wps:spPr>
                        <a:xfrm>
                          <a:ext cx="12192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 Cl'</w:t>
                            </w:r>
                          </w:p>
                        </w:txbxContent>
                      </wps:txbx>
                      <wps:bodyPr wrap="none" lIns="0" tIns="0" rIns="0" bIns="0">
                        <a:noAutoFit/>
                      </wps:bodyPr>
                    </wps:wsp>
                  </a:graphicData>
                </a:graphic>
              </wp:anchor>
            </w:drawing>
          </mc:Choice>
          <mc:Fallback>
            <w:pict>
              <v:shape id="_x0000_s2211" type="#_x0000_t202" style="position:absolute;margin-left:316.75pt;margin-top:482.89999999999998pt;width:9.5999999999999996pt;height:8.6500000000000004pt;z-index:-125829360;mso-wrap-distance-left:9.pt;mso-wrap-distance-top:3.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 Cl'</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Zapravo drama Isusove smrti na križu nije se mogla lako prevladati. Ivanovo evanđelje pri</w:t>
        <w:softHyphen/>
        <w:t>povijeda o apostolu Tomi kako se on - razdi</w:t>
        <w:softHyphen/>
        <w:t>ran sumnjom u poruku Isusova uskrsnuća - sam sa sobom borio: »Dok ne vidim na ru</w:t>
        <w:softHyphen/>
        <w:t>kama njegovim znak od čavala i ne stavim prst svoj u mjesto od čavala i ne slavini ruke svoje u njegov bok, neću vjerovati« (Iv 20,25). Užasnutost Velikim petkom bila je jednostav</w:t>
        <w:softHyphen/>
        <w:t>no preduboka da bi mogla ljude neupitno pri</w:t>
        <w:softHyphen/>
        <w:t>vesti vjeri u Isusovo uskrsnuće. 'Vidjeli smo Gospodina’, danima su mu već govorili nje</w:t>
        <w:softHyphen/>
        <w:t>govi suučenici. On bi ostajao hladan i suz</w:t>
        <w:softHyphen/>
        <w:t>držan. ‘Susreli smo Gospodina, on živi!’, tako su govorili. No on im nije vjerovao. Tek susret sa samim Uskrslim otvorio je sumnjičavcu put u vjeru: »Poslije osam dana učenici njegovi bi</w:t>
        <w:softHyphen/>
        <w:t>jahu ponovno unutra i Toma s njima. Dok su vrata bila zatvorena, dođe I., stade pred njih te reče: ‘Mir vama!’ Zatim reče Tomi: ‘Pruži prst svoj ovamo: evo mojih ruku! Pruži ruku</w:t>
        <w:br w:type="page"/>
      </w:r>
      <w:r>
        <w:rPr>
          <w:rFonts w:ascii="Times New Roman" w:eastAsia="Times New Roman" w:hAnsi="Times New Roman" w:cs="Times New Roman"/>
          <w:color w:val="000000"/>
          <w:spacing w:val="0"/>
          <w:w w:val="100"/>
          <w:position w:val="0"/>
          <w:shd w:val="clear" w:color="auto" w:fill="auto"/>
          <w:lang w:val="hr-HR" w:eastAsia="hr-HR" w:bidi="hr-HR"/>
        </w:rPr>
        <w:t>svoju i stavi je uz moj bok te ne budi više ne</w:t>
        <w:softHyphen/>
        <w:t>vjernik već vjernik!« (Iv 20,26-27). Svladan tim susretom, svladan Isusom Kristom koji ži</w:t>
        <w:softHyphen/>
        <w:t>vi, Tomi prijeđe preko usana: »Gospodin moj i Bog moj!« (Iv 20,28). Ovo priznavanje Isusa Krista kao Gospodina i Boga stoji na kraju dugačkog puta, popločanog neizvjesnošću i sumnjom, nesporazumima i skepsom kojima je Toma morao proći i ne samo on nego svi koji slijede Isusa sve dok ne stignu do punog razumijevanja svoga Gospodina. Nakon Uskr</w:t>
        <w:softHyphen/>
        <w:t>sa, tj. nakon Isusova uskrsnuća, učenici su pri susretu opet prepoznali Isusa i tek su im se tada otvorile oči (usp. Lk 24,31), tek tada su o Isusu stekli ono »znanje« koje se potom odra</w:t>
        <w:softHyphen/>
        <w:t>zilo u vjerovanju u njega.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svojoj Poslanici Filipljanima Pavao navodi jedan himan koji je nastao već ubrzo nakon Isusove smrti i uskrsnuća i koji ovako sažima vjeru u Isusa Krista: »On, božanske naravi, nije se ljubomorno držao svoje jednakosti s Bogom, nego se nje lišio uzevši narav sluge i postavši sličan ljudima. Kad postade kao čo</w:t>
        <w:softHyphen/>
        <w:t>vjek, ponizi sam sebe postavši poslušan do smrti, i to do smrti na križu. Zato ga Bog uzdiže na najvišu visinu i dade mu jedincato ime koje je iznad svakoga drugog imena, da se Isusovu imenu ‘pokloni svako koljeno’ nebes</w:t>
        <w:softHyphen/>
        <w:t>kih, zemaljskih i podzemaljskih bića, i da ‘sva</w:t>
        <w:softHyphen/>
        <w:t>ki jezik prizna’ - na slavu Boga Oca: Gospo</w:t>
        <w:softHyphen/>
        <w:t>dar je I. K.« (Fil 2,6-11). To je za kršćanstvo temeljno vjeroispovijedanje.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Najtješnjc povezano s novozavjetnim zajam</w:t>
        <w:softHyphen/>
        <w:t>čenim ukazanjima Uskrsloga je u Lukinu dvo- članom djelu predajom sačuvano Kristovo uza- šašće (Lk 24,50-53; Dj 1,9-11). Ono želi po</w:t>
        <w:softHyphen/>
        <w:t>moću biblijskih motiva i stilskih sredstava (gesta blagoslivljanja, oblak, anđeo) predočiti vjeru u uskrsnuće i slikovito istaknuti uzašašće koje se s uskrsnućem dogodilo na slavu Boga, njegova Oca. - Da je »I. K. Gospodin« (Fil 2,11 i dr.) jednom će konačno postati očigled</w:t>
        <w:softHyphen/>
        <w:t>no, prema svjedočanstvu NZ. O toj poveza</w:t>
        <w:softHyphen/>
        <w:t>nosti govori NZ oslanjajući se na starozavjet</w:t>
        <w:softHyphen/>
        <w:t>ne obrasce o »Danu Gospodnjem« (1 Sol 5,2 i dr.), o »Danu Krista Isusa« (usp. Fil 1,6) ili također o »Danu Sina Čovječjeg« (usp. Lk 17,24). Ovo ukazanje Isusa Krista na kraju vremena, označeno kao »paruzija« (povra</w:t>
        <w:softHyphen/>
        <w:t>tak), učinit će potpuno vidljivim njegovo či</w:t>
        <w:softHyphen/>
        <w:t xml:space="preserve">tavo značenje i stvarnost kao Gospodara nad životom i smrću, kao Gospodara nad svijetom </w:t>
      </w:r>
      <w:r>
        <w:rPr>
          <w:rFonts w:ascii="Times New Roman" w:eastAsia="Times New Roman" w:hAnsi="Times New Roman" w:cs="Times New Roman"/>
          <w:color w:val="000000"/>
          <w:spacing w:val="0"/>
          <w:w w:val="100"/>
          <w:position w:val="0"/>
          <w:shd w:val="clear" w:color="auto" w:fill="auto"/>
          <w:lang w:val="hr-HR" w:eastAsia="hr-HR" w:bidi="hr-HR"/>
        </w:rPr>
        <w:t>i čovjekom, kao Gospodara sveukupne povi</w:t>
        <w:softHyphen/>
        <w:t>jesti (usp. Otk 1,8; 22,13). Zato je on, kao što svjedoči NZ, od Boga postavljen za suca živih i mrtvih (usp. Dj 10,42 itd.).</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Lie.: </w:t>
      </w:r>
      <w:r>
        <w:rPr>
          <w:color w:val="000000"/>
          <w:spacing w:val="0"/>
          <w:w w:val="100"/>
          <w:position w:val="0"/>
          <w:shd w:val="clear" w:color="auto" w:fill="auto"/>
          <w:lang w:val="hr-HR" w:eastAsia="hr-HR" w:bidi="hr-HR"/>
        </w:rPr>
        <w:t xml:space="preserve">R. Bultmann, </w:t>
      </w:r>
      <w:r>
        <w:rPr>
          <w:i/>
          <w:iCs/>
          <w:color w:val="000000"/>
          <w:spacing w:val="0"/>
          <w:w w:val="100"/>
          <w:position w:val="0"/>
          <w:shd w:val="clear" w:color="auto" w:fill="auto"/>
        </w:rPr>
        <w:t>Theolotf? des Neuen Testaments,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Tiibin- gen </w:t>
      </w:r>
      <w:r>
        <w:rPr>
          <w:color w:val="000000"/>
          <w:spacing w:val="0"/>
          <w:w w:val="100"/>
          <w:position w:val="0"/>
          <w:shd w:val="clear" w:color="auto" w:fill="auto"/>
          <w:vertAlign w:val="superscript"/>
          <w:lang w:val="hr-HR" w:eastAsia="hr-HR" w:bidi="hr-HR"/>
        </w:rPr>
        <w:t>5</w:t>
      </w:r>
      <w:r>
        <w:rPr>
          <w:color w:val="000000"/>
          <w:spacing w:val="0"/>
          <w:w w:val="100"/>
          <w:position w:val="0"/>
          <w:shd w:val="clear" w:color="auto" w:fill="auto"/>
          <w:lang w:val="hr-HR" w:eastAsia="hr-HR" w:bidi="hr-HR"/>
        </w:rPr>
        <w:t xml:space="preserve">1965; isti, </w:t>
      </w:r>
      <w:r>
        <w:rPr>
          <w:i/>
          <w:iCs/>
          <w:color w:val="000000"/>
          <w:spacing w:val="0"/>
          <w:w w:val="100"/>
          <w:position w:val="0"/>
          <w:shd w:val="clear" w:color="auto" w:fill="auto"/>
        </w:rPr>
        <w:t>Jesus Christus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(Skbcnstcm-Taschcnbuch 17), MdnchcrVHamburg </w:t>
      </w:r>
      <w:r>
        <w:rPr>
          <w:color w:val="000000"/>
          <w:spacing w:val="0"/>
          <w:w w:val="100"/>
          <w:position w:val="0"/>
          <w:shd w:val="clear" w:color="auto" w:fill="auto"/>
          <w:vertAlign w:val="superscript"/>
          <w:lang w:val="hr-HR" w:eastAsia="hr-HR" w:bidi="hr-HR"/>
        </w:rPr>
        <w:t>J</w:t>
      </w:r>
      <w:r>
        <w:rPr>
          <w:color w:val="000000"/>
          <w:spacing w:val="0"/>
          <w:w w:val="100"/>
          <w:position w:val="0"/>
          <w:shd w:val="clear" w:color="auto" w:fill="auto"/>
          <w:lang w:val="hr-HR" w:eastAsia="hr-HR" w:bidi="hr-HR"/>
        </w:rPr>
        <w:t xml:space="preserve">1967; R, Schnackenburg, </w:t>
      </w:r>
      <w:r>
        <w:rPr>
          <w:i/>
          <w:iCs/>
          <w:color w:val="000000"/>
          <w:spacing w:val="0"/>
          <w:w w:val="100"/>
          <w:position w:val="0"/>
          <w:shd w:val="clear" w:color="auto" w:fill="auto"/>
          <w:lang w:val="hr-HR" w:eastAsia="hr-HR" w:bidi="hr-HR"/>
        </w:rPr>
        <w:t xml:space="preserve">Gottes llerr- </w:t>
      </w:r>
      <w:r>
        <w:rPr>
          <w:i/>
          <w:iCs/>
          <w:color w:val="000000"/>
          <w:spacing w:val="0"/>
          <w:w w:val="100"/>
          <w:position w:val="0"/>
          <w:shd w:val="clear" w:color="auto" w:fill="auto"/>
        </w:rPr>
        <w:t xml:space="preserve">schaft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Reich,</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*1965; isti, Christologic des Neucn </w:t>
      </w:r>
      <w:r>
        <w:rPr>
          <w:color w:val="000000"/>
          <w:spacing w:val="0"/>
          <w:w w:val="100"/>
          <w:position w:val="0"/>
          <w:shd w:val="clear" w:color="auto" w:fill="auto"/>
        </w:rPr>
        <w:t xml:space="preserve">Testaments,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 xml:space="preserve">Mysterium </w:t>
      </w:r>
      <w:r>
        <w:rPr>
          <w:i/>
          <w:iCs/>
          <w:color w:val="000000"/>
          <w:spacing w:val="0"/>
          <w:w w:val="100"/>
          <w:position w:val="0"/>
          <w:shd w:val="clear" w:color="auto" w:fill="auto"/>
          <w:lang w:val="hr-HR" w:eastAsia="hr-HR" w:bidi="hr-HR"/>
        </w:rPr>
        <w:t>Salutis</w:t>
      </w:r>
      <w:r>
        <w:rPr>
          <w:color w:val="000000"/>
          <w:spacing w:val="0"/>
          <w:w w:val="100"/>
          <w:position w:val="0"/>
          <w:shd w:val="clear" w:color="auto" w:fill="auto"/>
          <w:lang w:val="hr-HR" w:eastAsia="hr-HR" w:bidi="hr-HR"/>
        </w:rPr>
        <w:t xml:space="preserve"> IU/1, Linsic- dcln/Koln/Zurich 1970.227-388; isti/F. J. Schicrsc, </w:t>
      </w:r>
      <w:r>
        <w:rPr>
          <w:i/>
          <w:iCs/>
          <w:color w:val="000000"/>
          <w:spacing w:val="0"/>
          <w:w w:val="100"/>
          <w:position w:val="0"/>
          <w:shd w:val="clear" w:color="auto" w:fill="auto"/>
        </w:rPr>
        <w:t>Wer war Jesus von Nazareth? Chrisiologjtt in tier Krise,</w:t>
      </w:r>
      <w:r>
        <w:rPr>
          <w:color w:val="000000"/>
          <w:spacing w:val="0"/>
          <w:w w:val="100"/>
          <w:position w:val="0"/>
          <w:shd w:val="clear" w:color="auto" w:fill="auto"/>
        </w:rPr>
        <w:t xml:space="preserve"> Dusseldorf 1970; J. Kremer, </w:t>
      </w:r>
      <w:r>
        <w:rPr>
          <w:i/>
          <w:iCs/>
          <w:color w:val="000000"/>
          <w:spacing w:val="0"/>
          <w:w w:val="100"/>
          <w:position w:val="0"/>
          <w:shd w:val="clear" w:color="auto" w:fill="auto"/>
        </w:rPr>
        <w:t>Das dltesfe Zeugnis von der Auferstehung Christi. Eine bibdtheologjsche Studie zur Aussage und Redeu ■ lung von I Kor 15,1-1 i</w:t>
      </w:r>
      <w:r>
        <w:rPr>
          <w:color w:val="000000"/>
          <w:spacing w:val="0"/>
          <w:w w:val="100"/>
          <w:position w:val="0"/>
          <w:shd w:val="clear" w:color="auto" w:fill="auto"/>
        </w:rPr>
        <w:t xml:space="preserve"> (Stuttgarter Bibclstudicn 17), Stutt</w:t>
        <w:softHyphen/>
        <w:t xml:space="preserve">gart ^1967;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Die Osterbotschaft der vier Evangeiien,</w:t>
      </w:r>
      <w:r>
        <w:rPr>
          <w:color w:val="000000"/>
          <w:spacing w:val="0"/>
          <w:w w:val="100"/>
          <w:position w:val="0"/>
          <w:shd w:val="clear" w:color="auto" w:fill="auto"/>
        </w:rPr>
        <w:t xml:space="preserve"> Stutt</w:t>
        <w:softHyphen/>
        <w:t xml:space="preserve">gart *1969; K. Lehmann, </w:t>
      </w:r>
      <w:r>
        <w:rPr>
          <w:i/>
          <w:iCs/>
          <w:color w:val="000000"/>
          <w:spacing w:val="0"/>
          <w:w w:val="100"/>
          <w:position w:val="0"/>
          <w:shd w:val="clear" w:color="auto" w:fill="auto"/>
        </w:rPr>
        <w:t>Auferweckt am dritten Tag nach der Schrifl. Fruheste Chnslologie, Bekenntnisbildung und Schriftauslegung im Lichte von I Kor 15,3-5</w:t>
      </w:r>
      <w:r>
        <w:rPr>
          <w:color w:val="000000"/>
          <w:spacing w:val="0"/>
          <w:w w:val="100"/>
          <w:position w:val="0"/>
          <w:shd w:val="clear" w:color="auto" w:fill="auto"/>
        </w:rPr>
        <w:t xml:space="preserve"> (Quacsttoncs disputatae 38), Frciburg'Bascl/Wien 1968; K. Kertclgc (Hrsg), </w:t>
      </w:r>
      <w:r>
        <w:rPr>
          <w:i/>
          <w:iCs/>
          <w:color w:val="000000"/>
          <w:spacing w:val="0"/>
          <w:w w:val="100"/>
          <w:position w:val="0"/>
          <w:shd w:val="clear" w:color="auto" w:fill="auto"/>
        </w:rPr>
        <w:t xml:space="preserve">Ruckfrage nach Jesus Christus. Zur Methodik und Bedeulung der Frage nach dem hislorischen Jesus Christus </w:t>
      </w:r>
      <w:r>
        <w:rPr>
          <w:color w:val="000000"/>
          <w:spacing w:val="0"/>
          <w:w w:val="100"/>
          <w:position w:val="0"/>
          <w:shd w:val="clear" w:color="auto" w:fill="auto"/>
        </w:rPr>
        <w:t xml:space="preserve">(Quaestioncs disputatae 63), Ftciburg/Bascl/Wicn 1974;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 xml:space="preserve">Der Tod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Deutungen im Neuen Testament</w:t>
      </w:r>
      <w:r>
        <w:rPr>
          <w:color w:val="000000"/>
          <w:spacing w:val="0"/>
          <w:w w:val="100"/>
          <w:position w:val="0"/>
          <w:shd w:val="clear" w:color="auto" w:fill="auto"/>
        </w:rPr>
        <w:t xml:space="preserve"> (Quaes- tioncs disputatae 74), Frciburg/Basel/Wicn 1976; J. Gnilka, </w:t>
      </w:r>
      <w:r>
        <w:rPr>
          <w:i/>
          <w:iCs/>
          <w:color w:val="000000"/>
          <w:spacing w:val="0"/>
          <w:w w:val="100"/>
          <w:position w:val="0"/>
          <w:shd w:val="clear" w:color="auto" w:fill="auto"/>
        </w:rPr>
        <w:t xml:space="preserve">Jesus Christus nach den friihen Zeugnissen des Glaubens, </w:t>
      </w:r>
      <w:r>
        <w:rPr>
          <w:color w:val="000000"/>
          <w:spacing w:val="0"/>
          <w:w w:val="100"/>
          <w:position w:val="0"/>
          <w:shd w:val="clear" w:color="auto" w:fill="auto"/>
        </w:rPr>
        <w:t xml:space="preserve">Munchcn 1970; H. Frankcmblle, </w:t>
      </w:r>
      <w:r>
        <w:rPr>
          <w:i/>
          <w:iCs/>
          <w:color w:val="000000"/>
          <w:spacing w:val="0"/>
          <w:w w:val="100"/>
          <w:position w:val="0"/>
          <w:shd w:val="clear" w:color="auto" w:fill="auto"/>
        </w:rPr>
        <w:t xml:space="preserve">Jesus von Nazareth </w:t>
      </w:r>
      <w:r>
        <w:rPr>
          <w:i/>
          <w:iCs/>
          <w:color w:val="000000"/>
          <w:spacing w:val="0"/>
          <w:w w:val="100"/>
          <w:position w:val="0"/>
          <w:shd w:val="clear" w:color="auto" w:fill="auto"/>
          <w:lang w:val="hr-HR" w:eastAsia="hr-HR" w:bidi="hr-HR"/>
        </w:rPr>
        <w:t>(Pro</w:t>
        <w:softHyphen/>
        <w:t xml:space="preserve">jekte </w:t>
      </w:r>
      <w:r>
        <w:rPr>
          <w:i/>
          <w:iCs/>
          <w:color w:val="000000"/>
          <w:spacing w:val="0"/>
          <w:w w:val="100"/>
          <w:position w:val="0"/>
          <w:shd w:val="clear" w:color="auto" w:fill="auto"/>
        </w:rPr>
        <w:t>zur theologjschen Envachsenenbildung</w:t>
      </w:r>
      <w:r>
        <w:rPr>
          <w:color w:val="000000"/>
          <w:spacing w:val="0"/>
          <w:w w:val="100"/>
          <w:position w:val="0"/>
          <w:shd w:val="clear" w:color="auto" w:fill="auto"/>
        </w:rPr>
        <w:t xml:space="preserve"> 4), Mainz 1976;</w:t>
      </w:r>
    </w:p>
    <w:p>
      <w:pPr>
        <w:pStyle w:val="Style56"/>
        <w:keepNext w:val="0"/>
        <w:keepLines w:val="0"/>
        <w:widowControl w:val="0"/>
        <w:numPr>
          <w:ilvl w:val="0"/>
          <w:numId w:val="183"/>
        </w:numPr>
        <w:shd w:val="clear" w:color="auto" w:fill="auto"/>
        <w:tabs>
          <w:tab w:pos="250" w:val="left"/>
        </w:tabs>
        <w:bidi w:val="0"/>
        <w:spacing w:before="0" w:after="0" w:line="240" w:lineRule="auto"/>
        <w:ind w:left="0" w:right="0" w:firstLine="0"/>
        <w:jc w:val="both"/>
      </w:pPr>
      <w:r>
        <w:rPr>
          <w:color w:val="000000"/>
          <w:spacing w:val="0"/>
          <w:w w:val="100"/>
          <w:position w:val="0"/>
          <w:shd w:val="clear" w:color="auto" w:fill="auto"/>
        </w:rPr>
        <w:t xml:space="preserve">Dcmbowski, </w:t>
      </w:r>
      <w:r>
        <w:rPr>
          <w:i/>
          <w:iCs/>
          <w:color w:val="000000"/>
          <w:spacing w:val="0"/>
          <w:w w:val="100"/>
          <w:position w:val="0"/>
          <w:shd w:val="clear" w:color="auto" w:fill="auto"/>
        </w:rPr>
        <w:t>Einfuhmng in die Christologie,</w:t>
      </w:r>
      <w:r>
        <w:rPr>
          <w:color w:val="000000"/>
          <w:spacing w:val="0"/>
          <w:w w:val="100"/>
          <w:position w:val="0"/>
          <w:shd w:val="clear" w:color="auto" w:fill="auto"/>
        </w:rPr>
        <w:t xml:space="preserve"> Darmstadt</w:t>
      </w:r>
    </w:p>
    <w:p>
      <w:pPr>
        <w:pStyle w:val="Style56"/>
        <w:keepNext w:val="0"/>
        <w:keepLines w:val="0"/>
        <w:widowControl w:val="0"/>
        <w:shd w:val="clear" w:color="auto" w:fill="auto"/>
        <w:tabs>
          <w:tab w:pos="2246" w:val="left"/>
        </w:tabs>
        <w:bidi w:val="0"/>
        <w:spacing w:before="0" w:after="120" w:line="240" w:lineRule="auto"/>
        <w:ind w:left="0" w:right="0" w:firstLine="0"/>
        <w:jc w:val="both"/>
        <w:rPr>
          <w:sz w:val="15"/>
          <w:szCs w:val="15"/>
        </w:rPr>
      </w:pPr>
      <w:r>
        <w:rPr>
          <w:color w:val="000000"/>
          <w:spacing w:val="0"/>
          <w:w w:val="100"/>
          <w:position w:val="0"/>
          <w:sz w:val="12"/>
          <w:szCs w:val="12"/>
          <w:shd w:val="clear" w:color="auto" w:fill="auto"/>
        </w:rPr>
        <w:t xml:space="preserve">1976: K. Rahner, </w:t>
      </w:r>
      <w:r>
        <w:rPr>
          <w:i/>
          <w:iCs/>
          <w:color w:val="000000"/>
          <w:spacing w:val="0"/>
          <w:w w:val="100"/>
          <w:position w:val="0"/>
          <w:sz w:val="12"/>
          <w:szCs w:val="12"/>
          <w:shd w:val="clear" w:color="auto" w:fill="auto"/>
        </w:rPr>
        <w:t>Grurtdkurs des Glaubens,</w:t>
      </w:r>
      <w:r>
        <w:rPr>
          <w:color w:val="000000"/>
          <w:spacing w:val="0"/>
          <w:w w:val="100"/>
          <w:position w:val="0"/>
          <w:sz w:val="12"/>
          <w:szCs w:val="12"/>
          <w:shd w:val="clear" w:color="auto" w:fill="auto"/>
        </w:rPr>
        <w:t xml:space="preserve"> Frciburg/Ba- scl/Wicn *1977, 178-312; E. Schillcbcccla, </w:t>
      </w:r>
      <w:r>
        <w:rPr>
          <w:i/>
          <w:iCs/>
          <w:color w:val="000000"/>
          <w:spacing w:val="0"/>
          <w:w w:val="100"/>
          <w:position w:val="0"/>
          <w:sz w:val="12"/>
          <w:szCs w:val="12"/>
          <w:shd w:val="clear" w:color="auto" w:fill="auto"/>
        </w:rPr>
        <w:t>Jesus Christus. Die Geschichte von einem Lebenden,</w:t>
      </w:r>
      <w:r>
        <w:rPr>
          <w:color w:val="000000"/>
          <w:spacing w:val="0"/>
          <w:w w:val="100"/>
          <w:position w:val="0"/>
          <w:sz w:val="12"/>
          <w:szCs w:val="12"/>
          <w:shd w:val="clear" w:color="auto" w:fill="auto"/>
        </w:rPr>
        <w:t xml:space="preserve"> Frcihurg/Basel/Wicn </w:t>
      </w:r>
      <w:r>
        <w:rPr>
          <w:color w:val="000000"/>
          <w:spacing w:val="0"/>
          <w:w w:val="100"/>
          <w:position w:val="0"/>
          <w:sz w:val="12"/>
          <w:szCs w:val="12"/>
          <w:shd w:val="clear" w:color="auto" w:fill="auto"/>
          <w:vertAlign w:val="superscript"/>
        </w:rPr>
        <w:t>6</w:t>
      </w:r>
      <w:r>
        <w:rPr>
          <w:color w:val="000000"/>
          <w:spacing w:val="0"/>
          <w:w w:val="100"/>
          <w:position w:val="0"/>
          <w:sz w:val="12"/>
          <w:szCs w:val="12"/>
          <w:shd w:val="clear" w:color="auto" w:fill="auto"/>
        </w:rPr>
        <w:t xml:space="preserve">1978; W. Kasper, Jesus der Christus, Mainz *1975; </w:t>
      </w:r>
      <w:r>
        <w:rPr>
          <w:color w:val="000000"/>
          <w:spacing w:val="0"/>
          <w:w w:val="100"/>
          <w:position w:val="0"/>
          <w:sz w:val="12"/>
          <w:szCs w:val="12"/>
          <w:shd w:val="clear" w:color="auto" w:fill="auto"/>
          <w:lang w:val="hr-HR" w:eastAsia="hr-HR" w:bidi="hr-HR"/>
        </w:rPr>
        <w:t xml:space="preserve">isti, </w:t>
      </w:r>
      <w:r>
        <w:rPr>
          <w:i/>
          <w:iCs/>
          <w:color w:val="000000"/>
          <w:spacing w:val="0"/>
          <w:w w:val="100"/>
          <w:position w:val="0"/>
          <w:sz w:val="12"/>
          <w:szCs w:val="12"/>
          <w:shd w:val="clear" w:color="auto" w:fill="auto"/>
        </w:rPr>
        <w:t xml:space="preserve">Der Gott </w:t>
      </w:r>
      <w:r>
        <w:rPr>
          <w:i/>
          <w:iCs/>
          <w:color w:val="000000"/>
          <w:spacing w:val="0"/>
          <w:w w:val="100"/>
          <w:position w:val="0"/>
          <w:sz w:val="12"/>
          <w:szCs w:val="12"/>
          <w:shd w:val="clear" w:color="auto" w:fill="auto"/>
          <w:lang w:val="hr-HR" w:eastAsia="hr-HR" w:bidi="hr-HR"/>
        </w:rPr>
        <w:t xml:space="preserve">Jesu </w:t>
      </w:r>
      <w:r>
        <w:rPr>
          <w:i/>
          <w:iCs/>
          <w:color w:val="000000"/>
          <w:spacing w:val="0"/>
          <w:w w:val="100"/>
          <w:position w:val="0"/>
          <w:sz w:val="12"/>
          <w:szCs w:val="12"/>
          <w:shd w:val="clear" w:color="auto" w:fill="auto"/>
        </w:rPr>
        <w:t>Christi.</w:t>
      </w:r>
      <w:r>
        <w:rPr>
          <w:color w:val="000000"/>
          <w:spacing w:val="0"/>
          <w:w w:val="100"/>
          <w:position w:val="0"/>
          <w:sz w:val="12"/>
          <w:szCs w:val="12"/>
          <w:shd w:val="clear" w:color="auto" w:fill="auto"/>
        </w:rPr>
        <w:t xml:space="preserve"> Mainz 1982. 199-245; A. Zicgcnaus (Hrsg ), </w:t>
      </w:r>
      <w:r>
        <w:rPr>
          <w:i/>
          <w:iCs/>
          <w:color w:val="000000"/>
          <w:spacing w:val="0"/>
          <w:w w:val="100"/>
          <w:position w:val="0"/>
          <w:sz w:val="12"/>
          <w:szCs w:val="12"/>
          <w:shd w:val="clear" w:color="auto" w:fill="auto"/>
        </w:rPr>
        <w:t>Wegmarken der Chrisiologe</w:t>
      </w:r>
      <w:r>
        <w:rPr>
          <w:color w:val="000000"/>
          <w:spacing w:val="0"/>
          <w:w w:val="100"/>
          <w:position w:val="0"/>
          <w:sz w:val="12"/>
          <w:szCs w:val="12"/>
          <w:shd w:val="clear" w:color="auto" w:fill="auto"/>
        </w:rPr>
        <w:t xml:space="preserve"> (Thcologic </w:t>
      </w:r>
      <w:r>
        <w:rPr>
          <w:color w:val="000000"/>
          <w:spacing w:val="0"/>
          <w:w w:val="100"/>
          <w:position w:val="0"/>
          <w:sz w:val="12"/>
          <w:szCs w:val="12"/>
          <w:shd w:val="clear" w:color="auto" w:fill="auto"/>
          <w:lang w:val="hr-HR" w:eastAsia="hr-HR" w:bidi="hr-HR"/>
        </w:rPr>
        <w:t xml:space="preserve">intcrdisži- </w:t>
      </w:r>
      <w:r>
        <w:rPr>
          <w:color w:val="000000"/>
          <w:spacing w:val="0"/>
          <w:w w:val="100"/>
          <w:position w:val="0"/>
          <w:sz w:val="12"/>
          <w:szCs w:val="12"/>
          <w:shd w:val="clear" w:color="auto" w:fill="auto"/>
        </w:rPr>
        <w:t xml:space="preserve">phnar 5), Donauworth 1980; L. Hagcmann, </w:t>
      </w:r>
      <w:r>
        <w:rPr>
          <w:i/>
          <w:iCs/>
          <w:color w:val="000000"/>
          <w:spacing w:val="0"/>
          <w:w w:val="100"/>
          <w:position w:val="0"/>
          <w:sz w:val="12"/>
          <w:szCs w:val="12"/>
          <w:shd w:val="clear" w:color="auto" w:fill="auto"/>
        </w:rPr>
        <w:t xml:space="preserve">Propheten - Zeugen des Glaubens. Koranische und biblische Deutungen, </w:t>
      </w:r>
      <w:r>
        <w:rPr>
          <w:color w:val="000000"/>
          <w:spacing w:val="0"/>
          <w:w w:val="100"/>
          <w:position w:val="0"/>
          <w:sz w:val="12"/>
          <w:szCs w:val="12"/>
          <w:shd w:val="clear" w:color="auto" w:fill="auto"/>
        </w:rPr>
        <w:t xml:space="preserve">Graz/Wicn/Koln 1985,40-42.127-158; W. Kern/ H. J. Pott- mcycr/M. Sccklcr (Hrsg.), </w:t>
      </w:r>
      <w:r>
        <w:rPr>
          <w:i/>
          <w:iCs/>
          <w:color w:val="000000"/>
          <w:spacing w:val="0"/>
          <w:w w:val="100"/>
          <w:position w:val="0"/>
          <w:sz w:val="12"/>
          <w:szCs w:val="12"/>
          <w:shd w:val="clear" w:color="auto" w:fill="auto"/>
        </w:rPr>
        <w:t>Handbuch der Fundamentaltheo- logie,</w:t>
      </w:r>
      <w:r>
        <w:rPr>
          <w:color w:val="000000"/>
          <w:spacing w:val="0"/>
          <w:w w:val="100"/>
          <w:position w:val="0"/>
          <w:sz w:val="12"/>
          <w:szCs w:val="12"/>
          <w:shd w:val="clear" w:color="auto" w:fill="auto"/>
        </w:rPr>
        <w:t xml:space="preserve"> Bd 2: </w:t>
      </w:r>
      <w:r>
        <w:rPr>
          <w:color w:val="000000"/>
          <w:spacing w:val="0"/>
          <w:w w:val="100"/>
          <w:position w:val="0"/>
          <w:sz w:val="12"/>
          <w:szCs w:val="12"/>
          <w:shd w:val="clear" w:color="auto" w:fill="auto"/>
          <w:lang w:val="hr-HR" w:eastAsia="hr-HR" w:bidi="hr-HR"/>
        </w:rPr>
        <w:t xml:space="preserve">Traktat </w:t>
      </w:r>
      <w:r>
        <w:rPr>
          <w:color w:val="000000"/>
          <w:spacing w:val="0"/>
          <w:w w:val="100"/>
          <w:position w:val="0"/>
          <w:sz w:val="12"/>
          <w:szCs w:val="12"/>
          <w:shd w:val="clear" w:color="auto" w:fill="auto"/>
        </w:rPr>
        <w:t xml:space="preserve">Offenbarung, Frciburg/Bascl/Wicn 1985. 122-240 </w:t>
      </w:r>
      <w:r>
        <w:rPr>
          <w:color w:val="000000"/>
          <w:spacing w:val="0"/>
          <w:w w:val="100"/>
          <w:position w:val="0"/>
          <w:sz w:val="12"/>
          <w:szCs w:val="12"/>
          <w:shd w:val="clear" w:color="auto" w:fill="auto"/>
          <w:lang w:val="hr-HR" w:eastAsia="hr-HR" w:bidi="hr-HR"/>
        </w:rPr>
        <w:t>(literatura).</w:t>
        <w:tab/>
      </w:r>
      <w:r>
        <w:rPr>
          <w:color w:val="000000"/>
          <w:spacing w:val="0"/>
          <w:w w:val="100"/>
          <w:position w:val="0"/>
          <w:sz w:val="12"/>
          <w:szCs w:val="12"/>
          <w:shd w:val="clear" w:color="auto" w:fill="auto"/>
        </w:rPr>
        <w:t xml:space="preserve">L </w:t>
      </w:r>
      <w:r>
        <w:rPr>
          <w:rFonts w:ascii="Times New Roman" w:eastAsia="Times New Roman" w:hAnsi="Times New Roman" w:cs="Times New Roman"/>
          <w:smallCaps/>
          <w:color w:val="000000"/>
          <w:spacing w:val="0"/>
          <w:w w:val="100"/>
          <w:position w:val="0"/>
          <w:sz w:val="15"/>
          <w:szCs w:val="15"/>
          <w:shd w:val="clear" w:color="auto" w:fill="auto"/>
        </w:rPr>
        <w:t>Ha&lt;h-.mann</w:t>
      </w:r>
    </w:p>
    <w:p>
      <w:pPr>
        <w:pStyle w:val="Style63"/>
        <w:keepNext/>
        <w:keepLines/>
        <w:widowControl w:val="0"/>
        <w:numPr>
          <w:ilvl w:val="0"/>
          <w:numId w:val="179"/>
        </w:numPr>
        <w:shd w:val="clear" w:color="auto" w:fill="auto"/>
        <w:tabs>
          <w:tab w:pos="265" w:val="left"/>
        </w:tabs>
        <w:bidi w:val="0"/>
        <w:spacing w:before="0" w:line="226" w:lineRule="auto"/>
        <w:ind w:left="0" w:right="0" w:firstLine="0"/>
        <w:jc w:val="both"/>
      </w:pPr>
      <w:bookmarkStart w:id="134" w:name="bookmark134"/>
      <w:r>
        <w:rPr>
          <w:rFonts w:ascii="Times New Roman" w:eastAsia="Times New Roman" w:hAnsi="Times New Roman" w:cs="Times New Roman"/>
          <w:color w:val="000000"/>
          <w:spacing w:val="0"/>
          <w:w w:val="100"/>
          <w:position w:val="0"/>
          <w:shd w:val="clear" w:color="auto" w:fill="auto"/>
          <w:lang w:val="hr-HR" w:eastAsia="hr-HR" w:bidi="hr-HR"/>
        </w:rPr>
        <w:t>islamski</w:t>
      </w:r>
      <w:bookmarkEnd w:id="134"/>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islamu </w:t>
      </w:r>
      <w:r>
        <w:rPr>
          <w:rFonts w:ascii="Times New Roman" w:eastAsia="Times New Roman" w:hAnsi="Times New Roman" w:cs="Times New Roman"/>
          <w:color w:val="000000"/>
          <w:spacing w:val="0"/>
          <w:w w:val="100"/>
          <w:position w:val="0"/>
          <w:shd w:val="clear" w:color="auto" w:fill="auto"/>
          <w:lang w:val="en-US" w:eastAsia="en-US" w:bidi="en-US"/>
        </w:rPr>
        <w:t xml:space="preserve">I. K. </w:t>
      </w:r>
      <w:r>
        <w:rPr>
          <w:rFonts w:ascii="Times New Roman" w:eastAsia="Times New Roman" w:hAnsi="Times New Roman" w:cs="Times New Roman"/>
          <w:color w:val="000000"/>
          <w:spacing w:val="0"/>
          <w:w w:val="100"/>
          <w:position w:val="0"/>
          <w:shd w:val="clear" w:color="auto" w:fill="auto"/>
          <w:lang w:val="hr-HR" w:eastAsia="hr-HR" w:bidi="hr-HR"/>
        </w:rPr>
        <w:t>ima sasvim ljudsku dimenziju. Jedino ga njegovo neobično rođenje razdvaja od običnih smrtnika. Tako se s obzirom na predmet ne može uspostaviti nikakav odnos između Kristove osobe i islamske teologije. Nasuprot biblijski usmjerenoj kršćanskoj teo</w:t>
        <w:softHyphen/>
        <w:t>logiji, koja ne govori naprosto o Bogu, nego o »Bogu i čovjeku« u središtu događanja, islam je revno nastojao iz svijesti svojih vjernika po</w:t>
        <w:softHyphen/>
        <w:t>tisnuti svaku pomisao na čovjekovo sudioniš</w:t>
        <w:softHyphen/>
        <w:t>tvo u božanskoj neponovljivosti.</w:t>
      </w:r>
    </w:p>
    <w:p>
      <w:pPr>
        <w:pStyle w:val="Style20"/>
        <w:keepNext w:val="0"/>
        <w:keepLines w:val="0"/>
        <w:widowControl w:val="0"/>
        <w:numPr>
          <w:ilvl w:val="0"/>
          <w:numId w:val="183"/>
        </w:numPr>
        <w:shd w:val="clear" w:color="auto" w:fill="auto"/>
        <w:tabs>
          <w:tab w:pos="260" w:val="left"/>
        </w:tabs>
        <w:bidi w:val="0"/>
        <w:spacing w:before="0" w:after="0" w:line="254" w:lineRule="auto"/>
        <w:ind w:left="0" w:right="0" w:firstLine="0"/>
        <w:jc w:val="both"/>
      </w:pPr>
      <w:r>
        <mc:AlternateContent>
          <mc:Choice Requires="wps">
            <w:drawing>
              <wp:anchor distT="50800" distB="254000" distL="114300" distR="114300" simplePos="0" relativeHeight="125829395" behindDoc="0" locked="0" layoutInCell="1" allowOverlap="1">
                <wp:simplePos x="0" y="0"/>
                <wp:positionH relativeFrom="page">
                  <wp:posOffset>159385</wp:posOffset>
                </wp:positionH>
                <wp:positionV relativeFrom="margin">
                  <wp:posOffset>6184265</wp:posOffset>
                </wp:positionV>
                <wp:extent cx="176530" cy="100330"/>
                <wp:wrapTopAndBottom/>
                <wp:docPr id="1187" name="Shape 1187"/>
                <a:graphic xmlns:a="http://schemas.openxmlformats.org/drawingml/2006/main">
                  <a:graphicData uri="http://schemas.microsoft.com/office/word/2010/wordprocessingShape">
                    <wps:wsp>
                      <wps:cNvSpPr txBox="1"/>
                      <wps:spPr>
                        <a:xfrm>
                          <a:ext cx="176530" cy="100330"/>
                        </a:xfrm>
                        <a:prstGeom prst="rect"/>
                        <a:noFill/>
                      </wps:spPr>
                      <wps:txbx>
                        <w:txbxContent>
                          <w:p>
                            <w:pPr>
                              <w:pStyle w:val="Style7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1«S</w:t>
                            </w:r>
                          </w:p>
                        </w:txbxContent>
                      </wps:txbx>
                      <wps:bodyPr wrap="none" lIns="0" tIns="0" rIns="0" bIns="0">
                        <a:noAutoFit/>
                      </wps:bodyPr>
                    </wps:wsp>
                  </a:graphicData>
                </a:graphic>
              </wp:anchor>
            </w:drawing>
          </mc:Choice>
          <mc:Fallback>
            <w:pict>
              <v:shape id="_x0000_s2213" type="#_x0000_t202" style="position:absolute;margin-left:12.550000000000001pt;margin-top:486.94999999999999pt;width:13.9pt;height:7.9000000000000004pt;z-index:-125829358;mso-wrap-distance-left:9.pt;mso-wrap-distance-top:4.pt;mso-wrap-distance-right:9.pt;mso-wrap-distance-bottom:20.pt;mso-position-horizontal-relative:page;mso-position-vertical-relative:margin" filled="f" stroked="f">
                <v:textbox inset="0,0,0,0">
                  <w:txbxContent>
                    <w:p>
                      <w:pPr>
                        <w:pStyle w:val="Style7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1«S</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K. je u Kuranu jedino predmet proročke po</w:t>
        <w:softHyphen/>
        <w:t>vijesti. Interpretacija te povijesti svakako nije jedinstvena. Dok je stariji komentatori Kura</w:t>
        <w:softHyphen/>
        <w:t>na uzimaju kao posredovanje sigurnih činje</w:t>
        <w:softHyphen/>
        <w:t xml:space="preserve">nica, neki joj noviji egzegeti </w:t>
      </w:r>
      <w:r>
        <w:rPr>
          <w:rFonts w:ascii="Times New Roman" w:eastAsia="Times New Roman" w:hAnsi="Times New Roman" w:cs="Times New Roman"/>
          <w:color w:val="000000"/>
          <w:spacing w:val="0"/>
          <w:w w:val="100"/>
          <w:position w:val="0"/>
          <w:shd w:val="clear" w:color="auto" w:fill="auto"/>
          <w:lang w:val="en-US" w:eastAsia="en-US" w:bidi="en-US"/>
        </w:rPr>
        <w:t xml:space="preserve">(‘Abdarraziq, </w:t>
      </w:r>
      <w:r>
        <w:rPr>
          <w:rFonts w:ascii="Times New Roman" w:eastAsia="Times New Roman" w:hAnsi="Times New Roman" w:cs="Times New Roman"/>
          <w:color w:val="000000"/>
          <w:spacing w:val="0"/>
          <w:w w:val="100"/>
          <w:position w:val="0"/>
          <w:shd w:val="clear" w:color="auto" w:fill="auto"/>
          <w:lang w:val="hr-HR" w:eastAsia="hr-HR" w:bidi="hr-HR"/>
        </w:rPr>
        <w:t>Dozo, Korkut i dr.) pripisuju pomoćnu pe- dagoško-literarnu ulogu. Oni se pritom pozi</w:t>
        <w:softHyphen/>
      </w:r>
      <w:r>
        <w:rPr>
          <w:rFonts w:ascii="Times New Roman" w:eastAsia="Times New Roman" w:hAnsi="Times New Roman" w:cs="Times New Roman"/>
          <w:color w:val="000000"/>
          <w:spacing w:val="0"/>
          <w:w w:val="100"/>
          <w:position w:val="0"/>
          <w:shd w:val="clear" w:color="auto" w:fill="auto"/>
          <w:lang w:val="hr-HR" w:eastAsia="hr-HR" w:bidi="hr-HR"/>
        </w:rPr>
        <w:t>vaju na to da sam Kuran ističe parenetsko- literarnu i estetsku usmjerenost jednoga dijela svojih proročkih pripovijesti. Kuran posjeduje vlastite verzije za neke biblijske događaje. Nji</w:t>
        <w:softHyphen/>
        <w:t>hovo postojanje govori u prilog tomu da Mu</w:t>
        <w:softHyphen/>
        <w:t>hamedu uopće nije bilo stalo do toga da u teološkoj maniri raspravlja sa sadržajem pro</w:t>
        <w:softHyphen/>
        <w:t>ročkih pripovijesti. Islam nije, kao recimo ži</w:t>
        <w:softHyphen/>
        <w:t>dovstvo, proistekao iz nekog saveza s Bogom.</w:t>
      </w:r>
      <w:r>
        <w:rPr>
          <w:rFonts w:ascii="Times New Roman" w:eastAsia="Times New Roman" w:hAnsi="Times New Roman" w:cs="Times New Roman"/>
          <w:color w:val="000000"/>
          <w:spacing w:val="0"/>
          <w:w w:val="100"/>
          <w:position w:val="0"/>
          <w:shd w:val="clear" w:color="auto" w:fill="auto"/>
          <w:vertAlign w:val="superscript"/>
          <w:lang w:val="hr-HR" w:eastAsia="hr-HR" w:bidi="hr-HR"/>
        </w:rPr>
        <w:t xml:space="preserve">1 </w:t>
      </w:r>
      <w:r>
        <w:rPr>
          <w:rFonts w:ascii="Times New Roman" w:eastAsia="Times New Roman" w:hAnsi="Times New Roman" w:cs="Times New Roman"/>
          <w:color w:val="000000"/>
          <w:spacing w:val="0"/>
          <w:w w:val="100"/>
          <w:position w:val="0"/>
          <w:shd w:val="clear" w:color="auto" w:fill="auto"/>
          <w:lang w:val="hr-HR" w:eastAsia="hr-HR" w:bidi="hr-HR"/>
        </w:rPr>
        <w:t xml:space="preserve">Njemu je nepoznata i bliskost u međusobnom povijesnom odnosu između Boga i čovjeka. Stoga u građevini islamskoga nauka proročke pripovijesti dolaze tek na drugom ili trećem mjestu. Vrlo je oštra crta koja ih razdvaja od sfere vjere </w:t>
      </w:r>
      <w:r>
        <w:rPr>
          <w:rFonts w:ascii="Times New Roman" w:eastAsia="Times New Roman" w:hAnsi="Times New Roman" w:cs="Times New Roman"/>
          <w:color w:val="000000"/>
          <w:spacing w:val="0"/>
          <w:w w:val="100"/>
          <w:position w:val="0"/>
          <w:shd w:val="clear" w:color="auto" w:fill="auto"/>
          <w:lang w:val="en-US" w:eastAsia="en-US" w:bidi="en-US"/>
        </w:rPr>
        <w:t xml:space="preserve">(‘aqa’id, i’tiqadat). </w:t>
      </w:r>
      <w:r>
        <w:rPr>
          <w:rFonts w:ascii="Times New Roman" w:eastAsia="Times New Roman" w:hAnsi="Times New Roman" w:cs="Times New Roman"/>
          <w:color w:val="000000"/>
          <w:spacing w:val="0"/>
          <w:w w:val="100"/>
          <w:position w:val="0"/>
          <w:shd w:val="clear" w:color="auto" w:fill="auto"/>
          <w:lang w:val="hr-HR" w:eastAsia="hr-HR" w:bidi="hr-HR"/>
        </w:rPr>
        <w:t>U stvari, te se pripovijesti višestruko doživljavaju kao legen</w:t>
        <w:softHyphen/>
        <w:t>de. One u stvarnoj vjeri nemaju nikakvu ne</w:t>
        <w:softHyphen/>
        <w:t>posrednu funkciju.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je također razlog što se islamski pismo- znanci nikada nisu ozbiljno bavili kristologi- jom. Ono što su o Isusu u svojim djelima rekli at-Tabari (u. 923), Ibn an-Nadim (u. 995 ili 998), aš-Šahrastanl (u. 1153) i drugi polihis</w:t>
        <w:softHyphen/>
        <w:t>tori i religiolozi, to su sumarne informacije koje se u potpunosti mogu izuzeti. Kršćanski misionari i pojedinačni misionari uglavnom su ti koji su sami ili izvorno teolozi ili su bliski onim teolozima koji preuveličavaju kuransku sliku Isusa. Na to ih je naveo način proma</w:t>
        <w:softHyphen/>
        <w:t>tranja Isusova slučaja koji su preuzeli iz krš</w:t>
        <w:softHyphen/>
        <w:t xml:space="preserve">ćanske tradicije. Nije čudo što su u takvim okolnostima došli do pogrešnih zaključaka i ocjena. Tako jedan finski istraživač Novoga zavjeta, </w:t>
      </w:r>
      <w:r>
        <w:rPr>
          <w:rFonts w:ascii="Times New Roman" w:eastAsia="Times New Roman" w:hAnsi="Times New Roman" w:cs="Times New Roman"/>
          <w:color w:val="000000"/>
          <w:spacing w:val="0"/>
          <w:w w:val="100"/>
          <w:position w:val="0"/>
          <w:shd w:val="clear" w:color="auto" w:fill="auto"/>
          <w:lang w:val="en-US" w:eastAsia="en-US" w:bidi="en-US"/>
        </w:rPr>
        <w:t xml:space="preserve">Heikki </w:t>
      </w:r>
      <w:r>
        <w:rPr>
          <w:rFonts w:ascii="Times New Roman" w:eastAsia="Times New Roman" w:hAnsi="Times New Roman" w:cs="Times New Roman"/>
          <w:color w:val="000000"/>
          <w:spacing w:val="0"/>
          <w:w w:val="100"/>
          <w:position w:val="0"/>
          <w:shd w:val="clear" w:color="auto" w:fill="auto"/>
          <w:lang w:val="hr-HR" w:eastAsia="hr-HR" w:bidi="hr-HR"/>
        </w:rPr>
        <w:t>Raisanen, koji je napisao za</w:t>
        <w:softHyphen/>
        <w:t>paženu studiju o slici Isusa u islamu, smatra da bi se »Muhamedova krajnje tcoccntrična teologija (1), koja ga je navela na opovrgava- nje Isusova obogotvorenja«, mogla naposljet</w:t>
        <w:softHyphen/>
        <w:t>ku pokazati kao krajnje »egocentrična«. Da su Muhamedova vlastita iskustva bila mjerilo kojim je on mjerio prošlost. Da su ona rele</w:t>
        <w:softHyphen/>
        <w:t>vantna za sadašnjost. On smatra da »se u tom kontekstu mora promatrati i kuranska slika Isusa«. Slika Isusa dobivena na temelju speci</w:t>
        <w:softHyphen/>
        <w:t>fičnih mjesta u Kuranu mora izolirano proma</w:t>
        <w:softHyphen/>
        <w:t>trana ispasti manjkava. Jer u kontekstu s dru</w:t>
        <w:softHyphen/>
        <w:t>gim proročkim povijestima pokazuje se da šve posebne crte, koje Kuran pripisuje Isusu, ima</w:t>
        <w:softHyphen/>
        <w:t xml:space="preserve">ju odgovarajuće crte ili paralele kod njegovih proročkih prethodnika. Tako je Adam stvoren sličnim stvaralačkim činom kao i Isus (3,59). Mojsije oživljava mrtve i tomu si. Nasuprot </w:t>
      </w:r>
      <w:r>
        <w:rPr>
          <w:rFonts w:ascii="Times New Roman" w:eastAsia="Times New Roman" w:hAnsi="Times New Roman" w:cs="Times New Roman"/>
          <w:color w:val="000000"/>
          <w:spacing w:val="0"/>
          <w:w w:val="100"/>
          <w:position w:val="0"/>
          <w:shd w:val="clear" w:color="auto" w:fill="auto"/>
          <w:lang w:val="hr-HR" w:eastAsia="hr-HR" w:bidi="hr-HR"/>
        </w:rPr>
        <w:t>tomu, usporedba s Muhamedom pokazuje oštru suprotnost spram tako prikazane prošlosti. Muhamed osobno nije držao puno do čuda.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Izmamljeni iz svoje rezerviranosti prema pro</w:t>
        <w:softHyphen/>
        <w:t>blemu Isusa, mnogi su se muslimanski uče</w:t>
        <w:softHyphen/>
        <w:t>njaci prihvatili pera. Medu njima bio je i gla</w:t>
        <w:softHyphen/>
        <w:t xml:space="preserve">soviti </w:t>
      </w:r>
      <w:r>
        <w:rPr>
          <w:rFonts w:ascii="Times New Roman" w:eastAsia="Times New Roman" w:hAnsi="Times New Roman" w:cs="Times New Roman"/>
          <w:i/>
          <w:iCs/>
          <w:color w:val="000000"/>
          <w:spacing w:val="0"/>
          <w:w w:val="100"/>
          <w:position w:val="0"/>
          <w:shd w:val="clear" w:color="auto" w:fill="auto"/>
          <w:lang w:val="hr-HR" w:eastAsia="hr-HR" w:bidi="hr-HR"/>
        </w:rPr>
        <w:t>al-Gazali</w:t>
      </w:r>
      <w:r>
        <w:rPr>
          <w:rFonts w:ascii="Times New Roman" w:eastAsia="Times New Roman" w:hAnsi="Times New Roman" w:cs="Times New Roman"/>
          <w:color w:val="000000"/>
          <w:spacing w:val="0"/>
          <w:w w:val="100"/>
          <w:position w:val="0"/>
          <w:shd w:val="clear" w:color="auto" w:fill="auto"/>
          <w:lang w:val="hr-HR" w:eastAsia="hr-HR" w:bidi="hr-HR"/>
        </w:rPr>
        <w:t xml:space="preserve"> (u. 1111) koji je napisao jedan spis protiv Isusove božanstvenosti. (U novije se vrijeme svakako jako sumnja u autentičnost tog djela.) Tako je i u arapskoj, turskoj, per</w:t>
        <w:softHyphen/>
        <w:t>zijskoj i urdu-literaturi nastao niz drugih spisa polemičke vrste.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Ovdje navodimo nekoliko izvadaka iz Kurana koji bacaju svjetlo na Isusa: »Ja se utječem Milostivijem od tebe«, govorila je Marija gle</w:t>
        <w:softHyphen/>
        <w:t>dajući anđela koji joj je trebao navijestiti ro</w:t>
        <w:softHyphen/>
        <w:t>đenje sina. »Ja sam samo poslanik tvoga Gos</w:t>
        <w:softHyphen/>
        <w:t>podara«, rekao je anđeo, »došao po nalogu da ti poklonim čistoga dječaka«. - »Odakle da ja imadem dječaka«, uzvratila je ona, »a nijedan čovjek me nije dotaknuo niti sam nepošte</w:t>
        <w:softHyphen/>
        <w:t>na?« - »Tako je zapovjedio tvoj Gospodar«, reče joj. »To je malenkost. I da ga mi učinimo znakom svijeta i milošću od Nas. I to je stvar svršena.« Ona je tada zatrudnjela i povukla se, sa djetetom pod srcem, na jedno udaljeno mjesto. Porođajne muke dovele su je do žile jedne hurme. »Rekla je: ‘Kamo sreće da sam umrla prije ovoga i da sam potpuno zaborav</w:t>
        <w:softHyphen/>
        <w:t>ljena!’« (19,17-22).</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Isusovu slučaju Abu Zehra (Abu Zahra, u. 1974), jedan od rijetkih islamskih kristologa, to mjesto komentira tako da se tu očituje Božja neposredna stvaralačka volja. Da je on bio znamen božanske prisutnosti za one koji su se navikli promatrati svijet u uobičajenome poretku, u kojemu jedan određeni uzrok uvi</w:t>
        <w:softHyphen/>
        <w:t>jek za sobom povlači jedan određeni učinak. Ovdje učinak prestaje bez određenog uzroka.</w:t>
      </w:r>
      <w:r>
        <w:rPr>
          <w:rFonts w:ascii="Times New Roman" w:eastAsia="Times New Roman" w:hAnsi="Times New Roman" w:cs="Times New Roman"/>
          <w:color w:val="000000"/>
          <w:spacing w:val="0"/>
          <w:w w:val="100"/>
          <w:position w:val="0"/>
          <w:shd w:val="clear" w:color="auto" w:fill="auto"/>
          <w:vertAlign w:val="superscript"/>
          <w:lang w:val="hr-HR" w:eastAsia="hr-HR" w:bidi="hr-HR"/>
        </w:rPr>
        <w:t xml:space="preserve">2 </w:t>
      </w:r>
      <w:r>
        <w:rPr>
          <w:rFonts w:ascii="Times New Roman" w:eastAsia="Times New Roman" w:hAnsi="Times New Roman" w:cs="Times New Roman"/>
          <w:color w:val="000000"/>
          <w:spacing w:val="0"/>
          <w:w w:val="100"/>
          <w:position w:val="0"/>
          <w:shd w:val="clear" w:color="auto" w:fill="auto"/>
          <w:lang w:val="hr-HR" w:eastAsia="hr-HR" w:bidi="hr-HR"/>
        </w:rPr>
        <w:t xml:space="preserve">Drugo, smatra </w:t>
      </w:r>
      <w:r>
        <w:rPr>
          <w:rFonts w:ascii="Times New Roman" w:eastAsia="Times New Roman" w:hAnsi="Times New Roman" w:cs="Times New Roman"/>
          <w:i/>
          <w:iCs/>
          <w:color w:val="000000"/>
          <w:spacing w:val="0"/>
          <w:w w:val="100"/>
          <w:position w:val="0"/>
          <w:shd w:val="clear" w:color="auto" w:fill="auto"/>
          <w:lang w:val="hr-HR" w:eastAsia="hr-HR" w:bidi="hr-HR"/>
        </w:rPr>
        <w:t>Abu Zehra,</w:t>
      </w:r>
      <w:r>
        <w:rPr>
          <w:rFonts w:ascii="Times New Roman" w:eastAsia="Times New Roman" w:hAnsi="Times New Roman" w:cs="Times New Roman"/>
          <w:color w:val="000000"/>
          <w:spacing w:val="0"/>
          <w:w w:val="100"/>
          <w:position w:val="0"/>
          <w:shd w:val="clear" w:color="auto" w:fill="auto"/>
          <w:lang w:val="hr-HR" w:eastAsia="hr-HR" w:bidi="hr-HR"/>
        </w:rPr>
        <w:t xml:space="preserve"> da je Isusovo ro</w:t>
        <w:softHyphen/>
        <w:t>đenje bilo otvaranje svijeta duha za ljude koji ga poriču. Taj smisao potvrđuju i druga mjes</w:t>
        <w:softHyphen/>
        <w:t xml:space="preserve">ta u Kuranu, pa tako recimo i mjesto: »I </w:t>
      </w:r>
      <w:r>
        <w:rPr>
          <w:rFonts w:ascii="Times New Roman" w:eastAsia="Times New Roman" w:hAnsi="Times New Roman" w:cs="Times New Roman"/>
          <w:i/>
          <w:iCs/>
          <w:color w:val="000000"/>
          <w:spacing w:val="0"/>
          <w:w w:val="100"/>
          <w:position w:val="0"/>
          <w:shd w:val="clear" w:color="auto" w:fill="auto"/>
          <w:lang w:val="hr-HR" w:eastAsia="hr-HR" w:bidi="hr-HR"/>
        </w:rPr>
        <w:t>(spo</w:t>
        <w:softHyphen/>
        <w:t>meni)</w:t>
      </w:r>
      <w:r>
        <w:rPr>
          <w:rFonts w:ascii="Times New Roman" w:eastAsia="Times New Roman" w:hAnsi="Times New Roman" w:cs="Times New Roman"/>
          <w:color w:val="000000"/>
          <w:spacing w:val="0"/>
          <w:w w:val="100"/>
          <w:position w:val="0"/>
          <w:shd w:val="clear" w:color="auto" w:fill="auto"/>
          <w:lang w:val="hr-HR" w:eastAsia="hr-HR" w:bidi="hr-HR"/>
        </w:rPr>
        <w:t xml:space="preserve"> onu koja je sačuvala svoju nevinost </w:t>
      </w:r>
      <w:r>
        <w:rPr>
          <w:rFonts w:ascii="Times New Roman" w:eastAsia="Times New Roman" w:hAnsi="Times New Roman" w:cs="Times New Roman"/>
          <w:i/>
          <w:iCs/>
          <w:color w:val="000000"/>
          <w:spacing w:val="0"/>
          <w:w w:val="100"/>
          <w:position w:val="0"/>
          <w:shd w:val="clear" w:color="auto" w:fill="auto"/>
          <w:lang w:val="hr-HR" w:eastAsia="hr-HR" w:bidi="hr-HR"/>
        </w:rPr>
        <w:t>(od bluda)</w:t>
      </w:r>
      <w:r>
        <w:rPr>
          <w:rFonts w:ascii="Times New Roman" w:eastAsia="Times New Roman" w:hAnsi="Times New Roman" w:cs="Times New Roman"/>
          <w:color w:val="000000"/>
          <w:spacing w:val="0"/>
          <w:w w:val="100"/>
          <w:position w:val="0"/>
          <w:shd w:val="clear" w:color="auto" w:fill="auto"/>
          <w:lang w:val="hr-HR" w:eastAsia="hr-HR" w:bidi="hr-HR"/>
        </w:rPr>
        <w:t xml:space="preserve"> pa smo joj Mi udahnuli od Našega du</w:t>
        <w:softHyphen/>
        <w:t xml:space="preserve">ha, pa smo učinili nju </w:t>
      </w:r>
      <w:r>
        <w:rPr>
          <w:rFonts w:ascii="Times New Roman" w:eastAsia="Times New Roman" w:hAnsi="Times New Roman" w:cs="Times New Roman"/>
          <w:i/>
          <w:iCs/>
          <w:color w:val="000000"/>
          <w:spacing w:val="0"/>
          <w:w w:val="100"/>
          <w:position w:val="0"/>
          <w:shd w:val="clear" w:color="auto" w:fill="auto"/>
          <w:lang w:val="hr-HR" w:eastAsia="hr-HR" w:bidi="hr-HR"/>
        </w:rPr>
        <w:t>(Mariju)</w:t>
      </w:r>
      <w:r>
        <w:rPr>
          <w:rFonts w:ascii="Times New Roman" w:eastAsia="Times New Roman" w:hAnsi="Times New Roman" w:cs="Times New Roman"/>
          <w:color w:val="000000"/>
          <w:spacing w:val="0"/>
          <w:w w:val="100"/>
          <w:position w:val="0"/>
          <w:shd w:val="clear" w:color="auto" w:fill="auto"/>
          <w:lang w:val="hr-HR" w:eastAsia="hr-HR" w:bidi="hr-HR"/>
        </w:rPr>
        <w:t xml:space="preserve"> i njena sina </w:t>
      </w:r>
      <w:r>
        <w:rPr>
          <w:rFonts w:ascii="Times New Roman" w:eastAsia="Times New Roman" w:hAnsi="Times New Roman" w:cs="Times New Roman"/>
          <w:i/>
          <w:iCs/>
          <w:color w:val="000000"/>
          <w:spacing w:val="0"/>
          <w:w w:val="100"/>
          <w:position w:val="0"/>
          <w:shd w:val="clear" w:color="auto" w:fill="auto"/>
          <w:lang w:val="hr-HR" w:eastAsia="hr-HR" w:bidi="hr-HR"/>
        </w:rPr>
        <w:t>(Isusa)</w:t>
      </w:r>
      <w:r>
        <w:rPr>
          <w:rFonts w:ascii="Times New Roman" w:eastAsia="Times New Roman" w:hAnsi="Times New Roman" w:cs="Times New Roman"/>
          <w:color w:val="000000"/>
          <w:spacing w:val="0"/>
          <w:w w:val="100"/>
          <w:position w:val="0"/>
          <w:shd w:val="clear" w:color="auto" w:fill="auto"/>
          <w:lang w:val="hr-HR" w:eastAsia="hr-HR" w:bidi="hr-HR"/>
        </w:rPr>
        <w:t xml:space="preserve"> znakom svjetovima« (21,91).</w:t>
      </w:r>
    </w:p>
    <w:p>
      <w:pPr>
        <w:pStyle w:val="Style20"/>
        <w:keepNext w:val="0"/>
        <w:keepLines w:val="0"/>
        <w:widowControl w:val="0"/>
        <w:shd w:val="clear" w:color="auto" w:fill="auto"/>
        <w:bidi w:val="0"/>
        <w:spacing w:before="0" w:after="60" w:line="240" w:lineRule="auto"/>
        <w:ind w:left="0" w:right="0" w:firstLine="0"/>
        <w:jc w:val="both"/>
        <w:sectPr>
          <w:headerReference w:type="default" r:id="rId555"/>
          <w:footerReference w:type="default" r:id="rId556"/>
          <w:headerReference w:type="even" r:id="rId557"/>
          <w:footerReference w:type="even" r:id="rId558"/>
          <w:footnotePr>
            <w:pos w:val="pageBottom"/>
            <w:numFmt w:val="decimal"/>
            <w:numStart w:val="5"/>
            <w:numRestart w:val="continuous"/>
            <w15:footnoteColumns w:val="1"/>
          </w:footnotePr>
          <w:pgSz w:w="6816" w:h="11006"/>
          <w:pgMar w:top="987" w:left="169" w:right="172" w:bottom="443" w:header="0" w:footer="3" w:gutter="0"/>
          <w:pgNumType w:start="191"/>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svrhu opovrgavanja Isusove božanstvenosti Kuran pripovijeda sljedeću zgodu: »O Isuse, sine Marijin, jesi li ti rekao ljudima: ‘Uzmite mene i moju majku kao dva boga mimo Bo</w:t>
        <w:softHyphen/>
        <w:t xml:space="preserve">ga’? - ‘Bože sačuvaj’, uzvratio je, ‘kako bih </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imao pravo kazati nešto što nije pravo?’« (5,119), Na temelju iscrpne analize odgovara</w:t>
        <w:softHyphen/>
        <w:t xml:space="preserve">jućih kuranskih iskaza </w:t>
      </w:r>
      <w:r>
        <w:rPr>
          <w:rFonts w:ascii="Times New Roman" w:eastAsia="Times New Roman" w:hAnsi="Times New Roman" w:cs="Times New Roman"/>
          <w:color w:val="000000"/>
          <w:spacing w:val="0"/>
          <w:w w:val="100"/>
          <w:position w:val="0"/>
          <w:shd w:val="clear" w:color="auto" w:fill="auto"/>
          <w:lang w:val="en-US" w:eastAsia="en-US" w:bidi="en-US"/>
        </w:rPr>
        <w:t xml:space="preserve">RiySd </w:t>
      </w:r>
      <w:r>
        <w:rPr>
          <w:rFonts w:ascii="Times New Roman" w:eastAsia="Times New Roman" w:hAnsi="Times New Roman" w:cs="Times New Roman"/>
          <w:color w:val="000000"/>
          <w:spacing w:val="0"/>
          <w:w w:val="100"/>
          <w:position w:val="0"/>
          <w:shd w:val="clear" w:color="auto" w:fill="auto"/>
          <w:lang w:val="hr-HR" w:eastAsia="hr-HR" w:bidi="hr-HR"/>
        </w:rPr>
        <w:t>ad-Durubiyya dolazi do zaključka da islam ne priznaje Isusa ni kao Boga niti kao Sina Božjega. On mu jedino priznaje misiju navjestitelja spasenja Izraela (poslanika Božjega) kojemu je bila da</w:t>
        <w:softHyphen/>
        <w:t>na vlastita Knjiga, naime evanđelje.</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 xml:space="preserve"> Ospore</w:t>
        <w:softHyphen/>
        <w:t>na je kuranska oznaka za Isusa al-Mesih (po- mazanik, mesija). Pod utjecajem židovske i kršćanske tradicije pod tim se uglavnom pod</w:t>
        <w:softHyphen/>
        <w:t xml:space="preserve">razumijevao »mesija zadnjih dana«. Pojam dolazećega </w:t>
      </w:r>
      <w:r>
        <w:rPr>
          <w:rFonts w:ascii="Times New Roman" w:eastAsia="Times New Roman" w:hAnsi="Times New Roman" w:cs="Times New Roman"/>
          <w:i/>
          <w:iCs/>
          <w:color w:val="000000"/>
          <w:spacing w:val="0"/>
          <w:w w:val="100"/>
          <w:position w:val="0"/>
          <w:shd w:val="clear" w:color="auto" w:fill="auto"/>
          <w:lang w:val="hr-HR" w:eastAsia="hr-HR" w:bidi="hr-HR"/>
        </w:rPr>
        <w:t>mahdija,</w:t>
      </w:r>
      <w:r>
        <w:rPr>
          <w:rFonts w:ascii="Times New Roman" w:eastAsia="Times New Roman" w:hAnsi="Times New Roman" w:cs="Times New Roman"/>
          <w:color w:val="000000"/>
          <w:spacing w:val="0"/>
          <w:w w:val="100"/>
          <w:position w:val="0"/>
          <w:shd w:val="clear" w:color="auto" w:fill="auto"/>
          <w:lang w:val="hr-HR" w:eastAsia="hr-HR" w:bidi="hr-HR"/>
        </w:rPr>
        <w:t xml:space="preserve"> spasitelja islamskoga svi</w:t>
        <w:softHyphen/>
        <w:t>jeta, usko je povezan, zapravo identičan s tim nazivom. Među islamskim pukom još uvijek živi predodžba da će sc Isus (*Is3) pojaviti prije propasti svijeta i privesti svijet islamu.</w:t>
      </w:r>
      <w:r>
        <w:rPr>
          <w:rFonts w:ascii="Times New Roman" w:eastAsia="Times New Roman" w:hAnsi="Times New Roman" w:cs="Times New Roman"/>
          <w:color w:val="000000"/>
          <w:spacing w:val="0"/>
          <w:w w:val="100"/>
          <w:position w:val="0"/>
          <w:shd w:val="clear" w:color="auto" w:fill="auto"/>
          <w:vertAlign w:val="superscript"/>
          <w:lang w:val="hr-HR" w:eastAsia="hr-HR" w:bidi="hr-HR"/>
        </w:rPr>
        <w:t xml:space="preserve">4 </w:t>
      </w:r>
      <w:r>
        <w:rPr>
          <w:rFonts w:ascii="Times New Roman" w:eastAsia="Times New Roman" w:hAnsi="Times New Roman" w:cs="Times New Roman"/>
          <w:color w:val="000000"/>
          <w:spacing w:val="0"/>
          <w:w w:val="100"/>
          <w:position w:val="0"/>
          <w:shd w:val="clear" w:color="auto" w:fill="auto"/>
          <w:lang w:val="hr-HR" w:eastAsia="hr-HR" w:bidi="hr-HR"/>
        </w:rPr>
        <w:t>Na tu zabludu pozornost treba svratiti svim kristologijama koje prekomjerno vrednuju sli</w:t>
        <w:softHyphen/>
        <w:t>ku Isusa u Kuranu. Nasuprot tomu, pomodna teologija koja se odvaja od Boga objave stvara jaz koji bi mogao učiniti nemogućim islam- sko-kršćanski razgovor. Samo povratak prvo</w:t>
        <w:softHyphen/>
        <w:t>bitnom zajedničkom izvoru, vjera u Boga i za</w:t>
        <w:softHyphen/>
        <w:t>jedničko postavljanje etičko-socijalnih i religi</w:t>
        <w:softHyphen/>
        <w:t>oznih ciljeva jamče smisleni razgovor i plodnu suradnju.</w:t>
      </w:r>
      <w:r>
        <w:rPr>
          <w:rFonts w:ascii="Times New Roman" w:eastAsia="Times New Roman" w:hAnsi="Times New Roman" w:cs="Times New Roman"/>
          <w:color w:val="000000"/>
          <w:spacing w:val="0"/>
          <w:w w:val="100"/>
          <w:position w:val="0"/>
          <w:shd w:val="clear" w:color="auto" w:fill="auto"/>
          <w:vertAlign w:val="superscript"/>
          <w:lang w:val="hr-HR" w:eastAsia="hr-HR" w:bidi="hr-HR"/>
        </w:rPr>
        <w:t>5</w:t>
      </w:r>
    </w:p>
    <w:p>
      <w:pPr>
        <w:pStyle w:val="Style56"/>
        <w:keepNext w:val="0"/>
        <w:keepLines w:val="0"/>
        <w:widowControl w:val="0"/>
        <w:shd w:val="clear" w:color="auto" w:fill="auto"/>
        <w:tabs>
          <w:tab w:pos="2587" w:val="left"/>
        </w:tabs>
        <w:bidi w:val="0"/>
        <w:spacing w:before="0" w:after="260" w:line="240" w:lineRule="auto"/>
        <w:ind w:left="0" w:right="0" w:firstLine="0"/>
        <w:jc w:val="both"/>
      </w:pPr>
      <w:r>
        <w:rPr>
          <w:i/>
          <w:iCs/>
          <w:color w:val="000000"/>
          <w:spacing w:val="0"/>
          <w:w w:val="100"/>
          <w:position w:val="0"/>
          <w:shd w:val="clear" w:color="auto" w:fill="auto"/>
          <w:lang w:val="hr-HR" w:eastAsia="hr-HR" w:bidi="hr-HR"/>
        </w:rPr>
        <w:t>,\'ap.:</w:t>
      </w:r>
      <w:r>
        <w:rPr>
          <w:color w:val="000000"/>
          <w:spacing w:val="0"/>
          <w:w w:val="100"/>
          <w:position w:val="0"/>
          <w:shd w:val="clear" w:color="auto" w:fill="auto"/>
          <w:lang w:val="hr-HR" w:eastAsia="hr-HR" w:bidi="hr-HR"/>
        </w:rPr>
        <w:t xml:space="preserve"> ’O starijem shvaćanju ovoga pitanja v. M Slctnschnci- dcr. </w:t>
      </w:r>
      <w:r>
        <w:rPr>
          <w:i/>
          <w:iCs/>
          <w:color w:val="000000"/>
          <w:spacing w:val="0"/>
          <w:w w:val="100"/>
          <w:position w:val="0"/>
          <w:shd w:val="clear" w:color="auto" w:fill="auto"/>
          <w:lang w:val="hr-HR" w:eastAsia="hr-HR" w:bidi="hr-HR"/>
        </w:rPr>
        <w:t xml:space="preserve">Polemische und apologelisehe fateralur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arabischer </w:t>
      </w:r>
      <w:r>
        <w:rPr>
          <w:i/>
          <w:iCs/>
          <w:color w:val="000000"/>
          <w:spacing w:val="0"/>
          <w:w w:val="100"/>
          <w:position w:val="0"/>
          <w:shd w:val="clear" w:color="auto" w:fill="auto"/>
        </w:rPr>
        <w:t xml:space="preserve">Spraehe zwischen </w:t>
      </w:r>
      <w:r>
        <w:rPr>
          <w:i/>
          <w:iCs/>
          <w:color w:val="000000"/>
          <w:spacing w:val="0"/>
          <w:w w:val="100"/>
          <w:position w:val="0"/>
          <w:shd w:val="clear" w:color="auto" w:fill="auto"/>
          <w:lang w:val="hr-HR" w:eastAsia="hr-HR" w:bidi="hr-HR"/>
        </w:rPr>
        <w:t xml:space="preserve">Muslimen, </w:t>
      </w:r>
      <w:r>
        <w:rPr>
          <w:i/>
          <w:iCs/>
          <w:color w:val="000000"/>
          <w:spacing w:val="0"/>
          <w:w w:val="100"/>
          <w:position w:val="0"/>
          <w:shd w:val="clear" w:color="auto" w:fill="auto"/>
        </w:rPr>
        <w:t xml:space="preserve">Christen </w:t>
      </w:r>
      <w:r>
        <w:rPr>
          <w:i/>
          <w:iCs/>
          <w:color w:val="000000"/>
          <w:spacing w:val="0"/>
          <w:w w:val="100"/>
          <w:position w:val="0"/>
          <w:shd w:val="clear" w:color="auto" w:fill="auto"/>
          <w:lang w:val="hr-HR" w:eastAsia="hr-HR" w:bidi="hr-HR"/>
        </w:rPr>
        <w:t>und Juden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(Leipzig </w:t>
      </w:r>
      <w:r>
        <w:rPr>
          <w:color w:val="000000"/>
          <w:spacing w:val="0"/>
          <w:w w:val="100"/>
          <w:position w:val="0"/>
          <w:shd w:val="clear" w:color="auto" w:fill="auto"/>
          <w:lang w:val="hr-HR" w:eastAsia="hr-HR" w:bidi="hr-HR"/>
        </w:rPr>
        <w:t xml:space="preserve">1877). O različitoj literaturi v. natuknicu Pclcra Antcsa, </w:t>
      </w:r>
      <w:r>
        <w:rPr>
          <w:color w:val="000000"/>
          <w:spacing w:val="0"/>
          <w:w w:val="100"/>
          <w:position w:val="0"/>
          <w:shd w:val="clear" w:color="auto" w:fill="auto"/>
        </w:rPr>
        <w:t xml:space="preserve">Das </w:t>
      </w:r>
      <w:r>
        <w:rPr>
          <w:color w:val="000000"/>
          <w:spacing w:val="0"/>
          <w:w w:val="100"/>
          <w:position w:val="0"/>
          <w:shd w:val="clear" w:color="auto" w:fill="auto"/>
          <w:lang w:val="hr-HR" w:eastAsia="hr-HR" w:bidi="hr-HR"/>
        </w:rPr>
        <w:t xml:space="preserve">Vcrhaltnis zu </w:t>
      </w:r>
      <w:r>
        <w:rPr>
          <w:color w:val="000000"/>
          <w:spacing w:val="0"/>
          <w:w w:val="100"/>
          <w:position w:val="0"/>
          <w:shd w:val="clear" w:color="auto" w:fill="auto"/>
        </w:rPr>
        <w:t xml:space="preserve">den </w:t>
      </w:r>
      <w:r>
        <w:rPr>
          <w:color w:val="000000"/>
          <w:spacing w:val="0"/>
          <w:w w:val="100"/>
          <w:position w:val="0"/>
          <w:shd w:val="clear" w:color="auto" w:fill="auto"/>
          <w:lang w:val="hr-HR" w:eastAsia="hr-HR" w:bidi="hr-HR"/>
        </w:rPr>
        <w:t xml:space="preserve">Unglauhigcn </w:t>
      </w:r>
      <w:r>
        <w:rPr>
          <w:color w:val="000000"/>
          <w:spacing w:val="0"/>
          <w:w w:val="100"/>
          <w:position w:val="0"/>
          <w:shd w:val="clear" w:color="auto" w:fill="auto"/>
        </w:rPr>
        <w:t xml:space="preserve">in </w:t>
      </w:r>
      <w:r>
        <w:rPr>
          <w:color w:val="000000"/>
          <w:spacing w:val="0"/>
          <w:w w:val="100"/>
          <w:position w:val="0"/>
          <w:shd w:val="clear" w:color="auto" w:fill="auto"/>
          <w:lang w:val="hr-HR" w:eastAsia="hr-HR" w:bidi="hr-HR"/>
        </w:rPr>
        <w:t xml:space="preserve">dcr islamischcn llicologic, u: </w:t>
      </w:r>
      <w:r>
        <w:rPr>
          <w:i/>
          <w:iCs/>
          <w:color w:val="000000"/>
          <w:spacing w:val="0"/>
          <w:w w:val="100"/>
          <w:position w:val="0"/>
          <w:shd w:val="clear" w:color="auto" w:fill="auto"/>
        </w:rPr>
        <w:t>Giauben an den einen Gott,</w:t>
      </w:r>
      <w:r>
        <w:rPr>
          <w:color w:val="000000"/>
          <w:spacing w:val="0"/>
          <w:w w:val="100"/>
          <w:position w:val="0"/>
          <w:shd w:val="clear" w:color="auto" w:fill="auto"/>
        </w:rPr>
        <w:t xml:space="preserve"> Freiburg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1975, 117-129. Muhammad Abo Zahra. </w:t>
      </w:r>
      <w:r>
        <w:rPr>
          <w:i/>
          <w:iCs/>
          <w:color w:val="000000"/>
          <w:spacing w:val="0"/>
          <w:w w:val="100"/>
          <w:position w:val="0"/>
          <w:shd w:val="clear" w:color="auto" w:fill="auto"/>
        </w:rPr>
        <w:t xml:space="preserve">Mu had oral fi n-fuiwniyya, </w:t>
      </w:r>
      <w:r>
        <w:rPr>
          <w:color w:val="000000"/>
          <w:spacing w:val="0"/>
          <w:w w:val="100"/>
          <w:position w:val="0"/>
          <w:shd w:val="clear" w:color="auto" w:fill="auto"/>
          <w:lang w:val="hr-HR" w:eastAsia="hr-HR" w:bidi="hr-HR"/>
        </w:rPr>
        <w:t xml:space="preserve">Kairo </w:t>
      </w:r>
      <w:r>
        <w:rPr>
          <w:color w:val="000000"/>
          <w:spacing w:val="0"/>
          <w:w w:val="100"/>
          <w:position w:val="0"/>
          <w:shd w:val="clear" w:color="auto" w:fill="auto"/>
        </w:rPr>
        <w:t xml:space="preserve">1965/6, 16 i d. Abu Zchra jc do </w:t>
      </w:r>
      <w:r>
        <w:rPr>
          <w:color w:val="000000"/>
          <w:spacing w:val="0"/>
          <w:w w:val="100"/>
          <w:position w:val="0"/>
          <w:shd w:val="clear" w:color="auto" w:fill="auto"/>
          <w:lang w:val="hr-HR" w:eastAsia="hr-HR" w:bidi="hr-HR"/>
        </w:rPr>
        <w:t>svoje .smrti bio profe</w:t>
        <w:softHyphen/>
        <w:t xml:space="preserve">sor na sveučilištu AJ-Ashar u Kairu. </w:t>
      </w:r>
      <w:r>
        <w:rPr>
          <w:color w:val="000000"/>
          <w:spacing w:val="0"/>
          <w:w w:val="100"/>
          <w:position w:val="0"/>
          <w:shd w:val="clear" w:color="auto" w:fill="auto"/>
        </w:rPr>
        <w:t xml:space="preserve">’Ibid., </w:t>
      </w:r>
      <w:r>
        <w:rPr>
          <w:color w:val="000000"/>
          <w:spacing w:val="0"/>
          <w:w w:val="100"/>
          <w:position w:val="0"/>
          <w:shd w:val="clear" w:color="auto" w:fill="auto"/>
          <w:lang w:val="hr-HR" w:eastAsia="hr-HR" w:bidi="hr-HR"/>
        </w:rPr>
        <w:t xml:space="preserve">11. IJsp. također Rivad ad-Đurubiyya (E) Đruhi), </w:t>
      </w:r>
      <w:r>
        <w:rPr>
          <w:i/>
          <w:iCs/>
          <w:color w:val="000000"/>
          <w:spacing w:val="0"/>
          <w:w w:val="100"/>
          <w:position w:val="0"/>
          <w:shd w:val="clear" w:color="auto" w:fill="auto"/>
        </w:rPr>
        <w:t>A Muslim View of Jesus and Christianity,</w:t>
      </w:r>
      <w:r>
        <w:rPr>
          <w:color w:val="000000"/>
          <w:spacing w:val="0"/>
          <w:w w:val="100"/>
          <w:position w:val="0"/>
          <w:shd w:val="clear" w:color="auto" w:fill="auto"/>
        </w:rPr>
        <w:t xml:space="preserve"> London 1973,</w:t>
      </w:r>
      <w:r>
        <w:rPr>
          <w:color w:val="000000"/>
          <w:spacing w:val="0"/>
          <w:w w:val="100"/>
          <w:position w:val="0"/>
          <w:shd w:val="clear" w:color="auto" w:fill="auto"/>
          <w:vertAlign w:val="superscript"/>
        </w:rPr>
        <w:t>4</w:t>
      </w:r>
      <w:r>
        <w:rPr>
          <w:color w:val="000000"/>
          <w:spacing w:val="0"/>
          <w:w w:val="100"/>
          <w:position w:val="0"/>
          <w:shd w:val="clear" w:color="auto" w:fill="auto"/>
        </w:rPr>
        <w:t xml:space="preserve">ihid.. 17. 'Huscin </w:t>
      </w:r>
      <w:r>
        <w:rPr>
          <w:color w:val="000000"/>
          <w:spacing w:val="0"/>
          <w:w w:val="100"/>
          <w:position w:val="0"/>
          <w:shd w:val="clear" w:color="auto" w:fill="auto"/>
          <w:lang w:val="hr-HR" w:eastAsia="hr-HR" w:bidi="hr-HR"/>
        </w:rPr>
        <w:t xml:space="preserve">Dozo </w:t>
      </w:r>
      <w:r>
        <w:rPr>
          <w:color w:val="000000"/>
          <w:spacing w:val="0"/>
          <w:w w:val="100"/>
          <w:position w:val="0"/>
          <w:shd w:val="clear" w:color="auto" w:fill="auto"/>
        </w:rPr>
        <w:t xml:space="preserve">u </w:t>
      </w:r>
      <w:r>
        <w:rPr>
          <w:color w:val="000000"/>
          <w:spacing w:val="0"/>
          <w:w w:val="100"/>
          <w:position w:val="0"/>
          <w:shd w:val="clear" w:color="auto" w:fill="auto"/>
          <w:lang w:val="hr-HR" w:eastAsia="hr-HR" w:bidi="hr-HR"/>
        </w:rPr>
        <w:t xml:space="preserve">rubrici »Pitanja i odgovori«, u: </w:t>
      </w:r>
      <w:r>
        <w:rPr>
          <w:i/>
          <w:iCs/>
          <w:color w:val="000000"/>
          <w:spacing w:val="0"/>
          <w:w w:val="100"/>
          <w:position w:val="0"/>
          <w:shd w:val="clear" w:color="auto" w:fill="auto"/>
          <w:lang w:val="hr-HR" w:eastAsia="hr-HR" w:bidi="hr-HR"/>
        </w:rPr>
        <w:t>Glasnik Vrhovnog islamskog starjesinstva</w:t>
      </w:r>
      <w:r>
        <w:rPr>
          <w:color w:val="000000"/>
          <w:spacing w:val="0"/>
          <w:w w:val="100"/>
          <w:position w:val="0"/>
          <w:shd w:val="clear" w:color="auto" w:fill="auto"/>
          <w:lang w:val="hr-HR" w:eastAsia="hr-HR" w:bidi="hr-HR"/>
        </w:rPr>
        <w:t xml:space="preserve"> 37 (Sarajevo 1974), 44.</w:t>
        <w:tab/>
        <w:t>S. BAI.IĆ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IZABRANJE/IZABRANOST</w:t>
      </w:r>
    </w:p>
    <w:p>
      <w:pPr>
        <w:pStyle w:val="Style63"/>
        <w:keepNext/>
        <w:keepLines/>
        <w:widowControl w:val="0"/>
        <w:numPr>
          <w:ilvl w:val="0"/>
          <w:numId w:val="185"/>
        </w:numPr>
        <w:shd w:val="clear" w:color="auto" w:fill="auto"/>
        <w:tabs>
          <w:tab w:pos="246" w:val="left"/>
        </w:tabs>
        <w:bidi w:val="0"/>
        <w:spacing w:before="0" w:line="223" w:lineRule="auto"/>
        <w:ind w:left="0" w:right="0" w:firstLine="0"/>
        <w:jc w:val="both"/>
      </w:pPr>
      <w:bookmarkStart w:id="135" w:name="bookmark135"/>
      <w:r>
        <w:rPr>
          <w:rFonts w:ascii="Times New Roman" w:eastAsia="Times New Roman" w:hAnsi="Times New Roman" w:cs="Times New Roman"/>
          <w:color w:val="000000"/>
          <w:spacing w:val="0"/>
          <w:w w:val="100"/>
          <w:position w:val="0"/>
          <w:shd w:val="clear" w:color="auto" w:fill="auto"/>
          <w:lang w:val="hr-HR" w:eastAsia="hr-HR" w:bidi="hr-HR"/>
        </w:rPr>
        <w:t>židovski</w:t>
      </w:r>
      <w:bookmarkEnd w:id="135"/>
    </w:p>
    <w:p>
      <w:pPr>
        <w:pStyle w:val="Style20"/>
        <w:keepNext w:val="0"/>
        <w:keepLines w:val="0"/>
        <w:widowControl w:val="0"/>
        <w:numPr>
          <w:ilvl w:val="0"/>
          <w:numId w:val="18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»Izabrao si nas među svim narodima i jezi</w:t>
        <w:softHyphen/>
        <w:t>cima«:</w:t>
      </w:r>
      <w:r>
        <w:rPr>
          <w:rFonts w:ascii="Times New Roman" w:eastAsia="Times New Roman" w:hAnsi="Times New Roman" w:cs="Times New Roman"/>
          <w:color w:val="000000"/>
          <w:spacing w:val="0"/>
          <w:w w:val="100"/>
          <w:position w:val="0"/>
          <w:shd w:val="clear" w:color="auto" w:fill="auto"/>
          <w:lang w:val="hr-HR" w:eastAsia="hr-HR" w:bidi="hr-HR"/>
        </w:rPr>
        <w:t xml:space="preserve"> lzraelova samosvijest o njegovu poseb</w:t>
        <w:softHyphen/>
        <w:t>nom određenju jasno je izražena u njegovim molitvama: u jutarnjoj molitvi uz čitanje »Se- ma« (Pnz 6,4-9; 11,13-21; Br 15,37-41) iz Be- rahota odgovaraju molitelji na prednost koju jc Bog dao Izraelu u obliku njegova poziva koji jc cijeli narod i njegove pojedine dijelove povukao za sobom: »Ljubio si nas obiljem lju</w:t>
        <w:softHyphen/>
        <w:t>bavi... Jer Bog koji daje pomoć jesi ti i iza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brao si nas od svih naroda i jezika i približio nas svojemu velikom imenu, </w:t>
      </w:r>
      <w:r>
        <w:rPr>
          <w:rFonts w:ascii="Times New Roman" w:eastAsia="Times New Roman" w:hAnsi="Times New Roman" w:cs="Times New Roman"/>
          <w:i/>
          <w:iCs/>
          <w:color w:val="000000"/>
          <w:spacing w:val="0"/>
          <w:w w:val="100"/>
          <w:position w:val="0"/>
          <w:shd w:val="clear" w:color="auto" w:fill="auto"/>
          <w:lang w:val="hr-HR" w:eastAsia="hr-HR" w:bidi="hr-HR"/>
        </w:rPr>
        <w:t>sela!,</w:t>
      </w:r>
      <w:r>
        <w:rPr>
          <w:rFonts w:ascii="Times New Roman" w:eastAsia="Times New Roman" w:hAnsi="Times New Roman" w:cs="Times New Roman"/>
          <w:color w:val="000000"/>
          <w:spacing w:val="0"/>
          <w:w w:val="100"/>
          <w:position w:val="0"/>
          <w:shd w:val="clear" w:color="auto" w:fill="auto"/>
          <w:lang w:val="hr-HR" w:eastAsia="hr-HR" w:bidi="hr-HR"/>
        </w:rPr>
        <w:t xml:space="preserve"> u istini, ka</w:t>
        <w:softHyphen/>
        <w:t>ko bi tebe slavili i ispovijedali tvoju jedinstve</w:t>
        <w:softHyphen/>
        <w:t>nost u ljubavi.« Iz tih riječi, koje ga podsjećaju na to da je poslanje naroda nošeno uzajam</w:t>
        <w:softHyphen/>
        <w:t>nom ljubavlju Boga i Izraela, pojedinac crpi snagu na početku svakoga dana kako bi bra</w:t>
        <w:softHyphen/>
        <w:t>nio svoj »Čuj, Izraele«, kako bi živio i kako bi patio. Eulogija »tko svoj narod Izrael u ljubavi odabra« pojavljuje se u svojoj srži već u blago</w:t>
        <w:softHyphen/>
        <w:t>slovima velikoga svećenika na Dan pomirenja (j Joma VII, 1,44b). Čini sc daje u svojem te</w:t>
        <w:softHyphen/>
        <w:t>meljnom sastavu star i blagoslov vina na po</w:t>
        <w:softHyphen/>
        <w:t xml:space="preserve">četku šabata i blagdana </w:t>
      </w:r>
      <w:r>
        <w:rPr>
          <w:rFonts w:ascii="Times New Roman" w:eastAsia="Times New Roman" w:hAnsi="Times New Roman" w:cs="Times New Roman"/>
          <w:i/>
          <w:iCs/>
          <w:color w:val="000000"/>
          <w:spacing w:val="0"/>
          <w:w w:val="100"/>
          <w:position w:val="0"/>
          <w:shd w:val="clear" w:color="auto" w:fill="auto"/>
          <w:lang w:val="hr-HR" w:eastAsia="hr-HR" w:bidi="hr-HR"/>
        </w:rPr>
        <w:t>(kiduš);</w:t>
      </w:r>
      <w:r>
        <w:rPr>
          <w:rFonts w:ascii="Times New Roman" w:eastAsia="Times New Roman" w:hAnsi="Times New Roman" w:cs="Times New Roman"/>
          <w:color w:val="000000"/>
          <w:spacing w:val="0"/>
          <w:w w:val="100"/>
          <w:position w:val="0"/>
          <w:shd w:val="clear" w:color="auto" w:fill="auto"/>
          <w:lang w:val="hr-HR" w:eastAsia="hr-HR" w:bidi="hr-HR"/>
        </w:rPr>
        <w:t xml:space="preserve"> naime, tradi</w:t>
        <w:softHyphen/>
        <w:t>cija ga izvodi, kao i temeljne oblike drugih molitvi, od »muškaraca velikoga zbora« (b Bcrahot 33a). Tek tada, nakon objave šabata, koji je stariji od izabranja lzraelova, slijedi hvalospjev »Jer ti si nas izabrao među svim narodima i posvetio«. Onaj tko jc pozvan na čitanje Tore izražava Izraelovu svijest o nje</w:t>
        <w:softHyphen/>
        <w:t>govu izabranju darom Tore: »Koji nas je iz</w:t>
        <w:softHyphen/>
        <w:t>abrao među svim narodima i dao nam svoj nauk.« Predodžba o Izraelovu izabranju nije nigdje tako jasno i vedro izražena kao u glav</w:t>
        <w:softHyphen/>
        <w:t>noj molitvi hodočasničkih blagdana (IV. bla</w:t>
        <w:softHyphen/>
        <w:t xml:space="preserve">goslov </w:t>
      </w:r>
      <w:r>
        <w:rPr>
          <w:rFonts w:ascii="Times New Roman" w:eastAsia="Times New Roman" w:hAnsi="Times New Roman" w:cs="Times New Roman"/>
          <w:i/>
          <w:iCs/>
          <w:color w:val="000000"/>
          <w:spacing w:val="0"/>
          <w:w w:val="100"/>
          <w:position w:val="0"/>
          <w:shd w:val="clear" w:color="auto" w:fill="auto"/>
          <w:lang w:val="hr-HR" w:eastAsia="hr-HR" w:bidi="hr-HR"/>
        </w:rPr>
        <w:t>Šemone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himanski oblikovano ne</w:t>
        <w:softHyphen/>
        <w:t>pokolebljivo uvjerenje vuče korijen iz postav</w:t>
        <w:softHyphen/>
        <w:t>ljenja Izraela »za Savez narodu i svjetlost pu</w:t>
        <w:softHyphen/>
        <w:t>cima« (Iz 42,6): »Ti si nas izabrao medu svim narodima, ljubio nas i našao zadovoljstvo u nama, uzvisio nas iznad svih jezika, posvetio nas svojim zapovijedima, nas, naš kralju, pri</w:t>
        <w:softHyphen/>
        <w:t>bližio nas svojoj službi i svoje veliko, sveto ime izgovorio iznad nas.« Koliko god u citiranim molitvama uvjerljivo govori lzraelova osobi</w:t>
        <w:softHyphen/>
        <w:t>tost, molitvenik ipak u isto vrijeme upozorava na važnu okolnost da trinaest načela vjere, ko</w:t>
        <w:softHyphen/>
        <w:t>jima je Majmonid (1135-1204) pokušao dog- matizirati židovstvo, šute o otkupljenju.</w:t>
      </w:r>
    </w:p>
    <w:p>
      <w:pPr>
        <w:pStyle w:val="Style20"/>
        <w:keepNext w:val="0"/>
        <w:keepLines w:val="0"/>
        <w:widowControl w:val="0"/>
        <w:numPr>
          <w:ilvl w:val="0"/>
          <w:numId w:val="187"/>
        </w:numPr>
        <w:shd w:val="clear" w:color="auto" w:fill="auto"/>
        <w:tabs>
          <w:tab w:pos="265" w:val="left"/>
        </w:tabs>
        <w:bidi w:val="0"/>
        <w:spacing w:before="0" w:after="0"/>
        <w:ind w:left="0" w:right="0" w:firstLine="0"/>
        <w:jc w:val="both"/>
        <w:sectPr>
          <w:headerReference w:type="default" r:id="rId559"/>
          <w:footerReference w:type="default" r:id="rId560"/>
          <w:headerReference w:type="even" r:id="rId561"/>
          <w:footerReference w:type="even" r:id="rId562"/>
          <w:footnotePr>
            <w:pos w:val="pageBottom"/>
            <w:numFmt w:val="decimal"/>
            <w:numStart w:val="5"/>
            <w:numRestart w:val="continuous"/>
            <w15:footnoteColumns w:val="1"/>
          </w:footnotePr>
          <w:pgSz w:w="6816" w:h="11006"/>
          <w:pgMar w:top="987" w:left="169" w:right="172" w:bottom="443" w:header="0" w:footer="3" w:gutter="0"/>
          <w:pgNumType w:start="190"/>
          <w:cols w:num="2" w:space="157"/>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»Zadovoljan sam s vama, jer ostajete preda mnom skromni«:</w:t>
      </w:r>
      <w:r>
        <w:rPr>
          <w:rFonts w:ascii="Times New Roman" w:eastAsia="Times New Roman" w:hAnsi="Times New Roman" w:cs="Times New Roman"/>
          <w:color w:val="000000"/>
          <w:spacing w:val="0"/>
          <w:w w:val="100"/>
          <w:position w:val="0"/>
          <w:shd w:val="clear" w:color="auto" w:fill="auto"/>
          <w:lang w:val="hr-HR" w:eastAsia="hr-HR" w:bidi="hr-HR"/>
        </w:rPr>
        <w:t xml:space="preserve"> Važne izreke o otkupljenju morale su već u biblijsko doba otkloniti opas</w:t>
        <w:softHyphen/>
        <w:t>nost od partikularističkih nesporazuma. Raz</w:t>
        <w:softHyphen/>
        <w:t>novrsnim upozorenjima neprestance sc po</w:t>
        <w:softHyphen/>
        <w:t>navljalo izabranom narodu da oslobođenje iz Egipta Izraelu ne osigurava monopol na svo</w:t>
        <w:softHyphen/>
        <w:t>jega Boga. To se ponavlja u središnjem obe</w:t>
        <w:softHyphen/>
        <w:t>ćanju Boga u vezi s najavom Saveza kad on kaže da će ntu Izrael biti »posebna svojina medu svim narodima«; naime, ta najava od</w:t>
        <w:softHyphen/>
        <w:t xml:space="preserve">mah isključuje preuzetno naglašavanje vlas-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titc </w:t>
      </w:r>
      <w:r>
        <w:rPr>
          <w:rFonts w:ascii="Times New Roman" w:eastAsia="Times New Roman" w:hAnsi="Times New Roman" w:cs="Times New Roman"/>
          <w:color w:val="000000"/>
          <w:spacing w:val="0"/>
          <w:w w:val="100"/>
          <w:position w:val="0"/>
          <w:shd w:val="clear" w:color="auto" w:fill="auto"/>
          <w:lang w:val="hr-HR" w:eastAsia="hr-HR" w:bidi="hr-HR"/>
        </w:rPr>
        <w:t>važnosti sljedećim objašnjenjem: »Ta moj je sav svijet« (Izl 19,5). Odavde je vidljiva rav</w:t>
        <w:softHyphen/>
        <w:t>na crta do one rasprave u kojoj se tematizira odnos Boga prema Izraelu i narodima te oda</w:t>
        <w:softHyphen/>
        <w:t>branima priziva u pamćenje predajom saču</w:t>
        <w:softHyphen/>
        <w:t>vano znanje da se njihov odnos s Bogom ne temelji na posebnim svojstvima i postignući</w:t>
        <w:softHyphen/>
        <w:t>ma (Ani 9,7-10; 9,7). Budući da su riječi »po</w:t>
        <w:softHyphen/>
        <w:t>sebna svojina« ugrožene uskogrudnošću i sa- mouvjcrcnošću onih kojima se obraća na taj način, moralo ih je popratiti tumačenje: »Jer ti si narod posvećen NJEMU, Bogu svom, tebe je izabrao ON, tvoj Bog, da mu budeš njegov predragi vlastiti narod-svojina, medu svim narodima... Ne zato što biste bili brojniji od svih naroda, nego zato što vas ljubi, stoga vas je odabrao« (Pnz 7,6 i d.; usp. 14,2; 26,18). I rabini su upozorili na svoj način na to da se otkupljenje ne pripisuje vlastitoj veličini ob</w:t>
        <w:softHyphen/>
        <w:t>jašnjavajući da je Bog sebi odabrao malen na</w:t>
        <w:softHyphen/>
        <w:t>rod u malenoj zemlji i dao mu nauk na male</w:t>
        <w:softHyphen/>
        <w:t>nom brijegu (Tchilim za Ps 68.9) i ovako go</w:t>
        <w:softHyphen/>
        <w:t>vorio Izraelu: »Zadovoljan sam s vama, jer vi, koliko god vam dajem veličine, ostajete preda mnom skromni« (b Hulin 89a).</w:t>
      </w:r>
    </w:p>
    <w:p>
      <w:pPr>
        <w:pStyle w:val="Style20"/>
        <w:keepNext w:val="0"/>
        <w:keepLines w:val="0"/>
        <w:widowControl w:val="0"/>
        <w:numPr>
          <w:ilvl w:val="0"/>
          <w:numId w:val="187"/>
        </w:numPr>
        <w:shd w:val="clear" w:color="auto" w:fill="auto"/>
        <w:tabs>
          <w:tab w:pos="255"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*Tako će svi spoznati da si ti moj sin":</w:t>
      </w:r>
      <w:r>
        <w:rPr>
          <w:rFonts w:ascii="Times New Roman" w:eastAsia="Times New Roman" w:hAnsi="Times New Roman" w:cs="Times New Roman"/>
          <w:color w:val="000000"/>
          <w:spacing w:val="0"/>
          <w:w w:val="100"/>
          <w:position w:val="0"/>
          <w:shd w:val="clear" w:color="auto" w:fill="auto"/>
          <w:lang w:val="hr-HR" w:eastAsia="hr-HR" w:bidi="hr-HR"/>
        </w:rPr>
        <w:t xml:space="preserve"> Svi dosadašnji biblijski dokazi o Izraelovu odre</w:t>
        <w:softHyphen/>
        <w:t xml:space="preserve">đenju da bude izdvojen i izabran pokazuju da je otkupljenje samo zapovijed (lzl 19,5-8; 20,2-17;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20,26; Pnz 7,6-11; 14,3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26,16-19; Iz 41,8 i d.; 42,1 i d„ 6 i d.; 43,20 i d.; 49,6) i sloga je sve bez izvršenja zapovijedi samo negativno (lzl 20,5; 34,7; Pnz 7,10; Hoš 1,6,9; Am3,2; Ez 20,5 i d.). Mudraci su taj uvjet strogo uobličili: »Morate biti sveti, iz</w:t>
        <w:softHyphen/>
        <w:t xml:space="preserve">dvojeni morate biti!«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i po</w:t>
        <w:softHyphen/>
        <w:t>zivom na nasljedovanje Boga tumačili: »Djeco moja! Kako sam ja umjeren, tako i vi morate biti umjereni; kako sam ja svet, tako i vi mo</w:t>
        <w:softHyphen/>
        <w:t>rate biti sveti« (Vajikra raba XXIV, 19,2). Imenovanje »svetim narodom« obvezuje Iz</w:t>
        <w:softHyphen/>
        <w:t xml:space="preserve">rael na doživotnu službu svetom Bogu. »R. Hija je poučavao: Ovaj odlomak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tumačen je u zajednici, jer o tome ovisi većina bitnih nauka. R. Levi je rekao: Jer je u njemu sadržano deset zapovijedi«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Učitelji ži</w:t>
        <w:softHyphen/>
        <w:t>dovstva spoznavali su u lzraclovoj izabranosti njegovu povijesnu odgovornost. »R. Jchuda bar Salum je rekao: Bog reče Izraelcima: Ka</w:t>
        <w:softHyphen/>
        <w:t>da ćete se zvati mojom djecom? Kad prihva</w:t>
        <w:softHyphen/>
        <w:t>tite moje riječi.« Dodao jc i prispodobu o jed</w:t>
        <w:softHyphen/>
        <w:t xml:space="preserve">nom kralju kojemu je sin rekao: Obilježi me u </w:t>
      </w:r>
      <w:r>
        <w:rPr>
          <w:rFonts w:ascii="Times New Roman" w:eastAsia="Times New Roman" w:hAnsi="Times New Roman" w:cs="Times New Roman"/>
          <w:color w:val="000000"/>
          <w:spacing w:val="0"/>
          <w:w w:val="100"/>
          <w:position w:val="0"/>
          <w:shd w:val="clear" w:color="auto" w:fill="auto"/>
          <w:lang w:val="hr-HR" w:eastAsia="hr-HR" w:bidi="hr-HR"/>
        </w:rPr>
        <w:t>zemlji da sam tvoj sin. Ako želiš, rekao mu je otac, da svi znaju kako si ti moj sin, stavi na sebe moj purpurni ogrtač i stavi moju krunu sebi na glavu, pa će svi u tebi prepoznati mo</w:t>
        <w:softHyphen/>
        <w:t>jega sina. Tako je i Bog govorio Izraelcima: Ako želite biti imenovani mojom djecom, ba</w:t>
        <w:softHyphen/>
        <w:t>vite se mojim naukom i zapovijedima; i svi će vidjeti da ste moja djeca. Kada ćete biti mo</w:t>
        <w:softHyphen/>
        <w:t>jom djecom? Kada prihvatite moje riječi« (Dcvarim raba VII,29,1). Ozbiljno je shvaće</w:t>
        <w:softHyphen/>
        <w:t xml:space="preserve">no i svako odbijanje - skupno i pojedinačno - u ostvarenju izabraničkog poziva. Počelo jc već s darom Tore; jer Bog je morao Izraelu »brdo poput čabra izvrnuti« i primorati ga na odluku: »Ako želite primiti Toru, dobro je, ako jc pak ne želite, onda je ovo vaš grob« (b Šabat 88a;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2b; [ir ha-širim VIII,2|). Nakon prihvaćanja lanac prijestupa nije se prekinuo (Mehilta za Izl 13,4; j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 xml:space="preserve">IV,68c;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X,3; b 110b). Propovjednici su kritički predstavili narodu vlastitu povijest: »Jedan od njih kaže: 29 dana Izraelci su bili vjerni, drugi kaže: samo 11 dana... R. Šimun bar Halafta kaže: Bili ste vjerni samo jedan dan (Bcmidbar raba VII,5,1). Kao da će na tamnoj pozadini čin što ga je Bog odabrao jače zablistati kad su rabini tako širili Izrac- lovu nesposobnost« (Eha rabati 111,39) i ujedno oblikovali strog židovski etos: o Na- humu, učitelju Rabi Akive, priča se »da je os</w:t>
        <w:softHyphen/>
        <w:t>lijepio na oba oka, da su mu odsjekli obje šake i oba stopala i da mu je tijelo bilo puno či- reva«. Njegovi su ga učitelji pitali kako je do</w:t>
        <w:softHyphen/>
        <w:t>spio u to stanje; a on im jc »odgovorio: Djeco, to sam ja sam sebi izazvao«. Smrt jednoga prosjaka, kojega je pustio čekati, poučio ga je, kako je rekao, na sadašnju obvezu izabranja: »Pogledah ga i rekoh: Moje oči, koje se nisu smilovale tvojim očima, neka oslijepe, moje ruke, koje se nisu smilovale tvojim rukama, neka se odsijeku, i moja stopala, koja se nisu smilovala tvojim stopalima, neka se odsijeku: Sve to nije me smirilo sve dok nisam još jedan</w:t>
        <w:softHyphen/>
        <w:t>put uskliknuo: Neka mi se cijelo tijelo ospe čirevima. Na to mu učenici rekoše: Jao nama što te vidimo u takvom stanju! No on im odgo</w:t>
        <w:softHyphen/>
        <w:t>vori: Jao bi bilo meni kad me ne biste vidjeli u takvom stanju« (b Taanit 21a). U tome jc ključ svijesti o izabranju židovstva u smislu povijesne zadaće postavljene cijelom čovječanstvu.</w:t>
      </w:r>
    </w:p>
    <w:p>
      <w:pPr>
        <w:pStyle w:val="Style56"/>
        <w:keepNext w:val="0"/>
        <w:keepLines w:val="0"/>
        <w:widowControl w:val="0"/>
        <w:shd w:val="clear" w:color="auto" w:fill="auto"/>
        <w:bidi w:val="0"/>
        <w:spacing w:before="0" w:after="0" w:line="240" w:lineRule="auto"/>
        <w:ind w:left="0" w:right="0" w:firstLine="0"/>
        <w:jc w:val="both"/>
      </w:pPr>
      <w:r>
        <mc:AlternateContent>
          <mc:Choice Requires="wps">
            <w:drawing>
              <wp:anchor distT="50800" distB="254000" distL="114300" distR="114300" simplePos="0" relativeHeight="125829397" behindDoc="0" locked="0" layoutInCell="1" allowOverlap="1">
                <wp:simplePos x="0" y="0"/>
                <wp:positionH relativeFrom="page">
                  <wp:posOffset>4027170</wp:posOffset>
                </wp:positionH>
                <wp:positionV relativeFrom="margin">
                  <wp:posOffset>6138545</wp:posOffset>
                </wp:positionV>
                <wp:extent cx="164465" cy="109855"/>
                <wp:wrapTopAndBottom/>
                <wp:docPr id="1205" name="Shape 1205"/>
                <a:graphic xmlns:a="http://schemas.openxmlformats.org/drawingml/2006/main">
                  <a:graphicData uri="http://schemas.microsoft.com/office/word/2010/wordprocessingShape">
                    <wps:wsp>
                      <wps:cNvSpPr txBox="1"/>
                      <wps:spPr>
                        <a:xfrm>
                          <a:ext cx="164465"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 rt i</w:t>
                            </w:r>
                          </w:p>
                        </w:txbxContent>
                      </wps:txbx>
                      <wps:bodyPr wrap="none" lIns="0" tIns="0" rIns="0" bIns="0">
                        <a:noAutoFit/>
                      </wps:bodyPr>
                    </wps:wsp>
                  </a:graphicData>
                </a:graphic>
              </wp:anchor>
            </w:drawing>
          </mc:Choice>
          <mc:Fallback>
            <w:pict>
              <v:shape id="_x0000_s2231" type="#_x0000_t202" style="position:absolute;margin-left:317.10000000000002pt;margin-top:483.35000000000002pt;width:12.949999999999999pt;height:8.6500000000000004pt;z-index:-125829356;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 rt i</w:t>
                      </w:r>
                    </w:p>
                  </w:txbxContent>
                </v:textbox>
                <w10:wrap type="topAndBottom" anchorx="page" anchory="margin"/>
              </v:shape>
            </w:pict>
          </mc:Fallback>
        </mc:AlternateContent>
      </w:r>
      <w:r>
        <w:rPr>
          <w:color w:val="000000"/>
          <w:spacing w:val="0"/>
          <w:w w:val="100"/>
          <w:position w:val="0"/>
          <w:shd w:val="clear" w:color="auto" w:fill="auto"/>
          <w:lang w:val="hr-HR" w:eastAsia="hr-HR" w:bidi="hr-HR"/>
        </w:rPr>
        <w:t xml:space="preserve">Lit.: R. R.Gcis, </w:t>
      </w:r>
      <w:r>
        <w:rPr>
          <w:color w:val="000000"/>
          <w:spacing w:val="0"/>
          <w:w w:val="100"/>
          <w:position w:val="0"/>
          <w:shd w:val="clear" w:color="auto" w:fill="auto"/>
        </w:rPr>
        <w:t xml:space="preserve">Bund und Erwahlung </w:t>
      </w:r>
      <w:r>
        <w:rPr>
          <w:color w:val="000000"/>
          <w:spacing w:val="0"/>
          <w:w w:val="100"/>
          <w:position w:val="0"/>
          <w:shd w:val="clear" w:color="auto" w:fill="auto"/>
          <w:lang w:val="hr-HR" w:eastAsia="hr-HR" w:bidi="hr-HR"/>
        </w:rPr>
        <w:t xml:space="preserve">im Judcntum, u: </w:t>
      </w:r>
      <w:r>
        <w:rPr>
          <w:i/>
          <w:iCs/>
          <w:color w:val="000000"/>
          <w:spacing w:val="0"/>
          <w:w w:val="100"/>
          <w:position w:val="0"/>
          <w:shd w:val="clear" w:color="auto" w:fill="auto"/>
          <w:lang w:val="hr-HR" w:eastAsia="hr-HR" w:bidi="hr-HR"/>
        </w:rPr>
        <w:t>Sae- culum</w:t>
      </w:r>
      <w:r>
        <w:rPr>
          <w:color w:val="000000"/>
          <w:spacing w:val="0"/>
          <w:w w:val="100"/>
          <w:position w:val="0"/>
          <w:shd w:val="clear" w:color="auto" w:fill="auto"/>
          <w:lang w:val="hr-HR" w:eastAsia="hr-HR" w:bidi="hr-HR"/>
        </w:rPr>
        <w:t xml:space="preserve"> 9. </w:t>
      </w:r>
      <w:r>
        <w:rPr>
          <w:color w:val="000000"/>
          <w:spacing w:val="0"/>
          <w:w w:val="100"/>
          <w:position w:val="0"/>
          <w:shd w:val="clear" w:color="auto" w:fill="auto"/>
        </w:rPr>
        <w:t xml:space="preserve">195X, </w:t>
      </w:r>
      <w:r>
        <w:rPr>
          <w:color w:val="000000"/>
          <w:spacing w:val="0"/>
          <w:w w:val="100"/>
          <w:position w:val="0"/>
          <w:shd w:val="clear" w:color="auto" w:fill="auto"/>
          <w:lang w:val="hr-HR" w:eastAsia="hr-HR" w:bidi="hr-HR"/>
        </w:rPr>
        <w:t xml:space="preserve">125-135, M. Bulx:r, </w:t>
      </w:r>
      <w:r>
        <w:rPr>
          <w:color w:val="000000"/>
          <w:spacing w:val="0"/>
          <w:w w:val="100"/>
          <w:position w:val="0"/>
          <w:shd w:val="clear" w:color="auto" w:fill="auto"/>
        </w:rPr>
        <w:t>Die Ersvahlung Israels</w:t>
      </w:r>
    </w:p>
    <w:p>
      <w:pPr>
        <w:pStyle w:val="Style5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 xml:space="preserve">u: </w:t>
      </w:r>
      <w:r>
        <w:rPr>
          <w:i/>
          <w:iCs/>
          <w:color w:val="000000"/>
          <w:spacing w:val="0"/>
          <w:w w:val="100"/>
          <w:position w:val="0"/>
          <w:shd w:val="clear" w:color="auto" w:fill="auto"/>
        </w:rPr>
        <w:t>Wake I!,</w:t>
      </w:r>
      <w:r>
        <w:rPr>
          <w:color w:val="000000"/>
          <w:spacing w:val="0"/>
          <w:w w:val="100"/>
          <w:position w:val="0"/>
          <w:shd w:val="clear" w:color="auto" w:fill="auto"/>
        </w:rPr>
        <w:t xml:space="preserve"> 1237 i d.; </w:t>
      </w:r>
      <w:r>
        <w:rPr>
          <w:i/>
          <w:iCs/>
          <w:color w:val="000000"/>
          <w:spacing w:val="0"/>
          <w:w w:val="100"/>
          <w:position w:val="0"/>
          <w:shd w:val="clear" w:color="auto" w:fill="auto"/>
        </w:rPr>
        <w:t>Encyclopedia Judaica 5,</w:t>
      </w:r>
      <w:r>
        <w:rPr>
          <w:color w:val="000000"/>
          <w:spacing w:val="0"/>
          <w:w w:val="100"/>
          <w:position w:val="0"/>
          <w:shd w:val="clear" w:color="auto" w:fill="auto"/>
        </w:rPr>
        <w:t xml:space="preserve"> </w:t>
      </w:r>
      <w:r>
        <w:rPr>
          <w:color w:val="000000"/>
          <w:spacing w:val="0"/>
          <w:w w:val="100"/>
          <w:position w:val="0"/>
          <w:shd w:val="clear" w:color="auto" w:fill="auto"/>
          <w:vertAlign w:val="superscript"/>
        </w:rPr>
        <w:t>4</w:t>
      </w:r>
      <w:r>
        <w:rPr>
          <w:color w:val="000000"/>
          <w:spacing w:val="0"/>
          <w:w w:val="100"/>
          <w:position w:val="0"/>
          <w:shd w:val="clear" w:color="auto" w:fill="auto"/>
        </w:rPr>
        <w:t>1978,498-502.</w:t>
      </w:r>
    </w:p>
    <w:p>
      <w:pPr>
        <w:pStyle w:val="Style74"/>
        <w:keepNext w:val="0"/>
        <w:keepLines w:val="0"/>
        <w:widowControl w:val="0"/>
        <w:shd w:val="clear" w:color="auto" w:fill="auto"/>
        <w:bidi w:val="0"/>
        <w:spacing w:before="0" w:after="20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D. VETTER</w:t>
      </w:r>
    </w:p>
    <w:p>
      <w:pPr>
        <w:pStyle w:val="Style63"/>
        <w:keepNext/>
        <w:keepLines/>
        <w:widowControl w:val="0"/>
        <w:numPr>
          <w:ilvl w:val="0"/>
          <w:numId w:val="185"/>
        </w:numPr>
        <w:shd w:val="clear" w:color="auto" w:fill="auto"/>
        <w:tabs>
          <w:tab w:pos="260" w:val="left"/>
        </w:tabs>
        <w:bidi w:val="0"/>
        <w:spacing w:before="0" w:after="120" w:line="226" w:lineRule="auto"/>
        <w:ind w:left="0" w:right="0" w:firstLine="0"/>
        <w:jc w:val="both"/>
      </w:pPr>
      <w:bookmarkStart w:id="136" w:name="bookmark13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36"/>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teološki pojam i. znači čin slobodne Božje odluke kojom Bog hoće blaženost od</w:t>
        <w:softHyphen/>
        <w:t>ređenih pojedinaca (usp. uz to »predestina</w:t>
        <w:softHyphen/>
        <w:t>ciju«) ili kojom sebi izdvaja određenu skupinu ljudi, narod ili više naroda za posebne zadaće. U ovom posljednjem shvaćanju pojam izabra- nja igrao je veliku ulogu u židovstvu. Kršćan</w:t>
        <w:softHyphen/>
        <w:t>ska teologija može pojam izabranja uvijek vi</w:t>
        <w:softHyphen/>
        <w:t>djeti i razumjeti samo u povezanosti s iska</w:t>
        <w:softHyphen/>
        <w:t>zima Staroga zavjeta. Izabravši izraelski narod od mnogih drugih naroda, Bog je sebi na poseban način odredio u vlasništvo jedan na</w:t>
        <w:softHyphen/>
        <w:t>rod, ali ne zbog posebnih prednosti toga na</w:t>
        <w:softHyphen/>
        <w:t>roda nego slobodnim, bezrazložnim izborom iz ljubavi (Pnz 7,7; usp. Pnz 4,37 i d.). Tako je Izrael postao narod »koji odvojeno živi« (Br 23,9), koji su zbog njegove bogomdane dru- gačijosti, zbog njegove nacionalne i religijske posebnosti ostali narodi mrzili i prijetili mu uništenjem (Ps 83,3 i d.). Blagoslov izabra- nosti Izrael u svojoj povijesti često osjeća kao zlu kob i ugroženost. Ideja o izabranosti isto</w:t>
        <w:softHyphen/>
        <w:t>dobno sadrži par suprotnosti: partikularnost i univerzalnost. I. od mnogib naroda znači da drugi narodi »nisu izabrani«, odnosno biblij</w:t>
        <w:softHyphen/>
        <w:t>skim jezikom, da su »odbačeni«, pa tako ima partikularan značaj. S druge strane, biblijsko i. pojedine osobe i jednog naroda događa se uvijek kao »blagoslov za mnoge« i na službu većem zajedništvu svih ljudi, pa prema tomu ima univerzalno značenje.</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Prvi kršćani, prije svega Pavao, u suočavanju sa starozavjetnom predodžbom o izabranju pokušavaju objasniti sebi svoju vlastitu i. Rim 9-11 je intenzivno suočavanje s problemom je li Izraelova i. zbog njegove nevjere poništena ili ne. Tu se na to pitanje jednoznačno od</w:t>
        <w:softHyphen/>
        <w:t>govara s ne (Rim 11,1-4). Neki su Židovi od</w:t>
        <w:softHyphen/>
        <w:t>bačeni, ali ostatak je spašen. Okorjclost naro</w:t>
        <w:softHyphen/>
        <w:t>da koji je prvi izabran ima funkcionalno zna</w:t>
        <w:softHyphen/>
        <w:t>čenje jer omogućuje spašavanje pogana (Rim 11,11 i d ). Pritom se jasno pokazuje da se i. pogana treba vidjeti samo u svezi s Izraelom kao stablom masline u koje su pogani ucijep- ljeni, ali time nisu postali na neposredan način objekt božanskog izabranja. Kad u punom broju pogani prestanu biti pogani, bit će pot</w:t>
        <w:softHyphen/>
      </w:r>
      <w:r>
        <w:rPr>
          <w:rFonts w:ascii="Times New Roman" w:eastAsia="Times New Roman" w:hAnsi="Times New Roman" w:cs="Times New Roman"/>
          <w:color w:val="000000"/>
          <w:spacing w:val="0"/>
          <w:w w:val="100"/>
          <w:position w:val="0"/>
          <w:shd w:val="clear" w:color="auto" w:fill="auto"/>
          <w:lang w:val="hr-HR" w:eastAsia="hr-HR" w:bidi="hr-HR"/>
        </w:rPr>
        <w:t>puno spašen Izrael. Božja vjernost u njegovu odabiranju ostaje time nepovrijeđena.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kršćansko poimanje izabranja presudno jc da je to »i. u Kristu«. Isus Krist je na jedin</w:t>
        <w:softHyphen/>
        <w:t>stven način »Božji izabranik«, što je u kas</w:t>
        <w:softHyphen/>
        <w:t>nijem teološkom razvoju sažeto u pojmu si- novstva. I. kršćanske zajednice može se razum</w:t>
        <w:softHyphen/>
        <w:t>jeti samo zato jer je zahvaćena prethodnim izabranjem Sina i jer se suoblikovala s Njime. »Jer koje je predvidio, one je i predodredio da budu jednaki slici njegova Sina, da ovaj bude prvorođenac među mnogom braćom« (Rim 8,29). Ta je i. u svojoj tijesnoj povezanosti sa sudbinom Sina određena prije stvaranja svije</w:t>
        <w:softHyphen/>
        <w:t>ta: »On nas u njemu sebi izabra prije stvaranja svijeta, da budemo sveti i bez mane pred njim« (Ef 1,4-6). U sudbini Isusa Krista, u njegovoj smrti i uskrsnuću, sin postaje Prvo</w:t>
        <w:softHyphen/>
        <w:t>rođenac među mnogom braćom, partikularna i. jednoga postaje spasenje i blagoslov za sve. To je prije svega protumačeno u usporedbi Isusa s Adamom, jednim čovjekom po kojem je započelo zlo grijeha dok se u jednom Isusu iz Nazareta kao novom Adamu to preokre- nulo u veći blagoslov (Rim 5,12-19). I. u Isusu Kristu je neobičan izbor kojim se izabire slabo i neznatno: »Što je ludo u očima svijeta, iza</w:t>
        <w:softHyphen/>
        <w:t>bra Bog da posrami mudre; što je slabo u oči</w:t>
        <w:softHyphen/>
        <w:t>ma svijeta, izabra Bog da posrami jake; što je neplemenito i prezira vrijedno u očima svijeta - i čak ono čega nema - izabra Bog da uništi ono što jest« (1 Kor 1,27-29).</w:t>
      </w:r>
    </w:p>
    <w:p>
      <w:pPr>
        <w:pStyle w:val="Style20"/>
        <w:keepNext w:val="0"/>
        <w:keepLines w:val="0"/>
        <w:widowControl w:val="0"/>
        <w:shd w:val="clear" w:color="auto" w:fill="auto"/>
        <w:bidi w:val="0"/>
        <w:spacing w:before="0" w:after="0"/>
        <w:ind w:left="0" w:right="0" w:firstLine="0"/>
        <w:jc w:val="both"/>
        <w:sectPr>
          <w:headerReference w:type="default" r:id="rId563"/>
          <w:footerReference w:type="default" r:id="rId564"/>
          <w:headerReference w:type="even" r:id="rId565"/>
          <w:footerReference w:type="even" r:id="rId566"/>
          <w:headerReference w:type="first" r:id="rId567"/>
          <w:footerReference w:type="first" r:id="rId568"/>
          <w:footnotePr>
            <w:pos w:val="pageBottom"/>
            <w:numFmt w:val="decimal"/>
            <w:numStart w:val="5"/>
            <w:numRestart w:val="continuous"/>
            <w15:footnoteColumns w:val="1"/>
          </w:footnotePr>
          <w:pgSz w:w="6816" w:h="11006"/>
          <w:pgMar w:top="987" w:left="169" w:right="172" w:bottom="443" w:header="0" w:footer="3" w:gutter="0"/>
          <w:pgNumType w:start="195"/>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Treba istaknuti neke vidove izabranosti pre</w:t>
        <w:softHyphen/>
        <w:t>ma kršćanskom shvaćanju. I. je uvijek slobo</w:t>
        <w:softHyphen/>
        <w:t>dan milosni izbor i ne daje osnovu ni za kakvo pravo niti se smije shvaćati kao odlika koja je povezana s nekim posebnim svojstvom poje</w:t>
        <w:softHyphen/>
        <w:t>dinca ili izabrane skupine ljudi. I. se događa pojedincu kao poziv u zajedništvo izabranih koje se shvaća kao Crkva, kao zajedništvo »pozvanih« = Ecclesia. No to će zajedništvo samo tada ispunjavati zahtjeve svoje izabra</w:t>
        <w:softHyphen/>
        <w:t>nosti kada bude svjesno da je pozvano i po</w:t>
        <w:softHyphen/>
        <w:t>slano na posebnu službu. Ta služba sadrži po</w:t>
        <w:softHyphen/>
        <w:t>slanje čitavom svijetu i zato jc univerzalno otvorena. U toj ideji poslanja i poruke svjet</w:t>
        <w:softHyphen/>
        <w:t>skih razmjera leži opasnost krivog shvaćanja izabranosti u trijumfalističkom prisvajanju prava na dominaciju, što je iskušenje kojem je kat</w:t>
        <w:softHyphen/>
        <w:t>kada nesumnjivo podleglo srednjovjekovno papinstvo. Uslijed povijesnog razvoja i pro</w:t>
        <w:softHyphen/>
        <w:t xml:space="preserve">dubljene teološke refleksije sazrela je misao 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izabranosti. S </w:t>
      </w:r>
      <w:r>
        <w:rPr>
          <w:rFonts w:ascii="Times New Roman" w:eastAsia="Times New Roman" w:hAnsi="Times New Roman" w:cs="Times New Roman"/>
          <w:color w:val="000000"/>
          <w:spacing w:val="0"/>
          <w:w w:val="100"/>
          <w:position w:val="0"/>
          <w:shd w:val="clear" w:color="auto" w:fill="auto"/>
          <w:lang w:val="hr-HR" w:eastAsia="hr-HR" w:bidi="hr-HR"/>
        </w:rPr>
        <w:t xml:space="preserve">jedne </w:t>
      </w:r>
      <w:r>
        <w:rPr>
          <w:rFonts w:ascii="Times New Roman" w:eastAsia="Times New Roman" w:hAnsi="Times New Roman" w:cs="Times New Roman"/>
          <w:color w:val="000000"/>
          <w:spacing w:val="0"/>
          <w:w w:val="100"/>
          <w:position w:val="0"/>
          <w:shd w:val="clear" w:color="auto" w:fill="auto"/>
          <w:lang w:val="en-US" w:eastAsia="en-US" w:bidi="en-US"/>
        </w:rPr>
        <w:t xml:space="preserve">Strane, </w:t>
      </w:r>
      <w:r>
        <w:rPr>
          <w:rFonts w:ascii="Times New Roman" w:eastAsia="Times New Roman" w:hAnsi="Times New Roman" w:cs="Times New Roman"/>
          <w:color w:val="000000"/>
          <w:spacing w:val="0"/>
          <w:w w:val="100"/>
          <w:position w:val="0"/>
          <w:shd w:val="clear" w:color="auto" w:fill="auto"/>
          <w:lang w:val="hr-HR" w:eastAsia="hr-HR" w:bidi="hr-HR"/>
        </w:rPr>
        <w:t>Crkva se razumi</w:t>
        <w:softHyphen/>
        <w:t>jeva kao manjina u pluralističkom svijetu koja shvaća sebe kao pozvanu čitavom svijetu, a, s druge strane, ne može se više uvjerljivo držati kristijanizacije kao cilja. U ideji zastupanja, nastupa i zalaganja za sve oduzeta je trijum- falistička oštrica univerzalističkoj ideji izabra</w:t>
        <w:softHyphen/>
        <w:t>nosti.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kršćansko-židovskom dijalogu uvijek je nužno igrala ulogu misao o izabranosti. Pritom se nažalost često zaboravljala jasna izjava iz Po</w:t>
        <w:softHyphen/>
        <w:t>slanice Rimljanima (9-11) da je i. izraelskog naroda neopoziva. Kršćani su prisvajanjem pra</w:t>
        <w:softHyphen/>
        <w:t>va na to da su novi narod Božji (1 Pt 2,9 i d.) kojem pripadaju obećanja iz Jr 31,31-34 do</w:t>
        <w:softHyphen/>
        <w:t>veli do toga da se i. Židova nije više zamjeći</w:t>
        <w:softHyphen/>
        <w:t>vala, tj. da se odbacivanje izraelskog naroda nekako krivo shvaćalo kao pretpostavka za vlastitu i. Tu se u teološkom novom promiš</w:t>
        <w:softHyphen/>
        <w:t>ljanju dogodio obrat. Drugi vatikanski koncil sasvim jasno naglašava da su Židovi »zbog svoje izabranosti« kršćanima »veoma drag na</w:t>
        <w:softHyphen/>
        <w:t>rod« »jer su neopozivi Božji darovi i poziv« (Rim 11,28 i d.; LG 16). Slično se izražava i cvangclička crkva: »Novi zavjet pojmom ‘Božjeg naroda’ prenosi na kršćansku zajednicu ujedno temeljne elemente starozavjetne misli o Savezu. Ona je označena kao ‘izabrani rod, kraljevsko svećenstvo, sveti puk, narod odre</w:t>
        <w:softHyphen/>
        <w:t>đen za Božju svojinu’ kao što je u Starom za</w:t>
        <w:softHyphen/>
        <w:t>vjetu rečeno o izraelskom narodu (1 Pt 2,9; Izl 19,5 i d): Tako se Židovi i kršćani, i jedni i drugi, shvaćaju kao Božji narod. Unatoč svo</w:t>
        <w:softHyphen/>
        <w:t>joj rastavljenosti pozvani su i određeni da budu Božji svjedoci na ovome svijetu, da vrše njego</w:t>
        <w:softHyphen/>
        <w:t xml:space="preserve">vu volju i da idu ususret budućem ispunjenju njegova gospodstva« (Spomenica, </w:t>
      </w:r>
      <w:r>
        <w:rPr>
          <w:rFonts w:ascii="Times New Roman" w:eastAsia="Times New Roman" w:hAnsi="Times New Roman" w:cs="Times New Roman"/>
          <w:i/>
          <w:iCs/>
          <w:color w:val="000000"/>
          <w:spacing w:val="0"/>
          <w:w w:val="100"/>
          <w:position w:val="0"/>
          <w:shd w:val="clear" w:color="auto" w:fill="auto"/>
          <w:lang w:val="en-US" w:eastAsia="en-US" w:bidi="en-US"/>
        </w:rPr>
        <w:t xml:space="preserve">Christen </w:t>
      </w:r>
      <w:r>
        <w:rPr>
          <w:rFonts w:ascii="Times New Roman" w:eastAsia="Times New Roman" w:hAnsi="Times New Roman" w:cs="Times New Roman"/>
          <w:i/>
          <w:iCs/>
          <w:color w:val="000000"/>
          <w:spacing w:val="0"/>
          <w:w w:val="100"/>
          <w:position w:val="0"/>
          <w:shd w:val="clear" w:color="auto" w:fill="auto"/>
          <w:lang w:val="hr-HR" w:eastAsia="hr-HR" w:bidi="hr-HR"/>
        </w:rPr>
        <w:t>und Juden,</w:t>
      </w:r>
      <w:r>
        <w:rPr>
          <w:rFonts w:ascii="Times New Roman" w:eastAsia="Times New Roman" w:hAnsi="Times New Roman" w:cs="Times New Roman"/>
          <w:color w:val="000000"/>
          <w:spacing w:val="0"/>
          <w:w w:val="100"/>
          <w:position w:val="0"/>
          <w:shd w:val="clear" w:color="auto" w:fill="auto"/>
          <w:lang w:val="hr-HR" w:eastAsia="hr-HR" w:bidi="hr-HR"/>
        </w:rPr>
        <w:t xml:space="preserve"> I. 3).</w:t>
      </w:r>
    </w:p>
    <w:p>
      <w:pPr>
        <w:pStyle w:val="Style56"/>
        <w:keepNext w:val="0"/>
        <w:keepLines w:val="0"/>
        <w:widowControl w:val="0"/>
        <w:shd w:val="clear" w:color="auto" w:fill="auto"/>
        <w:tabs>
          <w:tab w:pos="2563" w:val="left"/>
        </w:tabs>
        <w:bidi w:val="0"/>
        <w:spacing w:before="0" w:after="140" w:line="223" w:lineRule="auto"/>
        <w:ind w:left="0" w:right="0" w:firstLine="0"/>
        <w:jc w:val="both"/>
        <w:rPr>
          <w:sz w:val="15"/>
          <w:szCs w:val="15"/>
        </w:rPr>
      </w:pPr>
      <w:r>
        <w:rPr>
          <w:color w:val="000000"/>
          <w:spacing w:val="0"/>
          <w:w w:val="100"/>
          <w:position w:val="0"/>
          <w:sz w:val="12"/>
          <w:szCs w:val="12"/>
          <w:shd w:val="clear" w:color="auto" w:fill="auto"/>
        </w:rPr>
        <w:t xml:space="preserve">Lil.: Th. </w:t>
      </w:r>
      <w:r>
        <w:rPr>
          <w:color w:val="000000"/>
          <w:spacing w:val="0"/>
          <w:w w:val="100"/>
          <w:position w:val="0"/>
          <w:sz w:val="12"/>
          <w:szCs w:val="12"/>
          <w:shd w:val="clear" w:color="auto" w:fill="auto"/>
          <w:lang w:val="hr-HR" w:eastAsia="hr-HR" w:bidi="hr-HR"/>
        </w:rPr>
        <w:t xml:space="preserve">Vriescn. </w:t>
      </w:r>
      <w:r>
        <w:rPr>
          <w:i/>
          <w:iCs/>
          <w:color w:val="000000"/>
          <w:spacing w:val="0"/>
          <w:w w:val="100"/>
          <w:position w:val="0"/>
          <w:sz w:val="12"/>
          <w:szCs w:val="12"/>
          <w:shd w:val="clear" w:color="auto" w:fill="auto"/>
        </w:rPr>
        <w:t xml:space="preserve">Die </w:t>
      </w:r>
      <w:r>
        <w:rPr>
          <w:i/>
          <w:iCs/>
          <w:color w:val="000000"/>
          <w:spacing w:val="0"/>
          <w:w w:val="100"/>
          <w:position w:val="0"/>
          <w:sz w:val="12"/>
          <w:szCs w:val="12"/>
          <w:shd w:val="clear" w:color="auto" w:fill="auto"/>
          <w:lang w:val="hr-HR" w:eastAsia="hr-HR" w:bidi="hr-HR"/>
        </w:rPr>
        <w:t xml:space="preserve">Envahlung </w:t>
      </w:r>
      <w:r>
        <w:rPr>
          <w:i/>
          <w:iCs/>
          <w:color w:val="000000"/>
          <w:spacing w:val="0"/>
          <w:w w:val="100"/>
          <w:position w:val="0"/>
          <w:sz w:val="12"/>
          <w:szCs w:val="12"/>
          <w:shd w:val="clear" w:color="auto" w:fill="auto"/>
        </w:rPr>
        <w:t xml:space="preserve">Israels nach dem Alien </w:t>
      </w:r>
      <w:r>
        <w:rPr>
          <w:i/>
          <w:iCs/>
          <w:color w:val="000000"/>
          <w:spacing w:val="0"/>
          <w:w w:val="100"/>
          <w:position w:val="0"/>
          <w:sz w:val="12"/>
          <w:szCs w:val="12"/>
          <w:shd w:val="clear" w:color="auto" w:fill="auto"/>
          <w:lang w:val="hr-HR" w:eastAsia="hr-HR" w:bidi="hr-HR"/>
        </w:rPr>
        <w:t xml:space="preserve">Tes- </w:t>
      </w:r>
      <w:r>
        <w:rPr>
          <w:i/>
          <w:iCs/>
          <w:color w:val="000000"/>
          <w:spacing w:val="0"/>
          <w:w w:val="100"/>
          <w:position w:val="0"/>
          <w:sz w:val="12"/>
          <w:szCs w:val="12"/>
          <w:shd w:val="clear" w:color="auto" w:fill="auto"/>
        </w:rPr>
        <w:t>lament,</w:t>
      </w:r>
      <w:r>
        <w:rPr>
          <w:color w:val="000000"/>
          <w:spacing w:val="0"/>
          <w:w w:val="100"/>
          <w:position w:val="0"/>
          <w:sz w:val="12"/>
          <w:szCs w:val="12"/>
          <w:shd w:val="clear" w:color="auto" w:fill="auto"/>
        </w:rPr>
        <w:t xml:space="preserve"> Zurich </w:t>
      </w:r>
      <w:r>
        <w:rPr>
          <w:color w:val="000000"/>
          <w:spacing w:val="0"/>
          <w:w w:val="100"/>
          <w:position w:val="0"/>
          <w:sz w:val="12"/>
          <w:szCs w:val="12"/>
          <w:shd w:val="clear" w:color="auto" w:fill="auto"/>
          <w:lang w:val="hr-HR" w:eastAsia="hr-HR" w:bidi="hr-HR"/>
        </w:rPr>
        <w:t xml:space="preserve">1953; N. Fiiglistcr. Sirukturcn dcr ahlesla- mcntlichcn Ekklcskilogtc, u: </w:t>
      </w:r>
      <w:r>
        <w:rPr>
          <w:color w:val="000000"/>
          <w:spacing w:val="0"/>
          <w:w w:val="100"/>
          <w:position w:val="0"/>
          <w:sz w:val="12"/>
          <w:szCs w:val="12"/>
          <w:shd w:val="clear" w:color="auto" w:fill="auto"/>
        </w:rPr>
        <w:t xml:space="preserve">MS </w:t>
      </w:r>
      <w:r>
        <w:rPr>
          <w:color w:val="000000"/>
          <w:spacing w:val="0"/>
          <w:w w:val="100"/>
          <w:position w:val="0"/>
          <w:sz w:val="12"/>
          <w:szCs w:val="12"/>
          <w:shd w:val="clear" w:color="auto" w:fill="auto"/>
          <w:lang w:val="hr-HR" w:eastAsia="hr-HR" w:bidi="hr-HR"/>
        </w:rPr>
        <w:t xml:space="preserve">4/1, 23-99; M. Lohrcr. Gottes GnadcnhamJcIn </w:t>
      </w:r>
      <w:r>
        <w:rPr>
          <w:color w:val="000000"/>
          <w:spacing w:val="0"/>
          <w:w w:val="100"/>
          <w:position w:val="0"/>
          <w:sz w:val="12"/>
          <w:szCs w:val="12"/>
          <w:shd w:val="clear" w:color="auto" w:fill="auto"/>
        </w:rPr>
        <w:t xml:space="preserve">als Erwahlung </w:t>
      </w:r>
      <w:r>
        <w:rPr>
          <w:color w:val="000000"/>
          <w:spacing w:val="0"/>
          <w:w w:val="100"/>
          <w:position w:val="0"/>
          <w:sz w:val="12"/>
          <w:szCs w:val="12"/>
          <w:shd w:val="clear" w:color="auto" w:fill="auto"/>
          <w:lang w:val="hr-HR" w:eastAsia="hr-HR" w:bidi="hr-HR"/>
        </w:rPr>
        <w:t xml:space="preserve">dc.s Mcnschcn. u: </w:t>
      </w:r>
      <w:r>
        <w:rPr>
          <w:color w:val="000000"/>
          <w:spacing w:val="0"/>
          <w:w w:val="100"/>
          <w:position w:val="0"/>
          <w:sz w:val="12"/>
          <w:szCs w:val="12"/>
          <w:shd w:val="clear" w:color="auto" w:fill="auto"/>
        </w:rPr>
        <w:t xml:space="preserve">MS </w:t>
      </w:r>
      <w:r>
        <w:rPr>
          <w:color w:val="000000"/>
          <w:spacing w:val="0"/>
          <w:w w:val="100"/>
          <w:position w:val="0"/>
          <w:sz w:val="12"/>
          <w:szCs w:val="12"/>
          <w:shd w:val="clear" w:color="auto" w:fill="auto"/>
          <w:lang w:val="hr-HR" w:eastAsia="hr-HR" w:bidi="hr-HR"/>
        </w:rPr>
        <w:t>4/2. 773-830.</w:t>
        <w:tab/>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i-vkrs</w:t>
      </w:r>
    </w:p>
    <w:p>
      <w:pPr>
        <w:pStyle w:val="Style63"/>
        <w:keepNext/>
        <w:keepLines/>
        <w:widowControl w:val="0"/>
        <w:numPr>
          <w:ilvl w:val="0"/>
          <w:numId w:val="185"/>
        </w:numPr>
        <w:shd w:val="clear" w:color="auto" w:fill="auto"/>
        <w:tabs>
          <w:tab w:pos="260" w:val="left"/>
        </w:tabs>
        <w:bidi w:val="0"/>
        <w:spacing w:before="0" w:line="216" w:lineRule="auto"/>
        <w:ind w:left="0" w:right="0" w:firstLine="0"/>
        <w:jc w:val="both"/>
      </w:pPr>
      <w:bookmarkStart w:id="137" w:name="bookmark137"/>
      <w:r>
        <w:rPr>
          <w:rFonts w:ascii="Times New Roman" w:eastAsia="Times New Roman" w:hAnsi="Times New Roman" w:cs="Times New Roman"/>
          <w:color w:val="000000"/>
          <w:spacing w:val="0"/>
          <w:w w:val="100"/>
          <w:position w:val="0"/>
          <w:shd w:val="clear" w:color="auto" w:fill="auto"/>
          <w:lang w:val="hr-HR" w:eastAsia="hr-HR" w:bidi="hr-HR"/>
        </w:rPr>
        <w:t>islamski</w:t>
      </w:r>
      <w:bookmarkEnd w:id="137"/>
    </w:p>
    <w:p>
      <w:pPr>
        <w:pStyle w:val="Style20"/>
        <w:keepNext w:val="0"/>
        <w:keepLines w:val="0"/>
        <w:widowControl w:val="0"/>
        <w:shd w:val="clear" w:color="auto" w:fill="auto"/>
        <w:tabs>
          <w:tab w:pos="2563" w:val="left"/>
        </w:tabs>
        <w:bidi w:val="0"/>
        <w:spacing w:before="0" w:after="100" w:line="240" w:lineRule="auto"/>
        <w:ind w:left="0" w:right="0" w:firstLine="0"/>
        <w:jc w:val="both"/>
        <w:sectPr>
          <w:headerReference w:type="default" r:id="rId569"/>
          <w:footerReference w:type="default" r:id="rId570"/>
          <w:headerReference w:type="even" r:id="rId571"/>
          <w:footerReference w:type="even" r:id="rId572"/>
          <w:footnotePr>
            <w:pos w:val="pageBottom"/>
            <w:numFmt w:val="decimal"/>
            <w:numStart w:val="5"/>
            <w:numRestart w:val="continuous"/>
            <w15:footnoteColumns w:val="1"/>
          </w:footnotePr>
          <w:type w:val="continuous"/>
          <w:pgSz w:w="6816" w:h="11006"/>
          <w:pgMar w:top="987" w:left="169" w:right="172" w:bottom="443" w:header="0" w:footer="3"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antropološkom smislu islam ne poznaje ni</w:t>
        <w:softHyphen/>
        <w:t xml:space="preserve">kakvo i. Svi su ljudi jednaki. »Zaista smo vas Mi učinili narodima i plemenima da biste se </w:t>
      </w:r>
      <w:r>
        <w:rPr>
          <w:rFonts w:ascii="Times New Roman" w:eastAsia="Times New Roman" w:hAnsi="Times New Roman" w:cs="Times New Roman"/>
          <w:i/>
          <w:iCs/>
          <w:color w:val="000000"/>
          <w:spacing w:val="0"/>
          <w:w w:val="100"/>
          <w:position w:val="0"/>
          <w:shd w:val="clear" w:color="auto" w:fill="auto"/>
          <w:lang w:val="hr-HR" w:eastAsia="hr-HR" w:bidi="hr-HR"/>
        </w:rPr>
        <w:t>(međusobno)</w:t>
      </w:r>
      <w:r>
        <w:rPr>
          <w:rFonts w:ascii="Times New Roman" w:eastAsia="Times New Roman" w:hAnsi="Times New Roman" w:cs="Times New Roman"/>
          <w:color w:val="000000"/>
          <w:spacing w:val="0"/>
          <w:w w:val="100"/>
          <w:position w:val="0"/>
          <w:shd w:val="clear" w:color="auto" w:fill="auto"/>
          <w:lang w:val="hr-HR" w:eastAsia="hr-HR" w:bidi="hr-HR"/>
        </w:rPr>
        <w:t xml:space="preserve"> poznavali« (Kuran 49,13). U po</w:t>
        <w:softHyphen/>
        <w:t>vijesti objave vlada isti nazor: Svi su proroci ili Božji poslanici na istome stupnju. Nasuprot tomu, svjetska zajednica islama važi prema Kuranu kao najbolja koja je stvorena među ljudima (3,105). To isticanje muslimana ima teološki karakter. Ono je prije motivirano po- zvanjem koje im se pripisuje negoli nedokuči</w:t>
        <w:softHyphen/>
        <w:t>vom, ljubavlju ispunjenom Božjom odlukom. Islam je u tom smislu stalna zadaća njegovih sljedbenika. I među vjernicima ima takvih koji su kod Boga u boljem položaju nego ostali članovi zajednice: »Kod Boga je najplemeni</w:t>
        <w:softHyphen/>
        <w:t xml:space="preserve">tiji između vas </w:t>
      </w:r>
      <w:r>
        <w:rPr>
          <w:rFonts w:ascii="Times New Roman" w:eastAsia="Times New Roman" w:hAnsi="Times New Roman" w:cs="Times New Roman"/>
          <w:i/>
          <w:iCs/>
          <w:color w:val="000000"/>
          <w:spacing w:val="0"/>
          <w:w w:val="100"/>
          <w:position w:val="0"/>
          <w:shd w:val="clear" w:color="auto" w:fill="auto"/>
          <w:lang w:val="hr-HR" w:eastAsia="hr-HR" w:bidi="hr-HR"/>
        </w:rPr>
        <w:t>(onaj)</w:t>
      </w:r>
      <w:r>
        <w:rPr>
          <w:rFonts w:ascii="Times New Roman" w:eastAsia="Times New Roman" w:hAnsi="Times New Roman" w:cs="Times New Roman"/>
          <w:color w:val="000000"/>
          <w:spacing w:val="0"/>
          <w:w w:val="100"/>
          <w:position w:val="0"/>
          <w:shd w:val="clear" w:color="auto" w:fill="auto"/>
          <w:lang w:val="hr-HR" w:eastAsia="hr-HR" w:bidi="hr-HR"/>
        </w:rPr>
        <w:t xml:space="preserve"> koji je najbogobojazniji« (49,13). Učeni svakako imaju izabrano mjesto: »Reci: Jesu li (mogu </w:t>
      </w:r>
      <w:r>
        <w:rPr>
          <w:rFonts w:ascii="Times New Roman" w:eastAsia="Times New Roman" w:hAnsi="Times New Roman" w:cs="Times New Roman"/>
          <w:i/>
          <w:iCs/>
          <w:color w:val="000000"/>
          <w:spacing w:val="0"/>
          <w:w w:val="100"/>
          <w:position w:val="0"/>
          <w:shd w:val="clear" w:color="auto" w:fill="auto"/>
          <w:lang w:val="hr-HR" w:eastAsia="hr-HR" w:bidi="hr-HR"/>
        </w:rPr>
        <w:t>li biti)</w:t>
      </w:r>
      <w:r>
        <w:rPr>
          <w:rFonts w:ascii="Times New Roman" w:eastAsia="Times New Roman" w:hAnsi="Times New Roman" w:cs="Times New Roman"/>
          <w:color w:val="000000"/>
          <w:spacing w:val="0"/>
          <w:w w:val="100"/>
          <w:position w:val="0"/>
          <w:shd w:val="clear" w:color="auto" w:fill="auto"/>
          <w:lang w:val="hr-HR" w:eastAsia="hr-HR" w:bidi="hr-HR"/>
        </w:rPr>
        <w:t xml:space="preserve"> jednaki oni koji znaju i koji ne znaju?« (39,9). Među Muha- medovim pratiteljima desetorica su se odliko</w:t>
        <w:softHyphen/>
        <w:t>vala posebnim djelima i svjedočanstvima is</w:t>
        <w:softHyphen/>
        <w:t xml:space="preserve">lamske povezanosti. Njima je po božjoj uputi Muhamed zajamčio raj. Među njima ima i jedna žena: </w:t>
      </w:r>
      <w:r>
        <w:rPr>
          <w:rFonts w:ascii="Times New Roman" w:eastAsia="Times New Roman" w:hAnsi="Times New Roman" w:cs="Times New Roman"/>
          <w:i/>
          <w:iCs/>
          <w:color w:val="000000"/>
          <w:spacing w:val="0"/>
          <w:w w:val="100"/>
          <w:position w:val="0"/>
          <w:shd w:val="clear" w:color="auto" w:fill="auto"/>
          <w:lang w:val="hr-HR" w:eastAsia="hr-HR" w:bidi="hr-HR"/>
        </w:rPr>
        <w:t>Hatidža (Khadidja),</w:t>
      </w:r>
      <w:r>
        <w:rPr>
          <w:rFonts w:ascii="Times New Roman" w:eastAsia="Times New Roman" w:hAnsi="Times New Roman" w:cs="Times New Roman"/>
          <w:color w:val="000000"/>
          <w:spacing w:val="0"/>
          <w:w w:val="100"/>
          <w:position w:val="0"/>
          <w:shd w:val="clear" w:color="auto" w:fill="auto"/>
          <w:lang w:val="hr-HR" w:eastAsia="hr-HR" w:bidi="hr-HR"/>
        </w:rPr>
        <w:t xml:space="preserve"> prva Muha-- medova žena koja je istovremeno i prva uopće prihvatila islam. Običan narod vjeruje da pu</w:t>
        <w:softHyphen/>
        <w:t>ko prihvaćanje islama izdvaja čovjeka iz mase i čini ga izabranikom.</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JEDINSTVO ČOVJEČANSTVA</w:t>
      </w:r>
    </w:p>
    <w:p>
      <w:pPr>
        <w:pStyle w:val="Style63"/>
        <w:keepNext/>
        <w:keepLines/>
        <w:widowControl w:val="0"/>
        <w:numPr>
          <w:ilvl w:val="0"/>
          <w:numId w:val="189"/>
        </w:numPr>
        <w:shd w:val="clear" w:color="auto" w:fill="auto"/>
        <w:tabs>
          <w:tab w:pos="241" w:val="left"/>
        </w:tabs>
        <w:bidi w:val="0"/>
        <w:spacing w:before="0" w:line="223" w:lineRule="auto"/>
        <w:ind w:left="0" w:right="0" w:firstLine="0"/>
        <w:jc w:val="both"/>
      </w:pPr>
      <w:bookmarkStart w:id="138" w:name="bookmark138"/>
      <w:r>
        <w:rPr>
          <w:rFonts w:ascii="Times New Roman" w:eastAsia="Times New Roman" w:hAnsi="Times New Roman" w:cs="Times New Roman"/>
          <w:color w:val="000000"/>
          <w:spacing w:val="0"/>
          <w:w w:val="100"/>
          <w:position w:val="0"/>
          <w:shd w:val="clear" w:color="auto" w:fill="auto"/>
          <w:lang w:val="hr-HR" w:eastAsia="hr-HR" w:bidi="hr-HR"/>
        </w:rPr>
        <w:t>židovski</w:t>
      </w:r>
      <w:bookmarkEnd w:id="138"/>
    </w:p>
    <w:p>
      <w:pPr>
        <w:pStyle w:val="Style20"/>
        <w:keepNext w:val="0"/>
        <w:keepLines w:val="0"/>
        <w:widowControl w:val="0"/>
        <w:numPr>
          <w:ilvl w:val="0"/>
          <w:numId w:val="191"/>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Bog i čovječanstvo:</w:t>
      </w:r>
      <w:r>
        <w:rPr>
          <w:rFonts w:ascii="Times New Roman" w:eastAsia="Times New Roman" w:hAnsi="Times New Roman" w:cs="Times New Roman"/>
          <w:color w:val="000000"/>
          <w:spacing w:val="0"/>
          <w:w w:val="100"/>
          <w:position w:val="0"/>
          <w:shd w:val="clear" w:color="auto" w:fill="auto"/>
          <w:lang w:val="hr-HR" w:eastAsia="hr-HR" w:bidi="hr-HR"/>
        </w:rPr>
        <w:t xml:space="preserve"> Bog stvori jedinstveno čovječanstvo (Post 1,26 i d.). No, nasilja jed</w:t>
        <w:softHyphen/>
        <w:t>nih nad drugima ispuniše zemlju (6,11) te iza- zvaše Božje djelovanje i kaznu (6,5-8,22). Za</w:t>
        <w:softHyphen/>
        <w:t>tim je Bog uspostavio drugo čovječanstvo (9). No ono je bilo složno samo zato da bi se kao cjelina pobunilo protiv Boga (11). »Rasprše</w:t>
        <w:softHyphen/>
        <w:t>nost«, od koje se htjelo obraniti (11,4), proveo je tada Bog po »svoj zemlji« (11,8 i d.); je</w:t>
        <w:softHyphen/>
        <w:t>dinstven jezik (11,1.6.7.9) rascjepkao je na mnoge jezike i time podijelio jedinstven ljud</w:t>
        <w:softHyphen/>
        <w:t>ski rod na zemlji na mnoge narode; umjesto »imena«, za kojim je čovječanstvo težilo, ime</w:t>
        <w:softHyphen/>
        <w:t xml:space="preserve">novan je grad </w:t>
      </w:r>
      <w:r>
        <w:rPr>
          <w:rFonts w:ascii="Times New Roman" w:eastAsia="Times New Roman" w:hAnsi="Times New Roman" w:cs="Times New Roman"/>
          <w:color w:val="000000"/>
          <w:spacing w:val="0"/>
          <w:w w:val="100"/>
          <w:position w:val="0"/>
          <w:shd w:val="clear" w:color="auto" w:fill="auto"/>
          <w:lang w:val="en-US" w:eastAsia="en-US" w:bidi="en-US"/>
        </w:rPr>
        <w:t xml:space="preserve">Babel, </w:t>
      </w:r>
      <w:r>
        <w:rPr>
          <w:rFonts w:ascii="Times New Roman" w:eastAsia="Times New Roman" w:hAnsi="Times New Roman" w:cs="Times New Roman"/>
          <w:color w:val="000000"/>
          <w:spacing w:val="0"/>
          <w:w w:val="100"/>
          <w:position w:val="0"/>
          <w:shd w:val="clear" w:color="auto" w:fill="auto"/>
          <w:lang w:val="hr-HR" w:eastAsia="hr-HR" w:bidi="hr-HR"/>
        </w:rPr>
        <w:t>»pobrkanost« (11,4.9), čiju gradnju ono nije moglo dovršiti. U kon</w:t>
        <w:softHyphen/>
        <w:t>tekstu biblijske prapovijesti ta priča o pobuni ljudi i spuštanju Boga (11,7), koji ne može podnijeti ni ljudsku koncentraciju moći, poka</w:t>
        <w:softHyphen/>
        <w:t>zuje kako je iz jedinstvenoga čovječanstva na</w:t>
        <w:softHyphen/>
        <w:t>stao svijet raznih naroda sa svojim proturječ</w:t>
        <w:softHyphen/>
        <w:t>jem. Ona skreće Izraelu pozornost na činje</w:t>
        <w:softHyphen/>
        <w:t>nicu da svi narodi potječu od jednoga Boga i da su potpuno u njegovim rukama. Od te pri</w:t>
        <w:softHyphen/>
        <w:t>če na početku Biblije proteže se luk sve do riječi proroka koji u putove naroda proniču do božansko-ljudske tajne povijesti: Svi su bo</w:t>
        <w:softHyphen/>
        <w:t>govi, prema Amosu, kako god narod zvao svo</w:t>
        <w:softHyphen/>
        <w:t>jega povijesnog Boga osloboditelja, zapravo samo jedan; Izraelu je povjereno njegovo ime (9,7). Na njegovu zapovijed navijestio ga je nepoznati egzilski prorok kao budućeg oslo</w:t>
        <w:softHyphen/>
        <w:t>boditelja potlačenih naroda (Iz 45,18 i d.). Svi oni »s Istoka i oni sa Zapada« trebaju pre</w:t>
        <w:softHyphen/>
        <w:t>poznati njega kao jedinoga pravoga gospoda</w:t>
        <w:softHyphen/>
        <w:t>ra svjetske povijesti (45,6,21 i d ), stvaranja i otkupljenja (43,1), koji povezuje Izraela s ot</w:t>
        <w:softHyphen/>
        <w:t xml:space="preserve">kupljenjem naroda (43,1 i d.; 42,7; 49,9.12). Od »pravednoga Boga« dolazi pravednost u obliku reda za narode (45.21). Njima treba na </w:t>
      </w:r>
      <w:r>
        <w:rPr>
          <w:rFonts w:ascii="Times New Roman" w:eastAsia="Times New Roman" w:hAnsi="Times New Roman" w:cs="Times New Roman"/>
          <w:color w:val="000000"/>
          <w:spacing w:val="0"/>
          <w:w w:val="100"/>
          <w:position w:val="0"/>
          <w:shd w:val="clear" w:color="auto" w:fill="auto"/>
          <w:lang w:val="hr-HR" w:eastAsia="hr-HR" w:bidi="hr-HR"/>
        </w:rPr>
        <w:t>obnovljenoj zemlji »razdijeliti baštinu opus</w:t>
        <w:softHyphen/>
        <w:t>tošenu« (49,8) kako bi se Božji »spas donio do nakraj zemlje« (49,6). Ovdje utjeha Izraela (40,1) prerasta u utjehu čovječanstva koje se u izaijanskoj apokalipsi najprije zove »svi naro</w:t>
        <w:softHyphen/>
        <w:t>di«, no zatim »njegov (Božji) narod« (25,7 i d.) čiju će »sramotu... na svoj zemlji skinuti« sam Bog. Na jedinstveno čovječanstvo upu</w:t>
        <w:softHyphen/>
        <w:t>ćuje zadaća Božjeg sluge: »Postavit ću te za svjetlost narodima« (49,6); »za savez narodu« (49,8; 42,6) bit će pozvan, za posrednika save</w:t>
        <w:softHyphen/>
        <w:t>za s čovječanstvom. On mora uspostaviti novi poredak, »pravo na zemlji« (42,4); u njemu će se ostvariti Božja pravednost. Što se dogada Izraelu pretpostavka je onoga što se treba do</w:t>
        <w:softHyphen/>
        <w:t>goditi svim narodima; naime, Izrael je kao »sluga« Božji (41,8 i d.) oruđe u njegovim ru</w:t>
        <w:softHyphen/>
        <w:t>kama u Božjem planu za čovječanstvo: »Sabe- rite se i dođite, pristupite zajedno, svi preži</w:t>
        <w:softHyphen/>
        <w:t>vjeli od naroda!« (45,20). Ono što naznačuje utopijska vizija »Gore NJEGOVA doma«: »K njoj će se stjecati svi narodi, nagmut će mno</w:t>
        <w:softHyphen/>
        <w:t>ga plemena« (Iz 2,2; Mih 4,1), ovdje je povi</w:t>
        <w:softHyphen/>
        <w:t>jesno konkretno obuhvaćeno: Izraelovo otkup</w:t>
        <w:softHyphen/>
        <w:t>ljenje jedna je faza u Božjem otkupljeničkom djelovanju za cijelo čovječanstvo.</w:t>
      </w:r>
    </w:p>
    <w:p>
      <w:pPr>
        <w:pStyle w:val="Style20"/>
        <w:keepNext w:val="0"/>
        <w:keepLines w:val="0"/>
        <w:widowControl w:val="0"/>
        <w:numPr>
          <w:ilvl w:val="0"/>
          <w:numId w:val="191"/>
        </w:numPr>
        <w:shd w:val="clear" w:color="auto" w:fill="auto"/>
        <w:tabs>
          <w:tab w:pos="265" w:val="left"/>
        </w:tabs>
        <w:bidi w:val="0"/>
        <w:spacing w:before="0" w:after="0"/>
        <w:ind w:left="0" w:right="0" w:firstLine="0"/>
        <w:jc w:val="both"/>
        <w:sectPr>
          <w:headerReference w:type="default" r:id="rId573"/>
          <w:footerReference w:type="default" r:id="rId574"/>
          <w:headerReference w:type="even" r:id="rId575"/>
          <w:footerReference w:type="even" r:id="rId576"/>
          <w:footnotePr>
            <w:pos w:val="pageBottom"/>
            <w:numFmt w:val="decimal"/>
            <w:numStart w:val="5"/>
            <w:numRestart w:val="continuous"/>
            <w15:footnoteColumns w:val="1"/>
          </w:footnotePr>
          <w:pgSz w:w="6816" w:h="11006"/>
          <w:pgMar w:top="987" w:left="169" w:right="172" w:bottom="443" w:header="559" w:footer="3" w:gutter="0"/>
          <w:pgNumType w:start="194"/>
          <w:cols w:num="2" w:space="157"/>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»Pravednici ne dolaze iz određenog pleme</w:t>
        <w:softHyphen/>
        <w:t>na«:</w:t>
      </w:r>
      <w:r>
        <w:rPr>
          <w:rFonts w:ascii="Times New Roman" w:eastAsia="Times New Roman" w:hAnsi="Times New Roman" w:cs="Times New Roman"/>
          <w:color w:val="000000"/>
          <w:spacing w:val="0"/>
          <w:w w:val="100"/>
          <w:position w:val="0"/>
          <w:shd w:val="clear" w:color="auto" w:fill="auto"/>
          <w:lang w:val="hr-HR" w:eastAsia="hr-HR" w:bidi="hr-HR"/>
        </w:rPr>
        <w:t xml:space="preserve"> Učitelji židovstva ozbiljno su shvatili bi</w:t>
        <w:softHyphen/>
        <w:t>blijsku poruku da je Bog neba i zemlje Bog povijesti, pa čovjek stoga treba znati da on nije autonoman na svijetu i u životu i ne može »obredno« zadovoljiti Boga. No Bog se ne ob</w:t>
        <w:softHyphen/>
        <w:t>javljuje u povijesti tako da je jednostavno stvara; štoviše, on traži od čovjeka da mu služi u svojoj povijesnoj egzistenciji - u ljubavi pre</w:t>
        <w:softHyphen/>
        <w:t xml:space="preserve">ma Bogu i bližnjemu (Pnz 6,5;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19,7 i d.). Mudraci su neprestance pokušavali iznova tu</w:t>
        <w:softHyphen/>
        <w:t xml:space="preserve">mačiti svoje znanje o cjelovitom čovječanstvu, koje je zahvatila sumornost i zbunjenost, ali koje se može aktivnom snagom volje pojedinca oslobodili sumornosti i zbunjenosti: »Odakle se može razabrati da se čak poganin, koji se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bavi Torom, može izjednačiti s velikim sve</w:t>
        <w:softHyphen/>
        <w:t xml:space="preserve">ćenikom? To znači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 'Držite moje zakone i moje naredbe, koje čovjek mora vrši</w:t>
        <w:softHyphen/>
        <w:t>ti kako bi u njima našao život.’ Tu se ne govori o svećenicima, levitima ili Izraelcima nego o čovjeku. Iz toga možeš naučiti daje čak poga</w:t>
        <w:softHyphen/>
        <w:t>nin, koji se bavi Torom, jednak velikom sve</w:t>
        <w:softHyphen/>
        <w:t xml:space="preserve">ćeniku«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3a; usp. Šifra za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 Rabini su poučavali o važnosti etičkih zahtjeva i propisa za Židove i nežidove bez razlike; za ostvarenje Božje volje, kako kažu, nevažno je razdvajanje ljudi prema podrijetlu i religiji: »Glede svih zapovijedi Tore u tekstu se izjednačava pridošlica i domorodac« (Me- hilta za Izl 12,49). Naime, objavom svoje volje Bog nije htio doprijeti samo do Izraela nego i do čovječanstva: »’Utaborili su se u pustinji’, Tora je predana na otvorenom, potpuno jav</w:t>
        <w:softHyphen/>
        <w:t>no, na mjestu koje ne pripada nikome. Naime, da je predana u zemlji Izraelu, time bi se po</w:t>
        <w:softHyphen/>
        <w:t>ganskim narodima priopćilo da oni u njoj ne</w:t>
        <w:softHyphen/>
        <w:t>maju udjela; stoga se predana na otvorenom, potpuno javno, na mjestu koje ne pripada ni</w:t>
        <w:softHyphen/>
        <w:t>kome; i tko je želi prihvatiti, neka dođe i pri</w:t>
        <w:softHyphen/>
        <w:t xml:space="preserve">hvati je... R. Jose smatra (u vezi s Iz 45,19)... kad sam je prvi put predavao, nisam govorio u tajnosti, u zakutku mračne zemlje..., a nisam govorio ni potomstvu Jakovljevu, ‘samo vama je dajem’«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za Izl 19,2). Svi su ljudi kao stvorenja Božja sposobni i pozvani da ostva</w:t>
        <w:softHyphen/>
        <w:t xml:space="preserve">ruju dobro i time sve više učvršćuju vlast Božju u svijetu: »Tora je objavljena u pustinji između vatre i vode - budući da ona jednako pripada svim stanovnicima zemlje, ona se i daje svim stanovnicima zemlje«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za Izl 20,2). Doduše, čovječja je volja otpala, ali taj</w:t>
        <w:softHyphen/>
        <w:t>nom obraćenja (Vajikra raba VII,6,9) čovjek je predodređen za beskrajnu snagu i spasenj- ski čin. U jednom izvankanonskom traktatu piše u vezi s Iz 44,5: »’I ovaj će se zvati ime</w:t>
        <w:softHyphen/>
        <w:t>nom Jakovljevim’ - to su pobožni prozeliti; 'a ovaj će se pripisati Vječnome’ - to su pokaj</w:t>
        <w:softHyphen/>
        <w:t xml:space="preserve">nički grešnici; ‘i nazvat će se imenom Izrae- lovim’ - time se misli na sve ‘bogobojazne’ (pogane koji se priključuju jednomu Bogu) (Gcrim IV,2). Stvoritcljcvo </w:t>
      </w:r>
      <w:r>
        <w:rPr>
          <w:rFonts w:ascii="Times New Roman" w:eastAsia="Times New Roman" w:hAnsi="Times New Roman" w:cs="Times New Roman"/>
          <w:i/>
          <w:iCs/>
          <w:color w:val="000000"/>
          <w:spacing w:val="0"/>
          <w:w w:val="100"/>
          <w:position w:val="0"/>
          <w:shd w:val="clear" w:color="auto" w:fill="auto"/>
          <w:lang w:val="hr-HR" w:eastAsia="hr-HR" w:bidi="hr-HR"/>
        </w:rPr>
        <w:t>Da</w:t>
      </w:r>
      <w:r>
        <w:rPr>
          <w:rFonts w:ascii="Times New Roman" w:eastAsia="Times New Roman" w:hAnsi="Times New Roman" w:cs="Times New Roman"/>
          <w:color w:val="000000"/>
          <w:spacing w:val="0"/>
          <w:w w:val="100"/>
          <w:position w:val="0"/>
          <w:shd w:val="clear" w:color="auto" w:fill="auto"/>
          <w:lang w:val="hr-HR" w:eastAsia="hr-HR" w:bidi="hr-HR"/>
        </w:rPr>
        <w:t xml:space="preserve"> svim ljudima pogrešno bi se shvatilo kad bi se pretpostavilo da Bog više cijeni pravednost, istinu i ljubav što ih provode Židovi od onih što ih provode nežidovi: »Zašto on voli pravednike? Zato što njihova vrlina nije ništa baštinjeno... Čovjek ne može po želji biti levit ili </w:t>
      </w:r>
      <w:r>
        <w:rPr>
          <w:rFonts w:ascii="Times New Roman" w:eastAsia="Times New Roman" w:hAnsi="Times New Roman" w:cs="Times New Roman"/>
          <w:i/>
          <w:iCs/>
          <w:color w:val="000000"/>
          <w:spacing w:val="0"/>
          <w:w w:val="100"/>
          <w:position w:val="0"/>
          <w:shd w:val="clear" w:color="auto" w:fill="auto"/>
          <w:lang w:val="hr-HR" w:eastAsia="hr-HR" w:bidi="hr-HR"/>
        </w:rPr>
        <w:t>kohen</w:t>
      </w:r>
      <w:r>
        <w:rPr>
          <w:rFonts w:ascii="Times New Roman" w:eastAsia="Times New Roman" w:hAnsi="Times New Roman" w:cs="Times New Roman"/>
          <w:color w:val="000000"/>
          <w:spacing w:val="0"/>
          <w:w w:val="100"/>
          <w:position w:val="0"/>
          <w:shd w:val="clear" w:color="auto" w:fill="auto"/>
          <w:lang w:val="hr-HR" w:eastAsia="hr-HR" w:bidi="hr-HR"/>
        </w:rPr>
        <w:t xml:space="preserve"> ako mu </w:t>
      </w:r>
      <w:r>
        <w:rPr>
          <w:rFonts w:ascii="Times New Roman" w:eastAsia="Times New Roman" w:hAnsi="Times New Roman" w:cs="Times New Roman"/>
          <w:color w:val="000000"/>
          <w:spacing w:val="0"/>
          <w:w w:val="100"/>
          <w:position w:val="0"/>
          <w:shd w:val="clear" w:color="auto" w:fill="auto"/>
          <w:lang w:val="hr-HR" w:eastAsia="hr-HR" w:bidi="hr-HR"/>
        </w:rPr>
        <w:t xml:space="preserve">otac nije bio levit ili </w:t>
      </w:r>
      <w:r>
        <w:rPr>
          <w:rFonts w:ascii="Times New Roman" w:eastAsia="Times New Roman" w:hAnsi="Times New Roman" w:cs="Times New Roman"/>
          <w:i/>
          <w:iCs/>
          <w:color w:val="000000"/>
          <w:spacing w:val="0"/>
          <w:w w:val="100"/>
          <w:position w:val="0"/>
          <w:shd w:val="clear" w:color="auto" w:fill="auto"/>
          <w:lang w:val="hr-HR" w:eastAsia="hr-HR" w:bidi="hr-HR"/>
        </w:rPr>
        <w:t>kohen.</w:t>
      </w:r>
      <w:r>
        <w:rPr>
          <w:rFonts w:ascii="Times New Roman" w:eastAsia="Times New Roman" w:hAnsi="Times New Roman" w:cs="Times New Roman"/>
          <w:color w:val="000000"/>
          <w:spacing w:val="0"/>
          <w:w w:val="100"/>
          <w:position w:val="0"/>
          <w:shd w:val="clear" w:color="auto" w:fill="auto"/>
          <w:lang w:val="hr-HR" w:eastAsia="hr-HR" w:bidi="hr-HR"/>
        </w:rPr>
        <w:t xml:space="preserve"> No, ako tko želi postati pravednikom, može, čak ako je poga</w:t>
        <w:softHyphen/>
        <w:t>nin, jer pravednici ne potječu iz određena ple</w:t>
        <w:softHyphen/>
        <w:t>mena, nego su zbog samih sebe stekli tu pred</w:t>
        <w:softHyphen/>
        <w:t>nost« (Tehilim za Ps 146,8; Bemidbar raba VIII,5,6). U takvom rabinskom tumačenju, koje prevladava i obuhvaća ograničavajuće su</w:t>
        <w:softHyphen/>
        <w:t>protstavljanje unutarnjeg i vanjskog morala, skupile su se pentateuške linije o zajedničkom podrijetlu jedinstvenog čovječanstva, o srod</w:t>
        <w:softHyphen/>
        <w:t>stvu svih naroda (Post 10) te o noahidskom temeljnom zakonu (Post 9) koji objašnjava moralno zajedništvo ljudskoga roda i univer</w:t>
        <w:softHyphen/>
        <w:t>zalnu proročku spoznaju Boga (Iz 11,9; Hab 2,14; Jr 31,34) koja ispunjava zemlju, o pravici i dobru prema svakomu (Mih 6,8) i o nalogu Božjega sluge, odnosno Izraela da svim lju</w:t>
        <w:softHyphen/>
        <w:t>dima objavi jednoga Boga (Iz 49,6.8.12; 45,6.21 i d.) Mudraci su moralnim zahtjevima dali razmjere beskonačnosti: svaki je pojedi</w:t>
        <w:softHyphen/>
        <w:t>nac pozvan, kao stvorenje jednoga Boga, pri</w:t>
        <w:softHyphen/>
        <w:t>donijeti ispunjenju Božje volje i svojim udje</w:t>
        <w:softHyphen/>
        <w:t>lom pridonijeti zadaći Božjoj za cijelo čovje</w:t>
        <w:softHyphen/>
        <w:t>čanstvo (Jalkut § 42). Bog »ne odbacuje ni jedno stvorenje. Dveri su otvorene, i tko želi ući, može doći i ući... da ude pravedan na</w:t>
        <w:softHyphen/>
        <w:t xml:space="preserve">rod« (Šifra za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18,26). Do najvećeg izraža</w:t>
        <w:softHyphen/>
        <w:t xml:space="preserve">ja došlo je gledište o moralnom poslanju svih ljudi u mesijanskoj nadi u budućnost i svijet koji je u realnoj povijesti podigao i otkupio Bog (b Pesahim 118b; Berešit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LXXVIII, </w:t>
      </w:r>
      <w:r>
        <w:rPr>
          <w:rFonts w:ascii="Times New Roman" w:eastAsia="Times New Roman" w:hAnsi="Times New Roman" w:cs="Times New Roman"/>
          <w:color w:val="000000"/>
          <w:spacing w:val="0"/>
          <w:w w:val="100"/>
          <w:position w:val="0"/>
          <w:shd w:val="clear" w:color="auto" w:fill="auto"/>
          <w:lang w:val="hr-HR" w:eastAsia="hr-HR" w:bidi="hr-HR"/>
        </w:rPr>
        <w:t xml:space="preserve">33,10 i d.; Tehilim za Ps 87,3; 21,1). Tada će Mesija učiti ljude (b Hulin 92a; Tehilim za Ps 121,1). I u »nadolazećem svijetu« pravednici naroda imaju udjela (Toscfta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XIII, 2). Stoga je već i za »ovaj svijet« vrijedila opo</w:t>
        <w:softHyphen/>
        <w:t>mena: »Nikoga nemoj omalovažavati« (M Avot IV,3). U skladu s biblijskim korijenima rabini su se zauzimali za zajednicu, otvorenu svim ljudima, onih koji su se pokorili vlasti jednoga Boga i provodili njegovu volju. Na</w:t>
        <w:softHyphen/>
        <w:t>ime, cilj svih ljudi istoga moralnog vredno</w:t>
        <w:softHyphen/>
        <w:t>vanja pokazao se kao bezuvjetan korelat iza- branosti Izraela u interesu drugih naroda da i oni budu odabrani (Iz 42,6; usp. Šifre Pnz 32,9).</w:t>
      </w:r>
    </w:p>
    <w:p>
      <w:pPr>
        <w:pStyle w:val="Style20"/>
        <w:keepNext w:val="0"/>
        <w:keepLines w:val="0"/>
        <w:widowControl w:val="0"/>
        <w:numPr>
          <w:ilvl w:val="0"/>
          <w:numId w:val="191"/>
        </w:numPr>
        <w:shd w:val="clear" w:color="auto" w:fill="auto"/>
        <w:tabs>
          <w:tab w:pos="260" w:val="left"/>
        </w:tabs>
        <w:bidi w:val="0"/>
        <w:spacing w:before="0" w:after="60"/>
        <w:ind w:left="0" w:right="0" w:firstLine="0"/>
        <w:jc w:val="both"/>
        <w:sectPr>
          <w:headerReference w:type="default" r:id="rId577"/>
          <w:footerReference w:type="default" r:id="rId578"/>
          <w:headerReference w:type="even" r:id="rId579"/>
          <w:footerReference w:type="even" r:id="rId580"/>
          <w:footnotePr>
            <w:pos w:val="pageBottom"/>
            <w:numFmt w:val="decimal"/>
            <w:numStart w:val="5"/>
            <w:numRestart w:val="continuous"/>
            <w15:footnoteColumns w:val="1"/>
          </w:footnotePr>
          <w:pgSz w:w="6816" w:h="11006"/>
          <w:pgMar w:top="987" w:left="169" w:right="172" w:bottom="443" w:header="0" w:footer="15" w:gutter="0"/>
          <w:pgNumType w:start="199"/>
          <w:cols w:num="2" w:space="157"/>
          <w:noEndnote/>
          <w:rtlGutter w:val="0"/>
          <w:docGrid w:linePitch="360"/>
        </w:sectPr>
      </w:pPr>
      <w:r>
        <mc:AlternateContent>
          <mc:Choice Requires="wps">
            <w:drawing>
              <wp:anchor distT="25400" distB="254000" distL="114300" distR="114300" simplePos="0" relativeHeight="125829399" behindDoc="0" locked="0" layoutInCell="1" allowOverlap="1">
                <wp:simplePos x="0" y="0"/>
                <wp:positionH relativeFrom="page">
                  <wp:posOffset>4023995</wp:posOffset>
                </wp:positionH>
                <wp:positionV relativeFrom="margin">
                  <wp:posOffset>6123305</wp:posOffset>
                </wp:positionV>
                <wp:extent cx="170815" cy="109855"/>
                <wp:wrapTopAndBottom/>
                <wp:docPr id="1240" name="Shape 1240"/>
                <a:graphic xmlns:a="http://schemas.openxmlformats.org/drawingml/2006/main">
                  <a:graphicData uri="http://schemas.microsoft.com/office/word/2010/wordprocessingShape">
                    <wps:wsp>
                      <wps:cNvSpPr txBox="1"/>
                      <wps:spPr>
                        <a:xfrm>
                          <a:ext cx="170815"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 nc</w:t>
                            </w:r>
                          </w:p>
                        </w:txbxContent>
                      </wps:txbx>
                      <wps:bodyPr wrap="none" lIns="0" tIns="0" rIns="0" bIns="0">
                        <a:noAutoFit/>
                      </wps:bodyPr>
                    </wps:wsp>
                  </a:graphicData>
                </a:graphic>
              </wp:anchor>
            </w:drawing>
          </mc:Choice>
          <mc:Fallback>
            <w:pict>
              <v:shape id="_x0000_s2266" type="#_x0000_t202" style="position:absolute;margin-left:316.85000000000002pt;margin-top:482.14999999999998pt;width:13.449999999999999pt;height:8.6500000000000004pt;z-index:-125829354;mso-wrap-distance-left:9.pt;mso-wrap-distance-top:2.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 nc</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Jedini Bog i j</w:t>
      </w:r>
      <w:r>
        <w:rPr>
          <w:rFonts w:ascii="Times New Roman" w:eastAsia="Times New Roman" w:hAnsi="Times New Roman" w:cs="Times New Roman"/>
          <w:color w:val="000000"/>
          <w:spacing w:val="0"/>
          <w:w w:val="100"/>
          <w:position w:val="0"/>
          <w:shd w:val="clear" w:color="auto" w:fill="auto"/>
          <w:lang w:val="hr-HR" w:eastAsia="hr-HR" w:bidi="hr-HR"/>
        </w:rPr>
        <w:t xml:space="preserve"> &lt;?.: Pogled od jedinoga Boga na j. č. i na pojedinca kao dijela cjeline usmje</w:t>
        <w:softHyphen/>
        <w:t>ravali su i srednjovjekovni znanstvenici i mo</w:t>
        <w:softHyphen/>
        <w:t xml:space="preserve">derni židovski filozofi. Svaki je čovjek, prema Majmonidu, odabran za službu jednoga Boga, »jer ga je njegov duh potaknuo na spoznaju </w:t>
      </w:r>
    </w:p>
    <w:p>
      <w:pPr>
        <w:pStyle w:val="Style20"/>
        <w:keepNext w:val="0"/>
        <w:keepLines w:val="0"/>
        <w:widowControl w:val="0"/>
        <w:shd w:val="clear" w:color="auto" w:fill="auto"/>
        <w:tabs>
          <w:tab w:pos="26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je izdvojen i da stoji pred Bogom kako bi mu služio, spoznao Boga i hodao ispravnim putem prema onomu za što gaje Bog stvorio« (Mišne Tora, Hilhot šemita XIII, 13). Izreku rabina Akive: »Čovjek je miljenik (Boga) jer je stvoren na sliku« (M Avot 111,15) komenti</w:t>
        <w:softHyphen/>
        <w:t xml:space="preserve">ranje Jom-tov </w:t>
      </w:r>
      <w:r>
        <w:rPr>
          <w:rFonts w:ascii="Times New Roman" w:eastAsia="Times New Roman" w:hAnsi="Times New Roman" w:cs="Times New Roman"/>
          <w:color w:val="000000"/>
          <w:spacing w:val="0"/>
          <w:w w:val="100"/>
          <w:position w:val="0"/>
          <w:shd w:val="clear" w:color="auto" w:fill="auto"/>
          <w:lang w:val="en-US" w:eastAsia="en-US" w:bidi="en-US"/>
        </w:rPr>
        <w:t xml:space="preserve">Lipmann Heller: </w:t>
      </w:r>
      <w:r>
        <w:rPr>
          <w:rFonts w:ascii="Times New Roman" w:eastAsia="Times New Roman" w:hAnsi="Times New Roman" w:cs="Times New Roman"/>
          <w:color w:val="000000"/>
          <w:spacing w:val="0"/>
          <w:w w:val="100"/>
          <w:position w:val="0"/>
          <w:shd w:val="clear" w:color="auto" w:fill="auto"/>
          <w:lang w:val="hr-HR" w:eastAsia="hr-HR" w:bidi="hr-HR"/>
        </w:rPr>
        <w:t>»R. Akiva go</w:t>
        <w:softHyphen/>
        <w:t>vori ovdje o svim ljudima, što proizlazi iz ovdje navedene biblijske izreke, koja je upu</w:t>
        <w:softHyphen/>
        <w:t>ćena svim Noinim potomcima, a ne samo Iz</w:t>
        <w:softHyphen/>
        <w:t xml:space="preserve">raelu« (Tosafot Jom-tov u vezi s tim mjestom u Misni). Kasniji su to smatrali važnim.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Geiger: </w:t>
      </w:r>
      <w:r>
        <w:rPr>
          <w:rFonts w:ascii="Times New Roman" w:eastAsia="Times New Roman" w:hAnsi="Times New Roman" w:cs="Times New Roman"/>
          <w:color w:val="000000"/>
          <w:spacing w:val="0"/>
          <w:w w:val="100"/>
          <w:position w:val="0"/>
          <w:shd w:val="clear" w:color="auto" w:fill="auto"/>
          <w:lang w:val="hr-HR" w:eastAsia="hr-HR" w:bidi="hr-HR"/>
        </w:rPr>
        <w:t xml:space="preserve">»No čovječanstvo je u cijelosti stvoreno na Božju sliku i priliku«, izveo je iz toga ravnopravno cijelo čovječanstvo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Ju- dentum </w:t>
      </w:r>
      <w:r>
        <w:rPr>
          <w:rFonts w:ascii="Times New Roman" w:eastAsia="Times New Roman" w:hAnsi="Times New Roman" w:cs="Times New Roman"/>
          <w:i/>
          <w:iCs/>
          <w:color w:val="000000"/>
          <w:spacing w:val="0"/>
          <w:w w:val="100"/>
          <w:position w:val="0"/>
          <w:shd w:val="clear" w:color="auto" w:fill="auto"/>
          <w:lang w:val="en-US" w:eastAsia="en-US" w:bidi="en-US"/>
        </w:rPr>
        <w:t>und seine Geschichte,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 1865, 42; usp. </w:t>
      </w:r>
      <w:r>
        <w:rPr>
          <w:rFonts w:ascii="Times New Roman" w:eastAsia="Times New Roman" w:hAnsi="Times New Roman" w:cs="Times New Roman"/>
          <w:color w:val="000000"/>
          <w:spacing w:val="0"/>
          <w:w w:val="100"/>
          <w:position w:val="0"/>
          <w:shd w:val="clear" w:color="auto" w:fill="auto"/>
          <w:lang w:val="en-US" w:eastAsia="en-US" w:bidi="en-US"/>
        </w:rPr>
        <w:t xml:space="preserve">Moritz </w:t>
      </w:r>
      <w:r>
        <w:rPr>
          <w:rFonts w:ascii="Times New Roman" w:eastAsia="Times New Roman" w:hAnsi="Times New Roman" w:cs="Times New Roman"/>
          <w:color w:val="000000"/>
          <w:spacing w:val="0"/>
          <w:w w:val="100"/>
          <w:position w:val="0"/>
          <w:shd w:val="clear" w:color="auto" w:fill="auto"/>
          <w:lang w:val="hr-HR" w:eastAsia="hr-HR" w:bidi="hr-HR"/>
        </w:rPr>
        <w:t xml:space="preserve">Giidcmann,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Judentum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seinen Grundziigen,</w:t>
      </w:r>
      <w:r>
        <w:rPr>
          <w:rFonts w:ascii="Times New Roman" w:eastAsia="Times New Roman" w:hAnsi="Times New Roman" w:cs="Times New Roman"/>
          <w:color w:val="000000"/>
          <w:spacing w:val="0"/>
          <w:w w:val="100"/>
          <w:position w:val="0"/>
          <w:shd w:val="clear" w:color="auto" w:fill="auto"/>
          <w:lang w:val="hr-HR" w:eastAsia="hr-HR" w:bidi="hr-HR"/>
        </w:rPr>
        <w:t xml:space="preserve"> 1902, 103 i d.; </w:t>
      </w:r>
      <w:r>
        <w:rPr>
          <w:rFonts w:ascii="Times New Roman" w:eastAsia="Times New Roman" w:hAnsi="Times New Roman" w:cs="Times New Roman"/>
          <w:color w:val="000000"/>
          <w:spacing w:val="0"/>
          <w:w w:val="100"/>
          <w:position w:val="0"/>
          <w:shd w:val="clear" w:color="auto" w:fill="auto"/>
          <w:lang w:val="en-US" w:eastAsia="en-US" w:bidi="en-US"/>
        </w:rPr>
        <w:t xml:space="preserve">Max Joseph, </w:t>
      </w:r>
      <w:r>
        <w:rPr>
          <w:rFonts w:ascii="Times New Roman" w:eastAsia="Times New Roman" w:hAnsi="Times New Roman" w:cs="Times New Roman"/>
          <w:i/>
          <w:iCs/>
          <w:color w:val="000000"/>
          <w:spacing w:val="0"/>
          <w:w w:val="100"/>
          <w:position w:val="0"/>
          <w:shd w:val="clear" w:color="auto" w:fill="auto"/>
          <w:lang w:val="hr-HR" w:eastAsia="hr-HR" w:bidi="hr-HR"/>
        </w:rPr>
        <w:t>Zur SittenlehredesJudentums,</w:t>
      </w:r>
      <w:r>
        <w:rPr>
          <w:rFonts w:ascii="Times New Roman" w:eastAsia="Times New Roman" w:hAnsi="Times New Roman" w:cs="Times New Roman"/>
          <w:color w:val="000000"/>
          <w:spacing w:val="0"/>
          <w:w w:val="100"/>
          <w:position w:val="0"/>
          <w:shd w:val="clear" w:color="auto" w:fill="auto"/>
          <w:lang w:val="hr-HR" w:eastAsia="hr-HR" w:bidi="hr-HR"/>
        </w:rPr>
        <w:t xml:space="preserve"> 1902,18). </w:t>
      </w:r>
      <w:r>
        <w:rPr>
          <w:rFonts w:ascii="Times New Roman" w:eastAsia="Times New Roman" w:hAnsi="Times New Roman" w:cs="Times New Roman"/>
          <w:color w:val="000000"/>
          <w:spacing w:val="0"/>
          <w:w w:val="100"/>
          <w:position w:val="0"/>
          <w:shd w:val="clear" w:color="auto" w:fill="auto"/>
          <w:lang w:val="en-US" w:eastAsia="en-US" w:bidi="en-US"/>
        </w:rPr>
        <w:t xml:space="preserve">Leo Baeck, </w:t>
      </w:r>
      <w:r>
        <w:rPr>
          <w:rFonts w:ascii="Times New Roman" w:eastAsia="Times New Roman" w:hAnsi="Times New Roman" w:cs="Times New Roman"/>
          <w:color w:val="000000"/>
          <w:spacing w:val="0"/>
          <w:w w:val="100"/>
          <w:position w:val="0"/>
          <w:shd w:val="clear" w:color="auto" w:fill="auto"/>
          <w:lang w:val="hr-HR" w:eastAsia="hr-HR" w:bidi="hr-HR"/>
        </w:rPr>
        <w:t>koji je stvaranje na sliku Božju okarakterizi</w:t>
        <w:softHyphen/>
        <w:t>rao kao zajedničko svim ljudima, naglasio je: »Tko god ima čovječje lice, stvorenje i pozvan da bude objava ljudskoga dostojanstva. Jas</w:t>
        <w:softHyphen/>
        <w:t xml:space="preserve">nije i odlučnije ne može se naglasiti ni </w:t>
      </w:r>
      <w:r>
        <w:rPr>
          <w:rFonts w:ascii="Times New Roman" w:eastAsia="Times New Roman" w:hAnsi="Times New Roman" w:cs="Times New Roman"/>
          <w:i/>
          <w:iCs/>
          <w:color w:val="000000"/>
          <w:spacing w:val="0"/>
          <w:w w:val="100"/>
          <w:position w:val="0"/>
          <w:shd w:val="clear" w:color="auto" w:fill="auto"/>
          <w:lang w:val="hr-HR" w:eastAsia="hr-HR" w:bidi="hr-HR"/>
        </w:rPr>
        <w:t>Jedin</w:t>
        <w:softHyphen/>
        <w:t xml:space="preserve">stvo ljudskoga roda«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Wesen des </w:t>
      </w:r>
      <w:r>
        <w:rPr>
          <w:rFonts w:ascii="Times New Roman" w:eastAsia="Times New Roman" w:hAnsi="Times New Roman" w:cs="Times New Roman"/>
          <w:i/>
          <w:iCs/>
          <w:color w:val="000000"/>
          <w:spacing w:val="0"/>
          <w:w w:val="100"/>
          <w:position w:val="0"/>
          <w:shd w:val="clear" w:color="auto" w:fill="auto"/>
          <w:lang w:val="hr-HR" w:eastAsia="hr-HR" w:bidi="hr-HR"/>
        </w:rPr>
        <w:t>Juden- lunts,</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1922, 6. izdanje, 166).</w:t>
      </w:r>
    </w:p>
    <w:p>
      <w:pPr>
        <w:pStyle w:val="Style56"/>
        <w:keepNext w:val="0"/>
        <w:keepLines w:val="0"/>
        <w:widowControl w:val="0"/>
        <w:shd w:val="clear" w:color="auto" w:fill="auto"/>
        <w:tabs>
          <w:tab w:pos="2434"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 M. </w:t>
      </w:r>
      <w:r>
        <w:rPr>
          <w:color w:val="000000"/>
          <w:spacing w:val="0"/>
          <w:w w:val="100"/>
          <w:position w:val="0"/>
          <w:shd w:val="clear" w:color="auto" w:fill="auto"/>
        </w:rPr>
        <w:t xml:space="preserve">Buber. </w:t>
      </w:r>
      <w:r>
        <w:rPr>
          <w:i/>
          <w:iCs/>
          <w:color w:val="000000"/>
          <w:spacing w:val="0"/>
          <w:w w:val="100"/>
          <w:position w:val="0"/>
          <w:shd w:val="clear" w:color="auto" w:fill="auto"/>
        </w:rPr>
        <w:t xml:space="preserve">Reden uber </w:t>
      </w:r>
      <w:r>
        <w:rPr>
          <w:i/>
          <w:iCs/>
          <w:color w:val="000000"/>
          <w:spacing w:val="0"/>
          <w:w w:val="100"/>
          <w:position w:val="0"/>
          <w:shd w:val="clear" w:color="auto" w:fill="auto"/>
          <w:lang w:val="hr-HR" w:eastAsia="hr-HR" w:bidi="hr-HR"/>
        </w:rPr>
        <w:t>das Judentum,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rPr>
        <w:t>1</w:t>
      </w:r>
      <w:r>
        <w:rPr>
          <w:color w:val="000000"/>
          <w:spacing w:val="0"/>
          <w:w w:val="100"/>
          <w:position w:val="0"/>
          <w:shd w:val="clear" w:color="auto" w:fill="auto"/>
          <w:lang w:val="hr-HR" w:eastAsia="hr-HR" w:bidi="hr-HR"/>
        </w:rPr>
        <w:t>932, posebice 17-33.</w:t>
        <w:tab/>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d.</w:t>
      </w:r>
      <w:r>
        <w:rPr>
          <w:color w:val="000000"/>
          <w:spacing w:val="0"/>
          <w:w w:val="100"/>
          <w:position w:val="0"/>
          <w:shd w:val="clear" w:color="auto" w:fill="auto"/>
          <w:lang w:val="hr-HR" w:eastAsia="hr-HR" w:bidi="hr-HR"/>
        </w:rPr>
        <w:t xml:space="preserve"> virrrER</w:t>
      </w:r>
    </w:p>
    <w:p>
      <w:pPr>
        <w:pStyle w:val="Style63"/>
        <w:keepNext/>
        <w:keepLines/>
        <w:widowControl w:val="0"/>
        <w:numPr>
          <w:ilvl w:val="0"/>
          <w:numId w:val="193"/>
        </w:numPr>
        <w:shd w:val="clear" w:color="auto" w:fill="auto"/>
        <w:tabs>
          <w:tab w:pos="255" w:val="left"/>
        </w:tabs>
        <w:bidi w:val="0"/>
        <w:spacing w:before="0" w:line="223" w:lineRule="auto"/>
        <w:ind w:left="0" w:right="0" w:firstLine="0"/>
        <w:jc w:val="both"/>
      </w:pPr>
      <w:bookmarkStart w:id="139" w:name="bookmark13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3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Predodžba o jedinstvu čovječanstva ima dva korijena koja su tijekom svog razvoja bila vi</w:t>
        <w:softHyphen/>
        <w:t xml:space="preserve">šestruko isprepletena: a) </w:t>
      </w:r>
      <w:r>
        <w:rPr>
          <w:rFonts w:ascii="Times New Roman" w:eastAsia="Times New Roman" w:hAnsi="Times New Roman" w:cs="Times New Roman"/>
          <w:i/>
          <w:iCs/>
          <w:color w:val="000000"/>
          <w:spacing w:val="0"/>
          <w:w w:val="100"/>
          <w:position w:val="0"/>
          <w:shd w:val="clear" w:color="auto" w:fill="auto"/>
          <w:lang w:val="hr-HR" w:eastAsia="hr-HR" w:bidi="hr-HR"/>
        </w:rPr>
        <w:t>svjetski um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stoičke filozofije koja je utemeljila misao o jedinstvenoj prirodi, koja obuhvaća sve ljude, i koja je dovela do postulata jednakosti u eu</w:t>
        <w:softHyphen/>
        <w:t xml:space="preserve">ropskom prosvjetiteljstvu; b) biblijsko učenje o </w:t>
      </w:r>
      <w:r>
        <w:rPr>
          <w:rFonts w:ascii="Times New Roman" w:eastAsia="Times New Roman" w:hAnsi="Times New Roman" w:cs="Times New Roman"/>
          <w:i/>
          <w:iCs/>
          <w:color w:val="000000"/>
          <w:spacing w:val="0"/>
          <w:w w:val="100"/>
          <w:position w:val="0"/>
          <w:shd w:val="clear" w:color="auto" w:fill="auto"/>
          <w:lang w:val="hr-HR" w:eastAsia="hr-HR" w:bidi="hr-HR"/>
        </w:rPr>
        <w:t>stvaranju</w:t>
      </w:r>
      <w:r>
        <w:rPr>
          <w:rFonts w:ascii="Times New Roman" w:eastAsia="Times New Roman" w:hAnsi="Times New Roman" w:cs="Times New Roman"/>
          <w:color w:val="000000"/>
          <w:spacing w:val="0"/>
          <w:w w:val="100"/>
          <w:position w:val="0"/>
          <w:shd w:val="clear" w:color="auto" w:fill="auto"/>
          <w:lang w:val="hr-HR" w:eastAsia="hr-HR" w:bidi="hr-HR"/>
        </w:rPr>
        <w:t xml:space="preserve"> svijeta od strane jedinoga Boga, koje je u konačnom obliku hebrejske Biblije bilo na početku povijesti Božjeg naroda, iako je povijesno izraslo prije iz iskustva egzodusa i njegova proširenja na univerzalno otkuplje</w:t>
        <w:softHyphen/>
        <w:t>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Hebrejska Biblija sadrži različite naznake tog uvjerenja o jedinstvu čovječanstva, o toleran</w:t>
        <w:softHyphen/>
        <w:t>ciji prema strancima koja je usidrena u njezi</w:t>
        <w:softHyphen/>
        <w:t>nu zakonodavstvu i svjedočanstvu svetih ju</w:t>
        <w:softHyphen/>
        <w:t xml:space="preserve">naka, kao što su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i Ruta, sve do obliko</w:t>
        <w:softHyphen/>
        <w:t>vanja izričito univerzalističkog stava na vrhun</w:t>
        <w:softHyphen/>
        <w:t>cu proročanstava (Iz, Jer, Ez) i na prijelazu u apokaliptiku (Dn). To univerzalno gledanje na čovječanstvo zadržalo se i u Novom za</w:t>
        <w:softHyphen/>
      </w:r>
      <w:r>
        <w:rPr>
          <w:rFonts w:ascii="Times New Roman" w:eastAsia="Times New Roman" w:hAnsi="Times New Roman" w:cs="Times New Roman"/>
          <w:color w:val="000000"/>
          <w:spacing w:val="0"/>
          <w:w w:val="100"/>
          <w:position w:val="0"/>
          <w:shd w:val="clear" w:color="auto" w:fill="auto"/>
          <w:lang w:val="hr-HR" w:eastAsia="hr-HR" w:bidi="hr-HR"/>
        </w:rPr>
        <w:t>vjetu. Nadovezujući se na predodžbeni svijet apokaliptike, Isus se označava kao »Sin čo</w:t>
        <w:softHyphen/>
        <w:t>vječji« i njegovo propovijedanje o »kraljevstvu Božjem«, premda je sam jedva kad napustio zemlju Izrael, načelno je upućeno svim lju</w:t>
        <w:softHyphen/>
        <w:t>dima dobre volje. Prvi kršćani, još sasvim prožeti židovstvom, morali su se vrlo brzo ot</w:t>
        <w:softHyphen/>
        <w:t>voriti prema helenističkom svijetu, o čemu se na tzv. »Apostolskom saboru« u Jeruzalemu (usp. Dj 15) raspravljalo i zaključivalo, a došlo je potpuno do izražaja u Pavlovoj misijskoj djelatnosti i teologiji. Čitava struktura Po</w:t>
        <w:softHyphen/>
        <w:t>slanice Rimljanima temelji se na postavci da su svi ljudi obdareni umom i stoga kadri primiti objavu koja se sada nalazi u Kristu i dalje vršiti otkupljenje koje je ispunjeno nje</w:t>
        <w:softHyphen/>
        <w:t>govim uskrsnućem. I kad se u Poslanici Ga- laćanima kaže: »Nema tu više ni Židova ni Grka; nema više ni roba ni slobodnjaka; nema više ni muškog ni ženskog, jer ste svi samo je</w:t>
        <w:softHyphen/>
        <w:t>dan u Kristu Isusu« (Gal 3,28), utemeljuje se i nagovješćuje himna jedinstvu stvorenoga svi</w:t>
        <w:softHyphen/>
        <w:t>jeta i otkupljenja iz Poslanice Kološanima (Kol 1,15-18), kozmičko-kristološko gledište iz Poslanice Efcžanima (usp. Ef 1,20-23; 2,13-16; 3,14-19; 4,6) i teologija Logosa iz Iva</w:t>
        <w:softHyphen/>
        <w:t>nova uvoda (Iv 1,1-5.9-14).</w:t>
      </w:r>
    </w:p>
    <w:p>
      <w:pPr>
        <w:pStyle w:val="Style20"/>
        <w:keepNext w:val="0"/>
        <w:keepLines w:val="0"/>
        <w:widowControl w:val="0"/>
        <w:shd w:val="clear" w:color="auto" w:fill="auto"/>
        <w:bidi w:val="0"/>
        <w:spacing w:before="0" w:after="0"/>
        <w:ind w:left="0" w:right="0" w:firstLine="0"/>
        <w:jc w:val="both"/>
        <w:sectPr>
          <w:headerReference w:type="default" r:id="rId581"/>
          <w:footerReference w:type="default" r:id="rId582"/>
          <w:headerReference w:type="even" r:id="rId583"/>
          <w:footerReference w:type="even" r:id="rId584"/>
          <w:footnotePr>
            <w:pos w:val="pageBottom"/>
            <w:numFmt w:val="decimal"/>
            <w:numStart w:val="5"/>
            <w:numRestart w:val="continuous"/>
            <w15:footnoteColumns w:val="1"/>
          </w:footnotePr>
          <w:pgSz w:w="6816" w:h="11006"/>
          <w:pgMar w:top="987" w:left="169" w:right="172" w:bottom="443" w:header="0" w:footer="3" w:gutter="0"/>
          <w:pgNumType w:start="196"/>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Pa ipak, i za prve kršćane, čak nakon misio</w:t>
        <w:softHyphen/>
        <w:t>narskog obrata prema nežidovskim narodima, .čovječanstvo’ je praktički značilo oikumene, obilježenu granicama Rimskoga Carstva, svijet koji može biti nastanjen civiliziranim ljudima. Nakon što su te granice bile dosegnute misio</w:t>
        <w:softHyphen/>
        <w:t>narskim širenjem kršćanstva i prije svega na</w:t>
        <w:softHyphen/>
        <w:t>kon zaokruživanja europskoga kršćanstva isla</w:t>
        <w:softHyphen/>
        <w:t>mom, misao o jedinstvu čovječanstva u srednjo</w:t>
        <w:softHyphen/>
        <w:t>vjekovnoj teologiji ostala je ponajviše latentna dok je dalekovidni Nikola Kuzanski i mislioci rane renesanse nisu počeli iznova formulirati. Trebalo je doči do povijesne konfrontacije sa stvarnom mnogostrukošću naroda, s njihovim obredima, religijama i kulturama, uslijed ve</w:t>
        <w:softHyphen/>
        <w:t>likih pomorskih otkrića i potom dolaska znan- stveno-tehničke civilizacije da bi se predodžba o jedinstvu čovječanstva kod europskih kršća</w:t>
        <w:softHyphen/>
        <w:t>na istodobno konkretizirala u važno teološko pitanje - npr. sporenje teologa u Valladolidu glede ljudskih svojstava južnoameričkih In- diosa - i uopćila u apstraktni postulat huma</w:t>
        <w:softHyphen/>
        <w:t>nističke etike. Napetost, proizašla iz toga po</w:t>
        <w:softHyphen/>
        <w:t xml:space="preserve">vijesnog razvoja, između univerzalnosti ljudske naravi i partikularnosti otkupljenja koje po-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sređuju sakramenti i propovijed Crkve, dalje je podržavana i u godinama osnivanja eku</w:t>
        <w:softHyphen/>
        <w:t>menskog pokreta. Od otprilike 1920. tu su po</w:t>
        <w:softHyphen/>
        <w:t>zitivni stavovi pravoslavnih i protestantskih crkava prema Savezu naroda, a na konferen</w:t>
        <w:softHyphen/>
        <w:t xml:space="preserve">ciji pokreta </w:t>
      </w:r>
      <w:r>
        <w:rPr>
          <w:rFonts w:ascii="Times New Roman" w:eastAsia="Times New Roman" w:hAnsi="Times New Roman" w:cs="Times New Roman"/>
          <w:color w:val="000000"/>
          <w:spacing w:val="0"/>
          <w:w w:val="100"/>
          <w:position w:val="0"/>
          <w:shd w:val="clear" w:color="auto" w:fill="auto"/>
          <w:lang w:val="en-US" w:eastAsia="en-US" w:bidi="en-US"/>
        </w:rPr>
        <w:t xml:space="preserve">»Life and Work«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 xml:space="preserve">Oxfordu </w:t>
      </w:r>
      <w:r>
        <w:rPr>
          <w:rFonts w:ascii="Times New Roman" w:eastAsia="Times New Roman" w:hAnsi="Times New Roman" w:cs="Times New Roman"/>
          <w:color w:val="000000"/>
          <w:spacing w:val="0"/>
          <w:w w:val="100"/>
          <w:position w:val="0"/>
          <w:shd w:val="clear" w:color="auto" w:fill="auto"/>
          <w:lang w:val="hr-HR" w:eastAsia="hr-HR" w:bidi="hr-HR"/>
        </w:rPr>
        <w:t>(1937) izričito je formulirano j. č. kao temelj kršćan</w:t>
        <w:softHyphen/>
        <w:t>skih mirovnih napora. Nakon osuda antisemi</w:t>
        <w:softHyphen/>
        <w:t xml:space="preserve">tizma (Amsterdam, 1948) i bijelog rasizma </w:t>
      </w:r>
      <w:r>
        <w:rPr>
          <w:rFonts w:ascii="Times New Roman" w:eastAsia="Times New Roman" w:hAnsi="Times New Roman" w:cs="Times New Roman"/>
          <w:color w:val="000000"/>
          <w:spacing w:val="0"/>
          <w:w w:val="100"/>
          <w:position w:val="0"/>
          <w:shd w:val="clear" w:color="auto" w:fill="auto"/>
          <w:lang w:val="en-US" w:eastAsia="en-US" w:bidi="en-US"/>
        </w:rPr>
        <w:t xml:space="preserve">(Evanston, </w:t>
      </w:r>
      <w:r>
        <w:rPr>
          <w:rFonts w:ascii="Times New Roman" w:eastAsia="Times New Roman" w:hAnsi="Times New Roman" w:cs="Times New Roman"/>
          <w:color w:val="000000"/>
          <w:spacing w:val="0"/>
          <w:w w:val="100"/>
          <w:position w:val="0"/>
          <w:shd w:val="clear" w:color="auto" w:fill="auto"/>
          <w:lang w:val="hr-HR" w:eastAsia="hr-HR" w:bidi="hr-HR"/>
        </w:rPr>
        <w:t xml:space="preserve">1954), Ekumensko vijeće crkava </w:t>
      </w:r>
      <w:r>
        <w:rPr>
          <w:rFonts w:ascii="Times New Roman" w:eastAsia="Times New Roman" w:hAnsi="Times New Roman" w:cs="Times New Roman"/>
          <w:color w:val="000000"/>
          <w:spacing w:val="0"/>
          <w:w w:val="100"/>
          <w:position w:val="0"/>
          <w:shd w:val="clear" w:color="auto" w:fill="auto"/>
          <w:lang w:val="en-US" w:eastAsia="en-US" w:bidi="en-US"/>
        </w:rPr>
        <w:t xml:space="preserve">(WCC), </w:t>
      </w:r>
      <w:r>
        <w:rPr>
          <w:rFonts w:ascii="Times New Roman" w:eastAsia="Times New Roman" w:hAnsi="Times New Roman" w:cs="Times New Roman"/>
          <w:color w:val="000000"/>
          <w:spacing w:val="0"/>
          <w:w w:val="100"/>
          <w:position w:val="0"/>
          <w:shd w:val="clear" w:color="auto" w:fill="auto"/>
          <w:lang w:val="hr-HR" w:eastAsia="hr-HR" w:bidi="hr-HR"/>
        </w:rPr>
        <w:t>utemeljeno 1948, na svojoj glavnoj skupštini u Uppsali (1968) formuliralo je izri</w:t>
        <w:softHyphen/>
        <w:t>čito priznavanje jedinstva čovječanstva u kon</w:t>
        <w:softHyphen/>
        <w:t>tekstu koncilijarnosti i katoiiciteta Crkve. O odnosu jedinstva čovječanstva prema jedin</w:t>
        <w:softHyphen/>
        <w:t>stvu Crkve dalje se raspravljalo u Komisiji WCC-a za vjeru i crkveno ustrojstvo u Lou- vainu (1971) - ne bez prigovora istočnocrkve- nih teologa - i to je postala osnova zaokuplje</w:t>
        <w:softHyphen/>
        <w:t>nosti WCC-a, ali i problemi kao što su ra</w:t>
        <w:softHyphen/>
        <w:t>sizam, hendikepirani, ravnopravnost žena, di</w:t>
        <w:softHyphen/>
        <w:t>jalog s drugim načinima vjerovanja i ideologi</w:t>
        <w:softHyphen/>
        <w:t>jama pa i s modernim prirodnim znanostima u pitanjima kao što su politika razvoja i ekolo</w:t>
        <w:softHyphen/>
        <w:t xml:space="preserve">gija. Ove napetosti i pitanja ne dolaze tako izričito na vidjelo u izjavama Rimokatoličke crkve, ali u izjavama modernih papa od Pija XI. i Pija XII. do Ivana XXIII. 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VI. tema jedinstva čovječanstva ispituje se na te</w:t>
        <w:softHyphen/>
        <w:t>melju Novoga zavjeta i ranih crkvenih otaca, a u dokumentima Drugoga vatikanskoga kon</w:t>
        <w:softHyphen/>
        <w:t xml:space="preserve">cila nalazi svoj jasni odraz. Dok je u Uppsali za </w:t>
      </w:r>
      <w:r>
        <w:rPr>
          <w:rFonts w:ascii="Times New Roman" w:eastAsia="Times New Roman" w:hAnsi="Times New Roman" w:cs="Times New Roman"/>
          <w:color w:val="000000"/>
          <w:spacing w:val="0"/>
          <w:w w:val="100"/>
          <w:position w:val="0"/>
          <w:shd w:val="clear" w:color="auto" w:fill="auto"/>
          <w:lang w:val="en-US" w:eastAsia="en-US" w:bidi="en-US"/>
        </w:rPr>
        <w:t xml:space="preserve">WCC </w:t>
      </w:r>
      <w:r>
        <w:rPr>
          <w:rFonts w:ascii="Times New Roman" w:eastAsia="Times New Roman" w:hAnsi="Times New Roman" w:cs="Times New Roman"/>
          <w:color w:val="000000"/>
          <w:spacing w:val="0"/>
          <w:w w:val="100"/>
          <w:position w:val="0"/>
          <w:shd w:val="clear" w:color="auto" w:fill="auto"/>
          <w:lang w:val="hr-HR" w:eastAsia="hr-HR" w:bidi="hr-HR"/>
        </w:rPr>
        <w:t>Crkva »znak« dolazećeg jedinstva čovječanstva (I, 20), dotle je ona za Drugi va</w:t>
        <w:softHyphen/>
        <w:t xml:space="preserve">tikanski koncil »sakrament« jedinstva ljudi međusobno i s Bogom </w:t>
      </w:r>
      <w:r>
        <w:rPr>
          <w:rFonts w:ascii="Times New Roman" w:eastAsia="Times New Roman" w:hAnsi="Times New Roman" w:cs="Times New Roman"/>
          <w:color w:val="000000"/>
          <w:spacing w:val="0"/>
          <w:w w:val="100"/>
          <w:position w:val="0"/>
          <w:shd w:val="clear" w:color="auto" w:fill="auto"/>
          <w:lang w:val="en-US" w:eastAsia="en-US" w:bidi="en-US"/>
        </w:rPr>
        <w:t xml:space="preserve">(LG </w:t>
      </w:r>
      <w:r>
        <w:rPr>
          <w:rFonts w:ascii="Times New Roman" w:eastAsia="Times New Roman" w:hAnsi="Times New Roman" w:cs="Times New Roman"/>
          <w:color w:val="000000"/>
          <w:spacing w:val="0"/>
          <w:w w:val="100"/>
          <w:position w:val="0"/>
          <w:shd w:val="clear" w:color="auto" w:fill="auto"/>
          <w:lang w:val="hr-HR" w:eastAsia="hr-HR" w:bidi="hr-HR"/>
        </w:rPr>
        <w:t>1).</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vjerskog sadržaja kršćanstva proizlazi j. č. kao samo po sebi razumljivo, ali oblik i praksa crkava odveć je često proturječila tom teološ</w:t>
        <w:softHyphen/>
        <w:t>kom načelu. Kako je j. č. u biološkom smislu najviše vidljivo u nejednakom dozrijevanju evo- lutivnog procesa, a uostalom podržava ga etič</w:t>
        <w:softHyphen/>
        <w:t>ki konsenzus razumnih ljudi, prema kojem sa svim ljudima treba postupati ravnopravno, predodžba o jedinstvu čovječanstva postavlja kršćanskim crkvama u biti političku zadaću da surađuju na provođenju svjetskog jedinstva ljudske obitelji koje je nužno za preživljavanje i koje je Stvoritelj oduvijek zapovjedio.</w:t>
      </w:r>
    </w:p>
    <w:p>
      <w:pPr>
        <w:pStyle w:val="Style56"/>
        <w:keepNext w:val="0"/>
        <w:keepLines w:val="0"/>
        <w:widowControl w:val="0"/>
        <w:shd w:val="clear" w:color="auto" w:fill="auto"/>
        <w:bidi w:val="0"/>
        <w:spacing w:before="0" w:after="40" w:line="240" w:lineRule="auto"/>
        <w:ind w:left="0" w:right="0" w:firstLine="0"/>
        <w:jc w:val="both"/>
      </w:pPr>
      <w:r>
        <w:rPr>
          <w:color w:val="000000"/>
          <w:spacing w:val="0"/>
          <w:w w:val="100"/>
          <w:position w:val="0"/>
          <w:shd w:val="clear" w:color="auto" w:fill="auto"/>
        </w:rPr>
        <w:t xml:space="preserve">Lit.: J. May, </w:t>
      </w:r>
      <w:r>
        <w:rPr>
          <w:i/>
          <w:iCs/>
          <w:color w:val="000000"/>
          <w:spacing w:val="0"/>
          <w:w w:val="100"/>
          <w:position w:val="0"/>
          <w:shd w:val="clear" w:color="auto" w:fill="auto"/>
          <w:lang w:val="hr-HR" w:eastAsia="hr-HR" w:bidi="hr-HR"/>
        </w:rPr>
        <w:t xml:space="preserve">Sprache der Okumene - Sprache der Einheil. </w:t>
      </w:r>
      <w:r>
        <w:rPr>
          <w:i/>
          <w:iCs/>
          <w:color w:val="000000"/>
          <w:spacing w:val="0"/>
          <w:w w:val="100"/>
          <w:position w:val="0"/>
          <w:shd w:val="clear" w:color="auto" w:fill="auto"/>
        </w:rPr>
        <w:t xml:space="preserve">Die Einheil </w:t>
      </w:r>
      <w:r>
        <w:rPr>
          <w:i/>
          <w:iCs/>
          <w:color w:val="000000"/>
          <w:spacing w:val="0"/>
          <w:w w:val="100"/>
          <w:position w:val="0"/>
          <w:shd w:val="clear" w:color="auto" w:fill="auto"/>
          <w:lang w:val="hr-HR" w:eastAsia="hr-HR" w:bidi="hr-HR"/>
        </w:rPr>
        <w:t xml:space="preserve">der Menschheit: Zukiinftige (jrundtage der iheo- logischen Ethik der Kalhoiischen Kirche und des Okome- </w:t>
      </w:r>
      <w:r>
        <w:rPr>
          <w:i/>
          <w:iCs/>
          <w:color w:val="000000"/>
          <w:spacing w:val="0"/>
          <w:w w:val="100"/>
          <w:position w:val="0"/>
          <w:shd w:val="clear" w:color="auto" w:fill="auto"/>
        </w:rPr>
        <w:t xml:space="preserve">nischen </w:t>
      </w:r>
      <w:r>
        <w:rPr>
          <w:i/>
          <w:iCs/>
          <w:color w:val="000000"/>
          <w:spacing w:val="0"/>
          <w:w w:val="100"/>
          <w:position w:val="0"/>
          <w:shd w:val="clear" w:color="auto" w:fill="auto"/>
          <w:lang w:val="hr-HR" w:eastAsia="hr-HR" w:bidi="hr-HR"/>
        </w:rPr>
        <w:t xml:space="preserve">Rms der </w:t>
      </w:r>
      <w:r>
        <w:rPr>
          <w:i/>
          <w:iCs/>
          <w:color w:val="000000"/>
          <w:spacing w:val="0"/>
          <w:w w:val="100"/>
          <w:position w:val="0"/>
          <w:shd w:val="clear" w:color="auto" w:fill="auto"/>
        </w:rPr>
        <w:t>Kirchen?,</w:t>
      </w:r>
      <w:r>
        <w:rPr>
          <w:color w:val="000000"/>
          <w:spacing w:val="0"/>
          <w:w w:val="100"/>
          <w:position w:val="0"/>
          <w:shd w:val="clear" w:color="auto" w:fill="auto"/>
        </w:rPr>
        <w:t xml:space="preserve"> Bonn </w:t>
      </w:r>
      <w:r>
        <w:rPr>
          <w:color w:val="000000"/>
          <w:spacing w:val="0"/>
          <w:w w:val="100"/>
          <w:position w:val="0"/>
          <w:shd w:val="clear" w:color="auto" w:fill="auto"/>
          <w:lang w:val="hr-HR" w:eastAsia="hr-HR" w:bidi="hr-HR"/>
        </w:rPr>
        <w:t>1976; G. Mullcr-Fahrcn-</w:t>
      </w:r>
    </w:p>
    <w:p>
      <w:pPr>
        <w:pStyle w:val="Style56"/>
        <w:keepNext w:val="0"/>
        <w:keepLines w:val="0"/>
        <w:widowControl w:val="0"/>
        <w:shd w:val="clear" w:color="auto" w:fill="auto"/>
        <w:tabs>
          <w:tab w:pos="2604" w:val="left"/>
        </w:tabs>
        <w:bidi w:val="0"/>
        <w:spacing w:before="0" w:after="180" w:line="240" w:lineRule="auto"/>
        <w:ind w:left="0" w:right="0" w:firstLine="0"/>
        <w:jc w:val="both"/>
      </w:pPr>
      <w:r>
        <w:rPr>
          <w:color w:val="000000"/>
          <w:spacing w:val="0"/>
          <w:w w:val="100"/>
          <w:position w:val="0"/>
          <w:shd w:val="clear" w:color="auto" w:fill="auto"/>
          <w:lang w:val="hr-HR" w:eastAsia="hr-HR" w:bidi="hr-HR"/>
        </w:rPr>
        <w:t xml:space="preserve">holz (Ursg.), </w:t>
      </w:r>
      <w:r>
        <w:rPr>
          <w:i/>
          <w:iCs/>
          <w:color w:val="000000"/>
          <w:spacing w:val="0"/>
          <w:w w:val="100"/>
          <w:position w:val="0"/>
          <w:shd w:val="clear" w:color="auto" w:fill="auto"/>
          <w:lang w:val="hr-HR" w:eastAsia="hr-HR" w:bidi="hr-HR"/>
        </w:rPr>
        <w:t xml:space="preserve">Einheil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Weil von heme. Zuin Theina Ein</w:t>
        <w:softHyphen/>
        <w:t>heil der Kirche - Einheil der Menschheit,</w:t>
      </w:r>
      <w:r>
        <w:rPr>
          <w:color w:val="000000"/>
          <w:spacing w:val="0"/>
          <w:w w:val="100"/>
          <w:position w:val="0"/>
          <w:shd w:val="clear" w:color="auto" w:fill="auto"/>
        </w:rPr>
        <w:t xml:space="preserve"> Frankfurt/kf. 1978; J. R. NclsonAV. Panncnbcrg (Hrsg.), </w:t>
      </w:r>
      <w:r>
        <w:rPr>
          <w:i/>
          <w:iCs/>
          <w:color w:val="000000"/>
          <w:spacing w:val="0"/>
          <w:w w:val="100"/>
          <w:position w:val="0"/>
          <w:shd w:val="clear" w:color="auto" w:fill="auto"/>
        </w:rPr>
        <w:t>Uni Einheil und Heit der Menschheit,</w:t>
      </w:r>
      <w:r>
        <w:rPr>
          <w:color w:val="000000"/>
          <w:spacing w:val="0"/>
          <w:w w:val="100"/>
          <w:position w:val="0"/>
          <w:shd w:val="clear" w:color="auto" w:fill="auto"/>
        </w:rPr>
        <w:t xml:space="preserve"> Frankfurl'M. 1973.</w:t>
        <w:tab/>
        <w:t>J. .MAS'</w:t>
      </w:r>
    </w:p>
    <w:p>
      <w:pPr>
        <w:pStyle w:val="Style63"/>
        <w:keepNext/>
        <w:keepLines/>
        <w:widowControl w:val="0"/>
        <w:numPr>
          <w:ilvl w:val="0"/>
          <w:numId w:val="193"/>
        </w:numPr>
        <w:shd w:val="clear" w:color="auto" w:fill="auto"/>
        <w:tabs>
          <w:tab w:pos="260" w:val="left"/>
        </w:tabs>
        <w:bidi w:val="0"/>
        <w:spacing w:before="0" w:line="228" w:lineRule="auto"/>
        <w:ind w:left="0" w:right="0" w:firstLine="0"/>
        <w:jc w:val="both"/>
      </w:pPr>
      <w:bookmarkStart w:id="140" w:name="bookmark140"/>
      <w:r>
        <w:rPr>
          <w:rFonts w:ascii="Times New Roman" w:eastAsia="Times New Roman" w:hAnsi="Times New Roman" w:cs="Times New Roman"/>
          <w:color w:val="000000"/>
          <w:spacing w:val="0"/>
          <w:w w:val="100"/>
          <w:position w:val="0"/>
          <w:shd w:val="clear" w:color="auto" w:fill="auto"/>
          <w:lang w:val="hr-HR" w:eastAsia="hr-HR" w:bidi="hr-HR"/>
        </w:rPr>
        <w:t>islamski</w:t>
      </w:r>
      <w:bookmarkEnd w:id="140"/>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Počevši pojmom apsolutnoga jedinstva Boga preko ideala solidarnosti ujedinjenoga čovje</w:t>
        <w:softHyphen/>
        <w:t>čanstva pa sve do priželjkivanoga sklada iz</w:t>
        <w:softHyphen/>
        <w:t>među čovjeka i prirode - posvuda u islamu susreće se pojmovni sadržaj jedinstva. Održa</w:t>
        <w:softHyphen/>
        <w:t>vanje budnom svijesti o jedinstvu međusobne ljudske ovisnosti poretka, cilja i sudbine, pred</w:t>
        <w:softHyphen/>
        <w:t xml:space="preserve">stavlja jedno od glavnih nastojanja islama. Nužni duhovni </w:t>
      </w:r>
      <w:r>
        <w:rPr>
          <w:rFonts w:ascii="Times New Roman" w:eastAsia="Times New Roman" w:hAnsi="Times New Roman" w:cs="Times New Roman"/>
          <w:color w:val="000000"/>
          <w:spacing w:val="0"/>
          <w:w w:val="100"/>
          <w:position w:val="0"/>
          <w:shd w:val="clear" w:color="auto" w:fill="auto"/>
          <w:lang w:val="en-US" w:eastAsia="en-US" w:bidi="en-US"/>
        </w:rPr>
        <w:t xml:space="preserve">ferment </w:t>
      </w:r>
      <w:r>
        <w:rPr>
          <w:rFonts w:ascii="Times New Roman" w:eastAsia="Times New Roman" w:hAnsi="Times New Roman" w:cs="Times New Roman"/>
          <w:color w:val="000000"/>
          <w:spacing w:val="0"/>
          <w:w w:val="100"/>
          <w:position w:val="0"/>
          <w:shd w:val="clear" w:color="auto" w:fill="auto"/>
          <w:lang w:val="hr-HR" w:eastAsia="hr-HR" w:bidi="hr-HR"/>
        </w:rPr>
        <w:t>za ostvarenje jedin</w:t>
        <w:softHyphen/>
        <w:t>stva, koje se odvija u potpunoj budnosti, po</w:t>
        <w:softHyphen/>
        <w:t>stavljen je u nauku o bratstvu vjernika. Teolo</w:t>
        <w:softHyphen/>
        <w:t>gija jedinstva pokreće prije svega islamsku mistiku. Formalno oblikovanje te teologije u novije se vrijeme ubrzava pod pritiskom poli</w:t>
        <w:softHyphen/>
        <w:t>tičkih nužnosti Trećega svijeta. Jedan od naj</w:t>
        <w:softHyphen/>
        <w:t>značajnijih predstavnika jest mislitclj i socio</w:t>
        <w:softHyphen/>
        <w:t>log ‘Ali Shari’ati (u. 1977). Novim formulira</w:t>
        <w:softHyphen/>
        <w:t xml:space="preserve">njem misli o jedinstvu, </w:t>
      </w:r>
      <w:r>
        <w:rPr>
          <w:rFonts w:ascii="Times New Roman" w:eastAsia="Times New Roman" w:hAnsi="Times New Roman" w:cs="Times New Roman"/>
          <w:color w:val="000000"/>
          <w:spacing w:val="0"/>
          <w:w w:val="100"/>
          <w:position w:val="0"/>
          <w:shd w:val="clear" w:color="auto" w:fill="auto"/>
          <w:lang w:val="en-US" w:eastAsia="en-US" w:bidi="en-US"/>
        </w:rPr>
        <w:t xml:space="preserve">tevhida (tawhid), </w:t>
      </w:r>
      <w:r>
        <w:rPr>
          <w:rFonts w:ascii="Times New Roman" w:eastAsia="Times New Roman" w:hAnsi="Times New Roman" w:cs="Times New Roman"/>
          <w:color w:val="000000"/>
          <w:spacing w:val="0"/>
          <w:w w:val="100"/>
          <w:position w:val="0"/>
          <w:shd w:val="clear" w:color="auto" w:fill="auto"/>
          <w:lang w:val="hr-HR" w:eastAsia="hr-HR" w:bidi="hr-HR"/>
        </w:rPr>
        <w:t>on je stvorio čitav jedan intelektualni pokret.</w:t>
      </w:r>
    </w:p>
    <w:p>
      <w:pPr>
        <w:pStyle w:val="Style20"/>
        <w:keepNext w:val="0"/>
        <w:keepLines w:val="0"/>
        <w:widowControl w:val="0"/>
        <w:shd w:val="clear" w:color="auto" w:fill="auto"/>
        <w:tabs>
          <w:tab w:pos="2604" w:val="left"/>
        </w:tabs>
        <w:bidi w:val="0"/>
        <w:spacing w:before="0" w:after="60" w:line="257" w:lineRule="auto"/>
        <w:ind w:left="0" w:right="0" w:firstLine="0"/>
        <w:jc w:val="both"/>
        <w:sectPr>
          <w:headerReference w:type="default" r:id="rId585"/>
          <w:footerReference w:type="default" r:id="rId586"/>
          <w:headerReference w:type="even" r:id="rId587"/>
          <w:footerReference w:type="even" r:id="rId588"/>
          <w:footnotePr>
            <w:pos w:val="pageBottom"/>
            <w:numFmt w:val="decimal"/>
            <w:numStart w:val="5"/>
            <w:numRestart w:val="continuous"/>
            <w15:footnoteColumns w:val="1"/>
          </w:footnotePr>
          <w:pgSz w:w="6816" w:h="11006"/>
          <w:pgMar w:top="987" w:left="169" w:right="172" w:bottom="443" w:header="0" w:footer="3" w:gutter="0"/>
          <w:pgNumType w:start="201"/>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Tcvhid prema šerijatu čini jedan poseban sloj svijeta, »jedno univerzalno jedinstvo u egzis</w:t>
        <w:softHyphen/>
        <w:t xml:space="preserve">tenciji koje predstavlja jedinstvo između tri posebne hipostaze - između Boga, prirode i čovjeka - zato što je izvor svega troga isti. Svi imaju isti smjer i isti život« </w:t>
      </w:r>
      <w:r>
        <w:rPr>
          <w:rFonts w:ascii="Times New Roman" w:eastAsia="Times New Roman" w:hAnsi="Times New Roman" w:cs="Times New Roman"/>
          <w:i/>
          <w:iCs/>
          <w:color w:val="000000"/>
          <w:spacing w:val="0"/>
          <w:w w:val="100"/>
          <w:position w:val="0"/>
          <w:shd w:val="clear" w:color="auto" w:fill="auto"/>
          <w:lang w:val="en-US" w:eastAsia="en-US" w:bidi="en-US"/>
        </w:rPr>
        <w:t>(On the Sociology of Islam,</w:t>
      </w:r>
      <w:r>
        <w:rPr>
          <w:rFonts w:ascii="Times New Roman" w:eastAsia="Times New Roman" w:hAnsi="Times New Roman" w:cs="Times New Roman"/>
          <w:color w:val="000000"/>
          <w:spacing w:val="0"/>
          <w:w w:val="100"/>
          <w:position w:val="0"/>
          <w:shd w:val="clear" w:color="auto" w:fill="auto"/>
          <w:lang w:val="en-US" w:eastAsia="en-US" w:bidi="en-US"/>
        </w:rPr>
        <w:t xml:space="preserve"> Berkeley 1979, 83). </w:t>
      </w:r>
      <w:r>
        <w:rPr>
          <w:rFonts w:ascii="Times New Roman" w:eastAsia="Times New Roman" w:hAnsi="Times New Roman" w:cs="Times New Roman"/>
          <w:color w:val="000000"/>
          <w:spacing w:val="0"/>
          <w:w w:val="100"/>
          <w:position w:val="0"/>
          <w:shd w:val="clear" w:color="auto" w:fill="auto"/>
          <w:lang w:val="hr-HR" w:eastAsia="hr-HR" w:bidi="hr-HR"/>
        </w:rPr>
        <w:t xml:space="preserve">Međutim, riječ </w:t>
      </w:r>
      <w:r>
        <w:rPr>
          <w:rFonts w:ascii="Times New Roman" w:eastAsia="Times New Roman" w:hAnsi="Times New Roman" w:cs="Times New Roman"/>
          <w:color w:val="000000"/>
          <w:spacing w:val="0"/>
          <w:w w:val="100"/>
          <w:position w:val="0"/>
          <w:shd w:val="clear" w:color="auto" w:fill="auto"/>
          <w:lang w:val="en-US" w:eastAsia="en-US" w:bidi="en-US"/>
        </w:rPr>
        <w:t xml:space="preserve">tevhid </w:t>
      </w:r>
      <w:r>
        <w:rPr>
          <w:rFonts w:ascii="Times New Roman" w:eastAsia="Times New Roman" w:hAnsi="Times New Roman" w:cs="Times New Roman"/>
          <w:color w:val="000000"/>
          <w:spacing w:val="0"/>
          <w:w w:val="100"/>
          <w:position w:val="0"/>
          <w:shd w:val="clear" w:color="auto" w:fill="auto"/>
          <w:lang w:val="hr-HR" w:eastAsia="hr-HR" w:bidi="hr-HR"/>
        </w:rPr>
        <w:t>ne postoji u Kuranu. Jedinstvo u teo</w:t>
        <w:softHyphen/>
        <w:t>loškom smislu nije nikakav jednostavan po</w:t>
        <w:softHyphen/>
        <w:t>jam. Ono može imati najprije dvostruko zna</w:t>
        <w:softHyphen/>
        <w:t>čenje: da nema drugoga Boga osim Alaha i da je Bog jedinstvo u sebi samome. No tevhid može također značiti daje Bog »jedino biće sa zbiljskom ili apsolutnom egzistencijom, dok sva druga bića imaju samo slučajnu egzisten</w:t>
        <w:softHyphen/>
        <w:t xml:space="preserve">ciju. To može čak dovesti do jednoga panteis- tičkog nauka da je Alah sve« </w:t>
      </w:r>
      <w:r>
        <w:rPr>
          <w:rFonts w:ascii="Times New Roman" w:eastAsia="Times New Roman" w:hAnsi="Times New Roman" w:cs="Times New Roman"/>
          <w:color w:val="000000"/>
          <w:spacing w:val="0"/>
          <w:w w:val="100"/>
          <w:position w:val="0"/>
          <w:shd w:val="clear" w:color="auto" w:fill="auto"/>
          <w:lang w:val="en-US" w:eastAsia="en-US" w:bidi="en-US"/>
        </w:rPr>
        <w:t xml:space="preserve">(HI: Tawhid, </w:t>
      </w:r>
      <w:r>
        <w:rPr>
          <w:rFonts w:ascii="Times New Roman" w:eastAsia="Times New Roman" w:hAnsi="Times New Roman" w:cs="Times New Roman"/>
          <w:color w:val="000000"/>
          <w:spacing w:val="0"/>
          <w:w w:val="100"/>
          <w:position w:val="0"/>
          <w:shd w:val="clear" w:color="auto" w:fill="auto"/>
          <w:lang w:val="hr-HR" w:eastAsia="hr-HR" w:bidi="hr-HR"/>
        </w:rPr>
        <w:t>744). Ovdje se otvara široki prostor za filozof</w:t>
        <w:softHyphen/>
        <w:t xml:space="preserve">ske spekulacije. U tom je prostoru smještena i ‘Ali Shari’atijeva teorija </w:t>
      </w:r>
      <w:r>
        <w:rPr>
          <w:rFonts w:ascii="Times New Roman" w:eastAsia="Times New Roman" w:hAnsi="Times New Roman" w:cs="Times New Roman"/>
          <w:i/>
          <w:iCs/>
          <w:color w:val="000000"/>
          <w:spacing w:val="0"/>
          <w:w w:val="100"/>
          <w:position w:val="0"/>
          <w:shd w:val="clear" w:color="auto" w:fill="auto"/>
          <w:lang w:val="hr-HR" w:eastAsia="hr-HR" w:bidi="hr-HR"/>
        </w:rPr>
        <w:t>tevhida.</w:t>
      </w:r>
      <w:r>
        <w:rPr>
          <w:rFonts w:ascii="Times New Roman" w:eastAsia="Times New Roman" w:hAnsi="Times New Roman" w:cs="Times New Roman"/>
          <w:color w:val="000000"/>
          <w:spacing w:val="0"/>
          <w:w w:val="100"/>
          <w:position w:val="0"/>
          <w:shd w:val="clear" w:color="auto" w:fill="auto"/>
          <w:lang w:val="hr-HR" w:eastAsia="hr-HR" w:bidi="hr-HR"/>
        </w:rPr>
        <w:t xml:space="preserve"> U sociološ</w:t>
        <w:softHyphen/>
        <w:t>kom smislu pripadnost islamu znači skupa s drugim vjernicima održavati živom religioz- no-kulturnu jedinstvenu zajednicu (untma). Prilikom prelazaka na islam zgodimice se po</w:t>
        <w:softHyphen/>
        <w:t>javljuje želja da se izvrši sjedinjenje sa »siro</w:t>
        <w:softHyphen/>
        <w:t>mašnima u svijetu«.</w:t>
        <w:tab/>
        <w:t>s BAUć</w:t>
      </w:r>
    </w:p>
    <w:p>
      <w:pPr>
        <w:pStyle w:val="Style33"/>
        <w:keepNext w:val="0"/>
        <w:keepLines w:val="0"/>
        <w:widowControl w:val="0"/>
        <w:shd w:val="clear" w:color="auto" w:fill="auto"/>
        <w:bidi w:val="0"/>
        <w:spacing w:before="0" w:after="160" w:line="22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JERUZALEM</w:t>
      </w:r>
    </w:p>
    <w:p>
      <w:pPr>
        <w:pStyle w:val="Style63"/>
        <w:keepNext/>
        <w:keepLines/>
        <w:widowControl w:val="0"/>
        <w:numPr>
          <w:ilvl w:val="0"/>
          <w:numId w:val="195"/>
        </w:numPr>
        <w:shd w:val="clear" w:color="auto" w:fill="auto"/>
        <w:tabs>
          <w:tab w:pos="246" w:val="left"/>
        </w:tabs>
        <w:bidi w:val="0"/>
        <w:spacing w:before="0" w:after="100" w:line="226" w:lineRule="auto"/>
        <w:ind w:left="0" w:right="0" w:firstLine="0"/>
        <w:jc w:val="both"/>
      </w:pPr>
      <w:bookmarkStart w:id="141" w:name="bookmark141"/>
      <w:r>
        <w:rPr>
          <w:rFonts w:ascii="Times New Roman" w:eastAsia="Times New Roman" w:hAnsi="Times New Roman" w:cs="Times New Roman"/>
          <w:color w:val="000000"/>
          <w:spacing w:val="0"/>
          <w:w w:val="100"/>
          <w:position w:val="0"/>
          <w:shd w:val="clear" w:color="auto" w:fill="auto"/>
          <w:lang w:val="hr-HR" w:eastAsia="hr-HR" w:bidi="hr-HR"/>
        </w:rPr>
        <w:t>židovski</w:t>
      </w:r>
      <w:bookmarkEnd w:id="141"/>
    </w:p>
    <w:p>
      <w:pPr>
        <w:pStyle w:val="Style20"/>
        <w:keepNext w:val="0"/>
        <w:keepLines w:val="0"/>
        <w:widowControl w:val="0"/>
        <w:numPr>
          <w:ilvl w:val="0"/>
          <w:numId w:val="197"/>
        </w:numPr>
        <w:shd w:val="clear" w:color="auto" w:fill="auto"/>
        <w:tabs>
          <w:tab w:pos="265" w:val="left"/>
        </w:tabs>
        <w:bidi w:val="0"/>
        <w:spacing w:before="0" w:after="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»Neka vidi mir«:</w:t>
      </w:r>
      <w:r>
        <w:rPr>
          <w:rFonts w:ascii="Times New Roman" w:eastAsia="Times New Roman" w:hAnsi="Times New Roman" w:cs="Times New Roman"/>
          <w:color w:val="000000"/>
          <w:spacing w:val="0"/>
          <w:w w:val="100"/>
          <w:position w:val="0"/>
          <w:shd w:val="clear" w:color="auto" w:fill="auto"/>
          <w:lang w:val="hr-HR" w:eastAsia="hr-HR" w:bidi="hr-HR"/>
        </w:rPr>
        <w:t xml:space="preserve"> Midraš objašnjava ime J. sintezom dvaju imena: »Abraham dade mjes</w:t>
        <w:softHyphen/>
        <w:t xml:space="preserve">tu (ime) </w:t>
      </w:r>
      <w:r>
        <w:rPr>
          <w:rFonts w:ascii="Times New Roman" w:eastAsia="Times New Roman" w:hAnsi="Times New Roman" w:cs="Times New Roman"/>
          <w:i/>
          <w:iCs/>
          <w:color w:val="000000"/>
          <w:spacing w:val="0"/>
          <w:w w:val="100"/>
          <w:position w:val="0"/>
          <w:shd w:val="clear" w:color="auto" w:fill="auto"/>
          <w:lang w:val="hr-HR" w:eastAsia="hr-HR" w:bidi="hr-HR"/>
        </w:rPr>
        <w:t>jire</w:t>
      </w:r>
      <w:r>
        <w:rPr>
          <w:rFonts w:ascii="Times New Roman" w:eastAsia="Times New Roman" w:hAnsi="Times New Roman" w:cs="Times New Roman"/>
          <w:color w:val="000000"/>
          <w:spacing w:val="0"/>
          <w:w w:val="100"/>
          <w:position w:val="0"/>
          <w:shd w:val="clear" w:color="auto" w:fill="auto"/>
          <w:lang w:val="hr-HR" w:eastAsia="hr-HR" w:bidi="hr-HR"/>
        </w:rPr>
        <w:t xml:space="preserve"> (‘on provida’, Post 22,14), a Šem (= Melkiscdck) nazvao ga je </w:t>
      </w:r>
      <w:r>
        <w:rPr>
          <w:rFonts w:ascii="Times New Roman" w:eastAsia="Times New Roman" w:hAnsi="Times New Roman" w:cs="Times New Roman"/>
          <w:i/>
          <w:iCs/>
          <w:color w:val="000000"/>
          <w:spacing w:val="0"/>
          <w:w w:val="100"/>
          <w:position w:val="0"/>
          <w:shd w:val="clear" w:color="auto" w:fill="auto"/>
          <w:lang w:val="hr-HR" w:eastAsia="hr-HR" w:bidi="hr-HR"/>
        </w:rPr>
        <w:t>šalem</w:t>
      </w:r>
      <w:r>
        <w:rPr>
          <w:rFonts w:ascii="Times New Roman" w:eastAsia="Times New Roman" w:hAnsi="Times New Roman" w:cs="Times New Roman"/>
          <w:color w:val="000000"/>
          <w:spacing w:val="0"/>
          <w:w w:val="100"/>
          <w:position w:val="0"/>
          <w:shd w:val="clear" w:color="auto" w:fill="auto"/>
          <w:lang w:val="hr-HR" w:eastAsia="hr-HR" w:bidi="hr-HR"/>
        </w:rPr>
        <w:t xml:space="preserve"> ('mir/bla- gostanje, Post 14,18). Tada reče Bog: Nazo</w:t>
        <w:softHyphen/>
        <w:t xml:space="preserve">vem li ga </w:t>
      </w:r>
      <w:r>
        <w:rPr>
          <w:rFonts w:ascii="Times New Roman" w:eastAsia="Times New Roman" w:hAnsi="Times New Roman" w:cs="Times New Roman"/>
          <w:i/>
          <w:iCs/>
          <w:color w:val="000000"/>
          <w:spacing w:val="0"/>
          <w:w w:val="100"/>
          <w:position w:val="0"/>
          <w:shd w:val="clear" w:color="auto" w:fill="auto"/>
          <w:lang w:val="hr-HR" w:eastAsia="hr-HR" w:bidi="hr-HR"/>
        </w:rPr>
        <w:t>jire,</w:t>
      </w:r>
      <w:r>
        <w:rPr>
          <w:rFonts w:ascii="Times New Roman" w:eastAsia="Times New Roman" w:hAnsi="Times New Roman" w:cs="Times New Roman"/>
          <w:color w:val="000000"/>
          <w:spacing w:val="0"/>
          <w:w w:val="100"/>
          <w:position w:val="0"/>
          <w:shd w:val="clear" w:color="auto" w:fill="auto"/>
          <w:lang w:val="hr-HR" w:eastAsia="hr-HR" w:bidi="hr-HR"/>
        </w:rPr>
        <w:t xml:space="preserve"> kako ga je nazvao Abraham, naljutit će se Šem, pravednik, ako ga pak na</w:t>
        <w:softHyphen/>
        <w:t xml:space="preserve">zovem </w:t>
      </w:r>
      <w:r>
        <w:rPr>
          <w:rFonts w:ascii="Times New Roman" w:eastAsia="Times New Roman" w:hAnsi="Times New Roman" w:cs="Times New Roman"/>
          <w:i/>
          <w:iCs/>
          <w:color w:val="000000"/>
          <w:spacing w:val="0"/>
          <w:w w:val="100"/>
          <w:position w:val="0"/>
          <w:shd w:val="clear" w:color="auto" w:fill="auto"/>
          <w:lang w:val="hr-HR" w:eastAsia="hr-HR" w:bidi="hr-HR"/>
        </w:rPr>
        <w:t>šalem,</w:t>
      </w:r>
      <w:r>
        <w:rPr>
          <w:rFonts w:ascii="Times New Roman" w:eastAsia="Times New Roman" w:hAnsi="Times New Roman" w:cs="Times New Roman"/>
          <w:color w:val="000000"/>
          <w:spacing w:val="0"/>
          <w:w w:val="100"/>
          <w:position w:val="0"/>
          <w:shd w:val="clear" w:color="auto" w:fill="auto"/>
          <w:lang w:val="hr-HR" w:eastAsia="hr-HR" w:bidi="hr-HR"/>
        </w:rPr>
        <w:t xml:space="preserve"> potužit ćc se Abraham, praved</w:t>
        <w:softHyphen/>
        <w:t xml:space="preserve">nik, pa ću ga nazvati </w:t>
      </w:r>
      <w:r>
        <w:rPr>
          <w:rFonts w:ascii="Times New Roman" w:eastAsia="Times New Roman" w:hAnsi="Times New Roman" w:cs="Times New Roman"/>
          <w:i/>
          <w:iCs/>
          <w:color w:val="000000"/>
          <w:spacing w:val="0"/>
          <w:w w:val="100"/>
          <w:position w:val="0"/>
          <w:shd w:val="clear" w:color="auto" w:fill="auto"/>
          <w:lang w:val="hr-HR" w:eastAsia="hr-HR" w:bidi="hr-HR"/>
        </w:rPr>
        <w:t>‘jire šalem’,</w:t>
      </w:r>
      <w:r>
        <w:rPr>
          <w:rFonts w:ascii="Times New Roman" w:eastAsia="Times New Roman" w:hAnsi="Times New Roman" w:cs="Times New Roman"/>
          <w:color w:val="000000"/>
          <w:spacing w:val="0"/>
          <w:w w:val="100"/>
          <w:position w:val="0"/>
          <w:shd w:val="clear" w:color="auto" w:fill="auto"/>
          <w:lang w:val="hr-HR" w:eastAsia="hr-HR" w:bidi="hr-HR"/>
        </w:rPr>
        <w:t xml:space="preserve"> J. (tj. ‘neka vidi mir’) kako su ga nazvali obojica« (Berešit raba I,VI,22,14). - Josip Flavije zadržao je stari izraz za J.: »Galilejci koji su za blagdane putovali u sveti grad, obično su išli putem kroz Samariju« </w:t>
      </w:r>
      <w:r>
        <w:rPr>
          <w:rFonts w:ascii="Times New Roman" w:eastAsia="Times New Roman" w:hAnsi="Times New Roman" w:cs="Times New Roman"/>
          <w:i/>
          <w:iCs/>
          <w:color w:val="000000"/>
          <w:spacing w:val="0"/>
          <w:w w:val="100"/>
          <w:position w:val="0"/>
          <w:shd w:val="clear" w:color="auto" w:fill="auto"/>
          <w:lang w:val="en-US" w:eastAsia="en-US" w:bidi="en-US"/>
        </w:rPr>
        <w:t>(Antiquitaies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XX,6,1; usp.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1,31). Nalazimo ga već u he</w:t>
        <w:softHyphen/>
        <w:t xml:space="preserve">brejskoj Bibliji (Iz 48,2; 52,1; Neh 11,1; Dn 9,24) i u izvankanonskoj literaturi (2 Mak 3,1; Sir .36,18; 49,6). Rabili su ga rabini: »Koja je jeruzalemska kovanica? - David i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 xml:space="preserve">na jednoj strani, a J., sveti grad, na drugoj strani« (b Bava kama 97b; usp.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107b).</w:t>
      </w:r>
    </w:p>
    <w:p>
      <w:pPr>
        <w:pStyle w:val="Style20"/>
        <w:keepNext w:val="0"/>
        <w:keepLines w:val="0"/>
        <w:widowControl w:val="0"/>
        <w:numPr>
          <w:ilvl w:val="0"/>
          <w:numId w:val="197"/>
        </w:numPr>
        <w:shd w:val="clear" w:color="auto" w:fill="auto"/>
        <w:tabs>
          <w:tab w:pos="270" w:val="left"/>
        </w:tabs>
        <w:bidi w:val="0"/>
        <w:spacing w:before="0" w:after="10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 nije podijeljen na plemena.«</w:t>
      </w:r>
      <w:r>
        <w:rPr>
          <w:rFonts w:ascii="Times New Roman" w:eastAsia="Times New Roman" w:hAnsi="Times New Roman" w:cs="Times New Roman"/>
          <w:color w:val="000000"/>
          <w:spacing w:val="0"/>
          <w:w w:val="100"/>
          <w:position w:val="0"/>
          <w:shd w:val="clear" w:color="auto" w:fill="auto"/>
          <w:lang w:val="hr-HR" w:eastAsia="hr-HR" w:bidi="hr-HR"/>
        </w:rPr>
        <w:t xml:space="preserve"> Prema staroj tradiciji jeruzalemski kućevlasnici nisu smjeli iznajmljivati kuće i postelje blagdanskim ho</w:t>
        <w:softHyphen/>
        <w:t xml:space="preserve">dočasnicima </w:t>
      </w:r>
      <w:r>
        <w:rPr>
          <w:rFonts w:ascii="Times New Roman" w:eastAsia="Times New Roman" w:hAnsi="Times New Roman" w:cs="Times New Roman"/>
          <w:i/>
          <w:iCs/>
          <w:color w:val="000000"/>
          <w:spacing w:val="0"/>
          <w:w w:val="100"/>
          <w:position w:val="0"/>
          <w:shd w:val="clear" w:color="auto" w:fill="auto"/>
          <w:lang w:val="hr-HR" w:eastAsia="hr-HR" w:bidi="hr-HR"/>
        </w:rPr>
        <w:t>(Olej regalim,</w:t>
      </w:r>
      <w:r>
        <w:rPr>
          <w:rFonts w:ascii="Times New Roman" w:eastAsia="Times New Roman" w:hAnsi="Times New Roman" w:cs="Times New Roman"/>
          <w:color w:val="000000"/>
          <w:spacing w:val="0"/>
          <w:w w:val="100"/>
          <w:position w:val="0"/>
          <w:shd w:val="clear" w:color="auto" w:fill="auto"/>
          <w:lang w:val="hr-HR" w:eastAsia="hr-HR" w:bidi="hr-HR"/>
        </w:rPr>
        <w:t xml:space="preserve"> »koji su ‘uzlazili’ na blagdane«, b Pesahim 8b; Tos. 11,18), nego su im morali besplatno dati konačište; za od</w:t>
        <w:softHyphen/>
        <w:t>ređenu naknadu uzimali su od hodočasnika kože žrtvovanih životinja (Tos. Ma’aser šeni I, 12 i d.; Tos. Suka 11,2; b Megila 26a; Joma 12a). Te posebne odredbe objasnila je Misna: »Nikada jedan drugomu nije rekao: ‘Preusko mi je to mjesto da bih prenoćio u Jeruzale</w:t>
        <w:softHyphen/>
        <w:t>mu’« (Avot V,5; b Joma 21a). Običaj prema kojemu bi hodočasnicima svaki jeruzalemski građanin prepustio mjesto za blagdan Pcsaha bio je zajamčen načelom, u koje rabin Jehuda (oko 150) nije vjerovao, da »J. nije podijeljen na plemena« (b Megila 26a; Joma 12a; Bava kama 82b), tj. da je zajedničko vlasništvo cije</w:t>
        <w:softHyphen/>
        <w:t>loga Izraela. To istaknuto mjesto »svetoga grada« medu drugim izraelskim gradovima iz</w:t>
        <w:softHyphen/>
        <w:t>ražavalo se i u nizu propisa koji se nisu pri</w:t>
        <w:softHyphen/>
        <w:t>mjenjivali na J. (b Bava kama 82b; usp. M Arahin IX,6; Tos. Negajim VI, 1; b Zevahim 70b; M Edujot VI,1; b Hagiga 26a). llagada se hvali: »Deset mjera ljepote spustilo se u svijet, devet je dobio J., a jednu cijeli svijet« (b</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Kidušin 49b). Odgovarajuće zapovijedi i za</w:t>
        <w:softHyphen/>
        <w:t>brane trebale bi pomoći održanju »ljepote« »svetoga grada«: ulice su se mele svakodnev</w:t>
        <w:softHyphen/>
        <w:t>no (b Bava mccia 26a), posebna se pažnja obraćala trgovima i tržnicama (b Beča /= Jom tov/ 5a); bila je zabranjena gradnja vapnara i lončarskih radionica zbog širenja dima, ali i gnojnica zbog zadaha (b Baba Kama 82b). Deset se čuda dogodilo u gradu (Avot Rabi Natana 35,1) koji se proslavio mudrošću i uče</w:t>
        <w:softHyphen/>
        <w:t>nošću (Eha rabati 1,4); obuhvaćao je 480 sina</w:t>
        <w:softHyphen/>
        <w:t xml:space="preserve">goga </w:t>
      </w:r>
      <w:r>
        <w:rPr>
          <w:rFonts w:ascii="Times New Roman" w:eastAsia="Times New Roman" w:hAnsi="Times New Roman" w:cs="Times New Roman"/>
          <w:i/>
          <w:iCs/>
          <w:color w:val="000000"/>
          <w:spacing w:val="0"/>
          <w:w w:val="100"/>
          <w:position w:val="0"/>
          <w:shd w:val="clear" w:color="auto" w:fill="auto"/>
          <w:lang w:val="hr-HR" w:eastAsia="hr-HR" w:bidi="hr-HR"/>
        </w:rPr>
        <w:t>(bet ha-kneset)</w:t>
      </w:r>
      <w:r>
        <w:rPr>
          <w:rFonts w:ascii="Times New Roman" w:eastAsia="Times New Roman" w:hAnsi="Times New Roman" w:cs="Times New Roman"/>
          <w:color w:val="000000"/>
          <w:spacing w:val="0"/>
          <w:w w:val="100"/>
          <w:position w:val="0"/>
          <w:shd w:val="clear" w:color="auto" w:fill="auto"/>
          <w:lang w:val="hr-HR" w:eastAsia="hr-HR" w:bidi="hr-HR"/>
        </w:rPr>
        <w:t xml:space="preserve"> s učilištima </w:t>
      </w:r>
      <w:r>
        <w:rPr>
          <w:rFonts w:ascii="Times New Roman" w:eastAsia="Times New Roman" w:hAnsi="Times New Roman" w:cs="Times New Roman"/>
          <w:i/>
          <w:iCs/>
          <w:color w:val="000000"/>
          <w:spacing w:val="0"/>
          <w:w w:val="100"/>
          <w:position w:val="0"/>
          <w:shd w:val="clear" w:color="auto" w:fill="auto"/>
          <w:lang w:val="hr-HR" w:eastAsia="hr-HR" w:bidi="hr-HR"/>
        </w:rPr>
        <w:t>(bet ha-mid- raš).</w:t>
      </w:r>
      <w:r>
        <w:rPr>
          <w:rFonts w:ascii="Times New Roman" w:eastAsia="Times New Roman" w:hAnsi="Times New Roman" w:cs="Times New Roman"/>
          <w:color w:val="000000"/>
          <w:spacing w:val="0"/>
          <w:w w:val="100"/>
          <w:position w:val="0"/>
          <w:shd w:val="clear" w:color="auto" w:fill="auto"/>
          <w:lang w:val="hr-HR" w:eastAsia="hr-HR" w:bidi="hr-HR"/>
        </w:rPr>
        <w:t xml:space="preserve"> »Bog je odmjerio sve gradove i nije na</w:t>
        <w:softHyphen/>
        <w:t>šao nijedan, osim Jeruzalema, u kojemu bi se mogao sagraditi hram« (Vajikra raba XIII, 11,1). Tu odliku »sveti grad« nije izgubio ni razaranjem Hrama (b Savuot 16a): »Tko se moli u Jeruzalemu kao da se moli pred prijes</w:t>
        <w:softHyphen/>
        <w:t>toljem Slave; jer ondje su vrata nebeska i vra</w:t>
        <w:softHyphen/>
        <w:t>ta su otvorena da se usliši molitva« (Post 28,17; Tehilim Ps91, § 7). Rabini su ga ve</w:t>
        <w:softHyphen/>
        <w:t>ličali: »Tko nije vidio J. u svojem sjaju, nije ni</w:t>
        <w:softHyphen/>
        <w:t>kada u životu vidio prekrasan velegrad« (b Suka 51b). Samokritički otkrili su uzrok pro</w:t>
        <w:softHyphen/>
        <w:t>pasti Jeruzalema u ponašanju njegovih sta</w:t>
        <w:softHyphen/>
        <w:t>novnika koji su se usprotivili volji Božjoj i is</w:t>
        <w:softHyphen/>
        <w:t xml:space="preserve">koristili ga kao pouku upozorenja (Tos. Mc- nahot XIII,22; b Joma 9a.b;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1,38c; usp. b Sa</w:t>
        <w:softHyphen/>
        <w:t>bat 119b). Pad Jeruzalema i razaranje dru</w:t>
        <w:softHyphen/>
        <w:t>goga Hrama smatrali su nesrećom cijeloga na</w:t>
        <w:softHyphen/>
        <w:t>roda. To je potaknulo neke krugove na po</w:t>
        <w:softHyphen/>
        <w:t>koru kojom su htjeli okajati grijehe, za koje su bili osuđeni, i otkloniti novu nesreću (Tos. So- ta XV,11 i d.; B Bava batra 60b). Tim nastoja</w:t>
        <w:softHyphen/>
        <w:t>njima pridružila se odredba da se zbog raza</w:t>
        <w:softHyphen/>
        <w:t>ranja Hrama posti svakoga drugog i petog da</w:t>
        <w:softHyphen/>
        <w:t xml:space="preserve">na u tjednu, koji su već prije 70. godine bili dani posta, te da se 9. av </w:t>
      </w:r>
      <w:r>
        <w:rPr>
          <w:rFonts w:ascii="Times New Roman" w:eastAsia="Times New Roman" w:hAnsi="Times New Roman" w:cs="Times New Roman"/>
          <w:i/>
          <w:iCs/>
          <w:color w:val="000000"/>
          <w:spacing w:val="0"/>
          <w:w w:val="100"/>
          <w:position w:val="0"/>
          <w:shd w:val="clear" w:color="auto" w:fill="auto"/>
          <w:lang w:val="hr-HR" w:eastAsia="hr-HR" w:bidi="hr-HR"/>
        </w:rPr>
        <w:t>(tišaa be-av)</w:t>
      </w:r>
      <w:r>
        <w:rPr>
          <w:rFonts w:ascii="Times New Roman" w:eastAsia="Times New Roman" w:hAnsi="Times New Roman" w:cs="Times New Roman"/>
          <w:color w:val="000000"/>
          <w:spacing w:val="0"/>
          <w:w w:val="100"/>
          <w:position w:val="0"/>
          <w:shd w:val="clear" w:color="auto" w:fill="auto"/>
          <w:lang w:val="hr-HR" w:eastAsia="hr-HR" w:bidi="hr-HR"/>
        </w:rPr>
        <w:t xml:space="preserve"> uvede kao nacionalni dan žalosti u povodu pada Je</w:t>
        <w:softHyphen/>
        <w:t>ruzalema i razaranja Hrama (Megilat Taanit 13, »Posni svitak«, I. stoljeće).</w:t>
      </w:r>
    </w:p>
    <w:p>
      <w:pPr>
        <w:pStyle w:val="Style20"/>
        <w:keepNext w:val="0"/>
        <w:keepLines w:val="0"/>
        <w:widowControl w:val="0"/>
        <w:numPr>
          <w:ilvl w:val="0"/>
          <w:numId w:val="197"/>
        </w:numPr>
        <w:shd w:val="clear" w:color="auto" w:fill="auto"/>
        <w:tabs>
          <w:tab w:pos="25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»Gornji J.&lt;</w:t>
      </w:r>
      <w:r>
        <w:rPr>
          <w:rFonts w:ascii="Times New Roman" w:eastAsia="Times New Roman" w:hAnsi="Times New Roman" w:cs="Times New Roman"/>
          <w:color w:val="000000"/>
          <w:spacing w:val="0"/>
          <w:w w:val="100"/>
          <w:position w:val="0"/>
          <w:shd w:val="clear" w:color="auto" w:fill="auto"/>
          <w:lang w:val="hr-HR" w:eastAsia="hr-HR" w:bidi="hr-HR"/>
        </w:rPr>
        <w:t xml:space="preserve"> Od pamtivijeka J. se smatrao »središtem zemlje« (Ez 38,12; usp. Post 14,18-20: Iz 14,13; 17,12-14; Ps 104,3). Brdo Moriju, na kojem je Abraham »svezao« svo</w:t>
        <w:softHyphen/>
        <w:t xml:space="preserve">jega sina Izaka </w:t>
      </w:r>
      <w:r>
        <w:rPr>
          <w:rFonts w:ascii="Times New Roman" w:eastAsia="Times New Roman" w:hAnsi="Times New Roman" w:cs="Times New Roman"/>
          <w:i/>
          <w:iCs/>
          <w:color w:val="000000"/>
          <w:spacing w:val="0"/>
          <w:w w:val="100"/>
          <w:position w:val="0"/>
          <w:shd w:val="clear" w:color="auto" w:fill="auto"/>
          <w:lang w:val="hr-HR" w:eastAsia="hr-HR" w:bidi="hr-HR"/>
        </w:rPr>
        <w:t>(akedat Jichak,</w:t>
      </w:r>
      <w:r>
        <w:rPr>
          <w:rFonts w:ascii="Times New Roman" w:eastAsia="Times New Roman" w:hAnsi="Times New Roman" w:cs="Times New Roman"/>
          <w:color w:val="000000"/>
          <w:spacing w:val="0"/>
          <w:w w:val="100"/>
          <w:position w:val="0"/>
          <w:shd w:val="clear" w:color="auto" w:fill="auto"/>
          <w:lang w:val="hr-HR" w:eastAsia="hr-HR" w:bidi="hr-HR"/>
        </w:rPr>
        <w:t xml:space="preserve"> Gen 22,9) a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 xml:space="preserve">poslije sagradio Hram (2 Ljet 3,1), Misna očigledno naziva »Temeljem« (Joma V,2: </w:t>
      </w:r>
      <w:r>
        <w:rPr>
          <w:rFonts w:ascii="Times New Roman" w:eastAsia="Times New Roman" w:hAnsi="Times New Roman" w:cs="Times New Roman"/>
          <w:i/>
          <w:iCs/>
          <w:color w:val="000000"/>
          <w:spacing w:val="0"/>
          <w:w w:val="100"/>
          <w:position w:val="0"/>
          <w:shd w:val="clear" w:color="auto" w:fill="auto"/>
          <w:lang w:val="en-US" w:eastAsia="en-US" w:bidi="en-US"/>
        </w:rPr>
        <w:t xml:space="preserve">even </w:t>
      </w:r>
      <w:r>
        <w:rPr>
          <w:rFonts w:ascii="Times New Roman" w:eastAsia="Times New Roman" w:hAnsi="Times New Roman" w:cs="Times New Roman"/>
          <w:i/>
          <w:iCs/>
          <w:color w:val="000000"/>
          <w:spacing w:val="0"/>
          <w:w w:val="100"/>
          <w:position w:val="0"/>
          <w:shd w:val="clear" w:color="auto" w:fill="auto"/>
          <w:lang w:val="hr-HR" w:eastAsia="hr-HR" w:bidi="hr-HR"/>
        </w:rPr>
        <w:t>šetija)</w:t>
      </w:r>
      <w:r>
        <w:rPr>
          <w:rFonts w:ascii="Times New Roman" w:eastAsia="Times New Roman" w:hAnsi="Times New Roman" w:cs="Times New Roman"/>
          <w:color w:val="000000"/>
          <w:spacing w:val="0"/>
          <w:w w:val="100"/>
          <w:position w:val="0"/>
          <w:shd w:val="clear" w:color="auto" w:fill="auto"/>
          <w:lang w:val="hr-HR" w:eastAsia="hr-HR" w:bidi="hr-HR"/>
        </w:rPr>
        <w:t xml:space="preserve"> na kojem je nekad stajao Kovčeg saveza i na koji je u doba drugoga Hrama veliki svećenik na Dan pomirenja stav</w:t>
        <w:softHyphen/>
        <w:t xml:space="preserve">ljao tavu za kadionu žrtvu s gorućim miomi- </w:t>
      </w:r>
      <w:r>
        <w:rPr>
          <w:rFonts w:ascii="Times New Roman" w:eastAsia="Times New Roman" w:hAnsi="Times New Roman" w:cs="Times New Roman"/>
          <w:color w:val="000000"/>
          <w:spacing w:val="0"/>
          <w:w w:val="100"/>
          <w:position w:val="0"/>
          <w:shd w:val="clear" w:color="auto" w:fill="auto"/>
          <w:lang w:val="hr-HR" w:eastAsia="hr-HR" w:bidi="hr-HR"/>
        </w:rPr>
        <w:t xml:space="preserve">risnim kadom (Vajikra raba XX, 16,1). Na tom jc »temelju« utemeljena zemlja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b Joma 54b; j V,42c;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26b). Na tome mjestu, na kojem su u Jakovljevu snu ljestve postavljene na zemlju (Post 28,12) i na ko</w:t>
        <w:softHyphen/>
        <w:t>jemu je »Bog Jakovu sagradio svetište, uništio ga i pokazao mu ga ponovno sagrađenog« ... »vrata su nebeska«. »Jednoga dana ta će se vrata otvoriti za mnoge pravednike«; naime, nasuprot jeruzalemskom hramu nalazi se ne</w:t>
        <w:softHyphen/>
        <w:t>beski: »Gornje svetište samo je otprilike 18 mila /= 18/1000 palca, op. prev./ više od do</w:t>
        <w:softHyphen/>
        <w:t xml:space="preserve">njega« (Bercšit raba </w:t>
      </w:r>
      <w:r>
        <w:rPr>
          <w:rFonts w:ascii="Times New Roman" w:eastAsia="Times New Roman" w:hAnsi="Times New Roman" w:cs="Times New Roman"/>
          <w:color w:val="000000"/>
          <w:spacing w:val="0"/>
          <w:w w:val="100"/>
          <w:position w:val="0"/>
          <w:shd w:val="clear" w:color="auto" w:fill="auto"/>
          <w:lang w:val="en-US" w:eastAsia="en-US" w:bidi="en-US"/>
        </w:rPr>
        <w:t xml:space="preserve">LXIX, </w:t>
      </w:r>
      <w:r>
        <w:rPr>
          <w:rFonts w:ascii="Times New Roman" w:eastAsia="Times New Roman" w:hAnsi="Times New Roman" w:cs="Times New Roman"/>
          <w:color w:val="000000"/>
          <w:spacing w:val="0"/>
          <w:w w:val="100"/>
          <w:position w:val="0"/>
          <w:shd w:val="clear" w:color="auto" w:fill="auto"/>
          <w:lang w:val="hr-HR" w:eastAsia="hr-HR" w:bidi="hr-HR"/>
        </w:rPr>
        <w:t>28,17). Osim toga, točno nasuprot »donjem Jeruzalemu« smješ</w:t>
        <w:softHyphen/>
        <w:t xml:space="preserve">ten je »gomji J.« i točno mu odgovara (b Taanit 5a). Njegov će sjaj i te kako nadmašiti sjaj prijašnjega grada (Semot raba XV,12,12); on se beskrajno širi tako da se u njemu mogu smjestiti svi narodi svijeta i postat će glavnim gradom cijele zemlje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XXIII,15,1: Šir ha-širim 1,5). J. će jednoga dana s pravedni</w:t>
        <w:softHyphen/>
        <w:t>cima i Mesijom dobiti novo ime: zvat će se imenom Božjim (b Bava batra 75b). Mudraci su premještaju čežnje u nevidljivo i duhovno, kojima su ispunjeni apokaliptički opisi nebes</w:t>
        <w:softHyphen/>
        <w:t>koga Jeruzalema (IV Ezr 7,26; 8,52; 10,25 i d.; 13,36; II Bar 4,2-7; 59,4), postavili jasnu granicu: »Tko 9. ava radi i ne tuguje zbog Je</w:t>
        <w:softHyphen/>
        <w:t>ruzalema, neće ni vidjeti njihovu radost« (b Taanit 30b). Oni su prihvatili obnoviteljsku liniju u proročkim predajama (Jr 30,18; Zah 1,12.16; 8,3) i stavili uz bok onomu tko jc ro</w:t>
        <w:softHyphen/>
        <w:t>đen u Jeruzalemu svakoga tko se »nada viđe</w:t>
        <w:softHyphen/>
        <w:t>nju« obnovljenoga grada (Ketubot 75a).</w:t>
      </w:r>
    </w:p>
    <w:p>
      <w:pPr>
        <w:pStyle w:val="Style20"/>
        <w:keepNext w:val="0"/>
        <w:keepLines w:val="0"/>
        <w:widowControl w:val="0"/>
        <w:numPr>
          <w:ilvl w:val="0"/>
          <w:numId w:val="19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»Ibrzoga sagradi«:</w:t>
      </w:r>
      <w:r>
        <w:rPr>
          <w:rFonts w:ascii="Times New Roman" w:eastAsia="Times New Roman" w:hAnsi="Times New Roman" w:cs="Times New Roman"/>
          <w:color w:val="000000"/>
          <w:spacing w:val="0"/>
          <w:w w:val="100"/>
          <w:position w:val="0"/>
          <w:shd w:val="clear" w:color="auto" w:fill="auto"/>
          <w:lang w:val="hr-HR" w:eastAsia="hr-HR" w:bidi="hr-HR"/>
        </w:rPr>
        <w:t xml:space="preserve"> Stari zavjet prognanika : »Jeruzaleme, ako te zaboravim...« : »Na obali rijeka babilonskih sjedasmo i plakasmo spo</w:t>
        <w:softHyphen/>
        <w:t>minjući se Ciona« (Ps 137) došao je u molitva</w:t>
        <w:softHyphen/>
        <w:t xml:space="preserve">ma potpuno do izražaja. Izvorni smisao XIV. blagoslova molitve </w:t>
      </w:r>
      <w:r>
        <w:rPr>
          <w:rFonts w:ascii="Times New Roman" w:eastAsia="Times New Roman" w:hAnsi="Times New Roman" w:cs="Times New Roman"/>
          <w:i/>
          <w:iCs/>
          <w:color w:val="000000"/>
          <w:spacing w:val="0"/>
          <w:w w:val="100"/>
          <w:position w:val="0"/>
          <w:shd w:val="clear" w:color="auto" w:fill="auto"/>
          <w:lang w:val="hr-HR" w:eastAsia="hr-HR" w:bidi="hr-HR"/>
        </w:rPr>
        <w:t>Šemone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održanje Je</w:t>
        <w:softHyphen/>
        <w:t xml:space="preserve">ruzalema, usp. Sir 51,12;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Joma VII,1,44b) pretvoren je u zagovor za razrušeni grad i ob</w:t>
        <w:softHyphen/>
        <w:t xml:space="preserve">novu Hrama (j Berahot 11,2) i povezan je s molbom za mesiju iz Davidove kuće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IV, 5,8c): »I u milosrđu se vrati u J., svoj grad, i sjedni na prijestolje u njemu kako si rekao. I brzo ga sagradi, u našim danima, kao vječnu zgradu, i uskoro podigni u njemu Davidovo prijestolje. Blagoslovljen bio, Vječni, graditelj Jeruzalema.« U </w:t>
      </w:r>
      <w:r>
        <w:rPr>
          <w:rFonts w:ascii="Times New Roman" w:eastAsia="Times New Roman" w:hAnsi="Times New Roman" w:cs="Times New Roman"/>
          <w:i/>
          <w:iCs/>
          <w:color w:val="000000"/>
          <w:spacing w:val="0"/>
          <w:w w:val="100"/>
          <w:position w:val="0"/>
          <w:shd w:val="clear" w:color="auto" w:fill="auto"/>
          <w:lang w:val="hr-HR" w:eastAsia="hr-HR" w:bidi="hr-HR"/>
        </w:rPr>
        <w:t>Mirthu</w:t>
      </w:r>
      <w:r>
        <w:rPr>
          <w:rFonts w:ascii="Times New Roman" w:eastAsia="Times New Roman" w:hAnsi="Times New Roman" w:cs="Times New Roman"/>
          <w:color w:val="000000"/>
          <w:spacing w:val="0"/>
          <w:w w:val="100"/>
          <w:position w:val="0"/>
          <w:shd w:val="clear" w:color="auto" w:fill="auto"/>
          <w:lang w:val="hr-HR" w:eastAsia="hr-HR" w:bidi="hr-HR"/>
        </w:rPr>
        <w:t xml:space="preserve"> se 9. ava uvrštava, pri</w:t>
        <w:softHyphen/>
        <w:t>je završnoga blagoslova, molitva za utjehu onih koji tuguju zbog Siona (»nahem«), IV.</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blagoslov </w:t>
      </w:r>
      <w:r>
        <w:rPr>
          <w:rFonts w:ascii="Times New Roman" w:eastAsia="Times New Roman" w:hAnsi="Times New Roman" w:cs="Times New Roman"/>
          <w:i/>
          <w:iCs/>
          <w:color w:val="000000"/>
          <w:spacing w:val="0"/>
          <w:w w:val="100"/>
          <w:position w:val="0"/>
          <w:shd w:val="clear" w:color="auto" w:fill="auto"/>
          <w:lang w:val="hr-HR" w:eastAsia="hr-HR" w:bidi="hr-HR"/>
        </w:rPr>
        <w:t>Musafa</w:t>
      </w:r>
      <w:r>
        <w:rPr>
          <w:rFonts w:ascii="Times New Roman" w:eastAsia="Times New Roman" w:hAnsi="Times New Roman" w:cs="Times New Roman"/>
          <w:color w:val="000000"/>
          <w:spacing w:val="0"/>
          <w:w w:val="100"/>
          <w:position w:val="0"/>
          <w:shd w:val="clear" w:color="auto" w:fill="auto"/>
          <w:lang w:val="hr-HR" w:eastAsia="hr-HR" w:bidi="hr-HR"/>
        </w:rPr>
        <w:t xml:space="preserve"> za Dan mlađaka spaja mo</w:t>
        <w:softHyphen/>
        <w:t>litvu za povratak u J. s onima za obnovu hramskoga bogoslužja. III. blagoslov nakon objeda (»bone jerušalajim«) obuhvaća molbu da Bog sačuva sudbinu svih i pojedinca te po</w:t>
        <w:softHyphen/>
        <w:t>novno nacionalnu molitvu za J. Šabatna pjes</w:t>
        <w:softHyphen/>
        <w:t>ma »Leha dodi« izražava jasnu čežnju za Je</w:t>
        <w:softHyphen/>
        <w:t xml:space="preserve">ruzalemom i bila je višestruko privlačna za sinagogalnu poeziju </w:t>
      </w:r>
      <w:r>
        <w:rPr>
          <w:rFonts w:ascii="Times New Roman" w:eastAsia="Times New Roman" w:hAnsi="Times New Roman" w:cs="Times New Roman"/>
          <w:i/>
          <w:iCs/>
          <w:color w:val="000000"/>
          <w:spacing w:val="0"/>
          <w:w w:val="100"/>
          <w:position w:val="0"/>
          <w:shd w:val="clear" w:color="auto" w:fill="auto"/>
          <w:lang w:val="hr-HR" w:eastAsia="hr-HR" w:bidi="hr-HR"/>
        </w:rPr>
        <w:t>(pijuti).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 xml:space="preserve">Encyclopaedia Judaica </w:t>
      </w:r>
      <w:r>
        <w:rPr>
          <w:i/>
          <w:iCs/>
          <w:color w:val="000000"/>
          <w:spacing w:val="0"/>
          <w:w w:val="100"/>
          <w:position w:val="0"/>
          <w:shd w:val="clear" w:color="auto" w:fill="auto"/>
          <w:lang w:val="hr-HR" w:eastAsia="hr-HR" w:bidi="hr-HR"/>
        </w:rPr>
        <w:t>9,</w:t>
      </w:r>
      <w:r>
        <w:rPr>
          <w:color w:val="000000"/>
          <w:spacing w:val="0"/>
          <w:w w:val="100"/>
          <w:position w:val="0"/>
          <w:shd w:val="clear" w:color="auto" w:fill="auto"/>
          <w:lang w:val="hr-HR" w:eastAsia="hr-HR" w:bidi="hr-HR"/>
        </w:rPr>
        <w:t xml:space="preserve"> *1978, 1378-1593.</w:t>
      </w:r>
    </w:p>
    <w:p>
      <w:pPr>
        <w:pStyle w:val="Style56"/>
        <w:keepNext w:val="0"/>
        <w:keepLines w:val="0"/>
        <w:widowControl w:val="0"/>
        <w:shd w:val="clear" w:color="auto" w:fill="auto"/>
        <w:bidi w:val="0"/>
        <w:spacing w:before="0" w:after="260" w:line="240" w:lineRule="auto"/>
        <w:ind w:left="0" w:right="0" w:firstLine="0"/>
        <w:jc w:val="right"/>
      </w:pPr>
      <w:r>
        <w:rPr>
          <w:color w:val="000000"/>
          <w:spacing w:val="0"/>
          <w:w w:val="100"/>
          <w:position w:val="0"/>
          <w:shd w:val="clear" w:color="auto" w:fill="auto"/>
          <w:lang w:val="hr-HR" w:eastAsia="hr-HR" w:bidi="hr-HR"/>
        </w:rPr>
        <w:t>1). VLITER</w:t>
      </w:r>
    </w:p>
    <w:p>
      <w:pPr>
        <w:pStyle w:val="Style63"/>
        <w:keepNext/>
        <w:keepLines/>
        <w:widowControl w:val="0"/>
        <w:numPr>
          <w:ilvl w:val="0"/>
          <w:numId w:val="195"/>
        </w:numPr>
        <w:shd w:val="clear" w:color="auto" w:fill="auto"/>
        <w:tabs>
          <w:tab w:pos="260" w:val="left"/>
        </w:tabs>
        <w:bidi w:val="0"/>
        <w:spacing w:before="0" w:after="120" w:line="228" w:lineRule="auto"/>
        <w:ind w:left="0" w:right="0" w:firstLine="0"/>
        <w:jc w:val="both"/>
      </w:pPr>
      <w:bookmarkStart w:id="142" w:name="bookmark14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42"/>
    </w:p>
    <w:p>
      <w:pPr>
        <w:pStyle w:val="Style20"/>
        <w:keepNext w:val="0"/>
        <w:keepLines w:val="0"/>
        <w:widowControl w:val="0"/>
        <w:shd w:val="clear" w:color="auto" w:fill="auto"/>
        <w:bidi w:val="0"/>
        <w:spacing w:before="0" w:after="0" w:line="257" w:lineRule="auto"/>
        <w:ind w:left="0" w:right="0" w:firstLine="0"/>
        <w:jc w:val="both"/>
        <w:sectPr>
          <w:headerReference w:type="default" r:id="rId589"/>
          <w:footerReference w:type="default" r:id="rId590"/>
          <w:headerReference w:type="even" r:id="rId591"/>
          <w:footerReference w:type="even" r:id="rId592"/>
          <w:headerReference w:type="first" r:id="rId593"/>
          <w:footerReference w:type="first" r:id="rId594"/>
          <w:footnotePr>
            <w:pos w:val="pageBottom"/>
            <w:numFmt w:val="decimal"/>
            <w:numStart w:val="5"/>
            <w:numRestart w:val="continuous"/>
            <w15:footnoteColumns w:val="1"/>
          </w:footnotePr>
          <w:pgSz w:w="6816" w:h="11006"/>
          <w:pgMar w:top="987" w:left="169" w:right="172" w:bottom="443" w:header="0" w:footer="3" w:gutter="0"/>
          <w:pgNumType w:start="198"/>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Kako već u SZ tako i u NZ J. sadrži svu nadu spasenja. Isus, »Sin Davidov«, trudi se oko Je</w:t>
        <w:softHyphen/>
        <w:t>ruzalema. Za kršćane J. ima značenje kao mjesto muke, smrti i uskrsnuća Isusa Krista i to kroz prazajednicu. No važniji od zemalj</w:t>
        <w:softHyphen/>
        <w:t>skoga Jeruzalema je nebeski J. u koji Crkva ima pristup po svojoj službi Božjoj (Hcb 12,22). Za autora Otkrivenja (21,2-22,5) grad jc prasiika nebeskog Jeruzalema koji će Bog darovati na kraju vremena. Taj grad po svojoj funkciji zastupa narod od dvanaest plemena (usp. starozavjetnoga velikog svećenika Izl 28,12) na temelju »dvanaest imena, dvanaest Janjctovih apostola« (Otk 21,14). To je grad raja, svetog svijeta kojim struji živa voda koja teče od Božjeg i Janjetova prijestolja. Slika starozavjetnoga mesijanskog Jeruzalema dje</w:t>
        <w:softHyphen/>
        <w:t>lomično se poklapa s nebeskim Jeruzalemom. O obadvama govori kršćanska liturgija i u nji</w:t>
        <w:softHyphen/>
        <w:t>ma vidi ispunjenje starozavjetnih očekivanja da se ostvari Božje kraljevstvo koje je zapo</w:t>
        <w:softHyphen/>
        <w:t>čelo po Kristu. Po predaji, prva judeokršćan- ska zajednica stoji pod vodstvom apostola Ja</w:t>
        <w:softHyphen/>
        <w:t>kova, učenika, koji se uz Petra i Ivana javlja kao »stup« Crkve (Gal 2,9). Njegov nasljed</w:t>
        <w:softHyphen/>
        <w:t>nik Šimun doživljava Titovo razaranje Jeru</w:t>
        <w:softHyphen/>
        <w:t xml:space="preserve">zalema 70. pos. Kr. Sve do drugoga razaranja Jeruzalema u Bar-Kohbinom ustanku brojalo se 13 judeokršćanskih biskupa. U poganski grad </w:t>
      </w:r>
      <w:r>
        <w:rPr>
          <w:rFonts w:ascii="Times New Roman" w:eastAsia="Times New Roman" w:hAnsi="Times New Roman" w:cs="Times New Roman"/>
          <w:color w:val="000000"/>
          <w:spacing w:val="0"/>
          <w:w w:val="100"/>
          <w:position w:val="0"/>
          <w:shd w:val="clear" w:color="auto" w:fill="auto"/>
          <w:lang w:val="en-US" w:eastAsia="en-US" w:bidi="en-US"/>
        </w:rPr>
        <w:t xml:space="preserve">Aelia Capitolina, </w:t>
      </w:r>
      <w:r>
        <w:rPr>
          <w:rFonts w:ascii="Times New Roman" w:eastAsia="Times New Roman" w:hAnsi="Times New Roman" w:cs="Times New Roman"/>
          <w:color w:val="000000"/>
          <w:spacing w:val="0"/>
          <w:w w:val="100"/>
          <w:position w:val="0"/>
          <w:shd w:val="clear" w:color="auto" w:fill="auto"/>
          <w:lang w:val="hr-HR" w:eastAsia="hr-HR" w:bidi="hr-HR"/>
        </w:rPr>
        <w:t>koji su zatim utemeljili Rimljani, naseljavaju se pokršteni pogani. Ni- ccjski koncil 325. priznaje jeruzalemskom bis</w:t>
        <w:softHyphen/>
        <w:t>kupu počasno mjesto; Kalcedonski koncil 451. uzdiže J. u patrijarhat. Perzijanci razaraju 614. gotovo sve crkve i divljaju među kršćan</w:t>
        <w:softHyphen/>
        <w:t>skim stanovništvom. Arapska najezda 638., is</w:t>
        <w:softHyphen/>
        <w:t xml:space="preserve">prva tolerantna prema kršćanima, okončava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kršćansku vladavinu u Palestini. Istom 1010. kalif </w:t>
      </w:r>
      <w:r>
        <w:rPr>
          <w:rFonts w:ascii="Times New Roman" w:eastAsia="Times New Roman" w:hAnsi="Times New Roman" w:cs="Times New Roman"/>
          <w:color w:val="000000"/>
          <w:spacing w:val="0"/>
          <w:w w:val="100"/>
          <w:position w:val="0"/>
          <w:shd w:val="clear" w:color="auto" w:fill="auto"/>
          <w:lang w:val="en-US" w:eastAsia="en-US" w:bidi="en-US"/>
        </w:rPr>
        <w:t xml:space="preserve">Hakim </w:t>
      </w:r>
      <w:r>
        <w:rPr>
          <w:rFonts w:ascii="Times New Roman" w:eastAsia="Times New Roman" w:hAnsi="Times New Roman" w:cs="Times New Roman"/>
          <w:color w:val="000000"/>
          <w:spacing w:val="0"/>
          <w:w w:val="100"/>
          <w:position w:val="0"/>
          <w:shd w:val="clear" w:color="auto" w:fill="auto"/>
          <w:lang w:val="hr-HR" w:eastAsia="hr-HR" w:bidi="hr-HR"/>
        </w:rPr>
        <w:t xml:space="preserve">Biamrilah iz dinastije Fatimida, sin kršćanske majke, pustoši sve kršćanske građevine. Osobito je razaranje crkve Svetoga groba izazvalo duboko ogorćenje na Zapadu. Godine 1095. papa </w:t>
      </w:r>
      <w:r>
        <w:rPr>
          <w:rFonts w:ascii="Times New Roman" w:eastAsia="Times New Roman" w:hAnsi="Times New Roman" w:cs="Times New Roman"/>
          <w:color w:val="000000"/>
          <w:spacing w:val="0"/>
          <w:w w:val="100"/>
          <w:position w:val="0"/>
          <w:shd w:val="clear" w:color="auto" w:fill="auto"/>
          <w:lang w:val="en-US" w:eastAsia="en-US" w:bidi="en-US"/>
        </w:rPr>
        <w:t xml:space="preserve">Urban </w:t>
      </w:r>
      <w:r>
        <w:rPr>
          <w:rFonts w:ascii="Times New Roman" w:eastAsia="Times New Roman" w:hAnsi="Times New Roman" w:cs="Times New Roman"/>
          <w:color w:val="000000"/>
          <w:spacing w:val="0"/>
          <w:w w:val="100"/>
          <w:position w:val="0"/>
          <w:shd w:val="clear" w:color="auto" w:fill="auto"/>
          <w:lang w:val="hr-HR" w:eastAsia="hr-HR" w:bidi="hr-HR"/>
        </w:rPr>
        <w:t>II. poziva uz poklik »Bog to hoće« na križarski rat protiv pogana, seldžuka, koji ugrožavaju Bizantsko Carstvo. Tek kada je s time bio povezan potpuni oprost od svih kazni za grijehe, J. je postao cilj križarskog rata. Ime Jeruzalema nekoć je bilo tijesno povezano s eshatološkim strujanjima na Zapadu; nebeski J. kao cilj hodoćašća svih naroda (Iz 2,2) miješa se s obzirom na gospo</w:t>
        <w:softHyphen/>
        <w:t>darske i socijalne probleme s idejom križarskog rata koja je dosljedni nastavak ideje hodoćaš</w:t>
        <w:softHyphen/>
        <w:t>ća u Svetu zemlju, sada svakako s oružjem. Godine 1099. J. zauzimaju križari koji su skri</w:t>
        <w:softHyphen/>
        <w:t>vili nevjerojatno krvoproliće među Židovima i muslimanima. Godine 1100. osnovano je La</w:t>
        <w:softHyphen/>
        <w:t xml:space="preserve">tinsko Kraljevstvo. Godine 1178. </w:t>
      </w:r>
      <w:r>
        <w:rPr>
          <w:rFonts w:ascii="Times New Roman" w:eastAsia="Times New Roman" w:hAnsi="Times New Roman" w:cs="Times New Roman"/>
          <w:color w:val="000000"/>
          <w:spacing w:val="0"/>
          <w:w w:val="100"/>
          <w:position w:val="0"/>
          <w:shd w:val="clear" w:color="auto" w:fill="auto"/>
          <w:lang w:val="en-US" w:eastAsia="en-US" w:bidi="en-US"/>
        </w:rPr>
        <w:t xml:space="preserve">Saladin </w:t>
      </w:r>
      <w:r>
        <w:rPr>
          <w:rFonts w:ascii="Times New Roman" w:eastAsia="Times New Roman" w:hAnsi="Times New Roman" w:cs="Times New Roman"/>
          <w:color w:val="000000"/>
          <w:spacing w:val="0"/>
          <w:w w:val="100"/>
          <w:position w:val="0"/>
          <w:shd w:val="clear" w:color="auto" w:fill="auto"/>
          <w:lang w:val="hr-HR" w:eastAsia="hr-HR" w:bidi="hr-HR"/>
        </w:rPr>
        <w:t>osva</w:t>
        <w:softHyphen/>
        <w:t>janjem vraća J. muslimanima. J. ugovorom s egipatskim sultanom 1229-1241 dolazi, dodu</w:t>
        <w:softHyphen/>
        <w:t>še, još jednom pod kršćansku vlast, ali to je ipak samo epizodno.</w:t>
      </w:r>
    </w:p>
    <w:p>
      <w:pPr>
        <w:pStyle w:val="Style20"/>
        <w:keepNext w:val="0"/>
        <w:keepLines w:val="0"/>
        <w:widowControl w:val="0"/>
        <w:shd w:val="clear" w:color="auto" w:fill="auto"/>
        <w:bidi w:val="0"/>
        <w:spacing w:before="0" w:after="12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Danas je više od 50 kršćanskih crkava i zajed</w:t>
        <w:softHyphen/>
        <w:t>nica zastupano u Jeruzalemu, među kojima grčki patrijarhat odlučujuće predstavlja istoč</w:t>
        <w:softHyphen/>
        <w:t>ne crkve; ali i latinski patrijarhat od 1847. kroz Rimokatoličku crkvu želi stvoriti dostoj</w:t>
        <w:softHyphen/>
        <w:t>no predstavništvo. S Rimom ujedinjena Grko- katolićka crkva (melkiti) ima jednog nadbis</w:t>
        <w:softHyphen/>
        <w:t>kupa u Jeruzalemu. Raskol u kršćanstvu posta</w:t>
        <w:softHyphen/>
        <w:t>je osobito bolno vidljiv na Svetom grobu u Je</w:t>
        <w:softHyphen/>
        <w:t>ruzalemu. Stoga je razumljivo da se ekumen</w:t>
        <w:softHyphen/>
        <w:t>ski napori oko jedinstva crkava usredotočuju upravo na J., što jc vidljivo prije svega na prvom susretu patrijarha Zapada, rimskog bis</w:t>
        <w:softHyphen/>
        <w:t xml:space="preserve">kupa pape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VI., 1964. u Jeruzalemu s carigradskim ekumenskim patrijarhom Atena- gorom koji drži počasno predsjedništvo medu istočnim crkvama. U Jeruzalemu su danas ta</w:t>
        <w:softHyphen/>
        <w:t>kođer značajni napori oko dijaloga triju mo</w:t>
        <w:softHyphen/>
        <w:t>noteističkih religija knjige: židovstva, islama i kršćanstva (npr. u Opatiji Marijina usnuća).</w:t>
      </w:r>
    </w:p>
    <w:p>
      <w:pPr>
        <w:pStyle w:val="Style56"/>
        <w:keepNext w:val="0"/>
        <w:keepLines w:val="0"/>
        <w:widowControl w:val="0"/>
        <w:shd w:val="clear" w:color="auto" w:fill="auto"/>
        <w:tabs>
          <w:tab w:pos="2386" w:val="left"/>
        </w:tabs>
        <w:bidi w:val="0"/>
        <w:spacing w:before="0" w:after="60" w:line="240" w:lineRule="auto"/>
        <w:ind w:left="0" w:right="0" w:firstLine="0"/>
        <w:jc w:val="both"/>
      </w:pPr>
      <w:r>
        <w:rPr>
          <w:color w:val="000000"/>
          <w:spacing w:val="0"/>
          <w:w w:val="100"/>
          <w:position w:val="0"/>
          <w:shd w:val="clear" w:color="auto" w:fill="auto"/>
          <w:lang w:val="hr-HR" w:eastAsia="hr-HR" w:bidi="hr-HR"/>
        </w:rPr>
        <w:t xml:space="preserve">Lit.: E. Otto, </w:t>
      </w:r>
      <w:r>
        <w:rPr>
          <w:i/>
          <w:iCs/>
          <w:color w:val="000000"/>
          <w:spacing w:val="0"/>
          <w:w w:val="100"/>
          <w:position w:val="0"/>
          <w:shd w:val="clear" w:color="auto" w:fill="auto"/>
        </w:rPr>
        <w:t xml:space="preserve">Jerusalem </w:t>
      </w:r>
      <w:r>
        <w:rPr>
          <w:i/>
          <w:iCs/>
          <w:color w:val="000000"/>
          <w:spacing w:val="0"/>
          <w:w w:val="100"/>
          <w:position w:val="0"/>
          <w:shd w:val="clear" w:color="auto" w:fill="auto"/>
          <w:lang w:val="hr-HR" w:eastAsia="hr-HR" w:bidi="hr-HR"/>
        </w:rPr>
        <w:t xml:space="preserve">- J)le Geschichle đer heiligen Sladi </w:t>
      </w:r>
      <w:r>
        <w:rPr>
          <w:color w:val="000000"/>
          <w:spacing w:val="0"/>
          <w:w w:val="100"/>
          <w:position w:val="0"/>
          <w:shd w:val="clear" w:color="auto" w:fill="auto"/>
          <w:lang w:val="hr-HR" w:eastAsia="hr-HR" w:bidi="hr-HR"/>
        </w:rPr>
        <w:t xml:space="preserve">(Urban-TB 3()8).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1980.</w:t>
        <w:tab/>
        <w:t xml:space="preserve">K </w:t>
      </w:r>
      <w:r>
        <w:rPr>
          <w:color w:val="000000"/>
          <w:spacing w:val="0"/>
          <w:w w:val="100"/>
          <w:position w:val="0"/>
          <w:shd w:val="clear" w:color="auto" w:fill="auto"/>
        </w:rPr>
        <w:t>RICHTER</w:t>
      </w:r>
    </w:p>
    <w:p>
      <w:pPr>
        <w:pStyle w:val="Style63"/>
        <w:keepNext/>
        <w:keepLines/>
        <w:widowControl w:val="0"/>
        <w:numPr>
          <w:ilvl w:val="0"/>
          <w:numId w:val="195"/>
        </w:numPr>
        <w:shd w:val="clear" w:color="auto" w:fill="auto"/>
        <w:tabs>
          <w:tab w:pos="260" w:val="left"/>
        </w:tabs>
        <w:bidi w:val="0"/>
        <w:spacing w:before="0" w:after="140"/>
        <w:ind w:left="0" w:right="0" w:firstLine="0"/>
        <w:jc w:val="both"/>
      </w:pPr>
      <w:bookmarkStart w:id="143" w:name="bookmark143"/>
      <w:r>
        <w:rPr>
          <w:rFonts w:ascii="Times New Roman" w:eastAsia="Times New Roman" w:hAnsi="Times New Roman" w:cs="Times New Roman"/>
          <w:color w:val="000000"/>
          <w:spacing w:val="0"/>
          <w:w w:val="100"/>
          <w:position w:val="0"/>
          <w:shd w:val="clear" w:color="auto" w:fill="auto"/>
          <w:lang w:val="hr-HR" w:eastAsia="hr-HR" w:bidi="hr-HR"/>
        </w:rPr>
        <w:t>islamski</w:t>
      </w:r>
      <w:bookmarkEnd w:id="14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religioznoj svijesti muslimana J. ima tros</w:t>
        <w:softHyphen/>
        <w:t xml:space="preserve">truko značenje: a) kao mjesto, u kojemu su se odigrali najvažniji biblijski događaji, b) kao prvotna </w:t>
      </w:r>
      <w:r>
        <w:rPr>
          <w:rFonts w:ascii="Times New Roman" w:eastAsia="Times New Roman" w:hAnsi="Times New Roman" w:cs="Times New Roman"/>
          <w:i/>
          <w:iCs/>
          <w:color w:val="000000"/>
          <w:spacing w:val="0"/>
          <w:w w:val="100"/>
          <w:position w:val="0"/>
          <w:shd w:val="clear" w:color="auto" w:fill="auto"/>
          <w:lang w:val="hr-HR" w:eastAsia="hr-HR" w:bidi="hr-HR"/>
        </w:rPr>
        <w:t>kibla,</w:t>
      </w:r>
      <w:r>
        <w:rPr>
          <w:rFonts w:ascii="Times New Roman" w:eastAsia="Times New Roman" w:hAnsi="Times New Roman" w:cs="Times New Roman"/>
          <w:color w:val="000000"/>
          <w:spacing w:val="0"/>
          <w:w w:val="100"/>
          <w:position w:val="0"/>
          <w:shd w:val="clear" w:color="auto" w:fill="auto"/>
          <w:lang w:val="hr-HR" w:eastAsia="hr-HR" w:bidi="hr-HR"/>
        </w:rPr>
        <w:t xml:space="preserve"> tj. kao krajnja i odredujuća toč</w:t>
        <w:softHyphen/>
        <w:t>ka na koju se usmjeruje molitva, i c) kao grad, kod kojega je završilo Muhamedovo, teološki relevantno, noćno putovanje (isra: al-isra) i od kada počinje njegovo vizualno uzašašće na nebo (miradž: al-mi’radj). J. je jedini grad koji se u islamskome vokabularu označuje kao svet, što se jasno izražava njegovim arapskim ime</w:t>
        <w:softHyphen/>
        <w:t xml:space="preserve">nom </w:t>
      </w:r>
      <w:r>
        <w:rPr>
          <w:rFonts w:ascii="Times New Roman" w:eastAsia="Times New Roman" w:hAnsi="Times New Roman" w:cs="Times New Roman"/>
          <w:i/>
          <w:iCs/>
          <w:color w:val="000000"/>
          <w:spacing w:val="0"/>
          <w:w w:val="100"/>
          <w:position w:val="0"/>
          <w:shd w:val="clear" w:color="auto" w:fill="auto"/>
          <w:lang w:val="hr-HR" w:eastAsia="hr-HR" w:bidi="hr-HR"/>
        </w:rPr>
        <w:t>al-Quds</w:t>
      </w:r>
      <w:r>
        <w:rPr>
          <w:rFonts w:ascii="Times New Roman" w:eastAsia="Times New Roman" w:hAnsi="Times New Roman" w:cs="Times New Roman"/>
          <w:color w:val="000000"/>
          <w:spacing w:val="0"/>
          <w:w w:val="100"/>
          <w:position w:val="0"/>
          <w:shd w:val="clear" w:color="auto" w:fill="auto"/>
          <w:lang w:val="hr-HR" w:eastAsia="hr-HR" w:bidi="hr-HR"/>
        </w:rPr>
        <w:t xml:space="preserve"> (»sveto mjesto«).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Džamija al-Aqsa, koja sc nalazi u blizini Ku</w:t>
        <w:softHyphen/>
        <w:t xml:space="preserve">pole na Stijeni </w:t>
      </w:r>
      <w:r>
        <w:rPr>
          <w:rFonts w:ascii="Times New Roman" w:eastAsia="Times New Roman" w:hAnsi="Times New Roman" w:cs="Times New Roman"/>
          <w:color w:val="000000"/>
          <w:spacing w:val="0"/>
          <w:w w:val="100"/>
          <w:position w:val="0"/>
          <w:shd w:val="clear" w:color="auto" w:fill="auto"/>
          <w:lang w:val="en-US" w:eastAsia="en-US" w:bidi="en-US"/>
        </w:rPr>
        <w:t xml:space="preserve">((Qubbat </w:t>
      </w:r>
      <w:r>
        <w:rPr>
          <w:rFonts w:ascii="Times New Roman" w:eastAsia="Times New Roman" w:hAnsi="Times New Roman" w:cs="Times New Roman"/>
          <w:color w:val="000000"/>
          <w:spacing w:val="0"/>
          <w:w w:val="100"/>
          <w:position w:val="0"/>
          <w:shd w:val="clear" w:color="auto" w:fill="auto"/>
          <w:lang w:val="hr-HR" w:eastAsia="hr-HR" w:bidi="hr-HR"/>
        </w:rPr>
        <w:t>as-sakhra), odmah nakon velike džamije u Meki uz prorokove džamije u Medini ubraja se u najdostojanstve- nije građevine islama. Blizu te džamije, u okružju Kupole na Stijeni, nalazi se treće sve</w:t>
        <w:softHyphen/>
        <w:t>to mjesto islama (al-haram ash-sharlf). Unu</w:t>
        <w:softHyphen/>
        <w:t>tar svakoga od ova tri mjesta (u Meki, Medini i Jeruzalemu) vjerskim se prijestupom smatra nošenje oružja, lov i ubijanje životinja ili čak ljudi, košnja trave ili lomljenje grana i trnja.</w:t>
      </w:r>
    </w:p>
    <w:p>
      <w:pPr>
        <w:pStyle w:val="Style20"/>
        <w:keepNext w:val="0"/>
        <w:keepLines w:val="0"/>
        <w:widowControl w:val="0"/>
        <w:shd w:val="clear" w:color="auto" w:fill="auto"/>
        <w:tabs>
          <w:tab w:pos="2558" w:val="left"/>
        </w:tabs>
        <w:bidi w:val="0"/>
        <w:spacing w:before="0" w:after="2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Godine 637. J. je osvojio kalif Omer i od tada je - s kratkim prekidima u XII. i XIII. stoljeću - bio u rukama muslimanskih vladara. Oni su se osjećali odgovornim i za sigurnost tamo zatečenih svetišta svih triju objavljenih religi</w:t>
        <w:softHyphen/>
        <w:t>ja. Tako je npr. ključeve crkve Svetoga groba čuvao jedan muslimanski čuvar. Sukob oko Jeruzalema, koji je izbio zbog izraelskoga za</w:t>
        <w:softHyphen/>
        <w:t>posjedanja zapadnoga dijela Jordana 1967., točnije istočne Palestine, godinama predstav</w:t>
        <w:softHyphen/>
        <w:t>lja prepreku političkome smirivanju Bliskog istoka. Povrh toga, taj sukob znatno optere</w:t>
        <w:softHyphen/>
        <w:t>ćuje medureligijske odnose između židovstva i islama.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halić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JIŠMAEL</w:t>
      </w:r>
    </w:p>
    <w:p>
      <w:pPr>
        <w:pStyle w:val="Style63"/>
        <w:keepNext/>
        <w:keepLines/>
        <w:widowControl w:val="0"/>
        <w:numPr>
          <w:ilvl w:val="0"/>
          <w:numId w:val="199"/>
        </w:numPr>
        <w:shd w:val="clear" w:color="auto" w:fill="auto"/>
        <w:tabs>
          <w:tab w:pos="250" w:val="left"/>
        </w:tabs>
        <w:bidi w:val="0"/>
        <w:spacing w:before="0" w:after="80"/>
        <w:ind w:left="0" w:right="0" w:firstLine="0"/>
        <w:jc w:val="both"/>
      </w:pPr>
      <w:bookmarkStart w:id="144" w:name="bookmark144"/>
      <w:r>
        <w:rPr>
          <w:rFonts w:ascii="Times New Roman" w:eastAsia="Times New Roman" w:hAnsi="Times New Roman" w:cs="Times New Roman"/>
          <w:color w:val="000000"/>
          <w:spacing w:val="0"/>
          <w:w w:val="100"/>
          <w:position w:val="0"/>
          <w:shd w:val="clear" w:color="auto" w:fill="auto"/>
          <w:lang w:val="hr-HR" w:eastAsia="hr-HR" w:bidi="hr-HR"/>
        </w:rPr>
        <w:t>židovski</w:t>
      </w:r>
      <w:bookmarkEnd w:id="144"/>
    </w:p>
    <w:p>
      <w:pPr>
        <w:pStyle w:val="Style20"/>
        <w:keepNext w:val="0"/>
        <w:keepLines w:val="0"/>
        <w:widowControl w:val="0"/>
        <w:numPr>
          <w:ilvl w:val="0"/>
          <w:numId w:val="183"/>
        </w:numPr>
        <w:shd w:val="clear" w:color="auto" w:fill="auto"/>
        <w:tabs>
          <w:tab w:pos="25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(»Bog čuje«, Post 16,11; 21,17), sin Abra- hama i Hagare, navodno je praotac dvanaest plemena s boravištem između Eufrata i Sueza (Post 25,12-18). Malo-pomalo počeli su ga smatrati ne samo praocem Jišmaclaca nego i Arapa </w:t>
      </w:r>
      <w:r>
        <w:rPr>
          <w:rFonts w:ascii="Times New Roman" w:eastAsia="Times New Roman" w:hAnsi="Times New Roman" w:cs="Times New Roman"/>
          <w:color w:val="000000"/>
          <w:spacing w:val="0"/>
          <w:w w:val="100"/>
          <w:position w:val="0"/>
          <w:shd w:val="clear" w:color="auto" w:fill="auto"/>
          <w:lang w:val="en-US" w:eastAsia="en-US" w:bidi="en-US"/>
        </w:rPr>
        <w:t xml:space="preserve">(Targum Hi </w:t>
      </w:r>
      <w:r>
        <w:rPr>
          <w:rFonts w:ascii="Times New Roman" w:eastAsia="Times New Roman" w:hAnsi="Times New Roman" w:cs="Times New Roman"/>
          <w:color w:val="000000"/>
          <w:spacing w:val="0"/>
          <w:w w:val="100"/>
          <w:position w:val="0"/>
          <w:shd w:val="clear" w:color="auto" w:fill="auto"/>
          <w:lang w:val="hr-HR" w:eastAsia="hr-HR" w:bidi="hr-HR"/>
        </w:rPr>
        <w:t>XV,20; b Šabat 11a; Bera- hot 16b). Prema Hagadi, Abrahamova preko</w:t>
        <w:softHyphen/>
        <w:t xml:space="preserve">mjerna ljubav prema sinu Jišmaelu odvela ga </w:t>
      </w:r>
      <w:r>
        <w:rPr>
          <w:rFonts w:ascii="Times New Roman" w:eastAsia="Times New Roman" w:hAnsi="Times New Roman" w:cs="Times New Roman"/>
          <w:color w:val="000000"/>
          <w:spacing w:val="0"/>
          <w:w w:val="100"/>
          <w:position w:val="0"/>
          <w:shd w:val="clear" w:color="auto" w:fill="auto"/>
          <w:lang w:val="hr-HR" w:eastAsia="hr-HR" w:bidi="hr-HR"/>
        </w:rPr>
        <w:t>je na krivi put. No Sara je prozrela Jišmacla; vidjela ga je kako »siluje djevice, otima i muči udane žene... pravi brežuljke, hvata skakavce i na njima ih prinosi (kao žrtve)«, i više od toga: »Uzeo je luk i odapeo strijelu pred Izaka i pravio se kao da se samo šali.« Kad se Izak »rodio, svi su se radovali; tada je J. rekao: Vi, budale, ja sam prvorodenac« (Berešit raba LIH,21,9). J. se izjednačava s jednim od dvo</w:t>
        <w:softHyphen/>
        <w:t xml:space="preserve">jice slugu koji prate Abrahama dok odlazi na »vezivanje Izakovo« (Post 22,3).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ga ostavlja s Eleazarom i magarcem podno brda Morije, jer nije mogao vidjeti božanski oblak koji je okružio brdo (Vajikra raba XXVI,21,1). Kada ga je Hagara ostavila u pustinji, J. se stao moliti da brzo umre kako bi izbjegao mučnoj smrti od žeđi (Pirkej de-rabi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30). Tada ga kod Boga optuže anđeoski sluge: »Gospodaru svjetova! Zar ćeš dati studenac čovjeku koji će jednoga dana pustiti tvoju dje</w:t>
        <w:softHyphen/>
        <w:t>cu da umru od žeđi? Bog odgovori: Pa, što je on sada - kreposnik ili pokvarenjak? Oni re</w:t>
        <w:softHyphen/>
        <w:t>koše: Kreposnik. Nato će Bog: Sudim čovjeku samo prema sadašnjem ćudorednom stanju (zapravo, prema ovom trenutku)« (Berešit ra</w:t>
        <w:softHyphen/>
        <w:t>ba LIH,21,17). Gemara prenosi: »J. je činio pokoru za očeva života«, jer je Izaku dao prednost (b Bava batra 16b) na Abrahamovoj sahrani (Post 25,9). Gemara također prenosi izreku: »Tko u snu vidi Jišmaela, Bog će ga uslišiti« (b Berahot 16b).</w:t>
      </w:r>
    </w:p>
    <w:p>
      <w:pPr>
        <w:pStyle w:val="Style56"/>
        <w:keepNext w:val="0"/>
        <w:keepLines w:val="0"/>
        <w:widowControl w:val="0"/>
        <w:shd w:val="clear" w:color="auto" w:fill="auto"/>
        <w:tabs>
          <w:tab w:pos="2419"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L. Gmzbcrg. </w:t>
      </w:r>
      <w:r>
        <w:rPr>
          <w:i/>
          <w:iCs/>
          <w:color w:val="000000"/>
          <w:spacing w:val="0"/>
          <w:w w:val="100"/>
          <w:position w:val="0"/>
          <w:shd w:val="clear" w:color="auto" w:fill="auto"/>
        </w:rPr>
        <w:t xml:space="preserve">The Legends of the Jews </w:t>
      </w:r>
      <w:r>
        <w:rPr>
          <w:i/>
          <w:iCs/>
          <w:color w:val="000000"/>
          <w:spacing w:val="0"/>
          <w:w w:val="100"/>
          <w:position w:val="0"/>
          <w:shd w:val="clear" w:color="auto" w:fill="auto"/>
          <w:lang w:val="hr-HR" w:eastAsia="hr-HR" w:bidi="hr-HR"/>
        </w:rPr>
        <w:t>1,</w:t>
      </w:r>
      <w:r>
        <w:rPr>
          <w:color w:val="000000"/>
          <w:spacing w:val="0"/>
          <w:w w:val="100"/>
          <w:position w:val="0"/>
          <w:shd w:val="clear" w:color="auto" w:fill="auto"/>
          <w:lang w:val="hr-HR" w:eastAsia="hr-HR" w:bidi="hr-HR"/>
        </w:rPr>
        <w:t xml:space="preserve"> 1942. 237 i d.» 263 i d.; V. 1947. 230 i d„ 246 i d.</w:t>
        <w:tab/>
        <w:t xml:space="preserve">D. </w:t>
      </w:r>
      <w:r>
        <w:rPr>
          <w:color w:val="000000"/>
          <w:spacing w:val="0"/>
          <w:w w:val="100"/>
          <w:position w:val="0"/>
          <w:shd w:val="clear" w:color="auto" w:fill="auto"/>
        </w:rPr>
        <w:t>VETTER</w:t>
      </w:r>
    </w:p>
    <w:p>
      <w:pPr>
        <w:pStyle w:val="Style63"/>
        <w:keepNext/>
        <w:keepLines/>
        <w:widowControl w:val="0"/>
        <w:numPr>
          <w:ilvl w:val="0"/>
          <w:numId w:val="201"/>
        </w:numPr>
        <w:shd w:val="clear" w:color="auto" w:fill="auto"/>
        <w:tabs>
          <w:tab w:pos="265" w:val="left"/>
        </w:tabs>
        <w:bidi w:val="0"/>
        <w:spacing w:before="0" w:line="223" w:lineRule="auto"/>
        <w:ind w:left="0" w:right="0" w:firstLine="0"/>
        <w:jc w:val="both"/>
      </w:pPr>
      <w:bookmarkStart w:id="145" w:name="bookmark145"/>
      <w:r>
        <w:rPr>
          <w:rFonts w:ascii="Times New Roman" w:eastAsia="Times New Roman" w:hAnsi="Times New Roman" w:cs="Times New Roman"/>
          <w:color w:val="000000"/>
          <w:spacing w:val="0"/>
          <w:w w:val="100"/>
          <w:position w:val="0"/>
          <w:shd w:val="clear" w:color="auto" w:fill="auto"/>
          <w:lang w:val="hr-HR" w:eastAsia="hr-HR" w:bidi="hr-HR"/>
        </w:rPr>
        <w:t>islamski</w:t>
      </w:r>
      <w:bookmarkEnd w:id="145"/>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Ismail (Ismail,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Jišmael), prvorodenac patri</w:t>
        <w:softHyphen/>
        <w:t xml:space="preserve">jarha Abrahama, slovi kao otac sjevemoarap- skih plemena, on je prva genealoška povezni- </w:t>
      </w:r>
      <w:r>
        <w:rPr>
          <w:rFonts w:ascii="Times New Roman" w:eastAsia="Times New Roman" w:hAnsi="Times New Roman" w:cs="Times New Roman"/>
          <w:color w:val="000000"/>
          <w:spacing w:val="0"/>
          <w:w w:val="100"/>
          <w:position w:val="0"/>
          <w:shd w:val="clear" w:color="auto" w:fill="auto"/>
          <w:lang w:val="hr-HR" w:eastAsia="hr-HR" w:bidi="hr-HR"/>
        </w:rPr>
        <w:t>ca Arapa s Izraelovim narodom. Pitanje o spasenjsko-povijesnoj relevantnosti toga ge</w:t>
        <w:softHyphen/>
        <w:t>nealoškog momenta, koje se pojavljuje u bib</w:t>
        <w:softHyphen/>
        <w:t>lijskoj tradiciji, nije za islam ni od kakvoga teološkog značenja. Kuran spominje Ismaila nekoliko puta. On je tamo opisan kao prorok i primatelj objava. Tradicija o njemu izvješ</w:t>
        <w:softHyphen/>
        <w:t>ćuje mnogo više od Kurana. Oko njega i nje</w:t>
        <w:softHyphen/>
        <w:t>gove majke Hadžere (Hagara), bivše ropkinje, roje se brojne legende. One dijelom simbo</w:t>
        <w:softHyphen/>
        <w:t>lički reflektiraju odnos Židova i Arapa.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Prva Abrahamova legitimna žena, Sara, bila je ljubomorna na Hadžeru. Kako bi je pogodila dala joj je probušiti i označiti uši. Od tada je ta operacija izvršena na Hadžeri postala op</w:t>
        <w:softHyphen/>
        <w:t xml:space="preserve">ćom ženskom modom. </w:t>
      </w:r>
      <w:r>
        <w:rPr>
          <w:rFonts w:ascii="Times New Roman" w:eastAsia="Times New Roman" w:hAnsi="Times New Roman" w:cs="Times New Roman"/>
          <w:color w:val="000000"/>
          <w:spacing w:val="0"/>
          <w:w w:val="100"/>
          <w:position w:val="0"/>
          <w:shd w:val="clear" w:color="auto" w:fill="auto"/>
          <w:lang w:val="en-US" w:eastAsia="en-US" w:bidi="en-US"/>
        </w:rPr>
        <w:t xml:space="preserve">Ismail </w:t>
      </w:r>
      <w:r>
        <w:rPr>
          <w:rFonts w:ascii="Times New Roman" w:eastAsia="Times New Roman" w:hAnsi="Times New Roman" w:cs="Times New Roman"/>
          <w:color w:val="000000"/>
          <w:spacing w:val="0"/>
          <w:w w:val="100"/>
          <w:position w:val="0"/>
          <w:shd w:val="clear" w:color="auto" w:fill="auto"/>
          <w:lang w:val="hr-HR" w:eastAsia="hr-HR" w:bidi="hr-HR"/>
        </w:rPr>
        <w:t xml:space="preserve">i Abrahamov drugi sin Izak u djetinjsku su se navodno često tukli. Kao što je poznato, Izaka je Sara rodila kasnije. Kada je, prema tradiciji,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mučen scenama svoje prve žene odveo svo</w:t>
        <w:softHyphen/>
        <w:t>jega prvog sina i njegovu majku u predio po</w:t>
        <w:softHyphen/>
        <w:t xml:space="preserve">kraj Meke da bi imao mir, dječak je praćaka- jući se u pustinjskome pijesku prvi otkopao vrelo Zemzem. Skupa s </w:t>
      </w:r>
      <w:r>
        <w:rPr>
          <w:rFonts w:ascii="Times New Roman" w:eastAsia="Times New Roman" w:hAnsi="Times New Roman" w:cs="Times New Roman"/>
          <w:color w:val="000000"/>
          <w:spacing w:val="0"/>
          <w:w w:val="100"/>
          <w:position w:val="0"/>
          <w:shd w:val="clear" w:color="auto" w:fill="auto"/>
          <w:lang w:val="en-US" w:eastAsia="en-US" w:bidi="en-US"/>
        </w:rPr>
        <w:t xml:space="preserve">Ismailom Abraham </w:t>
      </w:r>
      <w:r>
        <w:rPr>
          <w:rFonts w:ascii="Times New Roman" w:eastAsia="Times New Roman" w:hAnsi="Times New Roman" w:cs="Times New Roman"/>
          <w:color w:val="000000"/>
          <w:spacing w:val="0"/>
          <w:w w:val="100"/>
          <w:position w:val="0"/>
          <w:shd w:val="clear" w:color="auto" w:fill="auto"/>
          <w:lang w:val="hr-HR" w:eastAsia="hr-HR" w:bidi="hr-HR"/>
        </w:rPr>
        <w:t>je naposljetku podigao svetište Kaba u Meki.</w:t>
      </w:r>
    </w:p>
    <w:p>
      <w:pPr>
        <w:pStyle w:val="Style20"/>
        <w:keepNext w:val="0"/>
        <w:keepLines w:val="0"/>
        <w:widowControl w:val="0"/>
        <w:shd w:val="clear" w:color="auto" w:fill="auto"/>
        <w:tabs>
          <w:tab w:pos="2520" w:val="left"/>
        </w:tabs>
        <w:bidi w:val="0"/>
        <w:spacing w:before="0" w:after="0" w:line="257" w:lineRule="auto"/>
        <w:ind w:left="0" w:right="0" w:firstLine="0"/>
        <w:jc w:val="both"/>
        <w:rPr>
          <w:sz w:val="12"/>
          <w:szCs w:val="12"/>
        </w:rPr>
        <w:sectPr>
          <w:headerReference w:type="default" r:id="rId595"/>
          <w:footerReference w:type="default" r:id="rId596"/>
          <w:headerReference w:type="even" r:id="rId597"/>
          <w:footerReference w:type="even" r:id="rId598"/>
          <w:headerReference w:type="first" r:id="rId599"/>
          <w:footerReference w:type="first" r:id="rId600"/>
          <w:footnotePr>
            <w:pos w:val="pageBottom"/>
            <w:numFmt w:val="decimal"/>
            <w:numStart w:val="5"/>
            <w:numRestart w:val="continuous"/>
            <w15:footnoteColumns w:val="1"/>
          </w:footnotePr>
          <w:pgSz w:w="6816" w:h="11006"/>
          <w:pgMar w:top="987" w:left="169" w:right="172" w:bottom="443"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Pripovijest iz Post 22 o namjernom žrtvovanju Izaka preuzela je i islamska tradicija. Neki teolozi tvrde da žrtvovan nije trebao biti Izak, već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Ismail. </w:t>
      </w:r>
      <w:r>
        <w:rPr>
          <w:rFonts w:ascii="Times New Roman" w:eastAsia="Times New Roman" w:hAnsi="Times New Roman" w:cs="Times New Roman"/>
          <w:color w:val="000000"/>
          <w:spacing w:val="0"/>
          <w:w w:val="100"/>
          <w:position w:val="0"/>
          <w:sz w:val="15"/>
          <w:szCs w:val="15"/>
          <w:shd w:val="clear" w:color="auto" w:fill="auto"/>
          <w:lang w:val="hr-HR" w:eastAsia="hr-HR" w:bidi="hr-HR"/>
        </w:rPr>
        <w:t>Sjećajući se na taj događaj za vrije</w:t>
        <w:softHyphen/>
        <w:t>me blagdana žrtvovanja (Td al-adha) musli</w:t>
        <w:softHyphen/>
        <w:t>mani su prinosili životinjsku žrtvu. Po Ismailu se u srednjem vijeku muslimani često nazivaju ismailiti (mad. izmaelitak). To ime nema ni</w:t>
        <w:softHyphen/>
        <w:t xml:space="preserve">kakve veze sa sektom ismailita. Osim toga, za pristaše islama često je korišteno ime hadže- rani ili agerani (po Ismailovoj majci Hadžeri). </w:t>
      </w:r>
      <w:r>
        <w:rPr>
          <w:rFonts w:ascii="Arial" w:eastAsia="Arial" w:hAnsi="Arial" w:cs="Arial"/>
          <w:color w:val="000000"/>
          <w:spacing w:val="0"/>
          <w:w w:val="100"/>
          <w:position w:val="0"/>
          <w:sz w:val="12"/>
          <w:szCs w:val="12"/>
          <w:shd w:val="clear" w:color="auto" w:fill="auto"/>
          <w:lang w:val="hr-HR" w:eastAsia="hr-HR" w:bidi="hr-HR"/>
        </w:rPr>
        <w:t xml:space="preserve">Lit.: Rudi </w:t>
      </w:r>
      <w:r>
        <w:rPr>
          <w:rFonts w:ascii="Arial" w:eastAsia="Arial" w:hAnsi="Arial" w:cs="Arial"/>
          <w:color w:val="000000"/>
          <w:spacing w:val="0"/>
          <w:w w:val="100"/>
          <w:position w:val="0"/>
          <w:sz w:val="12"/>
          <w:szCs w:val="12"/>
          <w:shd w:val="clear" w:color="auto" w:fill="auto"/>
          <w:lang w:val="en-US" w:eastAsia="en-US" w:bidi="en-US"/>
        </w:rPr>
        <w:t xml:space="preserve">Parct, Ismail, </w:t>
      </w:r>
      <w:r>
        <w:rPr>
          <w:rFonts w:ascii="Arial" w:eastAsia="Arial" w:hAnsi="Arial" w:cs="Arial"/>
          <w:color w:val="000000"/>
          <w:spacing w:val="0"/>
          <w:w w:val="100"/>
          <w:position w:val="0"/>
          <w:sz w:val="12"/>
          <w:szCs w:val="12"/>
          <w:shd w:val="clear" w:color="auto" w:fill="auto"/>
          <w:lang w:val="hr-HR" w:eastAsia="hr-HR" w:bidi="hr-HR"/>
        </w:rPr>
        <w:t xml:space="preserve">u: </w:t>
      </w:r>
      <w:r>
        <w:rPr>
          <w:rFonts w:ascii="Arial" w:eastAsia="Arial" w:hAnsi="Arial" w:cs="Arial"/>
          <w:color w:val="000000"/>
          <w:spacing w:val="0"/>
          <w:w w:val="100"/>
          <w:position w:val="0"/>
          <w:sz w:val="12"/>
          <w:szCs w:val="12"/>
          <w:shd w:val="clear" w:color="auto" w:fill="auto"/>
          <w:lang w:val="en-US" w:eastAsia="en-US" w:bidi="en-US"/>
        </w:rPr>
        <w:t>El</w:t>
      </w:r>
      <w:r>
        <w:rPr>
          <w:rFonts w:ascii="Arial" w:eastAsia="Arial" w:hAnsi="Arial" w:cs="Arial"/>
          <w:color w:val="000000"/>
          <w:spacing w:val="0"/>
          <w:w w:val="100"/>
          <w:position w:val="0"/>
          <w:sz w:val="12"/>
          <w:szCs w:val="12"/>
          <w:shd w:val="clear" w:color="auto" w:fill="auto"/>
          <w:vertAlign w:val="superscript"/>
          <w:lang w:val="en-US" w:eastAsia="en-US" w:bidi="en-US"/>
        </w:rPr>
        <w:t>2</w:t>
      </w:r>
      <w:r>
        <w:rPr>
          <w:rFonts w:ascii="Arial" w:eastAsia="Arial" w:hAnsi="Arial" w:cs="Arial"/>
          <w:color w:val="000000"/>
          <w:spacing w:val="0"/>
          <w:w w:val="100"/>
          <w:position w:val="0"/>
          <w:sz w:val="12"/>
          <w:szCs w:val="12"/>
          <w:shd w:val="clear" w:color="auto" w:fill="auto"/>
          <w:lang w:val="en-US" w:eastAsia="en-US" w:bidi="en-US"/>
        </w:rPr>
        <w:t xml:space="preserve"> </w:t>
      </w:r>
      <w:r>
        <w:rPr>
          <w:rFonts w:ascii="Arial" w:eastAsia="Arial" w:hAnsi="Arial" w:cs="Arial"/>
          <w:color w:val="000000"/>
          <w:spacing w:val="0"/>
          <w:w w:val="100"/>
          <w:position w:val="0"/>
          <w:sz w:val="12"/>
          <w:szCs w:val="12"/>
          <w:shd w:val="clear" w:color="auto" w:fill="auto"/>
          <w:lang w:val="hr-HR" w:eastAsia="hr-HR" w:bidi="hr-HR"/>
        </w:rPr>
        <w:t>IV, 184-185.</w:t>
        <w:tab/>
        <w:t>s. BAt.lć</w:t>
      </w:r>
    </w:p>
    <w:p>
      <w:pPr>
        <w:pStyle w:val="Style91"/>
        <w:keepNext/>
        <w:keepLines/>
        <w:widowControl w:val="0"/>
        <w:shd w:val="clear" w:color="auto" w:fill="auto"/>
        <w:bidi w:val="0"/>
        <w:spacing w:before="0" w:after="100" w:line="240" w:lineRule="auto"/>
        <w:ind w:left="0" w:right="0" w:firstLine="0"/>
        <w:jc w:val="both"/>
      </w:pPr>
      <w:bookmarkStart w:id="146" w:name="bookmark146"/>
      <w:r>
        <w:rPr>
          <w:rFonts w:ascii="Times New Roman" w:eastAsia="Times New Roman" w:hAnsi="Times New Roman" w:cs="Times New Roman"/>
          <w:b/>
          <w:bCs/>
          <w:color w:val="000000"/>
          <w:spacing w:val="0"/>
          <w:w w:val="100"/>
          <w:position w:val="0"/>
          <w:shd w:val="clear" w:color="auto" w:fill="auto"/>
          <w:lang w:val="en-US" w:eastAsia="en-US" w:bidi="en-US"/>
        </w:rPr>
        <w:t xml:space="preserve">KABA </w:t>
      </w:r>
      <w:r>
        <w:rPr>
          <w:rFonts w:ascii="Times New Roman" w:eastAsia="Times New Roman" w:hAnsi="Times New Roman" w:cs="Times New Roman"/>
          <w:color w:val="000000"/>
          <w:spacing w:val="0"/>
          <w:w w:val="100"/>
          <w:position w:val="0"/>
          <w:shd w:val="clear" w:color="auto" w:fill="auto"/>
          <w:lang w:val="en-US" w:eastAsia="en-US" w:bidi="en-US"/>
        </w:rPr>
        <w:t xml:space="preserve">-&gt; SVETA </w:t>
      </w:r>
      <w:r>
        <w:rPr>
          <w:rFonts w:ascii="Times New Roman" w:eastAsia="Times New Roman" w:hAnsi="Times New Roman" w:cs="Times New Roman"/>
          <w:color w:val="000000"/>
          <w:spacing w:val="0"/>
          <w:w w:val="100"/>
          <w:position w:val="0"/>
          <w:shd w:val="clear" w:color="auto" w:fill="auto"/>
          <w:lang w:val="hr-HR" w:eastAsia="hr-HR" w:bidi="hr-HR"/>
        </w:rPr>
        <w:t>MJESTA</w:t>
      </w:r>
      <w:bookmarkEnd w:id="146"/>
    </w:p>
    <w:p>
      <w:pPr>
        <w:pStyle w:val="Style91"/>
        <w:keepNext/>
        <w:keepLines/>
        <w:widowControl w:val="0"/>
        <w:shd w:val="clear" w:color="auto" w:fill="auto"/>
        <w:bidi w:val="0"/>
        <w:spacing w:before="0" w:after="0" w:line="240" w:lineRule="auto"/>
        <w:ind w:left="0" w:right="0" w:firstLine="0"/>
        <w:jc w:val="left"/>
      </w:pPr>
      <w:bookmarkStart w:id="147" w:name="bookmark147"/>
      <w:r>
        <w:rPr>
          <w:rFonts w:ascii="Times New Roman" w:eastAsia="Times New Roman" w:hAnsi="Times New Roman" w:cs="Times New Roman"/>
          <w:b/>
          <w:bCs/>
          <w:color w:val="000000"/>
          <w:spacing w:val="0"/>
          <w:w w:val="100"/>
          <w:position w:val="0"/>
          <w:shd w:val="clear" w:color="auto" w:fill="auto"/>
          <w:lang w:val="en-US" w:eastAsia="en-US" w:bidi="en-US"/>
        </w:rPr>
        <w:t xml:space="preserve">KELAM </w:t>
      </w:r>
      <w:r>
        <w:rPr>
          <w:rFonts w:ascii="Times New Roman" w:eastAsia="Times New Roman" w:hAnsi="Times New Roman" w:cs="Times New Roman"/>
          <w:color w:val="000000"/>
          <w:spacing w:val="0"/>
          <w:w w:val="100"/>
          <w:position w:val="0"/>
          <w:shd w:val="clear" w:color="auto" w:fill="auto"/>
          <w:lang w:val="hr-HR" w:eastAsia="hr-HR" w:bidi="hr-HR"/>
        </w:rPr>
        <w:t xml:space="preserve">-» TEOLOGIJA, </w:t>
      </w:r>
      <w:r>
        <w:rPr>
          <w:rFonts w:ascii="Times New Roman" w:eastAsia="Times New Roman" w:hAnsi="Times New Roman" w:cs="Times New Roman"/>
          <w:color w:val="000000"/>
          <w:spacing w:val="0"/>
          <w:w w:val="100"/>
          <w:position w:val="0"/>
          <w:shd w:val="clear" w:color="auto" w:fill="auto"/>
          <w:lang w:val="en-US" w:eastAsia="en-US" w:bidi="en-US"/>
        </w:rPr>
        <w:t>-&gt;</w:t>
      </w:r>
      <w:bookmarkEnd w:id="147"/>
    </w:p>
    <w:p>
      <w:pPr>
        <w:pStyle w:val="Style91"/>
        <w:keepNext/>
        <w:keepLines/>
        <w:widowControl w:val="0"/>
        <w:shd w:val="clear" w:color="auto" w:fill="auto"/>
        <w:bidi w:val="0"/>
        <w:spacing w:before="0" w:after="100" w:line="240" w:lineRule="auto"/>
        <w:ind w:left="0" w:right="0" w:firstLine="0"/>
        <w:jc w:val="both"/>
      </w:pPr>
      <w:bookmarkStart w:id="148" w:name="bookmark148"/>
      <w:r>
        <w:rPr>
          <w:rFonts w:ascii="Times New Roman" w:eastAsia="Times New Roman" w:hAnsi="Times New Roman" w:cs="Times New Roman"/>
          <w:color w:val="000000"/>
          <w:spacing w:val="0"/>
          <w:w w:val="100"/>
          <w:position w:val="0"/>
          <w:shd w:val="clear" w:color="auto" w:fill="auto"/>
          <w:lang w:val="en-US" w:eastAsia="en-US" w:bidi="en-US"/>
        </w:rPr>
        <w:t xml:space="preserve">APOLOG </w:t>
      </w:r>
      <w:r>
        <w:rPr>
          <w:rFonts w:ascii="Times New Roman" w:eastAsia="Times New Roman" w:hAnsi="Times New Roman" w:cs="Times New Roman"/>
          <w:color w:val="000000"/>
          <w:spacing w:val="0"/>
          <w:w w:val="100"/>
          <w:position w:val="0"/>
          <w:shd w:val="clear" w:color="auto" w:fill="auto"/>
          <w:lang w:val="hr-HR" w:eastAsia="hr-HR" w:bidi="hr-HR"/>
        </w:rPr>
        <w:t>ETIKA</w:t>
      </w:r>
      <w:bookmarkEnd w:id="148"/>
    </w:p>
    <w:p>
      <w:pPr>
        <w:pStyle w:val="Style33"/>
        <w:keepNext w:val="0"/>
        <w:keepLines w:val="0"/>
        <w:widowControl w:val="0"/>
        <w:shd w:val="clear" w:color="auto" w:fill="auto"/>
        <w:bidi w:val="0"/>
        <w:spacing w:before="0" w:after="26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 xml:space="preserve">KAJANJE </w:t>
      </w:r>
      <w:r>
        <w:rPr>
          <w:rFonts w:ascii="Times New Roman" w:eastAsia="Times New Roman" w:hAnsi="Times New Roman" w:cs="Times New Roman"/>
          <w:b/>
          <w:bCs/>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POKORA</w:t>
      </w:r>
    </w:p>
    <w:p>
      <w:pPr>
        <w:pStyle w:val="Style33"/>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KALENDAR</w:t>
      </w:r>
    </w:p>
    <w:p>
      <w:pPr>
        <w:pStyle w:val="Style63"/>
        <w:keepNext/>
        <w:keepLines/>
        <w:widowControl w:val="0"/>
        <w:numPr>
          <w:ilvl w:val="0"/>
          <w:numId w:val="203"/>
        </w:numPr>
        <w:shd w:val="clear" w:color="auto" w:fill="auto"/>
        <w:tabs>
          <w:tab w:pos="255" w:val="left"/>
        </w:tabs>
        <w:bidi w:val="0"/>
        <w:spacing w:before="0" w:after="100" w:line="240" w:lineRule="auto"/>
        <w:ind w:left="0" w:right="0" w:firstLine="0"/>
        <w:jc w:val="both"/>
      </w:pPr>
      <w:bookmarkStart w:id="149" w:name="bookmark149"/>
      <w:r>
        <w:rPr>
          <w:rFonts w:ascii="Times New Roman" w:eastAsia="Times New Roman" w:hAnsi="Times New Roman" w:cs="Times New Roman"/>
          <w:color w:val="000000"/>
          <w:spacing w:val="0"/>
          <w:w w:val="100"/>
          <w:position w:val="0"/>
          <w:shd w:val="clear" w:color="auto" w:fill="auto"/>
          <w:lang w:val="hr-HR" w:eastAsia="hr-HR" w:bidi="hr-HR"/>
        </w:rPr>
        <w:t>židovski</w:t>
      </w:r>
      <w:bookmarkEnd w:id="149"/>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rabinskom shvaćanju. Bog je s Torom predao Izraelu i njezino tumačenje i primjenu (b Bava mecia 59b); to se posebno odnosi na odluke o rasporedu kalendara i s njim pove</w:t>
        <w:softHyphen/>
        <w:t>zano utvrđivanje blagdanskoga ciklusa: »R. Šimon (oko 280) rekao je: ‘Tvoji su izračuni kod nas' (tako Midraš tumači Ps 40,6); onih punih 2448 godina, prije negoli su Izraelci izišli iz Egipta, Bog je ondje sjedio i izračuna</w:t>
        <w:softHyphen/>
        <w:t>vao i utvrdio prestupne godine i posvetio go</w:t>
        <w:softHyphen/>
        <w:t xml:space="preserve">dine i obnovio mjesece; no, kad su Izraelci izišli iz Egipta, on im je sve to predao« (Pe- sikta derav Kahana 43b, usp. Pesikta rabati 15,67b) i vezao se uz odluke »nižega suda«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53b, usp. Pesikta rabati 15,77a; j Roš ha-šana 1,57b): »Anđeoski sluge govorili su pred Bogom: Gospodaru svijeta! Kada ćeš uvesti blagdanska vremena?... On je odgovo</w:t>
        <w:softHyphen/>
        <w:t>rio: Ja i vi slažemo se s onim što Izraelci od</w:t>
        <w:softHyphen/>
        <w:t xml:space="preserve">luče i kako će od godine učiniti prestupnu godinu... Izrael ih (blagdane) može slaviti u utvrđeno vrijeme i u neutvrđeno vrijeme, ali to su uvijek moji blagdani« (Šemot raba XV, 12,1.2, usp.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23,4). Neki su učitelji ipak naglašavali Božju prisutnost kada je Izrael utvrdio raspored kalendara: »On odlazi iz gor</w:t>
        <w:softHyphen/>
        <w:t>njeg vijeća i spušta se ovamo i tu dolje ugura svoju šekinu (Božja prisutnost u svijetu)! Zašto sve to? Ako u nečemu pogriješe, Bog im osvi</w:t>
        <w:softHyphen/>
        <w:t>jetli lice u halahi« (Pesikta derav Kahana 151b). Prema predaji, sadašnji k. potječe od patri</w:t>
        <w:softHyphen/>
        <w:t xml:space="preserve">jarha </w:t>
      </w:r>
      <w:r>
        <w:rPr>
          <w:rFonts w:ascii="Times New Roman" w:eastAsia="Times New Roman" w:hAnsi="Times New Roman" w:cs="Times New Roman"/>
          <w:color w:val="000000"/>
          <w:spacing w:val="0"/>
          <w:w w:val="100"/>
          <w:position w:val="0"/>
          <w:shd w:val="clear" w:color="auto" w:fill="auto"/>
          <w:lang w:val="en-US" w:eastAsia="en-US" w:bidi="en-US"/>
        </w:rPr>
        <w:t xml:space="preserve">Hilda </w:t>
      </w:r>
      <w:r>
        <w:rPr>
          <w:rFonts w:ascii="Times New Roman" w:eastAsia="Times New Roman" w:hAnsi="Times New Roman" w:cs="Times New Roman"/>
          <w:color w:val="000000"/>
          <w:spacing w:val="0"/>
          <w:w w:val="100"/>
          <w:position w:val="0"/>
          <w:shd w:val="clear" w:color="auto" w:fill="auto"/>
          <w:lang w:val="hr-HR" w:eastAsia="hr-HR" w:bidi="hr-HR"/>
        </w:rPr>
        <w:t>II. (358/59 pos. Kr.) (s tim u vezi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Encyclopaedia Judaica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8,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1978, 486); spomi</w:t>
        <w:softHyphen/>
        <w:t>nje se povijesno sigurno od X. stoljeća. Maj- monid je opisao njegovu osnovu: »Mjeseci u godini su lunarni mjeseci, a godine koje raču</w:t>
        <w:softHyphen/>
        <w:t xml:space="preserve">namo sunčeve su godine« (Mišne Tora, Hil- hot kiduš ha-hodeš 1,1). Normativni se k. </w:t>
      </w:r>
      <w:r>
        <w:rPr>
          <w:rFonts w:ascii="Times New Roman" w:eastAsia="Times New Roman" w:hAnsi="Times New Roman" w:cs="Times New Roman"/>
          <w:i/>
          <w:iCs/>
          <w:color w:val="000000"/>
          <w:spacing w:val="0"/>
          <w:w w:val="100"/>
          <w:position w:val="0"/>
          <w:shd w:val="clear" w:color="auto" w:fill="auto"/>
          <w:lang w:val="hr-HR" w:eastAsia="hr-HR" w:bidi="hr-HR"/>
        </w:rPr>
        <w:t>(lu- ah ha-šana, luah,</w:t>
      </w:r>
      <w:r>
        <w:rPr>
          <w:rFonts w:ascii="Times New Roman" w:eastAsia="Times New Roman" w:hAnsi="Times New Roman" w:cs="Times New Roman"/>
          <w:color w:val="000000"/>
          <w:spacing w:val="0"/>
          <w:w w:val="100"/>
          <w:position w:val="0"/>
          <w:shd w:val="clear" w:color="auto" w:fill="auto"/>
          <w:lang w:val="hr-HR" w:eastAsia="hr-HR" w:bidi="hr-HR"/>
        </w:rPr>
        <w:t xml:space="preserve"> »tablica«) temelji na lunar- no-solarnoj godini. Ona se obično sastoji od dvanaest mjeseci, no u prestupnoj godini od trinaest, a svaki od njih ima 29-30 dana. Dan počinje s nastupom noći i dijeli se na 24 jed</w:t>
        <w:softHyphen/>
        <w:t>naka sata. Brojevi izraženi pomoću prvih se</w:t>
        <w:softHyphen/>
        <w:t xml:space="preserve">dam suglasnika hebrejske abecede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(alef bet) </w:t>
      </w:r>
      <w:r>
        <w:rPr>
          <w:rFonts w:ascii="Times New Roman" w:eastAsia="Times New Roman" w:hAnsi="Times New Roman" w:cs="Times New Roman"/>
          <w:color w:val="000000"/>
          <w:spacing w:val="0"/>
          <w:w w:val="100"/>
          <w:position w:val="0"/>
          <w:shd w:val="clear" w:color="auto" w:fill="auto"/>
          <w:lang w:val="hr-HR" w:eastAsia="hr-HR" w:bidi="hr-HR"/>
        </w:rPr>
        <w:t xml:space="preserve">služe za imenovanje dana u tjednu; no sedmi dan naziva se </w:t>
      </w:r>
      <w:r>
        <w:rPr>
          <w:rFonts w:ascii="Times New Roman" w:eastAsia="Times New Roman" w:hAnsi="Times New Roman" w:cs="Times New Roman"/>
          <w:i/>
          <w:iCs/>
          <w:color w:val="000000"/>
          <w:spacing w:val="0"/>
          <w:w w:val="100"/>
          <w:position w:val="0"/>
          <w:shd w:val="clear" w:color="auto" w:fill="auto"/>
          <w:lang w:val="hr-HR" w:eastAsia="hr-HR" w:bidi="hr-HR"/>
        </w:rPr>
        <w:t>šabat</w:t>
      </w:r>
      <w:r>
        <w:rPr>
          <w:rFonts w:ascii="Times New Roman" w:eastAsia="Times New Roman" w:hAnsi="Times New Roman" w:cs="Times New Roman"/>
          <w:color w:val="000000"/>
          <w:spacing w:val="0"/>
          <w:w w:val="100"/>
          <w:position w:val="0"/>
          <w:shd w:val="clear" w:color="auto" w:fill="auto"/>
          <w:lang w:val="hr-HR" w:eastAsia="hr-HR" w:bidi="hr-HR"/>
        </w:rPr>
        <w:t xml:space="preserve"> (subota) (Post 2,1-3; Izl 20,10; Pnz 5,14). Pojava mlađaka određuje početak mjeseca; stoga se prvi dan pojave mlađaka zove </w:t>
      </w:r>
      <w:r>
        <w:rPr>
          <w:rFonts w:ascii="Times New Roman" w:eastAsia="Times New Roman" w:hAnsi="Times New Roman" w:cs="Times New Roman"/>
          <w:i/>
          <w:iCs/>
          <w:color w:val="000000"/>
          <w:spacing w:val="0"/>
          <w:w w:val="100"/>
          <w:position w:val="0"/>
          <w:shd w:val="clear" w:color="auto" w:fill="auto"/>
          <w:lang w:val="hr-HR" w:eastAsia="hr-HR" w:bidi="hr-HR"/>
        </w:rPr>
        <w:t>roš hodeš,</w:t>
      </w:r>
      <w:r>
        <w:rPr>
          <w:rFonts w:ascii="Times New Roman" w:eastAsia="Times New Roman" w:hAnsi="Times New Roman" w:cs="Times New Roman"/>
          <w:color w:val="000000"/>
          <w:spacing w:val="0"/>
          <w:w w:val="100"/>
          <w:position w:val="0"/>
          <w:shd w:val="clear" w:color="auto" w:fill="auto"/>
          <w:lang w:val="hr-HR" w:eastAsia="hr-HR" w:bidi="hr-HR"/>
        </w:rPr>
        <w:t xml:space="preserve"> a u punim mjesecima i 30. dan.</w:t>
      </w:r>
    </w:p>
    <w:p>
      <w:pPr>
        <w:pStyle w:val="Style20"/>
        <w:keepNext w:val="0"/>
        <w:keepLines w:val="0"/>
        <w:widowControl w:val="0"/>
        <w:shd w:val="clear" w:color="auto" w:fill="auto"/>
        <w:bidi w:val="0"/>
        <w:spacing w:before="0" w:after="60"/>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Pregled </w:t>
      </w:r>
      <w:r>
        <w:rPr>
          <w:rFonts w:ascii="Times New Roman" w:eastAsia="Times New Roman" w:hAnsi="Times New Roman" w:cs="Times New Roman"/>
          <w:i/>
          <w:iCs/>
          <w:color w:val="000000"/>
          <w:spacing w:val="0"/>
          <w:w w:val="100"/>
          <w:position w:val="0"/>
          <w:shd w:val="clear" w:color="auto" w:fill="auto"/>
          <w:lang w:val="hr-HR" w:eastAsia="hr-HR" w:bidi="hr-HR"/>
        </w:rPr>
        <w:t>luaha</w:t>
      </w:r>
      <w:r>
        <w:rPr>
          <w:rFonts w:ascii="Times New Roman" w:eastAsia="Times New Roman" w:hAnsi="Times New Roman" w:cs="Times New Roman"/>
          <w:color w:val="000000"/>
          <w:spacing w:val="0"/>
          <w:w w:val="100"/>
          <w:position w:val="0"/>
          <w:shd w:val="clear" w:color="auto" w:fill="auto"/>
          <w:lang w:val="hr-HR" w:eastAsia="hr-HR" w:bidi="hr-HR"/>
        </w:rPr>
        <w:t xml:space="preserve"> u neprestupnoj godini:</w:t>
      </w:r>
    </w:p>
    <w:p>
      <w:pPr>
        <w:pStyle w:val="Style20"/>
        <w:keepNext w:val="0"/>
        <w:keepLines w:val="0"/>
        <w:widowControl w:val="0"/>
        <w:shd w:val="clear" w:color="auto" w:fill="auto"/>
        <w:bidi w:val="0"/>
        <w:spacing w:before="0" w:after="0" w:line="240" w:lineRule="auto"/>
        <w:ind w:left="280" w:right="0" w:hanging="280"/>
        <w:jc w:val="both"/>
      </w:pPr>
      <w:r>
        <w:rPr>
          <w:rFonts w:ascii="Times New Roman" w:eastAsia="Times New Roman" w:hAnsi="Times New Roman" w:cs="Times New Roman"/>
          <w:i/>
          <w:iCs/>
          <w:color w:val="000000"/>
          <w:spacing w:val="0"/>
          <w:w w:val="100"/>
          <w:position w:val="0"/>
          <w:shd w:val="clear" w:color="auto" w:fill="auto"/>
          <w:lang w:val="hr-HR" w:eastAsia="hr-HR" w:bidi="hr-HR"/>
        </w:rPr>
        <w:t>Tišre</w:t>
      </w:r>
      <w:r>
        <w:rPr>
          <w:rFonts w:ascii="Times New Roman" w:eastAsia="Times New Roman" w:hAnsi="Times New Roman" w:cs="Times New Roman"/>
          <w:color w:val="000000"/>
          <w:spacing w:val="0"/>
          <w:w w:val="100"/>
          <w:position w:val="0"/>
          <w:shd w:val="clear" w:color="auto" w:fill="auto"/>
          <w:lang w:val="hr-HR" w:eastAsia="hr-HR" w:bidi="hr-HR"/>
        </w:rPr>
        <w:t xml:space="preserve"> (rujan/listopad), 30 dana:</w:t>
      </w:r>
    </w:p>
    <w:p>
      <w:pPr>
        <w:pStyle w:val="Style20"/>
        <w:keepNext w:val="0"/>
        <w:keepLines w:val="0"/>
        <w:widowControl w:val="0"/>
        <w:numPr>
          <w:ilvl w:val="0"/>
          <w:numId w:val="205"/>
        </w:numPr>
        <w:shd w:val="clear" w:color="auto" w:fill="auto"/>
        <w:tabs>
          <w:tab w:pos="242" w:val="left"/>
        </w:tabs>
        <w:bidi w:val="0"/>
        <w:spacing w:before="0" w:after="0" w:line="240" w:lineRule="auto"/>
        <w:ind w:left="280" w:right="0" w:hanging="280"/>
        <w:jc w:val="left"/>
      </w:pPr>
      <w:r>
        <w:rPr>
          <w:rFonts w:ascii="Times New Roman" w:eastAsia="Times New Roman" w:hAnsi="Times New Roman" w:cs="Times New Roman"/>
          <w:color w:val="000000"/>
          <w:spacing w:val="0"/>
          <w:w w:val="100"/>
          <w:position w:val="0"/>
          <w:shd w:val="clear" w:color="auto" w:fill="auto"/>
          <w:lang w:val="hr-HR" w:eastAsia="hr-HR" w:bidi="hr-HR"/>
        </w:rPr>
        <w:t>Nova godina (Roš ha-šana; M Roš ha-ša- na 1,1; Šulhan aruh, Orah hajim § 581-602;</w:t>
      </w:r>
    </w:p>
    <w:p>
      <w:pPr>
        <w:pStyle w:val="Style20"/>
        <w:keepNext w:val="0"/>
        <w:keepLines w:val="0"/>
        <w:widowControl w:val="0"/>
        <w:numPr>
          <w:ilvl w:val="0"/>
          <w:numId w:val="205"/>
        </w:numPr>
        <w:shd w:val="clear" w:color="auto" w:fill="auto"/>
        <w:tabs>
          <w:tab w:pos="242" w:val="left"/>
        </w:tabs>
        <w:bidi w:val="0"/>
        <w:spacing w:before="0" w:after="0" w:line="240" w:lineRule="auto"/>
        <w:ind w:left="280" w:right="0" w:hanging="280"/>
        <w:jc w:val="left"/>
      </w:pPr>
      <w:r>
        <w:rPr>
          <w:rFonts w:ascii="Times New Roman" w:eastAsia="Times New Roman" w:hAnsi="Times New Roman" w:cs="Times New Roman"/>
          <w:color w:val="000000"/>
          <w:spacing w:val="0"/>
          <w:w w:val="100"/>
          <w:position w:val="0"/>
          <w:shd w:val="clear" w:color="auto" w:fill="auto"/>
          <w:lang w:val="hr-HR" w:eastAsia="hr-HR" w:bidi="hr-HR"/>
        </w:rPr>
        <w:t>Nova godina II;</w:t>
      </w:r>
    </w:p>
    <w:p>
      <w:pPr>
        <w:pStyle w:val="Style20"/>
        <w:keepNext w:val="0"/>
        <w:keepLines w:val="0"/>
        <w:widowControl w:val="0"/>
        <w:numPr>
          <w:ilvl w:val="0"/>
          <w:numId w:val="205"/>
        </w:numPr>
        <w:shd w:val="clear" w:color="auto" w:fill="auto"/>
        <w:tabs>
          <w:tab w:pos="242" w:val="left"/>
        </w:tabs>
        <w:bidi w:val="0"/>
        <w:spacing w:before="0" w:after="0" w:line="240" w:lineRule="auto"/>
        <w:ind w:left="280" w:right="0" w:hanging="280"/>
        <w:jc w:val="left"/>
      </w:pPr>
      <w:r>
        <w:rPr>
          <w:rFonts w:ascii="Times New Roman" w:eastAsia="Times New Roman" w:hAnsi="Times New Roman" w:cs="Times New Roman"/>
          <w:color w:val="000000"/>
          <w:spacing w:val="0"/>
          <w:w w:val="100"/>
          <w:position w:val="0"/>
          <w:shd w:val="clear" w:color="auto" w:fill="auto"/>
          <w:lang w:val="hr-HR" w:eastAsia="hr-HR" w:bidi="hr-HR"/>
        </w:rPr>
        <w:t>Post u spomen Gedalije (Šulhan aruh, op. cit. § 549; Roš ha-šana 18b);</w:t>
      </w:r>
    </w:p>
    <w:p>
      <w:pPr>
        <w:pStyle w:val="Style20"/>
        <w:keepNext w:val="0"/>
        <w:keepLines w:val="0"/>
        <w:widowControl w:val="0"/>
        <w:numPr>
          <w:ilvl w:val="0"/>
          <w:numId w:val="207"/>
        </w:numPr>
        <w:shd w:val="clear" w:color="auto" w:fill="auto"/>
        <w:tabs>
          <w:tab w:pos="303" w:val="left"/>
        </w:tabs>
        <w:bidi w:val="0"/>
        <w:spacing w:before="0" w:after="0" w:line="240" w:lineRule="auto"/>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Dan pomirenja (Jom kipur; M Joma VIII, 9; b 87b);</w:t>
      </w:r>
    </w:p>
    <w:p>
      <w:pPr>
        <w:pStyle w:val="Style20"/>
        <w:keepNext w:val="0"/>
        <w:keepLines w:val="0"/>
        <w:widowControl w:val="0"/>
        <w:numPr>
          <w:ilvl w:val="0"/>
          <w:numId w:val="209"/>
        </w:numPr>
        <w:shd w:val="clear" w:color="auto" w:fill="auto"/>
        <w:tabs>
          <w:tab w:pos="303" w:val="left"/>
        </w:tabs>
        <w:bidi w:val="0"/>
        <w:spacing w:before="0" w:after="0" w:line="240" w:lineRule="auto"/>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Blagdan sjenica dan I (Sukot; b Suka 28b; M Roš ha-šana 1,2; Šulhan aruh, op. cit. § 625-44);</w:t>
      </w:r>
    </w:p>
    <w:p>
      <w:pPr>
        <w:pStyle w:val="Style20"/>
        <w:keepNext w:val="0"/>
        <w:keepLines w:val="0"/>
        <w:widowControl w:val="0"/>
        <w:numPr>
          <w:ilvl w:val="0"/>
          <w:numId w:val="209"/>
        </w:numPr>
        <w:shd w:val="clear" w:color="auto" w:fill="auto"/>
        <w:tabs>
          <w:tab w:pos="303" w:val="left"/>
        </w:tabs>
        <w:bidi w:val="0"/>
        <w:spacing w:before="0" w:after="0" w:line="240" w:lineRule="auto"/>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Blagdan sjenica dan II (samo u dijaspori);</w:t>
      </w:r>
    </w:p>
    <w:p>
      <w:pPr>
        <w:pStyle w:val="Style20"/>
        <w:keepNext w:val="0"/>
        <w:keepLines w:val="0"/>
        <w:widowControl w:val="0"/>
        <w:numPr>
          <w:ilvl w:val="0"/>
          <w:numId w:val="211"/>
        </w:numPr>
        <w:shd w:val="clear" w:color="auto" w:fill="auto"/>
        <w:tabs>
          <w:tab w:pos="322" w:val="left"/>
        </w:tabs>
        <w:bidi w:val="0"/>
        <w:spacing w:before="0" w:after="0" w:line="240" w:lineRule="auto"/>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Dan zaključenja godišnjega suđenja (Ho- šana raba; M Suka IV,4; b 30b);</w:t>
      </w:r>
    </w:p>
    <w:p>
      <w:pPr>
        <w:pStyle w:val="Style20"/>
        <w:keepNext w:val="0"/>
        <w:keepLines w:val="0"/>
        <w:widowControl w:val="0"/>
        <w:numPr>
          <w:ilvl w:val="0"/>
          <w:numId w:val="211"/>
        </w:numPr>
        <w:shd w:val="clear" w:color="auto" w:fill="auto"/>
        <w:tabs>
          <w:tab w:pos="322" w:val="left"/>
        </w:tabs>
        <w:bidi w:val="0"/>
        <w:spacing w:before="0" w:after="0" w:line="240" w:lineRule="auto"/>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Blagdan sjenica dan VIII (Šemini aceret; b Roš ha-šana 4b);</w:t>
      </w:r>
    </w:p>
    <w:p>
      <w:pPr>
        <w:pStyle w:val="Style20"/>
        <w:keepNext w:val="0"/>
        <w:keepLines w:val="0"/>
        <w:widowControl w:val="0"/>
        <w:numPr>
          <w:ilvl w:val="0"/>
          <w:numId w:val="211"/>
        </w:numPr>
        <w:shd w:val="clear" w:color="auto" w:fill="auto"/>
        <w:tabs>
          <w:tab w:pos="322" w:val="left"/>
        </w:tabs>
        <w:bidi w:val="0"/>
        <w:spacing w:before="0" w:after="60" w:line="240" w:lineRule="auto"/>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Radost Tore (Simhat Tora, samo u di</w:t>
        <w:softHyphen/>
        <w:t>jaspori; Šulhan aruh, op.cit. § 669); mar- hešvan (listopad/studeni), 29 ili 30 dana;</w:t>
      </w:r>
    </w:p>
    <w:p>
      <w:pPr>
        <w:pStyle w:val="Style20"/>
        <w:keepNext w:val="0"/>
        <w:keepLines w:val="0"/>
        <w:widowControl w:val="0"/>
        <w:shd w:val="clear" w:color="auto" w:fill="auto"/>
        <w:bidi w:val="0"/>
        <w:spacing w:before="0" w:after="0"/>
        <w:ind w:left="280" w:right="0" w:hanging="280"/>
        <w:jc w:val="both"/>
      </w:pPr>
      <w:r>
        <w:rPr>
          <w:rFonts w:ascii="Times New Roman" w:eastAsia="Times New Roman" w:hAnsi="Times New Roman" w:cs="Times New Roman"/>
          <w:i/>
          <w:iCs/>
          <w:color w:val="000000"/>
          <w:spacing w:val="0"/>
          <w:w w:val="100"/>
          <w:position w:val="0"/>
          <w:shd w:val="clear" w:color="auto" w:fill="auto"/>
          <w:lang w:val="en-US" w:eastAsia="en-US" w:bidi="en-US"/>
        </w:rPr>
        <w:t>Kislev</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(studeni/prosinac), 30 ili 29 dana:</w:t>
      </w:r>
    </w:p>
    <w:p>
      <w:pPr>
        <w:pStyle w:val="Style20"/>
        <w:keepNext w:val="0"/>
        <w:keepLines w:val="0"/>
        <w:widowControl w:val="0"/>
        <w:shd w:val="clear" w:color="auto" w:fill="auto"/>
        <w:bidi w:val="0"/>
        <w:spacing w:before="0" w:after="0"/>
        <w:ind w:left="280" w:right="0" w:hanging="2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25. </w:t>
      </w:r>
      <w:r>
        <w:rPr>
          <w:rFonts w:ascii="Times New Roman" w:eastAsia="Times New Roman" w:hAnsi="Times New Roman" w:cs="Times New Roman"/>
          <w:color w:val="000000"/>
          <w:spacing w:val="0"/>
          <w:w w:val="100"/>
          <w:position w:val="0"/>
          <w:shd w:val="clear" w:color="auto" w:fill="auto"/>
          <w:lang w:val="en-US" w:eastAsia="en-US" w:bidi="en-US"/>
        </w:rPr>
        <w:t xml:space="preserve">Manuka </w:t>
      </w:r>
      <w:r>
        <w:rPr>
          <w:rFonts w:ascii="Times New Roman" w:eastAsia="Times New Roman" w:hAnsi="Times New Roman" w:cs="Times New Roman"/>
          <w:color w:val="000000"/>
          <w:spacing w:val="0"/>
          <w:w w:val="100"/>
          <w:position w:val="0"/>
          <w:shd w:val="clear" w:color="auto" w:fill="auto"/>
          <w:lang w:val="hr-HR" w:eastAsia="hr-HR" w:bidi="hr-HR"/>
        </w:rPr>
        <w:t>I (j Suka III,4,53d; b Šabat 23a);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Tevei</w:t>
      </w:r>
      <w:r>
        <w:rPr>
          <w:rFonts w:ascii="Times New Roman" w:eastAsia="Times New Roman" w:hAnsi="Times New Roman" w:cs="Times New Roman"/>
          <w:color w:val="000000"/>
          <w:spacing w:val="0"/>
          <w:w w:val="100"/>
          <w:position w:val="0"/>
          <w:shd w:val="clear" w:color="auto" w:fill="auto"/>
          <w:lang w:val="hr-HR" w:eastAsia="hr-HR" w:bidi="hr-HR"/>
        </w:rPr>
        <w:t xml:space="preserve"> (prosinac/siječanj), 29 dana:</w:t>
      </w:r>
    </w:p>
    <w:p>
      <w:pPr>
        <w:pStyle w:val="Style20"/>
        <w:keepNext w:val="0"/>
        <w:keepLines w:val="0"/>
        <w:widowControl w:val="0"/>
        <w:numPr>
          <w:ilvl w:val="0"/>
          <w:numId w:val="201"/>
        </w:numPr>
        <w:shd w:val="clear" w:color="auto" w:fill="auto"/>
        <w:tabs>
          <w:tab w:pos="242" w:val="left"/>
        </w:tabs>
        <w:bidi w:val="0"/>
        <w:spacing w:before="0" w:after="0" w:line="254" w:lineRule="auto"/>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Hanuka dan VIII;</w:t>
      </w:r>
    </w:p>
    <w:p>
      <w:pPr>
        <w:pStyle w:val="Style20"/>
        <w:keepNext w:val="0"/>
        <w:keepLines w:val="0"/>
        <w:widowControl w:val="0"/>
        <w:shd w:val="clear" w:color="auto" w:fill="auto"/>
        <w:bidi w:val="0"/>
        <w:spacing w:before="0" w:after="60" w:line="254" w:lineRule="auto"/>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IO. Dan posta (Asara bc-tcvct; b Koš ha-šana 18b);</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Sevat</w:t>
      </w:r>
      <w:r>
        <w:rPr>
          <w:rFonts w:ascii="Times New Roman" w:eastAsia="Times New Roman" w:hAnsi="Times New Roman" w:cs="Times New Roman"/>
          <w:color w:val="000000"/>
          <w:spacing w:val="0"/>
          <w:w w:val="100"/>
          <w:position w:val="0"/>
          <w:shd w:val="clear" w:color="auto" w:fill="auto"/>
          <w:lang w:val="hr-HR" w:eastAsia="hr-HR" w:bidi="hr-HR"/>
        </w:rPr>
        <w:t xml:space="preserve"> (siječanj/veljača), 30 dana:</w:t>
      </w:r>
    </w:p>
    <w:p>
      <w:pPr>
        <w:pStyle w:val="Style20"/>
        <w:keepNext w:val="0"/>
        <w:keepLines w:val="0"/>
        <w:widowControl w:val="0"/>
        <w:numPr>
          <w:ilvl w:val="0"/>
          <w:numId w:val="213"/>
        </w:numPr>
        <w:shd w:val="clear" w:color="auto" w:fill="auto"/>
        <w:tabs>
          <w:tab w:pos="304" w:val="left"/>
        </w:tabs>
        <w:bidi w:val="0"/>
        <w:spacing w:before="0" w:after="60" w:line="240" w:lineRule="auto"/>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Blagdan Nova godina drveća (Hamiša asar bi-švat; M Koš ha-šana 1,1);</w:t>
      </w:r>
    </w:p>
    <w:p>
      <w:pPr>
        <w:pStyle w:val="Style20"/>
        <w:keepNext w:val="0"/>
        <w:keepLines w:val="0"/>
        <w:widowControl w:val="0"/>
        <w:shd w:val="clear" w:color="auto" w:fill="auto"/>
        <w:bidi w:val="0"/>
        <w:spacing w:before="0" w:after="0" w:line="240" w:lineRule="auto"/>
        <w:ind w:left="320" w:right="0" w:hanging="320"/>
        <w:jc w:val="left"/>
      </w:pPr>
      <w:r>
        <w:rPr>
          <w:rFonts w:ascii="Times New Roman" w:eastAsia="Times New Roman" w:hAnsi="Times New Roman" w:cs="Times New Roman"/>
          <w:i/>
          <w:iCs/>
          <w:color w:val="000000"/>
          <w:spacing w:val="0"/>
          <w:w w:val="100"/>
          <w:position w:val="0"/>
          <w:shd w:val="clear" w:color="auto" w:fill="auto"/>
          <w:lang w:val="hr-HR" w:eastAsia="hr-HR" w:bidi="hr-HR"/>
        </w:rPr>
        <w:t>Adar</w:t>
      </w:r>
      <w:r>
        <w:rPr>
          <w:rFonts w:ascii="Times New Roman" w:eastAsia="Times New Roman" w:hAnsi="Times New Roman" w:cs="Times New Roman"/>
          <w:color w:val="000000"/>
          <w:spacing w:val="0"/>
          <w:w w:val="100"/>
          <w:position w:val="0"/>
          <w:shd w:val="clear" w:color="auto" w:fill="auto"/>
          <w:lang w:val="hr-HR" w:eastAsia="hr-HR" w:bidi="hr-HR"/>
        </w:rPr>
        <w:t xml:space="preserve"> (veljača/ožujak), 29 dana:</w:t>
      </w:r>
    </w:p>
    <w:p>
      <w:pPr>
        <w:pStyle w:val="Style20"/>
        <w:keepNext w:val="0"/>
        <w:keepLines w:val="0"/>
        <w:widowControl w:val="0"/>
        <w:numPr>
          <w:ilvl w:val="0"/>
          <w:numId w:val="215"/>
        </w:numPr>
        <w:shd w:val="clear" w:color="auto" w:fill="auto"/>
        <w:tabs>
          <w:tab w:pos="309" w:val="left"/>
        </w:tabs>
        <w:bidi w:val="0"/>
        <w:spacing w:before="0" w:after="0" w:line="240" w:lineRule="auto"/>
        <w:ind w:left="320" w:right="0" w:hanging="32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Esterin </w:t>
      </w:r>
      <w:r>
        <w:rPr>
          <w:rFonts w:ascii="Times New Roman" w:eastAsia="Times New Roman" w:hAnsi="Times New Roman" w:cs="Times New Roman"/>
          <w:color w:val="000000"/>
          <w:spacing w:val="0"/>
          <w:w w:val="100"/>
          <w:position w:val="0"/>
          <w:shd w:val="clear" w:color="auto" w:fill="auto"/>
          <w:lang w:val="hr-HR" w:eastAsia="hr-HR" w:bidi="hr-HR"/>
        </w:rPr>
        <w:t>post (b Megilta 2a);</w:t>
      </w:r>
    </w:p>
    <w:p>
      <w:pPr>
        <w:pStyle w:val="Style20"/>
        <w:keepNext w:val="0"/>
        <w:keepLines w:val="0"/>
        <w:widowControl w:val="0"/>
        <w:numPr>
          <w:ilvl w:val="0"/>
          <w:numId w:val="215"/>
        </w:numPr>
        <w:shd w:val="clear" w:color="auto" w:fill="auto"/>
        <w:tabs>
          <w:tab w:pos="313" w:val="left"/>
        </w:tabs>
        <w:bidi w:val="0"/>
        <w:spacing w:before="0" w:after="0" w:line="240" w:lineRule="auto"/>
        <w:ind w:left="320" w:right="0" w:hanging="32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Purim </w:t>
      </w:r>
      <w:r>
        <w:rPr>
          <w:rFonts w:ascii="Times New Roman" w:eastAsia="Times New Roman" w:hAnsi="Times New Roman" w:cs="Times New Roman"/>
          <w:color w:val="000000"/>
          <w:spacing w:val="0"/>
          <w:w w:val="100"/>
          <w:position w:val="0"/>
          <w:shd w:val="clear" w:color="auto" w:fill="auto"/>
          <w:lang w:val="hr-HR" w:eastAsia="hr-HR" w:bidi="hr-HR"/>
        </w:rPr>
        <w:t>(M Megila 1,1; b Soferim XX,8; XXI,1; Šulhan aruh, op.cit. § 687-97);</w:t>
      </w:r>
    </w:p>
    <w:p>
      <w:pPr>
        <w:pStyle w:val="Style20"/>
        <w:keepNext w:val="0"/>
        <w:keepLines w:val="0"/>
        <w:widowControl w:val="0"/>
        <w:numPr>
          <w:ilvl w:val="0"/>
          <w:numId w:val="215"/>
        </w:numPr>
        <w:shd w:val="clear" w:color="auto" w:fill="auto"/>
        <w:tabs>
          <w:tab w:pos="313" w:val="left"/>
        </w:tabs>
        <w:bidi w:val="0"/>
        <w:spacing w:before="0" w:after="60" w:line="240" w:lineRule="auto"/>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Šušan </w:t>
      </w:r>
      <w:r>
        <w:rPr>
          <w:rFonts w:ascii="Times New Roman" w:eastAsia="Times New Roman" w:hAnsi="Times New Roman" w:cs="Times New Roman"/>
          <w:color w:val="000000"/>
          <w:spacing w:val="0"/>
          <w:w w:val="100"/>
          <w:position w:val="0"/>
          <w:shd w:val="clear" w:color="auto" w:fill="auto"/>
          <w:lang w:val="en-US" w:eastAsia="en-US" w:bidi="en-US"/>
        </w:rPr>
        <w:t>Purim;</w:t>
      </w:r>
    </w:p>
    <w:p>
      <w:pPr>
        <w:pStyle w:val="Style20"/>
        <w:keepNext w:val="0"/>
        <w:keepLines w:val="0"/>
        <w:widowControl w:val="0"/>
        <w:shd w:val="clear" w:color="auto" w:fill="auto"/>
        <w:bidi w:val="0"/>
        <w:spacing w:before="0" w:after="0"/>
        <w:ind w:left="320" w:right="0" w:hanging="320"/>
        <w:jc w:val="left"/>
      </w:pPr>
      <w:r>
        <w:rPr>
          <w:rFonts w:ascii="Times New Roman" w:eastAsia="Times New Roman" w:hAnsi="Times New Roman" w:cs="Times New Roman"/>
          <w:i/>
          <w:iCs/>
          <w:color w:val="000000"/>
          <w:spacing w:val="0"/>
          <w:w w:val="100"/>
          <w:position w:val="0"/>
          <w:shd w:val="clear" w:color="auto" w:fill="auto"/>
          <w:lang w:val="en-US" w:eastAsia="en-US" w:bidi="en-US"/>
        </w:rPr>
        <w:t>Nisan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(ožujak/travanj), 30 dana:</w:t>
      </w:r>
    </w:p>
    <w:p>
      <w:pPr>
        <w:pStyle w:val="Style20"/>
        <w:keepNext w:val="0"/>
        <w:keepLines w:val="0"/>
        <w:widowControl w:val="0"/>
        <w:numPr>
          <w:ilvl w:val="0"/>
          <w:numId w:val="217"/>
        </w:numPr>
        <w:shd w:val="clear" w:color="auto" w:fill="auto"/>
        <w:tabs>
          <w:tab w:pos="304" w:val="left"/>
        </w:tabs>
        <w:bidi w:val="0"/>
        <w:spacing w:before="0" w:after="0"/>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Pesah dan I (M Pesahim; Soferim XIX,3);</w:t>
      </w:r>
    </w:p>
    <w:p>
      <w:pPr>
        <w:pStyle w:val="Style20"/>
        <w:keepNext w:val="0"/>
        <w:keepLines w:val="0"/>
        <w:widowControl w:val="0"/>
        <w:numPr>
          <w:ilvl w:val="0"/>
          <w:numId w:val="217"/>
        </w:numPr>
        <w:shd w:val="clear" w:color="auto" w:fill="auto"/>
        <w:tabs>
          <w:tab w:pos="313" w:val="left"/>
        </w:tabs>
        <w:bidi w:val="0"/>
        <w:spacing w:before="0" w:after="0"/>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Pesah dan II (samo u dijaspori);</w:t>
      </w:r>
    </w:p>
    <w:p>
      <w:pPr>
        <w:pStyle w:val="Style20"/>
        <w:keepNext w:val="0"/>
        <w:keepLines w:val="0"/>
        <w:widowControl w:val="0"/>
        <w:numPr>
          <w:ilvl w:val="0"/>
          <w:numId w:val="219"/>
        </w:numPr>
        <w:shd w:val="clear" w:color="auto" w:fill="auto"/>
        <w:tabs>
          <w:tab w:pos="323" w:val="left"/>
        </w:tabs>
        <w:bidi w:val="0"/>
        <w:spacing w:before="0" w:after="0"/>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Pesah dan VII;</w:t>
      </w:r>
    </w:p>
    <w:p>
      <w:pPr>
        <w:pStyle w:val="Style20"/>
        <w:keepNext w:val="0"/>
        <w:keepLines w:val="0"/>
        <w:widowControl w:val="0"/>
        <w:numPr>
          <w:ilvl w:val="0"/>
          <w:numId w:val="219"/>
        </w:numPr>
        <w:shd w:val="clear" w:color="auto" w:fill="auto"/>
        <w:tabs>
          <w:tab w:pos="333" w:val="left"/>
        </w:tabs>
        <w:bidi w:val="0"/>
        <w:spacing w:before="0" w:after="0" w:line="34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Pesah dan VIII (samo u dijaspori); </w:t>
      </w:r>
      <w:r>
        <w:rPr>
          <w:rFonts w:ascii="Times New Roman" w:eastAsia="Times New Roman" w:hAnsi="Times New Roman" w:cs="Times New Roman"/>
          <w:i/>
          <w:iCs/>
          <w:color w:val="000000"/>
          <w:spacing w:val="0"/>
          <w:w w:val="100"/>
          <w:position w:val="0"/>
          <w:shd w:val="clear" w:color="auto" w:fill="auto"/>
          <w:lang w:val="hr-HR" w:eastAsia="hr-HR" w:bidi="hr-HR"/>
        </w:rPr>
        <w:t>ijar</w:t>
      </w:r>
      <w:r>
        <w:rPr>
          <w:rFonts w:ascii="Times New Roman" w:eastAsia="Times New Roman" w:hAnsi="Times New Roman" w:cs="Times New Roman"/>
          <w:color w:val="000000"/>
          <w:spacing w:val="0"/>
          <w:w w:val="100"/>
          <w:position w:val="0"/>
          <w:shd w:val="clear" w:color="auto" w:fill="auto"/>
          <w:lang w:val="hr-HR" w:eastAsia="hr-HR" w:bidi="hr-HR"/>
        </w:rPr>
        <w:t xml:space="preserve"> (travanj/svibanj), 29 dana:</w:t>
      </w:r>
    </w:p>
    <w:p>
      <w:pPr>
        <w:pStyle w:val="Style20"/>
        <w:keepNext w:val="0"/>
        <w:keepLines w:val="0"/>
        <w:widowControl w:val="0"/>
        <w:shd w:val="clear" w:color="auto" w:fill="auto"/>
        <w:bidi w:val="0"/>
        <w:spacing w:before="0" w:after="0"/>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18. </w:t>
      </w:r>
      <w:r>
        <w:rPr>
          <w:rFonts w:ascii="Times New Roman" w:eastAsia="Times New Roman" w:hAnsi="Times New Roman" w:cs="Times New Roman"/>
          <w:color w:val="000000"/>
          <w:spacing w:val="0"/>
          <w:w w:val="100"/>
          <w:position w:val="0"/>
          <w:shd w:val="clear" w:color="auto" w:fill="auto"/>
          <w:lang w:val="en-US" w:eastAsia="en-US" w:bidi="en-US"/>
        </w:rPr>
        <w:t xml:space="preserve">Lag </w:t>
      </w:r>
      <w:r>
        <w:rPr>
          <w:rFonts w:ascii="Times New Roman" w:eastAsia="Times New Roman" w:hAnsi="Times New Roman" w:cs="Times New Roman"/>
          <w:color w:val="000000"/>
          <w:spacing w:val="0"/>
          <w:w w:val="100"/>
          <w:position w:val="0"/>
          <w:shd w:val="clear" w:color="auto" w:fill="auto"/>
          <w:lang w:val="hr-HR" w:eastAsia="hr-HR" w:bidi="hr-HR"/>
        </w:rPr>
        <w:t xml:space="preserve">baOmer (33. dan razdoblja </w:t>
      </w:r>
      <w:r>
        <w:rPr>
          <w:rFonts w:ascii="Times New Roman" w:eastAsia="Times New Roman" w:hAnsi="Times New Roman" w:cs="Times New Roman"/>
          <w:i/>
          <w:iCs/>
          <w:color w:val="000000"/>
          <w:spacing w:val="0"/>
          <w:w w:val="100"/>
          <w:position w:val="0"/>
          <w:shd w:val="clear" w:color="auto" w:fill="auto"/>
          <w:lang w:val="hr-HR" w:eastAsia="hr-HR" w:bidi="hr-HR"/>
        </w:rPr>
        <w:t>omer,</w:t>
      </w:r>
      <w:r>
        <w:rPr>
          <w:rFonts w:ascii="Times New Roman" w:eastAsia="Times New Roman" w:hAnsi="Times New Roman" w:cs="Times New Roman"/>
          <w:color w:val="000000"/>
          <w:spacing w:val="0"/>
          <w:w w:val="100"/>
          <w:position w:val="0"/>
          <w:shd w:val="clear" w:color="auto" w:fill="auto"/>
          <w:lang w:val="hr-HR" w:eastAsia="hr-HR" w:bidi="hr-HR"/>
        </w:rPr>
        <w:t xml:space="preserve"> Šul</w:t>
        <w:softHyphen/>
        <w:t>han aruh, op.cit. § 493);</w:t>
      </w:r>
    </w:p>
    <w:p>
      <w:pPr>
        <w:pStyle w:val="Style20"/>
        <w:keepNext w:val="0"/>
        <w:keepLines w:val="0"/>
        <w:widowControl w:val="0"/>
        <w:shd w:val="clear" w:color="auto" w:fill="auto"/>
        <w:bidi w:val="0"/>
        <w:spacing w:before="0" w:after="0"/>
        <w:ind w:left="320" w:right="0" w:hanging="320"/>
        <w:jc w:val="left"/>
      </w:pPr>
      <w:r>
        <w:rPr>
          <w:rFonts w:ascii="Times New Roman" w:eastAsia="Times New Roman" w:hAnsi="Times New Roman" w:cs="Times New Roman"/>
          <w:i/>
          <w:iCs/>
          <w:color w:val="000000"/>
          <w:spacing w:val="0"/>
          <w:w w:val="100"/>
          <w:position w:val="0"/>
          <w:shd w:val="clear" w:color="auto" w:fill="auto"/>
          <w:lang w:val="en-US" w:eastAsia="en-US" w:bidi="en-US"/>
        </w:rPr>
        <w:t>Sivan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(svibanj/lipanj), 30 dana:</w:t>
      </w:r>
    </w:p>
    <w:p>
      <w:pPr>
        <w:pStyle w:val="Style20"/>
        <w:keepNext w:val="0"/>
        <w:keepLines w:val="0"/>
        <w:widowControl w:val="0"/>
        <w:numPr>
          <w:ilvl w:val="0"/>
          <w:numId w:val="221"/>
        </w:numPr>
        <w:shd w:val="clear" w:color="auto" w:fill="auto"/>
        <w:tabs>
          <w:tab w:pos="242" w:val="left"/>
        </w:tabs>
        <w:bidi w:val="0"/>
        <w:spacing w:before="0" w:after="0"/>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Blagdan sedmica dan I (Šavuot; M Roš ha-šana 1,2; Šulhan aruh, op.cit. § 493);</w:t>
      </w:r>
    </w:p>
    <w:p>
      <w:pPr>
        <w:pStyle w:val="Style20"/>
        <w:keepNext w:val="0"/>
        <w:keepLines w:val="0"/>
        <w:widowControl w:val="0"/>
        <w:numPr>
          <w:ilvl w:val="0"/>
          <w:numId w:val="221"/>
        </w:numPr>
        <w:shd w:val="clear" w:color="auto" w:fill="auto"/>
        <w:tabs>
          <w:tab w:pos="242" w:val="left"/>
        </w:tabs>
        <w:bidi w:val="0"/>
        <w:spacing w:before="0" w:after="40"/>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Blagdan sedmica dan II (samo u dijas</w:t>
        <w:softHyphen/>
        <w:t>pori);</w:t>
      </w:r>
    </w:p>
    <w:p>
      <w:pPr>
        <w:pStyle w:val="Style20"/>
        <w:keepNext w:val="0"/>
        <w:keepLines w:val="0"/>
        <w:widowControl w:val="0"/>
        <w:shd w:val="clear" w:color="auto" w:fill="auto"/>
        <w:bidi w:val="0"/>
        <w:spacing w:before="0" w:after="0" w:line="262" w:lineRule="auto"/>
        <w:ind w:left="320" w:right="0" w:hanging="320"/>
        <w:jc w:val="left"/>
      </w:pPr>
      <w:r>
        <w:rPr>
          <w:rFonts w:ascii="Times New Roman" w:eastAsia="Times New Roman" w:hAnsi="Times New Roman" w:cs="Times New Roman"/>
          <w:i/>
          <w:iCs/>
          <w:color w:val="000000"/>
          <w:spacing w:val="0"/>
          <w:w w:val="100"/>
          <w:position w:val="0"/>
          <w:shd w:val="clear" w:color="auto" w:fill="auto"/>
          <w:lang w:val="hr-HR" w:eastAsia="hr-HR" w:bidi="hr-HR"/>
        </w:rPr>
        <w:t>Tamuz</w:t>
      </w:r>
      <w:r>
        <w:rPr>
          <w:rFonts w:ascii="Times New Roman" w:eastAsia="Times New Roman" w:hAnsi="Times New Roman" w:cs="Times New Roman"/>
          <w:color w:val="000000"/>
          <w:spacing w:val="0"/>
          <w:w w:val="100"/>
          <w:position w:val="0"/>
          <w:shd w:val="clear" w:color="auto" w:fill="auto"/>
          <w:lang w:val="hr-HR" w:eastAsia="hr-HR" w:bidi="hr-HR"/>
        </w:rPr>
        <w:t xml:space="preserve"> (lipanj/srpanj), 29 dana:</w:t>
      </w:r>
    </w:p>
    <w:p>
      <w:pPr>
        <w:pStyle w:val="Style20"/>
        <w:keepNext w:val="0"/>
        <w:keepLines w:val="0"/>
        <w:widowControl w:val="0"/>
        <w:numPr>
          <w:ilvl w:val="0"/>
          <w:numId w:val="217"/>
        </w:numPr>
        <w:shd w:val="clear" w:color="auto" w:fill="auto"/>
        <w:tabs>
          <w:tab w:pos="313" w:val="left"/>
        </w:tabs>
        <w:bidi w:val="0"/>
        <w:spacing w:before="0" w:after="40" w:line="262" w:lineRule="auto"/>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Post (Šiva asar </w:t>
      </w:r>
      <w:r>
        <w:rPr>
          <w:rFonts w:ascii="Times New Roman" w:eastAsia="Times New Roman" w:hAnsi="Times New Roman" w:cs="Times New Roman"/>
          <w:color w:val="000000"/>
          <w:spacing w:val="0"/>
          <w:w w:val="100"/>
          <w:position w:val="0"/>
          <w:shd w:val="clear" w:color="auto" w:fill="auto"/>
          <w:lang w:val="en-US" w:eastAsia="en-US" w:bidi="en-US"/>
        </w:rPr>
        <w:t xml:space="preserve">be-tamuz; </w:t>
      </w:r>
      <w:r>
        <w:rPr>
          <w:rFonts w:ascii="Times New Roman" w:eastAsia="Times New Roman" w:hAnsi="Times New Roman" w:cs="Times New Roman"/>
          <w:color w:val="000000"/>
          <w:spacing w:val="0"/>
          <w:w w:val="100"/>
          <w:position w:val="0"/>
          <w:shd w:val="clear" w:color="auto" w:fill="auto"/>
          <w:lang w:val="hr-HR" w:eastAsia="hr-HR" w:bidi="hr-HR"/>
        </w:rPr>
        <w:t xml:space="preserve">M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IV,6; Šulhan aruh, op.cit. § 549-51);</w:t>
      </w:r>
    </w:p>
    <w:p>
      <w:pPr>
        <w:pStyle w:val="Style20"/>
        <w:keepNext w:val="0"/>
        <w:keepLines w:val="0"/>
        <w:widowControl w:val="0"/>
        <w:shd w:val="clear" w:color="auto" w:fill="auto"/>
        <w:bidi w:val="0"/>
        <w:spacing w:before="0" w:after="0" w:line="257" w:lineRule="auto"/>
        <w:ind w:left="320" w:right="0" w:hanging="320"/>
        <w:jc w:val="left"/>
      </w:pPr>
      <w:r>
        <w:rPr>
          <w:rFonts w:ascii="Times New Roman" w:eastAsia="Times New Roman" w:hAnsi="Times New Roman" w:cs="Times New Roman"/>
          <w:i/>
          <w:iCs/>
          <w:color w:val="000000"/>
          <w:spacing w:val="0"/>
          <w:w w:val="100"/>
          <w:position w:val="0"/>
          <w:shd w:val="clear" w:color="auto" w:fill="auto"/>
          <w:lang w:val="hr-HR" w:eastAsia="hr-HR" w:bidi="hr-HR"/>
        </w:rPr>
        <w:t>Av</w:t>
      </w:r>
      <w:r>
        <w:rPr>
          <w:rFonts w:ascii="Times New Roman" w:eastAsia="Times New Roman" w:hAnsi="Times New Roman" w:cs="Times New Roman"/>
          <w:color w:val="000000"/>
          <w:spacing w:val="0"/>
          <w:w w:val="100"/>
          <w:position w:val="0"/>
          <w:shd w:val="clear" w:color="auto" w:fill="auto"/>
          <w:lang w:val="hr-HR" w:eastAsia="hr-HR" w:bidi="hr-HR"/>
        </w:rPr>
        <w:t xml:space="preserve"> (srpanj,kolovoz ), 30 dana:</w:t>
      </w:r>
    </w:p>
    <w:p>
      <w:pPr>
        <w:pStyle w:val="Style20"/>
        <w:keepNext w:val="0"/>
        <w:keepLines w:val="0"/>
        <w:widowControl w:val="0"/>
        <w:shd w:val="clear" w:color="auto" w:fill="auto"/>
        <w:bidi w:val="0"/>
        <w:spacing w:before="0" w:after="0" w:line="257" w:lineRule="auto"/>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9. Dani tugovanja i posta (Tiša be-av; M Ta</w:t>
        <w:softHyphen/>
        <w:t>anit IV,4; b 12a);</w:t>
      </w:r>
    </w:p>
    <w:p>
      <w:pPr>
        <w:pStyle w:val="Style20"/>
        <w:keepNext w:val="0"/>
        <w:keepLines w:val="0"/>
        <w:widowControl w:val="0"/>
        <w:shd w:val="clear" w:color="auto" w:fill="auto"/>
        <w:bidi w:val="0"/>
        <w:spacing w:before="0" w:after="60" w:line="257" w:lineRule="auto"/>
        <w:ind w:left="320" w:right="0" w:hanging="320"/>
        <w:jc w:val="left"/>
      </w:pPr>
      <w:r>
        <w:rPr>
          <w:rFonts w:ascii="Times New Roman" w:eastAsia="Times New Roman" w:hAnsi="Times New Roman" w:cs="Times New Roman"/>
          <w:color w:val="000000"/>
          <w:spacing w:val="0"/>
          <w:w w:val="100"/>
          <w:position w:val="0"/>
          <w:shd w:val="clear" w:color="auto" w:fill="auto"/>
          <w:lang w:val="hr-HR" w:eastAsia="hr-HR" w:bidi="hr-HR"/>
        </w:rPr>
        <w:t>15. Blagdan (Hamiša asar bc-av; b Taanit 30b.31a; M IV,8);</w:t>
      </w:r>
    </w:p>
    <w:p>
      <w:pPr>
        <w:pStyle w:val="Style20"/>
        <w:keepNext w:val="0"/>
        <w:keepLines w:val="0"/>
        <w:widowControl w:val="0"/>
        <w:shd w:val="clear" w:color="auto" w:fill="auto"/>
        <w:bidi w:val="0"/>
        <w:spacing w:before="0" w:after="120"/>
        <w:ind w:left="320" w:right="0" w:hanging="320"/>
        <w:jc w:val="left"/>
      </w:pPr>
      <w:r>
        <w:rPr>
          <w:rFonts w:ascii="Times New Roman" w:eastAsia="Times New Roman" w:hAnsi="Times New Roman" w:cs="Times New Roman"/>
          <w:i/>
          <w:iCs/>
          <w:color w:val="000000"/>
          <w:spacing w:val="0"/>
          <w:w w:val="100"/>
          <w:position w:val="0"/>
          <w:shd w:val="clear" w:color="auto" w:fill="auto"/>
          <w:lang w:val="hr-HR" w:eastAsia="hr-HR" w:bidi="hr-HR"/>
        </w:rPr>
        <w:t>Elul</w:t>
      </w:r>
      <w:r>
        <w:rPr>
          <w:rFonts w:ascii="Times New Roman" w:eastAsia="Times New Roman" w:hAnsi="Times New Roman" w:cs="Times New Roman"/>
          <w:color w:val="000000"/>
          <w:spacing w:val="0"/>
          <w:w w:val="100"/>
          <w:position w:val="0"/>
          <w:shd w:val="clear" w:color="auto" w:fill="auto"/>
          <w:lang w:val="hr-HR" w:eastAsia="hr-HR" w:bidi="hr-HR"/>
        </w:rPr>
        <w:t xml:space="preserve"> (kolovoz/rujan), 29 dana.</w:t>
      </w:r>
    </w:p>
    <w:p>
      <w:pPr>
        <w:pStyle w:val="Style56"/>
        <w:keepNext w:val="0"/>
        <w:keepLines w:val="0"/>
        <w:widowControl w:val="0"/>
        <w:shd w:val="clear" w:color="auto" w:fill="auto"/>
        <w:tabs>
          <w:tab w:pos="2472" w:val="left"/>
        </w:tabs>
        <w:bidi w:val="0"/>
        <w:spacing w:before="0" w:after="320" w:line="240" w:lineRule="auto"/>
        <w:ind w:left="0" w:right="0" w:firstLine="0"/>
        <w:jc w:val="both"/>
      </w:pPr>
      <w:r>
        <w:rPr>
          <w:color w:val="000000"/>
          <w:spacing w:val="0"/>
          <w:w w:val="100"/>
          <w:position w:val="0"/>
          <w:shd w:val="clear" w:color="auto" w:fill="auto"/>
          <w:lang w:val="hr-HR" w:eastAsia="hr-HR" w:bidi="hr-HR"/>
        </w:rPr>
        <w:t xml:space="preserve">Lit.: E. Mahlcr, </w:t>
      </w:r>
      <w:r>
        <w:rPr>
          <w:i/>
          <w:iCs/>
          <w:color w:val="000000"/>
          <w:spacing w:val="0"/>
          <w:w w:val="100"/>
          <w:position w:val="0"/>
          <w:shd w:val="clear" w:color="auto" w:fill="auto"/>
          <w:lang w:val="hr-HR" w:eastAsia="hr-HR" w:bidi="hr-HR"/>
        </w:rPr>
        <w:t>flandbuch der jtidisehen Chroncdogie,</w:t>
      </w:r>
      <w:r>
        <w:rPr>
          <w:color w:val="000000"/>
          <w:spacing w:val="0"/>
          <w:w w:val="100"/>
          <w:position w:val="0"/>
          <w:shd w:val="clear" w:color="auto" w:fill="auto"/>
          <w:lang w:val="hr-HR" w:eastAsia="hr-HR" w:bidi="hr-HR"/>
        </w:rPr>
        <w:t xml:space="preserve"> 1916: </w:t>
      </w:r>
      <w:r>
        <w:rPr>
          <w:i/>
          <w:iCs/>
          <w:color w:val="000000"/>
          <w:spacing w:val="0"/>
          <w:w w:val="100"/>
          <w:position w:val="0"/>
          <w:shd w:val="clear" w:color="auto" w:fill="auto"/>
        </w:rPr>
        <w:t xml:space="preserve">Encyclopaedia Judaica </w:t>
      </w:r>
      <w:r>
        <w:rPr>
          <w:i/>
          <w:iCs/>
          <w:color w:val="000000"/>
          <w:spacing w:val="0"/>
          <w:w w:val="100"/>
          <w:position w:val="0"/>
          <w:shd w:val="clear" w:color="auto" w:fill="auto"/>
          <w:lang w:val="hr-HR" w:eastAsia="hr-HR" w:bidi="hr-HR"/>
        </w:rPr>
        <w:t>5,</w:t>
      </w:r>
      <w:r>
        <w:rPr>
          <w:color w:val="000000"/>
          <w:spacing w:val="0"/>
          <w:w w:val="100"/>
          <w:position w:val="0"/>
          <w:shd w:val="clear" w:color="auto" w:fill="auto"/>
          <w:lang w:val="hr-HR" w:eastAsia="hr-HR" w:bidi="hr-HR"/>
        </w:rPr>
        <w:t xml:space="preserve"> *1978. 43—54; </w:t>
      </w:r>
      <w:r>
        <w:rPr>
          <w:i/>
          <w:iCs/>
          <w:color w:val="000000"/>
          <w:spacing w:val="0"/>
          <w:w w:val="100"/>
          <w:position w:val="0"/>
          <w:shd w:val="clear" w:color="auto" w:fill="auto"/>
        </w:rPr>
        <w:t>Lexikon des Juden- turns,</w:t>
      </w:r>
      <w:r>
        <w:rPr>
          <w:color w:val="000000"/>
          <w:spacing w:val="0"/>
          <w:w w:val="100"/>
          <w:position w:val="0"/>
          <w:shd w:val="clear" w:color="auto" w:fill="auto"/>
        </w:rPr>
        <w:t xml:space="preserve"> 1971, 359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J. Maicr/P. Schafer. </w:t>
      </w:r>
      <w:r>
        <w:rPr>
          <w:i/>
          <w:iCs/>
          <w:color w:val="000000"/>
          <w:spacing w:val="0"/>
          <w:w w:val="100"/>
          <w:position w:val="0"/>
          <w:shd w:val="clear" w:color="auto" w:fill="auto"/>
        </w:rPr>
        <w:t>Kleines Lesikon des Judentums,</w:t>
      </w:r>
      <w:r>
        <w:rPr>
          <w:color w:val="000000"/>
          <w:spacing w:val="0"/>
          <w:w w:val="100"/>
          <w:position w:val="0"/>
          <w:shd w:val="clear" w:color="auto" w:fill="auto"/>
        </w:rPr>
        <w:t xml:space="preserve"> ]981,</w:t>
      </w:r>
      <w:r>
        <w:rPr>
          <w:color w:val="000000"/>
          <w:spacing w:val="0"/>
          <w:w w:val="100"/>
          <w:position w:val="0"/>
          <w:shd w:val="clear" w:color="auto" w:fill="auto"/>
          <w:lang w:val="hr-HR" w:eastAsia="hr-HR" w:bidi="hr-HR"/>
        </w:rPr>
        <w:t>16«.</w:t>
        <w:tab/>
      </w:r>
      <w:r>
        <w:rPr>
          <w:color w:val="000000"/>
          <w:spacing w:val="0"/>
          <w:w w:val="100"/>
          <w:position w:val="0"/>
          <w:shd w:val="clear" w:color="auto" w:fill="auto"/>
        </w:rPr>
        <w:t>D. VbTlljR</w:t>
      </w:r>
    </w:p>
    <w:p>
      <w:pPr>
        <w:pStyle w:val="Style63"/>
        <w:keepNext/>
        <w:keepLines/>
        <w:widowControl w:val="0"/>
        <w:numPr>
          <w:ilvl w:val="0"/>
          <w:numId w:val="203"/>
        </w:numPr>
        <w:shd w:val="clear" w:color="auto" w:fill="auto"/>
        <w:tabs>
          <w:tab w:pos="261" w:val="left"/>
        </w:tabs>
        <w:bidi w:val="0"/>
        <w:spacing w:before="0" w:after="120" w:line="223" w:lineRule="auto"/>
        <w:ind w:left="320" w:right="0" w:hanging="320"/>
        <w:jc w:val="left"/>
      </w:pPr>
      <w:bookmarkStart w:id="150" w:name="bookmark15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5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početku se samo kršćanska zajednica oku</w:t>
        <w:softHyphen/>
        <w:t>plja u nedjelju ha slavljenje spomena Isusove smrti i uskrsnuća prvoga dana u tjednu. Ona slavi svetkovinu tjedne Pashe. Za radnih da</w:t>
        <w:softHyphen/>
        <w:t xml:space="preserve">na, kada u ranoj Crkvi nije bilo euharistijskog slavlja, dnevna se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 xml:space="preserve">spomen na smrt i uskrsnuće Isusa Krista, slavila u ćasoslovu. Od </w:t>
      </w:r>
      <w:r>
        <w:rPr>
          <w:rFonts w:ascii="Times New Roman" w:eastAsia="Times New Roman" w:hAnsi="Times New Roman" w:cs="Times New Roman"/>
          <w:color w:val="000000"/>
          <w:spacing w:val="0"/>
          <w:w w:val="100"/>
          <w:position w:val="0"/>
          <w:shd w:val="clear" w:color="auto" w:fill="auto"/>
          <w:lang w:val="hr-HR" w:eastAsia="hr-HR" w:bidi="hr-HR"/>
        </w:rPr>
        <w:t xml:space="preserve">sredine II. stoljeća intenzivnije se slavi jedna nedjelja, godišnja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blagdan Uskrsa. Ta</w:t>
        <w:softHyphen/>
        <w:t>ko Crkva korača od Uskrsa do Uskrsa ususret Gospodinu. U III. i IV. stoljeću ta se svetko</w:t>
        <w:softHyphen/>
        <w:t>vina proteže na pedeset dana i uključeno je vrijeme priprave od četrdeset dana. Tek vje</w:t>
        <w:softHyphen/>
        <w:t>rovanje Crkve u pobjednika Krista, u istobit- nog Sina Božjega, u Vladara i Cara, vodi do jednoga daljnjeg blagdanskog vremena: na Is</w:t>
        <w:softHyphen/>
        <w:t>toku do Epifanije, Gospodinova javljanja, na Zapadu do blagdana Božića. Ubrzo će to vri</w:t>
        <w:softHyphen/>
        <w:t>jeme oponašati ono prvo s isto tako vlastitim vremenom priprave, Došašćem.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Dok je svetkovanje Uskrsa jednoznačno veza</w:t>
        <w:softHyphen/>
        <w:t>no uz nedjelju, blagdani Božića (25. prosinca) i Bogojavljenja nisu više prilagođeni tijeku tjed</w:t>
        <w:softHyphen/>
        <w:t>na, nisu više kao istaknute nedjelje, nego su vezani uz građanski k. U vjerničkoj se svijesti prvenstveni položaj nedjelje povlači pred ide</w:t>
        <w:softHyphen/>
        <w:t>jom blagdana koji se godišnje ponavljaju, pred ocrtavanjcm Isusova života od očekiva</w:t>
        <w:softHyphen/>
        <w:t>nja njegova rođenja preko utjelovljenja, javne djelatnosti, muke i uskrsnuća sve do slanja Duha i njegova povratka. Tako Crkva tijekom godine razvija čitavo Kristovo otajstvo zbog čega radije govorimo o »Gospodinovoj godi</w:t>
        <w:softHyphen/>
        <w:t>ni« nego o crkvenoj godini. Pritom spomen na Gospodinove dane ima prednost pred ovim drugim sponten-danima. »Svetačka godina«, sjećanje na smrtne dane svetaca uvijek je pod</w:t>
        <w:softHyphen/>
        <w:t>ređena Gospodinovoj godini.</w:t>
      </w:r>
    </w:p>
    <w:p>
      <w:pPr>
        <w:pStyle w:val="Style20"/>
        <w:keepNext w:val="0"/>
        <w:keepLines w:val="0"/>
        <w:widowControl w:val="0"/>
        <w:shd w:val="clear" w:color="auto" w:fill="auto"/>
        <w:bidi w:val="0"/>
        <w:spacing w:before="0" w:after="0"/>
        <w:ind w:left="0" w:right="0" w:firstLine="0"/>
        <w:jc w:val="both"/>
        <w:sectPr>
          <w:headerReference w:type="default" r:id="rId601"/>
          <w:footerReference w:type="default" r:id="rId602"/>
          <w:headerReference w:type="even" r:id="rId603"/>
          <w:footerReference w:type="even" r:id="rId604"/>
          <w:headerReference w:type="first" r:id="rId605"/>
          <w:footerReference w:type="first" r:id="rId606"/>
          <w:footnotePr>
            <w:pos w:val="pageBottom"/>
            <w:numFmt w:val="decimal"/>
            <w:numStart w:val="5"/>
            <w:numRestart w:val="continuous"/>
            <w15:footnoteColumns w:val="1"/>
          </w:footnotePr>
          <w:pgSz w:w="6816" w:h="11006"/>
          <w:pgMar w:top="987" w:left="169" w:right="172" w:bottom="443"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Kršćanski k. ustrojava godinu prema uzoru staroga Saveza kroz sedmodnevni tjedan koji u grčko-rimskom svijetu isprva nije bio uo</w:t>
        <w:softHyphen/>
        <w:t>bičajen. Odlučujuća točka je termin uskrsnog blagdana koji danas ima rastezljivo vrijeme od pet tjedana (22. ožujak do 25. travnja). U ži</w:t>
        <w:softHyphen/>
        <w:t xml:space="preserve">dovskom lunisolarnom kalendaru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je pa</w:t>
        <w:softHyphen/>
        <w:t xml:space="preserve">dala na 14. </w:t>
      </w:r>
      <w:r>
        <w:rPr>
          <w:rFonts w:ascii="Times New Roman" w:eastAsia="Times New Roman" w:hAnsi="Times New Roman" w:cs="Times New Roman"/>
          <w:color w:val="000000"/>
          <w:spacing w:val="0"/>
          <w:w w:val="100"/>
          <w:position w:val="0"/>
          <w:shd w:val="clear" w:color="auto" w:fill="auto"/>
          <w:lang w:val="en-US" w:eastAsia="en-US" w:bidi="en-US"/>
        </w:rPr>
        <w:t xml:space="preserve">Nisan, </w:t>
      </w:r>
      <w:r>
        <w:rPr>
          <w:rFonts w:ascii="Times New Roman" w:eastAsia="Times New Roman" w:hAnsi="Times New Roman" w:cs="Times New Roman"/>
          <w:color w:val="000000"/>
          <w:spacing w:val="0"/>
          <w:w w:val="100"/>
          <w:position w:val="0"/>
          <w:shd w:val="clear" w:color="auto" w:fill="auto"/>
          <w:lang w:val="hr-HR" w:eastAsia="hr-HR" w:bidi="hr-HR"/>
        </w:rPr>
        <w:t>dan punoga mjeseca toga proljetnog mjeseca. Rano kršćanstvo povezi</w:t>
        <w:softHyphen/>
        <w:t>valo je taj židovski blagdan s godišnjim spo</w:t>
        <w:softHyphen/>
        <w:t>menom na Kristovu smrt koja se dogodila jed</w:t>
        <w:softHyphen/>
        <w:t>noga 14. Nišana (usp. 1 Kor 5,7 i d.). Uskrsni spor u II. stoljeću pokazuje da je nekoć već bilo različitih uskrsnih termina. Od Nicejskog koncila (325) Uskrs će se uvijek slaviti u ne</w:t>
        <w:softHyphen/>
        <w:t>djelju nakon prvoga proljetnog punog mjese</w:t>
        <w:softHyphen/>
        <w:t>ca. U novije vrijeme pojačala se želja za fiksi</w:t>
        <w:softHyphen/>
        <w:t>ranjem uskrsnog termina. To se dosad izja</w:t>
        <w:softHyphen/>
        <w:t>lovilo zbog drugačijih kalendara na Istoku (ju- lijanski kalendar koji polazi od Julija Cezara) i na Zapadu (gregorijanski kalendar od 1582).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Naš sadašnji k. već jc dugo vremena predmet prijedloga reforme kojima se bave i Ujedi</w:t>
        <w:softHyphen/>
        <w:t>njeni narodi. Prigovara se zbog nejednake du</w:t>
        <w:softHyphen/>
        <w:t>ljine mjeseca i klizanja datuma u mjesecu sva</w:t>
        <w:softHyphen/>
        <w:t>ke godine, a to je zato jer normalna godina ima jedan dan više od 52 tjedna.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Stoga jc za godišnje utvrđivanje crkvenih blag</w:t>
        <w:softHyphen/>
        <w:t>dana i spomen-dana potreban k. koji uzima u obzir svetkovine opće Crkve, ali i svetkovine nekog područja, neke redovničke zajednice, neke biskupije ili isto tako neke skupine. Pri</w:t>
        <w:softHyphen/>
        <w:t>tom je za osnovni raspored liturgijske godine potrebna tablica koja sadrži stupnjevani slijed različitih svetkovina i spomen-dana. Na prvom su mjestu tri uskrsna dana, zatim Božić, Bogo- javljenje, Uzašašće i Duhovi; slijede nedjelje Došašća, korizma i Veliki tjedan, zatim Pepel</w:t>
        <w:softHyphen/>
        <w:t>nica, Kvatre i dani u uskrsnoj osmini. Na to slijede blagdani Gospodina, Marije i nekih osobito istaknutih svetaca. Zatim dolaze svi ostali Gospodinovi blagdani, nedjelje božič</w:t>
        <w:softHyphen/>
        <w:t>nog vremena i nedjelje u godišnjem krugu i tek potom svetkovine svetaca. Ispravno štova</w:t>
        <w:softHyphen/>
        <w:t>nje muškaraca i žena koji su svjedoci vjere u Božje spasenjsko djelovanje u Isusu iz Naza- reta, ne ugrožava jedinstveno mjesto Isusa Krista u djelu otkupljenja. Jer, mjesto tog spo</w:t>
        <w:softHyphen/>
        <w:t>mena je okupljanje zajednice prije svega na euharistijskoj gozbi. U svecima zajednica ko</w:t>
        <w:softHyphen/>
        <w:t>načno slavi Krista koji joj je u ovim uzorima darovao znak nade u vlastito ispunjenje i us</w:t>
        <w:softHyphen/>
        <w:t>krsnuće. Pa ipak, ako takvi spomen-dani pad</w:t>
        <w:softHyphen/>
        <w:t>nu na dan Gospodinove svetkovine, tada uvi</w:t>
        <w:softHyphen/>
        <w:t>jek treba na prvome mjestu slaviti Kristovo otajstvo. Tako Gospodinovi dani imaju pred</w:t>
        <w:softHyphen/>
        <w:t>nost pred svim ostalim. Rangiranje liturgij</w:t>
        <w:softHyphen/>
        <w:t>skih dana svaki put pokazuje koja je nakana važnija.</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Razlikujemo k. svetaca, k. imendana i muče</w:t>
        <w:softHyphen/>
        <w:t>nika. K. svetaca navodi sve svece koji se tije</w:t>
        <w:softHyphen/>
        <w:t>kom godine moraju slaviti ili kao zapovijedani blagdani ili se mogu slaviti kao nezapovijedani blagdani. Svi oni sveci koji ne stoje u tom ka</w:t>
        <w:softHyphen/>
        <w:t>lendaru zabilježeni su u kalendaru mučenika svaki put pod smrtnim danom. K. odabire me</w:t>
        <w:softHyphen/>
        <w:t>đu mnoštvom svetaca jednoga ili više njih za svaki dan, a k. mučenika bilježi sve. Tako svaki svetac može biti liturgijski čašćen, ali u svakom slučaju samo tada kada dotični dan ne pred</w:t>
        <w:softHyphen/>
        <w:t>viđa svetkovinu koja je po stupnju viša, npr. nedjelju. K. imendana najviše odgovara kalen</w:t>
        <w:softHyphen/>
        <w:t xml:space="preserve">daru mučenika. Da bi se roditeljima olakšao </w:t>
      </w:r>
      <w:r>
        <w:rPr>
          <w:rFonts w:ascii="Times New Roman" w:eastAsia="Times New Roman" w:hAnsi="Times New Roman" w:cs="Times New Roman"/>
          <w:color w:val="000000"/>
          <w:spacing w:val="0"/>
          <w:w w:val="100"/>
          <w:position w:val="0"/>
          <w:shd w:val="clear" w:color="auto" w:fill="auto"/>
          <w:lang w:val="hr-HR" w:eastAsia="hr-HR" w:bidi="hr-HR"/>
        </w:rPr>
        <w:t>izbor nekoga kršćanskog imena za njihovu dje</w:t>
        <w:softHyphen/>
        <w:t>cu - a to je rašireno od XIII. stoljeća - bio je uspostavljen takav k.</w:t>
      </w:r>
    </w:p>
    <w:p>
      <w:pPr>
        <w:pStyle w:val="Style56"/>
        <w:keepNext w:val="0"/>
        <w:keepLines w:val="0"/>
        <w:widowControl w:val="0"/>
        <w:shd w:val="clear" w:color="auto" w:fill="auto"/>
        <w:tabs>
          <w:tab w:pos="1584" w:val="left"/>
        </w:tabs>
        <w:bidi w:val="0"/>
        <w:spacing w:before="0" w:after="0" w:line="240" w:lineRule="auto"/>
        <w:ind w:left="0" w:right="0" w:firstLine="0"/>
        <w:jc w:val="left"/>
      </w:pPr>
      <w:r>
        <w:rPr>
          <w:color w:val="000000"/>
          <w:spacing w:val="0"/>
          <w:w w:val="100"/>
          <w:position w:val="0"/>
          <w:shd w:val="clear" w:color="auto" w:fill="auto"/>
          <w:lang w:val="hr-HR" w:eastAsia="hr-HR" w:bidi="hr-HR"/>
        </w:rPr>
        <w:t xml:space="preserve">Lit.: A. Adam, </w:t>
      </w:r>
      <w:r>
        <w:rPr>
          <w:i/>
          <w:iCs/>
          <w:color w:val="000000"/>
          <w:spacing w:val="0"/>
          <w:w w:val="100"/>
          <w:position w:val="0"/>
          <w:shd w:val="clear" w:color="auto" w:fill="auto"/>
          <w:lang w:val="hr-HR" w:eastAsia="hr-HR" w:bidi="hr-HR"/>
        </w:rPr>
        <w:t>Dat Kirchenjatv mitfdem,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H. Auf dcr Maur, </w:t>
      </w:r>
      <w:r>
        <w:rPr>
          <w:i/>
          <w:iCs/>
          <w:color w:val="000000"/>
          <w:spacing w:val="0"/>
          <w:w w:val="100"/>
          <w:position w:val="0"/>
          <w:shd w:val="clear" w:color="auto" w:fill="auto"/>
          <w:lang w:val="hr-HR" w:eastAsia="hr-HR" w:bidi="hr-HR"/>
        </w:rPr>
        <w:t xml:space="preserve">Feiern im </w:t>
      </w:r>
      <w:r>
        <w:rPr>
          <w:i/>
          <w:iCs/>
          <w:color w:val="000000"/>
          <w:spacing w:val="0"/>
          <w:w w:val="100"/>
          <w:position w:val="0"/>
          <w:shd w:val="clear" w:color="auto" w:fill="auto"/>
        </w:rPr>
        <w:t xml:space="preserve">Rhythmus </w:t>
      </w:r>
      <w:r>
        <w:rPr>
          <w:i/>
          <w:iCs/>
          <w:color w:val="000000"/>
          <w:spacing w:val="0"/>
          <w:w w:val="100"/>
          <w:position w:val="0"/>
          <w:shd w:val="clear" w:color="auto" w:fill="auto"/>
          <w:lang w:val="hr-HR" w:eastAsia="hr-HR" w:bidi="hr-HR"/>
        </w:rPr>
        <w:t>der Zfit</w:t>
      </w:r>
      <w:r>
        <w:rPr>
          <w:color w:val="000000"/>
          <w:spacing w:val="0"/>
          <w:w w:val="100"/>
          <w:position w:val="0"/>
          <w:shd w:val="clear" w:color="auto" w:fill="auto"/>
          <w:lang w:val="hr-HR" w:eastAsia="hr-HR" w:bidi="hr-HR"/>
        </w:rPr>
        <w:t xml:space="preserve"> /(Gottcsdi- cnst dcr Kirchc 5), </w:t>
      </w:r>
      <w:r>
        <w:rPr>
          <w:color w:val="000000"/>
          <w:spacing w:val="0"/>
          <w:w w:val="100"/>
          <w:position w:val="0"/>
          <w:shd w:val="clear" w:color="auto" w:fill="auto"/>
        </w:rPr>
        <w:t xml:space="preserve">Regensburg </w:t>
      </w:r>
      <w:r>
        <w:rPr>
          <w:color w:val="000000"/>
          <w:spacing w:val="0"/>
          <w:w w:val="100"/>
          <w:position w:val="0"/>
          <w:shd w:val="clear" w:color="auto" w:fill="auto"/>
          <w:lang w:val="hr-HR" w:eastAsia="hr-HR" w:bidi="hr-HR"/>
        </w:rPr>
        <w:t xml:space="preserve">19B3; K, </w:t>
      </w:r>
      <w:r>
        <w:rPr>
          <w:color w:val="000000"/>
          <w:spacing w:val="0"/>
          <w:w w:val="100"/>
          <w:position w:val="0"/>
          <w:shd w:val="clear" w:color="auto" w:fill="auto"/>
        </w:rPr>
        <w:t xml:space="preserve">Richter, </w:t>
      </w:r>
      <w:r>
        <w:rPr>
          <w:i/>
          <w:iCs/>
          <w:color w:val="000000"/>
          <w:spacing w:val="0"/>
          <w:w w:val="100"/>
          <w:position w:val="0"/>
          <w:shd w:val="clear" w:color="auto" w:fill="auto"/>
        </w:rPr>
        <w:t xml:space="preserve">Was </w:t>
      </w:r>
      <w:r>
        <w:rPr>
          <w:i/>
          <w:iCs/>
          <w:color w:val="000000"/>
          <w:spacing w:val="0"/>
          <w:w w:val="100"/>
          <w:position w:val="0"/>
          <w:shd w:val="clear" w:color="auto" w:fill="auto"/>
          <w:lang w:val="hr-HR" w:eastAsia="hr-HR" w:bidi="hr-HR"/>
        </w:rPr>
        <w:t xml:space="preserve">ich vom </w:t>
      </w:r>
      <w:r>
        <w:rPr>
          <w:i/>
          <w:iCs/>
          <w:color w:val="000000"/>
          <w:spacing w:val="0"/>
          <w:w w:val="100"/>
          <w:position w:val="0"/>
          <w:shd w:val="clear" w:color="auto" w:fill="auto"/>
        </w:rPr>
        <w:t>Kirchenjahr wissen</w:t>
      </w:r>
      <w:r>
        <w:rPr>
          <w:color w:val="000000"/>
          <w:spacing w:val="0"/>
          <w:w w:val="100"/>
          <w:position w:val="0"/>
          <w:shd w:val="clear" w:color="auto" w:fill="auto"/>
        </w:rPr>
        <w:tab/>
        <w:t xml:space="preserve">Freiburg </w:t>
      </w:r>
      <w:r>
        <w:rPr>
          <w:color w:val="000000"/>
          <w:spacing w:val="0"/>
          <w:w w:val="100"/>
          <w:position w:val="0"/>
          <w:shd w:val="clear" w:color="auto" w:fill="auto"/>
          <w:lang w:val="hr-HR" w:eastAsia="hr-HR" w:bidi="hr-HR"/>
        </w:rPr>
        <w:t>^1984.</w:t>
      </w:r>
    </w:p>
    <w:p>
      <w:pPr>
        <w:pStyle w:val="Style74"/>
        <w:keepNext w:val="0"/>
        <w:keepLines w:val="0"/>
        <w:widowControl w:val="0"/>
        <w:shd w:val="clear" w:color="auto" w:fill="auto"/>
        <w:bidi w:val="0"/>
        <w:spacing w:before="0" w:after="24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K. </w:t>
      </w:r>
      <w:r>
        <w:rPr>
          <w:rFonts w:ascii="Times New Roman" w:eastAsia="Times New Roman" w:hAnsi="Times New Roman" w:cs="Times New Roman"/>
          <w:color w:val="000000"/>
          <w:spacing w:val="0"/>
          <w:w w:val="100"/>
          <w:position w:val="0"/>
          <w:shd w:val="clear" w:color="auto" w:fill="auto"/>
          <w:lang w:val="en-US" w:eastAsia="en-US" w:bidi="en-US"/>
        </w:rPr>
        <w:t>RICHTER</w:t>
      </w:r>
    </w:p>
    <w:p>
      <w:pPr>
        <w:pStyle w:val="Style63"/>
        <w:keepNext/>
        <w:keepLines/>
        <w:widowControl w:val="0"/>
        <w:numPr>
          <w:ilvl w:val="0"/>
          <w:numId w:val="203"/>
        </w:numPr>
        <w:shd w:val="clear" w:color="auto" w:fill="auto"/>
        <w:tabs>
          <w:tab w:pos="260" w:val="left"/>
        </w:tabs>
        <w:bidi w:val="0"/>
        <w:spacing w:before="0" w:after="120" w:line="223" w:lineRule="auto"/>
        <w:ind w:left="0" w:right="0" w:firstLine="0"/>
        <w:jc w:val="both"/>
      </w:pPr>
      <w:bookmarkStart w:id="151" w:name="bookmark151"/>
      <w:r>
        <w:rPr>
          <w:rFonts w:ascii="Times New Roman" w:eastAsia="Times New Roman" w:hAnsi="Times New Roman" w:cs="Times New Roman"/>
          <w:color w:val="000000"/>
          <w:spacing w:val="0"/>
          <w:w w:val="100"/>
          <w:position w:val="0"/>
          <w:shd w:val="clear" w:color="auto" w:fill="auto"/>
          <w:lang w:val="hr-HR" w:eastAsia="hr-HR" w:bidi="hr-HR"/>
        </w:rPr>
        <w:t>islamski</w:t>
      </w:r>
      <w:bookmarkEnd w:id="15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Muslimani računaju svoj k. od dana Muhame- dova preseljenja iz Meke u Medinu. To se preseljenje dogodilo 15. srpnja 622. Budući da je ono za islamsku povijest značilo početak nove epohe, naime početak brzoga širenja is</w:t>
        <w:softHyphen/>
        <w:t>lama u svijetu, kalif Omer (634-644) službeno ga je proglasio polazištem novoga računanja vremena. Osnovu muslimanskoga kalendara ne čini solama, već lunarna godina. Lunarni mjeseci sadrže promjenjivo 29 i 30 dana. Zbog toga je muslimanska godina kraća 10 do 11 dana od solarne godine i iznosi 354, odnosno 355 dana u tekućoj godini. Iz toga proizlazi da 33 muslimanske godine odgovara rasponu od samo 32 solarne godine. No ustroj kalendara, koji jc podešen prema Mjesečevoj putanji, mijenja se svakoga mjeseca tijekom određe</w:t>
        <w:softHyphen/>
        <w:t>noga ciklusa u svim godišnjim dobima.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Razlika između gregorijanskoga i musliman</w:t>
        <w:softHyphen/>
        <w:t>skoga kalendara, koja sa svakom godinom po</w:t>
        <w:softHyphen/>
        <w:t>staje sve veća, može sc izračunati vrlo jed</w:t>
        <w:softHyphen/>
        <w:t>nostavno.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To pravilo glasi: tekući broj godina, manje 622, plus </w:t>
      </w:r>
      <w:r>
        <w:rPr>
          <w:rFonts w:ascii="Times New Roman" w:eastAsia="Times New Roman" w:hAnsi="Times New Roman" w:cs="Times New Roman"/>
          <w:smallCaps/>
          <w:color w:val="000000"/>
          <w:spacing w:val="0"/>
          <w:w w:val="100"/>
          <w:position w:val="0"/>
          <w:shd w:val="clear" w:color="auto" w:fill="auto"/>
          <w:lang w:val="hr-HR" w:eastAsia="hr-HR" w:bidi="hr-HR"/>
        </w:rPr>
        <w:t>‘/h</w:t>
      </w:r>
      <w:r>
        <w:rPr>
          <w:rFonts w:ascii="Times New Roman" w:eastAsia="Times New Roman" w:hAnsi="Times New Roman" w:cs="Times New Roman"/>
          <w:color w:val="000000"/>
          <w:spacing w:val="0"/>
          <w:w w:val="100"/>
          <w:position w:val="0"/>
          <w:shd w:val="clear" w:color="auto" w:fill="auto"/>
          <w:lang w:val="hr-HR" w:eastAsia="hr-HR" w:bidi="hr-HR"/>
        </w:rPr>
        <w:t xml:space="preserve"> razlike koja se treba dobiti gor</w:t>
        <w:softHyphen/>
        <w:t>njom računalnom operacijom.</w:t>
      </w:r>
    </w:p>
    <w:p>
      <w:pPr>
        <w:pStyle w:val="Style20"/>
        <w:keepNext w:val="0"/>
        <w:keepLines w:val="0"/>
        <w:widowControl w:val="0"/>
        <w:shd w:val="clear" w:color="auto" w:fill="auto"/>
        <w:bidi w:val="0"/>
        <w:spacing w:before="0" w:after="60"/>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Na primjer: 1983-622 +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1983</w:t>
      </w:r>
      <w:r>
        <w:rPr>
          <w:rFonts w:ascii="Times New Roman" w:eastAsia="Times New Roman" w:hAnsi="Times New Roman" w:cs="Times New Roman"/>
          <w:color w:val="000000"/>
          <w:spacing w:val="0"/>
          <w:w w:val="100"/>
          <w:position w:val="0"/>
          <w:shd w:val="clear" w:color="auto" w:fill="auto"/>
          <w:vertAlign w:val="sub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vertAlign w:val="superscript"/>
          <w:lang w:val="hr-HR" w:eastAsia="hr-HR" w:bidi="hr-HR"/>
        </w:rPr>
        <w:t>622</w:t>
      </w:r>
      <w:r>
        <w:rPr>
          <w:rFonts w:ascii="Times New Roman" w:eastAsia="Times New Roman" w:hAnsi="Times New Roman" w:cs="Times New Roman"/>
          <w:color w:val="000000"/>
          <w:spacing w:val="0"/>
          <w:w w:val="100"/>
          <w:position w:val="0"/>
          <w:shd w:val="clear" w:color="auto" w:fill="auto"/>
          <w:lang w:val="hr-HR" w:eastAsia="hr-HR" w:bidi="hr-HR"/>
        </w:rPr>
        <w:t xml:space="preserve"> = 1403/4.</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Točne protuvrijednosti daju VViistenfels-Mah- lerove usporedbe tablice o muslimanskom i iranskom računanju vremena koje je konačno objavio Bertold Spuler u </w:t>
      </w:r>
      <w:r>
        <w:rPr>
          <w:rFonts w:ascii="Times New Roman" w:eastAsia="Times New Roman" w:hAnsi="Times New Roman" w:cs="Times New Roman"/>
          <w:color w:val="000000"/>
          <w:spacing w:val="0"/>
          <w:w w:val="100"/>
          <w:position w:val="0"/>
          <w:shd w:val="clear" w:color="auto" w:fill="auto"/>
          <w:lang w:val="en-US" w:eastAsia="en-US" w:bidi="en-US"/>
        </w:rPr>
        <w:t xml:space="preserve">Wiesbadenu </w:t>
      </w:r>
      <w:r>
        <w:rPr>
          <w:rFonts w:ascii="Times New Roman" w:eastAsia="Times New Roman" w:hAnsi="Times New Roman" w:cs="Times New Roman"/>
          <w:color w:val="000000"/>
          <w:spacing w:val="0"/>
          <w:w w:val="100"/>
          <w:position w:val="0"/>
          <w:shd w:val="clear" w:color="auto" w:fill="auto"/>
          <w:lang w:val="hr-HR" w:eastAsia="hr-HR" w:bidi="hr-HR"/>
        </w:rPr>
        <w:t>1981. Islamski Perzijanci imaju posebno računanje vremena hidžre. U području Osmanskoga Car</w:t>
        <w:softHyphen/>
        <w:t>stva bila je i tzv. financijska godina, čije je poznavanje potrebno prilikom bavljenja histo</w:t>
        <w:softHyphen/>
        <w:t>rijskim studijama. Dodatnu zabunu u musli</w:t>
        <w:softHyphen/>
        <w:t>manskom kalendaru unio je krajem sedamde</w:t>
        <w:softHyphen/>
        <w:t>setih godina XX. stoljeća vođa libijske revolu</w:t>
        <w:softHyphen/>
        <w:t>cije Muamcr el-Gadafi koji je dan Muhame- dove smrti, 8. lipnja 632, državnim dekretom proglasio početkom islamske ere. Jednostrana</w:t>
      </w:r>
    </w:p>
    <w:p>
      <w:pPr>
        <w:pStyle w:val="Style20"/>
        <w:keepNext w:val="0"/>
        <w:keepLines w:val="0"/>
        <w:widowControl w:val="0"/>
        <w:shd w:val="clear" w:color="auto" w:fill="auto"/>
        <w:tabs>
          <w:tab w:pos="2568" w:val="left"/>
        </w:tabs>
        <w:bidi w:val="0"/>
        <w:spacing w:before="0" w:after="3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mjera Libije s vremenom je, doduše, imala učinka u samoj zemlji, ali ona svakako nije postigla trajni učinak - niti bilo gdje u cijelom islamskom svijetu.</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20" w:line="22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KALIF</w:t>
      </w:r>
    </w:p>
    <w:p>
      <w:pPr>
        <w:pStyle w:val="Style63"/>
        <w:keepNext/>
        <w:keepLines/>
        <w:widowControl w:val="0"/>
        <w:shd w:val="clear" w:color="auto" w:fill="auto"/>
        <w:bidi w:val="0"/>
        <w:spacing w:before="0" w:after="120" w:line="226" w:lineRule="auto"/>
        <w:ind w:left="0" w:right="0" w:firstLine="0"/>
        <w:jc w:val="both"/>
      </w:pPr>
      <w:bookmarkStart w:id="152" w:name="bookmark152"/>
      <w:r>
        <w:rPr>
          <w:rFonts w:ascii="Times New Roman" w:eastAsia="Times New Roman" w:hAnsi="Times New Roman" w:cs="Times New Roman"/>
          <w:color w:val="000000"/>
          <w:spacing w:val="0"/>
          <w:w w:val="100"/>
          <w:position w:val="0"/>
          <w:shd w:val="clear" w:color="auto" w:fill="auto"/>
          <w:lang w:val="hr-HR" w:eastAsia="hr-HR" w:bidi="hr-HR"/>
        </w:rPr>
        <w:t>islamski</w:t>
      </w:r>
      <w:bookmarkEnd w:id="152"/>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Arapska predloška riječ k. je </w:t>
      </w:r>
      <w:r>
        <w:rPr>
          <w:rFonts w:ascii="Times New Roman" w:eastAsia="Times New Roman" w:hAnsi="Times New Roman" w:cs="Times New Roman"/>
          <w:i/>
          <w:iCs/>
          <w:color w:val="000000"/>
          <w:spacing w:val="0"/>
          <w:w w:val="100"/>
          <w:position w:val="0"/>
          <w:shd w:val="clear" w:color="auto" w:fill="auto"/>
          <w:lang w:val="en-US" w:eastAsia="en-US" w:bidi="en-US"/>
        </w:rPr>
        <w:t>khalifa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(pred</w:t>
        <w:softHyphen/>
        <w:t>stavnik, nasljednik). U Kuranu se ta riječ pri</w:t>
        <w:softHyphen/>
        <w:t xml:space="preserve">mjenjuje na čovjeka i Adama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vicarius Dei </w:t>
      </w:r>
      <w:r>
        <w:rPr>
          <w:rFonts w:ascii="Times New Roman" w:eastAsia="Times New Roman" w:hAnsi="Times New Roman" w:cs="Times New Roman"/>
          <w:color w:val="000000"/>
          <w:spacing w:val="0"/>
          <w:w w:val="100"/>
          <w:position w:val="0"/>
          <w:shd w:val="clear" w:color="auto" w:fill="auto"/>
          <w:lang w:val="hr-HR" w:eastAsia="hr-HR" w:bidi="hr-HR"/>
        </w:rPr>
        <w:t>i na Davida kao nasljednika prethodnih vla</w:t>
        <w:softHyphen/>
        <w:t>dara. Nakon Muhamedovc smrti 632. i nakon izbora Abu Bekra za njegova predstavnika ta se oznaka odomaćila kao naziv za svjetovno i vjersko starješinstvo prve islamske države. Stari anali navode je u punom obliku kalifata reisulilaha, tj. »nasljednika poslanika« Božje</w:t>
        <w:softHyphen/>
        <w:t>ga. Kalifa je prvobitno birala cjelokupna za</w:t>
        <w:softHyphen/>
        <w:t>jednica. Omer (634-644) je ograničio izborno pravo na petočlani zbor. Nakon smrti trećega kalifa Osmana (644-656), koji je poginuo pri</w:t>
        <w:softHyphen/>
        <w:t>likom jednoga napada, dio se zajednice od</w:t>
        <w:softHyphen/>
        <w:t>lučio za princip legalnosti koji se zasniva na genealoškoj pripadnosti prorokovoj obitelji (ahl al-bayt). Tako je Muhamedov rođak i zet -&gt; Alija (656-661) postao četvrti k.</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Tijekom kasnije povijesti kalifat se povećao. Najprije su tu službu obnašali Omejidi (661— -750), a potom Abasidi (749-1258) koji su na</w:t>
        <w:softHyphen/>
        <w:t>kon prodora Mongola sredinom XIII. stoljeća mogli samo u sjeni obnašati kalifsku dužnost. Oni su se od tada držali mamelučkoga dvora u Kairu i služili su 22 člana dinastije kao pratnja pravih vladara Egipta. Nakon osvajanja zem</w:t>
        <w:softHyphen/>
        <w:t>lje od strane Osmanlija 1517. kalifska je čast prešla na turske sultane. No ona je ipak bila bez ikakvoga praktičnog značenja. Značajan pokušaj obnove kalifata u njegovom potpu</w:t>
        <w:softHyphen/>
        <w:t xml:space="preserve">nom opsegu poduzeo je sultan </w:t>
      </w:r>
      <w:r>
        <w:rPr>
          <w:rFonts w:ascii="Times New Roman" w:eastAsia="Times New Roman" w:hAnsi="Times New Roman" w:cs="Times New Roman"/>
          <w:color w:val="000000"/>
          <w:spacing w:val="0"/>
          <w:w w:val="100"/>
          <w:position w:val="0"/>
          <w:shd w:val="clear" w:color="auto" w:fill="auto"/>
          <w:lang w:val="en-US" w:eastAsia="en-US" w:bidi="en-US"/>
        </w:rPr>
        <w:t>Abdelhamid</w:t>
      </w:r>
    </w:p>
    <w:p>
      <w:pPr>
        <w:pStyle w:val="Style20"/>
        <w:keepNext w:val="0"/>
        <w:keepLines w:val="0"/>
        <w:widowControl w:val="0"/>
        <w:numPr>
          <w:ilvl w:val="0"/>
          <w:numId w:val="199"/>
        </w:numPr>
        <w:shd w:val="clear" w:color="auto" w:fill="auto"/>
        <w:tabs>
          <w:tab w:pos="279" w:val="left"/>
        </w:tabs>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(1876-1909). Pritom mu je na ruku išao panislamski pokret koji su inicirali Džemalc- din al Afgani (1838-1897) i njegovi učenici.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Odlučujući smrtni udarac kalifatu je zadao </w:t>
      </w:r>
      <w:r>
        <w:rPr>
          <w:rFonts w:ascii="Times New Roman" w:eastAsia="Times New Roman" w:hAnsi="Times New Roman" w:cs="Times New Roman"/>
          <w:i/>
          <w:iCs/>
          <w:color w:val="000000"/>
          <w:spacing w:val="0"/>
          <w:w w:val="100"/>
          <w:position w:val="0"/>
          <w:shd w:val="clear" w:color="auto" w:fill="auto"/>
          <w:lang w:val="en-US" w:eastAsia="en-US" w:bidi="en-US"/>
        </w:rPr>
        <w:t>Mustafa Kemal Ataturk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1938), revolucionar i prvi predsjednik Republike Turske, kada je</w:t>
      </w:r>
    </w:p>
    <w:p>
      <w:pPr>
        <w:pStyle w:val="Style20"/>
        <w:keepNext w:val="0"/>
        <w:keepLines w:val="0"/>
        <w:widowControl w:val="0"/>
        <w:numPr>
          <w:ilvl w:val="0"/>
          <w:numId w:val="223"/>
        </w:numPr>
        <w:shd w:val="clear" w:color="auto" w:fill="auto"/>
        <w:tabs>
          <w:tab w:pos="241" w:val="left"/>
        </w:tabs>
        <w:bidi w:val="0"/>
        <w:spacing w:before="0" w:after="38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ožujka 1924. na nacionalnom skupu u An- kari proglasio kalifat ukinutim. Od tada je bi</w:t>
        <w:softHyphen/>
        <w:t>lo više pokušaja oživljavanja neke zamjenske institucije koja bi pred svijetom trebala zastu</w:t>
        <w:softHyphen/>
      </w:r>
      <w:r>
        <w:rPr>
          <w:rFonts w:ascii="Times New Roman" w:eastAsia="Times New Roman" w:hAnsi="Times New Roman" w:cs="Times New Roman"/>
          <w:color w:val="000000"/>
          <w:spacing w:val="0"/>
          <w:w w:val="100"/>
          <w:position w:val="0"/>
          <w:shd w:val="clear" w:color="auto" w:fill="auto"/>
          <w:lang w:val="hr-HR" w:eastAsia="hr-HR" w:bidi="hr-HR"/>
        </w:rPr>
        <w:t>pati cjelokupni islam. Vidljivo svjedočanstvo tih pokušaja predstavlja osnivanje Svjetskoga muslimanskoga kongresa (1927) s prvobitnim sjedištem u Jeruzalemu (sada u Karačiju), Svjetske islamske lige (1962) u Meki i Tajništva konferencije ministara vanjskih poslova mus</w:t>
        <w:softHyphen/>
        <w:t xml:space="preserve">limanskih država u Džedi (1973). s. </w:t>
      </w:r>
      <w:r>
        <w:rPr>
          <w:rFonts w:ascii="Times New Roman" w:eastAsia="Times New Roman" w:hAnsi="Times New Roman" w:cs="Times New Roman"/>
          <w:smallCaps/>
          <w:color w:val="000000"/>
          <w:spacing w:val="0"/>
          <w:w w:val="100"/>
          <w:position w:val="0"/>
          <w:shd w:val="clear" w:color="auto" w:fill="auto"/>
          <w:lang w:val="hr-HR" w:eastAsia="hr-HR" w:bidi="hr-HR"/>
        </w:rPr>
        <w:t>haijć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KANON</w:t>
      </w:r>
    </w:p>
    <w:p>
      <w:pPr>
        <w:pStyle w:val="Style63"/>
        <w:keepNext/>
        <w:keepLines/>
        <w:widowControl w:val="0"/>
        <w:numPr>
          <w:ilvl w:val="0"/>
          <w:numId w:val="225"/>
        </w:numPr>
        <w:shd w:val="clear" w:color="auto" w:fill="auto"/>
        <w:tabs>
          <w:tab w:pos="246" w:val="left"/>
        </w:tabs>
        <w:bidi w:val="0"/>
        <w:spacing w:before="0" w:after="100" w:line="223" w:lineRule="auto"/>
        <w:ind w:left="0" w:right="0" w:firstLine="0"/>
        <w:jc w:val="both"/>
      </w:pPr>
      <w:bookmarkStart w:id="153" w:name="bookmark153"/>
      <w:r>
        <w:rPr>
          <w:rFonts w:ascii="Times New Roman" w:eastAsia="Times New Roman" w:hAnsi="Times New Roman" w:cs="Times New Roman"/>
          <w:color w:val="000000"/>
          <w:spacing w:val="0"/>
          <w:w w:val="100"/>
          <w:position w:val="0"/>
          <w:shd w:val="clear" w:color="auto" w:fill="auto"/>
          <w:lang w:val="hr-HR" w:eastAsia="hr-HR" w:bidi="hr-HR"/>
        </w:rPr>
        <w:t>židovski</w:t>
      </w:r>
      <w:bookmarkEnd w:id="15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»Kanonom« u smislu norme, prema kojoj se ravna sve u Crkvi, nazivaju se od sredine IV. stoljeća sabrani spisi »Stari zavjet« i »Novi za</w:t>
        <w:softHyphen/>
        <w:t xml:space="preserve">vjet« (Koncil u Laodiceji oko 360. u </w:t>
      </w:r>
      <w:r>
        <w:rPr>
          <w:rFonts w:ascii="Times New Roman" w:eastAsia="Times New Roman" w:hAnsi="Times New Roman" w:cs="Times New Roman"/>
          <w:color w:val="000000"/>
          <w:spacing w:val="0"/>
          <w:w w:val="100"/>
          <w:position w:val="0"/>
          <w:shd w:val="clear" w:color="auto" w:fill="auto"/>
          <w:lang w:val="en-US" w:eastAsia="en-US" w:bidi="en-US"/>
        </w:rPr>
        <w:t xml:space="preserve">can. </w:t>
      </w:r>
      <w:r>
        <w:rPr>
          <w:rFonts w:ascii="Times New Roman" w:eastAsia="Times New Roman" w:hAnsi="Times New Roman" w:cs="Times New Roman"/>
          <w:color w:val="000000"/>
          <w:spacing w:val="0"/>
          <w:w w:val="100"/>
          <w:position w:val="0"/>
          <w:shd w:val="clear" w:color="auto" w:fill="auto"/>
          <w:lang w:val="hr-HR" w:eastAsia="hr-HR" w:bidi="hr-HR"/>
        </w:rPr>
        <w:t xml:space="preserve">59; Atanazije,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decretis </w:t>
      </w:r>
      <w:r>
        <w:rPr>
          <w:rFonts w:ascii="Times New Roman" w:eastAsia="Times New Roman" w:hAnsi="Times New Roman" w:cs="Times New Roman"/>
          <w:i/>
          <w:iCs/>
          <w:color w:val="000000"/>
          <w:spacing w:val="0"/>
          <w:w w:val="100"/>
          <w:position w:val="0"/>
          <w:shd w:val="clear" w:color="auto" w:fill="auto"/>
          <w:lang w:val="en-US" w:eastAsia="en-US" w:bidi="en-US"/>
        </w:rPr>
        <w:t>Nicaenae synodi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18,3, na</w:t>
        <w:softHyphen/>
        <w:t xml:space="preserve">kon 350. Latinaši su proveli izjednačenje </w:t>
      </w:r>
      <w:r>
        <w:rPr>
          <w:rFonts w:ascii="Times New Roman" w:eastAsia="Times New Roman" w:hAnsi="Times New Roman" w:cs="Times New Roman"/>
          <w:i/>
          <w:iCs/>
          <w:color w:val="000000"/>
          <w:spacing w:val="0"/>
          <w:w w:val="100"/>
          <w:position w:val="0"/>
          <w:shd w:val="clear" w:color="auto" w:fill="auto"/>
          <w:lang w:val="hr-HR" w:eastAsia="hr-HR" w:bidi="hr-HR"/>
        </w:rPr>
        <w:t>Bib</w:t>
        <w:softHyphen/>
        <w:t>lije</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canona).</w:t>
      </w:r>
      <w:r>
        <w:rPr>
          <w:rFonts w:ascii="Times New Roman" w:eastAsia="Times New Roman" w:hAnsi="Times New Roman" w:cs="Times New Roman"/>
          <w:color w:val="000000"/>
          <w:spacing w:val="0"/>
          <w:w w:val="100"/>
          <w:position w:val="0"/>
          <w:shd w:val="clear" w:color="auto" w:fill="auto"/>
          <w:lang w:val="hr-HR" w:eastAsia="hr-HR" w:bidi="hr-HR"/>
        </w:rPr>
        <w:t xml:space="preserve"> Stariji su rabinski nazivi »sveti spisi« ili »sveti spis« (»Sveto pismo«) za he</w:t>
        <w:softHyphen/>
        <w:t xml:space="preserve">brejsku Bibliju (M Jadajim 111,5; Sabat XVI,1; usp. Filon Aleksandrijski,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 </w:t>
      </w:r>
      <w:r>
        <w:rPr>
          <w:rFonts w:ascii="Times New Roman" w:eastAsia="Times New Roman" w:hAnsi="Times New Roman" w:cs="Times New Roman"/>
          <w:i/>
          <w:iCs/>
          <w:color w:val="000000"/>
          <w:spacing w:val="0"/>
          <w:w w:val="100"/>
          <w:position w:val="0"/>
          <w:shd w:val="clear" w:color="auto" w:fill="auto"/>
          <w:lang w:val="hr-HR" w:eastAsia="hr-HR" w:bidi="hr-HR"/>
        </w:rPr>
        <w:t>Vita Mosis</w:t>
      </w:r>
      <w:r>
        <w:rPr>
          <w:rFonts w:ascii="Times New Roman" w:eastAsia="Times New Roman" w:hAnsi="Times New Roman" w:cs="Times New Roman"/>
          <w:color w:val="000000"/>
          <w:spacing w:val="0"/>
          <w:w w:val="100"/>
          <w:position w:val="0"/>
          <w:shd w:val="clear" w:color="auto" w:fill="auto"/>
          <w:lang w:val="hr-HR" w:eastAsia="hr-HR" w:bidi="hr-HR"/>
        </w:rPr>
        <w:t xml:space="preserve"> I § 23, II § 290;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Antiquitales </w:t>
      </w:r>
      <w:r>
        <w:rPr>
          <w:rFonts w:ascii="Times New Roman" w:eastAsia="Times New Roman" w:hAnsi="Times New Roman" w:cs="Times New Roman"/>
          <w:i/>
          <w:iCs/>
          <w:color w:val="000000"/>
          <w:spacing w:val="0"/>
          <w:w w:val="100"/>
          <w:position w:val="0"/>
          <w:shd w:val="clear" w:color="auto" w:fill="auto"/>
          <w:lang w:val="hr-HR" w:eastAsia="hr-HR" w:bidi="hr-HR"/>
        </w:rPr>
        <w:t>XX, 12,1).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i/>
          <w:iCs/>
          <w:color w:val="000000"/>
          <w:spacing w:val="0"/>
          <w:w w:val="100"/>
          <w:position w:val="0"/>
          <w:shd w:val="clear" w:color="auto" w:fill="auto"/>
          <w:lang w:val="hr-HR" w:eastAsia="hr-HR" w:bidi="hr-HR"/>
        </w:rPr>
        <w:t>tradicionalnom</w:t>
      </w:r>
      <w:r>
        <w:rPr>
          <w:rFonts w:ascii="Times New Roman" w:eastAsia="Times New Roman" w:hAnsi="Times New Roman" w:cs="Times New Roman"/>
          <w:color w:val="000000"/>
          <w:spacing w:val="0"/>
          <w:w w:val="100"/>
          <w:position w:val="0"/>
          <w:shd w:val="clear" w:color="auto" w:fill="auto"/>
          <w:lang w:val="hr-HR" w:eastAsia="hr-HR" w:bidi="hr-HR"/>
        </w:rPr>
        <w:t xml:space="preserve"> shvaćanju, nastanak ka</w:t>
        <w:softHyphen/>
        <w:t xml:space="preserve">nona (b Bava batra 14b-15a;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1,8) pripisuje se Mojsiju kao najstarijem autoru, Ezri kao piscu kasnijih knjiga, pa je time označena donja granica svršetka kanona u doba Artakserksa I. (465-424). Ezri se pripisuje (novo) stvaranje kanona od dva</w:t>
        <w:softHyphen/>
        <w:t xml:space="preserve">deset i četiri knjige (IV Ezr 14,18-48), koji se u rabinskoj literaturi stoga zove »dvadeset i četiri knjige« </w:t>
      </w:r>
      <w:r>
        <w:rPr>
          <w:rFonts w:ascii="Times New Roman" w:eastAsia="Times New Roman" w:hAnsi="Times New Roman" w:cs="Times New Roman"/>
          <w:i/>
          <w:iCs/>
          <w:color w:val="000000"/>
          <w:spacing w:val="0"/>
          <w:w w:val="100"/>
          <w:position w:val="0"/>
          <w:shd w:val="clear" w:color="auto" w:fill="auto"/>
          <w:lang w:val="hr-HR" w:eastAsia="hr-HR" w:bidi="hr-HR"/>
        </w:rPr>
        <w:t>(Esrim ve-arba'a sefarim)</w:t>
      </w:r>
      <w:r>
        <w:rPr>
          <w:rFonts w:ascii="Times New Roman" w:eastAsia="Times New Roman" w:hAnsi="Times New Roman" w:cs="Times New Roman"/>
          <w:color w:val="000000"/>
          <w:spacing w:val="0"/>
          <w:w w:val="100"/>
          <w:position w:val="0"/>
          <w:shd w:val="clear" w:color="auto" w:fill="auto"/>
          <w:lang w:val="hr-HR" w:eastAsia="hr-HR" w:bidi="hr-HR"/>
        </w:rPr>
        <w:t xml:space="preserve"> (Sir ha-širim IV.ll; </w:t>
      </w:r>
      <w:r>
        <w:rPr>
          <w:rFonts w:ascii="Times New Roman" w:eastAsia="Times New Roman" w:hAnsi="Times New Roman" w:cs="Times New Roman"/>
          <w:color w:val="000000"/>
          <w:spacing w:val="0"/>
          <w:w w:val="100"/>
          <w:position w:val="0"/>
          <w:shd w:val="clear" w:color="auto" w:fill="auto"/>
          <w:lang w:val="en-US" w:eastAsia="en-US" w:bidi="en-US"/>
        </w:rPr>
        <w:t xml:space="preserve">Kohclet </w:t>
      </w:r>
      <w:r>
        <w:rPr>
          <w:rFonts w:ascii="Times New Roman" w:eastAsia="Times New Roman" w:hAnsi="Times New Roman" w:cs="Times New Roman"/>
          <w:color w:val="000000"/>
          <w:spacing w:val="0"/>
          <w:w w:val="100"/>
          <w:position w:val="0"/>
          <w:shd w:val="clear" w:color="auto" w:fill="auto"/>
          <w:lang w:val="hr-HR" w:eastAsia="hr-HR" w:bidi="hr-HR"/>
        </w:rPr>
        <w:t>XII,11.12; b Taanit 8a).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tradiciji kao povijesnoj jezgri, o kojoj svje</w:t>
        <w:softHyphen/>
        <w:t xml:space="preserve">doči Josip Flavije i IV Ezr, </w:t>
      </w:r>
      <w:r>
        <w:rPr>
          <w:rFonts w:ascii="Times New Roman" w:eastAsia="Times New Roman" w:hAnsi="Times New Roman" w:cs="Times New Roman"/>
          <w:i/>
          <w:iCs/>
          <w:color w:val="000000"/>
          <w:spacing w:val="0"/>
          <w:w w:val="100"/>
          <w:position w:val="0"/>
          <w:shd w:val="clear" w:color="auto" w:fill="auto"/>
          <w:lang w:val="hr-HR" w:eastAsia="hr-HR" w:bidi="hr-HR"/>
        </w:rPr>
        <w:t>kritičko</w:t>
      </w:r>
      <w:r>
        <w:rPr>
          <w:rFonts w:ascii="Times New Roman" w:eastAsia="Times New Roman" w:hAnsi="Times New Roman" w:cs="Times New Roman"/>
          <w:color w:val="000000"/>
          <w:spacing w:val="0"/>
          <w:w w:val="100"/>
          <w:position w:val="0"/>
          <w:shd w:val="clear" w:color="auto" w:fill="auto"/>
          <w:lang w:val="hr-HR" w:eastAsia="hr-HR" w:bidi="hr-HR"/>
        </w:rPr>
        <w:t xml:space="preserve"> gledanje može se vidjeti, u najboljem slučaju, u odnosu na Petoknjižje, dok su druge knjige hebrejske Biblije nastale tek dugo nakon Ezrina doba (npr. Dn u doba </w:t>
      </w:r>
      <w:r>
        <w:rPr>
          <w:rFonts w:ascii="Times New Roman" w:eastAsia="Times New Roman" w:hAnsi="Times New Roman" w:cs="Times New Roman"/>
          <w:color w:val="000000"/>
          <w:spacing w:val="0"/>
          <w:w w:val="100"/>
          <w:position w:val="0"/>
          <w:shd w:val="clear" w:color="auto" w:fill="auto"/>
          <w:lang w:val="en-US" w:eastAsia="en-US" w:bidi="en-US"/>
        </w:rPr>
        <w:t xml:space="preserve">Antioha </w:t>
      </w:r>
      <w:r>
        <w:rPr>
          <w:rFonts w:ascii="Times New Roman" w:eastAsia="Times New Roman" w:hAnsi="Times New Roman" w:cs="Times New Roman"/>
          <w:color w:val="000000"/>
          <w:spacing w:val="0"/>
          <w:w w:val="100"/>
          <w:position w:val="0"/>
          <w:shd w:val="clear" w:color="auto" w:fill="auto"/>
          <w:lang w:val="hr-HR" w:eastAsia="hr-HR" w:bidi="hr-HR"/>
        </w:rPr>
        <w:t>IV. Epifana oko 164). Tek od početka II. stoljeća pos. Kr. može se govoriti o kanonu kao završenom doku</w:t>
        <w:softHyphen/>
        <w:t>mentu objave, koji u židovstvu ima autorita</w:t>
        <w:softHyphen/>
        <w:t>tivnu važnost.</w:t>
      </w:r>
    </w:p>
    <w:p>
      <w:pPr>
        <w:pStyle w:val="Style20"/>
        <w:keepNext w:val="0"/>
        <w:keepLines w:val="0"/>
        <w:widowControl w:val="0"/>
        <w:shd w:val="clear" w:color="auto" w:fill="auto"/>
        <w:bidi w:val="0"/>
        <w:spacing w:before="0" w:after="0"/>
        <w:ind w:left="0" w:right="0" w:firstLine="0"/>
        <w:jc w:val="both"/>
        <w:sectPr>
          <w:headerReference w:type="default" r:id="rId607"/>
          <w:footerReference w:type="default" r:id="rId608"/>
          <w:headerReference w:type="even" r:id="rId609"/>
          <w:footerReference w:type="even" r:id="rId610"/>
          <w:headerReference w:type="first" r:id="rId611"/>
          <w:footerReference w:type="first" r:id="rId612"/>
          <w:footnotePr>
            <w:pos w:val="pageBottom"/>
            <w:numFmt w:val="decimal"/>
            <w:numStart w:val="5"/>
            <w:numRestart w:val="continuous"/>
            <w15:footnoteColumns w:val="1"/>
          </w:footnotePr>
          <w:pgSz w:w="6816" w:h="11006"/>
          <w:pgMar w:top="987" w:left="169" w:right="172" w:bottom="443" w:header="0" w:footer="3" w:gutter="0"/>
          <w:cols w:num="2" w:space="15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Stvaranje kanona,</w:t>
      </w:r>
      <w:r>
        <w:rPr>
          <w:rFonts w:ascii="Times New Roman" w:eastAsia="Times New Roman" w:hAnsi="Times New Roman" w:cs="Times New Roman"/>
          <w:color w:val="000000"/>
          <w:spacing w:val="0"/>
          <w:w w:val="100"/>
          <w:position w:val="0"/>
          <w:shd w:val="clear" w:color="auto" w:fill="auto"/>
          <w:lang w:val="hr-HR" w:eastAsia="hr-HR" w:bidi="hr-HR"/>
        </w:rPr>
        <w:t xml:space="preserve"> koje je naposljetku utvrdilo osnovu predaje i koje je u »formativnom raz</w:t>
        <w:softHyphen/>
        <w:t>doblju« u Javneu (Jamniji) razgraničilo obnov</w:t>
        <w:softHyphen/>
        <w:t>ljeno židovstvo od apokaliptičkih zahtjeva, pro</w:t>
        <w:softHyphen/>
        <w:t>teže se na nekoliko stoljeća. Trodiobu he</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brejske Biblije s nazivima za prva dva dijela nalazimo već u pretkršćansko doba kada se već pomalo iskristalizirao općepriznati naziv za knjige trećega dijela (Sir, Proslov V.3: 2 Mak 2,13; Josip Flavijc,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1,8). Oko 90. pos. Kr. raban </w:t>
      </w: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 xml:space="preserve">II. prvi put spominje tri naziva - Tora, Nevi’im, Ketuvim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90b) - koji se otada općenito rabe (b Megila 21b;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19b; Ketubot 50a; Bcrešit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LXV1II, </w:t>
      </w:r>
      <w:r>
        <w:rPr>
          <w:rFonts w:ascii="Times New Roman" w:eastAsia="Times New Roman" w:hAnsi="Times New Roman" w:cs="Times New Roman"/>
          <w:color w:val="000000"/>
          <w:spacing w:val="0"/>
          <w:w w:val="100"/>
          <w:position w:val="0"/>
          <w:shd w:val="clear" w:color="auto" w:fill="auto"/>
          <w:lang w:val="hr-HR" w:eastAsia="hr-HR" w:bidi="hr-HR"/>
        </w:rPr>
        <w:t>28,10). Oni poka</w:t>
        <w:softHyphen/>
        <w:t>zuju nastanak kanona od pojedinih dijelova. Proces je počeo od Petoknjižja; deuteronom- sko-deuteronomističko izjednačenje Tore s pi</w:t>
        <w:softHyphen/>
        <w:t xml:space="preserve">sanom knjigom (Pnz 1,5; 4,8.44; 27,3.8) uvelo je taj proces i poticalo ga. Samarijanski raskol daje termin </w:t>
      </w:r>
      <w:r>
        <w:rPr>
          <w:rFonts w:ascii="Times New Roman" w:eastAsia="Times New Roman" w:hAnsi="Times New Roman" w:cs="Times New Roman"/>
          <w:i/>
          <w:iCs/>
          <w:color w:val="000000"/>
          <w:spacing w:val="0"/>
          <w:w w:val="100"/>
          <w:position w:val="0"/>
          <w:shd w:val="clear" w:color="auto" w:fill="auto"/>
          <w:lang w:val="en-US" w:eastAsia="en-US" w:bidi="en-US"/>
        </w:rPr>
        <w:t xml:space="preserve">ad </w:t>
      </w:r>
      <w:r>
        <w:rPr>
          <w:rFonts w:ascii="Times New Roman" w:eastAsia="Times New Roman" w:hAnsi="Times New Roman" w:cs="Times New Roman"/>
          <w:i/>
          <w:iCs/>
          <w:color w:val="000000"/>
          <w:spacing w:val="0"/>
          <w:w w:val="100"/>
          <w:position w:val="0"/>
          <w:shd w:val="clear" w:color="auto" w:fill="auto"/>
          <w:lang w:val="hr-HR" w:eastAsia="hr-HR" w:bidi="hr-HR"/>
        </w:rPr>
        <w:t>quem</w:t>
      </w:r>
      <w:r>
        <w:rPr>
          <w:rFonts w:ascii="Times New Roman" w:eastAsia="Times New Roman" w:hAnsi="Times New Roman" w:cs="Times New Roman"/>
          <w:color w:val="000000"/>
          <w:spacing w:val="0"/>
          <w:w w:val="100"/>
          <w:position w:val="0"/>
          <w:shd w:val="clear" w:color="auto" w:fill="auto"/>
          <w:lang w:val="hr-HR" w:eastAsia="hr-HR" w:bidi="hr-HR"/>
        </w:rPr>
        <w:t xml:space="preserve"> za kraj prvoga dijela ka</w:t>
        <w:softHyphen/>
        <w:t xml:space="preserve">nona (Tora, »Nauk«, »Zakon«). Drugi dio (Nevi’im, »Proroci«) prihvaća se kao završen zbog pridodanih mu knjiga oko 200. pr. Kr.: prema Isusu Sirahu (oko 190) obuhvaćeni su zajedno </w:t>
      </w:r>
      <w:r>
        <w:rPr>
          <w:rFonts w:ascii="Times New Roman" w:eastAsia="Times New Roman" w:hAnsi="Times New Roman" w:cs="Times New Roman"/>
          <w:color w:val="000000"/>
          <w:spacing w:val="0"/>
          <w:w w:val="100"/>
          <w:position w:val="0"/>
          <w:shd w:val="clear" w:color="auto" w:fill="auto"/>
          <w:lang w:val="en-US" w:eastAsia="en-US" w:bidi="en-US"/>
        </w:rPr>
        <w:t xml:space="preserve">Izaija, </w:t>
      </w:r>
      <w:r>
        <w:rPr>
          <w:rFonts w:ascii="Times New Roman" w:eastAsia="Times New Roman" w:hAnsi="Times New Roman" w:cs="Times New Roman"/>
          <w:color w:val="000000"/>
          <w:spacing w:val="0"/>
          <w:w w:val="100"/>
          <w:position w:val="0"/>
          <w:shd w:val="clear" w:color="auto" w:fill="auto"/>
          <w:lang w:val="hr-HR" w:eastAsia="hr-HR" w:bidi="hr-HR"/>
        </w:rPr>
        <w:t xml:space="preserve">Jeremija,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i dvanaest proroka (48,22-49,12); potkraj II. stoljeća pr. Kr. dokazano je da je proročka zbirka sabra</w:t>
        <w:softHyphen/>
        <w:t xml:space="preserve">na, osim iz proročkih, iz povijesnih knjiga (2 Mak 2,13) čiji prvobitni redoslijed - Jošua, Suci,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Kraljevi - proizlazi iz jedne </w:t>
      </w:r>
      <w:r>
        <w:rPr>
          <w:rFonts w:ascii="Times New Roman" w:eastAsia="Times New Roman" w:hAnsi="Times New Roman" w:cs="Times New Roman"/>
          <w:i/>
          <w:iCs/>
          <w:color w:val="000000"/>
          <w:spacing w:val="0"/>
          <w:w w:val="100"/>
          <w:position w:val="0"/>
          <w:shd w:val="clear" w:color="auto" w:fill="auto"/>
          <w:lang w:val="hr-HR" w:eastAsia="hr-HR" w:bidi="hr-HR"/>
        </w:rPr>
        <w:t>be- rajte</w:t>
      </w:r>
      <w:r>
        <w:rPr>
          <w:rFonts w:ascii="Times New Roman" w:eastAsia="Times New Roman" w:hAnsi="Times New Roman" w:cs="Times New Roman"/>
          <w:color w:val="000000"/>
          <w:spacing w:val="0"/>
          <w:w w:val="100"/>
          <w:position w:val="0"/>
          <w:shd w:val="clear" w:color="auto" w:fill="auto"/>
          <w:lang w:val="hr-HR" w:eastAsia="hr-HR" w:bidi="hr-HR"/>
        </w:rPr>
        <w:t xml:space="preserve"> (b Bava batra 14b). Bogoslužno čitanje Tore i Proroka jačalo je njihovu kanonsku vri</w:t>
        <w:softHyphen/>
        <w:t>jednost u odnosu na knjige trećega dijela ka</w:t>
        <w:softHyphen/>
        <w:t>nona (Ketuvint, »Spisi«), Od njih su Psalmi, koji su postali sastavnim dijelom liturgije, stekli prvi kanonski ugled (b Bcrahot 57b). Jedanaest rabinskih »Spisa« (b Bava batra 14b; usp. Sir-Proslov) nije prvobitno činio cje</w:t>
        <w:softHyphen/>
        <w:t xml:space="preserve">linu; Rut i Tuž bile su dodaci Sucima i Jr i ubrajale su se među »Proroke« (Sir 46,9-47,18; 48,22-49,12; Scptuaginta /red/; Josip Flavijc,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1,8; usp. autorska predaja u b Bava batra 14b-15a). Izbor kanonskih knjiga, ako ne i njihov raspored, dovršen je uglavnom u I. stoljeću pos. Kr.: o tome svjedoče brojčani podaci iz toga vremena (Josip Flavijc, op. cit., oko 95: 22; IV Ezr 14,18-48, nakon 70: 24 knjige) koji odgovaraju današnjem opsegu ka</w:t>
        <w:softHyphen/>
        <w:t>nona uključivo treći dio. Međutim, kanonstvo nekih knjiga uvrštenih u »Spise« ostaje spor</w:t>
        <w:softHyphen/>
        <w:t xml:space="preserve">no do talmudskoga razdoblja (u vezi s Pj i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usp. Jadajim III,5; u vezi s lzr b Sabat 30b; u vezi s Est b Megila 7a). Kanonski dig</w:t>
        <w:softHyphen/>
        <w:t>nitet knjige odražava često ponavljani izričaj da dotična knjiga onečišćuje ruke (M Edujot V,3; Jadajim 111,5.2; b Megila 7a; Sabat 13b.</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14a). U svojstvu kanona hebrejska Biblija je element ustrajnosti koja uvijek potiče na raz</w:t>
        <w:softHyphen/>
        <w:t>mišljanje i istraživanje; međutim, ona je tako</w:t>
        <w:softHyphen/>
        <w:t>đer faktor napretka, koja svojom stvaralačkom snagom djeluje na revne slušatelje i čitatelje svakoga doba te se izražava biblijskim jezič</w:t>
        <w:softHyphen/>
        <w:t>nim stilom, svojstvenim svim dijelovima kano</w:t>
        <w:softHyphen/>
        <w:t xml:space="preserve">na. - Spisi koji prema rabinskom sudu nisu prihvaćeni u k. smatraju se »izvankanonskim knjigama«, </w:t>
      </w:r>
      <w:r>
        <w:rPr>
          <w:rFonts w:ascii="Times New Roman" w:eastAsia="Times New Roman" w:hAnsi="Times New Roman" w:cs="Times New Roman"/>
          <w:i/>
          <w:iCs/>
          <w:color w:val="000000"/>
          <w:spacing w:val="0"/>
          <w:w w:val="100"/>
          <w:position w:val="0"/>
          <w:shd w:val="clear" w:color="auto" w:fill="auto"/>
          <w:lang w:val="hr-HR" w:eastAsia="hr-HR" w:bidi="hr-HR"/>
        </w:rPr>
        <w:t>sefarim hiconim</w:t>
      </w:r>
      <w:r>
        <w:rPr>
          <w:rFonts w:ascii="Times New Roman" w:eastAsia="Times New Roman" w:hAnsi="Times New Roman" w:cs="Times New Roman"/>
          <w:color w:val="000000"/>
          <w:spacing w:val="0"/>
          <w:w w:val="100"/>
          <w:position w:val="0"/>
          <w:shd w:val="clear" w:color="auto" w:fill="auto"/>
          <w:lang w:val="hr-HR" w:eastAsia="hr-HR" w:bidi="hr-HR"/>
        </w:rPr>
        <w:t xml:space="preserve">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X,l; b 100b). Osim kanona hebrejske Biblije, o čijem su obliku odlučivali rabini, sačuvana je druga verzija kanona iz Septuaginte i predaje koju zastupaju kumranski spisi; rukopisi Sep</w:t>
        <w:softHyphen/>
        <w:t>tuaginte razlikuju se brojem knjiga i njihovim poretkom i time vjerojatno odražavaju starije židovske predaje.</w:t>
      </w:r>
    </w:p>
    <w:p>
      <w:pPr>
        <w:pStyle w:val="Style56"/>
        <w:keepNext w:val="0"/>
        <w:keepLines w:val="0"/>
        <w:widowControl w:val="0"/>
        <w:shd w:val="clear" w:color="auto" w:fill="auto"/>
        <w:tabs>
          <w:tab w:pos="2438" w:val="left"/>
        </w:tabs>
        <w:bidi w:val="0"/>
        <w:spacing w:before="0" w:after="26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II. L. Strack/P. Billcrbcck, </w:t>
      </w:r>
      <w:r>
        <w:rPr>
          <w:i/>
          <w:iCs/>
          <w:color w:val="000000"/>
          <w:spacing w:val="0"/>
          <w:w w:val="100"/>
          <w:position w:val="0"/>
          <w:shd w:val="clear" w:color="auto" w:fill="auto"/>
          <w:lang w:val="hr-HR" w:eastAsia="hr-HR" w:bidi="hr-HR"/>
        </w:rPr>
        <w:t xml:space="preserve">Kommentar </w:t>
      </w:r>
      <w:r>
        <w:rPr>
          <w:i/>
          <w:iCs/>
          <w:color w:val="000000"/>
          <w:spacing w:val="0"/>
          <w:w w:val="100"/>
          <w:position w:val="0"/>
          <w:shd w:val="clear" w:color="auto" w:fill="auto"/>
        </w:rPr>
        <w:t xml:space="preserve">zurn </w:t>
      </w:r>
      <w:r>
        <w:rPr>
          <w:i/>
          <w:iCs/>
          <w:color w:val="000000"/>
          <w:spacing w:val="0"/>
          <w:w w:val="100"/>
          <w:position w:val="0"/>
          <w:shd w:val="clear" w:color="auto" w:fill="auto"/>
          <w:lang w:val="hr-HR" w:eastAsia="hr-HR" w:bidi="hr-HR"/>
        </w:rPr>
        <w:t>Neuen Tes</w:t>
        <w:softHyphen/>
        <w:t xml:space="preserve">tament aus </w:t>
      </w:r>
      <w:r>
        <w:rPr>
          <w:i/>
          <w:iCs/>
          <w:color w:val="000000"/>
          <w:spacing w:val="0"/>
          <w:w w:val="100"/>
          <w:position w:val="0"/>
          <w:shd w:val="clear" w:color="auto" w:fill="auto"/>
        </w:rPr>
        <w:t xml:space="preserve">Talmud </w:t>
      </w:r>
      <w:r>
        <w:rPr>
          <w:i/>
          <w:iCs/>
          <w:color w:val="000000"/>
          <w:spacing w:val="0"/>
          <w:w w:val="100"/>
          <w:position w:val="0"/>
          <w:shd w:val="clear" w:color="auto" w:fill="auto"/>
          <w:lang w:val="hr-HR" w:eastAsia="hr-HR" w:bidi="hr-HR"/>
        </w:rPr>
        <w:t>und Midrasch</w:t>
      </w:r>
      <w:r>
        <w:rPr>
          <w:color w:val="000000"/>
          <w:spacing w:val="0"/>
          <w:w w:val="100"/>
          <w:position w:val="0"/>
          <w:shd w:val="clear" w:color="auto" w:fill="auto"/>
          <w:lang w:val="hr-HR" w:eastAsia="hr-HR" w:bidi="hr-HR"/>
        </w:rPr>
        <w:t xml:space="preserve"> 1V. 1, 1928, 1975, 415-51; </w:t>
      </w:r>
      <w:r>
        <w:rPr>
          <w:i/>
          <w:iCs/>
          <w:color w:val="000000"/>
          <w:spacing w:val="0"/>
          <w:w w:val="100"/>
          <w:position w:val="0"/>
          <w:shd w:val="clear" w:color="auto" w:fill="auto"/>
          <w:lang w:val="hr-HR" w:eastAsia="hr-HR" w:bidi="hr-HR"/>
        </w:rPr>
        <w:t xml:space="preserve">Theologisches </w:t>
      </w:r>
      <w:r>
        <w:rPr>
          <w:i/>
          <w:iCs/>
          <w:color w:val="000000"/>
          <w:spacing w:val="0"/>
          <w:w w:val="100"/>
          <w:position w:val="0"/>
          <w:shd w:val="clear" w:color="auto" w:fill="auto"/>
        </w:rPr>
        <w:t xml:space="preserve">Worterbuch </w:t>
      </w:r>
      <w:r>
        <w:rPr>
          <w:i/>
          <w:iCs/>
          <w:color w:val="000000"/>
          <w:spacing w:val="0"/>
          <w:w w:val="100"/>
          <w:position w:val="0"/>
          <w:shd w:val="clear" w:color="auto" w:fill="auto"/>
          <w:lang w:val="hr-HR" w:eastAsia="hr-HR" w:bidi="hr-HR"/>
        </w:rPr>
        <w:t>zum Neuen Testament</w:t>
      </w:r>
      <w:r>
        <w:rPr>
          <w:color w:val="000000"/>
          <w:spacing w:val="0"/>
          <w:w w:val="100"/>
          <w:position w:val="0"/>
          <w:shd w:val="clear" w:color="auto" w:fill="auto"/>
          <w:lang w:val="hr-HR" w:eastAsia="hr-HR" w:bidi="hr-HR"/>
        </w:rPr>
        <w:t xml:space="preserve"> (Hrsg G. </w:t>
      </w:r>
      <w:r>
        <w:rPr>
          <w:color w:val="000000"/>
          <w:spacing w:val="0"/>
          <w:w w:val="100"/>
          <w:position w:val="0"/>
          <w:shd w:val="clear" w:color="auto" w:fill="auto"/>
        </w:rPr>
        <w:t xml:space="preserve">Kittel) </w:t>
      </w:r>
      <w:r>
        <w:rPr>
          <w:color w:val="000000"/>
          <w:spacing w:val="0"/>
          <w:w w:val="100"/>
          <w:position w:val="0"/>
          <w:shd w:val="clear" w:color="auto" w:fill="auto"/>
          <w:lang w:val="hr-HR" w:eastAsia="hr-HR" w:bidi="hr-HR"/>
        </w:rPr>
        <w:t xml:space="preserve">111, 1938. 1957, 979-87; O. </w:t>
      </w:r>
      <w:r>
        <w:rPr>
          <w:color w:val="000000"/>
          <w:spacing w:val="0"/>
          <w:w w:val="100"/>
          <w:position w:val="0"/>
          <w:shd w:val="clear" w:color="auto" w:fill="auto"/>
        </w:rPr>
        <w:t xml:space="preserve">Kaiser, </w:t>
      </w:r>
      <w:r>
        <w:rPr>
          <w:i/>
          <w:iCs/>
          <w:color w:val="000000"/>
          <w:spacing w:val="0"/>
          <w:w w:val="100"/>
          <w:position w:val="0"/>
          <w:shd w:val="clear" w:color="auto" w:fill="auto"/>
        </w:rPr>
        <w:t xml:space="preserve">Einleitung in das </w:t>
      </w:r>
      <w:r>
        <w:rPr>
          <w:i/>
          <w:iCs/>
          <w:color w:val="000000"/>
          <w:spacing w:val="0"/>
          <w:w w:val="100"/>
          <w:position w:val="0"/>
          <w:shd w:val="clear" w:color="auto" w:fill="auto"/>
          <w:lang w:val="hr-HR" w:eastAsia="hr-HR" w:bidi="hr-HR"/>
        </w:rPr>
        <w:t>Alte Testament,</w:t>
      </w:r>
      <w:r>
        <w:rPr>
          <w:color w:val="000000"/>
          <w:spacing w:val="0"/>
          <w:w w:val="100"/>
          <w:position w:val="0"/>
          <w:shd w:val="clear" w:color="auto" w:fill="auto"/>
          <w:lang w:val="hr-HR" w:eastAsia="hr-HR" w:bidi="hr-HR"/>
        </w:rPr>
        <w:t xml:space="preserve"> *1975, 365-72; R. RcndtdoiTf, </w:t>
      </w:r>
      <w:r>
        <w:rPr>
          <w:i/>
          <w:iCs/>
          <w:color w:val="000000"/>
          <w:spacing w:val="0"/>
          <w:w w:val="100"/>
          <w:position w:val="0"/>
          <w:shd w:val="clear" w:color="auto" w:fill="auto"/>
          <w:lang w:val="hr-HR" w:eastAsia="hr-HR" w:bidi="hr-HR"/>
        </w:rPr>
        <w:t>DasAlte Tes</w:t>
        <w:softHyphen/>
        <w:t>tament. Eine Einfuhrung,</w:t>
      </w:r>
      <w:r>
        <w:rPr>
          <w:color w:val="000000"/>
          <w:spacing w:val="0"/>
          <w:w w:val="100"/>
          <w:position w:val="0"/>
          <w:shd w:val="clear" w:color="auto" w:fill="auto"/>
          <w:lang w:val="hr-HR" w:eastAsia="hr-HR" w:bidi="hr-HR"/>
        </w:rPr>
        <w:t xml:space="preserve"> 1983, 303-06. —► Sveto pismo, -» Riječ Božja.</w:t>
        <w:tab/>
        <w:t>1). VEI’H-U</w:t>
      </w:r>
    </w:p>
    <w:p>
      <w:pPr>
        <w:pStyle w:val="Style63"/>
        <w:keepNext/>
        <w:keepLines/>
        <w:widowControl w:val="0"/>
        <w:numPr>
          <w:ilvl w:val="0"/>
          <w:numId w:val="225"/>
        </w:numPr>
        <w:shd w:val="clear" w:color="auto" w:fill="auto"/>
        <w:tabs>
          <w:tab w:pos="260" w:val="left"/>
        </w:tabs>
        <w:bidi w:val="0"/>
        <w:spacing w:before="0" w:after="80"/>
        <w:ind w:left="0" w:right="0" w:firstLine="0"/>
        <w:jc w:val="both"/>
      </w:pPr>
      <w:bookmarkStart w:id="154" w:name="bookmark15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54"/>
    </w:p>
    <w:p>
      <w:pPr>
        <w:pStyle w:val="Style20"/>
        <w:keepNext w:val="0"/>
        <w:keepLines w:val="0"/>
        <w:widowControl w:val="0"/>
        <w:numPr>
          <w:ilvl w:val="0"/>
          <w:numId w:val="227"/>
        </w:numPr>
        <w:shd w:val="clear" w:color="auto" w:fill="auto"/>
        <w:tabs>
          <w:tab w:pos="265"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Pojam".</w:t>
      </w:r>
      <w:r>
        <w:rPr>
          <w:rFonts w:ascii="Times New Roman" w:eastAsia="Times New Roman" w:hAnsi="Times New Roman" w:cs="Times New Roman"/>
          <w:color w:val="000000"/>
          <w:spacing w:val="0"/>
          <w:w w:val="100"/>
          <w:position w:val="0"/>
          <w:shd w:val="clear" w:color="auto" w:fill="auto"/>
          <w:lang w:val="hr-HR" w:eastAsia="hr-HR" w:bidi="hr-HR"/>
        </w:rPr>
        <w:t xml:space="preserve"> Oznaku »k.« (semitski: trska, vrpca za mjerenje i dr.; grč. zidarska razulja, rav</w:t>
        <w:softHyphen/>
        <w:t>nalo, norma, tabela) zapadna Crkva upotreb</w:t>
        <w:softHyphen/>
        <w:t>ljava na kraju kršćanskog oblikovanja kanona za određenu zbirku starozavjetnih i novoza- vjetnih spisa koji su u Crkvi priznata kao na</w:t>
        <w:softHyphen/>
        <w:t>dahnuta sveta pisma i kao obvezatno svjedo</w:t>
        <w:softHyphen/>
        <w:t>čenje Božje objave za kršćansku vjeru i crkve</w:t>
        <w:softHyphen/>
        <w:t>no naviještanje.</w:t>
      </w:r>
    </w:p>
    <w:p>
      <w:pPr>
        <w:pStyle w:val="Style20"/>
        <w:keepNext w:val="0"/>
        <w:keepLines w:val="0"/>
        <w:widowControl w:val="0"/>
        <w:numPr>
          <w:ilvl w:val="0"/>
          <w:numId w:val="22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Kršćanski k. SZ:</w:t>
      </w:r>
      <w:r>
        <w:rPr>
          <w:rFonts w:ascii="Times New Roman" w:eastAsia="Times New Roman" w:hAnsi="Times New Roman" w:cs="Times New Roman"/>
          <w:color w:val="000000"/>
          <w:spacing w:val="0"/>
          <w:w w:val="100"/>
          <w:position w:val="0"/>
          <w:shd w:val="clear" w:color="auto" w:fill="auto"/>
          <w:lang w:val="hr-HR" w:eastAsia="hr-HR" w:bidi="hr-HR"/>
        </w:rPr>
        <w:t xml:space="preserve"> Crkvenom utvrđivanju ka</w:t>
        <w:softHyphen/>
        <w:t>nonskih spisa prethodi dugi razvoj staroza</w:t>
        <w:softHyphen/>
        <w:t xml:space="preserve">vjetnoga kanona u židovstvu koji se tek nakon Židovskog rata oko 100. pos. Kr. privodi kraju (oko 95. farizejska teorija kod Flavija Josipa </w:t>
      </w:r>
      <w:r>
        <w:rPr>
          <w:rFonts w:ascii="Times New Roman" w:eastAsia="Times New Roman" w:hAnsi="Times New Roman" w:cs="Times New Roman"/>
          <w:color w:val="000000"/>
          <w:spacing w:val="0"/>
          <w:w w:val="100"/>
          <w:position w:val="0"/>
          <w:shd w:val="clear" w:color="auto" w:fill="auto"/>
          <w:lang w:val="en-US" w:eastAsia="en-US" w:bidi="en-US"/>
        </w:rPr>
        <w:t xml:space="preserve">[Jos </w:t>
      </w:r>
      <w:r>
        <w:rPr>
          <w:rFonts w:ascii="Times New Roman" w:eastAsia="Times New Roman" w:hAnsi="Times New Roman" w:cs="Times New Roman"/>
          <w:color w:val="000000"/>
          <w:spacing w:val="0"/>
          <w:w w:val="100"/>
          <w:position w:val="0"/>
          <w:shd w:val="clear" w:color="auto" w:fill="auto"/>
          <w:lang w:val="hr-HR" w:eastAsia="hr-HR" w:bidi="hr-HR"/>
        </w:rPr>
        <w:t>Ap I 8] i teorija o kanonu u 4 Esr 14, 14-48). Dok palestinski, odnosno hebrejski k., ograničava nadahnuta sveta pisma židovstva na 22 starozavjetne knjige i dijeli ih na Toru, Proroke i Pisma, aleksandrijski k. helenistič</w:t>
        <w:softHyphen/>
        <w:t>kog židovstva (Septuaginta) raščlanjuje teks</w:t>
        <w:softHyphen/>
        <w:t>tove izvan toga u Toru (Pentateuh), povijesne knjige, poetsko-didaktićke i proročke knjige pri čemu odstupa broj deuterokanonskih i ne- kanonskih spisa u rukopisima i izdanjima.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Unatoč zalaganju jednoga Jeronima i ostalih za hebrejski k., u kršćanstvu se nameće alek- </w:t>
      </w:r>
      <w:r>
        <w:rPr>
          <w:rFonts w:ascii="Times New Roman" w:eastAsia="Times New Roman" w:hAnsi="Times New Roman" w:cs="Times New Roman"/>
          <w:color w:val="000000"/>
          <w:spacing w:val="0"/>
          <w:w w:val="100"/>
          <w:position w:val="0"/>
          <w:shd w:val="clear" w:color="auto" w:fill="auto"/>
          <w:lang w:val="hr-HR" w:eastAsia="hr-HR" w:bidi="hr-HR"/>
        </w:rPr>
        <w:t>sandrijski k. kao predložak za Vulgatu (latin</w:t>
        <w:softHyphen/>
        <w:t>ski prijevod Biblije) i na Koncilu u Firenci (1442) proglašava se obvezatnim, stoje potvr</w:t>
        <w:softHyphen/>
        <w:t>dio Tridentski koncil (1543). 1 istočne crkve odlučile su se na Drugom trulskom koncilu 692. za starozavjetni k. aleksandrijskih Žido</w:t>
        <w:softHyphen/>
        <w:t>va. Nasuprot tomu, cvangeličke crkve pri</w:t>
        <w:softHyphen/>
        <w:t>bližavaju se različitom strogošću i poretkom hebrejskom kanonu SZ. Tako su bila u bitno</w:t>
        <w:softHyphen/>
        <w:t>me izrađena tri kanona za SZ s opsegom koji odstupa i s nejedinstvenim poretkom knjiga u povijesti kanona: hebrejski, grčko-latinski i re- formacijski. Nasuprot reformacijskom slijedu knjiga, latinska Biblija još uključuje apokrifne spise Tobiju i Juditu nakon Estere, Mudrosti i Siraha nakon Pjesme nad pjesmama, Baruha nakon Jeremijinih Tužaljki i Makabejcc na</w:t>
        <w:softHyphen/>
        <w:t>kon Malahije. U grčkoj Bibliji nalaze se dalj</w:t>
        <w:softHyphen/>
        <w:t>nji dodaci; u njoj su uz to i premještene neke knjige.</w:t>
      </w:r>
    </w:p>
    <w:p>
      <w:pPr>
        <w:pStyle w:val="Style20"/>
        <w:keepNext w:val="0"/>
        <w:keepLines w:val="0"/>
        <w:widowControl w:val="0"/>
        <w:numPr>
          <w:ilvl w:val="0"/>
          <w:numId w:val="22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 NZ:</w:t>
      </w:r>
      <w:r>
        <w:rPr>
          <w:rFonts w:ascii="Times New Roman" w:eastAsia="Times New Roman" w:hAnsi="Times New Roman" w:cs="Times New Roman"/>
          <w:color w:val="000000"/>
          <w:spacing w:val="0"/>
          <w:w w:val="100"/>
          <w:position w:val="0"/>
          <w:shd w:val="clear" w:color="auto" w:fill="auto"/>
          <w:lang w:val="hr-HR" w:eastAsia="hr-HR" w:bidi="hr-HR"/>
        </w:rPr>
        <w:t xml:space="preserve"> U vrijeme ranoga kršćanstva, kad nastaju novozavjetni spisi, nema još ni jednoga općepriznatog židovskoga kanona svetih knji</w:t>
        <w:softHyphen/>
        <w:t>ga koji bi se prije svega odnosio na skupinu »Spisi«; pa ipak su starozavjetni spisi (usp. I.k 24,44), osobito u svom grčkom prijevodu, priznati kao autoriteti od strane kršćanskih zajednica i njihovih navjestitelja, a korišteni su za izlaganje vlastitoga vjerskog shvaćanja. U oblikovanju novozavjetnoga kanona posta</w:t>
        <w:softHyphen/>
        <w:t>je kao osnova zbirka Gospodinovih riječi i nji</w:t>
        <w:softHyphen/>
        <w:t>hova razrada u opsežnijim povezanostima s predajom, ali ništa manje i Pavlove poslanice. Temeljni oblici novozavjetnoga kanona obli</w:t>
        <w:softHyphen/>
        <w:t>kuju zbirku četiriju evanđelja i zbirku Pavlo</w:t>
        <w:softHyphen/>
        <w:t>vih poslanica, koja jc starija nego četiri evan</w:t>
        <w:softHyphen/>
        <w:t>đelja. Oko 150. ocrtava se već dvodijelni no</w:t>
        <w:softHyphen/>
        <w:t>vozavjetni k. (evanđelja, poslanice) pored sta</w:t>
        <w:softHyphen/>
        <w:t>rozavjetnoga. Važan postupak u kršćanskoj po</w:t>
        <w:softHyphen/>
        <w:t>vijesti kanona može se vidjeti u‘Marcionovoj zbirci prakršćanskih zapisa (oko 150) gdje se od</w:t>
        <w:softHyphen/>
        <w:t>bacuju starozavjetni zapisi i na njihovo mjesto postavlja Lukino evanđelje, očišćeno od ži</w:t>
        <w:softHyphen/>
        <w:t>dovskih crta (Euangelion) i 10 Pavlovih po</w:t>
        <w:softHyphen/>
        <w:t>slanica (Apostolos; bez pastoralnih poslani</w:t>
        <w:softHyphen/>
        <w:t>ca). Pojava toga kanona ubrzava crkveni razvi</w:t>
        <w:softHyphen/>
        <w:t>tak kanona. Pa ipak, novozavjetni književni rad još dugo ne postaje zatvorena veličina, jer su opseg i raspored spisa, koji se trebaju raču</w:t>
        <w:softHyphen/>
        <w:t>nati u k., najprije bili osporavani. Najstariji, fragmentarno sačuvani dio spisa koji daje svje</w:t>
        <w:softHyphen/>
        <w:t xml:space="preserve">dočanstvo o crkvenom shvaćanju pripadnosti </w:t>
      </w:r>
      <w:r>
        <w:rPr>
          <w:rFonts w:ascii="Times New Roman" w:eastAsia="Times New Roman" w:hAnsi="Times New Roman" w:cs="Times New Roman"/>
          <w:color w:val="000000"/>
          <w:spacing w:val="0"/>
          <w:w w:val="100"/>
          <w:position w:val="0"/>
          <w:shd w:val="clear" w:color="auto" w:fill="auto"/>
          <w:lang w:val="hr-HR" w:eastAsia="hr-HR" w:bidi="hr-HR"/>
        </w:rPr>
        <w:t xml:space="preserve">starozavjetnih spisa jednom kanonu je </w:t>
      </w:r>
      <w:r>
        <w:rPr>
          <w:rFonts w:ascii="Times New Roman" w:eastAsia="Times New Roman" w:hAnsi="Times New Roman" w:cs="Times New Roman"/>
          <w:color w:val="000000"/>
          <w:spacing w:val="0"/>
          <w:w w:val="100"/>
          <w:position w:val="0"/>
          <w:shd w:val="clear" w:color="auto" w:fill="auto"/>
          <w:lang w:val="en-US" w:eastAsia="en-US" w:bidi="en-US"/>
        </w:rPr>
        <w:t xml:space="preserve">Canon </w:t>
      </w:r>
      <w:r>
        <w:rPr>
          <w:rFonts w:ascii="Times New Roman" w:eastAsia="Times New Roman" w:hAnsi="Times New Roman" w:cs="Times New Roman"/>
          <w:color w:val="000000"/>
          <w:spacing w:val="0"/>
          <w:w w:val="100"/>
          <w:position w:val="0"/>
          <w:shd w:val="clear" w:color="auto" w:fill="auto"/>
          <w:lang w:val="hr-HR" w:eastAsia="hr-HR" w:bidi="hr-HR"/>
        </w:rPr>
        <w:t>Muratori (oko 200) u kojem je zamišljena što veća potpunost i što jasnija omedenost. On potvrđuje (kao i drugi svjedoci) da se u zapad</w:t>
        <w:softHyphen/>
        <w:t>noj Crkvi već uspostavila stanovita suglasnost glede priznatih spisa (evanđelja, Djela apos</w:t>
        <w:softHyphen/>
        <w:t>tolska, poslanice). Općenito prihvaćen, čvrst novozavjetni k. ipak se nameće tek u IV. sto</w:t>
        <w:softHyphen/>
        <w:t>ljeću (Uskrsna poslanica biskupa Atanazija Aleksandrijskoga [376]), nakon napora da bi se razlikovale knjige koje stoje u općoj crkve</w:t>
        <w:softHyphen/>
        <w:t>noj uporabi, a koje su heretici osporavali i krivotvorili, i ne potječu iz crkvene predaje (usp. klasifikacije po Origenu i Euzebiju) i na</w:t>
        <w:softHyphen/>
        <w:t>kon što je došlo do rasvjetljavanja pripadnosti Heb, Otk i katoličkih poslanica (točnije 2 Pt, 2 i 3 Iv, Jd, Jak). Do izjednačavanja istočnih i zapadnih shvaćanja dolazi na antiarijevskim sinodama sredinom IV. stoljeća. Svršetak ob</w:t>
        <w:softHyphen/>
        <w:t>likovanja kanona u latinskoj Crkvi obilježa</w:t>
        <w:softHyphen/>
        <w:t xml:space="preserve">vaju afričke sinode u </w:t>
      </w:r>
      <w:r>
        <w:rPr>
          <w:rFonts w:ascii="Times New Roman" w:eastAsia="Times New Roman" w:hAnsi="Times New Roman" w:cs="Times New Roman"/>
          <w:color w:val="000000"/>
          <w:spacing w:val="0"/>
          <w:w w:val="100"/>
          <w:position w:val="0"/>
          <w:shd w:val="clear" w:color="auto" w:fill="auto"/>
          <w:lang w:val="en-US" w:eastAsia="en-US" w:bidi="en-US"/>
        </w:rPr>
        <w:t xml:space="preserve">Hippo </w:t>
      </w:r>
      <w:r>
        <w:rPr>
          <w:rFonts w:ascii="Times New Roman" w:eastAsia="Times New Roman" w:hAnsi="Times New Roman" w:cs="Times New Roman"/>
          <w:color w:val="000000"/>
          <w:spacing w:val="0"/>
          <w:w w:val="100"/>
          <w:position w:val="0"/>
          <w:shd w:val="clear" w:color="auto" w:fill="auto"/>
          <w:lang w:val="hr-HR" w:eastAsia="hr-HR" w:bidi="hr-HR"/>
        </w:rPr>
        <w:t>Rcgiusu (393) i Kartagi (397 i 419). To još ipak ne znači da se svi spisi koji su time priznati kao kanonski općenito nameću i da nailaze na istu pozor</w:t>
        <w:softHyphen/>
        <w:t>nost. Ulazak u grčku Crkvu uspijeva Otkrive</w:t>
        <w:softHyphen/>
        <w:t>nju tek u VI. stoljeću; čak i nakon bizantskoga srednjeg vijeka ostaje živo pitanje u istočnim crkvama o njegovoj pripadnosti kanonu NZ. U sirijskoj Crkvi može tek u IV. stoljeću biti potisnuta evandcijska harmonija (Diatcsaron) i tek vremenski kasnije mogu postupno 2 Pt, 2 i 3 Iv, Jd i Otk uz slabiju ocjenu vrijednosti steći crkveno priznanje. S druge strane, mo</w:t>
        <w:softHyphen/>
        <w:t>rale su se španjolske sinode u VI. i VII. sto</w:t>
        <w:softHyphen/>
        <w:t>ljeću baviti kanoničnošću Poslanice Hebreji- ma. Latinska crkva srednjega vijeka pridržava se odluke u korist 27 novozavjetnih spisa pre</w:t>
        <w:softHyphen/>
        <w:t>ma tradiciji iz IV. i V. stoljeća, makar su uz to apokrifni spisi bili prihvaćeni u rukopise Vul</w:t>
        <w:softHyphen/>
        <w:t>gate. Tijekom humanizma dolazi do novog oživ</w:t>
        <w:softHyphen/>
        <w:t xml:space="preserve">ljavanja pitanja o kanonu. Erazmo Roterdam- ski uvodi razlikovanje apostoličnosti i kano- ničnosti u vrednovanje spisa, a Kajetan ne pripisuje isti kanonski autoritet svim spisima. Reformatori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 xml:space="preserve">Kalvin, </w:t>
      </w:r>
      <w:r>
        <w:rPr>
          <w:rFonts w:ascii="Times New Roman" w:eastAsia="Times New Roman" w:hAnsi="Times New Roman" w:cs="Times New Roman"/>
          <w:color w:val="000000"/>
          <w:spacing w:val="0"/>
          <w:w w:val="100"/>
          <w:position w:val="0"/>
          <w:shd w:val="clear" w:color="auto" w:fill="auto"/>
          <w:lang w:val="en-US" w:eastAsia="en-US" w:bidi="en-US"/>
        </w:rPr>
        <w:t xml:space="preserve">Zwingli, </w:t>
      </w:r>
      <w:r>
        <w:rPr>
          <w:rFonts w:ascii="Times New Roman" w:eastAsia="Times New Roman" w:hAnsi="Times New Roman" w:cs="Times New Roman"/>
          <w:color w:val="000000"/>
          <w:spacing w:val="0"/>
          <w:w w:val="100"/>
          <w:position w:val="0"/>
          <w:shd w:val="clear" w:color="auto" w:fill="auto"/>
          <w:lang w:val="hr-HR" w:eastAsia="hr-HR" w:bidi="hr-HR"/>
        </w:rPr>
        <w:t>Ocko- lampadius) iznijeli su radikalniju kritiku s teo</w:t>
        <w:softHyphen/>
        <w:t>loških i kanonsko-povijesnih stajališta. Karl- stadt razlikuje novozavjetne spise uzimajući u obzir tri razreda digniteta: najviši dignitet ima</w:t>
        <w:softHyphen/>
        <w:t>ju četiri evanđelja. U drugi stupanj po vrijed</w:t>
        <w:softHyphen/>
        <w:t>nosti ubraja Dj, 13 Pavlovih poslanica, 1 Pt i 1 Iv. Najniži stupanj autoriteta pripisuje se Heb,</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Otk i 5 katoličkim poslanicama. Tridentski kon</w:t>
        <w:softHyphen/>
        <w:t>cil (1546) nasuprot tome potvrđuje nabraja</w:t>
        <w:softHyphen/>
        <w:t>njem 27 knjiga NZ (uz one iz SZ) tradicijsko crkveno utvrđivanje. U pogledu autorstva Kon</w:t>
        <w:softHyphen/>
        <w:t>cil pripisuje Heb Pavlu, tri Ivanove poslanice i Otkrivenje apostolu Ivanu. Kao autori Judinc i Jakovljeve poslanice smatraju se također apostoli. - Unatoč novim poticajima u tuma</w:t>
        <w:softHyphen/>
        <w:t xml:space="preserve">čenju kanonskog pitanja, inspiriranosti, apos- toličnosti i istinitosti novozavjetnih spisa, koja su osobito proizašla od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S. Semlera (u. 1791) i slijedeći ga bile preuzete od povijesno-kri- tičke egzegeze, u crkvama nije došlo do revi</w:t>
        <w:softHyphen/>
        <w:t>zije odluke o kanonu, iako je u istočnim crkva</w:t>
        <w:softHyphen/>
        <w:t>ma upravo katoličnost starozavjetnih apokrifa ostala otvorenom. Povijest novozavjetnoga ka</w:t>
        <w:softHyphen/>
        <w:t>nona zaključena je na osnovi starocrkvcnih prosudbi; ostaje živa povijest historijske kri</w:t>
        <w:softHyphen/>
        <w:t>tike kanona i njegove teološke utemeljenosti.</w:t>
      </w:r>
    </w:p>
    <w:p>
      <w:pPr>
        <w:pStyle w:val="Style20"/>
        <w:keepNext w:val="0"/>
        <w:keepLines w:val="0"/>
        <w:widowControl w:val="0"/>
        <w:numPr>
          <w:ilvl w:val="0"/>
          <w:numId w:val="227"/>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Teološko značenje:</w:t>
      </w:r>
      <w:r>
        <w:rPr>
          <w:rFonts w:ascii="Times New Roman" w:eastAsia="Times New Roman" w:hAnsi="Times New Roman" w:cs="Times New Roman"/>
          <w:color w:val="000000"/>
          <w:spacing w:val="0"/>
          <w:w w:val="100"/>
          <w:position w:val="0"/>
          <w:shd w:val="clear" w:color="auto" w:fill="auto"/>
          <w:lang w:val="hr-HR" w:eastAsia="hr-HR" w:bidi="hr-HR"/>
        </w:rPr>
        <w:t xml:space="preserve"> Pregled povijesti litera</w:t>
        <w:softHyphen/>
        <w:t>ture ranoga kršćanstva (uključujući krivovjer</w:t>
        <w:softHyphen/>
        <w:t>ja) omogućuje prepoznati da k. knjiga NZ (slično kao i onih iz SZ) predstavlja samo iz</w:t>
        <w:softHyphen/>
        <w:t>bor iz opsežnih religioznih zapisa i uz vrijedna teološka djela isključuje niz Otkrivenja i sum</w:t>
        <w:softHyphen/>
        <w:t>njivih prikaza kao što su na način legende do</w:t>
        <w:softHyphen/>
        <w:t>tjerana apokrifna evanđelja i Djela apostol</w:t>
        <w:softHyphen/>
        <w:t>ska. S njima kao pozadinom obilježeno je crkve</w:t>
        <w:softHyphen/>
        <w:t>no određivanje kanona tako da se sigurnije oblikovao sud o istinitosti evanđelja i vjernosti autentičnoj (apostolskoj) predaji.</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Fiksiranjem kanona starozavjetnih i novoza</w:t>
        <w:softHyphen/>
        <w:t>vjetnih spisa kao isprava kršćanske vjere u Bo</w:t>
        <w:softHyphen/>
        <w:t>ga, koji se objavljuje, Crkva se podređuje u svojoj povijesnoj egzistenciji i u svom poslanju kao dar i zadaća Božje riječi. Iz toga proizlazi obveza da izvidi riječ Božje objave koju je čula i da joj snagom Duha odgovori u kritičkom samoispitivanju i spremnosti da se obrati te da dade svjedočanstvo o njoj kao radosnoj vijesti spasenja za sva vremena i pred svim narodima. Iako se i s evangeličke strane u teološkoj zna</w:t>
        <w:softHyphen/>
        <w:t>nosti zastupa shvaćanje da je načelno moguće revidirati k. unatoč njegovoj faktičnoj posto</w:t>
        <w:softHyphen/>
        <w:t>janosti, ipak se u kršćanskoj ekumeni ogra</w:t>
        <w:softHyphen/>
        <w:t>ničenje zbirke kršćanskih knjiga ne postavlja kao središnji teološki problem, nego pitanje o teološkom središtu i jedinstvu literarno i sa</w:t>
        <w:softHyphen/>
        <w:t>držajno raznolikih kanonskih spisa u kojima Crkva priznaje autoritet riječi Božje o sebi i oblikuje vlastitu i trajnu teološku zadaću kao što to i u evangeličkoj teologiji potvrđuje na</w:t>
        <w:softHyphen/>
      </w:r>
      <w:r>
        <w:rPr>
          <w:rFonts w:ascii="Times New Roman" w:eastAsia="Times New Roman" w:hAnsi="Times New Roman" w:cs="Times New Roman"/>
          <w:color w:val="000000"/>
          <w:spacing w:val="0"/>
          <w:w w:val="100"/>
          <w:position w:val="0"/>
          <w:shd w:val="clear" w:color="auto" w:fill="auto"/>
          <w:lang w:val="hr-HR" w:eastAsia="hr-HR" w:bidi="hr-HR"/>
        </w:rPr>
        <w:t>bačen problem »kanona u kanonu« i teološ</w:t>
        <w:softHyphen/>
        <w:t>kog središta Pisma koje se odnosi na oprav</w:t>
        <w:softHyphen/>
        <w:t>danje. Iako se ovdje ne radi o tekstualnom opsegu pravijesti, nego o »kriteriju izlaganja« (E. Kasemann), ipak je time istodobno do</w:t>
        <w:softHyphen/>
        <w:t>taknuto mnoštvo pitanja kao npr. o biti, stvar</w:t>
        <w:softHyphen/>
        <w:t>noj otvorenosti i određenosti, normativnom karakteru kanona u pogledu sadržaja kršćan</w:t>
        <w:softHyphen/>
        <w:t>ske teologije i o odnosu Crkve i kanona, od</w:t>
        <w:softHyphen/>
        <w:t>nosno Svetoga pisma koji povezano s određi</w:t>
        <w:softHyphen/>
        <w:t>vanjem inspiracije, kanoničnosti i apostolič- nosti biblijskih, odnosno novozavjetnih pisa</w:t>
        <w:softHyphen/>
        <w:t>ma pokreću teologije u svojim različitim iz</w:t>
        <w:softHyphen/>
        <w:t>ražajima i tradicijama. Ovaj sklop pitanja koji ukazuje na ozakonjenje izvora kršćanske teo</w:t>
        <w:softHyphen/>
        <w:t>logije i naviještanja postiže novu ekumensku aktualnost u naporima teologa iz crkava Tre</w:t>
        <w:softHyphen/>
        <w:t>ćega svijeta da upotpune i djelomično nado</w:t>
        <w:softHyphen/>
        <w:t>mjeste k. Svetoga pisma (normativnog svjedo</w:t>
        <w:softHyphen/>
        <w:t>čanstva objave i vjere) religioznim (nekršćan- skim) svjedočanstvima sociokulturalnog okruže</w:t>
        <w:softHyphen/>
        <w:t>nja, tako da se na njih proširi kršćanski pojam Objave. Na drugoj strani, Crkva se kanonom starozavjetnih knjiga u svome Svetom pismu podsjeća na svoju povezanost sa židovstvom, ali i na različitost od njega.</w:t>
      </w:r>
    </w:p>
    <w:p>
      <w:pPr>
        <w:pStyle w:val="Style56"/>
        <w:keepNext w:val="0"/>
        <w:keepLines w:val="0"/>
        <w:widowControl w:val="0"/>
        <w:shd w:val="clear" w:color="auto" w:fill="auto"/>
        <w:tabs>
          <w:tab w:pos="1901"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N. Appcl, </w:t>
      </w:r>
      <w:r>
        <w:rPr>
          <w:i/>
          <w:iCs/>
          <w:color w:val="000000"/>
          <w:spacing w:val="0"/>
          <w:w w:val="100"/>
          <w:position w:val="0"/>
          <w:shd w:val="clear" w:color="auto" w:fill="auto"/>
          <w:lang w:val="hr-HR" w:eastAsia="hr-HR" w:bidi="hr-HR"/>
        </w:rPr>
        <w:t>Kanon und Kirche,</w:t>
      </w:r>
      <w:r>
        <w:rPr>
          <w:color w:val="000000"/>
          <w:spacing w:val="0"/>
          <w:w w:val="100"/>
          <w:position w:val="0"/>
          <w:shd w:val="clear" w:color="auto" w:fill="auto"/>
          <w:lang w:val="hr-HR" w:eastAsia="hr-HR" w:bidi="hr-HR"/>
        </w:rPr>
        <w:t xml:space="preserve"> 1964; H. </w:t>
      </w:r>
      <w:r>
        <w:rPr>
          <w:color w:val="000000"/>
          <w:spacing w:val="0"/>
          <w:w w:val="100"/>
          <w:position w:val="0"/>
          <w:shd w:val="clear" w:color="auto" w:fill="auto"/>
        </w:rPr>
        <w:t xml:space="preserve">Braun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a.,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Verbindlichkeii </w:t>
      </w:r>
      <w:r>
        <w:rPr>
          <w:i/>
          <w:iCs/>
          <w:color w:val="000000"/>
          <w:spacing w:val="0"/>
          <w:w w:val="100"/>
          <w:position w:val="0"/>
          <w:shd w:val="clear" w:color="auto" w:fill="auto"/>
        </w:rPr>
        <w:t xml:space="preserve">des </w:t>
      </w:r>
      <w:r>
        <w:rPr>
          <w:i/>
          <w:iCs/>
          <w:color w:val="000000"/>
          <w:spacing w:val="0"/>
          <w:w w:val="100"/>
          <w:position w:val="0"/>
          <w:shd w:val="clear" w:color="auto" w:fill="auto"/>
          <w:lang w:val="hr-HR" w:eastAsia="hr-HR" w:bidi="hr-HR"/>
        </w:rPr>
        <w:t>Kanom,</w:t>
      </w:r>
      <w:r>
        <w:rPr>
          <w:color w:val="000000"/>
          <w:spacing w:val="0"/>
          <w:w w:val="100"/>
          <w:position w:val="0"/>
          <w:shd w:val="clear" w:color="auto" w:fill="auto"/>
          <w:lang w:val="hr-HR" w:eastAsia="hr-HR" w:bidi="hr-HR"/>
        </w:rPr>
        <w:t xml:space="preserve"> 1960; K. Kasemann (Hrsg ), </w:t>
      </w:r>
      <w:r>
        <w:rPr>
          <w:i/>
          <w:iCs/>
          <w:color w:val="000000"/>
          <w:spacing w:val="0"/>
          <w:w w:val="100"/>
          <w:position w:val="0"/>
          <w:shd w:val="clear" w:color="auto" w:fill="auto"/>
          <w:lang w:val="hr-HR" w:eastAsia="hr-HR" w:bidi="hr-HR"/>
        </w:rPr>
        <w:t>Das Neue Testament ais Kanon,</w:t>
      </w:r>
      <w:r>
        <w:rPr>
          <w:color w:val="000000"/>
          <w:spacing w:val="0"/>
          <w:w w:val="100"/>
          <w:position w:val="0"/>
          <w:shd w:val="clear" w:color="auto" w:fill="auto"/>
          <w:lang w:val="hr-HR" w:eastAsia="hr-HR" w:bidi="hr-HR"/>
        </w:rPr>
        <w:t xml:space="preserve"> 1970; W. G. KOmmcl, </w:t>
      </w:r>
      <w:r>
        <w:rPr>
          <w:i/>
          <w:iCs/>
          <w:color w:val="000000"/>
          <w:spacing w:val="0"/>
          <w:w w:val="100"/>
          <w:position w:val="0"/>
          <w:shd w:val="clear" w:color="auto" w:fill="auto"/>
          <w:lang w:val="hr-HR" w:eastAsia="hr-HR" w:bidi="hr-HR"/>
        </w:rPr>
        <w:t xml:space="preserve">EinleT </w:t>
      </w:r>
      <w:r>
        <w:rPr>
          <w:i/>
          <w:iCs/>
          <w:color w:val="000000"/>
          <w:spacing w:val="0"/>
          <w:w w:val="100"/>
          <w:position w:val="0"/>
          <w:shd w:val="clear" w:color="auto" w:fill="auto"/>
        </w:rPr>
        <w:t xml:space="preserve">tungin das </w:t>
      </w:r>
      <w:r>
        <w:rPr>
          <w:i/>
          <w:iCs/>
          <w:color w:val="000000"/>
          <w:spacing w:val="0"/>
          <w:w w:val="100"/>
          <w:position w:val="0"/>
          <w:shd w:val="clear" w:color="auto" w:fill="auto"/>
          <w:lang w:val="hr-HR" w:eastAsia="hr-HR" w:bidi="hr-HR"/>
        </w:rPr>
        <w:t>Neue Testament,</w:t>
      </w:r>
      <w:r>
        <w:rPr>
          <w:color w:val="000000"/>
          <w:spacing w:val="0"/>
          <w:w w:val="100"/>
          <w:position w:val="0"/>
          <w:shd w:val="clear" w:color="auto" w:fill="auto"/>
          <w:lang w:val="hr-HR" w:eastAsia="hr-HR" w:bidi="hr-HR"/>
        </w:rPr>
        <w:tab/>
        <w:t xml:space="preserve">420- 451; </w:t>
      </w:r>
      <w:r>
        <w:rPr>
          <w:color w:val="000000"/>
          <w:spacing w:val="0"/>
          <w:w w:val="100"/>
          <w:position w:val="0"/>
          <w:shd w:val="clear" w:color="auto" w:fill="auto"/>
        </w:rPr>
        <w:t>J. Ixipoklt,</w:t>
      </w:r>
    </w:p>
    <w:p>
      <w:pPr>
        <w:pStyle w:val="Style56"/>
        <w:keepNext w:val="0"/>
        <w:keepLines w:val="0"/>
        <w:widowControl w:val="0"/>
        <w:shd w:val="clear" w:color="auto" w:fill="auto"/>
        <w:tabs>
          <w:tab w:pos="2314" w:val="left"/>
        </w:tabs>
        <w:bidi w:val="0"/>
        <w:spacing w:before="0" w:after="200" w:line="240" w:lineRule="auto"/>
        <w:ind w:left="0" w:right="0" w:firstLine="0"/>
        <w:jc w:val="both"/>
      </w:pPr>
      <w:r>
        <w:rPr>
          <w:i/>
          <w:iCs/>
          <w:color w:val="000000"/>
          <w:spacing w:val="0"/>
          <w:w w:val="100"/>
          <w:position w:val="0"/>
          <w:shd w:val="clear" w:color="auto" w:fill="auto"/>
          <w:lang w:val="hr-HR" w:eastAsia="hr-HR" w:bidi="hr-HR"/>
        </w:rPr>
        <w:t>Geschichte des neutestamentlichen Kanons,</w:t>
      </w:r>
      <w:r>
        <w:rPr>
          <w:color w:val="000000"/>
          <w:spacing w:val="0"/>
          <w:w w:val="100"/>
          <w:position w:val="0"/>
          <w:shd w:val="clear" w:color="auto" w:fill="auto"/>
          <w:lang w:val="hr-HR" w:eastAsia="hr-HR" w:bidi="hr-HR"/>
        </w:rPr>
        <w:t xml:space="preserve"> 1 1907, II 1908; P Lcngsfcld, </w:t>
      </w:r>
      <w:r>
        <w:rPr>
          <w:i/>
          <w:iCs/>
          <w:color w:val="000000"/>
          <w:spacing w:val="0"/>
          <w:w w:val="100"/>
          <w:position w:val="0"/>
          <w:shd w:val="clear" w:color="auto" w:fill="auto"/>
          <w:lang w:val="hr-HR" w:eastAsia="hr-HR" w:bidi="hr-HR"/>
        </w:rPr>
        <w:t>Uberiieferung,</w:t>
      </w:r>
      <w:r>
        <w:rPr>
          <w:color w:val="000000"/>
          <w:spacing w:val="0"/>
          <w:w w:val="100"/>
          <w:position w:val="0"/>
          <w:shd w:val="clear" w:color="auto" w:fill="auto"/>
          <w:lang w:val="hr-HR" w:eastAsia="hr-HR" w:bidi="hr-HR"/>
        </w:rPr>
        <w:t xml:space="preserve"> I960; K. </w:t>
      </w:r>
      <w:r>
        <w:rPr>
          <w:color w:val="000000"/>
          <w:spacing w:val="0"/>
          <w:w w:val="100"/>
          <w:position w:val="0"/>
          <w:shd w:val="clear" w:color="auto" w:fill="auto"/>
        </w:rPr>
        <w:t xml:space="preserve">Rahner, </w:t>
      </w:r>
      <w:r>
        <w:rPr>
          <w:i/>
          <w:iCs/>
          <w:color w:val="000000"/>
          <w:spacing w:val="0"/>
          <w:w w:val="100"/>
          <w:position w:val="0"/>
          <w:shd w:val="clear" w:color="auto" w:fill="auto"/>
        </w:rPr>
        <w:t xml:space="preserve">Uber die </w:t>
      </w:r>
      <w:r>
        <w:rPr>
          <w:i/>
          <w:iCs/>
          <w:color w:val="000000"/>
          <w:spacing w:val="0"/>
          <w:w w:val="100"/>
          <w:position w:val="0"/>
          <w:shd w:val="clear" w:color="auto" w:fill="auto"/>
          <w:lang w:val="hr-HR" w:eastAsia="hr-HR" w:bidi="hr-HR"/>
        </w:rPr>
        <w:t>Schriftinspiration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1959; </w:t>
      </w:r>
      <w:r>
        <w:rPr>
          <w:color w:val="000000"/>
          <w:spacing w:val="0"/>
          <w:w w:val="100"/>
          <w:position w:val="0"/>
          <w:shd w:val="clear" w:color="auto" w:fill="auto"/>
        </w:rPr>
        <w:t xml:space="preserve">W. Schrage,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Trage nach der Milte und dem Kanon im Kanon </w:t>
      </w:r>
      <w:r>
        <w:rPr>
          <w:i/>
          <w:iCs/>
          <w:color w:val="000000"/>
          <w:spacing w:val="0"/>
          <w:w w:val="100"/>
          <w:position w:val="0"/>
          <w:shd w:val="clear" w:color="auto" w:fill="auto"/>
        </w:rPr>
        <w:t xml:space="preserve">des Neuen Testaments in </w:t>
      </w:r>
      <w:r>
        <w:rPr>
          <w:i/>
          <w:iCs/>
          <w:color w:val="000000"/>
          <w:spacing w:val="0"/>
          <w:w w:val="100"/>
          <w:position w:val="0"/>
          <w:shd w:val="clear" w:color="auto" w:fill="auto"/>
          <w:lang w:val="hr-HR" w:eastAsia="hr-HR" w:bidi="hr-HR"/>
        </w:rPr>
        <w:t>der neuren Diskussion: Rechtfertigung</w:t>
      </w:r>
      <w:r>
        <w:rPr>
          <w:color w:val="000000"/>
          <w:spacing w:val="0"/>
          <w:w w:val="100"/>
          <w:position w:val="0"/>
          <w:shd w:val="clear" w:color="auto" w:fill="auto"/>
          <w:lang w:val="hr-HR" w:eastAsia="hr-HR" w:bidi="hr-HR"/>
        </w:rPr>
        <w:t xml:space="preserve"> (FS E. Kasemann), 1976; </w:t>
      </w:r>
      <w:r>
        <w:rPr>
          <w:color w:val="000000"/>
          <w:spacing w:val="0"/>
          <w:w w:val="100"/>
          <w:position w:val="0"/>
          <w:shd w:val="clear" w:color="auto" w:fill="auto"/>
        </w:rPr>
        <w:t xml:space="preserve">A. Wikcnhauser/J. Schmid, </w:t>
      </w:r>
      <w:r>
        <w:rPr>
          <w:i/>
          <w:iCs/>
          <w:color w:val="000000"/>
          <w:spacing w:val="0"/>
          <w:w w:val="100"/>
          <w:position w:val="0"/>
          <w:shd w:val="clear" w:color="auto" w:fill="auto"/>
        </w:rPr>
        <w:t>Einleitung in das Neue Testament,</w:t>
      </w:r>
      <w:r>
        <w:rPr>
          <w:color w:val="000000"/>
          <w:spacing w:val="0"/>
          <w:w w:val="100"/>
          <w:position w:val="0"/>
          <w:shd w:val="clear" w:color="auto" w:fill="auto"/>
        </w:rPr>
        <w:t xml:space="preserve"> 23-64; P. Ncucozch; HthG, 777-790; J. Schild- enberger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a.: LThK V, 1277-1284; E. Schott/L Vischer: RGG</w:t>
      </w:r>
      <w:r>
        <w:rPr>
          <w:color w:val="000000"/>
          <w:spacing w:val="0"/>
          <w:w w:val="100"/>
          <w:position w:val="0"/>
          <w:shd w:val="clear" w:color="auto" w:fill="auto"/>
          <w:vertAlign w:val="superscript"/>
        </w:rPr>
        <w:t>J</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III, </w:t>
      </w:r>
      <w:r>
        <w:rPr>
          <w:color w:val="000000"/>
          <w:spacing w:val="0"/>
          <w:w w:val="100"/>
          <w:position w:val="0"/>
          <w:shd w:val="clear" w:color="auto" w:fill="auto"/>
        </w:rPr>
        <w:t>1116-1122.</w:t>
        <w:tab/>
        <w:t>f i.-J. HNDEIS</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rPr>
        <w:t xml:space="preserve">3. </w:t>
      </w: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0" w:line="259" w:lineRule="auto"/>
        <w:ind w:left="0" w:right="0" w:firstLine="0"/>
        <w:jc w:val="both"/>
        <w:sectPr>
          <w:headerReference w:type="default" r:id="rId613"/>
          <w:footerReference w:type="default" r:id="rId614"/>
          <w:headerReference w:type="even" r:id="rId615"/>
          <w:footerReference w:type="even" r:id="rId616"/>
          <w:footnotePr>
            <w:pos w:val="pageBottom"/>
            <w:numFmt w:val="decimal"/>
            <w:numStart w:val="5"/>
            <w:numRestart w:val="continuous"/>
            <w15:footnoteColumns w:val="1"/>
          </w:footnotePr>
          <w:type w:val="continuous"/>
          <w:pgSz w:w="6816" w:h="11006"/>
          <w:pgMar w:top="987" w:left="169" w:right="172" w:bottom="443" w:header="0" w:footer="3" w:gutter="0"/>
          <w:cols w:num="2" w:space="15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islamu ne postoje usporedive smjernice za vjerovanje i djelovanje, kakve su u kršćansko- me nauku i odlukama sinoda poznate pod imenom k. Za vjersku praksu od kanonske su vrijednosti jedino Kuran i priznati hadisi po</w:t>
        <w:softHyphen/>
        <w:t xml:space="preserve">put onih koje su napisali al-Buhari (u. 870) i </w:t>
      </w:r>
      <w:r>
        <w:rPr>
          <w:rFonts w:ascii="Times New Roman" w:eastAsia="Times New Roman" w:hAnsi="Times New Roman" w:cs="Times New Roman"/>
          <w:color w:val="000000"/>
          <w:spacing w:val="0"/>
          <w:w w:val="100"/>
          <w:position w:val="0"/>
          <w:shd w:val="clear" w:color="auto" w:fill="auto"/>
          <w:lang w:val="en-US" w:eastAsia="en-US" w:bidi="en-US"/>
        </w:rPr>
        <w:t xml:space="preserve">Muslim </w:t>
      </w:r>
      <w:r>
        <w:rPr>
          <w:rFonts w:ascii="Times New Roman" w:eastAsia="Times New Roman" w:hAnsi="Times New Roman" w:cs="Times New Roman"/>
          <w:color w:val="000000"/>
          <w:spacing w:val="0"/>
          <w:w w:val="100"/>
          <w:position w:val="0"/>
          <w:shd w:val="clear" w:color="auto" w:fill="auto"/>
          <w:lang w:val="hr-HR" w:eastAsia="hr-HR" w:bidi="hr-HR"/>
        </w:rPr>
        <w:t>(u. 875). U pravnoj povijesti Osman</w:t>
        <w:softHyphen/>
        <w:t>skoga Carstva sultanov edikt, koji više ili ma</w:t>
        <w:softHyphen/>
        <w:t xml:space="preserve">nje odstupa od šerijatskoga prava, zove se ka- nun </w:t>
      </w:r>
      <w:r>
        <w:rPr>
          <w:rFonts w:ascii="Times New Roman" w:eastAsia="Times New Roman" w:hAnsi="Times New Roman" w:cs="Times New Roman"/>
          <w:color w:val="000000"/>
          <w:spacing w:val="0"/>
          <w:w w:val="100"/>
          <w:position w:val="0"/>
          <w:shd w:val="clear" w:color="auto" w:fill="auto"/>
          <w:lang w:val="en-US" w:eastAsia="en-US" w:bidi="en-US"/>
        </w:rPr>
        <w:t xml:space="preserve">(qanun). </w:t>
      </w:r>
      <w:r>
        <w:rPr>
          <w:rFonts w:ascii="Times New Roman" w:eastAsia="Times New Roman" w:hAnsi="Times New Roman" w:cs="Times New Roman"/>
          <w:color w:val="000000"/>
          <w:spacing w:val="0"/>
          <w:w w:val="100"/>
          <w:position w:val="0"/>
          <w:shd w:val="clear" w:color="auto" w:fill="auto"/>
          <w:lang w:val="hr-HR" w:eastAsia="hr-HR" w:bidi="hr-HR"/>
        </w:rPr>
        <w:t>Ti edikti uvelike pokrivaju upra</w:t>
        <w:softHyphen/>
        <w:t>vno pravo. Pod izrazom kanun danas se u Turskoj općenito podrazumijeva zakon. K. je prvobitno bio samo neutralna zakonska od</w:t>
        <w:softHyphen/>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redba koju bi trebale dopunjavati šerijatske odredbe.</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Strogo čuvanje kuranske objave u zajednici priječilo je nastanak apokrifnih kuranskih tekstova. Utoliko su prije počela krivotvore</w:t>
        <w:softHyphen/>
        <w:t>nja -» hadisa, tj. izvješća o tradiranim Mu- hamedovim izrekama. Budući da hadisi po Kuranu predstavljaju drugi izvor islama i da su u svom praktičnom značenju izjednačeni s objavom, apokrifni su hadisi igrali važnu ulo</w:t>
        <w:softHyphen/>
        <w:t>gu u razvoju islamske misli. Promijenjeni druš</w:t>
        <w:softHyphen/>
        <w:t>tveni, politički i kulturni odnosi zahtijevali su nova pravna i svjetonazorna pravila. Tako su nastali brojni apokrifi. Jer potreba za oprav</w:t>
        <w:softHyphen/>
        <w:t>danjem novine mogla je nastati samo s pozi</w:t>
        <w:softHyphen/>
        <w:t>vanjem na bilo koji Muhamedov primjer ili na bilo koju njegovu riječ. Učenja grčkih filozofa, židovske i kršćanske izreke i nazori, pripisuju se Muhamedu u svrhu religioznoga pokriva</w:t>
        <w:softHyphen/>
        <w:t>nja vlastitih nazora.</w:t>
      </w:r>
    </w:p>
    <w:p>
      <w:pPr>
        <w:pStyle w:val="Style56"/>
        <w:keepNext w:val="0"/>
        <w:keepLines w:val="0"/>
        <w:widowControl w:val="0"/>
        <w:shd w:val="clear" w:color="auto" w:fill="auto"/>
        <w:tabs>
          <w:tab w:pos="2573" w:val="left"/>
        </w:tabs>
        <w:bidi w:val="0"/>
        <w:spacing w:before="0" w:after="280" w:line="240" w:lineRule="auto"/>
        <w:ind w:left="0" w:right="0" w:firstLine="0"/>
        <w:jc w:val="both"/>
      </w:pPr>
      <w:r>
        <w:rPr>
          <w:color w:val="000000"/>
          <w:spacing w:val="0"/>
          <w:w w:val="100"/>
          <w:position w:val="0"/>
          <w:shd w:val="clear" w:color="auto" w:fill="auto"/>
        </w:rPr>
        <w:t xml:space="preserve">Lit.: Montgomery W. Watt/Alford </w:t>
      </w:r>
      <w:r>
        <w:rPr>
          <w:color w:val="000000"/>
          <w:spacing w:val="0"/>
          <w:w w:val="100"/>
          <w:position w:val="0"/>
          <w:shd w:val="clear" w:color="auto" w:fill="auto"/>
          <w:lang w:val="hr-HR" w:eastAsia="hr-HR" w:bidi="hr-HR"/>
        </w:rPr>
        <w:t xml:space="preserve">T. </w:t>
      </w:r>
      <w:r>
        <w:rPr>
          <w:color w:val="000000"/>
          <w:spacing w:val="0"/>
          <w:w w:val="100"/>
          <w:position w:val="0"/>
          <w:shd w:val="clear" w:color="auto" w:fill="auto"/>
        </w:rPr>
        <w:t xml:space="preserve">Welch, </w:t>
      </w:r>
      <w:r>
        <w:rPr>
          <w:i/>
          <w:iCs/>
          <w:color w:val="000000"/>
          <w:spacing w:val="0"/>
          <w:w w:val="100"/>
          <w:position w:val="0"/>
          <w:shd w:val="clear" w:color="auto" w:fill="auto"/>
        </w:rPr>
        <w:t xml:space="preserve">tier </w:t>
      </w:r>
      <w:r>
        <w:rPr>
          <w:i/>
          <w:iCs/>
          <w:color w:val="000000"/>
          <w:spacing w:val="0"/>
          <w:w w:val="100"/>
          <w:position w:val="0"/>
          <w:shd w:val="clear" w:color="auto" w:fill="auto"/>
          <w:lang w:val="hr-HR" w:eastAsia="hr-HR" w:bidi="hr-HR"/>
        </w:rPr>
        <w:t xml:space="preserve">Islam /.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1980.257-258.</w:t>
        <w:tab/>
        <w:t>s. HAl.lć</w:t>
      </w:r>
    </w:p>
    <w:p>
      <w:pPr>
        <w:pStyle w:val="Style91"/>
        <w:keepNext/>
        <w:keepLines/>
        <w:widowControl w:val="0"/>
        <w:shd w:val="clear" w:color="auto" w:fill="auto"/>
        <w:bidi w:val="0"/>
        <w:spacing w:before="0" w:after="160" w:line="259" w:lineRule="auto"/>
        <w:ind w:left="0" w:right="0" w:firstLine="0"/>
        <w:jc w:val="both"/>
      </w:pPr>
      <w:bookmarkStart w:id="155" w:name="bookmark155"/>
      <w:r>
        <w:rPr>
          <w:rFonts w:ascii="Times New Roman" w:eastAsia="Times New Roman" w:hAnsi="Times New Roman" w:cs="Times New Roman"/>
          <w:b/>
          <w:bCs/>
          <w:color w:val="000000"/>
          <w:spacing w:val="0"/>
          <w:w w:val="100"/>
          <w:position w:val="0"/>
          <w:shd w:val="clear" w:color="auto" w:fill="auto"/>
          <w:lang w:val="hr-HR" w:eastAsia="hr-HR" w:bidi="hr-HR"/>
        </w:rPr>
        <w:t xml:space="preserve">KARITAS -&gt; </w:t>
      </w:r>
      <w:r>
        <w:rPr>
          <w:rFonts w:ascii="Times New Roman" w:eastAsia="Times New Roman" w:hAnsi="Times New Roman" w:cs="Times New Roman"/>
          <w:color w:val="000000"/>
          <w:spacing w:val="0"/>
          <w:w w:val="100"/>
          <w:position w:val="0"/>
          <w:shd w:val="clear" w:color="auto" w:fill="auto"/>
          <w:lang w:val="hr-HR" w:eastAsia="hr-HR" w:bidi="hr-HR"/>
        </w:rPr>
        <w:t>IJUBAV PREMA BLIŽNJEMU</w:t>
      </w:r>
      <w:bookmarkEnd w:id="155"/>
    </w:p>
    <w:p>
      <w:pPr>
        <w:pStyle w:val="Style33"/>
        <w:keepNext w:val="0"/>
        <w:keepLines w:val="0"/>
        <w:widowControl w:val="0"/>
        <w:shd w:val="clear" w:color="auto" w:fill="auto"/>
        <w:bidi w:val="0"/>
        <w:spacing w:before="0" w:after="120"/>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KARIZMA</w:t>
      </w:r>
    </w:p>
    <w:p>
      <w:pPr>
        <w:pStyle w:val="Style63"/>
        <w:keepNext/>
        <w:keepLines/>
        <w:widowControl w:val="0"/>
        <w:numPr>
          <w:ilvl w:val="0"/>
          <w:numId w:val="229"/>
        </w:numPr>
        <w:shd w:val="clear" w:color="auto" w:fill="auto"/>
        <w:tabs>
          <w:tab w:pos="250" w:val="left"/>
        </w:tabs>
        <w:bidi w:val="0"/>
        <w:spacing w:before="0" w:after="0" w:line="259" w:lineRule="auto"/>
        <w:ind w:left="0" w:right="0" w:firstLine="0"/>
        <w:jc w:val="both"/>
      </w:pPr>
      <w:bookmarkStart w:id="156" w:name="bookmark156"/>
      <w:r>
        <w:rPr>
          <w:rFonts w:ascii="Times New Roman" w:eastAsia="Times New Roman" w:hAnsi="Times New Roman" w:cs="Times New Roman"/>
          <w:color w:val="000000"/>
          <w:spacing w:val="0"/>
          <w:w w:val="100"/>
          <w:position w:val="0"/>
          <w:shd w:val="clear" w:color="auto" w:fill="auto"/>
          <w:lang w:val="hr-HR" w:eastAsia="hr-HR" w:bidi="hr-HR"/>
        </w:rPr>
        <w:t>židovski</w:t>
      </w:r>
      <w:bookmarkEnd w:id="156"/>
    </w:p>
    <w:p>
      <w:pPr>
        <w:pStyle w:val="Style20"/>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Karizmom, grč. »dar«, Filon Aleksandrijski (I. stoljeće), biblijski egzeget, nazvao je božanske darove ljudima: »Sve na svijetu i sam svijet poklon su i dobročinstvo i dar Božji </w:t>
      </w:r>
      <w:r>
        <w:rPr>
          <w:rFonts w:ascii="Times New Roman" w:eastAsia="Times New Roman" w:hAnsi="Times New Roman" w:cs="Times New Roman"/>
          <w:i/>
          <w:iCs/>
          <w:color w:val="000000"/>
          <w:spacing w:val="0"/>
          <w:w w:val="100"/>
          <w:position w:val="0"/>
          <w:shd w:val="clear" w:color="auto" w:fill="auto"/>
          <w:lang w:val="en-US" w:eastAsia="en-US" w:bidi="en-US"/>
        </w:rPr>
        <w:t xml:space="preserve">(Leges </w:t>
      </w:r>
      <w:r>
        <w:rPr>
          <w:rFonts w:ascii="Times New Roman" w:eastAsia="Times New Roman" w:hAnsi="Times New Roman" w:cs="Times New Roman"/>
          <w:i/>
          <w:iCs/>
          <w:color w:val="000000"/>
          <w:spacing w:val="0"/>
          <w:w w:val="100"/>
          <w:position w:val="0"/>
          <w:shd w:val="clear" w:color="auto" w:fill="auto"/>
          <w:lang w:val="hr-HR" w:eastAsia="hr-HR" w:bidi="hr-HR"/>
        </w:rPr>
        <w:t>al- legoriae,</w:t>
      </w:r>
      <w:r>
        <w:rPr>
          <w:rFonts w:ascii="Times New Roman" w:eastAsia="Times New Roman" w:hAnsi="Times New Roman" w:cs="Times New Roman"/>
          <w:color w:val="000000"/>
          <w:spacing w:val="0"/>
          <w:w w:val="100"/>
          <w:position w:val="0"/>
          <w:shd w:val="clear" w:color="auto" w:fill="auto"/>
          <w:lang w:val="hr-HR" w:eastAsia="hr-HR" w:bidi="hr-HR"/>
        </w:rPr>
        <w:t xml:space="preserve"> 111,24). Taj je naziv uporabio još sa</w:t>
        <w:softHyphen/>
        <w:t>mo jedan autor, Pavao. Postoje različita ob</w:t>
        <w:softHyphen/>
        <w:t>jašnjenja za njegovo nabrajanje milosnih da</w:t>
        <w:softHyphen/>
        <w:t xml:space="preserve">rova. Razumljiva je usporedba s predodžbama o nadahnuću, vjeri i nauku u prvih rabina i s molitvama u sinagogi koje od njih potječu. Kao u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ti se pojmovi shvaćaju kako ra- cionalistički tako ekstatički i mistički, već pre</w:t>
        <w:softHyphen/>
        <w:t>ma sklonosti tumača. Uzimanje ekstatičnoga ma</w:t>
        <w:softHyphen/>
        <w:t>ha moralo se od vremena do vremena zauz</w:t>
        <w:softHyphen/>
        <w:t xml:space="preserve">dati. Na to se ponajprije odnosila proročka -» </w:t>
      </w:r>
      <w:r>
        <w:rPr>
          <w:rFonts w:ascii="Times New Roman" w:eastAsia="Times New Roman" w:hAnsi="Times New Roman" w:cs="Times New Roman"/>
          <w:i/>
          <w:iCs/>
          <w:color w:val="000000"/>
          <w:spacing w:val="0"/>
          <w:w w:val="100"/>
          <w:position w:val="0"/>
          <w:shd w:val="clear" w:color="auto" w:fill="auto"/>
          <w:lang w:val="hr-HR" w:eastAsia="hr-HR" w:bidi="hr-HR"/>
        </w:rPr>
        <w:t>inspiracija.</w:t>
      </w:r>
      <w:r>
        <w:rPr>
          <w:rFonts w:ascii="Times New Roman" w:eastAsia="Times New Roman" w:hAnsi="Times New Roman" w:cs="Times New Roman"/>
          <w:color w:val="000000"/>
          <w:spacing w:val="0"/>
          <w:w w:val="100"/>
          <w:position w:val="0"/>
          <w:shd w:val="clear" w:color="auto" w:fill="auto"/>
          <w:lang w:val="hr-HR" w:eastAsia="hr-HR" w:bidi="hr-HR"/>
        </w:rPr>
        <w:t xml:space="preserve"> Svakodnevne molitve naglašavale su darove uvida, razumijevanja i spoznavanja kako bi se djelovalo po Božjoj volji. Proroci su djelovali slično Pavlu s »darom jezika« u zanosnim i okrepljujućim tumačenjima pisma. Značajni pismoznanci bili su često i vizionari. Rabi </w:t>
      </w:r>
      <w:r>
        <w:rPr>
          <w:rFonts w:ascii="Times New Roman" w:eastAsia="Times New Roman" w:hAnsi="Times New Roman" w:cs="Times New Roman"/>
          <w:color w:val="000000"/>
          <w:spacing w:val="0"/>
          <w:w w:val="100"/>
          <w:position w:val="0"/>
          <w:shd w:val="clear" w:color="auto" w:fill="auto"/>
          <w:lang w:val="en-US" w:eastAsia="en-US" w:bidi="en-US"/>
        </w:rPr>
        <w:t xml:space="preserve">Josef Karo, </w:t>
      </w:r>
      <w:r>
        <w:rPr>
          <w:rFonts w:ascii="Times New Roman" w:eastAsia="Times New Roman" w:hAnsi="Times New Roman" w:cs="Times New Roman"/>
          <w:color w:val="000000"/>
          <w:spacing w:val="0"/>
          <w:w w:val="100"/>
          <w:position w:val="0"/>
          <w:shd w:val="clear" w:color="auto" w:fill="auto"/>
          <w:lang w:val="hr-HR" w:eastAsia="hr-HR" w:bidi="hr-HR"/>
        </w:rPr>
        <w:t>autor zbirke zakona »Šulhan aruh« (hebr. »prostrt stol«) (Galileja, XVI.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stoljeće), vodio je dnevnik o nebeskom glasu koji mu je diktirao, a koji su katkada čuli i neki njegovi učenici. Pavlov naziv »dar dija- konijc« odgovara židovskom idealu zajednice kojoj Tora kao dar Božji uvijek iznova mora pridonositi. Židovsko shvaćanje učitelja kao nasljednika proroka susreće se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koji priznaje proroštvo samo u vezi s naukom. Glede »govora jezicima« (glosolalija) na Du</w:t>
        <w:softHyphen/>
        <w:t>hove valja primijetiti da je židovska Pedeset- nica posvećena objavi na Sinaju. Prema tradi</w:t>
        <w:softHyphen/>
        <w:t>ciji, zapovijedi su objavljene istodobno na svim jezicima.</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Napetost između ekstaze i norme nastavlja se kroz stoljeća. Vrhunac dostiže u hasidizmu. Taj pokret suprotstavlja duhovnom učitelju, rabinu (-» </w:t>
      </w:r>
      <w:r>
        <w:rPr>
          <w:rFonts w:ascii="Times New Roman" w:eastAsia="Times New Roman" w:hAnsi="Times New Roman" w:cs="Times New Roman"/>
          <w:i/>
          <w:iCs/>
          <w:color w:val="000000"/>
          <w:spacing w:val="0"/>
          <w:w w:val="100"/>
          <w:position w:val="0"/>
          <w:shd w:val="clear" w:color="auto" w:fill="auto"/>
          <w:lang w:val="hr-HR" w:eastAsia="hr-HR" w:bidi="hr-HR"/>
        </w:rPr>
        <w:t>Službaj,</w:t>
      </w:r>
      <w:r>
        <w:rPr>
          <w:rFonts w:ascii="Times New Roman" w:eastAsia="Times New Roman" w:hAnsi="Times New Roman" w:cs="Times New Roman"/>
          <w:color w:val="000000"/>
          <w:spacing w:val="0"/>
          <w:w w:val="100"/>
          <w:position w:val="0"/>
          <w:shd w:val="clear" w:color="auto" w:fill="auto"/>
          <w:lang w:val="hr-HR" w:eastAsia="hr-HR" w:bidi="hr-HR"/>
        </w:rPr>
        <w:t xml:space="preserve"> učitelja koji je neposredno oduševljen Bogom (cadik; reb ili hebr. </w:t>
      </w:r>
      <w:r>
        <w:rPr>
          <w:rFonts w:ascii="Times New Roman" w:eastAsia="Times New Roman" w:hAnsi="Times New Roman" w:cs="Times New Roman"/>
          <w:i/>
          <w:iCs/>
          <w:color w:val="000000"/>
          <w:spacing w:val="0"/>
          <w:w w:val="100"/>
          <w:position w:val="0"/>
          <w:shd w:val="clear" w:color="auto" w:fill="auto"/>
          <w:lang w:val="hr-HR" w:eastAsia="hr-HR" w:bidi="hr-HR"/>
        </w:rPr>
        <w:t xml:space="preserve">rebbe; </w:t>
      </w:r>
      <w:r>
        <w:rPr>
          <w:rFonts w:ascii="Times New Roman" w:eastAsia="Times New Roman" w:hAnsi="Times New Roman" w:cs="Times New Roman"/>
          <w:color w:val="000000"/>
          <w:spacing w:val="0"/>
          <w:w w:val="100"/>
          <w:position w:val="0"/>
          <w:shd w:val="clear" w:color="auto" w:fill="auto"/>
          <w:lang w:val="hr-HR" w:eastAsia="hr-HR" w:bidi="hr-HR"/>
        </w:rPr>
        <w:t xml:space="preserve">čudotvorac ili jidiš </w:t>
      </w:r>
      <w:r>
        <w:rPr>
          <w:rFonts w:ascii="Times New Roman" w:eastAsia="Times New Roman" w:hAnsi="Times New Roman" w:cs="Times New Roman"/>
          <w:i/>
          <w:iCs/>
          <w:color w:val="000000"/>
          <w:spacing w:val="0"/>
          <w:w w:val="100"/>
          <w:position w:val="0"/>
          <w:shd w:val="clear" w:color="auto" w:fill="auto"/>
          <w:lang w:val="en-US" w:eastAsia="en-US" w:bidi="en-US"/>
        </w:rPr>
        <w:t>Wunderrebbe).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On posre</w:t>
        <w:softHyphen/>
        <w:t>duje između svojih pristaša i Boga, gleda u tajne izmučene duše i pomaže joj. Pjesma i ples muškaraca važni su oblici toga karizmat</w:t>
        <w:softHyphen/>
        <w:t>skog pokreta. I izvan hasidizma istočnoeurop</w:t>
        <w:softHyphen/>
        <w:t xml:space="preserve">skih karakteristika djeluju danas neohasiditski karizmatici poput učitelja i pjevača rabina Schloma Carlebacha i </w:t>
      </w:r>
      <w:r>
        <w:rPr>
          <w:rFonts w:ascii="Times New Roman" w:eastAsia="Times New Roman" w:hAnsi="Times New Roman" w:cs="Times New Roman"/>
          <w:color w:val="000000"/>
          <w:spacing w:val="0"/>
          <w:w w:val="100"/>
          <w:position w:val="0"/>
          <w:shd w:val="clear" w:color="auto" w:fill="auto"/>
          <w:lang w:val="en-US" w:eastAsia="en-US" w:bidi="en-US"/>
        </w:rPr>
        <w:t xml:space="preserve">prof. </w:t>
      </w:r>
      <w:r>
        <w:rPr>
          <w:rFonts w:ascii="Times New Roman" w:eastAsia="Times New Roman" w:hAnsi="Times New Roman" w:cs="Times New Roman"/>
          <w:color w:val="000000"/>
          <w:spacing w:val="0"/>
          <w:w w:val="100"/>
          <w:position w:val="0"/>
          <w:shd w:val="clear" w:color="auto" w:fill="auto"/>
          <w:lang w:val="hr-HR" w:eastAsia="hr-HR" w:bidi="hr-HR"/>
        </w:rPr>
        <w:t xml:space="preserve">Z. Schachtera </w:t>
      </w:r>
      <w:r>
        <w:rPr>
          <w:rFonts w:ascii="Times New Roman" w:eastAsia="Times New Roman" w:hAnsi="Times New Roman" w:cs="Times New Roman"/>
          <w:color w:val="000000"/>
          <w:spacing w:val="0"/>
          <w:w w:val="100"/>
          <w:position w:val="0"/>
          <w:shd w:val="clear" w:color="auto" w:fill="auto"/>
          <w:lang w:val="en-US" w:eastAsia="en-US" w:bidi="en-US"/>
        </w:rPr>
        <w:t xml:space="preserve">(Temple University, Philadelphia) </w:t>
      </w:r>
      <w:r>
        <w:rPr>
          <w:rFonts w:ascii="Times New Roman" w:eastAsia="Times New Roman" w:hAnsi="Times New Roman" w:cs="Times New Roman"/>
          <w:color w:val="000000"/>
          <w:spacing w:val="0"/>
          <w:w w:val="100"/>
          <w:position w:val="0"/>
          <w:shd w:val="clear" w:color="auto" w:fill="auto"/>
          <w:lang w:val="hr-HR" w:eastAsia="hr-HR" w:bidi="hr-HR"/>
        </w:rPr>
        <w:t>u skupina</w:t>
        <w:softHyphen/>
        <w:t>ma koje radosnu i neposrednu vezu s vjerom, tradicijom i naukom pretvaraju u svoj, uglav</w:t>
        <w:softHyphen/>
        <w:t>nom zajednički, način života. I tekstovi M. Bubera i A. J. Heschela važni su za takve sku</w:t>
        <w:softHyphen/>
        <w:t>pine koje prije svega postoje u SAD-u unutar etabliranih židovskih zajednica ili uz njih.</w:t>
      </w:r>
    </w:p>
    <w:p>
      <w:pPr>
        <w:pStyle w:val="Style56"/>
        <w:keepNext w:val="0"/>
        <w:keepLines w:val="0"/>
        <w:widowControl w:val="0"/>
        <w:shd w:val="clear" w:color="auto" w:fill="auto"/>
        <w:tabs>
          <w:tab w:pos="1939" w:val="left"/>
        </w:tabs>
        <w:bidi w:val="0"/>
        <w:spacing w:before="0" w:after="18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Buber, </w:t>
      </w:r>
      <w:r>
        <w:rPr>
          <w:i/>
          <w:iCs/>
          <w:color w:val="000000"/>
          <w:spacing w:val="0"/>
          <w:w w:val="100"/>
          <w:position w:val="0"/>
          <w:shd w:val="clear" w:color="auto" w:fill="auto"/>
        </w:rPr>
        <w:t>Ich und Du,</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w:t>
      </w:r>
      <w:r>
        <w:rPr>
          <w:color w:val="000000"/>
          <w:spacing w:val="0"/>
          <w:w w:val="100"/>
          <w:position w:val="0"/>
          <w:shd w:val="clear" w:color="auto" w:fill="auto"/>
        </w:rPr>
        <w:t xml:space="preserve">xipzig </w:t>
      </w:r>
      <w:r>
        <w:rPr>
          <w:color w:val="000000"/>
          <w:spacing w:val="0"/>
          <w:w w:val="100"/>
          <w:position w:val="0"/>
          <w:shd w:val="clear" w:color="auto" w:fill="auto"/>
          <w:lang w:val="hr-HR" w:eastAsia="hr-HR" w:bidi="hr-HR"/>
        </w:rPr>
        <w:t xml:space="preserve">1923, </w:t>
      </w:r>
      <w:r>
        <w:rPr>
          <w:color w:val="000000"/>
          <w:spacing w:val="0"/>
          <w:w w:val="100"/>
          <w:position w:val="0"/>
          <w:shd w:val="clear" w:color="auto" w:fill="auto"/>
        </w:rPr>
        <w:t xml:space="preserve">Heidelberg </w:t>
      </w:r>
      <w:r>
        <w:rPr>
          <w:color w:val="000000"/>
          <w:spacing w:val="0"/>
          <w:w w:val="100"/>
          <w:position w:val="0"/>
          <w:shd w:val="clear" w:color="auto" w:fill="auto"/>
          <w:lang w:val="hr-HR" w:eastAsia="hr-HR" w:bidi="hr-HR"/>
        </w:rPr>
        <w:t xml:space="preserve">1978; </w:t>
      </w:r>
      <w:r>
        <w:rPr>
          <w:color w:val="000000"/>
          <w:spacing w:val="0"/>
          <w:w w:val="100"/>
          <w:position w:val="0"/>
          <w:shd w:val="clear" w:color="auto" w:fill="auto"/>
        </w:rPr>
        <w:t xml:space="preserve">A. J. Heschcl, </w:t>
      </w:r>
      <w:r>
        <w:rPr>
          <w:i/>
          <w:iCs/>
          <w:color w:val="000000"/>
          <w:spacing w:val="0"/>
          <w:w w:val="100"/>
          <w:position w:val="0"/>
          <w:shd w:val="clear" w:color="auto" w:fill="auto"/>
          <w:lang w:val="hr-HR" w:eastAsia="hr-HR" w:bidi="hr-HR"/>
        </w:rPr>
        <w:t xml:space="preserve">God </w:t>
      </w:r>
      <w:r>
        <w:rPr>
          <w:i/>
          <w:iCs/>
          <w:color w:val="000000"/>
          <w:spacing w:val="0"/>
          <w:w w:val="100"/>
          <w:position w:val="0"/>
          <w:shd w:val="clear" w:color="auto" w:fill="auto"/>
        </w:rPr>
        <w:t>in Search of Man,</w:t>
      </w:r>
      <w:r>
        <w:rPr>
          <w:color w:val="000000"/>
          <w:spacing w:val="0"/>
          <w:w w:val="100"/>
          <w:position w:val="0"/>
          <w:shd w:val="clear" w:color="auto" w:fill="auto"/>
        </w:rPr>
        <w:t xml:space="preserve"> New York 1959; R. J. Wcrblowsky/J. Karo, </w:t>
      </w:r>
      <w:r>
        <w:rPr>
          <w:i/>
          <w:iCs/>
          <w:color w:val="000000"/>
          <w:spacing w:val="0"/>
          <w:w w:val="100"/>
          <w:position w:val="0"/>
          <w:shd w:val="clear" w:color="auto" w:fill="auto"/>
        </w:rPr>
        <w:t>lawyer and My.uic,</w:t>
      </w:r>
      <w:r>
        <w:rPr>
          <w:color w:val="000000"/>
          <w:spacing w:val="0"/>
          <w:w w:val="100"/>
          <w:position w:val="0"/>
          <w:shd w:val="clear" w:color="auto" w:fill="auto"/>
        </w:rPr>
        <w:t xml:space="preserve"> Oxford 1962; Z. Schachter, A first Step, A Devotional Guide, u; </w:t>
      </w:r>
      <w:r>
        <w:rPr>
          <w:i/>
          <w:iCs/>
          <w:color w:val="000000"/>
          <w:spacing w:val="0"/>
          <w:w w:val="100"/>
          <w:position w:val="0"/>
          <w:shd w:val="clear" w:color="auto" w:fill="auto"/>
        </w:rPr>
        <w:t>The Jewish Catalogue,</w:t>
      </w:r>
      <w:r>
        <w:rPr>
          <w:color w:val="000000"/>
          <w:spacing w:val="0"/>
          <w:w w:val="100"/>
          <w:position w:val="0"/>
          <w:shd w:val="clear" w:color="auto" w:fill="auto"/>
        </w:rPr>
        <w:t xml:space="preserve"> Philadelphia 1973, 296-318;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Kassctten, Dahlberg Verlag, Frankfurt a. M. 1986; S. Carlcsbach. </w:t>
      </w:r>
      <w:r>
        <w:rPr>
          <w:i/>
          <w:iCs/>
          <w:color w:val="000000"/>
          <w:spacing w:val="0"/>
          <w:w w:val="100"/>
          <w:position w:val="0"/>
          <w:shd w:val="clear" w:color="auto" w:fill="auto"/>
        </w:rPr>
        <w:t>Reli</w:t>
        <w:softHyphen/>
        <w:t>giose Gesdnge</w:t>
      </w:r>
      <w:r>
        <w:rPr>
          <w:color w:val="000000"/>
          <w:spacing w:val="0"/>
          <w:w w:val="100"/>
          <w:position w:val="0"/>
          <w:shd w:val="clear" w:color="auto" w:fill="auto"/>
        </w:rPr>
        <w:t xml:space="preserve"> (Schallplatten).</w:t>
        <w:tab/>
        <w:t>P. NAVt LEVINSON</w:t>
      </w:r>
    </w:p>
    <w:p>
      <w:pPr>
        <w:pStyle w:val="Style63"/>
        <w:keepNext/>
        <w:keepLines/>
        <w:widowControl w:val="0"/>
        <w:numPr>
          <w:ilvl w:val="0"/>
          <w:numId w:val="229"/>
        </w:numPr>
        <w:shd w:val="clear" w:color="auto" w:fill="auto"/>
        <w:tabs>
          <w:tab w:pos="260" w:val="left"/>
        </w:tabs>
        <w:bidi w:val="0"/>
        <w:spacing w:before="0" w:after="80" w:line="218" w:lineRule="auto"/>
        <w:ind w:left="0" w:right="0" w:firstLine="0"/>
        <w:jc w:val="both"/>
      </w:pPr>
      <w:bookmarkStart w:id="157" w:name="bookmark15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57"/>
    </w:p>
    <w:p>
      <w:pPr>
        <w:pStyle w:val="Style20"/>
        <w:keepNext w:val="0"/>
        <w:keepLines w:val="0"/>
        <w:widowControl w:val="0"/>
        <w:numPr>
          <w:ilvl w:val="0"/>
          <w:numId w:val="183"/>
        </w:numPr>
        <w:shd w:val="clear" w:color="auto" w:fill="auto"/>
        <w:tabs>
          <w:tab w:pos="27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grčka riječ i znači (slobodno prevedena) milosni dar. U današnjoj jezičnoj praksi pod time se razumijeva nesvakidašnje svojstvo ne</w:t>
        <w:softHyphen/>
        <w:t>ke osobe, zbog kojeg ona slovi kao nadčovječ- na ili od Boga poslana (vođe sekta) ili barem kao oponašanja vrijedan uzor, pa zato zrači, odnosno djeluje kao autoritet (umjetnici/poli- tičari). Sveto pismo, i to pretežito Novi zavjet, pod karizmom razumijeva milosni dar Duha Svetoga svima ili određenim ljudima; darove koji služe osobnom posvećenju pojedinca kao</w:t>
        <w:br w:type="page"/>
      </w:r>
      <w:r>
        <w:rPr>
          <w:rFonts w:ascii="Times New Roman" w:eastAsia="Times New Roman" w:hAnsi="Times New Roman" w:cs="Times New Roman"/>
          <w:color w:val="000000"/>
          <w:spacing w:val="0"/>
          <w:w w:val="100"/>
          <w:position w:val="0"/>
          <w:shd w:val="clear" w:color="auto" w:fill="auto"/>
          <w:lang w:val="hr-HR" w:eastAsia="hr-HR" w:bidi="hr-HR"/>
        </w:rPr>
        <w:t xml:space="preserve">i unapređivanju općeg dobra. Iako Stari zavjet ne upotrebljava pojant karizme, ipak poznaje oblike pojave koja se kasnije tako nazvala. Tu se ubrajaju silna djela narodnih voda koji su zahvaćeni Duhom Svetim kao Otonicl (Suci 3, 10), </w:t>
      </w:r>
      <w:r>
        <w:rPr>
          <w:rFonts w:ascii="Times New Roman" w:eastAsia="Times New Roman" w:hAnsi="Times New Roman" w:cs="Times New Roman"/>
          <w:color w:val="000000"/>
          <w:spacing w:val="0"/>
          <w:w w:val="100"/>
          <w:position w:val="0"/>
          <w:shd w:val="clear" w:color="auto" w:fill="auto"/>
          <w:lang w:val="en-US" w:eastAsia="en-US" w:bidi="en-US"/>
        </w:rPr>
        <w:t xml:space="preserve">Samson </w:t>
      </w:r>
      <w:r>
        <w:rPr>
          <w:rFonts w:ascii="Times New Roman" w:eastAsia="Times New Roman" w:hAnsi="Times New Roman" w:cs="Times New Roman"/>
          <w:color w:val="000000"/>
          <w:spacing w:val="0"/>
          <w:w w:val="100"/>
          <w:position w:val="0"/>
          <w:shd w:val="clear" w:color="auto" w:fill="auto"/>
          <w:lang w:val="hr-HR" w:eastAsia="hr-HR" w:bidi="hr-HR"/>
        </w:rPr>
        <w:t>(Suci 13,25 i dr.) i Šaul (1 Sam 11,6). Prorok Jod, koji je živio u IV. - III. stoljeću pr. Kr., obcćajc (3,1 i d.) izlijevanje Duha na sav narod, a Petar u svojoj duhovskoj propovijedi (Dj 2) to obećanje drži ostvare</w:t>
        <w:softHyphen/>
        <w:t>nim silaženjem Duha koje je obznanjeno ču</w:t>
        <w:softHyphen/>
        <w:t>dom jezika.</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w:t>
        <w:tab/>
        <w:t>u Novom zavjetu:</w:t>
      </w:r>
      <w:r>
        <w:rPr>
          <w:rFonts w:ascii="Times New Roman" w:eastAsia="Times New Roman" w:hAnsi="Times New Roman" w:cs="Times New Roman"/>
          <w:color w:val="000000"/>
          <w:spacing w:val="0"/>
          <w:w w:val="100"/>
          <w:position w:val="0"/>
          <w:shd w:val="clear" w:color="auto" w:fill="auto"/>
          <w:lang w:val="hr-HR" w:eastAsia="hr-HR" w:bidi="hr-HR"/>
        </w:rPr>
        <w:t xml:space="preserve"> Pojave, ovdje označene kao k., zbog svog su božanskog podrijetla označene i kao darovi Duha (pneumatika) ili jednostavno kao Duh (pneuma). Promjena iz</w:t>
        <w:softHyphen/>
        <w:t>raza ipak ne znači nikakvu ili tek neznatnu promjenu u samoj stvari tako da se ovdje - kao i u ostaloj literaturi - svi gore spomenuti pojmovi mogu uzeti kao citirana mjesta za karizmu. Neovisno o nejedinstvenoj jezičnoj uporabi. Novi zavjet upotrebljava pojam ka</w:t>
        <w:softHyphen/>
        <w:t xml:space="preserve">rizme u užem i u širem smislu.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širem smislu </w:t>
      </w:r>
      <w:r>
        <w:rPr>
          <w:rFonts w:ascii="Times New Roman" w:eastAsia="Times New Roman" w:hAnsi="Times New Roman" w:cs="Times New Roman"/>
          <w:color w:val="000000"/>
          <w:spacing w:val="0"/>
          <w:w w:val="100"/>
          <w:position w:val="0"/>
          <w:shd w:val="clear" w:color="auto" w:fill="auto"/>
          <w:lang w:val="hr-HR" w:eastAsia="hr-HR" w:bidi="hr-HR"/>
        </w:rPr>
        <w:t>k. je prije svega, oslanjajući se na Rim 11,29 i 5.15-16, apsolutno nezasluženo Božje spa- senjsko djelovanje na grešnom i izgubljenom čovjeku. S tog je gledišta k. jedanput neza</w:t>
        <w:softHyphen/>
        <w:t>služena izabranost izraelskog naroda, a još općenitije spasenje u Isusu Kristu poklonjeno svim ljudima bez razlike.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ipak, daleko se češće pojam karizme upo</w:t>
        <w:softHyphen/>
        <w:t xml:space="preserve">trebljava u </w:t>
      </w:r>
      <w:r>
        <w:rPr>
          <w:rFonts w:ascii="Times New Roman" w:eastAsia="Times New Roman" w:hAnsi="Times New Roman" w:cs="Times New Roman"/>
          <w:i/>
          <w:iCs/>
          <w:color w:val="000000"/>
          <w:spacing w:val="0"/>
          <w:w w:val="100"/>
          <w:position w:val="0"/>
          <w:shd w:val="clear" w:color="auto" w:fill="auto"/>
          <w:lang w:val="hr-HR" w:eastAsia="hr-HR" w:bidi="hr-HR"/>
        </w:rPr>
        <w:t>užem smislu.</w:t>
      </w:r>
      <w:r>
        <w:rPr>
          <w:rFonts w:ascii="Times New Roman" w:eastAsia="Times New Roman" w:hAnsi="Times New Roman" w:cs="Times New Roman"/>
          <w:color w:val="000000"/>
          <w:spacing w:val="0"/>
          <w:w w:val="100"/>
          <w:position w:val="0"/>
          <w:shd w:val="clear" w:color="auto" w:fill="auto"/>
          <w:lang w:val="hr-HR" w:eastAsia="hr-HR" w:bidi="hr-HR"/>
        </w:rPr>
        <w:t xml:space="preserve"> Klasično mjesto je Prva poslanica Korinćanima i tu prije svega 12. poglavlje. Poslanica doduše ne razvija ni</w:t>
        <w:softHyphen/>
        <w:t>kakvo sustavno učenje o pojedinačnim kariz</w:t>
        <w:softHyphen/>
        <w:t>mama, ali trudi se razlagati diferencirano; prema tom dokumentu karizme su u strogom smislu: a) čudnovate, na prirodan način neob</w:t>
        <w:softHyphen/>
        <w:t>jašnjive sposobnosti, npr. već spomenuti go</w:t>
        <w:softHyphen/>
        <w:t>vor jezicima, proricanje i sve čudnovate moći; b) manje upadljive pojave, ali koje ipak nisu same po sebi razumljive poput nesebične kari</w:t>
        <w:softHyphen/>
        <w:t xml:space="preserve">tativne djelatnosti ili bezbračnosti; c) darovi koji su u početku bili stečeni kao karizme poput naviještanja Riječi, egzorcizma, vođenja zajednice, ali koji su </w:t>
      </w:r>
      <w:r>
        <w:rPr>
          <w:rFonts w:ascii="Times New Roman" w:eastAsia="Times New Roman" w:hAnsi="Times New Roman" w:cs="Times New Roman"/>
          <w:color w:val="000000"/>
          <w:spacing w:val="0"/>
          <w:w w:val="100"/>
          <w:position w:val="0"/>
          <w:shd w:val="clear" w:color="auto" w:fill="auto"/>
          <w:lang w:val="en-US" w:eastAsia="en-US" w:bidi="en-US"/>
        </w:rPr>
        <w:t xml:space="preserve">de facto </w:t>
      </w:r>
      <w:r>
        <w:rPr>
          <w:rFonts w:ascii="Times New Roman" w:eastAsia="Times New Roman" w:hAnsi="Times New Roman" w:cs="Times New Roman"/>
          <w:color w:val="000000"/>
          <w:spacing w:val="0"/>
          <w:w w:val="100"/>
          <w:position w:val="0"/>
          <w:shd w:val="clear" w:color="auto" w:fill="auto"/>
          <w:lang w:val="hr-HR" w:eastAsia="hr-HR" w:bidi="hr-HR"/>
        </w:rPr>
        <w:t>ubrzo bili tako čvrsto povezani sa službom da su bili dijeljeni gotovo kao neka vrsta milosne službe.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1 Kor 12 razdjeljivanje karizmi poveza</w:t>
        <w:softHyphen/>
        <w:t>no je s vjerničkim primanjem krštenja; iznim</w:t>
        <w:softHyphen/>
        <w:t xml:space="preserve">ku samo predstavlja izlijevanje Duha na još nekrštenoga Kornelija (Dj 10.46). - Doduše, </w:t>
      </w:r>
      <w:r>
        <w:rPr>
          <w:rFonts w:ascii="Times New Roman" w:eastAsia="Times New Roman" w:hAnsi="Times New Roman" w:cs="Times New Roman"/>
          <w:color w:val="000000"/>
          <w:spacing w:val="0"/>
          <w:w w:val="100"/>
          <w:position w:val="0"/>
          <w:shd w:val="clear" w:color="auto" w:fill="auto"/>
          <w:lang w:val="hr-HR" w:eastAsia="hr-HR" w:bidi="hr-HR"/>
        </w:rPr>
        <w:t>svi vjernici primaju jednu karizmu, svakako ne svi istu niti u istoj mjeri. Prema 1 Kor 12,4 ima različitih karizmi; no jedan je i isti Duh koji ih razdjeljuje da bi od primatelja bili upotrijeb</w:t>
        <w:softHyphen/>
        <w:t>ljeni na korist zajednice. Nabrajanje koje se nalazi u 1 Kor 12,8 i d. i 12,28 i d. nije pot</w:t>
        <w:softHyphen/>
        <w:t>puno niti je čisto razgraničeno u formalnom i sadržajnom smislu. U nesustavnom redoslije</w:t>
        <w:softHyphen/>
        <w:t>du navedeni su: mudrost, znanje, dar ozdrav- Ijanja, moć čudesa, dar proricanja, sposobnost razlikovanja duhova, dar različitih jezika, dar pružanja pomoći, dar upravljanja, dar služe</w:t>
        <w:softHyphen/>
        <w:t>nja zajednici, blagost, milosrdnost i bezbrač- nost. Neki su nositelji karizmi, kao npr. apos</w:t>
        <w:softHyphen/>
        <w:t>toli i učitelji, čvrsto usvojili ove darove.Tu bi mogao ležati izvor kasnijeg shvaćanja milosne službe kao gotovo isključivo institucionalne. Iako su sve karizme slobodni Božji darovi koji se ne mogu zahtijevati, ipak vjernici trebaju za njima težiti i molitvom (i žrtvom) učiniti sebe raspoloživima za njihovo primanje; pretpo</w:t>
        <w:softHyphen/>
        <w:t>stavlja se i stanovita priznata rang-lista kariz</w:t>
        <w:softHyphen/>
        <w:t>mi. Na najnižem su stupnju karizme koje služe samo privatnom vlastitom izgrađivanju; one stoje to više što više pospješuju opće do</w:t>
        <w:softHyphen/>
        <w:t>bro zajednice (1 Kor 12,31). Unatoč njihovoj velikoj različitosti i širini, ne smije biti protu</w:t>
        <w:softHyphen/>
        <w:t>rječja između pojedinih karizmi (1 Kor 14,33) jer sve one potječu od Boga. Zato se također pazi da pojedini nositelj karizme djeluje pri</w:t>
        <w:softHyphen/>
        <w:t>vrženo »zdravoj nauci apostola« (Tit 1,9) i da je se pridržava (1 Kor 14,26).</w:t>
      </w:r>
    </w:p>
    <w:p>
      <w:pPr>
        <w:pStyle w:val="Style20"/>
        <w:keepNext w:val="0"/>
        <w:keepLines w:val="0"/>
        <w:widowControl w:val="0"/>
        <w:shd w:val="clear" w:color="auto" w:fill="auto"/>
        <w:bidi w:val="0"/>
        <w:spacing w:before="0" w:after="1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Karizme, koje su spomenute u Novom zavje</w:t>
        <w:softHyphen/>
        <w:t>tu, nisu doduše nikada sasvim nestale iz Crkve, ali su postale rijetke. Redovništvo se od svojih početaka osjeća kao naslijede karizme Pra- crkvc, a i pokret siromaštva kao i utemeljenja redova u srednjem vijeku nezamisliva su bez karizmatičkih ličnosti poput Franje Asiškoga; i u novoj crkvenoj povijesti može sc naći ka</w:t>
        <w:softHyphen/>
        <w:t>rizma; sjetimo se samo Ivana XXIII.; on je svakako i nositelj službe. Općenito je postalo sve teže uvrstiti karizme u Crkvu koja stalno raste, a upravljana je hijerarhijski, tako da se može utvrditi neosporno premještanje težišta s karizme na službu, a to je tendencija koja se ogleda i u činjenici da se k. kao tema neznat</w:t>
        <w:softHyphen/>
        <w:t>no obrađivala u literaturi.</w:t>
      </w:r>
    </w:p>
    <w:p>
      <w:pPr>
        <w:pStyle w:val="Style56"/>
        <w:keepNext w:val="0"/>
        <w:keepLines w:val="0"/>
        <w:widowControl w:val="0"/>
        <w:shd w:val="clear" w:color="auto" w:fill="auto"/>
        <w:bidi w:val="0"/>
        <w:spacing w:before="0" w:after="80" w:line="240" w:lineRule="auto"/>
        <w:ind w:left="0" w:right="0" w:firstLine="0"/>
        <w:jc w:val="both"/>
        <w:sectPr>
          <w:headerReference w:type="default" r:id="rId617"/>
          <w:footerReference w:type="default" r:id="rId618"/>
          <w:headerReference w:type="even" r:id="rId619"/>
          <w:footerReference w:type="even" r:id="rId620"/>
          <w:headerReference w:type="first" r:id="rId621"/>
          <w:footerReference w:type="first" r:id="rId622"/>
          <w:footnotePr>
            <w:pos w:val="pageBottom"/>
            <w:numFmt w:val="decimal"/>
            <w:numStart w:val="5"/>
            <w:numRestart w:val="continuous"/>
            <w15:footnoteColumns w:val="1"/>
          </w:footnotePr>
          <w:pgSz w:w="6816" w:h="11006"/>
          <w:pgMar w:top="987" w:left="169" w:right="172" w:bottom="443" w:header="0" w:footer="3" w:gutter="0"/>
          <w:pgNumType w:start="213"/>
          <w:cols w:num="2" w:space="157"/>
          <w:noEndnote/>
          <w:titlePg/>
          <w:rtlGutter w:val="0"/>
          <w:docGrid w:linePitch="360"/>
        </w:sectPr>
      </w:pPr>
      <w:r>
        <mc:AlternateContent>
          <mc:Choice Requires="wps">
            <w:drawing>
              <wp:anchor distT="38100" distB="254000" distL="114300" distR="114300" simplePos="0" relativeHeight="125829401" behindDoc="0" locked="0" layoutInCell="1" allowOverlap="1">
                <wp:simplePos x="0" y="0"/>
                <wp:positionH relativeFrom="page">
                  <wp:posOffset>151765</wp:posOffset>
                </wp:positionH>
                <wp:positionV relativeFrom="margin">
                  <wp:posOffset>6138545</wp:posOffset>
                </wp:positionV>
                <wp:extent cx="191770" cy="109855"/>
                <wp:wrapTopAndBottom/>
                <wp:docPr id="1338" name="Shape 1338"/>
                <a:graphic xmlns:a="http://schemas.openxmlformats.org/drawingml/2006/main">
                  <a:graphicData uri="http://schemas.microsoft.com/office/word/2010/wordprocessingShape">
                    <wps:wsp>
                      <wps:cNvSpPr txBox="1"/>
                      <wps:spPr>
                        <a:xfrm>
                          <a:ext cx="19177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om</w:t>
                            </w:r>
                          </w:p>
                        </w:txbxContent>
                      </wps:txbx>
                      <wps:bodyPr wrap="none" lIns="0" tIns="0" rIns="0" bIns="0">
                        <a:noAutoFit/>
                      </wps:bodyPr>
                    </wps:wsp>
                  </a:graphicData>
                </a:graphic>
              </wp:anchor>
            </w:drawing>
          </mc:Choice>
          <mc:Fallback>
            <w:pict>
              <v:shape id="_x0000_s2364" type="#_x0000_t202" style="position:absolute;margin-left:11.949999999999999pt;margin-top:483.35000000000002pt;width:15.1pt;height:8.6500000000000004pt;z-index:-125829352;mso-wrap-distance-left:9.pt;mso-wrap-distance-top:3.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om</w:t>
                      </w:r>
                    </w:p>
                  </w:txbxContent>
                </v:textbox>
                <w10:wrap type="topAndBottom" anchorx="page" anchory="margin"/>
              </v:shape>
            </w:pict>
          </mc:Fallback>
        </mc:AlternateContent>
      </w:r>
      <w:r>
        <w:rPr>
          <w:color w:val="000000"/>
          <w:spacing w:val="0"/>
          <w:w w:val="100"/>
          <w:position w:val="0"/>
          <w:shd w:val="clear" w:color="auto" w:fill="auto"/>
        </w:rPr>
        <w:t xml:space="preserve">Lit.: J. Brnsch, </w:t>
      </w:r>
      <w:r>
        <w:rPr>
          <w:i/>
          <w:iCs/>
          <w:color w:val="000000"/>
          <w:spacing w:val="0"/>
          <w:w w:val="100"/>
          <w:position w:val="0"/>
          <w:shd w:val="clear" w:color="auto" w:fill="auto"/>
        </w:rPr>
        <w:t xml:space="preserve">Charisma and Amter in </w:t>
      </w:r>
      <w:r>
        <w:rPr>
          <w:i/>
          <w:iCs/>
          <w:color w:val="000000"/>
          <w:spacing w:val="0"/>
          <w:w w:val="100"/>
          <w:position w:val="0"/>
          <w:shd w:val="clear" w:color="auto" w:fill="auto"/>
          <w:lang w:val="hr-HR" w:eastAsia="hr-HR" w:bidi="hr-HR"/>
        </w:rPr>
        <w:t>der Urkirche,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Bonn </w:t>
      </w:r>
      <w:r>
        <w:rPr>
          <w:color w:val="000000"/>
          <w:spacing w:val="0"/>
          <w:w w:val="100"/>
          <w:position w:val="0"/>
          <w:shd w:val="clear" w:color="auto" w:fill="auto"/>
          <w:lang w:val="hr-HR" w:eastAsia="hr-HR" w:bidi="hr-HR"/>
        </w:rPr>
        <w:t xml:space="preserve">1951; C. v. Rad, </w:t>
      </w:r>
      <w:r>
        <w:rPr>
          <w:i/>
          <w:iCs/>
          <w:color w:val="000000"/>
          <w:spacing w:val="0"/>
          <w:w w:val="100"/>
          <w:position w:val="0"/>
          <w:shd w:val="clear" w:color="auto" w:fill="auto"/>
        </w:rPr>
        <w:t>Theologie des Alien Testaments,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Miinchcn 1969. 105—115; K. Rabncr. Das Charismatische </w:t>
      </w:r>
      <w:r>
        <w:rPr>
          <w:color w:val="000000"/>
          <w:spacing w:val="0"/>
          <w:w w:val="100"/>
          <w:position w:val="0"/>
          <w:shd w:val="clear" w:color="auto" w:fill="auto"/>
        </w:rPr>
        <w:t xml:space="preserve">in </w:t>
      </w:r>
      <w:r>
        <w:rPr>
          <w:color w:val="000000"/>
          <w:spacing w:val="0"/>
          <w:w w:val="100"/>
          <w:position w:val="0"/>
          <w:shd w:val="clear" w:color="auto" w:fill="auto"/>
          <w:lang w:val="hr-HR" w:eastAsia="hr-HR" w:bidi="hr-HR"/>
        </w:rPr>
        <w:t>dcr</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Kirchc. u: </w:t>
      </w:r>
      <w:r>
        <w:rPr>
          <w:i/>
          <w:iCs/>
          <w:color w:val="000000"/>
          <w:spacing w:val="0"/>
          <w:w w:val="100"/>
          <w:position w:val="0"/>
          <w:shd w:val="clear" w:color="auto" w:fill="auto"/>
        </w:rPr>
        <w:t>Stimmen der Zeil</w:t>
      </w:r>
      <w:r>
        <w:rPr>
          <w:color w:val="000000"/>
          <w:spacing w:val="0"/>
          <w:w w:val="100"/>
          <w:position w:val="0"/>
          <w:shd w:val="clear" w:color="auto" w:fill="auto"/>
        </w:rPr>
        <w:t xml:space="preserve"> 160 (1957) 161-186. K. H. Schclkc, </w:t>
      </w:r>
      <w:r>
        <w:rPr>
          <w:i/>
          <w:iCs/>
          <w:color w:val="000000"/>
          <w:spacing w:val="0"/>
          <w:w w:val="100"/>
          <w:position w:val="0"/>
          <w:shd w:val="clear" w:color="auto" w:fill="auto"/>
        </w:rPr>
        <w:t>Theologe des &gt;\'euen Testaments,</w:t>
      </w:r>
      <w:r>
        <w:rPr>
          <w:color w:val="000000"/>
          <w:spacing w:val="0"/>
          <w:w w:val="100"/>
          <w:position w:val="0"/>
          <w:shd w:val="clear" w:color="auto" w:fill="auto"/>
        </w:rPr>
        <w:t xml:space="preserve"> Bd 4/2.44-48.</w:t>
      </w:r>
    </w:p>
    <w:p>
      <w:pPr>
        <w:pStyle w:val="Style74"/>
        <w:keepNext w:val="0"/>
        <w:keepLines w:val="0"/>
        <w:widowControl w:val="0"/>
        <w:shd w:val="clear" w:color="auto" w:fill="auto"/>
        <w:bidi w:val="0"/>
        <w:spacing w:before="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K WHBI-R</w:t>
      </w:r>
    </w:p>
    <w:p>
      <w:pPr>
        <w:pStyle w:val="Style63"/>
        <w:keepNext/>
        <w:keepLines/>
        <w:widowControl w:val="0"/>
        <w:numPr>
          <w:ilvl w:val="0"/>
          <w:numId w:val="229"/>
        </w:numPr>
        <w:shd w:val="clear" w:color="auto" w:fill="auto"/>
        <w:tabs>
          <w:tab w:pos="255" w:val="left"/>
        </w:tabs>
        <w:bidi w:val="0"/>
        <w:spacing w:before="0" w:line="223" w:lineRule="auto"/>
        <w:ind w:left="0" w:right="0" w:firstLine="0"/>
        <w:jc w:val="both"/>
      </w:pPr>
      <w:bookmarkStart w:id="158" w:name="bookmark158"/>
      <w:r>
        <w:rPr>
          <w:rFonts w:ascii="Times New Roman" w:eastAsia="Times New Roman" w:hAnsi="Times New Roman" w:cs="Times New Roman"/>
          <w:color w:val="000000"/>
          <w:spacing w:val="0"/>
          <w:w w:val="100"/>
          <w:position w:val="0"/>
          <w:shd w:val="clear" w:color="auto" w:fill="auto"/>
          <w:lang w:val="hr-HR" w:eastAsia="hr-HR" w:bidi="hr-HR"/>
        </w:rPr>
        <w:t>islamski</w:t>
      </w:r>
      <w:bookmarkEnd w:id="15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Slično kao i u druge dvije objavljene religije, tako i u islamu ima osobnosti koje - izvan službe - snagom svoje vjere i svojim duhov</w:t>
        <w:softHyphen/>
        <w:t>nim zračenjem pozitivno utječu na religiozni život bližnjih i tako spadaju u moralne stupo</w:t>
        <w:softHyphen/>
        <w:t xml:space="preserve">ve svoje vjerske zajednice. Takav se karizma- tičan nositelj religioznosti u islamu naziva veli </w:t>
      </w:r>
      <w:r>
        <w:rPr>
          <w:rFonts w:ascii="Times New Roman" w:eastAsia="Times New Roman" w:hAnsi="Times New Roman" w:cs="Times New Roman"/>
          <w:color w:val="000000"/>
          <w:spacing w:val="0"/>
          <w:w w:val="100"/>
          <w:position w:val="0"/>
          <w:shd w:val="clear" w:color="auto" w:fill="auto"/>
          <w:lang w:val="en-US" w:eastAsia="en-US" w:bidi="en-US"/>
        </w:rPr>
        <w:t xml:space="preserve">(wall, </w:t>
      </w:r>
      <w:r>
        <w:rPr>
          <w:rFonts w:ascii="Times New Roman" w:eastAsia="Times New Roman" w:hAnsi="Times New Roman" w:cs="Times New Roman"/>
          <w:color w:val="000000"/>
          <w:spacing w:val="0"/>
          <w:w w:val="100"/>
          <w:position w:val="0"/>
          <w:shd w:val="clear" w:color="auto" w:fill="auto"/>
          <w:lang w:val="hr-HR" w:eastAsia="hr-HR" w:bidi="hr-HR"/>
        </w:rPr>
        <w:t xml:space="preserve">množina: </w:t>
      </w:r>
      <w:r>
        <w:rPr>
          <w:rFonts w:ascii="Times New Roman" w:eastAsia="Times New Roman" w:hAnsi="Times New Roman" w:cs="Times New Roman"/>
          <w:i/>
          <w:iCs/>
          <w:color w:val="000000"/>
          <w:spacing w:val="0"/>
          <w:w w:val="100"/>
          <w:position w:val="0"/>
          <w:shd w:val="clear" w:color="auto" w:fill="auto"/>
          <w:lang w:val="en-US" w:eastAsia="en-US" w:bidi="en-US"/>
        </w:rPr>
        <w:t>awliya;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u turskom izgovoru </w:t>
      </w:r>
      <w:r>
        <w:rPr>
          <w:rFonts w:ascii="Times New Roman" w:eastAsia="Times New Roman" w:hAnsi="Times New Roman" w:cs="Times New Roman"/>
          <w:i/>
          <w:iCs/>
          <w:color w:val="000000"/>
          <w:spacing w:val="0"/>
          <w:w w:val="100"/>
          <w:position w:val="0"/>
          <w:shd w:val="clear" w:color="auto" w:fill="auto"/>
          <w:lang w:val="en-US" w:eastAsia="en-US" w:bidi="en-US"/>
        </w:rPr>
        <w:t>ewliya).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Veli znači: </w:t>
      </w:r>
      <w:r>
        <w:rPr>
          <w:rFonts w:ascii="Times New Roman" w:eastAsia="Times New Roman" w:hAnsi="Times New Roman" w:cs="Times New Roman"/>
          <w:i/>
          <w:iCs/>
          <w:color w:val="000000"/>
          <w:spacing w:val="0"/>
          <w:w w:val="100"/>
          <w:position w:val="0"/>
          <w:shd w:val="clear" w:color="auto" w:fill="auto"/>
          <w:lang w:val="hr-HR" w:eastAsia="hr-HR" w:bidi="hr-HR"/>
        </w:rPr>
        <w:t>svetac.</w:t>
      </w:r>
      <w:r>
        <w:rPr>
          <w:rFonts w:ascii="Times New Roman" w:eastAsia="Times New Roman" w:hAnsi="Times New Roman" w:cs="Times New Roman"/>
          <w:color w:val="000000"/>
          <w:spacing w:val="0"/>
          <w:w w:val="100"/>
          <w:position w:val="0"/>
          <w:shd w:val="clear" w:color="auto" w:fill="auto"/>
          <w:lang w:val="hr-HR" w:eastAsia="hr-HR" w:bidi="hr-HR"/>
        </w:rPr>
        <w:t xml:space="preserve"> Pravovjerni islam odbacuje predodžbu o »svecima«, no ona una</w:t>
        <w:softHyphen/>
        <w:t>toč tomu i dalje živi u narodu. Veli u očima puka raspolaže izvanrednim moćima: On liječi, proriče i čita misli. Njegova duhovna moć omo</w:t>
        <w:softHyphen/>
        <w:t>gućuje pobjede u ratu. On spašava u nevolji.</w:t>
      </w:r>
    </w:p>
    <w:p>
      <w:pPr>
        <w:pStyle w:val="Style20"/>
        <w:keepNext w:val="0"/>
        <w:keepLines w:val="0"/>
        <w:widowControl w:val="0"/>
        <w:shd w:val="clear" w:color="auto" w:fill="auto"/>
        <w:tabs>
          <w:tab w:pos="2520" w:val="left"/>
        </w:tabs>
        <w:bidi w:val="0"/>
        <w:spacing w:before="0" w:after="300" w:line="257"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Političke, socijalne, ćudoredne i teološke kri</w:t>
        <w:softHyphen/>
        <w:t xml:space="preserve">ze ponekad su izričito tragale za karizmatskim osobnostima. U takve su spadali npr. ljudi koji su pod nazivom al-mahđi ušli u povijest. Ideja eshatološkoga mahdija čini bitni sastojak pučkoga vjerovanja.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Mahdi </w:t>
      </w:r>
      <w:r>
        <w:rPr>
          <w:rFonts w:ascii="Times New Roman" w:eastAsia="Times New Roman" w:hAnsi="Times New Roman" w:cs="Times New Roman"/>
          <w:color w:val="000000"/>
          <w:spacing w:val="0"/>
          <w:w w:val="100"/>
          <w:position w:val="0"/>
          <w:sz w:val="15"/>
          <w:szCs w:val="15"/>
          <w:shd w:val="clear" w:color="auto" w:fill="auto"/>
          <w:lang w:val="hr-HR" w:eastAsia="hr-HR" w:bidi="hr-HR"/>
        </w:rPr>
        <w:t>(»onaj koji je pod Božjim vodstvom«) treba ponovno podići na</w:t>
        <w:softHyphen/>
        <w:t>padnuti, posrnuli i obeshrabreni svijet islama i stvoriti mu novi ugled. Polazeći od religioz</w:t>
        <w:softHyphen/>
        <w:t>noga doživljaja »mahdiji« su se u povijesti po</w:t>
        <w:softHyphen/>
        <w:t>tvrđivali najčešće politički u drugoj laži svoje djelotvornosti. Posebnu, presudnu ulogu k. igra u šijizmu, u kojemu imami čine karizmat</w:t>
        <w:softHyphen/>
        <w:t>sku elitu, kao i kod derviša. Ali pojavni oblici islamskih karizmatika susreću se i medu ugled</w:t>
        <w:softHyphen/>
        <w:t xml:space="preserve">nim i pobožnim pismoznancima u oba velika misaona smjera islama. Odričući se službe i časti ti su ljudi obično stjecali veliki ugled. Zabilježena je i pojava karizmatskih žena. Takva je glasovita mističarka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Rabija </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(u. 801). </w:t>
      </w:r>
      <w:r>
        <w:rPr>
          <w:rFonts w:ascii="Arial" w:eastAsia="Arial" w:hAnsi="Arial" w:cs="Arial"/>
          <w:color w:val="000000"/>
          <w:spacing w:val="0"/>
          <w:w w:val="100"/>
          <w:position w:val="0"/>
          <w:sz w:val="12"/>
          <w:szCs w:val="12"/>
          <w:shd w:val="clear" w:color="auto" w:fill="auto"/>
          <w:lang w:val="en-US" w:eastAsia="en-US" w:bidi="en-US"/>
        </w:rPr>
        <w:t xml:space="preserve">Lit.: Wall, </w:t>
      </w:r>
      <w:r>
        <w:rPr>
          <w:rFonts w:ascii="Arial" w:eastAsia="Arial" w:hAnsi="Arial" w:cs="Arial"/>
          <w:color w:val="000000"/>
          <w:spacing w:val="0"/>
          <w:w w:val="100"/>
          <w:position w:val="0"/>
          <w:sz w:val="12"/>
          <w:szCs w:val="12"/>
          <w:shd w:val="clear" w:color="auto" w:fill="auto"/>
          <w:lang w:val="hr-HR" w:eastAsia="hr-HR" w:bidi="hr-HR"/>
        </w:rPr>
        <w:t>u: Hl, 793-79«.</w:t>
        <w:tab/>
        <w:t>S. 1SA1.IĆ</w:t>
      </w:r>
    </w:p>
    <w:p>
      <w:pPr>
        <w:pStyle w:val="Style33"/>
        <w:keepNext w:val="0"/>
        <w:keepLines w:val="0"/>
        <w:widowControl w:val="0"/>
        <w:shd w:val="clear" w:color="auto" w:fill="auto"/>
        <w:bidi w:val="0"/>
        <w:spacing w:before="0" w:after="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KELAM -&gt; TEOLOGIJA, -&gt;</w:t>
      </w:r>
    </w:p>
    <w:p>
      <w:pPr>
        <w:pStyle w:val="Style33"/>
        <w:keepNext w:val="0"/>
        <w:keepLines w:val="0"/>
        <w:widowControl w:val="0"/>
        <w:shd w:val="clear" w:color="auto" w:fill="auto"/>
        <w:bidi w:val="0"/>
        <w:spacing w:before="0" w:after="2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APOLOGETIKA</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KONCIL</w:t>
      </w:r>
    </w:p>
    <w:p>
      <w:pPr>
        <w:pStyle w:val="Style63"/>
        <w:keepNext/>
        <w:keepLines/>
        <w:widowControl w:val="0"/>
        <w:shd w:val="clear" w:color="auto" w:fill="auto"/>
        <w:bidi w:val="0"/>
        <w:spacing w:before="0" w:line="223" w:lineRule="auto"/>
        <w:ind w:left="0" w:right="0" w:firstLine="0"/>
        <w:jc w:val="both"/>
      </w:pPr>
      <w:bookmarkStart w:id="159" w:name="bookmark15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5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sveukupnoj kršćanskoj teologiji može vrije</w:t>
        <w:softHyphen/>
        <w:t xml:space="preserve">diti kao priznata činjenica da je u povijesti Crkve bilo ‘koncila’! Pod lime se najprije u općenitom smislu misli na crkvene skupove </w:t>
      </w:r>
      <w:r>
        <w:rPr>
          <w:rFonts w:ascii="Times New Roman" w:eastAsia="Times New Roman" w:hAnsi="Times New Roman" w:cs="Times New Roman"/>
          <w:color w:val="000000"/>
          <w:spacing w:val="0"/>
          <w:w w:val="100"/>
          <w:position w:val="0"/>
          <w:shd w:val="clear" w:color="auto" w:fill="auto"/>
          <w:lang w:val="hr-HR" w:eastAsia="hr-HR" w:bidi="hr-HR"/>
        </w:rPr>
        <w:t>koji su kao svoju zadaću shvaćali i shvaćaju da se uz pomoć Duha Svetoga, po uzoru na tzv. Apostolski koncil koji je opisan u Djelima ap</w:t>
        <w:softHyphen/>
        <w:t>ostolskim (15,1-33), savjetuju o spornim pi</w:t>
        <w:softHyphen/>
        <w:t>tanjima učenja, liturgije ili prava i da jedno</w:t>
        <w:softHyphen/>
        <w:t>dušno donesu odluke i tako smire nastale su</w:t>
        <w:softHyphen/>
        <w:t>kobe. - Unatoč ovoj širokoj suglasnosti o či</w:t>
        <w:softHyphen/>
        <w:t>njenici koncila kao takvoj, medu konfesijama dosad ne postoji slaganje o točnom sadržaju tog pojma i ekleziološkom značenju onoga što se označava kao k. Uslijed toga se i različito prosuđuje kakvi se konkretno skupovi mogu svaki put nazvati koncilom pri čemu općenita jezična uporaba očigledno pokazuje jasnu ten</w:t>
        <w:softHyphen/>
        <w:t>denciju da se ograniči na skupove opčekršćan- skoga ranga. Osobito je sporno kakvim kon</w:t>
        <w:softHyphen/>
        <w:t>cilima pripada općekršćanski (= ‘ekumenski’) autoritet, o kakvoj se vrsti autoriteta pritom radi i na čemu se on temelji.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rimokatoličkom shvaćanju k. znači or</w:t>
        <w:softHyphen/>
        <w:t>gan za temeljne propise, a javlja se u obliku susreta biskupa (u pravilu) koji saziva papa i koji stoji pod njegovim vodstvom, a čiji su za</w:t>
        <w:softHyphen/>
        <w:t>ključci pravomoćni samo uz njegov pristanak. U tom smislu regularan k. zove se »ekumen</w:t>
        <w:softHyphen/>
        <w:t>ski« kada predstavlja sveukupnu Rimokato</w:t>
        <w:softHyphen/>
        <w:t>ličku crkvu. Medu povijesne crkvene skupove rimokatolička teologija ubraja njih 21 kao »ekumenske koncile«. Kanonsko pravo pripi</w:t>
        <w:softHyphen/>
        <w:t>suje ekumenskom koncilu najvišu ovlast (usp. CIC kan. 228) ako odlučuje sporazumno s pa</w:t>
        <w:softHyphen/>
        <w:t>pom čiji je autoritet potpuno nezavisan od svih drugih crkvenih instancija (usp. CIC kan. 218 i 219). Na taj su način koncilski zaključci o vjerskim pitanjima, koji imaju uporište u pu</w:t>
        <w:softHyphen/>
        <w:t>nomoći papinog primata i njegove nezabludi- vosti, apsolutno obvezatni i nepogrešivi tako</w:t>
        <w:softHyphen/>
        <w:t>đer kao akti izvanrednog učitcljstva koje za</w:t>
        <w:softHyphen/>
        <w:t>jedno provode papa i biskupi. Pa ipak, k. kao takav isto tako ne predstavlja bitni strukturni element Crkve, od kojega se ne bi moglo odu</w:t>
        <w:softHyphen/>
        <w:t>stati, kao ni svi ostali kolegijalni sinodalni i kvazisinodalni organi odnosno skupovi (npr. biskupijska, nacionalna ili dijecezanska sino</w:t>
        <w:softHyphen/>
        <w:t>da, nacionalna ili regionalna biskupska kon</w:t>
        <w:softHyphen/>
        <w:t>ferencija, pokrajinski k. itd.). Bez obzira na iz</w:t>
        <w:softHyphen/>
        <w:t>vanrednu crkveno-povijesnu i dogmatsko-po- vijesnu težinu ranih koncila, bilo bi, načelno promatrano s katoličkoga dogmatskoga gle</w:t>
        <w:softHyphen/>
        <w:t>dišta, sasvim moguće zamisliti da se u buduć</w:t>
        <w:softHyphen/>
        <w:t>nosti više nc dogodi nijedan k., jer sc papin</w:t>
        <w:softHyphen/>
        <w:t>sko učiteljstvo izražava i ostvaruje u drugim institucionalnim oblicima.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pravoslavnoj teologiji se zbog ove uske po</w:t>
        <w:softHyphen/>
        <w:t>vezanosti primata jurisdikcije i koncilskog au</w:t>
        <w:softHyphen/>
        <w:t>toriteta u rimokatoličkom učenju o koncilu pojam koncila više izbjegava u korist pojma ‘si</w:t>
        <w:softHyphen/>
        <w:t>node’! Ona vidi crkvenu sinodalnu bit kao nužni izraz bitne sinodalnosti Crkve koja opet ima svoj korijen u euharistijskom karakteru Crkve. Crkva se prema pravoslavnom shvaća</w:t>
        <w:softHyphen/>
        <w:t>nju konstitutivno ostvaruje kao euharistijsko zajedništvo koje se slavi s biskupom kao svo</w:t>
        <w:softHyphen/>
        <w:t>jom glavom. Kao takva u sebi potpuna i zato juridički nezavisna svaka biskupska mjesna Crkva ipak zna da je povezana s ostalim mjes</w:t>
        <w:softHyphen/>
        <w:t>nim crkvama kao svojim »sestrinskim crkva</w:t>
        <w:softHyphen/>
        <w:t>ma« u istoj vjeri i uzajamnoj ljubavi. Ova po</w:t>
        <w:softHyphen/>
        <w:t>vezanost mora naći i svoj vidljivi izraz i to se događa u najsvečanijem i najvišem obliku na sinodalnom skupu biskupa - pogotovo kada su na njemu zastupane mjesne crkve sve za</w:t>
        <w:softHyphen/>
        <w:t>jedno. U svakom slučaju, čak formalno pot</w:t>
        <w:softHyphen/>
        <w:t>puna reprezentativnost neke ‘ekumenske’ si</w:t>
        <w:softHyphen/>
        <w:t>node, prema pravoslavnom shvaćanju, ni</w:t>
        <w:softHyphen/>
        <w:t>pošto nije razlog da prisvaja za sebe autoritet ni u duhovnom niti u juridičkom smislu. Čisto duhovna punomoć, kojom sinoda može go</w:t>
        <w:softHyphen/>
        <w:t>voriti, izrasta isključivo iz prisutnosti i pomoći Duha Svetoga i ostaje bez cjenkanja povezana uz slobodno priznavanje od strane pojedinač</w:t>
        <w:softHyphen/>
        <w:t>nih mjesnih crkava. Ideja jurisdikcijskog pri</w:t>
        <w:softHyphen/>
        <w:t>mata u pogledu rimskog biskupa kao i u od</w:t>
        <w:softHyphen/>
        <w:t>nosu na neku ekumensku sinodu strogo je isključena. Što se tiče obvezatnosti sinodalnih odluka, proces prihvaćanja koje je uslijedilo, tj. mjcsno-crkvcnc recepcije, posjeduje kon</w:t>
        <w:softHyphen/>
        <w:t>stitutivan karakter. Zato samo ona sinoda zaključci koje su prihvaćeni od svih mjesnih crkava može biti označena kao uistinu »eku</w:t>
        <w:softHyphen/>
        <w:t>menska« koja zatim, dakako, vrijedi kao apso</w:t>
        <w:softHyphen/>
        <w:t>lutno obvezatna i nezabludiva. Pravoslavna teologija u tom smislu ubraja u »ekumenske koncile« samo prvih sedam općih crkvenih skupova.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Crkve reformacije jednoglasno odbijaju kako papin primat jurisdikcije tako i učenje o neza- bludivosti - također i u pravoslavnoj verziji njihove valjanosti koja je ograničena na eku</w:t>
        <w:softHyphen/>
        <w:t>menske koncile. Iako i s reformacijskoga gle</w:t>
        <w:softHyphen/>
        <w:t>dišta koncili mogu biti koristan i vrijedan in</w:t>
        <w:softHyphen/>
        <w:t>strument da bi se sačuvalo, uspostavilo i pri</w:t>
        <w:softHyphen/>
        <w:t>kazalo crkveno jedinstvo, reformacijskoj teo</w:t>
        <w:softHyphen/>
        <w:t xml:space="preserve">logiji je stalo do suglasnosti s Božjom riječi koja je zapisana u Svetom pismu kao jedinim </w:t>
      </w:r>
      <w:r>
        <w:rPr>
          <w:rFonts w:ascii="Times New Roman" w:eastAsia="Times New Roman" w:hAnsi="Times New Roman" w:cs="Times New Roman"/>
          <w:color w:val="000000"/>
          <w:spacing w:val="0"/>
          <w:w w:val="100"/>
          <w:position w:val="0"/>
          <w:shd w:val="clear" w:color="auto" w:fill="auto"/>
          <w:lang w:val="hr-HR" w:eastAsia="hr-HR" w:bidi="hr-HR"/>
        </w:rPr>
        <w:t>obvezatnim mjerilom za autoritet nekoga kon</w:t>
        <w:softHyphen/>
        <w:t>cila. Ta se suglasnost ne može jamčiti nikak</w:t>
        <w:softHyphen/>
        <w:t>vim kriterijima isključivo formalne vrste, dak</w:t>
        <w:softHyphen/>
        <w:t>le ni papinskom aprobacijom koncilskih od</w:t>
        <w:softHyphen/>
        <w:t>luka niti njihovom sveukupnom crkvenom re</w:t>
        <w:softHyphen/>
        <w:t>cepcijom. Uslijed toga svaki k. i svaka koncil- ska odluka podliježu nužnosti materijalne kri</w:t>
        <w:softHyphen/>
        <w:t>tike koju u načelu može vršiti svaki vjernik. - Uz pretpostavku ovoga načelnog uvjeta, lute</w:t>
        <w:softHyphen/>
        <w:t>ranske, reformirane i anglikanske crkve u svo</w:t>
        <w:softHyphen/>
        <w:t>joj pretežitoj množini priznaju prva četiri kon</w:t>
        <w:softHyphen/>
        <w:t>cila kao obvezatna, ali ne i kao nezabludiva.</w:t>
      </w:r>
    </w:p>
    <w:p>
      <w:pPr>
        <w:pStyle w:val="Style20"/>
        <w:keepNext w:val="0"/>
        <w:keepLines w:val="0"/>
        <w:widowControl w:val="0"/>
        <w:shd w:val="clear" w:color="auto" w:fill="auto"/>
        <w:bidi w:val="0"/>
        <w:spacing w:before="0" w:after="80"/>
        <w:ind w:left="0" w:right="0" w:firstLine="0"/>
        <w:jc w:val="both"/>
        <w:sectPr>
          <w:headerReference w:type="default" r:id="rId623"/>
          <w:footerReference w:type="default" r:id="rId624"/>
          <w:headerReference w:type="even" r:id="rId625"/>
          <w:footerReference w:type="even" r:id="rId626"/>
          <w:headerReference w:type="first" r:id="rId627"/>
          <w:footerReference w:type="first" r:id="rId628"/>
          <w:footnotePr>
            <w:pos w:val="pageBottom"/>
            <w:numFmt w:val="decimal"/>
            <w:numStart w:val="5"/>
            <w:numRestart w:val="continuous"/>
            <w15:footnoteColumns w:val="1"/>
          </w:footnotePr>
          <w:pgSz w:w="6816" w:h="11006"/>
          <w:pgMar w:top="987" w:left="169" w:right="172" w:bottom="443"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prostoru ekumene prošloga stoljeća zapo</w:t>
        <w:softHyphen/>
        <w:t>čela je na široj razini rasprava o vrijednosnom položaju ideje koncila sa studijom o »Znače</w:t>
        <w:softHyphen/>
        <w:t>nju koncilskog događanja u staroj Crkvi za ekumenski pokret« koju je predložila Komisi</w:t>
        <w:softHyphen/>
        <w:t>ja za vjeru i crkveno ustrojstvo Ekumenskog vijeća crkava. Ona je dobila važnost preporu</w:t>
        <w:softHyphen/>
        <w:t>kom koju je crkvama članicama neodložno stavila na srce Četvrta glavna skupština Vijeća (1968. u Uppsali) da zajedno rade na univer</w:t>
        <w:softHyphen/>
        <w:t xml:space="preserve">zalnom koncilu koji bi bio u stanju govoriti za sveukupno kršćanstvo. Prvi vrhunac diskusije koja je uslijedila i tijekom koje je bio razrađen niz stajališta i studija (npr. od L. </w:t>
      </w:r>
      <w:r>
        <w:rPr>
          <w:rFonts w:ascii="Times New Roman" w:eastAsia="Times New Roman" w:hAnsi="Times New Roman" w:cs="Times New Roman"/>
          <w:color w:val="000000"/>
          <w:spacing w:val="0"/>
          <w:w w:val="100"/>
          <w:position w:val="0"/>
          <w:shd w:val="clear" w:color="auto" w:fill="auto"/>
          <w:lang w:val="en-US" w:eastAsia="en-US" w:bidi="en-US"/>
        </w:rPr>
        <w:t xml:space="preserve">Vischera, </w:t>
      </w:r>
      <w:r>
        <w:rPr>
          <w:rFonts w:ascii="Times New Roman" w:eastAsia="Times New Roman" w:hAnsi="Times New Roman" w:cs="Times New Roman"/>
          <w:color w:val="000000"/>
          <w:spacing w:val="0"/>
          <w:w w:val="100"/>
          <w:position w:val="0"/>
          <w:shd w:val="clear" w:color="auto" w:fill="auto"/>
          <w:lang w:val="hr-HR" w:eastAsia="hr-HR" w:bidi="hr-HR"/>
        </w:rPr>
        <w:t>Y. Congara, H. Muhlena i Njemačkog ekumen</w:t>
        <w:softHyphen/>
        <w:t>skog studijskog odbora) tvori Louvainsko iz</w:t>
        <w:softHyphen/>
        <w:t>vješće Komisije za vjeru i crkveno ustrojstvo na temu »Koncilijarnost i ekumenski pokret«. On pokušava pod natuknicom »koncilijar</w:t>
        <w:softHyphen/>
        <w:t>nost« zacrtati ekleziološki koncept koji do</w:t>
        <w:softHyphen/>
        <w:t>pušta uz tradicionalne oblike koncilijarnog stvaranja suda i odlučivanja teološki tumačiti i vrednovati i sam ekumenski pokret i njegove mnogostruke nove organe (npr. Ekumensko vijeće i njegove glavne skupštine ili nacio</w:t>
        <w:softHyphen/>
        <w:t>nalna, odnosno regionalna vijeća kršćana). U sučeljavanju oko budućega zamišljenog mode</w:t>
        <w:softHyphen/>
        <w:t>la jedinstva Crkve, Ekumensko vijeće je u me</w:t>
        <w:softHyphen/>
        <w:t>đuvremenu podiglo ideju »koncilijarnog za</w:t>
        <w:softHyphen/>
        <w:t xml:space="preserve">jedništva« do njegove predodžbe o vodstvu i cilju. Dužnost je te ideje vizija univerzalnoga koncila koja je već dulje vremena bila pred očima vodećih ličnosti ekumene (npr. N. So- derblom, D. </w:t>
      </w:r>
      <w:r>
        <w:rPr>
          <w:rFonts w:ascii="Times New Roman" w:eastAsia="Times New Roman" w:hAnsi="Times New Roman" w:cs="Times New Roman"/>
          <w:color w:val="000000"/>
          <w:spacing w:val="0"/>
          <w:w w:val="100"/>
          <w:position w:val="0"/>
          <w:shd w:val="clear" w:color="auto" w:fill="auto"/>
          <w:lang w:val="en-US" w:eastAsia="en-US" w:bidi="en-US"/>
        </w:rPr>
        <w:t xml:space="preserve">Bonhoeffer, </w:t>
      </w:r>
      <w:r>
        <w:rPr>
          <w:rFonts w:ascii="Times New Roman" w:eastAsia="Times New Roman" w:hAnsi="Times New Roman" w:cs="Times New Roman"/>
          <w:color w:val="000000"/>
          <w:spacing w:val="0"/>
          <w:w w:val="100"/>
          <w:position w:val="0"/>
          <w:shd w:val="clear" w:color="auto" w:fill="auto"/>
          <w:lang w:val="hr-HR" w:eastAsia="hr-HR" w:bidi="hr-HR"/>
        </w:rPr>
        <w:t xml:space="preserve">M. </w:t>
      </w:r>
      <w:r>
        <w:rPr>
          <w:rFonts w:ascii="Times New Roman" w:eastAsia="Times New Roman" w:hAnsi="Times New Roman" w:cs="Times New Roman"/>
          <w:color w:val="000000"/>
          <w:spacing w:val="0"/>
          <w:w w:val="100"/>
          <w:position w:val="0"/>
          <w:shd w:val="clear" w:color="auto" w:fill="auto"/>
          <w:lang w:val="en-US" w:eastAsia="en-US" w:bidi="en-US"/>
        </w:rPr>
        <w:t xml:space="preserve">J. Metzger) </w:t>
      </w:r>
      <w:r>
        <w:rPr>
          <w:rFonts w:ascii="Times New Roman" w:eastAsia="Times New Roman" w:hAnsi="Times New Roman" w:cs="Times New Roman"/>
          <w:color w:val="000000"/>
          <w:spacing w:val="0"/>
          <w:w w:val="100"/>
          <w:position w:val="0"/>
          <w:shd w:val="clear" w:color="auto" w:fill="auto"/>
          <w:lang w:val="hr-HR" w:eastAsia="hr-HR" w:bidi="hr-HR"/>
        </w:rPr>
        <w:t>i ko</w:t>
        <w:softHyphen/>
        <w:t>ja je našla novi poticaj događajem Drugoga vatikanskoga koncila na jednoj strani i pripre</w:t>
        <w:softHyphen/>
        <w:t xml:space="preserve">mama panortodoksne sinode na drugoj strani. Budućnost </w:t>
      </w:r>
      <w:r>
        <w:rPr>
          <w:rFonts w:ascii="Times New Roman" w:eastAsia="Times New Roman" w:hAnsi="Times New Roman" w:cs="Times New Roman"/>
          <w:i/>
          <w:iCs/>
          <w:color w:val="000000"/>
          <w:spacing w:val="0"/>
          <w:w w:val="100"/>
          <w:position w:val="0"/>
          <w:shd w:val="clear" w:color="auto" w:fill="auto"/>
          <w:lang w:val="hr-HR" w:eastAsia="hr-HR" w:bidi="hr-HR"/>
        </w:rPr>
        <w:t>će</w:t>
      </w:r>
      <w:r>
        <w:rPr>
          <w:rFonts w:ascii="Times New Roman" w:eastAsia="Times New Roman" w:hAnsi="Times New Roman" w:cs="Times New Roman"/>
          <w:color w:val="000000"/>
          <w:spacing w:val="0"/>
          <w:w w:val="100"/>
          <w:position w:val="0"/>
          <w:shd w:val="clear" w:color="auto" w:fill="auto"/>
          <w:lang w:val="hr-HR" w:eastAsia="hr-HR" w:bidi="hr-HR"/>
        </w:rPr>
        <w:t xml:space="preserve"> morati pokazati njegovu istin</w:t>
        <w:softHyphen/>
        <w:t xml:space="preserve">sku stvarnu sadržinu. Pa ipak, čini se da se njegovu ostvarenju ne suprotstavljaju nikakve </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načelne dogmatske teškoće na strani velikih konfesionalnih zajednica. Svaka od njih mo</w:t>
        <w:softHyphen/>
        <w:t>gla bi na svoj poseban način priznati takav univerzalni k. kao mjerodavan autoritet i tako tom instrumentu crkvenog života, dostojnom poštovanja, dati novu težinu i istinski eku</w:t>
        <w:softHyphen/>
        <w:t>menski rang.</w:t>
      </w:r>
    </w:p>
    <w:p>
      <w:pPr>
        <w:pStyle w:val="Style56"/>
        <w:keepNext w:val="0"/>
        <w:keepLines w:val="0"/>
        <w:widowControl w:val="0"/>
        <w:shd w:val="clear" w:color="auto" w:fill="auto"/>
        <w:tabs>
          <w:tab w:pos="2304" w:val="left"/>
        </w:tabs>
        <w:bidi w:val="0"/>
        <w:spacing w:before="0" w:after="34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J. Sieben,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Konzilsidee der </w:t>
      </w:r>
      <w:r>
        <w:rPr>
          <w:i/>
          <w:iCs/>
          <w:color w:val="000000"/>
          <w:spacing w:val="0"/>
          <w:w w:val="100"/>
          <w:position w:val="0"/>
          <w:shd w:val="clear" w:color="auto" w:fill="auto"/>
        </w:rPr>
        <w:t xml:space="preserve">Alien </w:t>
      </w:r>
      <w:r>
        <w:rPr>
          <w:i/>
          <w:iCs/>
          <w:color w:val="000000"/>
          <w:spacing w:val="0"/>
          <w:w w:val="100"/>
          <w:position w:val="0"/>
          <w:shd w:val="clear" w:color="auto" w:fill="auto"/>
          <w:lang w:val="hr-HR" w:eastAsia="hr-HR" w:bidi="hr-HR"/>
        </w:rPr>
        <w:t>Kirche,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Pader</w:t>
        <w:softHyphen/>
        <w:t xml:space="preserve">born. </w:t>
      </w:r>
      <w:r>
        <w:rPr>
          <w:color w:val="000000"/>
          <w:spacing w:val="0"/>
          <w:w w:val="100"/>
          <w:position w:val="0"/>
          <w:shd w:val="clear" w:color="auto" w:fill="auto"/>
          <w:lang w:val="hr-HR" w:eastAsia="hr-HR" w:bidi="hr-HR"/>
        </w:rPr>
        <w:t xml:space="preserve">i dr. 1979; H. </w:t>
      </w:r>
      <w:r>
        <w:rPr>
          <w:color w:val="000000"/>
          <w:spacing w:val="0"/>
          <w:w w:val="100"/>
          <w:position w:val="0"/>
          <w:shd w:val="clear" w:color="auto" w:fill="auto"/>
        </w:rPr>
        <w:t xml:space="preserve">J. Margull (Hrsg.),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dkumenischen Konale der Christenheil,</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1961; R. Bolte i dr., </w:t>
      </w:r>
      <w:r>
        <w:rPr>
          <w:i/>
          <w:iCs/>
          <w:color w:val="000000"/>
          <w:spacing w:val="0"/>
          <w:w w:val="100"/>
          <w:position w:val="0"/>
          <w:shd w:val="clear" w:color="auto" w:fill="auto"/>
          <w:lang w:val="hr-HR" w:eastAsia="hr-HR" w:bidi="hr-HR"/>
        </w:rPr>
        <w:t xml:space="preserve">Das </w:t>
      </w:r>
      <w:r>
        <w:rPr>
          <w:i/>
          <w:iCs/>
          <w:color w:val="000000"/>
          <w:spacing w:val="0"/>
          <w:w w:val="100"/>
          <w:position w:val="0"/>
          <w:shd w:val="clear" w:color="auto" w:fill="auto"/>
        </w:rPr>
        <w:t xml:space="preserve">Kamil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Konale. Ein Beitrag zur Geschichle des Kon- alslebens der Kirche,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1962; P. Mcinbokl, </w:t>
      </w:r>
      <w:r>
        <w:rPr>
          <w:i/>
          <w:iCs/>
          <w:color w:val="000000"/>
          <w:spacing w:val="0"/>
          <w:w w:val="100"/>
          <w:position w:val="0"/>
          <w:shd w:val="clear" w:color="auto" w:fill="auto"/>
          <w:lang w:val="hr-HR" w:eastAsia="hr-HR" w:bidi="hr-HR"/>
        </w:rPr>
        <w:t xml:space="preserve">Konale der Kirche </w:t>
      </w:r>
      <w:r>
        <w:rPr>
          <w:i/>
          <w:iCs/>
          <w:color w:val="000000"/>
          <w:spacing w:val="0"/>
          <w:w w:val="100"/>
          <w:position w:val="0"/>
          <w:shd w:val="clear" w:color="auto" w:fill="auto"/>
        </w:rPr>
        <w:t>in evangeliicher Sichi,</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1962; </w:t>
      </w:r>
      <w:r>
        <w:rPr>
          <w:color w:val="000000"/>
          <w:spacing w:val="0"/>
          <w:w w:val="100"/>
          <w:position w:val="0"/>
          <w:shd w:val="clear" w:color="auto" w:fill="auto"/>
        </w:rPr>
        <w:t>W. Brand</w:t>
        <w:softHyphen/>
        <w:t xml:space="preserve">muller (Hrsg ), </w:t>
      </w:r>
      <w:r>
        <w:rPr>
          <w:i/>
          <w:iCs/>
          <w:color w:val="000000"/>
          <w:spacing w:val="0"/>
          <w:w w:val="100"/>
          <w:position w:val="0"/>
          <w:shd w:val="clear" w:color="auto" w:fill="auto"/>
        </w:rPr>
        <w:t xml:space="preserve">Synodale Strukiuren der Kirche, Entwicklung und </w:t>
      </w:r>
      <w:r>
        <w:rPr>
          <w:i/>
          <w:iCs/>
          <w:color w:val="000000"/>
          <w:spacing w:val="0"/>
          <w:w w:val="100"/>
          <w:position w:val="0"/>
          <w:shd w:val="clear" w:color="auto" w:fill="auto"/>
          <w:lang w:val="hr-HR" w:eastAsia="hr-HR" w:bidi="hr-HR"/>
        </w:rPr>
        <w:t>Probleme,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Donauworth 1977; R. Boecklcr (Hrsg.), </w:t>
      </w:r>
      <w:r>
        <w:rPr>
          <w:i/>
          <w:iCs/>
          <w:color w:val="000000"/>
          <w:spacing w:val="0"/>
          <w:w w:val="100"/>
          <w:position w:val="0"/>
          <w:shd w:val="clear" w:color="auto" w:fill="auto"/>
        </w:rPr>
        <w:t>In- lerkommunion - Konaliaritdt. Zwei Studien im Auftrag des Deutschen Oekumenischen Studienausschusses,</w:t>
      </w:r>
      <w:r>
        <w:rPr>
          <w:color w:val="000000"/>
          <w:spacing w:val="0"/>
          <w:w w:val="100"/>
          <w:position w:val="0"/>
          <w:shd w:val="clear" w:color="auto" w:fill="auto"/>
        </w:rPr>
        <w:t xml:space="preserve"> Stuttgart 1974 (s </w:t>
      </w:r>
      <w:r>
        <w:rPr>
          <w:color w:val="000000"/>
          <w:spacing w:val="0"/>
          <w:w w:val="100"/>
          <w:position w:val="0"/>
          <w:shd w:val="clear" w:color="auto" w:fill="auto"/>
          <w:lang w:val="hr-HR" w:eastAsia="hr-HR" w:bidi="hr-HR"/>
        </w:rPr>
        <w:t xml:space="preserve">iscrpnim popisom </w:t>
      </w:r>
      <w:r>
        <w:rPr>
          <w:color w:val="000000"/>
          <w:spacing w:val="0"/>
          <w:w w:val="100"/>
          <w:position w:val="0"/>
          <w:shd w:val="clear" w:color="auto" w:fill="auto"/>
        </w:rPr>
        <w:t>literature).</w:t>
        <w:tab/>
        <w:t>H.-G. STOBBE</w:t>
      </w:r>
    </w:p>
    <w:p>
      <w:pPr>
        <w:pStyle w:val="Style33"/>
        <w:keepNext w:val="0"/>
        <w:keepLines w:val="0"/>
        <w:widowControl w:val="0"/>
        <w:shd w:val="clear" w:color="auto" w:fill="auto"/>
        <w:bidi w:val="0"/>
        <w:spacing w:before="0" w:after="180" w:line="22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KONFESIJA</w:t>
      </w:r>
    </w:p>
    <w:p>
      <w:pPr>
        <w:pStyle w:val="Style63"/>
        <w:keepNext/>
        <w:keepLines/>
        <w:widowControl w:val="0"/>
        <w:numPr>
          <w:ilvl w:val="0"/>
          <w:numId w:val="231"/>
        </w:numPr>
        <w:shd w:val="clear" w:color="auto" w:fill="auto"/>
        <w:tabs>
          <w:tab w:pos="246" w:val="left"/>
        </w:tabs>
        <w:bidi w:val="0"/>
        <w:spacing w:before="0" w:after="80" w:line="228" w:lineRule="auto"/>
        <w:ind w:left="0" w:right="0" w:firstLine="0"/>
        <w:jc w:val="both"/>
      </w:pPr>
      <w:bookmarkStart w:id="160" w:name="bookmark16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60"/>
    </w:p>
    <w:p>
      <w:pPr>
        <w:pStyle w:val="Style20"/>
        <w:keepNext w:val="0"/>
        <w:keepLines w:val="0"/>
        <w:widowControl w:val="0"/>
        <w:shd w:val="clear" w:color="auto" w:fill="auto"/>
        <w:bidi w:val="0"/>
        <w:spacing w:before="0" w:after="12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»k.« znači u današnjoj jezičnoj uporabi najprije određeno društveno obilježje kršćan</w:t>
        <w:softHyphen/>
        <w:t>stva koje, uz jače ili slabije dogmatski formuli</w:t>
        <w:softHyphen/>
        <w:t>rano i sistematizirano opće gledanje i tuma</w:t>
        <w:softHyphen/>
        <w:t>čenje onoga što je kršćansko, uključuje karak</w:t>
        <w:softHyphen/>
        <w:t>teristične stilove pobožnosti, liturgijske i sva</w:t>
        <w:softHyphen/>
        <w:t>kodnevne religijske postupke, propise temelj</w:t>
        <w:softHyphen/>
        <w:t>nih zakona, životne stavove, načine ponašanja itd. Opis samorazumijevanja i stvarnosti takvih kršćanskih zajednica, koji je po mogućnosti nepristran, bez davanja ocjene i svrsishodno kontroliran, zove se »nauk o konfesijama«. Pri</w:t>
        <w:softHyphen/>
        <w:t>tom je riječ o razmjerno mladoj znanstvenoj disciplini koja je povijesno i stvarno proizašla iz »simbolike« XIX. stoljeća (glavni predstav</w:t>
        <w:softHyphen/>
        <w:t xml:space="preserve">nici: P. K. Marheineke,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A. Mbhler), koja se doduše shvaćala kao konfesionalno vezana, a radila je s kontroverzističkom teološkom na</w:t>
        <w:softHyphen/>
        <w:t>kanom, u suprotnosti s prethodnom ‘polemi</w:t>
        <w:softHyphen/>
        <w:t>kom’ i ipak se jednoznačno trudila da svaki put postigne objektivnu sliku drugih konfesija strogim usmjeravanjem na službene izvore. Nauk o konfesijama, koji se sa svoje povijesne strane može pridružiti crkvenoj povijesti, tvori od početka modernog ekumenskog pokreta bitni i neosporni sastavni dio ekumenskog is</w:t>
        <w:softHyphen/>
        <w:t>traživanja čija je metodika vladala u obliku poredbenog načina postupka sve do Treće svjetske konferencije za vjeru i crkveno pravo u Lundu (1952).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Više fenomenološki usmjeren i teološki ne</w:t>
        <w:softHyphen/>
        <w:t>utralan način primjene pojma konfesije ne da se više zamisliti izvan društvenog života, oso</w:t>
        <w:softHyphen/>
        <w:t>bito zato jer uzima u obzir svjetonazorsko re</w:t>
        <w:softHyphen/>
        <w:t>ligijsku neutralnost države, koja je usidrena u mnogim ustavima. On se nalazi u službenim dopisima (npr. kod navoda vjerske pripadnos</w:t>
        <w:softHyphen/>
        <w:t>ti) isto tako kao i u znanstvenim istraživanji</w:t>
        <w:softHyphen/>
        <w:t>ma ili tekstovima zakona. Utoliko može i mo</w:t>
        <w:softHyphen/>
        <w:t>ra njegova uporaba vrijediti kao neupitna. Pa ipak, ne smije se nipošto previdjeti da se po</w:t>
        <w:softHyphen/>
        <w:t>jam konfesije u dogmatsko-teološkom pogle</w:t>
        <w:softHyphen/>
        <w:t>du ne može primjenjivati isto tako prostoduš- no. Zato mora prilično bosti oči da ga velike kršćanske zajednice nikada nisu stvarno pre</w:t>
        <w:softHyphen/>
        <w:t>uzele kao oznaku za sebe. One o sebi govore ili jednostavno kao o ‘crkvama’ ili pak kao o ‘crkvama neke određene vjeroispovijesti’, dak</w:t>
        <w:softHyphen/>
        <w:t>le, npr. kao o ‘crkvama augsburške konfesije’. Istodobno se u teološkoj jezičnoj uporabi, a često i sve više u općenitom jezičnom osjećaju zapaža napetost između ‘konfesije’ na jednoj strani i ‘ekumene’ na drugoj, koja nerijetko sadrži stanovito umanjivanje vrijednosti kon</w:t>
        <w:softHyphen/>
        <w:t>fesionalnoga, katkada čak i radikalnu alterna</w:t>
        <w:softHyphen/>
        <w:t>tivu između obadviju. Ako slijedimo pojmov- no-povijesne korijene toga neobičnog stanja stvari, tada susrećemo u izvjesnoj mjeri zamrše</w:t>
        <w:softHyphen/>
        <w:t>ne povezanosti crkveno, teološki i pravno po</w:t>
        <w:softHyphen/>
        <w:t>vijesne naravi u kojima se odražava drama</w:t>
        <w:softHyphen/>
        <w:t>tičnost i tragičnost Zapadnoga crkvenog ras</w:t>
        <w:softHyphen/>
        <w:t>kola i njegovih posljedica.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 k. izvodi se iz latinske imenice ‘confe- ssio’ koja polazi od glagolskog oblika ‘confi- teri’. Stariji crkveni jezik poznaje dva zna</w:t>
        <w:softHyphen/>
        <w:t>čenja od ‘confcssio’: ‘ispovijedanje’ i ’prizna</w:t>
        <w:softHyphen/>
        <w:t>nje’. Tako se npr. usmena izjava vjerovanja kod krštenja zove ‘confessio’ (fidei), isto tako vjersko svjedočenje u životu i tijekom života sve do krajnjeg slučaja svjedočenja krvlju, zbog čega su kršćani koji su bili spremni na mu</w:t>
        <w:softHyphen/>
        <w:t>čeničku smrt bili i nazivani ‘confessores’. U la</w:t>
        <w:softHyphen/>
        <w:t xml:space="preserve">tinskoj liturgiji označava se kao ‘confiteor’ ujedno opće priznavanje grijeha i krivnje, a individualno ispovijedanje zove se ‘confcssio </w:t>
      </w:r>
      <w:r>
        <w:rPr>
          <w:rFonts w:ascii="Times New Roman" w:eastAsia="Times New Roman" w:hAnsi="Times New Roman" w:cs="Times New Roman"/>
          <w:color w:val="000000"/>
          <w:spacing w:val="0"/>
          <w:w w:val="100"/>
          <w:position w:val="0"/>
          <w:shd w:val="clear" w:color="auto" w:fill="auto"/>
          <w:lang w:val="en-US" w:eastAsia="en-US" w:bidi="en-US"/>
        </w:rPr>
        <w:t xml:space="preserve">oralis’. </w:t>
      </w:r>
      <w:r>
        <w:rPr>
          <w:rFonts w:ascii="Times New Roman" w:eastAsia="Times New Roman" w:hAnsi="Times New Roman" w:cs="Times New Roman"/>
          <w:color w:val="000000"/>
          <w:spacing w:val="0"/>
          <w:w w:val="100"/>
          <w:position w:val="0"/>
          <w:shd w:val="clear" w:color="auto" w:fill="auto"/>
          <w:lang w:val="hr-HR" w:eastAsia="hr-HR" w:bidi="hr-HR"/>
        </w:rPr>
        <w:t>U pravnom jeziku stoji pojam ‘confc</w:t>
        <w:softHyphen/>
        <w:t>ssio iudicialis’ za valjano priznanje krivnje kao dokazno sredstvo. U starijem glagolskom ob</w:t>
        <w:softHyphen/>
        <w:t>liku ‘confiteri’ još uz to titra i značenje od ‘hvaliti’ odnosno ‘zahvaljivati’, koje se još npr. osjeća i u naslovu čuvene Augustinove auto</w:t>
        <w:softHyphen/>
        <w:t xml:space="preserve">biografije </w:t>
      </w:r>
      <w:r>
        <w:rPr>
          <w:rFonts w:ascii="Times New Roman" w:eastAsia="Times New Roman" w:hAnsi="Times New Roman" w:cs="Times New Roman"/>
          <w:i/>
          <w:iCs/>
          <w:color w:val="000000"/>
          <w:spacing w:val="0"/>
          <w:w w:val="100"/>
          <w:position w:val="0"/>
          <w:shd w:val="clear" w:color="auto" w:fill="auto"/>
          <w:lang w:val="hr-HR" w:eastAsia="hr-HR" w:bidi="hr-HR"/>
        </w:rPr>
        <w:t>Ispovijesti.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Podrijetlo načina uporabe koje se odnosi na vjeroispovijedanje može se dobro promatrati u NZ. U izrazima kao npr.: »Ti si Krist« (Mk 8,29) ili »Gospodin je Isus« (Rim 10,9) ispu</w:t>
        <w:softHyphen/>
        <w:t>njava se ‘confitcri’ koji uključuje zahvalu i hvaljenje u odnosu na Isusovu osobu i poje</w:t>
        <w:softHyphen/>
        <w:t>dini vjernik izriče svoju vjeru kao osobni od</w:t>
        <w:softHyphen/>
        <w:t>nos prema Isusu kao Kristu. Takav neposred</w:t>
        <w:softHyphen/>
        <w:t>no na Isusa usmjeren individualno ispovjedni govor poprima liturgijskom, osobito bogo- služnom uporabom ubrzo formalni karakter, djelomično se proširuje elementima propovi</w:t>
        <w:softHyphen/>
        <w:t>jedi ili himnički preoblikuje itd. Odlučujuće je u tom procesu preoblikovanja da se na taj na</w:t>
        <w:softHyphen/>
        <w:t>čin individualno vjeroispovijedanje stapa s ko</w:t>
        <w:softHyphen/>
        <w:t>lektivnim vjeroispovijedanjem zajednice. Po</w:t>
        <w:softHyphen/>
        <w:t>jedini kršćanin usuglašava se, uz znak svoje pripadnosti zajednici, s njezinim vjeroispovi</w:t>
        <w:softHyphen/>
        <w:t>jedanjem i učvršćuje ga dok zajednica u zajed</w:t>
        <w:softHyphen/>
        <w:t>ničkom vjeroispovijedanju potvrđuje svoju po</w:t>
        <w:softHyphen/>
        <w:t>vezanost. Suglasnost osobnog i kolektivnog vjeroispovijedanja postaje uslijed svojega kris- tološkog odnosa kriterij pravovjernosti. For</w:t>
        <w:softHyphen/>
        <w:t>mula vjeroispovijedanja može se tako shvaćati kao vjersko pravilo, kao regula fidci koja jam</w:t>
        <w:softHyphen/>
        <w:t>či unutarnju povezanost zajednice i istodobno služi postavljanju granice prema van. Defini</w:t>
        <w:softHyphen/>
        <w:t>rajući granicu između pravovjernosti i krivo</w:t>
        <w:softHyphen/>
        <w:t>vjerja, vjeroispovijedanje stječe karakter ‘sim</w:t>
        <w:softHyphen/>
        <w:t>bola’ koji simbolizira identitet zajednice. U tom se smislu, uz mnoštvo povoda i motiva, stvara u ranoj crkvenoj povijesti dugi niz vje</w:t>
        <w:softHyphen/>
        <w:t>roispovijesti od kojih se posebno nameću op</w:t>
        <w:softHyphen/>
        <w:t>ćenito tri, tj. kao obvezatno priznati izraz vje</w:t>
        <w:softHyphen/>
        <w:t>re: tzv. Apostolicum, Nicaeno-Constantinopo- litanum i tzv. Athanasianum. Zbog svojeg općekršćanskog značenja zovu se i ‘ekumen</w:t>
        <w:softHyphen/>
        <w:t>ski simboli’.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Pogled na prakršćanski i staroerkveni razvoj vjeroispovijedanja razjašnjava više stanja stva</w:t>
        <w:softHyphen/>
        <w:t>ri koja bezuvjetno valja poštivati ako se hoće razumjeti moderna problematika konfesija. - Najprije se treba čvrsto držati toga da ‘con</w:t>
        <w:softHyphen/>
        <w:t>fitcri’ očigledno predstavlja temeljnu crtu i te</w:t>
        <w:softHyphen/>
        <w:t>meljno ispunjavanje kršćanskog života. Zato teologija s pravom govori o neponištivoj »kon- fesionalnosti« kršćanske vjere, čime se ne ka</w:t>
        <w:softHyphen/>
        <w:t>zuje ništa drugo nego ovo: vjera se mora izri</w:t>
        <w:softHyphen/>
        <w:t>cati i razglašavati pred drugima i s drugima. Takvo vjeroispovijedanje, koje se ispunjava riječju i djelom, sadrži uvijek pored svog afir- mativnog momenta, u kojem se vjera pozi</w:t>
        <w:softHyphen/>
      </w:r>
      <w:r>
        <w:rPr>
          <w:rFonts w:ascii="Times New Roman" w:eastAsia="Times New Roman" w:hAnsi="Times New Roman" w:cs="Times New Roman"/>
          <w:color w:val="000000"/>
          <w:spacing w:val="0"/>
          <w:w w:val="100"/>
          <w:position w:val="0"/>
          <w:shd w:val="clear" w:color="auto" w:fill="auto"/>
          <w:lang w:val="hr-HR" w:eastAsia="hr-HR" w:bidi="hr-HR"/>
        </w:rPr>
        <w:t>tivno izriče, i moment negiranja - i to neza</w:t>
        <w:softHyphen/>
        <w:t>visno od toga da li ono ostaje neizrečeno ili se artikulira u izričitim »damnationes«, odbaci</w:t>
        <w:softHyphen/>
        <w:t>vanjima. Razlika između obadviju mogućnosti može prema situaciji biti pastoralna i/ili crkve- nopolitička sa znatnom težinom; logički pro</w:t>
        <w:softHyphen/>
        <w:t>matrano, ona je bez značenja. Povijesno to konkretno znači npr.: Vjeroispovijedanje u apsolutno Isusovo kraljevstvo isključuje sudje</w:t>
        <w:softHyphen/>
        <w:t>lovanje u religijskom kultu cara, bez obzira na to da li je ovo činjenično stanje izrečeno ili nije; i utoliko aktivno uskraćivanje takvog su</w:t>
        <w:softHyphen/>
        <w:t>djelovanja sve do mučeništva ne dodaje ništa izvornom vjeroispovijedanju nego samo raz</w:t>
        <w:softHyphen/>
        <w:t>vija u tome prikriveni negatorski moment. - U današnjim konfesijama dolazi taj moment ne</w:t>
        <w:softHyphen/>
        <w:t>giranja utoliko do izražaja, ukoliko se one dje</w:t>
        <w:softHyphen/>
        <w:t>lomično ili čak potpuno shvaćaju kao protivne tvorevine koje odatle nužno sadrže uzajamno isključivanje iz crkvenog zajedništva. U odno</w:t>
        <w:softHyphen/>
        <w:t>su na logičku strukturu vjeroispovijedanja tak</w:t>
        <w:softHyphen/>
        <w:t>va uzajamna ekskomunikacija ne može biti unaprijed odbijena kao nezakonita, osim ako se osporava ispovjedni karakter vjere. Utoliko mora također i svaka ekumenska kritika egzi</w:t>
        <w:softHyphen/>
        <w:t>stencije kršćanskih konfesija uvažiti konfesio- nalnost vjere pa bi bilo promašeno kada bi imala za cilj samo neutralizirati ili dokinuti damnatorski element dotičnih vjeroispovije</w:t>
        <w:softHyphen/>
        <w:t>danja a da pozitivno ne izloži zašto razlike iz</w:t>
        <w:softHyphen/>
        <w:t>među vjeroispovijedanja ne opravdavaju eks- komunikaciju.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Obrnuto, isto je tako pogrešno zaključivati o konstitutivnoj konfesionalnosti vjere bez ob</w:t>
        <w:softHyphen/>
        <w:t>zira na teološko opravdanje egzistencije kon</w:t>
        <w:softHyphen/>
        <w:t>fesija u današnjem smislu. Mnogostruka vje</w:t>
        <w:softHyphen/>
        <w:t>rovanja, dokazana u novozavjetnom i staro- crkvenom smislu, ne mogu se bez daljnjega shvaćati kao direktna paralela uz konfesional</w:t>
        <w:softHyphen/>
        <w:t>nu mnogostrukost sadašnjega kršćanstva, jer ni povijesno ni stvarno ne vodi ravan put od ‘confessio’ do ‘konfesije’ u današnjem uobiča</w:t>
        <w:softHyphen/>
        <w:t>jenom smislu. Usporedba obadvaju fenomena ipak pokazuje da je vjeroispovijedanje tijekom povijesti u dvostrukom smislu iskusilo promje</w:t>
        <w:softHyphen/>
        <w:t>nu funkcije, a za ekumenski dijalog neospor</w:t>
        <w:softHyphen/>
        <w:t>no je važno da se ona prepozna.</w:t>
      </w:r>
    </w:p>
    <w:p>
      <w:pPr>
        <w:pStyle w:val="Style20"/>
        <w:keepNext w:val="0"/>
        <w:keepLines w:val="0"/>
        <w:widowControl w:val="0"/>
        <w:shd w:val="clear" w:color="auto" w:fill="auto"/>
        <w:bidi w:val="0"/>
        <w:spacing w:before="0" w:after="0"/>
        <w:ind w:left="0" w:right="0" w:firstLine="0"/>
        <w:jc w:val="both"/>
        <w:sectPr>
          <w:headerReference w:type="default" r:id="rId629"/>
          <w:footerReference w:type="default" r:id="rId630"/>
          <w:headerReference w:type="even" r:id="rId631"/>
          <w:footerReference w:type="even" r:id="rId632"/>
          <w:headerReference w:type="first" r:id="rId633"/>
          <w:footerReference w:type="first" r:id="rId634"/>
          <w:footnotePr>
            <w:pos w:val="pageBottom"/>
            <w:numFmt w:val="decimal"/>
            <w:numStart w:val="5"/>
            <w:numRestart w:val="continuous"/>
            <w15:footnoteColumns w:val="1"/>
          </w:footnotePr>
          <w:pgSz w:w="6816" w:h="11006"/>
          <w:pgMar w:top="987" w:left="169" w:right="172" w:bottom="443" w:header="0" w:footer="3" w:gutter="0"/>
          <w:cols w:num="2" w:space="15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Prvo gledište odnosi se na pomicanje naglaska unutar strukturnih komponenata samog vje</w:t>
        <w:softHyphen/>
        <w:t>roispovijedanja. Izvorna ‘confessio’ usmjerava se najprije i prije svega na samog Isusa, uspo</w:t>
        <w:softHyphen/>
        <w:t>stavlja osobni odnos prema Isusu kao Kristu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kojega izvire i kojemu odgovara vjeroispo- vijedanje u svojim usmenim i djelatnim izražaj</w:t>
        <w:softHyphen/>
        <w:t>nim oblicima. Tako vjeroispovijedanje pred</w:t>
        <w:softHyphen/>
        <w:t>stavlja posrednički medij između vjernika i Krista kao njegova Gospodina i samo na osnovi ove svoje medijalne funkcije može ute</w:t>
        <w:softHyphen/>
        <w:t>meljiti zajedništvo među kršćanima kao krš</w:t>
        <w:softHyphen/>
        <w:t>ćanima i služiti kao kriterij pripadnosti tom zajedništvu. Medijalni karakter vjeroispovijeda- nja leži dakle logično ispred njegove eklezi- jalnc naravi i njegova odnosa prema zajed</w:t>
        <w:softHyphen/>
        <w:t>ništvu i utemeljuje ih. Budući da se, prema tomu, kršćansko zajedništvo izgrađuje zajed</w:t>
        <w:softHyphen/>
        <w:t>ničkom vjerom u Isusa kao Krista koja se iz</w:t>
        <w:softHyphen/>
        <w:t>ražava u zajedničkom vjeroispovijedanju, ono može ispunjavati svoju socijalnu funkciju sa</w:t>
        <w:softHyphen/>
        <w:t>mo u onoj mjeri u kojoj ispunjava svoju medi- jalnu funkciju. Pa ipak, što važnije postaje, na temelju stanovitih uvjeta, formulirano vjerois</w:t>
        <w:softHyphen/>
        <w:t>povijedanje kao primjetljiv i vidljiv znak iden</w:t>
        <w:softHyphen/>
        <w:t>titeta kršćanskog zajedništva, to više prijeti opasnost da se logična razlika u visini između njegove medijalne i njegove socijalne funkcije izravna ili postane sasvim obrnuta. Time se prisilno pomiče primarna točka vjerskog pod</w:t>
        <w:softHyphen/>
        <w:t>rijetla čime se opet mijenja samorazumijeva- nje vjere: ‘Pravovjernost' tada ne znači više u prvom redu ispravnu vjeru u smislu osobnog nasljedovanja i vjernosti Kristu, nego znači najprije vjernost vjeroispovijedanju kao tak</w:t>
        <w:softHyphen/>
        <w:t>vomu, pridržavanje i držanje istinitim određe</w:t>
        <w:softHyphen/>
        <w:t>nih formulacija. Na taj se način preobražava suglasnost u zajedničkom vjeroispovijedanju od kriterija pripadnosti društvenom zajedniš</w:t>
        <w:softHyphen/>
        <w:t>tvu kršćana u kriterij same vjere.</w:t>
      </w:r>
    </w:p>
    <w:p>
      <w:pPr>
        <w:pStyle w:val="Style20"/>
        <w:keepNext w:val="0"/>
        <w:keepLines w:val="0"/>
        <w:widowControl w:val="0"/>
        <w:shd w:val="clear" w:color="auto" w:fill="auto"/>
        <w:bidi w:val="0"/>
        <w:spacing w:before="0" w:after="2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Teško se sada može osporiti da već relativno rano u povijesti Crkve počinje razvitak koji dovodi do takvog pripisivanja pretežite vrijed</w:t>
        <w:softHyphen/>
        <w:t>nosti formuliranom vjeroispovijedanju na ko</w:t>
        <w:softHyphen/>
        <w:t>je su se mogli nadovezati teolozi u XIX. i XX. stoljeću koji su pridjevali odnosno pridjevaju vjeroispovijedanju crkveno utemeljiteljsku funk</w:t>
        <w:softHyphen/>
        <w:t>ciju. - Kao glavni uzrok za ovu promjenu težišta mora važiti promjena u odnosu Crkve i države koja se označava natuknicom ‘konstan- tinovski preokret’. Nakon što je dotad pro</w:t>
        <w:softHyphen/>
        <w:t>ganjana kršćanska Crkva dobila monopolni po</w:t>
        <w:softHyphen/>
        <w:t>ložaj priznate državne Crkve, dobili su staro- erkveni simboli, uz svoje unutarerkveno zna</w:t>
        <w:softHyphen/>
        <w:t>čenje, istodobno političko kao i državnoprav</w:t>
        <w:softHyphen/>
        <w:t xml:space="preserve">no značenje, jer je kanonsko pravo postalo sastavni dio državnog prava. Otada jedinstvo </w:t>
      </w:r>
      <w:r>
        <w:rPr>
          <w:rFonts w:ascii="Times New Roman" w:eastAsia="Times New Roman" w:hAnsi="Times New Roman" w:cs="Times New Roman"/>
          <w:color w:val="000000"/>
          <w:spacing w:val="0"/>
          <w:w w:val="100"/>
          <w:position w:val="0"/>
          <w:shd w:val="clear" w:color="auto" w:fill="auto"/>
          <w:lang w:val="hr-HR" w:eastAsia="hr-HR" w:bidi="hr-HR"/>
        </w:rPr>
        <w:t>kršćanskog zajedništva, simbolizirano zajed</w:t>
        <w:softHyphen/>
        <w:t>ničkim vjeroispovijedanjem, sjedne strane kao i jedinstvo države, tvore uzajamnu uvjetnu po</w:t>
        <w:softHyphen/>
        <w:t>vezanost u kojoj jedan element podržava dru</w:t>
        <w:softHyphen/>
        <w:t>gi. Polazeći od te situacije, objašnjava se da su pisci ranorcformacijskih zapisanih vjeroispo- vijedanja slijedili dvostruku nakanu. Ujedno su ciljali, kao što posebno pokazuje Confessio Augustana (1530), na dokazivanje pravovjer</w:t>
        <w:softHyphen/>
        <w:t>nosti reformacije kako bi izbjegli konačni ras</w:t>
        <w:softHyphen/>
        <w:t>kid s općom Crkvom. Pa ipak, zajedno s ovom ekumenskom namjerom moralo im je biti sta</w:t>
        <w:softHyphen/>
        <w:t>lo do toga da dokazivanjem pravovjernosti postignu državnopravno priznavanje reforma- cijc, jer samo je ono moglo njezinim pristaša</w:t>
        <w:softHyphen/>
        <w:t>ma priskrbiti željenu zaštitu od strane držav</w:t>
        <w:softHyphen/>
        <w:t>nog autoriteta. Dakako, tomu je stajalo na putu državnopravno načelo jedinstva vjeroispovije- danja koje se u ono vrijeme nitko nije usudio uzdrmati. Odatle nosi Augsburški vjerski mir od 1555. sve znakove kompromisa, koji je bio iznuđen političkom i vojnom konstelacijom snaga pa je prije ili kasnije morao propasti. Temeljna ideja mirovnog uređenja, koja je kasnije obuhvaćena upečatljivom formulom »Cuius regio, eius religio«, počiva u svojoj srži na tome da se načelo jedinstva u vjeroispovi</w:t>
        <w:softHyphen/>
        <w:t>jedanju s jedne strane prenese na pojedinačne teritorije kojima vladaju knezovi a da istodob</w:t>
        <w:softHyphen/>
        <w:t>no zadrži svoju državnopravnu vrijednost. Dru</w:t>
        <w:softHyphen/>
        <w:t>gim riječima, gledano iz perspektive državnog prava, reformacija se doduše trpjela, ali nije se stvarno priznavala zbog čega ni kanonsko pravo na protestantskim područjima nije ni</w:t>
        <w:softHyphen/>
        <w:t>pošto ukinuto, nego je samo izostavljana nje</w:t>
        <w:softHyphen/>
        <w:t>gova primjena. To rješenje koje nije zadovo</w:t>
        <w:softHyphen/>
        <w:t>ljavalo protestantsku stranu, pa ova zato nije mogla spriječiti nastavak borbi, tek se West- falskim mirom 1648. stavlja izvan snage. On konačno žrtvuje fikciju državno-crkvenog je</w:t>
        <w:softHyphen/>
        <w:t>dinstva i obnavlja potpunu pravnu jednakost između prijašnjih ‘religijskih i crkvenih par</w:t>
        <w:softHyphen/>
        <w:t>tija’, nazivanih tako još u vrijeme reformacije. Presudno je shvatiti da čak još u tom pos</w:t>
        <w:softHyphen/>
        <w:t>tupku, makar on predstavlja raskid s držav- no-crkvenom tradicijom, njezin uzor ostaje utoliko djelotvoran što se pravna jednakost »konfesija« izričito ispunjava pozivanjem na pisamska vjeroispovijedanja. Formulirano vje</w:t>
        <w:softHyphen/>
        <w:t>roispovijedanje tako sadržava očigledno poli</w:t>
        <w:softHyphen/>
        <w:t>tičko značenje kao temelj za uređivanje od</w:t>
        <w:softHyphen/>
        <w:t>nosa između Crkve i države; i to vrijedi do</w:t>
      </w:r>
    </w:p>
    <w:p>
      <w:pPr>
        <w:pStyle w:val="Style56"/>
        <w:keepNext w:val="0"/>
        <w:keepLines w:val="0"/>
        <w:widowControl w:val="0"/>
        <w:shd w:val="clear" w:color="auto" w:fill="auto"/>
        <w:bidi w:val="0"/>
        <w:spacing w:before="0" w:after="0" w:line="240" w:lineRule="auto"/>
        <w:ind w:left="0" w:right="0" w:firstLine="0"/>
        <w:jc w:val="right"/>
        <w:sectPr>
          <w:headerReference w:type="default" r:id="rId635"/>
          <w:footerReference w:type="default" r:id="rId636"/>
          <w:headerReference w:type="even" r:id="rId637"/>
          <w:footerReference w:type="even" r:id="rId638"/>
          <w:footnotePr>
            <w:pos w:val="pageBottom"/>
            <w:numFmt w:val="decimal"/>
            <w:numStart w:val="5"/>
            <w:numRestart w:val="continuous"/>
            <w15:footnoteColumns w:val="1"/>
          </w:footnotePr>
          <w:pgSz w:w="6816" w:h="11006"/>
          <w:pgMar w:top="1034" w:left="194" w:right="194" w:bottom="136" w:header="0" w:footer="3" w:gutter="0"/>
          <w:cols w:num="2" w:space="191"/>
          <w:noEndnote/>
          <w:rtlGutter w:val="0"/>
          <w:docGrid w:linePitch="360"/>
        </w:sectPr>
      </w:pPr>
      <w:r>
        <w:rPr>
          <w:color w:val="000000"/>
          <w:spacing w:val="0"/>
          <w:w w:val="100"/>
          <w:position w:val="0"/>
          <w:shd w:val="clear" w:color="auto" w:fill="auto"/>
          <w:lang w:val="hr-HR" w:eastAsia="hr-HR" w:bidi="hr-HR"/>
        </w:rPr>
        <w:t>?1S</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danas bez obzira na radikalne promjene držav</w:t>
        <w:softHyphen/>
        <w:t>nih prilika koje su u međuvremenu nastupile: Dok su rimokatolička, luteranska i reformi</w:t>
        <w:softHyphen/>
        <w:t>rana »k.« na temelju svog statusa pisamskog vjeroispovijedanja priznate kao zajednice s pravom javnosti, kršćanskim zajednicama bez statusa vjeroispovijedanja priznaje se samo status udruženja. Na to se činjenično stanje nadovezuje još poznato razlikovanje između »konfesija« i »sekta«.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Barem je isto tako važno vidjeti da s insti- tucionalno-organizatorskim osamostaljenjem konfesija jednostavno ne propada ekumenska nakana koja je u početku bila povezana s ra- norcformacijskim vjerovanjima, nego se upra</w:t>
        <w:softHyphen/>
        <w:t>vo okreće u svoju suprotnost: Zamišljeni kao dokumenti volje za crkvenim jedinstvom, na kraju u neku ruku služe kao utemeljitcljske povelje rastavljenih crkvenosti koje se pole</w:t>
        <w:softHyphen/>
        <w:t>mički razlučuju jedna od druge i od Rimoka</w:t>
        <w:softHyphen/>
        <w:t>toličke crkve, pri čemu svi sudionici postav</w:t>
        <w:softHyphen/>
        <w:t>ljaju za sebe isključivo pravo da neskraćeno i autentično žive i ostvaruju cjelinu kršćanske vjere. - Da se upravo u ovom polemičkom po</w:t>
        <w:softHyphen/>
        <w:t>laganju prava na ekskluzivnost zadržava sa</w:t>
        <w:softHyphen/>
        <w:t>znanje o bezuvjetnoj medijalnoj funkciji vje</w:t>
        <w:softHyphen/>
        <w:t>roispovijedanja, ne smije se i ne može previd</w:t>
        <w:softHyphen/>
        <w:t>jeti i koliko je u procesu stvaranja konfesije gurnuta u prednji plan društvena funkcija vje</w:t>
        <w:softHyphen/>
        <w:t>roispovijedanja. Simptomatično je za tu okol</w:t>
        <w:softHyphen/>
        <w:t>nost da pojam konfesije ne navodi više prven</w:t>
        <w:softHyphen/>
        <w:t>stveno na pomisao o povezanosti vjernika uz Krista nego o njihovoj pripadnosti određenoj kršćanskoj zajednici.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Zato bi moglo biti jasno da se pojam konfesije ne može definirati samo teološki, nego on po</w:t>
        <w:softHyphen/>
        <w:t>kazuje komponente značenja koje se mogu ra</w:t>
        <w:softHyphen/>
        <w:t>zumjeti samo s obzirom na novovjeku povijest konfesije i njezine posebne povijesne uvjete. Zato bi trebalo izbjegavati da se govori o nas</w:t>
        <w:softHyphen/>
        <w:t>tanku novih konfesija, s obzirom na stvaranje religijske, etničke i/ili etičke koalicije, koje prolaze duž tradicionalnih granica konfesije i danas se nerijetko mogu zapažati. - Nemo</w:t>
        <w:softHyphen/>
        <w:t>gućnost strogo teološkog pojma konfesije ob</w:t>
        <w:softHyphen/>
        <w:t>jašnjava uostalom zašto kršćanske velezajed- nice daju prednost dogmatskom pojmu Crkve i iz kojeg bi razloga bilo krivo prihvatiti da se ekumenski dijalog vrti oko pitanja teološke le</w:t>
        <w:softHyphen/>
        <w:t>gitimnosti postojećih konfesija. Sržno ekumen</w:t>
        <w:softHyphen/>
        <w:t xml:space="preserve">ski teološko pitanje mnogo više glasi može li </w:t>
      </w:r>
      <w:r>
        <w:rPr>
          <w:rFonts w:ascii="Times New Roman" w:eastAsia="Times New Roman" w:hAnsi="Times New Roman" w:cs="Times New Roman"/>
          <w:color w:val="000000"/>
          <w:spacing w:val="0"/>
          <w:w w:val="100"/>
          <w:position w:val="0"/>
          <w:shd w:val="clear" w:color="auto" w:fill="auto"/>
          <w:lang w:val="hr-HR" w:eastAsia="hr-HR" w:bidi="hr-HR"/>
        </w:rPr>
        <w:t>se i ukoliko se može jedinstvo Crkve koje zah</w:t>
        <w:softHyphen/>
        <w:t>tijeva vjera spojiti s postojanjem mnoštva kon</w:t>
        <w:softHyphen/>
        <w:t>fesija. I odgovor na to neosporno ovisi o tome da li i ukoliko se konfesije vide u stanju da se uzajamno priznaju kao Crkva ili crkve. Po</w:t>
        <w:softHyphen/>
        <w:t>novno uspostavljanje crkvenog zajedništva počinje, prema tomu, nužno pomiriteljskim či</w:t>
        <w:softHyphen/>
        <w:t>nom poništavanja još uvijek važećih izopće</w:t>
        <w:softHyphen/>
        <w:t>nja, kao što se to prvi put dogodilo 1965. iz</w:t>
        <w:softHyphen/>
        <w:t>među Ekumenskoga carigradskog patrijarha</w:t>
        <w:softHyphen/>
        <w:t>ta i Rimokatoličke crkve i ponovno 1971. u tzv. Luenberškoj konkordiji reformacijskih crkava Europe. Samo pod pretpostavkom takvog po</w:t>
        <w:softHyphen/>
        <w:t>mirenja može se pozitivno odrediti odnos ekumeničnosti odnosno jedinstva i konfesio- nalnosti. S njim u svakom slučaju nije još ništa određeno kakav društveni oblik treba preuze</w:t>
        <w:softHyphen/>
        <w:t>ti ujedinjeno kršćanstvo, kakvo značenje u to</w:t>
        <w:softHyphen/>
        <w:t>me mora ili smije pripasti tradicionalnim kon</w:t>
        <w:softHyphen/>
        <w:t>fesionalnim zajednicama. Što dalje napreduje interkonfesionalni dijalog i što više raste broj dokumenata s konsenzusom, koje su izradile komisije za dijalog i koji su predani na ispiti</w:t>
        <w:softHyphen/>
        <w:t>vanje crkvenim vodstvima, to se hitnije po</w:t>
        <w:softHyphen/>
        <w:t>stavlja problem koji se odnosi na predodžbu o cilju prema kojem se usmjerava ekumenski proces. Rasprava o dogmatski zamislivim i praktički ostvarivim modelima jedinstva nije još odveć dugo u tijeku i zato se mora držati i dalje otvorenom. U svakom se slučaju već ocr</w:t>
        <w:softHyphen/>
        <w:t>tava razlika između Ekumenskog vijeća crka</w:t>
        <w:softHyphen/>
        <w:t>va i konfesionalnih svjetskih obitelji. Dok Vi</w:t>
        <w:softHyphen/>
        <w:t>jeće daje prednost konceptu koncilijarnog za</w:t>
        <w:softHyphen/>
        <w:t>jedništva koji pretpostavlja organsko jedinstvo na lokalnoj razini zajednice i utoliko se samo teško može dovesti u sklad s daljnjim posto</w:t>
        <w:softHyphen/>
        <w:t>janjem konfesionalnih zajednica, dotle konfe</w:t>
        <w:softHyphen/>
        <w:t>sionalne svjetske obitelji više naginju predo</w:t>
        <w:softHyphen/>
        <w:t>džbama (npr. ideje o ‘jedinstvu u izmirenoj različitosti’, o ‘korporativnom ponovnom uje</w:t>
        <w:softHyphen/>
        <w:t>dinjenju', o ‘sestrinskim crkvama’) koje uklju</w:t>
        <w:softHyphen/>
        <w:t>čuju načelno odobravanje konfesionalne raš- članjenosti. Sigurno ne tvrdimo previše ako kažemo da o ishodu ove diskusije ovisi sud</w:t>
        <w:softHyphen/>
        <w:t>bina ekumenskoga pokreta.</w:t>
      </w:r>
    </w:p>
    <w:p>
      <w:pPr>
        <w:pStyle w:val="Style56"/>
        <w:keepNext w:val="0"/>
        <w:keepLines w:val="0"/>
        <w:widowControl w:val="0"/>
        <w:shd w:val="clear" w:color="auto" w:fill="auto"/>
        <w:bidi w:val="0"/>
        <w:spacing w:before="0" w:after="0" w:line="240" w:lineRule="auto"/>
        <w:ind w:left="0" w:right="0" w:firstLine="0"/>
        <w:jc w:val="both"/>
        <w:sectPr>
          <w:headerReference w:type="default" r:id="rId639"/>
          <w:footerReference w:type="default" r:id="rId640"/>
          <w:headerReference w:type="even" r:id="rId641"/>
          <w:footerReference w:type="even" r:id="rId642"/>
          <w:footnotePr>
            <w:pos w:val="pageBottom"/>
            <w:numFmt w:val="decimal"/>
            <w:numRestart w:val="continuous"/>
            <w15:footnoteColumns w:val="1"/>
          </w:footnotePr>
          <w:pgSz w:w="6816" w:h="11006"/>
          <w:pgMar w:top="992" w:left="166" w:right="174" w:bottom="453" w:header="0" w:footer="3" w:gutter="0"/>
          <w:pgNumType w:start="216"/>
          <w:cols w:num="2" w:space="145"/>
          <w:noEndnote/>
          <w:rtlGutter w:val="0"/>
          <w:docGrid w:linePitch="360"/>
        </w:sectPr>
      </w:pPr>
      <w:r>
        <w:rPr>
          <w:color w:val="000000"/>
          <w:spacing w:val="0"/>
          <w:w w:val="100"/>
          <w:position w:val="0"/>
          <w:shd w:val="clear" w:color="auto" w:fill="auto"/>
          <w:lang w:val="hr-HR" w:eastAsia="hr-HR" w:bidi="hr-HR"/>
        </w:rPr>
        <w:t xml:space="preserve">Lit.: K. Algcrmisscn, </w:t>
      </w:r>
      <w:r>
        <w:rPr>
          <w:i/>
          <w:iCs/>
          <w:color w:val="000000"/>
          <w:spacing w:val="0"/>
          <w:w w:val="100"/>
          <w:position w:val="0"/>
          <w:shd w:val="clear" w:color="auto" w:fill="auto"/>
          <w:lang w:val="hr-HR" w:eastAsia="hr-HR" w:bidi="hr-HR"/>
        </w:rPr>
        <w:t>Konfessionskunde,</w:t>
      </w:r>
      <w:r>
        <w:rPr>
          <w:color w:val="000000"/>
          <w:spacing w:val="0"/>
          <w:w w:val="100"/>
          <w:position w:val="0"/>
          <w:shd w:val="clear" w:color="auto" w:fill="auto"/>
          <w:lang w:val="hr-HR" w:eastAsia="hr-HR" w:bidi="hr-HR"/>
        </w:rPr>
        <w:t xml:space="preserve"> "1966 (ncu bear- bcitcl </w:t>
      </w:r>
      <w:r>
        <w:rPr>
          <w:color w:val="000000"/>
          <w:spacing w:val="0"/>
          <w:w w:val="100"/>
          <w:position w:val="0"/>
          <w:shd w:val="clear" w:color="auto" w:fill="auto"/>
        </w:rPr>
        <w:t xml:space="preserve">von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u.a.); F. </w:t>
      </w:r>
      <w:r>
        <w:rPr>
          <w:color w:val="000000"/>
          <w:spacing w:val="0"/>
          <w:w w:val="100"/>
          <w:position w:val="0"/>
          <w:shd w:val="clear" w:color="auto" w:fill="auto"/>
        </w:rPr>
        <w:t xml:space="preserve">Heyer, </w:t>
      </w:r>
      <w:r>
        <w:rPr>
          <w:i/>
          <w:iCs/>
          <w:color w:val="000000"/>
          <w:spacing w:val="0"/>
          <w:w w:val="100"/>
          <w:position w:val="0"/>
          <w:shd w:val="clear" w:color="auto" w:fill="auto"/>
        </w:rPr>
        <w:t>Konfessionskunde,</w:t>
      </w:r>
      <w:r>
        <w:rPr>
          <w:color w:val="000000"/>
          <w:spacing w:val="0"/>
          <w:w w:val="100"/>
          <w:position w:val="0"/>
          <w:shd w:val="clear" w:color="auto" w:fill="auto"/>
        </w:rPr>
        <w:t xml:space="preserve"> Ber</w:t>
        <w:softHyphen/>
        <w:t xml:space="preserve">lin,'New York </w:t>
      </w:r>
      <w:r>
        <w:rPr>
          <w:color w:val="000000"/>
          <w:spacing w:val="0"/>
          <w:w w:val="100"/>
          <w:position w:val="0"/>
          <w:shd w:val="clear" w:color="auto" w:fill="auto"/>
          <w:lang w:val="hr-HR" w:eastAsia="hr-HR" w:bidi="hr-HR"/>
        </w:rPr>
        <w:t xml:space="preserve">1977; E. Fahlbusch, </w:t>
      </w:r>
      <w:r>
        <w:rPr>
          <w:i/>
          <w:iCs/>
          <w:color w:val="000000"/>
          <w:spacing w:val="0"/>
          <w:w w:val="100"/>
          <w:position w:val="0"/>
          <w:shd w:val="clear" w:color="auto" w:fill="auto"/>
          <w:lang w:val="hr-HR" w:eastAsia="hr-HR" w:bidi="hr-HR"/>
        </w:rPr>
        <w:t xml:space="preserve">Kirchenkunde der Gegen- </w:t>
      </w:r>
      <w:r>
        <w:rPr>
          <w:i/>
          <w:iCs/>
          <w:color w:val="000000"/>
          <w:spacing w:val="0"/>
          <w:w w:val="100"/>
          <w:position w:val="0"/>
          <w:shd w:val="clear" w:color="auto" w:fill="auto"/>
        </w:rPr>
        <w:t>wart,</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dr. </w:t>
      </w:r>
      <w:r>
        <w:rPr>
          <w:color w:val="000000"/>
          <w:spacing w:val="0"/>
          <w:w w:val="100"/>
          <w:position w:val="0"/>
          <w:shd w:val="clear" w:color="auto" w:fill="auto"/>
          <w:lang w:val="hr-HR" w:eastAsia="hr-HR" w:bidi="hr-HR"/>
        </w:rPr>
        <w:t xml:space="preserve">1979; V. Vajta/H. </w:t>
      </w:r>
      <w:r>
        <w:rPr>
          <w:color w:val="000000"/>
          <w:spacing w:val="0"/>
          <w:w w:val="100"/>
          <w:position w:val="0"/>
          <w:shd w:val="clear" w:color="auto" w:fill="auto"/>
        </w:rPr>
        <w:t xml:space="preserve">Wcissgcrber (Hrxg.), </w:t>
      </w:r>
      <w:r>
        <w:rPr>
          <w:i/>
          <w:iCs/>
          <w:color w:val="000000"/>
          <w:spacing w:val="0"/>
          <w:w w:val="100"/>
          <w:position w:val="0"/>
          <w:shd w:val="clear" w:color="auto" w:fill="auto"/>
        </w:rPr>
        <w:t xml:space="preserve">Das Bekennlnis </w:t>
      </w:r>
      <w:r>
        <w:rPr>
          <w:i/>
          <w:iCs/>
          <w:color w:val="000000"/>
          <w:spacing w:val="0"/>
          <w:w w:val="100"/>
          <w:position w:val="0"/>
          <w:shd w:val="clear" w:color="auto" w:fill="auto"/>
          <w:lang w:val="hr-HR" w:eastAsia="hr-HR" w:bidi="hr-HR"/>
        </w:rPr>
        <w:t xml:space="preserve">im </w:t>
      </w:r>
      <w:r>
        <w:rPr>
          <w:i/>
          <w:iCs/>
          <w:color w:val="000000"/>
          <w:spacing w:val="0"/>
          <w:w w:val="100"/>
          <w:position w:val="0"/>
          <w:shd w:val="clear" w:color="auto" w:fill="auto"/>
        </w:rPr>
        <w:t xml:space="preserve">Leben der Kirche. Sludien zur Lehrjpund- lage und Bekenntnisbindung in den lutherischen Kirchen, </w:t>
      </w:r>
      <w:r>
        <w:rPr>
          <w:color w:val="000000"/>
          <w:spacing w:val="0"/>
          <w:w w:val="100"/>
          <w:position w:val="0"/>
          <w:shd w:val="clear" w:color="auto" w:fill="auto"/>
        </w:rPr>
        <w:t xml:space="preserve">Berlin,'Hamburg 1963; H. Zcddies, </w:t>
      </w:r>
      <w:r>
        <w:rPr>
          <w:i/>
          <w:iCs/>
          <w:color w:val="000000"/>
          <w:spacing w:val="0"/>
          <w:w w:val="100"/>
          <w:position w:val="0"/>
          <w:shd w:val="clear" w:color="auto" w:fill="auto"/>
        </w:rPr>
        <w:t>Bekennlnis als Einigungs- prinzip. Der Einflufl des Bekenntnisbegriffs auf die theologi- schen Voraasseizungen kirchlicher Zusammenschlusse,</w:t>
      </w:r>
      <w:r>
        <w:rPr>
          <w:color w:val="000000"/>
          <w:spacing w:val="0"/>
          <w:w w:val="100"/>
          <w:position w:val="0"/>
          <w:shd w:val="clear" w:color="auto" w:fill="auto"/>
        </w:rPr>
        <w:t xml:space="preserve"> Ber- </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lin/DĐR 1980 (- </w:t>
      </w:r>
      <w:r>
        <w:rPr>
          <w:i/>
          <w:iCs/>
          <w:color w:val="000000"/>
          <w:spacing w:val="0"/>
          <w:w w:val="100"/>
          <w:position w:val="0"/>
          <w:shd w:val="clear" w:color="auto" w:fill="auto"/>
          <w:lang w:val="hr-HR" w:eastAsia="hr-HR" w:bidi="hr-HR"/>
        </w:rPr>
        <w:t>Theologische Arbeilen</w:t>
      </w:r>
      <w:r>
        <w:rPr>
          <w:color w:val="000000"/>
          <w:spacing w:val="0"/>
          <w:w w:val="100"/>
          <w:position w:val="0"/>
          <w:shd w:val="clear" w:color="auto" w:fill="auto"/>
          <w:lang w:val="hr-HR" w:eastAsia="hr-HR" w:bidi="hr-HR"/>
        </w:rPr>
        <w:t xml:space="preserve"> Bd. </w:t>
      </w:r>
      <w:r>
        <w:rPr>
          <w:color w:val="000000"/>
          <w:spacing w:val="0"/>
          <w:w w:val="100"/>
          <w:position w:val="0"/>
          <w:shd w:val="clear" w:color="auto" w:fill="auto"/>
        </w:rPr>
        <w:t xml:space="preserve">XL): </w:t>
      </w:r>
      <w:r>
        <w:rPr>
          <w:color w:val="000000"/>
          <w:spacing w:val="0"/>
          <w:w w:val="100"/>
          <w:position w:val="0"/>
          <w:shd w:val="clear" w:color="auto" w:fill="auto"/>
          <w:lang w:val="hr-HR" w:eastAsia="hr-HR" w:bidi="hr-HR"/>
        </w:rPr>
        <w:t xml:space="preserve">A. Bir- mclc (Hrsg ), </w:t>
      </w:r>
      <w:r>
        <w:rPr>
          <w:i/>
          <w:iCs/>
          <w:color w:val="000000"/>
          <w:spacing w:val="0"/>
          <w:w w:val="100"/>
          <w:position w:val="0"/>
          <w:shd w:val="clear" w:color="auto" w:fill="auto"/>
          <w:lang w:val="hr-HR" w:eastAsia="hr-HR" w:bidi="hr-HR"/>
        </w:rPr>
        <w:t xml:space="preserve">Konkordie und Kirchengemeinschaft reforma- larischer </w:t>
      </w:r>
      <w:r>
        <w:rPr>
          <w:i/>
          <w:iCs/>
          <w:color w:val="000000"/>
          <w:spacing w:val="0"/>
          <w:w w:val="100"/>
          <w:position w:val="0"/>
          <w:shd w:val="clear" w:color="auto" w:fill="auto"/>
        </w:rPr>
        <w:t xml:space="preserve">Kirchen </w:t>
      </w:r>
      <w:r>
        <w:rPr>
          <w:i/>
          <w:iCs/>
          <w:color w:val="000000"/>
          <w:spacing w:val="0"/>
          <w:w w:val="100"/>
          <w:position w:val="0"/>
          <w:shd w:val="clear" w:color="auto" w:fill="auto"/>
          <w:lang w:val="hr-HR" w:eastAsia="hr-HR" w:bidi="hr-HR"/>
        </w:rPr>
        <w:t>im Europa der Gegemvart,</w:t>
      </w:r>
      <w:r>
        <w:rPr>
          <w:color w:val="000000"/>
          <w:spacing w:val="0"/>
          <w:w w:val="100"/>
          <w:position w:val="0"/>
          <w:shd w:val="clear" w:color="auto" w:fill="auto"/>
          <w:lang w:val="hr-HR" w:eastAsia="hr-HR" w:bidi="hr-HR"/>
        </w:rPr>
        <w:t xml:space="preserve"> Frankfurl/M. 1982 (= </w:t>
      </w:r>
      <w:r>
        <w:rPr>
          <w:i/>
          <w:iCs/>
          <w:color w:val="000000"/>
          <w:spacing w:val="0"/>
          <w:w w:val="100"/>
          <w:position w:val="0"/>
          <w:shd w:val="clear" w:color="auto" w:fill="auto"/>
          <w:lang w:val="hr-HR" w:eastAsia="hr-HR" w:bidi="hr-HR"/>
        </w:rPr>
        <w:t>Okumenische Perspektiven</w:t>
      </w:r>
      <w:r>
        <w:rPr>
          <w:color w:val="000000"/>
          <w:spacing w:val="0"/>
          <w:w w:val="100"/>
          <w:position w:val="0"/>
          <w:shd w:val="clear" w:color="auto" w:fill="auto"/>
          <w:lang w:val="hr-HR" w:eastAsia="hr-HR" w:bidi="hr-HR"/>
        </w:rPr>
        <w:t xml:space="preserve"> Bd. 10); G. Bckcs/H. </w:t>
      </w:r>
      <w:r>
        <w:rPr>
          <w:color w:val="000000"/>
          <w:spacing w:val="0"/>
          <w:w w:val="100"/>
          <w:position w:val="0"/>
          <w:shd w:val="clear" w:color="auto" w:fill="auto"/>
        </w:rPr>
        <w:t xml:space="preserve">Meyer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 xml:space="preserve">Den einen Glauben bekennen. 'Confessio fi- dei - Ein </w:t>
      </w:r>
      <w:r>
        <w:rPr>
          <w:i/>
          <w:iCs/>
          <w:color w:val="000000"/>
          <w:spacing w:val="0"/>
          <w:w w:val="100"/>
          <w:position w:val="0"/>
          <w:shd w:val="clear" w:color="auto" w:fill="auto"/>
        </w:rPr>
        <w:t>romisches Kolloquium,</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Frankfurt/M. 1982 ( = </w:t>
      </w:r>
      <w:r>
        <w:rPr>
          <w:i/>
          <w:iCs/>
          <w:color w:val="000000"/>
          <w:spacing w:val="0"/>
          <w:w w:val="100"/>
          <w:position w:val="0"/>
          <w:shd w:val="clear" w:color="auto" w:fill="auto"/>
          <w:lang w:val="hr-HR" w:eastAsia="hr-HR" w:bidi="hr-HR"/>
        </w:rPr>
        <w:t>Okumenische Perspektiven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Rd. </w:t>
      </w:r>
      <w:r>
        <w:rPr>
          <w:color w:val="000000"/>
          <w:spacing w:val="0"/>
          <w:w w:val="100"/>
          <w:position w:val="0"/>
          <w:shd w:val="clear" w:color="auto" w:fill="auto"/>
          <w:lang w:val="hr-HR" w:eastAsia="hr-HR" w:bidi="hr-HR"/>
        </w:rPr>
        <w:t>11).</w:t>
      </w:r>
    </w:p>
    <w:p>
      <w:pPr>
        <w:pStyle w:val="Style74"/>
        <w:keepNext w:val="0"/>
        <w:keepLines w:val="0"/>
        <w:widowControl w:val="0"/>
        <w:shd w:val="clear" w:color="auto" w:fill="auto"/>
        <w:bidi w:val="0"/>
        <w:spacing w:before="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H.-G. STOBBE</w:t>
      </w:r>
    </w:p>
    <w:p>
      <w:pPr>
        <w:pStyle w:val="Style63"/>
        <w:keepNext/>
        <w:keepLines/>
        <w:widowControl w:val="0"/>
        <w:numPr>
          <w:ilvl w:val="0"/>
          <w:numId w:val="233"/>
        </w:numPr>
        <w:shd w:val="clear" w:color="auto" w:fill="auto"/>
        <w:tabs>
          <w:tab w:pos="255" w:val="left"/>
        </w:tabs>
        <w:bidi w:val="0"/>
        <w:spacing w:before="0"/>
        <w:ind w:left="0" w:right="0" w:firstLine="0"/>
        <w:jc w:val="both"/>
      </w:pPr>
      <w:bookmarkStart w:id="162" w:name="bookmark162"/>
      <w:r>
        <w:rPr>
          <w:rFonts w:ascii="Times New Roman" w:eastAsia="Times New Roman" w:hAnsi="Times New Roman" w:cs="Times New Roman"/>
          <w:color w:val="000000"/>
          <w:spacing w:val="0"/>
          <w:w w:val="100"/>
          <w:position w:val="0"/>
          <w:shd w:val="clear" w:color="auto" w:fill="auto"/>
          <w:lang w:val="hr-HR" w:eastAsia="hr-HR" w:bidi="hr-HR"/>
        </w:rPr>
        <w:t>islamski</w:t>
      </w:r>
      <w:bookmarkEnd w:id="16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konfesijama u kršćanstvu u islamu se mogu izjednačiti najviše dvije velike skupine - </w:t>
      </w:r>
      <w:r>
        <w:rPr>
          <w:rFonts w:ascii="Times New Roman" w:eastAsia="Times New Roman" w:hAnsi="Times New Roman" w:cs="Times New Roman"/>
          <w:i/>
          <w:iCs/>
          <w:color w:val="000000"/>
          <w:spacing w:val="0"/>
          <w:w w:val="100"/>
          <w:position w:val="0"/>
          <w:shd w:val="clear" w:color="auto" w:fill="auto"/>
          <w:lang w:val="hr-HR" w:eastAsia="hr-HR" w:bidi="hr-HR"/>
        </w:rPr>
        <w:t xml:space="preserve">suniti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hr-HR" w:eastAsia="hr-HR" w:bidi="hr-HR"/>
        </w:rPr>
        <w:t>šijiti.</w:t>
      </w:r>
      <w:r>
        <w:rPr>
          <w:rFonts w:ascii="Times New Roman" w:eastAsia="Times New Roman" w:hAnsi="Times New Roman" w:cs="Times New Roman"/>
          <w:color w:val="000000"/>
          <w:spacing w:val="0"/>
          <w:w w:val="100"/>
          <w:position w:val="0"/>
          <w:shd w:val="clear" w:color="auto" w:fill="auto"/>
          <w:lang w:val="hr-HR" w:eastAsia="hr-HR" w:bidi="hr-HR"/>
        </w:rPr>
        <w:t xml:space="preserve"> Često iznošeno mišljenje da pravne škole (madhabib) u islamu predstavljaju gru</w:t>
        <w:softHyphen/>
        <w:t>piranja konfesionalne vrste ne odgovara sta</w:t>
        <w:softHyphen/>
        <w:t>nju stvari. Islamske pravne škole međusobno su tolerantne; one se također uopće ne zatva</w:t>
        <w:softHyphen/>
        <w:t xml:space="preserve">raju prema nepripadajućim skupinama, što proturječi naravi konfesija. Čak ni u ispovijedi one ne odstupaju od zajedničke jezgre nauka. Filozof i kritičar društva </w:t>
      </w:r>
      <w:r>
        <w:rPr>
          <w:rFonts w:ascii="Times New Roman" w:eastAsia="Times New Roman" w:hAnsi="Times New Roman" w:cs="Times New Roman"/>
          <w:color w:val="000000"/>
          <w:spacing w:val="0"/>
          <w:w w:val="100"/>
          <w:position w:val="0"/>
          <w:shd w:val="clear" w:color="auto" w:fill="auto"/>
          <w:lang w:val="en-US" w:eastAsia="en-US" w:bidi="en-US"/>
        </w:rPr>
        <w:t xml:space="preserve">Roger Garaudy </w:t>
      </w:r>
      <w:r>
        <w:rPr>
          <w:rFonts w:ascii="Times New Roman" w:eastAsia="Times New Roman" w:hAnsi="Times New Roman" w:cs="Times New Roman"/>
          <w:color w:val="000000"/>
          <w:spacing w:val="0"/>
          <w:w w:val="100"/>
          <w:position w:val="0"/>
          <w:shd w:val="clear" w:color="auto" w:fill="auto"/>
          <w:lang w:val="hr-HR" w:eastAsia="hr-HR" w:bidi="hr-HR"/>
        </w:rPr>
        <w:t>u međusobnoj snošljivosti islamskih pravnih škola vidi štoviše uzoran primjer koji bi trebali usvojiti svjetske religije i konfesije kako bi osi</w:t>
        <w:softHyphen/>
        <w:t>gurale mirnu budućnost čovječanstva. Samo je u odnosu šijizma prema sunizmu konfesio</w:t>
        <w:softHyphen/>
        <w:t>nalno isticanje zahtijevalo preplitanje religioz</w:t>
        <w:softHyphen/>
        <w:t>nih kontroverzi s tumačenjem legalističkoga principa i izvjesnih nacionalno-političkih pi</w:t>
        <w:softHyphen/>
        <w:t>tanja (arapstvo, iranstvo).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Šijizam (točnije: šl’at ‘AH: Alijina stranka) obuhvaća sve skupine disidenata koji su na</w:t>
        <w:softHyphen/>
        <w:t>kon kratkoga razdoblja vladavine četvrtoga kalifa —&gt; Alije (656-661) proglasili nelegitim</w:t>
        <w:softHyphen/>
        <w:t>nim zahtjeve Omejida za preuzimanjem vlasti i koji su se držali uvjerenja da čast kalifa pri</w:t>
        <w:softHyphen/>
        <w:t>pada samo izravnom Muhamedovom potom</w:t>
        <w:softHyphen/>
        <w:t>stvu. Te su šarolike skupine s vremenom pot</w:t>
        <w:softHyphen/>
        <w:t>pale pod različite utjecaje židovsko-kršćanske, zoroasterske i manihejske teologije kao i he</w:t>
        <w:softHyphen/>
        <w:t>lenske filozofije. Tako je medu njima nastala predodžba o povijesti djelovanja Bogom na- dahnutoga vode (imam, imamiti). Nakon Ali</w:t>
        <w:softHyphen/>
        <w:t>je, prvog imama, uslijedilo je narednih šest, odnosno jedanaest imama. Stoga se najpozna</w:t>
        <w:softHyphen/>
        <w:t>tije šijitske skupine nazivaju »septimiti« i »duodecimiti«, odnosno imamiti sedam, od</w:t>
        <w:softHyphen/>
        <w:t>nosno dvanaest imama. U naše vrijeme ovi su zadnji poznati po osnivanju »Islamske Repub</w:t>
        <w:softHyphen/>
        <w:t>like Iran«. Oni vjeruju da će se posljednji dva</w:t>
        <w:softHyphen/>
        <w:t xml:space="preserve">naesti imam Muhamed al-Dževad </w:t>
      </w:r>
      <w:r>
        <w:rPr>
          <w:rFonts w:ascii="Times New Roman" w:eastAsia="Times New Roman" w:hAnsi="Times New Roman" w:cs="Times New Roman"/>
          <w:color w:val="000000"/>
          <w:spacing w:val="0"/>
          <w:w w:val="100"/>
          <w:position w:val="0"/>
          <w:shd w:val="clear" w:color="auto" w:fill="auto"/>
          <w:lang w:val="en-US" w:eastAsia="en-US" w:bidi="en-US"/>
        </w:rPr>
        <w:t>(Muham</w:t>
        <w:softHyphen/>
        <w:t xml:space="preserve">mad al-DjawSd, </w:t>
      </w:r>
      <w:r>
        <w:rPr>
          <w:rFonts w:ascii="Times New Roman" w:eastAsia="Times New Roman" w:hAnsi="Times New Roman" w:cs="Times New Roman"/>
          <w:color w:val="000000"/>
          <w:spacing w:val="0"/>
          <w:w w:val="100"/>
          <w:position w:val="0"/>
          <w:shd w:val="clear" w:color="auto" w:fill="auto"/>
          <w:lang w:val="hr-HR" w:eastAsia="hr-HR" w:bidi="hr-HR"/>
        </w:rPr>
        <w:t>u. 818), koji je nestao u dje</w:t>
        <w:softHyphen/>
        <w:t>tinjstvu, ponovno pojaviti sudnjega dana kao očekivani mahdi i uspostaviti potpunu pra</w:t>
        <w:softHyphen/>
      </w:r>
      <w:r>
        <w:rPr>
          <w:rFonts w:ascii="Times New Roman" w:eastAsia="Times New Roman" w:hAnsi="Times New Roman" w:cs="Times New Roman"/>
          <w:color w:val="000000"/>
          <w:spacing w:val="0"/>
          <w:w w:val="100"/>
          <w:position w:val="0"/>
          <w:shd w:val="clear" w:color="auto" w:fill="auto"/>
          <w:lang w:val="hr-HR" w:eastAsia="hr-HR" w:bidi="hr-HR"/>
        </w:rPr>
        <w:t>vednost na zemlji. Prema šijitskomu nazoru, imami su bili bezgrešni, što suniti - pretežna većina muslimana - s izvjesnim zadrškama pretpostavljaju samo za proroke ili Božje po</w:t>
        <w:softHyphen/>
        <w:t>slanike.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 te dvije »konfesije® daleko je snažniji onaj dio islamske svjetske zajednice koji je poznat pod imenom </w:t>
      </w:r>
      <w:r>
        <w:rPr>
          <w:rFonts w:ascii="Times New Roman" w:eastAsia="Times New Roman" w:hAnsi="Times New Roman" w:cs="Times New Roman"/>
          <w:i/>
          <w:iCs/>
          <w:color w:val="000000"/>
          <w:spacing w:val="0"/>
          <w:w w:val="100"/>
          <w:position w:val="0"/>
          <w:shd w:val="clear" w:color="auto" w:fill="auto"/>
          <w:lang w:val="hr-HR" w:eastAsia="hr-HR" w:bidi="hr-HR"/>
        </w:rPr>
        <w:t>suniti.</w:t>
      </w:r>
      <w:r>
        <w:rPr>
          <w:rFonts w:ascii="Times New Roman" w:eastAsia="Times New Roman" w:hAnsi="Times New Roman" w:cs="Times New Roman"/>
          <w:color w:val="000000"/>
          <w:spacing w:val="0"/>
          <w:w w:val="100"/>
          <w:position w:val="0"/>
          <w:shd w:val="clear" w:color="auto" w:fill="auto"/>
          <w:lang w:val="hr-HR" w:eastAsia="hr-HR" w:bidi="hr-HR"/>
        </w:rPr>
        <w:t xml:space="preserve"> Glavna se razlika između te dvije skupine u teološkom pogledu sastoji u tome što suniti smatraju sebe čuvarima auten</w:t>
        <w:softHyphen/>
        <w:t>tične predaje koja se svodi na navjestitelja is</w:t>
        <w:softHyphen/>
        <w:t xml:space="preserve">lama. Za njih je ta predaja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presudna za razumijevanje Kurana a time i za cjelo</w:t>
        <w:softHyphen/>
        <w:t>kupni religiozni okvir. I šijiti je priznaju, no u njihovim očima kao obvezujuće vrijede samo one predaje koje je prenio neki od njihovih imama ili koje se svode na njega. Iza verbal</w:t>
        <w:softHyphen/>
        <w:t>nih iskaza Kurana šijiti nerijetko traže neki skriveni smisao (batin). Time je njihov reli</w:t>
        <w:softHyphen/>
        <w:t>gijski misaoni svijet otvoren za strane utje</w:t>
        <w:softHyphen/>
        <w:t xml:space="preserve">caje; zbog toga je njihova egzegeza Kurana tendenciozna, kako je to iscrpno prikazao </w:t>
      </w:r>
      <w:r>
        <w:rPr>
          <w:rFonts w:ascii="Times New Roman" w:eastAsia="Times New Roman" w:hAnsi="Times New Roman" w:cs="Times New Roman"/>
          <w:color w:val="000000"/>
          <w:spacing w:val="0"/>
          <w:w w:val="100"/>
          <w:position w:val="0"/>
          <w:shd w:val="clear" w:color="auto" w:fill="auto"/>
          <w:lang w:val="en-US" w:eastAsia="en-US" w:bidi="en-US"/>
        </w:rPr>
        <w:t xml:space="preserve">Ignaz </w:t>
      </w:r>
      <w:r>
        <w:rPr>
          <w:rFonts w:ascii="Times New Roman" w:eastAsia="Times New Roman" w:hAnsi="Times New Roman" w:cs="Times New Roman"/>
          <w:color w:val="000000"/>
          <w:spacing w:val="0"/>
          <w:w w:val="100"/>
          <w:position w:val="0"/>
          <w:shd w:val="clear" w:color="auto" w:fill="auto"/>
          <w:lang w:val="hr-HR" w:eastAsia="hr-HR" w:bidi="hr-HR"/>
        </w:rPr>
        <w:t>Goldzichcr.</w:t>
      </w:r>
    </w:p>
    <w:p>
      <w:pPr>
        <w:pStyle w:val="Style20"/>
        <w:keepNext w:val="0"/>
        <w:keepLines w:val="0"/>
        <w:widowControl w:val="0"/>
        <w:shd w:val="clear" w:color="auto" w:fill="auto"/>
        <w:tabs>
          <w:tab w:pos="2558" w:val="left"/>
        </w:tabs>
        <w:bidi w:val="0"/>
        <w:spacing w:before="0" w:after="380"/>
        <w:ind w:left="0" w:right="0" w:firstLine="0"/>
        <w:jc w:val="both"/>
        <w:rPr>
          <w:sz w:val="10"/>
          <w:szCs w:val="10"/>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Za razliku od razvoja u kršćanstvu, religiozni indiferentizam nije recimo taj koji u islam</w:t>
        <w:softHyphen/>
        <w:t>skome svijetu ublažava posljedice konfesiona- lizma, nego je to povratno promišljanje o prvo</w:t>
        <w:softHyphen/>
        <w:t xml:space="preserve">bitnom islamu. Otkako je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Shaykh </w:t>
      </w:r>
      <w:r>
        <w:rPr>
          <w:rFonts w:ascii="Times New Roman" w:eastAsia="Times New Roman" w:hAnsi="Times New Roman" w:cs="Times New Roman"/>
          <w:color w:val="000000"/>
          <w:spacing w:val="0"/>
          <w:w w:val="100"/>
          <w:position w:val="0"/>
          <w:sz w:val="15"/>
          <w:szCs w:val="15"/>
          <w:shd w:val="clear" w:color="auto" w:fill="auto"/>
          <w:lang w:val="hr-HR" w:eastAsia="hr-HR" w:bidi="hr-HR"/>
        </w:rPr>
        <w:t>al-Azhar MahmOd ShaltOt (u. 1963) donio glasovitu fet- vu, prema kojoj se najveća i najvažnija šijitska zajednica, tzv. duodecimitska zajednica, treba promatrati jedino kao pravna škola (madhhab), unutar islama se s najvećim naporom čine eku</w:t>
        <w:softHyphen/>
        <w:t>menska nastojanja.</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S.BAI.IĆ</w:t>
      </w:r>
    </w:p>
    <w:p>
      <w:pPr>
        <w:pStyle w:val="Style33"/>
        <w:keepNext w:val="0"/>
        <w:keepLines w:val="0"/>
        <w:widowControl w:val="0"/>
        <w:shd w:val="clear" w:color="auto" w:fill="auto"/>
        <w:bidi w:val="0"/>
        <w:spacing w:before="0" w:after="2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KONSENZUS </w:t>
      </w:r>
      <w:r>
        <w:rPr>
          <w:rFonts w:ascii="Arial" w:eastAsia="Arial" w:hAnsi="Arial" w:cs="Arial"/>
          <w:smallCaps/>
          <w:color w:val="000000"/>
          <w:spacing w:val="0"/>
          <w:w w:val="100"/>
          <w:position w:val="0"/>
          <w:sz w:val="12"/>
          <w:szCs w:val="12"/>
          <w:shd w:val="clear" w:color="auto" w:fill="auto"/>
          <w:lang w:val="hr-HR" w:eastAsia="hr-HR" w:bidi="hr-HR"/>
        </w:rPr>
        <w:t>-ž</w:t>
      </w:r>
      <w:r>
        <w:rPr>
          <w:rFonts w:ascii="Times New Roman" w:eastAsia="Times New Roman" w:hAnsi="Times New Roman" w:cs="Times New Roman"/>
          <w:b/>
          <w:bCs/>
          <w:color w:val="000000"/>
          <w:spacing w:val="0"/>
          <w:w w:val="100"/>
          <w:position w:val="0"/>
          <w:shd w:val="clear" w:color="auto" w:fill="auto"/>
          <w:lang w:val="hr-HR" w:eastAsia="hr-HR" w:bidi="hr-HR"/>
        </w:rPr>
        <w:t xml:space="preserve"> SUGLASNOST</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KRALJEVSTVO BOŽJE</w:t>
      </w:r>
    </w:p>
    <w:p>
      <w:pPr>
        <w:pStyle w:val="Style63"/>
        <w:keepNext/>
        <w:keepLines/>
        <w:widowControl w:val="0"/>
        <w:numPr>
          <w:ilvl w:val="0"/>
          <w:numId w:val="235"/>
        </w:numPr>
        <w:shd w:val="clear" w:color="auto" w:fill="auto"/>
        <w:tabs>
          <w:tab w:pos="250" w:val="left"/>
        </w:tabs>
        <w:bidi w:val="0"/>
        <w:spacing w:before="0"/>
        <w:ind w:left="0" w:right="0" w:firstLine="0"/>
        <w:jc w:val="both"/>
      </w:pPr>
      <w:bookmarkStart w:id="163" w:name="bookmark163"/>
      <w:r>
        <w:rPr>
          <w:rFonts w:ascii="Times New Roman" w:eastAsia="Times New Roman" w:hAnsi="Times New Roman" w:cs="Times New Roman"/>
          <w:color w:val="000000"/>
          <w:spacing w:val="0"/>
          <w:w w:val="100"/>
          <w:position w:val="0"/>
          <w:shd w:val="clear" w:color="auto" w:fill="auto"/>
          <w:lang w:val="hr-HR" w:eastAsia="hr-HR" w:bidi="hr-HR"/>
        </w:rPr>
        <w:t>židovski</w:t>
      </w:r>
      <w:bookmarkEnd w:id="163"/>
    </w:p>
    <w:p>
      <w:pPr>
        <w:pStyle w:val="Style20"/>
        <w:keepNext w:val="0"/>
        <w:keepLines w:val="0"/>
        <w:widowControl w:val="0"/>
        <w:numPr>
          <w:ilvl w:val="0"/>
          <w:numId w:val="237"/>
        </w:numPr>
        <w:shd w:val="clear" w:color="auto" w:fill="auto"/>
        <w:tabs>
          <w:tab w:pos="265"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svatko u ime svoga Boga«:</w:t>
      </w:r>
      <w:r>
        <w:rPr>
          <w:rFonts w:ascii="Times New Roman" w:eastAsia="Times New Roman" w:hAnsi="Times New Roman" w:cs="Times New Roman"/>
          <w:color w:val="000000"/>
          <w:spacing w:val="0"/>
          <w:w w:val="100"/>
          <w:position w:val="0"/>
          <w:shd w:val="clear" w:color="auto" w:fill="auto"/>
          <w:lang w:val="hr-HR" w:eastAsia="hr-HR" w:bidi="hr-HR"/>
        </w:rPr>
        <w:t xml:space="preserve"> Židovski par</w:t>
        <w:softHyphen/>
        <w:t>tikularizam i univerzalističko inzistiranjc ži</w:t>
        <w:softHyphen/>
        <w:t>dovstva uzajamno se ne isključuju nego se na</w:t>
        <w:softHyphen/>
        <w:t>dopunjuju; obje tendencije vuku korijenje iz biblijske predaje. Izraelovo određenje da bu</w:t>
        <w:softHyphen/>
        <w:t>de »svojina mimo sve narode« i »narod svet« onoga koji se sam očituje: »Ta moj je sav svi</w:t>
        <w:softHyphen/>
        <w:t>jet« (Izl 19,5 i d., usp. Pnz 7,6; 14,2; 26,18 i d.; Mal 3,17), ne proturječi cilju jednoga čovje</w:t>
        <w:softHyphen/>
        <w:t xml:space="preserve">čanstva u »kraljevstvu naroda« što ga je Bog </w:t>
      </w:r>
      <w:r>
        <w:rPr>
          <w:rFonts w:ascii="Times New Roman" w:eastAsia="Times New Roman" w:hAnsi="Times New Roman" w:cs="Times New Roman"/>
          <w:color w:val="000000"/>
          <w:spacing w:val="0"/>
          <w:w w:val="100"/>
          <w:position w:val="0"/>
          <w:shd w:val="clear" w:color="auto" w:fill="auto"/>
          <w:lang w:val="hr-HR" w:eastAsia="hr-HR" w:bidi="hr-HR"/>
        </w:rPr>
        <w:t>postavio za sve ljude i narode (Iz 2,1-4; Mih 4,1-4). Židovski partikularizam izražava se u obilju zapovijedi i propisa koji određuju pose</w:t>
        <w:softHyphen/>
        <w:t>ban židovski životni put; budući da on smatra daje od Boga, sposoban je priznavati mnoštvo religijskih iskustava u svijetu izvanžidovskih naroda kao stvarnost ljudske povijesti i kao pravo svih naroda, koje se temelji na slobod</w:t>
        <w:softHyphen/>
        <w:t>noj odluci pred zajedničkim Stvoriteljem, ka</w:t>
        <w:softHyphen/>
        <w:t xml:space="preserve">ko pojedinaca tako i pripadnika određenih društveno-religijskih zajednica. U židovskom univerzalizmu također djeluje Božja volja; on se izražava u sedam noahidskih propisa koji osiguravaju zajednički život ljudi i u kojem sudjeluje cijelo čovječanstvo (u skladu s Post 9,1 i d.;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64b;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56b). Prema Izraelovu univerzalističkom viđenju, prestat će, doduše, povijesno-egzistencijalne napetosti »posljednjih dana« između partiku</w:t>
        <w:softHyphen/>
        <w:t>larizma i univerzalizma; no sklad pojedinaca i naroda pod Stvoriteljevom pravednom vlašću nipošto neće ukloniti partikularizam, nego će jamčiti svakom narodu poseban položaj i od</w:t>
        <w:softHyphen/>
        <w:t>nos prema Bogu u vlastitom religijskom ob</w:t>
        <w:softHyphen/>
        <w:t>liku: »Svaki će mirno živjeti pod lozom vino</w:t>
        <w:softHyphen/>
        <w:t>vom, pod smokvom svojom, i nitko ga neće plašiti. To rekoše usta NJEGOVA, usta Boga nad vojskama. Jer svi narodi idu, svaki u ime Boga svojega, a mi idemo u ime NJEGA, Bo</w:t>
        <w:softHyphen/>
        <w:t>ga našega, uvijek i dovijeka« (Mih 4,4 i d.). Narodi hrle na goru Božju kako bi ih sam Bog »naučio svojim putovima« i »hodit će stazama njegovim« i pokoriti se presudi božanskoga suca (Iz 2,1-4; Mih 4,1-4). On će u Izraelu su</w:t>
        <w:softHyphen/>
        <w:t>diti po pravdi (Iz 11,1-5), iskorijeniti sve svađe u Božjem narodu, koje zbog krivo shvaćenog partikularizma bujaju između Efrajima i Jude (11,13) i uspostaviti mir između Izraela i na</w:t>
        <w:softHyphen/>
        <w:t>roda i među svjetskim silama čija posebnost ostaje netaknuta i između kojih će Izrael biti »blagoslovljen usred zemlje« (19,23-25).</w:t>
      </w:r>
    </w:p>
    <w:p>
      <w:pPr>
        <w:pStyle w:val="Style20"/>
        <w:keepNext w:val="0"/>
        <w:keepLines w:val="0"/>
        <w:widowControl w:val="0"/>
        <w:numPr>
          <w:ilvl w:val="0"/>
          <w:numId w:val="237"/>
        </w:numPr>
        <w:shd w:val="clear" w:color="auto" w:fill="auto"/>
        <w:tabs>
          <w:tab w:pos="260"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jaram kraljevske vlasti uzima na sebe.«</w:t>
      </w:r>
      <w:r>
        <w:rPr>
          <w:rFonts w:ascii="Times New Roman" w:eastAsia="Times New Roman" w:hAnsi="Times New Roman" w:cs="Times New Roman"/>
          <w:color w:val="000000"/>
          <w:spacing w:val="0"/>
          <w:w w:val="100"/>
          <w:position w:val="0"/>
          <w:shd w:val="clear" w:color="auto" w:fill="auto"/>
          <w:lang w:val="hr-HR" w:eastAsia="hr-HR" w:bidi="hr-HR"/>
        </w:rPr>
        <w:t xml:space="preserve"> U rabinskoj jezičnoj upotrebi »k. B.« znači »ne</w:t>
        <w:softHyphen/>
        <w:t xml:space="preserve">beska kraljevska vlast« (tj. Božja: </w:t>
      </w:r>
      <w:r>
        <w:rPr>
          <w:rFonts w:ascii="Times New Roman" w:eastAsia="Times New Roman" w:hAnsi="Times New Roman" w:cs="Times New Roman"/>
          <w:i/>
          <w:iCs/>
          <w:color w:val="000000"/>
          <w:spacing w:val="0"/>
          <w:w w:val="100"/>
          <w:position w:val="0"/>
          <w:shd w:val="clear" w:color="auto" w:fill="auto"/>
          <w:lang w:val="hr-HR" w:eastAsia="hr-HR" w:bidi="hr-HR"/>
        </w:rPr>
        <w:t>malhut ša- majim)</w:t>
      </w:r>
      <w:r>
        <w:rPr>
          <w:rFonts w:ascii="Times New Roman" w:eastAsia="Times New Roman" w:hAnsi="Times New Roman" w:cs="Times New Roman"/>
          <w:color w:val="000000"/>
          <w:spacing w:val="0"/>
          <w:w w:val="100"/>
          <w:position w:val="0"/>
          <w:shd w:val="clear" w:color="auto" w:fill="auto"/>
          <w:lang w:val="hr-HR" w:eastAsia="hr-HR" w:bidi="hr-HR"/>
        </w:rPr>
        <w:t xml:space="preserve"> koju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proglasio u ljudskom svijetu (Post 24,3, s tim u vezi Šifre Pnz 32,10); međutim, ona je čvrsto utemeljena na zemlji tek kad je Izrael na Sinaju primio Toru, pa sc time podredio Božjoj vlasti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18,6; Mchilta Izl 20,2) i »u ono doba« pjes</w:t>
        <w:softHyphen/>
        <w:t>mom o moru (Izl 15,1 i d.) priznao »kralja vaz</w:t>
        <w:softHyphen/>
      </w:r>
      <w:r>
        <w:rPr>
          <w:rFonts w:ascii="Times New Roman" w:eastAsia="Times New Roman" w:hAnsi="Times New Roman" w:cs="Times New Roman"/>
          <w:color w:val="000000"/>
          <w:spacing w:val="0"/>
          <w:w w:val="100"/>
          <w:position w:val="0"/>
          <w:shd w:val="clear" w:color="auto" w:fill="auto"/>
          <w:lang w:val="hr-HR" w:eastAsia="hr-HR" w:bidi="hr-HR"/>
        </w:rPr>
        <w:t>da i dovijeka« (Šcmot raba XXIII,15,1; Pe- sikta 16 b uz Izl 15,18; Vajikra raba 11,1,2). Božja se vlast razlikuje od vlasti naroda svi</w:t>
        <w:softHyphen/>
        <w:t xml:space="preserve">jeta, »koja ističe vrijednost prava ljudi« </w:t>
      </w:r>
      <w:r>
        <w:rPr>
          <w:rFonts w:ascii="Times New Roman" w:eastAsia="Times New Roman" w:hAnsi="Times New Roman" w:cs="Times New Roman"/>
          <w:i/>
          <w:iCs/>
          <w:color w:val="000000"/>
          <w:spacing w:val="0"/>
          <w:w w:val="100"/>
          <w:position w:val="0"/>
          <w:shd w:val="clear" w:color="auto" w:fill="auto"/>
          <w:lang w:val="hr-HR" w:eastAsia="hr-HR" w:bidi="hr-HR"/>
        </w:rPr>
        <w:t>(mal</w:t>
        <w:softHyphen/>
        <w:t>hut ha-arec,</w:t>
      </w:r>
      <w:r>
        <w:rPr>
          <w:rFonts w:ascii="Times New Roman" w:eastAsia="Times New Roman" w:hAnsi="Times New Roman" w:cs="Times New Roman"/>
          <w:color w:val="000000"/>
          <w:spacing w:val="0"/>
          <w:w w:val="100"/>
          <w:position w:val="0"/>
          <w:shd w:val="clear" w:color="auto" w:fill="auto"/>
          <w:lang w:val="hr-HR" w:eastAsia="hr-HR" w:bidi="hr-HR"/>
        </w:rPr>
        <w:t xml:space="preserve"> Berešit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IX.1.31: </w:t>
      </w:r>
      <w:r>
        <w:rPr>
          <w:rFonts w:ascii="Times New Roman" w:eastAsia="Times New Roman" w:hAnsi="Times New Roman" w:cs="Times New Roman"/>
          <w:color w:val="000000"/>
          <w:spacing w:val="0"/>
          <w:w w:val="100"/>
          <w:position w:val="0"/>
          <w:shd w:val="clear" w:color="auto" w:fill="auto"/>
          <w:lang w:val="hr-HR" w:eastAsia="hr-HR" w:bidi="hr-HR"/>
        </w:rPr>
        <w:t>b Berahot 58a; usp. Pesikta 51a; Pesikta rabati 15/74b/; 34/159a/; Šir ha-širim 11,13). Onoga tko nas</w:t>
        <w:softHyphen/>
        <w:t xml:space="preserve">toji ispuniti volju Božju, »otkrit će se kao onaj tko se odvoji od grijeha i uzme na sebe jaram kraljevske vlasti Božje« </w:t>
      </w:r>
      <w:r>
        <w:rPr>
          <w:rFonts w:ascii="Times New Roman" w:eastAsia="Times New Roman" w:hAnsi="Times New Roman" w:cs="Times New Roman"/>
          <w:i/>
          <w:iCs/>
          <w:color w:val="000000"/>
          <w:spacing w:val="0"/>
          <w:w w:val="100"/>
          <w:position w:val="0"/>
          <w:shd w:val="clear" w:color="auto" w:fill="auto"/>
          <w:lang w:val="hr-HR" w:eastAsia="hr-HR" w:bidi="hr-HR"/>
        </w:rPr>
        <w:t>(kibel ol malhut šama- jim,</w:t>
      </w:r>
      <w:r>
        <w:rPr>
          <w:rFonts w:ascii="Times New Roman" w:eastAsia="Times New Roman" w:hAnsi="Times New Roman" w:cs="Times New Roman"/>
          <w:color w:val="000000"/>
          <w:spacing w:val="0"/>
          <w:w w:val="100"/>
          <w:position w:val="0"/>
          <w:shd w:val="clear" w:color="auto" w:fill="auto"/>
          <w:lang w:val="hr-HR" w:eastAsia="hr-HR" w:bidi="hr-HR"/>
        </w:rPr>
        <w:t xml:space="preserve">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20,26; </w:t>
      </w:r>
      <w:r>
        <w:rPr>
          <w:rFonts w:ascii="Times New Roman" w:eastAsia="Times New Roman" w:hAnsi="Times New Roman" w:cs="Times New Roman"/>
          <w:color w:val="000000"/>
          <w:spacing w:val="0"/>
          <w:w w:val="100"/>
          <w:position w:val="0"/>
          <w:shd w:val="clear" w:color="auto" w:fill="auto"/>
          <w:lang w:val="en-US" w:eastAsia="en-US" w:bidi="en-US"/>
        </w:rPr>
        <w:t xml:space="preserve">Tanhuma /Buber/ </w:t>
      </w:r>
      <w:r>
        <w:rPr>
          <w:rFonts w:ascii="Times New Roman" w:eastAsia="Times New Roman" w:hAnsi="Times New Roman" w:cs="Times New Roman"/>
          <w:color w:val="000000"/>
          <w:spacing w:val="0"/>
          <w:w w:val="100"/>
          <w:position w:val="0"/>
          <w:shd w:val="clear" w:color="auto" w:fill="auto"/>
          <w:lang w:val="hr-HR" w:eastAsia="hr-HR" w:bidi="hr-HR"/>
        </w:rPr>
        <w:t xml:space="preserve">§ 6/32a/; usp.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111b; Šifre uz Pnz 32,29). Molitelj odlomaka iz »Šema Jisrael« koji je »na to usmjerio srce« (M Berahot 11,1), uzima na sebe, prema shvaćanju učitelja Miš- ne, čitanjem Pnz 6,4-9 »jaram kraljevske vlas</w:t>
        <w:softHyphen/>
        <w:t>ti Božje«, tj. priznaje vlast Jednoga Jedinog, prije negoli preuzme »jaram zapovijedi« či</w:t>
        <w:softHyphen/>
        <w:t xml:space="preserve">tanjem Deut 11,13-21 </w:t>
      </w:r>
      <w:r>
        <w:rPr>
          <w:rFonts w:ascii="Times New Roman" w:eastAsia="Times New Roman" w:hAnsi="Times New Roman" w:cs="Times New Roman"/>
          <w:i/>
          <w:iCs/>
          <w:color w:val="000000"/>
          <w:spacing w:val="0"/>
          <w:w w:val="100"/>
          <w:position w:val="0"/>
          <w:shd w:val="clear" w:color="auto" w:fill="auto"/>
          <w:lang w:val="hr-HR" w:eastAsia="hr-HR" w:bidi="hr-HR"/>
        </w:rPr>
        <w:t xml:space="preserve">(kibel ol </w:t>
      </w:r>
      <w:r>
        <w:rPr>
          <w:rFonts w:ascii="Times New Roman" w:eastAsia="Times New Roman" w:hAnsi="Times New Roman" w:cs="Times New Roman"/>
          <w:i/>
          <w:iCs/>
          <w:color w:val="000000"/>
          <w:spacing w:val="0"/>
          <w:w w:val="100"/>
          <w:position w:val="0"/>
          <w:shd w:val="clear" w:color="auto" w:fill="auto"/>
          <w:lang w:val="en-US" w:eastAsia="en-US" w:bidi="en-US"/>
        </w:rPr>
        <w:t>mievot,</w:t>
      </w:r>
      <w:r>
        <w:rPr>
          <w:rFonts w:ascii="Times New Roman" w:eastAsia="Times New Roman" w:hAnsi="Times New Roman" w:cs="Times New Roman"/>
          <w:color w:val="000000"/>
          <w:spacing w:val="0"/>
          <w:w w:val="100"/>
          <w:position w:val="0"/>
          <w:shd w:val="clear" w:color="auto" w:fill="auto"/>
          <w:lang w:val="en-US" w:eastAsia="en-US" w:bidi="en-US"/>
        </w:rPr>
        <w:t xml:space="preserve"> ibid. </w:t>
      </w:r>
      <w:r>
        <w:rPr>
          <w:rFonts w:ascii="Times New Roman" w:eastAsia="Times New Roman" w:hAnsi="Times New Roman" w:cs="Times New Roman"/>
          <w:color w:val="000000"/>
          <w:spacing w:val="0"/>
          <w:w w:val="100"/>
          <w:position w:val="0"/>
          <w:shd w:val="clear" w:color="auto" w:fill="auto"/>
          <w:lang w:val="hr-HR" w:eastAsia="hr-HR" w:bidi="hr-HR"/>
        </w:rPr>
        <w:t>11,2.5; usp. b Berahot 14b; j II,4b), a čitanjem trećega teksta sjeća se puta osobne posveće</w:t>
        <w:softHyphen/>
        <w:t>nosti: »...vršit ćete ih, i bit ćete posvećeni svo</w:t>
        <w:softHyphen/>
        <w:t>me Bogu« (Br 15,37-41). Čovjek koji posluš</w:t>
        <w:softHyphen/>
        <w:t>no služi Bogu ostvaruje za sebe »k. B.«.</w:t>
      </w:r>
    </w:p>
    <w:p>
      <w:pPr>
        <w:pStyle w:val="Style20"/>
        <w:keepNext w:val="0"/>
        <w:keepLines w:val="0"/>
        <w:widowControl w:val="0"/>
        <w:numPr>
          <w:ilvl w:val="0"/>
          <w:numId w:val="237"/>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-Jer /C, ono je tvoje.«</w:t>
      </w:r>
      <w:r>
        <w:rPr>
          <w:rFonts w:ascii="Times New Roman" w:eastAsia="Times New Roman" w:hAnsi="Times New Roman" w:cs="Times New Roman"/>
          <w:color w:val="000000"/>
          <w:spacing w:val="0"/>
          <w:w w:val="100"/>
          <w:position w:val="0"/>
          <w:shd w:val="clear" w:color="auto" w:fill="auto"/>
          <w:lang w:val="hr-HR" w:eastAsia="hr-HR" w:bidi="hr-HR"/>
        </w:rPr>
        <w:t xml:space="preserve"> Iako Izrael uzima na sc Božju vlast, u svojoj je povijesti iskusio nasilje i ropstvo drugih naroda i osjetio prezir Kralja svijeta. Stoga je usmjerio želju na budućnost i kraljevsku vlast Božju u punom sjaju i otkup</w:t>
        <w:softHyphen/>
        <w:t>ljenje Izraela koje će s njom nastupiti (Mih 2,13; 4,7; Iz 52,7; 24,33; 33,22; Ob 21; Zah 14,16 i d.; Ps 93; 94-99). Apokaliptičari daju očekivanju te budućnosti posebni pečat (Dn 2,44; 4,22; 7,27; I Hen 84,2; 90, 18.30; 92,4; 103,1). Od ranih vremena židovska zajednica svakodnevno triput moli za dolazak mesijan</w:t>
        <w:softHyphen/>
        <w:t>skoga svjetskog suda i slavi Kralja svijeta: »Dovcdi natrag naše suce..., budi dovijeka naš Kralj, samo ti... Blagoslovljen bio ti, Vječni, Kralju, koji ljubiš milost i pravdu« (Šemone esre, XI. blagoslov). Uvjerenost u utemeljenje vlasti Božje na zemlji održalo je židovske mo- liteljc u vremenima patnje. Svršetak jutarnje službe Božje glasi: »Neka bude veličano i sve</w:t>
        <w:softHyphen/>
        <w:t>to Njegovo Veliko Ime širom svijeta, koji je stvorio svojom voljom. Neka uspostavi svoje</w:t>
      </w:r>
    </w:p>
    <w:p>
      <w:pPr>
        <w:pStyle w:val="Style20"/>
        <w:keepNext w:val="0"/>
        <w:keepLines w:val="0"/>
        <w:widowControl w:val="0"/>
        <w:shd w:val="clear" w:color="auto" w:fill="auto"/>
        <w:tabs>
          <w:tab w:pos="289" w:val="left"/>
        </w:tabs>
        <w:bidi w:val="0"/>
        <w:spacing w:before="0" w:after="0"/>
        <w:ind w:left="0" w:right="0" w:firstLine="0"/>
        <w:jc w:val="both"/>
        <w:sectPr>
          <w:headerReference w:type="default" r:id="rId643"/>
          <w:footerReference w:type="default" r:id="rId644"/>
          <w:headerReference w:type="even" r:id="rId645"/>
          <w:footerReference w:type="even" r:id="rId646"/>
          <w:headerReference w:type="first" r:id="rId647"/>
          <w:footerReference w:type="first" r:id="rId648"/>
          <w:footnotePr>
            <w:pos w:val="pageBottom"/>
            <w:numFmt w:val="decimal"/>
            <w:numRestart w:val="continuous"/>
            <w15:footnoteColumns w:val="1"/>
          </w:footnotePr>
          <w:pgSz w:w="6816" w:h="11006"/>
          <w:pgMar w:top="992" w:left="166" w:right="174" w:bottom="453" w:header="0" w:footer="3" w:gutter="0"/>
          <w:pgNumType w:start="221"/>
          <w:cols w:num="2" w:space="14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w:t>
        <w:tab/>
        <w:t xml:space="preserve">u vrijeme vašega života i u vrijeme vaših dana i u vrijeme života cijele kuće Izraclove, brzo i u skoroj budućnosti!« (Početak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Kadiša). </w:t>
      </w:r>
      <w:r>
        <w:rPr>
          <w:rFonts w:ascii="Times New Roman" w:eastAsia="Times New Roman" w:hAnsi="Times New Roman" w:cs="Times New Roman"/>
          <w:color w:val="000000"/>
          <w:spacing w:val="0"/>
          <w:w w:val="100"/>
          <w:position w:val="0"/>
          <w:shd w:val="clear" w:color="auto" w:fill="auto"/>
          <w:lang w:val="hr-HR" w:eastAsia="hr-HR" w:bidi="hr-HR"/>
        </w:rPr>
        <w:t>U najznačajnije dijelove molitvenoga reda ubra</w:t>
        <w:softHyphen/>
        <w:t xml:space="preserve">ja se </w:t>
      </w:r>
      <w:r>
        <w:rPr>
          <w:rFonts w:ascii="Times New Roman" w:eastAsia="Times New Roman" w:hAnsi="Times New Roman" w:cs="Times New Roman"/>
          <w:i/>
          <w:iCs/>
          <w:color w:val="000000"/>
          <w:spacing w:val="0"/>
          <w:w w:val="100"/>
          <w:position w:val="0"/>
          <w:shd w:val="clear" w:color="auto" w:fill="auto"/>
          <w:lang w:val="hr-HR" w:eastAsia="hr-HR" w:bidi="hr-HR"/>
        </w:rPr>
        <w:t>Alejnu:</w:t>
      </w:r>
      <w:r>
        <w:rPr>
          <w:rFonts w:ascii="Times New Roman" w:eastAsia="Times New Roman" w:hAnsi="Times New Roman" w:cs="Times New Roman"/>
          <w:color w:val="000000"/>
          <w:spacing w:val="0"/>
          <w:w w:val="100"/>
          <w:position w:val="0"/>
          <w:shd w:val="clear" w:color="auto" w:fill="auto"/>
          <w:lang w:val="hr-HR" w:eastAsia="hr-HR" w:bidi="hr-HR"/>
        </w:rPr>
        <w:t xml:space="preserve"> ta molitva spada u karakteris</w:t>
        <w:softHyphen/>
        <w:t xml:space="preserve">tične blagoslove (tefila </w:t>
      </w:r>
      <w:r>
        <w:rPr>
          <w:rFonts w:ascii="Times New Roman" w:eastAsia="Times New Roman" w:hAnsi="Times New Roman" w:cs="Times New Roman"/>
          <w:i/>
          <w:iCs/>
          <w:color w:val="000000"/>
          <w:spacing w:val="0"/>
          <w:w w:val="100"/>
          <w:position w:val="0"/>
          <w:shd w:val="clear" w:color="auto" w:fill="auto"/>
          <w:lang w:val="hr-HR" w:eastAsia="hr-HR" w:bidi="hr-HR"/>
        </w:rPr>
        <w:t>Musaf)</w:t>
      </w:r>
      <w:r>
        <w:rPr>
          <w:rFonts w:ascii="Times New Roman" w:eastAsia="Times New Roman" w:hAnsi="Times New Roman" w:cs="Times New Roman"/>
          <w:color w:val="000000"/>
          <w:spacing w:val="0"/>
          <w:w w:val="100"/>
          <w:position w:val="0"/>
          <w:shd w:val="clear" w:color="auto" w:fill="auto"/>
          <w:lang w:val="hr-HR" w:eastAsia="hr-HR" w:bidi="hr-HR"/>
        </w:rPr>
        <w:t xml:space="preserve"> na Novu godi</w:t>
        <w:softHyphen/>
      </w:r>
    </w:p>
    <w:p>
      <w:pPr>
        <w:pStyle w:val="Style20"/>
        <w:keepNext w:val="0"/>
        <w:keepLines w:val="0"/>
        <w:widowControl w:val="0"/>
        <w:shd w:val="clear" w:color="auto" w:fill="auto"/>
        <w:tabs>
          <w:tab w:pos="28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nu, koja hvali Boga kao Kralja svijeta prihva</w:t>
        <w:softHyphen/>
        <w:t xml:space="preserve">ćajući biblijska mjesta o »kraljevstvu Božjem« </w:t>
      </w:r>
      <w:r>
        <w:rPr>
          <w:rFonts w:ascii="Times New Roman" w:eastAsia="Times New Roman" w:hAnsi="Times New Roman" w:cs="Times New Roman"/>
          <w:i/>
          <w:iCs/>
          <w:color w:val="000000"/>
          <w:spacing w:val="0"/>
          <w:w w:val="100"/>
          <w:position w:val="0"/>
          <w:shd w:val="clear" w:color="auto" w:fill="auto"/>
          <w:lang w:val="hr-HR" w:eastAsia="hr-HR" w:bidi="hr-HR"/>
        </w:rPr>
        <w:t>(malhujot:</w:t>
      </w:r>
      <w:r>
        <w:rPr>
          <w:rFonts w:ascii="Times New Roman" w:eastAsia="Times New Roman" w:hAnsi="Times New Roman" w:cs="Times New Roman"/>
          <w:color w:val="000000"/>
          <w:spacing w:val="0"/>
          <w:w w:val="100"/>
          <w:position w:val="0"/>
          <w:shd w:val="clear" w:color="auto" w:fill="auto"/>
          <w:lang w:val="hr-HR" w:eastAsia="hr-HR" w:bidi="hr-HR"/>
        </w:rPr>
        <w:t xml:space="preserve"> Pnz 4,39; Iz 45,23; Izl 15,18; Zah 14,9), a od srednjega vijeka uvrštena je i u svakodnevnu molitvu; ona izražava poseban odnos izabranoga naroda s Bogom: »Na nama je </w:t>
      </w:r>
      <w:r>
        <w:rPr>
          <w:rFonts w:ascii="Times New Roman" w:eastAsia="Times New Roman" w:hAnsi="Times New Roman" w:cs="Times New Roman"/>
          <w:i/>
          <w:iCs/>
          <w:color w:val="000000"/>
          <w:spacing w:val="0"/>
          <w:w w:val="100"/>
          <w:position w:val="0"/>
          <w:shd w:val="clear" w:color="auto" w:fill="auto"/>
          <w:lang w:val="hr-HR" w:eastAsia="hr-HR" w:bidi="hr-HR"/>
        </w:rPr>
        <w:t>(alejnu)</w:t>
      </w:r>
      <w:r>
        <w:rPr>
          <w:rFonts w:ascii="Times New Roman" w:eastAsia="Times New Roman" w:hAnsi="Times New Roman" w:cs="Times New Roman"/>
          <w:color w:val="000000"/>
          <w:spacing w:val="0"/>
          <w:w w:val="100"/>
          <w:position w:val="0"/>
          <w:shd w:val="clear" w:color="auto" w:fill="auto"/>
          <w:lang w:val="hr-HR" w:eastAsia="hr-HR" w:bidi="hr-HR"/>
        </w:rPr>
        <w:t xml:space="preserve"> da hvalimo Gospodara svemira...«, što uključuje Izraelovu zadaću: »Stoga osta</w:t>
        <w:softHyphen/>
        <w:t xml:space="preserve">jemo tvoji, TI, naš Bože... da uredimo svijet za kraljevstvo Silnoga </w:t>
      </w:r>
      <w:r>
        <w:rPr>
          <w:rFonts w:ascii="Times New Roman" w:eastAsia="Times New Roman" w:hAnsi="Times New Roman" w:cs="Times New Roman"/>
          <w:i/>
          <w:iCs/>
          <w:color w:val="000000"/>
          <w:spacing w:val="0"/>
          <w:w w:val="100"/>
          <w:position w:val="0"/>
          <w:shd w:val="clear" w:color="auto" w:fill="auto"/>
          <w:lang w:val="hr-HR" w:eastAsia="hr-HR" w:bidi="hr-HR"/>
        </w:rPr>
        <w:t>(le-taken olam be-mal- hut jadaj:</w:t>
      </w:r>
      <w:r>
        <w:rPr>
          <w:rFonts w:ascii="Times New Roman" w:eastAsia="Times New Roman" w:hAnsi="Times New Roman" w:cs="Times New Roman"/>
          <w:color w:val="000000"/>
          <w:spacing w:val="0"/>
          <w:w w:val="100"/>
          <w:position w:val="0"/>
          <w:shd w:val="clear" w:color="auto" w:fill="auto"/>
          <w:lang w:val="hr-HR" w:eastAsia="hr-HR" w:bidi="hr-HR"/>
        </w:rPr>
        <w:t xml:space="preserve"> da promijenimo svijet u k. B.)«, te oblikuje Izraelovu nadu da će Bog kao Kralj jednoga dana ujediniti sve čovječanstvo u sa</w:t>
        <w:softHyphen/>
        <w:t>vez i da će sva stvorenja priznati njegovu vlast nad cijelim svijetom: »Pred tobom, TI, naš Bože, oni će se pokloniti, pasti, slaviti čast tvo</w:t>
        <w:softHyphen/>
        <w:t>jega Imena. Svi će uzeti na sebe jaram tvojega Kraljevstva, a ti ćeš uskoro biti Kralj nad svi</w:t>
        <w:softHyphen/>
        <w:t xml:space="preserve">ma, na vijeke vjekova. Jer Kraljevstvo, ono je tvoje, i vječno, i ti ćeš biti Kralj u slavi i uzviše- nosti...« Tom očekivanju »poznosti dana«, u kojem se »izvršava na svijetu takvo savršeno rješenje i otkupljenje«,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priklju</w:t>
        <w:softHyphen/>
        <w:t>čio je upozorenje: »Poruka se ne smije po</w:t>
        <w:softHyphen/>
        <w:t>novno pretvoriti u onostranost: iz ovoga našeg svijeta, njegova očišćenja, u ‘Kraljevstvo’; riječ je o dovršenju stvaranja, ne njegovu ukinuću radi nekog drugog svijeta; a ne smije se niti pretvoriti u kraj; obećanje se ne tiče praved</w:t>
        <w:softHyphen/>
        <w:t>nijeg poretka, nego »pravednosti«, ne tiče se miroljubivijeg čovječanstva, nego se tiče ‘mi</w:t>
        <w:softHyphen/>
        <w:t xml:space="preserve">ra’« (»Der </w:t>
      </w:r>
      <w:r>
        <w:rPr>
          <w:rFonts w:ascii="Times New Roman" w:eastAsia="Times New Roman" w:hAnsi="Times New Roman" w:cs="Times New Roman"/>
          <w:color w:val="000000"/>
          <w:spacing w:val="0"/>
          <w:w w:val="100"/>
          <w:position w:val="0"/>
          <w:shd w:val="clear" w:color="auto" w:fill="auto"/>
          <w:lang w:val="en-US" w:eastAsia="en-US" w:bidi="en-US"/>
        </w:rPr>
        <w:t xml:space="preserve">Mensch von </w:t>
      </w:r>
      <w:r>
        <w:rPr>
          <w:rFonts w:ascii="Times New Roman" w:eastAsia="Times New Roman" w:hAnsi="Times New Roman" w:cs="Times New Roman"/>
          <w:color w:val="000000"/>
          <w:spacing w:val="0"/>
          <w:w w:val="100"/>
          <w:position w:val="0"/>
          <w:shd w:val="clear" w:color="auto" w:fill="auto"/>
          <w:lang w:val="hr-HR" w:eastAsia="hr-HR" w:bidi="hr-HR"/>
        </w:rPr>
        <w:t xml:space="preserve">heute </w:t>
      </w:r>
      <w:r>
        <w:rPr>
          <w:rFonts w:ascii="Times New Roman" w:eastAsia="Times New Roman" w:hAnsi="Times New Roman" w:cs="Times New Roman"/>
          <w:color w:val="000000"/>
          <w:spacing w:val="0"/>
          <w:w w:val="100"/>
          <w:position w:val="0"/>
          <w:shd w:val="clear" w:color="auto" w:fill="auto"/>
          <w:lang w:val="en-US" w:eastAsia="en-US" w:bidi="en-US"/>
        </w:rPr>
        <w:t xml:space="preserve">und die </w:t>
      </w:r>
      <w:r>
        <w:rPr>
          <w:rFonts w:ascii="Times New Roman" w:eastAsia="Times New Roman" w:hAnsi="Times New Roman" w:cs="Times New Roman"/>
          <w:color w:val="000000"/>
          <w:spacing w:val="0"/>
          <w:w w:val="100"/>
          <w:position w:val="0"/>
          <w:shd w:val="clear" w:color="auto" w:fill="auto"/>
          <w:lang w:val="hr-HR" w:eastAsia="hr-HR" w:bidi="hr-HR"/>
        </w:rPr>
        <w:t xml:space="preserve">judisehe Bibel«, 1926, u: M. Buber/F. </w:t>
      </w:r>
      <w:r>
        <w:rPr>
          <w:rFonts w:ascii="Times New Roman" w:eastAsia="Times New Roman" w:hAnsi="Times New Roman" w:cs="Times New Roman"/>
          <w:color w:val="000000"/>
          <w:spacing w:val="0"/>
          <w:w w:val="100"/>
          <w:position w:val="0"/>
          <w:shd w:val="clear" w:color="auto" w:fill="auto"/>
          <w:lang w:val="en-US" w:eastAsia="en-US" w:bidi="en-US"/>
        </w:rPr>
        <w:t xml:space="preserve">Roscnzwcig,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Schrifi und ihre Verdeutschung,</w:t>
      </w:r>
      <w:r>
        <w:rPr>
          <w:rFonts w:ascii="Times New Roman" w:eastAsia="Times New Roman" w:hAnsi="Times New Roman" w:cs="Times New Roman"/>
          <w:color w:val="000000"/>
          <w:spacing w:val="0"/>
          <w:w w:val="100"/>
          <w:position w:val="0"/>
          <w:shd w:val="clear" w:color="auto" w:fill="auto"/>
          <w:lang w:val="hr-HR" w:eastAsia="hr-HR" w:bidi="hr-HR"/>
        </w:rPr>
        <w:t xml:space="preserve"> 1936, 13-45, 29</w:t>
      </w:r>
    </w:p>
    <w:p>
      <w:pPr>
        <w:pStyle w:val="Style20"/>
        <w:keepNext w:val="0"/>
        <w:keepLines w:val="0"/>
        <w:widowControl w:val="0"/>
        <w:numPr>
          <w:ilvl w:val="0"/>
          <w:numId w:val="239"/>
        </w:numPr>
        <w:shd w:val="clear" w:color="auto" w:fill="auto"/>
        <w:tabs>
          <w:tab w:pos="207"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w:t>
      </w:r>
    </w:p>
    <w:p>
      <w:pPr>
        <w:pStyle w:val="Style56"/>
        <w:keepNext w:val="0"/>
        <w:keepLines w:val="0"/>
        <w:widowControl w:val="0"/>
        <w:shd w:val="clear" w:color="auto" w:fill="auto"/>
        <w:tabs>
          <w:tab w:pos="2438" w:val="left"/>
        </w:tabs>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 Bubcr, </w:t>
      </w:r>
      <w:r>
        <w:rPr>
          <w:i/>
          <w:iCs/>
          <w:color w:val="000000"/>
          <w:spacing w:val="0"/>
          <w:w w:val="100"/>
          <w:position w:val="0"/>
          <w:shd w:val="clear" w:color="auto" w:fill="auto"/>
          <w:lang w:val="hr-HR" w:eastAsia="hr-HR" w:bidi="hr-HR"/>
        </w:rPr>
        <w:t>Koniffum Gottes.</w:t>
      </w:r>
      <w:r>
        <w:rPr>
          <w:color w:val="000000"/>
          <w:spacing w:val="0"/>
          <w:w w:val="100"/>
          <w:position w:val="0"/>
          <w:shd w:val="clear" w:color="auto" w:fill="auto"/>
          <w:lang w:val="hr-HR" w:eastAsia="hr-HR" w:bidi="hr-HR"/>
        </w:rPr>
        <w:t xml:space="preserve"> ’1956; isti, </w:t>
      </w:r>
      <w:r>
        <w:rPr>
          <w:i/>
          <w:iCs/>
          <w:color w:val="000000"/>
          <w:spacing w:val="0"/>
          <w:w w:val="100"/>
          <w:position w:val="0"/>
          <w:shd w:val="clear" w:color="auto" w:fill="auto"/>
          <w:lang w:val="hr-HR" w:eastAsia="hr-HR" w:bidi="hr-HR"/>
        </w:rPr>
        <w:t>Der Glaube der Propheien,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footnoteReference w:id="11"/>
      </w:r>
      <w:r>
        <w:rPr>
          <w:color w:val="000000"/>
          <w:spacing w:val="0"/>
          <w:w w:val="100"/>
          <w:position w:val="0"/>
          <w:shd w:val="clear" w:color="auto" w:fill="auto"/>
          <w:lang w:val="hr-HR" w:eastAsia="hr-HR" w:bidi="hr-HR"/>
        </w:rPr>
        <w:t xml:space="preserve">1984, 129 i d.; E. E Urbacb, </w:t>
      </w:r>
      <w:r>
        <w:rPr>
          <w:i/>
          <w:iCs/>
          <w:color w:val="000000"/>
          <w:spacing w:val="0"/>
          <w:w w:val="100"/>
          <w:position w:val="0"/>
          <w:shd w:val="clear" w:color="auto" w:fill="auto"/>
        </w:rPr>
        <w:t>The Sages. Their Concepts and Beliefs,</w:t>
      </w:r>
      <w:r>
        <w:rPr>
          <w:color w:val="000000"/>
          <w:spacing w:val="0"/>
          <w:w w:val="100"/>
          <w:position w:val="0"/>
          <w:shd w:val="clear" w:color="auto" w:fill="auto"/>
        </w:rPr>
        <w:t xml:space="preserve"> 1975, 400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S. Talmon, »Partikula- nsmus und L'nivcrsalismm aus jiidischcr Sichl«, u: </w:t>
      </w:r>
      <w:r>
        <w:rPr>
          <w:i/>
          <w:iCs/>
          <w:color w:val="000000"/>
          <w:spacing w:val="0"/>
          <w:w w:val="100"/>
          <w:position w:val="0"/>
          <w:shd w:val="clear" w:color="auto" w:fill="auto"/>
        </w:rPr>
        <w:t>Freibur- ger Bundbrief XXV[\\,</w:t>
      </w:r>
      <w:r>
        <w:rPr>
          <w:color w:val="000000"/>
          <w:spacing w:val="0"/>
          <w:w w:val="100"/>
          <w:position w:val="0"/>
          <w:shd w:val="clear" w:color="auto" w:fill="auto"/>
        </w:rPr>
        <w:t xml:space="preserve"> 1976, 33-36; </w:t>
      </w:r>
      <w:r>
        <w:rPr>
          <w:i/>
          <w:iCs/>
          <w:color w:val="000000"/>
          <w:spacing w:val="0"/>
          <w:w w:val="100"/>
          <w:position w:val="0"/>
          <w:shd w:val="clear" w:color="auto" w:fill="auto"/>
        </w:rPr>
        <w:t xml:space="preserve">Encyclopaedia Judaica, </w:t>
      </w:r>
      <w:r>
        <w:rPr>
          <w:color w:val="000000"/>
          <w:spacing w:val="0"/>
          <w:w w:val="100"/>
          <w:position w:val="0"/>
          <w:shd w:val="clear" w:color="auto" w:fill="auto"/>
        </w:rPr>
        <w:t>&lt;1</w:t>
      </w:r>
      <w:r>
        <w:rPr>
          <w:color w:val="000000"/>
          <w:spacing w:val="0"/>
          <w:w w:val="100"/>
          <w:position w:val="0"/>
          <w:shd w:val="clear" w:color="auto" w:fill="auto"/>
          <w:lang w:val="hr-HR" w:eastAsia="hr-HR" w:bidi="hr-HR"/>
        </w:rPr>
        <w:t xml:space="preserve">97«. </w:t>
      </w:r>
      <w:r>
        <w:rPr>
          <w:color w:val="000000"/>
          <w:spacing w:val="0"/>
          <w:w w:val="100"/>
          <w:position w:val="0"/>
          <w:shd w:val="clear" w:color="auto" w:fill="auto"/>
        </w:rPr>
        <w:t xml:space="preserve">2. 555-59; 11, 829; 14. 307-10; 15. 1237-46; $. Ben- </w:t>
      </w:r>
      <w:r>
        <w:rPr>
          <w:i/>
          <w:iCs/>
          <w:color w:val="000000"/>
          <w:spacing w:val="0"/>
          <w:w w:val="100"/>
          <w:position w:val="0"/>
          <w:shd w:val="clear" w:color="auto" w:fill="auto"/>
        </w:rPr>
        <w:t>Chorin, BetendesJudertfum,</w:t>
      </w:r>
      <w:r>
        <w:rPr>
          <w:color w:val="000000"/>
          <w:spacing w:val="0"/>
          <w:w w:val="100"/>
          <w:position w:val="0"/>
          <w:shd w:val="clear" w:color="auto" w:fill="auto"/>
        </w:rPr>
        <w:t xml:space="preserve"> 1980,100i.d.</w:t>
        <w:tab/>
        <w:t>D. VIHTER</w:t>
      </w:r>
    </w:p>
    <w:p>
      <w:pPr>
        <w:spacing w:lineRule="exact" w:line="1"/>
        <w:rPr>
          <w:sz w:val="2"/>
          <w:szCs w:val="2"/>
        </w:rPr>
      </w:pPr>
      <w:r>
        <w:br w:type="column"/>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sova navještaja. Isus je mogao kod uporabe tog naziva posegnuti za pojmom koji je njego</w:t>
        <w:softHyphen/>
        <w:t>vim židovskim slušateljima već bio uobičajen, makar se nije jednoznačno upotrebljavao, i nadovezati se na već poznate predodžbe.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»K. B.« u židovstvu:</w:t>
      </w:r>
      <w:r>
        <w:rPr>
          <w:rFonts w:ascii="Times New Roman" w:eastAsia="Times New Roman" w:hAnsi="Times New Roman" w:cs="Times New Roman"/>
          <w:color w:val="000000"/>
          <w:spacing w:val="0"/>
          <w:w w:val="100"/>
          <w:position w:val="0"/>
          <w:shd w:val="clear" w:color="auto" w:fill="auto"/>
          <w:lang w:val="hr-HR" w:eastAsia="hr-HR" w:bidi="hr-HR"/>
        </w:rPr>
        <w:t xml:space="preserve"> SZ, i ovdje pretežito proročki spisi, razvio je misao da Bog vladar</w:t>
        <w:softHyphen/>
        <w:t>ski upravlja svojim čitavim stvorenim svijetom i osim toga pobudio je nadu da će on usposta</w:t>
        <w:softHyphen/>
        <w:t>viti svoje konačno kraljevstvo nad Izraelom i narodima svijeta. Najčešće upotrebljavan iz</w:t>
        <w:softHyphen/>
        <w:t>raz za to glasi: »malkut Jahve«. Iz straha da se Jahvino ime spomene bez doličnog strahopoš</w:t>
        <w:softHyphen/>
        <w:t>tovanja, u pobožnom se židovstvu razvio obi</w:t>
        <w:softHyphen/>
        <w:t>čaj pod vodstvom rabina da se riječ »Bog« ili »Jahve« zamijeni drugim riječima, npr. riječju »nebo« tako da se umjesto »malkut Jahve« = »k. B.« primjenjivao pojam »malkut šamajim« = »kraljevstvo nebesko«. Što se tiče same stva</w:t>
        <w:softHyphen/>
        <w:t>ri, oba izraza znače isto. Pa ipak, nejednake su bile predodžbe vezane uz ove izraze koji su se upotrebljavali kao sinonimi. Pomalo shemat</w:t>
        <w:softHyphen/>
        <w:t>ski i pojednostavljeno moglo bi se reći da su se iskristalizirali jedan više unutamje-univerza- lan i jedan više zemaljsko-židovski-nacionalan smjer.</w:t>
      </w:r>
    </w:p>
    <w:p>
      <w:pPr>
        <w:pStyle w:val="Style20"/>
        <w:keepNext w:val="0"/>
        <w:keepLines w:val="0"/>
        <w:widowControl w:val="0"/>
        <w:shd w:val="clear" w:color="auto" w:fill="auto"/>
        <w:bidi w:val="0"/>
        <w:spacing w:before="0" w:after="0" w:line="257" w:lineRule="auto"/>
        <w:ind w:left="0" w:right="0" w:firstLine="0"/>
        <w:jc w:val="both"/>
      </w:pPr>
      <w:r>
        <mc:AlternateContent>
          <mc:Choice Requires="wps">
            <w:drawing>
              <wp:anchor distT="50800" distB="254000" distL="114300" distR="114300" simplePos="0" relativeHeight="125829403" behindDoc="0" locked="0" layoutInCell="1" allowOverlap="1">
                <wp:simplePos x="0" y="0"/>
                <wp:positionH relativeFrom="page">
                  <wp:posOffset>4020820</wp:posOffset>
                </wp:positionH>
                <wp:positionV relativeFrom="margin">
                  <wp:posOffset>6141720</wp:posOffset>
                </wp:positionV>
                <wp:extent cx="189230" cy="109855"/>
                <wp:wrapTopAndBottom/>
                <wp:docPr id="1389" name="Shape 1389"/>
                <a:graphic xmlns:a="http://schemas.openxmlformats.org/drawingml/2006/main">
                  <a:graphicData uri="http://schemas.microsoft.com/office/word/2010/wordprocessingShape">
                    <wps:wsp>
                      <wps:cNvSpPr txBox="1"/>
                      <wps:spPr>
                        <a:xfrm>
                          <a:ext cx="18923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nio</w:t>
                            </w:r>
                          </w:p>
                        </w:txbxContent>
                      </wps:txbx>
                      <wps:bodyPr wrap="none" lIns="0" tIns="0" rIns="0" bIns="0">
                        <a:noAutoFit/>
                      </wps:bodyPr>
                    </wps:wsp>
                  </a:graphicData>
                </a:graphic>
              </wp:anchor>
            </w:drawing>
          </mc:Choice>
          <mc:Fallback>
            <w:pict>
              <v:shape id="_x0000_s2415" type="#_x0000_t202" style="position:absolute;margin-left:316.60000000000002pt;margin-top:483.60000000000002pt;width:14.9pt;height:8.6500000000000004pt;z-index:-125829350;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nio</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Unutarnje-univerzalan smjer:</w:t>
      </w:r>
      <w:r>
        <w:rPr>
          <w:rFonts w:ascii="Times New Roman" w:eastAsia="Times New Roman" w:hAnsi="Times New Roman" w:cs="Times New Roman"/>
          <w:color w:val="000000"/>
          <w:spacing w:val="0"/>
          <w:w w:val="100"/>
          <w:position w:val="0"/>
          <w:shd w:val="clear" w:color="auto" w:fill="auto"/>
          <w:lang w:val="hr-HR" w:eastAsia="hr-HR" w:bidi="hr-HR"/>
        </w:rPr>
        <w:t xml:space="preserve"> Pojam Božje vla</w:t>
        <w:softHyphen/>
        <w:t>davine bio je već dan sa starozavjetnim poj</w:t>
        <w:softHyphen/>
        <w:t>mom Boga. Kao Stvoritelj svijeta i jedini pravi Bog Jahve je i njegov Gospodar i Kralj (Izl 15, 18; Jr 10,10 i d., Ps 94 i dr.). Ta se predodžba pokazuje u Izraclovoj hvali i klicaju: »Jahve malak« = Jahve jest ili postaje Kralj«. Već iz</w:t>
        <w:softHyphen/>
        <w:t>vor pojma pokazuje da se najprije nije toliko mislilo na stanje koliko na zbivanje. Bog stupa na vlast, dakle, u prvom je redu Božja vladavi</w:t>
        <w:softHyphen/>
        <w:t>na, a ne toliko kraljevstvo u smislu područja koje je prostorno određeno ili to može biti. Zato se Izraelsko Kraljevstvo, koje je ustanov</w:t>
        <w:softHyphen/>
        <w:t>ljeno na Sionu, ne može izjednačiti s Božjom vladavinom nego vrijedi najviše kao vidljivi znak i zalog za buduću opću Božju vladavinu. Ona je najprije više unutarnja veličina i počiva na slobodnom priznavanju pravoga Boga i vjer</w:t>
        <w:softHyphen/>
        <w:t>nom pridržavanju njegovih zapovijedi. Iako se ovim posljednjim može ubrzati dolaženje i vidljivost kraljevstva, ipak je Božja vladavina vremenski konačna ili eshatološka veličina ko</w:t>
        <w:softHyphen/>
        <w:t>ju će samo Bog ostvariti bez ljudske suradnje, kako između ostaloga kaže prorok Danici (Dn 2,34, 44 i 7,27). Da ova Božja vladavina</w:t>
        <w:br w:type="page"/>
      </w:r>
      <w:r>
        <w:rPr>
          <w:rFonts w:ascii="Times New Roman" w:eastAsia="Times New Roman" w:hAnsi="Times New Roman" w:cs="Times New Roman"/>
          <w:color w:val="000000"/>
          <w:spacing w:val="0"/>
          <w:w w:val="100"/>
          <w:position w:val="0"/>
          <w:shd w:val="clear" w:color="auto" w:fill="auto"/>
          <w:lang w:val="hr-HR" w:eastAsia="hr-HR" w:bidi="hr-HR"/>
        </w:rPr>
        <w:t>bude svima očigledna i da svi narodi budu podvrgnuti božanskoj volji, bila je u molitva</w:t>
        <w:softHyphen/>
        <w:t>ma pobožnih Židova uvijek iznova izricana želja. Triput dnevno molilo se u XI. blago</w:t>
        <w:softHyphen/>
        <w:t>slovu tzv. Osamnaest prošnji: »Budi Kralj nad nama što brže.«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Zidovsko-nacionalno usmjerenje:</w:t>
      </w:r>
      <w:r>
        <w:rPr>
          <w:rFonts w:ascii="Times New Roman" w:eastAsia="Times New Roman" w:hAnsi="Times New Roman" w:cs="Times New Roman"/>
          <w:color w:val="000000"/>
          <w:spacing w:val="0"/>
          <w:w w:val="100"/>
          <w:position w:val="0"/>
          <w:shd w:val="clear" w:color="auto" w:fill="auto"/>
          <w:lang w:val="hr-HR" w:eastAsia="hr-HR" w:bidi="hr-HR"/>
        </w:rPr>
        <w:t xml:space="preserve"> No, što je dulje trajao pritisak tuđih vladavina koje su se međusobno svrgavale u poslijekraljevskom dobu, to su više ova religiozna očekivanja bu</w:t>
        <w:softHyphen/>
        <w:t>dućnosti dobivala jaku političku obojanost, ta</w:t>
        <w:softHyphen/>
        <w:t>ko da je vjera u Božju vladavinu kod jednog dijela naroda snažno poprimila židovsko-na- cionalne crte. Metafore koje su koristili pro</w:t>
        <w:softHyphen/>
        <w:t>roci bile su doslovce preuzete i često izoštre</w:t>
        <w:softHyphen/>
        <w:t>ne. Zatim je tako Božja vladavina povezana sa skidanjem rimskog jarma i osvetom Izraelo- vim neprijateljima. No i kod ove predodžbe, koja je jako vodila do ponovne uspostave kra</w:t>
        <w:softHyphen/>
        <w:t xml:space="preserve">ljevstva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zadržana je misao da je Bog onaj koji uzrokuje politički obrat. Točno razlučivanje obadviju navedenih predodžbi, kao i mješovitih oblika između njih, isto je tako slabo moguće u starozavjetnoj jezičnoj uporabi kao i kada se nadovezuje na novo- zavjetnu uporabu. Pojam kraljevstva Božjega jednoznačno je višeznačan.</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K. B. u NZ:</w:t>
      </w:r>
      <w:r>
        <w:rPr>
          <w:rFonts w:ascii="Times New Roman" w:eastAsia="Times New Roman" w:hAnsi="Times New Roman" w:cs="Times New Roman"/>
          <w:color w:val="000000"/>
          <w:spacing w:val="0"/>
          <w:w w:val="100"/>
          <w:position w:val="0"/>
          <w:shd w:val="clear" w:color="auto" w:fill="auto"/>
          <w:lang w:val="hr-HR" w:eastAsia="hr-HR" w:bidi="hr-HR"/>
        </w:rPr>
        <w:t xml:space="preserve"> Isus je mogao posegnuti za ovim različitim predodžbama i pogledima ka</w:t>
        <w:softHyphen/>
        <w:t>da je svoju poruku o sve bližoj Božjoj vladavi</w:t>
        <w:softHyphen/>
        <w:t>ni učinio središnjom temom svoga naviješ- tanja. Evanđelisti Marko i Luka nazivaju je »Basileia tou theou« (»k. B.«), a Matej koji je pretežito pisao za judeokršćanske čitatelje na</w:t>
        <w:softHyphen/>
        <w:t xml:space="preserve">ziva je gotovo uvijek »Basileia </w:t>
      </w:r>
      <w:r>
        <w:rPr>
          <w:rFonts w:ascii="Times New Roman" w:eastAsia="Times New Roman" w:hAnsi="Times New Roman" w:cs="Times New Roman"/>
          <w:color w:val="000000"/>
          <w:spacing w:val="0"/>
          <w:w w:val="100"/>
          <w:position w:val="0"/>
          <w:shd w:val="clear" w:color="auto" w:fill="auto"/>
          <w:lang w:val="en-US" w:eastAsia="en-US" w:bidi="en-US"/>
        </w:rPr>
        <w:t xml:space="preserve">toon </w:t>
      </w:r>
      <w:r>
        <w:rPr>
          <w:rFonts w:ascii="Times New Roman" w:eastAsia="Times New Roman" w:hAnsi="Times New Roman" w:cs="Times New Roman"/>
          <w:color w:val="000000"/>
          <w:spacing w:val="0"/>
          <w:w w:val="100"/>
          <w:position w:val="0"/>
          <w:shd w:val="clear" w:color="auto" w:fill="auto"/>
          <w:lang w:val="hr-HR" w:eastAsia="hr-HR" w:bidi="hr-HR"/>
        </w:rPr>
        <w:t>uranoon« (»kraljevstvo nebesko«); na nekim mjestima (tako 12,28,19,24 i 21,23) govori ipak i o Basi</w:t>
        <w:softHyphen/>
        <w:t>leia tou theou; dakle, oba pojma očigledno znače isto. Zanimljivo je da se pojam Basileia gotovo isključivo nalazi kod triju prvih evan</w:t>
        <w:softHyphen/>
        <w:t>đelja; Ivan i ostali spisi NZ tu se upadljivo drže suzdržano.</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Iako pojam kraljevstva Božjeg često dolazi u Isusovoj poruci, ipak je teško sadržajno ga točno odrediti. Glavni se problem sastoji u tome da se osvijetle izjave o sadašnjosti i izja</w:t>
        <w:softHyphen/>
        <w:t xml:space="preserve">ve o budućnosti koje dijelom nediferencirane stoje jedne uz druge u Isusovu naviještanju. Basileia se drži kao buduća (Mt 12,41; Mk 1,15; 13,29 i. d.; Lk 10,9; 12,54 i d.), ali isto tako i kao več sadašnja veličina (Mt 12,28; Lk </w:t>
      </w:r>
      <w:r>
        <w:rPr>
          <w:rFonts w:ascii="Times New Roman" w:eastAsia="Times New Roman" w:hAnsi="Times New Roman" w:cs="Times New Roman"/>
          <w:color w:val="000000"/>
          <w:spacing w:val="0"/>
          <w:w w:val="100"/>
          <w:position w:val="0"/>
          <w:shd w:val="clear" w:color="auto" w:fill="auto"/>
          <w:lang w:val="hr-HR" w:eastAsia="hr-HR" w:bidi="hr-HR"/>
        </w:rPr>
        <w:t>11,20; 7,8-13 i d.) pri čemu preteže cshato- loško ili buduće tumačenje.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Sadržaj poruke o kraljevstvu Božjem je (skra</w:t>
        <w:softHyphen/>
        <w:t>ćeno) sljedeći: Bog je onaj koji prouzročuje dolazak Kraljevstva. Čovjek doduše treba is</w:t>
        <w:softHyphen/>
        <w:t>punjavati Isusove ćudoredne zahtjeve; svaka</w:t>
        <w:softHyphen/>
        <w:t>ko ne da bi tako izgradio Kraljevstvo nego sa</w:t>
        <w:softHyphen/>
        <w:t>mo da bi smio u njega ući. Naći pristup u k. B. vječni je život pri čemu je »vječni« manje vre</w:t>
        <w:softHyphen/>
        <w:t>menski a više kvalitativan pojam. Premda se k. B. - prije svega u Isusovim prispodobama - uspoređuje sa zemaljskim stvarnostima, pot</w:t>
        <w:softHyphen/>
        <w:t>puno je jasna njegova drugačijost (Mk 10,24 i dr.). U tome se Isus razlikuje od židovskoga gledišta. U Isusovoj poruci ništa više nije pre</w:t>
        <w:softHyphen/>
        <w:t>ostalo od očekivanja nacionalno židovskoga kraljevstva Božjega. U njegovu učenju pogo</w:t>
        <w:softHyphen/>
        <w:t>tovo nema mjesta za tipičnu mržnju prema neprijateljima. Isus sasvim drugačije gleda i na sud povezan s Jahvinim danom. Tako pri</w:t>
        <w:softHyphen/>
        <w:t>padnost izabranom židovskom narodu ni</w:t>
        <w:softHyphen/>
        <w:t>pošto nije jamstvo za primanje u Kraljevstvo; pogotovo nepripadnost nije razlog za odbaci</w:t>
        <w:softHyphen/>
        <w:t>vanje (Mt 8,11; 12,21-24; Lk 13,38; Mk 2,17 i dr.). Isus čini ulazak u »Basileia« ovisnim o stavu dotičnog čovjeka i naglašava tako vlas</w:t>
        <w:softHyphen/>
        <w:t>titu vrijednost pojedine osobe. Tako Kra</w:t>
        <w:softHyphen/>
        <w:t>ljevstvo, koje je Isus navijestio, nije u suprot</w:t>
        <w:softHyphen/>
        <w:t>nosti s velikim svjetskim kraljevstvima nego sa Sotoninim kraljevstvom; plaćanje poreza caru prema tome (Mk 12,16 i d.) ne znači nikakvu povredu Božje vladavine. Isus zahtijeva po</w:t>
        <w:softHyphen/>
        <w:t>svemašnju promjenu mišljenja, nazvanu u no- vozavjetnoj jezičnoj uporabi obraćenjem. Su</w:t>
        <w:softHyphen/>
        <w:t>protno inače uobičajenoj Isusovoj blagosti nje</w:t>
        <w:softHyphen/>
        <w:t>gova je propovijed o kraljevstvu Božjem no</w:t>
        <w:softHyphen/>
        <w:t>šena upravo neumoljivom ozbiljnošću. Kada se radi o ulasku u Basileia, sve zemaljske dužnosti moraju prestati, čak i briga oko po</w:t>
        <w:softHyphen/>
        <w:t>greba vlastitih roditelja (Mt 8,22).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B. koje Isus naviješta, barem u većini svojih izjava, buduća je i onostrana veličina, pred</w:t>
        <w:softHyphen/>
        <w:t>met nade i očekivanja. No na nekim mjestima odlučno govori o njegovoj sadašnjosti (Mk 4,26-32; Mt 13,24-30; 13,33; 13,47-50), sadaš</w:t>
        <w:softHyphen/>
        <w:t>njosti koja s Isusovom osobom i djelotvomoš- ću postaje očigledna makar samo za vjerničke oči. »Ako li ja Božjim prstom izgonim zle du</w:t>
        <w:softHyphen/>
        <w:t>hove, znači da je došlo k vama k. B.« (Lk 11,20).</w:t>
      </w:r>
    </w:p>
    <w:p>
      <w:pPr>
        <w:pStyle w:val="Style20"/>
        <w:keepNext w:val="0"/>
        <w:keepLines w:val="0"/>
        <w:widowControl w:val="0"/>
        <w:shd w:val="clear" w:color="auto" w:fill="auto"/>
        <w:bidi w:val="0"/>
        <w:spacing w:before="0" w:after="60"/>
        <w:ind w:left="0" w:right="0" w:firstLine="0"/>
        <w:jc w:val="both"/>
        <w:sectPr>
          <w:headerReference w:type="default" r:id="rId649"/>
          <w:footerReference w:type="default" r:id="rId650"/>
          <w:headerReference w:type="even" r:id="rId651"/>
          <w:footerReference w:type="even" r:id="rId652"/>
          <w:headerReference w:type="first" r:id="rId653"/>
          <w:footerReference w:type="first" r:id="rId654"/>
          <w:footnotePr>
            <w:pos w:val="pageBottom"/>
            <w:numFmt w:val="decimal"/>
            <w:numRestart w:val="continuous"/>
            <w15:footnoteColumns w:val="1"/>
          </w:footnotePr>
          <w:pgSz w:w="6816" w:h="11006"/>
          <w:pgMar w:top="992" w:left="166" w:right="174" w:bottom="453" w:header="0" w:footer="3" w:gutter="0"/>
          <w:cols w:num="2" w:space="145"/>
          <w:noEndnote/>
          <w:titlePg/>
          <w:rtlGutter w:val="0"/>
          <w:docGrid w:linePitch="360"/>
        </w:sectPr>
      </w:pPr>
      <w:r>
        <mc:AlternateContent>
          <mc:Choice Requires="wps">
            <w:drawing>
              <wp:anchor distT="25400" distB="254000" distL="114300" distR="114300" simplePos="0" relativeHeight="125829405" behindDoc="0" locked="0" layoutInCell="1" allowOverlap="1">
                <wp:simplePos x="0" y="0"/>
                <wp:positionH relativeFrom="page">
                  <wp:posOffset>142240</wp:posOffset>
                </wp:positionH>
                <wp:positionV relativeFrom="margin">
                  <wp:posOffset>6138545</wp:posOffset>
                </wp:positionV>
                <wp:extent cx="189230" cy="133985"/>
                <wp:wrapTopAndBottom/>
                <wp:docPr id="1400" name="Shape 1400"/>
                <a:graphic xmlns:a="http://schemas.openxmlformats.org/drawingml/2006/main">
                  <a:graphicData uri="http://schemas.microsoft.com/office/word/2010/wordprocessingShape">
                    <wps:wsp>
                      <wps:cNvSpPr txBox="1"/>
                      <wps:spPr>
                        <a:xfrm>
                          <a:ext cx="1892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22(1</w:t>
                            </w:r>
                          </w:p>
                        </w:txbxContent>
                      </wps:txbx>
                      <wps:bodyPr wrap="none" lIns="0" tIns="0" rIns="0" bIns="0">
                        <a:noAutoFit/>
                      </wps:bodyPr>
                    </wps:wsp>
                  </a:graphicData>
                </a:graphic>
              </wp:anchor>
            </w:drawing>
          </mc:Choice>
          <mc:Fallback>
            <w:pict>
              <v:shape id="_x0000_s2426" type="#_x0000_t202" style="position:absolute;margin-left:11.199999999999999pt;margin-top:483.35000000000002pt;width:14.9pt;height:10.550000000000001pt;z-index:-125829348;mso-wrap-distance-left:9.pt;mso-wrap-distance-top:2.pt;mso-wrap-distance-right:9.pt;mso-wrap-distance-bottom:20.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22(1</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Kasnija tumačenja:</w:t>
      </w:r>
      <w:r>
        <w:rPr>
          <w:rFonts w:ascii="Times New Roman" w:eastAsia="Times New Roman" w:hAnsi="Times New Roman" w:cs="Times New Roman"/>
          <w:color w:val="000000"/>
          <w:spacing w:val="0"/>
          <w:w w:val="100"/>
          <w:position w:val="0"/>
          <w:shd w:val="clear" w:color="auto" w:fill="auto"/>
          <w:lang w:val="hr-HR" w:eastAsia="hr-HR" w:bidi="hr-HR"/>
        </w:rPr>
        <w:t xml:space="preserve"> Isusovo učenje o kraljev</w:t>
        <w:softHyphen/>
        <w:t>stvu Božjem izloženo je dvama velikim nespo</w:t>
        <w:softHyphen/>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razumima ili krivim tumačenjima. Opis Božjeg imena kao »nebeskoga«, koji odgovara židov</w:t>
        <w:softHyphen/>
        <w:t>skom običaju, po evanđelistu Mateju, doveo je do toga da se Kraljevstvo vidi kao apso</w:t>
        <w:softHyphen/>
        <w:t xml:space="preserve">lutno onostrana veličina koja će se tek u nebu ostvariti. Molitvu Očenaša: »Dođi Kraljevstvo tvoje« mnogi su barem u mislima molili: »Daj da (poslije smrti) dođemo u Tvoje kraljevstvo nebesko«, stanovište koje se još i danas može susresti kod kršćana i koje nije sasvim krivo kritizirao </w:t>
      </w:r>
      <w:r>
        <w:rPr>
          <w:rFonts w:ascii="Times New Roman" w:eastAsia="Times New Roman" w:hAnsi="Times New Roman" w:cs="Times New Roman"/>
          <w:color w:val="000000"/>
          <w:spacing w:val="0"/>
          <w:w w:val="100"/>
          <w:position w:val="0"/>
          <w:shd w:val="clear" w:color="auto" w:fill="auto"/>
          <w:lang w:val="en-US" w:eastAsia="en-US" w:bidi="en-US"/>
        </w:rPr>
        <w:t xml:space="preserve">Karl Marx </w:t>
      </w:r>
      <w:r>
        <w:rPr>
          <w:rFonts w:ascii="Times New Roman" w:eastAsia="Times New Roman" w:hAnsi="Times New Roman" w:cs="Times New Roman"/>
          <w:color w:val="000000"/>
          <w:spacing w:val="0"/>
          <w:w w:val="100"/>
          <w:position w:val="0"/>
          <w:shd w:val="clear" w:color="auto" w:fill="auto"/>
          <w:lang w:val="hr-HR" w:eastAsia="hr-HR" w:bidi="hr-HR"/>
        </w:rPr>
        <w:t>kao neozbiljnost prema zemaljskoj stvarnosti i strah od odgovornosti za ovaj svijet. Drugi veliki nesporazum koji započinje s Augustinom i isto se tako još i danas može susresti je izjednačavanje kraljev</w:t>
        <w:softHyphen/>
        <w:t>stva Božjega i Crkve. Tako se od Crkve čini eshatološka neporočna veličina i ne prepo</w:t>
        <w:softHyphen/>
        <w:t>znaje se njezina privremenost kao ni njezina neprestana potreba za reformom. Doduše, Crkva od svoga početka nije od ovoga svijeta, ali živi i postoji u ovom svijetu. Ona nipošto nije cilj nego u najboljem slučaju putokaz. Crkva ima zadaću sa svim ljudima dobre volje moliti za dolazak kraljevstva Božjega i živjeti tako da dio toga Kraljevstva već sada može postati stvarnost na zemlji.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Buber. </w:t>
      </w:r>
      <w:r>
        <w:rPr>
          <w:i/>
          <w:iCs/>
          <w:color w:val="000000"/>
          <w:spacing w:val="0"/>
          <w:w w:val="100"/>
          <w:position w:val="0"/>
          <w:shd w:val="clear" w:color="auto" w:fill="auto"/>
          <w:lang w:val="hr-HR" w:eastAsia="hr-HR" w:bidi="hr-HR"/>
        </w:rPr>
        <w:t>Konigtum Goties,</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Heidelberg</w:t>
      </w:r>
      <w:r>
        <w:rPr>
          <w:color w:val="000000"/>
          <w:spacing w:val="0"/>
          <w:w w:val="100"/>
          <w:position w:val="0"/>
          <w:shd w:val="clear" w:color="auto" w:fill="auto"/>
          <w:vertAlign w:val="superscript"/>
          <w:lang w:val="hr-HR" w:eastAsia="hr-HR" w:bidi="hr-HR"/>
        </w:rPr>
        <w:t>3</w:t>
      </w:r>
      <w:r>
        <w:rPr>
          <w:color w:val="000000"/>
          <w:spacing w:val="0"/>
          <w:w w:val="100"/>
          <w:position w:val="0"/>
          <w:shd w:val="clear" w:color="auto" w:fill="auto"/>
          <w:lang w:val="hr-HR" w:eastAsia="hr-HR" w:bidi="hr-HR"/>
        </w:rPr>
        <w:t xml:space="preserve">1956; J. Jcrc- mias.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Gleiehnisse Jesu,</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Gottingen </w:t>
      </w:r>
      <w:r>
        <w:rPr>
          <w:color w:val="000000"/>
          <w:spacing w:val="0"/>
          <w:w w:val="100"/>
          <w:position w:val="0"/>
          <w:shd w:val="clear" w:color="auto" w:fill="auto"/>
          <w:vertAlign w:val="superscript"/>
          <w:lang w:val="hr-HR" w:eastAsia="hr-HR" w:bidi="hr-HR"/>
        </w:rPr>
        <w:t>9</w:t>
      </w:r>
      <w:r>
        <w:rPr>
          <w:color w:val="000000"/>
          <w:spacing w:val="0"/>
          <w:w w:val="100"/>
          <w:position w:val="0"/>
          <w:shd w:val="clear" w:color="auto" w:fill="auto"/>
          <w:lang w:val="hr-HR" w:eastAsia="hr-HR" w:bidi="hr-HR"/>
        </w:rPr>
        <w:t xml:space="preserve">I977; R. Schnacken- burg. </w:t>
      </w:r>
      <w:r>
        <w:rPr>
          <w:i/>
          <w:iCs/>
          <w:color w:val="000000"/>
          <w:spacing w:val="0"/>
          <w:w w:val="100"/>
          <w:position w:val="0"/>
          <w:shd w:val="clear" w:color="auto" w:fill="auto"/>
          <w:lang w:val="hr-HR" w:eastAsia="hr-HR" w:bidi="hr-HR"/>
        </w:rPr>
        <w:t xml:space="preserve">Goties Herrschaft und </w:t>
      </w:r>
      <w:r>
        <w:rPr>
          <w:i/>
          <w:iCs/>
          <w:color w:val="000000"/>
          <w:spacing w:val="0"/>
          <w:w w:val="100"/>
          <w:position w:val="0"/>
          <w:shd w:val="clear" w:color="auto" w:fill="auto"/>
        </w:rPr>
        <w:t xml:space="preserve">Reich. </w:t>
      </w:r>
      <w:r>
        <w:rPr>
          <w:i/>
          <w:iCs/>
          <w:color w:val="000000"/>
          <w:spacing w:val="0"/>
          <w:w w:val="100"/>
          <w:position w:val="0"/>
          <w:shd w:val="clear" w:color="auto" w:fill="auto"/>
          <w:lang w:val="hr-HR" w:eastAsia="hr-HR" w:bidi="hr-HR"/>
        </w:rPr>
        <w:t xml:space="preserve">Eine biblisch-lheolo- </w:t>
      </w:r>
      <w:r>
        <w:rPr>
          <w:i/>
          <w:iCs/>
          <w:color w:val="000000"/>
          <w:spacing w:val="0"/>
          <w:w w:val="100"/>
          <w:position w:val="0"/>
          <w:shd w:val="clear" w:color="auto" w:fill="auto"/>
        </w:rPr>
        <w:t>gische Sludie,</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*1965; dijelovi: - </w:t>
      </w:r>
      <w:r>
        <w:rPr>
          <w:color w:val="000000"/>
          <w:spacing w:val="0"/>
          <w:w w:val="100"/>
          <w:position w:val="0"/>
          <w:shd w:val="clear" w:color="auto" w:fill="auto"/>
        </w:rPr>
        <w:t xml:space="preserve">Retell </w:t>
      </w:r>
      <w:r>
        <w:rPr>
          <w:color w:val="000000"/>
          <w:spacing w:val="0"/>
          <w:w w:val="100"/>
          <w:position w:val="0"/>
          <w:shd w:val="clear" w:color="auto" w:fill="auto"/>
          <w:lang w:val="hr-HR" w:eastAsia="hr-HR" w:bidi="hr-HR"/>
        </w:rPr>
        <w:t xml:space="preserve">Gottcs«, u: J. </w:t>
      </w:r>
      <w:r>
        <w:rPr>
          <w:color w:val="000000"/>
          <w:spacing w:val="0"/>
          <w:w w:val="100"/>
          <w:position w:val="0"/>
          <w:shd w:val="clear" w:color="auto" w:fill="auto"/>
        </w:rPr>
        <w:t xml:space="preserve">Blank, </w:t>
      </w:r>
      <w:r>
        <w:rPr>
          <w:i/>
          <w:iCs/>
          <w:color w:val="000000"/>
          <w:spacing w:val="0"/>
          <w:w w:val="100"/>
          <w:position w:val="0"/>
          <w:shd w:val="clear" w:color="auto" w:fill="auto"/>
        </w:rPr>
        <w:t>Jesus von Nazareth. Geschichle und Relevant.</w:t>
      </w:r>
      <w:r>
        <w:rPr>
          <w:color w:val="000000"/>
          <w:spacing w:val="0"/>
          <w:w w:val="100"/>
          <w:position w:val="0"/>
          <w:shd w:val="clear" w:color="auto" w:fill="auto"/>
        </w:rPr>
        <w:t xml:space="preserve"> Frei</w:t>
        <w:softHyphen/>
        <w:t xml:space="preserve">burg 1972, 42-50; J. Ernst, </w:t>
      </w:r>
      <w:r>
        <w:rPr>
          <w:i/>
          <w:iCs/>
          <w:color w:val="000000"/>
          <w:spacing w:val="0"/>
          <w:w w:val="100"/>
          <w:position w:val="0"/>
          <w:shd w:val="clear" w:color="auto" w:fill="auto"/>
        </w:rPr>
        <w:t xml:space="preserve">Das Evangelium naeh Markus, </w:t>
      </w:r>
      <w:r>
        <w:rPr>
          <w:color w:val="000000"/>
          <w:spacing w:val="0"/>
          <w:w w:val="100"/>
          <w:position w:val="0"/>
          <w:shd w:val="clear" w:color="auto" w:fill="auto"/>
        </w:rPr>
        <w:t xml:space="preserve">Regensburg 1981, 51-54; R. Pcsch, </w:t>
      </w:r>
      <w:r>
        <w:rPr>
          <w:i/>
          <w:iCs/>
          <w:color w:val="000000"/>
          <w:spacing w:val="0"/>
          <w:w w:val="100"/>
          <w:position w:val="0"/>
          <w:shd w:val="clear" w:color="auto" w:fill="auto"/>
        </w:rPr>
        <w:t>Das Evangelium naeh Markus,</w:t>
      </w:r>
      <w:r>
        <w:rPr>
          <w:color w:val="000000"/>
          <w:spacing w:val="0"/>
          <w:w w:val="100"/>
          <w:position w:val="0"/>
          <w:shd w:val="clear" w:color="auto" w:fill="auto"/>
        </w:rPr>
        <w:t xml:space="preserve"> I. Tcil, Freiburg 1976, 107-108; K. H. Schclklc, </w:t>
      </w:r>
      <w:r>
        <w:rPr>
          <w:i/>
          <w:iCs/>
          <w:color w:val="000000"/>
          <w:spacing w:val="0"/>
          <w:w w:val="100"/>
          <w:position w:val="0"/>
          <w:shd w:val="clear" w:color="auto" w:fill="auto"/>
        </w:rPr>
        <w:t>Theologie des Neuen Testaments,</w:t>
      </w:r>
      <w:r>
        <w:rPr>
          <w:color w:val="000000"/>
          <w:spacing w:val="0"/>
          <w:w w:val="100"/>
          <w:position w:val="0"/>
          <w:shd w:val="clear" w:color="auto" w:fill="auto"/>
        </w:rPr>
        <w:t xml:space="preserve"> Bd. 4/1, Dusseldorf 1974, 20-35; J. Schmid, </w:t>
      </w:r>
      <w:r>
        <w:rPr>
          <w:i/>
          <w:iCs/>
          <w:color w:val="000000"/>
          <w:spacing w:val="0"/>
          <w:w w:val="100"/>
          <w:position w:val="0"/>
          <w:shd w:val="clear" w:color="auto" w:fill="auto"/>
        </w:rPr>
        <w:t>Das Evangelium naeh Markus,</w:t>
      </w:r>
      <w:r>
        <w:rPr>
          <w:color w:val="000000"/>
          <w:spacing w:val="0"/>
          <w:w w:val="100"/>
          <w:position w:val="0"/>
          <w:shd w:val="clear" w:color="auto" w:fill="auto"/>
        </w:rPr>
        <w:t xml:space="preserve"> Regens</w:t>
        <w:softHyphen/>
        <w:t xml:space="preserve">burg *1965, 31-39; W. Schmitthals, </w:t>
      </w:r>
      <w:r>
        <w:rPr>
          <w:i/>
          <w:iCs/>
          <w:color w:val="000000"/>
          <w:spacing w:val="0"/>
          <w:w w:val="100"/>
          <w:position w:val="0"/>
          <w:shd w:val="clear" w:color="auto" w:fill="auto"/>
        </w:rPr>
        <w:t>Das Evangelium naeh Markus,</w:t>
      </w:r>
      <w:r>
        <w:rPr>
          <w:color w:val="000000"/>
          <w:spacing w:val="0"/>
          <w:w w:val="100"/>
          <w:position w:val="0"/>
          <w:shd w:val="clear" w:color="auto" w:fill="auto"/>
        </w:rPr>
        <w:t xml:space="preserve"> Bd. I, Gutersloh und Wurzburg 1979, 100-104.</w:t>
      </w:r>
    </w:p>
    <w:p>
      <w:pPr>
        <w:pStyle w:val="Style20"/>
        <w:keepNext w:val="0"/>
        <w:keepLines w:val="0"/>
        <w:widowControl w:val="0"/>
        <w:shd w:val="clear" w:color="auto" w:fill="auto"/>
        <w:bidi w:val="0"/>
        <w:spacing w:before="0" w:after="120" w:line="240" w:lineRule="auto"/>
        <w:ind w:left="0" w:right="0" w:firstLine="0"/>
        <w:jc w:val="right"/>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 xml:space="preserve">K. </w:t>
      </w:r>
      <w:r>
        <w:rPr>
          <w:rFonts w:ascii="Times New Roman" w:eastAsia="Times New Roman" w:hAnsi="Times New Roman" w:cs="Times New Roman"/>
          <w:smallCaps/>
          <w:color w:val="000000"/>
          <w:spacing w:val="0"/>
          <w:w w:val="100"/>
          <w:position w:val="0"/>
          <w:shd w:val="clear" w:color="auto" w:fill="auto"/>
          <w:lang w:val="en-US" w:eastAsia="en-US" w:bidi="en-US"/>
        </w:rPr>
        <w:t>wp.hi-:r</w:t>
      </w:r>
    </w:p>
    <w:p>
      <w:pPr>
        <w:pStyle w:val="Style63"/>
        <w:keepNext/>
        <w:keepLines/>
        <w:widowControl w:val="0"/>
        <w:numPr>
          <w:ilvl w:val="0"/>
          <w:numId w:val="233"/>
        </w:numPr>
        <w:shd w:val="clear" w:color="auto" w:fill="auto"/>
        <w:tabs>
          <w:tab w:pos="265" w:val="left"/>
        </w:tabs>
        <w:bidi w:val="0"/>
        <w:spacing w:before="0"/>
        <w:ind w:left="0" w:right="0" w:firstLine="0"/>
        <w:jc w:val="both"/>
      </w:pPr>
      <w:bookmarkStart w:id="164" w:name="bookmark164"/>
      <w:r>
        <w:rPr>
          <w:rFonts w:ascii="Times New Roman" w:eastAsia="Times New Roman" w:hAnsi="Times New Roman" w:cs="Times New Roman"/>
          <w:color w:val="000000"/>
          <w:spacing w:val="0"/>
          <w:w w:val="100"/>
          <w:position w:val="0"/>
          <w:shd w:val="clear" w:color="auto" w:fill="auto"/>
          <w:lang w:val="hr-HR" w:eastAsia="hr-HR" w:bidi="hr-HR"/>
        </w:rPr>
        <w:t>islamski</w:t>
      </w:r>
      <w:bookmarkEnd w:id="16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Predodžbe slične onima koje se unutar krš</w:t>
        <w:softHyphen/>
        <w:t>ćanstva povezuju s pojmom kraljevstva Božje</w:t>
        <w:softHyphen/>
        <w:t>ga u islamu se susreću u vezi s vjerom u poja</w:t>
        <w:softHyphen/>
        <w:t>vu eshatološkoga biča koje na sudnji dan tre</w:t>
        <w:softHyphen/>
        <w:t>ba ponovno zavesti pravednost i mir. Ime je toga bića al-mahdi (»Bogom vođeni«), Kuran ne kazuje ništa o tome. Ta cjelokupna vjera počiva na predaji, čija se čistoća nikada nije mogla stopostotno dokazati. Tijekom povijesti obespravljeni je muslimanski puk svoje čežnje za pravednošču uvijek polagao u nadu pojave mahdija. Šijitska je teologija prihvatila i dalje razvila predodžbu o dolasku otkupitelja. Ele</w:t>
        <w:softHyphen/>
        <w:t xml:space="preserve">menti tog nauka stanovitu su ulogu igrali i </w:t>
      </w:r>
      <w:r>
        <w:rPr>
          <w:rFonts w:ascii="Times New Roman" w:eastAsia="Times New Roman" w:hAnsi="Times New Roman" w:cs="Times New Roman"/>
          <w:color w:val="000000"/>
          <w:spacing w:val="0"/>
          <w:w w:val="100"/>
          <w:position w:val="0"/>
          <w:shd w:val="clear" w:color="auto" w:fill="auto"/>
          <w:lang w:val="hr-HR" w:eastAsia="hr-HR" w:bidi="hr-HR"/>
        </w:rPr>
        <w:t>prilikom nastanka Islamske Republike Iran 1959. godine.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doba opadanja političke i društvene moći ideja o mahdijevu kraljevstvu Božjem uvijek je imala brojne pristaše. Za vrijeme propasti </w:t>
      </w:r>
      <w:r>
        <w:rPr>
          <w:rFonts w:ascii="Times New Roman" w:eastAsia="Times New Roman" w:hAnsi="Times New Roman" w:cs="Times New Roman"/>
          <w:color w:val="000000"/>
          <w:spacing w:val="0"/>
          <w:w w:val="100"/>
          <w:position w:val="0"/>
          <w:shd w:val="clear" w:color="auto" w:fill="auto"/>
          <w:lang w:val="en-US" w:eastAsia="en-US" w:bidi="en-US"/>
        </w:rPr>
        <w:t xml:space="preserve">Maura </w:t>
      </w:r>
      <w:r>
        <w:rPr>
          <w:rFonts w:ascii="Times New Roman" w:eastAsia="Times New Roman" w:hAnsi="Times New Roman" w:cs="Times New Roman"/>
          <w:color w:val="000000"/>
          <w:spacing w:val="0"/>
          <w:w w:val="100"/>
          <w:position w:val="0"/>
          <w:shd w:val="clear" w:color="auto" w:fill="auto"/>
          <w:lang w:val="hr-HR" w:eastAsia="hr-HR" w:bidi="hr-HR"/>
        </w:rPr>
        <w:t xml:space="preserve">u Španjolskoj, kada je </w:t>
      </w:r>
      <w:r>
        <w:rPr>
          <w:rFonts w:ascii="Times New Roman" w:eastAsia="Times New Roman" w:hAnsi="Times New Roman" w:cs="Times New Roman"/>
          <w:color w:val="000000"/>
          <w:spacing w:val="0"/>
          <w:w w:val="100"/>
          <w:position w:val="0"/>
          <w:shd w:val="clear" w:color="auto" w:fill="auto"/>
          <w:lang w:val="en-US" w:eastAsia="en-US" w:bidi="en-US"/>
        </w:rPr>
        <w:t xml:space="preserve">Granada </w:t>
      </w:r>
      <w:r>
        <w:rPr>
          <w:rFonts w:ascii="Times New Roman" w:eastAsia="Times New Roman" w:hAnsi="Times New Roman" w:cs="Times New Roman"/>
          <w:color w:val="000000"/>
          <w:spacing w:val="0"/>
          <w:w w:val="100"/>
          <w:position w:val="0"/>
          <w:shd w:val="clear" w:color="auto" w:fill="auto"/>
          <w:lang w:val="hr-HR" w:eastAsia="hr-HR" w:bidi="hr-HR"/>
        </w:rPr>
        <w:t>bila je</w:t>
        <w:softHyphen/>
        <w:t>dini preostali komad zemlje u njihovu posjedu, nalazimo jedan primjer u djelima al-Kordo- bija (al-Qurtubija, u. 1272). »On i njegova okolina zabrinuti su osjećali nužnost dolaska takvoga ponovnog uspostavitclja i mahdija, te su tako bujale iscrpne predaje o njegovu do</w:t>
        <w:softHyphen/>
        <w:t xml:space="preserve">lasku. Čitava je situacija vapila za moćnijim i za tu situaciju prikladnijim predvodnikom kao što je </w:t>
      </w:r>
      <w:r>
        <w:rPr>
          <w:rFonts w:ascii="Times New Roman" w:eastAsia="Times New Roman" w:hAnsi="Times New Roman" w:cs="Times New Roman"/>
          <w:i/>
          <w:iCs/>
          <w:color w:val="000000"/>
          <w:spacing w:val="0"/>
          <w:w w:val="100"/>
          <w:position w:val="0"/>
          <w:shd w:val="clear" w:color="auto" w:fill="auto"/>
          <w:lang w:val="hr-HR" w:eastAsia="hr-HR" w:bidi="hr-HR"/>
        </w:rPr>
        <w:t>Isus</w:t>
      </w:r>
      <w:r>
        <w:rPr>
          <w:rFonts w:ascii="Times New Roman" w:eastAsia="Times New Roman" w:hAnsi="Times New Roman" w:cs="Times New Roman"/>
          <w:color w:val="000000"/>
          <w:spacing w:val="0"/>
          <w:w w:val="100"/>
          <w:position w:val="0"/>
          <w:shd w:val="clear" w:color="auto" w:fill="auto"/>
          <w:lang w:val="hr-HR" w:eastAsia="hr-HR" w:bidi="hr-HR"/>
        </w:rPr>
        <w:t xml:space="preserve"> (Ts5), čija se zadaća sastojala za</w:t>
        <w:softHyphen/>
        <w:t xml:space="preserve">pravo jedino u tome da ubije </w:t>
      </w:r>
      <w:r>
        <w:rPr>
          <w:rFonts w:ascii="Times New Roman" w:eastAsia="Times New Roman" w:hAnsi="Times New Roman" w:cs="Times New Roman"/>
          <w:i/>
          <w:iCs/>
          <w:color w:val="000000"/>
          <w:spacing w:val="0"/>
          <w:w w:val="100"/>
          <w:position w:val="0"/>
          <w:shd w:val="clear" w:color="auto" w:fill="auto"/>
          <w:lang w:val="hr-HR" w:eastAsia="hr-HR" w:bidi="hr-HR"/>
        </w:rPr>
        <w:t>Antikrista</w:t>
      </w:r>
      <w:r>
        <w:rPr>
          <w:rFonts w:ascii="Times New Roman" w:eastAsia="Times New Roman" w:hAnsi="Times New Roman" w:cs="Times New Roman"/>
          <w:color w:val="000000"/>
          <w:spacing w:val="0"/>
          <w:w w:val="100"/>
          <w:position w:val="0"/>
          <w:shd w:val="clear" w:color="auto" w:fill="auto"/>
          <w:lang w:val="hr-HR" w:eastAsia="hr-HR" w:bidi="hr-HR"/>
        </w:rPr>
        <w:t xml:space="preserve"> (ad- Daddjal)« (HI, 395). U vladavini prva četiri kalifa, koji se označuju kao »pravovjerni«, mnogi muslimani vide jednu vrstu kraljevstva Božjega na zemlji i nadaju se ponovnom oživ</w:t>
        <w:softHyphen/>
        <w:t xml:space="preserve">ljavanju onih »sretnih vremena« </w:t>
      </w:r>
      <w:r>
        <w:rPr>
          <w:rFonts w:ascii="Times New Roman" w:eastAsia="Times New Roman" w:hAnsi="Times New Roman" w:cs="Times New Roman"/>
          <w:i/>
          <w:iCs/>
          <w:color w:val="000000"/>
          <w:spacing w:val="0"/>
          <w:w w:val="100"/>
          <w:position w:val="0"/>
          <w:shd w:val="clear" w:color="auto" w:fill="auto"/>
          <w:lang w:val="hr-HR" w:eastAsia="hr-HR" w:bidi="hr-HR"/>
        </w:rPr>
        <w:t>(dahr as- sa'ada)</w:t>
      </w:r>
    </w:p>
    <w:p>
      <w:pPr>
        <w:pStyle w:val="Style56"/>
        <w:keepNext w:val="0"/>
        <w:keepLines w:val="0"/>
        <w:widowControl w:val="0"/>
        <w:shd w:val="clear" w:color="auto" w:fill="auto"/>
        <w:tabs>
          <w:tab w:pos="2568" w:val="left"/>
        </w:tabs>
        <w:bidi w:val="0"/>
        <w:spacing w:before="0" w:after="440" w:line="240" w:lineRule="auto"/>
        <w:ind w:left="0" w:right="0" w:firstLine="0"/>
        <w:jc w:val="both"/>
      </w:pPr>
      <w:r>
        <w:rPr>
          <w:color w:val="000000"/>
          <w:spacing w:val="0"/>
          <w:w w:val="100"/>
          <w:position w:val="0"/>
          <w:shd w:val="clear" w:color="auto" w:fill="auto"/>
          <w:lang w:val="hr-HR" w:eastAsia="hr-HR" w:bidi="hr-HR"/>
        </w:rPr>
        <w:t xml:space="preserve">Lit., natuknica: Mahdl, u: Hl, 394-396; A, Abdulhusscin Sachcdina, </w:t>
      </w:r>
      <w:r>
        <w:rPr>
          <w:i/>
          <w:iCs/>
          <w:color w:val="000000"/>
          <w:spacing w:val="0"/>
          <w:w w:val="100"/>
          <w:position w:val="0"/>
          <w:shd w:val="clear" w:color="auto" w:fill="auto"/>
        </w:rPr>
        <w:t>Islamic Messianism. The idea of Mahdi in Treier Shi'ism,</w:t>
      </w:r>
      <w:r>
        <w:rPr>
          <w:color w:val="000000"/>
          <w:spacing w:val="0"/>
          <w:w w:val="100"/>
          <w:position w:val="0"/>
          <w:shd w:val="clear" w:color="auto" w:fill="auto"/>
        </w:rPr>
        <w:t xml:space="preserve"> Albany 1981.</w:t>
        <w:tab/>
        <w:t xml:space="preserve">S, </w:t>
      </w:r>
      <w:r>
        <w:rPr>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2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 xml:space="preserve">KRISTOLOGUA -&gt; </w:t>
      </w:r>
      <w:r>
        <w:rPr>
          <w:rFonts w:ascii="Times New Roman" w:eastAsia="Times New Roman" w:hAnsi="Times New Roman" w:cs="Times New Roman"/>
          <w:color w:val="000000"/>
          <w:spacing w:val="0"/>
          <w:w w:val="100"/>
          <w:position w:val="0"/>
          <w:shd w:val="clear" w:color="auto" w:fill="auto"/>
          <w:lang w:val="hr-HR" w:eastAsia="hr-HR" w:bidi="hr-HR"/>
        </w:rPr>
        <w:t>ISUS KRIST</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KRŠĆANSTVO</w:t>
      </w:r>
    </w:p>
    <w:p>
      <w:pPr>
        <w:pStyle w:val="Style63"/>
        <w:keepNext/>
        <w:keepLines/>
        <w:widowControl w:val="0"/>
        <w:numPr>
          <w:ilvl w:val="0"/>
          <w:numId w:val="241"/>
        </w:numPr>
        <w:shd w:val="clear" w:color="auto" w:fill="auto"/>
        <w:tabs>
          <w:tab w:pos="246" w:val="left"/>
        </w:tabs>
        <w:bidi w:val="0"/>
        <w:spacing w:before="0"/>
        <w:ind w:left="0" w:right="0" w:firstLine="0"/>
        <w:jc w:val="both"/>
      </w:pPr>
      <w:bookmarkStart w:id="165" w:name="bookmark165"/>
      <w:r>
        <w:rPr>
          <w:rFonts w:ascii="Times New Roman" w:eastAsia="Times New Roman" w:hAnsi="Times New Roman" w:cs="Times New Roman"/>
          <w:color w:val="000000"/>
          <w:spacing w:val="0"/>
          <w:w w:val="100"/>
          <w:position w:val="0"/>
          <w:shd w:val="clear" w:color="auto" w:fill="auto"/>
          <w:lang w:val="hr-HR" w:eastAsia="hr-HR" w:bidi="hr-HR"/>
        </w:rPr>
        <w:t>židovski</w:t>
      </w:r>
      <w:bookmarkEnd w:id="16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a</w:t>
      </w:r>
      <w:r>
        <w:rPr>
          <w:rFonts w:ascii="Times New Roman" w:eastAsia="Times New Roman" w:hAnsi="Times New Roman" w:cs="Times New Roman"/>
          <w:i/>
          <w:iCs/>
          <w:color w:val="000000"/>
          <w:spacing w:val="0"/>
          <w:w w:val="100"/>
          <w:position w:val="0"/>
          <w:shd w:val="clear" w:color="auto" w:fill="auto"/>
          <w:lang w:val="hr-HR" w:eastAsia="hr-HR" w:bidi="hr-HR"/>
        </w:rPr>
        <w:t>) Tradicijsko gledište:</w:t>
      </w:r>
      <w:r>
        <w:rPr>
          <w:rFonts w:ascii="Times New Roman" w:eastAsia="Times New Roman" w:hAnsi="Times New Roman" w:cs="Times New Roman"/>
          <w:color w:val="000000"/>
          <w:spacing w:val="0"/>
          <w:w w:val="100"/>
          <w:position w:val="0"/>
          <w:shd w:val="clear" w:color="auto" w:fill="auto"/>
          <w:lang w:val="hr-HR" w:eastAsia="hr-HR" w:bidi="hr-HR"/>
        </w:rPr>
        <w:t xml:space="preserve"> U nekim rabinskim tek</w:t>
        <w:softHyphen/>
        <w:t>stovima može se raspoznati nekakav »religij</w:t>
        <w:softHyphen/>
        <w:t xml:space="preserve">ski razgovor« - doduše, kao pozadina prvih pokušaja kršćanske misije među Židovima, ali on nije postigao gotovo nikakav uspjeh (Pan- harion </w:t>
      </w:r>
      <w:r>
        <w:rPr>
          <w:rFonts w:ascii="Times New Roman" w:eastAsia="Times New Roman" w:hAnsi="Times New Roman" w:cs="Times New Roman"/>
          <w:color w:val="000000"/>
          <w:spacing w:val="0"/>
          <w:w w:val="100"/>
          <w:position w:val="0"/>
          <w:shd w:val="clear" w:color="auto" w:fill="auto"/>
          <w:lang w:val="en-US" w:eastAsia="en-US" w:bidi="en-US"/>
        </w:rPr>
        <w:t xml:space="preserve">haer. </w:t>
      </w:r>
      <w:r>
        <w:rPr>
          <w:rFonts w:ascii="Times New Roman" w:eastAsia="Times New Roman" w:hAnsi="Times New Roman" w:cs="Times New Roman"/>
          <w:color w:val="000000"/>
          <w:spacing w:val="0"/>
          <w:w w:val="100"/>
          <w:position w:val="0"/>
          <w:shd w:val="clear" w:color="auto" w:fill="auto"/>
          <w:lang w:val="hr-HR" w:eastAsia="hr-HR" w:bidi="hr-HR"/>
        </w:rPr>
        <w:t xml:space="preserve">XXX, 4-12,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griechischen christlichen Schriftsteller der ersten Jahrhunder- te,</w:t>
      </w:r>
      <w:r>
        <w:rPr>
          <w:rFonts w:ascii="Times New Roman" w:eastAsia="Times New Roman" w:hAnsi="Times New Roman" w:cs="Times New Roman"/>
          <w:color w:val="000000"/>
          <w:spacing w:val="0"/>
          <w:w w:val="100"/>
          <w:position w:val="0"/>
          <w:shd w:val="clear" w:color="auto" w:fill="auto"/>
          <w:lang w:val="hr-HR" w:eastAsia="hr-HR" w:bidi="hr-HR"/>
        </w:rPr>
        <w:t xml:space="preserve"> XXV, 338 i d.). Nekoliko puta spominju se polemički razgovori koje su u Cczarcji vodili Rabi Hošaja i Imma Šalom s nekim prezbite</w:t>
        <w:softHyphen/>
        <w:t>rom Pavlom o problemima nastalima iz tu</w:t>
        <w:softHyphen/>
        <w:t xml:space="preserve">mačenja Biblije (Berešit raba XI, 2,3; Pesikta rabati 23). U raspravi, u kojoj on citira i Mt 5,17, rekao je prezbiter: »Od dana kada su vas protjerali iz vaše zemlje, ukinut je Mojsijcv zakon i uvedeno Evanđelje« (b </w:t>
      </w:r>
      <w:r>
        <w:rPr>
          <w:rFonts w:ascii="Times New Roman" w:eastAsia="Times New Roman" w:hAnsi="Times New Roman" w:cs="Times New Roman"/>
          <w:i/>
          <w:iCs/>
          <w:color w:val="000000"/>
          <w:spacing w:val="0"/>
          <w:w w:val="100"/>
          <w:position w:val="0"/>
          <w:shd w:val="clear" w:color="auto" w:fill="auto"/>
          <w:lang w:val="hr-HR" w:eastAsia="hr-HR" w:bidi="hr-HR"/>
        </w:rPr>
        <w:t>Sabat</w:t>
      </w:r>
      <w:r>
        <w:rPr>
          <w:rFonts w:ascii="Times New Roman" w:eastAsia="Times New Roman" w:hAnsi="Times New Roman" w:cs="Times New Roman"/>
          <w:color w:val="000000"/>
          <w:spacing w:val="0"/>
          <w:w w:val="100"/>
          <w:position w:val="0"/>
          <w:shd w:val="clear" w:color="auto" w:fill="auto"/>
          <w:lang w:val="hr-HR" w:eastAsia="hr-HR" w:bidi="hr-HR"/>
        </w:rPr>
        <w:t xml:space="preserve"> 116b). Rabi Tanhuma razračunavao se u Antiohiji s prigovorom politeizma u Tori (Berešit Rabba XIX, 3,2). Rabi Johanan ben Zakai, duhovni </w:t>
      </w:r>
      <w:r>
        <w:rPr>
          <w:rFonts w:ascii="Times New Roman" w:eastAsia="Times New Roman" w:hAnsi="Times New Roman" w:cs="Times New Roman"/>
          <w:color w:val="000000"/>
          <w:spacing w:val="0"/>
          <w:w w:val="100"/>
          <w:position w:val="0"/>
          <w:shd w:val="clear" w:color="auto" w:fill="auto"/>
          <w:lang w:val="hr-HR" w:eastAsia="hr-HR" w:bidi="hr-HR"/>
        </w:rPr>
        <w:t xml:space="preserve">voda židovstva nakon razorenja Hrama, te učitelji druge i treće generacije </w:t>
      </w: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 xml:space="preserve">II., Jošua ben Hananja i Akiva branili su u I. i II. stoljeću vlastitu predaju od (judeo-)kršćan- skih napada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38b; 105b, Jevamot 102b; Hagiga 5b; Sabat 152a; Šemot raba XXX, 22,1). Rabi Tarfon (I./Il. stoljeće) do</w:t>
        <w:softHyphen/>
        <w:t>vodi u vezu s kršćanima Iz 57,8, a njegov su</w:t>
        <w:softHyphen/>
        <w:t xml:space="preserve">vremenik Rabi </w:t>
      </w:r>
      <w:r>
        <w:rPr>
          <w:rFonts w:ascii="Times New Roman" w:eastAsia="Times New Roman" w:hAnsi="Times New Roman" w:cs="Times New Roman"/>
          <w:color w:val="000000"/>
          <w:spacing w:val="0"/>
          <w:w w:val="100"/>
          <w:position w:val="0"/>
          <w:shd w:val="clear" w:color="auto" w:fill="auto"/>
          <w:lang w:val="en-US" w:eastAsia="en-US" w:bidi="en-US"/>
        </w:rPr>
        <w:t xml:space="preserve">Ismail </w:t>
      </w:r>
      <w:r>
        <w:rPr>
          <w:rFonts w:ascii="Times New Roman" w:eastAsia="Times New Roman" w:hAnsi="Times New Roman" w:cs="Times New Roman"/>
          <w:color w:val="000000"/>
          <w:spacing w:val="0"/>
          <w:w w:val="100"/>
          <w:position w:val="0"/>
          <w:shd w:val="clear" w:color="auto" w:fill="auto"/>
          <w:lang w:val="hr-HR" w:eastAsia="hr-HR" w:bidi="hr-HR"/>
        </w:rPr>
        <w:t xml:space="preserve">Ps 139,21 (b Šabat 116a). Tvrdnju da je Bog odbacio Izrael opovrgnuo je </w:t>
      </w: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II. (b Jevamot I02b), a na nju odgovorio Rabi Hanina ben Hama (II./III. sto</w:t>
        <w:softHyphen/>
        <w:t>ljeće) s priznanjem: »I kad su nečisti, božan</w:t>
        <w:softHyphen/>
        <w:t>stvo je medu njima« (b Joma 56b-57a); njegov sin Rabi Hama ben Hanina (III. stoljeće) kaže u vezi sa Ps 39,9: »Medu narodima ne bi za</w:t>
        <w:softHyphen/>
        <w:t>pravo smjelo bili ni tužnih nili mučenih; zašto ih ima? Kako ne bi Izraelce podbadali i go</w:t>
        <w:softHyphen/>
        <w:t>vorili im: Vi ste narod samih tužnih i mu</w:t>
        <w:softHyphen/>
        <w:t xml:space="preserve">čenih« (Berešit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LXXXVIII, </w:t>
      </w:r>
      <w:r>
        <w:rPr>
          <w:rFonts w:ascii="Times New Roman" w:eastAsia="Times New Roman" w:hAnsi="Times New Roman" w:cs="Times New Roman"/>
          <w:color w:val="000000"/>
          <w:spacing w:val="0"/>
          <w:w w:val="100"/>
          <w:position w:val="0"/>
          <w:shd w:val="clear" w:color="auto" w:fill="auto"/>
          <w:lang w:val="hr-HR" w:eastAsia="hr-HR" w:bidi="hr-HR"/>
        </w:rPr>
        <w:t>40,1). I je</w:t>
        <w:softHyphen/>
        <w:t>dan mudrac iz III./IV. stoljeća govori o pris</w:t>
        <w:softHyphen/>
        <w:t>podobi o slami, strnjiki i pljevi kad »svak od njih tvrdi: Zbog mene je zasijano polje. Če</w:t>
        <w:softHyphen/>
        <w:t>kajte do vremena, reče pšenica, da dođete na gumno, pa će se tada pokazati tko od vas ima pravo... Tako se svađaju i narodi na svijetu; svaki narod tvrdi: Mi smo Izrael i zbog nas je stvoren svijet. Čekajte da dođe Božji dan (koji je Bog odredio), govore im Izraelci...« (Šir haširim VII,3). Međutim, kršćanskim se po</w:t>
        <w:softHyphen/>
        <w:t xml:space="preserve">lemičarima suprotstavio Abahu (III.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 xml:space="preserve">IV. stoljeće) tvrdeći da je Izraelovu raseljenost odredio Bog kako bi se narodi Izraela združili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4a; Pesahim 87b). Stajalištu kršćana daje Isus ukinuo ceremonijalni zakon (taj se naziv rabi tek od pojave »Jeruzalema« 1783. M. Mendelssohna za religijske običaje i tradiciju) rabini su se usprotivili tvrdnjom o njegovoj vječnoj važnosti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18,4; Šifre Pnz 14,7). Na dogmu o Trojstvu reagirali su s Pnz 6,4: »ON naš Bog jedini je. I nema dru</w:t>
        <w:softHyphen/>
        <w:t>goga, tj. on nema ortaka u svojem svijetu, ne</w:t>
        <w:softHyphen/>
        <w:t>ma ni sina ni brala« (Kohelet IV,8; Devarim raba 11,6,4) i Iz 44,6: »Bog govori: 'Ja sam prvi’, tj. nemam oca, ‘ja sam posljednji’, tj. ne</w:t>
        <w:softHyphen/>
        <w:t>mam brata, ‘i osim mene Boga nema’, tj. ne</w:t>
        <w:softHyphen/>
        <w:t>mam sina« (Šemot raba, XXIX,20,2).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svojim djelima, u kojima su nastojali ra</w:t>
        <w:softHyphen/>
        <w:t>zumski opravdati objavljenu religiju, židovski religijski filozofi obrađivali su prije svega nauk o Trojstvu uz druge kršćanske tvrdnje koje sc odnose na Isusa, Toru i tumačenje</w:t>
      </w:r>
    </w:p>
    <w:p>
      <w:pPr>
        <w:pStyle w:val="Style20"/>
        <w:keepNext w:val="0"/>
        <w:keepLines w:val="0"/>
        <w:widowControl w:val="0"/>
        <w:shd w:val="clear" w:color="auto" w:fill="auto"/>
        <w:bidi w:val="0"/>
        <w:spacing w:before="0" w:after="0"/>
        <w:ind w:left="0" w:right="0" w:firstLine="0"/>
        <w:jc w:val="both"/>
        <w:sectPr>
          <w:headerReference w:type="default" r:id="rId655"/>
          <w:footerReference w:type="default" r:id="rId656"/>
          <w:headerReference w:type="even" r:id="rId657"/>
          <w:footerReference w:type="even" r:id="rId658"/>
          <w:headerReference w:type="first" r:id="rId659"/>
          <w:footerReference w:type="first" r:id="rId660"/>
          <w:footnotePr>
            <w:pos w:val="pageBottom"/>
            <w:numFmt w:val="decimal"/>
            <w:numRestart w:val="continuous"/>
            <w15:footnoteColumns w:val="1"/>
          </w:footnotePr>
          <w:pgSz w:w="6816" w:h="11006"/>
          <w:pgMar w:top="992" w:left="166" w:right="174" w:bottom="453" w:header="0" w:footer="3" w:gutter="0"/>
          <w:cols w:num="2" w:space="14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Svetoga pisma (E. </w:t>
      </w:r>
      <w:r>
        <w:rPr>
          <w:rFonts w:ascii="Times New Roman" w:eastAsia="Times New Roman" w:hAnsi="Times New Roman" w:cs="Times New Roman"/>
          <w:color w:val="000000"/>
          <w:spacing w:val="0"/>
          <w:w w:val="100"/>
          <w:position w:val="0"/>
          <w:shd w:val="clear" w:color="auto" w:fill="auto"/>
          <w:lang w:val="en-US" w:eastAsia="en-US" w:bidi="en-US"/>
        </w:rPr>
        <w:t>I. J. Rosenthal, »Antichris</w:t>
        <w:softHyphen/>
        <w:t>tian polemic in medieval Bible commenta</w:t>
        <w:softHyphen/>
        <w:t xml:space="preserve">ries«, u: </w:t>
      </w:r>
      <w:r>
        <w:rPr>
          <w:rFonts w:ascii="Times New Roman" w:eastAsia="Times New Roman" w:hAnsi="Times New Roman" w:cs="Times New Roman"/>
          <w:i/>
          <w:iCs/>
          <w:color w:val="000000"/>
          <w:spacing w:val="0"/>
          <w:w w:val="100"/>
          <w:position w:val="0"/>
          <w:shd w:val="clear" w:color="auto" w:fill="auto"/>
          <w:lang w:val="en-US" w:eastAsia="en-US" w:bidi="en-US"/>
        </w:rPr>
        <w:t>The Journal of Jewish Studies</w:t>
      </w:r>
      <w:r>
        <w:rPr>
          <w:rFonts w:ascii="Times New Roman" w:eastAsia="Times New Roman" w:hAnsi="Times New Roman" w:cs="Times New Roman"/>
          <w:color w:val="000000"/>
          <w:spacing w:val="0"/>
          <w:w w:val="100"/>
          <w:position w:val="0"/>
          <w:shd w:val="clear" w:color="auto" w:fill="auto"/>
          <w:lang w:val="en-US" w:eastAsia="en-US" w:bidi="en-US"/>
        </w:rPr>
        <w:t xml:space="preserve"> 11, 1960, 115-135). Majmonid sc </w:t>
      </w:r>
      <w:r>
        <w:rPr>
          <w:rFonts w:ascii="Times New Roman" w:eastAsia="Times New Roman" w:hAnsi="Times New Roman" w:cs="Times New Roman"/>
          <w:color w:val="000000"/>
          <w:spacing w:val="0"/>
          <w:w w:val="100"/>
          <w:position w:val="0"/>
          <w:shd w:val="clear" w:color="auto" w:fill="auto"/>
          <w:lang w:val="hr-HR" w:eastAsia="hr-HR" w:bidi="hr-HR"/>
        </w:rPr>
        <w:t>kritički osvrnuo na nauk o Trojstvu: »Moraš znati da Bog nipošto nema karakteristični atribut... Ako pak tko vjeruje da je on jedini, da ipak ima određeni broj atributa, on bi to, doduše, izrazio u svo</w:t>
        <w:softHyphen/>
        <w:t xml:space="preserve">jim riječima, On je Jedan, ali u svojim mislima vjerovao bi da je On mnoga bića. To je slično onom što kažu kršćani kako je on Jedan, ali i tri, te da su tri jedan« </w:t>
      </w:r>
      <w:r>
        <w:rPr>
          <w:rFonts w:ascii="Times New Roman" w:eastAsia="Times New Roman" w:hAnsi="Times New Roman" w:cs="Times New Roman"/>
          <w:i/>
          <w:iCs/>
          <w:color w:val="000000"/>
          <w:spacing w:val="0"/>
          <w:w w:val="100"/>
          <w:position w:val="0"/>
          <w:shd w:val="clear" w:color="auto" w:fill="auto"/>
          <w:lang w:val="en-US" w:eastAsia="en-US" w:bidi="en-US"/>
        </w:rPr>
        <w:t>(The Guide of the Per</w:t>
        <w:softHyphen/>
        <w:t>plexed,</w:t>
      </w:r>
      <w:r>
        <w:rPr>
          <w:rFonts w:ascii="Times New Roman" w:eastAsia="Times New Roman" w:hAnsi="Times New Roman" w:cs="Times New Roman"/>
          <w:color w:val="000000"/>
          <w:spacing w:val="0"/>
          <w:w w:val="100"/>
          <w:position w:val="0"/>
          <w:shd w:val="clear" w:color="auto" w:fill="auto"/>
          <w:lang w:val="en-US" w:eastAsia="en-US" w:bidi="en-US"/>
        </w:rPr>
        <w:t xml:space="preserve"> 1963, 1,50). Jehuda Halevi </w:t>
      </w:r>
      <w:r>
        <w:rPr>
          <w:rFonts w:ascii="Times New Roman" w:eastAsia="Times New Roman" w:hAnsi="Times New Roman" w:cs="Times New Roman"/>
          <w:color w:val="000000"/>
          <w:spacing w:val="0"/>
          <w:w w:val="100"/>
          <w:position w:val="0"/>
          <w:shd w:val="clear" w:color="auto" w:fill="auto"/>
          <w:lang w:val="hr-HR" w:eastAsia="hr-HR" w:bidi="hr-HR"/>
        </w:rPr>
        <w:t xml:space="preserve">vidio je </w:t>
      </w:r>
      <w:r>
        <w:rPr>
          <w:rFonts w:ascii="Times New Roman" w:eastAsia="Times New Roman" w:hAnsi="Times New Roman" w:cs="Times New Roman"/>
          <w:color w:val="000000"/>
          <w:spacing w:val="0"/>
          <w:w w:val="100"/>
          <w:position w:val="0"/>
          <w:shd w:val="clear" w:color="auto" w:fill="auto"/>
          <w:lang w:val="en-US" w:eastAsia="en-US" w:bidi="en-US"/>
        </w:rPr>
        <w:t xml:space="preserve">u </w:t>
      </w:r>
      <w:r>
        <w:rPr>
          <w:rFonts w:ascii="Times New Roman" w:eastAsia="Times New Roman" w:hAnsi="Times New Roman" w:cs="Times New Roman"/>
          <w:color w:val="000000"/>
          <w:spacing w:val="0"/>
          <w:w w:val="100"/>
          <w:position w:val="0"/>
          <w:shd w:val="clear" w:color="auto" w:fill="auto"/>
          <w:lang w:val="hr-HR" w:eastAsia="hr-HR" w:bidi="hr-HR"/>
        </w:rPr>
        <w:t>kršćanstvu kao i u islamu pripremne stupnje</w:t>
        <w:softHyphen/>
        <w:t>ve mesijanskoga oltećanja ujedinjenja svih lju</w:t>
        <w:softHyphen/>
        <w:t xml:space="preserve">di </w:t>
      </w:r>
      <w:r>
        <w:rPr>
          <w:rFonts w:ascii="Times New Roman" w:eastAsia="Times New Roman" w:hAnsi="Times New Roman" w:cs="Times New Roman"/>
          <w:i/>
          <w:iCs/>
          <w:color w:val="000000"/>
          <w:spacing w:val="0"/>
          <w:w w:val="100"/>
          <w:position w:val="0"/>
          <w:shd w:val="clear" w:color="auto" w:fill="auto"/>
          <w:lang w:val="hr-HR" w:eastAsia="hr-HR" w:bidi="hr-HR"/>
        </w:rPr>
        <w:t>(Kusan</w:t>
      </w:r>
      <w:r>
        <w:rPr>
          <w:rFonts w:ascii="Times New Roman" w:eastAsia="Times New Roman" w:hAnsi="Times New Roman" w:cs="Times New Roman"/>
          <w:color w:val="000000"/>
          <w:spacing w:val="0"/>
          <w:w w:val="100"/>
          <w:position w:val="0"/>
          <w:shd w:val="clear" w:color="auto" w:fill="auto"/>
          <w:lang w:val="hr-HR" w:eastAsia="hr-HR" w:bidi="hr-HR"/>
        </w:rPr>
        <w:t xml:space="preserve"> IV,23); Majmonid je u njima vidio opunomoćenike koji pripremaju put za Me</w:t>
        <w:softHyphen/>
        <w:t>siju: »Oni su proširili zemljom riječi Svetoga pisma i zakon istine i oni će se, oslobođeni zabluda, kojima su još skloni, okrenuti potpu</w:t>
        <w:softHyphen/>
        <w:t>noj istini pri ulasku u mesijansko doba« (Mis</w:t>
        <w:softHyphen/>
        <w:t xml:space="preserve">ne Tora, Hilhot melahim XI,4). Prema Maj- monidu kršćani su se razlikovali </w:t>
      </w:r>
      <w:r>
        <w:rPr>
          <w:rFonts w:ascii="Times New Roman" w:eastAsia="Times New Roman" w:hAnsi="Times New Roman" w:cs="Times New Roman"/>
          <w:i/>
          <w:iCs/>
          <w:color w:val="000000"/>
          <w:spacing w:val="0"/>
          <w:w w:val="100"/>
          <w:position w:val="0"/>
          <w:shd w:val="clear" w:color="auto" w:fill="auto"/>
          <w:lang w:val="hr-HR" w:eastAsia="hr-HR" w:bidi="hr-HR"/>
        </w:rPr>
        <w:t>samo u tuma</w:t>
        <w:softHyphen/>
        <w:t>čenju</w:t>
      </w:r>
      <w:r>
        <w:rPr>
          <w:rFonts w:ascii="Times New Roman" w:eastAsia="Times New Roman" w:hAnsi="Times New Roman" w:cs="Times New Roman"/>
          <w:color w:val="000000"/>
          <w:spacing w:val="0"/>
          <w:w w:val="100"/>
          <w:position w:val="0"/>
          <w:shd w:val="clear" w:color="auto" w:fill="auto"/>
          <w:lang w:val="hr-HR" w:eastAsia="hr-HR" w:bidi="hr-HR"/>
        </w:rPr>
        <w:t xml:space="preserve"> Biblije, jer »vjeruju i ispovijedaju vjeru kao mi, da je Biblija božanskoga podrijetla i da je objavljena preko našega učitelja Moj- sija« (58. stručni sud). - Talmudsko doba sko- valo je pojam noahidi za one nežidove koji, kao prije »pridošlicc-stranci-gosti« (ger </w:t>
      </w:r>
      <w:r>
        <w:rPr>
          <w:rFonts w:ascii="Times New Roman" w:eastAsia="Times New Roman" w:hAnsi="Times New Roman" w:cs="Times New Roman"/>
          <w:i/>
          <w:iCs/>
          <w:color w:val="000000"/>
          <w:spacing w:val="0"/>
          <w:w w:val="100"/>
          <w:position w:val="0"/>
          <w:shd w:val="clear" w:color="auto" w:fill="auto"/>
          <w:lang w:val="hr-HR" w:eastAsia="hr-HR" w:bidi="hr-HR"/>
        </w:rPr>
        <w:t>tošab),</w:t>
      </w:r>
      <w:r>
        <w:rPr>
          <w:rFonts w:ascii="Times New Roman" w:eastAsia="Times New Roman" w:hAnsi="Times New Roman" w:cs="Times New Roman"/>
          <w:color w:val="000000"/>
          <w:spacing w:val="0"/>
          <w:w w:val="100"/>
          <w:position w:val="0"/>
          <w:shd w:val="clear" w:color="auto" w:fill="auto"/>
          <w:lang w:val="hr-HR" w:eastAsia="hr-HR" w:bidi="hr-HR"/>
        </w:rPr>
        <w:t xml:space="preserve"> is</w:t>
        <w:softHyphen/>
        <w:t>punjavaju temeljne moralne i religijske zah</w:t>
        <w:softHyphen/>
        <w:t xml:space="preserve">tjeve prema praobjavi svim ljudima (sedam noahidskih zapovijedi, Tosefta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VIII,4,6;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56b) i prema kojima vri</w:t>
        <w:softHyphen/>
        <w:t xml:space="preserve">jede sve obveze kao za Židove; oni su također sudionici »nadolazećeg svijeta« (Tosefta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XIII,2; b 105a; Majmonid, Misne To</w:t>
        <w:softHyphen/>
        <w:t>ra, Hilhot tešuva 3,5). Na to razlikovanje »po</w:t>
        <w:softHyphen/>
        <w:t xml:space="preserve">ganstva« (usp. traktat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iz Mišne) i </w:t>
      </w:r>
      <w:r>
        <w:rPr>
          <w:rFonts w:ascii="Times New Roman" w:eastAsia="Times New Roman" w:hAnsi="Times New Roman" w:cs="Times New Roman"/>
          <w:i/>
          <w:iCs/>
          <w:color w:val="000000"/>
          <w:spacing w:val="0"/>
          <w:w w:val="100"/>
          <w:position w:val="0"/>
          <w:shd w:val="clear" w:color="auto" w:fill="auto"/>
          <w:lang w:val="hr-HR" w:eastAsia="hr-HR" w:bidi="hr-HR"/>
        </w:rPr>
        <w:t>šitufa</w:t>
      </w:r>
      <w:r>
        <w:rPr>
          <w:rFonts w:ascii="Times New Roman" w:eastAsia="Times New Roman" w:hAnsi="Times New Roman" w:cs="Times New Roman"/>
          <w:color w:val="000000"/>
          <w:spacing w:val="0"/>
          <w:w w:val="100"/>
          <w:position w:val="0"/>
          <w:shd w:val="clear" w:color="auto" w:fill="auto"/>
          <w:lang w:val="hr-HR" w:eastAsia="hr-HR" w:bidi="hr-HR"/>
        </w:rPr>
        <w:t xml:space="preserve"> (miješanje štovanja nekoliko božanskih sila sa štovanjem jedinoga Boga) nadovezuju se veliki srednjovjekovni tumači Talmuda i decizori i proglašavaju kršćane »poluprozeli- tima« (ger tošab, usp. </w:t>
      </w:r>
      <w:r>
        <w:rPr>
          <w:rFonts w:ascii="Times New Roman" w:eastAsia="Times New Roman" w:hAnsi="Times New Roman" w:cs="Times New Roman"/>
          <w:color w:val="000000"/>
          <w:spacing w:val="0"/>
          <w:w w:val="100"/>
          <w:position w:val="0"/>
          <w:shd w:val="clear" w:color="auto" w:fill="auto"/>
          <w:lang w:val="en-US" w:eastAsia="en-US" w:bidi="en-US"/>
        </w:rPr>
        <w:t xml:space="preserve">Tosafot </w:t>
      </w:r>
      <w:r>
        <w:rPr>
          <w:rFonts w:ascii="Times New Roman" w:eastAsia="Times New Roman" w:hAnsi="Times New Roman" w:cs="Times New Roman"/>
          <w:color w:val="000000"/>
          <w:spacing w:val="0"/>
          <w:w w:val="100"/>
          <w:position w:val="0"/>
          <w:shd w:val="clear" w:color="auto" w:fill="auto"/>
          <w:lang w:val="hr-HR" w:eastAsia="hr-HR" w:bidi="hr-HR"/>
        </w:rPr>
        <w:t xml:space="preserve">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63b; Šulhan aruh, Orah hajitn 156 s </w:t>
      </w:r>
      <w:r>
        <w:rPr>
          <w:rFonts w:ascii="Times New Roman" w:eastAsia="Times New Roman" w:hAnsi="Times New Roman" w:cs="Times New Roman"/>
          <w:i/>
          <w:iCs/>
          <w:color w:val="000000"/>
          <w:spacing w:val="0"/>
          <w:w w:val="100"/>
          <w:position w:val="0"/>
          <w:shd w:val="clear" w:color="auto" w:fill="auto"/>
          <w:lang w:val="hr-HR" w:eastAsia="hr-HR" w:bidi="hr-HR"/>
        </w:rPr>
        <w:t xml:space="preserve">Mapom </w:t>
      </w:r>
      <w:r>
        <w:rPr>
          <w:rFonts w:ascii="Times New Roman" w:eastAsia="Times New Roman" w:hAnsi="Times New Roman" w:cs="Times New Roman"/>
          <w:color w:val="000000"/>
          <w:spacing w:val="0"/>
          <w:w w:val="100"/>
          <w:position w:val="0"/>
          <w:shd w:val="clear" w:color="auto" w:fill="auto"/>
          <w:lang w:val="hr-HR" w:eastAsia="hr-HR" w:bidi="hr-HR"/>
        </w:rPr>
        <w:t xml:space="preserve">Mojsija Iserlesa) jasno razdvajajući pogansko idolopoklonstvo od kršćanskoga štovanja slika (Šulhan aruh, Jore dea 141.148; Hošen mišpat 266). Na osnovi te religijsko-zakonske odluke stvorena su stručna mišljenja: »Ni jedan Židov ne smatra kršćanina idolopoklonikom« (Jair Chajim Bacharach, 1699, v. 5b; Jakob </w:t>
      </w:r>
      <w:r>
        <w:rPr>
          <w:rFonts w:ascii="Times New Roman" w:eastAsia="Times New Roman" w:hAnsi="Times New Roman" w:cs="Times New Roman"/>
          <w:color w:val="000000"/>
          <w:spacing w:val="0"/>
          <w:w w:val="100"/>
          <w:position w:val="0"/>
          <w:shd w:val="clear" w:color="auto" w:fill="auto"/>
          <w:lang w:val="en-US" w:eastAsia="en-US" w:bidi="en-US"/>
        </w:rPr>
        <w:t xml:space="preserve">Emden, </w:t>
      </w:r>
      <w:r>
        <w:rPr>
          <w:rFonts w:ascii="Times New Roman" w:eastAsia="Times New Roman" w:hAnsi="Times New Roman" w:cs="Times New Roman"/>
          <w:color w:val="000000"/>
          <w:spacing w:val="0"/>
          <w:w w:val="100"/>
          <w:position w:val="0"/>
          <w:shd w:val="clear" w:color="auto" w:fill="auto"/>
          <w:lang w:val="hr-HR" w:eastAsia="hr-HR" w:bidi="hr-HR"/>
        </w:rPr>
        <w:t xml:space="preserve">1737, Še’elat Jabez 70b. br. 41); tako je sudila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jedna poslanica: »Utemeljitelj kršćanske vjere iskazao je svijetu dvostruko dobročinstvo, s jedne je strane svom snagom učvrstio Moj- sijev nauk i posebice isticao njegovu vječnu obvezu; s druge strane, iskazao je veliko do</w:t>
        <w:softHyphen/>
        <w:t>bročinstvo poganima udaljavajući od njih ido- lopoklonstvo, obvezao ih na sedam Noinih za</w:t>
        <w:softHyphen/>
        <w:t xml:space="preserve">kona i dao im nauk o ćudoređu koji je stroži od Mojsijeva zakona« (Jakob </w:t>
      </w:r>
      <w:r>
        <w:rPr>
          <w:rFonts w:ascii="Times New Roman" w:eastAsia="Times New Roman" w:hAnsi="Times New Roman" w:cs="Times New Roman"/>
          <w:color w:val="000000"/>
          <w:spacing w:val="0"/>
          <w:w w:val="100"/>
          <w:position w:val="0"/>
          <w:shd w:val="clear" w:color="auto" w:fill="auto"/>
          <w:lang w:val="en-US" w:eastAsia="en-US" w:bidi="en-US"/>
        </w:rPr>
        <w:t xml:space="preserve">Emden, </w:t>
      </w:r>
      <w:r>
        <w:rPr>
          <w:rFonts w:ascii="Times New Roman" w:eastAsia="Times New Roman" w:hAnsi="Times New Roman" w:cs="Times New Roman"/>
          <w:color w:val="000000"/>
          <w:spacing w:val="0"/>
          <w:w w:val="100"/>
          <w:position w:val="0"/>
          <w:shd w:val="clear" w:color="auto" w:fill="auto"/>
          <w:lang w:val="hr-HR" w:eastAsia="hr-HR" w:bidi="hr-HR"/>
        </w:rPr>
        <w:t xml:space="preserve">1757). </w:t>
      </w:r>
      <w:r>
        <w:rPr>
          <w:rFonts w:ascii="Times New Roman" w:eastAsia="Times New Roman" w:hAnsi="Times New Roman" w:cs="Times New Roman"/>
          <w:i/>
          <w:iCs/>
          <w:color w:val="000000"/>
          <w:spacing w:val="0"/>
          <w:w w:val="100"/>
          <w:position w:val="0"/>
          <w:shd w:val="clear" w:color="auto" w:fill="auto"/>
          <w:lang w:val="hr-HR" w:eastAsia="hr-HR" w:bidi="hr-HR"/>
        </w:rPr>
        <w:t>b) Važne razlike:</w:t>
      </w:r>
      <w:r>
        <w:rPr>
          <w:rFonts w:ascii="Times New Roman" w:eastAsia="Times New Roman" w:hAnsi="Times New Roman" w:cs="Times New Roman"/>
          <w:color w:val="000000"/>
          <w:spacing w:val="0"/>
          <w:w w:val="100"/>
          <w:position w:val="0"/>
          <w:shd w:val="clear" w:color="auto" w:fill="auto"/>
          <w:lang w:val="hr-HR" w:eastAsia="hr-HR" w:bidi="hr-HR"/>
        </w:rPr>
        <w:t xml:space="preserve"> K. (predreformacijsko i iz- vanreformacijsko) odstupa svojom svećenič</w:t>
        <w:softHyphen/>
        <w:t>kom službom i shvaćanjem Crkve od židovske laičke religije (Izl 19,6) čiji je »zakon« samo »nauk« (Tora). Za razliku od vjere u trojed- noga Boga Židov ispovijeda apsolutno jedin</w:t>
        <w:softHyphen/>
        <w:t>stvo osobe Boga (»Sema Jisrael« = Čuj, Iz- raele!, Pnz 6,4; Majmonidov II. članak vjere). U židovskim očima kršćanska »vjera otkup</w:t>
        <w:softHyphen/>
        <w:t xml:space="preserve">ljenja« izgleda pesimistički, jer strah od greš- nosti putenoga svijeta zavodi na bijeg od svijeta. Za razliku od toga, »optimizam je u židovstvu poslao zapovijed... učenje o dobru koje čovjeka pita i u svojem ‘moraš* daje mu nepokolebljiv odgovor«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Judenlums,</w:t>
      </w:r>
      <w:r>
        <w:rPr>
          <w:rFonts w:ascii="Times New Roman" w:eastAsia="Times New Roman" w:hAnsi="Times New Roman" w:cs="Times New Roman"/>
          <w:color w:val="000000"/>
          <w:spacing w:val="0"/>
          <w:w w:val="100"/>
          <w:position w:val="0"/>
          <w:shd w:val="clear" w:color="auto" w:fill="auto"/>
          <w:lang w:val="en-US" w:eastAsia="en-US" w:bidi="en-US"/>
        </w:rPr>
        <w:t xml:space="preserve"> '1921, 6. izd., 89). </w:t>
      </w:r>
      <w:r>
        <w:rPr>
          <w:rFonts w:ascii="Times New Roman" w:eastAsia="Times New Roman" w:hAnsi="Times New Roman" w:cs="Times New Roman"/>
          <w:color w:val="000000"/>
          <w:spacing w:val="0"/>
          <w:w w:val="100"/>
          <w:position w:val="0"/>
          <w:shd w:val="clear" w:color="auto" w:fill="auto"/>
          <w:lang w:val="hr-HR" w:eastAsia="hr-HR" w:bidi="hr-HR"/>
        </w:rPr>
        <w:t xml:space="preserve">Židovstvo odbija Isusovo »posredništvo« između Boga i čovjeka i sakrament u njegovo ime. Ono slijedi cilj postavljen pred čovjeka: da postane što sličniji Bogu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Čovjek može iz</w:t>
        <w:softHyphen/>
        <w:t>vršiti tu zadaću; to jc velika zapovijed u nje</w:t>
        <w:softHyphen/>
        <w:t xml:space="preserve">govu životu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 Ovdje vrijede riječi koje je o Danu pomirenja izgovorio učitelj Mišne i mučenik Rabi Akiva: »Spasi vas, Iz</w:t>
        <w:softHyphen/>
        <w:t>rade! Tko je onaj od koga se čistite, i tko je onaj tko vas čisti? Otac vaš na nebu« (M Joma VIII, 9; b 85a). Predajom jc sačuvana spo</w:t>
        <w:softHyphen/>
        <w:t>znaja jednog muškarca koji se kaje zbog dota</w:t>
        <w:softHyphen/>
        <w:t>dašnjega načina živola i u svojoj osobnoj od</w:t>
        <w:softHyphen/>
        <w:t>govornosti mora stali pred Boga kao svoj vlas</w:t>
        <w:softHyphen/>
        <w:t xml:space="preserve">titi posrednik: »To ovisi isključivo o meni«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17a). Proliv milosti otkupljenja od grijeha židovstvo uči o povratku Bogu (Iz 55,7), o obraćenju na dobro kao činu volje i samoodgovornosti čovjeka pred Bogom (M Avot 11,10). Prema tom uvjerenju stvaranje na sliku Božju (Post 1,27, 5,1 u vezi s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proturječi predodžbi o istočnom grijehu (M Avot IV,2; Pnz 24,16; Ez 18). »Dok Židov, bu</w:t>
        <w:softHyphen/>
        <w:t xml:space="preserve">dući da je držao svetim njegovu krv i meso pod jarmom zakona, uvijek živi u stvarnosti kraljevstva nebeskoga, kršćanin uči da njemu </w:t>
      </w:r>
      <w:r>
        <w:rPr>
          <w:rFonts w:ascii="Times New Roman" w:eastAsia="Times New Roman" w:hAnsi="Times New Roman" w:cs="Times New Roman"/>
          <w:color w:val="000000"/>
          <w:spacing w:val="0"/>
          <w:w w:val="100"/>
          <w:position w:val="0"/>
          <w:shd w:val="clear" w:color="auto" w:fill="auto"/>
          <w:lang w:val="hr-HR" w:eastAsia="hr-HR" w:bidi="hr-HR"/>
        </w:rPr>
        <w:t>samom nije dopušteno u osjećaju anticipirati otkupljenje od kojega se brani njegova stalno nesveta krv i meso. Dok Židov zbog gubitka neotkupljcnoga svijeta otkupljuje sebi posje</w:t>
        <w:softHyphen/>
        <w:t>dovanje istine u svojoj anticipaciji otkupljenja, kažnjava za laži kršćanina koji na svojem os</w:t>
        <w:softHyphen/>
        <w:t xml:space="preserve">vajačkom pohodu u neotkupljeni svijet svaki korak naprijed mora otkupiti zabludom« (F. </w:t>
      </w:r>
      <w:r>
        <w:rPr>
          <w:rFonts w:ascii="Times New Roman" w:eastAsia="Times New Roman" w:hAnsi="Times New Roman" w:cs="Times New Roman"/>
          <w:color w:val="000000"/>
          <w:spacing w:val="0"/>
          <w:w w:val="100"/>
          <w:position w:val="0"/>
          <w:shd w:val="clear" w:color="auto" w:fill="auto"/>
          <w:lang w:val="en-US" w:eastAsia="en-US" w:bidi="en-US"/>
        </w:rPr>
        <w:t xml:space="preserve">Roscnzweig,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Erlbsung,</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 xml:space="preserve">1976, 460; usp. G, Scholcm, »Zum Verstandnis der messianischen </w:t>
      </w:r>
      <w:r>
        <w:rPr>
          <w:rFonts w:ascii="Times New Roman" w:eastAsia="Times New Roman" w:hAnsi="Times New Roman" w:cs="Times New Roman"/>
          <w:color w:val="000000"/>
          <w:spacing w:val="0"/>
          <w:w w:val="100"/>
          <w:position w:val="0"/>
          <w:shd w:val="clear" w:color="auto" w:fill="auto"/>
          <w:lang w:val="en-US" w:eastAsia="en-US" w:bidi="en-US"/>
        </w:rPr>
        <w:t xml:space="preserve">Idee </w:t>
      </w:r>
      <w:r>
        <w:rPr>
          <w:rFonts w:ascii="Times New Roman" w:eastAsia="Times New Roman" w:hAnsi="Times New Roman" w:cs="Times New Roman"/>
          <w:color w:val="000000"/>
          <w:spacing w:val="0"/>
          <w:w w:val="100"/>
          <w:position w:val="0"/>
          <w:shd w:val="clear" w:color="auto" w:fill="auto"/>
          <w:lang w:val="hr-HR" w:eastAsia="hr-HR" w:bidi="hr-HR"/>
        </w:rPr>
        <w:t xml:space="preserve">im Judentum«, u: </w:t>
      </w:r>
      <w:r>
        <w:rPr>
          <w:rFonts w:ascii="Times New Roman" w:eastAsia="Times New Roman" w:hAnsi="Times New Roman" w:cs="Times New Roman"/>
          <w:i/>
          <w:iCs/>
          <w:color w:val="000000"/>
          <w:spacing w:val="0"/>
          <w:w w:val="100"/>
          <w:position w:val="0"/>
          <w:shd w:val="clear" w:color="auto" w:fill="auto"/>
          <w:lang w:val="en-US" w:eastAsia="en-US" w:bidi="en-US"/>
        </w:rPr>
        <w:t>Judaica</w:t>
      </w:r>
    </w:p>
    <w:p>
      <w:pPr>
        <w:pStyle w:val="Style20"/>
        <w:keepNext w:val="0"/>
        <w:keepLines w:val="0"/>
        <w:widowControl w:val="0"/>
        <w:numPr>
          <w:ilvl w:val="0"/>
          <w:numId w:val="243"/>
        </w:numPr>
        <w:shd w:val="clear" w:color="auto" w:fill="auto"/>
        <w:tabs>
          <w:tab w:pos="226" w:val="left"/>
        </w:tabs>
        <w:bidi w:val="0"/>
        <w:spacing w:before="0" w:after="6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1963, 7-74,7 i d.).</w:t>
      </w:r>
    </w:p>
    <w:p>
      <w:pPr>
        <w:pStyle w:val="Style56"/>
        <w:keepNext w:val="0"/>
        <w:keepLines w:val="0"/>
        <w:widowControl w:val="0"/>
        <w:shd w:val="clear" w:color="auto" w:fill="auto"/>
        <w:tabs>
          <w:tab w:pos="2448" w:val="left"/>
        </w:tabs>
        <w:bidi w:val="0"/>
        <w:spacing w:before="0" w:after="160" w:line="240" w:lineRule="auto"/>
        <w:ind w:left="0" w:right="0" w:firstLine="0"/>
        <w:jc w:val="left"/>
      </w:pPr>
      <w:r>
        <w:rPr>
          <w:color w:val="000000"/>
          <w:spacing w:val="0"/>
          <w:w w:val="100"/>
          <w:position w:val="0"/>
          <w:shd w:val="clear" w:color="auto" w:fill="auto"/>
        </w:rPr>
        <w:t xml:space="preserve">Lit.: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Lehren des Judenlums </w:t>
      </w:r>
      <w:r>
        <w:rPr>
          <w:i/>
          <w:iCs/>
          <w:color w:val="000000"/>
          <w:spacing w:val="0"/>
          <w:w w:val="100"/>
          <w:position w:val="0"/>
          <w:shd w:val="clear" w:color="auto" w:fill="auto"/>
        </w:rPr>
        <w:t>nach den Quellen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V, 1929; </w:t>
      </w:r>
      <w:r>
        <w:rPr>
          <w:color w:val="000000"/>
          <w:spacing w:val="0"/>
          <w:w w:val="100"/>
          <w:position w:val="0"/>
          <w:shd w:val="clear" w:color="auto" w:fill="auto"/>
        </w:rPr>
        <w:t xml:space="preserve">I. J. Rosenthal, </w:t>
      </w:r>
      <w:r>
        <w:rPr>
          <w:color w:val="000000"/>
          <w:spacing w:val="0"/>
          <w:w w:val="100"/>
          <w:position w:val="0"/>
          <w:shd w:val="clear" w:color="auto" w:fill="auto"/>
          <w:lang w:val="hr-HR" w:eastAsia="hr-HR" w:bidi="hr-HR"/>
        </w:rPr>
        <w:t xml:space="preserve">»JiidLschc </w:t>
      </w:r>
      <w:r>
        <w:rPr>
          <w:color w:val="000000"/>
          <w:spacing w:val="0"/>
          <w:w w:val="100"/>
          <w:position w:val="0"/>
          <w:shd w:val="clear" w:color="auto" w:fill="auto"/>
        </w:rPr>
        <w:t xml:space="preserve">Antworl«, </w:t>
      </w:r>
      <w:r>
        <w:rPr>
          <w:i/>
          <w:iCs/>
          <w:color w:val="000000"/>
          <w:spacing w:val="0"/>
          <w:w w:val="100"/>
          <w:position w:val="0"/>
          <w:shd w:val="clear" w:color="auto" w:fill="auto"/>
          <w:lang w:val="hr-HR" w:eastAsia="hr-HR" w:bidi="hr-HR"/>
        </w:rPr>
        <w:t xml:space="preserve">u.Kirche </w:t>
      </w:r>
      <w:r>
        <w:rPr>
          <w:i/>
          <w:iCs/>
          <w:color w:val="000000"/>
          <w:spacing w:val="0"/>
          <w:w w:val="100"/>
          <w:position w:val="0"/>
          <w:shd w:val="clear" w:color="auto" w:fill="auto"/>
        </w:rPr>
        <w:t xml:space="preserve">und Syna- </w:t>
      </w:r>
      <w:r>
        <w:rPr>
          <w:i/>
          <w:iCs/>
          <w:color w:val="000000"/>
          <w:spacing w:val="0"/>
          <w:w w:val="100"/>
          <w:position w:val="0"/>
          <w:shd w:val="clear" w:color="auto" w:fill="auto"/>
          <w:lang w:val="hr-HR" w:eastAsia="hr-HR" w:bidi="hr-HR"/>
        </w:rPr>
        <w:t>gogel.</w:t>
      </w:r>
      <w:r>
        <w:rPr>
          <w:color w:val="000000"/>
          <w:spacing w:val="0"/>
          <w:w w:val="100"/>
          <w:position w:val="0"/>
          <w:shd w:val="clear" w:color="auto" w:fill="auto"/>
          <w:lang w:val="hr-HR" w:eastAsia="hr-HR" w:bidi="hr-HR"/>
        </w:rPr>
        <w:t xml:space="preserve"> 196«.</w:t>
        <w:tab/>
        <w:t>D.VE1TER</w:t>
      </w:r>
    </w:p>
    <w:p>
      <w:pPr>
        <w:pStyle w:val="Style63"/>
        <w:keepNext/>
        <w:keepLines/>
        <w:widowControl w:val="0"/>
        <w:numPr>
          <w:ilvl w:val="0"/>
          <w:numId w:val="241"/>
        </w:numPr>
        <w:shd w:val="clear" w:color="auto" w:fill="auto"/>
        <w:tabs>
          <w:tab w:pos="260" w:val="left"/>
        </w:tabs>
        <w:bidi w:val="0"/>
        <w:spacing w:before="0" w:line="226" w:lineRule="auto"/>
        <w:ind w:left="0" w:right="0" w:firstLine="0"/>
        <w:jc w:val="both"/>
      </w:pPr>
      <w:bookmarkStart w:id="166" w:name="bookmark16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66"/>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izvještaju Djela apostolskih (usp. Dj 11,26) učenici su prvi put u Antiohiji, mjestu najranije kršćanske zajednice među pogani</w:t>
        <w:softHyphen/>
        <w:t>ma, podrugljivo označeni kao »kršćani« ili »kristijani« tj. pristaše »Christosa«, pri čemu su izrugivači krivo protumačili kristološki vla</w:t>
        <w:softHyphen/>
        <w:t>darski naslov kao vlastito ime. - Možemo drža</w:t>
        <w:softHyphen/>
        <w:t>ti da »k.« potječe s istoga područja. Ono još ne dolazi u novozavjetnim Pismima, ali se jav</w:t>
        <w:softHyphen/>
        <w:t>lja u jezičnoj uporabi apostolskih otaca kao čvrst sastavni dio, najprije upravo kod biskupa Ignacija Antiohijskoga, koji ga upotrebljava kao nešto po sebi razumljivo pa time očigled</w:t>
        <w:softHyphen/>
        <w:t>no pretpostavlja da je poznato. U svom Pismu Magnezijcima biskup opominje zajednicu da ne živi više »prema židovstvu« nego »prema kršćanstvu«, jer nakon što je k. nadmašilo ži</w:t>
        <w:softHyphen/>
        <w:t>dovstvo, još jc samo pod tim imenom moguće svidjeti se Bogu (usp. Magn 10,1; 3-4). Prema jezičnom podrijetlu nove kovanice radi se dakle o paralelnoj tvorbi uz pojam »židov</w:t>
        <w:softHyphen/>
        <w:t>stvo«, a ona služi razlučivanju pogana-kršćana od sinagogalnih Židova i judeokršćana. Pojam židovstva u uporabi je već u helenističkom go</w:t>
        <w:softHyphen/>
        <w:t>vornom jeziku drugoga predkršćanskog stolje</w:t>
        <w:softHyphen/>
        <w:t xml:space="preserve">ća; pojavljuje se i u Djelima apostolskim (usp. Dj 26,3) i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(usp. npr. Gal 1,13-14) i ovdje, kao i tamo, općenito znači, u skladu s uobičajenim smislom, židovski način vjerova</w:t>
        <w:softHyphen/>
        <w:t>nja i življenja. Analogno tomu stoji pojam krš</w:t>
        <w:softHyphen/>
        <w:t>ćanstva za kršćanski način vjerovanja i življe</w:t>
        <w:softHyphen/>
        <w:t>nja i može se tako upotrebljavati u grčkoj pa- tristici, npr. kod Origena i Euzebija, kao po</w:t>
        <w:softHyphen/>
        <w:t>jam suprotan pojmu »poganstvo«.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Uključivanje pojma u novo kulturalno okruže</w:t>
        <w:softHyphen/>
        <w:t>nje dovodi u svakom slučaju do prve promje</w:t>
        <w:softHyphen/>
        <w:t>ne značenja koja je vrijedna pozornosti: Dok na početku u smislu zbirnog označitclja znači kršćansku društvenu zajednicu isto tako kao i njezino učenje i njoj svojstvenu životnu prak</w:t>
        <w:softHyphen/>
        <w:t>su u cjelini (npr. liturgijske oblike, ćudoredna pravila i norme itd.), pod sve većim helenis- tičko-grčkim utjecajem sve više se pomiče na</w:t>
        <w:softHyphen/>
        <w:t>glasak - uostalom slično kao kod pojma »ži</w:t>
        <w:softHyphen/>
        <w:t>dovstva« - na sadržajno-naučni moment. Je</w:t>
        <w:softHyphen/>
        <w:t>dinstvo naučavanja, liturgije i etike, koje je još isprva sadržano u pojmu, postupno labavi u korist vjerske intelektualno-kognitivne strane, ali se ipak sasvim ne raspada. Istodobno se osamostaljujc sociološka komponenta znače</w:t>
        <w:softHyphen/>
        <w:t>nja. Tome otprilike odgovara današnje stanje stvari unutar njemačkog jezičnog podučja. Po</w:t>
        <w:softHyphen/>
        <w:t>jam »Christentum« (k.) može se ujedno pri</w:t>
        <w:softHyphen/>
        <w:t>mijeniti kao zbirni pojam za sve što se opće</w:t>
        <w:softHyphen/>
        <w:t>nito osjeća da mu na bilo koji način pripada, uključujući i društveni fenomen kao takav; u užem smislu podrazumijeva u pravilu kršćan</w:t>
        <w:softHyphen/>
        <w:t>sko vjersko učenje kao i niz određenih načina ponašanja (npr. ljubav prema bližnjem), a po</w:t>
        <w:softHyphen/>
        <w:t>vremeno konačno znači sam vjerski sadržaj. U usporedbi s njime pojam »Christenheit« (sve</w:t>
        <w:softHyphen/>
        <w:t>ukupno k.) jednoznačno je utvrđen tj. odnosi se isključivo na kršćansku društvenu zajedni</w:t>
        <w:softHyphen/>
        <w:t>cu. Zanimljivo je da se to u modernim en</w:t>
        <w:softHyphen/>
        <w:t xml:space="preserve">gleskim paralelnim izrazima </w:t>
      </w:r>
      <w:r>
        <w:rPr>
          <w:rFonts w:ascii="Times New Roman" w:eastAsia="Times New Roman" w:hAnsi="Times New Roman" w:cs="Times New Roman"/>
          <w:color w:val="000000"/>
          <w:spacing w:val="0"/>
          <w:w w:val="100"/>
          <w:position w:val="0"/>
          <w:shd w:val="clear" w:color="auto" w:fill="auto"/>
          <w:lang w:val="en-US" w:eastAsia="en-US" w:bidi="en-US"/>
        </w:rPr>
        <w:t xml:space="preserve">»Christianity«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»christendom« </w:t>
      </w:r>
      <w:r>
        <w:rPr>
          <w:rFonts w:ascii="Times New Roman" w:eastAsia="Times New Roman" w:hAnsi="Times New Roman" w:cs="Times New Roman"/>
          <w:color w:val="000000"/>
          <w:spacing w:val="0"/>
          <w:w w:val="100"/>
          <w:position w:val="0"/>
          <w:shd w:val="clear" w:color="auto" w:fill="auto"/>
          <w:lang w:val="hr-HR" w:eastAsia="hr-HR" w:bidi="hr-HR"/>
        </w:rPr>
        <w:t xml:space="preserve">ponaša sasvim obrnuto, iako bismo po jezičnom osjećaju mogli očekivati da se »Christentum« prevede s </w:t>
      </w:r>
      <w:r>
        <w:rPr>
          <w:rFonts w:ascii="Times New Roman" w:eastAsia="Times New Roman" w:hAnsi="Times New Roman" w:cs="Times New Roman"/>
          <w:color w:val="000000"/>
          <w:spacing w:val="0"/>
          <w:w w:val="100"/>
          <w:position w:val="0"/>
          <w:shd w:val="clear" w:color="auto" w:fill="auto"/>
          <w:lang w:val="en-US" w:eastAsia="en-US" w:bidi="en-US"/>
        </w:rPr>
        <w:t xml:space="preserve">»christendom«. </w:t>
      </w:r>
      <w:r>
        <w:rPr>
          <w:rFonts w:ascii="Times New Roman" w:eastAsia="Times New Roman" w:hAnsi="Times New Roman" w:cs="Times New Roman"/>
          <w:color w:val="000000"/>
          <w:spacing w:val="0"/>
          <w:w w:val="100"/>
          <w:position w:val="0"/>
          <w:shd w:val="clear" w:color="auto" w:fill="auto"/>
          <w:lang w:val="hr-HR" w:eastAsia="hr-HR" w:bidi="hr-HR"/>
        </w:rPr>
        <w:t>To bi moglo biti povezano s izrazito drugačijim političkim razvojem Engleske od svršetka sred</w:t>
        <w:softHyphen/>
        <w:t>njega vijeka. U svakom slučaju, oni u srednjo</w:t>
        <w:softHyphen/>
        <w:t xml:space="preserve">vjekovnom latinskom imaju još na početku isto značenje: strana latinizirana grčka riječ »christianismus« i latinski oblik »christianitas«. U vremenu koje slijedi strana se riječ gotovo potpuno povlači ispred druga dva pojma, naime, »fides« i »religio«, čije se značenje ipak ograničava na učenje i život kršćana, a naspram toga »christianitas« stoji još samo za društvene skupine kršćana. - Njemački jezik srednjega vijeka, kao i sadašnji, poznaje dva pojma: »Christentum« ukazuje na jedinstvo vjerskog učenja i života (npr. kod W. von der </w:t>
      </w:r>
      <w:r>
        <w:rPr>
          <w:rFonts w:ascii="Times New Roman" w:eastAsia="Times New Roman" w:hAnsi="Times New Roman" w:cs="Times New Roman"/>
          <w:color w:val="000000"/>
          <w:spacing w:val="0"/>
          <w:w w:val="100"/>
          <w:position w:val="0"/>
          <w:shd w:val="clear" w:color="auto" w:fill="auto"/>
          <w:lang w:val="en-US" w:eastAsia="en-US" w:bidi="en-US"/>
        </w:rPr>
        <w:t xml:space="preserve">Vogelwcidea), </w:t>
      </w:r>
      <w:r>
        <w:rPr>
          <w:rFonts w:ascii="Times New Roman" w:eastAsia="Times New Roman" w:hAnsi="Times New Roman" w:cs="Times New Roman"/>
          <w:color w:val="000000"/>
          <w:spacing w:val="0"/>
          <w:w w:val="100"/>
          <w:position w:val="0"/>
          <w:shd w:val="clear" w:color="auto" w:fill="auto"/>
          <w:lang w:val="hr-HR" w:eastAsia="hr-HR" w:bidi="hr-HR"/>
        </w:rPr>
        <w:t>a »Christenheit« na kršćansku društvenu zajednicu. Kako u pojmu »Chris</w:t>
        <w:softHyphen/>
        <w:t xml:space="preserve">tenheit«, prema srednjovjekovnom osjećaju, </w:t>
      </w:r>
      <w:r>
        <w:rPr>
          <w:rFonts w:ascii="Times New Roman" w:eastAsia="Times New Roman" w:hAnsi="Times New Roman" w:cs="Times New Roman"/>
          <w:color w:val="000000"/>
          <w:spacing w:val="0"/>
          <w:w w:val="100"/>
          <w:position w:val="0"/>
          <w:shd w:val="clear" w:color="auto" w:fill="auto"/>
          <w:lang w:val="hr-HR" w:eastAsia="hr-HR" w:bidi="hr-HR"/>
        </w:rPr>
        <w:t>neodoljivo odjekuje ideja o jedinstvenom krš</w:t>
        <w:softHyphen/>
        <w:t xml:space="preserve">ćanskom kraljevstvu, bit će nakon reformacijc odbačen ili korišen s negativnim predznakom. Sam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upotrebljava ga često, ali jasno razlikuje sa sasvim sličnim naumom u toj rije</w:t>
        <w:softHyphen/>
        <w:t>či »duhovno« i »unutarnje« od »tjelesnog« i »izvanjskog«. Kod njega se to razlikovanje ni</w:t>
        <w:softHyphen/>
        <w:t xml:space="preserve">pošto ne pokriva sa suprotnošću »vidljive« i »nevidljive« Crkve, jer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strogo drži do vidljivosti i kod duhovne zajednice. Između »duhovnog« i »tjelesnog« postoji dakle razli</w:t>
        <w:softHyphen/>
        <w:t>ka isto kao i pozitivna povezanost tako da se čak najoštriji prosvjed protiv određenih vanj</w:t>
        <w:softHyphen/>
        <w:t xml:space="preserve">skih oblika pojma »Christenheit« usmjerava samo protiv čiste izvanjskosti i na koncu ima cilj da jasnije dođe do izražaja duhovno k. u tjelesnom.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prema tomu, prihvaća na</w:t>
        <w:softHyphen/>
        <w:t>kanu srednjovjekovnih sekti i reformnih po</w:t>
        <w:softHyphen/>
        <w:t>kreta, koja je dovela do ponovnog oživljavanja potisnutog pojma »christianismus«. Ali ta se riječ ne prevodi u njemačkom s »Christenheit« nego s »Christentum«, pa na taj način nje</w:t>
        <w:softHyphen/>
        <w:t>mačka riječ ne dobiva samo sadržajno nove crte, nego povrh toga doživljava još i prom</w:t>
        <w:softHyphen/>
        <w:t>jenu funkcije bremenitu posljedicama. U skla</w:t>
        <w:softHyphen/>
        <w:t>du sa svojim latinskim uzorom manje služi za</w:t>
        <w:softHyphen/>
        <w:t>daći da opiše posebnost onoga što je kršćan</w:t>
        <w:softHyphen/>
        <w:t>sko pred židovstvom, islamom ili poganstvom kao pozadinom, jer je sada više riječ o tome da se, s obzirom na vladajuće crkvene okol</w:t>
        <w:softHyphen/>
        <w:t>nosti, stekne kritički odnos kršćanske zajed</w:t>
        <w:softHyphen/>
        <w:t xml:space="preserve">nice prema samoj sebi. Pojam »Christentum« postaje tako u prvom redu normativan pojam koji opisuje jedan ideal: pravo </w:t>
      </w:r>
      <w:r>
        <w:rPr>
          <w:rFonts w:ascii="Times New Roman" w:eastAsia="Times New Roman" w:hAnsi="Times New Roman" w:cs="Times New Roman"/>
          <w:i/>
          <w:iCs/>
          <w:color w:val="000000"/>
          <w:spacing w:val="0"/>
          <w:w w:val="100"/>
          <w:position w:val="0"/>
          <w:shd w:val="clear" w:color="auto" w:fill="auto"/>
          <w:lang w:val="hr-HR" w:eastAsia="hr-HR" w:bidi="hr-HR"/>
        </w:rPr>
        <w:t>kršćansko</w:t>
      </w:r>
      <w:r>
        <w:rPr>
          <w:rFonts w:ascii="Times New Roman" w:eastAsia="Times New Roman" w:hAnsi="Times New Roman" w:cs="Times New Roman"/>
          <w:color w:val="000000"/>
          <w:spacing w:val="0"/>
          <w:w w:val="100"/>
          <w:position w:val="0"/>
          <w:shd w:val="clear" w:color="auto" w:fill="auto"/>
          <w:lang w:val="hr-HR" w:eastAsia="hr-HR" w:bidi="hr-HR"/>
        </w:rPr>
        <w:t xml:space="preserve"> uče</w:t>
        <w:softHyphen/>
        <w:t xml:space="preserve">nje i istodobno, čak još više, </w:t>
      </w:r>
      <w:r>
        <w:rPr>
          <w:rFonts w:ascii="Times New Roman" w:eastAsia="Times New Roman" w:hAnsi="Times New Roman" w:cs="Times New Roman"/>
          <w:i/>
          <w:iCs/>
          <w:color w:val="000000"/>
          <w:spacing w:val="0"/>
          <w:w w:val="100"/>
          <w:position w:val="0"/>
          <w:shd w:val="clear" w:color="auto" w:fill="auto"/>
          <w:lang w:val="hr-HR" w:eastAsia="hr-HR" w:bidi="hr-HR"/>
        </w:rPr>
        <w:t>istinski</w:t>
      </w:r>
      <w:r>
        <w:rPr>
          <w:rFonts w:ascii="Times New Roman" w:eastAsia="Times New Roman" w:hAnsi="Times New Roman" w:cs="Times New Roman"/>
          <w:color w:val="000000"/>
          <w:spacing w:val="0"/>
          <w:w w:val="100"/>
          <w:position w:val="0"/>
          <w:shd w:val="clear" w:color="auto" w:fill="auto"/>
          <w:lang w:val="hr-HR" w:eastAsia="hr-HR" w:bidi="hr-HR"/>
        </w:rPr>
        <w:t xml:space="preserve"> kršćanski život.</w:t>
      </w:r>
    </w:p>
    <w:p>
      <w:pPr>
        <w:pStyle w:val="Style20"/>
        <w:keepNext w:val="0"/>
        <w:keepLines w:val="0"/>
        <w:widowControl w:val="0"/>
        <w:shd w:val="clear" w:color="auto" w:fill="auto"/>
        <w:bidi w:val="0"/>
        <w:spacing w:before="0" w:after="0"/>
        <w:ind w:left="0" w:right="0" w:firstLine="0"/>
        <w:jc w:val="both"/>
        <w:sectPr>
          <w:headerReference w:type="default" r:id="rId661"/>
          <w:footerReference w:type="default" r:id="rId662"/>
          <w:headerReference w:type="even" r:id="rId663"/>
          <w:footerReference w:type="even" r:id="rId664"/>
          <w:headerReference w:type="first" r:id="rId665"/>
          <w:footerReference w:type="first" r:id="rId666"/>
          <w:footnotePr>
            <w:pos w:val="pageBottom"/>
            <w:numFmt w:val="decimal"/>
            <w:numRestart w:val="continuous"/>
            <w15:footnoteColumns w:val="1"/>
          </w:footnotePr>
          <w:pgSz w:w="6816" w:h="11006"/>
          <w:pgMar w:top="992" w:left="166" w:right="174" w:bottom="453" w:header="0" w:footer="3" w:gutter="0"/>
          <w:cols w:num="2" w:space="14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Tako sveden na zbirni i vodeći pojam onoga što je istinski kršćansko, pojam »Cristcntum« (k.) u daljnjem tijeku svoje povijesti isprva na</w:t>
        <w:softHyphen/>
        <w:t>lazi primjenu osobito u takvim crkvenim i teo</w:t>
        <w:softHyphen/>
        <w:t>loškim strujanjima, koja više-manje radikalno kritiziraju Crkvu i ono što se drži pod pojmom »Christenheit«: u humanističkoj teologiji, u rc- formacijskoj teologiji - posebno u njezinu li</w:t>
        <w:softHyphen/>
        <w:t>jevom krilu (baptizam, spiritualizam), u pije</w:t>
        <w:softHyphen/>
        <w:t>tizmu, u teologiji prosvjetiteljstva. Obrnuto, upravo će ga zato izbjegavati katolička teolo</w:t>
        <w:softHyphen/>
        <w:t>gija, što je razumljivo; tu se umjesto o kršćan</w:t>
        <w:softHyphen/>
        <w:t>stvu radije govori o Crkvi, odnosno o vjeri Crkve. Nesumnjivo se u najistaknutije i naj</w:t>
        <w:softHyphen/>
        <w:t>poznatije primjere toga kritičkog načina prim</w:t>
        <w:softHyphen/>
        <w:t xml:space="preserve">jene toga pojma ubrajaju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kler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Bucher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vom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wahren Christentum</w:t>
      </w:r>
      <w:r>
        <w:rPr>
          <w:rFonts w:ascii="Times New Roman" w:eastAsia="Times New Roman" w:hAnsi="Times New Roman" w:cs="Times New Roman"/>
          <w:color w:val="000000"/>
          <w:spacing w:val="0"/>
          <w:w w:val="100"/>
          <w:position w:val="0"/>
          <w:shd w:val="clear" w:color="auto" w:fill="auto"/>
          <w:lang w:val="en-US" w:eastAsia="en-US" w:bidi="en-US"/>
        </w:rPr>
        <w:t xml:space="preserve"> J. Arndta. </w:t>
      </w:r>
      <w:r>
        <w:rPr>
          <w:rFonts w:ascii="Times New Roman" w:eastAsia="Times New Roman" w:hAnsi="Times New Roman" w:cs="Times New Roman"/>
          <w:color w:val="000000"/>
          <w:spacing w:val="0"/>
          <w:w w:val="100"/>
          <w:position w:val="0"/>
          <w:shd w:val="clear" w:color="auto" w:fill="auto"/>
          <w:lang w:val="hr-HR" w:eastAsia="hr-HR" w:bidi="hr-HR"/>
        </w:rPr>
        <w:t xml:space="preserve">Ta je knjiga objavljena godine </w:t>
      </w:r>
      <w:r>
        <w:rPr>
          <w:rFonts w:ascii="Times New Roman" w:eastAsia="Times New Roman" w:hAnsi="Times New Roman" w:cs="Times New Roman"/>
          <w:color w:val="000000"/>
          <w:spacing w:val="0"/>
          <w:w w:val="100"/>
          <w:position w:val="0"/>
          <w:shd w:val="clear" w:color="auto" w:fill="auto"/>
          <w:lang w:val="en-US" w:eastAsia="en-US" w:bidi="en-US"/>
        </w:rPr>
        <w:t xml:space="preserve">1610. </w:t>
      </w:r>
      <w:r>
        <w:rPr>
          <w:rFonts w:ascii="Times New Roman" w:eastAsia="Times New Roman" w:hAnsi="Times New Roman" w:cs="Times New Roman"/>
          <w:color w:val="000000"/>
          <w:spacing w:val="0"/>
          <w:w w:val="100"/>
          <w:position w:val="0"/>
          <w:shd w:val="clear" w:color="auto" w:fill="auto"/>
          <w:lang w:val="hr-HR" w:eastAsia="hr-HR" w:bidi="hr-HR"/>
        </w:rPr>
        <w:t>i odmah je prevedena na sve europske jezike, pa i niz izvaneurop- skih, kao i 1850. objavljen zapis S. Kierke- gaarda pod pseudonimom »Anticlimacus«: »Vježbanje u kršćanstvu«, koje je u početku trebalo imati značajan naslov: »Pokušaj da se k. (Christentum) uvede u sveukupno k. (Chris- tenheit)«.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Namjera takvih djela i pokreta koji su ih nosili nije se iscrpljivala u optuživanju pojedinih crkvenih nezgoda; riječ je bila zapravo o po</w:t>
        <w:softHyphen/>
        <w:t xml:space="preserve">kušaju da se svaki put iz jedinstvenog načela shvati cjelina onoga što je kršćansko i da se na tom putu od srži stvari razluči ono što je tek stavljeno u prvi plan. Nije slučajno da kod Luthcra, Melanchthona i Buccra iskrsavaju pojmovne konstelacije koje izvrsno izražavaju takav podstrek za sažimanjem: »forma christi- anismi«, </w:t>
      </w:r>
      <w:r>
        <w:rPr>
          <w:rFonts w:ascii="Times New Roman" w:eastAsia="Times New Roman" w:hAnsi="Times New Roman" w:cs="Times New Roman"/>
          <w:color w:val="000000"/>
          <w:spacing w:val="0"/>
          <w:w w:val="100"/>
          <w:position w:val="0"/>
          <w:shd w:val="clear" w:color="auto" w:fill="auto"/>
          <w:lang w:val="en-US" w:eastAsia="en-US" w:bidi="en-US"/>
        </w:rPr>
        <w:t xml:space="preserve">»ratio </w:t>
      </w:r>
      <w:r>
        <w:rPr>
          <w:rFonts w:ascii="Times New Roman" w:eastAsia="Times New Roman" w:hAnsi="Times New Roman" w:cs="Times New Roman"/>
          <w:color w:val="000000"/>
          <w:spacing w:val="0"/>
          <w:w w:val="100"/>
          <w:position w:val="0"/>
          <w:shd w:val="clear" w:color="auto" w:fill="auto"/>
          <w:lang w:val="hr-HR" w:eastAsia="hr-HR" w:bidi="hr-HR"/>
        </w:rPr>
        <w:t xml:space="preserve">christianismi« i konačno 1731. u pismu, koje je Bucer uputio </w:t>
      </w:r>
      <w:r>
        <w:rPr>
          <w:rFonts w:ascii="Times New Roman" w:eastAsia="Times New Roman" w:hAnsi="Times New Roman" w:cs="Times New Roman"/>
          <w:color w:val="000000"/>
          <w:spacing w:val="0"/>
          <w:w w:val="100"/>
          <w:position w:val="0"/>
          <w:shd w:val="clear" w:color="auto" w:fill="auto"/>
          <w:lang w:val="en-US" w:eastAsia="en-US" w:bidi="en-US"/>
        </w:rPr>
        <w:t xml:space="preserve">Zwingliju, </w:t>
      </w:r>
      <w:r>
        <w:rPr>
          <w:rFonts w:ascii="Times New Roman" w:eastAsia="Times New Roman" w:hAnsi="Times New Roman" w:cs="Times New Roman"/>
          <w:color w:val="000000"/>
          <w:spacing w:val="0"/>
          <w:w w:val="100"/>
          <w:position w:val="0"/>
          <w:shd w:val="clear" w:color="auto" w:fill="auto"/>
          <w:lang w:val="hr-HR" w:eastAsia="hr-HR" w:bidi="hr-HR"/>
        </w:rPr>
        <w:t xml:space="preserve">onaj izraz čija je njemačka verzija bila značajna i u budućnosti, naime </w:t>
      </w:r>
      <w:r>
        <w:rPr>
          <w:rFonts w:ascii="Times New Roman" w:eastAsia="Times New Roman" w:hAnsi="Times New Roman" w:cs="Times New Roman"/>
          <w:color w:val="000000"/>
          <w:spacing w:val="0"/>
          <w:w w:val="100"/>
          <w:position w:val="0"/>
          <w:shd w:val="clear" w:color="auto" w:fill="auto"/>
          <w:lang w:val="en-US" w:eastAsia="en-US" w:bidi="en-US"/>
        </w:rPr>
        <w:t xml:space="preserve">»substantia </w:t>
      </w:r>
      <w:r>
        <w:rPr>
          <w:rFonts w:ascii="Times New Roman" w:eastAsia="Times New Roman" w:hAnsi="Times New Roman" w:cs="Times New Roman"/>
          <w:color w:val="000000"/>
          <w:spacing w:val="0"/>
          <w:w w:val="100"/>
          <w:position w:val="0"/>
          <w:shd w:val="clear" w:color="auto" w:fill="auto"/>
          <w:lang w:val="hr-HR" w:eastAsia="hr-HR" w:bidi="hr-HR"/>
        </w:rPr>
        <w:t>christianismi«. Za njegov ponjemčen oblik nudili su se od</w:t>
        <w:softHyphen/>
        <w:t xml:space="preserve">mah mnogi izrazi, srodni po smislu, a svi su skupa potjecali iz jezičnog blaga pijetizma i/ili teologije prosvjetiteljstva: »čisto«, »pravo«, »općenito«, »pošteno« k. U stvari, probio se ipak drugi sklop riječi, koji je možda već 1725. skovao Zinzendorf, ali u svakom slučaju oko 1770. (npr. kod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J. Spaldinga, predstavnika fzv. neologijc, kao i kod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S. Semlera, pokre</w:t>
        <w:softHyphen/>
        <w:t>tača povijesno-kritičke teologije) javlja se kao stalni teološki termin: obrazac o ‘biti kršćan</w:t>
        <w:softHyphen/>
        <w:t>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tom obrascu prikriveno pitanje, što je krš</w:t>
        <w:softHyphen/>
        <w:t>ćanstvu bitno i što se zato treba odijeliti od njegovih samo vanjskih sastavnih dijelova ili vidljivih oblika, zaokuplja dakle u jednakoj mje</w:t>
        <w:softHyphen/>
        <w:t>ri spiritualizam, pijetizam i teologiju prosvje</w:t>
        <w:softHyphen/>
        <w:t>titeljstva. Odgovori na to pitanje ispadaju u pojedinačnom, na temelju raznih pretpostav</w:t>
        <w:softHyphen/>
        <w:t>ki, vrlo različiti, ali, s druge strane, dotični odgovori pokazuju i sasvim zajedničke crte u kojima se odražavaju oba najveća izazova s kojima se susreće postrcformacijska teologija: crkveni raskol i prosvjetiteljstvo.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Gledano pod tim kutom, najprije upada u oči da kod pokušaja formuliranja onoga što je bit</w:t>
        <w:softHyphen/>
        <w:t>no kršćansko isto tako malu ulogu igra cilj da se institucionalno ponovno ujedine rastavlje</w:t>
        <w:softHyphen/>
        <w:t xml:space="preserve">ne crkve kao i metoda naučnih medukonlc- </w:t>
      </w:r>
      <w:r>
        <w:rPr>
          <w:rFonts w:ascii="Times New Roman" w:eastAsia="Times New Roman" w:hAnsi="Times New Roman" w:cs="Times New Roman"/>
          <w:color w:val="000000"/>
          <w:spacing w:val="0"/>
          <w:w w:val="100"/>
          <w:position w:val="0"/>
          <w:shd w:val="clear" w:color="auto" w:fill="auto"/>
          <w:lang w:val="hr-HR" w:eastAsia="hr-HR" w:bidi="hr-HR"/>
        </w:rPr>
        <w:t xml:space="preserve">sionalnih razgovora koja se s tim ciljem treba povezati. U tome se s izvjesnošću zrcali mučno iskustvo promašaja sveukupnih napora oko ponovnog ujedinjenja, potpunog neuspjeha npr. irenike i teologije posredovanja u njihovu traganju za sastavnim dijelom učenja koje još uvijek povezuje konfesije (npr. u smislu: </w:t>
      </w:r>
      <w:r>
        <w:rPr>
          <w:rFonts w:ascii="Times New Roman" w:eastAsia="Times New Roman" w:hAnsi="Times New Roman" w:cs="Times New Roman"/>
          <w:color w:val="000000"/>
          <w:spacing w:val="0"/>
          <w:w w:val="100"/>
          <w:position w:val="0"/>
          <w:shd w:val="clear" w:color="auto" w:fill="auto"/>
          <w:lang w:val="en-US" w:eastAsia="en-US" w:bidi="en-US"/>
        </w:rPr>
        <w:t>»Con</w:t>
        <w:softHyphen/>
        <w:t xml:space="preserve">sensus quinquesaecularis« </w:t>
      </w:r>
      <w:r>
        <w:rPr>
          <w:rFonts w:ascii="Times New Roman" w:eastAsia="Times New Roman" w:hAnsi="Times New Roman" w:cs="Times New Roman"/>
          <w:color w:val="000000"/>
          <w:spacing w:val="0"/>
          <w:w w:val="100"/>
          <w:position w:val="0"/>
          <w:shd w:val="clear" w:color="auto" w:fill="auto"/>
          <w:lang w:val="hr-HR" w:eastAsia="hr-HR" w:bidi="hr-HR"/>
        </w:rPr>
        <w:t xml:space="preserve">G. </w:t>
      </w:r>
      <w:r>
        <w:rPr>
          <w:rFonts w:ascii="Times New Roman" w:eastAsia="Times New Roman" w:hAnsi="Times New Roman" w:cs="Times New Roman"/>
          <w:color w:val="000000"/>
          <w:spacing w:val="0"/>
          <w:w w:val="100"/>
          <w:position w:val="0"/>
          <w:shd w:val="clear" w:color="auto" w:fill="auto"/>
          <w:lang w:val="en-US" w:eastAsia="en-US" w:bidi="en-US"/>
        </w:rPr>
        <w:t xml:space="preserve">Calixta) </w:t>
      </w:r>
      <w:r>
        <w:rPr>
          <w:rFonts w:ascii="Times New Roman" w:eastAsia="Times New Roman" w:hAnsi="Times New Roman" w:cs="Times New Roman"/>
          <w:color w:val="000000"/>
          <w:spacing w:val="0"/>
          <w:w w:val="100"/>
          <w:position w:val="0"/>
          <w:shd w:val="clear" w:color="auto" w:fill="auto"/>
          <w:lang w:val="hr-HR" w:eastAsia="hr-HR" w:bidi="hr-HR"/>
        </w:rPr>
        <w:t>ili za nekim »fundamentalnim člancima« koji bi bili dostatni kao osnova za pomirenje. Pa ipak, važan razlog leži mnogo dublje i dotiče razu</w:t>
        <w:softHyphen/>
        <w:t>mijevanje kako crkvenog raskola tako i eku</w:t>
        <w:softHyphen/>
        <w:t>menske ideje. Odlučujuće je odvraćanje od dvaju temeljnih načela tradicije, raskid s pri</w:t>
        <w:softHyphen/>
        <w:t>matom učenja naspram života i s primatom crkvene institucije naspram vjerujućeg poje</w:t>
        <w:softHyphen/>
        <w:t>dinca. Oboje uzeto zajedno lišavaju utemelje- nosti pravo na istinu, koje konfesije prisvajaju, i oduzimaju težinu naumu da dođe do korpo</w:t>
        <w:softHyphen/>
        <w:t>rativnog ponovnog ujedinjavanja. Umjesto za</w:t>
        <w:softHyphen/>
        <w:t>misli o vidljivom organizacijskom jedinstvu sve</w:t>
        <w:softHyphen/>
        <w:t>ukupnoga kršćanstva, nastupa vizija univer</w:t>
        <w:softHyphen/>
        <w:t>zalnoga bratstva živih kršćana svih konfesija, koje se (više) ne izgrađuje na zajedničkom pridržavanju određenih dogmi ili vjerovanja nego na zajedničkom doživljavanju vjernika kao djece Božje. Tome kao nužni preduvjet odgovara unutarnja obnova, »duhovno buđe</w:t>
        <w:softHyphen/>
        <w:t>nje« pojedinca iz čega izvire ćudoredno i mi</w:t>
        <w:softHyphen/>
        <w:t>sionarsko djelovanje u kojima se osjeća ob</w:t>
        <w:softHyphen/>
        <w:t>veza prema kraljevstvu Božjem i njegovu ši</w:t>
        <w:softHyphen/>
        <w:t>renju. Upravo u to treba biti uključena »bit« kršćanstva.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shvaćanje vidljivo obilježava duboki rez u povijesti načina kako je k. govorilo samo o sebi. Doduše, korijeni tog shvaćanja sežu du</w:t>
        <w:softHyphen/>
        <w:t>boko u srednji vijek i još dalje, ali ako gle</w:t>
        <w:softHyphen/>
        <w:t>damo iz današnjega motrišta, ipak je jasno da se dojmljiva odlučnost kojom su tradicionalni impulsi i elementi utkani u cjelinu može zah</w:t>
        <w:softHyphen/>
        <w:t>valiti sučeljavanju s prosvjetiteljstvom i da ju je ono posredovalo. Stoga je važno uvidjeti da se s početkom prosvjetiteljstva stvara drugi krak povijesti pojma koji je u svojoj poseb</w:t>
        <w:softHyphen/>
        <w:t>nosti obilježen upravo naumom i naporom da se stekne primjereno razumijevanje kršćanstva neovisno o svim teološkim pretpostavkama.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Prvi dosljedni teoretski prodor u tom pravcu povela je racionalistička filozofija religije XVII. i XVIII. stoljeća (H. </w:t>
      </w:r>
      <w:r>
        <w:rPr>
          <w:rFonts w:ascii="Times New Roman" w:eastAsia="Times New Roman" w:hAnsi="Times New Roman" w:cs="Times New Roman"/>
          <w:color w:val="000000"/>
          <w:spacing w:val="0"/>
          <w:w w:val="100"/>
          <w:position w:val="0"/>
          <w:shd w:val="clear" w:color="auto" w:fill="auto"/>
          <w:lang w:val="en-US" w:eastAsia="en-US" w:bidi="en-US"/>
        </w:rPr>
        <w:t xml:space="preserve">von Chcrbury, Bcrkcly. J. Locke, Voltaire, J. J. Rousseau, H. S. Reima- rus, G. E. Lessing, I. Kant). </w:t>
      </w:r>
      <w:r>
        <w:rPr>
          <w:rFonts w:ascii="Times New Roman" w:eastAsia="Times New Roman" w:hAnsi="Times New Roman" w:cs="Times New Roman"/>
          <w:color w:val="000000"/>
          <w:spacing w:val="0"/>
          <w:w w:val="100"/>
          <w:position w:val="0"/>
          <w:shd w:val="clear" w:color="auto" w:fill="auto"/>
          <w:lang w:val="hr-HR" w:eastAsia="hr-HR" w:bidi="hr-HR"/>
        </w:rPr>
        <w:t xml:space="preserve">Ona dobrim </w:t>
      </w:r>
      <w:r>
        <w:rPr>
          <w:rFonts w:ascii="Times New Roman" w:eastAsia="Times New Roman" w:hAnsi="Times New Roman" w:cs="Times New Roman"/>
          <w:color w:val="000000"/>
          <w:spacing w:val="0"/>
          <w:w w:val="100"/>
          <w:position w:val="0"/>
          <w:shd w:val="clear" w:color="auto" w:fill="auto"/>
          <w:lang w:val="en-US" w:eastAsia="en-US" w:bidi="en-US"/>
        </w:rPr>
        <w:t xml:space="preserve">dije- </w:t>
      </w:r>
      <w:r>
        <w:rPr>
          <w:rFonts w:ascii="Times New Roman" w:eastAsia="Times New Roman" w:hAnsi="Times New Roman" w:cs="Times New Roman"/>
          <w:color w:val="000000"/>
          <w:spacing w:val="0"/>
          <w:w w:val="100"/>
          <w:position w:val="0"/>
          <w:shd w:val="clear" w:color="auto" w:fill="auto"/>
          <w:lang w:val="hr-HR" w:eastAsia="hr-HR" w:bidi="hr-HR"/>
        </w:rPr>
        <w:t>lom nastaje kao posljedica onog širenja hori</w:t>
        <w:softHyphen/>
        <w:t>zonta koje je europska kulturna svijest osjetila zahvaljujući prekomorskim plovidbama XV. i XVI. stoljeća. Spoznaja da uz k„ židovstvo i islam postoji još obilje samosvojnih oblika vjerovanja i kulta, najprije je dovela do pre</w:t>
        <w:softHyphen/>
        <w:t>dodžbe koja je tipična za prosvjetiteljstvo, do predodžbe da se »u« mnogostrukim religija</w:t>
        <w:softHyphen/>
        <w:t>ma odnosno »iza« njih skriva supstancija koja je svima zajednička: »religio naturalis«. Ta »pri</w:t>
        <w:softHyphen/>
        <w:t>rodna religija« čini, prema općem gledištu, naj- unutarnjiju srž, »bit« svih faktički postojećih tj. »pozitivnih« religija koje se sve skupa pozi</w:t>
        <w:softHyphen/>
        <w:t>vaju na izvor objave. Ta »bit« dosiže dakle u pozitivnim religijama samo pojavu koja se može primijetiti osjetilima. Prema sadržaju, prirodna se religija poklapa - i u tome leži ra- cionalistička komponenta toga tumačenja - s naravnom spoznajom Boga kako je ona sva</w:t>
        <w:softHyphen/>
        <w:t>kom čovjeku njegovim razumom moguća i ka</w:t>
        <w:softHyphen/>
        <w:t>ko mu se pokazuje poglavito u prirodnom ću</w:t>
        <w:softHyphen/>
        <w:t>dorednom zakonu. Zato samo kao vidljivi ob</w:t>
        <w:softHyphen/>
        <w:t>lici ove »razumske religije« (Kant) pozitivne religije objave ne mogu nipošto postavljati pravo na priopćavanje bilo kakve istine o Bo</w:t>
        <w:softHyphen/>
        <w:t>gu koja ne bi bila načelno dostupna razumu kao takvom; one mnogo više potvrđuju pravo na istinu koje razumska spoznaja Boga polaže sama po sebi. - Tako, u načelu, postaje su</w:t>
        <w:softHyphen/>
        <w:t>višna ideja posebne Božje objave i u dvostru</w:t>
        <w:softHyphen/>
        <w:t>kom se pogledu ograničava pravo na valjanost pozitivne religije: s jedne je strane prostorno ograničena na krug osoba koje vjeruju u do</w:t>
        <w:softHyphen/>
        <w:t>tičnu Božju objavu, a s druge je strane vre</w:t>
        <w:softHyphen/>
        <w:t>menski ograničena na prijelazni stadij koji je uvjetovan čovjekovom još nedostatno izgrađe</w:t>
        <w:softHyphen/>
        <w:t>nom moći shvaćanja, i na koncu koje se čovjek oslobađa od svih izvanjskih autoriteta, pa tako i od svoje ovisnosti o religijama objave, da bi se podložio samo autoritetu razuma koji je sa</w:t>
        <w:softHyphen/>
        <w:t>mom čovjeku svojstven.</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 redoslijed odgovara Božjoj pedagogiji: »U odgoju ljudskoga roda« mora »dječačka dob« napredovati do muževne dobi kada se iskustvo Boga ne može dalje »propovijedati kao obja</w:t>
        <w:softHyphen/>
        <w:t>va« nego učiti »kao rezultat čovjekovih zaklju</w:t>
        <w:softHyphen/>
        <w:t xml:space="preserve">čaka« (G. E. </w:t>
      </w:r>
      <w:r>
        <w:rPr>
          <w:rFonts w:ascii="Times New Roman" w:eastAsia="Times New Roman" w:hAnsi="Times New Roman" w:cs="Times New Roman"/>
          <w:color w:val="000000"/>
          <w:spacing w:val="0"/>
          <w:w w:val="100"/>
          <w:position w:val="0"/>
          <w:shd w:val="clear" w:color="auto" w:fill="auto"/>
          <w:lang w:val="en-US" w:eastAsia="en-US" w:bidi="en-US"/>
        </w:rPr>
        <w:t>Lessing).</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Usmjerena tako na cilj dozrijevanja preko prosvjetiteljstva i na cilj čovjekova oslobađa</w:t>
        <w:softHyphen/>
        <w:t>nja od »nezrelosti za koju je sam kriv« (Kant), prosvjetiteljska filozofija religije nastupa na</w:t>
        <w:softHyphen/>
        <w:t xml:space="preserve">čelno kritički prema navedenim religijama i </w:t>
      </w:r>
      <w:r>
        <w:rPr>
          <w:rFonts w:ascii="Times New Roman" w:eastAsia="Times New Roman" w:hAnsi="Times New Roman" w:cs="Times New Roman"/>
          <w:color w:val="000000"/>
          <w:spacing w:val="0"/>
          <w:w w:val="100"/>
          <w:position w:val="0"/>
          <w:shd w:val="clear" w:color="auto" w:fill="auto"/>
          <w:lang w:val="hr-HR" w:eastAsia="hr-HR" w:bidi="hr-HR"/>
        </w:rPr>
        <w:t>zahtijeva da se upravo na taj način shvaća i izražava njihova srž. U odnosu na k. to znači: »Vjera u Crkvu ima kao svoj najviši potporanj čistu vjeru u religiju« (Kant). Razumska reli</w:t>
        <w:softHyphen/>
        <w:t>gija rastvara dakle crkveno shvaćeno k. kao takvo, a time i njegove konfesionalne posebne oblike i to zato jer konstitutivno vezanje uz samo vanjski autoritet objave, Pisma, vjerova</w:t>
        <w:softHyphen/>
        <w:t>nja i dogme, bezuvjetno osuđuje crkveno k. na partikularnost. Samo razumska religija kao usidrena u čovjekovu narav može stvarno pos</w:t>
        <w:softHyphen/>
        <w:t>tati ono što bi Crkva rado željela biti, ali kao Crkva nikada ne može biti: »katolička« u smis</w:t>
        <w:softHyphen/>
        <w:t>lu istinski univerzalnoga. Stoga poradi zahtje</w:t>
        <w:softHyphen/>
        <w:t>va za općenitošću kršćanske istine mora izum</w:t>
        <w:softHyphen/>
        <w:t>rijeti crkveno k. u korist zajedništva slobodnih građana koje više ne poznaje razliku između klera i laika, a stvara se slobodnim čovjekovim pokoravanjem volji božanskoga svjetskoga Gospodara koji se obznanjuje u prirodnom moralnom zakonu. »Prava Crkva« je »božan</w:t>
        <w:softHyphen/>
        <w:t>ski etička država« i njezino širenje, njezino javno promicanje znači »približavanje kraljev</w:t>
        <w:softHyphen/>
        <w:t>stva Božjega« (Kant).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Religijska teorija prosvjetiteljstva dosljedno se javlja, ostavljajući dobar dojam, pa je usli</w:t>
        <w:softHyphen/>
        <w:t>jed toga naknadno utjecala na teološko miš</w:t>
        <w:softHyphen/>
        <w:t>ljenje. Od rane prosvjetiteljske teologije (npr.</w:t>
      </w:r>
    </w:p>
    <w:p>
      <w:pPr>
        <w:pStyle w:val="Style20"/>
        <w:keepNext w:val="0"/>
        <w:keepLines w:val="0"/>
        <w:widowControl w:val="0"/>
        <w:shd w:val="clear" w:color="auto" w:fill="auto"/>
        <w:tabs>
          <w:tab w:pos="241"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J.</w:t>
        <w:tab/>
        <w:t xml:space="preserve">Locke, J. Toland, </w:t>
      </w:r>
      <w:r>
        <w:rPr>
          <w:rFonts w:ascii="Times New Roman" w:eastAsia="Times New Roman" w:hAnsi="Times New Roman" w:cs="Times New Roman"/>
          <w:color w:val="000000"/>
          <w:spacing w:val="0"/>
          <w:w w:val="100"/>
          <w:position w:val="0"/>
          <w:shd w:val="clear" w:color="auto" w:fill="auto"/>
          <w:lang w:val="hr-HR" w:eastAsia="hr-HR" w:bidi="hr-HR"/>
        </w:rPr>
        <w:t xml:space="preserve">M. Tindal) preko neolo- gije (npr. </w:t>
      </w:r>
      <w:r>
        <w:rPr>
          <w:rFonts w:ascii="Times New Roman" w:eastAsia="Times New Roman" w:hAnsi="Times New Roman" w:cs="Times New Roman"/>
          <w:color w:val="000000"/>
          <w:spacing w:val="0"/>
          <w:w w:val="100"/>
          <w:position w:val="0"/>
          <w:shd w:val="clear" w:color="auto" w:fill="auto"/>
          <w:lang w:val="en-US" w:eastAsia="en-US" w:bidi="en-US"/>
        </w:rPr>
        <w:t xml:space="preserve">J. J. Spalding, J. </w:t>
      </w:r>
      <w:r>
        <w:rPr>
          <w:rFonts w:ascii="Times New Roman" w:eastAsia="Times New Roman" w:hAnsi="Times New Roman" w:cs="Times New Roman"/>
          <w:color w:val="000000"/>
          <w:spacing w:val="0"/>
          <w:w w:val="100"/>
          <w:position w:val="0"/>
          <w:shd w:val="clear" w:color="auto" w:fill="auto"/>
          <w:lang w:val="hr-HR" w:eastAsia="hr-HR" w:bidi="hr-HR"/>
        </w:rPr>
        <w:t xml:space="preserve">F. </w:t>
      </w:r>
      <w:r>
        <w:rPr>
          <w:rFonts w:ascii="Times New Roman" w:eastAsia="Times New Roman" w:hAnsi="Times New Roman" w:cs="Times New Roman"/>
          <w:color w:val="000000"/>
          <w:spacing w:val="0"/>
          <w:w w:val="100"/>
          <w:position w:val="0"/>
          <w:shd w:val="clear" w:color="auto" w:fill="auto"/>
          <w:lang w:val="en-US" w:eastAsia="en-US" w:bidi="en-US"/>
        </w:rPr>
        <w:t xml:space="preserve">W. Jerusalem), </w:t>
      </w:r>
      <w:r>
        <w:rPr>
          <w:rFonts w:ascii="Times New Roman" w:eastAsia="Times New Roman" w:hAnsi="Times New Roman" w:cs="Times New Roman"/>
          <w:color w:val="000000"/>
          <w:spacing w:val="0"/>
          <w:w w:val="100"/>
          <w:position w:val="0"/>
          <w:shd w:val="clear" w:color="auto" w:fill="auto"/>
          <w:lang w:val="hr-HR" w:eastAsia="hr-HR" w:bidi="hr-HR"/>
        </w:rPr>
        <w:t xml:space="preserve">spiritualizma (npr. S. </w:t>
      </w:r>
      <w:r>
        <w:rPr>
          <w:rFonts w:ascii="Times New Roman" w:eastAsia="Times New Roman" w:hAnsi="Times New Roman" w:cs="Times New Roman"/>
          <w:color w:val="000000"/>
          <w:spacing w:val="0"/>
          <w:w w:val="100"/>
          <w:position w:val="0"/>
          <w:shd w:val="clear" w:color="auto" w:fill="auto"/>
          <w:lang w:val="en-US" w:eastAsia="en-US" w:bidi="en-US"/>
        </w:rPr>
        <w:t xml:space="preserve">Franck, J. </w:t>
      </w:r>
      <w:r>
        <w:rPr>
          <w:rFonts w:ascii="Times New Roman" w:eastAsia="Times New Roman" w:hAnsi="Times New Roman" w:cs="Times New Roman"/>
          <w:color w:val="000000"/>
          <w:spacing w:val="0"/>
          <w:w w:val="100"/>
          <w:position w:val="0"/>
          <w:shd w:val="clear" w:color="auto" w:fill="auto"/>
          <w:lang w:val="hr-HR" w:eastAsia="hr-HR" w:bidi="hr-HR"/>
        </w:rPr>
        <w:t xml:space="preserve">K. </w:t>
      </w:r>
      <w:r>
        <w:rPr>
          <w:rFonts w:ascii="Times New Roman" w:eastAsia="Times New Roman" w:hAnsi="Times New Roman" w:cs="Times New Roman"/>
          <w:color w:val="000000"/>
          <w:spacing w:val="0"/>
          <w:w w:val="100"/>
          <w:position w:val="0"/>
          <w:shd w:val="clear" w:color="auto" w:fill="auto"/>
          <w:lang w:val="en-US" w:eastAsia="en-US" w:bidi="en-US"/>
        </w:rPr>
        <w:t xml:space="preserve">Dippel) </w:t>
      </w:r>
      <w:r>
        <w:rPr>
          <w:rFonts w:ascii="Times New Roman" w:eastAsia="Times New Roman" w:hAnsi="Times New Roman" w:cs="Times New Roman"/>
          <w:color w:val="000000"/>
          <w:spacing w:val="0"/>
          <w:w w:val="100"/>
          <w:position w:val="0"/>
          <w:shd w:val="clear" w:color="auto" w:fill="auto"/>
          <w:lang w:val="hr-HR" w:eastAsia="hr-HR" w:bidi="hr-HR"/>
        </w:rPr>
        <w:t xml:space="preserve">i pijetizma (npr. </w:t>
      </w:r>
      <w:r>
        <w:rPr>
          <w:rFonts w:ascii="Times New Roman" w:eastAsia="Times New Roman" w:hAnsi="Times New Roman" w:cs="Times New Roman"/>
          <w:color w:val="000000"/>
          <w:spacing w:val="0"/>
          <w:w w:val="100"/>
          <w:position w:val="0"/>
          <w:shd w:val="clear" w:color="auto" w:fill="auto"/>
          <w:lang w:val="en-US" w:eastAsia="en-US" w:bidi="en-US"/>
        </w:rPr>
        <w:t xml:space="preserve">J. Arndt, </w:t>
      </w:r>
      <w:r>
        <w:rPr>
          <w:rFonts w:ascii="Times New Roman" w:eastAsia="Times New Roman" w:hAnsi="Times New Roman" w:cs="Times New Roman"/>
          <w:color w:val="000000"/>
          <w:spacing w:val="0"/>
          <w:w w:val="100"/>
          <w:position w:val="0"/>
          <w:shd w:val="clear" w:color="auto" w:fill="auto"/>
          <w:lang w:val="hr-HR" w:eastAsia="hr-HR" w:bidi="hr-HR"/>
        </w:rPr>
        <w:t xml:space="preserve">G. </w:t>
      </w:r>
      <w:r>
        <w:rPr>
          <w:rFonts w:ascii="Times New Roman" w:eastAsia="Times New Roman" w:hAnsi="Times New Roman" w:cs="Times New Roman"/>
          <w:color w:val="000000"/>
          <w:spacing w:val="0"/>
          <w:w w:val="100"/>
          <w:position w:val="0"/>
          <w:shd w:val="clear" w:color="auto" w:fill="auto"/>
          <w:lang w:val="en-US" w:eastAsia="en-US" w:bidi="en-US"/>
        </w:rPr>
        <w:t xml:space="preserve">Arnold) </w:t>
      </w:r>
      <w:r>
        <w:rPr>
          <w:rFonts w:ascii="Times New Roman" w:eastAsia="Times New Roman" w:hAnsi="Times New Roman" w:cs="Times New Roman"/>
          <w:color w:val="000000"/>
          <w:spacing w:val="0"/>
          <w:w w:val="100"/>
          <w:position w:val="0"/>
          <w:shd w:val="clear" w:color="auto" w:fill="auto"/>
          <w:lang w:val="hr-HR" w:eastAsia="hr-HR" w:bidi="hr-HR"/>
        </w:rPr>
        <w:t>pokazuje se višc-manjc snažno izražena sklonost da se pojam kršćanstva etizira i oslobodi svog od</w:t>
        <w:softHyphen/>
        <w:t>nosa prema socijalnoj stvarnosti kršćanskih crkava, odnosno konfesija. Oba motiva za- pažaju se još u ekumenskim nastojanjima na kraju XIX. i na početku XX. stoljeća: u kru</w:t>
        <w:softHyphen/>
        <w:t>govima Kršćanskoga studentskog svjetskog sa</w:t>
        <w:softHyphen/>
        <w:t>veza i Kršćanske udruge mladih muževa eku</w:t>
        <w:softHyphen/>
        <w:t>menski je impuls očigledno obojan kritički prema konfesijama, dok se moderni ekumen</w:t>
        <w:softHyphen/>
        <w:t>ski pokret, započet svjetskom misijskom Kon</w:t>
        <w:softHyphen/>
        <w:t>ferencijom u Edinburghu, godine 1910. usmje</w:t>
        <w:softHyphen/>
        <w:t>rava pretežito na konfesije kao na nešto samo po sebi razumljivo. Osobito jasno izlazi na vi</w:t>
        <w:softHyphen/>
        <w:t>djelo utjecaj prosvjetiteljstva u sustavnim ski</w:t>
        <w:softHyphen/>
        <w:t>cama takozvane liberalne teologije koju je za</w:t>
        <w:softHyphen/>
        <w:t>počeo F. Schleiermacher, preko F. Chr. Baura i A. Ritschla, sve do gotovo legendarnog pre</w:t>
        <w:softHyphen/>
        <w:t xml:space="preserve">davanja A. von Harnacka o </w:t>
      </w:r>
      <w:r>
        <w:rPr>
          <w:rFonts w:ascii="Times New Roman" w:eastAsia="Times New Roman" w:hAnsi="Times New Roman" w:cs="Times New Roman"/>
          <w:i/>
          <w:iCs/>
          <w:color w:val="000000"/>
          <w:spacing w:val="0"/>
          <w:w w:val="100"/>
          <w:position w:val="0"/>
          <w:shd w:val="clear" w:color="auto" w:fill="auto"/>
          <w:lang w:val="hr-HR" w:eastAsia="hr-HR" w:bidi="hr-HR"/>
        </w:rPr>
        <w:t xml:space="preserve">Biti kričanstva </w:t>
      </w:r>
      <w:r>
        <w:rPr>
          <w:rFonts w:ascii="Times New Roman" w:eastAsia="Times New Roman" w:hAnsi="Times New Roman" w:cs="Times New Roman"/>
          <w:color w:val="000000"/>
          <w:spacing w:val="0"/>
          <w:w w:val="100"/>
          <w:position w:val="0"/>
          <w:shd w:val="clear" w:color="auto" w:fill="auto"/>
          <w:lang w:val="en-US" w:eastAsia="en-US" w:bidi="en-US"/>
        </w:rPr>
        <w:t xml:space="preserve">(Das Wcsen des </w:t>
      </w:r>
      <w:r>
        <w:rPr>
          <w:rFonts w:ascii="Times New Roman" w:eastAsia="Times New Roman" w:hAnsi="Times New Roman" w:cs="Times New Roman"/>
          <w:color w:val="000000"/>
          <w:spacing w:val="0"/>
          <w:w w:val="100"/>
          <w:position w:val="0"/>
          <w:shd w:val="clear" w:color="auto" w:fill="auto"/>
          <w:lang w:val="hr-HR" w:eastAsia="hr-HR" w:bidi="hr-HR"/>
        </w:rPr>
        <w:t xml:space="preserve">Christcntums) koje je prvi </w:t>
      </w:r>
      <w:r>
        <w:rPr>
          <w:rFonts w:ascii="Times New Roman" w:eastAsia="Times New Roman" w:hAnsi="Times New Roman" w:cs="Times New Roman"/>
          <w:color w:val="000000"/>
          <w:spacing w:val="0"/>
          <w:w w:val="100"/>
          <w:position w:val="0"/>
          <w:shd w:val="clear" w:color="auto" w:fill="auto"/>
          <w:lang w:val="hr-HR" w:eastAsia="hr-HR" w:bidi="hr-HR"/>
        </w:rPr>
        <w:t>put objavljeno 1900., a već jc do 1927. če</w:t>
        <w:softHyphen/>
        <w:t>trnaest puta ponovno objavljeno i prevedeno na ukupno četrnaest jezika.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Teološki pokušaji da se k. pojmovno shvati dopuštaju, počam od prosvjetiteljstva, da se gotovo općenito prepozna napor kako bi se još jednom teološki promislilo i opravdalo razlikovanje i mogućnost razlikovanja između kršćanstva i Crkve, dakle da se oboje drži od</w:t>
        <w:softHyphen/>
        <w:t>vojeno i u odnosu jedno prema drugomu (ta</w:t>
        <w:softHyphen/>
        <w:t>ko npr. H. Dicm). Najveću je pozornost u tom smislu pobudila teorija o »anonimnom krš</w:t>
        <w:softHyphen/>
        <w:t xml:space="preserve">ćanstvu«, koju jc formulirao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Ona, kratko rečeno, kaže da se s obzirom na opću spasenjsku Božju volju, mora zamisliti i teo</w:t>
        <w:softHyphen/>
        <w:t>loška antropologija koja se gradi na toj misli da čovjek u svom životnom vijeku prihvaća Božje samopriopćavanje u Isusu Kristu, ali kasnije ne ispunjava ni refleksivno ni tematski to prihvaćanje s ostalima, što znači da izričito ne preuzima na sebe kršćansku vjeru. - Na</w:t>
        <w:softHyphen/>
        <w:t>spram toga teorija o »kršćanstvu izvan Crkve« T. Rendtorffa kreće drugačijim putom. Tu se pretežito radi o tome da se u suprotnosti s takozvanom tezom o sekularizaciji (F. Gogar- ten i dr.) pozitivno ocijeni novovjekovni pro</w:t>
        <w:softHyphen/>
        <w:t>ces sve manje crkvenosti i dogmatiziranosti u kršćanskoj religiji kao unutarnja posljedica rc- formacije. Oslobađanje kršćanstva od njegova isključivo crkvenoga oblika javlja se ovdje kao nužni uvjet da k. postane sposobno preživjeti u modernom društvu koje je u svom demo</w:t>
        <w:softHyphen/>
        <w:t>kratskom i pluralističkom ustrojstvu ostvarilo bitne momente reformacijskog nauma i zato se strukturalno treba shvaćati kao kršćansko, iako se samo (više) ne legitimira crkveno-krš- ćanskom tradicijom kao polazištem.</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sveukupnoj povezanosti tog pojma, koja se nastavlja na prosvjetiteljsku filozofiju religije, naznačena teološka linija u svakom je slučaju isprepletena s dva ostala kraka unutar kojih se uvijek na drugačiji način zaoštrava pitanje, na</w:t>
        <w:softHyphen/>
        <w:t>bačeno već s prosvjetiteljstvom, pitanje o teo</w:t>
        <w:softHyphen/>
        <w:t>retskom temelju tvorbe tog pojma. Pritom se najprije radi o nastavljanju i radikaliziranju re- ligijsko-kritičkog polazišta filozofije prosvjetitelj</w:t>
        <w:softHyphen/>
        <w:t>stva, za koje može paradigmatski stajati zapis</w:t>
      </w:r>
    </w:p>
    <w:p>
      <w:pPr>
        <w:pStyle w:val="Style20"/>
        <w:keepNext w:val="0"/>
        <w:keepLines w:val="0"/>
        <w:widowControl w:val="0"/>
        <w:numPr>
          <w:ilvl w:val="0"/>
          <w:numId w:val="245"/>
        </w:numPr>
        <w:shd w:val="clear" w:color="auto" w:fill="auto"/>
        <w:tabs>
          <w:tab w:pos="260"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Fcuerbacha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Wcscn des </w:t>
      </w:r>
      <w:r>
        <w:rPr>
          <w:rFonts w:ascii="Times New Roman" w:eastAsia="Times New Roman" w:hAnsi="Times New Roman" w:cs="Times New Roman"/>
          <w:i/>
          <w:iCs/>
          <w:color w:val="000000"/>
          <w:spacing w:val="0"/>
          <w:w w:val="100"/>
          <w:position w:val="0"/>
          <w:shd w:val="clear" w:color="auto" w:fill="auto"/>
          <w:lang w:val="hr-HR" w:eastAsia="hr-HR" w:bidi="hr-HR"/>
        </w:rPr>
        <w:t>Christentums</w:t>
      </w:r>
      <w:r>
        <w:rPr>
          <w:rFonts w:ascii="Times New Roman" w:eastAsia="Times New Roman" w:hAnsi="Times New Roman" w:cs="Times New Roman"/>
          <w:color w:val="000000"/>
          <w:spacing w:val="0"/>
          <w:w w:val="100"/>
          <w:position w:val="0"/>
          <w:shd w:val="clear" w:color="auto" w:fill="auto"/>
          <w:lang w:val="hr-HR" w:eastAsia="hr-HR" w:bidi="hr-HR"/>
        </w:rPr>
        <w:t xml:space="preserve"> iz 1841., kao i o religijskoj znanosti koja se zalaže za nezavisnost teologije tako i (religijske) filo</w:t>
        <w:softHyphen/>
        <w:t>zofije koja je vezana uz ime Maxa Mullera.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Feuerbach </w:t>
      </w:r>
      <w:r>
        <w:rPr>
          <w:rFonts w:ascii="Times New Roman" w:eastAsia="Times New Roman" w:hAnsi="Times New Roman" w:cs="Times New Roman"/>
          <w:color w:val="000000"/>
          <w:spacing w:val="0"/>
          <w:w w:val="100"/>
          <w:position w:val="0"/>
          <w:shd w:val="clear" w:color="auto" w:fill="auto"/>
          <w:lang w:val="hr-HR" w:eastAsia="hr-HR" w:bidi="hr-HR"/>
        </w:rPr>
        <w:t>ne izlaže k. u Kantovom i Hcgclo- vom smislu religijsko-filozofski nego ga »deši</w:t>
        <w:softHyphen/>
        <w:t>frira« antropološki. Čovjek je za njega »Krist kao svijest o ljubavi - svijest o vrsti«. »Tajna teologije« razotkriva se u kritičkoj analizi kao zaključani oblik znanja o čovjekovoj biti koji tu bit istodobno objavljuje i prikriva projicira</w:t>
        <w:softHyphen/>
        <w:t>jući je na Boga. Utoliko kršćanska teologija kao teo-logija otuđuje čovjeka od njega sa</w:t>
        <w:softHyphen/>
        <w:t>moga, zbog čega, obrnuto, preuzimanje teo</w:t>
        <w:softHyphen/>
        <w:t xml:space="preserve">loške projekcije u smislu čovjekove samospo- znaje dobiva kritičko-terapeutski smisao. S tom argumentacijskom metaforom, koju će malo kasnije K. </w:t>
      </w:r>
      <w:r>
        <w:rPr>
          <w:rFonts w:ascii="Times New Roman" w:eastAsia="Times New Roman" w:hAnsi="Times New Roman" w:cs="Times New Roman"/>
          <w:color w:val="000000"/>
          <w:spacing w:val="0"/>
          <w:w w:val="100"/>
          <w:position w:val="0"/>
          <w:shd w:val="clear" w:color="auto" w:fill="auto"/>
          <w:lang w:val="en-US" w:eastAsia="en-US" w:bidi="en-US"/>
        </w:rPr>
        <w:t xml:space="preserve">Marx </w:t>
      </w:r>
      <w:r>
        <w:rPr>
          <w:rFonts w:ascii="Times New Roman" w:eastAsia="Times New Roman" w:hAnsi="Times New Roman" w:cs="Times New Roman"/>
          <w:color w:val="000000"/>
          <w:spacing w:val="0"/>
          <w:w w:val="100"/>
          <w:position w:val="0"/>
          <w:shd w:val="clear" w:color="auto" w:fill="auto"/>
          <w:lang w:val="hr-HR" w:eastAsia="hr-HR" w:bidi="hr-HR"/>
        </w:rPr>
        <w:t xml:space="preserve">veličati kao ispunjenje kritike svake religije, </w:t>
      </w:r>
      <w:r>
        <w:rPr>
          <w:rFonts w:ascii="Times New Roman" w:eastAsia="Times New Roman" w:hAnsi="Times New Roman" w:cs="Times New Roman"/>
          <w:color w:val="000000"/>
          <w:spacing w:val="0"/>
          <w:w w:val="100"/>
          <w:position w:val="0"/>
          <w:shd w:val="clear" w:color="auto" w:fill="auto"/>
          <w:lang w:val="en-US" w:eastAsia="en-US" w:bidi="en-US"/>
        </w:rPr>
        <w:t xml:space="preserve">Feuerbach </w:t>
      </w:r>
      <w:r>
        <w:rPr>
          <w:rFonts w:ascii="Times New Roman" w:eastAsia="Times New Roman" w:hAnsi="Times New Roman" w:cs="Times New Roman"/>
          <w:color w:val="000000"/>
          <w:spacing w:val="0"/>
          <w:w w:val="100"/>
          <w:position w:val="0"/>
          <w:shd w:val="clear" w:color="auto" w:fill="auto"/>
          <w:lang w:val="hr-HR" w:eastAsia="hr-HR" w:bidi="hr-HR"/>
        </w:rPr>
        <w:t>u načelu predusreče psihoanalitičko tumačenje religije po S. Freu</w:t>
        <w:softHyphen/>
        <w:t xml:space="preserve">du. Njezina slabost konačno ne počiva na predrasudi, koju </w:t>
      </w:r>
      <w:r>
        <w:rPr>
          <w:rFonts w:ascii="Times New Roman" w:eastAsia="Times New Roman" w:hAnsi="Times New Roman" w:cs="Times New Roman"/>
          <w:color w:val="000000"/>
          <w:spacing w:val="0"/>
          <w:w w:val="100"/>
          <w:position w:val="0"/>
          <w:shd w:val="clear" w:color="auto" w:fill="auto"/>
          <w:lang w:val="en-US" w:eastAsia="en-US" w:bidi="en-US"/>
        </w:rPr>
        <w:t xml:space="preserve">Feuerbach </w:t>
      </w:r>
      <w:r>
        <w:rPr>
          <w:rFonts w:ascii="Times New Roman" w:eastAsia="Times New Roman" w:hAnsi="Times New Roman" w:cs="Times New Roman"/>
          <w:color w:val="000000"/>
          <w:spacing w:val="0"/>
          <w:w w:val="100"/>
          <w:position w:val="0"/>
          <w:shd w:val="clear" w:color="auto" w:fill="auto"/>
          <w:lang w:val="hr-HR" w:eastAsia="hr-HR" w:bidi="hr-HR"/>
        </w:rPr>
        <w:t xml:space="preserve">između ostaloga dijeli s Hegelovom filozofijom religije koju je napadao: Ovdje kao i tamo k. se javlja kao »dovršena religija« </w:t>
      </w:r>
      <w:r>
        <w:rPr>
          <w:rFonts w:ascii="Times New Roman" w:eastAsia="Times New Roman" w:hAnsi="Times New Roman" w:cs="Times New Roman"/>
          <w:color w:val="000000"/>
          <w:spacing w:val="0"/>
          <w:w w:val="100"/>
          <w:position w:val="0"/>
          <w:shd w:val="clear" w:color="auto" w:fill="auto"/>
          <w:lang w:val="en-US" w:eastAsia="en-US" w:bidi="en-US"/>
        </w:rPr>
        <w:t xml:space="preserve">(Hegel), </w:t>
      </w:r>
      <w:r>
        <w:rPr>
          <w:rFonts w:ascii="Times New Roman" w:eastAsia="Times New Roman" w:hAnsi="Times New Roman" w:cs="Times New Roman"/>
          <w:color w:val="000000"/>
          <w:spacing w:val="0"/>
          <w:w w:val="100"/>
          <w:position w:val="0"/>
          <w:shd w:val="clear" w:color="auto" w:fill="auto"/>
          <w:lang w:val="hr-HR" w:eastAsia="hr-HR" w:bidi="hr-HR"/>
        </w:rPr>
        <w:t>kao najviši stu</w:t>
        <w:softHyphen/>
        <w:t>panj u razvojnom kretanju religiozne svijesti. - To su filozofske sheme takve vrste tuma</w:t>
        <w:softHyphen/>
        <w:t>čenja protiv kojih se okreće empirijsko istraži</w:t>
        <w:softHyphen/>
        <w:t>vanje religije koje je nastalo krajem XIX. sto</w:t>
        <w:softHyphen/>
        <w:t>ljeća. Ono zahtijeva da se religije ne uzimaju aprioristički nego na temelju filološki egzakt</w:t>
        <w:softHyphen/>
        <w:t>nog studija izvora i usporedne metode. Re- ligijsko-povijesno gledište povlači se u korist tipološkog i fenomenološkog načina proma</w:t>
        <w:softHyphen/>
        <w:t>tranja koje nastoji shvatiti religije iz njih sa</w:t>
        <w:softHyphen/>
        <w:t>mih i u njihovu međusobnom odnosu, koje pokazuje njihove zajedničke crte, razlike i uzajamna djelovanja, ne dovodeći u pitanje ono što se u religiji samo po sebi razumije - osim ako to zbog zahtjeva za apsolutnošću ne</w:t>
        <w:softHyphen/>
        <w:t>ke određene religije definitivno ne isključuje uvid u njezinu vlastitu povijesnu uvjetovanost. Stoga se, promatrano iz znanstveno-religijske perspektive, otvaraju samo dva metodička pu</w:t>
        <w:softHyphen/>
        <w:t>ta kako bi se odgovorilo na pitanje o »biti« kršćanstva: ili se istraživanje ograničava na to da pokaže osobitost i svojstvenost kršćanstva u usporedbi s ostalim religijama ili se usmje</w:t>
        <w:softHyphen/>
        <w:t>rava na to da pokaže normu koja jc svojstvena samom fenomenu kršćanske religije.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Najsnažnije pretresanje druge mogućnosti na</w:t>
        <w:softHyphen/>
        <w:t>lazi se kod E. Troeltscha i to u njegovim rado</w:t>
        <w:softHyphen/>
        <w:t>vima o »Apsolutnosti kršćanstva i povijesti re</w:t>
        <w:softHyphen/>
        <w:t>ligije« (1902) i u pitanju »Što znači ‘bit’ krš</w:t>
        <w:softHyphen/>
        <w:t>ćanstva?« (1903). Prema Troeltschu rješenje</w:t>
        <w:br w:type="page"/>
      </w:r>
      <w:r>
        <w:rPr>
          <w:rFonts w:ascii="Times New Roman" w:eastAsia="Times New Roman" w:hAnsi="Times New Roman" w:cs="Times New Roman"/>
          <w:color w:val="000000"/>
          <w:spacing w:val="0"/>
          <w:w w:val="100"/>
          <w:position w:val="0"/>
          <w:shd w:val="clear" w:color="auto" w:fill="auto"/>
          <w:lang w:val="hr-HR" w:eastAsia="hr-HR" w:bidi="hr-HR"/>
        </w:rPr>
        <w:t>tog problema uključuje odustajanje od dog</w:t>
        <w:softHyphen/>
        <w:t>matskih prednosti svake vrste, a može se pos</w:t>
        <w:softHyphen/>
        <w:t>tići samo strogo povijesnom spoznajom koja se odnosi na sveukupnu raspoloživu gradu, na kršćansku predaju u njezinoj cijeloj širini i mnogostrukosti njezinih vidljivih oblika i koja se na sve to oslanja. Pa ipak, prema Troelt- sehu, povijesna se spoznaja nipošto ne odvija bez pretpostavki, jer je povijesni rad kao ta</w:t>
        <w:softHyphen/>
        <w:t>kav uvijek nužno vođen sasvim osobno-egzis- tcncijalnim sudom samog povjesničara o vri</w:t>
        <w:softHyphen/>
        <w:t>jednosti ili nevrijednosti fenomena koji treba istražiti naočigled čovjekove povijesne buduć</w:t>
        <w:softHyphen/>
        <w:t>nosti. Zato »pojam apstrakcije«, »bit« kršćan</w:t>
        <w:softHyphen/>
        <w:t>stva, kako se dade izvoditi iz obilja grade kao formuliranje osnovne ideje i ideje vodilje po</w:t>
        <w:softHyphen/>
        <w:t>vijesnog razvoja, prelazi gotovo sam od sebe u »pojam ideala« koji uvodi u daljnji povijesni postupak. Tako po Troeltschu vrijedi: »Odre</w:t>
        <w:softHyphen/>
        <w:t>đivanje biti je oblikovanje biti«.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ovim svojini stajalištem </w:t>
      </w:r>
      <w:r>
        <w:rPr>
          <w:rFonts w:ascii="Times New Roman" w:eastAsia="Times New Roman" w:hAnsi="Times New Roman" w:cs="Times New Roman"/>
          <w:color w:val="000000"/>
          <w:spacing w:val="0"/>
          <w:w w:val="100"/>
          <w:position w:val="0"/>
          <w:shd w:val="clear" w:color="auto" w:fill="auto"/>
          <w:lang w:val="en-US" w:eastAsia="en-US" w:bidi="en-US"/>
        </w:rPr>
        <w:t xml:space="preserve">Troeltsch </w:t>
      </w:r>
      <w:r>
        <w:rPr>
          <w:rFonts w:ascii="Times New Roman" w:eastAsia="Times New Roman" w:hAnsi="Times New Roman" w:cs="Times New Roman"/>
          <w:color w:val="000000"/>
          <w:spacing w:val="0"/>
          <w:w w:val="100"/>
          <w:position w:val="0"/>
          <w:shd w:val="clear" w:color="auto" w:fill="auto"/>
          <w:lang w:val="hr-HR" w:eastAsia="hr-HR" w:bidi="hr-HR"/>
        </w:rPr>
        <w:t>stoji sve do danas sam u teologiji. Uz malo izuzetaka (npr. E. Benz), kasniji autori koji govore o is</w:t>
        <w:softHyphen/>
        <w:t xml:space="preserve">toj temi stavljaju odmah u igru više ili manje jasno iskazana teološko-dogmatska gledišta (npr. R. Guardini, F. Gogarten, H. U. von </w:t>
      </w:r>
      <w:r>
        <w:rPr>
          <w:rFonts w:ascii="Times New Roman" w:eastAsia="Times New Roman" w:hAnsi="Times New Roman" w:cs="Times New Roman"/>
          <w:color w:val="000000"/>
          <w:spacing w:val="0"/>
          <w:w w:val="100"/>
          <w:position w:val="0"/>
          <w:shd w:val="clear" w:color="auto" w:fill="auto"/>
          <w:lang w:val="en-US" w:eastAsia="en-US" w:bidi="en-US"/>
        </w:rPr>
        <w:t xml:space="preserve">Balthasar, </w:t>
      </w:r>
      <w:r>
        <w:rPr>
          <w:rFonts w:ascii="Times New Roman" w:eastAsia="Times New Roman" w:hAnsi="Times New Roman" w:cs="Times New Roman"/>
          <w:color w:val="000000"/>
          <w:spacing w:val="0"/>
          <w:w w:val="100"/>
          <w:position w:val="0"/>
          <w:shd w:val="clear" w:color="auto" w:fill="auto"/>
          <w:lang w:val="hr-HR" w:eastAsia="hr-HR" w:bidi="hr-HR"/>
        </w:rPr>
        <w:t xml:space="preserve">G. </w:t>
      </w:r>
      <w:r>
        <w:rPr>
          <w:rFonts w:ascii="Times New Roman" w:eastAsia="Times New Roman" w:hAnsi="Times New Roman" w:cs="Times New Roman"/>
          <w:color w:val="000000"/>
          <w:spacing w:val="0"/>
          <w:w w:val="100"/>
          <w:position w:val="0"/>
          <w:shd w:val="clear" w:color="auto" w:fill="auto"/>
          <w:lang w:val="en-US" w:eastAsia="en-US" w:bidi="en-US"/>
        </w:rPr>
        <w:t xml:space="preserve">Ebeling). </w:t>
      </w:r>
      <w:r>
        <w:rPr>
          <w:rFonts w:ascii="Times New Roman" w:eastAsia="Times New Roman" w:hAnsi="Times New Roman" w:cs="Times New Roman"/>
          <w:color w:val="000000"/>
          <w:spacing w:val="0"/>
          <w:w w:val="100"/>
          <w:position w:val="0"/>
          <w:shd w:val="clear" w:color="auto" w:fill="auto"/>
          <w:lang w:val="hr-HR" w:eastAsia="hr-HR" w:bidi="hr-HR"/>
        </w:rPr>
        <w:t>Tko ne može, čak iz dobrih razloga, dijeliti Troeltschove poglede, u svakom se slučaju neće smjeti povući pred njegovim zahtjevom prema kojem svako re- ligijsko-znanstveno određivanje »biti« mora barem pokušali biti pravedno prema pojav</w:t>
        <w:softHyphen/>
        <w:t>nom svijetu onoga što je kršćansko. Pa ipak, upravo to pripravlja znatne teškoće. Jer, sas</w:t>
        <w:softHyphen/>
        <w:t>vim bez obzira na povijesna razmišljanja, već sadašnja stvarnost kršćanske religije pokazuje slabo preglednu unutarnju višestrukost.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današnje vrijeme kršćanska religija po bro</w:t>
        <w:softHyphen/>
        <w:t>ju svojih članova obuhvaća oko 1,139 milijardi ljudi (kao usporedba: islam = oko 546 mili</w:t>
        <w:softHyphen/>
        <w:t>juna; azijske religije ukupno - oko 1,6 mili</w:t>
        <w:softHyphen/>
        <w:t>jardi; Židovi = oko 14,5 milijuna), pri čemu je faktor nesigurnosti u usporedbi s drugima vi</w:t>
        <w:softHyphen/>
        <w:t>sok, jer se statistički može obuhvatiti približno dvije trećine svjetskog stanovništva. Na rimo</w:t>
        <w:softHyphen/>
        <w:t>katoličke kršćane pritom otpada 709 milijuna, na »protestante« oko 350 milijuna i na »pra</w:t>
        <w:softHyphen/>
        <w:t>voslavne« oko 87 milijuna ljudi. S obzirom na svoju unutarnju raščlanjenost Rimokatolička crkva predstavlja konfesionalnu veleskupinu s najvećom zatvorenošću. »Protestantska« sku</w:t>
        <w:softHyphen/>
        <w:t>pina sastoji se od sedam konfesionalnih svjet</w:t>
        <w:softHyphen/>
      </w:r>
      <w:r>
        <w:rPr>
          <w:rFonts w:ascii="Times New Roman" w:eastAsia="Times New Roman" w:hAnsi="Times New Roman" w:cs="Times New Roman"/>
          <w:color w:val="000000"/>
          <w:spacing w:val="0"/>
          <w:w w:val="100"/>
          <w:position w:val="0"/>
          <w:shd w:val="clear" w:color="auto" w:fill="auto"/>
          <w:lang w:val="hr-HR" w:eastAsia="hr-HR" w:bidi="hr-HR"/>
        </w:rPr>
        <w:t>skih obitelji (tako se danas obično sami ozna</w:t>
        <w:softHyphen/>
        <w:t>čuju): anglikanci, baptisti, kongregacionalisti, luterani, metodisti i prezbiterijanci (među nji</w:t>
        <w:softHyphen/>
        <w:t xml:space="preserve">ma »reformirani«) kojima se mogu pribrojiti </w:t>
      </w:r>
      <w:r>
        <w:rPr>
          <w:rFonts w:ascii="Times New Roman" w:eastAsia="Times New Roman" w:hAnsi="Times New Roman" w:cs="Times New Roman"/>
          <w:i/>
          <w:iCs/>
          <w:color w:val="000000"/>
          <w:spacing w:val="0"/>
          <w:w w:val="100"/>
          <w:position w:val="0"/>
          <w:shd w:val="clear" w:color="auto" w:fill="auto"/>
          <w:lang w:val="en-US" w:eastAsia="en-US" w:bidi="en-US"/>
        </w:rPr>
        <w:t>Disciples of Christ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(F. </w:t>
      </w:r>
      <w:r>
        <w:rPr>
          <w:rFonts w:ascii="Times New Roman" w:eastAsia="Times New Roman" w:hAnsi="Times New Roman" w:cs="Times New Roman"/>
          <w:color w:val="000000"/>
          <w:spacing w:val="0"/>
          <w:w w:val="100"/>
          <w:position w:val="0"/>
          <w:shd w:val="clear" w:color="auto" w:fill="auto"/>
          <w:lang w:val="en-US" w:eastAsia="en-US" w:bidi="en-US"/>
        </w:rPr>
        <w:t xml:space="preserve">W. </w:t>
      </w:r>
      <w:r>
        <w:rPr>
          <w:rFonts w:ascii="Times New Roman" w:eastAsia="Times New Roman" w:hAnsi="Times New Roman" w:cs="Times New Roman"/>
          <w:color w:val="000000"/>
          <w:spacing w:val="0"/>
          <w:w w:val="100"/>
          <w:position w:val="0"/>
          <w:shd w:val="clear" w:color="auto" w:fill="auto"/>
          <w:lang w:val="hr-HR" w:eastAsia="hr-HR" w:bidi="hr-HR"/>
        </w:rPr>
        <w:t>Kantzcnbach). - »Pravoslavna« veleskupina dijeli se na dvije glavne skupine koje su sa svoje strane još jed</w:t>
        <w:softHyphen/>
        <w:t>nom jako raščlanjene. Prva glavna skupina obuhvaća skupine koje su se u V., VI., i VII. stoljeću odijelile od velike Crkve, tako npr. Armenska, Koptska, Etiopska i Indijsko-»si- rijska« crkva. Druga je skupina nastala iz crkvenog raskola u XI. stoljeću, a tvore je ot</w:t>
        <w:softHyphen/>
        <w:t>prilike trinaest zajednica koje su jedne od drugih pravno i upravno nezavisne (»autoke</w:t>
        <w:softHyphen/>
        <w:t>falne«), - Najjači stupanj unutarnjeg razliko</w:t>
        <w:softHyphen/>
        <w:t>vanja pokazuju »protestantske« svjetske obi</w:t>
        <w:softHyphen/>
        <w:t>telji. Samo u SAD-u ima preko 250 »denomi- nacija« koje se znatno međusobno razlikuju kako po svojoj posebnosti tako i po svojoj ve</w:t>
        <w:softHyphen/>
        <w:t>ličini. Sada u Africi ima prema procjeni 6000 crkvenih zajednica koje su pretežito »protes</w:t>
        <w:softHyphen/>
        <w:t>tantskog« podrijetla.</w:t>
      </w:r>
    </w:p>
    <w:p>
      <w:pPr>
        <w:pStyle w:val="Style20"/>
        <w:keepNext w:val="0"/>
        <w:keepLines w:val="0"/>
        <w:widowControl w:val="0"/>
        <w:shd w:val="clear" w:color="auto" w:fill="auto"/>
        <w:bidi w:val="0"/>
        <w:spacing w:before="0" w:after="0"/>
        <w:ind w:left="0" w:right="0" w:firstLine="0"/>
        <w:jc w:val="both"/>
        <w:sectPr>
          <w:headerReference w:type="default" r:id="rId667"/>
          <w:footerReference w:type="default" r:id="rId668"/>
          <w:headerReference w:type="even" r:id="rId669"/>
          <w:footerReference w:type="even" r:id="rId670"/>
          <w:headerReference w:type="first" r:id="rId671"/>
          <w:footerReference w:type="first" r:id="rId672"/>
          <w:footnotePr>
            <w:pos w:val="pageBottom"/>
            <w:numFmt w:val="decimal"/>
            <w:numRestart w:val="continuous"/>
            <w15:footnoteColumns w:val="1"/>
          </w:footnotePr>
          <w:pgSz w:w="6816" w:h="11006"/>
          <w:pgMar w:top="992" w:left="166" w:right="174" w:bottom="453" w:header="0" w:footer="3" w:gutter="0"/>
          <w:cols w:num="2" w:space="145"/>
          <w:noEndnote/>
          <w:titlePg/>
          <w:rtlGutter w:val="0"/>
          <w:docGrid w:linePitch="360"/>
        </w:sectPr>
      </w:pPr>
      <w:r>
        <mc:AlternateContent>
          <mc:Choice Requires="wps">
            <w:drawing>
              <wp:anchor distT="12700" distB="254000" distL="114300" distR="114300" simplePos="0" relativeHeight="125829407" behindDoc="0" locked="0" layoutInCell="1" allowOverlap="1">
                <wp:simplePos x="0" y="0"/>
                <wp:positionH relativeFrom="page">
                  <wp:posOffset>149860</wp:posOffset>
                </wp:positionH>
                <wp:positionV relativeFrom="margin">
                  <wp:posOffset>6156960</wp:posOffset>
                </wp:positionV>
                <wp:extent cx="186055" cy="109855"/>
                <wp:wrapTopAndBottom/>
                <wp:docPr id="1441" name="Shape 1441"/>
                <a:graphic xmlns:a="http://schemas.openxmlformats.org/drawingml/2006/main">
                  <a:graphicData uri="http://schemas.microsoft.com/office/word/2010/wordprocessingShape">
                    <wps:wsp>
                      <wps:cNvSpPr txBox="1"/>
                      <wps:spPr>
                        <a:xfrm>
                          <a:ext cx="186055"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'l'IO</w:t>
                            </w:r>
                          </w:p>
                        </w:txbxContent>
                      </wps:txbx>
                      <wps:bodyPr wrap="none" lIns="0" tIns="0" rIns="0" bIns="0">
                        <a:noAutoFit/>
                      </wps:bodyPr>
                    </wps:wsp>
                  </a:graphicData>
                </a:graphic>
              </wp:anchor>
            </w:drawing>
          </mc:Choice>
          <mc:Fallback>
            <w:pict>
              <v:shape id="_x0000_s2467" type="#_x0000_t202" style="position:absolute;margin-left:11.800000000000001pt;margin-top:484.80000000000001pt;width:14.65pt;height:8.6500000000000004pt;z-index:-125829346;mso-wrap-distance-left:9.pt;mso-wrap-distance-top:1.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'l'IO</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S obzirom na takvu pluralnost vidljivih oblika, bez daljnjega je razvidno kako je strahovito teško formulirati zajednički pojam koji bi mo</w:t>
        <w:softHyphen/>
        <w:t>gao obuhvatiti sve zajednice. Zato kao prvi opravdani razlog da ih se sve stavi pod isti po</w:t>
        <w:softHyphen/>
        <w:t>jam mora vrijediti njihova zajednička genea</w:t>
        <w:softHyphen/>
        <w:t>logija, neovisno o povijesnim i teološkim raz</w:t>
        <w:softHyphen/>
        <w:t>lozima koji su doveli do pojedinačnih grana</w:t>
        <w:softHyphen/>
        <w:t>nja. Povrh ove srodnosti koja je uvjetovana podrijetlom, »ne zna se što treba označiti kao kvalificirani sadržaj kršćanskog naviještanja« (F. Spiegelberg). Govoreći, uz oprezno pri</w:t>
        <w:softHyphen/>
        <w:t>bližavanje, možda se može utvrditi da je u svim kršćanskim zajednicama liku Isusa iz Nazarc- ta priznato stanovito spasenjsko značenje za svakoga čovjeka (= soteriološka Isusova funk</w:t>
        <w:softHyphen/>
        <w:t>cija), koje zahtijeva od pojedinog čovjeka eg</w:t>
        <w:softHyphen/>
        <w:t>zistencijalno obraćenje Isusu (= vjera) koje se na opredjeljujući i načelni način manifestira u javno vidljivom pristupu uvijek nekoj konkret</w:t>
        <w:softHyphen/>
        <w:t>noj zajednici istomišljenika (= krštenje). Zato krštenje na ime Isusa sačinjava najobuhvatniji zajednički znak kršćanstva, bez obzira u ko</w:t>
        <w:softHyphen/>
        <w:t>jem je vremenu i u kakvim liturgijskim obli</w:t>
        <w:softHyphen/>
        <w:t>cima izvršen. Razlike, koje daju pečat konfesi</w:t>
        <w:softHyphen/>
        <w:t>jama, proizlaze iz načina kako se obrazlaže Isusovo spasenjsko značenje, kako se zamišlja povezanost Isusova povijesnog lika s pre</w:t>
        <w:softHyphen/>
        <w:t xml:space="preserve">dodžbom o Bogu, kakva se vrijednost pridaje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položaju same dotične zajednice i njezinu strukturalnom obliku i kakvo se značenje op</w:t>
        <w:softHyphen/>
        <w:t>ćenito ili pojedinačno pripisuje praktičnom življenju u smislu egzistencijalne vjeroispovi</w:t>
        <w:softHyphen/>
        <w:t>jesti izvan učiteljskih formuliranja vjere. Od</w:t>
        <w:softHyphen/>
        <w:t>stupanja među konfesijama pripadaju područ</w:t>
        <w:softHyphen/>
        <w:t>jima kristologije, trinitarnog učenja i eklezio- logije.</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Više od takvog opisa genealoških povezanosti i morfoloških obilježja ne može se postići u religijskoj znanosti. Stoga dogmatsko-teološ- ko određenje onoga što je kršćansko ili što je k. dolazi uvijek na konfesionalnoj osnovi. U središnje ciljeve ekumenskog pokreta na putu dijaloškog razumijevanja medu religijama ubra</w:t>
        <w:softHyphen/>
        <w:t>ja se postizanje suglasja u bitnim sadržajima kršćanske vjere. Od IV. skupštine Ekumen</w:t>
        <w:softHyphen/>
        <w:t>skoga vijeća crkava u Uppsali (1968) na težini sve više dobiva zamisao o općem koncilu sve</w:t>
        <w:softHyphen/>
        <w:t>ukupnoga kršćanstva unutar ekumene. Hoće li se takav koncil ikada ostvariti i hoće li mu poći za rukom formulirati vjerovanje koje će svi kršćani prihvatiti, ne može se u sadašnjem trenutku reći, ali ta zamisao predstavlja jednu od najvećih nada sveukupnoga kršćanstva.</w:t>
      </w:r>
    </w:p>
    <w:p>
      <w:pPr>
        <w:pStyle w:val="Style56"/>
        <w:keepNext w:val="0"/>
        <w:keepLines w:val="0"/>
        <w:widowControl w:val="0"/>
        <w:shd w:val="clear" w:color="auto" w:fill="auto"/>
        <w:tabs>
          <w:tab w:pos="2318" w:val="left"/>
        </w:tabs>
        <w:bidi w:val="0"/>
        <w:spacing w:before="0" w:after="2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L. </w:t>
      </w:r>
      <w:r>
        <w:rPr>
          <w:color w:val="000000"/>
          <w:spacing w:val="0"/>
          <w:w w:val="100"/>
          <w:position w:val="0"/>
          <w:shd w:val="clear" w:color="auto" w:fill="auto"/>
        </w:rPr>
        <w:t xml:space="preserve">Feuerbach, </w:t>
      </w:r>
      <w:r>
        <w:rPr>
          <w:i/>
          <w:iCs/>
          <w:color w:val="000000"/>
          <w:spacing w:val="0"/>
          <w:w w:val="100"/>
          <w:position w:val="0"/>
          <w:shd w:val="clear" w:color="auto" w:fill="auto"/>
        </w:rPr>
        <w:t>Das Wpsen des Christentums</w:t>
      </w:r>
      <w:r>
        <w:rPr>
          <w:color w:val="000000"/>
          <w:spacing w:val="0"/>
          <w:w w:val="100"/>
          <w:position w:val="0"/>
          <w:shd w:val="clear" w:color="auto" w:fill="auto"/>
        </w:rPr>
        <w:t xml:space="preserve"> (Leipzig 1841), Frankfurt/Main 1976; F. Courth, </w:t>
      </w:r>
      <w:r>
        <w:rPr>
          <w:i/>
          <w:iCs/>
          <w:color w:val="000000"/>
          <w:spacing w:val="0"/>
          <w:w w:val="100"/>
          <w:position w:val="0"/>
          <w:shd w:val="clear" w:color="auto" w:fill="auto"/>
        </w:rPr>
        <w:t>Das Wesen des Christentums in der Liberulen Theotogie, dargestelit am Werk F. Schleiermachers, F. Chr. Baurs und A. Ritschls,</w:t>
      </w:r>
      <w:r>
        <w:rPr>
          <w:color w:val="000000"/>
          <w:spacing w:val="0"/>
          <w:w w:val="100"/>
          <w:position w:val="0"/>
          <w:shd w:val="clear" w:color="auto" w:fill="auto"/>
        </w:rPr>
        <w:t xml:space="preserve"> Frank- furt/Main i dr. 1977; A. von Harnack, </w:t>
      </w:r>
      <w:r>
        <w:rPr>
          <w:i/>
          <w:iCs/>
          <w:color w:val="000000"/>
          <w:spacing w:val="0"/>
          <w:w w:val="100"/>
          <w:position w:val="0"/>
          <w:shd w:val="clear" w:color="auto" w:fill="auto"/>
        </w:rPr>
        <w:t>Das Wesen des Chris- teniums,</w:t>
      </w:r>
      <w:r>
        <w:rPr>
          <w:color w:val="000000"/>
          <w:spacing w:val="0"/>
          <w:w w:val="100"/>
          <w:position w:val="0"/>
          <w:shd w:val="clear" w:color="auto" w:fill="auto"/>
        </w:rPr>
        <w:t xml:space="preserve"> Gottingen 1977; E. Troeltsch, </w:t>
      </w:r>
      <w:r>
        <w:rPr>
          <w:i/>
          <w:iCs/>
          <w:color w:val="000000"/>
          <w:spacing w:val="0"/>
          <w:w w:val="100"/>
          <w:position w:val="0"/>
          <w:shd w:val="clear" w:color="auto" w:fill="auto"/>
        </w:rPr>
        <w:t>Die Absolutheit des Christentums und die Religionsgeschichte,</w:t>
      </w:r>
      <w:r>
        <w:rPr>
          <w:color w:val="000000"/>
          <w:spacing w:val="0"/>
          <w:w w:val="100"/>
          <w:position w:val="0"/>
          <w:shd w:val="clear" w:color="auto" w:fill="auto"/>
        </w:rPr>
        <w:t xml:space="preserve"> Munchcn/Ham- burg 1969; W. Koppclmann, </w:t>
      </w:r>
      <w:r>
        <w:rPr>
          <w:i/>
          <w:iCs/>
          <w:color w:val="000000"/>
          <w:spacing w:val="0"/>
          <w:w w:val="100"/>
          <w:position w:val="0"/>
          <w:shd w:val="clear" w:color="auto" w:fill="auto"/>
        </w:rPr>
        <w:t>Das Wesen des Christentums, Eine religionsphilosophische Untersuchung,</w:t>
      </w:r>
      <w:r>
        <w:rPr>
          <w:color w:val="000000"/>
          <w:spacing w:val="0"/>
          <w:w w:val="100"/>
          <w:position w:val="0"/>
          <w:shd w:val="clear" w:color="auto" w:fill="auto"/>
        </w:rPr>
        <w:t xml:space="preserve"> Berlin 1922; R. Ouurdini, </w:t>
      </w:r>
      <w:r>
        <w:rPr>
          <w:i/>
          <w:iCs/>
          <w:color w:val="000000"/>
          <w:spacing w:val="0"/>
          <w:w w:val="100"/>
          <w:position w:val="0"/>
          <w:shd w:val="clear" w:color="auto" w:fill="auto"/>
        </w:rPr>
        <w:t>Das Wesen des Christentums,</w:t>
      </w:r>
      <w:r>
        <w:rPr>
          <w:color w:val="000000"/>
          <w:spacing w:val="0"/>
          <w:w w:val="100"/>
          <w:position w:val="0"/>
          <w:shd w:val="clear" w:color="auto" w:fill="auto"/>
        </w:rPr>
        <w:t xml:space="preserve"> Wurzburg 1953; M. Schmaus, </w:t>
      </w:r>
      <w:r>
        <w:rPr>
          <w:i/>
          <w:iCs/>
          <w:color w:val="000000"/>
          <w:spacing w:val="0"/>
          <w:w w:val="100"/>
          <w:position w:val="0"/>
          <w:shd w:val="clear" w:color="auto" w:fill="auto"/>
        </w:rPr>
        <w:t>Vom Wesen des Christentums</w:t>
      </w:r>
      <w:r>
        <w:rPr>
          <w:color w:val="000000"/>
          <w:spacing w:val="0"/>
          <w:w w:val="100"/>
          <w:position w:val="0"/>
          <w:shd w:val="clear" w:color="auto" w:fill="auto"/>
        </w:rPr>
        <w:t xml:space="preserve">, Ettal 1954; F. Go- garten. </w:t>
      </w:r>
      <w:r>
        <w:rPr>
          <w:i/>
          <w:iCs/>
          <w:color w:val="000000"/>
          <w:spacing w:val="0"/>
          <w:w w:val="100"/>
          <w:position w:val="0"/>
          <w:shd w:val="clear" w:color="auto" w:fill="auto"/>
        </w:rPr>
        <w:t>Was ist Christentum?.</w:t>
      </w:r>
      <w:r>
        <w:rPr>
          <w:color w:val="000000"/>
          <w:spacing w:val="0"/>
          <w:w w:val="100"/>
          <w:position w:val="0"/>
          <w:shd w:val="clear" w:color="auto" w:fill="auto"/>
        </w:rPr>
        <w:t xml:space="preserve"> Gottingen 1956; P. Tillich. </w:t>
      </w:r>
      <w:r>
        <w:rPr>
          <w:i/>
          <w:iCs/>
          <w:color w:val="000000"/>
          <w:spacing w:val="0"/>
          <w:w w:val="100"/>
          <w:position w:val="0"/>
          <w:shd w:val="clear" w:color="auto" w:fill="auto"/>
        </w:rPr>
        <w:t>und Wandel des Glaubens.</w:t>
      </w:r>
      <w:r>
        <w:rPr>
          <w:color w:val="000000"/>
          <w:spacing w:val="0"/>
          <w:w w:val="100"/>
          <w:position w:val="0"/>
          <w:shd w:val="clear" w:color="auto" w:fill="auto"/>
        </w:rPr>
        <w:t xml:space="preserve"> Weltpcrspektivcn, Ulm 1975; H. U. von Balthasar, </w:t>
      </w:r>
      <w:r>
        <w:rPr>
          <w:i/>
          <w:iCs/>
          <w:color w:val="000000"/>
          <w:spacing w:val="0"/>
          <w:w w:val="100"/>
          <w:position w:val="0"/>
          <w:shd w:val="clear" w:color="auto" w:fill="auto"/>
        </w:rPr>
        <w:t>Wer ist ein Christ</w:t>
      </w:r>
      <w:r>
        <w:rPr>
          <w:i/>
          <w:iCs/>
          <w:color w:val="000000"/>
          <w:spacing w:val="0"/>
          <w:w w:val="100"/>
          <w:position w:val="0"/>
          <w:shd w:val="clear" w:color="auto" w:fill="auto"/>
          <w:vertAlign w:val="superscript"/>
        </w:rPr>
        <w:t>7</w:t>
      </w:r>
      <w:r>
        <w:rPr>
          <w:i/>
          <w:iCs/>
          <w:color w:val="000000"/>
          <w:spacing w:val="0"/>
          <w:w w:val="100"/>
          <w:position w:val="0"/>
          <w:shd w:val="clear" w:color="auto" w:fill="auto"/>
        </w:rPr>
        <w:t>,</w:t>
      </w:r>
      <w:r>
        <w:rPr>
          <w:color w:val="000000"/>
          <w:spacing w:val="0"/>
          <w:w w:val="100"/>
          <w:position w:val="0"/>
          <w:shd w:val="clear" w:color="auto" w:fill="auto"/>
        </w:rPr>
        <w:t xml:space="preserve"> Frei- burg/Brcisgau 1969; G. Ebeling, </w:t>
      </w:r>
      <w:r>
        <w:rPr>
          <w:i/>
          <w:iCs/>
          <w:color w:val="000000"/>
          <w:spacing w:val="0"/>
          <w:w w:val="100"/>
          <w:position w:val="0"/>
          <w:shd w:val="clear" w:color="auto" w:fill="auto"/>
        </w:rPr>
        <w:t>Das Wesen des chrisdichen Glaubens,</w:t>
      </w:r>
      <w:r>
        <w:rPr>
          <w:color w:val="000000"/>
          <w:spacing w:val="0"/>
          <w:w w:val="100"/>
          <w:position w:val="0"/>
          <w:shd w:val="clear" w:color="auto" w:fill="auto"/>
        </w:rPr>
        <w:t xml:space="preserve"> Munchcn/Hamhurg ’1967; E. Benz, </w:t>
      </w:r>
      <w:r>
        <w:rPr>
          <w:i/>
          <w:iCs/>
          <w:color w:val="000000"/>
          <w:spacing w:val="0"/>
          <w:w w:val="100"/>
          <w:position w:val="0"/>
          <w:shd w:val="clear" w:color="auto" w:fill="auto"/>
        </w:rPr>
        <w:t>Beschreibung des Christentums. Eine historische Phdncmenologie.</w:t>
      </w:r>
      <w:r>
        <w:rPr>
          <w:color w:val="000000"/>
          <w:spacing w:val="0"/>
          <w:w w:val="100"/>
          <w:position w:val="0"/>
          <w:shd w:val="clear" w:color="auto" w:fill="auto"/>
        </w:rPr>
        <w:t xml:space="preserve"> Miin- chcn 1975; H. Wagcnhammcr, </w:t>
      </w:r>
      <w:r>
        <w:rPr>
          <w:i/>
          <w:iCs/>
          <w:color w:val="000000"/>
          <w:spacing w:val="0"/>
          <w:w w:val="100"/>
          <w:position w:val="0"/>
          <w:shd w:val="clear" w:color="auto" w:fill="auto"/>
        </w:rPr>
        <w:t>Das Wesen des Christentums. Eine begriffsgeschichtliche Untersuchung,</w:t>
      </w:r>
      <w:r>
        <w:rPr>
          <w:color w:val="000000"/>
          <w:spacing w:val="0"/>
          <w:w w:val="100"/>
          <w:position w:val="0"/>
          <w:shd w:val="clear" w:color="auto" w:fill="auto"/>
        </w:rPr>
        <w:t xml:space="preserve"> Mainz 1973; </w:t>
      </w:r>
      <w:r>
        <w:rPr>
          <w:color w:val="000000"/>
          <w:spacing w:val="0"/>
          <w:w w:val="100"/>
          <w:position w:val="0"/>
          <w:shd w:val="clear" w:color="auto" w:fill="auto"/>
          <w:lang w:val="hr-HR" w:eastAsia="hr-HR" w:bidi="hr-HR"/>
        </w:rPr>
        <w:t>Sta</w:t>
        <w:softHyphen/>
        <w:t xml:space="preserve">tistički su podaci uzeti iz: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Fischer Weltahnanach </w:t>
      </w:r>
      <w:r>
        <w:rPr>
          <w:i/>
          <w:iCs/>
          <w:color w:val="000000"/>
          <w:spacing w:val="0"/>
          <w:w w:val="100"/>
          <w:position w:val="0"/>
          <w:shd w:val="clear" w:color="auto" w:fill="auto"/>
          <w:lang w:val="hr-HR" w:eastAsia="hr-HR" w:bidi="hr-HR"/>
        </w:rPr>
        <w:t xml:space="preserve">1983, </w:t>
      </w:r>
      <w:r>
        <w:rPr>
          <w:color w:val="000000"/>
          <w:spacing w:val="0"/>
          <w:w w:val="100"/>
          <w:position w:val="0"/>
          <w:shd w:val="clear" w:color="auto" w:fill="auto"/>
        </w:rPr>
        <w:t xml:space="preserve">Frankfurt/Main </w:t>
      </w:r>
      <w:r>
        <w:rPr>
          <w:color w:val="000000"/>
          <w:spacing w:val="0"/>
          <w:w w:val="100"/>
          <w:position w:val="0"/>
          <w:shd w:val="clear" w:color="auto" w:fill="auto"/>
          <w:lang w:val="hr-HR" w:eastAsia="hr-HR" w:bidi="hr-HR"/>
        </w:rPr>
        <w:t>1982, Špaitc 691/692; konfesionalna raš</w:t>
        <w:softHyphen/>
        <w:t xml:space="preserve">člamba izvršena je prema: F. W. Kantzcnbach. </w:t>
      </w:r>
      <w:r>
        <w:rPr>
          <w:i/>
          <w:iCs/>
          <w:color w:val="000000"/>
          <w:spacing w:val="0"/>
          <w:w w:val="100"/>
          <w:position w:val="0"/>
          <w:shd w:val="clear" w:color="auto" w:fill="auto"/>
          <w:lang w:val="hr-HR" w:eastAsia="hr-HR" w:bidi="hr-HR"/>
        </w:rPr>
        <w:t xml:space="preserve">Einheitsbes- trebungen im </w:t>
      </w:r>
      <w:r>
        <w:rPr>
          <w:i/>
          <w:iCs/>
          <w:color w:val="000000"/>
          <w:spacing w:val="0"/>
          <w:w w:val="100"/>
          <w:position w:val="0"/>
          <w:shd w:val="clear" w:color="auto" w:fill="auto"/>
        </w:rPr>
        <w:t xml:space="preserve">Wandel </w:t>
      </w:r>
      <w:r>
        <w:rPr>
          <w:i/>
          <w:iCs/>
          <w:color w:val="000000"/>
          <w:spacing w:val="0"/>
          <w:w w:val="100"/>
          <w:position w:val="0"/>
          <w:shd w:val="clear" w:color="auto" w:fill="auto"/>
          <w:lang w:val="hr-HR" w:eastAsia="hr-HR" w:bidi="hr-HR"/>
        </w:rPr>
        <w:t>der Kirchengeschichte,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Gutersloh </w:t>
      </w:r>
      <w:r>
        <w:rPr>
          <w:color w:val="000000"/>
          <w:spacing w:val="0"/>
          <w:w w:val="100"/>
          <w:position w:val="0"/>
          <w:shd w:val="clear" w:color="auto" w:fill="auto"/>
          <w:lang w:val="hr-HR" w:eastAsia="hr-HR" w:bidi="hr-HR"/>
        </w:rPr>
        <w:t>1979, 11/12.</w:t>
        <w:tab/>
        <w:t>H.-G. STOHBE</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lang w:val="hr-HR" w:eastAsia="hr-HR" w:bidi="hr-HR"/>
        </w:rPr>
        <w:t>3. islamski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kršćanstvu islam vidi religiju-prcthodnicu koja je nastala na onoj razvojnici, na kojoj se kreću sve monoteističke religije. Prema islam</w:t>
        <w:softHyphen/>
        <w:t>skom shvaćanju Isus Krist je Božji poslanik prvobitnoga islama. Kuran kao navjestitelje islama spominje mnoge biblijske proroke. Svi</w:t>
        <w:softHyphen/>
      </w:r>
      <w:r>
        <w:rPr>
          <w:rFonts w:ascii="Times New Roman" w:eastAsia="Times New Roman" w:hAnsi="Times New Roman" w:cs="Times New Roman"/>
          <w:color w:val="000000"/>
          <w:spacing w:val="0"/>
          <w:w w:val="100"/>
          <w:position w:val="0"/>
          <w:shd w:val="clear" w:color="auto" w:fill="auto"/>
          <w:lang w:val="hr-HR" w:eastAsia="hr-HR" w:bidi="hr-HR"/>
        </w:rPr>
        <w:t>ma se njima daje podjednako časno mjesto. Sukladno tomu su u islamskom svijetu pored specifično muslimanskoga pijeteta, kojemu je učio Muhamed, zastupljene i židovska i krš</w:t>
        <w:softHyphen/>
        <w:t>ćanska pobožnost. Musliman je dakle nužno, sve do izvjesnoga stupnja, također »Židov« i »katolik«. Temeljna učenja i moralne vrijed</w:t>
        <w:softHyphen/>
        <w:t>nosti obje prethodne religije obvezujući su i za njega.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Događaj Kristova razapinjanja na križ kao žrtva otkupljenja za čovječanstvo koje je po stvaranju opterećeno grijehom, događaj koji je teološki razrađen u kršćanstvu jest ono što k. temeljno razdvaja od islama. Svaki se čo</w:t>
        <w:softHyphen/>
        <w:t>vjek kako u životu tako i na dan uskrsnuća vrednuje kao dobar ili zao sukladno vlastito</w:t>
        <w:softHyphen/>
        <w:t xml:space="preserve">mu činu. Mišljenje </w:t>
      </w:r>
      <w:r>
        <w:rPr>
          <w:rFonts w:ascii="Times New Roman" w:eastAsia="Times New Roman" w:hAnsi="Times New Roman" w:cs="Times New Roman"/>
          <w:i/>
          <w:iCs/>
          <w:color w:val="000000"/>
          <w:spacing w:val="0"/>
          <w:w w:val="100"/>
          <w:position w:val="0"/>
          <w:shd w:val="clear" w:color="auto" w:fill="auto"/>
          <w:lang w:val="hr-HR" w:eastAsia="hr-HR" w:bidi="hr-HR"/>
        </w:rPr>
        <w:t>Betranda Russela</w:t>
      </w:r>
      <w:r>
        <w:rPr>
          <w:rFonts w:ascii="Times New Roman" w:eastAsia="Times New Roman" w:hAnsi="Times New Roman" w:cs="Times New Roman"/>
          <w:color w:val="000000"/>
          <w:spacing w:val="0"/>
          <w:w w:val="100"/>
          <w:position w:val="0"/>
          <w:shd w:val="clear" w:color="auto" w:fill="auto"/>
          <w:lang w:val="hr-HR" w:eastAsia="hr-HR" w:bidi="hr-HR"/>
        </w:rPr>
        <w:t xml:space="preserve"> (u. 1953) koje je zastupano s oslanjanjem na učenje jed</w:t>
        <w:softHyphen/>
        <w:t>ne kontroverzne teološke islamske škole - ta</w:t>
        <w:softHyphen/>
        <w:t>kozvanog ahmedijskoga pokreta -, mišljenje da islam odbacuje događaj razapinjanja na križ zato što takav štetan doživljaj smatra ne</w:t>
        <w:softHyphen/>
        <w:t>spojivim s dostojanstvom proroštva koje je da</w:t>
        <w:softHyphen/>
        <w:t>rovano od Boga, ne zrcali stvarni stav islama prema tom pitanju. Zbiljsko objašnjenje sa</w:t>
        <w:softHyphen/>
        <w:t>drže svi važni poučci islama, da je za zadnji oprost od grijeha i prijestupe nadležan samo Bog i da čovjek - kao što je gore zaključeno - nije opterećen nikakvim istočnim grijehom.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Postoje i neki drugi temeljni nazori, kod kojih k. i islam odstupaju jedno od drugoga. Oni se mogu sažeti u narednim kritičkim tezama isla</w:t>
        <w:softHyphen/>
        <w:t>ma: a) Predodžba o bogosinstvu čini na dvoj</w:t>
        <w:softHyphen/>
        <w:t>ben način prekid s čistim monoteizmom. Is</w:t>
        <w:softHyphen/>
        <w:t xml:space="preserve">lamska teologija govori u toj svezi čak o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širku, </w:t>
      </w:r>
      <w:r>
        <w:rPr>
          <w:rFonts w:ascii="Times New Roman" w:eastAsia="Times New Roman" w:hAnsi="Times New Roman" w:cs="Times New Roman"/>
          <w:color w:val="000000"/>
          <w:spacing w:val="0"/>
          <w:w w:val="100"/>
          <w:position w:val="0"/>
          <w:shd w:val="clear" w:color="auto" w:fill="auto"/>
          <w:lang w:val="hr-HR" w:eastAsia="hr-HR" w:bidi="hr-HR"/>
        </w:rPr>
        <w:t xml:space="preserve">tj. o politeizmu. b) Predodžba o Sinu Božjemu nije upotrebljiva kao teološki pojam, c) Isus Krist nije umro na križu; navodni događaj smrti obuhvatio je jedino predodžbeni svijet onih koji su prisustvovali smaknuću </w:t>
      </w:r>
      <w:r>
        <w:rPr>
          <w:rFonts w:ascii="Times New Roman" w:eastAsia="Times New Roman" w:hAnsi="Times New Roman" w:cs="Times New Roman"/>
          <w:i/>
          <w:iCs/>
          <w:color w:val="000000"/>
          <w:spacing w:val="0"/>
          <w:w w:val="100"/>
          <w:position w:val="0"/>
          <w:shd w:val="clear" w:color="auto" w:fill="auto"/>
          <w:lang w:val="hr-HR" w:eastAsia="hr-HR" w:bidi="hr-HR"/>
        </w:rPr>
        <w:t>(shubbiha lahum).</w:t>
      </w:r>
      <w:r>
        <w:rPr>
          <w:rFonts w:ascii="Times New Roman" w:eastAsia="Times New Roman" w:hAnsi="Times New Roman" w:cs="Times New Roman"/>
          <w:color w:val="000000"/>
          <w:spacing w:val="0"/>
          <w:w w:val="100"/>
          <w:position w:val="0"/>
          <w:shd w:val="clear" w:color="auto" w:fill="auto"/>
          <w:lang w:val="hr-HR" w:eastAsia="hr-HR" w:bidi="hr-HR"/>
        </w:rPr>
        <w:t xml:space="preserve"> d) Nema nikakvoga jamstva da su ra</w:t>
        <w:softHyphen/>
        <w:t>niji sveti spisi i objave, uključujući i Isusove autentične riječi, bez krivotvorenja i praznina bili tradirani sve do Muhamcdova vremena.</w:t>
      </w:r>
    </w:p>
    <w:p>
      <w:pPr>
        <w:pStyle w:val="Style20"/>
        <w:keepNext w:val="0"/>
        <w:keepLines w:val="0"/>
        <w:widowControl w:val="0"/>
        <w:shd w:val="clear" w:color="auto" w:fill="auto"/>
        <w:bidi w:val="0"/>
        <w:spacing w:before="0" w:after="0"/>
        <w:ind w:left="0" w:right="0" w:firstLine="0"/>
        <w:jc w:val="both"/>
        <w:sectPr>
          <w:headerReference w:type="default" r:id="rId673"/>
          <w:footerReference w:type="default" r:id="rId674"/>
          <w:headerReference w:type="even" r:id="rId675"/>
          <w:footerReference w:type="even" r:id="rId676"/>
          <w:footnotePr>
            <w:pos w:val="pageBottom"/>
            <w:numFmt w:val="decimal"/>
            <w:numRestart w:val="continuous"/>
            <w15:footnoteColumns w:val="1"/>
          </w:footnotePr>
          <w:type w:val="continuous"/>
          <w:pgSz w:w="6816" w:h="11006"/>
          <w:pgMar w:top="992" w:left="166" w:right="174" w:bottom="453" w:header="0" w:footer="3" w:gutter="0"/>
          <w:cols w:num="2" w:space="145"/>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Temi Isus u islamu se u pravilu prilazi s histo</w:t>
        <w:softHyphen/>
        <w:t>rijske strane. Suočeno sa svojim principima, pitanje razapinjanja na križ postaje drugoraz</w:t>
        <w:softHyphen/>
        <w:t>redno. »Čak i kada bi Isus bio raspet i ubijen, to ništa ne mijenja, jer i drugi su proroci ubija</w:t>
        <w:softHyphen/>
        <w:t>ni od nevjernika. No islamsko shvaćanje pra</w:t>
        <w:softHyphen/>
        <w:t xml:space="preserve">vednosti ipak ne prihvaća da se kažnjava nedužan čovjek kako bi se moglo oprostiti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grešniku«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(Les Muslimanu. </w:t>
      </w:r>
      <w:r>
        <w:rPr>
          <w:rFonts w:ascii="Times New Roman" w:eastAsia="Times New Roman" w:hAnsi="Times New Roman" w:cs="Times New Roman"/>
          <w:i/>
          <w:iCs/>
          <w:color w:val="000000"/>
          <w:spacing w:val="0"/>
          <w:w w:val="100"/>
          <w:position w:val="0"/>
          <w:shd w:val="clear" w:color="auto" w:fill="auto"/>
          <w:lang w:val="en-US" w:eastAsia="en-US" w:bidi="en-US"/>
        </w:rPr>
        <w:t xml:space="preserve">Verse </w:t>
      </w:r>
      <w:r>
        <w:rPr>
          <w:rFonts w:ascii="Times New Roman" w:eastAsia="Times New Roman" w:hAnsi="Times New Roman" w:cs="Times New Roman"/>
          <w:i/>
          <w:iCs/>
          <w:color w:val="000000"/>
          <w:spacing w:val="0"/>
          <w:w w:val="100"/>
          <w:position w:val="0"/>
          <w:shd w:val="clear" w:color="auto" w:fill="auto"/>
          <w:lang w:val="hr-HR" w:eastAsia="hr-HR" w:bidi="hr-HR"/>
        </w:rPr>
        <w:t>et controver- se,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Paris </w:t>
      </w:r>
      <w:r>
        <w:rPr>
          <w:rFonts w:ascii="Times New Roman" w:eastAsia="Times New Roman" w:hAnsi="Times New Roman" w:cs="Times New Roman"/>
          <w:color w:val="000000"/>
          <w:spacing w:val="0"/>
          <w:w w:val="100"/>
          <w:position w:val="0"/>
          <w:shd w:val="clear" w:color="auto" w:fill="auto"/>
          <w:lang w:val="hr-HR" w:eastAsia="hr-HR" w:bidi="hr-HR"/>
        </w:rPr>
        <w:t>1971, 54).</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Živa kritika Biblije u islamskome svijetu raz</w:t>
        <w:softHyphen/>
        <w:t>vila se među jednim dijelom islamskih učenja</w:t>
        <w:softHyphen/>
        <w:t>ka. Premda s radosnom viješću, koju je na- viještao Isus, ni oni ne identificiraju evanđelja koja su doista Isusove biografije, oni ipak vje</w:t>
        <w:softHyphen/>
        <w:t>ruju da su u njima sadržani barem dijelovi te vijesti. Stoga se ta evanđelja moraju proma</w:t>
        <w:softHyphen/>
        <w:t>trati kao svjedočanstva objave. To čini razum</w:t>
        <w:softHyphen/>
        <w:t>ljivom oštru kritiku suvremenog istraživanja Biblije koja dolazi od niza muslimanskih uče</w:t>
        <w:softHyphen/>
        <w:t xml:space="preserve">njaka. Tako </w:t>
      </w:r>
      <w:r>
        <w:rPr>
          <w:rFonts w:ascii="Times New Roman" w:eastAsia="Times New Roman" w:hAnsi="Times New Roman" w:cs="Times New Roman"/>
          <w:color w:val="000000"/>
          <w:spacing w:val="0"/>
          <w:w w:val="100"/>
          <w:position w:val="0"/>
          <w:shd w:val="clear" w:color="auto" w:fill="auto"/>
          <w:lang w:val="en-US" w:eastAsia="en-US" w:bidi="en-US"/>
        </w:rPr>
        <w:t xml:space="preserve">Husayn </w:t>
      </w:r>
      <w:r>
        <w:rPr>
          <w:rFonts w:ascii="Times New Roman" w:eastAsia="Times New Roman" w:hAnsi="Times New Roman" w:cs="Times New Roman"/>
          <w:color w:val="000000"/>
          <w:spacing w:val="0"/>
          <w:w w:val="100"/>
          <w:position w:val="0"/>
          <w:shd w:val="clear" w:color="auto" w:fill="auto"/>
          <w:lang w:val="hr-HR" w:eastAsia="hr-HR" w:bidi="hr-HR"/>
        </w:rPr>
        <w:t>Nasr smatra da je to is</w:t>
        <w:softHyphen/>
        <w:t>traživanje postalo »jedan demonski pothvat koji bi htio reducirati sveto na profano a knji</w:t>
        <w:softHyphen/>
        <w:t xml:space="preserve">gu božanske istine na priručnik arheologije«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63).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Tijekom povijesti k. je tu i tamo utjecalo na is</w:t>
        <w:softHyphen/>
        <w:t>lam. Tako je islamska mistika mogla izvesti svoje podrijetlo iz sirijskoga monaškoga krš</w:t>
        <w:softHyphen/>
        <w:t>ćanstva. Vidljivi se tragovi tog utjecaja mogu ustvrditi npr. u učenjima čuvenoga askete iz VII./VIII. stoljeća, Hasana al-Basrija (u. 728) koji slovi kao vrhovni religiozni autoritet. Nje</w:t>
        <w:softHyphen/>
        <w:t>gova filozofija života vrhuni u poučku da je ovozemaljski život samo pripremni stupanj za onostranost. Pod snažnim utjecajem pre</w:t>
        <w:softHyphen/>
        <w:t>dodžbi sirijskoga monaštva bio je i stav tradi</w:t>
        <w:softHyphen/>
        <w:t>cionalnoga kršćanstva prema ženi. U tabuizi- ranju i duhovnom nadvisivanju Muhameda smije se vidjeti prilagodba kršćanskoj praksi u ophođenju s Kristovom osobom. Islamska mi</w:t>
        <w:softHyphen/>
        <w:t xml:space="preserve">sija (zvana </w:t>
      </w:r>
      <w:r>
        <w:rPr>
          <w:rFonts w:ascii="Times New Roman" w:eastAsia="Times New Roman" w:hAnsi="Times New Roman" w:cs="Times New Roman"/>
          <w:color w:val="000000"/>
          <w:spacing w:val="0"/>
          <w:w w:val="100"/>
          <w:position w:val="0"/>
          <w:shd w:val="clear" w:color="auto" w:fill="auto"/>
          <w:lang w:val="en-US" w:eastAsia="en-US" w:bidi="en-US"/>
        </w:rPr>
        <w:t xml:space="preserve">da’wa), </w:t>
      </w:r>
      <w:r>
        <w:rPr>
          <w:rFonts w:ascii="Times New Roman" w:eastAsia="Times New Roman" w:hAnsi="Times New Roman" w:cs="Times New Roman"/>
          <w:color w:val="000000"/>
          <w:spacing w:val="0"/>
          <w:w w:val="100"/>
          <w:position w:val="0"/>
          <w:shd w:val="clear" w:color="auto" w:fill="auto"/>
          <w:lang w:val="hr-HR" w:eastAsia="hr-HR" w:bidi="hr-HR"/>
        </w:rPr>
        <w:t>koja se tu i tamo pojavljuje od XIX. stoljeća, predstavlja indirektni odgo</w:t>
        <w:softHyphen/>
        <w:t>vor na misionarske napore kršćanstva u cije</w:t>
        <w:softHyphen/>
        <w:t>lome svijetu. Misija u kršćanskomu smislu iz</w:t>
        <w:softHyphen/>
        <w:t>vorno je potpuno nepoznata islamu. Na nedo</w:t>
        <w:softHyphen/>
        <w:t>statan uvid u kulturne sklopove u zapadnome svijetu svakako se može svesti preuzimanje mnogih kršćanskih termina u predorijentalnoj muslimanskoj publicistici. Tako se tamo mogu susresti izrazi kao »Njegova svetost« u odnosu na osobu imama u Kabi ili vrhovnoga pogla</w:t>
        <w:softHyphen/>
        <w:t xml:space="preserve">vara boranskih muslimana u Indiji, </w:t>
      </w:r>
      <w:r>
        <w:rPr>
          <w:rFonts w:ascii="Times New Roman" w:eastAsia="Times New Roman" w:hAnsi="Times New Roman" w:cs="Times New Roman"/>
          <w:i/>
          <w:iCs/>
          <w:color w:val="000000"/>
          <w:spacing w:val="0"/>
          <w:w w:val="100"/>
          <w:position w:val="0"/>
          <w:shd w:val="clear" w:color="auto" w:fill="auto"/>
          <w:lang w:val="hr-HR" w:eastAsia="hr-HR" w:bidi="hr-HR"/>
        </w:rPr>
        <w:t>»consacra- tion«</w:t>
      </w:r>
      <w:r>
        <w:rPr>
          <w:rFonts w:ascii="Times New Roman" w:eastAsia="Times New Roman" w:hAnsi="Times New Roman" w:cs="Times New Roman"/>
          <w:color w:val="000000"/>
          <w:spacing w:val="0"/>
          <w:w w:val="100"/>
          <w:position w:val="0"/>
          <w:shd w:val="clear" w:color="auto" w:fill="auto"/>
          <w:lang w:val="hr-HR" w:eastAsia="hr-HR" w:bidi="hr-HR"/>
        </w:rPr>
        <w:t xml:space="preserve"> (posvećenje) za otvaranje džamije, A(nno) D(omini) na naslovnici jednoga prijevoda Ku</w:t>
        <w:softHyphen/>
        <w:t>rana izdanoga u Meki i tomu si.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Prilikom dijaloga između kršćanstva i islama s kršćanske se strane nije trebao napinjati luk k eshatološkom Isusu. »Jer«, tako smatra An</w:t>
        <w:softHyphen/>
        <w:t xml:space="preserve">ton Vorbichler, »za kršćansku vjeru, s kojom musliman zapravo želi voditi dijalog, upravo </w:t>
      </w:r>
      <w:r>
        <w:rPr>
          <w:rFonts w:ascii="Times New Roman" w:eastAsia="Times New Roman" w:hAnsi="Times New Roman" w:cs="Times New Roman"/>
          <w:color w:val="000000"/>
          <w:spacing w:val="0"/>
          <w:w w:val="100"/>
          <w:position w:val="0"/>
          <w:shd w:val="clear" w:color="auto" w:fill="auto"/>
          <w:lang w:val="hr-HR" w:eastAsia="hr-HR" w:bidi="hr-HR"/>
        </w:rPr>
        <w:t>je historijski Isus pravo središte života, a da nema nikakva pristupa eshatološkom Isusu.« Novovjekovni propovjednici buđenja islama nastojali su ukloniti svaki utjecaj Zapada na islamski svijet. Oni pritom svakako nisu bili svjesni historijske činjenice da u prvim stolje</w:t>
        <w:softHyphen/>
        <w:t>ćima islamske povijesti k. kao glavni nositelj zapadnoga načina mišljenja nije nebitno utje</w:t>
        <w:softHyphen/>
        <w:t>calo na oblikovanje islamskoga identiteta. Premda jc osporavana i teza Karla Rahnera o »anonimnim kršćanima«, koji potječu iz isla</w:t>
        <w:softHyphen/>
        <w:t xml:space="preserve">ma i drugih religija, ipak stoji činjenica da su u slici svijeta i u ponašanju muslimana usidreni mnogi kršćanski elementi. Anonimnost onoga kršćanskog ovdje prije leži na jednoj drugoj razini od one koju pretpostavlja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S po</w:t>
        <w:softHyphen/>
        <w:t>gledom na višestruko zajedničke izvore vjere i na specifično-islamsko razumijevanje objave, koje poseže za autentičnom riječju proroka kao za božanskom porukom, jednako bi tako bilo opravdano promatrati mnoge kršćane kao »anonimne muslimane«. »U svakom slu</w:t>
        <w:softHyphen/>
        <w:t xml:space="preserve">čaju«, ispravno kaže </w:t>
      </w:r>
      <w:r>
        <w:rPr>
          <w:rFonts w:ascii="Times New Roman" w:eastAsia="Times New Roman" w:hAnsi="Times New Roman" w:cs="Times New Roman"/>
          <w:color w:val="000000"/>
          <w:spacing w:val="0"/>
          <w:w w:val="100"/>
          <w:position w:val="0"/>
          <w:shd w:val="clear" w:color="auto" w:fill="auto"/>
          <w:lang w:val="en-US" w:eastAsia="en-US" w:bidi="en-US"/>
        </w:rPr>
        <w:t xml:space="preserve">Peter Antes, </w:t>
      </w:r>
      <w:r>
        <w:rPr>
          <w:rFonts w:ascii="Times New Roman" w:eastAsia="Times New Roman" w:hAnsi="Times New Roman" w:cs="Times New Roman"/>
          <w:color w:val="000000"/>
          <w:spacing w:val="0"/>
          <w:w w:val="100"/>
          <w:position w:val="0"/>
          <w:shd w:val="clear" w:color="auto" w:fill="auto"/>
          <w:lang w:val="hr-HR" w:eastAsia="hr-HR" w:bidi="hr-HR"/>
        </w:rPr>
        <w:t>»k. se može integrirati u način mišljenja muslimana kao historijski, ali danas zapravo ne više nužni pred- stupanj islama. Stoga se stav islama prema kršćanstvu mora danas promatrati kao pose</w:t>
        <w:softHyphen/>
        <w:t>ban slučaj susreta među religijama ili teolo</w:t>
        <w:softHyphen/>
        <w:t>gije religija.« Uz to dolazi i teološka misao koja još uvijek živi u izvjesnim islamskim smjerovima mišljenja, misao da nitko nema pravo odlučivati o ispravnosti individualne vjeroispovijesti drugoga. Prema tomu, među ljudima koji se izvanjski ispovijedaju u nekoj drugoj, a ne u islamskoj vjeri, svakako može biti onih koji su u pogledu čistoće svojih srda</w:t>
        <w:softHyphen/>
        <w:t>ca po dobru zapisani kod Boga i koji će kao »anonimni muslimani« sudjelovati u njegovoj milosti. Njih sukladno tomu i nominalni mus</w:t>
        <w:softHyphen/>
        <w:t>limani moraju smatrati braćom i sestrama u vjeri.</w:t>
      </w:r>
    </w:p>
    <w:p>
      <w:pPr>
        <w:pStyle w:val="Style56"/>
        <w:keepNext w:val="0"/>
        <w:keepLines w:val="0"/>
        <w:widowControl w:val="0"/>
        <w:shd w:val="clear" w:color="auto" w:fill="auto"/>
        <w:tabs>
          <w:tab w:pos="2578"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w:t>
      </w:r>
      <w:r>
        <w:rPr>
          <w:i/>
          <w:iCs/>
          <w:color w:val="000000"/>
          <w:spacing w:val="0"/>
          <w:w w:val="100"/>
          <w:position w:val="0"/>
          <w:shd w:val="clear" w:color="auto" w:fill="auto"/>
          <w:lang w:val="hr-HR" w:eastAsia="hr-HR" w:bidi="hr-HR"/>
        </w:rPr>
        <w:t xml:space="preserve">Christentum </w:t>
      </w:r>
      <w:r>
        <w:rPr>
          <w:i/>
          <w:iCs/>
          <w:color w:val="000000"/>
          <w:spacing w:val="0"/>
          <w:w w:val="100"/>
          <w:position w:val="0"/>
          <w:shd w:val="clear" w:color="auto" w:fill="auto"/>
        </w:rPr>
        <w:t xml:space="preserve">dcr Wellretigionen. Kritische Texte und </w:t>
      </w:r>
      <w:r>
        <w:rPr>
          <w:i/>
          <w:iCs/>
          <w:color w:val="000000"/>
          <w:spacing w:val="0"/>
          <w:w w:val="100"/>
          <w:position w:val="0"/>
          <w:shd w:val="clear" w:color="auto" w:fill="auto"/>
          <w:lang w:val="hr-HR" w:eastAsia="hr-HR" w:bidi="hr-HR"/>
        </w:rPr>
        <w:t>Konimentare,</w:t>
      </w:r>
      <w:r>
        <w:rPr>
          <w:color w:val="000000"/>
          <w:spacing w:val="0"/>
          <w:w w:val="100"/>
          <w:position w:val="0"/>
          <w:shd w:val="clear" w:color="auto" w:fill="auto"/>
          <w:lang w:val="hr-HR" w:eastAsia="hr-HR" w:bidi="hr-HR"/>
        </w:rPr>
        <w:t xml:space="preserve"> hrsg </w:t>
      </w:r>
      <w:r>
        <w:rPr>
          <w:color w:val="000000"/>
          <w:spacing w:val="0"/>
          <w:w w:val="100"/>
          <w:position w:val="0"/>
          <w:shd w:val="clear" w:color="auto" w:fill="auto"/>
        </w:rPr>
        <w:t xml:space="preserve">von Heinz Jurgen </w:t>
      </w:r>
      <w:r>
        <w:rPr>
          <w:color w:val="000000"/>
          <w:spacing w:val="0"/>
          <w:w w:val="100"/>
          <w:position w:val="0"/>
          <w:shd w:val="clear" w:color="auto" w:fill="auto"/>
          <w:lang w:val="hr-HR" w:eastAsia="hr-HR" w:bidi="hr-HR"/>
        </w:rPr>
        <w:t xml:space="preserve">U&gt;th/Michacl </w:t>
      </w:r>
      <w:r>
        <w:rPr>
          <w:color w:val="000000"/>
          <w:spacing w:val="0"/>
          <w:w w:val="100"/>
          <w:position w:val="0"/>
          <w:shd w:val="clear" w:color="auto" w:fill="auto"/>
        </w:rPr>
        <w:t xml:space="preserve">Mild- </w:t>
      </w:r>
      <w:r>
        <w:rPr>
          <w:color w:val="000000"/>
          <w:spacing w:val="0"/>
          <w:w w:val="100"/>
          <w:position w:val="0"/>
          <w:shd w:val="clear" w:color="auto" w:fill="auto"/>
          <w:lang w:val="hr-HR" w:eastAsia="hr-HR" w:bidi="hr-HR"/>
        </w:rPr>
        <w:t xml:space="preserve">cnbcrgcr/Udo </w:t>
      </w:r>
      <w:r>
        <w:rPr>
          <w:color w:val="000000"/>
          <w:spacing w:val="0"/>
          <w:w w:val="100"/>
          <w:position w:val="0"/>
          <w:shd w:val="clear" w:color="auto" w:fill="auto"/>
        </w:rPr>
        <w:t xml:space="preserve">Tworuschka. Stuttgart </w:t>
      </w:r>
      <w:r>
        <w:rPr>
          <w:color w:val="000000"/>
          <w:spacing w:val="0"/>
          <w:w w:val="100"/>
          <w:position w:val="0"/>
          <w:shd w:val="clear" w:color="auto" w:fill="auto"/>
          <w:lang w:val="hr-HR" w:eastAsia="hr-HR" w:bidi="hr-HR"/>
        </w:rPr>
        <w:t xml:space="preserve">1978; Anton Varlnchlcr, Ishmo-christlichcr </w:t>
      </w:r>
      <w:r>
        <w:rPr>
          <w:color w:val="000000"/>
          <w:spacing w:val="0"/>
          <w:w w:val="100"/>
          <w:position w:val="0"/>
          <w:shd w:val="clear" w:color="auto" w:fill="auto"/>
        </w:rPr>
        <w:t xml:space="preserve">Dialog in </w:t>
      </w:r>
      <w:r>
        <w:rPr>
          <w:color w:val="000000"/>
          <w:spacing w:val="0"/>
          <w:w w:val="100"/>
          <w:position w:val="0"/>
          <w:shd w:val="clear" w:color="auto" w:fill="auto"/>
          <w:lang w:val="hr-HR" w:eastAsia="hr-HR" w:bidi="hr-HR"/>
        </w:rPr>
        <w:t xml:space="preserve">OstcrTcich, u: </w:t>
      </w:r>
      <w:r>
        <w:rPr>
          <w:i/>
          <w:iCs/>
          <w:color w:val="000000"/>
          <w:spacing w:val="0"/>
          <w:w w:val="100"/>
          <w:position w:val="0"/>
          <w:shd w:val="clear" w:color="auto" w:fill="auto"/>
        </w:rPr>
        <w:t xml:space="preserve">Liiwgia, </w:t>
      </w:r>
      <w:r>
        <w:rPr>
          <w:i/>
          <w:iCs/>
          <w:color w:val="000000"/>
          <w:spacing w:val="0"/>
          <w:w w:val="100"/>
          <w:position w:val="0"/>
          <w:shd w:val="clear" w:color="auto" w:fill="auto"/>
          <w:lang w:val="hr-HR" w:eastAsia="hr-HR" w:bidi="hr-HR"/>
        </w:rPr>
        <w:t xml:space="preserve">koinonia, diskonta. </w:t>
      </w:r>
      <w:r>
        <w:rPr>
          <w:i/>
          <w:iCs/>
          <w:color w:val="000000"/>
          <w:spacing w:val="0"/>
          <w:w w:val="100"/>
          <w:position w:val="0"/>
          <w:shd w:val="clear" w:color="auto" w:fill="auto"/>
        </w:rPr>
        <w:t xml:space="preserve">Festschrift fur </w:t>
      </w:r>
      <w:r>
        <w:rPr>
          <w:i/>
          <w:iCs/>
          <w:color w:val="000000"/>
          <w:spacing w:val="0"/>
          <w:w w:val="100"/>
          <w:position w:val="0"/>
          <w:shd w:val="clear" w:color="auto" w:fill="auto"/>
          <w:lang w:val="hr-HR" w:eastAsia="hr-HR" w:bidi="hr-HR"/>
        </w:rPr>
        <w:t xml:space="preserve">Kardinal </w:t>
      </w:r>
      <w:r>
        <w:rPr>
          <w:i/>
          <w:iCs/>
          <w:color w:val="000000"/>
          <w:spacing w:val="0"/>
          <w:w w:val="100"/>
          <w:position w:val="0"/>
          <w:shd w:val="clear" w:color="auto" w:fill="auto"/>
        </w:rPr>
        <w:t>Franz Kdnig zum 75. Ge- burtstag,</w:t>
      </w:r>
      <w:r>
        <w:rPr>
          <w:color w:val="000000"/>
          <w:spacing w:val="0"/>
          <w:w w:val="100"/>
          <w:position w:val="0"/>
          <w:shd w:val="clear" w:color="auto" w:fill="auto"/>
        </w:rPr>
        <w:t xml:space="preserve"> WicnFrciburg/Bd.sc! (1981), 262 i d.; Albrecht Noth. Moglicbkeitcn und Grcnzcn ulamischcr Tolcranz. u: </w:t>
      </w:r>
      <w:r>
        <w:rPr>
          <w:i/>
          <w:iCs/>
          <w:color w:val="000000"/>
          <w:spacing w:val="0"/>
          <w:w w:val="100"/>
          <w:position w:val="0"/>
          <w:shd w:val="clear" w:color="auto" w:fill="auto"/>
        </w:rPr>
        <w:t>Saeculum</w:t>
      </w:r>
      <w:r>
        <w:rPr>
          <w:color w:val="000000"/>
          <w:spacing w:val="0"/>
          <w:w w:val="100"/>
          <w:position w:val="0"/>
          <w:shd w:val="clear" w:color="auto" w:fill="auto"/>
        </w:rPr>
        <w:t xml:space="preserve"> 29-1978,193 i d.; Peter Antes. Christus und christ- entum in dcr Siehr dcr groOcn Wcltrcligioncn, u; </w:t>
      </w:r>
      <w:r>
        <w:rPr>
          <w:i/>
          <w:iCs/>
          <w:color w:val="000000"/>
          <w:spacing w:val="0"/>
          <w:w w:val="100"/>
          <w:position w:val="0"/>
          <w:shd w:val="clear" w:color="auto" w:fill="auto"/>
        </w:rPr>
        <w:t>Theologie und Philosophic</w:t>
      </w:r>
      <w:r>
        <w:rPr>
          <w:color w:val="000000"/>
          <w:spacing w:val="0"/>
          <w:w w:val="100"/>
          <w:position w:val="0"/>
          <w:shd w:val="clear" w:color="auto" w:fill="auto"/>
        </w:rPr>
        <w:t xml:space="preserve"> 51/1976. 385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w:t>
        <w:tab/>
        <w:t xml:space="preserve">S. </w:t>
      </w:r>
      <w:r>
        <w:rPr>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3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KRŠTENJE -&gt; </w:t>
      </w:r>
      <w:r>
        <w:rPr>
          <w:rFonts w:ascii="Times New Roman" w:eastAsia="Times New Roman" w:hAnsi="Times New Roman" w:cs="Times New Roman"/>
          <w:color w:val="000000"/>
          <w:spacing w:val="0"/>
          <w:w w:val="100"/>
          <w:position w:val="0"/>
          <w:shd w:val="clear" w:color="auto" w:fill="auto"/>
          <w:lang w:val="hr-HR" w:eastAsia="hr-HR" w:bidi="hr-HR"/>
        </w:rPr>
        <w:t>SAKRAMENT</w:t>
      </w:r>
    </w:p>
    <w:p>
      <w:pPr>
        <w:pStyle w:val="Style33"/>
        <w:keepNext w:val="0"/>
        <w:keepLines w:val="0"/>
        <w:widowControl w:val="0"/>
        <w:shd w:val="clear" w:color="auto" w:fill="auto"/>
        <w:bidi w:val="0"/>
        <w:spacing w:before="0" w:after="1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KULT</w:t>
      </w:r>
    </w:p>
    <w:p>
      <w:pPr>
        <w:pStyle w:val="Style63"/>
        <w:keepNext/>
        <w:keepLines/>
        <w:widowControl w:val="0"/>
        <w:numPr>
          <w:ilvl w:val="0"/>
          <w:numId w:val="247"/>
        </w:numPr>
        <w:shd w:val="clear" w:color="auto" w:fill="auto"/>
        <w:tabs>
          <w:tab w:pos="246" w:val="left"/>
        </w:tabs>
        <w:bidi w:val="0"/>
        <w:spacing w:before="0"/>
        <w:ind w:left="0" w:right="0" w:firstLine="0"/>
        <w:jc w:val="left"/>
      </w:pPr>
      <w:bookmarkStart w:id="167" w:name="bookmark167"/>
      <w:r>
        <w:rPr>
          <w:rFonts w:ascii="Times New Roman" w:eastAsia="Times New Roman" w:hAnsi="Times New Roman" w:cs="Times New Roman"/>
          <w:color w:val="000000"/>
          <w:spacing w:val="0"/>
          <w:w w:val="100"/>
          <w:position w:val="0"/>
          <w:shd w:val="clear" w:color="auto" w:fill="auto"/>
          <w:lang w:val="hr-HR" w:eastAsia="hr-HR" w:bidi="hr-HR"/>
        </w:rPr>
        <w:t>židovski</w:t>
      </w:r>
      <w:bookmarkEnd w:id="167"/>
    </w:p>
    <w:p>
      <w:pPr>
        <w:pStyle w:val="Style20"/>
        <w:keepNext w:val="0"/>
        <w:keepLines w:val="0"/>
        <w:widowControl w:val="0"/>
        <w:shd w:val="clear" w:color="auto" w:fill="auto"/>
        <w:tabs>
          <w:tab w:pos="28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w:t>
        <w:tab/>
        <w:t xml:space="preserve">na izvjestan način gradi samo kuću u kojoj Bog može stanovati kako bi njegovo vrijeme poslalo spoznatljivo vrijeme - ne kao vrijeme pojedinca, nego kao vrijeme svih zajedno. Tu se ubrajaju i vremena što ih priprema k. i koja u život svih trebaju utisnuti glavni razlog i očekivani cilj dana, tjedna, mjeseca i godine: Božju vladavinu koja jc tajanstveno prisutna u blagoslovu i koja čc biti u mesijansko vrijeme svima vidljiva i koja će sve otkupiti. Dok je postojao Hram, dnevna je žrtva ostvarivala židovskom narodu blizinu Stvoriteljeva neba i zemlje: </w:t>
      </w:r>
      <w:r>
        <w:rPr>
          <w:rFonts w:ascii="Times New Roman" w:eastAsia="Times New Roman" w:hAnsi="Times New Roman" w:cs="Times New Roman"/>
          <w:i/>
          <w:iCs/>
          <w:color w:val="000000"/>
          <w:spacing w:val="0"/>
          <w:w w:val="100"/>
          <w:position w:val="0"/>
          <w:shd w:val="clear" w:color="auto" w:fill="auto"/>
          <w:lang w:val="hr-HR" w:eastAsia="hr-HR" w:bidi="hr-HR"/>
        </w:rPr>
        <w:t>trajna</w:t>
      </w:r>
      <w:r>
        <w:rPr>
          <w:rFonts w:ascii="Times New Roman" w:eastAsia="Times New Roman" w:hAnsi="Times New Roman" w:cs="Times New Roman"/>
          <w:color w:val="000000"/>
          <w:spacing w:val="0"/>
          <w:w w:val="100"/>
          <w:position w:val="0"/>
          <w:shd w:val="clear" w:color="auto" w:fill="auto"/>
          <w:lang w:val="hr-HR" w:eastAsia="hr-HR" w:bidi="hr-HR"/>
        </w:rPr>
        <w:t xml:space="preserve"> žrtva prinosnica velikog sveće</w:t>
        <w:softHyphen/>
        <w:t xml:space="preserve">nika </w:t>
      </w:r>
      <w:r>
        <w:rPr>
          <w:rFonts w:ascii="Times New Roman" w:eastAsia="Times New Roman" w:hAnsi="Times New Roman" w:cs="Times New Roman"/>
          <w:i/>
          <w:iCs/>
          <w:color w:val="000000"/>
          <w:spacing w:val="0"/>
          <w:w w:val="100"/>
          <w:position w:val="0"/>
          <w:shd w:val="clear" w:color="auto" w:fill="auto"/>
          <w:lang w:val="hr-HR" w:eastAsia="hr-HR" w:bidi="hr-HR"/>
        </w:rPr>
        <w:t xml:space="preserve">(minha </w:t>
      </w:r>
      <w:r>
        <w:rPr>
          <w:rFonts w:ascii="Times New Roman" w:eastAsia="Times New Roman" w:hAnsi="Times New Roman" w:cs="Times New Roman"/>
          <w:i/>
          <w:iCs/>
          <w:color w:val="000000"/>
          <w:spacing w:val="0"/>
          <w:w w:val="100"/>
          <w:position w:val="0"/>
          <w:shd w:val="clear" w:color="auto" w:fill="auto"/>
          <w:lang w:val="en-US" w:eastAsia="en-US" w:bidi="en-US"/>
        </w:rPr>
        <w:t>tamid.</w:t>
      </w:r>
      <w:r>
        <w:rPr>
          <w:rFonts w:ascii="Times New Roman" w:eastAsia="Times New Roman" w:hAnsi="Times New Roman" w:cs="Times New Roman"/>
          <w:color w:val="000000"/>
          <w:spacing w:val="0"/>
          <w:w w:val="100"/>
          <w:position w:val="0"/>
          <w:shd w:val="clear" w:color="auto" w:fill="auto"/>
          <w:lang w:val="en-US" w:eastAsia="en-US" w:bidi="en-US"/>
        </w:rPr>
        <w:t xml:space="preserve"> Lev </w:t>
      </w:r>
      <w:r>
        <w:rPr>
          <w:rFonts w:ascii="Times New Roman" w:eastAsia="Times New Roman" w:hAnsi="Times New Roman" w:cs="Times New Roman"/>
          <w:color w:val="000000"/>
          <w:spacing w:val="0"/>
          <w:w w:val="100"/>
          <w:position w:val="0"/>
          <w:shd w:val="clear" w:color="auto" w:fill="auto"/>
          <w:lang w:val="hr-HR" w:eastAsia="hr-HR" w:bidi="hr-HR"/>
        </w:rPr>
        <w:t xml:space="preserve">6,12-16;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havitim, </w:t>
      </w:r>
      <w:r>
        <w:rPr>
          <w:rFonts w:ascii="Times New Roman" w:eastAsia="Times New Roman" w:hAnsi="Times New Roman" w:cs="Times New Roman"/>
          <w:color w:val="000000"/>
          <w:spacing w:val="0"/>
          <w:w w:val="100"/>
          <w:position w:val="0"/>
          <w:shd w:val="clear" w:color="auto" w:fill="auto"/>
          <w:lang w:val="hr-HR" w:eastAsia="hr-HR" w:bidi="hr-HR"/>
        </w:rPr>
        <w:t xml:space="preserve">»žrtva prinosnica zgotovljena u kotluši«, M Joma 11,3; Tos. 1,13; Tamid 111,1) i </w:t>
      </w:r>
      <w:r>
        <w:rPr>
          <w:rFonts w:ascii="Times New Roman" w:eastAsia="Times New Roman" w:hAnsi="Times New Roman" w:cs="Times New Roman"/>
          <w:i/>
          <w:iCs/>
          <w:color w:val="000000"/>
          <w:spacing w:val="0"/>
          <w:w w:val="100"/>
          <w:position w:val="0"/>
          <w:shd w:val="clear" w:color="auto" w:fill="auto"/>
          <w:lang w:val="hr-HR" w:eastAsia="hr-HR" w:bidi="hr-HR"/>
        </w:rPr>
        <w:t>trajna</w:t>
      </w:r>
      <w:r>
        <w:rPr>
          <w:rFonts w:ascii="Times New Roman" w:eastAsia="Times New Roman" w:hAnsi="Times New Roman" w:cs="Times New Roman"/>
          <w:color w:val="000000"/>
          <w:spacing w:val="0"/>
          <w:w w:val="100"/>
          <w:position w:val="0"/>
          <w:shd w:val="clear" w:color="auto" w:fill="auto"/>
          <w:lang w:val="hr-HR" w:eastAsia="hr-HR" w:bidi="hr-HR"/>
        </w:rPr>
        <w:t xml:space="preserve"> žrtva paljenica naroda </w:t>
      </w:r>
      <w:r>
        <w:rPr>
          <w:rFonts w:ascii="Times New Roman" w:eastAsia="Times New Roman" w:hAnsi="Times New Roman" w:cs="Times New Roman"/>
          <w:i/>
          <w:iCs/>
          <w:color w:val="000000"/>
          <w:spacing w:val="0"/>
          <w:w w:val="100"/>
          <w:position w:val="0"/>
          <w:shd w:val="clear" w:color="auto" w:fill="auto"/>
          <w:lang w:val="en-US" w:eastAsia="en-US" w:bidi="en-US"/>
        </w:rPr>
        <w:t xml:space="preserve">(plat </w:t>
      </w:r>
      <w:r>
        <w:rPr>
          <w:rFonts w:ascii="Times New Roman" w:eastAsia="Times New Roman" w:hAnsi="Times New Roman" w:cs="Times New Roman"/>
          <w:i/>
          <w:iCs/>
          <w:color w:val="000000"/>
          <w:spacing w:val="0"/>
          <w:w w:val="100"/>
          <w:position w:val="0"/>
          <w:shd w:val="clear" w:color="auto" w:fill="auto"/>
          <w:lang w:val="hr-HR" w:eastAsia="hr-HR" w:bidi="hr-HR"/>
        </w:rPr>
        <w:t>tamid,</w:t>
      </w:r>
      <w:r>
        <w:rPr>
          <w:rFonts w:ascii="Times New Roman" w:eastAsia="Times New Roman" w:hAnsi="Times New Roman" w:cs="Times New Roman"/>
          <w:color w:val="000000"/>
          <w:spacing w:val="0"/>
          <w:w w:val="100"/>
          <w:position w:val="0"/>
          <w:shd w:val="clear" w:color="auto" w:fill="auto"/>
          <w:lang w:val="hr-HR" w:eastAsia="hr-HR" w:bidi="hr-HR"/>
        </w:rPr>
        <w:t xml:space="preserve"> Izl 29,38-42; Br 28,3-8; /ha-/ tamid Dn 8,11-13; 11,31, 12,11 i u rabinskoj literaturi, M Pesahim V, 1.3.4; Joma 11,5; VII,3;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IV,6) prinosile su se po polovicu ujutro i navečer. Svećenici su bili nositelji bogoslužja u Hramu. Za razliku od njega, sinagogalno se bogoslužje obavlja u meditaciji o Tori i u molitvi. Njegovo jc sre</w:t>
        <w:softHyphen/>
        <w:t xml:space="preserve">dište </w:t>
      </w:r>
      <w:r>
        <w:rPr>
          <w:rFonts w:ascii="Times New Roman" w:eastAsia="Times New Roman" w:hAnsi="Times New Roman" w:cs="Times New Roman"/>
          <w:i/>
          <w:iCs/>
          <w:color w:val="000000"/>
          <w:spacing w:val="0"/>
          <w:w w:val="100"/>
          <w:position w:val="0"/>
          <w:shd w:val="clear" w:color="auto" w:fill="auto"/>
          <w:lang w:val="hr-HR" w:eastAsia="hr-HR" w:bidi="hr-HR"/>
        </w:rPr>
        <w:t>čitanje</w:t>
      </w:r>
      <w:r>
        <w:rPr>
          <w:rFonts w:ascii="Times New Roman" w:eastAsia="Times New Roman" w:hAnsi="Times New Roman" w:cs="Times New Roman"/>
          <w:color w:val="000000"/>
          <w:spacing w:val="0"/>
          <w:w w:val="100"/>
          <w:position w:val="0"/>
          <w:shd w:val="clear" w:color="auto" w:fill="auto"/>
          <w:lang w:val="hr-HR" w:eastAsia="hr-HR" w:bidi="hr-HR"/>
        </w:rPr>
        <w:t xml:space="preserve"> jednog odlomka iz Tore. Ono nije povlastica određenoga staleža (M Megila IV,6; Tos. IV,28; b 23a). Bogoslužje više ne ovisi o svećenicima ili drugim ovlaštenim reli</w:t>
        <w:softHyphen/>
        <w:t>gijskim službenicima; zajednica ga obavlja sama ako je prisutno najmanje deset osoba (M Megila IV,3; b 23b; Berahot 6b). U poslijepodnevnom bogoslužju na sabat te u tjednim bogoslužjima ponedjeljkom i četvrt</w:t>
        <w:softHyphen/>
        <w:t>kom tri osobe slušaju čitanje, na dane Mla</w:t>
        <w:softHyphen/>
        <w:t>đaka i na blagdane između Pesaha i Sjenica četiri osobe, na Dan pomirenja šest i na šabat uvijek sedam osoba (M Megila IV, 1 i d.; Tos. 1V,11; j IV,75a; b 23a). Predstojnik sinagoge (b Pesahim 49a) određuje one koji trebaju ra</w:t>
        <w:softHyphen/>
        <w:t>diti kao predmolitelji ili čitači i eventualno poziva odgovarajuću osobu da drži propovijed (Tos. Megila IV,21; b Gittin 59b; Rašijev komentar na b Sota 40b; Joma 68b). Povijest nas ne obavještava o nastanku sinagoge. Miš</w:t>
        <w:softHyphen/>
        <w:t>ljenje da joj podrijetlo valja tražiti u babilon</w:t>
        <w:softHyphen/>
        <w:t xml:space="preserve">skom egzilu (I. Elbogen,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jiidische Gottes-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dienst in seiner geschichtlichen Entwicklung, </w:t>
      </w:r>
      <w:r>
        <w:rPr>
          <w:rFonts w:ascii="Times New Roman" w:eastAsia="Times New Roman" w:hAnsi="Times New Roman" w:cs="Times New Roman"/>
          <w:color w:val="000000"/>
          <w:spacing w:val="0"/>
          <w:w w:val="100"/>
          <w:position w:val="0"/>
          <w:shd w:val="clear" w:color="auto" w:fill="auto"/>
          <w:lang w:val="en-US" w:eastAsia="en-US" w:bidi="en-US"/>
        </w:rPr>
        <w:t xml:space="preserve">’1931/1967, 235; usp. K. Hruby, </w:t>
      </w:r>
      <w:r>
        <w:rPr>
          <w:rFonts w:ascii="Times New Roman" w:eastAsia="Times New Roman" w:hAnsi="Times New Roman" w:cs="Times New Roman"/>
          <w:i/>
          <w:iCs/>
          <w:color w:val="000000"/>
          <w:spacing w:val="0"/>
          <w:w w:val="100"/>
          <w:position w:val="0"/>
          <w:shd w:val="clear" w:color="auto" w:fill="auto"/>
          <w:lang w:val="en-US" w:eastAsia="en-US" w:bidi="en-US"/>
        </w:rPr>
        <w:t>Die Synagoge. Geschichtliche Entwicklung einer Institution,</w:t>
      </w:r>
    </w:p>
    <w:p>
      <w:pPr>
        <w:pStyle w:val="Style20"/>
        <w:keepNext w:val="0"/>
        <w:keepLines w:val="0"/>
        <w:widowControl w:val="0"/>
        <w:numPr>
          <w:ilvl w:val="0"/>
          <w:numId w:val="249"/>
        </w:numPr>
        <w:shd w:val="clear" w:color="auto" w:fill="auto"/>
        <w:tabs>
          <w:tab w:pos="481" w:val="left"/>
        </w:tabs>
        <w:bidi w:val="0"/>
        <w:spacing w:before="0" w:after="18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19-22), </w:t>
      </w:r>
      <w:r>
        <w:rPr>
          <w:rFonts w:ascii="Times New Roman" w:eastAsia="Times New Roman" w:hAnsi="Times New Roman" w:cs="Times New Roman"/>
          <w:color w:val="000000"/>
          <w:spacing w:val="0"/>
          <w:w w:val="100"/>
          <w:position w:val="0"/>
          <w:shd w:val="clear" w:color="auto" w:fill="auto"/>
          <w:lang w:val="hr-HR" w:eastAsia="hr-HR" w:bidi="hr-HR"/>
        </w:rPr>
        <w:t>u kojem je, kako se navodi. Bog Židovima u dijaspori dao sinagogu kao na</w:t>
        <w:softHyphen/>
        <w:t xml:space="preserve">domjestak za jeruzalemsko svetište (tako kaže Targum uz Izl 11,16), nije pouzdano (S. Sa- lrai,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jiidische Volk im </w:t>
      </w:r>
      <w:r>
        <w:rPr>
          <w:rFonts w:ascii="Times New Roman" w:eastAsia="Times New Roman" w:hAnsi="Times New Roman" w:cs="Times New Roman"/>
          <w:i/>
          <w:iCs/>
          <w:color w:val="000000"/>
          <w:spacing w:val="0"/>
          <w:w w:val="100"/>
          <w:position w:val="0"/>
          <w:shd w:val="clear" w:color="auto" w:fill="auto"/>
          <w:lang w:val="en-US" w:eastAsia="en-US" w:bidi="en-US"/>
        </w:rPr>
        <w:t>Zeitalter des zweiten Tempels,</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1980, 51 i d.). Njezini počeci potječu vjerojatno iz doba sastanaka naroda u pred</w:t>
        <w:softHyphen/>
        <w:t>vorju Hrama u Ezrino i Nehemijino vrijeme s čitanjem Tore kao bogoslužne radnje (Neh 8). Odatle se ta ustanova proširila na druge gra</w:t>
        <w:softHyphen/>
        <w:t>dove u zemlji (M Taanit IV,2) i na dijasporu. Prema tomu, sinagogalno bogoslužje nije za</w:t>
        <w:softHyphen/>
        <w:t>mijenilo hramski k., već se prije razvilo iz po</w:t>
        <w:softHyphen/>
        <w:t>trebe da sve židovstvo na bogoslužju sudjeluje u uzajamnom odnosu Boga i njegova naroda intenzivnije negoli su to omogućavale radnje u središnjem svetištu. Liturgija primijenjena na skupovima raznih mjesta u domovini u raz</w:t>
        <w:softHyphen/>
        <w:t xml:space="preserve">doblju drugoga Hrama nalikovala je gotovo onoj na javne posne dane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II—IV). »Grad</w:t>
        <w:softHyphen/>
        <w:t>skim trgovima« (rehobot ha-’ir), na kojima su se ljudi skupljali na molitvenim sastancima, rabini su priznavali karakter svetosti: »Jer na</w:t>
        <w:softHyphen/>
        <w:t>rod na dane postanka, na dane kada jc ži</w:t>
        <w:softHyphen/>
        <w:t>dovsko pučko izaslanstvo sudjelovalo u dnev</w:t>
        <w:softHyphen/>
        <w:t xml:space="preserve">nome hramskom žrtvenom prinosu </w:t>
      </w:r>
      <w:r>
        <w:rPr>
          <w:rFonts w:ascii="Times New Roman" w:eastAsia="Times New Roman" w:hAnsi="Times New Roman" w:cs="Times New Roman"/>
          <w:i/>
          <w:iCs/>
          <w:color w:val="000000"/>
          <w:spacing w:val="0"/>
          <w:w w:val="100"/>
          <w:position w:val="0"/>
          <w:shd w:val="clear" w:color="auto" w:fill="auto"/>
          <w:lang w:val="hr-HR" w:eastAsia="hr-HR" w:bidi="hr-HR"/>
        </w:rPr>
        <w:t>(ma 'ama- dot,</w:t>
      </w:r>
      <w:r>
        <w:rPr>
          <w:rFonts w:ascii="Times New Roman" w:eastAsia="Times New Roman" w:hAnsi="Times New Roman" w:cs="Times New Roman"/>
          <w:color w:val="000000"/>
          <w:spacing w:val="0"/>
          <w:w w:val="100"/>
          <w:position w:val="0"/>
          <w:shd w:val="clear" w:color="auto" w:fill="auto"/>
          <w:lang w:val="hr-HR" w:eastAsia="hr-HR" w:bidi="hr-HR"/>
        </w:rPr>
        <w:t xml:space="preserve"> tj. dok su njihovi zastupnici služili u hram</w:t>
        <w:softHyphen/>
        <w:t xml:space="preserve">skom obredu,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IV,2), ondje moli« (b Me</w:t>
        <w:softHyphen/>
        <w:t>gila 26a). Fiksna molitvena vremena orijenti</w:t>
        <w:softHyphen/>
        <w:t>rana su na hramski obred: »Rabini su rekli: Molitve su naučene od tamidskih žrtava« (j Berahot IV, 7b; usp. 7a; b 26b). Molitvi po</w:t>
        <w:softHyphen/>
        <w:t>jedinca mjesto je ondje gdje svatko može biti jednako prosvijetljen slušanjem i razmišlja</w:t>
        <w:softHyphen/>
        <w:t>njem o pročitanoj i rastumačenoj Tori kao na</w:t>
        <w:softHyphen/>
        <w:t>putku za život: »Čovjek se mora moliti na mjestu određenom za molitvu (tj. u sinagogi). A razlog u Pismu? ‘Na svakome mjestu koje odredim za spominjanje mojega imena, ja ću doći k tebi da te blagoslovim’ (Izl 20,24). To ne znači ‘gdje se ti spominješ mojeg imena’, nego ‘na mjestu koje ja odredim za spominja</w:t>
        <w:softHyphen/>
        <w:t>nje mojega imena’« (j Berahot IV,8b, V,8d, b 8a; 6a); jer »molitva skupa nikada se ne vraća neuslišana« (Devarim raba 11,3,24).</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W. Bciussct/H. Grcssmann. </w:t>
      </w:r>
      <w:r>
        <w:rPr>
          <w:i/>
          <w:iCs/>
          <w:color w:val="000000"/>
          <w:spacing w:val="0"/>
          <w:w w:val="100"/>
          <w:position w:val="0"/>
          <w:shd w:val="clear" w:color="auto" w:fill="auto"/>
        </w:rPr>
        <w:t xml:space="preserve">Die Religion des </w:t>
      </w:r>
      <w:r>
        <w:rPr>
          <w:i/>
          <w:iCs/>
          <w:color w:val="000000"/>
          <w:spacing w:val="0"/>
          <w:w w:val="100"/>
          <w:position w:val="0"/>
          <w:shd w:val="clear" w:color="auto" w:fill="auto"/>
          <w:lang w:val="hr-HR" w:eastAsia="hr-HR" w:bidi="hr-HR"/>
        </w:rPr>
        <w:t xml:space="preserve">Judentums im </w:t>
      </w:r>
      <w:r>
        <w:rPr>
          <w:i/>
          <w:iCs/>
          <w:color w:val="000000"/>
          <w:spacing w:val="0"/>
          <w:w w:val="100"/>
          <w:position w:val="0"/>
          <w:shd w:val="clear" w:color="auto" w:fill="auto"/>
        </w:rPr>
        <w:t>spdihellenistischcn Zeitalter,</w:t>
      </w:r>
      <w:r>
        <w:rPr>
          <w:color w:val="000000"/>
          <w:spacing w:val="0"/>
          <w:w w:val="100"/>
          <w:position w:val="0"/>
          <w:shd w:val="clear" w:color="auto" w:fill="auto"/>
        </w:rPr>
        <w:t xml:space="preserve"> </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1966, 99 i &lt;J., ]()4 i d., 172 i d., 434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J. Maier. </w:t>
      </w:r>
      <w:r>
        <w:rPr>
          <w:i/>
          <w:iCs/>
          <w:color w:val="000000"/>
          <w:spacing w:val="0"/>
          <w:w w:val="100"/>
          <w:position w:val="0"/>
          <w:shd w:val="clear" w:color="auto" w:fill="auto"/>
        </w:rPr>
        <w:t>Geschichle tier judischen Religion,</w:t>
      </w:r>
    </w:p>
    <w:p>
      <w:pPr>
        <w:pStyle w:val="Style56"/>
        <w:keepNext w:val="0"/>
        <w:keepLines w:val="0"/>
        <w:widowControl w:val="0"/>
        <w:numPr>
          <w:ilvl w:val="0"/>
          <w:numId w:val="251"/>
        </w:numPr>
        <w:shd w:val="clear" w:color="auto" w:fill="auto"/>
        <w:tabs>
          <w:tab w:pos="462" w:val="left"/>
        </w:tabs>
        <w:bidi w:val="0"/>
        <w:spacing w:before="0" w:after="0" w:line="240" w:lineRule="auto"/>
        <w:ind w:left="0" w:right="0" w:firstLine="0"/>
        <w:jc w:val="both"/>
        <w:sectPr>
          <w:headerReference w:type="default" r:id="rId677"/>
          <w:footerReference w:type="default" r:id="rId678"/>
          <w:headerReference w:type="even" r:id="rId679"/>
          <w:footerReference w:type="even" r:id="rId680"/>
          <w:headerReference w:type="first" r:id="rId681"/>
          <w:footerReference w:type="first" r:id="rId682"/>
          <w:footnotePr>
            <w:pos w:val="pageBottom"/>
            <w:numFmt w:val="decimal"/>
            <w:numRestart w:val="continuous"/>
            <w15:footnoteColumns w:val="1"/>
          </w:footnotePr>
          <w:pgSz w:w="6816" w:h="11006"/>
          <w:pgMar w:top="992" w:left="166" w:right="174" w:bottom="453" w:header="0" w:footer="3" w:gutter="0"/>
          <w:pgNumType w:start="230"/>
          <w:cols w:num="2" w:space="145"/>
          <w:noEndnote/>
          <w:titlePg/>
          <w:rtlGutter w:val="0"/>
          <w:docGrid w:linePitch="360"/>
        </w:sectPr>
      </w:pPr>
      <w:r>
        <w:rPr>
          <w:color w:val="000000"/>
          <w:spacing w:val="0"/>
          <w:w w:val="100"/>
          <w:position w:val="0"/>
          <w:shd w:val="clear" w:color="auto" w:fill="auto"/>
        </w:rPr>
        <w:t xml:space="preserve">30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116 i d.; isti.’P. Schafer, </w:t>
      </w:r>
      <w:r>
        <w:rPr>
          <w:i/>
          <w:iCs/>
          <w:color w:val="000000"/>
          <w:spacing w:val="0"/>
          <w:w w:val="100"/>
          <w:position w:val="0"/>
          <w:shd w:val="clear" w:color="auto" w:fill="auto"/>
        </w:rPr>
        <w:t>Kleines Lexikon des hi-</w:t>
      </w:r>
    </w:p>
    <w:p>
      <w:pPr>
        <w:pStyle w:val="Style56"/>
        <w:keepNext w:val="0"/>
        <w:keepLines w:val="0"/>
        <w:widowControl w:val="0"/>
        <w:shd w:val="clear" w:color="auto" w:fill="auto"/>
        <w:tabs>
          <w:tab w:pos="2443" w:val="left"/>
        </w:tabs>
        <w:bidi w:val="0"/>
        <w:spacing w:before="0" w:after="140" w:line="240" w:lineRule="auto"/>
        <w:ind w:left="0" w:right="0" w:firstLine="0"/>
        <w:jc w:val="both"/>
      </w:pPr>
      <w:r>
        <w:rPr>
          <w:i/>
          <w:iCs/>
          <w:color w:val="000000"/>
          <w:spacing w:val="0"/>
          <w:w w:val="100"/>
          <w:position w:val="0"/>
          <w:shd w:val="clear" w:color="auto" w:fill="auto"/>
          <w:lang w:val="hr-HR" w:eastAsia="hr-HR" w:bidi="hr-HR"/>
        </w:rPr>
        <w:t>denlums,</w:t>
      </w:r>
      <w:r>
        <w:rPr>
          <w:color w:val="000000"/>
          <w:spacing w:val="0"/>
          <w:w w:val="100"/>
          <w:position w:val="0"/>
          <w:shd w:val="clear" w:color="auto" w:fill="auto"/>
          <w:lang w:val="hr-HR" w:eastAsia="hr-HR" w:bidi="hr-HR"/>
        </w:rPr>
        <w:t xml:space="preserve"> 1981, 181 i d.;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5,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1978, 1155-1169.</w:t>
        <w:tab/>
        <w:t xml:space="preserve">D. </w:t>
      </w:r>
      <w:r>
        <w:rPr>
          <w:color w:val="000000"/>
          <w:spacing w:val="0"/>
          <w:w w:val="100"/>
          <w:position w:val="0"/>
          <w:shd w:val="clear" w:color="auto" w:fill="auto"/>
        </w:rPr>
        <w:t>VETTER</w:t>
      </w:r>
    </w:p>
    <w:p>
      <w:pPr>
        <w:pStyle w:val="Style63"/>
        <w:keepNext/>
        <w:keepLines/>
        <w:widowControl w:val="0"/>
        <w:numPr>
          <w:ilvl w:val="0"/>
          <w:numId w:val="247"/>
        </w:numPr>
        <w:shd w:val="clear" w:color="auto" w:fill="auto"/>
        <w:tabs>
          <w:tab w:pos="260" w:val="left"/>
        </w:tabs>
        <w:bidi w:val="0"/>
        <w:spacing w:before="0" w:after="100" w:line="223" w:lineRule="auto"/>
        <w:ind w:left="0" w:right="0" w:firstLine="0"/>
        <w:jc w:val="both"/>
      </w:pPr>
      <w:bookmarkStart w:id="168" w:name="bookmark16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6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je služba koja se duguje i iskazuje božan</w:t>
        <w:softHyphen/>
        <w:t>stvu da bi se osigurala blizina božanstva koja pomaže i time sretan život. Središnji smisao kultnog slavlja je pojava božanstva (epifanija). Da bi je ostvarila, zajednica mora ispuniti od</w:t>
        <w:softHyphen/>
        <w:t>ređene riječi i radnje. Za to je potreban i ovlašten posrednik, svećenik. Pritom je kultni susret vezan uz pravo mjesto i pravo vrijeme. Samo ako se prema predaji održavaju obredi i pravila, k. će ostvariti svoj cilj.</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kršćane je s Kristom »ispunjen« stari kult</w:t>
        <w:softHyphen/>
        <w:t>ni poredak; mjesto susreta s Bogom sada je Krist (Iv 2,19; 1 Iv 1,1-3) u kojemu se nas</w:t>
        <w:softHyphen/>
        <w:t>tanila Božja slava (Iv 1,14). Smrću i uskrs</w:t>
        <w:softHyphen/>
        <w:t>nućem Krist je vjernike zajedno sazdao u sveti hram i za stan Božji (Ef 2,20-22). Sada je samo Krist put k Ocu (Iv 14,6). Sada uz njega nema više svećenika ni vezanosti uz određeno mjesto, uz vrijeme, uz određeni obred. Još po</w:t>
        <w:softHyphen/>
        <w:t>stoji samo vezanost uz Krista koja se više ne događa u kultnim oblicima koji su sačuvani predajom nego u zajedništvu onih koji vjeruju u Krista i koji su, ispunjeni Duhom Svetim (1 Kor 3,16), po tome stvarno mjesto Kristove prisutnosti i štovanja Boga. Tko je krštenjem u vodi i Duhom Svetim pridružen Kristovu Tijelu, za njega je čitav život susret s Bogom i služba Božja. Pritom zajednica mora biti ostvarena u ljudskim oblicima, ali ona se ipak događa najprije u ne-kultnim oblicima među</w:t>
        <w:softHyphen/>
        <w:t>ljudskog zajedništva u kojima je Krist prisutan svojom riječju i svojim Duhom.</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Termin k. doživio je u teološkom razvoju krš</w:t>
        <w:softHyphen/>
        <w:t>ćanstva zamašne promjene. U katoličkoj škol</w:t>
        <w:softHyphen/>
        <w:t>skoj teologiji on je klasičan pojam koji u etici i moralki od antike preko skolastike obuhvaća k. kao čin kreposti religije koja se sa svoje strane ubraja u pravednost, kardinalnu kepost - odatle izraz »dužni k.«. U srednjem vijeku (Toma Akvinski) slijedi daljnje sužavanje: K., za razliku od vjere, nade i ljubavi, nema za cilj neposredno samoga Boga nego samo kultne čine kao prigibanje koljena, a Boga samo po</w:t>
        <w:softHyphen/>
        <w:t>sredno. Tako se k. primjenjuje u smislu čašće- nja, štovanja i žrtve pa se shvaća kao Bogu dužan izraz našega predanja koje zahtijevaju stvoreni svijet i povijest spasenja. Stoga to jed</w:t>
        <w:softHyphen/>
        <w:t>nostrano gledište nije pravedno prema krš</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ćanskom pojmu liturgije (služba Božja). Zbog njegova profanog prizvuka crkveni oci nisu pojam kulta upotrebljavali za kršćansku službu Božju. Uz to dolazi i mnogoznačnost te riječi. Kada npr.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govori o kultu, on tada misli na ono što čine čistačice prostora u crkvenoj zgradi. Pripadajući lat. glagol colere znači orati polje plugom, zatim općenito nje</w:t>
        <w:softHyphen/>
        <w:t>gu, npr. njegu tijela. U crkvenom pravu od 1917. još su kao kult označeni mnogi nelitur- gijski čini poput zakletve i zavjeta dok crkve</w:t>
        <w:softHyphen/>
        <w:t>no pravo od 1983. točnije govori o liturgiji i službi Božjoj. I u primjeni na religijski smisao riječ k. nije prikladna da obuhvati puninu čina koji uzdižu k. Bogu jer, strogo uzeto, izriče samo štovanje. Tako jermin k. ističe samo jed</w:t>
        <w:softHyphen/>
        <w:t>nu stranu bogoslužja kršćanske zajednice, sve čine koji uzdižu prema Bogu, ali ne i spasenj- ski postupak samoga Boga. Zbog toga je taj izraz neprikladan da opiše kršćansku službu Božju. Stoga se ne primjenjuje u istočnim crkvama. Tamo se od starine primjenjuje po</w:t>
        <w:softHyphen/>
        <w:t>jam liturgije kada treba označiti zajednicu ko</w:t>
        <w:softHyphen/>
        <w:t>ja je okupljena na službi Božjoj.</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A. Hahn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dr., </w:t>
      </w:r>
      <w:r>
        <w:rPr>
          <w:i/>
          <w:iCs/>
          <w:color w:val="000000"/>
          <w:spacing w:val="0"/>
          <w:w w:val="100"/>
          <w:position w:val="0"/>
          <w:shd w:val="clear" w:color="auto" w:fill="auto"/>
        </w:rPr>
        <w:t>Anthropologic des Kulles,</w:t>
      </w:r>
      <w:r>
        <w:rPr>
          <w:color w:val="000000"/>
          <w:spacing w:val="0"/>
          <w:w w:val="100"/>
          <w:position w:val="0"/>
          <w:shd w:val="clear" w:color="auto" w:fill="auto"/>
        </w:rPr>
        <w:t xml:space="preserve"> Freiburg 1977; E. J. Lcngcling, Lilurgic, u: NHThG 3 (1985) 26-53.</w:t>
      </w:r>
    </w:p>
    <w:p>
      <w:pPr>
        <w:pStyle w:val="Style74"/>
        <w:keepNext w:val="0"/>
        <w:keepLines w:val="0"/>
        <w:widowControl w:val="0"/>
        <w:shd w:val="clear" w:color="auto" w:fill="auto"/>
        <w:bidi w:val="0"/>
        <w:spacing w:before="0" w:after="260" w:line="290"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K. RK1TIER</w:t>
      </w:r>
    </w:p>
    <w:p>
      <w:pPr>
        <w:pStyle w:val="Style33"/>
        <w:keepNext w:val="0"/>
        <w:keepLines w:val="0"/>
        <w:widowControl w:val="0"/>
        <w:numPr>
          <w:ilvl w:val="0"/>
          <w:numId w:val="247"/>
        </w:numPr>
        <w:shd w:val="clear" w:color="auto" w:fill="auto"/>
        <w:tabs>
          <w:tab w:pos="260" w:val="left"/>
        </w:tabs>
        <w:bidi w:val="0"/>
        <w:spacing w:before="0" w:after="260" w:line="22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islamski BOGOSLUŽJE</w:t>
      </w:r>
    </w:p>
    <w:p>
      <w:pPr>
        <w:pStyle w:val="Style33"/>
        <w:keepNext w:val="0"/>
        <w:keepLines w:val="0"/>
        <w:widowControl w:val="0"/>
        <w:shd w:val="clear" w:color="auto" w:fill="auto"/>
        <w:bidi w:val="0"/>
        <w:spacing w:before="0" w:after="140" w:line="22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KURAN</w:t>
      </w:r>
    </w:p>
    <w:p>
      <w:pPr>
        <w:pStyle w:val="Style63"/>
        <w:keepNext/>
        <w:keepLines/>
        <w:widowControl w:val="0"/>
        <w:shd w:val="clear" w:color="auto" w:fill="auto"/>
        <w:bidi w:val="0"/>
        <w:spacing w:before="0" w:after="80" w:line="228" w:lineRule="auto"/>
        <w:ind w:left="0" w:right="0" w:firstLine="0"/>
        <w:jc w:val="both"/>
      </w:pPr>
      <w:bookmarkStart w:id="169" w:name="bookmark169"/>
      <w:r>
        <w:rPr>
          <w:rFonts w:ascii="Times New Roman" w:eastAsia="Times New Roman" w:hAnsi="Times New Roman" w:cs="Times New Roman"/>
          <w:color w:val="000000"/>
          <w:spacing w:val="0"/>
          <w:w w:val="100"/>
          <w:position w:val="0"/>
          <w:shd w:val="clear" w:color="auto" w:fill="auto"/>
          <w:lang w:val="hr-HR" w:eastAsia="hr-HR" w:bidi="hr-HR"/>
        </w:rPr>
        <w:t>islamski</w:t>
      </w:r>
      <w:bookmarkEnd w:id="16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 </w:t>
      </w:r>
      <w:r>
        <w:rPr>
          <w:rFonts w:ascii="Times New Roman" w:eastAsia="Times New Roman" w:hAnsi="Times New Roman" w:cs="Times New Roman"/>
          <w:color w:val="000000"/>
          <w:spacing w:val="0"/>
          <w:w w:val="100"/>
          <w:position w:val="0"/>
          <w:shd w:val="clear" w:color="auto" w:fill="auto"/>
          <w:lang w:val="hr-HR" w:eastAsia="hr-HR" w:bidi="hr-HR"/>
        </w:rPr>
        <w:t xml:space="preserve">(arapski </w:t>
      </w:r>
      <w:r>
        <w:rPr>
          <w:rFonts w:ascii="Times New Roman" w:eastAsia="Times New Roman" w:hAnsi="Times New Roman" w:cs="Times New Roman"/>
          <w:color w:val="000000"/>
          <w:spacing w:val="0"/>
          <w:w w:val="100"/>
          <w:position w:val="0"/>
          <w:shd w:val="clear" w:color="auto" w:fill="auto"/>
          <w:lang w:val="en-US" w:eastAsia="en-US" w:bidi="en-US"/>
        </w:rPr>
        <w:t xml:space="preserve">al-qur’an = </w:t>
      </w:r>
      <w:r>
        <w:rPr>
          <w:rFonts w:ascii="Times New Roman" w:eastAsia="Times New Roman" w:hAnsi="Times New Roman" w:cs="Times New Roman"/>
          <w:color w:val="000000"/>
          <w:spacing w:val="0"/>
          <w:w w:val="100"/>
          <w:position w:val="0"/>
          <w:shd w:val="clear" w:color="auto" w:fill="auto"/>
          <w:lang w:val="hr-HR" w:eastAsia="hr-HR" w:bidi="hr-HR"/>
        </w:rPr>
        <w:t>izlaganje, izloženo, kazano) nije jedina spasenjska poruka. On je također zbirka pobožnih tekstova, »lijepih pri</w:t>
        <w:softHyphen/>
        <w:t>povijesti« najčešće biblijskoga podrijetla, opo</w:t>
        <w:softHyphen/>
        <w:t>mena i obećanja, zakona, dokumenata i vlasti</w:t>
        <w:softHyphen/>
        <w:t>tih svjedočanstava prvobitne zajednice. Kao što već kaže samo ime, K. se ne shvaća kao knjiga, već kao zbirka usmeno predanih, reli</w:t>
        <w:softHyphen/>
        <w:t>gioznih i društvenih iskaza regulativnoga, in</w:t>
        <w:softHyphen/>
        <w:t>dikativnoga, kritičkoga ili eshatološkoga ka</w:t>
        <w:softHyphen/>
        <w:t>raktera. Živa povezanost tih iskaza s promje</w:t>
        <w:softHyphen/>
        <w:t>njivim tijekom nastanka prve zajednice i traj</w:t>
        <w:softHyphen/>
        <w:t>no sučeljavanje s okolnim svijetom koji nije imao razumijevanja za njezin razvoj uvijek se moraju imati u vidu prilikom proučavanja Ku</w:t>
        <w:softHyphen/>
        <w:t xml:space="preserve">rana. Inače se teško mogu shvatiti osebujnosti njegova stila i redoslijed pojedinih poglavlja </w:t>
      </w:r>
      <w:r>
        <w:rPr>
          <w:rFonts w:ascii="Times New Roman" w:eastAsia="Times New Roman" w:hAnsi="Times New Roman" w:cs="Times New Roman"/>
          <w:color w:val="000000"/>
          <w:spacing w:val="0"/>
          <w:w w:val="100"/>
          <w:position w:val="0"/>
          <w:shd w:val="clear" w:color="auto" w:fill="auto"/>
          <w:lang w:val="en-US" w:eastAsia="en-US" w:bidi="en-US"/>
        </w:rPr>
        <w:t xml:space="preserve">(sure) </w:t>
      </w:r>
      <w:r>
        <w:rPr>
          <w:rFonts w:ascii="Times New Roman" w:eastAsia="Times New Roman" w:hAnsi="Times New Roman" w:cs="Times New Roman"/>
          <w:color w:val="000000"/>
          <w:spacing w:val="0"/>
          <w:w w:val="100"/>
          <w:position w:val="0"/>
          <w:shd w:val="clear" w:color="auto" w:fill="auto"/>
          <w:lang w:val="hr-HR" w:eastAsia="hr-HR" w:bidi="hr-HR"/>
        </w:rPr>
        <w:t xml:space="preserve">ili stihova </w:t>
      </w:r>
      <w:r>
        <w:rPr>
          <w:rFonts w:ascii="Times New Roman" w:eastAsia="Times New Roman" w:hAnsi="Times New Roman" w:cs="Times New Roman"/>
          <w:color w:val="000000"/>
          <w:spacing w:val="0"/>
          <w:w w:val="100"/>
          <w:position w:val="0"/>
          <w:shd w:val="clear" w:color="auto" w:fill="auto"/>
          <w:lang w:val="en-US" w:eastAsia="en-US" w:bidi="en-US"/>
        </w:rPr>
        <w:t xml:space="preserve">(ajeti), </w:t>
      </w:r>
      <w:r>
        <w:rPr>
          <w:rFonts w:ascii="Times New Roman" w:eastAsia="Times New Roman" w:hAnsi="Times New Roman" w:cs="Times New Roman"/>
          <w:color w:val="000000"/>
          <w:spacing w:val="0"/>
          <w:w w:val="100"/>
          <w:position w:val="0"/>
          <w:shd w:val="clear" w:color="auto" w:fill="auto"/>
          <w:lang w:val="hr-HR" w:eastAsia="hr-HR" w:bidi="hr-HR"/>
        </w:rPr>
        <w:t>posebice kada se po</w:t>
        <w:softHyphen/>
        <w:t>lazi od pretpostavke daje K. izvorno spisatelj</w:t>
        <w:softHyphen/>
        <w:t>ski višeslojno, literarno djelo.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Islamski se učenjaci obično drže definicije ko</w:t>
        <w:softHyphen/>
        <w:t>ju je postavio Ibn Haldun (u. 1406): »K. je riječ Božja, sišla na njegova poslanika i zabi</w:t>
        <w:softHyphen/>
        <w:t>lježena među koricama Musafa. On se nepre</w:t>
        <w:softHyphen/>
        <w:t>kidno dalje predaje unutar vjerske zajednice. U odnosu na neke izraze i slovne kvalitete njega su sljedbenici Božjega poslanika sva</w:t>
        <w:softHyphen/>
        <w:t>kako prihvaćali i tradirali na različite načine. Na taj je način razvijeno sedam priznatih me</w:t>
        <w:softHyphen/>
        <w:t>toda recitiranja Kurana«. Kao što proizlazi iz ove definicije, uvezani se K. zove Musaf (hr</w:t>
        <w:softHyphen/>
        <w:t>vatski recimo: kodeks ili K. kao primjerak knjige). Jezik je Kurana klasično arapski. On i danas važi kao uzor književnoga jezika koji povezuje sve arapske narode. On se zgodi- mice znatno razlikuje od govornih idioma.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Kodificiranje objava koje su Muhamedovi sljedbenici pod njegovim vodstvom zapisivali na koži, papirusu i kostima, uslijedilo je tek pod kalifom Osmanom oko 650. godine. No prilikom zapisivanja nije se postupalo ni pre</w:t>
        <w:softHyphen/>
        <w:t>ma tematskom niti prema razvojno-povijesnom principu uređivanja. Tekst je, štoviše, složen prema dužini postojećih 114 sura i to tako da su najduže stavljene na početak a najkraće na kraj. Iznimku svakako predstavlja kratka sura El-Fatiha koja se nalazi na početku Kurana. Uvrštavanje stihova u pojedina poglavlja (su</w:t>
        <w:softHyphen/>
        <w:t xml:space="preserve">ra) jest, naprotiv, </w:t>
      </w:r>
      <w:r>
        <w:rPr>
          <w:rFonts w:ascii="Times New Roman" w:eastAsia="Times New Roman" w:hAnsi="Times New Roman" w:cs="Times New Roman"/>
          <w:i/>
          <w:iCs/>
          <w:color w:val="000000"/>
          <w:spacing w:val="0"/>
          <w:w w:val="100"/>
          <w:position w:val="0"/>
          <w:shd w:val="clear" w:color="auto" w:fill="auto"/>
          <w:lang w:val="en-US" w:eastAsia="en-US" w:bidi="en-US"/>
        </w:rPr>
        <w:t>lawqifi,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tj. ono je sastavni dio objave, tako da je kodificiranje u obzir uzelo onaj redoslijed koji je ustvrđen u vrije</w:t>
        <w:softHyphen/>
        <w:t>me navjestitelja i koji je dalje prenošen u jed</w:t>
        <w:softHyphen/>
        <w:t>nakom obliku.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arapski način razmišljanja K. ima obvezu- juću izražajnost. On ima i vlastitu ritmiku, ta</w:t>
        <w:softHyphen/>
        <w:t>ko da se izgovaranje njegovih stihova - posre</w:t>
        <w:softHyphen/>
        <w:t>dovano lijepim tenorom - može uzdići do um</w:t>
        <w:softHyphen/>
        <w:t>jetničkoga doživljaja. Time ne objašnjava neo</w:t>
        <w:softHyphen/>
        <w:t>bično snažan utjecaj Kurana na njegove slu</w:t>
        <w:softHyphen/>
        <w:t>šatelje, makar oni i ne shvaćali sadržaj. Upra</w:t>
        <w:softHyphen/>
        <w:t>vo lom jeziku Kurana, koji povezuje narod i koji je nabijen emocijama, Arapi u velikoj mjeri imaju zahvaliti svoj nacionalni osjećaj zajedništva. Taj je jezik i za nearapske mus</w:t>
        <w:softHyphen/>
        <w:t>limane moćan psihološki čimbenik. Stapanje različitih tema u jednoj jedinoj suri, snažan udio pravnih i regulativnih formulacija, ten</w:t>
        <w:softHyphen/>
        <w:t>dencija apeliranja na um koja je inače rijetka u svetim spisima i za jednu knjigu sasvim ne</w:t>
        <w:softHyphen/>
      </w:r>
      <w:r>
        <w:rPr>
          <w:rFonts w:ascii="Times New Roman" w:eastAsia="Times New Roman" w:hAnsi="Times New Roman" w:cs="Times New Roman"/>
          <w:color w:val="000000"/>
          <w:spacing w:val="0"/>
          <w:w w:val="100"/>
          <w:position w:val="0"/>
          <w:shd w:val="clear" w:color="auto" w:fill="auto"/>
          <w:lang w:val="hr-HR" w:eastAsia="hr-HR" w:bidi="hr-HR"/>
        </w:rPr>
        <w:t>uobičajeni redoslijed misli, obično začuđuju zapadnoga čitatelja Kurana koji u njemu po</w:t>
        <w:softHyphen/>
        <w:t xml:space="preserve">vrh svega vidi knjigu u uobičajenom smislu riječi. Kao što s pravom primjećuje </w:t>
      </w:r>
      <w:r>
        <w:rPr>
          <w:rFonts w:ascii="Times New Roman" w:eastAsia="Times New Roman" w:hAnsi="Times New Roman" w:cs="Times New Roman"/>
          <w:color w:val="000000"/>
          <w:spacing w:val="0"/>
          <w:w w:val="100"/>
          <w:position w:val="0"/>
          <w:shd w:val="clear" w:color="auto" w:fill="auto"/>
          <w:lang w:val="en-US" w:eastAsia="en-US" w:bidi="en-US"/>
        </w:rPr>
        <w:t>Muham</w:t>
        <w:softHyphen/>
        <w:t xml:space="preserve">mad Asad, </w:t>
      </w:r>
      <w:r>
        <w:rPr>
          <w:rFonts w:ascii="Times New Roman" w:eastAsia="Times New Roman" w:hAnsi="Times New Roman" w:cs="Times New Roman"/>
          <w:color w:val="000000"/>
          <w:spacing w:val="0"/>
          <w:w w:val="100"/>
          <w:position w:val="0"/>
          <w:shd w:val="clear" w:color="auto" w:fill="auto"/>
          <w:lang w:val="hr-HR" w:eastAsia="hr-HR" w:bidi="hr-HR"/>
        </w:rPr>
        <w:t>K. k tomu »nikada nije bio pre</w:t>
        <w:softHyphen/>
        <w:t>vođen tako da bi se zbilja mogao učiniti ra</w:t>
        <w:softHyphen/>
        <w:t>zumljivim nekom zapadnom čitatelju - ma ko</w:t>
        <w:softHyphen/>
        <w:t xml:space="preserve">jega materinjeg jezika </w:t>
      </w:r>
      <w:r>
        <w:rPr>
          <w:rFonts w:ascii="Times New Roman" w:eastAsia="Times New Roman" w:hAnsi="Times New Roman" w:cs="Times New Roman"/>
          <w:color w:val="000000"/>
          <w:spacing w:val="0"/>
          <w:w w:val="100"/>
          <w:position w:val="0"/>
          <w:shd w:val="clear" w:color="auto" w:fill="auto"/>
          <w:lang w:val="en-US" w:eastAsia="en-US" w:bidi="en-US"/>
        </w:rPr>
        <w:t xml:space="preserve">(Muhammad Asad, </w:t>
      </w:r>
      <w:r>
        <w:rPr>
          <w:rFonts w:ascii="Times New Roman" w:eastAsia="Times New Roman" w:hAnsi="Times New Roman" w:cs="Times New Roman"/>
          <w:i/>
          <w:iCs/>
          <w:color w:val="000000"/>
          <w:spacing w:val="0"/>
          <w:w w:val="100"/>
          <w:position w:val="0"/>
          <w:shd w:val="clear" w:color="auto" w:fill="auto"/>
          <w:lang w:val="en-US" w:eastAsia="en-US" w:bidi="en-US"/>
        </w:rPr>
        <w:t xml:space="preserve">Kann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Koran Ubersetzt werden?,</w:t>
      </w:r>
      <w:r>
        <w:rPr>
          <w:rFonts w:ascii="Times New Roman" w:eastAsia="Times New Roman" w:hAnsi="Times New Roman" w:cs="Times New Roman"/>
          <w:color w:val="000000"/>
          <w:spacing w:val="0"/>
          <w:w w:val="100"/>
          <w:position w:val="0"/>
          <w:shd w:val="clear" w:color="auto" w:fill="auto"/>
          <w:lang w:val="en-US" w:eastAsia="en-US" w:bidi="en-US"/>
        </w:rPr>
        <w:t xml:space="preserve"> Genf 1964, 8). To </w:t>
      </w:r>
      <w:r>
        <w:rPr>
          <w:rFonts w:ascii="Times New Roman" w:eastAsia="Times New Roman" w:hAnsi="Times New Roman" w:cs="Times New Roman"/>
          <w:color w:val="000000"/>
          <w:spacing w:val="0"/>
          <w:w w:val="100"/>
          <w:position w:val="0"/>
          <w:shd w:val="clear" w:color="auto" w:fill="auto"/>
          <w:lang w:val="hr-HR" w:eastAsia="hr-HR" w:bidi="hr-HR"/>
        </w:rPr>
        <w:t>objašnjava različit dojam koji K. ostav</w:t>
        <w:softHyphen/>
        <w:t>lja na ljude s Istoka i Zapada.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Kuranu i Bibliji zajedničke su mnoge misli i učenja koji se zastupaju u Kuranu. To prema islamskomu shvaćanju dolazi otuda što i Bib</w:t>
        <w:softHyphen/>
        <w:t>lija i Kuran izviru iz božanske mudrosti (ne</w:t>
        <w:softHyphen/>
        <w:t xml:space="preserve">beska tablica - lawh mahfuz). U židovsku su literaturu (Sefer hajašar) prodrle neke od ku- ranskih pripovijesti, kao što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ona o čudes</w:t>
        <w:softHyphen/>
        <w:t>nom Abrahamovom spasenju pred Nimrudom. Kod kršćana je na pozornost naišla posebno sura »Mcrjem« (Marija). K. je glavni izvor is</w:t>
        <w:softHyphen/>
        <w:t>lamskoga nauka. On važi kao objavljena riječ Božja i stoga ga - teorijski rečeno - nikakav drugi izvor niti bilo koji drugi naučni sadržaj ne može nadmašiti u silini jezika, ljepoti i ob- vezatnosti.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snažan teološki smjer - ašaritski (ute</w:t>
        <w:softHyphen/>
        <w:t>meljitelj je al-Ašari, u. 935. ili 936.) - zastupa nazor da K. nije stvoren kao riječ Božja. Da on, štoviše, nerazdvojno pripada božanskomu biću. Budući da je Bog iznad svega ljudskoga, po tom je shvaćanju i K. neponovljiv i nenad</w:t>
        <w:softHyphen/>
        <w:t>mašan. Taj nauk sa sobom nosi to da se s Ku</w:t>
        <w:softHyphen/>
        <w:t>ranom ne može mjeriti nikoja ljudska misao, nikakva podboda ili neka željna predodžba. Zbog ašaritskoga nauka o neslvorenosti i ne- nadmašnosti Kurana njegova se uloga u isla</w:t>
        <w:softHyphen/>
        <w:t>mu često uspoređuje s ulogom Isusa Krista u kršćanstvu. No ta usporedba šepa iz tri raz</w:t>
        <w:softHyphen/>
        <w:t>loga: a) zato što niti historijski niti suvremeni islam nije jednodušan u tezi o nestvorenosti; b) zato što je K. u praksi jedino središte kru</w:t>
        <w:softHyphen/>
        <w:t xml:space="preserve">ga, »iz kojega se različiti teološki sustavi šire crtama koje se ne susreću« </w:t>
      </w:r>
      <w:r>
        <w:rPr>
          <w:rFonts w:ascii="Times New Roman" w:eastAsia="Times New Roman" w:hAnsi="Times New Roman" w:cs="Times New Roman"/>
          <w:color w:val="000000"/>
          <w:spacing w:val="0"/>
          <w:w w:val="100"/>
          <w:position w:val="0"/>
          <w:shd w:val="clear" w:color="auto" w:fill="auto"/>
          <w:lang w:val="en-US" w:eastAsia="en-US" w:bidi="en-US"/>
        </w:rPr>
        <w:t xml:space="preserve">(Abdurrahman Badawi, Phanomenologie des </w:t>
      </w:r>
      <w:r>
        <w:rPr>
          <w:rFonts w:ascii="Times New Roman" w:eastAsia="Times New Roman" w:hAnsi="Times New Roman" w:cs="Times New Roman"/>
          <w:color w:val="000000"/>
          <w:spacing w:val="0"/>
          <w:w w:val="100"/>
          <w:position w:val="0"/>
          <w:shd w:val="clear" w:color="auto" w:fill="auto"/>
          <w:lang w:val="hr-HR" w:eastAsia="hr-HR" w:bidi="hr-HR"/>
        </w:rPr>
        <w:t xml:space="preserve">Islam, u: </w:t>
      </w:r>
      <w:r>
        <w:rPr>
          <w:rFonts w:ascii="Times New Roman" w:eastAsia="Times New Roman" w:hAnsi="Times New Roman" w:cs="Times New Roman"/>
          <w:i/>
          <w:iCs/>
          <w:color w:val="000000"/>
          <w:spacing w:val="0"/>
          <w:w w:val="100"/>
          <w:position w:val="0"/>
          <w:shd w:val="clear" w:color="auto" w:fill="auto"/>
          <w:lang w:val="hr-HR" w:eastAsia="hr-HR" w:bidi="hr-HR"/>
        </w:rPr>
        <w:t>Theo- logische Zeilschrift,</w:t>
      </w:r>
      <w:r>
        <w:rPr>
          <w:rFonts w:ascii="Times New Roman" w:eastAsia="Times New Roman" w:hAnsi="Times New Roman" w:cs="Times New Roman"/>
          <w:color w:val="000000"/>
          <w:spacing w:val="0"/>
          <w:w w:val="100"/>
          <w:position w:val="0"/>
          <w:shd w:val="clear" w:color="auto" w:fill="auto"/>
          <w:lang w:val="hr-HR" w:eastAsia="hr-HR" w:bidi="hr-HR"/>
        </w:rPr>
        <w:t xml:space="preserve"> Tiibingen 161/1981, 3, 163), i c) zato što je vjersko ponašanje muslimana uvelike određeno Muhamcdovim primjerom </w:t>
      </w:r>
      <w:r>
        <w:rPr>
          <w:rFonts w:ascii="Times New Roman" w:eastAsia="Times New Roman" w:hAnsi="Times New Roman" w:cs="Times New Roman"/>
          <w:i/>
          <w:iCs/>
          <w:color w:val="000000"/>
          <w:spacing w:val="0"/>
          <w:w w:val="100"/>
          <w:position w:val="0"/>
          <w:shd w:val="clear" w:color="auto" w:fill="auto"/>
          <w:lang w:val="hr-HR" w:eastAsia="hr-HR" w:bidi="hr-HR"/>
        </w:rPr>
        <w:t>(sunnaj.</w:t>
      </w:r>
    </w:p>
    <w:p>
      <w:pPr>
        <w:pStyle w:val="Style20"/>
        <w:keepNext w:val="0"/>
        <w:keepLines w:val="0"/>
        <w:widowControl w:val="0"/>
        <w:shd w:val="clear" w:color="auto" w:fill="auto"/>
        <w:bidi w:val="0"/>
        <w:spacing w:before="0" w:after="0"/>
        <w:ind w:left="0" w:right="0" w:firstLine="0"/>
        <w:jc w:val="both"/>
        <w:sectPr>
          <w:headerReference w:type="default" r:id="rId683"/>
          <w:footerReference w:type="default" r:id="rId684"/>
          <w:headerReference w:type="even" r:id="rId685"/>
          <w:footerReference w:type="even" r:id="rId686"/>
          <w:headerReference w:type="first" r:id="rId687"/>
          <w:footerReference w:type="first" r:id="rId688"/>
          <w:footnotePr>
            <w:pos w:val="pageBottom"/>
            <w:numFmt w:val="decimal"/>
            <w:numRestart w:val="continuous"/>
            <w15:footnoteColumns w:val="1"/>
          </w:footnotePr>
          <w:pgSz w:w="6816" w:h="11006"/>
          <w:pgMar w:top="992" w:left="166" w:right="174" w:bottom="453" w:header="0" w:footer="3" w:gutter="0"/>
          <w:cols w:num="2" w:space="14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Posredovanje historijskih istina nije nastoja</w:t>
        <w:softHyphen/>
        <w:t>nje Kurana. On je, naprotiv, »naputak po</w:t>
        <w:softHyphen/>
        <w:t xml:space="preserve">božnima«. On je »čvrsti konop« (habl </w:t>
      </w:r>
      <w:r>
        <w:rPr>
          <w:rFonts w:ascii="Times New Roman" w:eastAsia="Times New Roman" w:hAnsi="Times New Roman" w:cs="Times New Roman"/>
          <w:color w:val="000000"/>
          <w:spacing w:val="0"/>
          <w:w w:val="100"/>
          <w:position w:val="0"/>
          <w:shd w:val="clear" w:color="auto" w:fill="auto"/>
          <w:lang w:val="en-US" w:eastAsia="en-US" w:bidi="en-US"/>
        </w:rPr>
        <w:t xml:space="preserve">matin)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koji vodi k Bogu. Stoga se u biblijskim sa</w:t>
        <w:softHyphen/>
        <w:t>držajima i motivima, o kojima se u njemu pri</w:t>
        <w:softHyphen/>
        <w:t>povijeda, ne smije vidjeti neka historijska fak</w:t>
        <w:softHyphen/>
        <w:t>tografija. Ukoliko biblijske pripovijesti po sebi sadrže neki sporni predmet, one su utoliko u svojim kuranskim varijantama unaprijed liše</w:t>
        <w:softHyphen/>
        <w:t>ne svake povijesne vrijednosne prosudbe. One su u Kuranu usmjerene na to da uzdrmaju vjernika i da mu pokažu put ispunjenoga ži</w:t>
        <w:softHyphen/>
        <w:t>vota. One se u tom smislu pojavljuju čitatelju ili slušatelju kao literarno-pedagoška pripo</w:t>
        <w:softHyphen/>
        <w:t>moć. Prema vlastitom kuranskom svjedočenju one, između ostaloga, služe čak za zadovolja</w:t>
        <w:softHyphen/>
        <w:t xml:space="preserve">vanje literarno-estetskih potreba. To je npr. slučaj s pripoviješću o egipatskome Josipu. Stoga u okviru takvoga razumijevanja uopće nisu važni točni opisi detalja. Junaci biblijskih pripovijesti u Kuranu navode se kao uzori. Sadržaj pripovijesti - a to je zajednički sadržaj svijesti objavljenih religija - daje nužno idej- no-povijesno uporište za trijalog </w:t>
      </w:r>
      <w:r>
        <w:rPr>
          <w:rFonts w:ascii="Times New Roman" w:eastAsia="Times New Roman" w:hAnsi="Times New Roman" w:cs="Times New Roman"/>
          <w:i/>
          <w:iCs/>
          <w:color w:val="000000"/>
          <w:spacing w:val="0"/>
          <w:w w:val="100"/>
          <w:position w:val="0"/>
          <w:shd w:val="clear" w:color="auto" w:fill="auto"/>
          <w:lang w:val="hr-HR" w:eastAsia="hr-HR" w:bidi="hr-HR"/>
        </w:rPr>
        <w:t xml:space="preserve">Ahl al-kitab, </w:t>
      </w:r>
      <w:r>
        <w:rPr>
          <w:rFonts w:ascii="Times New Roman" w:eastAsia="Times New Roman" w:hAnsi="Times New Roman" w:cs="Times New Roman"/>
          <w:color w:val="000000"/>
          <w:spacing w:val="0"/>
          <w:w w:val="100"/>
          <w:position w:val="0"/>
          <w:shd w:val="clear" w:color="auto" w:fill="auto"/>
          <w:lang w:val="hr-HR" w:eastAsia="hr-HR" w:bidi="hr-HR"/>
        </w:rPr>
        <w:t>za trijalog Židova i kršćana s jedne i musli</w:t>
        <w:softHyphen/>
        <w:t>mana s druge strane.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Pored jednoznačnih iskaza </w:t>
      </w:r>
      <w:r>
        <w:rPr>
          <w:rFonts w:ascii="Times New Roman" w:eastAsia="Times New Roman" w:hAnsi="Times New Roman" w:cs="Times New Roman"/>
          <w:i/>
          <w:iCs/>
          <w:color w:val="000000"/>
          <w:spacing w:val="0"/>
          <w:w w:val="100"/>
          <w:position w:val="0"/>
          <w:shd w:val="clear" w:color="auto" w:fill="auto"/>
          <w:lang w:val="hr-HR" w:eastAsia="hr-HR" w:bidi="hr-HR"/>
        </w:rPr>
        <w:t>(muhkamat)</w:t>
      </w:r>
      <w:r>
        <w:rPr>
          <w:rFonts w:ascii="Times New Roman" w:eastAsia="Times New Roman" w:hAnsi="Times New Roman" w:cs="Times New Roman"/>
          <w:color w:val="000000"/>
          <w:spacing w:val="0"/>
          <w:w w:val="100"/>
          <w:position w:val="0"/>
          <w:shd w:val="clear" w:color="auto" w:fill="auto"/>
          <w:lang w:val="hr-HR" w:eastAsia="hr-HR" w:bidi="hr-HR"/>
        </w:rPr>
        <w:t xml:space="preserve"> K. sa</w:t>
        <w:softHyphen/>
        <w:t xml:space="preserve">drži i višeznačne ili simbolične iskaze </w:t>
      </w:r>
      <w:r>
        <w:rPr>
          <w:rFonts w:ascii="Times New Roman" w:eastAsia="Times New Roman" w:hAnsi="Times New Roman" w:cs="Times New Roman"/>
          <w:i/>
          <w:iCs/>
          <w:color w:val="000000"/>
          <w:spacing w:val="0"/>
          <w:w w:val="100"/>
          <w:position w:val="0"/>
          <w:shd w:val="clear" w:color="auto" w:fill="auto"/>
          <w:lang w:val="hr-HR" w:eastAsia="hr-HR" w:bidi="hr-HR"/>
        </w:rPr>
        <w:t>(mu- tashabihat).</w:t>
      </w:r>
      <w:r>
        <w:rPr>
          <w:rFonts w:ascii="Times New Roman" w:eastAsia="Times New Roman" w:hAnsi="Times New Roman" w:cs="Times New Roman"/>
          <w:color w:val="000000"/>
          <w:spacing w:val="0"/>
          <w:w w:val="100"/>
          <w:position w:val="0"/>
          <w:shd w:val="clear" w:color="auto" w:fill="auto"/>
          <w:lang w:val="hr-HR" w:eastAsia="hr-HR" w:bidi="hr-HR"/>
        </w:rPr>
        <w:t xml:space="preserve"> Ima zapravo stanja stvari koja se mogu samo simbolički opisati ili naznačiti. »Simbolički je jezik po vrijednosti postojaniji od svagdanjega jezika laika koji je lišen svake misterioznosti« (‘Ali Shar'iatT, Islamski pogled na čovjeka, u: </w:t>
      </w:r>
      <w:r>
        <w:rPr>
          <w:rFonts w:ascii="Times New Roman" w:eastAsia="Times New Roman" w:hAnsi="Times New Roman" w:cs="Times New Roman"/>
          <w:i/>
          <w:iCs/>
          <w:color w:val="000000"/>
          <w:spacing w:val="0"/>
          <w:w w:val="100"/>
          <w:position w:val="0"/>
          <w:shd w:val="clear" w:color="auto" w:fill="auto"/>
          <w:lang w:val="hr-HR" w:eastAsia="hr-HR" w:bidi="hr-HR"/>
        </w:rPr>
        <w:t>Glasnik Vrhovnog islamskog slarješinstva u SFRJ,</w:t>
      </w:r>
      <w:r>
        <w:rPr>
          <w:rFonts w:ascii="Times New Roman" w:eastAsia="Times New Roman" w:hAnsi="Times New Roman" w:cs="Times New Roman"/>
          <w:color w:val="000000"/>
          <w:spacing w:val="0"/>
          <w:w w:val="100"/>
          <w:position w:val="0"/>
          <w:shd w:val="clear" w:color="auto" w:fill="auto"/>
          <w:lang w:val="hr-HR" w:eastAsia="hr-HR" w:bidi="hr-HR"/>
        </w:rPr>
        <w:t xml:space="preserve"> Sarajevo, 44/1981, 5/6, 444). Simbolički je jezik mnogo prikladniji od svagdanjega za oslovljavanje različitih tipova ljudi i klasa. On u svim generacijama i raz</w:t>
        <w:softHyphen/>
        <w:t>dobljima zadržava svoju moć izricanja. Njega s jednakim zanimanjem mogu slušati ljudi raz</w:t>
        <w:softHyphen/>
        <w:t>ličitoga stupnja obrazovanja, mentaliteta i ka</w:t>
        <w:softHyphen/>
        <w:t>raktera. U svrhu posredovanja apstraktnih sa</w:t>
        <w:softHyphen/>
        <w:t>držaja čovjek se upravo služi simbolima, ali i glazbom, skicama, zemljovidnicama i tomu si. Nositelj značenja u glazbi je čisla forma. Ta vrsta komunikacije dolazi do važenja u Ku</w:t>
        <w:softHyphen/>
        <w:t>ranu kroz jezik i njegov zvuk.</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Shvaćene kao stvarna izvješća, biblijske pripo</w:t>
        <w:softHyphen/>
        <w:t>vijesti otežavaju u sekularnome svijetu pristup vjeri - posebice kada pripovijedaju o čudima. Njihov sadržaj u islamu ne pripada pravoj do</w:t>
        <w:softHyphen/>
        <w:t>meni vjere. U cjelokupnoj građi nauka o vjeri njima pripada podređena uloga. Islam nije to</w:t>
        <w:softHyphen/>
        <w:t xml:space="preserve">liko povijesno usmjeren koliko su to židovstvo i kršćanstvo. Stoga je u Kuranu relativiranje i </w:t>
      </w:r>
      <w:r>
        <w:rPr>
          <w:rFonts w:ascii="Times New Roman" w:eastAsia="Times New Roman" w:hAnsi="Times New Roman" w:cs="Times New Roman"/>
          <w:color w:val="000000"/>
          <w:spacing w:val="0"/>
          <w:w w:val="100"/>
          <w:position w:val="0"/>
          <w:shd w:val="clear" w:color="auto" w:fill="auto"/>
          <w:lang w:val="hr-HR" w:eastAsia="hr-HR" w:bidi="hr-HR"/>
        </w:rPr>
        <w:t>otupljivanje sadržaja iz povijesti proroštva lakše negoli u Bibliji. K. je prije usmjeren na cjelokupno događanje u svijetu negoli na ljud</w:t>
        <w:softHyphen/>
        <w:t>sku povijest. U središtu kuranske poruke ta</w:t>
        <w:softHyphen/>
        <w:t>kođer ne stoji ni narod niti neki čovjek, već božanska mudrost koju Kuran zahtijeva za se</w:t>
        <w:softHyphen/>
        <w:t>be. Za razliku od evanđelja K. nije pripovijest o utemeljitelju vjere.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Taban (u. 923) i Tha’labi (u. 1036) bili su prije svega oni koji su u okviru egzegeze obradili sadržaje pripovijesti u Kuranu. Povijesni je element već kod njih bio potisnut u pozadinu. Nasuprot tomu, do izražaja snažno dolazi na- božna tendencija. U korist prihvatljivijega pri</w:t>
        <w:softHyphen/>
        <w:t xml:space="preserve">kaza prelazilo se preko pojedinosti. Slobodno pripovijedanje, koje predstavlja jedan poseban rod arapske književnosti, tzv. </w:t>
      </w:r>
      <w:r>
        <w:rPr>
          <w:rFonts w:ascii="Times New Roman" w:eastAsia="Times New Roman" w:hAnsi="Times New Roman" w:cs="Times New Roman"/>
          <w:i/>
          <w:iCs/>
          <w:color w:val="000000"/>
          <w:spacing w:val="0"/>
          <w:w w:val="100"/>
          <w:position w:val="0"/>
          <w:shd w:val="clear" w:color="auto" w:fill="auto"/>
          <w:lang w:val="en-US" w:eastAsia="en-US" w:bidi="en-US"/>
        </w:rPr>
        <w:t xml:space="preserve">Qisas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al-anbiyi, </w:t>
      </w:r>
      <w:r>
        <w:rPr>
          <w:rFonts w:ascii="Times New Roman" w:eastAsia="Times New Roman" w:hAnsi="Times New Roman" w:cs="Times New Roman"/>
          <w:color w:val="000000"/>
          <w:spacing w:val="0"/>
          <w:w w:val="100"/>
          <w:position w:val="0"/>
          <w:shd w:val="clear" w:color="auto" w:fill="auto"/>
          <w:lang w:val="hr-HR" w:eastAsia="hr-HR" w:bidi="hr-HR"/>
        </w:rPr>
        <w:t xml:space="preserve">snažno se oslanja na -» egzegezu </w:t>
      </w:r>
      <w:r>
        <w:rPr>
          <w:rFonts w:ascii="Times New Roman" w:eastAsia="Times New Roman" w:hAnsi="Times New Roman" w:cs="Times New Roman"/>
          <w:i/>
          <w:iCs/>
          <w:color w:val="000000"/>
          <w:spacing w:val="0"/>
          <w:w w:val="100"/>
          <w:position w:val="0"/>
          <w:shd w:val="clear" w:color="auto" w:fill="auto"/>
          <w:lang w:val="hr-HR" w:eastAsia="hr-HR" w:bidi="hr-HR"/>
        </w:rPr>
        <w:t>(tefsir).</w:t>
      </w:r>
      <w:r>
        <w:rPr>
          <w:rFonts w:ascii="Times New Roman" w:eastAsia="Times New Roman" w:hAnsi="Times New Roman" w:cs="Times New Roman"/>
          <w:color w:val="000000"/>
          <w:spacing w:val="0"/>
          <w:w w:val="100"/>
          <w:position w:val="0"/>
          <w:shd w:val="clear" w:color="auto" w:fill="auto"/>
          <w:lang w:val="hr-HR" w:eastAsia="hr-HR" w:bidi="hr-HR"/>
        </w:rPr>
        <w:t xml:space="preserve"> Ku</w:t>
        <w:softHyphen/>
        <w:t>ranske pripovijesti o prorocima postale su na</w:t>
        <w:softHyphen/>
        <w:t>kon Drugoga svjetskog rata predmetom veće</w:t>
        <w:softHyphen/>
        <w:t>ga zanimanja islamske teologije. Početak su</w:t>
        <w:softHyphen/>
        <w:t>vremene interpretacije predstavljala je odmah nakon Drugoga svjetskog rata u Kairu obranje</w:t>
        <w:softHyphen/>
        <w:t>na doktorska disertacija Muhammada Khalla- fallaha. U njoj se zastupa teza da kuransko iz</w:t>
        <w:softHyphen/>
        <w:t xml:space="preserve">vješće nerijetko sadrži alegoriju </w:t>
      </w:r>
      <w:r>
        <w:rPr>
          <w:rFonts w:ascii="Times New Roman" w:eastAsia="Times New Roman" w:hAnsi="Times New Roman" w:cs="Times New Roman"/>
          <w:i/>
          <w:iCs/>
          <w:color w:val="000000"/>
          <w:spacing w:val="0"/>
          <w:w w:val="100"/>
          <w:position w:val="0"/>
          <w:shd w:val="clear" w:color="auto" w:fill="auto"/>
          <w:lang w:val="hr-HR" w:eastAsia="hr-HR" w:bidi="hr-HR"/>
        </w:rPr>
        <w:t>(ramz)</w:t>
      </w:r>
      <w:r>
        <w:rPr>
          <w:rFonts w:ascii="Times New Roman" w:eastAsia="Times New Roman" w:hAnsi="Times New Roman" w:cs="Times New Roman"/>
          <w:color w:val="000000"/>
          <w:spacing w:val="0"/>
          <w:w w:val="100"/>
          <w:position w:val="0"/>
          <w:shd w:val="clear" w:color="auto" w:fill="auto"/>
          <w:lang w:val="hr-HR" w:eastAsia="hr-HR" w:bidi="hr-HR"/>
        </w:rPr>
        <w:t xml:space="preserve"> koja se mora pozadinski ispitati. »Smisao i značenje tih iskaza skriveni su u tome da oni predstav</w:t>
        <w:softHyphen/>
        <w:t>ljaju alegoriju, a ne u lome da taj iskaz opisuje zbiljske događaje.« Ni u Kuranu kao ni u No</w:t>
        <w:softHyphen/>
        <w:t>vome zavjetu istinu nikada ne određuje do- slovnost, »već smisao kojemu ona pripomaže u izražavanju«.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Kronologija navještaja u surama upravo stoji u obrnutom odnosu spram odabrane podjele: najkraće su sure najstarije, a najmlađe su, na</w:t>
        <w:softHyphen/>
        <w:t>protiv, one najduže. Naslovi poglavlja ne pri</w:t>
        <w:softHyphen/>
        <w:t>padaju objavi. Oni potječu od kodifikatora ili prije od kasnijih izdavača. S iznimkom 9. sure svako poglavlje započinje očitovanjem: »U ime Boga, Sveopćeg, Dobročinitelja, Milosti</w:t>
        <w:softHyphen/>
        <w:t>vog«.</w:t>
      </w:r>
    </w:p>
    <w:p>
      <w:pPr>
        <w:pStyle w:val="Style20"/>
        <w:keepNext w:val="0"/>
        <w:keepLines w:val="0"/>
        <w:widowControl w:val="0"/>
        <w:shd w:val="clear" w:color="auto" w:fill="auto"/>
        <w:bidi w:val="0"/>
        <w:spacing w:before="0" w:after="0"/>
        <w:ind w:left="0" w:right="0" w:firstLine="0"/>
        <w:jc w:val="both"/>
        <w:sectPr>
          <w:headerReference w:type="default" r:id="rId689"/>
          <w:footerReference w:type="default" r:id="rId690"/>
          <w:headerReference w:type="even" r:id="rId691"/>
          <w:footerReference w:type="even" r:id="rId692"/>
          <w:footnotePr>
            <w:pos w:val="pageBottom"/>
            <w:numFmt w:val="decimal"/>
            <w:numRestart w:val="continuous"/>
            <w15:footnoteColumns w:val="1"/>
          </w:footnotePr>
          <w:pgSz w:w="6816" w:h="11006"/>
          <w:pgMar w:top="992" w:left="166" w:right="174" w:bottom="453" w:header="0" w:footer="25" w:gutter="0"/>
          <w:pgNumType w:start="238"/>
          <w:cols w:num="2" w:space="145"/>
          <w:noEndnote/>
          <w:rtlGutter w:val="0"/>
          <w:docGrid w:linePitch="360"/>
        </w:sectPr>
      </w:pPr>
      <w:r>
        <mc:AlternateContent>
          <mc:Choice Requires="wps">
            <w:drawing>
              <wp:anchor distT="25400" distB="254000" distL="114300" distR="114300" simplePos="0" relativeHeight="125829409" behindDoc="0" locked="0" layoutInCell="1" allowOverlap="1">
                <wp:simplePos x="0" y="0"/>
                <wp:positionH relativeFrom="page">
                  <wp:posOffset>149860</wp:posOffset>
                </wp:positionH>
                <wp:positionV relativeFrom="margin">
                  <wp:posOffset>6114415</wp:posOffset>
                </wp:positionV>
                <wp:extent cx="189230" cy="149225"/>
                <wp:wrapTopAndBottom/>
                <wp:docPr id="1489" name="Shape 1489"/>
                <a:graphic xmlns:a="http://schemas.openxmlformats.org/drawingml/2006/main">
                  <a:graphicData uri="http://schemas.microsoft.com/office/word/2010/wordprocessingShape">
                    <wps:wsp>
                      <wps:cNvSpPr txBox="1"/>
                      <wps:spPr>
                        <a:xfrm>
                          <a:ext cx="189230" cy="149225"/>
                        </a:xfrm>
                        <a:prstGeom prst="rect"/>
                        <a:noFill/>
                      </wps:spPr>
                      <wps:txbx>
                        <w:txbxContent>
                          <w:p>
                            <w:pPr>
                              <w:pStyle w:val="Style91"/>
                              <w:keepNext/>
                              <w:keepLines/>
                              <w:widowControl w:val="0"/>
                              <w:shd w:val="clear" w:color="auto" w:fill="auto"/>
                              <w:bidi w:val="0"/>
                              <w:spacing w:before="0" w:after="0" w:line="240" w:lineRule="auto"/>
                              <w:ind w:left="0" w:right="0" w:firstLine="0"/>
                              <w:jc w:val="left"/>
                            </w:pPr>
                            <w:bookmarkStart w:id="161" w:name="bookmark161"/>
                            <w:r>
                              <w:rPr>
                                <w:rFonts w:ascii="Times New Roman" w:eastAsia="Times New Roman" w:hAnsi="Times New Roman" w:cs="Times New Roman"/>
                                <w:color w:val="000000"/>
                                <w:spacing w:val="0"/>
                                <w:w w:val="100"/>
                                <w:position w:val="0"/>
                                <w:shd w:val="clear" w:color="auto" w:fill="auto"/>
                                <w:lang w:val="hr-HR" w:eastAsia="hr-HR" w:bidi="hr-HR"/>
                              </w:rPr>
                              <w:t>2.34</w:t>
                            </w:r>
                            <w:bookmarkEnd w:id="161"/>
                          </w:p>
                        </w:txbxContent>
                      </wps:txbx>
                      <wps:bodyPr wrap="none" lIns="0" tIns="0" rIns="0" bIns="0">
                        <a:noAutoFit/>
                      </wps:bodyPr>
                    </wps:wsp>
                  </a:graphicData>
                </a:graphic>
              </wp:anchor>
            </w:drawing>
          </mc:Choice>
          <mc:Fallback>
            <w:pict>
              <v:shape id="_x0000_s2515" type="#_x0000_t202" style="position:absolute;margin-left:11.800000000000001pt;margin-top:481.44999999999999pt;width:14.9pt;height:11.75pt;z-index:-125829344;mso-wrap-distance-left:9.pt;mso-wrap-distance-top:2.pt;mso-wrap-distance-right:9.pt;mso-wrap-distance-bottom:20.pt;mso-position-horizontal-relative:page;mso-position-vertical-relative:margin" filled="f" stroked="f">
                <v:textbox inset="0,0,0,0">
                  <w:txbxContent>
                    <w:p>
                      <w:pPr>
                        <w:pStyle w:val="Style91"/>
                        <w:keepNext/>
                        <w:keepLines/>
                        <w:widowControl w:val="0"/>
                        <w:shd w:val="clear" w:color="auto" w:fill="auto"/>
                        <w:bidi w:val="0"/>
                        <w:spacing w:before="0" w:after="0" w:line="240" w:lineRule="auto"/>
                        <w:ind w:left="0" w:right="0" w:firstLine="0"/>
                        <w:jc w:val="left"/>
                      </w:pPr>
                      <w:bookmarkStart w:id="161" w:name="bookmark161"/>
                      <w:r>
                        <w:rPr>
                          <w:rFonts w:ascii="Times New Roman" w:eastAsia="Times New Roman" w:hAnsi="Times New Roman" w:cs="Times New Roman"/>
                          <w:color w:val="000000"/>
                          <w:spacing w:val="0"/>
                          <w:w w:val="100"/>
                          <w:position w:val="0"/>
                          <w:shd w:val="clear" w:color="auto" w:fill="auto"/>
                          <w:lang w:val="hr-HR" w:eastAsia="hr-HR" w:bidi="hr-HR"/>
                        </w:rPr>
                        <w:t>2.34</w:t>
                      </w:r>
                      <w:bookmarkEnd w:id="161"/>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K. sadrži temeljna načela islamskoga nauka o vjeri, ćudoređu i dužnostima. Prema jednom slikovitom prikazu samoga Kurana, sadržaj je te objave preuzet iz jedne nebeske tablice. To se svakako može odnositi na najnutarnjiji smi</w:t>
        <w:softHyphen/>
        <w:t>sao Kurana. Jer njegov je način izražavanja doista pod utjecajem tematskih čimbenika i čimbenika proisteklih iz okolnoga svijeta. Tu tezu odbacuju doduše kruti ortodoksi, no ona je potvrđena u okviru kritike teksta koju je</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Muhammad Khallafallah </w:t>
      </w:r>
      <w:r>
        <w:rPr>
          <w:rFonts w:ascii="Times New Roman" w:eastAsia="Times New Roman" w:hAnsi="Times New Roman" w:cs="Times New Roman"/>
          <w:color w:val="000000"/>
          <w:spacing w:val="0"/>
          <w:w w:val="100"/>
          <w:position w:val="0"/>
          <w:shd w:val="clear" w:color="auto" w:fill="auto"/>
          <w:lang w:val="hr-HR" w:eastAsia="hr-HR" w:bidi="hr-HR"/>
        </w:rPr>
        <w:t>uveo sa svojom di</w:t>
        <w:softHyphen/>
        <w:t>sertacijom o »kuranskim naracijama«. K. je naglašeno usmeno djelo. Njegovo je polazište usmeni iskaz. Stoga dotični odlomci objave često počinju s »Qull«, tj. hrvatski: »Reci! Kaži!«. Prevoditelj bi postupio dobro ako bi tu poštapalicu zanemario prilikom prevođe</w:t>
        <w:softHyphen/>
        <w:t>nja na neki drugi jezik. U usmenoj književ</w:t>
        <w:softHyphen/>
        <w:t>nosti riječ »Qul« višestruko zamjenjuje počet</w:t>
        <w:softHyphen/>
        <w:t>ne uvodne znake za upravni govor. Na taj bi se način postigla bolja čitljivost kuranskoga teksta. Usmeno primanje i učenje napamet Kurana spadaju u nadležnosti islamske zajed</w:t>
        <w:softHyphen/>
        <w:t xml:space="preserve">nice. Svaka se veća zajednica treba brinuti za </w:t>
      </w:r>
      <w:r>
        <w:rPr>
          <w:rFonts w:ascii="Times New Roman" w:eastAsia="Times New Roman" w:hAnsi="Times New Roman" w:cs="Times New Roman"/>
          <w:color w:val="000000"/>
          <w:spacing w:val="0"/>
          <w:w w:val="100"/>
          <w:position w:val="0"/>
          <w:shd w:val="clear" w:color="auto" w:fill="auto"/>
          <w:lang w:val="hr-HR" w:eastAsia="hr-HR" w:bidi="hr-HR"/>
        </w:rPr>
        <w:t>to da raste broj hafiza (hafiz, množina: huffAz), poznavatelja Kurana koji napamet znaju izgo</w:t>
        <w:softHyphen/>
        <w:t>voriti čitav tekst.</w:t>
      </w:r>
    </w:p>
    <w:p>
      <w:pPr>
        <w:pStyle w:val="Style56"/>
        <w:keepNext w:val="0"/>
        <w:keepLines w:val="0"/>
        <w:widowControl w:val="0"/>
        <w:shd w:val="clear" w:color="auto" w:fill="auto"/>
        <w:tabs>
          <w:tab w:pos="2568" w:val="left"/>
        </w:tabs>
        <w:bidi w:val="0"/>
        <w:spacing w:before="0" w:after="0" w:line="240" w:lineRule="auto"/>
        <w:ind w:left="0" w:right="0" w:firstLine="0"/>
        <w:jc w:val="both"/>
        <w:sectPr>
          <w:headerReference w:type="default" r:id="rId693"/>
          <w:footerReference w:type="default" r:id="rId694"/>
          <w:headerReference w:type="even" r:id="rId695"/>
          <w:footerReference w:type="even" r:id="rId696"/>
          <w:footnotePr>
            <w:pos w:val="pageBottom"/>
            <w:numFmt w:val="decimal"/>
            <w:numRestart w:val="continuous"/>
            <w15:footnoteColumns w:val="1"/>
          </w:footnotePr>
          <w:pgSz w:w="6816" w:h="11006"/>
          <w:pgMar w:top="992" w:left="166" w:right="174" w:bottom="453" w:header="0" w:footer="3" w:gutter="0"/>
          <w:pgNumType w:start="235"/>
          <w:cols w:num="2" w:space="145"/>
          <w:noEndnote/>
          <w:rtlGutter w:val="0"/>
          <w:docGrid w:linePitch="360"/>
        </w:sectPr>
      </w:pPr>
      <w:r>
        <w:rPr>
          <w:color w:val="000000"/>
          <w:spacing w:val="0"/>
          <w:w w:val="100"/>
          <w:position w:val="0"/>
          <w:shd w:val="clear" w:color="auto" w:fill="auto"/>
          <w:lang w:val="hr-HR" w:eastAsia="hr-HR" w:bidi="hr-HR"/>
        </w:rPr>
        <w:t xml:space="preserve">Lit: </w:t>
      </w:r>
      <w:r>
        <w:rPr>
          <w:color w:val="000000"/>
          <w:spacing w:val="0"/>
          <w:w w:val="100"/>
          <w:position w:val="0"/>
          <w:shd w:val="clear" w:color="auto" w:fill="auto"/>
        </w:rPr>
        <w:t xml:space="preserve">‘AIT Abdarraziq. </w:t>
      </w:r>
      <w:r>
        <w:rPr>
          <w:i/>
          <w:iCs/>
          <w:color w:val="000000"/>
          <w:spacing w:val="0"/>
          <w:w w:val="100"/>
          <w:position w:val="0"/>
          <w:shd w:val="clear" w:color="auto" w:fill="auto"/>
          <w:lang w:val="hr-HR" w:eastAsia="hr-HR" w:bidi="hr-HR"/>
        </w:rPr>
        <w:t>Al islam wa usula al-hukm</w:t>
      </w:r>
      <w:r>
        <w:rPr>
          <w:color w:val="000000"/>
          <w:spacing w:val="0"/>
          <w:w w:val="100"/>
          <w:position w:val="0"/>
          <w:shd w:val="clear" w:color="auto" w:fill="auto"/>
          <w:lang w:val="hr-HR" w:eastAsia="hr-HR" w:bidi="hr-HR"/>
        </w:rPr>
        <w:t xml:space="preserve"> (Islam i načela nauka o državi). Kairo 1925; H. </w:t>
      </w:r>
      <w:r>
        <w:rPr>
          <w:color w:val="000000"/>
          <w:spacing w:val="0"/>
          <w:w w:val="100"/>
          <w:position w:val="0"/>
          <w:shd w:val="clear" w:color="auto" w:fill="auto"/>
        </w:rPr>
        <w:t xml:space="preserve">Speyer. </w:t>
      </w:r>
      <w:r>
        <w:rPr>
          <w:i/>
          <w:iCs/>
          <w:color w:val="000000"/>
          <w:spacing w:val="0"/>
          <w:w w:val="100"/>
          <w:position w:val="0"/>
          <w:shd w:val="clear" w:color="auto" w:fill="auto"/>
        </w:rPr>
        <w:t xml:space="preserve">Dir biblische </w:t>
      </w:r>
      <w:r>
        <w:rPr>
          <w:i/>
          <w:iCs/>
          <w:color w:val="000000"/>
          <w:spacing w:val="0"/>
          <w:w w:val="100"/>
          <w:position w:val="0"/>
          <w:shd w:val="clear" w:color="auto" w:fill="auto"/>
          <w:lang w:val="hr-HR" w:eastAsia="hr-HR" w:bidi="hr-HR"/>
        </w:rPr>
        <w:t xml:space="preserve">Erziihtungen im </w:t>
      </w:r>
      <w:r>
        <w:rPr>
          <w:i/>
          <w:iCs/>
          <w:color w:val="000000"/>
          <w:spacing w:val="0"/>
          <w:w w:val="100"/>
          <w:position w:val="0"/>
          <w:shd w:val="clear" w:color="auto" w:fill="auto"/>
        </w:rPr>
        <w:t>Qoran,</w:t>
      </w:r>
      <w:r>
        <w:rPr>
          <w:color w:val="000000"/>
          <w:spacing w:val="0"/>
          <w:w w:val="100"/>
          <w:position w:val="0"/>
          <w:shd w:val="clear" w:color="auto" w:fill="auto"/>
        </w:rPr>
        <w:t xml:space="preserve"> Darmstadt t|96l; Y. Moubarac, </w:t>
      </w:r>
      <w:r>
        <w:rPr>
          <w:i/>
          <w:iCs/>
          <w:color w:val="000000"/>
          <w:spacing w:val="0"/>
          <w:w w:val="100"/>
          <w:position w:val="0"/>
          <w:shd w:val="clear" w:color="auto" w:fill="auto"/>
        </w:rPr>
        <w:t>Abraham dans le Coran,</w:t>
      </w:r>
      <w:r>
        <w:rPr>
          <w:color w:val="000000"/>
          <w:spacing w:val="0"/>
          <w:w w:val="100"/>
          <w:position w:val="0"/>
          <w:shd w:val="clear" w:color="auto" w:fill="auto"/>
        </w:rPr>
        <w:t xml:space="preserve"> Paris 1958 (Bibliographic corani- que. 187-195); H. Schutzinger, </w:t>
      </w:r>
      <w:r>
        <w:rPr>
          <w:i/>
          <w:iCs/>
          <w:color w:val="000000"/>
          <w:spacing w:val="0"/>
          <w:w w:val="100"/>
          <w:position w:val="0"/>
          <w:shd w:val="clear" w:color="auto" w:fill="auto"/>
        </w:rPr>
        <w:t>Ursprung and Eniuicklung der arabischen Abrahamgemeinde,</w:t>
      </w:r>
      <w:r>
        <w:rPr>
          <w:color w:val="000000"/>
          <w:spacing w:val="0"/>
          <w:w w:val="100"/>
          <w:position w:val="0"/>
          <w:shd w:val="clear" w:color="auto" w:fill="auto"/>
        </w:rPr>
        <w:t xml:space="preserve"> Dresden 1961; T. Nagel, </w:t>
      </w:r>
      <w:r>
        <w:rPr>
          <w:i/>
          <w:iCs/>
          <w:color w:val="000000"/>
          <w:spacing w:val="0"/>
          <w:w w:val="100"/>
          <w:position w:val="0"/>
          <w:shd w:val="clear" w:color="auto" w:fill="auto"/>
        </w:rPr>
        <w:t>Die qisas al-anybiyd. Ein Beilrag zur arabischen Lileralur- geschschle,</w:t>
      </w:r>
      <w:r>
        <w:rPr>
          <w:color w:val="000000"/>
          <w:spacing w:val="0"/>
          <w:w w:val="100"/>
          <w:position w:val="0"/>
          <w:shd w:val="clear" w:color="auto" w:fill="auto"/>
        </w:rPr>
        <w:t xml:space="preserve"> Bonn 1967; P. Antes, </w:t>
      </w:r>
      <w:r>
        <w:rPr>
          <w:i/>
          <w:iCs/>
          <w:color w:val="000000"/>
          <w:spacing w:val="0"/>
          <w:w w:val="100"/>
          <w:position w:val="0"/>
          <w:shd w:val="clear" w:color="auto" w:fill="auto"/>
        </w:rPr>
        <w:t>Prophelenwunder in der Ai'arfya bis al-Gazali (Algazel),</w:t>
      </w:r>
      <w:r>
        <w:rPr>
          <w:color w:val="000000"/>
          <w:spacing w:val="0"/>
          <w:w w:val="100"/>
          <w:position w:val="0"/>
          <w:shd w:val="clear" w:color="auto" w:fill="auto"/>
        </w:rPr>
        <w:t xml:space="preserve"> Freiburg 1970; Tilman Na</w:t>
        <w:softHyphen/>
        <w:t xml:space="preserve">gel. </w:t>
      </w:r>
      <w:r>
        <w:rPr>
          <w:i/>
          <w:iCs/>
          <w:color w:val="000000"/>
          <w:spacing w:val="0"/>
          <w:w w:val="100"/>
          <w:position w:val="0"/>
          <w:shd w:val="clear" w:color="auto" w:fill="auto"/>
        </w:rPr>
        <w:t>Des Koran. Einfiihrung, Tejae, Erldulerungen,</w:t>
      </w:r>
      <w:r>
        <w:rPr>
          <w:color w:val="000000"/>
          <w:spacing w:val="0"/>
          <w:w w:val="100"/>
          <w:position w:val="0"/>
          <w:shd w:val="clear" w:color="auto" w:fill="auto"/>
        </w:rPr>
        <w:t xml:space="preserve"> Miinchcn 1983; Muhammad Fu’ad 'Abdalbaqt, </w:t>
      </w:r>
      <w:r>
        <w:rPr>
          <w:i/>
          <w:iCs/>
          <w:color w:val="000000"/>
          <w:spacing w:val="0"/>
          <w:w w:val="100"/>
          <w:position w:val="0"/>
          <w:shd w:val="clear" w:color="auto" w:fill="auto"/>
        </w:rPr>
        <w:t>Al-Mu'dam al-mufahras lualfazal-Qur'an</w:t>
      </w:r>
      <w:r>
        <w:rPr>
          <w:color w:val="000000"/>
          <w:spacing w:val="0"/>
          <w:w w:val="100"/>
          <w:position w:val="0"/>
          <w:shd w:val="clear" w:color="auto" w:fill="auto"/>
        </w:rPr>
        <w:t xml:space="preserve"> e/Aaom. Istanbul 1982.</w:t>
        <w:tab/>
      </w:r>
      <w:r>
        <w:rPr>
          <w:color w:val="000000"/>
          <w:spacing w:val="0"/>
          <w:w w:val="100"/>
          <w:position w:val="0"/>
          <w:shd w:val="clear" w:color="auto" w:fill="auto"/>
          <w:lang w:val="hr-HR" w:eastAsia="hr-HR" w:bidi="hr-HR"/>
        </w:rPr>
        <w:t>S.BAI.IĆ</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9" w:after="9" w:line="240" w:lineRule="exact"/>
        <w:rPr>
          <w:sz w:val="19"/>
          <w:szCs w:val="19"/>
        </w:rPr>
      </w:pPr>
    </w:p>
    <w:p>
      <w:pPr>
        <w:widowControl w:val="0"/>
        <w:spacing w:line="1" w:lineRule="exact"/>
        <w:sectPr>
          <w:headerReference w:type="default" r:id="rId697"/>
          <w:footerReference w:type="default" r:id="rId698"/>
          <w:headerReference w:type="even" r:id="rId699"/>
          <w:footerReference w:type="even" r:id="rId700"/>
          <w:footnotePr>
            <w:pos w:val="pageBottom"/>
            <w:numFmt w:val="decimal"/>
            <w:numRestart w:val="continuous"/>
            <w15:footnoteColumns w:val="1"/>
          </w:footnotePr>
          <w:pgSz w:w="6816" w:h="11006"/>
          <w:pgMar w:top="1044" w:left="198" w:right="200" w:bottom="502" w:header="0" w:footer="3" w:gutter="0"/>
          <w:cols w:num="2" w:space="198"/>
          <w:noEndnote/>
          <w:rtlGutter w:val="0"/>
          <w:docGrid w:linePitch="360"/>
        </w:sectPr>
      </w:pP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LAIK</w:t>
      </w:r>
    </w:p>
    <w:p>
      <w:pPr>
        <w:pStyle w:val="Style63"/>
        <w:keepNext/>
        <w:keepLines/>
        <w:widowControl w:val="0"/>
        <w:numPr>
          <w:ilvl w:val="0"/>
          <w:numId w:val="253"/>
        </w:numPr>
        <w:shd w:val="clear" w:color="auto" w:fill="auto"/>
        <w:tabs>
          <w:tab w:pos="246" w:val="left"/>
        </w:tabs>
        <w:bidi w:val="0"/>
        <w:spacing w:before="0"/>
        <w:ind w:left="0" w:right="0" w:firstLine="0"/>
        <w:jc w:val="left"/>
      </w:pPr>
      <w:bookmarkStart w:id="170" w:name="bookmark170"/>
      <w:r>
        <w:rPr>
          <w:rFonts w:ascii="Times New Roman" w:eastAsia="Times New Roman" w:hAnsi="Times New Roman" w:cs="Times New Roman"/>
          <w:color w:val="000000"/>
          <w:spacing w:val="0"/>
          <w:w w:val="100"/>
          <w:position w:val="0"/>
          <w:shd w:val="clear" w:color="auto" w:fill="auto"/>
          <w:lang w:val="hr-HR" w:eastAsia="hr-HR" w:bidi="hr-HR"/>
        </w:rPr>
        <w:t>židovski</w:t>
      </w:r>
      <w:bookmarkEnd w:id="17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Bog je sklopio savez s Izraelom na osnovi vlasti i službe (Izl 19,4-6). </w:t>
      </w:r>
      <w:r>
        <w:rPr>
          <w:rFonts w:ascii="Times New Roman" w:eastAsia="Times New Roman" w:hAnsi="Times New Roman" w:cs="Times New Roman"/>
          <w:i/>
          <w:iCs/>
          <w:color w:val="000000"/>
          <w:spacing w:val="0"/>
          <w:w w:val="100"/>
          <w:position w:val="0"/>
          <w:shd w:val="clear" w:color="auto" w:fill="auto"/>
          <w:lang w:val="hr-HR" w:eastAsia="hr-HR" w:bidi="hr-HR"/>
        </w:rPr>
        <w:t>Sav</w:t>
      </w:r>
      <w:r>
        <w:rPr>
          <w:rFonts w:ascii="Times New Roman" w:eastAsia="Times New Roman" w:hAnsi="Times New Roman" w:cs="Times New Roman"/>
          <w:color w:val="000000"/>
          <w:spacing w:val="0"/>
          <w:w w:val="100"/>
          <w:position w:val="0"/>
          <w:shd w:val="clear" w:color="auto" w:fill="auto"/>
          <w:lang w:val="hr-HR" w:eastAsia="hr-HR" w:bidi="hr-HR"/>
        </w:rPr>
        <w:t xml:space="preserve"> narod obvezao se na životni odnos služenja Bogu: »Sve što je ON rekao, izvršit ćemo« (stih 8, usp. 24,7). Božji nalog i imenovanje traže potpunu pre</w:t>
        <w:softHyphen/>
        <w:t>danost Njemu u uvijek obnavljanom djelu na</w:t>
        <w:softHyphen/>
        <w:t>roda: No »vi ćete mi biti kraljevstvo sveće</w:t>
        <w:softHyphen/>
        <w:t>nika, narod svet« (19,6). U sferi neposredne vlasti svi su Izraelci jednako neposredni prema svojem Gospodinu. Izraelova rana povijest ne razlikuje svećenike od laika, privatnog od jav</w:t>
        <w:softHyphen/>
        <w:t>nog bogoslužja; rodovski poglavar bio je sve</w:t>
        <w:softHyphen/>
        <w:t>ćenik. Službeno svećenstvo došlo je nakon stva</w:t>
        <w:softHyphen/>
        <w:t>ranja država, prije svega s podizanjem Hrama. Otada je još samo kralj uz svećeništvo imao dalekosežna prava u kultu. Međutim, tijekom cijele povijesti hramskoga bogoslužja sveće</w:t>
        <w:softHyphen/>
        <w:t>nici su pripadali svećeničkom staležu samo po rođenju; to im je davalo pravo na obavljanje bogoslužja i visok svećenički položaj. Nije im nipošto bila dodijeljena veća Božja blizina ne</w:t>
        <w:softHyphen/>
        <w:t>goli nesvećcnicima niti je od njih tražena; naime, oni nisu nikada bili zaduženi za mi- Iosne darove. Svećenici su se genealoški raz</w:t>
        <w:softHyphen/>
        <w:t>likovali od ostalog naroda (Br 18; Pnz 18,1; Iz 24,2; Hoš 4,9; Nah 10,35 i d.; IMak 14,28; 2 Mak 1,23). Spominju se u vezi s njihovim funkcijama; težina je stavljena na njihove ob</w:t>
        <w:softHyphen/>
        <w:t xml:space="preserve">veze, ali ne i na različitost od »laika«. Zahtjev »Sveti budite! Jer svet sam JA, Bog vaš... Držite sve moje zakone i sve moje naredbe. JA sam JHVH«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19,2.37, usp. 20,7 i d., 26; 11,44 i d.) vrijedi bez iznimke za sve pri</w:t>
        <w:softHyphen/>
        <w:t>padnike naroda. Sinedrij, koji je najdulje u razdoblju drugoga Hrama predstavljao najvi</w:t>
        <w:softHyphen/>
        <w:t>šu nacionalnu ustanovu, činio je skup svih gra</w:t>
        <w:softHyphen/>
        <w:t>đana Judeje za izdavanje općinskih zakona i donošenje političkih odluka; za središnji reli</w:t>
        <w:softHyphen/>
        <w:t xml:space="preserve">gijski autoritet brinuli su se članovi obitelji </w:t>
      </w:r>
      <w:r>
        <w:rPr>
          <w:rFonts w:ascii="Times New Roman" w:eastAsia="Times New Roman" w:hAnsi="Times New Roman" w:cs="Times New Roman"/>
          <w:color w:val="000000"/>
          <w:spacing w:val="0"/>
          <w:w w:val="100"/>
          <w:position w:val="0"/>
          <w:shd w:val="clear" w:color="auto" w:fill="auto"/>
          <w:lang w:val="hr-HR" w:eastAsia="hr-HR" w:bidi="hr-HR"/>
        </w:rPr>
        <w:t xml:space="preserve">nasljedne svećeničke časti i »laici« (R. T. </w:t>
      </w:r>
      <w:r>
        <w:rPr>
          <w:rFonts w:ascii="Times New Roman" w:eastAsia="Times New Roman" w:hAnsi="Times New Roman" w:cs="Times New Roman"/>
          <w:color w:val="000000"/>
          <w:spacing w:val="0"/>
          <w:w w:val="100"/>
          <w:position w:val="0"/>
          <w:shd w:val="clear" w:color="auto" w:fill="auto"/>
          <w:lang w:val="en-US" w:eastAsia="en-US" w:bidi="en-US"/>
        </w:rPr>
        <w:t>Her</w:t>
        <w:softHyphen/>
        <w:t xml:space="preserve">ford, </w:t>
      </w:r>
      <w:r>
        <w:rPr>
          <w:rFonts w:ascii="Times New Roman" w:eastAsia="Times New Roman" w:hAnsi="Times New Roman" w:cs="Times New Roman"/>
          <w:i/>
          <w:iCs/>
          <w:color w:val="000000"/>
          <w:spacing w:val="0"/>
          <w:w w:val="100"/>
          <w:position w:val="0"/>
          <w:shd w:val="clear" w:color="auto" w:fill="auto"/>
          <w:lang w:val="en-US" w:eastAsia="en-US" w:bidi="en-US"/>
        </w:rPr>
        <w:t>Die Pharisaer,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1928, 22 i d.; S. Safrai,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jiidische Volk im </w:t>
      </w:r>
      <w:r>
        <w:rPr>
          <w:rFonts w:ascii="Times New Roman" w:eastAsia="Times New Roman" w:hAnsi="Times New Roman" w:cs="Times New Roman"/>
          <w:i/>
          <w:iCs/>
          <w:color w:val="000000"/>
          <w:spacing w:val="0"/>
          <w:w w:val="100"/>
          <w:position w:val="0"/>
          <w:shd w:val="clear" w:color="auto" w:fill="auto"/>
          <w:lang w:val="en-US" w:eastAsia="en-US" w:bidi="en-US"/>
        </w:rPr>
        <w:t xml:space="preserve">Zeitalter des Zweiten Tempels,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1980, 63 i d.). Farizeji, najvažnija religijska struja, uzdignuli su se iz naroda u vodeći reli</w:t>
        <w:softHyphen/>
        <w:t>gijski sloj i potpuno potisnuli utjecaj sveće</w:t>
        <w:softHyphen/>
        <w:t>ničke aristokracije. Oni su obilježili sav unu</w:t>
        <w:softHyphen/>
        <w:t>tarnji razvitak Judeje od hasmonidske vlada</w:t>
        <w:softHyphen/>
        <w:t>vine (135./134. god. pr. Kr.) i utemeljili povi</w:t>
        <w:softHyphen/>
        <w:t xml:space="preserve">jest židovstva nakon razorcnja Hrama (H. H. Ben-Sasson /Hrsg./,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des jiidischen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Volkes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1976, 269 i d.; P. </w:t>
      </w:r>
      <w:r>
        <w:rPr>
          <w:rFonts w:ascii="Times New Roman" w:eastAsia="Times New Roman" w:hAnsi="Times New Roman" w:cs="Times New Roman"/>
          <w:color w:val="000000"/>
          <w:spacing w:val="0"/>
          <w:w w:val="100"/>
          <w:position w:val="0"/>
          <w:shd w:val="clear" w:color="auto" w:fill="auto"/>
          <w:lang w:val="en-US" w:eastAsia="en-US" w:bidi="en-US"/>
        </w:rPr>
        <w:t xml:space="preserve">Schafer,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derjuden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Antike,</w:t>
      </w:r>
      <w:r>
        <w:rPr>
          <w:rFonts w:ascii="Times New Roman" w:eastAsia="Times New Roman" w:hAnsi="Times New Roman" w:cs="Times New Roman"/>
          <w:color w:val="000000"/>
          <w:spacing w:val="0"/>
          <w:w w:val="100"/>
          <w:position w:val="0"/>
          <w:shd w:val="clear" w:color="auto" w:fill="auto"/>
          <w:lang w:val="hr-HR" w:eastAsia="hr-HR" w:bidi="hr-HR"/>
        </w:rPr>
        <w:t xml:space="preserve"> 1983, 79 i d.). Smatrali su (b Kidušin 66a; usp. Josip Flavije, </w:t>
      </w:r>
      <w:r>
        <w:rPr>
          <w:rFonts w:ascii="Times New Roman" w:eastAsia="Times New Roman" w:hAnsi="Times New Roman" w:cs="Times New Roman"/>
          <w:i/>
          <w:iCs/>
          <w:color w:val="000000"/>
          <w:spacing w:val="0"/>
          <w:w w:val="100"/>
          <w:position w:val="0"/>
          <w:shd w:val="clear" w:color="auto" w:fill="auto"/>
          <w:lang w:val="en-US" w:eastAsia="en-US" w:bidi="en-US"/>
        </w:rPr>
        <w:t>Antiqui</w:t>
        <w:softHyphen/>
        <w:t>tales</w:t>
      </w:r>
      <w:r>
        <w:rPr>
          <w:rFonts w:ascii="Times New Roman" w:eastAsia="Times New Roman" w:hAnsi="Times New Roman" w:cs="Times New Roman"/>
          <w:color w:val="000000"/>
          <w:spacing w:val="0"/>
          <w:w w:val="100"/>
          <w:position w:val="0"/>
          <w:shd w:val="clear" w:color="auto" w:fill="auto"/>
          <w:lang w:val="hr-HR" w:eastAsia="hr-HR" w:bidi="hr-HR"/>
        </w:rPr>
        <w:t xml:space="preserve"> XIII, 10,5-6) da je Tora dana cijelom Izraelu i da njezino objašnjavanje nije privile</w:t>
        <w:softHyphen/>
        <w:t>gija svećenika (Neh 8).</w:t>
      </w:r>
    </w:p>
    <w:p>
      <w:pPr>
        <w:pStyle w:val="Style20"/>
        <w:keepNext w:val="0"/>
        <w:keepLines w:val="0"/>
        <w:widowControl w:val="0"/>
        <w:shd w:val="clear" w:color="auto" w:fill="auto"/>
        <w:bidi w:val="0"/>
        <w:spacing w:before="0" w:after="0"/>
        <w:ind w:left="0" w:right="0" w:firstLine="0"/>
        <w:jc w:val="both"/>
        <w:sectPr>
          <w:footnotePr>
            <w:pos w:val="pageBottom"/>
            <w:numFmt w:val="decimal"/>
            <w:numRestart w:val="continuous"/>
            <w15:footnoteColumns w:val="1"/>
          </w:footnotePr>
          <w:type w:val="continuous"/>
          <w:pgSz w:w="6816" w:h="11006"/>
          <w:pgMar w:top="1044" w:left="198" w:right="200" w:bottom="502" w:header="616" w:footer="3" w:gutter="0"/>
          <w:cols w:num="2" w:space="19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To stajalište i farizejska pobožnost, koja je bi</w:t>
        <w:softHyphen/>
        <w:t>la usmjerena na produhovljcnjc religijskih ob</w:t>
        <w:softHyphen/>
        <w:t>lika i na razvitak osobne religioznosti, odre</w:t>
        <w:softHyphen/>
        <w:t>đivali su sinagogalno bogoslužje. Ono se od</w:t>
        <w:softHyphen/>
        <w:t>vija na posve demokratskoj osnovi i potpuno neovisno o svećeničkoj službi. Svaki član za</w:t>
        <w:softHyphen/>
        <w:t>jednice ima ovdje u načelu ista prava; svatko može doći do riječi; samo pobožnost, znanje Tore i sposobnost prenošenja toga znanja na druge opravdavaju različit utjecaj pojedinaca. Svećenici nisu nikada imali službu nadziranja nad upravom sinagoge. S razorenjem drugoga Hrama završio je obred žrtvovanja i time dje</w:t>
        <w:softHyphen/>
        <w:t xml:space="preserve">lovanje svećeničkoga staleža. Vjerski učenjak </w:t>
      </w:r>
      <w:r>
        <w:rPr>
          <w:rFonts w:ascii="Times New Roman" w:eastAsia="Times New Roman" w:hAnsi="Times New Roman" w:cs="Times New Roman"/>
          <w:i/>
          <w:iCs/>
          <w:color w:val="000000"/>
          <w:spacing w:val="0"/>
          <w:w w:val="100"/>
          <w:position w:val="0"/>
          <w:shd w:val="clear" w:color="auto" w:fill="auto"/>
          <w:lang w:val="hr-HR" w:eastAsia="hr-HR" w:bidi="hr-HR"/>
        </w:rPr>
        <w:t>(talmid haham,</w:t>
      </w:r>
      <w:r>
        <w:rPr>
          <w:rFonts w:ascii="Times New Roman" w:eastAsia="Times New Roman" w:hAnsi="Times New Roman" w:cs="Times New Roman"/>
          <w:color w:val="000000"/>
          <w:spacing w:val="0"/>
          <w:w w:val="100"/>
          <w:position w:val="0"/>
          <w:shd w:val="clear" w:color="auto" w:fill="auto"/>
          <w:lang w:val="hr-HR" w:eastAsia="hr-HR" w:bidi="hr-HR"/>
        </w:rPr>
        <w:t xml:space="preserve"> »mudri učenik«, b Hagiga 15b), kojega su otprilike od I. stoljeća oslovljavali s »Rabi« (»moj Učitelju«) (b Bava mecia 85a), bio je »1.«. Ni ordinacija, tj. zaređenje, ne po</w:t>
        <w:softHyphen/>
        <w:t>stavlja rabina u svetu klasu koja se razlikuje od drugih. Crtu razgraničenja povukli su samo farizeji, a to se jasno razabire iz njihova na</w:t>
        <w:softHyphen/>
        <w:t xml:space="preserve">ziva; no htjeli su biti »odijeljeni« </w:t>
      </w:r>
      <w:r>
        <w:rPr>
          <w:rFonts w:ascii="Times New Roman" w:eastAsia="Times New Roman" w:hAnsi="Times New Roman" w:cs="Times New Roman"/>
          <w:i/>
          <w:iCs/>
          <w:color w:val="000000"/>
          <w:spacing w:val="0"/>
          <w:w w:val="100"/>
          <w:position w:val="0"/>
          <w:shd w:val="clear" w:color="auto" w:fill="auto"/>
          <w:lang w:val="hr-HR" w:eastAsia="hr-HR" w:bidi="hr-HR"/>
        </w:rPr>
        <w:t>(perušim,</w:t>
      </w:r>
      <w:r>
        <w:rPr>
          <w:rFonts w:ascii="Times New Roman" w:eastAsia="Times New Roman" w:hAnsi="Times New Roman" w:cs="Times New Roman"/>
          <w:color w:val="000000"/>
          <w:spacing w:val="0"/>
          <w:w w:val="100"/>
          <w:position w:val="0"/>
          <w:shd w:val="clear" w:color="auto" w:fill="auto"/>
          <w:lang w:val="hr-HR" w:eastAsia="hr-HR" w:bidi="hr-HR"/>
        </w:rPr>
        <w:t xml:space="preserve"> Tos. Šabat 1,15; b 13a) u smislu staroga prijevoda biblijske riječi »svet« </w:t>
      </w:r>
      <w:r>
        <w:rPr>
          <w:rFonts w:ascii="Times New Roman" w:eastAsia="Times New Roman" w:hAnsi="Times New Roman" w:cs="Times New Roman"/>
          <w:i/>
          <w:iCs/>
          <w:color w:val="000000"/>
          <w:spacing w:val="0"/>
          <w:w w:val="100"/>
          <w:position w:val="0"/>
          <w:shd w:val="clear" w:color="auto" w:fill="auto"/>
          <w:lang w:val="hr-HR" w:eastAsia="hr-HR" w:bidi="hr-HR"/>
        </w:rPr>
        <w:t>(kadoš)</w:t>
      </w:r>
      <w:r>
        <w:rPr>
          <w:rFonts w:ascii="Times New Roman" w:eastAsia="Times New Roman" w:hAnsi="Times New Roman" w:cs="Times New Roman"/>
          <w:color w:val="000000"/>
          <w:spacing w:val="0"/>
          <w:w w:val="100"/>
          <w:position w:val="0"/>
          <w:shd w:val="clear" w:color="auto" w:fill="auto"/>
          <w:lang w:val="hr-HR" w:eastAsia="hr-HR" w:bidi="hr-HR"/>
        </w:rPr>
        <w:t xml:space="preserve"> u rečenici koja govori o uzajamnom odnosu Boga i Izraela;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zatim reče Bog: »Kao što sam ja </w:t>
      </w:r>
      <w:r>
        <w:rPr>
          <w:rFonts w:ascii="Times New Roman" w:eastAsia="Times New Roman" w:hAnsi="Times New Roman" w:cs="Times New Roman"/>
          <w:i/>
          <w:iCs/>
          <w:color w:val="000000"/>
          <w:spacing w:val="0"/>
          <w:w w:val="100"/>
          <w:position w:val="0"/>
          <w:shd w:val="clear" w:color="auto" w:fill="auto"/>
          <w:lang w:val="hr-HR" w:eastAsia="hr-HR" w:bidi="hr-HR"/>
        </w:rPr>
        <w:t>paraš</w:t>
      </w:r>
      <w:r>
        <w:rPr>
          <w:rFonts w:ascii="Times New Roman" w:eastAsia="Times New Roman" w:hAnsi="Times New Roman" w:cs="Times New Roman"/>
          <w:color w:val="000000"/>
          <w:spacing w:val="0"/>
          <w:w w:val="100"/>
          <w:position w:val="0"/>
          <w:shd w:val="clear" w:color="auto" w:fill="auto"/>
          <w:lang w:val="hr-HR" w:eastAsia="hr-HR" w:bidi="hr-HR"/>
        </w:rPr>
        <w:t xml:space="preserve"> (odije</w:t>
        <w:softHyphen/>
        <w:t xml:space="preserve">ljen), lako i vi trebate biti </w:t>
      </w:r>
      <w:r>
        <w:rPr>
          <w:rFonts w:ascii="Times New Roman" w:eastAsia="Times New Roman" w:hAnsi="Times New Roman" w:cs="Times New Roman"/>
          <w:i/>
          <w:iCs/>
          <w:color w:val="000000"/>
          <w:spacing w:val="0"/>
          <w:w w:val="100"/>
          <w:position w:val="0"/>
          <w:shd w:val="clear" w:color="auto" w:fill="auto"/>
          <w:lang w:val="hr-HR" w:eastAsia="hr-HR" w:bidi="hr-HR"/>
        </w:rPr>
        <w:t>perušim«</w:t>
      </w:r>
      <w:r>
        <w:rPr>
          <w:rFonts w:ascii="Times New Roman" w:eastAsia="Times New Roman" w:hAnsi="Times New Roman" w:cs="Times New Roman"/>
          <w:color w:val="000000"/>
          <w:spacing w:val="0"/>
          <w:w w:val="100"/>
          <w:position w:val="0"/>
          <w:shd w:val="clear" w:color="auto" w:fill="auto"/>
          <w:lang w:val="hr-HR" w:eastAsia="hr-HR" w:bidi="hr-HR"/>
        </w:rPr>
        <w:t xml:space="preserve">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Svojim životom prema propisima Tore smatrali su se odvojenim od »naroda zemlje«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(am </w:t>
      </w:r>
      <w:r>
        <w:rPr>
          <w:rFonts w:ascii="Times New Roman" w:eastAsia="Times New Roman" w:hAnsi="Times New Roman" w:cs="Times New Roman"/>
          <w:i/>
          <w:iCs/>
          <w:color w:val="000000"/>
          <w:spacing w:val="0"/>
          <w:w w:val="100"/>
          <w:position w:val="0"/>
          <w:shd w:val="clear" w:color="auto" w:fill="auto"/>
          <w:lang w:val="hr-HR" w:eastAsia="hr-HR" w:bidi="hr-HR"/>
        </w:rPr>
        <w:t>ha-arec)</w:t>
      </w:r>
      <w:r>
        <w:rPr>
          <w:rFonts w:ascii="Times New Roman" w:eastAsia="Times New Roman" w:hAnsi="Times New Roman" w:cs="Times New Roman"/>
          <w:color w:val="000000"/>
          <w:spacing w:val="0"/>
          <w:w w:val="100"/>
          <w:position w:val="0"/>
          <w:shd w:val="clear" w:color="auto" w:fill="auto"/>
          <w:lang w:val="hr-HR" w:eastAsia="hr-HR" w:bidi="hr-HR"/>
        </w:rPr>
        <w:t xml:space="preserve"> koji ne stječe znanje Tore i pot</w:t>
        <w:softHyphen/>
        <w:t xml:space="preserve">puno zanemaruje židovski način života </w:t>
      </w:r>
      <w:r>
        <w:rPr>
          <w:rFonts w:ascii="Times New Roman" w:eastAsia="Times New Roman" w:hAnsi="Times New Roman" w:cs="Times New Roman"/>
          <w:i/>
          <w:iCs/>
          <w:color w:val="000000"/>
          <w:spacing w:val="0"/>
          <w:w w:val="100"/>
          <w:position w:val="0"/>
          <w:shd w:val="clear" w:color="auto" w:fill="auto"/>
          <w:lang w:val="hr-HR" w:eastAsia="hr-HR" w:bidi="hr-HR"/>
        </w:rPr>
        <w:t>(ha- laha)</w:t>
      </w:r>
      <w:r>
        <w:rPr>
          <w:rFonts w:ascii="Times New Roman" w:eastAsia="Times New Roman" w:hAnsi="Times New Roman" w:cs="Times New Roman"/>
          <w:color w:val="000000"/>
          <w:spacing w:val="0"/>
          <w:w w:val="100"/>
          <w:position w:val="0"/>
          <w:shd w:val="clear" w:color="auto" w:fill="auto"/>
          <w:lang w:val="hr-HR" w:eastAsia="hr-HR" w:bidi="hr-HR"/>
        </w:rPr>
        <w:t xml:space="preserve"> (M Sota IX,15; Avot 111,11; b Sabat 152b): »Rabi </w:t>
      </w:r>
      <w:r>
        <w:rPr>
          <w:rFonts w:ascii="Times New Roman" w:eastAsia="Times New Roman" w:hAnsi="Times New Roman" w:cs="Times New Roman"/>
          <w:color w:val="000000"/>
          <w:spacing w:val="0"/>
          <w:w w:val="100"/>
          <w:position w:val="0"/>
          <w:shd w:val="clear" w:color="auto" w:fill="auto"/>
          <w:lang w:val="en-US" w:eastAsia="en-US" w:bidi="en-US"/>
        </w:rPr>
        <w:t xml:space="preserve">Simon ben </w:t>
      </w:r>
      <w:r>
        <w:rPr>
          <w:rFonts w:ascii="Times New Roman" w:eastAsia="Times New Roman" w:hAnsi="Times New Roman" w:cs="Times New Roman"/>
          <w:color w:val="000000"/>
          <w:spacing w:val="0"/>
          <w:w w:val="100"/>
          <w:position w:val="0"/>
          <w:shd w:val="clear" w:color="auto" w:fill="auto"/>
          <w:lang w:val="hr-HR" w:eastAsia="hr-HR" w:bidi="hr-HR"/>
        </w:rPr>
        <w:t xml:space="preserve">Lakiš (III. stoljeće) rekao je: Ova nacija (Izrael) nalik je trsu: loza na njemu očevi su obitelji (vlasnici), grozdovi mudri učenici, dok su listovi oni neuki </w:t>
      </w:r>
      <w:r>
        <w:rPr>
          <w:rFonts w:ascii="Times New Roman" w:eastAsia="Times New Roman" w:hAnsi="Times New Roman" w:cs="Times New Roman"/>
          <w:i/>
          <w:iCs/>
          <w:color w:val="000000"/>
          <w:spacing w:val="0"/>
          <w:w w:val="100"/>
          <w:position w:val="0"/>
          <w:shd w:val="clear" w:color="auto" w:fill="auto"/>
          <w:lang w:val="hr-HR" w:eastAsia="hr-HR" w:bidi="hr-HR"/>
        </w:rPr>
        <w:t>(amej ha-arec),</w:t>
      </w:r>
      <w:r>
        <w:rPr>
          <w:rFonts w:ascii="Times New Roman" w:eastAsia="Times New Roman" w:hAnsi="Times New Roman" w:cs="Times New Roman"/>
          <w:color w:val="000000"/>
          <w:spacing w:val="0"/>
          <w:w w:val="100"/>
          <w:position w:val="0"/>
          <w:shd w:val="clear" w:color="auto" w:fill="auto"/>
          <w:lang w:val="hr-HR" w:eastAsia="hr-HR" w:bidi="hr-HR"/>
        </w:rPr>
        <w:t xml:space="preserve"> a vitice prazni u Izraelu (koji ne žive po zapovijedima)« (b Hulin 92a). Budući da pobožnost spada u ispunjenje zapovijedi, »ne</w:t>
        <w:softHyphen/>
        <w:t xml:space="preserve">obrazovanim« se smatrao onaj </w:t>
      </w:r>
      <w:r>
        <w:rPr>
          <w:rFonts w:ascii="Times New Roman" w:eastAsia="Times New Roman" w:hAnsi="Times New Roman" w:cs="Times New Roman"/>
          <w:i/>
          <w:iCs/>
          <w:color w:val="000000"/>
          <w:spacing w:val="0"/>
          <w:w w:val="100"/>
          <w:position w:val="0"/>
          <w:shd w:val="clear" w:color="auto" w:fill="auto"/>
          <w:lang w:val="en-US" w:eastAsia="en-US" w:bidi="en-US"/>
        </w:rPr>
        <w:t>(bur,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M Avot 11,5; Tos. Berahot VII.18; j IX,13b; b Sota 22a) koji sebi nije mogao ništa priuštiti zbog nedostatnoga znanja Tore. Pojavljuje se još jedan sinonim za narod zemlje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(am </w:t>
      </w:r>
      <w:r>
        <w:rPr>
          <w:rFonts w:ascii="Times New Roman" w:eastAsia="Times New Roman" w:hAnsi="Times New Roman" w:cs="Times New Roman"/>
          <w:i/>
          <w:iCs/>
          <w:color w:val="000000"/>
          <w:spacing w:val="0"/>
          <w:w w:val="100"/>
          <w:position w:val="0"/>
          <w:shd w:val="clear" w:color="auto" w:fill="auto"/>
          <w:lang w:val="hr-HR" w:eastAsia="hr-HR" w:bidi="hr-HR"/>
        </w:rPr>
        <w:t>ha-arec)</w:t>
      </w:r>
      <w:r>
        <w:rPr>
          <w:rFonts w:ascii="Times New Roman" w:eastAsia="Times New Roman" w:hAnsi="Times New Roman" w:cs="Times New Roman"/>
          <w:color w:val="000000"/>
          <w:spacing w:val="0"/>
          <w:w w:val="100"/>
          <w:position w:val="0"/>
          <w:shd w:val="clear" w:color="auto" w:fill="auto"/>
          <w:lang w:val="hr-HR" w:eastAsia="hr-HR" w:bidi="hr-HR"/>
        </w:rPr>
        <w:t xml:space="preserve"> u rabinskoj jezičnoj uporabi, »1.« ili »običan čo</w:t>
        <w:softHyphen/>
        <w:t xml:space="preserve">vjek« </w:t>
      </w:r>
      <w:r>
        <w:rPr>
          <w:rFonts w:ascii="Times New Roman" w:eastAsia="Times New Roman" w:hAnsi="Times New Roman" w:cs="Times New Roman"/>
          <w:i/>
          <w:iCs/>
          <w:color w:val="000000"/>
          <w:spacing w:val="0"/>
          <w:w w:val="100"/>
          <w:position w:val="0"/>
          <w:shd w:val="clear" w:color="auto" w:fill="auto"/>
          <w:lang w:val="hr-HR" w:eastAsia="hr-HR" w:bidi="hr-HR"/>
        </w:rPr>
        <w:t>(hedjol,</w:t>
      </w:r>
      <w:r>
        <w:rPr>
          <w:rFonts w:ascii="Times New Roman" w:eastAsia="Times New Roman" w:hAnsi="Times New Roman" w:cs="Times New Roman"/>
          <w:color w:val="000000"/>
          <w:spacing w:val="0"/>
          <w:w w:val="100"/>
          <w:position w:val="0"/>
          <w:shd w:val="clear" w:color="auto" w:fill="auto"/>
          <w:lang w:val="hr-HR" w:eastAsia="hr-HR" w:bidi="hr-HR"/>
        </w:rPr>
        <w:t xml:space="preserve"> grč. </w:t>
      </w:r>
      <w:r>
        <w:rPr>
          <w:rFonts w:ascii="Times New Roman" w:eastAsia="Times New Roman" w:hAnsi="Times New Roman" w:cs="Times New Roman"/>
          <w:i/>
          <w:iCs/>
          <w:color w:val="000000"/>
          <w:spacing w:val="0"/>
          <w:w w:val="100"/>
          <w:position w:val="0"/>
          <w:shd w:val="clear" w:color="auto" w:fill="auto"/>
          <w:lang w:val="hr-HR" w:eastAsia="hr-HR" w:bidi="hr-HR"/>
        </w:rPr>
        <w:t>idiotes),</w:t>
      </w:r>
      <w:r>
        <w:rPr>
          <w:rFonts w:ascii="Times New Roman" w:eastAsia="Times New Roman" w:hAnsi="Times New Roman" w:cs="Times New Roman"/>
          <w:color w:val="000000"/>
          <w:spacing w:val="0"/>
          <w:w w:val="100"/>
          <w:position w:val="0"/>
          <w:shd w:val="clear" w:color="auto" w:fill="auto"/>
          <w:lang w:val="hr-HR" w:eastAsia="hr-HR" w:bidi="hr-HR"/>
        </w:rPr>
        <w:t xml:space="preserve"> »u čijoj ruci nisu riječi Tore (tj. tko nema znanja o Tori); on za</w:t>
        <w:softHyphen/>
        <w:t>pada u grijeh i spotiče se u njemu i umire« (Šcmot raba XXXV,22,20; usp. j Jevamot XVI,15d; Šifre Br 12,8).</w:t>
      </w:r>
    </w:p>
    <w:p>
      <w:pPr>
        <w:pStyle w:val="Style56"/>
        <w:keepNext w:val="0"/>
        <w:keepLines w:val="0"/>
        <w:widowControl w:val="0"/>
        <w:shd w:val="clear" w:color="auto" w:fill="auto"/>
        <w:tabs>
          <w:tab w:pos="2453" w:val="left"/>
        </w:tabs>
        <w:bidi w:val="0"/>
        <w:spacing w:before="0" w:after="14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W. Bausset/H. Grcssmann, </w:t>
      </w:r>
      <w:r>
        <w:rPr>
          <w:i/>
          <w:iCs/>
          <w:color w:val="000000"/>
          <w:spacing w:val="0"/>
          <w:w w:val="100"/>
          <w:position w:val="0"/>
          <w:shd w:val="clear" w:color="auto" w:fill="auto"/>
        </w:rPr>
        <w:t xml:space="preserve">Die Religion desJudenlums </w:t>
      </w:r>
      <w:r>
        <w:rPr>
          <w:i/>
          <w:iCs/>
          <w:color w:val="000000"/>
          <w:spacing w:val="0"/>
          <w:w w:val="100"/>
          <w:position w:val="0"/>
          <w:shd w:val="clear" w:color="auto" w:fill="auto"/>
          <w:lang w:val="hr-HR" w:eastAsia="hr-HR" w:bidi="hr-HR"/>
        </w:rPr>
        <w:t>im spaihellenisiischen Zeitaiter,</w:t>
      </w:r>
      <w:r>
        <w:rPr>
          <w:color w:val="000000"/>
          <w:spacing w:val="0"/>
          <w:w w:val="100"/>
          <w:position w:val="0"/>
          <w:shd w:val="clear" w:color="auto" w:fill="auto"/>
          <w:lang w:val="hr-HR" w:eastAsia="hr-HR" w:bidi="hr-HR"/>
        </w:rPr>
        <w:t xml:space="preserve"> *1966, 171 i d.; </w:t>
      </w:r>
      <w:r>
        <w:rPr>
          <w:i/>
          <w:iCs/>
          <w:color w:val="000000"/>
          <w:spacing w:val="0"/>
          <w:w w:val="100"/>
          <w:position w:val="0"/>
          <w:shd w:val="clear" w:color="auto" w:fill="auto"/>
        </w:rPr>
        <w:t>Encyclopae</w:t>
        <w:softHyphen/>
        <w:t xml:space="preserve">dia Judaica </w:t>
      </w:r>
      <w:r>
        <w:rPr>
          <w:i/>
          <w:iCs/>
          <w:color w:val="000000"/>
          <w:spacing w:val="0"/>
          <w:w w:val="100"/>
          <w:position w:val="0"/>
          <w:shd w:val="clear" w:color="auto" w:fill="auto"/>
          <w:lang w:val="hr-HR" w:eastAsia="hr-HR" w:bidi="hr-HR"/>
        </w:rPr>
        <w:t>2,</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1978. 833-36.</w:t>
        <w:tab/>
        <w:t>D. VEI'ltR</w:t>
      </w:r>
    </w:p>
    <w:p>
      <w:pPr>
        <w:pStyle w:val="Style63"/>
        <w:keepNext/>
        <w:keepLines/>
        <w:widowControl w:val="0"/>
        <w:numPr>
          <w:ilvl w:val="0"/>
          <w:numId w:val="253"/>
        </w:numPr>
        <w:shd w:val="clear" w:color="auto" w:fill="auto"/>
        <w:tabs>
          <w:tab w:pos="260" w:val="left"/>
        </w:tabs>
        <w:bidi w:val="0"/>
        <w:spacing w:before="0" w:line="223" w:lineRule="auto"/>
        <w:ind w:left="0" w:right="0" w:firstLine="0"/>
        <w:jc w:val="both"/>
      </w:pPr>
      <w:bookmarkStart w:id="171" w:name="bookmark17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7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diskusiji o teološkom određenju laika (za razliku od klera) uvijek se iznova zaoštravalo pitanje o subjektu u teologiji i Crkvi. Utvrđe</w:t>
        <w:softHyphen/>
        <w:t>na tumačenja, naknadno gledano, pokazuju svoju ovisnost kako o unutarerkvenim tako i o općenito sociokulturnim razvojima. Zato je razumljivo da je do sada bio različit opis i položaj laika u različitim kršćanskim crkva</w:t>
        <w:softHyphen/>
        <w:t>ma.</w:t>
      </w:r>
    </w:p>
    <w:p>
      <w:pPr>
        <w:pStyle w:val="Style20"/>
        <w:keepNext w:val="0"/>
        <w:keepLines w:val="0"/>
        <w:widowControl w:val="0"/>
        <w:numPr>
          <w:ilvl w:val="0"/>
          <w:numId w:val="255"/>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pravoslavne crkve ne može se navesti nikakva jedinstvena teorija ni praksa. One sve prepoznaju poseban duhovni položaj svećeni</w:t>
        <w:softHyphen/>
        <w:t>ka. Sporno je u kolikoj mjeri može laički ele</w:t>
        <w:softHyphen/>
        <w:t>ment u Crkvi doći do izražaja. Shvaćanja se protežu od strogoga hijerarhijskog usmjerenja do zagovaranja aktivnog sudjelovanja kao što se to konkretno događa sudjelovanjem na kon</w:t>
        <w:softHyphen/>
        <w:t>cilima ili suradnjom na biskupskim i ostalim izborima.</w:t>
      </w:r>
    </w:p>
    <w:p>
      <w:pPr>
        <w:pStyle w:val="Style20"/>
        <w:keepNext w:val="0"/>
        <w:keepLines w:val="0"/>
        <w:widowControl w:val="0"/>
        <w:numPr>
          <w:ilvl w:val="0"/>
          <w:numId w:val="255"/>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jednu od zajedničkih osnova crkava re- formacije ubraja se učenje o sveopćem sve- čeništvu svih vjernika.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je odbacio kva</w:t>
        <w:softHyphen/>
      </w:r>
      <w:r>
        <w:rPr>
          <w:rFonts w:ascii="Times New Roman" w:eastAsia="Times New Roman" w:hAnsi="Times New Roman" w:cs="Times New Roman"/>
          <w:color w:val="000000"/>
          <w:spacing w:val="0"/>
          <w:w w:val="100"/>
          <w:position w:val="0"/>
          <w:shd w:val="clear" w:color="auto" w:fill="auto"/>
          <w:lang w:val="hr-HR" w:eastAsia="hr-HR" w:bidi="hr-HR"/>
        </w:rPr>
        <w:t>litativnu razliku između klera i laika kao ne- biblijsku, ali je držao do posebne službe jav</w:t>
        <w:softHyphen/>
        <w:t>nog naviještanja i upravljanja sakramentima. U prezbiterijalno sinodalnim crkvenim temelj</w:t>
        <w:softHyphen/>
        <w:t>nim propisima pravno je zabilježeno eklezio- loško načelo jednakog dostojanstva i odgovor</w:t>
        <w:softHyphen/>
        <w:t>nosti svih u izgradnji zajednice. Faktički se ipak pojavila stanovita »hijerarhijska« razlika u visini položaja. Posebno zato jer je ređenje u župsku službu po pravilu vezano uz teologe, mogao se u protestantskim crkvama stvoriti novi pojam laika kao teološki neobrazovano</w:t>
        <w:softHyphen/>
        <w:t>ga člana zajednice. Protivno tomu, prije svega se slobodne crkve dosljedno pridržavaju nače</w:t>
        <w:softHyphen/>
        <w:t>la karizmatičkoga poretka u zajednici. Is</w:t>
        <w:softHyphen/>
        <w:t>kustva mladih crkava u okviru ekumenske diskusije iznova su postavila pitanje laika.</w:t>
      </w:r>
    </w:p>
    <w:p>
      <w:pPr>
        <w:pStyle w:val="Style20"/>
        <w:keepNext w:val="0"/>
        <w:keepLines w:val="0"/>
        <w:widowControl w:val="0"/>
        <w:numPr>
          <w:ilvl w:val="0"/>
          <w:numId w:val="255"/>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Najnačelnije se problematika laika postav</w:t>
        <w:softHyphen/>
        <w:t>lja u Katoličkoj crkvi. Prije svega u srednjem vijeku i počevši od srednjega vijeka ovdje je došlo do stvaranja »učenja o dvama staleži</w:t>
        <w:softHyphen/>
        <w:t>ma« koje nipošto ne dopušta sudjelovanje laika u trostrukoj Kristovoj službi. Sto je bio I., moglo se zaključiti još samo negacijom u odnosu na kler kao jedini subjekt Crkve (kle</w:t>
        <w:softHyphen/>
        <w:t>rikalizam). Ovo je shvaćanje doživjelo nak</w:t>
        <w:softHyphen/>
        <w:t>nadni ispravak na Drugom vatikanskom kon</w:t>
        <w:softHyphen/>
        <w:t>cilu. Crkvena konstitucija prije svake razlike ističe jedinstvo svih članova Crkve; krštenjem i potvrdom svi su neposredno pozvani da su</w:t>
        <w:softHyphen/>
        <w:t>djeluju u spasenjskom poslanju Crkve. U raz</w:t>
        <w:softHyphen/>
        <w:t>ličitim koncilskim tekstovima odrazila se mo</w:t>
        <w:softHyphen/>
        <w:t>gućnost koja iz toga proizlazi za pozitivno od</w:t>
        <w:softHyphen/>
        <w:t>ređenje laika koje je blisko NZ. Njegovo dje</w:t>
        <w:softHyphen/>
        <w:t>latno sudjelovanje u životu Božjega naroda proteže se do liturgijskoga područja. Na pose</w:t>
        <w:softHyphen/>
        <w:t>ban je način laiku priznato svjetovno značenje; time je opisano njegovo prvenstveno mjesto za njegovo svjedočenje i njegovu službu koju on u skladu s autonomijom koja pripada svje</w:t>
        <w:softHyphen/>
        <w:t>tovnom području treba ispunjavati samostal</w:t>
        <w:softHyphen/>
        <w:t>no i s vlastitom odgovornošću. U tome ipak nije bila namjera da se kler načelno rastavlja od laika kako bi to željeli predložiti neki post- koncilski biskupski stavovi. To ne bi dostatno vodilo računa o faktičnom razvitku u Crkvi. Broj crkvenih poziva koja mogu vršiti laici ras</w:t>
        <w:softHyphen/>
        <w:t>te. No isto se tako zapažaju znatna pomicanja naglaska u pastoralnoj praksi; na značenju do</w:t>
        <w:softHyphen/>
        <w:t>bivaju npr. volonterske službe. Ovi i ostali do</w:t>
        <w:softHyphen/>
        <w:t>gađaji nameću pitanje da li je još uopće ko</w:t>
        <w:softHyphen/>
        <w:t>risna crta razdvajanja kler—1. kako bi se odre</w:t>
        <w:softHyphen/>
        <w:t>dio subjekt u Crkvi.</w:t>
      </w:r>
    </w:p>
    <w:p>
      <w:pPr>
        <w:pStyle w:val="Style56"/>
        <w:keepNext w:val="0"/>
        <w:keepLines w:val="0"/>
        <w:widowControl w:val="0"/>
        <w:shd w:val="clear" w:color="auto" w:fill="auto"/>
        <w:tabs>
          <w:tab w:pos="2515" w:val="left"/>
        </w:tabs>
        <w:bidi w:val="0"/>
        <w:spacing w:before="0" w:after="140" w:line="240" w:lineRule="auto"/>
        <w:ind w:left="0" w:right="0" w:firstLine="0"/>
        <w:jc w:val="both"/>
      </w:pPr>
      <w:r>
        <w:rPr>
          <w:color w:val="000000"/>
          <w:spacing w:val="0"/>
          <w:w w:val="100"/>
          <w:position w:val="0"/>
          <w:shd w:val="clear" w:color="auto" w:fill="auto"/>
        </w:rPr>
        <w:t xml:space="preserve">Lit.: Y. Congar, </w:t>
      </w:r>
      <w:r>
        <w:rPr>
          <w:i/>
          <w:iCs/>
          <w:color w:val="000000"/>
          <w:spacing w:val="0"/>
          <w:w w:val="100"/>
          <w:position w:val="0"/>
          <w:shd w:val="clear" w:color="auto" w:fill="auto"/>
        </w:rPr>
        <w:t>Der i^ur,</w:t>
      </w:r>
      <w:r>
        <w:rPr>
          <w:color w:val="000000"/>
          <w:spacing w:val="0"/>
          <w:w w:val="100"/>
          <w:position w:val="0"/>
          <w:shd w:val="clear" w:color="auto" w:fill="auto"/>
        </w:rPr>
        <w:t xml:space="preserve"> Stuttgart 1964; F. Klostcrmann, </w:t>
      </w:r>
      <w:r>
        <w:rPr>
          <w:i/>
          <w:iCs/>
          <w:color w:val="000000"/>
          <w:spacing w:val="0"/>
          <w:w w:val="100"/>
          <w:position w:val="0"/>
          <w:shd w:val="clear" w:color="auto" w:fill="auto"/>
        </w:rPr>
        <w:t>Gemeinde -Kircheder Zukunft,</w:t>
      </w:r>
      <w:r>
        <w:rPr>
          <w:color w:val="000000"/>
          <w:spacing w:val="0"/>
          <w:w w:val="100"/>
          <w:position w:val="0"/>
          <w:shd w:val="clear" w:color="auto" w:fill="auto"/>
        </w:rPr>
        <w:t xml:space="preserve"> Bd. I, Freiburg 1974, </w:t>
      </w:r>
      <w:r>
        <w:rPr>
          <w:color w:val="000000"/>
          <w:spacing w:val="0"/>
          <w:w w:val="100"/>
          <w:position w:val="0"/>
          <w:shd w:val="clear" w:color="auto" w:fill="auto"/>
          <w:lang w:val="hr-HR" w:eastAsia="hr-HR" w:bidi="hr-HR"/>
        </w:rPr>
        <w:t>pose</w:t>
        <w:softHyphen/>
        <w:t xml:space="preserve">bice </w:t>
      </w:r>
      <w:r>
        <w:rPr>
          <w:color w:val="000000"/>
          <w:spacing w:val="0"/>
          <w:w w:val="100"/>
          <w:position w:val="0"/>
          <w:shd w:val="clear" w:color="auto" w:fill="auto"/>
        </w:rPr>
        <w:t xml:space="preserve">405-447, </w:t>
      </w:r>
      <w:r>
        <w:rPr>
          <w:i/>
          <w:iCs/>
          <w:color w:val="000000"/>
          <w:spacing w:val="0"/>
          <w:w w:val="100"/>
          <w:position w:val="0"/>
          <w:shd w:val="clear" w:color="auto" w:fill="auto"/>
        </w:rPr>
        <w:t>Evangtlijcher Erwachsenenkatechismus.</w:t>
      </w:r>
      <w:r>
        <w:rPr>
          <w:color w:val="000000"/>
          <w:spacing w:val="0"/>
          <w:w w:val="100"/>
          <w:position w:val="0"/>
          <w:shd w:val="clear" w:color="auto" w:fill="auto"/>
        </w:rPr>
        <w:t xml:space="preserve"> Gu</w:t>
        <w:softHyphen/>
        <w:t>tersloh 1975, 1138-1155.</w:t>
        <w:tab/>
        <w:t xml:space="preserve">N. </w:t>
      </w:r>
      <w:r>
        <w:rPr>
          <w:color w:val="000000"/>
          <w:spacing w:val="0"/>
          <w:w w:val="100"/>
          <w:position w:val="0"/>
          <w:shd w:val="clear" w:color="auto" w:fill="auto"/>
          <w:lang w:val="hr-HR" w:eastAsia="hr-HR" w:bidi="hr-HR"/>
        </w:rPr>
        <w:t>METIL</w:t>
      </w:r>
    </w:p>
    <w:p>
      <w:pPr>
        <w:pStyle w:val="Style63"/>
        <w:keepNext/>
        <w:keepLines/>
        <w:widowControl w:val="0"/>
        <w:numPr>
          <w:ilvl w:val="0"/>
          <w:numId w:val="253"/>
        </w:numPr>
        <w:shd w:val="clear" w:color="auto" w:fill="auto"/>
        <w:tabs>
          <w:tab w:pos="260" w:val="left"/>
        </w:tabs>
        <w:bidi w:val="0"/>
        <w:spacing w:before="0"/>
        <w:ind w:left="0" w:right="0" w:firstLine="0"/>
        <w:jc w:val="both"/>
      </w:pPr>
      <w:bookmarkStart w:id="172" w:name="bookmark172"/>
      <w:r>
        <w:rPr>
          <w:rFonts w:ascii="Times New Roman" w:eastAsia="Times New Roman" w:hAnsi="Times New Roman" w:cs="Times New Roman"/>
          <w:color w:val="000000"/>
          <w:spacing w:val="0"/>
          <w:w w:val="100"/>
          <w:position w:val="0"/>
          <w:shd w:val="clear" w:color="auto" w:fill="auto"/>
          <w:lang w:val="hr-HR" w:eastAsia="hr-HR" w:bidi="hr-HR"/>
        </w:rPr>
        <w:t>islamski</w:t>
      </w:r>
      <w:bookmarkEnd w:id="17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Islam </w:t>
      </w:r>
      <w:r>
        <w:rPr>
          <w:rFonts w:ascii="Times New Roman" w:eastAsia="Times New Roman" w:hAnsi="Times New Roman" w:cs="Times New Roman"/>
          <w:color w:val="000000"/>
          <w:spacing w:val="0"/>
          <w:w w:val="100"/>
          <w:position w:val="0"/>
          <w:shd w:val="clear" w:color="auto" w:fill="auto"/>
          <w:lang w:val="hr-HR" w:eastAsia="hr-HR" w:bidi="hr-HR"/>
        </w:rPr>
        <w:t>ne poznaje nikakav kler, te se stoga ni pojam laika uopće ne uklapa u svijet njegovih predodžbi. Za obavljanje neke službe u pi</w:t>
        <w:softHyphen/>
        <w:t>tanje dolazi uglavnom osposobljenost. Stoga je, uz suzdržavanje od stvarnih sudova, najko</w:t>
        <w:softHyphen/>
        <w:t xml:space="preserve">risnije izbjegavati shvaćanje laika kao nekoga tko nije upoznat sa stvari. On zapravo pripada medu nepozvane (arapski: min </w:t>
      </w:r>
      <w:r>
        <w:rPr>
          <w:rFonts w:ascii="Times New Roman" w:eastAsia="Times New Roman" w:hAnsi="Times New Roman" w:cs="Times New Roman"/>
          <w:color w:val="000000"/>
          <w:spacing w:val="0"/>
          <w:w w:val="100"/>
          <w:position w:val="0"/>
          <w:shd w:val="clear" w:color="auto" w:fill="auto"/>
          <w:lang w:val="en-US" w:eastAsia="en-US" w:bidi="en-US"/>
        </w:rPr>
        <w:t xml:space="preserve">ghayri </w:t>
      </w:r>
      <w:r>
        <w:rPr>
          <w:rFonts w:ascii="Times New Roman" w:eastAsia="Times New Roman" w:hAnsi="Times New Roman" w:cs="Times New Roman"/>
          <w:color w:val="000000"/>
          <w:spacing w:val="0"/>
          <w:w w:val="100"/>
          <w:position w:val="0"/>
          <w:shd w:val="clear" w:color="auto" w:fill="auto"/>
          <w:lang w:val="hr-HR" w:eastAsia="hr-HR" w:bidi="hr-HR"/>
        </w:rPr>
        <w:t>ahlihT). Šijitski je islam razvio vremenom jednu hije</w:t>
        <w:softHyphen/>
        <w:t xml:space="preserve">rarhiju koja obnaša funkcije klera. Pravne i teološke službe uvelike monopoliziraju mule (arapski: </w:t>
      </w:r>
      <w:r>
        <w:rPr>
          <w:rFonts w:ascii="Times New Roman" w:eastAsia="Times New Roman" w:hAnsi="Times New Roman" w:cs="Times New Roman"/>
          <w:i/>
          <w:iCs/>
          <w:color w:val="000000"/>
          <w:spacing w:val="0"/>
          <w:w w:val="100"/>
          <w:position w:val="0"/>
          <w:shd w:val="clear" w:color="auto" w:fill="auto"/>
          <w:lang w:val="hr-HR" w:eastAsia="hr-HR" w:bidi="hr-HR"/>
        </w:rPr>
        <w:t>maw/đ).</w:t>
      </w:r>
      <w:r>
        <w:rPr>
          <w:rFonts w:ascii="Times New Roman" w:eastAsia="Times New Roman" w:hAnsi="Times New Roman" w:cs="Times New Roman"/>
          <w:color w:val="000000"/>
          <w:spacing w:val="0"/>
          <w:w w:val="100"/>
          <w:position w:val="0"/>
          <w:shd w:val="clear" w:color="auto" w:fill="auto"/>
          <w:lang w:val="hr-HR" w:eastAsia="hr-HR" w:bidi="hr-HR"/>
        </w:rPr>
        <w:t xml:space="preserve"> Ali ni u šijizmu duhovnici ne obavljaju nikakve sakramentalne radnje.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Sunitski islam predstavlja jedna klasa ljudi ko</w:t>
        <w:softHyphen/>
        <w:t>je se u turskom jeziku naziva din adamlari, tj. »ljudima vjere«. U njima i u njihovu djelova</w:t>
        <w:softHyphen/>
        <w:t xml:space="preserve">nju može se vidjeti »vjerska institucija« koja zamjenjuje Crkvu. No ona nije ustrojena po </w:t>
      </w:r>
      <w:r>
        <w:rPr>
          <w:rFonts w:ascii="Times New Roman" w:eastAsia="Times New Roman" w:hAnsi="Times New Roman" w:cs="Times New Roman"/>
          <w:color w:val="000000"/>
          <w:spacing w:val="0"/>
          <w:w w:val="100"/>
          <w:position w:val="0"/>
          <w:shd w:val="clear" w:color="auto" w:fill="auto"/>
          <w:lang w:val="hr-HR" w:eastAsia="hr-HR" w:bidi="hr-HR"/>
        </w:rPr>
        <w:t>uzoru na Crkvu. To je uglavnom mreža teološ</w:t>
        <w:softHyphen/>
        <w:t xml:space="preserve">kih seminara </w:t>
      </w:r>
      <w:r>
        <w:rPr>
          <w:rFonts w:ascii="Times New Roman" w:eastAsia="Times New Roman" w:hAnsi="Times New Roman" w:cs="Times New Roman"/>
          <w:i/>
          <w:iCs/>
          <w:color w:val="000000"/>
          <w:spacing w:val="0"/>
          <w:w w:val="100"/>
          <w:position w:val="0"/>
          <w:shd w:val="clear" w:color="auto" w:fill="auto"/>
          <w:lang w:val="hr-HR" w:eastAsia="hr-HR" w:bidi="hr-HR"/>
        </w:rPr>
        <w:t>(medreseler, imam ve hatip okul- lari, Islam enstitiileri),</w:t>
      </w:r>
      <w:r>
        <w:rPr>
          <w:rFonts w:ascii="Times New Roman" w:eastAsia="Times New Roman" w:hAnsi="Times New Roman" w:cs="Times New Roman"/>
          <w:color w:val="000000"/>
          <w:spacing w:val="0"/>
          <w:w w:val="100"/>
          <w:position w:val="0"/>
          <w:shd w:val="clear" w:color="auto" w:fill="auto"/>
          <w:lang w:val="hr-HR" w:eastAsia="hr-HR" w:bidi="hr-HR"/>
        </w:rPr>
        <w:t xml:space="preserve"> u kojoj je ukorijenjena njezina duhovna i društvena moć, inače je uvelike ovisna o trenutačnim vladama. Sunit- ska »vjerska institucija« u prvome je redu nje</w:t>
        <w:softHyphen/>
        <w:t>govateljica i zagovornica islamskoga nauka o pravu i obredima. Teologija je u pravilu u dru</w:t>
        <w:softHyphen/>
        <w:t>gome planu. Tek je rigorozno odvajanje reli</w:t>
        <w:softHyphen/>
        <w:t xml:space="preserve">gije od države, koje je u Republici Turskoj provedeno tijekom reformi Kemala Atatiirka, stvorilo novi tip islamskih vjerskih obrazovnih ustanova, u kojima je teologija osjetnije došla do svojega prava. Pod utjecajem pozitivističke filozofije Augustea Comtea (u. 1857), kojom se zanosio osnivač Republike Turske </w:t>
      </w:r>
      <w:r>
        <w:rPr>
          <w:rFonts w:ascii="Times New Roman" w:eastAsia="Times New Roman" w:hAnsi="Times New Roman" w:cs="Times New Roman"/>
          <w:color w:val="000000"/>
          <w:spacing w:val="0"/>
          <w:w w:val="100"/>
          <w:position w:val="0"/>
          <w:shd w:val="clear" w:color="auto" w:fill="auto"/>
          <w:lang w:val="en-US" w:eastAsia="en-US" w:bidi="en-US"/>
        </w:rPr>
        <w:t xml:space="preserve">Kemal </w:t>
      </w:r>
      <w:r>
        <w:rPr>
          <w:rFonts w:ascii="Times New Roman" w:eastAsia="Times New Roman" w:hAnsi="Times New Roman" w:cs="Times New Roman"/>
          <w:color w:val="000000"/>
          <w:spacing w:val="0"/>
          <w:w w:val="100"/>
          <w:position w:val="0"/>
          <w:shd w:val="clear" w:color="auto" w:fill="auto"/>
          <w:lang w:val="hr-HR" w:eastAsia="hr-HR" w:bidi="hr-HR"/>
        </w:rPr>
        <w:t>Atatiirk, laicizmom je nazvana oslobodenost javnoga života u Turskoj od svake vezanosti za religiju. No taj izraz ne stoji u islamskome društvu zato što u njemu upravo ne postoji ni</w:t>
        <w:softHyphen/>
        <w:t>kakav laicizam u kršćanskome smislu.</w:t>
      </w:r>
    </w:p>
    <w:p>
      <w:pPr>
        <w:pStyle w:val="Style56"/>
        <w:keepNext w:val="0"/>
        <w:keepLines w:val="0"/>
        <w:widowControl w:val="0"/>
        <w:shd w:val="clear" w:color="auto" w:fill="auto"/>
        <w:tabs>
          <w:tab w:pos="2568" w:val="left"/>
        </w:tabs>
        <w:bidi w:val="0"/>
        <w:spacing w:before="0" w:after="0" w:line="240" w:lineRule="auto"/>
        <w:ind w:left="0" w:right="0" w:firstLine="0"/>
        <w:jc w:val="both"/>
        <w:sectPr>
          <w:headerReference w:type="default" r:id="rId701"/>
          <w:footerReference w:type="default" r:id="rId702"/>
          <w:headerReference w:type="even" r:id="rId703"/>
          <w:footerReference w:type="even" r:id="rId704"/>
          <w:headerReference w:type="first" r:id="rId705"/>
          <w:footerReference w:type="first" r:id="rId706"/>
          <w:footnotePr>
            <w:pos w:val="pageBottom"/>
            <w:numFmt w:val="decimal"/>
            <w:numRestart w:val="continuous"/>
            <w15:footnoteColumns w:val="1"/>
          </w:footnotePr>
          <w:pgSz w:w="6816" w:h="11006"/>
          <w:pgMar w:top="1044" w:left="198" w:right="200" w:bottom="502" w:header="0" w:footer="3" w:gutter="0"/>
          <w:pgNumType w:start="241"/>
          <w:cols w:num="2" w:space="198"/>
          <w:noEndnote/>
          <w:titlePg/>
          <w:rtlGutter w:val="0"/>
          <w:docGrid w:linePitch="360"/>
        </w:sectPr>
      </w:pPr>
      <w:r>
        <w:rPr>
          <w:color w:val="000000"/>
          <w:spacing w:val="0"/>
          <w:w w:val="100"/>
          <w:position w:val="0"/>
          <w:shd w:val="clear" w:color="auto" w:fill="auto"/>
        </w:rPr>
        <w:t xml:space="preserve">Lit.: W. Montgomery Watt.'Alford </w:t>
      </w:r>
      <w:r>
        <w:rPr>
          <w:color w:val="000000"/>
          <w:spacing w:val="0"/>
          <w:w w:val="100"/>
          <w:position w:val="0"/>
          <w:shd w:val="clear" w:color="auto" w:fill="auto"/>
          <w:lang w:val="hr-HR" w:eastAsia="hr-HR" w:bidi="hr-HR"/>
        </w:rPr>
        <w:t xml:space="preserve">T- </w:t>
      </w:r>
      <w:r>
        <w:rPr>
          <w:color w:val="000000"/>
          <w:spacing w:val="0"/>
          <w:w w:val="100"/>
          <w:position w:val="0"/>
          <w:shd w:val="clear" w:color="auto" w:fill="auto"/>
        </w:rPr>
        <w:t xml:space="preserve">Welch, </w:t>
      </w:r>
      <w:r>
        <w:rPr>
          <w:i/>
          <w:iCs/>
          <w:color w:val="000000"/>
          <w:spacing w:val="0"/>
          <w:w w:val="100"/>
          <w:position w:val="0"/>
          <w:shd w:val="clear" w:color="auto" w:fill="auto"/>
          <w:lang w:val="hr-HR" w:eastAsia="hr-HR" w:bidi="hr-HR"/>
        </w:rPr>
        <w:t xml:space="preserve">Der Islam /,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1980. 251-258.</w:t>
        <w:tab/>
        <w:t>S. BAl.lĆ</w:t>
      </w:r>
    </w:p>
    <w:p>
      <w:pPr>
        <w:rPr>
          <w:sz w:val="2"/>
          <w:szCs w:val="2"/>
        </w:rPr>
        <w:sectPr>
          <w:footnotePr>
            <w:pos w:val="pageBottom"/>
            <w:numFmt w:val="decimal"/>
            <w:numRestart w:val="continuous"/>
            <w15:footnoteColumns w:val="1"/>
          </w:footnotePr>
          <w:type w:val="continuous"/>
          <w:pgSz w:w="6816" w:h="11006"/>
          <w:pgMar w:top="1044" w:left="198" w:right="200" w:bottom="502" w:header="0" w:footer="3" w:gutter="0"/>
          <w:cols w:num="2" w:space="198"/>
          <w:noEndnote/>
          <w:rtlGutter w:val="0"/>
          <w:docGrid w:linePitch="360"/>
        </w:sectPr>
      </w:pPr>
    </w:p>
    <w:p>
      <w:pPr>
        <w:pStyle w:val="Style97"/>
        <w:keepNext w:val="0"/>
        <w:keepLines w:val="0"/>
        <w:widowControl w:val="0"/>
        <w:shd w:val="clear" w:color="auto" w:fill="auto"/>
        <w:bidi w:val="0"/>
        <w:spacing w:before="0" w:after="0" w:line="240" w:lineRule="auto"/>
        <w:ind w:left="0" w:right="0" w:firstLine="0"/>
        <w:jc w:val="center"/>
        <w:sectPr>
          <w:headerReference w:type="default" r:id="rId707"/>
          <w:footerReference w:type="default" r:id="rId708"/>
          <w:headerReference w:type="even" r:id="rId709"/>
          <w:footerReference w:type="even" r:id="rId710"/>
          <w:footnotePr>
            <w:pos w:val="pageBottom"/>
            <w:numFmt w:val="decimal"/>
            <w:numRestart w:val="continuous"/>
            <w15:footnoteColumns w:val="1"/>
          </w:footnotePr>
          <w:pgSz w:w="6816" w:h="11006"/>
          <w:pgMar w:top="2004" w:left="194" w:right="199" w:bottom="292" w:header="1576"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rPr>
        <w:t>LJ</w:t>
      </w:r>
    </w:p>
    <w:p>
      <w:pPr>
        <w:widowControl w:val="0"/>
        <w:spacing w:line="98" w:lineRule="exact"/>
        <w:rPr>
          <w:sz w:val="8"/>
          <w:szCs w:val="8"/>
        </w:rPr>
      </w:pPr>
    </w:p>
    <w:p>
      <w:pPr>
        <w:widowControl w:val="0"/>
        <w:spacing w:line="1" w:lineRule="exact"/>
        <w:sectPr>
          <w:footnotePr>
            <w:pos w:val="pageBottom"/>
            <w:numFmt w:val="decimal"/>
            <w:numRestart w:val="continuous"/>
            <w15:footnoteColumns w:val="1"/>
          </w:footnotePr>
          <w:type w:val="continuous"/>
          <w:pgSz w:w="6816" w:h="11006"/>
          <w:pgMar w:top="1017" w:left="0" w:right="0" w:bottom="476" w:header="0" w:footer="3" w:gutter="0"/>
          <w:cols w:space="720"/>
          <w:noEndnote/>
          <w:rtlGutter w:val="0"/>
          <w:docGrid w:linePitch="360"/>
        </w:sectPr>
      </w:pPr>
    </w:p>
    <w:p>
      <w:pPr>
        <w:pStyle w:val="Style33"/>
        <w:keepNext w:val="0"/>
        <w:keepLines w:val="0"/>
        <w:widowControl w:val="0"/>
        <w:shd w:val="clear" w:color="auto" w:fill="auto"/>
        <w:bidi w:val="0"/>
        <w:spacing w:before="0" w:after="12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LJUBAV</w:t>
      </w:r>
    </w:p>
    <w:p>
      <w:pPr>
        <w:pStyle w:val="Style63"/>
        <w:keepNext/>
        <w:keepLines/>
        <w:widowControl w:val="0"/>
        <w:numPr>
          <w:ilvl w:val="0"/>
          <w:numId w:val="257"/>
        </w:numPr>
        <w:shd w:val="clear" w:color="auto" w:fill="auto"/>
        <w:tabs>
          <w:tab w:pos="250" w:val="left"/>
        </w:tabs>
        <w:bidi w:val="0"/>
        <w:spacing w:before="0" w:line="223" w:lineRule="auto"/>
        <w:ind w:left="0" w:right="0" w:firstLine="0"/>
        <w:jc w:val="left"/>
      </w:pPr>
      <w:bookmarkStart w:id="173" w:name="bookmark173"/>
      <w:r>
        <w:rPr>
          <w:rFonts w:ascii="Times New Roman" w:eastAsia="Times New Roman" w:hAnsi="Times New Roman" w:cs="Times New Roman"/>
          <w:color w:val="000000"/>
          <w:spacing w:val="0"/>
          <w:w w:val="100"/>
          <w:position w:val="0"/>
          <w:shd w:val="clear" w:color="auto" w:fill="auto"/>
          <w:lang w:val="hr-HR" w:eastAsia="hr-HR" w:bidi="hr-HR"/>
        </w:rPr>
        <w:t>židovski</w:t>
      </w:r>
      <w:bookmarkEnd w:id="173"/>
    </w:p>
    <w:p>
      <w:pPr>
        <w:pStyle w:val="Style20"/>
        <w:keepNext w:val="0"/>
        <w:keepLines w:val="0"/>
        <w:widowControl w:val="0"/>
        <w:numPr>
          <w:ilvl w:val="0"/>
          <w:numId w:val="259"/>
        </w:numPr>
        <w:shd w:val="clear" w:color="auto" w:fill="auto"/>
        <w:tabs>
          <w:tab w:pos="270" w:val="left"/>
        </w:tabs>
        <w:bidi w:val="0"/>
        <w:spacing w:before="0" w:after="0"/>
        <w:ind w:left="0" w:right="0" w:firstLine="0"/>
        <w:jc w:val="both"/>
        <w:sectPr>
          <w:footnotePr>
            <w:pos w:val="pageBottom"/>
            <w:numFmt w:val="decimal"/>
            <w:numRestart w:val="continuous"/>
            <w15:footnoteColumns w:val="1"/>
          </w:footnotePr>
          <w:type w:val="continuous"/>
          <w:pgSz w:w="6816" w:h="11006"/>
          <w:pgMar w:top="1017" w:left="190" w:right="189" w:bottom="476" w:header="0" w:footer="3" w:gutter="0"/>
          <w:cols w:num="2" w:space="176"/>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»Koji IjubiS svoj narod Izrael«'.</w:t>
      </w:r>
      <w:r>
        <w:rPr>
          <w:rFonts w:ascii="Times New Roman" w:eastAsia="Times New Roman" w:hAnsi="Times New Roman" w:cs="Times New Roman"/>
          <w:color w:val="000000"/>
          <w:spacing w:val="0"/>
          <w:w w:val="100"/>
          <w:position w:val="0"/>
          <w:shd w:val="clear" w:color="auto" w:fill="auto"/>
          <w:lang w:val="hr-HR" w:eastAsia="hr-HR" w:bidi="hr-HR"/>
        </w:rPr>
        <w:t xml:space="preserve"> Božja lj. pre</w:t>
        <w:softHyphen/>
        <w:t>ma svojem izabranom narodu čini početak i kraj II. blagoslova prije »Šema Jisrael«: »Obilnom ljubavlju ljubio si nas, Vječni, naš Bože... Blagoslovljen bio, Vječni, koji si svoj narod Izrael izabrao u ljubavi« (u jutarnjoj molitvi) i: »Vječnom ljubavlju ljubiš kuću Iz- raelovu, svoj narod... Blagoslovljen bio, Vječ</w:t>
        <w:softHyphen/>
        <w:t>ni, koji ljubiš svoj narod Izrael« (večernja mo</w:t>
        <w:softHyphen/>
        <w:t>litva). Nakon rečenice o imenovanju izabra</w:t>
        <w:softHyphen/>
        <w:t>noga naroda (Pnz 6,4) slijedi izraz Izraelove ljubavi prema svojem Bogu (stih 5). U tome se molitelju otkriva povezanost: Božja lj. pre</w:t>
        <w:softHyphen/>
        <w:t>ma Izraelu preduhitrila je lj. traženu od Iz</w:t>
        <w:softHyphen/>
        <w:t>raela. Time se biblijski posvjedočeno iskustvo stopilo u svakodnevnoj molitvi: lj. se često jav</w:t>
        <w:softHyphen/>
        <w:t>lja u obliku prispodobe o brižnim roditeljima: »Kako se otac smiluje dječici, tako se ON smi</w:t>
        <w:softHyphen/>
        <w:t>luje onima što ga se boje« (Ps 103,13); »Može li žena zaboravit svoje dojenče, ne imat sućuti za čedo utrobe svoje? Pa kad bi koja i zabo</w:t>
        <w:softHyphen/>
        <w:t>ravila, tebe ja zaboraviti neću« (Iz 49,15); »Priznaj onda u svome srcu da te ON, Bog tvoj, odgaja i popravlja kao što čovjek odgaja sina svoga« (Pnz 8,5); »Kao što mati tješi sina, tako ću i ja vas utješiti« (Iz 66,13); »Ako me otac i mati ostave, ON će me primiti« (Ps 27,10). »Obilnom ljubavlju ljubio si nas« održava sjećanje židovskih molitelja na strplji</w:t>
        <w:softHyphen/>
        <w:t>vu, ljubavlju ispunjenu vjernost Boga Izrac- lova koji se ne umara i koji se svojima u svojoj bekonačnoj dobroti ne zatvara: »To nosim u srcu i gojim nadu u sebi. Dobrota NJEGOVA nije nestala, milosrđe NJEGOVO nije presu</w:t>
        <w:softHyphen/>
        <w:t>šilo« (Tuž 3,21 i d.); »Puna je zemlja dobrote NJEGOVE« (Ps 33,5); »Kako lije dragocjena dobrota tvoja. Bože: pod sjenu krila tvojih ljudi se sklanjaju« (Ps 36,8); »...u provali srdžbe sakrih načas od tebe lice svoje, al u lju</w:t>
        <w:softHyphen/>
      </w:r>
      <w:r>
        <w:rPr>
          <w:rFonts w:ascii="Times New Roman" w:eastAsia="Times New Roman" w:hAnsi="Times New Roman" w:cs="Times New Roman"/>
          <w:color w:val="000000"/>
          <w:spacing w:val="0"/>
          <w:w w:val="100"/>
          <w:position w:val="0"/>
          <w:shd w:val="clear" w:color="auto" w:fill="auto"/>
          <w:lang w:val="hr-HR" w:eastAsia="hr-HR" w:bidi="hr-HR"/>
        </w:rPr>
        <w:t>bavi vječnoj smilovah se tebi, govori ON, tvoj otkupitelj« (Iz 84,8); »ON je dobar svima, mi</w:t>
        <w:softHyphen/>
        <w:t>losrdan svim djelima svojim« (Ps 145,9). Iz- raelovo višeglasno snažno svjedočenje smilo- vanja Boga koji ljubi omogućilo je starim ra- binskim propovjednicima da iz Božjega imena čuju naglasak smilovanja: »Gdje god u Pismu stoji JHVH, označava svojstvo Božjega milo</w:t>
        <w:softHyphen/>
        <w:t xml:space="preserve">srđa, ali tamo gdje stoji riječ </w:t>
      </w:r>
      <w:r>
        <w:rPr>
          <w:rFonts w:ascii="Times New Roman" w:eastAsia="Times New Roman" w:hAnsi="Times New Roman" w:cs="Times New Roman"/>
          <w:color w:val="000000"/>
          <w:spacing w:val="0"/>
          <w:w w:val="100"/>
          <w:position w:val="0"/>
          <w:shd w:val="clear" w:color="auto" w:fill="auto"/>
          <w:lang w:val="en-US" w:eastAsia="en-US" w:bidi="en-US"/>
        </w:rPr>
        <w:t xml:space="preserve">Elohim </w:t>
      </w:r>
      <w:r>
        <w:rPr>
          <w:rFonts w:ascii="Times New Roman" w:eastAsia="Times New Roman" w:hAnsi="Times New Roman" w:cs="Times New Roman"/>
          <w:color w:val="000000"/>
          <w:spacing w:val="0"/>
          <w:w w:val="100"/>
          <w:position w:val="0"/>
          <w:shd w:val="clear" w:color="auto" w:fill="auto"/>
          <w:lang w:val="hr-HR" w:eastAsia="hr-HR" w:bidi="hr-HR"/>
        </w:rPr>
        <w:t xml:space="preserve">(Bog), označava svojstvo pravednosti« (Berešit raba XXXIII,8,1). No, budući da Bog nikada nije susretao Izrael samo u beskonačnoj ljubavi, nego i u ljubomornoj pravdi (Izl 20,5 i d.; 34,7), kao Davatelj i Zapovjednik (Izl 19,4-6; 20,2 i d.), stari učitelji objašnjavaju uspored- nost biblijskih naziva JHVH i </w:t>
      </w:r>
      <w:r>
        <w:rPr>
          <w:rFonts w:ascii="Times New Roman" w:eastAsia="Times New Roman" w:hAnsi="Times New Roman" w:cs="Times New Roman"/>
          <w:color w:val="000000"/>
          <w:spacing w:val="0"/>
          <w:w w:val="100"/>
          <w:position w:val="0"/>
          <w:shd w:val="clear" w:color="auto" w:fill="auto"/>
          <w:lang w:val="en-US" w:eastAsia="en-US" w:bidi="en-US"/>
        </w:rPr>
        <w:t xml:space="preserve">Elohim </w:t>
      </w:r>
      <w:r>
        <w:rPr>
          <w:rFonts w:ascii="Times New Roman" w:eastAsia="Times New Roman" w:hAnsi="Times New Roman" w:cs="Times New Roman"/>
          <w:color w:val="000000"/>
          <w:spacing w:val="0"/>
          <w:w w:val="100"/>
          <w:position w:val="0"/>
          <w:shd w:val="clear" w:color="auto" w:fill="auto"/>
          <w:lang w:val="hr-HR" w:eastAsia="hr-HR" w:bidi="hr-HR"/>
        </w:rPr>
        <w:t xml:space="preserve">(Post 2,4) kao povezanost Božje vječne ljubavi i vječne pravednosti: »Stvoritelj je rekao: Ako stvorim svijet s mjerom (svojstvom) milosrđa, vaši će se grijesi nakupiti, ako ga pak stvorim s mjerom stroge pravde, kako će svijet opstati? Stvorit ću ga s jednim i drugim, o, kad bi samo opstao!«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XII,2,4). To je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Bog koji se objavljuje u jednom i drugom, i nikada sa</w:t>
        <w:softHyphen/>
        <w:t>mo u jednom. U njemu je Izrael našao razlog i smjer; i kad bi se suprotstavio svojem narodu i kao onaj tko zapovijeda, kažnjava, Izrael bi u njemu ipak prepoznao Boga ljubavi, s kojim je ostao povezan. On, čudeći se, kliče: »Ne kažnja</w:t>
        <w:softHyphen/>
        <w:t>va nas prema našim grijesima, i ne osvećuje nam se prema našoj krivnji« (Šifre Pnz 14,1; 32,5); i skriva se u Bogu koji svoj savez nije ni</w:t>
        <w:softHyphen/>
        <w:t xml:space="preserve">kada raskinuo: »Ja sam (milostiv) prije negoli čovjek zgriješi i nakon što je zgriješio i činio pokoru« (b Roš ha-šana 17b); kako je rekao jedan mudrac, on skriva čovjekove grijehe kako na sudu ne bi došli na vidjelo (b Arahin 8b). Rabini su poučavali da se njegova uzviše- nost otkriva u uzvišenosti oproštenja: »U tome je Božja moć da je strpljiv i spor u srdžbi na grešnike« (b Joma 69b; usp.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4a;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56b). U povijesti uvijek iznova doziv- </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ljavane neposrednosti Božje, koju su proroci, psaimisti, rabini objavili kao odnos koji se ni</w:t>
        <w:softHyphen/>
        <w:t>čim ne može potisnuti, ukorijenjena je i vjera u Ij. Božju, koja obujmljuje, nosi, koja je na</w:t>
        <w:softHyphen/>
        <w:t>kon uništenja Hrama kao židovska riječ djelo</w:t>
        <w:softHyphen/>
        <w:t>vala kroz vrijeme utješno i okrepljujuće: Za nas nitko ne jamči; za nas nitko ne staje pred Boga - »na koga se možemo osloniti? Na na</w:t>
        <w:softHyphen/>
        <w:t>šega Oca na nebesima« (M Sota IX,15 u tro</w:t>
        <w:softHyphen/>
        <w:t>strukom ponavljanju).</w:t>
      </w:r>
    </w:p>
    <w:p>
      <w:pPr>
        <w:pStyle w:val="Style20"/>
        <w:keepNext w:val="0"/>
        <w:keepLines w:val="0"/>
        <w:widowControl w:val="0"/>
        <w:numPr>
          <w:ilvl w:val="0"/>
          <w:numId w:val="259"/>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»Sjedini naše srce da ljubimo ime tvoje i da ga se bojimo.«</w:t>
      </w:r>
      <w:r>
        <w:rPr>
          <w:rFonts w:ascii="Times New Roman" w:eastAsia="Times New Roman" w:hAnsi="Times New Roman" w:cs="Times New Roman"/>
          <w:color w:val="000000"/>
          <w:spacing w:val="0"/>
          <w:w w:val="100"/>
          <w:position w:val="0"/>
          <w:shd w:val="clear" w:color="auto" w:fill="auto"/>
          <w:lang w:val="hr-HR" w:eastAsia="hr-HR" w:bidi="hr-HR"/>
        </w:rPr>
        <w:t xml:space="preserve"> Molba za nepodijeljenu suglas</w:t>
        <w:softHyphen/>
        <w:t>nost s Bogom uklapa se kao posljednja karika u lanac želje izrečene u jutarnjoj molitvi (II. blagoslov prije »Š’ma«), Usmjerena je na je</w:t>
        <w:softHyphen/>
        <w:t>dinstvo čovjeka, jedinstvo srca koje odgovara jedinstvu Boga (Bachja, XI. stoljeće, Hobot ha-Lebabot 5). Božja lj. i Božji strah, koji još u deuteronomijskom nagovoru (parcneza) para</w:t>
        <w:softHyphen/>
        <w:t>fraziraju Izraelov odnos s Bogom (Pnz 10,12; 13,4 i d.), ostvaruju se u ljudskom srcu kao od</w:t>
        <w:softHyphen/>
        <w:t>govor na Božje ponašanje u ljubavi i praved</w:t>
        <w:softHyphen/>
        <w:t xml:space="preserve">nosti koje sami potiču </w:t>
      </w:r>
      <w:r>
        <w:rPr>
          <w:rFonts w:ascii="Times New Roman" w:eastAsia="Times New Roman" w:hAnsi="Times New Roman" w:cs="Times New Roman"/>
          <w:color w:val="000000"/>
          <w:spacing w:val="0"/>
          <w:w w:val="100"/>
          <w:position w:val="0"/>
          <w:shd w:val="clear" w:color="auto" w:fill="auto"/>
          <w:lang w:val="en-US" w:eastAsia="en-US" w:bidi="en-US"/>
        </w:rPr>
        <w:t xml:space="preserve">(Nahmanid, </w:t>
      </w:r>
      <w:r>
        <w:rPr>
          <w:rFonts w:ascii="Times New Roman" w:eastAsia="Times New Roman" w:hAnsi="Times New Roman" w:cs="Times New Roman"/>
          <w:color w:val="000000"/>
          <w:spacing w:val="0"/>
          <w:w w:val="100"/>
          <w:position w:val="0"/>
          <w:shd w:val="clear" w:color="auto" w:fill="auto"/>
          <w:lang w:val="hr-HR" w:eastAsia="hr-HR" w:bidi="hr-HR"/>
        </w:rPr>
        <w:t>XIII. stolje</w:t>
        <w:softHyphen/>
        <w:t>će, Komentar Petoknjižja na Izl 20,8). Jedin</w:t>
        <w:softHyphen/>
        <w:t>stvo u prirodi Božjoj omogućava stapanje lju</w:t>
        <w:softHyphen/>
        <w:t>bavi prema Bogu i strah od njega u besprigo- vorno jedinstvo čovjeka koji djeluje vjerno i poslušno. Na putu prema toj spoznaji našao se onaj popis sedam vrsta farizeja, koji na kra</w:t>
        <w:softHyphen/>
        <w:t>ju navodi dvije skupine: farizeje iz ljubavi i farizeje iz straha (b Sota 22b; j Berahot IX,14b). Mnogi rabinski izvori, koji su uspoređivali Božju ljubav i Božji strah, stavljaju ljubav prema Bo</w:t>
        <w:softHyphen/>
        <w:t>gu daleko iznad straha od Boga (Šifre Pnz 6,5); to je, naime, već u farizejskom židovstvu odgovaralo razvijenom osjećaju da se Bogu prije služi iz bezuvjetne ljubavi nego iz straha od kazne: »Ne budite kao sluge koji služe go</w:t>
        <w:softHyphen/>
        <w:t xml:space="preserve">spodaru da dobiju nagradu, već budite kao sluge koji gospodaru služe ne zato da bi dobili nagradu, i neka vas snađe strah Božji« (M Avot 1,3). Prema farizejskom učenju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(li šma), </w:t>
      </w:r>
      <w:r>
        <w:rPr>
          <w:rFonts w:ascii="Times New Roman" w:eastAsia="Times New Roman" w:hAnsi="Times New Roman" w:cs="Times New Roman"/>
          <w:color w:val="000000"/>
          <w:spacing w:val="0"/>
          <w:w w:val="100"/>
          <w:position w:val="0"/>
          <w:shd w:val="clear" w:color="auto" w:fill="auto"/>
          <w:lang w:val="hr-HR" w:eastAsia="hr-HR" w:bidi="hr-HR"/>
        </w:rPr>
        <w:t xml:space="preserve">važno je samo to da se za volju Gospodara i iz ljubavi prema njemu izvršava zapovijed: »Sve tvoje radnje neka su radi Boga«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11,12; usp. b Berahot 63a; Kidušin 82a). Mudraci su ipak uzeli u obzir ljudsku slabost i dinamički tumačili svoj nauk: od površnoga i niskog raz</w:t>
        <w:softHyphen/>
        <w:t>loga za ispunjenje zapovijedi može voditi put prema djelovanju »radi njega« (b Berahot 17a). Umjesto da odbace oni promiču: »Na</w:t>
        <w:softHyphen/>
        <w:t xml:space="preserve">grada ljubljenoga dva su udjela, jedna je ona </w:t>
      </w:r>
      <w:r>
        <w:rPr>
          <w:rFonts w:ascii="Times New Roman" w:eastAsia="Times New Roman" w:hAnsi="Times New Roman" w:cs="Times New Roman"/>
          <w:color w:val="000000"/>
          <w:spacing w:val="0"/>
          <w:w w:val="100"/>
          <w:position w:val="0"/>
          <w:shd w:val="clear" w:color="auto" w:fill="auto"/>
          <w:lang w:val="hr-HR" w:eastAsia="hr-HR" w:bidi="hr-HR"/>
        </w:rPr>
        <w:t xml:space="preserve">onoga koji se boji«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Elijahu raba 28, 140 i d.). »Djeluj iz ljubavi, jer Tora razlikuje onoga tko djeluje iz ljubavi i onoga koji dje</w:t>
        <w:softHyphen/>
        <w:t>luje iz straha... U prvom slučaju njegova će nagrada biti udvostručena i udvostručena« (Šifre Pnz 32).</w:t>
      </w:r>
    </w:p>
    <w:p>
      <w:pPr>
        <w:pStyle w:val="Style20"/>
        <w:keepNext w:val="0"/>
        <w:keepLines w:val="0"/>
        <w:widowControl w:val="0"/>
        <w:numPr>
          <w:ilvl w:val="0"/>
          <w:numId w:val="259"/>
        </w:numPr>
        <w:shd w:val="clear" w:color="auto" w:fill="auto"/>
        <w:tabs>
          <w:tab w:pos="25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»Ljubi NJEGA, Boga svoga«</w:t>
      </w:r>
      <w:r>
        <w:rPr>
          <w:rFonts w:ascii="Times New Roman" w:eastAsia="Times New Roman" w:hAnsi="Times New Roman" w:cs="Times New Roman"/>
          <w:color w:val="000000"/>
          <w:spacing w:val="0"/>
          <w:w w:val="100"/>
          <w:position w:val="0"/>
          <w:shd w:val="clear" w:color="auto" w:fill="auto"/>
          <w:lang w:val="hr-HR" w:eastAsia="hr-HR" w:bidi="hr-HR"/>
        </w:rPr>
        <w:t xml:space="preserve"> (Pnz 6,5): Ka</w:t>
        <w:softHyphen/>
        <w:t>ko se može zapovjediti lj. prema Bogu, koja ne podliježe ljudskoj snazi volje? Majmonid ju je od 613 propisa u Tori stavio na istaknuti stupanj odmah nakon zahtjeva za vjeru u Božje postojanje i Božje jedinstvo (Scfcr ha-micvot). On hoće voditi ljude kontemplacijom i uče</w:t>
        <w:softHyphen/>
        <w:t>njem k ljubavi prema Bogu: »U trenutku u kojem čovjek razmišlja o Njegovim djelima i stvorenjima, koja su divna i velika i pomoću kojih čovjek zapaža Njegovu neizmjernu i bez</w:t>
        <w:softHyphen/>
        <w:t>graničnu mudrost, ne može a da Ga ne ljubi, hvali i slavi« (Jesodej ha-Tora 2,1). »On može Gospoda ljubiti samo u onoj mjeri spoznaje koju je o njemu dokučio... Stoga bi se čovjek trebao posvetiti spoznavanju te biti upućen u znanja i saznanja koja ga upoznavaju sa Stvo</w:t>
        <w:softHyphen/>
        <w:t>riteljem u skladu sa svojim smrtničkim spo</w:t>
        <w:softHyphen/>
        <w:t>sobnostima« (Tešuva 10,3,6). »Ta je lj. mo</w:t>
        <w:softHyphen/>
        <w:t>guća samo ako se shvati stvarna priroda stvari i razumije Božja mudrost koja se u njoj otkri</w:t>
        <w:softHyphen/>
        <w:t>va« (More nevuhim, 3,28). Ipak, Majmonid nije ograničio zapovijed ljubavi prema Bogu na savršenstvo individualne duše, već je istak</w:t>
        <w:softHyphen/>
        <w:t>nuo njezin socijalni vid po uzoru na Abra- hama: on je druge, kaže Majmonid, priveo lju</w:t>
        <w:softHyphen/>
        <w:t>bavi prema Bogu učeći ih načelima prave reli</w:t>
        <w:softHyphen/>
        <w:t xml:space="preserve">gije (Šifre Post 12,5, citirano u </w:t>
      </w:r>
      <w:r>
        <w:rPr>
          <w:rFonts w:ascii="Times New Roman" w:eastAsia="Times New Roman" w:hAnsi="Times New Roman" w:cs="Times New Roman"/>
          <w:i/>
          <w:iCs/>
          <w:color w:val="000000"/>
          <w:spacing w:val="0"/>
          <w:w w:val="100"/>
          <w:position w:val="0"/>
          <w:shd w:val="clear" w:color="auto" w:fill="auto"/>
          <w:lang w:val="hr-HR" w:eastAsia="hr-HR" w:bidi="hr-HR"/>
        </w:rPr>
        <w:t>Sefer ha-mi- cvot).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 rabini su socijalni kontekst te zapovijedi proširili tumačeći da čovjek svim svojim dje</w:t>
        <w:softHyphen/>
        <w:t>latnostima u svakodnevnom životu mora po</w:t>
        <w:softHyphen/>
        <w:t>kazati lj. prema Bogu (b Joma 86a), jer za njih su svi atributi Božji povezani s tom zapovijedi: »Ti kažeš: Bog je milosrdan i milostiv; hajde, budi i ti milosrdan, čini dobro nesebično i pre</w:t>
        <w:softHyphen/>
        <w:t>ma svakom. Ti nazivaš Boga pravednim, pa budi i ti pravedan. Ti kažeš: Bog je pun ljubavi u svemu što čini; stoga budi i ti pun ljubavi« (Šifre Pnz 11,22). Bog darovane ljubavi uvijek se objavio Izraelu i kao Bog zahtjevne praved</w:t>
        <w:softHyphen/>
        <w:t>nosti. Svaki čin zla grijeh je prema Bogu: »Ni</w:t>
        <w:softHyphen/>
        <w:t xml:space="preserve">je prolivena krv samo jednoga čovjeka, u krvi jednoga vapi krv cijeloga svijeta gore prema Bogu«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37a i Targumim Post 4,10). Tamo gdje riječ Boga kao oca koji ljubi </w:t>
      </w:r>
      <w:r>
        <w:rPr>
          <w:rFonts w:ascii="Times New Roman" w:eastAsia="Times New Roman" w:hAnsi="Times New Roman" w:cs="Times New Roman"/>
          <w:color w:val="000000"/>
          <w:spacing w:val="0"/>
          <w:w w:val="100"/>
          <w:position w:val="0"/>
          <w:shd w:val="clear" w:color="auto" w:fill="auto"/>
          <w:lang w:val="hr-HR" w:eastAsia="hr-HR" w:bidi="hr-HR"/>
        </w:rPr>
        <w:t>ne dopušta zaborav riječi Boga koji zapovije</w:t>
        <w:softHyphen/>
        <w:t>da i koji je ljubomoran, čovjek se mora gnu</w:t>
        <w:softHyphen/>
        <w:t>šati zla: »Vi koji ljubite NJEGA mrzite zlo!« (Ps 97,10). Samo u jedinstvu obiju - Božje lju</w:t>
        <w:softHyphen/>
        <w:t xml:space="preserve">bavi, koja daje i nosi, i Božje pravednosti koja čovjeku nalaže što on treba biti svojem Bogu - Židov postiže smisao ljudskoga života u svim danima svojega života i sudbine. »Lj. Božja daje, a čovjek prima, ako on daje Bogu Ij. svim srcem, služeći mu«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Judentums,</w:t>
      </w:r>
      <w:r>
        <w:rPr>
          <w:rFonts w:ascii="Times New Roman" w:eastAsia="Times New Roman" w:hAnsi="Times New Roman" w:cs="Times New Roman"/>
          <w:color w:val="000000"/>
          <w:spacing w:val="0"/>
          <w:w w:val="100"/>
          <w:position w:val="0"/>
          <w:shd w:val="clear" w:color="auto" w:fill="auto"/>
          <w:lang w:val="en-US" w:eastAsia="en-US" w:bidi="en-US"/>
        </w:rPr>
        <w:t xml:space="preserve"> M925, 6. </w:t>
      </w:r>
      <w:r>
        <w:rPr>
          <w:rFonts w:ascii="Times New Roman" w:eastAsia="Times New Roman" w:hAnsi="Times New Roman" w:cs="Times New Roman"/>
          <w:color w:val="000000"/>
          <w:spacing w:val="0"/>
          <w:w w:val="100"/>
          <w:position w:val="0"/>
          <w:shd w:val="clear" w:color="auto" w:fill="auto"/>
          <w:lang w:val="hr-HR" w:eastAsia="hr-HR" w:bidi="hr-HR"/>
        </w:rPr>
        <w:t xml:space="preserve">izdanje, </w:t>
      </w:r>
      <w:r>
        <w:rPr>
          <w:rFonts w:ascii="Times New Roman" w:eastAsia="Times New Roman" w:hAnsi="Times New Roman" w:cs="Times New Roman"/>
          <w:color w:val="000000"/>
          <w:spacing w:val="0"/>
          <w:w w:val="100"/>
          <w:position w:val="0"/>
          <w:shd w:val="clear" w:color="auto" w:fill="auto"/>
          <w:lang w:val="en-US" w:eastAsia="en-US" w:bidi="en-US"/>
        </w:rPr>
        <w:t>267).</w:t>
      </w:r>
    </w:p>
    <w:p>
      <w:pPr>
        <w:widowControl w:val="0"/>
        <w:jc w:val="center"/>
        <w:rPr>
          <w:sz w:val="2"/>
          <w:szCs w:val="2"/>
        </w:rPr>
      </w:pPr>
      <w:r>
        <w:drawing>
          <wp:inline>
            <wp:extent cx="365760" cy="164465"/>
            <wp:docPr id="1524" name="Picutre 1524"/>
            <a:graphic xmlns:a="http://schemas.openxmlformats.org/drawingml/2006/main">
              <a:graphicData uri="http://schemas.openxmlformats.org/drawingml/2006/picture">
                <pic:pic xmlns:pic="http://schemas.openxmlformats.org/drawingml/2006/picture">
                  <pic:nvPicPr>
                    <pic:cNvPr id="1524" name="Picture 1524"/>
                    <pic:cNvPicPr/>
                  </pic:nvPicPr>
                  <pic:blipFill>
                    <a:blip r:embed="rId711"/>
                    <a:stretch/>
                  </pic:blipFill>
                  <pic:spPr>
                    <a:xfrm>
                      <a:ext cx="365760" cy="164465"/>
                    </a:xfrm>
                    <a:prstGeom prst="rect"/>
                  </pic:spPr>
                </pic:pic>
              </a:graphicData>
            </a:graphic>
          </wp:inline>
        </w:drawing>
      </w:r>
    </w:p>
    <w:p>
      <w:pPr>
        <w:pStyle w:val="Style63"/>
        <w:keepNext/>
        <w:keepLines/>
        <w:widowControl w:val="0"/>
        <w:numPr>
          <w:ilvl w:val="0"/>
          <w:numId w:val="257"/>
        </w:numPr>
        <w:shd w:val="clear" w:color="auto" w:fill="auto"/>
        <w:tabs>
          <w:tab w:pos="260" w:val="left"/>
        </w:tabs>
        <w:bidi w:val="0"/>
        <w:spacing w:before="0" w:line="240" w:lineRule="auto"/>
        <w:ind w:left="0" w:right="0" w:firstLine="0"/>
        <w:jc w:val="both"/>
      </w:pPr>
      <w:bookmarkStart w:id="174" w:name="bookmark17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7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Lj. </w:t>
      </w:r>
      <w:r>
        <w:rPr>
          <w:rFonts w:ascii="Times New Roman" w:eastAsia="Times New Roman" w:hAnsi="Times New Roman" w:cs="Times New Roman"/>
          <w:color w:val="000000"/>
          <w:spacing w:val="0"/>
          <w:w w:val="100"/>
          <w:position w:val="0"/>
          <w:shd w:val="clear" w:color="auto" w:fill="auto"/>
          <w:lang w:val="hr-HR" w:eastAsia="hr-HR" w:bidi="hr-HR"/>
        </w:rPr>
        <w:t>je riječ koja i u svakodnevnoj uporabi, u najopćenitijem smislu, označava pozitivno sta</w:t>
        <w:softHyphen/>
        <w:t>jalište prema nečemu što se prepoznaje kao dobro i cijenjeno (ovdje su isključena druga značenja »ljubavi« u smislu seksualne čežnje, erotski raspoloženog prijateljstva itd ). U tom se najopćenitijem smislu, primjerice, kaže da ljubimo neki krajolik, knjigu, sliku, svoj rad, svoje bližnje, Boga. U N7- stoji Ij. (»agape«) najprije za Božju potporu ljudima, objavljenu u Kristu, osobito za njegovo milosrđe prema grešnicima (usp. Iv 3,16: »Da, Bogje tako lju</w:t>
        <w:softHyphen/>
        <w:t>bio svijet da je dao svoga jedinorođenog Sina da ne pogine ni jedan koji u nj vjeruje, već da ima život vječni«). No, i jedinstveni odnos Oca prema Sinu označava se kao lj. (npr. Iv 3,35: »Otac ljubi Sina i sve je predao njemu u ruke«). I čovjekova potpora bližnjem koja se temelji na Božjoj potpori i koja se javlja kao odgovor na nju, isto sc tako naziva ljubavlju prema bližnjem (usp. Iv 13,34: »Novu vam za</w:t>
        <w:softHyphen/>
        <w:t>povijed dajem: Ljubite jedan drugoga; kao što sam ja ljubio vas«) i prema Bogu (npr. 1 Kor 8,3: »Ali ako tko Boga ljubi, njega Bog pri</w:t>
        <w:softHyphen/>
        <w:t>znaje svojim«), Lj. je u NZ i zatim u kasnijoj sveukupnoj kršćanskoj filozofiji i teologiji is</w:t>
        <w:softHyphen/>
        <w:t>todobno etički i religijski temeljni pojam.</w:t>
      </w:r>
    </w:p>
    <w:p>
      <w:pPr>
        <w:pStyle w:val="Style20"/>
        <w:keepNext w:val="0"/>
        <w:keepLines w:val="0"/>
        <w:widowControl w:val="0"/>
        <w:numPr>
          <w:ilvl w:val="0"/>
          <w:numId w:val="261"/>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ćudoredan temeljni zahtjev lj. znači pozitivan moralni (nesebični ili nepristrani) osnovni čovjekov stav prema svemu dobrome u onoj mjeri u kojoj je dobro. Njezina je su</w:t>
        <w:softHyphen/>
        <w:t>protnost raspoloženje pristranog i koristolju- bivog egoizma, tj. osnovni stav da se sve cijeni i uvažava prema mjerilu vlastitog probitka. Kad Isus u Mt 22,37-40 formulira ćudoredni temeljni zahtjev u dvostrukoj zapovijedi lju</w:t>
        <w:softHyphen/>
        <w:t xml:space="preserve">bavi prema Bogu i prema bližnjemu, on tada time ne isključuje lj. prema samome sebi nego </w:t>
      </w:r>
      <w:r>
        <w:rPr>
          <w:rFonts w:ascii="Times New Roman" w:eastAsia="Times New Roman" w:hAnsi="Times New Roman" w:cs="Times New Roman"/>
          <w:color w:val="000000"/>
          <w:spacing w:val="0"/>
          <w:w w:val="100"/>
          <w:position w:val="0"/>
          <w:shd w:val="clear" w:color="auto" w:fill="auto"/>
          <w:lang w:val="hr-HR" w:eastAsia="hr-HR" w:bidi="hr-HR"/>
        </w:rPr>
        <w:t>je uključuje: »Ljubi Gospodina Boga svoga svim srcem svojim, svom dušom svojom i svom pa</w:t>
        <w:softHyphen/>
        <w:t xml:space="preserve">meti svojom! To je najveća i prva zapovijed. Druga je toj jednaka. Ljubi bližnjega svoga kao samoga sebe! O tim dvjema zapovijedima ovisi sav Zakon i Proroci (= sveukupnost svih ćudorednih zahtjeva)«. Ostale formulacije te iste stvari u neku su ruku zlatno pravilo u Mt 7,12: »Sve što želite da ljudi čine vama, činite i vi njima! U tome je sav Zakon i Proroci«, kategorički imperativ I. Kanta: »Postupaj po onom pravilu za koji možeš istodobno htjeti da postane općenito pravilo« </w:t>
      </w:r>
      <w:r>
        <w:rPr>
          <w:rFonts w:ascii="Times New Roman" w:eastAsia="Times New Roman" w:hAnsi="Times New Roman" w:cs="Times New Roman"/>
          <w:i/>
          <w:iCs/>
          <w:color w:val="000000"/>
          <w:spacing w:val="0"/>
          <w:w w:val="100"/>
          <w:position w:val="0"/>
          <w:shd w:val="clear" w:color="auto" w:fill="auto"/>
          <w:lang w:val="hr-HR" w:eastAsia="hr-HR" w:bidi="hr-HR"/>
        </w:rPr>
        <w:t xml:space="preserve">(Grundlegung đer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Metaphysik </w:t>
      </w:r>
      <w:r>
        <w:rPr>
          <w:rFonts w:ascii="Times New Roman" w:eastAsia="Times New Roman" w:hAnsi="Times New Roman" w:cs="Times New Roman"/>
          <w:i/>
          <w:iCs/>
          <w:color w:val="000000"/>
          <w:spacing w:val="0"/>
          <w:w w:val="100"/>
          <w:position w:val="0"/>
          <w:shd w:val="clear" w:color="auto" w:fill="auto"/>
          <w:lang w:val="hr-HR" w:eastAsia="hr-HR" w:bidi="hr-HR"/>
        </w:rPr>
        <w:t>der Sitten,</w:t>
      </w:r>
      <w:r>
        <w:rPr>
          <w:rFonts w:ascii="Times New Roman" w:eastAsia="Times New Roman" w:hAnsi="Times New Roman" w:cs="Times New Roman"/>
          <w:color w:val="000000"/>
          <w:spacing w:val="0"/>
          <w:w w:val="100"/>
          <w:position w:val="0"/>
          <w:shd w:val="clear" w:color="auto" w:fill="auto"/>
          <w:lang w:val="hr-HR" w:eastAsia="hr-HR" w:bidi="hr-HR"/>
        </w:rPr>
        <w:t xml:space="preserve"> BA 52), ili načelo ne</w:t>
        <w:softHyphen/>
        <w:t>pristranosti J. Benthama: »Svatko se računa kao jedan i nitko se ne računa kao da je više od jednoga«.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ipak, u čemu je vrijednosni razlog za te</w:t>
        <w:softHyphen/>
        <w:t>meljni ćudoredni zahtjev da ljubimo. Boga za</w:t>
        <w:softHyphen/>
        <w:t>pravo ne treba ljubiti zato jer je naš Stvoritelj; jer da je npr. zlonamjeran duh naš stvoritelj, tada sam taj odnos: stvoritelj-stvorenje, ne bi nipošto opravdavao dužnost da ga ljubimo. Ne zato što je Bog naš Stvoritelj nego zato jer je iznad svega dobar i jer je kao takav naš Stvoritelj i Otkupitelj, imamo razloga da ga priznajemo i štujemo. Isto to vrijedi za zapo</w:t>
        <w:softHyphen/>
        <w:t>vijed ljubavi prema bližnjemu: Svi su ljudi (je</w:t>
        <w:softHyphen/>
        <w:t>zikom Svetoga pisma) na poseban način pre</w:t>
        <w:softHyphen/>
        <w:t>ma Božjoj slici stvoreni i iznova stvoreni (usp. Post 1,26; Kol 3,10), tj. (filozofskom termi</w:t>
        <w:softHyphen/>
        <w:t>nologijom rečeno) oni - zato što su moralna bića - na poseban način imaju osobno dosto</w:t>
        <w:softHyphen/>
        <w:t>janstvo; zato svaki čovjek zaslužuje na isti način da bude cijenjen i uvažavan zbog samoga sebe kao osobe. I. Kant u svojoj drugoj formulaciji kategoričnog imperativa izričito navodi taj vri</w:t>
        <w:softHyphen/>
        <w:t>jednosni razlog: »Postupaj tako da čovječan</w:t>
        <w:softHyphen/>
        <w:t>stvo (= ljudsko dostojanstvo) kako u tvojoj osobi tako i u osobi svakog drugog uvijek ‘tre</w:t>
        <w:softHyphen/>
        <w:t>baš’ kao svrhu a nikada samo kao sredstvo« (Grundlcgung, BA 66 i d.). Prema tomu, te</w:t>
        <w:softHyphen/>
        <w:t>melj i mjerilo ljubavi koja se zahtijeva dobro je onoga na kojega se ona svaki puta odnosi. Točno gledano, dvostruka zapovijed ljubavi pro</w:t>
        <w:softHyphen/>
        <w:t>izlazi, dakle, iz dviju različitih premisa: prvo, iz zahtjeva nepristranosti u kojoj je formuli</w:t>
        <w:softHyphen/>
        <w:t>rano osnovno moralno raspoloženje i. drugo, iz sudova o izvanćudorednim vrijednosnim stanjima stvari: ćudoredno osnovno pravilo: Trebaš nepristrano ljubiti svako dobro prema njegovoj vrijednosti; izvanćudoredni vrijed</w:t>
        <w:softHyphen/>
      </w:r>
      <w:r>
        <w:rPr>
          <w:rFonts w:ascii="Times New Roman" w:eastAsia="Times New Roman" w:hAnsi="Times New Roman" w:cs="Times New Roman"/>
          <w:color w:val="000000"/>
          <w:spacing w:val="0"/>
          <w:w w:val="100"/>
          <w:position w:val="0"/>
          <w:shd w:val="clear" w:color="auto" w:fill="auto"/>
          <w:lang w:val="hr-HR" w:eastAsia="hr-HR" w:bidi="hr-HR"/>
        </w:rPr>
        <w:t>nosni sud: Bog postoji i nadasve je dobar. Sva</w:t>
        <w:softHyphen/>
        <w:t>ki čovjek posjeduje na isti način osobno do</w:t>
        <w:softHyphen/>
        <w:t>stojanstvo.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Dvostruka zapovijed: Trebaš ljubiti Boga iz</w:t>
        <w:softHyphen/>
        <w:t>nad svega a svoga bližnjega kao samoga sebe.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tom se objašnjenju jasno pokazuje da tcist kao i agnostik, ateist ili etički univerzalist (netko tko je uvjeren u jednako osobno dosto</w:t>
        <w:softHyphen/>
        <w:t>janstvo svih ljudi) kao i etički partikularist (netko tko krivo misli da samo nekim ljudima, npr. pripadnicima njegova vlastita plemena ili slobodnim građanima za razliku od stranaca ili robova, pripada jednako osobno dostojan</w:t>
        <w:softHyphen/>
        <w:t>stvo), koji posjeduju osnovni moralni stav lju</w:t>
        <w:softHyphen/>
        <w:t>bavi, može, dakle, biti ćudoredno dobar čo</w:t>
        <w:softHyphen/>
        <w:t>vjek. Jer, posjeduje li netko ili ne temeljno ću</w:t>
        <w:softHyphen/>
        <w:t>doredno shvaćanje, ovisi samo o njegovoj slo</w:t>
        <w:softHyphen/>
        <w:t>bodnoj odluci, ako je uopće postigao zrelost da shvati razliku između nepristrane i egois- tički pristrane ljubavi; no, da li je netko tcist ili nije, etički univerzalist ili nije, ne ovisi is</w:t>
        <w:softHyphen/>
        <w:t>ključivo o njegovu slobodnom htijenju nego primarno o ispravnom uvidu u ova izvanću- doredna (u svakom slučaju ćudoredno vrlo značajna) stanja stvari.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Upravo u prvom dijelu dvostruke zapovijedi ljubavi postaje jasno da se ovdje pod zahtije- vanom ljubavi najprije mogu zamisliti samo shvaćanja najopćenitijeg poštovanja, vredno</w:t>
        <w:softHyphen/>
        <w:t>vanja i priznavanja, a po mogućnosti ne pri</w:t>
        <w:softHyphen/>
        <w:t>marno djela ljubavi koja iz toga proizlaze. Jer, za svakoga je prosvijetljenog teistu sigurno da Bog nije taj koji nešto treba i stoga ne može biti upućen na naša dobra djela. Ovo razliko</w:t>
        <w:softHyphen/>
        <w:t>vanje između ljubavi kao raspoloženja (bc- nevolcntia) i ljubavi kao djela (bencficientia) dobiva svoju posebnu težinu kada je riječ o ljubavi prema bližnjem. Lj. prema bližnjem kao shvaćanje univerzalne dobrohotnosti nije vezano ni uz kakve granice. Ona se snagom svoje vlastite logike nužno prenosi u činjenje dobra, u lj. kao čin. Pa ipak, pritom nepobitno udara o granice. Jer, onaj koji svom bližnjem želi dobro, mora prvo biti u stanju nešto za njega učiniti; drugo, ovaj mora na bilo koji način biti upućen na njegovo dobro djelo; i treće, ništa drugo ne smije zaslužiti prednost. U glavne probleme i zadaće normativne etike pripada pronaći pravila prema kojima se dade ustanoviti kakva se djela ljubavi na temelju dobrohotnog raspoloženja zahtijevaju u kon</w:t>
        <w:softHyphen/>
        <w:t>kretnoj situaciji.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 kao osnovni ćudoredni zahtjev bitan je as</w:t>
        <w:softHyphen/>
        <w:t>pekt ljubavi prema Bogu tj. kršćanske ljubavi (1 Iv 4,21: »Ovu zapovijed imamo od njega: Tko ljubi Boga, neka ljubi i svoga brata!«). Ako je kršćanska lj. (zajedno s vjerom i na</w:t>
        <w:softHyphen/>
        <w:t>dom) označena u teologiji kao nadnaravna krepost, tada to govori da se ona može živjeti samo na osnovi i pomoću nadnaravne (koja nadilazi stvarnost stvorenoga svijeta) Božje objave i milosti. Kao takva, lj. je bezuvjetno »DA« Bogu, njegovim zapovijedima, njego</w:t>
        <w:softHyphen/>
        <w:t>vim riječima i njegovoj providnosti.</w:t>
      </w:r>
    </w:p>
    <w:p>
      <w:pPr>
        <w:pStyle w:val="Style56"/>
        <w:keepNext w:val="0"/>
        <w:keepLines w:val="0"/>
        <w:widowControl w:val="0"/>
        <w:shd w:val="clear" w:color="auto" w:fill="auto"/>
        <w:tabs>
          <w:tab w:pos="2400" w:val="left"/>
        </w:tabs>
        <w:bidi w:val="0"/>
        <w:spacing w:before="0" w:after="1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Kuhn. </w:t>
      </w:r>
      <w:r>
        <w:rPr>
          <w:i/>
          <w:iCs/>
          <w:color w:val="000000"/>
          <w:spacing w:val="0"/>
          <w:w w:val="100"/>
          <w:position w:val="0"/>
          <w:shd w:val="clear" w:color="auto" w:fill="auto"/>
        </w:rPr>
        <w:t>Liebe, Geschichte eines Begriffex,</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Munchcn 1975; B. </w:t>
      </w:r>
      <w:r>
        <w:rPr>
          <w:color w:val="000000"/>
          <w:spacing w:val="0"/>
          <w:w w:val="100"/>
          <w:position w:val="0"/>
          <w:shd w:val="clear" w:color="auto" w:fill="auto"/>
        </w:rPr>
        <w:t xml:space="preserve">Schuller, </w:t>
      </w:r>
      <w:r>
        <w:rPr>
          <w:i/>
          <w:iCs/>
          <w:color w:val="000000"/>
          <w:spacing w:val="0"/>
          <w:w w:val="100"/>
          <w:position w:val="0"/>
          <w:shd w:val="clear" w:color="auto" w:fill="auto"/>
        </w:rPr>
        <w:t>Die Begruntiung jittlichcr Urteile,</w:t>
      </w:r>
      <w:r>
        <w:rPr>
          <w:color w:val="000000"/>
          <w:spacing w:val="0"/>
          <w:w w:val="100"/>
          <w:position w:val="0"/>
          <w:shd w:val="clear" w:color="auto" w:fill="auto"/>
        </w:rPr>
        <w:t xml:space="preserve"> Dussel</w:t>
        <w:softHyphen/>
        <w:t>dorf 1980,61-72.</w:t>
        <w:tab/>
        <w:t>R. GINTERS</w:t>
      </w:r>
    </w:p>
    <w:p>
      <w:pPr>
        <w:pStyle w:val="Style63"/>
        <w:keepNext/>
        <w:keepLines/>
        <w:widowControl w:val="0"/>
        <w:numPr>
          <w:ilvl w:val="0"/>
          <w:numId w:val="257"/>
        </w:numPr>
        <w:shd w:val="clear" w:color="auto" w:fill="auto"/>
        <w:tabs>
          <w:tab w:pos="265" w:val="left"/>
        </w:tabs>
        <w:bidi w:val="0"/>
        <w:spacing w:before="0" w:line="223" w:lineRule="auto"/>
        <w:ind w:left="0" w:right="0" w:firstLine="0"/>
        <w:jc w:val="both"/>
      </w:pPr>
      <w:bookmarkStart w:id="175" w:name="bookmark175"/>
      <w:r>
        <w:rPr>
          <w:rFonts w:ascii="Times New Roman" w:eastAsia="Times New Roman" w:hAnsi="Times New Roman" w:cs="Times New Roman"/>
          <w:color w:val="000000"/>
          <w:spacing w:val="0"/>
          <w:w w:val="100"/>
          <w:position w:val="0"/>
          <w:shd w:val="clear" w:color="auto" w:fill="auto"/>
          <w:lang w:val="hr-HR" w:eastAsia="hr-HR" w:bidi="hr-HR"/>
        </w:rPr>
        <w:t>islamski</w:t>
      </w:r>
      <w:bookmarkEnd w:id="17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Ljubavi je dostojan jedino Bog, o kojemu se u Kuranu kaže da je On jedini koji sve oprašta (85,14; 11,90). Al-Gazali navodi 5 uzroka lju</w:t>
        <w:softHyphen/>
        <w:t>bavi koji se svi skupa stječu u Bogu: a) lj. čovjeka prema samome sebi i prema održanju i savršenstvu vlastitoga života. Ta je lj. uro</w:t>
        <w:softHyphen/>
        <w:t>đena svakom živom biću i nezamislivo je da bi se ono moglo nje lišiti. No ona u najvećoj mje</w:t>
        <w:softHyphen/>
        <w:t>ri uvjetuje ljubav prema Bogu, Tvorcu i Uz- državatclju. b) Lj. čovjeka prema njegovu Do</w:t>
        <w:softHyphen/>
        <w:t xml:space="preserve">bročinitelju. O tome se u Kuranu kaže: »A ako vi budete brojili Božje blagodati, nećete ih </w:t>
      </w:r>
      <w:r>
        <w:rPr>
          <w:rFonts w:ascii="Times New Roman" w:eastAsia="Times New Roman" w:hAnsi="Times New Roman" w:cs="Times New Roman"/>
          <w:i/>
          <w:iCs/>
          <w:color w:val="000000"/>
          <w:spacing w:val="0"/>
          <w:w w:val="100"/>
          <w:position w:val="0"/>
          <w:shd w:val="clear" w:color="auto" w:fill="auto"/>
          <w:lang w:val="hr-HR" w:eastAsia="hr-HR" w:bidi="hr-HR"/>
        </w:rPr>
        <w:t>(moči)</w:t>
      </w:r>
      <w:r>
        <w:rPr>
          <w:rFonts w:ascii="Times New Roman" w:eastAsia="Times New Roman" w:hAnsi="Times New Roman" w:cs="Times New Roman"/>
          <w:color w:val="000000"/>
          <w:spacing w:val="0"/>
          <w:w w:val="100"/>
          <w:position w:val="0"/>
          <w:shd w:val="clear" w:color="auto" w:fill="auto"/>
          <w:lang w:val="hr-HR" w:eastAsia="hr-HR" w:bidi="hr-HR"/>
        </w:rPr>
        <w:t xml:space="preserve"> izbrojiti« (16,18). c) Lj. prema Do</w:t>
        <w:softHyphen/>
        <w:t>bročinitelju kao takvom, pa i kada ta dobro</w:t>
        <w:softHyphen/>
        <w:t>činstva ne sustižu onoga koji ga ljubi, lj. na</w:t>
        <w:softHyphen/>
        <w:t>prosto zato što je On pravedan, mudar, blag. Pa tko bi mogao posjedovati više od tih naj</w:t>
        <w:softHyphen/>
        <w:t>plemenitijih svojstava osim Boga? d) Lj. pre</w:t>
        <w:softHyphen/>
        <w:t>ma svemu što je lijepo, posebice prema »lje</w:t>
        <w:softHyphen/>
        <w:t>poti nutrine koja se može opaziti jedino okom srca i svjetlom nutarnjega vida«, e) Lj. zbog unutarnje srodnosti i sličnosti. Jer Bog je za</w:t>
        <w:softHyphen/>
        <w:t>pravo naredio anđelima: »Pa ako sam ga (čo</w:t>
        <w:softHyphen/>
        <w:t xml:space="preserve">vjeka) stvorio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udahnuo u njega Moj Duh, </w:t>
      </w:r>
      <w:r>
        <w:rPr>
          <w:rFonts w:ascii="Times New Roman" w:eastAsia="Times New Roman" w:hAnsi="Times New Roman" w:cs="Times New Roman"/>
          <w:color w:val="000000"/>
          <w:spacing w:val="0"/>
          <w:w w:val="100"/>
          <w:position w:val="0"/>
          <w:shd w:val="clear" w:color="auto" w:fill="auto"/>
          <w:lang w:val="hr-HR" w:eastAsia="hr-HR" w:bidi="hr-HR"/>
        </w:rPr>
        <w:t>onda mu budite nakloni i pokažite mu straho</w:t>
        <w:softHyphen/>
        <w:t>poštovanje«. A prorok je kazao: »Bog je stvo</w:t>
        <w:softHyphen/>
        <w:t xml:space="preserve">rio čovjeka na svoju sliku i priliku«. U al-Ga- zalijevont </w:t>
      </w:r>
      <w:r>
        <w:rPr>
          <w:rFonts w:ascii="Times New Roman" w:eastAsia="Times New Roman" w:hAnsi="Times New Roman" w:cs="Times New Roman"/>
          <w:i/>
          <w:iCs/>
          <w:color w:val="000000"/>
          <w:spacing w:val="0"/>
          <w:w w:val="100"/>
          <w:position w:val="0"/>
          <w:shd w:val="clear" w:color="auto" w:fill="auto"/>
          <w:lang w:val="hr-HR" w:eastAsia="hr-HR" w:bidi="hr-HR"/>
        </w:rPr>
        <w:t>Ponovnom oživljavanju religijskih znanosti</w:t>
      </w:r>
      <w:r>
        <w:rPr>
          <w:rFonts w:ascii="Times New Roman" w:eastAsia="Times New Roman" w:hAnsi="Times New Roman" w:cs="Times New Roman"/>
          <w:color w:val="000000"/>
          <w:spacing w:val="0"/>
          <w:w w:val="100"/>
          <w:position w:val="0"/>
          <w:shd w:val="clear" w:color="auto" w:fill="auto"/>
          <w:lang w:val="hr-HR" w:eastAsia="hr-HR" w:bidi="hr-HR"/>
        </w:rPr>
        <w:t xml:space="preserve"> naredno se poglavlje bavi zadovolj- nošću: pod tim se podrazumijeva zadovoljnost Božjom presudom, a ona je plod ljubavi i je</w:t>
        <w:softHyphen/>
        <w:t>dan od najviših stupnjeva onih koji su blizu Bogu.</w:t>
      </w:r>
    </w:p>
    <w:p>
      <w:pPr>
        <w:pStyle w:val="Style20"/>
        <w:keepNext w:val="0"/>
        <w:keepLines w:val="0"/>
        <w:widowControl w:val="0"/>
        <w:shd w:val="clear" w:color="auto" w:fill="auto"/>
        <w:bidi w:val="0"/>
        <w:spacing w:before="0" w:after="0"/>
        <w:ind w:left="0" w:right="0" w:firstLine="0"/>
        <w:jc w:val="both"/>
        <w:sectPr>
          <w:headerReference w:type="default" r:id="rId713"/>
          <w:footerReference w:type="default" r:id="rId714"/>
          <w:headerReference w:type="even" r:id="rId715"/>
          <w:footerReference w:type="even" r:id="rId716"/>
          <w:footnotePr>
            <w:pos w:val="pageBottom"/>
            <w:numFmt w:val="decimal"/>
            <w:numRestart w:val="continuous"/>
            <w15:footnoteColumns w:val="1"/>
          </w:footnotePr>
          <w:pgSz w:w="6816" w:h="11006"/>
          <w:pgMar w:top="1017" w:left="190" w:right="189" w:bottom="476" w:header="0" w:footer="3" w:gutter="0"/>
          <w:pgNumType w:start="240"/>
          <w:cols w:num="2" w:space="17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Bog sa svoje strane ljubi različite vrste ljudi, one koji stvaraju pravednost (2,195), čiste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(2,222), </w:t>
      </w:r>
      <w:r>
        <w:rPr>
          <w:rFonts w:ascii="Times New Roman" w:eastAsia="Times New Roman" w:hAnsi="Times New Roman" w:cs="Times New Roman"/>
          <w:color w:val="000000"/>
          <w:spacing w:val="0"/>
          <w:w w:val="100"/>
          <w:position w:val="0"/>
          <w:shd w:val="clear" w:color="auto" w:fill="auto"/>
          <w:lang w:val="hr-HR" w:eastAsia="hr-HR" w:bidi="hr-HR"/>
        </w:rPr>
        <w:t>bogobojazne (4,7), pravednike (49,9), koji se zbog Njega bore do zadnjega i stoje čvrsto poput zidina (61,4). O čovjekovoj lju</w:t>
        <w:softHyphen/>
        <w:t xml:space="preserve">bavi prema Bogu u Kuranu se kaže: »Reci </w:t>
      </w:r>
      <w:r>
        <w:rPr>
          <w:rFonts w:ascii="Times New Roman" w:eastAsia="Times New Roman" w:hAnsi="Times New Roman" w:cs="Times New Roman"/>
          <w:i/>
          <w:iCs/>
          <w:color w:val="000000"/>
          <w:spacing w:val="0"/>
          <w:w w:val="100"/>
          <w:position w:val="0"/>
          <w:shd w:val="clear" w:color="auto" w:fill="auto"/>
          <w:lang w:val="hr-HR" w:eastAsia="hr-HR" w:bidi="hr-HR"/>
        </w:rPr>
        <w:t>(Muhamede):</w:t>
      </w:r>
      <w:r>
        <w:rPr>
          <w:rFonts w:ascii="Times New Roman" w:eastAsia="Times New Roman" w:hAnsi="Times New Roman" w:cs="Times New Roman"/>
          <w:color w:val="000000"/>
          <w:spacing w:val="0"/>
          <w:w w:val="100"/>
          <w:position w:val="0"/>
          <w:shd w:val="clear" w:color="auto" w:fill="auto"/>
          <w:lang w:val="hr-HR" w:eastAsia="hr-HR" w:bidi="hr-HR"/>
        </w:rPr>
        <w:t xml:space="preserve"> ‘Ako vi volite Boga, slijedite mene, pa će vas Bog voljeti i oprostiti vam grijehe vaše! Bog oprašta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milostiv je’« (3,31). I: »O pravovjerni! Tko od vas ostavi svoju vjeru, zaista će Bog dovesti narod koji On voli i koji Njega voli, </w:t>
      </w:r>
      <w:r>
        <w:rPr>
          <w:rFonts w:ascii="Times New Roman" w:eastAsia="Times New Roman" w:hAnsi="Times New Roman" w:cs="Times New Roman"/>
          <w:i/>
          <w:iCs/>
          <w:color w:val="000000"/>
          <w:spacing w:val="0"/>
          <w:w w:val="100"/>
          <w:position w:val="0"/>
          <w:shd w:val="clear" w:color="auto" w:fill="auto"/>
          <w:lang w:val="hr-HR" w:eastAsia="hr-HR" w:bidi="hr-HR"/>
        </w:rPr>
        <w:t>(koji je)</w:t>
      </w:r>
      <w:r>
        <w:rPr>
          <w:rFonts w:ascii="Times New Roman" w:eastAsia="Times New Roman" w:hAnsi="Times New Roman" w:cs="Times New Roman"/>
          <w:color w:val="000000"/>
          <w:spacing w:val="0"/>
          <w:w w:val="100"/>
          <w:position w:val="0"/>
          <w:shd w:val="clear" w:color="auto" w:fill="auto"/>
          <w:lang w:val="hr-HR" w:eastAsia="hr-HR" w:bidi="hr-HR"/>
        </w:rPr>
        <w:t xml:space="preserve"> skroman prema vjernicima i silan prema nevjernicima. Borit će se na Božjem putu i neće se bojati prijekora nijednog klevetnika. To je Božja blagodat koju On daje kome želi. Bog obilno </w:t>
      </w:r>
      <w:r>
        <w:rPr>
          <w:rFonts w:ascii="Times New Roman" w:eastAsia="Times New Roman" w:hAnsi="Times New Roman" w:cs="Times New Roman"/>
          <w:i/>
          <w:iCs/>
          <w:color w:val="000000"/>
          <w:spacing w:val="0"/>
          <w:w w:val="100"/>
          <w:position w:val="0"/>
          <w:shd w:val="clear" w:color="auto" w:fill="auto"/>
          <w:lang w:val="hr-HR" w:eastAsia="hr-HR" w:bidi="hr-HR"/>
        </w:rPr>
        <w:t>(dijeli darove)</w:t>
      </w:r>
      <w:r>
        <w:rPr>
          <w:rFonts w:ascii="Times New Roman" w:eastAsia="Times New Roman" w:hAnsi="Times New Roman" w:cs="Times New Roman"/>
          <w:color w:val="000000"/>
          <w:spacing w:val="0"/>
          <w:w w:val="100"/>
          <w:position w:val="0"/>
          <w:shd w:val="clear" w:color="auto" w:fill="auto"/>
          <w:lang w:val="hr-HR" w:eastAsia="hr-HR" w:bidi="hr-HR"/>
        </w:rPr>
        <w:t xml:space="preserve"> i zna </w:t>
      </w:r>
      <w:r>
        <w:rPr>
          <w:rFonts w:ascii="Times New Roman" w:eastAsia="Times New Roman" w:hAnsi="Times New Roman" w:cs="Times New Roman"/>
          <w:i/>
          <w:iCs/>
          <w:color w:val="000000"/>
          <w:spacing w:val="0"/>
          <w:w w:val="100"/>
          <w:position w:val="0"/>
          <w:shd w:val="clear" w:color="auto" w:fill="auto"/>
          <w:lang w:val="hr-HR" w:eastAsia="hr-HR" w:bidi="hr-HR"/>
        </w:rPr>
        <w:t>(tko ih zaslužuje)«</w:t>
      </w:r>
      <w:r>
        <w:rPr>
          <w:rFonts w:ascii="Times New Roman" w:eastAsia="Times New Roman" w:hAnsi="Times New Roman" w:cs="Times New Roman"/>
          <w:color w:val="000000"/>
          <w:spacing w:val="0"/>
          <w:w w:val="100"/>
          <w:position w:val="0"/>
          <w:shd w:val="clear" w:color="auto" w:fill="auto"/>
          <w:lang w:val="hr-HR" w:eastAsia="hr-HR" w:bidi="hr-HR"/>
        </w:rPr>
        <w:t xml:space="preserve"> (5,57). Zatim opomena: Ima ljudi koji uzimaju ki</w:t>
        <w:softHyphen/>
        <w:t xml:space="preserve">pove kao božanstva mjesto Boga, vole ih kao što se voli Alah. A oni koji vjeruju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(u Alaha) </w:t>
      </w:r>
      <w:r>
        <w:rPr>
          <w:rFonts w:ascii="Times New Roman" w:eastAsia="Times New Roman" w:hAnsi="Times New Roman" w:cs="Times New Roman"/>
          <w:color w:val="000000"/>
          <w:spacing w:val="0"/>
          <w:w w:val="100"/>
          <w:position w:val="0"/>
          <w:shd w:val="clear" w:color="auto" w:fill="auto"/>
          <w:lang w:val="hr-HR" w:eastAsia="hr-HR" w:bidi="hr-HR"/>
        </w:rPr>
        <w:t>više vole Alaha. Kada bi vidjeli oni koji su na</w:t>
        <w:softHyphen/>
        <w:t>silje učinili - onda kada ugledaju kaznu - da je sva moć samo Alahova i da on kažnjava žes</w:t>
        <w:softHyphen/>
        <w:t xml:space="preserve">toko </w:t>
      </w:r>
      <w:r>
        <w:rPr>
          <w:rFonts w:ascii="Times New Roman" w:eastAsia="Times New Roman" w:hAnsi="Times New Roman" w:cs="Times New Roman"/>
          <w:i/>
          <w:iCs/>
          <w:color w:val="000000"/>
          <w:spacing w:val="0"/>
          <w:w w:val="100"/>
          <w:position w:val="0"/>
          <w:shd w:val="clear" w:color="auto" w:fill="auto"/>
          <w:lang w:val="hr-HR" w:eastAsia="hr-HR" w:bidi="hr-HR"/>
        </w:rPr>
        <w:t>(sigurno bi se pokajali)«</w:t>
      </w:r>
      <w:r>
        <w:rPr>
          <w:rFonts w:ascii="Times New Roman" w:eastAsia="Times New Roman" w:hAnsi="Times New Roman" w:cs="Times New Roman"/>
          <w:color w:val="000000"/>
          <w:spacing w:val="0"/>
          <w:w w:val="100"/>
          <w:position w:val="0"/>
          <w:shd w:val="clear" w:color="auto" w:fill="auto"/>
          <w:lang w:val="hr-HR" w:eastAsia="hr-HR" w:bidi="hr-HR"/>
        </w:rPr>
        <w:t xml:space="preserve"> (2,165).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islamu se kaže: »Bog vam je učinio vjeru dragom i lijepo je okitio u vašim srcima i omrznuo vam nevjerstvo, grešnost i nepokor</w:t>
        <w:softHyphen/>
        <w:t>nost. To su oni koji su na pravom putu« (49,7). O vjernicima i njihovoj međusobnoj ljubavi Ibn Mas’ud izvješćuje da je neki čovjek upitao proroka: »O poslaniče Božji, što bi kazao čo</w:t>
        <w:softHyphen/>
        <w:t>vjeku koji ljubi drugoga čovjeka, ali ne ide skupa s njim?« Poslanik mu je odgovorio: »Čovjek je skupa s onima koje ljubi« (po Mus- limovoj predaji). A Mu’iz-b-Djabal izvješću</w:t>
        <w:softHyphen/>
        <w:t>je: »Čuo sam kako je Božji poslanik kazao da Bog govori: ‘Doista moram ljubiti one koji se ljube poradi Mene, koji se okupljaju poradi Mene, koji poradi Mene postaju susjedima i koji poradi Mene velikodušno daju novce je</w:t>
        <w:softHyphen/>
        <w:t>dan drugome’« (po Malikovoj predaji). I Abu Hurairah izvješćuje da je Božji poslanik na</w:t>
        <w:softHyphen/>
        <w:t>vodno kazao: »Bogu je draži snažniji nego sla</w:t>
        <w:softHyphen/>
        <w:t>biji vjernik«.</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predaji, iz koje se u sufijskim krugo</w:t>
        <w:softHyphen/>
        <w:t>vima navode različite verzije, Bog je navodno kazao: »Moj mi se sluga približava sa svojim predanošću ispunjenim bogoslužjem tako da ga volim; a kada ga Ja volim, tada sam Uho kojim on čuje i Oko kojim on vidi i Jezik ko</w:t>
        <w:softHyphen/>
        <w:t xml:space="preserve">jim on govori«. </w:t>
      </w:r>
      <w:r>
        <w:rPr>
          <w:rFonts w:ascii="Times New Roman" w:eastAsia="Times New Roman" w:hAnsi="Times New Roman" w:cs="Times New Roman"/>
          <w:i/>
          <w:iCs/>
          <w:color w:val="000000"/>
          <w:spacing w:val="0"/>
          <w:w w:val="100"/>
          <w:position w:val="0"/>
          <w:shd w:val="clear" w:color="auto" w:fill="auto"/>
          <w:lang w:val="hr-HR" w:eastAsia="hr-HR" w:bidi="hr-HR"/>
        </w:rPr>
        <w:t>Al-Buhari</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en-US" w:eastAsia="en-US" w:bidi="en-US"/>
        </w:rPr>
        <w:t>Muslim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prenose sljedeću riječ iz njegovih usta: »Nitko od vas neće vjerovati prije nego što me bude ljubio više od svojega oca, svojega sina i svih ljudi«.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prorokov zet i četvrti kalif islama, Alija, odgovorio je na pitanje, kako je počeo ljubiti Božjega poslanika: »On nam je, kod Boga, bio draži od našega imutka, naše djece i roditelja i hladne vode kada smo žedni«. Kada je </w:t>
      </w:r>
      <w:r>
        <w:rPr>
          <w:rFonts w:ascii="Times New Roman" w:eastAsia="Times New Roman" w:hAnsi="Times New Roman" w:cs="Times New Roman"/>
          <w:color w:val="000000"/>
          <w:spacing w:val="0"/>
          <w:w w:val="100"/>
          <w:position w:val="0"/>
          <w:shd w:val="clear" w:color="auto" w:fill="auto"/>
          <w:lang w:val="en-US" w:eastAsia="en-US" w:bidi="en-US"/>
        </w:rPr>
        <w:t xml:space="preserve">Bilal </w:t>
      </w:r>
      <w:r>
        <w:rPr>
          <w:rFonts w:ascii="Times New Roman" w:eastAsia="Times New Roman" w:hAnsi="Times New Roman" w:cs="Times New Roman"/>
          <w:color w:val="000000"/>
          <w:spacing w:val="0"/>
          <w:w w:val="100"/>
          <w:position w:val="0"/>
          <w:shd w:val="clear" w:color="auto" w:fill="auto"/>
          <w:lang w:val="hr-HR" w:eastAsia="hr-HR" w:bidi="hr-HR"/>
        </w:rPr>
        <w:t xml:space="preserve">ležao na samrti, njegova je žena zavapila: »Plačite za njim!« - »Ne«, reče </w:t>
      </w:r>
      <w:r>
        <w:rPr>
          <w:rFonts w:ascii="Times New Roman" w:eastAsia="Times New Roman" w:hAnsi="Times New Roman" w:cs="Times New Roman"/>
          <w:color w:val="000000"/>
          <w:spacing w:val="0"/>
          <w:w w:val="100"/>
          <w:position w:val="0"/>
          <w:shd w:val="clear" w:color="auto" w:fill="auto"/>
          <w:lang w:val="en-US" w:eastAsia="en-US" w:bidi="en-US"/>
        </w:rPr>
        <w:t xml:space="preserve">Bilal, </w:t>
      </w:r>
      <w:r>
        <w:rPr>
          <w:rFonts w:ascii="Times New Roman" w:eastAsia="Times New Roman" w:hAnsi="Times New Roman" w:cs="Times New Roman"/>
          <w:color w:val="000000"/>
          <w:spacing w:val="0"/>
          <w:w w:val="100"/>
          <w:position w:val="0"/>
          <w:shd w:val="clear" w:color="auto" w:fill="auto"/>
          <w:lang w:val="hr-HR" w:eastAsia="hr-HR" w:bidi="hr-HR"/>
        </w:rPr>
        <w:t>»radujte se, sutra ću vidjeti voljene, Muhameda i nje</w:t>
        <w:softHyphen/>
        <w:t>gove sljedbenike«. Ali među najljepše predaje spada sljedeća Muhamedova molitva za lj.: »O Bože, molim te za lj. prema Tebi i za takva djela koja me vode k Tvojoj ljubavi. O Bože, daj da mi Tvoja lj. bude draža od mene sa</w:t>
        <w:softHyphen/>
        <w:t>moga, moje obitelji i kao hladna voda!«</w:t>
      </w:r>
    </w:p>
    <w:p>
      <w:pPr>
        <w:pStyle w:val="Style56"/>
        <w:keepNext w:val="0"/>
        <w:keepLines w:val="0"/>
        <w:widowControl w:val="0"/>
        <w:shd w:val="clear" w:color="auto" w:fill="auto"/>
        <w:tabs>
          <w:tab w:pos="2434" w:val="left"/>
        </w:tabs>
        <w:bidi w:val="0"/>
        <w:spacing w:before="0" w:after="240" w:line="240" w:lineRule="auto"/>
        <w:ind w:left="0" w:right="0" w:firstLine="0"/>
        <w:jc w:val="both"/>
      </w:pPr>
      <w:r>
        <w:rPr>
          <w:color w:val="000000"/>
          <w:spacing w:val="0"/>
          <w:w w:val="100"/>
          <w:position w:val="0"/>
          <w:shd w:val="clear" w:color="auto" w:fill="auto"/>
        </w:rPr>
        <w:t xml:space="preserve">Lil.: </w:t>
      </w:r>
      <w:r>
        <w:rPr>
          <w:color w:val="000000"/>
          <w:spacing w:val="0"/>
          <w:w w:val="100"/>
          <w:position w:val="0"/>
          <w:shd w:val="clear" w:color="auto" w:fill="auto"/>
          <w:lang w:val="hr-HR" w:eastAsia="hr-HR" w:bidi="hr-HR"/>
        </w:rPr>
        <w:t xml:space="preserve">FazJu! </w:t>
      </w:r>
      <w:r>
        <w:rPr>
          <w:color w:val="000000"/>
          <w:spacing w:val="0"/>
          <w:w w:val="100"/>
          <w:position w:val="0"/>
          <w:shd w:val="clear" w:color="auto" w:fill="auto"/>
        </w:rPr>
        <w:t xml:space="preserve">Karin. </w:t>
      </w:r>
      <w:r>
        <w:rPr>
          <w:i/>
          <w:iCs/>
          <w:color w:val="000000"/>
          <w:spacing w:val="0"/>
          <w:w w:val="100"/>
          <w:position w:val="0"/>
          <w:shd w:val="clear" w:color="auto" w:fill="auto"/>
          <w:lang w:val="hr-HR" w:eastAsia="hr-HR" w:bidi="hr-HR"/>
        </w:rPr>
        <w:t>Mishkat-ul-Masabih,</w:t>
      </w:r>
      <w:r>
        <w:rPr>
          <w:color w:val="000000"/>
          <w:spacing w:val="0"/>
          <w:w w:val="100"/>
          <w:position w:val="0"/>
          <w:shd w:val="clear" w:color="auto" w:fill="auto"/>
          <w:lang w:val="hr-HR" w:eastAsia="hr-HR" w:bidi="hr-HR"/>
        </w:rPr>
        <w:t xml:space="preserve"> sv. </w:t>
      </w:r>
      <w:r>
        <w:rPr>
          <w:color w:val="000000"/>
          <w:spacing w:val="0"/>
          <w:w w:val="100"/>
          <w:position w:val="0"/>
          <w:shd w:val="clear" w:color="auto" w:fill="auto"/>
        </w:rPr>
        <w:t xml:space="preserve">I, Dacca </w:t>
      </w:r>
      <w:r>
        <w:rPr>
          <w:color w:val="000000"/>
          <w:spacing w:val="0"/>
          <w:w w:val="100"/>
          <w:position w:val="0"/>
          <w:shd w:val="clear" w:color="auto" w:fill="auto"/>
          <w:lang w:val="hr-HR" w:eastAsia="hr-HR" w:bidi="hr-HR"/>
        </w:rPr>
        <w:t xml:space="preserve">1963; </w:t>
      </w:r>
      <w:r>
        <w:rPr>
          <w:i/>
          <w:iCs/>
          <w:color w:val="000000"/>
          <w:spacing w:val="0"/>
          <w:w w:val="100"/>
          <w:position w:val="0"/>
          <w:shd w:val="clear" w:color="auto" w:fill="auto"/>
        </w:rPr>
        <w:t>Encyclopaedia of Religion and Ethics,</w:t>
      </w:r>
      <w:r>
        <w:rPr>
          <w:color w:val="000000"/>
          <w:spacing w:val="0"/>
          <w:w w:val="100"/>
          <w:position w:val="0"/>
          <w:shd w:val="clear" w:color="auto" w:fill="auto"/>
        </w:rPr>
        <w:t xml:space="preserve"> cd. Janus Hastings 1934; Tor Andrac, </w:t>
      </w:r>
      <w:r>
        <w:rPr>
          <w:i/>
          <w:iCs/>
          <w:color w:val="000000"/>
          <w:spacing w:val="0"/>
          <w:w w:val="100"/>
          <w:position w:val="0"/>
          <w:shd w:val="clear" w:color="auto" w:fill="auto"/>
        </w:rPr>
        <w:t>Die Person Muhammad* in Lehre and Glauben seiner Gemeinde,</w:t>
      </w:r>
      <w:r>
        <w:rPr>
          <w:color w:val="000000"/>
          <w:spacing w:val="0"/>
          <w:w w:val="100"/>
          <w:position w:val="0"/>
          <w:shd w:val="clear" w:color="auto" w:fill="auto"/>
        </w:rPr>
        <w:t xml:space="preserve"> Stockholm 1918; Anncmaric Schimmel, </w:t>
      </w:r>
      <w:r>
        <w:rPr>
          <w:i/>
          <w:iCs/>
          <w:color w:val="000000"/>
          <w:spacing w:val="0"/>
          <w:w w:val="100"/>
          <w:position w:val="0"/>
          <w:shd w:val="clear" w:color="auto" w:fill="auto"/>
        </w:rPr>
        <w:t>Und Muhammad 1st ein Prophet. Die Verehrung des Prpheten in der islamischen Frbmmigkeit</w:t>
      </w:r>
      <w:r>
        <w:rPr>
          <w:color w:val="000000"/>
          <w:spacing w:val="0"/>
          <w:w w:val="100"/>
          <w:position w:val="0"/>
          <w:shd w:val="clear" w:color="auto" w:fill="auto"/>
        </w:rPr>
        <w:t xml:space="preserve">, Dusseldorf' Koln 1981; S. Balic, </w:t>
      </w:r>
      <w:r>
        <w:rPr>
          <w:i/>
          <w:iCs/>
          <w:color w:val="000000"/>
          <w:spacing w:val="0"/>
          <w:w w:val="100"/>
          <w:position w:val="0"/>
          <w:shd w:val="clear" w:color="auto" w:fill="auto"/>
        </w:rPr>
        <w:t xml:space="preserve">Ruf vom </w:t>
      </w:r>
      <w:r>
        <w:rPr>
          <w:i/>
          <w:iCs/>
          <w:color w:val="000000"/>
          <w:spacing w:val="0"/>
          <w:w w:val="100"/>
          <w:position w:val="0"/>
          <w:shd w:val="clear" w:color="auto" w:fill="auto"/>
          <w:lang w:val="hr-HR" w:eastAsia="hr-HR" w:bidi="hr-HR"/>
        </w:rPr>
        <w:t xml:space="preserve">Minareti. </w:t>
      </w:r>
      <w:r>
        <w:rPr>
          <w:i/>
          <w:iCs/>
          <w:color w:val="000000"/>
          <w:spacing w:val="0"/>
          <w:w w:val="100"/>
          <w:position w:val="0"/>
          <w:shd w:val="clear" w:color="auto" w:fill="auto"/>
        </w:rPr>
        <w:t>Weltislam heute: Renaissance oder Riickfall? Eine Selbstdarstellung,</w:t>
      </w:r>
      <w:r>
        <w:rPr>
          <w:color w:val="000000"/>
          <w:spacing w:val="0"/>
          <w:w w:val="100"/>
          <w:position w:val="0"/>
          <w:shd w:val="clear" w:color="auto" w:fill="auto"/>
        </w:rPr>
        <w:t xml:space="preserve"> Wien 1979, Hamburg ’1985.</w:t>
        <w:tab/>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HtURLN</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LJUBAV PREMA BLIŽNJEMU</w:t>
      </w:r>
    </w:p>
    <w:p>
      <w:pPr>
        <w:pStyle w:val="Style63"/>
        <w:keepNext/>
        <w:keepLines/>
        <w:widowControl w:val="0"/>
        <w:numPr>
          <w:ilvl w:val="0"/>
          <w:numId w:val="263"/>
        </w:numPr>
        <w:shd w:val="clear" w:color="auto" w:fill="auto"/>
        <w:tabs>
          <w:tab w:pos="246" w:val="left"/>
        </w:tabs>
        <w:bidi w:val="0"/>
        <w:spacing w:before="0" w:line="223" w:lineRule="auto"/>
        <w:ind w:left="0" w:right="0" w:firstLine="0"/>
        <w:jc w:val="both"/>
      </w:pPr>
      <w:bookmarkStart w:id="176" w:name="bookmark176"/>
      <w:r>
        <w:rPr>
          <w:rFonts w:ascii="Times New Roman" w:eastAsia="Times New Roman" w:hAnsi="Times New Roman" w:cs="Times New Roman"/>
          <w:color w:val="000000"/>
          <w:spacing w:val="0"/>
          <w:w w:val="100"/>
          <w:position w:val="0"/>
          <w:shd w:val="clear" w:color="auto" w:fill="auto"/>
          <w:lang w:val="hr-HR" w:eastAsia="hr-HR" w:bidi="hr-HR"/>
        </w:rPr>
        <w:t>židovski</w:t>
      </w:r>
      <w:bookmarkEnd w:id="176"/>
    </w:p>
    <w:p>
      <w:pPr>
        <w:pStyle w:val="Style20"/>
        <w:keepNext w:val="0"/>
        <w:keepLines w:val="0"/>
        <w:widowControl w:val="0"/>
        <w:numPr>
          <w:ilvl w:val="0"/>
          <w:numId w:val="26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 hebrejskoj Bibliji'.</w:t>
      </w:r>
      <w:r>
        <w:rPr>
          <w:rFonts w:ascii="Times New Roman" w:eastAsia="Times New Roman" w:hAnsi="Times New Roman" w:cs="Times New Roman"/>
          <w:color w:val="000000"/>
          <w:spacing w:val="0"/>
          <w:w w:val="100"/>
          <w:position w:val="0"/>
          <w:shd w:val="clear" w:color="auto" w:fill="auto"/>
          <w:lang w:val="hr-HR" w:eastAsia="hr-HR" w:bidi="hr-HR"/>
        </w:rPr>
        <w:t xml:space="preserve"> Zapovijed ljubavi pre</w:t>
        <w:softHyphen/>
        <w:t xml:space="preserve">ma bližnjemu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u hebrejskom teks</w:t>
        <w:softHyphen/>
        <w:t>tu isprepletena je s prethodnim stihom 17 i d., pa izražava stranu međuljudskog ponašanja prema Božjoj volji: »Ne mrzi svoga brala u srcu... S djecom svojega naroda nemoj postu</w:t>
        <w:softHyphen/>
        <w:t>pati osvetnički i nepomirljivo, štoviše, bližnje</w:t>
        <w:softHyphen/>
        <w:t>ga svoga ljubi kao samoga sebe.« Samo na ovom mjestu riječ »ljubiti« u hebrejskoj Bibliji povezana je s veličinom toga odnosa tako da je isključen nesporazum o tome kako je propi</w:t>
        <w:softHyphen/>
        <w:t xml:space="preserve">san osjećaj između ljudi; umjesto toga, ona pokazuje da se određeno </w:t>
      </w:r>
      <w:r>
        <w:rPr>
          <w:rFonts w:ascii="Times New Roman" w:eastAsia="Times New Roman" w:hAnsi="Times New Roman" w:cs="Times New Roman"/>
          <w:i/>
          <w:iCs/>
          <w:color w:val="000000"/>
          <w:spacing w:val="0"/>
          <w:w w:val="100"/>
          <w:position w:val="0"/>
          <w:shd w:val="clear" w:color="auto" w:fill="auto"/>
          <w:lang w:val="hr-HR" w:eastAsia="hr-HR" w:bidi="hr-HR"/>
        </w:rPr>
        <w:t>ponašanje</w:t>
      </w:r>
      <w:r>
        <w:rPr>
          <w:rFonts w:ascii="Times New Roman" w:eastAsia="Times New Roman" w:hAnsi="Times New Roman" w:cs="Times New Roman"/>
          <w:color w:val="000000"/>
          <w:spacing w:val="0"/>
          <w:w w:val="100"/>
          <w:position w:val="0"/>
          <w:shd w:val="clear" w:color="auto" w:fill="auto"/>
          <w:lang w:val="hr-HR" w:eastAsia="hr-HR" w:bidi="hr-HR"/>
        </w:rPr>
        <w:t xml:space="preserve"> svakako može zapovjediti: S ljubavlju se obraćaj bližnje</w:t>
        <w:softHyphen/>
        <w:t xml:space="preserve">mu svomu! Prema njemu se ponašaj u životu lako kao da se to događa tebi samom. Ista struktura riječi i rečenice ponavlja se u retku 33 i d. i izraelskom se narodu unosi u svijest da za stranca u zemlji neograničeno vrijedi ponuda života. To ponavljanje u kontekstu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 ne dopušta nikakva ograničenja smisla u pojmovima »tvoj brat« i »djeca tvoga naroda«. Izraelu zapovijeđena lj. p. b. obuhvaća i neži- dove koji žive s njima. »Bližnji« ne znači samo sunarodnjak nego može značiti i samo nesu- narodnjak (Izl 11,2).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91,18 ima pred oči</w:t>
        <w:softHyphen/>
        <w:br w:type="page"/>
      </w:r>
      <w:r>
        <w:rPr>
          <w:rFonts w:ascii="Times New Roman" w:eastAsia="Times New Roman" w:hAnsi="Times New Roman" w:cs="Times New Roman"/>
          <w:color w:val="000000"/>
          <w:spacing w:val="0"/>
          <w:w w:val="100"/>
          <w:position w:val="0"/>
          <w:shd w:val="clear" w:color="auto" w:fill="auto"/>
          <w:lang w:val="hr-HR" w:eastAsia="hr-HR" w:bidi="hr-HR"/>
        </w:rPr>
        <w:t>ma susjeda kojega Izraelac neposredno sus</w:t>
        <w:softHyphen/>
        <w:t>reće. - Razne zbirke zakona podsjećaju Iz</w:t>
        <w:softHyphen/>
        <w:t>raelce na povijesno iskustvo da su i sami bili nevoljeni stranci/pridošlicc u drugoj zemlji (Izl 22,20; 23,9; Pnz 10,19). U Pnz 10 uporno im se ponavlja to sjećanje spominjanjem riječi ljubav tri puta: Bog zahtijeva od svojega naroda da ga ljubi (Pnz 10,12); On je ljubio njihove oce (redak 15) dok su još bili stranci; Bog ljubi čovjeka koji ovisi o tuđem narodu, »daje mu hranu i odjeću« (redak 18). Time se u Božjoj ljubavi prema strancu odražava ista skrb Božja za druge ovisne osobe u izrael</w:t>
        <w:softHyphen/>
        <w:t>skom društvu: »daje pravdu siroti i udovici« (redak 18). U takvom uzajamnom odnosu moguće je tražiti od čovjeka da ljubi Boga svim srcem (redak 12, usp. Pnz 6,5; 11,13); jer ljubav će samo pomoći ostvariti već postojeći odnos prema Bogu. No, ako čovjek ozbiljno shvaća ljubav prema Bogu, može pokazati lju</w:t>
        <w:softHyphen/>
        <w:t xml:space="preserve">bav i prema drugom čovjeku kojeg ljubi Bog - pa i prema strancu; ljubav prema Bogu potiče tu ljubav. - Iz konteksta u Tori lj. p. b. proteže se izričito na neprijatelja. Bezuvjetna obveza pravednosti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24,22 uključuje neprijate</w:t>
        <w:softHyphen/>
        <w:t>lja; dok god treba njegovu pomoć, Izraelac mu mora pomagati (Izl 23,4 i d.; Pnz 22,4).</w:t>
      </w:r>
    </w:p>
    <w:p>
      <w:pPr>
        <w:pStyle w:val="Style20"/>
        <w:keepNext w:val="0"/>
        <w:keepLines w:val="0"/>
        <w:widowControl w:val="0"/>
        <w:numPr>
          <w:ilvl w:val="0"/>
          <w:numId w:val="26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 talmudskoj literaturi:</w:t>
      </w:r>
      <w:r>
        <w:rPr>
          <w:rFonts w:ascii="Times New Roman" w:eastAsia="Times New Roman" w:hAnsi="Times New Roman" w:cs="Times New Roman"/>
          <w:color w:val="000000"/>
          <w:spacing w:val="0"/>
          <w:w w:val="100"/>
          <w:position w:val="0"/>
          <w:shd w:val="clear" w:color="auto" w:fill="auto"/>
          <w:lang w:val="hr-HR" w:eastAsia="hr-HR" w:bidi="hr-HR"/>
        </w:rPr>
        <w:t xml:space="preserve"> Idolopoklonstvo smatra se klasičnim bezboštvom (M </w:t>
      </w:r>
      <w:r>
        <w:rPr>
          <w:rFonts w:ascii="Times New Roman" w:eastAsia="Times New Roman" w:hAnsi="Times New Roman" w:cs="Times New Roman"/>
          <w:color w:val="000000"/>
          <w:spacing w:val="0"/>
          <w:w w:val="100"/>
          <w:position w:val="0"/>
          <w:shd w:val="clear" w:color="auto" w:fill="auto"/>
          <w:lang w:val="en-US" w:eastAsia="en-US" w:bidi="en-US"/>
        </w:rPr>
        <w:t xml:space="preserve">Avoda Zara; </w:t>
      </w:r>
      <w:r>
        <w:rPr>
          <w:rFonts w:ascii="Times New Roman" w:eastAsia="Times New Roman" w:hAnsi="Times New Roman" w:cs="Times New Roman"/>
          <w:color w:val="000000"/>
          <w:spacing w:val="0"/>
          <w:w w:val="100"/>
          <w:position w:val="0"/>
          <w:shd w:val="clear" w:color="auto" w:fill="auto"/>
          <w:lang w:val="hr-HR" w:eastAsia="hr-HR" w:bidi="hr-HR"/>
        </w:rPr>
        <w:t xml:space="preserve">b Joma 85b;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74a). Stoga se rabinsko tumačenje ljubavi prema bližnjem ne odnosi na idolopoklonike. No, kad bi se narod i pozivao na neke izjave farizeja i bližnjega ograničio na prijatelja, ostao bi ncizbrisan jak izraz univerzalno shvaćene zapovijedi ljubavi u Izrckama mudraca. Rabi Akiva (u. oko 135): »To je veliko opće načelo </w:t>
      </w:r>
      <w:r>
        <w:rPr>
          <w:rFonts w:ascii="Times New Roman" w:eastAsia="Times New Roman" w:hAnsi="Times New Roman" w:cs="Times New Roman"/>
          <w:i/>
          <w:iCs/>
          <w:color w:val="000000"/>
          <w:spacing w:val="0"/>
          <w:w w:val="100"/>
          <w:position w:val="0"/>
          <w:shd w:val="clear" w:color="auto" w:fill="auto"/>
          <w:lang w:val="hr-HR" w:eastAsia="hr-HR" w:bidi="hr-HR"/>
        </w:rPr>
        <w:t>(kelalgadolj</w:t>
      </w:r>
      <w:r>
        <w:rPr>
          <w:rFonts w:ascii="Times New Roman" w:eastAsia="Times New Roman" w:hAnsi="Times New Roman" w:cs="Times New Roman"/>
          <w:color w:val="000000"/>
          <w:spacing w:val="0"/>
          <w:w w:val="100"/>
          <w:position w:val="0"/>
          <w:shd w:val="clear" w:color="auto" w:fill="auto"/>
          <w:lang w:val="hr-HR" w:eastAsia="hr-HR" w:bidi="hr-HR"/>
        </w:rPr>
        <w:t xml:space="preserve"> u Tori«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j Ncdarim IX,41c). Akivin suvremenik Ben Asaj spoznao je, do</w:t>
        <w:softHyphen/>
        <w:t xml:space="preserve">duše, krivo tumačenje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pa je citirao Post 5,1: »Kad je Bog stvorio čovjeka, napra</w:t>
        <w:softHyphen/>
        <w:t xml:space="preserve">vio ga je na priliku svoju« i zaključio: »To je općenitije načelo od onoga«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S tom slič- nošću svih ljudi Ben Asaj je otkrio pravi raz</w:t>
        <w:softHyphen/>
        <w:t>log</w:t>
      </w:r>
      <w:r>
        <w:rPr>
          <w:rFonts w:ascii="Times New Roman" w:eastAsia="Times New Roman" w:hAnsi="Times New Roman" w:cs="Times New Roman"/>
          <w:color w:val="000000"/>
          <w:spacing w:val="0"/>
          <w:w w:val="100"/>
          <w:position w:val="0"/>
          <w:shd w:val="clear" w:color="auto" w:fill="auto"/>
          <w:vertAlign w:val="superscript"/>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ljubavi prema bližnjemu: Tko bi posum</w:t>
        <w:softHyphen/>
        <w:t>njao u dostojnost čovjeka da bude ljubljen, pobunio bi se protiv samog Stvoritelja s čijom se slikom suočava u svemu drugom (usp. s Ben Asajevom krilaticom M Avot IV,3: »Ne preziri nijednog čovjeka...«). Slično je pouča</w:t>
        <w:softHyphen/>
        <w:t>vao Rabi Tanhuma (oko 380): »Dakle, ako je već tako, znaj koga prezireš, naime, onoga ko</w:t>
        <w:softHyphen/>
      </w:r>
      <w:r>
        <w:rPr>
          <w:rFonts w:ascii="Times New Roman" w:eastAsia="Times New Roman" w:hAnsi="Times New Roman" w:cs="Times New Roman"/>
          <w:color w:val="000000"/>
          <w:spacing w:val="0"/>
          <w:w w:val="100"/>
          <w:position w:val="0"/>
          <w:shd w:val="clear" w:color="auto" w:fill="auto"/>
          <w:lang w:val="hr-HR" w:eastAsia="hr-HR" w:bidi="hr-HR"/>
        </w:rPr>
        <w:t>ga je Bog stvorio na svoju sliku« (Bcrcšit raba XXIV,5). Midraš iz Akivine škole podcrtao je iznimnu vrijednost načela ljubavi prema bližnje</w:t>
        <w:softHyphen/>
        <w:t xml:space="preserve">mu: »Tko mrzi čovjeka, isto je kao da mrzi njega koji reče i svijet postade« (Šifre Šuta uz Br 8). Tradicija je prenijela mišljenja rabina </w:t>
      </w:r>
      <w:r>
        <w:rPr>
          <w:rFonts w:ascii="Times New Roman" w:eastAsia="Times New Roman" w:hAnsi="Times New Roman" w:cs="Times New Roman"/>
          <w:color w:val="000000"/>
          <w:spacing w:val="0"/>
          <w:w w:val="100"/>
          <w:position w:val="0"/>
          <w:shd w:val="clear" w:color="auto" w:fill="auto"/>
          <w:lang w:val="en-US" w:eastAsia="en-US" w:bidi="en-US"/>
        </w:rPr>
        <w:t xml:space="preserve">Eleazara </w:t>
      </w:r>
      <w:r>
        <w:rPr>
          <w:rFonts w:ascii="Times New Roman" w:eastAsia="Times New Roman" w:hAnsi="Times New Roman" w:cs="Times New Roman"/>
          <w:color w:val="000000"/>
          <w:spacing w:val="0"/>
          <w:w w:val="100"/>
          <w:position w:val="0"/>
          <w:shd w:val="clear" w:color="auto" w:fill="auto"/>
          <w:lang w:val="hr-HR" w:eastAsia="hr-HR" w:bidi="hr-HR"/>
        </w:rPr>
        <w:t>ben Hirkana (II. stoljeće) daje Tora na trideset i šest mjesta zabranila svako vrije</w:t>
        <w:softHyphen/>
        <w:t>đanje stranca, pa i samo uvredljivim riječima (b Bava Mccia 59b). Međutim, Židov treba priznati za bližnjega ne samo stranca u izrael</w:t>
        <w:softHyphen/>
        <w:t xml:space="preserve">skoj sredini, nego i »stranca na tržnici«, kako se potpuni neznanac naziva na talmudskom jeziku. Omiljene riječi </w:t>
      </w:r>
      <w:r>
        <w:rPr>
          <w:rFonts w:ascii="Times New Roman" w:eastAsia="Times New Roman" w:hAnsi="Times New Roman" w:cs="Times New Roman"/>
          <w:color w:val="000000"/>
          <w:spacing w:val="0"/>
          <w:w w:val="100"/>
          <w:position w:val="0"/>
          <w:shd w:val="clear" w:color="auto" w:fill="auto"/>
          <w:lang w:val="en-US" w:eastAsia="en-US" w:bidi="en-US"/>
        </w:rPr>
        <w:t xml:space="preserve">Abbaje </w:t>
      </w:r>
      <w:r>
        <w:rPr>
          <w:rFonts w:ascii="Times New Roman" w:eastAsia="Times New Roman" w:hAnsi="Times New Roman" w:cs="Times New Roman"/>
          <w:color w:val="000000"/>
          <w:spacing w:val="0"/>
          <w:w w:val="100"/>
          <w:position w:val="0"/>
          <w:shd w:val="clear" w:color="auto" w:fill="auto"/>
          <w:lang w:val="hr-HR" w:eastAsia="hr-HR" w:bidi="hr-HR"/>
        </w:rPr>
        <w:t>(III./IV. stolje</w:t>
        <w:softHyphen/>
        <w:t>će) glase: »Neka čovjek bude uvijek pametan u strahu od Boga. Blagi odgovor smiruje gnjev. Neka raste mir s njegovom braćom, njegovim rođacima i svim ljudima, čak sa strancima na tržnici, kako bi bio ljubljen gore i ljubljen ovdje dolje i obljubljen kod svih stvorenja« (b Berahot 17a). Ovdje se kao u krilatici mudra</w:t>
        <w:softHyphen/>
        <w:t xml:space="preserve">ca iz Javnea: »Ja sam stvorenje i moj bližnji je stvorenje«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meduljudsko ponašanje te</w:t>
        <w:softHyphen/>
        <w:t>melji na odnosu vjernika prema Stvoritelju. - Rabini su slikovito tumačili što Bog, prema njihovu mišljenju, misli o mržnji prema dru</w:t>
        <w:softHyphen/>
        <w:t>gim narodima. Škola, koja je svim ljudima, pa i zločincima, obećavala sudioništvo u vječnom životu, potaknula je anđele Božje na pitanje što bi on učinio kad bi se David na nebesima potužio na prisutnost svojega osobnog nepri</w:t>
        <w:softHyphen/>
        <w:t>jatelja, a Bog bi mu na to odgovorio: »Moja je dužnost da medu vama uspostavim prijatelj</w:t>
        <w:softHyphen/>
        <w:t xml:space="preserve">stvo«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105a). Velika mreža pro</w:t>
        <w:softHyphen/>
        <w:t xml:space="preserve">pisa za </w:t>
      </w:r>
      <w:r>
        <w:rPr>
          <w:rFonts w:ascii="Times New Roman" w:eastAsia="Times New Roman" w:hAnsi="Times New Roman" w:cs="Times New Roman"/>
          <w:i/>
          <w:iCs/>
          <w:color w:val="000000"/>
          <w:spacing w:val="0"/>
          <w:w w:val="100"/>
          <w:position w:val="0"/>
          <w:shd w:val="clear" w:color="auto" w:fill="auto"/>
          <w:lang w:val="hr-HR" w:eastAsia="hr-HR" w:bidi="hr-HR"/>
        </w:rPr>
        <w:t>put</w:t>
      </w:r>
      <w:r>
        <w:rPr>
          <w:rFonts w:ascii="Times New Roman" w:eastAsia="Times New Roman" w:hAnsi="Times New Roman" w:cs="Times New Roman"/>
          <w:color w:val="000000"/>
          <w:spacing w:val="0"/>
          <w:w w:val="100"/>
          <w:position w:val="0"/>
          <w:shd w:val="clear" w:color="auto" w:fill="auto"/>
          <w:lang w:val="hr-HR" w:eastAsia="hr-HR" w:bidi="hr-HR"/>
        </w:rPr>
        <w:t xml:space="preserve"> (halaha) upućivala je Židove na to da i u svakidašnjem životu i u svako doba prakticiraju ljubav prema bližnjemu (b Ketu- bot 105b). To nastojanje odredilo je i Uilelov zahtjev prozelitima: »Idi onamo i uči tuma</w:t>
        <w:softHyphen/>
        <w:t>čenje« (Tore; b Šabat 31a). Hilelovu formula</w:t>
        <w:softHyphen/>
        <w:t>ciju zapovijedi ljubavi prema bližnjemu saču</w:t>
        <w:softHyphen/>
        <w:t>vala je Mišna: »Ljubi stvorenja!« (Avot 1,12), tj. sva bića što ih je stvorio Bog, u svojoj re</w:t>
        <w:softHyphen/>
        <w:t>ligiji i izvan nje. (Usp. dodatak na M Avot ZVI/1.)</w:t>
      </w:r>
    </w:p>
    <w:p>
      <w:pPr>
        <w:pStyle w:val="Style20"/>
        <w:keepNext w:val="0"/>
        <w:keepLines w:val="0"/>
        <w:widowControl w:val="0"/>
        <w:numPr>
          <w:ilvl w:val="0"/>
          <w:numId w:val="265"/>
        </w:numPr>
        <w:shd w:val="clear" w:color="auto" w:fill="auto"/>
        <w:tabs>
          <w:tab w:pos="255" w:val="left"/>
        </w:tabs>
        <w:bidi w:val="0"/>
        <w:spacing w:before="0" w:after="80" w:line="240" w:lineRule="auto"/>
        <w:ind w:left="0" w:right="0" w:firstLine="0"/>
        <w:jc w:val="both"/>
        <w:sectPr>
          <w:headerReference w:type="default" r:id="rId717"/>
          <w:footerReference w:type="default" r:id="rId718"/>
          <w:headerReference w:type="even" r:id="rId719"/>
          <w:footerReference w:type="even" r:id="rId720"/>
          <w:headerReference w:type="first" r:id="rId721"/>
          <w:footerReference w:type="first" r:id="rId722"/>
          <w:footnotePr>
            <w:pos w:val="pageBottom"/>
            <w:numFmt w:val="decimal"/>
            <w:numRestart w:val="continuous"/>
            <w15:footnoteColumns w:val="1"/>
          </w:footnotePr>
          <w:pgSz w:w="6816" w:h="11006"/>
          <w:pgMar w:top="1017" w:left="190" w:right="189" w:bottom="476" w:header="0" w:footer="3" w:gutter="0"/>
          <w:pgNumType w:start="247"/>
          <w:cols w:num="2" w:space="176"/>
          <w:noEndnote/>
          <w:titlePg/>
          <w:rtlGutter w:val="0"/>
          <w:docGrid w:linePitch="360"/>
        </w:sectPr>
      </w:pPr>
      <w:r>
        <mc:AlternateContent>
          <mc:Choice Requires="wps">
            <w:drawing>
              <wp:anchor distT="50800" distB="254000" distL="114300" distR="114300" simplePos="0" relativeHeight="125829411" behindDoc="0" locked="0" layoutInCell="1" allowOverlap="1">
                <wp:simplePos x="0" y="0"/>
                <wp:positionH relativeFrom="page">
                  <wp:posOffset>154305</wp:posOffset>
                </wp:positionH>
                <wp:positionV relativeFrom="margin">
                  <wp:posOffset>6141720</wp:posOffset>
                </wp:positionV>
                <wp:extent cx="189230" cy="118745"/>
                <wp:wrapTopAndBottom/>
                <wp:docPr id="1544" name="Shape 1544"/>
                <a:graphic xmlns:a="http://schemas.openxmlformats.org/drawingml/2006/main">
                  <a:graphicData uri="http://schemas.microsoft.com/office/word/2010/wordprocessingShape">
                    <wps:wsp>
                      <wps:cNvSpPr txBox="1"/>
                      <wps:spPr>
                        <a:xfrm>
                          <a:ext cx="189230" cy="11874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74d</w:t>
                            </w:r>
                          </w:p>
                        </w:txbxContent>
                      </wps:txbx>
                      <wps:bodyPr wrap="none" lIns="0" tIns="0" rIns="0" bIns="0">
                        <a:noAutoFit/>
                      </wps:bodyPr>
                    </wps:wsp>
                  </a:graphicData>
                </a:graphic>
              </wp:anchor>
            </w:drawing>
          </mc:Choice>
          <mc:Fallback>
            <w:pict>
              <v:shape id="_x0000_s2570" type="#_x0000_t202" style="position:absolute;margin-left:12.15pt;margin-top:483.60000000000002pt;width:14.9pt;height:9.3499999999999996pt;z-index:-125829342;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74d</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U srednjovjekovnim i novijim djelima:</w:t>
      </w:r>
      <w:r>
        <w:rPr>
          <w:rFonts w:ascii="Times New Roman" w:eastAsia="Times New Roman" w:hAnsi="Times New Roman" w:cs="Times New Roman"/>
          <w:color w:val="000000"/>
          <w:spacing w:val="0"/>
          <w:w w:val="100"/>
          <w:position w:val="0"/>
          <w:shd w:val="clear" w:color="auto" w:fill="auto"/>
          <w:lang w:val="hr-HR" w:eastAsia="hr-HR" w:bidi="hr-HR"/>
        </w:rPr>
        <w:t xml:space="preserve"> Za sva srednjovjekovna tumačenja zapovijedi lju</w:t>
        <w:softHyphen/>
        <w:t>bavi prema bližnjemu karakteristično je Maj- monidovo: »Mi pokapamo poganske mrtve, tješimo one koji tuguju za njima i posjeću</w:t>
        <w:softHyphen/>
        <w:t xml:space="preserve">jemo njihove bolesnike, kako to nalaže put mira« (Mišne Tora, </w:t>
      </w:r>
      <w:r>
        <w:rPr>
          <w:rFonts w:ascii="Times New Roman" w:eastAsia="Times New Roman" w:hAnsi="Times New Roman" w:cs="Times New Roman"/>
          <w:color w:val="000000"/>
          <w:spacing w:val="0"/>
          <w:w w:val="100"/>
          <w:position w:val="0"/>
          <w:shd w:val="clear" w:color="auto" w:fill="auto"/>
          <w:lang w:val="en-US" w:eastAsia="en-US" w:bidi="en-US"/>
        </w:rPr>
        <w:t xml:space="preserve">Abel </w:t>
      </w:r>
      <w:r>
        <w:rPr>
          <w:rFonts w:ascii="Times New Roman" w:eastAsia="Times New Roman" w:hAnsi="Times New Roman" w:cs="Times New Roman"/>
          <w:color w:val="000000"/>
          <w:spacing w:val="0"/>
          <w:w w:val="100"/>
          <w:position w:val="0"/>
          <w:shd w:val="clear" w:color="auto" w:fill="auto"/>
          <w:lang w:val="hr-HR" w:eastAsia="hr-HR" w:bidi="hr-HR"/>
        </w:rPr>
        <w:t xml:space="preserve">14,12). S emancipa- </w:t>
      </w:r>
    </w:p>
    <w:p>
      <w:pPr>
        <w:pStyle w:val="Style20"/>
        <w:keepNext w:val="0"/>
        <w:keepLines w:val="0"/>
        <w:widowControl w:val="0"/>
        <w:shd w:val="clear" w:color="auto" w:fill="auto"/>
        <w:tabs>
          <w:tab w:pos="255"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čijom za Židove je prvi put u povijesti čitavo čovječanstvo doista postalo bližnje. Na sličan način židovski su mislioci protumačili to na</w:t>
        <w:softHyphen/>
        <w:t xml:space="preserve">čelo kao opću ljubav prema čovjeku. S. R. llirsch proglasio ju je uvjetom za pravoga Izraelca </w:t>
      </w:r>
      <w:r>
        <w:rPr>
          <w:rFonts w:ascii="Times New Roman" w:eastAsia="Times New Roman" w:hAnsi="Times New Roman" w:cs="Times New Roman"/>
          <w:i/>
          <w:iCs/>
          <w:color w:val="000000"/>
          <w:spacing w:val="0"/>
          <w:w w:val="100"/>
          <w:position w:val="0"/>
          <w:shd w:val="clear" w:color="auto" w:fill="auto"/>
          <w:lang w:val="hr-HR" w:eastAsia="hr-HR" w:bidi="hr-HR"/>
        </w:rPr>
        <w:t xml:space="preserve">(Choreb oder Versuche iiber Jissroels Pflichlen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Zerstreuung,</w:t>
      </w:r>
      <w:r>
        <w:rPr>
          <w:rFonts w:ascii="Times New Roman" w:eastAsia="Times New Roman" w:hAnsi="Times New Roman" w:cs="Times New Roman"/>
          <w:color w:val="000000"/>
          <w:spacing w:val="0"/>
          <w:w w:val="100"/>
          <w:position w:val="0"/>
          <w:shd w:val="clear" w:color="auto" w:fill="auto"/>
          <w:lang w:val="hr-HR" w:eastAsia="hr-HR" w:bidi="hr-HR"/>
        </w:rPr>
        <w:t xml:space="preserve"> 1838). H. </w:t>
      </w:r>
      <w:r>
        <w:rPr>
          <w:rFonts w:ascii="Times New Roman" w:eastAsia="Times New Roman" w:hAnsi="Times New Roman" w:cs="Times New Roman"/>
          <w:color w:val="000000"/>
          <w:spacing w:val="0"/>
          <w:w w:val="100"/>
          <w:position w:val="0"/>
          <w:shd w:val="clear" w:color="auto" w:fill="auto"/>
          <w:lang w:val="en-US" w:eastAsia="en-US" w:bidi="en-US"/>
        </w:rPr>
        <w:t xml:space="preserve">Cohen </w:t>
      </w:r>
      <w:r>
        <w:rPr>
          <w:rFonts w:ascii="Times New Roman" w:eastAsia="Times New Roman" w:hAnsi="Times New Roman" w:cs="Times New Roman"/>
          <w:color w:val="000000"/>
          <w:spacing w:val="0"/>
          <w:w w:val="100"/>
          <w:position w:val="0"/>
          <w:shd w:val="clear" w:color="auto" w:fill="auto"/>
          <w:lang w:val="hr-HR" w:eastAsia="hr-HR" w:bidi="hr-HR"/>
        </w:rPr>
        <w:t>vidio je u židovskom monotcizmu posljednji izvor zapovijedi ljubavi prema bližnjemu: »I pridošlica, kao bližnji, potječe od jedinoga Bo</w:t>
        <w:softHyphen/>
        <w:t xml:space="preserve">ga, stvoritelja čovjeka«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Vemunft,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1929, 144). Prema L. Baecku, židovstvo je stvorilo »‘bližnjega’...On je shvaćen kao i ja samo ako se smatra da je on kao i ja stvoren na sliku Božju... Ovdje nema ‘čovjeka’ bez ‘bližnjega’, nema vjere u Boga bez vjere u nje</w:t>
        <w:softHyphen/>
        <w:t xml:space="preserve">ga kao i u mene«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Wesen des Judentums,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1921, 210 i d ).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color w:val="000000"/>
          <w:spacing w:val="0"/>
          <w:w w:val="100"/>
          <w:position w:val="0"/>
          <w:shd w:val="clear" w:color="auto" w:fill="auto"/>
          <w:lang w:val="hr-HR" w:eastAsia="hr-HR" w:bidi="hr-HR"/>
        </w:rPr>
        <w:t>shvaćao je lj. p. b. kao »voljom nošenu silu«; ona treba »dopu</w:t>
        <w:softHyphen/>
        <w:t>niti predanost koja se traži u zapovijedi lju</w:t>
        <w:softHyphen/>
        <w:t xml:space="preserve">bavi prema Bogu... Ljubav prema Bogu treba se izraziti u ljubavi prema bližnjemu«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Erlosung,</w:t>
      </w:r>
      <w:r>
        <w:rPr>
          <w:rFonts w:ascii="Times New Roman" w:eastAsia="Times New Roman" w:hAnsi="Times New Roman" w:cs="Times New Roman"/>
          <w:color w:val="000000"/>
          <w:spacing w:val="0"/>
          <w:w w:val="100"/>
          <w:position w:val="0"/>
          <w:shd w:val="clear" w:color="auto" w:fill="auto"/>
          <w:lang w:val="hr-HR" w:eastAsia="hr-HR" w:bidi="hr-HR"/>
        </w:rPr>
        <w:t xml:space="preserve"> 1921, 238 i d.). Za M. Bubera postoje susreti čovjeka i Boga kojim čovjek postaje drukčiji. Bog je izgovorio prvo TI; čo</w:t>
        <w:softHyphen/>
        <w:t>vjek to može ponoviti i prenijeti na bližnjega; to postaje simbolom povezanosti Božje ljuba</w:t>
        <w:softHyphen/>
        <w:t>vi i ljubavi prema bližnjemu. Kao što je po</w:t>
        <w:softHyphen/>
        <w:t>jedinac prema zajednici s drugim, tako treba i zajednica Izraela ostati »otvorena« prema čo</w:t>
        <w:softHyphen/>
        <w:t xml:space="preserve">vječanstvu </w:t>
      </w:r>
      <w:r>
        <w:rPr>
          <w:rFonts w:ascii="Times New Roman" w:eastAsia="Times New Roman" w:hAnsi="Times New Roman" w:cs="Times New Roman"/>
          <w:i/>
          <w:iCs/>
          <w:color w:val="000000"/>
          <w:spacing w:val="0"/>
          <w:w w:val="100"/>
          <w:position w:val="0"/>
          <w:shd w:val="clear" w:color="auto" w:fill="auto"/>
          <w:lang w:val="hr-HR" w:eastAsia="hr-HR" w:bidi="hr-HR"/>
        </w:rPr>
        <w:t>(Ich und Du,</w:t>
      </w:r>
      <w:r>
        <w:rPr>
          <w:rFonts w:ascii="Times New Roman" w:eastAsia="Times New Roman" w:hAnsi="Times New Roman" w:cs="Times New Roman"/>
          <w:color w:val="000000"/>
          <w:spacing w:val="0"/>
          <w:w w:val="100"/>
          <w:position w:val="0"/>
          <w:shd w:val="clear" w:color="auto" w:fill="auto"/>
          <w:lang w:val="hr-HR" w:eastAsia="hr-HR" w:bidi="hr-HR"/>
        </w:rPr>
        <w:t xml:space="preserve"> 1923; </w:t>
      </w:r>
      <w:r>
        <w:rPr>
          <w:rFonts w:ascii="Times New Roman" w:eastAsia="Times New Roman" w:hAnsi="Times New Roman" w:cs="Times New Roman"/>
          <w:i/>
          <w:iCs/>
          <w:color w:val="000000"/>
          <w:spacing w:val="0"/>
          <w:w w:val="100"/>
          <w:position w:val="0"/>
          <w:shd w:val="clear" w:color="auto" w:fill="auto"/>
          <w:lang w:val="en-US" w:eastAsia="en-US" w:bidi="en-US"/>
        </w:rPr>
        <w:t xml:space="preserve">Zwiesprache, </w:t>
      </w:r>
      <w:r>
        <w:rPr>
          <w:rFonts w:ascii="Times New Roman" w:eastAsia="Times New Roman" w:hAnsi="Times New Roman" w:cs="Times New Roman"/>
          <w:color w:val="000000"/>
          <w:spacing w:val="0"/>
          <w:w w:val="100"/>
          <w:position w:val="0"/>
          <w:shd w:val="clear" w:color="auto" w:fill="auto"/>
          <w:lang w:val="hr-HR" w:eastAsia="hr-HR" w:bidi="hr-HR"/>
        </w:rPr>
        <w:t xml:space="preserve">1932; </w:t>
      </w:r>
      <w:r>
        <w:rPr>
          <w:rFonts w:ascii="Times New Roman" w:eastAsia="Times New Roman" w:hAnsi="Times New Roman" w:cs="Times New Roman"/>
          <w:i/>
          <w:iCs/>
          <w:color w:val="000000"/>
          <w:spacing w:val="0"/>
          <w:w w:val="100"/>
          <w:position w:val="0"/>
          <w:shd w:val="clear" w:color="auto" w:fill="auto"/>
          <w:lang w:val="hr-HR" w:eastAsia="hr-HR" w:bidi="hr-HR"/>
        </w:rPr>
        <w:t>Hebraischer Humanismus,</w:t>
      </w:r>
      <w:r>
        <w:rPr>
          <w:rFonts w:ascii="Times New Roman" w:eastAsia="Times New Roman" w:hAnsi="Times New Roman" w:cs="Times New Roman"/>
          <w:color w:val="000000"/>
          <w:spacing w:val="0"/>
          <w:w w:val="100"/>
          <w:position w:val="0"/>
          <w:shd w:val="clear" w:color="auto" w:fill="auto"/>
          <w:lang w:val="hr-HR" w:eastAsia="hr-HR" w:bidi="hr-HR"/>
        </w:rPr>
        <w:t xml:space="preserve"> 1941).</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L. Strack/P. Billcrbcck, </w:t>
      </w:r>
      <w:r>
        <w:rPr>
          <w:i/>
          <w:iCs/>
          <w:color w:val="000000"/>
          <w:spacing w:val="0"/>
          <w:w w:val="100"/>
          <w:position w:val="0"/>
          <w:shd w:val="clear" w:color="auto" w:fill="auto"/>
          <w:lang w:val="hr-HR" w:eastAsia="hr-HR" w:bidi="hr-HR"/>
        </w:rPr>
        <w:t xml:space="preserve">Kommentar zum Neuen </w:t>
      </w:r>
      <w:r>
        <w:rPr>
          <w:i/>
          <w:iCs/>
          <w:color w:val="000000"/>
          <w:spacing w:val="0"/>
          <w:w w:val="100"/>
          <w:position w:val="0"/>
          <w:shd w:val="clear" w:color="auto" w:fill="auto"/>
        </w:rPr>
        <w:t xml:space="preserve">'Ifilament </w:t>
      </w:r>
      <w:r>
        <w:rPr>
          <w:i/>
          <w:iCs/>
          <w:color w:val="000000"/>
          <w:spacing w:val="0"/>
          <w:w w:val="100"/>
          <w:position w:val="0"/>
          <w:shd w:val="clear" w:color="auto" w:fill="auto"/>
          <w:lang w:val="hr-HR" w:eastAsia="hr-HR" w:bidi="hr-HR"/>
        </w:rPr>
        <w:t xml:space="preserve">aus </w:t>
      </w:r>
      <w:r>
        <w:rPr>
          <w:i/>
          <w:iCs/>
          <w:color w:val="000000"/>
          <w:spacing w:val="0"/>
          <w:w w:val="100"/>
          <w:position w:val="0"/>
          <w:shd w:val="clear" w:color="auto" w:fill="auto"/>
        </w:rPr>
        <w:t xml:space="preserve">Talmud </w:t>
      </w:r>
      <w:r>
        <w:rPr>
          <w:i/>
          <w:iCs/>
          <w:color w:val="000000"/>
          <w:spacing w:val="0"/>
          <w:w w:val="100"/>
          <w:position w:val="0"/>
          <w:shd w:val="clear" w:color="auto" w:fill="auto"/>
          <w:lang w:val="hr-HR" w:eastAsia="hr-HR" w:bidi="hr-HR"/>
        </w:rPr>
        <w:t>unci Miđrasch,</w:t>
      </w:r>
      <w:r>
        <w:rPr>
          <w:color w:val="000000"/>
          <w:spacing w:val="0"/>
          <w:w w:val="100"/>
          <w:position w:val="0"/>
          <w:shd w:val="clear" w:color="auto" w:fill="auto"/>
          <w:lang w:val="hr-HR" w:eastAsia="hr-HR" w:bidi="hr-HR"/>
        </w:rPr>
        <w:t xml:space="preserve"> 1.</w:t>
      </w:r>
      <w:r>
        <w:rPr>
          <w:color w:val="000000"/>
          <w:spacing w:val="0"/>
          <w:w w:val="100"/>
          <w:position w:val="0"/>
          <w:shd w:val="clear" w:color="auto" w:fill="auto"/>
          <w:vertAlign w:val="superscript"/>
          <w:lang w:val="hr-HR" w:eastAsia="hr-HR" w:bidi="hr-HR"/>
        </w:rPr>
        <w:t>7</w:t>
      </w:r>
      <w:r>
        <w:rPr>
          <w:color w:val="000000"/>
          <w:spacing w:val="0"/>
          <w:w w:val="100"/>
          <w:position w:val="0"/>
          <w:shd w:val="clear" w:color="auto" w:fill="auto"/>
          <w:lang w:val="hr-HR" w:eastAsia="hr-HR" w:bidi="hr-HR"/>
        </w:rPr>
        <w:t>1978, 353 i d.</w:t>
      </w:r>
    </w:p>
    <w:p>
      <w:pPr>
        <w:pStyle w:val="Style74"/>
        <w:keepNext w:val="0"/>
        <w:keepLines w:val="0"/>
        <w:widowControl w:val="0"/>
        <w:shd w:val="clear" w:color="auto" w:fill="auto"/>
        <w:bidi w:val="0"/>
        <w:spacing w:before="0"/>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D. VETriiR</w:t>
      </w:r>
    </w:p>
    <w:p>
      <w:pPr>
        <w:pStyle w:val="Style63"/>
        <w:keepNext/>
        <w:keepLines/>
        <w:widowControl w:val="0"/>
        <w:numPr>
          <w:ilvl w:val="0"/>
          <w:numId w:val="263"/>
        </w:numPr>
        <w:shd w:val="clear" w:color="auto" w:fill="auto"/>
        <w:tabs>
          <w:tab w:pos="260" w:val="left"/>
        </w:tabs>
        <w:bidi w:val="0"/>
        <w:spacing w:before="0" w:line="216" w:lineRule="auto"/>
        <w:ind w:left="0" w:right="0" w:firstLine="0"/>
        <w:jc w:val="both"/>
      </w:pPr>
      <w:bookmarkStart w:id="177" w:name="bookmark17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7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Treba brižljivo razlikovati dva značenja ovoga izraza, naime, lj. p. b. u smislu ljubavi prema svakomu i zatim u smislu ljubavi prema ono</w:t>
        <w:softHyphen/>
        <w:t>mu koji nam je najbliži.</w:t>
      </w:r>
    </w:p>
    <w:p>
      <w:pPr>
        <w:pStyle w:val="Style20"/>
        <w:keepNext w:val="0"/>
        <w:keepLines w:val="0"/>
        <w:widowControl w:val="0"/>
        <w:numPr>
          <w:ilvl w:val="0"/>
          <w:numId w:val="267"/>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Kada Isus u Mt 22,38 na pitanje o najvažni</w:t>
        <w:softHyphen/>
        <w:t>joj zapovijedi odgovara: »Ljubi bližnjega svoga (plesion = koji stoji blizu) kao samoga sebe!«, tada time jednoznačno zahtijeva etički univerzalizam; tj. na pitanje tko je bližnji, Isus odgovara i s njime čitav NZ: svako ljudsko biće. Zahtjev da ljubimo bližnjega okreće se tako protiv svakog oblika etničkog partikula</w:t>
        <w:softHyphen/>
        <w:t>rizma prema kojem bi se npr. trebao voljeti samo plemenski pripadnik, sunarodnjak ili pri</w:t>
        <w:softHyphen/>
        <w:t>padnik vlastite religijske zajednice. »Bližnji« se ovdje ne shvaća komparativno nego jed</w:t>
        <w:softHyphen/>
      </w:r>
      <w:r>
        <w:rPr>
          <w:rFonts w:ascii="Times New Roman" w:eastAsia="Times New Roman" w:hAnsi="Times New Roman" w:cs="Times New Roman"/>
          <w:color w:val="000000"/>
          <w:spacing w:val="0"/>
          <w:w w:val="100"/>
          <w:position w:val="0"/>
          <w:shd w:val="clear" w:color="auto" w:fill="auto"/>
          <w:lang w:val="hr-HR" w:eastAsia="hr-HR" w:bidi="hr-HR"/>
        </w:rPr>
        <w:t>nostavno stoji za »svakoga čovjeka«. LJ NZ i u teologiji bližnji vrijedi kao bitan aspekt ljubavi prema Bogu. Ljubav koja se zahtijeva mora biti univerzalna, jer Bog ljubi svakoga čovjeka bez razlike i On ljubi svakoga čovjeka, jer svatko je Njegova slika i prilika. Shvaća li se ta čovjekova sličnost kao posebno osobno dosto</w:t>
        <w:softHyphen/>
        <w:t>janstvo, tada to znači da je svaki čovjek sam po sebi vrijednost ili svrha. Prema tomu, unu</w:t>
        <w:softHyphen/>
        <w:t>tarnji razlog za univerzalnost ljubavi, koja se zahtijeva, treba vidjeti u svrsi koju čovjek ima sam po sebi. Isto osobno dostojanstvo ima i neprijatelj; stoga je u NZ i neprijatelj izričito uključen u univerzalnost ljubavi koja se zah</w:t>
        <w:softHyphen/>
        <w:t>tijeva. Ljubav prema neprijatelju treba gledati kao zbilju i kamen kušnje za nepristranost lju</w:t>
        <w:softHyphen/>
        <w:t>bavi. Ako netko pravi razliku između prija</w:t>
        <w:softHyphen/>
        <w:t>telja i neprijatelja u pogledu ljubavi koja se od njega zahtijeva, tada bi zauzeo stajalište pris</w:t>
        <w:softHyphen/>
        <w:t>tranog egoizma. Jer, u čemu se razlikuje pri</w:t>
        <w:softHyphen/>
        <w:t>jatelj od neprijatelja? Prijatelj želi čovjeku do</w:t>
        <w:softHyphen/>
        <w:t>bro, a neprijatelj zlo. Dakle, gledište prema kojem se prijatelj razlikuje od neprijatelja, vlastito je dobro i zlo: prijatelj hoće koristiti, neprijatelj škoditi. Kada bi netko volio samo prijatelja, a ne i neprijatelja, tada bi konačno volio samoga sebe jer i prijatelja bi tada volio samo kao sredstvo za osiguranje vlastitog bo</w:t>
        <w:softHyphen/>
        <w:t>ljitka. Samo ljubav prema prijatelju, koja is</w:t>
        <w:softHyphen/>
        <w:t>ključuje ljubav prema neprijatelju, pristrani je egoizam u kojem se daje prednost samomu sebi pred svima drugima samo zato jer smo to mi sami. To identificiranje ljubavi samo pre</w:t>
        <w:softHyphen/>
        <w:t>ma prijatelju s ćudoredno neprihvatljivim egoizmom izričito zastupa NZ. U Lk 6,27-33 kaže se: »Ljubite svoje neprijatelje! Činite do</w:t>
        <w:softHyphen/>
        <w:t>bro onima koji vas mrze! Blagoslivljajte one koji vas proklinju! Molite za one koji vas ogo</w:t>
        <w:softHyphen/>
        <w:t>varaju! ... Ako ljubite one koji vas ljube, kak</w:t>
        <w:softHyphen/>
        <w:t>vu nagradu zaslužujete? 1 grcšnici ljube one koji njih ljube.« Pod ‘ljubavlju’ se - kao što proizlazi iz paralelno formulirane zapovijedi ljubavi prema Bogu - prvenstveno razumijeva uvažavanje, priznavanje, poštovanje. Svaki čo</w:t>
        <w:softHyphen/>
        <w:t>vjek kao osoba zaslužuje zbog samoga sebe da bude na isti način uvažavan, priznat i pošto</w:t>
        <w:softHyphen/>
        <w:t>van. Iz toga neposredno proizlazi zahtjev za univerzalnom dobronamjernošću: Tko ljubi svoje bližnje, misli na njihovo dobro, želi i nada se da će im biti dobro. Od ove ljubavi kao dobronamjernog raspoloženja treba razli</w:t>
        <w:softHyphen/>
        <w:t xml:space="preserve">kovati ljubav kao čin koji iz toga imanentnom </w:t>
      </w:r>
      <w:r>
        <w:rPr>
          <w:rFonts w:ascii="Times New Roman" w:eastAsia="Times New Roman" w:hAnsi="Times New Roman" w:cs="Times New Roman"/>
          <w:color w:val="000000"/>
          <w:spacing w:val="0"/>
          <w:w w:val="100"/>
          <w:position w:val="0"/>
          <w:shd w:val="clear" w:color="auto" w:fill="auto"/>
          <w:lang w:val="hr-HR" w:eastAsia="hr-HR" w:bidi="hr-HR"/>
        </w:rPr>
        <w:t>logikom dobronamjernosti nužno proizlazi. No, znači li to sada da svaki pojedinac ima dužnost djelotvorno sc brinuti o dobru svih ljudi? Baš i ne! Ni Isus nije tako mislio. Jer, ljubav kao čin, udara o granice (npr. onoga što mi je moguće) koje ne poznaje ljubav kao raspoloženje. Uz pretpostavku etičkog univer</w:t>
        <w:softHyphen/>
        <w:t>zalizma (univerzalne dobronamjernosti), po</w:t>
        <w:softHyphen/>
        <w:t>stavlja se pitanje o razini postupaka: Kako se u suradnji svih sa svima može uistinu najbolje ostvariti dobro svih? Sigurno ne tako da se svatko treba brinuti za svakoga na isti način; tada vjerojatno nitko ne bi bio zbrinut. Radije tako da se prava i dužnosti raspodijele, da sc dakle putem društvenih institucija postave prioriteti koji pokazuju tko sc za koga treba najprije brinuti.</w:t>
      </w:r>
    </w:p>
    <w:p>
      <w:pPr>
        <w:pStyle w:val="Style20"/>
        <w:keepNext w:val="0"/>
        <w:keepLines w:val="0"/>
        <w:widowControl w:val="0"/>
        <w:numPr>
          <w:ilvl w:val="0"/>
          <w:numId w:val="267"/>
        </w:numPr>
        <w:shd w:val="clear" w:color="auto" w:fill="auto"/>
        <w:tabs>
          <w:tab w:pos="260" w:val="left"/>
        </w:tabs>
        <w:bidi w:val="0"/>
        <w:spacing w:before="0" w:after="8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svezi institucionalnih naputaka o pra</w:t>
        <w:softHyphen/>
        <w:t>vima i dužnostima u katoličkoj moralki govori se o ljubavi prema bližnjem u drugačijem smislu nego što je novozavjetni smisao. Razli</w:t>
        <w:softHyphen/>
        <w:t>kuje se između bliskog, bližeg i najbližeg, dakle, uz riječ »bližnji« upotrebljava se i su</w:t>
        <w:softHyphen/>
        <w:t>perlativ najbliži. Najbliži je onaj za kojega se najprije moram zalagati. Primjerice, u našem kulturnom krugu vlastita djeca su najbliža, ne</w:t>
        <w:softHyphen/>
        <w:t>ćaci i nećakinje su bliži i konačno tuđa djeca su bliska. Time se želi reći da sc odrasli mo</w:t>
        <w:softHyphen/>
        <w:t>raju najprije brinuti o vlastitoj djeci koja su s njima u bliskom srodstvu i konačno za djecu s kojom nisu u srodstvu. Takvi institucionalni naputci koji navode tko sc za koga i u kakvom pogledu treba najprije brinuti služe općenitom rješavanju suparničkih vrijednosti na društve</w:t>
        <w:softHyphen/>
        <w:t>nom području. Cesto se formuliraju u sažetim rečenicama u kojima sc dakle kaže tko je u kakvom pogledu čiji najbliži: roditelji se tre</w:t>
        <w:softHyphen/>
        <w:t>baju brinuti za dobro svoje djece! Poštuj oca i majku! Treba sc pridržavati ugovora! Obeća</w:t>
        <w:softHyphen/>
        <w:t>nja treba ispuniti! Počinjenu štetu treba na</w:t>
        <w:softHyphen/>
        <w:t>doknaditi! Takva formuliranja zvuče kao opća načela, ali nc misli se tako - što je u brojnim institucijama jasno istaknuto izriči</w:t>
        <w:softHyphen/>
        <w:t>tim navođenjem iznimaka. Dužnosti koje su formulirane kao opća načela vrijede u pravi</w:t>
        <w:softHyphen/>
        <w:t xml:space="preserve">lu, dakle, presumptivne su ili dužnosti prima </w:t>
      </w:r>
      <w:r>
        <w:rPr>
          <w:rFonts w:ascii="Times New Roman" w:eastAsia="Times New Roman" w:hAnsi="Times New Roman" w:cs="Times New Roman"/>
          <w:color w:val="000000"/>
          <w:spacing w:val="0"/>
          <w:w w:val="100"/>
          <w:position w:val="0"/>
          <w:shd w:val="clear" w:color="auto" w:fill="auto"/>
          <w:lang w:val="en-US" w:eastAsia="en-US" w:bidi="en-US"/>
        </w:rPr>
        <w:t>facie.</w:t>
      </w:r>
    </w:p>
    <w:p>
      <w:pPr>
        <w:pStyle w:val="Style56"/>
        <w:keepNext w:val="0"/>
        <w:keepLines w:val="0"/>
        <w:widowControl w:val="0"/>
        <w:shd w:val="clear" w:color="auto" w:fill="auto"/>
        <w:tabs>
          <w:tab w:pos="2400" w:val="left"/>
        </w:tabs>
        <w:bidi w:val="0"/>
        <w:spacing w:before="0" w:after="80" w:line="240" w:lineRule="auto"/>
        <w:ind w:left="0" w:right="0" w:firstLine="0"/>
        <w:jc w:val="both"/>
      </w:pPr>
      <w:r>
        <w:rPr>
          <w:color w:val="000000"/>
          <w:spacing w:val="0"/>
          <w:w w:val="100"/>
          <w:position w:val="0"/>
          <w:shd w:val="clear" w:color="auto" w:fill="auto"/>
          <w:lang w:val="hr-HR" w:eastAsia="hr-HR" w:bidi="hr-HR"/>
        </w:rPr>
        <w:t xml:space="preserve">Lit.: C. S. </w:t>
      </w:r>
      <w:r>
        <w:rPr>
          <w:color w:val="000000"/>
          <w:spacing w:val="0"/>
          <w:w w:val="100"/>
          <w:position w:val="0"/>
          <w:shd w:val="clear" w:color="auto" w:fill="auto"/>
        </w:rPr>
        <w:t xml:space="preserve">Lewis, </w:t>
      </w:r>
      <w:r>
        <w:rPr>
          <w:i/>
          <w:iCs/>
          <w:color w:val="000000"/>
          <w:spacing w:val="0"/>
          <w:w w:val="100"/>
          <w:position w:val="0"/>
          <w:shd w:val="clear" w:color="auto" w:fill="auto"/>
          <w:lang w:val="hr-HR" w:eastAsia="hr-HR" w:bidi="hr-HR"/>
        </w:rPr>
        <w:t>Vier Arten der Liebe,</w:t>
      </w:r>
      <w:r>
        <w:rPr>
          <w:color w:val="000000"/>
          <w:spacing w:val="0"/>
          <w:w w:val="100"/>
          <w:position w:val="0"/>
          <w:shd w:val="clear" w:color="auto" w:fill="auto"/>
          <w:lang w:val="hr-HR" w:eastAsia="hr-HR" w:bidi="hr-HR"/>
        </w:rPr>
        <w:t xml:space="preserve"> F.insicdeln 1961; B. </w:t>
      </w:r>
      <w:r>
        <w:rPr>
          <w:color w:val="000000"/>
          <w:spacing w:val="0"/>
          <w:w w:val="100"/>
          <w:position w:val="0"/>
          <w:shd w:val="clear" w:color="auto" w:fill="auto"/>
        </w:rPr>
        <w:t xml:space="preserve">Schuller, </w:t>
      </w:r>
      <w:r>
        <w:rPr>
          <w:i/>
          <w:iCs/>
          <w:color w:val="000000"/>
          <w:spacing w:val="0"/>
          <w:w w:val="100"/>
          <w:position w:val="0"/>
          <w:shd w:val="clear" w:color="auto" w:fill="auto"/>
        </w:rPr>
        <w:t>Die Regrundung siMlicher Urteiie,</w:t>
      </w:r>
      <w:r>
        <w:rPr>
          <w:color w:val="000000"/>
          <w:spacing w:val="0"/>
          <w:w w:val="100"/>
          <w:position w:val="0"/>
          <w:shd w:val="clear" w:color="auto" w:fill="auto"/>
        </w:rPr>
        <w:t xml:space="preserve"> Dusseldorf *1980. 61-67. 107-1)5</w:t>
        <w:tab/>
        <w:t xml:space="preserve">R.G1NTERS </w:t>
      </w:r>
      <w:r>
        <w:rPr>
          <w:b/>
          <w:bCs/>
          <w:color w:val="000000"/>
          <w:spacing w:val="0"/>
          <w:w w:val="100"/>
          <w:position w:val="0"/>
          <w:shd w:val="clear" w:color="auto" w:fill="auto"/>
        </w:rPr>
        <w:t xml:space="preserve">3. </w:t>
      </w: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islamu je snažno naglašena jednakost medu ljudima bez obzira na rasu i naciju. Otuda zahtjev za maksimalnom međunarodnom soli- darnošću i spremnošću za pomoć. Vrhovno načelo društvenoga ponašanja po Kuranu gla</w:t>
        <w:softHyphen/>
        <w:t>si: »Vjernici su braća«. To ne znači da iz soli</w:t>
        <w:softHyphen/>
        <w:t>darnosti trebaju biti isključeni drugi ljudi, oni koji nc vjeruju. Vjera je jedino sigurna pod</w:t>
        <w:softHyphen/>
        <w:t>loga na kojoj se uopće može graditi učinko</w:t>
        <w:softHyphen/>
        <w:t>vito svjetsko bratstvo. Bez vjere u Boga nedo</w:t>
        <w:softHyphen/>
        <w:t>staje oslonac i sidrište takvoga bratstva. Zapo</w:t>
        <w:softHyphen/>
        <w:t>vijed pravednosti zauzima u islamu prividno važnije mjesto od zapovijedi ljubavi. Jer pra</w:t>
        <w:softHyphen/>
        <w:t>vednost je mjerljiva, opipljiva i lišena apstrak</w:t>
        <w:softHyphen/>
        <w:t>cija. Tamo gdje ona izostaje kao temeljna pret</w:t>
        <w:softHyphen/>
        <w:t>postavka društvenoga ponašanja, tu također ne može biti nikakve iskrene ljubavi. Ljubav je dakako i za islam jedna viša forma društve</w:t>
        <w:softHyphen/>
        <w:t xml:space="preserve">noga odnosa. Ona je uostalom alfa i </w:t>
      </w:r>
      <w:r>
        <w:rPr>
          <w:rFonts w:ascii="Times New Roman" w:eastAsia="Times New Roman" w:hAnsi="Times New Roman" w:cs="Times New Roman"/>
          <w:color w:val="000000"/>
          <w:spacing w:val="0"/>
          <w:w w:val="100"/>
          <w:position w:val="0"/>
          <w:shd w:val="clear" w:color="auto" w:fill="auto"/>
          <w:lang w:val="en-US" w:eastAsia="en-US" w:bidi="en-US"/>
        </w:rPr>
        <w:t xml:space="preserve">omega </w:t>
      </w:r>
      <w:r>
        <w:rPr>
          <w:rFonts w:ascii="Times New Roman" w:eastAsia="Times New Roman" w:hAnsi="Times New Roman" w:cs="Times New Roman"/>
          <w:color w:val="000000"/>
          <w:spacing w:val="0"/>
          <w:w w:val="100"/>
          <w:position w:val="0"/>
          <w:shd w:val="clear" w:color="auto" w:fill="auto"/>
          <w:lang w:val="hr-HR" w:eastAsia="hr-HR" w:bidi="hr-HR"/>
        </w:rPr>
        <w:t>mističke pobožnosti. Ali se ona može osjetiti i u prvome konceptu nauka. Pozvan da opiše »pravednika« Muhamed je kazao: »Pravedan je onaj čovjek koji drugim ljudima pruža ono</w:t>
        <w:softHyphen/>
        <w:t>liko ljubavi koliko od njih priželjkuje za sebe«. S obzirom na to razumijevanje pravednosti svakako postaje suvišan izričiti zahtjev za lju</w:t>
        <w:softHyphen/>
        <w:t>bljenjem neprijatelja. Ono kao pojam nedo</w:t>
        <w:softHyphen/>
        <w:t xml:space="preserve">staje u pravovjernom islamu. Utoliko se češće islamski mistici zalažu za oprost, dobrostivost i ljubav prema neprijatelju, pa tako recimo pobožni pjesnik </w:t>
      </w:r>
      <w:r>
        <w:rPr>
          <w:rFonts w:ascii="Times New Roman" w:eastAsia="Times New Roman" w:hAnsi="Times New Roman" w:cs="Times New Roman"/>
          <w:color w:val="000000"/>
          <w:spacing w:val="0"/>
          <w:w w:val="100"/>
          <w:position w:val="0"/>
          <w:shd w:val="clear" w:color="auto" w:fill="auto"/>
          <w:lang w:val="en-US" w:eastAsia="en-US" w:bidi="en-US"/>
        </w:rPr>
        <w:t xml:space="preserve">‘Abdurrahman </w:t>
      </w:r>
      <w:r>
        <w:rPr>
          <w:rFonts w:ascii="Times New Roman" w:eastAsia="Times New Roman" w:hAnsi="Times New Roman" w:cs="Times New Roman"/>
          <w:color w:val="000000"/>
          <w:spacing w:val="0"/>
          <w:w w:val="100"/>
          <w:position w:val="0"/>
          <w:shd w:val="clear" w:color="auto" w:fill="auto"/>
          <w:lang w:val="hr-HR" w:eastAsia="hr-HR" w:bidi="hr-HR"/>
        </w:rPr>
        <w:t>DjamI (u. 1492): Uzvrati zlo dobrim djelom, Jer zlo sc osve</w:t>
        <w:softHyphen/>
        <w:t>ćuje, premda nc odjednom. Blagoslov dobrih djela koja poklanjaš neprijatelju, Jest najbolje sjeme dobre države.</w:t>
      </w:r>
    </w:p>
    <w:p>
      <w:pPr>
        <w:pStyle w:val="Style20"/>
        <w:keepNext w:val="0"/>
        <w:keepLines w:val="0"/>
        <w:widowControl w:val="0"/>
        <w:shd w:val="clear" w:color="auto" w:fill="auto"/>
        <w:bidi w:val="0"/>
        <w:spacing w:before="0" w:after="0" w:line="254" w:lineRule="auto"/>
        <w:ind w:left="0" w:right="0" w:firstLine="0"/>
        <w:jc w:val="both"/>
        <w:sectPr>
          <w:headerReference w:type="default" r:id="rId723"/>
          <w:footerReference w:type="default" r:id="rId724"/>
          <w:headerReference w:type="even" r:id="rId725"/>
          <w:footerReference w:type="even" r:id="rId726"/>
          <w:headerReference w:type="first" r:id="rId727"/>
          <w:footerReference w:type="first" r:id="rId728"/>
          <w:footnotePr>
            <w:pos w:val="pageBottom"/>
            <w:numFmt w:val="decimal"/>
            <w:numRestart w:val="continuous"/>
            <w15:footnoteColumns w:val="1"/>
          </w:footnotePr>
          <w:pgSz w:w="6816" w:h="11006"/>
          <w:pgMar w:top="1017" w:left="190" w:right="189" w:bottom="476" w:header="0" w:footer="3" w:gutter="0"/>
          <w:cols w:num="2" w:space="17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islamu je baš kao i u kršćanstvu prisutna predodžba da je milost Božja najbliža onima koje društvo prezire kao neprijatelje i grešni- kc. </w:t>
      </w:r>
      <w:r>
        <w:rPr>
          <w:rFonts w:ascii="Times New Roman" w:eastAsia="Times New Roman" w:hAnsi="Times New Roman" w:cs="Times New Roman"/>
          <w:i/>
          <w:iCs/>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i/>
          <w:iCs/>
          <w:color w:val="000000"/>
          <w:spacing w:val="0"/>
          <w:w w:val="100"/>
          <w:position w:val="0"/>
          <w:shd w:val="clear" w:color="auto" w:fill="auto"/>
          <w:lang w:val="hr-HR" w:eastAsia="hr-HR" w:bidi="hr-HR"/>
        </w:rPr>
        <w:t>as-Sarakhsi,</w:t>
      </w:r>
      <w:r>
        <w:rPr>
          <w:rFonts w:ascii="Times New Roman" w:eastAsia="Times New Roman" w:hAnsi="Times New Roman" w:cs="Times New Roman"/>
          <w:color w:val="000000"/>
          <w:spacing w:val="0"/>
          <w:w w:val="100"/>
          <w:position w:val="0"/>
          <w:shd w:val="clear" w:color="auto" w:fill="auto"/>
          <w:lang w:val="hr-HR" w:eastAsia="hr-HR" w:bidi="hr-HR"/>
        </w:rPr>
        <w:t xml:space="preserve"> učitelj hanefitske pravne škole, na svojoj je samrtničkoj postelji kazao: »Pokopajte me na groblju odbačenih!« Time je kazao da uskrsnuće želi doživjeti u društvu lopova, pijanaca, pljačkaša, kockara i zabludjelih žena. Upitan za razlog te neobične želje, odgovorio je: »Zato što je taj krug osoba bliži Božjoj milosti od onih koji izgaraju u po</w:t>
        <w:softHyphen/>
        <w:t>božnosti«. Kuran opetovano govori o društve</w:t>
        <w:softHyphen/>
        <w:t xml:space="preserve">nim i moralnim dužnostima prema rodbini. Za označavanje rodbine on koristi status </w:t>
      </w:r>
      <w:r>
        <w:rPr>
          <w:rFonts w:ascii="Times New Roman" w:eastAsia="Times New Roman" w:hAnsi="Times New Roman" w:cs="Times New Roman"/>
          <w:color w:val="000000"/>
          <w:spacing w:val="0"/>
          <w:w w:val="100"/>
          <w:position w:val="0"/>
          <w:shd w:val="clear" w:color="auto" w:fill="auto"/>
          <w:lang w:val="en-US" w:eastAsia="en-US" w:bidi="en-US"/>
        </w:rPr>
        <w:t>con</w:t>
        <w:softHyphen/>
        <w:t xml:space="preserve">tractus dhul-qurbh. </w:t>
      </w:r>
      <w:r>
        <w:rPr>
          <w:rFonts w:ascii="Times New Roman" w:eastAsia="Times New Roman" w:hAnsi="Times New Roman" w:cs="Times New Roman"/>
          <w:color w:val="000000"/>
          <w:spacing w:val="0"/>
          <w:w w:val="100"/>
          <w:position w:val="0"/>
          <w:shd w:val="clear" w:color="auto" w:fill="auto"/>
          <w:lang w:val="hr-HR" w:eastAsia="hr-HR" w:bidi="hr-HR"/>
        </w:rPr>
        <w:t xml:space="preserve">Drugi je dio te konstruk-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čije </w:t>
      </w:r>
      <w:r>
        <w:rPr>
          <w:rFonts w:ascii="Times New Roman" w:eastAsia="Times New Roman" w:hAnsi="Times New Roman" w:cs="Times New Roman"/>
          <w:color w:val="000000"/>
          <w:spacing w:val="0"/>
          <w:w w:val="100"/>
          <w:position w:val="0"/>
          <w:shd w:val="clear" w:color="auto" w:fill="auto"/>
          <w:lang w:val="en-US" w:eastAsia="en-US" w:bidi="en-US"/>
        </w:rPr>
        <w:t xml:space="preserve">(qurba) </w:t>
      </w:r>
      <w:r>
        <w:rPr>
          <w:rFonts w:ascii="Times New Roman" w:eastAsia="Times New Roman" w:hAnsi="Times New Roman" w:cs="Times New Roman"/>
          <w:color w:val="000000"/>
          <w:spacing w:val="0"/>
          <w:w w:val="100"/>
          <w:position w:val="0"/>
          <w:shd w:val="clear" w:color="auto" w:fill="auto"/>
          <w:lang w:val="hr-HR" w:eastAsia="hr-HR" w:bidi="hr-HR"/>
        </w:rPr>
        <w:t xml:space="preserve">etimološki povezan s glagolom </w:t>
      </w:r>
      <w:r>
        <w:rPr>
          <w:rFonts w:ascii="Times New Roman" w:eastAsia="Times New Roman" w:hAnsi="Times New Roman" w:cs="Times New Roman"/>
          <w:i/>
          <w:iCs/>
          <w:color w:val="000000"/>
          <w:spacing w:val="0"/>
          <w:w w:val="100"/>
          <w:position w:val="0"/>
          <w:shd w:val="clear" w:color="auto" w:fill="auto"/>
          <w:lang w:val="en-US" w:eastAsia="en-US" w:bidi="en-US"/>
        </w:rPr>
        <w:t>qaruba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(biti blizak). Time bi se ovdje moglo zamisliti i značenje »blizak« ili »bližnji«. Uos</w:t>
        <w:softHyphen/>
        <w:t>talom, najnovija biblijska egzegeza sumnja je li prijevod »bližnji« potpuno adekvatan riječi koja se koristi u izvornom hebrejskom tekstu.</w:t>
      </w:r>
    </w:p>
    <w:p>
      <w:pPr>
        <w:pStyle w:val="Style74"/>
        <w:keepNext w:val="0"/>
        <w:keepLines w:val="0"/>
        <w:widowControl w:val="0"/>
        <w:shd w:val="clear" w:color="auto" w:fill="auto"/>
        <w:bidi w:val="0"/>
        <w:spacing w:before="0" w:after="32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BA1 ić</w:t>
      </w:r>
    </w:p>
    <w:p>
      <w:pPr>
        <w:pStyle w:val="Style33"/>
        <w:keepNext w:val="0"/>
        <w:keepLines w:val="0"/>
        <w:widowControl w:val="0"/>
        <w:shd w:val="clear" w:color="auto" w:fill="auto"/>
        <w:bidi w:val="0"/>
        <w:spacing w:before="0" w:after="1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LJUDSKO PRAVO</w:t>
      </w:r>
    </w:p>
    <w:p>
      <w:pPr>
        <w:pStyle w:val="Style63"/>
        <w:keepNext/>
        <w:keepLines/>
        <w:widowControl w:val="0"/>
        <w:numPr>
          <w:ilvl w:val="0"/>
          <w:numId w:val="269"/>
        </w:numPr>
        <w:shd w:val="clear" w:color="auto" w:fill="auto"/>
        <w:tabs>
          <w:tab w:pos="246" w:val="left"/>
        </w:tabs>
        <w:bidi w:val="0"/>
        <w:spacing w:before="0" w:after="80"/>
        <w:ind w:left="0" w:right="0" w:firstLine="0"/>
        <w:jc w:val="both"/>
      </w:pPr>
      <w:bookmarkStart w:id="178" w:name="bookmark178"/>
      <w:r>
        <w:rPr>
          <w:rFonts w:ascii="Times New Roman" w:eastAsia="Times New Roman" w:hAnsi="Times New Roman" w:cs="Times New Roman"/>
          <w:color w:val="000000"/>
          <w:spacing w:val="0"/>
          <w:w w:val="100"/>
          <w:position w:val="0"/>
          <w:shd w:val="clear" w:color="auto" w:fill="auto"/>
          <w:lang w:val="hr-HR" w:eastAsia="hr-HR" w:bidi="hr-HR"/>
        </w:rPr>
        <w:t>židovski</w:t>
      </w:r>
      <w:bookmarkEnd w:id="17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»Ostvarenje ideala što ga je Izrael donio u svijet.«</w:t>
      </w:r>
      <w:r>
        <w:rPr>
          <w:rFonts w:ascii="Times New Roman" w:eastAsia="Times New Roman" w:hAnsi="Times New Roman" w:cs="Times New Roman"/>
          <w:color w:val="000000"/>
          <w:spacing w:val="0"/>
          <w:w w:val="100"/>
          <w:position w:val="0"/>
          <w:shd w:val="clear" w:color="auto" w:fill="auto"/>
          <w:lang w:val="hr-HR" w:eastAsia="hr-HR" w:bidi="hr-HR"/>
        </w:rPr>
        <w:t xml:space="preserve"> O oslobođenju Židova od srednjovje</w:t>
        <w:softHyphen/>
        <w:t>kovnih specijalnih zakona i njihovu priznava</w:t>
        <w:softHyphen/>
        <w:t>nju ravnopravnim članovima građanskoga druš</w:t>
        <w:softHyphen/>
        <w:t xml:space="preserve">tva javno sc raspravljalo u Njemačkoj od 1781., godine u kojoj se pojavilo slavno djelo </w:t>
      </w:r>
      <w:r>
        <w:rPr>
          <w:rFonts w:ascii="Times New Roman" w:eastAsia="Times New Roman" w:hAnsi="Times New Roman" w:cs="Times New Roman"/>
          <w:i/>
          <w:iCs/>
          <w:color w:val="000000"/>
          <w:spacing w:val="0"/>
          <w:w w:val="100"/>
          <w:position w:val="0"/>
          <w:shd w:val="clear" w:color="auto" w:fill="auto"/>
          <w:lang w:val="en-US" w:eastAsia="en-US" w:bidi="en-US"/>
        </w:rPr>
        <w:t xml:space="preserve">Uber 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biirgerliche Verbesserung der Juden </w:t>
      </w:r>
      <w:r>
        <w:rPr>
          <w:rFonts w:ascii="Times New Roman" w:eastAsia="Times New Roman" w:hAnsi="Times New Roman" w:cs="Times New Roman"/>
          <w:color w:val="000000"/>
          <w:spacing w:val="0"/>
          <w:w w:val="100"/>
          <w:position w:val="0"/>
          <w:shd w:val="clear" w:color="auto" w:fill="auto"/>
          <w:lang w:val="en-US" w:eastAsia="en-US" w:bidi="en-US"/>
        </w:rPr>
        <w:t xml:space="preserve">Christiana Wilhelma </w:t>
      </w:r>
      <w:r>
        <w:rPr>
          <w:rFonts w:ascii="Times New Roman" w:eastAsia="Times New Roman" w:hAnsi="Times New Roman" w:cs="Times New Roman"/>
          <w:color w:val="000000"/>
          <w:spacing w:val="0"/>
          <w:w w:val="100"/>
          <w:position w:val="0"/>
          <w:shd w:val="clear" w:color="auto" w:fill="auto"/>
          <w:lang w:val="hr-HR" w:eastAsia="hr-HR" w:bidi="hr-HR"/>
        </w:rPr>
        <w:t>Dohma. Ali, za razliku od Francuske, u kojoj su Židovi već 1791. postigli punu zakonsku ravnopravnost, u Njemačkoj su prošla još tri naraštaja da bi Židovi na osnovi ustava Reicha iz 1871. dobili ista poli</w:t>
        <w:softHyphen/>
        <w:t>tička i građanska prava kao ostali državljani. Dakako, time se još nisu ostvarile socijalna in</w:t>
        <w:softHyphen/>
        <w:t>tegracija i društvena ravnopravnost. Židovska emancipacija u Europi temeljila se na američ</w:t>
        <w:softHyphen/>
        <w:t>koj Deklaraciji o nezavisnosti iz 1776. i Dek</w:t>
        <w:softHyphen/>
        <w:t xml:space="preserve">laraciji o ljudskim i građanskim pravima iz 1789. godine u Francuskoj. Prosvjetiteljska misao vlada u jeziku i sadržaju </w:t>
      </w:r>
      <w:r>
        <w:rPr>
          <w:rFonts w:ascii="Times New Roman" w:eastAsia="Times New Roman" w:hAnsi="Times New Roman" w:cs="Times New Roman"/>
          <w:i/>
          <w:iCs/>
          <w:color w:val="000000"/>
          <w:spacing w:val="0"/>
          <w:w w:val="100"/>
          <w:position w:val="0"/>
          <w:shd w:val="clear" w:color="auto" w:fill="auto"/>
          <w:lang w:val="en-US" w:eastAsia="en-US" w:bidi="en-US"/>
        </w:rPr>
        <w:t>Declaration des droils de I'homme et du citoyen: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iz nje se izba</w:t>
        <w:softHyphen/>
        <w:t xml:space="preserve">cuju predodžbe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moralnim vrijednostima ut</w:t>
        <w:softHyphen/>
        <w:t>vrđenima zakonom kao političkim sredstvom moći i relativiziraju se »droits naturels« (na</w:t>
        <w:softHyphen/>
        <w:t xml:space="preserve">ravna prava) u naturalističkom smislu u prilog zajedničke koristi. Naprotiv, T. </w:t>
      </w:r>
      <w:r>
        <w:rPr>
          <w:rFonts w:ascii="Times New Roman" w:eastAsia="Times New Roman" w:hAnsi="Times New Roman" w:cs="Times New Roman"/>
          <w:color w:val="000000"/>
          <w:spacing w:val="0"/>
          <w:w w:val="100"/>
          <w:position w:val="0"/>
          <w:shd w:val="clear" w:color="auto" w:fill="auto"/>
          <w:lang w:val="en-US" w:eastAsia="en-US" w:bidi="en-US"/>
        </w:rPr>
        <w:t xml:space="preserve">Jefferson </w:t>
      </w:r>
      <w:r>
        <w:rPr>
          <w:rFonts w:ascii="Times New Roman" w:eastAsia="Times New Roman" w:hAnsi="Times New Roman" w:cs="Times New Roman"/>
          <w:color w:val="000000"/>
          <w:spacing w:val="0"/>
          <w:w w:val="100"/>
          <w:position w:val="0"/>
          <w:shd w:val="clear" w:color="auto" w:fill="auto"/>
          <w:lang w:val="hr-HR" w:eastAsia="hr-HR" w:bidi="hr-HR"/>
        </w:rPr>
        <w:t>for</w:t>
        <w:softHyphen/>
        <w:t xml:space="preserve">mulirao je to za Sjedinjene Države ovako: </w:t>
      </w:r>
      <w:r>
        <w:rPr>
          <w:rFonts w:ascii="Times New Roman" w:eastAsia="Times New Roman" w:hAnsi="Times New Roman" w:cs="Times New Roman"/>
          <w:i/>
          <w:iCs/>
          <w:color w:val="000000"/>
          <w:spacing w:val="0"/>
          <w:w w:val="100"/>
          <w:position w:val="0"/>
          <w:shd w:val="clear" w:color="auto" w:fill="auto"/>
          <w:lang w:val="hr-HR" w:eastAsia="hr-HR" w:bidi="hr-HR"/>
        </w:rPr>
        <w:t xml:space="preserve">»We </w:t>
      </w:r>
      <w:r>
        <w:rPr>
          <w:rFonts w:ascii="Times New Roman" w:eastAsia="Times New Roman" w:hAnsi="Times New Roman" w:cs="Times New Roman"/>
          <w:i/>
          <w:iCs/>
          <w:color w:val="000000"/>
          <w:spacing w:val="0"/>
          <w:w w:val="100"/>
          <w:position w:val="0"/>
          <w:shd w:val="clear" w:color="auto" w:fill="auto"/>
          <w:lang w:val="en-US" w:eastAsia="en-US" w:bidi="en-US"/>
        </w:rPr>
        <w:t>hold these truths to be self-evident, that all men are created equal, that they are endowed by their creator with certain unalienable rights, that among these are life, liberty and the pursuit of happiness.«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(»Smatramo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 xml:space="preserve">su te istine očite,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su svi ljudi stvoreni jednakima, da ih je Stvoritelj obdario određenim neotuđivim pra</w:t>
        <w:softHyphen/>
        <w:t xml:space="preserve">vima, da se u njih ubrajaju život, sloboda i traženje sreće.«) No uvjerenje da su svi ljudi pred svojim Stvoriteljem jednaki i da im je on dao neka neotuđiva prava, vuče korijenje iz Tore Izraela. Doduše, židovska poruka da Bog zahtijeva na zemlji pravo i pravednost i </w:t>
      </w:r>
      <w:r>
        <w:rPr>
          <w:rFonts w:ascii="Times New Roman" w:eastAsia="Times New Roman" w:hAnsi="Times New Roman" w:cs="Times New Roman"/>
          <w:color w:val="000000"/>
          <w:spacing w:val="0"/>
          <w:w w:val="100"/>
          <w:position w:val="0"/>
          <w:shd w:val="clear" w:color="auto" w:fill="auto"/>
          <w:lang w:val="hr-HR" w:eastAsia="hr-HR" w:bidi="hr-HR"/>
        </w:rPr>
        <w:t>postavlja to čovjeku kao egzistencijalnu zada</w:t>
        <w:softHyphen/>
        <w:t>ću, nije se mogla razraditi u srednjovjekov</w:t>
        <w:softHyphen/>
        <w:t>nom kršćanskom svijetu, a u novom vijeku mogla se razviti najprije samo u ograničenom obliku trpeljivosti (tolerancije). Kad je napo</w:t>
        <w:softHyphen/>
        <w:t>sljetku u deklaracijama o jednakosti i ravno</w:t>
        <w:softHyphen/>
        <w:t>pravnosti svih ljudi dobila jasan izraz i stekla opće priznanje, ipak je bilo potrebno građan- sko-libcralni pokret u Europi podsjetiti na to da je poput »Grčke i Rima, možda i više od njih«, židovstvo »zametnuto u svijetu mnogo klica koje su preživjele mnoga stoljeća i napo</w:t>
        <w:softHyphen/>
        <w:t>sljetku dovele do procvata modernoga druš</w:t>
        <w:softHyphen/>
        <w:t>tva... U temeljima našega modernog društva ima kamenja iz Palestine... U mnogim pogle</w:t>
        <w:softHyphen/>
        <w:t xml:space="preserve">dima revolucija je samo ostvarenje ideala što ga je Izrael dao svijetu« </w:t>
      </w:r>
      <w:r>
        <w:rPr>
          <w:rFonts w:ascii="Times New Roman" w:eastAsia="Times New Roman" w:hAnsi="Times New Roman" w:cs="Times New Roman"/>
          <w:color w:val="000000"/>
          <w:spacing w:val="0"/>
          <w:w w:val="100"/>
          <w:position w:val="0"/>
          <w:shd w:val="clear" w:color="auto" w:fill="auto"/>
          <w:lang w:val="en-US" w:eastAsia="en-US" w:bidi="en-US"/>
        </w:rPr>
        <w:t xml:space="preserve">(A. Leroy-Beaulieu, </w:t>
      </w:r>
      <w:r>
        <w:rPr>
          <w:rFonts w:ascii="Times New Roman" w:eastAsia="Times New Roman" w:hAnsi="Times New Roman" w:cs="Times New Roman"/>
          <w:i/>
          <w:iCs/>
          <w:color w:val="000000"/>
          <w:spacing w:val="0"/>
          <w:w w:val="100"/>
          <w:position w:val="0"/>
          <w:shd w:val="clear" w:color="auto" w:fill="auto"/>
          <w:lang w:val="en-US" w:eastAsia="en-US" w:bidi="en-US"/>
        </w:rPr>
        <w:t xml:space="preserve">Israel chez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les </w:t>
      </w:r>
      <w:r>
        <w:rPr>
          <w:rFonts w:ascii="Times New Roman" w:eastAsia="Times New Roman" w:hAnsi="Times New Roman" w:cs="Times New Roman"/>
          <w:i/>
          <w:iCs/>
          <w:color w:val="000000"/>
          <w:spacing w:val="0"/>
          <w:w w:val="100"/>
          <w:position w:val="0"/>
          <w:shd w:val="clear" w:color="auto" w:fill="auto"/>
          <w:lang w:val="en-US" w:eastAsia="en-US" w:bidi="en-US"/>
        </w:rPr>
        <w:t>nations,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1893, 65 i d.).</w:t>
      </w:r>
    </w:p>
    <w:p>
      <w:pPr>
        <w:pStyle w:val="Style20"/>
        <w:keepNext w:val="0"/>
        <w:keepLines w:val="0"/>
        <w:widowControl w:val="0"/>
        <w:numPr>
          <w:ilvl w:val="0"/>
          <w:numId w:val="261"/>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»Svi su ljudi pred njim (Bogom) jednaki.« </w:t>
      </w:r>
      <w:r>
        <w:rPr>
          <w:rFonts w:ascii="Times New Roman" w:eastAsia="Times New Roman" w:hAnsi="Times New Roman" w:cs="Times New Roman"/>
          <w:color w:val="000000"/>
          <w:spacing w:val="0"/>
          <w:w w:val="100"/>
          <w:position w:val="0"/>
          <w:shd w:val="clear" w:color="auto" w:fill="auto"/>
          <w:lang w:val="hr-HR" w:eastAsia="hr-HR" w:bidi="hr-HR"/>
        </w:rPr>
        <w:t>Izrael je u došljaku ponajprije gledao bližnje</w:t>
        <w:softHyphen/>
        <w:t>ga: »Ako se stranac nastani u vašoj zemlji, ne</w:t>
        <w:softHyphen/>
        <w:t>mojte ga ugnjetavati, neka vam bude kao su</w:t>
        <w:softHyphen/>
        <w:t xml:space="preserve">narodnjak; ljubi ga kao sebe samoga, jer i vi ste bili stranci u egipatskoj zemlji«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19,33 i d.). Taj je zahtjev povezan s povijesnom svi</w:t>
        <w:softHyphen/>
        <w:t>ješću. No, koliko god malo osvrt na povijest treba održavati strah, toliko malo smije se pi</w:t>
        <w:softHyphen/>
        <w:t>tati za strančeve kulturne, religijske ili mo</w:t>
        <w:softHyphen/>
        <w:t>ralne osobine. Njime treba pokazati samo uza</w:t>
        <w:softHyphen/>
        <w:t>jamni odnos čovjeka prema čovjeku. Ljudska prava odrazila su se upravo u izraelskim propisima koji su se odnosili na položaj doš</w:t>
        <w:softHyphen/>
        <w:t xml:space="preserve">ljaka; on je izrazito uključen svagdje gdje se određuje ponašanje prema potrebitima (Izl 22,20;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24,22; 25,35; Br 15,16; Pnz 14,29; 16,11.14; 24,17; 26,11 i d.). Onako kako je Iz</w:t>
        <w:softHyphen/>
        <w:t>rael u došljaku shvatio čovjeka kao dio čovje</w:t>
        <w:softHyphen/>
        <w:t>čanstva, tako je i u robu potpuno jasno shvatio pravnu osobu svakog čovjeka. Njegova jedna</w:t>
        <w:softHyphen/>
        <w:t>kost po rođenju bila jc pravno čvrsto uteme</w:t>
        <w:softHyphen/>
        <w:t>ljena (Izl 21,26 i d.), ali i posebno naglašena time da jc Bog radi robova zapovjedio dan mira i počinka: tjedni sabat je Ij. p. (Izl 20,10; 23,12; usp. 31,17; Pnz 5,14 i d.). Blagdan sje</w:t>
        <w:softHyphen/>
        <w:t>nica (radosni blagdan) namijenjen jc i robo</w:t>
        <w:softHyphen/>
        <w:t>vima (Pnz 16,13 i d.). Izrael u početku nije shvatio ljudska prava kao vlastita prava, nego kao pravo bližnjega da svojim životom pripa</w:t>
        <w:softHyphen/>
        <w:t>da životu zajednice (Izl 23,4 i d.); uskratiti do</w:t>
        <w:softHyphen/>
        <w:t>bročinstva »potrebitom«, »vlasniku« (tako je doslovce u Izr 3,27) socijalnog prava, znači »oteti« mu njegovo pravo da bude bližnji</w:t>
      </w:r>
    </w:p>
    <w:p>
      <w:pPr>
        <w:pStyle w:val="Style20"/>
        <w:keepNext w:val="0"/>
        <w:keepLines w:val="0"/>
        <w:widowControl w:val="0"/>
        <w:shd w:val="clear" w:color="auto" w:fill="auto"/>
        <w:tabs>
          <w:tab w:pos="2458" w:val="left"/>
        </w:tabs>
        <w:bidi w:val="0"/>
        <w:spacing w:before="0" w:after="1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(22,22). Rabini su čak vrlo oštro sudili tobož</w:t>
        <w:softHyphen/>
        <w:t>nju jednakost drugoga kojemu se uskraćuje očitovanje ljubavi: »Moje je moje, a tvoje je tvoje... tako razmišlja Sodoma« (M Avot V,10; usp. Bemidbar raba V,4,18). Ljudska prava te</w:t>
        <w:softHyphen/>
        <w:t xml:space="preserve">melje se na tome da </w:t>
      </w:r>
      <w:r>
        <w:rPr>
          <w:rFonts w:ascii="Times New Roman" w:eastAsia="Times New Roman" w:hAnsi="Times New Roman" w:cs="Times New Roman"/>
          <w:i/>
          <w:iCs/>
          <w:color w:val="000000"/>
          <w:spacing w:val="0"/>
          <w:w w:val="100"/>
          <w:position w:val="0"/>
          <w:shd w:val="clear" w:color="auto" w:fill="auto"/>
          <w:lang w:val="hr-HR" w:eastAsia="hr-HR" w:bidi="hr-HR"/>
        </w:rPr>
        <w:t>svi</w:t>
      </w:r>
      <w:r>
        <w:rPr>
          <w:rFonts w:ascii="Times New Roman" w:eastAsia="Times New Roman" w:hAnsi="Times New Roman" w:cs="Times New Roman"/>
          <w:color w:val="000000"/>
          <w:spacing w:val="0"/>
          <w:w w:val="100"/>
          <w:position w:val="0"/>
          <w:shd w:val="clear" w:color="auto" w:fill="auto"/>
          <w:lang w:val="hr-HR" w:eastAsia="hr-HR" w:bidi="hr-HR"/>
        </w:rPr>
        <w:t xml:space="preserve"> ljudi imaju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jednoga </w:t>
      </w:r>
      <w:r>
        <w:rPr>
          <w:rFonts w:ascii="Times New Roman" w:eastAsia="Times New Roman" w:hAnsi="Times New Roman" w:cs="Times New Roman"/>
          <w:color w:val="000000"/>
          <w:spacing w:val="0"/>
          <w:w w:val="100"/>
          <w:position w:val="0"/>
          <w:shd w:val="clear" w:color="auto" w:fill="auto"/>
          <w:lang w:val="hr-HR" w:eastAsia="hr-HR" w:bidi="hr-HR"/>
        </w:rPr>
        <w:t>oca: »Zar nas oba on ne stvori u utrobi i jed</w:t>
        <w:softHyphen/>
        <w:t xml:space="preserve">nako sazda u krilu majčinu?«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31,15). No stoga su mudraci naglašavali vrijednost i do</w:t>
        <w:softHyphen/>
        <w:t>stojanstvo čovjeka kao pojedinca: »Zato je stvoren samo jedan čovjek kako bi te učio ka</w:t>
        <w:softHyphen/>
        <w:t xml:space="preserve">ko će svakoga tko uništi </w:t>
      </w:r>
      <w:r>
        <w:rPr>
          <w:rFonts w:ascii="Times New Roman" w:eastAsia="Times New Roman" w:hAnsi="Times New Roman" w:cs="Times New Roman"/>
          <w:i/>
          <w:iCs/>
          <w:color w:val="000000"/>
          <w:spacing w:val="0"/>
          <w:w w:val="100"/>
          <w:position w:val="0"/>
          <w:shd w:val="clear" w:color="auto" w:fill="auto"/>
          <w:lang w:val="hr-HR" w:eastAsia="hr-HR" w:bidi="hr-HR"/>
        </w:rPr>
        <w:t>jednu</w:t>
      </w:r>
      <w:r>
        <w:rPr>
          <w:rFonts w:ascii="Times New Roman" w:eastAsia="Times New Roman" w:hAnsi="Times New Roman" w:cs="Times New Roman"/>
          <w:color w:val="000000"/>
          <w:spacing w:val="0"/>
          <w:w w:val="100"/>
          <w:position w:val="0"/>
          <w:shd w:val="clear" w:color="auto" w:fill="auto"/>
          <w:lang w:val="hr-HR" w:eastAsia="hr-HR" w:bidi="hr-HR"/>
        </w:rPr>
        <w:t xml:space="preserve"> osobu, Pismo (tj. Bog) optužiti kao daje uništio cijeli svijet, a svakomu tko sačuva </w:t>
      </w:r>
      <w:r>
        <w:rPr>
          <w:rFonts w:ascii="Times New Roman" w:eastAsia="Times New Roman" w:hAnsi="Times New Roman" w:cs="Times New Roman"/>
          <w:i/>
          <w:iCs/>
          <w:color w:val="000000"/>
          <w:spacing w:val="0"/>
          <w:w w:val="100"/>
          <w:position w:val="0"/>
          <w:shd w:val="clear" w:color="auto" w:fill="auto"/>
          <w:lang w:val="hr-HR" w:eastAsia="hr-HR" w:bidi="hr-HR"/>
        </w:rPr>
        <w:t>jednu</w:t>
      </w:r>
      <w:r>
        <w:rPr>
          <w:rFonts w:ascii="Times New Roman" w:eastAsia="Times New Roman" w:hAnsi="Times New Roman" w:cs="Times New Roman"/>
          <w:color w:val="000000"/>
          <w:spacing w:val="0"/>
          <w:w w:val="100"/>
          <w:position w:val="0"/>
          <w:shd w:val="clear" w:color="auto" w:fill="auto"/>
          <w:lang w:val="hr-HR" w:eastAsia="hr-HR" w:bidi="hr-HR"/>
        </w:rPr>
        <w:t xml:space="preserve"> osobu, Pismo će pripisati u zaslugu kao da je sačuvao cijeli svi</w:t>
        <w:softHyphen/>
        <w:t xml:space="preserve">jet«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IV,5; Tos. VIII,4; usp. b 38a; j IV,22b). Socijalna odgovornost jednoga za drugog počinje time da jedan čovjek pri</w:t>
        <w:softHyphen/>
        <w:t>znaje drugoga (Lzl 22,20; Pnz 5,15, Iz 5,8; Ez 16,49); učitelji židovstva temeljili su svoje so</w:t>
        <w:softHyphen/>
        <w:t>cijalno ponašanje na ljudskim pravima: »Ra</w:t>
        <w:softHyphen/>
        <w:t xml:space="preserve">bin Jehuda bar Salom (oko 370) rekao je u ime rabina Elcazara (oko 270): »Ako siromah dođe k čovjeku i obrati mu se, on ga ne sasluša; ako pak dođe bogataš kako bi s njim razgovarao, on ga sasluša i primi. No s Bogom nije tako, jer su pred njim svi ljudi jednaki« (Semot raba XXI,14,15; usp.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Elijahu raba i žuta 7 /36/; 10 /48/; 14 /65/; Vajikra raba 11,1,2).</w:t>
        <w:tab/>
        <w:t>n. vrmi-iR</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lang w:val="hr-HR" w:eastAsia="hr-HR" w:bidi="hr-HR"/>
        </w:rPr>
        <w:t>2. 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Ljudska prava su zahtjevi i ovlaštenja koja se temelje na ljudskom dostojanstvu, zajednič</w:t>
        <w:softHyphen/>
        <w:t>kom svim ljudima, i obično se smiju zahtije</w:t>
        <w:softHyphen/>
        <w:t>vati samo prema pravilima dotičnih slučajeva. Često se razlikuje između individualnih prava na slobodu kao prava na zaštitu i obranu nas</w:t>
        <w:softHyphen/>
        <w:t>pram bližnjih i države (između ostaloga kao prava na život i tjelesnu nepovredivost, na slo</w:t>
        <w:softHyphen/>
        <w:t>bodu savjesti i vjeroispovijesti, na vlasništvo), političkih prava na slobodu i javno djelovanje (kao npr. na slobodu "tiska, slobodu znanstve</w:t>
        <w:softHyphen/>
        <w:t>nog rada, istraživanja i poučavanja, na slobo</w:t>
        <w:softHyphen/>
        <w:t>du okupljanja i udruživanja) i temeljnih soci</w:t>
        <w:softHyphen/>
        <w:t>jalnih prava (kao prava na rad, na socijalnu sigurnost i na društveno-kultumi razvoj).</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 »ljudskim dostojanstvom«, u kojem vidi</w:t>
        <w:softHyphen/>
        <w:t>mo temelj za sva pojedinačna ljudska prava, prvenstveno razumijevamo i poziv svakoga čovjeka na moralnost kao i njegove moguć</w:t>
        <w:softHyphen/>
        <w:t xml:space="preserve">nosti u tome. Ljudsko dostojanstvo u tom </w:t>
      </w:r>
      <w:r>
        <w:rPr>
          <w:rFonts w:ascii="Times New Roman" w:eastAsia="Times New Roman" w:hAnsi="Times New Roman" w:cs="Times New Roman"/>
          <w:color w:val="000000"/>
          <w:spacing w:val="0"/>
          <w:w w:val="100"/>
          <w:position w:val="0"/>
          <w:shd w:val="clear" w:color="auto" w:fill="auto"/>
          <w:lang w:val="hr-HR" w:eastAsia="hr-HR" w:bidi="hr-HR"/>
        </w:rPr>
        <w:t>smislu ne mogu povrijediti drugi nego samo dotični čovjek sam i to slobodnom odlukom za nemoral tj. ćudorednom krivnjom. U tako shvaćenom ljudskom dostojanstvu temelj ima neposredno beziznimno pravo svakoga na slo</w:t>
        <w:softHyphen/>
        <w:t>bodu savjesti i vjeroispovijesti, tj. zahtjev da ga nitko ne prisiljava postupiti protiv vlastite sa</w:t>
        <w:softHyphen/>
        <w:t>vjesti ili vjerskog uvjerenja; jer s takvom prisi</w:t>
        <w:softHyphen/>
        <w:t>lom postavljali bismo sebi kao cilj nemoral drugoga. Dok je to temeljno pravo neposred</w:t>
        <w:softHyphen/>
        <w:t>no usmjereno na osiguranje čovjekova moral</w:t>
        <w:softHyphen/>
        <w:t>nog integriteta, sva ostala ljudska prava (uz izuzetak prava na vjersku slobodu) imaju kao sadržaj zaštitu ili osiguranje njegova boljitka. Pod »ljudskim dostojanstvom« sekundarno se razumijeva i zahtjev svakog čovjeka na ono što sačinjava njegovo dobro, što mu je primje</w:t>
        <w:softHyphen/>
        <w:t>reno. U tom smislu govorimo npr. o radnom mjestu dostojnom čovjeka i isto tako o stano</w:t>
        <w:softHyphen/>
        <w:t>vanju dostojnom čovjeka. Sva temeljna prava, koja su usmjerena prema čovjekovu dobru, konkretiziraju - svaki put s obzirom na druš</w:t>
        <w:softHyphen/>
        <w:t>tveno moguće - ono što je dostojno čovjeka. Ovdje možemo zamisliti uzajamne kolizije različitih osnovnih prava ili jednog te istog os</w:t>
        <w:softHyphen/>
        <w:t>novnog prava za različite osobe. Uzmimo npr. da se život majke protivi životu nerođenog djeteta. Oboje, majka i dijete, imaju isto pra</w:t>
        <w:softHyphen/>
        <w:t>vo na život; na temelju toga liječnikova je dužnost spasiti život po mogućnosti obadvo</w:t>
        <w:softHyphen/>
        <w:t>ma. No, s obzirom na okolnosti mora birati. Ako držimo - iz razloga koje ovdje ne treba tumačiti - da majčin život ima prednost pred djetetovim (jer majka npr. ima još obveza pre</w:t>
        <w:softHyphen/>
        <w:t>ma svojoj obitelji), tada se treba izraziti na sljedeći način: Oboje imaju na isti način pravo na život; u posebnim okolnostima ove situa</w:t>
        <w:softHyphen/>
        <w:t>cije majka ipak smije zahtijevati svoje pravo na život, a ne dijete (ili njegov predstavnik). Prema tomu, kod ljudskih prava koja su usmje</w:t>
        <w:softHyphen/>
        <w:t>rena na čovjekovo dobro treba razlikovati iz</w:t>
        <w:softHyphen/>
        <w:t xml:space="preserve">među legitimnosti nekoga prava i legitimnosti zahtjeva na to pravo. I jedno i drugo je po svim pravilima istodobno, ali se ne ostvaruje u svim slučajevima. Kaže se također da se kod tog ljudskog prava radi o prima </w:t>
      </w:r>
      <w:r>
        <w:rPr>
          <w:rFonts w:ascii="Times New Roman" w:eastAsia="Times New Roman" w:hAnsi="Times New Roman" w:cs="Times New Roman"/>
          <w:color w:val="000000"/>
          <w:spacing w:val="0"/>
          <w:w w:val="100"/>
          <w:position w:val="0"/>
          <w:shd w:val="clear" w:color="auto" w:fill="auto"/>
          <w:lang w:val="en-US" w:eastAsia="en-US" w:bidi="en-US"/>
        </w:rPr>
        <w:t xml:space="preserve">facie </w:t>
      </w:r>
      <w:r>
        <w:rPr>
          <w:rFonts w:ascii="Times New Roman" w:eastAsia="Times New Roman" w:hAnsi="Times New Roman" w:cs="Times New Roman"/>
          <w:color w:val="000000"/>
          <w:spacing w:val="0"/>
          <w:w w:val="100"/>
          <w:position w:val="0"/>
          <w:shd w:val="clear" w:color="auto" w:fill="auto"/>
          <w:lang w:val="hr-HR" w:eastAsia="hr-HR" w:bidi="hr-HR"/>
        </w:rPr>
        <w:t>ili pre- sumptivnim pravima, l ime se hoće reći da se ona smiju zahtijevali, obično ovisno o slučaju, i njima treba udovoljavati ovisno o slučaju - svakako su moguće rijetke iznimke.</w:t>
      </w:r>
    </w:p>
    <w:p>
      <w:pPr>
        <w:pStyle w:val="Style20"/>
        <w:keepNext w:val="0"/>
        <w:keepLines w:val="0"/>
        <w:widowControl w:val="0"/>
        <w:shd w:val="clear" w:color="auto" w:fill="auto"/>
        <w:bidi w:val="0"/>
        <w:spacing w:before="0" w:after="0"/>
        <w:ind w:left="0" w:right="0" w:firstLine="0"/>
        <w:jc w:val="both"/>
        <w:sectPr>
          <w:headerReference w:type="default" r:id="rId729"/>
          <w:footerReference w:type="default" r:id="rId730"/>
          <w:headerReference w:type="even" r:id="rId731"/>
          <w:footerReference w:type="even" r:id="rId732"/>
          <w:headerReference w:type="first" r:id="rId733"/>
          <w:footerReference w:type="first" r:id="rId734"/>
          <w:footnotePr>
            <w:pos w:val="pageBottom"/>
            <w:numFmt w:val="decimal"/>
            <w:numRestart w:val="continuous"/>
            <w15:footnoteColumns w:val="1"/>
          </w:footnotePr>
          <w:pgSz w:w="6816" w:h="11006"/>
          <w:pgMar w:top="1017" w:left="190" w:right="189" w:bottom="476" w:header="0" w:footer="3" w:gutter="0"/>
          <w:cols w:num="2" w:space="17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tradicionalnoj kršćanskoj etici ne govori se ili se malo govori o ljudskim pravima. Pa ipak,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uvijek se javljao predmet prava kada su se for</w:t>
        <w:softHyphen/>
        <w:t>mulirale temeljne dužnosti. Etika ljudskih prava i etika dužnosti sadržajno se pokrivaju ako dužnost (u zahtjevu ili ovlaštenju) ima te</w:t>
        <w:softHyphen/>
        <w:t>melj u pravu: Dužni smo gladnima po mo</w:t>
        <w:softHyphen/>
        <w:t>gućnosti dati jesti jer i oni imaju pravo na život. Zatim možemo, što je i razumljivo, raz</w:t>
        <w:softHyphen/>
        <w:t>vijati etiku isto tako kao etiku ljudskih prava i dužnosti. Tada je samo ista stvar formulirana s dviju različitih strana: jednom prema onomu koji ima dužnost, a drugi put prema onomu kojem koristi ono što se zahtijeva. Ako se pri</w:t>
        <w:softHyphen/>
        <w:t>mjenjuje rječnik dužnosti - kao što to čini tra</w:t>
        <w:softHyphen/>
        <w:t>dicija - tada se jače ističe zahtjevni karakter, a ako se primjenjuje rječnik ljudskih prava, onda se jače naglašava njihova utemeljenost. Primje</w:t>
        <w:softHyphen/>
        <w:t>rice, ukupni katalog dužnosti na drugoj ploči Dekaloga dade se bez bitnog brisanja prefor</w:t>
        <w:softHyphen/>
        <w:t>mulirati u zahtjeve ljudskih prava. Tada bi mo</w:t>
        <w:softHyphen/>
        <w:t>gao otprilike glasiti: roditelji imaju pravo na poslušnost i skrb od strane svoje djece. Svatko ima pravo na život i tjelesnu nepovredivost. Svatko ima pravo na brak i obitelj. Svatko ima pravo na vlasništvo. Svatko ima pravo na svoj dobar glas. Vidimo, ova formuliranja ne pred</w:t>
        <w:softHyphen/>
        <w:t>stavljaju ništa drugo nego obrazloženja odgo</w:t>
        <w:softHyphen/>
        <w:t>varajućih dužnosti kao što su ona formulirana (djelomično nešto uže) u Dekalogu.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Govor o ljudskom dostojanstvu i ljudskom pravu, njihovo shvaćanje i tumačenje, koje je ovdje prikazano i koje je nadalje uobičajeno, izgleda razumljivo samo na temelju teističkog stava i nespojivo je s ateističkim svjetonazo</w:t>
        <w:softHyphen/>
        <w:t>rom. Važno je sljedeće gledište: Ljudska pra</w:t>
        <w:softHyphen/>
        <w:t>va shvaćaju se kao pretpozitivna prava, kao ona koja su određena i osmišljena prije sva</w:t>
        <w:softHyphen/>
        <w:t>kog državnog zakonodavstva. Čovjek se shva</w:t>
        <w:softHyphen/>
        <w:t>ća kao biće koje je određeno ili osmišljeno prije no što je to utvrdila bilo koja ljudska za</w:t>
        <w:softHyphen/>
        <w:t>jednica i čak prije no što je to on sam utvrdio. Takve prethodno dane uvjetovanosti javljaju se kao mjerilo za ono što svaki pojedinac mo</w:t>
        <w:softHyphen/>
        <w:t>ra učiniti ili dopustiti i kako društvo treba s njim postupati. No, kako je moguće da na ovom svijetu čovjeku i njegovim aktivnostima prethode smislene i vrijednosne uvjetovanos</w:t>
        <w:softHyphen/>
        <w:t>ti? Čini se da na to moramo ovako odgovoriti: To je moguće samo ako se pretpostavi egzis</w:t>
        <w:softHyphen/>
        <w:t>tencija nekog bića koje je smisao i vrijednost samo u sebi.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R. Schnur (Hrsg.), </w:t>
      </w:r>
      <w:r>
        <w:rPr>
          <w:i/>
          <w:iCs/>
          <w:color w:val="000000"/>
          <w:spacing w:val="0"/>
          <w:w w:val="100"/>
          <w:position w:val="0"/>
          <w:shd w:val="clear" w:color="auto" w:fill="auto"/>
          <w:lang w:val="hr-HR" w:eastAsia="hr-HR" w:bidi="hr-HR"/>
        </w:rPr>
        <w:t>Zur Geschichte der Erklđrung der Menschenrechle,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Darmstadt </w:t>
      </w:r>
      <w:r>
        <w:rPr>
          <w:color w:val="000000"/>
          <w:spacing w:val="0"/>
          <w:w w:val="100"/>
          <w:position w:val="0"/>
          <w:shd w:val="clear" w:color="auto" w:fill="auto"/>
          <w:lang w:val="hr-HR" w:eastAsia="hr-HR" w:bidi="hr-HR"/>
        </w:rPr>
        <w:t xml:space="preserve">1964: </w:t>
      </w:r>
      <w:r>
        <w:rPr>
          <w:color w:val="000000"/>
          <w:spacing w:val="0"/>
          <w:w w:val="100"/>
          <w:position w:val="0"/>
          <w:shd w:val="clear" w:color="auto" w:fill="auto"/>
        </w:rPr>
        <w:t xml:space="preserve">W, Hcidelmeycr </w:t>
      </w:r>
      <w:r>
        <w:rPr>
          <w:color w:val="000000"/>
          <w:spacing w:val="0"/>
          <w:w w:val="100"/>
          <w:position w:val="0"/>
          <w:shd w:val="clear" w:color="auto" w:fill="auto"/>
          <w:lang w:val="hr-HR" w:eastAsia="hr-HR" w:bidi="hr-HR"/>
        </w:rPr>
        <w:t>(Hrsg.),</w:t>
      </w:r>
    </w:p>
    <w:p>
      <w:pPr>
        <w:pStyle w:val="Style56"/>
        <w:keepNext w:val="0"/>
        <w:keepLines w:val="0"/>
        <w:widowControl w:val="0"/>
        <w:shd w:val="clear" w:color="auto" w:fill="auto"/>
        <w:tabs>
          <w:tab w:pos="2395" w:val="left"/>
        </w:tabs>
        <w:bidi w:val="0"/>
        <w:spacing w:before="0" w:after="140" w:line="240" w:lineRule="auto"/>
        <w:ind w:left="0" w:right="0" w:firstLine="0"/>
        <w:jc w:val="both"/>
      </w:pPr>
      <w:r>
        <w:rPr>
          <w:i/>
          <w:iCs/>
          <w:color w:val="000000"/>
          <w:spacing w:val="0"/>
          <w:w w:val="100"/>
          <w:position w:val="0"/>
          <w:shd w:val="clear" w:color="auto" w:fill="auto"/>
        </w:rPr>
        <w:t>Die Menschenrechle Erklarungen. Verftuiungxuriikel, inter- nationaie Abkommen.</w:t>
      </w:r>
      <w:r>
        <w:rPr>
          <w:color w:val="000000"/>
          <w:spacing w:val="0"/>
          <w:w w:val="100"/>
          <w:position w:val="0"/>
          <w:shd w:val="clear" w:color="auto" w:fill="auto"/>
        </w:rPr>
        <w:t xml:space="preserve"> Paderborn </w:t>
      </w:r>
      <w:r>
        <w:rPr>
          <w:color w:val="000000"/>
          <w:spacing w:val="0"/>
          <w:w w:val="100"/>
          <w:position w:val="0"/>
          <w:shd w:val="clear" w:color="auto" w:fill="auto"/>
          <w:lang w:val="hr-HR" w:eastAsia="hr-HR" w:bidi="hr-HR"/>
        </w:rPr>
        <w:t xml:space="preserve">1977; G Gerschcnck </w:t>
      </w:r>
      <w:r>
        <w:rPr>
          <w:color w:val="000000"/>
          <w:spacing w:val="0"/>
          <w:w w:val="100"/>
          <w:position w:val="0"/>
          <w:shd w:val="clear" w:color="auto" w:fill="auto"/>
        </w:rPr>
        <w:t xml:space="preserve">(Hrsg.), </w:t>
      </w:r>
      <w:r>
        <w:rPr>
          <w:i/>
          <w:iCs/>
          <w:color w:val="000000"/>
          <w:spacing w:val="0"/>
          <w:w w:val="100"/>
          <w:position w:val="0"/>
          <w:shd w:val="clear" w:color="auto" w:fill="auto"/>
        </w:rPr>
        <w:t xml:space="preserve">Grundwerte in </w:t>
      </w:r>
      <w:r>
        <w:rPr>
          <w:i/>
          <w:iCs/>
          <w:color w:val="000000"/>
          <w:spacing w:val="0"/>
          <w:w w:val="100"/>
          <w:position w:val="0"/>
          <w:shd w:val="clear" w:color="auto" w:fill="auto"/>
          <w:lang w:val="hr-HR" w:eastAsia="hr-HR" w:bidi="hr-HR"/>
        </w:rPr>
        <w:t xml:space="preserve">Siaat uru! </w:t>
      </w:r>
      <w:r>
        <w:rPr>
          <w:i/>
          <w:iCs/>
          <w:color w:val="000000"/>
          <w:spacing w:val="0"/>
          <w:w w:val="100"/>
          <w:position w:val="0"/>
          <w:shd w:val="clear" w:color="auto" w:fill="auto"/>
        </w:rPr>
        <w:t>Gesellschaft,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Miinchcn 1977; B. </w:t>
      </w:r>
      <w:r>
        <w:rPr>
          <w:color w:val="000000"/>
          <w:spacing w:val="0"/>
          <w:w w:val="100"/>
          <w:position w:val="0"/>
          <w:shd w:val="clear" w:color="auto" w:fill="auto"/>
        </w:rPr>
        <w:t xml:space="preserve">Schuller,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Begrundung siltlicher Urteile,</w:t>
      </w:r>
      <w:r>
        <w:rPr>
          <w:color w:val="000000"/>
          <w:spacing w:val="0"/>
          <w:w w:val="100"/>
          <w:position w:val="0"/>
          <w:shd w:val="clear" w:color="auto" w:fill="auto"/>
          <w:lang w:val="hr-HR" w:eastAsia="hr-HR" w:bidi="hr-HR"/>
        </w:rPr>
        <w:t xml:space="preserve"> DOssel- dorf 1980,321-336.</w:t>
        <w:tab/>
        <w:t>R .GiNTERS</w:t>
      </w:r>
    </w:p>
    <w:p>
      <w:pPr>
        <w:pStyle w:val="Style63"/>
        <w:keepNext/>
        <w:keepLines/>
        <w:widowControl w:val="0"/>
        <w:numPr>
          <w:ilvl w:val="0"/>
          <w:numId w:val="263"/>
        </w:numPr>
        <w:shd w:val="clear" w:color="auto" w:fill="auto"/>
        <w:tabs>
          <w:tab w:pos="265" w:val="left"/>
        </w:tabs>
        <w:bidi w:val="0"/>
        <w:spacing w:before="0" w:after="80"/>
        <w:ind w:left="240" w:right="0" w:hanging="240"/>
        <w:jc w:val="both"/>
      </w:pPr>
      <w:bookmarkStart w:id="179" w:name="bookmark179"/>
      <w:r>
        <w:rPr>
          <w:rFonts w:ascii="Times New Roman" w:eastAsia="Times New Roman" w:hAnsi="Times New Roman" w:cs="Times New Roman"/>
          <w:color w:val="000000"/>
          <w:spacing w:val="0"/>
          <w:w w:val="100"/>
          <w:position w:val="0"/>
          <w:shd w:val="clear" w:color="auto" w:fill="auto"/>
          <w:lang w:val="hr-HR" w:eastAsia="hr-HR" w:bidi="hr-HR"/>
        </w:rPr>
        <w:t>islamski</w:t>
      </w:r>
      <w:bookmarkEnd w:id="17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Neporecivi talog antičkoga i srednjovjekovno</w:t>
        <w:softHyphen/>
        <w:t>ga načina mišljenja u jednom dijelu kazne</w:t>
        <w:softHyphen/>
        <w:t>noga prava koje se smatra islamskim doveo je do toga da se islamu prigovara nedovoljan osjećaj za ljudska prava. Taj dojam pojačava svakodnevna praksa mnogih društava koja se izdaju za islamska. Točno je da Kuran svodi izvor svih prava na Boga i da stoga može naći malo razumijevanja za poznato načelo pros</w:t>
        <w:softHyphen/>
        <w:t>vjetiteljstva: »Čovjek je mjera svih stvari«; no on je svakako uzeo u obzir mnoga temeljna ljudska prava i dijelom ih pionirski naviještao. Jedna međunarodna konferencija učenjaka, koja je u suradnji s Unescom održana u Par</w:t>
        <w:softHyphen/>
        <w:t>izu u rujnu 1981., ustvrdila je da je islam već na svojemu početku vrlo svjesno formulirao ništa manje nego dvadeset temeljnih ljudskih prava, među njima pravo na život, na zaštitu od prekoračenja ovlasti i zlostavljanja, pravo na azil, zaštitu manjina, slobodu vjere, uko</w:t>
        <w:softHyphen/>
        <w:t>liko se ne radi ni o kakvoj barbarskoj idola</w:t>
        <w:softHyphen/>
        <w:t>triji, pravo na socijalnu sigurnost i na rad. U Kuranu se izričito govori o ljudskom dosto</w:t>
        <w:softHyphen/>
        <w:t>janstvu: »Mi smo Adamovoj djeci dali dosto</w:t>
        <w:softHyphen/>
        <w:t>janstvo« (17,70).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islamu, čovjek je dužan boriti se protiv ne</w:t>
        <w:softHyphen/>
        <w:t>pravde i agresija u svijetu: »neka vas ne zave</w:t>
        <w:softHyphen/>
        <w:t>de mržnja naroda... Potpomažite se međusob</w:t>
        <w:softHyphen/>
        <w:t xml:space="preserve">no u dobročinstvu i bogobojaznosti, a nemojte se pomagati u grijehu i neprijateljstvu« (5,3). Kao u Kuranu tako i u islamskoj tradiciji ima mnoštvo iskaza koji ukazuju na to da je bolje praštati i vraćati zlo dobrim nego se svetiti. »A onomu koji se strpi i oprosti, to </w:t>
      </w:r>
      <w:r>
        <w:rPr>
          <w:rFonts w:ascii="Times New Roman" w:eastAsia="Times New Roman" w:hAnsi="Times New Roman" w:cs="Times New Roman"/>
          <w:i/>
          <w:iCs/>
          <w:color w:val="000000"/>
          <w:spacing w:val="0"/>
          <w:w w:val="100"/>
          <w:position w:val="0"/>
          <w:shd w:val="clear" w:color="auto" w:fill="auto"/>
          <w:lang w:val="hr-HR" w:eastAsia="hr-HR" w:bidi="hr-HR"/>
        </w:rPr>
        <w:t>(mu)</w:t>
      </w:r>
      <w:r>
        <w:rPr>
          <w:rFonts w:ascii="Times New Roman" w:eastAsia="Times New Roman" w:hAnsi="Times New Roman" w:cs="Times New Roman"/>
          <w:color w:val="000000"/>
          <w:spacing w:val="0"/>
          <w:w w:val="100"/>
          <w:position w:val="0"/>
          <w:shd w:val="clear" w:color="auto" w:fill="auto"/>
          <w:lang w:val="hr-HR" w:eastAsia="hr-HR" w:bidi="hr-HR"/>
        </w:rPr>
        <w:t xml:space="preserve"> je zaista znak snage duha« (42,44). Tu je misao prihva</w:t>
        <w:softHyphen/>
        <w:t>tila i dalje širila teologija, posebice mistika. Tako u islamu susrećemo mnoge preporuke ljubljenja neprijatelja ako se radi o čisto osob</w:t>
        <w:softHyphen/>
        <w:t>nim stvarima.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Izvedene u pojedinostima, to su sljedeća ljud</w:t>
        <w:softHyphen/>
        <w:t>ska prava koja islam postavlja u svom etičko- socijalnom i jednako tako zakonitom katalogu zahtjeva:</w:t>
      </w:r>
    </w:p>
    <w:p>
      <w:pPr>
        <w:pStyle w:val="Style20"/>
        <w:keepNext w:val="0"/>
        <w:keepLines w:val="0"/>
        <w:widowControl w:val="0"/>
        <w:numPr>
          <w:ilvl w:val="0"/>
          <w:numId w:val="271"/>
        </w:numPr>
        <w:shd w:val="clear" w:color="auto" w:fill="auto"/>
        <w:tabs>
          <w:tab w:pos="260" w:val="left"/>
        </w:tabs>
        <w:bidi w:val="0"/>
        <w:spacing w:before="0" w:after="0"/>
        <w:ind w:left="240" w:right="0" w:hanging="240"/>
        <w:jc w:val="both"/>
      </w:pPr>
      <w:r>
        <w:rPr>
          <w:rFonts w:ascii="Times New Roman" w:eastAsia="Times New Roman" w:hAnsi="Times New Roman" w:cs="Times New Roman"/>
          <w:color w:val="000000"/>
          <w:spacing w:val="0"/>
          <w:w w:val="100"/>
          <w:position w:val="0"/>
          <w:shd w:val="clear" w:color="auto" w:fill="auto"/>
          <w:lang w:val="hr-HR" w:eastAsia="hr-HR" w:bidi="hr-HR"/>
        </w:rPr>
        <w:t>Ne smije biti nikakvoga diskriminiranja zbog rasne i narodne pripadnosti;</w:t>
      </w:r>
    </w:p>
    <w:p>
      <w:pPr>
        <w:pStyle w:val="Style20"/>
        <w:keepNext w:val="0"/>
        <w:keepLines w:val="0"/>
        <w:widowControl w:val="0"/>
        <w:numPr>
          <w:ilvl w:val="0"/>
          <w:numId w:val="271"/>
        </w:numPr>
        <w:shd w:val="clear" w:color="auto" w:fill="auto"/>
        <w:tabs>
          <w:tab w:pos="270" w:val="left"/>
        </w:tabs>
        <w:bidi w:val="0"/>
        <w:spacing w:before="0" w:after="0"/>
        <w:ind w:left="240" w:right="0" w:hanging="240"/>
        <w:jc w:val="both"/>
        <w:sectPr>
          <w:headerReference w:type="default" r:id="rId735"/>
          <w:footerReference w:type="default" r:id="rId736"/>
          <w:headerReference w:type="even" r:id="rId737"/>
          <w:footerReference w:type="even" r:id="rId738"/>
          <w:footnotePr>
            <w:pos w:val="pageBottom"/>
            <w:numFmt w:val="decimal"/>
            <w:numRestart w:val="continuous"/>
            <w15:footnoteColumns w:val="1"/>
          </w:footnotePr>
          <w:type w:val="continuous"/>
          <w:pgSz w:w="6816" w:h="11006"/>
          <w:pgMar w:top="1017" w:left="190" w:right="189" w:bottom="476" w:header="0" w:footer="48" w:gutter="0"/>
          <w:cols w:num="2" w:space="17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nema nikakve religiozne prisile;</w:t>
      </w:r>
    </w:p>
    <w:p>
      <w:pPr>
        <w:pStyle w:val="Style20"/>
        <w:keepNext w:val="0"/>
        <w:keepLines w:val="0"/>
        <w:widowControl w:val="0"/>
        <w:numPr>
          <w:ilvl w:val="0"/>
          <w:numId w:val="271"/>
        </w:numPr>
        <w:shd w:val="clear" w:color="auto" w:fill="auto"/>
        <w:tabs>
          <w:tab w:pos="255" w:val="left"/>
        </w:tabs>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nepovredivost života i vlasništva;</w:t>
      </w:r>
    </w:p>
    <w:p>
      <w:pPr>
        <w:pStyle w:val="Style20"/>
        <w:keepNext w:val="0"/>
        <w:keepLines w:val="0"/>
        <w:widowControl w:val="0"/>
        <w:numPr>
          <w:ilvl w:val="0"/>
          <w:numId w:val="271"/>
        </w:numPr>
        <w:shd w:val="clear" w:color="auto" w:fill="auto"/>
        <w:tabs>
          <w:tab w:pos="270" w:val="left"/>
        </w:tabs>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pravo na kućni mir;</w:t>
      </w:r>
    </w:p>
    <w:p>
      <w:pPr>
        <w:pStyle w:val="Style20"/>
        <w:keepNext w:val="0"/>
        <w:keepLines w:val="0"/>
        <w:widowControl w:val="0"/>
        <w:numPr>
          <w:ilvl w:val="0"/>
          <w:numId w:val="271"/>
        </w:numPr>
        <w:shd w:val="clear" w:color="auto" w:fill="auto"/>
        <w:tabs>
          <w:tab w:pos="270" w:val="left"/>
        </w:tabs>
        <w:bidi w:val="0"/>
        <w:spacing w:before="0" w:after="0" w:line="254" w:lineRule="auto"/>
        <w:ind w:left="240" w:right="0" w:hanging="240"/>
        <w:jc w:val="left"/>
      </w:pPr>
      <w:r>
        <w:rPr>
          <w:rFonts w:ascii="Times New Roman" w:eastAsia="Times New Roman" w:hAnsi="Times New Roman" w:cs="Times New Roman"/>
          <w:color w:val="000000"/>
          <w:spacing w:val="0"/>
          <w:w w:val="100"/>
          <w:position w:val="0"/>
          <w:shd w:val="clear" w:color="auto" w:fill="auto"/>
          <w:lang w:val="hr-HR" w:eastAsia="hr-HR" w:bidi="hr-HR"/>
        </w:rPr>
        <w:t>pravo siromašnih na višak bogatih;</w:t>
      </w:r>
    </w:p>
    <w:p>
      <w:pPr>
        <w:pStyle w:val="Style20"/>
        <w:keepNext w:val="0"/>
        <w:keepLines w:val="0"/>
        <w:widowControl w:val="0"/>
        <w:numPr>
          <w:ilvl w:val="0"/>
          <w:numId w:val="271"/>
        </w:numPr>
        <w:shd w:val="clear" w:color="auto" w:fill="auto"/>
        <w:tabs>
          <w:tab w:pos="270" w:val="left"/>
        </w:tabs>
        <w:bidi w:val="0"/>
        <w:spacing w:before="0" w:after="0" w:line="254" w:lineRule="auto"/>
        <w:ind w:left="240" w:right="0" w:hanging="240"/>
        <w:jc w:val="left"/>
      </w:pPr>
      <w:r>
        <w:rPr>
          <w:rFonts w:ascii="Times New Roman" w:eastAsia="Times New Roman" w:hAnsi="Times New Roman" w:cs="Times New Roman"/>
          <w:color w:val="000000"/>
          <w:spacing w:val="0"/>
          <w:w w:val="100"/>
          <w:position w:val="0"/>
          <w:shd w:val="clear" w:color="auto" w:fill="auto"/>
          <w:lang w:val="hr-HR" w:eastAsia="hr-HR" w:bidi="hr-HR"/>
        </w:rPr>
        <w:t>pravo na izobrazbu, zapravo dužnost tra</w:t>
        <w:softHyphen/>
        <w:t>ganja za znanjem;</w:t>
      </w:r>
    </w:p>
    <w:p>
      <w:pPr>
        <w:pStyle w:val="Style20"/>
        <w:keepNext w:val="0"/>
        <w:keepLines w:val="0"/>
        <w:widowControl w:val="0"/>
        <w:numPr>
          <w:ilvl w:val="0"/>
          <w:numId w:val="271"/>
        </w:numPr>
        <w:shd w:val="clear" w:color="auto" w:fill="auto"/>
        <w:tabs>
          <w:tab w:pos="270" w:val="left"/>
        </w:tabs>
        <w:bidi w:val="0"/>
        <w:spacing w:before="0" w:after="0" w:line="254" w:lineRule="auto"/>
        <w:ind w:left="240" w:right="0" w:hanging="240"/>
        <w:jc w:val="left"/>
      </w:pPr>
      <w:r>
        <w:rPr>
          <w:rFonts w:ascii="Times New Roman" w:eastAsia="Times New Roman" w:hAnsi="Times New Roman" w:cs="Times New Roman"/>
          <w:color w:val="000000"/>
          <w:spacing w:val="0"/>
          <w:w w:val="100"/>
          <w:position w:val="0"/>
          <w:shd w:val="clear" w:color="auto" w:fill="auto"/>
          <w:lang w:val="hr-HR" w:eastAsia="hr-HR" w:bidi="hr-HR"/>
        </w:rPr>
        <w:t>pravo na zaštitu od ugrožavanja zdravlja (karantenske odredbe);</w:t>
      </w:r>
    </w:p>
    <w:p>
      <w:pPr>
        <w:pStyle w:val="Style20"/>
        <w:keepNext w:val="0"/>
        <w:keepLines w:val="0"/>
        <w:widowControl w:val="0"/>
        <w:numPr>
          <w:ilvl w:val="0"/>
          <w:numId w:val="271"/>
        </w:numPr>
        <w:shd w:val="clear" w:color="auto" w:fill="auto"/>
        <w:tabs>
          <w:tab w:pos="270" w:val="left"/>
        </w:tabs>
        <w:bidi w:val="0"/>
        <w:spacing w:before="0" w:after="40" w:line="254" w:lineRule="auto"/>
        <w:ind w:left="240" w:right="0" w:hanging="240"/>
        <w:jc w:val="left"/>
      </w:pPr>
      <w:r>
        <w:rPr>
          <w:rFonts w:ascii="Times New Roman" w:eastAsia="Times New Roman" w:hAnsi="Times New Roman" w:cs="Times New Roman"/>
          <w:color w:val="000000"/>
          <w:spacing w:val="0"/>
          <w:w w:val="100"/>
          <w:position w:val="0"/>
          <w:shd w:val="clear" w:color="auto" w:fill="auto"/>
          <w:lang w:val="hr-HR" w:eastAsia="hr-HR" w:bidi="hr-HR"/>
        </w:rPr>
        <w:t>jednakost pred zakonom.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Čini se, izvjesne odredbe iz Deklaracije o ljud</w:t>
        <w:softHyphen/>
        <w:t>skim pravima Ujedinjenih naroda još uvijek ne postoje u šerijatskom pravu. Tako se npr. muslimanka ne smije udati za nemuslimana. Nadalje, muslimanu nije dozvoljen prelazak na drugu vjeru. U jednom zborniku protokola pregovora s tri seminara koji su održani u Par</w:t>
        <w:softHyphen/>
        <w:t>izu, Rimu i Rijadu a koji je objavila »Liga is</w:t>
        <w:softHyphen/>
        <w:t>lamskoga svijeta« o tome se kaže: »Islam ne dozvoljava muslimanki da stupi u brak s ne- muslimanskim supružnikom zato što on negi</w:t>
        <w:softHyphen/>
        <w:t>ra Muhamcdovo božansko poslanje, što bi vrlo lako moglo dovesti do međusobnoga otuđiva</w:t>
        <w:softHyphen/>
        <w:t>nja supružnika, do sukoba i do raspada obite</w:t>
        <w:softHyphen/>
        <w:t xml:space="preserve">lji« (prijevod po smislu iz knjige </w:t>
      </w:r>
      <w:r>
        <w:rPr>
          <w:rFonts w:ascii="Times New Roman" w:eastAsia="Times New Roman" w:hAnsi="Times New Roman" w:cs="Times New Roman"/>
          <w:i/>
          <w:iCs/>
          <w:color w:val="000000"/>
          <w:spacing w:val="0"/>
          <w:w w:val="100"/>
          <w:position w:val="0"/>
          <w:shd w:val="clear" w:color="auto" w:fill="auto"/>
          <w:lang w:val="en-US" w:eastAsia="en-US" w:bidi="en-US"/>
        </w:rPr>
        <w:t xml:space="preserve">llawla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'sh-sha- ri’a </w:t>
      </w:r>
      <w:r>
        <w:rPr>
          <w:rFonts w:ascii="Times New Roman" w:eastAsia="Times New Roman" w:hAnsi="Times New Roman" w:cs="Times New Roman"/>
          <w:i/>
          <w:iCs/>
          <w:color w:val="000000"/>
          <w:spacing w:val="0"/>
          <w:w w:val="100"/>
          <w:position w:val="0"/>
          <w:shd w:val="clear" w:color="auto" w:fill="auto"/>
          <w:lang w:val="en-US" w:eastAsia="en-US" w:bidi="en-US"/>
        </w:rPr>
        <w:t xml:space="preserve">al-islamiyya </w:t>
      </w:r>
      <w:r>
        <w:rPr>
          <w:rFonts w:ascii="Times New Roman" w:eastAsia="Times New Roman" w:hAnsi="Times New Roman" w:cs="Times New Roman"/>
          <w:i/>
          <w:iCs/>
          <w:color w:val="000000"/>
          <w:spacing w:val="0"/>
          <w:w w:val="100"/>
          <w:position w:val="0"/>
          <w:shd w:val="clear" w:color="auto" w:fill="auto"/>
          <w:lang w:val="hr-HR" w:eastAsia="hr-HR" w:bidi="hr-HR"/>
        </w:rPr>
        <w:t xml:space="preserve">&gt;va </w:t>
      </w:r>
      <w:r>
        <w:rPr>
          <w:rFonts w:ascii="Times New Roman" w:eastAsia="Times New Roman" w:hAnsi="Times New Roman" w:cs="Times New Roman"/>
          <w:i/>
          <w:iCs/>
          <w:color w:val="000000"/>
          <w:spacing w:val="0"/>
          <w:w w:val="100"/>
          <w:position w:val="0"/>
          <w:shd w:val="clear" w:color="auto" w:fill="auto"/>
          <w:lang w:val="en-US" w:eastAsia="en-US" w:bidi="en-US"/>
        </w:rPr>
        <w:t xml:space="preserve">huqtlq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al-insan fil-islam </w:t>
      </w:r>
      <w:r>
        <w:rPr>
          <w:rFonts w:ascii="Times New Roman" w:eastAsia="Times New Roman" w:hAnsi="Times New Roman" w:cs="Times New Roman"/>
          <w:color w:val="000000"/>
          <w:spacing w:val="0"/>
          <w:w w:val="100"/>
          <w:position w:val="0"/>
          <w:shd w:val="clear" w:color="auto" w:fill="auto"/>
          <w:lang w:val="hr-HR" w:eastAsia="hr-HR" w:bidi="hr-HR"/>
        </w:rPr>
        <w:t xml:space="preserve">[N/Iisli o šerijatskom pravu i ljudskim pravima u islamu], </w:t>
      </w:r>
      <w:r>
        <w:rPr>
          <w:rFonts w:ascii="Times New Roman" w:eastAsia="Times New Roman" w:hAnsi="Times New Roman" w:cs="Times New Roman"/>
          <w:color w:val="000000"/>
          <w:spacing w:val="0"/>
          <w:w w:val="100"/>
          <w:position w:val="0"/>
          <w:shd w:val="clear" w:color="auto" w:fill="auto"/>
          <w:lang w:val="en-US" w:eastAsia="en-US" w:bidi="en-US"/>
        </w:rPr>
        <w:t xml:space="preserve">Beirut </w:t>
      </w:r>
      <w:r>
        <w:rPr>
          <w:rFonts w:ascii="Times New Roman" w:eastAsia="Times New Roman" w:hAnsi="Times New Roman" w:cs="Times New Roman"/>
          <w:color w:val="000000"/>
          <w:spacing w:val="0"/>
          <w:w w:val="100"/>
          <w:position w:val="0"/>
          <w:shd w:val="clear" w:color="auto" w:fill="auto"/>
          <w:lang w:val="hr-HR" w:eastAsia="hr-HR" w:bidi="hr-HR"/>
        </w:rPr>
        <w:t>1973, 38). To je objašnjenje doduše jasno, ali jednostrano, zato što se ono ne stavlja na snagu i u obrnutom smjeru, na</w:t>
        <w:softHyphen/>
        <w:t>ime kada musliman ženi Židovku ili kršćanku. Čitav je stav prema tom pitanju zbiljski uko</w:t>
        <w:softHyphen/>
        <w:t>rijenjen u patrijarhalnim načinima mišljenja arapskoga društva.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mišljenju pravnih učenjaka, otpadnik od islama treba se kazniti smrću, a muslimanka zatvorom. Kuran šuti o tome. Takva je stro</w:t>
        <w:softHyphen/>
        <w:t>gost razumljiva samo iz perspektive krajnje konfrontacije islama s neprijateljskim svije</w:t>
        <w:softHyphen/>
        <w:t>tom, kakva je vladala u početku njegove povi</w:t>
        <w:softHyphen/>
        <w:t>jesti. Otpadništvo je tada u pravilu bilo i pro</w:t>
        <w:softHyphen/>
        <w:t>mjena barjaka ili izdaja zajednice koja se bo</w:t>
        <w:softHyphen/>
        <w:t>rila za golu egzistenciju. U promijenjenim okolnostima današnjega života ta je kazneno</w:t>
        <w:softHyphen/>
        <w:t>pravna strogost izgubila svoj smisao. O zabra</w:t>
        <w:softHyphen/>
        <w:t xml:space="preserve">ni prelaska na drugu vjeru pripadnicima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ume </w:t>
      </w:r>
      <w:r>
        <w:rPr>
          <w:rFonts w:ascii="Times New Roman" w:eastAsia="Times New Roman" w:hAnsi="Times New Roman" w:cs="Times New Roman"/>
          <w:i/>
          <w:iCs/>
          <w:color w:val="000000"/>
          <w:spacing w:val="0"/>
          <w:w w:val="100"/>
          <w:position w:val="0"/>
          <w:shd w:val="clear" w:color="auto" w:fill="auto"/>
          <w:lang w:val="en-US" w:eastAsia="en-US" w:bidi="en-US"/>
        </w:rPr>
        <w:t>(umma)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istim se protokolima primjećuje sljedeće: »Ta odredba ne ograničuje pravo čovjeka da promijeni vjeru. Ona je donesena u prvim danima islama u svrhu sprečavanja zlih urota. Naime, tada su mnogi Židovi samo prividno prelazili na islam kako bi u islamskoj zajednici posijali sumnju i kako bi je onda de</w:t>
        <w:softHyphen/>
        <w:t>moralizirali demonstrativnim istupanjem iz is</w:t>
        <w:softHyphen/>
        <w:t>lama. Tako je nastao zakon o zabrani prelaska na drugu vjeru za onoga tko je već jednom prešao na islam. Taj je zakon trebao dovesti i do toga da se prihvaćanje islama pripravi sa svom nužnom intelektualnom i moralnom te</w:t>
        <w:softHyphen/>
        <w:t xml:space="preserve">meljitošću i da se ne upušta u zlu igru«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38).</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Svim ljudima koji čine dobro i koji vjeruju u Boga islam dopušta sudjelovanje u duševnom spasenju i u bogougodnosti. Kuranski iskazi o ulozi čovjeka u svijetu zgušnjavaju se u jednu impresivnu humanističku sliku čovjeka. Ovdje navodimo neke od tih iskaza:</w:t>
      </w:r>
    </w:p>
    <w:p>
      <w:pPr>
        <w:pStyle w:val="Style20"/>
        <w:keepNext w:val="0"/>
        <w:keepLines w:val="0"/>
        <w:widowControl w:val="0"/>
        <w:numPr>
          <w:ilvl w:val="0"/>
          <w:numId w:val="273"/>
        </w:numPr>
        <w:shd w:val="clear" w:color="auto" w:fill="auto"/>
        <w:tabs>
          <w:tab w:pos="25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Dajem predstavnika na zemlji (riječ Božja).</w:t>
      </w:r>
    </w:p>
    <w:p>
      <w:pPr>
        <w:pStyle w:val="Style20"/>
        <w:keepNext w:val="0"/>
        <w:keepLines w:val="0"/>
        <w:widowControl w:val="0"/>
        <w:numPr>
          <w:ilvl w:val="0"/>
          <w:numId w:val="273"/>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Nema nikakva nasilja u vjeri.</w:t>
      </w:r>
    </w:p>
    <w:p>
      <w:pPr>
        <w:pStyle w:val="Style20"/>
        <w:keepNext w:val="0"/>
        <w:keepLines w:val="0"/>
        <w:widowControl w:val="0"/>
        <w:numPr>
          <w:ilvl w:val="0"/>
          <w:numId w:val="273"/>
        </w:numPr>
        <w:shd w:val="clear" w:color="auto" w:fill="auto"/>
        <w:tabs>
          <w:tab w:pos="260" w:val="left"/>
        </w:tabs>
        <w:bidi w:val="0"/>
        <w:spacing w:before="0" w:after="0" w:line="240" w:lineRule="auto"/>
        <w:ind w:left="220" w:right="0" w:hanging="220"/>
        <w:jc w:val="both"/>
      </w:pPr>
      <w:r>
        <w:rPr>
          <w:rFonts w:ascii="Times New Roman" w:eastAsia="Times New Roman" w:hAnsi="Times New Roman" w:cs="Times New Roman"/>
          <w:color w:val="000000"/>
          <w:spacing w:val="0"/>
          <w:w w:val="100"/>
          <w:position w:val="0"/>
          <w:shd w:val="clear" w:color="auto" w:fill="auto"/>
          <w:lang w:val="hr-HR" w:eastAsia="hr-HR" w:bidi="hr-HR"/>
        </w:rPr>
        <w:t>Istina je od Boga: Tko želi vjerovati, taj vjeruje; tko ne želi, taj treba ostati pri to</w:t>
        <w:softHyphen/>
        <w:t>mu.</w:t>
      </w:r>
    </w:p>
    <w:p>
      <w:pPr>
        <w:pStyle w:val="Style20"/>
        <w:keepNext w:val="0"/>
        <w:keepLines w:val="0"/>
        <w:widowControl w:val="0"/>
        <w:numPr>
          <w:ilvl w:val="0"/>
          <w:numId w:val="273"/>
        </w:numPr>
        <w:shd w:val="clear" w:color="auto" w:fill="auto"/>
        <w:tabs>
          <w:tab w:pos="270" w:val="left"/>
        </w:tabs>
        <w:bidi w:val="0"/>
        <w:spacing w:before="0" w:after="0"/>
        <w:ind w:left="220" w:right="0" w:hanging="220"/>
        <w:jc w:val="both"/>
      </w:pPr>
      <w:r>
        <w:rPr>
          <w:rFonts w:ascii="Times New Roman" w:eastAsia="Times New Roman" w:hAnsi="Times New Roman" w:cs="Times New Roman"/>
          <w:color w:val="000000"/>
          <w:spacing w:val="0"/>
          <w:w w:val="100"/>
          <w:position w:val="0"/>
          <w:shd w:val="clear" w:color="auto" w:fill="auto"/>
          <w:lang w:val="hr-HR" w:eastAsia="hr-HR" w:bidi="hr-HR"/>
        </w:rPr>
        <w:t>Ako bi tvoj Gospodar (O, Muhamedc) htio da svi ljudi na zemlji budu vjernici, oni bi to onda i bili. Želiš li ih ti možda prisilja</w:t>
        <w:softHyphen/>
        <w:t>vati da prihvate vjeru? Čovjek treba Božju pomoć da bi vjerovao.</w:t>
      </w:r>
    </w:p>
    <w:p>
      <w:pPr>
        <w:pStyle w:val="Style20"/>
        <w:keepNext w:val="0"/>
        <w:keepLines w:val="0"/>
        <w:widowControl w:val="0"/>
        <w:numPr>
          <w:ilvl w:val="0"/>
          <w:numId w:val="273"/>
        </w:numPr>
        <w:shd w:val="clear" w:color="auto" w:fill="auto"/>
        <w:tabs>
          <w:tab w:pos="270" w:val="left"/>
        </w:tabs>
        <w:bidi w:val="0"/>
        <w:spacing w:before="0" w:after="0"/>
        <w:ind w:left="220" w:right="0" w:hanging="220"/>
        <w:jc w:val="both"/>
      </w:pPr>
      <w:r>
        <w:rPr>
          <w:rFonts w:ascii="Times New Roman" w:eastAsia="Times New Roman" w:hAnsi="Times New Roman" w:cs="Times New Roman"/>
          <w:color w:val="000000"/>
          <w:spacing w:val="0"/>
          <w:w w:val="100"/>
          <w:position w:val="0"/>
          <w:shd w:val="clear" w:color="auto" w:fill="auto"/>
          <w:lang w:val="hr-HR" w:eastAsia="hr-HR" w:bidi="hr-HR"/>
        </w:rPr>
        <w:t>Vapi za putem tvojega Gospodara s mu</w:t>
        <w:softHyphen/>
        <w:t>drošću i dobrim savjetom.</w:t>
      </w:r>
    </w:p>
    <w:p>
      <w:pPr>
        <w:pStyle w:val="Style20"/>
        <w:keepNext w:val="0"/>
        <w:keepLines w:val="0"/>
        <w:widowControl w:val="0"/>
        <w:numPr>
          <w:ilvl w:val="0"/>
          <w:numId w:val="273"/>
        </w:numPr>
        <w:shd w:val="clear" w:color="auto" w:fill="auto"/>
        <w:tabs>
          <w:tab w:pos="270" w:val="left"/>
        </w:tabs>
        <w:bidi w:val="0"/>
        <w:spacing w:before="0" w:after="40"/>
        <w:ind w:left="220" w:right="0" w:hanging="220"/>
        <w:jc w:val="both"/>
      </w:pPr>
      <w:r>
        <w:rPr>
          <w:rFonts w:ascii="Times New Roman" w:eastAsia="Times New Roman" w:hAnsi="Times New Roman" w:cs="Times New Roman"/>
          <w:color w:val="000000"/>
          <w:spacing w:val="0"/>
          <w:w w:val="100"/>
          <w:position w:val="0"/>
          <w:shd w:val="clear" w:color="auto" w:fill="auto"/>
          <w:lang w:val="hr-HR" w:eastAsia="hr-HR" w:bidi="hr-HR"/>
        </w:rPr>
        <w:t>Najbolji je čovjek onaj čiji čin i djelo služi dobni drugih ljudi.</w:t>
      </w:r>
    </w:p>
    <w:p>
      <w:pPr>
        <w:pStyle w:val="Style20"/>
        <w:keepNext w:val="0"/>
        <w:keepLines w:val="0"/>
        <w:widowControl w:val="0"/>
        <w:shd w:val="clear" w:color="auto" w:fill="auto"/>
        <w:tabs>
          <w:tab w:pos="2554" w:val="left"/>
        </w:tabs>
        <w:bidi w:val="0"/>
        <w:spacing w:before="0" w:after="0"/>
        <w:ind w:left="0" w:right="0" w:firstLine="0"/>
        <w:jc w:val="both"/>
        <w:sectPr>
          <w:headerReference w:type="default" r:id="rId739"/>
          <w:footerReference w:type="default" r:id="rId740"/>
          <w:headerReference w:type="even" r:id="rId741"/>
          <w:footerReference w:type="even" r:id="rId742"/>
          <w:footnotePr>
            <w:pos w:val="pageBottom"/>
            <w:numFmt w:val="decimal"/>
            <w:numRestart w:val="continuous"/>
            <w15:footnoteColumns w:val="1"/>
          </w:footnotePr>
          <w:pgSz w:w="6816" w:h="11006"/>
          <w:pgMar w:top="1017" w:left="190" w:right="189" w:bottom="476" w:header="0" w:footer="3" w:gutter="0"/>
          <w:pgNumType w:start="250"/>
          <w:cols w:num="2" w:space="17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Predaja pojašnjava domet ovih iskaza: zMija, Muhamcdov zet i četvrti kalif, pisao je Maliku ibn Harithu prigodom njegova imenovanja upraviteljem Egipta: »Neka Ti srce bude ispu</w:t>
        <w:softHyphen/>
        <w:t>njeno milosrđem i ljubavlju prema tamošnjim slugama provincije! U građanima koji vjeruju u Boga trebaš gledati braću po vjeri. No one koji ne vjeruju smatraj sebi jednakima po stvo- renosti!«</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baIJć</w:t>
      </w:r>
    </w:p>
    <w:p>
      <w:pPr>
        <w:pStyle w:val="Style91"/>
        <w:keepNext/>
        <w:keepLines/>
        <w:widowControl w:val="0"/>
        <w:shd w:val="clear" w:color="auto" w:fill="auto"/>
        <w:bidi w:val="0"/>
        <w:spacing w:before="0" w:after="0" w:line="240" w:lineRule="auto"/>
        <w:ind w:left="0" w:right="0" w:firstLine="0"/>
        <w:jc w:val="both"/>
      </w:pPr>
      <w:bookmarkStart w:id="180" w:name="bookmark180"/>
      <w:r>
        <w:rPr>
          <w:rFonts w:ascii="Times New Roman" w:eastAsia="Times New Roman" w:hAnsi="Times New Roman" w:cs="Times New Roman"/>
          <w:b/>
          <w:bCs/>
          <w:color w:val="000000"/>
          <w:spacing w:val="0"/>
          <w:w w:val="100"/>
          <w:position w:val="0"/>
          <w:shd w:val="clear" w:color="auto" w:fill="auto"/>
          <w:lang w:val="en-US" w:eastAsia="en-US" w:bidi="en-US"/>
        </w:rPr>
        <w:t xml:space="preserve">MAHDI </w:t>
      </w:r>
      <w:r>
        <w:rPr>
          <w:rFonts w:ascii="Times New Roman" w:eastAsia="Times New Roman" w:hAnsi="Times New Roman" w:cs="Times New Roman"/>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 xml:space="preserve">ŠIJI7.AM, </w:t>
      </w:r>
      <w:r>
        <w:rPr>
          <w:rFonts w:ascii="Times New Roman" w:eastAsia="Times New Roman" w:hAnsi="Times New Roman" w:cs="Times New Roman"/>
          <w:color w:val="000000"/>
          <w:spacing w:val="0"/>
          <w:w w:val="100"/>
          <w:position w:val="0"/>
          <w:shd w:val="clear" w:color="auto" w:fill="auto"/>
          <w:lang w:val="en-US" w:eastAsia="en-US" w:bidi="en-US"/>
        </w:rPr>
        <w:t>-&gt; ESHATOLO-</w:t>
      </w:r>
      <w:bookmarkEnd w:id="180"/>
    </w:p>
    <w:p>
      <w:pPr>
        <w:pStyle w:val="Style91"/>
        <w:keepNext/>
        <w:keepLines/>
        <w:widowControl w:val="0"/>
        <w:shd w:val="clear" w:color="auto" w:fill="auto"/>
        <w:bidi w:val="0"/>
        <w:spacing w:before="0" w:after="260" w:line="240" w:lineRule="auto"/>
        <w:ind w:left="0" w:right="0" w:firstLine="0"/>
        <w:jc w:val="both"/>
      </w:pPr>
      <w:bookmarkStart w:id="181" w:name="bookmark181"/>
      <w:r>
        <w:rPr>
          <w:rFonts w:ascii="Times New Roman" w:eastAsia="Times New Roman" w:hAnsi="Times New Roman" w:cs="Times New Roman"/>
          <w:color w:val="000000"/>
          <w:spacing w:val="0"/>
          <w:w w:val="100"/>
          <w:position w:val="0"/>
          <w:shd w:val="clear" w:color="auto" w:fill="auto"/>
          <w:lang w:val="en-US" w:eastAsia="en-US" w:bidi="en-US"/>
        </w:rPr>
        <w:t xml:space="preserve">GIJA, -&gt; </w:t>
      </w:r>
      <w:r>
        <w:rPr>
          <w:rFonts w:ascii="Times New Roman" w:eastAsia="Times New Roman" w:hAnsi="Times New Roman" w:cs="Times New Roman"/>
          <w:color w:val="000000"/>
          <w:spacing w:val="0"/>
          <w:w w:val="100"/>
          <w:position w:val="0"/>
          <w:shd w:val="clear" w:color="auto" w:fill="auto"/>
          <w:lang w:val="hr-HR" w:eastAsia="hr-HR" w:bidi="hr-HR"/>
        </w:rPr>
        <w:t>MESIJA</w:t>
      </w:r>
      <w:bookmarkEnd w:id="181"/>
    </w:p>
    <w:p>
      <w:pPr>
        <w:pStyle w:val="Style33"/>
        <w:keepNext w:val="0"/>
        <w:keepLines w:val="0"/>
        <w:widowControl w:val="0"/>
        <w:shd w:val="clear" w:color="auto" w:fill="auto"/>
        <w:bidi w:val="0"/>
        <w:spacing w:before="0" w:after="120" w:line="240"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MARIJA</w:t>
      </w:r>
    </w:p>
    <w:p>
      <w:pPr>
        <w:pStyle w:val="Style63"/>
        <w:keepNext/>
        <w:keepLines/>
        <w:widowControl w:val="0"/>
        <w:numPr>
          <w:ilvl w:val="0"/>
          <w:numId w:val="275"/>
        </w:numPr>
        <w:shd w:val="clear" w:color="auto" w:fill="auto"/>
        <w:tabs>
          <w:tab w:pos="241" w:val="left"/>
        </w:tabs>
        <w:bidi w:val="0"/>
        <w:spacing w:before="0" w:line="240" w:lineRule="auto"/>
        <w:ind w:left="0" w:right="0" w:firstLine="0"/>
        <w:jc w:val="left"/>
      </w:pPr>
      <w:bookmarkStart w:id="182" w:name="bookmark182"/>
      <w:r>
        <w:rPr>
          <w:rFonts w:ascii="Times New Roman" w:eastAsia="Times New Roman" w:hAnsi="Times New Roman" w:cs="Times New Roman"/>
          <w:color w:val="000000"/>
          <w:spacing w:val="0"/>
          <w:w w:val="100"/>
          <w:position w:val="0"/>
          <w:shd w:val="clear" w:color="auto" w:fill="auto"/>
          <w:lang w:val="hr-HR" w:eastAsia="hr-HR" w:bidi="hr-HR"/>
        </w:rPr>
        <w:t>židovski</w:t>
      </w:r>
      <w:bookmarkEnd w:id="182"/>
    </w:p>
    <w:p>
      <w:pPr>
        <w:pStyle w:val="Style20"/>
        <w:keepNext w:val="0"/>
        <w:keepLines w:val="0"/>
        <w:widowControl w:val="0"/>
        <w:shd w:val="clear" w:color="auto" w:fill="auto"/>
        <w:bidi w:val="0"/>
        <w:spacing w:before="0" w:after="1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jednoj rabinskoj pripovijesti. Bog je Izraelcima za njihova putovanja kroz pustinju »podignuo zdenac. 1 svakoje pleme napravilo kanal i dovelo sebi vodu; i tada su posadili smokve i mogranjc koji su rodili još istoga dana, kao na početku stvaranja svijeta« (Tan- huma I.ev 19 i d.j. Pretpostavlja se da im je Bog dao »zdenac zbog Mirjamine zasluge«, pa sc zbog toga navodi: »Tri dobra hranitelja is</w:t>
        <w:softHyphen/>
        <w:t xml:space="preserve">krsnula su u Izraelu: Mojsije, Aron i Mirjam« </w:t>
      </w:r>
      <w:r>
        <w:rPr>
          <w:rFonts w:ascii="Times New Roman" w:eastAsia="Times New Roman" w:hAnsi="Times New Roman" w:cs="Times New Roman"/>
          <w:color w:val="000000"/>
          <w:spacing w:val="0"/>
          <w:w w:val="100"/>
          <w:position w:val="0"/>
          <w:shd w:val="clear" w:color="auto" w:fill="auto"/>
          <w:lang w:val="en-US" w:eastAsia="en-US" w:bidi="en-US"/>
        </w:rPr>
        <w:t xml:space="preserve">(bTaanit </w:t>
      </w:r>
      <w:r>
        <w:rPr>
          <w:rFonts w:ascii="Times New Roman" w:eastAsia="Times New Roman" w:hAnsi="Times New Roman" w:cs="Times New Roman"/>
          <w:color w:val="000000"/>
          <w:spacing w:val="0"/>
          <w:w w:val="100"/>
          <w:position w:val="0"/>
          <w:shd w:val="clear" w:color="auto" w:fill="auto"/>
          <w:lang w:val="hr-HR" w:eastAsia="hr-HR" w:bidi="hr-HR"/>
        </w:rPr>
        <w:t xml:space="preserve">9a; usp.Tos. </w:t>
      </w:r>
      <w:r>
        <w:rPr>
          <w:rFonts w:ascii="Times New Roman" w:eastAsia="Times New Roman" w:hAnsi="Times New Roman" w:cs="Times New Roman"/>
          <w:color w:val="000000"/>
          <w:spacing w:val="0"/>
          <w:w w:val="100"/>
          <w:position w:val="0"/>
          <w:shd w:val="clear" w:color="auto" w:fill="auto"/>
          <w:lang w:val="en-US" w:eastAsia="en-US" w:bidi="en-US"/>
        </w:rPr>
        <w:t xml:space="preserve">Sola </w:t>
      </w:r>
      <w:r>
        <w:rPr>
          <w:rFonts w:ascii="Times New Roman" w:eastAsia="Times New Roman" w:hAnsi="Times New Roman" w:cs="Times New Roman"/>
          <w:color w:val="000000"/>
          <w:spacing w:val="0"/>
          <w:w w:val="100"/>
          <w:position w:val="0"/>
          <w:shd w:val="clear" w:color="auto" w:fill="auto"/>
          <w:lang w:val="hr-HR" w:eastAsia="hr-HR" w:bidi="hr-HR"/>
        </w:rPr>
        <w:t xml:space="preserve">XI,10; b Bava me- cia 86b; Sabat 35a). Zbog Mirjam (Izl 15,20 i d.; Mih 6,4) M. je postala omiljeno ime. Kada je posrijedi Isusova majka (Mt 1,16-2,11; Lk 1,27-2,34; Mt 13,55 par.; Dj 1,14; Mk 3,31 i d. par.; Iv 2,1 i d.; 19,25 i d.j), onda je riječ o </w:t>
      </w:r>
      <w:r>
        <w:rPr>
          <w:rFonts w:ascii="Times New Roman" w:eastAsia="Times New Roman" w:hAnsi="Times New Roman" w:cs="Times New Roman"/>
          <w:i/>
          <w:iCs/>
          <w:color w:val="000000"/>
          <w:spacing w:val="0"/>
          <w:w w:val="100"/>
          <w:position w:val="0"/>
          <w:shd w:val="clear" w:color="auto" w:fill="auto"/>
          <w:lang w:val="hr-HR" w:eastAsia="hr-HR" w:bidi="hr-HR"/>
        </w:rPr>
        <w:t>židovskoj majci.</w:t>
      </w:r>
      <w:r>
        <w:rPr>
          <w:rFonts w:ascii="Times New Roman" w:eastAsia="Times New Roman" w:hAnsi="Times New Roman" w:cs="Times New Roman"/>
          <w:color w:val="000000"/>
          <w:spacing w:val="0"/>
          <w:w w:val="100"/>
          <w:position w:val="0"/>
          <w:shd w:val="clear" w:color="auto" w:fill="auto"/>
          <w:lang w:val="hr-HR" w:eastAsia="hr-HR" w:bidi="hr-HR"/>
        </w:rPr>
        <w:t xml:space="preserve"> Ona je u Izraelu zauzimala ugledno mjesto (Ps 113.9; Izr 31,15.28). Djeca su je poštovala (Izl 20,12) i osjećala prema majci isto strahopoštovanje kao prema ocu (21,15.17); pritom se majka spominje i prije oca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 21,2). Tko svojoj majci zadaje brige, bezuman je sin (Jzr 10.1; usp. 17,25). »Jedna majka u Izraelu« zvala sc Dcbora (Suci 5,7); njezin primjer pokazuje da je žena mogla obnašati vodeću javnu službu (4,4). I druge su žene bile politički aktivne (2 Kr 11,1; 22,14-20; Estera). Žene su imale pristup sve</w:t>
        <w:softHyphen/>
        <w:t xml:space="preserve">tištu. žrtvenim i bogoslužnim obredima (1 Sam 1; 2,19; 6,19; Suci 13,20 i d.; 2 Kr 4,22 i d.; Ezr 10,1; Neh 12,43); sudjelovale su u čitanju i tumačenju Tore (Pnz 31,12; 2 Kr 23.2; Neh 8,2 i d.; 10,29). Rabini su smatrali da su žene svjesnije cilja (b Megila 14a) i osjećajnijc od muškaraca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14b) i naglašavali da je Bog</w:t>
      </w:r>
    </w:p>
    <w:p>
      <w:pPr>
        <w:pStyle w:val="Style20"/>
        <w:keepNext w:val="0"/>
        <w:keepLines w:val="0"/>
        <w:widowControl w:val="0"/>
        <w:shd w:val="clear" w:color="auto" w:fill="auto"/>
        <w:tabs>
          <w:tab w:pos="2462" w:val="left"/>
        </w:tabs>
        <w:bidi w:val="0"/>
        <w:spacing w:before="0" w:after="160" w:line="254"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»ženi dao više razbora (razuma,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bina)</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negoli muškarcu« (b Nida 45b). Već u Tori mudraci su našli tti nadmoć žene u Božjoj zapovijedi rodozačetniku: »Sve što ti kaže Sara poslušaj« (Post 21,12); Midraš Tanhuma upozorava »na glas Božjega duha u njoj; iz toga učimo da je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z w:val="15"/>
          <w:szCs w:val="15"/>
          <w:shd w:val="clear" w:color="auto" w:fill="auto"/>
          <w:lang w:val="hr-HR" w:eastAsia="hr-HR" w:bidi="hr-HR"/>
        </w:rPr>
        <w:t>zaostajao za Sarinim proročkim du</w:t>
        <w:softHyphen/>
        <w:t>hom« (Tanhuma u vezi s navedenim mjes</w:t>
        <w:softHyphen/>
        <w:t>tom). Židovska žena u središtu je obiteljske kuće: »Njegova kuća, to je njegova žena« (M Joma 1,1; usp. b Šabat 118b); »Njegova žena, to je on sam« (b Menahot 93b); »Čovjek (Ži</w:t>
        <w:softHyphen/>
        <w:t xml:space="preserve">dov) koji nema ženu, nije čovjek« (b Jevamot 63a), »on nema radosti, nema blagoslova, nema dobrote«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(ibid. </w:t>
      </w:r>
      <w:r>
        <w:rPr>
          <w:rFonts w:ascii="Times New Roman" w:eastAsia="Times New Roman" w:hAnsi="Times New Roman" w:cs="Times New Roman"/>
          <w:color w:val="000000"/>
          <w:spacing w:val="0"/>
          <w:w w:val="100"/>
          <w:position w:val="0"/>
          <w:sz w:val="15"/>
          <w:szCs w:val="15"/>
          <w:shd w:val="clear" w:color="auto" w:fill="auto"/>
          <w:lang w:val="hr-HR" w:eastAsia="hr-HR" w:bidi="hr-HR"/>
        </w:rPr>
        <w:t>62b). »Pjesma o vrsnoj ženi« (lzr 31,10-31) ima u molitveniku i u svetko</w:t>
        <w:softHyphen/>
        <w:t>vini sabata čvrsto mjesto. Židovska je žena oslobođena dijela vjerskih obveza, i to od svih propisa čije je vršenje povezano s određenim vremenom (M Kidušin 1,7; b 33b); to nije zbog nepoštovanja žene, već samo stoga - ka</w:t>
        <w:softHyphen/>
        <w:t xml:space="preserve">ko glasi autoritativno obrazloženje (David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ben Josef,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Abudraham) -</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da se ona kao su</w:t>
        <w:softHyphen/>
        <w:t xml:space="preserve">pruga i majka ne nađe u proturječju dužnosti prema Bogu i svojih zadaća koje su etički više ocijenjene nego izvršavanje religijskih odredbi. </w:t>
      </w:r>
      <w:r>
        <w:rPr>
          <w:rFonts w:ascii="Arial" w:eastAsia="Arial" w:hAnsi="Arial" w:cs="Arial"/>
          <w:color w:val="000000"/>
          <w:spacing w:val="0"/>
          <w:w w:val="100"/>
          <w:position w:val="0"/>
          <w:sz w:val="12"/>
          <w:szCs w:val="12"/>
          <w:shd w:val="clear" w:color="auto" w:fill="auto"/>
          <w:lang w:val="en-US" w:eastAsia="en-US" w:bidi="en-US"/>
        </w:rPr>
        <w:t xml:space="preserve">Lit.; </w:t>
      </w:r>
      <w:r>
        <w:rPr>
          <w:rFonts w:ascii="Arial" w:eastAsia="Arial" w:hAnsi="Arial" w:cs="Arial"/>
          <w:i/>
          <w:iCs/>
          <w:color w:val="000000"/>
          <w:spacing w:val="0"/>
          <w:w w:val="100"/>
          <w:position w:val="0"/>
          <w:sz w:val="12"/>
          <w:szCs w:val="12"/>
          <w:shd w:val="clear" w:color="auto" w:fill="auto"/>
          <w:lang w:val="en-US" w:eastAsia="en-US" w:bidi="en-US"/>
        </w:rPr>
        <w:t xml:space="preserve">Encyclopaedia Judaica </w:t>
      </w:r>
      <w:r>
        <w:rPr>
          <w:rFonts w:ascii="Arial" w:eastAsia="Arial" w:hAnsi="Arial" w:cs="Arial"/>
          <w:i/>
          <w:iCs/>
          <w:color w:val="000000"/>
          <w:spacing w:val="0"/>
          <w:w w:val="100"/>
          <w:position w:val="0"/>
          <w:sz w:val="12"/>
          <w:szCs w:val="12"/>
          <w:shd w:val="clear" w:color="auto" w:fill="auto"/>
          <w:lang w:val="hr-HR" w:eastAsia="hr-HR" w:bidi="hr-HR"/>
        </w:rPr>
        <w:t>16,</w:t>
      </w:r>
      <w:r>
        <w:rPr>
          <w:rFonts w:ascii="Arial" w:eastAsia="Arial" w:hAnsi="Arial" w:cs="Arial"/>
          <w:color w:val="000000"/>
          <w:spacing w:val="0"/>
          <w:w w:val="100"/>
          <w:position w:val="0"/>
          <w:sz w:val="12"/>
          <w:szCs w:val="12"/>
          <w:shd w:val="clear" w:color="auto" w:fill="auto"/>
          <w:lang w:val="hr-HR" w:eastAsia="hr-HR" w:bidi="hr-HR"/>
        </w:rPr>
        <w:t xml:space="preserve"> </w:t>
      </w:r>
      <w:r>
        <w:rPr>
          <w:rFonts w:ascii="Arial" w:eastAsia="Arial" w:hAnsi="Arial" w:cs="Arial"/>
          <w:color w:val="000000"/>
          <w:spacing w:val="0"/>
          <w:w w:val="100"/>
          <w:position w:val="0"/>
          <w:sz w:val="12"/>
          <w:szCs w:val="12"/>
          <w:shd w:val="clear" w:color="auto" w:fill="auto"/>
          <w:vertAlign w:val="superscript"/>
          <w:lang w:val="hr-HR" w:eastAsia="hr-HR" w:bidi="hr-HR"/>
        </w:rPr>
        <w:t>4</w:t>
      </w:r>
      <w:r>
        <w:rPr>
          <w:rFonts w:ascii="Arial" w:eastAsia="Arial" w:hAnsi="Arial" w:cs="Arial"/>
          <w:color w:val="000000"/>
          <w:spacing w:val="0"/>
          <w:w w:val="100"/>
          <w:position w:val="0"/>
          <w:sz w:val="12"/>
          <w:szCs w:val="12"/>
          <w:shd w:val="clear" w:color="auto" w:fill="auto"/>
          <w:lang w:val="hr-HR" w:eastAsia="hr-HR" w:bidi="hr-HR"/>
        </w:rPr>
        <w:t xml:space="preserve">1978. 623-30, P. Navć, </w:t>
      </w:r>
      <w:r>
        <w:rPr>
          <w:rFonts w:ascii="Arial" w:eastAsia="Arial" w:hAnsi="Arial" w:cs="Arial"/>
          <w:color w:val="000000"/>
          <w:spacing w:val="0"/>
          <w:w w:val="100"/>
          <w:position w:val="0"/>
          <w:sz w:val="12"/>
          <w:szCs w:val="12"/>
          <w:shd w:val="clear" w:color="auto" w:fill="auto"/>
          <w:lang w:val="en-US" w:eastAsia="en-US" w:bidi="en-US"/>
        </w:rPr>
        <w:t xml:space="preserve">Die Frau </w:t>
      </w:r>
      <w:r>
        <w:rPr>
          <w:rFonts w:ascii="Arial" w:eastAsia="Arial" w:hAnsi="Arial" w:cs="Arial"/>
          <w:color w:val="000000"/>
          <w:spacing w:val="0"/>
          <w:w w:val="100"/>
          <w:position w:val="0"/>
          <w:sz w:val="12"/>
          <w:szCs w:val="12"/>
          <w:shd w:val="clear" w:color="auto" w:fill="auto"/>
          <w:lang w:val="hr-HR" w:eastAsia="hr-HR" w:bidi="hr-HR"/>
        </w:rPr>
        <w:t xml:space="preserve">im Judentum. u: B. Rubcnach. Hrsg, </w:t>
      </w:r>
      <w:r>
        <w:rPr>
          <w:rFonts w:ascii="Arial" w:eastAsia="Arial" w:hAnsi="Arial" w:cs="Arial"/>
          <w:i/>
          <w:iCs/>
          <w:color w:val="000000"/>
          <w:spacing w:val="0"/>
          <w:w w:val="100"/>
          <w:position w:val="0"/>
          <w:sz w:val="12"/>
          <w:szCs w:val="12"/>
          <w:shd w:val="clear" w:color="auto" w:fill="auto"/>
          <w:lang w:val="hr-HR" w:eastAsia="hr-HR" w:bidi="hr-HR"/>
        </w:rPr>
        <w:t xml:space="preserve">Regcgnungen </w:t>
      </w:r>
      <w:r>
        <w:rPr>
          <w:rFonts w:ascii="Arial" w:eastAsia="Arial" w:hAnsi="Arial" w:cs="Arial"/>
          <w:i/>
          <w:iCs/>
          <w:color w:val="000000"/>
          <w:spacing w:val="0"/>
          <w:w w:val="100"/>
          <w:position w:val="0"/>
          <w:sz w:val="12"/>
          <w:szCs w:val="12"/>
          <w:shd w:val="clear" w:color="auto" w:fill="auto"/>
          <w:lang w:val="en-US" w:eastAsia="en-US" w:bidi="en-US"/>
        </w:rPr>
        <w:t xml:space="preserve">mil dem </w:t>
      </w:r>
      <w:r>
        <w:rPr>
          <w:rFonts w:ascii="Arial" w:eastAsia="Arial" w:hAnsi="Arial" w:cs="Arial"/>
          <w:i/>
          <w:iCs/>
          <w:color w:val="000000"/>
          <w:spacing w:val="0"/>
          <w:w w:val="100"/>
          <w:position w:val="0"/>
          <w:sz w:val="12"/>
          <w:szCs w:val="12"/>
          <w:shd w:val="clear" w:color="auto" w:fill="auto"/>
          <w:lang w:val="hr-HR" w:eastAsia="hr-HR" w:bidi="hr-HR"/>
        </w:rPr>
        <w:t>Judcntum,</w:t>
      </w:r>
      <w:r>
        <w:rPr>
          <w:rFonts w:ascii="Arial" w:eastAsia="Arial" w:hAnsi="Arial" w:cs="Arial"/>
          <w:color w:val="000000"/>
          <w:spacing w:val="0"/>
          <w:w w:val="100"/>
          <w:position w:val="0"/>
          <w:sz w:val="12"/>
          <w:szCs w:val="12"/>
          <w:shd w:val="clear" w:color="auto" w:fill="auto"/>
          <w:lang w:val="hr-HR" w:eastAsia="hr-HR" w:bidi="hr-HR"/>
        </w:rPr>
        <w:t xml:space="preserve"> 1981, 189-97; Sch. Bcr.-Chorin. </w:t>
      </w:r>
      <w:r>
        <w:rPr>
          <w:rFonts w:ascii="Arial" w:eastAsia="Arial" w:hAnsi="Arial" w:cs="Arial"/>
          <w:i/>
          <w:iCs/>
          <w:color w:val="000000"/>
          <w:spacing w:val="0"/>
          <w:w w:val="100"/>
          <w:position w:val="0"/>
          <w:sz w:val="12"/>
          <w:szCs w:val="12"/>
          <w:shd w:val="clear" w:color="auto" w:fill="auto"/>
          <w:lang w:val="en-US" w:eastAsia="en-US" w:bidi="en-US"/>
        </w:rPr>
        <w:t xml:space="preserve">Mullet </w:t>
      </w:r>
      <w:r>
        <w:rPr>
          <w:rFonts w:ascii="Arial" w:eastAsia="Arial" w:hAnsi="Arial" w:cs="Arial"/>
          <w:i/>
          <w:iCs/>
          <w:color w:val="000000"/>
          <w:spacing w:val="0"/>
          <w:w w:val="100"/>
          <w:position w:val="0"/>
          <w:sz w:val="12"/>
          <w:szCs w:val="12"/>
          <w:shd w:val="clear" w:color="auto" w:fill="auto"/>
          <w:lang w:val="hr-HR" w:eastAsia="hr-HR" w:bidi="hr-HR"/>
        </w:rPr>
        <w:t xml:space="preserve">Mirjam. </w:t>
      </w:r>
      <w:r>
        <w:rPr>
          <w:rFonts w:ascii="Arial" w:eastAsia="Arial" w:hAnsi="Arial" w:cs="Arial"/>
          <w:i/>
          <w:iCs/>
          <w:color w:val="000000"/>
          <w:spacing w:val="0"/>
          <w:w w:val="100"/>
          <w:position w:val="0"/>
          <w:sz w:val="12"/>
          <w:szCs w:val="12"/>
          <w:shd w:val="clear" w:color="auto" w:fill="auto"/>
          <w:lang w:val="en-US" w:eastAsia="en-US" w:bidi="en-US"/>
        </w:rPr>
        <w:t xml:space="preserve">Maria </w:t>
      </w:r>
      <w:r>
        <w:rPr>
          <w:rFonts w:ascii="Arial" w:eastAsia="Arial" w:hAnsi="Arial" w:cs="Arial"/>
          <w:i/>
          <w:iCs/>
          <w:color w:val="000000"/>
          <w:spacing w:val="0"/>
          <w:w w:val="100"/>
          <w:position w:val="0"/>
          <w:sz w:val="12"/>
          <w:szCs w:val="12"/>
          <w:shd w:val="clear" w:color="auto" w:fill="auto"/>
          <w:lang w:val="hr-HR" w:eastAsia="hr-HR" w:bidi="hr-HR"/>
        </w:rPr>
        <w:t>injudischer Sicht,</w:t>
      </w:r>
      <w:r>
        <w:rPr>
          <w:rFonts w:ascii="Arial" w:eastAsia="Arial" w:hAnsi="Arial" w:cs="Arial"/>
          <w:color w:val="000000"/>
          <w:spacing w:val="0"/>
          <w:w w:val="100"/>
          <w:position w:val="0"/>
          <w:sz w:val="12"/>
          <w:szCs w:val="12"/>
          <w:shd w:val="clear" w:color="auto" w:fill="auto"/>
          <w:lang w:val="hr-HR" w:eastAsia="hr-HR" w:bidi="hr-HR"/>
        </w:rPr>
        <w:t xml:space="preserve"> '1984.</w:t>
        <w:tab/>
        <w:t>D. vii'ITER</w:t>
      </w:r>
    </w:p>
    <w:p>
      <w:pPr>
        <w:pStyle w:val="Style63"/>
        <w:keepNext/>
        <w:keepLines/>
        <w:widowControl w:val="0"/>
        <w:numPr>
          <w:ilvl w:val="0"/>
          <w:numId w:val="275"/>
        </w:numPr>
        <w:shd w:val="clear" w:color="auto" w:fill="auto"/>
        <w:tabs>
          <w:tab w:pos="255" w:val="left"/>
        </w:tabs>
        <w:bidi w:val="0"/>
        <w:spacing w:before="0" w:after="100" w:line="218" w:lineRule="auto"/>
        <w:ind w:left="0" w:right="0" w:firstLine="0"/>
        <w:jc w:val="both"/>
      </w:pPr>
      <w:bookmarkStart w:id="183" w:name="bookmark18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83"/>
    </w:p>
    <w:p>
      <w:pPr>
        <w:pStyle w:val="Style20"/>
        <w:keepNext w:val="0"/>
        <w:keepLines w:val="0"/>
        <w:widowControl w:val="0"/>
        <w:shd w:val="clear" w:color="auto" w:fill="auto"/>
        <w:bidi w:val="0"/>
        <w:spacing w:before="0" w:after="0"/>
        <w:ind w:left="0" w:right="0" w:firstLine="0"/>
        <w:jc w:val="both"/>
        <w:sectPr>
          <w:headerReference w:type="default" r:id="rId743"/>
          <w:footerReference w:type="default" r:id="rId744"/>
          <w:headerReference w:type="even" r:id="rId745"/>
          <w:footerReference w:type="even" r:id="rId746"/>
          <w:footnotePr>
            <w:pos w:val="pageBottom"/>
            <w:numFmt w:val="decimal"/>
            <w:numRestart w:val="continuous"/>
            <w15:footnoteColumns w:val="1"/>
          </w:footnotePr>
          <w:pgSz w:w="6816" w:h="11006"/>
          <w:pgMar w:top="1017" w:left="190" w:right="189" w:bottom="476" w:header="589" w:footer="3" w:gutter="0"/>
          <w:pgNumType w:start="255"/>
          <w:cols w:num="2" w:space="17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Mariji, »Isusovoj majci« (Mk 6,8; Mt 13,55; Dj 1,14) daje se u Bibliji razmjerno malo mjesta. Najranije upućivanje na Mariju bez spomi</w:t>
        <w:softHyphen/>
        <w:t xml:space="preserve">njanja njezina imena nalazi sc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»Po</w:t>
        <w:softHyphen/>
        <w:t>sla Bog svoga Sina, rođena od žene« (Gal 4,4). Tako je već rečeno ono što je važno: Po Mariji ušao je Sin Božji, Isus Krist, u ljudsku povijest, postao je pravi čovjek. Naglašavajući podrijetlo Isusa Krista od žene, Pavao želi pod</w:t>
        <w:softHyphen/>
        <w:t xml:space="preserve">crtali pravu ljudsku narav raspetoga i uskrslo-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ga Gospodina kojega je naviještao. Kada je s vremenom raslo zanimanje za Isusov život i djelovanje prije njegove smrti i njegova uskrs</w:t>
        <w:softHyphen/>
        <w:t>nuća, veću je ulogu, naravno, igralo i pitanje o Mariji kao njegovoj majci kao Sto svjedoče Evanđelja po Matcju i Luki: oba u svojim pri</w:t>
        <w:softHyphen/>
        <w:t>povijedanjima o djetinjstvu također govore o Isusovu začeću i rođenju (Mt 1,18-2,23; Lk 1,5-2,52). Prema njima, M. je potjecala iz Nazareta i bila zaručena s Josipom, potom</w:t>
        <w:softHyphen/>
        <w:t>kom iz Davidove kuće (Mt 1,18; Lk 1,26 i d.). Još prije no što je došlo između njih do brač</w:t>
        <w:softHyphen/>
        <w:t xml:space="preserve">nog zajedništva, anđeo </w:t>
      </w: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je, po Božjem nalogu donio poruku da će ona začeti i roditi Sina kojem treba dati ime Isus (Lk 1,26 i d.). Njezino se majčinstvo, tako se dalje kaže, ne izvodi iz spolnog zajedništva, nego se svodi na djelovanje Duha Svetoga (Mt 1,18; Lk 1,35); »Jer Bogu ništa nije nemoguće«, potvrđuje Luka (1,37). Nadalje saznajemo da je M. na temelju božanske poruke, koju joj je priopćio Gabrijel, posjetila svoju vremešnu rođakinju Elizabetu, trudnoća koje se trebala shvatiti kao znakovita potvrda obećanja koje je dano Mariji (Lk 1,35-37).</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Pitanje rođenja od djevice često se postavljalo i raspravljalo. Prigovori na povijesno-biološko shvaćanje rođenja od djevice (uzori i paralele u grčkim i istočnjačkim mitovima; nikakva upućivanja na djevičansko rođenje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 Marka nego tek u kasnijem uljepšanom i s poučnim dodacima dopunjenom načinu pri</w:t>
        <w:softHyphen/>
        <w:t xml:space="preserve">povijedanja u pripovijestima o djetinjstvu kod Mateja i Luke), objasnili su i izoštrili smisao za </w:t>
      </w:r>
      <w:r>
        <w:rPr>
          <w:rFonts w:ascii="Times New Roman" w:eastAsia="Times New Roman" w:hAnsi="Times New Roman" w:cs="Times New Roman"/>
          <w:i/>
          <w:iCs/>
          <w:color w:val="000000"/>
          <w:spacing w:val="0"/>
          <w:w w:val="100"/>
          <w:position w:val="0"/>
          <w:shd w:val="clear" w:color="auto" w:fill="auto"/>
          <w:lang w:val="hr-HR" w:eastAsia="hr-HR" w:bidi="hr-HR"/>
        </w:rPr>
        <w:t>teološko</w:t>
      </w:r>
      <w:r>
        <w:rPr>
          <w:rFonts w:ascii="Times New Roman" w:eastAsia="Times New Roman" w:hAnsi="Times New Roman" w:cs="Times New Roman"/>
          <w:color w:val="000000"/>
          <w:spacing w:val="0"/>
          <w:w w:val="100"/>
          <w:position w:val="0"/>
          <w:shd w:val="clear" w:color="auto" w:fill="auto"/>
          <w:lang w:val="hr-HR" w:eastAsia="hr-HR" w:bidi="hr-HR"/>
        </w:rPr>
        <w:t xml:space="preserve"> shvaćanje djevičanskog rođenja: Ono je djelovanjem Duha Božjega znak no</w:t>
        <w:softHyphen/>
        <w:t>voga početka povijesti Boga s ljudima (usp. Post 1,2); kao što je Bog u povijesti izraelskog naroda uvijek iznova iz ljudi koji su bili ne</w:t>
        <w:softHyphen/>
        <w:t>plodni budio proroke i opominjatelje kao na</w:t>
        <w:softHyphen/>
        <w:t>vjestitelje spasenja (usp. Post 17,1 i d.; 1 Sam 1,4 i d.; Suci 13,1 ld.), tako sada potpuno no</w:t>
        <w:softHyphen/>
        <w:t xml:space="preserve">vim početkom u </w:t>
      </w:r>
      <w:r>
        <w:rPr>
          <w:rFonts w:ascii="Times New Roman" w:eastAsia="Times New Roman" w:hAnsi="Times New Roman" w:cs="Times New Roman"/>
          <w:i/>
          <w:iCs/>
          <w:color w:val="000000"/>
          <w:spacing w:val="0"/>
          <w:w w:val="100"/>
          <w:position w:val="0"/>
          <w:shd w:val="clear" w:color="auto" w:fill="auto"/>
          <w:lang w:val="hr-HR" w:eastAsia="hr-HR" w:bidi="hr-HR"/>
        </w:rPr>
        <w:t>Isusu</w:t>
      </w:r>
      <w:r>
        <w:rPr>
          <w:rFonts w:ascii="Times New Roman" w:eastAsia="Times New Roman" w:hAnsi="Times New Roman" w:cs="Times New Roman"/>
          <w:color w:val="000000"/>
          <w:spacing w:val="0"/>
          <w:w w:val="100"/>
          <w:position w:val="0"/>
          <w:shd w:val="clear" w:color="auto" w:fill="auto"/>
          <w:lang w:val="hr-HR" w:eastAsia="hr-HR" w:bidi="hr-HR"/>
        </w:rPr>
        <w:t xml:space="preserve"> ova povijest Boga s lju</w:t>
        <w:softHyphen/>
        <w:t>dima dosiže svoj nenadmašiv vrhunac: Bog se objavljuje u Isusu kao »Bog je s nama« (Mt 1,23). U znaku djevičanskog rođenja potvrđen je taj novi početak izvana. U tom smislu Matcj shvaća obećanje Mesije kod proroka lzaije (7,14) kao proročanstvo o djevičanskom rođe</w:t>
        <w:softHyphen/>
        <w:t>nju. Daljnji iskazi o Mariji u pripovijestima o djetinjstvu (Isusovo rođenje u Betlehemu, Mt 1,25 i d.; Lk 2,1-7, bijeg u Egipat i povratak 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Nazaret, Mt 2,13-23, obrezanje i Isusovo pri</w:t>
        <w:softHyphen/>
        <w:t>kazivanje u Hramu, Lk 2,21-39, dvanaestogo</w:t>
        <w:softHyphen/>
        <w:t>dišnji Isus u Hramu u Jeruzalemu, Lk 2,40-52) osvjetljavaju kako je snažno M. uključena u Božje djelovanje. Stoga je njezina bezuvjetna vjera visoko cijenjena (Lk 1,42-45) i sama je</w:t>
      </w:r>
    </w:p>
    <w:p>
      <w:pPr>
        <w:pStyle w:val="Style20"/>
        <w:keepNext w:val="0"/>
        <w:keepLines w:val="0"/>
        <w:widowControl w:val="0"/>
        <w:shd w:val="clear" w:color="auto" w:fill="auto"/>
        <w:tabs>
          <w:tab w:pos="313"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w:t>
        <w:tab/>
        <w:t xml:space="preserve">prikazana kao žena koja zahvaljuje i slavi (Lk 1,46-55: </w:t>
      </w:r>
      <w:r>
        <w:rPr>
          <w:rFonts w:ascii="Times New Roman" w:eastAsia="Times New Roman" w:hAnsi="Times New Roman" w:cs="Times New Roman"/>
          <w:color w:val="000000"/>
          <w:spacing w:val="0"/>
          <w:w w:val="100"/>
          <w:position w:val="0"/>
          <w:shd w:val="clear" w:color="auto" w:fill="auto"/>
          <w:lang w:val="en-US" w:eastAsia="en-US" w:bidi="en-US"/>
        </w:rPr>
        <w:t xml:space="preserve">Magnificat). </w:t>
      </w:r>
      <w:r>
        <w:rPr>
          <w:rFonts w:ascii="Times New Roman" w:eastAsia="Times New Roman" w:hAnsi="Times New Roman" w:cs="Times New Roman"/>
          <w:color w:val="000000"/>
          <w:spacing w:val="0"/>
          <w:w w:val="100"/>
          <w:position w:val="0"/>
          <w:shd w:val="clear" w:color="auto" w:fill="auto"/>
          <w:lang w:val="hr-HR" w:eastAsia="hr-HR" w:bidi="hr-HR"/>
        </w:rPr>
        <w:t>Stoje rečeno o nje</w:t>
        <w:softHyphen/>
        <w:t>zinu djetetu i što njezin Sin sam kaže, M. je sačuvala u svom srcu, kaže se kod Luke (2,19.51); tako je ona uzor onima koji slušaju i slijede Božju riječ (usp. Lk 11,27 i d.). U sva</w:t>
        <w:softHyphen/>
        <w:t>kom slučaju nisu prešućene ni njezine vlastite teškoće u pogledu njezine izabranosti (Lk 1,34), koja ne znači samo radost nego i patnju (Lk 2,34), ni njezina vlastita borba između shvaćanja i neshvaćanja njezina Sina (Lk 2,48.50; usp. i Mk 3,31 i 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Daljnja upućivanja na Mariju nalaze se u Dje</w:t>
        <w:softHyphen/>
        <w:t>lima apostolskim - ovdje se M. javlja u očeki</w:t>
        <w:softHyphen/>
        <w:t>vanju Duha Svetoga kojeg je Krist obećao usred zajednice koja je molila (Dj 1,14) - i u Ivanovu evanđelju; tu se ona nalazi na po</w:t>
        <w:softHyphen/>
        <w:t>četku (Iv 2,1-11) i na kraju Isusova javnog djelovanja (Iv 19,25-27). Tijekom crkvene po</w:t>
        <w:softHyphen/>
        <w:t>vijesti mnogo se i često razmišljalo o Mariji. Ne može se uvijek govoriti o vjerodostojnom razvoju novozavjetnih danosti: treba isto tako pribilježiti i ekstremne stavove i mišljenja o Mariji. Kao što je to često slučaj, i ovdje sve ovisi o pravoj mjeri.</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M. je Isusova majka, dakle majka Mesije, tj. Krista koji je obećan u NZ. Budući daje Isus Krist Sin Božji, M. se označava i kao Majka Božja ili Bogorodica. U daljnjem raz</w:t>
        <w:softHyphen/>
        <w:t>voju marioloških iskaza nema znatnih razlika između kršćanskih crkava. Suglasnost vlada u nužnom kristološkom utemeljenju marioloških iskaza.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Haag (Hrsg.), </w:t>
      </w:r>
      <w:r>
        <w:rPr>
          <w:i/>
          <w:iCs/>
          <w:color w:val="000000"/>
          <w:spacing w:val="0"/>
          <w:w w:val="100"/>
          <w:position w:val="0"/>
          <w:shd w:val="clear" w:color="auto" w:fill="auto"/>
          <w:lang w:val="hr-HR" w:eastAsia="hr-HR" w:bidi="hr-HR"/>
        </w:rPr>
        <w:t>Bibellaikon,</w:t>
      </w:r>
      <w:r>
        <w:rPr>
          <w:color w:val="000000"/>
          <w:spacing w:val="0"/>
          <w:w w:val="100"/>
          <w:position w:val="0"/>
          <w:shd w:val="clear" w:color="auto" w:fill="auto"/>
          <w:lang w:val="hr-HR" w:eastAsia="hr-HR" w:bidi="hr-HR"/>
        </w:rPr>
        <w:t xml:space="preserve"> Ziirich/Einsicdcln/Kdln 1982, 1094-109«; RGG Bd. IV (1960), 747-748.767-770; M. Scltmaus, natuknica »Maria«, u: </w:t>
      </w:r>
      <w:r>
        <w:rPr>
          <w:i/>
          <w:iCs/>
          <w:color w:val="000000"/>
          <w:spacing w:val="0"/>
          <w:w w:val="100"/>
          <w:position w:val="0"/>
          <w:shd w:val="clear" w:color="auto" w:fill="auto"/>
          <w:lang w:val="hr-HR" w:eastAsia="hr-HR" w:bidi="hr-HR"/>
        </w:rPr>
        <w:t xml:space="preserve">Sacramenlum </w:t>
      </w:r>
      <w:r>
        <w:rPr>
          <w:i/>
          <w:iCs/>
          <w:color w:val="000000"/>
          <w:spacing w:val="0"/>
          <w:w w:val="100"/>
          <w:position w:val="0"/>
          <w:shd w:val="clear" w:color="auto" w:fill="auto"/>
        </w:rPr>
        <w:t xml:space="preserve">Mundi, </w:t>
      </w:r>
      <w:r>
        <w:rPr>
          <w:color w:val="000000"/>
          <w:spacing w:val="0"/>
          <w:w w:val="100"/>
          <w:position w:val="0"/>
          <w:shd w:val="clear" w:color="auto" w:fill="auto"/>
          <w:lang w:val="hr-HR" w:eastAsia="hr-HR" w:bidi="hr-HR"/>
        </w:rPr>
        <w:t>Bd. 3, Frcihurg/BascIAVicn 1969, 343-349.</w:t>
      </w:r>
    </w:p>
    <w:p>
      <w:pPr>
        <w:pStyle w:val="Style74"/>
        <w:keepNext w:val="0"/>
        <w:keepLines w:val="0"/>
        <w:widowControl w:val="0"/>
        <w:shd w:val="clear" w:color="auto" w:fill="auto"/>
        <w:bidi w:val="0"/>
        <w:spacing w:before="0" w:after="0" w:line="319" w:lineRule="auto"/>
        <w:ind w:left="0" w:right="0" w:firstLine="0"/>
        <w:jc w:val="right"/>
      </w:pPr>
      <w:r>
        <w:rPr>
          <w:rFonts w:ascii="Times New Roman" w:eastAsia="Times New Roman" w:hAnsi="Times New Roman" w:cs="Times New Roman"/>
          <w:color w:val="000000"/>
          <w:spacing w:val="0"/>
          <w:w w:val="100"/>
          <w:position w:val="0"/>
          <w:sz w:val="17"/>
          <w:szCs w:val="17"/>
          <w:shd w:val="clear" w:color="auto" w:fill="auto"/>
          <w:lang w:val="hr-HR" w:eastAsia="hr-HR" w:bidi="hr-HR"/>
        </w:rPr>
        <w:t xml:space="preserve">1. </w:t>
      </w:r>
      <w:r>
        <w:rPr>
          <w:rFonts w:ascii="Times New Roman" w:eastAsia="Times New Roman" w:hAnsi="Times New Roman" w:cs="Times New Roman"/>
          <w:color w:val="000000"/>
          <w:spacing w:val="0"/>
          <w:w w:val="100"/>
          <w:position w:val="0"/>
          <w:shd w:val="clear" w:color="auto" w:fill="auto"/>
          <w:lang w:val="hr-HR" w:eastAsia="hr-HR" w:bidi="hr-HR"/>
        </w:rPr>
        <w:t>HAOEMANN</w:t>
      </w:r>
    </w:p>
    <w:p>
      <w:pPr>
        <w:pStyle w:val="Style63"/>
        <w:keepNext/>
        <w:keepLines/>
        <w:widowControl w:val="0"/>
        <w:numPr>
          <w:ilvl w:val="0"/>
          <w:numId w:val="275"/>
        </w:numPr>
        <w:shd w:val="clear" w:color="auto" w:fill="auto"/>
        <w:tabs>
          <w:tab w:pos="255" w:val="left"/>
        </w:tabs>
        <w:bidi w:val="0"/>
        <w:spacing w:before="0" w:after="0" w:line="319" w:lineRule="auto"/>
        <w:ind w:left="0" w:right="0" w:firstLine="0"/>
        <w:jc w:val="both"/>
      </w:pPr>
      <w:bookmarkStart w:id="184" w:name="bookmark184"/>
      <w:r>
        <w:rPr>
          <w:rFonts w:ascii="Times New Roman" w:eastAsia="Times New Roman" w:hAnsi="Times New Roman" w:cs="Times New Roman"/>
          <w:color w:val="000000"/>
          <w:spacing w:val="0"/>
          <w:w w:val="100"/>
          <w:position w:val="0"/>
          <w:shd w:val="clear" w:color="auto" w:fill="auto"/>
          <w:lang w:val="hr-HR" w:eastAsia="hr-HR" w:bidi="hr-HR"/>
        </w:rPr>
        <w:t>islamski</w:t>
      </w:r>
      <w:bookmarkEnd w:id="184"/>
    </w:p>
    <w:p>
      <w:pPr>
        <w:pStyle w:val="Style20"/>
        <w:keepNext w:val="0"/>
        <w:keepLines w:val="0"/>
        <w:widowControl w:val="0"/>
        <w:shd w:val="clear" w:color="auto" w:fill="auto"/>
        <w:bidi w:val="0"/>
        <w:spacing w:before="0" w:after="0" w:line="240" w:lineRule="auto"/>
        <w:ind w:left="0" w:right="0" w:firstLine="0"/>
        <w:jc w:val="both"/>
        <w:sectPr>
          <w:headerReference w:type="default" r:id="rId747"/>
          <w:footerReference w:type="default" r:id="rId748"/>
          <w:headerReference w:type="even" r:id="rId749"/>
          <w:footerReference w:type="even" r:id="rId750"/>
          <w:footnotePr>
            <w:pos w:val="pageBottom"/>
            <w:numFmt w:val="decimal"/>
            <w:numRestart w:val="continuous"/>
            <w15:footnoteColumns w:val="1"/>
          </w:footnotePr>
          <w:pgSz w:w="6816" w:h="11006"/>
          <w:pgMar w:top="1017" w:left="190" w:right="189" w:bottom="476" w:header="0" w:footer="3" w:gutter="0"/>
          <w:pgNumType w:start="252"/>
          <w:cols w:num="2" w:space="17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Kuran na više mjesta izvješćuje o Mariji (Mer- jem) i njezinu sinu Isusu. Kuransko izvješće o Marijinu rođenju u bitnome se podudara s iz</w:t>
        <w:softHyphen/>
        <w:t>vješćem apokrifnih evanđelja o njezinu dje</w:t>
        <w:softHyphen/>
        <w:t xml:space="preserve">tinjstvu. U islamskom shvaćanju vjere ono je </w:t>
      </w:r>
      <w:r>
        <w:rPr>
          <w:rFonts w:ascii="Times New Roman" w:eastAsia="Times New Roman" w:hAnsi="Times New Roman" w:cs="Times New Roman"/>
          <w:color w:val="000000"/>
          <w:spacing w:val="0"/>
          <w:w w:val="100"/>
          <w:position w:val="0"/>
          <w:shd w:val="clear" w:color="auto" w:fill="auto"/>
          <w:lang w:val="en-US" w:eastAsia="en-US" w:bidi="en-US"/>
        </w:rPr>
        <w:t xml:space="preserve">de facto </w:t>
      </w:r>
      <w:r>
        <w:rPr>
          <w:rFonts w:ascii="Times New Roman" w:eastAsia="Times New Roman" w:hAnsi="Times New Roman" w:cs="Times New Roman"/>
          <w:color w:val="000000"/>
          <w:spacing w:val="0"/>
          <w:w w:val="100"/>
          <w:position w:val="0"/>
          <w:shd w:val="clear" w:color="auto" w:fill="auto"/>
          <w:lang w:val="hr-HR" w:eastAsia="hr-HR" w:bidi="hr-HR"/>
        </w:rPr>
        <w:t xml:space="preserve">rangirano na istome stupnju kao i ta evanđelja u kršćanskom shvaćanju vjere: Naime,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to </w:t>
      </w:r>
      <w:r>
        <w:rPr>
          <w:rFonts w:ascii="Times New Roman" w:eastAsia="Times New Roman" w:hAnsi="Times New Roman" w:cs="Times New Roman"/>
          <w:color w:val="000000"/>
          <w:spacing w:val="0"/>
          <w:w w:val="100"/>
          <w:position w:val="0"/>
          <w:shd w:val="clear" w:color="auto" w:fill="auto"/>
          <w:lang w:val="hr-HR" w:eastAsia="hr-HR" w:bidi="hr-HR"/>
        </w:rPr>
        <w:t>izvješće nema nikakve »kanonske« učinke. U kuranskome konceptu ono ispunjava zada</w:t>
        <w:softHyphen/>
        <w:t>ću sličnu proročkim pripovijestima. U njima se, između ostalog, reflektira Muhamedovo religiozno okruženje. Kuran polemizira protiv shvaćanja da bi M. mogla biti dijelom Troj</w:t>
        <w:softHyphen/>
        <w:t>stva. To je shvaćanje bilo prisutno nekim krš</w:t>
        <w:softHyphen/>
        <w:t>ćanskim zajednicama na početku srednjega vi</w:t>
        <w:softHyphen/>
        <w:t xml:space="preserve">jeka. Najpoznatiji predstavnici tog shvaćanja bili su </w:t>
      </w:r>
      <w:r>
        <w:rPr>
          <w:rFonts w:ascii="Times New Roman" w:eastAsia="Times New Roman" w:hAnsi="Times New Roman" w:cs="Times New Roman"/>
          <w:i/>
          <w:iCs/>
          <w:color w:val="000000"/>
          <w:spacing w:val="0"/>
          <w:w w:val="100"/>
          <w:position w:val="0"/>
          <w:shd w:val="clear" w:color="auto" w:fill="auto"/>
          <w:lang w:val="hr-HR" w:eastAsia="hr-HR" w:bidi="hr-HR"/>
        </w:rPr>
        <w:t>merjemiti.</w:t>
      </w:r>
      <w:r>
        <w:rPr>
          <w:rFonts w:ascii="Times New Roman" w:eastAsia="Times New Roman" w:hAnsi="Times New Roman" w:cs="Times New Roman"/>
          <w:color w:val="000000"/>
          <w:spacing w:val="0"/>
          <w:w w:val="100"/>
          <w:position w:val="0"/>
          <w:shd w:val="clear" w:color="auto" w:fill="auto"/>
          <w:lang w:val="hr-HR" w:eastAsia="hr-HR" w:bidi="hr-HR"/>
        </w:rPr>
        <w:t xml:space="preserve"> Te su skupine slavile Mariju kao božanstvo. Islamu je strana ne samo sva</w:t>
        <w:softHyphen/>
        <w:t>ka pomisao na Marijinu božansku narav, nego i svaki mariološki interes. Muslimansko što</w:t>
        <w:softHyphen/>
        <w:t>vanje Marije, koje se spominje u koncilskim dokumentima Vatikana, ne smije se izjedna</w:t>
        <w:softHyphen/>
        <w:t>čavati s onim štovanjem koje joj iskazuje Ka</w:t>
        <w:softHyphen/>
        <w:t>tolička crkva. Tu i tamo, kao npr. u Egiptu, i kod muslimana se javlja vjera u Marijina uka</w:t>
        <w:softHyphen/>
        <w:t>zanja; no pismoznanci u tome vide jednu vrstu praznovjerja.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 je posljednja od četiri najbolje žene koje su ikada živjele. Pored nje su Asja, biblijska kći (po Kuranu supruga) faraona, Hatidža, Muhamcdova žena, i </w:t>
      </w:r>
      <w:r>
        <w:rPr>
          <w:rFonts w:ascii="Times New Roman" w:eastAsia="Times New Roman" w:hAnsi="Times New Roman" w:cs="Times New Roman"/>
          <w:color w:val="000000"/>
          <w:spacing w:val="0"/>
          <w:w w:val="100"/>
          <w:position w:val="0"/>
          <w:shd w:val="clear" w:color="auto" w:fill="auto"/>
          <w:lang w:val="en-US" w:eastAsia="en-US" w:bidi="en-US"/>
        </w:rPr>
        <w:t xml:space="preserve">Fatima, </w:t>
      </w:r>
      <w:r>
        <w:rPr>
          <w:rFonts w:ascii="Times New Roman" w:eastAsia="Times New Roman" w:hAnsi="Times New Roman" w:cs="Times New Roman"/>
          <w:color w:val="000000"/>
          <w:spacing w:val="0"/>
          <w:w w:val="100"/>
          <w:position w:val="0"/>
          <w:shd w:val="clear" w:color="auto" w:fill="auto"/>
          <w:lang w:val="hr-HR" w:eastAsia="hr-HR" w:bidi="hr-HR"/>
        </w:rPr>
        <w:t>Muhamcdova kći. Po Kuranu, M. je kći starih roditelja, Im- rana i Hane. Nakon zavjetovanja posvetili su dijete jednom hramu. Otac nije doživio rođe</w:t>
        <w:softHyphen/>
        <w:t xml:space="preserve">nje kćeri. Pod nišom hrama o njoj se brinuo ujak Zekerija </w:t>
      </w:r>
      <w:r>
        <w:rPr>
          <w:rFonts w:ascii="Times New Roman" w:eastAsia="Times New Roman" w:hAnsi="Times New Roman" w:cs="Times New Roman"/>
          <w:i/>
          <w:iCs/>
          <w:color w:val="000000"/>
          <w:spacing w:val="0"/>
          <w:w w:val="100"/>
          <w:position w:val="0"/>
          <w:shd w:val="clear" w:color="auto" w:fill="auto"/>
          <w:lang w:val="en-US" w:eastAsia="en-US" w:bidi="en-US"/>
        </w:rPr>
        <w:t>(Zakariyya).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Stoga mnoge mo</w:t>
        <w:softHyphen/>
        <w:t>litvene niše (mihrJb) u džamijama kao natpis nose onaj stih iz Kurana, u kojemu se izvješ</w:t>
        <w:softHyphen/>
        <w:t>ćuje da je Zekerija, ma koliko puta dolazio Marijinoj niši, uvijek čudom zatjccao Mariju opskrbljenu hranom (3,32).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Pripovijesti o Isusovu rođenju prethodi pripo</w:t>
        <w:softHyphen/>
        <w:t>vijest o navještaju. Predaja izvješćuje o Mariji</w:t>
        <w:softHyphen/>
        <w:t xml:space="preserve">nom četrdesetodnevnom boravku u spilji prije silaska. »I dođe </w:t>
      </w:r>
      <w:r>
        <w:rPr>
          <w:rFonts w:ascii="Times New Roman" w:eastAsia="Times New Roman" w:hAnsi="Times New Roman" w:cs="Times New Roman"/>
          <w:i/>
          <w:iCs/>
          <w:color w:val="000000"/>
          <w:spacing w:val="0"/>
          <w:w w:val="100"/>
          <w:position w:val="0"/>
          <w:shd w:val="clear" w:color="auto" w:fill="auto"/>
          <w:lang w:val="hr-HR" w:eastAsia="hr-HR" w:bidi="hr-HR"/>
        </w:rPr>
        <w:t>(Merjema)</w:t>
      </w:r>
      <w:r>
        <w:rPr>
          <w:rFonts w:ascii="Times New Roman" w:eastAsia="Times New Roman" w:hAnsi="Times New Roman" w:cs="Times New Roman"/>
          <w:color w:val="000000"/>
          <w:spacing w:val="0"/>
          <w:w w:val="100"/>
          <w:position w:val="0"/>
          <w:shd w:val="clear" w:color="auto" w:fill="auto"/>
          <w:lang w:val="hr-HR" w:eastAsia="hr-HR" w:bidi="hr-HR"/>
        </w:rPr>
        <w:t xml:space="preserve"> svome narodu, no</w:t>
        <w:softHyphen/>
        <w:t xml:space="preserve">seći ga (djetešce Isusa). Rekli su </w:t>
      </w:r>
      <w:r>
        <w:rPr>
          <w:rFonts w:ascii="Times New Roman" w:eastAsia="Times New Roman" w:hAnsi="Times New Roman" w:cs="Times New Roman"/>
          <w:i/>
          <w:iCs/>
          <w:color w:val="000000"/>
          <w:spacing w:val="0"/>
          <w:w w:val="100"/>
          <w:position w:val="0"/>
          <w:shd w:val="clear" w:color="auto" w:fill="auto"/>
          <w:lang w:val="hr-HR" w:eastAsia="hr-HR" w:bidi="hr-HR"/>
        </w:rPr>
        <w:t>(joj):</w:t>
      </w:r>
      <w:r>
        <w:rPr>
          <w:rFonts w:ascii="Times New Roman" w:eastAsia="Times New Roman" w:hAnsi="Times New Roman" w:cs="Times New Roman"/>
          <w:color w:val="000000"/>
          <w:spacing w:val="0"/>
          <w:w w:val="100"/>
          <w:position w:val="0"/>
          <w:shd w:val="clear" w:color="auto" w:fill="auto"/>
          <w:lang w:val="hr-HR" w:eastAsia="hr-HR" w:bidi="hr-HR"/>
        </w:rPr>
        <w:t xml:space="preserve"> ‘O Merjemo, učinila si nešto nečuveno. O sestro Barunova, tvoj otac nije bio loš čovjek, niti ti je majka bila nepoštena’« (19,27-28). Uto di</w:t>
        <w:softHyphen/>
        <w:t>jete počne govoriti, na što su se klevetnici ra</w:t>
        <w:softHyphen/>
        <w:t>zišli po Božjoj volji. To što je Isus progovorio kao dojenče kuransko izvješće smatra Isuso</w:t>
        <w:softHyphen/>
        <w:t>vim čudom. Prema nekim komentatorima Ku</w:t>
        <w:softHyphen/>
        <w:t>rana, Aron koji se spominje u netom citira</w:t>
        <w:softHyphen/>
        <w:t>nom stihu predstavlja jednoga Marijinog greš</w:t>
        <w:softHyphen/>
        <w:t>nog suvremenika kojega klevetnici uspoređu</w:t>
        <w:softHyphen/>
        <w:t>ju s njom.</w:t>
      </w:r>
    </w:p>
    <w:p>
      <w:pPr>
        <w:pStyle w:val="Style20"/>
        <w:keepNext w:val="0"/>
        <w:keepLines w:val="0"/>
        <w:widowControl w:val="0"/>
        <w:shd w:val="clear" w:color="auto" w:fill="auto"/>
        <w:bidi w:val="0"/>
        <w:spacing w:before="0" w:after="2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islamskoj predaji, boravak u svetoj obi</w:t>
        <w:softHyphen/>
        <w:t>telji u Egiptu trajao je 12 godina. Kuran ne iz</w:t>
        <w:softHyphen/>
      </w:r>
      <w:r>
        <w:rPr>
          <w:rFonts w:ascii="Times New Roman" w:eastAsia="Times New Roman" w:hAnsi="Times New Roman" w:cs="Times New Roman"/>
          <w:color w:val="000000"/>
          <w:spacing w:val="0"/>
          <w:w w:val="100"/>
          <w:position w:val="0"/>
          <w:shd w:val="clear" w:color="auto" w:fill="auto"/>
          <w:lang w:val="hr-HR" w:eastAsia="hr-HR" w:bidi="hr-HR"/>
        </w:rPr>
        <w:t>vješćuje o tom razdoblju Marijina života. U Kuranu se ne spominje ni njezina smrt. Njo</w:t>
        <w:softHyphen/>
        <w:t>me se utoliko više bavila legenda. Prema tim pričama, ona se od nasilne smrti svojih rim</w:t>
        <w:softHyphen/>
        <w:t xml:space="preserve">skih progonitelja spasila tako što se otvorila zemlja, a to je znak milosti koju joj je Bog udijelio do njezina zadnjega dana. s. </w:t>
      </w:r>
      <w:r>
        <w:rPr>
          <w:rFonts w:ascii="Times New Roman" w:eastAsia="Times New Roman" w:hAnsi="Times New Roman" w:cs="Times New Roman"/>
          <w:smallCaps/>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MATERIJALIZAM</w:t>
      </w:r>
    </w:p>
    <w:p>
      <w:pPr>
        <w:pStyle w:val="Style63"/>
        <w:keepNext/>
        <w:keepLines/>
        <w:widowControl w:val="0"/>
        <w:shd w:val="clear" w:color="auto" w:fill="auto"/>
        <w:bidi w:val="0"/>
        <w:spacing w:before="0"/>
        <w:ind w:left="0" w:right="0" w:firstLine="0"/>
        <w:jc w:val="both"/>
      </w:pPr>
      <w:bookmarkStart w:id="185" w:name="bookmark18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8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 je filozofsko shvaćanje koje u materiji (lat. </w:t>
      </w:r>
      <w:r>
        <w:rPr>
          <w:rFonts w:ascii="Times New Roman" w:eastAsia="Times New Roman" w:hAnsi="Times New Roman" w:cs="Times New Roman"/>
          <w:color w:val="000000"/>
          <w:spacing w:val="0"/>
          <w:w w:val="100"/>
          <w:position w:val="0"/>
          <w:shd w:val="clear" w:color="auto" w:fill="auto"/>
          <w:lang w:val="en-US" w:eastAsia="en-US" w:bidi="en-US"/>
        </w:rPr>
        <w:t xml:space="preserve">materia, </w:t>
      </w:r>
      <w:r>
        <w:rPr>
          <w:rFonts w:ascii="Times New Roman" w:eastAsia="Times New Roman" w:hAnsi="Times New Roman" w:cs="Times New Roman"/>
          <w:color w:val="000000"/>
          <w:spacing w:val="0"/>
          <w:w w:val="100"/>
          <w:position w:val="0"/>
          <w:shd w:val="clear" w:color="auto" w:fill="auto"/>
          <w:lang w:val="hr-HR" w:eastAsia="hr-HR" w:bidi="hr-HR"/>
        </w:rPr>
        <w:t>grč. hyle - »drvo«) vidi posljednju shvatljivu stvarnost postojećega, a i prividno nematerijalne oblike egzistencije (duh, svijest, um) svodi na materijalni bitak.</w:t>
      </w:r>
    </w:p>
    <w:p>
      <w:pPr>
        <w:pStyle w:val="Style20"/>
        <w:keepNext w:val="0"/>
        <w:keepLines w:val="0"/>
        <w:widowControl w:val="0"/>
        <w:numPr>
          <w:ilvl w:val="0"/>
          <w:numId w:val="277"/>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Antika:</w:t>
      </w:r>
      <w:r>
        <w:rPr>
          <w:rFonts w:ascii="Times New Roman" w:eastAsia="Times New Roman" w:hAnsi="Times New Roman" w:cs="Times New Roman"/>
          <w:color w:val="000000"/>
          <w:spacing w:val="0"/>
          <w:w w:val="100"/>
          <w:position w:val="0"/>
          <w:shd w:val="clear" w:color="auto" w:fill="auto"/>
          <w:lang w:val="hr-HR" w:eastAsia="hr-HR" w:bidi="hr-HR"/>
        </w:rPr>
        <w:t xml:space="preserve"> Početak materijalizma (sam pojam javlja se tek u XVIII. stoljeću) leži u grč. </w:t>
      </w:r>
      <w:r>
        <w:rPr>
          <w:rFonts w:ascii="Times New Roman" w:eastAsia="Times New Roman" w:hAnsi="Times New Roman" w:cs="Times New Roman"/>
          <w:i/>
          <w:iCs/>
          <w:color w:val="000000"/>
          <w:spacing w:val="0"/>
          <w:w w:val="100"/>
          <w:position w:val="0"/>
          <w:shd w:val="clear" w:color="auto" w:fill="auto"/>
          <w:lang w:val="hr-HR" w:eastAsia="hr-HR" w:bidi="hr-HR"/>
        </w:rPr>
        <w:t>ato- mistici</w:t>
      </w:r>
      <w:r>
        <w:rPr>
          <w:rFonts w:ascii="Times New Roman" w:eastAsia="Times New Roman" w:hAnsi="Times New Roman" w:cs="Times New Roman"/>
          <w:color w:val="000000"/>
          <w:spacing w:val="0"/>
          <w:w w:val="100"/>
          <w:position w:val="0"/>
          <w:shd w:val="clear" w:color="auto" w:fill="auto"/>
          <w:lang w:val="hr-HR" w:eastAsia="hr-HR" w:bidi="hr-HR"/>
        </w:rPr>
        <w:t xml:space="preserve"> (Leukip, Demokrit). Po njoj su atomi posljednji, nedjeljivi sastavni dijelovi svega pos</w:t>
        <w:softHyphen/>
        <w:t>tojećega, čvrsta tijela koja nisu nastala niti su prolazna. Neprestanim miješanjem atoma u »praznom prostoru« nastaju i nestaju sve stva</w:t>
        <w:softHyphen/>
        <w:t>ri. I ljudska duša sastoji se od atoma i raspada se smrću, tako da su besmislene sve bojazni i nade koje se vežu uz onostrano. To antireli- gijsko »učenje o spasenju« (oslobađanje čo</w:t>
        <w:softHyphen/>
        <w:t>vjeka od straha pred bogovima), koje osobito zastupa rimski pjesnik Lukrecije, Epikurov sljedbenik, ipak se ne može izjednačiti s ateiz</w:t>
        <w:softHyphen/>
        <w:t>mom koji je u kasnijem vremenu povezan s materijalizmom: Antički »materijalisti« nisu nikada osporavali postojanje bogova. Unatoč tomu što su Platon i Aristotel odbacili antički atomizam, on je i dalje djelovao na antičku prirodnu znanost i tehniku.</w:t>
      </w:r>
    </w:p>
    <w:p>
      <w:pPr>
        <w:pStyle w:val="Style20"/>
        <w:keepNext w:val="0"/>
        <w:keepLines w:val="0"/>
        <w:widowControl w:val="0"/>
        <w:numPr>
          <w:ilvl w:val="0"/>
          <w:numId w:val="277"/>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Postanak modernog materijalizma:</w:t>
      </w:r>
      <w:r>
        <w:rPr>
          <w:rFonts w:ascii="Times New Roman" w:eastAsia="Times New Roman" w:hAnsi="Times New Roman" w:cs="Times New Roman"/>
          <w:color w:val="000000"/>
          <w:spacing w:val="0"/>
          <w:w w:val="100"/>
          <w:position w:val="0"/>
          <w:shd w:val="clear" w:color="auto" w:fill="auto"/>
          <w:lang w:val="hr-HR" w:eastAsia="hr-HR" w:bidi="hr-HR"/>
        </w:rPr>
        <w:t xml:space="preserve"> Iako je svaki m. daleko od srednjovjekovnog mišlje</w:t>
        <w:softHyphen/>
        <w:t>nja, ipak je na početku modernih matema</w:t>
        <w:softHyphen/>
        <w:t>tičkih prirodnih znanosti doživio drugo ute</w:t>
        <w:softHyphen/>
        <w:t>meljenje. Najprije se mehaničko shvaćanje pri</w:t>
        <w:softHyphen/>
        <w:t xml:space="preserve">rode ograničilo na nežive predmete </w:t>
      </w:r>
      <w:r>
        <w:rPr>
          <w:rFonts w:ascii="Times New Roman" w:eastAsia="Times New Roman" w:hAnsi="Times New Roman" w:cs="Times New Roman"/>
          <w:color w:val="000000"/>
          <w:spacing w:val="0"/>
          <w:w w:val="100"/>
          <w:position w:val="0"/>
          <w:shd w:val="clear" w:color="auto" w:fill="auto"/>
          <w:lang w:val="en-US" w:eastAsia="en-US" w:bidi="en-US"/>
        </w:rPr>
        <w:t xml:space="preserve">(Newton, Kepler, Galilei); </w:t>
      </w:r>
      <w:r>
        <w:rPr>
          <w:rFonts w:ascii="Times New Roman" w:eastAsia="Times New Roman" w:hAnsi="Times New Roman" w:cs="Times New Roman"/>
          <w:color w:val="000000"/>
          <w:spacing w:val="0"/>
          <w:w w:val="100"/>
          <w:position w:val="0"/>
          <w:shd w:val="clear" w:color="auto" w:fill="auto"/>
          <w:lang w:val="hr-HR" w:eastAsia="hr-HR" w:bidi="hr-HR"/>
        </w:rPr>
        <w:t xml:space="preserve">tek kod Descartesa nalazimo podvođenje svih stvari vanjskoga svijeta pod gomilu čisto mehanički objašnjive tvorevine. Po tome su životinje bezosjećajni automati i čak čovjek, utoliko što nije svijest, može se shvatiti kao »stroj«. Otklanjanjem kartezija- nizma konačno su </w:t>
      </w:r>
      <w:r>
        <w:rPr>
          <w:rFonts w:ascii="Times New Roman" w:eastAsia="Times New Roman" w:hAnsi="Times New Roman" w:cs="Times New Roman"/>
          <w:color w:val="000000"/>
          <w:spacing w:val="0"/>
          <w:w w:val="100"/>
          <w:position w:val="0"/>
          <w:shd w:val="clear" w:color="auto" w:fill="auto"/>
          <w:lang w:val="en-US" w:eastAsia="en-US" w:bidi="en-US"/>
        </w:rPr>
        <w:t xml:space="preserve">Th. Hobbes, J. </w:t>
      </w:r>
      <w:r>
        <w:rPr>
          <w:rFonts w:ascii="Times New Roman" w:eastAsia="Times New Roman" w:hAnsi="Times New Roman" w:cs="Times New Roman"/>
          <w:color w:val="000000"/>
          <w:spacing w:val="0"/>
          <w:w w:val="100"/>
          <w:position w:val="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en-US" w:eastAsia="en-US" w:bidi="en-US"/>
        </w:rPr>
        <w:t>Alembert,</w:t>
      </w:r>
    </w:p>
    <w:p>
      <w:pPr>
        <w:pStyle w:val="Style20"/>
        <w:keepNext w:val="0"/>
        <w:keepLines w:val="0"/>
        <w:widowControl w:val="0"/>
        <w:shd w:val="clear" w:color="auto" w:fill="auto"/>
        <w:tabs>
          <w:tab w:pos="20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J.-O. de Lamettrie, P.-II. D. von Holbach i </w:t>
      </w:r>
      <w:r>
        <w:rPr>
          <w:rFonts w:ascii="Times New Roman" w:eastAsia="Times New Roman" w:hAnsi="Times New Roman" w:cs="Times New Roman"/>
          <w:color w:val="000000"/>
          <w:spacing w:val="0"/>
          <w:w w:val="100"/>
          <w:position w:val="0"/>
          <w:shd w:val="clear" w:color="auto" w:fill="auto"/>
          <w:lang w:val="hr-HR" w:eastAsia="hr-HR" w:bidi="hr-HR"/>
        </w:rPr>
        <w:t xml:space="preserve">ostali, oslanjajući se na »ponovne otkrivate- </w:t>
      </w:r>
      <w:r>
        <w:rPr>
          <w:rFonts w:ascii="Times New Roman" w:eastAsia="Times New Roman" w:hAnsi="Times New Roman" w:cs="Times New Roman"/>
          <w:color w:val="000000"/>
          <w:spacing w:val="0"/>
          <w:w w:val="100"/>
          <w:position w:val="0"/>
          <w:shd w:val="clear" w:color="auto" w:fill="auto"/>
          <w:lang w:val="hr-HR" w:eastAsia="hr-HR" w:bidi="hr-HR"/>
        </w:rPr>
        <w:t xml:space="preserve">lje« antičkoga atomizma P. Gassendija i R. </w:t>
      </w:r>
      <w:r>
        <w:rPr>
          <w:rFonts w:ascii="Times New Roman" w:eastAsia="Times New Roman" w:hAnsi="Times New Roman" w:cs="Times New Roman"/>
          <w:color w:val="000000"/>
          <w:spacing w:val="0"/>
          <w:w w:val="100"/>
          <w:position w:val="0"/>
          <w:shd w:val="clear" w:color="auto" w:fill="auto"/>
          <w:lang w:val="en-US" w:eastAsia="en-US" w:bidi="en-US"/>
        </w:rPr>
        <w:t xml:space="preserve">Boyla, </w:t>
      </w:r>
      <w:r>
        <w:rPr>
          <w:rFonts w:ascii="Times New Roman" w:eastAsia="Times New Roman" w:hAnsi="Times New Roman" w:cs="Times New Roman"/>
          <w:color w:val="000000"/>
          <w:spacing w:val="0"/>
          <w:w w:val="100"/>
          <w:position w:val="0"/>
          <w:shd w:val="clear" w:color="auto" w:fill="auto"/>
          <w:lang w:val="hr-HR" w:eastAsia="hr-HR" w:bidi="hr-HR"/>
        </w:rPr>
        <w:t>razvili svoje materijalističke sustave; držalo se da se ljudska zbivanja svijesti mogu barem u načelu svesti na fiziološke pojave u mozgu. Stoga su materijalisti odbacili besmrt</w:t>
        <w:softHyphen/>
        <w:t>nost duše kao i postojanje Boga, jer svijet kao savršen stroj ne treba nekog Stvoritelja ni Uzdržavatelja. Kršćanstvo je pak odbacilo m., dakako istodobno i prirodnu znanost - greška u koju islam nije zapao premda i arapska znanost može biti duhovni preteča materija</w:t>
        <w:softHyphen/>
        <w:t>lizma.</w:t>
      </w:r>
    </w:p>
    <w:p>
      <w:pPr>
        <w:pStyle w:val="Style20"/>
        <w:keepNext w:val="0"/>
        <w:keepLines w:val="0"/>
        <w:widowControl w:val="0"/>
        <w:numPr>
          <w:ilvl w:val="0"/>
          <w:numId w:val="277"/>
        </w:numPr>
        <w:shd w:val="clear" w:color="auto" w:fill="auto"/>
        <w:tabs>
          <w:tab w:pos="255"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 XIX. stoljeća:</w:t>
      </w:r>
      <w:r>
        <w:rPr>
          <w:rFonts w:ascii="Times New Roman" w:eastAsia="Times New Roman" w:hAnsi="Times New Roman" w:cs="Times New Roman"/>
          <w:color w:val="000000"/>
          <w:spacing w:val="0"/>
          <w:w w:val="100"/>
          <w:position w:val="0"/>
          <w:shd w:val="clear" w:color="auto" w:fill="auto"/>
          <w:lang w:val="hr-HR" w:eastAsia="hr-HR" w:bidi="hr-HR"/>
        </w:rPr>
        <w:t xml:space="preserve"> Izgleda da su nova prirodo- znanstvena otkrića na području kemije, fizike i biologije potvrdila materijalističku sliku svi</w:t>
        <w:softHyphen/>
        <w:t>jeta. Tako se osobito Danvinova teorija evolu</w:t>
        <w:softHyphen/>
        <w:t>cije približila ideji promatranja ljudskoga du</w:t>
        <w:softHyphen/>
        <w:t>ha, doduše kao vrlo složenog, ali ipak čisto materijalnoga oblika organizacije koji se na</w:t>
        <w:softHyphen/>
        <w:t>posljetku treba mehanicistički objasniti. Svjeto- nazorno sučeljavanje kulminiralo je u tzv. ma</w:t>
        <w:softHyphen/>
        <w:t xml:space="preserve">terijalističkom sponi (1854) kada je fiziolog R. </w:t>
      </w:r>
      <w:r>
        <w:rPr>
          <w:rFonts w:ascii="Times New Roman" w:eastAsia="Times New Roman" w:hAnsi="Times New Roman" w:cs="Times New Roman"/>
          <w:color w:val="000000"/>
          <w:spacing w:val="0"/>
          <w:w w:val="100"/>
          <w:position w:val="0"/>
          <w:shd w:val="clear" w:color="auto" w:fill="auto"/>
          <w:lang w:val="en-US" w:eastAsia="en-US" w:bidi="en-US"/>
        </w:rPr>
        <w:t xml:space="preserve">Wagner </w:t>
      </w:r>
      <w:r>
        <w:rPr>
          <w:rFonts w:ascii="Times New Roman" w:eastAsia="Times New Roman" w:hAnsi="Times New Roman" w:cs="Times New Roman"/>
          <w:color w:val="000000"/>
          <w:spacing w:val="0"/>
          <w:w w:val="100"/>
          <w:position w:val="0"/>
          <w:shd w:val="clear" w:color="auto" w:fill="auto"/>
          <w:lang w:val="hr-HR" w:eastAsia="hr-HR" w:bidi="hr-HR"/>
        </w:rPr>
        <w:t>pokušavao obraniti kršćanski svje</w:t>
        <w:softHyphen/>
        <w:t xml:space="preserve">tonazor protiv »materijalista« G. Vogta. Otka- da su otkrića kvantne teorije (M. </w:t>
      </w:r>
      <w:r>
        <w:rPr>
          <w:rFonts w:ascii="Times New Roman" w:eastAsia="Times New Roman" w:hAnsi="Times New Roman" w:cs="Times New Roman"/>
          <w:color w:val="000000"/>
          <w:spacing w:val="0"/>
          <w:w w:val="100"/>
          <w:position w:val="0"/>
          <w:shd w:val="clear" w:color="auto" w:fill="auto"/>
          <w:lang w:val="en-US" w:eastAsia="en-US" w:bidi="en-US"/>
        </w:rPr>
        <w:t xml:space="preserve">Planck) </w:t>
      </w:r>
      <w:r>
        <w:rPr>
          <w:rFonts w:ascii="Times New Roman" w:eastAsia="Times New Roman" w:hAnsi="Times New Roman" w:cs="Times New Roman"/>
          <w:color w:val="000000"/>
          <w:spacing w:val="0"/>
          <w:w w:val="100"/>
          <w:position w:val="0"/>
          <w:shd w:val="clear" w:color="auto" w:fill="auto"/>
          <w:lang w:val="hr-HR" w:eastAsia="hr-HR" w:bidi="hr-HR"/>
        </w:rPr>
        <w:t xml:space="preserve">i teorija relativnosti </w:t>
      </w:r>
      <w:r>
        <w:rPr>
          <w:rFonts w:ascii="Times New Roman" w:eastAsia="Times New Roman" w:hAnsi="Times New Roman" w:cs="Times New Roman"/>
          <w:color w:val="000000"/>
          <w:spacing w:val="0"/>
          <w:w w:val="100"/>
          <w:position w:val="0"/>
          <w:shd w:val="clear" w:color="auto" w:fill="auto"/>
          <w:lang w:val="en-US" w:eastAsia="en-US" w:bidi="en-US"/>
        </w:rPr>
        <w:t xml:space="preserve">(A. Einstein) </w:t>
      </w:r>
      <w:r>
        <w:rPr>
          <w:rFonts w:ascii="Times New Roman" w:eastAsia="Times New Roman" w:hAnsi="Times New Roman" w:cs="Times New Roman"/>
          <w:color w:val="000000"/>
          <w:spacing w:val="0"/>
          <w:w w:val="100"/>
          <w:position w:val="0"/>
          <w:shd w:val="clear" w:color="auto" w:fill="auto"/>
          <w:lang w:val="hr-HR" w:eastAsia="hr-HR" w:bidi="hr-HR"/>
        </w:rPr>
        <w:t>kao prekret</w:t>
        <w:softHyphen/>
        <w:t>nice revolucionirale pojam materije, m. se, osobito u svojoj novovjekoj mehanicističkoj utcmcljenosti, ne može pozivati na prirodnu znanost. Štoviše, pokazuje se da je m. oduvi</w:t>
        <w:softHyphen/>
        <w:t>jek već polazio od pretpostavki koje prelaze područje mogućeg iskustva i stoga ne može polagati pravo na to da je jedini »znanstveni« i »ispravni« svjetonazor.</w:t>
      </w:r>
    </w:p>
    <w:p>
      <w:pPr>
        <w:pStyle w:val="Style20"/>
        <w:keepNext w:val="0"/>
        <w:keepLines w:val="0"/>
        <w:widowControl w:val="0"/>
        <w:numPr>
          <w:ilvl w:val="0"/>
          <w:numId w:val="277"/>
        </w:numPr>
        <w:shd w:val="clear" w:color="auto" w:fill="auto"/>
        <w:tabs>
          <w:tab w:pos="265"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Dijalektički i historijski m.:</w:t>
      </w:r>
      <w:r>
        <w:rPr>
          <w:rFonts w:ascii="Times New Roman" w:eastAsia="Times New Roman" w:hAnsi="Times New Roman" w:cs="Times New Roman"/>
          <w:color w:val="000000"/>
          <w:spacing w:val="0"/>
          <w:w w:val="100"/>
          <w:position w:val="0"/>
          <w:shd w:val="clear" w:color="auto" w:fill="auto"/>
          <w:lang w:val="hr-HR" w:eastAsia="hr-HR" w:bidi="hr-HR"/>
        </w:rPr>
        <w:t xml:space="preserve"> Ova teoretska osnova društvenog sistema, koju su utemeljili</w:t>
      </w:r>
    </w:p>
    <w:p>
      <w:pPr>
        <w:pStyle w:val="Style20"/>
        <w:keepNext w:val="0"/>
        <w:keepLines w:val="0"/>
        <w:widowControl w:val="0"/>
        <w:shd w:val="clear" w:color="auto" w:fill="auto"/>
        <w:tabs>
          <w:tab w:pos="211" w:val="left"/>
          <w:tab w:pos="274"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w:t>
        <w:tab/>
      </w:r>
      <w:r>
        <w:rPr>
          <w:rFonts w:ascii="Times New Roman" w:eastAsia="Times New Roman" w:hAnsi="Times New Roman" w:cs="Times New Roman"/>
          <w:color w:val="000000"/>
          <w:spacing w:val="0"/>
          <w:w w:val="100"/>
          <w:position w:val="0"/>
          <w:shd w:val="clear" w:color="auto" w:fill="auto"/>
          <w:lang w:val="en-US" w:eastAsia="en-US" w:bidi="en-US"/>
        </w:rPr>
        <w:t xml:space="preserve">Marx </w:t>
      </w:r>
      <w:r>
        <w:rPr>
          <w:rFonts w:ascii="Times New Roman" w:eastAsia="Times New Roman" w:hAnsi="Times New Roman" w:cs="Times New Roman"/>
          <w:color w:val="000000"/>
          <w:spacing w:val="0"/>
          <w:w w:val="100"/>
          <w:position w:val="0"/>
          <w:shd w:val="clear" w:color="auto" w:fill="auto"/>
          <w:lang w:val="hr-HR" w:eastAsia="hr-HR" w:bidi="hr-HR"/>
        </w:rPr>
        <w:t xml:space="preserve">i F. </w:t>
      </w:r>
      <w:r>
        <w:rPr>
          <w:rFonts w:ascii="Times New Roman" w:eastAsia="Times New Roman" w:hAnsi="Times New Roman" w:cs="Times New Roman"/>
          <w:color w:val="000000"/>
          <w:spacing w:val="0"/>
          <w:w w:val="100"/>
          <w:position w:val="0"/>
          <w:shd w:val="clear" w:color="auto" w:fill="auto"/>
          <w:lang w:val="en-US" w:eastAsia="en-US" w:bidi="en-US"/>
        </w:rPr>
        <w:t xml:space="preserve">Engels </w:t>
      </w:r>
      <w:r>
        <w:rPr>
          <w:rFonts w:ascii="Times New Roman" w:eastAsia="Times New Roman" w:hAnsi="Times New Roman" w:cs="Times New Roman"/>
          <w:color w:val="000000"/>
          <w:spacing w:val="0"/>
          <w:w w:val="100"/>
          <w:position w:val="0"/>
          <w:shd w:val="clear" w:color="auto" w:fill="auto"/>
          <w:lang w:val="hr-HR" w:eastAsia="hr-HR" w:bidi="hr-HR"/>
        </w:rPr>
        <w:t>i koju je dalje razvijao V.</w:t>
      </w:r>
    </w:p>
    <w:p>
      <w:pPr>
        <w:pStyle w:val="Style20"/>
        <w:keepNext w:val="0"/>
        <w:keepLines w:val="0"/>
        <w:widowControl w:val="0"/>
        <w:numPr>
          <w:ilvl w:val="0"/>
          <w:numId w:val="279"/>
        </w:numPr>
        <w:shd w:val="clear" w:color="auto" w:fill="auto"/>
        <w:tabs>
          <w:tab w:pos="231"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Lcnjin, shvaća se kao »svjetonazor revolu</w:t>
        <w:softHyphen/>
        <w:t>cionarnih masa«. Dijalektički m. je filozofski</w:t>
      </w:r>
    </w:p>
    <w:p>
      <w:pPr>
        <w:pStyle w:val="Style20"/>
        <w:keepNext w:val="0"/>
        <w:keepLines w:val="0"/>
        <w:widowControl w:val="0"/>
        <w:shd w:val="clear" w:color="auto" w:fill="auto"/>
        <w:tabs>
          <w:tab w:pos="303"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w:t>
        <w:tab/>
        <w:t>, temeljen na metodi hegelijanske dijalek</w:t>
        <w:softHyphen/>
        <w:t>tike, koji svijet shvaća kao jedinstven kom</w:t>
        <w:softHyphen/>
        <w:t>pleks procesa koji počiva na materiji (materi</w:t>
        <w:softHyphen/>
        <w:t>jalistički monizam). Historijski m. je sinteza spoznaja stečenih primjenom dijalektičke me</w:t>
        <w:softHyphen/>
        <w:t xml:space="preserve">tode na filozofiju povijesti i on shvaća povijest kao proces koji se u dijalektičkim skokovima kreće do cilja besklasnog društva. Ovo učenje koje je razvijao </w:t>
      </w:r>
      <w:r>
        <w:rPr>
          <w:rFonts w:ascii="Times New Roman" w:eastAsia="Times New Roman" w:hAnsi="Times New Roman" w:cs="Times New Roman"/>
          <w:color w:val="000000"/>
          <w:spacing w:val="0"/>
          <w:w w:val="100"/>
          <w:position w:val="0"/>
          <w:shd w:val="clear" w:color="auto" w:fill="auto"/>
          <w:lang w:val="en-US" w:eastAsia="en-US" w:bidi="en-US"/>
        </w:rPr>
        <w:t xml:space="preserve">Marx </w:t>
      </w:r>
      <w:r>
        <w:rPr>
          <w:rFonts w:ascii="Times New Roman" w:eastAsia="Times New Roman" w:hAnsi="Times New Roman" w:cs="Times New Roman"/>
          <w:color w:val="000000"/>
          <w:spacing w:val="0"/>
          <w:w w:val="100"/>
          <w:position w:val="0"/>
          <w:shd w:val="clear" w:color="auto" w:fill="auto"/>
          <w:lang w:val="hr-HR" w:eastAsia="hr-HR" w:bidi="hr-HR"/>
        </w:rPr>
        <w:t>doživjelo je počevši od Staljina mnogostruke promjene, uvjetovano stvarnošću »realnog socijalizma« koji je lju</w:t>
        <w:softHyphen/>
        <w:t>dima oduzeo svaku iluziju.</w:t>
      </w:r>
    </w:p>
    <w:p>
      <w:pPr>
        <w:pStyle w:val="Style56"/>
        <w:keepNext w:val="0"/>
        <w:keepLines w:val="0"/>
        <w:widowControl w:val="0"/>
        <w:shd w:val="clear" w:color="auto" w:fill="auto"/>
        <w:tabs>
          <w:tab w:pos="2626" w:val="left"/>
        </w:tabs>
        <w:bidi w:val="0"/>
        <w:spacing w:before="0" w:after="360" w:line="240" w:lineRule="auto"/>
        <w:ind w:left="0" w:right="0" w:firstLine="0"/>
        <w:jc w:val="both"/>
      </w:pPr>
      <w:r>
        <w:rPr>
          <w:color w:val="000000"/>
          <w:spacing w:val="0"/>
          <w:w w:val="100"/>
          <w:position w:val="0"/>
          <w:shd w:val="clear" w:color="auto" w:fill="auto"/>
          <w:lang w:val="hr-HR" w:eastAsia="hr-HR" w:bidi="hr-HR"/>
        </w:rPr>
        <w:t xml:space="preserve">Lit.: F. A. Langc, </w:t>
      </w:r>
      <w:r>
        <w:rPr>
          <w:i/>
          <w:iCs/>
          <w:color w:val="000000"/>
          <w:spacing w:val="0"/>
          <w:w w:val="100"/>
          <w:position w:val="0"/>
          <w:shd w:val="clear" w:color="auto" w:fill="auto"/>
          <w:lang w:val="hr-HR" w:eastAsia="hr-HR" w:bidi="hr-HR"/>
        </w:rPr>
        <w:t xml:space="preserve">Geschichic des Malerialismus und Kritik </w:t>
      </w:r>
      <w:r>
        <w:rPr>
          <w:i/>
          <w:iCs/>
          <w:color w:val="000000"/>
          <w:spacing w:val="0"/>
          <w:w w:val="100"/>
          <w:position w:val="0"/>
          <w:shd w:val="clear" w:color="auto" w:fill="auto"/>
        </w:rPr>
        <w:t xml:space="preserve">seiner </w:t>
      </w:r>
      <w:r>
        <w:rPr>
          <w:i/>
          <w:iCs/>
          <w:color w:val="000000"/>
          <w:spacing w:val="0"/>
          <w:w w:val="100"/>
          <w:position w:val="0"/>
          <w:shd w:val="clear" w:color="auto" w:fill="auto"/>
          <w:lang w:val="hr-HR" w:eastAsia="hr-HR" w:bidi="hr-HR"/>
        </w:rPr>
        <w:t xml:space="preserve">Bedeutung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Grgenwart,</w:t>
      </w:r>
      <w:r>
        <w:rPr>
          <w:color w:val="000000"/>
          <w:spacing w:val="0"/>
          <w:w w:val="100"/>
          <w:position w:val="0"/>
          <w:shd w:val="clear" w:color="auto" w:fill="auto"/>
        </w:rPr>
        <w:t xml:space="preserve"> Iserlohn </w:t>
      </w:r>
      <w:r>
        <w:rPr>
          <w:color w:val="000000"/>
          <w:spacing w:val="0"/>
          <w:w w:val="100"/>
          <w:position w:val="0"/>
          <w:shd w:val="clear" w:color="auto" w:fill="auto"/>
          <w:lang w:val="hr-HR" w:eastAsia="hr-HR" w:bidi="hr-HR"/>
        </w:rPr>
        <w:t xml:space="preserve">1866, ncu hrsg. u. cnigclcitci v. A. Schmkft. Frankfurt a. M. 1974: F. KJin- kc, Der dcutschc Materialismus - Strcit im 19 Jahrhun- dcrt, u. </w:t>
      </w:r>
      <w:r>
        <w:rPr>
          <w:i/>
          <w:iCs/>
          <w:color w:val="000000"/>
          <w:spacing w:val="0"/>
          <w:w w:val="100"/>
          <w:position w:val="0"/>
          <w:shd w:val="clear" w:color="auto" w:fill="auto"/>
        </w:rPr>
        <w:t xml:space="preserve">Frankfurter </w:t>
      </w:r>
      <w:r>
        <w:rPr>
          <w:i/>
          <w:iCs/>
          <w:color w:val="000000"/>
          <w:spacing w:val="0"/>
          <w:w w:val="100"/>
          <w:position w:val="0"/>
          <w:shd w:val="clear" w:color="auto" w:fill="auto"/>
          <w:lang w:val="hr-HR" w:eastAsia="hr-HR" w:bidi="hr-HR"/>
        </w:rPr>
        <w:t>Ze'tigemdsse. Rroschuren 26</w:t>
      </w:r>
      <w:r>
        <w:rPr>
          <w:color w:val="000000"/>
          <w:spacing w:val="0"/>
          <w:w w:val="100"/>
          <w:position w:val="0"/>
          <w:shd w:val="clear" w:color="auto" w:fill="auto"/>
          <w:lang w:val="hr-HR" w:eastAsia="hr-HR" w:bidi="hr-HR"/>
        </w:rPr>
        <w:t xml:space="preserve"> (|y()7), 6 i d,; A. Baruzzi (Hrsg ), </w:t>
      </w:r>
      <w:r>
        <w:rPr>
          <w:i/>
          <w:iCs/>
          <w:color w:val="000000"/>
          <w:spacing w:val="0"/>
          <w:w w:val="100"/>
          <w:position w:val="0"/>
          <w:shd w:val="clear" w:color="auto" w:fill="auto"/>
          <w:lang w:val="hr-HR" w:eastAsia="hr-HR" w:bidi="hr-HR"/>
        </w:rPr>
        <w:t>Aufidiirung und Matenalismus im Frankretch des 18. Jh.s,</w:t>
      </w:r>
      <w:r>
        <w:rPr>
          <w:color w:val="000000"/>
          <w:spacing w:val="0"/>
          <w:w w:val="100"/>
          <w:position w:val="0"/>
          <w:shd w:val="clear" w:color="auto" w:fill="auto"/>
          <w:lang w:val="hr-HR" w:eastAsia="hr-HR" w:bidi="hr-HR"/>
        </w:rPr>
        <w:t xml:space="preserve"> Mimchcn 1968; W. Ntckc. natuk</w:t>
        <w:softHyphen/>
        <w:t xml:space="preserve">nica »Malerialismus«, u: </w:t>
      </w:r>
      <w:r>
        <w:rPr>
          <w:i/>
          <w:iCs/>
          <w:color w:val="000000"/>
          <w:spacing w:val="0"/>
          <w:w w:val="100"/>
          <w:position w:val="0"/>
          <w:shd w:val="clear" w:color="auto" w:fill="auto"/>
        </w:rPr>
        <w:t xml:space="preserve">Historisches Worterbuch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Phi</w:t>
        <w:softHyphen/>
        <w:t>losophic,</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Bd. 5, 1980, 842-850; H. Arnaszus (Hrsg.). Ma- </w:t>
      </w:r>
      <w:r>
        <w:rPr>
          <w:i/>
          <w:iCs/>
          <w:color w:val="000000"/>
          <w:spacing w:val="0"/>
          <w:w w:val="100"/>
          <w:position w:val="0"/>
          <w:shd w:val="clear" w:color="auto" w:fill="auto"/>
        </w:rPr>
        <w:t xml:space="preserve">lerialismus-Wissenschaft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 xml:space="preserve">Weltanschauung </w:t>
      </w:r>
      <w:r>
        <w:rPr>
          <w:i/>
          <w:iCs/>
          <w:color w:val="000000"/>
          <w:spacing w:val="0"/>
          <w:w w:val="100"/>
          <w:position w:val="0"/>
          <w:shd w:val="clear" w:color="auto" w:fill="auto"/>
          <w:lang w:val="hr-HR" w:eastAsia="hr-HR" w:bidi="hr-HR"/>
        </w:rPr>
        <w:t xml:space="preserve">im Fortschritl, </w:t>
      </w:r>
      <w:r>
        <w:rPr>
          <w:color w:val="000000"/>
          <w:spacing w:val="0"/>
          <w:w w:val="100"/>
          <w:position w:val="0"/>
          <w:shd w:val="clear" w:color="auto" w:fill="auto"/>
          <w:lang w:val="hr-HR" w:eastAsia="hr-HR" w:bidi="hr-HR"/>
        </w:rPr>
        <w:t>Koln 1976.</w:t>
        <w:tab/>
        <w:t>R.GJ.EI</w:t>
      </w:r>
    </w:p>
    <w:p>
      <w:pPr>
        <w:pStyle w:val="Style33"/>
        <w:keepNext w:val="0"/>
        <w:keepLines w:val="0"/>
        <w:widowControl w:val="0"/>
        <w:shd w:val="clear" w:color="auto" w:fill="auto"/>
        <w:bidi w:val="0"/>
        <w:spacing w:before="0" w:after="28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MEDITACIJA -&gt; MISTIKA</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MESUA</w:t>
      </w:r>
    </w:p>
    <w:p>
      <w:pPr>
        <w:pStyle w:val="Style63"/>
        <w:keepNext/>
        <w:keepLines/>
        <w:widowControl w:val="0"/>
        <w:numPr>
          <w:ilvl w:val="0"/>
          <w:numId w:val="281"/>
        </w:numPr>
        <w:shd w:val="clear" w:color="auto" w:fill="auto"/>
        <w:tabs>
          <w:tab w:pos="250" w:val="left"/>
        </w:tabs>
        <w:bidi w:val="0"/>
        <w:spacing w:before="0"/>
        <w:ind w:left="0" w:right="0" w:firstLine="0"/>
        <w:jc w:val="both"/>
      </w:pPr>
      <w:bookmarkStart w:id="186" w:name="bookmark186"/>
      <w:r>
        <w:rPr>
          <w:rFonts w:ascii="Times New Roman" w:eastAsia="Times New Roman" w:hAnsi="Times New Roman" w:cs="Times New Roman"/>
          <w:color w:val="000000"/>
          <w:spacing w:val="0"/>
          <w:w w:val="100"/>
          <w:position w:val="0"/>
          <w:shd w:val="clear" w:color="auto" w:fill="auto"/>
          <w:lang w:val="hr-HR" w:eastAsia="hr-HR" w:bidi="hr-HR"/>
        </w:rPr>
        <w:t>židovski</w:t>
      </w:r>
      <w:bookmarkEnd w:id="186"/>
    </w:p>
    <w:p>
      <w:pPr>
        <w:pStyle w:val="Style20"/>
        <w:keepNext w:val="0"/>
        <w:keepLines w:val="0"/>
        <w:widowControl w:val="0"/>
        <w:numPr>
          <w:ilvl w:val="0"/>
          <w:numId w:val="28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Oblikovni izvori:</w:t>
      </w:r>
      <w:r>
        <w:rPr>
          <w:rFonts w:ascii="Times New Roman" w:eastAsia="Times New Roman" w:hAnsi="Times New Roman" w:cs="Times New Roman"/>
          <w:color w:val="000000"/>
          <w:spacing w:val="0"/>
          <w:w w:val="100"/>
          <w:position w:val="0"/>
          <w:shd w:val="clear" w:color="auto" w:fill="auto"/>
          <w:lang w:val="hr-HR" w:eastAsia="hr-HR" w:bidi="hr-HR"/>
        </w:rPr>
        <w:t xml:space="preserve"> Mesijanska poruka proro</w:t>
        <w:softHyphen/>
        <w:t>ka sadrži dva shvaćanja, međusobno ispreple</w:t>
        <w:softHyphen/>
        <w:t>tena a istodobno suprotna: »utopijska« vizija zemlje pune Božje spoznaje (Iz 11,9; Hab 2,14; Jr 31,34) prožeta je »restaurativnim« trenu</w:t>
        <w:softHyphen/>
        <w:t xml:space="preserve">cima obnove Izraela i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 xml:space="preserve">kraljevstva kao kraljevstva Božjeg na zemlji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9,11 i d.; Mih 5,3; 4,4; usp. 1 Kr 5,5; Hoš 2,2; 3,5; Iz 16,5; Jr 22,4). Biblijska mesijanska slika obliko</w:t>
        <w:softHyphen/>
        <w:t>vana je u poslijebiblijsko doba.</w:t>
      </w:r>
    </w:p>
    <w:p>
      <w:pPr>
        <w:pStyle w:val="Style20"/>
        <w:keepNext w:val="0"/>
        <w:keepLines w:val="0"/>
        <w:widowControl w:val="0"/>
        <w:shd w:val="clear" w:color="auto" w:fill="auto"/>
        <w:bidi w:val="0"/>
        <w:spacing w:before="0" w:after="140"/>
        <w:ind w:left="0" w:right="0" w:firstLine="0"/>
        <w:jc w:val="both"/>
        <w:sectPr>
          <w:headerReference w:type="default" r:id="rId751"/>
          <w:footerReference w:type="default" r:id="rId752"/>
          <w:headerReference w:type="even" r:id="rId753"/>
          <w:footerReference w:type="even" r:id="rId754"/>
          <w:headerReference w:type="first" r:id="rId755"/>
          <w:footerReference w:type="first" r:id="rId756"/>
          <w:footnotePr>
            <w:pos w:val="pageBottom"/>
            <w:numFmt w:val="decimal"/>
            <w:numRestart w:val="continuous"/>
            <w15:footnoteColumns w:val="1"/>
          </w:footnotePr>
          <w:pgSz w:w="6816" w:h="11006"/>
          <w:pgMar w:top="1017" w:left="190" w:right="189" w:bottom="476" w:header="0" w:footer="3" w:gutter="0"/>
          <w:pgNumType w:start="257"/>
          <w:cols w:num="2" w:space="17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apokrifno-apologetskoj literaturi nova je eshatologija sa svojom kozmičkom antitezom i protubožanskom silom prerasla mesijanska proročka obećanja: aspekt groze u procesu mesijanskoga otkupljenja povezao se ovdje s procesom ostvarenog otkupljenja. Kumranski spisi usmjerili su restauracijsko mesijansko oče</w:t>
        <w:softHyphen/>
        <w:t>kivanje. U skladu s realno-povijesnim shvaća</w:t>
        <w:softHyphen/>
        <w:t>njem posljednjega vremena u ranim biblijskim slojevima predočili su mesijansko vrijeme u povijesno dosežnoj budućnosti. Oni doživlja</w:t>
        <w:softHyphen/>
        <w:t>vaju otkupljene »pravednike« kao zajednicu u geografskom prostoru Palestine. Iskonski uzor konačnog vremena za kojim teži »zajednica novoga Saveza« jest religijsko-politička orga</w:t>
        <w:softHyphen/>
        <w:t>nizacija židovskoga naroda koji se pročistio u egzilu i vratio iz progonstva. Otkupljena za</w:t>
        <w:softHyphen/>
        <w:t>jednica više nije identična obnovljenom jedin</w:t>
        <w:softHyphen/>
        <w:t>stvu Izraela; ona shvaća sebe kao ostatak koji je izabran zbog svojega strahopoštovanja pre</w:t>
        <w:softHyphen/>
        <w:t>ma Bogu. U rabinskoj literaturi razna povi</w:t>
        <w:softHyphen/>
        <w:t>jesna iskustva stvorila su nejedinstvenu sliku mesijanskoga vremena. Ni jedno od pripada</w:t>
        <w:softHyphen/>
        <w:t>jućih izvješća nije sebi izborilo normativno svojstvo; sva su bila predmet hagadske, uzvi</w:t>
        <w:softHyphen/>
        <w:t>šene i poučne, ali ne i obvezujućc tradicije.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Uvijek su se javljala mišljenja mudraca u naj- tješnjoj vezi s apokaliptičkim predodžbama, ali za sve smjerove biblijske su praslike iz po</w:t>
        <w:softHyphen/>
        <w:t>vijesnih i proročkih knjiga ostale presudne.</w:t>
      </w:r>
    </w:p>
    <w:p>
      <w:pPr>
        <w:pStyle w:val="Style20"/>
        <w:keepNext w:val="0"/>
        <w:keepLines w:val="0"/>
        <w:widowControl w:val="0"/>
        <w:numPr>
          <w:ilvl w:val="0"/>
          <w:numId w:val="28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Mesijanska oblikovanja:</w:t>
      </w:r>
      <w:r>
        <w:rPr>
          <w:rFonts w:ascii="Times New Roman" w:eastAsia="Times New Roman" w:hAnsi="Times New Roman" w:cs="Times New Roman"/>
          <w:color w:val="000000"/>
          <w:spacing w:val="0"/>
          <w:w w:val="100"/>
          <w:position w:val="0"/>
          <w:shd w:val="clear" w:color="auto" w:fill="auto"/>
          <w:lang w:val="hr-HR" w:eastAsia="hr-HR" w:bidi="hr-HR"/>
        </w:rPr>
        <w:t xml:space="preserve"> U rabinskom ži</w:t>
        <w:softHyphen/>
        <w:t>dovstvu razvili su se iz težnji restauracije i uto</w:t>
        <w:softHyphen/>
        <w:t>pije, koje su se preklapale već u proročkim riječima, pogledi o mesijanskom otkupljenju kao stalnom sadržaju vjere te kao akutnom očekivanju. Za njih je apokaliptički lik postao odlučujući u oblikovanjima groze i ostvarenja. Strahote povijesnih iskustava opisane su u kri- čavim bojama u svim tekstovima. Patnje ko</w:t>
        <w:softHyphen/>
        <w:t xml:space="preserve">načnoga vremena bit će tako velike da će Izrael zbog njih zaboraviti sve patnje prošlosti (b Bcrahot 13a). Zbog teških nesreća neki su čak poželjeli da i ne dozive mesijansko doba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98b). No to apokaliptički obli</w:t>
        <w:softHyphen/>
        <w:t>kovano akutno očekivanje obuhvatio je ele</w:t>
        <w:softHyphen/>
        <w:t>ment groze i utjehe. Na opis početka mesijan</w:t>
        <w:softHyphen/>
        <w:t>skoga doba Mišna dodaje pitanje: »Na koga se možemo osloniti?« i odgovara: »Na našega nebeskog Oca« (Sota IX, 15). Ovdje je jasno: u odbijanju okoliša u kojem su morali živjeti mudraci su se složili s apokaliptičarima; no, za razliku od njih, nisu nijekali svijet koji je Božje djelo. Vjerovali su da Bog djeluje u povijesti, pa i kad prešućuje Stvoritelja i Otkupitelja.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Zbog skorog očekivanja mesijanskoga otkup</w:t>
        <w:softHyphen/>
        <w:t xml:space="preserve">ljenja tradicijska je literatura posegnula za prošlim proročkim nadama u obnovu Izraela i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kraljevstva kao kraljevstva Božjega na zemlji i povezala ih s čežnjom za konačnim vremenom koje je zamišljeno bogatije od sva</w:t>
        <w:softHyphen/>
        <w:t>kog početka. U povijesti ta vizija nema analo</w:t>
        <w:softHyphen/>
        <w:t xml:space="preserve">gije. Stoga je ona jadnoj stvarnosti židovske egzistencije u doba progonstva suprotstavila slike ispunjene cjeline (Midraš Berešit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XL1V </w:t>
      </w:r>
      <w:r>
        <w:rPr>
          <w:rFonts w:ascii="Times New Roman" w:eastAsia="Times New Roman" w:hAnsi="Times New Roman" w:cs="Times New Roman"/>
          <w:color w:val="000000"/>
          <w:spacing w:val="0"/>
          <w:w w:val="100"/>
          <w:position w:val="0"/>
          <w:shd w:val="clear" w:color="auto" w:fill="auto"/>
          <w:lang w:val="hr-HR" w:eastAsia="hr-HR" w:bidi="hr-HR"/>
        </w:rPr>
        <w:t xml:space="preserve">uz Post 15,18-21; </w:t>
      </w:r>
      <w:r>
        <w:rPr>
          <w:rFonts w:ascii="Times New Roman" w:eastAsia="Times New Roman" w:hAnsi="Times New Roman" w:cs="Times New Roman"/>
          <w:color w:val="000000"/>
          <w:spacing w:val="0"/>
          <w:w w:val="100"/>
          <w:position w:val="0"/>
          <w:shd w:val="clear" w:color="auto" w:fill="auto"/>
          <w:lang w:val="en-US" w:eastAsia="en-US" w:bidi="en-US"/>
        </w:rPr>
        <w:t xml:space="preserve">Bemidbar </w:t>
      </w:r>
      <w:r>
        <w:rPr>
          <w:rFonts w:ascii="Times New Roman" w:eastAsia="Times New Roman" w:hAnsi="Times New Roman" w:cs="Times New Roman"/>
          <w:color w:val="000000"/>
          <w:spacing w:val="0"/>
          <w:w w:val="100"/>
          <w:position w:val="0"/>
          <w:shd w:val="clear" w:color="auto" w:fill="auto"/>
          <w:lang w:val="hr-HR" w:eastAsia="hr-HR" w:bidi="hr-HR"/>
        </w:rPr>
        <w:t xml:space="preserve">raba XIII uz Br 7,13; usp. Pirke Rabi Eleazara 11;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 xml:space="preserve">93a, usp. </w:t>
      </w:r>
      <w:r>
        <w:rPr>
          <w:rFonts w:ascii="Times New Roman" w:eastAsia="Times New Roman" w:hAnsi="Times New Roman" w:cs="Times New Roman"/>
          <w:color w:val="000000"/>
          <w:spacing w:val="0"/>
          <w:w w:val="100"/>
          <w:position w:val="0"/>
          <w:shd w:val="clear" w:color="auto" w:fill="auto"/>
          <w:lang w:val="en-US" w:eastAsia="en-US" w:bidi="en-US"/>
        </w:rPr>
        <w:t xml:space="preserve">Rut </w:t>
      </w:r>
      <w:r>
        <w:rPr>
          <w:rFonts w:ascii="Times New Roman" w:eastAsia="Times New Roman" w:hAnsi="Times New Roman" w:cs="Times New Roman"/>
          <w:color w:val="000000"/>
          <w:spacing w:val="0"/>
          <w:w w:val="100"/>
          <w:position w:val="0"/>
          <w:shd w:val="clear" w:color="auto" w:fill="auto"/>
          <w:lang w:val="hr-HR" w:eastAsia="hr-HR" w:bidi="hr-HR"/>
        </w:rPr>
        <w:t>raba VII uz Rut 3,15).</w:t>
      </w:r>
    </w:p>
    <w:p>
      <w:pPr>
        <w:pStyle w:val="Style20"/>
        <w:keepNext w:val="0"/>
        <w:keepLines w:val="0"/>
        <w:widowControl w:val="0"/>
        <w:numPr>
          <w:ilvl w:val="0"/>
          <w:numId w:val="28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Predodžbe o Mesiji:</w:t>
      </w:r>
      <w:r>
        <w:rPr>
          <w:rFonts w:ascii="Times New Roman" w:eastAsia="Times New Roman" w:hAnsi="Times New Roman" w:cs="Times New Roman"/>
          <w:color w:val="000000"/>
          <w:spacing w:val="0"/>
          <w:w w:val="100"/>
          <w:position w:val="0"/>
          <w:shd w:val="clear" w:color="auto" w:fill="auto"/>
          <w:lang w:val="hr-HR" w:eastAsia="hr-HR" w:bidi="hr-HR"/>
        </w:rPr>
        <w:t xml:space="preserve"> Talmudska tradicija pri</w:t>
        <w:softHyphen/>
        <w:t xml:space="preserve">pisuje Mesiji mnoge čudesne crte. Navedimo samo neke: njegova prcegzistencija (Pesikta rabati XXXVI, usp. onu Mesijina imena b Pe- sahim 54a; Nedarim 39b), njegov skriveni život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98a, usp. Ta’anijot 64a; Šir ha-širim raba V,2), njegova veličanstvena po</w:t>
        <w:softHyphen/>
        <w:t xml:space="preserve">java (Pesikta Rabi </w:t>
      </w:r>
      <w:r>
        <w:rPr>
          <w:rFonts w:ascii="Times New Roman" w:eastAsia="Times New Roman" w:hAnsi="Times New Roman" w:cs="Times New Roman"/>
          <w:color w:val="000000"/>
          <w:spacing w:val="0"/>
          <w:w w:val="100"/>
          <w:position w:val="0"/>
          <w:shd w:val="clear" w:color="auto" w:fill="auto"/>
          <w:lang w:val="en-US" w:eastAsia="en-US" w:bidi="en-US"/>
        </w:rPr>
        <w:t xml:space="preserve">Kahanc </w:t>
      </w:r>
      <w:r>
        <w:rPr>
          <w:rFonts w:ascii="Times New Roman" w:eastAsia="Times New Roman" w:hAnsi="Times New Roman" w:cs="Times New Roman"/>
          <w:color w:val="000000"/>
          <w:spacing w:val="0"/>
          <w:w w:val="100"/>
          <w:position w:val="0"/>
          <w:shd w:val="clear" w:color="auto" w:fill="auto"/>
          <w:lang w:val="hr-HR" w:eastAsia="hr-HR" w:bidi="hr-HR"/>
        </w:rPr>
        <w:t>XXII,2), njegovo vladarsko žezlo (Midraš Bemidbar raba XVIII uz Br 17,21), žrtve u znak štovanja svih na</w:t>
        <w:softHyphen/>
        <w:t>roda (b Pesahim 118b; Midraš Berešit raba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LXXVII1,33,11). Za razliku od kršćanskoga i šijitskog mesijanizma, u židovskome ne dje</w:t>
        <w:softHyphen/>
        <w:t xml:space="preserve">luju sjećanja na nezamjenjive povijesne osobe. Unatoč svim ukrašavanjima Mesijine slike, služba pomazanika u procesu otkupljenja ne razlikuje se od Mojsijcvc i drugih pomoćnika u povijesti Izraela. I </w:t>
      </w:r>
      <w:r>
        <w:rPr>
          <w:rFonts w:ascii="Times New Roman" w:eastAsia="Times New Roman" w:hAnsi="Times New Roman" w:cs="Times New Roman"/>
          <w:i/>
          <w:iCs/>
          <w:color w:val="000000"/>
          <w:spacing w:val="0"/>
          <w:w w:val="100"/>
          <w:position w:val="0"/>
          <w:shd w:val="clear" w:color="auto" w:fill="auto"/>
          <w:lang w:val="hr-HR" w:eastAsia="hr-HR" w:bidi="hr-HR"/>
        </w:rPr>
        <w:t>M. je samo sredstvo u Božjim rukama.</w:t>
      </w:r>
      <w:r>
        <w:rPr>
          <w:rFonts w:ascii="Times New Roman" w:eastAsia="Times New Roman" w:hAnsi="Times New Roman" w:cs="Times New Roman"/>
          <w:color w:val="000000"/>
          <w:spacing w:val="0"/>
          <w:w w:val="100"/>
          <w:position w:val="0"/>
          <w:shd w:val="clear" w:color="auto" w:fill="auto"/>
          <w:lang w:val="hr-HR" w:eastAsia="hr-HR" w:bidi="hr-HR"/>
        </w:rPr>
        <w:t xml:space="preserve"> »Izrael nema Mesiju« (Mi</w:t>
        <w:softHyphen/>
        <w:t xml:space="preserve">draš Mehilta Rabi Jišmaela, </w:t>
      </w:r>
      <w:r>
        <w:rPr>
          <w:rFonts w:ascii="Times New Roman" w:eastAsia="Times New Roman" w:hAnsi="Times New Roman" w:cs="Times New Roman"/>
          <w:color w:val="000000"/>
          <w:spacing w:val="0"/>
          <w:w w:val="100"/>
          <w:position w:val="0"/>
          <w:shd w:val="clear" w:color="auto" w:fill="auto"/>
          <w:lang w:val="en-US" w:eastAsia="en-US" w:bidi="en-US"/>
        </w:rPr>
        <w:t xml:space="preserve">Pischa XIV.51); </w:t>
      </w:r>
      <w:r>
        <w:rPr>
          <w:rFonts w:ascii="Times New Roman" w:eastAsia="Times New Roman" w:hAnsi="Times New Roman" w:cs="Times New Roman"/>
          <w:color w:val="000000"/>
          <w:spacing w:val="0"/>
          <w:w w:val="100"/>
          <w:position w:val="0"/>
          <w:shd w:val="clear" w:color="auto" w:fill="auto"/>
          <w:lang w:val="hr-HR" w:eastAsia="hr-HR" w:bidi="hr-HR"/>
        </w:rPr>
        <w:t>time je Hilel jasno izrazio, a njegovo je mišlje</w:t>
        <w:softHyphen/>
        <w:t>nje ponovio nepoznati propovjednik na svoj način (Midraš Tehilim Ps 31,2), da je sam Bog konačni Otkupitelj i da će samo Njegovo ot</w:t>
        <w:softHyphen/>
        <w:t>kupljenje biti vječno. - U neku ruku kao pret</w:t>
        <w:softHyphen/>
        <w:t xml:space="preserve">hodnik Mesije iz roda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javlja se u tradicijskoj literaturi već u II. stoljeću drugi M. (b Suka 52a; j Suka V,2,55b): »sin Josipov« pada u borbama protiv Goga i Magoga nakon što je skupio Izraelce u dijaspori i ponovno uspostavio hrantsku službu. Poslije njegove smrti javlja se »M., sin Davidov« i napokon pokorava protubožje sile. On je pravi Otkupi</w:t>
        <w:softHyphen/>
        <w:t>telj Izraela i cijeloga čovječanstva.</w:t>
      </w:r>
    </w:p>
    <w:p>
      <w:pPr>
        <w:pStyle w:val="Style20"/>
        <w:keepNext w:val="0"/>
        <w:keepLines w:val="0"/>
        <w:widowControl w:val="0"/>
        <w:numPr>
          <w:ilvl w:val="0"/>
          <w:numId w:val="283"/>
        </w:numPr>
        <w:shd w:val="clear" w:color="auto" w:fill="auto"/>
        <w:tabs>
          <w:tab w:pos="270" w:val="left"/>
        </w:tabs>
        <w:bidi w:val="0"/>
        <w:spacing w:before="0" w:after="80"/>
        <w:ind w:left="0" w:right="0" w:firstLine="0"/>
        <w:jc w:val="both"/>
        <w:sectPr>
          <w:headerReference w:type="default" r:id="rId757"/>
          <w:footerReference w:type="default" r:id="rId758"/>
          <w:headerReference w:type="even" r:id="rId759"/>
          <w:footerReference w:type="even" r:id="rId760"/>
          <w:footnotePr>
            <w:pos w:val="pageBottom"/>
            <w:numFmt w:val="decimal"/>
            <w:numRestart w:val="continuous"/>
            <w15:footnoteColumns w:val="1"/>
          </w:footnotePr>
          <w:type w:val="continuous"/>
          <w:pgSz w:w="6816" w:h="11006"/>
          <w:pgMar w:top="1017" w:left="190" w:right="189" w:bottom="476" w:header="0" w:footer="48" w:gutter="0"/>
          <w:cols w:num="2" w:space="176"/>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Sveobuhvatna Božja vlast:</w:t>
      </w:r>
      <w:r>
        <w:rPr>
          <w:rFonts w:ascii="Times New Roman" w:eastAsia="Times New Roman" w:hAnsi="Times New Roman" w:cs="Times New Roman"/>
          <w:color w:val="000000"/>
          <w:spacing w:val="0"/>
          <w:w w:val="100"/>
          <w:position w:val="0"/>
          <w:shd w:val="clear" w:color="auto" w:fill="auto"/>
          <w:lang w:val="hr-HR" w:eastAsia="hr-HR" w:bidi="hr-HR"/>
        </w:rPr>
        <w:t xml:space="preserve"> Povijest mesijan</w:t>
        <w:softHyphen/>
        <w:t>ske ideje nije tijekom mnogih stoljeća nikada izgubila usmjerenje na negdašnju sveobuhvat</w:t>
        <w:softHyphen/>
        <w:t>nu Božju vlast. Religijsko-nacionalne nade - stara molitva za otkupljenje Izraela (Sir 51,12 i d.) i liturgija za dane posta (M Ta’anijot 11,2-4) ubrajaju se u pretpovijest VII. blago</w:t>
        <w:softHyphen/>
        <w:t xml:space="preserve">slova iz molitve Osamnaest blagoslova </w:t>
      </w:r>
      <w:r>
        <w:rPr>
          <w:rFonts w:ascii="Times New Roman" w:eastAsia="Times New Roman" w:hAnsi="Times New Roman" w:cs="Times New Roman"/>
          <w:i/>
          <w:iCs/>
          <w:color w:val="000000"/>
          <w:spacing w:val="0"/>
          <w:w w:val="100"/>
          <w:position w:val="0"/>
          <w:shd w:val="clear" w:color="auto" w:fill="auto"/>
          <w:lang w:val="hr-HR" w:eastAsia="hr-HR" w:bidi="hr-HR"/>
        </w:rPr>
        <w:t>(Šemo- ne esre),</w:t>
      </w:r>
      <w:r>
        <w:rPr>
          <w:rFonts w:ascii="Times New Roman" w:eastAsia="Times New Roman" w:hAnsi="Times New Roman" w:cs="Times New Roman"/>
          <w:color w:val="000000"/>
          <w:spacing w:val="0"/>
          <w:w w:val="100"/>
          <w:position w:val="0"/>
          <w:shd w:val="clear" w:color="auto" w:fill="auto"/>
          <w:lang w:val="hr-HR" w:eastAsia="hr-HR" w:bidi="hr-HR"/>
        </w:rPr>
        <w:t xml:space="preserve"> u koju je zarana unesena molba za skoro pojavljivanje Mesije (XIV. i XV. blago</w:t>
        <w:softHyphen/>
        <w:t>slov) - stopile su se u univerzalnoj daljini koju su vidjeli izraelski proroci. U talmudskoj lite</w:t>
        <w:softHyphen/>
        <w:t>raturi ne može se zanemariti međusobno po</w:t>
        <w:softHyphen/>
        <w:t xml:space="preserve">niranje nacionalne i univerzalne komponente (b Pesahim 118b; Midraš Berešit </w:t>
      </w:r>
      <w:r>
        <w:rPr>
          <w:rFonts w:ascii="Times New Roman" w:eastAsia="Times New Roman" w:hAnsi="Times New Roman" w:cs="Times New Roman"/>
          <w:color w:val="000000"/>
          <w:spacing w:val="0"/>
          <w:w w:val="100"/>
          <w:position w:val="0"/>
          <w:shd w:val="clear" w:color="auto" w:fill="auto"/>
          <w:lang w:val="en-US" w:eastAsia="en-US" w:bidi="en-US"/>
        </w:rPr>
        <w:t xml:space="preserve">LXXVIII </w:t>
      </w:r>
      <w:r>
        <w:rPr>
          <w:rFonts w:ascii="Times New Roman" w:eastAsia="Times New Roman" w:hAnsi="Times New Roman" w:cs="Times New Roman"/>
          <w:color w:val="000000"/>
          <w:spacing w:val="0"/>
          <w:w w:val="100"/>
          <w:position w:val="0"/>
          <w:shd w:val="clear" w:color="auto" w:fill="auto"/>
          <w:lang w:val="hr-HR" w:eastAsia="hr-HR" w:bidi="hr-HR"/>
        </w:rPr>
        <w:t xml:space="preserve">uz Post 33,10 i d.; Tehilim uz Ps 87,3; 21,1). I mesijanizam u poslijetalmudsko doba otvorio se prema cijelom čovječanstvu. Kod Majmo- nida (1135-1294) ta je težnja posebno jasna (Mišne Tora, Hilhot melahim XI,4; XII,4; Hilhot tešuva IX,2; Komentar Mišne na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X). Sukob reformizma i tradicionaliz</w:t>
        <w:softHyphen/>
        <w:t>ma u židovskom novom vijeku (prema Mosc- su Mcndclssohnu) nije ni planuo na liniji uni</w:t>
        <w:softHyphen/>
        <w:t>verzalnoga kraljevstva, koju su načelno svi ču</w:t>
        <w:softHyphen/>
        <w:t>vali, nego na nastojanju emancipiranog židov</w:t>
        <w:softHyphen/>
        <w:t>stva da promijeni oblik mesijanske vjere, da nadomjesti vjeru u osobnoga Mesiju (Majmo- nidovo 12. načelo vjere) vjerom u moralni na</w:t>
        <w:softHyphen/>
      </w:r>
    </w:p>
    <w:p>
      <w:pPr>
        <w:pStyle w:val="Style20"/>
        <w:keepNext w:val="0"/>
        <w:keepLines w:val="0"/>
        <w:widowControl w:val="0"/>
        <w:shd w:val="clear" w:color="auto" w:fill="auto"/>
        <w:tabs>
          <w:tab w:pos="270"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predak čovječanstva i da se okani nade u na</w:t>
        <w:softHyphen/>
        <w:t xml:space="preserve">cionalnu obnovu u </w:t>
      </w:r>
      <w:r>
        <w:rPr>
          <w:rFonts w:ascii="Times New Roman" w:eastAsia="Times New Roman" w:hAnsi="Times New Roman" w:cs="Times New Roman"/>
          <w:color w:val="000000"/>
          <w:spacing w:val="0"/>
          <w:w w:val="100"/>
          <w:position w:val="0"/>
          <w:shd w:val="clear" w:color="auto" w:fill="auto"/>
          <w:lang w:val="en-US" w:eastAsia="en-US" w:bidi="en-US"/>
        </w:rPr>
        <w:t xml:space="preserve">Erec Jisraelu </w:t>
      </w:r>
      <w:r>
        <w:rPr>
          <w:rFonts w:ascii="Times New Roman" w:eastAsia="Times New Roman" w:hAnsi="Times New Roman" w:cs="Times New Roman"/>
          <w:i/>
          <w:iCs/>
          <w:color w:val="000000"/>
          <w:spacing w:val="0"/>
          <w:w w:val="100"/>
          <w:position w:val="0"/>
          <w:shd w:val="clear" w:color="auto" w:fill="auto"/>
          <w:lang w:val="en-US" w:eastAsia="en-US" w:bidi="en-US"/>
        </w:rPr>
        <w:t>(Pittsburgh Platform,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1855, 5). Svijetu okrenut optimizam religijskoga liberalizma bio je plod njegova naglašavanja univerzalističke strane u mesi</w:t>
        <w:softHyphen/>
        <w:t>janskoj vjeri čiju je nacionalnu stranu napus</w:t>
        <w:softHyphen/>
        <w:t>tio. No i ortodoksija. koja naglašava posebni karakter židovskoga naroda voljom Božjom, nije izgubila iz vida službu Mesije koja obu</w:t>
        <w:softHyphen/>
        <w:t>hvaća čovječanstvo.</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GrcL'ntann. </w:t>
      </w:r>
      <w:r>
        <w:rPr>
          <w:i/>
          <w:iCs/>
          <w:color w:val="000000"/>
          <w:spacing w:val="0"/>
          <w:w w:val="100"/>
          <w:position w:val="0"/>
          <w:shd w:val="clear" w:color="auto" w:fill="auto"/>
          <w:lang w:val="hr-HR" w:eastAsia="hr-HR" w:bidi="hr-HR"/>
        </w:rPr>
        <w:t>Der Messias,</w:t>
      </w:r>
      <w:r>
        <w:rPr>
          <w:color w:val="000000"/>
          <w:spacing w:val="0"/>
          <w:w w:val="100"/>
          <w:position w:val="0"/>
          <w:shd w:val="clear" w:color="auto" w:fill="auto"/>
          <w:lang w:val="hr-HR" w:eastAsia="hr-HR" w:bidi="hr-HR"/>
        </w:rPr>
        <w:t xml:space="preserve"> 1929; G. Scholcm, </w:t>
      </w:r>
      <w:r>
        <w:rPr>
          <w:i/>
          <w:iCs/>
          <w:color w:val="000000"/>
          <w:spacing w:val="0"/>
          <w:w w:val="100"/>
          <w:position w:val="0"/>
          <w:shd w:val="clear" w:color="auto" w:fill="auto"/>
          <w:lang w:val="hr-HR" w:eastAsia="hr-HR" w:bidi="hr-HR"/>
        </w:rPr>
        <w:t xml:space="preserve">7.um Verstaruinis der messianischen </w:t>
      </w:r>
      <w:r>
        <w:rPr>
          <w:i/>
          <w:iCs/>
          <w:color w:val="000000"/>
          <w:spacing w:val="0"/>
          <w:w w:val="100"/>
          <w:position w:val="0"/>
          <w:shd w:val="clear" w:color="auto" w:fill="auto"/>
        </w:rPr>
        <w:t xml:space="preserve">Idee </w:t>
      </w:r>
      <w:r>
        <w:rPr>
          <w:i/>
          <w:iCs/>
          <w:color w:val="000000"/>
          <w:spacing w:val="0"/>
          <w:w w:val="100"/>
          <w:position w:val="0"/>
          <w:shd w:val="clear" w:color="auto" w:fill="auto"/>
          <w:lang w:val="hr-HR" w:eastAsia="hr-HR" w:bidi="hr-HR"/>
        </w:rPr>
        <w:t>im Judentum,</w:t>
      </w:r>
      <w:r>
        <w:rPr>
          <w:color w:val="000000"/>
          <w:spacing w:val="0"/>
          <w:w w:val="100"/>
          <w:position w:val="0"/>
          <w:shd w:val="clear" w:color="auto" w:fill="auto"/>
          <w:lang w:val="hr-HR" w:eastAsia="hr-HR" w:bidi="hr-HR"/>
        </w:rPr>
        <w:t xml:space="preserve"> 1959.</w:t>
      </w:r>
    </w:p>
    <w:p>
      <w:pPr>
        <w:pStyle w:val="Style56"/>
        <w:keepNext w:val="0"/>
        <w:keepLines w:val="0"/>
        <w:widowControl w:val="0"/>
        <w:shd w:val="clear" w:color="auto" w:fill="auto"/>
        <w:bidi w:val="0"/>
        <w:spacing w:before="0" w:after="160" w:line="240" w:lineRule="auto"/>
        <w:ind w:left="0" w:right="0" w:firstLine="0"/>
        <w:jc w:val="right"/>
      </w:pPr>
      <w:r>
        <w:rPr>
          <w:color w:val="000000"/>
          <w:spacing w:val="0"/>
          <w:w w:val="100"/>
          <w:position w:val="0"/>
          <w:shd w:val="clear" w:color="auto" w:fill="auto"/>
          <w:lang w:val="hr-HR" w:eastAsia="hr-HR" w:bidi="hr-HR"/>
        </w:rPr>
        <w:t>D. VE7TER</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lang w:val="hr-HR" w:eastAsia="hr-HR" w:bidi="hr-HR"/>
        </w:rPr>
        <w:t>2. 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»m.« koji potječe iz aramejskog i he</w:t>
        <w:softHyphen/>
        <w:t xml:space="preserve">brejskog znači </w:t>
      </w:r>
      <w:r>
        <w:rPr>
          <w:rFonts w:ascii="Times New Roman" w:eastAsia="Times New Roman" w:hAnsi="Times New Roman" w:cs="Times New Roman"/>
          <w:i/>
          <w:iCs/>
          <w:color w:val="000000"/>
          <w:spacing w:val="0"/>
          <w:w w:val="100"/>
          <w:position w:val="0"/>
          <w:shd w:val="clear" w:color="auto" w:fill="auto"/>
          <w:lang w:val="hr-HR" w:eastAsia="hr-HR" w:bidi="hr-HR"/>
        </w:rPr>
        <w:t>»pomazanik«,</w:t>
      </w:r>
      <w:r>
        <w:rPr>
          <w:rFonts w:ascii="Times New Roman" w:eastAsia="Times New Roman" w:hAnsi="Times New Roman" w:cs="Times New Roman"/>
          <w:color w:val="000000"/>
          <w:spacing w:val="0"/>
          <w:w w:val="100"/>
          <w:position w:val="0"/>
          <w:shd w:val="clear" w:color="auto" w:fill="auto"/>
          <w:lang w:val="hr-HR" w:eastAsia="hr-HR" w:bidi="hr-HR"/>
        </w:rPr>
        <w:t xml:space="preserve"> grč. </w:t>
      </w:r>
      <w:r>
        <w:rPr>
          <w:rFonts w:ascii="Times New Roman" w:eastAsia="Times New Roman" w:hAnsi="Times New Roman" w:cs="Times New Roman"/>
          <w:i/>
          <w:iCs/>
          <w:color w:val="000000"/>
          <w:spacing w:val="0"/>
          <w:w w:val="100"/>
          <w:position w:val="0"/>
          <w:shd w:val="clear" w:color="auto" w:fill="auto"/>
          <w:lang w:val="en-US" w:eastAsia="en-US" w:bidi="en-US"/>
        </w:rPr>
        <w:t>Christos,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lat. </w:t>
      </w:r>
      <w:r>
        <w:rPr>
          <w:rFonts w:ascii="Times New Roman" w:eastAsia="Times New Roman" w:hAnsi="Times New Roman" w:cs="Times New Roman"/>
          <w:i/>
          <w:iCs/>
          <w:color w:val="000000"/>
          <w:spacing w:val="0"/>
          <w:w w:val="100"/>
          <w:position w:val="0"/>
          <w:shd w:val="clear" w:color="auto" w:fill="auto"/>
          <w:lang w:val="hr-HR" w:eastAsia="hr-HR" w:bidi="hr-HR"/>
        </w:rPr>
        <w:t>Christus.</w:t>
      </w:r>
      <w:r>
        <w:rPr>
          <w:rFonts w:ascii="Times New Roman" w:eastAsia="Times New Roman" w:hAnsi="Times New Roman" w:cs="Times New Roman"/>
          <w:color w:val="000000"/>
          <w:spacing w:val="0"/>
          <w:w w:val="100"/>
          <w:position w:val="0"/>
          <w:shd w:val="clear" w:color="auto" w:fill="auto"/>
          <w:lang w:val="hr-HR" w:eastAsia="hr-HR" w:bidi="hr-HR"/>
        </w:rPr>
        <w:t xml:space="preserve"> lako Bog učestalo kažnjava nevjeru naroda, on ipak drži svoja obećanja. Unatoč razočaranjima ne ostavlja svoj narod na cje</w:t>
        <w:softHyphen/>
        <w:t xml:space="preserve">dilu. Očuvat će jedan »ostatak«, kažu proroci. Već Amos o tome govori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5,15) i drugi ga proroci slijede u toj procjeni. Za taj »ostatak« koji preživljava svaku konkretnu katastrofu (osvajanje Samarije, vojnu asirskog vladara Sanhcriba, razaranje Jeruzalema itd.) vrijede obećanja: Nakon svake katastrofe on će iznova biti mladica pročišćenog naroda kojem ćc Bog jednom darovati svoje konačno spasenje.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 se očekivanja nadovezuju na povratak kralja kao što je David, jer je Bog ipak preko proroka Natana obećao Davidu nastavak nje</w:t>
        <w:softHyphen/>
        <w:t>gova roda (2 Sam 7). David je bio - kao što je običaj na starom Istoku - (Usp. Suci 9,8.15) - posvelnim činom pomazanja odreden za kra</w:t>
        <w:softHyphen/>
        <w:t>lja nad Judejom (2 Sam 2,4) i nad Izraelom (2 Sam 5,3). Otada su vrijedili sljedeći kraljevi iz njegove dinastije kao predstavnici i posinci Božji (Ps 2,6-9); oni su nosili naslov »m.« tj. »pomazanik«. Dok god je bilo kraljeva, na njih se gledalo kao na dotične nositelje božanskih obećanja; i tako je svaki od njih postao pri</w:t>
        <w:softHyphen/>
        <w:t>vremeni »m.« po kojem je Bog namjeravao ostvariti svoj spasenjski plan.</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se shvaćanje trebalo mijenjati eshatološ- kom prodikom proroka. Zbog iskustva loših kraljeva, kao i kasnije zbog propasti kraljev</w:t>
        <w:softHyphen/>
        <w:t>stva, kada su Babilonci 587. osvojili Jeruza</w:t>
        <w:softHyphen/>
        <w:t>lem, proroci su ostvarenje obećanja premjes</w:t>
        <w:softHyphen/>
        <w:t>tili za kraj vremena. Tako je Izaija usmjeravao svoj pogled na onog idealnog kralja u buduć</w:t>
        <w:softHyphen/>
        <w:t xml:space="preserve">nosti koji ćc narodu donijeti radost, mir i </w:t>
      </w:r>
      <w:r>
        <w:rPr>
          <w:rFonts w:ascii="Times New Roman" w:eastAsia="Times New Roman" w:hAnsi="Times New Roman" w:cs="Times New Roman"/>
          <w:color w:val="000000"/>
          <w:spacing w:val="0"/>
          <w:w w:val="100"/>
          <w:position w:val="0"/>
          <w:shd w:val="clear" w:color="auto" w:fill="auto"/>
          <w:lang w:val="hr-HR" w:eastAsia="hr-HR" w:bidi="hr-HR"/>
        </w:rPr>
        <w:t>pravdu (Iz 9,1-6) i na kojem počiva Duh Božji (Iz 11,1-5).</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tom bi smjeru moglo upućivati obećanje djeteta sa simboličnim imenom »Enianuel«, tj. »Bog s nama« (Iz 7,14). Taj novi oblik me</w:t>
        <w:softHyphen/>
        <w:t xml:space="preserve">sijanskog očekivanja slaže se između ostaloga i kod Miheja (5,1-5), Jeremije (23,5 i d.) i Ezekijela (Ez 34.23 i d ). Kod Deuteroizaije je »trpeći Božji sluga« nositelj spasenja (Iz 42,1-7; 49,1-9; 50,4-9; 52,13-53,12), kod Zaharije »kralj mira« (Zah 9.9 i d.), a kod </w:t>
      </w:r>
      <w:r>
        <w:rPr>
          <w:rFonts w:ascii="Times New Roman" w:eastAsia="Times New Roman" w:hAnsi="Times New Roman" w:cs="Times New Roman"/>
          <w:color w:val="000000"/>
          <w:spacing w:val="0"/>
          <w:w w:val="100"/>
          <w:position w:val="0"/>
          <w:shd w:val="clear" w:color="auto" w:fill="auto"/>
          <w:lang w:val="en-US" w:eastAsia="en-US" w:bidi="en-US"/>
        </w:rPr>
        <w:t xml:space="preserve">Daniela </w:t>
      </w:r>
      <w:r>
        <w:rPr>
          <w:rFonts w:ascii="Times New Roman" w:eastAsia="Times New Roman" w:hAnsi="Times New Roman" w:cs="Times New Roman"/>
          <w:color w:val="000000"/>
          <w:spacing w:val="0"/>
          <w:w w:val="100"/>
          <w:position w:val="0"/>
          <w:shd w:val="clear" w:color="auto" w:fill="auto"/>
          <w:lang w:val="hr-HR" w:eastAsia="hr-HR" w:bidi="hr-HR"/>
        </w:rPr>
        <w:t>je »Sin čovječji« nebeskog podrijetla na kojega Bog prenosi vlast nad svim narodima (Dn 7). Takva mesijanska očekivanja, kako god bila različita u pojedinostima, održala su se u Iz- raelovoj vjeri kao nada. U Isusu - to je uvjere</w:t>
        <w:softHyphen/>
        <w:t>nje NZ - ova je nada postala stvarnost: pod</w:t>
        <w:softHyphen/>
        <w:t xml:space="preserve">rijetlom iz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 xml:space="preserve">roda (Mt 1,1 i d.), rođen u Betlehemu (Lk 2,4 i d.) on je </w:t>
      </w:r>
      <w:r>
        <w:rPr>
          <w:rFonts w:ascii="Times New Roman" w:eastAsia="Times New Roman" w:hAnsi="Times New Roman" w:cs="Times New Roman"/>
          <w:color w:val="000000"/>
          <w:spacing w:val="0"/>
          <w:w w:val="100"/>
          <w:position w:val="0"/>
          <w:shd w:val="clear" w:color="auto" w:fill="auto"/>
          <w:lang w:val="en-US" w:eastAsia="en-US" w:bidi="en-US"/>
        </w:rPr>
        <w:t xml:space="preserve">Emanuel </w:t>
      </w:r>
      <w:r>
        <w:rPr>
          <w:rFonts w:ascii="Times New Roman" w:eastAsia="Times New Roman" w:hAnsi="Times New Roman" w:cs="Times New Roman"/>
          <w:color w:val="000000"/>
          <w:spacing w:val="0"/>
          <w:w w:val="100"/>
          <w:position w:val="0"/>
          <w:shd w:val="clear" w:color="auto" w:fill="auto"/>
          <w:lang w:val="hr-HR" w:eastAsia="hr-HR" w:bidi="hr-HR"/>
        </w:rPr>
        <w:t xml:space="preserve">- dijete koje je Izaija obećao (Mt 1,23), trpeći sluga Deuteroizaije (Mt 12,18-21), kralj mira na kojega je mislio Zaharija (Mt 21,5) i Sin čovječji o kojem je bila riječ kod </w:t>
      </w:r>
      <w:r>
        <w:rPr>
          <w:rFonts w:ascii="Times New Roman" w:eastAsia="Times New Roman" w:hAnsi="Times New Roman" w:cs="Times New Roman"/>
          <w:color w:val="000000"/>
          <w:spacing w:val="0"/>
          <w:w w:val="100"/>
          <w:position w:val="0"/>
          <w:shd w:val="clear" w:color="auto" w:fill="auto"/>
          <w:lang w:val="en-US" w:eastAsia="en-US" w:bidi="en-US"/>
        </w:rPr>
        <w:t xml:space="preserve">Daniela </w:t>
      </w:r>
      <w:r>
        <w:rPr>
          <w:rFonts w:ascii="Times New Roman" w:eastAsia="Times New Roman" w:hAnsi="Times New Roman" w:cs="Times New Roman"/>
          <w:color w:val="000000"/>
          <w:spacing w:val="0"/>
          <w:w w:val="100"/>
          <w:position w:val="0"/>
          <w:shd w:val="clear" w:color="auto" w:fill="auto"/>
          <w:lang w:val="hr-HR" w:eastAsia="hr-HR" w:bidi="hr-HR"/>
        </w:rPr>
        <w:t>(Mt 8.20 i d.). NZ je sve ove proročke tekstove i naslove prenio na Isusa i u njemu vidio očeki</w:t>
        <w:softHyphen/>
        <w:t xml:space="preserve">vanog mesiju koji se zove grč. </w:t>
      </w:r>
      <w:r>
        <w:rPr>
          <w:rFonts w:ascii="Times New Roman" w:eastAsia="Times New Roman" w:hAnsi="Times New Roman" w:cs="Times New Roman"/>
          <w:i/>
          <w:iCs/>
          <w:color w:val="000000"/>
          <w:spacing w:val="0"/>
          <w:w w:val="100"/>
          <w:position w:val="0"/>
          <w:shd w:val="clear" w:color="auto" w:fill="auto"/>
          <w:lang w:val="en-US" w:eastAsia="en-US" w:bidi="en-US"/>
        </w:rPr>
        <w:t>Christos,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lat. </w:t>
      </w:r>
      <w:r>
        <w:rPr>
          <w:rFonts w:ascii="Times New Roman" w:eastAsia="Times New Roman" w:hAnsi="Times New Roman" w:cs="Times New Roman"/>
          <w:i/>
          <w:iCs/>
          <w:color w:val="000000"/>
          <w:spacing w:val="0"/>
          <w:w w:val="100"/>
          <w:position w:val="0"/>
          <w:shd w:val="clear" w:color="auto" w:fill="auto"/>
          <w:lang w:val="hr-HR" w:eastAsia="hr-HR" w:bidi="hr-HR"/>
        </w:rPr>
        <w:t>Christus</w:t>
      </w:r>
      <w:r>
        <w:rPr>
          <w:rFonts w:ascii="Times New Roman" w:eastAsia="Times New Roman" w:hAnsi="Times New Roman" w:cs="Times New Roman"/>
          <w:color w:val="000000"/>
          <w:spacing w:val="0"/>
          <w:w w:val="100"/>
          <w:position w:val="0"/>
          <w:shd w:val="clear" w:color="auto" w:fill="auto"/>
          <w:lang w:val="hr-HR" w:eastAsia="hr-HR" w:bidi="hr-HR"/>
        </w:rPr>
        <w:t xml:space="preserve"> i zato mu dodao naziv koji to izraža</w:t>
        <w:softHyphen/>
        <w:t>va: Isus Krist.</w:t>
      </w:r>
    </w:p>
    <w:p>
      <w:pPr>
        <w:pStyle w:val="Style56"/>
        <w:keepNext w:val="0"/>
        <w:keepLines w:val="0"/>
        <w:widowControl w:val="0"/>
        <w:shd w:val="clear" w:color="auto" w:fill="auto"/>
        <w:tabs>
          <w:tab w:pos="2251" w:val="left"/>
        </w:tabs>
        <w:bidi w:val="0"/>
        <w:spacing w:before="0" w:after="220" w:line="240" w:lineRule="auto"/>
        <w:ind w:left="0" w:right="0" w:firstLine="0"/>
        <w:jc w:val="both"/>
      </w:pPr>
      <w:r>
        <w:rPr>
          <w:color w:val="000000"/>
          <w:spacing w:val="0"/>
          <w:w w:val="100"/>
          <w:position w:val="0"/>
          <w:shd w:val="clear" w:color="auto" w:fill="auto"/>
          <w:lang w:val="hr-HR" w:eastAsia="hr-HR" w:bidi="hr-HR"/>
        </w:rPr>
        <w:t xml:space="preserve">Lit.: F. </w:t>
      </w:r>
      <w:r>
        <w:rPr>
          <w:color w:val="000000"/>
          <w:spacing w:val="0"/>
          <w:w w:val="100"/>
          <w:position w:val="0"/>
          <w:shd w:val="clear" w:color="auto" w:fill="auto"/>
        </w:rPr>
        <w:t xml:space="preserve">Halin, </w:t>
      </w:r>
      <w:r>
        <w:rPr>
          <w:i/>
          <w:iCs/>
          <w:color w:val="000000"/>
          <w:spacing w:val="0"/>
          <w:w w:val="100"/>
          <w:position w:val="0"/>
          <w:shd w:val="clear" w:color="auto" w:fill="auto"/>
          <w:lang w:val="hr-HR" w:eastAsia="hr-HR" w:bidi="hr-HR"/>
        </w:rPr>
        <w:t>Chrislologische Hoheitstitel. Ikre Geschichtc im fruhen Christentum,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Gottingen </w:t>
      </w:r>
      <w:r>
        <w:rPr>
          <w:color w:val="000000"/>
          <w:spacing w:val="0"/>
          <w:w w:val="100"/>
          <w:position w:val="0"/>
          <w:shd w:val="clear" w:color="auto" w:fill="auto"/>
          <w:lang w:val="hr-HR" w:eastAsia="hr-HR" w:bidi="hr-HR"/>
        </w:rPr>
        <w:t xml:space="preserve">‘1966,133-225. E. Scbillc- </w:t>
      </w:r>
      <w:r>
        <w:rPr>
          <w:color w:val="000000"/>
          <w:spacing w:val="0"/>
          <w:w w:val="100"/>
          <w:position w:val="0"/>
          <w:shd w:val="clear" w:color="auto" w:fill="auto"/>
        </w:rPr>
        <w:t xml:space="preserve">bccckx, </w:t>
      </w:r>
      <w:r>
        <w:rPr>
          <w:i/>
          <w:iCs/>
          <w:color w:val="000000"/>
          <w:spacing w:val="0"/>
          <w:w w:val="100"/>
          <w:position w:val="0"/>
          <w:shd w:val="clear" w:color="auto" w:fill="auto"/>
        </w:rPr>
        <w:t>Jesus, Die Geschichte von einem Lebenden,</w:t>
      </w:r>
      <w:r>
        <w:rPr>
          <w:color w:val="000000"/>
          <w:spacing w:val="0"/>
          <w:w w:val="100"/>
          <w:position w:val="0"/>
          <w:shd w:val="clear" w:color="auto" w:fill="auto"/>
        </w:rPr>
        <w:t xml:space="preserve"> Frei- burg'BasclAVicn 1975, 389—457; W. Kasper. </w:t>
      </w:r>
      <w:r>
        <w:rPr>
          <w:i/>
          <w:iCs/>
          <w:color w:val="000000"/>
          <w:spacing w:val="0"/>
          <w:w w:val="100"/>
          <w:position w:val="0"/>
          <w:shd w:val="clear" w:color="auto" w:fill="auto"/>
        </w:rPr>
        <w:t>Jesus der Chris</w:t>
        <w:softHyphen/>
        <w:t>tus,</w:t>
      </w:r>
      <w:r>
        <w:rPr>
          <w:color w:val="000000"/>
          <w:spacing w:val="0"/>
          <w:w w:val="100"/>
          <w:position w:val="0"/>
          <w:shd w:val="clear" w:color="auto" w:fill="auto"/>
        </w:rPr>
        <w:t xml:space="preserve"> Mainz *1975; K. H- Rcngstorf, </w:t>
      </w:r>
      <w:r>
        <w:rPr>
          <w:color w:val="000000"/>
          <w:spacing w:val="0"/>
          <w:w w:val="100"/>
          <w:position w:val="0"/>
          <w:shd w:val="clear" w:color="auto" w:fill="auto"/>
          <w:lang w:val="hr-HR" w:eastAsia="hr-HR" w:bidi="hr-HR"/>
        </w:rPr>
        <w:t xml:space="preserve">natuknica ”Chnst6s«. u: </w:t>
      </w:r>
      <w:r>
        <w:rPr>
          <w:i/>
          <w:iCs/>
          <w:color w:val="000000"/>
          <w:spacing w:val="0"/>
          <w:w w:val="100"/>
          <w:position w:val="0"/>
          <w:shd w:val="clear" w:color="auto" w:fill="auto"/>
        </w:rPr>
        <w:t>Theologisches Hegriffslejakon zum Neuen Testament,</w:t>
      </w:r>
      <w:r>
        <w:rPr>
          <w:color w:val="000000"/>
          <w:spacing w:val="0"/>
          <w:w w:val="100"/>
          <w:position w:val="0"/>
          <w:shd w:val="clear" w:color="auto" w:fill="auto"/>
        </w:rPr>
        <w:t xml:space="preserve"> Bd. II, Wuppertal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1979. 760-767 (s </w:t>
      </w:r>
      <w:r>
        <w:rPr>
          <w:color w:val="000000"/>
          <w:spacing w:val="0"/>
          <w:w w:val="100"/>
          <w:position w:val="0"/>
          <w:shd w:val="clear" w:color="auto" w:fill="auto"/>
          <w:lang w:val="hr-HR" w:eastAsia="hr-HR" w:bidi="hr-HR"/>
        </w:rPr>
        <w:t xml:space="preserve">daljnjim navodima </w:t>
      </w:r>
      <w:r>
        <w:rPr>
          <w:color w:val="000000"/>
          <w:spacing w:val="0"/>
          <w:w w:val="100"/>
          <w:position w:val="0"/>
          <w:shd w:val="clear" w:color="auto" w:fill="auto"/>
        </w:rPr>
        <w:t>literature, str. 768).</w:t>
        <w:tab/>
        <w:t>!.. HACiUMANN</w:t>
      </w:r>
    </w:p>
    <w:p>
      <w:pPr>
        <w:pStyle w:val="Style56"/>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hd w:val="clear" w:color="auto" w:fill="auto"/>
        </w:rPr>
        <w:t xml:space="preserve">3. </w:t>
      </w: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 </w:t>
      </w:r>
      <w:r>
        <w:rPr>
          <w:rFonts w:ascii="Times New Roman" w:eastAsia="Times New Roman" w:hAnsi="Times New Roman" w:cs="Times New Roman"/>
          <w:color w:val="000000"/>
          <w:spacing w:val="0"/>
          <w:w w:val="100"/>
          <w:position w:val="0"/>
          <w:shd w:val="clear" w:color="auto" w:fill="auto"/>
          <w:lang w:val="hr-HR" w:eastAsia="hr-HR" w:bidi="hr-HR"/>
        </w:rPr>
        <w:t xml:space="preserve">(arapski: </w:t>
      </w:r>
      <w:r>
        <w:rPr>
          <w:rFonts w:ascii="Times New Roman" w:eastAsia="Times New Roman" w:hAnsi="Times New Roman" w:cs="Times New Roman"/>
          <w:i/>
          <w:iCs/>
          <w:color w:val="000000"/>
          <w:spacing w:val="0"/>
          <w:w w:val="100"/>
          <w:position w:val="0"/>
          <w:shd w:val="clear" w:color="auto" w:fill="auto"/>
          <w:lang w:val="en-US" w:eastAsia="en-US" w:bidi="en-US"/>
        </w:rPr>
        <w:t>al-masih)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je u kuranskoj termi</w:t>
        <w:softHyphen/>
        <w:t>nologiji naziv za Isusa Krista. Zbog neposto</w:t>
        <w:softHyphen/>
        <w:t>janja dogme o istočnom grijehu i stoljetnom uspješnom razvoju islamske povijesti od prvo</w:t>
        <w:softHyphen/>
        <w:t>ga razdoblja suvišnom je postala nužnost me</w:t>
        <w:softHyphen/>
        <w:t>sije kao »obećanoga otkupitelja«. Čini se daje tek propast svjetskoga islama pomogla tom pojmu da dobije veću važnost u misaonome svijetu muslimana. Pojam m. uvelike se podu</w:t>
        <w:softHyphen/>
        <w:t>dara sa šijitskom predodžbom o ponovnom dolasku mahdija (»onaj koji usmjeruje na pra</w:t>
        <w:softHyphen/>
        <w:t>vi put«). Veliki dio običnih vjernika uznemi</w:t>
        <w:softHyphen/>
        <w:t xml:space="preserve">ruje vjerovanje u pojavu mahdija, spasitelja koji se očekuje na kraju svijeta. Ta doktrina o ponovnom dolasku mahdija (u ovome slučaju: </w:t>
      </w:r>
      <w:r>
        <w:rPr>
          <w:rFonts w:ascii="Times New Roman" w:eastAsia="Times New Roman" w:hAnsi="Times New Roman" w:cs="Times New Roman"/>
          <w:color w:val="000000"/>
          <w:spacing w:val="0"/>
          <w:w w:val="100"/>
          <w:position w:val="0"/>
          <w:shd w:val="clear" w:color="auto" w:fill="auto"/>
          <w:lang w:val="en-US" w:eastAsia="en-US" w:bidi="en-US"/>
        </w:rPr>
        <w:t xml:space="preserve">ncstaloga 12. </w:t>
      </w:r>
      <w:r>
        <w:rPr>
          <w:rFonts w:ascii="Times New Roman" w:eastAsia="Times New Roman" w:hAnsi="Times New Roman" w:cs="Times New Roman"/>
          <w:color w:val="000000"/>
          <w:spacing w:val="0"/>
          <w:w w:val="100"/>
          <w:position w:val="0"/>
          <w:shd w:val="clear" w:color="auto" w:fill="auto"/>
          <w:lang w:val="hr-HR" w:eastAsia="hr-HR" w:bidi="hr-HR"/>
        </w:rPr>
        <w:t>imama) ima temeljnu dogmat</w:t>
        <w:softHyphen/>
        <w:t xml:space="preserve">sku širinu u duodecimitskome šijizmu. Ta je doktrina »bitni i učinkoviti element vjerskoga i političkoga sustava« (P. Rondot,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Islam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Mohammedaner von </w:t>
      </w:r>
      <w:r>
        <w:rPr>
          <w:rFonts w:ascii="Times New Roman" w:eastAsia="Times New Roman" w:hAnsi="Times New Roman" w:cs="Times New Roman"/>
          <w:i/>
          <w:iCs/>
          <w:color w:val="000000"/>
          <w:spacing w:val="0"/>
          <w:w w:val="100"/>
          <w:position w:val="0"/>
          <w:shd w:val="clear" w:color="auto" w:fill="auto"/>
          <w:lang w:val="hr-HR" w:eastAsia="hr-HR" w:bidi="hr-HR"/>
        </w:rPr>
        <w:t>heute,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Stuttgart </w:t>
      </w:r>
      <w:r>
        <w:rPr>
          <w:rFonts w:ascii="Times New Roman" w:eastAsia="Times New Roman" w:hAnsi="Times New Roman" w:cs="Times New Roman"/>
          <w:color w:val="000000"/>
          <w:spacing w:val="0"/>
          <w:w w:val="100"/>
          <w:position w:val="0"/>
          <w:shd w:val="clear" w:color="auto" w:fill="auto"/>
          <w:lang w:val="hr-HR" w:eastAsia="hr-HR" w:bidi="hr-HR"/>
        </w:rPr>
        <w:t>1963, 213).</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prošlosti je ideja mahdija dovela u prvi plan mnoge pustolove i pripomogla im u stjecanju utjecaja i moći kod priprostoga puka. Jedan brodski tesar, </w:t>
      </w:r>
      <w:r>
        <w:rPr>
          <w:rFonts w:ascii="Times New Roman" w:eastAsia="Times New Roman" w:hAnsi="Times New Roman" w:cs="Times New Roman"/>
          <w:color w:val="000000"/>
          <w:spacing w:val="0"/>
          <w:w w:val="100"/>
          <w:position w:val="0"/>
          <w:shd w:val="clear" w:color="auto" w:fill="auto"/>
          <w:lang w:val="en-US" w:eastAsia="en-US" w:bidi="en-US"/>
        </w:rPr>
        <w:t>Muhammad Ahmad ibn 'Ab</w:t>
        <w:softHyphen/>
        <w:t xml:space="preserve">dallah, </w:t>
      </w:r>
      <w:r>
        <w:rPr>
          <w:rFonts w:ascii="Times New Roman" w:eastAsia="Times New Roman" w:hAnsi="Times New Roman" w:cs="Times New Roman"/>
          <w:color w:val="000000"/>
          <w:spacing w:val="0"/>
          <w:w w:val="100"/>
          <w:position w:val="0"/>
          <w:shd w:val="clear" w:color="auto" w:fill="auto"/>
          <w:lang w:val="hr-HR" w:eastAsia="hr-HR" w:bidi="hr-HR"/>
        </w:rPr>
        <w:t>učinio je u Sudanu poslije 1880. mno</w:t>
        <w:softHyphen/>
        <w:t xml:space="preserve">go toga Egipćanima i Britancima time stoje sebe proglasio mahdijcm, proglasio </w:t>
      </w:r>
      <w:r>
        <w:rPr>
          <w:rFonts w:ascii="Times New Roman" w:eastAsia="Times New Roman" w:hAnsi="Times New Roman" w:cs="Times New Roman"/>
          <w:i/>
          <w:iCs/>
          <w:color w:val="000000"/>
          <w:spacing w:val="0"/>
          <w:w w:val="100"/>
          <w:position w:val="0"/>
          <w:shd w:val="clear" w:color="auto" w:fill="auto"/>
          <w:lang w:val="hr-HR" w:eastAsia="hr-HR" w:bidi="hr-HR"/>
        </w:rPr>
        <w:t>džihad</w:t>
      </w:r>
      <w:r>
        <w:rPr>
          <w:rFonts w:ascii="Times New Roman" w:eastAsia="Times New Roman" w:hAnsi="Times New Roman" w:cs="Times New Roman"/>
          <w:color w:val="000000"/>
          <w:spacing w:val="0"/>
          <w:w w:val="100"/>
          <w:position w:val="0"/>
          <w:shd w:val="clear" w:color="auto" w:fill="auto"/>
          <w:lang w:val="hr-HR" w:eastAsia="hr-HR" w:bidi="hr-HR"/>
        </w:rPr>
        <w:t xml:space="preserve"> i pozvao narod u borbu za neovisnost svoje zemlje. I političari se znaju koristiti učenjem o mesiji kao o mahdiju.</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što potvrđuju suvremeni islamski teolozi, vjerovanje u ponovni Isusov dolazak, bilo da on dolazi kao spasitelj islama ili u neku drugu misiju, suprotno je islamskome učenju. »Ku</w:t>
        <w:softHyphen/>
        <w:t>ran je zadnja i konačna objava«, napisao je flusein Dozo, vodeći muslimanski učenjak u bivšoj Jugoslaviji (u. 1981). »Prema tomu, ne postoji ni nužnost niti poticaj za narednoga Božjeg poslanika. Čekanje na ponovni Kristov dolazak bilo je praćeno iluzijama koje musli</w:t>
        <w:softHyphen/>
        <w:t>mane odvraćaju od stvarnoga života. To je znatno doprinijelo pasiviziranju puka i snaž</w:t>
        <w:softHyphen/>
        <w:t>nom fatalističkom stavu prema svijetu. U toj su se atmosferi mogli razviti načini religioz</w:t>
        <w:softHyphen/>
        <w:t xml:space="preserve">noga ponašanja kao što su </w:t>
      </w:r>
      <w:r>
        <w:rPr>
          <w:rFonts w:ascii="Times New Roman" w:eastAsia="Times New Roman" w:hAnsi="Times New Roman" w:cs="Times New Roman"/>
          <w:i/>
          <w:iCs/>
          <w:color w:val="000000"/>
          <w:spacing w:val="0"/>
          <w:w w:val="100"/>
          <w:position w:val="0"/>
          <w:shd w:val="clear" w:color="auto" w:fill="auto"/>
          <w:lang w:val="en-US" w:eastAsia="en-US" w:bidi="en-US"/>
        </w:rPr>
        <w:t>tawakkul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(pasivan život, slijepo povjerenje u Boga), </w:t>
      </w:r>
      <w:r>
        <w:rPr>
          <w:rFonts w:ascii="Times New Roman" w:eastAsia="Times New Roman" w:hAnsi="Times New Roman" w:cs="Times New Roman"/>
          <w:i/>
          <w:iCs/>
          <w:color w:val="000000"/>
          <w:spacing w:val="0"/>
          <w:w w:val="100"/>
          <w:position w:val="0"/>
          <w:shd w:val="clear" w:color="auto" w:fill="auto"/>
          <w:lang w:val="hr-HR" w:eastAsia="hr-HR" w:bidi="hr-HR"/>
        </w:rPr>
        <w:t>gisma</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 xml:space="preserve">kis </w:t>
      </w:r>
      <w:r>
        <w:rPr>
          <w:rFonts w:ascii="Times New Roman" w:eastAsia="Times New Roman" w:hAnsi="Times New Roman" w:cs="Times New Roman"/>
          <w:i/>
          <w:iCs/>
          <w:color w:val="000000"/>
          <w:spacing w:val="0"/>
          <w:w w:val="100"/>
          <w:position w:val="0"/>
          <w:shd w:val="clear" w:color="auto" w:fill="auto"/>
          <w:lang w:val="en-US" w:eastAsia="en-US" w:bidi="en-US"/>
        </w:rPr>
        <w:t>met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(što se ovdje može recimo razumjeti kao voljno prepuštanje 'sudbini poslanoj od Boga’) i dr.« (vidi </w:t>
      </w:r>
      <w:r>
        <w:rPr>
          <w:rFonts w:ascii="Times New Roman" w:eastAsia="Times New Roman" w:hAnsi="Times New Roman" w:cs="Times New Roman"/>
          <w:i/>
          <w:iCs/>
          <w:color w:val="000000"/>
          <w:spacing w:val="0"/>
          <w:w w:val="100"/>
          <w:position w:val="0"/>
          <w:shd w:val="clear" w:color="auto" w:fill="auto"/>
          <w:lang w:val="hr-HR" w:eastAsia="hr-HR" w:bidi="hr-HR"/>
        </w:rPr>
        <w:t>Glasnik.</w:t>
      </w:r>
      <w:r>
        <w:rPr>
          <w:rFonts w:ascii="Times New Roman" w:eastAsia="Times New Roman" w:hAnsi="Times New Roman" w:cs="Times New Roman"/>
          <w:color w:val="000000"/>
          <w:spacing w:val="0"/>
          <w:w w:val="100"/>
          <w:position w:val="0"/>
          <w:shd w:val="clear" w:color="auto" w:fill="auto"/>
          <w:lang w:val="hr-HR" w:eastAsia="hr-HR" w:bidi="hr-HR"/>
        </w:rPr>
        <w:t xml:space="preserve"> Službeno glasilo Islamske vjerske zajednice u Jugoslaviji, 37/1974, 44). U svojemu nazoru Dozo se oslanja na udarne spoznaje tadašnjega Velikoga šejha El-Ashara Mahmuda Shaltuta. Po Ilarisu Korkutu (u. 1979), jednom drugom učenjaku s El-Ashara, kuranska riječ za mesiju - al-masth - ne smije sc razumjeti nikako drugačije nego kao jedan naziv ili kao neka adresa </w:t>
      </w:r>
      <w:r>
        <w:rPr>
          <w:rFonts w:ascii="Times New Roman" w:eastAsia="Times New Roman" w:hAnsi="Times New Roman" w:cs="Times New Roman"/>
          <w:color w:val="000000"/>
          <w:spacing w:val="0"/>
          <w:w w:val="100"/>
          <w:position w:val="0"/>
          <w:shd w:val="clear" w:color="auto" w:fill="auto"/>
          <w:lang w:val="en-US" w:eastAsia="en-US" w:bidi="en-US"/>
        </w:rPr>
        <w:t>('unwan).</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IJt.: </w:t>
      </w:r>
      <w:r>
        <w:rPr>
          <w:color w:val="000000"/>
          <w:spacing w:val="0"/>
          <w:w w:val="100"/>
          <w:position w:val="0"/>
          <w:shd w:val="clear" w:color="auto" w:fill="auto"/>
        </w:rPr>
        <w:t xml:space="preserve">A. AtxJuIhusscin Savhcdina. </w:t>
      </w:r>
      <w:r>
        <w:rPr>
          <w:i/>
          <w:iCs/>
          <w:color w:val="000000"/>
          <w:spacing w:val="0"/>
          <w:w w:val="100"/>
          <w:position w:val="0"/>
          <w:shd w:val="clear" w:color="auto" w:fill="auto"/>
        </w:rPr>
        <w:t>Islamic Messianism The idea of the Mahdi in Twelver Schi'ism.</w:t>
      </w:r>
      <w:r>
        <w:rPr>
          <w:color w:val="000000"/>
          <w:spacing w:val="0"/>
          <w:w w:val="100"/>
          <w:position w:val="0"/>
          <w:shd w:val="clear" w:color="auto" w:fill="auto"/>
        </w:rPr>
        <w:t xml:space="preserve"> ?\lbany 1981. X, 230 i (J.</w:t>
      </w:r>
    </w:p>
    <w:p>
      <w:pPr>
        <w:pStyle w:val="Style56"/>
        <w:keepNext w:val="0"/>
        <w:keepLines w:val="0"/>
        <w:widowControl w:val="0"/>
        <w:shd w:val="clear" w:color="auto" w:fill="auto"/>
        <w:bidi w:val="0"/>
        <w:spacing w:before="0" w:after="240" w:line="240" w:lineRule="auto"/>
        <w:ind w:left="0" w:right="0" w:firstLine="0"/>
        <w:jc w:val="right"/>
      </w:pPr>
      <w:r>
        <w:rPr>
          <w:color w:val="000000"/>
          <w:spacing w:val="0"/>
          <w:w w:val="100"/>
          <w:position w:val="0"/>
          <w:shd w:val="clear" w:color="auto" w:fill="auto"/>
        </w:rPr>
        <w:t xml:space="preserve">S </w:t>
      </w:r>
      <w:r>
        <w:rPr>
          <w:color w:val="000000"/>
          <w:spacing w:val="0"/>
          <w:w w:val="100"/>
          <w:position w:val="0"/>
          <w:shd w:val="clear" w:color="auto" w:fill="auto"/>
          <w:lang w:val="hr-HR" w:eastAsia="hr-HR" w:bidi="hr-HR"/>
        </w:rPr>
        <w:t>BAI.IČ</w:t>
      </w:r>
    </w:p>
    <w:p>
      <w:pPr>
        <w:pStyle w:val="Style33"/>
        <w:keepNext w:val="0"/>
        <w:keepLines w:val="0"/>
        <w:widowControl w:val="0"/>
        <w:shd w:val="clear" w:color="auto" w:fill="auto"/>
        <w:bidi w:val="0"/>
        <w:spacing w:before="0" w:after="24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MILOST</w:t>
      </w:r>
    </w:p>
    <w:p>
      <w:pPr>
        <w:pStyle w:val="Style63"/>
        <w:keepNext/>
        <w:keepLines/>
        <w:widowControl w:val="0"/>
        <w:numPr>
          <w:ilvl w:val="0"/>
          <w:numId w:val="285"/>
        </w:numPr>
        <w:shd w:val="clear" w:color="auto" w:fill="auto"/>
        <w:tabs>
          <w:tab w:pos="250" w:val="left"/>
        </w:tabs>
        <w:bidi w:val="0"/>
        <w:spacing w:before="0" w:line="216" w:lineRule="auto"/>
        <w:ind w:left="0" w:right="0" w:firstLine="0"/>
        <w:jc w:val="both"/>
      </w:pPr>
      <w:bookmarkStart w:id="187" w:name="bookmark187"/>
      <w:r>
        <w:rPr>
          <w:rFonts w:ascii="Times New Roman" w:eastAsia="Times New Roman" w:hAnsi="Times New Roman" w:cs="Times New Roman"/>
          <w:color w:val="000000"/>
          <w:spacing w:val="0"/>
          <w:w w:val="100"/>
          <w:position w:val="0"/>
          <w:shd w:val="clear" w:color="auto" w:fill="auto"/>
          <w:lang w:val="hr-HR" w:eastAsia="hr-HR" w:bidi="hr-HR"/>
        </w:rPr>
        <w:t>židovski</w:t>
      </w:r>
      <w:bookmarkEnd w:id="187"/>
    </w:p>
    <w:p>
      <w:pPr>
        <w:pStyle w:val="Style20"/>
        <w:keepNext w:val="0"/>
        <w:keepLines w:val="0"/>
        <w:widowControl w:val="0"/>
        <w:numPr>
          <w:ilvl w:val="0"/>
          <w:numId w:val="287"/>
        </w:numPr>
        <w:shd w:val="clear" w:color="auto" w:fill="auto"/>
        <w:tabs>
          <w:tab w:pos="265" w:val="left"/>
        </w:tabs>
        <w:bidi w:val="0"/>
        <w:spacing w:before="0" w:after="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»Svima je potrebna Božja m.&lt;</w:t>
      </w:r>
      <w:r>
        <w:rPr>
          <w:rFonts w:ascii="Times New Roman" w:eastAsia="Times New Roman" w:hAnsi="Times New Roman" w:cs="Times New Roman"/>
          <w:color w:val="000000"/>
          <w:spacing w:val="0"/>
          <w:w w:val="100"/>
          <w:position w:val="0"/>
          <w:shd w:val="clear" w:color="auto" w:fill="auto"/>
          <w:lang w:val="hr-HR" w:eastAsia="hr-HR" w:bidi="hr-HR"/>
        </w:rPr>
        <w:t xml:space="preserve"> »Upućeni smo na m.; no, Božju volju ne poštujemo ako </w:t>
      </w:r>
      <w:r>
        <w:rPr>
          <w:rFonts w:ascii="Times New Roman" w:eastAsia="Times New Roman" w:hAnsi="Times New Roman" w:cs="Times New Roman"/>
          <w:color w:val="000000"/>
          <w:spacing w:val="0"/>
          <w:w w:val="100"/>
          <w:position w:val="0"/>
          <w:shd w:val="clear" w:color="auto" w:fill="auto"/>
          <w:lang w:val="hr-HR" w:eastAsia="hr-HR" w:bidi="hr-HR"/>
        </w:rPr>
        <w:t xml:space="preserve">se drznemo početi s njegovom voljom, a ne svojom. Naša nastojanja sada, naša nastojanja prije, upravo to i samo to vodi nas u nevolji milosti«.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(Kampf um </w:t>
      </w:r>
      <w:r>
        <w:rPr>
          <w:rFonts w:ascii="Times New Roman" w:eastAsia="Times New Roman" w:hAnsi="Times New Roman" w:cs="Times New Roman"/>
          <w:i/>
          <w:iCs/>
          <w:color w:val="000000"/>
          <w:spacing w:val="0"/>
          <w:w w:val="100"/>
          <w:position w:val="0"/>
          <w:shd w:val="clear" w:color="auto" w:fill="auto"/>
          <w:lang w:val="en-US" w:eastAsia="en-US" w:bidi="en-US"/>
        </w:rPr>
        <w:t>Israel. Re</w:t>
        <w:softHyphen/>
        <w:t>den und Schriften,</w:t>
      </w:r>
      <w:r>
        <w:rPr>
          <w:rFonts w:ascii="Times New Roman" w:eastAsia="Times New Roman" w:hAnsi="Times New Roman" w:cs="Times New Roman"/>
          <w:color w:val="000000"/>
          <w:spacing w:val="0"/>
          <w:w w:val="100"/>
          <w:position w:val="0"/>
          <w:shd w:val="clear" w:color="auto" w:fill="auto"/>
          <w:lang w:val="en-US" w:eastAsia="en-US" w:bidi="en-US"/>
        </w:rPr>
        <w:t xml:space="preserve"> 1921-32, 193.3, 57) </w:t>
      </w:r>
      <w:r>
        <w:rPr>
          <w:rFonts w:ascii="Times New Roman" w:eastAsia="Times New Roman" w:hAnsi="Times New Roman" w:cs="Times New Roman"/>
          <w:color w:val="000000"/>
          <w:spacing w:val="0"/>
          <w:w w:val="100"/>
          <w:position w:val="0"/>
          <w:shd w:val="clear" w:color="auto" w:fill="auto"/>
          <w:lang w:val="hr-HR" w:eastAsia="hr-HR" w:bidi="hr-HR"/>
        </w:rPr>
        <w:t>upućuje tim rečenicama na vezu obveznu za biblijsko i poslijebiblijsko židovstvo: Bog koji daje jest Bog koji zapovijeda, a čovjek koji prima jest čovjek koji izvršava: »Nema pravog sudje</w:t>
        <w:softHyphen/>
        <w:t xml:space="preserve">lovanja u svetome bez posvećenja svakodne- vice«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Stoga se ovdje »postati prave</w:t>
        <w:softHyphen/>
        <w:t>dan« Božjom milošću ne može smatrati jedi</w:t>
        <w:softHyphen/>
        <w:t>nim važnim. Nije presudno doživjeti čudo mi</w:t>
        <w:softHyphen/>
        <w:t>losti i time biti otkupljen. Poslušnost, koja tre</w:t>
        <w:softHyphen/>
        <w:t>ba ostvariti djelo, ne smije uzmaknuti od ono</w:t>
        <w:softHyphen/>
        <w:t>ga što daje Božja m.; jer ni vjernikovo »ja« ni</w:t>
        <w:softHyphen/>
        <w:t>kada nije samo pred Bogom bez bližnjega. »Pravednost« koju je Bog dodijelio onome tko živi od vjere (»povjerenja«) (Post 15.6: Heb 2,4), ne gubi zahtjevnu snagu i ne oduzi</w:t>
        <w:softHyphen/>
        <w:t>ma »pravednosti« ništa od njezina smisla i sa</w:t>
        <w:softHyphen/>
        <w:t xml:space="preserve">držaja prema kojima čovjek treba živjeti: Bog je vjerno vodio svoj narod po pustinji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2,10; 5,25); on za to zahtijeva da njegova »prav</w:t>
        <w:softHyphen/>
        <w:t>da« u Izraelu poteče kao voda i da »praved</w:t>
        <w:softHyphen/>
        <w:t>nost« (»pouzdanost«) ne presuši (5,24). Bu</w:t>
        <w:softHyphen/>
        <w:t>dući da jedinstvo prava i pravednosti ne ozna</w:t>
        <w:softHyphen/>
        <w:t>čava ni »etička« niti »socijalna« kategorija ne</w:t>
        <w:softHyphen/>
        <w:t>go »religijsko« iskustvo Izraela, ono je postalo jednim od temeljnih biblijskih pojmova božan- sko-ljudskih odnosa. Pritom je podrijetlo toga jedinstva neosporno: »... Od sada i dovijeka učinit će to privržena ljubav NJEGA nad Voj</w:t>
        <w:softHyphen/>
        <w:t xml:space="preserve">skama« (Iz 9,6, usp. 1 Kr 10,9; Jr 23,5; 33,15). To su razložili i kasniji učitelji židovstva </w:t>
      </w:r>
      <w:r>
        <w:rPr>
          <w:rFonts w:ascii="Times New Roman" w:eastAsia="Times New Roman" w:hAnsi="Times New Roman" w:cs="Times New Roman"/>
          <w:color w:val="000000"/>
          <w:spacing w:val="0"/>
          <w:w w:val="100"/>
          <w:position w:val="0"/>
          <w:shd w:val="clear" w:color="auto" w:fill="auto"/>
          <w:lang w:val="en-US" w:eastAsia="en-US" w:bidi="en-US"/>
        </w:rPr>
        <w:t>(III./I</w:t>
      </w:r>
      <w:r>
        <w:rPr>
          <w:rFonts w:ascii="Times New Roman" w:eastAsia="Times New Roman" w:hAnsi="Times New Roman" w:cs="Times New Roman"/>
          <w:color w:val="000000"/>
          <w:spacing w:val="0"/>
          <w:w w:val="100"/>
          <w:position w:val="0"/>
          <w:shd w:val="clear" w:color="auto" w:fill="auto"/>
          <w:lang w:val="hr-HR" w:eastAsia="hr-HR" w:bidi="hr-HR"/>
        </w:rPr>
        <w:t xml:space="preserve">V. stoljeće) kako ne bi bilo pogrešnog tumačenja: »Svima je potrebna Božja m., ni sam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nije bio izuzet; naime, m. se vrti po svijetu, i mije trebamo radi njega« (Bercšit raba LX,24,12). Bog je na zemlji, odnosno u Izraelu, ugradio »pravo« i »pravednost« (lz 1,27; 28,17; 33,5, usp. Jr 9,23; Ps 99,4), pa stoga to što im je Bog zasadio može donijeti i plod onima koji ga slušaju, dok upravo ljudi svojim djelovanjem, odbijajući oponašati Bo</w:t>
        <w:softHyphen/>
        <w:t xml:space="preserve">ga, sprečavaju njegovo djelo (Iz 5,7; 1,21; 28,17;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5,7; 6,12).</w:t>
      </w:r>
    </w:p>
    <w:p>
      <w:pPr>
        <w:pStyle w:val="Style20"/>
        <w:keepNext w:val="0"/>
        <w:keepLines w:val="0"/>
        <w:widowControl w:val="0"/>
        <w:numPr>
          <w:ilvl w:val="0"/>
          <w:numId w:val="287"/>
        </w:numPr>
        <w:shd w:val="clear" w:color="auto" w:fill="auto"/>
        <w:tabs>
          <w:tab w:pos="265" w:val="left"/>
        </w:tabs>
        <w:bidi w:val="0"/>
        <w:spacing w:before="0" w:after="0" w:line="240" w:lineRule="auto"/>
        <w:ind w:left="0" w:right="0" w:firstLine="0"/>
        <w:jc w:val="both"/>
        <w:sectPr>
          <w:headerReference w:type="default" r:id="rId761"/>
          <w:footerReference w:type="default" r:id="rId762"/>
          <w:headerReference w:type="even" r:id="rId763"/>
          <w:footerReference w:type="even" r:id="rId764"/>
          <w:headerReference w:type="first" r:id="rId765"/>
          <w:footerReference w:type="first" r:id="rId766"/>
          <w:footnotePr>
            <w:pos w:val="pageBottom"/>
            <w:numFmt w:val="decimal"/>
            <w:numRestart w:val="continuous"/>
            <w15:footnoteColumns w:val="1"/>
          </w:footnotePr>
          <w:pgSz w:w="6816" w:h="11006"/>
          <w:pgMar w:top="1017" w:left="190" w:right="189" w:bottom="476" w:header="0" w:footer="3" w:gutter="0"/>
          <w:pgNumType w:start="256"/>
          <w:cols w:num="2" w:space="176"/>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»Tko se smiluje svojim bližnjima«:</w:t>
      </w:r>
      <w:r>
        <w:rPr>
          <w:rFonts w:ascii="Times New Roman" w:eastAsia="Times New Roman" w:hAnsi="Times New Roman" w:cs="Times New Roman"/>
          <w:color w:val="000000"/>
          <w:spacing w:val="0"/>
          <w:w w:val="100"/>
          <w:position w:val="0"/>
          <w:shd w:val="clear" w:color="auto" w:fill="auto"/>
          <w:lang w:val="hr-HR" w:eastAsia="hr-HR" w:bidi="hr-HR"/>
        </w:rPr>
        <w:t xml:space="preserve"> Slično djelovanje u sveobuhvatnom uzajamnom od</w:t>
        <w:softHyphen/>
        <w:t xml:space="preserve">nosu Boga i Izraela pokazuje pojam »m.« (»naklonost«, »blagonaklonost«, </w:t>
      </w:r>
      <w:r>
        <w:rPr>
          <w:rFonts w:ascii="Times New Roman" w:eastAsia="Times New Roman" w:hAnsi="Times New Roman" w:cs="Times New Roman"/>
          <w:i/>
          <w:iCs/>
          <w:color w:val="000000"/>
          <w:spacing w:val="0"/>
          <w:w w:val="100"/>
          <w:position w:val="0"/>
          <w:shd w:val="clear" w:color="auto" w:fill="auto"/>
          <w:lang w:val="hr-HR" w:eastAsia="hr-HR" w:bidi="hr-HR"/>
        </w:rPr>
        <w:t>hesed).</w:t>
      </w:r>
      <w:r>
        <w:rPr>
          <w:rFonts w:ascii="Times New Roman" w:eastAsia="Times New Roman" w:hAnsi="Times New Roman" w:cs="Times New Roman"/>
          <w:color w:val="000000"/>
          <w:spacing w:val="0"/>
          <w:w w:val="100"/>
          <w:position w:val="0"/>
          <w:shd w:val="clear" w:color="auto" w:fill="auto"/>
          <w:lang w:val="hr-HR" w:eastAsia="hr-HR" w:bidi="hr-HR"/>
        </w:rPr>
        <w:t xml:space="preserve"> Božja je naklonost izražena u Deset zapovijedi: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iskazujem ljubav tisućama« (Izl 20,6); u pjesmi o moru »Milošću svojom vodio si ovaj narod, tobom otkupljen« (15,13); u pojavi Bo</w:t>
        <w:softHyphen/>
        <w:t>ga pred Mojsijem: »ON, ON, Bog milosrdan i milostiv, spor na srdžbu, bogat ljubavlju i vjer</w:t>
        <w:softHyphen/>
        <w:t>nošću, iskazuje milost tisućama (naraštaja)«, u onom govoru (Izl 34,6 i d.) u kojemu je rabinsko tumačenje otkrilo »trinaest atributa« i nazvalo ga Božjom sporošću na srdžbu i mi</w:t>
        <w:softHyphen/>
        <w:t>losrđem (b Roš ha-šana 17b), ali već i u priči o Abrahamu: »...što nije uskratio svoju ljubav i svoju vjernost mome gospodaru!« (Post 24,27). No Božja »naklonost« prema Izraelu (Hoš 2,21 i d.) nastavit će se u Izraelovu međuljud</w:t>
        <w:softHyphen/>
        <w:t>skom ponašanju: »Jer ljubav mi je mila« (6,6, usp. 10,12; 12,7), jer bez ljudskog slijeđenja Boga, tj. učinka Božje milosti u ljudskom svi</w:t>
        <w:softHyphen/>
        <w:t>jetu, bit će uništena povezanost s Bogom i nje</w:t>
        <w:softHyphen/>
        <w:t>govim životnim redom (4,1 i d.). Stoga su uči</w:t>
        <w:softHyphen/>
        <w:t>telji poučavali: »Tko se smiluje bližnjima, nje</w:t>
        <w:softHyphen/>
        <w:t>mu će se smilovati na nebu, a tko se ne smi</w:t>
        <w:softHyphen/>
        <w:t>luje bližnjima, njemu sc neće smilovati ni na nebu« (b Sabat 151b). Hošcanski pojam uza</w:t>
        <w:softHyphen/>
        <w:t>jamnosti »m./ljubav« isključuje shvaćanje pre</w:t>
        <w:softHyphen/>
        <w:t>ma kojemu je čovjek samo oruđe u Božjim ru</w:t>
        <w:softHyphen/>
        <w:t>kama ili samo izabranik, primatelj; štoviše, iz njega govori povijest iskustava čovjeka stvore</w:t>
        <w:softHyphen/>
        <w:t>noga da bude partner koji može razgovarati s Bogom, partner koji cijelim svojim životom može odgovoriti Bogu. On zna i živi od toga da cijelo njegovo postojanje unatoč neispu</w:t>
        <w:softHyphen/>
        <w:t>njenim očekivanjima i borbama s otuđenim i negativnim emocijama čuva svoje izvorište i da može uvijek naići na pomirljiv odgovor Bo</w:t>
        <w:softHyphen/>
        <w:t>ga (Br 14,20; Iz 55,7; Roš ha-šana 17b). No, ni pomirenje nije ovdje samo milosno djelo, ono traži slobodan izbor i čovjekovo djelovanje. Obraćenje može omogućiti samo sam Bog Iz- raelov; no nikakva sigurnost milosti ne može u židovskoj zajednici zanemariti zapovijed ko</w:t>
        <w:softHyphen/>
        <w:t xml:space="preserve">ja pojedincu uz bok stavlja brata: «... čuvaj ljubav i pravednost i u Boga se svoga uzdaj svagda!« (Hoš 12,7). Rabinski izraz </w:t>
      </w:r>
      <w:r>
        <w:rPr>
          <w:rFonts w:ascii="Times New Roman" w:eastAsia="Times New Roman" w:hAnsi="Times New Roman" w:cs="Times New Roman"/>
          <w:i/>
          <w:iCs/>
          <w:color w:val="000000"/>
          <w:spacing w:val="0"/>
          <w:w w:val="100"/>
          <w:position w:val="0"/>
          <w:shd w:val="clear" w:color="auto" w:fill="auto"/>
          <w:lang w:val="hr-HR" w:eastAsia="hr-HR" w:bidi="hr-HR"/>
        </w:rPr>
        <w:t>hasidul</w:t>
      </w:r>
      <w:r>
        <w:rPr>
          <w:rFonts w:ascii="Times New Roman" w:eastAsia="Times New Roman" w:hAnsi="Times New Roman" w:cs="Times New Roman"/>
          <w:color w:val="000000"/>
          <w:spacing w:val="0"/>
          <w:w w:val="100"/>
          <w:position w:val="0"/>
          <w:shd w:val="clear" w:color="auto" w:fill="auto"/>
          <w:lang w:val="hr-HR" w:eastAsia="hr-HR" w:bidi="hr-HR"/>
        </w:rPr>
        <w:t xml:space="preserve"> za pobožnost jasno povezuje »najveću od svih (kreposti)«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20b; usp. ipak Ara- hin 16b), hvaljeno ponašanje s milosnim dje</w:t>
        <w:softHyphen/>
        <w:t xml:space="preserve">lovanjem </w:t>
      </w:r>
      <w:r>
        <w:rPr>
          <w:rFonts w:ascii="Times New Roman" w:eastAsia="Times New Roman" w:hAnsi="Times New Roman" w:cs="Times New Roman"/>
          <w:i/>
          <w:iCs/>
          <w:color w:val="000000"/>
          <w:spacing w:val="0"/>
          <w:w w:val="100"/>
          <w:position w:val="0"/>
          <w:shd w:val="clear" w:color="auto" w:fill="auto"/>
          <w:lang w:val="hr-HR" w:eastAsia="hr-HR" w:bidi="hr-HR"/>
        </w:rPr>
        <w:t>(hesed)</w:t>
      </w:r>
      <w:r>
        <w:rPr>
          <w:rFonts w:ascii="Times New Roman" w:eastAsia="Times New Roman" w:hAnsi="Times New Roman" w:cs="Times New Roman"/>
          <w:color w:val="000000"/>
          <w:spacing w:val="0"/>
          <w:w w:val="100"/>
          <w:position w:val="0"/>
          <w:shd w:val="clear" w:color="auto" w:fill="auto"/>
          <w:lang w:val="hr-HR" w:eastAsia="hr-HR" w:bidi="hr-HR"/>
        </w:rPr>
        <w:t xml:space="preserve"> Boga.</w:t>
      </w:r>
    </w:p>
    <w:p>
      <w:pPr>
        <w:pStyle w:val="Style20"/>
        <w:keepNext w:val="0"/>
        <w:keepLines w:val="0"/>
        <w:widowControl w:val="0"/>
        <w:numPr>
          <w:ilvl w:val="0"/>
          <w:numId w:val="289"/>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»Vjernici, djeca vjernika«:</w:t>
      </w:r>
      <w:r>
        <w:rPr>
          <w:rFonts w:ascii="Times New Roman" w:eastAsia="Times New Roman" w:hAnsi="Times New Roman" w:cs="Times New Roman"/>
          <w:color w:val="000000"/>
          <w:spacing w:val="0"/>
          <w:w w:val="100"/>
          <w:position w:val="0"/>
          <w:shd w:val="clear" w:color="auto" w:fill="auto"/>
          <w:lang w:val="hr-HR" w:eastAsia="hr-HR" w:bidi="hr-HR"/>
        </w:rPr>
        <w:t xml:space="preserve"> Povjerenje u Božju blizinu ne nadomješta u židovstvu svijest o nje</w:t>
        <w:softHyphen/>
        <w:t>govim odredbama; čovjek se mora obratiti. Ri</w:t>
        <w:softHyphen/>
        <w:t xml:space="preserve">ječ Rabi </w:t>
      </w:r>
      <w:r>
        <w:rPr>
          <w:rFonts w:ascii="Times New Roman" w:eastAsia="Times New Roman" w:hAnsi="Times New Roman" w:cs="Times New Roman"/>
          <w:color w:val="000000"/>
          <w:spacing w:val="0"/>
          <w:w w:val="100"/>
          <w:position w:val="0"/>
          <w:shd w:val="clear" w:color="auto" w:fill="auto"/>
          <w:lang w:val="en-US" w:eastAsia="en-US" w:bidi="en-US"/>
        </w:rPr>
        <w:t xml:space="preserve">Akive </w:t>
      </w:r>
      <w:r>
        <w:rPr>
          <w:rFonts w:ascii="Times New Roman" w:eastAsia="Times New Roman" w:hAnsi="Times New Roman" w:cs="Times New Roman"/>
          <w:color w:val="000000"/>
          <w:spacing w:val="0"/>
          <w:w w:val="100"/>
          <w:position w:val="0"/>
          <w:shd w:val="clear" w:color="auto" w:fill="auto"/>
          <w:lang w:val="hr-HR" w:eastAsia="hr-HR" w:bidi="hr-HR"/>
        </w:rPr>
        <w:t xml:space="preserve">(I./I1. stoljeće) ističe ono što je tijesno povezano: »Spasi vas. Izrade! Tko je </w:t>
      </w:r>
      <w:r>
        <w:rPr>
          <w:rFonts w:ascii="Times New Roman" w:eastAsia="Times New Roman" w:hAnsi="Times New Roman" w:cs="Times New Roman"/>
          <w:color w:val="000000"/>
          <w:spacing w:val="0"/>
          <w:w w:val="100"/>
          <w:position w:val="0"/>
          <w:shd w:val="clear" w:color="auto" w:fill="auto"/>
          <w:lang w:val="hr-HR" w:eastAsia="hr-HR" w:bidi="hr-HR"/>
        </w:rPr>
        <w:t>on pred kim se čistite i tko je on tko vas čisti? Vaš otac na nebu!« (M Joma VIII,9). Mudraci su naglašavali uvijek novu povezanost, sadaš</w:t>
        <w:softHyphen/>
        <w:t>nju i buduću, između Boga i Izraela: »Nago</w:t>
        <w:softHyphen/>
        <w:t xml:space="preserve">dili su se da ih se On (Bog) neće odreći i da Ga se oni nisu htjeli odreći« (Vajikra raba VI,5,1). Zvali su Izraelce »vjernici, djeca vjernika« (b Sabat 97a) - riječi za uzajamnost: </w:t>
      </w:r>
      <w:r>
        <w:rPr>
          <w:rFonts w:ascii="Times New Roman" w:eastAsia="Times New Roman" w:hAnsi="Times New Roman" w:cs="Times New Roman"/>
          <w:i/>
          <w:iCs/>
          <w:color w:val="000000"/>
          <w:spacing w:val="0"/>
          <w:w w:val="100"/>
          <w:position w:val="0"/>
          <w:shd w:val="clear" w:color="auto" w:fill="auto"/>
          <w:lang w:val="hr-HR" w:eastAsia="hr-HR" w:bidi="hr-HR"/>
        </w:rPr>
        <w:t>emuna</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vjerenje, vjernost) primjerenije je: »Povjerenje, djeca povjerenja« - kako bi time okarakterizi</w:t>
        <w:softHyphen/>
        <w:t>rali židovsku svijest da mogu djelovati i stoga moraju djelovati. Ta sigurnost i pouzdanje ko</w:t>
        <w:softHyphen/>
        <w:t>ji se temelje na Božjem obraćanju čovjeku od</w:t>
        <w:softHyphen/>
        <w:t>ražavaju se i u uvodu molitve: »Neka bude i volja Tvoja, o Gospodine, moj Bože, da me privikneš na svoju Toru (životne propise); do</w:t>
        <w:softHyphen/>
        <w:t>pusti mi da se čvrsto držim Tvojih zapovijedi. Nemoj dopustiti da ih prekršim... Daj da da</w:t>
        <w:softHyphen/>
        <w:t>nas i svakoga dana uživam blagonaklonost i</w:t>
      </w:r>
    </w:p>
    <w:p>
      <w:pPr>
        <w:pStyle w:val="Style20"/>
        <w:keepNext w:val="0"/>
        <w:keepLines w:val="0"/>
        <w:widowControl w:val="0"/>
        <w:shd w:val="clear" w:color="auto" w:fill="auto"/>
        <w:tabs>
          <w:tab w:pos="303"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w:t>
        <w:tab/>
      </w:r>
      <w:r>
        <w:rPr>
          <w:rFonts w:ascii="Times New Roman" w:eastAsia="Times New Roman" w:hAnsi="Times New Roman" w:cs="Times New Roman"/>
          <w:i/>
          <w:iCs/>
          <w:color w:val="000000"/>
          <w:spacing w:val="0"/>
          <w:w w:val="100"/>
          <w:position w:val="0"/>
          <w:shd w:val="clear" w:color="auto" w:fill="auto"/>
          <w:lang w:val="hr-HR" w:eastAsia="hr-HR" w:bidi="hr-HR"/>
        </w:rPr>
        <w:t>(hesed)</w:t>
      </w:r>
      <w:r>
        <w:rPr>
          <w:rFonts w:ascii="Times New Roman" w:eastAsia="Times New Roman" w:hAnsi="Times New Roman" w:cs="Times New Roman"/>
          <w:color w:val="000000"/>
          <w:spacing w:val="0"/>
          <w:w w:val="100"/>
          <w:position w:val="0"/>
          <w:shd w:val="clear" w:color="auto" w:fill="auto"/>
          <w:lang w:val="hr-HR" w:eastAsia="hr-HR" w:bidi="hr-HR"/>
        </w:rPr>
        <w:t xml:space="preserve"> i milosrđe u Tvojim očima i u oči</w:t>
        <w:softHyphen/>
        <w:t>ma svih koji me vide« (b Bcrahot 60b). Zajed</w:t>
        <w:softHyphen/>
        <w:t>nica priznaje pobožnikom onoga koji u svo</w:t>
        <w:softHyphen/>
        <w:t xml:space="preserve">jem životu vrši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hesed (»m./naklonost, ljubav«), </w:t>
      </w:r>
      <w:r>
        <w:rPr>
          <w:rFonts w:ascii="Times New Roman" w:eastAsia="Times New Roman" w:hAnsi="Times New Roman" w:cs="Times New Roman"/>
          <w:color w:val="000000"/>
          <w:spacing w:val="0"/>
          <w:w w:val="100"/>
          <w:position w:val="0"/>
          <w:shd w:val="clear" w:color="auto" w:fill="auto"/>
          <w:lang w:val="hr-HR" w:eastAsia="hr-HR" w:bidi="hr-HR"/>
        </w:rPr>
        <w:t xml:space="preserve">pa ga i naziva </w:t>
      </w:r>
      <w:r>
        <w:rPr>
          <w:rFonts w:ascii="Times New Roman" w:eastAsia="Times New Roman" w:hAnsi="Times New Roman" w:cs="Times New Roman"/>
          <w:i/>
          <w:iCs/>
          <w:color w:val="000000"/>
          <w:spacing w:val="0"/>
          <w:w w:val="100"/>
          <w:position w:val="0"/>
          <w:shd w:val="clear" w:color="auto" w:fill="auto"/>
          <w:lang w:val="hr-HR" w:eastAsia="hr-HR" w:bidi="hr-HR"/>
        </w:rPr>
        <w:t>hasid</w:t>
      </w:r>
      <w:r>
        <w:rPr>
          <w:rFonts w:ascii="Times New Roman" w:eastAsia="Times New Roman" w:hAnsi="Times New Roman" w:cs="Times New Roman"/>
          <w:color w:val="000000"/>
          <w:spacing w:val="0"/>
          <w:w w:val="100"/>
          <w:position w:val="0"/>
          <w:shd w:val="clear" w:color="auto" w:fill="auto"/>
          <w:lang w:val="hr-HR" w:eastAsia="hr-HR" w:bidi="hr-HR"/>
        </w:rPr>
        <w:t xml:space="preserve"> (M Berahot V,ll). On u svojem djelovanju doživljava odnos s Bogom koji omogućava </w:t>
      </w:r>
      <w:r>
        <w:rPr>
          <w:rFonts w:ascii="Times New Roman" w:eastAsia="Times New Roman" w:hAnsi="Times New Roman" w:cs="Times New Roman"/>
          <w:i/>
          <w:iCs/>
          <w:color w:val="000000"/>
          <w:spacing w:val="0"/>
          <w:w w:val="100"/>
          <w:position w:val="0"/>
          <w:shd w:val="clear" w:color="auto" w:fill="auto"/>
          <w:lang w:val="hr-HR" w:eastAsia="hr-HR" w:bidi="hr-HR"/>
        </w:rPr>
        <w:t>hesed</w:t>
      </w:r>
      <w:r>
        <w:rPr>
          <w:rFonts w:ascii="Times New Roman" w:eastAsia="Times New Roman" w:hAnsi="Times New Roman" w:cs="Times New Roman"/>
          <w:color w:val="000000"/>
          <w:spacing w:val="0"/>
          <w:w w:val="100"/>
          <w:position w:val="0"/>
          <w:shd w:val="clear" w:color="auto" w:fill="auto"/>
          <w:lang w:val="hr-HR" w:eastAsia="hr-HR" w:bidi="hr-HR"/>
        </w:rPr>
        <w:t xml:space="preserve"> (b Suka 49b; j Jevamot XI,Ud). I nežidov, koji preuzima sedam ele</w:t>
        <w:softHyphen/>
        <w:t>mentarnih propisa kao temelj ljudskoga po</w:t>
        <w:softHyphen/>
        <w:t xml:space="preserve">retka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64b; Tos. VIII, 4.6;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 xml:space="preserve">56a-b), nije samo sin Noin, nego je u potpunosti pobožnik koji dobiva sudioništvo u »budućem svijetu«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XIII.2; </w:t>
      </w:r>
      <w:r>
        <w:rPr>
          <w:rFonts w:ascii="Times New Roman" w:eastAsia="Times New Roman" w:hAnsi="Times New Roman" w:cs="Times New Roman"/>
          <w:color w:val="000000"/>
          <w:spacing w:val="0"/>
          <w:w w:val="100"/>
          <w:position w:val="0"/>
          <w:shd w:val="clear" w:color="auto" w:fill="auto"/>
          <w:lang w:val="hr-HR" w:eastAsia="hr-HR" w:bidi="hr-HR"/>
        </w:rPr>
        <w:t xml:space="preserve">b 105a). U svojem je kodeksu zakonodavstva Majmonid (1135-1204) ovom shvaćanju dao ovakvu formulaciju: »Pobožnici naroda svijeta </w:t>
      </w:r>
      <w:r>
        <w:rPr>
          <w:rFonts w:ascii="Times New Roman" w:eastAsia="Times New Roman" w:hAnsi="Times New Roman" w:cs="Times New Roman"/>
          <w:i/>
          <w:iCs/>
          <w:color w:val="000000"/>
          <w:spacing w:val="0"/>
          <w:w w:val="100"/>
          <w:position w:val="0"/>
          <w:shd w:val="clear" w:color="auto" w:fill="auto"/>
          <w:lang w:val="hr-HR" w:eastAsia="hr-HR" w:bidi="hr-HR"/>
        </w:rPr>
        <w:t>(hasidej umot ha-olam)</w:t>
      </w:r>
      <w:r>
        <w:rPr>
          <w:rFonts w:ascii="Times New Roman" w:eastAsia="Times New Roman" w:hAnsi="Times New Roman" w:cs="Times New Roman"/>
          <w:color w:val="000000"/>
          <w:spacing w:val="0"/>
          <w:w w:val="100"/>
          <w:position w:val="0"/>
          <w:shd w:val="clear" w:color="auto" w:fill="auto"/>
          <w:lang w:val="hr-HR" w:eastAsia="hr-HR" w:bidi="hr-HR"/>
        </w:rPr>
        <w:t xml:space="preserve"> sudionici su vječnoga života« (Mišne Tora, Hilhot tešuva 111,5).</w:t>
      </w:r>
    </w:p>
    <w:p>
      <w:pPr>
        <w:pStyle w:val="Style56"/>
        <w:keepNext w:val="0"/>
        <w:keepLines w:val="0"/>
        <w:widowControl w:val="0"/>
        <w:shd w:val="clear" w:color="auto" w:fill="auto"/>
        <w:tabs>
          <w:tab w:pos="2438"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Lit.: L. Bacck,/3os </w:t>
      </w:r>
      <w:r>
        <w:rPr>
          <w:i/>
          <w:iCs/>
          <w:color w:val="000000"/>
          <w:spacing w:val="0"/>
          <w:w w:val="100"/>
          <w:position w:val="0"/>
          <w:shd w:val="clear" w:color="auto" w:fill="auto"/>
        </w:rPr>
        <w:t xml:space="preserve">Weseri </w:t>
      </w:r>
      <w:r>
        <w:rPr>
          <w:i/>
          <w:iCs/>
          <w:color w:val="000000"/>
          <w:spacing w:val="0"/>
          <w:w w:val="100"/>
          <w:position w:val="0"/>
          <w:shd w:val="clear" w:color="auto" w:fill="auto"/>
          <w:lang w:val="hr-HR" w:eastAsia="hr-HR" w:bidi="hr-HR"/>
        </w:rPr>
        <w:t>des Judentums,</w:t>
      </w:r>
      <w:r>
        <w:rPr>
          <w:color w:val="000000"/>
          <w:spacing w:val="0"/>
          <w:w w:val="100"/>
          <w:position w:val="0"/>
          <w:shd w:val="clear" w:color="auto" w:fill="auto"/>
          <w:lang w:val="hr-HR" w:eastAsia="hr-HR" w:bidi="hr-HR"/>
        </w:rPr>
        <w:t xml:space="preserve"> (1905) </w:t>
      </w:r>
      <w:r>
        <w:rPr>
          <w:color w:val="000000"/>
          <w:spacing w:val="0"/>
          <w:w w:val="100"/>
          <w:position w:val="0"/>
          <w:shd w:val="clear" w:color="auto" w:fill="auto"/>
          <w:vertAlign w:val="superscript"/>
          <w:lang w:val="hr-HR" w:eastAsia="hr-HR" w:bidi="hr-HR"/>
        </w:rPr>
        <w:t>6</w:t>
      </w:r>
      <w:r>
        <w:rPr>
          <w:color w:val="000000"/>
          <w:spacing w:val="0"/>
          <w:w w:val="100"/>
          <w:position w:val="0"/>
          <w:shd w:val="clear" w:color="auto" w:fill="auto"/>
          <w:lang w:val="hr-HR" w:eastAsia="hr-HR" w:bidi="hr-HR"/>
        </w:rPr>
        <w:t xml:space="preserve">1960,l 19 i d.; (j !•’. Mix&gt;rc, </w:t>
      </w:r>
      <w:r>
        <w:rPr>
          <w:i/>
          <w:iCs/>
          <w:color w:val="000000"/>
          <w:spacing w:val="0"/>
          <w:w w:val="100"/>
          <w:position w:val="0"/>
          <w:shd w:val="clear" w:color="auto" w:fill="auto"/>
        </w:rPr>
        <w:t>Judaism in the First Centuries of the Chris</w:t>
        <w:softHyphen/>
        <w:t>tian Era. The Age of the Tannaim</w:t>
      </w:r>
      <w:r>
        <w:rPr>
          <w:color w:val="000000"/>
          <w:spacing w:val="0"/>
          <w:w w:val="100"/>
          <w:position w:val="0"/>
          <w:shd w:val="clear" w:color="auto" w:fill="auto"/>
        </w:rPr>
        <w:t xml:space="preserve"> Void, (1927) 1962.392 i d.;C. Ci. Montcfiorc/H. Loewe,.4 </w:t>
      </w:r>
      <w:r>
        <w:rPr>
          <w:i/>
          <w:iCs/>
          <w:color w:val="000000"/>
          <w:spacing w:val="0"/>
          <w:w w:val="100"/>
          <w:position w:val="0"/>
          <w:shd w:val="clear" w:color="auto" w:fill="auto"/>
        </w:rPr>
        <w:t>Rabbinic Anthology.</w:t>
      </w:r>
      <w:r>
        <w:rPr>
          <w:color w:val="000000"/>
          <w:spacing w:val="0"/>
          <w:w w:val="100"/>
          <w:position w:val="0"/>
          <w:shd w:val="clear" w:color="auto" w:fill="auto"/>
        </w:rPr>
        <w:t xml:space="preserve"> 1974, 233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E. E- Urbach, </w:t>
      </w:r>
      <w:r>
        <w:rPr>
          <w:i/>
          <w:iCs/>
          <w:color w:val="000000"/>
          <w:spacing w:val="0"/>
          <w:w w:val="100"/>
          <w:position w:val="0"/>
          <w:shd w:val="clear" w:color="auto" w:fill="auto"/>
        </w:rPr>
        <w:t>The Sages. Their Concepts and Be</w:t>
        <w:softHyphen/>
        <w:t>liefs,</w:t>
      </w:r>
      <w:r>
        <w:rPr>
          <w:color w:val="000000"/>
          <w:spacing w:val="0"/>
          <w:w w:val="100"/>
          <w:position w:val="0"/>
          <w:shd w:val="clear" w:color="auto" w:fill="auto"/>
        </w:rPr>
        <w:t xml:space="preserve"> 1975,456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w:t>
        <w:tab/>
        <w:t>D. VtiTO-R</w:t>
      </w:r>
    </w:p>
    <w:p>
      <w:pPr>
        <w:pStyle w:val="Style63"/>
        <w:keepNext/>
        <w:keepLines/>
        <w:widowControl w:val="0"/>
        <w:numPr>
          <w:ilvl w:val="0"/>
          <w:numId w:val="291"/>
        </w:numPr>
        <w:shd w:val="clear" w:color="auto" w:fill="auto"/>
        <w:tabs>
          <w:tab w:pos="255" w:val="left"/>
        </w:tabs>
        <w:bidi w:val="0"/>
        <w:spacing w:before="0" w:after="80" w:line="223" w:lineRule="auto"/>
        <w:ind w:left="0" w:right="0" w:firstLine="0"/>
        <w:jc w:val="both"/>
      </w:pPr>
      <w:bookmarkStart w:id="188" w:name="bookmark18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88"/>
    </w:p>
    <w:p>
      <w:pPr>
        <w:pStyle w:val="Style20"/>
        <w:keepNext w:val="0"/>
        <w:keepLines w:val="0"/>
        <w:widowControl w:val="0"/>
        <w:shd w:val="clear" w:color="auto" w:fill="auto"/>
        <w:bidi w:val="0"/>
        <w:spacing w:before="0" w:after="0"/>
        <w:ind w:left="0" w:right="0" w:firstLine="0"/>
        <w:jc w:val="both"/>
        <w:sectPr>
          <w:headerReference w:type="default" r:id="rId767"/>
          <w:footerReference w:type="default" r:id="rId768"/>
          <w:headerReference w:type="even" r:id="rId769"/>
          <w:footerReference w:type="even" r:id="rId770"/>
          <w:footnotePr>
            <w:pos w:val="pageBottom"/>
            <w:numFmt w:val="decimal"/>
            <w:numRestart w:val="continuous"/>
            <w15:footnoteColumns w:val="1"/>
          </w:footnotePr>
          <w:type w:val="continuous"/>
          <w:pgSz w:w="6816" w:h="11006"/>
          <w:pgMar w:top="1017" w:left="190" w:right="189" w:bottom="476" w:header="0" w:footer="3" w:gutter="0"/>
          <w:cols w:num="2" w:space="17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Starozavjetna priprava za kršćansko razumije</w:t>
        <w:softHyphen/>
        <w:t>vanje milosti nalazi se u priznavanju da je Jahve »milosrdan i milostiv, spor na srdžbu, bogat ljubavlju« (Izl 34,6; usp. JI 2,13; Jon 4,2; Ps 86,15; 103,8; 111,4; 116,5; 145,8; Nah 9,17 i si.). Osobito u vezi sa savezničkim odnosom između Jahve i njegova izabranog naroda m. označava (hebr. kesed) slobodno iz ljubavi da</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rovanu i spasotvornu Božju potporu čovjeku (npr. 1 Kr 8,23; Iz 55,3; Ps 89,29; 106,45). Cesto je riječ i o tome da Bog vjemo održava savez čak kada je čovjek prekršio savez. Pri</w:t>
        <w:softHyphen/>
        <w:t>tom se m. sadržajno približava milosrđu (npr. Iz 63,7; Jr 16, 5; Hoš 2,21).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NZ m. znači (grč. </w:t>
      </w:r>
      <w:r>
        <w:rPr>
          <w:rFonts w:ascii="Times New Roman" w:eastAsia="Times New Roman" w:hAnsi="Times New Roman" w:cs="Times New Roman"/>
          <w:i/>
          <w:iCs/>
          <w:color w:val="000000"/>
          <w:spacing w:val="0"/>
          <w:w w:val="100"/>
          <w:position w:val="0"/>
          <w:shd w:val="clear" w:color="auto" w:fill="auto"/>
          <w:lang w:val="en-US" w:eastAsia="en-US" w:bidi="en-US"/>
        </w:rPr>
        <w:t>charts)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spasenje koje je Bog darovao ljudima u slobodnoj iz ljubavi danoj potpori po Isusu Kristu. Doduše izraz m. dolazi gotovo samo u pavlovskoj poslanič</w:t>
        <w:softHyphen/>
        <w:t xml:space="preserve">koj literaturi i u onome što joj je blizu kao i u Lukinu dvočlanom djelu (Lk, Dj). Sam ga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Isus </w:t>
      </w:r>
      <w:r>
        <w:rPr>
          <w:rFonts w:ascii="Times New Roman" w:eastAsia="Times New Roman" w:hAnsi="Times New Roman" w:cs="Times New Roman"/>
          <w:color w:val="000000"/>
          <w:spacing w:val="0"/>
          <w:w w:val="100"/>
          <w:position w:val="0"/>
          <w:shd w:val="clear" w:color="auto" w:fill="auto"/>
          <w:lang w:val="hr-HR" w:eastAsia="hr-HR" w:bidi="hr-HR"/>
        </w:rPr>
        <w:t>nije primjenjivao. Ali, prema stanju stvari, ono što se držalo za pojam milosti pripada središtu novozavjetne teologije. U naviješta- nju blizine kraljevstva Božjeg (Mk 1,15) Isus je ljudima obećao spasenje koje dolazi od Bo</w:t>
        <w:softHyphen/>
        <w:t>ga i dao je da ga oni osjete makar se pret</w:t>
        <w:softHyphen/>
        <w:t xml:space="preserve">hodno nisu ispunila ljudska djela. (Lk 5; 18,9-14; 19,1-10; Mt 18,23-35). </w:t>
      </w:r>
      <w:r>
        <w:rPr>
          <w:rFonts w:ascii="Times New Roman" w:eastAsia="Times New Roman" w:hAnsi="Times New Roman" w:cs="Times New Roman"/>
          <w:i/>
          <w:iCs/>
          <w:color w:val="000000"/>
          <w:spacing w:val="0"/>
          <w:w w:val="100"/>
          <w:position w:val="0"/>
          <w:shd w:val="clear" w:color="auto" w:fill="auto"/>
          <w:lang w:val="hr-HR" w:eastAsia="hr-HR" w:bidi="hr-HR"/>
        </w:rPr>
        <w:t>Luka</w:t>
      </w:r>
      <w:r>
        <w:rPr>
          <w:rFonts w:ascii="Times New Roman" w:eastAsia="Times New Roman" w:hAnsi="Times New Roman" w:cs="Times New Roman"/>
          <w:color w:val="000000"/>
          <w:spacing w:val="0"/>
          <w:w w:val="100"/>
          <w:position w:val="0"/>
          <w:shd w:val="clear" w:color="auto" w:fill="auto"/>
          <w:lang w:val="hr-HR" w:eastAsia="hr-HR" w:bidi="hr-HR"/>
        </w:rPr>
        <w:t xml:space="preserve"> u skla</w:t>
        <w:softHyphen/>
        <w:t xml:space="preserve">du s time s pravom obilježava Isusovu poruku, a i prakršćansko naviještanje spasenja, kao »propovijedanje o milosti« (npr. Lk 4,22; Dj 14,3; 20,24.32). </w:t>
      </w:r>
      <w:r>
        <w:rPr>
          <w:rFonts w:ascii="Times New Roman" w:eastAsia="Times New Roman" w:hAnsi="Times New Roman" w:cs="Times New Roman"/>
          <w:i/>
          <w:iCs/>
          <w:color w:val="000000"/>
          <w:spacing w:val="0"/>
          <w:w w:val="100"/>
          <w:position w:val="0"/>
          <w:shd w:val="clear" w:color="auto" w:fill="auto"/>
          <w:lang w:val="hr-HR" w:eastAsia="hr-HR" w:bidi="hr-HR"/>
        </w:rPr>
        <w:t>Ivan</w:t>
      </w:r>
      <w:r>
        <w:rPr>
          <w:rFonts w:ascii="Times New Roman" w:eastAsia="Times New Roman" w:hAnsi="Times New Roman" w:cs="Times New Roman"/>
          <w:color w:val="000000"/>
          <w:spacing w:val="0"/>
          <w:w w:val="100"/>
          <w:position w:val="0"/>
          <w:shd w:val="clear" w:color="auto" w:fill="auto"/>
          <w:lang w:val="hr-HR" w:eastAsia="hr-HR" w:bidi="hr-HR"/>
        </w:rPr>
        <w:t xml:space="preserve"> govori o tome daje Bog, nadmašujući starozavjetni poredak spasenja, darovao ljudima svoju m. po Isusu Kristu (Iv 1,14.16.17). Evanđelist većinom označava tu spasenjsku stvarnost kao »život«.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Osobito </w:t>
      </w:r>
      <w:r>
        <w:rPr>
          <w:rFonts w:ascii="Times New Roman" w:eastAsia="Times New Roman" w:hAnsi="Times New Roman" w:cs="Times New Roman"/>
          <w:i/>
          <w:iCs/>
          <w:color w:val="000000"/>
          <w:spacing w:val="0"/>
          <w:w w:val="100"/>
          <w:position w:val="0"/>
          <w:shd w:val="clear" w:color="auto" w:fill="auto"/>
          <w:lang w:val="hr-HR" w:eastAsia="hr-HR" w:bidi="hr-HR"/>
        </w:rPr>
        <w:t>Pavao</w:t>
      </w:r>
      <w:r>
        <w:rPr>
          <w:rFonts w:ascii="Times New Roman" w:eastAsia="Times New Roman" w:hAnsi="Times New Roman" w:cs="Times New Roman"/>
          <w:color w:val="000000"/>
          <w:spacing w:val="0"/>
          <w:w w:val="100"/>
          <w:position w:val="0"/>
          <w:shd w:val="clear" w:color="auto" w:fill="auto"/>
          <w:lang w:val="hr-HR" w:eastAsia="hr-HR" w:bidi="hr-HR"/>
        </w:rPr>
        <w:t xml:space="preserve"> ističe ono što m. znači u od</w:t>
        <w:softHyphen/>
        <w:t>nosu na događaj Krista. Osim u mnogim uvo</w:t>
        <w:softHyphen/>
        <w:t>dima u poslanice gdje Pavao doduše formal</w:t>
        <w:softHyphen/>
        <w:t>no, ali ipak svjesno, želi onima kojima se obraća »m. i mir od Boga, Oca našega, i Go</w:t>
        <w:softHyphen/>
        <w:t>spodina Isusa Krista«, pojam milosti primje</w:t>
        <w:softHyphen/>
        <w:t xml:space="preserve">njuje prije svega u odnosu na </w:t>
      </w:r>
      <w:r>
        <w:rPr>
          <w:rFonts w:ascii="Times New Roman" w:eastAsia="Times New Roman" w:hAnsi="Times New Roman" w:cs="Times New Roman"/>
          <w:i/>
          <w:iCs/>
          <w:color w:val="000000"/>
          <w:spacing w:val="0"/>
          <w:w w:val="100"/>
          <w:position w:val="0"/>
          <w:shd w:val="clear" w:color="auto" w:fill="auto"/>
          <w:lang w:val="hr-HR" w:eastAsia="hr-HR" w:bidi="hr-HR"/>
        </w:rPr>
        <w:t>otkupljenje</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po</w:t>
        <w:softHyphen/>
        <w:t>slanje za apostolsku službu</w:t>
      </w:r>
      <w:r>
        <w:rPr>
          <w:rFonts w:ascii="Times New Roman" w:eastAsia="Times New Roman" w:hAnsi="Times New Roman" w:cs="Times New Roman"/>
          <w:color w:val="000000"/>
          <w:spacing w:val="0"/>
          <w:w w:val="100"/>
          <w:position w:val="0"/>
          <w:shd w:val="clear" w:color="auto" w:fill="auto"/>
          <w:lang w:val="hr-HR" w:eastAsia="hr-HR" w:bidi="hr-HR"/>
        </w:rPr>
        <w:t xml:space="preserve"> u kojoj sam sudje</w:t>
        <w:softHyphen/>
        <w:t>luje. Shvaćanje otkupiteljskog djela kao mi- losnog događaja spasenja Pavao razvija s ležištem u Poslanici Rimljanima. Pošto je po</w:t>
        <w:softHyphen/>
        <w:t>kazao da svi ljudi - Zidovi i pogani - trebaju Božje milosrđe, izričito naviješta da je Bog opravdao ljude »darom svoje milosti, otkup</w:t>
        <w:softHyphen/>
        <w:t>ljenjem u Kristu Isusu« (Rim 3,24). S izrazima »darom svoje milosti« Pavao naglašava da se Božje spasenjsko djelovanje u Kristovu djelu otkupljenja dogodilo potpuno iz slobodne po</w:t>
        <w:softHyphen/>
        <w:t>drške iz ljubavi i bez ikakva prethodnog ljud</w:t>
        <w:softHyphen/>
        <w:t>skog djela. Da se struktura tog događaja opravdanja iz milosti i iz milosno djelatne vje</w:t>
        <w:softHyphen/>
        <w:t xml:space="preserve">re dade iščitati već na Abrahamovu vjerskom putu, pokazuje Pavao u poglavlju koje odmah slijedi (Rim 4). No, Pavao u Rim 5,12-21 </w:t>
      </w:r>
      <w:r>
        <w:rPr>
          <w:rFonts w:ascii="Times New Roman" w:eastAsia="Times New Roman" w:hAnsi="Times New Roman" w:cs="Times New Roman"/>
          <w:color w:val="000000"/>
          <w:spacing w:val="0"/>
          <w:w w:val="100"/>
          <w:position w:val="0"/>
          <w:shd w:val="clear" w:color="auto" w:fill="auto"/>
          <w:lang w:val="hr-HR" w:eastAsia="hr-HR" w:bidi="hr-HR"/>
        </w:rPr>
        <w:t xml:space="preserve">jezično i teološki najsnažnije izražava da se od Boga po Kristu darovana stvarnost spasenja sastoji ne samo u poništavanju grijeha koji je na svijet došao po Adamu kao i posljedica toga grijeha, nego da se kvalitativno radi o nečem neusporedivo novom i nenadmašnom (= eshatološka stvarnost). On pritom također objašnjava daje čovjek milošću doveden </w:t>
      </w:r>
      <w:r>
        <w:rPr>
          <w:rFonts w:ascii="Times New Roman" w:eastAsia="Times New Roman" w:hAnsi="Times New Roman" w:cs="Times New Roman"/>
          <w:i/>
          <w:iCs/>
          <w:color w:val="000000"/>
          <w:spacing w:val="0"/>
          <w:w w:val="100"/>
          <w:position w:val="0"/>
          <w:shd w:val="clear" w:color="auto" w:fill="auto"/>
          <w:lang w:val="hr-HR" w:eastAsia="hr-HR" w:bidi="hr-HR"/>
        </w:rPr>
        <w:t>u sla</w:t>
        <w:softHyphen/>
        <w:t>nje</w:t>
      </w:r>
      <w:r>
        <w:rPr>
          <w:rFonts w:ascii="Times New Roman" w:eastAsia="Times New Roman" w:hAnsi="Times New Roman" w:cs="Times New Roman"/>
          <w:color w:val="000000"/>
          <w:spacing w:val="0"/>
          <w:w w:val="100"/>
          <w:position w:val="0"/>
          <w:shd w:val="clear" w:color="auto" w:fill="auto"/>
          <w:lang w:val="hr-HR" w:eastAsia="hr-HR" w:bidi="hr-HR"/>
        </w:rPr>
        <w:t xml:space="preserve"> spasenja. -1 svoje poslanje za apostola i iz</w:t>
        <w:softHyphen/>
        <w:t>vršavanje svoje službe Pavao označava kao milosno zbivanje. Ne na temelju vlastitih prednosti i zasluga nego Božjom milošću koja predusreće čovjeka i koju Krist posreduje, Pa</w:t>
        <w:softHyphen/>
        <w:t>vao stoji u apostolskoj službi (npr. Rim 1,5; 1 Kor 15,10; Gal 2,9; Ef 3,1-13).</w:t>
      </w:r>
    </w:p>
    <w:p>
      <w:pPr>
        <w:pStyle w:val="Style20"/>
        <w:keepNext w:val="0"/>
        <w:keepLines w:val="0"/>
        <w:widowControl w:val="0"/>
        <w:shd w:val="clear" w:color="auto" w:fill="auto"/>
        <w:bidi w:val="0"/>
        <w:spacing w:before="0" w:after="0"/>
        <w:ind w:left="0" w:right="0" w:firstLine="0"/>
        <w:jc w:val="both"/>
        <w:sectPr>
          <w:headerReference w:type="default" r:id="rId771"/>
          <w:footerReference w:type="default" r:id="rId772"/>
          <w:headerReference w:type="even" r:id="rId773"/>
          <w:footerReference w:type="even" r:id="rId774"/>
          <w:footnotePr>
            <w:pos w:val="pageBottom"/>
            <w:numFmt w:val="decimal"/>
            <w:numRestart w:val="continuous"/>
            <w15:footnoteColumns w:val="1"/>
          </w:footnotePr>
          <w:pgSz w:w="6816" w:h="11006"/>
          <w:pgMar w:top="1017" w:left="190" w:right="189" w:bottom="476" w:header="0" w:footer="48" w:gutter="0"/>
          <w:pgNumType w:start="263"/>
          <w:cols w:num="2" w:space="17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Dok se u </w:t>
      </w:r>
      <w:r>
        <w:rPr>
          <w:rFonts w:ascii="Times New Roman" w:eastAsia="Times New Roman" w:hAnsi="Times New Roman" w:cs="Times New Roman"/>
          <w:i/>
          <w:iCs/>
          <w:color w:val="000000"/>
          <w:spacing w:val="0"/>
          <w:w w:val="100"/>
          <w:position w:val="0"/>
          <w:shd w:val="clear" w:color="auto" w:fill="auto"/>
          <w:lang w:val="hr-HR" w:eastAsia="hr-HR" w:bidi="hr-HR"/>
        </w:rPr>
        <w:t>grčkoj patristici</w:t>
      </w:r>
      <w:r>
        <w:rPr>
          <w:rFonts w:ascii="Times New Roman" w:eastAsia="Times New Roman" w:hAnsi="Times New Roman" w:cs="Times New Roman"/>
          <w:color w:val="000000"/>
          <w:spacing w:val="0"/>
          <w:w w:val="100"/>
          <w:position w:val="0"/>
          <w:shd w:val="clear" w:color="auto" w:fill="auto"/>
          <w:lang w:val="hr-HR" w:eastAsia="hr-HR" w:bidi="hr-HR"/>
        </w:rPr>
        <w:t xml:space="preserve"> ukupno Božje spa</w:t>
        <w:softHyphen/>
        <w:t>senjsko djelovanje - od stvaranja preko ot</w:t>
        <w:softHyphen/>
        <w:t>kupljenja do spasenjskog ispunjenja - shva</w:t>
        <w:softHyphen/>
        <w:t xml:space="preserve">ćalo kao milosno zbivanje,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latinskoj patristici </w:t>
      </w:r>
      <w:r>
        <w:rPr>
          <w:rFonts w:ascii="Times New Roman" w:eastAsia="Times New Roman" w:hAnsi="Times New Roman" w:cs="Times New Roman"/>
          <w:color w:val="000000"/>
          <w:spacing w:val="0"/>
          <w:w w:val="100"/>
          <w:position w:val="0"/>
          <w:shd w:val="clear" w:color="auto" w:fill="auto"/>
          <w:lang w:val="hr-HR" w:eastAsia="hr-HR" w:bidi="hr-HR"/>
        </w:rPr>
        <w:t>promijenio se način promatranja. M. se više isticala sa stanovišta da je ona neposredna Božja pomoć za spasenje čovjeka koji je oslab</w:t>
        <w:softHyphen/>
        <w:t>ljen istočnim grijehom. Zato se tijekom povi</w:t>
        <w:softHyphen/>
        <w:t>jesti kršćanske teologije na Zapadu uvijek iz</w:t>
        <w:softHyphen/>
        <w:t>nova postavljao problem: Kako se Božja slo</w:t>
        <w:softHyphen/>
        <w:t>bodno darovana ljubav odnosi prema čovje</w:t>
        <w:softHyphen/>
        <w:t>kovoj naravi i čovjekovoj odgovornosti? »Božja m. i ljudska sloboda određene su kao supar</w:t>
        <w:softHyphen/>
        <w:t>nički uzroci« (Greshake 44). U krugu oko Pc- lagija (oko 400) previsoko se uvažavao čovje</w:t>
        <w:softHyphen/>
        <w:t xml:space="preserve">kov prirodni integritet i vlastito postignuće. Nasuprot njemu </w:t>
      </w:r>
      <w:r>
        <w:rPr>
          <w:rFonts w:ascii="Times New Roman" w:eastAsia="Times New Roman" w:hAnsi="Times New Roman" w:cs="Times New Roman"/>
          <w:i/>
          <w:iCs/>
          <w:color w:val="000000"/>
          <w:spacing w:val="0"/>
          <w:w w:val="100"/>
          <w:position w:val="0"/>
          <w:shd w:val="clear" w:color="auto" w:fill="auto"/>
          <w:lang w:val="en-US" w:eastAsia="en-US" w:bidi="en-US"/>
        </w:rPr>
        <w:t>Augustin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je zastupao crkveno učenje o Božjoj sveuzročnosti kod čovjekova opravdanja i postizavanja spasenja. No pritom sam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nije izbjegao opasnost od od</w:t>
        <w:softHyphen/>
        <w:t>više radikalnoga gledišta. Protiv jednostranos</w:t>
        <w:softHyphen/>
        <w:t xml:space="preserve">ti, koje su se u kasnom srednjem vijeku stvorile uvlačenjem grčke metafizike bitka, okrenuli su se reformatori. </w:t>
      </w:r>
      <w:r>
        <w:rPr>
          <w:rFonts w:ascii="Times New Roman" w:eastAsia="Times New Roman" w:hAnsi="Times New Roman" w:cs="Times New Roman"/>
          <w:i/>
          <w:iCs/>
          <w:color w:val="000000"/>
          <w:spacing w:val="0"/>
          <w:w w:val="100"/>
          <w:position w:val="0"/>
          <w:shd w:val="clear" w:color="auto" w:fill="auto"/>
          <w:lang w:val="en-US" w:eastAsia="en-US" w:bidi="en-US"/>
        </w:rPr>
        <w:t>Luther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je naglašavao da i opravdani čovjek ostaje grešnik, da m. ne prianja uz njega kao stvarnost bitka, nego mu je Bog uvijek iznova daruje. Doduše, </w:t>
      </w:r>
      <w:r>
        <w:rPr>
          <w:rFonts w:ascii="Times New Roman" w:eastAsia="Times New Roman" w:hAnsi="Times New Roman" w:cs="Times New Roman"/>
          <w:i/>
          <w:iCs/>
          <w:color w:val="000000"/>
          <w:spacing w:val="0"/>
          <w:w w:val="100"/>
          <w:position w:val="0"/>
          <w:shd w:val="clear" w:color="auto" w:fill="auto"/>
          <w:lang w:val="en-US" w:eastAsia="en-US" w:bidi="en-US"/>
        </w:rPr>
        <w:t>Trident</w:t>
        <w:softHyphen/>
        <w:t xml:space="preserve">ski </w:t>
      </w:r>
      <w:r>
        <w:rPr>
          <w:rFonts w:ascii="Times New Roman" w:eastAsia="Times New Roman" w:hAnsi="Times New Roman" w:cs="Times New Roman"/>
          <w:i/>
          <w:iCs/>
          <w:color w:val="000000"/>
          <w:spacing w:val="0"/>
          <w:w w:val="100"/>
          <w:position w:val="0"/>
          <w:shd w:val="clear" w:color="auto" w:fill="auto"/>
          <w:lang w:val="hr-HR" w:eastAsia="hr-HR" w:bidi="hr-HR"/>
        </w:rPr>
        <w:t>koncil</w:t>
      </w:r>
      <w:r>
        <w:rPr>
          <w:rFonts w:ascii="Times New Roman" w:eastAsia="Times New Roman" w:hAnsi="Times New Roman" w:cs="Times New Roman"/>
          <w:color w:val="000000"/>
          <w:spacing w:val="0"/>
          <w:w w:val="100"/>
          <w:position w:val="0"/>
          <w:shd w:val="clear" w:color="auto" w:fill="auto"/>
          <w:lang w:val="hr-HR" w:eastAsia="hr-HR" w:bidi="hr-HR"/>
        </w:rPr>
        <w:t xml:space="preserve"> (1545-1563) je to odbacio; izjasnio se, pozivajući se uvelike na biblijsku poruku i slično reformacijskoj teologiji, da čovjekovo opravdanje vrši Bog po Kristu i da je m. sred</w:t>
        <w:softHyphen/>
        <w:t>stvo kojim čovjek postizava zajedništvo s Bogom. Svijest o onome što je zajedničko ri</w:t>
        <w:softHyphen/>
        <w:t>mokatoličkom i rcformacijskom shvaćanju mi</w:t>
        <w:softHyphen/>
        <w:t>losti osobito je porasla u zadnjim desetljeći</w:t>
        <w:softHyphen/>
        <w:t xml:space="preserve">ma. Problemi koji </w:t>
      </w:r>
      <w:r>
        <w:rPr>
          <w:rFonts w:ascii="Times New Roman" w:eastAsia="Times New Roman" w:hAnsi="Times New Roman" w:cs="Times New Roman"/>
          <w:i/>
          <w:iCs/>
          <w:color w:val="000000"/>
          <w:spacing w:val="0"/>
          <w:w w:val="100"/>
          <w:position w:val="0"/>
          <w:shd w:val="clear" w:color="auto" w:fill="auto"/>
          <w:lang w:val="hr-HR" w:eastAsia="hr-HR" w:bidi="hr-HR"/>
        </w:rPr>
        <w:t>danas</w:t>
      </w:r>
      <w:r>
        <w:rPr>
          <w:rFonts w:ascii="Times New Roman" w:eastAsia="Times New Roman" w:hAnsi="Times New Roman" w:cs="Times New Roman"/>
          <w:color w:val="000000"/>
          <w:spacing w:val="0"/>
          <w:w w:val="100"/>
          <w:position w:val="0"/>
          <w:shd w:val="clear" w:color="auto" w:fill="auto"/>
          <w:lang w:val="hr-HR" w:eastAsia="hr-HR" w:bidi="hr-HR"/>
        </w:rPr>
        <w:t xml:space="preserve"> postoje manje se od</w:t>
        <w:softHyphen/>
        <w:t>nose na područje individualnoga postizavanja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spasenja, a više na učinke koje ima shvaćanje opravdanja i milosti na društveno ustrojenu Crkvu.</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M. je iz ljubavi slobodna Božja po</w:t>
        <w:softHyphen/>
        <w:t>drška čovjeku koja po Isusu Kristu stvara spa</w:t>
        <w:softHyphen/>
        <w:t>senje. Ona se odnosi na sveukupno Božje spa- senjsko djelovanje, a osobito na to da čovjek nade životno zajedništvo s Bogom (= oprav</w:t>
        <w:softHyphen/>
        <w:t>danje). M. u čovjeku stvara promjenu koja vo</w:t>
        <w:softHyphen/>
        <w:t>di spasenju.</w:t>
      </w:r>
    </w:p>
    <w:p>
      <w:pPr>
        <w:pStyle w:val="Style56"/>
        <w:keepNext w:val="0"/>
        <w:keepLines w:val="0"/>
        <w:widowControl w:val="0"/>
        <w:shd w:val="clear" w:color="auto" w:fill="auto"/>
        <w:tabs>
          <w:tab w:pos="2453"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Lit.: J. Aucr, </w:t>
      </w:r>
      <w:r>
        <w:rPr>
          <w:i/>
          <w:iCs/>
          <w:color w:val="000000"/>
          <w:spacing w:val="0"/>
          <w:w w:val="100"/>
          <w:position w:val="0"/>
          <w:shd w:val="clear" w:color="auto" w:fill="auto"/>
          <w:lang w:val="hr-HR" w:eastAsia="hr-HR" w:bidi="hr-HR"/>
        </w:rPr>
        <w:t>Das Evan^ellum der Gnade. KMne KatholLsche Dogmatik,</w:t>
      </w:r>
      <w:r>
        <w:rPr>
          <w:color w:val="000000"/>
          <w:spacing w:val="0"/>
          <w:w w:val="100"/>
          <w:position w:val="0"/>
          <w:shd w:val="clear" w:color="auto" w:fill="auto"/>
          <w:lang w:val="hr-HR" w:eastAsia="hr-HR" w:bidi="hr-HR"/>
        </w:rPr>
        <w:t xml:space="preserve"> Bd, 5, </w:t>
      </w:r>
      <w:r>
        <w:rPr>
          <w:color w:val="000000"/>
          <w:spacing w:val="0"/>
          <w:w w:val="100"/>
          <w:position w:val="0"/>
          <w:shd w:val="clear" w:color="auto" w:fill="auto"/>
        </w:rPr>
        <w:t xml:space="preserve">Regensburg </w:t>
      </w:r>
      <w:r>
        <w:rPr>
          <w:color w:val="000000"/>
          <w:spacing w:val="0"/>
          <w:w w:val="100"/>
          <w:position w:val="0"/>
          <w:shd w:val="clear" w:color="auto" w:fill="auto"/>
          <w:vertAlign w:val="superscript"/>
          <w:lang w:val="hr-HR" w:eastAsia="hr-HR" w:bidi="hr-HR"/>
        </w:rPr>
        <w:t>3</w:t>
      </w:r>
      <w:r>
        <w:rPr>
          <w:color w:val="000000"/>
          <w:spacing w:val="0"/>
          <w:w w:val="100"/>
          <w:position w:val="0"/>
          <w:shd w:val="clear" w:color="auto" w:fill="auto"/>
          <w:lang w:val="hr-HR" w:eastAsia="hr-HR" w:bidi="hr-HR"/>
        </w:rPr>
        <w:t xml:space="preserve">1980, K. </w:t>
      </w:r>
      <w:r>
        <w:rPr>
          <w:color w:val="000000"/>
          <w:spacing w:val="0"/>
          <w:w w:val="100"/>
          <w:position w:val="0"/>
          <w:shd w:val="clear" w:color="auto" w:fill="auto"/>
        </w:rPr>
        <w:t xml:space="preserve">Berger. </w:t>
      </w:r>
      <w:r>
        <w:rPr>
          <w:color w:val="000000"/>
          <w:spacing w:val="0"/>
          <w:w w:val="100"/>
          <w:position w:val="0"/>
          <w:shd w:val="clear" w:color="auto" w:fill="auto"/>
          <w:lang w:val="hr-HR" w:eastAsia="hr-HR" w:bidi="hr-HR"/>
        </w:rPr>
        <w:t xml:space="preserve">»Gnade« im fruhen Christcntum. Einc traditionsgeschichtlichc und litcraturMJziologischc Fragestcllung, u: </w:t>
      </w:r>
      <w:r>
        <w:rPr>
          <w:i/>
          <w:iCs/>
          <w:color w:val="000000"/>
          <w:spacing w:val="0"/>
          <w:w w:val="100"/>
          <w:position w:val="0"/>
          <w:shd w:val="clear" w:color="auto" w:fill="auto"/>
          <w:lang w:val="hr-HR" w:eastAsia="hr-HR" w:bidi="hr-HR"/>
        </w:rPr>
        <w:t xml:space="preserve">Nedcrtandsche theo- </w:t>
      </w:r>
      <w:r>
        <w:rPr>
          <w:i/>
          <w:iCs/>
          <w:color w:val="000000"/>
          <w:spacing w:val="0"/>
          <w:w w:val="100"/>
          <w:position w:val="0"/>
          <w:shd w:val="clear" w:color="auto" w:fill="auto"/>
        </w:rPr>
        <w:t xml:space="preserve">logisch </w:t>
      </w:r>
      <w:r>
        <w:rPr>
          <w:i/>
          <w:iCs/>
          <w:color w:val="000000"/>
          <w:spacing w:val="0"/>
          <w:w w:val="100"/>
          <w:position w:val="0"/>
          <w:shd w:val="clear" w:color="auto" w:fill="auto"/>
          <w:lang w:val="hr-HR" w:eastAsia="hr-HR" w:bidi="hr-HR"/>
        </w:rPr>
        <w:t>tijdschrift,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Wangcningcn </w:t>
      </w:r>
      <w:r>
        <w:rPr>
          <w:color w:val="000000"/>
          <w:spacing w:val="0"/>
          <w:w w:val="100"/>
          <w:position w:val="0"/>
          <w:shd w:val="clear" w:color="auto" w:fill="auto"/>
          <w:lang w:val="hr-HR" w:eastAsia="hr-HR" w:bidi="hr-HR"/>
        </w:rPr>
        <w:t xml:space="preserve">27 (1973) 1-25; G. Grcsha- kc, </w:t>
      </w:r>
      <w:r>
        <w:rPr>
          <w:i/>
          <w:iCs/>
          <w:color w:val="000000"/>
          <w:spacing w:val="0"/>
          <w:w w:val="100"/>
          <w:position w:val="0"/>
          <w:shd w:val="clear" w:color="auto" w:fill="auto"/>
          <w:lang w:val="hr-HR" w:eastAsia="hr-HR" w:bidi="hr-HR"/>
        </w:rPr>
        <w:t xml:space="preserve">Gcschenkle </w:t>
      </w:r>
      <w:r>
        <w:rPr>
          <w:i/>
          <w:iCs/>
          <w:color w:val="000000"/>
          <w:spacing w:val="0"/>
          <w:w w:val="100"/>
          <w:position w:val="0"/>
          <w:shd w:val="clear" w:color="auto" w:fill="auto"/>
        </w:rPr>
        <w:t xml:space="preserve">I-reiheit. Einfuhntng in die Gnadeniehre, </w:t>
      </w:r>
      <w:r>
        <w:rPr>
          <w:color w:val="000000"/>
          <w:spacing w:val="0"/>
          <w:w w:val="100"/>
          <w:position w:val="0"/>
          <w:shd w:val="clear" w:color="auto" w:fill="auto"/>
        </w:rPr>
        <w:t xml:space="preserve">Frciburg/Bascl/Wicn 1977; O. H. Pesch. </w:t>
      </w:r>
      <w:r>
        <w:rPr>
          <w:i/>
          <w:iCs/>
          <w:color w:val="000000"/>
          <w:spacing w:val="0"/>
          <w:w w:val="100"/>
          <w:position w:val="0"/>
          <w:shd w:val="clear" w:color="auto" w:fill="auto"/>
        </w:rPr>
        <w:t>frei scin aus Gna</w:t>
        <w:softHyphen/>
        <w:t>de,</w:t>
      </w:r>
      <w:r>
        <w:rPr>
          <w:color w:val="000000"/>
          <w:spacing w:val="0"/>
          <w:w w:val="100"/>
          <w:position w:val="0"/>
          <w:shd w:val="clear" w:color="auto" w:fill="auto"/>
        </w:rPr>
        <w:t xml:space="preserve"> Frciburg/Bascl/Wicn 1983; E. RuckstuhlAV. D. Haus- chikVK. Otte, </w:t>
      </w:r>
      <w:r>
        <w:rPr>
          <w:color w:val="000000"/>
          <w:spacing w:val="0"/>
          <w:w w:val="100"/>
          <w:position w:val="0"/>
          <w:shd w:val="clear" w:color="auto" w:fill="auto"/>
          <w:lang w:val="hr-HR" w:eastAsia="hr-HR" w:bidi="hr-HR"/>
        </w:rPr>
        <w:t>natuknica »Gnade« III-</w:t>
      </w:r>
      <w:r>
        <w:rPr>
          <w:color w:val="000000"/>
          <w:spacing w:val="0"/>
          <w:w w:val="100"/>
          <w:position w:val="0"/>
          <w:shd w:val="clear" w:color="auto" w:fill="auto"/>
        </w:rPr>
        <w:t xml:space="preserve">V, u; </w:t>
      </w:r>
      <w:r>
        <w:rPr>
          <w:i/>
          <w:iCs/>
          <w:color w:val="000000"/>
          <w:spacing w:val="0"/>
          <w:w w:val="100"/>
          <w:position w:val="0"/>
          <w:shd w:val="clear" w:color="auto" w:fill="auto"/>
        </w:rPr>
        <w:t>Theologische Realenzyklopiidie,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Bd. 13, </w:t>
      </w:r>
      <w:r>
        <w:rPr>
          <w:color w:val="000000"/>
          <w:spacing w:val="0"/>
          <w:w w:val="100"/>
          <w:position w:val="0"/>
          <w:shd w:val="clear" w:color="auto" w:fill="auto"/>
        </w:rPr>
        <w:t xml:space="preserve">Bcrlin/Ncw York </w:t>
      </w:r>
      <w:r>
        <w:rPr>
          <w:color w:val="000000"/>
          <w:spacing w:val="0"/>
          <w:w w:val="100"/>
          <w:position w:val="0"/>
          <w:shd w:val="clear" w:color="auto" w:fill="auto"/>
          <w:lang w:val="hr-HR" w:eastAsia="hr-HR" w:bidi="hr-HR"/>
        </w:rPr>
        <w:t>1984, 467-511 (vidjeti tamo literaturu).</w:t>
        <w:tab/>
      </w:r>
      <w:r>
        <w:rPr>
          <w:color w:val="000000"/>
          <w:spacing w:val="0"/>
          <w:w w:val="100"/>
          <w:position w:val="0"/>
          <w:shd w:val="clear" w:color="auto" w:fill="auto"/>
        </w:rPr>
        <w:t>A. WEISER</w:t>
      </w:r>
    </w:p>
    <w:p>
      <w:pPr>
        <w:pStyle w:val="Style63"/>
        <w:keepNext/>
        <w:keepLines/>
        <w:widowControl w:val="0"/>
        <w:numPr>
          <w:ilvl w:val="0"/>
          <w:numId w:val="291"/>
        </w:numPr>
        <w:shd w:val="clear" w:color="auto" w:fill="auto"/>
        <w:tabs>
          <w:tab w:pos="265" w:val="left"/>
        </w:tabs>
        <w:bidi w:val="0"/>
        <w:spacing w:before="0" w:line="223" w:lineRule="auto"/>
        <w:ind w:left="0" w:right="0" w:firstLine="0"/>
        <w:jc w:val="both"/>
      </w:pPr>
      <w:bookmarkStart w:id="189" w:name="bookmark189"/>
      <w:r>
        <w:rPr>
          <w:rFonts w:ascii="Times New Roman" w:eastAsia="Times New Roman" w:hAnsi="Times New Roman" w:cs="Times New Roman"/>
          <w:color w:val="000000"/>
          <w:spacing w:val="0"/>
          <w:w w:val="100"/>
          <w:position w:val="0"/>
          <w:shd w:val="clear" w:color="auto" w:fill="auto"/>
          <w:lang w:val="hr-HR" w:eastAsia="hr-HR" w:bidi="hr-HR"/>
        </w:rPr>
        <w:t>islamski</w:t>
      </w:r>
      <w:bookmarkEnd w:id="18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Uvodna formulacija svake sure iz Kurana, s iznimkom devete, evocira m. kao jedno od najistaknutijih Božjih svojstava. U obje arap</w:t>
        <w:softHyphen/>
        <w:t xml:space="preserve">ske riječi, rahman (rahmSn) i rahim (rabim), kojima se označuje ta Božja bitna crta, krije se ženski </w:t>
      </w:r>
      <w:r>
        <w:rPr>
          <w:rFonts w:ascii="Times New Roman" w:eastAsia="Times New Roman" w:hAnsi="Times New Roman" w:cs="Times New Roman"/>
          <w:color w:val="000000"/>
          <w:spacing w:val="0"/>
          <w:w w:val="100"/>
          <w:position w:val="0"/>
          <w:shd w:val="clear" w:color="auto" w:fill="auto"/>
          <w:lang w:val="en-US" w:eastAsia="en-US" w:bidi="en-US"/>
        </w:rPr>
        <w:t xml:space="preserve">ferment: </w:t>
      </w:r>
      <w:r>
        <w:rPr>
          <w:rFonts w:ascii="Times New Roman" w:eastAsia="Times New Roman" w:hAnsi="Times New Roman" w:cs="Times New Roman"/>
          <w:color w:val="000000"/>
          <w:spacing w:val="0"/>
          <w:w w:val="100"/>
          <w:position w:val="0"/>
          <w:shd w:val="clear" w:color="auto" w:fill="auto"/>
          <w:lang w:val="hr-HR" w:eastAsia="hr-HR" w:bidi="hr-HR"/>
        </w:rPr>
        <w:t>Naime, njezin je korijen riječ rahim, rihm, u značenju majke rodilje, majčin</w:t>
        <w:softHyphen/>
        <w:t>skoga tijela. M. je element odnosa Boga pre</w:t>
        <w:softHyphen/>
        <w:t>ma ljudima i drugim živim stvorenjima. Di</w:t>
        <w:softHyphen/>
        <w:t>menzije milosti pobliže se preciziraju u Ku</w:t>
        <w:softHyphen/>
        <w:t>ranu drugim srodnim Božjim atributima: Bog je i onaj koji prašta, koji daje puno, koji prašta iz najdublje dubine svojega bića, koji dopušta pokajanje, otvoren za zahvalu, vrlo strpljiv, dobrostiv, koji ljubi, koji je vjeran, zaštitnik, čuvar i patron. Vjernici trebaju oponašati sva ta svojstva i ona zahtijevaju humano izvršenje koje je primjereno ljudskim mogućnostima. Pomisao na Boga kao na izvor milosti i nade pomaže čovjeku u ovladavanju životom i u prevladavanju smrti.</w:t>
      </w:r>
    </w:p>
    <w:p>
      <w:pPr>
        <w:pStyle w:val="Style20"/>
        <w:keepNext w:val="0"/>
        <w:keepLines w:val="0"/>
        <w:widowControl w:val="0"/>
        <w:shd w:val="clear" w:color="auto" w:fill="auto"/>
        <w:bidi w:val="0"/>
        <w:spacing w:before="0" w:after="0" w:line="28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»Neka vodilja onih u vjeri odličnih bude praš- tanje i prelaženje preko nedostataka i uvreda! Zar vi ne volite da vam Alah oprosti?« (usp. Kuran 24,22). Pretpostavka za postizanje po- mažuće Božje milosti jest usmjerenost čovje</w:t>
        <w:softHyphen/>
        <w:t>ka prema Bogu. Djclujuća božanska m. prati sva njegova stvorenja, jer njihova egzistencija nije zaslužena, nego se duguje Njemu. Usmje</w:t>
        <w:softHyphen/>
        <w:t xml:space="preserve">renost Božje ljubavi na stvorenja uvijek je u izvjesnoj mjeri nezaslužena zato što čovjek ni- ?60 </w:t>
      </w:r>
      <w:r>
        <w:rPr>
          <w:rFonts w:ascii="Times New Roman" w:eastAsia="Times New Roman" w:hAnsi="Times New Roman" w:cs="Times New Roman"/>
          <w:color w:val="000000"/>
          <w:spacing w:val="0"/>
          <w:w w:val="100"/>
          <w:position w:val="0"/>
          <w:shd w:val="clear" w:color="auto" w:fill="auto"/>
          <w:lang w:val="hr-HR" w:eastAsia="hr-HR" w:bidi="hr-HR"/>
        </w:rPr>
        <w:t>kada ne bi mogao postići ono što bi ga lišilo dužnosti zahvalnosti prema Bogu.</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pučkomc vjerovanju Muhamed se smatra zagovornikom grešnih duša kod Boga. S tim se vjerovanjem povezuje jedan stih iz Kurana (21,107), u kojemu se kaže daje Bog samo po svojoj milosti poslao svojega poslanika ljudi</w:t>
        <w:softHyphen/>
        <w:t>ma. Za mistika Šhžh ‘AbdallatTfa (u. 1752) npr. kiša i Muhamed predstavljaju dva zna</w:t>
        <w:softHyphen/>
        <w:t>mena Božje milosti. »Dijalektička napetost iz</w:t>
        <w:softHyphen/>
        <w:t>među svijesti o grijehu i apsolutnoga povjere</w:t>
        <w:softHyphen/>
        <w:t>nja u Božju milost« nataložena je u razmišlja</w:t>
        <w:softHyphen/>
        <w:t xml:space="preserve">njima mnogih mistika. Ona se vrlo dojmljivo zrcali u riječima koje je izrekao </w:t>
      </w:r>
      <w:r>
        <w:rPr>
          <w:rFonts w:ascii="Times New Roman" w:eastAsia="Times New Roman" w:hAnsi="Times New Roman" w:cs="Times New Roman"/>
          <w:color w:val="000000"/>
          <w:spacing w:val="0"/>
          <w:w w:val="100"/>
          <w:position w:val="0"/>
          <w:shd w:val="clear" w:color="auto" w:fill="auto"/>
          <w:lang w:val="en-US" w:eastAsia="en-US" w:bidi="en-US"/>
        </w:rPr>
        <w:t xml:space="preserve">Yahya </w:t>
      </w:r>
      <w:r>
        <w:rPr>
          <w:rFonts w:ascii="Times New Roman" w:eastAsia="Times New Roman" w:hAnsi="Times New Roman" w:cs="Times New Roman"/>
          <w:color w:val="000000"/>
          <w:spacing w:val="0"/>
          <w:w w:val="100"/>
          <w:position w:val="0"/>
          <w:shd w:val="clear" w:color="auto" w:fill="auto"/>
          <w:lang w:val="hr-HR" w:eastAsia="hr-HR" w:bidi="hr-HR"/>
        </w:rPr>
        <w:t xml:space="preserve">ibn Mu’ad iz </w:t>
      </w:r>
      <w:r>
        <w:rPr>
          <w:rFonts w:ascii="Times New Roman" w:eastAsia="Times New Roman" w:hAnsi="Times New Roman" w:cs="Times New Roman"/>
          <w:color w:val="000000"/>
          <w:spacing w:val="0"/>
          <w:w w:val="100"/>
          <w:position w:val="0"/>
          <w:shd w:val="clear" w:color="auto" w:fill="auto"/>
          <w:lang w:val="en-US" w:eastAsia="en-US" w:bidi="en-US"/>
        </w:rPr>
        <w:t xml:space="preserve">Rayya </w:t>
      </w:r>
      <w:r>
        <w:rPr>
          <w:rFonts w:ascii="Times New Roman" w:eastAsia="Times New Roman" w:hAnsi="Times New Roman" w:cs="Times New Roman"/>
          <w:color w:val="000000"/>
          <w:spacing w:val="0"/>
          <w:w w:val="100"/>
          <w:position w:val="0"/>
          <w:shd w:val="clear" w:color="auto" w:fill="auto"/>
          <w:lang w:val="hr-HR" w:eastAsia="hr-HR" w:bidi="hr-HR"/>
        </w:rPr>
        <w:t>(u. 872): »O Bože, ništa ni</w:t>
        <w:softHyphen/>
        <w:t>sam učinio za raj a nemam snage podnijeti pakao - sve je prepušteno Tvojoj milosti«.</w:t>
      </w:r>
    </w:p>
    <w:p>
      <w:pPr>
        <w:pStyle w:val="Style56"/>
        <w:keepNext w:val="0"/>
        <w:keepLines w:val="0"/>
        <w:widowControl w:val="0"/>
        <w:shd w:val="clear" w:color="auto" w:fill="auto"/>
        <w:tabs>
          <w:tab w:pos="2582" w:val="left"/>
        </w:tabs>
        <w:bidi w:val="0"/>
        <w:spacing w:before="0" w:after="340" w:line="240" w:lineRule="auto"/>
        <w:ind w:left="0" w:right="0" w:firstLine="0"/>
        <w:jc w:val="both"/>
      </w:pPr>
      <w:r>
        <w:rPr>
          <w:color w:val="000000"/>
          <w:spacing w:val="0"/>
          <w:w w:val="100"/>
          <w:position w:val="0"/>
          <w:shd w:val="clear" w:color="auto" w:fill="auto"/>
          <w:lang w:val="hr-HR" w:eastAsia="hr-HR" w:bidi="hr-HR"/>
        </w:rPr>
        <w:t xml:space="preserve">Lit.: Anncmaric </w:t>
      </w:r>
      <w:r>
        <w:rPr>
          <w:color w:val="000000"/>
          <w:spacing w:val="0"/>
          <w:w w:val="100"/>
          <w:position w:val="0"/>
          <w:shd w:val="clear" w:color="auto" w:fill="auto"/>
        </w:rPr>
        <w:t xml:space="preserve">Schimmel, Schopfungsglaulx: </w:t>
      </w:r>
      <w:r>
        <w:rPr>
          <w:color w:val="000000"/>
          <w:spacing w:val="0"/>
          <w:w w:val="100"/>
          <w:position w:val="0"/>
          <w:shd w:val="clear" w:color="auto" w:fill="auto"/>
          <w:lang w:val="hr-HR" w:eastAsia="hr-HR" w:bidi="hr-HR"/>
        </w:rPr>
        <w:t xml:space="preserve">und Gcrichls- gedanke im </w:t>
      </w:r>
      <w:r>
        <w:rPr>
          <w:color w:val="000000"/>
          <w:spacing w:val="0"/>
          <w:w w:val="100"/>
          <w:position w:val="0"/>
          <w:shd w:val="clear" w:color="auto" w:fill="auto"/>
        </w:rPr>
        <w:t xml:space="preserve">Koran </w:t>
      </w:r>
      <w:r>
        <w:rPr>
          <w:color w:val="000000"/>
          <w:spacing w:val="0"/>
          <w:w w:val="100"/>
          <w:position w:val="0"/>
          <w:shd w:val="clear" w:color="auto" w:fill="auto"/>
          <w:lang w:val="hr-HR" w:eastAsia="hr-HR" w:bidi="hr-HR"/>
        </w:rPr>
        <w:t xml:space="preserve">und </w:t>
      </w:r>
      <w:r>
        <w:rPr>
          <w:color w:val="000000"/>
          <w:spacing w:val="0"/>
          <w:w w:val="100"/>
          <w:position w:val="0"/>
          <w:shd w:val="clear" w:color="auto" w:fill="auto"/>
        </w:rPr>
        <w:t xml:space="preserve">in mystisch-poetischcr </w:t>
      </w:r>
      <w:r>
        <w:rPr>
          <w:color w:val="000000"/>
          <w:spacing w:val="0"/>
          <w:w w:val="100"/>
          <w:position w:val="0"/>
          <w:shd w:val="clear" w:color="auto" w:fill="auto"/>
          <w:lang w:val="hr-HR" w:eastAsia="hr-HR" w:bidi="hr-HR"/>
        </w:rPr>
        <w:t xml:space="preserve">Dichtung, u; </w:t>
      </w:r>
      <w:r>
        <w:rPr>
          <w:i/>
          <w:iCs/>
          <w:color w:val="000000"/>
          <w:spacing w:val="0"/>
          <w:w w:val="100"/>
          <w:position w:val="0"/>
          <w:shd w:val="clear" w:color="auto" w:fill="auto"/>
          <w:lang w:val="hr-HR" w:eastAsia="hr-HR" w:bidi="hr-HR"/>
        </w:rPr>
        <w:t xml:space="preserve">Glauben </w:t>
      </w:r>
      <w:r>
        <w:rPr>
          <w:i/>
          <w:iCs/>
          <w:color w:val="000000"/>
          <w:spacing w:val="0"/>
          <w:w w:val="100"/>
          <w:position w:val="0"/>
          <w:shd w:val="clear" w:color="auto" w:fill="auto"/>
        </w:rPr>
        <w:t>an den einen Gott,</w:t>
      </w:r>
      <w:r>
        <w:rPr>
          <w:color w:val="000000"/>
          <w:spacing w:val="0"/>
          <w:w w:val="100"/>
          <w:position w:val="0"/>
          <w:shd w:val="clear" w:color="auto" w:fill="auto"/>
        </w:rPr>
        <w:t xml:space="preserve"> Frciburg/Bascl/Wicn 1975, 203-237.</w:t>
        <w:tab/>
      </w:r>
      <w:r>
        <w:rPr>
          <w:color w:val="000000"/>
          <w:spacing w:val="0"/>
          <w:w w:val="100"/>
          <w:position w:val="0"/>
          <w:shd w:val="clear" w:color="auto" w:fill="auto"/>
          <w:lang w:val="hr-HR" w:eastAsia="hr-HR" w:bidi="hr-HR"/>
        </w:rPr>
        <w:t>S.BAL1Ć</w:t>
      </w:r>
    </w:p>
    <w:p>
      <w:pPr>
        <w:pStyle w:val="Style33"/>
        <w:keepNext w:val="0"/>
        <w:keepLines w:val="0"/>
        <w:widowControl w:val="0"/>
        <w:shd w:val="clear" w:color="auto" w:fill="auto"/>
        <w:bidi w:val="0"/>
        <w:spacing w:before="0" w:after="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MILOSTINJA </w:t>
      </w:r>
      <w:r>
        <w:rPr>
          <w:rFonts w:ascii="Times New Roman" w:eastAsia="Times New Roman" w:hAnsi="Times New Roman" w:cs="Times New Roman"/>
          <w:b/>
          <w:bCs/>
          <w:color w:val="000000"/>
          <w:spacing w:val="0"/>
          <w:w w:val="100"/>
          <w:position w:val="0"/>
          <w:shd w:val="clear" w:color="auto" w:fill="auto"/>
          <w:lang w:val="en-US" w:eastAsia="en-US" w:bidi="en-US"/>
        </w:rPr>
        <w:t xml:space="preserve">-&gt; </w:t>
      </w:r>
      <w:r>
        <w:rPr>
          <w:rFonts w:ascii="Times New Roman" w:eastAsia="Times New Roman" w:hAnsi="Times New Roman" w:cs="Times New Roman"/>
          <w:b/>
          <w:bCs/>
          <w:color w:val="000000"/>
          <w:spacing w:val="0"/>
          <w:w w:val="100"/>
          <w:position w:val="0"/>
          <w:shd w:val="clear" w:color="auto" w:fill="auto"/>
          <w:lang w:val="hr-HR" w:eastAsia="hr-HR" w:bidi="hr-HR"/>
        </w:rPr>
        <w:t>SOCIJALNI POREZ,</w:t>
      </w:r>
    </w:p>
    <w:p>
      <w:pPr>
        <w:pStyle w:val="Style33"/>
        <w:keepNext w:val="0"/>
        <w:keepLines w:val="0"/>
        <w:widowControl w:val="0"/>
        <w:shd w:val="clear" w:color="auto" w:fill="auto"/>
        <w:bidi w:val="0"/>
        <w:spacing w:before="0" w:after="280" w:line="221" w:lineRule="auto"/>
        <w:ind w:left="26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DOBROČINSTVO</w:t>
      </w:r>
    </w:p>
    <w:p>
      <w:pPr>
        <w:pStyle w:val="Style33"/>
        <w:keepNext w:val="0"/>
        <w:keepLines w:val="0"/>
        <w:widowControl w:val="0"/>
        <w:shd w:val="clear" w:color="auto" w:fill="auto"/>
        <w:bidi w:val="0"/>
        <w:spacing w:before="0" w:after="20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MIR</w:t>
      </w:r>
    </w:p>
    <w:p>
      <w:pPr>
        <w:pStyle w:val="Style63"/>
        <w:keepNext/>
        <w:keepLines/>
        <w:widowControl w:val="0"/>
        <w:numPr>
          <w:ilvl w:val="0"/>
          <w:numId w:val="293"/>
        </w:numPr>
        <w:shd w:val="clear" w:color="auto" w:fill="auto"/>
        <w:tabs>
          <w:tab w:pos="246" w:val="left"/>
        </w:tabs>
        <w:bidi w:val="0"/>
        <w:spacing w:before="0" w:after="120"/>
        <w:ind w:left="0" w:right="0" w:firstLine="0"/>
        <w:jc w:val="both"/>
      </w:pPr>
      <w:bookmarkStart w:id="190" w:name="bookmark190"/>
      <w:r>
        <w:rPr>
          <w:rFonts w:ascii="Times New Roman" w:eastAsia="Times New Roman" w:hAnsi="Times New Roman" w:cs="Times New Roman"/>
          <w:color w:val="000000"/>
          <w:spacing w:val="0"/>
          <w:w w:val="100"/>
          <w:position w:val="0"/>
          <w:shd w:val="clear" w:color="auto" w:fill="auto"/>
          <w:lang w:val="hr-HR" w:eastAsia="hr-HR" w:bidi="hr-HR"/>
        </w:rPr>
        <w:t>židovski</w:t>
      </w:r>
      <w:bookmarkEnd w:id="190"/>
    </w:p>
    <w:p>
      <w:pPr>
        <w:pStyle w:val="Style20"/>
        <w:keepNext w:val="0"/>
        <w:keepLines w:val="0"/>
        <w:widowControl w:val="0"/>
        <w:numPr>
          <w:ilvl w:val="0"/>
          <w:numId w:val="29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 li Tvoj dolazak m.?«</w:t>
      </w:r>
      <w:r>
        <w:rPr>
          <w:rFonts w:ascii="Times New Roman" w:eastAsia="Times New Roman" w:hAnsi="Times New Roman" w:cs="Times New Roman"/>
          <w:color w:val="000000"/>
          <w:spacing w:val="0"/>
          <w:w w:val="100"/>
          <w:position w:val="0"/>
          <w:shd w:val="clear" w:color="auto" w:fill="auto"/>
          <w:lang w:val="hr-HR" w:eastAsia="hr-HR" w:bidi="hr-HR"/>
        </w:rPr>
        <w:t xml:space="preserve"> Široki prostor zna</w:t>
        <w:softHyphen/>
        <w:t>čenju daje u hebrejskoj Bibliji osnova riječi »šalem, šalom« od glagola »biti čitav, zdrav, tj. neoštećen« (Post 15,16; 33,18) odnosno »ima</w:t>
        <w:softHyphen/>
        <w:t xml:space="preserve">ti zadovoljstvo, imati dosta, biti zadovoljen«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9,4; 1 Kr 7,51), »platiti, naknaditi« (Izl 21,33 i d.; 1 Sam 24,20), »omogućiti da netko primi novac, namiriti ga« (Jš 10,1.4; 2 Sam 10,19). »Šalom« je stoga povezan s predodž</w:t>
        <w:softHyphen/>
        <w:t>bom plaćanja, naknade i pozitivno karakte</w:t>
        <w:softHyphen/>
        <w:t>rizira stanje u kojem se ima dostatno, koje je nekome dovoljno, zadovoljavajuće (Post 37,14; Ps 38,4). U tom smislu »šalom« se ubraja u svakodnevni život čovjeka. Zajednica ne može bez njega. Zajednica ipak nikada ne doživ</w:t>
        <w:softHyphen/>
        <w:t>ljava to stanje koje obuhvaća vanjsko i unu</w:t>
        <w:softHyphen/>
        <w:t>tarnje zadovoljenje bez opasnosti koja bi ga mogla ugroziti (1 Sam 20,7.21; 2 Kr 4,26). U posebnom području primjene »šalom« zajed</w:t>
        <w:softHyphen/>
        <w:t>nice ugrožava ratna prijetnja (1 Kr 2,5; 20,18; Iz 59,8; Ps 120,6 i d.); prijetnja potpuno zado</w:t>
        <w:softHyphen/>
        <w:t xml:space="preserve">voljenom opstanku zajednice oblikuje »šalom« </w:t>
      </w:r>
      <w:r>
        <w:rPr>
          <w:rFonts w:ascii="Times New Roman" w:eastAsia="Times New Roman" w:hAnsi="Times New Roman" w:cs="Times New Roman"/>
          <w:color w:val="000000"/>
          <w:spacing w:val="0"/>
          <w:w w:val="100"/>
          <w:position w:val="0"/>
          <w:shd w:val="clear" w:color="auto" w:fill="auto"/>
          <w:lang w:val="hr-HR" w:eastAsia="hr-HR" w:bidi="hr-HR"/>
        </w:rPr>
        <w:t>u protupojam rata: »Je li tvoj dolazak m.?« (1 Sam 16,4; 1 Kr 2,13). »Šalom« u političkom značenju »m.« susrećemo u hebrejskoj Bibliji kao razdoblje nastalo sporazumima i ugovor</w:t>
        <w:softHyphen/>
        <w:t xml:space="preserve">nim postignućima (»šalom« u Pnz 20,10 i d.; 1 Sam 7,14; 1 Kr 2,5; 5,4.26; </w:t>
      </w:r>
      <w:r>
        <w:rPr>
          <w:rFonts w:ascii="Times New Roman" w:eastAsia="Times New Roman" w:hAnsi="Times New Roman" w:cs="Times New Roman"/>
          <w:i/>
          <w:iCs/>
          <w:color w:val="000000"/>
          <w:spacing w:val="0"/>
          <w:w w:val="100"/>
          <w:position w:val="0"/>
          <w:shd w:val="clear" w:color="auto" w:fill="auto"/>
          <w:lang w:val="hr-HR" w:eastAsia="hr-HR" w:bidi="hr-HR"/>
        </w:rPr>
        <w:t>hišlim,</w:t>
      </w:r>
      <w:r>
        <w:rPr>
          <w:rFonts w:ascii="Times New Roman" w:eastAsia="Times New Roman" w:hAnsi="Times New Roman" w:cs="Times New Roman"/>
          <w:color w:val="000000"/>
          <w:spacing w:val="0"/>
          <w:w w:val="100"/>
          <w:position w:val="0"/>
          <w:shd w:val="clear" w:color="auto" w:fill="auto"/>
          <w:lang w:val="hr-HR" w:eastAsia="hr-HR" w:bidi="hr-HR"/>
        </w:rPr>
        <w:t xml:space="preserve"> »uspostaviti m.« u Pnz 20,12; Jš 10,1.4; 11,19; 2 Sam 10,19; 1 Kr 22,45; 1 Ljet 19,19). Nenasilno rješenje ratnoga sukoba spremnošću za pomirenje i pomirenje moguće je samo pokoravanjem jedne strane drugoj radi održanja života (Post 32 </w:t>
      </w:r>
      <w:r>
        <w:rPr>
          <w:rFonts w:ascii="Times New Roman" w:eastAsia="Times New Roman" w:hAnsi="Times New Roman" w:cs="Times New Roman"/>
          <w:color w:val="000000"/>
          <w:spacing w:val="0"/>
          <w:w w:val="100"/>
          <w:position w:val="0"/>
          <w:shd w:val="clear" w:color="auto" w:fill="auto"/>
          <w:lang w:val="en-US" w:eastAsia="en-US" w:bidi="en-US"/>
        </w:rPr>
        <w:t>id.).</w:t>
      </w:r>
    </w:p>
    <w:p>
      <w:pPr>
        <w:pStyle w:val="Style20"/>
        <w:keepNext w:val="0"/>
        <w:keepLines w:val="0"/>
        <w:widowControl w:val="0"/>
        <w:numPr>
          <w:ilvl w:val="0"/>
          <w:numId w:val="29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»Neka li m. donese«:</w:t>
      </w:r>
      <w:r>
        <w:rPr>
          <w:rFonts w:ascii="Times New Roman" w:eastAsia="Times New Roman" w:hAnsi="Times New Roman" w:cs="Times New Roman"/>
          <w:color w:val="000000"/>
          <w:spacing w:val="0"/>
          <w:w w:val="100"/>
          <w:position w:val="0"/>
          <w:shd w:val="clear" w:color="auto" w:fill="auto"/>
          <w:lang w:val="hr-HR" w:eastAsia="hr-HR" w:bidi="hr-HR"/>
        </w:rPr>
        <w:t xml:space="preserve"> Hebrejska Biblija pri</w:t>
        <w:softHyphen/>
        <w:t>kazuje m. Božji kao prauzor međuljudskoga djelovanja. U Svećeničkom blagoslovu Bog se obraća pojedincu u okupljenoj zajednici (Br 6,24—26). Njegov blagoslov je djelovanje mira Božjeg: »Neka ON svrati pogled na te i m. ti donese«. Svoje dovršeno »djelo s početka« za</w:t>
        <w:softHyphen/>
        <w:t xml:space="preserve">vršava Bog blagoslovom (Post 2,1-3). »Na svoju sliku stvori čovjeka« (Post 1,27) kako bi čovjek u svojem djelovanju bio ponašanjem sličan Bogu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b Sota 14a; Sabat 133 B; Vajikra raba XXIV,19,2). Blagoslivljaju se oni koji svojim djelovanjem uspiju »oponašati« svojega Stvoritelja: »Neka bude volja (Božja) da </w:t>
      </w:r>
      <w:r>
        <w:rPr>
          <w:rFonts w:ascii="Times New Roman" w:eastAsia="Times New Roman" w:hAnsi="Times New Roman" w:cs="Times New Roman"/>
          <w:i/>
          <w:iCs/>
          <w:color w:val="000000"/>
          <w:spacing w:val="0"/>
          <w:w w:val="100"/>
          <w:position w:val="0"/>
          <w:shd w:val="clear" w:color="auto" w:fill="auto"/>
          <w:lang w:val="hr-HR" w:eastAsia="hr-HR" w:bidi="hr-HR"/>
        </w:rPr>
        <w:t>šekina</w:t>
      </w:r>
      <w:r>
        <w:rPr>
          <w:rFonts w:ascii="Times New Roman" w:eastAsia="Times New Roman" w:hAnsi="Times New Roman" w:cs="Times New Roman"/>
          <w:color w:val="000000"/>
          <w:spacing w:val="0"/>
          <w:w w:val="100"/>
          <w:position w:val="0"/>
          <w:shd w:val="clear" w:color="auto" w:fill="auto"/>
          <w:lang w:val="hr-HR" w:eastAsia="hr-HR" w:bidi="hr-HR"/>
        </w:rPr>
        <w:t xml:space="preserve"> (prisutnost Božja) počiva na djelu vaših ruku« (Raši, Komentar Izl 39,43 u Penta- teuhu). Prema tomu, m. Božji, koji je potak</w:t>
        <w:softHyphen/>
        <w:t>nuo blagoslov, prauzor je uzajamnog ophođe</w:t>
        <w:softHyphen/>
        <w:t>nja ljudi. Vizija mira među narodima poka</w:t>
        <w:softHyphen/>
        <w:t>zuje mesijansku Božju vlast: sionskim naukom narodi su sazreli, pa će svoje mačeve preko- vati u plugove, a koplja u srpove (Iz 2,2-4; Mih 4,1-3). Sadržaj vizije ne smije se pobrkati s pacifističkom porukom. Prorok Izaija nije se protivio određenoj politici Saveza jer je odbi</w:t>
        <w:softHyphen/>
        <w:t>jao samoobranu, naprotiv: navijestio je (Iz 28,6) da u Judeji, spremnoj na obraćenje, ima onih koji su obdareni karizmatskom snagom, kojima je zapovjedena obrana - sve dotle dok je obrana nužnost u nemesijansko doba. Za razliku od toga, najvažnijim obilježjem Božje mesijanske vlasti Božje smatra se m. kao traj</w:t>
        <w:softHyphen/>
        <w:t>no stanje zemlje u kojoj sc pravedno vlada i kao sklad svih naroda koji postupaju jedni prema drugima u pravu i pravednosti (Iz 9,1-6; 11,1-10; 32,1-5; 2,4; Mih 4,3).</w:t>
      </w:r>
    </w:p>
    <w:p>
      <w:pPr>
        <w:pStyle w:val="Style20"/>
        <w:keepNext w:val="0"/>
        <w:keepLines w:val="0"/>
        <w:widowControl w:val="0"/>
        <w:numPr>
          <w:ilvl w:val="0"/>
          <w:numId w:val="295"/>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»Ljubi m. i teži za mirom«:</w:t>
      </w:r>
      <w:r>
        <w:rPr>
          <w:rFonts w:ascii="Times New Roman" w:eastAsia="Times New Roman" w:hAnsi="Times New Roman" w:cs="Times New Roman"/>
          <w:color w:val="000000"/>
          <w:spacing w:val="0"/>
          <w:w w:val="100"/>
          <w:position w:val="0"/>
          <w:shd w:val="clear" w:color="auto" w:fill="auto"/>
          <w:lang w:val="hr-HR" w:eastAsia="hr-HR" w:bidi="hr-HR"/>
        </w:rPr>
        <w:t xml:space="preserve"> najviši ideal mu</w:t>
        <w:softHyphen/>
        <w:t xml:space="preserve">draca prema talmudskoj literaturi - osim možda pravednosti - jest »m.«. Riječ kojom »Izreke otaca« predstavljaju </w:t>
      </w:r>
      <w:r>
        <w:rPr>
          <w:rFonts w:ascii="Times New Roman" w:eastAsia="Times New Roman" w:hAnsi="Times New Roman" w:cs="Times New Roman"/>
          <w:color w:val="000000"/>
          <w:spacing w:val="0"/>
          <w:w w:val="100"/>
          <w:position w:val="0"/>
          <w:shd w:val="clear" w:color="auto" w:fill="auto"/>
          <w:lang w:val="en-US" w:eastAsia="en-US" w:bidi="en-US"/>
        </w:rPr>
        <w:t xml:space="preserve">Hilda </w:t>
      </w:r>
      <w:r>
        <w:rPr>
          <w:rFonts w:ascii="Times New Roman" w:eastAsia="Times New Roman" w:hAnsi="Times New Roman" w:cs="Times New Roman"/>
          <w:color w:val="000000"/>
          <w:spacing w:val="0"/>
          <w:w w:val="100"/>
          <w:position w:val="0"/>
          <w:shd w:val="clear" w:color="auto" w:fill="auto"/>
          <w:lang w:val="hr-HR" w:eastAsia="hr-HR" w:bidi="hr-HR"/>
        </w:rPr>
        <w:t>(30. pr.</w:t>
      </w:r>
    </w:p>
    <w:p>
      <w:pPr>
        <w:pStyle w:val="Style20"/>
        <w:keepNext w:val="0"/>
        <w:keepLines w:val="0"/>
        <w:widowControl w:val="0"/>
        <w:shd w:val="clear" w:color="auto" w:fill="auto"/>
        <w:bidi w:val="0"/>
        <w:spacing w:before="0" w:after="60"/>
        <w:ind w:left="0" w:right="0" w:firstLine="0"/>
        <w:jc w:val="both"/>
        <w:sectPr>
          <w:headerReference w:type="default" r:id="rId775"/>
          <w:footerReference w:type="default" r:id="rId776"/>
          <w:headerReference w:type="even" r:id="rId777"/>
          <w:footerReference w:type="even" r:id="rId778"/>
          <w:headerReference w:type="first" r:id="rId779"/>
          <w:footerReference w:type="first" r:id="rId780"/>
          <w:footnotePr>
            <w:pos w:val="pageBottom"/>
            <w:numFmt w:val="decimal"/>
            <w:numRestart w:val="continuous"/>
            <w15:footnoteColumns w:val="1"/>
          </w:footnotePr>
          <w:pgSz w:w="6816" w:h="11006"/>
          <w:pgMar w:top="856" w:left="188" w:right="191" w:bottom="266" w:header="0" w:footer="3" w:gutter="0"/>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Kr. - 10. pos. Kr.) slavi m. kao najčasniji cilj ljudske težnje: »Ljubi m. i teži za mirom, ljubi ljude (stvorenja) i povedi ih k Tori« (M Avot 1,12). Od </w:t>
      </w:r>
      <w:r>
        <w:rPr>
          <w:rFonts w:ascii="Times New Roman" w:eastAsia="Times New Roman" w:hAnsi="Times New Roman" w:cs="Times New Roman"/>
          <w:color w:val="000000"/>
          <w:spacing w:val="0"/>
          <w:w w:val="100"/>
          <w:position w:val="0"/>
          <w:shd w:val="clear" w:color="auto" w:fill="auto"/>
          <w:lang w:val="en-US" w:eastAsia="en-US" w:bidi="en-US"/>
        </w:rPr>
        <w:t xml:space="preserve">Simona ben </w:t>
      </w:r>
      <w:r>
        <w:rPr>
          <w:rFonts w:ascii="Times New Roman" w:eastAsia="Times New Roman" w:hAnsi="Times New Roman" w:cs="Times New Roman"/>
          <w:color w:val="000000"/>
          <w:spacing w:val="0"/>
          <w:w w:val="100"/>
          <w:position w:val="0"/>
          <w:shd w:val="clear" w:color="auto" w:fill="auto"/>
          <w:lang w:val="hr-HR" w:eastAsia="hr-HR" w:bidi="hr-HR"/>
        </w:rPr>
        <w:t>Gamaliela, Hilclova praunuka, potječe izreka: »Svijet stoji na tri</w:t>
        <w:softHyphen/>
        <w:t xml:space="preserve">ma stvarima, na istini, na pravu i na miru«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1,18). Spomenute »tri stvari« u stvar</w:t>
        <w:softHyphen/>
        <w:t xml:space="preserve">nosti su jedna »ako se vrši pravda, brani istina i vlada m.« (j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IV,2,68a). Značenje, koje miru pripisuju najstariji učitelji, govori i iz ri</w:t>
        <w:softHyphen/>
        <w:t xml:space="preserve">ječi redaktora Mišne, </w:t>
      </w:r>
      <w:r>
        <w:rPr>
          <w:rFonts w:ascii="Times New Roman" w:eastAsia="Times New Roman" w:hAnsi="Times New Roman" w:cs="Times New Roman"/>
          <w:color w:val="000000"/>
          <w:spacing w:val="0"/>
          <w:w w:val="100"/>
          <w:position w:val="0"/>
          <w:shd w:val="clear" w:color="auto" w:fill="auto"/>
          <w:lang w:val="en-US" w:eastAsia="en-US" w:bidi="en-US"/>
        </w:rPr>
        <w:t xml:space="preserve">Jude </w:t>
      </w:r>
      <w:r>
        <w:rPr>
          <w:rFonts w:ascii="Times New Roman" w:eastAsia="Times New Roman" w:hAnsi="Times New Roman" w:cs="Times New Roman"/>
          <w:color w:val="000000"/>
          <w:spacing w:val="0"/>
          <w:w w:val="100"/>
          <w:position w:val="0"/>
          <w:shd w:val="clear" w:color="auto" w:fill="auto"/>
          <w:lang w:val="hr-HR" w:eastAsia="hr-HR" w:bidi="hr-HR"/>
        </w:rPr>
        <w:t>ha-Nasija (II. stolje</w:t>
        <w:softHyphen/>
        <w:t>će): »Velik je m.l Jer, kad sc i Izraelci predaju idolopoklonstvu (pored nećudorednosti i uboj</w:t>
        <w:softHyphen/>
        <w:t xml:space="preserve">stva jedan od triju delikata, koji ni u stanju očaja nisu smjeli počiniti,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741), ali pritom žive jedni s drugima u miru, Bog im se obraća: Nemam moći nametnuti im kazneni sud, jer među njima vlada m.« (Berešit raba XXXVIII,11,1). Rabini uče svoje učenike da u svijetu umnožavaju m. (B Berahot 64a) i da mu pomognu kako bi zavladao medu svim lju</w:t>
        <w:softHyphen/>
        <w:t>dima i došao Ilija da »uspostavi m. u svijetu« (M Edujot Vili,7). Koliko su u tome bili kon</w:t>
        <w:softHyphen/>
        <w:t>kretni, vidi se u tome što ljubav prema nepri</w:t>
        <w:softHyphen/>
        <w:t>jatelju treba ostvariti težnju za mirom: »Velik je m., jer sve su zapovijedi njime napisane, po</w:t>
        <w:softHyphen/>
        <w:t>put Izl 23,5 i stih 4« (Vajikra raba IX,7,12): »Ako opaziš magarca onoga koji te mrzi kako je pao pod svojim tovarom, nemoj ga ostaviti: zajedno s njegovim gospodarom moraš mu pomoći da se digne«; i: »Kad nabasaš na zalu- talo goveče ili magare svoga neprijatelja, mo</w:t>
        <w:softHyphen/>
        <w:t>raš mu ga natrag dovesti«. Mudraci su do</w:t>
        <w:softHyphen/>
        <w:t>puštali čovjeku da odstupi od istine ako bi time mogao uspostaviti m. (b Jabmut 65b). Br 5,23 objašnjavaju ovako: »Ako sc radi pomi</w:t>
        <w:softHyphen/>
        <w:t xml:space="preserve">renja muža i žene ime Božje, koje je sveto, smije izbrisati, koliko onda više za pomirenje cijelog svijeta!« (j Sota 1,4,16d; usp. Vajikra raba IX,7,12; </w:t>
      </w:r>
      <w:r>
        <w:rPr>
          <w:rFonts w:ascii="Times New Roman" w:eastAsia="Times New Roman" w:hAnsi="Times New Roman" w:cs="Times New Roman"/>
          <w:color w:val="000000"/>
          <w:spacing w:val="0"/>
          <w:w w:val="100"/>
          <w:position w:val="0"/>
          <w:shd w:val="clear" w:color="auto" w:fill="auto"/>
          <w:lang w:val="en-US" w:eastAsia="en-US" w:bidi="en-US"/>
        </w:rPr>
        <w:t xml:space="preserve">Bemidbar </w:t>
      </w:r>
      <w:r>
        <w:rPr>
          <w:rFonts w:ascii="Times New Roman" w:eastAsia="Times New Roman" w:hAnsi="Times New Roman" w:cs="Times New Roman"/>
          <w:color w:val="000000"/>
          <w:spacing w:val="0"/>
          <w:w w:val="100"/>
          <w:position w:val="0"/>
          <w:shd w:val="clear" w:color="auto" w:fill="auto"/>
          <w:lang w:val="hr-HR" w:eastAsia="hr-HR" w:bidi="hr-HR"/>
        </w:rPr>
        <w:t>raba IX,5,20). Talmud</w:t>
        <w:softHyphen/>
        <w:t>ski učitelji ispunjavali su mirovnim nastojanji</w:t>
        <w:softHyphen/>
        <w:t>ma sve vrste ljudskih odnosa, bilo između čovjeka i bližnjega, bilo između jednoga na</w:t>
        <w:softHyphen/>
        <w:t xml:space="preserve">roda i drugog i time se približili očekivanju globalnoga mira (b Berahot 17a;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Eli- jahu raba 26; Mehilta za Izl 20,22). Oni pred</w:t>
        <w:softHyphen/>
        <w:t xml:space="preserve">stavljaju Aharona </w:t>
      </w:r>
      <w:r>
        <w:rPr>
          <w:rFonts w:ascii="Times New Roman" w:eastAsia="Times New Roman" w:hAnsi="Times New Roman" w:cs="Times New Roman"/>
          <w:color w:val="000000"/>
          <w:spacing w:val="0"/>
          <w:w w:val="100"/>
          <w:position w:val="0"/>
          <w:shd w:val="clear" w:color="auto" w:fill="auto"/>
          <w:lang w:val="en-US" w:eastAsia="en-US" w:bidi="en-US"/>
        </w:rPr>
        <w:t xml:space="preserve">(Arona) </w:t>
      </w:r>
      <w:r>
        <w:rPr>
          <w:rFonts w:ascii="Times New Roman" w:eastAsia="Times New Roman" w:hAnsi="Times New Roman" w:cs="Times New Roman"/>
          <w:color w:val="000000"/>
          <w:spacing w:val="0"/>
          <w:w w:val="100"/>
          <w:position w:val="0"/>
          <w:shd w:val="clear" w:color="auto" w:fill="auto"/>
          <w:lang w:val="hr-HR" w:eastAsia="hr-HR" w:bidi="hr-HR"/>
        </w:rPr>
        <w:t>kao prototipa mi</w:t>
        <w:softHyphen/>
        <w:t xml:space="preserve">rotvorca (M Avot 1,12: b Joma 71b; Avot Rabi Natana 12), za razliku od Mojsija koji je za njih utjelovljenje ideala pravednosti. Kako se Aron odobrenjem zahtjeva naroda za zlatnim teletom suprotstavio Mojsijevu zahtjevu (Izl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32), tako su se međusobno borili zahtjevi za mirom i pravednošću: jedno se može postići samo po cijeni nijekanja drugog. M. je mudra</w:t>
        <w:softHyphen/>
        <w:t>cima značio pozitivno dobro, ne nestanak sva</w:t>
        <w:softHyphen/>
        <w:t xml:space="preserve">đe, nego pomirenje. Niz propisa zapovijedao je »puteve mira« </w:t>
      </w:r>
      <w:r>
        <w:rPr>
          <w:rFonts w:ascii="Times New Roman" w:eastAsia="Times New Roman" w:hAnsi="Times New Roman" w:cs="Times New Roman"/>
          <w:i/>
          <w:iCs/>
          <w:color w:val="000000"/>
          <w:spacing w:val="0"/>
          <w:w w:val="100"/>
          <w:position w:val="0"/>
          <w:shd w:val="clear" w:color="auto" w:fill="auto"/>
          <w:lang w:val="hr-HR" w:eastAsia="hr-HR" w:bidi="hr-HR"/>
        </w:rPr>
        <w:t>(mipenej darke šalom)</w:t>
      </w:r>
      <w:r>
        <w:rPr>
          <w:rFonts w:ascii="Times New Roman" w:eastAsia="Times New Roman" w:hAnsi="Times New Roman" w:cs="Times New Roman"/>
          <w:color w:val="000000"/>
          <w:spacing w:val="0"/>
          <w:w w:val="100"/>
          <w:position w:val="0"/>
          <w:shd w:val="clear" w:color="auto" w:fill="auto"/>
          <w:lang w:val="hr-HR" w:eastAsia="hr-HR" w:bidi="hr-HR"/>
        </w:rPr>
        <w:t xml:space="preserve"> i ogra</w:t>
        <w:softHyphen/>
        <w:t>ničavao apsolutnu pravednost; smisao često rabljene formule »za volju mira« odražava na</w:t>
        <w:softHyphen/>
        <w:t>mjeru produbljivanja istinskoga mira, jedin</w:t>
        <w:softHyphen/>
        <w:t xml:space="preserve">stva i ljubavi medu ljudima (M </w:t>
      </w:r>
      <w:r>
        <w:rPr>
          <w:rFonts w:ascii="Times New Roman" w:eastAsia="Times New Roman" w:hAnsi="Times New Roman" w:cs="Times New Roman"/>
          <w:color w:val="000000"/>
          <w:spacing w:val="0"/>
          <w:w w:val="100"/>
          <w:position w:val="0"/>
          <w:shd w:val="clear" w:color="auto" w:fill="auto"/>
          <w:lang w:val="en-US" w:eastAsia="en-US" w:bidi="en-US"/>
        </w:rPr>
        <w:t xml:space="preserve">Sevi’it </w:t>
      </w:r>
      <w:r>
        <w:rPr>
          <w:rFonts w:ascii="Times New Roman" w:eastAsia="Times New Roman" w:hAnsi="Times New Roman" w:cs="Times New Roman"/>
          <w:color w:val="000000"/>
          <w:spacing w:val="0"/>
          <w:w w:val="100"/>
          <w:position w:val="0"/>
          <w:shd w:val="clear" w:color="auto" w:fill="auto"/>
          <w:lang w:val="hr-HR" w:eastAsia="hr-HR" w:bidi="hr-HR"/>
        </w:rPr>
        <w:t>IV,3). M. u Talmudu predstavlja pravni princip odo</w:t>
        <w:softHyphen/>
        <w:t>brenja. »Salom« je jedno ime Boga (b Sabat 10b). »Sveti, neka je hvaljen, nije u svojem svijetu našao oruđe s blagoslovom za Izrael, osim mira« (M L’kcin 111,12). Stoga Židovi pozdravljaju jedni druge sa »šalom«, zažele jedni drugima »m.« pri svakom susretu, raspi</w:t>
        <w:softHyphen/>
        <w:t xml:space="preserve">tuju se o »miru« sugovornika (M Bcrahot 11,1; b 4b). Prema tomu, nema blagoslova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(beraha) </w:t>
      </w:r>
      <w:r>
        <w:rPr>
          <w:rFonts w:ascii="Times New Roman" w:eastAsia="Times New Roman" w:hAnsi="Times New Roman" w:cs="Times New Roman"/>
          <w:color w:val="000000"/>
          <w:spacing w:val="0"/>
          <w:w w:val="100"/>
          <w:position w:val="0"/>
          <w:shd w:val="clear" w:color="auto" w:fill="auto"/>
          <w:lang w:val="hr-HR" w:eastAsia="hr-HR" w:bidi="hr-HR"/>
        </w:rPr>
        <w:t>niti važnoga liturgijskog dijela (Amida, Kadiš, svećenički blagoslov, zahvale nakon jela) koji ne završava s molbom za m. (Vajikra raba (IX,7,12). »Neka ON koji čini m. u svojim ne</w:t>
        <w:softHyphen/>
        <w:t>beskim visinama, učini m. za nas i sav svoj narod« - s tom molbom završava dodatna mo</w:t>
        <w:softHyphen/>
        <w:t xml:space="preserve">litva nakon triput izgovarane glavne molitve </w:t>
      </w:r>
      <w:r>
        <w:rPr>
          <w:rFonts w:ascii="Times New Roman" w:eastAsia="Times New Roman" w:hAnsi="Times New Roman" w:cs="Times New Roman"/>
          <w:i/>
          <w:iCs/>
          <w:color w:val="000000"/>
          <w:spacing w:val="0"/>
          <w:w w:val="100"/>
          <w:position w:val="0"/>
          <w:shd w:val="clear" w:color="auto" w:fill="auto"/>
          <w:lang w:val="hr-HR" w:eastAsia="hr-HR" w:bidi="hr-HR"/>
        </w:rPr>
        <w:t>(Amida)</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Kadiša.</w:t>
      </w:r>
      <w:r>
        <w:rPr>
          <w:rFonts w:ascii="Times New Roman" w:eastAsia="Times New Roman" w:hAnsi="Times New Roman" w:cs="Times New Roman"/>
          <w:color w:val="000000"/>
          <w:spacing w:val="0"/>
          <w:w w:val="100"/>
          <w:position w:val="0"/>
          <w:shd w:val="clear" w:color="auto" w:fill="auto"/>
          <w:lang w:val="hr-HR" w:eastAsia="hr-HR" w:bidi="hr-HR"/>
        </w:rPr>
        <w:t xml:space="preserve"> »Taj kraj molitava je i kraj</w:t>
        <w:softHyphen/>
        <w:t>nji svršetak ljudske mudrosti. No, kako bi bio svršetak mudrosti, mora biti i početak djelo</w:t>
        <w:softHyphen/>
        <w:t>vanja. Djelovanja koje, dakako, nije stvara</w:t>
        <w:softHyphen/>
        <w:t xml:space="preserve">nje«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Jehuda Halevi, </w:t>
      </w:r>
      <w:r>
        <w:rPr>
          <w:rFonts w:ascii="Times New Roman" w:eastAsia="Times New Roman" w:hAnsi="Times New Roman" w:cs="Times New Roman"/>
          <w:color w:val="000000"/>
          <w:spacing w:val="0"/>
          <w:w w:val="100"/>
          <w:position w:val="0"/>
          <w:shd w:val="clear" w:color="auto" w:fill="auto"/>
          <w:lang w:val="hr-HR" w:eastAsia="hr-HR" w:bidi="hr-HR"/>
        </w:rPr>
        <w:t>devede</w:t>
        <w:softHyphen/>
        <w:t xml:space="preserve">set dva himna i pjesme,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1925, 184).</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G. T. </w:t>
      </w:r>
      <w:r>
        <w:rPr>
          <w:color w:val="000000"/>
          <w:spacing w:val="0"/>
          <w:w w:val="100"/>
          <w:position w:val="0"/>
          <w:shd w:val="clear" w:color="auto" w:fill="auto"/>
        </w:rPr>
        <w:t xml:space="preserve">Moore, </w:t>
      </w:r>
      <w:r>
        <w:rPr>
          <w:i/>
          <w:iCs/>
          <w:color w:val="000000"/>
          <w:spacing w:val="0"/>
          <w:w w:val="100"/>
          <w:position w:val="0"/>
          <w:shd w:val="clear" w:color="auto" w:fill="auto"/>
        </w:rPr>
        <w:t xml:space="preserve">Judaism </w:t>
      </w:r>
      <w:r>
        <w:rPr>
          <w:i/>
          <w:iCs/>
          <w:color w:val="000000"/>
          <w:spacing w:val="0"/>
          <w:w w:val="100"/>
          <w:position w:val="0"/>
          <w:shd w:val="clear" w:color="auto" w:fill="auto"/>
          <w:lang w:val="hr-HR" w:eastAsia="hr-HR" w:bidi="hr-HR"/>
        </w:rPr>
        <w:t>2.</w:t>
      </w:r>
      <w:r>
        <w:rPr>
          <w:color w:val="000000"/>
          <w:spacing w:val="0"/>
          <w:w w:val="100"/>
          <w:position w:val="0"/>
          <w:shd w:val="clear" w:color="auto" w:fill="auto"/>
          <w:lang w:val="hr-HR" w:eastAsia="hr-HR" w:bidi="hr-HR"/>
        </w:rPr>
        <w:t xml:space="preserve"> 1927, 195 i d.; 13. E </w:t>
      </w:r>
      <w:r>
        <w:rPr>
          <w:color w:val="000000"/>
          <w:spacing w:val="0"/>
          <w:w w:val="100"/>
          <w:position w:val="0"/>
          <w:shd w:val="clear" w:color="auto" w:fill="auto"/>
        </w:rPr>
        <w:t xml:space="preserve">Urbach, </w:t>
      </w:r>
      <w:r>
        <w:rPr>
          <w:i/>
          <w:iCs/>
          <w:color w:val="000000"/>
          <w:spacing w:val="0"/>
          <w:w w:val="100"/>
          <w:position w:val="0"/>
          <w:shd w:val="clear" w:color="auto" w:fill="auto"/>
        </w:rPr>
        <w:t>The Sages.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1975; 180.217,370.418,588 i đ. -&gt; Rat.</w:t>
      </w:r>
    </w:p>
    <w:p>
      <w:pPr>
        <w:pStyle w:val="Style74"/>
        <w:keepNext w:val="0"/>
        <w:keepLines w:val="0"/>
        <w:widowControl w:val="0"/>
        <w:shd w:val="clear" w:color="auto" w:fill="auto"/>
        <w:bidi w:val="0"/>
        <w:spacing w:before="0" w:after="200"/>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D. VliTll-K</w:t>
      </w:r>
    </w:p>
    <w:p>
      <w:pPr>
        <w:pStyle w:val="Style56"/>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hd w:val="clear" w:color="auto" w:fill="auto"/>
          <w:lang w:val="hr-HR" w:eastAsia="hr-HR" w:bidi="hr-HR"/>
        </w:rPr>
        <w:t>2. 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Odgovarajuća starozavjetna riječ za naš po</w:t>
        <w:softHyphen/>
        <w:t xml:space="preserve">jam mira glasi </w:t>
      </w:r>
      <w:r>
        <w:rPr>
          <w:rFonts w:ascii="Times New Roman" w:eastAsia="Times New Roman" w:hAnsi="Times New Roman" w:cs="Times New Roman"/>
          <w:i/>
          <w:iCs/>
          <w:color w:val="000000"/>
          <w:spacing w:val="0"/>
          <w:w w:val="100"/>
          <w:position w:val="0"/>
          <w:shd w:val="clear" w:color="auto" w:fill="auto"/>
          <w:lang w:val="hr-HR" w:eastAsia="hr-HR" w:bidi="hr-HR"/>
        </w:rPr>
        <w:t>šalom</w:t>
      </w:r>
      <w:r>
        <w:rPr>
          <w:rFonts w:ascii="Times New Roman" w:eastAsia="Times New Roman" w:hAnsi="Times New Roman" w:cs="Times New Roman"/>
          <w:color w:val="000000"/>
          <w:spacing w:val="0"/>
          <w:w w:val="100"/>
          <w:position w:val="0"/>
          <w:shd w:val="clear" w:color="auto" w:fill="auto"/>
          <w:lang w:val="hr-HR" w:eastAsia="hr-HR" w:bidi="hr-HR"/>
        </w:rPr>
        <w:t xml:space="preserve"> i znači »potpunost, nepo- remećeno sređeno stanje, sklad, blagostanje, sreću, sigurnost, m.«. Naša riječ obuhvaća dakle samo isječak iz starozavjetnog pojmov</w:t>
        <w:softHyphen/>
        <w:t>nog obilja koje obuhvaća sve elemente čovje</w:t>
        <w:softHyphen/>
        <w:t xml:space="preserve">kova psiho-fizičkog sklada u njemu samome, u doticaju s ljudima i u odnosu na Boga: zdravlje (Post 37,14), bogatstvo (Iz 66,12), slogu (1 Sam 6,13), smirenje, ljubav (Pj 8,10), ljubaznost (Ps 28,3), poštenje, pravičnost (Iz 59,8), uspjeh, plodnost (1 Sam 8,12), pravnu sigurnost (Iz 59,8), dobro (Post 41,16; Jr 29,7). Bog daruje mir svom narodu Izraelu (Ps 29,11; Iz 26,12) na osnovi svoje savezničke </w:t>
      </w:r>
      <w:r>
        <w:rPr>
          <w:rFonts w:ascii="Times New Roman" w:eastAsia="Times New Roman" w:hAnsi="Times New Roman" w:cs="Times New Roman"/>
          <w:color w:val="000000"/>
          <w:spacing w:val="0"/>
          <w:w w:val="100"/>
          <w:position w:val="0"/>
          <w:shd w:val="clear" w:color="auto" w:fill="auto"/>
          <w:lang w:val="hr-HR" w:eastAsia="hr-HR" w:bidi="hr-HR"/>
        </w:rPr>
        <w:t xml:space="preserve">obveze (Br 25,12). Pa ipak, kad Izrael prekine Savez, Bog uskraćuje m. koji ponovno pruža kad mu se Izrael obrati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 Zbog Izra- elove grešnosti poremećen je sklad između Boga i Izraela. No Mesija će na kraju vre</w:t>
        <w:softHyphen/>
        <w:t>mena uspostaviti potpun vječni m. nakon vre</w:t>
        <w:softHyphen/>
        <w:t>mena borbe protiv nesklada, u kojoj će sam Bog biti vođa (Ez 34,25; Iz 53; JI 3,9 i d.; Izl 15,3; Iz 42,13).</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se tijesno pridružuje starozavjetnom shva</w:t>
        <w:softHyphen/>
        <w:t xml:space="preserve">ćanju mira, a pokazuje i cshatološke paralele: m. je znak mesijanskoga vremena (Lk 1,79; 2,14); Isus je knez mira (Mt 10,34), Isus je »naš m.« (Ef 2,14). Kristov m. čovjek postiže zajedništvom s Kristom (1 Pt 5,14; Fil 4,7). Starozavjetna misao o miru nailazi na odjek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Kristovom krvlju Bog skida grijeh s čovječanstva i sklapa novi, vječni Savez (Hcb 13,20) u kojem vlada m. kao Božji dar. Ni u kojem se slučaju ne smije gledište NZ o da</w:t>
        <w:softHyphen/>
        <w:t>rovanom božanskom miru shvatiti kao napu</w:t>
        <w:softHyphen/>
        <w:t>tak za odustajanje od mirotvornih napora. Tko ljubi život, treba tražiti m. i ići za njim (1 Pt 4; Ps 34,15). Dakle, biblijsko poimanje mira pokazuje tri aspekta: statični aspekt (m. kao poredak), dinamični aspekt (m. u ponašanju i ponašanjem) i genetički aspekt (na kraju m. kao dar Božje milosti u njegovoj apsolutnosti po Mesiji).</w:t>
      </w:r>
    </w:p>
    <w:p>
      <w:pPr>
        <w:pStyle w:val="Style56"/>
        <w:keepNext w:val="0"/>
        <w:keepLines w:val="0"/>
        <w:widowControl w:val="0"/>
        <w:shd w:val="clear" w:color="auto" w:fill="auto"/>
        <w:tabs>
          <w:tab w:pos="2314" w:val="left"/>
        </w:tabs>
        <w:bidi w:val="0"/>
        <w:spacing w:before="0" w:after="280" w:line="240" w:lineRule="auto"/>
        <w:ind w:left="0" w:right="0" w:firstLine="0"/>
        <w:jc w:val="both"/>
      </w:pPr>
      <w:r>
        <w:rPr>
          <w:color w:val="000000"/>
          <w:spacing w:val="0"/>
          <w:w w:val="100"/>
          <w:position w:val="0"/>
          <w:shd w:val="clear" w:color="auto" w:fill="auto"/>
          <w:lang w:val="hr-HR" w:eastAsia="hr-HR" w:bidi="hr-HR"/>
        </w:rPr>
        <w:t xml:space="preserve">Lit : 11. Haag, </w:t>
      </w:r>
      <w:r>
        <w:rPr>
          <w:i/>
          <w:iCs/>
          <w:color w:val="000000"/>
          <w:spacing w:val="0"/>
          <w:w w:val="100"/>
          <w:position w:val="0"/>
          <w:shd w:val="clear" w:color="auto" w:fill="auto"/>
          <w:lang w:val="hr-HR" w:eastAsia="hr-HR" w:bidi="hr-HR"/>
        </w:rPr>
        <w:t>BtM-Lejdkon,</w:t>
      </w:r>
      <w:r>
        <w:rPr>
          <w:color w:val="000000"/>
          <w:spacing w:val="0"/>
          <w:w w:val="100"/>
          <w:position w:val="0"/>
          <w:shd w:val="clear" w:color="auto" w:fill="auto"/>
          <w:lang w:val="hr-HR" w:eastAsia="hr-HR" w:bidi="hr-HR"/>
        </w:rPr>
        <w:t xml:space="preserve"> F.insicdcln/Zurich/Koln 1986; E. </w:t>
      </w:r>
      <w:r>
        <w:rPr>
          <w:color w:val="000000"/>
          <w:spacing w:val="0"/>
          <w:w w:val="100"/>
          <w:position w:val="0"/>
          <w:shd w:val="clear" w:color="auto" w:fill="auto"/>
        </w:rPr>
        <w:t xml:space="preserve">J. Nagel, Was </w:t>
      </w:r>
      <w:r>
        <w:rPr>
          <w:color w:val="000000"/>
          <w:spacing w:val="0"/>
          <w:w w:val="100"/>
          <w:position w:val="0"/>
          <w:shd w:val="clear" w:color="auto" w:fill="auto"/>
          <w:lang w:val="hr-HR" w:eastAsia="hr-HR" w:bidi="hr-HR"/>
        </w:rPr>
        <w:t xml:space="preserve">isi l’ricdc </w:t>
      </w:r>
      <w:r>
        <w:rPr>
          <w:color w:val="000000"/>
          <w:spacing w:val="0"/>
          <w:w w:val="100"/>
          <w:position w:val="0"/>
          <w:shd w:val="clear" w:color="auto" w:fill="auto"/>
        </w:rPr>
        <w:t xml:space="preserve">fur cincn Christen?,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A. Th. Khoury/P. Huncnnann. </w:t>
      </w:r>
      <w:r>
        <w:rPr>
          <w:i/>
          <w:iCs/>
          <w:color w:val="000000"/>
          <w:spacing w:val="0"/>
          <w:w w:val="100"/>
          <w:position w:val="0"/>
          <w:shd w:val="clear" w:color="auto" w:fill="auto"/>
        </w:rPr>
        <w:t>Friede - was isi das?,</w:t>
      </w:r>
      <w:r>
        <w:rPr>
          <w:color w:val="000000"/>
          <w:spacing w:val="0"/>
          <w:w w:val="100"/>
          <w:position w:val="0"/>
          <w:shd w:val="clear" w:color="auto" w:fill="auto"/>
        </w:rPr>
        <w:t xml:space="preserve"> Frciburg'Ba- scl/Wicn 1984; A. Grabncr-Haidcr (Hr.sg.), </w:t>
      </w:r>
      <w:r>
        <w:rPr>
          <w:i/>
          <w:iCs/>
          <w:color w:val="000000"/>
          <w:spacing w:val="0"/>
          <w:w w:val="100"/>
          <w:position w:val="0"/>
          <w:shd w:val="clear" w:color="auto" w:fill="auto"/>
        </w:rPr>
        <w:t>Prakiisches Bi- bedrjukon.</w:t>
      </w:r>
      <w:r>
        <w:rPr>
          <w:color w:val="000000"/>
          <w:spacing w:val="0"/>
          <w:w w:val="100"/>
          <w:position w:val="0"/>
          <w:shd w:val="clear" w:color="auto" w:fill="auto"/>
        </w:rPr>
        <w:t xml:space="preserve"> Frciburg/Bascl/Wicn 1969. </w:t>
      </w:r>
      <w:r>
        <w:rPr>
          <w:i/>
          <w:iCs/>
          <w:color w:val="000000"/>
          <w:spacing w:val="0"/>
          <w:w w:val="100"/>
          <w:position w:val="0"/>
          <w:shd w:val="clear" w:color="auto" w:fill="auto"/>
        </w:rPr>
        <w:t>Taschenlejdkun Re</w:t>
        <w:softHyphen/>
        <w:t>ligion und</w:t>
      </w:r>
      <w:r>
        <w:rPr>
          <w:color w:val="000000"/>
          <w:spacing w:val="0"/>
          <w:w w:val="100"/>
          <w:position w:val="0"/>
          <w:shd w:val="clear" w:color="auto" w:fill="auto"/>
        </w:rPr>
        <w:t xml:space="preserve"> 7'Aro/o^f’, Gottingen 1983.</w:t>
        <w:tab/>
        <w:t>G. GJRSCHEK</w:t>
      </w:r>
    </w:p>
    <w:p>
      <w:pPr>
        <w:pStyle w:val="Style56"/>
        <w:keepNext w:val="0"/>
        <w:keepLines w:val="0"/>
        <w:widowControl w:val="0"/>
        <w:shd w:val="clear" w:color="auto" w:fill="auto"/>
        <w:bidi w:val="0"/>
        <w:spacing w:before="0" w:after="120" w:line="240" w:lineRule="auto"/>
        <w:ind w:left="0" w:right="0" w:firstLine="0"/>
        <w:jc w:val="both"/>
      </w:pPr>
      <w:r>
        <w:rPr>
          <w:b/>
          <w:bCs/>
          <w:color w:val="000000"/>
          <w:spacing w:val="0"/>
          <w:w w:val="100"/>
          <w:position w:val="0"/>
          <w:shd w:val="clear" w:color="auto" w:fill="auto"/>
        </w:rPr>
        <w:t xml:space="preserve">3. </w:t>
      </w: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4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Arapski jezik, na kojemu je napisan Kuran, poznaje dvije glavne oznake za pojam mira: </w:t>
      </w:r>
      <w:r>
        <w:rPr>
          <w:rFonts w:ascii="Times New Roman" w:eastAsia="Times New Roman" w:hAnsi="Times New Roman" w:cs="Times New Roman"/>
          <w:i/>
          <w:iCs/>
          <w:color w:val="000000"/>
          <w:spacing w:val="0"/>
          <w:w w:val="100"/>
          <w:position w:val="0"/>
          <w:shd w:val="clear" w:color="auto" w:fill="auto"/>
          <w:lang w:val="hr-HR" w:eastAsia="hr-HR" w:bidi="hr-HR"/>
        </w:rPr>
        <w:t>silm</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selam (salam)</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sulh.</w:t>
      </w:r>
      <w:r>
        <w:rPr>
          <w:rFonts w:ascii="Times New Roman" w:eastAsia="Times New Roman" w:hAnsi="Times New Roman" w:cs="Times New Roman"/>
          <w:color w:val="000000"/>
          <w:spacing w:val="0"/>
          <w:w w:val="100"/>
          <w:position w:val="0"/>
          <w:shd w:val="clear" w:color="auto" w:fill="auto"/>
          <w:lang w:val="hr-HR" w:eastAsia="hr-HR" w:bidi="hr-HR"/>
        </w:rPr>
        <w:t xml:space="preserve"> Korijen </w:t>
      </w:r>
      <w:r>
        <w:rPr>
          <w:rFonts w:ascii="Times New Roman" w:eastAsia="Times New Roman" w:hAnsi="Times New Roman" w:cs="Times New Roman"/>
          <w:i/>
          <w:iCs/>
          <w:color w:val="000000"/>
          <w:spacing w:val="0"/>
          <w:w w:val="100"/>
          <w:position w:val="0"/>
          <w:shd w:val="clear" w:color="auto" w:fill="auto"/>
          <w:lang w:val="hr-HR" w:eastAsia="hr-HR" w:bidi="hr-HR"/>
        </w:rPr>
        <w:t>silm</w:t>
      </w:r>
      <w:r>
        <w:rPr>
          <w:rFonts w:ascii="Times New Roman" w:eastAsia="Times New Roman" w:hAnsi="Times New Roman" w:cs="Times New Roman"/>
          <w:color w:val="000000"/>
          <w:spacing w:val="0"/>
          <w:w w:val="100"/>
          <w:position w:val="0"/>
          <w:shd w:val="clear" w:color="auto" w:fill="auto"/>
          <w:lang w:val="hr-HR" w:eastAsia="hr-HR" w:bidi="hr-HR"/>
        </w:rPr>
        <w:t xml:space="preserve"> sa</w:t>
        <w:softHyphen/>
        <w:t xml:space="preserve">držan je u imenu islam. Riječ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islam (islđm) </w:t>
      </w:r>
      <w:r>
        <w:rPr>
          <w:rFonts w:ascii="Times New Roman" w:eastAsia="Times New Roman" w:hAnsi="Times New Roman" w:cs="Times New Roman"/>
          <w:color w:val="000000"/>
          <w:spacing w:val="0"/>
          <w:w w:val="100"/>
          <w:position w:val="0"/>
          <w:shd w:val="clear" w:color="auto" w:fill="auto"/>
          <w:lang w:val="hr-HR" w:eastAsia="hr-HR" w:bidi="hr-HR"/>
        </w:rPr>
        <w:t xml:space="preserve">znači naime predanost božanskome idealu, ali i m. s Bogom, s ljudima i sa samim sobom. Više od stotinu puta u Kuranu se govori o miru. U 73 slučaja za riječ m. se upotrebljava </w:t>
      </w:r>
      <w:r>
        <w:rPr>
          <w:rFonts w:ascii="Times New Roman" w:eastAsia="Times New Roman" w:hAnsi="Times New Roman" w:cs="Times New Roman"/>
          <w:i/>
          <w:iCs/>
          <w:color w:val="000000"/>
          <w:spacing w:val="0"/>
          <w:w w:val="100"/>
          <w:position w:val="0"/>
          <w:shd w:val="clear" w:color="auto" w:fill="auto"/>
          <w:lang w:val="hr-HR" w:eastAsia="hr-HR" w:bidi="hr-HR"/>
        </w:rPr>
        <w:t>silm,</w:t>
      </w:r>
      <w:r>
        <w:rPr>
          <w:rFonts w:ascii="Times New Roman" w:eastAsia="Times New Roman" w:hAnsi="Times New Roman" w:cs="Times New Roman"/>
          <w:color w:val="000000"/>
          <w:spacing w:val="0"/>
          <w:w w:val="100"/>
          <w:position w:val="0"/>
          <w:shd w:val="clear" w:color="auto" w:fill="auto"/>
          <w:lang w:val="hr-HR" w:eastAsia="hr-HR" w:bidi="hr-HR"/>
        </w:rPr>
        <w:t xml:space="preserve"> u 30 slučajeva izraz </w:t>
      </w:r>
      <w:r>
        <w:rPr>
          <w:rFonts w:ascii="Times New Roman" w:eastAsia="Times New Roman" w:hAnsi="Times New Roman" w:cs="Times New Roman"/>
          <w:i/>
          <w:iCs/>
          <w:color w:val="000000"/>
          <w:spacing w:val="0"/>
          <w:w w:val="100"/>
          <w:position w:val="0"/>
          <w:shd w:val="clear" w:color="auto" w:fill="auto"/>
          <w:lang w:val="hr-HR" w:eastAsia="hr-HR" w:bidi="hr-HR"/>
        </w:rPr>
        <w:t>sulh</w:t>
      </w:r>
      <w:r>
        <w:rPr>
          <w:rFonts w:ascii="Times New Roman" w:eastAsia="Times New Roman" w:hAnsi="Times New Roman" w:cs="Times New Roman"/>
          <w:color w:val="000000"/>
          <w:spacing w:val="0"/>
          <w:w w:val="100"/>
          <w:position w:val="0"/>
          <w:shd w:val="clear" w:color="auto" w:fill="auto"/>
          <w:lang w:val="hr-HR" w:eastAsia="hr-HR" w:bidi="hr-HR"/>
        </w:rPr>
        <w:t xml:space="preserve"> ili izvedenice oba ova glagola. Ovdje navodimo neke od tih stihova: »A ako tvoji neprijatelji pokažu sklo</w:t>
        <w:softHyphen/>
        <w:t xml:space="preserve">nost prema miru, pokaži i ti sklonost </w:t>
      </w:r>
      <w:r>
        <w:rPr>
          <w:rFonts w:ascii="Times New Roman" w:eastAsia="Times New Roman" w:hAnsi="Times New Roman" w:cs="Times New Roman"/>
          <w:i/>
          <w:iCs/>
          <w:color w:val="000000"/>
          <w:spacing w:val="0"/>
          <w:w w:val="100"/>
          <w:position w:val="0"/>
          <w:shd w:val="clear" w:color="auto" w:fill="auto"/>
          <w:lang w:val="hr-HR" w:eastAsia="hr-HR" w:bidi="hr-HR"/>
        </w:rPr>
        <w:t>(prema miru)</w:t>
      </w:r>
      <w:r>
        <w:rPr>
          <w:rFonts w:ascii="Times New Roman" w:eastAsia="Times New Roman" w:hAnsi="Times New Roman" w:cs="Times New Roman"/>
          <w:color w:val="000000"/>
          <w:spacing w:val="0"/>
          <w:w w:val="100"/>
          <w:position w:val="0"/>
          <w:shd w:val="clear" w:color="auto" w:fill="auto"/>
          <w:lang w:val="hr-HR" w:eastAsia="hr-HR" w:bidi="hr-HR"/>
        </w:rPr>
        <w:t xml:space="preserve"> i osloni se na Boga! Zaista On čuje i zna.« (8,62); »O vjernici, svi pristupite miru </w:t>
      </w:r>
      <w:r>
        <w:rPr>
          <w:rFonts w:ascii="Times New Roman" w:eastAsia="Times New Roman" w:hAnsi="Times New Roman" w:cs="Times New Roman"/>
          <w:i/>
          <w:iCs/>
          <w:color w:val="000000"/>
          <w:spacing w:val="0"/>
          <w:w w:val="100"/>
          <w:position w:val="0"/>
          <w:shd w:val="clear" w:color="auto" w:fill="auto"/>
          <w:lang w:val="hr-HR" w:eastAsia="hr-HR" w:bidi="hr-HR"/>
        </w:rPr>
        <w:t>(međusobno se izmirite),</w:t>
      </w:r>
      <w:r>
        <w:rPr>
          <w:rFonts w:ascii="Times New Roman" w:eastAsia="Times New Roman" w:hAnsi="Times New Roman" w:cs="Times New Roman"/>
          <w:color w:val="000000"/>
          <w:spacing w:val="0"/>
          <w:w w:val="100"/>
          <w:position w:val="0"/>
          <w:shd w:val="clear" w:color="auto" w:fill="auto"/>
          <w:lang w:val="hr-HR" w:eastAsia="hr-HR" w:bidi="hr-HR"/>
        </w:rPr>
        <w:t xml:space="preserve"> a ne slijedite šejtano- </w:t>
      </w:r>
      <w:r>
        <w:rPr>
          <w:rFonts w:ascii="Times New Roman" w:eastAsia="Times New Roman" w:hAnsi="Times New Roman" w:cs="Times New Roman"/>
          <w:color w:val="000000"/>
          <w:spacing w:val="0"/>
          <w:w w:val="100"/>
          <w:position w:val="0"/>
          <w:shd w:val="clear" w:color="auto" w:fill="auto"/>
          <w:lang w:val="en-US" w:eastAsia="en-US" w:bidi="en-US"/>
        </w:rPr>
        <w:t xml:space="preserve">ve </w:t>
      </w:r>
      <w:r>
        <w:rPr>
          <w:rFonts w:ascii="Times New Roman" w:eastAsia="Times New Roman" w:hAnsi="Times New Roman" w:cs="Times New Roman"/>
          <w:color w:val="000000"/>
          <w:spacing w:val="0"/>
          <w:w w:val="100"/>
          <w:position w:val="0"/>
          <w:shd w:val="clear" w:color="auto" w:fill="auto"/>
          <w:lang w:val="hr-HR" w:eastAsia="hr-HR" w:bidi="hr-HR"/>
        </w:rPr>
        <w:t xml:space="preserve">korake; </w:t>
      </w:r>
      <w:r>
        <w:rPr>
          <w:rFonts w:ascii="Times New Roman" w:eastAsia="Times New Roman" w:hAnsi="Times New Roman" w:cs="Times New Roman"/>
          <w:color w:val="000000"/>
          <w:spacing w:val="0"/>
          <w:w w:val="100"/>
          <w:position w:val="0"/>
          <w:shd w:val="clear" w:color="auto" w:fill="auto"/>
          <w:lang w:val="en-US" w:eastAsia="en-US" w:bidi="en-US"/>
        </w:rPr>
        <w:t xml:space="preserve">on </w:t>
      </w:r>
      <w:r>
        <w:rPr>
          <w:rFonts w:ascii="Times New Roman" w:eastAsia="Times New Roman" w:hAnsi="Times New Roman" w:cs="Times New Roman"/>
          <w:color w:val="000000"/>
          <w:spacing w:val="0"/>
          <w:w w:val="100"/>
          <w:position w:val="0"/>
          <w:shd w:val="clear" w:color="auto" w:fill="auto"/>
          <w:lang w:val="hr-HR" w:eastAsia="hr-HR" w:bidi="hr-HR"/>
        </w:rPr>
        <w:t xml:space="preserve">vam je otvoreni neprijatelj.« (2,208); »Ako dvije skupine vjernika </w:t>
      </w:r>
      <w:r>
        <w:rPr>
          <w:rFonts w:ascii="Times New Roman" w:eastAsia="Times New Roman" w:hAnsi="Times New Roman" w:cs="Times New Roman"/>
          <w:i/>
          <w:iCs/>
          <w:color w:val="000000"/>
          <w:spacing w:val="0"/>
          <w:w w:val="100"/>
          <w:position w:val="0"/>
          <w:shd w:val="clear" w:color="auto" w:fill="auto"/>
          <w:lang w:val="hr-HR" w:eastAsia="hr-HR" w:bidi="hr-HR"/>
        </w:rPr>
        <w:t>(među</w:t>
        <w:softHyphen/>
        <w:t>sobno')</w:t>
      </w:r>
      <w:r>
        <w:rPr>
          <w:rFonts w:ascii="Times New Roman" w:eastAsia="Times New Roman" w:hAnsi="Times New Roman" w:cs="Times New Roman"/>
          <w:color w:val="000000"/>
          <w:spacing w:val="0"/>
          <w:w w:val="100"/>
          <w:position w:val="0"/>
          <w:shd w:val="clear" w:color="auto" w:fill="auto"/>
          <w:lang w:val="hr-HR" w:eastAsia="hr-HR" w:bidi="hr-HR"/>
        </w:rPr>
        <w:t xml:space="preserve"> zaratuju, izmirite ih </w:t>
      </w:r>
      <w:r>
        <w:rPr>
          <w:rFonts w:ascii="Times New Roman" w:eastAsia="Times New Roman" w:hAnsi="Times New Roman" w:cs="Times New Roman"/>
          <w:i/>
          <w:iCs/>
          <w:color w:val="000000"/>
          <w:spacing w:val="0"/>
          <w:w w:val="100"/>
          <w:position w:val="0"/>
          <w:shd w:val="clear" w:color="auto" w:fill="auto"/>
          <w:lang w:val="hr-HR" w:eastAsia="hr-HR" w:bidi="hr-HR"/>
        </w:rPr>
        <w:t>(izgladite spor me</w:t>
        <w:softHyphen/>
        <w:t>đu njima),</w:t>
      </w:r>
      <w:r>
        <w:rPr>
          <w:rFonts w:ascii="Times New Roman" w:eastAsia="Times New Roman" w:hAnsi="Times New Roman" w:cs="Times New Roman"/>
          <w:color w:val="000000"/>
          <w:spacing w:val="0"/>
          <w:w w:val="100"/>
          <w:position w:val="0"/>
          <w:shd w:val="clear" w:color="auto" w:fill="auto"/>
          <w:lang w:val="hr-HR" w:eastAsia="hr-HR" w:bidi="hr-HR"/>
        </w:rPr>
        <w:t xml:space="preserve"> a ako jedna od njih </w:t>
      </w:r>
      <w:r>
        <w:rPr>
          <w:rFonts w:ascii="Times New Roman" w:eastAsia="Times New Roman" w:hAnsi="Times New Roman" w:cs="Times New Roman"/>
          <w:i/>
          <w:iCs/>
          <w:color w:val="000000"/>
          <w:spacing w:val="0"/>
          <w:w w:val="100"/>
          <w:position w:val="0"/>
          <w:shd w:val="clear" w:color="auto" w:fill="auto"/>
          <w:lang w:val="hr-HR" w:eastAsia="hr-HR" w:bidi="hr-HR"/>
        </w:rPr>
        <w:t>(odbije izmi</w:t>
        <w:softHyphen/>
        <w:t>renje i)</w:t>
      </w:r>
      <w:r>
        <w:rPr>
          <w:rFonts w:ascii="Times New Roman" w:eastAsia="Times New Roman" w:hAnsi="Times New Roman" w:cs="Times New Roman"/>
          <w:color w:val="000000"/>
          <w:spacing w:val="0"/>
          <w:w w:val="100"/>
          <w:position w:val="0"/>
          <w:shd w:val="clear" w:color="auto" w:fill="auto"/>
          <w:lang w:val="hr-HR" w:eastAsia="hr-HR" w:bidi="hr-HR"/>
        </w:rPr>
        <w:t xml:space="preserve"> napadne onu drugu, onda ratujte pro</w:t>
        <w:softHyphen/>
        <w:t xml:space="preserve">tiv napadača </w:t>
      </w:r>
      <w:r>
        <w:rPr>
          <w:rFonts w:ascii="Times New Roman" w:eastAsia="Times New Roman" w:hAnsi="Times New Roman" w:cs="Times New Roman"/>
          <w:i/>
          <w:iCs/>
          <w:color w:val="000000"/>
          <w:spacing w:val="0"/>
          <w:w w:val="100"/>
          <w:position w:val="0"/>
          <w:shd w:val="clear" w:color="auto" w:fill="auto"/>
          <w:lang w:val="hr-HR" w:eastAsia="hr-HR" w:bidi="hr-HR"/>
        </w:rPr>
        <w:t>(prekršitelja)</w:t>
      </w:r>
      <w:r>
        <w:rPr>
          <w:rFonts w:ascii="Times New Roman" w:eastAsia="Times New Roman" w:hAnsi="Times New Roman" w:cs="Times New Roman"/>
          <w:color w:val="000000"/>
          <w:spacing w:val="0"/>
          <w:w w:val="100"/>
          <w:position w:val="0"/>
          <w:shd w:val="clear" w:color="auto" w:fill="auto"/>
          <w:lang w:val="hr-HR" w:eastAsia="hr-HR" w:bidi="hr-HR"/>
        </w:rPr>
        <w:t xml:space="preserve"> dok se ne vrati Božjoj zapovijedi </w:t>
      </w:r>
      <w:r>
        <w:rPr>
          <w:rFonts w:ascii="Times New Roman" w:eastAsia="Times New Roman" w:hAnsi="Times New Roman" w:cs="Times New Roman"/>
          <w:i/>
          <w:iCs/>
          <w:color w:val="000000"/>
          <w:spacing w:val="0"/>
          <w:w w:val="100"/>
          <w:position w:val="0"/>
          <w:shd w:val="clear" w:color="auto" w:fill="auto"/>
          <w:lang w:val="hr-HR" w:eastAsia="hr-HR" w:bidi="hr-HR"/>
        </w:rPr>
        <w:t>(sudu),</w:t>
      </w:r>
      <w:r>
        <w:rPr>
          <w:rFonts w:ascii="Times New Roman" w:eastAsia="Times New Roman" w:hAnsi="Times New Roman" w:cs="Times New Roman"/>
          <w:color w:val="000000"/>
          <w:spacing w:val="0"/>
          <w:w w:val="100"/>
          <w:position w:val="0"/>
          <w:shd w:val="clear" w:color="auto" w:fill="auto"/>
          <w:lang w:val="hr-HR" w:eastAsia="hr-HR" w:bidi="hr-HR"/>
        </w:rPr>
        <w:t xml:space="preserve"> a ako se vrati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(onda) </w:t>
      </w:r>
      <w:r>
        <w:rPr>
          <w:rFonts w:ascii="Times New Roman" w:eastAsia="Times New Roman" w:hAnsi="Times New Roman" w:cs="Times New Roman"/>
          <w:color w:val="000000"/>
          <w:spacing w:val="0"/>
          <w:w w:val="100"/>
          <w:position w:val="0"/>
          <w:shd w:val="clear" w:color="auto" w:fill="auto"/>
          <w:lang w:val="hr-HR" w:eastAsia="hr-HR" w:bidi="hr-HR"/>
        </w:rPr>
        <w:t xml:space="preserve">ih pravično izravnajte i budite pravedni!« (49,9); »Bog poziva </w:t>
      </w:r>
      <w:r>
        <w:rPr>
          <w:rFonts w:ascii="Times New Roman" w:eastAsia="Times New Roman" w:hAnsi="Times New Roman" w:cs="Times New Roman"/>
          <w:i/>
          <w:iCs/>
          <w:color w:val="000000"/>
          <w:spacing w:val="0"/>
          <w:w w:val="100"/>
          <w:position w:val="0"/>
          <w:shd w:val="clear" w:color="auto" w:fill="auto"/>
          <w:lang w:val="hr-HR" w:eastAsia="hr-HR" w:bidi="hr-HR"/>
        </w:rPr>
        <w:t>(ljude)</w:t>
      </w:r>
      <w:r>
        <w:rPr>
          <w:rFonts w:ascii="Times New Roman" w:eastAsia="Times New Roman" w:hAnsi="Times New Roman" w:cs="Times New Roman"/>
          <w:color w:val="000000"/>
          <w:spacing w:val="0"/>
          <w:w w:val="100"/>
          <w:position w:val="0"/>
          <w:shd w:val="clear" w:color="auto" w:fill="auto"/>
          <w:lang w:val="hr-HR" w:eastAsia="hr-HR" w:bidi="hr-HR"/>
        </w:rPr>
        <w:t xml:space="preserve"> u kuću mira« (10,25). »Molite se vašem Gospodaru ponizno i tajno! Zaista On ne voli one koji prelaze granicu </w:t>
      </w:r>
      <w:r>
        <w:rPr>
          <w:rFonts w:ascii="Times New Roman" w:eastAsia="Times New Roman" w:hAnsi="Times New Roman" w:cs="Times New Roman"/>
          <w:i/>
          <w:iCs/>
          <w:color w:val="000000"/>
          <w:spacing w:val="0"/>
          <w:w w:val="100"/>
          <w:position w:val="0"/>
          <w:shd w:val="clear" w:color="auto" w:fill="auto"/>
          <w:lang w:val="hr-HR" w:eastAsia="hr-HR" w:bidi="hr-HR"/>
        </w:rPr>
        <w:t>(onoga što je naređeno).</w:t>
      </w:r>
      <w:r>
        <w:rPr>
          <w:rFonts w:ascii="Times New Roman" w:eastAsia="Times New Roman" w:hAnsi="Times New Roman" w:cs="Times New Roman"/>
          <w:color w:val="000000"/>
          <w:spacing w:val="0"/>
          <w:w w:val="100"/>
          <w:position w:val="0"/>
          <w:shd w:val="clear" w:color="auto" w:fill="auto"/>
          <w:lang w:val="hr-HR" w:eastAsia="hr-HR" w:bidi="hr-HR"/>
        </w:rPr>
        <w:t xml:space="preserve"> Ne činite ne</w:t>
        <w:softHyphen/>
        <w:t>mire na zemlji nakon što je na njoj zaveden m. Molite Ga u strahu i nadi. Zaista je Božja mi</w:t>
        <w:softHyphen/>
        <w:t xml:space="preserve">lost blizu onih koji čine dobra djela« (7,54-55); »A robovi Sveopćeg Dobročinitelja su oni koji idu po zemlji skrušeno. Pa kada ih neznalice oslove, oni odgovore: ‘Selam’!’ </w:t>
      </w:r>
      <w:r>
        <w:rPr>
          <w:rFonts w:ascii="Times New Roman" w:eastAsia="Times New Roman" w:hAnsi="Times New Roman" w:cs="Times New Roman"/>
          <w:i/>
          <w:iCs/>
          <w:color w:val="000000"/>
          <w:spacing w:val="0"/>
          <w:w w:val="100"/>
          <w:position w:val="0"/>
          <w:shd w:val="clear" w:color="auto" w:fill="auto"/>
          <w:lang w:val="hr-HR" w:eastAsia="hr-HR" w:bidi="hr-HR"/>
        </w:rPr>
        <w:t>(m.)«</w:t>
      </w:r>
      <w:r>
        <w:rPr>
          <w:rFonts w:ascii="Times New Roman" w:eastAsia="Times New Roman" w:hAnsi="Times New Roman" w:cs="Times New Roman"/>
          <w:color w:val="000000"/>
          <w:spacing w:val="0"/>
          <w:w w:val="100"/>
          <w:position w:val="0"/>
          <w:shd w:val="clear" w:color="auto" w:fill="auto"/>
          <w:lang w:val="hr-HR" w:eastAsia="hr-HR" w:bidi="hr-HR"/>
        </w:rPr>
        <w:t xml:space="preserve"> (25,63). s BALIĆ</w:t>
      </w:r>
    </w:p>
    <w:p>
      <w:pPr>
        <w:pStyle w:val="Style33"/>
        <w:keepNext w:val="0"/>
        <w:keepLines w:val="0"/>
        <w:widowControl w:val="0"/>
        <w:shd w:val="clear" w:color="auto" w:fill="auto"/>
        <w:bidi w:val="0"/>
        <w:spacing w:before="0" w:after="18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MISIJA</w:t>
      </w:r>
    </w:p>
    <w:p>
      <w:pPr>
        <w:pStyle w:val="Style63"/>
        <w:keepNext/>
        <w:keepLines/>
        <w:widowControl w:val="0"/>
        <w:numPr>
          <w:ilvl w:val="0"/>
          <w:numId w:val="297"/>
        </w:numPr>
        <w:shd w:val="clear" w:color="auto" w:fill="auto"/>
        <w:tabs>
          <w:tab w:pos="246" w:val="left"/>
        </w:tabs>
        <w:bidi w:val="0"/>
        <w:spacing w:before="0" w:after="100" w:line="223" w:lineRule="auto"/>
        <w:ind w:left="0" w:right="0" w:firstLine="0"/>
        <w:jc w:val="both"/>
      </w:pPr>
      <w:bookmarkStart w:id="191" w:name="bookmark191"/>
      <w:r>
        <w:rPr>
          <w:rFonts w:ascii="Times New Roman" w:eastAsia="Times New Roman" w:hAnsi="Times New Roman" w:cs="Times New Roman"/>
          <w:color w:val="000000"/>
          <w:spacing w:val="0"/>
          <w:w w:val="100"/>
          <w:position w:val="0"/>
          <w:shd w:val="clear" w:color="auto" w:fill="auto"/>
          <w:lang w:val="hr-HR" w:eastAsia="hr-HR" w:bidi="hr-HR"/>
        </w:rPr>
        <w:t>židovski</w:t>
      </w:r>
      <w:bookmarkEnd w:id="19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a) »Oni će prihvatiti, svi oni, jaram tvoje vlasti.« </w:t>
      </w:r>
      <w:r>
        <w:rPr>
          <w:rFonts w:ascii="Times New Roman" w:eastAsia="Times New Roman" w:hAnsi="Times New Roman" w:cs="Times New Roman"/>
          <w:color w:val="000000"/>
          <w:spacing w:val="0"/>
          <w:w w:val="100"/>
          <w:position w:val="0"/>
          <w:shd w:val="clear" w:color="auto" w:fill="auto"/>
          <w:lang w:val="hr-HR" w:eastAsia="hr-HR" w:bidi="hr-HR"/>
        </w:rPr>
        <w:t>Iz posebnosti njegova povijesnog položaja me</w:t>
        <w:softHyphen/>
        <w:t xml:space="preserve">đu narodima (Pnz 7,6-8; 14,2; 32,9; Izl 4,22; Hoš 11,1; Jr 31.8), koji zahtijeva od Izraela vjernost njegovoj posebnoj zadaći (Izl 19,5;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19,2.37; 20,7, v. 26; Pnz 28,9; Iz 59,12) i kojem odgovara i strogo mjerilo nje</w:t>
        <w:softHyphen/>
        <w:t xml:space="preserve">gova ponašanja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3,2; Jr 25,29), izraslo je shvaćanje o proročkoj službi cijeloga Izraela koji Božju volju treba prenijeti svim narodima (Iz 42,6-8). U odabiranju odgovornosti koja prelazi granice vlastite zemlje i naroda i koja obuhvaća čovječanstvo ukorijenjen je svjet- sko-povijesni poziv židovskoga naroda da ob</w:t>
        <w:softHyphen/>
        <w:t>javljuje jednoga Boga i gospodara cijeloga svi</w:t>
        <w:softHyphen/>
        <w:t>jeta (Iz 41,1; 44,6; 48,12) i cijelom svijetu (Ps 9,12; 96,3.10; 1 Ljet 16,24). U predodžbi o Izraelovoj zadaći da obavi svjetsku misiju bib</w:t>
        <w:softHyphen/>
        <w:t>lijska tendencija k univerzalnosti dolazi do jasnog izražaja (1 Kr 8,41; Iz 19,24 i d.; 45,22 i d.; 54,5; 56,6 i d.; 66,23; Sef 3,9; Zah 14,9; Mal 1,11; Ps 22,29).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misije nije proizišao iz potrebe za pri</w:t>
        <w:softHyphen/>
        <w:t>rodnim širenjem Izraela i protezanjem njego</w:t>
        <w:softHyphen/>
        <w:t xml:space="preserve">ve vlasti; židovski narod nastavlja sam sebe razmnažati kao izabrani narod (F. </w:t>
      </w:r>
      <w:r>
        <w:rPr>
          <w:rFonts w:ascii="Times New Roman" w:eastAsia="Times New Roman" w:hAnsi="Times New Roman" w:cs="Times New Roman"/>
          <w:color w:val="000000"/>
          <w:spacing w:val="0"/>
          <w:w w:val="100"/>
          <w:position w:val="0"/>
          <w:shd w:val="clear" w:color="auto" w:fill="auto"/>
          <w:lang w:val="en-US" w:eastAsia="en-US" w:bidi="en-US"/>
        </w:rPr>
        <w:t xml:space="preserve">Roscnzwcig,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Erlosung.</w:t>
      </w:r>
      <w:r>
        <w:rPr>
          <w:rFonts w:ascii="Times New Roman" w:eastAsia="Times New Roman" w:hAnsi="Times New Roman" w:cs="Times New Roman"/>
          <w:color w:val="000000"/>
          <w:spacing w:val="0"/>
          <w:w w:val="100"/>
          <w:position w:val="0"/>
          <w:shd w:val="clear" w:color="auto" w:fill="auto"/>
          <w:lang w:val="hr-HR" w:eastAsia="hr-HR" w:bidi="hr-HR"/>
        </w:rPr>
        <w:t xml:space="preserve"> “1976, 379 i d.). Nje</w:t>
        <w:softHyphen/>
      </w:r>
      <w:r>
        <w:rPr>
          <w:rFonts w:ascii="Times New Roman" w:eastAsia="Times New Roman" w:hAnsi="Times New Roman" w:cs="Times New Roman"/>
          <w:color w:val="000000"/>
          <w:spacing w:val="0"/>
          <w:w w:val="100"/>
          <w:position w:val="0"/>
          <w:shd w:val="clear" w:color="auto" w:fill="auto"/>
          <w:lang w:val="hr-HR" w:eastAsia="hr-HR" w:bidi="hr-HR"/>
        </w:rPr>
        <w:t>gova je zadaća njegovo djelo u čovječanstvu (Post 12,3; b Šabat 105a; Megila 13a); u uspo</w:t>
        <w:softHyphen/>
        <w:t>stavljanju sveopće Božje vlasti ta se zadaća povijesno izvršava (Iz 2,2-4; Mih 4,1—4; Šifra uz Lcvl8,26; Mekilta uz Izl 17,14). To očeki</w:t>
        <w:softHyphen/>
        <w:t>vanje obilježava molitvenu želju koja se stalno ponavlja: »Neka bude veličano i sveto Nje</w:t>
        <w:softHyphen/>
        <w:t>govo Veliko Ime širom svijeta, koji je stvorio svojom voljom. Neka on uspostavi svoje Kra</w:t>
        <w:softHyphen/>
        <w:t xml:space="preserve">ljevstvo...« </w:t>
      </w:r>
      <w:r>
        <w:rPr>
          <w:rFonts w:ascii="Times New Roman" w:eastAsia="Times New Roman" w:hAnsi="Times New Roman" w:cs="Times New Roman"/>
          <w:i/>
          <w:iCs/>
          <w:color w:val="000000"/>
          <w:spacing w:val="0"/>
          <w:w w:val="100"/>
          <w:position w:val="0"/>
          <w:shd w:val="clear" w:color="auto" w:fill="auto"/>
          <w:lang w:val="hr-HR" w:eastAsia="hr-HR" w:bidi="hr-HR"/>
        </w:rPr>
        <w:t>(Kadiš).</w:t>
      </w:r>
      <w:r>
        <w:rPr>
          <w:rFonts w:ascii="Times New Roman" w:eastAsia="Times New Roman" w:hAnsi="Times New Roman" w:cs="Times New Roman"/>
          <w:color w:val="000000"/>
          <w:spacing w:val="0"/>
          <w:w w:val="100"/>
          <w:position w:val="0"/>
          <w:shd w:val="clear" w:color="auto" w:fill="auto"/>
          <w:lang w:val="hr-HR" w:eastAsia="hr-HR" w:bidi="hr-HR"/>
        </w:rPr>
        <w:t xml:space="preserve"> Osim posvećenja Imena Božjeg u toj se staroj molitvi (b Berahot 3a) spominje cilj radi kojega je Bog stvorio svijet, a to je utemeljenje Božje vlasti na zemlji. U novogodišnjoj molitvi </w:t>
      </w:r>
      <w:r>
        <w:rPr>
          <w:rFonts w:ascii="Times New Roman" w:eastAsia="Times New Roman" w:hAnsi="Times New Roman" w:cs="Times New Roman"/>
          <w:i/>
          <w:iCs/>
          <w:color w:val="000000"/>
          <w:spacing w:val="0"/>
          <w:w w:val="100"/>
          <w:position w:val="0"/>
          <w:shd w:val="clear" w:color="auto" w:fill="auto"/>
          <w:lang w:val="hr-HR" w:eastAsia="hr-HR" w:bidi="hr-HR"/>
        </w:rPr>
        <w:t>Musafil</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29a; Roš ha-šana 32a) kaže se: »I stoga ulij straho</w:t>
        <w:softHyphen/>
        <w:t>poštovanje prema sebi, Gospodine, naš Bože, prema svim Tvojim djelima i strah od Tebe prema svemu što si stvorio, da Te se boje u svim djelima i da Ti se klanjaju sva stvorenja i da se svi sjedine kako bi svim srcem provodili Tvoju volju...« Uzvišeno značenje što ga ži</w:t>
        <w:softHyphen/>
        <w:t>dovstvo pridaje budućem sjedinjenju svih ljudi u priznavanju jednoga Boga dokazuje prihva</w:t>
        <w:softHyphen/>
        <w:t xml:space="preserve">ćanje dijela: »Dužnost nam je </w:t>
      </w:r>
      <w:r>
        <w:rPr>
          <w:rFonts w:ascii="Times New Roman" w:eastAsia="Times New Roman" w:hAnsi="Times New Roman" w:cs="Times New Roman"/>
          <w:i/>
          <w:iCs/>
          <w:color w:val="000000"/>
          <w:spacing w:val="0"/>
          <w:w w:val="100"/>
          <w:position w:val="0"/>
          <w:shd w:val="clear" w:color="auto" w:fill="auto"/>
          <w:lang w:val="hr-HR" w:eastAsia="hr-HR" w:bidi="hr-HR"/>
        </w:rPr>
        <w:t>(Alejnu)</w:t>
      </w:r>
      <w:r>
        <w:rPr>
          <w:rFonts w:ascii="Times New Roman" w:eastAsia="Times New Roman" w:hAnsi="Times New Roman" w:cs="Times New Roman"/>
          <w:color w:val="000000"/>
          <w:spacing w:val="0"/>
          <w:w w:val="100"/>
          <w:position w:val="0"/>
          <w:shd w:val="clear" w:color="auto" w:fill="auto"/>
          <w:lang w:val="hr-HR" w:eastAsia="hr-HR" w:bidi="hr-HR"/>
        </w:rPr>
        <w:t xml:space="preserve"> da sla</w:t>
        <w:softHyphen/>
        <w:t>vimo Gospodara svemira...«, iz novogodišnje liturgije u svakodnevnu molitvu; ona završava s nadom: »Oni će prihvatiti, svi oni, jaram Tvoje vlasti i Ti ćeš njima vladati...«</w:t>
      </w:r>
    </w:p>
    <w:p>
      <w:pPr>
        <w:pStyle w:val="Style20"/>
        <w:keepNext w:val="0"/>
        <w:keepLines w:val="0"/>
        <w:widowControl w:val="0"/>
        <w:numPr>
          <w:ilvl w:val="0"/>
          <w:numId w:val="299"/>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kako bi im se pridodali prozeliti.«</w:t>
      </w:r>
      <w:r>
        <w:rPr>
          <w:rFonts w:ascii="Times New Roman" w:eastAsia="Times New Roman" w:hAnsi="Times New Roman" w:cs="Times New Roman"/>
          <w:color w:val="000000"/>
          <w:spacing w:val="0"/>
          <w:w w:val="100"/>
          <w:position w:val="0"/>
          <w:shd w:val="clear" w:color="auto" w:fill="auto"/>
          <w:lang w:val="hr-HR" w:eastAsia="hr-HR" w:bidi="hr-HR"/>
        </w:rPr>
        <w:t xml:space="preserve"> U vri</w:t>
        <w:softHyphen/>
        <w:t>jeme drugoga Hrama znatno je poraslo židov</w:t>
        <w:softHyphen/>
        <w:t>sko stanovništvo. Priličan udio u tome imali su prozeliti (»pridošlice«), nežidovi koji su se priključili židovskom narodu. Hebrejska Bib</w:t>
        <w:softHyphen/>
        <w:t>lija ne spominje obrede koje su razvili tijekom stoljeća kad su primljeni u židovstvo (b Jeva- mot 46a). Tek potkraj perzijske epohe jedna izvankanonska vijest dokazuje rcligijsko-na- cionalni prozelitizam: »Tada Ahior, vidjevši što je sve učinio Bog lzraelov, povjerova čvr</w:t>
        <w:softHyphen/>
        <w:t>sto u Boga te se dade obrezati, i tako bi pri</w:t>
        <w:softHyphen/>
        <w:t>brojen narodu Izraelovu do dana današnjega« (Jdt 14,10).</w:t>
      </w:r>
    </w:p>
    <w:p>
      <w:pPr>
        <w:pStyle w:val="Style20"/>
        <w:keepNext w:val="0"/>
        <w:keepLines w:val="0"/>
        <w:widowControl w:val="0"/>
        <w:shd w:val="clear" w:color="auto" w:fill="auto"/>
        <w:bidi w:val="0"/>
        <w:spacing w:before="0" w:after="0"/>
        <w:ind w:left="0" w:right="0" w:firstLine="0"/>
        <w:jc w:val="both"/>
        <w:sectPr>
          <w:headerReference w:type="default" r:id="rId781"/>
          <w:footerReference w:type="default" r:id="rId782"/>
          <w:headerReference w:type="even" r:id="rId783"/>
          <w:footerReference w:type="even" r:id="rId784"/>
          <w:headerReference w:type="first" r:id="rId785"/>
          <w:footerReference w:type="first" r:id="rId786"/>
          <w:footnotePr>
            <w:pos w:val="pageBottom"/>
            <w:numFmt w:val="decimal"/>
            <w:numRestart w:val="continuous"/>
            <w15:footnoteColumns w:val="1"/>
          </w:footnotePr>
          <w:pgSz w:w="6816" w:h="11006"/>
          <w:pgMar w:top="856" w:left="188" w:right="191" w:bottom="266" w:header="0" w:footer="3" w:gutter="0"/>
          <w:pgNumType w:start="262"/>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Židovski i drugi izvori, literarna svjedočan</w:t>
        <w:softHyphen/>
        <w:t>stva, te hebrejski i grčki grobni natpisi poka</w:t>
        <w:softHyphen/>
        <w:t>zuju mnogobrojne prelaske na židovstvo koje su provodili i muškarci i žene u područjima židovskih naselja i među susjednim narodima. Kad su Židovi prodrli u helenistićko-rimski kulturni svijet i stvorili opsežnu dijasporu, pri</w:t>
        <w:softHyphen/>
        <w:t>premili su temelje za svoju svjetsku misiju. Bogata židovsko-helenistička literatura, na</w:t>
        <w:softHyphen/>
        <w:t xml:space="preserve">stala poglavito u zajednicima u dijaspori, 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kojima se govorilo grčki, služila je i židovskoj promidžbi. U Sibilinskim proročanstvima, ko</w:t>
        <w:softHyphen/>
        <w:t>jima su u II.—1. stoljeću pr. Kr. htjeli širiti vjeru u jednoga Boga, opisan je položaj Izraela me</w:t>
        <w:softHyphen/>
        <w:t>đu kasnijim Makabejcima: »Narod velikoga Boga ponovno jača i pokazuje smrtnicima put u život« (III, 194 i d.). Židovski povjesničar Jo</w:t>
        <w:softHyphen/>
        <w:t>sip Flavije (I. stoljeće pos. Kr.) opisuje kako je djelovala revnost, kojom su Židovi u dijaspori s grčkim obrazovanjem svojem poganskom okolišu riječju i djelom objavljivali jedinoga duhovnog Boga kojega su štovali bez lika i koji nije bio samo Stvoritelj neba i zemlje ne</w:t>
        <w:softHyphen/>
        <w:t xml:space="preserve">go i sudac svih stvorenja i koji je svim ljudima objavio uzvišeni moralni zakon da ga poštuju. On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ustanovio: »Također nema naroda, ni jednoga grčkog i barbarskoga grada, u koji nije ušao naš običaj da se sedmoga dana ne radi i u kojima se ne poštuje post, paljenje svijeća... I kako Bog prodire u svemir, tako se i zakon širi cijelim čovječanstvom«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11,39).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Premda židovstvo nije načelno ništa napustilo od obilježja i propisa svojega životnog puta, ipak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u praksi velikodušno postupao prema onima koji su mu se htjeli priključiti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Antiquitates </w:t>
      </w:r>
      <w:r>
        <w:rPr>
          <w:rFonts w:ascii="Times New Roman" w:eastAsia="Times New Roman" w:hAnsi="Times New Roman" w:cs="Times New Roman"/>
          <w:i/>
          <w:iCs/>
          <w:color w:val="000000"/>
          <w:spacing w:val="0"/>
          <w:w w:val="100"/>
          <w:position w:val="0"/>
          <w:shd w:val="clear" w:color="auto" w:fill="auto"/>
          <w:lang w:val="hr-HR" w:eastAsia="hr-HR" w:bidi="hr-HR"/>
        </w:rPr>
        <w:t>iudaicae</w:t>
      </w:r>
      <w:r>
        <w:rPr>
          <w:rFonts w:ascii="Times New Roman" w:eastAsia="Times New Roman" w:hAnsi="Times New Roman" w:cs="Times New Roman"/>
          <w:color w:val="000000"/>
          <w:spacing w:val="0"/>
          <w:w w:val="100"/>
          <w:position w:val="0"/>
          <w:shd w:val="clear" w:color="auto" w:fill="auto"/>
          <w:lang w:val="hr-HR" w:eastAsia="hr-HR" w:bidi="hr-HR"/>
        </w:rPr>
        <w:t xml:space="preserve"> XX,2,3 i d.; b Sa</w:t>
        <w:softHyphen/>
        <w:t>bat 31a) i dopuštalo nežidovima da prisustvu</w:t>
        <w:softHyphen/>
        <w:t xml:space="preserve">ju sinagogalnom bogoslužju (Josip Flavije, </w:t>
      </w:r>
      <w:r>
        <w:rPr>
          <w:rFonts w:ascii="Times New Roman" w:eastAsia="Times New Roman" w:hAnsi="Times New Roman" w:cs="Times New Roman"/>
          <w:i/>
          <w:iCs/>
          <w:color w:val="000000"/>
          <w:spacing w:val="0"/>
          <w:w w:val="100"/>
          <w:position w:val="0"/>
          <w:shd w:val="clear" w:color="auto" w:fill="auto"/>
          <w:lang w:val="hr-HR" w:eastAsia="hr-HR" w:bidi="hr-HR"/>
        </w:rPr>
        <w:t>De bello iudaico</w:t>
      </w:r>
      <w:r>
        <w:rPr>
          <w:rFonts w:ascii="Times New Roman" w:eastAsia="Times New Roman" w:hAnsi="Times New Roman" w:cs="Times New Roman"/>
          <w:color w:val="000000"/>
          <w:spacing w:val="0"/>
          <w:w w:val="100"/>
          <w:position w:val="0"/>
          <w:shd w:val="clear" w:color="auto" w:fill="auto"/>
          <w:lang w:val="hr-HR" w:eastAsia="hr-HR" w:bidi="hr-HR"/>
        </w:rPr>
        <w:t xml:space="preserve"> VII,3,3; usp. Dj 13,16.26.43 i d., 50). Jedan je mudrac u pridobivanju prozelita čak vidio smisao što ga je Bog namijenio Iz- raelovoj dijaspori u cijelom svijetu: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(oko 270) rekao je: Sveti, hvaljen bio, prognao je Izraelce medu narode samo zato kako bi mu se pridružili prozeliti </w:t>
      </w:r>
      <w:r>
        <w:rPr>
          <w:rFonts w:ascii="Times New Roman" w:eastAsia="Times New Roman" w:hAnsi="Times New Roman" w:cs="Times New Roman"/>
          <w:i/>
          <w:iCs/>
          <w:color w:val="000000"/>
          <w:spacing w:val="0"/>
          <w:w w:val="100"/>
          <w:position w:val="0"/>
          <w:shd w:val="clear" w:color="auto" w:fill="auto"/>
          <w:lang w:val="hr-HR" w:eastAsia="hr-HR" w:bidi="hr-HR"/>
        </w:rPr>
        <w:t>(gerim)«</w:t>
      </w:r>
      <w:r>
        <w:rPr>
          <w:rFonts w:ascii="Times New Roman" w:eastAsia="Times New Roman" w:hAnsi="Times New Roman" w:cs="Times New Roman"/>
          <w:color w:val="000000"/>
          <w:spacing w:val="0"/>
          <w:w w:val="100"/>
          <w:position w:val="0"/>
          <w:shd w:val="clear" w:color="auto" w:fill="auto"/>
          <w:lang w:val="hr-HR" w:eastAsia="hr-HR" w:bidi="hr-HR"/>
        </w:rPr>
        <w:t xml:space="preserve"> (b Pcsahim 87b). Njegov suvremenik, rabin Šmuel bar Nahman, smatrao je obraćenje uputom na vjernost Izraela: »Budu li Izraelci vršili volju Božju, on će dovesti svakog pravednika ko</w:t>
        <w:softHyphen/>
        <w:t>jega nađe medu narodima... i priključiti ga Izraelcima, ali ako ne budu vršili njegovu vo</w:t>
        <w:softHyphen/>
        <w:t>lju, on će među njima potražiti pravednika, is</w:t>
        <w:softHyphen/>
        <w:t>pravna čovjeka, pobožnika i čovjeka puna strahopoštovanja i uzeti im ga« (Šir ha-širim VI,2; usp, Kohclct V,H; Berahot II,5c). Pri</w:t>
        <w:softHyphen/>
        <w:t>padnici svih nacija (M Jadajim IV,4) i druš</w:t>
        <w:softHyphen/>
        <w:t xml:space="preserve">tvenih slojeva okretali su se prema židovstvu (Seneka kod Augustina, </w:t>
      </w:r>
      <w:r>
        <w:rPr>
          <w:rFonts w:ascii="Times New Roman" w:eastAsia="Times New Roman" w:hAnsi="Times New Roman" w:cs="Times New Roman"/>
          <w:i/>
          <w:iCs/>
          <w:color w:val="000000"/>
          <w:spacing w:val="0"/>
          <w:w w:val="100"/>
          <w:position w:val="0"/>
          <w:shd w:val="clear" w:color="auto" w:fill="auto"/>
          <w:lang w:val="hr-HR" w:eastAsia="hr-HR" w:bidi="hr-HR"/>
        </w:rPr>
        <w:t>De civitate dei</w:t>
      </w:r>
      <w:r>
        <w:rPr>
          <w:rFonts w:ascii="Times New Roman" w:eastAsia="Times New Roman" w:hAnsi="Times New Roman" w:cs="Times New Roman"/>
          <w:color w:val="000000"/>
          <w:spacing w:val="0"/>
          <w:w w:val="100"/>
          <w:position w:val="0"/>
          <w:shd w:val="clear" w:color="auto" w:fill="auto"/>
          <w:lang w:val="hr-HR" w:eastAsia="hr-HR" w:bidi="hr-HR"/>
        </w:rPr>
        <w:t xml:space="preserve"> VI.ll; </w:t>
      </w:r>
      <w:r>
        <w:rPr>
          <w:rFonts w:ascii="Times New Roman" w:eastAsia="Times New Roman" w:hAnsi="Times New Roman" w:cs="Times New Roman"/>
          <w:color w:val="000000"/>
          <w:spacing w:val="0"/>
          <w:w w:val="100"/>
          <w:position w:val="0"/>
          <w:shd w:val="clear" w:color="auto" w:fill="auto"/>
          <w:lang w:val="en-US" w:eastAsia="en-US" w:bidi="en-US"/>
        </w:rPr>
        <w:t xml:space="preserve">Juvenal </w:t>
      </w:r>
      <w:r>
        <w:rPr>
          <w:rFonts w:ascii="Times New Roman" w:eastAsia="Times New Roman" w:hAnsi="Times New Roman" w:cs="Times New Roman"/>
          <w:color w:val="000000"/>
          <w:spacing w:val="0"/>
          <w:w w:val="100"/>
          <w:position w:val="0"/>
          <w:shd w:val="clear" w:color="auto" w:fill="auto"/>
          <w:lang w:val="hr-HR" w:eastAsia="hr-HR" w:bidi="hr-HR"/>
        </w:rPr>
        <w:t xml:space="preserve">XIV, </w:t>
      </w:r>
      <w:r>
        <w:rPr>
          <w:rFonts w:ascii="Times New Roman" w:eastAsia="Times New Roman" w:hAnsi="Times New Roman" w:cs="Times New Roman"/>
          <w:i/>
          <w:iCs/>
          <w:color w:val="000000"/>
          <w:spacing w:val="0"/>
          <w:w w:val="100"/>
          <w:position w:val="0"/>
          <w:shd w:val="clear" w:color="auto" w:fill="auto"/>
          <w:lang w:val="hr-HR" w:eastAsia="hr-HR" w:bidi="hr-HR"/>
        </w:rPr>
        <w:t>Satira,</w:t>
      </w:r>
      <w:r>
        <w:rPr>
          <w:rFonts w:ascii="Times New Roman" w:eastAsia="Times New Roman" w:hAnsi="Times New Roman" w:cs="Times New Roman"/>
          <w:color w:val="000000"/>
          <w:spacing w:val="0"/>
          <w:w w:val="100"/>
          <w:position w:val="0"/>
          <w:shd w:val="clear" w:color="auto" w:fill="auto"/>
          <w:lang w:val="hr-HR" w:eastAsia="hr-HR" w:bidi="hr-HR"/>
        </w:rPr>
        <w:t xml:space="preserve"> 11.96 i d.; </w:t>
      </w:r>
      <w:r>
        <w:rPr>
          <w:rFonts w:ascii="Times New Roman" w:eastAsia="Times New Roman" w:hAnsi="Times New Roman" w:cs="Times New Roman"/>
          <w:color w:val="000000"/>
          <w:spacing w:val="0"/>
          <w:w w:val="100"/>
          <w:position w:val="0"/>
          <w:shd w:val="clear" w:color="auto" w:fill="auto"/>
          <w:lang w:val="en-US" w:eastAsia="en-US" w:bidi="en-US"/>
        </w:rPr>
        <w:t xml:space="preserve">Tacit, </w:t>
      </w:r>
      <w:r>
        <w:rPr>
          <w:rFonts w:ascii="Times New Roman" w:eastAsia="Times New Roman" w:hAnsi="Times New Roman" w:cs="Times New Roman"/>
          <w:i/>
          <w:iCs/>
          <w:color w:val="000000"/>
          <w:spacing w:val="0"/>
          <w:w w:val="100"/>
          <w:position w:val="0"/>
          <w:shd w:val="clear" w:color="auto" w:fill="auto"/>
          <w:lang w:val="hr-HR" w:eastAsia="hr-HR" w:bidi="hr-HR"/>
        </w:rPr>
        <w:t>Hisloriae</w:t>
      </w:r>
    </w:p>
    <w:p>
      <w:pPr>
        <w:pStyle w:val="Style20"/>
        <w:keepNext w:val="0"/>
        <w:keepLines w:val="0"/>
        <w:widowControl w:val="0"/>
        <w:numPr>
          <w:ilvl w:val="0"/>
          <w:numId w:val="301"/>
        </w:numPr>
        <w:shd w:val="clear" w:color="auto" w:fill="auto"/>
        <w:bidi w:val="0"/>
        <w:spacing w:before="0" w:after="0"/>
        <w:ind w:left="0" w:right="0" w:firstLine="0"/>
        <w:jc w:val="both"/>
        <w:sectPr>
          <w:headerReference w:type="default" r:id="rId787"/>
          <w:footerReference w:type="default" r:id="rId788"/>
          <w:headerReference w:type="even" r:id="rId789"/>
          <w:footerReference w:type="even" r:id="rId790"/>
          <w:footnotePr>
            <w:pos w:val="pageBottom"/>
            <w:numFmt w:val="decimal"/>
            <w:numRestart w:val="continuous"/>
            <w15:footnoteColumns w:val="1"/>
          </w:footnotePr>
          <w:type w:val="continuous"/>
          <w:pgSz w:w="6816" w:h="11006"/>
          <w:pgMar w:top="856" w:left="188" w:right="191" w:bottom="266" w:header="0" w:footer="3" w:gutter="0"/>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5). Najpoznatiji slučaj bio je prelazak na židovstvo adiabenske vladarske kuće na Ti- </w:t>
      </w:r>
      <w:r>
        <w:rPr>
          <w:rFonts w:ascii="Times New Roman" w:eastAsia="Times New Roman" w:hAnsi="Times New Roman" w:cs="Times New Roman"/>
          <w:color w:val="000000"/>
          <w:spacing w:val="0"/>
          <w:w w:val="100"/>
          <w:position w:val="0"/>
          <w:shd w:val="clear" w:color="auto" w:fill="auto"/>
          <w:lang w:val="hr-HR" w:eastAsia="hr-HR" w:bidi="hr-HR"/>
        </w:rPr>
        <w:t xml:space="preserve">grisu tek nekoliko desetljeća prije razorenja drugoga Hrama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Antiquitates </w:t>
      </w:r>
      <w:r>
        <w:rPr>
          <w:rFonts w:ascii="Times New Roman" w:eastAsia="Times New Roman" w:hAnsi="Times New Roman" w:cs="Times New Roman"/>
          <w:color w:val="000000"/>
          <w:spacing w:val="0"/>
          <w:w w:val="100"/>
          <w:position w:val="0"/>
          <w:shd w:val="clear" w:color="auto" w:fill="auto"/>
          <w:lang w:val="hr-HR" w:eastAsia="hr-HR" w:bidi="hr-HR"/>
        </w:rPr>
        <w:t xml:space="preserve">XX,2,1.3 i d.; M Joma 111,10; Bercšit raba XLVI,17,8). Tradicijska literatura poznaje i rabine koji potječu od prozelita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56a.57b); u njih se ubraja i Rabi Akiva (b Be</w:t>
        <w:softHyphen/>
        <w:t>rahot 27b; j IV,7d), jedan od najvažnijih uči</w:t>
        <w:softHyphen/>
        <w:t xml:space="preserve">telja ranoga razdoblja (oko 50.-135. pos. Kr.). - Dva su naroda prisilno obratili hasmonejski vladari: Ivan Hirkan I. pokorio je 126. pr. Kr. Edomcc (Idumejcc) i nasilno ih judaizirao ob- rezivanjem (Josip Flavije, </w:t>
      </w:r>
      <w:r>
        <w:rPr>
          <w:rFonts w:ascii="Times New Roman" w:eastAsia="Times New Roman" w:hAnsi="Times New Roman" w:cs="Times New Roman"/>
          <w:i/>
          <w:iCs/>
          <w:color w:val="000000"/>
          <w:spacing w:val="0"/>
          <w:w w:val="100"/>
          <w:position w:val="0"/>
          <w:shd w:val="clear" w:color="auto" w:fill="auto"/>
          <w:lang w:val="en-US" w:eastAsia="en-US" w:bidi="en-US"/>
        </w:rPr>
        <w:t>Antiquitates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XV,7,9); njegov sin Aristobul I. prisilio je oko 104. pr. Kr. arapsko pleme Iturcjaca (1 Ljet 5,19), koje se naselilo na Antilibanonu, na prihva</w:t>
        <w:softHyphen/>
        <w:t xml:space="preserve">ćanje židovske vjere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XIII, 11,3). </w:t>
      </w:r>
      <w:r>
        <w:rPr>
          <w:rFonts w:ascii="Times New Roman" w:eastAsia="Times New Roman" w:hAnsi="Times New Roman" w:cs="Times New Roman"/>
          <w:i/>
          <w:iCs/>
          <w:color w:val="000000"/>
          <w:spacing w:val="0"/>
          <w:w w:val="100"/>
          <w:position w:val="0"/>
          <w:shd w:val="clear" w:color="auto" w:fill="auto"/>
          <w:lang w:val="hr-HR" w:eastAsia="hr-HR" w:bidi="hr-HR"/>
        </w:rPr>
        <w:t>U</w:t>
      </w:r>
      <w:r>
        <w:rPr>
          <w:rFonts w:ascii="Times New Roman" w:eastAsia="Times New Roman" w:hAnsi="Times New Roman" w:cs="Times New Roman"/>
          <w:color w:val="000000"/>
          <w:spacing w:val="0"/>
          <w:w w:val="100"/>
          <w:position w:val="0"/>
          <w:shd w:val="clear" w:color="auto" w:fill="auto"/>
          <w:lang w:val="hr-HR" w:eastAsia="hr-HR" w:bidi="hr-HR"/>
        </w:rPr>
        <w:t xml:space="preserve"> povi</w:t>
        <w:softHyphen/>
        <w:t xml:space="preserve">jesti židovskoga misonarstva oba su primjera bili iznimke, pa ih ne odobravaju ni židovski krugovi (H. Gractz,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Volkstiimliche </w:t>
      </w:r>
      <w:r>
        <w:rPr>
          <w:rFonts w:ascii="Times New Roman" w:eastAsia="Times New Roman" w:hAnsi="Times New Roman" w:cs="Times New Roman"/>
          <w:i/>
          <w:iCs/>
          <w:color w:val="000000"/>
          <w:spacing w:val="0"/>
          <w:w w:val="100"/>
          <w:position w:val="0"/>
          <w:shd w:val="clear" w:color="auto" w:fill="auto"/>
          <w:lang w:val="hr-HR" w:eastAsia="hr-HR" w:bidi="hr-HR"/>
        </w:rPr>
        <w:t>Geschichte derJuden I,</w:t>
      </w:r>
      <w:r>
        <w:rPr>
          <w:rFonts w:ascii="Times New Roman" w:eastAsia="Times New Roman" w:hAnsi="Times New Roman" w:cs="Times New Roman"/>
          <w:color w:val="000000"/>
          <w:spacing w:val="0"/>
          <w:w w:val="100"/>
          <w:position w:val="0"/>
          <w:shd w:val="clear" w:color="auto" w:fill="auto"/>
          <w:lang w:val="hr-HR" w:eastAsia="hr-HR" w:bidi="hr-HR"/>
        </w:rPr>
        <w:t xml:space="preserve"> 1888, 447, v. 465 i d.). - Razliku</w:t>
        <w:softHyphen/>
        <w:t>jemo dvije kategorije priključenja židovskom narodu: potpuni prozelit (ger »pridošlica« od</w:t>
        <w:softHyphen/>
        <w:t xml:space="preserve">nosno - za razliku od gosta tuđinca, koji nije ušao u prozelitski odnos -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ger cedek/cadik </w:t>
      </w:r>
      <w:r>
        <w:rPr>
          <w:rFonts w:ascii="Times New Roman" w:eastAsia="Times New Roman" w:hAnsi="Times New Roman" w:cs="Times New Roman"/>
          <w:color w:val="000000"/>
          <w:spacing w:val="0"/>
          <w:w w:val="100"/>
          <w:position w:val="0"/>
          <w:shd w:val="clear" w:color="auto" w:fill="auto"/>
          <w:lang w:val="hr-HR" w:eastAsia="hr-HR" w:bidi="hr-HR"/>
        </w:rPr>
        <w:t>»pravedni pridošlica«) prihvatio je kao muš</w:t>
        <w:softHyphen/>
        <w:t xml:space="preserve">karac obrezanjc i »prozelitsko krštenje« (M Pesahim VIII,8; Tos. VII,13;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VIII,36b; b 92a), a kao žena kupku s uranjanjem (b Jeva- mot 47a; j Vlll,8d); i jedni i drugi obvezuju se da će poštivati »put« </w:t>
      </w:r>
      <w:r>
        <w:rPr>
          <w:rFonts w:ascii="Times New Roman" w:eastAsia="Times New Roman" w:hAnsi="Times New Roman" w:cs="Times New Roman"/>
          <w:i/>
          <w:iCs/>
          <w:color w:val="000000"/>
          <w:spacing w:val="0"/>
          <w:w w:val="100"/>
          <w:position w:val="0"/>
          <w:shd w:val="clear" w:color="auto" w:fill="auto"/>
          <w:lang w:val="hr-HR" w:eastAsia="hr-HR" w:bidi="hr-HR"/>
        </w:rPr>
        <w:t>(halaha),</w:t>
      </w:r>
      <w:r>
        <w:rPr>
          <w:rFonts w:ascii="Times New Roman" w:eastAsia="Times New Roman" w:hAnsi="Times New Roman" w:cs="Times New Roman"/>
          <w:color w:val="000000"/>
          <w:spacing w:val="0"/>
          <w:w w:val="100"/>
          <w:position w:val="0"/>
          <w:shd w:val="clear" w:color="auto" w:fill="auto"/>
          <w:lang w:val="hr-HR" w:eastAsia="hr-HR" w:bidi="hr-HR"/>
        </w:rPr>
        <w:t xml:space="preserve"> propise prema kojima je Židov dužan živjeti (b Jevamot 47a.b). Poluprozeliti (»bogobojaznici«, usp. Dj 10,2.22; 13,16.26.50; 17,4.17) opredijelili su se za jednoga Boga i odrekli se idolopoklon- stva, približili se židovstvu, ali samo time što su poštovali dijelove obrednih propisa, a nisu se podvrgnuli obrezanju i »prozelitskom krš</w:t>
        <w:softHyphen/>
        <w:t xml:space="preserve">tenju«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11,10; Devarim raba 11,3,25; Mchilta o 22,20). Brzo širenje kršćanstva, koje je uvijek polazilo od jednoga određenog židovskog središta, odnos</w:t>
        <w:softHyphen/>
        <w:t xml:space="preserve">no mjesta židovskoga utjecaja, bilo je moguće zato što je židovski misijski rad pripremio za to put (A. v. </w:t>
      </w:r>
      <w:r>
        <w:rPr>
          <w:rFonts w:ascii="Times New Roman" w:eastAsia="Times New Roman" w:hAnsi="Times New Roman" w:cs="Times New Roman"/>
          <w:color w:val="000000"/>
          <w:spacing w:val="0"/>
          <w:w w:val="100"/>
          <w:position w:val="0"/>
          <w:shd w:val="clear" w:color="auto" w:fill="auto"/>
          <w:lang w:val="en-US" w:eastAsia="en-US" w:bidi="en-US"/>
        </w:rPr>
        <w:t xml:space="preserve">Harnack,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Mission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Aus- breitung </w:t>
      </w:r>
      <w:r>
        <w:rPr>
          <w:rFonts w:ascii="Times New Roman" w:eastAsia="Times New Roman" w:hAnsi="Times New Roman" w:cs="Times New Roman"/>
          <w:i/>
          <w:iCs/>
          <w:color w:val="000000"/>
          <w:spacing w:val="0"/>
          <w:w w:val="100"/>
          <w:position w:val="0"/>
          <w:shd w:val="clear" w:color="auto" w:fill="auto"/>
          <w:lang w:val="en-US" w:eastAsia="en-US" w:bidi="en-US"/>
        </w:rPr>
        <w:t>des Christen turns,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4</w:t>
      </w:r>
      <w:r>
        <w:rPr>
          <w:rFonts w:ascii="Times New Roman" w:eastAsia="Times New Roman" w:hAnsi="Times New Roman" w:cs="Times New Roman"/>
          <w:color w:val="000000"/>
          <w:spacing w:val="0"/>
          <w:w w:val="100"/>
          <w:position w:val="0"/>
          <w:shd w:val="clear" w:color="auto" w:fill="auto"/>
          <w:lang w:val="en-US" w:eastAsia="en-US" w:bidi="en-US"/>
        </w:rPr>
        <w:t xml:space="preserve">1924, 20). </w:t>
      </w:r>
      <w:r>
        <w:rPr>
          <w:rFonts w:ascii="Times New Roman" w:eastAsia="Times New Roman" w:hAnsi="Times New Roman" w:cs="Times New Roman"/>
          <w:color w:val="000000"/>
          <w:spacing w:val="0"/>
          <w:w w:val="100"/>
          <w:position w:val="0"/>
          <w:shd w:val="clear" w:color="auto" w:fill="auto"/>
          <w:lang w:val="hr-HR" w:eastAsia="hr-HR" w:bidi="hr-HR"/>
        </w:rPr>
        <w:t xml:space="preserve">Doduše, </w:t>
      </w:r>
      <w:r>
        <w:rPr>
          <w:rFonts w:ascii="Times New Roman" w:eastAsia="Times New Roman" w:hAnsi="Times New Roman" w:cs="Times New Roman"/>
          <w:color w:val="000000"/>
          <w:spacing w:val="0"/>
          <w:w w:val="100"/>
          <w:position w:val="0"/>
          <w:shd w:val="clear" w:color="auto" w:fill="auto"/>
          <w:lang w:val="en-US" w:eastAsia="en-US" w:bidi="en-US"/>
        </w:rPr>
        <w:t xml:space="preserve">prozelitski </w:t>
      </w:r>
      <w:r>
        <w:rPr>
          <w:rFonts w:ascii="Times New Roman" w:eastAsia="Times New Roman" w:hAnsi="Times New Roman" w:cs="Times New Roman"/>
          <w:color w:val="000000"/>
          <w:spacing w:val="0"/>
          <w:w w:val="100"/>
          <w:position w:val="0"/>
          <w:shd w:val="clear" w:color="auto" w:fill="auto"/>
          <w:lang w:val="hr-HR" w:eastAsia="hr-HR" w:bidi="hr-HR"/>
        </w:rPr>
        <w:t>pokret susreo se već u poganskom Rimskom Carstvu sa sve većom mržnjom (pre</w:t>
        <w:softHyphen/>
        <w:t>ma židovskom narodu i njegovoj religiji) onih koji su u tom pokretu vidjeli opasnost od nasli</w:t>
        <w:softHyphen/>
        <w:t>jeđenoga društvenog poretka; pokret su ome</w:t>
        <w:softHyphen/>
        <w:t xml:space="preserve">tale panhelenističke mjere i zabrana obreza- nja pod </w:t>
      </w:r>
      <w:r>
        <w:rPr>
          <w:rFonts w:ascii="Times New Roman" w:eastAsia="Times New Roman" w:hAnsi="Times New Roman" w:cs="Times New Roman"/>
          <w:color w:val="000000"/>
          <w:spacing w:val="0"/>
          <w:w w:val="100"/>
          <w:position w:val="0"/>
          <w:shd w:val="clear" w:color="auto" w:fill="auto"/>
          <w:lang w:val="en-US" w:eastAsia="en-US" w:bidi="en-US"/>
        </w:rPr>
        <w:t xml:space="preserve">carom </w:t>
      </w:r>
      <w:r>
        <w:rPr>
          <w:rFonts w:ascii="Times New Roman" w:eastAsia="Times New Roman" w:hAnsi="Times New Roman" w:cs="Times New Roman"/>
          <w:color w:val="000000"/>
          <w:spacing w:val="0"/>
          <w:w w:val="100"/>
          <w:position w:val="0"/>
          <w:shd w:val="clear" w:color="auto" w:fill="auto"/>
          <w:lang w:val="hr-HR" w:eastAsia="hr-HR" w:bidi="hr-HR"/>
        </w:rPr>
        <w:t xml:space="preserve">Hadrijanom; unatoč tomu, bilo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mnogo prelazaka na židovstvo u cijelom razdoblju. Međutim, uslijedilo je najodlučnije odbijanje kad je kršćanstvo postalo službe</w:t>
        <w:softHyphen/>
        <w:t>nom državnom religijom. Neprijateljsko drža</w:t>
        <w:softHyphen/>
        <w:t>nje kršćana iz poganstva prema matičnoj reli</w:t>
        <w:softHyphen/>
        <w:t>giji utjecalo jc i na antižidovsko zakonodav</w:t>
        <w:softHyphen/>
        <w:t xml:space="preserve">stvo Rimskoga Carstva od 315. godine (K. H. Rcngstorf/S. v. Kortzfleisch (Hrsg.), </w:t>
      </w:r>
      <w:r>
        <w:rPr>
          <w:rFonts w:ascii="Times New Roman" w:eastAsia="Times New Roman" w:hAnsi="Times New Roman" w:cs="Times New Roman"/>
          <w:i/>
          <w:iCs/>
          <w:color w:val="000000"/>
          <w:spacing w:val="0"/>
          <w:w w:val="100"/>
          <w:position w:val="0"/>
          <w:shd w:val="clear" w:color="auto" w:fill="auto"/>
          <w:lang w:val="hr-HR" w:eastAsia="hr-HR" w:bidi="hr-HR"/>
        </w:rPr>
        <w:t xml:space="preserve">Kirche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Synagoge </w:t>
      </w:r>
      <w:r>
        <w:rPr>
          <w:rFonts w:ascii="Times New Roman" w:eastAsia="Times New Roman" w:hAnsi="Times New Roman" w:cs="Times New Roman"/>
          <w:i/>
          <w:iCs/>
          <w:color w:val="000000"/>
          <w:spacing w:val="0"/>
          <w:w w:val="100"/>
          <w:position w:val="0"/>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1968, 145-174); ono jc prije</w:t>
        <w:softHyphen/>
        <w:t>tilo prozelitstvu sve strožim kaznama, pa je državna vlast time ograničila židovsku misiju.</w:t>
      </w:r>
    </w:p>
    <w:p>
      <w:pPr>
        <w:pStyle w:val="Style20"/>
        <w:keepNext w:val="0"/>
        <w:keepLines w:val="0"/>
        <w:widowControl w:val="0"/>
        <w:numPr>
          <w:ilvl w:val="0"/>
          <w:numId w:val="299"/>
        </w:numPr>
        <w:shd w:val="clear" w:color="auto" w:fill="auto"/>
        <w:tabs>
          <w:tab w:pos="25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 kako hi ga se stavilo pod okrilje šekine*: </w:t>
      </w:r>
      <w:r>
        <w:rPr>
          <w:rFonts w:ascii="Times New Roman" w:eastAsia="Times New Roman" w:hAnsi="Times New Roman" w:cs="Times New Roman"/>
          <w:color w:val="000000"/>
          <w:spacing w:val="0"/>
          <w:w w:val="100"/>
          <w:position w:val="0"/>
          <w:shd w:val="clear" w:color="auto" w:fill="auto"/>
          <w:lang w:val="hr-HR" w:eastAsia="hr-HR" w:bidi="hr-HR"/>
        </w:rPr>
        <w:t>Politički razlozi izvan njegova utjecaja, ne unutarnji religijski, priječili su židovskom na</w:t>
        <w:softHyphen/>
        <w:t>rodu da proširi svoju religijsko-nacionalnu za</w:t>
        <w:softHyphen/>
        <w:t>jednicu u kršćanskoj državi. No oni nisu htjeli izbrisati svijest o misijskoj dužnosti. Izjave ra</w:t>
        <w:softHyphen/>
        <w:t>bina koji su se suprotstavili bujanju prozeli</w:t>
        <w:softHyphen/>
        <w:t>tizma ostale su u manjini: »Prozeliti su za Izrael neugodni poput osipa« (b Jcvamot 47b; 109b; Nida 13b; Kidušin 70b). U tradiciji je jasno postavljeno težište na nastojanju mu</w:t>
        <w:softHyphen/>
        <w:t>draca da u svijetu šire spoznaju Boga koji je svoju volju objavio u Tori: »Poganinu, koji želi prijeći na židovstvo, pruža se ruka kako bi ga se stavilo pod okrilje šckinc« (Vajikra raba 11,1,2, usp. b Jevamot 46a; Žir ha-širim 1,3; Mehilta o Izl 18,27, Šifre Pnz 6,5); naime, »Sveti, hvaljen bio, ne smatra ni jedno stvo</w:t>
        <w:softHyphen/>
        <w:t xml:space="preserve">renje nevrijednim, i svakomu su u svako doba otvorena vrata, i tko god želi ući, može ući« (Šemot raba XIX,12,43; usp.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18,5). Prema tanaitskoj predaji, koja se osniva na učenju Rabi Jehude (oko 150), tj. prema važećoj </w:t>
      </w:r>
      <w:r>
        <w:rPr>
          <w:rFonts w:ascii="Times New Roman" w:eastAsia="Times New Roman" w:hAnsi="Times New Roman" w:cs="Times New Roman"/>
          <w:i/>
          <w:iCs/>
          <w:color w:val="000000"/>
          <w:spacing w:val="0"/>
          <w:w w:val="100"/>
          <w:position w:val="0"/>
          <w:shd w:val="clear" w:color="auto" w:fill="auto"/>
          <w:lang w:val="hr-HR" w:eastAsia="hr-HR" w:bidi="hr-HR"/>
        </w:rPr>
        <w:t>halahi,</w:t>
      </w:r>
      <w:r>
        <w:rPr>
          <w:rFonts w:ascii="Times New Roman" w:eastAsia="Times New Roman" w:hAnsi="Times New Roman" w:cs="Times New Roman"/>
          <w:color w:val="000000"/>
          <w:spacing w:val="0"/>
          <w:w w:val="100"/>
          <w:position w:val="0"/>
          <w:shd w:val="clear" w:color="auto" w:fill="auto"/>
          <w:lang w:val="hr-HR" w:eastAsia="hr-HR" w:bidi="hr-HR"/>
        </w:rPr>
        <w:t xml:space="preserve"> prozeliti kažu, poput rođenih Zidova, u molitvi Osamnaest blagoslova: »Naš Bože i Bože naših otaca, Bože Abrahamov, Bože Izakov i Bože Jakovljev« (I. Beraha). »Zašto? Zato što se (za Abrahama, Post 17,5) kaže: jer naroda mnogih ocem ja te postavih« (j Bikurim I,64a; usp. Tos. Berahot 1,13; b 13a). Slično moli zajednica u dnevnoj glavnoj molitvi ne samo za »pravedne«, »pobožne« i »oce kuće Izraelove«, nego i za prozelite </w:t>
      </w:r>
      <w:r>
        <w:rPr>
          <w:rFonts w:ascii="Times New Roman" w:eastAsia="Times New Roman" w:hAnsi="Times New Roman" w:cs="Times New Roman"/>
          <w:i/>
          <w:iCs/>
          <w:color w:val="000000"/>
          <w:spacing w:val="0"/>
          <w:w w:val="100"/>
          <w:position w:val="0"/>
          <w:shd w:val="clear" w:color="auto" w:fill="auto"/>
          <w:lang w:val="hr-HR" w:eastAsia="hr-HR" w:bidi="hr-HR"/>
        </w:rPr>
        <w:t>(gerej ha-cedek,</w:t>
      </w:r>
      <w:r>
        <w:rPr>
          <w:rFonts w:ascii="Times New Roman" w:eastAsia="Times New Roman" w:hAnsi="Times New Roman" w:cs="Times New Roman"/>
          <w:color w:val="000000"/>
          <w:spacing w:val="0"/>
          <w:w w:val="100"/>
          <w:position w:val="0"/>
          <w:shd w:val="clear" w:color="auto" w:fill="auto"/>
          <w:lang w:val="hr-HR" w:eastAsia="hr-HR" w:bidi="hr-HR"/>
        </w:rPr>
        <w:t xml:space="preserve"> »pravedne tudincc«) za milost Božju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XIII. Beraha). - Majmonid (1135-1204) je priznao prozelitu pravo da moli: »Bože naš i Bože naših otaca«, jer »Abraham je ... tvoj otac«; on upozorava na dužnost Židova da </w:t>
      </w:r>
      <w:r>
        <w:rPr>
          <w:rFonts w:ascii="Times New Roman" w:eastAsia="Times New Roman" w:hAnsi="Times New Roman" w:cs="Times New Roman"/>
          <w:i/>
          <w:iCs/>
          <w:color w:val="000000"/>
          <w:spacing w:val="0"/>
          <w:w w:val="100"/>
          <w:position w:val="0"/>
          <w:shd w:val="clear" w:color="auto" w:fill="auto"/>
          <w:lang w:val="hr-HR" w:eastAsia="hr-HR" w:bidi="hr-HR"/>
        </w:rPr>
        <w:t>poštuje</w:t>
      </w:r>
      <w:r>
        <w:rPr>
          <w:rFonts w:ascii="Times New Roman" w:eastAsia="Times New Roman" w:hAnsi="Times New Roman" w:cs="Times New Roman"/>
          <w:color w:val="000000"/>
          <w:spacing w:val="0"/>
          <w:w w:val="100"/>
          <w:position w:val="0"/>
          <w:shd w:val="clear" w:color="auto" w:fill="auto"/>
          <w:lang w:val="hr-HR" w:eastAsia="hr-HR" w:bidi="hr-HR"/>
        </w:rPr>
        <w:t xml:space="preserve"> oca i majku, ali da od sveg srca </w:t>
      </w:r>
      <w:r>
        <w:rPr>
          <w:rFonts w:ascii="Times New Roman" w:eastAsia="Times New Roman" w:hAnsi="Times New Roman" w:cs="Times New Roman"/>
          <w:i/>
          <w:iCs/>
          <w:color w:val="000000"/>
          <w:spacing w:val="0"/>
          <w:w w:val="100"/>
          <w:position w:val="0"/>
          <w:shd w:val="clear" w:color="auto" w:fill="auto"/>
          <w:lang w:val="hr-HR" w:eastAsia="hr-HR" w:bidi="hr-HR"/>
        </w:rPr>
        <w:t>ljubi</w:t>
      </w:r>
      <w:r>
        <w:rPr>
          <w:rFonts w:ascii="Times New Roman" w:eastAsia="Times New Roman" w:hAnsi="Times New Roman" w:cs="Times New Roman"/>
          <w:color w:val="000000"/>
          <w:spacing w:val="0"/>
          <w:w w:val="100"/>
          <w:position w:val="0"/>
          <w:shd w:val="clear" w:color="auto" w:fill="auto"/>
          <w:lang w:val="hr-HR" w:eastAsia="hr-HR" w:bidi="hr-HR"/>
        </w:rPr>
        <w:t xml:space="preserve"> prozelite jer ih Bog ljubi, te nastavlja: »Gospodin te ne zove glupanom </w:t>
      </w:r>
      <w:r>
        <w:rPr>
          <w:rFonts w:ascii="Times New Roman" w:eastAsia="Times New Roman" w:hAnsi="Times New Roman" w:cs="Times New Roman"/>
          <w:i/>
          <w:iCs/>
          <w:color w:val="000000"/>
          <w:spacing w:val="0"/>
          <w:w w:val="100"/>
          <w:position w:val="0"/>
          <w:shd w:val="clear" w:color="auto" w:fill="auto"/>
          <w:lang w:val="hr-HR" w:eastAsia="hr-HR" w:bidi="hr-HR"/>
        </w:rPr>
        <w:t>(kesil), već</w:t>
      </w:r>
      <w:r>
        <w:rPr>
          <w:rFonts w:ascii="Times New Roman" w:eastAsia="Times New Roman" w:hAnsi="Times New Roman" w:cs="Times New Roman"/>
          <w:color w:val="000000"/>
          <w:spacing w:val="0"/>
          <w:w w:val="100"/>
          <w:position w:val="0"/>
          <w:shd w:val="clear" w:color="auto" w:fill="auto"/>
          <w:lang w:val="hr-HR" w:eastAsia="hr-HR" w:bidi="hr-HR"/>
        </w:rPr>
        <w:t xml:space="preserve"> pametnim </w:t>
      </w:r>
      <w:r>
        <w:rPr>
          <w:rFonts w:ascii="Times New Roman" w:eastAsia="Times New Roman" w:hAnsi="Times New Roman" w:cs="Times New Roman"/>
          <w:i/>
          <w:iCs/>
          <w:color w:val="000000"/>
          <w:spacing w:val="0"/>
          <w:w w:val="100"/>
          <w:position w:val="0"/>
          <w:shd w:val="clear" w:color="auto" w:fill="auto"/>
          <w:lang w:val="hr-HR" w:eastAsia="hr-HR" w:bidi="hr-HR"/>
        </w:rPr>
        <w:t>(maski!)</w:t>
      </w:r>
      <w:r>
        <w:rPr>
          <w:rFonts w:ascii="Times New Roman" w:eastAsia="Times New Roman" w:hAnsi="Times New Roman" w:cs="Times New Roman"/>
          <w:color w:val="000000"/>
          <w:spacing w:val="0"/>
          <w:w w:val="100"/>
          <w:position w:val="0"/>
          <w:shd w:val="clear" w:color="auto" w:fill="auto"/>
          <w:lang w:val="hr-HR" w:eastAsia="hr-HR" w:bidi="hr-HR"/>
        </w:rPr>
        <w:t xml:space="preserve"> i razboritim, mudrim i onim koji hodi pravim putem, uče</w:t>
        <w:softHyphen/>
        <w:t>nikom Abrahamovim, našim ocem« (Pisma prozelitu Obadji).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Židovstvu je odustajanje od aktivne misije bi</w:t>
        <w:softHyphen/>
        <w:t xml:space="preserve">lo razmjerno lako, kako objašnjava činjenica da je ono apsolutna religija samo za židovski narod, a ne za druge narode. No upravo u ograničenosti i strogosti posebnoga životnog puta </w:t>
      </w:r>
      <w:r>
        <w:rPr>
          <w:rFonts w:ascii="Times New Roman" w:eastAsia="Times New Roman" w:hAnsi="Times New Roman" w:cs="Times New Roman"/>
          <w:i/>
          <w:iCs/>
          <w:color w:val="000000"/>
          <w:spacing w:val="0"/>
          <w:w w:val="100"/>
          <w:position w:val="0"/>
          <w:shd w:val="clear" w:color="auto" w:fill="auto"/>
          <w:lang w:val="hr-HR" w:eastAsia="hr-HR" w:bidi="hr-HR"/>
        </w:rPr>
        <w:t>(halaha),</w:t>
      </w:r>
      <w:r>
        <w:rPr>
          <w:rFonts w:ascii="Times New Roman" w:eastAsia="Times New Roman" w:hAnsi="Times New Roman" w:cs="Times New Roman"/>
          <w:color w:val="000000"/>
          <w:spacing w:val="0"/>
          <w:w w:val="100"/>
          <w:position w:val="0"/>
          <w:shd w:val="clear" w:color="auto" w:fill="auto"/>
          <w:lang w:val="hr-HR" w:eastAsia="hr-HR" w:bidi="hr-HR"/>
        </w:rPr>
        <w:t xml:space="preserve"> koji ga poput zida odvaja od drugih religija i naroda (Mehilta o Izl 15,2; Pesikta de-Rav Kahana 139b), židovstvo jc stvo</w:t>
        <w:softHyphen/>
        <w:t>rilo prostor slobode za »pravednike«, odnosno »pobožnike medu narodima svijeta« koji su, prema židovskom učenju, podobni »sudjelo</w:t>
        <w:softHyphen/>
        <w:t xml:space="preserve">vati u svijetu koji dolazi«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XIII,2; Majmonid, Komentar Mišne na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X,2). Štiteći i poštujući svoju predaju, židovstvo je sačuvalo i religiju za čovječan</w:t>
        <w:softHyphen/>
        <w:t>stvo. Tu spoznaju oblikovali su na razne na</w:t>
        <w:softHyphen/>
        <w:t>čine i filozofi, pisci i učitelji kasnijega židov</w:t>
        <w:softHyphen/>
        <w:t>stva.</w:t>
      </w:r>
    </w:p>
    <w:p>
      <w:pPr>
        <w:pStyle w:val="Style56"/>
        <w:keepNext w:val="0"/>
        <w:keepLines w:val="0"/>
        <w:widowControl w:val="0"/>
        <w:shd w:val="clear" w:color="auto" w:fill="auto"/>
        <w:tabs>
          <w:tab w:pos="2443" w:val="left"/>
        </w:tabs>
        <w:bidi w:val="0"/>
        <w:spacing w:before="0" w:after="260" w:line="240" w:lineRule="auto"/>
        <w:ind w:left="0" w:right="0" w:firstLine="0"/>
        <w:jc w:val="both"/>
      </w:pPr>
      <w:r>
        <w:rPr>
          <w:color w:val="000000"/>
          <w:spacing w:val="0"/>
          <w:w w:val="100"/>
          <w:position w:val="0"/>
          <w:shd w:val="clear" w:color="auto" w:fill="auto"/>
          <w:lang w:val="hr-HR" w:eastAsia="hr-HR" w:bidi="hr-HR"/>
        </w:rPr>
        <w:t xml:space="preserve">Lit.: D.M. </w:t>
      </w:r>
      <w:r>
        <w:rPr>
          <w:color w:val="000000"/>
          <w:spacing w:val="0"/>
          <w:w w:val="100"/>
          <w:position w:val="0"/>
          <w:shd w:val="clear" w:color="auto" w:fill="auto"/>
        </w:rPr>
        <w:t xml:space="preserve">Eichhorn (Hnig), </w:t>
      </w:r>
      <w:r>
        <w:rPr>
          <w:i/>
          <w:iCs/>
          <w:color w:val="000000"/>
          <w:spacing w:val="0"/>
          <w:w w:val="100"/>
          <w:position w:val="0"/>
          <w:shd w:val="clear" w:color="auto" w:fill="auto"/>
        </w:rPr>
        <w:t>Conversion to Judaism,</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1965; 11. H. Bcn-Sasson (Hrsg.), </w:t>
      </w:r>
      <w:r>
        <w:rPr>
          <w:i/>
          <w:iCs/>
          <w:color w:val="000000"/>
          <w:spacing w:val="0"/>
          <w:w w:val="100"/>
          <w:position w:val="0"/>
          <w:shd w:val="clear" w:color="auto" w:fill="auto"/>
          <w:lang w:val="hr-HR" w:eastAsia="hr-HR" w:bidi="hr-HR"/>
        </w:rPr>
        <w:t xml:space="preserve">Geschichte des </w:t>
      </w:r>
      <w:r>
        <w:rPr>
          <w:i/>
          <w:iCs/>
          <w:color w:val="000000"/>
          <w:spacing w:val="0"/>
          <w:w w:val="100"/>
          <w:position w:val="0"/>
          <w:shd w:val="clear" w:color="auto" w:fill="auto"/>
        </w:rPr>
        <w:t xml:space="preserve">judischen Yokes </w:t>
      </w:r>
      <w:r>
        <w:rPr>
          <w:i/>
          <w:iCs/>
          <w:color w:val="000000"/>
          <w:spacing w:val="0"/>
          <w:w w:val="100"/>
          <w:position w:val="0"/>
          <w:shd w:val="clear" w:color="auto" w:fill="auto"/>
          <w:lang w:val="hr-HR" w:eastAsia="hr-HR" w:bidi="hr-HR"/>
        </w:rPr>
        <w:t xml:space="preserve">l, </w:t>
      </w:r>
      <w:r>
        <w:rPr>
          <w:color w:val="000000"/>
          <w:spacing w:val="0"/>
          <w:w w:val="100"/>
          <w:position w:val="0"/>
          <w:shd w:val="clear" w:color="auto" w:fill="auto"/>
          <w:lang w:val="hr-HR" w:eastAsia="hr-HR" w:bidi="hr-HR"/>
        </w:rPr>
        <w:t xml:space="preserve">1978, 253 i d.; 428 i d.; 447 i d.; W. Boussct/H. Grcssmann, </w:t>
      </w:r>
      <w:r>
        <w:rPr>
          <w:i/>
          <w:iCs/>
          <w:color w:val="000000"/>
          <w:spacing w:val="0"/>
          <w:w w:val="100"/>
          <w:position w:val="0"/>
          <w:shd w:val="clear" w:color="auto" w:fill="auto"/>
        </w:rPr>
        <w:t xml:space="preserve">Die Religion des </w:t>
      </w:r>
      <w:r>
        <w:rPr>
          <w:i/>
          <w:iCs/>
          <w:color w:val="000000"/>
          <w:spacing w:val="0"/>
          <w:w w:val="100"/>
          <w:position w:val="0"/>
          <w:shd w:val="clear" w:color="auto" w:fill="auto"/>
          <w:lang w:val="hr-HR" w:eastAsia="hr-HR" w:bidi="hr-HR"/>
        </w:rPr>
        <w:t xml:space="preserve">Judeniums im spdtheUenistischen Zdtalter,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1966, 76 i d.;423 i d.;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Lehren des Judeniums III,</w:t>
      </w:r>
      <w:r>
        <w:rPr>
          <w:color w:val="000000"/>
          <w:spacing w:val="0"/>
          <w:w w:val="100"/>
          <w:position w:val="0"/>
          <w:shd w:val="clear" w:color="auto" w:fill="auto"/>
          <w:lang w:val="hr-HR" w:eastAsia="hr-HR" w:bidi="hr-HR"/>
        </w:rPr>
        <w:t xml:space="preserve"> 1929, 339 i d.: S. Safrai, </w:t>
      </w:r>
      <w:r>
        <w:rPr>
          <w:i/>
          <w:iCs/>
          <w:color w:val="000000"/>
          <w:spacing w:val="0"/>
          <w:w w:val="100"/>
          <w:position w:val="0"/>
          <w:shd w:val="clear" w:color="auto" w:fill="auto"/>
          <w:lang w:val="hr-HR" w:eastAsia="hr-HR" w:bidi="hr-HR"/>
        </w:rPr>
        <w:t xml:space="preserve">Das jiidische Volk im Zeitalter des Zeiten </w:t>
      </w:r>
      <w:r>
        <w:rPr>
          <w:i/>
          <w:iCs/>
          <w:color w:val="000000"/>
          <w:spacing w:val="0"/>
          <w:w w:val="100"/>
          <w:position w:val="0"/>
          <w:shd w:val="clear" w:color="auto" w:fill="auto"/>
        </w:rPr>
        <w:t>Tempels,</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1980, 8 i d.; 25 i d.; P. </w:t>
      </w:r>
      <w:r>
        <w:rPr>
          <w:color w:val="000000"/>
          <w:spacing w:val="0"/>
          <w:w w:val="100"/>
          <w:position w:val="0"/>
          <w:shd w:val="clear" w:color="auto" w:fill="auto"/>
        </w:rPr>
        <w:t xml:space="preserve">Schafer, </w:t>
      </w:r>
      <w:r>
        <w:rPr>
          <w:i/>
          <w:iCs/>
          <w:color w:val="000000"/>
          <w:spacing w:val="0"/>
          <w:w w:val="100"/>
          <w:position w:val="0"/>
          <w:shd w:val="clear" w:color="auto" w:fill="auto"/>
          <w:lang w:val="hr-HR" w:eastAsia="hr-HR" w:bidi="hr-HR"/>
        </w:rPr>
        <w:t xml:space="preserve">Geschichte der Ju- </w:t>
      </w:r>
      <w:r>
        <w:rPr>
          <w:i/>
          <w:iCs/>
          <w:color w:val="000000"/>
          <w:spacing w:val="0"/>
          <w:w w:val="100"/>
          <w:position w:val="0"/>
          <w:shd w:val="clear" w:color="auto" w:fill="auto"/>
        </w:rPr>
        <w:t xml:space="preserve">den in </w:t>
      </w:r>
      <w:r>
        <w:rPr>
          <w:i/>
          <w:iCs/>
          <w:color w:val="000000"/>
          <w:spacing w:val="0"/>
          <w:w w:val="100"/>
          <w:position w:val="0"/>
          <w:shd w:val="clear" w:color="auto" w:fill="auto"/>
          <w:lang w:val="hr-HR" w:eastAsia="hr-HR" w:bidi="hr-HR"/>
        </w:rPr>
        <w:t>der Antike,</w:t>
      </w:r>
      <w:r>
        <w:rPr>
          <w:color w:val="000000"/>
          <w:spacing w:val="0"/>
          <w:w w:val="100"/>
          <w:position w:val="0"/>
          <w:shd w:val="clear" w:color="auto" w:fill="auto"/>
          <w:lang w:val="hr-HR" w:eastAsia="hr-HR" w:bidi="hr-HR"/>
        </w:rPr>
        <w:t xml:space="preserve"> 1983, 160 i d.; 190 i </w:t>
      </w:r>
      <w:r>
        <w:rPr>
          <w:i/>
          <w:iCs/>
          <w:color w:val="000000"/>
          <w:spacing w:val="0"/>
          <w:w w:val="100"/>
          <w:position w:val="0"/>
          <w:shd w:val="clear" w:color="auto" w:fill="auto"/>
          <w:lang w:val="hr-HR" w:eastAsia="hr-HR" w:bidi="hr-HR"/>
        </w:rPr>
        <w:t xml:space="preserve">d.,Judisches Lenkon IVU, </w:t>
      </w:r>
      <w:r>
        <w:rPr>
          <w:i/>
          <w:iCs/>
          <w:color w:val="000000"/>
          <w:spacing w:val="0"/>
          <w:w w:val="100"/>
          <w:position w:val="0"/>
          <w:shd w:val="clear" w:color="auto" w:fill="auto"/>
        </w:rPr>
        <w:t>IWX1,</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236-39.1146-51; </w:t>
      </w:r>
      <w:r>
        <w:rPr>
          <w:i/>
          <w:iCs/>
          <w:color w:val="000000"/>
          <w:spacing w:val="0"/>
          <w:w w:val="100"/>
          <w:position w:val="0"/>
          <w:shd w:val="clear" w:color="auto" w:fill="auto"/>
        </w:rPr>
        <w:t xml:space="preserve">Encyclopaedia Judaica </w:t>
      </w:r>
      <w:r>
        <w:rPr>
          <w:i/>
          <w:iCs/>
          <w:color w:val="000000"/>
          <w:spacing w:val="0"/>
          <w:w w:val="100"/>
          <w:position w:val="0"/>
          <w:shd w:val="clear" w:color="auto" w:fill="auto"/>
          <w:lang w:val="hr-HR" w:eastAsia="hr-HR" w:bidi="hr-HR"/>
        </w:rPr>
        <w:t xml:space="preserve">13, </w:t>
      </w:r>
      <w:r>
        <w:rPr>
          <w:color w:val="000000"/>
          <w:spacing w:val="0"/>
          <w:w w:val="100"/>
          <w:position w:val="0"/>
          <w:shd w:val="clear" w:color="auto" w:fill="auto"/>
          <w:lang w:val="hr-HR" w:eastAsia="hr-HR" w:bidi="hr-HR"/>
        </w:rPr>
        <w:t>*1978, 1182-93.</w:t>
        <w:tab/>
        <w:t>D.VEntK</w:t>
      </w:r>
    </w:p>
    <w:p>
      <w:pPr>
        <w:pStyle w:val="Style63"/>
        <w:keepNext/>
        <w:keepLines/>
        <w:widowControl w:val="0"/>
        <w:numPr>
          <w:ilvl w:val="0"/>
          <w:numId w:val="293"/>
        </w:numPr>
        <w:shd w:val="clear" w:color="auto" w:fill="auto"/>
        <w:tabs>
          <w:tab w:pos="255" w:val="left"/>
        </w:tabs>
        <w:bidi w:val="0"/>
        <w:spacing w:before="0" w:after="100"/>
        <w:ind w:left="0" w:right="0" w:firstLine="0"/>
        <w:jc w:val="both"/>
      </w:pPr>
      <w:bookmarkStart w:id="192" w:name="bookmark19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92"/>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Apostoli su dobili nalog od uskrsnuloga Go</w:t>
        <w:softHyphen/>
        <w:t>spodina: »Dana mi je sva vlast, nebeska i ze</w:t>
        <w:softHyphen/>
        <w:t>maljska. Zato idile i učinite sve narode učeni</w:t>
        <w:softHyphen/>
        <w:t>cima mojim! Krstite ih u ime Oca i Sina i Duha Svetoga! Učite ih da vrše sve što sam vam zapovjedio! Ja sam s vama u sve vrijeme do svršetka svijeta« (Mt 28,18-20). - »Iditc po svem svijetu i propovijedajte radosnu vijest svakom stvorenju! Tko bude vjerovao i pokrs</w:t>
        <w:softHyphen/>
        <w:t>tio se, spasit će se; tko ne bude vjerovao, osu- dit će se« (Mk 16,15-16).</w:t>
      </w:r>
    </w:p>
    <w:p>
      <w:pPr>
        <w:pStyle w:val="Style20"/>
        <w:keepNext w:val="0"/>
        <w:keepLines w:val="0"/>
        <w:widowControl w:val="0"/>
        <w:shd w:val="clear" w:color="auto" w:fill="auto"/>
        <w:bidi w:val="0"/>
        <w:spacing w:before="0" w:after="0" w:line="240" w:lineRule="auto"/>
        <w:ind w:left="0" w:right="0" w:firstLine="0"/>
        <w:jc w:val="both"/>
        <w:sectPr>
          <w:headerReference w:type="default" r:id="rId791"/>
          <w:footerReference w:type="default" r:id="rId792"/>
          <w:headerReference w:type="even" r:id="rId793"/>
          <w:footerReference w:type="even" r:id="rId794"/>
          <w:footnotePr>
            <w:pos w:val="pageBottom"/>
            <w:numFmt w:val="decimal"/>
            <w:numRestart w:val="continuous"/>
            <w15:footnoteColumns w:val="1"/>
          </w:footnotePr>
          <w:pgSz w:w="6816" w:h="11006"/>
          <w:pgMar w:top="856" w:left="188" w:right="191" w:bottom="266" w:header="0" w:footer="3" w:gutter="0"/>
          <w:pgNumType w:start="269"/>
          <w:cols w:num="2" w:space="186"/>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a) Trinitamo utemeljenje misije na Drugom va</w:t>
        <w:softHyphen/>
        <w:t>tikanskom koncilu:</w:t>
      </w:r>
      <w:r>
        <w:rPr>
          <w:rFonts w:ascii="Times New Roman" w:eastAsia="Times New Roman" w:hAnsi="Times New Roman" w:cs="Times New Roman"/>
          <w:color w:val="000000"/>
          <w:spacing w:val="0"/>
          <w:w w:val="100"/>
          <w:position w:val="0"/>
          <w:shd w:val="clear" w:color="auto" w:fill="auto"/>
          <w:lang w:val="hr-HR" w:eastAsia="hr-HR" w:bidi="hr-HR"/>
        </w:rPr>
        <w:t xml:space="preserve"> M. ne podliježe slobod</w:t>
        <w:softHyphen/>
        <w:t>nom ljudskom raspoloženju nego ima svoj ob</w:t>
        <w:softHyphen/>
        <w:t>jektivan temelj u božanskoj ekonomiji spase</w:t>
        <w:softHyphen/>
        <w:t>nja. Misionarska djelatnost ima temelj u srži Crkve, a ova u srži utjelovljenja, a ovo u srži Trojedinoga Boga. Drugi vatikanski koncil uči: »Crkva u hodu jest ‘misionarska’ po svojoj na</w:t>
        <w:softHyphen/>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ravi jer potječe iz slanja Sina i slanja Duha Svetoga po odluci Boga Oca« (Dekret o mi- sijskoj djelatnosti Crkve, </w:t>
      </w:r>
      <w:r>
        <w:rPr>
          <w:rFonts w:ascii="Times New Roman" w:eastAsia="Times New Roman" w:hAnsi="Times New Roman" w:cs="Times New Roman"/>
          <w:i/>
          <w:iCs/>
          <w:color w:val="000000"/>
          <w:spacing w:val="0"/>
          <w:w w:val="100"/>
          <w:position w:val="0"/>
          <w:shd w:val="clear" w:color="auto" w:fill="auto"/>
          <w:lang w:val="hr-HR" w:eastAsia="hr-HR" w:bidi="hr-HR"/>
        </w:rPr>
        <w:t>Ad genles</w:t>
      </w:r>
      <w:r>
        <w:rPr>
          <w:rFonts w:ascii="Times New Roman" w:eastAsia="Times New Roman" w:hAnsi="Times New Roman" w:cs="Times New Roman"/>
          <w:color w:val="000000"/>
          <w:spacing w:val="0"/>
          <w:w w:val="100"/>
          <w:position w:val="0"/>
          <w:shd w:val="clear" w:color="auto" w:fill="auto"/>
          <w:lang w:val="hr-HR" w:eastAsia="hr-HR" w:bidi="hr-HR"/>
        </w:rPr>
        <w:t xml:space="preserve"> 1,2). Bog sam vidljivo ispunjava svoj plan spasenja u po</w:t>
        <w:softHyphen/>
        <w:t xml:space="preserve">vijesti; m. Crkve je pritom kao instrument koji služi </w:t>
      </w:r>
      <w:r>
        <w:rPr>
          <w:rFonts w:ascii="Times New Roman" w:eastAsia="Times New Roman" w:hAnsi="Times New Roman" w:cs="Times New Roman"/>
          <w:i/>
          <w:iCs/>
          <w:color w:val="000000"/>
          <w:spacing w:val="0"/>
          <w:w w:val="100"/>
          <w:position w:val="0"/>
          <w:shd w:val="clear" w:color="auto" w:fill="auto"/>
          <w:lang w:val="hr-HR" w:eastAsia="hr-HR" w:bidi="hr-HR"/>
        </w:rPr>
        <w:t>(usp. Ad gen/es</w:t>
      </w:r>
      <w:r>
        <w:rPr>
          <w:rFonts w:ascii="Times New Roman" w:eastAsia="Times New Roman" w:hAnsi="Times New Roman" w:cs="Times New Roman"/>
          <w:color w:val="000000"/>
          <w:spacing w:val="0"/>
          <w:w w:val="100"/>
          <w:position w:val="0"/>
          <w:shd w:val="clear" w:color="auto" w:fill="auto"/>
          <w:lang w:val="hr-HR" w:eastAsia="hr-HR" w:bidi="hr-HR"/>
        </w:rPr>
        <w:t xml:space="preserve"> 1,9). Kao što m. svoj izvor i nakanu izvodi od Trojedinoga Boga, tako je ona i usmjerena sasvim prema njemu kao posljednjem cilju svih stvari: »Zato Crkva moli i radi da cijeli svijet uđe u Božji narod, u Gospodinovo tijelo, u hram Duha Svetoga i da sc u Kristu, glavi svih, dade slava i čast Stvoritelju i Ocu svega </w:t>
      </w:r>
      <w:r>
        <w:rPr>
          <w:rFonts w:ascii="Times New Roman" w:eastAsia="Times New Roman" w:hAnsi="Times New Roman" w:cs="Times New Roman"/>
          <w:i/>
          <w:iCs/>
          <w:color w:val="000000"/>
          <w:spacing w:val="0"/>
          <w:w w:val="100"/>
          <w:position w:val="0"/>
          <w:shd w:val="clear" w:color="auto" w:fill="auto"/>
          <w:lang w:val="hr-HR" w:eastAsia="hr-HR" w:bidi="hr-HR"/>
        </w:rPr>
        <w:t xml:space="preserve">(Lumen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gentium </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LG 2,17; usp. 2,13). U središtu, dakle, ne stoji čo</w:t>
        <w:softHyphen/>
        <w:t>vjek nego Bog, ne čovjekova djelatnost nego Božje postupanje, ne čovjekovo spasenje nego Božja slava. No nigdje nije čovjek ni njegovo spasenje bolje istaknuto nego u božanskoj ekonomiji spasenja koja izvire iz »izvorne lju</w:t>
        <w:softHyphen/>
        <w:t xml:space="preserve">bavi« Božje </w:t>
      </w:r>
      <w:r>
        <w:rPr>
          <w:rFonts w:ascii="Times New Roman" w:eastAsia="Times New Roman" w:hAnsi="Times New Roman" w:cs="Times New Roman"/>
          <w:i/>
          <w:iCs/>
          <w:color w:val="000000"/>
          <w:spacing w:val="0"/>
          <w:w w:val="100"/>
          <w:position w:val="0"/>
          <w:shd w:val="clear" w:color="auto" w:fill="auto"/>
          <w:lang w:val="hr-HR" w:eastAsia="hr-HR" w:bidi="hr-HR"/>
        </w:rPr>
        <w:t>(Ad genles</w:t>
      </w:r>
      <w:r>
        <w:rPr>
          <w:rFonts w:ascii="Times New Roman" w:eastAsia="Times New Roman" w:hAnsi="Times New Roman" w:cs="Times New Roman"/>
          <w:color w:val="000000"/>
          <w:spacing w:val="0"/>
          <w:w w:val="100"/>
          <w:position w:val="0"/>
          <w:shd w:val="clear" w:color="auto" w:fill="auto"/>
          <w:lang w:val="hr-HR" w:eastAsia="hr-HR" w:bidi="hr-HR"/>
        </w:rPr>
        <w:t xml:space="preserve"> 1,2).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Danas postoji ekumenska suglasnost da se m. treba tumačiti i shvačati samo biblijsko-tco- loški, dakle trinitamo (usp. uz sljedeće: H. J. </w:t>
      </w:r>
      <w:r>
        <w:rPr>
          <w:rFonts w:ascii="Times New Roman" w:eastAsia="Times New Roman" w:hAnsi="Times New Roman" w:cs="Times New Roman"/>
          <w:color w:val="000000"/>
          <w:spacing w:val="0"/>
          <w:w w:val="100"/>
          <w:position w:val="0"/>
          <w:shd w:val="clear" w:color="auto" w:fill="auto"/>
          <w:lang w:val="en-US" w:eastAsia="en-US" w:bidi="en-US"/>
        </w:rPr>
        <w:t xml:space="preserve">Margull, Christliche Mission, </w:t>
      </w:r>
      <w:r>
        <w:rPr>
          <w:rFonts w:ascii="Times New Roman" w:eastAsia="Times New Roman" w:hAnsi="Times New Roman" w:cs="Times New Roman"/>
          <w:color w:val="000000"/>
          <w:spacing w:val="0"/>
          <w:w w:val="100"/>
          <w:position w:val="0"/>
          <w:shd w:val="clear" w:color="auto" w:fill="auto"/>
          <w:lang w:val="hr-HR" w:eastAsia="hr-HR" w:bidi="hr-HR"/>
        </w:rPr>
        <w:t>u: RGG IV, 1960, 973-980).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h) M. je vlastita Božja stvar, Missio Dei:</w:t>
      </w:r>
      <w:r>
        <w:rPr>
          <w:rFonts w:ascii="Times New Roman" w:eastAsia="Times New Roman" w:hAnsi="Times New Roman" w:cs="Times New Roman"/>
          <w:color w:val="000000"/>
          <w:spacing w:val="0"/>
          <w:w w:val="100"/>
          <w:position w:val="0"/>
          <w:shd w:val="clear" w:color="auto" w:fill="auto"/>
          <w:lang w:val="hr-HR" w:eastAsia="hr-HR" w:bidi="hr-HR"/>
        </w:rPr>
        <w:t xml:space="preserve"> U bib</w:t>
        <w:softHyphen/>
        <w:t>lijskoj objavi Bog sam kao Stvoritelj svijeta i Gospodar povijesti suvereno upravlja tijekom povijesti. Navijcštanjc silnih Božjih djela u po</w:t>
        <w:softHyphen/>
        <w:t>vijesti bitni je znak »biblijske povijesti«. Drugi je znak »biblijske povijesti« Božja samoobjava u povijesti. Povijest spasenja je povijest ob</w:t>
        <w:softHyphen/>
        <w:t>jave, a svoj vrhunac ima u Božjem samopriop- čavanju njegova unutartrojstvenog božanskog života. U povijesti Izraela izabranost, Savez, obećanje i poslanje imaju jedan cilj: »Da spo</w:t>
        <w:softHyphen/>
        <w:t>znaju da sam ja Jahve«. Već u SZ Božja sa</w:t>
        <w:softHyphen/>
        <w:t>moobjava dopire izvan Izraela; ona se javlja kao proročko očekivanje svršetka pred uni</w:t>
        <w:softHyphen/>
        <w:t>verzumom naroda svijeta: Očekivao sc skup naroda i njihovo uključivanje u Božji narod, konačni sud nad Izraelom i narodima, kra</w:t>
        <w:softHyphen/>
        <w:t>ljevstvo Božje kao konačno Božje gospodstvo, novi Savez, hodočašće naroda na Sion i tamo Božja epifanija pred očima svih naroda. Spa</w:t>
        <w:softHyphen/>
        <w:t>senje Izraela i naroda ne ovisi samo o silnom Božjem povijesnom djelovanju nego je Bog i spasenje čovječanstva. Izrael igra pritom je</w:t>
        <w:softHyphen/>
        <w:t>dinstvenu ulogu kao izabrani narod, ali je ipak samo svjedok i primatelj.</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Proročka očekivanja SZ nalaze u NZ, u po</w:t>
        <w:softHyphen/>
        <w:t xml:space="preserve">slanju Isusa Krista, svoje ispunjenje: Bog sam </w:t>
      </w:r>
      <w:r>
        <w:rPr>
          <w:rFonts w:ascii="Times New Roman" w:eastAsia="Times New Roman" w:hAnsi="Times New Roman" w:cs="Times New Roman"/>
          <w:color w:val="000000"/>
          <w:spacing w:val="0"/>
          <w:w w:val="100"/>
          <w:position w:val="0"/>
          <w:shd w:val="clear" w:color="auto" w:fill="auto"/>
          <w:lang w:val="hr-HR" w:eastAsia="hr-HR" w:bidi="hr-HR"/>
        </w:rPr>
        <w:t xml:space="preserve">ulazi putem </w:t>
      </w:r>
      <w:r>
        <w:rPr>
          <w:rFonts w:ascii="Times New Roman" w:eastAsia="Times New Roman" w:hAnsi="Times New Roman" w:cs="Times New Roman"/>
          <w:i/>
          <w:iCs/>
          <w:color w:val="000000"/>
          <w:spacing w:val="0"/>
          <w:w w:val="100"/>
          <w:position w:val="0"/>
          <w:shd w:val="clear" w:color="auto" w:fill="auto"/>
          <w:lang w:val="hr-HR" w:eastAsia="hr-HR" w:bidi="hr-HR"/>
        </w:rPr>
        <w:t>missio</w:t>
      </w:r>
      <w:r>
        <w:rPr>
          <w:rFonts w:ascii="Times New Roman" w:eastAsia="Times New Roman" w:hAnsi="Times New Roman" w:cs="Times New Roman"/>
          <w:color w:val="000000"/>
          <w:spacing w:val="0"/>
          <w:w w:val="100"/>
          <w:position w:val="0"/>
          <w:shd w:val="clear" w:color="auto" w:fill="auto"/>
          <w:lang w:val="hr-HR" w:eastAsia="hr-HR" w:bidi="hr-HR"/>
        </w:rPr>
        <w:t xml:space="preserve"> Sina »na nov i konačni na</w:t>
        <w:softHyphen/>
        <w:t xml:space="preserve">čin u ljudsku povijest čovječanstva«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(Adgenles </w:t>
      </w:r>
      <w:r>
        <w:rPr>
          <w:rFonts w:ascii="Times New Roman" w:eastAsia="Times New Roman" w:hAnsi="Times New Roman" w:cs="Times New Roman"/>
          <w:color w:val="000000"/>
          <w:spacing w:val="0"/>
          <w:w w:val="100"/>
          <w:position w:val="0"/>
          <w:shd w:val="clear" w:color="auto" w:fill="auto"/>
          <w:lang w:val="hr-HR" w:eastAsia="hr-HR" w:bidi="hr-HR"/>
        </w:rPr>
        <w:t>1,3). Time je Božje povijesno spasenjsko dje</w:t>
        <w:softHyphen/>
        <w:t>lovanje postalo Missio Dei, čitavo kristološko spasenjsko događanje obuhvaćeno od čovje</w:t>
        <w:softHyphen/>
        <w:t>kova postanka do paruzije i karakterizirano kao božansko djelovanje. Kristov križ i Božji sud nad Izraelom i narodima, krv »za mno</w:t>
        <w:softHyphen/>
        <w:t>ge«, novi Savez s čovječanstvom, utjelovljena Božja epifanija pred svim narodima, otkup</w:t>
        <w:softHyphen/>
        <w:t>ljenje svijeta. Na križu i uskrsnućem događa sc cshatološka Božja vladavina za cijelu eku</w:t>
        <w:softHyphen/>
        <w:t xml:space="preserve">menu. Iz križa i uskrsnuća kao otkupljujućega spasenjskog čina »za sve« nužno slijedi misija kao eshatološko okupljanje Božjeg naroda. Ovo okupljanje je Missio Dei: Slanjem Duha Svetoga koji izlazi od Oca i Sina, uzdignut Gospodin je sam nositelj te Missio, cshato- loški je događaj Krista koji se zbiva od križa do paruzije. Kao što je </w:t>
      </w:r>
      <w:r>
        <w:rPr>
          <w:rFonts w:ascii="Times New Roman" w:eastAsia="Times New Roman" w:hAnsi="Times New Roman" w:cs="Times New Roman"/>
          <w:color w:val="000000"/>
          <w:spacing w:val="0"/>
          <w:w w:val="100"/>
          <w:position w:val="0"/>
          <w:shd w:val="clear" w:color="auto" w:fill="auto"/>
          <w:lang w:val="en-US" w:eastAsia="en-US" w:bidi="en-US"/>
        </w:rPr>
        <w:t xml:space="preserve">Kyrios </w:t>
      </w:r>
      <w:r>
        <w:rPr>
          <w:rFonts w:ascii="Times New Roman" w:eastAsia="Times New Roman" w:hAnsi="Times New Roman" w:cs="Times New Roman"/>
          <w:color w:val="000000"/>
          <w:spacing w:val="0"/>
          <w:w w:val="100"/>
          <w:position w:val="0"/>
          <w:shd w:val="clear" w:color="auto" w:fill="auto"/>
          <w:lang w:val="hr-HR" w:eastAsia="hr-HR" w:bidi="hr-HR"/>
        </w:rPr>
        <w:t>nositelj misije, tako je on i njezin cilj: »i da ‘svaki jezik’ prizna - na slavu Boga Oca: Gospodar je Isus Krist« (I-'il 2,11).</w:t>
      </w:r>
    </w:p>
    <w:p>
      <w:pPr>
        <w:pStyle w:val="Style20"/>
        <w:keepNext w:val="0"/>
        <w:keepLines w:val="0"/>
        <w:widowControl w:val="0"/>
        <w:numPr>
          <w:ilvl w:val="0"/>
          <w:numId w:val="303"/>
        </w:numPr>
        <w:shd w:val="clear" w:color="auto" w:fill="auto"/>
        <w:tabs>
          <w:tab w:pos="260"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 je stvar Crkve, Missio Ecclesiae:</w:t>
      </w:r>
      <w:r>
        <w:rPr>
          <w:rFonts w:ascii="Times New Roman" w:eastAsia="Times New Roman" w:hAnsi="Times New Roman" w:cs="Times New Roman"/>
          <w:color w:val="000000"/>
          <w:spacing w:val="0"/>
          <w:w w:val="100"/>
          <w:position w:val="0"/>
          <w:shd w:val="clear" w:color="auto" w:fill="auto"/>
          <w:lang w:val="hr-HR" w:eastAsia="hr-HR" w:bidi="hr-HR"/>
        </w:rPr>
        <w:t xml:space="preserve"> M. je sredstvo za okupljanje novoga Božjeg naroda u Božjoj ruci. Ona sudjeluje kao instrument u otkupljujućcm događaju Krista od križa do paruzije. Duh Sveti čini najprije u samoj Crkvi Kristovo zajedništvo i Kristovo svjedočanstvo. Zatim će ona »potaknuta Duhom Svetim su</w:t>
        <w:softHyphen/>
        <w:t>rađivati kako bi se Božja odluka po kojoj je Bog postavio Krista kao izvor spasenja za či</w:t>
        <w:softHyphen/>
        <w:t>tav svijet, stvarno izvršila« (LG 2,17). Kao što je m. utemeljena u žrtvi na križu »za sve«, tako je i otkupljenje po Kristu sadržaj njezina naviještanja. Ona poziva na obraćenje i po</w:t>
        <w:softHyphen/>
        <w:t>slušnost vjere, poziva na okupljanje (krštenje!) novoga Božjeg naroda iz Židova i pogana.</w:t>
      </w:r>
    </w:p>
    <w:p>
      <w:pPr>
        <w:pStyle w:val="Style20"/>
        <w:keepNext w:val="0"/>
        <w:keepLines w:val="0"/>
        <w:widowControl w:val="0"/>
        <w:shd w:val="clear" w:color="auto" w:fill="auto"/>
        <w:bidi w:val="0"/>
        <w:spacing w:before="0" w:after="0" w:line="257" w:lineRule="auto"/>
        <w:ind w:left="0" w:right="0" w:firstLine="0"/>
        <w:jc w:val="both"/>
        <w:sectPr>
          <w:headerReference w:type="default" r:id="rId795"/>
          <w:footerReference w:type="default" r:id="rId796"/>
          <w:headerReference w:type="even" r:id="rId797"/>
          <w:footerReference w:type="even" r:id="rId798"/>
          <w:footnotePr>
            <w:pos w:val="pageBottom"/>
            <w:numFmt w:val="decimal"/>
            <w:numRestart w:val="continuous"/>
            <w15:footnoteColumns w:val="1"/>
          </w:footnotePr>
          <w:pgSz w:w="6816" w:h="11006"/>
          <w:pgMar w:top="856" w:left="188" w:right="191" w:bottom="266" w:header="0" w:footer="3" w:gutter="0"/>
          <w:pgNumType w:start="266"/>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Iz toga proizlazi razlučivanje misije od ostalih djelatnosti Crkve. M. nije dušobrižništvo nego okupljanje Božjeg naroda, nije briga za kršća</w:t>
        <w:softHyphen/>
        <w:t>ne nego obraćenje nekršćana. M. nije isto što i —&gt; dijalog s nekršćanima koji je, prema II. Dumoulinu, »služenje bližnjem i ljudskom društvu bez neposrednog nastojanja da ih obra</w:t>
        <w:softHyphen/>
        <w:t xml:space="preserve">timo«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(Katholische </w:t>
      </w:r>
      <w:r>
        <w:rPr>
          <w:rFonts w:ascii="Times New Roman" w:eastAsia="Times New Roman" w:hAnsi="Times New Roman" w:cs="Times New Roman"/>
          <w:i/>
          <w:iCs/>
          <w:color w:val="000000"/>
          <w:spacing w:val="0"/>
          <w:w w:val="100"/>
          <w:position w:val="0"/>
          <w:shd w:val="clear" w:color="auto" w:fill="auto"/>
          <w:lang w:val="en-US" w:eastAsia="en-US" w:bidi="en-US"/>
        </w:rPr>
        <w:t>Mission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3,1971,80). Misija je također više od širenja nekog učenja. Ona je sigurno usađivanje Crkve, ali upućuje i da</w:t>
        <w:softHyphen/>
        <w:t xml:space="preserve">lje od toga, jer Crkva je samo instrumentum i sacramentum. M. također nije mcducrkveni učinak pomoći npr. od starih crkava za mlade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crkve. Nasuprot njoj stoji nekršćansko čovje</w:t>
        <w:softHyphen/>
        <w:t>čanstvo.</w:t>
      </w:r>
    </w:p>
    <w:p>
      <w:pPr>
        <w:pStyle w:val="Style20"/>
        <w:keepNext w:val="0"/>
        <w:keepLines w:val="0"/>
        <w:widowControl w:val="0"/>
        <w:numPr>
          <w:ilvl w:val="0"/>
          <w:numId w:val="299"/>
        </w:numPr>
        <w:shd w:val="clear" w:color="auto" w:fill="auto"/>
        <w:tabs>
          <w:tab w:pos="274"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 i različite kulture:</w:t>
      </w:r>
      <w:r>
        <w:rPr>
          <w:rFonts w:ascii="Times New Roman" w:eastAsia="Times New Roman" w:hAnsi="Times New Roman" w:cs="Times New Roman"/>
          <w:color w:val="000000"/>
          <w:spacing w:val="0"/>
          <w:w w:val="100"/>
          <w:position w:val="0"/>
          <w:shd w:val="clear" w:color="auto" w:fill="auto"/>
          <w:lang w:val="hr-HR" w:eastAsia="hr-HR" w:bidi="hr-HR"/>
        </w:rPr>
        <w:t xml:space="preserve"> M. nije nužno pove</w:t>
        <w:softHyphen/>
        <w:t>zana ni s kakvom kulturom niti s »kršćanskim Zapadom«. M. nije širenje kršćanstva u obli</w:t>
        <w:softHyphen/>
        <w:t xml:space="preserve">ku bilo koje kulture. Ona nije ni razvojni niti kolonizatorski pothvat (usp. </w:t>
      </w:r>
      <w:r>
        <w:rPr>
          <w:rFonts w:ascii="Times New Roman" w:eastAsia="Times New Roman" w:hAnsi="Times New Roman" w:cs="Times New Roman"/>
          <w:i/>
          <w:iCs/>
          <w:color w:val="000000"/>
          <w:spacing w:val="0"/>
          <w:w w:val="100"/>
          <w:position w:val="0"/>
          <w:shd w:val="clear" w:color="auto" w:fill="auto"/>
          <w:lang w:val="hr-HR" w:eastAsia="hr-HR" w:bidi="hr-HR"/>
        </w:rPr>
        <w:t>Pogrom,</w:t>
      </w:r>
      <w:r>
        <w:rPr>
          <w:rFonts w:ascii="Times New Roman" w:eastAsia="Times New Roman" w:hAnsi="Times New Roman" w:cs="Times New Roman"/>
          <w:color w:val="000000"/>
          <w:spacing w:val="0"/>
          <w:w w:val="100"/>
          <w:position w:val="0"/>
          <w:shd w:val="clear" w:color="auto" w:fill="auto"/>
          <w:lang w:val="hr-HR" w:eastAsia="hr-HR" w:bidi="hr-HR"/>
        </w:rPr>
        <w:t xml:space="preserve"> poseb</w:t>
        <w:softHyphen/>
        <w:t>no izdanje br. 50/51, 8, 1977, 136 i d.). M. prvenstveno ne cilja na promjenu kultura, ze</w:t>
        <w:softHyphen/>
        <w:t>maljskih struktura, gospodarskih ili političkih sustava nego na čovjekovu religioznu egzis</w:t>
        <w:softHyphen/>
        <w:t>tenciju. Dakle, dimenzija njezina djelovanja leži mnogo dublje; ona je mnogo »radikalni</w:t>
        <w:softHyphen/>
        <w:t xml:space="preserve">ja«; ona je </w:t>
      </w:r>
      <w:r>
        <w:rPr>
          <w:rFonts w:ascii="Times New Roman" w:eastAsia="Times New Roman" w:hAnsi="Times New Roman" w:cs="Times New Roman"/>
          <w:i/>
          <w:iCs/>
          <w:color w:val="000000"/>
          <w:spacing w:val="0"/>
          <w:w w:val="100"/>
          <w:position w:val="0"/>
          <w:shd w:val="clear" w:color="auto" w:fill="auto"/>
          <w:lang w:val="hr-HR" w:eastAsia="hr-HR" w:bidi="hr-HR"/>
        </w:rPr>
        <w:t>religio,</w:t>
      </w:r>
      <w:r>
        <w:rPr>
          <w:rFonts w:ascii="Times New Roman" w:eastAsia="Times New Roman" w:hAnsi="Times New Roman" w:cs="Times New Roman"/>
          <w:color w:val="000000"/>
          <w:spacing w:val="0"/>
          <w:w w:val="100"/>
          <w:position w:val="0"/>
          <w:shd w:val="clear" w:color="auto" w:fill="auto"/>
          <w:lang w:val="hr-HR" w:eastAsia="hr-HR" w:bidi="hr-HR"/>
        </w:rPr>
        <w:t xml:space="preserve"> pomirenje čovječanstva s Bogom (2 Kor 2,14 i d.). Ona neposredno suo</w:t>
        <w:softHyphen/>
        <w:t>čava nekršćansko čovječanstvo sa živim Bo</w:t>
        <w:softHyphen/>
        <w:t>gom koji se u raspetom i uskrslom Kristu ob</w:t>
        <w:softHyphen/>
        <w:t>javljuje kao ljubav. M. prenosi svijetu poziv na svadbu koju je Bog pripremio čovječanstvu. Iako m. cilja na vječno u čovjeku, to ne znači da je ona ravnodušna prema vremenitom ili da će to ostati netaknuto. Slučaj je obmut. Evangelizacija kultura znači najveći preokret koji se može zamisliti i obuhvaća sve. To je »revolucija« božanske ljubavi. NZ govori o »novom čovjeku« i »novom stvorenju«.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Unatoč sveobuhvatnoj univerzalnosti Crkve, m. potvrđuje svaku vrijednost u svakoj kulturi: »Svojim djelovanjem ona čini da dobro što sc nalazi u srcu i pameti ljudi ili u posebnim ob</w:t>
        <w:softHyphen/>
        <w:t>redima i kulturama naroda ne samo ne pro</w:t>
        <w:softHyphen/>
        <w:t>padne, nego da se pročisti, podigne i usavrši na slavu Božju, na poniženje đavla i na sreću čovjeka« (LG 2,17). Praktično provođenje ove univerzalnosti svagdašnji je tvrdi kruh misije. Teškoće koje pritom treba svladavati dadu sc ukratko formulirati ovako: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Svjetska m. bori se s problemom razumije</w:t>
        <w:softHyphen/>
        <w:t>vanja svih kultura. Ona mora i samu sebe uči</w:t>
        <w:softHyphen/>
        <w:t>niti razumljivom svim kulturama. M. mora imati u vidu problem promjene kulture. Mora sebi postavljati sljedeća pitanja ovako: Kako se evanđelje može utemeljiti u »nekršćanskim kulturama«? Kako treba izgledati Crkva koja sc mora ukorijeniti u svim kulturama i unatoč tomu sačuvati svoje nezamjenjivo jedinstvo? Kako m. treba evangelizirati, pokršćaniti cije</w:t>
        <w:softHyphen/>
        <w:t>le kulture? Kakve kriterije ima kada prosuđu</w:t>
        <w:softHyphen/>
        <w:t>je tuđe kulture? Kakvo značenje pripada ne</w:t>
        <w:softHyphen/>
        <w:t>kršćanskim religijama i kako treba izgledati odnos između kršćanstva i tih religija?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Kriterij u prosuđivanju i tretiranju nekršćan- skih religija i kultura je evanđelje Isusa Krista.</w:t>
      </w:r>
    </w:p>
    <w:p>
      <w:pPr>
        <w:pStyle w:val="Style20"/>
        <w:keepNext w:val="0"/>
        <w:keepLines w:val="0"/>
        <w:widowControl w:val="0"/>
        <w:shd w:val="clear" w:color="auto" w:fill="auto"/>
        <w:bidi w:val="0"/>
        <w:spacing w:before="0" w:after="10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Što njemu protuslovi, apostol Pavao odbacu</w:t>
        <w:softHyphen/>
        <w:t>je. Sve ostalo ostavlja da vrijedi ili koristi za izgradnju zajednica. Prema tom prvobitnom modelu još će se i danas morati usmjeravati m. suočena s mnogostrukošću kultura.</w:t>
      </w:r>
    </w:p>
    <w:p>
      <w:pPr>
        <w:pStyle w:val="Style56"/>
        <w:keepNext w:val="0"/>
        <w:keepLines w:val="0"/>
        <w:widowControl w:val="0"/>
        <w:shd w:val="clear" w:color="auto" w:fill="auto"/>
        <w:tabs>
          <w:tab w:pos="2328" w:val="left"/>
        </w:tabs>
        <w:bidi w:val="0"/>
        <w:spacing w:before="0" w:after="200" w:line="240" w:lineRule="auto"/>
        <w:ind w:left="0" w:right="0" w:firstLine="0"/>
        <w:jc w:val="both"/>
      </w:pPr>
      <w:r>
        <w:rPr>
          <w:color w:val="000000"/>
          <w:spacing w:val="0"/>
          <w:w w:val="100"/>
          <w:position w:val="0"/>
          <w:shd w:val="clear" w:color="auto" w:fill="auto"/>
        </w:rPr>
        <w:t xml:space="preserve">Lit.: J. Schmidlin, </w:t>
      </w:r>
      <w:r>
        <w:rPr>
          <w:i/>
          <w:iCs/>
          <w:color w:val="000000"/>
          <w:spacing w:val="0"/>
          <w:w w:val="100"/>
          <w:position w:val="0"/>
          <w:shd w:val="clear" w:color="auto" w:fill="auto"/>
          <w:lang w:val="hr-HR" w:eastAsia="hr-HR" w:bidi="hr-HR"/>
        </w:rPr>
        <w:t xml:space="preserve">Einfiihrung </w:t>
      </w:r>
      <w:r>
        <w:rPr>
          <w:i/>
          <w:iCs/>
          <w:color w:val="000000"/>
          <w:spacing w:val="0"/>
          <w:w w:val="100"/>
          <w:position w:val="0"/>
          <w:shd w:val="clear" w:color="auto" w:fill="auto"/>
        </w:rPr>
        <w:t xml:space="preserve">in die Missionswissenschaft, </w:t>
      </w:r>
      <w:r>
        <w:rPr>
          <w:color w:val="000000"/>
          <w:spacing w:val="0"/>
          <w:w w:val="100"/>
          <w:position w:val="0"/>
          <w:shd w:val="clear" w:color="auto" w:fill="auto"/>
        </w:rPr>
        <w:t xml:space="preserve">Munster *1925; G. Roscnkranz/E. Lohse/J. Margull/H. W. Gcnsichcn/N. Gcodall/H. Hcrmclink/Th. Ohm. Mission, u: RGG [V, Tiihingcn </w:t>
      </w:r>
      <w:r>
        <w:rPr>
          <w:color w:val="000000"/>
          <w:spacing w:val="0"/>
          <w:w w:val="100"/>
          <w:position w:val="0"/>
          <w:shd w:val="clear" w:color="auto" w:fill="auto"/>
          <w:vertAlign w:val="superscript"/>
        </w:rPr>
        <w:t>J</w:t>
      </w:r>
      <w:r>
        <w:rPr>
          <w:color w:val="000000"/>
          <w:spacing w:val="0"/>
          <w:w w:val="100"/>
          <w:position w:val="0"/>
          <w:shd w:val="clear" w:color="auto" w:fill="auto"/>
        </w:rPr>
        <w:t xml:space="preserve">l960. 989-999; Th. Ohm, </w:t>
      </w:r>
      <w:r>
        <w:rPr>
          <w:i/>
          <w:iCs/>
          <w:color w:val="000000"/>
          <w:spacing w:val="0"/>
          <w:w w:val="100"/>
          <w:position w:val="0"/>
          <w:shd w:val="clear" w:color="auto" w:fill="auto"/>
        </w:rPr>
        <w:t>Muchei zu Jimgern alle Volker.</w:t>
      </w:r>
      <w:r>
        <w:rPr>
          <w:color w:val="000000"/>
          <w:spacing w:val="0"/>
          <w:w w:val="100"/>
          <w:position w:val="0"/>
          <w:shd w:val="clear" w:color="auto" w:fill="auto"/>
        </w:rPr>
        <w:t xml:space="preserve"> Freiburg 1961; G, F. Viccdom, </w:t>
      </w:r>
      <w:r>
        <w:rPr>
          <w:i/>
          <w:iCs/>
          <w:color w:val="000000"/>
          <w:spacing w:val="0"/>
          <w:w w:val="100"/>
          <w:position w:val="0"/>
          <w:shd w:val="clear" w:color="auto" w:fill="auto"/>
        </w:rPr>
        <w:t>Missio Dei. Einftihrung in eine- Theologie der Mission.</w:t>
      </w:r>
      <w:r>
        <w:rPr>
          <w:color w:val="000000"/>
          <w:spacing w:val="0"/>
          <w:w w:val="100"/>
          <w:position w:val="0"/>
          <w:shd w:val="clear" w:color="auto" w:fill="auto"/>
        </w:rPr>
        <w:t xml:space="preserve"> Munchen 1958;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Mission in einer Welt der Revolution,</w:t>
      </w:r>
      <w:r>
        <w:rPr>
          <w:color w:val="000000"/>
          <w:spacing w:val="0"/>
          <w:w w:val="100"/>
          <w:position w:val="0"/>
          <w:shd w:val="clear" w:color="auto" w:fill="auto"/>
        </w:rPr>
        <w:t xml:space="preserve"> Wuppertal 1970; J. Muller, </w:t>
      </w:r>
      <w:r>
        <w:rPr>
          <w:i/>
          <w:iCs/>
          <w:color w:val="000000"/>
          <w:spacing w:val="0"/>
          <w:w w:val="100"/>
          <w:position w:val="0"/>
          <w:shd w:val="clear" w:color="auto" w:fill="auto"/>
        </w:rPr>
        <w:t>Missionarische Anpassung als theologisches Prinzip.</w:t>
      </w:r>
      <w:r>
        <w:rPr>
          <w:color w:val="000000"/>
          <w:spacing w:val="0"/>
          <w:w w:val="100"/>
          <w:position w:val="0"/>
          <w:shd w:val="clear" w:color="auto" w:fill="auto"/>
        </w:rPr>
        <w:t xml:space="preserve"> Munster 1973; J. Dormann, Die universale Mission der Kirchc vor der Hcrausforderung der cinhcimischcn Kulturcn. Das Problem der Indigcnisalion,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J. Dormann (Hrsg.), </w:t>
      </w:r>
      <w:r>
        <w:rPr>
          <w:i/>
          <w:iCs/>
          <w:color w:val="000000"/>
          <w:spacing w:val="0"/>
          <w:w w:val="100"/>
          <w:position w:val="0"/>
          <w:shd w:val="clear" w:color="auto" w:fill="auto"/>
        </w:rPr>
        <w:t>Wellmission in der Welikrisc,</w:t>
      </w:r>
      <w:r>
        <w:rPr>
          <w:color w:val="000000"/>
          <w:spacing w:val="0"/>
          <w:w w:val="100"/>
          <w:position w:val="0"/>
          <w:shd w:val="clear" w:color="auto" w:fill="auto"/>
        </w:rPr>
        <w:t xml:space="preserve"> St. Augustin 1979, 9-20.</w:t>
        <w:tab/>
        <w:t>J. DORMANN</w:t>
      </w:r>
    </w:p>
    <w:p>
      <w:pPr>
        <w:pStyle w:val="Style63"/>
        <w:keepNext/>
        <w:keepLines/>
        <w:widowControl w:val="0"/>
        <w:numPr>
          <w:ilvl w:val="0"/>
          <w:numId w:val="293"/>
        </w:numPr>
        <w:shd w:val="clear" w:color="auto" w:fill="auto"/>
        <w:tabs>
          <w:tab w:pos="265" w:val="left"/>
        </w:tabs>
        <w:bidi w:val="0"/>
        <w:spacing w:before="0" w:after="80"/>
        <w:ind w:left="0" w:right="0" w:firstLine="0"/>
        <w:jc w:val="both"/>
      </w:pPr>
      <w:bookmarkStart w:id="193" w:name="bookmark193"/>
      <w:r>
        <w:rPr>
          <w:rFonts w:ascii="Times New Roman" w:eastAsia="Times New Roman" w:hAnsi="Times New Roman" w:cs="Times New Roman"/>
          <w:color w:val="000000"/>
          <w:spacing w:val="0"/>
          <w:w w:val="100"/>
          <w:position w:val="0"/>
          <w:shd w:val="clear" w:color="auto" w:fill="auto"/>
          <w:lang w:val="hr-HR" w:eastAsia="hr-HR" w:bidi="hr-HR"/>
        </w:rPr>
        <w:t>islamski</w:t>
      </w:r>
      <w:bookmarkEnd w:id="19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Kuran </w:t>
      </w:r>
      <w:r>
        <w:rPr>
          <w:rFonts w:ascii="Times New Roman" w:eastAsia="Times New Roman" w:hAnsi="Times New Roman" w:cs="Times New Roman"/>
          <w:color w:val="000000"/>
          <w:spacing w:val="0"/>
          <w:w w:val="100"/>
          <w:position w:val="0"/>
          <w:shd w:val="clear" w:color="auto" w:fill="auto"/>
          <w:lang w:val="hr-HR" w:eastAsia="hr-HR" w:bidi="hr-HR"/>
        </w:rPr>
        <w:t>ne poznaje nikakav misijski nalog. »Is</w:t>
        <w:softHyphen/>
        <w:t>lamska m.« predstavlja oponašanje kršćansko</w:t>
        <w:softHyphen/>
        <w:t>ga djela misije. Ona nije starija više od 100 go</w:t>
        <w:softHyphen/>
        <w:t>dina. Ona započinje u Indiji, gdje se islam osjećao snažno ugroženim od kršćanske misi</w:t>
        <w:softHyphen/>
        <w:t>je. Stihovi iz Kurana, koje branitelji »islamske misije« koriste za opravdavanje svoje djelat</w:t>
        <w:softHyphen/>
        <w:t>nosti, zapravo sc odnose na pastoralni rad unutar vlastite zajednice i na način na koji sc treba postupati s pristašama drugih vjeroispo</w:t>
        <w:softHyphen/>
        <w:t>vijesti. Ima mnogo prosvijećenih muslimana koji smatraju nekorisnom i vremenu nepri</w:t>
        <w:softHyphen/>
        <w:t>mjerenom svaku vrstu međusobnoga misiona- renja među pristašama objavljenih religija.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Neovisno o tome, od početka sedamdesetih snažnije se provodi »islamska m.«. Ona sc označuje kao </w:t>
      </w:r>
      <w:r>
        <w:rPr>
          <w:rFonts w:ascii="Times New Roman" w:eastAsia="Times New Roman" w:hAnsi="Times New Roman" w:cs="Times New Roman"/>
          <w:i/>
          <w:iCs/>
          <w:color w:val="000000"/>
          <w:spacing w:val="0"/>
          <w:w w:val="100"/>
          <w:position w:val="0"/>
          <w:shd w:val="clear" w:color="auto" w:fill="auto"/>
          <w:lang w:val="hr-HR" w:eastAsia="hr-HR" w:bidi="hr-HR"/>
        </w:rPr>
        <w:t>al-da'wa</w:t>
      </w:r>
      <w:r>
        <w:rPr>
          <w:rFonts w:ascii="Times New Roman" w:eastAsia="Times New Roman" w:hAnsi="Times New Roman" w:cs="Times New Roman"/>
          <w:color w:val="000000"/>
          <w:spacing w:val="0"/>
          <w:w w:val="100"/>
          <w:position w:val="0"/>
          <w:shd w:val="clear" w:color="auto" w:fill="auto"/>
          <w:lang w:val="hr-HR" w:eastAsia="hr-HR" w:bidi="hr-HR"/>
        </w:rPr>
        <w:t xml:space="preserve"> kako bi se stekao do</w:t>
        <w:softHyphen/>
        <w:t>jam legitimnosti. Taj je izraz doduše odoma- ćen u islamskoj tradiciji, no u području pra</w:t>
        <w:softHyphen/>
        <w:t>vovjernoga islama on nije bio korišten u smis</w:t>
        <w:softHyphen/>
        <w:t xml:space="preserve">lu misije. Za Kuran je </w:t>
      </w:r>
      <w:r>
        <w:rPr>
          <w:rFonts w:ascii="Times New Roman" w:eastAsia="Times New Roman" w:hAnsi="Times New Roman" w:cs="Times New Roman"/>
          <w:color w:val="000000"/>
          <w:spacing w:val="0"/>
          <w:w w:val="100"/>
          <w:position w:val="0"/>
          <w:shd w:val="clear" w:color="auto" w:fill="auto"/>
          <w:lang w:val="en-US" w:eastAsia="en-US" w:bidi="en-US"/>
        </w:rPr>
        <w:t xml:space="preserve">da’wa </w:t>
      </w:r>
      <w:r>
        <w:rPr>
          <w:rFonts w:ascii="Times New Roman" w:eastAsia="Times New Roman" w:hAnsi="Times New Roman" w:cs="Times New Roman"/>
          <w:color w:val="000000"/>
          <w:spacing w:val="0"/>
          <w:w w:val="100"/>
          <w:position w:val="0"/>
          <w:shd w:val="clear" w:color="auto" w:fill="auto"/>
          <w:lang w:val="hr-HR" w:eastAsia="hr-HR" w:bidi="hr-HR"/>
        </w:rPr>
        <w:t>poziv koji Bog preko proroka upućuje čovjeku (14,44). U tom smislu Muhamed biva pozvan da uvjerlji</w:t>
        <w:softHyphen/>
        <w:t>vim i nenametljivim riječima pridobiva vjer</w:t>
        <w:softHyphen/>
        <w:t xml:space="preserve">nike. Svaki je prorok imao svoju </w:t>
      </w:r>
      <w:r>
        <w:rPr>
          <w:rFonts w:ascii="Times New Roman" w:eastAsia="Times New Roman" w:hAnsi="Times New Roman" w:cs="Times New Roman"/>
          <w:color w:val="000000"/>
          <w:spacing w:val="0"/>
          <w:w w:val="100"/>
          <w:position w:val="0"/>
          <w:shd w:val="clear" w:color="auto" w:fill="auto"/>
          <w:lang w:val="en-US" w:eastAsia="en-US" w:bidi="en-US"/>
        </w:rPr>
        <w:t xml:space="preserve">da’wu. </w:t>
      </w:r>
      <w:r>
        <w:rPr>
          <w:rFonts w:ascii="Times New Roman" w:eastAsia="Times New Roman" w:hAnsi="Times New Roman" w:cs="Times New Roman"/>
          <w:color w:val="000000"/>
          <w:spacing w:val="0"/>
          <w:w w:val="100"/>
          <w:position w:val="0"/>
          <w:shd w:val="clear" w:color="auto" w:fill="auto"/>
          <w:lang w:val="hr-HR" w:eastAsia="hr-HR" w:bidi="hr-HR"/>
        </w:rPr>
        <w:t>Koris</w:t>
        <w:softHyphen/>
        <w:t xml:space="preserve">teći sc heterodoksnim elementima tu su ideju razvili u pojam </w:t>
      </w:r>
      <w:r>
        <w:rPr>
          <w:rFonts w:ascii="Times New Roman" w:eastAsia="Times New Roman" w:hAnsi="Times New Roman" w:cs="Times New Roman"/>
          <w:i/>
          <w:iCs/>
          <w:color w:val="000000"/>
          <w:spacing w:val="0"/>
          <w:w w:val="100"/>
          <w:position w:val="0"/>
          <w:shd w:val="clear" w:color="auto" w:fill="auto"/>
          <w:lang w:val="hr-HR" w:eastAsia="hr-HR" w:bidi="hr-HR"/>
        </w:rPr>
        <w:t>»propagande«</w:t>
      </w:r>
      <w:r>
        <w:rPr>
          <w:rFonts w:ascii="Times New Roman" w:eastAsia="Times New Roman" w:hAnsi="Times New Roman" w:cs="Times New Roman"/>
          <w:color w:val="000000"/>
          <w:spacing w:val="0"/>
          <w:w w:val="100"/>
          <w:position w:val="0"/>
          <w:shd w:val="clear" w:color="auto" w:fill="auto"/>
          <w:lang w:val="hr-HR" w:eastAsia="hr-HR" w:bidi="hr-HR"/>
        </w:rPr>
        <w:t xml:space="preserve"> tek ismailiti, jed</w:t>
        <w:softHyphen/>
        <w:t xml:space="preserve">na šijitska sekta. Za vrijeme vladavine isma- ilitskih Fatimida u Egiptu </w:t>
      </w:r>
      <w:r>
        <w:rPr>
          <w:rFonts w:ascii="Times New Roman" w:eastAsia="Times New Roman" w:hAnsi="Times New Roman" w:cs="Times New Roman"/>
          <w:color w:val="000000"/>
          <w:spacing w:val="0"/>
          <w:w w:val="100"/>
          <w:position w:val="0"/>
          <w:shd w:val="clear" w:color="auto" w:fill="auto"/>
          <w:lang w:val="en-US" w:eastAsia="en-US" w:bidi="en-US"/>
        </w:rPr>
        <w:t xml:space="preserve">(X.-XII. </w:t>
      </w:r>
      <w:r>
        <w:rPr>
          <w:rFonts w:ascii="Times New Roman" w:eastAsia="Times New Roman" w:hAnsi="Times New Roman" w:cs="Times New Roman"/>
          <w:color w:val="000000"/>
          <w:spacing w:val="0"/>
          <w:w w:val="100"/>
          <w:position w:val="0"/>
          <w:shd w:val="clear" w:color="auto" w:fill="auto"/>
          <w:lang w:val="hr-HR" w:eastAsia="hr-HR" w:bidi="hr-HR"/>
        </w:rPr>
        <w:t>stoljeće) na njihovu je dvoru u Kairu bila redovita mi- sijska akademija, no ta je praksa ostala to što je i bila: marginalna heterodoksna pojava.</w:t>
      </w:r>
    </w:p>
    <w:p>
      <w:pPr>
        <w:pStyle w:val="Style20"/>
        <w:keepNext w:val="0"/>
        <w:keepLines w:val="0"/>
        <w:widowControl w:val="0"/>
        <w:shd w:val="clear" w:color="auto" w:fill="auto"/>
        <w:bidi w:val="0"/>
        <w:spacing w:before="0" w:after="0"/>
        <w:ind w:left="0" w:right="0" w:firstLine="0"/>
        <w:jc w:val="both"/>
        <w:sectPr>
          <w:headerReference w:type="default" r:id="rId799"/>
          <w:footerReference w:type="default" r:id="rId800"/>
          <w:headerReference w:type="even" r:id="rId801"/>
          <w:footerReference w:type="even" r:id="rId802"/>
          <w:footnotePr>
            <w:pos w:val="pageBottom"/>
            <w:numFmt w:val="decimal"/>
            <w:numRestart w:val="continuous"/>
            <w15:footnoteColumns w:val="1"/>
          </w:footnotePr>
          <w:pgSz w:w="6816" w:h="11006"/>
          <w:pgMar w:top="856" w:left="188" w:right="191" w:bottom="266" w:header="0" w:footer="3" w:gutter="0"/>
          <w:pgNumType w:start="271"/>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političkom smislu </w:t>
      </w:r>
      <w:r>
        <w:rPr>
          <w:rFonts w:ascii="Times New Roman" w:eastAsia="Times New Roman" w:hAnsi="Times New Roman" w:cs="Times New Roman"/>
          <w:i/>
          <w:iCs/>
          <w:color w:val="000000"/>
          <w:spacing w:val="0"/>
          <w:w w:val="100"/>
          <w:position w:val="0"/>
          <w:shd w:val="clear" w:color="auto" w:fill="auto"/>
          <w:lang w:val="en-US" w:eastAsia="en-US" w:bidi="en-US"/>
        </w:rPr>
        <w:t>da’wa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znači zahtjev neke osobe ili neke obitelji za </w:t>
      </w:r>
      <w:r>
        <w:rPr>
          <w:rFonts w:ascii="Times New Roman" w:eastAsia="Times New Roman" w:hAnsi="Times New Roman" w:cs="Times New Roman"/>
          <w:color w:val="000000"/>
          <w:spacing w:val="0"/>
          <w:w w:val="100"/>
          <w:position w:val="0"/>
          <w:shd w:val="clear" w:color="auto" w:fill="auto"/>
          <w:lang w:val="en-US" w:eastAsia="en-US" w:bidi="en-US"/>
        </w:rPr>
        <w:t xml:space="preserve">imamatom, </w:t>
      </w:r>
      <w:r>
        <w:rPr>
          <w:rFonts w:ascii="Times New Roman" w:eastAsia="Times New Roman" w:hAnsi="Times New Roman" w:cs="Times New Roman"/>
          <w:color w:val="000000"/>
          <w:spacing w:val="0"/>
          <w:w w:val="100"/>
          <w:position w:val="0"/>
          <w:shd w:val="clear" w:color="auto" w:fill="auto"/>
          <w:lang w:val="hr-HR" w:eastAsia="hr-HR" w:bidi="hr-HR"/>
        </w:rPr>
        <w:t xml:space="preserve">tj. za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rcligiozno-političkim upravljanjem nekim geo</w:t>
        <w:softHyphen/>
        <w:t>grafskim prostorom, u kojemu žive vjerski is</w:t>
        <w:softHyphen/>
        <w:t xml:space="preserve">tomišljenici onoga koji postavlja taj zahtjev. U skladu s tim se kaže </w:t>
      </w:r>
      <w:r>
        <w:rPr>
          <w:rFonts w:ascii="Times New Roman" w:eastAsia="Times New Roman" w:hAnsi="Times New Roman" w:cs="Times New Roman"/>
          <w:color w:val="000000"/>
          <w:spacing w:val="0"/>
          <w:w w:val="100"/>
          <w:position w:val="0"/>
          <w:shd w:val="clear" w:color="auto" w:fill="auto"/>
          <w:lang w:val="en-US" w:eastAsia="en-US" w:bidi="en-US"/>
        </w:rPr>
        <w:t xml:space="preserve">sahib ad-da’wa </w:t>
      </w:r>
      <w:r>
        <w:rPr>
          <w:rFonts w:ascii="Times New Roman" w:eastAsia="Times New Roman" w:hAnsi="Times New Roman" w:cs="Times New Roman"/>
          <w:color w:val="000000"/>
          <w:spacing w:val="0"/>
          <w:w w:val="100"/>
          <w:position w:val="0"/>
          <w:shd w:val="clear" w:color="auto" w:fill="auto"/>
          <w:lang w:val="hr-HR" w:eastAsia="hr-HR" w:bidi="hr-HR"/>
        </w:rPr>
        <w:t xml:space="preserve">(subjekt zahtjeva). Kao takvi subjekti nerijetko su se pojavljivali politički pustolovi. Za njih je tada njihova </w:t>
      </w:r>
      <w:r>
        <w:rPr>
          <w:rFonts w:ascii="Times New Roman" w:eastAsia="Times New Roman" w:hAnsi="Times New Roman" w:cs="Times New Roman"/>
          <w:color w:val="000000"/>
          <w:spacing w:val="0"/>
          <w:w w:val="100"/>
          <w:position w:val="0"/>
          <w:shd w:val="clear" w:color="auto" w:fill="auto"/>
          <w:lang w:val="en-US" w:eastAsia="en-US" w:bidi="en-US"/>
        </w:rPr>
        <w:t xml:space="preserve">da’wa </w:t>
      </w:r>
      <w:r>
        <w:rPr>
          <w:rFonts w:ascii="Times New Roman" w:eastAsia="Times New Roman" w:hAnsi="Times New Roman" w:cs="Times New Roman"/>
          <w:color w:val="000000"/>
          <w:spacing w:val="0"/>
          <w:w w:val="100"/>
          <w:position w:val="0"/>
          <w:shd w:val="clear" w:color="auto" w:fill="auto"/>
          <w:lang w:val="hr-HR" w:eastAsia="hr-HR" w:bidi="hr-HR"/>
        </w:rPr>
        <w:t xml:space="preserve">bila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časa </w:t>
      </w:r>
      <w:r>
        <w:rPr>
          <w:rFonts w:ascii="Times New Roman" w:eastAsia="Times New Roman" w:hAnsi="Times New Roman" w:cs="Times New Roman"/>
          <w:i/>
          <w:iCs/>
          <w:color w:val="000000"/>
          <w:spacing w:val="0"/>
          <w:w w:val="100"/>
          <w:position w:val="0"/>
          <w:shd w:val="clear" w:color="auto" w:fill="auto"/>
          <w:lang w:val="en-US" w:eastAsia="en-US" w:bidi="en-US"/>
        </w:rPr>
        <w:t>nostra.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Prva se upotreba izraza </w:t>
      </w:r>
      <w:r>
        <w:rPr>
          <w:rFonts w:ascii="Times New Roman" w:eastAsia="Times New Roman" w:hAnsi="Times New Roman" w:cs="Times New Roman"/>
          <w:color w:val="000000"/>
          <w:spacing w:val="0"/>
          <w:w w:val="100"/>
          <w:position w:val="0"/>
          <w:shd w:val="clear" w:color="auto" w:fill="auto"/>
          <w:lang w:val="en-US" w:eastAsia="en-US" w:bidi="en-US"/>
        </w:rPr>
        <w:t xml:space="preserve">da’wa </w:t>
      </w:r>
      <w:r>
        <w:rPr>
          <w:rFonts w:ascii="Times New Roman" w:eastAsia="Times New Roman" w:hAnsi="Times New Roman" w:cs="Times New Roman"/>
          <w:color w:val="000000"/>
          <w:spacing w:val="0"/>
          <w:w w:val="100"/>
          <w:position w:val="0"/>
          <w:shd w:val="clear" w:color="auto" w:fill="auto"/>
          <w:lang w:val="hr-HR" w:eastAsia="hr-HR" w:bidi="hr-HR"/>
        </w:rPr>
        <w:t xml:space="preserve">u smislu misije ili štoviše propagande susreće u ustanovi DJr </w:t>
      </w:r>
      <w:r>
        <w:rPr>
          <w:rFonts w:ascii="Times New Roman" w:eastAsia="Times New Roman" w:hAnsi="Times New Roman" w:cs="Times New Roman"/>
          <w:color w:val="000000"/>
          <w:spacing w:val="0"/>
          <w:w w:val="100"/>
          <w:position w:val="0"/>
          <w:shd w:val="clear" w:color="auto" w:fill="auto"/>
          <w:lang w:val="en-US" w:eastAsia="en-US" w:bidi="en-US"/>
        </w:rPr>
        <w:t xml:space="preserve">ad-da’wa </w:t>
      </w:r>
      <w:r>
        <w:rPr>
          <w:rFonts w:ascii="Times New Roman" w:eastAsia="Times New Roman" w:hAnsi="Times New Roman" w:cs="Times New Roman"/>
          <w:color w:val="000000"/>
          <w:spacing w:val="0"/>
          <w:w w:val="100"/>
          <w:position w:val="0"/>
          <w:shd w:val="clear" w:color="auto" w:fill="auto"/>
          <w:lang w:val="hr-HR" w:eastAsia="hr-HR" w:bidi="hr-HR"/>
        </w:rPr>
        <w:t xml:space="preserve">wal-irshad (kuća za propagandu i poučavanje) u Kairu koju je utemeljio </w:t>
      </w:r>
      <w:r>
        <w:rPr>
          <w:rFonts w:ascii="Times New Roman" w:eastAsia="Times New Roman" w:hAnsi="Times New Roman" w:cs="Times New Roman"/>
          <w:color w:val="000000"/>
          <w:spacing w:val="0"/>
          <w:w w:val="100"/>
          <w:position w:val="0"/>
          <w:shd w:val="clear" w:color="auto" w:fill="auto"/>
          <w:lang w:val="en-US" w:eastAsia="en-US" w:bidi="en-US"/>
        </w:rPr>
        <w:t xml:space="preserve">Rashid </w:t>
      </w:r>
      <w:r>
        <w:rPr>
          <w:rFonts w:ascii="Times New Roman" w:eastAsia="Times New Roman" w:hAnsi="Times New Roman" w:cs="Times New Roman"/>
          <w:color w:val="000000"/>
          <w:spacing w:val="0"/>
          <w:w w:val="100"/>
          <w:position w:val="0"/>
          <w:shd w:val="clear" w:color="auto" w:fill="auto"/>
          <w:lang w:val="hr-HR" w:eastAsia="hr-HR" w:bidi="hr-HR"/>
        </w:rPr>
        <w:t>Rida (1865-1935), jedan politički snažno mo</w:t>
        <w:softHyphen/>
        <w:t>tivirani reformistički teolog. Ubrzo nakon iz</w:t>
        <w:softHyphen/>
        <w:t>bijanja libijske rujanske revolucije 1969. pro</w:t>
        <w:softHyphen/>
        <w:t xml:space="preserve">sinca iste godine u Tripoliju je osnovan </w:t>
      </w:r>
      <w:r>
        <w:rPr>
          <w:rFonts w:ascii="Times New Roman" w:eastAsia="Times New Roman" w:hAnsi="Times New Roman" w:cs="Times New Roman"/>
          <w:color w:val="000000"/>
          <w:spacing w:val="0"/>
          <w:w w:val="100"/>
          <w:position w:val="0"/>
          <w:shd w:val="clear" w:color="auto" w:fill="auto"/>
          <w:lang w:val="en-US" w:eastAsia="en-US" w:bidi="en-US"/>
        </w:rPr>
        <w:t xml:space="preserve">Djam’iyyat ad-da’wa islamiyya (Islamic Call Society) </w:t>
      </w:r>
      <w:r>
        <w:rPr>
          <w:rFonts w:ascii="Times New Roman" w:eastAsia="Times New Roman" w:hAnsi="Times New Roman" w:cs="Times New Roman"/>
          <w:color w:val="000000"/>
          <w:spacing w:val="0"/>
          <w:w w:val="100"/>
          <w:position w:val="0"/>
          <w:shd w:val="clear" w:color="auto" w:fill="auto"/>
          <w:lang w:val="hr-HR" w:eastAsia="hr-HR" w:bidi="hr-HR"/>
        </w:rPr>
        <w:t>koju su širom svijeta prihvatile mus</w:t>
        <w:softHyphen/>
        <w:t>limanske zajednice u dijaspori. Ta se organi</w:t>
        <w:softHyphen/>
        <w:t xml:space="preserve">zacija ipak teško može shvatiti kao neko mi- sijsko društvo </w:t>
      </w:r>
      <w:r>
        <w:rPr>
          <w:rFonts w:ascii="Times New Roman" w:eastAsia="Times New Roman" w:hAnsi="Times New Roman" w:cs="Times New Roman"/>
          <w:i/>
          <w:iCs/>
          <w:color w:val="000000"/>
          <w:spacing w:val="0"/>
          <w:w w:val="100"/>
          <w:position w:val="0"/>
          <w:shd w:val="clear" w:color="auto" w:fill="auto"/>
          <w:lang w:val="en-US" w:eastAsia="en-US" w:bidi="en-US"/>
        </w:rPr>
        <w:t>(Report on the Islamic Call So</w:t>
        <w:softHyphen/>
        <w:t>ciety Achievements from the date of its estab- lishement until December 31,</w:t>
      </w:r>
      <w:r>
        <w:rPr>
          <w:rFonts w:ascii="Times New Roman" w:eastAsia="Times New Roman" w:hAnsi="Times New Roman" w:cs="Times New Roman"/>
          <w:color w:val="000000"/>
          <w:spacing w:val="0"/>
          <w:w w:val="100"/>
          <w:position w:val="0"/>
          <w:shd w:val="clear" w:color="auto" w:fill="auto"/>
          <w:lang w:val="en-US" w:eastAsia="en-US" w:bidi="en-US"/>
        </w:rPr>
        <w:t xml:space="preserve"> 1977, Tripoli 1978, 80). </w:t>
      </w:r>
      <w:r>
        <w:rPr>
          <w:rFonts w:ascii="Times New Roman" w:eastAsia="Times New Roman" w:hAnsi="Times New Roman" w:cs="Times New Roman"/>
          <w:color w:val="000000"/>
          <w:spacing w:val="0"/>
          <w:w w:val="100"/>
          <w:position w:val="0"/>
          <w:shd w:val="clear" w:color="auto" w:fill="auto"/>
          <w:lang w:val="hr-HR" w:eastAsia="hr-HR" w:bidi="hr-HR"/>
        </w:rPr>
        <w:t xml:space="preserve">Izraz </w:t>
      </w:r>
      <w:r>
        <w:rPr>
          <w:rFonts w:ascii="Times New Roman" w:eastAsia="Times New Roman" w:hAnsi="Times New Roman" w:cs="Times New Roman"/>
          <w:color w:val="000000"/>
          <w:spacing w:val="0"/>
          <w:w w:val="100"/>
          <w:position w:val="0"/>
          <w:shd w:val="clear" w:color="auto" w:fill="auto"/>
          <w:lang w:val="en-US" w:eastAsia="en-US" w:bidi="en-US"/>
        </w:rPr>
        <w:t xml:space="preserve">m. </w:t>
      </w:r>
      <w:r>
        <w:rPr>
          <w:rFonts w:ascii="Times New Roman" w:eastAsia="Times New Roman" w:hAnsi="Times New Roman" w:cs="Times New Roman"/>
          <w:color w:val="000000"/>
          <w:spacing w:val="0"/>
          <w:w w:val="100"/>
          <w:position w:val="0"/>
          <w:shd w:val="clear" w:color="auto" w:fill="auto"/>
          <w:lang w:val="hr-HR" w:eastAsia="hr-HR" w:bidi="hr-HR"/>
        </w:rPr>
        <w:t>rado upotrebljavaju izvjes</w:t>
        <w:softHyphen/>
        <w:t>ne skupine s Indijskoga potkontinenta. Pod</w:t>
        <w:softHyphen/>
        <w:t>ručje njihova djelovanja obuhvaća zapadnu Europu i prekomorske zemlje. Rezultati nji</w:t>
        <w:softHyphen/>
        <w:t>hove »misijske djelatnosti« su više nego skromni. Njihove se metode uglavnom ogra</w:t>
        <w:softHyphen/>
        <w:t>ničuju na publicističku djelatnost i na podi</w:t>
        <w:softHyphen/>
        <w:t xml:space="preserve">zanje džamija. Ahmcdijski pokret sa sjedištem u </w:t>
      </w:r>
      <w:r>
        <w:rPr>
          <w:rFonts w:ascii="Times New Roman" w:eastAsia="Times New Roman" w:hAnsi="Times New Roman" w:cs="Times New Roman"/>
          <w:color w:val="000000"/>
          <w:spacing w:val="0"/>
          <w:w w:val="100"/>
          <w:position w:val="0"/>
          <w:shd w:val="clear" w:color="auto" w:fill="auto"/>
          <w:lang w:val="en-US" w:eastAsia="en-US" w:bidi="en-US"/>
        </w:rPr>
        <w:t xml:space="preserve">Rabwi </w:t>
      </w:r>
      <w:r>
        <w:rPr>
          <w:rFonts w:ascii="Times New Roman" w:eastAsia="Times New Roman" w:hAnsi="Times New Roman" w:cs="Times New Roman"/>
          <w:color w:val="000000"/>
          <w:spacing w:val="0"/>
          <w:w w:val="100"/>
          <w:position w:val="0"/>
          <w:shd w:val="clear" w:color="auto" w:fill="auto"/>
          <w:lang w:val="hr-HR" w:eastAsia="hr-HR" w:bidi="hr-HR"/>
        </w:rPr>
        <w:t>(Pakistan) brine se u Africi i o ško</w:t>
        <w:softHyphen/>
        <w:t>lama i ima jednu ili dvije vlastite misijske bol</w:t>
        <w:softHyphen/>
        <w:t>nice. Od 1983. planira se osnivanje islamskoga misijskog sveučilišta u Nizozemskoj. Nositelj su projekta tzv. »Islamske misije« iz Pakista</w:t>
        <w:softHyphen/>
        <w:t>na.</w:t>
      </w:r>
    </w:p>
    <w:p>
      <w:pPr>
        <w:pStyle w:val="Style56"/>
        <w:keepNext w:val="0"/>
        <w:keepLines w:val="0"/>
        <w:widowControl w:val="0"/>
        <w:shd w:val="clear" w:color="auto" w:fill="auto"/>
        <w:tabs>
          <w:tab w:pos="2573" w:val="left"/>
        </w:tabs>
        <w:bidi w:val="0"/>
        <w:spacing w:before="0" w:after="280" w:line="240" w:lineRule="auto"/>
        <w:ind w:left="0" w:right="0" w:firstLine="0"/>
        <w:jc w:val="both"/>
      </w:pPr>
      <w:r>
        <w:rPr>
          <w:color w:val="000000"/>
          <w:spacing w:val="0"/>
          <w:w w:val="100"/>
          <w:position w:val="0"/>
          <w:shd w:val="clear" w:color="auto" w:fill="auto"/>
          <w:lang w:val="hr-HR" w:eastAsia="hr-HR" w:bidi="hr-HR"/>
        </w:rPr>
        <w:t>Lit.: EP, II. 168-170.</w:t>
        <w:tab/>
        <w:t>S. BAl.tć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MISTIKA</w:t>
      </w:r>
    </w:p>
    <w:p>
      <w:pPr>
        <w:pStyle w:val="Style63"/>
        <w:keepNext/>
        <w:keepLines/>
        <w:widowControl w:val="0"/>
        <w:numPr>
          <w:ilvl w:val="0"/>
          <w:numId w:val="305"/>
        </w:numPr>
        <w:shd w:val="clear" w:color="auto" w:fill="auto"/>
        <w:tabs>
          <w:tab w:pos="255" w:val="left"/>
        </w:tabs>
        <w:bidi w:val="0"/>
        <w:spacing w:before="0"/>
        <w:ind w:left="0" w:right="0" w:firstLine="0"/>
        <w:jc w:val="both"/>
      </w:pPr>
      <w:bookmarkStart w:id="194" w:name="bookmark194"/>
      <w:r>
        <w:rPr>
          <w:rFonts w:ascii="Times New Roman" w:eastAsia="Times New Roman" w:hAnsi="Times New Roman" w:cs="Times New Roman"/>
          <w:color w:val="000000"/>
          <w:spacing w:val="0"/>
          <w:w w:val="100"/>
          <w:position w:val="0"/>
          <w:shd w:val="clear" w:color="auto" w:fill="auto"/>
          <w:lang w:val="hr-HR" w:eastAsia="hr-HR" w:bidi="hr-HR"/>
        </w:rPr>
        <w:t>židovski</w:t>
      </w:r>
      <w:bookmarkEnd w:id="194"/>
    </w:p>
    <w:p>
      <w:pPr>
        <w:pStyle w:val="Style20"/>
        <w:keepNext w:val="0"/>
        <w:keepLines w:val="0"/>
        <w:widowControl w:val="0"/>
        <w:numPr>
          <w:ilvl w:val="0"/>
          <w:numId w:val="30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»Neka se ne drži predavanje... o prijestolnim kolima.-</w:t>
      </w:r>
      <w:r>
        <w:rPr>
          <w:rFonts w:ascii="Times New Roman" w:eastAsia="Times New Roman" w:hAnsi="Times New Roman" w:cs="Times New Roman"/>
          <w:color w:val="000000"/>
          <w:spacing w:val="0"/>
          <w:w w:val="100"/>
          <w:position w:val="0"/>
          <w:shd w:val="clear" w:color="auto" w:fill="auto"/>
          <w:lang w:val="hr-HR" w:eastAsia="hr-HR" w:bidi="hr-HR"/>
        </w:rPr>
        <w:t xml:space="preserve"> Povijest židovske mistike proteže se od njezinih početaka u I. stoljeću pr. Kr. do negdje u XVII. stoljeće pos. Kr.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tajni nauk </w:t>
      </w:r>
      <w:r>
        <w:rPr>
          <w:rFonts w:ascii="Times New Roman" w:eastAsia="Times New Roman" w:hAnsi="Times New Roman" w:cs="Times New Roman"/>
          <w:color w:val="000000"/>
          <w:spacing w:val="0"/>
          <w:w w:val="100"/>
          <w:position w:val="0"/>
          <w:shd w:val="clear" w:color="auto" w:fill="auto"/>
          <w:lang w:val="hr-HR" w:eastAsia="hr-HR" w:bidi="hr-HR"/>
        </w:rPr>
        <w:t>(ezoterizam): s jedne strane, mistično se zna</w:t>
        <w:softHyphen/>
        <w:t>nje ne može neposredno jezično izraziti; s druge strane, i ono što može priopćiti »skri</w:t>
        <w:softHyphen/>
        <w:t xml:space="preserve">vena mudrost« </w:t>
      </w:r>
      <w:r>
        <w:rPr>
          <w:rFonts w:ascii="Times New Roman" w:eastAsia="Times New Roman" w:hAnsi="Times New Roman" w:cs="Times New Roman"/>
          <w:i/>
          <w:iCs/>
          <w:color w:val="000000"/>
          <w:spacing w:val="0"/>
          <w:w w:val="100"/>
          <w:position w:val="0"/>
          <w:shd w:val="clear" w:color="auto" w:fill="auto"/>
          <w:lang w:val="hr-HR" w:eastAsia="hr-HR" w:bidi="hr-HR"/>
        </w:rPr>
        <w:t>(hokma nistara)</w:t>
      </w:r>
      <w:r>
        <w:rPr>
          <w:rFonts w:ascii="Times New Roman" w:eastAsia="Times New Roman" w:hAnsi="Times New Roman" w:cs="Times New Roman"/>
          <w:color w:val="000000"/>
          <w:spacing w:val="0"/>
          <w:w w:val="100"/>
          <w:position w:val="0"/>
          <w:shd w:val="clear" w:color="auto" w:fill="auto"/>
          <w:lang w:val="hr-HR" w:eastAsia="hr-HR" w:bidi="hr-HR"/>
        </w:rPr>
        <w:t xml:space="preserve"> ostaje ograni</w:t>
        <w:softHyphen/>
        <w:t xml:space="preserve">čeno na »poznavatelje milosne ljepote« </w:t>
      </w:r>
      <w:r>
        <w:rPr>
          <w:rFonts w:ascii="Times New Roman" w:eastAsia="Times New Roman" w:hAnsi="Times New Roman" w:cs="Times New Roman"/>
          <w:i/>
          <w:iCs/>
          <w:color w:val="000000"/>
          <w:spacing w:val="0"/>
          <w:w w:val="100"/>
          <w:position w:val="0"/>
          <w:shd w:val="clear" w:color="auto" w:fill="auto"/>
          <w:lang w:val="hr-HR" w:eastAsia="hr-HR" w:bidi="hr-HR"/>
        </w:rPr>
        <w:t>(jod'ej hen)</w:t>
      </w:r>
      <w:r>
        <w:rPr>
          <w:rFonts w:ascii="Times New Roman" w:eastAsia="Times New Roman" w:hAnsi="Times New Roman" w:cs="Times New Roman"/>
          <w:color w:val="000000"/>
          <w:spacing w:val="0"/>
          <w:w w:val="100"/>
          <w:position w:val="0"/>
          <w:shd w:val="clear" w:color="auto" w:fill="auto"/>
          <w:lang w:val="hr-HR" w:eastAsia="hr-HR" w:bidi="hr-HR"/>
        </w:rPr>
        <w:t xml:space="preserve"> odnosno »nositelje razuma«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(maskilim, </w:t>
      </w:r>
      <w:r>
        <w:rPr>
          <w:rFonts w:ascii="Times New Roman" w:eastAsia="Times New Roman" w:hAnsi="Times New Roman" w:cs="Times New Roman"/>
          <w:color w:val="000000"/>
          <w:spacing w:val="0"/>
          <w:w w:val="100"/>
          <w:position w:val="0"/>
          <w:shd w:val="clear" w:color="auto" w:fill="auto"/>
          <w:lang w:val="hr-HR" w:eastAsia="hr-HR" w:bidi="hr-HR"/>
        </w:rPr>
        <w:t xml:space="preserve">prosvjetitelji) ili »mudrace srca« </w:t>
      </w:r>
      <w:r>
        <w:rPr>
          <w:rFonts w:ascii="Times New Roman" w:eastAsia="Times New Roman" w:hAnsi="Times New Roman" w:cs="Times New Roman"/>
          <w:i/>
          <w:iCs/>
          <w:color w:val="000000"/>
          <w:spacing w:val="0"/>
          <w:w w:val="100"/>
          <w:position w:val="0"/>
          <w:shd w:val="clear" w:color="auto" w:fill="auto"/>
          <w:lang w:val="hr-HR" w:eastAsia="hr-HR" w:bidi="hr-HR"/>
        </w:rPr>
        <w:t>(hahmej ha- ■lev)</w:t>
      </w:r>
      <w:r>
        <w:rPr>
          <w:rFonts w:ascii="Times New Roman" w:eastAsia="Times New Roman" w:hAnsi="Times New Roman" w:cs="Times New Roman"/>
          <w:color w:val="000000"/>
          <w:spacing w:val="0"/>
          <w:w w:val="100"/>
          <w:position w:val="0"/>
          <w:shd w:val="clear" w:color="auto" w:fill="auto"/>
          <w:lang w:val="hr-HR" w:eastAsia="hr-HR" w:bidi="hr-HR"/>
        </w:rPr>
        <w:t xml:space="preserve"> i na njihove učenike koje je u to trebalo uputiti. Oni su trebali tajnom usmenom pre</w:t>
        <w:softHyphen/>
        <w:t>dajom indirektno vidljivoga stići na onaj put koji vodi k mističnoj spoznaji Boga i njegove objave. To uranjanje u tajne svijeta božanstva i njegova djelovanja (teozofija), u stvaranje i u zagonetno postojanje svijeta počelo je isto</w:t>
        <w:softHyphen/>
        <w:t>dobno s razvitkom farizejsko-rabinskoga ži</w:t>
        <w:softHyphen/>
        <w:t xml:space="preserve">dovstva. U Palestini su mistično i teozofijsko umovanje njegovali upravo učitelji Mišne iz sredine Rabana Johanana ben Zakaja koji je prije uništenja Jeruzalema bio ondje na čelu jednoga »velikog učilišta« (j Megila IV,73d), a poslije je utemeljio učilište u Javneu i uzdigao ga u novo središte židovskoga života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56a-b; Avot Rabi Natana IV), te iz sredine Rabi </w:t>
      </w:r>
      <w:r>
        <w:rPr>
          <w:rFonts w:ascii="Times New Roman" w:eastAsia="Times New Roman" w:hAnsi="Times New Roman" w:cs="Times New Roman"/>
          <w:color w:val="000000"/>
          <w:spacing w:val="0"/>
          <w:w w:val="100"/>
          <w:position w:val="0"/>
          <w:shd w:val="clear" w:color="auto" w:fill="auto"/>
          <w:lang w:val="en-US" w:eastAsia="en-US" w:bidi="en-US"/>
        </w:rPr>
        <w:t xml:space="preserve">Akive ben Josefa, </w:t>
      </w:r>
      <w:r>
        <w:rPr>
          <w:rFonts w:ascii="Times New Roman" w:eastAsia="Times New Roman" w:hAnsi="Times New Roman" w:cs="Times New Roman"/>
          <w:color w:val="000000"/>
          <w:spacing w:val="0"/>
          <w:w w:val="100"/>
          <w:position w:val="0"/>
          <w:shd w:val="clear" w:color="auto" w:fill="auto"/>
          <w:lang w:val="hr-HR" w:eastAsia="hr-HR" w:bidi="hr-HR"/>
        </w:rPr>
        <w:t xml:space="preserve">koji je vodio školu u Bene </w:t>
      </w:r>
      <w:r>
        <w:rPr>
          <w:rFonts w:ascii="Times New Roman" w:eastAsia="Times New Roman" w:hAnsi="Times New Roman" w:cs="Times New Roman"/>
          <w:color w:val="000000"/>
          <w:spacing w:val="0"/>
          <w:w w:val="100"/>
          <w:position w:val="0"/>
          <w:shd w:val="clear" w:color="auto" w:fill="auto"/>
          <w:lang w:val="en-US" w:eastAsia="en-US" w:bidi="en-US"/>
        </w:rPr>
        <w:t xml:space="preserve">Bcraku </w:t>
      </w:r>
      <w:r>
        <w:rPr>
          <w:rFonts w:ascii="Times New Roman" w:eastAsia="Times New Roman" w:hAnsi="Times New Roman" w:cs="Times New Roman"/>
          <w:color w:val="000000"/>
          <w:spacing w:val="0"/>
          <w:w w:val="100"/>
          <w:position w:val="0"/>
          <w:shd w:val="clear" w:color="auto" w:fill="auto"/>
          <w:lang w:val="hr-HR" w:eastAsia="hr-HR" w:bidi="hr-HR"/>
        </w:rPr>
        <w:t xml:space="preserve">(b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32b), poučavao mnogo</w:t>
        <w:softHyphen/>
        <w:t xml:space="preserve">brojne sljedbenike (b Ncdarim 50a) i snažno utjecao na formulaciju i prenošenje tradicije usmenoga nauka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86a). Istinski nositelji najstarijega organiziranog pokreta ži</w:t>
        <w:softHyphen/>
        <w:t xml:space="preserve">dovske mistike u doba njezina procvata od III.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VI. stoljeća pos. Kr. kriju se iza imena ve</w:t>
        <w:softHyphen/>
        <w:t>likih učitelja talmudskoga doba. Kao izvanred</w:t>
        <w:softHyphen/>
        <w:t xml:space="preserve">ni poznavaoci teozofijskoga nauka o pojavi prijestolnih kola, osim Rabana Johanana ben Zakaja (oko 40) i Rabi Akivc (mučenička smrt oko 135), navode se (Tos. Hagiga 11,1.2; b 14b):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ben Arah (oko 90), Rabi Jošua ben Hananja (oko 90) i Rabi Hananja ben Hahinaj (oko 120), pa (b Hagiga 13a) Ra</w:t>
        <w:softHyphen/>
        <w:t xml:space="preserve">bi Johanan (III. stoljeće), Rabi Aši (oko 300) i Rav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 xml:space="preserve">(IV. stoljeće) i rav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(IV. sto</w:t>
        <w:softHyphen/>
        <w:t>ljeće). Tradicijska literatura nudi mnogobroj</w:t>
        <w:softHyphen/>
        <w:t xml:space="preserve">ne, razasute primjere mudrosti, čuvane pod strogim mjerama opreza kao tajni nauk (M Megila IV,10; b Hagiga 13a; Pcsikta 145b; Berešit raba 111,1,3; Vajikra raba XXXI,24,2): »Neka se predavanje...: o stvaranju </w:t>
      </w:r>
      <w:r>
        <w:rPr>
          <w:rFonts w:ascii="Times New Roman" w:eastAsia="Times New Roman" w:hAnsi="Times New Roman" w:cs="Times New Roman"/>
          <w:i/>
          <w:iCs/>
          <w:color w:val="000000"/>
          <w:spacing w:val="0"/>
          <w:w w:val="100"/>
          <w:position w:val="0"/>
          <w:shd w:val="clear" w:color="auto" w:fill="auto"/>
          <w:lang w:val="hr-HR" w:eastAsia="hr-HR" w:bidi="hr-HR"/>
        </w:rPr>
        <w:t>(ma'ase be-relit)</w:t>
      </w:r>
      <w:r>
        <w:rPr>
          <w:rFonts w:ascii="Times New Roman" w:eastAsia="Times New Roman" w:hAnsi="Times New Roman" w:cs="Times New Roman"/>
          <w:color w:val="000000"/>
          <w:spacing w:val="0"/>
          <w:w w:val="100"/>
          <w:position w:val="0"/>
          <w:shd w:val="clear" w:color="auto" w:fill="auto"/>
          <w:lang w:val="hr-HR" w:eastAsia="hr-HR" w:bidi="hr-HR"/>
        </w:rPr>
        <w:t xml:space="preserve"> ne drži pred dvojicom, a o prijcstol- nim kolima niti pred jednim </w:t>
      </w:r>
      <w:r>
        <w:rPr>
          <w:rFonts w:ascii="Times New Roman" w:eastAsia="Times New Roman" w:hAnsi="Times New Roman" w:cs="Times New Roman"/>
          <w:i/>
          <w:iCs/>
          <w:color w:val="000000"/>
          <w:spacing w:val="0"/>
          <w:w w:val="100"/>
          <w:position w:val="0"/>
          <w:shd w:val="clear" w:color="auto" w:fill="auto"/>
          <w:lang w:val="hr-HR" w:eastAsia="hr-HR" w:bidi="hr-HR"/>
        </w:rPr>
        <w:t>(merkava,</w:t>
      </w:r>
      <w:r>
        <w:rPr>
          <w:rFonts w:ascii="Times New Roman" w:eastAsia="Times New Roman" w:hAnsi="Times New Roman" w:cs="Times New Roman"/>
          <w:color w:val="000000"/>
          <w:spacing w:val="0"/>
          <w:w w:val="100"/>
          <w:position w:val="0"/>
          <w:shd w:val="clear" w:color="auto" w:fill="auto"/>
          <w:lang w:val="hr-HR" w:eastAsia="hr-HR" w:bidi="hr-HR"/>
        </w:rPr>
        <w:t xml:space="preserve"> usp. Ez 1; 10), osim ako je to mudrac koji je stekao uvid vlastitim razmišljanjem« (M Hagiga 11,1; usp. Tos. 11,1.7; b 14b). Od onih koji su pro</w:t>
        <w:softHyphen/>
        <w:t>drli u »skrivenu mudrost«, nisu svi preživjeli mistične studije: »Četvorica su ušla u raj... Ben Asaj je pogledao i umro... Ben Soma je pogledao i pretrpio štetu...«, samo je rabin Akiba dospio do »blistavih mramora« i preži</w:t>
        <w:softHyphen/>
        <w:t>vio (b Hagiga 14b; Tos. 11,3). Najvažniji doku</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menti ranoga židovskog czotcrizma (»heka- lotski« tekstovi) opisuju nebeske dvore </w:t>
      </w:r>
      <w:r>
        <w:rPr>
          <w:rFonts w:ascii="Times New Roman" w:eastAsia="Times New Roman" w:hAnsi="Times New Roman" w:cs="Times New Roman"/>
          <w:i/>
          <w:iCs/>
          <w:color w:val="000000"/>
          <w:spacing w:val="0"/>
          <w:w w:val="100"/>
          <w:position w:val="0"/>
          <w:shd w:val="clear" w:color="auto" w:fill="auto"/>
          <w:lang w:val="hr-HR" w:eastAsia="hr-HR" w:bidi="hr-HR"/>
        </w:rPr>
        <w:t>(heka- lot)</w:t>
      </w:r>
      <w:r>
        <w:rPr>
          <w:rFonts w:ascii="Times New Roman" w:eastAsia="Times New Roman" w:hAnsi="Times New Roman" w:cs="Times New Roman"/>
          <w:color w:val="000000"/>
          <w:spacing w:val="0"/>
          <w:w w:val="100"/>
          <w:position w:val="0"/>
          <w:shd w:val="clear" w:color="auto" w:fill="auto"/>
          <w:lang w:val="hr-HR" w:eastAsia="hr-HR" w:bidi="hr-HR"/>
        </w:rPr>
        <w:t xml:space="preserve"> u koje ulazi gledatelj, a u posljednjem, sedmom, nalazi se prijestolje Božje slave (P. </w:t>
      </w:r>
      <w:r>
        <w:rPr>
          <w:rFonts w:ascii="Times New Roman" w:eastAsia="Times New Roman" w:hAnsi="Times New Roman" w:cs="Times New Roman"/>
          <w:color w:val="000000"/>
          <w:spacing w:val="0"/>
          <w:w w:val="100"/>
          <w:position w:val="0"/>
          <w:shd w:val="clear" w:color="auto" w:fill="auto"/>
          <w:lang w:val="en-US" w:eastAsia="en-US" w:bidi="en-US"/>
        </w:rPr>
        <w:t xml:space="preserve">Schafer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dr. (Hrsg.), </w:t>
      </w:r>
      <w:r>
        <w:rPr>
          <w:rFonts w:ascii="Times New Roman" w:eastAsia="Times New Roman" w:hAnsi="Times New Roman" w:cs="Times New Roman"/>
          <w:i/>
          <w:iCs/>
          <w:color w:val="000000"/>
          <w:spacing w:val="0"/>
          <w:w w:val="100"/>
          <w:position w:val="0"/>
          <w:shd w:val="clear" w:color="auto" w:fill="auto"/>
          <w:lang w:val="en-US" w:eastAsia="en-US" w:bidi="en-US"/>
        </w:rPr>
        <w:t xml:space="preserve">Synapse </w:t>
      </w:r>
      <w:r>
        <w:rPr>
          <w:rFonts w:ascii="Times New Roman" w:eastAsia="Times New Roman" w:hAnsi="Times New Roman" w:cs="Times New Roman"/>
          <w:i/>
          <w:iCs/>
          <w:color w:val="000000"/>
          <w:spacing w:val="0"/>
          <w:w w:val="100"/>
          <w:position w:val="0"/>
          <w:shd w:val="clear" w:color="auto" w:fill="auto"/>
          <w:lang w:val="hr-HR" w:eastAsia="hr-HR" w:bidi="hr-HR"/>
        </w:rPr>
        <w:t>zur Ilekhalot- Lileralur.</w:t>
      </w:r>
      <w:r>
        <w:rPr>
          <w:rFonts w:ascii="Times New Roman" w:eastAsia="Times New Roman" w:hAnsi="Times New Roman" w:cs="Times New Roman"/>
          <w:color w:val="000000"/>
          <w:spacing w:val="0"/>
          <w:w w:val="100"/>
          <w:position w:val="0"/>
          <w:shd w:val="clear" w:color="auto" w:fill="auto"/>
          <w:lang w:val="hr-HR" w:eastAsia="hr-HR" w:bidi="hr-HR"/>
        </w:rPr>
        <w:t xml:space="preserve"> 1984).</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srednjovjekovnoj židovskoj mistici, ponaj</w:t>
        <w:softHyphen/>
        <w:t>prije onoj iz XII. i XIII. stoljeća, posrijedi je bio svjesni tajni nauk. Budući da njegova tema nije bilo znanje stečeno iz osobnog iskustva pojedinca, nego se prije moglo primati samo predajom preneseno prvobitno znanje čovje</w:t>
        <w:softHyphen/>
        <w:t xml:space="preserve">čanstva - znanje Adama, prvoga čovjeka, o ljudskom i božanskom (usp. Meir ibn Gabaj, </w:t>
      </w:r>
      <w:r>
        <w:rPr>
          <w:rFonts w:ascii="Times New Roman" w:eastAsia="Times New Roman" w:hAnsi="Times New Roman" w:cs="Times New Roman"/>
          <w:i/>
          <w:iCs/>
          <w:color w:val="000000"/>
          <w:spacing w:val="0"/>
          <w:w w:val="100"/>
          <w:position w:val="0"/>
          <w:shd w:val="clear" w:color="auto" w:fill="auto"/>
          <w:lang w:val="hr-HR" w:eastAsia="hr-HR" w:bidi="hr-HR"/>
        </w:rPr>
        <w:t>Avodat ha-kodeš,</w:t>
      </w:r>
      <w:r>
        <w:rPr>
          <w:rFonts w:ascii="Times New Roman" w:eastAsia="Times New Roman" w:hAnsi="Times New Roman" w:cs="Times New Roman"/>
          <w:color w:val="000000"/>
          <w:spacing w:val="0"/>
          <w:w w:val="100"/>
          <w:position w:val="0"/>
          <w:shd w:val="clear" w:color="auto" w:fill="auto"/>
          <w:lang w:val="hr-HR" w:eastAsia="hr-HR" w:bidi="hr-HR"/>
        </w:rPr>
        <w:t xml:space="preserve"> 1531) - s tim židovskim ezo- terizmom povezivalo se ime </w:t>
      </w:r>
      <w:r>
        <w:rPr>
          <w:rFonts w:ascii="Times New Roman" w:eastAsia="Times New Roman" w:hAnsi="Times New Roman" w:cs="Times New Roman"/>
          <w:i/>
          <w:iCs/>
          <w:color w:val="000000"/>
          <w:spacing w:val="0"/>
          <w:w w:val="100"/>
          <w:position w:val="0"/>
          <w:shd w:val="clear" w:color="auto" w:fill="auto"/>
          <w:lang w:val="hr-HR" w:eastAsia="hr-HR" w:bidi="hr-HR"/>
        </w:rPr>
        <w:t>kabala;</w:t>
      </w:r>
      <w:r>
        <w:rPr>
          <w:rFonts w:ascii="Times New Roman" w:eastAsia="Times New Roman" w:hAnsi="Times New Roman" w:cs="Times New Roman"/>
          <w:color w:val="000000"/>
          <w:spacing w:val="0"/>
          <w:w w:val="100"/>
          <w:position w:val="0"/>
          <w:shd w:val="clear" w:color="auto" w:fill="auto"/>
          <w:lang w:val="hr-HR" w:eastAsia="hr-HR" w:bidi="hr-HR"/>
        </w:rPr>
        <w:t xml:space="preserve"> za razliku od njegove dotadašnje primjene kao naziva za usmenu Toru tradicijskoga lanca (M Avot 1,1.3, v. 6.8.10.12), taj je pojam sada dobio specifično značenje nauka koji se bavi najta- janstvenijim i najdubljim znanjem o ljudskom životu, ograničenom na mistike svih razdob</w:t>
        <w:softHyphen/>
        <w:t xml:space="preserve">lja, i koji je tajan s obzirom na okolnosti svoje predaje. Pjesnik i filozof </w:t>
      </w:r>
      <w:r>
        <w:rPr>
          <w:rFonts w:ascii="Times New Roman" w:eastAsia="Times New Roman" w:hAnsi="Times New Roman" w:cs="Times New Roman"/>
          <w:color w:val="000000"/>
          <w:spacing w:val="0"/>
          <w:w w:val="100"/>
          <w:position w:val="0"/>
          <w:shd w:val="clear" w:color="auto" w:fill="auto"/>
          <w:lang w:val="en-US" w:eastAsia="en-US" w:bidi="en-US"/>
        </w:rPr>
        <w:t xml:space="preserve">Salomon ben </w:t>
      </w:r>
      <w:r>
        <w:rPr>
          <w:rFonts w:ascii="Times New Roman" w:eastAsia="Times New Roman" w:hAnsi="Times New Roman" w:cs="Times New Roman"/>
          <w:color w:val="000000"/>
          <w:spacing w:val="0"/>
          <w:w w:val="100"/>
          <w:position w:val="0"/>
          <w:shd w:val="clear" w:color="auto" w:fill="auto"/>
          <w:lang w:val="hr-HR" w:eastAsia="hr-HR" w:bidi="hr-HR"/>
        </w:rPr>
        <w:t xml:space="preserve">Juda ibn Gabirol (XI. stoljeće), koji je u svojem himnu »Kraljevska kruna« </w:t>
      </w:r>
      <w:r>
        <w:rPr>
          <w:rFonts w:ascii="Times New Roman" w:eastAsia="Times New Roman" w:hAnsi="Times New Roman" w:cs="Times New Roman"/>
          <w:i/>
          <w:iCs/>
          <w:color w:val="000000"/>
          <w:spacing w:val="0"/>
          <w:w w:val="100"/>
          <w:position w:val="0"/>
          <w:shd w:val="clear" w:color="auto" w:fill="auto"/>
          <w:lang w:val="hr-HR" w:eastAsia="hr-HR" w:bidi="hr-HR"/>
        </w:rPr>
        <w:t>(keter malhut)</w:t>
      </w:r>
      <w:r>
        <w:rPr>
          <w:rFonts w:ascii="Times New Roman" w:eastAsia="Times New Roman" w:hAnsi="Times New Roman" w:cs="Times New Roman"/>
          <w:color w:val="000000"/>
          <w:spacing w:val="0"/>
          <w:w w:val="100"/>
          <w:position w:val="0"/>
          <w:shd w:val="clear" w:color="auto" w:fill="auto"/>
          <w:lang w:val="hr-HR" w:eastAsia="hr-HR" w:bidi="hr-HR"/>
        </w:rPr>
        <w:t xml:space="preserve"> smje</w:t>
        <w:softHyphen/>
        <w:t>lo ocrtao teozofijsku sliku svijeta i prvi u tom posebnom smislu uporabio taj pojam.</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otprilike 1200. godine židovski mistici, koji su zastupali taj tajni nauk, nazivali su se »gos</w:t>
        <w:softHyphen/>
        <w:t xml:space="preserve">podarima kabale« </w:t>
      </w:r>
      <w:r>
        <w:rPr>
          <w:rFonts w:ascii="Times New Roman" w:eastAsia="Times New Roman" w:hAnsi="Times New Roman" w:cs="Times New Roman"/>
          <w:i/>
          <w:iCs/>
          <w:color w:val="000000"/>
          <w:spacing w:val="0"/>
          <w:w w:val="100"/>
          <w:position w:val="0"/>
          <w:shd w:val="clear" w:color="auto" w:fill="auto"/>
          <w:lang w:val="hr-HR" w:eastAsia="hr-HR" w:bidi="hr-HR"/>
        </w:rPr>
        <w:t>(ba’alejha-kabala).</w:t>
      </w:r>
      <w:r>
        <w:rPr>
          <w:rFonts w:ascii="Times New Roman" w:eastAsia="Times New Roman" w:hAnsi="Times New Roman" w:cs="Times New Roman"/>
          <w:color w:val="000000"/>
          <w:spacing w:val="0"/>
          <w:w w:val="100"/>
          <w:position w:val="0"/>
          <w:shd w:val="clear" w:color="auto" w:fill="auto"/>
          <w:lang w:val="hr-HR" w:eastAsia="hr-HR" w:bidi="hr-HR"/>
        </w:rPr>
        <w:t xml:space="preserve"> Pod doj</w:t>
        <w:softHyphen/>
        <w:t>mom katastrofalnih događaja iz doba križar</w:t>
        <w:softHyphen/>
        <w:t>skih ratova (1096. i 1147.) i iskustava najtežih progona i stalne pripravnosti na mučeništvo, židovstvo je u Njemačkoj znatno pridonijelo povijesti naroda u dijaspori: iz religiozne po</w:t>
        <w:softHyphen/>
        <w:t xml:space="preserve">bude nastao je tzv. </w:t>
      </w:r>
      <w:r>
        <w:rPr>
          <w:rFonts w:ascii="Times New Roman" w:eastAsia="Times New Roman" w:hAnsi="Times New Roman" w:cs="Times New Roman"/>
          <w:i/>
          <w:iCs/>
          <w:color w:val="000000"/>
          <w:spacing w:val="0"/>
          <w:w w:val="100"/>
          <w:position w:val="0"/>
          <w:shd w:val="clear" w:color="auto" w:fill="auto"/>
          <w:lang w:val="hr-HR" w:eastAsia="hr-HR" w:bidi="hr-HR"/>
        </w:rPr>
        <w:t>njemački hasidizam.</w:t>
      </w:r>
      <w:r>
        <w:rPr>
          <w:rFonts w:ascii="Times New Roman" w:eastAsia="Times New Roman" w:hAnsi="Times New Roman" w:cs="Times New Roman"/>
          <w:color w:val="000000"/>
          <w:spacing w:val="0"/>
          <w:w w:val="100"/>
          <w:position w:val="0"/>
          <w:shd w:val="clear" w:color="auto" w:fill="auto"/>
          <w:lang w:val="hr-HR" w:eastAsia="hr-HR" w:bidi="hr-HR"/>
        </w:rPr>
        <w:t xml:space="preserve"> Već sam izraz »hasidej Aškenaz« (»pobožnici Nje</w:t>
        <w:softHyphen/>
        <w:t>mačke«), kako su suvremenici nazivali nosi</w:t>
        <w:softHyphen/>
        <w:t>telje toga novog mističnog pokreta, obilježava njihovo djelovanje; naime, već je hasid naj</w:t>
        <w:softHyphen/>
        <w:t xml:space="preserve">starijega rabinizma bio sklon tomu da jedan jedini propis židovskoga životnog puta </w:t>
      </w:r>
      <w:r>
        <w:rPr>
          <w:rFonts w:ascii="Times New Roman" w:eastAsia="Times New Roman" w:hAnsi="Times New Roman" w:cs="Times New Roman"/>
          <w:i/>
          <w:iCs/>
          <w:color w:val="000000"/>
          <w:spacing w:val="0"/>
          <w:w w:val="100"/>
          <w:position w:val="0"/>
          <w:shd w:val="clear" w:color="auto" w:fill="auto"/>
          <w:lang w:val="hr-HR" w:eastAsia="hr-HR" w:bidi="hr-HR"/>
        </w:rPr>
        <w:t>(ha- laha)</w:t>
      </w:r>
      <w:r>
        <w:rPr>
          <w:rFonts w:ascii="Times New Roman" w:eastAsia="Times New Roman" w:hAnsi="Times New Roman" w:cs="Times New Roman"/>
          <w:color w:val="000000"/>
          <w:spacing w:val="0"/>
          <w:w w:val="100"/>
          <w:position w:val="0"/>
          <w:shd w:val="clear" w:color="auto" w:fill="auto"/>
          <w:lang w:val="hr-HR" w:eastAsia="hr-HR" w:bidi="hr-HR"/>
        </w:rPr>
        <w:t xml:space="preserve"> shvati najozbiljnije, pa se time razliko</w:t>
        <w:softHyphen/>
        <w:t>vao od naslijeđenoga židovskog ideala pra</w:t>
        <w:softHyphen/>
        <w:t xml:space="preserve">vednika </w:t>
      </w:r>
      <w:r>
        <w:rPr>
          <w:rFonts w:ascii="Times New Roman" w:eastAsia="Times New Roman" w:hAnsi="Times New Roman" w:cs="Times New Roman"/>
          <w:i/>
          <w:iCs/>
          <w:color w:val="000000"/>
          <w:spacing w:val="0"/>
          <w:w w:val="100"/>
          <w:position w:val="0"/>
          <w:shd w:val="clear" w:color="auto" w:fill="auto"/>
          <w:lang w:val="hr-HR" w:eastAsia="hr-HR" w:bidi="hr-HR"/>
        </w:rPr>
        <w:t>(cadik)</w:t>
      </w:r>
      <w:r>
        <w:rPr>
          <w:rFonts w:ascii="Times New Roman" w:eastAsia="Times New Roman" w:hAnsi="Times New Roman" w:cs="Times New Roman"/>
          <w:color w:val="000000"/>
          <w:spacing w:val="0"/>
          <w:w w:val="100"/>
          <w:position w:val="0"/>
          <w:shd w:val="clear" w:color="auto" w:fill="auto"/>
          <w:lang w:val="hr-HR" w:eastAsia="hr-HR" w:bidi="hr-HR"/>
        </w:rPr>
        <w:t xml:space="preserve"> koji nastoji ispuniti sve od</w:t>
        <w:softHyphen/>
        <w:t>redbe božanske upute za život na jednak na</w:t>
        <w:softHyphen/>
        <w:t>čin, u pravoj mjeri i u pravo vrijeme. Iste radi</w:t>
        <w:softHyphen/>
        <w:t>kalne crte religijskoga i moralnog života ka</w:t>
        <w:softHyphen/>
        <w:t xml:space="preserve">rakteriziraju njemačke </w:t>
      </w:r>
      <w:r>
        <w:rPr>
          <w:rFonts w:ascii="Times New Roman" w:eastAsia="Times New Roman" w:hAnsi="Times New Roman" w:cs="Times New Roman"/>
          <w:i/>
          <w:iCs/>
          <w:color w:val="000000"/>
          <w:spacing w:val="0"/>
          <w:w w:val="100"/>
          <w:position w:val="0"/>
          <w:shd w:val="clear" w:color="auto" w:fill="auto"/>
          <w:lang w:val="hr-HR" w:eastAsia="hr-HR" w:bidi="hr-HR"/>
        </w:rPr>
        <w:t>hasidim</w:t>
      </w:r>
      <w:r>
        <w:rPr>
          <w:rFonts w:ascii="Times New Roman" w:eastAsia="Times New Roman" w:hAnsi="Times New Roman" w:cs="Times New Roman"/>
          <w:color w:val="000000"/>
          <w:spacing w:val="0"/>
          <w:w w:val="100"/>
          <w:position w:val="0"/>
          <w:shd w:val="clear" w:color="auto" w:fill="auto"/>
          <w:lang w:val="hr-HR" w:eastAsia="hr-HR" w:bidi="hr-HR"/>
        </w:rPr>
        <w:t xml:space="preserve"> koji su se u XII. i XIII. stoljeću pojavili u Porajnju, i njihov se utjecaj odražavao u sjevernoj Francuskoj i ši</w:t>
        <w:softHyphen/>
        <w:t xml:space="preserve">rio prema južnoj i srednjoj Njemačkoj. Kao </w:t>
      </w:r>
      <w:r>
        <w:rPr>
          <w:rFonts w:ascii="Times New Roman" w:eastAsia="Times New Roman" w:hAnsi="Times New Roman" w:cs="Times New Roman"/>
          <w:color w:val="000000"/>
          <w:spacing w:val="0"/>
          <w:w w:val="100"/>
          <w:position w:val="0"/>
          <w:shd w:val="clear" w:color="auto" w:fill="auto"/>
          <w:lang w:val="hr-HR" w:eastAsia="hr-HR" w:bidi="hr-HR"/>
        </w:rPr>
        <w:t>što su »mudraci srca«, koji su u talmudsko doba predstavljali »skrivenu mudrost«, pripa</w:t>
        <w:softHyphen/>
        <w:t>dali istaknutom soju učenjaka, tako se i sredn</w:t>
        <w:softHyphen/>
        <w:t>jovjekovni njemački hasidizam njegovao u krugu obitelji Kalonimida, podrijetlom iz Ita</w:t>
        <w:softHyphen/>
        <w:t xml:space="preserve">lije, koja je stoljećima davala ton duhovnom životu u </w:t>
      </w:r>
      <w:r>
        <w:rPr>
          <w:rFonts w:ascii="Times New Roman" w:eastAsia="Times New Roman" w:hAnsi="Times New Roman" w:cs="Times New Roman"/>
          <w:color w:val="000000"/>
          <w:spacing w:val="0"/>
          <w:w w:val="100"/>
          <w:position w:val="0"/>
          <w:shd w:val="clear" w:color="auto" w:fill="auto"/>
          <w:lang w:val="en-US" w:eastAsia="en-US" w:bidi="en-US"/>
        </w:rPr>
        <w:t xml:space="preserve">Speyeru, Wormsu </w:t>
      </w:r>
      <w:r>
        <w:rPr>
          <w:rFonts w:ascii="Times New Roman" w:eastAsia="Times New Roman" w:hAnsi="Times New Roman" w:cs="Times New Roman"/>
          <w:color w:val="000000"/>
          <w:spacing w:val="0"/>
          <w:w w:val="100"/>
          <w:position w:val="0"/>
          <w:shd w:val="clear" w:color="auto" w:fill="auto"/>
          <w:lang w:val="hr-HR" w:eastAsia="hr-HR" w:bidi="hr-HR"/>
        </w:rPr>
        <w:t>i Mainzu. Njemač</w:t>
        <w:softHyphen/>
        <w:t xml:space="preserve">ki hasidizam oblikovala su tri člana te obitelji: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Hasid iz </w:t>
      </w:r>
      <w:r>
        <w:rPr>
          <w:rFonts w:ascii="Times New Roman" w:eastAsia="Times New Roman" w:hAnsi="Times New Roman" w:cs="Times New Roman"/>
          <w:color w:val="000000"/>
          <w:spacing w:val="0"/>
          <w:w w:val="100"/>
          <w:position w:val="0"/>
          <w:shd w:val="clear" w:color="auto" w:fill="auto"/>
          <w:lang w:val="en-US" w:eastAsia="en-US" w:bidi="en-US"/>
        </w:rPr>
        <w:t xml:space="preserve">Speycra </w:t>
      </w:r>
      <w:r>
        <w:rPr>
          <w:rFonts w:ascii="Times New Roman" w:eastAsia="Times New Roman" w:hAnsi="Times New Roman" w:cs="Times New Roman"/>
          <w:color w:val="000000"/>
          <w:spacing w:val="0"/>
          <w:w w:val="100"/>
          <w:position w:val="0"/>
          <w:shd w:val="clear" w:color="auto" w:fill="auto"/>
          <w:lang w:val="hr-HR" w:eastAsia="hr-HR" w:bidi="hr-HR"/>
        </w:rPr>
        <w:t>sredinom XII. sto</w:t>
        <w:softHyphen/>
        <w:t xml:space="preserve">ljeća, njegov sin Juda Hasid iz </w:t>
      </w:r>
      <w:r>
        <w:rPr>
          <w:rFonts w:ascii="Times New Roman" w:eastAsia="Times New Roman" w:hAnsi="Times New Roman" w:cs="Times New Roman"/>
          <w:color w:val="000000"/>
          <w:spacing w:val="0"/>
          <w:w w:val="100"/>
          <w:position w:val="0"/>
          <w:shd w:val="clear" w:color="auto" w:fill="auto"/>
          <w:lang w:val="en-US" w:eastAsia="en-US" w:bidi="en-US"/>
        </w:rPr>
        <w:t xml:space="preserve">Wormsa </w:t>
      </w:r>
      <w:r>
        <w:rPr>
          <w:rFonts w:ascii="Times New Roman" w:eastAsia="Times New Roman" w:hAnsi="Times New Roman" w:cs="Times New Roman"/>
          <w:color w:val="000000"/>
          <w:spacing w:val="0"/>
          <w:w w:val="100"/>
          <w:position w:val="0"/>
          <w:shd w:val="clear" w:color="auto" w:fill="auto"/>
          <w:lang w:val="hr-HR" w:eastAsia="hr-HR" w:bidi="hr-HR"/>
        </w:rPr>
        <w:t xml:space="preserve">(oko 1150-1217) te njegov učenik i rođak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ben Juda iz </w:t>
      </w:r>
      <w:r>
        <w:rPr>
          <w:rFonts w:ascii="Times New Roman" w:eastAsia="Times New Roman" w:hAnsi="Times New Roman" w:cs="Times New Roman"/>
          <w:color w:val="000000"/>
          <w:spacing w:val="0"/>
          <w:w w:val="100"/>
          <w:position w:val="0"/>
          <w:shd w:val="clear" w:color="auto" w:fill="auto"/>
          <w:lang w:val="en-US" w:eastAsia="en-US" w:bidi="en-US"/>
        </w:rPr>
        <w:t xml:space="preserve">Wormsa </w:t>
      </w:r>
      <w:r>
        <w:rPr>
          <w:rFonts w:ascii="Times New Roman" w:eastAsia="Times New Roman" w:hAnsi="Times New Roman" w:cs="Times New Roman"/>
          <w:color w:val="000000"/>
          <w:spacing w:val="0"/>
          <w:w w:val="100"/>
          <w:position w:val="0"/>
          <w:shd w:val="clear" w:color="auto" w:fill="auto"/>
          <w:lang w:val="hr-HR" w:eastAsia="hr-HR" w:bidi="hr-HR"/>
        </w:rPr>
        <w:t>(oko 1230). Oni su stvo</w:t>
        <w:softHyphen/>
        <w:t>rili sloj »asketa zajednice« koji su davali pred</w:t>
        <w:softHyphen/>
        <w:t>nost kontemplativnom životu za razliku od aktivnoga. U povijesnoj ili književnoj vezi sa starijim ezoteričnim predajama nisu neizbježno samo one obitelji koje su u tradicijskom smis</w:t>
        <w:softHyphen/>
        <w:t>lu imale najveće obrazovanje, pismoznanstvo i pobožnost i koje su istodobno poticale i obli</w:t>
        <w:softHyphen/>
        <w:t>kovale novu mistiku njemačkoga hasidizma, nego i isto toliko važne francuske obitelji iz Languedoca, koje su od 1150. do 1250. imale važnu ulogu u kristalizaciji provansalske ka</w:t>
        <w:softHyphen/>
        <w:t>bale; to pokazuje Sefer ha-bahir, knjiga koja je doduše objavljena u Provansi oko 1180. go</w:t>
        <w:softHyphen/>
        <w:t>dine, no čije se podrijetlo može objasniti taj</w:t>
        <w:softHyphen/>
        <w:t>nim istočnjačkim židovsko-gnostičkim skupi</w:t>
        <w:softHyphen/>
        <w:t>nama. Kabala je nastala u Provansi kada se u Languedocu proširio crkvenootpadnički ka- tarski i biblicistički valdenški nauk. Njihovi sljedbenici izdvojili su se iz svjetovnoga života (odatle nazivi</w:t>
      </w:r>
      <w:r>
        <w:rPr>
          <w:rFonts w:ascii="Times New Roman" w:eastAsia="Times New Roman" w:hAnsi="Times New Roman" w:cs="Times New Roman"/>
          <w:i/>
          <w:iCs/>
          <w:color w:val="000000"/>
          <w:spacing w:val="0"/>
          <w:w w:val="100"/>
          <w:position w:val="0"/>
          <w:shd w:val="clear" w:color="auto" w:fill="auto"/>
          <w:lang w:val="hr-HR" w:eastAsia="hr-HR" w:bidi="hr-HR"/>
        </w:rPr>
        <w:t>perušim</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nezirim)</w:t>
      </w:r>
      <w:r>
        <w:rPr>
          <w:rFonts w:ascii="Times New Roman" w:eastAsia="Times New Roman" w:hAnsi="Times New Roman" w:cs="Times New Roman"/>
          <w:color w:val="000000"/>
          <w:spacing w:val="0"/>
          <w:w w:val="100"/>
          <w:position w:val="0"/>
          <w:shd w:val="clear" w:color="auto" w:fill="auto"/>
          <w:lang w:val="hr-HR" w:eastAsia="hr-HR" w:bidi="hr-HR"/>
        </w:rPr>
        <w:t xml:space="preserve"> i posvetili se kontemplativnom proučavanju Tore.</w:t>
      </w:r>
    </w:p>
    <w:p>
      <w:pPr>
        <w:pStyle w:val="Style20"/>
        <w:keepNext w:val="0"/>
        <w:keepLines w:val="0"/>
        <w:widowControl w:val="0"/>
        <w:shd w:val="clear" w:color="auto" w:fill="auto"/>
        <w:bidi w:val="0"/>
        <w:spacing w:before="0" w:after="0"/>
        <w:ind w:left="0" w:right="0" w:firstLine="0"/>
        <w:jc w:val="both"/>
        <w:sectPr>
          <w:headerReference w:type="default" r:id="rId803"/>
          <w:footerReference w:type="default" r:id="rId804"/>
          <w:headerReference w:type="even" r:id="rId805"/>
          <w:footerReference w:type="even" r:id="rId806"/>
          <w:headerReference w:type="first" r:id="rId807"/>
          <w:footerReference w:type="first" r:id="rId808"/>
          <w:footnotePr>
            <w:pos w:val="pageBottom"/>
            <w:numFmt w:val="decimal"/>
            <w:numRestart w:val="continuous"/>
            <w15:footnoteColumns w:val="1"/>
          </w:footnotePr>
          <w:pgSz w:w="6816" w:h="11006"/>
          <w:pgMar w:top="856" w:left="188" w:right="191" w:bottom="266" w:header="0" w:footer="3" w:gutter="0"/>
          <w:pgNumType w:start="268"/>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Ezoterična m. završila je u XVII. stoljeću izbi</w:t>
        <w:softHyphen/>
        <w:t>janjem masovnoga šabetajskog pokreta, s po</w:t>
        <w:softHyphen/>
        <w:t>javom kabalista Sabctaja Ccvija (1626-76) kao Mesije sve do njegova otpadništva od židov</w:t>
        <w:softHyphen/>
        <w:t>stva i prelaska na islam te s dolaskom i uspje</w:t>
        <w:softHyphen/>
        <w:t>hom do tada posljednje velike mističke struje u hasidizmu među poljskim Židovima od dru</w:t>
        <w:softHyphen/>
        <w:t>ge polovine XVIII. stoljeća. Novija kabala ko</w:t>
        <w:softHyphen/>
        <w:t xml:space="preserve">ju je već bio utemeljio Izak </w:t>
      </w:r>
      <w:r>
        <w:rPr>
          <w:rFonts w:ascii="Times New Roman" w:eastAsia="Times New Roman" w:hAnsi="Times New Roman" w:cs="Times New Roman"/>
          <w:color w:val="000000"/>
          <w:spacing w:val="0"/>
          <w:w w:val="100"/>
          <w:position w:val="0"/>
          <w:shd w:val="clear" w:color="auto" w:fill="auto"/>
          <w:lang w:val="en-US" w:eastAsia="en-US" w:bidi="en-US"/>
        </w:rPr>
        <w:t xml:space="preserve">Luria </w:t>
      </w:r>
      <w:r>
        <w:rPr>
          <w:rFonts w:ascii="Times New Roman" w:eastAsia="Times New Roman" w:hAnsi="Times New Roman" w:cs="Times New Roman"/>
          <w:color w:val="000000"/>
          <w:spacing w:val="0"/>
          <w:w w:val="100"/>
          <w:position w:val="0"/>
          <w:shd w:val="clear" w:color="auto" w:fill="auto"/>
          <w:lang w:val="hr-HR" w:eastAsia="hr-HR" w:bidi="hr-HR"/>
        </w:rPr>
        <w:t>(1534-72) u Safcdu - uz preuzimanje mesijanskoga ele</w:t>
        <w:softHyphen/>
        <w:t>menta u središte mističnog sustava - zahvatila je široke krugove i odredila njihove oblike živo</w:t>
        <w:softHyphen/>
        <w:t>ta. Želja koju je pobudila lurianska kabala za otkupljenje zajednice u ovom svijetu porasla je do povijesnog vala u mesijanskom pokretu šabetajevaca i rasplinula se s njegovom pro</w:t>
        <w:softHyphen/>
        <w:t>pašću. Hasidizam, »pokret buđenja«, koji se razvijao iz rabinski neukih krugova kada je nje</w:t>
        <w:softHyphen/>
        <w:t xml:space="preserve">gov utemeljitelj, karizmatik i čudotvorni izlje-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čitelj Izrael </w:t>
      </w:r>
      <w:r>
        <w:rPr>
          <w:rFonts w:ascii="Times New Roman" w:eastAsia="Times New Roman" w:hAnsi="Times New Roman" w:cs="Times New Roman"/>
          <w:color w:val="000000"/>
          <w:spacing w:val="0"/>
          <w:w w:val="100"/>
          <w:position w:val="0"/>
          <w:shd w:val="clear" w:color="auto" w:fill="auto"/>
          <w:lang w:val="en-US" w:eastAsia="en-US" w:bidi="en-US"/>
        </w:rPr>
        <w:t xml:space="preserve">ben Eleazar </w:t>
      </w:r>
      <w:r>
        <w:rPr>
          <w:rFonts w:ascii="Times New Roman" w:eastAsia="Times New Roman" w:hAnsi="Times New Roman" w:cs="Times New Roman"/>
          <w:color w:val="000000"/>
          <w:spacing w:val="0"/>
          <w:w w:val="100"/>
          <w:position w:val="0"/>
          <w:shd w:val="clear" w:color="auto" w:fill="auto"/>
          <w:lang w:val="hr-HR" w:eastAsia="hr-HR" w:bidi="hr-HR"/>
        </w:rPr>
        <w:t>(1700-1760) ili Ba’al Šem Tov, popularizirao samo one kabalisličke sadržaje koji su se mogli sačuvati u srcima ma</w:t>
        <w:softHyphen/>
        <w:t>sa. Bogata hasidska literatura daje nadaleko ra</w:t>
        <w:softHyphen/>
        <w:t xml:space="preserve">šireno svjedočanstvo (usp. knjige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 xml:space="preserve">Bubc- ra, </w:t>
      </w:r>
      <w:r>
        <w:rPr>
          <w:rFonts w:ascii="Times New Roman" w:eastAsia="Times New Roman" w:hAnsi="Times New Roman" w:cs="Times New Roman"/>
          <w:i/>
          <w:iCs/>
          <w:color w:val="000000"/>
          <w:spacing w:val="0"/>
          <w:w w:val="100"/>
          <w:position w:val="0"/>
          <w:shd w:val="clear" w:color="auto" w:fill="auto"/>
          <w:lang w:val="en-US" w:eastAsia="en-US" w:bidi="en-US"/>
        </w:rPr>
        <w:t>Die Geschichte des Rabbi Nachman,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1906;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Legende </w:t>
      </w:r>
      <w:r>
        <w:rPr>
          <w:rFonts w:ascii="Times New Roman" w:eastAsia="Times New Roman" w:hAnsi="Times New Roman" w:cs="Times New Roman"/>
          <w:i/>
          <w:iCs/>
          <w:color w:val="000000"/>
          <w:spacing w:val="0"/>
          <w:w w:val="100"/>
          <w:position w:val="0"/>
          <w:shd w:val="clear" w:color="auto" w:fill="auto"/>
          <w:lang w:val="en-US" w:eastAsia="en-US" w:bidi="en-US"/>
        </w:rPr>
        <w:t>des Baalschem,</w:t>
      </w:r>
      <w:r>
        <w:rPr>
          <w:rFonts w:ascii="Times New Roman" w:eastAsia="Times New Roman" w:hAnsi="Times New Roman" w:cs="Times New Roman"/>
          <w:color w:val="000000"/>
          <w:spacing w:val="0"/>
          <w:w w:val="100"/>
          <w:position w:val="0"/>
          <w:shd w:val="clear" w:color="auto" w:fill="auto"/>
          <w:lang w:val="en-US" w:eastAsia="en-US" w:bidi="en-US"/>
        </w:rPr>
        <w:t xml:space="preserve"> 1908; </w:t>
      </w:r>
      <w:r>
        <w:rPr>
          <w:rFonts w:ascii="Times New Roman" w:eastAsia="Times New Roman" w:hAnsi="Times New Roman" w:cs="Times New Roman"/>
          <w:i/>
          <w:iCs/>
          <w:color w:val="000000"/>
          <w:spacing w:val="0"/>
          <w:w w:val="100"/>
          <w:position w:val="0"/>
          <w:shd w:val="clear" w:color="auto" w:fill="auto"/>
          <w:lang w:val="en-US" w:eastAsia="en-US" w:bidi="en-US"/>
        </w:rPr>
        <w:t>Der Weg des Menschen nach der chassidischen Lehre,</w:t>
      </w:r>
      <w:r>
        <w:rPr>
          <w:rFonts w:ascii="Times New Roman" w:eastAsia="Times New Roman" w:hAnsi="Times New Roman" w:cs="Times New Roman"/>
          <w:color w:val="000000"/>
          <w:spacing w:val="0"/>
          <w:w w:val="100"/>
          <w:position w:val="0"/>
          <w:shd w:val="clear" w:color="auto" w:fill="auto"/>
          <w:lang w:val="en-US" w:eastAsia="en-US" w:bidi="en-US"/>
        </w:rPr>
        <w:t xml:space="preserve"> 1945; </w:t>
      </w:r>
      <w:r>
        <w:rPr>
          <w:rFonts w:ascii="Times New Roman" w:eastAsia="Times New Roman" w:hAnsi="Times New Roman" w:cs="Times New Roman"/>
          <w:i/>
          <w:iCs/>
          <w:color w:val="000000"/>
          <w:spacing w:val="0"/>
          <w:w w:val="100"/>
          <w:position w:val="0"/>
          <w:shd w:val="clear" w:color="auto" w:fill="auto"/>
          <w:lang w:val="en-US" w:eastAsia="en-US" w:bidi="en-US"/>
        </w:rPr>
        <w:t>Die chassidische Botschaft,</w:t>
      </w:r>
      <w:r>
        <w:rPr>
          <w:rFonts w:ascii="Times New Roman" w:eastAsia="Times New Roman" w:hAnsi="Times New Roman" w:cs="Times New Roman"/>
          <w:color w:val="000000"/>
          <w:spacing w:val="0"/>
          <w:w w:val="100"/>
          <w:position w:val="0"/>
          <w:shd w:val="clear" w:color="auto" w:fill="auto"/>
          <w:lang w:val="en-US" w:eastAsia="en-US" w:bidi="en-US"/>
        </w:rPr>
        <w:t xml:space="preserve"> 1945; </w:t>
      </w:r>
      <w:r>
        <w:rPr>
          <w:rFonts w:ascii="Times New Roman" w:eastAsia="Times New Roman" w:hAnsi="Times New Roman" w:cs="Times New Roman"/>
          <w:i/>
          <w:iCs/>
          <w:color w:val="000000"/>
          <w:spacing w:val="0"/>
          <w:w w:val="100"/>
          <w:position w:val="0"/>
          <w:shd w:val="clear" w:color="auto" w:fill="auto"/>
          <w:lang w:val="en-US" w:eastAsia="en-US" w:bidi="en-US"/>
        </w:rPr>
        <w:t>Die Erziih- lungen der Chassidim,</w:t>
      </w:r>
      <w:r>
        <w:rPr>
          <w:rFonts w:ascii="Times New Roman" w:eastAsia="Times New Roman" w:hAnsi="Times New Roman" w:cs="Times New Roman"/>
          <w:color w:val="000000"/>
          <w:spacing w:val="0"/>
          <w:w w:val="100"/>
          <w:position w:val="0"/>
          <w:shd w:val="clear" w:color="auto" w:fill="auto"/>
          <w:lang w:val="en-US" w:eastAsia="en-US" w:bidi="en-US"/>
        </w:rPr>
        <w:t xml:space="preserve"> 1950; s </w:t>
      </w:r>
      <w:r>
        <w:rPr>
          <w:rFonts w:ascii="Times New Roman" w:eastAsia="Times New Roman" w:hAnsi="Times New Roman" w:cs="Times New Roman"/>
          <w:color w:val="000000"/>
          <w:spacing w:val="0"/>
          <w:w w:val="100"/>
          <w:position w:val="0"/>
          <w:shd w:val="clear" w:color="auto" w:fill="auto"/>
          <w:lang w:val="hr-HR" w:eastAsia="hr-HR" w:bidi="hr-HR"/>
        </w:rPr>
        <w:t xml:space="preserve">tim u vezi </w:t>
      </w:r>
      <w:r>
        <w:rPr>
          <w:rFonts w:ascii="Times New Roman" w:eastAsia="Times New Roman" w:hAnsi="Times New Roman" w:cs="Times New Roman"/>
          <w:color w:val="000000"/>
          <w:spacing w:val="0"/>
          <w:w w:val="100"/>
          <w:position w:val="0"/>
          <w:shd w:val="clear" w:color="auto" w:fill="auto"/>
          <w:lang w:val="en-US" w:eastAsia="en-US" w:bidi="en-US"/>
        </w:rPr>
        <w:t xml:space="preserve">G. Scholem, Martin Bubers Deutung des Chassi- dismus, 1962, u: </w:t>
      </w:r>
      <w:r>
        <w:rPr>
          <w:rFonts w:ascii="Times New Roman" w:eastAsia="Times New Roman" w:hAnsi="Times New Roman" w:cs="Times New Roman"/>
          <w:i/>
          <w:iCs/>
          <w:color w:val="000000"/>
          <w:spacing w:val="0"/>
          <w:w w:val="100"/>
          <w:position w:val="0"/>
          <w:shd w:val="clear" w:color="auto" w:fill="auto"/>
          <w:lang w:val="en-US" w:eastAsia="en-US" w:bidi="en-US"/>
        </w:rPr>
        <w:t>Judaica</w:t>
      </w:r>
      <w:r>
        <w:rPr>
          <w:rFonts w:ascii="Times New Roman" w:eastAsia="Times New Roman" w:hAnsi="Times New Roman" w:cs="Times New Roman"/>
          <w:color w:val="000000"/>
          <w:spacing w:val="0"/>
          <w:w w:val="100"/>
          <w:position w:val="0"/>
          <w:shd w:val="clear" w:color="auto" w:fill="auto"/>
          <w:lang w:val="en-US" w:eastAsia="en-US" w:bidi="en-US"/>
        </w:rPr>
        <w:t xml:space="preserve"> 1, 1963, 165-206). </w:t>
      </w:r>
      <w:r>
        <w:rPr>
          <w:rFonts w:ascii="Times New Roman" w:eastAsia="Times New Roman" w:hAnsi="Times New Roman" w:cs="Times New Roman"/>
          <w:color w:val="000000"/>
          <w:spacing w:val="0"/>
          <w:w w:val="100"/>
          <w:position w:val="0"/>
          <w:shd w:val="clear" w:color="auto" w:fill="auto"/>
          <w:lang w:val="hr-HR" w:eastAsia="hr-HR" w:bidi="hr-HR"/>
        </w:rPr>
        <w:t>Kabalistička tradicija u Njemačkoj prekinula se sa svršetkom XVIII. stoljeća. Nastojanja Mosesa Mendelssohna (1729-86) da se tradi</w:t>
        <w:softHyphen/>
        <w:t>cijski židovski život poveže sa sudjelovanjem u profanom obrazovanju utjecalo je isto toliko koliko i zastrašujuće posljedice heretičkih ša- betajevskih uvjerenja na krugove koji su ostali strogo ortodoksni. Proučavanje kabale nesta</w:t>
        <w:softHyphen/>
        <w:t>lo je iz središta njemačkoga židovstva. Utje</w:t>
        <w:softHyphen/>
        <w:t>calo jc, doduše, na mistične tendencije koje su prodirale iz Poljske, no u XIX. stoljeću kaba</w:t>
        <w:softHyphen/>
        <w:t>listička je tradicija nastavila u Njemačkoj ži</w:t>
        <w:softHyphen/>
        <w:t>vjeti u potpunoj tajnosti, utjecala na eshato- loško skoro očekivanje hasidskoga svijeta ra</w:t>
        <w:softHyphen/>
        <w:t>bina Nahmana Braclavskog (1772-1811) i za</w:t>
        <w:softHyphen/>
        <w:t>vršila u proročkom mesijanizmu i religijskom cionizmu pod njegovim utjecajem.</w:t>
      </w:r>
    </w:p>
    <w:p>
      <w:pPr>
        <w:pStyle w:val="Style20"/>
        <w:keepNext w:val="0"/>
        <w:keepLines w:val="0"/>
        <w:widowControl w:val="0"/>
        <w:numPr>
          <w:ilvl w:val="0"/>
          <w:numId w:val="307"/>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prijestolje slave.«</w:t>
      </w:r>
      <w:r>
        <w:rPr>
          <w:rFonts w:ascii="Times New Roman" w:eastAsia="Times New Roman" w:hAnsi="Times New Roman" w:cs="Times New Roman"/>
          <w:color w:val="000000"/>
          <w:spacing w:val="0"/>
          <w:w w:val="100"/>
          <w:position w:val="0"/>
          <w:shd w:val="clear" w:color="auto" w:fill="auto"/>
          <w:lang w:val="hr-HR" w:eastAsia="hr-HR" w:bidi="hr-HR"/>
        </w:rPr>
        <w:t xml:space="preserve"> Mistici mišnanskoga i talmudskog razdoblja nisu se udubljivali u bit Božju, več su nastojali spoznali misterije svi</w:t>
        <w:softHyphen/>
        <w:t xml:space="preserve">jeta nebeskoga prijestolja. U mističnoj ekstazi gledali su preegzistencijalno prijestolje Božje koje primjerno obuhvaća sve oblike stvorenja: »Dođi i vidi! Sve što je Bog stvorio u svojem svijetu, što je pričvršćeno na prijestolje slave. Stvorio je čovjeka, lava, vola, orla i pričvrstio ih na prijestolje slave« (Mišje za Izr 20,2; usp. b Hagiga 12b). Od najstarijega opisa vizije prijestolja: »Oblaci i vjetrovi odnijeli su me (Henok) u nebo. Ušao sam... Pogledao sam i opazio visoko prijestolje...« (etiopski Henok 14,9 i d.; usp. 71,5 i d.; </w:t>
      </w:r>
      <w:r>
        <w:rPr>
          <w:rFonts w:ascii="Times New Roman" w:eastAsia="Times New Roman" w:hAnsi="Times New Roman" w:cs="Times New Roman"/>
          <w:color w:val="000000"/>
          <w:spacing w:val="0"/>
          <w:w w:val="100"/>
          <w:position w:val="0"/>
          <w:shd w:val="clear" w:color="auto" w:fill="auto"/>
          <w:lang w:val="en-US" w:eastAsia="en-US" w:bidi="en-US"/>
        </w:rPr>
        <w:t xml:space="preserve">Slav. </w:t>
      </w:r>
      <w:r>
        <w:rPr>
          <w:rFonts w:ascii="Times New Roman" w:eastAsia="Times New Roman" w:hAnsi="Times New Roman" w:cs="Times New Roman"/>
          <w:color w:val="000000"/>
          <w:spacing w:val="0"/>
          <w:w w:val="100"/>
          <w:position w:val="0"/>
          <w:shd w:val="clear" w:color="auto" w:fill="auto"/>
          <w:lang w:val="hr-HR" w:eastAsia="hr-HR" w:bidi="hr-HR"/>
        </w:rPr>
        <w:t>Hen 20-22), po</w:t>
        <w:softHyphen/>
        <w:t xml:space="preserve">tječu različita svjedočanstva: »Sedam jc stvari stvoreno prije stvaranja svijeta: Tora, obraćenje, edenski vrt (raj), gehinom (pakao), prijestolje slave </w:t>
      </w:r>
      <w:r>
        <w:rPr>
          <w:rFonts w:ascii="Times New Roman" w:eastAsia="Times New Roman" w:hAnsi="Times New Roman" w:cs="Times New Roman"/>
          <w:i/>
          <w:iCs/>
          <w:color w:val="000000"/>
          <w:spacing w:val="0"/>
          <w:w w:val="100"/>
          <w:position w:val="0"/>
          <w:shd w:val="clear" w:color="auto" w:fill="auto"/>
          <w:lang w:val="hr-HR" w:eastAsia="hr-HR" w:bidi="hr-HR"/>
        </w:rPr>
        <w:t>(kiše ha-kavod),</w:t>
      </w:r>
      <w:r>
        <w:rPr>
          <w:rFonts w:ascii="Times New Roman" w:eastAsia="Times New Roman" w:hAnsi="Times New Roman" w:cs="Times New Roman"/>
          <w:color w:val="000000"/>
          <w:spacing w:val="0"/>
          <w:w w:val="100"/>
          <w:position w:val="0"/>
          <w:shd w:val="clear" w:color="auto" w:fill="auto"/>
          <w:lang w:val="hr-HR" w:eastAsia="hr-HR" w:bidi="hr-HR"/>
        </w:rPr>
        <w:t xml:space="preserve"> (nebeska) svetost i ime Mesije« (b Pesahim 54a; Nedarim 39b; usp. Bcrcšit raba 1,1,1); ova linija vodi do eksta- tičnih opisa prijestolnoga svijeta u traktatima merkabskih vizionara, »hekalotskih knjiga« </w:t>
      </w:r>
      <w:r>
        <w:rPr>
          <w:rFonts w:ascii="Times New Roman" w:eastAsia="Times New Roman" w:hAnsi="Times New Roman" w:cs="Times New Roman"/>
          <w:color w:val="000000"/>
          <w:spacing w:val="0"/>
          <w:w w:val="100"/>
          <w:position w:val="0"/>
          <w:shd w:val="clear" w:color="auto" w:fill="auto"/>
          <w:lang w:val="hr-HR" w:eastAsia="hr-HR" w:bidi="hr-HR"/>
        </w:rPr>
        <w:t xml:space="preserve">(G. Scholem,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judische Mystik in ihren </w:t>
      </w:r>
      <w:r>
        <w:rPr>
          <w:rFonts w:ascii="Times New Roman" w:eastAsia="Times New Roman" w:hAnsi="Times New Roman" w:cs="Times New Roman"/>
          <w:i/>
          <w:iCs/>
          <w:color w:val="000000"/>
          <w:spacing w:val="0"/>
          <w:w w:val="100"/>
          <w:position w:val="0"/>
          <w:shd w:val="clear" w:color="auto" w:fill="auto"/>
          <w:lang w:val="hr-HR" w:eastAsia="hr-HR" w:bidi="hr-HR"/>
        </w:rPr>
        <w:t>Hauptstrbmungen,</w:t>
      </w:r>
      <w:r>
        <w:rPr>
          <w:rFonts w:ascii="Times New Roman" w:eastAsia="Times New Roman" w:hAnsi="Times New Roman" w:cs="Times New Roman"/>
          <w:color w:val="000000"/>
          <w:spacing w:val="0"/>
          <w:w w:val="100"/>
          <w:position w:val="0"/>
          <w:shd w:val="clear" w:color="auto" w:fill="auto"/>
          <w:lang w:val="hr-HR" w:eastAsia="hr-HR" w:bidi="hr-HR"/>
        </w:rPr>
        <w:t xml:space="preserve"> 1957, 47-86).</w:t>
      </w:r>
    </w:p>
    <w:p>
      <w:pPr>
        <w:pStyle w:val="Style20"/>
        <w:keepNext w:val="0"/>
        <w:keepLines w:val="0"/>
        <w:widowControl w:val="0"/>
        <w:numPr>
          <w:ilvl w:val="0"/>
          <w:numId w:val="307"/>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koji razumije i tajnu božanskoga jedin</w:t>
        <w:softHyphen/>
        <w:t>stva«:</w:t>
      </w:r>
      <w:r>
        <w:rPr>
          <w:rFonts w:ascii="Times New Roman" w:eastAsia="Times New Roman" w:hAnsi="Times New Roman" w:cs="Times New Roman"/>
          <w:color w:val="000000"/>
          <w:spacing w:val="0"/>
          <w:w w:val="100"/>
          <w:position w:val="0"/>
          <w:shd w:val="clear" w:color="auto" w:fill="auto"/>
          <w:lang w:val="hr-HR" w:eastAsia="hr-HR" w:bidi="hr-HR"/>
        </w:rPr>
        <w:t xml:space="preserve"> Srednjovjekovni kabalisti njemačkoga hasidizma preuzeli su rabinsku tradiciju, ali s recepcijom drugoga smisla: Njihovi su pogledi otkrivali sve svjetove, pa i onaj skrivenoga Boga, koji nema nikakve odredbe niti atribute i kojega klasično glavno djelo kabale, napi</w:t>
        <w:softHyphen/>
        <w:t xml:space="preserve">sano u XIII. stoljeću u Kastilji u pseudoepi- grafskom obliku, </w:t>
      </w:r>
      <w:r>
        <w:rPr>
          <w:rFonts w:ascii="Times New Roman" w:eastAsia="Times New Roman" w:hAnsi="Times New Roman" w:cs="Times New Roman"/>
          <w:color w:val="000000"/>
          <w:spacing w:val="0"/>
          <w:w w:val="100"/>
          <w:position w:val="0"/>
          <w:shd w:val="clear" w:color="auto" w:fill="auto"/>
          <w:lang w:val="en-US" w:eastAsia="en-US" w:bidi="en-US"/>
        </w:rPr>
        <w:t xml:space="preserve">Zohar </w:t>
      </w:r>
      <w:r>
        <w:rPr>
          <w:rFonts w:ascii="Times New Roman" w:eastAsia="Times New Roman" w:hAnsi="Times New Roman" w:cs="Times New Roman"/>
          <w:i/>
          <w:iCs/>
          <w:color w:val="000000"/>
          <w:spacing w:val="0"/>
          <w:w w:val="100"/>
          <w:position w:val="0"/>
          <w:shd w:val="clear" w:color="auto" w:fill="auto"/>
          <w:lang w:val="hr-HR" w:eastAsia="hr-HR" w:bidi="hr-HR"/>
        </w:rPr>
        <w:t>(sefer ha-zohar,</w:t>
      </w:r>
      <w:r>
        <w:rPr>
          <w:rFonts w:ascii="Times New Roman" w:eastAsia="Times New Roman" w:hAnsi="Times New Roman" w:cs="Times New Roman"/>
          <w:color w:val="000000"/>
          <w:spacing w:val="0"/>
          <w:w w:val="100"/>
          <w:position w:val="0"/>
          <w:shd w:val="clear" w:color="auto" w:fill="auto"/>
          <w:lang w:val="hr-HR" w:eastAsia="hr-HR" w:bidi="hr-HR"/>
        </w:rPr>
        <w:t xml:space="preserve"> »knji</w:t>
        <w:softHyphen/>
        <w:t xml:space="preserve">ga sjaja«), naziva </w:t>
      </w:r>
      <w:r>
        <w:rPr>
          <w:rFonts w:ascii="Times New Roman" w:eastAsia="Times New Roman" w:hAnsi="Times New Roman" w:cs="Times New Roman"/>
          <w:i/>
          <w:iCs/>
          <w:color w:val="000000"/>
          <w:spacing w:val="0"/>
          <w:w w:val="100"/>
          <w:position w:val="0"/>
          <w:shd w:val="clear" w:color="auto" w:fill="auto"/>
          <w:lang w:val="hr-HR" w:eastAsia="hr-HR" w:bidi="hr-HR"/>
        </w:rPr>
        <w:t>En Sof</w:t>
      </w:r>
      <w:r>
        <w:rPr>
          <w:rFonts w:ascii="Times New Roman" w:eastAsia="Times New Roman" w:hAnsi="Times New Roman" w:cs="Times New Roman"/>
          <w:color w:val="000000"/>
          <w:spacing w:val="0"/>
          <w:w w:val="100"/>
          <w:position w:val="0"/>
          <w:shd w:val="clear" w:color="auto" w:fill="auto"/>
          <w:lang w:val="hr-HR" w:eastAsia="hr-HR" w:bidi="hr-HR"/>
        </w:rPr>
        <w:t xml:space="preserve"> (»beskrajnost«) (G. Scholem, op. cit., 171-266; isti,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Geheim- nisse der Schdpfung,</w:t>
      </w:r>
      <w:r>
        <w:rPr>
          <w:rFonts w:ascii="Times New Roman" w:eastAsia="Times New Roman" w:hAnsi="Times New Roman" w:cs="Times New Roman"/>
          <w:color w:val="000000"/>
          <w:spacing w:val="0"/>
          <w:w w:val="100"/>
          <w:position w:val="0"/>
          <w:shd w:val="clear" w:color="auto" w:fill="auto"/>
          <w:lang w:val="hr-HR" w:eastAsia="hr-HR" w:bidi="hr-HR"/>
        </w:rPr>
        <w:t xml:space="preserve"> 1971). Mistici su prodrli na mjesto na kojem su uvijek stajali, čak u tajnu En Sofa, u unutarnju Božju opstojnost. Oni su simbolički preobrazili stvarnost rabin- skoga židovstva. Kroz njihove simbole sja svi</w:t>
        <w:softHyphen/>
        <w:t>jet transccndencije koji je uskraćen neposred</w:t>
        <w:softHyphen/>
        <w:t xml:space="preserve">nom jeziku, stari propisi i radnje postaju transparentni, pa se ispod toga javlja nešto novo (G. Scholem,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Zur Kabbala und ihrer </w:t>
      </w:r>
      <w:r>
        <w:rPr>
          <w:rFonts w:ascii="Times New Roman" w:eastAsia="Times New Roman" w:hAnsi="Times New Roman" w:cs="Times New Roman"/>
          <w:i/>
          <w:iCs/>
          <w:color w:val="000000"/>
          <w:spacing w:val="0"/>
          <w:w w:val="100"/>
          <w:position w:val="0"/>
          <w:shd w:val="clear" w:color="auto" w:fill="auto"/>
          <w:lang w:val="en-US" w:eastAsia="en-US" w:bidi="en-US"/>
        </w:rPr>
        <w:t>Symbolik,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1977, posebice 159 i 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najvažniji instrument njihove reinterpre</w:t>
        <w:softHyphen/>
        <w:t xml:space="preserve">tacije tradicijskoga židovstva kabalistima je služila </w:t>
      </w:r>
      <w:r>
        <w:rPr>
          <w:rFonts w:ascii="Times New Roman" w:eastAsia="Times New Roman" w:hAnsi="Times New Roman" w:cs="Times New Roman"/>
          <w:i/>
          <w:iCs/>
          <w:color w:val="000000"/>
          <w:spacing w:val="0"/>
          <w:w w:val="100"/>
          <w:position w:val="0"/>
          <w:shd w:val="clear" w:color="auto" w:fill="auto"/>
          <w:lang w:val="hr-HR" w:eastAsia="hr-HR" w:bidi="hr-HR"/>
        </w:rPr>
        <w:t>mistična egzegeza</w:t>
      </w:r>
      <w:r>
        <w:rPr>
          <w:rFonts w:ascii="Times New Roman" w:eastAsia="Times New Roman" w:hAnsi="Times New Roman" w:cs="Times New Roman"/>
          <w:color w:val="000000"/>
          <w:spacing w:val="0"/>
          <w:w w:val="100"/>
          <w:position w:val="0"/>
          <w:shd w:val="clear" w:color="auto" w:fill="auto"/>
          <w:lang w:val="hr-HR" w:eastAsia="hr-HR" w:bidi="hr-HR"/>
        </w:rPr>
        <w:t xml:space="preserve"> Tore u skladu s njezi</w:t>
        <w:softHyphen/>
        <w:t>nim značenjem za židovski narod: tu su otkrili nove osjetilnc slojeve, koji su davali simbo</w:t>
        <w:softHyphen/>
        <w:t>lički uvid u tajne božanske naravi, mistikom brojeva. U svakoj riječi Tore zasvijetlilo im je beskrajno mnogo svjetala (»sedamdeset li</w:t>
        <w:softHyphen/>
        <w:t>ca«). Time se probila m. Torine riječi u kojoj se odražava spoznaja; ona mistično proširuje staro gledište o verbalnoj inspiraciji objave na shvaćanje o bezgraničnom osjetilnom bogat</w:t>
        <w:softHyphen/>
        <w:t>stvu Božje riječi.</w:t>
      </w:r>
    </w:p>
    <w:p>
      <w:pPr>
        <w:pStyle w:val="Style20"/>
        <w:keepNext w:val="0"/>
        <w:keepLines w:val="0"/>
        <w:widowControl w:val="0"/>
        <w:shd w:val="clear" w:color="auto" w:fill="auto"/>
        <w:bidi w:val="0"/>
        <w:spacing w:before="0" w:after="0"/>
        <w:ind w:left="0" w:right="0" w:firstLine="0"/>
        <w:jc w:val="both"/>
        <w:sectPr>
          <w:headerReference w:type="default" r:id="rId809"/>
          <w:footerReference w:type="default" r:id="rId810"/>
          <w:headerReference w:type="even" r:id="rId811"/>
          <w:footerReference w:type="even" r:id="rId812"/>
          <w:footnotePr>
            <w:pos w:val="pageBottom"/>
            <w:numFmt w:val="decimal"/>
            <w:numRestart w:val="continuous"/>
            <w15:footnoteColumns w:val="1"/>
          </w:footnotePr>
          <w:type w:val="continuous"/>
          <w:pgSz w:w="6816" w:h="11006"/>
          <w:pgMar w:top="856" w:left="188" w:right="191" w:bottom="266" w:header="0" w:footer="3" w:gutter="0"/>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Njemački hasidim i prvi francuski kabalisti razvili su prvi put u židovstvu kontemplativnu </w:t>
      </w:r>
      <w:r>
        <w:rPr>
          <w:rFonts w:ascii="Times New Roman" w:eastAsia="Times New Roman" w:hAnsi="Times New Roman" w:cs="Times New Roman"/>
          <w:i/>
          <w:iCs/>
          <w:color w:val="000000"/>
          <w:spacing w:val="0"/>
          <w:w w:val="100"/>
          <w:position w:val="0"/>
          <w:shd w:val="clear" w:color="auto" w:fill="auto"/>
          <w:lang w:val="hr-HR" w:eastAsia="hr-HR" w:bidi="hr-HR"/>
        </w:rPr>
        <w:t>molitvenu mistiku.</w:t>
      </w:r>
      <w:r>
        <w:rPr>
          <w:rFonts w:ascii="Times New Roman" w:eastAsia="Times New Roman" w:hAnsi="Times New Roman" w:cs="Times New Roman"/>
          <w:color w:val="000000"/>
          <w:spacing w:val="0"/>
          <w:w w:val="100"/>
          <w:position w:val="0"/>
          <w:shd w:val="clear" w:color="auto" w:fill="auto"/>
          <w:lang w:val="hr-HR" w:eastAsia="hr-HR" w:bidi="hr-HR"/>
        </w:rPr>
        <w:t xml:space="preserve"> No ona se nije očitovala slobodnim izljevom riječi molitelja već raz</w:t>
        <w:softHyphen/>
        <w:t xml:space="preserve">mišljanjem o riječima tradicijskih židovskih glavnih molitvi: »Njemački hasidim običavali su brojiti i izbrojiti svaku riječ u molitvama, blagoslovima i himnima i tražili opravdanje za broj riječi u molitvama iz. Tore« (Jakob ben Ašer, </w:t>
      </w:r>
      <w:r>
        <w:rPr>
          <w:rFonts w:ascii="Times New Roman" w:eastAsia="Times New Roman" w:hAnsi="Times New Roman" w:cs="Times New Roman"/>
          <w:i/>
          <w:iCs/>
          <w:color w:val="000000"/>
          <w:spacing w:val="0"/>
          <w:w w:val="100"/>
          <w:position w:val="0"/>
          <w:shd w:val="clear" w:color="auto" w:fill="auto"/>
          <w:lang w:val="hr-HR" w:eastAsia="hr-HR" w:bidi="hr-HR"/>
        </w:rPr>
        <w:t>Tur orah hajim,</w:t>
      </w:r>
      <w:r>
        <w:rPr>
          <w:rFonts w:ascii="Times New Roman" w:eastAsia="Times New Roman" w:hAnsi="Times New Roman" w:cs="Times New Roman"/>
          <w:color w:val="000000"/>
          <w:spacing w:val="0"/>
          <w:w w:val="100"/>
          <w:position w:val="0"/>
          <w:shd w:val="clear" w:color="auto" w:fill="auto"/>
          <w:lang w:val="hr-HR" w:eastAsia="hr-HR" w:bidi="hr-HR"/>
        </w:rPr>
        <w:t xml:space="preserve"> § 113). Preobrazbu go</w:t>
        <w:softHyphen/>
        <w:t>vorenoga teksta molitvi u zajednici, od dav</w:t>
        <w:softHyphen/>
        <w:t>nine više-manje fiksnih, u mistični proces u duši pojedinca omogućilo jc sredstvo koje se otprilike od 1200. godine naziva »kavana« (»nakana«), U tradicijskom židovstvu taj po</w:t>
        <w:softHyphen/>
        <w:t>jam od farizejsko-rabinskoga doba znači da iz</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vršitelj religijskih propisa mora usmjeriti svi</w:t>
        <w:softHyphen/>
        <w:t>jest na ono što mu je činiti; kabalisti su u tom shvatili medij koji inventar riječi u molitvama preobražava u simboličke indicije za uspon u svijet božanske sfere tako da mistični proma</w:t>
        <w:softHyphen/>
        <w:t xml:space="preserve">trač molitvi može opipati, kao uz rukohvat, dubine ili visine En-Sofa te postići zajedništvo s Bogom </w:t>
      </w:r>
      <w:r>
        <w:rPr>
          <w:rFonts w:ascii="Times New Roman" w:eastAsia="Times New Roman" w:hAnsi="Times New Roman" w:cs="Times New Roman"/>
          <w:i/>
          <w:iCs/>
          <w:color w:val="000000"/>
          <w:spacing w:val="0"/>
          <w:w w:val="100"/>
          <w:position w:val="0"/>
          <w:shd w:val="clear" w:color="auto" w:fill="auto"/>
          <w:lang w:val="hr-HR" w:eastAsia="hr-HR" w:bidi="hr-HR"/>
        </w:rPr>
        <w:t>(devekut),</w:t>
      </w:r>
      <w:r>
        <w:rPr>
          <w:rFonts w:ascii="Times New Roman" w:eastAsia="Times New Roman" w:hAnsi="Times New Roman" w:cs="Times New Roman"/>
          <w:color w:val="000000"/>
          <w:spacing w:val="0"/>
          <w:w w:val="100"/>
          <w:position w:val="0"/>
          <w:shd w:val="clear" w:color="auto" w:fill="auto"/>
          <w:lang w:val="hr-HR" w:eastAsia="hr-HR" w:bidi="hr-HR"/>
        </w:rPr>
        <w:t xml:space="preserve"> najprisniji odnos Boga i čovjeka, a da se ne pomiješa s Bogom.</w:t>
      </w:r>
    </w:p>
    <w:p>
      <w:pPr>
        <w:pStyle w:val="Style20"/>
        <w:keepNext w:val="0"/>
        <w:keepLines w:val="0"/>
        <w:widowControl w:val="0"/>
        <w:shd w:val="clear" w:color="auto" w:fill="auto"/>
        <w:bidi w:val="0"/>
        <w:spacing w:before="0" w:after="1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Doduše, kabalisti se nisu potpuno odrekli sta</w:t>
        <w:softHyphen/>
        <w:t xml:space="preserve">re prijestolne mistike; no oni su otišli mnogo dalje stvarajući novu teozofiju - </w:t>
      </w:r>
      <w:r>
        <w:rPr>
          <w:rFonts w:ascii="Times New Roman" w:eastAsia="Times New Roman" w:hAnsi="Times New Roman" w:cs="Times New Roman"/>
          <w:i/>
          <w:iCs/>
          <w:color w:val="000000"/>
          <w:spacing w:val="0"/>
          <w:w w:val="100"/>
          <w:position w:val="0"/>
          <w:shd w:val="clear" w:color="auto" w:fill="auto"/>
          <w:lang w:val="hr-HR" w:eastAsia="hr-HR" w:bidi="hr-HR"/>
        </w:rPr>
        <w:t>misterij jedin</w:t>
        <w:softHyphen/>
        <w:t>stva Božjega u njegovoj živosti.</w:t>
      </w:r>
      <w:r>
        <w:rPr>
          <w:rFonts w:ascii="Times New Roman" w:eastAsia="Times New Roman" w:hAnsi="Times New Roman" w:cs="Times New Roman"/>
          <w:color w:val="000000"/>
          <w:spacing w:val="0"/>
          <w:w w:val="100"/>
          <w:position w:val="0"/>
          <w:shd w:val="clear" w:color="auto" w:fill="auto"/>
          <w:lang w:val="hr-HR" w:eastAsia="hr-HR" w:bidi="hr-HR"/>
        </w:rPr>
        <w:t xml:space="preserve"> Stvorili su i svoj instrument - neku mističnu psihologiju: »Znaj, tko god razumije znanost duše, taj razumije i tajnu Božjega jedinstva«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ben Juda </w:t>
      </w:r>
      <w:r>
        <w:rPr>
          <w:rFonts w:ascii="Times New Roman" w:eastAsia="Times New Roman" w:hAnsi="Times New Roman" w:cs="Times New Roman"/>
          <w:color w:val="000000"/>
          <w:spacing w:val="0"/>
          <w:w w:val="100"/>
          <w:position w:val="0"/>
          <w:shd w:val="clear" w:color="auto" w:fill="auto"/>
          <w:lang w:val="en-US" w:eastAsia="en-US" w:bidi="en-US"/>
        </w:rPr>
        <w:t xml:space="preserve">Wormski, </w:t>
      </w:r>
      <w:r>
        <w:rPr>
          <w:rFonts w:ascii="Times New Roman" w:eastAsia="Times New Roman" w:hAnsi="Times New Roman" w:cs="Times New Roman"/>
          <w:i/>
          <w:iCs/>
          <w:color w:val="000000"/>
          <w:spacing w:val="0"/>
          <w:w w:val="100"/>
          <w:position w:val="0"/>
          <w:shd w:val="clear" w:color="auto" w:fill="auto"/>
          <w:lang w:val="hr-HR" w:eastAsia="hr-HR" w:bidi="hr-HR"/>
        </w:rPr>
        <w:t>hokmat ha-nefeš</w:t>
      </w:r>
      <w:r>
        <w:rPr>
          <w:rFonts w:ascii="Times New Roman" w:eastAsia="Times New Roman" w:hAnsi="Times New Roman" w:cs="Times New Roman"/>
          <w:color w:val="000000"/>
          <w:spacing w:val="0"/>
          <w:w w:val="100"/>
          <w:position w:val="0"/>
          <w:shd w:val="clear" w:color="auto" w:fill="auto"/>
          <w:lang w:val="hr-HR" w:eastAsia="hr-HR" w:bidi="hr-HR"/>
        </w:rPr>
        <w:t xml:space="preserve"> /1876, BI 3d/). Ha- sidi su oblikovali predani nauk o jedinstvu Božjem radi teozofije o dubinama božanske živosti čije se jedinstvo pokazuje u njezinoj di</w:t>
        <w:softHyphen/>
        <w:t>namici. Stari ezoterični tekst, »Knjiga stvara</w:t>
        <w:softHyphen/>
        <w:t xml:space="preserve">nja« </w:t>
      </w:r>
      <w:r>
        <w:rPr>
          <w:rFonts w:ascii="Times New Roman" w:eastAsia="Times New Roman" w:hAnsi="Times New Roman" w:cs="Times New Roman"/>
          <w:i/>
          <w:iCs/>
          <w:color w:val="000000"/>
          <w:spacing w:val="0"/>
          <w:w w:val="100"/>
          <w:position w:val="0"/>
          <w:shd w:val="clear" w:color="auto" w:fill="auto"/>
          <w:lang w:val="hr-HR" w:eastAsia="hr-HR" w:bidi="hr-HR"/>
        </w:rPr>
        <w:t>(Sefer jedra)</w:t>
      </w:r>
      <w:r>
        <w:rPr>
          <w:rFonts w:ascii="Times New Roman" w:eastAsia="Times New Roman" w:hAnsi="Times New Roman" w:cs="Times New Roman"/>
          <w:color w:val="000000"/>
          <w:spacing w:val="0"/>
          <w:w w:val="100"/>
          <w:position w:val="0"/>
          <w:shd w:val="clear" w:color="auto" w:fill="auto"/>
          <w:lang w:val="hr-HR" w:eastAsia="hr-HR" w:bidi="hr-HR"/>
        </w:rPr>
        <w:t xml:space="preserve"> iz talmudskoga doba, prika</w:t>
        <w:softHyphen/>
        <w:t xml:space="preserve">zao je elemente svijeta kao deset iskonskih brojeva </w:t>
      </w:r>
      <w:r>
        <w:rPr>
          <w:rFonts w:ascii="Times New Roman" w:eastAsia="Times New Roman" w:hAnsi="Times New Roman" w:cs="Times New Roman"/>
          <w:i/>
          <w:iCs/>
          <w:color w:val="000000"/>
          <w:spacing w:val="0"/>
          <w:w w:val="100"/>
          <w:position w:val="0"/>
          <w:shd w:val="clear" w:color="auto" w:fill="auto"/>
          <w:lang w:val="hr-HR" w:eastAsia="hr-HR" w:bidi="hr-HR"/>
        </w:rPr>
        <w:t>(sefirot)</w:t>
      </w:r>
      <w:r>
        <w:rPr>
          <w:rFonts w:ascii="Times New Roman" w:eastAsia="Times New Roman" w:hAnsi="Times New Roman" w:cs="Times New Roman"/>
          <w:color w:val="000000"/>
          <w:spacing w:val="0"/>
          <w:w w:val="100"/>
          <w:position w:val="0"/>
          <w:shd w:val="clear" w:color="auto" w:fill="auto"/>
          <w:lang w:val="hr-HR" w:eastAsia="hr-HR" w:bidi="hr-HR"/>
        </w:rPr>
        <w:t xml:space="preserve"> te od dvadeset i dva hebrejska suglasnika također objasnio tajnu funkciju po</w:t>
        <w:softHyphen/>
        <w:t xml:space="preserve">jedinih slova: »Smislio ih je (Bog), stvorio, sklopio, vagnuo, zamijenio ih i stvorio njima svijet i sve što je trebalo stvoriti« (usp. G. Scholem,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jiidische </w:t>
      </w:r>
      <w:r>
        <w:rPr>
          <w:rFonts w:ascii="Times New Roman" w:eastAsia="Times New Roman" w:hAnsi="Times New Roman" w:cs="Times New Roman"/>
          <w:i/>
          <w:iCs/>
          <w:color w:val="000000"/>
          <w:spacing w:val="0"/>
          <w:w w:val="100"/>
          <w:position w:val="0"/>
          <w:shd w:val="clear" w:color="auto" w:fill="auto"/>
          <w:lang w:val="en-US" w:eastAsia="en-US" w:bidi="en-US"/>
        </w:rPr>
        <w:t>Mystik,</w:t>
      </w:r>
      <w:r>
        <w:rPr>
          <w:rFonts w:ascii="Times New Roman" w:eastAsia="Times New Roman" w:hAnsi="Times New Roman" w:cs="Times New Roman"/>
          <w:color w:val="000000"/>
          <w:spacing w:val="0"/>
          <w:w w:val="100"/>
          <w:position w:val="0"/>
          <w:shd w:val="clear" w:color="auto" w:fill="auto"/>
          <w:lang w:val="en-US" w:eastAsia="en-US" w:bidi="en-US"/>
        </w:rPr>
        <w:t xml:space="preserve"> op. </w:t>
      </w:r>
      <w:r>
        <w:rPr>
          <w:rFonts w:ascii="Times New Roman" w:eastAsia="Times New Roman" w:hAnsi="Times New Roman" w:cs="Times New Roman"/>
          <w:color w:val="000000"/>
          <w:spacing w:val="0"/>
          <w:w w:val="100"/>
          <w:position w:val="0"/>
          <w:shd w:val="clear" w:color="auto" w:fill="auto"/>
          <w:lang w:val="hr-HR" w:eastAsia="hr-HR" w:bidi="hr-HR"/>
        </w:rPr>
        <w:t xml:space="preserve">cit., 82). No kabalisti su u </w:t>
      </w:r>
      <w:r>
        <w:rPr>
          <w:rFonts w:ascii="Times New Roman" w:eastAsia="Times New Roman" w:hAnsi="Times New Roman" w:cs="Times New Roman"/>
          <w:i/>
          <w:iCs/>
          <w:color w:val="000000"/>
          <w:spacing w:val="0"/>
          <w:w w:val="100"/>
          <w:position w:val="0"/>
          <w:shd w:val="clear" w:color="auto" w:fill="auto"/>
          <w:lang w:val="hr-HR" w:eastAsia="hr-HR" w:bidi="hr-HR"/>
        </w:rPr>
        <w:t>sefirot</w:t>
      </w:r>
      <w:r>
        <w:rPr>
          <w:rFonts w:ascii="Times New Roman" w:eastAsia="Times New Roman" w:hAnsi="Times New Roman" w:cs="Times New Roman"/>
          <w:color w:val="000000"/>
          <w:spacing w:val="0"/>
          <w:w w:val="100"/>
          <w:position w:val="0"/>
          <w:shd w:val="clear" w:color="auto" w:fill="auto"/>
          <w:lang w:val="hr-HR" w:eastAsia="hr-HR" w:bidi="hr-HR"/>
        </w:rPr>
        <w:t xml:space="preserve"> prepoznali razne aspekte Boga koji se u svojem stvaranju objavljuje, živoga Boga, Boga koji djeluje. Njihovo poni</w:t>
        <w:softHyphen/>
        <w:t>ranje u tajne Stvoritelja i stvaranja ticalo se neposredno čovjekova života i stvorilo odre</w:t>
        <w:softHyphen/>
        <w:t xml:space="preserve">đeno ponašanje - hasidski moral </w:t>
      </w:r>
      <w:r>
        <w:rPr>
          <w:rFonts w:ascii="Times New Roman" w:eastAsia="Times New Roman" w:hAnsi="Times New Roman" w:cs="Times New Roman"/>
          <w:i/>
          <w:iCs/>
          <w:color w:val="000000"/>
          <w:spacing w:val="0"/>
          <w:w w:val="100"/>
          <w:position w:val="0"/>
          <w:shd w:val="clear" w:color="auto" w:fill="auto"/>
          <w:lang w:val="hr-HR" w:eastAsia="hr-HR" w:bidi="hr-HR"/>
        </w:rPr>
        <w:t>(hasidut).</w:t>
      </w:r>
    </w:p>
    <w:p>
      <w:pPr>
        <w:pStyle w:val="Style56"/>
        <w:keepNext w:val="0"/>
        <w:keepLines w:val="0"/>
        <w:widowControl w:val="0"/>
        <w:shd w:val="clear" w:color="auto" w:fill="auto"/>
        <w:tabs>
          <w:tab w:pos="2453" w:val="left"/>
        </w:tabs>
        <w:bidi w:val="0"/>
        <w:spacing w:before="0" w:after="60" w:line="240" w:lineRule="auto"/>
        <w:ind w:left="0" w:right="0" w:firstLine="0"/>
        <w:jc w:val="both"/>
      </w:pPr>
      <w:r>
        <w:rPr>
          <w:color w:val="000000"/>
          <w:spacing w:val="0"/>
          <w:w w:val="100"/>
          <w:position w:val="0"/>
          <w:shd w:val="clear" w:color="auto" w:fill="auto"/>
          <w:lang w:val="hr-HR" w:eastAsia="hr-HR" w:bidi="hr-HR"/>
        </w:rPr>
        <w:t xml:space="preserve">Lit.: E. C. Papus, </w:t>
      </w:r>
      <w:r>
        <w:rPr>
          <w:color w:val="000000"/>
          <w:spacing w:val="0"/>
          <w:w w:val="100"/>
          <w:position w:val="0"/>
          <w:shd w:val="clear" w:color="auto" w:fill="auto"/>
        </w:rPr>
        <w:t xml:space="preserve">Hrsg., </w:t>
      </w:r>
      <w:r>
        <w:rPr>
          <w:i/>
          <w:iCs/>
          <w:color w:val="000000"/>
          <w:spacing w:val="0"/>
          <w:w w:val="100"/>
          <w:position w:val="0"/>
          <w:shd w:val="clear" w:color="auto" w:fill="auto"/>
        </w:rPr>
        <w:t>Die Kabbala</w:t>
      </w:r>
      <w:r>
        <w:rPr>
          <w:color w:val="000000"/>
          <w:spacing w:val="0"/>
          <w:w w:val="100"/>
          <w:position w:val="0"/>
          <w:shd w:val="clear" w:color="auto" w:fill="auto"/>
        </w:rPr>
        <w:t xml:space="preserve"> (Ubers. </w:t>
      </w:r>
      <w:r>
        <w:rPr>
          <w:color w:val="000000"/>
          <w:spacing w:val="0"/>
          <w:w w:val="100"/>
          <w:position w:val="0"/>
          <w:shd w:val="clear" w:color="auto" w:fill="auto"/>
          <w:lang w:val="hr-HR" w:eastAsia="hr-HR" w:bidi="hr-HR"/>
        </w:rPr>
        <w:t xml:space="preserve">J. Ncstlcr),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19O3; G. Scholctn,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jiaiist.he </w:t>
      </w:r>
      <w:r>
        <w:rPr>
          <w:i/>
          <w:iCs/>
          <w:color w:val="000000"/>
          <w:spacing w:val="0"/>
          <w:w w:val="100"/>
          <w:position w:val="0"/>
          <w:shd w:val="clear" w:color="auto" w:fill="auto"/>
        </w:rPr>
        <w:t>Mystik in ihfen Hauptslriy mungen,</w:t>
      </w:r>
      <w:r>
        <w:rPr>
          <w:color w:val="000000"/>
          <w:spacing w:val="0"/>
          <w:w w:val="100"/>
          <w:position w:val="0"/>
          <w:shd w:val="clear" w:color="auto" w:fill="auto"/>
        </w:rPr>
        <w:t xml:space="preserve"> 1957; jsti, </w:t>
      </w:r>
      <w:r>
        <w:rPr>
          <w:i/>
          <w:iCs/>
          <w:color w:val="000000"/>
          <w:spacing w:val="0"/>
          <w:w w:val="100"/>
          <w:position w:val="0"/>
          <w:shd w:val="clear" w:color="auto" w:fill="auto"/>
        </w:rPr>
        <w:t>Studien zur Jitdischen Mystik, Judaica</w:t>
      </w:r>
      <w:r>
        <w:rPr>
          <w:color w:val="000000"/>
          <w:spacing w:val="0"/>
          <w:w w:val="100"/>
          <w:position w:val="0"/>
          <w:shd w:val="clear" w:color="auto" w:fill="auto"/>
        </w:rPr>
        <w:t xml:space="preserve"> 3,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!977;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Von der myslischen Gestalt der Goltheii. Studien zu Grundbegriffen der Kabbala, 1962/1977;</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Sabbatai Sen. The Mystical Messiah.</w:t>
      </w:r>
      <w:r>
        <w:rPr>
          <w:color w:val="000000"/>
          <w:spacing w:val="0"/>
          <w:w w:val="100"/>
          <w:position w:val="0"/>
          <w:shd w:val="clear" w:color="auto" w:fill="auto"/>
        </w:rPr>
        <w:t xml:space="preserve"> </w:t>
      </w:r>
      <w:r>
        <w:rPr>
          <w:color w:val="000000"/>
          <w:spacing w:val="0"/>
          <w:w w:val="100"/>
          <w:position w:val="0"/>
          <w:shd w:val="clear" w:color="auto" w:fill="auto"/>
          <w:vertAlign w:val="superscript"/>
        </w:rPr>
        <w:footnoteReference w:id="12"/>
      </w:r>
      <w:r>
        <w:rPr>
          <w:color w:val="000000"/>
          <w:spacing w:val="0"/>
          <w:w w:val="100"/>
          <w:position w:val="0"/>
          <w:shd w:val="clear" w:color="auto" w:fill="auto"/>
          <w:vertAlign w:val="superscript"/>
        </w:rPr>
        <w:t xml:space="preserve"> </w:t>
      </w:r>
      <w:r>
        <w:rPr>
          <w:color w:val="000000"/>
          <w:spacing w:val="0"/>
          <w:w w:val="100"/>
          <w:position w:val="0"/>
          <w:shd w:val="clear" w:color="auto" w:fill="auto"/>
          <w:vertAlign w:val="superscript"/>
        </w:rPr>
        <w:footnoteReference w:id="13"/>
      </w:r>
      <w:r>
        <w:rPr>
          <w:color w:val="000000"/>
          <w:spacing w:val="0"/>
          <w:w w:val="100"/>
          <w:position w:val="0"/>
          <w:shd w:val="clear" w:color="auto" w:fill="auto"/>
        </w:rPr>
        <w:t xml:space="preserve">1975; </w:t>
      </w:r>
      <w:r>
        <w:rPr>
          <w:i/>
          <w:iCs/>
          <w:color w:val="000000"/>
          <w:spacing w:val="0"/>
          <w:w w:val="100"/>
          <w:position w:val="0"/>
          <w:shd w:val="clear" w:color="auto" w:fill="auto"/>
        </w:rPr>
        <w:t>Encyclopaedia Judaica 10.</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footnoteReference w:id="14"/>
      </w:r>
      <w:r>
        <w:rPr>
          <w:color w:val="000000"/>
          <w:spacing w:val="0"/>
          <w:w w:val="100"/>
          <w:position w:val="0"/>
          <w:shd w:val="clear" w:color="auto" w:fill="auto"/>
          <w:lang w:val="hr-HR" w:eastAsia="hr-HR" w:bidi="hr-HR"/>
        </w:rPr>
        <w:t xml:space="preserve">197«. </w:t>
      </w:r>
      <w:r>
        <w:rPr>
          <w:color w:val="000000"/>
          <w:spacing w:val="0"/>
          <w:w w:val="100"/>
          <w:position w:val="0"/>
          <w:shd w:val="clear" w:color="auto" w:fill="auto"/>
        </w:rPr>
        <w:t>4H9-653.</w:t>
        <w:tab/>
        <w:t>D, VETTER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visok položaj, dotle je u protestantizmu po</w:t>
        <w:softHyphen/>
        <w:t>sebno u XIX. i XX. stoljeću došla na zao glas s obzirom na pitanja samootkupljcnja i praved</w:t>
        <w:softHyphen/>
        <w:t>nosti djelima. Susrećući se s azijskim pokre</w:t>
        <w:softHyphen/>
        <w:t>tima meditacije, Zapad je posljednjih godina sve više dolazio u doticaj s istočnom meditaci</w:t>
        <w:softHyphen/>
        <w:t xml:space="preserve">jom. Oblici, u kojima se ona javlja poput joge, žena i islamske sufijske meditacije, bjelodano pokazuju da teologije sekularizacije Gogarte- na, Bonhoeffera itd. ne pogađaju više duh vremena koji vlada. </w:t>
      </w:r>
      <w:r>
        <w:rPr>
          <w:rFonts w:ascii="Times New Roman" w:eastAsia="Times New Roman" w:hAnsi="Times New Roman" w:cs="Times New Roman"/>
          <w:color w:val="000000"/>
          <w:spacing w:val="0"/>
          <w:w w:val="100"/>
          <w:position w:val="0"/>
          <w:shd w:val="clear" w:color="auto" w:fill="auto"/>
          <w:lang w:val="en-US" w:eastAsia="en-US" w:bidi="en-US"/>
        </w:rPr>
        <w:t xml:space="preserve">Paul Tillich </w:t>
      </w:r>
      <w:r>
        <w:rPr>
          <w:rFonts w:ascii="Times New Roman" w:eastAsia="Times New Roman" w:hAnsi="Times New Roman" w:cs="Times New Roman"/>
          <w:color w:val="000000"/>
          <w:spacing w:val="0"/>
          <w:w w:val="100"/>
          <w:position w:val="0"/>
          <w:shd w:val="clear" w:color="auto" w:fill="auto"/>
          <w:lang w:val="hr-HR" w:eastAsia="hr-HR" w:bidi="hr-HR"/>
        </w:rPr>
        <w:t>je jednom s pravom rekao: »Protestantizam, u kojem ne</w:t>
        <w:softHyphen/>
        <w:t>ma više prostora za meditaciju i kontempla</w:t>
        <w:softHyphen/>
        <w:t>ciju, ekstazu i ‘mistično sjedinjenje’, prestao je biti religija«. Mistiku mnogi danas opet uzi</w:t>
        <w:softHyphen/>
        <w:t>maju ozbiljno kao osobno iskustvo cjelovite religioznosti, čak se poštuje i njeguje kao ob</w:t>
        <w:softHyphen/>
        <w:t>lik religioznog iskustva koji je posebno pri</w:t>
        <w:softHyphen/>
        <w:t>mjeren novovjekoj svijesti.</w:t>
      </w:r>
    </w:p>
    <w:p>
      <w:pPr>
        <w:pStyle w:val="Style20"/>
        <w:keepNext w:val="0"/>
        <w:keepLines w:val="0"/>
        <w:widowControl w:val="0"/>
        <w:shd w:val="clear" w:color="auto" w:fill="auto"/>
        <w:bidi w:val="0"/>
        <w:spacing w:before="0" w:after="0"/>
        <w:ind w:left="0" w:right="0" w:firstLine="0"/>
        <w:jc w:val="both"/>
        <w:sectPr>
          <w:headerReference w:type="default" r:id="rId813"/>
          <w:footerReference w:type="default" r:id="rId814"/>
          <w:headerReference w:type="even" r:id="rId815"/>
          <w:footerReference w:type="even" r:id="rId816"/>
          <w:footnotePr>
            <w:pos w:val="pageBottom"/>
            <w:numFmt w:val="decimal"/>
            <w:numRestart w:val="continuous"/>
            <w15:footnoteColumns w:val="1"/>
          </w:footnotePr>
          <w:pgSz w:w="6816" w:h="11006"/>
          <w:pgMar w:top="856" w:left="188" w:right="191" w:bottom="266" w:header="0" w:footer="3" w:gutter="0"/>
          <w:pgNumType w:start="275"/>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 se izvodi od grčke riječi »myein« koja zna</w:t>
        <w:softHyphen/>
        <w:t>či isto što i »zatvoriti«. Prema etimološkom iz</w:t>
        <w:softHyphen/>
        <w:t>vođenju Rudolfa Otta, riječ dolazi iz osnove koja je još sadržana u sanskrtskom muš a zna</w:t>
        <w:softHyphen/>
        <w:t xml:space="preserve">či »krišom, prikriveno, tajno raditi« </w:t>
      </w:r>
      <w:r>
        <w:rPr>
          <w:rFonts w:ascii="Times New Roman" w:eastAsia="Times New Roman" w:hAnsi="Times New Roman" w:cs="Times New Roman"/>
          <w:i/>
          <w:iCs/>
          <w:color w:val="000000"/>
          <w:spacing w:val="0"/>
          <w:w w:val="100"/>
          <w:position w:val="0"/>
          <w:shd w:val="clear" w:color="auto" w:fill="auto"/>
          <w:lang w:val="hr-HR" w:eastAsia="hr-HR" w:bidi="hr-HR"/>
        </w:rPr>
        <w:t>(Das Hei- lige,</w:t>
      </w:r>
      <w:r>
        <w:rPr>
          <w:rFonts w:ascii="Times New Roman" w:eastAsia="Times New Roman" w:hAnsi="Times New Roman" w:cs="Times New Roman"/>
          <w:color w:val="000000"/>
          <w:spacing w:val="0"/>
          <w:w w:val="100"/>
          <w:position w:val="0"/>
          <w:shd w:val="clear" w:color="auto" w:fill="auto"/>
          <w:lang w:val="hr-HR" w:eastAsia="hr-HR" w:bidi="hr-HR"/>
        </w:rPr>
        <w:t xml:space="preserve"> 30). To je istodobno riječ od koje potječe riječ </w:t>
      </w:r>
      <w:r>
        <w:rPr>
          <w:rFonts w:ascii="Times New Roman" w:eastAsia="Times New Roman" w:hAnsi="Times New Roman" w:cs="Times New Roman"/>
          <w:color w:val="000000"/>
          <w:spacing w:val="0"/>
          <w:w w:val="100"/>
          <w:position w:val="0"/>
          <w:shd w:val="clear" w:color="auto" w:fill="auto"/>
          <w:lang w:val="en-US" w:eastAsia="en-US" w:bidi="en-US"/>
        </w:rPr>
        <w:t xml:space="preserve">»mysterion« </w:t>
      </w:r>
      <w:r>
        <w:rPr>
          <w:rFonts w:ascii="Times New Roman" w:eastAsia="Times New Roman" w:hAnsi="Times New Roman" w:cs="Times New Roman"/>
          <w:color w:val="000000"/>
          <w:spacing w:val="0"/>
          <w:w w:val="100"/>
          <w:position w:val="0"/>
          <w:shd w:val="clear" w:color="auto" w:fill="auto"/>
          <w:lang w:val="hr-HR" w:eastAsia="hr-HR" w:bidi="hr-HR"/>
        </w:rPr>
        <w:t>(tajni kult, tajno učenje). Bu</w:t>
        <w:softHyphen/>
        <w:t>dući da su članovi religijskih tajnih saveza, kao npr. eleuzinijskih misterija, bili obvezani na najstrožu šutnju (arkanska disciplina), tj. mo</w:t>
        <w:softHyphen/>
        <w:t>rali »zatvarati usta«, nazivala su se ta učenja i obredi »misterijima«. U novoplatonskoj filo</w:t>
        <w:softHyphen/>
        <w:t>zofiji primjenjuje se »myein« u smislu: »zatvo</w:t>
        <w:softHyphen/>
        <w:t>riti osjetila«. Gledano sa stajališta religijske znanosti, m. se dade s Ericdrichom Heilerom opisati na sljedeći način: »M. je onaj oblik op</w:t>
        <w:softHyphen/>
        <w:t>hođenja s Bogom pri kojem se radikalno ne</w:t>
        <w:softHyphen/>
        <w:t>gira svijet i ‘ja’, pri kojem se ljudska osobnost rastvara, zalazi, tone u beskrajno Jedno božan</w:t>
        <w:softHyphen/>
        <w:t xml:space="preserve">stva« </w:t>
      </w:r>
      <w:r>
        <w:rPr>
          <w:rFonts w:ascii="Times New Roman" w:eastAsia="Times New Roman" w:hAnsi="Times New Roman" w:cs="Times New Roman"/>
          <w:i/>
          <w:iCs/>
          <w:color w:val="000000"/>
          <w:spacing w:val="0"/>
          <w:w w:val="100"/>
          <w:position w:val="0"/>
          <w:shd w:val="clear" w:color="auto" w:fill="auto"/>
          <w:lang w:val="hr-HR" w:eastAsia="hr-HR" w:bidi="hr-HR"/>
        </w:rPr>
        <w:t>(Das Gebet,</w:t>
      </w:r>
      <w:r>
        <w:rPr>
          <w:rFonts w:ascii="Times New Roman" w:eastAsia="Times New Roman" w:hAnsi="Times New Roman" w:cs="Times New Roman"/>
          <w:color w:val="000000"/>
          <w:spacing w:val="0"/>
          <w:w w:val="100"/>
          <w:position w:val="0"/>
          <w:shd w:val="clear" w:color="auto" w:fill="auto"/>
          <w:lang w:val="hr-HR" w:eastAsia="hr-HR" w:bidi="hr-HR"/>
        </w:rPr>
        <w:t xml:space="preserve"> 249). U religijskoj znanosti udomaćila se Heilerova, Menschingova i dr. suprotstavljenost »mistike« i »proročanstva«, kao polarnih strukturnih oblika univerzalnih religija, koja u svakom slučaju nije ostala ne- kritizirana. Premda se doduše može s jedne strane govoriti »o jedinstvenoj ‘biti’ mistike«, ipak je </w:t>
      </w:r>
      <w:r>
        <w:rPr>
          <w:rFonts w:ascii="Times New Roman" w:eastAsia="Times New Roman" w:hAnsi="Times New Roman" w:cs="Times New Roman"/>
          <w:color w:val="000000"/>
          <w:spacing w:val="0"/>
          <w:w w:val="100"/>
          <w:position w:val="0"/>
          <w:shd w:val="clear" w:color="auto" w:fill="auto"/>
          <w:lang w:val="en-US" w:eastAsia="en-US" w:bidi="en-US"/>
        </w:rPr>
        <w:t xml:space="preserve">Rudolf Otto </w:t>
      </w:r>
      <w:r>
        <w:rPr>
          <w:rFonts w:ascii="Times New Roman" w:eastAsia="Times New Roman" w:hAnsi="Times New Roman" w:cs="Times New Roman"/>
          <w:color w:val="000000"/>
          <w:spacing w:val="0"/>
          <w:w w:val="100"/>
          <w:position w:val="0"/>
          <w:shd w:val="clear" w:color="auto" w:fill="auto"/>
          <w:lang w:val="hr-HR" w:eastAsia="hr-HR" w:bidi="hr-HR"/>
        </w:rPr>
        <w:t>točno ukazao na to da je »pogrešna tvrdnja kako je upravo m. uvijek m., kako je uvijek i svuda jedna te ista ve</w:t>
        <w:softHyphen/>
        <w:t>ličina, te kako u obilježjima ima u njoj mnogo više raznolikosti koja je upravo tako velika kao i raznolikost na bilo kojem drugom du</w:t>
        <w:softHyphen/>
        <w:t xml:space="preserve">hovnom području« </w:t>
      </w:r>
      <w:r>
        <w:rPr>
          <w:rFonts w:ascii="Times New Roman" w:eastAsia="Times New Roman" w:hAnsi="Times New Roman" w:cs="Times New Roman"/>
          <w:i/>
          <w:iCs/>
          <w:color w:val="000000"/>
          <w:spacing w:val="0"/>
          <w:w w:val="100"/>
          <w:position w:val="0"/>
          <w:shd w:val="clear" w:color="auto" w:fill="auto"/>
          <w:lang w:val="en-US" w:eastAsia="en-US" w:bidi="en-US"/>
        </w:rPr>
        <w:t>(West-Ostliche Mystik.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izdanje koje je preradio G. Mensching, Miin- chcn 1971, 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Religiozni polazni doživljaj mistike sastoji se u tome da se naspram pojavnog svijeta stoji kritički i više ili manje s neprihvaćanjem. Po</w:t>
        <w:softHyphen/>
        <w:t>jave se u svijetu spoznaju kao zapreke za spa</w:t>
        <w:softHyphen/>
        <w:t>senje koje odvraćaju od onoga stoje »pravo«. »Ja sam tako sit čudnih stvari, tako umoran od raznolikosti: to ništa drugo ne može do</w:t>
        <w:softHyphen/>
        <w:t>nijeti nego muku: pretijesno mi postaje u vre</w:t>
        <w:softHyphen/>
        <w:t>menu!« (Tersteegen). Pred tim vanjskim i ne- pravim svijetom, koji nije pravi, mistik zatvara svoja osjetila (usp. »myein«). Središnja je za</w:t>
        <w:softHyphen/>
        <w:t>preka za njega »egzistencija njegova ‘ja’« (G. Mensching). Mistik se trudi da se oslobodi od tog fatalnog »jastva« ili »mojosti«. On mora smiriti naravni duševni život, umrtviti ga, od</w:t>
        <w:softHyphen/>
        <w:t>nosno, po riječima Mcistera Eckharta, čovjek se mora »osloboditi samoga sebe«. Mistikov polazni doživljaj je čovjekovo rastavljanje od Boga koje je iskusio: samoća. »Kada se, Bože, smijem sjediniti s tobom? Kada daleko od smrti kažem: sada živim! Jer, ništa mi ne da umrijeti« (Ivan od Križa). Tipično za mistiku je sistematiziran, stupnjevit put spasenja, mis</w:t>
        <w:softHyphen/>
        <w:t xml:space="preserve">tična staza, »scala </w:t>
      </w:r>
      <w:r>
        <w:rPr>
          <w:rFonts w:ascii="Times New Roman" w:eastAsia="Times New Roman" w:hAnsi="Times New Roman" w:cs="Times New Roman"/>
          <w:color w:val="000000"/>
          <w:spacing w:val="0"/>
          <w:w w:val="100"/>
          <w:position w:val="0"/>
          <w:shd w:val="clear" w:color="auto" w:fill="auto"/>
          <w:lang w:val="en-US" w:eastAsia="en-US" w:bidi="en-US"/>
        </w:rPr>
        <w:t xml:space="preserve">mystica«, </w:t>
      </w:r>
      <w:r>
        <w:rPr>
          <w:rFonts w:ascii="Times New Roman" w:eastAsia="Times New Roman" w:hAnsi="Times New Roman" w:cs="Times New Roman"/>
          <w:color w:val="000000"/>
          <w:spacing w:val="0"/>
          <w:w w:val="100"/>
          <w:position w:val="0"/>
          <w:shd w:val="clear" w:color="auto" w:fill="auto"/>
          <w:lang w:val="hr-HR" w:eastAsia="hr-HR" w:bidi="hr-HR"/>
        </w:rPr>
        <w:t>kao što kažu mis</w:t>
        <w:softHyphen/>
        <w:t>tici, nadovezujući se na Jakovljcv san o ne</w:t>
        <w:softHyphen/>
        <w:t>beskim Ijestvama (Post 28). Mistik se uspinje Bogu s ciljem da mu bude sasvim blizu, od</w:t>
        <w:softHyphen/>
        <w:t>nosno da se s njim sjedini. Tijekom svog unu</w:t>
        <w:softHyphen/>
        <w:t>tarnjeg uspinjanja mistik doživljava potpunu valnu dužinu između polova ljudskog posto</w:t>
        <w:softHyphen/>
        <w:t>janja^ Prožet čežnjom za spasenjem on tetura između svjetla spasenja i mraka Božje udalje</w:t>
        <w:softHyphen/>
        <w:t>nosti. Uzajamno se izmjenjuju euforična i de</w:t>
        <w:softHyphen/>
        <w:t>presivna stanja. Prije no što se postigne mis</w:t>
        <w:softHyphen/>
        <w:t>tično najviše stanje u doživljaju sjedinjenja, nerijetko se pojačava osjećaj samoće do pod</w:t>
        <w:softHyphen/>
        <w:t xml:space="preserve">nošenja beskrajno duboke zdvojnosti </w:t>
      </w:r>
      <w:r>
        <w:rPr>
          <w:rFonts w:ascii="Times New Roman" w:eastAsia="Times New Roman" w:hAnsi="Times New Roman" w:cs="Times New Roman"/>
          <w:color w:val="000000"/>
          <w:spacing w:val="0"/>
          <w:w w:val="100"/>
          <w:position w:val="0"/>
          <w:shd w:val="clear" w:color="auto" w:fill="auto"/>
          <w:lang w:val="en-US" w:eastAsia="en-US" w:bidi="en-US"/>
        </w:rPr>
        <w:t>(despe</w:t>
        <w:softHyphen/>
        <w:t xml:space="preserve">rado) </w:t>
      </w:r>
      <w:r>
        <w:rPr>
          <w:rFonts w:ascii="Times New Roman" w:eastAsia="Times New Roman" w:hAnsi="Times New Roman" w:cs="Times New Roman"/>
          <w:color w:val="000000"/>
          <w:spacing w:val="0"/>
          <w:w w:val="100"/>
          <w:position w:val="0"/>
          <w:shd w:val="clear" w:color="auto" w:fill="auto"/>
          <w:lang w:val="hr-HR" w:eastAsia="hr-HR" w:bidi="hr-HR"/>
        </w:rPr>
        <w:t>u stanju navodne napuštenosti od Boga. Kod nekih mistika depresije su trajale tjed</w:t>
        <w:softHyphen/>
        <w:t xml:space="preserve">nima, mjesecima, katkada godinama. Za ovu fazu unutarnjeg uzdizanja mistici su skovali riječi kao »desolatio«, »sterilitas animae« (Bernard iz </w:t>
      </w:r>
      <w:r>
        <w:rPr>
          <w:rFonts w:ascii="Times New Roman" w:eastAsia="Times New Roman" w:hAnsi="Times New Roman" w:cs="Times New Roman"/>
          <w:color w:val="000000"/>
          <w:spacing w:val="0"/>
          <w:w w:val="100"/>
          <w:position w:val="0"/>
          <w:shd w:val="clear" w:color="auto" w:fill="auto"/>
          <w:lang w:val="en-US" w:eastAsia="en-US" w:bidi="en-US"/>
        </w:rPr>
        <w:t xml:space="preserve">Clairvauxa), </w:t>
      </w:r>
      <w:r>
        <w:rPr>
          <w:rFonts w:ascii="Times New Roman" w:eastAsia="Times New Roman" w:hAnsi="Times New Roman" w:cs="Times New Roman"/>
          <w:color w:val="000000"/>
          <w:spacing w:val="0"/>
          <w:w w:val="100"/>
          <w:position w:val="0"/>
          <w:shd w:val="clear" w:color="auto" w:fill="auto"/>
          <w:lang w:val="hr-HR" w:eastAsia="hr-HR" w:bidi="hr-HR"/>
        </w:rPr>
        <w:t>»tamna noć duše« (Ivan od Križa), »duhovno raspeće« itd. U sli</w:t>
        <w:softHyphen/>
        <w:t>kovitom mističnom jeziku nalaze se posebno metafore o suhoći i mraku. Počam od Origena izlazak Izraclićana iz Egipta bio je spiritualizi- ran i tumačio se kao unutarnje uspinjanje du</w:t>
        <w:softHyphen/>
        <w:t xml:space="preserve">še k Bogu. </w:t>
      </w:r>
      <w:r>
        <w:rPr>
          <w:rFonts w:ascii="Times New Roman" w:eastAsia="Times New Roman" w:hAnsi="Times New Roman" w:cs="Times New Roman"/>
          <w:color w:val="000000"/>
          <w:spacing w:val="0"/>
          <w:w w:val="100"/>
          <w:position w:val="0"/>
          <w:shd w:val="clear" w:color="auto" w:fill="auto"/>
          <w:lang w:val="en-US" w:eastAsia="en-US" w:bidi="en-US"/>
        </w:rPr>
        <w:t xml:space="preserve">Meister Eckhart </w:t>
      </w:r>
      <w:r>
        <w:rPr>
          <w:rFonts w:ascii="Times New Roman" w:eastAsia="Times New Roman" w:hAnsi="Times New Roman" w:cs="Times New Roman"/>
          <w:color w:val="000000"/>
          <w:spacing w:val="0"/>
          <w:w w:val="100"/>
          <w:position w:val="0"/>
          <w:shd w:val="clear" w:color="auto" w:fill="auto"/>
          <w:lang w:val="hr-HR" w:eastAsia="hr-HR" w:bidi="hr-HR"/>
        </w:rPr>
        <w:t>je svršetak unu</w:t>
        <w:softHyphen/>
        <w:t>tarnjeg uspinjanja označio kao »odijeljenost«.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je stanje istodobno trenutak neposredne blizine uz božanstvo i najveće udaljenosti od empiričkog svojstva stvorenog svijeta. Odije</w:t>
        <w:softHyphen/>
        <w:t>ljenost nije nikakav vanjski bijeg od svijeta ne</w:t>
        <w:softHyphen/>
        <w:t xml:space="preserve">go </w:t>
      </w:r>
      <w:r>
        <w:rPr>
          <w:rFonts w:ascii="Times New Roman" w:eastAsia="Times New Roman" w:hAnsi="Times New Roman" w:cs="Times New Roman"/>
          <w:i/>
          <w:iCs/>
          <w:color w:val="000000"/>
          <w:spacing w:val="0"/>
          <w:w w:val="100"/>
          <w:position w:val="0"/>
          <w:shd w:val="clear" w:color="auto" w:fill="auto"/>
          <w:lang w:val="hr-HR" w:eastAsia="hr-HR" w:bidi="hr-HR"/>
        </w:rPr>
        <w:t>unutarnje držanje:</w:t>
      </w:r>
      <w:r>
        <w:rPr>
          <w:rFonts w:ascii="Times New Roman" w:eastAsia="Times New Roman" w:hAnsi="Times New Roman" w:cs="Times New Roman"/>
          <w:color w:val="000000"/>
          <w:spacing w:val="0"/>
          <w:w w:val="100"/>
          <w:position w:val="0"/>
          <w:shd w:val="clear" w:color="auto" w:fill="auto"/>
          <w:lang w:val="hr-HR" w:eastAsia="hr-HR" w:bidi="hr-HR"/>
        </w:rPr>
        <w:t xml:space="preserve"> »oslobođenost«, »bczazle- nost«, »mirnoća«. U slikovitom mističnom je</w:t>
        <w:softHyphen/>
        <w:t>ziku često se govori o »pustinji, pustoši«: »Pustinja me mami, tu smo sami samo Bog i ja, tu je duh s duhom. O samoćo, tako daleko, tako daleko od stvorenja i mjesta i vremena« (Tersteegen).</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Vrhunac unutarnjeg uspona je »unio </w:t>
      </w:r>
      <w:r>
        <w:rPr>
          <w:rFonts w:ascii="Times New Roman" w:eastAsia="Times New Roman" w:hAnsi="Times New Roman" w:cs="Times New Roman"/>
          <w:color w:val="000000"/>
          <w:spacing w:val="0"/>
          <w:w w:val="100"/>
          <w:position w:val="0"/>
          <w:shd w:val="clear" w:color="auto" w:fill="auto"/>
          <w:lang w:val="en-US" w:eastAsia="en-US" w:bidi="en-US"/>
        </w:rPr>
        <w:t>mysti</w:t>
        <w:softHyphen/>
        <w:t xml:space="preserve">ca«, </w:t>
      </w:r>
      <w:r>
        <w:rPr>
          <w:rFonts w:ascii="Times New Roman" w:eastAsia="Times New Roman" w:hAnsi="Times New Roman" w:cs="Times New Roman"/>
          <w:color w:val="000000"/>
          <w:spacing w:val="0"/>
          <w:w w:val="100"/>
          <w:position w:val="0"/>
          <w:shd w:val="clear" w:color="auto" w:fill="auto"/>
          <w:lang w:val="hr-HR" w:eastAsia="hr-HR" w:bidi="hr-HR"/>
        </w:rPr>
        <w:t>mistični doživljaj jedinstva s Bogom koje se doživljava ili kao recipročna istovjetnost (Ja sam Ti, Ti si Ja) ili kao doživljaj imanen- cije (Ja sam u Tebi, Ti si u meni). Unutarnjoj odijeljenosti mistika može, ali ne mora nužno, odgovarati njegova vanjska izoliranost. Dodu</w:t>
        <w:softHyphen/>
        <w:t>še, mnogi mistici često izbjegavaju svijet, ali ipak ne ustraju u toj odijeljenosti od svijeta nego se opet vraćaju u svakodnevni život s te</w:t>
        <w:softHyphen/>
        <w:t>meljito promijenjenim stavom. Čest prigovor da su mistici pasivni i da negiraju život (za razliku od aktivnih proroka), opravdan je sa</w:t>
        <w:softHyphen/>
        <w:t>mo za neke mistike i ne bi se trebao uopća- vati.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Kršćanska m. ima bogatu tradiciju. Pavao vri</w:t>
        <w:softHyphen/>
        <w:t xml:space="preserve">jedi kao »praotac«, odnosno »otac katoličke mistike« </w:t>
      </w:r>
      <w:r>
        <w:rPr>
          <w:rFonts w:ascii="Times New Roman" w:eastAsia="Times New Roman" w:hAnsi="Times New Roman" w:cs="Times New Roman"/>
          <w:color w:val="000000"/>
          <w:spacing w:val="0"/>
          <w:w w:val="100"/>
          <w:position w:val="0"/>
          <w:shd w:val="clear" w:color="auto" w:fill="auto"/>
          <w:lang w:val="en-US" w:eastAsia="en-US" w:bidi="en-US"/>
        </w:rPr>
        <w:t xml:space="preserve">(Heiler). Albert Schweitzer </w:t>
      </w:r>
      <w:r>
        <w:rPr>
          <w:rFonts w:ascii="Times New Roman" w:eastAsia="Times New Roman" w:hAnsi="Times New Roman" w:cs="Times New Roman"/>
          <w:color w:val="000000"/>
          <w:spacing w:val="0"/>
          <w:w w:val="100"/>
          <w:position w:val="0"/>
          <w:shd w:val="clear" w:color="auto" w:fill="auto"/>
          <w:lang w:val="hr-HR" w:eastAsia="hr-HR" w:bidi="hr-HR"/>
        </w:rPr>
        <w:t xml:space="preserve">u svom djelu </w:t>
      </w:r>
      <w:r>
        <w:rPr>
          <w:rFonts w:ascii="Times New Roman" w:eastAsia="Times New Roman" w:hAnsi="Times New Roman" w:cs="Times New Roman"/>
          <w:i/>
          <w:iCs/>
          <w:color w:val="000000"/>
          <w:spacing w:val="0"/>
          <w:w w:val="100"/>
          <w:position w:val="0"/>
          <w:shd w:val="clear" w:color="auto" w:fill="auto"/>
          <w:lang w:val="en-US" w:eastAsia="en-US" w:bidi="en-US"/>
        </w:rPr>
        <w:t>Die Mystik des Apostels Paulus</w:t>
      </w:r>
      <w:r>
        <w:rPr>
          <w:rFonts w:ascii="Times New Roman" w:eastAsia="Times New Roman" w:hAnsi="Times New Roman" w:cs="Times New Roman"/>
          <w:color w:val="000000"/>
          <w:spacing w:val="0"/>
          <w:w w:val="100"/>
          <w:position w:val="0"/>
          <w:shd w:val="clear" w:color="auto" w:fill="auto"/>
          <w:lang w:val="en-US" w:eastAsia="en-US" w:bidi="en-US"/>
        </w:rPr>
        <w:t xml:space="preserve"> (1930) </w:t>
      </w:r>
      <w:r>
        <w:rPr>
          <w:rFonts w:ascii="Times New Roman" w:eastAsia="Times New Roman" w:hAnsi="Times New Roman" w:cs="Times New Roman"/>
          <w:color w:val="000000"/>
          <w:spacing w:val="0"/>
          <w:w w:val="100"/>
          <w:position w:val="0"/>
          <w:shd w:val="clear" w:color="auto" w:fill="auto"/>
          <w:lang w:val="hr-HR" w:eastAsia="hr-HR" w:bidi="hr-HR"/>
        </w:rPr>
        <w:t xml:space="preserve">postavlja tezu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je Pavlovo učenje o oprav</w:t>
        <w:softHyphen/>
        <w:t>danju samo »sporedni krater« u cjelini nje</w:t>
        <w:softHyphen/>
        <w:t xml:space="preserve">gove kristovske mistike.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se nalaze dojmljiva upućivanja na njegove vlastite mis</w:t>
        <w:softHyphen/>
        <w:t xml:space="preserve">tične doživljaje (2 Kor 12). Kršćanski je život za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»biti u Kristu« (Rim 8,1; 2 Kor 5,17), to je »život skriven s Kristom u Bogu« (Kol 3,3) i nalazi se u onostranom svijetu (Fil 3,20). No, glavni mistični spis NZ je Ivanovo evan</w:t>
        <w:softHyphen/>
        <w:t>đelje koje predstavlja omiljeni spis mnogih kršćanskih kao i nekršćanskih mistika. Isus ovdje uvodi svoje učenike u misterij kontem</w:t>
        <w:softHyphen/>
        <w:t>placije: »Vidjet ćete otvoreno nebo...« (Iv 1,51). To je pravo podučavanje u molitvi »u duhu i istini« (Iv 4,24).</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kršćansku mistiku utjecat će uz novoza- vjetni korijen i dva izvankršćanska izvora: neoplatonsko-plotinsko naslijeđe i kasnoan</w:t>
        <w:softHyphen/>
        <w:t xml:space="preserve">tički stoicizam. U ranokršćanskoj Crkvi ima niz istaknutih mistika (na Istoku: Makarije Veliki, Gregur Nazijanski, Ivan Krizostom, Makarije iz Mezopotamije). U zapadnoj Crkvi </w:t>
      </w:r>
      <w:r>
        <w:rPr>
          <w:rFonts w:ascii="Times New Roman" w:eastAsia="Times New Roman" w:hAnsi="Times New Roman" w:cs="Times New Roman"/>
          <w:color w:val="000000"/>
          <w:spacing w:val="0"/>
          <w:w w:val="100"/>
          <w:position w:val="0"/>
          <w:shd w:val="clear" w:color="auto" w:fill="auto"/>
          <w:lang w:val="hr-HR" w:eastAsia="hr-HR" w:bidi="hr-HR"/>
        </w:rPr>
        <w:t xml:space="preserve">osobito je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 xml:space="preserve">bio taj koji npr. u 9. knjizi svojih </w:t>
      </w:r>
      <w:r>
        <w:rPr>
          <w:rFonts w:ascii="Times New Roman" w:eastAsia="Times New Roman" w:hAnsi="Times New Roman" w:cs="Times New Roman"/>
          <w:i/>
          <w:iCs/>
          <w:color w:val="000000"/>
          <w:spacing w:val="0"/>
          <w:w w:val="100"/>
          <w:position w:val="0"/>
          <w:shd w:val="clear" w:color="auto" w:fill="auto"/>
          <w:lang w:val="hr-HR" w:eastAsia="hr-HR" w:bidi="hr-HR"/>
        </w:rPr>
        <w:t>Ispovijesti</w:t>
      </w:r>
      <w:r>
        <w:rPr>
          <w:rFonts w:ascii="Times New Roman" w:eastAsia="Times New Roman" w:hAnsi="Times New Roman" w:cs="Times New Roman"/>
          <w:color w:val="000000"/>
          <w:spacing w:val="0"/>
          <w:w w:val="100"/>
          <w:position w:val="0"/>
          <w:shd w:val="clear" w:color="auto" w:fill="auto"/>
          <w:lang w:val="hr-HR" w:eastAsia="hr-HR" w:bidi="hr-HR"/>
        </w:rPr>
        <w:t xml:space="preserve"> opisuje posljednji razgovor sa svojom majkom, razgovor koji prelazi u mis</w:t>
        <w:softHyphen/>
        <w:t>tičnu kontemplaciju. Nadalje treba spomenuti Boetija, kancelara Teodorika Velikog. U za</w:t>
        <w:softHyphen/>
        <w:t xml:space="preserve">padnom srednjem vijeku m. je dosegla svoj vrhunac s Bernardom iz </w:t>
      </w:r>
      <w:r>
        <w:rPr>
          <w:rFonts w:ascii="Times New Roman" w:eastAsia="Times New Roman" w:hAnsi="Times New Roman" w:cs="Times New Roman"/>
          <w:color w:val="000000"/>
          <w:spacing w:val="0"/>
          <w:w w:val="100"/>
          <w:position w:val="0"/>
          <w:shd w:val="clear" w:color="auto" w:fill="auto"/>
          <w:lang w:val="en-US" w:eastAsia="en-US" w:bidi="en-US"/>
        </w:rPr>
        <w:t xml:space="preserve">Clairvauxa </w:t>
      </w:r>
      <w:r>
        <w:rPr>
          <w:rFonts w:ascii="Times New Roman" w:eastAsia="Times New Roman" w:hAnsi="Times New Roman" w:cs="Times New Roman"/>
          <w:color w:val="000000"/>
          <w:spacing w:val="0"/>
          <w:w w:val="100"/>
          <w:position w:val="0"/>
          <w:shd w:val="clear" w:color="auto" w:fill="auto"/>
          <w:lang w:val="hr-HR" w:eastAsia="hr-HR" w:bidi="hr-HR"/>
        </w:rPr>
        <w:t xml:space="preserve">i viktorin- cima u Francuskoj, u Italiji s Franjom Asiškim i Bonavcnturom, sa Španjolcem Rajmundom Lulom i Nizozemcem Janom </w:t>
      </w:r>
      <w:r>
        <w:rPr>
          <w:rFonts w:ascii="Times New Roman" w:eastAsia="Times New Roman" w:hAnsi="Times New Roman" w:cs="Times New Roman"/>
          <w:color w:val="000000"/>
          <w:spacing w:val="0"/>
          <w:w w:val="100"/>
          <w:position w:val="0"/>
          <w:shd w:val="clear" w:color="auto" w:fill="auto"/>
          <w:lang w:val="en-US" w:eastAsia="en-US" w:bidi="en-US"/>
        </w:rPr>
        <w:t xml:space="preserve">van Ruysbroe- </w:t>
      </w:r>
      <w:r>
        <w:rPr>
          <w:rFonts w:ascii="Times New Roman" w:eastAsia="Times New Roman" w:hAnsi="Times New Roman" w:cs="Times New Roman"/>
          <w:color w:val="000000"/>
          <w:spacing w:val="0"/>
          <w:w w:val="100"/>
          <w:position w:val="0"/>
          <w:shd w:val="clear" w:color="auto" w:fill="auto"/>
          <w:lang w:val="hr-HR" w:eastAsia="hr-HR" w:bidi="hr-HR"/>
        </w:rPr>
        <w:t>kom. Značajna je bila engleska m. koju po</w:t>
        <w:softHyphen/>
        <w:t xml:space="preserve">sebno predstavlja </w:t>
      </w:r>
      <w:r>
        <w:rPr>
          <w:rFonts w:ascii="Times New Roman" w:eastAsia="Times New Roman" w:hAnsi="Times New Roman" w:cs="Times New Roman"/>
          <w:color w:val="000000"/>
          <w:spacing w:val="0"/>
          <w:w w:val="100"/>
          <w:position w:val="0"/>
          <w:shd w:val="clear" w:color="auto" w:fill="auto"/>
          <w:lang w:val="en-US" w:eastAsia="en-US" w:bidi="en-US"/>
        </w:rPr>
        <w:t xml:space="preserve">Rikard </w:t>
      </w:r>
      <w:r>
        <w:rPr>
          <w:rFonts w:ascii="Times New Roman" w:eastAsia="Times New Roman" w:hAnsi="Times New Roman" w:cs="Times New Roman"/>
          <w:color w:val="000000"/>
          <w:spacing w:val="0"/>
          <w:w w:val="100"/>
          <w:position w:val="0"/>
          <w:shd w:val="clear" w:color="auto" w:fill="auto"/>
          <w:lang w:val="hr-HR" w:eastAsia="hr-HR" w:bidi="hr-HR"/>
        </w:rPr>
        <w:t xml:space="preserve">od Hanipole, Julijan od </w:t>
      </w:r>
      <w:r>
        <w:rPr>
          <w:rFonts w:ascii="Times New Roman" w:eastAsia="Times New Roman" w:hAnsi="Times New Roman" w:cs="Times New Roman"/>
          <w:color w:val="000000"/>
          <w:spacing w:val="0"/>
          <w:w w:val="100"/>
          <w:position w:val="0"/>
          <w:shd w:val="clear" w:color="auto" w:fill="auto"/>
          <w:lang w:val="en-US" w:eastAsia="en-US" w:bidi="en-US"/>
        </w:rPr>
        <w:t xml:space="preserve">Norwicha </w:t>
      </w:r>
      <w:r>
        <w:rPr>
          <w:rFonts w:ascii="Times New Roman" w:eastAsia="Times New Roman" w:hAnsi="Times New Roman" w:cs="Times New Roman"/>
          <w:color w:val="000000"/>
          <w:spacing w:val="0"/>
          <w:w w:val="100"/>
          <w:position w:val="0"/>
          <w:shd w:val="clear" w:color="auto" w:fill="auto"/>
          <w:lang w:val="hr-HR" w:eastAsia="hr-HR" w:bidi="hr-HR"/>
        </w:rPr>
        <w:t xml:space="preserve">i anoniman autor djela </w:t>
      </w:r>
      <w:r>
        <w:rPr>
          <w:rFonts w:ascii="Times New Roman" w:eastAsia="Times New Roman" w:hAnsi="Times New Roman" w:cs="Times New Roman"/>
          <w:i/>
          <w:iCs/>
          <w:color w:val="000000"/>
          <w:spacing w:val="0"/>
          <w:w w:val="100"/>
          <w:position w:val="0"/>
          <w:shd w:val="clear" w:color="auto" w:fill="auto"/>
          <w:lang w:val="en-US" w:eastAsia="en-US" w:bidi="en-US"/>
        </w:rPr>
        <w:t>Cloud of Unknowing.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Na njemačkom je području sred</w:t>
        <w:softHyphen/>
        <w:t>njovjekovna m. postigla svoj zenit kod redov</w:t>
        <w:softHyphen/>
        <w:t>nica mistika (Hildegarda iz Bingena, Mehthil- da iz Magdeburga) i u genijalnom predstavniku spekulativne mistike Mcisteru Eckhartu kao i njegovim učenicima Johannesu Tauleru i Hein- richu Seuscu. U najznačajnije katoličke misti</w:t>
        <w:softHyphen/>
        <w:t>ke iz doba rcformacije ubraja se Ignacije Lo- jolski, Tereza Avilska, Ivan od Križa u Špa</w:t>
        <w:softHyphen/>
        <w:t>njolskoj i Franjo Saleški u Francuskoj.</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Protestantska m. počinje s Martinom Luthe- rom koji na raznolik način dotiče (što se može dokazati od 1516.) blago mističke tradicije. On čak izdaje traktat srednjovjekovne nje</w:t>
        <w:softHyphen/>
        <w:t xml:space="preserve">mačke mistike kojem je dao naslov </w:t>
      </w:r>
      <w:r>
        <w:rPr>
          <w:rFonts w:ascii="Times New Roman" w:eastAsia="Times New Roman" w:hAnsi="Times New Roman" w:cs="Times New Roman"/>
          <w:i/>
          <w:iCs/>
          <w:color w:val="000000"/>
          <w:spacing w:val="0"/>
          <w:w w:val="100"/>
          <w:position w:val="0"/>
          <w:shd w:val="clear" w:color="auto" w:fill="auto"/>
          <w:lang w:val="en-US" w:eastAsia="en-US" w:bidi="en-US"/>
        </w:rPr>
        <w:t xml:space="preserve">Eyn Deutsch </w:t>
      </w:r>
      <w:r>
        <w:rPr>
          <w:rFonts w:ascii="Times New Roman" w:eastAsia="Times New Roman" w:hAnsi="Times New Roman" w:cs="Times New Roman"/>
          <w:i/>
          <w:iCs/>
          <w:color w:val="000000"/>
          <w:spacing w:val="0"/>
          <w:w w:val="100"/>
          <w:position w:val="0"/>
          <w:shd w:val="clear" w:color="auto" w:fill="auto"/>
          <w:lang w:val="hr-HR" w:eastAsia="hr-HR" w:bidi="hr-HR"/>
        </w:rPr>
        <w:t>Theologia</w:t>
      </w:r>
      <w:r>
        <w:rPr>
          <w:rFonts w:ascii="Times New Roman" w:eastAsia="Times New Roman" w:hAnsi="Times New Roman" w:cs="Times New Roman"/>
          <w:color w:val="000000"/>
          <w:spacing w:val="0"/>
          <w:w w:val="100"/>
          <w:position w:val="0"/>
          <w:shd w:val="clear" w:color="auto" w:fill="auto"/>
          <w:lang w:val="hr-HR" w:eastAsia="hr-HR" w:bidi="hr-HR"/>
        </w:rPr>
        <w:t xml:space="preserve"> (kasnije: </w:t>
      </w:r>
      <w:r>
        <w:rPr>
          <w:rFonts w:ascii="Times New Roman" w:eastAsia="Times New Roman" w:hAnsi="Times New Roman" w:cs="Times New Roman"/>
          <w:i/>
          <w:iCs/>
          <w:color w:val="000000"/>
          <w:spacing w:val="0"/>
          <w:w w:val="100"/>
          <w:position w:val="0"/>
          <w:shd w:val="clear" w:color="auto" w:fill="auto"/>
          <w:lang w:val="en-US" w:eastAsia="en-US" w:bidi="en-US"/>
        </w:rPr>
        <w:t>Theologia Deutsch).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U svom predgovoru iz 1518. veliča tu knjižicu koju stavlja uz bok Bibliji i svetom Augustinu. »Priključivanje uz mistiku« preko Luthcra pridonijelo je »oživljavanju i produbljivanju rcformacijske pobožnosti« </w:t>
      </w:r>
      <w:r>
        <w:rPr>
          <w:rFonts w:ascii="Times New Roman" w:eastAsia="Times New Roman" w:hAnsi="Times New Roman" w:cs="Times New Roman"/>
          <w:color w:val="000000"/>
          <w:spacing w:val="0"/>
          <w:w w:val="100"/>
          <w:position w:val="0"/>
          <w:shd w:val="clear" w:color="auto" w:fill="auto"/>
          <w:lang w:val="en-US" w:eastAsia="en-US" w:bidi="en-US"/>
        </w:rPr>
        <w:t xml:space="preserve">(W. Zeller, </w:t>
      </w:r>
      <w:r>
        <w:rPr>
          <w:rFonts w:ascii="Times New Roman" w:eastAsia="Times New Roman" w:hAnsi="Times New Roman" w:cs="Times New Roman"/>
          <w:color w:val="000000"/>
          <w:spacing w:val="0"/>
          <w:w w:val="100"/>
          <w:position w:val="0"/>
          <w:shd w:val="clear" w:color="auto" w:fill="auto"/>
          <w:lang w:val="hr-HR" w:eastAsia="hr-HR" w:bidi="hr-HR"/>
        </w:rPr>
        <w:t xml:space="preserve">Luter- tum </w:t>
      </w:r>
      <w:r>
        <w:rPr>
          <w:rFonts w:ascii="Times New Roman" w:eastAsia="Times New Roman" w:hAnsi="Times New Roman" w:cs="Times New Roman"/>
          <w:color w:val="000000"/>
          <w:spacing w:val="0"/>
          <w:w w:val="100"/>
          <w:position w:val="0"/>
          <w:shd w:val="clear" w:color="auto" w:fill="auto"/>
          <w:lang w:val="en-US" w:eastAsia="en-US" w:bidi="en-US"/>
        </w:rPr>
        <w:t xml:space="preserve">und Mystik, </w:t>
      </w:r>
      <w:r>
        <w:rPr>
          <w:rFonts w:ascii="Times New Roman" w:eastAsia="Times New Roman" w:hAnsi="Times New Roman" w:cs="Times New Roman"/>
          <w:color w:val="000000"/>
          <w:spacing w:val="0"/>
          <w:w w:val="100"/>
          <w:position w:val="0"/>
          <w:shd w:val="clear" w:color="auto" w:fill="auto"/>
          <w:lang w:val="hr-HR" w:eastAsia="hr-HR" w:bidi="hr-HR"/>
        </w:rPr>
        <w:t xml:space="preserve">u: H. </w:t>
      </w:r>
      <w:r>
        <w:rPr>
          <w:rFonts w:ascii="Times New Roman" w:eastAsia="Times New Roman" w:hAnsi="Times New Roman" w:cs="Times New Roman"/>
          <w:color w:val="000000"/>
          <w:spacing w:val="0"/>
          <w:w w:val="100"/>
          <w:position w:val="0"/>
          <w:shd w:val="clear" w:color="auto" w:fill="auto"/>
          <w:lang w:val="en-US" w:eastAsia="en-US" w:bidi="en-US"/>
        </w:rPr>
        <w:t xml:space="preserve">Reller/M. Seitz </w:t>
      </w:r>
      <w:r>
        <w:rPr>
          <w:rFonts w:ascii="Times New Roman" w:eastAsia="Times New Roman" w:hAnsi="Times New Roman" w:cs="Times New Roman"/>
          <w:color w:val="000000"/>
          <w:spacing w:val="0"/>
          <w:w w:val="100"/>
          <w:position w:val="0"/>
          <w:shd w:val="clear" w:color="auto" w:fill="auto"/>
          <w:lang w:val="hr-HR" w:eastAsia="hr-HR" w:bidi="hr-HR"/>
        </w:rPr>
        <w:t xml:space="preserve">[Hrsg.], </w:t>
      </w:r>
      <w:r>
        <w:rPr>
          <w:rFonts w:ascii="Times New Roman" w:eastAsia="Times New Roman" w:hAnsi="Times New Roman" w:cs="Times New Roman"/>
          <w:i/>
          <w:iCs/>
          <w:color w:val="000000"/>
          <w:spacing w:val="0"/>
          <w:w w:val="100"/>
          <w:position w:val="0"/>
          <w:shd w:val="clear" w:color="auto" w:fill="auto"/>
          <w:lang w:val="en-US" w:eastAsia="en-US" w:bidi="en-US"/>
        </w:rPr>
        <w:t xml:space="preserve">Herausforderung: Religiose </w:t>
      </w:r>
      <w:r>
        <w:rPr>
          <w:rFonts w:ascii="Times New Roman" w:eastAsia="Times New Roman" w:hAnsi="Times New Roman" w:cs="Times New Roman"/>
          <w:i/>
          <w:iCs/>
          <w:color w:val="000000"/>
          <w:spacing w:val="0"/>
          <w:w w:val="100"/>
          <w:position w:val="0"/>
          <w:shd w:val="clear" w:color="auto" w:fill="auto"/>
          <w:lang w:val="hr-HR" w:eastAsia="hr-HR" w:bidi="hr-HR"/>
        </w:rPr>
        <w:t xml:space="preserve">Erfahrung. Vom Verhdltnis evangelischer Frommigkeit zu </w:t>
      </w:r>
      <w:r>
        <w:rPr>
          <w:rFonts w:ascii="Times New Roman" w:eastAsia="Times New Roman" w:hAnsi="Times New Roman" w:cs="Times New Roman"/>
          <w:i/>
          <w:iCs/>
          <w:color w:val="000000"/>
          <w:spacing w:val="0"/>
          <w:w w:val="100"/>
          <w:position w:val="0"/>
          <w:shd w:val="clear" w:color="auto" w:fill="auto"/>
          <w:lang w:val="en-US" w:eastAsia="en-US" w:bidi="en-US"/>
        </w:rPr>
        <w:t>Medi</w:t>
        <w:softHyphen/>
        <w:t xml:space="preserve">tation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Mystik,</w:t>
      </w:r>
      <w:r>
        <w:rPr>
          <w:rFonts w:ascii="Times New Roman" w:eastAsia="Times New Roman" w:hAnsi="Times New Roman" w:cs="Times New Roman"/>
          <w:color w:val="000000"/>
          <w:spacing w:val="0"/>
          <w:w w:val="100"/>
          <w:position w:val="0"/>
          <w:shd w:val="clear" w:color="auto" w:fill="auto"/>
          <w:lang w:val="en-US" w:eastAsia="en-US" w:bidi="en-US"/>
        </w:rPr>
        <w:t xml:space="preserve"> Gottingen </w:t>
      </w:r>
      <w:r>
        <w:rPr>
          <w:rFonts w:ascii="Times New Roman" w:eastAsia="Times New Roman" w:hAnsi="Times New Roman" w:cs="Times New Roman"/>
          <w:color w:val="000000"/>
          <w:spacing w:val="0"/>
          <w:w w:val="100"/>
          <w:position w:val="0"/>
          <w:shd w:val="clear" w:color="auto" w:fill="auto"/>
          <w:lang w:val="hr-HR" w:eastAsia="hr-HR" w:bidi="hr-HR"/>
        </w:rPr>
        <w:t>1980, 105).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 luteranstvo je značajan utjecaj mistike. Valja spomenuti s jedne strane evangeličku poučnu literaturu (molitvenu literaturu) kao i takve istaknute predstavnike kao što je </w:t>
      </w:r>
      <w:r>
        <w:rPr>
          <w:rFonts w:ascii="Times New Roman" w:eastAsia="Times New Roman" w:hAnsi="Times New Roman" w:cs="Times New Roman"/>
          <w:color w:val="000000"/>
          <w:spacing w:val="0"/>
          <w:w w:val="100"/>
          <w:position w:val="0"/>
          <w:shd w:val="clear" w:color="auto" w:fill="auto"/>
          <w:lang w:val="en-US" w:eastAsia="en-US" w:bidi="en-US"/>
        </w:rPr>
        <w:t>Jo</w:t>
        <w:softHyphen/>
        <w:t xml:space="preserve">hann </w:t>
      </w:r>
      <w:r>
        <w:rPr>
          <w:rFonts w:ascii="Times New Roman" w:eastAsia="Times New Roman" w:hAnsi="Times New Roman" w:cs="Times New Roman"/>
          <w:color w:val="000000"/>
          <w:spacing w:val="0"/>
          <w:w w:val="100"/>
          <w:position w:val="0"/>
          <w:shd w:val="clear" w:color="auto" w:fill="auto"/>
          <w:lang w:val="hr-HR" w:eastAsia="hr-HR" w:bidi="hr-HR"/>
        </w:rPr>
        <w:t xml:space="preserve">Amdt koji je sa svoje četiri knjige o </w:t>
      </w:r>
      <w:r>
        <w:rPr>
          <w:rFonts w:ascii="Times New Roman" w:eastAsia="Times New Roman" w:hAnsi="Times New Roman" w:cs="Times New Roman"/>
          <w:i/>
          <w:iCs/>
          <w:color w:val="000000"/>
          <w:spacing w:val="0"/>
          <w:w w:val="100"/>
          <w:position w:val="0"/>
          <w:shd w:val="clear" w:color="auto" w:fill="auto"/>
          <w:lang w:val="hr-HR" w:eastAsia="hr-HR" w:bidi="hr-HR"/>
        </w:rPr>
        <w:t>Pra</w:t>
        <w:softHyphen/>
        <w:t>vom kršćanstvu</w:t>
      </w:r>
      <w:r>
        <w:rPr>
          <w:rFonts w:ascii="Times New Roman" w:eastAsia="Times New Roman" w:hAnsi="Times New Roman" w:cs="Times New Roman"/>
          <w:color w:val="000000"/>
          <w:spacing w:val="0"/>
          <w:w w:val="100"/>
          <w:position w:val="0"/>
          <w:shd w:val="clear" w:color="auto" w:fill="auto"/>
          <w:lang w:val="hr-HR" w:eastAsia="hr-HR" w:bidi="hr-HR"/>
        </w:rPr>
        <w:t xml:space="preserve"> stvorio </w:t>
      </w:r>
      <w:r>
        <w:rPr>
          <w:rFonts w:ascii="Times New Roman" w:eastAsia="Times New Roman" w:hAnsi="Times New Roman" w:cs="Times New Roman"/>
          <w:i/>
          <w:iCs/>
          <w:color w:val="000000"/>
          <w:spacing w:val="0"/>
          <w:w w:val="100"/>
          <w:position w:val="0"/>
          <w:shd w:val="clear" w:color="auto" w:fill="auto"/>
          <w:lang w:val="hr-HR" w:eastAsia="hr-HR" w:bidi="hr-HR"/>
        </w:rPr>
        <w:t>jedno</w:t>
      </w:r>
      <w:r>
        <w:rPr>
          <w:rFonts w:ascii="Times New Roman" w:eastAsia="Times New Roman" w:hAnsi="Times New Roman" w:cs="Times New Roman"/>
          <w:color w:val="000000"/>
          <w:spacing w:val="0"/>
          <w:w w:val="100"/>
          <w:position w:val="0"/>
          <w:shd w:val="clear" w:color="auto" w:fill="auto"/>
          <w:lang w:val="hr-HR" w:eastAsia="hr-HR" w:bidi="hr-HR"/>
        </w:rPr>
        <w:t xml:space="preserve"> standardno djelo luteranske mistike. Dok je </w:t>
      </w:r>
      <w:r>
        <w:rPr>
          <w:rFonts w:ascii="Times New Roman" w:eastAsia="Times New Roman" w:hAnsi="Times New Roman" w:cs="Times New Roman"/>
          <w:color w:val="000000"/>
          <w:spacing w:val="0"/>
          <w:w w:val="100"/>
          <w:position w:val="0"/>
          <w:shd w:val="clear" w:color="auto" w:fill="auto"/>
          <w:lang w:val="en-US" w:eastAsia="en-US" w:bidi="en-US"/>
        </w:rPr>
        <w:t xml:space="preserve">Arndt </w:t>
      </w:r>
      <w:r>
        <w:rPr>
          <w:rFonts w:ascii="Times New Roman" w:eastAsia="Times New Roman" w:hAnsi="Times New Roman" w:cs="Times New Roman"/>
          <w:color w:val="000000"/>
          <w:spacing w:val="0"/>
          <w:w w:val="100"/>
          <w:position w:val="0"/>
          <w:shd w:val="clear" w:color="auto" w:fill="auto"/>
          <w:lang w:val="hr-HR" w:eastAsia="hr-HR" w:bidi="hr-HR"/>
        </w:rPr>
        <w:t xml:space="preserve">prije svega ponovno otkrio njemačku mistiku i prenio je na luteranstvo, Filip </w:t>
      </w:r>
      <w:r>
        <w:rPr>
          <w:rFonts w:ascii="Times New Roman" w:eastAsia="Times New Roman" w:hAnsi="Times New Roman" w:cs="Times New Roman"/>
          <w:color w:val="000000"/>
          <w:spacing w:val="0"/>
          <w:w w:val="100"/>
          <w:position w:val="0"/>
          <w:shd w:val="clear" w:color="auto" w:fill="auto"/>
          <w:lang w:val="en-US" w:eastAsia="en-US" w:bidi="en-US"/>
        </w:rPr>
        <w:t xml:space="preserve">Nicolai </w:t>
      </w:r>
      <w:r>
        <w:rPr>
          <w:rFonts w:ascii="Times New Roman" w:eastAsia="Times New Roman" w:hAnsi="Times New Roman" w:cs="Times New Roman"/>
          <w:color w:val="000000"/>
          <w:spacing w:val="0"/>
          <w:w w:val="100"/>
          <w:position w:val="0"/>
          <w:shd w:val="clear" w:color="auto" w:fill="auto"/>
          <w:lang w:val="hr-HR" w:eastAsia="hr-HR" w:bidi="hr-HR"/>
        </w:rPr>
        <w:t>posegnuo je po</w:t>
        <w:softHyphen/>
        <w:t>sebno za pseudoaugustinskom i pseudober- nardinskom tradicijom. Utjecaj luteranske mis</w:t>
        <w:softHyphen/>
        <w:t>tike osjećao se i na različitim područjima um</w:t>
        <w:softHyphen/>
        <w:t xml:space="preserve">jetnosti (u glazbi npr. kod </w:t>
      </w:r>
      <w:r>
        <w:rPr>
          <w:rFonts w:ascii="Times New Roman" w:eastAsia="Times New Roman" w:hAnsi="Times New Roman" w:cs="Times New Roman"/>
          <w:color w:val="000000"/>
          <w:spacing w:val="0"/>
          <w:w w:val="100"/>
          <w:position w:val="0"/>
          <w:shd w:val="clear" w:color="auto" w:fill="auto"/>
          <w:lang w:val="en-US" w:eastAsia="en-US" w:bidi="en-US"/>
        </w:rPr>
        <w:t xml:space="preserve">Johanna </w:t>
      </w:r>
      <w:r>
        <w:rPr>
          <w:rFonts w:ascii="Times New Roman" w:eastAsia="Times New Roman" w:hAnsi="Times New Roman" w:cs="Times New Roman"/>
          <w:color w:val="000000"/>
          <w:spacing w:val="0"/>
          <w:w w:val="100"/>
          <w:position w:val="0"/>
          <w:shd w:val="clear" w:color="auto" w:fill="auto"/>
          <w:lang w:val="hr-HR" w:eastAsia="hr-HR" w:bidi="hr-HR"/>
        </w:rPr>
        <w:t xml:space="preserve">Sebastiana Bacha). Na području crkvene pjesme m. je </w:t>
      </w:r>
      <w:r>
        <w:rPr>
          <w:rFonts w:ascii="Times New Roman" w:eastAsia="Times New Roman" w:hAnsi="Times New Roman" w:cs="Times New Roman"/>
          <w:color w:val="000000"/>
          <w:spacing w:val="0"/>
          <w:w w:val="100"/>
          <w:position w:val="0"/>
          <w:shd w:val="clear" w:color="auto" w:fill="auto"/>
          <w:lang w:val="hr-HR" w:eastAsia="hr-HR" w:bidi="hr-HR"/>
        </w:rPr>
        <w:t xml:space="preserve">utjecala na </w:t>
      </w:r>
      <w:r>
        <w:rPr>
          <w:rFonts w:ascii="Times New Roman" w:eastAsia="Times New Roman" w:hAnsi="Times New Roman" w:cs="Times New Roman"/>
          <w:color w:val="000000"/>
          <w:spacing w:val="0"/>
          <w:w w:val="100"/>
          <w:position w:val="0"/>
          <w:shd w:val="clear" w:color="auto" w:fill="auto"/>
          <w:lang w:val="en-US" w:eastAsia="en-US" w:bidi="en-US"/>
        </w:rPr>
        <w:t xml:space="preserve">Paula </w:t>
      </w:r>
      <w:r>
        <w:rPr>
          <w:rFonts w:ascii="Times New Roman" w:eastAsia="Times New Roman" w:hAnsi="Times New Roman" w:cs="Times New Roman"/>
          <w:color w:val="000000"/>
          <w:spacing w:val="0"/>
          <w:w w:val="100"/>
          <w:position w:val="0"/>
          <w:shd w:val="clear" w:color="auto" w:fill="auto"/>
          <w:lang w:val="hr-HR" w:eastAsia="hr-HR" w:bidi="hr-HR"/>
        </w:rPr>
        <w:t xml:space="preserve">Gcrhardta kod kojega su se trinitarna vjera i mistična pobožnost stopile u jedinstvo (usp. pjesmu </w:t>
      </w:r>
      <w:r>
        <w:rPr>
          <w:rFonts w:ascii="Times New Roman" w:eastAsia="Times New Roman" w:hAnsi="Times New Roman" w:cs="Times New Roman"/>
          <w:color w:val="000000"/>
          <w:spacing w:val="0"/>
          <w:w w:val="100"/>
          <w:position w:val="0"/>
          <w:shd w:val="clear" w:color="auto" w:fill="auto"/>
          <w:lang w:val="en-US" w:eastAsia="en-US" w:bidi="en-US"/>
        </w:rPr>
        <w:t xml:space="preserve">Paula </w:t>
      </w:r>
      <w:r>
        <w:rPr>
          <w:rFonts w:ascii="Times New Roman" w:eastAsia="Times New Roman" w:hAnsi="Times New Roman" w:cs="Times New Roman"/>
          <w:color w:val="000000"/>
          <w:spacing w:val="0"/>
          <w:w w:val="100"/>
          <w:position w:val="0"/>
          <w:shd w:val="clear" w:color="auto" w:fill="auto"/>
          <w:lang w:val="hr-HR" w:eastAsia="hr-HR" w:bidi="hr-HR"/>
        </w:rPr>
        <w:t xml:space="preserve">Gcrhardta »1st </w:t>
      </w:r>
      <w:r>
        <w:rPr>
          <w:rFonts w:ascii="Times New Roman" w:eastAsia="Times New Roman" w:hAnsi="Times New Roman" w:cs="Times New Roman"/>
          <w:color w:val="000000"/>
          <w:spacing w:val="0"/>
          <w:w w:val="100"/>
          <w:position w:val="0"/>
          <w:shd w:val="clear" w:color="auto" w:fill="auto"/>
          <w:lang w:val="en-US" w:eastAsia="en-US" w:bidi="en-US"/>
        </w:rPr>
        <w:t xml:space="preserve">Gott fur mieh, so </w:t>
      </w:r>
      <w:r>
        <w:rPr>
          <w:rFonts w:ascii="Times New Roman" w:eastAsia="Times New Roman" w:hAnsi="Times New Roman" w:cs="Times New Roman"/>
          <w:color w:val="000000"/>
          <w:spacing w:val="0"/>
          <w:w w:val="100"/>
          <w:position w:val="0"/>
          <w:shd w:val="clear" w:color="auto" w:fill="auto"/>
          <w:lang w:val="hr-HR" w:eastAsia="hr-HR" w:bidi="hr-HR"/>
        </w:rPr>
        <w:t xml:space="preserve">trete«. Evangclička crkvena pjesmarica br. 250, 1. strofa: Je li </w:t>
      </w:r>
      <w:r>
        <w:rPr>
          <w:rFonts w:ascii="Times New Roman" w:eastAsia="Times New Roman" w:hAnsi="Times New Roman" w:cs="Times New Roman"/>
          <w:i/>
          <w:iCs/>
          <w:color w:val="000000"/>
          <w:spacing w:val="0"/>
          <w:w w:val="100"/>
          <w:position w:val="0"/>
          <w:shd w:val="clear" w:color="auto" w:fill="auto"/>
          <w:lang w:val="hr-HR" w:eastAsia="hr-HR" w:bidi="hr-HR"/>
        </w:rPr>
        <w:t>Bog</w:t>
      </w:r>
      <w:r>
        <w:rPr>
          <w:rFonts w:ascii="Times New Roman" w:eastAsia="Times New Roman" w:hAnsi="Times New Roman" w:cs="Times New Roman"/>
          <w:color w:val="000000"/>
          <w:spacing w:val="0"/>
          <w:w w:val="100"/>
          <w:position w:val="0"/>
          <w:shd w:val="clear" w:color="auto" w:fill="auto"/>
          <w:lang w:val="hr-HR" w:eastAsia="hr-HR" w:bidi="hr-HR"/>
        </w:rPr>
        <w:t xml:space="preserve"> za me</w:t>
        <w:softHyphen/>
        <w:t xml:space="preserve">ne; 4. strofa: Moj </w:t>
      </w:r>
      <w:r>
        <w:rPr>
          <w:rFonts w:ascii="Times New Roman" w:eastAsia="Times New Roman" w:hAnsi="Times New Roman" w:cs="Times New Roman"/>
          <w:i/>
          <w:iCs/>
          <w:color w:val="000000"/>
          <w:spacing w:val="0"/>
          <w:w w:val="100"/>
          <w:position w:val="0"/>
          <w:shd w:val="clear" w:color="auto" w:fill="auto"/>
          <w:lang w:val="hr-HR" w:eastAsia="hr-HR" w:bidi="hr-HR"/>
        </w:rPr>
        <w:t>Isus ...</w:t>
      </w:r>
      <w:r>
        <w:rPr>
          <w:rFonts w:ascii="Times New Roman" w:eastAsia="Times New Roman" w:hAnsi="Times New Roman" w:cs="Times New Roman"/>
          <w:color w:val="000000"/>
          <w:spacing w:val="0"/>
          <w:w w:val="100"/>
          <w:position w:val="0"/>
          <w:shd w:val="clear" w:color="auto" w:fill="auto"/>
          <w:lang w:val="hr-HR" w:eastAsia="hr-HR" w:bidi="hr-HR"/>
        </w:rPr>
        <w:t xml:space="preserve"> kada on ne bi bio u meni; 7. strofa: Njegov </w:t>
      </w:r>
      <w:r>
        <w:rPr>
          <w:rFonts w:ascii="Times New Roman" w:eastAsia="Times New Roman" w:hAnsi="Times New Roman" w:cs="Times New Roman"/>
          <w:i/>
          <w:iCs/>
          <w:color w:val="000000"/>
          <w:spacing w:val="0"/>
          <w:w w:val="100"/>
          <w:position w:val="0"/>
          <w:shd w:val="clear" w:color="auto" w:fill="auto"/>
          <w:lang w:val="hr-HR" w:eastAsia="hr-HR" w:bidi="hr-HR"/>
        </w:rPr>
        <w:t>Duh</w:t>
      </w:r>
      <w:r>
        <w:rPr>
          <w:rFonts w:ascii="Times New Roman" w:eastAsia="Times New Roman" w:hAnsi="Times New Roman" w:cs="Times New Roman"/>
          <w:color w:val="000000"/>
          <w:spacing w:val="0"/>
          <w:w w:val="100"/>
          <w:position w:val="0"/>
          <w:shd w:val="clear" w:color="auto" w:fill="auto"/>
          <w:lang w:val="hr-HR" w:eastAsia="hr-HR" w:bidi="hr-HR"/>
        </w:rPr>
        <w:t xml:space="preserve"> stanuje u mom srcu). Uz luteranskog župnika Valentina Wei- gela treba spomenuti predstavnike spiritualis- tičke mistike teozofa Jakoba Bdhmea kao i Angelusa </w:t>
      </w:r>
      <w:r>
        <w:rPr>
          <w:rFonts w:ascii="Times New Roman" w:eastAsia="Times New Roman" w:hAnsi="Times New Roman" w:cs="Times New Roman"/>
          <w:color w:val="000000"/>
          <w:spacing w:val="0"/>
          <w:w w:val="100"/>
          <w:position w:val="0"/>
          <w:shd w:val="clear" w:color="auto" w:fill="auto"/>
          <w:lang w:val="en-US" w:eastAsia="en-US" w:bidi="en-US"/>
        </w:rPr>
        <w:t xml:space="preserve">Silcsiusa (Johan Scheffler) </w:t>
      </w:r>
      <w:r>
        <w:rPr>
          <w:rFonts w:ascii="Times New Roman" w:eastAsia="Times New Roman" w:hAnsi="Times New Roman" w:cs="Times New Roman"/>
          <w:color w:val="000000"/>
          <w:spacing w:val="0"/>
          <w:w w:val="100"/>
          <w:position w:val="0"/>
          <w:shd w:val="clear" w:color="auto" w:fill="auto"/>
          <w:lang w:val="hr-HR" w:eastAsia="hr-HR" w:bidi="hr-HR"/>
        </w:rPr>
        <w:t>koji je prešao na katolicizam i čiji izbrušeni para</w:t>
        <w:softHyphen/>
        <w:t>doksi pripadaju literarno najboljemu što je kršćanska m. iznjedrila. Istodobno su uklju</w:t>
        <w:softHyphen/>
        <w:t>čeni u žarku isusovsku mistiku. Mistiku refor</w:t>
        <w:softHyphen/>
        <w:t>miranog protestantizma zastupa u prvom re</w:t>
        <w:softHyphen/>
        <w:t xml:space="preserve">du protestantski svetac </w:t>
      </w:r>
      <w:r>
        <w:rPr>
          <w:rFonts w:ascii="Times New Roman" w:eastAsia="Times New Roman" w:hAnsi="Times New Roman" w:cs="Times New Roman"/>
          <w:color w:val="000000"/>
          <w:spacing w:val="0"/>
          <w:w w:val="100"/>
          <w:position w:val="0"/>
          <w:shd w:val="clear" w:color="auto" w:fill="auto"/>
          <w:lang w:val="en-US" w:eastAsia="en-US" w:bidi="en-US"/>
        </w:rPr>
        <w:t xml:space="preserve">(W. Nigg) Gerhard </w:t>
      </w:r>
      <w:r>
        <w:rPr>
          <w:rFonts w:ascii="Times New Roman" w:eastAsia="Times New Roman" w:hAnsi="Times New Roman" w:cs="Times New Roman"/>
          <w:color w:val="000000"/>
          <w:spacing w:val="0"/>
          <w:w w:val="100"/>
          <w:position w:val="0"/>
          <w:shd w:val="clear" w:color="auto" w:fill="auto"/>
          <w:lang w:val="hr-HR" w:eastAsia="hr-HR" w:bidi="hr-HR"/>
        </w:rPr>
        <w:t>Terstccgen koji je između ostaloga kao pjes</w:t>
        <w:softHyphen/>
        <w:t>nik crkvenih pjesama prenio u reformirano kršćanstvo mistično misaono blago koje je djelomično izvukao iz španjolsko-francuskoga (dakle katoličkog) područja.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 xml:space="preserve">XVIII./XIX. </w:t>
      </w:r>
      <w:r>
        <w:rPr>
          <w:rFonts w:ascii="Times New Roman" w:eastAsia="Times New Roman" w:hAnsi="Times New Roman" w:cs="Times New Roman"/>
          <w:color w:val="000000"/>
          <w:spacing w:val="0"/>
          <w:w w:val="100"/>
          <w:position w:val="0"/>
          <w:shd w:val="clear" w:color="auto" w:fill="auto"/>
          <w:lang w:val="hr-HR" w:eastAsia="hr-HR" w:bidi="hr-HR"/>
        </w:rPr>
        <w:t>stoljeću m. se sve više potis</w:t>
        <w:softHyphen/>
        <w:t xml:space="preserve">kuje na protestantskom prostoru. Iznimku još predstavlja najveći teolog onoga vremena </w:t>
      </w:r>
      <w:r>
        <w:rPr>
          <w:rFonts w:ascii="Times New Roman" w:eastAsia="Times New Roman" w:hAnsi="Times New Roman" w:cs="Times New Roman"/>
          <w:color w:val="000000"/>
          <w:spacing w:val="0"/>
          <w:w w:val="100"/>
          <w:position w:val="0"/>
          <w:shd w:val="clear" w:color="auto" w:fill="auto"/>
          <w:lang w:val="en-US" w:eastAsia="en-US" w:bidi="en-US"/>
        </w:rPr>
        <w:t>Fri</w:t>
        <w:softHyphen/>
        <w:t xml:space="preserve">edrich </w:t>
      </w:r>
      <w:r>
        <w:rPr>
          <w:rFonts w:ascii="Times New Roman" w:eastAsia="Times New Roman" w:hAnsi="Times New Roman" w:cs="Times New Roman"/>
          <w:color w:val="000000"/>
          <w:spacing w:val="0"/>
          <w:w w:val="100"/>
          <w:position w:val="0"/>
          <w:shd w:val="clear" w:color="auto" w:fill="auto"/>
          <w:lang w:val="hr-HR" w:eastAsia="hr-HR" w:bidi="hr-HR"/>
        </w:rPr>
        <w:t>Schleiermacher. Od XIX. stoljeća pro</w:t>
        <w:softHyphen/>
        <w:t xml:space="preserve">testantski je stav prema mistici kritičan i ne prihvaća je. Prije svega su </w:t>
      </w:r>
      <w:r>
        <w:rPr>
          <w:rFonts w:ascii="Times New Roman" w:eastAsia="Times New Roman" w:hAnsi="Times New Roman" w:cs="Times New Roman"/>
          <w:color w:val="000000"/>
          <w:spacing w:val="0"/>
          <w:w w:val="100"/>
          <w:position w:val="0"/>
          <w:shd w:val="clear" w:color="auto" w:fill="auto"/>
          <w:lang w:val="en-US" w:eastAsia="en-US" w:bidi="en-US"/>
        </w:rPr>
        <w:t xml:space="preserve">Albrecht </w:t>
      </w:r>
      <w:r>
        <w:rPr>
          <w:rFonts w:ascii="Times New Roman" w:eastAsia="Times New Roman" w:hAnsi="Times New Roman" w:cs="Times New Roman"/>
          <w:color w:val="000000"/>
          <w:spacing w:val="0"/>
          <w:w w:val="100"/>
          <w:position w:val="0"/>
          <w:shd w:val="clear" w:color="auto" w:fill="auto"/>
          <w:lang w:val="hr-HR" w:eastAsia="hr-HR" w:bidi="hr-HR"/>
        </w:rPr>
        <w:t xml:space="preserve">Ritschl, Emil </w:t>
      </w:r>
      <w:r>
        <w:rPr>
          <w:rFonts w:ascii="Times New Roman" w:eastAsia="Times New Roman" w:hAnsi="Times New Roman" w:cs="Times New Roman"/>
          <w:color w:val="000000"/>
          <w:spacing w:val="0"/>
          <w:w w:val="100"/>
          <w:position w:val="0"/>
          <w:shd w:val="clear" w:color="auto" w:fill="auto"/>
          <w:lang w:val="en-US" w:eastAsia="en-US" w:bidi="en-US"/>
        </w:rPr>
        <w:t xml:space="preserve">Brunner, Paul Althaus, Karl Barth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Friedrich </w:t>
      </w:r>
      <w:r>
        <w:rPr>
          <w:rFonts w:ascii="Times New Roman" w:eastAsia="Times New Roman" w:hAnsi="Times New Roman" w:cs="Times New Roman"/>
          <w:color w:val="000000"/>
          <w:spacing w:val="0"/>
          <w:w w:val="100"/>
          <w:position w:val="0"/>
          <w:shd w:val="clear" w:color="auto" w:fill="auto"/>
          <w:lang w:val="hr-HR" w:eastAsia="hr-HR" w:bidi="hr-HR"/>
        </w:rPr>
        <w:t>Gogarten energično pobijali i ocrnji</w:t>
        <w:softHyphen/>
        <w:t>vali mistiku. Ona je važila za paradni primjer grešne tendencije koju prirodni čovjek ima prema samootkupljenju. Oslanja se jedino na vlastite snage umjesto da sve prepusti Bogu. Osim toga, m. relativizira Krista i »objektiv</w:t>
        <w:softHyphen/>
        <w:t>nu« Objavu u korist osobnog nadahnuća. Božja slika je u mistici neosobna i m. je ko</w:t>
        <w:softHyphen/>
        <w:t>načno zamaskirani panteizam. Osim toga, gri</w:t>
        <w:softHyphen/>
        <w:t>jeh je postao nedužan. Mistični životni ideal je kvijetistički, umjesto da bude - kao što bi od</w:t>
        <w:softHyphen/>
        <w:t>govaralo evanđelju - aktivan i da mijenja svi</w:t>
        <w:softHyphen/>
        <w:t>jet. Svi su se ovi prigovori kod točnijeg ispiti</w:t>
        <w:softHyphen/>
        <w:t>vanja pokazali kao pretjerani i ne kao nepo</w:t>
        <w:softHyphen/>
        <w:t xml:space="preserve">bitni. Protuargumcnti su dobro sažeti kod J. </w:t>
      </w:r>
      <w:r>
        <w:rPr>
          <w:rFonts w:ascii="Times New Roman" w:eastAsia="Times New Roman" w:hAnsi="Times New Roman" w:cs="Times New Roman"/>
          <w:color w:val="000000"/>
          <w:spacing w:val="0"/>
          <w:w w:val="100"/>
          <w:position w:val="0"/>
          <w:shd w:val="clear" w:color="auto" w:fill="auto"/>
          <w:lang w:val="en-US" w:eastAsia="en-US" w:bidi="en-US"/>
        </w:rPr>
        <w:t xml:space="preserve">Linncwedcla. </w:t>
      </w:r>
      <w:r>
        <w:rPr>
          <w:rFonts w:ascii="Times New Roman" w:eastAsia="Times New Roman" w:hAnsi="Times New Roman" w:cs="Times New Roman"/>
          <w:color w:val="000000"/>
          <w:spacing w:val="0"/>
          <w:w w:val="100"/>
          <w:position w:val="0"/>
          <w:shd w:val="clear" w:color="auto" w:fill="auto"/>
          <w:lang w:val="hr-HR" w:eastAsia="hr-HR" w:bidi="hr-HR"/>
        </w:rPr>
        <w:t>U XX. stoljeću ističe se na pod</w:t>
        <w:softHyphen/>
        <w:t xml:space="preserve">ručju evangeličkoga kršćanstva bivši generalni sekretar Ujedinjenih naroda (do 1961. Dag Hammarskjold koji je zastupao »kršćansku mistiku koja se još teško može održati« [K. </w:t>
      </w:r>
      <w:r>
        <w:rPr>
          <w:rFonts w:ascii="Times New Roman" w:eastAsia="Times New Roman" w:hAnsi="Times New Roman" w:cs="Times New Roman"/>
          <w:color w:val="000000"/>
          <w:spacing w:val="0"/>
          <w:w w:val="100"/>
          <w:position w:val="0"/>
          <w:shd w:val="clear" w:color="auto" w:fill="auto"/>
          <w:lang w:val="en-US" w:eastAsia="en-US" w:bidi="en-US"/>
        </w:rPr>
        <w:t xml:space="preserve">Beyschlag, </w:t>
      </w:r>
      <w:r>
        <w:rPr>
          <w:rFonts w:ascii="Times New Roman" w:eastAsia="Times New Roman" w:hAnsi="Times New Roman" w:cs="Times New Roman"/>
          <w:color w:val="000000"/>
          <w:spacing w:val="0"/>
          <w:w w:val="100"/>
          <w:position w:val="0"/>
          <w:shd w:val="clear" w:color="auto" w:fill="auto"/>
          <w:lang w:val="hr-HR" w:eastAsia="hr-HR" w:bidi="hr-HR"/>
        </w:rPr>
        <w:t xml:space="preserve">Dag Hammarskjold - ein protes- </w:t>
      </w:r>
      <w:r>
        <w:rPr>
          <w:rFonts w:ascii="Times New Roman" w:eastAsia="Times New Roman" w:hAnsi="Times New Roman" w:cs="Times New Roman"/>
          <w:color w:val="000000"/>
          <w:spacing w:val="0"/>
          <w:w w:val="100"/>
          <w:position w:val="0"/>
          <w:shd w:val="clear" w:color="auto" w:fill="auto"/>
          <w:lang w:val="en-US" w:eastAsia="en-US" w:bidi="en-US"/>
        </w:rPr>
        <w:t xml:space="preserve">tantischer Mystik </w:t>
      </w:r>
      <w:r>
        <w:rPr>
          <w:rFonts w:ascii="Times New Roman" w:eastAsia="Times New Roman" w:hAnsi="Times New Roman" w:cs="Times New Roman"/>
          <w:color w:val="000000"/>
          <w:spacing w:val="0"/>
          <w:w w:val="100"/>
          <w:position w:val="0"/>
          <w:shd w:val="clear" w:color="auto" w:fill="auto"/>
          <w:lang w:val="hr-HR" w:eastAsia="hr-HR" w:bidi="hr-HR"/>
        </w:rPr>
        <w:t>unserer Tage, u: H. Rel- ler/M. Scitz (Hrsg.), op. cit.].</w:t>
      </w:r>
    </w:p>
    <w:p>
      <w:pPr>
        <w:pStyle w:val="Style56"/>
        <w:keepNext w:val="0"/>
        <w:keepLines w:val="0"/>
        <w:widowControl w:val="0"/>
        <w:shd w:val="clear" w:color="auto" w:fill="auto"/>
        <w:bidi w:val="0"/>
        <w:spacing w:before="0" w:after="120" w:line="240" w:lineRule="auto"/>
        <w:ind w:left="0" w:right="0" w:firstLine="0"/>
        <w:jc w:val="both"/>
        <w:rPr>
          <w:sz w:val="15"/>
          <w:szCs w:val="15"/>
        </w:rPr>
      </w:pPr>
      <w:r>
        <w:rPr>
          <w:color w:val="000000"/>
          <w:spacing w:val="0"/>
          <w:w w:val="100"/>
          <w:position w:val="0"/>
          <w:sz w:val="12"/>
          <w:szCs w:val="12"/>
          <w:shd w:val="clear" w:color="auto" w:fill="auto"/>
          <w:lang w:val="hr-HR" w:eastAsia="hr-HR" w:bidi="hr-HR"/>
        </w:rPr>
        <w:t xml:space="preserve">I.H.: F. Hcilcr, </w:t>
      </w:r>
      <w:r>
        <w:rPr>
          <w:i/>
          <w:iCs/>
          <w:color w:val="000000"/>
          <w:spacing w:val="0"/>
          <w:w w:val="100"/>
          <w:position w:val="0"/>
          <w:sz w:val="12"/>
          <w:szCs w:val="12"/>
          <w:shd w:val="clear" w:color="auto" w:fill="auto"/>
          <w:lang w:val="hr-HR" w:eastAsia="hr-HR" w:bidi="hr-HR"/>
        </w:rPr>
        <w:t>Das Gebet,</w:t>
      </w:r>
      <w:r>
        <w:rPr>
          <w:color w:val="000000"/>
          <w:spacing w:val="0"/>
          <w:w w:val="100"/>
          <w:position w:val="0"/>
          <w:sz w:val="12"/>
          <w:szCs w:val="12"/>
          <w:shd w:val="clear" w:color="auto" w:fill="auto"/>
          <w:lang w:val="hr-HR" w:eastAsia="hr-HR" w:bidi="hr-HR"/>
        </w:rPr>
        <w:t xml:space="preserve"> </w:t>
      </w:r>
      <w:r>
        <w:rPr>
          <w:color w:val="000000"/>
          <w:spacing w:val="0"/>
          <w:w w:val="100"/>
          <w:position w:val="0"/>
          <w:sz w:val="12"/>
          <w:szCs w:val="12"/>
          <w:shd w:val="clear" w:color="auto" w:fill="auto"/>
          <w:vertAlign w:val="superscript"/>
          <w:lang w:val="hr-HR" w:eastAsia="hr-HR" w:bidi="hr-HR"/>
        </w:rPr>
        <w:t>5</w:t>
      </w:r>
      <w:r>
        <w:rPr>
          <w:color w:val="000000"/>
          <w:spacing w:val="0"/>
          <w:w w:val="100"/>
          <w:position w:val="0"/>
          <w:sz w:val="12"/>
          <w:szCs w:val="12"/>
          <w:shd w:val="clear" w:color="auto" w:fill="auto"/>
          <w:lang w:val="hr-HR" w:eastAsia="hr-HR" w:bidi="hr-HR"/>
        </w:rPr>
        <w:t xml:space="preserve">1969 (1. izd. 1918); </w:t>
      </w:r>
      <w:r>
        <w:rPr>
          <w:color w:val="000000"/>
          <w:spacing w:val="0"/>
          <w:w w:val="100"/>
          <w:position w:val="0"/>
          <w:sz w:val="12"/>
          <w:szCs w:val="12"/>
          <w:shd w:val="clear" w:color="auto" w:fill="auto"/>
        </w:rPr>
        <w:t xml:space="preserve">J. Linncwe- del. </w:t>
      </w:r>
      <w:r>
        <w:rPr>
          <w:i/>
          <w:iCs/>
          <w:color w:val="000000"/>
          <w:spacing w:val="0"/>
          <w:w w:val="100"/>
          <w:position w:val="0"/>
          <w:sz w:val="12"/>
          <w:szCs w:val="12"/>
          <w:shd w:val="clear" w:color="auto" w:fill="auto"/>
        </w:rPr>
        <w:t>Mystik, Meditation, Yoga, Zen,</w:t>
      </w:r>
      <w:r>
        <w:rPr>
          <w:color w:val="000000"/>
          <w:spacing w:val="0"/>
          <w:w w:val="100"/>
          <w:position w:val="0"/>
          <w:sz w:val="12"/>
          <w:szCs w:val="12"/>
          <w:shd w:val="clear" w:color="auto" w:fill="auto"/>
        </w:rPr>
        <w:t xml:space="preserve"> *1977. A. Strcl&gt;cl, </w:t>
      </w:r>
      <w:r>
        <w:rPr>
          <w:i/>
          <w:iCs/>
          <w:color w:val="000000"/>
          <w:spacing w:val="0"/>
          <w:w w:val="100"/>
          <w:position w:val="0"/>
          <w:sz w:val="12"/>
          <w:szCs w:val="12"/>
          <w:shd w:val="clear" w:color="auto" w:fill="auto"/>
        </w:rPr>
        <w:t>Medi</w:t>
        <w:softHyphen/>
        <w:t>tation in West und Ost- Wesen and Formen</w:t>
      </w:r>
      <w:r>
        <w:rPr>
          <w:color w:val="000000"/>
          <w:spacing w:val="0"/>
          <w:w w:val="100"/>
          <w:position w:val="0"/>
          <w:sz w:val="12"/>
          <w:szCs w:val="12"/>
          <w:shd w:val="clear" w:color="auto" w:fill="auto"/>
        </w:rPr>
        <w:t xml:space="preserve"> (= Information Nr. 65-VIII/76), hrsg. von dcr Evangclischcn Zcntralstcllc fur Wchanschaungsfragcn (EZW) 1976; G. Ruhhacb/I. Sudbrack (Hrsg.), </w:t>
      </w:r>
      <w:r>
        <w:rPr>
          <w:i/>
          <w:iCs/>
          <w:color w:val="000000"/>
          <w:spacing w:val="0"/>
          <w:w w:val="100"/>
          <w:position w:val="0"/>
          <w:sz w:val="12"/>
          <w:szCs w:val="12"/>
          <w:shd w:val="clear" w:color="auto" w:fill="auto"/>
        </w:rPr>
        <w:t>Grosse Mysttkcr, Leben und Wirken,</w:t>
      </w:r>
      <w:r>
        <w:rPr>
          <w:color w:val="000000"/>
          <w:spacing w:val="0"/>
          <w:w w:val="100"/>
          <w:position w:val="0"/>
          <w:sz w:val="12"/>
          <w:szCs w:val="12"/>
          <w:shd w:val="clear" w:color="auto" w:fill="auto"/>
        </w:rPr>
        <w:t xml:space="preserve"> 1984: U. Tworuschka, </w:t>
      </w:r>
      <w:r>
        <w:rPr>
          <w:i/>
          <w:iCs/>
          <w:color w:val="000000"/>
          <w:spacing w:val="0"/>
          <w:w w:val="100"/>
          <w:position w:val="0"/>
          <w:sz w:val="12"/>
          <w:szCs w:val="12"/>
          <w:shd w:val="clear" w:color="auto" w:fill="auto"/>
        </w:rPr>
        <w:t>Die Einsamkeit. Fine reltgiontphanomeno- logische Untersuehung,</w:t>
      </w:r>
      <w:r>
        <w:rPr>
          <w:color w:val="000000"/>
          <w:spacing w:val="0"/>
          <w:w w:val="100"/>
          <w:position w:val="0"/>
          <w:sz w:val="12"/>
          <w:szCs w:val="12"/>
          <w:shd w:val="clear" w:color="auto" w:fill="auto"/>
        </w:rPr>
        <w:t xml:space="preserve"> 1974. 49-102. U. </w:t>
      </w:r>
      <w:r>
        <w:rPr>
          <w:rFonts w:ascii="Times New Roman" w:eastAsia="Times New Roman" w:hAnsi="Times New Roman" w:cs="Times New Roman"/>
          <w:smallCaps/>
          <w:color w:val="000000"/>
          <w:spacing w:val="0"/>
          <w:w w:val="100"/>
          <w:position w:val="0"/>
          <w:sz w:val="15"/>
          <w:szCs w:val="15"/>
          <w:shd w:val="clear" w:color="auto" w:fill="auto"/>
        </w:rPr>
        <w:t>TWQRUSCHKa</w:t>
      </w:r>
    </w:p>
    <w:p>
      <w:pPr>
        <w:pStyle w:val="Style63"/>
        <w:keepNext/>
        <w:keepLines/>
        <w:widowControl w:val="0"/>
        <w:numPr>
          <w:ilvl w:val="0"/>
          <w:numId w:val="309"/>
        </w:numPr>
        <w:shd w:val="clear" w:color="auto" w:fill="auto"/>
        <w:tabs>
          <w:tab w:pos="260" w:val="left"/>
        </w:tabs>
        <w:bidi w:val="0"/>
        <w:spacing w:before="0" w:after="80"/>
        <w:ind w:left="0" w:right="0" w:firstLine="0"/>
        <w:jc w:val="both"/>
      </w:pPr>
      <w:bookmarkStart w:id="195" w:name="bookmark195"/>
      <w:r>
        <w:rPr>
          <w:rFonts w:ascii="Times New Roman" w:eastAsia="Times New Roman" w:hAnsi="Times New Roman" w:cs="Times New Roman"/>
          <w:color w:val="000000"/>
          <w:spacing w:val="0"/>
          <w:w w:val="100"/>
          <w:position w:val="0"/>
          <w:shd w:val="clear" w:color="auto" w:fill="auto"/>
          <w:lang w:val="hr-HR" w:eastAsia="hr-HR" w:bidi="hr-HR"/>
        </w:rPr>
        <w:t>islamski</w:t>
      </w:r>
      <w:bookmarkEnd w:id="19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 </w:t>
      </w:r>
      <w:r>
        <w:rPr>
          <w:rFonts w:ascii="Times New Roman" w:eastAsia="Times New Roman" w:hAnsi="Times New Roman" w:cs="Times New Roman"/>
          <w:color w:val="000000"/>
          <w:spacing w:val="0"/>
          <w:w w:val="100"/>
          <w:position w:val="0"/>
          <w:shd w:val="clear" w:color="auto" w:fill="auto"/>
          <w:lang w:val="hr-HR" w:eastAsia="hr-HR" w:bidi="hr-HR"/>
        </w:rPr>
        <w:t>je vrlo rano počela pratiti islam kao temelji</w:t>
        <w:softHyphen/>
        <w:t>to raščlanjena, bogata duhovna struja. Mistič</w:t>
        <w:softHyphen/>
        <w:t>ka pobožnost pokriva dobar dio vjerskoga živo</w:t>
        <w:softHyphen/>
        <w:t>ta. Ona pomaže raskidanju krutih okova reli</w:t>
        <w:softHyphen/>
        <w:t>gijskoga zakona. Ali ona za sobom povlači i opasnosti samorastvaranja prave vjerske sup</w:t>
        <w:softHyphen/>
        <w:t>stancije. U nekim od svojih grana m. se pri</w:t>
        <w:softHyphen/>
        <w:t>hvaća kao pravovjerna; njezine ekstremne iz</w:t>
        <w:softHyphen/>
        <w:t>jave višestruko ispadaju iz okvira autentično</w:t>
        <w:softHyphen/>
        <w:t>ga islama. Islamska je m. uvijek bila atraktiv</w:t>
        <w:softHyphen/>
        <w:t>na za nemuslimanske sugovornike islama. Ona je takva i danas, što dokazuje zanimanje i porast izvjesnih sufijskih redova u Europi i prekomorskim zemljama. Povijest uči da su sufijc, tj. mistici, bili oni koji su islamizirali či</w:t>
        <w:softHyphen/>
        <w:t>tava područja. U tome im je pomagao i nji</w:t>
        <w:softHyphen/>
        <w:t>hov, u pravilu sinkretistički svjetonazor, nji</w:t>
        <w:softHyphen/>
        <w:t>hova fleksibilnost u stavu prema moralnomu zakonu i njihov prije tolerantni negoli nepod</w:t>
        <w:softHyphen/>
        <w:t>nošljivi odnos prema drugim tradicijama. Za njih su oni imali višestruko čak i otvorenu spremnost prihvaćanja i razborito opravdanje. Bit je mistike iracionalna i teško se može kla</w:t>
        <w:softHyphen/>
        <w:t xml:space="preserve">sificirati s obzirom na bogatstvo svojih formi. Arapski naziv za mistiku - </w:t>
      </w:r>
      <w:r>
        <w:rPr>
          <w:rFonts w:ascii="Times New Roman" w:eastAsia="Times New Roman" w:hAnsi="Times New Roman" w:cs="Times New Roman"/>
          <w:i/>
          <w:iCs/>
          <w:color w:val="000000"/>
          <w:spacing w:val="0"/>
          <w:w w:val="100"/>
          <w:position w:val="0"/>
          <w:shd w:val="clear" w:color="auto" w:fill="auto"/>
          <w:lang w:val="en-US" w:eastAsia="en-US" w:bidi="en-US"/>
        </w:rPr>
        <w:t>tasawwuf</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(na Za</w:t>
        <w:softHyphen/>
        <w:t xml:space="preserve">padu se za taj pojam koristi sufizam ili su- fijstvo) - svodi se na riječ </w:t>
      </w:r>
      <w:r>
        <w:rPr>
          <w:rFonts w:ascii="Times New Roman" w:eastAsia="Times New Roman" w:hAnsi="Times New Roman" w:cs="Times New Roman"/>
          <w:i/>
          <w:iCs/>
          <w:color w:val="000000"/>
          <w:spacing w:val="0"/>
          <w:w w:val="100"/>
          <w:position w:val="0"/>
          <w:shd w:val="clear" w:color="auto" w:fill="auto"/>
          <w:lang w:val="hr-HR" w:eastAsia="hr-HR" w:bidi="hr-HR"/>
        </w:rPr>
        <w:t>si'tf</w:t>
      </w:r>
      <w:r>
        <w:rPr>
          <w:rFonts w:ascii="Times New Roman" w:eastAsia="Times New Roman" w:hAnsi="Times New Roman" w:cs="Times New Roman"/>
          <w:color w:val="000000"/>
          <w:spacing w:val="0"/>
          <w:w w:val="100"/>
          <w:position w:val="0"/>
          <w:shd w:val="clear" w:color="auto" w:fill="auto"/>
          <w:lang w:val="hr-HR" w:eastAsia="hr-HR" w:bidi="hr-HR"/>
        </w:rPr>
        <w:t xml:space="preserve"> (vuna). Vjero</w:t>
        <w:softHyphen/>
        <w:t xml:space="preserve">jatno su prvi mistici bili askete koji su svojom običnom vunenom odjećom htjeli izvanjski pokazati svoj odnos prema svijetu. Mistik nosi ime sufi, </w:t>
      </w:r>
      <w:r>
        <w:rPr>
          <w:rFonts w:ascii="Times New Roman" w:eastAsia="Times New Roman" w:hAnsi="Times New Roman" w:cs="Times New Roman"/>
          <w:color w:val="000000"/>
          <w:spacing w:val="0"/>
          <w:w w:val="100"/>
          <w:position w:val="0"/>
          <w:shd w:val="clear" w:color="auto" w:fill="auto"/>
          <w:lang w:val="en-US" w:eastAsia="en-US" w:bidi="en-US"/>
        </w:rPr>
        <w:t xml:space="preserve">faqlr, </w:t>
      </w:r>
      <w:r>
        <w:rPr>
          <w:rFonts w:ascii="Times New Roman" w:eastAsia="Times New Roman" w:hAnsi="Times New Roman" w:cs="Times New Roman"/>
          <w:color w:val="000000"/>
          <w:spacing w:val="0"/>
          <w:w w:val="100"/>
          <w:position w:val="0"/>
          <w:shd w:val="clear" w:color="auto" w:fill="auto"/>
          <w:lang w:val="hr-HR" w:eastAsia="hr-HR" w:bidi="hr-HR"/>
        </w:rPr>
        <w:t xml:space="preserve">miskT ili derviš. Sve tri zadnje spomenute riječi znače: </w:t>
      </w:r>
      <w:r>
        <w:rPr>
          <w:rFonts w:ascii="Times New Roman" w:eastAsia="Times New Roman" w:hAnsi="Times New Roman" w:cs="Times New Roman"/>
          <w:i/>
          <w:iCs/>
          <w:color w:val="000000"/>
          <w:spacing w:val="0"/>
          <w:w w:val="100"/>
          <w:position w:val="0"/>
          <w:shd w:val="clear" w:color="auto" w:fill="auto"/>
          <w:lang w:val="hr-HR" w:eastAsia="hr-HR" w:bidi="hr-HR"/>
        </w:rPr>
        <w:t>siromah.</w:t>
      </w:r>
      <w:r>
        <w:rPr>
          <w:rFonts w:ascii="Times New Roman" w:eastAsia="Times New Roman" w:hAnsi="Times New Roman" w:cs="Times New Roman"/>
          <w:color w:val="000000"/>
          <w:spacing w:val="0"/>
          <w:w w:val="100"/>
          <w:position w:val="0"/>
          <w:shd w:val="clear" w:color="auto" w:fill="auto"/>
          <w:lang w:val="hr-HR" w:eastAsia="hr-HR" w:bidi="hr-HR"/>
        </w:rPr>
        <w:t xml:space="preserve"> Početak mis</w:t>
        <w:softHyphen/>
        <w:t>tike činila su pounutrenja religioznih običaja ili izvršenja dužnosti prema dubljem smislu. Tragalo se za biti i izvorom, ne za akcidenci- jama. Tako se prilikom hodočašća u Meku nije tražila »Božja kuća«, već »Gospodar ku</w:t>
        <w:softHyphen/>
        <w:t>će«, naime Bog.</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»Pozvanost na mistiku obično nastaje zbog unutarnjega protivljenja savjesti društvenim nepravdama, ne samo nepravdama koje čine drugi, već najprije i prije svega zbog unutar</w:t>
        <w:softHyphen/>
        <w:t xml:space="preserve">njega protivljenja vlastitim pogreškama, što je povezano sa žestokom željom za unutarnjim </w:t>
      </w:r>
      <w:r>
        <w:rPr>
          <w:rFonts w:ascii="Times New Roman" w:eastAsia="Times New Roman" w:hAnsi="Times New Roman" w:cs="Times New Roman"/>
          <w:color w:val="000000"/>
          <w:spacing w:val="0"/>
          <w:w w:val="100"/>
          <w:position w:val="0"/>
          <w:shd w:val="clear" w:color="auto" w:fill="auto"/>
          <w:lang w:val="hr-HR" w:eastAsia="hr-HR" w:bidi="hr-HR"/>
        </w:rPr>
        <w:t xml:space="preserve">pročišćenjem« (natuknica: </w:t>
      </w:r>
      <w:r>
        <w:rPr>
          <w:rFonts w:ascii="Times New Roman" w:eastAsia="Times New Roman" w:hAnsi="Times New Roman" w:cs="Times New Roman"/>
          <w:color w:val="000000"/>
          <w:spacing w:val="0"/>
          <w:w w:val="100"/>
          <w:position w:val="0"/>
          <w:shd w:val="clear" w:color="auto" w:fill="auto"/>
          <w:lang w:val="en-US" w:eastAsia="en-US" w:bidi="en-US"/>
        </w:rPr>
        <w:t xml:space="preserve">»tasawwuf«, </w:t>
      </w:r>
      <w:r>
        <w:rPr>
          <w:rFonts w:ascii="Times New Roman" w:eastAsia="Times New Roman" w:hAnsi="Times New Roman" w:cs="Times New Roman"/>
          <w:color w:val="000000"/>
          <w:spacing w:val="0"/>
          <w:w w:val="100"/>
          <w:position w:val="0"/>
          <w:shd w:val="clear" w:color="auto" w:fill="auto"/>
          <w:lang w:val="hr-HR" w:eastAsia="hr-HR" w:bidi="hr-HR"/>
        </w:rPr>
        <w:t>u: HI, 737). Postoji nemali broji vjernika koji svoju čistu religioznost prije izražavaju u mističnim meditacijama negoli u propisanome kultu. Oni doživljavaju obred uvelike kao neku ru</w:t>
        <w:softHyphen/>
        <w:t>tinu koja ne vodi duhovnosti.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Sufije udružene u redove u svom religioznom životu slijede pravila koja im trebaju olakšati put k Bogu. Ukupnost tih puteva zove se </w:t>
      </w:r>
      <w:r>
        <w:rPr>
          <w:rFonts w:ascii="Times New Roman" w:eastAsia="Times New Roman" w:hAnsi="Times New Roman" w:cs="Times New Roman"/>
          <w:color w:val="000000"/>
          <w:spacing w:val="0"/>
          <w:w w:val="100"/>
          <w:position w:val="0"/>
          <w:shd w:val="clear" w:color="auto" w:fill="auto"/>
          <w:lang w:val="en-US" w:eastAsia="en-US" w:bidi="en-US"/>
        </w:rPr>
        <w:t xml:space="preserve">tariqa </w:t>
      </w:r>
      <w:r>
        <w:rPr>
          <w:rFonts w:ascii="Times New Roman" w:eastAsia="Times New Roman" w:hAnsi="Times New Roman" w:cs="Times New Roman"/>
          <w:color w:val="000000"/>
          <w:spacing w:val="0"/>
          <w:w w:val="100"/>
          <w:position w:val="0"/>
          <w:shd w:val="clear" w:color="auto" w:fill="auto"/>
          <w:lang w:val="hr-HR" w:eastAsia="hr-HR" w:bidi="hr-HR"/>
        </w:rPr>
        <w:t xml:space="preserve">(put). Ona se shvaća kao suprotnost </w:t>
      </w:r>
      <w:r>
        <w:rPr>
          <w:rFonts w:ascii="Times New Roman" w:eastAsia="Times New Roman" w:hAnsi="Times New Roman" w:cs="Times New Roman"/>
          <w:i/>
          <w:iCs/>
          <w:color w:val="000000"/>
          <w:spacing w:val="0"/>
          <w:w w:val="100"/>
          <w:position w:val="0"/>
          <w:shd w:val="clear" w:color="auto" w:fill="auto"/>
          <w:lang w:val="hr-HR" w:eastAsia="hr-HR" w:bidi="hr-HR"/>
        </w:rPr>
        <w:t>šerijatu.</w:t>
      </w:r>
    </w:p>
    <w:p>
      <w:pPr>
        <w:pStyle w:val="Style20"/>
        <w:keepNext w:val="0"/>
        <w:keepLines w:val="0"/>
        <w:widowControl w:val="0"/>
        <w:shd w:val="clear" w:color="auto" w:fill="auto"/>
        <w:bidi w:val="0"/>
        <w:spacing w:before="0" w:after="60"/>
        <w:ind w:left="0" w:right="0" w:firstLine="0"/>
        <w:jc w:val="both"/>
        <w:sectPr>
          <w:headerReference w:type="default" r:id="rId817"/>
          <w:footerReference w:type="default" r:id="rId818"/>
          <w:headerReference w:type="even" r:id="rId819"/>
          <w:footerReference w:type="even" r:id="rId820"/>
          <w:footnotePr>
            <w:pos w:val="pageBottom"/>
            <w:numFmt w:val="decimal"/>
            <w:numRestart w:val="continuous"/>
            <w15:footnoteColumns w:val="1"/>
          </w:footnotePr>
          <w:pgSz w:w="6816" w:h="11006"/>
          <w:pgMar w:top="856" w:left="188" w:right="191" w:bottom="266" w:header="0" w:footer="3" w:gutter="0"/>
          <w:pgNumType w:start="272"/>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Pravovjerni mistici svakako zasnivaju svoje ponašanje na </w:t>
      </w:r>
      <w:r>
        <w:rPr>
          <w:rFonts w:ascii="Times New Roman" w:eastAsia="Times New Roman" w:hAnsi="Times New Roman" w:cs="Times New Roman"/>
          <w:i/>
          <w:iCs/>
          <w:color w:val="000000"/>
          <w:spacing w:val="0"/>
          <w:w w:val="100"/>
          <w:position w:val="0"/>
          <w:shd w:val="clear" w:color="auto" w:fill="auto"/>
          <w:lang w:val="en-US" w:eastAsia="en-US" w:bidi="en-US"/>
        </w:rPr>
        <w:t>serijatw, tariqa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im služi jedino kao dodatna pripomoć. Ona sama ne zasniva nikakav islam. Mistični su krugovi dali mnoge velike pjesnike </w:t>
      </w:r>
      <w:r>
        <w:rPr>
          <w:rFonts w:ascii="Times New Roman" w:eastAsia="Times New Roman" w:hAnsi="Times New Roman" w:cs="Times New Roman"/>
          <w:color w:val="000000"/>
          <w:spacing w:val="0"/>
          <w:w w:val="100"/>
          <w:position w:val="0"/>
          <w:shd w:val="clear" w:color="auto" w:fill="auto"/>
          <w:lang w:val="en-US" w:eastAsia="en-US" w:bidi="en-US"/>
        </w:rPr>
        <w:t xml:space="preserve">(Ibn Farid, ‘Omar Khayyam, Hafiz, Rumi, ‘Attar) i mislitelje (Ibn ‘Arabi, tri as-Suhrawardija, AbO 1-kalam Azad i dr.). Al-Gazali (u. 1111) </w:t>
      </w:r>
      <w:r>
        <w:rPr>
          <w:rFonts w:ascii="Times New Roman" w:eastAsia="Times New Roman" w:hAnsi="Times New Roman" w:cs="Times New Roman"/>
          <w:color w:val="000000"/>
          <w:spacing w:val="0"/>
          <w:w w:val="100"/>
          <w:position w:val="0"/>
          <w:shd w:val="clear" w:color="auto" w:fill="auto"/>
          <w:lang w:val="hr-HR" w:eastAsia="hr-HR" w:bidi="hr-HR"/>
        </w:rPr>
        <w:t xml:space="preserve">je pomirio mistiku </w:t>
      </w: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pra</w:t>
        <w:softHyphen/>
        <w:t xml:space="preserve">vovjernim islamom. Od tada su među njima nepregledne crte razdvajanja. No one se ipak mogu jasno uočiti u stvarnoj pobožnosti. To </w:t>
      </w:r>
      <w:r>
        <w:rPr>
          <w:rFonts w:ascii="Times New Roman" w:eastAsia="Times New Roman" w:hAnsi="Times New Roman" w:cs="Times New Roman"/>
          <w:color w:val="000000"/>
          <w:spacing w:val="0"/>
          <w:w w:val="100"/>
          <w:position w:val="0"/>
          <w:shd w:val="clear" w:color="auto" w:fill="auto"/>
          <w:lang w:val="en-US" w:eastAsia="en-US" w:bidi="en-US"/>
        </w:rPr>
        <w:t xml:space="preserve">Detlev Khalid </w:t>
      </w:r>
      <w:r>
        <w:rPr>
          <w:rFonts w:ascii="Times New Roman" w:eastAsia="Times New Roman" w:hAnsi="Times New Roman" w:cs="Times New Roman"/>
          <w:color w:val="000000"/>
          <w:spacing w:val="0"/>
          <w:w w:val="100"/>
          <w:position w:val="0"/>
          <w:shd w:val="clear" w:color="auto" w:fill="auto"/>
          <w:lang w:val="hr-HR" w:eastAsia="hr-HR" w:bidi="hr-HR"/>
        </w:rPr>
        <w:t xml:space="preserve">opisuje na temelju pobožnoga događaja u džamiji </w:t>
      </w:r>
      <w:r>
        <w:rPr>
          <w:rFonts w:ascii="Times New Roman" w:eastAsia="Times New Roman" w:hAnsi="Times New Roman" w:cs="Times New Roman"/>
          <w:color w:val="000000"/>
          <w:spacing w:val="0"/>
          <w:w w:val="100"/>
          <w:position w:val="0"/>
          <w:shd w:val="clear" w:color="auto" w:fill="auto"/>
          <w:lang w:val="en-US" w:eastAsia="en-US" w:bidi="en-US"/>
        </w:rPr>
        <w:t xml:space="preserve">Sayyida-Zaynab </w:t>
      </w:r>
      <w:r>
        <w:rPr>
          <w:rFonts w:ascii="Times New Roman" w:eastAsia="Times New Roman" w:hAnsi="Times New Roman" w:cs="Times New Roman"/>
          <w:color w:val="000000"/>
          <w:spacing w:val="0"/>
          <w:w w:val="100"/>
          <w:position w:val="0"/>
          <w:shd w:val="clear" w:color="auto" w:fill="auto"/>
          <w:lang w:val="hr-HR" w:eastAsia="hr-HR" w:bidi="hr-HR"/>
        </w:rPr>
        <w:t xml:space="preserve">u Kairu. U toj se džamiji nalazi grob jednoga »sveca«. »Gotovo da bi se moglo govoriti o </w:t>
      </w:r>
      <w:r>
        <w:rPr>
          <w:rFonts w:ascii="Times New Roman" w:eastAsia="Times New Roman" w:hAnsi="Times New Roman" w:cs="Times New Roman"/>
          <w:color w:val="000000"/>
          <w:spacing w:val="0"/>
          <w:w w:val="100"/>
          <w:position w:val="0"/>
          <w:shd w:val="clear" w:color="auto" w:fill="auto"/>
          <w:lang w:val="en-US" w:eastAsia="en-US" w:bidi="en-US"/>
        </w:rPr>
        <w:t xml:space="preserve">Notre </w:t>
      </w:r>
      <w:r>
        <w:rPr>
          <w:rFonts w:ascii="Times New Roman" w:eastAsia="Times New Roman" w:hAnsi="Times New Roman" w:cs="Times New Roman"/>
          <w:color w:val="000000"/>
          <w:spacing w:val="0"/>
          <w:w w:val="100"/>
          <w:position w:val="0"/>
          <w:shd w:val="clear" w:color="auto" w:fill="auto"/>
          <w:lang w:val="hr-HR" w:eastAsia="hr-HR" w:bidi="hr-HR"/>
        </w:rPr>
        <w:t>Da</w:t>
        <w:softHyphen/>
        <w:t xml:space="preserve">me du Caire«, kaže </w:t>
      </w:r>
      <w:r>
        <w:rPr>
          <w:rFonts w:ascii="Times New Roman" w:eastAsia="Times New Roman" w:hAnsi="Times New Roman" w:cs="Times New Roman"/>
          <w:color w:val="000000"/>
          <w:spacing w:val="0"/>
          <w:w w:val="100"/>
          <w:position w:val="0"/>
          <w:shd w:val="clear" w:color="auto" w:fill="auto"/>
          <w:lang w:val="en-US" w:eastAsia="en-US" w:bidi="en-US"/>
        </w:rPr>
        <w:t xml:space="preserve">Khalid (Das Wiederer- </w:t>
      </w:r>
      <w:r>
        <w:rPr>
          <w:rFonts w:ascii="Times New Roman" w:eastAsia="Times New Roman" w:hAnsi="Times New Roman" w:cs="Times New Roman"/>
          <w:color w:val="000000"/>
          <w:spacing w:val="0"/>
          <w:w w:val="100"/>
          <w:position w:val="0"/>
          <w:shd w:val="clear" w:color="auto" w:fill="auto"/>
          <w:lang w:val="hr-HR" w:eastAsia="hr-HR" w:bidi="hr-HR"/>
        </w:rPr>
        <w:t xml:space="preserve">starken </w:t>
      </w:r>
      <w:r>
        <w:rPr>
          <w:rFonts w:ascii="Times New Roman" w:eastAsia="Times New Roman" w:hAnsi="Times New Roman" w:cs="Times New Roman"/>
          <w:color w:val="000000"/>
          <w:spacing w:val="0"/>
          <w:w w:val="100"/>
          <w:position w:val="0"/>
          <w:shd w:val="clear" w:color="auto" w:fill="auto"/>
          <w:lang w:val="en-US" w:eastAsia="en-US" w:bidi="en-US"/>
        </w:rPr>
        <w:t xml:space="preserve">des Islams </w:t>
      </w:r>
      <w:r>
        <w:rPr>
          <w:rFonts w:ascii="Times New Roman" w:eastAsia="Times New Roman" w:hAnsi="Times New Roman" w:cs="Times New Roman"/>
          <w:color w:val="000000"/>
          <w:spacing w:val="0"/>
          <w:w w:val="100"/>
          <w:position w:val="0"/>
          <w:shd w:val="clear" w:color="auto" w:fill="auto"/>
          <w:lang w:val="hr-HR" w:eastAsia="hr-HR" w:bidi="hr-HR"/>
        </w:rPr>
        <w:t xml:space="preserve">als Faktor </w:t>
      </w:r>
      <w:r>
        <w:rPr>
          <w:rFonts w:ascii="Times New Roman" w:eastAsia="Times New Roman" w:hAnsi="Times New Roman" w:cs="Times New Roman"/>
          <w:color w:val="000000"/>
          <w:spacing w:val="0"/>
          <w:w w:val="100"/>
          <w:position w:val="0"/>
          <w:shd w:val="clear" w:color="auto" w:fill="auto"/>
          <w:lang w:val="en-US" w:eastAsia="en-US" w:bidi="en-US"/>
        </w:rPr>
        <w:t xml:space="preserve">sozialer Umwiil- </w:t>
      </w:r>
      <w:r>
        <w:rPr>
          <w:rFonts w:ascii="Times New Roman" w:eastAsia="Times New Roman" w:hAnsi="Times New Roman" w:cs="Times New Roman"/>
          <w:color w:val="000000"/>
          <w:spacing w:val="0"/>
          <w:w w:val="100"/>
          <w:position w:val="0"/>
          <w:shd w:val="clear" w:color="auto" w:fill="auto"/>
          <w:lang w:val="hr-HR" w:eastAsia="hr-HR" w:bidi="hr-HR"/>
        </w:rPr>
        <w:t xml:space="preserve">zung, u: </w:t>
      </w:r>
      <w:r>
        <w:rPr>
          <w:rFonts w:ascii="Times New Roman" w:eastAsia="Times New Roman" w:hAnsi="Times New Roman" w:cs="Times New Roman"/>
          <w:i/>
          <w:iCs/>
          <w:color w:val="000000"/>
          <w:spacing w:val="0"/>
          <w:w w:val="100"/>
          <w:position w:val="0"/>
          <w:shd w:val="clear" w:color="auto" w:fill="auto"/>
          <w:lang w:val="hr-HR" w:eastAsia="hr-HR" w:bidi="hr-HR"/>
        </w:rPr>
        <w:t>Aus Politik und Zeitgeschichte,</w:t>
      </w:r>
      <w:r>
        <w:rPr>
          <w:rFonts w:ascii="Times New Roman" w:eastAsia="Times New Roman" w:hAnsi="Times New Roman" w:cs="Times New Roman"/>
          <w:color w:val="000000"/>
          <w:spacing w:val="0"/>
          <w:w w:val="100"/>
          <w:position w:val="0"/>
          <w:shd w:val="clear" w:color="auto" w:fill="auto"/>
          <w:lang w:val="hr-HR" w:eastAsia="hr-HR" w:bidi="hr-HR"/>
        </w:rPr>
        <w:t xml:space="preserve"> Bd. 10/1979,10). »Nakon što je obavljen službeni dio bogoslužja petkom i nakon što su otišli strogi čuvari šerijata, tek tada počinje prava pobožnost, možda bi se čak moglo kazati: ‘is</w:t>
        <w:softHyphen/>
        <w:t>tinsko’ bogoslužje. Umjesto ustaljene rutine sada izbijaju nutrina i spontanost. Od mnoš</w:t>
        <w:softHyphen/>
        <w:t>tva ljudi okupljenih oko groba sveca čuju se zamamne pjesme vjernika - pjesme koje su sasvim suprotne monotonoj recitaciji pred</w:t>
        <w:softHyphen/>
        <w:t>vodnika molitve za vrijeme šerijatskoga bogo</w:t>
        <w:softHyphen/>
        <w:t xml:space="preserve">služja’. Tu do ‘svojega’ prava dolaze i žene koje se u velikim skupinama slijevaju u njima ‘pripadajuću’ polovicu. Tu je šerijatska vjera morala ustupiti mjesto islamu </w:t>
      </w:r>
      <w:r>
        <w:rPr>
          <w:rFonts w:ascii="Times New Roman" w:eastAsia="Times New Roman" w:hAnsi="Times New Roman" w:cs="Times New Roman"/>
          <w:color w:val="000000"/>
          <w:spacing w:val="0"/>
          <w:w w:val="100"/>
          <w:position w:val="0"/>
          <w:shd w:val="clear" w:color="auto" w:fill="auto"/>
          <w:lang w:val="en-US" w:eastAsia="en-US" w:bidi="en-US"/>
        </w:rPr>
        <w:t xml:space="preserve">tarlqe. </w:t>
      </w:r>
      <w:r>
        <w:rPr>
          <w:rFonts w:ascii="Times New Roman" w:eastAsia="Times New Roman" w:hAnsi="Times New Roman" w:cs="Times New Roman"/>
          <w:color w:val="000000"/>
          <w:spacing w:val="0"/>
          <w:w w:val="100"/>
          <w:position w:val="0"/>
          <w:shd w:val="clear" w:color="auto" w:fill="auto"/>
          <w:lang w:val="hr-HR" w:eastAsia="hr-HR" w:bidi="hr-HR"/>
        </w:rPr>
        <w:t>Duhov</w:t>
        <w:softHyphen/>
        <w:t>ne vježbe muslimanskih kasida nastavljaju se cijeloga popodneva. U ogromnim džamijama skupa ostaje nekoliko stotina vjernika u sku</w:t>
        <w:softHyphen/>
        <w:t>pinama; jedni recitiraju, drugi raspravljaju, a drugi opet plešu u mističnim kolima, mnogi također ustrajavaju samo u tihoj pobožnosti. Neki idu od skupine do skupine i tijekom da</w:t>
        <w:softHyphen/>
        <w:t xml:space="preserve">na sudjeluju u čitavoj panorami raznovrsnih vjerskih obreda.« Sufijski je zadnji cilj </w:t>
      </w:r>
      <w:r>
        <w:rPr>
          <w:rFonts w:ascii="Times New Roman" w:eastAsia="Times New Roman" w:hAnsi="Times New Roman" w:cs="Times New Roman"/>
          <w:color w:val="000000"/>
          <w:spacing w:val="0"/>
          <w:w w:val="100"/>
          <w:position w:val="0"/>
          <w:shd w:val="clear" w:color="auto" w:fill="auto"/>
          <w:lang w:val="en-US" w:eastAsia="en-US" w:bidi="en-US"/>
        </w:rPr>
        <w:t xml:space="preserve">wahdat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al-wudjud (unio mvstica), sjedinjenje duše s Bogom, šio je vrlo blisko panteističkom mo- noteizmu.</w:t>
      </w:r>
    </w:p>
    <w:p>
      <w:pPr>
        <w:pStyle w:val="Style56"/>
        <w:keepNext w:val="0"/>
        <w:keepLines w:val="0"/>
        <w:widowControl w:val="0"/>
        <w:shd w:val="clear" w:color="auto" w:fill="auto"/>
        <w:bidi w:val="0"/>
        <w:spacing w:before="0" w:after="260" w:line="240" w:lineRule="auto"/>
        <w:ind w:left="0" w:right="0" w:firstLine="0"/>
        <w:jc w:val="both"/>
      </w:pPr>
      <w:r>
        <w:rPr>
          <w:color w:val="000000"/>
          <w:spacing w:val="0"/>
          <w:w w:val="100"/>
          <w:position w:val="0"/>
          <w:shd w:val="clear" w:color="auto" w:fill="auto"/>
        </w:rPr>
        <w:t xml:space="preserve">Lit.: Tor </w:t>
      </w:r>
      <w:r>
        <w:rPr>
          <w:color w:val="000000"/>
          <w:spacing w:val="0"/>
          <w:w w:val="100"/>
          <w:position w:val="0"/>
          <w:shd w:val="clear" w:color="auto" w:fill="auto"/>
          <w:lang w:val="hr-HR" w:eastAsia="hr-HR" w:bidi="hr-HR"/>
        </w:rPr>
        <w:t xml:space="preserve">Andrac, </w:t>
      </w:r>
      <w:r>
        <w:rPr>
          <w:i/>
          <w:iCs/>
          <w:color w:val="000000"/>
          <w:spacing w:val="0"/>
          <w:w w:val="100"/>
          <w:position w:val="0"/>
          <w:shd w:val="clear" w:color="auto" w:fill="auto"/>
        </w:rPr>
        <w:t>fclamische Mysliker,</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I960; </w:t>
      </w:r>
      <w:r>
        <w:rPr>
          <w:color w:val="000000"/>
          <w:spacing w:val="0"/>
          <w:w w:val="100"/>
          <w:position w:val="0"/>
          <w:shd w:val="clear" w:color="auto" w:fill="auto"/>
        </w:rPr>
        <w:t>Rey</w:t>
        <w:softHyphen/>
        <w:t xml:space="preserve">nold A. Nicholson, </w:t>
      </w:r>
      <w:r>
        <w:rPr>
          <w:i/>
          <w:iCs/>
          <w:color w:val="000000"/>
          <w:spacing w:val="0"/>
          <w:w w:val="100"/>
          <w:position w:val="0"/>
          <w:shd w:val="clear" w:color="auto" w:fill="auto"/>
        </w:rPr>
        <w:t>Studies in Islamic Mysticism,</w:t>
      </w:r>
      <w:r>
        <w:rPr>
          <w:color w:val="000000"/>
          <w:spacing w:val="0"/>
          <w:w w:val="100"/>
          <w:position w:val="0"/>
          <w:shd w:val="clear" w:color="auto" w:fill="auto"/>
        </w:rPr>
        <w:t xml:space="preserve"> Cambridge </w:t>
      </w:r>
      <w:r>
        <w:rPr>
          <w:color w:val="000000"/>
          <w:spacing w:val="0"/>
          <w:w w:val="100"/>
          <w:position w:val="0"/>
          <w:shd w:val="clear" w:color="auto" w:fill="auto"/>
          <w:lang w:val="hr-HR" w:eastAsia="hr-HR" w:bidi="hr-HR"/>
        </w:rPr>
        <w:t xml:space="preserve">197«. Upotrebljiv uvod u mistiku za &lt;mc koji se zanimaju Za dijalog napisao je </w:t>
      </w:r>
      <w:r>
        <w:rPr>
          <w:color w:val="000000"/>
          <w:spacing w:val="0"/>
          <w:w w:val="100"/>
          <w:position w:val="0"/>
          <w:shd w:val="clear" w:color="auto" w:fill="auto"/>
        </w:rPr>
        <w:t xml:space="preserve">Robert Caspar, </w:t>
      </w:r>
      <w:r>
        <w:rPr>
          <w:i/>
          <w:iCs/>
          <w:color w:val="000000"/>
          <w:spacing w:val="0"/>
          <w:w w:val="100"/>
          <w:position w:val="0"/>
          <w:shd w:val="clear" w:color="auto" w:fill="auto"/>
        </w:rPr>
        <w:t>Jslamische Mystik.</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1.-2 </w:t>
      </w:r>
      <w:r>
        <w:rPr>
          <w:color w:val="000000"/>
          <w:spacing w:val="0"/>
          <w:w w:val="100"/>
          <w:position w:val="0"/>
          <w:shd w:val="clear" w:color="auto" w:fill="auto"/>
        </w:rPr>
        <w:t xml:space="preserve">(CIBEDO-Texte </w:t>
      </w:r>
      <w:r>
        <w:rPr>
          <w:color w:val="000000"/>
          <w:spacing w:val="0"/>
          <w:w w:val="100"/>
          <w:position w:val="0"/>
          <w:shd w:val="clear" w:color="auto" w:fill="auto"/>
          <w:lang w:val="hr-HR" w:eastAsia="hr-HR" w:bidi="hr-HR"/>
        </w:rPr>
        <w:t>12/19). Frankfurt/M. 19« 1/K3. S. BAl.lć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MOJSIJE (MOŠE, MUSA)</w:t>
      </w:r>
    </w:p>
    <w:p>
      <w:pPr>
        <w:pStyle w:val="Style63"/>
        <w:keepNext/>
        <w:keepLines/>
        <w:widowControl w:val="0"/>
        <w:numPr>
          <w:ilvl w:val="0"/>
          <w:numId w:val="311"/>
        </w:numPr>
        <w:shd w:val="clear" w:color="auto" w:fill="auto"/>
        <w:tabs>
          <w:tab w:pos="246" w:val="left"/>
        </w:tabs>
        <w:bidi w:val="0"/>
        <w:spacing w:before="0"/>
        <w:ind w:left="0" w:right="0" w:firstLine="0"/>
        <w:jc w:val="both"/>
      </w:pPr>
      <w:bookmarkStart w:id="196" w:name="bookmark196"/>
      <w:r>
        <w:rPr>
          <w:rFonts w:ascii="Times New Roman" w:eastAsia="Times New Roman" w:hAnsi="Times New Roman" w:cs="Times New Roman"/>
          <w:color w:val="000000"/>
          <w:spacing w:val="0"/>
          <w:w w:val="100"/>
          <w:position w:val="0"/>
          <w:shd w:val="clear" w:color="auto" w:fill="auto"/>
          <w:lang w:val="hr-HR" w:eastAsia="hr-HR" w:bidi="hr-HR"/>
        </w:rPr>
        <w:t>židovstvo</w:t>
      </w:r>
      <w:bookmarkEnd w:id="19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w:t>
      </w:r>
      <w:r>
        <w:rPr>
          <w:rFonts w:ascii="Times New Roman" w:eastAsia="Times New Roman" w:hAnsi="Times New Roman" w:cs="Times New Roman"/>
          <w:i/>
          <w:iCs/>
          <w:color w:val="000000"/>
          <w:spacing w:val="0"/>
          <w:w w:val="100"/>
          <w:position w:val="0"/>
          <w:shd w:val="clear" w:color="auto" w:fill="auto"/>
          <w:lang w:val="hr-HR" w:eastAsia="hr-HR" w:bidi="hr-HR"/>
        </w:rPr>
        <w:t xml:space="preserve">»No Mojsije bijaše veoma ponizan čovjek.« </w:t>
      </w:r>
      <w:r>
        <w:rPr>
          <w:rFonts w:ascii="Times New Roman" w:eastAsia="Times New Roman" w:hAnsi="Times New Roman" w:cs="Times New Roman"/>
          <w:color w:val="000000"/>
          <w:spacing w:val="0"/>
          <w:w w:val="100"/>
          <w:position w:val="0"/>
          <w:shd w:val="clear" w:color="auto" w:fill="auto"/>
          <w:lang w:val="hr-HR" w:eastAsia="hr-HR" w:bidi="hr-HR"/>
        </w:rPr>
        <w:t>U skladu sa zahtjevom Mišne: »Nemoj pret</w:t>
        <w:softHyphen/>
        <w:t>varati molitvu u nešto ustaljeno, tj. kao da se moraš osloboditi određenog posla, nego kao da tražiš milosrđe od Boga i zaklinješ ga« (Avot 11,13; usp. Berahot IV,4), a učitelji židovstva dodali su je kao osobne molbe ob</w:t>
        <w:softHyphen/>
        <w:t xml:space="preserve">veznoj molitvi Osamnaest blagoslova. Iz niza takvih molitvi (b Berahot 16b-17a) odabrali su riječi koje je obično izgovarao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17a) Mar, Rabinin sin, nakon svršetka svoje </w:t>
      </w:r>
      <w:r>
        <w:rPr>
          <w:rFonts w:ascii="Times New Roman" w:eastAsia="Times New Roman" w:hAnsi="Times New Roman" w:cs="Times New Roman"/>
          <w:i/>
          <w:iCs/>
          <w:color w:val="000000"/>
          <w:spacing w:val="0"/>
          <w:w w:val="100"/>
          <w:position w:val="0"/>
          <w:shd w:val="clear" w:color="auto" w:fill="auto"/>
          <w:lang w:val="hr-HR" w:eastAsia="hr-HR" w:bidi="hr-HR"/>
        </w:rPr>
        <w:t>tefile</w:t>
      </w:r>
      <w:r>
        <w:rPr>
          <w:rFonts w:ascii="Times New Roman" w:eastAsia="Times New Roman" w:hAnsi="Times New Roman" w:cs="Times New Roman"/>
          <w:color w:val="000000"/>
          <w:spacing w:val="0"/>
          <w:w w:val="100"/>
          <w:position w:val="0"/>
          <w:shd w:val="clear" w:color="auto" w:fill="auto"/>
          <w:lang w:val="hr-HR" w:eastAsia="hr-HR" w:bidi="hr-HR"/>
        </w:rPr>
        <w:t xml:space="preserve"> (Osam</w:t>
        <w:softHyphen/>
        <w:t>naest blagoslova): »Moj Bože, sačuvaj moj jezik od zla i moje usne od himbenih riječi. Onima koji me proklinju, pusti moju dušu da šuti, i neka moja duša bude poput praha pre</w:t>
        <w:softHyphen/>
        <w:t>ma svima. Otvori moje srce tvojem nauku (Tori) i neka moja duša sluša tvoje zapovi</w:t>
        <w:softHyphen/>
        <w:t>jedi... Neka moje riječi budu na zadovoljstvo i mišljenje moga srca pred tobom...« Karakte</w:t>
        <w:softHyphen/>
        <w:t xml:space="preserve">ristično je za taj kraj </w:t>
      </w:r>
      <w:r>
        <w:rPr>
          <w:rFonts w:ascii="Times New Roman" w:eastAsia="Times New Roman" w:hAnsi="Times New Roman" w:cs="Times New Roman"/>
          <w:i/>
          <w:iCs/>
          <w:color w:val="000000"/>
          <w:spacing w:val="0"/>
          <w:w w:val="100"/>
          <w:position w:val="0"/>
          <w:shd w:val="clear" w:color="auto" w:fill="auto"/>
          <w:lang w:val="hr-HR" w:eastAsia="hr-HR" w:bidi="hr-HR"/>
        </w:rPr>
        <w:t>Šemone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(Osamnaest blagoslova) molba pojedinca da jezik i usne, koje su upravo jezično ostvarile njegovu vezu s Bogom, sačuvaju poniznost i u međuljud</w:t>
        <w:softHyphen/>
        <w:t>skim susretima; on na njima temelji svoju na</w:t>
        <w:softHyphen/>
        <w:t>du u Božju pomoć. Naime, radi čina samo- svladavanja Bog je spreman oprostiti čovje</w:t>
        <w:softHyphen/>
        <w:t>kove posrtaje (b Roš ha-šana 17a) i uslišiti njegove molitve (b Taanit 25b). Čovjek po</w:t>
        <w:softHyphen/>
        <w:t>stiže poniznost u svojem odnosu prema Bogu: »Žrtva Bogu duh je raskajan, srce raskajano, ponizno. Bože, nećeš prezreti« (Ps 51,19). No poniznost pojedinca mora se dokazati u vezi sa svim ljudima: »Onda i mene izbriši iz svoje knjige koju si napisao!« moli M. - koji za</w:t>
        <w:softHyphen/>
        <w:t>govara svoj narod: »Ipak ću se k NJEMU po</w:t>
        <w:softHyphen/>
        <w:t>peti. Možda za vaš grijeh oproštenje priba</w:t>
        <w:softHyphen/>
        <w:t xml:space="preserve">vim« - ako Bog neće oprostiti Izraelu (Izl 32,32.30). Budući da od mnogih rečenica o Mojsiju u Petoknjižju ni jedna - osim ona o njegovu odnosu s Bogom u skladu s njegovim </w:t>
      </w:r>
      <w:r>
        <w:rPr>
          <w:rFonts w:ascii="Times New Roman" w:eastAsia="Times New Roman" w:hAnsi="Times New Roman" w:cs="Times New Roman"/>
          <w:color w:val="000000"/>
          <w:spacing w:val="0"/>
          <w:w w:val="100"/>
          <w:position w:val="0"/>
          <w:shd w:val="clear" w:color="auto" w:fill="auto"/>
          <w:lang w:val="hr-HR" w:eastAsia="hr-HR" w:bidi="hr-HR"/>
        </w:rPr>
        <w:t>poslanjem - ne veliča neki njegov atribut, ova rečenica ima posebnu težinu: »No M. bijaše veoma ponizan čovjek« (Br 12,3). Među svim načinima ponašanja Pismo svjedoči o njegovoj poniznosti. Veće značenje poniznosti ne može se predočili u biblijskom sudu: Mojsijcv život obilježila je posrednička povezanost Boga s Izraelom. Tko je Izraela po Božjem nalogu iz</w:t>
        <w:softHyphen/>
        <w:t>veo iz Egipta (1 Sam 12,8), nije ga smio uvesti u Obećanu zemlju: »Ali se zbog vas on na me razljutio« (Pnz 4,21). Zbog naroda - zbog »neposlušnosti« (Br 27,14) ili »iznevjerenos- ti« (Pnz 32,51) - Mojsiju je zabranjeno ući u zemlju Kanaan: »Dopustio sam daje pogledaš svojim očima, ali ti onamo nećeš prijeći« (Pnz. 34,4). Mora se pripremiti za smrt, pa mu je za</w:t>
        <w:softHyphen/>
        <w:t>povjeđeno da odredi svojega nasljednika (Br 27,12 i d.; Pnz 32,48). Time je uništena iluzija da je M. posrednik između Boga i Izraela i zaštićena objava Božja kojom ljudi ne raspo</w:t>
        <w:softHyphen/>
        <w:t>lažu. Iz izvješća Josipa Flavija može se raza</w:t>
        <w:softHyphen/>
        <w:t xml:space="preserve">brati kako, prije svega, pri kićenju biblijske pripovijesti o Mojsijcvoj smrti djeluje svijest da se poslanika ne smije uzdići k Bogu: »No u svetim knjigama napisao je da je on umro od straha kako bi se moglo reći da je zbog svojih izvanrednih vrlina prešao k Bogu« </w:t>
      </w:r>
      <w:r>
        <w:rPr>
          <w:rFonts w:ascii="Times New Roman" w:eastAsia="Times New Roman" w:hAnsi="Times New Roman" w:cs="Times New Roman"/>
          <w:i/>
          <w:iCs/>
          <w:color w:val="000000"/>
          <w:spacing w:val="0"/>
          <w:w w:val="100"/>
          <w:position w:val="0"/>
          <w:shd w:val="clear" w:color="auto" w:fill="auto"/>
          <w:lang w:val="en-US" w:eastAsia="en-US" w:bidi="en-US"/>
        </w:rPr>
        <w:t>(Antiquita</w:t>
        <w:softHyphen/>
        <w:t>les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IV,8,48). Talmudski učenjaci odbacili su i svako »kristološko« tumačenje njegove smrti: »Nikada Bog nije sišao niti su M. i Ilija uzašli (Ps 115,16)« (b Suka 5a). Prema njima, Bog je pokopao Mojsija, a nitko ne zna za njegov grob (b Sota 13b. 14a; </w:t>
      </w:r>
      <w:r>
        <w:rPr>
          <w:rFonts w:ascii="Times New Roman" w:eastAsia="Times New Roman" w:hAnsi="Times New Roman" w:cs="Times New Roman"/>
          <w:color w:val="000000"/>
          <w:spacing w:val="0"/>
          <w:w w:val="100"/>
          <w:position w:val="0"/>
          <w:shd w:val="clear" w:color="auto" w:fill="auto"/>
          <w:lang w:val="en-US" w:eastAsia="en-US" w:bidi="en-US"/>
        </w:rPr>
        <w:t xml:space="preserve">Devarim </w:t>
      </w:r>
      <w:r>
        <w:rPr>
          <w:rFonts w:ascii="Times New Roman" w:eastAsia="Times New Roman" w:hAnsi="Times New Roman" w:cs="Times New Roman"/>
          <w:color w:val="000000"/>
          <w:spacing w:val="0"/>
          <w:w w:val="100"/>
          <w:position w:val="0"/>
          <w:shd w:val="clear" w:color="auto" w:fill="auto"/>
          <w:lang w:val="hr-HR" w:eastAsia="hr-HR" w:bidi="hr-HR"/>
        </w:rPr>
        <w:t>raba IX.31,14 uz Pnz 34,6); time su, kao i sama Tora, odu</w:t>
        <w:softHyphen/>
        <w:t>zeli osnovu svakom štovanju Mojsija. Njegova odlika trebala bi postojati samo u njegovoj poniznosti (b Ncdarim 38a) za kojom se valja povoditi (Bcmiđbar raba XV,11,16; Dcvarim raba XI,31,14). Mudraci su isticali da je nje</w:t>
        <w:softHyphen/>
        <w:t>gova poniznost od samoga Boga; opisali su je kao Božju skrb za potrebite, kao milostivost prema bolesnicima i patnicima, i tim atribu</w:t>
        <w:softHyphen/>
        <w:t>tom djelovanja upozorili na božanski prattzor ljudskog čina poniznosti (b Megila 31a). Važnost toga mjesta u Talmudu vidi se u to</w:t>
        <w:softHyphen/>
        <w:t>me što je ono prihvaćeno u večernjoj molitvi na svršetku sabata: »Rabi Johanan je rekao: Na svakom mjestu na kojem nadeš veličinu Svetoga, blagoslovljen bio, naći ćeš i njegovu poniznost (poniženje)...«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»Naš učitelj 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Ibn Ezra </w:t>
      </w:r>
      <w:r>
        <w:rPr>
          <w:rFonts w:ascii="Times New Roman" w:eastAsia="Times New Roman" w:hAnsi="Times New Roman" w:cs="Times New Roman"/>
          <w:color w:val="000000"/>
          <w:spacing w:val="0"/>
          <w:w w:val="100"/>
          <w:position w:val="0"/>
          <w:shd w:val="clear" w:color="auto" w:fill="auto"/>
          <w:lang w:val="hr-HR" w:eastAsia="hr-HR" w:bidi="hr-HR"/>
        </w:rPr>
        <w:t>(1092-1167) do</w:t>
        <w:softHyphen/>
        <w:t xml:space="preserve">dao je - u svojem komentaru na Izl 33.11: </w:t>
      </w:r>
      <w:r>
        <w:rPr>
          <w:rFonts w:ascii="Times New Roman" w:eastAsia="Times New Roman" w:hAnsi="Times New Roman" w:cs="Times New Roman"/>
          <w:color w:val="000000"/>
          <w:spacing w:val="0"/>
          <w:w w:val="100"/>
          <w:position w:val="0"/>
          <w:shd w:val="clear" w:color="auto" w:fill="auto"/>
          <w:lang w:val="hr-HR" w:eastAsia="hr-HR" w:bidi="hr-HR"/>
        </w:rPr>
        <w:t>»Razgovarao je s Mojsijem licem u lice« - ovo objašnjenje: »bez posrednika«. Tora ublažava jedinstvenost toga neposrednog susreta Boga s Mojsijem puštajući ga da to sam objasni: »I.icem je u lice ON govorio s vama na brdu usred ognja« (Pnz 5.4). Mojsija sc ne bi tre</w:t>
        <w:softHyphen/>
        <w:t>balo smatrati posrednikom između Boga i Iz</w:t>
        <w:softHyphen/>
        <w:t>raela, koji on ipak jest, već samo predstav</w:t>
        <w:softHyphen/>
        <w:t xml:space="preserve">nikom naroda kojemu pripada. On opisuje svoj dvostruki odnos prema Bogu i prema Izraelu: »Ja sam u ono vrijeme stajao između </w:t>
      </w:r>
      <w:r>
        <w:rPr>
          <w:rFonts w:ascii="Times New Roman" w:eastAsia="Times New Roman" w:hAnsi="Times New Roman" w:cs="Times New Roman"/>
          <w:i/>
          <w:iCs/>
          <w:color w:val="000000"/>
          <w:spacing w:val="0"/>
          <w:w w:val="100"/>
          <w:position w:val="0"/>
          <w:shd w:val="clear" w:color="auto" w:fill="auto"/>
          <w:lang w:val="hr-HR" w:eastAsia="hr-HR" w:bidi="hr-HR"/>
        </w:rPr>
        <w:t>Njega</w:t>
      </w:r>
      <w:r>
        <w:rPr>
          <w:rFonts w:ascii="Times New Roman" w:eastAsia="Times New Roman" w:hAnsi="Times New Roman" w:cs="Times New Roman"/>
          <w:color w:val="000000"/>
          <w:spacing w:val="0"/>
          <w:w w:val="100"/>
          <w:position w:val="0"/>
          <w:shd w:val="clear" w:color="auto" w:fill="auto"/>
          <w:lang w:val="hr-HR" w:eastAsia="hr-HR" w:bidi="hr-HR"/>
        </w:rPr>
        <w:t xml:space="preserve"> i vas da vam objavim </w:t>
      </w:r>
      <w:r>
        <w:rPr>
          <w:rFonts w:ascii="Times New Roman" w:eastAsia="Times New Roman" w:hAnsi="Times New Roman" w:cs="Times New Roman"/>
          <w:i/>
          <w:iCs/>
          <w:color w:val="000000"/>
          <w:spacing w:val="0"/>
          <w:w w:val="100"/>
          <w:position w:val="0"/>
          <w:shd w:val="clear" w:color="auto" w:fill="auto"/>
          <w:lang w:val="hr-HR" w:eastAsia="hr-HR" w:bidi="hr-HR"/>
        </w:rPr>
        <w:t>Njegove</w:t>
      </w:r>
      <w:r>
        <w:rPr>
          <w:rFonts w:ascii="Times New Roman" w:eastAsia="Times New Roman" w:hAnsi="Times New Roman" w:cs="Times New Roman"/>
          <w:color w:val="000000"/>
          <w:spacing w:val="0"/>
          <w:w w:val="100"/>
          <w:position w:val="0"/>
          <w:shd w:val="clear" w:color="auto" w:fill="auto"/>
          <w:lang w:val="hr-HR" w:eastAsia="hr-HR" w:bidi="hr-HR"/>
        </w:rPr>
        <w:t xml:space="preserve"> rijeći« (5,5). Ako je ovdje naglasak na zapovijedi ob</w:t>
        <w:softHyphen/>
        <w:t>jave, ubrzo slijedi drugi aspekt službe: »A ti ostani ovdje kod mene; kazat ću ti sve zapo</w:t>
        <w:softHyphen/>
        <w:t xml:space="preserve">vijedi, zakone i uredbe kojima ćeš ih poućiti« (5,31). Učitelj Izraela ovdje je kompetentno zvanje Mojsijevo. Rabini su upravo u njemu vidjeli </w:t>
      </w:r>
      <w:r>
        <w:rPr>
          <w:rFonts w:ascii="Times New Roman" w:eastAsia="Times New Roman" w:hAnsi="Times New Roman" w:cs="Times New Roman"/>
          <w:i/>
          <w:iCs/>
          <w:color w:val="000000"/>
          <w:spacing w:val="0"/>
          <w:w w:val="100"/>
          <w:position w:val="0"/>
          <w:shd w:val="clear" w:color="auto" w:fill="auto"/>
          <w:lang w:val="hr-HR" w:eastAsia="hr-HR" w:bidi="hr-HR"/>
        </w:rPr>
        <w:t>učitelja Tore-,</w:t>
      </w:r>
      <w:r>
        <w:rPr>
          <w:rFonts w:ascii="Times New Roman" w:eastAsia="Times New Roman" w:hAnsi="Times New Roman" w:cs="Times New Roman"/>
          <w:color w:val="000000"/>
          <w:spacing w:val="0"/>
          <w:w w:val="100"/>
          <w:position w:val="0"/>
          <w:shd w:val="clear" w:color="auto" w:fill="auto"/>
          <w:lang w:val="hr-HR" w:eastAsia="hr-HR" w:bidi="hr-HR"/>
        </w:rPr>
        <w:t xml:space="preserve"> nazivali su ga »naš učitelj M.« (A/. </w:t>
      </w:r>
      <w:r>
        <w:rPr>
          <w:rFonts w:ascii="Times New Roman" w:eastAsia="Times New Roman" w:hAnsi="Times New Roman" w:cs="Times New Roman"/>
          <w:i/>
          <w:iCs/>
          <w:color w:val="000000"/>
          <w:spacing w:val="0"/>
          <w:w w:val="100"/>
          <w:position w:val="0"/>
          <w:shd w:val="clear" w:color="auto" w:fill="auto"/>
          <w:lang w:val="hr-HR" w:eastAsia="hr-HR" w:bidi="hr-HR"/>
        </w:rPr>
        <w:t>Rabenu,</w:t>
      </w:r>
      <w:r>
        <w:rPr>
          <w:rFonts w:ascii="Times New Roman" w:eastAsia="Times New Roman" w:hAnsi="Times New Roman" w:cs="Times New Roman"/>
          <w:color w:val="000000"/>
          <w:spacing w:val="0"/>
          <w:w w:val="100"/>
          <w:position w:val="0"/>
          <w:shd w:val="clear" w:color="auto" w:fill="auto"/>
          <w:lang w:val="hr-HR" w:eastAsia="hr-HR" w:bidi="hr-HR"/>
        </w:rPr>
        <w:t xml:space="preserve"> b Bcrahot 3b; Sota 12a; Ša- vuot 39a). Da toga naziva u Mišni nema, mogao bi to biti odraz namjere da se izbjegne svaki nesporazum glede Mojsijeve važnosti za židovski narod - kao ograđivanje od davanja toga naslova Isusu u ranoj kršćanskoj Crkvi (Dj 2,36; Rim 1,4). To bi sc uklapalo u nakanu tumačenja Mišne o borbi Izraelaca protiv Amalcćana (Izl 17,8 i d.), koje niječe Mojsijev utjecaj na sudbinu Izraela: »Zar Mojsijeve ru</w:t>
        <w:softHyphen/>
        <w:t>ke mogu poticati ili spriječiti borbu? To prije znači da su Izraelci, sve dotle dok gledaju go</w:t>
        <w:softHyphen/>
        <w:t>re i srce svoje daju Bogu, nadmoćni, jer bi inače bili poraženi« (Roš ha-šana 111,8).</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Talmudska literatura sjedinila je dvije protu</w:t>
        <w:softHyphen/>
        <w:t>rječne tvrdnje. S jedne strane, mudraci su u njemu prepoznali najvećega židovskog učite</w:t>
        <w:softHyphen/>
        <w:t xml:space="preserve">lja - »on je bio mudar, jer su i rav i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obojica rekli: U svijetu je stvoreno pedeset vrata mudrosti, i sva su, osim jednih, bila po</w:t>
        <w:softHyphen/>
        <w:t>vjerena Mojsiju« (b Nedarim 38a) - i moćan i tajanstven lik: »Rabi Johanan je rekao: Sveti, hvaljen bio, pušta svoje božanstvo počivati sa</w:t>
        <w:softHyphen/>
        <w:t>mo na onom tko je snažan i bogat i mudar i ponizan. Sve to može se (zapaziti) na Moj</w:t>
        <w:softHyphen/>
        <w:t xml:space="preserve">siju«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nadmoćnom proroku: »Svi pro</w:t>
        <w:softHyphen/>
        <w:t>roci gledali su kroz ogledalo koje nije svjetlu</w:t>
        <w:softHyphen/>
        <w:t>cavo, ali M. je gledao kroz svjetlucavo ogle</w:t>
        <w:softHyphen/>
        <w:t xml:space="preserve">dalo« (b Jevamot 49b). Neki su tvrdili: »On se rodio obrezan«, drugi objašnjavali: »Kad se M. rodio, cijela se kuća ispunila svjetlom« (b </w:t>
      </w:r>
      <w:r>
        <w:rPr>
          <w:rFonts w:ascii="Times New Roman" w:eastAsia="Times New Roman" w:hAnsi="Times New Roman" w:cs="Times New Roman"/>
          <w:color w:val="000000"/>
          <w:spacing w:val="0"/>
          <w:w w:val="100"/>
          <w:position w:val="0"/>
          <w:shd w:val="clear" w:color="auto" w:fill="auto"/>
          <w:lang w:val="en-US" w:eastAsia="en-US" w:bidi="en-US"/>
        </w:rPr>
        <w:t xml:space="preserve">Sola </w:t>
      </w:r>
      <w:r>
        <w:rPr>
          <w:rFonts w:ascii="Times New Roman" w:eastAsia="Times New Roman" w:hAnsi="Times New Roman" w:cs="Times New Roman"/>
          <w:color w:val="000000"/>
          <w:spacing w:val="0"/>
          <w:w w:val="100"/>
          <w:position w:val="0"/>
          <w:shd w:val="clear" w:color="auto" w:fill="auto"/>
          <w:lang w:val="hr-HR" w:eastAsia="hr-HR" w:bidi="hr-HR"/>
        </w:rPr>
        <w:t xml:space="preserve">12a). Strahopoštovanje pred Bogom, koje se traži od Izraela - »za Mojsija bijaše sitnica« </w:t>
      </w:r>
      <w:r>
        <w:rPr>
          <w:rFonts w:ascii="Times New Roman" w:eastAsia="Times New Roman" w:hAnsi="Times New Roman" w:cs="Times New Roman"/>
          <w:color w:val="000000"/>
          <w:spacing w:val="0"/>
          <w:w w:val="100"/>
          <w:position w:val="0"/>
          <w:shd w:val="clear" w:color="auto" w:fill="auto"/>
          <w:lang w:val="hr-HR" w:eastAsia="hr-HR" w:bidi="hr-HR"/>
        </w:rPr>
        <w:t xml:space="preserve">(b Bcrahot 33b). U rabinskoj literaturi Moj- sijeva se slava često povezuje s Aronovom: «... koji su od svojega početka pa do svojega kraja ustrajali u pobožnosti« (b Mcgila 11a); »... važnije je ono što je rečeno o Mojsiju i Aronu negoli ono što je rečeno o Abrahamu.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je rekao: ‘Ja sam prah i pepeo’ (Post 18,27), a M. i Aron kažu: 'Mi nismo ništa’ (Izl 16,7)... Svijet postoji samo zbog zasluge Mojsija i Arona« (b Hulin 89a). Neki su se rabini čak drznuli pomisliti: »M. nije uopće umro... Kao što je ondje (na Sinaju, Izl 34,28) stajao i služio, tako i sada stoji (pred Bogom) i služi« (b Sota 13b). Takve i slične izreke dokazuju sklonost nekih učitelja da sli</w:t>
        <w:softHyphen/>
        <w:t>ku o Mojsiju nakite do krajnjih granica teo</w:t>
        <w:softHyphen/>
        <w:t>loške razboritosti. S druge strane, s tim se su</w:t>
        <w:softHyphen/>
        <w:t xml:space="preserve">kobljavaju ona ozbiljna mišljenja koja žele spriječiti pripisivanje božanskih sila Mojsiju: »Rabin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je objasnio: Sveti, hvaljen bio, rekao je Mojsiju: M., spusti se (usp. 32,7) sa svojeg dostojanstva; pa dao sam ti dostojan</w:t>
        <w:softHyphen/>
        <w:t>stvo samo radi Izraela« (b Berahot 32a). Pre</w:t>
        <w:softHyphen/>
        <w:t>ma učiteljima, Bog je Mojsiju rekao: »Ako te ne pustim da umreš na ovome svijetu, kako ću te oživiti u budućem svijetu?« (Devarim raba XI,31,14). Odbacili su svaki Mojsijev kult: s aluzijom koju ne možemo a da ne zapazimo na častan naziv »rav« (»učitelj«; Moše rabenu, »naš učitelj M.«) mudraci su citirali riječi iz Pnz 3,26 kojima sc Bog obratio Mojsiju: »Do</w:t>
        <w:softHyphen/>
        <w:t>sta«, koje primjenjuju istu hebrejsku osnovu riječi (rat): »Rabin Levi je rekao: S ‘dosta’ (rav) obratio se (Bog Mojsiju), i s ‘dosta’ (rat) obraćali su se i njemu (Mojsiju)« (b Sota 13b). Rabini se nisu suzdržavali od kritike: »Tko se razljuti, njega napušta mudrost ako je mudrac, a proroštvo ako je prorok. Ako je mudrac, napušta ga mudrost, kako se to dogodilo s Mojsijem (Br 31,14.21)« (b Pcsahim 66b); opširno su raščlanjivali da sc M. zabunio: »M. nije rekao da nije čuo, nego se stidio što nije priznao kako je to čuo i zaboravio« (b Zeva- iiim 101a).</w:t>
      </w:r>
    </w:p>
    <w:p>
      <w:pPr>
        <w:pStyle w:val="Style20"/>
        <w:keepNext w:val="0"/>
        <w:keepLines w:val="0"/>
        <w:widowControl w:val="0"/>
        <w:shd w:val="clear" w:color="auto" w:fill="auto"/>
        <w:bidi w:val="0"/>
        <w:spacing w:before="0" w:after="0"/>
        <w:ind w:left="0" w:right="0" w:firstLine="0"/>
        <w:jc w:val="both"/>
        <w:sectPr>
          <w:headerReference w:type="default" r:id="rId821"/>
          <w:footerReference w:type="default" r:id="rId822"/>
          <w:headerReference w:type="even" r:id="rId823"/>
          <w:footerReference w:type="even" r:id="rId824"/>
          <w:headerReference w:type="first" r:id="rId825"/>
          <w:footerReference w:type="first" r:id="rId826"/>
          <w:footnotePr>
            <w:pos w:val="pageBottom"/>
            <w:numFmt w:val="decimal"/>
            <w:numRestart w:val="continuous"/>
            <w15:footnoteColumns w:val="1"/>
          </w:footnotePr>
          <w:pgSz w:w="6816" w:h="11006"/>
          <w:pgMar w:top="856" w:left="188" w:right="191" w:bottom="266" w:header="0" w:footer="3" w:gutter="0"/>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Proturječna razmatranja Mojsijeve uloge u ra</w:t>
        <w:softHyphen/>
        <w:t>binskoj tradiciji izražavaju odgovori na izazov povezan s određenim razdobljem; u njima je na djelu potreba mudraca da potkrijepe Moj- sijevu nadmoć, a istodobno želja da sačuvaju židovstvo od sumnje kako je usmjereno na ljudsku osobu. M. koji je sposoban i voditi narod ostaje Božji opunomoćenik. To sliko</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vito prikazuje i jedno rabinsko tumačenje Izl 3,1: »Kada je M. u pustinji pasao ovce svojega oca Jitra, jednom mu je pobjegao janjac, pa je pošao za njim u potjeru, a janjac je stigao u jednu usjeklinu u kojoj je bio izvor (bara) da popije vode. M. mu priđe i reče: Nisam znao da si zbog žeđi pobjegao, a sada si zacijelo umoran! Rekavši to, uprti ga na rame i od</w:t>
        <w:softHyphen/>
        <w:t>nese natrag. Tada reče Bog: Dokazao si sami</w:t>
        <w:softHyphen/>
        <w:t>lost da možeš vodili ovce od mesa i krvi (tj. čovjekove), pa trebaš pasti i moje ovce, Iz</w:t>
        <w:softHyphen/>
        <w:t>raelce« (Šcmot raba 11,3,1). Bog, a ne M., dao je svojem narodu uputu za život (Tora); M. je bio samo primatelj objave na Sinaju - prema rabinskoj lezi, zajedno s biblijskom i »usmene Tore«; prema njima, ona se prenosila u ne</w:t>
        <w:softHyphen/>
        <w:t>prekidnom tradicijskom lancu od Mojsija sve do u rabinsko doba (M Avot 1,1-11,8). Učitelj M. samo je opravdao prenošenje Tore stalnim ponavljanjem i učenjem: »Rabanan su pouča</w:t>
        <w:softHyphen/>
        <w:t xml:space="preserve">vali: Na koji se način nauk prenosio? M. je učio iz usta moći (Boga). Zatim je prišao </w:t>
      </w:r>
      <w:r>
        <w:rPr>
          <w:rFonts w:ascii="Times New Roman" w:eastAsia="Times New Roman" w:hAnsi="Times New Roman" w:cs="Times New Roman"/>
          <w:color w:val="000000"/>
          <w:spacing w:val="0"/>
          <w:w w:val="100"/>
          <w:position w:val="0"/>
          <w:shd w:val="clear" w:color="auto" w:fill="auto"/>
          <w:lang w:val="en-US" w:eastAsia="en-US" w:bidi="en-US"/>
        </w:rPr>
        <w:t xml:space="preserve">Aron, </w:t>
      </w:r>
      <w:r>
        <w:rPr>
          <w:rFonts w:ascii="Times New Roman" w:eastAsia="Times New Roman" w:hAnsi="Times New Roman" w:cs="Times New Roman"/>
          <w:color w:val="000000"/>
          <w:spacing w:val="0"/>
          <w:w w:val="100"/>
          <w:position w:val="0"/>
          <w:shd w:val="clear" w:color="auto" w:fill="auto"/>
          <w:lang w:val="hr-HR" w:eastAsia="hr-HR" w:bidi="hr-HR"/>
        </w:rPr>
        <w:t>i M. gaje naučio njegov odlomak. Tada je Aron odstupio i sjeo Mojsiju slijeva. Zatim su prišli njegovi sinovi, i M. ih je naučio njihov odlomak. Zatim su njegovi sinovi odstupili... Prišli su starješine, i M. ih je naučio njihov od</w:t>
        <w:softHyphen/>
        <w:t>lomak. Nakon toga starješine su odstupile, a tada je prišao cijeli narod, i M. ga je naučio njegov odlomak. Aron je naučio četiri odlom</w:t>
        <w:softHyphen/>
        <w:t>ka, njegovi sinovi tri, starješine dva i cijeli na</w:t>
        <w:softHyphen/>
        <w:t>rod jedan. Tada je odstupio M., i Aron im je ponavljao njihov odlomak...« (b Eruvin 54b). Židovstvo nije »mojsijevstvo«, već put židov</w:t>
        <w:softHyphen/>
        <w:t xml:space="preserve">skoga naroda kao trajna reinterpretacija pra- riječi upućene Mojsiju, kako je to formulirao jedan učitelj iz III. stoljeća: »Rabin Jošua ben Levi rekao je: ... Pismo, Mišna,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i 11a- gada, pa i ono što će oštroumnom učeniku jednom predavati njegov učitelj, već je Mojsi</w:t>
        <w:softHyphen/>
        <w:t xml:space="preserve">ju rekao (Bog) na Sinaju« (j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II,17a, usp. Megila IV,74d; Hagiga I,76d). Poznata pripo</w:t>
        <w:softHyphen/>
        <w:t>vijest Mojsijeva i Rabi Akivc daje predodžbu da je već kao nauk u Tori koju je primio M. sadržano uistinu novo tumačenje: M. doznaje od Boga da će se nakon generacija i genera</w:t>
        <w:softHyphen/>
        <w:t xml:space="preserve">cija pojaviti čovjek imenom </w:t>
      </w:r>
      <w:r>
        <w:rPr>
          <w:rFonts w:ascii="Times New Roman" w:eastAsia="Times New Roman" w:hAnsi="Times New Roman" w:cs="Times New Roman"/>
          <w:color w:val="000000"/>
          <w:spacing w:val="0"/>
          <w:w w:val="100"/>
          <w:position w:val="0"/>
          <w:shd w:val="clear" w:color="auto" w:fill="auto"/>
          <w:lang w:val="en-US" w:eastAsia="en-US" w:bidi="en-US"/>
        </w:rPr>
        <w:t xml:space="preserve">Akiva ben Josef </w:t>
      </w:r>
      <w:r>
        <w:rPr>
          <w:rFonts w:ascii="Times New Roman" w:eastAsia="Times New Roman" w:hAnsi="Times New Roman" w:cs="Times New Roman"/>
          <w:color w:val="000000"/>
          <w:spacing w:val="0"/>
          <w:w w:val="100"/>
          <w:position w:val="0"/>
          <w:shd w:val="clear" w:color="auto" w:fill="auto"/>
          <w:lang w:val="hr-HR" w:eastAsia="hr-HR" w:bidi="hr-HR"/>
        </w:rPr>
        <w:t>koji će »iz svake kukice i kvačice (iz Tore) iz</w:t>
        <w:softHyphen/>
        <w:t xml:space="preserve">vesti gomile i gomile </w:t>
      </w:r>
      <w:r>
        <w:rPr>
          <w:rFonts w:ascii="Times New Roman" w:eastAsia="Times New Roman" w:hAnsi="Times New Roman" w:cs="Times New Roman"/>
          <w:i/>
          <w:iCs/>
          <w:color w:val="000000"/>
          <w:spacing w:val="0"/>
          <w:w w:val="100"/>
          <w:position w:val="0"/>
          <w:shd w:val="clear" w:color="auto" w:fill="auto"/>
          <w:lang w:val="hr-HR" w:eastAsia="hr-HR" w:bidi="hr-HR"/>
        </w:rPr>
        <w:t>halahot</w:t>
      </w:r>
      <w:r>
        <w:rPr>
          <w:rFonts w:ascii="Times New Roman" w:eastAsia="Times New Roman" w:hAnsi="Times New Roman" w:cs="Times New Roman"/>
          <w:color w:val="000000"/>
          <w:spacing w:val="0"/>
          <w:w w:val="100"/>
          <w:position w:val="0"/>
          <w:shd w:val="clear" w:color="auto" w:fill="auto"/>
          <w:lang w:val="hr-HR" w:eastAsia="hr-HR" w:bidi="hr-HR"/>
        </w:rPr>
        <w:t xml:space="preserve"> (pouke o pos</w:t>
        <w:softHyphen/>
        <w:t xml:space="preserve">tupcima). I rekao mu je (M.): Gospodaru svijeta, pokaži mi ga. On je odgovorio: Okreni </w:t>
      </w:r>
      <w:r>
        <w:rPr>
          <w:rFonts w:ascii="Times New Roman" w:eastAsia="Times New Roman" w:hAnsi="Times New Roman" w:cs="Times New Roman"/>
          <w:color w:val="000000"/>
          <w:spacing w:val="0"/>
          <w:w w:val="100"/>
          <w:position w:val="0"/>
          <w:shd w:val="clear" w:color="auto" w:fill="auto"/>
          <w:lang w:val="hr-HR" w:eastAsia="hr-HR" w:bidi="hr-HR"/>
        </w:rPr>
        <w:t>se. Okrenuo se (M.) i sjeo iza osmoga reda (u učilištu Rabi Akive). No nije razumio što su govorili. Tada je splasnula njegova snaga. Kad je (Akiva) došao na određeni predmet, pitali su ga učenici: Rabi, odakle to znaš? On im je odgovorio: To je halaha koja je predana Moj</w:t>
        <w:softHyphen/>
        <w:t>siju na Sinaju. Tada se (M.) ponovno smirio« (b Mcnahot 29b). Ta hagada objavljuje izjed</w:t>
        <w:softHyphen/>
        <w:t>načenje najvažnijih židovskih učitelja, koji su stvarali nova gledišta, s Mojsijem čiji su rad nastavili.</w:t>
      </w:r>
    </w:p>
    <w:p>
      <w:pPr>
        <w:pStyle w:val="Style20"/>
        <w:keepNext w:val="0"/>
        <w:keepLines w:val="0"/>
        <w:widowControl w:val="0"/>
        <w:shd w:val="clear" w:color="auto" w:fill="auto"/>
        <w:bidi w:val="0"/>
        <w:spacing w:before="0" w:after="10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Židovski srednjovjekovni filozofi suglasili su se da se objava Mojsiju razlikuje od objava svim prorocima i da ih nadmašuje. Oni su razmatrali Mojsijeve atribute: hrabrost, poniz</w:t>
        <w:softHyphen/>
        <w:t>nost i pravednost kao pretpostavke proročko</w:t>
        <w:softHyphen/>
        <w:t xml:space="preserve">ga iskustva (npr. Majmonid, </w:t>
      </w:r>
      <w:r>
        <w:rPr>
          <w:rFonts w:ascii="Times New Roman" w:eastAsia="Times New Roman" w:hAnsi="Times New Roman" w:cs="Times New Roman"/>
          <w:i/>
          <w:iCs/>
          <w:color w:val="000000"/>
          <w:spacing w:val="0"/>
          <w:w w:val="100"/>
          <w:position w:val="0"/>
          <w:shd w:val="clear" w:color="auto" w:fill="auto"/>
          <w:lang w:val="en-US" w:eastAsia="en-US" w:bidi="en-US"/>
        </w:rPr>
        <w:t>More nevuhim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II, 38-40). Jchuda </w:t>
      </w:r>
      <w:r>
        <w:rPr>
          <w:rFonts w:ascii="Times New Roman" w:eastAsia="Times New Roman" w:hAnsi="Times New Roman" w:cs="Times New Roman"/>
          <w:color w:val="000000"/>
          <w:spacing w:val="0"/>
          <w:w w:val="100"/>
          <w:position w:val="0"/>
          <w:shd w:val="clear" w:color="auto" w:fill="auto"/>
          <w:lang w:val="en-US" w:eastAsia="en-US" w:bidi="en-US"/>
        </w:rPr>
        <w:t xml:space="preserve">Halevi (XI./XII. </w:t>
      </w:r>
      <w:r>
        <w:rPr>
          <w:rFonts w:ascii="Times New Roman" w:eastAsia="Times New Roman" w:hAnsi="Times New Roman" w:cs="Times New Roman"/>
          <w:color w:val="000000"/>
          <w:spacing w:val="0"/>
          <w:w w:val="100"/>
          <w:position w:val="0"/>
          <w:shd w:val="clear" w:color="auto" w:fill="auto"/>
          <w:lang w:val="hr-HR" w:eastAsia="hr-HR" w:bidi="hr-HR"/>
        </w:rPr>
        <w:t>stoljeće) pove</w:t>
        <w:softHyphen/>
        <w:t>zuje Mojsijevo proroštvo naposredno s Bo</w:t>
        <w:softHyphen/>
        <w:t xml:space="preserve">gom te isključuje san kod primanja Tore kao i stanje između sna i jave te učinak razuma </w:t>
      </w:r>
      <w:r>
        <w:rPr>
          <w:rFonts w:ascii="Times New Roman" w:eastAsia="Times New Roman" w:hAnsi="Times New Roman" w:cs="Times New Roman"/>
          <w:i/>
          <w:iCs/>
          <w:color w:val="000000"/>
          <w:spacing w:val="0"/>
          <w:w w:val="100"/>
          <w:position w:val="0"/>
          <w:shd w:val="clear" w:color="auto" w:fill="auto"/>
          <w:lang w:val="hr-HR" w:eastAsia="hr-HR" w:bidi="hr-HR"/>
        </w:rPr>
        <w:t>(Hazari</w:t>
      </w:r>
      <w:r>
        <w:rPr>
          <w:rFonts w:ascii="Times New Roman" w:eastAsia="Times New Roman" w:hAnsi="Times New Roman" w:cs="Times New Roman"/>
          <w:color w:val="000000"/>
          <w:spacing w:val="0"/>
          <w:w w:val="100"/>
          <w:position w:val="0"/>
          <w:shd w:val="clear" w:color="auto" w:fill="auto"/>
          <w:lang w:val="hr-HR" w:eastAsia="hr-HR" w:bidi="hr-HR"/>
        </w:rPr>
        <w:t xml:space="preserve"> 1,87). Majmonid </w:t>
      </w:r>
      <w:r>
        <w:rPr>
          <w:rFonts w:ascii="Times New Roman" w:eastAsia="Times New Roman" w:hAnsi="Times New Roman" w:cs="Times New Roman"/>
          <w:color w:val="000000"/>
          <w:spacing w:val="0"/>
          <w:w w:val="100"/>
          <w:position w:val="0"/>
          <w:shd w:val="clear" w:color="auto" w:fill="auto"/>
          <w:lang w:val="en-US" w:eastAsia="en-US" w:bidi="en-US"/>
        </w:rPr>
        <w:t xml:space="preserve">(XII./XIII.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upozorava na Mojsijevo proroštvo samo zbog suprotnosti sa svim drugima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(More nevuhim </w:t>
      </w:r>
      <w:r>
        <w:rPr>
          <w:rFonts w:ascii="Times New Roman" w:eastAsia="Times New Roman" w:hAnsi="Times New Roman" w:cs="Times New Roman"/>
          <w:color w:val="000000"/>
          <w:spacing w:val="0"/>
          <w:w w:val="100"/>
          <w:position w:val="0"/>
          <w:shd w:val="clear" w:color="auto" w:fill="auto"/>
          <w:lang w:val="hr-HR" w:eastAsia="hr-HR" w:bidi="hr-HR"/>
        </w:rPr>
        <w:t xml:space="preserve">11,35, v.45); on je razradio četiri obilježja koja ga karakteriziraju (Misne Tora, Jesodej ha- Tora VII,6: Komentari Misne na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 u sedmom od svojih trinaest temeljnih na</w:t>
        <w:softHyphen/>
        <w:t>čela vjerovanja zapisao je: Vjerujem i potpu</w:t>
        <w:softHyphen/>
        <w:t>no sam uvjeren daje proroštvo našega učitelja Mojsija, neka je mir nad njim, istinito i da je on bio otac proroka prije i poslije njega.«</w:t>
      </w:r>
    </w:p>
    <w:p>
      <w:pPr>
        <w:pStyle w:val="Style56"/>
        <w:keepNext w:val="0"/>
        <w:keepLines w:val="0"/>
        <w:widowControl w:val="0"/>
        <w:shd w:val="clear" w:color="auto" w:fill="auto"/>
        <w:tabs>
          <w:tab w:pos="2395" w:val="left"/>
        </w:tabs>
        <w:bidi w:val="0"/>
        <w:spacing w:before="0" w:after="20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lang w:val="hr-HR" w:eastAsia="hr-HR" w:bidi="hr-HR"/>
        </w:rPr>
        <w:t xml:space="preserve">Jildisches </w:t>
      </w:r>
      <w:r>
        <w:rPr>
          <w:i/>
          <w:iCs/>
          <w:color w:val="000000"/>
          <w:spacing w:val="0"/>
          <w:w w:val="100"/>
          <w:position w:val="0"/>
          <w:shd w:val="clear" w:color="auto" w:fill="auto"/>
        </w:rPr>
        <w:t xml:space="preserve">Lexicon </w:t>
      </w:r>
      <w:r>
        <w:rPr>
          <w:i/>
          <w:iCs/>
          <w:color w:val="000000"/>
          <w:spacing w:val="0"/>
          <w:w w:val="100"/>
          <w:position w:val="0"/>
          <w:shd w:val="clear" w:color="auto" w:fill="auto"/>
          <w:lang w:val="hr-HR" w:eastAsia="hr-HR" w:bidi="hr-HR"/>
        </w:rPr>
        <w:t>JVU,</w:t>
      </w:r>
      <w:r>
        <w:rPr>
          <w:color w:val="000000"/>
          <w:spacing w:val="0"/>
          <w:w w:val="100"/>
          <w:position w:val="0"/>
          <w:shd w:val="clear" w:color="auto" w:fill="auto"/>
          <w:lang w:val="hr-HR" w:eastAsia="hr-HR" w:bidi="hr-HR"/>
        </w:rPr>
        <w:t xml:space="preserve"> 1927/1982. 303-314: </w:t>
      </w:r>
      <w:r>
        <w:rPr>
          <w:i/>
          <w:iCs/>
          <w:color w:val="000000"/>
          <w:spacing w:val="0"/>
          <w:w w:val="100"/>
          <w:position w:val="0"/>
          <w:shd w:val="clear" w:color="auto" w:fill="auto"/>
        </w:rPr>
        <w:t>Encyclo</w:t>
        <w:softHyphen/>
        <w:t>pedia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12, *1978, 371-410; C. G .Montcfiorc/H. </w:t>
      </w:r>
      <w:r>
        <w:rPr>
          <w:color w:val="000000"/>
          <w:spacing w:val="0"/>
          <w:w w:val="100"/>
          <w:position w:val="0"/>
          <w:shd w:val="clear" w:color="auto" w:fill="auto"/>
        </w:rPr>
        <w:t xml:space="preserve">Loewe. </w:t>
      </w:r>
      <w:r>
        <w:rPr>
          <w:i/>
          <w:iCs/>
          <w:color w:val="000000"/>
          <w:spacing w:val="0"/>
          <w:w w:val="100"/>
          <w:position w:val="0"/>
          <w:shd w:val="clear" w:color="auto" w:fill="auto"/>
        </w:rPr>
        <w:t>A Rabbinic Anthology,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1974. Kazalo;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Maicr, </w:t>
      </w:r>
      <w:r>
        <w:rPr>
          <w:i/>
          <w:iCs/>
          <w:color w:val="000000"/>
          <w:spacing w:val="0"/>
          <w:w w:val="100"/>
          <w:position w:val="0"/>
          <w:shd w:val="clear" w:color="auto" w:fill="auto"/>
          <w:lang w:val="hr-HR" w:eastAsia="hr-HR" w:bidi="hr-HR"/>
        </w:rPr>
        <w:t xml:space="preserve">Ge- schichte der </w:t>
      </w:r>
      <w:r>
        <w:rPr>
          <w:i/>
          <w:iCs/>
          <w:color w:val="000000"/>
          <w:spacing w:val="0"/>
          <w:w w:val="100"/>
          <w:position w:val="0"/>
          <w:shd w:val="clear" w:color="auto" w:fill="auto"/>
        </w:rPr>
        <w:t>jiidischen Religion,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1972, Kazalo; E. E. </w:t>
      </w:r>
      <w:r>
        <w:rPr>
          <w:color w:val="000000"/>
          <w:spacing w:val="0"/>
          <w:w w:val="100"/>
          <w:position w:val="0"/>
          <w:shd w:val="clear" w:color="auto" w:fill="auto"/>
        </w:rPr>
        <w:t xml:space="preserve">Urbach, </w:t>
      </w:r>
      <w:r>
        <w:rPr>
          <w:i/>
          <w:iCs/>
          <w:color w:val="000000"/>
          <w:spacing w:val="0"/>
          <w:w w:val="100"/>
          <w:position w:val="0"/>
          <w:shd w:val="clear" w:color="auto" w:fill="auto"/>
        </w:rPr>
        <w:t>The Sages, Their Concepts and Beliefs,</w:t>
      </w:r>
      <w:r>
        <w:rPr>
          <w:color w:val="000000"/>
          <w:spacing w:val="0"/>
          <w:w w:val="100"/>
          <w:position w:val="0"/>
          <w:shd w:val="clear" w:color="auto" w:fill="auto"/>
        </w:rPr>
        <w:t xml:space="preserve"> 1975, </w:t>
      </w:r>
      <w:r>
        <w:rPr>
          <w:color w:val="000000"/>
          <w:spacing w:val="0"/>
          <w:w w:val="100"/>
          <w:position w:val="0"/>
          <w:shd w:val="clear" w:color="auto" w:fill="auto"/>
          <w:lang w:val="hr-HR" w:eastAsia="hr-HR" w:bidi="hr-HR"/>
        </w:rPr>
        <w:t xml:space="preserve">Kazalo; </w:t>
      </w:r>
      <w:r>
        <w:rPr>
          <w:color w:val="000000"/>
          <w:spacing w:val="0"/>
          <w:w w:val="100"/>
          <w:position w:val="0"/>
          <w:shd w:val="clear" w:color="auto" w:fill="auto"/>
        </w:rPr>
        <w:t>M. Bu</w:t>
        <w:softHyphen/>
        <w:t xml:space="preserve">ber, </w:t>
      </w:r>
      <w:r>
        <w:rPr>
          <w:i/>
          <w:iCs/>
          <w:color w:val="000000"/>
          <w:spacing w:val="0"/>
          <w:w w:val="100"/>
          <w:position w:val="0"/>
          <w:shd w:val="clear" w:color="auto" w:fill="auto"/>
        </w:rPr>
        <w:t>Moses,</w:t>
      </w:r>
      <w:r>
        <w:rPr>
          <w:color w:val="000000"/>
          <w:spacing w:val="0"/>
          <w:w w:val="100"/>
          <w:position w:val="0"/>
          <w:shd w:val="clear" w:color="auto" w:fill="auto"/>
        </w:rPr>
        <w:t xml:space="preserve"> 1946, </w:t>
      </w:r>
      <w:r>
        <w:rPr>
          <w:color w:val="000000"/>
          <w:spacing w:val="0"/>
          <w:w w:val="100"/>
          <w:position w:val="0"/>
          <w:shd w:val="clear" w:color="auto" w:fill="auto"/>
          <w:vertAlign w:val="superscript"/>
        </w:rPr>
        <w:t>1</w:t>
      </w:r>
      <w:r>
        <w:rPr>
          <w:color w:val="000000"/>
          <w:spacing w:val="0"/>
          <w:w w:val="100"/>
          <w:position w:val="0"/>
          <w:shd w:val="clear" w:color="auto" w:fill="auto"/>
        </w:rPr>
        <w:t>1966.</w:t>
        <w:tab/>
        <w:t xml:space="preserve">D. </w:t>
      </w:r>
      <w:r>
        <w:rPr>
          <w:color w:val="000000"/>
          <w:spacing w:val="0"/>
          <w:w w:val="100"/>
          <w:position w:val="0"/>
          <w:shd w:val="clear" w:color="auto" w:fill="auto"/>
          <w:lang w:val="hr-HR" w:eastAsia="hr-HR" w:bidi="hr-HR"/>
        </w:rPr>
        <w:t>VKCIUR</w:t>
      </w:r>
    </w:p>
    <w:p>
      <w:pPr>
        <w:pStyle w:val="Style63"/>
        <w:keepNext/>
        <w:keepLines/>
        <w:widowControl w:val="0"/>
        <w:numPr>
          <w:ilvl w:val="0"/>
          <w:numId w:val="311"/>
        </w:numPr>
        <w:shd w:val="clear" w:color="auto" w:fill="auto"/>
        <w:tabs>
          <w:tab w:pos="255" w:val="left"/>
        </w:tabs>
        <w:bidi w:val="0"/>
        <w:spacing w:before="0" w:after="100" w:line="228" w:lineRule="auto"/>
        <w:ind w:left="0" w:right="0" w:firstLine="0"/>
        <w:jc w:val="both"/>
      </w:pPr>
      <w:bookmarkStart w:id="197" w:name="bookmark19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197"/>
    </w:p>
    <w:p>
      <w:pPr>
        <w:pStyle w:val="Style20"/>
        <w:keepNext w:val="0"/>
        <w:keepLines w:val="0"/>
        <w:widowControl w:val="0"/>
        <w:shd w:val="clear" w:color="auto" w:fill="auto"/>
        <w:bidi w:val="0"/>
        <w:spacing w:before="0" w:after="100" w:line="257" w:lineRule="auto"/>
        <w:ind w:left="0" w:right="0" w:firstLine="0"/>
        <w:jc w:val="both"/>
        <w:sectPr>
          <w:headerReference w:type="default" r:id="rId827"/>
          <w:footerReference w:type="default" r:id="rId828"/>
          <w:headerReference w:type="even" r:id="rId829"/>
          <w:footerReference w:type="even" r:id="rId830"/>
          <w:footnotePr>
            <w:pos w:val="pageBottom"/>
            <w:numFmt w:val="decimal"/>
            <w:numRestart w:val="continuous"/>
            <w15:footnoteColumns w:val="1"/>
          </w:footnotePr>
          <w:pgSz w:w="6816" w:h="11006"/>
          <w:pgMar w:top="856" w:left="188" w:right="191" w:bottom="266" w:header="0" w:footer="3" w:gutter="0"/>
          <w:pgNumType w:start="281"/>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Za kršćanstvo je M. ono što jc već o njemu rečeno u SZ: M. je vjerni sluga Božji (Hcb 3,5) kojega je Bog učinio svojim prijateljem i pozvao na posebno poslanje. Tim poslanjem M. je oslobodio svoj narod iz ropstva pod Egipćanima. Svi oni koji su ga slijedili, išli s njim iza stupa od oblaka, prošli morem, doživ</w:t>
        <w:softHyphen/>
        <w:t>ljavali su ga kao »glavara i osloboditelja« (Dj 7,35). Prije svega M. jc prorok koji je na brdu Sinaju iz ruku anđela primio Zakon i zatim ga navijestio narodu (usp. Gal 3,19).</w:t>
      </w:r>
    </w:p>
    <w:p>
      <w:pPr>
        <w:pStyle w:val="Style20"/>
        <w:keepNext w:val="0"/>
        <w:keepLines w:val="0"/>
        <w:widowControl w:val="0"/>
        <w:shd w:val="clear" w:color="auto" w:fill="auto"/>
        <w:bidi w:val="0"/>
        <w:spacing w:before="0" w:after="220" w:line="254"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No M. dobiva svoje puno značenje u po</w:t>
        <w:softHyphen/>
        <w:t>vezanosti s Kristom. M. kao osloboditelj, u čije su ime Hebreji bili kršteni, prije svega upućuje na Otkupitelja Isusa Krista u čije su ime kršćani kršteni i oslobođeni od svih gri</w:t>
        <w:softHyphen/>
        <w:t>jeha (Dj 2,38; 5,31). Krist je također posred</w:t>
        <w:softHyphen/>
        <w:t>nik novoga Saveza koji nadmašujc i zamjenju</w:t>
        <w:softHyphen/>
        <w:t>je stari Savez (usp. Heb 8,6; 9,14-15). On, Krist, prorok je čiji je dolazak M. nagovijestio (Pnz 18,15-18), na što ukazuje Stjepan u Dje</w:t>
        <w:softHyphen/>
        <w:t>lima apostolskim (Dj 7,37), a i Petar nalazi ovo navješćivanjc ispunjeno u Isusu Kristu (Dj 3,22-23); Ivan dalje podcrtava u svom evanđelju da M. u Pismu daje svjedočanstvo za Krista (Iv 5,46; usp. Lk 24,27). Taj odnos Mojsija prema Kristu i to upućivanje Mojsija kao i od njega predanog zakona na Isusa Krista dolazi do izražaja u prizoru preobraže- nja u kojem se M. javlja na strani preobraže- noga Gospodina (Lk 9,30-31). Osim toga Krist je cilj zakona, on ga ispunjava (Mt 5,17) i nad- mašuje (usp. Rim 10,1), Krist omogućuje lju</w:t>
        <w:softHyphen/>
        <w:t>dima ponovno spoznati dublji smisao zakona, gledati i podnijeti Božju slavu. Jer u Kristu je postala očigledna Božja slava (Iv 1,14) koja je nekoć pustila da iz Mojsijeva lica izbije svjet</w:t>
        <w:softHyphen/>
        <w:t xml:space="preserve">lost (Izl 34,29-35), ali koju Hebreji nisu mogli podnijeti (2 Kor 3,7). Ono za čime su nekoć Hebreji čeznuli, Bog sada nudi svim ljudima: svoje spasenje u Isusu Kristu (1 Tim 2,4 i đ.; Heb 3,6). »Jer, Zakon bijaše dan po Mojsiju, po Isusu Kristu dode milost i istina« (Iv 1,17). </w:t>
      </w:r>
      <w:r>
        <w:rPr>
          <w:rFonts w:ascii="Arial" w:eastAsia="Arial" w:hAnsi="Arial" w:cs="Arial"/>
          <w:color w:val="000000"/>
          <w:spacing w:val="0"/>
          <w:w w:val="100"/>
          <w:position w:val="0"/>
          <w:sz w:val="12"/>
          <w:szCs w:val="12"/>
          <w:shd w:val="clear" w:color="auto" w:fill="auto"/>
          <w:lang w:val="hr-HR" w:eastAsia="hr-HR" w:bidi="hr-HR"/>
        </w:rPr>
        <w:t xml:space="preserve">Lit: H. Cuzclles, natuknica »Moše«, u; </w:t>
      </w:r>
      <w:r>
        <w:rPr>
          <w:rFonts w:ascii="Arial" w:eastAsia="Arial" w:hAnsi="Arial" w:cs="Arial"/>
          <w:i/>
          <w:iCs/>
          <w:color w:val="000000"/>
          <w:spacing w:val="0"/>
          <w:w w:val="100"/>
          <w:position w:val="0"/>
          <w:sz w:val="12"/>
          <w:szCs w:val="12"/>
          <w:shd w:val="clear" w:color="auto" w:fill="auto"/>
          <w:lang w:val="hr-HR" w:eastAsia="hr-HR" w:bidi="hr-HR"/>
        </w:rPr>
        <w:t>Bibellcukon,</w:t>
      </w:r>
      <w:r>
        <w:rPr>
          <w:rFonts w:ascii="Arial" w:eastAsia="Arial" w:hAnsi="Arial" w:cs="Arial"/>
          <w:color w:val="000000"/>
          <w:spacing w:val="0"/>
          <w:w w:val="100"/>
          <w:position w:val="0"/>
          <w:sz w:val="12"/>
          <w:szCs w:val="12"/>
          <w:shd w:val="clear" w:color="auto" w:fill="auto"/>
          <w:lang w:val="hr-HR" w:eastAsia="hr-HR" w:bidi="hr-HR"/>
        </w:rPr>
        <w:t xml:space="preserve"> hr.sg </w:t>
      </w:r>
      <w:r>
        <w:rPr>
          <w:rFonts w:ascii="Arial" w:eastAsia="Arial" w:hAnsi="Arial" w:cs="Arial"/>
          <w:color w:val="000000"/>
          <w:spacing w:val="0"/>
          <w:w w:val="100"/>
          <w:position w:val="0"/>
          <w:sz w:val="12"/>
          <w:szCs w:val="12"/>
          <w:shd w:val="clear" w:color="auto" w:fill="auto"/>
          <w:lang w:val="en-US" w:eastAsia="en-US" w:bidi="en-US"/>
        </w:rPr>
        <w:t xml:space="preserve">von </w:t>
      </w:r>
      <w:r>
        <w:rPr>
          <w:rFonts w:ascii="Arial" w:eastAsia="Arial" w:hAnsi="Arial" w:cs="Arial"/>
          <w:color w:val="000000"/>
          <w:spacing w:val="0"/>
          <w:w w:val="100"/>
          <w:position w:val="0"/>
          <w:sz w:val="12"/>
          <w:szCs w:val="12"/>
          <w:shd w:val="clear" w:color="auto" w:fill="auto"/>
          <w:lang w:val="hr-HR" w:eastAsia="hr-HR" w:bidi="hr-HR"/>
        </w:rPr>
        <w:t xml:space="preserve">H. </w:t>
      </w:r>
      <w:r>
        <w:rPr>
          <w:rFonts w:ascii="Arial" w:eastAsia="Arial" w:hAnsi="Arial" w:cs="Arial"/>
          <w:color w:val="000000"/>
          <w:spacing w:val="0"/>
          <w:w w:val="100"/>
          <w:position w:val="0"/>
          <w:sz w:val="12"/>
          <w:szCs w:val="12"/>
          <w:shd w:val="clear" w:color="auto" w:fill="auto"/>
          <w:lang w:val="en-US" w:eastAsia="en-US" w:bidi="en-US"/>
        </w:rPr>
        <w:t xml:space="preserve">Haag, ZuricIvEinsicdcln/Kiiln </w:t>
      </w:r>
      <w:r>
        <w:rPr>
          <w:rFonts w:ascii="Arial" w:eastAsia="Arial" w:hAnsi="Arial" w:cs="Arial"/>
          <w:color w:val="000000"/>
          <w:spacing w:val="0"/>
          <w:w w:val="100"/>
          <w:position w:val="0"/>
          <w:sz w:val="12"/>
          <w:szCs w:val="12"/>
          <w:shd w:val="clear" w:color="auto" w:fill="auto"/>
          <w:lang w:val="hr-HR" w:eastAsia="hr-HR" w:bidi="hr-HR"/>
        </w:rPr>
        <w:t xml:space="preserve">1982, 1171-1178; R. Mottc/M- F </w:t>
      </w:r>
      <w:r>
        <w:rPr>
          <w:rFonts w:ascii="Arial" w:eastAsia="Arial" w:hAnsi="Arial" w:cs="Arial"/>
          <w:color w:val="000000"/>
          <w:spacing w:val="0"/>
          <w:w w:val="100"/>
          <w:position w:val="0"/>
          <w:sz w:val="12"/>
          <w:szCs w:val="12"/>
          <w:shd w:val="clear" w:color="auto" w:fill="auto"/>
          <w:lang w:val="en-US" w:eastAsia="en-US" w:bidi="en-US"/>
        </w:rPr>
        <w:t xml:space="preserve">Lacan, </w:t>
      </w:r>
      <w:r>
        <w:rPr>
          <w:rFonts w:ascii="Arial" w:eastAsia="Arial" w:hAnsi="Arial" w:cs="Arial"/>
          <w:color w:val="000000"/>
          <w:spacing w:val="0"/>
          <w:w w:val="100"/>
          <w:position w:val="0"/>
          <w:sz w:val="12"/>
          <w:szCs w:val="12"/>
          <w:shd w:val="clear" w:color="auto" w:fill="auto"/>
          <w:lang w:val="hr-HR" w:eastAsia="hr-HR" w:bidi="hr-HR"/>
        </w:rPr>
        <w:t xml:space="preserve">natuknica »Mosc«. u: </w:t>
      </w:r>
      <w:r>
        <w:rPr>
          <w:rFonts w:ascii="Arial" w:eastAsia="Arial" w:hAnsi="Arial" w:cs="Arial"/>
          <w:i/>
          <w:iCs/>
          <w:color w:val="000000"/>
          <w:spacing w:val="0"/>
          <w:w w:val="100"/>
          <w:position w:val="0"/>
          <w:sz w:val="12"/>
          <w:szCs w:val="12"/>
          <w:shd w:val="clear" w:color="auto" w:fill="auto"/>
          <w:lang w:val="en-US" w:eastAsia="en-US" w:bidi="en-US"/>
        </w:rPr>
        <w:t xml:space="preserve">Wfrierbuch </w:t>
      </w:r>
      <w:r>
        <w:rPr>
          <w:rFonts w:ascii="Arial" w:eastAsia="Arial" w:hAnsi="Arial" w:cs="Arial"/>
          <w:i/>
          <w:iCs/>
          <w:color w:val="000000"/>
          <w:spacing w:val="0"/>
          <w:w w:val="100"/>
          <w:position w:val="0"/>
          <w:sz w:val="12"/>
          <w:szCs w:val="12"/>
          <w:shd w:val="clear" w:color="auto" w:fill="auto"/>
          <w:lang w:val="hr-HR" w:eastAsia="hr-HR" w:bidi="hr-HR"/>
        </w:rPr>
        <w:t xml:space="preserve">zur </w:t>
      </w:r>
      <w:r>
        <w:rPr>
          <w:rFonts w:ascii="Arial" w:eastAsia="Arial" w:hAnsi="Arial" w:cs="Arial"/>
          <w:i/>
          <w:iCs/>
          <w:color w:val="000000"/>
          <w:spacing w:val="0"/>
          <w:w w:val="100"/>
          <w:position w:val="0"/>
          <w:sz w:val="12"/>
          <w:szCs w:val="12"/>
          <w:shd w:val="clear" w:color="auto" w:fill="auto"/>
          <w:lang w:val="en-US" w:eastAsia="en-US" w:bidi="en-US"/>
        </w:rPr>
        <w:t>biblischfn Roischafi,</w:t>
      </w:r>
      <w:r>
        <w:rPr>
          <w:rFonts w:ascii="Arial" w:eastAsia="Arial" w:hAnsi="Arial" w:cs="Arial"/>
          <w:color w:val="000000"/>
          <w:spacing w:val="0"/>
          <w:w w:val="100"/>
          <w:position w:val="0"/>
          <w:sz w:val="12"/>
          <w:szCs w:val="12"/>
          <w:shd w:val="clear" w:color="auto" w:fill="auto"/>
          <w:lang w:val="en-US" w:eastAsia="en-US" w:bidi="en-US"/>
        </w:rPr>
        <w:t xml:space="preserve"> hrsg. </w:t>
      </w:r>
      <w:r>
        <w:rPr>
          <w:rFonts w:ascii="Arial" w:eastAsia="Arial" w:hAnsi="Arial" w:cs="Arial"/>
          <w:color w:val="000000"/>
          <w:spacing w:val="0"/>
          <w:w w:val="100"/>
          <w:position w:val="0"/>
          <w:sz w:val="12"/>
          <w:szCs w:val="12"/>
          <w:shd w:val="clear" w:color="auto" w:fill="auto"/>
          <w:lang w:val="hr-HR" w:eastAsia="hr-HR" w:bidi="hr-HR"/>
        </w:rPr>
        <w:t xml:space="preserve">X. Lcon-Dufour, Sondcrausgabc dcr 2. Aufl.. Frcihurg 1981, 475-476. </w:t>
      </w:r>
      <w:r>
        <w:rPr>
          <w:rFonts w:ascii="Arial" w:eastAsia="Arial" w:hAnsi="Arial" w:cs="Arial"/>
          <w:color w:val="000000"/>
          <w:spacing w:val="0"/>
          <w:w w:val="100"/>
          <w:position w:val="0"/>
          <w:sz w:val="12"/>
          <w:szCs w:val="12"/>
          <w:shd w:val="clear" w:color="auto" w:fill="auto"/>
          <w:lang w:val="en-US" w:eastAsia="en-US" w:bidi="en-US"/>
        </w:rPr>
        <w:t>A. TH. KUOIJRY</w:t>
      </w:r>
    </w:p>
    <w:p>
      <w:pPr>
        <w:pStyle w:val="Style56"/>
        <w:keepNext w:val="0"/>
        <w:keepLines w:val="0"/>
        <w:widowControl w:val="0"/>
        <w:shd w:val="clear" w:color="auto" w:fill="auto"/>
        <w:bidi w:val="0"/>
        <w:spacing w:before="0" w:after="120" w:line="240" w:lineRule="auto"/>
        <w:ind w:left="0" w:right="0" w:firstLine="0"/>
        <w:jc w:val="both"/>
      </w:pPr>
      <w:r>
        <w:rPr>
          <w:b/>
          <w:bCs/>
          <w:color w:val="000000"/>
          <w:spacing w:val="0"/>
          <w:w w:val="100"/>
          <w:position w:val="0"/>
          <w:shd w:val="clear" w:color="auto" w:fill="auto"/>
          <w:lang w:val="hr-HR" w:eastAsia="hr-HR" w:bidi="hr-HR"/>
        </w:rPr>
        <w:t>3. islamski</w:t>
      </w:r>
    </w:p>
    <w:p>
      <w:pPr>
        <w:pStyle w:val="Style20"/>
        <w:keepNext w:val="0"/>
        <w:keepLines w:val="0"/>
        <w:widowControl w:val="0"/>
        <w:shd w:val="clear" w:color="auto" w:fill="auto"/>
        <w:bidi w:val="0"/>
        <w:spacing w:before="0" w:after="1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(arapski: Musa) se štuje kao jedan od ve</w:t>
        <w:softHyphen/>
        <w:t>likih Božjih poslanika. Vjera u njegovo po</w:t>
        <w:softHyphen/>
        <w:t>slanje pripada trećem članku islamskoga vje</w:t>
        <w:softHyphen/>
        <w:t>rovanja. U okviru kuranskih pripovijesti o prorocima M. zauzima veliki prostor. Njego</w:t>
        <w:softHyphen/>
        <w:t>va, tamo skicirana slika pokazuje biblijske, ha- gadske i originarne crte. Jednako kao recimo u Abrahamu i Isusu Muhamed je u Mojsiju vidio svojega prethodnika i uzora. Po islam</w:t>
        <w:softHyphen/>
        <w:t>skome shvaćanju, M. je musliman. Kuranska pripovijest o Mojsijevu djetinjstvu kreće se u poznatom biblijskom prostoru. Kao odrasloga čovjeka Bog ga obdanije mudrošću i znanjem.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Još prije pravoga pozvanja on u Egiptu na</w:t>
        <w:softHyphen/>
        <w:t>stupa kao zaštitnik svojega porobljenoga na</w:t>
        <w:softHyphen/>
        <w:t>roda. Prilikom jednoga sukoba između Egip- ćanina i Židova on priskače u pomoć i ubija protivnika svojega sunarodnjaka. Nakon toga on moli Boga za oprost zbog tog čina. Taj ga događaj prisiljava na bijeg. Putem upoznaje kći beduinskoga šejha te kao pastir stupa u njegovu službu. Polom ženi tu djevojku i osta</w:t>
        <w:softHyphen/>
        <w:t>je kod njezina oca skoro deset godina.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Pozvanje za Božjega poslanika započinje na</w:t>
        <w:softHyphen/>
        <w:t>kon ukazanja vatre na jednom brdu u okolici tuvanske doline. Propadaju pokušaji obraće</w:t>
        <w:softHyphen/>
        <w:t>nja faraona na pravu vjeru, premda M. uvjer</w:t>
        <w:softHyphen/>
        <w:t>ljivim čudotvorstvima nadjačava čarolije fara- onovih čarobnjaka, tako da oni prihvaćaju is</w:t>
        <w:softHyphen/>
        <w:t>lam. Od smrti koja mu je prijetila od faraona spašava ga samo zagovor jednoga pobožnog dvorjanina. Po Božjoj zapovijedi M. napušta Egipat te po noći i magli vodi svoj narod iz ropstva u slobodu. Pritom ga prati Božja po</w:t>
        <w:softHyphen/>
        <w:t>moć. Skupa sa svojim narodom on nepovrije- den prolazi kroz rastvoreno more i dolazi u Obećanu zemlju.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 je izvršio mnoga čuda. On je jedini Božji poslanik koji je razgovarao s Bogom; otuda njegov počasni naziv </w:t>
      </w:r>
      <w:r>
        <w:rPr>
          <w:rFonts w:ascii="Times New Roman" w:eastAsia="Times New Roman" w:hAnsi="Times New Roman" w:cs="Times New Roman"/>
          <w:i/>
          <w:iCs/>
          <w:color w:val="000000"/>
          <w:spacing w:val="0"/>
          <w:w w:val="100"/>
          <w:position w:val="0"/>
          <w:shd w:val="clear" w:color="auto" w:fill="auto"/>
          <w:lang w:val="hr-HR" w:eastAsia="hr-HR" w:bidi="hr-HR"/>
        </w:rPr>
        <w:t>kalimal-lah</w:t>
      </w:r>
      <w:r>
        <w:rPr>
          <w:rFonts w:ascii="Times New Roman" w:eastAsia="Times New Roman" w:hAnsi="Times New Roman" w:cs="Times New Roman"/>
          <w:color w:val="000000"/>
          <w:spacing w:val="0"/>
          <w:w w:val="100"/>
          <w:position w:val="0"/>
          <w:shd w:val="clear" w:color="auto" w:fill="auto"/>
          <w:lang w:val="hr-HR" w:eastAsia="hr-HR" w:bidi="hr-HR"/>
        </w:rPr>
        <w:t xml:space="preserve"> (Božji sugo</w:t>
        <w:softHyphen/>
        <w:t>vornik). M. se uvijek iznova morao boriti pro</w:t>
        <w:softHyphen/>
        <w:t>tiv praznovjerja u koje je zapadao njegov na</w:t>
        <w:softHyphen/>
        <w:t>rod. Jedna od najvećih bludnji jest pravljenje i obožavanje zlatnoga teleta. On u trenutku ra</w:t>
        <w:softHyphen/>
        <w:t>zočarenja razbija tablicu zapovijedi, no Bog mu se neposredno objavljuje. Mojsija u njego</w:t>
        <w:softHyphen/>
        <w:t>voj misiji presudno podupire njegov brat Aron (HSrOn). I Aron je Božji poslanik.</w:t>
      </w:r>
    </w:p>
    <w:p>
      <w:pPr>
        <w:pStyle w:val="Style20"/>
        <w:keepNext w:val="0"/>
        <w:keepLines w:val="0"/>
        <w:widowControl w:val="0"/>
        <w:shd w:val="clear" w:color="auto" w:fill="auto"/>
        <w:bidi w:val="0"/>
        <w:spacing w:before="0" w:after="0"/>
        <w:ind w:left="0" w:right="0" w:firstLine="0"/>
        <w:jc w:val="both"/>
        <w:sectPr>
          <w:headerReference w:type="default" r:id="rId831"/>
          <w:footerReference w:type="default" r:id="rId832"/>
          <w:headerReference w:type="even" r:id="rId833"/>
          <w:footerReference w:type="even" r:id="rId834"/>
          <w:footnotePr>
            <w:pos w:val="pageBottom"/>
            <w:numFmt w:val="decimal"/>
            <w:numRestart w:val="continuous"/>
            <w15:footnoteColumns w:val="1"/>
          </w:footnotePr>
          <w:pgSz w:w="6816" w:h="11006"/>
          <w:pgMar w:top="856" w:left="188" w:right="191" w:bottom="266" w:header="0" w:footer="3" w:gutter="0"/>
          <w:pgNumType w:start="278"/>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kuranski su prikaz Mojsija upletene mnoge aluzije na arapski svijet u vrijeme Muhameda. Čini se da je liku Muhameda kao uzor pret</w:t>
        <w:softHyphen/>
        <w:t>postavljen lik izraelskoga Božjeg čovjeka koji se opisuje u Kuranu. To se objašnjava iz smis</w:t>
        <w:softHyphen/>
        <w:t>la proročkih pripovijesti u Kuranu: One su trebale dati moral fibra) živućim ljudima ko</w:t>
        <w:softHyphen/>
        <w:t>jima se izravno obraćala kuranska poruka. No, neovisno o tome, Muhamed se osjećao naročito usko povezanim s Mojsijcm. Koliko je daleko sezala ta srodnost, ilustrativno po</w:t>
        <w:softHyphen/>
        <w:t xml:space="preserve">kazuje jedan hadis koji su al-Buhari i </w:t>
      </w:r>
      <w:r>
        <w:rPr>
          <w:rFonts w:ascii="Times New Roman" w:eastAsia="Times New Roman" w:hAnsi="Times New Roman" w:cs="Times New Roman"/>
          <w:color w:val="000000"/>
          <w:spacing w:val="0"/>
          <w:w w:val="100"/>
          <w:position w:val="0"/>
          <w:shd w:val="clear" w:color="auto" w:fill="auto"/>
          <w:lang w:val="en-US" w:eastAsia="en-US" w:bidi="en-US"/>
        </w:rPr>
        <w:t xml:space="preserve">Muslim </w:t>
      </w:r>
      <w:r>
        <w:rPr>
          <w:rFonts w:ascii="Times New Roman" w:eastAsia="Times New Roman" w:hAnsi="Times New Roman" w:cs="Times New Roman"/>
          <w:color w:val="000000"/>
          <w:spacing w:val="0"/>
          <w:w w:val="100"/>
          <w:position w:val="0"/>
          <w:shd w:val="clear" w:color="auto" w:fill="auto"/>
          <w:lang w:val="hr-HR" w:eastAsia="hr-HR" w:bidi="hr-HR"/>
        </w:rPr>
        <w:t>smatrali autentičnim: »Muhamed je došao u Medinu i vidio Židove kako poste na dan po</w:t>
        <w:softHyphen/>
        <w:t xml:space="preserve">mirenja (ašura). Što je to?’, raspitivao se. ‘To je sveti dan, dan kada je Bog spasio Izraclovu djecu od neprijatelja; i zbog toga je M. postio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toga dana.’ Muhamed je kazao: ‘Ja imam više prava na Mojsija nego vi’, postio loga dana i preporučio da se on smatra danom posta«.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poslijekuransko vrijeme u legendu o Moj- siju slilo se mnoštvo novih elemenata. Tako se ona polako razvila u pravu orijentalnu bajku. U zbirci pripovijesti o prorocima, koju je sas</w:t>
        <w:softHyphen/>
        <w:t>tavio Tha’labl an-Nisaburi (u. 1035), ta je baj</w:t>
        <w:softHyphen/>
        <w:t>ka narasla do romana-legende.</w:t>
      </w:r>
    </w:p>
    <w:p>
      <w:pPr>
        <w:pStyle w:val="Style56"/>
        <w:keepNext w:val="0"/>
        <w:keepLines w:val="0"/>
        <w:widowControl w:val="0"/>
        <w:shd w:val="clear" w:color="auto" w:fill="auto"/>
        <w:tabs>
          <w:tab w:pos="2554" w:val="left"/>
        </w:tabs>
        <w:bidi w:val="0"/>
        <w:spacing w:before="0" w:after="260" w:line="240" w:lineRule="auto"/>
        <w:ind w:left="0" w:right="0" w:firstLine="0"/>
        <w:jc w:val="both"/>
      </w:pPr>
      <w:r>
        <w:rPr>
          <w:color w:val="000000"/>
          <w:spacing w:val="0"/>
          <w:w w:val="100"/>
          <w:position w:val="0"/>
          <w:shd w:val="clear" w:color="auto" w:fill="auto"/>
          <w:lang w:val="hr-HR" w:eastAsia="hr-HR" w:bidi="hr-HR"/>
        </w:rPr>
        <w:t xml:space="preserve">Lit.: Hl, natuknica </w:t>
      </w:r>
      <w:r>
        <w:rPr>
          <w:color w:val="000000"/>
          <w:spacing w:val="0"/>
          <w:w w:val="100"/>
          <w:position w:val="0"/>
          <w:shd w:val="clear" w:color="auto" w:fill="auto"/>
        </w:rPr>
        <w:t>Musa.</w:t>
        <w:tab/>
      </w:r>
      <w:r>
        <w:rPr>
          <w:color w:val="000000"/>
          <w:spacing w:val="0"/>
          <w:w w:val="100"/>
          <w:position w:val="0"/>
          <w:shd w:val="clear" w:color="auto" w:fill="auto"/>
          <w:lang w:val="hr-HR" w:eastAsia="hr-HR" w:bidi="hr-HR"/>
        </w:rPr>
        <w:t>s BALIĆ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MOLITVA</w:t>
      </w:r>
    </w:p>
    <w:p>
      <w:pPr>
        <w:pStyle w:val="Style63"/>
        <w:keepNext/>
        <w:keepLines/>
        <w:widowControl w:val="0"/>
        <w:numPr>
          <w:ilvl w:val="0"/>
          <w:numId w:val="313"/>
        </w:numPr>
        <w:shd w:val="clear" w:color="auto" w:fill="auto"/>
        <w:tabs>
          <w:tab w:pos="246" w:val="left"/>
        </w:tabs>
        <w:bidi w:val="0"/>
        <w:spacing w:before="0"/>
        <w:ind w:left="0" w:right="0" w:firstLine="0"/>
        <w:jc w:val="both"/>
      </w:pPr>
      <w:bookmarkStart w:id="198" w:name="bookmark198"/>
      <w:r>
        <w:rPr>
          <w:rFonts w:ascii="Times New Roman" w:eastAsia="Times New Roman" w:hAnsi="Times New Roman" w:cs="Times New Roman"/>
          <w:color w:val="000000"/>
          <w:spacing w:val="0"/>
          <w:w w:val="100"/>
          <w:position w:val="0"/>
          <w:shd w:val="clear" w:color="auto" w:fill="auto"/>
          <w:lang w:val="hr-HR" w:eastAsia="hr-HR" w:bidi="hr-HR"/>
        </w:rPr>
        <w:t>židovski</w:t>
      </w:r>
      <w:bookmarkEnd w:id="198"/>
    </w:p>
    <w:p>
      <w:pPr>
        <w:pStyle w:val="Style20"/>
        <w:keepNext w:val="0"/>
        <w:keepLines w:val="0"/>
        <w:widowControl w:val="0"/>
        <w:numPr>
          <w:ilvl w:val="0"/>
          <w:numId w:val="315"/>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»Služba sa srcem«:</w:t>
      </w:r>
      <w:r>
        <w:rPr>
          <w:rFonts w:ascii="Times New Roman" w:eastAsia="Times New Roman" w:hAnsi="Times New Roman" w:cs="Times New Roman"/>
          <w:color w:val="000000"/>
          <w:spacing w:val="0"/>
          <w:w w:val="100"/>
          <w:position w:val="0"/>
          <w:shd w:val="clear" w:color="auto" w:fill="auto"/>
          <w:lang w:val="hr-HR" w:eastAsia="hr-HR" w:bidi="hr-HR"/>
        </w:rPr>
        <w:t xml:space="preserve"> Tora - u širem smislu sveukupna židovska predaja naputaka za život - učenje i poštivanje - u svako je doba suvre</w:t>
        <w:softHyphen/>
        <w:t>mena osnova židovskoga života. Ona rasvjet</w:t>
        <w:softHyphen/>
        <w:t>ljava borbu mudraca za pravi odnos znanja i djelovanja, —&gt; Vjera. Ona objašnjava priori</w:t>
        <w:softHyphen/>
        <w:t>tetni red: »To su stvari u čijim plodovima čovjek uživa na ovom svijetu i čije mu stablo ostaje za budući svijet. A to su: poštovanje oca i majke, dobročinstvo, rano pohađanje škole, ujutro i navečer, gostoljubivost, skrb za bole</w:t>
        <w:softHyphen/>
        <w:t xml:space="preserve">snike, miraz za (siromašne) nevjeste, ispraćaj pokojnika, pobožnost (pažnja) na molitvi i mi- rotvornost između čovjeka i bližnjega; no učenje Tore ima težinu za svakoga jednako« (M Pea 1,1 i b Šabal 127a; Kidušin 39b); naime, ozbiljno proučavanje Tore vodi k djelu (Šifra za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26,3; Vajikra raba XXXV,26,3; j Berahot 1,3b; b 17a). No, čini se, da to isti</w:t>
        <w:softHyphen/>
        <w:t xml:space="preserve">canje smeta drugom shvaćanju: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je rekao: Veća je molitva od dobrih djela« (b Berahot 32b). Obje ocjene doista ne odstu</w:t>
        <w:softHyphen/>
        <w:t>paju načelno jedna od druge: rabini su po</w:t>
        <w:softHyphen/>
        <w:t>vezali zapovijed »...i budete li ljubili NJEGA, Boga svoga, i služili mu svim srcem svojim« (Pnz 11,13) sa zapovijedi: »Koja se služba vrši sa srcem? M.« (b Taanit 2a, usp. Šifre za Pnz</w:t>
      </w:r>
    </w:p>
    <w:p>
      <w:pPr>
        <w:pStyle w:val="Style20"/>
        <w:keepNext w:val="0"/>
        <w:keepLines w:val="0"/>
        <w:widowControl w:val="0"/>
        <w:numPr>
          <w:ilvl w:val="0"/>
          <w:numId w:val="317"/>
        </w:numPr>
        <w:shd w:val="clear" w:color="auto" w:fill="auto"/>
        <w:tabs>
          <w:tab w:pos="332" w:val="left"/>
        </w:tabs>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13). Ne dovode u dvojbu ni traženi motiv učenja i djelovanja: » llco se bavi Torom radi nje same </w:t>
      </w:r>
      <w:r>
        <w:rPr>
          <w:rFonts w:ascii="Times New Roman" w:eastAsia="Times New Roman" w:hAnsi="Times New Roman" w:cs="Times New Roman"/>
          <w:i/>
          <w:iCs/>
          <w:color w:val="000000"/>
          <w:spacing w:val="0"/>
          <w:w w:val="100"/>
          <w:position w:val="0"/>
          <w:shd w:val="clear" w:color="auto" w:fill="auto"/>
          <w:lang w:val="hr-HR" w:eastAsia="hr-HR" w:bidi="hr-HR"/>
        </w:rPr>
        <w:t>{li-šmah,</w:t>
      </w:r>
      <w:r>
        <w:rPr>
          <w:rFonts w:ascii="Times New Roman" w:eastAsia="Times New Roman" w:hAnsi="Times New Roman" w:cs="Times New Roman"/>
          <w:color w:val="000000"/>
          <w:spacing w:val="0"/>
          <w:w w:val="100"/>
          <w:position w:val="0"/>
          <w:shd w:val="clear" w:color="auto" w:fill="auto"/>
          <w:lang w:val="hr-HR" w:eastAsia="hr-HR" w:bidi="hr-HR"/>
        </w:rPr>
        <w:t xml:space="preserve"> »radi imena njegova«, tj. Božjega), ona je za njega lijek za život... No tko se Torom ne bavi radi nje same, za njega je ona lijek za smrt« (b Taanit 7 a; usp. M Avot 1,13; IV,5; VI,4; Šifre za Pnz 11,11 i 32,2; b Nedarim 62a); »Zapovijedi traže izvršenje (pažnju/koncentraciju srca: </w:t>
      </w:r>
      <w:r>
        <w:rPr>
          <w:rFonts w:ascii="Times New Roman" w:eastAsia="Times New Roman" w:hAnsi="Times New Roman" w:cs="Times New Roman"/>
          <w:i/>
          <w:iCs/>
          <w:color w:val="000000"/>
          <w:spacing w:val="0"/>
          <w:w w:val="100"/>
          <w:position w:val="0"/>
          <w:shd w:val="clear" w:color="auto" w:fill="auto"/>
          <w:lang w:val="hr-HR" w:eastAsia="hr-HR" w:bidi="hr-HR"/>
        </w:rPr>
        <w:t>kavana)«</w:t>
      </w:r>
      <w:r>
        <w:rPr>
          <w:rFonts w:ascii="Times New Roman" w:eastAsia="Times New Roman" w:hAnsi="Times New Roman" w:cs="Times New Roman"/>
          <w:color w:val="000000"/>
          <w:spacing w:val="0"/>
          <w:w w:val="100"/>
          <w:position w:val="0"/>
          <w:shd w:val="clear" w:color="auto" w:fill="auto"/>
          <w:lang w:val="hr-HR" w:eastAsia="hr-HR" w:bidi="hr-HR"/>
        </w:rPr>
        <w:t xml:space="preserve"> (b Pcsa- him 114b, usp. Berahot 13a; Eruvin 95b);</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 su tvoje radnje Boga radi« (M Avot 11,12; usp. b Berahot 63a; Kidušin 82a). Pre</w:t>
        <w:softHyphen/>
        <w:t>ma lomu, isto vrijedi za ono što čovjek govori Bogu i za ono što čini pred Bogom: ono što je čovjeku iznutra mora biti slično onomu izvana (usp. b Joma 72b; Berahot 28a). Kako se istin</w:t>
        <w:softHyphen/>
        <w:t>ska m. može »obavljati (samo) kao služba sa srcem« (b Taanit 2a), tako treba biti i molba svih Židova »da se vratimo, da pravila tvoje volje obavljamo svim srcem« (b Berahot 17a); to je i kriterij za bavljenje Torom: »Mnogo ili malo, samo ako se srce usmjeri prema nebu (= Bogu)« (b Berahot 5b). Bog zahtijeva od čovjeka predavanje srca u svemu što misli, go</w:t>
        <w:softHyphen/>
        <w:t xml:space="preserve">vori, uči i čini, predavanje srca (M Berahot V,l; b 30b; M Menahot XIII,11; b 110a; Ša- vuot 15a; Šifra za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1,17). U tim okolnos</w:t>
        <w:softHyphen/>
        <w:t>tima jasno je zašto se jutarnja m. - nakon bla</w:t>
        <w:softHyphen/>
        <w:t>goslova za svakodnevnu novu tjelesno-dušcv- no-duhovnu zaštitu i nakon potvrde propisa židovskoga života - okreće prema Tori kao životnoj osnovi židovskoga naroda: »... kako bismo mi i naši potomci i potomci tvojega na</w:t>
        <w:softHyphen/>
        <w:t>roda, kuće Izraela, mi svi poznavatelji tvojega imena i proučavatelji tvoje Tore radi nje same (li-šmah, ‘radi njegova imena’, tj. Božjega)...« i zašto oba citirana odlomka iz Mišnc i Tal- muda (Pea 1,1 te Šabal 127a; Kidušin 39b) slijede neposredno nakon svećeničkog blago</w:t>
        <w:softHyphen/>
        <w:t>slova (Br 6,24-26): Bez Tore egzistencijalna dobra spomenuta u »Blagoslovima zahvale« gube značenje baš kao i život židovske zajed</w:t>
        <w:softHyphen/>
        <w:t xml:space="preserve">nice. Sloga nijedna obveza </w:t>
      </w:r>
      <w:r>
        <w:rPr>
          <w:rFonts w:ascii="Times New Roman" w:eastAsia="Times New Roman" w:hAnsi="Times New Roman" w:cs="Times New Roman"/>
          <w:i/>
          <w:iCs/>
          <w:color w:val="000000"/>
          <w:spacing w:val="0"/>
          <w:w w:val="100"/>
          <w:position w:val="0"/>
          <w:shd w:val="clear" w:color="auto" w:fill="auto"/>
          <w:lang w:val="hr-HR" w:eastAsia="hr-HR" w:bidi="hr-HR"/>
        </w:rPr>
        <w:t>(micva)</w:t>
      </w:r>
      <w:r>
        <w:rPr>
          <w:rFonts w:ascii="Times New Roman" w:eastAsia="Times New Roman" w:hAnsi="Times New Roman" w:cs="Times New Roman"/>
          <w:color w:val="000000"/>
          <w:spacing w:val="0"/>
          <w:w w:val="100"/>
          <w:position w:val="0"/>
          <w:shd w:val="clear" w:color="auto" w:fill="auto"/>
          <w:lang w:val="hr-HR" w:eastAsia="hr-HR" w:bidi="hr-HR"/>
        </w:rPr>
        <w:t xml:space="preserve"> u židov</w:t>
        <w:softHyphen/>
        <w:t xml:space="preserve">skom svakodnevnm životu nije tako plodna i puna trajne nagrade kao »učenje Tore« (usp. Pnz 30,20). Međutim, to proučavanje Tore služi samo zato da se iz Tore spozna i vrši volja Božja poučavajući i ispunjavajući je - »radi njegova (Božjeg) imena (li-šmah)« (b Taanit 7a). Židovska egzistencija ne smije se samo </w:t>
      </w:r>
      <w:r>
        <w:rPr>
          <w:rFonts w:ascii="Times New Roman" w:eastAsia="Times New Roman" w:hAnsi="Times New Roman" w:cs="Times New Roman"/>
          <w:i/>
          <w:iCs/>
          <w:color w:val="000000"/>
          <w:spacing w:val="0"/>
          <w:w w:val="100"/>
          <w:position w:val="0"/>
          <w:shd w:val="clear" w:color="auto" w:fill="auto"/>
          <w:lang w:val="hr-HR" w:eastAsia="hr-HR" w:bidi="hr-HR"/>
        </w:rPr>
        <w:t>doživljavati</w:t>
      </w:r>
      <w:r>
        <w:rPr>
          <w:rFonts w:ascii="Times New Roman" w:eastAsia="Times New Roman" w:hAnsi="Times New Roman" w:cs="Times New Roman"/>
          <w:color w:val="000000"/>
          <w:spacing w:val="0"/>
          <w:w w:val="100"/>
          <w:position w:val="0"/>
          <w:shd w:val="clear" w:color="auto" w:fill="auto"/>
          <w:lang w:val="hr-HR" w:eastAsia="hr-HR" w:bidi="hr-HR"/>
        </w:rPr>
        <w:t xml:space="preserve"> (o tome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Judentums,</w:t>
      </w:r>
      <w:r>
        <w:rPr>
          <w:rFonts w:ascii="Times New Roman" w:eastAsia="Times New Roman" w:hAnsi="Times New Roman" w:cs="Times New Roman"/>
          <w:color w:val="000000"/>
          <w:spacing w:val="0"/>
          <w:w w:val="100"/>
          <w:position w:val="0"/>
          <w:shd w:val="clear" w:color="auto" w:fill="auto"/>
          <w:lang w:val="en-US" w:eastAsia="en-US" w:bidi="en-US"/>
        </w:rPr>
        <w:t xml:space="preserve"> 1905,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6</w:t>
      </w:r>
      <w:r>
        <w:rPr>
          <w:rFonts w:ascii="Times New Roman" w:eastAsia="Times New Roman" w:hAnsi="Times New Roman" w:cs="Times New Roman"/>
          <w:color w:val="000000"/>
          <w:spacing w:val="0"/>
          <w:w w:val="100"/>
          <w:position w:val="0"/>
          <w:shd w:val="clear" w:color="auto" w:fill="auto"/>
          <w:lang w:val="en-US" w:eastAsia="en-US" w:bidi="en-US"/>
        </w:rPr>
        <w:t xml:space="preserve">1960, 52 i d.) - odreduje </w:t>
      </w:r>
      <w:r>
        <w:rPr>
          <w:rFonts w:ascii="Times New Roman" w:eastAsia="Times New Roman" w:hAnsi="Times New Roman" w:cs="Times New Roman"/>
          <w:color w:val="000000"/>
          <w:spacing w:val="0"/>
          <w:w w:val="100"/>
          <w:position w:val="0"/>
          <w:shd w:val="clear" w:color="auto" w:fill="auto"/>
          <w:lang w:val="hr-HR" w:eastAsia="hr-HR" w:bidi="hr-HR"/>
        </w:rPr>
        <w:t>je i usmjerenje molitve; ona ne smije biti samo privatna m. i puko iskustvo u nutrini molitclja: »Kad molile, znajte pred kim stojite« (b Bera</w:t>
        <w:softHyphen/>
        <w:t>hot 28b). »Čovjek stoji pred svojim Bogom, i u svemu što Bogu govori, on i čuje ono što mu Bog govori; njegova m. sluša ujedno i zapo</w:t>
        <w:softHyphen/>
        <w:t xml:space="preserve">vijed« (L. </w:t>
      </w:r>
      <w:r>
        <w:rPr>
          <w:rFonts w:ascii="Times New Roman" w:eastAsia="Times New Roman" w:hAnsi="Times New Roman" w:cs="Times New Roman"/>
          <w:color w:val="000000"/>
          <w:spacing w:val="0"/>
          <w:w w:val="100"/>
          <w:position w:val="0"/>
          <w:shd w:val="clear" w:color="auto" w:fill="auto"/>
          <w:lang w:val="en-US" w:eastAsia="en-US" w:bidi="en-US"/>
        </w:rPr>
        <w:t xml:space="preserve">Baeck, op. </w:t>
      </w:r>
      <w:r>
        <w:rPr>
          <w:rFonts w:ascii="Times New Roman" w:eastAsia="Times New Roman" w:hAnsi="Times New Roman" w:cs="Times New Roman"/>
          <w:color w:val="000000"/>
          <w:spacing w:val="0"/>
          <w:w w:val="100"/>
          <w:position w:val="0"/>
          <w:shd w:val="clear" w:color="auto" w:fill="auto"/>
          <w:lang w:val="hr-HR" w:eastAsia="hr-HR" w:bidi="hr-HR"/>
        </w:rPr>
        <w:t xml:space="preserve">cil,, 149). Židovstvo se mora </w:t>
      </w:r>
      <w:r>
        <w:rPr>
          <w:rFonts w:ascii="Times New Roman" w:eastAsia="Times New Roman" w:hAnsi="Times New Roman" w:cs="Times New Roman"/>
          <w:i/>
          <w:iCs/>
          <w:color w:val="000000"/>
          <w:spacing w:val="0"/>
          <w:w w:val="100"/>
          <w:position w:val="0"/>
          <w:shd w:val="clear" w:color="auto" w:fill="auto"/>
          <w:lang w:val="hr-HR" w:eastAsia="hr-HR" w:bidi="hr-HR"/>
        </w:rPr>
        <w:t>živjeti:</w:t>
      </w:r>
      <w:r>
        <w:rPr>
          <w:rFonts w:ascii="Times New Roman" w:eastAsia="Times New Roman" w:hAnsi="Times New Roman" w:cs="Times New Roman"/>
          <w:color w:val="000000"/>
          <w:spacing w:val="0"/>
          <w:w w:val="100"/>
          <w:position w:val="0"/>
          <w:shd w:val="clear" w:color="auto" w:fill="auto"/>
          <w:lang w:val="hr-HR" w:eastAsia="hr-HR" w:bidi="hr-HR"/>
        </w:rPr>
        <w:t xml:space="preserve"> Djelo koje je Bog zapovjedio i omogućio čovjeku dobiva povezanost tek mo</w:t>
        <w:softHyphen/>
        <w:t>litvom; jedno ne može bili bez drugoga: »Na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ime, čin same ljubavi još je slijep, ona ne zna što čini, a i ne treba znati; ona je brža od znanja; ona čini prvo što smatra najboljim i što joj se čini da jc trenutno najbolje. Ali m. nije slijepa, ona stavlja trenutak i u njemu upravo izvršen čin... na svjetlo božanskoga lica. To jc molba za osvješćenje« (F. Rosenz- weig, </w:t>
      </w:r>
      <w:r>
        <w:rPr>
          <w:rFonts w:ascii="Times New Roman" w:eastAsia="Times New Roman" w:hAnsi="Times New Roman" w:cs="Times New Roman"/>
          <w:i/>
          <w:iCs/>
          <w:color w:val="000000"/>
          <w:spacing w:val="0"/>
          <w:w w:val="100"/>
          <w:position w:val="0"/>
          <w:shd w:val="clear" w:color="auto" w:fill="auto"/>
          <w:lang w:val="hr-HR" w:eastAsia="hr-HR" w:bidi="hr-HR"/>
        </w:rPr>
        <w:t>DerSlem der Erlbsung,</w:t>
      </w:r>
      <w:r>
        <w:rPr>
          <w:rFonts w:ascii="Times New Roman" w:eastAsia="Times New Roman" w:hAnsi="Times New Roman" w:cs="Times New Roman"/>
          <w:color w:val="000000"/>
          <w:spacing w:val="0"/>
          <w:w w:val="100"/>
          <w:position w:val="0"/>
          <w:shd w:val="clear" w:color="auto" w:fill="auto"/>
          <w:lang w:val="hr-HR" w:eastAsia="hr-HR" w:bidi="hr-HR"/>
        </w:rPr>
        <w:t xml:space="preserve"> 1921, "1976, 297 i d.). »Savršena m.« (b Roš ha-šana 18a), tj. m. izgovorena »s pobožnošću«, »sa srcem« (uspo</w:t>
        <w:softHyphen/>
        <w:t xml:space="preserve">redi Rašijevo objašnjenje u vezi sa </w:t>
      </w:r>
      <w:r>
        <w:rPr>
          <w:rFonts w:ascii="Times New Roman" w:eastAsia="Times New Roman" w:hAnsi="Times New Roman" w:cs="Times New Roman"/>
          <w:i/>
          <w:iCs/>
          <w:color w:val="000000"/>
          <w:spacing w:val="0"/>
          <w:w w:val="100"/>
          <w:position w:val="0"/>
          <w:shd w:val="clear" w:color="auto" w:fill="auto"/>
          <w:lang w:val="hr-HR" w:eastAsia="hr-HR" w:bidi="hr-HR"/>
        </w:rPr>
        <w:t xml:space="preserve">Zvijezdom) </w:t>
      </w:r>
      <w:r>
        <w:rPr>
          <w:rFonts w:ascii="Times New Roman" w:eastAsia="Times New Roman" w:hAnsi="Times New Roman" w:cs="Times New Roman"/>
          <w:color w:val="000000"/>
          <w:spacing w:val="0"/>
          <w:w w:val="100"/>
          <w:position w:val="0"/>
          <w:shd w:val="clear" w:color="auto" w:fill="auto"/>
          <w:lang w:val="hr-HR" w:eastAsia="hr-HR" w:bidi="hr-HR"/>
        </w:rPr>
        <w:t>sama je po sebi ispunjenje: »Kako su oni (Iz</w:t>
        <w:softHyphen/>
        <w:t>raelci na Crvenome moru) očistili svoje srce i zatim otpjevali pjesmu... tako mora i čovjek očistiti srce prije molitve... Ako netko, čije su ruke okaljane razbojstvom, zaziva Boga, on ga neće uslišati. Zašto? Zato što je njegova m. s grijehom... No, budući da Jobova muka nije bila povezana s razbojstvom, njegova jc m. bi</w:t>
        <w:softHyphen/>
        <w:t>la čista« (Šemot raba XXII,14,31).</w:t>
      </w:r>
    </w:p>
    <w:p>
      <w:pPr>
        <w:pStyle w:val="Style20"/>
        <w:keepNext w:val="0"/>
        <w:keepLines w:val="0"/>
        <w:widowControl w:val="0"/>
        <w:numPr>
          <w:ilvl w:val="0"/>
          <w:numId w:val="31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»Usrdna m. za milost«:</w:t>
      </w:r>
      <w:r>
        <w:rPr>
          <w:rFonts w:ascii="Times New Roman" w:eastAsia="Times New Roman" w:hAnsi="Times New Roman" w:cs="Times New Roman"/>
          <w:color w:val="000000"/>
          <w:spacing w:val="0"/>
          <w:w w:val="100"/>
          <w:position w:val="0"/>
          <w:shd w:val="clear" w:color="auto" w:fill="auto"/>
          <w:lang w:val="hr-HR" w:eastAsia="hr-HR" w:bidi="hr-HR"/>
        </w:rPr>
        <w:t xml:space="preserve"> M. obuhvaća dale</w:t>
        <w:softHyphen/>
        <w:t>koga, beskrajnog, tajnog Boga kao bliskog, njome se objedinjuje On i Ti: »Iz tjeskobe, o On, ja ga zazvah; u daljini on me usliša, o On. ON je za mene, i ja ne strahujem: što mi tko može!... Ti si Bog moj - tebi zahvaljujem: Bože moj, tebe ja uzvisujem« (Ps 118,5; v. 28; usp. 9,10 i d.; 91,4 i d.; 92,2 i d.; 116,7 i d.). I u poslijebiblijskim svakodnevnim riječima uzdi</w:t>
        <w:softHyphen/>
        <w:t>zanja izmjenjuju se On i Ti: »Gospodar svijeta koji bijaše kralj prije stvaranja svijeta... U nje</w:t>
        <w:softHyphen/>
        <w:t>gove ruke predajem privremeno svoj duh, jer spavam i budim se...« Židov koji se moli povjerava se svojem Stvoritelju kad legne i kad ustaje. Njemu jc upućen svakoga jutra prvi blagoslov zahvalnosti uoči ponovnog ra</w:t>
        <w:softHyphen/>
        <w:t>đanja tjelesne snage: »Blagoslovljen budi, Vječni, Bože naš, vladaru svijeta, koji jc s mudrošću stvorio čovjeka i na njemu stvorio raznolike otvore i šupljine...« Budući da Stvo</w:t>
        <w:softHyphen/>
        <w:t>ritelj drži na okupu dan i noć, molitelj u nje</w:t>
        <w:softHyphen/>
        <w:t xml:space="preserve">mu nalazi sigurnost u krugu događanja. No, u jedinstvu Boga sva su vremena i događaji u životu također povezani. Stoga čovjek može hvaliti samo </w:t>
      </w:r>
      <w:r>
        <w:rPr>
          <w:rFonts w:ascii="Times New Roman" w:eastAsia="Times New Roman" w:hAnsi="Times New Roman" w:cs="Times New Roman"/>
          <w:i/>
          <w:iCs/>
          <w:color w:val="000000"/>
          <w:spacing w:val="0"/>
          <w:w w:val="100"/>
          <w:position w:val="0"/>
          <w:shd w:val="clear" w:color="auto" w:fill="auto"/>
          <w:lang w:val="hr-HR" w:eastAsia="hr-HR" w:bidi="hr-HR"/>
        </w:rPr>
        <w:t>jednoga</w:t>
      </w:r>
      <w:r>
        <w:rPr>
          <w:rFonts w:ascii="Times New Roman" w:eastAsia="Times New Roman" w:hAnsi="Times New Roman" w:cs="Times New Roman"/>
          <w:color w:val="000000"/>
          <w:spacing w:val="0"/>
          <w:w w:val="100"/>
          <w:position w:val="0"/>
          <w:shd w:val="clear" w:color="auto" w:fill="auto"/>
          <w:lang w:val="hr-HR" w:eastAsia="hr-HR" w:bidi="hr-HR"/>
        </w:rPr>
        <w:t xml:space="preserve"> Boga (usp. peto od Maj- monidovih »trinaest načela«), Boga svih vre</w:t>
        <w:softHyphen/>
        <w:t>mena, Boga otaca i djece, »kralja, pomagača, pomoćnika i zaštitnika« (I. blagoslov iz mo</w:t>
        <w:softHyphen/>
        <w:t>litve Osamnaest blagoslova) u svim trenucima života. Bog osluškuje svaki život svojih stvo</w:t>
        <w:softHyphen/>
        <w:t xml:space="preserve">renja, svagda ih sve gleda. Kada se brinu za usrdnu molitvu patnika, rabini na to nadove- </w:t>
      </w:r>
      <w:r>
        <w:rPr>
          <w:rFonts w:ascii="Times New Roman" w:eastAsia="Times New Roman" w:hAnsi="Times New Roman" w:cs="Times New Roman"/>
          <w:color w:val="000000"/>
          <w:spacing w:val="0"/>
          <w:w w:val="100"/>
          <w:position w:val="0"/>
          <w:shd w:val="clear" w:color="auto" w:fill="auto"/>
          <w:lang w:val="hr-HR" w:eastAsia="hr-HR" w:bidi="hr-HR"/>
        </w:rPr>
        <w:t>zuju nadu: »Čovjek mora hvaliti (Boga) i za zlo kao što ga (Boga) hvali i za dobro« (M Berahot IX,5, usp. b 60b). M. treba bili most prema Bogu mirotvorcu: »Od dana kada je razoreno Svetište, probijen je željezni zid iz</w:t>
        <w:softHyphen/>
        <w:t xml:space="preserve">među Izraela i njegova Oca na nebu«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32b). Hvaleći ga, molitelj ga priznaje kao da</w:t>
        <w:softHyphen/>
        <w:t>vatelja svih davanja u svojem životu i spoznaje u njemu ispunitelja molitve čija nagrada uvi</w:t>
        <w:softHyphen/>
        <w:t>jek ostaje milostinja. »Od svih tih izraza (koji u Pismu postoje za »moliti«) Mojsijc primje</w:t>
        <w:softHyphen/>
        <w:t xml:space="preserve">njuje samo izraz »usrdne molitve za milost« </w:t>
      </w:r>
      <w:r>
        <w:rPr>
          <w:rFonts w:ascii="Times New Roman" w:eastAsia="Times New Roman" w:hAnsi="Times New Roman" w:cs="Times New Roman"/>
          <w:i/>
          <w:iCs/>
          <w:color w:val="000000"/>
          <w:spacing w:val="0"/>
          <w:w w:val="100"/>
          <w:position w:val="0"/>
          <w:shd w:val="clear" w:color="auto" w:fill="auto"/>
          <w:lang w:val="hr-HR" w:eastAsia="hr-HR" w:bidi="hr-HR"/>
        </w:rPr>
        <w:t>(tahanunim).</w:t>
      </w:r>
      <w:r>
        <w:rPr>
          <w:rFonts w:ascii="Times New Roman" w:eastAsia="Times New Roman" w:hAnsi="Times New Roman" w:cs="Times New Roman"/>
          <w:color w:val="000000"/>
          <w:spacing w:val="0"/>
          <w:w w:val="100"/>
          <w:position w:val="0"/>
          <w:shd w:val="clear" w:color="auto" w:fill="auto"/>
          <w:lang w:val="hr-HR" w:eastAsia="hr-HR" w:bidi="hr-HR"/>
        </w:rPr>
        <w:t xml:space="preserve"> Rabin Johanan je rekao: »Odat</w:t>
        <w:softHyphen/>
        <w:t>le možeš naučiti da stvorenje kod svojega Stvoritelja nema ništa (tj. da mu ne može po</w:t>
        <w:softHyphen/>
        <w:t>staviti nikakav zahtjev, već da ga može moliti samo za milost)« (Devarim raba 11,3,23, usp. Tanhuma uz Pnz 3,23; Pcsikta derav Kahana 75a).</w:t>
      </w:r>
    </w:p>
    <w:p>
      <w:pPr>
        <w:pStyle w:val="Style20"/>
        <w:keepNext w:val="0"/>
        <w:keepLines w:val="0"/>
        <w:widowControl w:val="0"/>
        <w:numPr>
          <w:ilvl w:val="0"/>
          <w:numId w:val="315"/>
        </w:numPr>
        <w:shd w:val="clear" w:color="auto" w:fill="auto"/>
        <w:tabs>
          <w:tab w:pos="265" w:val="left"/>
        </w:tabs>
        <w:bidi w:val="0"/>
        <w:spacing w:before="0" w:after="80"/>
        <w:ind w:left="0" w:right="0" w:firstLine="0"/>
        <w:jc w:val="both"/>
        <w:sectPr>
          <w:headerReference w:type="default" r:id="rId835"/>
          <w:footerReference w:type="default" r:id="rId836"/>
          <w:headerReference w:type="even" r:id="rId837"/>
          <w:footerReference w:type="even" r:id="rId838"/>
          <w:headerReference w:type="first" r:id="rId839"/>
          <w:footerReference w:type="first" r:id="rId840"/>
          <w:footnotePr>
            <w:pos w:val="pageBottom"/>
            <w:numFmt w:val="decimal"/>
            <w:numRestart w:val="continuous"/>
            <w15:footnoteColumns w:val="1"/>
          </w:footnotePr>
          <w:pgSz w:w="6816" w:h="11006"/>
          <w:pgMar w:top="856" w:left="188" w:right="191" w:bottom="266" w:header="0" w:footer="3" w:gutter="0"/>
          <w:pgNumType w:start="283"/>
          <w:cols w:num="2" w:space="186"/>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»U sat kad se zajednica moli«:</w:t>
      </w:r>
      <w:r>
        <w:rPr>
          <w:rFonts w:ascii="Times New Roman" w:eastAsia="Times New Roman" w:hAnsi="Times New Roman" w:cs="Times New Roman"/>
          <w:color w:val="000000"/>
          <w:spacing w:val="0"/>
          <w:w w:val="100"/>
          <w:position w:val="0"/>
          <w:shd w:val="clear" w:color="auto" w:fill="auto"/>
          <w:lang w:val="hr-HR" w:eastAsia="hr-HR" w:bidi="hr-HR"/>
        </w:rPr>
        <w:t xml:space="preserve"> Iz duboka povjerenja u Boga izrasla jc spoznaja: »Drs</w:t>
        <w:softHyphen/>
        <w:t xml:space="preserve">kost </w:t>
      </w:r>
      <w:r>
        <w:rPr>
          <w:rFonts w:ascii="Times New Roman" w:eastAsia="Times New Roman" w:hAnsi="Times New Roman" w:cs="Times New Roman"/>
          <w:i/>
          <w:iCs/>
          <w:color w:val="000000"/>
          <w:spacing w:val="0"/>
          <w:w w:val="100"/>
          <w:position w:val="0"/>
          <w:shd w:val="clear" w:color="auto" w:fill="auto"/>
          <w:lang w:val="hr-HR" w:eastAsia="hr-HR" w:bidi="hr-HR"/>
        </w:rPr>
        <w:t>(hucpa)</w:t>
      </w:r>
      <w:r>
        <w:rPr>
          <w:rFonts w:ascii="Times New Roman" w:eastAsia="Times New Roman" w:hAnsi="Times New Roman" w:cs="Times New Roman"/>
          <w:color w:val="000000"/>
          <w:spacing w:val="0"/>
          <w:w w:val="100"/>
          <w:position w:val="0"/>
          <w:shd w:val="clear" w:color="auto" w:fill="auto"/>
          <w:lang w:val="hr-HR" w:eastAsia="hr-HR" w:bidi="hr-HR"/>
        </w:rPr>
        <w:t xml:space="preserve"> korisna je i prema Bogu«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105a). Učitelji molitve u biblijsko i u talmudsko doba poticali su to smiono pona</w:t>
        <w:softHyphen/>
        <w:t>šanje koje je svakako puštalo na miru čovjeka koji se moli: »Blizu je ON svima koji ga prizi</w:t>
        <w:softHyphen/>
        <w:t>vaju, svima koji ga zazivaju iskreno« (Ps 145,18); »Ako usmjeriš srce prema molitvi, neka ti se donese radosna vijest« (j Berahot V,9d; usp. b 32b) »da duga m. bude uslišana« (j IV,7c). Takav pokušaj ne temelji se na od</w:t>
        <w:softHyphen/>
        <w:t>luci pojedinca. On može zasebno prihvatiti razgovor s Bogom samo zato što mu je odav</w:t>
        <w:softHyphen/>
        <w:t>no objavljen i sudjelovati u njemu, tj. razgovor koji zajednica židovskoga naroda neprekidno vodi već tisućljećima. O kontinuitetu toga raz</w:t>
        <w:softHyphen/>
        <w:t>govora cjelokupnoga izraelskog naroda s Bo</w:t>
        <w:softHyphen/>
        <w:t>gom svjedoče stoga neprijeporne, stalno po</w:t>
        <w:softHyphen/>
        <w:t>navljane liturgijske izreke kojima se moli da Bog usliša svaku molitvu. Molitelj pojedinac nije sam pred Bogom nego u zajednici židov</w:t>
        <w:softHyphen/>
        <w:t>skoga naroda i njegove povijesti koja obuhva</w:t>
        <w:softHyphen/>
        <w:t xml:space="preserve">ća njegovu prošlost, sadašnjost i budućnost: »Oče naš, naš kralju, zarad’ naših otaca, koji su ti vjerovali i koje si učio pravilima za život, budi i nama milostiv i pouči nas« (II. beraha </w:t>
      </w:r>
      <w:r>
        <w:rPr>
          <w:rFonts w:ascii="Times New Roman" w:eastAsia="Times New Roman" w:hAnsi="Times New Roman" w:cs="Times New Roman"/>
          <w:i/>
          <w:iCs/>
          <w:color w:val="000000"/>
          <w:spacing w:val="0"/>
          <w:w w:val="100"/>
          <w:position w:val="0"/>
          <w:shd w:val="clear" w:color="auto" w:fill="auto"/>
          <w:lang w:val="hr-HR" w:eastAsia="hr-HR" w:bidi="hr-HR"/>
        </w:rPr>
        <w:t>Kriat Srna).</w:t>
      </w:r>
      <w:r>
        <w:rPr>
          <w:rFonts w:ascii="Times New Roman" w:eastAsia="Times New Roman" w:hAnsi="Times New Roman" w:cs="Times New Roman"/>
          <w:color w:val="000000"/>
          <w:spacing w:val="0"/>
          <w:w w:val="100"/>
          <w:position w:val="0"/>
          <w:shd w:val="clear" w:color="auto" w:fill="auto"/>
          <w:lang w:val="hr-HR" w:eastAsia="hr-HR" w:bidi="hr-HR"/>
        </w:rPr>
        <w:t xml:space="preserve"> Zazivanje u zajedničkom jezič</w:t>
        <w:softHyphen/>
        <w:t>nom obliku: »Naš Bog i Bog naših otaca, Bog Abrahama, Bog Izaka i Bog Jakova« (I. be</w:t>
        <w:softHyphen/>
        <w:t xml:space="preserve">raha u </w:t>
      </w:r>
      <w:r>
        <w:rPr>
          <w:rFonts w:ascii="Times New Roman" w:eastAsia="Times New Roman" w:hAnsi="Times New Roman" w:cs="Times New Roman"/>
          <w:i/>
          <w:iCs/>
          <w:color w:val="000000"/>
          <w:spacing w:val="0"/>
          <w:w w:val="100"/>
          <w:position w:val="0"/>
          <w:shd w:val="clear" w:color="auto" w:fill="auto"/>
          <w:lang w:val="hr-HR" w:eastAsia="hr-HR" w:bidi="hr-HR"/>
        </w:rPr>
        <w:t>Šemone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opravdava smionost po</w:t>
        <w:softHyphen/>
        <w:t>jedinca u obraćanju Bogu priznavanjem nje</w:t>
        <w:softHyphen/>
        <w:t xml:space="preserve">gove pripadnosti zajednici otaca i u osobnom </w:t>
      </w:r>
    </w:p>
    <w:p>
      <w:pPr>
        <w:pStyle w:val="Style20"/>
        <w:keepNext w:val="0"/>
        <w:keepLines w:val="0"/>
        <w:widowControl w:val="0"/>
        <w:shd w:val="clear" w:color="auto" w:fill="auto"/>
        <w:tabs>
          <w:tab w:pos="265"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ostvarenju njezina odnosa s Bogom. U isto vrijeme »naš« i »mi« u molitvi odražavaju za</w:t>
        <w:softHyphen/>
        <w:t>daću čovjeka prema čovječanstvu (Post 1,26-28; 5,1 i d.). Pritom se neizbježno zapaža zagovaranje mudraca: »Kada je vrijeme užit</w:t>
        <w:softHyphen/>
        <w:t>ka? U satu kada zajednica (cjelina) moli... Sveti, hvaljen bio, govoraše: Tko se bavi To</w:t>
        <w:softHyphen/>
        <w:t>rom i čini dobro i moli sa zajednicom, pripisat ću mu u dobro kao da je izbavio mene i moju djecu (od tlačenja) naroda na svijetu« (b Be- rahot 7b-8a). Zajednička m. ne briše individu</w:t>
        <w:softHyphen/>
        <w:t xml:space="preserve">alnu molitvu; prema priznatom načelu, svatko može izraziti osobnu molbu pred Bogom u okviru Osamnaest blagoslova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(Semone esre) </w:t>
      </w:r>
      <w:r>
        <w:rPr>
          <w:rFonts w:ascii="Times New Roman" w:eastAsia="Times New Roman" w:hAnsi="Times New Roman" w:cs="Times New Roman"/>
          <w:color w:val="000000"/>
          <w:spacing w:val="0"/>
          <w:w w:val="100"/>
          <w:position w:val="0"/>
          <w:shd w:val="clear" w:color="auto" w:fill="auto"/>
          <w:lang w:val="hr-HR" w:eastAsia="hr-HR" w:bidi="hr-HR"/>
        </w:rPr>
        <w:t xml:space="preserve">(Tos. Bava batra IX,9; usp.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7b) odnosno nakon njezina završetka izgovoriti nevezanu molitvu (primjeri privatnih molitvi: b Berahot 16b; 17a; j IV,7d; V,8d). M. zajed</w:t>
        <w:softHyphen/>
        <w:t xml:space="preserve">nice čak proširuje molitvu pojedinca i čini red što ga Bog želi u stvaranju. Ona molitvu osam- ljenika uvrštava u molitvu mnogobrojnih za dolazak kraljevstva Božjeg, pa time završava svako sinagogalno bogoslužje: »Na nama je </w:t>
      </w:r>
      <w:r>
        <w:rPr>
          <w:rFonts w:ascii="Times New Roman" w:eastAsia="Times New Roman" w:hAnsi="Times New Roman" w:cs="Times New Roman"/>
          <w:i/>
          <w:iCs/>
          <w:color w:val="000000"/>
          <w:spacing w:val="0"/>
          <w:w w:val="100"/>
          <w:position w:val="0"/>
          <w:shd w:val="clear" w:color="auto" w:fill="auto"/>
          <w:lang w:val="hr-HR" w:eastAsia="hr-HR" w:bidi="hr-HR"/>
        </w:rPr>
        <w:t>(Alejnu)</w:t>
      </w:r>
      <w:r>
        <w:rPr>
          <w:rFonts w:ascii="Times New Roman" w:eastAsia="Times New Roman" w:hAnsi="Times New Roman" w:cs="Times New Roman"/>
          <w:color w:val="000000"/>
          <w:spacing w:val="0"/>
          <w:w w:val="100"/>
          <w:position w:val="0"/>
          <w:shd w:val="clear" w:color="auto" w:fill="auto"/>
          <w:lang w:val="hr-HR" w:eastAsia="hr-HR" w:bidi="hr-HR"/>
        </w:rPr>
        <w:t xml:space="preserve"> da hvalimo Boga svemira... Zato če</w:t>
        <w:softHyphen/>
        <w:t>kamo, Ti naš Bože, da uskoro vidimo sjaj tvo</w:t>
        <w:softHyphen/>
        <w:t xml:space="preserve">je pobjede...« Ključni dio molitve </w:t>
      </w:r>
      <w:r>
        <w:rPr>
          <w:rFonts w:ascii="Times New Roman" w:eastAsia="Times New Roman" w:hAnsi="Times New Roman" w:cs="Times New Roman"/>
          <w:i/>
          <w:iCs/>
          <w:color w:val="000000"/>
          <w:spacing w:val="0"/>
          <w:w w:val="100"/>
          <w:position w:val="0"/>
          <w:shd w:val="clear" w:color="auto" w:fill="auto"/>
          <w:lang w:val="hr-HR" w:eastAsia="hr-HR" w:bidi="hr-HR"/>
        </w:rPr>
        <w:t>Alejnu</w:t>
      </w:r>
      <w:r>
        <w:rPr>
          <w:rFonts w:ascii="Times New Roman" w:eastAsia="Times New Roman" w:hAnsi="Times New Roman" w:cs="Times New Roman"/>
          <w:color w:val="000000"/>
          <w:spacing w:val="0"/>
          <w:w w:val="100"/>
          <w:position w:val="0"/>
          <w:shd w:val="clear" w:color="auto" w:fill="auto"/>
          <w:lang w:val="hr-HR" w:eastAsia="hr-HR" w:bidi="hr-HR"/>
        </w:rPr>
        <w:t xml:space="preserve"> opi</w:t>
        <w:softHyphen/>
        <w:t xml:space="preserve">suje lzraclovu zadaću: »... urediti svijet za kraljevstvo Silnoga </w:t>
      </w:r>
      <w:r>
        <w:rPr>
          <w:rFonts w:ascii="Times New Roman" w:eastAsia="Times New Roman" w:hAnsi="Times New Roman" w:cs="Times New Roman"/>
          <w:i/>
          <w:iCs/>
          <w:color w:val="000000"/>
          <w:spacing w:val="0"/>
          <w:w w:val="100"/>
          <w:position w:val="0"/>
          <w:shd w:val="clear" w:color="auto" w:fill="auto"/>
          <w:lang w:val="hr-HR" w:eastAsia="hr-HR" w:bidi="hr-HR"/>
        </w:rPr>
        <w:t>(le-taken olam bemalhut šadaj)</w:t>
      </w:r>
      <w:r>
        <w:rPr>
          <w:rFonts w:ascii="Times New Roman" w:eastAsia="Times New Roman" w:hAnsi="Times New Roman" w:cs="Times New Roman"/>
          <w:color w:val="000000"/>
          <w:spacing w:val="0"/>
          <w:w w:val="100"/>
          <w:position w:val="0"/>
          <w:shd w:val="clear" w:color="auto" w:fill="auto"/>
          <w:lang w:val="hr-HR" w:eastAsia="hr-HR" w:bidi="hr-HR"/>
        </w:rPr>
        <w:t xml:space="preserve"> čija je namjera u početku težila prema promjeni svijeta u Božje kraljevstvo.</w:t>
      </w:r>
    </w:p>
    <w:p>
      <w:pPr>
        <w:pStyle w:val="Style56"/>
        <w:keepNext w:val="0"/>
        <w:keepLines w:val="0"/>
        <w:widowControl w:val="0"/>
        <w:shd w:val="clear" w:color="auto" w:fill="auto"/>
        <w:tabs>
          <w:tab w:pos="2467"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E. </w:t>
      </w:r>
      <w:r>
        <w:rPr>
          <w:color w:val="000000"/>
          <w:spacing w:val="0"/>
          <w:w w:val="100"/>
          <w:position w:val="0"/>
          <w:shd w:val="clear" w:color="auto" w:fill="auto"/>
        </w:rPr>
        <w:t xml:space="preserve">Munk, </w:t>
      </w:r>
      <w:r>
        <w:rPr>
          <w:i/>
          <w:iCs/>
          <w:color w:val="000000"/>
          <w:spacing w:val="0"/>
          <w:w w:val="100"/>
          <w:position w:val="0"/>
          <w:shd w:val="clear" w:color="auto" w:fill="auto"/>
        </w:rPr>
        <w:t xml:space="preserve">Die Well </w:t>
      </w:r>
      <w:r>
        <w:rPr>
          <w:i/>
          <w:iCs/>
          <w:color w:val="000000"/>
          <w:spacing w:val="0"/>
          <w:w w:val="100"/>
          <w:position w:val="0"/>
          <w:shd w:val="clear" w:color="auto" w:fill="auto"/>
          <w:lang w:val="hr-HR" w:eastAsia="hr-HR" w:bidi="hr-HR"/>
        </w:rPr>
        <w:t>der debele !■!!,</w:t>
      </w:r>
      <w:r>
        <w:rPr>
          <w:color w:val="000000"/>
          <w:spacing w:val="0"/>
          <w:w w:val="100"/>
          <w:position w:val="0"/>
          <w:shd w:val="clear" w:color="auto" w:fill="auto"/>
          <w:lang w:val="hr-HR" w:eastAsia="hr-HR" w:bidi="hr-HR"/>
        </w:rPr>
        <w:t xml:space="preserve"> 1975: R. R. Geis. </w:t>
      </w:r>
      <w:r>
        <w:rPr>
          <w:i/>
          <w:iCs/>
          <w:color w:val="000000"/>
          <w:spacing w:val="0"/>
          <w:w w:val="100"/>
          <w:position w:val="0"/>
          <w:shd w:val="clear" w:color="auto" w:fill="auto"/>
          <w:lang w:val="hr-HR" w:eastAsia="hr-HR" w:bidi="hr-HR"/>
        </w:rPr>
        <w:t>Vom unbekannten Judenium,</w:t>
      </w:r>
      <w:r>
        <w:rPr>
          <w:color w:val="000000"/>
          <w:spacing w:val="0"/>
          <w:w w:val="100"/>
          <w:position w:val="0"/>
          <w:shd w:val="clear" w:color="auto" w:fill="auto"/>
          <w:lang w:val="hr-HR" w:eastAsia="hr-HR" w:bidi="hr-HR"/>
        </w:rPr>
        <w:t xml:space="preserve"> 1975; L. Hirsch, </w:t>
      </w:r>
      <w:r>
        <w:rPr>
          <w:i/>
          <w:iCs/>
          <w:color w:val="000000"/>
          <w:spacing w:val="0"/>
          <w:w w:val="100"/>
          <w:position w:val="0"/>
          <w:shd w:val="clear" w:color="auto" w:fill="auto"/>
          <w:lang w:val="hr-HR" w:eastAsia="hr-HR" w:bidi="hr-HR"/>
        </w:rPr>
        <w:t>Judische Glaubenstvelt,</w:t>
      </w:r>
      <w:r>
        <w:rPr>
          <w:color w:val="000000"/>
          <w:spacing w:val="0"/>
          <w:w w:val="100"/>
          <w:position w:val="0"/>
          <w:shd w:val="clear" w:color="auto" w:fill="auto"/>
          <w:lang w:val="hr-HR" w:eastAsia="hr-HR" w:bidi="hr-HR"/>
        </w:rPr>
        <w:t xml:space="preserve"> 1978, 11-36; </w:t>
      </w:r>
      <w:r>
        <w:rPr>
          <w:color w:val="000000"/>
          <w:spacing w:val="0"/>
          <w:w w:val="100"/>
          <w:position w:val="0"/>
          <w:shd w:val="clear" w:color="auto" w:fill="auto"/>
        </w:rPr>
        <w:t xml:space="preserve">J. J. Pctuchowski, </w:t>
      </w:r>
      <w:r>
        <w:rPr>
          <w:i/>
          <w:iCs/>
          <w:color w:val="000000"/>
          <w:spacing w:val="0"/>
          <w:w w:val="100"/>
          <w:position w:val="0"/>
          <w:shd w:val="clear" w:color="auto" w:fill="auto"/>
          <w:lang w:val="hr-HR" w:eastAsia="hr-HR" w:bidi="hr-HR"/>
        </w:rPr>
        <w:t>Helen im Ju- dentum,</w:t>
      </w:r>
      <w:r>
        <w:rPr>
          <w:color w:val="000000"/>
          <w:spacing w:val="0"/>
          <w:w w:val="100"/>
          <w:position w:val="0"/>
          <w:shd w:val="clear" w:color="auto" w:fill="auto"/>
          <w:lang w:val="hr-HR" w:eastAsia="hr-HR" w:bidi="hr-HR"/>
        </w:rPr>
        <w:t xml:space="preserve"> 1976; S. Bcn-Chorin, </w:t>
      </w:r>
      <w:r>
        <w:rPr>
          <w:i/>
          <w:iCs/>
          <w:color w:val="000000"/>
          <w:spacing w:val="0"/>
          <w:w w:val="100"/>
          <w:position w:val="0"/>
          <w:shd w:val="clear" w:color="auto" w:fill="auto"/>
          <w:lang w:val="hr-HR" w:eastAsia="hr-HR" w:bidi="hr-HR"/>
        </w:rPr>
        <w:t>Belendes Judentum,</w:t>
      </w:r>
      <w:r>
        <w:rPr>
          <w:color w:val="000000"/>
          <w:spacing w:val="0"/>
          <w:w w:val="100"/>
          <w:position w:val="0"/>
          <w:shd w:val="clear" w:color="auto" w:fill="auto"/>
          <w:lang w:val="hr-HR" w:eastAsia="hr-HR" w:bidi="hr-HR"/>
        </w:rPr>
        <w:t xml:space="preserve"> 1980; P. W. Schcclc, </w:t>
      </w:r>
      <w:r>
        <w:rPr>
          <w:i/>
          <w:iCs/>
          <w:color w:val="000000"/>
          <w:spacing w:val="0"/>
          <w:w w:val="100"/>
          <w:position w:val="0"/>
          <w:shd w:val="clear" w:color="auto" w:fill="auto"/>
          <w:lang w:val="hr-HR" w:eastAsia="hr-HR" w:bidi="hr-HR"/>
        </w:rPr>
        <w:t xml:space="preserve">Halleluja ~ </w:t>
      </w:r>
      <w:r>
        <w:rPr>
          <w:i/>
          <w:iCs/>
          <w:color w:val="000000"/>
          <w:spacing w:val="0"/>
          <w:w w:val="100"/>
          <w:position w:val="0"/>
          <w:shd w:val="clear" w:color="auto" w:fill="auto"/>
        </w:rPr>
        <w:t xml:space="preserve">Amen, Gebete Israels </w:t>
      </w:r>
      <w:r>
        <w:rPr>
          <w:i/>
          <w:iCs/>
          <w:color w:val="000000"/>
          <w:spacing w:val="0"/>
          <w:w w:val="100"/>
          <w:position w:val="0"/>
          <w:shd w:val="clear" w:color="auto" w:fill="auto"/>
          <w:lang w:val="hr-HR" w:eastAsia="hr-HR" w:bidi="hr-HR"/>
        </w:rPr>
        <w:t>aus drei Jahr- lausenden,</w:t>
      </w:r>
      <w:r>
        <w:rPr>
          <w:color w:val="000000"/>
          <w:spacing w:val="0"/>
          <w:w w:val="100"/>
          <w:position w:val="0"/>
          <w:shd w:val="clear" w:color="auto" w:fill="auto"/>
          <w:lang w:val="hr-HR" w:eastAsia="hr-HR" w:bidi="hr-HR"/>
        </w:rPr>
        <w:t xml:space="preserve"> 1974; M. Brockc/J. </w:t>
      </w:r>
      <w:r>
        <w:rPr>
          <w:color w:val="000000"/>
          <w:spacing w:val="0"/>
          <w:w w:val="100"/>
          <w:position w:val="0"/>
          <w:shd w:val="clear" w:color="auto" w:fill="auto"/>
        </w:rPr>
        <w:t xml:space="preserve">J. Pctuchowskt/W. Strok </w:t>
      </w:r>
      <w:r>
        <w:rPr>
          <w:color w:val="000000"/>
          <w:spacing w:val="0"/>
          <w:w w:val="100"/>
          <w:position w:val="0"/>
          <w:shd w:val="clear" w:color="auto" w:fill="auto"/>
          <w:lang w:val="hr-HR" w:eastAsia="hr-HR" w:bidi="hr-HR"/>
        </w:rPr>
        <w:t xml:space="preserve">(f </w:t>
      </w:r>
      <w:r>
        <w:rPr>
          <w:color w:val="000000"/>
          <w:spacing w:val="0"/>
          <w:w w:val="100"/>
          <w:position w:val="0"/>
          <w:shd w:val="clear" w:color="auto" w:fill="auto"/>
        </w:rPr>
        <w:t xml:space="preserve">Ing.). </w:t>
      </w:r>
      <w:r>
        <w:rPr>
          <w:i/>
          <w:iCs/>
          <w:color w:val="000000"/>
          <w:spacing w:val="0"/>
          <w:w w:val="100"/>
          <w:position w:val="0"/>
          <w:shd w:val="clear" w:color="auto" w:fill="auto"/>
        </w:rPr>
        <w:t>Das Vmerunser. Gemeinsames Belen von Juden und Christen,</w:t>
      </w:r>
      <w:r>
        <w:rPr>
          <w:color w:val="000000"/>
          <w:spacing w:val="0"/>
          <w:w w:val="100"/>
          <w:position w:val="0"/>
          <w:shd w:val="clear" w:color="auto" w:fill="auto"/>
        </w:rPr>
        <w:t xml:space="preserve"> </w:t>
      </w:r>
      <w:r>
        <w:rPr>
          <w:color w:val="000000"/>
          <w:spacing w:val="0"/>
          <w:w w:val="100"/>
          <w:position w:val="0"/>
          <w:shd w:val="clear" w:color="auto" w:fill="auto"/>
          <w:vertAlign w:val="superscript"/>
        </w:rPr>
        <w:footnoteReference w:id="15"/>
      </w:r>
      <w:r>
        <w:rPr>
          <w:color w:val="000000"/>
          <w:spacing w:val="0"/>
          <w:w w:val="100"/>
          <w:position w:val="0"/>
          <w:shd w:val="clear" w:color="auto" w:fill="auto"/>
        </w:rPr>
        <w:t xml:space="preserve">I98O; P. Nave, </w:t>
      </w:r>
      <w:r>
        <w:rPr>
          <w:i/>
          <w:iCs/>
          <w:color w:val="000000"/>
          <w:spacing w:val="0"/>
          <w:w w:val="100"/>
          <w:position w:val="0"/>
          <w:shd w:val="clear" w:color="auto" w:fill="auto"/>
        </w:rPr>
        <w:t>Du unser Vater. Judische Gebete fur Christen,</w:t>
      </w:r>
      <w:r>
        <w:rPr>
          <w:color w:val="000000"/>
          <w:spacing w:val="0"/>
          <w:w w:val="100"/>
          <w:position w:val="0"/>
          <w:shd w:val="clear" w:color="auto" w:fill="auto"/>
        </w:rPr>
        <w:t xml:space="preserve"> </w:t>
      </w:r>
      <w:r>
        <w:rPr>
          <w:color w:val="000000"/>
          <w:spacing w:val="0"/>
          <w:w w:val="100"/>
          <w:position w:val="0"/>
          <w:shd w:val="clear" w:color="auto" w:fill="auto"/>
          <w:vertAlign w:val="superscript"/>
        </w:rPr>
        <w:footnoteReference w:id="16"/>
      </w:r>
      <w:r>
        <w:rPr>
          <w:color w:val="000000"/>
          <w:spacing w:val="0"/>
          <w:w w:val="100"/>
          <w:position w:val="0"/>
          <w:shd w:val="clear" w:color="auto" w:fill="auto"/>
        </w:rPr>
        <w:t>1978.</w:t>
        <w:tab/>
        <w:t>D. VETTER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na molitvu (između ostaloga Mk 1,35; 6,46; Lk 5,16), bilo da je vrlo rano ustao i us</w:t>
        <w:softHyphen/>
        <w:t>trajao u molitvi do četvrte noćne straže (Mt 14,23; Mk 6,48), bilo da je cijelu noć proveo u molitvi (Lk 6,12). On je sudjelovao u javnim molitvama u sinagogama koje je »po svom običaju« (Lk 4,16) posjećivao subotom, ili u hramu koji je nazivao »kućom molitve« (Mt 21,13). Kod obroka izricao bi uobičajene ži</w:t>
        <w:softHyphen/>
        <w:t>dovske zahvale (Mt 14,19; 15,36; 26,26; Lk</w:t>
      </w:r>
    </w:p>
    <w:p>
      <w:pPr>
        <w:pStyle w:val="Style20"/>
        <w:keepNext w:val="0"/>
        <w:keepLines w:val="0"/>
        <w:widowControl w:val="0"/>
        <w:numPr>
          <w:ilvl w:val="0"/>
          <w:numId w:val="319"/>
        </w:numPr>
        <w:shd w:val="clear" w:color="auto" w:fill="auto"/>
        <w:tabs>
          <w:tab w:pos="53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pjevao s učenicima psalme (Mt</w:t>
      </w:r>
    </w:p>
    <w:p>
      <w:pPr>
        <w:pStyle w:val="Style20"/>
        <w:keepNext w:val="0"/>
        <w:keepLines w:val="0"/>
        <w:widowControl w:val="0"/>
        <w:numPr>
          <w:ilvl w:val="0"/>
          <w:numId w:val="321"/>
        </w:numPr>
        <w:shd w:val="clear" w:color="auto" w:fill="auto"/>
        <w:tabs>
          <w:tab w:pos="53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Molio je prije svoje muke (Iv 12,27), kod Posljednje večere (lv 17,1-26) i u smrtnom strahu (Mt 26,36-44) i na križu (Lk 23,34.46; Mt 27,46; Mk 15,34). Pošto je uskrsnuo od mrtvih, živi i moli zauvijek za nas (v. Heb 7,25). Što je Isus činio, naredio je i svojoj zajednici: Molite, ištite, tražite u moje ime (npr. Mt 5,44; 7,7; 26,41; Mk 13,13; Lk 6,28; Iv 14,13; 15,16). U »Očenašu« dao nam je obrazac ka</w:t>
        <w:softHyphen/>
        <w:t>ko da molimo (Mt 6,9-13; Lk 11,2-4). Uka</w:t>
        <w:softHyphen/>
        <w:t>zuje nam na nužnost molitve (Lk 18,1) i kaže da ona mora biti ponizna (Lk 18,9-14), budna (Lk 21,36; Mk 13,33), ustrajna i puna pouzda</w:t>
        <w:softHyphen/>
        <w:t>nja u Očevu dobrotu (Lk 11,5-13; Iv 16,23), čista u nakani i primjerena Božjoj biti (Mt 6,5-8; 23,14; Lk 20,47; Iv 4,23). Apostoli upo</w:t>
        <w:softHyphen/>
        <w:t>zoravaju na ustrajnu molitvu (između ostaloga Rim 8,15; 1 Kor 12,3) koja se u Duhu Svetom (2 Kor 1,20; Kol 3,17) po Kristu (Heb 13,15) prinosi Bogu (između ostaloga Rim 12,12; Ef 6,18). Oni nas uvjeravaju u posvećujuću snagu molitve (1 Tim 4,5; Jak 5,15; 1 Iv 3,22) i potiču nas na hvalospjev (Ef 5,19; Otk 19,5), zahvalu (Kol 3,17; Eil 4,6; 1 Tim 2,1), prošnju (Rim 8,26; Fil 4,6) i zagovor za sve ljude (između ostaloga Rim 15,30; 1 Sol 5,25; Jak 5,14). Dostojanstvo je kršćanskog moljenja u tome da sudjelujemo u Kristovoj ljubavi prema nje</w:t>
        <w:softHyphen/>
        <w:t>govu Ocu i u njegovoj molitvi koja se sada neprestano nastavlja u ime i za spas čitavog čovječanstva u Crkvi i u svim njezinim člano</w:t>
        <w:softHyphen/>
        <w:t>vima. Pritom se jedinstvo moleće Crkve ostva</w:t>
        <w:softHyphen/>
        <w:t>ruje po Duhu Svetom. On, »Duh pritječe u pomoć našoj slabosti« i »posreduje za nas ne</w:t>
        <w:softHyphen/>
        <w:t>izrecivim uzdisajima« (Rim 8,26). Zato nijed</w:t>
        <w:softHyphen/>
        <w:t>na kršćanska m. nije moguća bez djelovanja Duha Božjega koji ujedinjuje Crkvu i vodi je po Kristu Ocu.</w:t>
      </w:r>
    </w:p>
    <w:p>
      <w:pPr>
        <w:pStyle w:val="Style20"/>
        <w:keepNext w:val="0"/>
        <w:keepLines w:val="0"/>
        <w:widowControl w:val="0"/>
        <w:shd w:val="clear" w:color="auto" w:fill="auto"/>
        <w:bidi w:val="0"/>
        <w:spacing w:before="0" w:after="0"/>
        <w:ind w:left="0" w:right="0" w:firstLine="0"/>
        <w:jc w:val="both"/>
      </w:pPr>
      <w:r>
        <mc:AlternateContent>
          <mc:Choice Requires="wps">
            <w:drawing>
              <wp:anchor distT="38100" distB="254000" distL="114300" distR="114300" simplePos="0" relativeHeight="125829413" behindDoc="0" locked="0" layoutInCell="1" allowOverlap="1">
                <wp:simplePos x="0" y="0"/>
                <wp:positionH relativeFrom="page">
                  <wp:posOffset>4013200</wp:posOffset>
                </wp:positionH>
                <wp:positionV relativeFrom="margin">
                  <wp:posOffset>6135370</wp:posOffset>
                </wp:positionV>
                <wp:extent cx="173990" cy="118745"/>
                <wp:wrapTopAndBottom/>
                <wp:docPr id="1781" name="Shape 1781"/>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■7S1</w:t>
                            </w:r>
                          </w:p>
                        </w:txbxContent>
                      </wps:txbx>
                      <wps:bodyPr wrap="none" lIns="0" tIns="0" rIns="0" bIns="0">
                        <a:noAutoFit/>
                      </wps:bodyPr>
                    </wps:wsp>
                  </a:graphicData>
                </a:graphic>
              </wp:anchor>
            </w:drawing>
          </mc:Choice>
          <mc:Fallback>
            <w:pict>
              <v:shape id="_x0000_s2807" type="#_x0000_t202" style="position:absolute;margin-left:316.pt;margin-top:483.10000000000002pt;width:13.699999999999999pt;height:9.3499999999999996pt;z-index:-125829340;mso-wrap-distance-left:9.pt;mso-wrap-distance-top:3.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■7S1</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Primjer Isusa Krista i apostola da treba uvijek i neumorno moliti nije običan zakonski pro</w:t>
        <w:softHyphen/>
        <w:t>pis. M. se ubraja u najdublju bit Crkve, a nje</w:t>
        <w:softHyphen/>
      </w:r>
      <w:r>
        <w:rPr>
          <w:rFonts w:ascii="Times New Roman" w:eastAsia="Times New Roman" w:hAnsi="Times New Roman" w:cs="Times New Roman"/>
          <w:color w:val="000000"/>
          <w:spacing w:val="0"/>
          <w:w w:val="100"/>
          <w:position w:val="0"/>
          <w:shd w:val="clear" w:color="auto" w:fill="auto"/>
          <w:lang w:val="hr-HR" w:eastAsia="hr-HR" w:bidi="hr-HR"/>
        </w:rPr>
        <w:t>zin karakter zajedništva mora se izražavati u molitvi. Već su prvi kršćani »bili postojani u apostolskoj nauci, zajedničkom životu, lomlje</w:t>
        <w:softHyphen/>
        <w:t>nju kruha i u molitvama« (Dj 2,41-47). Krš</w:t>
        <w:softHyphen/>
        <w:t>ćanin dakle uvijek moli kao član Tijela Kris</w:t>
        <w:softHyphen/>
        <w:t>tova, zajednice svih vjernika. Ta temeljna da</w:t>
        <w:softHyphen/>
        <w:t>nost dolazi najjasnije do izražaja kada se za</w:t>
        <w:softHyphen/>
        <w:t>jednica okuplja na molitvu u liturgijskom mo</w:t>
        <w:softHyphen/>
        <w:t>ljenju (službi Božjoj), a manje izričito kada pojedinac moli privatno za sebe. No i privatno moljenje kršćanina uklopljeno je u zajedniš</w:t>
        <w:softHyphen/>
        <w:t>tvo Duha Svetoga, zbiva se snagom Duha, proistječe iz molitve zajednice i utječe ponov</w:t>
        <w:softHyphen/>
        <w:t>no u moljenje zajednice. Pa ipak, i zajedničko moljenje živi od moljenja pojedinih članova zajednice. Tako je kršćanin doduše pozvan moliti u zajedništvu, ali mora poći i u svoju sobu i pomoliti se u tajnosti Ocu (Mt 6,6). No molitvi u zajedništvu pripada sasvim posebno dostojanstvo, jer je Krist rekao: »Gdje su dvo</w:t>
        <w:softHyphen/>
        <w:t>jica ili trojica sabrana radi mene, tu sam ja među njima« (Mt 18,20). Stoga je središte i vrhunac kršćanskog moljenja slavljenje euha</w:t>
        <w:softHyphen/>
        <w:t>ristije i sakramenata. Oko ovoga nalaze se dnevna jutarnja i večernja hvala Crkve, ćaso- slov koji dnevno u različite sate razvija hvalu, zahvalu i prošnju. Krist ispunjava svoje djelo otkupljenja ljudi i proslavljenja Boga u Duhu Svetom po Crkvi ne samo u slavljenju euharis</w:t>
        <w:softHyphen/>
        <w:t>tije i sakramenata nego i u časoslovu. On je prisutan kad se zajednica okuplja, kad se na- viješta Božja riječ i kad zajednica moli i pjeva. Čovjekovo posvećenje i Božje štovanje ispu</w:t>
        <w:softHyphen/>
        <w:t>njavaju se u časoslovu kao dijalogu između Boga i čovjeka: Bog govori svom narodu koji odgovara pjevanjem i molitvom. Nažalost je časoslov na Zapadu gotovo sasvim izgubio svoj zajednički karakter. Gotovo ga isključivo mole klerici i redovnici, zastupajući zajednice dok je zajednica sebi stvorila nadomjesne ob</w:t>
        <w:softHyphen/>
        <w:t>like kao što su pobožnosti i m. krunice. Tek od liturgijske reforme u Rimskoj crkvi trebaju opet i zajednice jače sudjelovati u tom izvor</w:t>
        <w:softHyphen/>
        <w:t>nom obliku moljenja u zajednici, za što posje</w:t>
        <w:softHyphen/>
        <w:t>duju nalog, pravo i dostojanstvo uključiva</w:t>
        <w:softHyphen/>
        <w:t>njem u zajedništvo vjernika krštenjem - po</w:t>
        <w:softHyphen/>
        <w:t>tvrdom - euharistijom.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Pojedinačne molitve u liturgijskom slavlju pri</w:t>
        <w:softHyphen/>
        <w:t>padaju često sasvim različitim razinama. U sre</w:t>
        <w:softHyphen/>
        <w:t>dištu sakramentalnih funkcija većinom stoji kanon mise, kao m. koja se svojom struktu</w:t>
        <w:softHyphen/>
        <w:t>rom svodi na židovski beraka i kao hvala za</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spasenjsko djelovanje koju izgovara vo</w:t>
        <w:softHyphen/>
        <w:t>ditelj okupljene zajednice. Hvalospjev Bogu odgovor je vjernika koji su iskusili Božju sve</w:t>
        <w:softHyphen/>
        <w:t>moć, mudrost i ljubav u stvaranju svijeta i u povijesti spasenja, ali i u udesima svog osob</w:t>
        <w:softHyphen/>
        <w:t>nog života. Zahvaljivanje, koje isto tako pri</w:t>
        <w:softHyphen/>
        <w:t>pada kršćanskom moljenju, nalazi svoj najviši izraz u večeri koju je Krist utemeljio, a Crkva je ponavlja kao zahvalu (grč. = euharistia) i spomen-čin Gospodinove smrti i uskrsnuća. Uz molitvu hvale i zahvale veliki prostor za</w:t>
        <w:softHyphen/>
        <w:t>uzima i ni. prošnje. Isus je podsjećao da treba trajno tražiti molitvom koju je obećao uslišati (npr. Mt 7,7-11). I današnji čovjek nailazi na granice gdje osjeća svoju nemoć. Ostaje ovi</w:t>
        <w:softHyphen/>
        <w:t>san o Bogu, Stvoritelju i održavatclju svoga života. Kršćanin se u njega pouzdaje u rados</w:t>
        <w:softHyphen/>
        <w:t>nim kao i u teškim trenucima. Prinosi mu u molitvi svoje brige, strahove i nevolje čitavog čovječanstva. Zna da Bog neće odstraniti pat</w:t>
        <w:softHyphen/>
        <w:t>nju iz svijeta niti umjesto njega rješavati pro</w:t>
        <w:softHyphen/>
        <w:t xml:space="preserve">bleme. Ali pouzdaje se u to da </w:t>
      </w:r>
      <w:r>
        <w:rPr>
          <w:rFonts w:ascii="Times New Roman" w:eastAsia="Times New Roman" w:hAnsi="Times New Roman" w:cs="Times New Roman"/>
          <w:i/>
          <w:iCs/>
          <w:color w:val="000000"/>
          <w:spacing w:val="0"/>
          <w:w w:val="100"/>
          <w:position w:val="0"/>
          <w:shd w:val="clear" w:color="auto" w:fill="auto"/>
          <w:lang w:val="hr-HR" w:eastAsia="hr-HR" w:bidi="hr-HR"/>
        </w:rPr>
        <w:t>će Bog</w:t>
      </w:r>
      <w:r>
        <w:rPr>
          <w:rFonts w:ascii="Times New Roman" w:eastAsia="Times New Roman" w:hAnsi="Times New Roman" w:cs="Times New Roman"/>
          <w:color w:val="000000"/>
          <w:spacing w:val="0"/>
          <w:w w:val="100"/>
          <w:position w:val="0"/>
          <w:shd w:val="clear" w:color="auto" w:fill="auto"/>
          <w:lang w:val="hr-HR" w:eastAsia="hr-HR" w:bidi="hr-HR"/>
        </w:rPr>
        <w:t xml:space="preserve"> onima koji ga ljube sve okrenuti na dobro. Zato je u crkvenoj godini m. prošnje osobito izražena u službama Božjim na prosne dane i na prosnim procesijama te u vremenima priprave došašća i korizme kao i na kvatrene dane. U bogo- služnom moljenju razlika je između molitava predsjedatelja, voditelja skupa, i molitava za</w:t>
        <w:softHyphen/>
        <w:t>jednice. Ove potonje počinje voditelj pozivom na molitvu i on ih također završava. Iako se možemo moliti Kristu kao Sinu Božjem, molit</w:t>
        <w:softHyphen/>
        <w:t>ve se u službi Božjoj većinom upravljaju Ocu. Doksologija koja zaključuje molitvu kao sve</w:t>
        <w:softHyphen/>
        <w:t>čano proglašenje Božje slave (grč. = doxa), što zajednica potkrepljuje s amen, ima zato u Rimskoj crkvi ovaj obrazac: »Zato molimo po Gospodinu našem Isusu Kristu, Sinu Tvome, koji s tobom živi i kraljuje u jedinstvu Duha Svetoga Bog, u sve vijeke vjekova.«</w:t>
      </w:r>
    </w:p>
    <w:p>
      <w:pPr>
        <w:pStyle w:val="Style56"/>
        <w:keepNext w:val="0"/>
        <w:keepLines w:val="0"/>
        <w:widowControl w:val="0"/>
        <w:shd w:val="clear" w:color="auto" w:fill="auto"/>
        <w:tabs>
          <w:tab w:pos="2376" w:val="left"/>
        </w:tabs>
        <w:bidi w:val="0"/>
        <w:spacing w:before="0" w:after="200" w:line="240" w:lineRule="auto"/>
        <w:ind w:left="0" w:right="0" w:firstLine="0"/>
        <w:jc w:val="both"/>
      </w:pPr>
      <w:r>
        <w:rPr>
          <w:color w:val="000000"/>
          <w:spacing w:val="0"/>
          <w:w w:val="100"/>
          <w:position w:val="0"/>
          <w:shd w:val="clear" w:color="auto" w:fill="auto"/>
          <w:lang w:val="hr-HR" w:eastAsia="hr-HR" w:bidi="hr-HR"/>
        </w:rPr>
        <w:t xml:space="preserve">Lit.: F. Hcilcr, </w:t>
      </w:r>
      <w:r>
        <w:rPr>
          <w:i/>
          <w:iCs/>
          <w:color w:val="000000"/>
          <w:spacing w:val="0"/>
          <w:w w:val="100"/>
          <w:position w:val="0"/>
          <w:shd w:val="clear" w:color="auto" w:fill="auto"/>
          <w:lang w:val="hr-HR" w:eastAsia="hr-HR" w:bidi="hr-HR"/>
        </w:rPr>
        <w:t>Das Gebet,</w:t>
      </w:r>
      <w:r>
        <w:rPr>
          <w:color w:val="000000"/>
          <w:spacing w:val="0"/>
          <w:w w:val="100"/>
          <w:position w:val="0"/>
          <w:shd w:val="clear" w:color="auto" w:fill="auto"/>
          <w:lang w:val="hr-HR" w:eastAsia="hr-HR" w:bidi="hr-HR"/>
        </w:rPr>
        <w:t xml:space="preserve"> Miinchcn 1923; K. Rahncr, </w:t>
      </w:r>
      <w:r>
        <w:rPr>
          <w:i/>
          <w:iCs/>
          <w:color w:val="000000"/>
          <w:spacing w:val="0"/>
          <w:w w:val="100"/>
          <w:position w:val="0"/>
          <w:shd w:val="clear" w:color="auto" w:fill="auto"/>
          <w:lang w:val="hr-HR" w:eastAsia="hr-HR" w:bidi="hr-HR"/>
        </w:rPr>
        <w:t xml:space="preserve">Von der </w:t>
      </w:r>
      <w:r>
        <w:rPr>
          <w:i/>
          <w:iCs/>
          <w:color w:val="000000"/>
          <w:spacing w:val="0"/>
          <w:w w:val="100"/>
          <w:position w:val="0"/>
          <w:shd w:val="clear" w:color="auto" w:fill="auto"/>
        </w:rPr>
        <w:t xml:space="preserve">Not </w:t>
      </w:r>
      <w:r>
        <w:rPr>
          <w:i/>
          <w:iCs/>
          <w:color w:val="000000"/>
          <w:spacing w:val="0"/>
          <w:w w:val="100"/>
          <w:position w:val="0"/>
          <w:shd w:val="clear" w:color="auto" w:fill="auto"/>
          <w:lang w:val="hr-HR" w:eastAsia="hr-HR" w:bidi="hr-HR"/>
        </w:rPr>
        <w:t xml:space="preserve">urui </w:t>
      </w:r>
      <w:r>
        <w:rPr>
          <w:i/>
          <w:iCs/>
          <w:color w:val="000000"/>
          <w:spacing w:val="0"/>
          <w:w w:val="100"/>
          <w:position w:val="0"/>
          <w:shd w:val="clear" w:color="auto" w:fill="auto"/>
        </w:rPr>
        <w:t xml:space="preserve">dem </w:t>
      </w:r>
      <w:r>
        <w:rPr>
          <w:i/>
          <w:iCs/>
          <w:color w:val="000000"/>
          <w:spacing w:val="0"/>
          <w:w w:val="100"/>
          <w:position w:val="0"/>
          <w:shd w:val="clear" w:color="auto" w:fill="auto"/>
          <w:lang w:val="hr-HR" w:eastAsia="hr-HR" w:bidi="hr-HR"/>
        </w:rPr>
        <w:t xml:space="preserve">Segen da </w:t>
      </w:r>
      <w:r>
        <w:rPr>
          <w:i/>
          <w:iCs/>
          <w:color w:val="000000"/>
          <w:spacing w:val="0"/>
          <w:w w:val="100"/>
          <w:position w:val="0"/>
          <w:shd w:val="clear" w:color="auto" w:fill="auto"/>
        </w:rPr>
        <w:t>Gebeta,</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1965; </w:t>
      </w:r>
      <w:r>
        <w:rPr>
          <w:i/>
          <w:iCs/>
          <w:color w:val="000000"/>
          <w:spacing w:val="0"/>
          <w:w w:val="100"/>
          <w:position w:val="0"/>
          <w:shd w:val="clear" w:color="auto" w:fill="auto"/>
          <w:lang w:val="hr-HR" w:eastAsia="hr-HR" w:bidi="hr-HR"/>
        </w:rPr>
        <w:t>Litur- gischcs Jahrbuch 24</w:t>
      </w:r>
      <w:r>
        <w:rPr>
          <w:color w:val="000000"/>
          <w:spacing w:val="0"/>
          <w:w w:val="100"/>
          <w:position w:val="0"/>
          <w:shd w:val="clear" w:color="auto" w:fill="auto"/>
          <w:lang w:val="hr-HR" w:eastAsia="hr-HR" w:bidi="hr-HR"/>
        </w:rPr>
        <w:t xml:space="preserve"> (1974), 65-156; H. </w:t>
      </w:r>
      <w:r>
        <w:rPr>
          <w:color w:val="000000"/>
          <w:spacing w:val="0"/>
          <w:w w:val="100"/>
          <w:position w:val="0"/>
          <w:shd w:val="clear" w:color="auto" w:fill="auto"/>
        </w:rPr>
        <w:t xml:space="preserve">Schaller, </w:t>
      </w:r>
      <w:r>
        <w:rPr>
          <w:color w:val="000000"/>
          <w:spacing w:val="0"/>
          <w:w w:val="100"/>
          <w:position w:val="0"/>
          <w:shd w:val="clear" w:color="auto" w:fill="auto"/>
          <w:lang w:val="hr-HR" w:eastAsia="hr-HR" w:bidi="hr-HR"/>
        </w:rPr>
        <w:t>Gcbct, u: NHThG 2 (1984), 26-34.</w:t>
        <w:tab/>
        <w:t>K. UlCiriLR</w:t>
      </w:r>
    </w:p>
    <w:p>
      <w:pPr>
        <w:pStyle w:val="Style63"/>
        <w:keepNext/>
        <w:keepLines/>
        <w:widowControl w:val="0"/>
        <w:numPr>
          <w:ilvl w:val="0"/>
          <w:numId w:val="311"/>
        </w:numPr>
        <w:shd w:val="clear" w:color="auto" w:fill="auto"/>
        <w:tabs>
          <w:tab w:pos="265" w:val="left"/>
        </w:tabs>
        <w:bidi w:val="0"/>
        <w:spacing w:before="0" w:after="80" w:line="228" w:lineRule="auto"/>
        <w:ind w:left="0" w:right="0" w:firstLine="0"/>
        <w:jc w:val="both"/>
      </w:pPr>
      <w:bookmarkStart w:id="199" w:name="bookmark199"/>
      <w:r>
        <w:rPr>
          <w:rFonts w:ascii="Times New Roman" w:eastAsia="Times New Roman" w:hAnsi="Times New Roman" w:cs="Times New Roman"/>
          <w:color w:val="000000"/>
          <w:spacing w:val="0"/>
          <w:w w:val="100"/>
          <w:position w:val="0"/>
          <w:shd w:val="clear" w:color="auto" w:fill="auto"/>
          <w:lang w:val="hr-HR" w:eastAsia="hr-HR" w:bidi="hr-HR"/>
        </w:rPr>
        <w:t>islamski</w:t>
      </w:r>
      <w:bookmarkEnd w:id="199"/>
    </w:p>
    <w:p>
      <w:pPr>
        <w:pStyle w:val="Style20"/>
        <w:keepNext w:val="0"/>
        <w:keepLines w:val="0"/>
        <w:widowControl w:val="0"/>
        <w:shd w:val="clear" w:color="auto" w:fill="auto"/>
        <w:bidi w:val="0"/>
        <w:spacing w:before="0" w:after="0" w:line="240" w:lineRule="auto"/>
        <w:ind w:left="0" w:right="0" w:firstLine="0"/>
        <w:jc w:val="both"/>
        <w:sectPr>
          <w:headerReference w:type="default" r:id="rId841"/>
          <w:footerReference w:type="default" r:id="rId842"/>
          <w:headerReference w:type="even" r:id="rId843"/>
          <w:footerReference w:type="even" r:id="rId844"/>
          <w:headerReference w:type="first" r:id="rId845"/>
          <w:footerReference w:type="first" r:id="rId846"/>
          <w:footnotePr>
            <w:pos w:val="pageBottom"/>
            <w:numFmt w:val="decimal"/>
            <w:numRestart w:val="continuous"/>
            <w15:footnoteColumns w:val="1"/>
          </w:footnotePr>
          <w:pgSz w:w="6816" w:h="11006"/>
          <w:pgMar w:top="856" w:left="188" w:right="191" w:bottom="266" w:header="0" w:footer="3" w:gutter="0"/>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središtu islamske pobožnosti stoji obvezna m.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(salat </w:t>
      </w:r>
      <w:r>
        <w:rPr>
          <w:rFonts w:ascii="Times New Roman" w:eastAsia="Times New Roman" w:hAnsi="Times New Roman" w:cs="Times New Roman"/>
          <w:i/>
          <w:iCs/>
          <w:color w:val="000000"/>
          <w:spacing w:val="0"/>
          <w:w w:val="100"/>
          <w:position w:val="0"/>
          <w:shd w:val="clear" w:color="auto" w:fill="auto"/>
          <w:lang w:val="hr-HR" w:eastAsia="hr-HR" w:bidi="hr-HR"/>
        </w:rPr>
        <w:t>al-fard).</w:t>
      </w:r>
      <w:r>
        <w:rPr>
          <w:rFonts w:ascii="Times New Roman" w:eastAsia="Times New Roman" w:hAnsi="Times New Roman" w:cs="Times New Roman"/>
          <w:color w:val="000000"/>
          <w:spacing w:val="0"/>
          <w:w w:val="100"/>
          <w:position w:val="0"/>
          <w:shd w:val="clear" w:color="auto" w:fill="auto"/>
          <w:lang w:val="hr-HR" w:eastAsia="hr-HR" w:bidi="hr-HR"/>
        </w:rPr>
        <w:t xml:space="preserve"> Ona je smještena na pet križnih točki dana: u zoru, u podne, nakon završetka popodnevnoga rada (dakle u pred</w:t>
        <w:softHyphen/>
        <w:t xml:space="preserve">večerje), u povečerje i prije odlaska na spa-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vanjc. Cjelokupna se obveza molitve sastoji od 17 klanjanja, isto toliko padanja na koljena i od pet dvokratnih prosternacija. Islamska ni. sadrži elemente kulture čistoće i njegovanja tijela, a nešto se od toga približava joga-vježba- ma. Prema jednoj Muhamedovoj izreci, m. je poput toka koji teče pred vratima vlastite ku</w:t>
        <w:softHyphen/>
        <w:t>će; u njoj se možemo uvijek okrijepiti i oprati. Izvori molitve su: a) zahvalnost za život, b) ovisnost čovjeka o višim silama, c) prolaznost svega zemaljskoga, d) ugroženost stvorenoga. Spontane molitve - molitve zahvale, hvale i one koje se izgovaraju prilikom iznenadne opasnosti - odgovaraju čovjekovoj unutarnjoj potrebi. Obvezna m. ispunjava nasuprot tomu individualne i društvene zadaće: ona jača svi</w:t>
        <w:softHyphen/>
        <w:t>jest o zajedništvu, razvija smisao za disciplinu i potiče na duševnu i tjelesnu čistoću. Islam</w:t>
        <w:softHyphen/>
        <w:t>ske obvezne molitve sadrže i elemente odga</w:t>
        <w:softHyphen/>
        <w:t>janja tijela i jačanje obrambenih sposobnosti. M. mora biti kreativna i fleksibilna. Tako us</w:t>
        <w:softHyphen/>
        <w:t>trojena ona otvara pogled u povijest i tradi</w:t>
        <w:softHyphen/>
        <w:t>ciju. Tekstovi koji su izgovarani prilikom ob</w:t>
        <w:softHyphen/>
        <w:t>vezne molitve potjecali su velikim dijelom iz. Kurana. Oni su izgovarani na arapskom jezi</w:t>
        <w:softHyphen/>
        <w:t>ku. Premda to ne iziskuje nikakav poseban trud za otkrivanje njihovih sadržaja, ima mno</w:t>
        <w:softHyphen/>
        <w:t>go vjernika koji ne razumiju što mole. Na te ljude izgovoreni ili slušani tekstovi vrše jedino duhovno zračenje. U takvim slučajevima m. dakako gubi mnogo od svoje supstancije. Ko</w:t>
        <w:softHyphen/>
        <w:t>rištenje arapskoga jezika prilikom obvezne molitve uvijek predstavlja element univerzal</w:t>
        <w:softHyphen/>
        <w:t>nosti islama. Svugdje u svijetu muslimani se mole po jednoj te istoj shemi.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Zaposlenomu je muslimanu dozvoljeno da u nuždi svede svoje molitve na četiri, tri, dvije ili samo jednu. Ukupni se broj obveznih molitvi svakako treba naknadno obaviti. Obavljanje sunitskih molitvi i recitiranje dopunskih mo</w:t>
        <w:softHyphen/>
        <w:t>litvenih tekstova može se propustiti. Obvezne molitve mogu se obaviti i narednih dana. »Bog ne zadužuje nijednu osobu iznad njene moći« (2,286). Kao dužnosti koje se odnose na unutarnji život, molitve se moraju obavljati iskrenoga srca. Upitna je valjanost iznuđene ili spekulativne pobožnosti. »U vjeri nema prisiljavanja« (2,256).</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Osim obvezne molitve islam poznaje još i slo</w:t>
        <w:softHyphen/>
        <w:t>bodnu, nevezanu molitvu koja odgovara čo</w:t>
        <w:softHyphen/>
        <w:t xml:space="preserve">vjekovoj intimi </w:t>
      </w:r>
      <w:r>
        <w:rPr>
          <w:rFonts w:ascii="Times New Roman" w:eastAsia="Times New Roman" w:hAnsi="Times New Roman" w:cs="Times New Roman"/>
          <w:i/>
          <w:iCs/>
          <w:color w:val="000000"/>
          <w:spacing w:val="0"/>
          <w:w w:val="100"/>
          <w:position w:val="0"/>
          <w:shd w:val="clear" w:color="auto" w:fill="auto"/>
          <w:lang w:val="hr-HR" w:eastAsia="hr-HR" w:bidi="hr-HR"/>
        </w:rPr>
        <w:t>(dova: du'a,</w:t>
      </w:r>
      <w:r>
        <w:rPr>
          <w:rFonts w:ascii="Times New Roman" w:eastAsia="Times New Roman" w:hAnsi="Times New Roman" w:cs="Times New Roman"/>
          <w:color w:val="000000"/>
          <w:spacing w:val="0"/>
          <w:w w:val="100"/>
          <w:position w:val="0"/>
          <w:shd w:val="clear" w:color="auto" w:fill="auto"/>
          <w:lang w:val="hr-HR" w:eastAsia="hr-HR" w:bidi="hr-HR"/>
        </w:rPr>
        <w:t xml:space="preserve"> turski: </w:t>
      </w:r>
      <w:r>
        <w:rPr>
          <w:rFonts w:ascii="Times New Roman" w:eastAsia="Times New Roman" w:hAnsi="Times New Roman" w:cs="Times New Roman"/>
          <w:i/>
          <w:iCs/>
          <w:color w:val="000000"/>
          <w:spacing w:val="0"/>
          <w:w w:val="100"/>
          <w:position w:val="0"/>
          <w:shd w:val="clear" w:color="auto" w:fill="auto"/>
          <w:lang w:val="hr-HR" w:eastAsia="hr-HR" w:bidi="hr-HR"/>
        </w:rPr>
        <w:t>dowa).</w:t>
      </w:r>
      <w:r>
        <w:rPr>
          <w:rFonts w:ascii="Times New Roman" w:eastAsia="Times New Roman" w:hAnsi="Times New Roman" w:cs="Times New Roman"/>
          <w:color w:val="000000"/>
          <w:spacing w:val="0"/>
          <w:w w:val="100"/>
          <w:position w:val="0"/>
          <w:shd w:val="clear" w:color="auto" w:fill="auto"/>
          <w:lang w:val="hr-HR" w:eastAsia="hr-HR" w:bidi="hr-HR"/>
        </w:rPr>
        <w:t xml:space="preserve"> Al- Gazali je postavio 10 pravila koja obrazlažu </w:t>
      </w:r>
      <w:r>
        <w:rPr>
          <w:rFonts w:ascii="Times New Roman" w:eastAsia="Times New Roman" w:hAnsi="Times New Roman" w:cs="Times New Roman"/>
          <w:color w:val="000000"/>
          <w:spacing w:val="0"/>
          <w:w w:val="100"/>
          <w:position w:val="0"/>
          <w:shd w:val="clear" w:color="auto" w:fill="auto"/>
          <w:lang w:val="hr-HR" w:eastAsia="hr-HR" w:bidi="hr-HR"/>
        </w:rPr>
        <w:t xml:space="preserve">djelotvornost i smisao ove molitve: a) ona se treba obaviti u prikladnome trenutku; b) ona treba biti izraz potičućc ljudske situacije; c) prilikom izgovaranje </w:t>
      </w:r>
      <w:r>
        <w:rPr>
          <w:rFonts w:ascii="Times New Roman" w:eastAsia="Times New Roman" w:hAnsi="Times New Roman" w:cs="Times New Roman"/>
          <w:color w:val="000000"/>
          <w:spacing w:val="0"/>
          <w:w w:val="100"/>
          <w:position w:val="0"/>
          <w:shd w:val="clear" w:color="auto" w:fill="auto"/>
          <w:lang w:val="en-US" w:eastAsia="en-US" w:bidi="en-US"/>
        </w:rPr>
        <w:t xml:space="preserve">dove </w:t>
      </w:r>
      <w:r>
        <w:rPr>
          <w:rFonts w:ascii="Times New Roman" w:eastAsia="Times New Roman" w:hAnsi="Times New Roman" w:cs="Times New Roman"/>
          <w:color w:val="000000"/>
          <w:spacing w:val="0"/>
          <w:w w:val="100"/>
          <w:position w:val="0"/>
          <w:shd w:val="clear" w:color="auto" w:fill="auto"/>
          <w:lang w:val="hr-HR" w:eastAsia="hr-HR" w:bidi="hr-HR"/>
        </w:rPr>
        <w:t>pogled treba biti upravljen prema Meki; d) dova se izgovara tiho; e) svaka se iskrena m. obavlja u poniz</w:t>
        <w:softHyphen/>
        <w:t>nosti i strahopoštovanju prema Bogu; g) treba se imati povjerenja u Boga, jer se m. čuje u punini Njegove milosti; h) središnje misli mo</w:t>
        <w:softHyphen/>
        <w:t>litve trebaju se tri puta ponoviti sa stanovitom ustrajnošću; i) molitvu treba započeti sa zazi</w:t>
        <w:softHyphen/>
        <w:t>vanjem Boga. Prava se nakana treba iznijeti sa stanovitim oklijevanjem; j) s molitvom je po</w:t>
        <w:softHyphen/>
        <w:t>vezano žaljenje zbog vlastitih propusta i sla</w:t>
        <w:softHyphen/>
        <w:t>bosti. Tako oblikovana slobodna m. može se obavljati i skupa s drugim vjernicima koji do</w:t>
        <w:softHyphen/>
        <w:t>laze iz objavljenih religija. Sudjelovanje u mo</w:t>
        <w:softHyphen/>
        <w:t>litvenim radnjama, koje su posvećene drugim božanstvima a ne jedinome Tvorcu, smatra se teškim grijehom koji u određenim okolnos</w:t>
        <w:softHyphen/>
        <w:t>tima dovodi do otpadništva od vjere. Mnogi oblici islamske pučke pobožnosti nisu uzeti iz Kurana niti iz. Muhamedova primjera. Njih su oživjeli istaknuti učenjaci ili mistici. Po Ku</w:t>
        <w:softHyphen/>
        <w:t>ranu, molitvi između ostaloga pripada druš- tveno-odgojna zadaća. Ona nije samoj sebi svrha. Ona se k tomu promatra kao kruna bo- goslužnih radnji. Za mnoge muslimane islam naprosto predstavljaju uredno obavljanje mo</w:t>
        <w:softHyphen/>
        <w:t>litvi, davanje poreza za siromašne, ramazanski post i hodočašće u Meku. Njihova se religi</w:t>
        <w:softHyphen/>
        <w:t>oznost gotovo u potpunosti iscrpljuje u kultu i u poštivanju izvjesnih starih običaja.</w:t>
      </w:r>
    </w:p>
    <w:p>
      <w:pPr>
        <w:pStyle w:val="Style20"/>
        <w:keepNext w:val="0"/>
        <w:keepLines w:val="0"/>
        <w:widowControl w:val="0"/>
        <w:shd w:val="clear" w:color="auto" w:fill="auto"/>
        <w:bidi w:val="0"/>
        <w:spacing w:before="0" w:after="0"/>
        <w:ind w:left="0" w:right="0" w:firstLine="0"/>
        <w:jc w:val="both"/>
        <w:sectPr>
          <w:headerReference w:type="default" r:id="rId847"/>
          <w:footerReference w:type="default" r:id="rId848"/>
          <w:headerReference w:type="even" r:id="rId849"/>
          <w:footerReference w:type="even" r:id="rId850"/>
          <w:footnotePr>
            <w:pos w:val="pageBottom"/>
            <w:numFmt w:val="decimal"/>
            <w:numRestart w:val="continuous"/>
            <w15:footnoteColumns w:val="1"/>
          </w:footnotePr>
          <w:pgSz w:w="6816" w:h="11006"/>
          <w:pgMar w:top="856" w:left="188" w:right="191" w:bottom="266" w:header="0" w:footer="3" w:gutter="0"/>
          <w:cols w:num="2" w:space="186"/>
          <w:noEndnote/>
          <w:rtlGutter w:val="0"/>
          <w:docGrid w:linePitch="360"/>
        </w:sectPr>
      </w:pPr>
      <w:r>
        <mc:AlternateContent>
          <mc:Choice Requires="wps">
            <w:drawing>
              <wp:anchor distT="25400" distB="254000" distL="114300" distR="114300" simplePos="0" relativeHeight="125829415" behindDoc="0" locked="0" layoutInCell="1" allowOverlap="1">
                <wp:simplePos x="0" y="0"/>
                <wp:positionH relativeFrom="page">
                  <wp:posOffset>4010025</wp:posOffset>
                </wp:positionH>
                <wp:positionV relativeFrom="margin">
                  <wp:posOffset>6114415</wp:posOffset>
                </wp:positionV>
                <wp:extent cx="182880" cy="118745"/>
                <wp:wrapTopAndBottom/>
                <wp:docPr id="1802" name="Shape 1802"/>
                <a:graphic xmlns:a="http://schemas.openxmlformats.org/drawingml/2006/main">
                  <a:graphicData uri="http://schemas.microsoft.com/office/word/2010/wordprocessingShape">
                    <wps:wsp>
                      <wps:cNvSpPr txBox="1"/>
                      <wps:spPr>
                        <a:xfrm>
                          <a:ext cx="182880" cy="11874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-IO1</w:t>
                            </w:r>
                          </w:p>
                        </w:txbxContent>
                      </wps:txbx>
                      <wps:bodyPr wrap="none" lIns="0" tIns="0" rIns="0" bIns="0">
                        <a:noAutoFit/>
                      </wps:bodyPr>
                    </wps:wsp>
                  </a:graphicData>
                </a:graphic>
              </wp:anchor>
            </w:drawing>
          </mc:Choice>
          <mc:Fallback>
            <w:pict>
              <v:shape id="_x0000_s2828" type="#_x0000_t202" style="position:absolute;margin-left:315.75pt;margin-top:481.44999999999999pt;width:14.4pt;height:9.3499999999999996pt;z-index:-125829338;mso-wrap-distance-left:9.pt;mso-wrap-distance-top:2.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-IO1</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Kao društvena zbiljnost islam je: a) vjera (iman) i društveno ponašanje (islam u užem smislu). Religiozne dužnosti su oslonci </w:t>
      </w:r>
      <w:r>
        <w:rPr>
          <w:rFonts w:ascii="Times New Roman" w:eastAsia="Times New Roman" w:hAnsi="Times New Roman" w:cs="Times New Roman"/>
          <w:i/>
          <w:iCs/>
          <w:color w:val="000000"/>
          <w:spacing w:val="0"/>
          <w:w w:val="100"/>
          <w:position w:val="0"/>
          <w:shd w:val="clear" w:color="auto" w:fill="auto"/>
          <w:lang w:val="hr-HR" w:eastAsia="hr-HR" w:bidi="hr-HR"/>
        </w:rPr>
        <w:t xml:space="preserve">(erk&amp;n) </w:t>
      </w:r>
      <w:r>
        <w:rPr>
          <w:rFonts w:ascii="Times New Roman" w:eastAsia="Times New Roman" w:hAnsi="Times New Roman" w:cs="Times New Roman"/>
          <w:color w:val="000000"/>
          <w:spacing w:val="0"/>
          <w:w w:val="100"/>
          <w:position w:val="0"/>
          <w:shd w:val="clear" w:color="auto" w:fill="auto"/>
          <w:lang w:val="hr-HR" w:eastAsia="hr-HR" w:bidi="hr-HR"/>
        </w:rPr>
        <w:t>te zbiljnosti. Pomoću dužnosti razvija se i obli</w:t>
        <w:softHyphen/>
        <w:t>kuje željeno ponašanje. Onaj tko je prihvatio vjeru i tko se svjesno opredijelio za islam, taj je mumin (mu’min), tj. vjernik, čak i onda ka</w:t>
        <w:softHyphen/>
        <w:t>da nedovoljno ispunjava vjerske dužnosti. Je</w:t>
        <w:softHyphen/>
        <w:t>dino Bog odlučuje, što će se dogoditi s čovje</w:t>
        <w:softHyphen/>
        <w:t>kom koji čini propuste. U mnogim, katkad i učenim knjigama, islam se prikazuje kao reli</w:t>
        <w:softHyphen/>
        <w:t>gija zakona. U njima se kaže da muslimanu »spasenje« osigurava jedino poštovanje zako</w:t>
        <w:softHyphen/>
        <w:t xml:space="preserve">na (usp. H. </w:t>
      </w:r>
      <w:r>
        <w:rPr>
          <w:rFonts w:ascii="Times New Roman" w:eastAsia="Times New Roman" w:hAnsi="Times New Roman" w:cs="Times New Roman"/>
          <w:color w:val="000000"/>
          <w:spacing w:val="0"/>
          <w:w w:val="100"/>
          <w:position w:val="0"/>
          <w:shd w:val="clear" w:color="auto" w:fill="auto"/>
          <w:lang w:val="en-US" w:eastAsia="en-US" w:bidi="en-US"/>
        </w:rPr>
        <w:t xml:space="preserve">Busse, Tradition und Akkultura- </w:t>
      </w:r>
      <w:r>
        <w:rPr>
          <w:rFonts w:ascii="Times New Roman" w:eastAsia="Times New Roman" w:hAnsi="Times New Roman" w:cs="Times New Roman"/>
          <w:color w:val="000000"/>
          <w:spacing w:val="0"/>
          <w:w w:val="100"/>
          <w:position w:val="0"/>
          <w:shd w:val="clear" w:color="auto" w:fill="auto"/>
          <w:lang w:val="hr-HR" w:eastAsia="hr-HR" w:bidi="hr-HR"/>
        </w:rPr>
        <w:t xml:space="preserve">tion im islamischen Modernismus, u: </w:t>
      </w:r>
      <w:r>
        <w:rPr>
          <w:rFonts w:ascii="Times New Roman" w:eastAsia="Times New Roman" w:hAnsi="Times New Roman" w:cs="Times New Roman"/>
          <w:i/>
          <w:iCs/>
          <w:color w:val="000000"/>
          <w:spacing w:val="0"/>
          <w:w w:val="100"/>
          <w:position w:val="0"/>
          <w:shd w:val="clear" w:color="auto" w:fill="auto"/>
          <w:lang w:val="hr-HR" w:eastAsia="hr-HR" w:bidi="hr-HR"/>
        </w:rPr>
        <w:t>Saecu- lum</w:t>
      </w:r>
      <w:r>
        <w:rPr>
          <w:rFonts w:ascii="Times New Roman" w:eastAsia="Times New Roman" w:hAnsi="Times New Roman" w:cs="Times New Roman"/>
          <w:color w:val="000000"/>
          <w:spacing w:val="0"/>
          <w:w w:val="100"/>
          <w:position w:val="0"/>
          <w:shd w:val="clear" w:color="auto" w:fill="auto"/>
          <w:lang w:val="hr-HR" w:eastAsia="hr-HR" w:bidi="hr-HR"/>
        </w:rPr>
        <w:t xml:space="preserve"> 26, 1/75, 158). Ovdje je potrebna jedna korektura. U Kuranu i u tradiciji ima mnoštvo svjedočanstava koja govore protiv ove teze: »Pa teško onima koji klanjaju, onima koji su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nemarni prema svome namazu, koji se pretva</w:t>
        <w:softHyphen/>
        <w:t xml:space="preserve">raju </w:t>
      </w:r>
      <w:r>
        <w:rPr>
          <w:rFonts w:ascii="Times New Roman" w:eastAsia="Times New Roman" w:hAnsi="Times New Roman" w:cs="Times New Roman"/>
          <w:i/>
          <w:iCs/>
          <w:color w:val="000000"/>
          <w:spacing w:val="0"/>
          <w:w w:val="100"/>
          <w:position w:val="0"/>
          <w:shd w:val="clear" w:color="auto" w:fill="auto"/>
          <w:lang w:val="hr-HR" w:eastAsia="hr-HR" w:bidi="hr-HR"/>
        </w:rPr>
        <w:t>(svojim namazom da se pokažu svijetu)</w:t>
      </w:r>
      <w:r>
        <w:rPr>
          <w:rFonts w:ascii="Times New Roman" w:eastAsia="Times New Roman" w:hAnsi="Times New Roman" w:cs="Times New Roman"/>
          <w:color w:val="000000"/>
          <w:spacing w:val="0"/>
          <w:w w:val="100"/>
          <w:position w:val="0"/>
          <w:shd w:val="clear" w:color="auto" w:fill="auto"/>
          <w:lang w:val="hr-HR" w:eastAsia="hr-HR" w:bidi="hr-HR"/>
        </w:rPr>
        <w:t xml:space="preserve"> i koji sprečavaju pomoć </w:t>
      </w:r>
      <w:r>
        <w:rPr>
          <w:rFonts w:ascii="Times New Roman" w:eastAsia="Times New Roman" w:hAnsi="Times New Roman" w:cs="Times New Roman"/>
          <w:i/>
          <w:iCs/>
          <w:color w:val="000000"/>
          <w:spacing w:val="0"/>
          <w:w w:val="100"/>
          <w:position w:val="0"/>
          <w:shd w:val="clear" w:color="auto" w:fill="auto"/>
          <w:lang w:val="hr-HR" w:eastAsia="hr-HR" w:bidi="hr-HR"/>
        </w:rPr>
        <w:t>(milostinju)*«</w:t>
      </w:r>
      <w:r>
        <w:rPr>
          <w:rFonts w:ascii="Times New Roman" w:eastAsia="Times New Roman" w:hAnsi="Times New Roman" w:cs="Times New Roman"/>
          <w:color w:val="000000"/>
          <w:spacing w:val="0"/>
          <w:w w:val="100"/>
          <w:position w:val="0"/>
          <w:shd w:val="clear" w:color="auto" w:fill="auto"/>
          <w:lang w:val="hr-HR" w:eastAsia="hr-HR" w:bidi="hr-HR"/>
        </w:rPr>
        <w:t xml:space="preserve"> (107,4-7). »Nije dobročinstvo </w:t>
      </w:r>
      <w:r>
        <w:rPr>
          <w:rFonts w:ascii="Times New Roman" w:eastAsia="Times New Roman" w:hAnsi="Times New Roman" w:cs="Times New Roman"/>
          <w:i/>
          <w:iCs/>
          <w:color w:val="000000"/>
          <w:spacing w:val="0"/>
          <w:w w:val="100"/>
          <w:position w:val="0"/>
          <w:shd w:val="clear" w:color="auto" w:fill="auto"/>
          <w:lang w:val="hr-HR" w:eastAsia="hr-HR" w:bidi="hr-HR"/>
        </w:rPr>
        <w:t>(u lome)</w:t>
      </w:r>
      <w:r>
        <w:rPr>
          <w:rFonts w:ascii="Times New Roman" w:eastAsia="Times New Roman" w:hAnsi="Times New Roman" w:cs="Times New Roman"/>
          <w:color w:val="000000"/>
          <w:spacing w:val="0"/>
          <w:w w:val="100"/>
          <w:position w:val="0"/>
          <w:shd w:val="clear" w:color="auto" w:fill="auto"/>
          <w:lang w:val="hr-HR" w:eastAsia="hr-HR" w:bidi="hr-HR"/>
        </w:rPr>
        <w:t xml:space="preserve"> da okrećete svoje lice prema istoku ili zapadu« (2,177). »I ne</w:t>
        <w:softHyphen/>
        <w:t>mojte biti naklonjeni prema onima koji su či</w:t>
        <w:softHyphen/>
        <w:t xml:space="preserve">nili nepravdu pa da vas stigne vatra« (11,114). »A što ti znaš, što je ljudsko uzdizanje?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(To je) </w:t>
      </w:r>
      <w:r>
        <w:rPr>
          <w:rFonts w:ascii="Times New Roman" w:eastAsia="Times New Roman" w:hAnsi="Times New Roman" w:cs="Times New Roman"/>
          <w:color w:val="000000"/>
          <w:spacing w:val="0"/>
          <w:w w:val="100"/>
          <w:position w:val="0"/>
          <w:shd w:val="clear" w:color="auto" w:fill="auto"/>
          <w:lang w:val="hr-HR" w:eastAsia="hr-HR" w:bidi="hr-HR"/>
        </w:rPr>
        <w:t xml:space="preserve">osloboditi jednoga roba, ili nahraniti </w:t>
      </w:r>
      <w:r>
        <w:rPr>
          <w:rFonts w:ascii="Times New Roman" w:eastAsia="Times New Roman" w:hAnsi="Times New Roman" w:cs="Times New Roman"/>
          <w:i/>
          <w:iCs/>
          <w:color w:val="000000"/>
          <w:spacing w:val="0"/>
          <w:w w:val="100"/>
          <w:position w:val="0"/>
          <w:shd w:val="clear" w:color="auto" w:fill="auto"/>
          <w:lang w:val="hr-HR" w:eastAsia="hr-HR" w:bidi="hr-HR"/>
        </w:rPr>
        <w:t>(gladno</w:t>
        <w:softHyphen/>
        <w:t>ga)</w:t>
      </w:r>
      <w:r>
        <w:rPr>
          <w:rFonts w:ascii="Times New Roman" w:eastAsia="Times New Roman" w:hAnsi="Times New Roman" w:cs="Times New Roman"/>
          <w:color w:val="000000"/>
          <w:spacing w:val="0"/>
          <w:w w:val="100"/>
          <w:position w:val="0"/>
          <w:shd w:val="clear" w:color="auto" w:fill="auto"/>
          <w:lang w:val="hr-HR" w:eastAsia="hr-HR" w:bidi="hr-HR"/>
        </w:rPr>
        <w:t xml:space="preserve"> za vrijeme gladi, </w:t>
      </w:r>
      <w:r>
        <w:rPr>
          <w:rFonts w:ascii="Times New Roman" w:eastAsia="Times New Roman" w:hAnsi="Times New Roman" w:cs="Times New Roman"/>
          <w:i/>
          <w:iCs/>
          <w:color w:val="000000"/>
          <w:spacing w:val="0"/>
          <w:w w:val="100"/>
          <w:position w:val="0"/>
          <w:shd w:val="clear" w:color="auto" w:fill="auto"/>
          <w:lang w:val="hr-HR" w:eastAsia="hr-HR" w:bidi="hr-HR"/>
        </w:rPr>
        <w:t>(nahraniti)</w:t>
      </w:r>
      <w:r>
        <w:rPr>
          <w:rFonts w:ascii="Times New Roman" w:eastAsia="Times New Roman" w:hAnsi="Times New Roman" w:cs="Times New Roman"/>
          <w:color w:val="000000"/>
          <w:spacing w:val="0"/>
          <w:w w:val="100"/>
          <w:position w:val="0"/>
          <w:shd w:val="clear" w:color="auto" w:fill="auto"/>
          <w:lang w:val="hr-HR" w:eastAsia="hr-HR" w:bidi="hr-HR"/>
        </w:rPr>
        <w:t xml:space="preserve"> siroče bliskog roda </w:t>
      </w:r>
      <w:r>
        <w:rPr>
          <w:rFonts w:ascii="Times New Roman" w:eastAsia="Times New Roman" w:hAnsi="Times New Roman" w:cs="Times New Roman"/>
          <w:i/>
          <w:iCs/>
          <w:color w:val="000000"/>
          <w:spacing w:val="0"/>
          <w:w w:val="100"/>
          <w:position w:val="0"/>
          <w:shd w:val="clear" w:color="auto" w:fill="auto"/>
          <w:lang w:val="hr-HR" w:eastAsia="hr-HR" w:bidi="hr-HR"/>
        </w:rPr>
        <w:t>(bližeg rođaka),</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(nahraniti)</w:t>
      </w:r>
      <w:r>
        <w:rPr>
          <w:rFonts w:ascii="Times New Roman" w:eastAsia="Times New Roman" w:hAnsi="Times New Roman" w:cs="Times New Roman"/>
          <w:color w:val="000000"/>
          <w:spacing w:val="0"/>
          <w:w w:val="100"/>
          <w:position w:val="0"/>
          <w:shd w:val="clear" w:color="auto" w:fill="auto"/>
          <w:lang w:val="hr-HR" w:eastAsia="hr-HR" w:bidi="hr-HR"/>
        </w:rPr>
        <w:t xml:space="preserve"> bijednika, palog po zemlji </w:t>
      </w:r>
      <w:r>
        <w:rPr>
          <w:rFonts w:ascii="Times New Roman" w:eastAsia="Times New Roman" w:hAnsi="Times New Roman" w:cs="Times New Roman"/>
          <w:i/>
          <w:iCs/>
          <w:color w:val="000000"/>
          <w:spacing w:val="0"/>
          <w:w w:val="100"/>
          <w:position w:val="0"/>
          <w:shd w:val="clear" w:color="auto" w:fill="auto"/>
          <w:lang w:val="hr-HR" w:eastAsia="hr-HR" w:bidi="hr-HR"/>
        </w:rPr>
        <w:t>(od velikog siromaštva, nevolj</w:t>
        <w:softHyphen/>
        <w:t>nika, beskućnika),</w:t>
      </w:r>
      <w:r>
        <w:rPr>
          <w:rFonts w:ascii="Times New Roman" w:eastAsia="Times New Roman" w:hAnsi="Times New Roman" w:cs="Times New Roman"/>
          <w:color w:val="000000"/>
          <w:spacing w:val="0"/>
          <w:w w:val="100"/>
          <w:position w:val="0"/>
          <w:shd w:val="clear" w:color="auto" w:fill="auto"/>
          <w:lang w:val="hr-HR" w:eastAsia="hr-HR" w:bidi="hr-HR"/>
        </w:rPr>
        <w:t xml:space="preserve"> zatim biti od onih koji vje</w:t>
        <w:softHyphen/>
        <w:t>ruju i preporučuju međusobno strpljenje i pre</w:t>
        <w:softHyphen/>
        <w:t>poručuju međusobnu samilost« (90,12-17). Muhamed je govorio: »Najprije upitaj srce, a onda radi!« Mistici ponekad više nego na ob</w:t>
        <w:softHyphen/>
        <w:t>veznu molitvu važnost polažu na slobodnu i individualnu molitvu (dova) i na čistu medita</w:t>
        <w:softHyphen/>
        <w:t>ciju. S vremenima za molitvu postavljene su fizičke, ali i »moralne« granice radnoga dana. Zakon na znakovit način zabranjuje da se mo</w:t>
        <w:softHyphen/>
        <w:t>litve, posebice pak obvezne molitve, obavljaju u vremenu od izlaska sunca do podneva. Naime, to je vrijeme rezervirano za rad. Ri</w:t>
        <w:softHyphen/>
        <w:t>tam rada u visoko industrijaliziranome društvu stvara muslimanima mnoge probleme. Medu njima je i problem molitvene prakse.</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Religioznu dužnost, koja se ponavlja svakoga tjedna, predstavljaju velike zajedničke molitve i govor dotičnoga predvodnika zajednice kao vrhunac okupljanja. U religioznim se obitelji</w:t>
        <w:softHyphen/>
        <w:t>ma moli zajedno. Predvodnik je molitve obič</w:t>
        <w:softHyphen/>
        <w:t>no otac. Članovi obitelji smještaju se iza nje</w:t>
        <w:softHyphen/>
        <w:t>ga. Ili se moli pojedinačno. Prije i nakon jela moli se kratka dova (slobodna m.). Zajednič</w:t>
        <w:softHyphen/>
        <w:t>ka m. u džamiji ima prednost u odnosu na po</w:t>
        <w:softHyphen/>
        <w:t>jedinačnu molitvu. U prvom razdoblju islama džamije su zamjenjivale i škole, mnogi su stari imami zastupali shvaćanje da je posjećivanje džamija obvezno. Slijedeći mišljenje tada vla- dajuće hanbelitske pravne škole, u tom su smislu u Saudijskoj Arabiji sve do nedavno nemarni vjernici tjerani u džamije. Goetheova misao da ljudi koji su postigli duhovnu zrelost ne trebaju puno moliti imala je svojega pret</w:t>
        <w:softHyphen/>
        <w:t xml:space="preserve">hodnika u islamskoj mistici </w:t>
      </w:r>
      <w:r>
        <w:rPr>
          <w:rFonts w:ascii="Times New Roman" w:eastAsia="Times New Roman" w:hAnsi="Times New Roman" w:cs="Times New Roman"/>
          <w:i/>
          <w:iCs/>
          <w:color w:val="000000"/>
          <w:spacing w:val="0"/>
          <w:w w:val="100"/>
          <w:position w:val="0"/>
          <w:shd w:val="clear" w:color="auto" w:fill="auto"/>
          <w:lang w:val="en-US" w:eastAsia="en-US" w:bidi="en-US"/>
        </w:rPr>
        <w:t xml:space="preserve">(tasawwuf: </w:t>
      </w:r>
      <w:r>
        <w:rPr>
          <w:rFonts w:ascii="Times New Roman" w:eastAsia="Times New Roman" w:hAnsi="Times New Roman" w:cs="Times New Roman"/>
          <w:i/>
          <w:iCs/>
          <w:color w:val="000000"/>
          <w:spacing w:val="0"/>
          <w:w w:val="100"/>
          <w:position w:val="0"/>
          <w:shd w:val="clear" w:color="auto" w:fill="auto"/>
          <w:lang w:val="hr-HR" w:eastAsia="hr-HR" w:bidi="hr-HR"/>
        </w:rPr>
        <w:t>lesa- vuf).</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Muhammad </w:t>
      </w:r>
      <w:r>
        <w:rPr>
          <w:color w:val="000000"/>
          <w:spacing w:val="0"/>
          <w:w w:val="100"/>
          <w:position w:val="0"/>
          <w:shd w:val="clear" w:color="auto" w:fill="auto"/>
          <w:lang w:val="hr-HR" w:eastAsia="hr-HR" w:bidi="hr-HR"/>
        </w:rPr>
        <w:t xml:space="preserve">Hamidullah, </w:t>
      </w:r>
      <w:r>
        <w:rPr>
          <w:i/>
          <w:iCs/>
          <w:color w:val="000000"/>
          <w:spacing w:val="0"/>
          <w:w w:val="100"/>
          <w:position w:val="0"/>
          <w:shd w:val="clear" w:color="auto" w:fill="auto"/>
          <w:lang w:val="hr-HR" w:eastAsia="hr-HR" w:bidi="hr-HR"/>
        </w:rPr>
        <w:t xml:space="preserve">Der islam. </w:t>
      </w:r>
      <w:r>
        <w:rPr>
          <w:i/>
          <w:iCs/>
          <w:color w:val="000000"/>
          <w:spacing w:val="0"/>
          <w:w w:val="100"/>
          <w:position w:val="0"/>
          <w:shd w:val="clear" w:color="auto" w:fill="auto"/>
        </w:rPr>
        <w:t>Geschichie, Relig</w:t>
        <w:softHyphen/>
        <w:t xml:space="preserve">ion, </w:t>
      </w:r>
      <w:r>
        <w:rPr>
          <w:i/>
          <w:iCs/>
          <w:color w:val="000000"/>
          <w:spacing w:val="0"/>
          <w:w w:val="100"/>
          <w:position w:val="0"/>
          <w:shd w:val="clear" w:color="auto" w:fill="auto"/>
          <w:lang w:val="hr-HR" w:eastAsia="hr-HR" w:bidi="hr-HR"/>
        </w:rPr>
        <w:t>Kultur,</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Salmiyah-Kuwait </w:t>
      </w:r>
      <w:r>
        <w:rPr>
          <w:color w:val="000000"/>
          <w:spacing w:val="0"/>
          <w:w w:val="100"/>
          <w:position w:val="0"/>
          <w:shd w:val="clear" w:color="auto" w:fill="auto"/>
          <w:lang w:val="hr-HR" w:eastAsia="hr-HR" w:bidi="hr-HR"/>
        </w:rPr>
        <w:t xml:space="preserve">1973; Ali </w:t>
      </w:r>
      <w:r>
        <w:rPr>
          <w:color w:val="000000"/>
          <w:spacing w:val="0"/>
          <w:w w:val="100"/>
          <w:position w:val="0"/>
          <w:shd w:val="clear" w:color="auto" w:fill="auto"/>
        </w:rPr>
        <w:t xml:space="preserve">Arslan Aydin, </w:t>
      </w:r>
      <w:r>
        <w:rPr>
          <w:i/>
          <w:iCs/>
          <w:color w:val="000000"/>
          <w:spacing w:val="0"/>
          <w:w w:val="100"/>
          <w:position w:val="0"/>
          <w:shd w:val="clear" w:color="auto" w:fill="auto"/>
          <w:lang w:val="hr-HR" w:eastAsia="hr-HR" w:bidi="hr-HR"/>
        </w:rPr>
        <w:t>Is- lam'da imun ve esaslari</w:t>
      </w:r>
      <w:r>
        <w:rPr>
          <w:color w:val="000000"/>
          <w:spacing w:val="0"/>
          <w:w w:val="100"/>
          <w:position w:val="0"/>
          <w:shd w:val="clear" w:color="auto" w:fill="auto"/>
          <w:lang w:val="hr-HR" w:eastAsia="hr-HR" w:bidi="hr-HR"/>
        </w:rPr>
        <w:t xml:space="preserve"> (Vjera u islamu i njezine </w:t>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 xml:space="preserve">omiovc), </w:t>
      </w:r>
      <w:r>
        <w:rPr>
          <w:color w:val="000000"/>
          <w:spacing w:val="0"/>
          <w:w w:val="100"/>
          <w:position w:val="0"/>
          <w:shd w:val="clear" w:color="auto" w:fill="auto"/>
          <w:lang w:val="hr-HR" w:eastAsia="hr-HR" w:bidi="hr-HR"/>
        </w:rPr>
        <w:t xml:space="preserve">Istanbul 1975; natuknica »SaUt«. u: </w:t>
      </w:r>
      <w:r>
        <w:rPr>
          <w:i/>
          <w:iCs/>
          <w:color w:val="000000"/>
          <w:spacing w:val="0"/>
          <w:w w:val="100"/>
          <w:position w:val="0"/>
          <w:shd w:val="clear" w:color="auto" w:fill="auto"/>
        </w:rPr>
        <w:t xml:space="preserve">Handwrierbuch des </w:t>
      </w:r>
      <w:r>
        <w:rPr>
          <w:i/>
          <w:iCs/>
          <w:color w:val="000000"/>
          <w:spacing w:val="0"/>
          <w:w w:val="100"/>
          <w:position w:val="0"/>
          <w:shd w:val="clear" w:color="auto" w:fill="auto"/>
          <w:lang w:val="hr-HR" w:eastAsia="hr-HR" w:bidi="hr-HR"/>
        </w:rPr>
        <w:t>is</w:t>
        <w:softHyphen/>
      </w:r>
    </w:p>
    <w:p>
      <w:pPr>
        <w:pStyle w:val="Style56"/>
        <w:keepNext w:val="0"/>
        <w:keepLines w:val="0"/>
        <w:widowControl w:val="0"/>
        <w:shd w:val="clear" w:color="auto" w:fill="auto"/>
        <w:tabs>
          <w:tab w:pos="2563" w:val="left"/>
        </w:tabs>
        <w:bidi w:val="0"/>
        <w:spacing w:before="0" w:after="280" w:line="240" w:lineRule="auto"/>
        <w:ind w:left="0" w:right="0" w:firstLine="0"/>
        <w:jc w:val="both"/>
      </w:pPr>
      <w:r>
        <w:rPr>
          <w:i/>
          <w:iCs/>
          <w:color w:val="000000"/>
          <w:spacing w:val="0"/>
          <w:w w:val="100"/>
          <w:position w:val="0"/>
          <w:shd w:val="clear" w:color="auto" w:fill="auto"/>
          <w:lang w:val="hr-HR" w:eastAsia="hr-HR" w:bidi="hr-HR"/>
        </w:rPr>
        <w:t>lam,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Leiden </w:t>
      </w:r>
      <w:r>
        <w:rPr>
          <w:color w:val="000000"/>
          <w:spacing w:val="0"/>
          <w:w w:val="100"/>
          <w:position w:val="0"/>
          <w:shd w:val="clear" w:color="auto" w:fill="auto"/>
          <w:lang w:val="hr-HR" w:eastAsia="hr-HR" w:bidi="hr-HR"/>
        </w:rPr>
        <w:t xml:space="preserve">1941, 636-645; </w:t>
      </w:r>
      <w:r>
        <w:rPr>
          <w:color w:val="000000"/>
          <w:spacing w:val="0"/>
          <w:w w:val="100"/>
          <w:position w:val="0"/>
          <w:shd w:val="clear" w:color="auto" w:fill="auto"/>
        </w:rPr>
        <w:t xml:space="preserve">Anncmaric Schimmel, </w:t>
      </w:r>
      <w:r>
        <w:rPr>
          <w:i/>
          <w:iCs/>
          <w:color w:val="000000"/>
          <w:spacing w:val="0"/>
          <w:w w:val="100"/>
          <w:position w:val="0"/>
          <w:shd w:val="clear" w:color="auto" w:fill="auto"/>
        </w:rPr>
        <w:t>Denn Dein ist das Reich. Gebete des Islams</w:t>
      </w:r>
      <w:r>
        <w:rPr>
          <w:color w:val="000000"/>
          <w:spacing w:val="0"/>
          <w:w w:val="100"/>
          <w:position w:val="0"/>
          <w:shd w:val="clear" w:color="auto" w:fill="auto"/>
        </w:rPr>
        <w:t xml:space="preserve"> (Tapos-TB 111), Mainz 1981.</w:t>
        <w:tab/>
        <w:t xml:space="preserve">S </w:t>
      </w:r>
      <w:r>
        <w:rPr>
          <w:color w:val="000000"/>
          <w:spacing w:val="0"/>
          <w:w w:val="100"/>
          <w:position w:val="0"/>
          <w:shd w:val="clear" w:color="auto" w:fill="auto"/>
          <w:lang w:val="hr-HR" w:eastAsia="hr-HR" w:bidi="hr-HR"/>
        </w:rPr>
        <w:t>I3AMĆ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MONOTEIZAM</w:t>
      </w:r>
    </w:p>
    <w:p>
      <w:pPr>
        <w:pStyle w:val="Style63"/>
        <w:keepNext/>
        <w:keepLines/>
        <w:widowControl w:val="0"/>
        <w:numPr>
          <w:ilvl w:val="0"/>
          <w:numId w:val="323"/>
        </w:numPr>
        <w:shd w:val="clear" w:color="auto" w:fill="auto"/>
        <w:tabs>
          <w:tab w:pos="241" w:val="left"/>
        </w:tabs>
        <w:bidi w:val="0"/>
        <w:spacing w:before="0"/>
        <w:ind w:left="0" w:right="0" w:firstLine="0"/>
        <w:jc w:val="both"/>
      </w:pPr>
      <w:bookmarkStart w:id="200" w:name="bookmark200"/>
      <w:r>
        <w:rPr>
          <w:rFonts w:ascii="Times New Roman" w:eastAsia="Times New Roman" w:hAnsi="Times New Roman" w:cs="Times New Roman"/>
          <w:color w:val="000000"/>
          <w:spacing w:val="0"/>
          <w:w w:val="100"/>
          <w:position w:val="0"/>
          <w:shd w:val="clear" w:color="auto" w:fill="auto"/>
          <w:lang w:val="hr-HR" w:eastAsia="hr-HR" w:bidi="hr-HR"/>
        </w:rPr>
        <w:t>židovski</w:t>
      </w:r>
      <w:bookmarkEnd w:id="200"/>
    </w:p>
    <w:p>
      <w:pPr>
        <w:pStyle w:val="Style20"/>
        <w:keepNext w:val="0"/>
        <w:keepLines w:val="0"/>
        <w:widowControl w:val="0"/>
        <w:numPr>
          <w:ilvl w:val="0"/>
          <w:numId w:val="32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»JA jesam i nema drugoga; osim mene Boga nema.«</w:t>
      </w:r>
      <w:r>
        <w:rPr>
          <w:rFonts w:ascii="Times New Roman" w:eastAsia="Times New Roman" w:hAnsi="Times New Roman" w:cs="Times New Roman"/>
          <w:color w:val="000000"/>
          <w:spacing w:val="0"/>
          <w:w w:val="100"/>
          <w:position w:val="0"/>
          <w:shd w:val="clear" w:color="auto" w:fill="auto"/>
          <w:lang w:val="hr-HR" w:eastAsia="hr-HR" w:bidi="hr-HR"/>
        </w:rPr>
        <w:t xml:space="preserve"> Nepoznati prorok s kraja sužanjstva u Mezopotamiji (»Međuriječju«), čije su rečeni</w:t>
        <w:softHyphen/>
        <w:t>ce pridodane Izaijinoj knjizi (pogl. 40-55, odatle Deuteroizaija), smatrao je svojom za</w:t>
        <w:softHyphen/>
        <w:t>daćom da kao ništavan odbije pravo bogova na upravljanje sudbinama naroda: »Nek pri</w:t>
        <w:softHyphen/>
        <w:t>stupe i nek nam objave ono što će se zbiti. Ta što su nam otkrili o onom što bijaše, što se is</w:t>
        <w:softHyphen/>
        <w:t>punilo, da o tom mislimo? II’ objavite što će biti, da doznamo ono što dolazi? Otkrijte nam što će se poslije zbiti, i poznat ćemo da ste bo</w:t>
        <w:softHyphen/>
        <w:t>govi. Učinite nešto, dobro ili zlo, da se začudi</w:t>
        <w:softHyphen/>
        <w:t>mo i prepadnemo zajedno. Ali vi niste ništa i djela su vam ništavna, gnusan je koji vas iza</w:t>
        <w:softHyphen/>
        <w:t>bere« (41,22-24). Od ništavnosti bogova, koji su izražavali samo samopotvrdu i i prava ljudi koji ih »prave« (40,18 i d.; 44,9 i d.; 46,5 i d.), Deuteroizaija je konkretno razgraničio bez</w:t>
        <w:softHyphen/>
        <w:t xml:space="preserve">uvjetnu nadmoć svoje poruke; »proizvodima« nije suprotstavio drugi »proizvod« nego </w:t>
      </w:r>
      <w:r>
        <w:rPr>
          <w:rFonts w:ascii="Times New Roman" w:eastAsia="Times New Roman" w:hAnsi="Times New Roman" w:cs="Times New Roman"/>
          <w:i/>
          <w:iCs/>
          <w:color w:val="000000"/>
          <w:spacing w:val="0"/>
          <w:w w:val="100"/>
          <w:position w:val="0"/>
          <w:shd w:val="clear" w:color="auto" w:fill="auto"/>
          <w:lang w:val="hr-HR" w:eastAsia="hr-HR" w:bidi="hr-HR"/>
        </w:rPr>
        <w:t xml:space="preserve">Boga: </w:t>
      </w:r>
      <w:r>
        <w:rPr>
          <w:rFonts w:ascii="Times New Roman" w:eastAsia="Times New Roman" w:hAnsi="Times New Roman" w:cs="Times New Roman"/>
          <w:color w:val="000000"/>
          <w:spacing w:val="0"/>
          <w:w w:val="100"/>
          <w:position w:val="0"/>
          <w:shd w:val="clear" w:color="auto" w:fill="auto"/>
          <w:lang w:val="hr-HR" w:eastAsia="hr-HR" w:bidi="hr-HR"/>
        </w:rPr>
        <w:t>»Tko je to učinio i izvršio? Onaj koji odiskona zove naraštaje, JA koji sam prvi i bit ću ovaj isti s posljednjima« (41,4). Onaj tko tako go</w:t>
        <w:softHyphen/>
        <w:t>vori, ne utvrđuje povijest onostranosti koja je zapravo daleko od povijesti i sada je pušta da se odvija; on je sam izborio ulazak u povijest (42,13). Bog, gospodar povijesti, utječe na po</w:t>
        <w:softHyphen/>
        <w:t>litički program Kira (45,1-3), humanog vla</w:t>
        <w:softHyphen/>
        <w:t>dara iz doba Deuteroizaije. Ta proročka teo</w:t>
        <w:softHyphen/>
        <w:t>logija oblikovana je »monoteistički«: »JA je</w:t>
        <w:softHyphen/>
        <w:t>sam i nema drugoga; osim mene Boga nema« (45,5, usp. 45,6.18; 44,6). Njegov povijesni realizam ne dopušta proroku da previdi stva</w:t>
        <w:softHyphen/>
        <w:t>ranje; Bog koji stvara u povijesti Stvoritelj je koji »tvori svjetlost i stvara tamu. JA stvaram sreću i dovodim nesreću. JA činim sve to« (45,7). Predstavnik te »monoteističke« teolo</w:t>
        <w:softHyphen/>
        <w:t>gije nije Izraelov prvi »monoteist«.</w:t>
      </w:r>
    </w:p>
    <w:p>
      <w:pPr>
        <w:pStyle w:val="Style20"/>
        <w:keepNext w:val="0"/>
        <w:keepLines w:val="0"/>
        <w:widowControl w:val="0"/>
        <w:shd w:val="clear" w:color="auto" w:fill="auto"/>
        <w:bidi w:val="0"/>
        <w:spacing w:before="0" w:after="0" w:line="240" w:lineRule="auto"/>
        <w:ind w:left="0" w:right="0" w:firstLine="0"/>
        <w:jc w:val="both"/>
        <w:sectPr>
          <w:headerReference w:type="default" r:id="rId851"/>
          <w:footerReference w:type="default" r:id="rId852"/>
          <w:headerReference w:type="even" r:id="rId853"/>
          <w:footerReference w:type="even" r:id="rId854"/>
          <w:footnotePr>
            <w:pos w:val="pageBottom"/>
            <w:numFmt w:val="decimal"/>
            <w:numRestart w:val="continuous"/>
            <w15:footnoteColumns w:val="1"/>
          </w:footnotePr>
          <w:pgSz w:w="6816" w:h="11006"/>
          <w:pgMar w:top="856" w:left="188" w:right="191" w:bottom="266" w:header="0" w:footer="3" w:gutter="0"/>
          <w:pgNumType w:start="284"/>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Rečenice s »JA« u deuteroizaijskoj objavi Bo</w:t>
        <w:softHyphen/>
        <w:t xml:space="preserve">ga istodobno otkrivaju, obuhvaćajući svijet, rečenicu s »JA« na početku Deset zapovijedi, u kojoj se Bog predstavlja kao osloboditelj i vođa, gospodar povijesti naroda: »JA sam Bog tvoj, koji sam te izveo iz zemlje egipatske,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kuće ropstva« s potrebnom posljedicom za Izrael kojemu se obraća: »Nećeš imati drugih bogova osim mene« (Izl 20,2 i d.). Slijed bez- uvjetnosti u izraelskom doživljavanju Boga u Mojsijevo doba nije se izgubio u stoljeću ve</w:t>
        <w:softHyphen/>
        <w:t>like katastrofe; to vrijedi i za propovijed prog</w:t>
        <w:softHyphen/>
        <w:t>nanima; prorok iz progonstva morao ju je protumačiti samo u njezinu značenju za povi</w:t>
        <w:softHyphen/>
        <w:t>jest naroda. Zahtjev isključivosti već je ipak odredio odnos otaca prema njihovu Bogu: »Odbacite tuđe kumire koji se nalaze u vašoj sredini!« (Post 35,2), a to se ponavlja kao glavni motiv u Jošuinu govoru kojim se obraća narodu na saboru (Jš 24,23). Sukladnost osob</w:t>
        <w:softHyphen/>
        <w:t>noga i kolektivnog oblika čvrsto spaja pretpo</w:t>
        <w:softHyphen/>
        <w:t>vijesne predaje o pojedinačnim osobama s onima o povijesti naroda. Riječi Boga upu</w:t>
        <w:softHyphen/>
        <w:t>ćene Abramu: »JA sam taj koji sam te odveo iz Ura Kaldejskoga« (Post 15,7) odražavaju po</w:t>
        <w:softHyphen/>
        <w:t>četak Dekaloga (Izl 20,2), od susreta s Bogom na putu praoca do susreta s Bogom u povijesti Izraela. U tu sukladnost iskustava s Bogom otaca i s Bogom Izraela uklapa se Abraha- movo zazivanje »Boga Vječnog«: »... i ondje zazove ime: ON Bog Vječni« (Post 21,33; usp. 12,8; 13,4; 26,25) i pokazuje daje Bog, koji je sada preuzeo vlast u zemlji Kanaanu, oduvijek njome vladao, premda u drugom obliku. Ta bi</w:t>
        <w:softHyphen/>
        <w:t>blijska sklonost znači ponovno spoznati u Bogu, koji prati patrijarhe, Onoga koji ih je izveo iz Egipta i zakonodavca svojem narodu te povi</w:t>
        <w:softHyphen/>
        <w:t xml:space="preserve">jesno moćnoga Boga proročke objave (s tim u vezi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hr-HR" w:eastAsia="hr-HR" w:bidi="hr-HR"/>
        </w:rPr>
        <w:t>Kdnigtum Gottes,</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 xml:space="preserve">1956,53-90; isti, </w:t>
      </w:r>
      <w:r>
        <w:rPr>
          <w:rFonts w:ascii="Times New Roman" w:eastAsia="Times New Roman" w:hAnsi="Times New Roman" w:cs="Times New Roman"/>
          <w:i/>
          <w:iCs/>
          <w:color w:val="000000"/>
          <w:spacing w:val="0"/>
          <w:w w:val="100"/>
          <w:position w:val="0"/>
          <w:shd w:val="clear" w:color="auto" w:fill="auto"/>
          <w:lang w:val="en-US" w:eastAsia="en-US" w:bidi="en-US"/>
        </w:rPr>
        <w:t>Moses,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-’1966, 53 i d.; 112 i d.), ne potječe od koncepta kasnijeg shvaćanja (usp. R. Rend- torff,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Alte Testament. Eine Einfuhrung, </w:t>
      </w:r>
      <w:r>
        <w:rPr>
          <w:rFonts w:ascii="Times New Roman" w:eastAsia="Times New Roman" w:hAnsi="Times New Roman" w:cs="Times New Roman"/>
          <w:color w:val="000000"/>
          <w:spacing w:val="0"/>
          <w:w w:val="100"/>
          <w:position w:val="0"/>
          <w:shd w:val="clear" w:color="auto" w:fill="auto"/>
          <w:lang w:val="hr-HR" w:eastAsia="hr-HR" w:bidi="hr-HR"/>
        </w:rPr>
        <w:t>1983, 9 i d.), nego je to odraz povijesno doživ</w:t>
        <w:softHyphen/>
        <w:t>ljenih susreta s jednim istim Bogom.</w:t>
      </w:r>
    </w:p>
    <w:p>
      <w:pPr>
        <w:pStyle w:val="Style20"/>
        <w:keepNext w:val="0"/>
        <w:keepLines w:val="0"/>
        <w:widowControl w:val="0"/>
        <w:numPr>
          <w:ilvl w:val="0"/>
          <w:numId w:val="32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 i posvjedoči da nema Boga osim tebe.« </w:t>
      </w:r>
      <w:r>
        <w:rPr>
          <w:rFonts w:ascii="Times New Roman" w:eastAsia="Times New Roman" w:hAnsi="Times New Roman" w:cs="Times New Roman"/>
          <w:color w:val="000000"/>
          <w:spacing w:val="0"/>
          <w:w w:val="100"/>
          <w:position w:val="0"/>
          <w:shd w:val="clear" w:color="auto" w:fill="auto"/>
          <w:lang w:val="hr-HR" w:eastAsia="hr-HR" w:bidi="hr-HR"/>
        </w:rPr>
        <w:t>Predajom prenesenoj biblijskoj povijesti sje</w:t>
        <w:softHyphen/>
        <w:t>ćanja i očekivanja prijeko je potrebno suče</w:t>
        <w:softHyphen/>
        <w:t>ljavanje Božjega Ja i Izraclova Ti. U Ti-iskus- tvu osobnoga odnosa naroda i pojedinca koji mu pripada korijeni su tzv. monoteizma ži</w:t>
        <w:softHyphen/>
        <w:t xml:space="preserve">dovske zajednice. On joj je ostao usađen u svijesti kao nešto svakodnevno koje - navečer i ujutro - uvijek iznova potvrđuje i ostvaruje uzajamni odnos s Jednim Jedinim (b Hagiga 3a; Berahot 6a): »Čuj, Izraele: ON je Bog naš, </w:t>
      </w:r>
      <w:r>
        <w:rPr>
          <w:rFonts w:ascii="Times New Roman" w:eastAsia="Times New Roman" w:hAnsi="Times New Roman" w:cs="Times New Roman"/>
          <w:i/>
          <w:iCs/>
          <w:color w:val="000000"/>
          <w:spacing w:val="0"/>
          <w:w w:val="100"/>
          <w:position w:val="0"/>
          <w:shd w:val="clear" w:color="auto" w:fill="auto"/>
          <w:lang w:val="hr-HR" w:eastAsia="hr-HR" w:bidi="hr-HR"/>
        </w:rPr>
        <w:t>ON</w:t>
      </w:r>
      <w:r>
        <w:rPr>
          <w:rFonts w:ascii="Times New Roman" w:eastAsia="Times New Roman" w:hAnsi="Times New Roman" w:cs="Times New Roman"/>
          <w:color w:val="000000"/>
          <w:spacing w:val="0"/>
          <w:w w:val="100"/>
          <w:position w:val="0"/>
          <w:shd w:val="clear" w:color="auto" w:fill="auto"/>
          <w:lang w:val="hr-HR" w:eastAsia="hr-HR" w:bidi="hr-HR"/>
        </w:rPr>
        <w:t xml:space="preserve"> je jedini!« (Pnz 6,4). S tim u vezi Bog u jednoj rabinskoj propovijedi kaže Izraelcima: »Djeco moja! Sve što sam stvorio, stvorio sam </w:t>
      </w:r>
      <w:r>
        <w:rPr>
          <w:rFonts w:ascii="Times New Roman" w:eastAsia="Times New Roman" w:hAnsi="Times New Roman" w:cs="Times New Roman"/>
          <w:color w:val="000000"/>
          <w:spacing w:val="0"/>
          <w:w w:val="100"/>
          <w:position w:val="0"/>
          <w:shd w:val="clear" w:color="auto" w:fill="auto"/>
          <w:lang w:val="hr-HR" w:eastAsia="hr-HR" w:bidi="hr-HR"/>
        </w:rPr>
        <w:t xml:space="preserve">u paru, nebo i zemlja su par, sunce i mjesec su par, Adam i Eva su par, ovaj i onaj svijet su par, ali moja je čast jedina u svijetu« </w:t>
      </w:r>
      <w:r>
        <w:rPr>
          <w:rFonts w:ascii="Times New Roman" w:eastAsia="Times New Roman" w:hAnsi="Times New Roman" w:cs="Times New Roman"/>
          <w:color w:val="000000"/>
          <w:spacing w:val="0"/>
          <w:w w:val="100"/>
          <w:position w:val="0"/>
          <w:shd w:val="clear" w:color="auto" w:fill="auto"/>
          <w:lang w:val="en-US" w:eastAsia="en-US" w:bidi="en-US"/>
        </w:rPr>
        <w:t>(De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varim</w:t>
      </w:r>
      <w:r>
        <w:rPr>
          <w:rFonts w:ascii="Times New Roman" w:eastAsia="Times New Roman" w:hAnsi="Times New Roman" w:cs="Times New Roman"/>
          <w:color w:val="000000"/>
          <w:spacing w:val="0"/>
          <w:w w:val="100"/>
          <w:position w:val="0"/>
          <w:shd w:val="clear" w:color="auto" w:fill="auto"/>
          <w:lang w:val="hr-HR" w:eastAsia="hr-HR" w:bidi="hr-HR"/>
        </w:rPr>
        <w:t xml:space="preserve"> raba 11,6,4). Jedno drugo tumačenje po</w:t>
        <w:softHyphen/>
        <w:t>vezuje »Čuj, Izraele«, s ispovjednim pitanjem: »Koga imam na nebu?« (I’s 73,25): »Bog ih je (sedam nebesa) otvorio Izraelcima (na Sina</w:t>
        <w:softHyphen/>
        <w:t>ju) kako bi im objavio da nema drugoga Boga osim njega. Tada reče zajednica Izraelova pred Bogom: Vladaru svijeta! Koga imam još na nebu osim tvoje uzvišenosti? Kako na nebu imam samo tebe, ne tražim drugoga ni na zemlji. Kako s tobom na nebu ne povezujem drugog Boga, ne povezujem s tobom ni jed</w:t>
        <w:softHyphen/>
        <w:t>noga drugog Boga na zemlji, već svakoga da</w:t>
        <w:softHyphen/>
        <w:t xml:space="preserve">na odlazim u kuće okupljanja i svjedočim da nema Boga osim tebe«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Učenjaci su isto</w:t>
        <w:softHyphen/>
        <w:t>dobno odlučno upozorili na vezu između uzvi</w:t>
        <w:softHyphen/>
        <w:t>ka o jedinstvu Boga i posljedicama u ispunje</w:t>
        <w:softHyphen/>
        <w:t>nju života: »Otkada se Izraelcima posrećilo da čitaju »Šema« (»Čuj«)? R. Pinhas bar Hama je rekao: Otkako su dobili zakon, Izraelcima se posrećilo čitanje Šema. Kako to? Ti sma</w:t>
        <w:softHyphen/>
        <w:t>traš da je Bog na Sinaju počeo samo tom ri</w:t>
        <w:softHyphen/>
        <w:t xml:space="preserve">ječju, on im je, naime, rekao: ‘Čuj, Izraele! JA sam tvoj Bog’, i svi su Izraelci to prihvatili s riječima: ‘ON je naš Bog, ON jedini’«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Priznanju Jedinoga odgovara samo pravo dje</w:t>
        <w:softHyphen/>
        <w:t>lo: »Zašto se (Sema) odlomci (Pnz 6,4-9; 11,13-21; Br 15,37-41) svakodnevno recitira</w:t>
        <w:softHyphen/>
        <w:t>ju?... R. Levi je rekao: Zato što je u njima Deset zapovijedi. ‘JA sam tvoj Bog’ (1. zapo</w:t>
        <w:softHyphen/>
        <w:t>vijed), kojoj odgovara: ‘Čuj, Izraele, ON je naš Bog.’ - Nećeš imati drugih bogova osim mene (2. zapovijed prema židovskom broja</w:t>
        <w:softHyphen/>
        <w:t>nju), kojoj odgovara. ‘ON jedini’ - ‘Nećeš is</w:t>
        <w:softHyphen/>
        <w:t>prazno izgovoriti Ime Gospodina Boga svo</w:t>
        <w:softHyphen/>
        <w:t>jega’ (3. zapovijed), kojoj odgovara: ‘Zato lju</w:t>
        <w:softHyphen/>
        <w:t>bi NJEGA, Boga svoga' (Pnz 6,5)...« (j Bera</w:t>
        <w:softHyphen/>
        <w:t>hot 1,3c).</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»Čuj, Izraele« riječ »ehad« znači »jedan«. U rabinskoj literaturi za jcdincatost Boga do</w:t>
        <w:softHyphen/>
        <w:t>lazi točniji izraz »jihud« (Pcsikta Sutarta, Ni- zavim kraj); njegovo značenje oslobađa jedin- catost Boga od nejasnoće koju daje »jedin</w:t>
        <w:softHyphen/>
        <w:t xml:space="preserve">stvo«. U religijsko-filozofskoj literaturi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jihud </w:t>
      </w:r>
      <w:r>
        <w:rPr>
          <w:rFonts w:ascii="Times New Roman" w:eastAsia="Times New Roman" w:hAnsi="Times New Roman" w:cs="Times New Roman"/>
          <w:color w:val="000000"/>
          <w:spacing w:val="0"/>
          <w:w w:val="100"/>
          <w:position w:val="0"/>
          <w:shd w:val="clear" w:color="auto" w:fill="auto"/>
          <w:lang w:val="hr-HR" w:eastAsia="hr-HR" w:bidi="hr-HR"/>
        </w:rPr>
        <w:t>označava i biće Božje: oslanjajući se na arap- sko-islamsku filozofiju religije i u bavljenju njo</w:t>
        <w:softHyphen/>
        <w:t xml:space="preserve">me, </w:t>
      </w:r>
      <w:r>
        <w:rPr>
          <w:rFonts w:ascii="Times New Roman" w:eastAsia="Times New Roman" w:hAnsi="Times New Roman" w:cs="Times New Roman"/>
          <w:color w:val="000000"/>
          <w:spacing w:val="0"/>
          <w:w w:val="100"/>
          <w:position w:val="0"/>
          <w:shd w:val="clear" w:color="auto" w:fill="auto"/>
          <w:lang w:val="en-US" w:eastAsia="en-US" w:bidi="en-US"/>
        </w:rPr>
        <w:t xml:space="preserve">Saadja (IX./X.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Bahja ibn Paku- da </w:t>
      </w:r>
      <w:r>
        <w:rPr>
          <w:rFonts w:ascii="Times New Roman" w:eastAsia="Times New Roman" w:hAnsi="Times New Roman" w:cs="Times New Roman"/>
          <w:color w:val="000000"/>
          <w:spacing w:val="0"/>
          <w:w w:val="100"/>
          <w:position w:val="0"/>
          <w:shd w:val="clear" w:color="auto" w:fill="auto"/>
          <w:lang w:val="en-US" w:eastAsia="en-US" w:bidi="en-US"/>
        </w:rPr>
        <w:t xml:space="preserve">(XI./XII.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Majmonid </w:t>
      </w:r>
      <w:r>
        <w:rPr>
          <w:rFonts w:ascii="Times New Roman" w:eastAsia="Times New Roman" w:hAnsi="Times New Roman" w:cs="Times New Roman"/>
          <w:color w:val="000000"/>
          <w:spacing w:val="0"/>
          <w:w w:val="100"/>
          <w:position w:val="0"/>
          <w:shd w:val="clear" w:color="auto" w:fill="auto"/>
          <w:lang w:val="en-US" w:eastAsia="en-US" w:bidi="en-US"/>
        </w:rPr>
        <w:t xml:space="preserve">(XII./XIII.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i dr. istraživali su božansku jedinca- tost koji su je razlikovali od prolaznoga jedin- </w:t>
      </w:r>
      <w:r>
        <w:rPr>
          <w:rFonts w:ascii="Times New Roman" w:eastAsia="Times New Roman" w:hAnsi="Times New Roman" w:cs="Times New Roman"/>
          <w:color w:val="000000"/>
          <w:spacing w:val="0"/>
          <w:w w:val="100"/>
          <w:position w:val="0"/>
          <w:shd w:val="clear" w:color="auto" w:fill="auto"/>
          <w:lang w:val="hr-HR" w:eastAsia="hr-HR" w:bidi="hr-HR"/>
        </w:rPr>
        <w:t xml:space="preserve">siva svih stvorenja i samo formalnog jedinstva svijeta brojeva: »Ovaj Bog je jedan jedincati </w:t>
      </w:r>
      <w:r>
        <w:rPr>
          <w:rFonts w:ascii="Times New Roman" w:eastAsia="Times New Roman" w:hAnsi="Times New Roman" w:cs="Times New Roman"/>
          <w:i/>
          <w:iCs/>
          <w:color w:val="000000"/>
          <w:spacing w:val="0"/>
          <w:w w:val="100"/>
          <w:position w:val="0"/>
          <w:shd w:val="clear" w:color="auto" w:fill="auto"/>
          <w:lang w:val="hr-HR" w:eastAsia="hr-HR" w:bidi="hr-HR"/>
        </w:rPr>
        <w:t>(ehad),</w:t>
      </w:r>
      <w:r>
        <w:rPr>
          <w:rFonts w:ascii="Times New Roman" w:eastAsia="Times New Roman" w:hAnsi="Times New Roman" w:cs="Times New Roman"/>
          <w:color w:val="000000"/>
          <w:spacing w:val="0"/>
          <w:w w:val="100"/>
          <w:position w:val="0"/>
          <w:shd w:val="clear" w:color="auto" w:fill="auto"/>
          <w:lang w:val="hr-HR" w:eastAsia="hr-HR" w:bidi="hr-HR"/>
        </w:rPr>
        <w:t xml:space="preserve"> ne dva ili više bića, već samo jedan jedincati.« »Samo on je pravi i osim njega ništa nije kao pravo biće« (Majmonid, Misne Tora, Hilhot Jcsodcj Ha-Tora 1,7.4). Židovski mis</w:t>
        <w:softHyphen/>
        <w:t>tici, kojima je zbog zadubljivanja u predodžbu živoga Boga iskrsnuo čitav svijet, ujedinili su taj životni proces s monoteističkom spozna</w:t>
        <w:softHyphen/>
        <w:t xml:space="preserve">jom koja im je također bila dragocjena. </w:t>
      </w:r>
      <w:r>
        <w:rPr>
          <w:rFonts w:ascii="Times New Roman" w:eastAsia="Times New Roman" w:hAnsi="Times New Roman" w:cs="Times New Roman"/>
          <w:color w:val="000000"/>
          <w:spacing w:val="0"/>
          <w:w w:val="100"/>
          <w:position w:val="0"/>
          <w:shd w:val="clear" w:color="auto" w:fill="auto"/>
          <w:lang w:val="en-US" w:eastAsia="en-US" w:bidi="en-US"/>
        </w:rPr>
        <w:t>Re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formski</w:t>
      </w:r>
      <w:r>
        <w:rPr>
          <w:rFonts w:ascii="Times New Roman" w:eastAsia="Times New Roman" w:hAnsi="Times New Roman" w:cs="Times New Roman"/>
          <w:color w:val="000000"/>
          <w:spacing w:val="0"/>
          <w:w w:val="100"/>
          <w:position w:val="0"/>
          <w:shd w:val="clear" w:color="auto" w:fill="auto"/>
          <w:lang w:val="hr-HR" w:eastAsia="hr-HR" w:bidi="hr-HR"/>
        </w:rPr>
        <w:t xml:space="preserve"> pokret </w:t>
      </w:r>
      <w:r>
        <w:rPr>
          <w:rFonts w:ascii="Times New Roman" w:eastAsia="Times New Roman" w:hAnsi="Times New Roman" w:cs="Times New Roman"/>
          <w:color w:val="000000"/>
          <w:spacing w:val="0"/>
          <w:w w:val="100"/>
          <w:position w:val="0"/>
          <w:shd w:val="clear" w:color="auto" w:fill="auto"/>
          <w:lang w:val="en-US" w:eastAsia="en-US" w:bidi="en-US"/>
        </w:rPr>
        <w:t xml:space="preserve">(Pittsburgh Platform, </w:t>
      </w:r>
      <w:r>
        <w:rPr>
          <w:rFonts w:ascii="Times New Roman" w:eastAsia="Times New Roman" w:hAnsi="Times New Roman" w:cs="Times New Roman"/>
          <w:color w:val="000000"/>
          <w:spacing w:val="0"/>
          <w:w w:val="100"/>
          <w:position w:val="0"/>
          <w:shd w:val="clear" w:color="auto" w:fill="auto"/>
          <w:lang w:val="hr-HR" w:eastAsia="hr-HR" w:bidi="hr-HR"/>
        </w:rPr>
        <w:t>1855, II. načelo) i religijsko-liberalno židovstvo u Nje</w:t>
        <w:softHyphen/>
        <w:t xml:space="preserve">mačkoj shvatili su izraelski m. kao etički m.: vjera u jednoga Boga izrasta iz ćudorednog jedinstva (usp.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Wesen des </w:t>
      </w:r>
      <w:r>
        <w:rPr>
          <w:rFonts w:ascii="Times New Roman" w:eastAsia="Times New Roman" w:hAnsi="Times New Roman" w:cs="Times New Roman"/>
          <w:i/>
          <w:iCs/>
          <w:color w:val="000000"/>
          <w:spacing w:val="0"/>
          <w:w w:val="100"/>
          <w:position w:val="0"/>
          <w:shd w:val="clear" w:color="auto" w:fill="auto"/>
          <w:lang w:val="hr-HR" w:eastAsia="hr-HR" w:bidi="hr-HR"/>
        </w:rPr>
        <w:t>Ju- dentums,</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6</w:t>
      </w:r>
      <w:r>
        <w:rPr>
          <w:rFonts w:ascii="Times New Roman" w:eastAsia="Times New Roman" w:hAnsi="Times New Roman" w:cs="Times New Roman"/>
          <w:color w:val="000000"/>
          <w:spacing w:val="0"/>
          <w:w w:val="100"/>
          <w:position w:val="0"/>
          <w:shd w:val="clear" w:color="auto" w:fill="auto"/>
          <w:lang w:val="hr-HR" w:eastAsia="hr-HR" w:bidi="hr-HR"/>
        </w:rPr>
        <w:t xml:space="preserve">1960, 56 i d.). Prema M. Bubcru, u »temeljnom stavu Židova«, nazvanog izrazom </w:t>
      </w:r>
      <w:r>
        <w:rPr>
          <w:rFonts w:ascii="Times New Roman" w:eastAsia="Times New Roman" w:hAnsi="Times New Roman" w:cs="Times New Roman"/>
          <w:i/>
          <w:iCs/>
          <w:color w:val="000000"/>
          <w:spacing w:val="0"/>
          <w:w w:val="100"/>
          <w:position w:val="0"/>
          <w:shd w:val="clear" w:color="auto" w:fill="auto"/>
          <w:lang w:val="hr-HR" w:eastAsia="hr-HR" w:bidi="hr-HR"/>
        </w:rPr>
        <w:t>jihud,</w:t>
      </w:r>
      <w:r>
        <w:rPr>
          <w:rFonts w:ascii="Times New Roman" w:eastAsia="Times New Roman" w:hAnsi="Times New Roman" w:cs="Times New Roman"/>
          <w:color w:val="000000"/>
          <w:spacing w:val="0"/>
          <w:w w:val="100"/>
          <w:position w:val="0"/>
          <w:shd w:val="clear" w:color="auto" w:fill="auto"/>
          <w:lang w:val="hr-HR" w:eastAsia="hr-HR" w:bidi="hr-HR"/>
        </w:rPr>
        <w:t xml:space="preserve"> »posrijedi je neprekidno obnavljana po</w:t>
        <w:softHyphen/>
        <w:t>tvrda Božjeg jedinstva u raznovrsnosti pojava«; »jednost« kao priznavanje Božanskoga jedin</w:t>
        <w:softHyphen/>
        <w:t xml:space="preserve">stva događa se s obzirom na praproturječje »dvojnosti dobra i zla« ljudskim dokazivanjem u ljubavi i pomirenju; samo ono ispunjava zov jedinstva u »Čuj, Izrade«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(Kampj um </w:t>
      </w:r>
      <w:r>
        <w:rPr>
          <w:rFonts w:ascii="Times New Roman" w:eastAsia="Times New Roman" w:hAnsi="Times New Roman" w:cs="Times New Roman"/>
          <w:i/>
          <w:iCs/>
          <w:color w:val="000000"/>
          <w:spacing w:val="0"/>
          <w:w w:val="100"/>
          <w:position w:val="0"/>
          <w:shd w:val="clear" w:color="auto" w:fill="auto"/>
          <w:lang w:val="en-US" w:eastAsia="en-US" w:bidi="en-US"/>
        </w:rPr>
        <w:t>Israel. Reden und Schrifien,</w:t>
      </w:r>
      <w:r>
        <w:rPr>
          <w:rFonts w:ascii="Times New Roman" w:eastAsia="Times New Roman" w:hAnsi="Times New Roman" w:cs="Times New Roman"/>
          <w:color w:val="000000"/>
          <w:spacing w:val="0"/>
          <w:w w:val="100"/>
          <w:position w:val="0"/>
          <w:shd w:val="clear" w:color="auto" w:fill="auto"/>
          <w:lang w:val="en-US" w:eastAsia="en-US" w:bidi="en-US"/>
        </w:rPr>
        <w:t xml:space="preserve"> 1921-1932,1933, 31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d.).</w:t>
      </w:r>
    </w:p>
    <w:p>
      <w:pPr>
        <w:pStyle w:val="Style74"/>
        <w:keepNext w:val="0"/>
        <w:keepLines w:val="0"/>
        <w:widowControl w:val="0"/>
        <w:shd w:val="clear" w:color="auto" w:fill="auto"/>
        <w:bidi w:val="0"/>
        <w:spacing w:before="0" w:after="160" w:line="240" w:lineRule="auto"/>
        <w:ind w:left="0" w:right="0" w:firstLine="0"/>
        <w:jc w:val="right"/>
      </w:pPr>
      <w:r>
        <w:rPr>
          <w:rFonts w:ascii="Times New Roman" w:eastAsia="Times New Roman" w:hAnsi="Times New Roman" w:cs="Times New Roman"/>
          <w:b w:val="0"/>
          <w:bCs w:val="0"/>
          <w:i/>
          <w:iCs/>
          <w:color w:val="000000"/>
          <w:spacing w:val="0"/>
          <w:w w:val="100"/>
          <w:position w:val="0"/>
          <w:sz w:val="15"/>
          <w:szCs w:val="15"/>
          <w:shd w:val="clear" w:color="auto" w:fill="auto"/>
          <w:lang w:val="en-US" w:eastAsia="en-US" w:bidi="en-US"/>
        </w:rPr>
        <w:t>D</w:t>
      </w:r>
      <w:r>
        <w:rPr>
          <w:rFonts w:ascii="Times New Roman" w:eastAsia="Times New Roman" w:hAnsi="Times New Roman" w:cs="Times New Roman"/>
          <w:color w:val="000000"/>
          <w:spacing w:val="0"/>
          <w:w w:val="100"/>
          <w:position w:val="0"/>
          <w:shd w:val="clear" w:color="auto" w:fill="auto"/>
          <w:lang w:val="en-US" w:eastAsia="en-US" w:bidi="en-US"/>
        </w:rPr>
        <w:t xml:space="preserve"> VLTniR</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rPr>
        <w:t xml:space="preserve">2. </w:t>
      </w: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 </w:t>
      </w:r>
      <w:r>
        <w:rPr>
          <w:rFonts w:ascii="Times New Roman" w:eastAsia="Times New Roman" w:hAnsi="Times New Roman" w:cs="Times New Roman"/>
          <w:color w:val="000000"/>
          <w:spacing w:val="0"/>
          <w:w w:val="100"/>
          <w:position w:val="0"/>
          <w:shd w:val="clear" w:color="auto" w:fill="auto"/>
          <w:lang w:val="hr-HR" w:eastAsia="hr-HR" w:bidi="hr-HR"/>
        </w:rPr>
        <w:t xml:space="preserve">(od grč. »monos«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jedini; »theos« = Bog) je, suprotno politeizmu, vjera u jednoga jedi</w:t>
        <w:softHyphen/>
        <w:t>nog osobnog Boga. Monoteizmu je svojstven karakter isključivosti. On naglašava apsolut- nost Boga, njegovu vječnost, svemoć itd. Pre</w:t>
        <w:softHyphen/>
        <w:t xml:space="preserve">ma definiciji, koju daje Ugo </w:t>
      </w:r>
      <w:r>
        <w:rPr>
          <w:rFonts w:ascii="Times New Roman" w:eastAsia="Times New Roman" w:hAnsi="Times New Roman" w:cs="Times New Roman"/>
          <w:color w:val="000000"/>
          <w:spacing w:val="0"/>
          <w:w w:val="100"/>
          <w:position w:val="0"/>
          <w:shd w:val="clear" w:color="auto" w:fill="auto"/>
          <w:lang w:val="en-US" w:eastAsia="en-US" w:bidi="en-US"/>
        </w:rPr>
        <w:t xml:space="preserve">Bianchi, </w:t>
      </w:r>
      <w:r>
        <w:rPr>
          <w:rFonts w:ascii="Times New Roman" w:eastAsia="Times New Roman" w:hAnsi="Times New Roman" w:cs="Times New Roman"/>
          <w:color w:val="000000"/>
          <w:spacing w:val="0"/>
          <w:w w:val="100"/>
          <w:position w:val="0"/>
          <w:shd w:val="clear" w:color="auto" w:fill="auto"/>
          <w:lang w:val="hr-HR" w:eastAsia="hr-HR" w:bidi="hr-HR"/>
        </w:rPr>
        <w:t>»mo</w:t>
        <w:softHyphen/>
        <w:t>nos« ima »nadmoćan, polemički, afirmativan karakter koji istodobno negira ono što je su</w:t>
        <w:softHyphen/>
        <w:t xml:space="preserve">protno </w:t>
      </w:r>
      <w:r>
        <w:rPr>
          <w:rFonts w:ascii="Times New Roman" w:eastAsia="Times New Roman" w:hAnsi="Times New Roman" w:cs="Times New Roman"/>
          <w:i/>
          <w:iCs/>
          <w:color w:val="000000"/>
          <w:spacing w:val="0"/>
          <w:w w:val="100"/>
          <w:position w:val="0"/>
          <w:shd w:val="clear" w:color="auto" w:fill="auto"/>
          <w:lang w:val="hr-HR" w:eastAsia="hr-HR" w:bidi="hr-HR"/>
        </w:rPr>
        <w:t>(Probleme der Religionsgeschichte,</w:t>
      </w:r>
      <w:r>
        <w:rPr>
          <w:rFonts w:ascii="Times New Roman" w:eastAsia="Times New Roman" w:hAnsi="Times New Roman" w:cs="Times New Roman"/>
          <w:color w:val="000000"/>
          <w:spacing w:val="0"/>
          <w:w w:val="100"/>
          <w:position w:val="0"/>
          <w:shd w:val="clear" w:color="auto" w:fill="auto"/>
          <w:lang w:val="hr-HR" w:eastAsia="hr-HR" w:bidi="hr-HR"/>
        </w:rPr>
        <w:t xml:space="preserve"> 1964, 46). Po tom pregnantnom objašnjenju pojma jasno je da m. </w:t>
      </w:r>
      <w:r>
        <w:rPr>
          <w:rFonts w:ascii="Times New Roman" w:eastAsia="Times New Roman" w:hAnsi="Times New Roman" w:cs="Times New Roman"/>
          <w:i/>
          <w:iCs/>
          <w:color w:val="000000"/>
          <w:spacing w:val="0"/>
          <w:w w:val="100"/>
          <w:position w:val="0"/>
          <w:shd w:val="clear" w:color="auto" w:fill="auto"/>
          <w:lang w:val="hr-HR" w:eastAsia="hr-HR" w:bidi="hr-HR"/>
        </w:rPr>
        <w:t>uvijek</w:t>
      </w:r>
      <w:r>
        <w:rPr>
          <w:rFonts w:ascii="Times New Roman" w:eastAsia="Times New Roman" w:hAnsi="Times New Roman" w:cs="Times New Roman"/>
          <w:color w:val="000000"/>
          <w:spacing w:val="0"/>
          <w:w w:val="100"/>
          <w:position w:val="0"/>
          <w:shd w:val="clear" w:color="auto" w:fill="auto"/>
          <w:lang w:val="hr-HR" w:eastAsia="hr-HR" w:bidi="hr-HR"/>
        </w:rPr>
        <w:t xml:space="preserve"> predstavlja reakciju na zatečeni politeizam, dakle, na vjeru u mnoge (grč. »poly«), ali konačno ipak brojčano ogra</w:t>
        <w:softHyphen/>
        <w:t>ničene bogove.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Teza katoličkog etnologa, religijskog znanstve</w:t>
        <w:softHyphen/>
        <w:t xml:space="preserve">nika i lingvista, </w:t>
      </w:r>
      <w:r>
        <w:rPr>
          <w:rFonts w:ascii="Times New Roman" w:eastAsia="Times New Roman" w:hAnsi="Times New Roman" w:cs="Times New Roman"/>
          <w:color w:val="000000"/>
          <w:spacing w:val="0"/>
          <w:w w:val="100"/>
          <w:position w:val="0"/>
          <w:shd w:val="clear" w:color="auto" w:fill="auto"/>
          <w:lang w:val="en-US" w:eastAsia="en-US" w:bidi="en-US"/>
        </w:rPr>
        <w:t xml:space="preserve">patera Wilhelma Schmidta </w:t>
      </w:r>
      <w:r>
        <w:rPr>
          <w:rFonts w:ascii="Times New Roman" w:eastAsia="Times New Roman" w:hAnsi="Times New Roman" w:cs="Times New Roman"/>
          <w:color w:val="000000"/>
          <w:spacing w:val="0"/>
          <w:w w:val="100"/>
          <w:position w:val="0"/>
          <w:shd w:val="clear" w:color="auto" w:fill="auto"/>
          <w:lang w:val="hr-HR" w:eastAsia="hr-HR" w:bidi="hr-HR"/>
        </w:rPr>
        <w:t>(1868-1954), o pramonotcizmu, prema kojoj m. predstavlja povijesno prvi religijski stadij, pokazala se neodrživom. Predodžba o nebes</w:t>
        <w:softHyphen/>
        <w:t>kim božanstvima često lijene ćudi, koja je pos</w:t>
        <w:softHyphen/>
        <w:t>tojala kod tradicionalnih kultura (»bez pisa</w:t>
        <w:softHyphen/>
        <w:t xml:space="preserve">nih spomenika«, »primitivnih« itd ), označava se s više smisla kao »vjera u vrhunskog boga«. Iako takva vjera poznaje ideju o najvišem biću </w:t>
      </w:r>
      <w:r>
        <w:rPr>
          <w:rFonts w:ascii="Times New Roman" w:eastAsia="Times New Roman" w:hAnsi="Times New Roman" w:cs="Times New Roman"/>
          <w:color w:val="000000"/>
          <w:spacing w:val="0"/>
          <w:w w:val="100"/>
          <w:position w:val="0"/>
          <w:shd w:val="clear" w:color="auto" w:fill="auto"/>
          <w:lang w:val="hr-HR" w:eastAsia="hr-HR" w:bidi="hr-HR"/>
        </w:rPr>
        <w:t>koje stanuje na nebu ili se s njim izjednačava, ne radi se o monoteizmu nego o fenomenu unutar politeizma. Vrhunski bogovi važe kao stvoritelji zemlje i svih živih bića, ali su tako daleki ljudima da praktički ne uživaju nikakav kult. Za vjernike su važniji medubogovi s mno</w:t>
        <w:softHyphen/>
        <w:t>gostrukim funkcijama.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monoteističke religije vrijede u prvom re</w:t>
        <w:softHyphen/>
        <w:t>du: židovstvo, kršćanstvo i islam. Religiju per</w:t>
        <w:softHyphen/>
        <w:t xml:space="preserve">zijskog svećenika - proroka Zaratustre, neki istraživači također ubrajaju medu njih. Osim toga, na području raznolikog hinduizma dva su monoteistička religijska oblika: šivaizam i višnuizam. Konačno amidizam u japanskom </w:t>
      </w:r>
      <w:r>
        <w:rPr>
          <w:rFonts w:ascii="Times New Roman" w:eastAsia="Times New Roman" w:hAnsi="Times New Roman" w:cs="Times New Roman"/>
          <w:color w:val="000000"/>
          <w:spacing w:val="0"/>
          <w:w w:val="100"/>
          <w:position w:val="0"/>
          <w:shd w:val="clear" w:color="auto" w:fill="auto"/>
          <w:lang w:val="en-US" w:eastAsia="en-US" w:bidi="en-US"/>
        </w:rPr>
        <w:t xml:space="preserve">mahayanskom </w:t>
      </w:r>
      <w:r>
        <w:rPr>
          <w:rFonts w:ascii="Times New Roman" w:eastAsia="Times New Roman" w:hAnsi="Times New Roman" w:cs="Times New Roman"/>
          <w:color w:val="000000"/>
          <w:spacing w:val="0"/>
          <w:w w:val="100"/>
          <w:position w:val="0"/>
          <w:shd w:val="clear" w:color="auto" w:fill="auto"/>
          <w:lang w:val="hr-HR" w:eastAsia="hr-HR" w:bidi="hr-HR"/>
        </w:rPr>
        <w:t>budizmu sadrži prema gledištu nekih učenjaka »monoteističke elemente«.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središtu monoteizma stoji vjera u jedinoga i jedinstvenoga Boga i to </w:t>
      </w:r>
      <w:r>
        <w:rPr>
          <w:rFonts w:ascii="Times New Roman" w:eastAsia="Times New Roman" w:hAnsi="Times New Roman" w:cs="Times New Roman"/>
          <w:i/>
          <w:iCs/>
          <w:color w:val="000000"/>
          <w:spacing w:val="0"/>
          <w:w w:val="100"/>
          <w:position w:val="0"/>
          <w:shd w:val="clear" w:color="auto" w:fill="auto"/>
          <w:lang w:val="hr-HR" w:eastAsia="hr-HR" w:bidi="hr-HR"/>
        </w:rPr>
        <w:t>osobno</w:t>
      </w:r>
      <w:r>
        <w:rPr>
          <w:rFonts w:ascii="Times New Roman" w:eastAsia="Times New Roman" w:hAnsi="Times New Roman" w:cs="Times New Roman"/>
          <w:color w:val="000000"/>
          <w:spacing w:val="0"/>
          <w:w w:val="100"/>
          <w:position w:val="0"/>
          <w:shd w:val="clear" w:color="auto" w:fill="auto"/>
          <w:lang w:val="hr-HR" w:eastAsia="hr-HR" w:bidi="hr-HR"/>
        </w:rPr>
        <w:t xml:space="preserve"> zamišljenoga Boga. No Bog nije u smislu ljudske osobe nego u modernom značenju riječi »osobnost« koja postoji od XVIII. stoljeća. Rani je </w:t>
      </w:r>
      <w:r>
        <w:rPr>
          <w:rFonts w:ascii="Times New Roman" w:eastAsia="Times New Roman" w:hAnsi="Times New Roman" w:cs="Times New Roman"/>
          <w:color w:val="000000"/>
          <w:spacing w:val="0"/>
          <w:w w:val="100"/>
          <w:position w:val="0"/>
          <w:shd w:val="clear" w:color="auto" w:fill="auto"/>
          <w:lang w:val="en-US" w:eastAsia="en-US" w:bidi="en-US"/>
        </w:rPr>
        <w:t xml:space="preserve">Fichte </w:t>
      </w:r>
      <w:r>
        <w:rPr>
          <w:rFonts w:ascii="Times New Roman" w:eastAsia="Times New Roman" w:hAnsi="Times New Roman" w:cs="Times New Roman"/>
          <w:color w:val="000000"/>
          <w:spacing w:val="0"/>
          <w:w w:val="100"/>
          <w:position w:val="0"/>
          <w:shd w:val="clear" w:color="auto" w:fill="auto"/>
          <w:lang w:val="hr-HR" w:eastAsia="hr-HR" w:bidi="hr-HR"/>
        </w:rPr>
        <w:t>(1762— -1814) s dobrim argumentima protestirao pro</w:t>
        <w:softHyphen/>
        <w:t>tiv oznake Boga kao apsolutne osobe pri čemu je pod time shvaćao osobnost. Svojstvo je osob</w:t>
        <w:softHyphen/>
        <w:t>nosti u tome što se razlikuje od ostalih osob</w:t>
        <w:softHyphen/>
        <w:t xml:space="preserve">nosti. Jedno »ja« odijeljeno je od svih ostalih »ja«. Kada bi se Božje »ja« shvaćalo na taj način, tada </w:t>
      </w:r>
      <w:r>
        <w:rPr>
          <w:rFonts w:ascii="Times New Roman" w:eastAsia="Times New Roman" w:hAnsi="Times New Roman" w:cs="Times New Roman"/>
          <w:color w:val="000000"/>
          <w:spacing w:val="0"/>
          <w:w w:val="100"/>
          <w:position w:val="0"/>
          <w:shd w:val="clear" w:color="auto" w:fill="auto"/>
          <w:lang w:val="en-US" w:eastAsia="en-US" w:bidi="en-US"/>
        </w:rPr>
        <w:t xml:space="preserve">per </w:t>
      </w:r>
      <w:r>
        <w:rPr>
          <w:rFonts w:ascii="Times New Roman" w:eastAsia="Times New Roman" w:hAnsi="Times New Roman" w:cs="Times New Roman"/>
          <w:color w:val="000000"/>
          <w:spacing w:val="0"/>
          <w:w w:val="100"/>
          <w:position w:val="0"/>
          <w:shd w:val="clear" w:color="auto" w:fill="auto"/>
          <w:lang w:val="hr-HR" w:eastAsia="hr-HR" w:bidi="hr-HR"/>
        </w:rPr>
        <w:t>definitionem ne bi nikada mo</w:t>
        <w:softHyphen/>
        <w:t>glo biti apsolutno nego samo dio medu osta</w:t>
        <w:softHyphen/>
        <w:t xml:space="preserve">lima. Zato se u SZ i NZ, naravno i u Kuranu, uvijek iznova nalaze upućivanja na Božju »nad-osobnost«, na njegov »beskrajni osobni bitak« (Iz 40,25; 1 Tim 6,16; Iv 8,12; 6,48). Bog je u biblijskom smislu osoba, ali on je i »drugačiji nego osoba ... numinozni simbol« (U. </w:t>
      </w:r>
      <w:r>
        <w:rPr>
          <w:rFonts w:ascii="Times New Roman" w:eastAsia="Times New Roman" w:hAnsi="Times New Roman" w:cs="Times New Roman"/>
          <w:color w:val="000000"/>
          <w:spacing w:val="0"/>
          <w:w w:val="100"/>
          <w:position w:val="0"/>
          <w:shd w:val="clear" w:color="auto" w:fill="auto"/>
          <w:lang w:val="en-US" w:eastAsia="en-US" w:bidi="en-US"/>
        </w:rPr>
        <w:t xml:space="preserve">Mann,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Religion in den Religionen, </w:t>
      </w:r>
      <w:r>
        <w:rPr>
          <w:rFonts w:ascii="Times New Roman" w:eastAsia="Times New Roman" w:hAnsi="Times New Roman" w:cs="Times New Roman"/>
          <w:color w:val="000000"/>
          <w:spacing w:val="0"/>
          <w:w w:val="100"/>
          <w:position w:val="0"/>
          <w:shd w:val="clear" w:color="auto" w:fill="auto"/>
          <w:lang w:val="en-US" w:eastAsia="en-US" w:bidi="en-US"/>
        </w:rPr>
        <w:t xml:space="preserve">1975, 59). </w:t>
      </w:r>
      <w:r>
        <w:rPr>
          <w:rFonts w:ascii="Times New Roman" w:eastAsia="Times New Roman" w:hAnsi="Times New Roman" w:cs="Times New Roman"/>
          <w:color w:val="000000"/>
          <w:spacing w:val="0"/>
          <w:w w:val="100"/>
          <w:position w:val="0"/>
          <w:shd w:val="clear" w:color="auto" w:fill="auto"/>
          <w:lang w:val="hr-HR" w:eastAsia="hr-HR" w:bidi="hr-HR"/>
        </w:rPr>
        <w:t>Iako vjeru u osobnoga Boga treba shvatiti ograničavajuće i na simboličan način, ipak za m. - kršćanski kao i izvankršćanski - uvijek ostaje osobno-dijaloški strukturirano središte numinosum. U tome se razlikuje m. od »teomonizma« (od grč. to theion = božan</w:t>
        <w:softHyphen/>
        <w:t>sku; monizam - učenje o jedinstvu). Pod time se po G. Menschingu razumijeva vjera u neo</w:t>
        <w:softHyphen/>
        <w:t>soban božanski bitak (brahman, tao, nirvana itd.). No, u obim oblicima religije riječ je o konačnom jedinstvu.</w:t>
      </w:r>
    </w:p>
    <w:p>
      <w:pPr>
        <w:pStyle w:val="Style20"/>
        <w:keepNext w:val="0"/>
        <w:keepLines w:val="0"/>
        <w:widowControl w:val="0"/>
        <w:shd w:val="clear" w:color="auto" w:fill="auto"/>
        <w:bidi w:val="0"/>
        <w:spacing w:before="0" w:after="0" w:line="257" w:lineRule="auto"/>
        <w:ind w:left="0" w:right="0" w:firstLine="0"/>
        <w:jc w:val="both"/>
        <w:sectPr>
          <w:headerReference w:type="default" r:id="rId855"/>
          <w:footerReference w:type="default" r:id="rId856"/>
          <w:headerReference w:type="even" r:id="rId857"/>
          <w:footerReference w:type="even" r:id="rId858"/>
          <w:headerReference w:type="first" r:id="rId859"/>
          <w:footerReference w:type="first" r:id="rId860"/>
          <w:footnotePr>
            <w:pos w:val="pageBottom"/>
            <w:numFmt w:val="decimal"/>
            <w:numRestart w:val="continuous"/>
            <w15:footnoteColumns w:val="1"/>
          </w:footnotePr>
          <w:pgSz w:w="6816" w:h="11006"/>
          <w:pgMar w:top="856" w:left="188" w:right="191" w:bottom="266" w:header="0" w:footer="3" w:gutter="0"/>
          <w:pgNumType w:start="289"/>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Biblijski m. je zajednički temelj i središte triju »abrahamovskih religija« koje u ovom leksi</w:t>
        <w:softHyphen/>
        <w:t>konu vode dijalog. Kada kršćani govore o Bo</w:t>
        <w:softHyphen/>
        <w:t>gu, tada dijele sa Židovima uvjerenje da je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Bog </w:t>
      </w:r>
      <w:r>
        <w:rPr>
          <w:rFonts w:ascii="Times New Roman" w:eastAsia="Times New Roman" w:hAnsi="Times New Roman" w:cs="Times New Roman"/>
          <w:color w:val="000000"/>
          <w:spacing w:val="0"/>
          <w:w w:val="100"/>
          <w:position w:val="0"/>
          <w:shd w:val="clear" w:color="auto" w:fill="auto"/>
          <w:lang w:val="hr-HR" w:eastAsia="hr-HR" w:bidi="hr-HR"/>
        </w:rPr>
        <w:t>posvjedočen u Bibliji jedan i jedini. Ži</w:t>
        <w:softHyphen/>
        <w:t>dovsko vjersko opredjeljenje za m. nalazi se u najvažnijoj dnevnoj molitvi »Š’ma Jisrael«: »Čuj, Izraelci Jahve je Bog naš, Jahve jc jedan!« (Pnz 6.4). Isus nije donio nikakva novog Boga. Na pitanje jednog pismoznanca koja je zapo</w:t>
        <w:softHyphen/>
        <w:t>vijed za njega najvažnija, odgovorio je prvom rečenicom S’ma Jisrael (usp. Mk 12,29) uz ko</w:t>
        <w:softHyphen/>
        <w:t>ju nadovezuje zapovijed ljubavi. M. se za rane kršćane, kao i za židovstvo, sam po sebi razu</w:t>
        <w:softHyphen/>
        <w:t xml:space="preserve">mijeva. Za NZ ostaje u pozadini problematika monoteizma/politeizma. Samo je na nekim mjestima m. posebno podcrtan (usp. 1 Kor 8,4 i d.; Gal 4,8). Govor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na Arco- pagu (Dj 17,16 i d.) nalazi se već na rubu NZ.</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Židova i kršćana vezan je i uz muslimane. Njihova vjera u jednoga i jedinoga Boga uvi</w:t>
        <w:softHyphen/>
        <w:t>jek iznova podsjeća na zajedničko židovsko naslijeđe. Drugi vatikanski koncil naglašava zajedništvo vjere u jednoga i istoga Boga i tako na tlu monoteizma stvara temelj za dija</w:t>
        <w:softHyphen/>
        <w:t>log. U cvangcličkoj teologiji nešto je teže. Da se kod Muhamcdova milosrdnog i pravednog Alaha (doslovce: Boga) radi o Bogu Abraha- ma i proroka. Bogu Izlaska i Isusa iz Naza- reta, trojedinom Bogu itd., nemali broj sum</w:t>
        <w:softHyphen/>
        <w:t>nja, premda ne uvijek na tako odlučan način kao u Izjavi 1984., koju je izdala »Konferenci</w:t>
        <w:softHyphen/>
        <w:t>ja vjerničkih zajednica u cvangeličkim crkva</w:t>
        <w:softHyphen/>
        <w:t>ma Njemačke« i »Radna zajednica evange- ličkih misija« pod naslovom: »Kršćanska vje</w:t>
        <w:softHyphen/>
        <w:t>roispovijest i biblijska zapovijed glede isla</w:t>
        <w:softHyphen/>
        <w:t xml:space="preserve">ma«. Ovdje je islamska predodžba o Bogu označena kao »ljudska karikatura pravoga Boga«. Kršćanski je m. u zaoštrenim riječima Karla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»Bog zna, ne ta glupa radost zbog Jednoga! Ne radi se o broju jedan nego o tom subjektu i njegovoj potpunoj jedinstve</w:t>
        <w:softHyphen/>
        <w:t xml:space="preserve">nosti i drugačijosti nasuprot svima drugima, različitom od svih smiješnih božanstava koje izmišlja čovjek« </w:t>
      </w:r>
      <w:r>
        <w:rPr>
          <w:rFonts w:ascii="Times New Roman" w:eastAsia="Times New Roman" w:hAnsi="Times New Roman" w:cs="Times New Roman"/>
          <w:i/>
          <w:iCs/>
          <w:color w:val="000000"/>
          <w:spacing w:val="0"/>
          <w:w w:val="100"/>
          <w:position w:val="0"/>
          <w:shd w:val="clear" w:color="auto" w:fill="auto"/>
          <w:lang w:val="hr-HR" w:eastAsia="hr-HR" w:bidi="hr-HR"/>
        </w:rPr>
        <w:t xml:space="preserve">(Dogmatik im Grundriss, </w:t>
      </w:r>
      <w:r>
        <w:rPr>
          <w:rFonts w:ascii="Times New Roman" w:eastAsia="Times New Roman" w:hAnsi="Times New Roman" w:cs="Times New Roman"/>
          <w:color w:val="000000"/>
          <w:spacing w:val="0"/>
          <w:w w:val="100"/>
          <w:position w:val="0"/>
          <w:shd w:val="clear" w:color="auto" w:fill="auto"/>
          <w:lang w:val="hr-HR" w:eastAsia="hr-HR" w:bidi="hr-HR"/>
        </w:rPr>
        <w:t xml:space="preserve">1947, 51). Tako je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izrekao upravo ono što i Židovima i muslimanima znači m. Speci</w:t>
        <w:softHyphen/>
        <w:t>fično za kršćanski m. je u tome da se kršćan</w:t>
        <w:softHyphen/>
        <w:t>ska vjera (uz izuzetak antitrinitarnih pokreta) odnosi na jednoga i jedinoga ali istodobno trojedinoga Boga. Korijen tog problema leži u odgovornosti kršćana kroz Isusa Krista i nje</w:t>
        <w:softHyphen/>
        <w:t>gova odnosa prema vječnom i jedinom Bogu. Prema kršćanskom uvjerenju, vrijeme se već ispunilo s Isusom iz Nazarcta i kraljevstvo se</w:t>
      </w:r>
    </w:p>
    <w:p>
      <w:pPr>
        <w:pStyle w:val="Style20"/>
        <w:keepNext w:val="0"/>
        <w:keepLines w:val="0"/>
        <w:widowControl w:val="0"/>
        <w:shd w:val="clear" w:color="auto" w:fill="auto"/>
        <w:bidi w:val="0"/>
        <w:spacing w:before="0" w:after="8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već približilo (Mk 1,15). Isus je za krš</w:t>
        <w:softHyphen/>
        <w:t xml:space="preserve">ćane obećani Mesija. Kada kršćani potvrđuju i naviještaju ovog Isusa kao istobitnog Sina Božjega i njega - zajedno s Duhom Svetim - povezuju u Trojstvo, tada to mora Židovima i muslimanima izgledati kao nešto blasfemično. Kršćanski m. kao trinitarni m. nije politcizam ili - točnije rečeno - nije tri-teizam (vjera u tri različita boga). »To nisu tri boga, nikakav u sebi raskoljen ni razdijeljen Bog. </w:t>
      </w:r>
      <w:r>
        <w:rPr>
          <w:rFonts w:ascii="Times New Roman" w:eastAsia="Times New Roman" w:hAnsi="Times New Roman" w:cs="Times New Roman"/>
          <w:i/>
          <w:iCs/>
          <w:color w:val="000000"/>
          <w:spacing w:val="0"/>
          <w:w w:val="100"/>
          <w:position w:val="0"/>
          <w:shd w:val="clear" w:color="auto" w:fill="auto"/>
          <w:lang w:val="hr-HR" w:eastAsia="hr-HR" w:bidi="hr-HR"/>
        </w:rPr>
        <w:t xml:space="preserve">Trojedinost </w:t>
      </w:r>
      <w:r>
        <w:rPr>
          <w:rFonts w:ascii="Times New Roman" w:eastAsia="Times New Roman" w:hAnsi="Times New Roman" w:cs="Times New Roman"/>
          <w:color w:val="000000"/>
          <w:spacing w:val="0"/>
          <w:w w:val="100"/>
          <w:position w:val="0"/>
          <w:shd w:val="clear" w:color="auto" w:fill="auto"/>
          <w:lang w:val="hr-HR" w:eastAsia="hr-HR" w:bidi="hr-HR"/>
        </w:rPr>
        <w:t>ne govori o trojici bogova, nego upravo tro</w:t>
        <w:softHyphen/>
        <w:t xml:space="preserve">jedinost - tako je to kršćanska Crkva uvijek razumijevala - i drugačije to nije moguće naći u Svetom pismu - govori još jednorn i upravo o jednom jedinom Bogu ... Radi se o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jednom </w:t>
      </w:r>
      <w:r>
        <w:rPr>
          <w:rFonts w:ascii="Times New Roman" w:eastAsia="Times New Roman" w:hAnsi="Times New Roman" w:cs="Times New Roman"/>
          <w:color w:val="000000"/>
          <w:spacing w:val="0"/>
          <w:w w:val="100"/>
          <w:position w:val="0"/>
          <w:shd w:val="clear" w:color="auto" w:fill="auto"/>
          <w:lang w:val="hr-HR" w:eastAsia="hr-HR" w:bidi="hr-HR"/>
        </w:rPr>
        <w:t xml:space="preserve">dijelu </w:t>
      </w:r>
      <w:r>
        <w:rPr>
          <w:rFonts w:ascii="Times New Roman" w:eastAsia="Times New Roman" w:hAnsi="Times New Roman" w:cs="Times New Roman"/>
          <w:i/>
          <w:iCs/>
          <w:color w:val="000000"/>
          <w:spacing w:val="0"/>
          <w:w w:val="100"/>
          <w:position w:val="0"/>
          <w:shd w:val="clear" w:color="auto" w:fill="auto"/>
          <w:lang w:val="hr-HR" w:eastAsia="hr-HR" w:bidi="hr-HR"/>
        </w:rPr>
        <w:t>jednoga</w:t>
      </w:r>
      <w:r>
        <w:rPr>
          <w:rFonts w:ascii="Times New Roman" w:eastAsia="Times New Roman" w:hAnsi="Times New Roman" w:cs="Times New Roman"/>
          <w:color w:val="000000"/>
          <w:spacing w:val="0"/>
          <w:w w:val="100"/>
          <w:position w:val="0"/>
          <w:shd w:val="clear" w:color="auto" w:fill="auto"/>
          <w:lang w:val="hr-HR" w:eastAsia="hr-HR" w:bidi="hr-HR"/>
        </w:rPr>
        <w:t xml:space="preserve"> Boga, ali o jednom dijelu koje se u sebi kreće ... Triput Jedan i Isti, trostruk ali prije svega </w:t>
      </w:r>
      <w:r>
        <w:rPr>
          <w:rFonts w:ascii="Times New Roman" w:eastAsia="Times New Roman" w:hAnsi="Times New Roman" w:cs="Times New Roman"/>
          <w:i/>
          <w:iCs/>
          <w:color w:val="000000"/>
          <w:spacing w:val="0"/>
          <w:w w:val="100"/>
          <w:position w:val="0"/>
          <w:shd w:val="clear" w:color="auto" w:fill="auto"/>
          <w:lang w:val="hr-HR" w:eastAsia="hr-HR" w:bidi="hr-HR"/>
        </w:rPr>
        <w:t>trojedini,</w:t>
      </w:r>
      <w:r>
        <w:rPr>
          <w:rFonts w:ascii="Times New Roman" w:eastAsia="Times New Roman" w:hAnsi="Times New Roman" w:cs="Times New Roman"/>
          <w:color w:val="000000"/>
          <w:spacing w:val="0"/>
          <w:w w:val="100"/>
          <w:position w:val="0"/>
          <w:shd w:val="clear" w:color="auto" w:fill="auto"/>
          <w:lang w:val="hr-HR" w:eastAsia="hr-HR" w:bidi="hr-HR"/>
        </w:rPr>
        <w:t xml:space="preserve"> on, Otac, Sin i Duh Sveti u sebi samome i u visini i u svojoj objavi«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53). Katolički teolog Hans Kiing i evan- gelički teolog religija </w:t>
      </w:r>
      <w:r>
        <w:rPr>
          <w:rFonts w:ascii="Times New Roman" w:eastAsia="Times New Roman" w:hAnsi="Times New Roman" w:cs="Times New Roman"/>
          <w:color w:val="000000"/>
          <w:spacing w:val="0"/>
          <w:w w:val="100"/>
          <w:position w:val="0"/>
          <w:shd w:val="clear" w:color="auto" w:fill="auto"/>
          <w:lang w:val="en-US" w:eastAsia="en-US" w:bidi="en-US"/>
        </w:rPr>
        <w:t xml:space="preserve">Paul Schwarzenau </w:t>
      </w:r>
      <w:r>
        <w:rPr>
          <w:rFonts w:ascii="Times New Roman" w:eastAsia="Times New Roman" w:hAnsi="Times New Roman" w:cs="Times New Roman"/>
          <w:color w:val="000000"/>
          <w:spacing w:val="0"/>
          <w:w w:val="100"/>
          <w:position w:val="0"/>
          <w:shd w:val="clear" w:color="auto" w:fill="auto"/>
          <w:lang w:val="hr-HR" w:eastAsia="hr-HR" w:bidi="hr-HR"/>
        </w:rPr>
        <w:t>iz</w:t>
        <w:softHyphen/>
        <w:t>ložili su naspram muslimana značenje kršćan</w:t>
        <w:softHyphen/>
        <w:t>skog monoteizma i njegovo duboko zajedniš</w:t>
        <w:softHyphen/>
        <w:t>tvo sa židovskom i islamskom vjerom u Boga.</w:t>
      </w:r>
    </w:p>
    <w:p>
      <w:pPr>
        <w:pStyle w:val="Style56"/>
        <w:keepNext w:val="0"/>
        <w:keepLines w:val="0"/>
        <w:widowControl w:val="0"/>
        <w:shd w:val="clear" w:color="auto" w:fill="auto"/>
        <w:bidi w:val="0"/>
        <w:spacing w:before="0" w:after="220" w:line="240" w:lineRule="auto"/>
        <w:ind w:left="0" w:right="0" w:firstLine="0"/>
        <w:jc w:val="both"/>
      </w:pPr>
      <w:r>
        <w:rPr>
          <w:color w:val="000000"/>
          <w:spacing w:val="0"/>
          <w:w w:val="100"/>
          <w:position w:val="0"/>
          <w:shd w:val="clear" w:color="auto" w:fill="auto"/>
          <w:lang w:val="hr-HR" w:eastAsia="hr-HR" w:bidi="hr-HR"/>
        </w:rPr>
        <w:t xml:space="preserve">Lit: P- </w:t>
      </w:r>
      <w:r>
        <w:rPr>
          <w:color w:val="000000"/>
          <w:spacing w:val="0"/>
          <w:w w:val="100"/>
          <w:position w:val="0"/>
          <w:shd w:val="clear" w:color="auto" w:fill="auto"/>
        </w:rPr>
        <w:t xml:space="preserve">Antes, </w:t>
      </w:r>
      <w:r>
        <w:rPr>
          <w:i/>
          <w:iCs/>
          <w:color w:val="000000"/>
          <w:spacing w:val="0"/>
          <w:w w:val="100"/>
          <w:position w:val="0"/>
          <w:shd w:val="clear" w:color="auto" w:fill="auto"/>
          <w:lang w:val="hr-HR" w:eastAsia="hr-HR" w:bidi="hr-HR"/>
        </w:rPr>
        <w:t>Christentum - Einr. Einfuh/ung,</w:t>
      </w:r>
      <w:r>
        <w:rPr>
          <w:color w:val="000000"/>
          <w:spacing w:val="0"/>
          <w:w w:val="100"/>
          <w:position w:val="0"/>
          <w:shd w:val="clear" w:color="auto" w:fill="auto"/>
          <w:lang w:val="hr-HR" w:eastAsia="hr-HR" w:bidi="hr-HR"/>
        </w:rPr>
        <w:t xml:space="preserve"> 1985; E, Bcnz, </w:t>
      </w:r>
      <w:r>
        <w:rPr>
          <w:i/>
          <w:iCs/>
          <w:color w:val="000000"/>
          <w:spacing w:val="0"/>
          <w:w w:val="100"/>
          <w:position w:val="0"/>
          <w:shd w:val="clear" w:color="auto" w:fill="auto"/>
          <w:lang w:val="hr-HR" w:eastAsia="hr-HR" w:bidi="hr-HR"/>
        </w:rPr>
        <w:t>Beschreibung da Christentums,</w:t>
      </w:r>
      <w:r>
        <w:rPr>
          <w:color w:val="000000"/>
          <w:spacing w:val="0"/>
          <w:w w:val="100"/>
          <w:position w:val="0"/>
          <w:shd w:val="clear" w:color="auto" w:fill="auto"/>
          <w:lang w:val="hr-HR" w:eastAsia="hr-HR" w:bidi="hr-HR"/>
        </w:rPr>
        <w:t xml:space="preserve"> 1975; H. </w:t>
      </w:r>
      <w:r>
        <w:rPr>
          <w:color w:val="000000"/>
          <w:spacing w:val="0"/>
          <w:w w:val="100"/>
          <w:position w:val="0"/>
          <w:shd w:val="clear" w:color="auto" w:fill="auto"/>
        </w:rPr>
        <w:t xml:space="preserve">Kung </w:t>
      </w:r>
      <w:r>
        <w:rPr>
          <w:color w:val="000000"/>
          <w:spacing w:val="0"/>
          <w:w w:val="100"/>
          <w:position w:val="0"/>
          <w:shd w:val="clear" w:color="auto" w:fill="auto"/>
          <w:lang w:val="hr-HR" w:eastAsia="hr-HR" w:bidi="hr-HR"/>
        </w:rPr>
        <w:t xml:space="preserve">i dr., </w:t>
      </w:r>
      <w:r>
        <w:rPr>
          <w:i/>
          <w:iCs/>
          <w:color w:val="000000"/>
          <w:spacing w:val="0"/>
          <w:w w:val="100"/>
          <w:position w:val="0"/>
          <w:shd w:val="clear" w:color="auto" w:fill="auto"/>
          <w:lang w:val="hr-HR" w:eastAsia="hr-HR" w:bidi="hr-HR"/>
        </w:rPr>
        <w:t>Chris</w:t>
        <w:softHyphen/>
        <w:t xml:space="preserve">tenlum </w:t>
      </w:r>
      <w:r>
        <w:rPr>
          <w:i/>
          <w:iCs/>
          <w:color w:val="000000"/>
          <w:spacing w:val="0"/>
          <w:w w:val="100"/>
          <w:position w:val="0"/>
          <w:shd w:val="clear" w:color="auto" w:fill="auto"/>
        </w:rPr>
        <w:t>und WehreU^onen,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1984; J. Micksch'M. Mildcnbcr- gCr </w:t>
      </w:r>
      <w:r>
        <w:rPr>
          <w:color w:val="000000"/>
          <w:spacing w:val="0"/>
          <w:w w:val="100"/>
          <w:position w:val="0"/>
          <w:shd w:val="clear" w:color="auto" w:fill="auto"/>
        </w:rPr>
        <w:t xml:space="preserve">(Hrsg.). </w:t>
      </w:r>
      <w:r>
        <w:rPr>
          <w:i/>
          <w:iCs/>
          <w:color w:val="000000"/>
          <w:spacing w:val="0"/>
          <w:w w:val="100"/>
          <w:position w:val="0"/>
          <w:shd w:val="clear" w:color="auto" w:fill="auto"/>
        </w:rPr>
        <w:t xml:space="preserve">Christen </w:t>
      </w:r>
      <w:r>
        <w:rPr>
          <w:i/>
          <w:iCs/>
          <w:color w:val="000000"/>
          <w:spacing w:val="0"/>
          <w:w w:val="100"/>
          <w:position w:val="0"/>
          <w:shd w:val="clear" w:color="auto" w:fill="auto"/>
          <w:lang w:val="hr-HR" w:eastAsia="hr-HR" w:bidi="hr-HR"/>
        </w:rPr>
        <w:t>und Mustime im Cesprdch,</w:t>
      </w:r>
      <w:r>
        <w:rPr>
          <w:color w:val="000000"/>
          <w:spacing w:val="0"/>
          <w:w w:val="100"/>
          <w:position w:val="0"/>
          <w:shd w:val="clear" w:color="auto" w:fill="auto"/>
          <w:lang w:val="hr-HR" w:eastAsia="hr-HR" w:bidi="hr-HR"/>
        </w:rPr>
        <w:t xml:space="preserve"> 1982; H. J. </w:t>
      </w:r>
      <w:r>
        <w:rPr>
          <w:color w:val="000000"/>
          <w:spacing w:val="0"/>
          <w:w w:val="100"/>
          <w:position w:val="0"/>
          <w:shd w:val="clear" w:color="auto" w:fill="auto"/>
        </w:rPr>
        <w:t xml:space="preserve">Schultz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Ver ist das eigentlich - Goti?,</w:t>
      </w:r>
      <w:r>
        <w:rPr>
          <w:color w:val="000000"/>
          <w:spacing w:val="0"/>
          <w:w w:val="100"/>
          <w:position w:val="0"/>
          <w:shd w:val="clear" w:color="auto" w:fill="auto"/>
          <w:lang w:val="hr-HR" w:eastAsia="hr-HR" w:bidi="hr-HR"/>
        </w:rPr>
        <w:t xml:space="preserve"> 1969 </w:t>
      </w:r>
      <w:r>
        <w:rPr>
          <w:color w:val="000000"/>
          <w:spacing w:val="0"/>
          <w:w w:val="100"/>
          <w:position w:val="0"/>
          <w:shd w:val="clear" w:color="auto" w:fill="auto"/>
        </w:rPr>
        <w:t xml:space="preserve">(Son- </w:t>
      </w:r>
      <w:r>
        <w:rPr>
          <w:color w:val="000000"/>
          <w:spacing w:val="0"/>
          <w:w w:val="100"/>
          <w:position w:val="0"/>
          <w:shd w:val="clear" w:color="auto" w:fill="auto"/>
          <w:lang w:val="hr-HR" w:eastAsia="hr-HR" w:bidi="hr-HR"/>
        </w:rPr>
        <w:t xml:space="preserve">dcrausgabc 1977); P. </w:t>
      </w:r>
      <w:r>
        <w:rPr>
          <w:color w:val="000000"/>
          <w:spacing w:val="0"/>
          <w:w w:val="100"/>
          <w:position w:val="0"/>
          <w:shd w:val="clear" w:color="auto" w:fill="auto"/>
        </w:rPr>
        <w:t xml:space="preserve">Schwarzenau. </w:t>
      </w:r>
      <w:r>
        <w:rPr>
          <w:i/>
          <w:iCs/>
          <w:color w:val="000000"/>
          <w:spacing w:val="0"/>
          <w:w w:val="100"/>
          <w:position w:val="0"/>
          <w:shd w:val="clear" w:color="auto" w:fill="auto"/>
          <w:lang w:val="hr-HR" w:eastAsia="hr-HR" w:bidi="hr-HR"/>
        </w:rPr>
        <w:t xml:space="preserve">Korankunde </w:t>
      </w:r>
      <w:r>
        <w:rPr>
          <w:i/>
          <w:iCs/>
          <w:color w:val="000000"/>
          <w:spacing w:val="0"/>
          <w:w w:val="100"/>
          <w:position w:val="0"/>
          <w:shd w:val="clear" w:color="auto" w:fill="auto"/>
        </w:rPr>
        <w:t>fur Chris</w:t>
        <w:softHyphen/>
        <w:t>ten,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1982; F. </w:t>
      </w:r>
      <w:r>
        <w:rPr>
          <w:i/>
          <w:iCs/>
          <w:color w:val="000000"/>
          <w:spacing w:val="0"/>
          <w:w w:val="100"/>
          <w:position w:val="0"/>
          <w:shd w:val="clear" w:color="auto" w:fill="auto"/>
        </w:rPr>
        <w:t xml:space="preserve">Stolz, </w:t>
      </w:r>
      <w:r>
        <w:rPr>
          <w:i/>
          <w:iCs/>
          <w:color w:val="000000"/>
          <w:spacing w:val="0"/>
          <w:w w:val="100"/>
          <w:position w:val="0"/>
          <w:shd w:val="clear" w:color="auto" w:fill="auto"/>
          <w:lang w:val="hr-HR" w:eastAsia="hr-HR" w:bidi="hr-HR"/>
        </w:rPr>
        <w:t>Christentum,</w:t>
      </w:r>
      <w:r>
        <w:rPr>
          <w:color w:val="000000"/>
          <w:spacing w:val="0"/>
          <w:w w:val="100"/>
          <w:position w:val="0"/>
          <w:shd w:val="clear" w:color="auto" w:fill="auto"/>
          <w:lang w:val="hr-HR" w:eastAsia="hr-HR" w:bidi="hr-HR"/>
        </w:rPr>
        <w:t xml:space="preserve"> 1985. U. </w:t>
      </w:r>
      <w:r>
        <w:rPr>
          <w:color w:val="000000"/>
          <w:spacing w:val="0"/>
          <w:w w:val="100"/>
          <w:position w:val="0"/>
          <w:shd w:val="clear" w:color="auto" w:fill="auto"/>
        </w:rPr>
        <w:t xml:space="preserve">'IVOR </w:t>
      </w:r>
      <w:r>
        <w:rPr>
          <w:color w:val="000000"/>
          <w:spacing w:val="0"/>
          <w:w w:val="100"/>
          <w:position w:val="0"/>
          <w:shd w:val="clear" w:color="auto" w:fill="auto"/>
          <w:lang w:val="hr-HR" w:eastAsia="hr-HR" w:bidi="hr-HR"/>
        </w:rPr>
        <w:t xml:space="preserve">usci </w:t>
      </w:r>
      <w:r>
        <w:rPr>
          <w:color w:val="000000"/>
          <w:spacing w:val="0"/>
          <w:w w:val="100"/>
          <w:position w:val="0"/>
          <w:shd w:val="clear" w:color="auto" w:fill="auto"/>
        </w:rPr>
        <w:t xml:space="preserve">IK </w:t>
      </w:r>
      <w:r>
        <w:rPr>
          <w:color w:val="000000"/>
          <w:spacing w:val="0"/>
          <w:w w:val="100"/>
          <w:position w:val="0"/>
          <w:shd w:val="clear" w:color="auto" w:fill="auto"/>
          <w:lang w:val="hr-HR" w:eastAsia="hr-HR" w:bidi="hr-HR"/>
        </w:rPr>
        <w:t>A</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lang w:val="hr-HR" w:eastAsia="hr-HR" w:bidi="hr-HR"/>
        </w:rPr>
        <w:t>3. islamski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Temelj islama čini vjerovanje u jednoga Boga (arapski: </w:t>
      </w:r>
      <w:r>
        <w:rPr>
          <w:rFonts w:ascii="Times New Roman" w:eastAsia="Times New Roman" w:hAnsi="Times New Roman" w:cs="Times New Roman"/>
          <w:color w:val="000000"/>
          <w:spacing w:val="0"/>
          <w:w w:val="100"/>
          <w:position w:val="0"/>
          <w:shd w:val="clear" w:color="auto" w:fill="auto"/>
          <w:lang w:val="en-US" w:eastAsia="en-US" w:bidi="en-US"/>
        </w:rPr>
        <w:t xml:space="preserve">Allah). </w:t>
      </w:r>
      <w:r>
        <w:rPr>
          <w:rFonts w:ascii="Times New Roman" w:eastAsia="Times New Roman" w:hAnsi="Times New Roman" w:cs="Times New Roman"/>
          <w:color w:val="000000"/>
          <w:spacing w:val="0"/>
          <w:w w:val="100"/>
          <w:position w:val="0"/>
          <w:shd w:val="clear" w:color="auto" w:fill="auto"/>
          <w:lang w:val="hr-HR" w:eastAsia="hr-HR" w:bidi="hr-HR"/>
        </w:rPr>
        <w:t>Čovjekov um nije sposoban pojmiti božansku narav. Njemu ništa ne nali</w:t>
        <w:softHyphen/>
        <w:t>kuje; on nema nikakva pobočnika ili pomoć</w:t>
        <w:softHyphen/>
        <w:t>nika. Historijski konstantan dio islamske vje</w:t>
        <w:softHyphen/>
        <w:t>roispovijesti glasi: »Nema boga osim Boga«. Muslimanska je slika svijeta teocentrična: »Bog mi jc bliži od žile kucavice«, kaže se u jednom stihu iz Kurana. Ta se predanost Bogu zgodi- micc dotjeruje do te mjere da se gubi svaki osjećaj za vlastitu vrijednost. Povjerenje u Bo</w:t>
        <w:softHyphen/>
        <w:t>ga u pravilu leži u temelju individualnoga i društvenoga ponašanja. Preplavljujuća snaga tog motiva ponašanja pokazuje se praktično, u stanovitim okolnostima, kao rezignacija ili fatalizam. Sukladno tomu se Bog navodi kao onaj koji je odgovoran za vlastito nedjelova</w:t>
        <w:softHyphen/>
        <w:t xml:space="preserve">nje ili zakazivanje. On se koristi kao izgovor za lijenost i nesposobnost. Dakako, to je prije </w:t>
      </w:r>
      <w:r>
        <w:rPr>
          <w:rFonts w:ascii="Times New Roman" w:eastAsia="Times New Roman" w:hAnsi="Times New Roman" w:cs="Times New Roman"/>
          <w:color w:val="000000"/>
          <w:spacing w:val="0"/>
          <w:w w:val="100"/>
          <w:position w:val="0"/>
          <w:shd w:val="clear" w:color="auto" w:fill="auto"/>
          <w:lang w:val="hr-HR" w:eastAsia="hr-HR" w:bidi="hr-HR"/>
        </w:rPr>
        <w:t>filozofija siromašnih i slabih. Ona nije zasno</w:t>
        <w:softHyphen/>
        <w:t>vana u izvornom konceptu Kurana. Kuran, naprotiv, nedvosmisleno ustvrđuje da je čo</w:t>
        <w:softHyphen/>
        <w:t>vjek sam odgovoran za svoj udio u svijetu. Su</w:t>
        <w:softHyphen/>
        <w:t>vremeni islamski mislitelji ponovno prihvaća</w:t>
        <w:softHyphen/>
        <w:t>ju ovu i slične kuranske misli i unose je u svi</w:t>
        <w:softHyphen/>
        <w:t xml:space="preserve">jest puka. U jednom kritičkom osvrtu Sirijac </w:t>
      </w:r>
      <w:r>
        <w:rPr>
          <w:rFonts w:ascii="Times New Roman" w:eastAsia="Times New Roman" w:hAnsi="Times New Roman" w:cs="Times New Roman"/>
          <w:color w:val="000000"/>
          <w:spacing w:val="0"/>
          <w:w w:val="100"/>
          <w:position w:val="0"/>
          <w:shd w:val="clear" w:color="auto" w:fill="auto"/>
          <w:lang w:val="en-US" w:eastAsia="en-US" w:bidi="en-US"/>
        </w:rPr>
        <w:t xml:space="preserve">Amir Shakib Arslan </w:t>
      </w:r>
      <w:r>
        <w:rPr>
          <w:rFonts w:ascii="Times New Roman" w:eastAsia="Times New Roman" w:hAnsi="Times New Roman" w:cs="Times New Roman"/>
          <w:color w:val="000000"/>
          <w:spacing w:val="0"/>
          <w:w w:val="100"/>
          <w:position w:val="0"/>
          <w:shd w:val="clear" w:color="auto" w:fill="auto"/>
          <w:lang w:val="hr-HR" w:eastAsia="hr-HR" w:bidi="hr-HR"/>
        </w:rPr>
        <w:t>piše: »Muslimani su od</w:t>
        <w:softHyphen/>
        <w:t>bacili gotovo sve što im Kuran propisuje. Unatoč tomu, oni se nadaju da će zaslužiti Božju milost samo zato što se ispovijedaju kao muslimani i što vjeruju u jednoga Boga. Oni se zadovoljavaju time da vode život bez borbe i bez težnje za dobrim. Mnogi se od njih uzdaju u svoje molitve zato što im je lakše obavljati ih nego se boriti za teški život i žrtvo</w:t>
        <w:softHyphen/>
        <w:t>vati svoj imutak nekom idealu. Ako bi molitva mogla zamijeniti borbu, onda bi se pobožnoš- ću mogli zadovoljiti i Božji poslanik, njegovi sljedbenici i prvi muslimani«.</w:t>
      </w:r>
    </w:p>
    <w:p>
      <w:pPr>
        <w:pStyle w:val="Style20"/>
        <w:keepNext w:val="0"/>
        <w:keepLines w:val="0"/>
        <w:widowControl w:val="0"/>
        <w:shd w:val="clear" w:color="auto" w:fill="auto"/>
        <w:tabs>
          <w:tab w:pos="2568" w:val="left"/>
        </w:tabs>
        <w:bidi w:val="0"/>
        <w:spacing w:before="0" w:after="4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Bila je to jedna pervertirana mistika koja je muslimane uspavala u njihovim unutarsvje- tovnim odnosima. Ona je propovijedala niš</w:t>
        <w:softHyphen/>
        <w:t xml:space="preserve">tavnost ovoga svijeta i slavila je sebegubitak u Bogu </w:t>
      </w:r>
      <w:r>
        <w:rPr>
          <w:rFonts w:ascii="Times New Roman" w:eastAsia="Times New Roman" w:hAnsi="Times New Roman" w:cs="Times New Roman"/>
          <w:i/>
          <w:iCs/>
          <w:color w:val="000000"/>
          <w:spacing w:val="0"/>
          <w:w w:val="100"/>
          <w:position w:val="0"/>
          <w:shd w:val="clear" w:color="auto" w:fill="auto"/>
          <w:lang w:val="hr-HR" w:eastAsia="hr-HR" w:bidi="hr-HR"/>
        </w:rPr>
        <w:t>(al-fana' fillah)</w:t>
      </w:r>
      <w:r>
        <w:rPr>
          <w:rFonts w:ascii="Times New Roman" w:eastAsia="Times New Roman" w:hAnsi="Times New Roman" w:cs="Times New Roman"/>
          <w:color w:val="000000"/>
          <w:spacing w:val="0"/>
          <w:w w:val="100"/>
          <w:position w:val="0"/>
          <w:shd w:val="clear" w:color="auto" w:fill="auto"/>
          <w:lang w:val="hr-HR" w:eastAsia="hr-HR" w:bidi="hr-HR"/>
        </w:rPr>
        <w:t xml:space="preserve"> kao najviši stupanj mu</w:t>
        <w:softHyphen/>
        <w:t>drosti i savršenstva. Monoteističke predodžbe islama koje su u postkolonijalnom razdoblju ugrađene u teoriju revolucije daju sasvim svje</w:t>
        <w:softHyphen/>
        <w:t>tovno shvaćanje monoteizma. U jednom reli- giozno-političkom spisu iz Irana kaže se: »Pre</w:t>
        <w:softHyphen/>
        <w:t>ma islamskomu nauku, smisao se života sas</w:t>
        <w:softHyphen/>
        <w:t>toji u tome da se čovjekova relativna savrše</w:t>
        <w:softHyphen/>
        <w:t xml:space="preserve">nost što je više moguće približi savršenosti Božjoj. Time je unaprijed isključena, zapravo sasvim jednoznačno osuđena pasivna ‘prepuš- tenost sudbini’, što neupućeni kritičari vrlo često predbacuju islamu« </w:t>
      </w:r>
      <w:r>
        <w:rPr>
          <w:rFonts w:ascii="Times New Roman" w:eastAsia="Times New Roman" w:hAnsi="Times New Roman" w:cs="Times New Roman"/>
          <w:i/>
          <w:iCs/>
          <w:color w:val="000000"/>
          <w:spacing w:val="0"/>
          <w:w w:val="100"/>
          <w:position w:val="0"/>
          <w:shd w:val="clear" w:color="auto" w:fill="auto"/>
          <w:lang w:val="en-US" w:eastAsia="en-US" w:bidi="en-US"/>
        </w:rPr>
        <w:t>(Die islamische Revo</w:t>
        <w:softHyphen/>
        <w:t xml:space="preserve">lution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im </w:t>
      </w:r>
      <w:r>
        <w:rPr>
          <w:rFonts w:ascii="Times New Roman" w:eastAsia="Times New Roman" w:hAnsi="Times New Roman" w:cs="Times New Roman"/>
          <w:i/>
          <w:iCs/>
          <w:color w:val="000000"/>
          <w:spacing w:val="0"/>
          <w:w w:val="100"/>
          <w:position w:val="0"/>
          <w:shd w:val="clear" w:color="auto" w:fill="auto"/>
          <w:lang w:val="en-US" w:eastAsia="en-US" w:bidi="en-US"/>
        </w:rPr>
        <w:t>Iran,</w:t>
      </w:r>
      <w:r>
        <w:rPr>
          <w:rFonts w:ascii="Times New Roman" w:eastAsia="Times New Roman" w:hAnsi="Times New Roman" w:cs="Times New Roman"/>
          <w:color w:val="000000"/>
          <w:spacing w:val="0"/>
          <w:w w:val="100"/>
          <w:position w:val="0"/>
          <w:shd w:val="clear" w:color="auto" w:fill="auto"/>
          <w:lang w:val="en-US" w:eastAsia="en-US" w:bidi="en-US"/>
        </w:rPr>
        <w:t xml:space="preserve"> Aachen: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islamischen </w:t>
      </w:r>
      <w:r>
        <w:rPr>
          <w:rFonts w:ascii="Times New Roman" w:eastAsia="Times New Roman" w:hAnsi="Times New Roman" w:cs="Times New Roman"/>
          <w:i/>
          <w:iCs/>
          <w:color w:val="000000"/>
          <w:spacing w:val="0"/>
          <w:w w:val="100"/>
          <w:position w:val="0"/>
          <w:shd w:val="clear" w:color="auto" w:fill="auto"/>
          <w:lang w:val="hr-HR" w:eastAsia="hr-HR" w:bidi="hr-HR"/>
        </w:rPr>
        <w:t>Studenten-Vereine,</w:t>
      </w:r>
      <w:r>
        <w:rPr>
          <w:rFonts w:ascii="Times New Roman" w:eastAsia="Times New Roman" w:hAnsi="Times New Roman" w:cs="Times New Roman"/>
          <w:color w:val="000000"/>
          <w:spacing w:val="0"/>
          <w:w w:val="100"/>
          <w:position w:val="0"/>
          <w:shd w:val="clear" w:color="auto" w:fill="auto"/>
          <w:lang w:val="hr-HR" w:eastAsia="hr-HR" w:bidi="hr-HR"/>
        </w:rPr>
        <w:t xml:space="preserve"> 1979,65).</w:t>
        <w:tab/>
      </w:r>
      <w:r>
        <w:rPr>
          <w:rFonts w:ascii="Times New Roman" w:eastAsia="Times New Roman" w:hAnsi="Times New Roman" w:cs="Times New Roman"/>
          <w:smallCaps/>
          <w:color w:val="000000"/>
          <w:spacing w:val="0"/>
          <w:w w:val="100"/>
          <w:position w:val="0"/>
          <w:shd w:val="clear" w:color="auto" w:fill="auto"/>
          <w:lang w:val="hr-HR" w:eastAsia="hr-HR" w:bidi="hr-HR"/>
        </w:rPr>
        <w:t>s.baijć</w:t>
      </w:r>
    </w:p>
    <w:p>
      <w:pPr>
        <w:pStyle w:val="Style33"/>
        <w:keepNext w:val="0"/>
        <w:keepLines w:val="0"/>
        <w:widowControl w:val="0"/>
        <w:shd w:val="clear" w:color="auto" w:fill="auto"/>
        <w:bidi w:val="0"/>
        <w:spacing w:before="0" w:after="18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MORAL</w:t>
      </w:r>
    </w:p>
    <w:p>
      <w:pPr>
        <w:pStyle w:val="Style63"/>
        <w:keepNext/>
        <w:keepLines/>
        <w:widowControl w:val="0"/>
        <w:numPr>
          <w:ilvl w:val="0"/>
          <w:numId w:val="327"/>
        </w:numPr>
        <w:shd w:val="clear" w:color="auto" w:fill="auto"/>
        <w:tabs>
          <w:tab w:pos="250" w:val="left"/>
        </w:tabs>
        <w:bidi w:val="0"/>
        <w:spacing w:before="0" w:after="100" w:line="223" w:lineRule="auto"/>
        <w:ind w:left="0" w:right="0" w:firstLine="0"/>
        <w:jc w:val="both"/>
      </w:pPr>
      <w:bookmarkStart w:id="201" w:name="bookmark201"/>
      <w:r>
        <w:rPr>
          <w:rFonts w:ascii="Times New Roman" w:eastAsia="Times New Roman" w:hAnsi="Times New Roman" w:cs="Times New Roman"/>
          <w:color w:val="000000"/>
          <w:spacing w:val="0"/>
          <w:w w:val="100"/>
          <w:position w:val="0"/>
          <w:shd w:val="clear" w:color="auto" w:fill="auto"/>
          <w:lang w:val="hr-HR" w:eastAsia="hr-HR" w:bidi="hr-HR"/>
        </w:rPr>
        <w:t>židovski</w:t>
      </w:r>
      <w:bookmarkEnd w:id="20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»Tora je trebala početi tek s Post 12,2.«</w:t>
      </w:r>
      <w:r>
        <w:rPr>
          <w:rFonts w:ascii="Times New Roman" w:eastAsia="Times New Roman" w:hAnsi="Times New Roman" w:cs="Times New Roman"/>
          <w:color w:val="000000"/>
          <w:spacing w:val="0"/>
          <w:w w:val="100"/>
          <w:position w:val="0"/>
          <w:shd w:val="clear" w:color="auto" w:fill="auto"/>
          <w:lang w:val="hr-HR" w:eastAsia="hr-HR" w:bidi="hr-HR"/>
        </w:rPr>
        <w:t xml:space="preserve"> Zna</w:t>
        <w:softHyphen/>
        <w:t>čajni tumač Biblije, rabin Šlomo Jichaki (skra</w:t>
        <w:softHyphen/>
        <w:t>ćeno: Raši; 1040-1105) primijetio je u svojem komentaru na Post 1,1: »Tora je trebala po</w:t>
        <w:softHyphen/>
        <w:t>četi tek s ovim (odlomkom): ‘Ovaj mjesec ne</w:t>
        <w:softHyphen/>
        <w:t>ka bude...’ (Izl 12,2) jer sadrži prvu zapovijed koju je dobio Izrael«. Ovdje je izvrsno izraže</w:t>
        <w:softHyphen/>
      </w:r>
      <w:r>
        <w:rPr>
          <w:rFonts w:ascii="Times New Roman" w:eastAsia="Times New Roman" w:hAnsi="Times New Roman" w:cs="Times New Roman"/>
          <w:color w:val="000000"/>
          <w:spacing w:val="0"/>
          <w:w w:val="100"/>
          <w:position w:val="0"/>
          <w:shd w:val="clear" w:color="auto" w:fill="auto"/>
          <w:lang w:val="hr-HR" w:eastAsia="hr-HR" w:bidi="hr-HR"/>
        </w:rPr>
        <w:t>na židovska predodžba o sebi; obilježila je »religiju zapovijedi« »koja čovjeku kaže što Bog od njega traži, koja mu priznaje odluku i nakanu, od njega zahtijeva da ispunjava volju Božju, poštuje zakon dobra i od toga njegova djela očekuje nešto određeno, koja se ne nada »čudu«, »koje se događa čovjeku i koje znači sve, pa samo može čekati kako bi ga dočekao te stoga sve ljudsko djelo i rad pred tim ne</w:t>
        <w:softHyphen/>
        <w:t xml:space="preserve">staje, sporedno jc za odnos božanstva prema čovjeku i čovjeka prema Bogu«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Judentums,</w:t>
      </w:r>
      <w:r>
        <w:rPr>
          <w:rFonts w:ascii="Times New Roman" w:eastAsia="Times New Roman" w:hAnsi="Times New Roman" w:cs="Times New Roman"/>
          <w:color w:val="000000"/>
          <w:spacing w:val="0"/>
          <w:w w:val="100"/>
          <w:position w:val="0"/>
          <w:shd w:val="clear" w:color="auto" w:fill="auto"/>
          <w:vertAlign w:val="superscript"/>
          <w:lang w:val="en-US" w:eastAsia="en-US" w:bidi="en-US"/>
        </w:rPr>
        <w:t>4</w:t>
      </w:r>
      <w:r>
        <w:rPr>
          <w:rFonts w:ascii="Times New Roman" w:eastAsia="Times New Roman" w:hAnsi="Times New Roman" w:cs="Times New Roman"/>
          <w:color w:val="000000"/>
          <w:spacing w:val="0"/>
          <w:w w:val="100"/>
          <w:position w:val="0"/>
          <w:shd w:val="clear" w:color="auto" w:fill="auto"/>
          <w:lang w:val="en-US" w:eastAsia="en-US" w:bidi="en-US"/>
        </w:rPr>
        <w:t xml:space="preserve">1926,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6</w:t>
      </w:r>
      <w:r>
        <w:rPr>
          <w:rFonts w:ascii="Times New Roman" w:eastAsia="Times New Roman" w:hAnsi="Times New Roman" w:cs="Times New Roman"/>
          <w:color w:val="000000"/>
          <w:spacing w:val="0"/>
          <w:w w:val="100"/>
          <w:position w:val="0"/>
          <w:shd w:val="clear" w:color="auto" w:fill="auto"/>
          <w:lang w:val="en-US" w:eastAsia="en-US" w:bidi="en-US"/>
        </w:rPr>
        <w:t xml:space="preserve">1960, 295 i d.). </w:t>
      </w:r>
      <w:r>
        <w:rPr>
          <w:rFonts w:ascii="Times New Roman" w:eastAsia="Times New Roman" w:hAnsi="Times New Roman" w:cs="Times New Roman"/>
          <w:color w:val="000000"/>
          <w:spacing w:val="0"/>
          <w:w w:val="100"/>
          <w:position w:val="0"/>
          <w:shd w:val="clear" w:color="auto" w:fill="auto"/>
          <w:lang w:val="hr-HR" w:eastAsia="hr-HR" w:bidi="hr-HR"/>
        </w:rPr>
        <w:t>Izrael je bio siguran u svoju pripadnost Bogu uvijek samo pozivom na isključivu i bez</w:t>
        <w:softHyphen/>
        <w:t>uvjetnu odluku za Jednoga Jedinog; on objav</w:t>
        <w:softHyphen/>
        <w:t>ljuje Deset zapovijedi (Izl 20,3; Pnz 5,7) i po</w:t>
        <w:softHyphen/>
        <w:t>novno se javlja u raznim oblicima: »Dakle, Izraele, što od tebe traži ON, tvoj Bog? Samo to da se bojiš NJEGA, Boga, da po svim puto</w:t>
        <w:softHyphen/>
        <w:t>vima njegovim hodiš, da ljubiš NJEGA i služiš NJEMU, Bogu svomu, svim srcem svojim i svom dušom svojom; da drž.iš NJEGOVE za</w:t>
        <w:softHyphen/>
        <w:t>povijedi i NJEGOVE zakone« (Pnz 10,12 i d.); ili: »Budi posve vjeran NJEMU, Bogu svomu!« (18,13). Mudraci su još više razradili taj bezuvjetni zahtjev: »Zato ljubi NJEGA, Boga svoga, svim srcem svojim« (6,5) protu</w:t>
        <w:softHyphen/>
        <w:t>mačili su: »s oba tvoja nagona, dobrim i zlim« (M Berahot IX,5), tj. s odlukom čovjeka za Boga tako da obuzda svoju strast i svu njezinu snagu uloži u izvršenje željenoga djela. Tek nedostatak ljudske odluke čini od Boga stvo</w:t>
        <w:softHyphen/>
        <w:t>renu (»vrlo dobru«, Berešit raba IX,1,31) strast »zlom«.</w:t>
      </w:r>
    </w:p>
    <w:p>
      <w:pPr>
        <w:pStyle w:val="Style20"/>
        <w:keepNext w:val="0"/>
        <w:keepLines w:val="0"/>
        <w:widowControl w:val="0"/>
        <w:shd w:val="clear" w:color="auto" w:fill="auto"/>
        <w:bidi w:val="0"/>
        <w:spacing w:before="0" w:after="0"/>
        <w:ind w:left="0" w:right="0" w:firstLine="0"/>
        <w:jc w:val="both"/>
        <w:sectPr>
          <w:headerReference w:type="default" r:id="rId861"/>
          <w:footerReference w:type="default" r:id="rId862"/>
          <w:headerReference w:type="even" r:id="rId863"/>
          <w:footerReference w:type="even" r:id="rId864"/>
          <w:headerReference w:type="first" r:id="rId865"/>
          <w:footerReference w:type="first" r:id="rId866"/>
          <w:footnotePr>
            <w:pos w:val="pageBottom"/>
            <w:numFmt w:val="decimal"/>
            <w:numRestart w:val="continuous"/>
            <w15:footnoteColumns w:val="1"/>
          </w:footnotePr>
          <w:pgSz w:w="6816" w:h="11006"/>
          <w:pgMar w:top="856" w:left="188" w:right="191" w:bottom="266" w:header="0" w:footer="3" w:gutter="0"/>
          <w:pgNumType w:start="287"/>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Biblijska i poslijebiblijska predaja židovskoga naroda odražava povijest njegove borbe pro</w:t>
        <w:softHyphen/>
        <w:t>tiv ravnodušnosti. U njoj je molba dobila zna</w:t>
        <w:softHyphen/>
        <w:t>čenje: »Uči me, TI, svojemu putu da hodim vjeran TEBI, usmjeri srce moje da se boji ime</w:t>
        <w:softHyphen/>
        <w:t>na tvojega« (Ps 86,11). Čovjek ugrožen rastre- šenoču, borbama i proturječjima svojega srca u svojem djelovanju moli nepodijeljenu, neo</w:t>
        <w:softHyphen/>
        <w:t>graničenu predanost Bogu. On je ne može doživjeti kao puki dar neba, nego barem kao plod ozbiljna htijenja i težnje, u kojem se do</w:t>
        <w:softHyphen/>
        <w:t>kazuje odnos Boga prema čovjeku, kako pro</w:t>
        <w:softHyphen/>
        <w:t>izlazi iz neposrednoga konteksta toga dijela psalma. On je stoljećima moliteljima pružao važnu jezičnu i misaonu pomoć; naime, kao posljednja u nizu molitava za pomoć u razu</w:t>
        <w:softHyphen/>
        <w:t xml:space="preserve">mijevanju učenja u vjernom izvršenju Tore ona je riječima »sjedini naše srce da ljubi ime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tvoje i boji se imena tvojega« ušla u svako</w:t>
        <w:softHyphen/>
        <w:t xml:space="preserve">dnevnu jutarnju molitvu (u drugu 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berahot </w:t>
      </w:r>
      <w:r>
        <w:rPr>
          <w:rFonts w:ascii="Times New Roman" w:eastAsia="Times New Roman" w:hAnsi="Times New Roman" w:cs="Times New Roman"/>
          <w:color w:val="000000"/>
          <w:spacing w:val="0"/>
          <w:w w:val="100"/>
          <w:position w:val="0"/>
          <w:shd w:val="clear" w:color="auto" w:fill="auto"/>
          <w:lang w:val="hr-HR" w:eastAsia="hr-HR" w:bidi="hr-HR"/>
        </w:rPr>
        <w:t>koje pripadaju recitacijama »Šema«). Ovdje ona izražava spoznaju da samo čovjek koji po</w:t>
        <w:softHyphen/>
        <w:t>stiže jedinstvo srca ostvaruje svojini djelom je</w:t>
        <w:softHyphen/>
        <w:t>dinstvo Boga u svijetu. No time ona opovrga</w:t>
        <w:softHyphen/>
        <w:t>va i pogrešan sud zbog površnog zapažanja da je proživljena židovska religija svedena na praktični m.: moralno djelovanje temelji se u zapovijedi Božjoj. Od Zidova se ne zahtijeva samo etička odluka koja nije potpuno u skla</w:t>
        <w:softHyphen/>
        <w:t>du sa služenjem Bogu. Samo odluka za jed</w:t>
        <w:softHyphen/>
        <w:t xml:space="preserve">noga Boga vodi k ispunjenju dužnosti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(micva, </w:t>
      </w:r>
      <w:r>
        <w:rPr>
          <w:rFonts w:ascii="Times New Roman" w:eastAsia="Times New Roman" w:hAnsi="Times New Roman" w:cs="Times New Roman"/>
          <w:color w:val="000000"/>
          <w:spacing w:val="0"/>
          <w:w w:val="100"/>
          <w:position w:val="0"/>
          <w:shd w:val="clear" w:color="auto" w:fill="auto"/>
          <w:lang w:val="hr-HR" w:eastAsia="hr-HR" w:bidi="hr-HR"/>
        </w:rPr>
        <w:t>»zapovijed« Božja, usp. b Makot 24a), kao što se ni svaki grešni čin ne odnosi samo na čovjeka kojem se on pripisuje, nego je usm</w:t>
        <w:softHyphen/>
        <w:t xml:space="preserve">jeren protiv samoga Boga koji zapovijeda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IV,5; b 37a; Targum Jcrušalmi Post 4,10). U židovstvu je u pitanju etika ukot</w:t>
        <w:softHyphen/>
        <w:t>vljena u korelaciji Boga i čovjeka. Karakteris</w:t>
        <w:softHyphen/>
        <w:t>tični jezični izraz za to je »cedaka« koji uje</w:t>
        <w:softHyphen/>
        <w:t>dinjuje društvenu pravednost i dobro i ozna</w:t>
        <w:softHyphen/>
        <w:t xml:space="preserve">čava dobročinstvo na koje sučovjek ima pravo, i njegova upotreba daje jasno naslutiti: Božje djelovanje ccdakc može imati učinka samo u strahopoštovanju pred Jednim i u ljudskom djelovanju cedake u ljubavi prema njemu (Iz 1,27; 5,7; 28,17; 33,5;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5,7.24; 6,12;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19,15; Šifre Pnz 11,22; b Bava batra 9a; Suka 59b). Mišna je to gledište sažela u krat</w:t>
        <w:softHyphen/>
        <w:t>koj izreci koju treba postaviti za mjerilo sva</w:t>
        <w:softHyphen/>
        <w:t>koj moralnoj odluci: »Daj mu (Bog) od Nje</w:t>
        <w:softHyphen/>
        <w:t>govoga, jer ti i Tvoje ste njegovi« (Avot 111,7; usp. b Ketubot 67b).</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»Jer djeca Izraelova moji su službenici.«</w:t>
      </w:r>
      <w:r>
        <w:rPr>
          <w:rFonts w:ascii="Times New Roman" w:eastAsia="Times New Roman" w:hAnsi="Times New Roman" w:cs="Times New Roman"/>
          <w:color w:val="000000"/>
          <w:spacing w:val="0"/>
          <w:w w:val="100"/>
          <w:position w:val="0"/>
          <w:shd w:val="clear" w:color="auto" w:fill="auto"/>
          <w:lang w:val="hr-HR" w:eastAsia="hr-HR" w:bidi="hr-HR"/>
        </w:rPr>
        <w:t xml:space="preserve"> He</w:t>
        <w:softHyphen/>
        <w:t>brejska Biblija izvodi moralne, pravne, obred</w:t>
        <w:softHyphen/>
        <w:t xml:space="preserve">ne propise neodvojeno od jedinstvene objave volje Božje. 1 hebrejsko-jezično jednako su oblikovane odredbe koje kasnija razmišljanja smatraju drukčijom vrstom, kao: »Ne ubij« (Izl 20,13) i »Ne mrzi svoga brata u svom srcu«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19,17) ili: »Neka je život za život, oko za oko« (Izl 21,23 i d.), »Neka mi sagrade Svetište« (25,8), »Napominji ih (te riječi) svo</w:t>
        <w:softHyphen/>
        <w:t>jim sinovima... Priveži ih na svoju ruku za znak« (Pnz 6,7 i d.), »Zato ljubi NJEGA, Bo</w:t>
        <w:softHyphen/>
        <w:t xml:space="preserve">ga svoga« (6,5) i »Ljubi bližnjega svoga kao samoga sebe«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19,8). Sve što se poslije raspalo na pojedina posebna područja podi</w:t>
        <w:softHyphen/>
        <w:t>jeljene ljudske egzistencije, ovdje je spojeno u apelu na narod nepodijeljena života pred Bo</w:t>
        <w:softHyphen/>
        <w:t xml:space="preserve">gom: »Sveti budite! Jer svet sam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usp. 11,44; 20,7.26). Pojedincu u Božjem narodu namijenjen je religijsko-ćudo- redni zahtjev da ostvari svoj dio u božansko- Ijudskom uzajamnom odnosu oponašanjem Boga: »Objavljeno ti je, čovječe, što je dobro, što ON traži od tebe: samo činiti pravicu </w:t>
      </w:r>
      <w:r>
        <w:rPr>
          <w:rFonts w:ascii="Times New Roman" w:eastAsia="Times New Roman" w:hAnsi="Times New Roman" w:cs="Times New Roman"/>
          <w:i/>
          <w:iCs/>
          <w:color w:val="000000"/>
          <w:spacing w:val="0"/>
          <w:w w:val="100"/>
          <w:position w:val="0"/>
          <w:shd w:val="clear" w:color="auto" w:fill="auto"/>
          <w:lang w:val="hr-HR" w:eastAsia="hr-HR" w:bidi="hr-HR"/>
        </w:rPr>
        <w:t>(ce</w:t>
        <w:softHyphen/>
        <w:t>daka),</w:t>
      </w:r>
      <w:r>
        <w:rPr>
          <w:rFonts w:ascii="Times New Roman" w:eastAsia="Times New Roman" w:hAnsi="Times New Roman" w:cs="Times New Roman"/>
          <w:color w:val="000000"/>
          <w:spacing w:val="0"/>
          <w:w w:val="100"/>
          <w:position w:val="0"/>
          <w:shd w:val="clear" w:color="auto" w:fill="auto"/>
          <w:lang w:val="hr-HR" w:eastAsia="hr-HR" w:bidi="hr-HR"/>
        </w:rPr>
        <w:t xml:space="preserve"> milosrđe </w:t>
      </w:r>
      <w:r>
        <w:rPr>
          <w:rFonts w:ascii="Times New Roman" w:eastAsia="Times New Roman" w:hAnsi="Times New Roman" w:cs="Times New Roman"/>
          <w:i/>
          <w:iCs/>
          <w:color w:val="000000"/>
          <w:spacing w:val="0"/>
          <w:w w:val="100"/>
          <w:position w:val="0"/>
          <w:shd w:val="clear" w:color="auto" w:fill="auto"/>
          <w:lang w:val="hr-HR" w:eastAsia="hr-HR" w:bidi="hr-HR"/>
        </w:rPr>
        <w:t>(hesed),</w:t>
      </w:r>
      <w:r>
        <w:rPr>
          <w:rFonts w:ascii="Times New Roman" w:eastAsia="Times New Roman" w:hAnsi="Times New Roman" w:cs="Times New Roman"/>
          <w:color w:val="000000"/>
          <w:spacing w:val="0"/>
          <w:w w:val="100"/>
          <w:position w:val="0"/>
          <w:shd w:val="clear" w:color="auto" w:fill="auto"/>
          <w:lang w:val="hr-HR" w:eastAsia="hr-HR" w:bidi="hr-HR"/>
        </w:rPr>
        <w:t xml:space="preserve"> ljubiti i smjerno sa svojim Bogom hoditi!« (Mih 6,8). Utjecaj tih pouka u moralnom odgoju (Ps 15; 24,3-6; Iz 33,14-16; Mih 6,6-8; Ez 18,5 i d.) potkrijepila je odredba: »Sve što vam naređujem držite, tomu ništa ne domeći i ništa ne oduzimaj!« (Pnz 13,1). No bez autoriteta Božjeg, doživlje</w:t>
        <w:softHyphen/>
        <w:t xml:space="preserve">nog u svakom naraštaju i vremenu, kao izvora obveze posluha ne bi se u židovskom narodu izgradila moralna savjest (Izr 6,18; 4,23) niti bi se prenosila tisućljećima jasna predodžba o društvenom uređenju s jednakim pravima za svakoga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24,22), u kojem je ljudski postu</w:t>
        <w:softHyphen/>
        <w:t xml:space="preserve">pak prema društveno i gospodarski slabima i nemoćnima (Izl 22,22-24.26 i d.; 23,2 i d.; Iz 1,17;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31,13 i d.), prema strancima i pri- došlicama (Izl 22,21; 20,10; 23,9.12;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19,33 i d.; Br 9,14), prema službenicima i slugama (20,10; 21,26 i d.; 23,12), prema neprijatelju (23,4 i d.; Izr 25,21 i d.) oblikovan u provedivo pravo. U temeljnom zakonu nametnutom iza</w:t>
        <w:softHyphen/>
        <w:t>branom narodu korijeni su moralne odgovor</w:t>
        <w:softHyphen/>
        <w:t>nosti pojedinca: »Jer djeca Izraelova moji su službenici; oni su moji službenici koje sam iz</w:t>
        <w:softHyphen/>
        <w:t xml:space="preserve">veo iz zemlje egipatske,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25,55).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Rabini su naglašavali da je Izrael, kad mu je Mojsijc na Sinaju objavio Božju Toni, odgo</w:t>
        <w:softHyphen/>
        <w:t>vorio: »Vršit ćemo sve što je ON naredio« (Izl 19,8), da se potpuno obvezao na doživotno služenje svojem gospodaru dajući prednost iz</w:t>
        <w:softHyphen/>
        <w:t>vršenju djela: »Sve što je ON rekao, izvršit ćemo i poslušat ćemo!« (24,7). Hagada ukra</w:t>
        <w:softHyphen/>
        <w:t>šava to mjesto: »U času kad su Izraelci obećali djelo prije posluha, došlo je šezdeset mirijada anđeoskih slugu i splelo svakom Izraelcu dva vijenca, jedan za djelo i jedan za posluh. Kad su Izraelci poslije griješili, spustilo se stotinu i dvadeset mirijada anđela smrti i oduzelo im ih« (b Sabat 88a). Talmudska priča pokazuje u kakvoj je velikoj mjeri rabinska etika bila pouka o djelu. Mišna to oštro formulira: »Nije važniji nauk, već djelo« (Avot 1,17).</w:t>
      </w:r>
    </w:p>
    <w:p>
      <w:pPr>
        <w:pStyle w:val="Style20"/>
        <w:keepNext w:val="0"/>
        <w:keepLines w:val="0"/>
        <w:widowControl w:val="0"/>
        <w:numPr>
          <w:ilvl w:val="0"/>
          <w:numId w:val="325"/>
        </w:numPr>
        <w:shd w:val="clear" w:color="auto" w:fill="auto"/>
        <w:tabs>
          <w:tab w:pos="25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»Sveti hoće mnogo više od srca«:</w:t>
      </w:r>
      <w:r>
        <w:rPr>
          <w:rFonts w:ascii="Times New Roman" w:eastAsia="Times New Roman" w:hAnsi="Times New Roman" w:cs="Times New Roman"/>
          <w:color w:val="000000"/>
          <w:spacing w:val="0"/>
          <w:w w:val="100"/>
          <w:position w:val="0"/>
          <w:shd w:val="clear" w:color="auto" w:fill="auto"/>
          <w:lang w:val="hr-HR" w:eastAsia="hr-HR" w:bidi="hr-HR"/>
        </w:rPr>
        <w:t xml:space="preserve"> Za rješenje ćudoredno-religijskog problema svojega vre</w:t>
        <w:softHyphen/>
        <w:t xml:space="preserve">mena već su farizeji razvili mišljenje o pisanoj </w:t>
      </w:r>
      <w:r>
        <w:rPr>
          <w:rFonts w:ascii="Times New Roman" w:eastAsia="Times New Roman" w:hAnsi="Times New Roman" w:cs="Times New Roman"/>
          <w:color w:val="000000"/>
          <w:spacing w:val="0"/>
          <w:w w:val="100"/>
          <w:position w:val="0"/>
          <w:shd w:val="clear" w:color="auto" w:fill="auto"/>
          <w:lang w:val="hr-HR" w:eastAsia="hr-HR" w:bidi="hr-HR"/>
        </w:rPr>
        <w:t xml:space="preserve">i usmenoj Tori kao o savršenoj i neiscrpnoj objavi Božjoj i time utjecali na to da je Tora postala naprednom Božjom objavom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 b Nida 45a). Mudraci su tada mogli jasnije spoznati i objasniti njezin smisao od stoljeća do stoljeća. Tumačenje volje Božje radi njezi</w:t>
        <w:softHyphen/>
        <w:t>na ostvarenja proteže se u halahi na norma</w:t>
        <w:softHyphen/>
        <w:t>tivno u pravu i zakonu o obredima, ali ne i na primjenu propisa na pojedini slučaj, no obu</w:t>
        <w:softHyphen/>
        <w:t>hvaća u području morala pojedine odredbe iz</w:t>
        <w:softHyphen/>
        <w:t xml:space="preserve">van individualne procjene </w:t>
      </w:r>
      <w:r>
        <w:rPr>
          <w:rFonts w:ascii="Times New Roman" w:eastAsia="Times New Roman" w:hAnsi="Times New Roman" w:cs="Times New Roman"/>
          <w:i/>
          <w:iCs/>
          <w:color w:val="000000"/>
          <w:spacing w:val="0"/>
          <w:w w:val="100"/>
          <w:position w:val="0"/>
          <w:shd w:val="clear" w:color="auto" w:fill="auto"/>
          <w:lang w:val="hr-HR" w:eastAsia="hr-HR" w:bidi="hr-HR"/>
        </w:rPr>
        <w:t>(le-ši’urim,</w:t>
      </w:r>
      <w:r>
        <w:rPr>
          <w:rFonts w:ascii="Times New Roman" w:eastAsia="Times New Roman" w:hAnsi="Times New Roman" w:cs="Times New Roman"/>
          <w:color w:val="000000"/>
          <w:spacing w:val="0"/>
          <w:w w:val="100"/>
          <w:position w:val="0"/>
          <w:shd w:val="clear" w:color="auto" w:fill="auto"/>
          <w:lang w:val="hr-HR" w:eastAsia="hr-HR" w:bidi="hr-HR"/>
        </w:rPr>
        <w:t xml:space="preserve"> usp. b Joma 80a; Sabat 35b), npr.: »Kako ima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ona'a </w:t>
      </w:r>
      <w:r>
        <w:rPr>
          <w:rFonts w:ascii="Times New Roman" w:eastAsia="Times New Roman" w:hAnsi="Times New Roman" w:cs="Times New Roman"/>
          <w:color w:val="000000"/>
          <w:spacing w:val="0"/>
          <w:w w:val="100"/>
          <w:position w:val="0"/>
          <w:shd w:val="clear" w:color="auto" w:fill="auto"/>
          <w:lang w:val="hr-HR" w:eastAsia="hr-HR" w:bidi="hr-HR"/>
        </w:rPr>
        <w:t xml:space="preserve">(zakidanja) u kupnji i prodaji, tako ima i </w:t>
      </w:r>
      <w:r>
        <w:rPr>
          <w:rFonts w:ascii="Times New Roman" w:eastAsia="Times New Roman" w:hAnsi="Times New Roman" w:cs="Times New Roman"/>
          <w:i/>
          <w:iCs/>
          <w:color w:val="000000"/>
          <w:spacing w:val="0"/>
          <w:w w:val="100"/>
          <w:position w:val="0"/>
          <w:shd w:val="clear" w:color="auto" w:fill="auto"/>
          <w:lang w:val="hr-HR" w:eastAsia="hr-HR" w:bidi="hr-HR"/>
        </w:rPr>
        <w:t>ona’a</w:t>
      </w:r>
      <w:r>
        <w:rPr>
          <w:rFonts w:ascii="Times New Roman" w:eastAsia="Times New Roman" w:hAnsi="Times New Roman" w:cs="Times New Roman"/>
          <w:color w:val="000000"/>
          <w:spacing w:val="0"/>
          <w:w w:val="100"/>
          <w:position w:val="0"/>
          <w:shd w:val="clear" w:color="auto" w:fill="auto"/>
          <w:lang w:val="hr-HR" w:eastAsia="hr-HR" w:bidi="hr-HR"/>
        </w:rPr>
        <w:t xml:space="preserve"> (uvreda) u riječima. Ne smije se reći: Za koliko se ta stvar (prodaje) ako se ne želi ku</w:t>
        <w:softHyphen/>
        <w:t>piti. Ako je tko pokajnik (obraćenik), ne kaže mu se: Sjeti se svojih ranijih djela! Ako je tko prozelitski sin, ne kaže mu se: Sjeti se djela tvojih otaca!« (M Bava mecia IV,10). Mudraci su stvorili halaške propise koji od čovjeka traže poslušnost Bogu kao »dužnosti zapovje- đenc srcu« (b Bava mecia 58b). Ako mu pro</w:t>
        <w:softHyphen/>
        <w:t>pisuju kako u određenim okolnostima mora postupiti, oni ga ipak ne podvrgavaju meha</w:t>
        <w:softHyphen/>
        <w:t>ničkoj prisili; čovjek može služiti Bogu samo slobodnim djelom za koje je sam odgovoran, ali mu zahvaliti na učiteljima koji mu pomažu da u konkretnom slučaju ispuni volju Božju. M., etiku kao posebno područje pored reli</w:t>
        <w:softHyphen/>
        <w:t xml:space="preserve">gioznosti židovstvo ne poznaje: »Sveti, hvaljen bio, hoće mnogo više od srca«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106b). Židovska je dužnost posluha integri</w:t>
        <w:softHyphen/>
        <w:t>rana u uzajamni odnos Boga i čovjeka te su etički i religiozni život nerazdvojivo povezani, kako su poučavali mudraci u hagadi koja ne zapovijeda nego na razne pripovijedne načine preporučuje etička načela: »Ona zarobljava srce poput vina« (Šifre Pnz 32,14). Hagada sc, primjerice, suprotstavlja utilitarnosti koja na širokom polju točnih halaških zapovijedi reli- giozno-ćudoredni postupak pretvara u suprot</w:t>
        <w:softHyphen/>
        <w:t>nost: »Nemojte biti poput slugu koji služe gos</w:t>
        <w:softHyphen/>
        <w:t xml:space="preserve">podara samo zato kako bi dobili plaću, nego budite poput slugu koji služe gospodara ne zato kako bi dobili plaću. Neka se strah Božji nadvi- je nad vama« (M Avot 1,3;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19a).</w:t>
      </w:r>
    </w:p>
    <w:p>
      <w:pPr>
        <w:pStyle w:val="Style56"/>
        <w:keepNext w:val="0"/>
        <w:keepLines w:val="0"/>
        <w:widowControl w:val="0"/>
        <w:shd w:val="clear" w:color="auto" w:fill="auto"/>
        <w:tabs>
          <w:tab w:pos="2448" w:val="left"/>
        </w:tabs>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I .azartis.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Eihik drs Judenlums.</w:t>
      </w:r>
      <w:r>
        <w:rPr>
          <w:color w:val="000000"/>
          <w:spacing w:val="0"/>
          <w:w w:val="100"/>
          <w:position w:val="0"/>
          <w:shd w:val="clear" w:color="auto" w:fill="auto"/>
          <w:lang w:val="hr-HR" w:eastAsia="hr-HR" w:bidi="hr-HR"/>
        </w:rPr>
        <w:t xml:space="preserve"> i.'lt. 1904-11; L. </w:t>
      </w:r>
      <w:r>
        <w:rPr>
          <w:color w:val="000000"/>
          <w:spacing w:val="0"/>
          <w:w w:val="100"/>
          <w:position w:val="0"/>
          <w:shd w:val="clear" w:color="auto" w:fill="auto"/>
        </w:rPr>
        <w:t xml:space="preserve">Baeck, </w:t>
      </w:r>
      <w:r>
        <w:rPr>
          <w:i/>
          <w:iCs/>
          <w:color w:val="000000"/>
          <w:spacing w:val="0"/>
          <w:w w:val="100"/>
          <w:position w:val="0"/>
          <w:shd w:val="clear" w:color="auto" w:fill="auto"/>
        </w:rPr>
        <w:t xml:space="preserve">Das Wesen des </w:t>
      </w:r>
      <w:r>
        <w:rPr>
          <w:i/>
          <w:iCs/>
          <w:color w:val="000000"/>
          <w:spacing w:val="0"/>
          <w:w w:val="100"/>
          <w:position w:val="0"/>
          <w:shd w:val="clear" w:color="auto" w:fill="auto"/>
          <w:lang w:val="hr-HR" w:eastAsia="hr-HR" w:bidi="hr-HR"/>
        </w:rPr>
        <w:t>Judenlums,</w:t>
      </w:r>
      <w:r>
        <w:rPr>
          <w:color w:val="000000"/>
          <w:spacing w:val="0"/>
          <w:w w:val="100"/>
          <w:position w:val="0"/>
          <w:shd w:val="clear" w:color="auto" w:fill="auto"/>
          <w:lang w:val="hr-HR" w:eastAsia="hr-HR" w:bidi="hr-HR"/>
        </w:rPr>
        <w:t xml:space="preserve"> 1905, ''I960, 85 l d-, 164 i d.; </w:t>
      </w:r>
      <w:r>
        <w:rPr>
          <w:i/>
          <w:iCs/>
          <w:color w:val="000000"/>
          <w:spacing w:val="0"/>
          <w:w w:val="100"/>
          <w:position w:val="0"/>
          <w:shd w:val="clear" w:color="auto" w:fill="auto"/>
          <w:lang w:val="hr-HR" w:eastAsia="hr-HR" w:bidi="hr-HR"/>
        </w:rPr>
        <w:t xml:space="preserve">Judisches </w:t>
      </w:r>
      <w:r>
        <w:rPr>
          <w:i/>
          <w:iCs/>
          <w:color w:val="000000"/>
          <w:spacing w:val="0"/>
          <w:w w:val="100"/>
          <w:position w:val="0"/>
          <w:shd w:val="clear" w:color="auto" w:fill="auto"/>
        </w:rPr>
        <w:t>Lexikon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IV72, 19274982, 451-65; </w:t>
      </w:r>
      <w:r>
        <w:rPr>
          <w:i/>
          <w:iCs/>
          <w:color w:val="000000"/>
          <w:spacing w:val="0"/>
          <w:w w:val="100"/>
          <w:position w:val="0"/>
          <w:shd w:val="clear" w:color="auto" w:fill="auto"/>
        </w:rPr>
        <w:t>Encyclopae</w:t>
        <w:softHyphen/>
        <w:t>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10.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1480-84; E. E. </w:t>
      </w:r>
      <w:r>
        <w:rPr>
          <w:color w:val="000000"/>
          <w:spacing w:val="0"/>
          <w:w w:val="100"/>
          <w:position w:val="0"/>
          <w:shd w:val="clear" w:color="auto" w:fill="auto"/>
        </w:rPr>
        <w:t xml:space="preserve">Urbach. </w:t>
      </w:r>
      <w:r>
        <w:rPr>
          <w:i/>
          <w:iCs/>
          <w:color w:val="000000"/>
          <w:spacing w:val="0"/>
          <w:w w:val="100"/>
          <w:position w:val="0"/>
          <w:shd w:val="clear" w:color="auto" w:fill="auto"/>
        </w:rPr>
        <w:t>The Sages. Their Concepts and Ucliefs,</w:t>
      </w:r>
      <w:r>
        <w:rPr>
          <w:color w:val="000000"/>
          <w:spacing w:val="0"/>
          <w:w w:val="100"/>
          <w:position w:val="0"/>
          <w:shd w:val="clear" w:color="auto" w:fill="auto"/>
        </w:rPr>
        <w:t xml:space="preserve"> 1975, 315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Ch. N. Bialik,Er- </w:t>
      </w:r>
      <w:r>
        <w:rPr>
          <w:i/>
          <w:iCs/>
          <w:color w:val="000000"/>
          <w:spacing w:val="0"/>
          <w:w w:val="100"/>
          <w:position w:val="0"/>
          <w:shd w:val="clear" w:color="auto" w:fill="auto"/>
        </w:rPr>
        <w:t>says.</w:t>
      </w:r>
      <w:r>
        <w:rPr>
          <w:color w:val="000000"/>
          <w:spacing w:val="0"/>
          <w:w w:val="100"/>
          <w:position w:val="0"/>
          <w:shd w:val="clear" w:color="auto" w:fill="auto"/>
        </w:rPr>
        <w:t xml:space="preserve"> 1925,82 id.</w:t>
        <w:tab/>
        <w:t>O Vli'm-R</w:t>
      </w:r>
    </w:p>
    <w:p>
      <w:pPr>
        <w:pStyle w:val="Style63"/>
        <w:keepNext/>
        <w:keepLines/>
        <w:widowControl w:val="0"/>
        <w:numPr>
          <w:ilvl w:val="0"/>
          <w:numId w:val="327"/>
        </w:numPr>
        <w:shd w:val="clear" w:color="auto" w:fill="auto"/>
        <w:tabs>
          <w:tab w:pos="260" w:val="left"/>
        </w:tabs>
        <w:bidi w:val="0"/>
        <w:spacing w:before="0" w:line="226" w:lineRule="auto"/>
        <w:ind w:left="0" w:right="0" w:firstLine="0"/>
        <w:jc w:val="both"/>
      </w:pPr>
      <w:bookmarkStart w:id="202" w:name="bookmark20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02"/>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 xml:space="preserve">nefilozofskom </w:t>
      </w:r>
      <w:r>
        <w:rPr>
          <w:rFonts w:ascii="Times New Roman" w:eastAsia="Times New Roman" w:hAnsi="Times New Roman" w:cs="Times New Roman"/>
          <w:color w:val="000000"/>
          <w:spacing w:val="0"/>
          <w:w w:val="100"/>
          <w:position w:val="0"/>
          <w:shd w:val="clear" w:color="auto" w:fill="auto"/>
          <w:lang w:val="hr-HR" w:eastAsia="hr-HR" w:bidi="hr-HR"/>
        </w:rPr>
        <w:t xml:space="preserve">i neteološkom kontekstu </w:t>
      </w:r>
      <w:r>
        <w:rPr>
          <w:rFonts w:ascii="Times New Roman" w:eastAsia="Times New Roman" w:hAnsi="Times New Roman" w:cs="Times New Roman"/>
          <w:color w:val="000000"/>
          <w:spacing w:val="0"/>
          <w:w w:val="100"/>
          <w:position w:val="0"/>
          <w:shd w:val="clear" w:color="auto" w:fill="auto"/>
          <w:lang w:val="en-US" w:eastAsia="en-US" w:bidi="en-US"/>
        </w:rPr>
        <w:t xml:space="preserve">pod </w:t>
      </w:r>
      <w:r>
        <w:rPr>
          <w:rFonts w:ascii="Times New Roman" w:eastAsia="Times New Roman" w:hAnsi="Times New Roman" w:cs="Times New Roman"/>
          <w:color w:val="000000"/>
          <w:spacing w:val="0"/>
          <w:w w:val="100"/>
          <w:position w:val="0"/>
          <w:shd w:val="clear" w:color="auto" w:fill="auto"/>
          <w:lang w:val="hr-HR" w:eastAsia="hr-HR" w:bidi="hr-HR"/>
        </w:rPr>
        <w:t>‘moralom’ i ‘etikom’ obično se podrazumijeva broj ili sustav stvarno važećih mjerila ili pravi</w:t>
        <w:softHyphen/>
        <w:t>la pomoću kojih ljudi iz neke skupine ili društva konačno usmjeravaju ili trebaju usmje</w:t>
        <w:softHyphen/>
        <w:t>ravati svoje stavove i svoje ponašanje i po ko</w:t>
        <w:softHyphen/>
        <w:t>jima razlikuju između ispravnoga i krivoga, dobroga i lošega, zapovijedanoga i zabranje</w:t>
        <w:softHyphen/>
        <w:t>noga, dopuštenoga i nedopuštenoga. U tom se smislu govori o trgovačkoj etici, o politič</w:t>
        <w:softHyphen/>
        <w:t>kom moralu ili o moralu Hopi-Indijanaca. Pa ipak, kod uporabe riječi ‘m.’ i ‘etika’ ne misli se uvijek samo na norme određenog pona</w:t>
        <w:softHyphen/>
        <w:t>šanja u nekim ulogama ili za neku određenu skupinu ljudi nego često na posljednje norme koje vrijede za ljude kao ljude. Primjerice, u tom je smislu bio shvaćen kršćanski zapadni m. Kada takav m. opisuju povjesničari, antro</w:t>
        <w:softHyphen/>
        <w:t>polozi kultura ili sociolozi ne ocjenjujući ga, tada se njihovi pothvati označavaju kao des</w:t>
        <w:softHyphen/>
        <w:t>kriptivni m. ili etika.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filozofski i teološki termin ‘m.’ ili ‘etika’ stoji očigledno u odnosu prema tom načinu uporabe. Filozofska i teološka etika ili m. teo</w:t>
        <w:softHyphen/>
        <w:t>retski je pothvat kojim se ulaže napor da bi se obuhvatila temeljna načela i noseći pojmovi u sustavu pravila morala ili morala čovjeka kao čovjeka ili kršćanina kao kršćanina. Dakle, predmet morala u drugom smislu, m. je u prvom smislu. Oba se razlikuju po tome što m. kao važeći sustav pravila želi biti nepo</w:t>
        <w:softHyphen/>
        <w:t>sredno praktično životno pomagalo dok se kod morala ili etike kao teoretskog pothvata naj</w:t>
        <w:softHyphen/>
        <w:t>prije radi o izlaganju i analizi određenih mo</w:t>
        <w:softHyphen/>
        <w:t>ralnih shvaćanja i tumačenja. Pa ipak, ne bi trebalo previše naglašavati razliku. U onoj mjeri u kojoj i čovjek s ulice kritički razmišlja o svojim vlastitim moralnim uvjerenjima ili uvjerenjima drugih, raspituje se o njihovim tu</w:t>
        <w:softHyphen/>
        <w:t>mačenjima ili ih uspoređuje sa suparničkim stavovima i pravilima, točno u toj mjeri i on se bavi etikom i moralom u ovom drugom smislu.</w:t>
      </w:r>
    </w:p>
    <w:p>
      <w:pPr>
        <w:pStyle w:val="Style20"/>
        <w:keepNext w:val="0"/>
        <w:keepLines w:val="0"/>
        <w:widowControl w:val="0"/>
        <w:shd w:val="clear" w:color="auto" w:fill="auto"/>
        <w:bidi w:val="0"/>
        <w:spacing w:before="0" w:after="0" w:line="254" w:lineRule="auto"/>
        <w:ind w:left="0" w:right="0" w:firstLine="0"/>
        <w:jc w:val="both"/>
        <w:sectPr>
          <w:headerReference w:type="default" r:id="rId867"/>
          <w:footerReference w:type="default" r:id="rId868"/>
          <w:headerReference w:type="even" r:id="rId869"/>
          <w:footerReference w:type="even" r:id="rId870"/>
          <w:headerReference w:type="first" r:id="rId871"/>
          <w:footerReference w:type="first" r:id="rId872"/>
          <w:footnotePr>
            <w:pos w:val="pageBottom"/>
            <w:numFmt w:val="decimal"/>
            <w:numRestart w:val="continuous"/>
            <w15:footnoteColumns w:val="1"/>
          </w:footnotePr>
          <w:pgSz w:w="6816" w:h="11006"/>
          <w:pgMar w:top="856" w:left="188" w:right="191" w:bottom="266" w:header="0" w:footer="3" w:gutter="0"/>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Klasična filozofska i teološka etika uvijek se izdašno bavila i takvim problemima koji su neposredno dolazili i s kojima se suočava i čovjek s ulice. Tako je ona opširno tretirala moralna pitanja o zabrani ubijanja, pitanja braka i obitelji, ugovora i vlasništva, istinolju</w:t>
        <w:softHyphen/>
        <w:t xml:space="preserve">bivosti i Božjeg štovanja. Tumačenje takvih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pojedinačnih pitanja tradicionalno se pripisu</w:t>
        <w:softHyphen/>
        <w:t>je posebnoj etici ili moralki.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traganju za odgovorima na pojedinačne moralne probleme dolazi se - osobito kada nisu pri ruci odgovori u vrijednosnom pogle</w:t>
        <w:softHyphen/>
        <w:t>du - do načelnih pitanja. Raspravljanje o nji</w:t>
        <w:softHyphen/>
        <w:t>ma tradicionalno se označava kao opća etika ili ntoralka. Ovdje ćemo posebno navesti tri pitanja. Ako unatoč suglasnosti u svim rele</w:t>
        <w:softHyphen/>
        <w:t>vantnim činjeničnim pitanjima ipak nismo je</w:t>
        <w:softHyphen/>
        <w:t>dinstveni u rješavanju određenih moralnih pojedinačnih problema (npr. na području pre</w:t>
        <w:softHyphen/>
        <w:t>kida trudnoće, ncraziješivosti braka, umjet</w:t>
        <w:softHyphen/>
        <w:t>nog sprečavanja začeća, seksualnog morala), onda će se rasprava morati nastaviti na višoj razini. Treba se upitati na kojim se općim kri</w:t>
        <w:softHyphen/>
        <w:t>terijima uopće određuje ćudoredna ispravnost postupaka. Prelazi se, dakle, na raspravljanje o problemu njegove opće etičke teorije nor- miranja. Danas obično razlikujemo - u obliku potpune disjunkcije - dva različita tipa normi- ranja. Prema tclcološkoj teoriji normiranja, ćudoredna ispravnost postupaka ovisi samo o vrijednosti i nevrijednosti posljedica koje ima</w:t>
        <w:softHyphen/>
        <w:t>ju postupci nad kojima se može imati pregled u najširem smislu. Prekid trudnoće bio bi pre</w:t>
        <w:softHyphen/>
        <w:t>ma tomu u pravilu zato loš, jer smrt predstav</w:t>
        <w:softHyphen/>
        <w:t>lja za čovjeka temeljno zlo. Za rijetki slučaj suparništva, gdje majčin život stoji u opreci s djetetovim životom, teleolog bi mogao držati da majčin život ima prednost pred djetetovim, npr., jer majka ima dužnosti prema svojoj obi</w:t>
        <w:softHyphen/>
        <w:t>telji. Sve teorije normiranja prema kojima ću</w:t>
        <w:softHyphen/>
        <w:t>doredna ispravnost postupaka ne ovisi samo o vrijednosti i nevrijednosti posljedica u najši</w:t>
        <w:softHyphen/>
        <w:t>rem smislu, nazivaju se deontološkima. Kao daljnji kriteriji - uz posljedice - navedeni su npr. narav dotične radnje, objavljena Božja volja ili prethodno, odnosno nedostatno oprav</w:t>
        <w:softHyphen/>
        <w:t>danje. Tako se tradicionalna katolička moralka, primjerice, protivi svakom neposrednom umjet</w:t>
        <w:softHyphen/>
        <w:t>nom sprečavanju začeća - unatoč tako lošim posljedicama - kao pogrešnom, jer je protivno prirodi kao i svakom neposrednom prekidu trudnoće, jer se u ćudorednom smislu mora od</w:t>
        <w:softHyphen/>
        <w:t>baciti na osnovi nedostatnog opravdanja.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ipak, kada bi se čak trebala postići jedin</w:t>
        <w:softHyphen/>
        <w:t>stvenost općih kriterija za ćudoredno prosuđi</w:t>
        <w:softHyphen/>
        <w:t>vanje postupaka, preostaje, kako za tclcologe tako i za deontologe, još i pitanje koje treba objasniti, a to je: što je za čovjeka po sebi do</w:t>
        <w:softHyphen/>
        <w:t xml:space="preserve">bro, odnosno loše, po čemu bi se posljedice </w:t>
      </w:r>
      <w:r>
        <w:rPr>
          <w:rFonts w:ascii="Times New Roman" w:eastAsia="Times New Roman" w:hAnsi="Times New Roman" w:cs="Times New Roman"/>
          <w:color w:val="000000"/>
          <w:spacing w:val="0"/>
          <w:w w:val="100"/>
          <w:position w:val="0"/>
          <w:shd w:val="clear" w:color="auto" w:fill="auto"/>
          <w:lang w:val="hr-HR" w:eastAsia="hr-HR" w:bidi="hr-HR"/>
        </w:rPr>
        <w:t>postupaka isključivo ili između ostaloga tako</w:t>
        <w:softHyphen/>
        <w:t>đer trebale ocjenjivati. Kao primjeri za ono stoje po sebi dobro, treba navesti: ćudorednu vrijednost (ćudoredno dobro, moralnost) koja zaslužuje prvenstvo u odnosu na sve ostalo, temeljne izvanćudoredne vrijednosti kao život i zdravlje, izvanćudoredne vrijednosti kao što su svi mogući oblici osobnih odnosa, spoznaja, estetske i ostale vrijednosti. Tumačenje ovih triju vrsta pitanja tj. pitanja o ispravnom i po</w:t>
        <w:softHyphen/>
        <w:t>grešnom u pojedinačnome, pitanja o općoj etičkoj teoriji normiranja i pitanja o dobrom i lošem po sebi, pripisuje se danas normativnoj etici. Pritom se radi o istraživanju sadržaja moralnih pravila i stavova kao i o njihovom opravdanju na temelju onoga što bi se trebalo odrediti za ljude kao takve.</w:t>
      </w:r>
    </w:p>
    <w:p>
      <w:pPr>
        <w:pStyle w:val="Style20"/>
        <w:keepNext w:val="0"/>
        <w:keepLines w:val="0"/>
        <w:widowControl w:val="0"/>
        <w:shd w:val="clear" w:color="auto" w:fill="auto"/>
        <w:bidi w:val="0"/>
        <w:spacing w:before="0" w:after="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 izvan toga postavljaju se još etička pitanja druge vrste koja se ne odnose na sadržaj mo</w:t>
        <w:softHyphen/>
        <w:t>rala ni na načela koja bi trebala vrijediti, niti na način života koji bi trebao vrijediti kao poželjan. Takva daljnja pitanja proizlaze iz problema koji se odnose na analizu temeljnih moralnih pojmova (Što znače u kontekstima morala riječi ‘dobro’, ‘ispravno', ‘trebati’ itd.?), na logički oblik moralnih sudova (Moraju li se svi moralni sudovi univerzalno primjenjivati i što to točnije znači? Može li uz kategorije onoga što se u moralnom smislu zapovijeda i zabranjuje biti još i ono što se savjetuje?), na ontološki status onoga što se ističe u moral</w:t>
        <w:softHyphen/>
        <w:t>nim sudovima (Ima li objektivnih vrijednosnih stanja stvari ili se ono što mi svi označavamo kao ‘vrijednost’ temelji naposljetku na čisto subjektivnom davanju prednosti?) i na neiz- ražene pretpostavke koje uključuju ovaj ili onaj stav. Može li se npr. ateistički stav logički spojiti s pristajanjem uz objektivnost posljed</w:t>
        <w:softHyphen/>
        <w:t>njih moralnih sudova ili pak uvjerenje o ob</w:t>
        <w:softHyphen/>
        <w:t>jektivnosti morala prešutno pretpostavlja tei- zam? (Može li se uz alternativu: ćudoredno dobro - ćudoredno loše, još prihvatiti da se govori o ćudorednoj odgovornosti, krivnji, obraćenju, kajanju itd., kada se zastupa deter</w:t>
        <w:softHyphen/>
        <w:t>minizam, ili priznavanje tih datosti kao uvjeta njihove mogućnosti uključuje i priznavanje slobodne volje u smislu slobode odlučivanja za dobro i loše?). Ovi tipovi pitanja označa</w:t>
        <w:softHyphen/>
        <w:t>vaju se danas kao metaetika (metamoral) za razliku od pitanja normativne etike. Očigled</w:t>
        <w:softHyphen/>
        <w:t>no takva mctaetička razmišljanja logično pret</w:t>
        <w:softHyphen/>
        <w:t xml:space="preserve">hode normativnim rasuđivanjima. Dok god se </w:t>
      </w:r>
      <w:r>
        <w:rPr>
          <w:rFonts w:ascii="Times New Roman" w:eastAsia="Times New Roman" w:hAnsi="Times New Roman" w:cs="Times New Roman"/>
          <w:color w:val="000000"/>
          <w:spacing w:val="0"/>
          <w:w w:val="100"/>
          <w:position w:val="0"/>
          <w:shd w:val="clear" w:color="auto" w:fill="auto"/>
          <w:lang w:val="hr-HR" w:eastAsia="hr-HR" w:bidi="hr-HR"/>
        </w:rPr>
        <w:t>ne može steći jasnoća o tome mogu li moralna uvjerenja biti objektivno istinita ili pak potpu</w:t>
        <w:softHyphen/>
        <w:t>no ovisna o željama i odlukama onih koji ih zastupaju, ne može se znati kakav je oblik ar</w:t>
        <w:softHyphen/>
        <w:t>gumentacije primjeren za dokazivanje ili po</w:t>
        <w:softHyphen/>
        <w:t>bijanje bilo kojeg moralnog uvjerenja. Možda se još ne zna jesu li uopće mogući argumenti razuma na području morala.</w:t>
      </w:r>
    </w:p>
    <w:p>
      <w:pPr>
        <w:pStyle w:val="Style56"/>
        <w:keepNext w:val="0"/>
        <w:keepLines w:val="0"/>
        <w:widowControl w:val="0"/>
        <w:shd w:val="clear" w:color="auto" w:fill="auto"/>
        <w:bidi w:val="0"/>
        <w:spacing w:before="0" w:after="200" w:line="226" w:lineRule="auto"/>
        <w:ind w:left="0" w:right="0" w:firstLine="0"/>
        <w:jc w:val="both"/>
      </w:pP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Ijl:</w:t>
      </w:r>
      <w:r>
        <w:rPr>
          <w:color w:val="000000"/>
          <w:spacing w:val="0"/>
          <w:w w:val="100"/>
          <w:position w:val="0"/>
          <w:shd w:val="clear" w:color="auto" w:fill="auto"/>
          <w:lang w:val="hr-HR" w:eastAsia="hr-HR" w:bidi="hr-HR"/>
        </w:rPr>
        <w:t xml:space="preserve"> Pored priručnika iz filozofske i tcoloSkc etike: W. K. Frankcna. </w:t>
      </w:r>
      <w:r>
        <w:rPr>
          <w:i/>
          <w:iCs/>
          <w:color w:val="000000"/>
          <w:spacing w:val="0"/>
          <w:w w:val="100"/>
          <w:position w:val="0"/>
          <w:shd w:val="clear" w:color="auto" w:fill="auto"/>
        </w:rPr>
        <w:t xml:space="preserve">Analytische </w:t>
      </w:r>
      <w:r>
        <w:rPr>
          <w:i/>
          <w:iCs/>
          <w:color w:val="000000"/>
          <w:spacing w:val="0"/>
          <w:w w:val="100"/>
          <w:position w:val="0"/>
          <w:shd w:val="clear" w:color="auto" w:fill="auto"/>
          <w:lang w:val="hr-HR" w:eastAsia="hr-HR" w:bidi="hr-HR"/>
        </w:rPr>
        <w:t>Eihik,</w:t>
      </w:r>
      <w:r>
        <w:rPr>
          <w:color w:val="000000"/>
          <w:spacing w:val="0"/>
          <w:w w:val="100"/>
          <w:position w:val="0"/>
          <w:shd w:val="clear" w:color="auto" w:fill="auto"/>
          <w:lang w:val="hr-HR" w:eastAsia="hr-HR" w:bidi="hr-HR"/>
        </w:rPr>
        <w:t xml:space="preserve"> MUnchcn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1975; R. L, Purtill, </w:t>
      </w:r>
      <w:r>
        <w:rPr>
          <w:i/>
          <w:iCs/>
          <w:color w:val="000000"/>
          <w:spacing w:val="0"/>
          <w:w w:val="100"/>
          <w:position w:val="0"/>
          <w:shd w:val="clear" w:color="auto" w:fill="auto"/>
        </w:rPr>
        <w:t xml:space="preserve">Grundfragen </w:t>
      </w:r>
      <w:r>
        <w:rPr>
          <w:i/>
          <w:iCs/>
          <w:color w:val="000000"/>
          <w:spacing w:val="0"/>
          <w:w w:val="100"/>
          <w:position w:val="0"/>
          <w:shd w:val="clear" w:color="auto" w:fill="auto"/>
          <w:lang w:val="hr-HR" w:eastAsia="hr-HR" w:bidi="hr-HR"/>
        </w:rPr>
        <w:t>der Ethik,</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Dusseldorf </w:t>
      </w:r>
      <w:r>
        <w:rPr>
          <w:color w:val="000000"/>
          <w:spacing w:val="0"/>
          <w:w w:val="100"/>
          <w:position w:val="0"/>
          <w:shd w:val="clear" w:color="auto" w:fill="auto"/>
          <w:lang w:val="hr-HR" w:eastAsia="hr-HR" w:bidi="hr-HR"/>
        </w:rPr>
        <w:t xml:space="preserve">1977; B. </w:t>
      </w:r>
      <w:r>
        <w:rPr>
          <w:color w:val="000000"/>
          <w:spacing w:val="0"/>
          <w:w w:val="100"/>
          <w:position w:val="0"/>
          <w:shd w:val="clear" w:color="auto" w:fill="auto"/>
        </w:rPr>
        <w:t xml:space="preserve">Schuller,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Begrundung sittlicher Urteile,</w:t>
      </w:r>
      <w:r>
        <w:rPr>
          <w:color w:val="000000"/>
          <w:spacing w:val="0"/>
          <w:w w:val="100"/>
          <w:position w:val="0"/>
          <w:shd w:val="clear" w:color="auto" w:fill="auto"/>
          <w:lang w:val="hr-HR" w:eastAsia="hr-HR" w:bidi="hr-HR"/>
        </w:rPr>
        <w:t xml:space="preserve"> Dikscldorf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198O; R. </w:t>
      </w:r>
      <w:r>
        <w:rPr>
          <w:color w:val="000000"/>
          <w:spacing w:val="0"/>
          <w:w w:val="100"/>
          <w:position w:val="0"/>
          <w:shd w:val="clear" w:color="auto" w:fill="auto"/>
        </w:rPr>
        <w:t xml:space="preserve">Ginters. </w:t>
      </w:r>
      <w:r>
        <w:rPr>
          <w:i/>
          <w:iCs/>
          <w:color w:val="000000"/>
          <w:spacing w:val="0"/>
          <w:w w:val="100"/>
          <w:position w:val="0"/>
          <w:shd w:val="clear" w:color="auto" w:fill="auto"/>
        </w:rPr>
        <w:t xml:space="preserve">Werte und Normen. </w:t>
      </w:r>
      <w:r>
        <w:rPr>
          <w:i/>
          <w:iCs/>
          <w:color w:val="000000"/>
          <w:spacing w:val="0"/>
          <w:w w:val="100"/>
          <w:position w:val="0"/>
          <w:shd w:val="clear" w:color="auto" w:fill="auto"/>
          <w:lang w:val="hr-HR" w:eastAsia="hr-HR" w:bidi="hr-HR"/>
        </w:rPr>
        <w:t xml:space="preserve">Eine Einfuhmng </w:t>
      </w:r>
      <w:r>
        <w:rPr>
          <w:i/>
          <w:iCs/>
          <w:color w:val="000000"/>
          <w:spacing w:val="0"/>
          <w:w w:val="100"/>
          <w:position w:val="0"/>
          <w:shd w:val="clear" w:color="auto" w:fill="auto"/>
        </w:rPr>
        <w:t xml:space="preserve">in die phiiosophische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theoiegtfche Ethik,</w:t>
      </w:r>
      <w:r>
        <w:rPr>
          <w:color w:val="000000"/>
          <w:spacing w:val="0"/>
          <w:w w:val="100"/>
          <w:position w:val="0"/>
          <w:shd w:val="clear" w:color="auto" w:fill="auto"/>
        </w:rPr>
        <w:t xml:space="preserve"> Gottingen 1982. R. GINTERS</w:t>
      </w:r>
    </w:p>
    <w:p>
      <w:pPr>
        <w:pStyle w:val="Style63"/>
        <w:keepNext/>
        <w:keepLines/>
        <w:widowControl w:val="0"/>
        <w:numPr>
          <w:ilvl w:val="0"/>
          <w:numId w:val="327"/>
        </w:numPr>
        <w:shd w:val="clear" w:color="auto" w:fill="auto"/>
        <w:tabs>
          <w:tab w:pos="255" w:val="left"/>
        </w:tabs>
        <w:bidi w:val="0"/>
        <w:spacing w:before="0" w:line="218" w:lineRule="auto"/>
        <w:ind w:left="0" w:right="0" w:firstLine="0"/>
        <w:jc w:val="both"/>
      </w:pPr>
      <w:bookmarkStart w:id="203" w:name="bookmark203"/>
      <w:r>
        <w:rPr>
          <w:rFonts w:ascii="Times New Roman" w:eastAsia="Times New Roman" w:hAnsi="Times New Roman" w:cs="Times New Roman"/>
          <w:color w:val="000000"/>
          <w:spacing w:val="0"/>
          <w:w w:val="100"/>
          <w:position w:val="0"/>
          <w:shd w:val="clear" w:color="auto" w:fill="auto"/>
          <w:lang w:val="hr-HR" w:eastAsia="hr-HR" w:bidi="hr-HR"/>
        </w:rPr>
        <w:t>islamski</w:t>
      </w:r>
      <w:bookmarkEnd w:id="203"/>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Osnovne se crte islamskoga nauka o moralu podudaraju s onima iz Biblije, tako kako se on, recimo, prikazuje u Dckalogu. No, k to</w:t>
        <w:softHyphen/>
        <w:t>mu, ipak nedostaje bilo kakav izravan odnos na biblijske izvore. Cjelokupni spektar islam</w:t>
        <w:softHyphen/>
        <w:t>skoga nauka o moralu tek se razvijao naknad</w:t>
        <w:softHyphen/>
        <w:t>no i postupno. Taj je proces završen u XI. sto</w:t>
        <w:softHyphen/>
        <w:t>ljeću. Pored staroarapskih predodžbi, koje su se stopile s izvornim islamskim elementima, kasnije se u novom moralu susreće mnoštvo grčkih, perzijskih i indijskih vrijednosnih pre</w:t>
        <w:softHyphen/>
        <w:t>dodžbi. Pod utjecajem kršćanstva, već je u II. stoljeću nastao pokret koji je vjerovao u svjet</w:t>
        <w:softHyphen/>
        <w:t>ski potop i koji je dao asketski biljeg cjelokup</w:t>
        <w:softHyphen/>
        <w:t xml:space="preserve">nom moralu. Zavladalo je slijepo povjerenje u Boga </w:t>
      </w:r>
      <w:r>
        <w:rPr>
          <w:rFonts w:ascii="Times New Roman" w:eastAsia="Times New Roman" w:hAnsi="Times New Roman" w:cs="Times New Roman"/>
          <w:i/>
          <w:iCs/>
          <w:color w:val="000000"/>
          <w:spacing w:val="0"/>
          <w:w w:val="100"/>
          <w:position w:val="0"/>
          <w:shd w:val="clear" w:color="auto" w:fill="auto"/>
          <w:lang w:val="en-US" w:eastAsia="en-US" w:bidi="en-US"/>
        </w:rPr>
        <w:t>{tawakkul).</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morala predislamskih Arapa preuzete su vrline kao što su odanost vlastitom plemenu, osjećaj časti, gostoljubivost, ustrajnost, samo- svladavanje i stanoviti sekularni duh koji je uvijek iznova znao razoriti uskogrudnu religi</w:t>
        <w:softHyphen/>
        <w:t>oznost. Međutim, na čisto islamskim vrijed</w:t>
        <w:softHyphen/>
        <w:t>nostima etablirali su se strahopoštovanje pred Bogom, strah od sudnjega dana, dobrota, pra</w:t>
        <w:softHyphen/>
        <w:t>vednost, strpljenje koje opet samo pomaže da se podnesu najteži udarci sudbine, iskrenost i bratstvo vjernika. Pravednosti je pripala ot</w:t>
        <w:softHyphen/>
        <w:t>prilike ona mjesna vrijednost koju u kršćan</w:t>
        <w:softHyphen/>
        <w:t>stvu zauzima ljubav.</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Religiozni nauk o moralu u Kuranu velikim je dijelom proširen zahvaljujući Muhamedovim izrekama i njegovom načinu života. Izvorni m. u prvom razdoblju islama uglavnom je pro</w:t>
        <w:softHyphen/>
        <w:t>vođen putem mistike i gnoze sa spomenutim tuđim vrijednosnim predodžbama. Bila je oz- biljena mirna koegzistencija između čistoga i nečistoga. Na islamski je m. stoljećima pre</w:t>
        <w:softHyphen/>
      </w:r>
      <w:r>
        <w:rPr>
          <w:rFonts w:ascii="Times New Roman" w:eastAsia="Times New Roman" w:hAnsi="Times New Roman" w:cs="Times New Roman"/>
          <w:color w:val="000000"/>
          <w:spacing w:val="0"/>
          <w:w w:val="100"/>
          <w:position w:val="0"/>
          <w:shd w:val="clear" w:color="auto" w:fill="auto"/>
          <w:lang w:val="hr-HR" w:eastAsia="hr-HR" w:bidi="hr-HR"/>
        </w:rPr>
        <w:t>sudno utjecao anti-intelektualni i asketsko-mis- tični karakter izvjesnih pobožnih pokreta - re</w:t>
        <w:softHyphen/>
        <w:t xml:space="preserve">cimo </w:t>
      </w:r>
      <w:r>
        <w:rPr>
          <w:rFonts w:ascii="Times New Roman" w:eastAsia="Times New Roman" w:hAnsi="Times New Roman" w:cs="Times New Roman"/>
          <w:i/>
          <w:iCs/>
          <w:color w:val="000000"/>
          <w:spacing w:val="0"/>
          <w:w w:val="100"/>
          <w:position w:val="0"/>
          <w:shd w:val="clear" w:color="auto" w:fill="auto"/>
          <w:lang w:val="en-US" w:eastAsia="en-US" w:bidi="en-US"/>
        </w:rPr>
        <w:t>tasawwuf.</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Njegove su društvene poslje</w:t>
        <w:softHyphen/>
        <w:t>dice bile, između ostalog, gubitak svakoga osjećaja za samoga sebe, napuštanje vlastite osobnosti, podcjenjivanje materijalnih dobara i s time povezana odsutnost volje za napre</w:t>
        <w:softHyphen/>
        <w:t>dovanjem.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Koegzistencija različitih, ponekad potpuno su</w:t>
        <w:softHyphen/>
        <w:t>protnih vrijednosnih predodžbi unutar sufij- skoga nauka o moralu, opravdava se poseb</w:t>
        <w:softHyphen/>
        <w:t>nom metodom argumentiranja: Naime, u tim se krugovima pravi razlika između Muhame- dova izvanjskoga nauka i primjera, na jednoj, i njegova unutarnjega stava, na drugoj strani. Tako se npr. povjerenje u Boga, koje bi u svo</w:t>
        <w:softHyphen/>
        <w:t>jemu dosljednom obliku moralo dovesti do od</w:t>
        <w:softHyphen/>
        <w:t xml:space="preserve">ricanja od koristi, opravdava na sljedeći način: </w:t>
      </w:r>
      <w:r>
        <w:rPr>
          <w:rFonts w:ascii="Times New Roman" w:eastAsia="Times New Roman" w:hAnsi="Times New Roman" w:cs="Times New Roman"/>
          <w:i/>
          <w:iCs/>
          <w:color w:val="000000"/>
          <w:spacing w:val="0"/>
          <w:w w:val="100"/>
          <w:position w:val="0"/>
          <w:shd w:val="clear" w:color="auto" w:fill="auto"/>
          <w:lang w:val="en-US" w:eastAsia="en-US" w:bidi="en-US"/>
        </w:rPr>
        <w:t>»tawakkul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 povjerenje u Boga - jest stanje </w:t>
      </w:r>
      <w:r>
        <w:rPr>
          <w:rFonts w:ascii="Times New Roman" w:eastAsia="Times New Roman" w:hAnsi="Times New Roman" w:cs="Times New Roman"/>
          <w:i/>
          <w:iCs/>
          <w:color w:val="000000"/>
          <w:spacing w:val="0"/>
          <w:w w:val="100"/>
          <w:position w:val="0"/>
          <w:shd w:val="clear" w:color="auto" w:fill="auto"/>
          <w:lang w:val="hr-HR" w:eastAsia="hr-HR" w:bidi="hr-HR"/>
        </w:rPr>
        <w:t>(hal)</w:t>
      </w:r>
      <w:r>
        <w:rPr>
          <w:rFonts w:ascii="Times New Roman" w:eastAsia="Times New Roman" w:hAnsi="Times New Roman" w:cs="Times New Roman"/>
          <w:color w:val="000000"/>
          <w:spacing w:val="0"/>
          <w:w w:val="100"/>
          <w:position w:val="0"/>
          <w:shd w:val="clear" w:color="auto" w:fill="auto"/>
          <w:lang w:val="hr-HR" w:eastAsia="hr-HR" w:bidi="hr-HR"/>
        </w:rPr>
        <w:t xml:space="preserve"> Božjega poslanika, a korist je njegova sunna«. Ako bi se pozivi Kurana na milosrđe i milost u vezi s kaznim odredbama za prijestup koje su sadržane u njemu promatrali u svjetlu tog načina mišljenja, onda bi se cjelokupno kazneno pravo </w:t>
      </w:r>
      <w:r>
        <w:rPr>
          <w:rFonts w:ascii="Times New Roman" w:eastAsia="Times New Roman" w:hAnsi="Times New Roman" w:cs="Times New Roman"/>
          <w:i/>
          <w:iCs/>
          <w:color w:val="000000"/>
          <w:spacing w:val="0"/>
          <w:w w:val="100"/>
          <w:position w:val="0"/>
          <w:shd w:val="clear" w:color="auto" w:fill="auto"/>
          <w:lang w:val="hr-HR" w:eastAsia="hr-HR" w:bidi="hr-HR"/>
        </w:rPr>
        <w:t>fikha -</w:t>
      </w:r>
      <w:r>
        <w:rPr>
          <w:rFonts w:ascii="Times New Roman" w:eastAsia="Times New Roman" w:hAnsi="Times New Roman" w:cs="Times New Roman"/>
          <w:color w:val="000000"/>
          <w:spacing w:val="0"/>
          <w:w w:val="100"/>
          <w:position w:val="0"/>
          <w:shd w:val="clear" w:color="auto" w:fill="auto"/>
          <w:lang w:val="hr-HR" w:eastAsia="hr-HR" w:bidi="hr-HR"/>
        </w:rPr>
        <w:t xml:space="preserve"> nauka o pravu - moglo smatrati suvišnim.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Ispunjavanje religioznih dužnosti predstavlja nerazdvojni dio morala. Predmet nauka o mo</w:t>
        <w:softHyphen/>
        <w:t>ralu također su spolno ponašanje i dobri ob</w:t>
        <w:softHyphen/>
        <w:t>lici ophođenja (načini ponašanja kod stola, pozdravi i tomu si.). Zahvaljujući prijevodima s perzijskoga jezika u islamski jc ni. vrlo rano prodrla iranska životna mudrost. Nju u litera</w:t>
        <w:softHyphen/>
        <w:t>turi susrećemo u obliku mudrih savjeta, sti</w:t>
        <w:softHyphen/>
        <w:t>hova, izreka i zgoda iz života glasovitih ljudi. Ta je mudrost posvećena znatnom dijelu ski- ciranja idealnoga odnosa između građana i vladara. Tu do izražaja uvijek iznova dolazi staro sasanidsko shvaćanje da su religija i drža</w:t>
        <w:softHyphen/>
        <w:t>va sestre blizanke. U prvom sistematskom pri</w:t>
        <w:softHyphen/>
        <w:t xml:space="preserve">ručniku islamskoga morala </w:t>
      </w:r>
      <w:r>
        <w:rPr>
          <w:rFonts w:ascii="Times New Roman" w:eastAsia="Times New Roman" w:hAnsi="Times New Roman" w:cs="Times New Roman"/>
          <w:i/>
          <w:iCs/>
          <w:color w:val="000000"/>
          <w:spacing w:val="0"/>
          <w:w w:val="100"/>
          <w:position w:val="0"/>
          <w:shd w:val="clear" w:color="auto" w:fill="auto"/>
          <w:lang w:val="hr-HR" w:eastAsia="hr-HR" w:bidi="hr-HR"/>
        </w:rPr>
        <w:t>Ibn Kutejiba</w:t>
      </w:r>
      <w:r>
        <w:rPr>
          <w:rFonts w:ascii="Times New Roman" w:eastAsia="Times New Roman" w:hAnsi="Times New Roman" w:cs="Times New Roman"/>
          <w:color w:val="000000"/>
          <w:spacing w:val="0"/>
          <w:w w:val="100"/>
          <w:position w:val="0"/>
          <w:shd w:val="clear" w:color="auto" w:fill="auto"/>
          <w:lang w:val="hr-HR" w:eastAsia="hr-HR" w:bidi="hr-HR"/>
        </w:rPr>
        <w:t xml:space="preserve"> (u. 889. ili 890.) - on nosi naslov ‘Uyun al-akhbar - izgleda da su ti strani elementi potpuno in</w:t>
        <w:softHyphen/>
        <w:t>tegrirani u m.</w:t>
      </w:r>
    </w:p>
    <w:p>
      <w:pPr>
        <w:pStyle w:val="Style20"/>
        <w:keepNext w:val="0"/>
        <w:keepLines w:val="0"/>
        <w:widowControl w:val="0"/>
        <w:shd w:val="clear" w:color="auto" w:fill="auto"/>
        <w:bidi w:val="0"/>
        <w:spacing w:before="0" w:after="0"/>
        <w:ind w:left="0" w:right="0" w:firstLine="0"/>
        <w:jc w:val="both"/>
        <w:sectPr>
          <w:headerReference w:type="default" r:id="rId873"/>
          <w:footerReference w:type="default" r:id="rId874"/>
          <w:headerReference w:type="even" r:id="rId875"/>
          <w:footerReference w:type="even" r:id="rId876"/>
          <w:headerReference w:type="first" r:id="rId877"/>
          <w:footerReference w:type="first" r:id="rId878"/>
          <w:footnotePr>
            <w:pos w:val="pageBottom"/>
            <w:numFmt w:val="decimal"/>
            <w:numRestart w:val="continuous"/>
            <w15:footnoteColumns w:val="1"/>
          </w:footnotePr>
          <w:pgSz w:w="6816" w:h="11006"/>
          <w:pgMar w:top="856" w:left="188" w:right="191" w:bottom="266" w:header="0" w:footer="3" w:gutter="0"/>
          <w:pgNumType w:start="295"/>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Utjecajni teolog Muhamed al-Gazali bio jc taj koji je na autoritativan način unio aspekte fi</w:t>
        <w:softHyphen/>
        <w:t>lozofske etike u tradicionalni islamski m. Oslonac je kasnije dobio kod dva utjecajna fi</w:t>
        <w:softHyphen/>
        <w:t>lozofa i religiologa, Naslraddlna at-TOslja (u. 1274) i ađ-Daww8nija (u. 1501). Filozofski vi</w:t>
        <w:softHyphen/>
        <w:t>dik morala u islamu oslanja se na grčko na</w:t>
        <w:softHyphen/>
        <w:t>slijede. 1 ono jc prihvaćeno od islamskoga svi</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jeta posredstvom prijevoda. Prevedeni su </w:t>
      </w:r>
      <w:r>
        <w:rPr>
          <w:rFonts w:ascii="Times New Roman" w:eastAsia="Times New Roman" w:hAnsi="Times New Roman" w:cs="Times New Roman"/>
          <w:color w:val="000000"/>
          <w:spacing w:val="0"/>
          <w:w w:val="100"/>
          <w:position w:val="0"/>
          <w:shd w:val="clear" w:color="auto" w:fill="auto"/>
          <w:lang w:val="en-US" w:eastAsia="en-US" w:bidi="en-US"/>
        </w:rPr>
        <w:t>Ga</w:t>
        <w:softHyphen/>
        <w:t xml:space="preserve">len, </w:t>
      </w:r>
      <w:r>
        <w:rPr>
          <w:rFonts w:ascii="Times New Roman" w:eastAsia="Times New Roman" w:hAnsi="Times New Roman" w:cs="Times New Roman"/>
          <w:color w:val="000000"/>
          <w:spacing w:val="0"/>
          <w:w w:val="100"/>
          <w:position w:val="0"/>
          <w:shd w:val="clear" w:color="auto" w:fill="auto"/>
          <w:lang w:val="hr-HR" w:eastAsia="hr-HR" w:bidi="hr-HR"/>
        </w:rPr>
        <w:t>Platon, Aristotel, Porfirije i stoici. Naj</w:t>
        <w:softHyphen/>
        <w:t>važniji tumačitclji tog naslijeđa, pored već spo</w:t>
        <w:softHyphen/>
        <w:t xml:space="preserve">menutih, bili su </w:t>
      </w:r>
      <w:r>
        <w:rPr>
          <w:rFonts w:ascii="Times New Roman" w:eastAsia="Times New Roman" w:hAnsi="Times New Roman" w:cs="Times New Roman"/>
          <w:color w:val="000000"/>
          <w:spacing w:val="0"/>
          <w:w w:val="100"/>
          <w:position w:val="0"/>
          <w:shd w:val="clear" w:color="auto" w:fill="auto"/>
          <w:lang w:val="en-US" w:eastAsia="en-US" w:bidi="en-US"/>
        </w:rPr>
        <w:t xml:space="preserve">Ibn Miskawayh, </w:t>
      </w:r>
      <w:r>
        <w:rPr>
          <w:rFonts w:ascii="Times New Roman" w:eastAsia="Times New Roman" w:hAnsi="Times New Roman" w:cs="Times New Roman"/>
          <w:color w:val="000000"/>
          <w:spacing w:val="0"/>
          <w:w w:val="100"/>
          <w:position w:val="0"/>
          <w:shd w:val="clear" w:color="auto" w:fill="auto"/>
          <w:lang w:val="hr-HR" w:eastAsia="hr-HR" w:bidi="hr-HR"/>
        </w:rPr>
        <w:t>al-Kindi, lbn Rušd, ar-Razi i al-Farabi.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Sukladno grčkomu shvaćanju etika se proma</w:t>
        <w:softHyphen/>
        <w:t>tra kao grana filozofije. Ona obraduje kre</w:t>
        <w:softHyphen/>
        <w:t>posti i put njihova stjecanja kao i poroke i put njihova izbjegavanja. Gledano u cjelini, etika se bavi čovjekovim urođenim sklonostima, stečenim krepostima, umnom dušom kao i nje</w:t>
        <w:softHyphen/>
        <w:t>zinim uzajamnim odnosom s prva dva čimbe</w:t>
        <w:softHyphen/>
        <w:t xml:space="preserve">nika. Duši se posvećuje posebna pozornost. Ona se u smislu Platonove filozofije shvaća kao trodijclno jedinstvo: an-nafs al-ammSra bi s-su’ (»duša kao požuda«), an-nafs </w:t>
      </w:r>
      <w:r>
        <w:rPr>
          <w:rFonts w:ascii="Times New Roman" w:eastAsia="Times New Roman" w:hAnsi="Times New Roman" w:cs="Times New Roman"/>
          <w:color w:val="000000"/>
          <w:spacing w:val="0"/>
          <w:w w:val="100"/>
          <w:position w:val="0"/>
          <w:shd w:val="clear" w:color="auto" w:fill="auto"/>
          <w:lang w:val="en-US" w:eastAsia="en-US" w:bidi="en-US"/>
        </w:rPr>
        <w:t xml:space="preserve">al-lawwSma </w:t>
      </w:r>
      <w:r>
        <w:rPr>
          <w:rFonts w:ascii="Times New Roman" w:eastAsia="Times New Roman" w:hAnsi="Times New Roman" w:cs="Times New Roman"/>
          <w:color w:val="000000"/>
          <w:spacing w:val="0"/>
          <w:w w:val="100"/>
          <w:position w:val="0"/>
          <w:shd w:val="clear" w:color="auto" w:fill="auto"/>
          <w:lang w:val="hr-HR" w:eastAsia="hr-HR" w:bidi="hr-HR"/>
        </w:rPr>
        <w:t>(»prigovarajuća duša«) i al-nafs al-mutma’in- na (»mirna duša«). To razlikovanje čini osno</w:t>
        <w:softHyphen/>
        <w:t>vu muslimanske etike i psihologije.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Platona se svodi i podjela glavnih kreposti na mudrost, hrabrost, suzdržljivost i praved</w:t>
        <w:softHyphen/>
        <w:t>nost. Tako se na ulaznom portalu jednoga gla</w:t>
        <w:softHyphen/>
        <w:t>sovitog učilišta u maurskoj Španjolskoj dugo vremena mogla pročitati izreka: »Svijet počiva na četiri stupa: na mudrosti učenjaka, hrabrosti vojnika, suzdržljivosti pobožnih i pravednosti vladara«. Uzrokovana beznadnom političkom situacijom koja je nastala prodorom Mongola 1285. i oslonjena na indijsku mudrost koja je sve snažnije počela prodirati na islamski Istok, sve je utjecajnijom postajala moralnost krajnje pasivnosti. Perzijski pjesnici sa sufijskom po</w:t>
        <w:softHyphen/>
        <w:t>zadinom, kao što su Sa’dl, ROmT i Dami, daju joj u svojim djelima silan poticaj. Tek tijekom modernističkih pokreta, koji su u XIX. stoljeću nastali prije svega baš u Indiji i Egiptu, za- f&gt;očelo je ponovno promišljanje o dinamičnim vrijednostima aktivističke etike koja je bila na djelu u prvom razdoblju islama. Od tada se gomilaju proboji u tom smjeru. Unatoč tomu, u velikim dijelovima islamskoga svijeta nije se mogla održati trajna radna etika, kakva je re</w:t>
        <w:softHyphen/>
        <w:t>cimo kod protestantskih naroda donijela go</w:t>
        <w:softHyphen/>
        <w:t>spodarski i kulturni procvat.</w:t>
      </w:r>
    </w:p>
    <w:p>
      <w:pPr>
        <w:pStyle w:val="Style56"/>
        <w:keepNext w:val="0"/>
        <w:keepLines w:val="0"/>
        <w:widowControl w:val="0"/>
        <w:shd w:val="clear" w:color="auto" w:fill="auto"/>
        <w:tabs>
          <w:tab w:pos="2558" w:val="left"/>
        </w:tabs>
        <w:bidi w:val="0"/>
        <w:spacing w:before="0" w:after="260" w:line="240" w:lineRule="auto"/>
        <w:ind w:left="0" w:right="0" w:firstLine="0"/>
        <w:jc w:val="both"/>
      </w:pPr>
      <w:r>
        <w:rPr>
          <w:color w:val="000000"/>
          <w:spacing w:val="0"/>
          <w:w w:val="100"/>
          <w:position w:val="0"/>
          <w:shd w:val="clear" w:color="auto" w:fill="auto"/>
          <w:lang w:val="hr-HR" w:eastAsia="hr-HR" w:bidi="hr-HR"/>
        </w:rPr>
        <w:t>lit.: Akhlak, u: EP, Bd. 1, 325-329.</w:t>
        <w:tab/>
        <w:t>S. BAL1Ć</w:t>
      </w: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ML'ČENIŠTVO</w:t>
      </w:r>
    </w:p>
    <w:p>
      <w:pPr>
        <w:pStyle w:val="Style63"/>
        <w:keepNext/>
        <w:keepLines/>
        <w:widowControl w:val="0"/>
        <w:numPr>
          <w:ilvl w:val="0"/>
          <w:numId w:val="329"/>
        </w:numPr>
        <w:shd w:val="clear" w:color="auto" w:fill="auto"/>
        <w:tabs>
          <w:tab w:pos="241" w:val="left"/>
        </w:tabs>
        <w:bidi w:val="0"/>
        <w:spacing w:before="0"/>
        <w:ind w:left="0" w:right="0" w:firstLine="0"/>
        <w:jc w:val="both"/>
      </w:pPr>
      <w:bookmarkStart w:id="204" w:name="bookmark204"/>
      <w:r>
        <w:rPr>
          <w:rFonts w:ascii="Times New Roman" w:eastAsia="Times New Roman" w:hAnsi="Times New Roman" w:cs="Times New Roman"/>
          <w:color w:val="000000"/>
          <w:spacing w:val="0"/>
          <w:w w:val="100"/>
          <w:position w:val="0"/>
          <w:shd w:val="clear" w:color="auto" w:fill="auto"/>
          <w:lang w:val="hr-HR" w:eastAsia="hr-HR" w:bidi="hr-HR"/>
        </w:rPr>
        <w:t>židovski</w:t>
      </w:r>
      <w:bookmarkEnd w:id="204"/>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Ispovijedanje jedinstva Božjeg:</w:t>
      </w:r>
      <w:r>
        <w:rPr>
          <w:rFonts w:ascii="Times New Roman" w:eastAsia="Times New Roman" w:hAnsi="Times New Roman" w:cs="Times New Roman"/>
          <w:color w:val="000000"/>
          <w:spacing w:val="0"/>
          <w:w w:val="100"/>
          <w:position w:val="0"/>
          <w:shd w:val="clear" w:color="auto" w:fill="auto"/>
          <w:lang w:val="hr-HR" w:eastAsia="hr-HR" w:bidi="hr-HR"/>
        </w:rPr>
        <w:t xml:space="preserve"> Od razilaže</w:t>
        <w:softHyphen/>
        <w:t>nja židovskoga i helenističkog shvaćanja živo</w:t>
        <w:softHyphen/>
      </w:r>
      <w:r>
        <w:rPr>
          <w:rFonts w:ascii="Times New Roman" w:eastAsia="Times New Roman" w:hAnsi="Times New Roman" w:cs="Times New Roman"/>
          <w:color w:val="000000"/>
          <w:spacing w:val="0"/>
          <w:w w:val="100"/>
          <w:position w:val="0"/>
          <w:shd w:val="clear" w:color="auto" w:fill="auto"/>
          <w:lang w:val="hr-HR" w:eastAsia="hr-HR" w:bidi="hr-HR"/>
        </w:rPr>
        <w:t>ta vjernost Židova najviše je izražena u njiho</w:t>
        <w:softHyphen/>
        <w:t>voj spremnosti da prije umru nego da povri</w:t>
        <w:softHyphen/>
        <w:t>jede zapovijedi Tore (Dn 3,12 i d.; 2Mak 6,18 i d.; etiop. Hen 47,1-4). Tip mučeništva po</w:t>
        <w:softHyphen/>
        <w:t xml:space="preserve">stalo je vezivanje Izakovo (»akeda«, Post 22,9), najprije u doba Makabejaca (4 Mak), u novoj aktualnosti u Bar Kohbinu ustanku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57b) i prije svega za vrijeme križarskih ratova (L. Poljakov, </w:t>
      </w:r>
      <w:r>
        <w:rPr>
          <w:rFonts w:ascii="Times New Roman" w:eastAsia="Times New Roman" w:hAnsi="Times New Roman" w:cs="Times New Roman"/>
          <w:i/>
          <w:iCs/>
          <w:color w:val="000000"/>
          <w:spacing w:val="0"/>
          <w:w w:val="100"/>
          <w:position w:val="0"/>
          <w:shd w:val="clear" w:color="auto" w:fill="auto"/>
          <w:lang w:val="hr-HR" w:eastAsia="hr-HR" w:bidi="hr-HR"/>
        </w:rPr>
        <w:t>Geschichte des Antisemi- tismus I,</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1979, 36 i d.). Rabini su u II. stoljeću ispisali u Lidi odredbe o mučeništvu: »U trije</w:t>
        <w:softHyphen/>
        <w:t>mu kuće Nica u Ludu glasovali su i odlučili da će čovjek, ako ga se pod prijetnjom smrti pri</w:t>
        <w:softHyphen/>
        <w:t xml:space="preserve">sili da počini jedan od grijehova navedenih u Tori, počiniti taj grijeh i neće se dati ubiti, a od toga se izuzimaju idolopoklonstvo, neću- doređe i umorstvo«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74a). Ako je pak Židov javno, tj. pred deset drugih Židova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74b; Mcgila 23b) prisiljen prekršiti dru</w:t>
        <w:softHyphen/>
        <w:t>ge zapovijedi kako bi dokazao otpadništvo od Jedinoga Boga, mora i u vremenima bez vjer</w:t>
        <w:softHyphen/>
        <w:t>skog pritiska izabrati smrt radi »svetosti ime</w:t>
        <w:softHyphen/>
        <w:t>na (Božjega)«. Povrh toga, obvezan je tijekom vjerskoga progona cijeloj zajednici, pa i onda kad bi morao »prekršiti samo najblažu zapo</w:t>
        <w:softHyphen/>
        <w:t xml:space="preserve">vijed«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74a) i kad Židovi ne bi bili prisutni (Majmonid, Jad, Jesodej ha-Tora 5,3). »Svetost Božjega imena« (Kiduš ha-Šem) provodi se ispovijedanjem Jednoga istinskog Boga u ponašanju pred okolinom; propustom u slučajevima navedenim u Halahi smatrala se »obesvećenost Imena (Božjeg)« (Hilul ha-Šcm,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27b;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74a.b). Stoga je od vremena učitelja Mišne izraz štovanje »svetosti imena« značio i m. Na temelju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22,32 i d. učilo se u školi Rabi Akive (Šifra, Emor, Pcrck 9) da je Bog izveo Izraelce iz Egipta kako bi se priklonili posvećivanju nje</w:t>
        <w:softHyphen/>
        <w:t>gova imena. Sukladno tomu, mučenika su na</w:t>
        <w:softHyphen/>
        <w:t>zivali »kadoš«, »svet« (»posvećenoga« za vo</w:t>
        <w:softHyphen/>
        <w:t>lju Božju, onaj koji »posvećuje« Boga). Tradi</w:t>
        <w:softHyphen/>
        <w:t>cijski odgoj budio je u djeci prijemljivost poj</w:t>
        <w:softHyphen/>
        <w:t>ma mučeništva predajom legendi o mučenici</w:t>
        <w:softHyphen/>
        <w:t xml:space="preserve">ma - npr. o Hani i sedmorici njezinih sinova (2 Mak 7), o mučeničkoj smrti Akive (b Bera- hot 61b) i </w:t>
      </w:r>
      <w:r>
        <w:rPr>
          <w:rFonts w:ascii="Times New Roman" w:eastAsia="Times New Roman" w:hAnsi="Times New Roman" w:cs="Times New Roman"/>
          <w:color w:val="000000"/>
          <w:spacing w:val="0"/>
          <w:w w:val="100"/>
          <w:position w:val="0"/>
          <w:shd w:val="clear" w:color="auto" w:fill="auto"/>
          <w:lang w:val="en-US" w:eastAsia="en-US" w:bidi="en-US"/>
        </w:rPr>
        <w:t xml:space="preserve">Haninc ben Teradjona </w:t>
      </w:r>
      <w:r>
        <w:rPr>
          <w:rFonts w:ascii="Times New Roman" w:eastAsia="Times New Roman" w:hAnsi="Times New Roman" w:cs="Times New Roman"/>
          <w:color w:val="000000"/>
          <w:spacing w:val="0"/>
          <w:w w:val="100"/>
          <w:position w:val="0"/>
          <w:shd w:val="clear" w:color="auto" w:fill="auto"/>
          <w:lang w:val="hr-HR" w:eastAsia="hr-HR" w:bidi="hr-HR"/>
        </w:rPr>
        <w:t xml:space="preserve">(b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18a) - u »Midrašu desetorice mučenika«. </w:t>
      </w:r>
      <w:r>
        <w:rPr>
          <w:rFonts w:ascii="Times New Roman" w:eastAsia="Times New Roman" w:hAnsi="Times New Roman" w:cs="Times New Roman"/>
          <w:i/>
          <w:iCs/>
          <w:color w:val="000000"/>
          <w:spacing w:val="0"/>
          <w:w w:val="100"/>
          <w:position w:val="0"/>
          <w:shd w:val="clear" w:color="auto" w:fill="auto"/>
          <w:lang w:val="hr-HR" w:eastAsia="hr-HR" w:bidi="hr-HR"/>
        </w:rPr>
        <w:t>h) Nespojiva načela:</w:t>
      </w:r>
      <w:r>
        <w:rPr>
          <w:rFonts w:ascii="Times New Roman" w:eastAsia="Times New Roman" w:hAnsi="Times New Roman" w:cs="Times New Roman"/>
          <w:color w:val="000000"/>
          <w:spacing w:val="0"/>
          <w:w w:val="100"/>
          <w:position w:val="0"/>
          <w:shd w:val="clear" w:color="auto" w:fill="auto"/>
          <w:lang w:val="hr-HR" w:eastAsia="hr-HR" w:bidi="hr-HR"/>
        </w:rPr>
        <w:t xml:space="preserve"> U povijesti židovstva mo</w:t>
        <w:softHyphen/>
        <w:t xml:space="preserve">ralo se uvijek iznova odlučivati između dvaju nespojivih načela: načelo »posvećivanja Božjeg imena«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22,32) i održavanja života (18,5). Dok je, prema Majmonidu (op. cit. 5,1), pred</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Bogom kriv onaj tko dobrovoljno umre mu</w:t>
        <w:softHyphen/>
        <w:t>čeničkom smrću, premda propisi daju pred</w:t>
        <w:softHyphen/>
        <w:t xml:space="preserve">nost životu, drugi su učenjaci smatrali da je dobrovoljno m. hvalevrijedno (Tos.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w:t>
        <w:softHyphen/>
        <w:t xml:space="preserve">ra 27b) te zahtijevali »posvećivanje imena« i u slučajevima u kojima to halaha nije tražila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54a). Među modernim halaškim auto</w:t>
        <w:softHyphen/>
        <w:t>ritetima sporno ostaje pitanje treba li pojedi</w:t>
        <w:softHyphen/>
        <w:t xml:space="preserve">nac žrtvovati život kako bi spasio zajednicu. A. I. Kook ocijenio ga je kao iznimno pravilo (Mišpat kohen,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1966, br. 143); drugi su ga proglasili zaslužnim djelom </w:t>
      </w:r>
      <w:r>
        <w:rPr>
          <w:rFonts w:ascii="Times New Roman" w:eastAsia="Times New Roman" w:hAnsi="Times New Roman" w:cs="Times New Roman"/>
          <w:color w:val="000000"/>
          <w:spacing w:val="0"/>
          <w:w w:val="100"/>
          <w:position w:val="0"/>
          <w:shd w:val="clear" w:color="auto" w:fill="auto"/>
          <w:lang w:val="en-US" w:eastAsia="en-US" w:bidi="en-US"/>
        </w:rPr>
        <w:t xml:space="preserve">(J. J. Weinberg, </w:t>
      </w:r>
      <w:r>
        <w:rPr>
          <w:rFonts w:ascii="Times New Roman" w:eastAsia="Times New Roman" w:hAnsi="Times New Roman" w:cs="Times New Roman"/>
          <w:i/>
          <w:iCs/>
          <w:color w:val="000000"/>
          <w:spacing w:val="0"/>
          <w:w w:val="100"/>
          <w:position w:val="0"/>
          <w:shd w:val="clear" w:color="auto" w:fill="auto"/>
          <w:lang w:val="en-US" w:eastAsia="en-US" w:bidi="en-US"/>
        </w:rPr>
        <w:t xml:space="preserve">Seredej Esh </w:t>
      </w:r>
      <w:r>
        <w:rPr>
          <w:rFonts w:ascii="Times New Roman" w:eastAsia="Times New Roman" w:hAnsi="Times New Roman" w:cs="Times New Roman"/>
          <w:i/>
          <w:iCs/>
          <w:color w:val="000000"/>
          <w:spacing w:val="0"/>
          <w:w w:val="100"/>
          <w:position w:val="0"/>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1961, 303-16); do problema naj</w:t>
        <w:softHyphen/>
        <w:t>većih razmjera narastao je za vrijeme masov</w:t>
        <w:softHyphen/>
        <w:t xml:space="preserve">nih ubojstava Židova u Europi (E. </w:t>
      </w:r>
      <w:r>
        <w:rPr>
          <w:rFonts w:ascii="Times New Roman" w:eastAsia="Times New Roman" w:hAnsi="Times New Roman" w:cs="Times New Roman"/>
          <w:color w:val="000000"/>
          <w:spacing w:val="0"/>
          <w:w w:val="100"/>
          <w:position w:val="0"/>
          <w:shd w:val="clear" w:color="auto" w:fill="auto"/>
          <w:lang w:val="en-US" w:eastAsia="en-US" w:bidi="en-US"/>
        </w:rPr>
        <w:t xml:space="preserve">Oshry, </w:t>
      </w:r>
      <w:r>
        <w:rPr>
          <w:rFonts w:ascii="Times New Roman" w:eastAsia="Times New Roman" w:hAnsi="Times New Roman" w:cs="Times New Roman"/>
          <w:color w:val="000000"/>
          <w:spacing w:val="0"/>
          <w:w w:val="100"/>
          <w:position w:val="0"/>
          <w:shd w:val="clear" w:color="auto" w:fill="auto"/>
          <w:lang w:val="hr-HR" w:eastAsia="hr-HR" w:bidi="hr-HR"/>
        </w:rPr>
        <w:t xml:space="preserve">Mi-Ma'amakim 2, 1963, u: </w:t>
      </w:r>
      <w:r>
        <w:rPr>
          <w:rFonts w:ascii="Times New Roman" w:eastAsia="Times New Roman" w:hAnsi="Times New Roman" w:cs="Times New Roman"/>
          <w:i/>
          <w:iCs/>
          <w:color w:val="000000"/>
          <w:spacing w:val="0"/>
          <w:w w:val="100"/>
          <w:position w:val="0"/>
          <w:shd w:val="clear" w:color="auto" w:fill="auto"/>
          <w:lang w:val="hr-HR" w:eastAsia="hr-HR" w:bidi="hr-HR"/>
        </w:rPr>
        <w:t>responsum</w:t>
      </w:r>
      <w:r>
        <w:rPr>
          <w:rFonts w:ascii="Times New Roman" w:eastAsia="Times New Roman" w:hAnsi="Times New Roman" w:cs="Times New Roman"/>
          <w:color w:val="000000"/>
          <w:spacing w:val="0"/>
          <w:w w:val="100"/>
          <w:position w:val="0"/>
          <w:shd w:val="clear" w:color="auto" w:fill="auto"/>
          <w:lang w:val="hr-HR" w:eastAsia="hr-HR" w:bidi="hr-HR"/>
        </w:rPr>
        <w:t xml:space="preserve"> br. 1 + 4).</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H. Bcn-$asson (Hrsg ), </w:t>
      </w:r>
      <w:r>
        <w:rPr>
          <w:i/>
          <w:iCs/>
          <w:color w:val="000000"/>
          <w:spacing w:val="0"/>
          <w:w w:val="100"/>
          <w:position w:val="0"/>
          <w:shd w:val="clear" w:color="auto" w:fill="auto"/>
          <w:lang w:val="hr-HR" w:eastAsia="hr-HR" w:bidi="hr-HR"/>
        </w:rPr>
        <w:t>Geschichie đes jiidisehen Voikes</w:t>
      </w:r>
      <w:r>
        <w:rPr>
          <w:color w:val="000000"/>
          <w:spacing w:val="0"/>
          <w:w w:val="100"/>
          <w:position w:val="0"/>
          <w:shd w:val="clear" w:color="auto" w:fill="auto"/>
          <w:lang w:val="hr-HR" w:eastAsia="hr-HR" w:bidi="hr-HR"/>
        </w:rPr>
        <w:t xml:space="preserve"> /, 1978,253 i d , 351,410 i d.. 444 i d.; II, 1979,37 i d.; </w:t>
      </w:r>
      <w:r>
        <w:rPr>
          <w:color w:val="000000"/>
          <w:spacing w:val="0"/>
          <w:w w:val="100"/>
          <w:position w:val="0"/>
          <w:shd w:val="clear" w:color="auto" w:fill="auto"/>
        </w:rPr>
        <w:t xml:space="preserve">A </w:t>
      </w:r>
      <w:r>
        <w:rPr>
          <w:color w:val="000000"/>
          <w:spacing w:val="0"/>
          <w:w w:val="100"/>
          <w:position w:val="0"/>
          <w:shd w:val="clear" w:color="auto" w:fill="auto"/>
          <w:lang w:val="hr-HR" w:eastAsia="hr-HR" w:bidi="hr-HR"/>
        </w:rPr>
        <w:t xml:space="preserve">Bcinc,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Judenfragc,</w:t>
      </w:r>
      <w:r>
        <w:rPr>
          <w:color w:val="000000"/>
          <w:spacing w:val="0"/>
          <w:w w:val="100"/>
          <w:position w:val="0"/>
          <w:shd w:val="clear" w:color="auto" w:fill="auto"/>
          <w:lang w:val="hr-HR" w:eastAsia="hr-HR" w:bidi="hr-HR"/>
        </w:rPr>
        <w:t xml:space="preserve"> 1980,1, 67. 81, 114, 385 i d., 397; II, 54 i d., 344 i d.; F.. E. </w:t>
      </w:r>
      <w:r>
        <w:rPr>
          <w:color w:val="000000"/>
          <w:spacing w:val="0"/>
          <w:w w:val="100"/>
          <w:position w:val="0"/>
          <w:shd w:val="clear" w:color="auto" w:fill="auto"/>
        </w:rPr>
        <w:t xml:space="preserve">Urbach. </w:t>
      </w:r>
      <w:r>
        <w:rPr>
          <w:i/>
          <w:iCs/>
          <w:color w:val="000000"/>
          <w:spacing w:val="0"/>
          <w:w w:val="100"/>
          <w:position w:val="0"/>
          <w:shd w:val="clear" w:color="auto" w:fill="auto"/>
        </w:rPr>
        <w:t xml:space="preserve">The Sages </w:t>
      </w:r>
      <w:r>
        <w:rPr>
          <w:i/>
          <w:iCs/>
          <w:color w:val="000000"/>
          <w:spacing w:val="0"/>
          <w:w w:val="100"/>
          <w:position w:val="0"/>
          <w:shd w:val="clear" w:color="auto" w:fill="auto"/>
          <w:lang w:val="hr-HR" w:eastAsia="hr-HR" w:bidi="hr-HR"/>
        </w:rPr>
        <w:t>1.</w:t>
      </w:r>
      <w:r>
        <w:rPr>
          <w:color w:val="000000"/>
          <w:spacing w:val="0"/>
          <w:w w:val="100"/>
          <w:position w:val="0"/>
          <w:shd w:val="clear" w:color="auto" w:fill="auto"/>
          <w:lang w:val="hr-HR" w:eastAsia="hr-HR" w:bidi="hr-HR"/>
        </w:rPr>
        <w:t xml:space="preserve"> 1975.352 i d.</w:t>
      </w:r>
    </w:p>
    <w:p>
      <w:pPr>
        <w:pStyle w:val="Style74"/>
        <w:keepNext w:val="0"/>
        <w:keepLines w:val="0"/>
        <w:widowControl w:val="0"/>
        <w:shd w:val="clear" w:color="auto" w:fill="auto"/>
        <w:bidi w:val="0"/>
        <w:spacing w:before="0" w:after="80" w:line="288"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D VE1TER</w:t>
      </w:r>
    </w:p>
    <w:p>
      <w:pPr>
        <w:pStyle w:val="Style56"/>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hd w:val="clear" w:color="auto" w:fill="auto"/>
          <w:lang w:val="hr-HR" w:eastAsia="hr-HR" w:bidi="hr-HR"/>
        </w:rPr>
        <w:t>2. 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martirij koja potječe iz grčkoga, a znači dati svjedočanstvo, i u NZ se shvaća kao </w:t>
      </w:r>
      <w:r>
        <w:rPr>
          <w:rFonts w:ascii="Times New Roman" w:eastAsia="Times New Roman" w:hAnsi="Times New Roman" w:cs="Times New Roman"/>
          <w:i/>
          <w:iCs/>
          <w:color w:val="000000"/>
          <w:spacing w:val="0"/>
          <w:w w:val="100"/>
          <w:position w:val="0"/>
          <w:shd w:val="clear" w:color="auto" w:fill="auto"/>
          <w:lang w:val="hr-HR" w:eastAsia="hr-HR" w:bidi="hr-HR"/>
        </w:rPr>
        <w:t>svje</w:t>
        <w:softHyphen/>
        <w:t>dočanstvo riječju,</w:t>
      </w:r>
      <w:r>
        <w:rPr>
          <w:rFonts w:ascii="Times New Roman" w:eastAsia="Times New Roman" w:hAnsi="Times New Roman" w:cs="Times New Roman"/>
          <w:color w:val="000000"/>
          <w:spacing w:val="0"/>
          <w:w w:val="100"/>
          <w:position w:val="0"/>
          <w:shd w:val="clear" w:color="auto" w:fill="auto"/>
          <w:lang w:val="hr-HR" w:eastAsia="hr-HR" w:bidi="hr-HR"/>
        </w:rPr>
        <w:t xml:space="preserve"> kao svjedočenje evanđelja naviještanjem. No, već sredinom 11. stoljeća martirij dobiva smisao </w:t>
      </w:r>
      <w:r>
        <w:rPr>
          <w:rFonts w:ascii="Times New Roman" w:eastAsia="Times New Roman" w:hAnsi="Times New Roman" w:cs="Times New Roman"/>
          <w:i/>
          <w:iCs/>
          <w:color w:val="000000"/>
          <w:spacing w:val="0"/>
          <w:w w:val="100"/>
          <w:position w:val="0"/>
          <w:shd w:val="clear" w:color="auto" w:fill="auto"/>
          <w:lang w:val="hr-HR" w:eastAsia="hr-HR" w:bidi="hr-HR"/>
        </w:rPr>
        <w:t>svjedočanstva krvlju</w:t>
      </w:r>
      <w:r>
        <w:rPr>
          <w:rFonts w:ascii="Times New Roman" w:eastAsia="Times New Roman" w:hAnsi="Times New Roman" w:cs="Times New Roman"/>
          <w:color w:val="000000"/>
          <w:spacing w:val="0"/>
          <w:w w:val="100"/>
          <w:position w:val="0"/>
          <w:shd w:val="clear" w:color="auto" w:fill="auto"/>
          <w:lang w:val="hr-HR" w:eastAsia="hr-HR" w:bidi="hr-HR"/>
        </w:rPr>
        <w:t xml:space="preserve"> tj. predanja života u podnošenju smrti zbog kršćanske vjere. Tako što netko slobodnom odlukom i pristajanjem uz vjeru jamči do smrti, daje djelotvorno svjedočanstvo za ono što mu ta vjera znači. Štovanje mučenika, koje je već rano započelo, utemeljeno je u njihovoj slič</w:t>
        <w:softHyphen/>
        <w:t>nosti s Kristom: Kao što je on predao svoj život u dragovoljnoj smrti na križu, tako mu</w:t>
        <w:softHyphen/>
        <w:t>čenik, gledajući na Krista (nasljedovanje križa) vrši to predanje vlastitom smrću s vjerničkom nadom da će Bog koji je Krista uskrsnuo od mrtvih i njega, mučenika, probuditi na život. Tako u mučeničkoj smrti dolazi do izražaja konačno suoblikovanje mučenika s Kristom. Ovim svjesnim suoblikovanjem s Kristovom smrću kao žrtvom u vlastitom pretrpljenom predanju Bogu mučenik stupa u sudbinsko za</w:t>
        <w:softHyphen/>
        <w:t>jedništvo s Kristom. Čežnju punu ljubavi koju nosi vjera, »umrijeti i biti s Kristom« (Fil 1.23), on zapečaćuje smrću.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 pozadini tako shvaćenog mučeništva jasno je da se od ranog vremena m. shvaća i kao krštenje krvlju: ono kazuje da u slučaju kada sakrament krštenja (vodom) nije mogao biti </w:t>
      </w:r>
      <w:r>
        <w:rPr>
          <w:rFonts w:ascii="Times New Roman" w:eastAsia="Times New Roman" w:hAnsi="Times New Roman" w:cs="Times New Roman"/>
          <w:color w:val="000000"/>
          <w:spacing w:val="0"/>
          <w:w w:val="100"/>
          <w:position w:val="0"/>
          <w:shd w:val="clear" w:color="auto" w:fill="auto"/>
          <w:lang w:val="hr-HR" w:eastAsia="hr-HR" w:bidi="hr-HR"/>
        </w:rPr>
        <w:t>primljen, jednako se tako i mučeništvom pri</w:t>
        <w:softHyphen/>
        <w:t>općava milosno djelovanje koje daruje kršte</w:t>
        <w:softHyphen/>
        <w:t>nje. Obrazloženje je sljedeće: M. nije samo najviši izraz voljenog predanja Bogu čiji je Sin Isus Krist išao tim putem koji mučenik slijedi nego i drastično-realistično ispunjenje onoga što se znakovito događa pri krštenju: umrijeti s Kristom da bi se s njim uskrsnulo (usp. Rim 6,3-11).</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M. - u NZ shvaćeno kao davanje svjedočanstva za Krista riječju naviještanja - znači od II. stoljeća svjedočanstvo krvlju za Krista, tj. dragovoljno predanje onog najvišeg dobra koje čovjek posjeduje, žrtvovanje vlasti</w:t>
        <w:softHyphen/>
        <w:t>ta života u svjesnom oponašanju Kristove smrti kao žrtve.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N. Brox, natuknica »Zcugnis«, u; </w:t>
      </w:r>
      <w:r>
        <w:rPr>
          <w:i/>
          <w:iCs/>
          <w:color w:val="000000"/>
          <w:spacing w:val="0"/>
          <w:w w:val="100"/>
          <w:position w:val="0"/>
          <w:shd w:val="clear" w:color="auto" w:fill="auto"/>
          <w:lang w:val="hr-HR" w:eastAsia="hr-HR" w:bidi="hr-HR"/>
        </w:rPr>
        <w:t>Handbuch theoio- gischer Grundbegriffe,</w:t>
      </w:r>
      <w:r>
        <w:rPr>
          <w:color w:val="000000"/>
          <w:spacing w:val="0"/>
          <w:w w:val="100"/>
          <w:position w:val="0"/>
          <w:shd w:val="clear" w:color="auto" w:fill="auto"/>
          <w:lang w:val="hr-HR" w:eastAsia="hr-HR" w:bidi="hr-HR"/>
        </w:rPr>
        <w:t xml:space="preserve"> Bd. 4 (dtv </w:t>
      </w:r>
      <w:r>
        <w:rPr>
          <w:color w:val="000000"/>
          <w:spacing w:val="0"/>
          <w:w w:val="100"/>
          <w:position w:val="0"/>
          <w:shd w:val="clear" w:color="auto" w:fill="auto"/>
        </w:rPr>
        <w:t xml:space="preserve">Wisscnschaftlichc </w:t>
      </w:r>
      <w:r>
        <w:rPr>
          <w:color w:val="000000"/>
          <w:spacing w:val="0"/>
          <w:w w:val="100"/>
          <w:position w:val="0"/>
          <w:shd w:val="clear" w:color="auto" w:fill="auto"/>
          <w:lang w:val="hr-HR" w:eastAsia="hr-HR" w:bidi="hr-HR"/>
        </w:rPr>
        <w:t xml:space="preserve">Rcihc 4058), Munchcn 1962,477-485; O. Scmmclroth, natuknica </w:t>
      </w:r>
      <w:r>
        <w:rPr>
          <w:color w:val="000000"/>
          <w:spacing w:val="0"/>
          <w:w w:val="100"/>
          <w:position w:val="0"/>
          <w:shd w:val="clear" w:color="auto" w:fill="auto"/>
        </w:rPr>
        <w:t xml:space="preserve">»Martyrium«,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 xml:space="preserve">Sacramentuni </w:t>
      </w:r>
      <w:r>
        <w:rPr>
          <w:i/>
          <w:iCs/>
          <w:color w:val="000000"/>
          <w:spacing w:val="0"/>
          <w:w w:val="100"/>
          <w:position w:val="0"/>
          <w:shd w:val="clear" w:color="auto" w:fill="auto"/>
          <w:lang w:val="hr-HR" w:eastAsia="hr-HR" w:bidi="hr-HR"/>
        </w:rPr>
        <w:t>mundi,</w:t>
      </w:r>
      <w:r>
        <w:rPr>
          <w:color w:val="000000"/>
          <w:spacing w:val="0"/>
          <w:w w:val="100"/>
          <w:position w:val="0"/>
          <w:shd w:val="clear" w:color="auto" w:fill="auto"/>
          <w:lang w:val="hr-HR" w:eastAsia="hr-HR" w:bidi="hr-HR"/>
        </w:rPr>
        <w:t xml:space="preserve"> Bd. 3, Frciburg/Ba- selAVicn !969, 363-367 (vidjeti tamo literaturu).</w:t>
      </w:r>
    </w:p>
    <w:p>
      <w:pPr>
        <w:pStyle w:val="Style74"/>
        <w:keepNext w:val="0"/>
        <w:keepLines w:val="0"/>
        <w:widowControl w:val="0"/>
        <w:shd w:val="clear" w:color="auto" w:fill="auto"/>
        <w:bidi w:val="0"/>
        <w:spacing w:before="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L. HACibMANN</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lang w:val="hr-HR" w:eastAsia="hr-HR" w:bidi="hr-HR"/>
        </w:rPr>
        <w:t>3. islamski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Islamske predodžbe o mučeništvu slažu se sve do pojedinosti s kršćanskim. Sve te predodžbe imaju zajednički izvor: staroistočno-židovsko i helenističko naslijeđe. Kuran se samo opisno očituje o toj temi. Tako sc primjerice u jed</w:t>
        <w:softHyphen/>
        <w:t>nom stihu (3,161) kaže: »Ne smatrajte mrtvi</w:t>
        <w:softHyphen/>
        <w:t>ma one koji su poginuli na Božjem putu. Ne, oni žive u dobru kod svojega Gospodina«. Us</w:t>
        <w:softHyphen/>
        <w:t xml:space="preserve">taljena oznaka za mučenika - </w:t>
      </w:r>
      <w:r>
        <w:rPr>
          <w:rFonts w:ascii="Times New Roman" w:eastAsia="Times New Roman" w:hAnsi="Times New Roman" w:cs="Times New Roman"/>
          <w:i/>
          <w:iCs/>
          <w:color w:val="000000"/>
          <w:spacing w:val="0"/>
          <w:w w:val="100"/>
          <w:position w:val="0"/>
          <w:shd w:val="clear" w:color="auto" w:fill="auto"/>
          <w:lang w:val="hr-HR" w:eastAsia="hr-HR" w:bidi="hr-HR"/>
        </w:rPr>
        <w:t>šehid -</w:t>
      </w:r>
      <w:r>
        <w:rPr>
          <w:rFonts w:ascii="Times New Roman" w:eastAsia="Times New Roman" w:hAnsi="Times New Roman" w:cs="Times New Roman"/>
          <w:color w:val="000000"/>
          <w:spacing w:val="0"/>
          <w:w w:val="100"/>
          <w:position w:val="0"/>
          <w:shd w:val="clear" w:color="auto" w:fill="auto"/>
          <w:lang w:val="hr-HR" w:eastAsia="hr-HR" w:bidi="hr-HR"/>
        </w:rPr>
        <w:t xml:space="preserve"> nastala je oslanjajući se na jednu sirijsku riječ (sahda). Teologija mučeništva ukorijenjena je u književ</w:t>
        <w:softHyphen/>
        <w:t>nosti -+ hadisa. Ona živopisno opisuje brojne prednosti koje donosi mučenička smrt: Oslo</w:t>
        <w:softHyphen/>
        <w:t>bođenje od saslušanja u grobu koje obavljaju dva »anđela-ispitivača«, Munkar i Nakir, op</w:t>
        <w:softHyphen/>
        <w:t>rost grijeha, sigurno mjesto na najvišim razi</w:t>
        <w:softHyphen/>
        <w:t>nama raja, časni spomen među onima koji su ostali iza njega i dr. U pučkom sc vjerovanju grobovi mučenika smatraju mjestima na koji</w:t>
        <w:softHyphen/>
        <w:t>ma sc događaju čuda. M. potiče potomstvo na revnost u vjeri. Jedan hadis uspoređuje pro</w:t>
        <w:softHyphen/>
        <w:t>livenu krv mučenika s upotrijebljenom tintom učenjaka: I jedni i drugi bit će zapisani velikim slovima kod Gospodina.</w:t>
      </w:r>
    </w:p>
    <w:p>
      <w:pPr>
        <w:pStyle w:val="Style20"/>
        <w:keepNext w:val="0"/>
        <w:keepLines w:val="0"/>
        <w:widowControl w:val="0"/>
        <w:shd w:val="clear" w:color="auto" w:fill="auto"/>
        <w:bidi w:val="0"/>
        <w:spacing w:before="0" w:after="0"/>
        <w:ind w:left="0" w:right="0" w:firstLine="0"/>
        <w:jc w:val="both"/>
        <w:sectPr>
          <w:headerReference w:type="default" r:id="rId879"/>
          <w:footerReference w:type="default" r:id="rId880"/>
          <w:headerReference w:type="even" r:id="rId881"/>
          <w:footerReference w:type="even" r:id="rId882"/>
          <w:headerReference w:type="first" r:id="rId883"/>
          <w:footerReference w:type="first" r:id="rId884"/>
          <w:footnotePr>
            <w:pos w:val="pageBottom"/>
            <w:numFmt w:val="decimal"/>
            <w:numRestart w:val="continuous"/>
            <w15:footnoteColumns w:val="1"/>
          </w:footnotePr>
          <w:pgSz w:w="6816" w:h="11006"/>
          <w:pgMar w:top="856" w:left="188" w:right="191" w:bottom="266" w:header="0" w:footer="3" w:gutter="0"/>
          <w:pgNumType w:start="293"/>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Teologija patnje u ime vjere s ljubavlju se obrađuje u šijitskom islamu. Mučenička smrt Huscina, Muhamedova unuka, kod Kerbele u raku 680. godine, predstavlja prigodu za šijit- ske pasionske igre. Pripovijest o Huseinovoj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patnji predstavlja poticajni primjer šehade - mučeništva. Taj je primjer čvrsto ugrađen u revolucionarne događanje u Iranu sedamde</w:t>
        <w:softHyphen/>
        <w:t>setih godina XX. stoljeća. »Vrijeme govori o vladarima«, glasi jedan opis toga mučeništva koji aludira na današnju situaciju. »Oni utvr</w:t>
        <w:softHyphen/>
        <w:t>đuju sve vrijednosti i mjerila. Mišljenje i reli</w:t>
        <w:softHyphen/>
        <w:t>gija uspavljuju se i krivotvore njihovim ideolo</w:t>
        <w:softHyphen/>
        <w:t>gijama. Svijest i vjera se kupuju; kada to ne uspijeva: ubojstvo. To je situacija koju I lusein zatiče kao revolucionar. Sto mu je učiniti? Ići u džamiju i moliti? Sunčati se u sigurnosti raja koji čeka na njega, nije li on Muhamedov unuk i Fatimin sin? Ne, on to ne može - on ne pri</w:t>
        <w:softHyphen/>
        <w:t>pada toj vrsti vjernika... Huscin je naučavao da je kuga najstrašnija sudbina svih slabih lju</w:t>
        <w:softHyphen/>
        <w:t xml:space="preserve">di koji na sebe preuzimaju patnju i nepravdu samo kako bi preživjeli. Jer smrt će izabrati one koji nemaju hrabrosti izabrati šehadu« (Omol Bani, </w:t>
      </w:r>
      <w:r>
        <w:rPr>
          <w:rFonts w:ascii="Times New Roman" w:eastAsia="Times New Roman" w:hAnsi="Times New Roman" w:cs="Times New Roman"/>
          <w:i/>
          <w:iCs/>
          <w:color w:val="000000"/>
          <w:spacing w:val="0"/>
          <w:w w:val="100"/>
          <w:position w:val="0"/>
          <w:shd w:val="clear" w:color="auto" w:fill="auto"/>
          <w:lang w:val="en-US" w:eastAsia="en-US" w:bidi="en-US"/>
        </w:rPr>
        <w:t xml:space="preserve">Fatima stall Farah. </w:t>
      </w:r>
      <w:r>
        <w:rPr>
          <w:rFonts w:ascii="Times New Roman" w:eastAsia="Times New Roman" w:hAnsi="Times New Roman" w:cs="Times New Roman"/>
          <w:i/>
          <w:iCs/>
          <w:color w:val="000000"/>
          <w:spacing w:val="0"/>
          <w:w w:val="100"/>
          <w:position w:val="0"/>
          <w:shd w:val="clear" w:color="auto" w:fill="auto"/>
          <w:lang w:val="hr-HR" w:eastAsia="hr-HR" w:bidi="hr-HR"/>
        </w:rPr>
        <w:t xml:space="preserve">Erfahrungen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einer Frau 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dcr </w:t>
      </w:r>
      <w:r>
        <w:rPr>
          <w:rFonts w:ascii="Times New Roman" w:eastAsia="Times New Roman" w:hAnsi="Times New Roman" w:cs="Times New Roman"/>
          <w:i/>
          <w:iCs/>
          <w:color w:val="000000"/>
          <w:spacing w:val="0"/>
          <w:w w:val="100"/>
          <w:position w:val="0"/>
          <w:shd w:val="clear" w:color="auto" w:fill="auto"/>
          <w:lang w:val="en-US" w:eastAsia="en-US" w:bidi="en-US"/>
        </w:rPr>
        <w:t>iranischen Revolution,</w:t>
      </w:r>
      <w:r>
        <w:rPr>
          <w:rFonts w:ascii="Times New Roman" w:eastAsia="Times New Roman" w:hAnsi="Times New Roman" w:cs="Times New Roman"/>
          <w:color w:val="000000"/>
          <w:spacing w:val="0"/>
          <w:w w:val="100"/>
          <w:position w:val="0"/>
          <w:shd w:val="clear" w:color="auto" w:fill="auto"/>
          <w:lang w:val="en-US" w:eastAsia="en-US" w:bidi="en-US"/>
        </w:rPr>
        <w:t xml:space="preserve"> Tubin</w:t>
        <w:softHyphen/>
        <w:t xml:space="preserve">gen </w:t>
      </w:r>
      <w:r>
        <w:rPr>
          <w:rFonts w:ascii="Times New Roman" w:eastAsia="Times New Roman" w:hAnsi="Times New Roman" w:cs="Times New Roman"/>
          <w:color w:val="000000"/>
          <w:spacing w:val="0"/>
          <w:w w:val="100"/>
          <w:position w:val="0"/>
          <w:shd w:val="clear" w:color="auto" w:fill="auto"/>
          <w:lang w:val="hr-HR" w:eastAsia="hr-HR" w:bidi="hr-HR"/>
        </w:rPr>
        <w:t>1980, 82-83 i 86).</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Štovanje mučeničke smrti može kod zanese</w:t>
        <w:softHyphen/>
        <w:t>njaka dovesti do stalne žudnje za šehadom. Tada prijete samoubilačke posljedice. Kako bi to izbjegla islamska etika uči poštivanju ži</w:t>
        <w:softHyphen/>
        <w:t>vota i uvažavanju obiteljskih i društvenih in</w:t>
        <w:softHyphen/>
        <w:t>teresa. Najzaslužnija je i borba protiv vlasti</w:t>
        <w:softHyphen/>
        <w:t>toga nižeg Ja. Takvi su i krepostan život i smrt usred intenzivnoga rada za zajednicu. Kao mučenici slove i žrtve tajnih napada ili bolesti. I one se mogu nadati da će s ljubavlju biti primljene kod Boga.</w:t>
      </w:r>
    </w:p>
    <w:p>
      <w:pPr>
        <w:pStyle w:val="Style56"/>
        <w:keepNext w:val="0"/>
        <w:keepLines w:val="0"/>
        <w:widowControl w:val="0"/>
        <w:shd w:val="clear" w:color="auto" w:fill="auto"/>
        <w:tabs>
          <w:tab w:pos="2573" w:val="left"/>
        </w:tabs>
        <w:bidi w:val="0"/>
        <w:spacing w:before="0" w:after="400" w:line="240" w:lineRule="auto"/>
        <w:ind w:left="0" w:right="0" w:firstLine="0"/>
        <w:jc w:val="both"/>
      </w:pPr>
      <w:r>
        <w:rPr>
          <w:color w:val="000000"/>
          <w:spacing w:val="0"/>
          <w:w w:val="100"/>
          <w:position w:val="0"/>
          <w:shd w:val="clear" w:color="auto" w:fill="auto"/>
        </w:rPr>
        <w:t xml:space="preserve">Lit.: HI. </w:t>
      </w:r>
      <w:r>
        <w:rPr>
          <w:color w:val="000000"/>
          <w:spacing w:val="0"/>
          <w:w w:val="100"/>
          <w:position w:val="0"/>
          <w:shd w:val="clear" w:color="auto" w:fill="auto"/>
          <w:lang w:val="hr-HR" w:eastAsia="hr-HR" w:bidi="hr-HR"/>
        </w:rPr>
        <w:t>66J-665.</w:t>
        <w:tab/>
        <w:t>S BAl.IĆ</w:t>
      </w:r>
    </w:p>
    <w:p>
      <w:pPr>
        <w:pStyle w:val="Style33"/>
        <w:keepNext w:val="0"/>
        <w:keepLines w:val="0"/>
        <w:widowControl w:val="0"/>
        <w:shd w:val="clear" w:color="auto" w:fill="auto"/>
        <w:bidi w:val="0"/>
        <w:spacing w:before="0" w:after="32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MUFTIJA -&gt; SLUŽBA (ISLAMSKI)</w:t>
      </w:r>
    </w:p>
    <w:p>
      <w:pPr>
        <w:pStyle w:val="Style33"/>
        <w:keepNext w:val="0"/>
        <w:keepLines w:val="0"/>
        <w:widowControl w:val="0"/>
        <w:shd w:val="clear" w:color="auto" w:fill="auto"/>
        <w:bidi w:val="0"/>
        <w:spacing w:before="0" w:after="18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MUHAMED </w:t>
      </w:r>
      <w:r>
        <w:rPr>
          <w:rFonts w:ascii="Times New Roman" w:eastAsia="Times New Roman" w:hAnsi="Times New Roman" w:cs="Times New Roman"/>
          <w:b/>
          <w:bCs/>
          <w:color w:val="000000"/>
          <w:spacing w:val="0"/>
          <w:w w:val="100"/>
          <w:position w:val="0"/>
          <w:shd w:val="clear" w:color="auto" w:fill="auto"/>
          <w:lang w:val="en-US" w:eastAsia="en-US" w:bidi="en-US"/>
        </w:rPr>
        <w:t>(MUHAMMAD)</w:t>
      </w:r>
    </w:p>
    <w:p>
      <w:pPr>
        <w:pStyle w:val="Style63"/>
        <w:keepNext/>
        <w:keepLines/>
        <w:widowControl w:val="0"/>
        <w:numPr>
          <w:ilvl w:val="0"/>
          <w:numId w:val="331"/>
        </w:numPr>
        <w:shd w:val="clear" w:color="auto" w:fill="auto"/>
        <w:tabs>
          <w:tab w:pos="246" w:val="left"/>
        </w:tabs>
        <w:bidi w:val="0"/>
        <w:spacing w:before="0" w:after="80" w:line="223" w:lineRule="auto"/>
        <w:ind w:left="0" w:right="0" w:firstLine="0"/>
        <w:jc w:val="left"/>
      </w:pPr>
      <w:bookmarkStart w:id="205" w:name="bookmark205"/>
      <w:r>
        <w:rPr>
          <w:rFonts w:ascii="Times New Roman" w:eastAsia="Times New Roman" w:hAnsi="Times New Roman" w:cs="Times New Roman"/>
          <w:color w:val="000000"/>
          <w:spacing w:val="0"/>
          <w:w w:val="100"/>
          <w:position w:val="0"/>
          <w:shd w:val="clear" w:color="auto" w:fill="auto"/>
          <w:lang w:val="hr-HR" w:eastAsia="hr-HR" w:bidi="hr-HR"/>
        </w:rPr>
        <w:t>židovski</w:t>
      </w:r>
      <w:bookmarkEnd w:id="20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»Strože su riječi pismoznanaca.«</w:t>
      </w:r>
      <w:r>
        <w:rPr>
          <w:rFonts w:ascii="Times New Roman" w:eastAsia="Times New Roman" w:hAnsi="Times New Roman" w:cs="Times New Roman"/>
          <w:color w:val="000000"/>
          <w:spacing w:val="0"/>
          <w:w w:val="100"/>
          <w:position w:val="0"/>
          <w:shd w:val="clear" w:color="auto" w:fill="auto"/>
          <w:lang w:val="hr-HR" w:eastAsia="hr-HR" w:bidi="hr-HR"/>
        </w:rPr>
        <w:t xml:space="preserve"> M. je od samog početka shvatio objavu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knjigu </w:t>
      </w:r>
      <w:r>
        <w:rPr>
          <w:rFonts w:ascii="Times New Roman" w:eastAsia="Times New Roman" w:hAnsi="Times New Roman" w:cs="Times New Roman"/>
          <w:color w:val="000000"/>
          <w:spacing w:val="0"/>
          <w:w w:val="100"/>
          <w:position w:val="0"/>
          <w:shd w:val="clear" w:color="auto" w:fill="auto"/>
          <w:lang w:val="hr-HR" w:eastAsia="hr-HR" w:bidi="hr-HR"/>
        </w:rPr>
        <w:t>koju Bog, visoko gore na prijestolju, šalje s ne</w:t>
        <w:softHyphen/>
        <w:t>ba i daruje ljudima (Kuran 2,2.41.89; 3,3.164; 17,1.9.14; 18,1.27; 26,192 i d.; 32,1; 36,5; 38,29; 39,1 i d.; 42,17; 44,2 i d.; 46,2; 47,2; 53,1-18). Za razliku od njega, temeljni židov</w:t>
        <w:softHyphen/>
        <w:t xml:space="preserve">ski izvori prikazuju objavu kao živi </w:t>
      </w:r>
      <w:r>
        <w:rPr>
          <w:rFonts w:ascii="Times New Roman" w:eastAsia="Times New Roman" w:hAnsi="Times New Roman" w:cs="Times New Roman"/>
          <w:i/>
          <w:iCs/>
          <w:color w:val="000000"/>
          <w:spacing w:val="0"/>
          <w:w w:val="100"/>
          <w:position w:val="0"/>
          <w:shd w:val="clear" w:color="auto" w:fill="auto"/>
          <w:lang w:val="hr-HR" w:eastAsia="hr-HR" w:bidi="hr-HR"/>
        </w:rPr>
        <w:t>događaj iz</w:t>
        <w:softHyphen/>
        <w:t>među Boga i naroda,</w:t>
      </w:r>
      <w:r>
        <w:rPr>
          <w:rFonts w:ascii="Times New Roman" w:eastAsia="Times New Roman" w:hAnsi="Times New Roman" w:cs="Times New Roman"/>
          <w:color w:val="000000"/>
          <w:spacing w:val="0"/>
          <w:w w:val="100"/>
          <w:position w:val="0"/>
          <w:shd w:val="clear" w:color="auto" w:fill="auto"/>
          <w:lang w:val="hr-HR" w:eastAsia="hr-HR" w:bidi="hr-HR"/>
        </w:rPr>
        <w:t xml:space="preserve"> kao povijesno zbivanje u </w:t>
      </w:r>
      <w:r>
        <w:rPr>
          <w:rFonts w:ascii="Times New Roman" w:eastAsia="Times New Roman" w:hAnsi="Times New Roman" w:cs="Times New Roman"/>
          <w:color w:val="000000"/>
          <w:spacing w:val="0"/>
          <w:w w:val="100"/>
          <w:position w:val="0"/>
          <w:shd w:val="clear" w:color="auto" w:fill="auto"/>
          <w:lang w:val="hr-HR" w:eastAsia="hr-HR" w:bidi="hr-HR"/>
        </w:rPr>
        <w:t>koje ulazi sam Izraelov Bog. Rabinski pro</w:t>
        <w:softHyphen/>
        <w:t xml:space="preserve">povjednici, koji se pozivaju na »deset silaza- ka« (Post 3,8; 6,5; 11,5; 18,21; Izl 3,8; 19,20; Br 11,25; 2 Sam 22,10; Ez 44,2; Zali 14,4), naglašavaju zajedničku karakteristiku: Bog se sam objavljuje neposredno time što »silazi na svijet« (Avot Rabi Natana 1,34; usp. 11,37; Pir- ke de-Rav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14; 25; 39; 40; 41; 46; 54; Mehilta o Izl 19,20). M. je utemeljio religiju knjige. No židovstvo smatra sebe susljednim tumačenjem hebrejske Biblije zbog svojega kontakta s prariječju objave Mojsiju, u koju je Bog već ugradio sve buduće objave: »Sveto pismo i Misna,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i Hagada, pa i ono što oštrouman učenik tumači pred svojim učite</w:t>
        <w:softHyphen/>
        <w:t>ljem, odavno je na Sinaju objavljeno Mojsiju« (j Pea II,17a). Kreativno, ne analitičko, rabin- sko umijeće tumačenja otkrilo je vezu Izrae- Iove razjašnjive prariječi i mnogostrukog raz</w:t>
        <w:softHyphen/>
        <w:t>laganja njezina pravog smisla za sadašnjost ži</w:t>
        <w:softHyphen/>
        <w:t>dovskoga naroda; time je ta veza začela židov</w:t>
        <w:softHyphen/>
        <w:t>stvo kao tumačenje Biblije: »Glas je izišao i podijelio sc na sedamdeset glasova prema se</w:t>
        <w:softHyphen/>
        <w:t>damdeset jezika kako bi ga svi narodi razum</w:t>
        <w:softHyphen/>
        <w:t>jeli... a Izraelcima, koji su ga prihvatili, dao život« (Šemot raba V,4,27). Muhamedu je s neba poslan Kuran kao objava; on ga mora či</w:t>
        <w:softHyphen/>
        <w:t>tati i tumačiti ga; njemu vjernici trebaju vjero</w:t>
        <w:softHyphen/>
        <w:t>vati (Kuran 17,105-109; 18,1 i d; 2,2.41). U židovstvu je drukčije: starije i svetije od zapi</w:t>
        <w:softHyphen/>
        <w:t>sanoga za njega je usmeni nauk (uputa). Mu</w:t>
        <w:softHyphen/>
        <w:t xml:space="preserve">draci su dosljedno naučavali: »Strože su riječi pismoznanaca od riječi nauka (Tore)«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XI,3; usp. b 88b).</w:t>
      </w:r>
    </w:p>
    <w:p>
      <w:pPr>
        <w:pStyle w:val="Style20"/>
        <w:keepNext w:val="0"/>
        <w:keepLines w:val="0"/>
        <w:widowControl w:val="0"/>
        <w:shd w:val="clear" w:color="auto" w:fill="auto"/>
        <w:bidi w:val="0"/>
        <w:spacing w:before="0" w:after="60"/>
        <w:ind w:left="0" w:right="0" w:firstLine="0"/>
        <w:jc w:val="both"/>
        <w:sectPr>
          <w:headerReference w:type="default" r:id="rId885"/>
          <w:footerReference w:type="default" r:id="rId886"/>
          <w:headerReference w:type="even" r:id="rId887"/>
          <w:footerReference w:type="even" r:id="rId888"/>
          <w:footnotePr>
            <w:pos w:val="pageBottom"/>
            <w:numFmt w:val="decimal"/>
            <w:numRestart w:val="continuous"/>
            <w15:footnoteColumns w:val="1"/>
          </w:footnotePr>
          <w:pgSz w:w="6816" w:h="11006"/>
          <w:pgMar w:top="856" w:left="188" w:right="191" w:bottom="266" w:header="0" w:footer="3" w:gutter="0"/>
          <w:pgNumType w:start="299"/>
          <w:cols w:num="2" w:space="186"/>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b) »Nije sin židovstva, ali... othranjen je na nje</w:t>
        <w:softHyphen/>
        <w:t>govim grudima.«</w:t>
      </w:r>
      <w:r>
        <w:rPr>
          <w:rFonts w:ascii="Times New Roman" w:eastAsia="Times New Roman" w:hAnsi="Times New Roman" w:cs="Times New Roman"/>
          <w:color w:val="000000"/>
          <w:spacing w:val="0"/>
          <w:w w:val="100"/>
          <w:position w:val="0"/>
          <w:shd w:val="clear" w:color="auto" w:fill="auto"/>
          <w:lang w:val="hr-HR" w:eastAsia="hr-HR" w:bidi="hr-HR"/>
        </w:rPr>
        <w:t xml:space="preserve"> Objava dodijeljena Muhame</w:t>
        <w:softHyphen/>
        <w:t>du u Kuranu samo potkrepljuje ono što je već prethodilo Kuranu u Tori i Evanđeljima, te objašnjava židovske i kršćanske Spise (Kuran 2,41.89.97; 3,3-9; 17,9). Prema židovskom uzoru M. je nazvao Boga »Gospodarem svje</w:t>
        <w:softHyphen/>
        <w:t xml:space="preserve">tova«, »Gospodarem neba i zemlje«. On kaže riječima </w:t>
      </w:r>
      <w:r>
        <w:rPr>
          <w:rFonts w:ascii="Times New Roman" w:eastAsia="Times New Roman" w:hAnsi="Times New Roman" w:cs="Times New Roman"/>
          <w:i/>
          <w:iCs/>
          <w:color w:val="000000"/>
          <w:spacing w:val="0"/>
          <w:w w:val="100"/>
          <w:position w:val="0"/>
          <w:shd w:val="clear" w:color="auto" w:fill="auto"/>
          <w:lang w:val="hr-HR" w:eastAsia="hr-HR" w:bidi="hr-HR"/>
        </w:rPr>
        <w:t>targuma</w:t>
      </w:r>
      <w:r>
        <w:rPr>
          <w:rFonts w:ascii="Times New Roman" w:eastAsia="Times New Roman" w:hAnsi="Times New Roman" w:cs="Times New Roman"/>
          <w:color w:val="000000"/>
          <w:spacing w:val="0"/>
          <w:w w:val="100"/>
          <w:position w:val="0"/>
          <w:shd w:val="clear" w:color="auto" w:fill="auto"/>
          <w:lang w:val="hr-HR" w:eastAsia="hr-HR" w:bidi="hr-HR"/>
        </w:rPr>
        <w:t xml:space="preserve"> u vezi s 2 Sam 22,32 (= Ps 18,32) o Bogu (s već predislamskim nazivom »Alah«): »Alah je, nema boga osim Njega« (Kuran 2,255). U skladu s rabinskim smješta- vanjem na prvo mjesto Božjega milosrđa is</w:t>
        <w:softHyphen/>
        <w:t xml:space="preserve">pred strogog zakona (Bcrcšit raba XII,2,4) i za Muhameda je Alah u prvom redu »Svemi- losni« (Kuran 28,73; 22,58-66); njega on slavi biblijskim jezikom (Kuran 2,255 usp. Ps 121,4; 1 Ljet 29,11 i Ps 103,19; 103,14; Pnz 29,28; lz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40,28). Kuranske biblijske pripovijesti protežu se od stvaranja svijeta do Ezre. Kod Muha</w:t>
        <w:softHyphen/>
        <w:t>meda snažno su odjeknule pripovijesti o bib</w:t>
        <w:softHyphen/>
        <w:t xml:space="preserve">lijskim Božjim ljudima i prorocima; one su trebale opravdati njegov proročki nastup. On je ponajprije u Abrahamu (Ibrahimu) vidio uzor (Kuran 2,124 i d.; 6,74 i d.). I za objavi- telja islama čine »prava vjera« i »dobra djela« temelj kuranskoga prava (Kuran 85,11 usp. Ps 1; Kuran 25,70; 39,65 usp.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VII,6 i d ). Muhamedovo svjedočenje o uskrsnuću (oživljavanju) mrtvih (Kuran 7,57) podsjeća na propovijedi rabina koji oživljavanje često uspo</w:t>
        <w:softHyphen/>
        <w:t xml:space="preserve">ređuju s prirodnim procesima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90b-91b). Biblijsko-židovski elementi u Kura</w:t>
        <w:softHyphen/>
        <w:t>nu pokazuju da se M. u svojem razvitku sve više bavio židovskim predajama, s njima se složio ili bi ih odbacio. Značajni židovski po</w:t>
        <w:softHyphen/>
        <w:t xml:space="preserve">vjesničar </w:t>
      </w:r>
      <w:r>
        <w:rPr>
          <w:rFonts w:ascii="Times New Roman" w:eastAsia="Times New Roman" w:hAnsi="Times New Roman" w:cs="Times New Roman"/>
          <w:color w:val="000000"/>
          <w:spacing w:val="0"/>
          <w:w w:val="100"/>
          <w:position w:val="0"/>
          <w:shd w:val="clear" w:color="auto" w:fill="auto"/>
          <w:lang w:val="en-US" w:eastAsia="en-US" w:bidi="en-US"/>
        </w:rPr>
        <w:t xml:space="preserve">Heinrich </w:t>
      </w:r>
      <w:r>
        <w:rPr>
          <w:rFonts w:ascii="Times New Roman" w:eastAsia="Times New Roman" w:hAnsi="Times New Roman" w:cs="Times New Roman"/>
          <w:color w:val="000000"/>
          <w:spacing w:val="0"/>
          <w:w w:val="100"/>
          <w:position w:val="0"/>
          <w:shd w:val="clear" w:color="auto" w:fill="auto"/>
          <w:lang w:val="hr-HR" w:eastAsia="hr-HR" w:bidi="hr-HR"/>
        </w:rPr>
        <w:t>Graetz (1817-1891) dao je ovakav sud o njemu: »M., doduše, nije bio sin židovstva, ali je othranjen na njegovim gru</w:t>
        <w:softHyphen/>
        <w:t xml:space="preserve">dima«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(Volkstiimliche Geschichte der Juden, </w:t>
      </w:r>
      <w:r>
        <w:rPr>
          <w:rFonts w:ascii="Times New Roman" w:eastAsia="Times New Roman" w:hAnsi="Times New Roman" w:cs="Times New Roman"/>
          <w:color w:val="000000"/>
          <w:spacing w:val="0"/>
          <w:w w:val="100"/>
          <w:position w:val="0"/>
          <w:shd w:val="clear" w:color="auto" w:fill="auto"/>
          <w:lang w:val="hr-HR" w:eastAsia="hr-HR" w:bidi="hr-HR"/>
        </w:rPr>
        <w:t>1887-89, 11, 249).</w:t>
      </w:r>
    </w:p>
    <w:p>
      <w:pPr>
        <w:pStyle w:val="Style56"/>
        <w:keepNext w:val="0"/>
        <w:keepLines w:val="0"/>
        <w:widowControl w:val="0"/>
        <w:shd w:val="clear" w:color="auto" w:fill="auto"/>
        <w:tabs>
          <w:tab w:pos="2443" w:val="left"/>
        </w:tabs>
        <w:bidi w:val="0"/>
        <w:spacing w:before="0" w:after="140" w:line="240" w:lineRule="auto"/>
        <w:ind w:left="0" w:right="0" w:firstLine="0"/>
        <w:jc w:val="both"/>
      </w:pPr>
      <w:r>
        <w:rPr>
          <w:color w:val="000000"/>
          <w:spacing w:val="0"/>
          <w:w w:val="100"/>
          <w:position w:val="0"/>
          <w:shd w:val="clear" w:color="auto" w:fill="auto"/>
        </w:rPr>
        <w:t xml:space="preserve">Lil.: </w:t>
      </w:r>
      <w:r>
        <w:rPr>
          <w:color w:val="000000"/>
          <w:spacing w:val="0"/>
          <w:w w:val="100"/>
          <w:position w:val="0"/>
          <w:shd w:val="clear" w:color="auto" w:fill="auto"/>
          <w:lang w:val="hr-HR" w:eastAsia="hr-HR" w:bidi="hr-HR"/>
        </w:rPr>
        <w:t xml:space="preserve">A.Gcificr, </w:t>
      </w:r>
      <w:r>
        <w:rPr>
          <w:i/>
          <w:iCs/>
          <w:color w:val="000000"/>
          <w:spacing w:val="0"/>
          <w:w w:val="100"/>
          <w:position w:val="0"/>
          <w:shd w:val="clear" w:color="auto" w:fill="auto"/>
        </w:rPr>
        <w:t xml:space="preserve">Was hat Mohammed </w:t>
      </w:r>
      <w:r>
        <w:rPr>
          <w:i/>
          <w:iCs/>
          <w:color w:val="000000"/>
          <w:spacing w:val="0"/>
          <w:w w:val="100"/>
          <w:position w:val="0"/>
          <w:shd w:val="clear" w:color="auto" w:fill="auto"/>
          <w:lang w:val="hr-HR" w:eastAsia="hr-HR" w:bidi="hr-HR"/>
        </w:rPr>
        <w:t>ausdemJudentum auf- genommen?,</w:t>
      </w:r>
      <w:r>
        <w:rPr>
          <w:color w:val="000000"/>
          <w:spacing w:val="0"/>
          <w:w w:val="100"/>
          <w:position w:val="0"/>
          <w:shd w:val="clear" w:color="auto" w:fill="auto"/>
          <w:lang w:val="hr-HR" w:eastAsia="hr-HR" w:bidi="hr-HR"/>
        </w:rPr>
        <w:t xml:space="preserve"> 1833.</w:t>
        <w:tab/>
        <w:t>D. VETILR</w:t>
      </w:r>
    </w:p>
    <w:p>
      <w:pPr>
        <w:pStyle w:val="Style63"/>
        <w:keepNext/>
        <w:keepLines/>
        <w:widowControl w:val="0"/>
        <w:numPr>
          <w:ilvl w:val="0"/>
          <w:numId w:val="331"/>
        </w:numPr>
        <w:shd w:val="clear" w:color="auto" w:fill="auto"/>
        <w:tabs>
          <w:tab w:pos="260" w:val="left"/>
        </w:tabs>
        <w:bidi w:val="0"/>
        <w:spacing w:before="0" w:line="223" w:lineRule="auto"/>
        <w:ind w:left="0" w:right="0" w:firstLine="0"/>
        <w:jc w:val="both"/>
      </w:pPr>
      <w:bookmarkStart w:id="206" w:name="bookmark20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0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Dok Kuran i muslimani Isu (= Isusa), Mari</w:t>
        <w:softHyphen/>
        <w:t>jina sina, visoko cijene i štuju kao Božjeg po</w:t>
        <w:softHyphen/>
        <w:t>slanika, s kršćanske se strane proroku Mu</w:t>
        <w:softHyphen/>
        <w:t>hamedu samo rijetko iskazuje dobronamjer</w:t>
        <w:softHyphen/>
        <w:t>nost i priznanje. Islam je osporavao pravo na apsolutnost i konačnost kršćanstvu koje je u Isusu Kristu vidjelo završnu točku religijske povijesti. M. je od početka bio predmet krš</w:t>
        <w:softHyphen/>
        <w:t>ćanske polemike. Pritom su se često primje</w:t>
        <w:softHyphen/>
        <w:t>njivali isti, tipični argumenti. Bizantski teolozi posebno su kritizirali sljedeće: U Bibliji se na</w:t>
        <w:softHyphen/>
        <w:t>vodno ne nalazi ništa što bi upućivalo na pro</w:t>
        <w:softHyphen/>
        <w:t>roka. Nikakav izvanredni znak ne potvrđuje istinitost njegova poslanja. Osim toga, prorok nije izrekao nikakvo proročanstvo, a kamoli činio čuda. Nijedan svjedok ne bi mogao po</w:t>
        <w:softHyphen/>
        <w:t>tvrditi daje on primio objavu. Što se tiče Mu- hamedova osobnog morala, prorok je kao čo</w:t>
        <w:softHyphen/>
        <w:t>vjek bio pun lažljivih namjera. Njegova pute</w:t>
        <w:softHyphen/>
        <w:t>nost i nasilna ćud vrijedile su kao upravo po</w:t>
        <w:softHyphen/>
        <w:t>slovične. On navodno uopće nije bio pobožan čovjek nego opsjenar. U zapadnom kršćan</w:t>
        <w:softHyphen/>
        <w:t xml:space="preserve">skom mišljenju prevladavale su slične sheme tumačenja. Pogrdni zapisi o Muhamedu, koji su zapisani u srednjem vijeku, još i danas </w:t>
      </w:r>
      <w:r>
        <w:rPr>
          <w:rFonts w:ascii="Times New Roman" w:eastAsia="Times New Roman" w:hAnsi="Times New Roman" w:cs="Times New Roman"/>
          <w:color w:val="000000"/>
          <w:spacing w:val="0"/>
          <w:w w:val="100"/>
          <w:position w:val="0"/>
          <w:shd w:val="clear" w:color="auto" w:fill="auto"/>
          <w:lang w:val="hr-HR" w:eastAsia="hr-HR" w:bidi="hr-HR"/>
        </w:rPr>
        <w:t>vrijeđaju muslimane. Zapadno »saznanje« po</w:t>
        <w:softHyphen/>
        <w:t>čivalo je velikim dijelom na bizantskim izvori</w:t>
        <w:softHyphen/>
        <w:t>ma pa su dakle korišteni isti argumenti i pod</w:t>
        <w:softHyphen/>
        <w:t>metanja. Muhamedovi navodni epileptični na</w:t>
        <w:softHyphen/>
        <w:t>padaji služili su kao dokaz za neistinitost nje</w:t>
        <w:softHyphen/>
        <w:t>gova učenja. Bila je kritizirana njegova na</w:t>
        <w:softHyphen/>
        <w:t>vodna seksualna raskalašenost. Na Muhame</w:t>
        <w:softHyphen/>
        <w:t>da se gledalo kao na »čarobnjaka« koji je svo</w:t>
        <w:softHyphen/>
        <w:t>jim čarobnjaštvom i gorljivošću uništio crkve na Istoku i u sjevernoj Africi. Neke pogrdne legende daleko su se proširile i imale su dugu povijest djelovanja, djelomično sve do našeg vremena. Da bi dokazao svoje božansko po</w:t>
        <w:softHyphen/>
        <w:t>slanje, M. je uvježbao bijelog goluba koji je, sjedeći na njegovu ramenu, naučio zobati sje</w:t>
        <w:softHyphen/>
        <w:t>menke žita iz njegova uha. Narod je, naravno, držao toga goluba za nebeskog vjesnika. Sli</w:t>
        <w:softHyphen/>
        <w:t>čan je motiv bik koji je na svojim rogovima nosio nebesku objavu. Kružila su i izvješća o tome kako je Muhamedov grob pomoću mag</w:t>
        <w:softHyphen/>
        <w:t xml:space="preserve">neta lebdio u zraku. Neke bizantske tradicije dalje su se razvijale na pakostan način, npr. priča o Muhamedovoj smrti. M. je pri kraju svoga života pretkazao da će ga nakon što </w:t>
      </w:r>
      <w:r>
        <w:rPr>
          <w:rFonts w:ascii="Times New Roman" w:eastAsia="Times New Roman" w:hAnsi="Times New Roman" w:cs="Times New Roman"/>
          <w:color w:val="000000"/>
          <w:spacing w:val="0"/>
          <w:w w:val="100"/>
          <w:position w:val="0"/>
          <w:shd w:val="clear" w:color="auto" w:fill="auto"/>
          <w:lang w:val="en-US" w:eastAsia="en-US" w:bidi="en-US"/>
        </w:rPr>
        <w:t>pre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mine,</w:t>
      </w:r>
      <w:r>
        <w:rPr>
          <w:rFonts w:ascii="Times New Roman" w:eastAsia="Times New Roman" w:hAnsi="Times New Roman" w:cs="Times New Roman"/>
          <w:color w:val="000000"/>
          <w:spacing w:val="0"/>
          <w:w w:val="100"/>
          <w:position w:val="0"/>
          <w:shd w:val="clear" w:color="auto" w:fill="auto"/>
          <w:lang w:val="hr-HR" w:eastAsia="hr-HR" w:bidi="hr-HR"/>
        </w:rPr>
        <w:t xml:space="preserve"> probuditi anđeli. No, pošto je njegova duša navodno sišla u pakao, psi su proždrli njegovu lešinu. Nesklonost muslimana prema svinjskom mesu tumačila se tako što su Muha</w:t>
        <w:softHyphen/>
        <w:t>meda u nesvijesti za vrijeme epileptičnog na</w:t>
        <w:softHyphen/>
        <w:t>padaja požderale svinje. Pjesma o Rolandu ubraja Muhameda u neku vrstu islamskog troj</w:t>
        <w:softHyphen/>
        <w:t>stva, uz bogove Tervagana i Apolona.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Brojna djela prosvjetiteljstva promatrala su proroka pozitivno (npr. </w:t>
      </w:r>
      <w:r>
        <w:rPr>
          <w:rFonts w:ascii="Times New Roman" w:eastAsia="Times New Roman" w:hAnsi="Times New Roman" w:cs="Times New Roman"/>
          <w:color w:val="000000"/>
          <w:spacing w:val="0"/>
          <w:w w:val="100"/>
          <w:position w:val="0"/>
          <w:shd w:val="clear" w:color="auto" w:fill="auto"/>
          <w:lang w:val="en-US" w:eastAsia="en-US" w:bidi="en-US"/>
        </w:rPr>
        <w:t xml:space="preserve">Henri </w:t>
      </w:r>
      <w:r>
        <w:rPr>
          <w:rFonts w:ascii="Times New Roman" w:eastAsia="Times New Roman" w:hAnsi="Times New Roman" w:cs="Times New Roman"/>
          <w:color w:val="000000"/>
          <w:spacing w:val="0"/>
          <w:w w:val="100"/>
          <w:position w:val="0"/>
          <w:shd w:val="clear" w:color="auto" w:fill="auto"/>
          <w:lang w:val="hr-HR" w:eastAsia="hr-HR" w:bidi="hr-HR"/>
        </w:rPr>
        <w:t xml:space="preserve">de Boulainvil- </w:t>
      </w:r>
      <w:r>
        <w:rPr>
          <w:rFonts w:ascii="Times New Roman" w:eastAsia="Times New Roman" w:hAnsi="Times New Roman" w:cs="Times New Roman"/>
          <w:color w:val="000000"/>
          <w:spacing w:val="0"/>
          <w:w w:val="100"/>
          <w:position w:val="0"/>
          <w:shd w:val="clear" w:color="auto" w:fill="auto"/>
          <w:lang w:val="en-US" w:eastAsia="en-US" w:bidi="en-US"/>
        </w:rPr>
        <w:t xml:space="preserve">liers, George Sale, Nicolas Savary), </w:t>
      </w:r>
      <w:r>
        <w:rPr>
          <w:rFonts w:ascii="Times New Roman" w:eastAsia="Times New Roman" w:hAnsi="Times New Roman" w:cs="Times New Roman"/>
          <w:color w:val="000000"/>
          <w:spacing w:val="0"/>
          <w:w w:val="100"/>
          <w:position w:val="0"/>
          <w:shd w:val="clear" w:color="auto" w:fill="auto"/>
          <w:lang w:val="hr-HR" w:eastAsia="hr-HR" w:bidi="hr-HR"/>
        </w:rPr>
        <w:t xml:space="preserve">premda je Voltaireov </w:t>
      </w:r>
      <w:r>
        <w:rPr>
          <w:rFonts w:ascii="Times New Roman" w:eastAsia="Times New Roman" w:hAnsi="Times New Roman" w:cs="Times New Roman"/>
          <w:i/>
          <w:iCs/>
          <w:color w:val="000000"/>
          <w:spacing w:val="0"/>
          <w:w w:val="100"/>
          <w:position w:val="0"/>
          <w:shd w:val="clear" w:color="auto" w:fill="auto"/>
          <w:lang w:val="en-US" w:eastAsia="en-US" w:bidi="en-US"/>
        </w:rPr>
        <w:t>Mahomet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nošen prezrivom poru</w:t>
        <w:softHyphen/>
        <w:t xml:space="preserve">gom i sadrži neke stare zablude. Pozitivna ocjena koja u Muhamedu vidi utjelovljen tip junaka nalazi se u predavanjima Thomasa </w:t>
      </w:r>
      <w:r>
        <w:rPr>
          <w:rFonts w:ascii="Times New Roman" w:eastAsia="Times New Roman" w:hAnsi="Times New Roman" w:cs="Times New Roman"/>
          <w:color w:val="000000"/>
          <w:spacing w:val="0"/>
          <w:w w:val="100"/>
          <w:position w:val="0"/>
          <w:shd w:val="clear" w:color="auto" w:fill="auto"/>
          <w:lang w:val="en-US" w:eastAsia="en-US" w:bidi="en-US"/>
        </w:rPr>
        <w:t xml:space="preserve">Carlylesa, </w:t>
      </w:r>
      <w:r>
        <w:rPr>
          <w:rFonts w:ascii="Times New Roman" w:eastAsia="Times New Roman" w:hAnsi="Times New Roman" w:cs="Times New Roman"/>
          <w:i/>
          <w:iCs/>
          <w:color w:val="000000"/>
          <w:spacing w:val="0"/>
          <w:w w:val="100"/>
          <w:position w:val="0"/>
          <w:shd w:val="clear" w:color="auto" w:fill="auto"/>
          <w:lang w:val="en-US" w:eastAsia="en-US" w:bidi="en-US"/>
        </w:rPr>
        <w:t xml:space="preserve">On Heroes,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Heroe - </w:t>
      </w:r>
      <w:r>
        <w:rPr>
          <w:rFonts w:ascii="Times New Roman" w:eastAsia="Times New Roman" w:hAnsi="Times New Roman" w:cs="Times New Roman"/>
          <w:i/>
          <w:iCs/>
          <w:color w:val="000000"/>
          <w:spacing w:val="0"/>
          <w:w w:val="100"/>
          <w:position w:val="0"/>
          <w:shd w:val="clear" w:color="auto" w:fill="auto"/>
          <w:lang w:val="en-US" w:eastAsia="en-US" w:bidi="en-US"/>
        </w:rPr>
        <w:t>worship and the Heroic in History</w:t>
      </w:r>
      <w:r>
        <w:rPr>
          <w:rFonts w:ascii="Times New Roman" w:eastAsia="Times New Roman" w:hAnsi="Times New Roman" w:cs="Times New Roman"/>
          <w:color w:val="000000"/>
          <w:spacing w:val="0"/>
          <w:w w:val="100"/>
          <w:position w:val="0"/>
          <w:shd w:val="clear" w:color="auto" w:fill="auto"/>
          <w:lang w:val="en-US" w:eastAsia="en-US" w:bidi="en-US"/>
        </w:rPr>
        <w:t xml:space="preserve"> (1841). </w:t>
      </w:r>
      <w:r>
        <w:rPr>
          <w:rFonts w:ascii="Times New Roman" w:eastAsia="Times New Roman" w:hAnsi="Times New Roman" w:cs="Times New Roman"/>
          <w:color w:val="000000"/>
          <w:spacing w:val="0"/>
          <w:w w:val="100"/>
          <w:position w:val="0"/>
          <w:shd w:val="clear" w:color="auto" w:fill="auto"/>
          <w:lang w:val="hr-HR" w:eastAsia="hr-HR" w:bidi="hr-HR"/>
        </w:rPr>
        <w:t>Na katoličkoj strani treba spomenuti Adama Mohlcra koji začudo pozitivno ocjenjuje proroka. Ukazat ćemo ba</w:t>
        <w:softHyphen/>
        <w:t>rem ukratko na neke temeljne pravce u novi</w:t>
        <w:softHyphen/>
        <w:t>jem načinu prikazivanja i gledanja na proro</w:t>
        <w:softHyphen/>
        <w:t xml:space="preserve">ka. Misionar </w:t>
      </w:r>
      <w:r>
        <w:rPr>
          <w:rFonts w:ascii="Times New Roman" w:eastAsia="Times New Roman" w:hAnsi="Times New Roman" w:cs="Times New Roman"/>
          <w:color w:val="000000"/>
          <w:spacing w:val="0"/>
          <w:w w:val="100"/>
          <w:position w:val="0"/>
          <w:shd w:val="clear" w:color="auto" w:fill="auto"/>
          <w:lang w:val="en-US" w:eastAsia="en-US" w:bidi="en-US"/>
        </w:rPr>
        <w:t xml:space="preserve">Gottfried Simon </w:t>
      </w:r>
      <w:r>
        <w:rPr>
          <w:rFonts w:ascii="Times New Roman" w:eastAsia="Times New Roman" w:hAnsi="Times New Roman" w:cs="Times New Roman"/>
          <w:color w:val="000000"/>
          <w:spacing w:val="0"/>
          <w:w w:val="100"/>
          <w:position w:val="0"/>
          <w:shd w:val="clear" w:color="auto" w:fill="auto"/>
          <w:lang w:val="hr-HR" w:eastAsia="hr-HR" w:bidi="hr-HR"/>
        </w:rPr>
        <w:t>vidio je u Mu</w:t>
        <w:softHyphen/>
        <w:t>hamedu još »najmoćnijeg i najsilnijeg Kristova protivnika«, u čijim su djelima oslobođene »sotonske sile«.</w:t>
      </w:r>
    </w:p>
    <w:p>
      <w:pPr>
        <w:pStyle w:val="Style20"/>
        <w:keepNext w:val="0"/>
        <w:keepLines w:val="0"/>
        <w:widowControl w:val="0"/>
        <w:shd w:val="clear" w:color="auto" w:fill="auto"/>
        <w:bidi w:val="0"/>
        <w:spacing w:before="0" w:after="0"/>
        <w:ind w:left="0" w:right="0" w:firstLine="0"/>
        <w:jc w:val="both"/>
        <w:sectPr>
          <w:headerReference w:type="default" r:id="rId889"/>
          <w:footerReference w:type="default" r:id="rId890"/>
          <w:headerReference w:type="even" r:id="rId891"/>
          <w:footerReference w:type="even" r:id="rId892"/>
          <w:footnotePr>
            <w:pos w:val="pageBottom"/>
            <w:numFmt w:val="decimal"/>
            <w:numRestart w:val="continuous"/>
            <w15:footnoteColumns w:val="1"/>
          </w:footnotePr>
          <w:pgSz w:w="6816" w:h="11006"/>
          <w:pgMar w:top="856" w:left="188" w:right="191" w:bottom="266" w:header="0" w:footer="3" w:gutter="0"/>
          <w:pgNumType w:start="296"/>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Emanuel </w:t>
      </w:r>
      <w:r>
        <w:rPr>
          <w:rFonts w:ascii="Times New Roman" w:eastAsia="Times New Roman" w:hAnsi="Times New Roman" w:cs="Times New Roman"/>
          <w:color w:val="000000"/>
          <w:spacing w:val="0"/>
          <w:w w:val="100"/>
          <w:position w:val="0"/>
          <w:shd w:val="clear" w:color="auto" w:fill="auto"/>
          <w:lang w:val="hr-HR" w:eastAsia="hr-HR" w:bidi="hr-HR"/>
        </w:rPr>
        <w:t xml:space="preserve">Kcllerhals </w:t>
      </w:r>
      <w:r>
        <w:rPr>
          <w:rFonts w:ascii="Times New Roman" w:eastAsia="Times New Roman" w:hAnsi="Times New Roman" w:cs="Times New Roman"/>
          <w:i/>
          <w:iCs/>
          <w:color w:val="000000"/>
          <w:spacing w:val="0"/>
          <w:w w:val="100"/>
          <w:position w:val="0"/>
          <w:shd w:val="clear" w:color="auto" w:fill="auto"/>
          <w:lang w:val="hr-HR" w:eastAsia="hr-HR" w:bidi="hr-HR"/>
        </w:rPr>
        <w:t>(Der Islam,</w:t>
      </w:r>
      <w:r>
        <w:rPr>
          <w:rFonts w:ascii="Times New Roman" w:eastAsia="Times New Roman" w:hAnsi="Times New Roman" w:cs="Times New Roman"/>
          <w:color w:val="000000"/>
          <w:spacing w:val="0"/>
          <w:w w:val="100"/>
          <w:position w:val="0"/>
          <w:shd w:val="clear" w:color="auto" w:fill="auto"/>
          <w:lang w:val="hr-HR" w:eastAsia="hr-HR" w:bidi="hr-HR"/>
        </w:rPr>
        <w:t xml:space="preserve"> 1945) rasprav</w:t>
        <w:softHyphen/>
        <w:t xml:space="preserve">ljao je o pitanju je li M. prorok ili štoviše »lažni prorok«. Došao je do rezultata »da on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nije bez Božje privole žrtva lažnog predanja ili shvaćanja prave pobude«. »M. je postao za</w:t>
        <w:softHyphen/>
        <w:t>vodnik jer je sam bio zaveden. Prosuditi mjeru njegove krivnje ili nevinosti priliči samo sve</w:t>
        <w:softHyphen/>
        <w:t>znajućem i pravednom Bogu.« Procjena »Rad</w:t>
        <w:softHyphen/>
        <w:t xml:space="preserve">ne skupine za islamska pitanja u Odboru crkava za pitanja stranih radnika u Europi« koja je sastavila vrijedno pomagalo: </w:t>
      </w:r>
      <w:r>
        <w:rPr>
          <w:rFonts w:ascii="Times New Roman" w:eastAsia="Times New Roman" w:hAnsi="Times New Roman" w:cs="Times New Roman"/>
          <w:i/>
          <w:iCs/>
          <w:color w:val="000000"/>
          <w:spacing w:val="0"/>
          <w:w w:val="100"/>
          <w:position w:val="0"/>
          <w:shd w:val="clear" w:color="auto" w:fill="auto"/>
          <w:lang w:val="en-US" w:eastAsia="en-US" w:bidi="en-US"/>
        </w:rPr>
        <w:t xml:space="preserve">Christen </w:t>
      </w:r>
      <w:r>
        <w:rPr>
          <w:rFonts w:ascii="Times New Roman" w:eastAsia="Times New Roman" w:hAnsi="Times New Roman" w:cs="Times New Roman"/>
          <w:i/>
          <w:iCs/>
          <w:color w:val="000000"/>
          <w:spacing w:val="0"/>
          <w:w w:val="100"/>
          <w:position w:val="0"/>
          <w:shd w:val="clear" w:color="auto" w:fill="auto"/>
          <w:lang w:val="hr-HR" w:eastAsia="hr-HR" w:bidi="hr-HR"/>
        </w:rPr>
        <w:t>und Muslimen im Gesprach</w:t>
      </w:r>
      <w:r>
        <w:rPr>
          <w:rFonts w:ascii="Times New Roman" w:eastAsia="Times New Roman" w:hAnsi="Times New Roman" w:cs="Times New Roman"/>
          <w:color w:val="000000"/>
          <w:spacing w:val="0"/>
          <w:w w:val="100"/>
          <w:position w:val="0"/>
          <w:shd w:val="clear" w:color="auto" w:fill="auto"/>
          <w:lang w:val="hr-HR" w:eastAsia="hr-HR" w:bidi="hr-HR"/>
        </w:rPr>
        <w:t xml:space="preserve"> (1982) znatno je dalekovidnija: »U kojem je, dakle, smislu M. Božji svjedok po kojem Božji Duh djeluje među ljudima? Apostol Pavao piše: ‘Kao Što nitko pod djelovanjem Duha Svetoga ne može reći Proklet Isus, tako ne može priznati Isusa kao Gospodina nego pod djelovanjem Duha Svetoga.’ (1 Kor 12,3). M. ne proklinje Isusa nego ga visoko cijeni kao Božjeg poslanika. No, ne naziva ga ni Gospodinom. Kršćani u Europi sigurno još nisu dostatno razmišljali o Muhamedu i njegovu poslanju. Sada imaju priliku zajedno s muslimanima slijediti to važno pitanje« (33). Osobito daleko ide Paul </w:t>
      </w:r>
      <w:r>
        <w:rPr>
          <w:rFonts w:ascii="Times New Roman" w:eastAsia="Times New Roman" w:hAnsi="Times New Roman" w:cs="Times New Roman"/>
          <w:color w:val="000000"/>
          <w:spacing w:val="0"/>
          <w:w w:val="100"/>
          <w:position w:val="0"/>
          <w:shd w:val="clear" w:color="auto" w:fill="auto"/>
          <w:lang w:val="en-US" w:eastAsia="en-US" w:bidi="en-US"/>
        </w:rPr>
        <w:t xml:space="preserve">Sehwarzenau </w:t>
      </w:r>
      <w:r>
        <w:rPr>
          <w:rFonts w:ascii="Times New Roman" w:eastAsia="Times New Roman" w:hAnsi="Times New Roman" w:cs="Times New Roman"/>
          <w:color w:val="000000"/>
          <w:spacing w:val="0"/>
          <w:w w:val="100"/>
          <w:position w:val="0"/>
          <w:shd w:val="clear" w:color="auto" w:fill="auto"/>
          <w:lang w:val="hr-HR" w:eastAsia="hr-HR" w:bidi="hr-HR"/>
        </w:rPr>
        <w:t xml:space="preserve">u svojem: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Korankunde </w:t>
      </w:r>
      <w:r>
        <w:rPr>
          <w:rFonts w:ascii="Times New Roman" w:eastAsia="Times New Roman" w:hAnsi="Times New Roman" w:cs="Times New Roman"/>
          <w:i/>
          <w:iCs/>
          <w:color w:val="000000"/>
          <w:spacing w:val="0"/>
          <w:w w:val="100"/>
          <w:position w:val="0"/>
          <w:shd w:val="clear" w:color="auto" w:fill="auto"/>
          <w:lang w:val="en-US" w:eastAsia="en-US" w:bidi="en-US"/>
        </w:rPr>
        <w:t>fiir Chris</w:t>
        <w:softHyphen/>
        <w:t>ten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(1982), gdje na kraju svog prikaza govori o »zajedništvu bratskoga para iz zajedničke pra- slike« - </w:t>
      </w:r>
      <w:r>
        <w:rPr>
          <w:rFonts w:ascii="Times New Roman" w:eastAsia="Times New Roman" w:hAnsi="Times New Roman" w:cs="Times New Roman"/>
          <w:i/>
          <w:iCs/>
          <w:color w:val="000000"/>
          <w:spacing w:val="0"/>
          <w:w w:val="100"/>
          <w:position w:val="0"/>
          <w:shd w:val="clear" w:color="auto" w:fill="auto"/>
          <w:lang w:val="hr-HR" w:eastAsia="hr-HR" w:bidi="hr-HR"/>
        </w:rPr>
        <w:t>Mojsije: Isus</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M.</w:t>
      </w:r>
      <w:r>
        <w:rPr>
          <w:rFonts w:ascii="Times New Roman" w:eastAsia="Times New Roman" w:hAnsi="Times New Roman" w:cs="Times New Roman"/>
          <w:color w:val="000000"/>
          <w:spacing w:val="0"/>
          <w:w w:val="100"/>
          <w:position w:val="0"/>
          <w:shd w:val="clear" w:color="auto" w:fill="auto"/>
          <w:lang w:val="hr-HR" w:eastAsia="hr-HR" w:bidi="hr-HR"/>
        </w:rPr>
        <w:t xml:space="preserve"> (126).</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Čini se da se u katoličkom prostoru sve više ocrtava pozitivno ocjenjivanje Muhamedove misije. »Iako je većina još daleko od toga da mu prizna naslov proroka, dok s druge strane stanoviti broj autora postavlja sebi pitanje o izvanrednoj karizmi koja mu se u svakom slu</w:t>
        <w:softHyphen/>
        <w:t>čaju mora priznati - makar mu neki žele pri</w:t>
        <w:softHyphen/>
        <w:t xml:space="preserve">znati iskrenost, ograničenu samo djelomično na prvo razdoblje u Meki, može se ipak reći da sada prevladava naspram njega stav koji je u pogledu islama općenito prevladao...« (Y. </w:t>
      </w:r>
      <w:r>
        <w:rPr>
          <w:rFonts w:ascii="Times New Roman" w:eastAsia="Times New Roman" w:hAnsi="Times New Roman" w:cs="Times New Roman"/>
          <w:color w:val="000000"/>
          <w:spacing w:val="0"/>
          <w:w w:val="100"/>
          <w:position w:val="0"/>
          <w:shd w:val="clear" w:color="auto" w:fill="auto"/>
          <w:lang w:val="en-US" w:eastAsia="en-US" w:bidi="en-US"/>
        </w:rPr>
        <w:t xml:space="preserve">Moubarak). Claus </w:t>
      </w:r>
      <w:r>
        <w:rPr>
          <w:rFonts w:ascii="Times New Roman" w:eastAsia="Times New Roman" w:hAnsi="Times New Roman" w:cs="Times New Roman"/>
          <w:color w:val="000000"/>
          <w:spacing w:val="0"/>
          <w:w w:val="100"/>
          <w:position w:val="0"/>
          <w:shd w:val="clear" w:color="auto" w:fill="auto"/>
          <w:lang w:val="hr-HR" w:eastAsia="hr-HR" w:bidi="hr-HR"/>
        </w:rPr>
        <w:t xml:space="preserve">Schcdl u svom prikazu </w:t>
      </w:r>
      <w:r>
        <w:rPr>
          <w:rFonts w:ascii="Times New Roman" w:eastAsia="Times New Roman" w:hAnsi="Times New Roman" w:cs="Times New Roman"/>
          <w:i/>
          <w:iCs/>
          <w:color w:val="000000"/>
          <w:spacing w:val="0"/>
          <w:w w:val="100"/>
          <w:position w:val="0"/>
          <w:shd w:val="clear" w:color="auto" w:fill="auto"/>
          <w:lang w:val="en-US" w:eastAsia="en-US" w:bidi="en-US"/>
        </w:rPr>
        <w:t>Mu</w:t>
        <w:softHyphen/>
        <w:t xml:space="preserve">hammad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Jesus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(1978) tumači Muhame- dov poziv kao »pravi religiozni doživljaj bu</w:t>
        <w:softHyphen/>
        <w:t>đenja i obraćenja« (165). Uz Muhamedovu prirodnu spoznaju Boga Schedl čak potvrđuje njegovu »spoznaju iz milosti«. Hans Kiing pledira za priznavanje Muhameda kao pro</w:t>
        <w:softHyphen/>
        <w:t>roka.</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»Konferencija vjerničkih zajednica u evange- ličkim crkvama Njemačke« zajedno s »Rad</w:t>
        <w:softHyphen/>
        <w:t xml:space="preserve">nom zajednicom evangeličkih misija« u svom glasilu </w:t>
      </w:r>
      <w:r>
        <w:rPr>
          <w:rFonts w:ascii="Times New Roman" w:eastAsia="Times New Roman" w:hAnsi="Times New Roman" w:cs="Times New Roman"/>
          <w:i/>
          <w:iCs/>
          <w:color w:val="000000"/>
          <w:spacing w:val="0"/>
          <w:w w:val="100"/>
          <w:position w:val="0"/>
          <w:shd w:val="clear" w:color="auto" w:fill="auto"/>
          <w:lang w:val="en-US" w:eastAsia="en-US" w:bidi="en-US"/>
        </w:rPr>
        <w:t xml:space="preserve">Wort: </w:t>
      </w:r>
      <w:r>
        <w:rPr>
          <w:rFonts w:ascii="Times New Roman" w:eastAsia="Times New Roman" w:hAnsi="Times New Roman" w:cs="Times New Roman"/>
          <w:i/>
          <w:iCs/>
          <w:color w:val="000000"/>
          <w:spacing w:val="0"/>
          <w:w w:val="100"/>
          <w:position w:val="0"/>
          <w:shd w:val="clear" w:color="auto" w:fill="auto"/>
          <w:lang w:val="hr-HR" w:eastAsia="hr-HR" w:bidi="hr-HR"/>
        </w:rPr>
        <w:t>Christliches Bekenntnis und bibli- scher Auftrag</w:t>
      </w:r>
      <w:r>
        <w:rPr>
          <w:rFonts w:ascii="Times New Roman" w:eastAsia="Times New Roman" w:hAnsi="Times New Roman" w:cs="Times New Roman"/>
          <w:color w:val="000000"/>
          <w:spacing w:val="0"/>
          <w:w w:val="100"/>
          <w:position w:val="0"/>
          <w:shd w:val="clear" w:color="auto" w:fill="auto"/>
          <w:lang w:val="hr-HR" w:eastAsia="hr-HR" w:bidi="hr-HR"/>
        </w:rPr>
        <w:t xml:space="preserve"> (1984), vidi islam kao »zavod</w:t>
        <w:softHyphen/>
        <w:t xml:space="preserve">ničku silu na kraju vremena«, kao »Božji sud </w:t>
      </w:r>
      <w:r>
        <w:rPr>
          <w:rFonts w:ascii="Times New Roman" w:eastAsia="Times New Roman" w:hAnsi="Times New Roman" w:cs="Times New Roman"/>
          <w:color w:val="000000"/>
          <w:spacing w:val="0"/>
          <w:w w:val="100"/>
          <w:position w:val="0"/>
          <w:shd w:val="clear" w:color="auto" w:fill="auto"/>
          <w:lang w:val="hr-HR" w:eastAsia="hr-HR" w:bidi="hr-HR"/>
        </w:rPr>
        <w:t>nad kršćanstvom koje se mnogostruko udalji</w:t>
        <w:softHyphen/>
        <w:t>lo od biblijskog evanđelja«. Iako nije posebno naveden, M. se s tog stajališta javlja kao lažni prorok.</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N. Danici, </w:t>
      </w:r>
      <w:r>
        <w:rPr>
          <w:i/>
          <w:iCs/>
          <w:color w:val="000000"/>
          <w:spacing w:val="0"/>
          <w:w w:val="100"/>
          <w:position w:val="0"/>
          <w:shd w:val="clear" w:color="auto" w:fill="auto"/>
          <w:lang w:val="hr-HR" w:eastAsia="hr-HR" w:bidi="hr-HR"/>
        </w:rPr>
        <w:t xml:space="preserve">Islam </w:t>
      </w:r>
      <w:r>
        <w:rPr>
          <w:i/>
          <w:iCs/>
          <w:color w:val="000000"/>
          <w:spacing w:val="0"/>
          <w:w w:val="100"/>
          <w:position w:val="0"/>
          <w:shd w:val="clear" w:color="auto" w:fill="auto"/>
        </w:rPr>
        <w:t>and the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JFcir, </w:t>
      </w:r>
      <w:r>
        <w:rPr>
          <w:color w:val="000000"/>
          <w:spacing w:val="0"/>
          <w:w w:val="100"/>
          <w:position w:val="0"/>
          <w:shd w:val="clear" w:color="auto" w:fill="auto"/>
        </w:rPr>
        <w:t xml:space="preserve">Edinburgh ’1966; A. Th. Khoury, </w:t>
      </w:r>
      <w:r>
        <w:rPr>
          <w:i/>
          <w:iCs/>
          <w:color w:val="000000"/>
          <w:spacing w:val="0"/>
          <w:w w:val="100"/>
          <w:position w:val="0"/>
          <w:shd w:val="clear" w:color="auto" w:fill="auto"/>
        </w:rPr>
        <w:t>Polemique byzantine contre 1‘lslam,</w:t>
      </w:r>
      <w:r>
        <w:rPr>
          <w:color w:val="000000"/>
          <w:spacing w:val="0"/>
          <w:w w:val="100"/>
          <w:position w:val="0"/>
          <w:shd w:val="clear" w:color="auto" w:fill="auto"/>
        </w:rPr>
        <w:t xml:space="preserve"> Leiden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1972; R. W. Southern, </w:t>
      </w:r>
      <w:r>
        <w:rPr>
          <w:i/>
          <w:iCs/>
          <w:color w:val="000000"/>
          <w:spacing w:val="0"/>
          <w:w w:val="100"/>
          <w:position w:val="0"/>
          <w:shd w:val="clear" w:color="auto" w:fill="auto"/>
        </w:rPr>
        <w:t>Das Istambild des Mtltelalters,</w:t>
      </w:r>
      <w:r>
        <w:rPr>
          <w:color w:val="000000"/>
          <w:spacing w:val="0"/>
          <w:w w:val="100"/>
          <w:position w:val="0"/>
          <w:shd w:val="clear" w:color="auto" w:fill="auto"/>
        </w:rPr>
        <w:t xml:space="preserve"> Stuttgart 1981; M. Twonuchka, </w:t>
      </w:r>
      <w:r>
        <w:rPr>
          <w:i/>
          <w:iCs/>
          <w:color w:val="000000"/>
          <w:spacing w:val="0"/>
          <w:w w:val="100"/>
          <w:position w:val="0"/>
          <w:shd w:val="clear" w:color="auto" w:fill="auto"/>
        </w:rPr>
        <w:t xml:space="preserve">Der Prophet Gortes: Mohammed, </w:t>
      </w:r>
      <w:r>
        <w:rPr>
          <w:color w:val="000000"/>
          <w:spacing w:val="0"/>
          <w:w w:val="100"/>
          <w:position w:val="0"/>
          <w:shd w:val="clear" w:color="auto" w:fill="auto"/>
        </w:rPr>
        <w:t xml:space="preserve">Gutersloh 1986;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Analyse der Geschichtsbucher zuni Thema Islam (= Der Islam in den Schulbitchem der Bundes- republik Deutschland,</w:t>
      </w:r>
      <w:r>
        <w:rPr>
          <w:color w:val="000000"/>
          <w:spacing w:val="0"/>
          <w:w w:val="100"/>
          <w:position w:val="0"/>
          <w:shd w:val="clear" w:color="auto" w:fill="auto"/>
        </w:rPr>
        <w:t xml:space="preserve"> niz: Studien zur Internationalen Schulbuchforschung, Bd. 46), Braunschweig 1986; U.Two- ruschka. </w:t>
      </w:r>
      <w:r>
        <w:rPr>
          <w:i/>
          <w:iCs/>
          <w:color w:val="000000"/>
          <w:spacing w:val="0"/>
          <w:w w:val="100"/>
          <w:position w:val="0"/>
          <w:shd w:val="clear" w:color="auto" w:fill="auto"/>
        </w:rPr>
        <w:t>Analyse der evangelischen Religionsbucher sum Thema Islam</w:t>
      </w:r>
      <w:r>
        <w:rPr>
          <w:color w:val="000000"/>
          <w:spacing w:val="0"/>
          <w:w w:val="100"/>
          <w:position w:val="0"/>
          <w:shd w:val="clear" w:color="auto" w:fill="auto"/>
        </w:rPr>
        <w:t xml:space="preserve"> (= ibid., Bd. 47), Braunschweig 1986.</w:t>
      </w:r>
    </w:p>
    <w:p>
      <w:pPr>
        <w:pStyle w:val="Style56"/>
        <w:keepNext w:val="0"/>
        <w:keepLines w:val="0"/>
        <w:widowControl w:val="0"/>
        <w:shd w:val="clear" w:color="auto" w:fill="auto"/>
        <w:bidi w:val="0"/>
        <w:spacing w:before="0" w:after="160" w:line="240" w:lineRule="auto"/>
        <w:ind w:left="0" w:right="0" w:firstLine="0"/>
        <w:jc w:val="right"/>
      </w:pPr>
      <w:r>
        <w:rPr>
          <w:color w:val="000000"/>
          <w:spacing w:val="0"/>
          <w:w w:val="100"/>
          <w:position w:val="0"/>
          <w:shd w:val="clear" w:color="auto" w:fill="auto"/>
        </w:rPr>
        <w:t>U. TWORUSCllKA</w:t>
      </w:r>
    </w:p>
    <w:p>
      <w:pPr>
        <w:pStyle w:val="Style63"/>
        <w:keepNext/>
        <w:keepLines/>
        <w:widowControl w:val="0"/>
        <w:numPr>
          <w:ilvl w:val="0"/>
          <w:numId w:val="331"/>
        </w:numPr>
        <w:shd w:val="clear" w:color="auto" w:fill="auto"/>
        <w:tabs>
          <w:tab w:pos="260" w:val="left"/>
        </w:tabs>
        <w:bidi w:val="0"/>
        <w:spacing w:before="0" w:after="100" w:line="226" w:lineRule="auto"/>
        <w:ind w:left="0" w:right="0" w:firstLine="0"/>
        <w:jc w:val="both"/>
      </w:pPr>
      <w:bookmarkStart w:id="207" w:name="bookmark207"/>
      <w:r>
        <w:rPr>
          <w:rFonts w:ascii="Times New Roman" w:eastAsia="Times New Roman" w:hAnsi="Times New Roman" w:cs="Times New Roman"/>
          <w:color w:val="000000"/>
          <w:spacing w:val="0"/>
          <w:w w:val="100"/>
          <w:position w:val="0"/>
          <w:shd w:val="clear" w:color="auto" w:fill="auto"/>
          <w:lang w:val="hr-HR" w:eastAsia="hr-HR" w:bidi="hr-HR"/>
        </w:rPr>
        <w:t>islamski</w:t>
      </w:r>
      <w:bookmarkEnd w:id="207"/>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Središnji događaj, u kojemu se susreću Bog i čovjek, u islamu nije, recimo, Muhamedov ži</w:t>
        <w:softHyphen/>
        <w:t>vot; to je jedino i isključivo objava. Stoga za pristaše islama također nije na mjestu oznaka »muhamedanci« ili »mohamedanci«. Svi su autentični nositelji objave navjestitelji islama. M. je jedino posljednji član u tom nizu, »nji</w:t>
        <w:softHyphen/>
        <w:t xml:space="preserve">hov pečat«. Slikoviti kuranski opis s </w:t>
      </w:r>
      <w:r>
        <w:rPr>
          <w:rFonts w:ascii="Times New Roman" w:eastAsia="Times New Roman" w:hAnsi="Times New Roman" w:cs="Times New Roman"/>
          <w:i/>
          <w:iCs/>
          <w:color w:val="000000"/>
          <w:spacing w:val="0"/>
          <w:w w:val="100"/>
          <w:position w:val="0"/>
          <w:shd w:val="clear" w:color="auto" w:fill="auto"/>
          <w:lang w:val="hr-HR" w:eastAsia="hr-HR" w:bidi="hr-HR"/>
        </w:rPr>
        <w:t xml:space="preserve">pečatom </w:t>
      </w:r>
      <w:r>
        <w:rPr>
          <w:rFonts w:ascii="Times New Roman" w:eastAsia="Times New Roman" w:hAnsi="Times New Roman" w:cs="Times New Roman"/>
          <w:color w:val="000000"/>
          <w:spacing w:val="0"/>
          <w:w w:val="100"/>
          <w:position w:val="0"/>
          <w:shd w:val="clear" w:color="auto" w:fill="auto"/>
          <w:lang w:val="hr-HR" w:eastAsia="hr-HR" w:bidi="hr-HR"/>
        </w:rPr>
        <w:t>trebao bi također govoriti da su bez legiti</w:t>
        <w:softHyphen/>
        <w:t>miteta oni krivi proroci koji su sc već za vri</w:t>
        <w:softHyphen/>
        <w:t>jeme Muhamedova života pojavili kao njegovi konkurenti kao i svi nadolazeći krivi proroci koji su zahtijevali za sebe to pozvanje.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se može ispravno razumjeti samo ako se uvrsti u biblijsku povijest objave. U islamu je kao i u židovstvu mnogo toga halahskoga. Muhamedov život predstavlja u izvjesnom smislu oponašanje načina života biblijskih ve</w:t>
        <w:softHyphen/>
        <w:t>likana. On obuhvaća dvije faze: prva je (za vrijeme života u Meki) »novozavjetna«, a dru</w:t>
        <w:softHyphen/>
        <w:t>ga (za vrijeme života sa Židovima u Medini) »starozavjetna«. M. se nije htio staviti iznad kodeksa biblijskoga nauka i ćudoređa. On je shvaćao sebe kao ponovnoga uspostavitelja i ispunitelja staroga nauka. Sukladno tomu, nje</w:t>
        <w:softHyphen/>
        <w:t>gova namjera nije bila da, recimo, zaniječe Mojsija ili Isusa. Mnogi muslimani vjeruju da su u evanđelju otkrili predskazanje Muhame</w:t>
        <w:softHyphen/>
        <w:t>da kao ispunitelja i obnovitelja židovsko-krš- ćanskoga naslijeđa. Oni se tako pozivaju na Iv 16,7-14.</w:t>
      </w:r>
    </w:p>
    <w:p>
      <w:pPr>
        <w:pStyle w:val="Style20"/>
        <w:keepNext w:val="0"/>
        <w:keepLines w:val="0"/>
        <w:widowControl w:val="0"/>
        <w:shd w:val="clear" w:color="auto" w:fill="auto"/>
        <w:bidi w:val="0"/>
        <w:spacing w:before="0" w:after="80" w:line="257" w:lineRule="auto"/>
        <w:ind w:left="0" w:right="0" w:firstLine="0"/>
        <w:jc w:val="both"/>
        <w:sectPr>
          <w:headerReference w:type="default" r:id="rId893"/>
          <w:footerReference w:type="default" r:id="rId894"/>
          <w:headerReference w:type="even" r:id="rId895"/>
          <w:footerReference w:type="even" r:id="rId896"/>
          <w:footnotePr>
            <w:pos w:val="pageBottom"/>
            <w:numFmt w:val="decimal"/>
            <w:numRestart w:val="continuous"/>
            <w15:footnoteColumns w:val="1"/>
          </w:footnotePr>
          <w:pgSz w:w="6816" w:h="11006"/>
          <w:pgMar w:top="856" w:left="188" w:right="191" w:bottom="266" w:header="0" w:footer="3" w:gutter="0"/>
          <w:pgNumType w:start="301"/>
          <w:cols w:num="2" w:space="186"/>
          <w:noEndnote/>
          <w:rtlGutter w:val="0"/>
          <w:docGrid w:linePitch="360"/>
        </w:sectPr>
      </w:pPr>
      <w:r>
        <mc:AlternateContent>
          <mc:Choice Requires="wps">
            <w:drawing>
              <wp:anchor distT="38100" distB="254000" distL="114300" distR="114300" simplePos="0" relativeHeight="125829417" behindDoc="0" locked="0" layoutInCell="1" allowOverlap="1">
                <wp:simplePos x="0" y="0"/>
                <wp:positionH relativeFrom="page">
                  <wp:posOffset>4011930</wp:posOffset>
                </wp:positionH>
                <wp:positionV relativeFrom="margin">
                  <wp:posOffset>6123305</wp:posOffset>
                </wp:positionV>
                <wp:extent cx="189230" cy="118745"/>
                <wp:wrapTopAndBottom/>
                <wp:docPr id="1909" name="Shape 1909"/>
                <a:graphic xmlns:a="http://schemas.openxmlformats.org/drawingml/2006/main">
                  <a:graphicData uri="http://schemas.microsoft.com/office/word/2010/wordprocessingShape">
                    <wps:wsp>
                      <wps:cNvSpPr txBox="1"/>
                      <wps:spPr>
                        <a:xfrm>
                          <a:ext cx="189230" cy="11874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o&lt;n</w:t>
                            </w:r>
                          </w:p>
                        </w:txbxContent>
                      </wps:txbx>
                      <wps:bodyPr wrap="none" lIns="0" tIns="0" rIns="0" bIns="0">
                        <a:noAutoFit/>
                      </wps:bodyPr>
                    </wps:wsp>
                  </a:graphicData>
                </a:graphic>
              </wp:anchor>
            </w:drawing>
          </mc:Choice>
          <mc:Fallback>
            <w:pict>
              <v:shape id="_x0000_s2935" type="#_x0000_t202" style="position:absolute;margin-left:315.89999999999998pt;margin-top:482.14999999999998pt;width:14.9pt;height:9.3499999999999996pt;z-index:-125829336;mso-wrap-distance-left:9.pt;mso-wrap-distance-top:3.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o&lt;n</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M. - dakle »posljednji navjestitelj« islama - vjerojatno je rođen 20. travnja 571. u Meki (Arabija). Njegov se otac zvao </w:t>
      </w:r>
      <w:r>
        <w:rPr>
          <w:rFonts w:ascii="Times New Roman" w:eastAsia="Times New Roman" w:hAnsi="Times New Roman" w:cs="Times New Roman"/>
          <w:color w:val="000000"/>
          <w:spacing w:val="0"/>
          <w:w w:val="100"/>
          <w:position w:val="0"/>
          <w:shd w:val="clear" w:color="auto" w:fill="auto"/>
          <w:lang w:val="en-US" w:eastAsia="en-US" w:bidi="en-US"/>
        </w:rPr>
        <w:t xml:space="preserve">‘Abdallah </w:t>
      </w:r>
      <w:r>
        <w:rPr>
          <w:rFonts w:ascii="Times New Roman" w:eastAsia="Times New Roman" w:hAnsi="Times New Roman" w:cs="Times New Roman"/>
          <w:color w:val="000000"/>
          <w:spacing w:val="0"/>
          <w:w w:val="100"/>
          <w:position w:val="0"/>
          <w:shd w:val="clear" w:color="auto" w:fill="auto"/>
          <w:lang w:val="hr-HR" w:eastAsia="hr-HR" w:bidi="hr-HR"/>
        </w:rPr>
        <w:t>(slu</w:t>
        <w:softHyphen/>
        <w:t>ga Božji), što upućuje na to da su Arapi već prije Muhamedova rođenja imali pojam o</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Alahu (Bogu). No otac koji je umro prije nje</w:t>
        <w:softHyphen/>
        <w:t>gova rođenja pripadao je siromašnom ogran</w:t>
        <w:softHyphen/>
        <w:t>ku uglednoga plemena kurejšita. Sa šest go</w:t>
        <w:softHyphen/>
        <w:t>dina M. je bio sasvim siromašan. Oko njegova odgoja od tada su se brinuli jedan od stričeva i njegov djed. Prema islamskoj predaji. M. je već u svojoj mladosti davao naznake koje su ukazivale na to da će postati veliki čovjek; kao dijete ljubio je istinu, pravednost i dobrotu. Izbjegavao je sve što je ružno i nikada nije izgovarao grube i uvredljive riječi. Idolopo- klonstvo njegovih sugrađana u Meki odbijalo ga je. Zbog ugodnoga načina ophođenja i po</w:t>
        <w:softHyphen/>
        <w:t xml:space="preserve">kazivane iskrenosti svatko ga je volio. Muha- medova vjernost i pouzdanost donijeli su mu ime </w:t>
      </w:r>
      <w:r>
        <w:rPr>
          <w:rFonts w:ascii="Times New Roman" w:eastAsia="Times New Roman" w:hAnsi="Times New Roman" w:cs="Times New Roman"/>
          <w:i/>
          <w:iCs/>
          <w:color w:val="000000"/>
          <w:spacing w:val="0"/>
          <w:w w:val="100"/>
          <w:position w:val="0"/>
          <w:shd w:val="clear" w:color="auto" w:fill="auto"/>
          <w:lang w:val="en-US" w:eastAsia="en-US" w:bidi="en-US"/>
        </w:rPr>
        <w:t>Amin,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tj. pouzdani.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svojoj dvanaestoj godini došao je, prateći strica, u Siriju. Drugi je put s 25 godina došao poslovno u sjevernu susjednu zemlju. Tada je njegova nalogodavateljica bila bogata udovica jednoga trgovca, Hatidža, koju je oženio ubrzo nakon toga. Ona je od njega bila starija oko 15 godina. No brak je ipak bio sretan. S iznimkom kćeri Fatime, koju je kasnije oženio Alija, 4. kalif, sva su djeca ipak umrla već za očeva života.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 svoje četrdesete godine M. je živio po</w:t>
        <w:softHyphen/>
        <w:t>vučeno. Nakon toga potpuno se povukao u osamu i cijele je dane provodio u brdskoj spilji Hiri’ u blizini Meke. Tamo se posvećivao mo</w:t>
        <w:softHyphen/>
        <w:t xml:space="preserve">litvi i duhovnim vježbama. U tom je stanju jednoga dana ugledao vrhovnoga anđela </w:t>
      </w:r>
      <w:r>
        <w:rPr>
          <w:rFonts w:ascii="Times New Roman" w:eastAsia="Times New Roman" w:hAnsi="Times New Roman" w:cs="Times New Roman"/>
          <w:color w:val="000000"/>
          <w:spacing w:val="0"/>
          <w:w w:val="100"/>
          <w:position w:val="0"/>
          <w:shd w:val="clear" w:color="auto" w:fill="auto"/>
          <w:lang w:val="en-US" w:eastAsia="en-US" w:bidi="en-US"/>
        </w:rPr>
        <w:t>Gab</w:t>
        <w:softHyphen/>
        <w:t xml:space="preserve">riela </w:t>
      </w:r>
      <w:r>
        <w:rPr>
          <w:rFonts w:ascii="Times New Roman" w:eastAsia="Times New Roman" w:hAnsi="Times New Roman" w:cs="Times New Roman"/>
          <w:color w:val="000000"/>
          <w:spacing w:val="0"/>
          <w:w w:val="100"/>
          <w:position w:val="0"/>
          <w:shd w:val="clear" w:color="auto" w:fill="auto"/>
          <w:lang w:val="hr-HR" w:eastAsia="hr-HR" w:bidi="hr-HR"/>
        </w:rPr>
        <w:t xml:space="preserve">(Džibril) i čuo riječi: </w:t>
      </w:r>
      <w:r>
        <w:rPr>
          <w:rFonts w:ascii="Times New Roman" w:eastAsia="Times New Roman" w:hAnsi="Times New Roman" w:cs="Times New Roman"/>
          <w:i/>
          <w:iCs/>
          <w:color w:val="000000"/>
          <w:spacing w:val="0"/>
          <w:w w:val="100"/>
          <w:position w:val="0"/>
          <w:shd w:val="clear" w:color="auto" w:fill="auto"/>
          <w:lang w:val="hr-HR" w:eastAsia="hr-HR" w:bidi="hr-HR"/>
        </w:rPr>
        <w:t>»Govori (mi) u ime tvojega Gospodara koji je izvršio stvaranje. Koji je stvorio čovjeka od kapljica života</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1</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Bile su to prve riječi kuranske objave. Nakon tog doživ</w:t>
        <w:softHyphen/>
        <w:t>ljaja M. je počeo pozivati na vjeru u jednoga Boga, Stvoritelja i Gospodara svih svjetova.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je propovijedao islam 23 godine: deset go</w:t>
        <w:softHyphen/>
        <w:t>dina u Meki i trinaest u Jesribu, kasnijoj Me</w:t>
        <w:softHyphen/>
        <w:t>dini. Ta se misija nije odvijala bez teškoća. Ubrzo su počela proganjanja. Protiv Muha</w:t>
        <w:softHyphen/>
        <w:t>meda i njegovih sljedbenika uveden je bojkot. Započele su prijetnje i svakodnevni napadi. Kako bi izbjegao tu opasnost i uspavljivanjc vjerskoga pokreta M. je, praćen Abu Bekrom, kasnijim prvim kalifom, napustio Meku 20. rujna 622. i u sjeverno smještenom Jesribu potražio novo mjesto djelovanja. Dakle, ta je promjena mjesta imala taktičke razloge. S preseljenjem iz Meke u Jesrib (hidžra) za</w:t>
        <w:softHyphen/>
        <w:t xml:space="preserve">počinje brzi uspon islama u svijetu. Ono je 29R </w:t>
      </w:r>
      <w:r>
        <w:rPr>
          <w:rFonts w:ascii="Times New Roman" w:eastAsia="Times New Roman" w:hAnsi="Times New Roman" w:cs="Times New Roman"/>
          <w:color w:val="000000"/>
          <w:spacing w:val="0"/>
          <w:w w:val="100"/>
          <w:position w:val="0"/>
          <w:shd w:val="clear" w:color="auto" w:fill="auto"/>
          <w:lang w:val="hr-HR" w:eastAsia="hr-HR" w:bidi="hr-HR"/>
        </w:rPr>
        <w:t>stoga polazište islamskoga računanja vreme</w:t>
        <w:softHyphen/>
        <w:t>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Nakon pedesete godine života - kada je po</w:t>
        <w:softHyphen/>
        <w:t>stao vladarom uređene države - M. je stupio u mnoštvo novih brakova i uzdržavao više žena. Hatidža tada više nije bila živa. To i živopisni opisi raja u Kuranu donijeli su njemu i islamu prigovor putenosti. Taj prigovor svakako nije uputio nitko od njegovih suvremenika. Oni tada u tome ne bi također mogli naći ništa sporno. S dvije iznimke, sve su Muhamcdovc supruge bile u stvari udovice zakonite dobi. Do ženidbe je dolazilo ili iz moralnih obveza prema palim sljedbenicima, dakle u društve- no-skrbničkoj namjeri, ili pak zbog političke nužnosti. Tada je kao i u starome vijeku žc- nidbena politika pripadala instrumentariju državne politike. Vladari su kao njezini pred</w:t>
        <w:softHyphen/>
        <w:t>stavnici bili pod izvjesnim stvarnim pritiskom. U medinskom razdoblju svoje djelatnosti M. je bio i državnik. Njegovim kasnijim brako</w:t>
        <w:softHyphen/>
        <w:t>vima trebala su se, između ostaloga, u savezu održati sukobljena beduinska plemena.</w:t>
      </w:r>
    </w:p>
    <w:p>
      <w:pPr>
        <w:pStyle w:val="Style20"/>
        <w:keepNext w:val="0"/>
        <w:keepLines w:val="0"/>
        <w:widowControl w:val="0"/>
        <w:shd w:val="clear" w:color="auto" w:fill="auto"/>
        <w:bidi w:val="0"/>
        <w:spacing w:before="0" w:after="0" w:line="240" w:lineRule="auto"/>
        <w:ind w:left="0" w:right="0" w:firstLine="0"/>
        <w:jc w:val="both"/>
        <w:sectPr>
          <w:headerReference w:type="default" r:id="rId897"/>
          <w:footerReference w:type="default" r:id="rId898"/>
          <w:headerReference w:type="even" r:id="rId899"/>
          <w:footerReference w:type="even" r:id="rId900"/>
          <w:footnotePr>
            <w:pos w:val="pageBottom"/>
            <w:numFmt w:val="decimal"/>
            <w:numRestart w:val="continuous"/>
            <w15:footnoteColumns w:val="1"/>
          </w:footnotePr>
          <w:pgSz w:w="6816" w:h="11006"/>
          <w:pgMar w:top="1046" w:left="204" w:right="214" w:bottom="110" w:header="0" w:footer="3" w:gutter="0"/>
          <w:cols w:num="2" w:space="225"/>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 pretjeranoj Muhamedovoj putenosti teško može biti govora. Religija koja sasvim odluč</w:t>
        <w:softHyphen/>
        <w:t>no zabranjuje nedolične radnje, uživanje alko</w:t>
        <w:softHyphen/>
        <w:t>hola, prekomjerno jelo i piće i sve vrste raz- vrata i koja propisuje molitvu pet puta na dan, jednomjesečni post i socijalne dužnosti, mora se prije smatrati asketskom negoli putenom. Uzor takve religije u svojemu je životu bio M. On je bio njezina vjerna slika u zrcalu. Čovjek koji je u svemu bio skroman, čovjek čija se ishrana sastojala od malo kruha, nekoliko da</w:t>
        <w:softHyphen/>
        <w:t>tulja i jedne ili dvije čaše mlijeka, koji je sam obavljao svoje poslove, koji je svaki dan pro</w:t>
        <w:softHyphen/>
        <w:t>vodio zalažući se za opće dobro i koji se hra</w:t>
        <w:softHyphen/>
        <w:t>bro izlagao opasnostima kako bi izvršio svoju misiju, takav čovjek svakako mora djelovati na temelju čvrstoga moralnog oslonca. Neo</w:t>
        <w:softHyphen/>
        <w:t>borivo svjedočanstvo utjecaja njegove osob</w:t>
        <w:softHyphen/>
        <w:t>nosti jest vjernost s kojom su mu bili predane njegove prve pristaše, sasvim ozbiljni i pra</w:t>
        <w:softHyphen/>
        <w:t xml:space="preserve">vedni ljudi. »Najjači dokaz njegove veličine«, smatra </w:t>
      </w:r>
      <w:r>
        <w:rPr>
          <w:rFonts w:ascii="Times New Roman" w:eastAsia="Times New Roman" w:hAnsi="Times New Roman" w:cs="Times New Roman"/>
          <w:color w:val="000000"/>
          <w:spacing w:val="0"/>
          <w:w w:val="100"/>
          <w:position w:val="0"/>
          <w:shd w:val="clear" w:color="auto" w:fill="auto"/>
          <w:lang w:val="en-US" w:eastAsia="en-US" w:bidi="en-US"/>
        </w:rPr>
        <w:t xml:space="preserve">Richard Hartmann, </w:t>
      </w:r>
      <w:r>
        <w:rPr>
          <w:rFonts w:ascii="Times New Roman" w:eastAsia="Times New Roman" w:hAnsi="Times New Roman" w:cs="Times New Roman"/>
          <w:color w:val="000000"/>
          <w:spacing w:val="0"/>
          <w:w w:val="100"/>
          <w:position w:val="0"/>
          <w:shd w:val="clear" w:color="auto" w:fill="auto"/>
          <w:lang w:val="hr-HR" w:eastAsia="hr-HR" w:bidi="hr-HR"/>
        </w:rPr>
        <w:t>»pruža njegovo djelo, religija koju je stvorio, religija u kojoj su nebrojeni milijuni, medu njima i ćudoredno vrhunski i - po našim mjerilima - krajnje ob</w:t>
        <w:softHyphen/>
        <w:t>razovani ljudi, vidjeli i vide vrhunac religioz- no-ćudorednoga razvoja, i kojoj nebrojeni po</w:t>
        <w:softHyphen/>
        <w:t xml:space="preserve">jedinci duguju svoje ćudoredno i duhovno uporište« </w:t>
      </w:r>
      <w:r>
        <w:rPr>
          <w:rFonts w:ascii="Times New Roman" w:eastAsia="Times New Roman" w:hAnsi="Times New Roman" w:cs="Times New Roman"/>
          <w:color w:val="000000"/>
          <w:spacing w:val="0"/>
          <w:w w:val="100"/>
          <w:position w:val="0"/>
          <w:shd w:val="clear" w:color="auto" w:fill="auto"/>
          <w:lang w:val="en-US" w:eastAsia="en-US" w:bidi="en-US"/>
        </w:rPr>
        <w:t xml:space="preserve">(Richard Hartmann, </w:t>
      </w:r>
      <w:r>
        <w:rPr>
          <w:rFonts w:ascii="Times New Roman" w:eastAsia="Times New Roman" w:hAnsi="Times New Roman" w:cs="Times New Roman"/>
          <w:i/>
          <w:iCs/>
          <w:color w:val="000000"/>
          <w:spacing w:val="0"/>
          <w:w w:val="100"/>
          <w:position w:val="0"/>
          <w:shd w:val="clear" w:color="auto" w:fill="auto"/>
          <w:lang w:val="en-US" w:eastAsia="en-US" w:bidi="en-US"/>
        </w:rPr>
        <w:t>Die Religion des Islam. Eine Einfiihrung,</w:t>
      </w:r>
      <w:r>
        <w:rPr>
          <w:rFonts w:ascii="Times New Roman" w:eastAsia="Times New Roman" w:hAnsi="Times New Roman" w:cs="Times New Roman"/>
          <w:color w:val="000000"/>
          <w:spacing w:val="0"/>
          <w:w w:val="100"/>
          <w:position w:val="0"/>
          <w:shd w:val="clear" w:color="auto" w:fill="auto"/>
          <w:lang w:val="en-US" w:eastAsia="en-US" w:bidi="en-US"/>
        </w:rPr>
        <w:t xml:space="preserve"> Berlin 1944, 22).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Zahvaljujući vjerodostojnoj predaji i pisanim svjedočanstvima povijest je Muhantcdova ži</w:t>
        <w:softHyphen/>
        <w:t>vota poznata do pojedinosti. M. nije mnogo držao za čuda. Svojim najjačim dokazom sma</w:t>
        <w:softHyphen/>
        <w:t>trao je ukupnost pojedinačnih kuranskih sti</w:t>
        <w:softHyphen/>
        <w:t xml:space="preserve">hova (»ajeta, tj. znakova«) koji su na njegovo arapsko okruženje djelovali poput čuda </w:t>
      </w:r>
      <w:r>
        <w:rPr>
          <w:rFonts w:ascii="Times New Roman" w:eastAsia="Times New Roman" w:hAnsi="Times New Roman" w:cs="Times New Roman"/>
          <w:i/>
          <w:iCs/>
          <w:color w:val="000000"/>
          <w:spacing w:val="0"/>
          <w:w w:val="100"/>
          <w:position w:val="0"/>
          <w:shd w:val="clear" w:color="auto" w:fill="auto"/>
          <w:lang w:val="hr-HR" w:eastAsia="hr-HR" w:bidi="hr-HR"/>
        </w:rPr>
        <w:t>(mu- džiza).</w:t>
      </w:r>
      <w:r>
        <w:rPr>
          <w:rFonts w:ascii="Times New Roman" w:eastAsia="Times New Roman" w:hAnsi="Times New Roman" w:cs="Times New Roman"/>
          <w:color w:val="000000"/>
          <w:spacing w:val="0"/>
          <w:w w:val="100"/>
          <w:position w:val="0"/>
          <w:shd w:val="clear" w:color="auto" w:fill="auto"/>
          <w:lang w:val="hr-HR" w:eastAsia="hr-HR" w:bidi="hr-HR"/>
        </w:rPr>
        <w:t xml:space="preserve"> No on sam jedva da je ili nikako znao čitati i pisati. M. nije bio ni asketa niti fatalist. Stojeći s obje noge na zemlji on također nije naučavao da se treba prihvatiti nepravda. On se naprotiv hrabro zalagao za pravednost, isti</w:t>
        <w:softHyphen/>
        <w:t>nitost i dostojanstvo i branio ih, a u nuždi čak i s oružjem u ruci. Ipak nikada nije izgubio mjeru i uvijek je u svakom sporu nalazio mi</w:t>
        <w:softHyphen/>
        <w:t>roljubiva rješenja. Umro je 8. srpnja 632.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Ukupnost Muhamcdovih djela, riječi, načina ponašanja i prešutnih odobravanja predstavlja drugi izvor islama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Svaki Božji posla</w:t>
        <w:softHyphen/>
        <w:t>nik - pa tako i M. - ima u odnosu na ljude samo jednu prednost: da točno poznaje ideal</w:t>
        <w:softHyphen/>
        <w:t>ni Božji put i da ga slijedi na uzoran način. Utoliko je on uzor vjernicima. Ali on nije u središtu nauka. Tako je Kuran kao posljednja objava najvažnija religiozna smjernica za mus</w:t>
        <w:softHyphen/>
        <w:t>limane. M. je samo uzor njezina ispunjenja; sukladno tomu, njegovo je ponašanje vrijedno oponašanja.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Muhamedovo nasljedovanje svoje ležište mo</w:t>
        <w:softHyphen/>
        <w:t>ra imati na religioznoj razini. Smisao tog na</w:t>
        <w:softHyphen/>
        <w:t>sljedovanja leži u prihvaćanju islamskoga du</w:t>
        <w:softHyphen/>
      </w:r>
      <w:r>
        <w:rPr>
          <w:rFonts w:ascii="Times New Roman" w:eastAsia="Times New Roman" w:hAnsi="Times New Roman" w:cs="Times New Roman"/>
          <w:color w:val="000000"/>
          <w:spacing w:val="0"/>
          <w:w w:val="100"/>
          <w:position w:val="0"/>
          <w:shd w:val="clear" w:color="auto" w:fill="auto"/>
          <w:lang w:val="hr-HR" w:eastAsia="hr-HR" w:bidi="hr-HR"/>
        </w:rPr>
        <w:t>ha a ne recimo u mehaničkom oponašanju. M. se u svjetovnim stvarima običavao savjetovati sa svojim sljedbenicima kako bi onda na te</w:t>
        <w:softHyphen/>
        <w:t>melju dobivene stručne informacije mogao donijeti odluku. Iz toga slijedi da za ovlada</w:t>
        <w:softHyphen/>
        <w:t>vanje nekom religiozno indiferentnom situa</w:t>
        <w:softHyphen/>
        <w:t>cijom nije bezuvjetno potreban predložak iz vremena prve zajednice. Vjernik ima slobodu djelovanja, premda ima i konzervativnih gla</w:t>
        <w:softHyphen/>
        <w:t xml:space="preserve">sova koji zahtijevaju potpunu </w:t>
      </w:r>
      <w:r>
        <w:rPr>
          <w:rFonts w:ascii="Times New Roman" w:eastAsia="Times New Roman" w:hAnsi="Times New Roman" w:cs="Times New Roman"/>
          <w:i/>
          <w:iCs/>
          <w:color w:val="000000"/>
          <w:spacing w:val="0"/>
          <w:w w:val="100"/>
          <w:position w:val="0"/>
          <w:shd w:val="clear" w:color="auto" w:fill="auto"/>
          <w:lang w:val="hr-HR" w:eastAsia="hr-HR" w:bidi="hr-HR"/>
        </w:rPr>
        <w:t>imitaciju Mu</w:t>
        <w:softHyphen/>
        <w:t>hameda.</w:t>
      </w:r>
    </w:p>
    <w:p>
      <w:pPr>
        <w:pStyle w:val="Style20"/>
        <w:keepNext w:val="0"/>
        <w:keepLines w:val="0"/>
        <w:widowControl w:val="0"/>
        <w:shd w:val="clear" w:color="auto" w:fill="auto"/>
        <w:tabs>
          <w:tab w:pos="2539" w:val="left"/>
        </w:tabs>
        <w:bidi w:val="0"/>
        <w:spacing w:before="0" w:after="0"/>
        <w:ind w:left="0" w:right="0" w:firstLine="0"/>
        <w:jc w:val="both"/>
        <w:sectPr>
          <w:headerReference w:type="default" r:id="rId901"/>
          <w:footerReference w:type="default" r:id="rId902"/>
          <w:headerReference w:type="even" r:id="rId903"/>
          <w:footerReference w:type="even" r:id="rId904"/>
          <w:footnotePr>
            <w:pos w:val="pageBottom"/>
            <w:numFmt w:val="decimal"/>
            <w:numRestart w:val="continuous"/>
            <w15:footnoteColumns w:val="1"/>
          </w:footnotePr>
          <w:pgSz w:w="6816" w:h="11006"/>
          <w:pgMar w:top="1063" w:left="209" w:right="209" w:bottom="1063" w:header="0" w:footer="3" w:gutter="0"/>
          <w:cols w:num="2" w:space="225"/>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Samo korištenjem svoje osobne slobode i mo</w:t>
        <w:softHyphen/>
        <w:t>biliziranjem svih svojih snaga M. je htio uspo</w:t>
        <w:softHyphen/>
        <w:t>staviti onaj privlačni primjer koji su njegove pristaše pozvani slijediti na temelju svojega religioznog uvjerenja. Svagdanji detalji iz nje</w:t>
        <w:softHyphen/>
        <w:t>gova života sigurno nemaju nikakvu religioz</w:t>
        <w:softHyphen/>
        <w:t>nu relevantnost. Vremenom se razvila jedna vrsta kulta Muhamedove osobe. Doduše, on nije o sebi stvarao nikakve slike, on nije izri</w:t>
        <w:softHyphen/>
        <w:t>cao nikakve molitve, no u njemu se ipak vidi stanoviti zagovornik kod Boga. Muslimani se nadaju u njegov zagovor (šefaat) na sudnji dan. Muhamedov se rođendan višestruko sla</w:t>
        <w:softHyphen/>
        <w:t>vi, što strogo vjerujuće uleme ipak odbacuju kao samovoljnu novotariju u vjeri (bid’a). Mu</w:t>
        <w:softHyphen/>
        <w:t xml:space="preserve">hamedovo se ime također višestruko tabuizi- ra. Svakako zbog zakona harmonije vokala koji vlada u turskom jeziku, Turci rabe ime M. u obliku </w:t>
      </w:r>
      <w:r>
        <w:rPr>
          <w:rFonts w:ascii="Times New Roman" w:eastAsia="Times New Roman" w:hAnsi="Times New Roman" w:cs="Times New Roman"/>
          <w:color w:val="000000"/>
          <w:spacing w:val="0"/>
          <w:w w:val="100"/>
          <w:position w:val="0"/>
          <w:shd w:val="clear" w:color="auto" w:fill="auto"/>
          <w:lang w:val="en-US" w:eastAsia="en-US" w:bidi="en-US"/>
        </w:rPr>
        <w:t xml:space="preserve">Mehmed (Mehmet </w:t>
      </w:r>
      <w:r>
        <w:rPr>
          <w:rFonts w:ascii="Times New Roman" w:eastAsia="Times New Roman" w:hAnsi="Times New Roman" w:cs="Times New Roman"/>
          <w:color w:val="000000"/>
          <w:spacing w:val="0"/>
          <w:w w:val="100"/>
          <w:position w:val="0"/>
          <w:shd w:val="clear" w:color="auto" w:fill="auto"/>
          <w:lang w:val="hr-HR" w:eastAsia="hr-HR" w:bidi="hr-HR"/>
        </w:rPr>
        <w:t>ili Memet; izvor</w:t>
        <w:softHyphen/>
        <w:t>no: Mehemmed).</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bai.ić</w:t>
      </w:r>
    </w:p>
    <w:p>
      <w:pPr>
        <w:rPr>
          <w:sz w:val="2"/>
          <w:szCs w:val="2"/>
        </w:rPr>
        <w:sectPr>
          <w:footnotePr>
            <w:pos w:val="pageBottom"/>
            <w:numFmt w:val="decimal"/>
            <w:numRestart w:val="continuous"/>
            <w15:footnoteColumns w:val="1"/>
          </w:footnotePr>
          <w:type w:val="continuous"/>
          <w:pgSz w:w="6816" w:h="11006"/>
          <w:pgMar w:top="1063" w:left="209" w:right="209" w:bottom="1063" w:header="0" w:footer="3" w:gutter="0"/>
          <w:cols w:num="2" w:space="225"/>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36" w:after="36" w:line="240" w:lineRule="exact"/>
        <w:rPr>
          <w:sz w:val="19"/>
          <w:szCs w:val="19"/>
        </w:rPr>
      </w:pPr>
    </w:p>
    <w:p>
      <w:pPr>
        <w:widowControl w:val="0"/>
        <w:spacing w:line="1" w:lineRule="exact"/>
        <w:sectPr>
          <w:headerReference w:type="default" r:id="rId905"/>
          <w:footerReference w:type="default" r:id="rId906"/>
          <w:headerReference w:type="even" r:id="rId907"/>
          <w:footerReference w:type="even" r:id="rId908"/>
          <w:footnotePr>
            <w:pos w:val="pageBottom"/>
            <w:numFmt w:val="decimal"/>
            <w:numRestart w:val="continuous"/>
            <w15:footnoteColumns w:val="1"/>
          </w:footnotePr>
          <w:pgSz w:w="6816" w:h="11006"/>
          <w:pgMar w:top="1013" w:left="206" w:right="207" w:bottom="493" w:header="0" w:footer="3" w:gutter="0"/>
          <w:pgNumType w:start="300"/>
          <w:cols w:num="2" w:space="212"/>
          <w:noEndnote/>
          <w:rtlGutter w:val="0"/>
          <w:docGrid w:linePitch="360"/>
        </w:sectPr>
      </w:pP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NADA</w:t>
      </w:r>
    </w:p>
    <w:p>
      <w:pPr>
        <w:pStyle w:val="Style63"/>
        <w:keepNext/>
        <w:keepLines/>
        <w:widowControl w:val="0"/>
        <w:numPr>
          <w:ilvl w:val="0"/>
          <w:numId w:val="333"/>
        </w:numPr>
        <w:shd w:val="clear" w:color="auto" w:fill="auto"/>
        <w:tabs>
          <w:tab w:pos="246" w:val="left"/>
        </w:tabs>
        <w:bidi w:val="0"/>
        <w:spacing w:before="0"/>
        <w:ind w:left="0" w:right="0" w:firstLine="0"/>
        <w:jc w:val="both"/>
      </w:pPr>
      <w:bookmarkStart w:id="208" w:name="bookmark208"/>
      <w:r>
        <w:rPr>
          <w:rFonts w:ascii="Times New Roman" w:eastAsia="Times New Roman" w:hAnsi="Times New Roman" w:cs="Times New Roman"/>
          <w:color w:val="000000"/>
          <w:spacing w:val="0"/>
          <w:w w:val="100"/>
          <w:position w:val="0"/>
          <w:shd w:val="clear" w:color="auto" w:fill="auto"/>
          <w:lang w:val="hr-HR" w:eastAsia="hr-HR" w:bidi="hr-HR"/>
        </w:rPr>
        <w:t>židovski</w:t>
      </w:r>
      <w:bookmarkEnd w:id="208"/>
    </w:p>
    <w:p>
      <w:pPr>
        <w:pStyle w:val="Style20"/>
        <w:keepNext w:val="0"/>
        <w:keepLines w:val="0"/>
        <w:widowControl w:val="0"/>
        <w:numPr>
          <w:ilvl w:val="0"/>
          <w:numId w:val="33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Božja svakodnevna neposrednost:</w:t>
      </w:r>
      <w:r>
        <w:rPr>
          <w:rFonts w:ascii="Times New Roman" w:eastAsia="Times New Roman" w:hAnsi="Times New Roman" w:cs="Times New Roman"/>
          <w:color w:val="000000"/>
          <w:spacing w:val="0"/>
          <w:w w:val="100"/>
          <w:position w:val="0"/>
          <w:shd w:val="clear" w:color="auto" w:fill="auto"/>
          <w:lang w:val="hr-HR" w:eastAsia="hr-HR" w:bidi="hr-HR"/>
        </w:rPr>
        <w:t xml:space="preserve"> S vjerskim načelom »da je Stvoritelj... Prvi i Posljednji« (Majmonidov 4. članak vjere) moiitelj se opredjeljuje za Jednoga, koji objedinjuje po</w:t>
        <w:softHyphen/>
        <w:t>četak i kraj i kojega oni, koji se moraju doka</w:t>
        <w:softHyphen/>
        <w:t>zati između stvaranja i svršetka, doživljavaju kao svoje »okrilje (za sva vremena) od kolje</w:t>
        <w:softHyphen/>
        <w:t>na« (Ps 90,1). Ako su ljudi sa svojom nadom željeli naći posvemašnje utočište u budućnos</w:t>
        <w:softHyphen/>
        <w:t>ti, mudraci su im stavili pred oči nadu kao ideal ispravnih postupaka: mesijansko otkup</w:t>
        <w:softHyphen/>
        <w:t xml:space="preserve">ljenje dogodit će se budu li svi izbjegavali zlo i činili dobro (b Bava batra 10b; Joma 86b;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 xml:space="preserve">97b; Midraš Berešit raba XXXVIII,9; </w:t>
      </w:r>
      <w:r>
        <w:rPr>
          <w:rFonts w:ascii="Times New Roman" w:eastAsia="Times New Roman" w:hAnsi="Times New Roman" w:cs="Times New Roman"/>
          <w:color w:val="000000"/>
          <w:spacing w:val="0"/>
          <w:w w:val="100"/>
          <w:position w:val="0"/>
          <w:shd w:val="clear" w:color="auto" w:fill="auto"/>
          <w:lang w:val="en-US" w:eastAsia="en-US" w:bidi="en-US"/>
        </w:rPr>
        <w:t xml:space="preserve">XLIX.6). </w:t>
      </w:r>
      <w:r>
        <w:rPr>
          <w:rFonts w:ascii="Times New Roman" w:eastAsia="Times New Roman" w:hAnsi="Times New Roman" w:cs="Times New Roman"/>
          <w:color w:val="000000"/>
          <w:spacing w:val="0"/>
          <w:w w:val="100"/>
          <w:position w:val="0"/>
          <w:shd w:val="clear" w:color="auto" w:fill="auto"/>
          <w:lang w:val="hr-HR" w:eastAsia="hr-HR" w:bidi="hr-HR"/>
        </w:rPr>
        <w:t>Božja svakodnevna neposrednost treba odrediti djelo. Onoga koji polaže nadu u Boga tradicija uči o povezanosti Božjega i čovjekova djela: »Ti kažeš da je Bog milo</w:t>
        <w:softHyphen/>
        <w:t>srdan i milostiv; onda dobro, pa budi i ti mi</w:t>
        <w:softHyphen/>
        <w:t>losrdan, čini dobro nesebično i svakomu. Na</w:t>
        <w:softHyphen/>
        <w:t>zivaš Boga pravednim, pa budi i ti pravedan. Ti kažeš: Bog je pun ljubavi u svemu što čini; pa onda i ti budi pun ljubavi« (Šifre Pnz</w:t>
      </w:r>
    </w:p>
    <w:p>
      <w:pPr>
        <w:pStyle w:val="Style20"/>
        <w:keepNext w:val="0"/>
        <w:keepLines w:val="0"/>
        <w:widowControl w:val="0"/>
        <w:numPr>
          <w:ilvl w:val="0"/>
          <w:numId w:val="337"/>
        </w:numPr>
        <w:shd w:val="clear" w:color="auto" w:fill="auto"/>
        <w:tabs>
          <w:tab w:pos="303"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22).</w:t>
      </w:r>
    </w:p>
    <w:p>
      <w:pPr>
        <w:pStyle w:val="Style20"/>
        <w:keepNext w:val="0"/>
        <w:keepLines w:val="0"/>
        <w:widowControl w:val="0"/>
        <w:numPr>
          <w:ilvl w:val="0"/>
          <w:numId w:val="33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Ovostrano izrečena n. :</w:t>
      </w:r>
      <w:r>
        <w:rPr>
          <w:rFonts w:ascii="Times New Roman" w:eastAsia="Times New Roman" w:hAnsi="Times New Roman" w:cs="Times New Roman"/>
          <w:color w:val="000000"/>
          <w:spacing w:val="0"/>
          <w:w w:val="100"/>
          <w:position w:val="0"/>
          <w:shd w:val="clear" w:color="auto" w:fill="auto"/>
          <w:lang w:val="hr-HR" w:eastAsia="hr-HR" w:bidi="hr-HR"/>
        </w:rPr>
        <w:t xml:space="preserve"> Djelo je dalo nadu: Pretrpljena povijest za volju Božju, s namet</w:t>
        <w:softHyphen/>
        <w:t>nutom nevoljom, dovela je židovski narod do toga daje naučio moliti i nadati se. Pritom su mu rabini bili velikim učiteljima. S njihovim pripovijedanjem o suosjećanju Mesije, čak su</w:t>
        <w:softHyphen/>
        <w:t xml:space="preserve">osjećanju samoga Boga sa svojim napaćenim narodom jačali su nadu u otkupljenje baš kad je narod bio potlačen u izgnanstvu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98a). Već u razdoblju drugoga Hrama vrijeme oslobođenja od jarma tuđinskih vlasti nikada se nije približilo na dohvat ruke. Od</w:t>
        <w:softHyphen/>
        <w:t xml:space="preserve">onda je ono sačuvalo biblijsko razdoblje da- vidsko-salomonskoga kraljevstva kao čvrstu točku nade u otkupljenje koja se u svakom </w:t>
      </w:r>
      <w:r>
        <w:rPr>
          <w:rFonts w:ascii="Times New Roman" w:eastAsia="Times New Roman" w:hAnsi="Times New Roman" w:cs="Times New Roman"/>
          <w:color w:val="000000"/>
          <w:spacing w:val="0"/>
          <w:w w:val="100"/>
          <w:position w:val="0"/>
          <w:shd w:val="clear" w:color="auto" w:fill="auto"/>
          <w:lang w:val="hr-HR" w:eastAsia="hr-HR" w:bidi="hr-HR"/>
        </w:rPr>
        <w:t>naraštaju ubraja u zbilju židovskoga naroda. Svi povijesni događaji svode se samo na nadu u otkupljenje, ne kao rezultat povijesnih pro</w:t>
        <w:softHyphen/>
        <w:t>cesa nego kao proboj u povijest. Međutim, Mesija, pun nade i strpljivo očekivan (Majmo</w:t>
        <w:softHyphen/>
        <w:t>nidov 12. članak vjere), ostaje glasnik kojega se ne smije štovati (5. članak vjere). Prvi i Posljednji jedini je Stvoritelj; na njega se kao izvršitelja mesijanskog otkupljenja čvrsto ve</w:t>
        <w:softHyphen/>
        <w:t>zuje n.</w:t>
      </w:r>
    </w:p>
    <w:p>
      <w:pPr>
        <w:pStyle w:val="Style20"/>
        <w:keepNext w:val="0"/>
        <w:keepLines w:val="0"/>
        <w:widowControl w:val="0"/>
        <w:numPr>
          <w:ilvl w:val="0"/>
          <w:numId w:val="335"/>
        </w:numPr>
        <w:shd w:val="clear" w:color="auto" w:fill="auto"/>
        <w:tabs>
          <w:tab w:pos="25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 izrečenu u »svijet koji dolazi«:</w:t>
      </w:r>
      <w:r>
        <w:rPr>
          <w:rFonts w:ascii="Times New Roman" w:eastAsia="Times New Roman" w:hAnsi="Times New Roman" w:cs="Times New Roman"/>
          <w:color w:val="000000"/>
          <w:spacing w:val="0"/>
          <w:w w:val="100"/>
          <w:position w:val="0"/>
          <w:shd w:val="clear" w:color="auto" w:fill="auto"/>
          <w:lang w:val="hr-HR" w:eastAsia="hr-HR" w:bidi="hr-HR"/>
        </w:rPr>
        <w:t xml:space="preserve"> Nakon starije, ovostrano usmjerene mesijanske nade izrasla je druga n. u konačni obnoviteljski rad Stvoritelja u »svijetu koji dolazi«, kada »Po</w:t>
        <w:softHyphen/>
        <w:t xml:space="preserve">sljednji« jedini vlada (Zah 14,9). Tradicijska literatura omogućava uvid u gotovo vruću želju Židova za progonstava i dijaspore u prvim stoljećima nakon razorenja drugoga Hrama da postignu </w:t>
      </w:r>
      <w:r>
        <w:rPr>
          <w:rFonts w:ascii="Times New Roman" w:eastAsia="Times New Roman" w:hAnsi="Times New Roman" w:cs="Times New Roman"/>
          <w:i/>
          <w:iCs/>
          <w:color w:val="000000"/>
          <w:spacing w:val="0"/>
          <w:w w:val="100"/>
          <w:position w:val="0"/>
          <w:shd w:val="clear" w:color="auto" w:fill="auto"/>
          <w:lang w:val="hr-HR" w:eastAsia="hr-HR" w:bidi="hr-HR"/>
        </w:rPr>
        <w:t>»udjel u svijetu koji dolazi«</w:t>
      </w:r>
      <w:r>
        <w:rPr>
          <w:rFonts w:ascii="Times New Roman" w:eastAsia="Times New Roman" w:hAnsi="Times New Roman" w:cs="Times New Roman"/>
          <w:color w:val="000000"/>
          <w:spacing w:val="0"/>
          <w:w w:val="100"/>
          <w:position w:val="0"/>
          <w:shd w:val="clear" w:color="auto" w:fill="auto"/>
          <w:lang w:val="hr-HR" w:eastAsia="hr-HR" w:bidi="hr-HR"/>
        </w:rPr>
        <w:t xml:space="preserve"> (b Ba</w:t>
        <w:softHyphen/>
        <w:t>va batra 10b; Roš ha-šana 4a; Pesahim 8a). Na smrtnoj postelji Rabi Elcazara ben Hir- kana (I./1I. stoljeće) pitali su učenici: »Rabi, pouči nas o putovima za život kako bismo njima doprli do života u svijetu koji dolazi« (b Berahot 28b, usp. Joma 66b). Kad su upitali »tko će imati udjela u svijetu koji dolazi« (b Bava batra 10b; Berahot 4b; Sabat 153a), do</w:t>
        <w:softHyphen/>
        <w:t>bili su odgovor koji je one koji se nadaju upu</w:t>
        <w:softHyphen/>
        <w:t>tio na djelo: »Tko je smjeran i skroman; tko se sagiba pri ulasku i sagiba pri izlasku i nepre</w:t>
        <w:softHyphen/>
        <w:t>kidno proučava Toru i ne traži za sebe za</w:t>
        <w:softHyphen/>
        <w:t xml:space="preserve">radu«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88b).</w:t>
      </w:r>
    </w:p>
    <w:p>
      <w:pPr>
        <w:pStyle w:val="Style20"/>
        <w:keepNext w:val="0"/>
        <w:keepLines w:val="0"/>
        <w:widowControl w:val="0"/>
        <w:shd w:val="clear" w:color="auto" w:fill="auto"/>
        <w:bidi w:val="0"/>
        <w:spacing w:before="0" w:after="0"/>
        <w:ind w:left="0" w:right="0" w:firstLine="0"/>
        <w:jc w:val="both"/>
        <w:sectPr>
          <w:footnotePr>
            <w:pos w:val="pageBottom"/>
            <w:numFmt w:val="decimal"/>
            <w:numRestart w:val="continuous"/>
            <w15:footnoteColumns w:val="1"/>
          </w:footnotePr>
          <w:type w:val="continuous"/>
          <w:pgSz w:w="6816" w:h="11006"/>
          <w:pgMar w:top="1013" w:left="206" w:right="207" w:bottom="493" w:header="585" w:footer="3" w:gutter="0"/>
          <w:cols w:num="2" w:space="21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Kraljevstvo Božje na zemlji očekivalo se uvi</w:t>
        <w:softHyphen/>
        <w:t>jek kao otkupljenje cijelog Izraela iz svakog ropstva. Zavlačenje Mesijina dolaska ugroža</w:t>
        <w:softHyphen/>
        <w:t>valo je sudioništvo pravednih u oslobođenju u posljednjem vremenu. Oni neće biti smrću oslobođeni konačne Božje vlasti, nego će, na</w:t>
        <w:softHyphen/>
        <w:t>protiv, ustajanjem iz mrtvih biti u nju uklju</w:t>
        <w:softHyphen/>
        <w:t>čeni (Dn 12,2). Izrazito naglašavanje u kanon</w:t>
        <w:softHyphen/>
        <w:t>skoj liturgiji (Osamnaest blagoslova II; Bera</w:t>
        <w:softHyphen/>
        <w:t xml:space="preserve">hot V,2) karakterizira već zarana </w:t>
      </w:r>
      <w:r>
        <w:rPr>
          <w:rFonts w:ascii="Times New Roman" w:eastAsia="Times New Roman" w:hAnsi="Times New Roman" w:cs="Times New Roman"/>
          <w:i/>
          <w:iCs/>
          <w:color w:val="000000"/>
          <w:spacing w:val="0"/>
          <w:w w:val="100"/>
          <w:position w:val="0"/>
          <w:shd w:val="clear" w:color="auto" w:fill="auto"/>
          <w:lang w:val="hr-HR" w:eastAsia="hr-HR" w:bidi="hr-HR"/>
        </w:rPr>
        <w:t xml:space="preserve">Nadu 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uskrsnuće</w:t>
      </w:r>
      <w:r>
        <w:rPr>
          <w:rFonts w:ascii="Times New Roman" w:eastAsia="Times New Roman" w:hAnsi="Times New Roman" w:cs="Times New Roman"/>
          <w:color w:val="000000"/>
          <w:spacing w:val="0"/>
          <w:w w:val="100"/>
          <w:position w:val="0"/>
          <w:shd w:val="clear" w:color="auto" w:fill="auto"/>
          <w:lang w:val="hr-HR" w:eastAsia="hr-HR" w:bidi="hr-HR"/>
        </w:rPr>
        <w:t xml:space="preserve"> kao jedan od glavnih nauka rabin- skoga židovstva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X,l; Majmoni- dov 13. članak vjere). Ne očekivanje Mesije, niti bilo koju izreku o »svijetu koji dolazi«, nego samo vjeru u obnoviteljsko stvaranje Božje, mudraci su proglasili dogmom: »Ti si močan... oživljavatelj mrtvih... Koji daje ži</w:t>
        <w:softHyphen/>
        <w:t>vima ljubav, oživljava mrtve s velikim milo</w:t>
        <w:softHyphen/>
        <w:t xml:space="preserve">srđem«. Žalobnici se nadaju »onomu koji vas je... stvorio... prehranio... opskrbio... skupio; on će se jednoga dana pobrinuti da uskrsne- tc« ili zaključuju: »On zna broj svih vas, i on će vas jednoga dana oživiti i uskrisiti. Neka bude hvaljen on koji mrtve oživljava« (b Bera- hot 58b; j Berahot </w:t>
      </w:r>
      <w:r>
        <w:rPr>
          <w:rFonts w:ascii="Times New Roman" w:eastAsia="Times New Roman" w:hAnsi="Times New Roman" w:cs="Times New Roman"/>
          <w:color w:val="000000"/>
          <w:spacing w:val="0"/>
          <w:w w:val="100"/>
          <w:position w:val="0"/>
          <w:shd w:val="clear" w:color="auto" w:fill="auto"/>
          <w:lang w:val="en-US" w:eastAsia="en-US" w:bidi="en-US"/>
        </w:rPr>
        <w:t xml:space="preserve">13d; </w:t>
      </w:r>
      <w:r>
        <w:rPr>
          <w:rFonts w:ascii="Times New Roman" w:eastAsia="Times New Roman" w:hAnsi="Times New Roman" w:cs="Times New Roman"/>
          <w:color w:val="000000"/>
          <w:spacing w:val="0"/>
          <w:w w:val="100"/>
          <w:position w:val="0"/>
          <w:shd w:val="clear" w:color="auto" w:fill="auto"/>
          <w:lang w:val="hr-HR" w:eastAsia="hr-HR" w:bidi="hr-HR"/>
        </w:rPr>
        <w:t>Tos. VI,6).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Onima koji polažu nadu u Stvoritelja, »koji je Prvi i Posljednji«, čini se vremenski ograniče</w:t>
        <w:softHyphen/>
        <w:t>nom proživljena zloporaba ljudske slobode u smislu grijeha u svijetu, mržnje, nepravde, potlačenosti, nasilja i nemilosrdnosti; on, na</w:t>
        <w:softHyphen/>
        <w:t>ime, ima posljednju riječ u svojem »obnovlje</w:t>
        <w:softHyphen/>
        <w:t>nom svijetu« (Kala rabati 6,2; b Berahot 17a). Oni također znaju da Bog kažnjava krivnju. No svako dobro djelo budi u čovjeku nadu da »Stvoritelj... iskazuje dobro čuvarima svojih zapovijedi« (Majmonidov 11. članak vjere). U takvoj nadi u vjernost prema onima koji se na</w:t>
        <w:softHyphen/>
        <w:t>građuju zbog poštivanja zapovijedi (Iz 40,10) prodire n. da ćc naposljetku dobro donijeti ploda. U nadi, koja se temelji na »Prvom i Posljednjem«, izražava se raspon, svojstven svoj židovskoj pobožnosti, između blizine pu</w:t>
        <w:softHyphen/>
        <w:t>ta pojedinca i daljine cilja, između zahtjeva koji mu je postavljen i njegova izvršenja.</w:t>
      </w:r>
    </w:p>
    <w:p>
      <w:pPr>
        <w:pStyle w:val="Style56"/>
        <w:keepNext w:val="0"/>
        <w:keepLines w:val="0"/>
        <w:widowControl w:val="0"/>
        <w:shd w:val="clear" w:color="auto" w:fill="auto"/>
        <w:bidi w:val="0"/>
        <w:spacing w:before="0" w:after="120" w:line="240" w:lineRule="auto"/>
        <w:ind w:left="0" w:right="0" w:firstLine="0"/>
        <w:jc w:val="right"/>
      </w:pPr>
      <w:r>
        <w:rPr>
          <w:color w:val="000000"/>
          <w:spacing w:val="0"/>
          <w:w w:val="100"/>
          <w:position w:val="0"/>
          <w:shd w:val="clear" w:color="auto" w:fill="auto"/>
          <w:lang w:val="hr-HR" w:eastAsia="hr-HR" w:bidi="hr-HR"/>
        </w:rPr>
        <w:t xml:space="preserve">l&gt;. </w:t>
      </w:r>
      <w:r>
        <w:rPr>
          <w:color w:val="000000"/>
          <w:spacing w:val="0"/>
          <w:w w:val="100"/>
          <w:position w:val="0"/>
          <w:shd w:val="clear" w:color="auto" w:fill="auto"/>
        </w:rPr>
        <w:t>VETTER</w:t>
      </w:r>
    </w:p>
    <w:p>
      <w:pPr>
        <w:pStyle w:val="Style63"/>
        <w:keepNext/>
        <w:keepLines/>
        <w:widowControl w:val="0"/>
        <w:numPr>
          <w:ilvl w:val="0"/>
          <w:numId w:val="339"/>
        </w:numPr>
        <w:shd w:val="clear" w:color="auto" w:fill="auto"/>
        <w:tabs>
          <w:tab w:pos="260" w:val="left"/>
        </w:tabs>
        <w:bidi w:val="0"/>
        <w:spacing w:before="0"/>
        <w:ind w:left="0" w:right="0" w:firstLine="0"/>
        <w:jc w:val="both"/>
      </w:pPr>
      <w:bookmarkStart w:id="209" w:name="bookmark20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09"/>
    </w:p>
    <w:p>
      <w:pPr>
        <w:pStyle w:val="Style20"/>
        <w:keepNext w:val="0"/>
        <w:keepLines w:val="0"/>
        <w:widowControl w:val="0"/>
        <w:shd w:val="clear" w:color="auto" w:fill="auto"/>
        <w:tabs>
          <w:tab w:pos="28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w:t>
        <w:tab/>
        <w:t>je očekivanje željenoga, dostižnog budućeg dobra. S obzirom na smrt, patnju i krivnju, čini se da čovjek može izbjeći očajanje samo ako u bilo što polaže svoju nadu. Predmet na</w:t>
        <w:softHyphen/>
        <w:t>de može biti ostvarenje svih mogućih (izvan- ćudorednih) životnih dobara (koja u svakom slučaju ne mogu konačno zadovoljiti jer su prolazna i jer njihovo ostvarenje ne ovisi samo o slobodnoj volji) ili ostvarenje posljednjeg ži</w:t>
        <w:softHyphen/>
        <w:t>votnog smisla (koji se može sastojati samo u ostvarenju ćudoredne dobrote, jer ona isklju</w:t>
        <w:softHyphen/>
        <w:t>čivo ovisi o slobodnoj volji).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ovu nadu u ostvarenje konačnog smisla čovjekova života nadovezuje se kršćanska vje</w:t>
        <w:softHyphen/>
        <w:t xml:space="preserve">ra. Onomu, koji je postao u ćudorednom </w:t>
      </w:r>
      <w:r>
        <w:rPr>
          <w:rFonts w:ascii="Times New Roman" w:eastAsia="Times New Roman" w:hAnsi="Times New Roman" w:cs="Times New Roman"/>
          <w:color w:val="000000"/>
          <w:spacing w:val="0"/>
          <w:w w:val="100"/>
          <w:position w:val="0"/>
          <w:shd w:val="clear" w:color="auto" w:fill="auto"/>
          <w:lang w:val="hr-HR" w:eastAsia="hr-HR" w:bidi="hr-HR"/>
        </w:rPr>
        <w:t>smislu kriv, nemoguć je na ovome svijetu obrat koji bi proizašao iz njega samoga (jer se on, koliko to o njemu ovisi, potpuno i defini</w:t>
        <w:softHyphen/>
        <w:t>tivno odlučio za loše u ćudorednom smislu) i taj se obrat ne može ostvariti makar se zah</w:t>
        <w:softHyphen/>
        <w:t>tijeva nastojanje za ćudorednim savršenstvom (za savršenom ljubavi). Prema tomu, prven</w:t>
        <w:softHyphen/>
        <w:t>stveni je predmet kršćanske nade opraštanje krivnje i savršena ljubav u životu s Bogom u čije se milosrđe i moć vjeruje da mogu svla</w:t>
        <w:softHyphen/>
        <w:t>dati krivnju i smrt. Ako je ćudoredno dobar dostojan da mu bude i dobro, nadamo se od Boga savršenom blaženstvu na drugome mjes</w:t>
        <w:softHyphen/>
        <w:t>tu. Oboje je sažeto u pojmu spasenja. Takva</w:t>
      </w:r>
    </w:p>
    <w:p>
      <w:pPr>
        <w:pStyle w:val="Style20"/>
        <w:keepNext w:val="0"/>
        <w:keepLines w:val="0"/>
        <w:widowControl w:val="0"/>
        <w:shd w:val="clear" w:color="auto" w:fill="auto"/>
        <w:tabs>
          <w:tab w:pos="246"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w:t>
        <w:tab/>
        <w:t>može biti samo n. za sve ljude jer uključuje u sebi ćudorednu dobrotu, dakle, nepristranu ljubav.</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Osnova te nade je Isusovo uskrsnuće od mrtvih i njegovo postavljanje za Gospodara svemira. Odlučujuće je pritom da je Uskrsli identičan s povijesnim, na križu umrlim čovje</w:t>
        <w:softHyphen/>
        <w:t>kom, Isusom iz Nazarcta. Vjeruje se daje nje</w:t>
        <w:softHyphen/>
        <w:t>gova smrt i njegovo uskrsnuće djelatni izraz Božje univerzalne spasenjske volje, njegova milosrđa i prema grešnicima. Isus je umro zbog grijeha drugih; kao Uskrsli ostaje potpo</w:t>
        <w:softHyphen/>
        <w:t>ra grešnicima. Kršćanska n. proizlazi dakle iz vjere u Božji čin otkupljenja u Isusu Kristu i ona je kristološki određena. Kada se kršćan</w:t>
        <w:softHyphen/>
        <w:t>ska n. (zajedno s vjerom i ljubavlju) u teologiji označava kao nadnaravna vrlina, tada time treba reći da se ona može živjeti samo na te</w:t>
        <w:softHyphen/>
        <w:t>melju i pomoću nadnaravne (koja nadilazi stvarnost stvorenog svijeta) Božje objave i mi</w:t>
        <w:softHyphen/>
        <w:t>losti. N. sadrži u sebi elemente povjerenja, strpljivosti i ustrajnosti.</w:t>
      </w:r>
    </w:p>
    <w:p>
      <w:pPr>
        <w:pStyle w:val="Style56"/>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rPr>
        <w:t xml:space="preserve">Lit.: J. Pieper. </w:t>
      </w:r>
      <w:r>
        <w:rPr>
          <w:i/>
          <w:iCs/>
          <w:color w:val="000000"/>
          <w:spacing w:val="0"/>
          <w:w w:val="100"/>
          <w:position w:val="0"/>
          <w:shd w:val="clear" w:color="auto" w:fill="auto"/>
        </w:rPr>
        <w:t>Uber die Hoffnung,</w:t>
      </w:r>
      <w:r>
        <w:rPr>
          <w:color w:val="000000"/>
          <w:spacing w:val="0"/>
          <w:w w:val="100"/>
          <w:position w:val="0"/>
          <w:shd w:val="clear" w:color="auto" w:fill="auto"/>
        </w:rPr>
        <w:t xml:space="preserve"> Munchcn </w:t>
      </w:r>
      <w:r>
        <w:rPr>
          <w:color w:val="000000"/>
          <w:spacing w:val="0"/>
          <w:w w:val="100"/>
          <w:position w:val="0"/>
          <w:shd w:val="clear" w:color="auto" w:fill="auto"/>
          <w:vertAlign w:val="superscript"/>
          <w:lang w:val="hr-HR" w:eastAsia="hr-HR" w:bidi="hr-HR"/>
        </w:rPr>
        <w:t>6</w:t>
      </w:r>
      <w:r>
        <w:rPr>
          <w:color w:val="000000"/>
          <w:spacing w:val="0"/>
          <w:w w:val="100"/>
          <w:position w:val="0"/>
          <w:shd w:val="clear" w:color="auto" w:fill="auto"/>
          <w:lang w:val="hr-HR" w:eastAsia="hr-HR" w:bidi="hr-HR"/>
        </w:rPr>
        <w:t xml:space="preserve"> 1961; </w:t>
      </w:r>
      <w:r>
        <w:rPr>
          <w:color w:val="000000"/>
          <w:spacing w:val="0"/>
          <w:w w:val="100"/>
          <w:position w:val="0"/>
          <w:shd w:val="clear" w:color="auto" w:fill="auto"/>
        </w:rPr>
        <w:t xml:space="preserve">J. Molt- mann. </w:t>
      </w:r>
      <w:r>
        <w:rPr>
          <w:i/>
          <w:iCs/>
          <w:color w:val="000000"/>
          <w:spacing w:val="0"/>
          <w:w w:val="100"/>
          <w:position w:val="0"/>
          <w:shd w:val="clear" w:color="auto" w:fill="auto"/>
        </w:rPr>
        <w:t>Theologie der Hoffnung.</w:t>
      </w:r>
      <w:r>
        <w:rPr>
          <w:color w:val="000000"/>
          <w:spacing w:val="0"/>
          <w:w w:val="100"/>
          <w:position w:val="0"/>
          <w:shd w:val="clear" w:color="auto" w:fill="auto"/>
        </w:rPr>
        <w:t xml:space="preserve"> Miinchen </w:t>
      </w:r>
      <w:r>
        <w:rPr>
          <w:color w:val="000000"/>
          <w:spacing w:val="0"/>
          <w:w w:val="100"/>
          <w:position w:val="0"/>
          <w:shd w:val="clear" w:color="auto" w:fill="auto"/>
          <w:vertAlign w:val="superscript"/>
        </w:rPr>
        <w:t>6</w:t>
      </w:r>
      <w:r>
        <w:rPr>
          <w:color w:val="000000"/>
          <w:spacing w:val="0"/>
          <w:w w:val="100"/>
          <w:position w:val="0"/>
          <w:shd w:val="clear" w:color="auto" w:fill="auto"/>
        </w:rPr>
        <w:t xml:space="preserve"> 1966.</w:t>
      </w:r>
    </w:p>
    <w:p>
      <w:pPr>
        <w:pStyle w:val="Style56"/>
        <w:keepNext w:val="0"/>
        <w:keepLines w:val="0"/>
        <w:widowControl w:val="0"/>
        <w:shd w:val="clear" w:color="auto" w:fill="auto"/>
        <w:bidi w:val="0"/>
        <w:spacing w:before="0" w:after="160" w:line="226" w:lineRule="auto"/>
        <w:ind w:left="0" w:right="0" w:firstLine="0"/>
        <w:jc w:val="right"/>
      </w:pPr>
      <w:r>
        <w:rPr>
          <w:color w:val="000000"/>
          <w:spacing w:val="0"/>
          <w:w w:val="100"/>
          <w:position w:val="0"/>
          <w:shd w:val="clear" w:color="auto" w:fill="auto"/>
        </w:rPr>
        <w:t>R. GINTERS</w:t>
      </w:r>
    </w:p>
    <w:p>
      <w:pPr>
        <w:pStyle w:val="Style63"/>
        <w:keepNext/>
        <w:keepLines/>
        <w:widowControl w:val="0"/>
        <w:numPr>
          <w:ilvl w:val="0"/>
          <w:numId w:val="339"/>
        </w:numPr>
        <w:shd w:val="clear" w:color="auto" w:fill="auto"/>
        <w:tabs>
          <w:tab w:pos="260" w:val="left"/>
        </w:tabs>
        <w:bidi w:val="0"/>
        <w:spacing w:before="0"/>
        <w:ind w:left="0" w:right="0" w:firstLine="0"/>
        <w:jc w:val="both"/>
      </w:pPr>
      <w:bookmarkStart w:id="210" w:name="bookmark210"/>
      <w:r>
        <w:rPr>
          <w:rFonts w:ascii="Times New Roman" w:eastAsia="Times New Roman" w:hAnsi="Times New Roman" w:cs="Times New Roman"/>
          <w:color w:val="000000"/>
          <w:spacing w:val="0"/>
          <w:w w:val="100"/>
          <w:position w:val="0"/>
          <w:shd w:val="clear" w:color="auto" w:fill="auto"/>
          <w:lang w:val="hr-HR" w:eastAsia="hr-HR" w:bidi="hr-HR"/>
        </w:rPr>
        <w:t>islamski</w:t>
      </w:r>
      <w:bookmarkEnd w:id="210"/>
    </w:p>
    <w:p>
      <w:pPr>
        <w:pStyle w:val="Style20"/>
        <w:keepNext w:val="0"/>
        <w:keepLines w:val="0"/>
        <w:widowControl w:val="0"/>
        <w:shd w:val="clear" w:color="auto" w:fill="auto"/>
        <w:bidi w:val="0"/>
        <w:spacing w:before="0" w:after="60"/>
        <w:ind w:left="0" w:right="0" w:firstLine="0"/>
        <w:jc w:val="both"/>
        <w:sectPr>
          <w:headerReference w:type="default" r:id="rId909"/>
          <w:footerReference w:type="default" r:id="rId910"/>
          <w:headerReference w:type="even" r:id="rId911"/>
          <w:footerReference w:type="even" r:id="rId912"/>
          <w:footnotePr>
            <w:pos w:val="pageBottom"/>
            <w:numFmt w:val="decimal"/>
            <w:numRestart w:val="continuous"/>
            <w15:footnoteColumns w:val="1"/>
          </w:footnotePr>
          <w:pgSz w:w="6816" w:h="11006"/>
          <w:pgMar w:top="1013" w:left="206" w:right="207" w:bottom="493" w:header="0" w:footer="65" w:gutter="0"/>
          <w:pgNumType w:start="305"/>
          <w:cols w:num="2" w:space="21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Za islamsku pobožnost n. je manje tipična od povjerenja u Boga. Okrenutost Bogu, kojoj se bezuvjetno teži u islamu, prije smjera na od</w:t>
        <w:softHyphen/>
        <w:t>nos povjerenja negoli na lebdeće stanje nade. No, budući da prema vladajući ašaritskom smjeru mišljenja Bog nije obvezan na praved</w:t>
        <w:softHyphen/>
        <w:t>nost, čovjek na kraju krajeva ipak mora gra</w:t>
        <w:softHyphen/>
        <w:t xml:space="preserve">diti svoje povjerenje na milosti Božjoj. N. u milost postoji prije svega za sve muslimane. Ali, po Kuranu, na beznađe nisu osuđeni ni oni koji vjeruju drugačije, koji čine dobro: Oni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koji vjeruju, uključujući Židove, sabelijancc ili kršćane, svi koji su priznali Boga, koji su si</w:t>
        <w:softHyphen/>
        <w:t>gurni u sudnji dan i čine dobra djela, ne tre</w:t>
        <w:softHyphen/>
        <w:t>baju imati nikakva straha. Šcfaat, prorokova zamolba, predstavlja za pobožnoga muslima</w:t>
        <w:softHyphen/>
        <w:t>na oslonac nade u svim strahotama. Vjera u nju razvijena je iz vrlo slabih kuranskih na</w:t>
        <w:softHyphen/>
        <w:t xml:space="preserve">znaka; u stihu iz Kurana (2,255) kaže se: »Tko je taj koji bi se mogao zauzimati kod Njega osim s Njegovom dozvolom?«, no tu misao tradicija poznaje vrlo rano i izvodi je iz sure 17,81: »Možda će te Gospodin probuditi za časno mjesto« (Annemarie </w:t>
      </w:r>
      <w:r>
        <w:rPr>
          <w:rFonts w:ascii="Times New Roman" w:eastAsia="Times New Roman" w:hAnsi="Times New Roman" w:cs="Times New Roman"/>
          <w:color w:val="000000"/>
          <w:spacing w:val="0"/>
          <w:w w:val="100"/>
          <w:position w:val="0"/>
          <w:shd w:val="clear" w:color="auto" w:fill="auto"/>
          <w:lang w:val="en-US" w:eastAsia="en-US" w:bidi="en-US"/>
        </w:rPr>
        <w:t xml:space="preserve">Schimmel, </w:t>
      </w:r>
      <w:r>
        <w:rPr>
          <w:rFonts w:ascii="Times New Roman" w:eastAsia="Times New Roman" w:hAnsi="Times New Roman" w:cs="Times New Roman"/>
          <w:color w:val="000000"/>
          <w:spacing w:val="0"/>
          <w:w w:val="100"/>
          <w:position w:val="0"/>
          <w:shd w:val="clear" w:color="auto" w:fill="auto"/>
          <w:lang w:val="hr-HR" w:eastAsia="hr-HR" w:bidi="hr-HR"/>
        </w:rPr>
        <w:t>nav. dj., 227). Život muslimana treba se odvijati iz</w:t>
        <w:softHyphen/>
        <w:t>među straha od Božje kazne i nade (usp. 7,56-57).</w:t>
      </w:r>
    </w:p>
    <w:p>
      <w:pPr>
        <w:pStyle w:val="Style56"/>
        <w:keepNext w:val="0"/>
        <w:keepLines w:val="0"/>
        <w:widowControl w:val="0"/>
        <w:shd w:val="clear" w:color="auto" w:fill="auto"/>
        <w:bidi w:val="0"/>
        <w:spacing w:before="0" w:after="260" w:line="240" w:lineRule="auto"/>
        <w:ind w:left="0" w:right="0" w:firstLine="0"/>
        <w:jc w:val="both"/>
      </w:pPr>
      <w:r>
        <w:rPr>
          <w:color w:val="000000"/>
          <w:spacing w:val="0"/>
          <w:w w:val="100"/>
          <w:position w:val="0"/>
          <w:shd w:val="clear" w:color="auto" w:fill="auto"/>
        </w:rPr>
        <w:t xml:space="preserve">Lit: Annemarie Schimmel, </w:t>
      </w:r>
      <w:r>
        <w:rPr>
          <w:color w:val="000000"/>
          <w:spacing w:val="0"/>
          <w:w w:val="100"/>
          <w:position w:val="0"/>
          <w:shd w:val="clear" w:color="auto" w:fill="auto"/>
          <w:lang w:val="hr-HR" w:eastAsia="hr-HR" w:bidi="hr-HR"/>
        </w:rPr>
        <w:t xml:space="preserve">Schopfungsglautn: im </w:t>
      </w:r>
      <w:r>
        <w:rPr>
          <w:color w:val="000000"/>
          <w:spacing w:val="0"/>
          <w:w w:val="100"/>
          <w:position w:val="0"/>
          <w:shd w:val="clear" w:color="auto" w:fill="auto"/>
        </w:rPr>
        <w:t xml:space="preserve">Koran und in </w:t>
      </w:r>
      <w:r>
        <w:rPr>
          <w:color w:val="000000"/>
          <w:spacing w:val="0"/>
          <w:w w:val="100"/>
          <w:position w:val="0"/>
          <w:shd w:val="clear" w:color="auto" w:fill="auto"/>
          <w:lang w:val="hr-HR" w:eastAsia="hr-HR" w:bidi="hr-HR"/>
        </w:rPr>
        <w:t xml:space="preserve">my.stisch*poctischcr Dichlung, u: </w:t>
      </w:r>
      <w:r>
        <w:rPr>
          <w:i/>
          <w:iCs/>
          <w:color w:val="000000"/>
          <w:spacing w:val="0"/>
          <w:w w:val="100"/>
          <w:position w:val="0"/>
          <w:shd w:val="clear" w:color="auto" w:fill="auto"/>
          <w:lang w:val="hr-HR" w:eastAsia="hr-HR" w:bidi="hr-HR"/>
        </w:rPr>
        <w:t xml:space="preserve">Glaube </w:t>
      </w:r>
      <w:r>
        <w:rPr>
          <w:i/>
          <w:iCs/>
          <w:color w:val="000000"/>
          <w:spacing w:val="0"/>
          <w:w w:val="100"/>
          <w:position w:val="0"/>
          <w:shd w:val="clear" w:color="auto" w:fill="auto"/>
        </w:rPr>
        <w:t xml:space="preserve">an den </w:t>
      </w:r>
      <w:r>
        <w:rPr>
          <w:i/>
          <w:iCs/>
          <w:color w:val="000000"/>
          <w:spacing w:val="0"/>
          <w:w w:val="100"/>
          <w:position w:val="0"/>
          <w:shd w:val="clear" w:color="auto" w:fill="auto"/>
          <w:lang w:val="hr-HR" w:eastAsia="hr-HR" w:bidi="hr-HR"/>
        </w:rPr>
        <w:t>ei- nen Goit,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Frciburg/Bascl/Wicn </w:t>
      </w:r>
      <w:r>
        <w:rPr>
          <w:color w:val="000000"/>
          <w:spacing w:val="0"/>
          <w:w w:val="100"/>
          <w:position w:val="0"/>
          <w:shd w:val="clear" w:color="auto" w:fill="auto"/>
          <w:lang w:val="hr-HR" w:eastAsia="hr-HR" w:bidi="hr-HR"/>
        </w:rPr>
        <w:t xml:space="preserve">1975, 203-237; </w:t>
      </w:r>
      <w:r>
        <w:rPr>
          <w:color w:val="000000"/>
          <w:spacing w:val="0"/>
          <w:w w:val="100"/>
          <w:position w:val="0"/>
          <w:shd w:val="clear" w:color="auto" w:fill="auto"/>
        </w:rPr>
        <w:t xml:space="preserve">Erwin Graef, </w:t>
      </w:r>
      <w:r>
        <w:rPr>
          <w:color w:val="000000"/>
          <w:spacing w:val="0"/>
          <w:w w:val="100"/>
          <w:position w:val="0"/>
          <w:shd w:val="clear" w:color="auto" w:fill="auto"/>
          <w:lang w:val="hr-HR" w:eastAsia="hr-HR" w:bidi="hr-HR"/>
        </w:rPr>
        <w:t xml:space="preserve">1 loffnung im islamischun Glaubcnsvcrstandnis. u: </w:t>
      </w:r>
      <w:r>
        <w:rPr>
          <w:i/>
          <w:iCs/>
          <w:color w:val="000000"/>
          <w:spacing w:val="0"/>
          <w:w w:val="100"/>
          <w:position w:val="0"/>
          <w:shd w:val="clear" w:color="auto" w:fill="auto"/>
          <w:lang w:val="hr-HR" w:eastAsia="hr-HR" w:bidi="hr-HR"/>
        </w:rPr>
        <w:t xml:space="preserve">Drti Vege zu </w:t>
      </w:r>
      <w:r>
        <w:rPr>
          <w:i/>
          <w:iCs/>
          <w:color w:val="000000"/>
          <w:spacing w:val="0"/>
          <w:w w:val="100"/>
          <w:position w:val="0"/>
          <w:shd w:val="clear" w:color="auto" w:fill="auto"/>
        </w:rPr>
        <w:t xml:space="preserve">dem </w:t>
      </w:r>
      <w:r>
        <w:rPr>
          <w:i/>
          <w:iCs/>
          <w:color w:val="000000"/>
          <w:spacing w:val="0"/>
          <w:w w:val="100"/>
          <w:position w:val="0"/>
          <w:shd w:val="clear" w:color="auto" w:fill="auto"/>
          <w:lang w:val="hr-HR" w:eastAsia="hr-HR" w:bidi="hr-HR"/>
        </w:rPr>
        <w:t>einen Gott,</w:t>
      </w:r>
      <w:r>
        <w:rPr>
          <w:color w:val="000000"/>
          <w:spacing w:val="0"/>
          <w:w w:val="100"/>
          <w:position w:val="0"/>
          <w:shd w:val="clear" w:color="auto" w:fill="auto"/>
          <w:lang w:val="hr-HR" w:eastAsia="hr-HR" w:bidi="hr-HR"/>
        </w:rPr>
        <w:t xml:space="preserve"> Frcihurg 1976, 117-140. S. BAIJĆ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NAROD BOŽJI</w:t>
      </w:r>
    </w:p>
    <w:p>
      <w:pPr>
        <w:pStyle w:val="Style63"/>
        <w:keepNext/>
        <w:keepLines/>
        <w:widowControl w:val="0"/>
        <w:numPr>
          <w:ilvl w:val="0"/>
          <w:numId w:val="341"/>
        </w:numPr>
        <w:shd w:val="clear" w:color="auto" w:fill="auto"/>
        <w:tabs>
          <w:tab w:pos="250" w:val="left"/>
        </w:tabs>
        <w:bidi w:val="0"/>
        <w:spacing w:before="0" w:line="223" w:lineRule="auto"/>
        <w:ind w:left="0" w:right="0" w:firstLine="0"/>
        <w:jc w:val="both"/>
      </w:pPr>
      <w:bookmarkStart w:id="211" w:name="bookmark211"/>
      <w:r>
        <w:rPr>
          <w:rFonts w:ascii="Times New Roman" w:eastAsia="Times New Roman" w:hAnsi="Times New Roman" w:cs="Times New Roman"/>
          <w:color w:val="000000"/>
          <w:spacing w:val="0"/>
          <w:w w:val="100"/>
          <w:position w:val="0"/>
          <w:shd w:val="clear" w:color="auto" w:fill="auto"/>
          <w:lang w:val="hr-HR" w:eastAsia="hr-HR" w:bidi="hr-HR"/>
        </w:rPr>
        <w:t>židovski</w:t>
      </w:r>
      <w:bookmarkEnd w:id="21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a) »... svojina mimo sve narode... narod svet.« </w:t>
      </w:r>
      <w:r>
        <w:rPr>
          <w:rFonts w:ascii="Times New Roman" w:eastAsia="Times New Roman" w:hAnsi="Times New Roman" w:cs="Times New Roman"/>
          <w:color w:val="000000"/>
          <w:spacing w:val="0"/>
          <w:w w:val="100"/>
          <w:position w:val="0"/>
          <w:shd w:val="clear" w:color="auto" w:fill="auto"/>
          <w:lang w:val="hr-HR" w:eastAsia="hr-HR" w:bidi="hr-HR"/>
        </w:rPr>
        <w:t>Razmišljanje Izraela o Božjem posebnom od</w:t>
        <w:softHyphen/>
        <w:t>nosu prema svojem narodu stvorilo je različite jezične oblike. Jedan od njih opisuje podrijetlo tog odnosa s Božjim djelom: »A vas je uzeo ON i izveo vas« (Pnz 4,20); jedan drugi for</w:t>
        <w:softHyphen/>
        <w:t xml:space="preserve">mulira rezultat: »Tad NJEGA njegov narod zapade, Jakov bi mjerilo njegove svojine« (32,9). Glagolima »izabrati« i drugim sličnim glagolima - »prepoznati/prihvatiti«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3,2), »odvojiti/izdvojiti«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20,24.26), »uzeti«, »pozvali« i »odabrati« (Iz 41,9 - Izrael je izra</w:t>
        <w:softHyphen/>
        <w:t>zio predodžbu o sebi, prema kojoj se temelji njegovo postavljenje za n. B. isključivom i ta</w:t>
        <w:softHyphen/>
        <w:t>janstvenom odlukom Stvoritelja neba i zemlje (Post 14,19; Iz 40,26.28; 42,5; 45,7) i Kralja svih naroda (Iz 6,3.5; Ps 29; 47; 93; 95; 96; 98): »Tebe je ON, Bog tvoj, izabrao da među svim narodima koji su na zemlji...« (Pnz 7,6 = 14,2; usp. Iz 44,1 i d.; Ez 20,5). Izrael je izričito naglasio povijesno jaku volju Izbor</w:t>
        <w:softHyphen/>
        <w:t>nika koja ne podliježe ljudskim mjerilima za ocjenjivanje i kriterijima izbora: »Nije vas ON odabrao i prihvatio zato što biste vi bili broj</w:t>
        <w:softHyphen/>
        <w:t>niji od svih naroda - vi ste zapravo u manjini - nego zato što vas ON ljubi (Pnz 7,7 i d.; usp. 4,38; 9,4-6; 10,14-16; Mal 1,2 i d.). No zna</w:t>
        <w:softHyphen/>
      </w:r>
      <w:r>
        <w:rPr>
          <w:rFonts w:ascii="Times New Roman" w:eastAsia="Times New Roman" w:hAnsi="Times New Roman" w:cs="Times New Roman"/>
          <w:color w:val="000000"/>
          <w:spacing w:val="0"/>
          <w:w w:val="100"/>
          <w:position w:val="0"/>
          <w:shd w:val="clear" w:color="auto" w:fill="auto"/>
          <w:lang w:val="hr-HR" w:eastAsia="hr-HR" w:bidi="hr-HR"/>
        </w:rPr>
        <w:t>čenje izabranja u n. B. Izrael je povezao s izričajima: »mimo sve narode predraga svo</w:t>
        <w:softHyphen/>
        <w:t>jina« i »sveti narod« (Izl 19,5 i d.; Pnz 7,6 = 14,2; 26,18 i d.; Mal 3,17; Ps 135,4). Iza riječi, kojima on sebi pripisuje »sav svijet« (Izl 19,5), »predraga svojina«, razabire se posebni odnos Boga prema Izraelu: on ima pravo na svoj na</w:t>
        <w:softHyphen/>
        <w:t>rod koji je izabrao nalogom. Postavljenje na</w:t>
        <w:softHyphen/>
        <w:t>roda za »kraljevstvo svećenika« radi izvršenja toga naloga (redak 6), tj. za mnogobrojne slu</w:t>
        <w:softHyphen/>
        <w:t>ge, koji Bogu u njegovoj kraljevskoj vlasti sto</w:t>
        <w:softHyphen/>
        <w:t>je neposredno na raspolaganju (usp. 2 Sam 8,18 i 1 Ljct 18,7 ili 1 Kr 4,5; 2 Sam 20,26; 1 Ljet 27,33), traži od Izraela potpunu preda</w:t>
        <w:softHyphen/>
        <w:t>nost Bogu u svojem ponašanju i fizičkom po</w:t>
        <w:softHyphen/>
        <w:t xml:space="preserve">stojanju: on se treba dokazati kao »narod svet« </w:t>
      </w:r>
      <w:r>
        <w:rPr>
          <w:rFonts w:ascii="Times New Roman" w:eastAsia="Times New Roman" w:hAnsi="Times New Roman" w:cs="Times New Roman"/>
          <w:i/>
          <w:iCs/>
          <w:color w:val="000000"/>
          <w:spacing w:val="0"/>
          <w:w w:val="100"/>
          <w:position w:val="0"/>
          <w:shd w:val="clear" w:color="auto" w:fill="auto"/>
          <w:lang w:val="hr-HR" w:eastAsia="hr-HR" w:bidi="hr-HR"/>
        </w:rPr>
        <w:t>(goj kadoš,</w:t>
      </w:r>
      <w:r>
        <w:rPr>
          <w:rFonts w:ascii="Times New Roman" w:eastAsia="Times New Roman" w:hAnsi="Times New Roman" w:cs="Times New Roman"/>
          <w:color w:val="000000"/>
          <w:spacing w:val="0"/>
          <w:w w:val="100"/>
          <w:position w:val="0"/>
          <w:shd w:val="clear" w:color="auto" w:fill="auto"/>
          <w:lang w:val="hr-HR" w:eastAsia="hr-HR" w:bidi="hr-HR"/>
        </w:rPr>
        <w:t xml:space="preserve"> Izl 19,6).</w:t>
      </w:r>
    </w:p>
    <w:p>
      <w:pPr>
        <w:pStyle w:val="Style20"/>
        <w:keepNext w:val="0"/>
        <w:keepLines w:val="0"/>
        <w:widowControl w:val="0"/>
        <w:shd w:val="clear" w:color="auto" w:fill="auto"/>
        <w:bidi w:val="0"/>
        <w:spacing w:before="0" w:after="0" w:line="240" w:lineRule="auto"/>
        <w:ind w:left="0" w:right="0" w:firstLine="0"/>
        <w:jc w:val="both"/>
        <w:sectPr>
          <w:headerReference w:type="default" r:id="rId913"/>
          <w:footerReference w:type="default" r:id="rId914"/>
          <w:headerReference w:type="even" r:id="rId915"/>
          <w:footerReference w:type="even" r:id="rId916"/>
          <w:footnotePr>
            <w:pos w:val="pageBottom"/>
            <w:numFmt w:val="decimal"/>
            <w:numRestart w:val="continuous"/>
            <w15:footnoteColumns w:val="1"/>
          </w:footnotePr>
          <w:pgSz w:w="6816" w:h="11006"/>
          <w:pgMar w:top="1013" w:left="206" w:right="207" w:bottom="493" w:header="0" w:footer="3" w:gutter="0"/>
          <w:pgNumType w:start="302"/>
          <w:cols w:num="2" w:space="21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Pjesničko oblikovanje Izraelovc posebne egzi</w:t>
        <w:softHyphen/>
        <w:t xml:space="preserve">stencije naglašava vid zajednice </w:t>
      </w:r>
      <w:r>
        <w:rPr>
          <w:rFonts w:ascii="Times New Roman" w:eastAsia="Times New Roman" w:hAnsi="Times New Roman" w:cs="Times New Roman"/>
          <w:i/>
          <w:iCs/>
          <w:color w:val="000000"/>
          <w:spacing w:val="0"/>
          <w:w w:val="100"/>
          <w:position w:val="0"/>
          <w:shd w:val="clear" w:color="auto" w:fill="auto"/>
          <w:lang w:val="en-US" w:eastAsia="en-US" w:bidi="en-US"/>
        </w:rPr>
        <w:t>(‘am)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ljudi koji žive jedni »s« </w:t>
      </w:r>
      <w:r>
        <w:rPr>
          <w:rFonts w:ascii="Times New Roman" w:eastAsia="Times New Roman" w:hAnsi="Times New Roman" w:cs="Times New Roman"/>
          <w:i/>
          <w:iCs/>
          <w:color w:val="000000"/>
          <w:spacing w:val="0"/>
          <w:w w:val="100"/>
          <w:position w:val="0"/>
          <w:shd w:val="clear" w:color="auto" w:fill="auto"/>
          <w:lang w:val="hr-HR" w:eastAsia="hr-HR" w:bidi="hr-HR"/>
        </w:rPr>
        <w:t>('im)</w:t>
      </w:r>
      <w:r>
        <w:rPr>
          <w:rFonts w:ascii="Times New Roman" w:eastAsia="Times New Roman" w:hAnsi="Times New Roman" w:cs="Times New Roman"/>
          <w:color w:val="000000"/>
          <w:spacing w:val="0"/>
          <w:w w:val="100"/>
          <w:position w:val="0"/>
          <w:shd w:val="clear" w:color="auto" w:fill="auto"/>
          <w:lang w:val="hr-HR" w:eastAsia="hr-HR" w:bidi="hr-HR"/>
        </w:rPr>
        <w:t xml:space="preserve"> drugima po Božjoj volji; time se n. B. razlikuje od svih drugih na</w:t>
        <w:softHyphen/>
        <w:t xml:space="preserve">cija: »Gle naroda </w:t>
      </w:r>
      <w:r>
        <w:rPr>
          <w:rFonts w:ascii="Times New Roman" w:eastAsia="Times New Roman" w:hAnsi="Times New Roman" w:cs="Times New Roman"/>
          <w:i/>
          <w:iCs/>
          <w:color w:val="000000"/>
          <w:spacing w:val="0"/>
          <w:w w:val="100"/>
          <w:position w:val="0"/>
          <w:shd w:val="clear" w:color="auto" w:fill="auto"/>
          <w:lang w:val="en-US" w:eastAsia="en-US" w:bidi="en-US"/>
        </w:rPr>
        <w:t>(‘am)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koji odvojeno živi, medu narode on se ne broji« (Br 23,9). On će udovoljiti svojem pozivu Božjeg naroda samo poslušnim ostvarenjem odredbi Saveza: »Sve što je ON rekao, izvršit ćemo i poslušat ćemo!« (Izl 24,7; 19,8). Pogrešnom shvaćanju, prema kojem se u izabranju umjesto naloga želi prepoznati vlastita važnost, suprotstavili su se puristički samokritični glasovi u Izraelu (19,5; Pnz 7,6; 14,2; 26,18;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 bez izvršenja zapovijedi B. n. postoji tako reći sa</w:t>
        <w:softHyphen/>
        <w:t>mo u negaciji (Hoš 1,9). »Djeca Izraelova« (=Jakovljcva) došla su u Egipat kao rodovska zajednica (Post 46,8); ondje su prerasli u na</w:t>
        <w:softHyphen/>
        <w:t>rod čiji ga je Bog »uzeo sebi«, kako je te do</w:t>
        <w:softHyphen/>
        <w:t xml:space="preserve">gađaje sažeto izložio kasniji Mojsijev govor: »Ili, pokuša li (koji) Bog da ode i uzme sebi jedan narod </w:t>
      </w:r>
      <w:r>
        <w:rPr>
          <w:rFonts w:ascii="Times New Roman" w:eastAsia="Times New Roman" w:hAnsi="Times New Roman" w:cs="Times New Roman"/>
          <w:i/>
          <w:iCs/>
          <w:color w:val="000000"/>
          <w:spacing w:val="0"/>
          <w:w w:val="100"/>
          <w:position w:val="0"/>
          <w:shd w:val="clear" w:color="auto" w:fill="auto"/>
          <w:lang w:val="hr-HR" w:eastAsia="hr-HR" w:bidi="hr-HR"/>
        </w:rPr>
        <w:t>(goj)</w:t>
      </w:r>
      <w:r>
        <w:rPr>
          <w:rFonts w:ascii="Times New Roman" w:eastAsia="Times New Roman" w:hAnsi="Times New Roman" w:cs="Times New Roman"/>
          <w:color w:val="000000"/>
          <w:spacing w:val="0"/>
          <w:w w:val="100"/>
          <w:position w:val="0"/>
          <w:shd w:val="clear" w:color="auto" w:fill="auto"/>
          <w:lang w:val="hr-HR" w:eastAsia="hr-HR" w:bidi="hr-HR"/>
        </w:rPr>
        <w:t xml:space="preserve"> usred drugog naroda?« (Pnz 4,34). Kako bi Izrael kao jedinstveno narodno tijelo </w:t>
      </w:r>
      <w:r>
        <w:rPr>
          <w:rFonts w:ascii="Times New Roman" w:eastAsia="Times New Roman" w:hAnsi="Times New Roman" w:cs="Times New Roman"/>
          <w:i/>
          <w:iCs/>
          <w:color w:val="000000"/>
          <w:spacing w:val="0"/>
          <w:w w:val="100"/>
          <w:position w:val="0"/>
          <w:shd w:val="clear" w:color="auto" w:fill="auto"/>
          <w:lang w:val="hr-HR" w:eastAsia="hr-HR" w:bidi="hr-HR"/>
        </w:rPr>
        <w:t>(goj)</w:t>
      </w:r>
      <w:r>
        <w:rPr>
          <w:rFonts w:ascii="Times New Roman" w:eastAsia="Times New Roman" w:hAnsi="Times New Roman" w:cs="Times New Roman"/>
          <w:color w:val="000000"/>
          <w:spacing w:val="0"/>
          <w:w w:val="100"/>
          <w:position w:val="0"/>
          <w:shd w:val="clear" w:color="auto" w:fill="auto"/>
          <w:lang w:val="hr-HR" w:eastAsia="hr-HR" w:bidi="hr-HR"/>
        </w:rPr>
        <w:t xml:space="preserve"> mogao poći putem prema cilju koji mu je zacrtan, kao ljudska zajednica povezana s Bogom </w:t>
      </w:r>
      <w:r>
        <w:rPr>
          <w:rFonts w:ascii="Times New Roman" w:eastAsia="Times New Roman" w:hAnsi="Times New Roman" w:cs="Times New Roman"/>
          <w:i/>
          <w:iCs/>
          <w:color w:val="000000"/>
          <w:spacing w:val="0"/>
          <w:w w:val="100"/>
          <w:position w:val="0"/>
          <w:shd w:val="clear" w:color="auto" w:fill="auto"/>
          <w:lang w:val="en-US" w:eastAsia="en-US" w:bidi="en-US"/>
        </w:rPr>
        <w:t>(‘am,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usp. Izl 3,7.10), trebao mu je te</w:t>
        <w:softHyphen/>
        <w:t>meljni zakon (Izl 20,1-17; Pnz 5,6-18); ta se zajednica temeljila na neograničenoj vlasti jednoga Boga, na trajnosti Izraela kao naroda Božjeg u povijesti naroda i na unutarnjoj po</w:t>
        <w:softHyphen/>
        <w:t xml:space="preserve">vezanosti naraštaja. U zemlji, koja je već bila obećana očima i koju Bog daje njemu (Izl 3,8), Izrael treba živjeti kao »sveti narod«, kao prava ljudska zajednica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19,2.37; 20, i d. 26) i postati moć blagoslova za druge narode (Post 12,2).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»...koji je svoj narod izabrao u ljubavi.«</w:t>
      </w:r>
      <w:r>
        <w:rPr>
          <w:rFonts w:ascii="Times New Roman" w:eastAsia="Times New Roman" w:hAnsi="Times New Roman" w:cs="Times New Roman"/>
          <w:color w:val="000000"/>
          <w:spacing w:val="0"/>
          <w:w w:val="100"/>
          <w:position w:val="0"/>
          <w:shd w:val="clear" w:color="auto" w:fill="auto"/>
          <w:lang w:val="hr-HR" w:eastAsia="hr-HR" w:bidi="hr-HR"/>
        </w:rPr>
        <w:t xml:space="preserve"> Bi</w:t>
        <w:softHyphen/>
        <w:t>blijske odrednice temelj su rabinskoga tuma</w:t>
        <w:softHyphen/>
        <w:t>čenja biti i zadaće Božjeg naroda. Određenje Izraela za »predragu svojinu mimo sve naro</w:t>
        <w:softHyphen/>
        <w:t>de« objašnjava u midrašu sam Bog: »Vi ćete mi biti ono što sam stekao i baviti se Torom i nećete se baviti drugim stvarima. Kao što je tebi čovjekovo vlasništvo (tj. tvoj posjed ili ušteđevina) dragocjeno, tako ćete i vi meni biti dragocjeni« (Mehilta Izl 19,5; usp. Pesikta rabati 1 l/46b/; 10/36b). Mišna u »pet stvari«, koje Bog »naziva svojim posebnim vlasniš</w:t>
        <w:softHyphen/>
        <w:t xml:space="preserve">tvom u svijetu«, ubraja - osim Tore, neba i zemlje, Abrahama i svetoga Hrama - i »Izrael kao svojinu«, pozivajući se na Izl 15,6 i Ps 16,3 (Avot VI,10). Obvezu naroda u vlasništvu prema Bogu dočarava slikovita riječ što ju je prenio Rabi </w:t>
      </w:r>
      <w:r>
        <w:rPr>
          <w:rFonts w:ascii="Times New Roman" w:eastAsia="Times New Roman" w:hAnsi="Times New Roman" w:cs="Times New Roman"/>
          <w:color w:val="000000"/>
          <w:spacing w:val="0"/>
          <w:w w:val="100"/>
          <w:position w:val="0"/>
          <w:shd w:val="clear" w:color="auto" w:fill="auto"/>
          <w:lang w:val="en-US" w:eastAsia="en-US" w:bidi="en-US"/>
        </w:rPr>
        <w:t xml:space="preserve">Jchuda bar Simon </w:t>
      </w:r>
      <w:r>
        <w:rPr>
          <w:rFonts w:ascii="Times New Roman" w:eastAsia="Times New Roman" w:hAnsi="Times New Roman" w:cs="Times New Roman"/>
          <w:color w:val="000000"/>
          <w:spacing w:val="0"/>
          <w:w w:val="100"/>
          <w:position w:val="0"/>
          <w:shd w:val="clear" w:color="auto" w:fill="auto"/>
          <w:lang w:val="hr-HR" w:eastAsia="hr-HR" w:bidi="hr-HR"/>
        </w:rPr>
        <w:t>(oko 320) u ime Rabi Levija (oko 300): »Kao što pčela skuplja sve za svojega vlasnika, tako i Izraelci skupljaju sva ispunjenja zapovijedi i dobra djela za svojega oca na nebu« (Devarim raba 1,1,1). I mudraci su podučavali da izabranje treba shvatiti kao nalog: »Rabi Judan (oko 350) rekao je u ime Rabi Šmucla b. Nahma- nija (oko 260): ... 1 Mojsije je rekao pred Bo</w:t>
        <w:softHyphen/>
        <w:t>gom: Gospodaru svijeta, od sedamdeset na</w:t>
        <w:softHyphen/>
        <w:t xml:space="preserve">roda koje imaš dao si mi samo zapovijedi o Izraelu... (Izl 3,15; 30,31; 33,5; 31,13;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 Izl 27,20; 30,12). On mu je odgovorio: Jer tijesno prianjaju uza me (Jr 13,11)« (Pe</w:t>
        <w:softHyphen/>
        <w:t>sikta 15b; usp. Vajikra raba 11,1,2). N. B. po</w:t>
        <w:softHyphen/>
        <w:t xml:space="preserve">znaje volju Božju (M Sabat VII,7; Makot 111,7,8; Mehilta Izl 12,28;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10,7; De</w:t>
        <w:softHyphen/>
        <w:t>varim raba VII,28,1. Usp. načelo što ga je postavio Rabi Jišmael b Bava batra 60b; Sabat 148b; Beča 30a). Izraelovo izabranje otvara svjetskim narodima mogućnost obraćenja k Bogu (Šir ha-širim V,16; Pesikta 46a).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Rabini su naglašavali trajnost odnosa izabra- nja: »Kao što je trajanje neba nad zemljom - (to znači) da će oni (Izrael) živjeli i postojati zauvijek« (Šifre Pnz 11,21); u lome se ne odražava samouvjerenost, već bezuvjetno po</w:t>
        <w:softHyphen/>
        <w:t>vjerenje u Božje obećanje: »Hiskija (b. Hija, oko 240) kaže: Mojsije je govorio (Bogu): Da si se njihovim očima zakleo nebom i zemljom, onda bi dobro postupio prema njima da si uništio njihovu djecu... Ali, Gospodaru svi</w:t>
        <w:softHyphen/>
        <w:t xml:space="preserve">jeta, nisi li se zakleo njihovim očima da nećeš zatrti njihovu djecu? Nisi Ii rekao Abrahamu: Kunem se samim sobom (Post 22,16)? Što </w:t>
      </w:r>
      <w:r>
        <w:rPr>
          <w:rFonts w:ascii="Times New Roman" w:eastAsia="Times New Roman" w:hAnsi="Times New Roman" w:cs="Times New Roman"/>
          <w:color w:val="000000"/>
          <w:spacing w:val="0"/>
          <w:w w:val="100"/>
          <w:position w:val="0"/>
          <w:shd w:val="clear" w:color="auto" w:fill="auto"/>
          <w:lang w:val="hr-HR" w:eastAsia="hr-HR" w:bidi="hr-HR"/>
        </w:rPr>
        <w:t>znači: Kunem se samim sobom? Bog je rekao Abrahamu: Kako ja živim i postojim za sve vijeke vjekova, onda i moja zakletva vrijedi za sve vijeke vjekova!« (Šcmot raba XL1V,32,13, usp. b Berahot 32a). Ovaj svijet stvoren je radi Izraela (Pesikta raba 287135a/); Vajikra raba XXXVI, 2642; Šir ha-širim VII,3); stoga je Izraelu bilo još bolnije što je bio izvrgnut sili drugih naroda i što je ovaj svijet za n. B. mo</w:t>
        <w:softHyphen/>
        <w:t>rao postati sužanjstvom (Šir ha-širim 1,5; Me</w:t>
        <w:softHyphen/>
        <w:t>hilta Izl 15,1; Pesikta 110b). On se naviknuo da povijest svojeg izabranja prihvati kao povi</w:t>
        <w:softHyphen/>
        <w:t>jest svoje odluke za Boga, koja je stoga povi</w:t>
        <w:softHyphen/>
        <w:t>jest puna patnje (Berešit raba IX,1,31), pa je od onoga koji samo trpi bol postao onaj koji pati, kako je to jedan mudrac formulirao: »Ja sam čovjek koji se naviknuo podnositi bol; uvijek sam mislio: osudi me kako ti drago!« No jedan je drugi učitelj dodao: »On me je učinio jakim kako bih mogao u svemu (pat</w:t>
        <w:softHyphen/>
        <w:t>njama) ustrajati« (Eha rabati 111,1).</w:t>
      </w:r>
    </w:p>
    <w:p>
      <w:pPr>
        <w:pStyle w:val="Style20"/>
        <w:keepNext w:val="0"/>
        <w:keepLines w:val="0"/>
        <w:widowControl w:val="0"/>
        <w:shd w:val="clear" w:color="auto" w:fill="auto"/>
        <w:bidi w:val="0"/>
        <w:spacing w:before="0" w:after="0"/>
        <w:ind w:left="0" w:right="0" w:firstLine="0"/>
        <w:jc w:val="both"/>
        <w:sectPr>
          <w:headerReference w:type="default" r:id="rId917"/>
          <w:footerReference w:type="default" r:id="rId918"/>
          <w:headerReference w:type="even" r:id="rId919"/>
          <w:footerReference w:type="even" r:id="rId920"/>
          <w:footnotePr>
            <w:pos w:val="pageBottom"/>
            <w:numFmt w:val="decimal"/>
            <w:numRestart w:val="continuous"/>
            <w15:footnoteColumns w:val="1"/>
          </w:footnotePr>
          <w:pgSz w:w="6816" w:h="11006"/>
          <w:pgMar w:top="1013" w:left="206" w:right="207" w:bottom="493" w:header="0" w:footer="65" w:gutter="0"/>
          <w:pgNumType w:start="307"/>
          <w:cols w:num="2" w:space="21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Iako je svaki Izraelac dužan djelovati za Boga i njegovu Toru (M Avot 11,8.15 i d.; b Menahot 99b;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99b;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11,45; 19,36; 22,33; 25,38), svi Izraelci ostaju Božja djeca bez obzira na svoj stav prema Bogu (b Kidušin 36a; Hagiga 5b; Baba Batra 10a; Joma 56b;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4a), i sudjeluju u nadi naroda Božjeg: »Sav Izrael sudionik je budućega svi</w:t>
        <w:softHyphen/>
        <w:t xml:space="preserve">jeta«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Pobožni Židovi u molitvama svakodnevno ispovijedaju ljubav Božju prema njegovu izabranom narodu i Iz- raelovu ljubav prema Bogu u II. blagoslovu koji pripada u </w:t>
      </w:r>
      <w:r>
        <w:rPr>
          <w:rFonts w:ascii="Times New Roman" w:eastAsia="Times New Roman" w:hAnsi="Times New Roman" w:cs="Times New Roman"/>
          <w:i/>
          <w:iCs/>
          <w:color w:val="000000"/>
          <w:spacing w:val="0"/>
          <w:w w:val="100"/>
          <w:position w:val="0"/>
          <w:shd w:val="clear" w:color="auto" w:fill="auto"/>
          <w:lang w:val="hr-HR" w:eastAsia="hr-HR" w:bidi="hr-HR"/>
        </w:rPr>
        <w:t>berahot</w:t>
      </w:r>
      <w:r>
        <w:rPr>
          <w:rFonts w:ascii="Times New Roman" w:eastAsia="Times New Roman" w:hAnsi="Times New Roman" w:cs="Times New Roman"/>
          <w:color w:val="000000"/>
          <w:spacing w:val="0"/>
          <w:w w:val="100"/>
          <w:position w:val="0"/>
          <w:shd w:val="clear" w:color="auto" w:fill="auto"/>
          <w:lang w:val="hr-HR" w:eastAsia="hr-HR" w:bidi="hr-HR"/>
        </w:rPr>
        <w:t xml:space="preserve"> za odlomke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Sema: </w:t>
      </w:r>
      <w:r>
        <w:rPr>
          <w:rFonts w:ascii="Times New Roman" w:eastAsia="Times New Roman" w:hAnsi="Times New Roman" w:cs="Times New Roman"/>
          <w:color w:val="000000"/>
          <w:spacing w:val="0"/>
          <w:w w:val="100"/>
          <w:position w:val="0"/>
          <w:shd w:val="clear" w:color="auto" w:fill="auto"/>
          <w:lang w:val="hr-HR" w:eastAsia="hr-HR" w:bidi="hr-HR"/>
        </w:rPr>
        <w:t>»Ljubio si nas bogatom ljubavlju... Jer Ti si Bog koji daješ pomoć, i nas si izabrao mimo sve narode i jezike i približio nas svojem ve</w:t>
        <w:softHyphen/>
        <w:t xml:space="preserve">likom Imenu, </w:t>
      </w:r>
      <w:r>
        <w:rPr>
          <w:rFonts w:ascii="Times New Roman" w:eastAsia="Times New Roman" w:hAnsi="Times New Roman" w:cs="Times New Roman"/>
          <w:i/>
          <w:iCs/>
          <w:color w:val="000000"/>
          <w:spacing w:val="0"/>
          <w:w w:val="100"/>
          <w:position w:val="0"/>
          <w:shd w:val="clear" w:color="auto" w:fill="auto"/>
          <w:lang w:val="hr-HR" w:eastAsia="hr-HR" w:bidi="hr-HR"/>
        </w:rPr>
        <w:t>sela!,</w:t>
      </w:r>
      <w:r>
        <w:rPr>
          <w:rFonts w:ascii="Times New Roman" w:eastAsia="Times New Roman" w:hAnsi="Times New Roman" w:cs="Times New Roman"/>
          <w:color w:val="000000"/>
          <w:spacing w:val="0"/>
          <w:w w:val="100"/>
          <w:position w:val="0"/>
          <w:shd w:val="clear" w:color="auto" w:fill="auto"/>
          <w:lang w:val="hr-HR" w:eastAsia="hr-HR" w:bidi="hr-HR"/>
        </w:rPr>
        <w:t xml:space="preserve"> uistinu, kako bismo te sla</w:t>
        <w:softHyphen/>
        <w:t>vili i ispovijedali tvoje jedinstvo u ljubavi. Bla</w:t>
        <w:softHyphen/>
        <w:t>goslovljen bio, ti, Vječni, koji svoj narod iz</w:t>
        <w:softHyphen/>
        <w:t xml:space="preserve">abra u ljubavi« (jutarnja molitva, usp. Berahot </w:t>
      </w:r>
      <w:r>
        <w:rPr>
          <w:rFonts w:ascii="Times New Roman" w:eastAsia="Times New Roman" w:hAnsi="Times New Roman" w:cs="Times New Roman"/>
          <w:color w:val="000000"/>
          <w:spacing w:val="0"/>
          <w:w w:val="100"/>
          <w:position w:val="0"/>
          <w:shd w:val="clear" w:color="auto" w:fill="auto"/>
          <w:lang w:val="en-US" w:eastAsia="en-US" w:bidi="en-US"/>
        </w:rPr>
        <w:t xml:space="preserve">lib). Martin Buber </w:t>
      </w:r>
      <w:r>
        <w:rPr>
          <w:rFonts w:ascii="Times New Roman" w:eastAsia="Times New Roman" w:hAnsi="Times New Roman" w:cs="Times New Roman"/>
          <w:color w:val="000000"/>
          <w:spacing w:val="0"/>
          <w:w w:val="100"/>
          <w:position w:val="0"/>
          <w:shd w:val="clear" w:color="auto" w:fill="auto"/>
          <w:lang w:val="hr-HR" w:eastAsia="hr-HR" w:bidi="hr-HR"/>
        </w:rPr>
        <w:t>izrazio je 14. siječnja 1933. svoje uvjerenje u dijalogu s Karlom Ludsvi- gom Schmidtom, stručnjakom za Novi zavjet iz Basela: »Ali, mi Izraelci poznajemo Izrael u dušu, u tami znanja koje dolazi iznutra, u svjetlu znanja koje dolazi iznutra. Znamo i drugo o Izraelu. Znamo... da mi, koji smo ti- sućustruko griješili prema Bogu, tisućustruko otpadali od Boga, mi koji smo tisućljećima iskusili tu sudbinu koju nam je dao Bog - zvati to kaznom, blago je, to je nešto veće od kazne</w:t>
      </w:r>
    </w:p>
    <w:p>
      <w:pPr>
        <w:pStyle w:val="Style20"/>
        <w:keepNext w:val="0"/>
        <w:keepLines w:val="0"/>
        <w:widowControl w:val="0"/>
        <w:numPr>
          <w:ilvl w:val="0"/>
          <w:numId w:val="343"/>
        </w:numPr>
        <w:shd w:val="clear" w:color="auto" w:fill="auto"/>
        <w:tabs>
          <w:tab w:pos="222" w:val="left"/>
        </w:tabs>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znamo da ipak nismo odbačeni«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Stunde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Erkenntnis. Reden </w:t>
      </w:r>
      <w:r>
        <w:rPr>
          <w:rFonts w:ascii="Times New Roman" w:eastAsia="Times New Roman" w:hAnsi="Times New Roman" w:cs="Times New Roman"/>
          <w:i/>
          <w:iCs/>
          <w:color w:val="000000"/>
          <w:spacing w:val="0"/>
          <w:w w:val="100"/>
          <w:position w:val="0"/>
          <w:shd w:val="clear" w:color="auto" w:fill="auto"/>
          <w:lang w:val="hr-HR" w:eastAsia="hr-HR" w:bidi="hr-HR"/>
        </w:rPr>
        <w:t>undAuf- satze,</w:t>
      </w:r>
      <w:r>
        <w:rPr>
          <w:rFonts w:ascii="Times New Roman" w:eastAsia="Times New Roman" w:hAnsi="Times New Roman" w:cs="Times New Roman"/>
          <w:color w:val="000000"/>
          <w:spacing w:val="0"/>
          <w:w w:val="100"/>
          <w:position w:val="0"/>
          <w:shd w:val="clear" w:color="auto" w:fill="auto"/>
          <w:lang w:val="hr-HR" w:eastAsia="hr-HR" w:bidi="hr-HR"/>
        </w:rPr>
        <w:t xml:space="preserve"> 1933-35, 1936, 149).</w:t>
      </w:r>
    </w:p>
    <w:p>
      <w:pPr>
        <w:pStyle w:val="Style56"/>
        <w:keepNext w:val="0"/>
        <w:keepLines w:val="0"/>
        <w:widowControl w:val="0"/>
        <w:shd w:val="clear" w:color="auto" w:fill="auto"/>
        <w:tabs>
          <w:tab w:pos="2453" w:val="left"/>
        </w:tabs>
        <w:bidi w:val="0"/>
        <w:spacing w:before="0" w:after="200" w:line="240" w:lineRule="auto"/>
        <w:ind w:left="0" w:right="0" w:firstLine="0"/>
        <w:jc w:val="both"/>
      </w:pPr>
      <w:r>
        <w:rPr>
          <w:color w:val="000000"/>
          <w:spacing w:val="0"/>
          <w:w w:val="100"/>
          <w:position w:val="0"/>
          <w:shd w:val="clear" w:color="auto" w:fill="auto"/>
          <w:lang w:val="hr-HR" w:eastAsia="hr-HR" w:bidi="hr-HR"/>
        </w:rPr>
        <w:t xml:space="preserve">Lit.: M. Bubcr, </w:t>
      </w:r>
      <w:r>
        <w:rPr>
          <w:i/>
          <w:iCs/>
          <w:color w:val="000000"/>
          <w:spacing w:val="0"/>
          <w:w w:val="100"/>
          <w:position w:val="0"/>
          <w:shd w:val="clear" w:color="auto" w:fill="auto"/>
          <w:lang w:val="hr-HR" w:eastAsia="hr-HR" w:bidi="hr-HR"/>
        </w:rPr>
        <w:t xml:space="preserve">Kampf um </w:t>
      </w:r>
      <w:r>
        <w:rPr>
          <w:i/>
          <w:iCs/>
          <w:color w:val="000000"/>
          <w:spacing w:val="0"/>
          <w:w w:val="100"/>
          <w:position w:val="0"/>
          <w:shd w:val="clear" w:color="auto" w:fill="auto"/>
        </w:rPr>
        <w:t xml:space="preserve">Israel, Reden </w:t>
      </w:r>
      <w:r>
        <w:rPr>
          <w:i/>
          <w:iCs/>
          <w:color w:val="000000"/>
          <w:spacing w:val="0"/>
          <w:w w:val="100"/>
          <w:position w:val="0"/>
          <w:shd w:val="clear" w:color="auto" w:fill="auto"/>
          <w:lang w:val="hr-HR" w:eastAsia="hr-HR" w:bidi="hr-HR"/>
        </w:rPr>
        <w:t xml:space="preserve">und Schriften, </w:t>
      </w:r>
      <w:r>
        <w:rPr>
          <w:color w:val="000000"/>
          <w:spacing w:val="0"/>
          <w:w w:val="100"/>
          <w:position w:val="0"/>
          <w:shd w:val="clear" w:color="auto" w:fill="auto"/>
          <w:lang w:val="hr-HR" w:eastAsia="hr-HR" w:bidi="hr-HR"/>
        </w:rPr>
        <w:t xml:space="preserve">1921-32, 1933, 225 i d.; isti. </w:t>
      </w:r>
      <w:r>
        <w:rPr>
          <w:i/>
          <w:iCs/>
          <w:color w:val="000000"/>
          <w:spacing w:val="0"/>
          <w:w w:val="100"/>
          <w:position w:val="0"/>
          <w:shd w:val="clear" w:color="auto" w:fill="auto"/>
        </w:rPr>
        <w:t>Moses,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*1966, 38 i d.. 126,159 i d.; L Bacck,Doj </w:t>
      </w:r>
      <w:r>
        <w:rPr>
          <w:i/>
          <w:iCs/>
          <w:color w:val="000000"/>
          <w:spacing w:val="0"/>
          <w:w w:val="100"/>
          <w:position w:val="0"/>
          <w:shd w:val="clear" w:color="auto" w:fill="auto"/>
        </w:rPr>
        <w:t xml:space="preserve">Wesen des </w:t>
      </w:r>
      <w:r>
        <w:rPr>
          <w:i/>
          <w:iCs/>
          <w:color w:val="000000"/>
          <w:spacing w:val="0"/>
          <w:w w:val="100"/>
          <w:position w:val="0"/>
          <w:shd w:val="clear" w:color="auto" w:fill="auto"/>
          <w:lang w:val="hr-HR" w:eastAsia="hr-HR" w:bidi="hr-HR"/>
        </w:rPr>
        <w:t>Judentums,</w:t>
      </w:r>
      <w:r>
        <w:rPr>
          <w:color w:val="000000"/>
          <w:spacing w:val="0"/>
          <w:w w:val="100"/>
          <w:position w:val="0"/>
          <w:shd w:val="clear" w:color="auto" w:fill="auto"/>
          <w:lang w:val="hr-HR" w:eastAsia="hr-HR" w:bidi="hr-HR"/>
        </w:rPr>
        <w:t xml:space="preserve"> 1905, °1966, 59 i d., 71 i d.» 15 i d., 291 i d.; E. </w:t>
      </w:r>
      <w:r>
        <w:rPr>
          <w:color w:val="000000"/>
          <w:spacing w:val="0"/>
          <w:w w:val="100"/>
          <w:position w:val="0"/>
          <w:shd w:val="clear" w:color="auto" w:fill="auto"/>
        </w:rPr>
        <w:t xml:space="preserve">Simon, </w:t>
      </w:r>
      <w:r>
        <w:rPr>
          <w:i/>
          <w:iCs/>
          <w:color w:val="000000"/>
          <w:spacing w:val="0"/>
          <w:w w:val="100"/>
          <w:position w:val="0"/>
          <w:shd w:val="clear" w:color="auto" w:fill="auto"/>
          <w:lang w:val="hr-HR" w:eastAsia="hr-HR" w:bidi="hr-HR"/>
        </w:rPr>
        <w:t>Enischeidung zumJuden- tum,</w:t>
      </w:r>
      <w:r>
        <w:rPr>
          <w:color w:val="000000"/>
          <w:spacing w:val="0"/>
          <w:w w:val="100"/>
          <w:position w:val="0"/>
          <w:shd w:val="clear" w:color="auto" w:fill="auto"/>
          <w:lang w:val="hr-HR" w:eastAsia="hr-HR" w:bidi="hr-HR"/>
        </w:rPr>
        <w:t xml:space="preserve"> 1980, 75-99.</w:t>
        <w:tab/>
        <w:t>D VETFER</w:t>
      </w:r>
    </w:p>
    <w:p>
      <w:pPr>
        <w:pStyle w:val="Style63"/>
        <w:keepNext/>
        <w:keepLines/>
        <w:widowControl w:val="0"/>
        <w:numPr>
          <w:ilvl w:val="0"/>
          <w:numId w:val="341"/>
        </w:numPr>
        <w:shd w:val="clear" w:color="auto" w:fill="auto"/>
        <w:tabs>
          <w:tab w:pos="260" w:val="left"/>
        </w:tabs>
        <w:bidi w:val="0"/>
        <w:spacing w:before="0" w:after="80"/>
        <w:ind w:left="0" w:right="0" w:firstLine="0"/>
        <w:jc w:val="both"/>
      </w:pPr>
      <w:bookmarkStart w:id="212" w:name="bookmark21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1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Iako su kršćani u NZ nazvani »svetim pukom, narodom određenim za Božju svojinu«, dakle, »Božjim narodom« (1 Pt 2,9-10) i neki crkve</w:t>
        <w:softHyphen/>
        <w:t>ni oci govore o njima kao o tcrtium gens, ‘tre</w:t>
        <w:softHyphen/>
        <w:t>ćem narodu' uz Židove i pogane, pojam Božjeg naroda kao oznake za Crkvu u današ</w:t>
        <w:softHyphen/>
        <w:t>njoj teologiji razmjerno je nov. Tek u zavje</w:t>
        <w:softHyphen/>
        <w:t>trini ponovnog otkrića velike teme o »kraljev</w:t>
        <w:softHyphen/>
        <w:t>stvu Božjem« na prijelazu XIX. u XX. stoljeće bila je protumačena važnost te oznake. U teo</w:t>
        <w:softHyphen/>
        <w:t>logiji ekumenskog pokreta bila je prihvaćena kao temelj ekleziologije na ekumenskom su</w:t>
        <w:softHyphen/>
        <w:t xml:space="preserve">sretu u Lundu (1952), ali unatoč polazištima u Tiibingcnškoj školi i kod </w:t>
      </w:r>
      <w:r>
        <w:rPr>
          <w:rFonts w:ascii="Times New Roman" w:eastAsia="Times New Roman" w:hAnsi="Times New Roman" w:cs="Times New Roman"/>
          <w:color w:val="000000"/>
          <w:spacing w:val="0"/>
          <w:w w:val="100"/>
          <w:position w:val="0"/>
          <w:shd w:val="clear" w:color="auto" w:fill="auto"/>
          <w:lang w:val="en-US" w:eastAsia="en-US" w:bidi="en-US"/>
        </w:rPr>
        <w:t xml:space="preserve">Newmanna </w:t>
      </w:r>
      <w:r>
        <w:rPr>
          <w:rFonts w:ascii="Times New Roman" w:eastAsia="Times New Roman" w:hAnsi="Times New Roman" w:cs="Times New Roman"/>
          <w:color w:val="000000"/>
          <w:spacing w:val="0"/>
          <w:w w:val="100"/>
          <w:position w:val="0"/>
          <w:shd w:val="clear" w:color="auto" w:fill="auto"/>
          <w:lang w:val="hr-HR" w:eastAsia="hr-HR" w:bidi="hr-HR"/>
        </w:rPr>
        <w:t>bila je potisnuta u katoličkoj teologiji izrazom ‘Tijelo Kristovo’. Na Drugom vatikanskom koncilu ipak je pojam Božjeg naroda postao jednim udarcem strukturalno polazište i sadržajan te</w:t>
        <w:softHyphen/>
        <w:t>melj čitave ekleziologije, što je dovelo do po</w:t>
        <w:softHyphen/>
        <w:t>kreta obnove iznutra kao i do otvaranja pre</w:t>
        <w:softHyphen/>
        <w:t>ma van (usp. LG 9,13).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ipak, pojam Božjeg naroda u današnjoj krš</w:t>
        <w:softHyphen/>
        <w:t xml:space="preserve">ćanskoj uporabi sadrži stanovitu dvoznačnost. Crkva običava govoriti o sebi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novom </w:t>
      </w:r>
      <w:r>
        <w:rPr>
          <w:rFonts w:ascii="Times New Roman" w:eastAsia="Times New Roman" w:hAnsi="Times New Roman" w:cs="Times New Roman"/>
          <w:color w:val="000000"/>
          <w:spacing w:val="0"/>
          <w:w w:val="100"/>
          <w:position w:val="0"/>
          <w:shd w:val="clear" w:color="auto" w:fill="auto"/>
          <w:lang w:val="hr-HR" w:eastAsia="hr-HR" w:bidi="hr-HR"/>
        </w:rPr>
        <w:t xml:space="preserve">Božjem narodu, pozivajući se na </w:t>
      </w:r>
      <w:r>
        <w:rPr>
          <w:rFonts w:ascii="Times New Roman" w:eastAsia="Times New Roman" w:hAnsi="Times New Roman" w:cs="Times New Roman"/>
          <w:i/>
          <w:iCs/>
          <w:color w:val="000000"/>
          <w:spacing w:val="0"/>
          <w:w w:val="100"/>
          <w:position w:val="0"/>
          <w:shd w:val="clear" w:color="auto" w:fill="auto"/>
          <w:lang w:val="hr-HR" w:eastAsia="hr-HR" w:bidi="hr-HR"/>
        </w:rPr>
        <w:t>novi</w:t>
      </w:r>
      <w:r>
        <w:rPr>
          <w:rFonts w:ascii="Times New Roman" w:eastAsia="Times New Roman" w:hAnsi="Times New Roman" w:cs="Times New Roman"/>
          <w:color w:val="000000"/>
          <w:spacing w:val="0"/>
          <w:w w:val="100"/>
          <w:position w:val="0"/>
          <w:shd w:val="clear" w:color="auto" w:fill="auto"/>
          <w:lang w:val="hr-HR" w:eastAsia="hr-HR" w:bidi="hr-HR"/>
        </w:rPr>
        <w:t xml:space="preserve"> Savez na temelju NZ. No, nerazjašnjeno je odakle se izvodi taj nemali zahtjev. Prvi su kršćani bili Židovi i shvaćali su se kao takvi; tek odluka o misiji za pogane i priključenje uz Rimsko Car</w:t>
        <w:softHyphen/>
        <w:t>stvo dalo im je povoda da prenesu stare ozna</w:t>
        <w:softHyphen/>
        <w:t>ke izraelskog naroda na Crkvu. Da su oni u svakom slučaju sebe povezali samo uz pozitiv</w:t>
        <w:softHyphen/>
        <w:t>ne slike i izreke dok su negativne - s njihovim čitavim potencijalom samokritike i poniznosti</w:t>
      </w:r>
    </w:p>
    <w:p>
      <w:pPr>
        <w:pStyle w:val="Style20"/>
        <w:keepNext w:val="0"/>
        <w:keepLines w:val="0"/>
        <w:widowControl w:val="0"/>
        <w:numPr>
          <w:ilvl w:val="0"/>
          <w:numId w:val="343"/>
        </w:numPr>
        <w:shd w:val="clear" w:color="auto" w:fill="auto"/>
        <w:tabs>
          <w:tab w:pos="21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primjenjivali na Židove, svjedoči o izvornoj i dubokoj krizi identiteta ranih kršćana.</w:t>
      </w:r>
    </w:p>
    <w:p>
      <w:pPr>
        <w:pStyle w:val="Style20"/>
        <w:keepNext w:val="0"/>
        <w:keepLines w:val="0"/>
        <w:widowControl w:val="0"/>
        <w:shd w:val="clear" w:color="auto" w:fill="auto"/>
        <w:bidi w:val="0"/>
        <w:spacing w:before="0" w:after="0" w:line="30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Povijest Crkve sa Židovima, obilježena progo</w:t>
        <w:softHyphen/>
        <w:t>nima i klevetama, pokazuje da ona nije ni</w:t>
        <w:softHyphen/>
        <w:t>kada na zadovoljavajući način razradila tu kri</w:t>
        <w:softHyphen/>
        <w:t>zu identiteta unatoč Pavlovim naporima da izađe na kraj sa sudbinom svoga naroda ko</w:t>
        <w:softHyphen/>
        <w:t xml:space="preserve">jem »pripada: posinjenje i Slava, savezi ...« i 3(14 </w:t>
      </w:r>
      <w:r>
        <w:rPr>
          <w:rFonts w:ascii="Times New Roman" w:eastAsia="Times New Roman" w:hAnsi="Times New Roman" w:cs="Times New Roman"/>
          <w:color w:val="000000"/>
          <w:spacing w:val="0"/>
          <w:w w:val="100"/>
          <w:position w:val="0"/>
          <w:shd w:val="clear" w:color="auto" w:fill="auto"/>
          <w:lang w:val="hr-HR" w:eastAsia="hr-HR" w:bidi="hr-HR"/>
        </w:rPr>
        <w:t>od kojega »potječe Krist po tijelu« (Rim 9, 4-5). Umjesto toga Crkva se naviknula govori</w:t>
        <w:softHyphen/>
        <w:t>ti o sebi kao ‘novom’, ‘istinitom’ i konačno ‘je</w:t>
        <w:softHyphen/>
        <w:t>dinom’ Božjem narodu. Kako pojam Božjeg naroda u svom početnom značenju saveza izraelskog naroda koji se bori sa ‘svojim’ Bo</w:t>
        <w:softHyphen/>
        <w:t xml:space="preserve">gom, saveza koji vapijući Ocu i primajući od njega objavu ostaje ukorijenjen ‘uz </w:t>
      </w:r>
      <w:r>
        <w:rPr>
          <w:rFonts w:ascii="Times New Roman" w:eastAsia="Times New Roman" w:hAnsi="Times New Roman" w:cs="Times New Roman"/>
          <w:color w:val="000000"/>
          <w:spacing w:val="0"/>
          <w:w w:val="100"/>
          <w:position w:val="0"/>
          <w:shd w:val="clear" w:color="auto" w:fill="auto"/>
          <w:lang w:val="en-US" w:eastAsia="en-US" w:bidi="en-US"/>
        </w:rPr>
        <w:t xml:space="preserve">JHWH’ </w:t>
      </w:r>
      <w:r>
        <w:rPr>
          <w:rFonts w:ascii="Times New Roman" w:eastAsia="Times New Roman" w:hAnsi="Times New Roman" w:cs="Times New Roman"/>
          <w:color w:val="000000"/>
          <w:spacing w:val="0"/>
          <w:w w:val="100"/>
          <w:position w:val="0"/>
          <w:shd w:val="clear" w:color="auto" w:fill="auto"/>
          <w:lang w:val="hr-HR" w:eastAsia="hr-HR" w:bidi="hr-HR"/>
        </w:rPr>
        <w:t>(Božju obitelj), njemu svojstvena partikular</w:t>
        <w:softHyphen/>
        <w:t>nost podnosi se loše, kao što se može zamisli</w:t>
        <w:softHyphen/>
        <w:t>ti, s tobožnjom univerzalnošću rimske ideolo</w:t>
        <w:softHyphen/>
        <w:t>gije o carstvu. Pokušaji današnjih teologa da prošire pojam Božjeg naroda na čitavo čovje</w:t>
        <w:softHyphen/>
        <w:t>čanstvo, više prikrivaju tu unutarnju proturječ</w:t>
        <w:softHyphen/>
        <w:t>nost nego što je privode njezinu rješenju.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Pa ipak, unatoč povijesnom nijekanju Židova, Crkva nije nikada išla tako daleko da ustvrdi kako su obećanja Izraelu poništena. </w:t>
      </w:r>
      <w:r>
        <w:rPr>
          <w:rFonts w:ascii="Times New Roman" w:eastAsia="Times New Roman" w:hAnsi="Times New Roman" w:cs="Times New Roman"/>
          <w:i/>
          <w:iCs/>
          <w:color w:val="000000"/>
          <w:spacing w:val="0"/>
          <w:w w:val="100"/>
          <w:position w:val="0"/>
          <w:shd w:val="clear" w:color="auto" w:fill="auto"/>
          <w:lang w:val="hr-HR" w:eastAsia="hr-HR" w:bidi="hr-HR"/>
        </w:rPr>
        <w:t>Za</w:t>
      </w:r>
      <w:r>
        <w:rPr>
          <w:rFonts w:ascii="Times New Roman" w:eastAsia="Times New Roman" w:hAnsi="Times New Roman" w:cs="Times New Roman"/>
          <w:color w:val="000000"/>
          <w:spacing w:val="0"/>
          <w:w w:val="100"/>
          <w:position w:val="0"/>
          <w:shd w:val="clear" w:color="auto" w:fill="auto"/>
          <w:lang w:val="hr-HR" w:eastAsia="hr-HR" w:bidi="hr-HR"/>
        </w:rPr>
        <w:t xml:space="preserve"> Izrael ona još uvijek vrijede, ali sada </w:t>
      </w:r>
      <w:r>
        <w:rPr>
          <w:rFonts w:ascii="Times New Roman" w:eastAsia="Times New Roman" w:hAnsi="Times New Roman" w:cs="Times New Roman"/>
          <w:i/>
          <w:iCs/>
          <w:color w:val="000000"/>
          <w:spacing w:val="0"/>
          <w:w w:val="100"/>
          <w:position w:val="0"/>
          <w:shd w:val="clear" w:color="auto" w:fill="auto"/>
          <w:lang w:val="hr-HR" w:eastAsia="hr-HR" w:bidi="hr-HR"/>
        </w:rPr>
        <w:t>preko</w:t>
      </w:r>
      <w:r>
        <w:rPr>
          <w:rFonts w:ascii="Times New Roman" w:eastAsia="Times New Roman" w:hAnsi="Times New Roman" w:cs="Times New Roman"/>
          <w:color w:val="000000"/>
          <w:spacing w:val="0"/>
          <w:w w:val="100"/>
          <w:position w:val="0"/>
          <w:shd w:val="clear" w:color="auto" w:fill="auto"/>
          <w:lang w:val="hr-HR" w:eastAsia="hr-HR" w:bidi="hr-HR"/>
        </w:rPr>
        <w:t xml:space="preserve"> Crkve. To načelo nipošto ne prisiljava teologiju da pri</w:t>
        <w:softHyphen/>
        <w:t>hvati ‘uvrštavanje’ Crkve kao ‘drugoga Božjeg naroda’ umjesto Izraela. Takva gledišta više potiskuju izvornu jedinstvenost i univerzal</w:t>
        <w:softHyphen/>
        <w:t>nost objave i obećanja koje se ne smiju napus</w:t>
        <w:softHyphen/>
        <w:t>titi. Na tom se temelju ipak može zamisliti paralelno ‘nastavljanje povijesti Saveza’ (R. Ruether) u obliku ‘ispunjenog mesijanizma’ (G. Baum) koji zdravo relativizira svaki previ</w:t>
        <w:softHyphen/>
        <w:t>sok zahtjev da se kraljevstvo Božje izjednači s Božjim narodom na zemlji. Sjećajući se Pav</w:t>
        <w:softHyphen/>
        <w:t>lova upozorenja: »ne nosiš ti korijen, nego ko</w:t>
        <w:softHyphen/>
        <w:t xml:space="preserve">rijen tebe!« (Rim 11,18) i da Krist »uništi Zakon zapovijedi s njegovim odredbama, da od dvaju naroda stvori, u sebi, jednoga novog čovjeka« (Ef 2,15), Crkva se smije nadati kao »mesijanski narod ... ipak je za sav ljudski rod jaka klica jedinstva, ufanja i spasenja« (LG 9).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je narod bio izabran da </w:t>
      </w:r>
      <w:r>
        <w:rPr>
          <w:rFonts w:ascii="Times New Roman" w:eastAsia="Times New Roman" w:hAnsi="Times New Roman" w:cs="Times New Roman"/>
          <w:i/>
          <w:iCs/>
          <w:color w:val="000000"/>
          <w:spacing w:val="0"/>
          <w:w w:val="100"/>
          <w:position w:val="0"/>
          <w:shd w:val="clear" w:color="auto" w:fill="auto"/>
          <w:lang w:val="hr-HR" w:eastAsia="hr-HR" w:bidi="hr-HR"/>
        </w:rPr>
        <w:t>svima</w:t>
      </w:r>
      <w:r>
        <w:rPr>
          <w:rFonts w:ascii="Times New Roman" w:eastAsia="Times New Roman" w:hAnsi="Times New Roman" w:cs="Times New Roman"/>
          <w:color w:val="000000"/>
          <w:spacing w:val="0"/>
          <w:w w:val="100"/>
          <w:position w:val="0"/>
          <w:shd w:val="clear" w:color="auto" w:fill="auto"/>
          <w:lang w:val="hr-HR" w:eastAsia="hr-HR" w:bidi="hr-HR"/>
        </w:rPr>
        <w:t xml:space="preserve"> posreduje otkupljenje. U povijesnom kontinuitetu s Iz</w:t>
        <w:softHyphen/>
        <w:t>raelom svijest da su kao n. B. izabrani, mogla bi za današnje kršćane predstavljati zajednički temelj razumijevanja sa Židovima i muslima</w:t>
        <w:softHyphen/>
        <w:t>nima kao zajednicama monoteističke vjere u objavu i tako pripremiti dijalog sa svim religi</w:t>
        <w:softHyphen/>
        <w:t>jama čovječanstva.</w:t>
      </w:r>
    </w:p>
    <w:p>
      <w:pPr>
        <w:pStyle w:val="Style20"/>
        <w:keepNext w:val="0"/>
        <w:keepLines w:val="0"/>
        <w:widowControl w:val="0"/>
        <w:shd w:val="clear" w:color="auto" w:fill="auto"/>
        <w:bidi w:val="0"/>
        <w:spacing w:before="0" w:after="0"/>
        <w:ind w:left="0" w:right="0" w:firstLine="0"/>
        <w:jc w:val="both"/>
        <w:sectPr>
          <w:headerReference w:type="default" r:id="rId921"/>
          <w:footerReference w:type="default" r:id="rId922"/>
          <w:headerReference w:type="even" r:id="rId923"/>
          <w:footerReference w:type="even" r:id="rId924"/>
          <w:footnotePr>
            <w:pos w:val="pageBottom"/>
            <w:numFmt w:val="decimal"/>
            <w:numRestart w:val="continuous"/>
            <w15:footnoteColumns w:val="1"/>
          </w:footnotePr>
          <w:pgSz w:w="6816" w:h="11006"/>
          <w:pgMar w:top="1034" w:left="187" w:right="187" w:bottom="79" w:header="0" w:footer="3" w:gutter="0"/>
          <w:cols w:num="2" w:space="20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Pa ipak, to će samo tada uspjeti ako se kršćani sjete svoje krivnje - u oba značenja te riječi - prema Židovima i pokušaju ponovo integri</w:t>
        <w:softHyphen/>
        <w:t>rati taj otkinuti dio svoje vlastite religiozne osobnosti. Daleko od toga da bi dovelo do oholosti ili uvelo novi prozelitizam, ovo sje</w:t>
        <w:softHyphen/>
        <w:t>ćanje na punu važnost označavanja Crkve kao</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Božjeg naroda moralo bi joj dati povoda da iznova posluša Pavlovu riječ: »Ne ponosi se više, nego se boj!« (Rim 11,20).</w:t>
      </w:r>
    </w:p>
    <w:p>
      <w:pPr>
        <w:pStyle w:val="Style56"/>
        <w:keepNext w:val="0"/>
        <w:keepLines w:val="0"/>
        <w:widowControl w:val="0"/>
        <w:shd w:val="clear" w:color="auto" w:fill="auto"/>
        <w:tabs>
          <w:tab w:pos="2628" w:val="left"/>
        </w:tabs>
        <w:bidi w:val="0"/>
        <w:spacing w:before="0" w:after="140" w:line="240" w:lineRule="auto"/>
        <w:ind w:left="0" w:right="0" w:firstLine="0"/>
        <w:jc w:val="both"/>
      </w:pPr>
      <w:r>
        <w:rPr>
          <w:color w:val="000000"/>
          <w:spacing w:val="0"/>
          <w:w w:val="100"/>
          <w:position w:val="0"/>
          <w:shd w:val="clear" w:color="auto" w:fill="auto"/>
        </w:rPr>
        <w:t xml:space="preserve">Lit.: W. Biihlmann, </w:t>
      </w:r>
      <w:r>
        <w:rPr>
          <w:i/>
          <w:iCs/>
          <w:color w:val="000000"/>
          <w:spacing w:val="0"/>
          <w:w w:val="100"/>
          <w:position w:val="0"/>
          <w:shd w:val="clear" w:color="auto" w:fill="auto"/>
        </w:rPr>
        <w:t xml:space="preserve">Wenn Gott </w:t>
      </w:r>
      <w:r>
        <w:rPr>
          <w:i/>
          <w:iCs/>
          <w:color w:val="000000"/>
          <w:spacing w:val="0"/>
          <w:w w:val="100"/>
          <w:position w:val="0"/>
          <w:shd w:val="clear" w:color="auto" w:fill="auto"/>
          <w:lang w:val="hr-HR" w:eastAsia="hr-HR" w:bidi="hr-HR"/>
        </w:rPr>
        <w:t xml:space="preserve">zu </w:t>
      </w:r>
      <w:r>
        <w:rPr>
          <w:i/>
          <w:iCs/>
          <w:color w:val="000000"/>
          <w:spacing w:val="0"/>
          <w:w w:val="100"/>
          <w:position w:val="0"/>
          <w:shd w:val="clear" w:color="auto" w:fill="auto"/>
        </w:rPr>
        <w:t xml:space="preserve">alien Menu-hen </w:t>
      </w:r>
      <w:r>
        <w:rPr>
          <w:i/>
          <w:iCs/>
          <w:color w:val="000000"/>
          <w:spacing w:val="0"/>
          <w:w w:val="100"/>
          <w:position w:val="0"/>
          <w:shd w:val="clear" w:color="auto" w:fill="auto"/>
          <w:lang w:val="hr-HR" w:eastAsia="hr-HR" w:bidi="hr-HR"/>
        </w:rPr>
        <w:t>geht. Fur eine neuc Etfah/ung der Ausertvahlung,</w:t>
      </w:r>
      <w:r>
        <w:rPr>
          <w:color w:val="000000"/>
          <w:spacing w:val="0"/>
          <w:w w:val="100"/>
          <w:position w:val="0"/>
          <w:shd w:val="clear" w:color="auto" w:fill="auto"/>
          <w:lang w:val="hr-HR" w:eastAsia="hr-HR" w:bidi="hr-HR"/>
        </w:rPr>
        <w:t xml:space="preserve"> l</w:t>
      </w:r>
      <w:r>
        <w:rPr>
          <w:color w:val="000000"/>
          <w:spacing w:val="0"/>
          <w:w w:val="100"/>
          <w:position w:val="0"/>
          <w:shd w:val="clear" w:color="auto" w:fill="auto"/>
          <w:vertAlign w:val="superscript"/>
          <w:lang w:val="hr-HR" w:eastAsia="hr-HR" w:bidi="hr-HR"/>
        </w:rPr>
        <w:t>;</w:t>
      </w:r>
      <w:r>
        <w:rPr>
          <w:color w:val="000000"/>
          <w:spacing w:val="0"/>
          <w:w w:val="100"/>
          <w:position w:val="0"/>
          <w:shd w:val="clear" w:color="auto" w:fill="auto"/>
          <w:lang w:val="hr-HR" w:eastAsia="hr-HR" w:bidi="hr-HR"/>
        </w:rPr>
        <w:t xml:space="preserve">rciburg/Bascl.Wicn 1981: M. </w:t>
      </w:r>
      <w:r>
        <w:rPr>
          <w:color w:val="000000"/>
          <w:spacing w:val="0"/>
          <w:w w:val="100"/>
          <w:position w:val="0"/>
          <w:shd w:val="clear" w:color="auto" w:fill="auto"/>
        </w:rPr>
        <w:t xml:space="preserve">Keller, </w:t>
      </w:r>
      <w:r>
        <w:rPr>
          <w:i/>
          <w:iCs/>
          <w:color w:val="000000"/>
          <w:spacing w:val="0"/>
          <w:w w:val="100"/>
          <w:position w:val="0"/>
          <w:shd w:val="clear" w:color="auto" w:fill="auto"/>
          <w:lang w:val="hr-HR" w:eastAsia="hr-HR" w:bidi="hr-HR"/>
        </w:rPr>
        <w:t>*Volk Gottes* als Kirchenbegriff. Eine Un- tersuehung zum ntueren Verstdndnis,</w:t>
      </w:r>
      <w:r>
        <w:rPr>
          <w:color w:val="000000"/>
          <w:spacing w:val="0"/>
          <w:w w:val="100"/>
          <w:position w:val="0"/>
          <w:shd w:val="clear" w:color="auto" w:fill="auto"/>
          <w:lang w:val="hr-HR" w:eastAsia="hr-HR" w:bidi="hr-HR"/>
        </w:rPr>
        <w:t xml:space="preserve"> Zurich/Einsicdeln/Koln 1970; J. Oestcrrcichcr, Untcr dem Bogcn des Einco Bun- des- </w:t>
      </w:r>
      <w:r>
        <w:rPr>
          <w:color w:val="000000"/>
          <w:spacing w:val="0"/>
          <w:w w:val="100"/>
          <w:position w:val="0"/>
          <w:shd w:val="clear" w:color="auto" w:fill="auto"/>
        </w:rPr>
        <w:t xml:space="preserve">Das Volk Cottes: seine Zwicgestalt </w:t>
      </w:r>
      <w:r>
        <w:rPr>
          <w:color w:val="000000"/>
          <w:spacing w:val="0"/>
          <w:w w:val="100"/>
          <w:position w:val="0"/>
          <w:shd w:val="clear" w:color="auto" w:fill="auto"/>
          <w:lang w:val="hr-HR" w:eastAsia="hr-HR" w:bidi="hr-HR"/>
        </w:rPr>
        <w:t xml:space="preserve">und Einhcit, u: C. </w:t>
      </w:r>
      <w:r>
        <w:rPr>
          <w:color w:val="000000"/>
          <w:spacing w:val="0"/>
          <w:w w:val="100"/>
          <w:position w:val="0"/>
          <w:shd w:val="clear" w:color="auto" w:fill="auto"/>
        </w:rPr>
        <w:t xml:space="preserve">Thoma </w:t>
      </w:r>
      <w:r>
        <w:rPr>
          <w:color w:val="000000"/>
          <w:spacing w:val="0"/>
          <w:w w:val="100"/>
          <w:position w:val="0"/>
          <w:shd w:val="clear" w:color="auto" w:fill="auto"/>
          <w:lang w:val="hr-HR" w:eastAsia="hr-HR" w:bidi="hr-HR"/>
        </w:rPr>
        <w:t xml:space="preserve">(Hrsg.J. </w:t>
      </w:r>
      <w:r>
        <w:rPr>
          <w:i/>
          <w:iCs/>
          <w:color w:val="000000"/>
          <w:spacing w:val="0"/>
          <w:w w:val="100"/>
          <w:position w:val="0"/>
          <w:shd w:val="clear" w:color="auto" w:fill="auto"/>
          <w:lang w:val="hr-HR" w:eastAsia="hr-HR" w:bidi="hr-HR"/>
        </w:rPr>
        <w:t>Judentum und Kirche: Volk Gottes,</w:t>
      </w:r>
      <w:r>
        <w:rPr>
          <w:color w:val="000000"/>
          <w:spacing w:val="0"/>
          <w:w w:val="100"/>
          <w:position w:val="0"/>
          <w:shd w:val="clear" w:color="auto" w:fill="auto"/>
          <w:lang w:val="hr-HR" w:eastAsia="hr-HR" w:bidi="hr-HR"/>
        </w:rPr>
        <w:t xml:space="preserve"> 7.u- rich/Einsicdcln/Kdln 1974, 27-69; R. Ructhcr, </w:t>
      </w:r>
      <w:r>
        <w:rPr>
          <w:i/>
          <w:iCs/>
          <w:color w:val="000000"/>
          <w:spacing w:val="0"/>
          <w:w w:val="100"/>
          <w:position w:val="0"/>
          <w:shd w:val="clear" w:color="auto" w:fill="auto"/>
          <w:lang w:val="hr-HR" w:eastAsia="hr-HR" w:bidi="hr-HR"/>
        </w:rPr>
        <w:t xml:space="preserve">Nachsten- liebe und Rrudermord. </w:t>
      </w:r>
      <w:r>
        <w:rPr>
          <w:i/>
          <w:iCs/>
          <w:color w:val="000000"/>
          <w:spacing w:val="0"/>
          <w:w w:val="100"/>
          <w:position w:val="0"/>
          <w:shd w:val="clear" w:color="auto" w:fill="auto"/>
        </w:rPr>
        <w:t xml:space="preserve">Die theologischen Wurzeln des Anti- </w:t>
      </w:r>
      <w:r>
        <w:rPr>
          <w:i/>
          <w:iCs/>
          <w:color w:val="000000"/>
          <w:spacing w:val="0"/>
          <w:w w:val="100"/>
          <w:position w:val="0"/>
          <w:shd w:val="clear" w:color="auto" w:fill="auto"/>
          <w:lang w:val="hr-HR" w:eastAsia="hr-HR" w:bidi="hr-HR"/>
        </w:rPr>
        <w:t>semitismus,</w:t>
      </w:r>
      <w:r>
        <w:rPr>
          <w:color w:val="000000"/>
          <w:spacing w:val="0"/>
          <w:w w:val="100"/>
          <w:position w:val="0"/>
          <w:shd w:val="clear" w:color="auto" w:fill="auto"/>
          <w:lang w:val="hr-HR" w:eastAsia="hr-HR" w:bidi="hr-HR"/>
        </w:rPr>
        <w:t xml:space="preserve"> mit cincm </w:t>
      </w:r>
      <w:r>
        <w:rPr>
          <w:color w:val="000000"/>
          <w:spacing w:val="0"/>
          <w:w w:val="100"/>
          <w:position w:val="0"/>
          <w:shd w:val="clear" w:color="auto" w:fill="auto"/>
        </w:rPr>
        <w:t xml:space="preserve">Vorwort von </w:t>
      </w:r>
      <w:r>
        <w:rPr>
          <w:color w:val="000000"/>
          <w:spacing w:val="0"/>
          <w:w w:val="100"/>
          <w:position w:val="0"/>
          <w:shd w:val="clear" w:color="auto" w:fill="auto"/>
          <w:lang w:val="hr-HR" w:eastAsia="hr-HR" w:bidi="hr-HR"/>
        </w:rPr>
        <w:t xml:space="preserve">G. </w:t>
      </w:r>
      <w:r>
        <w:rPr>
          <w:color w:val="000000"/>
          <w:spacing w:val="0"/>
          <w:w w:val="100"/>
          <w:position w:val="0"/>
          <w:shd w:val="clear" w:color="auto" w:fill="auto"/>
        </w:rPr>
        <w:t xml:space="preserve">Baum. </w:t>
      </w:r>
      <w:r>
        <w:rPr>
          <w:color w:val="000000"/>
          <w:spacing w:val="0"/>
          <w:w w:val="100"/>
          <w:position w:val="0"/>
          <w:shd w:val="clear" w:color="auto" w:fill="auto"/>
          <w:lang w:val="hr-HR" w:eastAsia="hr-HR" w:bidi="hr-HR"/>
        </w:rPr>
        <w:t>Miinchcn 1978.</w:t>
        <w:tab/>
      </w:r>
      <w:r>
        <w:rPr>
          <w:color w:val="000000"/>
          <w:spacing w:val="0"/>
          <w:w w:val="100"/>
          <w:position w:val="0"/>
          <w:shd w:val="clear" w:color="auto" w:fill="auto"/>
        </w:rPr>
        <w:t>J. MAY</w:t>
      </w:r>
    </w:p>
    <w:p>
      <w:pPr>
        <w:pStyle w:val="Style63"/>
        <w:keepNext/>
        <w:keepLines/>
        <w:widowControl w:val="0"/>
        <w:numPr>
          <w:ilvl w:val="0"/>
          <w:numId w:val="341"/>
        </w:numPr>
        <w:shd w:val="clear" w:color="auto" w:fill="auto"/>
        <w:tabs>
          <w:tab w:pos="265" w:val="left"/>
        </w:tabs>
        <w:bidi w:val="0"/>
        <w:spacing w:before="0" w:after="80"/>
        <w:ind w:left="0" w:right="0" w:firstLine="0"/>
        <w:jc w:val="both"/>
      </w:pPr>
      <w:bookmarkStart w:id="213" w:name="bookmark213"/>
      <w:r>
        <w:rPr>
          <w:rFonts w:ascii="Times New Roman" w:eastAsia="Times New Roman" w:hAnsi="Times New Roman" w:cs="Times New Roman"/>
          <w:color w:val="000000"/>
          <w:spacing w:val="0"/>
          <w:w w:val="100"/>
          <w:position w:val="0"/>
          <w:shd w:val="clear" w:color="auto" w:fill="auto"/>
          <w:lang w:val="hr-HR" w:eastAsia="hr-HR" w:bidi="hr-HR"/>
        </w:rPr>
        <w:t>islamski</w:t>
      </w:r>
      <w:bookmarkEnd w:id="213"/>
    </w:p>
    <w:p>
      <w:pPr>
        <w:pStyle w:val="Style20"/>
        <w:keepNext w:val="0"/>
        <w:keepLines w:val="0"/>
        <w:widowControl w:val="0"/>
        <w:shd w:val="clear" w:color="auto" w:fill="auto"/>
        <w:tabs>
          <w:tab w:pos="2628" w:val="left"/>
        </w:tabs>
        <w:bidi w:val="0"/>
        <w:spacing w:before="0" w:after="340" w:line="254"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Kuran </w:t>
      </w:r>
      <w:r>
        <w:rPr>
          <w:rFonts w:ascii="Times New Roman" w:eastAsia="Times New Roman" w:hAnsi="Times New Roman" w:cs="Times New Roman"/>
          <w:color w:val="000000"/>
          <w:spacing w:val="0"/>
          <w:w w:val="100"/>
          <w:position w:val="0"/>
          <w:sz w:val="15"/>
          <w:szCs w:val="15"/>
          <w:shd w:val="clear" w:color="auto" w:fill="auto"/>
          <w:lang w:val="hr-HR" w:eastAsia="hr-HR" w:bidi="hr-HR"/>
        </w:rPr>
        <w:t>doduše često i sasvim pozitivno govori o Izraelcima (Banu IsrS’il), no nikada kao o nekom narodu Božjem. Kuranski iskazi o na</w:t>
        <w:softHyphen/>
        <w:t>rodima općenito ne sadrže nikakva razlikova</w:t>
        <w:softHyphen/>
        <w:t>nja. Osnovna misao, kojom su ti iskazi nošeni, jest da su svi ljudi jednaki. Njihov je odnos prema Bogu odnos sluge prema njegovu go</w:t>
        <w:softHyphen/>
        <w:t xml:space="preserve">spodaru. Pred Bogom su jednaki i svi proroci. Prizvuk pojma n. B. ima jedan slih iz Kurana, u kojemu se kaže da je Bog učinio muslimane najboljom nacijom zato što »promiču dobro i bore se protiv zla«. Ta je krajnje pozitivna prosudba uvjetna. U jednom se drugom stihu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uma (umma:</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muslimanska —&gt; ekumena) vred</w:t>
        <w:softHyphen/>
        <w:t>nuje kao središnja zajednica, što joj po kuran- skome shvaćanju u svakom slučaju jamči po</w:t>
        <w:softHyphen/>
      </w:r>
      <w:r>
        <w:rPr>
          <w:rFonts w:ascii="Arial" w:eastAsia="Arial" w:hAnsi="Arial" w:cs="Arial"/>
          <w:color w:val="000000"/>
          <w:spacing w:val="0"/>
          <w:w w:val="100"/>
          <w:position w:val="0"/>
          <w:sz w:val="12"/>
          <w:szCs w:val="12"/>
          <w:shd w:val="clear" w:color="auto" w:fill="auto"/>
          <w:lang w:val="hr-HR" w:eastAsia="hr-HR" w:bidi="hr-HR"/>
        </w:rPr>
        <w:t>seban status.</w:t>
        <w:tab/>
        <w:t>S.BAI.IĆ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NASILJE/SILA</w:t>
      </w:r>
    </w:p>
    <w:p>
      <w:pPr>
        <w:pStyle w:val="Style63"/>
        <w:keepNext/>
        <w:keepLines/>
        <w:widowControl w:val="0"/>
        <w:numPr>
          <w:ilvl w:val="0"/>
          <w:numId w:val="345"/>
        </w:numPr>
        <w:shd w:val="clear" w:color="auto" w:fill="auto"/>
        <w:tabs>
          <w:tab w:pos="246" w:val="left"/>
        </w:tabs>
        <w:bidi w:val="0"/>
        <w:spacing w:before="0" w:after="80"/>
        <w:ind w:left="0" w:right="0" w:firstLine="0"/>
        <w:jc w:val="both"/>
      </w:pPr>
      <w:bookmarkStart w:id="214" w:name="bookmark214"/>
      <w:r>
        <w:rPr>
          <w:rFonts w:ascii="Times New Roman" w:eastAsia="Times New Roman" w:hAnsi="Times New Roman" w:cs="Times New Roman"/>
          <w:color w:val="000000"/>
          <w:spacing w:val="0"/>
          <w:w w:val="100"/>
          <w:position w:val="0"/>
          <w:shd w:val="clear" w:color="auto" w:fill="auto"/>
          <w:lang w:val="hr-HR" w:eastAsia="hr-HR" w:bidi="hr-HR"/>
        </w:rPr>
        <w:t>židovski</w:t>
      </w:r>
      <w:bookmarkEnd w:id="214"/>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Židovstvo je uvijek uzimalo Toru kao nauk ostvarenja i prenosilo ga dalje (M Avot 1,17; b Kidušin 40b); ono nije shvatilo njezin misaoni smisao kao postavljenu zadaću nego kao či</w:t>
        <w:softHyphen/>
        <w:t>njenicu da dobro djelo pojedinca u pravo vri</w:t>
        <w:softHyphen/>
        <w:t>jeme uvijek opravdava Božju vlast na zemlji: »ON ljubi one koji mrze zlo!« (Ps 97,10). Po</w:t>
        <w:softHyphen/>
        <w:t>zivanje na Božje upravljanje i na sličnost s Bo</w:t>
        <w:softHyphen/>
        <w:t xml:space="preserve">gom (Post 1,27,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18,5) razvilo je u starom Izraelu senzibilitet za pravednost, koji ne poznaje granice (Post 18,19;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5,15.24; Ps 11,7; 106,3; Izr 14,34) i koji u »tlače</w:t>
        <w:softHyphen/>
        <w:t>nju« egipatske robinje osjeća ljudsku neprav</w:t>
        <w:softHyphen/>
        <w:t>du (Post 16,6.9.11) kao i u bezobzirnu kralje</w:t>
        <w:softHyphen/>
        <w:t>vu »uzimanju« (2 Sam 11,4) ili bogataševu uzi</w:t>
        <w:softHyphen/>
        <w:t>manju (12,4), uvijek usmjerenom prema sla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bom. Socijalna pravednost u izraelskom pravu zahtijevala je priznanje vrijednosti svakoga čovjeka kao stvorenja Božjeg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19,17 i d.; 33 i d.; Izl 22,21 i d.; 23,9; Iz 1,17; Jr 22,3.15 i d.). Biblijska je konstanta: Bog se protivi sva</w:t>
        <w:softHyphen/>
        <w:t>kom obezvređivanju bližnjega, a to je židov</w:t>
        <w:softHyphen/>
        <w:t>stvu dalo pečat: »Stoga je stvoren samo jedan čovjek kako bi te poučio da će se, prema Pis</w:t>
        <w:softHyphen/>
        <w:t xml:space="preserve">mu, optužiti čovjeka koji uništi jednu osobu kao da je uništio cijeli svijet«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IV,5). Dojmljiv primjer nalazimo u tradicij</w:t>
        <w:softHyphen/>
        <w:t>skoj literaturi s vidljivom karakteristikom po- jedinačnosti: Ako se u blizini starješina grada našao tko ubijen, a ne zna se počinitelj, Tora od njih zahtijeva da kažu: »Naše ruke nisu prolile ove krvi niti smo svojim očima išta vi</w:t>
        <w:softHyphen/>
        <w:t>djeli« (Pnz 21,7). Misna ovom citatu prido</w:t>
        <w:softHyphen/>
        <w:t>daje: »Bi li nam tada palo na um da su sudski staiješine prolili krv? To bi prije trebalo zna</w:t>
        <w:softHyphen/>
        <w:t>čiti: Nismo ga, pošto je došao k nama, pustili da ponovno ode bez jela, i nismo ga vidjeli i pustili bez pratnje« (Sota IX,6). Komentar Mišne: Tko se ne pobrine za drugog čovjeka, kao da je skrivio njegovu smrt, kao da su nje</w:t>
        <w:softHyphen/>
        <w:t xml:space="preserve">gove oči vidjele kako on umire. Mudraci nisu samo osuđivali brutalan fizički čin kao »n.« (Iz 60,18; Jr 6,7; Ez 45,9;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3,10), nego su »pljačkom« nazvali i odluku da se bližnjemu uskrati ono što mu se bilo dužno učiniti (b Bava mccia lila; M Avot V,9) i žigosali one »koji su radnika lišili nadnice..., koji odbacuju jaram sa svoga vrata i njime opterete bližnje</w:t>
        <w:softHyphen/>
        <w:t>ga« (b Suka 29b), pa i onoga tko kaže: »Moje je moje i tvoje je tvoje« (M Avot V,10). Vje</w:t>
        <w:softHyphen/>
        <w:t>rovniku su istaknuli postupak Boga: »Nema stvorenja koje Bogu ne bi bilo dužno, ali on je milostiv i milosrdan i oprašta sve prijašnje... Kao onaj tko od lihvara posudi i to zaboravi. Nakon nekog vremena taj se pojavi kod njega, a dužnik mu reče: Znam da sam dužan. Zašto, opovrgne ovaj, spominješ prvi dug (potraži</w:t>
        <w:softHyphen/>
        <w:t>vanje), njega sam odavno izbrisao iz srca. Isto tako i vladar svijeta, ljudi griješe pred njim, i on vidi da se ne kaju i oprašta im stari dug, i kad dođu i spomenu prijašnji dug, on im kaže: Više nemojte na to misliti« (Šemol raba XXXI,22,25).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Bog hoće zaštititi siromašne od posjed- nikovih tlačenja i nasilja, dokazuju zapovijedi iz Tore o »oproštenju«, koje bi uvijek iznova trebale voditi ravnoteži najvažnijih životnih dobara i spriječiti nastanak sirotinjske klase</w:t>
      </w:r>
    </w:p>
    <w:p>
      <w:pPr>
        <w:pStyle w:val="Style20"/>
        <w:keepNext w:val="0"/>
        <w:keepLines w:val="0"/>
        <w:widowControl w:val="0"/>
        <w:shd w:val="clear" w:color="auto" w:fill="auto"/>
        <w:tabs>
          <w:tab w:pos="2453"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(Izl 23,10 i d.; Pnz 15,1 i d.;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25,3 i d.; Izl 21,2 i d.; Pnz 15,12 i d.). Kad je odredba da svake sedme godine vjerovnik mora dužniku oprostili dugove (Pnz 15,1-11) zbog promjene ekonomskih i socijalnih uvjeta u kasnohele- nističkom razdoblju židovstva zakočila kredi</w:t>
        <w:softHyphen/>
        <w:t>tiranje i time spriječila prvobitnu namjeru so</w:t>
        <w:softHyphen/>
        <w:t>cijalne skrbi, Hilel je uveo »prozbul«: taj pro</w:t>
        <w:softHyphen/>
        <w:t xml:space="preserve">pis nije uklonio zapovijed iz Tore, ali je ipak dokinuo njegove faktički nasilne posljedice (M Ševiit X,3-7;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 xml:space="preserve">III,6;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36a). - Iskustva o nasilju iz povijesti obnovila su u židovstvu poslušnost prema obvezi »Čuj, Iz- raele« (Pnz 6,4-9) i spremnost da pojedinci neprestance žrtvuju svoj život Božjoj zapovije</w:t>
        <w:softHyphen/>
        <w:t>di »za svetost imena Božjeg« (Pesikta derav Kahana 87a). Zbog nasilja u povijesti židov</w:t>
        <w:softHyphen/>
        <w:t>skoga naroda povećao se broj mučenika i n. je oslobodilo snagu za održanje subjektiviteta pred nasiljem.</w:t>
        <w:tab/>
        <w:t xml:space="preserve">n </w:t>
      </w:r>
      <w:r>
        <w:rPr>
          <w:rFonts w:ascii="Times New Roman" w:eastAsia="Times New Roman" w:hAnsi="Times New Roman" w:cs="Times New Roman"/>
          <w:smallCaps/>
          <w:color w:val="000000"/>
          <w:spacing w:val="0"/>
          <w:w w:val="100"/>
          <w:position w:val="0"/>
          <w:shd w:val="clear" w:color="auto" w:fill="auto"/>
          <w:lang w:val="hr-HR" w:eastAsia="hr-HR" w:bidi="hr-HR"/>
        </w:rPr>
        <w:t>vi;h lr</w:t>
      </w:r>
    </w:p>
    <w:p>
      <w:pPr>
        <w:pStyle w:val="Style63"/>
        <w:keepNext/>
        <w:keepLines/>
        <w:widowControl w:val="0"/>
        <w:numPr>
          <w:ilvl w:val="0"/>
          <w:numId w:val="345"/>
        </w:numPr>
        <w:shd w:val="clear" w:color="auto" w:fill="auto"/>
        <w:tabs>
          <w:tab w:pos="260" w:val="left"/>
        </w:tabs>
        <w:bidi w:val="0"/>
        <w:spacing w:before="0" w:line="223" w:lineRule="auto"/>
        <w:ind w:left="0" w:right="0" w:firstLine="0"/>
        <w:jc w:val="both"/>
      </w:pPr>
      <w:bookmarkStart w:id="215" w:name="bookmark21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1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je riječ koja se prije svega u modernoj dis</w:t>
        <w:softHyphen/>
        <w:t>kusiji o primjeni sile i odustajanju od sile pri</w:t>
        <w:softHyphen/>
        <w:t>mjenjuje često već s etičkim (većinom negativ</w:t>
        <w:softHyphen/>
        <w:t>nim) vrednovanjem. Kada netko, primjerice, kaže da je zauzimanje američkog veleposlan</w:t>
        <w:softHyphen/>
        <w:t>stva u Teheranu bio čin u kojem se upotrije</w:t>
        <w:softHyphen/>
        <w:t>bila s., tada on time ne daje samo do znanja da se pri zauzimanju koristilo oružje i slično, nego i da osuđuje tu akciju. No, ako treba primjereno raspravljati o etičkom problemu sile bez donošenja suda, tada treba tražiti de</w:t>
        <w:softHyphen/>
        <w:t>finiciju koja još nipošto ne donosi sa sobom (negativno) etičko vrednovanje.</w:t>
      </w:r>
    </w:p>
    <w:p>
      <w:pPr>
        <w:pStyle w:val="Style20"/>
        <w:keepNext w:val="0"/>
        <w:keepLines w:val="0"/>
        <w:widowControl w:val="0"/>
        <w:numPr>
          <w:ilvl w:val="0"/>
          <w:numId w:val="347"/>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Prvo čisto opisno značenje sile ne igra ni</w:t>
        <w:softHyphen/>
        <w:t>kakvu neposrednu ulogu u spomenutoj disku</w:t>
        <w:softHyphen/>
        <w:t>siji. Kada se o Isusu Mk 1,22 kaže daje nauča</w:t>
        <w:softHyphen/>
        <w:t>vao kao netko tko raspolaže silom, tada ovdje s. stoji za ‘punomoć’ ili ‘autoritet’. S. ovdje znači (institucionalnu) vlast zapovijedanja. U tom smislu govorimo o roditeljskoj i sudskoj vlasti, o podjeli vlasti ili o službenoj vlasti.</w:t>
      </w:r>
    </w:p>
    <w:p>
      <w:pPr>
        <w:pStyle w:val="Style20"/>
        <w:keepNext w:val="0"/>
        <w:keepLines w:val="0"/>
        <w:widowControl w:val="0"/>
        <w:numPr>
          <w:ilvl w:val="0"/>
          <w:numId w:val="347"/>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Vršenje vlasti u smislu punomoći često, ne uvijek, uključuje pravo da se vlast vrši u jed</w:t>
        <w:softHyphen/>
        <w:t>nom drugom smislu. Tu se misli na fizičku (npr. policijsku primjenu sile protiv onih koji su uzeli taoce), psihičku (npr. silu koja se ko</w:t>
        <w:softHyphen/>
        <w:t>risti kod duševnog mučenja) i institucionalnu ili strukturalnu (npr. silu koja se izražava u in</w:t>
        <w:softHyphen/>
        <w:t>stitucijama kao stoje ropstvo ili kmetstvo). U ovom drugom smislu pod silom se tada razu</w:t>
        <w:softHyphen/>
      </w:r>
      <w:r>
        <w:rPr>
          <w:rFonts w:ascii="Times New Roman" w:eastAsia="Times New Roman" w:hAnsi="Times New Roman" w:cs="Times New Roman"/>
          <w:color w:val="000000"/>
          <w:spacing w:val="0"/>
          <w:w w:val="100"/>
          <w:position w:val="0"/>
          <w:shd w:val="clear" w:color="auto" w:fill="auto"/>
          <w:lang w:val="hr-HR" w:eastAsia="hr-HR" w:bidi="hr-HR"/>
        </w:rPr>
        <w:t>mijevaju (čisto opisno) sve fizičke, psihičke i institucionalne prisilne mjere i mehanizmi protiv volje ili protiv interpretirane volje do</w:t>
        <w:softHyphen/>
        <w:t>tičnih čije slobodno samoodređenje ograniča</w:t>
        <w:softHyphen/>
        <w:t>vaju ili poništavaju. Pri samoj mjeri, koja se provodi protiv volje dotičnoga, nipošto se ne mora uvijek raditi o nekom zlu. Obično su gu</w:t>
        <w:softHyphen/>
        <w:t>bitak života, zdravlja, imovine itd. svakako te</w:t>
        <w:softHyphen/>
        <w:t>meljno zlo. Kada se nekog čovjeka prisiljava na nešto protiv njegove volje, može se u sta</w:t>
        <w:softHyphen/>
        <w:t>novitim okolnostima raditi o velikom dobru. Tako su, npr., neki teroristi bili prisilno hra</w:t>
        <w:softHyphen/>
        <w:t>njeni; nije bilo ništa po sebi loše u tome što se činilo da bi se njihovi životi održali.</w:t>
      </w:r>
    </w:p>
    <w:p>
      <w:pPr>
        <w:pStyle w:val="Style20"/>
        <w:keepNext w:val="0"/>
        <w:keepLines w:val="0"/>
        <w:widowControl w:val="0"/>
        <w:shd w:val="clear" w:color="auto" w:fill="auto"/>
        <w:bidi w:val="0"/>
        <w:spacing w:before="0" w:after="80"/>
        <w:ind w:left="0" w:right="0" w:firstLine="0"/>
        <w:jc w:val="both"/>
        <w:sectPr>
          <w:headerReference w:type="default" r:id="rId925"/>
          <w:footerReference w:type="default" r:id="rId926"/>
          <w:headerReference w:type="even" r:id="rId927"/>
          <w:footerReference w:type="even" r:id="rId928"/>
          <w:headerReference w:type="first" r:id="rId929"/>
          <w:footerReference w:type="first" r:id="rId930"/>
          <w:footnotePr>
            <w:pos w:val="pageBottom"/>
            <w:numFmt w:val="decimal"/>
            <w:numRestart w:val="continuous"/>
            <w15:footnoteColumns w:val="1"/>
          </w:footnotePr>
          <w:pgSz w:w="6816" w:h="11006"/>
          <w:pgMar w:top="1004" w:left="190" w:right="195" w:bottom="508" w:header="0" w:footer="3" w:gutter="0"/>
          <w:pgNumType w:start="305"/>
          <w:cols w:num="2" w:space="19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Ako se pri svoj primjeni sile radi o zadiranju u slobodno samoodređenje nekog čovjeka, a slobodno samoodređenje je vrlo veliko dobro, tada je svaka primjena sile zlo, tj. nešto što po mogućnosti treba izbjegavati. U normalnom slučaju treba još dodati i to da ono što je uči</w:t>
        <w:softHyphen/>
        <w:t>njeno i samo već predstavlja jedno zlo - često gore od zadiranja u slobodno samoodređenje. Etička problematika primjene sile sastoji se tada u pitanju je li uopće ima situacija, i ako ih ima, kakve su, u kojima se zlo zbog pri</w:t>
        <w:softHyphen/>
        <w:t>mjene sile u svladavanju postojećeg ili prijete</w:t>
        <w:softHyphen/>
        <w:t>ćeg zla usporedbom treba ocijeniti kao manje zlo? Nasuprot tomu, ncnasilnost ili odustaja</w:t>
        <w:softHyphen/>
        <w:t>nje od sile znači propustiti primjenu sile, dakle odustati od zadiranja u slobodno samoodre</w:t>
        <w:softHyphen/>
        <w:t>đenje neke druge osobe i obično od zadiranja u neka od njezinih temeljnih dobara (kao što su tijelo i život). Stoga je jasno da kod jed</w:t>
        <w:softHyphen/>
        <w:t>nakog izgleda za uspjeh prednost uvijek za</w:t>
        <w:softHyphen/>
        <w:t>služuje nenasilnost, a ne primjena sile. Samo ne treba zatvarati oči pred činjenicom da je odustajanje od sile naočigled postojećeg ili prijetećeg zla uvijek povezano s njegovim pri</w:t>
        <w:softHyphen/>
        <w:t>hvaćanjem. Etički problem odustajanja od sile predstavlja prema tomu obrat problema: Ima li situacija i ako ih ima, kakve su, u kojima su postojeća ili prijeteća zla koja treba prihvatiti odustajanjem od sile, u usporedbi manja od zla koje je povezano s uporabom sile? Poziva</w:t>
        <w:softHyphen/>
        <w:t>jući se na iskaze iz NZ (osobito na Mt 5,39: »Ne opirite se zlotvoru! Naprotiv, udari li te tko po desnom obrazu, okreni mu i drugi!«) katkada se kaže da se u zahtjevu za beziznim- nim odustajanjem od sile pokazuje posebna radikalnost kršćanske etike. Pa ipak, ako je jednom prihvaćeno da je Isus stvarno zahtije</w:t>
        <w:softHyphen/>
        <w:t xml:space="preserve">vao beziznimno odustajanje od primjene sile </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da u tom smislu treba tumačiti njegove is</w:t>
        <w:softHyphen/>
        <w:t>kaze), bismo li tada stvarno imali razlog nala</w:t>
        <w:softHyphen/>
        <w:t>ziti u tome izraz osobite radikalnosti ili radije sljepilo za stvari svijeta? Zar jednostavno ne bi bilo pogrešno kada bi, primjerice, policija u slučaju otmice djeteta odustala od svake pri</w:t>
        <w:softHyphen/>
        <w:t>mjene sile?</w:t>
      </w:r>
    </w:p>
    <w:p>
      <w:pPr>
        <w:pStyle w:val="Style56"/>
        <w:keepNext w:val="0"/>
        <w:keepLines w:val="0"/>
        <w:widowControl w:val="0"/>
        <w:shd w:val="clear" w:color="auto" w:fill="auto"/>
        <w:tabs>
          <w:tab w:pos="2400"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L- Ramstcdt (Hrsg ), </w:t>
      </w:r>
      <w:r>
        <w:rPr>
          <w:i/>
          <w:iCs/>
          <w:color w:val="000000"/>
          <w:spacing w:val="0"/>
          <w:w w:val="100"/>
          <w:position w:val="0"/>
          <w:shd w:val="clear" w:color="auto" w:fill="auto"/>
          <w:lang w:val="hr-HR" w:eastAsia="hr-HR" w:bidi="hr-HR"/>
        </w:rPr>
        <w:t xml:space="preserve">Anarcftismus. </w:t>
      </w:r>
      <w:r>
        <w:rPr>
          <w:i/>
          <w:iCs/>
          <w:color w:val="000000"/>
          <w:spacing w:val="0"/>
          <w:w w:val="100"/>
          <w:position w:val="0"/>
          <w:shd w:val="clear" w:color="auto" w:fill="auto"/>
        </w:rPr>
        <w:t xml:space="preserve">Grundtexte </w:t>
      </w:r>
      <w:r>
        <w:rPr>
          <w:i/>
          <w:iCs/>
          <w:color w:val="000000"/>
          <w:spacing w:val="0"/>
          <w:w w:val="100"/>
          <w:position w:val="0"/>
          <w:shd w:val="clear" w:color="auto" w:fill="auto"/>
          <w:lang w:val="hr-HR" w:eastAsia="hr-HR" w:bidi="hr-HR"/>
        </w:rPr>
        <w:t xml:space="preserve">zur Theorie </w:t>
      </w:r>
      <w:r>
        <w:rPr>
          <w:i/>
          <w:iCs/>
          <w:color w:val="000000"/>
          <w:spacing w:val="0"/>
          <w:w w:val="100"/>
          <w:position w:val="0"/>
          <w:shd w:val="clear" w:color="auto" w:fill="auto"/>
        </w:rPr>
        <w:t xml:space="preserve">und Praxis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Gewait,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Koln/Opladcn 1969; G. Sa</w:t>
        <w:softHyphen/>
        <w:t xml:space="preserve">re), </w:t>
      </w:r>
      <w:r>
        <w:rPr>
          <w:i/>
          <w:iCs/>
          <w:color w:val="000000"/>
          <w:spacing w:val="0"/>
          <w:w w:val="100"/>
          <w:position w:val="0"/>
          <w:shd w:val="clear" w:color="auto" w:fill="auto"/>
        </w:rPr>
        <w:t>Uber die Gewait.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Frankfurt/M. 1969; H. Arcnilt, </w:t>
      </w:r>
      <w:r>
        <w:rPr>
          <w:i/>
          <w:iCs/>
          <w:color w:val="000000"/>
          <w:spacing w:val="0"/>
          <w:w w:val="100"/>
          <w:position w:val="0"/>
          <w:shd w:val="clear" w:color="auto" w:fill="auto"/>
          <w:lang w:val="hr-HR" w:eastAsia="hr-HR" w:bidi="hr-HR"/>
        </w:rPr>
        <w:t xml:space="preserve">Macht und </w:t>
      </w:r>
      <w:r>
        <w:rPr>
          <w:i/>
          <w:iCs/>
          <w:color w:val="000000"/>
          <w:spacing w:val="0"/>
          <w:w w:val="100"/>
          <w:position w:val="0"/>
          <w:shd w:val="clear" w:color="auto" w:fill="auto"/>
        </w:rPr>
        <w:t>Gewait,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MUnchen 1970.</w:t>
        <w:tab/>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r.</w:t>
      </w:r>
      <w:r>
        <w:rPr>
          <w:color w:val="000000"/>
          <w:spacing w:val="0"/>
          <w:w w:val="100"/>
          <w:position w:val="0"/>
          <w:shd w:val="clear" w:color="auto" w:fill="auto"/>
          <w:lang w:val="hr-HR" w:eastAsia="hr-HR" w:bidi="hr-HR"/>
        </w:rPr>
        <w:t xml:space="preserve"> (HNii-RS</w:t>
      </w:r>
    </w:p>
    <w:p>
      <w:pPr>
        <w:pStyle w:val="Style63"/>
        <w:keepNext/>
        <w:keepLines/>
        <w:widowControl w:val="0"/>
        <w:numPr>
          <w:ilvl w:val="0"/>
          <w:numId w:val="345"/>
        </w:numPr>
        <w:shd w:val="clear" w:color="auto" w:fill="auto"/>
        <w:tabs>
          <w:tab w:pos="265" w:val="left"/>
        </w:tabs>
        <w:bidi w:val="0"/>
        <w:spacing w:before="0" w:after="80" w:line="218" w:lineRule="auto"/>
        <w:ind w:left="0" w:right="0" w:firstLine="0"/>
        <w:jc w:val="both"/>
      </w:pPr>
      <w:bookmarkStart w:id="216" w:name="bookmark216"/>
      <w:r>
        <w:rPr>
          <w:rFonts w:ascii="Times New Roman" w:eastAsia="Times New Roman" w:hAnsi="Times New Roman" w:cs="Times New Roman"/>
          <w:color w:val="000000"/>
          <w:spacing w:val="0"/>
          <w:w w:val="100"/>
          <w:position w:val="0"/>
          <w:shd w:val="clear" w:color="auto" w:fill="auto"/>
          <w:lang w:val="hr-HR" w:eastAsia="hr-HR" w:bidi="hr-HR"/>
        </w:rPr>
        <w:t>islamski</w:t>
      </w:r>
      <w:bookmarkEnd w:id="216"/>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 se u Kuranu (2,27) nedvosmisleno odba</w:t>
        <w:softHyphen/>
        <w:t>cuje. U islamskoj slici Boga pojavljuju se do</w:t>
        <w:softHyphen/>
        <w:t>duše pretežito crte koje su suprotne nasilju, kao blagost, milosrđe i milost, no Bog ipak nije lišen sile. To se podudara s pojmom Boga kao Stvoritelja i Uzdržavatelja svijeta. U Nje</w:t>
        <w:softHyphen/>
        <w:t>mu je utemeljena ne samo ljubav; u njemu svoj praizvor ima i zagonetni i neizbježni prvobitni zakon prirodnoga događanja. Stoga se jadikov</w:t>
        <w:softHyphen/>
        <w:t>ke zbog »ncljubljenosti« stvorenja od Boga ne slaže s islamskim razumijevanjem svijeta.</w:t>
      </w:r>
    </w:p>
    <w:p>
      <w:pPr>
        <w:pStyle w:val="Style20"/>
        <w:keepNext w:val="0"/>
        <w:keepLines w:val="0"/>
        <w:widowControl w:val="0"/>
        <w:shd w:val="clear" w:color="auto" w:fill="auto"/>
        <w:tabs>
          <w:tab w:pos="2602"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etičkom i pravnom nauku islama s. ima njoj svojstvenu mjesnu vrijednost. Ona služi kao sredstvo odgajanja i zastrašivanja. Preventiv</w:t>
        <w:softHyphen/>
        <w:t>no pravosuđe, kakvo se zagovara u ortodoks</w:t>
        <w:softHyphen/>
        <w:t>nome islamu, ne može se odreći sile. Sama se ona susreće u procesu odgoja male djece. Za to je karakteristično da neke pravne škole daju roditeljima pravo, zapravo nalažu kao dužnost da pod prijetnjom kažnjavanja tjeraju svoju djecu na molitvu, ali i na posjećivanje džamije. Makar se taj stav činio objašnjivim uspoređivanjem sa školskom dužnošću naše djece - džamija je nekoć zamjenjivala školu -, stege koje su ustaljene u tradicionalnom is</w:t>
        <w:softHyphen/>
        <w:t>lamu otežavaju k tomu pristup muslimana modernomu svijetu i njegovom osjećaju živo</w:t>
        <w:softHyphen/>
        <w:t>ta. Sva odobravanja sile koja se nalaze u Ku</w:t>
        <w:softHyphen/>
        <w:t>ranu i u tradiciji modernisti stoga žele poka</w:t>
        <w:softHyphen/>
        <w:t>zati kao uvjetovana situacijom i vremenom. Blagost, praštanje, velikodušnost i »lijepa ri</w:t>
        <w:softHyphen/>
        <w:t xml:space="preserve">ječ« </w:t>
      </w:r>
      <w:r>
        <w:rPr>
          <w:rFonts w:ascii="Times New Roman" w:eastAsia="Times New Roman" w:hAnsi="Times New Roman" w:cs="Times New Roman"/>
          <w:color w:val="000000"/>
          <w:spacing w:val="0"/>
          <w:w w:val="100"/>
          <w:position w:val="0"/>
          <w:shd w:val="clear" w:color="auto" w:fill="auto"/>
          <w:lang w:val="en-US" w:eastAsia="en-US" w:bidi="en-US"/>
        </w:rPr>
        <w:t xml:space="preserve">(maw’iza </w:t>
      </w:r>
      <w:r>
        <w:rPr>
          <w:rFonts w:ascii="Times New Roman" w:eastAsia="Times New Roman" w:hAnsi="Times New Roman" w:cs="Times New Roman"/>
          <w:color w:val="000000"/>
          <w:spacing w:val="0"/>
          <w:w w:val="100"/>
          <w:position w:val="0"/>
          <w:shd w:val="clear" w:color="auto" w:fill="auto"/>
          <w:lang w:val="hr-HR" w:eastAsia="hr-HR" w:bidi="hr-HR"/>
        </w:rPr>
        <w:t>hasana) nedvosmisleno imaju prvenstvo u cjelokupnom konceptu Kurana. Kada se musliman nalazi u situaciji, u kojoj vlada s., i koja ne dopušta nikakav drugi izbor osim odgovaranja silom, on je tada po Kuranu dužan uvažiti tu realnost i djelovati u skladu s njom. Postoji dakle »pravedan rat«. On se ipak treba prekinuti čim je prestala s. (pro</w:t>
        <w:softHyphen/>
        <w:t>ganjanje i protjerivanje).</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180" w:line="22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NEBO</w:t>
      </w:r>
    </w:p>
    <w:p>
      <w:pPr>
        <w:pStyle w:val="Style63"/>
        <w:keepNext/>
        <w:keepLines/>
        <w:widowControl w:val="0"/>
        <w:numPr>
          <w:ilvl w:val="0"/>
          <w:numId w:val="349"/>
        </w:numPr>
        <w:shd w:val="clear" w:color="auto" w:fill="auto"/>
        <w:tabs>
          <w:tab w:pos="246" w:val="left"/>
        </w:tabs>
        <w:bidi w:val="0"/>
        <w:spacing w:before="0" w:after="100" w:line="228" w:lineRule="auto"/>
        <w:ind w:left="0" w:right="0" w:firstLine="0"/>
        <w:jc w:val="left"/>
      </w:pPr>
      <w:bookmarkStart w:id="217" w:name="bookmark217"/>
      <w:r>
        <w:rPr>
          <w:rFonts w:ascii="Times New Roman" w:eastAsia="Times New Roman" w:hAnsi="Times New Roman" w:cs="Times New Roman"/>
          <w:color w:val="000000"/>
          <w:spacing w:val="0"/>
          <w:w w:val="100"/>
          <w:position w:val="0"/>
          <w:shd w:val="clear" w:color="auto" w:fill="auto"/>
          <w:lang w:val="hr-HR" w:eastAsia="hr-HR" w:bidi="hr-HR"/>
        </w:rPr>
        <w:t>židovski</w:t>
      </w:r>
      <w:bookmarkEnd w:id="217"/>
    </w:p>
    <w:p>
      <w:pPr>
        <w:pStyle w:val="Style20"/>
        <w:keepNext w:val="0"/>
        <w:keepLines w:val="0"/>
        <w:widowControl w:val="0"/>
        <w:numPr>
          <w:ilvl w:val="0"/>
          <w:numId w:val="351"/>
        </w:numPr>
        <w:shd w:val="clear" w:color="auto" w:fill="auto"/>
        <w:tabs>
          <w:tab w:pos="265" w:val="left"/>
        </w:tabs>
        <w:bidi w:val="0"/>
        <w:spacing w:before="0" w:after="0" w:line="257" w:lineRule="auto"/>
        <w:ind w:left="0" w:right="0" w:firstLine="0"/>
        <w:jc w:val="both"/>
        <w:sectPr>
          <w:headerReference w:type="default" r:id="rId931"/>
          <w:footerReference w:type="default" r:id="rId932"/>
          <w:headerReference w:type="even" r:id="rId933"/>
          <w:footerReference w:type="even" r:id="rId934"/>
          <w:footnotePr>
            <w:pos w:val="pageBottom"/>
            <w:numFmt w:val="decimal"/>
            <w:numRestart w:val="continuous"/>
            <w15:footnoteColumns w:val="1"/>
          </w:footnotePr>
          <w:pgSz w:w="6816" w:h="11006"/>
          <w:pgMar w:top="1004" w:left="190" w:right="195" w:bottom="508" w:header="0" w:footer="80" w:gutter="0"/>
          <w:pgNumType w:start="311"/>
          <w:cols w:num="2" w:space="199"/>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N. Boga i pravednika:</w:t>
      </w:r>
      <w:r>
        <w:rPr>
          <w:rFonts w:ascii="Times New Roman" w:eastAsia="Times New Roman" w:hAnsi="Times New Roman" w:cs="Times New Roman"/>
          <w:color w:val="000000"/>
          <w:spacing w:val="0"/>
          <w:w w:val="100"/>
          <w:position w:val="0"/>
          <w:shd w:val="clear" w:color="auto" w:fill="auto"/>
          <w:lang w:val="hr-HR" w:eastAsia="hr-HR" w:bidi="hr-HR"/>
        </w:rPr>
        <w:t xml:space="preserve"> Bog je stvorio n. (Post. 1,1.8); on ga može i potresti (Hag 2,6). On je »Bog neba« (Post 24,3) i »njegova slava nebesa nadvisuje« (Ps 113,4). »ON u nebu postavi prijestolje svoje« (Ps 103,19), »sazda sebi prijesto na nebesima« (Ani 9,6). Prema »mjestu gdje prebiva«, prema »nebesima« mole usrdno ljudi (1 Kr 8,30; usp. Post 28,12). S neba Bog blagoslivlje (Post 49,25), putova</w:t>
        <w:softHyphen/>
        <w:t>njem kroz pustinju pušta da »daždi kruh s ne</w:t>
        <w:softHyphen/>
        <w:t>ba« (Izl 16,4), »po nebesima u pomoć ti jezdi« (Pnz 33,26). Bog s nebesa gleda na ljude (Ps 14,2). »Nebesa će se sviti kao knjiga« (Iz 34,4) kad Bog stvori novo n. koje će se presvoditi nad novom zemljom (Iz 66,22). Apokrifno- -pseudoepigrafski spisi proširili su biblijske predodžbe. Oni nazivaju mjesto na kojem pra</w:t>
        <w:softHyphen/>
        <w:t>vednici uživaju u beskrajnom blaženstvu »eden- skim vrtom« (IV Ezr 4,7; 7,36.123; 8,52; 11 Hcn 42,3; 65,10) koji su već proroci povezivali s »nasladom« (Iz 51,3; Ez 36,35; JI 2,3) ili - iz</w:t>
        <w:softHyphen/>
        <w:t>među ostalih imena (1 Hcn 39,4 i d.: 40,5) - »nebom« (61,12; IV Mak 17,5). On nije iden</w:t>
        <w:softHyphen/>
        <w:t xml:space="preserve">tičan »nebu« kao Božjem prebivalištu. No, kao što neka djela opisuju mjesto kazne (šeol, odnosno gehena) na više razina (IV Ezr 5/7/, 36 i d.), tako i »paradiz« (grč. izraz za »eden- ski vrt«, raj) ima nekoliko razina, jednu višu od druge; najviša dopire do »neba« Božjeg (I Hcn 18,6-8). Kada </w:t>
      </w:r>
      <w:r>
        <w:rPr>
          <w:rFonts w:ascii="Times New Roman" w:eastAsia="Times New Roman" w:hAnsi="Times New Roman" w:cs="Times New Roman"/>
          <w:i/>
          <w:iCs/>
          <w:color w:val="000000"/>
          <w:spacing w:val="0"/>
          <w:w w:val="100"/>
          <w:position w:val="0"/>
          <w:shd w:val="clear" w:color="auto" w:fill="auto"/>
          <w:lang w:val="hr-HR" w:eastAsia="hr-HR" w:bidi="hr-HR"/>
        </w:rPr>
        <w:t>će</w:t>
      </w:r>
      <w:r>
        <w:rPr>
          <w:rFonts w:ascii="Times New Roman" w:eastAsia="Times New Roman" w:hAnsi="Times New Roman" w:cs="Times New Roman"/>
          <w:color w:val="000000"/>
          <w:spacing w:val="0"/>
          <w:w w:val="100"/>
          <w:position w:val="0"/>
          <w:shd w:val="clear" w:color="auto" w:fill="auto"/>
          <w:lang w:val="hr-HR" w:eastAsia="hr-HR" w:bidi="hr-HR"/>
        </w:rPr>
        <w:t xml:space="preserve"> pravednici ući u mjesto rajskoga blaženstva, da li neposredno poslije smrti ili tek pri ustajanju iz mrtvih, apokalip- tičari su u proturječju (IV Mak 5,37; 9,8; I Hcn 60,8; 61,12; 71,16; II Ilen 8,1; 9,1; 65,9 i d.; Mojsijeva apokalipsa 37); rabinski učenja</w:t>
        <w:softHyphen/>
        <w:t>ci, koji su oštro razgraničavali »Mesijine da</w:t>
        <w:softHyphen/>
        <w:t>ne« od »svijeta koji dolazi«, zamišljali su da se pravednicima »edenski vrt« otvara tek u »svi</w:t>
        <w:softHyphen/>
        <w:t>jetu koji dolazi« (Šemot raba VII,6,13). - Na</w:t>
        <w:softHyphen/>
        <w:t>zivi nebeskih boravišta za pravednike mijenja</w:t>
        <w:softHyphen/>
        <w:t>ju se jače negoli u apokaliptičkoj i rabinskoj literaturi: uz najupotrebljavanije nazive »eden</w:t>
        <w:softHyphen/>
        <w:t xml:space="preserve">ski vrt« (M Avot V,20) i »svijet koji dolazi«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V,19; Berešit raba LXXX1I,35,17) sus</w:t>
        <w:softHyphen/>
        <w:t xml:space="preserve">rećemo se prije drugih s »nebom«. Rabin Je- huda (oko 150) poučavao je na temelju Pnz 10,14: »Postoje dva neba«, a s obzirom na raz- </w:t>
      </w:r>
    </w:p>
    <w:p>
      <w:pPr>
        <w:pStyle w:val="Style20"/>
        <w:keepNext w:val="0"/>
        <w:keepLines w:val="0"/>
        <w:widowControl w:val="0"/>
        <w:shd w:val="clear" w:color="auto" w:fill="auto"/>
        <w:tabs>
          <w:tab w:pos="265"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ličila kanonska mjesta, Reš Lakiš (čitaj: Rabi Meir, oko 150) došao je do stajališta: »Ima ih sedam« (b Hagiga 12b).</w:t>
      </w:r>
    </w:p>
    <w:p>
      <w:pPr>
        <w:pStyle w:val="Style20"/>
        <w:keepNext w:val="0"/>
        <w:keepLines w:val="0"/>
        <w:widowControl w:val="0"/>
        <w:numPr>
          <w:ilvl w:val="0"/>
          <w:numId w:val="351"/>
        </w:numPr>
        <w:shd w:val="clear" w:color="auto" w:fill="auto"/>
        <w:tabs>
          <w:tab w:pos="265"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 zapovijeda«:</w:t>
      </w:r>
      <w:r>
        <w:rPr>
          <w:rFonts w:ascii="Times New Roman" w:eastAsia="Times New Roman" w:hAnsi="Times New Roman" w:cs="Times New Roman"/>
          <w:color w:val="000000"/>
          <w:spacing w:val="0"/>
          <w:w w:val="100"/>
          <w:position w:val="0"/>
          <w:shd w:val="clear" w:color="auto" w:fill="auto"/>
          <w:lang w:val="hr-HR" w:eastAsia="hr-HR" w:bidi="hr-HR"/>
        </w:rPr>
        <w:t xml:space="preserve"> Zbog strahopoštovanja iz</w:t>
        <w:softHyphen/>
        <w:t>bjegavalo se izgovoriti ime Božje od III. sto</w:t>
        <w:softHyphen/>
        <w:t>ljeća pr. Kr. i nadomještavalo se imenom »Adonaj« (»Gospodin«) a poslije i nizom dru</w:t>
        <w:softHyphen/>
        <w:t>gih izraza. U njih se ubraja od sredine, od</w:t>
        <w:softHyphen/>
        <w:t>nosno svršetka II. stoljeća pr. Kr. hebrejska i aramejska, odnosno grčka riječ za »n.«: »... čim spoznaš da nebesa imaju svu vlast«. Osim Dn 4,23, tu uporabu dokazuju najranije pojave u apokrifima (1 Mak 3,18; 4,10.24.55; 12,15; 2 Mak 7,11). U talmudskoj literaturi »N.« se upotrebljava kao vlastito ime. Umjesto »strah Božji« u Mišni se metonimski upotrebljava: »Neka se strah nebeski nadvije nad vas« ili: »Imaj strahopoštovanja kao prema strahu ne</w:t>
        <w:softHyphen/>
        <w:t>beskom pred svojim učiteljem« (M Avot 1,3; IV,12), umjesto »Božjeg imena«: »Vi, mudraci, budite oprezni sa svojim riječima... Posljedica bi bila oskvrnuće imena nebeskoga (1,11: usp. IV,4; 11,2; V,17). Rabi Hanina ban Hama (III. stoljeće) odlučno je naglašavao čovjekovu slo</w:t>
        <w:softHyphen/>
        <w:t>bodu volje: »Sve je u rukama Neba, osim stra</w:t>
        <w:softHyphen/>
        <w:t>ha nebeskoga« (b Berahot 33b). Rabini su o šabatu poučavali: »Samo su tvoji poslovi za</w:t>
        <w:softHyphen/>
        <w:t>branjeni, a dopušteni su oni nebeski« (b Sabat 113a). O bračnim problemima poznato je ob</w:t>
        <w:softHyphen/>
        <w:t>jašnjenje: »N. zna što se dogada između mene i tebe« (M Nedarim XI,12). »Nebesa« se u prvobitnom značenju poistovjećuju s »Bo</w:t>
        <w:softHyphen/>
        <w:t xml:space="preserve">gom«: »U budućem svijetu neće imati udjela oni koji kažu da se ustajanje iz mrtvih ne može izvesti iz Tore ili da Tora nije s nebesa.«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zatim npr. Nedarim X,6;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99a; Šabat 151b).</w:t>
      </w:r>
    </w:p>
    <w:p>
      <w:pPr>
        <w:pStyle w:val="Style56"/>
        <w:keepNext w:val="0"/>
        <w:keepLines w:val="0"/>
        <w:widowControl w:val="0"/>
        <w:shd w:val="clear" w:color="auto" w:fill="auto"/>
        <w:tabs>
          <w:tab w:pos="2443" w:val="left"/>
        </w:tabs>
        <w:bidi w:val="0"/>
        <w:spacing w:before="0" w:after="180" w:line="240" w:lineRule="auto"/>
        <w:ind w:left="0" w:right="0" w:firstLine="0"/>
        <w:jc w:val="both"/>
      </w:pPr>
      <w:r>
        <w:rPr>
          <w:color w:val="000000"/>
          <w:spacing w:val="0"/>
          <w:w w:val="100"/>
          <w:position w:val="0"/>
          <w:shd w:val="clear" w:color="auto" w:fill="auto"/>
          <w:lang w:val="hr-HR" w:eastAsia="hr-HR" w:bidi="hr-HR"/>
        </w:rPr>
        <w:t xml:space="preserve">Lit.: H. Strack/P. Billcrbcck, </w:t>
      </w:r>
      <w:r>
        <w:rPr>
          <w:i/>
          <w:iCs/>
          <w:color w:val="000000"/>
          <w:spacing w:val="0"/>
          <w:w w:val="100"/>
          <w:position w:val="0"/>
          <w:shd w:val="clear" w:color="auto" w:fill="auto"/>
          <w:lang w:val="hr-HR" w:eastAsia="hr-HR" w:bidi="hr-HR"/>
        </w:rPr>
        <w:t>Kommentar zum Neuen Testa</w:t>
        <w:softHyphen/>
        <w:t xml:space="preserve">ment aut </w:t>
      </w:r>
      <w:r>
        <w:rPr>
          <w:i/>
          <w:iCs/>
          <w:color w:val="000000"/>
          <w:spacing w:val="0"/>
          <w:w w:val="100"/>
          <w:position w:val="0"/>
          <w:shd w:val="clear" w:color="auto" w:fill="auto"/>
        </w:rPr>
        <w:t>Talmud und Midrasch,</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w:t>
      </w:r>
      <w:r>
        <w:rPr>
          <w:color w:val="000000"/>
          <w:spacing w:val="0"/>
          <w:w w:val="100"/>
          <w:position w:val="0"/>
          <w:shd w:val="clear" w:color="auto" w:fill="auto"/>
          <w:lang w:val="hr-HR" w:eastAsia="hr-HR" w:bidi="hr-HR"/>
        </w:rPr>
        <w:t xml:space="preserve">1978, II, 265 &gt; d., IV, </w:t>
      </w:r>
      <w:r>
        <w:rPr>
          <w:i/>
          <w:iCs/>
          <w:color w:val="000000"/>
          <w:spacing w:val="0"/>
          <w:w w:val="100"/>
          <w:position w:val="0"/>
          <w:shd w:val="clear" w:color="auto" w:fill="auto"/>
          <w:lang w:val="hr-HR" w:eastAsia="hr-HR" w:bidi="hr-HR"/>
        </w:rPr>
        <w:t xml:space="preserve">2, </w:t>
      </w:r>
      <w:r>
        <w:rPr>
          <w:color w:val="000000"/>
          <w:spacing w:val="0"/>
          <w:w w:val="100"/>
          <w:position w:val="0"/>
          <w:shd w:val="clear" w:color="auto" w:fill="auto"/>
          <w:lang w:val="hr-HR" w:eastAsia="hr-HR" w:bidi="hr-HR"/>
        </w:rPr>
        <w:t xml:space="preserve">1130-65, I. 862 i d.; E. E. </w:t>
      </w:r>
      <w:r>
        <w:rPr>
          <w:color w:val="000000"/>
          <w:spacing w:val="0"/>
          <w:w w:val="100"/>
          <w:position w:val="0"/>
          <w:shd w:val="clear" w:color="auto" w:fill="auto"/>
        </w:rPr>
        <w:t xml:space="preserve">Urbach, </w:t>
      </w:r>
      <w:r>
        <w:rPr>
          <w:i/>
          <w:iCs/>
          <w:color w:val="000000"/>
          <w:spacing w:val="0"/>
          <w:w w:val="100"/>
          <w:position w:val="0"/>
          <w:shd w:val="clear" w:color="auto" w:fill="auto"/>
        </w:rPr>
        <w:t>The Sages,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1975. 66-79. 185 </w:t>
      </w:r>
      <w:r>
        <w:rPr>
          <w:color w:val="000000"/>
          <w:spacing w:val="0"/>
          <w:w w:val="100"/>
          <w:position w:val="0"/>
          <w:shd w:val="clear" w:color="auto" w:fill="auto"/>
        </w:rPr>
        <w:t>id.</w:t>
        <w:tab/>
        <w:t>D. VETTER</w:t>
      </w:r>
    </w:p>
    <w:p>
      <w:pPr>
        <w:pStyle w:val="Style63"/>
        <w:keepNext/>
        <w:keepLines/>
        <w:widowControl w:val="0"/>
        <w:numPr>
          <w:ilvl w:val="0"/>
          <w:numId w:val="349"/>
        </w:numPr>
        <w:shd w:val="clear" w:color="auto" w:fill="auto"/>
        <w:tabs>
          <w:tab w:pos="260" w:val="left"/>
        </w:tabs>
        <w:bidi w:val="0"/>
        <w:spacing w:before="0" w:after="80" w:line="223" w:lineRule="auto"/>
        <w:ind w:left="0" w:right="0" w:firstLine="0"/>
        <w:jc w:val="both"/>
      </w:pPr>
      <w:bookmarkStart w:id="218" w:name="bookmark21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18"/>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 </w:t>
      </w:r>
      <w:r>
        <w:rPr>
          <w:rFonts w:ascii="Times New Roman" w:eastAsia="Times New Roman" w:hAnsi="Times New Roman" w:cs="Times New Roman"/>
          <w:color w:val="000000"/>
          <w:spacing w:val="0"/>
          <w:w w:val="100"/>
          <w:position w:val="0"/>
          <w:shd w:val="clear" w:color="auto" w:fill="auto"/>
          <w:lang w:val="hr-HR" w:eastAsia="hr-HR" w:bidi="hr-HR"/>
        </w:rPr>
        <w:t>u religijama naroda znači mjesto gdje sta</w:t>
        <w:softHyphen/>
        <w:t>nuje božanstvo ili božanstva, odnosno nadze</w:t>
        <w:softHyphen/>
        <w:t xml:space="preserve">maljske sile; istodobno je n. metafora za onos- trano i beskrajno, simbol </w:t>
      </w:r>
      <w:r>
        <w:rPr>
          <w:rFonts w:ascii="Times New Roman" w:eastAsia="Times New Roman" w:hAnsi="Times New Roman" w:cs="Times New Roman"/>
          <w:color w:val="000000"/>
          <w:spacing w:val="0"/>
          <w:w w:val="100"/>
          <w:position w:val="0"/>
          <w:shd w:val="clear" w:color="auto" w:fill="auto"/>
          <w:lang w:val="en-US" w:eastAsia="en-US" w:bidi="en-US"/>
        </w:rPr>
        <w:t xml:space="preserve">transcendentnog. </w:t>
      </w:r>
      <w:r>
        <w:rPr>
          <w:rFonts w:ascii="Times New Roman" w:eastAsia="Times New Roman" w:hAnsi="Times New Roman" w:cs="Times New Roman"/>
          <w:color w:val="000000"/>
          <w:spacing w:val="0"/>
          <w:w w:val="100"/>
          <w:position w:val="0"/>
          <w:shd w:val="clear" w:color="auto" w:fill="auto"/>
          <w:lang w:val="hr-HR" w:eastAsia="hr-HR" w:bidi="hr-HR"/>
        </w:rPr>
        <w:t>Biblijsko-teološkt treba razlikovati različite sa</w:t>
        <w:softHyphen/>
        <w:t xml:space="preserve">držaje značenja. </w:t>
      </w:r>
      <w:r>
        <w:rPr>
          <w:rFonts w:ascii="Times New Roman" w:eastAsia="Times New Roman" w:hAnsi="Times New Roman" w:cs="Times New Roman"/>
          <w:i/>
          <w:iCs/>
          <w:color w:val="000000"/>
          <w:spacing w:val="0"/>
          <w:w w:val="100"/>
          <w:position w:val="0"/>
          <w:shd w:val="clear" w:color="auto" w:fill="auto"/>
          <w:lang w:val="hr-HR" w:eastAsia="hr-HR" w:bidi="hr-HR"/>
        </w:rPr>
        <w:t>Kozmološku</w:t>
      </w:r>
      <w:r>
        <w:rPr>
          <w:rFonts w:ascii="Times New Roman" w:eastAsia="Times New Roman" w:hAnsi="Times New Roman" w:cs="Times New Roman"/>
          <w:color w:val="000000"/>
          <w:spacing w:val="0"/>
          <w:w w:val="100"/>
          <w:position w:val="0"/>
          <w:shd w:val="clear" w:color="auto" w:fill="auto"/>
          <w:lang w:val="hr-HR" w:eastAsia="hr-HR" w:bidi="hr-HR"/>
        </w:rPr>
        <w:t xml:space="preserve"> predodžbu SZ o nebu treba shvatiti na pozadini antikne slike svijeta. N. je kao dio svemira svod, krupna po- lukugla iznad zemaljske ploče. </w:t>
      </w:r>
      <w:r>
        <w:rPr>
          <w:rFonts w:ascii="Times New Roman" w:eastAsia="Times New Roman" w:hAnsi="Times New Roman" w:cs="Times New Roman"/>
          <w:i/>
          <w:iCs/>
          <w:color w:val="000000"/>
          <w:spacing w:val="0"/>
          <w:w w:val="100"/>
          <w:position w:val="0"/>
          <w:shd w:val="clear" w:color="auto" w:fill="auto"/>
          <w:lang w:val="hr-HR" w:eastAsia="hr-HR" w:bidi="hr-HR"/>
        </w:rPr>
        <w:t>Teološki</w:t>
      </w:r>
      <w:r>
        <w:rPr>
          <w:rFonts w:ascii="Times New Roman" w:eastAsia="Times New Roman" w:hAnsi="Times New Roman" w:cs="Times New Roman"/>
          <w:color w:val="000000"/>
          <w:spacing w:val="0"/>
          <w:w w:val="100"/>
          <w:position w:val="0"/>
          <w:shd w:val="clear" w:color="auto" w:fill="auto"/>
          <w:lang w:val="hr-HR" w:eastAsia="hr-HR" w:bidi="hr-HR"/>
        </w:rPr>
        <w:t xml:space="preserve"> n.</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znači Božji stan. Svod je njegovo prijestolje odakle upravlja sudbinama ljudi. Pa ipak, već sam SZ demitologizira tu predodžbu: n. i zem</w:t>
        <w:softHyphen/>
        <w:t>lja ne mogu obuhvatiti Boga; stanovanje na nebu znači njegovu transcendenciju, njegovu nepristupačnost i daljinu (Jr 23,23 i d.). No, is</w:t>
        <w:softHyphen/>
        <w:t>todobno je on i sasvim bliz i prisutan Bog čija slava ispunjava zemlju (Iz 6,3). On čuje i usli- šava molbe svog naroda, pa i svakoga pojedi</w:t>
        <w:softHyphen/>
        <w:t>nog čovjeka. Kako je n. Božji stan, riječ n. se upotrebljava i kao sinonim za samoga Boga i za opisivanje njegova imena. »S neba« je identično s: od Boga (usp. Dn 4,23; Iv 3,27); »na nebesima« znači: kod Boga (Mt 16,19; 18,18; Lk 19,38).</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Tek u kasnijim pismima SZ javlja se </w:t>
      </w:r>
      <w:r>
        <w:rPr>
          <w:rFonts w:ascii="Times New Roman" w:eastAsia="Times New Roman" w:hAnsi="Times New Roman" w:cs="Times New Roman"/>
          <w:i/>
          <w:iCs/>
          <w:color w:val="000000"/>
          <w:spacing w:val="0"/>
          <w:w w:val="100"/>
          <w:position w:val="0"/>
          <w:shd w:val="clear" w:color="auto" w:fill="auto"/>
          <w:lang w:val="hr-HR" w:eastAsia="hr-HR" w:bidi="hr-HR"/>
        </w:rPr>
        <w:t>antropološ</w:t>
        <w:softHyphen/>
        <w:t>ki</w:t>
      </w:r>
      <w:r>
        <w:rPr>
          <w:rFonts w:ascii="Times New Roman" w:eastAsia="Times New Roman" w:hAnsi="Times New Roman" w:cs="Times New Roman"/>
          <w:color w:val="000000"/>
          <w:spacing w:val="0"/>
          <w:w w:val="100"/>
          <w:position w:val="0"/>
          <w:shd w:val="clear" w:color="auto" w:fill="auto"/>
          <w:lang w:val="hr-HR" w:eastAsia="hr-HR" w:bidi="hr-HR"/>
        </w:rPr>
        <w:t xml:space="preserve"> kao i </w:t>
      </w:r>
      <w:r>
        <w:rPr>
          <w:rFonts w:ascii="Times New Roman" w:eastAsia="Times New Roman" w:hAnsi="Times New Roman" w:cs="Times New Roman"/>
          <w:i/>
          <w:iCs/>
          <w:color w:val="000000"/>
          <w:spacing w:val="0"/>
          <w:w w:val="100"/>
          <w:position w:val="0"/>
          <w:shd w:val="clear" w:color="auto" w:fill="auto"/>
          <w:lang w:val="hr-HR" w:eastAsia="hr-HR" w:bidi="hr-HR"/>
        </w:rPr>
        <w:t>eshatološki</w:t>
      </w:r>
      <w:r>
        <w:rPr>
          <w:rFonts w:ascii="Times New Roman" w:eastAsia="Times New Roman" w:hAnsi="Times New Roman" w:cs="Times New Roman"/>
          <w:color w:val="000000"/>
          <w:spacing w:val="0"/>
          <w:w w:val="100"/>
          <w:position w:val="0"/>
          <w:shd w:val="clear" w:color="auto" w:fill="auto"/>
          <w:lang w:val="hr-HR" w:eastAsia="hr-HR" w:bidi="hr-HR"/>
        </w:rPr>
        <w:t xml:space="preserve"> relevantna predodžba da će pravednici biti vječno kod Boga (»na nebu«). Prema NZ kršćani trebaju težiti za onime što je »gore« (Kol 3,1), jer tamo je njihova domovina (Hl 3,20; Heb 13,14). Nebeska dobra su prava i stvarna (Heh 8,2; 9,24); na nebu je spremna na</w:t>
        <w:softHyphen/>
        <w:t>grada za dobra djela (Mk 10,21; Mt 6,20). Pravednici će biti s Kristom na nebu i stajat će pred Božjim prijestoljem (Otk 3, 21); na nebe</w:t>
        <w:softHyphen/>
        <w:t>sima imaju vječnu kuću (2 Kor 5,1).</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 NZ temeljna je </w:t>
      </w:r>
      <w:r>
        <w:rPr>
          <w:rFonts w:ascii="Times New Roman" w:eastAsia="Times New Roman" w:hAnsi="Times New Roman" w:cs="Times New Roman"/>
          <w:i/>
          <w:iCs/>
          <w:color w:val="000000"/>
          <w:spacing w:val="0"/>
          <w:w w:val="100"/>
          <w:position w:val="0"/>
          <w:shd w:val="clear" w:color="auto" w:fill="auto"/>
          <w:lang w:val="hr-HR" w:eastAsia="hr-HR" w:bidi="hr-HR"/>
        </w:rPr>
        <w:t>kristološka</w:t>
      </w:r>
      <w:r>
        <w:rPr>
          <w:rFonts w:ascii="Times New Roman" w:eastAsia="Times New Roman" w:hAnsi="Times New Roman" w:cs="Times New Roman"/>
          <w:color w:val="000000"/>
          <w:spacing w:val="0"/>
          <w:w w:val="100"/>
          <w:position w:val="0"/>
          <w:shd w:val="clear" w:color="auto" w:fill="auto"/>
          <w:lang w:val="hr-HR" w:eastAsia="hr-HR" w:bidi="hr-HR"/>
        </w:rPr>
        <w:t xml:space="preserve"> perspektiva: Krist je prema svojoj naravi sišao s nebesa (Iv 3,13; 6,38.41 i d., 50 i d.) i nakon svoje smrti vratio se tamo svojim uskrsnućem da bi sjedio Bogu s desne strane (Mk 16,19; Dj 3,21; Ef 1,20; 2,6; Heb 8,1; 1 Pt 3,22). Tako je on ušao u Božji stan (Heb 9,11-24) da bi se na kraju vremena opet pojavio (Heh 9,28). U tom smislu Pavao opisuje kršćansko životno drža</w:t>
        <w:softHyphen/>
        <w:t xml:space="preserve">nje kao iščekivanje u nadi Kristova ponovnog dolaska, koji treba očekivati s nebesa (I Sol 1,10; 4,16; 2 Sol 1,7; Fil 3,20). Tada </w:t>
      </w:r>
      <w:r>
        <w:rPr>
          <w:rFonts w:ascii="Times New Roman" w:eastAsia="Times New Roman" w:hAnsi="Times New Roman" w:cs="Times New Roman"/>
          <w:i/>
          <w:iCs/>
          <w:color w:val="000000"/>
          <w:spacing w:val="0"/>
          <w:w w:val="100"/>
          <w:position w:val="0"/>
          <w:shd w:val="clear" w:color="auto" w:fill="auto"/>
          <w:lang w:val="hr-HR" w:eastAsia="hr-HR" w:bidi="hr-HR"/>
        </w:rPr>
        <w:t>će</w:t>
      </w:r>
      <w:r>
        <w:rPr>
          <w:rFonts w:ascii="Times New Roman" w:eastAsia="Times New Roman" w:hAnsi="Times New Roman" w:cs="Times New Roman"/>
          <w:color w:val="000000"/>
          <w:spacing w:val="0"/>
          <w:w w:val="100"/>
          <w:position w:val="0"/>
          <w:shd w:val="clear" w:color="auto" w:fill="auto"/>
          <w:lang w:val="hr-HR" w:eastAsia="hr-HR" w:bidi="hr-HR"/>
        </w:rPr>
        <w:t xml:space="preserve"> nastati nova nebesa i nova zemlja (2 Pt 3,13).</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N. je s kršćanskoga gledišta teološka </w:t>
      </w:r>
      <w:r>
        <w:rPr>
          <w:rFonts w:ascii="Times New Roman" w:eastAsia="Times New Roman" w:hAnsi="Times New Roman" w:cs="Times New Roman"/>
          <w:i/>
          <w:iCs/>
          <w:color w:val="000000"/>
          <w:spacing w:val="0"/>
          <w:w w:val="100"/>
          <w:position w:val="0"/>
          <w:shd w:val="clear" w:color="auto" w:fill="auto"/>
          <w:lang w:val="hr-HR" w:eastAsia="hr-HR" w:bidi="hr-HR"/>
        </w:rPr>
        <w:t>metafora</w:t>
      </w:r>
      <w:r>
        <w:rPr>
          <w:rFonts w:ascii="Times New Roman" w:eastAsia="Times New Roman" w:hAnsi="Times New Roman" w:cs="Times New Roman"/>
          <w:color w:val="000000"/>
          <w:spacing w:val="0"/>
          <w:w w:val="100"/>
          <w:position w:val="0"/>
          <w:shd w:val="clear" w:color="auto" w:fill="auto"/>
          <w:lang w:val="hr-HR" w:eastAsia="hr-HR" w:bidi="hr-HR"/>
        </w:rPr>
        <w:t xml:space="preserve"> za konačno stanje spasenja ljudi koji su Kristovom smrću i uskrsnućem pomireni s Bogom i zauvijek s njim sjedinjeni. Prema to</w:t>
        <w:softHyphen/>
        <w:t>mu, n. nije mjesto koje postoji izvan vremena, nije nikakva prostorna onoslranost, nego osob</w:t>
        <w:softHyphen/>
        <w:t>na stvarnost: Po Kristu omogućeno (Mk 1,10; Mt 3,16; Lk 3,21), uvijeke trajno sjedinjenje ljudi s Bogom, životno zajedništvo s njime i međusobno. -» Pakao, -» Sud.</w:t>
      </w:r>
    </w:p>
    <w:p>
      <w:pPr>
        <w:pStyle w:val="Style56"/>
        <w:keepNext w:val="0"/>
        <w:keepLines w:val="0"/>
        <w:widowControl w:val="0"/>
        <w:shd w:val="clear" w:color="auto" w:fill="auto"/>
        <w:tabs>
          <w:tab w:pos="2218" w:val="left"/>
        </w:tabs>
        <w:bidi w:val="0"/>
        <w:spacing w:before="0" w:after="0" w:line="240" w:lineRule="auto"/>
        <w:ind w:left="0" w:right="0" w:firstLine="0"/>
        <w:jc w:val="both"/>
        <w:sectPr>
          <w:headerReference w:type="default" r:id="rId935"/>
          <w:footerReference w:type="default" r:id="rId936"/>
          <w:headerReference w:type="even" r:id="rId937"/>
          <w:footerReference w:type="even" r:id="rId938"/>
          <w:footnotePr>
            <w:pos w:val="pageBottom"/>
            <w:numFmt w:val="decimal"/>
            <w:numRestart w:val="continuous"/>
            <w15:footnoteColumns w:val="1"/>
          </w:footnotePr>
          <w:pgSz w:w="6816" w:h="11006"/>
          <w:pgMar w:top="1004" w:left="190" w:right="195" w:bottom="508" w:header="0" w:footer="3" w:gutter="0"/>
          <w:pgNumType w:start="308"/>
          <w:cols w:num="2" w:space="199"/>
          <w:noEndnote/>
          <w:rtlGutter w:val="0"/>
          <w:docGrid w:linePitch="360"/>
        </w:sectPr>
      </w:pPr>
      <w:r>
        <w:rPr>
          <w:color w:val="000000"/>
          <w:spacing w:val="0"/>
          <w:w w:val="100"/>
          <w:position w:val="0"/>
          <w:shd w:val="clear" w:color="auto" w:fill="auto"/>
          <w:lang w:val="hr-HR" w:eastAsia="hr-HR" w:bidi="hr-HR"/>
        </w:rPr>
        <w:t xml:space="preserve">Lit.: H. Haag (Hrsg.), </w:t>
      </w:r>
      <w:r>
        <w:rPr>
          <w:i/>
          <w:iCs/>
          <w:color w:val="000000"/>
          <w:spacing w:val="0"/>
          <w:w w:val="100"/>
          <w:position w:val="0"/>
          <w:shd w:val="clear" w:color="auto" w:fill="auto"/>
          <w:lang w:val="hr-HR" w:eastAsia="hr-HR" w:bidi="hr-HR"/>
        </w:rPr>
        <w:t>Btbellejdkon,</w:t>
      </w:r>
      <w:r>
        <w:rPr>
          <w:color w:val="000000"/>
          <w:spacing w:val="0"/>
          <w:w w:val="100"/>
          <w:position w:val="0"/>
          <w:shd w:val="clear" w:color="auto" w:fill="auto"/>
          <w:lang w:val="hr-HR" w:eastAsia="hr-HR" w:bidi="hr-HR"/>
        </w:rPr>
        <w:t xml:space="preserve"> Zurich/Einsicdeln/Koln •’1982,734-738; LThK, Bd. 5,352-358; </w:t>
      </w:r>
      <w:r>
        <w:rPr>
          <w:color w:val="000000"/>
          <w:spacing w:val="0"/>
          <w:w w:val="100"/>
          <w:position w:val="0"/>
          <w:shd w:val="clear" w:color="auto" w:fill="auto"/>
        </w:rPr>
        <w:t xml:space="preserve">J. Ratzinger, </w:t>
      </w:r>
      <w:r>
        <w:rPr>
          <w:i/>
          <w:iCs/>
          <w:color w:val="000000"/>
          <w:spacing w:val="0"/>
          <w:w w:val="100"/>
          <w:position w:val="0"/>
          <w:shd w:val="clear" w:color="auto" w:fill="auto"/>
          <w:lang w:val="hr-HR" w:eastAsia="hr-HR" w:bidi="hr-HR"/>
        </w:rPr>
        <w:t xml:space="preserve">Zschato- </w:t>
      </w:r>
      <w:r>
        <w:rPr>
          <w:i/>
          <w:iCs/>
          <w:color w:val="000000"/>
          <w:spacing w:val="0"/>
          <w:w w:val="100"/>
          <w:position w:val="0"/>
          <w:shd w:val="clear" w:color="auto" w:fill="auto"/>
        </w:rPr>
        <w:t xml:space="preserve">logie, Tod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 xml:space="preserve">ewiges </w:t>
      </w:r>
      <w:r>
        <w:rPr>
          <w:i/>
          <w:iCs/>
          <w:color w:val="000000"/>
          <w:spacing w:val="0"/>
          <w:w w:val="100"/>
          <w:position w:val="0"/>
          <w:shd w:val="clear" w:color="auto" w:fill="auto"/>
          <w:lang w:val="hr-HR" w:eastAsia="hr-HR" w:bidi="hr-HR"/>
        </w:rPr>
        <w:t xml:space="preserve">t.eben </w:t>
      </w:r>
      <w:r>
        <w:rPr>
          <w:i/>
          <w:iCs/>
          <w:color w:val="000000"/>
          <w:spacing w:val="0"/>
          <w:w w:val="100"/>
          <w:position w:val="0"/>
          <w:shd w:val="clear" w:color="auto" w:fill="auto"/>
        </w:rPr>
        <w:t xml:space="preserve">(Kleine </w:t>
      </w:r>
      <w:r>
        <w:rPr>
          <w:i/>
          <w:iCs/>
          <w:color w:val="000000"/>
          <w:spacing w:val="0"/>
          <w:w w:val="100"/>
          <w:position w:val="0"/>
          <w:shd w:val="clear" w:color="auto" w:fill="auto"/>
          <w:lang w:val="hr-HR" w:eastAsia="hr-HR" w:bidi="hr-HR"/>
        </w:rPr>
        <w:t xml:space="preserve">katholische Dogmatik, </w:t>
      </w:r>
      <w:r>
        <w:rPr>
          <w:color w:val="000000"/>
          <w:spacing w:val="0"/>
          <w:w w:val="100"/>
          <w:position w:val="0"/>
          <w:shd w:val="clear" w:color="auto" w:fill="auto"/>
        </w:rPr>
        <w:t xml:space="preserve">Rd. </w:t>
      </w:r>
      <w:r>
        <w:rPr>
          <w:color w:val="000000"/>
          <w:spacing w:val="0"/>
          <w:w w:val="100"/>
          <w:position w:val="0"/>
          <w:shd w:val="clear" w:color="auto" w:fill="auto"/>
          <w:lang w:val="hr-HR" w:eastAsia="hr-HR" w:bidi="hr-HR"/>
        </w:rPr>
        <w:t xml:space="preserve">9), </w:t>
      </w:r>
      <w:r>
        <w:rPr>
          <w:color w:val="000000"/>
          <w:spacing w:val="0"/>
          <w:w w:val="100"/>
          <w:position w:val="0"/>
          <w:shd w:val="clear" w:color="auto" w:fill="auto"/>
        </w:rPr>
        <w:t xml:space="preserve">Regensburg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1977, 190-193.</w:t>
        <w:tab/>
        <w:t xml:space="preserve">L </w:t>
      </w:r>
      <w:r>
        <w:rPr>
          <w:color w:val="000000"/>
          <w:spacing w:val="0"/>
          <w:w w:val="100"/>
          <w:position w:val="0"/>
          <w:shd w:val="clear" w:color="auto" w:fill="auto"/>
        </w:rPr>
        <w:t>HAGEMANS'</w:t>
      </w:r>
    </w:p>
    <w:p>
      <w:pPr>
        <w:pStyle w:val="Style63"/>
        <w:keepNext/>
        <w:keepLines/>
        <w:widowControl w:val="0"/>
        <w:numPr>
          <w:ilvl w:val="0"/>
          <w:numId w:val="349"/>
        </w:numPr>
        <w:shd w:val="clear" w:color="auto" w:fill="auto"/>
        <w:tabs>
          <w:tab w:pos="260" w:val="left"/>
        </w:tabs>
        <w:bidi w:val="0"/>
        <w:spacing w:before="0" w:line="223" w:lineRule="auto"/>
        <w:ind w:left="0" w:right="0" w:firstLine="0"/>
        <w:jc w:val="both"/>
      </w:pPr>
      <w:bookmarkStart w:id="219" w:name="bookmark219"/>
      <w:r>
        <w:rPr>
          <w:rFonts w:ascii="Times New Roman" w:eastAsia="Times New Roman" w:hAnsi="Times New Roman" w:cs="Times New Roman"/>
          <w:color w:val="000000"/>
          <w:spacing w:val="0"/>
          <w:w w:val="100"/>
          <w:position w:val="0"/>
          <w:shd w:val="clear" w:color="auto" w:fill="auto"/>
          <w:lang w:val="hr-HR" w:eastAsia="hr-HR" w:bidi="hr-HR"/>
        </w:rPr>
        <w:t>islamski</w:t>
      </w:r>
      <w:bookmarkEnd w:id="219"/>
    </w:p>
    <w:p>
      <w:pPr>
        <w:pStyle w:val="Style20"/>
        <w:keepNext w:val="0"/>
        <w:keepLines w:val="0"/>
        <w:widowControl w:val="0"/>
        <w:shd w:val="clear" w:color="auto" w:fill="auto"/>
        <w:tabs>
          <w:tab w:pos="2554" w:val="left"/>
        </w:tabs>
        <w:bidi w:val="0"/>
        <w:spacing w:before="0" w:after="240" w:line="254"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N. se u Kuranu kao boravište blaženih najčeš</w:t>
        <w:softHyphen/>
        <w:t>će označuje riječju dženet (al-djanna ili djan- nSt ‘adn: rajski vrt). Za to se dva puta upo</w:t>
        <w:softHyphen/>
        <w:t xml:space="preserve">trebljava oznaka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wirdafs </w:t>
      </w:r>
      <w:r>
        <w:rPr>
          <w:rFonts w:ascii="Times New Roman" w:eastAsia="Times New Roman" w:hAnsi="Times New Roman" w:cs="Times New Roman"/>
          <w:color w:val="000000"/>
          <w:spacing w:val="0"/>
          <w:w w:val="100"/>
          <w:position w:val="0"/>
          <w:sz w:val="15"/>
          <w:szCs w:val="15"/>
          <w:shd w:val="clear" w:color="auto" w:fill="auto"/>
          <w:lang w:val="hr-HR" w:eastAsia="hr-HR" w:bidi="hr-HR"/>
        </w:rPr>
        <w:t>(raj). N. ili raj jest prema Muhammadu Hamidullahu slikoviti pojam »za bolje razumijevanje onoga stanja koje je onkraj naše zemaljske mogućnosti shva</w:t>
        <w:softHyphen/>
        <w:t xml:space="preserve">ćanja«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Islam,</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 Salmiyah-Kuwait </w:t>
      </w:r>
      <w:r>
        <w:rPr>
          <w:rFonts w:ascii="Times New Roman" w:eastAsia="Times New Roman" w:hAnsi="Times New Roman" w:cs="Times New Roman"/>
          <w:color w:val="000000"/>
          <w:spacing w:val="0"/>
          <w:w w:val="100"/>
          <w:position w:val="0"/>
          <w:sz w:val="15"/>
          <w:szCs w:val="15"/>
          <w:shd w:val="clear" w:color="auto" w:fill="auto"/>
          <w:lang w:val="hr-HR" w:eastAsia="hr-HR" w:bidi="hr-HR"/>
        </w:rPr>
        <w:t>1973,99). Čitaju li se kuranski stihovi o dženetu čisto mehanički, tada se najprije stječe dojam da se u Islamu n. misli sasvim osjetilno. Naime, mnogi od tih stihova pružaju sliku tipično ze</w:t>
        <w:softHyphen/>
        <w:t xml:space="preserve">maljskih radosti i usrećenosti. Tako je A. J.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Wensinck </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mogao - polazeći od tog dojma - napisati u svojemu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 xml:space="preserve">Priručniku islama (Hand-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 xml:space="preserve">worterbuch des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Islam):</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»Njegov (naime Mu- hamedov) raj u bitnome je vrt s lijepim žena</w:t>
        <w:softHyphen/>
        <w:t>ma, sjedalicama od dragocjenih tkanina, obil</w:t>
        <w:softHyphen/>
        <w:t>nih pića i dobrih plodova«. Taj učenjak zabo</w:t>
        <w:softHyphen/>
        <w:t>ravlja da je u istoj natuknici kratko prije toga morao ustvrditi kako se u Kuranu n. »vrlo če</w:t>
        <w:softHyphen/>
        <w:t>sto označuje kao sastavnica dženet/raj (sic!)« (HI, 111). Slikoviti karakter opisa raja u Ku</w:t>
        <w:softHyphen/>
        <w:t xml:space="preserve">ranu jasno proizlazi iz narednih stihova: »Nitko ne zna kakve su radosti sakrivene od njih, kao nagrada za ono što su radili« (32,17). »Bog je obećao vjernicima i vjernicanta dže- nete ispod kojih teku rijeke, u kojima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(dženet- skim vrtovima) će</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oni vječno boraviti. I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(obe</w:t>
        <w:softHyphen/>
        <w:t>ćao im je)</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divne stanove u dženetima Adna. A zadovoljstvo od Boga je najveća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(nagrada).</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To je veliki spas« (9,73), a »Oni koji čine do</w:t>
        <w:softHyphen/>
        <w:t>bročinstva imat će dobročinstva i više od to</w:t>
        <w:softHyphen/>
        <w:t>ga« (10,26). Prema jednoj egzegezi ovoga sti</w:t>
        <w:softHyphen/>
        <w:t>ha, koja je utemeljena u hadisima, najviše što vjernik može očekivati jest zrenje Boga (visio beatafica). Osim dženeta kao Kraljevstva ne</w:t>
        <w:softHyphen/>
        <w:t>beskoga u Kuranu se izvješćuje i o zemalj</w:t>
        <w:softHyphen/>
        <w:t xml:space="preserve">skom raju, u kojemu su svoj prvi zavičaj imali Adam i Eva. U nebu vječno ostaju svi blaženi. </w:t>
      </w:r>
      <w:r>
        <w:rPr>
          <w:rFonts w:ascii="Arial" w:eastAsia="Arial" w:hAnsi="Arial" w:cs="Arial"/>
          <w:color w:val="000000"/>
          <w:spacing w:val="0"/>
          <w:w w:val="100"/>
          <w:position w:val="0"/>
          <w:sz w:val="12"/>
          <w:szCs w:val="12"/>
          <w:shd w:val="clear" w:color="auto" w:fill="auto"/>
          <w:lang w:val="hr-HR" w:eastAsia="hr-HR" w:bidi="hr-HR"/>
        </w:rPr>
        <w:t>Lit.: Djanna, u: HI, 110-112.</w:t>
        <w:tab/>
        <w:t>S. BAI.1Ć</w:t>
      </w:r>
    </w:p>
    <w:p>
      <w:pPr>
        <w:pStyle w:val="Style33"/>
        <w:keepNext w:val="0"/>
        <w:keepLines w:val="0"/>
        <w:widowControl w:val="0"/>
        <w:shd w:val="clear" w:color="auto" w:fill="auto"/>
        <w:bidi w:val="0"/>
        <w:spacing w:before="0" w:after="120" w:line="223"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NOVI ZAVJET</w:t>
      </w:r>
    </w:p>
    <w:p>
      <w:pPr>
        <w:pStyle w:val="Style63"/>
        <w:keepNext/>
        <w:keepLines/>
        <w:widowControl w:val="0"/>
        <w:numPr>
          <w:ilvl w:val="0"/>
          <w:numId w:val="353"/>
        </w:numPr>
        <w:shd w:val="clear" w:color="auto" w:fill="auto"/>
        <w:tabs>
          <w:tab w:pos="246" w:val="left"/>
        </w:tabs>
        <w:bidi w:val="0"/>
        <w:spacing w:before="0" w:line="223" w:lineRule="auto"/>
        <w:ind w:left="0" w:right="0" w:firstLine="0"/>
        <w:jc w:val="both"/>
      </w:pPr>
      <w:bookmarkStart w:id="220" w:name="bookmark220"/>
      <w:r>
        <w:rPr>
          <w:rFonts w:ascii="Times New Roman" w:eastAsia="Times New Roman" w:hAnsi="Times New Roman" w:cs="Times New Roman"/>
          <w:color w:val="000000"/>
          <w:spacing w:val="0"/>
          <w:w w:val="100"/>
          <w:position w:val="0"/>
          <w:shd w:val="clear" w:color="auto" w:fill="auto"/>
          <w:lang w:val="hr-HR" w:eastAsia="hr-HR" w:bidi="hr-HR"/>
        </w:rPr>
        <w:t>židovski</w:t>
      </w:r>
      <w:bookmarkEnd w:id="22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 židovskoga gledišta važna je činjenica što se NZ odnosi na hebrejsku Bibliju u svojem značaju kao Sveto pismo koje se tumači i ko</w:t>
        <w:softHyphen/>
        <w:t xml:space="preserve">je židovski narod smatra čvrstom smjernicom kao svojom praslikom. </w:t>
      </w:r>
      <w:r>
        <w:rPr>
          <w:rFonts w:ascii="Times New Roman" w:eastAsia="Times New Roman" w:hAnsi="Times New Roman" w:cs="Times New Roman"/>
          <w:color w:val="000000"/>
          <w:spacing w:val="0"/>
          <w:w w:val="100"/>
          <w:position w:val="0"/>
          <w:shd w:val="clear" w:color="auto" w:fill="auto"/>
          <w:lang w:val="en-US" w:eastAsia="en-US" w:bidi="en-US"/>
        </w:rPr>
        <w:t xml:space="preserve">Franz Roscnzweig </w:t>
      </w:r>
      <w:r>
        <w:rPr>
          <w:rFonts w:ascii="Times New Roman" w:eastAsia="Times New Roman" w:hAnsi="Times New Roman" w:cs="Times New Roman"/>
          <w:color w:val="000000"/>
          <w:spacing w:val="0"/>
          <w:w w:val="100"/>
          <w:position w:val="0"/>
          <w:shd w:val="clear" w:color="auto" w:fill="auto"/>
          <w:lang w:val="hr-HR" w:eastAsia="hr-HR" w:bidi="hr-HR"/>
        </w:rPr>
        <w:t>(1886-1929) pronašao je paralelu između Tal- muda i Novoga zavjeta u tome što i jedan i drugi »svoje božansko podrijetlo teoretski po</w:t>
        <w:softHyphen/>
        <w:t xml:space="preserve">tvrđuju vezom sa Starim zavjetom,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potvrđenim općim logičnim izvođenjem iz nje</w:t>
        <w:softHyphen/>
        <w:t>ga, a NZ potvrđenim općim povijesnim karak</w:t>
        <w:softHyphen/>
        <w:t xml:space="preserve">terom ispunjenja«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Erlosung, </w:t>
      </w:r>
      <w:r>
        <w:rPr>
          <w:rFonts w:ascii="Times New Roman" w:eastAsia="Times New Roman" w:hAnsi="Times New Roman" w:cs="Times New Roman"/>
          <w:color w:val="000000"/>
          <w:spacing w:val="0"/>
          <w:w w:val="100"/>
          <w:position w:val="0"/>
          <w:shd w:val="clear" w:color="auto" w:fill="auto"/>
          <w:lang w:val="hr-HR" w:eastAsia="hr-HR" w:bidi="hr-HR"/>
        </w:rPr>
        <w:t xml:space="preserve">“1976, 129). U jednom dijelu Novoga zavjeta </w:t>
      </w:r>
      <w:r>
        <w:rPr>
          <w:rFonts w:ascii="Times New Roman" w:eastAsia="Times New Roman" w:hAnsi="Times New Roman" w:cs="Times New Roman"/>
          <w:color w:val="000000"/>
          <w:spacing w:val="0"/>
          <w:w w:val="100"/>
          <w:position w:val="0"/>
          <w:shd w:val="clear" w:color="auto" w:fill="auto"/>
          <w:lang w:val="en-US" w:eastAsia="en-US" w:bidi="en-US"/>
        </w:rPr>
        <w:t xml:space="preserve">Leo Baeck </w:t>
      </w:r>
      <w:r>
        <w:rPr>
          <w:rFonts w:ascii="Times New Roman" w:eastAsia="Times New Roman" w:hAnsi="Times New Roman" w:cs="Times New Roman"/>
          <w:color w:val="000000"/>
          <w:spacing w:val="0"/>
          <w:w w:val="100"/>
          <w:position w:val="0"/>
          <w:shd w:val="clear" w:color="auto" w:fill="auto"/>
          <w:lang w:val="hr-HR" w:eastAsia="hr-HR" w:bidi="hr-HR"/>
        </w:rPr>
        <w:t>(1873-1956) vidi »dokument povi</w:t>
        <w:softHyphen/>
        <w:t>jesti židovske vjere«: naime, kada se uklone »gornji, natkrivni slojevi«, koji se ubrajaju u »povijest crkvene vjere« i koji »pokazuju sim</w:t>
        <w:softHyphen/>
        <w:t>boliku i rađanje dogme« i otkrivaju zaokret prema grčko-rimskom svijetu i rimskim vlas</w:t>
        <w:softHyphen/>
        <w:t>tima i izražavaju želju da »pred njima ne budu izjednačeni sa židovskim narodom«, pa »time ta stara tradicija dolazi na vidjelo«, tada »evan</w:t>
        <w:softHyphen/>
        <w:t>đelje, ono židovsko, kakvo je prvobitno bilo, postaje knjigom, ne malom, u židovskoj litera</w:t>
        <w:softHyphen/>
        <w:t xml:space="preserve">turi«.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color w:val="000000"/>
          <w:spacing w:val="0"/>
          <w:w w:val="100"/>
          <w:position w:val="0"/>
          <w:shd w:val="clear" w:color="auto" w:fill="auto"/>
          <w:lang w:val="hr-HR" w:eastAsia="hr-HR" w:bidi="hr-HR"/>
        </w:rPr>
        <w:t>je objasnio svoje stajalište: »To je židovska knjiga... skroz-naskroz zato što je čist zrak, koji je ispunjava i koji ona diše, zrak Svetoga pisma, zato što u njoj vlada židovski duh, samo on, zato što u njoj odzvanjaju ži</w:t>
        <w:softHyphen/>
        <w:t>dovska vjera i židovska nada, židovska patnja i židovska nevolja, židovsko znanje i židovsko očekivanje, samo oni - židovska knjiga usred židovskih knjiga.« Najistaknutiji duhovni pred</w:t>
        <w:softHyphen/>
        <w:t>stavnik njemačkoga židovstva prije uništenja dodao je opominjući: »Židovstvo je ne smije zaobilaziti, krivo shvatiti niti je se odreci. I ovdje židovstvo treba shvatiti svoje vlastito ka</w:t>
        <w:softHyphen/>
        <w:t>ko bi znalo svoje vlastito« (studija o Evan</w:t>
        <w:softHyphen/>
        <w:t xml:space="preserve">đelju, 1938, prihvaćena je u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 xml:space="preserve">Paulus, 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Pharisder </w:t>
      </w:r>
      <w:r>
        <w:rPr>
          <w:rFonts w:ascii="Times New Roman" w:eastAsia="Times New Roman" w:hAnsi="Times New Roman" w:cs="Times New Roman"/>
          <w:i/>
          <w:iCs/>
          <w:color w:val="000000"/>
          <w:spacing w:val="0"/>
          <w:w w:val="100"/>
          <w:position w:val="0"/>
          <w:shd w:val="clear" w:color="auto" w:fill="auto"/>
          <w:lang w:val="en-US" w:eastAsia="en-US" w:bidi="en-US"/>
        </w:rPr>
        <w:t>und das Neue Testament,</w:t>
      </w:r>
      <w:r>
        <w:rPr>
          <w:rFonts w:ascii="Times New Roman" w:eastAsia="Times New Roman" w:hAnsi="Times New Roman" w:cs="Times New Roman"/>
          <w:color w:val="000000"/>
          <w:spacing w:val="0"/>
          <w:w w:val="100"/>
          <w:position w:val="0"/>
          <w:shd w:val="clear" w:color="auto" w:fill="auto"/>
          <w:lang w:val="en-US" w:eastAsia="en-US" w:bidi="en-US"/>
        </w:rPr>
        <w:t xml:space="preserve"> 1961, 99-162,159.162).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Međutim, taj sud ne može prikriti činjenicu da se mnogih židovskih čitatelja Novoga za</w:t>
        <w:softHyphen/>
        <w:t xml:space="preserve">vjeta negativno doima kad se na tome mjestu govori o Židovima, posebice o farizejima (npr. Mt 23; usp.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Klausner,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Jesus von Nazareth, </w:t>
      </w:r>
      <w:r>
        <w:rPr>
          <w:rFonts w:ascii="Times New Roman" w:eastAsia="Times New Roman" w:hAnsi="Times New Roman" w:cs="Times New Roman"/>
          <w:color w:val="000000"/>
          <w:spacing w:val="0"/>
          <w:w w:val="100"/>
          <w:position w:val="0"/>
          <w:shd w:val="clear" w:color="auto" w:fill="auto"/>
          <w:lang w:val="hr-HR" w:eastAsia="hr-HR" w:bidi="hr-HR"/>
        </w:rPr>
        <w:t xml:space="preserve">’1952, 159 i d.; 285 i d.;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 xml:space="preserve">Phrisaer- tum, u: </w:t>
      </w:r>
      <w:r>
        <w:rPr>
          <w:rFonts w:ascii="Times New Roman" w:eastAsia="Times New Roman" w:hAnsi="Times New Roman" w:cs="Times New Roman"/>
          <w:i/>
          <w:iCs/>
          <w:color w:val="000000"/>
          <w:spacing w:val="0"/>
          <w:w w:val="100"/>
          <w:position w:val="0"/>
          <w:shd w:val="clear" w:color="auto" w:fill="auto"/>
          <w:lang w:val="hr-HR" w:eastAsia="hr-HR" w:bidi="hr-HR"/>
        </w:rPr>
        <w:t>DerJude,</w:t>
      </w:r>
      <w:r>
        <w:rPr>
          <w:rFonts w:ascii="Times New Roman" w:eastAsia="Times New Roman" w:hAnsi="Times New Roman" w:cs="Times New Roman"/>
          <w:color w:val="000000"/>
          <w:spacing w:val="0"/>
          <w:w w:val="100"/>
          <w:position w:val="0"/>
          <w:shd w:val="clear" w:color="auto" w:fill="auto"/>
          <w:lang w:val="hr-HR" w:eastAsia="hr-HR" w:bidi="hr-HR"/>
        </w:rPr>
        <w:t xml:space="preserve"> posebni svezak 1925, 123-31;</w:t>
      </w:r>
    </w:p>
    <w:p>
      <w:pPr>
        <w:pStyle w:val="Style20"/>
        <w:keepNext w:val="0"/>
        <w:keepLines w:val="0"/>
        <w:widowControl w:val="0"/>
        <w:numPr>
          <w:ilvl w:val="0"/>
          <w:numId w:val="355"/>
        </w:numPr>
        <w:shd w:val="clear" w:color="auto" w:fill="auto"/>
        <w:tabs>
          <w:tab w:pos="265" w:val="left"/>
        </w:tabs>
        <w:bidi w:val="0"/>
        <w:spacing w:before="0" w:after="0"/>
        <w:ind w:left="0" w:right="0" w:firstLine="0"/>
        <w:jc w:val="both"/>
        <w:sectPr>
          <w:headerReference w:type="default" r:id="rId939"/>
          <w:footerReference w:type="default" r:id="rId940"/>
          <w:headerReference w:type="even" r:id="rId941"/>
          <w:footerReference w:type="even" r:id="rId942"/>
          <w:footnotePr>
            <w:pos w:val="pageBottom"/>
            <w:numFmt w:val="decimal"/>
            <w:numRestart w:val="continuous"/>
            <w15:footnoteColumns w:val="1"/>
          </w:footnotePr>
          <w:pgSz w:w="6816" w:h="11006"/>
          <w:pgMar w:top="1004" w:left="190" w:right="195" w:bottom="508" w:header="0" w:footer="80" w:gutter="0"/>
          <w:pgNumType w:start="313"/>
          <w:cols w:num="2" w:space="199"/>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Baeck, op. </w:t>
      </w:r>
      <w:r>
        <w:rPr>
          <w:rFonts w:ascii="Times New Roman" w:eastAsia="Times New Roman" w:hAnsi="Times New Roman" w:cs="Times New Roman"/>
          <w:color w:val="000000"/>
          <w:spacing w:val="0"/>
          <w:w w:val="100"/>
          <w:position w:val="0"/>
          <w:shd w:val="clear" w:color="auto" w:fill="auto"/>
          <w:lang w:val="hr-HR" w:eastAsia="hr-HR" w:bidi="hr-HR"/>
        </w:rPr>
        <w:t xml:space="preserve">cit., 39-98; E. L. </w:t>
      </w:r>
      <w:r>
        <w:rPr>
          <w:rFonts w:ascii="Times New Roman" w:eastAsia="Times New Roman" w:hAnsi="Times New Roman" w:cs="Times New Roman"/>
          <w:color w:val="000000"/>
          <w:spacing w:val="0"/>
          <w:w w:val="100"/>
          <w:position w:val="0"/>
          <w:shd w:val="clear" w:color="auto" w:fill="auto"/>
          <w:lang w:val="en-US" w:eastAsia="en-US" w:bidi="en-US"/>
        </w:rPr>
        <w:t xml:space="preserve">Ehrlich, </w:t>
      </w:r>
      <w:r>
        <w:rPr>
          <w:rFonts w:ascii="Times New Roman" w:eastAsia="Times New Roman" w:hAnsi="Times New Roman" w:cs="Times New Roman"/>
          <w:color w:val="000000"/>
          <w:spacing w:val="0"/>
          <w:w w:val="100"/>
          <w:position w:val="0"/>
          <w:shd w:val="clear" w:color="auto" w:fill="auto"/>
          <w:lang w:val="hr-HR" w:eastAsia="hr-HR" w:bidi="hr-HR"/>
        </w:rPr>
        <w:t xml:space="preserve">Zur Geschichtc der Pharisaer,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Freiburger Rund-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brief </w:t>
      </w:r>
      <w:r>
        <w:rPr>
          <w:rFonts w:ascii="Times New Roman" w:eastAsia="Times New Roman" w:hAnsi="Times New Roman" w:cs="Times New Roman"/>
          <w:i/>
          <w:iCs/>
          <w:color w:val="000000"/>
          <w:spacing w:val="0"/>
          <w:w w:val="100"/>
          <w:position w:val="0"/>
          <w:shd w:val="clear" w:color="auto" w:fill="auto"/>
          <w:lang w:val="hr-HR" w:eastAsia="hr-HR" w:bidi="hr-HR"/>
        </w:rPr>
        <w:t>XXIX,</w:t>
      </w:r>
      <w:r>
        <w:rPr>
          <w:rFonts w:ascii="Times New Roman" w:eastAsia="Times New Roman" w:hAnsi="Times New Roman" w:cs="Times New Roman"/>
          <w:color w:val="000000"/>
          <w:spacing w:val="0"/>
          <w:w w:val="100"/>
          <w:position w:val="0"/>
          <w:shd w:val="clear" w:color="auto" w:fill="auto"/>
          <w:lang w:val="hr-HR" w:eastAsia="hr-HR" w:bidi="hr-HR"/>
        </w:rPr>
        <w:t xml:space="preserve"> 1977, 46-52; R. Ruether, </w:t>
      </w:r>
      <w:r>
        <w:rPr>
          <w:rFonts w:ascii="Times New Roman" w:eastAsia="Times New Roman" w:hAnsi="Times New Roman" w:cs="Times New Roman"/>
          <w:i/>
          <w:iCs/>
          <w:color w:val="000000"/>
          <w:spacing w:val="0"/>
          <w:w w:val="100"/>
          <w:position w:val="0"/>
          <w:shd w:val="clear" w:color="auto" w:fill="auto"/>
          <w:lang w:val="hr-HR" w:eastAsia="hr-HR" w:bidi="hr-HR"/>
        </w:rPr>
        <w:t>Nachslen- liebe und Brudennord,</w:t>
      </w:r>
      <w:r>
        <w:rPr>
          <w:rFonts w:ascii="Times New Roman" w:eastAsia="Times New Roman" w:hAnsi="Times New Roman" w:cs="Times New Roman"/>
          <w:color w:val="000000"/>
          <w:spacing w:val="0"/>
          <w:w w:val="100"/>
          <w:position w:val="0"/>
          <w:shd w:val="clear" w:color="auto" w:fill="auto"/>
          <w:lang w:val="hr-HR" w:eastAsia="hr-HR" w:bidi="hr-HR"/>
        </w:rPr>
        <w:t xml:space="preserve"> 1978, 66 i d.) čije je naslijeđe preuzelo rabinsko židovstvo. Proble</w:t>
        <w:softHyphen/>
        <w:t>matičnom smatraju i povijest Muke (J. Klaus</w:t>
        <w:softHyphen/>
        <w:t xml:space="preserve">ner, op.cit., 459 i d.; S. </w:t>
      </w:r>
      <w:r>
        <w:rPr>
          <w:rFonts w:ascii="Times New Roman" w:eastAsia="Times New Roman" w:hAnsi="Times New Roman" w:cs="Times New Roman"/>
          <w:color w:val="000000"/>
          <w:spacing w:val="0"/>
          <w:w w:val="100"/>
          <w:position w:val="0"/>
          <w:shd w:val="clear" w:color="auto" w:fill="auto"/>
          <w:lang w:val="en-US" w:eastAsia="en-US" w:bidi="en-US"/>
        </w:rPr>
        <w:t xml:space="preserve">Ben-Chorin, </w:t>
      </w:r>
      <w:r>
        <w:rPr>
          <w:rFonts w:ascii="Times New Roman" w:eastAsia="Times New Roman" w:hAnsi="Times New Roman" w:cs="Times New Roman"/>
          <w:i/>
          <w:iCs/>
          <w:color w:val="000000"/>
          <w:spacing w:val="0"/>
          <w:w w:val="100"/>
          <w:position w:val="0"/>
          <w:shd w:val="clear" w:color="auto" w:fill="auto"/>
          <w:lang w:val="en-US" w:eastAsia="en-US" w:bidi="en-US"/>
        </w:rPr>
        <w:t>Bruder Je</w:t>
        <w:softHyphen/>
        <w:t>sus,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1977, 156 i d.; D. </w:t>
      </w:r>
      <w:r>
        <w:rPr>
          <w:rFonts w:ascii="Times New Roman" w:eastAsia="Times New Roman" w:hAnsi="Times New Roman" w:cs="Times New Roman"/>
          <w:color w:val="000000"/>
          <w:spacing w:val="0"/>
          <w:w w:val="100"/>
          <w:position w:val="0"/>
          <w:shd w:val="clear" w:color="auto" w:fill="auto"/>
          <w:lang w:val="en-US" w:eastAsia="en-US" w:bidi="en-US"/>
        </w:rPr>
        <w:t xml:space="preserve">Flusser, </w:t>
      </w:r>
      <w:r>
        <w:rPr>
          <w:rFonts w:ascii="Times New Roman" w:eastAsia="Times New Roman" w:hAnsi="Times New Roman" w:cs="Times New Roman"/>
          <w:i/>
          <w:iCs/>
          <w:color w:val="000000"/>
          <w:spacing w:val="0"/>
          <w:w w:val="100"/>
          <w:position w:val="0"/>
          <w:shd w:val="clear" w:color="auto" w:fill="auto"/>
          <w:lang w:val="en-US" w:eastAsia="en-US" w:bidi="en-US"/>
        </w:rPr>
        <w:t>Jesus,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1968/1978, 117 i d.; isti,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lelzten Tuge Jesu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Jerusalem,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1982, 88 i d., 118 i d.). Rano kršćanstvo, koje se htjelo proširiti u Rimskom Carstvu, riješilo je problem, tj. činjenicu da su Isusa, prema njegovoj predaji, pogubili Rimljani, time što se glavna odgovornost s Rimljana prebacila na Židove: »To znači da su Židove svih vre</w:t>
        <w:softHyphen/>
        <w:t xml:space="preserve">mena i mjesta okrivili za ubojstvo Boga« (S. </w:t>
      </w:r>
      <w:r>
        <w:rPr>
          <w:rFonts w:ascii="Times New Roman" w:eastAsia="Times New Roman" w:hAnsi="Times New Roman" w:cs="Times New Roman"/>
          <w:color w:val="000000"/>
          <w:spacing w:val="0"/>
          <w:w w:val="100"/>
          <w:position w:val="0"/>
          <w:shd w:val="clear" w:color="auto" w:fill="auto"/>
          <w:lang w:val="en-US" w:eastAsia="en-US" w:bidi="en-US"/>
        </w:rPr>
        <w:t xml:space="preserve">Sandmel, </w:t>
      </w:r>
      <w:r>
        <w:rPr>
          <w:rFonts w:ascii="Times New Roman" w:eastAsia="Times New Roman" w:hAnsi="Times New Roman" w:cs="Times New Roman"/>
          <w:i/>
          <w:iCs/>
          <w:color w:val="000000"/>
          <w:spacing w:val="0"/>
          <w:w w:val="100"/>
          <w:position w:val="0"/>
          <w:shd w:val="clear" w:color="auto" w:fill="auto"/>
          <w:lang w:val="en-US" w:eastAsia="en-US" w:bidi="en-US"/>
        </w:rPr>
        <w:t>Anti-Semitism in the New Testa</w:t>
        <w:softHyphen/>
        <w:t>ment?,</w:t>
      </w:r>
      <w:r>
        <w:rPr>
          <w:rFonts w:ascii="Times New Roman" w:eastAsia="Times New Roman" w:hAnsi="Times New Roman" w:cs="Times New Roman"/>
          <w:color w:val="000000"/>
          <w:spacing w:val="0"/>
          <w:w w:val="100"/>
          <w:position w:val="0"/>
          <w:shd w:val="clear" w:color="auto" w:fill="auto"/>
          <w:lang w:val="en-US" w:eastAsia="en-US" w:bidi="en-US"/>
        </w:rPr>
        <w:t xml:space="preserve"> 1978, 136). </w:t>
      </w:r>
      <w:r>
        <w:rPr>
          <w:rFonts w:ascii="Times New Roman" w:eastAsia="Times New Roman" w:hAnsi="Times New Roman" w:cs="Times New Roman"/>
          <w:color w:val="000000"/>
          <w:spacing w:val="0"/>
          <w:w w:val="100"/>
          <w:position w:val="0"/>
          <w:shd w:val="clear" w:color="auto" w:fill="auto"/>
          <w:lang w:val="hr-HR" w:eastAsia="hr-HR" w:bidi="hr-HR"/>
        </w:rPr>
        <w:t>Židovima je prije svega Pavlovo shvaćanje »Zakona« bilo neprihvat</w:t>
        <w:softHyphen/>
        <w:t xml:space="preserve">ljivo (usp.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Klausner,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Von Jesus </w:t>
      </w:r>
      <w:r>
        <w:rPr>
          <w:rFonts w:ascii="Times New Roman" w:eastAsia="Times New Roman" w:hAnsi="Times New Roman" w:cs="Times New Roman"/>
          <w:i/>
          <w:iCs/>
          <w:color w:val="000000"/>
          <w:spacing w:val="0"/>
          <w:w w:val="100"/>
          <w:position w:val="0"/>
          <w:shd w:val="clear" w:color="auto" w:fill="auto"/>
          <w:lang w:val="hr-HR" w:eastAsia="hr-HR" w:bidi="hr-HR"/>
        </w:rPr>
        <w:t xml:space="preserve">zu </w:t>
      </w:r>
      <w:r>
        <w:rPr>
          <w:rFonts w:ascii="Times New Roman" w:eastAsia="Times New Roman" w:hAnsi="Times New Roman" w:cs="Times New Roman"/>
          <w:i/>
          <w:iCs/>
          <w:color w:val="000000"/>
          <w:spacing w:val="0"/>
          <w:w w:val="100"/>
          <w:position w:val="0"/>
          <w:shd w:val="clear" w:color="auto" w:fill="auto"/>
          <w:lang w:val="en-US" w:eastAsia="en-US" w:bidi="en-US"/>
        </w:rPr>
        <w:t xml:space="preserve">Paulus, </w:t>
      </w:r>
      <w:r>
        <w:rPr>
          <w:rFonts w:ascii="Times New Roman" w:eastAsia="Times New Roman" w:hAnsi="Times New Roman" w:cs="Times New Roman"/>
          <w:color w:val="000000"/>
          <w:spacing w:val="0"/>
          <w:w w:val="100"/>
          <w:position w:val="0"/>
          <w:shd w:val="clear" w:color="auto" w:fill="auto"/>
          <w:lang w:val="hr-HR" w:eastAsia="hr-HR" w:bidi="hr-HR"/>
        </w:rPr>
        <w:t xml:space="preserve">1950, 461 i d.;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color w:val="000000"/>
          <w:spacing w:val="0"/>
          <w:w w:val="100"/>
          <w:position w:val="0"/>
          <w:shd w:val="clear" w:color="auto" w:fill="auto"/>
          <w:lang w:val="hr-HR" w:eastAsia="hr-HR" w:bidi="hr-HR"/>
        </w:rPr>
        <w:t xml:space="preserve">op.cit., 6-37; S. Ben- </w:t>
      </w:r>
      <w:r>
        <w:rPr>
          <w:rFonts w:ascii="Times New Roman" w:eastAsia="Times New Roman" w:hAnsi="Times New Roman" w:cs="Times New Roman"/>
          <w:color w:val="000000"/>
          <w:spacing w:val="0"/>
          <w:w w:val="100"/>
          <w:position w:val="0"/>
          <w:shd w:val="clear" w:color="auto" w:fill="auto"/>
          <w:lang w:val="en-US" w:eastAsia="en-US" w:bidi="en-US"/>
        </w:rPr>
        <w:t xml:space="preserve">Chorin, </w:t>
      </w:r>
      <w:r>
        <w:rPr>
          <w:rFonts w:ascii="Times New Roman" w:eastAsia="Times New Roman" w:hAnsi="Times New Roman" w:cs="Times New Roman"/>
          <w:i/>
          <w:iCs/>
          <w:color w:val="000000"/>
          <w:spacing w:val="0"/>
          <w:w w:val="100"/>
          <w:position w:val="0"/>
          <w:shd w:val="clear" w:color="auto" w:fill="auto"/>
          <w:lang w:val="en-US" w:eastAsia="en-US" w:bidi="en-US"/>
        </w:rPr>
        <w:t>Paulus,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1970/1980, 52 i d.; P. Lapi- de/P. Stuhlmacher, </w:t>
      </w:r>
      <w:r>
        <w:rPr>
          <w:rFonts w:ascii="Times New Roman" w:eastAsia="Times New Roman" w:hAnsi="Times New Roman" w:cs="Times New Roman"/>
          <w:i/>
          <w:iCs/>
          <w:color w:val="000000"/>
          <w:spacing w:val="0"/>
          <w:w w:val="100"/>
          <w:position w:val="0"/>
          <w:shd w:val="clear" w:color="auto" w:fill="auto"/>
          <w:lang w:val="en-US" w:eastAsia="en-US" w:bidi="en-US"/>
        </w:rPr>
        <w:t>Paulus,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1981, 40 i d.; W. Zuidema, </w:t>
      </w:r>
      <w:r>
        <w:rPr>
          <w:rFonts w:ascii="Times New Roman" w:eastAsia="Times New Roman" w:hAnsi="Times New Roman" w:cs="Times New Roman"/>
          <w:i/>
          <w:iCs/>
          <w:color w:val="000000"/>
          <w:spacing w:val="0"/>
          <w:w w:val="100"/>
          <w:position w:val="0"/>
          <w:shd w:val="clear" w:color="auto" w:fill="auto"/>
          <w:lang w:val="hr-HR" w:eastAsia="hr-HR" w:bidi="hr-HR"/>
        </w:rPr>
        <w:t>Gottes Partner,</w:t>
      </w:r>
      <w:r>
        <w:rPr>
          <w:rFonts w:ascii="Times New Roman" w:eastAsia="Times New Roman" w:hAnsi="Times New Roman" w:cs="Times New Roman"/>
          <w:color w:val="000000"/>
          <w:spacing w:val="0"/>
          <w:w w:val="100"/>
          <w:position w:val="0"/>
          <w:shd w:val="clear" w:color="auto" w:fill="auto"/>
          <w:lang w:val="hr-HR" w:eastAsia="hr-HR" w:bidi="hr-HR"/>
        </w:rPr>
        <w:t xml:space="preserve"> 1983, 39 i d.): Nije li Bog dao Izraelu Toru (Zakon) radi posveći</w:t>
        <w:softHyphen/>
        <w:t>vanja; u njoj se izražava njegova volja; ona ni</w:t>
        <w:softHyphen/>
        <w:t>pošto nije uzrok grijeha i smrti, već prije izvor života i svjetlosti. Ne odaju li Pavlove izjave apostatski prezir, odbijanje onoga što je na</w:t>
        <w:softHyphen/>
        <w:t xml:space="preserve">pustio? (S. Sandmel, op.cit.; K. Stcndahl,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Jude Paulus </w:t>
      </w:r>
      <w:r>
        <w:rPr>
          <w:rFonts w:ascii="Times New Roman" w:eastAsia="Times New Roman" w:hAnsi="Times New Roman" w:cs="Times New Roman"/>
          <w:i/>
          <w:iCs/>
          <w:color w:val="000000"/>
          <w:spacing w:val="0"/>
          <w:w w:val="100"/>
          <w:position w:val="0"/>
          <w:shd w:val="clear" w:color="auto" w:fill="auto"/>
          <w:lang w:val="hr-HR" w:eastAsia="hr-HR" w:bidi="hr-HR"/>
        </w:rPr>
        <w:t>und wir Heiden,</w:t>
      </w:r>
      <w:r>
        <w:rPr>
          <w:rFonts w:ascii="Times New Roman" w:eastAsia="Times New Roman" w:hAnsi="Times New Roman" w:cs="Times New Roman"/>
          <w:color w:val="000000"/>
          <w:spacing w:val="0"/>
          <w:w w:val="100"/>
          <w:position w:val="0"/>
          <w:shd w:val="clear" w:color="auto" w:fill="auto"/>
          <w:lang w:val="hr-HR" w:eastAsia="hr-HR" w:bidi="hr-HR"/>
        </w:rPr>
        <w:t xml:space="preserve"> 1978, 30 i d.).</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Nastanak novozavjetnih tekstova, osim Ivano</w:t>
        <w:softHyphen/>
        <w:t>va Otkrivenja, navodno je nezamisliv bez nji</w:t>
        <w:softHyphen/>
        <w:t xml:space="preserve">hove povezanosti s Pavlom. Do toga rezultata došao je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Sandmel (1911-1979; </w:t>
      </w:r>
      <w:r>
        <w:rPr>
          <w:rFonts w:ascii="Times New Roman" w:eastAsia="Times New Roman" w:hAnsi="Times New Roman" w:cs="Times New Roman"/>
          <w:i/>
          <w:iCs/>
          <w:color w:val="000000"/>
          <w:spacing w:val="0"/>
          <w:w w:val="100"/>
          <w:position w:val="0"/>
          <w:shd w:val="clear" w:color="auto" w:fill="auto"/>
          <w:lang w:val="en-US" w:eastAsia="en-US" w:bidi="en-US"/>
        </w:rPr>
        <w:t>The Genius of Paul,</w:t>
      </w:r>
      <w:r>
        <w:rPr>
          <w:rFonts w:ascii="Times New Roman" w:eastAsia="Times New Roman" w:hAnsi="Times New Roman" w:cs="Times New Roman"/>
          <w:color w:val="000000"/>
          <w:spacing w:val="0"/>
          <w:w w:val="100"/>
          <w:position w:val="0"/>
          <w:shd w:val="clear" w:color="auto" w:fill="auto"/>
          <w:lang w:val="en-US" w:eastAsia="en-US" w:bidi="en-US"/>
        </w:rPr>
        <w:t xml:space="preserve"> 1958, </w:t>
      </w:r>
      <w:r>
        <w:rPr>
          <w:rFonts w:ascii="Times New Roman" w:eastAsia="Times New Roman" w:hAnsi="Times New Roman" w:cs="Times New Roman"/>
          <w:color w:val="000000"/>
          <w:spacing w:val="0"/>
          <w:w w:val="100"/>
          <w:position w:val="0"/>
          <w:shd w:val="clear" w:color="auto" w:fill="auto"/>
          <w:lang w:val="hr-HR" w:eastAsia="hr-HR" w:bidi="hr-HR"/>
        </w:rPr>
        <w:t xml:space="preserve">posebice </w:t>
      </w:r>
      <w:r>
        <w:rPr>
          <w:rFonts w:ascii="Times New Roman" w:eastAsia="Times New Roman" w:hAnsi="Times New Roman" w:cs="Times New Roman"/>
          <w:color w:val="000000"/>
          <w:spacing w:val="0"/>
          <w:w w:val="100"/>
          <w:position w:val="0"/>
          <w:shd w:val="clear" w:color="auto" w:fill="auto"/>
          <w:lang w:val="en-US" w:eastAsia="en-US" w:bidi="en-US"/>
        </w:rPr>
        <w:t xml:space="preserve">156 </w:t>
      </w:r>
      <w:r>
        <w:rPr>
          <w:rFonts w:ascii="Times New Roman" w:eastAsia="Times New Roman" w:hAnsi="Times New Roman" w:cs="Times New Roman"/>
          <w:color w:val="000000"/>
          <w:spacing w:val="0"/>
          <w:w w:val="100"/>
          <w:position w:val="0"/>
          <w:shd w:val="clear" w:color="auto" w:fill="auto"/>
          <w:lang w:val="hr-HR" w:eastAsia="hr-HR" w:bidi="hr-HR"/>
        </w:rPr>
        <w:t xml:space="preserve">i d., 203 i d., usp. R. Neudecker, Das Neue Testament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 xml:space="preserve">jiidischcr Forschung,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Freiburger Rund-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brief </w:t>
      </w:r>
      <w:r>
        <w:rPr>
          <w:rFonts w:ascii="Times New Roman" w:eastAsia="Times New Roman" w:hAnsi="Times New Roman" w:cs="Times New Roman"/>
          <w:i/>
          <w:iCs/>
          <w:color w:val="000000"/>
          <w:spacing w:val="0"/>
          <w:w w:val="100"/>
          <w:position w:val="0"/>
          <w:shd w:val="clear" w:color="auto" w:fill="auto"/>
          <w:lang w:val="hr-HR" w:eastAsia="hr-HR" w:bidi="hr-HR"/>
        </w:rPr>
        <w:t>XXXI,</w:t>
      </w:r>
      <w:r>
        <w:rPr>
          <w:rFonts w:ascii="Times New Roman" w:eastAsia="Times New Roman" w:hAnsi="Times New Roman" w:cs="Times New Roman"/>
          <w:color w:val="000000"/>
          <w:spacing w:val="0"/>
          <w:w w:val="100"/>
          <w:position w:val="0"/>
          <w:shd w:val="clear" w:color="auto" w:fill="auto"/>
          <w:lang w:val="hr-HR" w:eastAsia="hr-HR" w:bidi="hr-HR"/>
        </w:rPr>
        <w:t xml:space="preserve"> 1979, 39-43), jedan od najznačaj</w:t>
        <w:softHyphen/>
        <w:t>nijih židovskih istraživača veze Novoga zavje</w:t>
        <w:softHyphen/>
        <w:t xml:space="preserve">ta sa židovstvom: Prije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postojalo je sa</w:t>
        <w:softHyphen/>
        <w:t>mo židovsko-palestinsko kršćanstvo. Helenis</w:t>
        <w:softHyphen/>
        <w:t>tički Ž.idov Pavao, koji je imao mnogo zajed</w:t>
        <w:softHyphen/>
        <w:t>ničkog s Filonom, uveo je u helenističkoj di</w:t>
        <w:softHyphen/>
        <w:t>jaspori kršćanstvo koje se bitno izmijenilo nje</w:t>
        <w:softHyphen/>
        <w:t>govim naukom, prije svega o otkupljenju vje</w:t>
        <w:softHyphen/>
        <w:t>rom. Na sukobe nastale između pavlovskoga i palestinskoga kršćanstva odgovorili su razni novozavjetni tekstovi. Evanđelje po Marku odlučilo se protiv židovsko-palestinskog ostva</w:t>
        <w:softHyphen/>
        <w:t>renja kršćanstva osporavajući, prije svega, nje</w:t>
        <w:softHyphen/>
        <w:t>gov odnos s Isusom. Matej i autor Jakovljeve poslanice zalagali su se za zakon i red u mla</w:t>
        <w:softHyphen/>
        <w:t>dom pokretu koji su ugrozili Pavlovi eks</w:t>
        <w:softHyphen/>
        <w:t>tremni pristaše doketskim nijekanjem povijes</w:t>
        <w:softHyphen/>
        <w:t>nog Isusa, ncobuzdanošću i raskolima. Pomir</w:t>
        <w:softHyphen/>
        <w:t>ljivo su djelovali Luka i Djela apostolska; oni su otklonili suprotnosti između palestinskoga i helenističkog pravca, između židovstva i krš</w:t>
        <w:softHyphen/>
        <w:t>ćanstva općenito, svojom porukom o kršćan</w:t>
        <w:softHyphen/>
        <w:t>stvu kao pravom židovstvu i nasljedniku Iz</w:t>
        <w:softHyphen/>
      </w:r>
      <w:r>
        <w:rPr>
          <w:rFonts w:ascii="Times New Roman" w:eastAsia="Times New Roman" w:hAnsi="Times New Roman" w:cs="Times New Roman"/>
          <w:color w:val="000000"/>
          <w:spacing w:val="0"/>
          <w:w w:val="100"/>
          <w:position w:val="0"/>
          <w:shd w:val="clear" w:color="auto" w:fill="auto"/>
          <w:lang w:val="hr-HR" w:eastAsia="hr-HR" w:bidi="hr-HR"/>
        </w:rPr>
        <w:t>raela. Djela apostolska posredovala su izme</w:t>
        <w:softHyphen/>
        <w:t>đu branitelja Pavlova nauka i njihovih protiv</w:t>
        <w:softHyphen/>
        <w:t>nika time što je Petar, doduše, zadržao vod</w:t>
        <w:softHyphen/>
        <w:t>stvo, ali ga je mogla naslijediti svaka opuno</w:t>
        <w:softHyphen/>
        <w:t>moćena osoba. Ako su Matej i Luka sastavili svoja djela kako bi ispravili Marka, kojemu su prigovorili zbog prikaza potpunog prekida iz</w:t>
        <w:softHyphen/>
        <w:t>među kršćanstva i židovstva, Ivan je htio na</w:t>
        <w:softHyphen/>
        <w:t>domjestiti sinoplike svojim evanđeljem i po</w:t>
        <w:softHyphen/>
        <w:t xml:space="preserve">nuditi tzv. Poslanicu Hebrejima kao najbolje moguće evanđelje u obliku kršćansko-helenis- tičkoga midraša. Stoga je, prema Sandmelovu mišljenju, osim reakcije na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za nastanak pojedinih evanđelja prvenstveno mjerodavan odgovor na svaku prethodnu koncepciju. Oni su postaje na putu prema Crkvi kao instituciji. Jedan drugi židovski znanstvenik podsjeća krš</w:t>
        <w:softHyphen/>
        <w:t>ćane svojim sučeljavanjem hebrejske Biblije i Novoga zavjeta na središnje probleme njihova odnosa prema matičnoj religiji: Prema Šemar- jahuu Talmonu židovska Biblija obuhvaća »cjelokupnost ljudskog postojanja dok NZ... smjera na vrhunske učinke religijske spoznaje i gradi na njima. Židovska Biblija afirmira čo</w:t>
        <w:softHyphen/>
        <w:t xml:space="preserve">vjeka u njegovoj egzistenciji punoj pogrešaka; život kao takav posvećuje se. Ni čovjek niti društvo nisu podložni pojmu istočnoga grijeha koji mora izazvati načelno pesimistički stav prema životu i prema čovjeku« (Kritische An- frage der judischcn </w:t>
      </w:r>
      <w:r>
        <w:rPr>
          <w:rFonts w:ascii="Times New Roman" w:eastAsia="Times New Roman" w:hAnsi="Times New Roman" w:cs="Times New Roman"/>
          <w:color w:val="000000"/>
          <w:spacing w:val="0"/>
          <w:w w:val="100"/>
          <w:position w:val="0"/>
          <w:shd w:val="clear" w:color="auto" w:fill="auto"/>
          <w:lang w:val="en-US" w:eastAsia="en-US" w:bidi="en-US"/>
        </w:rPr>
        <w:t xml:space="preserve">Theologie an </w:t>
      </w:r>
      <w:r>
        <w:rPr>
          <w:rFonts w:ascii="Times New Roman" w:eastAsia="Times New Roman" w:hAnsi="Times New Roman" w:cs="Times New Roman"/>
          <w:color w:val="000000"/>
          <w:spacing w:val="0"/>
          <w:w w:val="100"/>
          <w:position w:val="0"/>
          <w:shd w:val="clear" w:color="auto" w:fill="auto"/>
          <w:lang w:val="hr-HR" w:eastAsia="hr-HR" w:bidi="hr-HR"/>
        </w:rPr>
        <w:t xml:space="preserve">das curo- paische Christentum, u: </w:t>
      </w:r>
      <w:r>
        <w:rPr>
          <w:rFonts w:ascii="Times New Roman" w:eastAsia="Times New Roman" w:hAnsi="Times New Roman" w:cs="Times New Roman"/>
          <w:i/>
          <w:iCs/>
          <w:color w:val="000000"/>
          <w:spacing w:val="0"/>
          <w:w w:val="100"/>
          <w:position w:val="0"/>
          <w:shd w:val="clear" w:color="auto" w:fill="auto"/>
          <w:lang w:val="en-US" w:eastAsia="en-US" w:bidi="en-US"/>
        </w:rPr>
        <w:t>Einladung ins Lehr</w:t>
        <w:softHyphen/>
      </w:r>
      <w:r>
        <w:rPr>
          <w:rFonts w:ascii="Times New Roman" w:eastAsia="Times New Roman" w:hAnsi="Times New Roman" w:cs="Times New Roman"/>
          <w:i/>
          <w:iCs/>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 xml:space="preserve">halts [Amoldsheiner Texte </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Bd. 4], </w:t>
      </w:r>
      <w:r>
        <w:rPr>
          <w:rFonts w:ascii="Times New Roman" w:eastAsia="Times New Roman" w:hAnsi="Times New Roman" w:cs="Times New Roman"/>
          <w:color w:val="000000"/>
          <w:spacing w:val="0"/>
          <w:w w:val="100"/>
          <w:position w:val="0"/>
          <w:shd w:val="clear" w:color="auto" w:fill="auto"/>
          <w:lang w:val="en-US" w:eastAsia="en-US" w:bidi="en-US"/>
        </w:rPr>
        <w:t xml:space="preserve">hrsg. von </w:t>
      </w:r>
      <w:r>
        <w:rPr>
          <w:rFonts w:ascii="Times New Roman" w:eastAsia="Times New Roman" w:hAnsi="Times New Roman" w:cs="Times New Roman"/>
          <w:color w:val="000000"/>
          <w:spacing w:val="0"/>
          <w:w w:val="100"/>
          <w:position w:val="0"/>
          <w:shd w:val="clear" w:color="auto" w:fill="auto"/>
          <w:lang w:val="hr-HR" w:eastAsia="hr-HR" w:bidi="hr-HR"/>
        </w:rPr>
        <w:t>W. Licharz/M. Stohr, 1981, 58-80,61). Talmon naglašava zajedničko shvaćanje »svetoga« u hebrejskoj Bibliji i Novom zavjetu kao kvin- tesenciji života. Međutim, u židovstvu to ne vodi negaciji »profanoga«. Židov se ne okreće od profanog života nego se trudi da ga obli</w:t>
        <w:softHyphen/>
        <w:t xml:space="preserve">kuje pomoću ‘svetoga’... Nada u onostranost nije se tako izoštrila da negira ovostranost, nego se onostranost shvaća kao savršenstvo koje se treba protezati u </w:t>
      </w:r>
      <w:r>
        <w:rPr>
          <w:rFonts w:ascii="Times New Roman" w:eastAsia="Times New Roman" w:hAnsi="Times New Roman" w:cs="Times New Roman"/>
          <w:i/>
          <w:iCs/>
          <w:color w:val="000000"/>
          <w:spacing w:val="0"/>
          <w:w w:val="100"/>
          <w:position w:val="0"/>
          <w:shd w:val="clear" w:color="auto" w:fill="auto"/>
          <w:lang w:val="hr-HR" w:eastAsia="hr-HR" w:bidi="hr-HR"/>
        </w:rPr>
        <w:t>ovdje</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sada</w:t>
      </w:r>
      <w:r>
        <w:rPr>
          <w:rFonts w:ascii="Times New Roman" w:eastAsia="Times New Roman" w:hAnsi="Times New Roman" w:cs="Times New Roman"/>
          <w:color w:val="000000"/>
          <w:spacing w:val="0"/>
          <w:w w:val="100"/>
          <w:position w:val="0"/>
          <w:shd w:val="clear" w:color="auto" w:fill="auto"/>
          <w:lang w:val="hr-HR" w:eastAsia="hr-HR" w:bidi="hr-HR"/>
        </w:rPr>
        <w:t xml:space="preserve"> i obliko</w:t>
        <w:softHyphen/>
        <w:t>vali ga. Židovstvo je naučilo iz svoje Biblije živjeti »u povijesti«. 1 povijest je stvarna, ne samo »spasenjska povijest« (op. cit., 63).</w:t>
      </w:r>
    </w:p>
    <w:p>
      <w:pPr>
        <w:pStyle w:val="Style74"/>
        <w:keepNext w:val="0"/>
        <w:keepLines w:val="0"/>
        <w:widowControl w:val="0"/>
        <w:shd w:val="clear" w:color="auto" w:fill="auto"/>
        <w:bidi w:val="0"/>
        <w:spacing w:before="0" w:after="34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D. VEITER</w:t>
      </w:r>
    </w:p>
    <w:p>
      <w:pPr>
        <w:pStyle w:val="Style56"/>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hd w:val="clear" w:color="auto" w:fill="auto"/>
          <w:lang w:val="hr-HR" w:eastAsia="hr-HR" w:bidi="hr-HR"/>
        </w:rPr>
        <w:t>2. kršćanski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Pojam:</w:t>
      </w:r>
      <w:r>
        <w:rPr>
          <w:rFonts w:ascii="Times New Roman" w:eastAsia="Times New Roman" w:hAnsi="Times New Roman" w:cs="Times New Roman"/>
          <w:color w:val="000000"/>
          <w:spacing w:val="0"/>
          <w:w w:val="100"/>
          <w:position w:val="0"/>
          <w:shd w:val="clear" w:color="auto" w:fill="auto"/>
          <w:lang w:val="hr-HR" w:eastAsia="hr-HR" w:bidi="hr-HR"/>
        </w:rPr>
        <w:t xml:space="preserve"> Povijesnospasenjsko-tcološki »NZ« označava vrijeme Isusa Krista i apostola kao </w:t>
      </w:r>
      <w:r>
        <w:rPr>
          <w:rFonts w:ascii="Times New Roman" w:eastAsia="Times New Roman" w:hAnsi="Times New Roman" w:cs="Times New Roman"/>
          <w:color w:val="000000"/>
          <w:spacing w:val="0"/>
          <w:w w:val="100"/>
          <w:position w:val="0"/>
          <w:shd w:val="clear" w:color="auto" w:fill="auto"/>
          <w:lang w:val="hr-HR" w:eastAsia="hr-HR" w:bidi="hr-HR"/>
        </w:rPr>
        <w:t>vrijeme kršćanske objave za razliku od post- apostolskog vremena Crkve ili razdoblja od Isusova uskrsnuća (zajedno s Duhovima kao spasenjskim događajem) do Kristove paruzije. Od II./III. stoljeća polučilo se da se tim naslo</w:t>
        <w:softHyphen/>
        <w:t>vom imenuje kanonska zbirka od 27 spisa koji među svim spisima prakršćanstva i povijesti kršćanstva zauzimaju posebno mjesto auten</w:t>
        <w:softHyphen/>
        <w:t xml:space="preserve">tičnog i normativneg temelja vjere za kršćane. </w:t>
      </w:r>
      <w:r>
        <w:rPr>
          <w:rFonts w:ascii="Times New Roman" w:eastAsia="Times New Roman" w:hAnsi="Times New Roman" w:cs="Times New Roman"/>
          <w:i/>
          <w:iCs/>
          <w:color w:val="000000"/>
          <w:spacing w:val="0"/>
          <w:w w:val="100"/>
          <w:position w:val="0"/>
          <w:shd w:val="clear" w:color="auto" w:fill="auto"/>
          <w:lang w:val="hr-HR" w:eastAsia="hr-HR" w:bidi="hr-HR"/>
        </w:rPr>
        <w:t>b) Zbirka spisa:</w:t>
      </w:r>
      <w:r>
        <w:rPr>
          <w:rFonts w:ascii="Times New Roman" w:eastAsia="Times New Roman" w:hAnsi="Times New Roman" w:cs="Times New Roman"/>
          <w:color w:val="000000"/>
          <w:spacing w:val="0"/>
          <w:w w:val="100"/>
          <w:position w:val="0"/>
          <w:shd w:val="clear" w:color="auto" w:fill="auto"/>
          <w:lang w:val="hr-HR" w:eastAsia="hr-HR" w:bidi="hr-HR"/>
        </w:rPr>
        <w:t xml:space="preserve"> Od teksta odnosno od pojedi</w:t>
        <w:softHyphen/>
        <w:t>nih tekstova NZ nema originalnog rukopisa (praspis) nego samo prijepisi (papirusi, kodeksi na pergamentu) različite starosti i opsega i u različitim recenzijama. Grčki tekst koji se koristi u znanstvenoj egzegezi rezultat je teks</w:t>
        <w:softHyphen/>
        <w:t>tualno kritičke rekonstrukcije na temelju ru</w:t>
        <w:softHyphen/>
        <w:t>kopisa i starih prijevoda koji su stajali na ras</w:t>
        <w:softHyphen/>
        <w:t xml:space="preserve">polaganju. Svi su pisani na grčkom općem jeziku, </w:t>
      </w:r>
      <w:r>
        <w:rPr>
          <w:rFonts w:ascii="Times New Roman" w:eastAsia="Times New Roman" w:hAnsi="Times New Roman" w:cs="Times New Roman"/>
          <w:color w:val="000000"/>
          <w:spacing w:val="0"/>
          <w:w w:val="100"/>
          <w:position w:val="0"/>
          <w:shd w:val="clear" w:color="auto" w:fill="auto"/>
          <w:lang w:val="en-US" w:eastAsia="en-US" w:bidi="en-US"/>
        </w:rPr>
        <w:t xml:space="preserve">koine, </w:t>
      </w:r>
      <w:r>
        <w:rPr>
          <w:rFonts w:ascii="Times New Roman" w:eastAsia="Times New Roman" w:hAnsi="Times New Roman" w:cs="Times New Roman"/>
          <w:color w:val="000000"/>
          <w:spacing w:val="0"/>
          <w:w w:val="100"/>
          <w:position w:val="0"/>
          <w:shd w:val="clear" w:color="auto" w:fill="auto"/>
          <w:lang w:val="hr-HR" w:eastAsia="hr-HR" w:bidi="hr-HR"/>
        </w:rPr>
        <w:t>i pokazuju tragove semitskih go</w:t>
        <w:softHyphen/>
        <w:t>vornih navika pri čemu se jezična razina, stil i literarni oblik razilaze u pojedinačnom. Pra- kršćanski spisi, koji su obuhvaćeni u zbirci NZ, nisu napisani u jednom dahu, na jednom mjestu i od jednog autora. Začetnici većine tekstova ostaju uglavnom anonimni ili se skri</w:t>
        <w:softHyphen/>
        <w:t>vaju - prema nerijetkom običaju u antiknoj profanoj i religioznoj literaturi - pod pseu</w:t>
        <w:softHyphen/>
        <w:t>donimom.</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Najjasniji povijesni profil novozavjetnog pisca pruža Pavao. Nadalje, kao izvorni prostor valja prihvatiti Bliski istok (Malu Aziju i Siriju).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Kanonsko priznavanje 27 novozavjetnih knji</w:t>
        <w:softHyphen/>
        <w:t>ga od strane kršćanskih crkava slijedi tek na kraju kanonsko-povijesnog procesa u kojem su se morali razviti kriteriji za ocjenjivanje prakrščanskih tradicija i u kojem se morala razbistriti pripadnost pojedinih tekstova u crkvama, odnosno između crkava i crkvenih područja. Od IV. stoljeća utvrđeno je kanon</w:t>
        <w:softHyphen/>
        <w:t>sko stanje stvari na Istoku (uz izuzetak Sirije) i na Zapadu: 39. uskrsno pismo biskupa Ata- nazija (367), sinode u Rimu (382), u Ilipponu (393) i Kartagi (397 i 419). Tumačenje kanon</w:t>
        <w:softHyphen/>
        <w:t>skog pitanja koje je oživjelo humanizmom/ re</w:t>
        <w:softHyphen/>
        <w:t>nesansom, reformacijom i povijesnom kriti</w:t>
        <w:softHyphen/>
        <w:t>kom nakon prosvjetiteljstva nije dovelo ni do kakve promjene u crkvenom utvrđivanju ma</w:t>
        <w:softHyphen/>
        <w:t>kar u teološkom kvalificiranju (bez obzira na prosuđivanje tzv. uvodnih problema kao što je autorstvo, mjesto i vrijeme nastanka, jedin</w:t>
        <w:softHyphen/>
        <w:t>stvenost itd.) i u priznavanju teološkog auto</w:t>
        <w:softHyphen/>
        <w:t>riteta pojedinih spisa postoje razlike između crkava, egzegeta i teoloških škola.</w:t>
      </w:r>
    </w:p>
    <w:p>
      <w:pPr>
        <w:pStyle w:val="Style20"/>
        <w:keepNext w:val="0"/>
        <w:keepLines w:val="0"/>
        <w:widowControl w:val="0"/>
        <w:numPr>
          <w:ilvl w:val="0"/>
          <w:numId w:val="351"/>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Uvod:</w:t>
      </w:r>
      <w:r>
        <w:rPr>
          <w:rFonts w:ascii="Times New Roman" w:eastAsia="Times New Roman" w:hAnsi="Times New Roman" w:cs="Times New Roman"/>
          <w:color w:val="000000"/>
          <w:spacing w:val="0"/>
          <w:w w:val="100"/>
          <w:position w:val="0"/>
          <w:shd w:val="clear" w:color="auto" w:fill="auto"/>
          <w:lang w:val="hr-HR" w:eastAsia="hr-HR" w:bidi="hr-HR"/>
        </w:rPr>
        <w:t xml:space="preserve"> Vrlo stara tradicija razlikuje u novo- zavjetnim spisima evanđelja i </w:t>
      </w:r>
      <w:r>
        <w:rPr>
          <w:rFonts w:ascii="Times New Roman" w:eastAsia="Times New Roman" w:hAnsi="Times New Roman" w:cs="Times New Roman"/>
          <w:color w:val="000000"/>
          <w:spacing w:val="0"/>
          <w:w w:val="100"/>
          <w:position w:val="0"/>
          <w:shd w:val="clear" w:color="auto" w:fill="auto"/>
          <w:lang w:val="en-US" w:eastAsia="en-US" w:bidi="en-US"/>
        </w:rPr>
        <w:t xml:space="preserve">apostolus </w:t>
      </w:r>
      <w:r>
        <w:rPr>
          <w:rFonts w:ascii="Times New Roman" w:eastAsia="Times New Roman" w:hAnsi="Times New Roman" w:cs="Times New Roman"/>
          <w:color w:val="000000"/>
          <w:spacing w:val="0"/>
          <w:w w:val="100"/>
          <w:position w:val="0"/>
          <w:shd w:val="clear" w:color="auto" w:fill="auto"/>
          <w:lang w:val="hr-HR" w:eastAsia="hr-HR" w:bidi="hr-HR"/>
        </w:rPr>
        <w:t>(svi spisi osim 4 evanđelja). Analogno s podjelom starozavjetnih knjiga govori se i o povijesnim (evanđelja, Djela apostolska), didaktičkim knji</w:t>
        <w:softHyphen/>
        <w:t>gama (poslanice) i o profetskoj knjizi (Otk). Egzegetski treba - prema načelu raščlanjiva</w:t>
        <w:softHyphen/>
        <w:t>nja - razlikovati: sinoptička evanđelja (Mk, Mt, Lk) i Djela apostolska (Dj zajedno s Lk i kao Lukino dvočlano djelo); Ivanovo evanđe</w:t>
        <w:softHyphen/>
        <w:t xml:space="preserve">lje; autentične Pavlove poslanice (I Sol, Gal, 1 i 2 Kor, Rim, Fil, Flm); deuteropavlovske (2 Sol, Kol, Ef, pastoralne poslanice; 1 i 2 Tim, Tit); Heb i katoličke poslanice (Jak, Jd, 1 i 2 Pt, 1-3 Iv; Otk kao profetska ili apokaliptička knjiga). Ostale podjele obuhvaćaju pavlovske i deuteropavlovske spise kao </w:t>
      </w:r>
      <w:r>
        <w:rPr>
          <w:rFonts w:ascii="Times New Roman" w:eastAsia="Times New Roman" w:hAnsi="Times New Roman" w:cs="Times New Roman"/>
          <w:color w:val="000000"/>
          <w:spacing w:val="0"/>
          <w:w w:val="100"/>
          <w:position w:val="0"/>
          <w:shd w:val="clear" w:color="auto" w:fill="auto"/>
          <w:lang w:val="en-US" w:eastAsia="en-US" w:bidi="en-US"/>
        </w:rPr>
        <w:t xml:space="preserve">Corpus </w:t>
      </w:r>
      <w:r>
        <w:rPr>
          <w:rFonts w:ascii="Times New Roman" w:eastAsia="Times New Roman" w:hAnsi="Times New Roman" w:cs="Times New Roman"/>
          <w:color w:val="000000"/>
          <w:spacing w:val="0"/>
          <w:w w:val="100"/>
          <w:position w:val="0"/>
          <w:shd w:val="clear" w:color="auto" w:fill="auto"/>
          <w:lang w:val="hr-HR" w:eastAsia="hr-HR" w:bidi="hr-HR"/>
        </w:rPr>
        <w:t>paulinum, označavaju Rim, 1 i 2 Kor i Gal kao glavne Pavlove poslanice i Fil, Flm, Koli, Ef (2 Tim) kao poslanice iz sužanjstva. U pogledu prizna</w:t>
        <w:softHyphen/>
        <w:t>tog odnosno osporavanog Pavlova autorstva razlučuju se homologumena od antilegomena.</w:t>
      </w:r>
    </w:p>
    <w:p>
      <w:pPr>
        <w:pStyle w:val="Style20"/>
        <w:keepNext w:val="0"/>
        <w:keepLines w:val="0"/>
        <w:widowControl w:val="0"/>
        <w:numPr>
          <w:ilvl w:val="0"/>
          <w:numId w:val="351"/>
        </w:numPr>
        <w:shd w:val="clear" w:color="auto" w:fill="auto"/>
        <w:tabs>
          <w:tab w:pos="28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Literarne vrste i oblici:</w:t>
      </w:r>
      <w:r>
        <w:rPr>
          <w:rFonts w:ascii="Times New Roman" w:eastAsia="Times New Roman" w:hAnsi="Times New Roman" w:cs="Times New Roman"/>
          <w:color w:val="000000"/>
          <w:spacing w:val="0"/>
          <w:w w:val="100"/>
          <w:position w:val="0"/>
          <w:shd w:val="clear" w:color="auto" w:fill="auto"/>
          <w:lang w:val="hr-HR" w:eastAsia="hr-HR" w:bidi="hr-HR"/>
        </w:rPr>
        <w:t xml:space="preserve"> U novozavjetnim spi</w:t>
        <w:softHyphen/>
        <w:t>sima predstavljaju se sljedeće glavne vrste: evanđelje, poslanica, povijesna monografija i apokalipsa. Za razliku od vrste »evanđelje«, koja nema analogije u antiknoj literaturi, no- vozavjetni pisci mogli su preuzeti ostale tri vrste iz svoje okoline i koristiti ih za prikazi</w:t>
        <w:softHyphen/>
        <w:t>vanje spasenjskog događaja i za tumačenje po</w:t>
        <w:softHyphen/>
        <w:t>ruke spasenja. Nadalje se može razlikovati iz</w:t>
        <w:softHyphen/>
        <w:t>među tradicije riječi, odnosno govorne građe (npr. proročke riječi, riječi mudrosti i zakona, prispodobe [parabole, alegorije, primjeri, me</w:t>
        <w:softHyphen/>
        <w:t>tafore!, Ja-riječi, riječi koje potiču na naslje</w:t>
        <w:softHyphen/>
        <w:t>dovanje) i povijesne tradicije, odnosno pripo</w:t>
        <w:softHyphen/>
        <w:t>vjedačke tradicije (npr. paradigme, rasprave, apoftegma, priča o čudesima, Kristova povi</w:t>
        <w:softHyphen/>
        <w:t>jest, povijest uskrsnuća). Novozavjetne posla</w:t>
        <w:softHyphen/>
        <w:t>nice usmjeravaju se prema helenističkom ili židovsko-prednjoazijskom obrascu poslanice pri čemu dolazi do varijacija. Kao opća temelj</w:t>
        <w:softHyphen/>
        <w:t xml:space="preserve">na shema proizlazi: uvod u poslanicu (pre- skript) s navođenjem pošiljatelja i primatelja te obrazac pozdrava; zahvala; </w:t>
      </w:r>
      <w:r>
        <w:rPr>
          <w:rFonts w:ascii="Times New Roman" w:eastAsia="Times New Roman" w:hAnsi="Times New Roman" w:cs="Times New Roman"/>
          <w:color w:val="000000"/>
          <w:spacing w:val="0"/>
          <w:w w:val="100"/>
          <w:position w:val="0"/>
          <w:shd w:val="clear" w:color="auto" w:fill="auto"/>
          <w:lang w:val="en-US" w:eastAsia="en-US" w:bidi="en-US"/>
        </w:rPr>
        <w:t xml:space="preserve">corpus </w:t>
      </w:r>
      <w:r>
        <w:rPr>
          <w:rFonts w:ascii="Times New Roman" w:eastAsia="Times New Roman" w:hAnsi="Times New Roman" w:cs="Times New Roman"/>
          <w:color w:val="000000"/>
          <w:spacing w:val="0"/>
          <w:w w:val="100"/>
          <w:position w:val="0"/>
          <w:shd w:val="clear" w:color="auto" w:fill="auto"/>
          <w:lang w:val="hr-HR" w:eastAsia="hr-HR" w:bidi="hr-HR"/>
        </w:rPr>
        <w:t>posla</w:t>
        <w:softHyphen/>
        <w:t>nice sa stvarnim sadržajem poslanice; pozdra</w:t>
        <w:softHyphen/>
        <w:t>vi; vlastoručno izražena želja da primatelj bu</w:t>
        <w:softHyphen/>
        <w:t>de blagoslovljen (umjesto kod nas uobičaje</w:t>
        <w:softHyphen/>
        <w:t>nog potpisa). Pa ipak, ima odstupanja. Heb i 1 Iv nemaju npr. preskripta. Adresiranje može biti osporeno (Ef). Iako je većina poslanica upućena određenim mjesnim crkvama, poje</w:t>
        <w:softHyphen/>
      </w:r>
      <w:r>
        <w:rPr>
          <w:rFonts w:ascii="Times New Roman" w:eastAsia="Times New Roman" w:hAnsi="Times New Roman" w:cs="Times New Roman"/>
          <w:color w:val="000000"/>
          <w:spacing w:val="0"/>
          <w:w w:val="100"/>
          <w:position w:val="0"/>
          <w:shd w:val="clear" w:color="auto" w:fill="auto"/>
          <w:lang w:val="hr-HR" w:eastAsia="hr-HR" w:bidi="hr-HR"/>
        </w:rPr>
        <w:t>dinačnim zajednicama ili pojedinim osobama, neke ipak dobivaju značaj rasprava, poučava</w:t>
        <w:softHyphen/>
        <w:t>nja i upozorenja koji je poprimio oblik po</w:t>
        <w:softHyphen/>
        <w:t>slanice (npr. Heb, Jk, 1 Pt). Osobito su u po</w:t>
        <w:softHyphen/>
        <w:t>slanicama zapisani brojni mali oblici iz na- viještanja, poučavanja i iz službe Božje kao npr. ispovijesti vjere (homologijc, vjerske re</w:t>
        <w:softHyphen/>
        <w:t>čenice), pjesme (himni), liturgijski oblici (ak</w:t>
        <w:softHyphen/>
        <w:t>lamacija, doksologija), parenetski oblici (etika u izrekama, popis kreposti i poroka, kućna ploča, popis dužnosti). Iz propovijedi i učenja potječe obrazac: nekoć - sada (npr. Rim 7, 5 i d.) i shema koja jasno određuje izgradnju nekih novozavjetnih poslanica: indikativ (spasenjski iskaz) i imperativ (etička posljedica), tako npr. Rim 1-11 i 12-15. - Definicija, odnosno razlikovanje vrsta i oblika (ili i obrazaca), nije jedinstveno u znanstveno egzegetskom povi</w:t>
        <w:softHyphen/>
        <w:t>jesnom istraživanju oblika na osnovi kriteri- ologije koja se razilazi (usmjerenje na sadržaj ili oblik); nadovezujući sc na znanost o litera</w:t>
        <w:softHyphen/>
        <w:t>turi i lingvistiku, biblijska se znanost trudi po</w:t>
        <w:softHyphen/>
        <w:t>stići istančanost i točnost analize oblika, je</w:t>
        <w:softHyphen/>
        <w:t>dinstvenost terminologije i novo klasificiranjc »tekstualnih vrsta« koje se javljaju u novoza- vjetnim spisima.</w:t>
      </w:r>
    </w:p>
    <w:p>
      <w:pPr>
        <w:pStyle w:val="Style20"/>
        <w:keepNext w:val="0"/>
        <w:keepLines w:val="0"/>
        <w:widowControl w:val="0"/>
        <w:numPr>
          <w:ilvl w:val="0"/>
          <w:numId w:val="351"/>
        </w:numPr>
        <w:shd w:val="clear" w:color="auto" w:fill="auto"/>
        <w:tabs>
          <w:tab w:pos="265" w:val="left"/>
        </w:tabs>
        <w:bidi w:val="0"/>
        <w:spacing w:before="0" w:after="0"/>
        <w:ind w:left="0" w:right="0" w:firstLine="0"/>
        <w:jc w:val="both"/>
        <w:sectPr>
          <w:headerReference w:type="default" r:id="rId943"/>
          <w:footerReference w:type="default" r:id="rId944"/>
          <w:headerReference w:type="even" r:id="rId945"/>
          <w:footerReference w:type="even" r:id="rId946"/>
          <w:footnotePr>
            <w:pos w:val="pageBottom"/>
            <w:numFmt w:val="decimal"/>
            <w:numRestart w:val="continuous"/>
            <w15:footnoteColumns w:val="1"/>
          </w:footnotePr>
          <w:pgSz w:w="6816" w:h="11006"/>
          <w:pgMar w:top="1004" w:left="190" w:right="195" w:bottom="508" w:header="0" w:footer="3" w:gutter="0"/>
          <w:pgNumType w:start="310"/>
          <w:cols w:num="2" w:space="199"/>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Nastanak novozavjetnih spisa:</w:t>
      </w:r>
      <w:r>
        <w:rPr>
          <w:rFonts w:ascii="Times New Roman" w:eastAsia="Times New Roman" w:hAnsi="Times New Roman" w:cs="Times New Roman"/>
          <w:color w:val="000000"/>
          <w:spacing w:val="0"/>
          <w:w w:val="100"/>
          <w:position w:val="0"/>
          <w:shd w:val="clear" w:color="auto" w:fill="auto"/>
          <w:lang w:val="hr-HR" w:eastAsia="hr-HR" w:bidi="hr-HR"/>
        </w:rPr>
        <w:t xml:space="preserve"> Spisima NZ prethode naviještanje Božjega kraljevstva po Isusu iz Nazareta, prve zbirke predaje o Isusu, uskrsna Kristova kerigma, misijska propovijed i kateheza zajednice. Prvo tekstualno fiksira</w:t>
        <w:softHyphen/>
        <w:t>nje našle su Gospodinove riječi iz predaje o Isusu. Pristup k njima otvara se rekonstrukci</w:t>
        <w:softHyphen/>
        <w:t>jom izvora za logione (Q) iz velikih evanđelja Mt i Lk, nezavisno od dobivenih iz Mk, i za</w:t>
        <w:softHyphen/>
        <w:t>jednički iz njih obrađenih, ipak ne u identič</w:t>
        <w:softHyphen/>
        <w:t>nom obliku tradicije koja je uzeta za osnovu. Q je nastao prije 70. pri čemu se ipak mogu prihvatiti redakcijsku povijesni stupnjevi. Us</w:t>
        <w:softHyphen/>
        <w:t xml:space="preserve">mena predaja i tradicijska jedinstva bila su ubrzo nakon 70. sabrana u Markovu evanđelju i redakcijski oblikovana u djelo. Mk 16,9-20 je vjerojatno dodano u II. stoljeću. Primjenom Q, Mk i zasebne građe sastavljena su oko 90. oba evanđelja Mt i Lk, nezavisno jedno od drugoga. Od autora </w:t>
      </w:r>
      <w:r>
        <w:rPr>
          <w:rFonts w:ascii="Times New Roman" w:eastAsia="Times New Roman" w:hAnsi="Times New Roman" w:cs="Times New Roman"/>
          <w:color w:val="000000"/>
          <w:spacing w:val="0"/>
          <w:w w:val="100"/>
          <w:position w:val="0"/>
          <w:shd w:val="clear" w:color="auto" w:fill="auto"/>
          <w:lang w:val="en-US" w:eastAsia="en-US" w:bidi="en-US"/>
        </w:rPr>
        <w:t xml:space="preserve">Lukina </w:t>
      </w:r>
      <w:r>
        <w:rPr>
          <w:rFonts w:ascii="Times New Roman" w:eastAsia="Times New Roman" w:hAnsi="Times New Roman" w:cs="Times New Roman"/>
          <w:color w:val="000000"/>
          <w:spacing w:val="0"/>
          <w:w w:val="100"/>
          <w:position w:val="0"/>
          <w:shd w:val="clear" w:color="auto" w:fill="auto"/>
          <w:lang w:val="hr-HR" w:eastAsia="hr-HR" w:bidi="hr-HR"/>
        </w:rPr>
        <w:t>evanđelja potječu i Djela apostolska kao drugi dio dvočlanog djela. Vrijeme pisanja treba staviti oko kraja I. stoljeća. Poseban položaj po načinu obliko</w:t>
        <w:softHyphen/>
        <w:t xml:space="preserve">vanja i teologije zauzima Ivanovo evanđelje koje je vjerojatno bilo napisano na prijelazu iz I. u 11. stoljeće, a doživjelo je ipak redakcijsko </w:t>
      </w:r>
      <w:r>
        <w:rPr>
          <w:rFonts w:ascii="Times New Roman" w:eastAsia="Times New Roman" w:hAnsi="Times New Roman" w:cs="Times New Roman"/>
          <w:color w:val="000000"/>
          <w:spacing w:val="0"/>
          <w:w w:val="100"/>
          <w:position w:val="0"/>
          <w:shd w:val="clear" w:color="auto" w:fill="auto"/>
          <w:lang w:val="hr-HR" w:eastAsia="hr-HR" w:bidi="hr-HR"/>
        </w:rPr>
        <w:t>preradivanje. Tako je npr. 21. poglavlje nak</w:t>
        <w:softHyphen/>
        <w:t>nadno nadovezano na kraj 20,30 i d. Najstariji novozavjetni tekstovi sadržani su u Pavlovim poslanicama. Najraniji spis je 1 Sol (napisan oko 50, svakako između 49 i 52). Na to slijedi Gal oko 52-54 (ili 53-56), 1 Kor oko 53/54 (ili 54/55), 2 Kor (oko 54-56) koja ujedinjuje pre</w:t>
        <w:softHyphen/>
        <w:t>pisku od otprilike 5 poslanica, Rim (možda oko 56), pri čemu je 16,1-24 kao vjerojatno izvorno samostalan dio poslanice tek kasnije dodan. Na to se nadovezuje Fil koja je možda sastavljena od triju pojedinačnih poslanica (oko 55-56), konačno Flm (oko sredine pede</w:t>
        <w:softHyphen/>
        <w:t>setih godina). Iako Pavlovo autorstvo za Kol i Ef nije nipošto jedinstveno ocijenjeno kod is</w:t>
        <w:softHyphen/>
        <w:t>traživanja, ipak sadržaj, način argumentiranja i aluzije na situaciju govore u prilog postpav- Iovskog podrijetla pri čemu je Ef na teološki samostalan način preuzela Kol (oko 80-100). I 2 Sol, na temelju svoje cshatologije i očigled</w:t>
        <w:softHyphen/>
        <w:t>noga korištenja 1 Sol (jezična sličnost) uka</w:t>
        <w:softHyphen/>
        <w:t>zuje na postpavlovskog autora (oko svršetka I. stoljeća). Pa ipak se katkada kao vrijeme nas</w:t>
        <w:softHyphen/>
        <w:t>tanka drži oko 50/51 (Pavao napisao ubrzo nakon 1 Sol). Iako pastoralne poslanice (1 i 2 Tim, Tit) izgledaju kao da ih je napisao Pa</w:t>
        <w:softHyphen/>
        <w:t>vao, njihova teologija koja se u svojim upu</w:t>
        <w:softHyphen/>
        <w:t>tama usmjerava na razvijene službe u zajed</w:t>
        <w:softHyphen/>
        <w:t>nici i protiv krivovjernika ističe pavlovsku i crkvenu predaju kao ispravno vjersko učenje, svjedoči da su ove u jeziku, stilu i argumenta</w:t>
        <w:softHyphen/>
        <w:t>ciji nastale zajedno sa spisima koje treba smjestiti u postpavlovsko vrijeme (oko 100-110). Kanoničnost Heb kao i 2 Pt i Otk bila je dugo osporavana u ranoj Crkvi. Starocrkvena pre</w:t>
        <w:softHyphen/>
        <w:t>daja, prema kojoj je Pavao autor ovog ano</w:t>
        <w:softHyphen/>
        <w:t>nimnog djela, obilježenog propovjedničkim stilom, koje samo svršetkom podsjeća na po</w:t>
        <w:softHyphen/>
        <w:t>slanicu, ne može se podupirati povijesno-kri- tičkom egzegezom i to na osnovi razlika u jeziku, stilu, izgradnji i zbog vlastitih teoloških naglasaka. Kao vrijeme sastavljanja za Heb treba uzeti 80-90. 1-3 Iv s Ivanovim evanđe</w:t>
        <w:softHyphen/>
        <w:t>ljem (v. g.) računa sc u tzv. ivanovski zapis pri čemu 1 Iv nije samo jezično i teološki (unatoč razlikama vrijednim pažnje) srodan s Ivano</w:t>
        <w:softHyphen/>
        <w:t>vim evanđeljem nego i u 1,1-4 eksplicitno ukazuje na Evanđelje dok su zajedno poveza</w:t>
        <w:softHyphen/>
        <w:t xml:space="preserve">ni 2 Iv s 1 Iv a 3 Iv s 2 Iv. Pobliže određivanje autora (odnosno jednog autora), jedinstvo i redakcija 1 Iv kod istraživanja su osporavani. 1-3 Iv imaju svakako korijene u krugu iva-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novske škole, ali ipak ne potječu od autora Ivanova evanđelja. Problematična situacija (heretička strujanja) dopušta uvrštavanja u ptvu polovicu II. stoljeća. Iako starocrkvena pre</w:t>
        <w:softHyphen/>
        <w:t>daja u II. stoljeću identificira autora apoka</w:t>
        <w:softHyphen/>
        <w:t>lipse Ivana (Otk) s autorom Ivanova evanđe</w:t>
        <w:softHyphen/>
        <w:t>lja i Ivanovih poslanica, u tom smjeru ne upu</w:t>
        <w:softHyphen/>
        <w:t>ćuju jezik (stil koji podsjeća na semitski, rječ</w:t>
        <w:softHyphen/>
        <w:t>nik) i teologija (eshatologija). Pa ni ime Ivan (1,1.4.9; 22,8) nema svoje mjesto uz potomke Zebedeja. I eshatološki određena knjiga, koja u kršćanskim sektama još danas ima osobito značenje kao izvor proročanstva, zahtijeva za svoje razumijevanje poznavanje povijesti i re- ligijsko-povijesnih povezanosti (židovska i krš</w:t>
        <w:softHyphen/>
        <w:t>ćanska apokaliptika) kao i literarno kritičku analizu (jedinstvo, izvori) i rasvjetljavanje da se vidi kako se obrađivala tradicija. Tako npr. brojni kratki himni nisu preuzeti iz službe Božje u zajednici nego ih je autor Otkrivenja stvorio čak prema njihovom kontekstu. Po</w:t>
        <w:softHyphen/>
        <w:t>moć za utvrđivanje datuma pružaju aluzije na carev kult, progon kršćana (Domicijan) i unu</w:t>
        <w:softHyphen/>
        <w:t>tarnje stanje maloazijskih zajednica. Ove upu</w:t>
        <w:softHyphen/>
        <w:t>ćuju na kraj I. stoljeća (oko 96). Ostali novo- zavjetni spisi (Jak 1 i 2 Pt, Jd) obuhvaćeni su - s 1-3 Iv (vidi gore) - u skupinu »katoličkih po</w:t>
        <w:softHyphen/>
        <w:t>slanica« (u starini nazvanih i »kanonskim po</w:t>
        <w:softHyphen/>
        <w:t>slanicama«), jer se ne obraćaju određenim primateljima (pojedinačnim zajednicama) ne</w:t>
        <w:softHyphen/>
        <w:t>go čitavoj zajednici kršćanstva kao općem kru</w:t>
        <w:softHyphen/>
        <w:t>gu čitatelja. Bez obzira na tu oznaku, one se ne slažu u povodu, postavljanju cilja i teološ</w:t>
        <w:softHyphen/>
        <w:t>kom svojstvu. Dok se kod 1 Pt može prepo</w:t>
        <w:softHyphen/>
        <w:t>znati pavlovska pozadina, Jak stoji u sučelja</w:t>
        <w:softHyphen/>
        <w:t>vanju s neshvaćenim ili iskrivljenim pavlov- skim učenjem. Literamo-kritička analiza od Jd i 2 Pt pokazuje sličnosti (do doslovnih su</w:t>
        <w:softHyphen/>
        <w:t>glasnosti) i postavlja pitanje o literarnoj ovis</w:t>
        <w:softHyphen/>
        <w:t>nosti: 2 Pt javlja se kao ispravak, proširenje i zaoštravanje od Jd pri čemu je 2 Pt upoznat i s 1 Pt. Kao vrijeme nastanka za Jak i 1 Pt pro</w:t>
        <w:softHyphen/>
        <w:t>izlazi kraj I. stoljeća, za Jd i 2 Pt prva polovica II. stoljeća (oko 100-140).</w:t>
      </w:r>
    </w:p>
    <w:p>
      <w:pPr>
        <w:pStyle w:val="Style20"/>
        <w:keepNext w:val="0"/>
        <w:keepLines w:val="0"/>
        <w:widowControl w:val="0"/>
        <w:numPr>
          <w:ilvl w:val="0"/>
          <w:numId w:val="351"/>
        </w:numPr>
        <w:shd w:val="clear" w:color="auto" w:fill="auto"/>
        <w:tabs>
          <w:tab w:pos="246"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Značenje:</w:t>
      </w:r>
      <w:r>
        <w:rPr>
          <w:rFonts w:ascii="Times New Roman" w:eastAsia="Times New Roman" w:hAnsi="Times New Roman" w:cs="Times New Roman"/>
          <w:color w:val="000000"/>
          <w:spacing w:val="0"/>
          <w:w w:val="100"/>
          <w:position w:val="0"/>
          <w:shd w:val="clear" w:color="auto" w:fill="auto"/>
          <w:lang w:val="hr-HR" w:eastAsia="hr-HR" w:bidi="hr-HR"/>
        </w:rPr>
        <w:t xml:space="preserve"> Povijesno: 27 kanonskih spisa pruža glavne izvore za povratno pitanje o po</w:t>
        <w:softHyphen/>
        <w:t>vijesnom Isusu i za istraživanje prakršćanskog razvoja zajednice učenika do Kristove zajed</w:t>
        <w:softHyphen/>
        <w:t>nice, odnosno od objave kraljevstva Božjeg Izraelu po Isusu iz Nazareta do misionarske proklamacije po Isusu Kristu, i povezano s njim djelotvornoga Božjeg spasenja na kraju vre</w:t>
        <w:softHyphen/>
      </w:r>
      <w:r>
        <w:rPr>
          <w:rFonts w:ascii="Times New Roman" w:eastAsia="Times New Roman" w:hAnsi="Times New Roman" w:cs="Times New Roman"/>
          <w:color w:val="000000"/>
          <w:spacing w:val="0"/>
          <w:w w:val="100"/>
          <w:position w:val="0"/>
          <w:shd w:val="clear" w:color="auto" w:fill="auto"/>
          <w:lang w:val="hr-HR" w:eastAsia="hr-HR" w:bidi="hr-HR"/>
        </w:rPr>
        <w:t>mena narodima nekoć poznate ekumene. U svom mnoštvu i raznolikosti oni su dokumenti složene Isusove recepcije, popraćene sučelja</w:t>
        <w:softHyphen/>
        <w:t>vanjima od strane kršćanskih zajednica u reli</w:t>
        <w:softHyphen/>
        <w:t>gijskom i sociokulturalnom kontekstu istoč</w:t>
        <w:softHyphen/>
        <w:t>noga sredozemnog prostora (židovstvo, hele- nizam) s vremenskim težištem otprilike između 50. i 100. Stoga je za stvarno primjereno shva</w:t>
        <w:softHyphen/>
        <w:t>ćanje ovih povijesno-religioznih djela prijeko potrebno poznavanje antikne okoline i uzima</w:t>
        <w:softHyphen/>
        <w:t>nje u obzir povijesti prakršćanstva.</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Teološki: Svjedočanstvu NZ kao izvoru ob</w:t>
        <w:softHyphen/>
        <w:t>jave u kršćanstvu pripada značenje temeljne povelje po kojoj se pojedini kršćani i kršćan</w:t>
        <w:softHyphen/>
        <w:t>ske crkve usmjeravaju u pogledu svog vjer</w:t>
        <w:softHyphen/>
        <w:t>skog shvaćanja i djelovanja da bi tako u povi</w:t>
        <w:softHyphen/>
        <w:t>jesti djelovanja NZ obistinili i potvrdili svoj identitet kao Kristovi vjernici u drugim socio- kulturalnim kontekstima i u produktivnoj re</w:t>
        <w:softHyphen/>
        <w:t>cepciji kršćanske tradicije. Tako su spisi NZ kao Božja riječ u ljudskoj riječi trajna zadaća uprisutnjenosti i trajni kritički izazov za sa- moispitivanje vjerskog učenja i prakse kao i za reformu povijesnog oblika kršćanstva. Egze- gezi i teologiji stavljaju na teret da u mnoštvu artikulacija pitaju o jedinstvu spasenjskog is</w:t>
        <w:softHyphen/>
        <w:t>kaza i da otkrivaju potencijal njihova smisla na temelju povijesno-kritičkog i teološki re</w:t>
        <w:softHyphen/>
        <w:t>fleksivnog izlaganja u ozračju sadašnjosti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a) Temeljni tekstovi: </w:t>
      </w:r>
      <w:r>
        <w:rPr>
          <w:i/>
          <w:iCs/>
          <w:color w:val="000000"/>
          <w:spacing w:val="0"/>
          <w:w w:val="100"/>
          <w:position w:val="0"/>
          <w:shd w:val="clear" w:color="auto" w:fill="auto"/>
        </w:rPr>
        <w:t>The Greek Sew Testament.</w:t>
      </w:r>
      <w:r>
        <w:rPr>
          <w:color w:val="000000"/>
          <w:spacing w:val="0"/>
          <w:w w:val="100"/>
          <w:position w:val="0"/>
          <w:shd w:val="clear" w:color="auto" w:fill="auto"/>
        </w:rPr>
        <w:t xml:space="preserve"> Ed. by K. Aland i dr.. 1966; </w:t>
      </w:r>
      <w:r>
        <w:rPr>
          <w:i/>
          <w:iCs/>
          <w:color w:val="000000"/>
          <w:spacing w:val="0"/>
          <w:w w:val="100"/>
          <w:position w:val="0"/>
          <w:shd w:val="clear" w:color="auto" w:fill="auto"/>
        </w:rPr>
        <w:t>Novum Testamentum.</w:t>
      </w:r>
      <w:r>
        <w:rPr>
          <w:color w:val="000000"/>
          <w:spacing w:val="0"/>
          <w:w w:val="100"/>
          <w:position w:val="0"/>
          <w:shd w:val="clear" w:color="auto" w:fill="auto"/>
        </w:rPr>
        <w:t xml:space="preserve"> Hrsg. v. K. Aland i dr.. 1979. </w:t>
      </w:r>
      <w:r>
        <w:rPr>
          <w:color w:val="000000"/>
          <w:spacing w:val="0"/>
          <w:w w:val="100"/>
          <w:position w:val="0"/>
          <w:shd w:val="clear" w:color="auto" w:fill="auto"/>
          <w:lang w:val="hr-HR" w:eastAsia="hr-HR" w:bidi="hr-HR"/>
        </w:rPr>
        <w:t xml:space="preserve">Pregledi: </w:t>
      </w:r>
      <w:r>
        <w:rPr>
          <w:color w:val="000000"/>
          <w:spacing w:val="0"/>
          <w:w w:val="100"/>
          <w:position w:val="0"/>
          <w:shd w:val="clear" w:color="auto" w:fill="auto"/>
        </w:rPr>
        <w:t xml:space="preserve">K. Aland, </w:t>
      </w:r>
      <w:r>
        <w:rPr>
          <w:i/>
          <w:iCs/>
          <w:color w:val="000000"/>
          <w:spacing w:val="0"/>
          <w:w w:val="100"/>
          <w:position w:val="0"/>
          <w:shd w:val="clear" w:color="auto" w:fill="auto"/>
        </w:rPr>
        <w:t>Synopsis quattuor evange- liorum,</w:t>
      </w:r>
      <w:r>
        <w:rPr>
          <w:color w:val="000000"/>
          <w:spacing w:val="0"/>
          <w:w w:val="100"/>
          <w:position w:val="0"/>
          <w:shd w:val="clear" w:color="auto" w:fill="auto"/>
        </w:rPr>
        <w:t xml:space="preserve"> </w:t>
      </w:r>
      <w:r>
        <w:rPr>
          <w:color w:val="000000"/>
          <w:spacing w:val="0"/>
          <w:w w:val="100"/>
          <w:position w:val="0"/>
          <w:shd w:val="clear" w:color="auto" w:fill="auto"/>
          <w:vertAlign w:val="superscript"/>
        </w:rPr>
        <w:t>5</w:t>
      </w:r>
      <w:r>
        <w:rPr>
          <w:color w:val="000000"/>
          <w:spacing w:val="0"/>
          <w:w w:val="100"/>
          <w:position w:val="0"/>
          <w:shd w:val="clear" w:color="auto" w:fill="auto"/>
        </w:rPr>
        <w:t xml:space="preserve">1967; A, Huck/H. Lictzmann, </w:t>
      </w:r>
      <w:r>
        <w:rPr>
          <w:i/>
          <w:iCs/>
          <w:color w:val="000000"/>
          <w:spacing w:val="0"/>
          <w:w w:val="100"/>
          <w:position w:val="0"/>
          <w:shd w:val="clear" w:color="auto" w:fill="auto"/>
        </w:rPr>
        <w:t>Synopse der drei enten Evangelien,</w:t>
      </w:r>
      <w:r>
        <w:rPr>
          <w:color w:val="000000"/>
          <w:spacing w:val="0"/>
          <w:w w:val="100"/>
          <w:position w:val="0"/>
          <w:shd w:val="clear" w:color="auto" w:fill="auto"/>
        </w:rPr>
        <w:t xml:space="preserve"> </w:t>
      </w:r>
      <w:r>
        <w:rPr>
          <w:color w:val="000000"/>
          <w:spacing w:val="0"/>
          <w:w w:val="100"/>
          <w:position w:val="0"/>
          <w:shd w:val="clear" w:color="auto" w:fill="auto"/>
          <w:vertAlign w:val="superscript"/>
        </w:rPr>
        <w:t>9</w:t>
      </w:r>
      <w:r>
        <w:rPr>
          <w:color w:val="000000"/>
          <w:spacing w:val="0"/>
          <w:w w:val="100"/>
          <w:position w:val="0"/>
          <w:shd w:val="clear" w:color="auto" w:fill="auto"/>
        </w:rPr>
        <w:t xml:space="preserve">1936; R. de Solagcs, </w:t>
      </w:r>
      <w:r>
        <w:rPr>
          <w:i/>
          <w:iCs/>
          <w:color w:val="000000"/>
          <w:spacing w:val="0"/>
          <w:w w:val="100"/>
          <w:position w:val="0"/>
          <w:shd w:val="clear" w:color="auto" w:fill="auto"/>
        </w:rPr>
        <w:t>Synopse Grecque des Evangiles,</w:t>
      </w:r>
      <w:r>
        <w:rPr>
          <w:color w:val="000000"/>
          <w:spacing w:val="0"/>
          <w:w w:val="100"/>
          <w:position w:val="0"/>
          <w:shd w:val="clear" w:color="auto" w:fill="auto"/>
        </w:rPr>
        <w:t xml:space="preserve"> 1959. b) </w:t>
      </w:r>
      <w:r>
        <w:rPr>
          <w:color w:val="000000"/>
          <w:spacing w:val="0"/>
          <w:w w:val="100"/>
          <w:position w:val="0"/>
          <w:shd w:val="clear" w:color="auto" w:fill="auto"/>
          <w:lang w:val="hr-HR" w:eastAsia="hr-HR" w:bidi="hr-HR"/>
        </w:rPr>
        <w:t xml:space="preserve">Uvodna djela? </w:t>
      </w:r>
      <w:r>
        <w:rPr>
          <w:i/>
          <w:iCs/>
          <w:color w:val="000000"/>
          <w:spacing w:val="0"/>
          <w:w w:val="100"/>
          <w:position w:val="0"/>
          <w:shd w:val="clear" w:color="auto" w:fill="auto"/>
        </w:rPr>
        <w:t>G.</w:t>
      </w:r>
      <w:r>
        <w:rPr>
          <w:color w:val="000000"/>
          <w:spacing w:val="0"/>
          <w:w w:val="100"/>
          <w:position w:val="0"/>
          <w:shd w:val="clear" w:color="auto" w:fill="auto"/>
        </w:rPr>
        <w:t xml:space="preserve"> Bornkamm, </w:t>
      </w:r>
      <w:r>
        <w:rPr>
          <w:i/>
          <w:iCs/>
          <w:color w:val="000000"/>
          <w:spacing w:val="0"/>
          <w:w w:val="100"/>
          <w:position w:val="0"/>
          <w:shd w:val="clear" w:color="auto" w:fill="auto"/>
        </w:rPr>
        <w:t>Bibei. Das Neue Testament,</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1974; H. Conzclmann/A. Lindemann, </w:t>
      </w:r>
      <w:r>
        <w:rPr>
          <w:i/>
          <w:iCs/>
          <w:color w:val="000000"/>
          <w:spacing w:val="0"/>
          <w:w w:val="100"/>
          <w:position w:val="0"/>
          <w:shd w:val="clear" w:color="auto" w:fill="auto"/>
        </w:rPr>
        <w:t>Ar- beilsbuch zum Neuen Testament,</w:t>
      </w:r>
      <w:r>
        <w:rPr>
          <w:color w:val="000000"/>
          <w:spacing w:val="0"/>
          <w:w w:val="100"/>
          <w:position w:val="0"/>
          <w:shd w:val="clear" w:color="auto" w:fill="auto"/>
        </w:rPr>
        <w:t xml:space="preserve"> </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1979; W. G. Kummel. </w:t>
      </w:r>
      <w:r>
        <w:rPr>
          <w:i/>
          <w:iCs/>
          <w:color w:val="000000"/>
          <w:spacing w:val="0"/>
          <w:w w:val="100"/>
          <w:position w:val="0"/>
          <w:shd w:val="clear" w:color="auto" w:fill="auto"/>
        </w:rPr>
        <w:t>Einleitung in das Neue Testament,</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2U</w:t>
      </w:r>
      <w:r>
        <w:rPr>
          <w:color w:val="000000"/>
          <w:spacing w:val="0"/>
          <w:w w:val="100"/>
          <w:position w:val="0"/>
          <w:shd w:val="clear" w:color="auto" w:fill="auto"/>
        </w:rPr>
        <w:t xml:space="preserve">1980, E. Lohse, </w:t>
      </w:r>
      <w:r>
        <w:rPr>
          <w:i/>
          <w:iCs/>
          <w:color w:val="000000"/>
          <w:spacing w:val="0"/>
          <w:w w:val="100"/>
          <w:position w:val="0"/>
          <w:shd w:val="clear" w:color="auto" w:fill="auto"/>
        </w:rPr>
        <w:t>Die Entstehung des Neuen Testaments,</w:t>
      </w:r>
      <w:r>
        <w:rPr>
          <w:color w:val="000000"/>
          <w:spacing w:val="0"/>
          <w:w w:val="100"/>
          <w:position w:val="0"/>
          <w:shd w:val="clear" w:color="auto" w:fill="auto"/>
        </w:rPr>
        <w:t xml:space="preserve"> </w:t>
      </w:r>
      <w:r>
        <w:rPr>
          <w:color w:val="000000"/>
          <w:spacing w:val="0"/>
          <w:w w:val="100"/>
          <w:position w:val="0"/>
          <w:shd w:val="clear" w:color="auto" w:fill="auto"/>
          <w:vertAlign w:val="superscript"/>
        </w:rPr>
        <w:t>3</w:t>
      </w:r>
      <w:r>
        <w:rPr>
          <w:color w:val="000000"/>
          <w:spacing w:val="0"/>
          <w:w w:val="100"/>
          <w:position w:val="0"/>
          <w:shd w:val="clear" w:color="auto" w:fill="auto"/>
        </w:rPr>
        <w:t xml:space="preserve">1979; W. Marxscn, </w:t>
      </w:r>
      <w:r>
        <w:rPr>
          <w:i/>
          <w:iCs/>
          <w:color w:val="000000"/>
          <w:spacing w:val="0"/>
          <w:w w:val="100"/>
          <w:position w:val="0"/>
          <w:shd w:val="clear" w:color="auto" w:fill="auto"/>
        </w:rPr>
        <w:t>Ein</w:t>
        <w:softHyphen/>
        <w:t>leitung in das Neue Testament,</w:t>
      </w:r>
      <w:r>
        <w:rPr>
          <w:color w:val="000000"/>
          <w:spacing w:val="0"/>
          <w:w w:val="100"/>
          <w:position w:val="0"/>
          <w:shd w:val="clear" w:color="auto" w:fill="auto"/>
        </w:rPr>
        <w:t xml:space="preserve"> *1978; J. A. T. Robinson, </w:t>
      </w:r>
      <w:r>
        <w:rPr>
          <w:i/>
          <w:iCs/>
          <w:color w:val="000000"/>
          <w:spacing w:val="0"/>
          <w:w w:val="100"/>
          <w:position w:val="0"/>
          <w:shd w:val="clear" w:color="auto" w:fill="auto"/>
        </w:rPr>
        <w:t>Re</w:t>
        <w:softHyphen/>
        <w:t>dating the New Testament,</w:t>
      </w:r>
      <w:r>
        <w:rPr>
          <w:color w:val="000000"/>
          <w:spacing w:val="0"/>
          <w:w w:val="100"/>
          <w:position w:val="0"/>
          <w:shd w:val="clear" w:color="auto" w:fill="auto"/>
        </w:rPr>
        <w:t xml:space="preserve"> 1976; H.-M. Schenkc/K. M. Fi</w:t>
        <w:softHyphen/>
        <w:t xml:space="preserve">scher, </w:t>
      </w:r>
      <w:r>
        <w:rPr>
          <w:i/>
          <w:iCs/>
          <w:color w:val="000000"/>
          <w:spacing w:val="0"/>
          <w:w w:val="100"/>
          <w:position w:val="0"/>
          <w:shd w:val="clear" w:color="auto" w:fill="auto"/>
        </w:rPr>
        <w:t>Einleitung in die Schriften des Neuen Testaments,</w:t>
      </w:r>
      <w:r>
        <w:rPr>
          <w:color w:val="000000"/>
          <w:spacing w:val="0"/>
          <w:w w:val="100"/>
          <w:position w:val="0"/>
          <w:shd w:val="clear" w:color="auto" w:fill="auto"/>
        </w:rPr>
        <w:t xml:space="preserve"> 1-11, 1978-1979; Ph. Viclhaucr, </w:t>
      </w:r>
      <w:r>
        <w:rPr>
          <w:i/>
          <w:iCs/>
          <w:color w:val="000000"/>
          <w:spacing w:val="0"/>
          <w:w w:val="100"/>
          <w:position w:val="0"/>
          <w:shd w:val="clear" w:color="auto" w:fill="auto"/>
        </w:rPr>
        <w:t>Geschichie der urchrisllichen Lite- ratur,</w:t>
      </w:r>
      <w:r>
        <w:rPr>
          <w:color w:val="000000"/>
          <w:spacing w:val="0"/>
          <w:w w:val="100"/>
          <w:position w:val="0"/>
          <w:shd w:val="clear" w:color="auto" w:fill="auto"/>
        </w:rPr>
        <w:t xml:space="preserve"> 1975; A. Wirkcnhauscr/J. Schmid, </w:t>
      </w:r>
      <w:r>
        <w:rPr>
          <w:i/>
          <w:iCs/>
          <w:color w:val="000000"/>
          <w:spacing w:val="0"/>
          <w:w w:val="100"/>
          <w:position w:val="0"/>
          <w:shd w:val="clear" w:color="auto" w:fill="auto"/>
        </w:rPr>
        <w:t>Einleitung in das Neue Testament,</w:t>
      </w:r>
      <w:r>
        <w:rPr>
          <w:color w:val="000000"/>
          <w:spacing w:val="0"/>
          <w:w w:val="100"/>
          <w:position w:val="0"/>
          <w:shd w:val="clear" w:color="auto" w:fill="auto"/>
        </w:rPr>
        <w:t xml:space="preserve"> 1973. O </w:t>
      </w:r>
      <w:r>
        <w:rPr>
          <w:color w:val="000000"/>
          <w:spacing w:val="0"/>
          <w:w w:val="100"/>
          <w:position w:val="0"/>
          <w:shd w:val="clear" w:color="auto" w:fill="auto"/>
          <w:lang w:val="hr-HR" w:eastAsia="hr-HR" w:bidi="hr-HR"/>
        </w:rPr>
        <w:t xml:space="preserve">pitanju kanona: </w:t>
      </w:r>
      <w:r>
        <w:rPr>
          <w:color w:val="000000"/>
          <w:spacing w:val="0"/>
          <w:w w:val="100"/>
          <w:position w:val="0"/>
          <w:shd w:val="clear" w:color="auto" w:fill="auto"/>
        </w:rPr>
        <w:t>H. v. Campen</w:t>
        <w:softHyphen/>
        <w:t xml:space="preserve">hausen, </w:t>
      </w:r>
      <w:r>
        <w:rPr>
          <w:i/>
          <w:iCs/>
          <w:color w:val="000000"/>
          <w:spacing w:val="0"/>
          <w:w w:val="100"/>
          <w:position w:val="0"/>
          <w:shd w:val="clear" w:color="auto" w:fill="auto"/>
        </w:rPr>
        <w:t>Die Entstehung der christlichen Bibei,</w:t>
      </w:r>
      <w:r>
        <w:rPr>
          <w:color w:val="000000"/>
          <w:spacing w:val="0"/>
          <w:w w:val="100"/>
          <w:position w:val="0"/>
          <w:shd w:val="clear" w:color="auto" w:fill="auto"/>
        </w:rPr>
        <w:t xml:space="preserve"> 1968; I. Frank, </w:t>
      </w:r>
      <w:r>
        <w:rPr>
          <w:i/>
          <w:iCs/>
          <w:color w:val="000000"/>
          <w:spacing w:val="0"/>
          <w:w w:val="100"/>
          <w:position w:val="0"/>
          <w:shd w:val="clear" w:color="auto" w:fill="auto"/>
        </w:rPr>
        <w:t>Der Sinn der Kunonbildung,</w:t>
      </w:r>
      <w:r>
        <w:rPr>
          <w:color w:val="000000"/>
          <w:spacing w:val="0"/>
          <w:w w:val="100"/>
          <w:position w:val="0"/>
          <w:shd w:val="clear" w:color="auto" w:fill="auto"/>
        </w:rPr>
        <w:t xml:space="preserve"> 1971; K.-H. Ohlig, </w:t>
      </w:r>
      <w:r>
        <w:rPr>
          <w:i/>
          <w:iCs/>
          <w:color w:val="000000"/>
          <w:spacing w:val="0"/>
          <w:w w:val="100"/>
          <w:position w:val="0"/>
          <w:shd w:val="clear" w:color="auto" w:fill="auto"/>
        </w:rPr>
        <w:t xml:space="preserve">Dte theologische Begrundung des neutestamenllichen </w:t>
      </w:r>
      <w:r>
        <w:rPr>
          <w:i/>
          <w:iCs/>
          <w:color w:val="000000"/>
          <w:spacing w:val="0"/>
          <w:w w:val="100"/>
          <w:position w:val="0"/>
          <w:shd w:val="clear" w:color="auto" w:fill="auto"/>
          <w:lang w:val="hr-HR" w:eastAsia="hr-HR" w:bidi="hr-HR"/>
        </w:rPr>
        <w:t>Kanon.</w:t>
      </w:r>
    </w:p>
    <w:p>
      <w:pPr>
        <w:pStyle w:val="Style56"/>
        <w:keepNext w:val="0"/>
        <w:keepLines w:val="0"/>
        <w:widowControl w:val="0"/>
        <w:numPr>
          <w:ilvl w:val="0"/>
          <w:numId w:val="347"/>
        </w:numPr>
        <w:shd w:val="clear" w:color="auto" w:fill="auto"/>
        <w:tabs>
          <w:tab w:pos="241" w:val="left"/>
        </w:tabs>
        <w:bidi w:val="0"/>
        <w:spacing w:before="0" w:after="40" w:line="240" w:lineRule="auto"/>
        <w:ind w:left="0" w:right="0" w:firstLine="0"/>
        <w:jc w:val="both"/>
      </w:pPr>
      <w:r>
        <w:rPr>
          <w:color w:val="000000"/>
          <w:spacing w:val="0"/>
          <w:w w:val="100"/>
          <w:position w:val="0"/>
          <w:shd w:val="clear" w:color="auto" w:fill="auto"/>
          <w:lang w:val="hr-HR" w:eastAsia="hr-HR" w:bidi="hr-HR"/>
        </w:rPr>
        <w:t xml:space="preserve">Novozavjetna teologija: </w:t>
      </w:r>
      <w:r>
        <w:rPr>
          <w:color w:val="000000"/>
          <w:spacing w:val="0"/>
          <w:w w:val="100"/>
          <w:position w:val="0"/>
          <w:shd w:val="clear" w:color="auto" w:fill="auto"/>
        </w:rPr>
        <w:t xml:space="preserve">R. Bultmann, </w:t>
      </w:r>
      <w:r>
        <w:rPr>
          <w:i/>
          <w:iCs/>
          <w:color w:val="000000"/>
          <w:spacing w:val="0"/>
          <w:w w:val="100"/>
          <w:position w:val="0"/>
          <w:shd w:val="clear" w:color="auto" w:fill="auto"/>
        </w:rPr>
        <w:t>Theologie des Neuen Testaments,</w:t>
      </w:r>
      <w:r>
        <w:rPr>
          <w:color w:val="000000"/>
          <w:spacing w:val="0"/>
          <w:w w:val="100"/>
          <w:position w:val="0"/>
          <w:shd w:val="clear" w:color="auto" w:fill="auto"/>
        </w:rPr>
        <w:t xml:space="preserve"> </w:t>
      </w:r>
      <w:r>
        <w:rPr>
          <w:color w:val="000000"/>
          <w:spacing w:val="0"/>
          <w:w w:val="100"/>
          <w:position w:val="0"/>
          <w:shd w:val="clear" w:color="auto" w:fill="auto"/>
          <w:vertAlign w:val="superscript"/>
        </w:rPr>
        <w:t>6</w:t>
      </w:r>
      <w:r>
        <w:rPr>
          <w:color w:val="000000"/>
          <w:spacing w:val="0"/>
          <w:w w:val="100"/>
          <w:position w:val="0"/>
          <w:shd w:val="clear" w:color="auto" w:fill="auto"/>
        </w:rPr>
        <w:t xml:space="preserve">1968; L. Goppclt, </w:t>
      </w:r>
      <w:r>
        <w:rPr>
          <w:i/>
          <w:iCs/>
          <w:color w:val="000000"/>
          <w:spacing w:val="0"/>
          <w:w w:val="100"/>
          <w:position w:val="0"/>
          <w:shd w:val="clear" w:color="auto" w:fill="auto"/>
        </w:rPr>
        <w:t>Theologie des Neuen Testa</w:t>
        <w:softHyphen/>
        <w:t>ments,</w:t>
      </w:r>
      <w:r>
        <w:rPr>
          <w:color w:val="000000"/>
          <w:spacing w:val="0"/>
          <w:w w:val="100"/>
          <w:position w:val="0"/>
          <w:shd w:val="clear" w:color="auto" w:fill="auto"/>
        </w:rPr>
        <w:t xml:space="preserve"> I-II, 1975-1976; J. </w:t>
      </w:r>
      <w:r>
        <w:rPr>
          <w:i/>
          <w:iCs/>
          <w:color w:val="000000"/>
          <w:spacing w:val="0"/>
          <w:w w:val="100"/>
          <w:position w:val="0"/>
          <w:shd w:val="clear" w:color="auto" w:fill="auto"/>
        </w:rPr>
        <w:t>lcttm\&amp;*,Neutestamendiche Theo- logie.</w:t>
      </w:r>
      <w:r>
        <w:rPr>
          <w:color w:val="000000"/>
          <w:spacing w:val="0"/>
          <w:w w:val="100"/>
          <w:position w:val="0"/>
          <w:shd w:val="clear" w:color="auto" w:fill="auto"/>
        </w:rPr>
        <w:t xml:space="preserve"> 1,1971; W. G. Kummel. </w:t>
      </w:r>
      <w:r>
        <w:rPr>
          <w:i/>
          <w:iCs/>
          <w:color w:val="000000"/>
          <w:spacing w:val="0"/>
          <w:w w:val="100"/>
          <w:position w:val="0"/>
          <w:shd w:val="clear" w:color="auto" w:fill="auto"/>
        </w:rPr>
        <w:t>Die Theologie des Neuen Tes</w:t>
        <w:softHyphen/>
        <w:t>taments nach den Hauptzeugen,</w:t>
      </w:r>
      <w:r>
        <w:rPr>
          <w:color w:val="000000"/>
          <w:spacing w:val="0"/>
          <w:w w:val="100"/>
          <w:position w:val="0"/>
          <w:shd w:val="clear" w:color="auto" w:fill="auto"/>
        </w:rPr>
        <w:t xml:space="preserve"> </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1980; E. Lohse, </w:t>
      </w:r>
      <w:r>
        <w:rPr>
          <w:i/>
          <w:iCs/>
          <w:color w:val="000000"/>
          <w:spacing w:val="0"/>
          <w:w w:val="100"/>
          <w:position w:val="0"/>
          <w:shd w:val="clear" w:color="auto" w:fill="auto"/>
        </w:rPr>
        <w:t>Grundrifl der neutestamenllichen Theologie.,</w:t>
      </w:r>
      <w:r>
        <w:rPr>
          <w:color w:val="000000"/>
          <w:spacing w:val="0"/>
          <w:w w:val="100"/>
          <w:position w:val="0"/>
          <w:shd w:val="clear" w:color="auto" w:fill="auto"/>
        </w:rPr>
        <w:t xml:space="preserve"> 1974; K, H. Schclklc, </w:t>
      </w:r>
      <w:r>
        <w:rPr>
          <w:i/>
          <w:iCs/>
          <w:color w:val="000000"/>
          <w:spacing w:val="0"/>
          <w:w w:val="100"/>
          <w:position w:val="0"/>
          <w:shd w:val="clear" w:color="auto" w:fill="auto"/>
        </w:rPr>
        <w:t>Theologie des Neuen Testaments</w:t>
      </w:r>
      <w:r>
        <w:rPr>
          <w:color w:val="000000"/>
          <w:spacing w:val="0"/>
          <w:w w:val="100"/>
          <w:position w:val="0"/>
          <w:shd w:val="clear" w:color="auto" w:fill="auto"/>
        </w:rPr>
        <w:t xml:space="preserve"> I—IV, 1968-1976; XV. Thus« ing, </w:t>
      </w:r>
      <w:r>
        <w:rPr>
          <w:i/>
          <w:iCs/>
          <w:color w:val="000000"/>
          <w:spacing w:val="0"/>
          <w:w w:val="100"/>
          <w:position w:val="0"/>
          <w:shd w:val="clear" w:color="auto" w:fill="auto"/>
        </w:rPr>
        <w:t>Die nuteslamenialen Theologien und Jesus Christas</w:t>
      </w:r>
      <w:r>
        <w:rPr>
          <w:color w:val="000000"/>
          <w:spacing w:val="0"/>
          <w:w w:val="100"/>
          <w:position w:val="0"/>
          <w:shd w:val="clear" w:color="auto" w:fill="auto"/>
        </w:rPr>
        <w:t xml:space="preserve"> I, 1981. O </w:t>
      </w:r>
      <w:r>
        <w:rPr>
          <w:color w:val="000000"/>
          <w:spacing w:val="0"/>
          <w:w w:val="100"/>
          <w:position w:val="0"/>
          <w:shd w:val="clear" w:color="auto" w:fill="auto"/>
          <w:lang w:val="hr-HR" w:eastAsia="hr-HR" w:bidi="hr-HR"/>
        </w:rPr>
        <w:t xml:space="preserve">Isusu: </w:t>
      </w:r>
      <w:r>
        <w:rPr>
          <w:color w:val="000000"/>
          <w:spacing w:val="0"/>
          <w:w w:val="100"/>
          <w:position w:val="0"/>
          <w:shd w:val="clear" w:color="auto" w:fill="auto"/>
        </w:rPr>
        <w:t xml:space="preserve">G. Bornkamm, </w:t>
      </w:r>
      <w:r>
        <w:rPr>
          <w:i/>
          <w:iCs/>
          <w:color w:val="000000"/>
          <w:spacing w:val="0"/>
          <w:w w:val="100"/>
          <w:position w:val="0"/>
          <w:shd w:val="clear" w:color="auto" w:fill="auto"/>
        </w:rPr>
        <w:t>Jesus von Nazareth,</w:t>
      </w:r>
      <w:r>
        <w:rPr>
          <w:color w:val="000000"/>
          <w:spacing w:val="0"/>
          <w:w w:val="100"/>
          <w:position w:val="0"/>
          <w:shd w:val="clear" w:color="auto" w:fill="auto"/>
        </w:rPr>
        <w:t xml:space="preserve"> &gt;*1980.0 Pavlu: G. Bornkamm. </w:t>
      </w:r>
      <w:r>
        <w:rPr>
          <w:i/>
          <w:iCs/>
          <w:color w:val="000000"/>
          <w:spacing w:val="0"/>
          <w:w w:val="100"/>
          <w:position w:val="0"/>
          <w:shd w:val="clear" w:color="auto" w:fill="auto"/>
        </w:rPr>
        <w:t>Paulus,</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1979; G. Eichholz, </w:t>
      </w:r>
      <w:r>
        <w:rPr>
          <w:i/>
          <w:iCs/>
          <w:color w:val="000000"/>
          <w:spacing w:val="0"/>
          <w:w w:val="100"/>
          <w:position w:val="0"/>
          <w:shd w:val="clear" w:color="auto" w:fill="auto"/>
        </w:rPr>
        <w:t>Die The</w:t>
        <w:softHyphen/>
        <w:t>ologie des Paulus im Umrifl,</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1977. O novozavjetnnj </w:t>
      </w:r>
      <w:r>
        <w:rPr>
          <w:color w:val="000000"/>
          <w:spacing w:val="0"/>
          <w:w w:val="100"/>
          <w:position w:val="0"/>
          <w:shd w:val="clear" w:color="auto" w:fill="auto"/>
          <w:lang w:val="hr-HR" w:eastAsia="hr-HR" w:bidi="hr-HR"/>
        </w:rPr>
        <w:t xml:space="preserve">etici: </w:t>
      </w:r>
      <w:r>
        <w:rPr>
          <w:color w:val="000000"/>
          <w:spacing w:val="0"/>
          <w:w w:val="100"/>
          <w:position w:val="0"/>
          <w:shd w:val="clear" w:color="auto" w:fill="auto"/>
        </w:rPr>
        <w:t xml:space="preserve">W. Schrage, </w:t>
      </w:r>
      <w:r>
        <w:rPr>
          <w:i/>
          <w:iCs/>
          <w:color w:val="000000"/>
          <w:spacing w:val="0"/>
          <w:w w:val="100"/>
          <w:position w:val="0"/>
          <w:shd w:val="clear" w:color="auto" w:fill="auto"/>
        </w:rPr>
        <w:t>Ethik des NT.</w:t>
      </w:r>
      <w:r>
        <w:rPr>
          <w:color w:val="000000"/>
          <w:spacing w:val="0"/>
          <w:w w:val="100"/>
          <w:position w:val="0"/>
          <w:shd w:val="clear" w:color="auto" w:fill="auto"/>
        </w:rPr>
        <w:t xml:space="preserve"> 1982. - </w:t>
      </w:r>
      <w:r>
        <w:rPr>
          <w:color w:val="000000"/>
          <w:spacing w:val="0"/>
          <w:w w:val="100"/>
          <w:position w:val="0"/>
          <w:shd w:val="clear" w:color="auto" w:fill="auto"/>
          <w:lang w:val="hr-HR" w:eastAsia="hr-HR" w:bidi="hr-HR"/>
        </w:rPr>
        <w:t xml:space="preserve">Novije rasprave: </w:t>
      </w:r>
      <w:r>
        <w:rPr>
          <w:color w:val="000000"/>
          <w:spacing w:val="0"/>
          <w:w w:val="100"/>
          <w:position w:val="0"/>
          <w:shd w:val="clear" w:color="auto" w:fill="auto"/>
        </w:rPr>
        <w:t>G.</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Strecker (Hrsg.), </w:t>
      </w:r>
      <w:r>
        <w:rPr>
          <w:i/>
          <w:iCs/>
          <w:color w:val="000000"/>
          <w:spacing w:val="0"/>
          <w:w w:val="100"/>
          <w:position w:val="0"/>
          <w:shd w:val="clear" w:color="auto" w:fill="auto"/>
        </w:rPr>
        <w:t xml:space="preserve">Das Problem der Thealogie des N’euen </w:t>
      </w:r>
      <w:r>
        <w:rPr>
          <w:i/>
          <w:iCs/>
          <w:color w:val="000000"/>
          <w:spacing w:val="0"/>
          <w:w w:val="100"/>
          <w:position w:val="0"/>
          <w:shd w:val="clear" w:color="auto" w:fill="auto"/>
          <w:lang w:val="hr-HR" w:eastAsia="hr-HR" w:bidi="hr-HR"/>
        </w:rPr>
        <w:t>Tes</w:t>
        <w:softHyphen/>
        <w:t>tamente,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1975; P. Stuhlmacbcr, </w:t>
      </w:r>
      <w:r>
        <w:rPr>
          <w:i/>
          <w:iCs/>
          <w:color w:val="000000"/>
          <w:spacing w:val="0"/>
          <w:w w:val="100"/>
          <w:position w:val="0"/>
          <w:shd w:val="clear" w:color="auto" w:fill="auto"/>
        </w:rPr>
        <w:t>Schrifiauslegung auj dem Weg zur biblischen Theologie,</w:t>
      </w:r>
      <w:r>
        <w:rPr>
          <w:color w:val="000000"/>
          <w:spacing w:val="0"/>
          <w:w w:val="100"/>
          <w:position w:val="0"/>
          <w:shd w:val="clear" w:color="auto" w:fill="auto"/>
        </w:rPr>
        <w:t xml:space="preserve"> 1975.</w:t>
      </w:r>
    </w:p>
    <w:p>
      <w:pPr>
        <w:pStyle w:val="Style56"/>
        <w:keepNext w:val="0"/>
        <w:keepLines w:val="0"/>
        <w:widowControl w:val="0"/>
        <w:numPr>
          <w:ilvl w:val="0"/>
          <w:numId w:val="347"/>
        </w:numPr>
        <w:shd w:val="clear" w:color="auto" w:fill="auto"/>
        <w:tabs>
          <w:tab w:pos="250"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Okolni svijet i povijest prakrićanstva: K. </w:t>
      </w:r>
      <w:r>
        <w:rPr>
          <w:color w:val="000000"/>
          <w:spacing w:val="0"/>
          <w:w w:val="100"/>
          <w:position w:val="0"/>
          <w:shd w:val="clear" w:color="auto" w:fill="auto"/>
        </w:rPr>
        <w:t xml:space="preserve">Barrett. </w:t>
      </w:r>
      <w:r>
        <w:rPr>
          <w:i/>
          <w:iCs/>
          <w:color w:val="000000"/>
          <w:spacing w:val="0"/>
          <w:w w:val="100"/>
          <w:position w:val="0"/>
          <w:shd w:val="clear" w:color="auto" w:fill="auto"/>
        </w:rPr>
        <w:t>Die Unwell des Neuen Testaments,</w:t>
      </w:r>
      <w:r>
        <w:rPr>
          <w:color w:val="000000"/>
          <w:spacing w:val="0"/>
          <w:w w:val="100"/>
          <w:position w:val="0"/>
          <w:shd w:val="clear" w:color="auto" w:fill="auto"/>
        </w:rPr>
        <w:t xml:space="preserve"> 1959; 11. Conzclmann. </w:t>
      </w:r>
      <w:r>
        <w:rPr>
          <w:i/>
          <w:iCs/>
          <w:color w:val="000000"/>
          <w:spacing w:val="0"/>
          <w:w w:val="100"/>
          <w:position w:val="0"/>
          <w:shd w:val="clear" w:color="auto" w:fill="auto"/>
        </w:rPr>
        <w:t>Ge- schichtedes Urchristentums,*}*)!#'.</w:t>
      </w:r>
      <w:r>
        <w:rPr>
          <w:color w:val="000000"/>
          <w:spacing w:val="0"/>
          <w:w w:val="100"/>
          <w:position w:val="0"/>
          <w:shd w:val="clear" w:color="auto" w:fill="auto"/>
        </w:rPr>
        <w:t xml:space="preserve"> H. </w:t>
      </w:r>
      <w:r>
        <w:rPr>
          <w:i/>
          <w:iCs/>
          <w:color w:val="000000"/>
          <w:spacing w:val="0"/>
          <w:w w:val="100"/>
          <w:position w:val="0"/>
          <w:shd w:val="clear" w:color="auto" w:fill="auto"/>
          <w:lang w:val="hr-HR" w:eastAsia="hr-HR" w:bidi="hr-HR"/>
        </w:rPr>
        <w:t xml:space="preserve">M&amp;alct.Einfiihntngin </w:t>
      </w:r>
      <w:r>
        <w:rPr>
          <w:i/>
          <w:iCs/>
          <w:color w:val="000000"/>
          <w:spacing w:val="0"/>
          <w:w w:val="100"/>
          <w:position w:val="0"/>
          <w:shd w:val="clear" w:color="auto" w:fill="auto"/>
        </w:rPr>
        <w:t>das Neue Testament,</w:t>
      </w:r>
      <w:r>
        <w:rPr>
          <w:color w:val="000000"/>
          <w:spacing w:val="0"/>
          <w:w w:val="100"/>
          <w:position w:val="0"/>
          <w:shd w:val="clear" w:color="auto" w:fill="auto"/>
        </w:rPr>
        <w:t xml:space="preserve"> 1980; H. Kraft. </w:t>
      </w:r>
      <w:r>
        <w:rPr>
          <w:i/>
          <w:iCs/>
          <w:color w:val="000000"/>
          <w:spacing w:val="0"/>
          <w:w w:val="100"/>
          <w:position w:val="0"/>
          <w:shd w:val="clear" w:color="auto" w:fill="auto"/>
        </w:rPr>
        <w:t>Die Entstehung des Chrislenlums,</w:t>
      </w:r>
      <w:r>
        <w:rPr>
          <w:color w:val="000000"/>
          <w:spacing w:val="0"/>
          <w:w w:val="100"/>
          <w:position w:val="0"/>
          <w:shd w:val="clear" w:color="auto" w:fill="auto"/>
        </w:rPr>
        <w:t xml:space="preserve"> 1981; J. LeipoldvW. Grundmann. </w:t>
      </w:r>
      <w:r>
        <w:rPr>
          <w:i/>
          <w:iCs/>
          <w:color w:val="000000"/>
          <w:spacing w:val="0"/>
          <w:w w:val="100"/>
          <w:position w:val="0"/>
          <w:shd w:val="clear" w:color="auto" w:fill="auto"/>
        </w:rPr>
        <w:t>Umwelt des Urchristentums</w:t>
      </w:r>
      <w:r>
        <w:rPr>
          <w:color w:val="000000"/>
          <w:spacing w:val="0"/>
          <w:w w:val="100"/>
          <w:position w:val="0"/>
          <w:shd w:val="clear" w:color="auto" w:fill="auto"/>
        </w:rPr>
        <w:t xml:space="preserve"> I—Ill, *1975; E. Ix&gt;hsc, </w:t>
      </w:r>
      <w:r>
        <w:rPr>
          <w:i/>
          <w:iCs/>
          <w:color w:val="000000"/>
          <w:spacing w:val="0"/>
          <w:w w:val="100"/>
          <w:position w:val="0"/>
          <w:shd w:val="clear" w:color="auto" w:fill="auto"/>
        </w:rPr>
        <w:t>Umweii des Neuen Testaments,</w:t>
      </w:r>
      <w:r>
        <w:rPr>
          <w:color w:val="000000"/>
          <w:spacing w:val="0"/>
          <w:w w:val="100"/>
          <w:position w:val="0"/>
          <w:shd w:val="clear" w:color="auto" w:fill="auto"/>
        </w:rPr>
        <w:t xml:space="preserve"> </w:t>
      </w:r>
      <w:r>
        <w:rPr>
          <w:color w:val="000000"/>
          <w:spacing w:val="0"/>
          <w:w w:val="100"/>
          <w:position w:val="0"/>
          <w:shd w:val="clear" w:color="auto" w:fill="auto"/>
          <w:vertAlign w:val="superscript"/>
        </w:rPr>
        <w:t>5</w:t>
      </w:r>
      <w:r>
        <w:rPr>
          <w:color w:val="000000"/>
          <w:spacing w:val="0"/>
          <w:w w:val="100"/>
          <w:position w:val="0"/>
          <w:shd w:val="clear" w:color="auto" w:fill="auto"/>
        </w:rPr>
        <w:t xml:space="preserve">1980; B. Rcickc. </w:t>
      </w:r>
      <w:r>
        <w:rPr>
          <w:i/>
          <w:iCs/>
          <w:color w:val="000000"/>
          <w:spacing w:val="0"/>
          <w:w w:val="100"/>
          <w:position w:val="0"/>
          <w:shd w:val="clear" w:color="auto" w:fill="auto"/>
        </w:rPr>
        <w:t>Ntl.e Zeitgeschichle,</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1968; W. Schnccmclchcr. </w:t>
      </w:r>
      <w:r>
        <w:rPr>
          <w:i/>
          <w:iCs/>
          <w:color w:val="000000"/>
          <w:spacing w:val="0"/>
          <w:w w:val="100"/>
          <w:position w:val="0"/>
          <w:shd w:val="clear" w:color="auto" w:fill="auto"/>
        </w:rPr>
        <w:t>Das Urchristentum,</w:t>
      </w:r>
      <w:r>
        <w:rPr>
          <w:color w:val="000000"/>
          <w:spacing w:val="0"/>
          <w:w w:val="100"/>
          <w:position w:val="0"/>
          <w:shd w:val="clear" w:color="auto" w:fill="auto"/>
        </w:rPr>
        <w:t xml:space="preserve"> 1981.</w:t>
      </w:r>
    </w:p>
    <w:p>
      <w:pPr>
        <w:pStyle w:val="Style56"/>
        <w:keepNext w:val="0"/>
        <w:keepLines w:val="0"/>
        <w:widowControl w:val="0"/>
        <w:numPr>
          <w:ilvl w:val="0"/>
          <w:numId w:val="347"/>
        </w:numPr>
        <w:shd w:val="clear" w:color="auto" w:fill="auto"/>
        <w:tabs>
          <w:tab w:pos="241"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Natuknice u leksikonima: </w:t>
      </w:r>
      <w:r>
        <w:rPr>
          <w:color w:val="000000"/>
          <w:spacing w:val="0"/>
          <w:w w:val="100"/>
          <w:position w:val="0"/>
          <w:shd w:val="clear" w:color="auto" w:fill="auto"/>
        </w:rPr>
        <w:t xml:space="preserve">B. Kipper: SM I. 535-539; W. G. Kummel: RGG </w:t>
      </w:r>
      <w:r>
        <w:rPr>
          <w:color w:val="000000"/>
          <w:spacing w:val="0"/>
          <w:w w:val="100"/>
          <w:position w:val="0"/>
          <w:shd w:val="clear" w:color="auto" w:fill="auto"/>
          <w:vertAlign w:val="superscript"/>
        </w:rPr>
        <w:t>3</w:t>
      </w:r>
      <w:r>
        <w:rPr>
          <w:color w:val="000000"/>
          <w:spacing w:val="0"/>
          <w:w w:val="100"/>
          <w:position w:val="0"/>
          <w:shd w:val="clear" w:color="auto" w:fill="auto"/>
        </w:rPr>
        <w:t xml:space="preserve">1. 1130-1141; H. Ncuhauslcr: LThK </w:t>
      </w:r>
      <w:r>
        <w:rPr>
          <w:color w:val="000000"/>
          <w:spacing w:val="0"/>
          <w:w w:val="100"/>
          <w:position w:val="0"/>
          <w:shd w:val="clear" w:color="auto" w:fill="auto"/>
          <w:vertAlign w:val="superscript"/>
        </w:rPr>
        <w:t>2</w:t>
      </w:r>
      <w:r>
        <w:rPr>
          <w:color w:val="000000"/>
          <w:spacing w:val="0"/>
          <w:w w:val="100"/>
          <w:position w:val="0"/>
          <w:shd w:val="clear" w:color="auto" w:fill="auto"/>
        </w:rPr>
        <w:t>11. 809-902; K. Rahner: SM HI. 738-743; R. Schnacken- burg; SM 1 545-552; A. Vdgtlc: SM I. 589-598; H. J. Vo- gclvj. Schmid; LThK *11, 339-344.350-355.</w:t>
      </w:r>
    </w:p>
    <w:p>
      <w:pPr>
        <w:pStyle w:val="Style56"/>
        <w:keepNext w:val="0"/>
        <w:keepLines w:val="0"/>
        <w:widowControl w:val="0"/>
        <w:shd w:val="clear" w:color="auto" w:fill="auto"/>
        <w:bidi w:val="0"/>
        <w:spacing w:before="0" w:after="120" w:line="240" w:lineRule="auto"/>
        <w:ind w:left="0" w:right="0" w:firstLine="0"/>
        <w:jc w:val="right"/>
      </w:pPr>
      <w:r>
        <w:rPr>
          <w:color w:val="000000"/>
          <w:spacing w:val="0"/>
          <w:w w:val="100"/>
          <w:position w:val="0"/>
          <w:shd w:val="clear" w:color="auto" w:fill="auto"/>
        </w:rPr>
        <w:t>H.J. HNDEIS</w:t>
      </w:r>
    </w:p>
    <w:p>
      <w:pPr>
        <w:pStyle w:val="Style63"/>
        <w:keepNext/>
        <w:keepLines/>
        <w:widowControl w:val="0"/>
        <w:numPr>
          <w:ilvl w:val="0"/>
          <w:numId w:val="357"/>
        </w:numPr>
        <w:shd w:val="clear" w:color="auto" w:fill="auto"/>
        <w:tabs>
          <w:tab w:pos="260" w:val="left"/>
        </w:tabs>
        <w:bidi w:val="0"/>
        <w:spacing w:before="0" w:line="223" w:lineRule="auto"/>
        <w:ind w:left="0" w:right="0" w:firstLine="0"/>
        <w:jc w:val="both"/>
      </w:pPr>
      <w:bookmarkStart w:id="221" w:name="bookmark221"/>
      <w:r>
        <w:rPr>
          <w:rFonts w:ascii="Times New Roman" w:eastAsia="Times New Roman" w:hAnsi="Times New Roman" w:cs="Times New Roman"/>
          <w:color w:val="000000"/>
          <w:spacing w:val="0"/>
          <w:w w:val="100"/>
          <w:position w:val="0"/>
          <w:shd w:val="clear" w:color="auto" w:fill="auto"/>
          <w:lang w:val="hr-HR" w:eastAsia="hr-HR" w:bidi="hr-HR"/>
        </w:rPr>
        <w:t>islamski</w:t>
      </w:r>
      <w:bookmarkEnd w:id="22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islamu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kao NZ shvaćaju autentične Isu</w:t>
        <w:softHyphen/>
        <w:t>sove riječi koje je kao objavu predao svojim učenicima. Izraz »NZ« po sebi nije ustaljen; umjesto njega rabi se naziv Indžil (evanđelje). Kao i svakoj drugoj objavi, u kojoj islam vidi jedini susret između Boga i čovjeka, tako se i Novom zavjetu pripisuje središnje religiozno značenje. S ostalim dijelom Biblije i drugim knjigama objava NZ čini treći stavak islamske vjere. Ali se sadržaj evanđelja koja su u opti</w:t>
        <w:softHyphen/>
        <w:t>caju ne prihvaća bez daljnjega kao čist zato što se u njima osjećaju interpolacije, ispušta</w:t>
        <w:softHyphen/>
        <w:t>nja i prevoditeljske pogreške. Kuran je mjeri</w:t>
        <w:softHyphen/>
        <w:t>lo i optika svakoga pristupa Novom zavjetu. Gledano s tog stajališta shvatljivo je vrlo ve</w:t>
        <w:softHyphen/>
      </w:r>
      <w:r>
        <w:rPr>
          <w:rFonts w:ascii="Times New Roman" w:eastAsia="Times New Roman" w:hAnsi="Times New Roman" w:cs="Times New Roman"/>
          <w:color w:val="000000"/>
          <w:spacing w:val="0"/>
          <w:w w:val="100"/>
          <w:position w:val="0"/>
          <w:shd w:val="clear" w:color="auto" w:fill="auto"/>
          <w:lang w:val="hr-HR" w:eastAsia="hr-HR" w:bidi="hr-HR"/>
        </w:rPr>
        <w:t>liko zanimanje za »čisti prvobitni tekst« No</w:t>
        <w:softHyphen/>
        <w:t>voga zavjeta. Tako je došlo do toga da je je</w:t>
        <w:softHyphen/>
        <w:t xml:space="preserve">dan tekst koji je u srednjem vijeku nastao pod imenom </w:t>
      </w:r>
      <w:r>
        <w:rPr>
          <w:rFonts w:ascii="Times New Roman" w:eastAsia="Times New Roman" w:hAnsi="Times New Roman" w:cs="Times New Roman"/>
          <w:i/>
          <w:iCs/>
          <w:color w:val="000000"/>
          <w:spacing w:val="0"/>
          <w:w w:val="100"/>
          <w:position w:val="0"/>
          <w:shd w:val="clear" w:color="auto" w:fill="auto"/>
          <w:lang w:val="hr-HR" w:eastAsia="hr-HR" w:bidi="hr-HR"/>
        </w:rPr>
        <w:t>Bamabino evanđelje</w:t>
      </w:r>
      <w:r>
        <w:rPr>
          <w:rFonts w:ascii="Times New Roman" w:eastAsia="Times New Roman" w:hAnsi="Times New Roman" w:cs="Times New Roman"/>
          <w:color w:val="000000"/>
          <w:spacing w:val="0"/>
          <w:w w:val="100"/>
          <w:position w:val="0"/>
          <w:shd w:val="clear" w:color="auto" w:fill="auto"/>
          <w:lang w:val="hr-HR" w:eastAsia="hr-HR" w:bidi="hr-HR"/>
        </w:rPr>
        <w:t xml:space="preserve"> naišao na živi odjek u jednom dijelu muslimanske javnosti. Jedini rukopis tog »evanđelja« koji postoji u Austrijskoj nacionalnoj knjižnici bio je stoga ponovno izdan - svakako potpuno diletantski i nekritički.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Kuranu se nalaze brojna mjesta koja se po sadržaju slažu s Novim zavjetom. Dijelom su to opće analogije s temeljnim vjerskim pre</w:t>
        <w:softHyphen/>
        <w:t>dodžbama i s etičkim zahtjevima, a dijelom su to varijacije novozavjetnih misli. Dobar prim</w:t>
        <w:softHyphen/>
        <w:t>jer za to su stihovi 2,246 i 57,11, u kojima se ljudsko dobročinstvo vrednuje kao predanost Bogu. Prilikom čitanja tih stihova pravomu se kršćaninu te riječi nameću u ovome smislu: »Što si učinio najmanjemu od moje braće, uči</w:t>
        <w:softHyphen/>
        <w:t>nio si meni«. Ali se u Kuranu ništa ne izvješ</w:t>
        <w:softHyphen/>
        <w:t>ćuje o Isusovu učenju niti o apostolima. U njemu se mogu jedino izvješća ili upute o ču</w:t>
        <w:softHyphen/>
        <w:t>desnom rođenju Nazarećanina i njegovim ču</w:t>
        <w:softHyphen/>
        <w:t>dima, o njegovoj majci koja ga je rodila kao djevica i o rođenju Ivana Krstitelja. Bilo je vrlo istaknutih i od čitavoga islamskog svijeta priznatih učenjaka poput Muhameda al-Ga- zalija (u. 1111) koji su navodili NZ i koristili ga u pobožne svrhe unatoč shvaćanju da je on dvojben s obzirom na svoju autentičnost.</w:t>
      </w:r>
    </w:p>
    <w:p>
      <w:pPr>
        <w:pStyle w:val="Style74"/>
        <w:keepNext w:val="0"/>
        <w:keepLines w:val="0"/>
        <w:widowControl w:val="0"/>
        <w:shd w:val="clear" w:color="auto" w:fill="auto"/>
        <w:bidi w:val="0"/>
        <w:spacing w:before="0" w:after="0" w:line="240" w:lineRule="auto"/>
        <w:ind w:left="0" w:right="0" w:firstLine="0"/>
        <w:jc w:val="right"/>
        <w:sectPr>
          <w:headerReference w:type="default" r:id="rId947"/>
          <w:footerReference w:type="default" r:id="rId948"/>
          <w:headerReference w:type="even" r:id="rId949"/>
          <w:footerReference w:type="even" r:id="rId950"/>
          <w:headerReference w:type="first" r:id="rId951"/>
          <w:footerReference w:type="first" r:id="rId952"/>
          <w:footnotePr>
            <w:pos w:val="pageBottom"/>
            <w:numFmt w:val="decimal"/>
            <w:numRestart w:val="continuous"/>
            <w15:footnoteColumns w:val="1"/>
          </w:footnotePr>
          <w:pgSz w:w="6816" w:h="11006"/>
          <w:pgMar w:top="1004" w:left="190" w:right="195" w:bottom="508" w:header="0" w:footer="3" w:gutter="0"/>
          <w:cols w:num="2" w:space="19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 IIA1.IĆ</w:t>
      </w:r>
    </w:p>
    <w:p>
      <w:pPr>
        <w:rPr>
          <w:sz w:val="2"/>
          <w:szCs w:val="2"/>
        </w:rPr>
        <w:sectPr>
          <w:footnotePr>
            <w:pos w:val="pageBottom"/>
            <w:numFmt w:val="decimal"/>
            <w:numRestart w:val="continuous"/>
            <w15:footnoteColumns w:val="1"/>
          </w:footnotePr>
          <w:type w:val="continuous"/>
          <w:pgSz w:w="6816" w:h="11006"/>
          <w:pgMar w:top="1004" w:left="190" w:right="195" w:bottom="508" w:header="0" w:footer="3" w:gutter="0"/>
          <w:cols w:num="2" w:space="199"/>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55" w:after="55" w:line="240" w:lineRule="exact"/>
        <w:rPr>
          <w:sz w:val="19"/>
          <w:szCs w:val="19"/>
        </w:rPr>
      </w:pPr>
    </w:p>
    <w:p>
      <w:pPr>
        <w:widowControl w:val="0"/>
        <w:spacing w:line="1" w:lineRule="exact"/>
        <w:sectPr>
          <w:headerReference w:type="default" r:id="rId953"/>
          <w:footerReference w:type="default" r:id="rId954"/>
          <w:headerReference w:type="even" r:id="rId955"/>
          <w:footerReference w:type="even" r:id="rId956"/>
          <w:headerReference w:type="first" r:id="rId957"/>
          <w:footerReference w:type="first" r:id="rId958"/>
          <w:footnotePr>
            <w:pos w:val="pageBottom"/>
            <w:numFmt w:val="decimal"/>
            <w:numRestart w:val="continuous"/>
            <w15:footnoteColumns w:val="1"/>
          </w:footnotePr>
          <w:pgSz w:w="6816" w:h="11006"/>
          <w:pgMar w:top="992" w:left="171" w:right="179" w:bottom="534" w:header="0" w:footer="3" w:gutter="0"/>
          <w:cols w:num="2" w:space="173"/>
          <w:noEndnote/>
          <w:titlePg/>
          <w:rtlGutter w:val="0"/>
          <w:docGrid w:linePitch="360"/>
        </w:sectPr>
      </w:pP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OBEĆANJE</w:t>
      </w:r>
    </w:p>
    <w:p>
      <w:pPr>
        <w:pStyle w:val="Style63"/>
        <w:keepNext/>
        <w:keepLines/>
        <w:widowControl w:val="0"/>
        <w:numPr>
          <w:ilvl w:val="0"/>
          <w:numId w:val="359"/>
        </w:numPr>
        <w:shd w:val="clear" w:color="auto" w:fill="auto"/>
        <w:tabs>
          <w:tab w:pos="246" w:val="left"/>
        </w:tabs>
        <w:bidi w:val="0"/>
        <w:spacing w:before="0" w:after="80"/>
        <w:ind w:left="0" w:right="0" w:firstLine="0"/>
        <w:jc w:val="both"/>
      </w:pPr>
      <w:bookmarkStart w:id="222" w:name="bookmark222"/>
      <w:r>
        <w:rPr>
          <w:rFonts w:ascii="Times New Roman" w:eastAsia="Times New Roman" w:hAnsi="Times New Roman" w:cs="Times New Roman"/>
          <w:color w:val="000000"/>
          <w:spacing w:val="0"/>
          <w:w w:val="100"/>
          <w:position w:val="0"/>
          <w:shd w:val="clear" w:color="auto" w:fill="auto"/>
          <w:lang w:val="hr-HR" w:eastAsia="hr-HR" w:bidi="hr-HR"/>
        </w:rPr>
        <w:t>židovski</w:t>
      </w:r>
      <w:bookmarkEnd w:id="222"/>
    </w:p>
    <w:p>
      <w:pPr>
        <w:pStyle w:val="Style20"/>
        <w:keepNext w:val="0"/>
        <w:keepLines w:val="0"/>
        <w:widowControl w:val="0"/>
        <w:numPr>
          <w:ilvl w:val="0"/>
          <w:numId w:val="361"/>
        </w:numPr>
        <w:shd w:val="clear" w:color="auto" w:fill="auto"/>
        <w:tabs>
          <w:tab w:pos="270" w:val="left"/>
        </w:tabs>
        <w:bidi w:val="0"/>
        <w:spacing w:before="0" w:after="10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da vam dadnem budućnost i nadu.”</w:t>
      </w:r>
      <w:r>
        <w:rPr>
          <w:rFonts w:ascii="Times New Roman" w:eastAsia="Times New Roman" w:hAnsi="Times New Roman" w:cs="Times New Roman"/>
          <w:color w:val="000000"/>
          <w:spacing w:val="0"/>
          <w:w w:val="100"/>
          <w:position w:val="0"/>
          <w:shd w:val="clear" w:color="auto" w:fill="auto"/>
          <w:lang w:val="hr-HR" w:eastAsia="hr-HR" w:bidi="hr-HR"/>
        </w:rPr>
        <w:t xml:space="preserve"> »U čemu je razlika između obećanja i ispunjenja? Ona postoji, jer prvo ostaje, završeno je, čvr</w:t>
        <w:softHyphen/>
        <w:t xml:space="preserve">sto, a drugo... nastupa. Stoga se od obećanja do ispunjenja više ništa ne mijenja, sadržaj obećanja i faze ispunjenja jedna su cjelina; samo što se to završeno obrnulo na početak. Time su se dijelovi, od kojih je to završeno sadržajno sastavljeno, prometnuli u pretkazi- vanje događaja koji proizlazi iz njega i koji je ponovno postao početak.« Odnos što ga je </w:t>
      </w:r>
      <w:r>
        <w:rPr>
          <w:rFonts w:ascii="Times New Roman" w:eastAsia="Times New Roman" w:hAnsi="Times New Roman" w:cs="Times New Roman"/>
          <w:color w:val="000000"/>
          <w:spacing w:val="0"/>
          <w:w w:val="100"/>
          <w:position w:val="0"/>
          <w:shd w:val="clear" w:color="auto" w:fill="auto"/>
          <w:lang w:val="en-US" w:eastAsia="en-US" w:bidi="en-US"/>
        </w:rPr>
        <w:t xml:space="preserve">Franz Rosenzweig </w:t>
      </w:r>
      <w:r>
        <w:rPr>
          <w:rFonts w:ascii="Times New Roman" w:eastAsia="Times New Roman" w:hAnsi="Times New Roman" w:cs="Times New Roman"/>
          <w:color w:val="000000"/>
          <w:spacing w:val="0"/>
          <w:w w:val="100"/>
          <w:position w:val="0"/>
          <w:shd w:val="clear" w:color="auto" w:fill="auto"/>
          <w:lang w:val="hr-HR" w:eastAsia="hr-HR" w:bidi="hr-HR"/>
        </w:rPr>
        <w:t xml:space="preserve">utvrdio između početka (»Bog stvori«) i ispunjenja (»Bog reče«) u stvaranju (Post 1,1-3;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Erlosung, </w:t>
      </w:r>
      <w:r>
        <w:rPr>
          <w:rFonts w:ascii="Times New Roman" w:eastAsia="Times New Roman" w:hAnsi="Times New Roman" w:cs="Times New Roman"/>
          <w:color w:val="000000"/>
          <w:spacing w:val="0"/>
          <w:w w:val="100"/>
          <w:position w:val="0"/>
          <w:shd w:val="clear" w:color="auto" w:fill="auto"/>
          <w:lang w:val="hr-HR" w:eastAsia="hr-HR" w:bidi="hr-HR"/>
        </w:rPr>
        <w:t>1921,</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1930,</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1976, 124) može pomoći za razu</w:t>
        <w:softHyphen/>
        <w:t>mijevanje veze, koja postoji između povijesti naroda kakva se prenosila od Knjige Izlaska, i izvješća o praocima u Postanku, koji su s njom u najtješnjoj vezi: Bog u izvješćima o prao</w:t>
        <w:softHyphen/>
        <w:t>cima jest Bog koji izvodi narod, koji s njim ide, koji ga vodi (Post 12,1; 15.7; Još 24,3; Post 21,22; 26,3.24.28; 28,15.20; 31,3.5; 35,3; 39,2a.21.23; 48,21). Vodeni narod predaje mu se s povjerenjem (Post 15,6), odaziva se na njegov poziv (12,4) sve do posljednje kušnje kako bi izvršio ono što mu je zapovjeđeno (22,3). Jedno kasnije doba karakterizira Abra- hamov odnos prema Bogu s riječju »ljubiti« (Iz 41,8) koja opisuje odgovarajuću Izraelovu vezu s Bogom (Izl 20,6; Suci 5,31). Odluka o »odbacivanju tuđih kumira« (Post 35,2) raz</w:t>
        <w:softHyphen/>
        <w:t>jašnjava odnos »otaca« prema Bogu. Sve crte »Boga otaca« susrećemo ponovno u karakte</w:t>
        <w:softHyphen/>
        <w:t>ristikama Boga Izraelova: on izvodi Izraelce iz Egipta (Izl 3,8.10 i d.; 20,2; Pnz 6,21; 26,8; Još 24,5 i d.; 1 Sam 12,6), ide s njima (Izl 3,12; Još 1,5.9.17; 6,27; 1 Kr 8,57), predvodi ih (Pnz 8,2.15; Još 24,3; Ps 136,16) i zapovjednički se obraća svojem narodu (usp. Post 22,18 s Pnz 4,1; 6,4; 26,14) s obećanjem (usp. Post 12,7;</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15,7; 26,3 i d.; 28,13 i d„ Izl 6,4.8; Pnz 1,8.25; 6.23; 26,3.9 i d.) i sklapa Savez (usp. Post 15,18; 17,2 i d„ v. Izl 19,4-6; 24,4-11; Pnz 5,2). Povijesna objava pojedinom praocu anticipira povijesnu objavu Izraelu. Prema tomu, izvješ</w:t>
        <w:softHyphen/>
        <w:t>ća o praocima u znaku su »obećanja« koje prethodi obećanju u povijesti Izraela: Bog po</w:t>
        <w:softHyphen/>
        <w:t>ziva Izraelova praoca i daje mu o. za budući narod u vlastitoj zemlji (Post 12,1 i d.; 13,14 i d.). Događaj »obećanja« označava početak povijesti Izraela, i ta se povijest tumači kao is</w:t>
        <w:softHyphen/>
        <w:t xml:space="preserve">punjavanje obećanoga. Kako bi se otkrila ta veza, rabini rabe izraz »o.« (ili: »uvjeravanje«): »(Bog reče Mojsiju:) Zbog obećanja </w:t>
      </w:r>
      <w:r>
        <w:rPr>
          <w:rFonts w:ascii="Times New Roman" w:eastAsia="Times New Roman" w:hAnsi="Times New Roman" w:cs="Times New Roman"/>
          <w:i/>
          <w:iCs/>
          <w:color w:val="000000"/>
          <w:spacing w:val="0"/>
          <w:w w:val="100"/>
          <w:position w:val="0"/>
          <w:shd w:val="clear" w:color="auto" w:fill="auto"/>
          <w:lang w:val="hr-HR" w:eastAsia="hr-HR" w:bidi="hr-HR"/>
        </w:rPr>
        <w:t>(havta- ha)</w:t>
      </w:r>
      <w:r>
        <w:rPr>
          <w:rFonts w:ascii="Times New Roman" w:eastAsia="Times New Roman" w:hAnsi="Times New Roman" w:cs="Times New Roman"/>
          <w:color w:val="000000"/>
          <w:spacing w:val="0"/>
          <w:w w:val="100"/>
          <w:position w:val="0"/>
          <w:shd w:val="clear" w:color="auto" w:fill="auto"/>
          <w:lang w:val="hr-HR" w:eastAsia="hr-HR" w:bidi="hr-HR"/>
        </w:rPr>
        <w:t xml:space="preserve"> što sam ga dao vašem ocu Jakovu (Post 28,14), razdvojio sam vam more... Rabi Je- huda b. Batira (oko 110) rekao je: Bog mu je rekao: Odavno sam ispunio obećanje koje sam dao vašem ocu Abrahamu (Izl 14,21)« (Meilta Izl 14,15; usp. Bemidbar raba 11,2,32). No kad Izrael doživi izvođenje iz Egipta i uvo</w:t>
        <w:softHyphen/>
        <w:t>đenje u zemlju kao ispunjenje Božje riječi (usp. Post 15,7 s Izl 20,2), tada u tome opaža istoga vjernog Boga čije je trajno djelovanje vodilo praoca izvedenog u neizvjesnost (Post 20,13; Pnz 26,5-9) i čija je »velika ruka« po</w:t>
        <w:softHyphen/>
        <w:t>stala vidljiva iznad naroda i opravdala povje</w:t>
        <w:softHyphen/>
        <w:t>renje u Boga (Izl 14,31, usp. Pnz 7,8; Ps 136,12), »pastira Izraelova« (Ps 80,2), koji na putovanju kroz pustinju i u zemlji ostaje uz njega i Izraelu u izgnanstvu obećava da će im dati »budućnost i nadu« (Jr 29,11).</w:t>
      </w:r>
    </w:p>
    <w:p>
      <w:pPr>
        <w:pStyle w:val="Style20"/>
        <w:keepNext w:val="0"/>
        <w:keepLines w:val="0"/>
        <w:widowControl w:val="0"/>
        <w:numPr>
          <w:ilvl w:val="0"/>
          <w:numId w:val="361"/>
        </w:numPr>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drži svoj Savez... onima koji drže njegove zapovijedi.”</w:t>
      </w:r>
      <w:r>
        <w:rPr>
          <w:rFonts w:ascii="Times New Roman" w:eastAsia="Times New Roman" w:hAnsi="Times New Roman" w:cs="Times New Roman"/>
          <w:color w:val="000000"/>
          <w:spacing w:val="0"/>
          <w:w w:val="100"/>
          <w:position w:val="0"/>
          <w:shd w:val="clear" w:color="auto" w:fill="auto"/>
          <w:lang w:val="hr-HR" w:eastAsia="hr-HR" w:bidi="hr-HR"/>
        </w:rPr>
        <w:t xml:space="preserve"> Izrael je shvaćao svoju povijest kao put pod obećanjem i zapovijedi Božjom. Jed</w:t>
        <w:softHyphen/>
        <w:t>no se ne može odvojiti od drugoga. O tome govore izvješća o »Savezu«. Oni izražavaju Božju volju da prihvati životni odnos s Izrae</w:t>
        <w:softHyphen/>
        <w:t>lom i spremnost Izraela da živi neposredno u službi Božjoj (Izl 19,4-8; 24,4-8; 34,27 i d.). U teološki odraženom jeziku »savez« postaje natuknicom za »o.«: Bog će »držati Savez svoj i milost za koje se zakleo tvojim očima«. Sa</w:t>
        <w:softHyphen/>
      </w:r>
      <w:r>
        <w:rPr>
          <w:rFonts w:ascii="Times New Roman" w:eastAsia="Times New Roman" w:hAnsi="Times New Roman" w:cs="Times New Roman"/>
          <w:color w:val="000000"/>
          <w:spacing w:val="0"/>
          <w:w w:val="100"/>
          <w:position w:val="0"/>
          <w:shd w:val="clear" w:color="auto" w:fill="auto"/>
          <w:lang w:val="hr-HR" w:eastAsia="hr-HR" w:bidi="hr-HR"/>
        </w:rPr>
        <w:t>držaj obećanja sc konkretizira: »Ljubit ćete, blagoslivljati i razmnažali se;... u zemlji za koju se zakleo očima tvojim da će je tebi dati« (Pnz 7,12 i d.). Darovano Božje »o.« u skladu je s Izraelovom poslušnošću u Savezu budu li ga »slijedili, slušali ove naloge, držali ih te iz</w:t>
        <w:softHyphen/>
        <w:t>vršavali« (7,12; usp. 5,2 i d.; Izl 19 i d.). Svojim obećanjem i zapovijedi Bog je učinio Izrael svojim narodom: »Zato znaj da je ON, Bog tvoj, pravi Bog, Bog vjeran, koji drži svoj Sa</w:t>
        <w:softHyphen/>
        <w:t>vez i milost svoju iskazuje onima koji ga ljube i drže njegove zapovijedi« (Pnz 7,9, usp. Izl 20,2.6). »O.« i zapovijed nisu suprotnosti u hebrejskoj Bibliji, nego pripadaju jedno dru</w:t>
        <w:softHyphen/>
        <w:t>gomu poput milosrdnoga i strogog obraćanja Boga Izraelu (Izl 20,5 i d.; 34,6 i d., usp. b Roš ha-šana 17b), što se može zaključiti po zajed</w:t>
        <w:softHyphen/>
        <w:t xml:space="preserve">ničkom jezičnom obliku: zapovijed (Izl 20,3 i d.; Pnz 5,7 i d.;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18,4 i d.; 19,17 i d.) u he</w:t>
        <w:softHyphen/>
        <w:t xml:space="preserve">brejskoj sintaksi nije oblikovana drukčije od »obećanja« (Post 12,7; 15,4, v.14-16; 16,10.12; Izl 19,6; 2 Sam 7,10-16; Iz 2,1-4; 4,2-6; 7,7 i d.;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9,8 i d.; Jr 30,8-11; 31,33) i obrnuto. Bog koji zapovijeda jest Bog koji daje. Nje</w:t>
        <w:softHyphen/>
        <w:t>gova se zapovijed proteže na budući životni put, na prednajavu čovjekova ponašanja: »Sa</w:t>
        <w:softHyphen/>
        <w:t>mo onaj tko živi čestito, koji čini pravicu, i istinu iz srca zbori« - drži i svoje »o.«: »Tko tako čini, pokolebat se neće dovijeka« (Ps</w:t>
      </w:r>
    </w:p>
    <w:p>
      <w:pPr>
        <w:pStyle w:val="Style20"/>
        <w:keepNext w:val="0"/>
        <w:keepLines w:val="0"/>
        <w:widowControl w:val="0"/>
        <w:numPr>
          <w:ilvl w:val="0"/>
          <w:numId w:val="363"/>
        </w:numPr>
        <w:shd w:val="clear" w:color="auto" w:fill="auto"/>
        <w:tabs>
          <w:tab w:pos="577"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Onomu tko ispunjava o. pripada bu</w:t>
        <w:softHyphen/>
        <w:t>dućnost: »Onaj u koga su ruke čiste i srce nedužno... On blagoslov prima od NJEGA i nagradu od Boga, Spasitelja svoga« (Ps</w:t>
      </w:r>
    </w:p>
    <w:p>
      <w:pPr>
        <w:pStyle w:val="Style20"/>
        <w:keepNext w:val="0"/>
        <w:keepLines w:val="0"/>
        <w:widowControl w:val="0"/>
        <w:numPr>
          <w:ilvl w:val="0"/>
          <w:numId w:val="365"/>
        </w:numPr>
        <w:shd w:val="clear" w:color="auto" w:fill="auto"/>
        <w:tabs>
          <w:tab w:pos="577"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Na svaki zapovjedeni cilj Bog stavlja i svoje »o.«: »Onaj koji hodi u pravdi i pravo govori, koji prezire dobit od prinude, koji ot</w:t>
        <w:softHyphen/>
        <w:t>resa ruku da ne primi mito, koji zatiskuje uši da ne vidi zlo: on će prebivati u visinama, tvrde na stijenama bit će mu utočište, imat će dosta kruha i vode će mu svagda dotjccati« (Iz 33,14-16). Svaki zahtjev Bog povezuje sa svo</w:t>
        <w:softHyphen/>
        <w:t xml:space="preserve">jim obećanjem; u tome čovjekov život nalazi jedinstvo: »Tko je pravedan i poštuje zakon i pravdu...po mojim naredbama hodi i čuva moje zakone, taj je zaista pravedan i taj će živjeti« (Ez 18,5.8.9, usp. redak 17.21.28;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w:t>
      </w:r>
    </w:p>
    <w:p>
      <w:pPr>
        <w:pStyle w:val="Style20"/>
        <w:keepNext w:val="0"/>
        <w:keepLines w:val="0"/>
        <w:widowControl w:val="0"/>
        <w:numPr>
          <w:ilvl w:val="0"/>
          <w:numId w:val="361"/>
        </w:numPr>
        <w:shd w:val="clear" w:color="auto" w:fill="auto"/>
        <w:tabs>
          <w:tab w:pos="25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»Tko ima zapovijed, ima o.»</w:t>
      </w:r>
      <w:r>
        <w:rPr>
          <w:rFonts w:ascii="Times New Roman" w:eastAsia="Times New Roman" w:hAnsi="Times New Roman" w:cs="Times New Roman"/>
          <w:color w:val="000000"/>
          <w:spacing w:val="0"/>
          <w:w w:val="100"/>
          <w:position w:val="0"/>
          <w:shd w:val="clear" w:color="auto" w:fill="auto"/>
          <w:lang w:val="hr-HR" w:eastAsia="hr-HR" w:bidi="hr-HR"/>
        </w:rPr>
        <w:t xml:space="preserve"> Svi darovi Božji skupljeni su u Božju zapovjednu riječ. Odgo</w:t>
        <w:softHyphen/>
        <w:t>vor posluha obuhvaća dva vida: tradicionalne stalne molitve održavaju na životu primanje i čuvanje darova: »Blagoslovljen budi, Vječni,</w:t>
      </w:r>
    </w:p>
    <w:p>
      <w:pPr>
        <w:pStyle w:val="Style20"/>
        <w:keepNext w:val="0"/>
        <w:keepLines w:val="0"/>
        <w:widowControl w:val="0"/>
        <w:shd w:val="clear" w:color="auto" w:fill="auto"/>
        <w:tabs>
          <w:tab w:pos="2458"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koji si svoj narod Izrael u ljubavi izabrao«; »ta riječ ostaje uvijek i vječno kao dobra i trajna«; »ti pomoć si našim očima dovijeka, zaštitnik i pomoćnik njihovim sinovima, i onima nakon njih u svakom narodu« (iz </w:t>
      </w:r>
      <w:r>
        <w:rPr>
          <w:rFonts w:ascii="Times New Roman" w:eastAsia="Times New Roman" w:hAnsi="Times New Roman" w:cs="Times New Roman"/>
          <w:i/>
          <w:iCs/>
          <w:color w:val="000000"/>
          <w:spacing w:val="0"/>
          <w:w w:val="100"/>
          <w:position w:val="0"/>
          <w:shd w:val="clear" w:color="auto" w:fill="auto"/>
          <w:lang w:val="hr-HR" w:eastAsia="hr-HR" w:bidi="hr-HR"/>
        </w:rPr>
        <w:t>Berahot</w:t>
      </w:r>
      <w:r>
        <w:rPr>
          <w:rFonts w:ascii="Times New Roman" w:eastAsia="Times New Roman" w:hAnsi="Times New Roman" w:cs="Times New Roman"/>
          <w:color w:val="000000"/>
          <w:spacing w:val="0"/>
          <w:w w:val="100"/>
          <w:position w:val="0"/>
          <w:shd w:val="clear" w:color="auto" w:fill="auto"/>
          <w:lang w:val="hr-HR" w:eastAsia="hr-HR" w:bidi="hr-HR"/>
        </w:rPr>
        <w:t xml:space="preserve"> koji su okvir čitanja </w:t>
      </w:r>
      <w:r>
        <w:rPr>
          <w:rFonts w:ascii="Times New Roman" w:eastAsia="Times New Roman" w:hAnsi="Times New Roman" w:cs="Times New Roman"/>
          <w:i/>
          <w:iCs/>
          <w:color w:val="000000"/>
          <w:spacing w:val="0"/>
          <w:w w:val="100"/>
          <w:position w:val="0"/>
          <w:shd w:val="clear" w:color="auto" w:fill="auto"/>
          <w:lang w:val="en-US" w:eastAsia="en-US" w:bidi="en-US"/>
        </w:rPr>
        <w:t>Serna)</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Molitva Osamnaest bla</w:t>
        <w:softHyphen/>
        <w:t>goslova obnavlja čvrsto uvjerenje molitelja u oce sjećanjem na »obećanja« (I. beraha). Značenje koje židovska predaja i židovska eg</w:t>
        <w:softHyphen/>
        <w:t>zistencija pripisuju onoj riječi, u kojoj sc dar i zapovijed dotiču, pokazuje drugi aspekt u od</w:t>
        <w:softHyphen/>
        <w:t>govoru posluha, konkretno djelo: »Sveti bu</w:t>
        <w:softHyphen/>
        <w:t xml:space="preserve">dite! Jer sam svet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usp. 20,7, v. 26; 11,44). Božje sc djelovanje želi iz</w:t>
        <w:softHyphen/>
        <w:t>raziti u cjelokupnom ponašanju naroda. O.: »Vi ste svi zajedno određeni za život u bu</w:t>
        <w:softHyphen/>
        <w:t xml:space="preserve">dućem svijetu« (b Moed kalan 9a), ne skriva ono zbog čega je čovjek odreden sada i ovdje: »Tko je ponizan i skroman; tko se sagiba pri ulaženju i sagiba pri izlaženju i tko sc stalno bavi Torom i ne zahtijeva za sebe nagradu«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88b). Čak ako je »ovaj svijet nalik na predsoblje budućega svijeta«, ipak vrijedi ovo: »Oboružaj sc u predsoblju kako bi mo</w:t>
        <w:softHyphen/>
        <w:t>gao ući u blagovaonicu« (M Avot IV,16). Mud</w:t>
        <w:softHyphen/>
        <w:t xml:space="preserve">raci su upozorili na bijeg iz sadašnje zadaće u neobvezatno o. budućnosti: »Dragocjeniji je jedan sat u obraćenju i dobrim djelima negoli cijeli život budućega svijeta«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IV,17, usp.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3a). Onaj tko uči i izvršava »smije se smatrati sigurnim da je sin budućega svi</w:t>
        <w:softHyphen/>
        <w:t xml:space="preserve">jeta« (b </w:t>
      </w:r>
      <w:r>
        <w:rPr>
          <w:rFonts w:ascii="Times New Roman" w:eastAsia="Times New Roman" w:hAnsi="Times New Roman" w:cs="Times New Roman"/>
          <w:color w:val="000000"/>
          <w:spacing w:val="0"/>
          <w:w w:val="100"/>
          <w:position w:val="0"/>
          <w:shd w:val="clear" w:color="auto" w:fill="auto"/>
          <w:lang w:val="en-US" w:eastAsia="en-US" w:bidi="en-US"/>
        </w:rPr>
        <w:t xml:space="preserve">Mcgila </w:t>
      </w:r>
      <w:r>
        <w:rPr>
          <w:rFonts w:ascii="Times New Roman" w:eastAsia="Times New Roman" w:hAnsi="Times New Roman" w:cs="Times New Roman"/>
          <w:color w:val="000000"/>
          <w:spacing w:val="0"/>
          <w:w w:val="100"/>
          <w:position w:val="0"/>
          <w:shd w:val="clear" w:color="auto" w:fill="auto"/>
          <w:lang w:val="hr-HR" w:eastAsia="hr-HR" w:bidi="hr-HR"/>
        </w:rPr>
        <w:t xml:space="preserve">28b; </w:t>
      </w:r>
      <w:r>
        <w:rPr>
          <w:rFonts w:ascii="Times New Roman" w:eastAsia="Times New Roman" w:hAnsi="Times New Roman" w:cs="Times New Roman"/>
          <w:color w:val="000000"/>
          <w:spacing w:val="0"/>
          <w:w w:val="100"/>
          <w:position w:val="0"/>
          <w:shd w:val="clear" w:color="auto" w:fill="auto"/>
          <w:lang w:val="en-US" w:eastAsia="en-US" w:bidi="en-US"/>
        </w:rPr>
        <w:t xml:space="preserve">Nida </w:t>
      </w:r>
      <w:r>
        <w:rPr>
          <w:rFonts w:ascii="Times New Roman" w:eastAsia="Times New Roman" w:hAnsi="Times New Roman" w:cs="Times New Roman"/>
          <w:color w:val="000000"/>
          <w:spacing w:val="0"/>
          <w:w w:val="100"/>
          <w:position w:val="0"/>
          <w:shd w:val="clear" w:color="auto" w:fill="auto"/>
          <w:lang w:val="hr-HR" w:eastAsia="hr-HR" w:bidi="hr-HR"/>
        </w:rPr>
        <w:t>73a). I rabinska tu</w:t>
        <w:softHyphen/>
        <w:t>mačenja proročkih obećanja u konačnom vre</w:t>
        <w:softHyphen/>
        <w:t>menu uvijek iznova postavljaju pitanja o »pra</w:t>
        <w:softHyphen/>
        <w:t>vednosti« čovjeka u »ovom svijetu« (usp. A.</w:t>
      </w:r>
    </w:p>
    <w:p>
      <w:pPr>
        <w:pStyle w:val="Style20"/>
        <w:keepNext w:val="0"/>
        <w:keepLines w:val="0"/>
        <w:widowControl w:val="0"/>
        <w:shd w:val="clear" w:color="auto" w:fill="auto"/>
        <w:tabs>
          <w:tab w:pos="318" w:val="left"/>
          <w:tab w:pos="2458" w:val="left"/>
        </w:tabs>
        <w:bidi w:val="0"/>
        <w:spacing w:before="0" w:after="80" w:line="257" w:lineRule="auto"/>
        <w:ind w:left="0" w:right="0" w:firstLine="0"/>
        <w:jc w:val="both"/>
        <w:rPr>
          <w:sz w:val="10"/>
          <w:szCs w:val="10"/>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M.</w:t>
        <w:tab/>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Goldberg,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 xml:space="preserve">Untersuchungen iiberdie Vorstel- lung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 xml:space="preserve">von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 xml:space="preserve">Schekinah in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der friihen rabbi- nischen l.iteratur,</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1969, 309 i d.). Ni čežnja za obećanim savršenim svijetom ne nosi sadašnji svijet; on, štoviše, postoji nastojanjem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 xml:space="preserve">jednoga </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pravednika da se ispune Božje zapovijedi (b Joma 38b). Riječi Lea Baecka točno pogađaju razumijevanje židovske zajednice: »Tko ima zapovijed, ima o. Smisao budućnosti je smisao života«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 xml:space="preserve">(Das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IVesen desJudentums,</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1905,</w:t>
      </w:r>
      <w:r>
        <w:rPr>
          <w:rFonts w:ascii="Times New Roman" w:eastAsia="Times New Roman" w:hAnsi="Times New Roman" w:cs="Times New Roman"/>
          <w:color w:val="000000"/>
          <w:spacing w:val="0"/>
          <w:w w:val="100"/>
          <w:position w:val="0"/>
          <w:sz w:val="15"/>
          <w:szCs w:val="15"/>
          <w:shd w:val="clear" w:color="auto" w:fill="auto"/>
          <w:vertAlign w:val="superscript"/>
          <w:lang w:val="hr-HR" w:eastAsia="hr-HR" w:bidi="hr-HR"/>
        </w:rPr>
        <w:t>6</w:t>
      </w:r>
      <w:r>
        <w:rPr>
          <w:rFonts w:ascii="Times New Roman" w:eastAsia="Times New Roman" w:hAnsi="Times New Roman" w:cs="Times New Roman"/>
          <w:color w:val="000000"/>
          <w:spacing w:val="0"/>
          <w:w w:val="100"/>
          <w:position w:val="0"/>
          <w:sz w:val="15"/>
          <w:szCs w:val="15"/>
          <w:shd w:val="clear" w:color="auto" w:fill="auto"/>
          <w:lang w:val="hr-HR" w:eastAsia="hr-HR" w:bidi="hr-HR"/>
        </w:rPr>
        <w:t>l966, 251).</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O. </w:t>
      </w: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VETTER</w:t>
      </w:r>
    </w:p>
    <w:p>
      <w:pPr>
        <w:pStyle w:val="Style63"/>
        <w:keepNext/>
        <w:keepLines/>
        <w:widowControl w:val="0"/>
        <w:numPr>
          <w:ilvl w:val="0"/>
          <w:numId w:val="359"/>
        </w:numPr>
        <w:shd w:val="clear" w:color="auto" w:fill="auto"/>
        <w:tabs>
          <w:tab w:pos="260" w:val="left"/>
        </w:tabs>
        <w:bidi w:val="0"/>
        <w:spacing w:before="0" w:after="80" w:line="228" w:lineRule="auto"/>
        <w:ind w:left="0" w:right="0" w:firstLine="0"/>
        <w:jc w:val="both"/>
      </w:pPr>
      <w:bookmarkStart w:id="223" w:name="bookmark22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23"/>
    </w:p>
    <w:p>
      <w:pPr>
        <w:pStyle w:val="Style20"/>
        <w:keepNext w:val="0"/>
        <w:keepLines w:val="0"/>
        <w:widowControl w:val="0"/>
        <w:shd w:val="clear" w:color="auto" w:fill="auto"/>
        <w:bidi w:val="0"/>
        <w:spacing w:before="0" w:after="60" w:line="254" w:lineRule="auto"/>
        <w:ind w:left="0" w:right="0" w:firstLine="0"/>
        <w:jc w:val="both"/>
        <w:sectPr>
          <w:footnotePr>
            <w:pos w:val="pageBottom"/>
            <w:numFmt w:val="decimal"/>
            <w:numRestart w:val="continuous"/>
            <w15:footnoteColumns w:val="1"/>
          </w:footnotePr>
          <w:type w:val="continuous"/>
          <w:pgSz w:w="6816" w:h="11006"/>
          <w:pgMar w:top="992" w:left="171" w:right="179" w:bottom="534" w:header="0" w:footer="3" w:gutter="0"/>
          <w:cols w:num="2" w:space="173"/>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SZ pod obećanjem razumijeva u svečanom obliku od Boga zadanu riječ blagoslova, sreće ili spasenja za budućnost. Božja vjerodostoj</w:t>
        <w:softHyphen/>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nost i vjernost jamstvo su ispunjenja. O. je bitni element starozavjetne Božje objave. Nje</w:t>
        <w:softHyphen/>
        <w:t>zinu pozadinu čini izbor Izraela i njegov Savez s Bogom. Cilj je obećanja apsolutna Božja vlast, potpuno spasenje. Bog obećava Abra- hamu posjedovanje zemlje, brojno potomstvo i blagoslov za sve narode (Post 12,1-3; 17,1-8; 22,17), što se drži da je materijalno ispunjeno osvojenjem zemlje nakon Izlaska (Izl 3,8; 13,5; Pnz 6,3; 11,8 i d.; 26,8 i d.; Jš 5,6 i d.; 21,43 i d.; 23,14 i d.). No Bog svoje obećanje čini ovisnim o vjernosti svoga naroda Savezu kao što je naglašeno pri sklapanju Saveza na Sinaju (Izl 24,3-8; 34,10-35). O. Davidu od</w:t>
        <w:softHyphen/>
        <w:t>nosi se na vječno trajanje njegove dinastije koju Luka prikazuje kao osiguranu u Mesiji iz Davidove kuće (usp. Lk 1,32 i d.). NZ, dodu</w:t>
        <w:softHyphen/>
        <w:t>še, vidi u Isusu Kristu prepoznata i potvrđena starozavjetna obećanja, ali ne još sasvim is</w:t>
        <w:softHyphen/>
        <w:t>punjena. Jer, pojavljivanje Isusa tvori sredinu između starih i njegovih vlastitih obećanja (vi</w:t>
        <w:softHyphen/>
        <w:t>di Govor na gori). Tako i novozavjetna zajed</w:t>
        <w:softHyphen/>
        <w:t>nica živi u napetosti između obećanja u Isusu koje oblikuje povijest čovječanstva i eshato- loškog očekivanja kraljevstva Božjeg (Rim 8,18-25; Heb 11,1; Pt 1,3-5).</w:t>
      </w:r>
    </w:p>
    <w:p>
      <w:pPr>
        <w:pStyle w:val="Style56"/>
        <w:keepNext w:val="0"/>
        <w:keepLines w:val="0"/>
        <w:widowControl w:val="0"/>
        <w:shd w:val="clear" w:color="auto" w:fill="auto"/>
        <w:tabs>
          <w:tab w:pos="2309"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Lit.: A. Grabncr-Haidcr (Hrsg.), </w:t>
      </w:r>
      <w:r>
        <w:rPr>
          <w:b/>
          <w:bCs/>
          <w:i/>
          <w:iCs/>
          <w:color w:val="000000"/>
          <w:spacing w:val="0"/>
          <w:w w:val="100"/>
          <w:position w:val="0"/>
          <w:sz w:val="9"/>
          <w:szCs w:val="9"/>
          <w:shd w:val="clear" w:color="auto" w:fill="auto"/>
          <w:lang w:val="hr-HR" w:eastAsia="hr-HR" w:bidi="hr-HR"/>
        </w:rPr>
        <w:t xml:space="preserve">Prakfisches BiMI&amp;dkon, </w:t>
      </w:r>
      <w:r>
        <w:rPr>
          <w:color w:val="000000"/>
          <w:spacing w:val="0"/>
          <w:w w:val="100"/>
          <w:position w:val="0"/>
          <w:shd w:val="clear" w:color="auto" w:fill="auto"/>
          <w:lang w:val="hr-HR" w:eastAsia="hr-HR" w:bidi="hr-HR"/>
        </w:rPr>
        <w:t xml:space="preserve">Frcihurg/BascIAVicn 1969; H. </w:t>
      </w:r>
      <w:r>
        <w:rPr>
          <w:color w:val="000000"/>
          <w:spacing w:val="0"/>
          <w:w w:val="100"/>
          <w:position w:val="0"/>
          <w:shd w:val="clear" w:color="auto" w:fill="auto"/>
        </w:rPr>
        <w:t xml:space="preserve">Haag </w:t>
      </w:r>
      <w:r>
        <w:rPr>
          <w:color w:val="000000"/>
          <w:spacing w:val="0"/>
          <w:w w:val="100"/>
          <w:position w:val="0"/>
          <w:shd w:val="clear" w:color="auto" w:fill="auto"/>
          <w:lang w:val="hr-HR" w:eastAsia="hr-HR" w:bidi="hr-HR"/>
        </w:rPr>
        <w:t xml:space="preserve">(Hrsg.), </w:t>
      </w:r>
      <w:r>
        <w:rPr>
          <w:b/>
          <w:bCs/>
          <w:i/>
          <w:iCs/>
          <w:color w:val="000000"/>
          <w:spacing w:val="0"/>
          <w:w w:val="100"/>
          <w:position w:val="0"/>
          <w:sz w:val="9"/>
          <w:szCs w:val="9"/>
          <w:shd w:val="clear" w:color="auto" w:fill="auto"/>
        </w:rPr>
        <w:t xml:space="preserve">BiMlexikon, </w:t>
      </w:r>
      <w:r>
        <w:rPr>
          <w:color w:val="000000"/>
          <w:spacing w:val="0"/>
          <w:w w:val="100"/>
          <w:position w:val="0"/>
          <w:shd w:val="clear" w:color="auto" w:fill="auto"/>
          <w:lang w:val="hr-HR" w:eastAsia="hr-HR" w:bidi="hr-HR"/>
        </w:rPr>
        <w:t>tiinsicdcIn/Zurich/Kdln 1968.</w:t>
        <w:tab/>
        <w:t>&lt;». GIRSCHRK</w:t>
      </w:r>
    </w:p>
    <w:p>
      <w:pPr>
        <w:pStyle w:val="Style63"/>
        <w:keepNext/>
        <w:keepLines/>
        <w:widowControl w:val="0"/>
        <w:numPr>
          <w:ilvl w:val="0"/>
          <w:numId w:val="359"/>
        </w:numPr>
        <w:shd w:val="clear" w:color="auto" w:fill="auto"/>
        <w:tabs>
          <w:tab w:pos="270" w:val="left"/>
        </w:tabs>
        <w:bidi w:val="0"/>
        <w:spacing w:before="0"/>
        <w:ind w:left="0" w:right="0" w:firstLine="0"/>
        <w:jc w:val="both"/>
      </w:pPr>
      <w:bookmarkStart w:id="224" w:name="bookmark224"/>
      <w:r>
        <w:rPr>
          <w:rFonts w:ascii="Times New Roman" w:eastAsia="Times New Roman" w:hAnsi="Times New Roman" w:cs="Times New Roman"/>
          <w:color w:val="000000"/>
          <w:spacing w:val="0"/>
          <w:w w:val="100"/>
          <w:position w:val="0"/>
          <w:shd w:val="clear" w:color="auto" w:fill="auto"/>
          <w:lang w:val="hr-HR" w:eastAsia="hr-HR" w:bidi="hr-HR"/>
        </w:rPr>
        <w:t>islamski</w:t>
      </w:r>
      <w:bookmarkEnd w:id="224"/>
    </w:p>
    <w:p>
      <w:pPr>
        <w:pStyle w:val="Style20"/>
        <w:keepNext w:val="0"/>
        <w:keepLines w:val="0"/>
        <w:widowControl w:val="0"/>
        <w:shd w:val="clear" w:color="auto" w:fill="auto"/>
        <w:tabs>
          <w:tab w:pos="303"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w:t>
        <w:tab/>
        <w:t>se u Kuranu vrlo dojmljivo ocrtava u na</w:t>
        <w:softHyphen/>
        <w:t>vodu jednoga razgovora između Boga i Isusa. Razgovor se dogada ili sudnjega dana ili u vrijeme Isusova uzašašća na nebo. Za vrijeme tog susreta progovara Bog: »Ovo je dan kada će iskrenima koristiti njihova iskrenost!« Na te se riječi nadovezuje naredni kuranski tekst: »Njima pripadaju dženeti ispod kojih teku ri</w:t>
        <w:softHyphen/>
        <w:t xml:space="preserve">jeke u kojima </w:t>
      </w:r>
      <w:r>
        <w:rPr>
          <w:rFonts w:ascii="Times New Roman" w:eastAsia="Times New Roman" w:hAnsi="Times New Roman" w:cs="Times New Roman"/>
          <w:i/>
          <w:iCs/>
          <w:color w:val="000000"/>
          <w:spacing w:val="0"/>
          <w:w w:val="100"/>
          <w:position w:val="0"/>
          <w:shd w:val="clear" w:color="auto" w:fill="auto"/>
          <w:lang w:val="hr-HR" w:eastAsia="hr-HR" w:bidi="hr-HR"/>
        </w:rPr>
        <w:t>(dženetima)</w:t>
      </w:r>
      <w:r>
        <w:rPr>
          <w:rFonts w:ascii="Times New Roman" w:eastAsia="Times New Roman" w:hAnsi="Times New Roman" w:cs="Times New Roman"/>
          <w:color w:val="000000"/>
          <w:spacing w:val="0"/>
          <w:w w:val="100"/>
          <w:position w:val="0"/>
          <w:shd w:val="clear" w:color="auto" w:fill="auto"/>
          <w:lang w:val="hr-HR" w:eastAsia="hr-HR" w:bidi="hr-HR"/>
        </w:rPr>
        <w:t xml:space="preserve"> će oni vječno, nepre</w:t>
        <w:softHyphen/>
        <w:t>kidno boraviti. Bog je zadovoljan s njima i oni su zadovoljni s Njim. To je velika sreća. Božja je vlast nad nebesima i nad zemljom i onim što je na njima. On je svemoćan« (5,122-123). Pobliže, svakako metaforičke opise, sadrži su</w:t>
        <w:softHyphen/>
        <w:t xml:space="preserve">ra 55,46-78. O tim opisima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Ha- midullah primjećuje: »Raj kao nagrada i pa</w:t>
        <w:softHyphen/>
        <w:t>kao kao kazna predstavljaju slikovite pojmove za bolje razumijevanje stanja onkraj naše ze</w:t>
        <w:softHyphen/>
        <w:t>maljske mogućnosti shvaćanja. Kuran je o to</w:t>
        <w:softHyphen/>
        <w:t>me kazao (32,17): ‘Nitko ne zna kakve su ra</w:t>
        <w:softHyphen/>
        <w:t>dosti sakrivene od njih, kao nagrada za ono što su radili'. Također (9,72): ‘Bog je obećao</w:t>
      </w:r>
    </w:p>
    <w:p>
      <w:pPr>
        <w:pStyle w:val="Style20"/>
        <w:keepNext w:val="0"/>
        <w:keepLines w:val="0"/>
        <w:widowControl w:val="0"/>
        <w:shd w:val="clear" w:color="auto" w:fill="auto"/>
        <w:tabs>
          <w:tab w:pos="2587" w:val="left"/>
        </w:tabs>
        <w:bidi w:val="0"/>
        <w:spacing w:before="0" w:after="3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vjernicima i vjernicama dženete ispod kojih teku rijeke, u kojima </w:t>
      </w:r>
      <w:r>
        <w:rPr>
          <w:rFonts w:ascii="Times New Roman" w:eastAsia="Times New Roman" w:hAnsi="Times New Roman" w:cs="Times New Roman"/>
          <w:i/>
          <w:iCs/>
          <w:color w:val="000000"/>
          <w:spacing w:val="0"/>
          <w:w w:val="100"/>
          <w:position w:val="0"/>
          <w:shd w:val="clear" w:color="auto" w:fill="auto"/>
          <w:lang w:val="hr-HR" w:eastAsia="hr-HR" w:bidi="hr-HR"/>
        </w:rPr>
        <w:t>(dženetskim vrtovima)</w:t>
      </w:r>
      <w:r>
        <w:rPr>
          <w:rFonts w:ascii="Times New Roman" w:eastAsia="Times New Roman" w:hAnsi="Times New Roman" w:cs="Times New Roman"/>
          <w:color w:val="000000"/>
          <w:spacing w:val="0"/>
          <w:w w:val="100"/>
          <w:position w:val="0"/>
          <w:shd w:val="clear" w:color="auto" w:fill="auto"/>
          <w:lang w:val="hr-HR" w:eastAsia="hr-HR" w:bidi="hr-HR"/>
        </w:rPr>
        <w:t xml:space="preserve"> će oni vječno boraviti. I </w:t>
      </w:r>
      <w:r>
        <w:rPr>
          <w:rFonts w:ascii="Times New Roman" w:eastAsia="Times New Roman" w:hAnsi="Times New Roman" w:cs="Times New Roman"/>
          <w:i/>
          <w:iCs/>
          <w:color w:val="000000"/>
          <w:spacing w:val="0"/>
          <w:w w:val="100"/>
          <w:position w:val="0"/>
          <w:shd w:val="clear" w:color="auto" w:fill="auto"/>
          <w:lang w:val="hr-HR" w:eastAsia="hr-HR" w:bidi="hr-HR"/>
        </w:rPr>
        <w:t>(obećao im je)</w:t>
      </w:r>
      <w:r>
        <w:rPr>
          <w:rFonts w:ascii="Times New Roman" w:eastAsia="Times New Roman" w:hAnsi="Times New Roman" w:cs="Times New Roman"/>
          <w:color w:val="000000"/>
          <w:spacing w:val="0"/>
          <w:w w:val="100"/>
          <w:position w:val="0"/>
          <w:shd w:val="clear" w:color="auto" w:fill="auto"/>
          <w:lang w:val="hr-HR" w:eastAsia="hr-HR" w:bidi="hr-HR"/>
        </w:rPr>
        <w:t xml:space="preserve"> divne sta</w:t>
        <w:softHyphen/>
        <w:t xml:space="preserve">nove u dženetima Adna. A zadovoljstvo od Boga je najveća </w:t>
      </w:r>
      <w:r>
        <w:rPr>
          <w:rFonts w:ascii="Times New Roman" w:eastAsia="Times New Roman" w:hAnsi="Times New Roman" w:cs="Times New Roman"/>
          <w:i/>
          <w:iCs/>
          <w:color w:val="000000"/>
          <w:spacing w:val="0"/>
          <w:w w:val="100"/>
          <w:position w:val="0"/>
          <w:shd w:val="clear" w:color="auto" w:fill="auto"/>
          <w:lang w:val="hr-HR" w:eastAsia="hr-HR" w:bidi="hr-HR"/>
        </w:rPr>
        <w:t>(nagrada).</w:t>
      </w:r>
      <w:r>
        <w:rPr>
          <w:rFonts w:ascii="Times New Roman" w:eastAsia="Times New Roman" w:hAnsi="Times New Roman" w:cs="Times New Roman"/>
          <w:color w:val="000000"/>
          <w:spacing w:val="0"/>
          <w:w w:val="100"/>
          <w:position w:val="0"/>
          <w:shd w:val="clear" w:color="auto" w:fill="auto"/>
          <w:lang w:val="hr-HR" w:eastAsia="hr-HR" w:bidi="hr-HR"/>
        </w:rPr>
        <w:t xml:space="preserve"> To je velika sreća’«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 xml:space="preserve">Hamidullah, </w:t>
      </w:r>
      <w:r>
        <w:rPr>
          <w:rFonts w:ascii="Times New Roman" w:eastAsia="Times New Roman" w:hAnsi="Times New Roman" w:cs="Times New Roman"/>
          <w:i/>
          <w:iCs/>
          <w:color w:val="000000"/>
          <w:spacing w:val="0"/>
          <w:w w:val="100"/>
          <w:position w:val="0"/>
          <w:shd w:val="clear" w:color="auto" w:fill="auto"/>
          <w:lang w:val="hr-HR" w:eastAsia="hr-HR" w:bidi="hr-HR"/>
        </w:rPr>
        <w:t>Der Islam,</w:t>
      </w:r>
      <w:r>
        <w:rPr>
          <w:rFonts w:ascii="Times New Roman" w:eastAsia="Times New Roman" w:hAnsi="Times New Roman" w:cs="Times New Roman"/>
          <w:color w:val="000000"/>
          <w:spacing w:val="0"/>
          <w:w w:val="100"/>
          <w:position w:val="0"/>
          <w:shd w:val="clear" w:color="auto" w:fill="auto"/>
          <w:lang w:val="hr-HR" w:eastAsia="hr-HR" w:bidi="hr-HR"/>
        </w:rPr>
        <w:t xml:space="preserve"> Salmi- ya-Kuwait, oko 1976,99-100).</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balič</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OBITELJ</w:t>
      </w:r>
    </w:p>
    <w:p>
      <w:pPr>
        <w:pStyle w:val="Style63"/>
        <w:keepNext/>
        <w:keepLines/>
        <w:widowControl w:val="0"/>
        <w:numPr>
          <w:ilvl w:val="0"/>
          <w:numId w:val="367"/>
        </w:numPr>
        <w:shd w:val="clear" w:color="auto" w:fill="auto"/>
        <w:tabs>
          <w:tab w:pos="246" w:val="left"/>
        </w:tabs>
        <w:bidi w:val="0"/>
        <w:spacing w:before="0" w:after="80"/>
        <w:ind w:left="0" w:right="0" w:firstLine="0"/>
        <w:jc w:val="both"/>
      </w:pPr>
      <w:bookmarkStart w:id="225" w:name="bookmark225"/>
      <w:r>
        <w:rPr>
          <w:rFonts w:ascii="Times New Roman" w:eastAsia="Times New Roman" w:hAnsi="Times New Roman" w:cs="Times New Roman"/>
          <w:color w:val="000000"/>
          <w:spacing w:val="0"/>
          <w:w w:val="100"/>
          <w:position w:val="0"/>
          <w:shd w:val="clear" w:color="auto" w:fill="auto"/>
          <w:lang w:val="hr-HR" w:eastAsia="hr-HR" w:bidi="hr-HR"/>
        </w:rPr>
        <w:t>židovski</w:t>
      </w:r>
      <w:bookmarkEnd w:id="225"/>
    </w:p>
    <w:p>
      <w:pPr>
        <w:pStyle w:val="Style20"/>
        <w:keepNext w:val="0"/>
        <w:keepLines w:val="0"/>
        <w:widowControl w:val="0"/>
        <w:numPr>
          <w:ilvl w:val="0"/>
          <w:numId w:val="369"/>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je najuža zajednica (Post 2,18.24) u ko</w:t>
        <w:softHyphen/>
        <w:t xml:space="preserve">joj se prema Božjoj volji treba ostvariti pravi život čovjeka među ljudima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18,20; Izl 20,14; Pnz 27,20-23). Prema tradicionalnoj je</w:t>
        <w:softHyphen/>
        <w:t xml:space="preserve">zičnoj upotrebi muškarac se ne »ženi« ženom nego je </w:t>
      </w:r>
      <w:r>
        <w:rPr>
          <w:rFonts w:ascii="Times New Roman" w:eastAsia="Times New Roman" w:hAnsi="Times New Roman" w:cs="Times New Roman"/>
          <w:i/>
          <w:iCs/>
          <w:color w:val="000000"/>
          <w:spacing w:val="0"/>
          <w:w w:val="100"/>
          <w:position w:val="0"/>
          <w:shd w:val="clear" w:color="auto" w:fill="auto"/>
          <w:lang w:val="hr-HR" w:eastAsia="hr-HR" w:bidi="hr-HR"/>
        </w:rPr>
        <w:t>»sebi posvećuje«</w:t>
      </w:r>
      <w:r>
        <w:rPr>
          <w:rFonts w:ascii="Times New Roman" w:eastAsia="Times New Roman" w:hAnsi="Times New Roman" w:cs="Times New Roman"/>
          <w:color w:val="000000"/>
          <w:spacing w:val="0"/>
          <w:w w:val="100"/>
          <w:position w:val="0"/>
          <w:shd w:val="clear" w:color="auto" w:fill="auto"/>
          <w:lang w:val="hr-HR" w:eastAsia="hr-HR" w:bidi="hr-HR"/>
        </w:rPr>
        <w:t xml:space="preserve"> (M Kidušin 11,2 i d.). Formula koju izgovara zaručnik dok stavlja prsten zaručnici na kažiprst desne ruke - obi</w:t>
        <w:softHyphen/>
        <w:t>čaj koji se ne spominje u talmudsko doba; u ono doba bilo je dovoljno zaručnici dati nov</w:t>
        <w:softHyphen/>
        <w:t xml:space="preserve">čić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1,1; b 2a) - glasi: »Budi mi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posvećena </w:t>
      </w:r>
      <w:r>
        <w:rPr>
          <w:rFonts w:ascii="Times New Roman" w:eastAsia="Times New Roman" w:hAnsi="Times New Roman" w:cs="Times New Roman"/>
          <w:color w:val="000000"/>
          <w:spacing w:val="0"/>
          <w:w w:val="100"/>
          <w:position w:val="0"/>
          <w:shd w:val="clear" w:color="auto" w:fill="auto"/>
          <w:lang w:val="hr-HR" w:eastAsia="hr-HR" w:bidi="hr-HR"/>
        </w:rPr>
        <w:t xml:space="preserve">prema Mojsijevim i Izraelovim zakonima.« Time je označen brak kao zajednica u kojoj su muž i žena izdvojeni kako bi bili ljudi sveti po ugledu na Boga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11,44). Rabini su podsjećali na posljedicu sklapanja braka u smislu da je žena »posvećena«, a to znači da jc time »zabranjena za svakoga drugog«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2b). Pozivom na posvećenost života, koji se ponav</w:t>
        <w:softHyphen/>
        <w:t xml:space="preserve">lja pri svakom sklapanju židovskoga braka, objašnjava se spremnost predavanja životnom usmjerenju prema </w:t>
      </w:r>
      <w:r>
        <w:rPr>
          <w:rFonts w:ascii="Times New Roman" w:eastAsia="Times New Roman" w:hAnsi="Times New Roman" w:cs="Times New Roman"/>
          <w:i/>
          <w:iCs/>
          <w:color w:val="000000"/>
          <w:spacing w:val="0"/>
          <w:w w:val="100"/>
          <w:position w:val="0"/>
          <w:shd w:val="clear" w:color="auto" w:fill="auto"/>
          <w:lang w:val="hr-HR" w:eastAsia="hr-HR" w:bidi="hr-HR"/>
        </w:rPr>
        <w:t>jednom</w:t>
      </w:r>
      <w:r>
        <w:rPr>
          <w:rFonts w:ascii="Times New Roman" w:eastAsia="Times New Roman" w:hAnsi="Times New Roman" w:cs="Times New Roman"/>
          <w:color w:val="000000"/>
          <w:spacing w:val="0"/>
          <w:w w:val="100"/>
          <w:position w:val="0"/>
          <w:shd w:val="clear" w:color="auto" w:fill="auto"/>
          <w:lang w:val="hr-HR" w:eastAsia="hr-HR" w:bidi="hr-HR"/>
        </w:rPr>
        <w:t xml:space="preserve"> Bogu, mjerilu svih odnosa i svih radnji u obitelji. Budući da se upravo na najveći blagdan (osim šabata), na Dan pomirenja, u sinagogama čita odlomak iz Tore, u kojemu se iznose propisi o uvjetima »posvećenja« žene mužu i o poslušnosti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16,1-18,30), može se razabrati značenje čisto</w:t>
        <w:softHyphen/>
        <w:t>će u smislu samoposvećenja za židovsku o. pomoću koje ona služi Bogu slijedeći njegov put.</w:t>
      </w:r>
    </w:p>
    <w:p>
      <w:pPr>
        <w:pStyle w:val="Style20"/>
        <w:keepNext w:val="0"/>
        <w:keepLines w:val="0"/>
        <w:widowControl w:val="0"/>
        <w:numPr>
          <w:ilvl w:val="0"/>
          <w:numId w:val="369"/>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Mudraci su izveli obvezu braka kao uteme</w:t>
        <w:softHyphen/>
        <w:t xml:space="preserve">ljenja obiteljskoga života iz čovjeka stvorenog na sliku Stvoritelja (Post 1,26-28): »Muž ne smije biti bez žene i žena ne smije biti bez muža, a ni jedno ni drugo ne smiju biti bezše- </w:t>
      </w:r>
      <w:r>
        <w:rPr>
          <w:rFonts w:ascii="Times New Roman" w:eastAsia="Times New Roman" w:hAnsi="Times New Roman" w:cs="Times New Roman"/>
          <w:i/>
          <w:iCs/>
          <w:color w:val="000000"/>
          <w:spacing w:val="0"/>
          <w:w w:val="100"/>
          <w:position w:val="0"/>
          <w:shd w:val="clear" w:color="auto" w:fill="auto"/>
          <w:lang w:val="hr-HR" w:eastAsia="hr-HR" w:bidi="hr-HR"/>
        </w:rPr>
        <w:t>kine</w:t>
      </w:r>
      <w:r>
        <w:rPr>
          <w:rFonts w:ascii="Times New Roman" w:eastAsia="Times New Roman" w:hAnsi="Times New Roman" w:cs="Times New Roman"/>
          <w:color w:val="000000"/>
          <w:spacing w:val="0"/>
          <w:w w:val="100"/>
          <w:position w:val="0"/>
          <w:shd w:val="clear" w:color="auto" w:fill="auto"/>
          <w:lang w:val="hr-HR" w:eastAsia="hr-HR" w:bidi="hr-HR"/>
        </w:rPr>
        <w:t xml:space="preserve"> (Božje nazočnosti u svijetu)« (Berešil ra</w:t>
        <w:softHyphen/>
        <w:t xml:space="preserve">ba XXII,4): »Čovjek koji nema ženu živi bez radosti, bez blagoslova i bez dobrote« (b Jeva- mot 62b): »Čovjek koji nema ženu nije čovjek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63a, usp. 63b; Tos. VIII,4). Svrha braka nije ispunjena tjelesnim razmnažanjem. Uči</w:t>
        <w:softHyphen/>
        <w:t xml:space="preserve">telji židovstva naglašavali su zajednicu ljubavi i povjerenja između muža i žene: »Neka se čovjek čuva da ne povrijedi ženu. Ona lako prolije suzu i vrlo ju je lako uvrijediti... Neka se svatko potrudi da poštuje ženu, jer samo radi žene dolazi u kuću blagoslov« (b Bava mccia 59a); »ako ti je žena niska, prigni se k njoj kako bi se s njom dogovorio (tj. ne čini ništa a da ne pitaš svoju ženu)«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»...o njemu, koji svoju ženu ljubi kao sama sebe i poštuje više od sebe... govori Sveto pismo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5,24): ti znaš da u miru je tvoj šator« (b Jevamot 62b); »tko se oženi ženom samo radi njezina novca, imat če neodgojenu djecu« (b Kidušin 70a); »njegova kuća - to je njegova žena« (M Joma 1,1).</w:t>
      </w:r>
    </w:p>
    <w:p>
      <w:pPr>
        <w:pStyle w:val="Style20"/>
        <w:keepNext w:val="0"/>
        <w:keepLines w:val="0"/>
        <w:widowControl w:val="0"/>
        <w:numPr>
          <w:ilvl w:val="0"/>
          <w:numId w:val="369"/>
        </w:numPr>
        <w:shd w:val="clear" w:color="auto" w:fill="auto"/>
        <w:tabs>
          <w:tab w:pos="25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Bitna je zadaća obitelji - osim njezina do</w:t>
        <w:softHyphen/>
        <w:t>prinosa održanju čovječanstva - sačuvati po</w:t>
        <w:softHyphen/>
        <w:t>vezanost naraštaja tako da djeci i unucima prenosi predaju otaca. U Tori Bog o Abra- hamu kaže: »Da, prepoznao sam ga tako što je prenio svojim sinovima i svojoj kući što da čine nakon njega - da čuvaju MOJ put, istini</w:t>
        <w:softHyphen/>
        <w:t>tost i pravo«; ona obvezuje sve roditelje: »Ri</w:t>
        <w:softHyphen/>
        <w:t>ječi ove što ti ih danas naređujem neka ti se urežu u srce. Napominji ih svojim sinovima« (Pnz 6,7) i upozorava ih na prirodnu odgovor</w:t>
        <w:softHyphen/>
        <w:t>nost: »A kad te sutra zapita tvoj sin: što su te upute, što zakoni i uredbe što ih je ON, Bog naš, vama propisao? - kaži svomu sinu: ‘Bili smo faraonovi robovi u Egiptu, ali nas je ON izveo iz Egipta jakom rukom...« (6,20, usp. Izl 12,26 i d.; 13,14-16). Ona povezuje Izraelov opstanak u obećanoj zemlji s poštovanjem oca i majke (Izl 20,12; Pnz 5,16). Rabini također spajaju prirodnu pripadnost naraštaja sa za</w:t>
        <w:softHyphen/>
        <w:t>jednicom onih koji je ostvaruju: »Otac je obvezan dati obrezati sina i (ako je prvorođe- nac) otkupiti ga, učiti ga Toru, oženiti ga i dati ga da izuči zanat« (b Kidušin 29a, usp. Tos. 1,11; Mehilta za Izl 13,13); »Ben Asai je re</w:t>
        <w:softHyphen/>
        <w:t>kao: Svaki je čovjek obvezan poučiti svoju kćer Tori« (M Sota III, 4); »u Uši je naređeno da je svatko obvezan brinuti se za odgoj malo</w:t>
        <w:softHyphen/>
        <w:t>ljetne djece i u potpunosti ih uzdržavati« (b Kctubot 49b). Religijska i ćudoredna pouka djece zadaće su roditelja, a u njihovu odgo</w:t>
        <w:softHyphen/>
        <w:t>vornost ubraja se i skrb za tjelesni i duhovni razvitak njihovih potomaka, pa i pripreme za buduće zanimanje. Roditeljsko djelovanje ima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lo je velik ugled u židovstvu, a to pokazuje primjena Ps 106,3: »Blaženi što drže naredbe njegove i čine pravo </w:t>
      </w:r>
      <w:r>
        <w:rPr>
          <w:rFonts w:ascii="Times New Roman" w:eastAsia="Times New Roman" w:hAnsi="Times New Roman" w:cs="Times New Roman"/>
          <w:i/>
          <w:iCs/>
          <w:color w:val="000000"/>
          <w:spacing w:val="0"/>
          <w:w w:val="100"/>
          <w:position w:val="0"/>
          <w:shd w:val="clear" w:color="auto" w:fill="auto"/>
          <w:lang w:val="hr-HR" w:eastAsia="hr-HR" w:bidi="hr-HR"/>
        </w:rPr>
        <w:t>(cedaka)</w:t>
      </w:r>
      <w:r>
        <w:rPr>
          <w:rFonts w:ascii="Times New Roman" w:eastAsia="Times New Roman" w:hAnsi="Times New Roman" w:cs="Times New Roman"/>
          <w:color w:val="000000"/>
          <w:spacing w:val="0"/>
          <w:w w:val="100"/>
          <w:position w:val="0"/>
          <w:shd w:val="clear" w:color="auto" w:fill="auto"/>
          <w:lang w:val="hr-HR" w:eastAsia="hr-HR" w:bidi="hr-HR"/>
        </w:rPr>
        <w:t xml:space="preserve"> u svako doba!« - »Je li moguće svakoga sata (u svako doba) činiti dobro (dobro djelo)? To su objasnili na</w:t>
        <w:softHyphen/>
        <w:t>ši učitelji u Javneu...: To jest, onaj koji se vjerno skrbi za svoje maloljetne sinove i kće</w:t>
        <w:softHyphen/>
        <w:t xml:space="preserve">ri«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50a). Autoritet roditelja sastoji se u takvoj skrbi za dobro djece; njihova punomoć nije neograničena; zapovijedi postavljaju ogra</w:t>
        <w:softHyphen/>
        <w:t>de i njoj i traženoj poslušnosti djece prema ro</w:t>
        <w:softHyphen/>
        <w:t>diteljima: na Boga se roditelji ne mogu pozva</w:t>
        <w:softHyphen/>
        <w:t>ti s pravom roditeljskoga prvenstva. Oni su sa svojom djecom njegova stvorenja (Ps 103,13; 123,2). No Bog djeluje u realnostima i obraz</w:t>
        <w:softHyphen/>
        <w:t xml:space="preserve">laže povezanost naraštaja koju ljudi stalno ugrožavaju (Ps 90). U izuzetnim napetostima između starih i mladih njemu je upućena nada »da će on obratiti srce otaca k sinovima, a srce sinova k očima« (Mal 3,24). Na povezanosti generacija, izraženoj odgovornim djelovanjem, temelji se u rabinskom židovstvu shvaćanje o »zasluzi otaca« (ze/iut </w:t>
      </w:r>
      <w:r>
        <w:rPr>
          <w:rFonts w:ascii="Times New Roman" w:eastAsia="Times New Roman" w:hAnsi="Times New Roman" w:cs="Times New Roman"/>
          <w:i/>
          <w:iCs/>
          <w:color w:val="000000"/>
          <w:spacing w:val="0"/>
          <w:w w:val="100"/>
          <w:position w:val="0"/>
          <w:shd w:val="clear" w:color="auto" w:fill="auto"/>
          <w:lang w:val="hr-HR" w:eastAsia="hr-HR" w:bidi="hr-HR"/>
        </w:rPr>
        <w:t>avot).</w:t>
      </w:r>
      <w:r>
        <w:rPr>
          <w:rFonts w:ascii="Times New Roman" w:eastAsia="Times New Roman" w:hAnsi="Times New Roman" w:cs="Times New Roman"/>
          <w:color w:val="000000"/>
          <w:spacing w:val="0"/>
          <w:w w:val="100"/>
          <w:position w:val="0"/>
          <w:shd w:val="clear" w:color="auto" w:fill="auto"/>
          <w:lang w:val="hr-HR" w:eastAsia="hr-HR" w:bidi="hr-HR"/>
        </w:rPr>
        <w:t xml:space="preserve"> To uvjerenje omogućava pojedincu - koji svoju vlastitu »zaslugu«, primjerenu odgovornosti slobodne odluke, tj. odgovornosti koju mu je predao Stvoritelj, smatra nedovoljnom - da se nada milosti Božjoj unatoč jadu i grijehu (b Bcra- hot 27b; Šabat 30a; Roš ha-šana 11a).</w:t>
      </w:r>
    </w:p>
    <w:p>
      <w:pPr>
        <w:pStyle w:val="Style20"/>
        <w:keepNext w:val="0"/>
        <w:keepLines w:val="0"/>
        <w:widowControl w:val="0"/>
        <w:numPr>
          <w:ilvl w:val="0"/>
          <w:numId w:val="369"/>
        </w:numPr>
        <w:shd w:val="clear" w:color="auto" w:fill="auto"/>
        <w:tabs>
          <w:tab w:pos="270" w:val="left"/>
        </w:tabs>
        <w:bidi w:val="0"/>
        <w:spacing w:before="0" w:after="60"/>
        <w:ind w:left="0" w:right="0" w:firstLine="0"/>
        <w:jc w:val="both"/>
        <w:sectPr>
          <w:headerReference w:type="default" r:id="rId959"/>
          <w:footerReference w:type="default" r:id="rId960"/>
          <w:headerReference w:type="even" r:id="rId961"/>
          <w:footerReference w:type="even" r:id="rId962"/>
          <w:headerReference w:type="first" r:id="rId963"/>
          <w:footerReference w:type="first" r:id="rId964"/>
          <w:footnotePr>
            <w:pos w:val="pageBottom"/>
            <w:numFmt w:val="decimal"/>
            <w:numRestart w:val="continuous"/>
            <w15:footnoteColumns w:val="1"/>
          </w:footnotePr>
          <w:pgSz w:w="6816" w:h="11006"/>
          <w:pgMar w:top="992" w:left="171" w:right="179" w:bottom="534" w:header="0" w:footer="3" w:gutter="0"/>
          <w:cols w:num="2" w:space="17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Tek muž i žena zajedno zaslužuju prema midrašu naziv »čovjek« (Berešit raba VIII,1, 26). U svim odredbama o ponašanju djece prema roditeljima žena i muž su jednaki (Izl 20,12; 21,15.17;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 Pnz 5,16; 27,16; Izr 15,20; 17,25; 19.26; 20,20; 28,24; 30,11.17; Sir 3,2-8.16; 7,27; Tob 4,3 i d.; M Pea 1,1; b Ki</w:t>
        <w:softHyphen/>
        <w:t xml:space="preserve">dušin 30b; 31b; Ketubot 103a; Majmonid, Mišne Tora, </w:t>
      </w:r>
      <w:r>
        <w:rPr>
          <w:rFonts w:ascii="Times New Roman" w:eastAsia="Times New Roman" w:hAnsi="Times New Roman" w:cs="Times New Roman"/>
          <w:color w:val="000000"/>
          <w:spacing w:val="0"/>
          <w:w w:val="100"/>
          <w:position w:val="0"/>
          <w:shd w:val="clear" w:color="auto" w:fill="auto"/>
          <w:lang w:val="en-US" w:eastAsia="en-US" w:bidi="en-US"/>
        </w:rPr>
        <w:t xml:space="preserve">Hilhot </w:t>
      </w:r>
      <w:r>
        <w:rPr>
          <w:rFonts w:ascii="Times New Roman" w:eastAsia="Times New Roman" w:hAnsi="Times New Roman" w:cs="Times New Roman"/>
          <w:color w:val="000000"/>
          <w:spacing w:val="0"/>
          <w:w w:val="100"/>
          <w:position w:val="0"/>
          <w:shd w:val="clear" w:color="auto" w:fill="auto"/>
          <w:lang w:val="hr-HR" w:eastAsia="hr-HR" w:bidi="hr-HR"/>
        </w:rPr>
        <w:t xml:space="preserve">mamrim VI, 1,3; Sulhan aruh, Jore dea 240 § 1; 241 § 9) kao u propisima o proslavi šabata i blagdana (Izl 31,13.17; 12; 23,14 i d.; 34,18.22 i d.; Pnz 16). Židovski Zakon o braku i obitelji (u trećoj odredbi Mišne,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 xml:space="preserve">našim, s pet traktata: Jevamot, Ketubot, Sota,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Kidušin) ut</w:t>
        <w:softHyphen/>
        <w:t xml:space="preserve">vrđuje međusobna prava i dužnosti partnera. Vjenčani list (Kidušin 1,1) mora se napisati u suglasnosti sa ženom (b 9a) i spomenuti imena muža i žene (Sulhan aruh, </w:t>
      </w:r>
      <w:r>
        <w:rPr>
          <w:rFonts w:ascii="Times New Roman" w:eastAsia="Times New Roman" w:hAnsi="Times New Roman" w:cs="Times New Roman"/>
          <w:color w:val="000000"/>
          <w:spacing w:val="0"/>
          <w:w w:val="100"/>
          <w:position w:val="0"/>
          <w:shd w:val="clear" w:color="auto" w:fill="auto"/>
          <w:lang w:val="en-US" w:eastAsia="en-US" w:bidi="en-US"/>
        </w:rPr>
        <w:t xml:space="preserve">Even </w:t>
      </w:r>
      <w:r>
        <w:rPr>
          <w:rFonts w:ascii="Times New Roman" w:eastAsia="Times New Roman" w:hAnsi="Times New Roman" w:cs="Times New Roman"/>
          <w:color w:val="000000"/>
          <w:spacing w:val="0"/>
          <w:w w:val="100"/>
          <w:position w:val="0"/>
          <w:shd w:val="clear" w:color="auto" w:fill="auto"/>
          <w:lang w:val="hr-HR" w:eastAsia="hr-HR" w:bidi="hr-HR"/>
        </w:rPr>
        <w:t>ha-ezer 32 § 4). U bračnom ugovoru koji se upotreb</w:t>
        <w:softHyphen/>
        <w:t xml:space="preserve">ljava od kasnoga srednjeg vijeka (ketuba, usp. b Ketubot 10a; 56a) obvezuje se muž: »... i ja ću raditi za tebe, poštovati te, hraniti te i bri- </w:t>
      </w:r>
    </w:p>
    <w:p>
      <w:pPr>
        <w:pStyle w:val="Style20"/>
        <w:keepNext w:val="0"/>
        <w:keepLines w:val="0"/>
        <w:widowControl w:val="0"/>
        <w:shd w:val="clear" w:color="auto" w:fill="auto"/>
        <w:tabs>
          <w:tab w:pos="27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nuti </w:t>
      </w:r>
      <w:r>
        <w:rPr>
          <w:rFonts w:ascii="Times New Roman" w:eastAsia="Times New Roman" w:hAnsi="Times New Roman" w:cs="Times New Roman"/>
          <w:color w:val="000000"/>
          <w:spacing w:val="0"/>
          <w:w w:val="100"/>
          <w:position w:val="0"/>
          <w:shd w:val="clear" w:color="auto" w:fill="auto"/>
          <w:lang w:val="hr-HR" w:eastAsia="hr-HR" w:bidi="hr-HR"/>
        </w:rPr>
        <w:t>se za te, u skladu s običajima židovskih muževa... Preuzimam jamstvo za ovu ketubu, miraz i dodatak kako za mene tako i za moje nasljednike nakon mene, pa ih valja isplatiti mojom najboljom i najizvrsnijom imovinom... koju sam stekao ili ću steći...« Židovstvo pri</w:t>
        <w:softHyphen/>
        <w:t>daje najveću važnost poštovanju žene (Jzr 31,10-31). Ono se prenosi na židovski obitelj</w:t>
        <w:softHyphen/>
        <w:t>ski život koji se smatra posebno čvrsto pove</w:t>
        <w:softHyphen/>
        <w:t>zanim. Značenje obitelji za slobodni razvitak ličnosti pojedinoga Židova i za opstanak ži</w:t>
        <w:softHyphen/>
        <w:t>dovskoga naroda kao manjine u dijaspori ne može se precijeniti.</w:t>
      </w:r>
    </w:p>
    <w:p>
      <w:pPr>
        <w:pStyle w:val="Style56"/>
        <w:keepNext w:val="0"/>
        <w:keepLines w:val="0"/>
        <w:widowControl w:val="0"/>
        <w:shd w:val="clear" w:color="auto" w:fill="auto"/>
        <w:bidi w:val="0"/>
        <w:spacing w:before="0" w:after="0" w:line="233" w:lineRule="auto"/>
        <w:ind w:left="0" w:right="0" w:firstLine="0"/>
        <w:jc w:val="both"/>
      </w:pPr>
      <w:r>
        <w:rPr>
          <w:color w:val="000000"/>
          <w:spacing w:val="0"/>
          <w:w w:val="100"/>
          <w:position w:val="0"/>
          <w:shd w:val="clear" w:color="auto" w:fill="auto"/>
          <w:lang w:val="hr-HR" w:eastAsia="hr-HR" w:bidi="hr-HR"/>
        </w:rPr>
        <w:t xml:space="preserve">lut : </w:t>
      </w:r>
      <w:r>
        <w:rPr>
          <w:i/>
          <w:iCs/>
          <w:color w:val="000000"/>
          <w:spacing w:val="0"/>
          <w:w w:val="100"/>
          <w:position w:val="0"/>
          <w:shd w:val="clear" w:color="auto" w:fill="auto"/>
        </w:rPr>
        <w:t>Die Lehren des Judenlums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 ■’!928,206-30, 390-410; 2, </w:t>
      </w:r>
      <w:r>
        <w:rPr>
          <w:color w:val="000000"/>
          <w:spacing w:val="0"/>
          <w:w w:val="100"/>
          <w:position w:val="0"/>
          <w:shd w:val="clear" w:color="auto" w:fill="auto"/>
          <w:vertAlign w:val="superscript"/>
          <w:lang w:val="hr-HR" w:eastAsia="hr-HR" w:bidi="hr-HR"/>
        </w:rPr>
        <w:t>?</w:t>
      </w:r>
      <w:r>
        <w:rPr>
          <w:color w:val="000000"/>
          <w:spacing w:val="0"/>
          <w:w w:val="100"/>
          <w:position w:val="0"/>
          <w:shd w:val="clear" w:color="auto" w:fill="auto"/>
          <w:lang w:val="hr-HR" w:eastAsia="hr-HR" w:bidi="hr-HR"/>
        </w:rPr>
        <w:t xml:space="preserve">1930, 95 i d.; L. Hirsch. </w:t>
      </w:r>
      <w:r>
        <w:rPr>
          <w:i/>
          <w:iCs/>
          <w:color w:val="000000"/>
          <w:spacing w:val="0"/>
          <w:w w:val="100"/>
          <w:position w:val="0"/>
          <w:shd w:val="clear" w:color="auto" w:fill="auto"/>
          <w:lang w:val="hr-HR" w:eastAsia="hr-HR" w:bidi="hr-HR"/>
        </w:rPr>
        <w:t>Jiidische Glaubenstvell,</w:t>
      </w:r>
      <w:r>
        <w:rPr>
          <w:color w:val="000000"/>
          <w:spacing w:val="0"/>
          <w:w w:val="100"/>
          <w:position w:val="0"/>
          <w:shd w:val="clear" w:color="auto" w:fill="auto"/>
          <w:lang w:val="hr-HR" w:eastAsia="hr-HR" w:bidi="hr-HR"/>
        </w:rPr>
        <w:t xml:space="preserve"> 1978, 37 i d., 81 i d.; H. 1. </w:t>
      </w:r>
      <w:r>
        <w:rPr>
          <w:color w:val="000000"/>
          <w:spacing w:val="0"/>
          <w:w w:val="100"/>
          <w:position w:val="0"/>
          <w:shd w:val="clear" w:color="auto" w:fill="auto"/>
        </w:rPr>
        <w:t xml:space="preserve">Gruncwald, </w:t>
      </w:r>
      <w:r>
        <w:rPr>
          <w:i/>
          <w:iCs/>
          <w:color w:val="000000"/>
          <w:spacing w:val="0"/>
          <w:w w:val="100"/>
          <w:position w:val="0"/>
          <w:shd w:val="clear" w:color="auto" w:fill="auto"/>
        </w:rPr>
        <w:t>Die Lehre Israels.</w:t>
      </w:r>
      <w:r>
        <w:rPr>
          <w:color w:val="000000"/>
          <w:spacing w:val="0"/>
          <w:w w:val="100"/>
          <w:position w:val="0"/>
          <w:shd w:val="clear" w:color="auto" w:fill="auto"/>
        </w:rPr>
        <w:t xml:space="preserve"> 1970, 31 id., 143 i d.. 265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P. Nave [xvinson, Die Frau im Judcntum,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B. Rubcnach (Hrsg.J, </w:t>
      </w:r>
      <w:r>
        <w:rPr>
          <w:i/>
          <w:iCs/>
          <w:color w:val="000000"/>
          <w:spacing w:val="0"/>
          <w:w w:val="100"/>
          <w:position w:val="0"/>
          <w:shd w:val="clear" w:color="auto" w:fill="auto"/>
        </w:rPr>
        <w:t>Begegnungen mil dem Judenlum,</w:t>
      </w:r>
    </w:p>
    <w:p>
      <w:pPr>
        <w:pStyle w:val="Style56"/>
        <w:keepNext w:val="0"/>
        <w:keepLines w:val="0"/>
        <w:widowControl w:val="0"/>
        <w:numPr>
          <w:ilvl w:val="0"/>
          <w:numId w:val="371"/>
        </w:numPr>
        <w:shd w:val="clear" w:color="auto" w:fill="auto"/>
        <w:tabs>
          <w:tab w:pos="394" w:val="left"/>
        </w:tabs>
        <w:bidi w:val="0"/>
        <w:spacing w:before="0" w:after="0" w:line="233" w:lineRule="auto"/>
        <w:ind w:left="0" w:right="0" w:firstLine="0"/>
        <w:jc w:val="both"/>
      </w:pPr>
      <w:r>
        <w:rPr>
          <w:color w:val="000000"/>
          <w:spacing w:val="0"/>
          <w:w w:val="100"/>
          <w:position w:val="0"/>
          <w:shd w:val="clear" w:color="auto" w:fill="auto"/>
        </w:rPr>
        <w:t xml:space="preserve">189-97;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Einfiihrung in die rabbinische Theologie,</w:t>
      </w:r>
    </w:p>
    <w:p>
      <w:pPr>
        <w:pStyle w:val="Style56"/>
        <w:keepNext w:val="0"/>
        <w:keepLines w:val="0"/>
        <w:widowControl w:val="0"/>
        <w:numPr>
          <w:ilvl w:val="0"/>
          <w:numId w:val="371"/>
        </w:numPr>
        <w:shd w:val="clear" w:color="auto" w:fill="auto"/>
        <w:tabs>
          <w:tab w:pos="404" w:val="left"/>
        </w:tabs>
        <w:bidi w:val="0"/>
        <w:spacing w:before="0" w:after="0" w:line="233" w:lineRule="auto"/>
        <w:ind w:left="0" w:right="0" w:firstLine="0"/>
        <w:jc w:val="both"/>
      </w:pPr>
      <w:r>
        <w:rPr>
          <w:color w:val="000000"/>
          <w:spacing w:val="0"/>
          <w:w w:val="100"/>
          <w:position w:val="0"/>
          <w:shd w:val="clear" w:color="auto" w:fill="auto"/>
        </w:rPr>
        <w:t xml:space="preserve">63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S. Breuer, </w:t>
      </w:r>
      <w:r>
        <w:rPr>
          <w:i/>
          <w:iCs/>
          <w:color w:val="000000"/>
          <w:spacing w:val="0"/>
          <w:w w:val="100"/>
          <w:position w:val="0"/>
          <w:shd w:val="clear" w:color="auto" w:fill="auto"/>
        </w:rPr>
        <w:t>Belehrung und Mahnung</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1982,48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R. Gradwohl, </w:t>
      </w:r>
      <w:r>
        <w:rPr>
          <w:i/>
          <w:iCs/>
          <w:color w:val="000000"/>
          <w:spacing w:val="0"/>
          <w:w w:val="100"/>
          <w:position w:val="0"/>
          <w:shd w:val="clear" w:color="auto" w:fill="auto"/>
        </w:rPr>
        <w:t>Grundgesetze des Judenlums,</w:t>
      </w:r>
      <w:r>
        <w:rPr>
          <w:color w:val="000000"/>
          <w:spacing w:val="0"/>
          <w:w w:val="100"/>
          <w:position w:val="0"/>
          <w:shd w:val="clear" w:color="auto" w:fill="auto"/>
        </w:rPr>
        <w:t xml:space="preserve"> 1984,49 i d.</w:t>
      </w:r>
    </w:p>
    <w:p>
      <w:pPr>
        <w:pStyle w:val="Style74"/>
        <w:keepNext w:val="0"/>
        <w:keepLines w:val="0"/>
        <w:widowControl w:val="0"/>
        <w:shd w:val="clear" w:color="auto" w:fill="auto"/>
        <w:bidi w:val="0"/>
        <w:spacing w:before="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D. VtTlUR</w:t>
      </w:r>
    </w:p>
    <w:p>
      <w:pPr>
        <w:pStyle w:val="Style63"/>
        <w:keepNext/>
        <w:keepLines/>
        <w:widowControl w:val="0"/>
        <w:numPr>
          <w:ilvl w:val="0"/>
          <w:numId w:val="367"/>
        </w:numPr>
        <w:shd w:val="clear" w:color="auto" w:fill="auto"/>
        <w:tabs>
          <w:tab w:pos="260" w:val="left"/>
        </w:tabs>
        <w:bidi w:val="0"/>
        <w:spacing w:before="0" w:line="218" w:lineRule="auto"/>
        <w:ind w:left="0" w:right="0" w:firstLine="0"/>
        <w:jc w:val="both"/>
      </w:pPr>
      <w:bookmarkStart w:id="226" w:name="bookmark22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26"/>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Osuđeni su na neuspjeh napori koji se ravnaju po prirodnom pravu, a hoće iz fiksiranosti prvotnih (»prirodnih«) oblika braka i obitelji izvesti etičke postulate valjane za sva vreme</w:t>
        <w:softHyphen/>
        <w:t>na. Tu spoznaju ne može mimoići ni teološka refleksija, pa je ona ušla i u novije službene crkvene dokumente. O. se javlja kao dinamič</w:t>
        <w:softHyphen/>
        <w:t>na tvorevina koja je tijekom povijesti iskusila raznovrsna obilježja i institucionalna pravila, a koja se i dalje mijenja. Iz toga proizlazi da dostatna definicija obitelji treba uslijediti iz sjecišta različitih znanstvenih motrišta. Ovdje je iz velikog broja perspektiva izabran inter- akcijsko-teoretski pristup.</w:t>
      </w:r>
    </w:p>
    <w:p>
      <w:pPr>
        <w:pStyle w:val="Style20"/>
        <w:keepNext w:val="0"/>
        <w:keepLines w:val="0"/>
        <w:widowControl w:val="0"/>
        <w:numPr>
          <w:ilvl w:val="0"/>
          <w:numId w:val="373"/>
        </w:numPr>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Sociološki'.</w:t>
      </w:r>
      <w:r>
        <w:rPr>
          <w:rFonts w:ascii="Times New Roman" w:eastAsia="Times New Roman" w:hAnsi="Times New Roman" w:cs="Times New Roman"/>
          <w:color w:val="000000"/>
          <w:spacing w:val="0"/>
          <w:w w:val="100"/>
          <w:position w:val="0"/>
          <w:shd w:val="clear" w:color="auto" w:fill="auto"/>
          <w:lang w:val="hr-HR" w:eastAsia="hr-HR" w:bidi="hr-HR"/>
        </w:rPr>
        <w:t xml:space="preserve"> Empirijski se društvena stvar</w:t>
        <w:softHyphen/>
        <w:t>nost obitelji može obuhvatiti prema načinima ponašanja koja sudionici i društvo drže kao specifično obiteljske. Proces društvenog dife</w:t>
        <w:softHyphen/>
        <w:t>renciranja najprije je u industrijskim zemlja</w:t>
        <w:softHyphen/>
        <w:t>ma pospješio strukturnu promjenu obitelji ko</w:t>
        <w:softHyphen/>
        <w:t>ja je dovela do toga da ona postane jedno izdiferencirano područje uz ostala područja djelovanja. Kao središnji aspekti ove »moder</w:t>
        <w:softHyphen/>
        <w:t>ne privatizirane sržne obitelji« mogu se naves</w:t>
        <w:softHyphen/>
        <w:t xml:space="preserve">ti (usp. </w:t>
      </w:r>
      <w:r>
        <w:rPr>
          <w:rFonts w:ascii="Times New Roman" w:eastAsia="Times New Roman" w:hAnsi="Times New Roman" w:cs="Times New Roman"/>
          <w:color w:val="000000"/>
          <w:spacing w:val="0"/>
          <w:w w:val="100"/>
          <w:position w:val="0"/>
          <w:shd w:val="clear" w:color="auto" w:fill="auto"/>
          <w:lang w:val="en-US" w:eastAsia="en-US" w:bidi="en-US"/>
        </w:rPr>
        <w:t xml:space="preserve">Tyrell) </w:t>
      </w:r>
      <w:r>
        <w:rPr>
          <w:rFonts w:ascii="Times New Roman" w:eastAsia="Times New Roman" w:hAnsi="Times New Roman" w:cs="Times New Roman"/>
          <w:color w:val="000000"/>
          <w:spacing w:val="0"/>
          <w:w w:val="100"/>
          <w:position w:val="0"/>
          <w:shd w:val="clear" w:color="auto" w:fill="auto"/>
          <w:lang w:val="hr-HR" w:eastAsia="hr-HR" w:bidi="hr-HR"/>
        </w:rPr>
        <w:t>sljedeći: Ona je razmjerno au</w:t>
        <w:softHyphen/>
        <w:t>tonomna, tj. jako zaštićena od vanjskih zahva</w:t>
        <w:softHyphen/>
        <w:t>ta i upletanja. Iskusila je funkcionalno specifi</w:t>
        <w:softHyphen/>
        <w:t>ciranje koje je doduše dovelo sa sobom gubi</w:t>
        <w:softHyphen/>
        <w:t>tak prijašnjih postignuća, ali koje istodobno znači porast vrijednosti; o. je mjesto primar</w:t>
        <w:softHyphen/>
      </w:r>
      <w:r>
        <w:rPr>
          <w:rFonts w:ascii="Times New Roman" w:eastAsia="Times New Roman" w:hAnsi="Times New Roman" w:cs="Times New Roman"/>
          <w:color w:val="000000"/>
          <w:spacing w:val="0"/>
          <w:w w:val="100"/>
          <w:position w:val="0"/>
          <w:shd w:val="clear" w:color="auto" w:fill="auto"/>
          <w:lang w:val="hr-HR" w:eastAsia="hr-HR" w:bidi="hr-HR"/>
        </w:rPr>
        <w:t>nog osobnog razvoja; u središtu stoji njegova</w:t>
        <w:softHyphen/>
        <w:t>nje prisnih vrijednosti bračnoga zajedničkog života kao i velika pozornost koja se posve</w:t>
        <w:softHyphen/>
        <w:t>ćuje odgoju djece. S time je kao treći aspekt tijesno povezano oblikovanje stila ponašanja koji vrijedi kao tipično »obiteljski«. On ističe ljudsku blizinu, prisnost i solidarnost, a do</w:t>
        <w:softHyphen/>
        <w:t>pušta u osobitoj mjeri osjećajnost. O. - u shvaćanju kakvo se nametnulo u građanskom društvu i kakvo uživa ustavnu zaštitu - ne ocr</w:t>
        <w:softHyphen/>
        <w:t>tava se samo u materijalnom oblikovanju za</w:t>
        <w:softHyphen/>
        <w:t>jedničkoga životnog okruženja nego i u osmiš</w:t>
        <w:softHyphen/>
        <w:t>ljavanju toga zajedničkog života. To joj daje specifičnu sklonost prema religiji. U svakom slučaju takva isključivost u ljubavi, seksual</w:t>
        <w:softHyphen/>
        <w:t>nosti, mogućnostima zakonitoga zajedničkog života muža i žene kao i odgoj djece, što je sve institucionalno usredotočeno na o., nije bez problema, kao što najočitije pokazuju sadašnje težnje da se iskušaju i alternativni oblici.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Psihološki'.</w:t>
      </w:r>
      <w:r>
        <w:rPr>
          <w:rFonts w:ascii="Times New Roman" w:eastAsia="Times New Roman" w:hAnsi="Times New Roman" w:cs="Times New Roman"/>
          <w:color w:val="000000"/>
          <w:spacing w:val="0"/>
          <w:w w:val="100"/>
          <w:position w:val="0"/>
          <w:shd w:val="clear" w:color="auto" w:fill="auto"/>
          <w:lang w:val="hr-HR" w:eastAsia="hr-HR" w:bidi="hr-HR"/>
        </w:rPr>
        <w:t xml:space="preserve"> U psihoterapiji je već neko vrijeme postalo utjecajno gledanje na o. kao na otvo</w:t>
        <w:softHyphen/>
        <w:t>ren sustav. Tako se o. javlja kao splet utjecaja koji se oblikuje obrascem interakcije članova međusobno, dok s ostalim sustavima (susjed</w:t>
        <w:softHyphen/>
        <w:t>stvo, rodbina, škola, poduzeće itd.) razmje</w:t>
        <w:softHyphen/>
        <w:t>njuje utjecaje. Kao jedinstvo slobodnih subje</w:t>
        <w:softHyphen/>
        <w:t xml:space="preserve">kata - za razliku od mehaničkih sustava - ima povijest, »nije zatvoren za prošlost kao ni za budućnost, neprestano se mijenja i predstavlja cjelinu koja se ne može svesti na zbroj svojih pojedinačnih elemenata« </w:t>
      </w:r>
      <w:r>
        <w:rPr>
          <w:rFonts w:ascii="Times New Roman" w:eastAsia="Times New Roman" w:hAnsi="Times New Roman" w:cs="Times New Roman"/>
          <w:color w:val="000000"/>
          <w:spacing w:val="0"/>
          <w:w w:val="100"/>
          <w:position w:val="0"/>
          <w:shd w:val="clear" w:color="auto" w:fill="auto"/>
          <w:lang w:val="en-US" w:eastAsia="en-US" w:bidi="en-US"/>
        </w:rPr>
        <w:t xml:space="preserve">(Wetzel, </w:t>
      </w:r>
      <w:r>
        <w:rPr>
          <w:rFonts w:ascii="Times New Roman" w:eastAsia="Times New Roman" w:hAnsi="Times New Roman" w:cs="Times New Roman"/>
          <w:color w:val="000000"/>
          <w:spacing w:val="0"/>
          <w:w w:val="100"/>
          <w:position w:val="0"/>
          <w:shd w:val="clear" w:color="auto" w:fill="auto"/>
          <w:lang w:val="hr-HR" w:eastAsia="hr-HR" w:bidi="hr-HR"/>
        </w:rPr>
        <w:t>u: Eid/Vas- kovics). Na temelju istraživanja tipične obi</w:t>
        <w:softHyphen/>
        <w:t>telji, »uspješan« obiteljski sustav ovisi osobito o tome jesu li zadovoljeni neki formalni kri</w:t>
        <w:softHyphen/>
        <w:t>teriji: Strukture interakcije i strukture uloga moraju očigledno biti takve da dopuštaju flek</w:t>
        <w:softHyphen/>
        <w:t>sibilan odnos između blizina i udaljenosti, jed</w:t>
        <w:softHyphen/>
        <w:t>nakosti i razlika, vlastitih inicijativa i ovisnos</w:t>
        <w:softHyphen/>
        <w:t>ti, izvana i iznutra. Optimalna ravnoteža nije nikada jednom zauvijek dana, nego se prem</w:t>
        <w:softHyphen/>
        <w:t>ješta ovisno o psihičkom i ostalom razvoju su</w:t>
        <w:softHyphen/>
        <w:t>dionika, pa se stoga neprestano mora među njima iznova uspostavljati. Tada o. daje dopri</w:t>
        <w:softHyphen/>
        <w:t>nos, koji se inače teško može adekvatno na</w:t>
        <w:softHyphen/>
        <w:t>domjestiti, kako u razvoju dječjeg Ja, tako i u osiguravanju i razvoju identiteta odraslih. Is</w:t>
        <w:softHyphen/>
        <w:t>todobno se pokazuje da je o. tvorevina koja je krajnje osjetljiva na poremećaje. Različitost partnera, koja ne može nestati unutar obitelji, očigledno samo tada ne vodi do kraja veze nego do neprestanog napora da se jedno dru</w:t>
        <w:softHyphen/>
      </w:r>
      <w:r>
        <w:rPr>
          <w:rFonts w:ascii="Times New Roman" w:eastAsia="Times New Roman" w:hAnsi="Times New Roman" w:cs="Times New Roman"/>
          <w:color w:val="000000"/>
          <w:spacing w:val="0"/>
          <w:w w:val="100"/>
          <w:position w:val="0"/>
          <w:shd w:val="clear" w:color="auto" w:fill="auto"/>
          <w:lang w:val="hr-HR" w:eastAsia="hr-HR" w:bidi="hr-HR"/>
        </w:rPr>
        <w:t>gomu približe, kada su u interakciji postignuti određeni rezultati: npr. uvježbanost u zajed</w:t>
        <w:softHyphen/>
        <w:t>ničkom životu koji je bogat relacijama na te</w:t>
        <w:softHyphen/>
        <w:t>melju uzajamno priznate individualnosti; svla</w:t>
        <w:softHyphen/>
        <w:t xml:space="preserve">davanje kritičnih faza u obiteljskom ciklusu, koje zahtijevaju integritet na novim razinama. </w:t>
      </w:r>
      <w:r>
        <w:rPr>
          <w:rFonts w:ascii="Times New Roman" w:eastAsia="Times New Roman" w:hAnsi="Times New Roman" w:cs="Times New Roman"/>
          <w:i/>
          <w:iCs/>
          <w:color w:val="000000"/>
          <w:spacing w:val="0"/>
          <w:w w:val="100"/>
          <w:position w:val="0"/>
          <w:shd w:val="clear" w:color="auto" w:fill="auto"/>
          <w:lang w:val="hr-HR" w:eastAsia="hr-HR" w:bidi="hr-HR"/>
        </w:rPr>
        <w:t>c) Teoloiki:</w:t>
      </w:r>
      <w:r>
        <w:rPr>
          <w:rFonts w:ascii="Times New Roman" w:eastAsia="Times New Roman" w:hAnsi="Times New Roman" w:cs="Times New Roman"/>
          <w:color w:val="000000"/>
          <w:spacing w:val="0"/>
          <w:w w:val="100"/>
          <w:position w:val="0"/>
          <w:shd w:val="clear" w:color="auto" w:fill="auto"/>
          <w:lang w:val="hr-HR" w:eastAsia="hr-HR" w:bidi="hr-HR"/>
        </w:rPr>
        <w:t xml:space="preserve"> Određenost interakcijske struk</w:t>
        <w:softHyphen/>
        <w:t>ture, koja je karakteristična za o. na temelju socioloških i psiholoških analiza, ukazuje na to da se u međusobno ophođenje upleću več i pravila. Razmišljati o takvim zahtjevima i mo</w:t>
        <w:softHyphen/>
        <w:t>gućnostima u ponašanju, zadaća je (filozofske i) teološke (socijalne - ) etike. Pritom se ona ne može provoditi izdvojeno od aktualnih ten</w:t>
        <w:softHyphen/>
        <w:t>dencija razvoja. Inače dolazi do opravdanog prigovora da su norme, potvrđene kao valjane pod nekim drugim pretpostavkama, odveć ne</w:t>
        <w:softHyphen/>
        <w:t>upitno postavljene kao apsolutne. To se može predusresti samo tako da se u diskursu izvide zatečeni različiti »smislovi obitelji«, da se is</w:t>
        <w:softHyphen/>
        <w:t>traže njihove različite moralnosti - u konteks</w:t>
        <w:softHyphen/>
        <w:t>tu teologije i Crkve - i ispita njihova moguć</w:t>
        <w:softHyphen/>
        <w:t>nost povezivanja s biblijsko-crkvenom tradici</w:t>
        <w:softHyphen/>
        <w:t>jom. Tu leži posebna mogućnost i zadaća za formiranje obiteljskog savjetovališta. Jer, upra</w:t>
        <w:softHyphen/>
        <w:t>vo u crkvenom prostoru jako nedostaje od</w:t>
        <w:softHyphen/>
        <w:t>govarajući stil ponašanja prema obiteljima, na što one reagiraju prešutnim okretanjem od crkvenih očekivanja i normi.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Takav tijek zbivanja treba, i to ne samo u crkvenom interesu, ocijeniti kao zlokoban. I</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w:t>
        <w:tab/>
        <w:t>je time pogođena ukoliko su njezini članovi sve manje u stanju spoznavati i tematizirati religioznu dimenziju u svojim interakcijskim odnosima i tako potiskivati ili nesvjesno za</w:t>
        <w:softHyphen/>
        <w:t>uzimati drugačiji stav prema području koje ni</w:t>
        <w:softHyphen/>
        <w:t>je nevažno za održavanje i razvoj obiteljskog sustava. Ne samo kad su u pitanju granična stanja, čije je prevladavanje sve više postalo čisto unutarobiteljska stvar, oni na koje se to odnosi na duboki sc način suočavaju s pro</w:t>
        <w:softHyphen/>
        <w:t>blemom kako naći smisao za daljnje među</w:t>
        <w:softHyphen/>
        <w:t>sobno druženje. Konstitutivno je iskustvo za židovsko-kršćansku tradiciju da se izreka »do</w:t>
        <w:softHyphen/>
        <w:t>bro je da postojiš«, kao što je temeljna za obi</w:t>
        <w:softHyphen/>
        <w:t>teljsku interakciju, isto tako protegne i na apsolutnu slobodu i ljubav koja zapravo omo</w:t>
        <w:softHyphen/>
        <w:t>gućuje i nosi ovo bezuvjetno potvrđivanje dru</w:t>
        <w:softHyphen/>
        <w:t>goga. Odatle dobivaju stvarni temelj pomire</w:t>
        <w:softHyphen/>
        <w:t xml:space="preserve">nja koja su postignuta i u obiteljskoj svako- dnevici: Njih mogu međusobno zahtijevati, jer su moguća »kod Boga«. O. je - i u tome je </w:t>
      </w:r>
      <w:r>
        <w:rPr>
          <w:rFonts w:ascii="Times New Roman" w:eastAsia="Times New Roman" w:hAnsi="Times New Roman" w:cs="Times New Roman"/>
          <w:color w:val="000000"/>
          <w:spacing w:val="0"/>
          <w:w w:val="100"/>
          <w:position w:val="0"/>
          <w:shd w:val="clear" w:color="auto" w:fill="auto"/>
          <w:lang w:val="hr-HR" w:eastAsia="hr-HR" w:bidi="hr-HR"/>
        </w:rPr>
        <w:t>njezin znakovit karakter - mjesto prokušane solidarnosti i bezuvjetne naklonjenosti drugo</w:t>
        <w:softHyphen/>
        <w:t>mu, oblik međuljudskoga zajedničkog života koji se obistinjuje i na drugim područjima. No u tome leži i njezina relativnost: kršćanskoj vjeri ne sviće u obiteljskom odnosu.</w:t>
      </w:r>
    </w:p>
    <w:p>
      <w:pPr>
        <w:pStyle w:val="Style20"/>
        <w:keepNext w:val="0"/>
        <w:keepLines w:val="0"/>
        <w:widowControl w:val="0"/>
        <w:shd w:val="clear" w:color="auto" w:fill="auto"/>
        <w:bidi w:val="0"/>
        <w:spacing w:before="0" w:after="8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obzirom da je crkveni govor daleko od stvar</w:t>
        <w:softHyphen/>
        <w:t>nosti u kontekstu braka i obitelji, teološka re</w:t>
        <w:softHyphen/>
        <w:t>fleksija o takvim temeljnim iskustvima mora pomoći da sc dođe do novog jezika. Tek tada se može uvjerljivo pokazati da su crkveno-in- stitucionalna pravila učinjena »za čovjeka« i da se u tome moraju potvrđivati. Pa ipak, teo</w:t>
        <w:softHyphen/>
        <w:t>logija i Crkva nisu ostale samo kod apeliranja, nego su doprinijele i izgradnji sadašnjeg shva</w:t>
        <w:softHyphen/>
        <w:t>ćanja obitelji. I ubuduće moraju sudjelovati u oblikovanju obiteljskog ozračja koje omogu</w:t>
        <w:softHyphen/>
        <w:t>ćuje obiteljima da udovolje onomu za što su određene; ne treba u tome izuzeti njihovu vlastitu praksu.</w:t>
      </w:r>
    </w:p>
    <w:p>
      <w:pPr>
        <w:pStyle w:val="Style56"/>
        <w:keepNext w:val="0"/>
        <w:keepLines w:val="0"/>
        <w:widowControl w:val="0"/>
        <w:shd w:val="clear" w:color="auto" w:fill="auto"/>
        <w:tabs>
          <w:tab w:pos="2472" w:val="left"/>
        </w:tabs>
        <w:bidi w:val="0"/>
        <w:spacing w:before="0" w:after="260" w:line="240" w:lineRule="auto"/>
        <w:ind w:left="0" w:right="0" w:firstLine="0"/>
        <w:jc w:val="both"/>
      </w:pPr>
      <w:r>
        <w:rPr>
          <w:color w:val="000000"/>
          <w:spacing w:val="0"/>
          <w:w w:val="100"/>
          <w:position w:val="0"/>
          <w:shd w:val="clear" w:color="auto" w:fill="auto"/>
          <w:lang w:val="hr-HR" w:eastAsia="hr-HR" w:bidi="hr-HR"/>
        </w:rPr>
        <w:t xml:space="preserve">Lit.: K. Luschcr/F. Bockle, Familic, u: F. Bdcklc i đr. (Hrsg.), </w:t>
      </w:r>
      <w:r>
        <w:rPr>
          <w:i/>
          <w:iCs/>
          <w:color w:val="000000"/>
          <w:spacing w:val="0"/>
          <w:w w:val="100"/>
          <w:position w:val="0"/>
          <w:shd w:val="clear" w:color="auto" w:fill="auto"/>
          <w:lang w:val="hr-HR" w:eastAsia="hr-HR" w:bidi="hr-HR"/>
        </w:rPr>
        <w:t xml:space="preserve">Chrisilicher Glaube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moderner </w:t>
      </w:r>
      <w:r>
        <w:rPr>
          <w:i/>
          <w:iCs/>
          <w:color w:val="000000"/>
          <w:spacing w:val="0"/>
          <w:w w:val="100"/>
          <w:position w:val="0"/>
          <w:shd w:val="clear" w:color="auto" w:fill="auto"/>
        </w:rPr>
        <w:t>Gesellschaft.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Tcil- band 7, Fr 1981,87-145; V. </w:t>
      </w:r>
      <w:r>
        <w:rPr>
          <w:color w:val="000000"/>
          <w:spacing w:val="0"/>
          <w:w w:val="100"/>
          <w:position w:val="0"/>
          <w:shd w:val="clear" w:color="auto" w:fill="auto"/>
        </w:rPr>
        <w:t xml:space="preserve">Eid/L. Vaskovic.s (Hrsg.), </w:t>
      </w:r>
      <w:r>
        <w:rPr>
          <w:i/>
          <w:iCs/>
          <w:color w:val="000000"/>
          <w:spacing w:val="0"/>
          <w:w w:val="100"/>
          <w:position w:val="0"/>
          <w:shd w:val="clear" w:color="auto" w:fill="auto"/>
        </w:rPr>
        <w:t xml:space="preserve">Wan- del </w:t>
      </w:r>
      <w:r>
        <w:rPr>
          <w:i/>
          <w:iCs/>
          <w:color w:val="000000"/>
          <w:spacing w:val="0"/>
          <w:w w:val="100"/>
          <w:position w:val="0"/>
          <w:shd w:val="clear" w:color="auto" w:fill="auto"/>
          <w:lang w:val="hr-HR" w:eastAsia="hr-HR" w:bidi="hr-HR"/>
        </w:rPr>
        <w:t>der Familie - Zukunft der familie.</w:t>
      </w:r>
      <w:r>
        <w:rPr>
          <w:color w:val="000000"/>
          <w:spacing w:val="0"/>
          <w:w w:val="100"/>
          <w:position w:val="0"/>
          <w:shd w:val="clear" w:color="auto" w:fill="auto"/>
          <w:lang w:val="hr-HR" w:eastAsia="hr-HR" w:bidi="hr-HR"/>
        </w:rPr>
        <w:t xml:space="preserve"> Mz 1981; H. </w:t>
      </w:r>
      <w:r>
        <w:rPr>
          <w:color w:val="000000"/>
          <w:spacing w:val="0"/>
          <w:w w:val="100"/>
          <w:position w:val="0"/>
          <w:shd w:val="clear" w:color="auto" w:fill="auto"/>
        </w:rPr>
        <w:t xml:space="preserve">Tyrell, </w:t>
      </w:r>
      <w:r>
        <w:rPr>
          <w:color w:val="000000"/>
          <w:spacing w:val="0"/>
          <w:w w:val="100"/>
          <w:position w:val="0"/>
          <w:shd w:val="clear" w:color="auto" w:fill="auto"/>
          <w:lang w:val="hr-HR" w:eastAsia="hr-HR" w:bidi="hr-HR"/>
        </w:rPr>
        <w:t>Probleme cincr Thecric đer gcscllschaftlichcn Ausdiffcrcn- zierung der privatisicrlcn modcrncn Klcinfamilic, u: ZfS 5 (1976), 393-417.</w:t>
        <w:tab/>
        <w:t>N. .MinTE</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lang w:val="hr-HR" w:eastAsia="hr-HR" w:bidi="hr-HR"/>
        </w:rPr>
        <w:t>3. islamski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islamskome shvaćanju brak nije nikakav sakrament, već građanski ugovor između dva partnera različitoga spola. On služi prirodi i čovječanstvu, a time i Bogu, te tek čini život potpunim. Supružnici moraju razvijati one kvalitete koje čovjeka približavaju Bogu i ople</w:t>
        <w:softHyphen/>
        <w:t>menjuju svakodnevicu. Islam pripisuje braku istaknuto religiozno značenje. U njemu se jednako tako vidi kulturna i socijalna nužnost zato što je on prva škola i najbolja zaštita za pojedinca.</w:t>
      </w:r>
    </w:p>
    <w:p>
      <w:pPr>
        <w:pStyle w:val="Style20"/>
        <w:keepNext w:val="0"/>
        <w:keepLines w:val="0"/>
        <w:widowControl w:val="0"/>
        <w:shd w:val="clear" w:color="auto" w:fill="auto"/>
        <w:bidi w:val="0"/>
        <w:spacing w:before="0" w:after="0" w:line="254" w:lineRule="auto"/>
        <w:ind w:left="0" w:right="0" w:firstLine="0"/>
        <w:jc w:val="both"/>
        <w:sectPr>
          <w:headerReference w:type="default" r:id="rId965"/>
          <w:footerReference w:type="default" r:id="rId966"/>
          <w:headerReference w:type="even" r:id="rId967"/>
          <w:footerReference w:type="even" r:id="rId968"/>
          <w:headerReference w:type="first" r:id="rId969"/>
          <w:footerReference w:type="first" r:id="rId970"/>
          <w:footnotePr>
            <w:pos w:val="pageBottom"/>
            <w:numFmt w:val="decimal"/>
            <w:numRestart w:val="continuous"/>
            <w15:footnoteColumns w:val="1"/>
          </w:footnotePr>
          <w:pgSz w:w="6816" w:h="11006"/>
          <w:pgMar w:top="992" w:left="171" w:right="179" w:bottom="534" w:header="0" w:footer="3" w:gutter="0"/>
          <w:cols w:num="2" w:space="17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»Ženite se i brinite za potomstvo; na sudnji ću dan s vama stvoriti kraljevstvo«, govorio je Muhamed. »Uzmite za svoje supruge pristoj</w:t>
        <w:softHyphen/>
        <w:t>ne žene koje vam se dopadaju: muslimanke, kršćanke ili Židovke, no ipak se čuvajte od toga da u njima gledate kurtizane« (Kuran). »I ne priječite ih da svojim udvaračima daju ruku.« »Ponašajte se prema ženama na pristo</w:t>
        <w:softHyphen/>
        <w:t>jan, uljudan način, jer one su od vas dobile težak zavjet.« »Najbolja je žena ona«, govorio je Muhamed, »čiji izgled zrači srećom, koja pazi na muževu riječ i koja u njegovoj odsut</w:t>
        <w:softHyphen/>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nosti čuva samu sebe i njegov imutak.« »Ču</w:t>
        <w:softHyphen/>
        <w:t>vajte se«, govorio je drugi put, »od rđavoga roda.« Upitan, što je pod tim mislio, odgovo</w:t>
        <w:softHyphen/>
        <w:t>rio je: »Lijepe žene iz rđave sredine«. Islam je uvelike ograničavao mnogoženstvo koje je u Arabiji zatečeno kao pojam društvenoga po</w:t>
        <w:softHyphen/>
        <w:t>retka. Teorijski se prednost daje jednožen- stvu. »Čovjek koji ima više od jedne žene lako zapada u grijeh. Zato oženi samo jednu ženu ako želiš da ti se pomogne da ostaneš u pra</w:t>
        <w:softHyphen/>
        <w:t>vednosti« (Muhamed). Kuransko dopuštanje mnogoženstva odnosi se na posebnu historij</w:t>
        <w:softHyphen/>
        <w:t xml:space="preserve">sku situaciju. Ali sam je Muhamed kao vladar Medine oženio više žena. Objašnjenje za to pruža biblijska pozadina njegove osobnosti. Poput njega su postupali i poznati vladari i proroci iz biblijske povijesti, David i </w:t>
      </w:r>
      <w:r>
        <w:rPr>
          <w:rFonts w:ascii="Times New Roman" w:eastAsia="Times New Roman" w:hAnsi="Times New Roman" w:cs="Times New Roman"/>
          <w:color w:val="000000"/>
          <w:spacing w:val="0"/>
          <w:w w:val="100"/>
          <w:position w:val="0"/>
          <w:shd w:val="clear" w:color="auto" w:fill="auto"/>
          <w:lang w:val="en-US" w:eastAsia="en-US" w:bidi="en-US"/>
        </w:rPr>
        <w:t xml:space="preserve">Salomon. I Abraham </w:t>
      </w:r>
      <w:r>
        <w:rPr>
          <w:rFonts w:ascii="Times New Roman" w:eastAsia="Times New Roman" w:hAnsi="Times New Roman" w:cs="Times New Roman"/>
          <w:color w:val="000000"/>
          <w:spacing w:val="0"/>
          <w:w w:val="100"/>
          <w:position w:val="0"/>
          <w:shd w:val="clear" w:color="auto" w:fill="auto"/>
          <w:lang w:val="hr-HR" w:eastAsia="hr-HR" w:bidi="hr-HR"/>
        </w:rPr>
        <w:t xml:space="preserve">je imao dvije žene.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je za Muhameda važio kao uzor istinskoga vjernika i proroka. Od starina potječe pravilo vođenja politike putem ženidbe. To je činio i Muha</w:t>
        <w:softHyphen/>
        <w:t>med. Prije sklapanja braka s njime dvije su ili tri žene bile udovice. On ih je oženio zbog društvene dužnosti. On se, naime, brinuo za žene svojih poginulih sljedbenika.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stih iz Kurana (4,3) priznaje i Muhame- dovim sljedbenicima pravo da mogu oženiti najviše četiri žene pod pretpostavkom da su dali jamstvo da će u braku s više žena na go</w:t>
        <w:softHyphen/>
        <w:t>spodarskoj, pravnoj i osjećajnoj razini osigu</w:t>
        <w:softHyphen/>
        <w:t>rati ravnopravnost svim ženama. Korištenje stihova 2,25 i 4,128 u tumačenju ovoga teksta ipak pokazuje da je to odobrenje vremenski uvjetovano. Njegova je svrha bila u tome da se nakon bitke kod Uhuda 625. udajom - pa i u poliginoj situaciji - socijalno zbrinu djevojke koje su ostale same zbog gubitka oca i skrb</w:t>
        <w:softHyphen/>
        <w:t>nika.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Jednoženstvo je sukladno tomu normalni reli</w:t>
        <w:softHyphen/>
        <w:t>gijski preporučeni oblik zasnivanja obitelji. Postojeće pravne škole, uključujući i šijizam 12 zakonitih imama, ipak shvaćaju 3. stih 4. sure kao naputak koji nije vremenski uvjeto</w:t>
        <w:softHyphen/>
        <w:t>van. Nasuprot tom stanju stvari kao opipljiva mogućnost nudi se selektivno postupanje s postojećim pravnim tvrdnjama, mogućnost da se šerijatsko obiteljsko pravo približi razumi</w:t>
        <w:softHyphen/>
        <w:t>jevanju modernoga čovjeka. Smisleno je i po</w:t>
        <w:softHyphen/>
        <w:t>trebno da se u cjelokupnom konceptu pravnih škola mjerodavnim smatraju ona stajališta ko</w:t>
        <w:softHyphen/>
        <w:t>ja govore u korist žene. Malikitska pravna škola priznaje, npr., ženi pravo da prije zaklju</w:t>
        <w:softHyphen/>
      </w:r>
      <w:r>
        <w:rPr>
          <w:rFonts w:ascii="Times New Roman" w:eastAsia="Times New Roman" w:hAnsi="Times New Roman" w:cs="Times New Roman"/>
          <w:color w:val="000000"/>
          <w:spacing w:val="0"/>
          <w:w w:val="100"/>
          <w:position w:val="0"/>
          <w:shd w:val="clear" w:color="auto" w:fill="auto"/>
          <w:lang w:val="hr-HR" w:eastAsia="hr-HR" w:bidi="hr-HR"/>
        </w:rPr>
        <w:t>čenja braka svojega budućeg muža zakonski obveže da za njezina života i za vrijeme braka ne smije oženiti nijednu drugu ženu. U istom obliku ona može za sebe zadržati pravo ras</w:t>
        <w:softHyphen/>
        <w:t>tave.</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Unatoč naglašeno pozitivnom stavu islama pre</w:t>
        <w:softHyphen/>
        <w:t xml:space="preserve">ma umnažanju potomstva, ipak je dopušteno planiranje obitelji. Prcporuča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coitus </w:t>
      </w:r>
      <w:r>
        <w:rPr>
          <w:rFonts w:ascii="Times New Roman" w:eastAsia="Times New Roman" w:hAnsi="Times New Roman" w:cs="Times New Roman"/>
          <w:i/>
          <w:iCs/>
          <w:color w:val="000000"/>
          <w:spacing w:val="0"/>
          <w:w w:val="100"/>
          <w:position w:val="0"/>
          <w:shd w:val="clear" w:color="auto" w:fill="auto"/>
          <w:lang w:val="hr-HR" w:eastAsia="hr-HR" w:bidi="hr-HR"/>
        </w:rPr>
        <w:t>inter- ruptus</w:t>
      </w:r>
      <w:r>
        <w:rPr>
          <w:rFonts w:ascii="Times New Roman" w:eastAsia="Times New Roman" w:hAnsi="Times New Roman" w:cs="Times New Roman"/>
          <w:color w:val="000000"/>
          <w:spacing w:val="0"/>
          <w:w w:val="100"/>
          <w:position w:val="0"/>
          <w:shd w:val="clear" w:color="auto" w:fill="auto"/>
          <w:lang w:val="hr-HR" w:eastAsia="hr-HR" w:bidi="hr-HR"/>
        </w:rPr>
        <w:t xml:space="preserve"> ili pak primjena zaštitnih sredstava pod pretpostavkom da ona ne uzrokuju nikakve zdravstvene teškoće. Život trudnice u medi</w:t>
        <w:softHyphen/>
        <w:t>cinski opasnoj situaciji važniji je od života ne</w:t>
        <w:softHyphen/>
        <w:t>rođenoga djeteta. Tradicija zastupa nazor da plod (fetus) nakon 40 dana ima status živoga bića. Nakon tog vremena pobačaj stoga nije dozvoljen ni pod kakvim okolnostima - makar život majke bio u opasnosti.</w:t>
      </w:r>
    </w:p>
    <w:p>
      <w:pPr>
        <w:pStyle w:val="Style56"/>
        <w:keepNext w:val="0"/>
        <w:keepLines w:val="0"/>
        <w:widowControl w:val="0"/>
        <w:shd w:val="clear" w:color="auto" w:fill="auto"/>
        <w:tabs>
          <w:tab w:pos="2549" w:val="left"/>
        </w:tabs>
        <w:bidi w:val="0"/>
        <w:spacing w:before="0" w:after="300" w:line="240" w:lineRule="auto"/>
        <w:ind w:left="0" w:right="0" w:firstLine="0"/>
        <w:jc w:val="both"/>
      </w:pPr>
      <w:r>
        <w:rPr>
          <w:color w:val="000000"/>
          <w:spacing w:val="0"/>
          <w:w w:val="100"/>
          <w:position w:val="0"/>
          <w:shd w:val="clear" w:color="auto" w:fill="auto"/>
        </w:rPr>
        <w:t xml:space="preserve">Lie.: Muhammad al-Ghazzali, </w:t>
      </w:r>
      <w:r>
        <w:rPr>
          <w:i/>
          <w:iCs/>
          <w:color w:val="000000"/>
          <w:spacing w:val="0"/>
          <w:w w:val="100"/>
          <w:position w:val="0"/>
          <w:shd w:val="clear" w:color="auto" w:fill="auto"/>
        </w:rPr>
        <w:t>Das Buch uber Ehe,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njemački prijevod </w:t>
      </w:r>
      <w:r>
        <w:rPr>
          <w:color w:val="000000"/>
          <w:spacing w:val="0"/>
          <w:w w:val="100"/>
          <w:position w:val="0"/>
          <w:shd w:val="clear" w:color="auto" w:fill="auto"/>
        </w:rPr>
        <w:t>Hans Bauer, Halle/S. 1917.</w:t>
        <w:tab/>
        <w:t xml:space="preserve">S. </w:t>
      </w:r>
      <w:r>
        <w:rPr>
          <w:color w:val="000000"/>
          <w:spacing w:val="0"/>
          <w:w w:val="100"/>
          <w:position w:val="0"/>
          <w:shd w:val="clear" w:color="auto" w:fill="auto"/>
          <w:lang w:val="hr-HR" w:eastAsia="hr-HR" w:bidi="hr-HR"/>
        </w:rPr>
        <w:t>BAL1Ć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OBJAVA</w:t>
      </w:r>
    </w:p>
    <w:p>
      <w:pPr>
        <w:pStyle w:val="Style63"/>
        <w:keepNext/>
        <w:keepLines/>
        <w:widowControl w:val="0"/>
        <w:numPr>
          <w:ilvl w:val="0"/>
          <w:numId w:val="375"/>
        </w:numPr>
        <w:shd w:val="clear" w:color="auto" w:fill="auto"/>
        <w:tabs>
          <w:tab w:pos="255" w:val="left"/>
        </w:tabs>
        <w:bidi w:val="0"/>
        <w:spacing w:before="0" w:after="80"/>
        <w:ind w:left="0" w:right="0" w:firstLine="0"/>
        <w:jc w:val="both"/>
      </w:pPr>
      <w:bookmarkStart w:id="227" w:name="bookmark227"/>
      <w:r>
        <w:rPr>
          <w:rFonts w:ascii="Times New Roman" w:eastAsia="Times New Roman" w:hAnsi="Times New Roman" w:cs="Times New Roman"/>
          <w:color w:val="000000"/>
          <w:spacing w:val="0"/>
          <w:w w:val="100"/>
          <w:position w:val="0"/>
          <w:shd w:val="clear" w:color="auto" w:fill="auto"/>
          <w:lang w:val="hr-HR" w:eastAsia="hr-HR" w:bidi="hr-HR"/>
        </w:rPr>
        <w:t>židovski</w:t>
      </w:r>
      <w:bookmarkEnd w:id="227"/>
    </w:p>
    <w:p>
      <w:pPr>
        <w:pStyle w:val="Style20"/>
        <w:keepNext w:val="0"/>
        <w:keepLines w:val="0"/>
        <w:widowControl w:val="0"/>
        <w:numPr>
          <w:ilvl w:val="0"/>
          <w:numId w:val="377"/>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 hebrejskoj Bibliji:</w:t>
      </w:r>
      <w:r>
        <w:rPr>
          <w:rFonts w:ascii="Times New Roman" w:eastAsia="Times New Roman" w:hAnsi="Times New Roman" w:cs="Times New Roman"/>
          <w:color w:val="000000"/>
          <w:spacing w:val="0"/>
          <w:w w:val="100"/>
          <w:position w:val="0"/>
          <w:shd w:val="clear" w:color="auto" w:fill="auto"/>
          <w:lang w:val="hr-HR" w:eastAsia="hr-HR" w:bidi="hr-HR"/>
        </w:rPr>
        <w:t xml:space="preserve"> Karakterističan izraz »o.« nije poznat u hebrejskoj Bibliji. Imenica gotovo ne bi odgovarala njezinoj jezičnoj strukturi, ali čvrst teološki pojam nije nastao ni od glagolskih korijena. Glagol »otkriti«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(glh) </w:t>
      </w:r>
      <w:r>
        <w:rPr>
          <w:rFonts w:ascii="Times New Roman" w:eastAsia="Times New Roman" w:hAnsi="Times New Roman" w:cs="Times New Roman"/>
          <w:color w:val="000000"/>
          <w:spacing w:val="0"/>
          <w:w w:val="100"/>
          <w:position w:val="0"/>
          <w:shd w:val="clear" w:color="auto" w:fill="auto"/>
          <w:lang w:val="hr-HR" w:eastAsia="hr-HR" w:bidi="hr-HR"/>
        </w:rPr>
        <w:t xml:space="preserve">katkada znači određeno Božje djelovanje čiji je cilj Božja o. posredniku (1 Sam 9,15; Iz 22,14), odnosno običnu čovjeku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33,16; 36,10.15) ili - s distance promišljanja - pri</w:t>
        <w:softHyphen/>
        <w:t xml:space="preserve">manje proročke riječi (1 Sam 2,27; 3,7.21;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3,7; Dn 10,1), specifična objava proroku Bi- leamu (Br 24,4.16, usp. 22,31), Božje djelo</w:t>
        <w:softHyphen/>
        <w:t>vanje u povijesti (Iz 40,5; 56,1; 53,1), teofanija (Post 35,7) i, naposljetku, slobodna pristupač</w:t>
        <w:softHyphen/>
        <w:t>nost Božje riječi Izraelcima (Pnz 29,28). Zbog modifikacije, koja se češće odnosi na Boga, »dati se vidjeti« (pojaviti se, pokazati se) izve</w:t>
        <w:softHyphen/>
        <w:t xml:space="preserve">dene od glagola »vidjeti« </w:t>
      </w:r>
      <w:r>
        <w:rPr>
          <w:rFonts w:ascii="Times New Roman" w:eastAsia="Times New Roman" w:hAnsi="Times New Roman" w:cs="Times New Roman"/>
          <w:i/>
          <w:iCs/>
          <w:color w:val="000000"/>
          <w:spacing w:val="0"/>
          <w:w w:val="100"/>
          <w:position w:val="0"/>
          <w:shd w:val="clear" w:color="auto" w:fill="auto"/>
          <w:lang w:val="hr-HR" w:eastAsia="hr-HR" w:bidi="hr-HR"/>
        </w:rPr>
        <w:t>(r'h nifal),</w:t>
      </w:r>
      <w:r>
        <w:rPr>
          <w:rFonts w:ascii="Times New Roman" w:eastAsia="Times New Roman" w:hAnsi="Times New Roman" w:cs="Times New Roman"/>
          <w:color w:val="000000"/>
          <w:spacing w:val="0"/>
          <w:w w:val="100"/>
          <w:position w:val="0"/>
          <w:shd w:val="clear" w:color="auto" w:fill="auto"/>
          <w:lang w:val="hr-HR" w:eastAsia="hr-HR" w:bidi="hr-HR"/>
        </w:rPr>
        <w:t xml:space="preserve"> prijašnje značenje pojave Božje na mjestu koje je time posvećeno (Izl 3,2), blijedi iza novoga cilja - Božje riječi (Post 12,6 i d.; 26,24 i d.; Izl 3,7 i d.) - odnosno potpuno nestaje (Post 17,1 i d.; 39,9 i d.) i služi još samo kao uvod u priču o Božjim riječima (Post 18,1—15; 26,2 i d.; Suci 6,12 i d.; 1 Kr 3,5 i d.; 9,2 i d.). Kasnija upo</w:t>
        <w:softHyphen/>
        <w:t>raba odnosi se na Božje »dati se vidjeti« (po</w:t>
        <w:softHyphen/>
        <w:t xml:space="preserve">javiti se, pokazati se) na Sinaju, odnosno na ulazu u »Šator sastanka« (Br 14,14; Pnz 31,15) </w:t>
      </w:r>
      <w:r>
        <w:rPr>
          <w:rFonts w:ascii="Times New Roman" w:eastAsia="Times New Roman" w:hAnsi="Times New Roman" w:cs="Times New Roman"/>
          <w:color w:val="000000"/>
          <w:spacing w:val="0"/>
          <w:w w:val="100"/>
          <w:position w:val="0"/>
          <w:shd w:val="clear" w:color="auto" w:fill="auto"/>
          <w:lang w:val="hr-HR" w:eastAsia="hr-HR" w:bidi="hr-HR"/>
        </w:rPr>
        <w:t>tc na epifaniju (Zah 9,14; Mal 3,2; Ps 102,17). Kao izraz objave može se susresti i glagol »spo</w:t>
        <w:softHyphen/>
        <w:t xml:space="preserve">znati« </w:t>
      </w:r>
      <w:r>
        <w:rPr>
          <w:rFonts w:ascii="Times New Roman" w:eastAsia="Times New Roman" w:hAnsi="Times New Roman" w:cs="Times New Roman"/>
          <w:i/>
          <w:iCs/>
          <w:color w:val="000000"/>
          <w:spacing w:val="0"/>
          <w:w w:val="100"/>
          <w:position w:val="0"/>
          <w:shd w:val="clear" w:color="auto" w:fill="auto"/>
          <w:lang w:val="hr-HR" w:eastAsia="hr-HR" w:bidi="hr-HR"/>
        </w:rPr>
        <w:t>(jd’)</w:t>
      </w:r>
      <w:r>
        <w:rPr>
          <w:rFonts w:ascii="Times New Roman" w:eastAsia="Times New Roman" w:hAnsi="Times New Roman" w:cs="Times New Roman"/>
          <w:color w:val="000000"/>
          <w:spacing w:val="0"/>
          <w:w w:val="100"/>
          <w:position w:val="0"/>
          <w:shd w:val="clear" w:color="auto" w:fill="auto"/>
          <w:lang w:val="hr-HR" w:eastAsia="hr-HR" w:bidi="hr-HR"/>
        </w:rPr>
        <w:t xml:space="preserve"> s Bogom kao subjektom u promje</w:t>
        <w:softHyphen/>
        <w:t>nama svoje osnove u značenju »javiti se« od</w:t>
        <w:softHyphen/>
        <w:t>nosno »nekomu se pokazati«. U svjesnom raz</w:t>
        <w:softHyphen/>
        <w:t>likovanju Božjeg »dati se vidjeti« (pojaviti se, pokazati se), karakteristično za stare kultne etiologijc i govore s Božjim obećanjima, su</w:t>
        <w:softHyphen/>
        <w:t>protstavlja se Božje »pokazati se« »očima« u imenu JHVH od Mojsija (Izl 6,3). U himan- skim očitovanjima Božja samoobjava odnosi se na njegovo povijesno iskazivanje moći (Ps 9,17; 48,4; 77,15.20), ali koja se ne smije odije</w:t>
        <w:softHyphen/>
        <w:t>liti od objave imena Božjeg (Iz 64,1; Ps 76,2). Povratni i kauzativni oblik toga glagola poka</w:t>
        <w:softHyphen/>
        <w:t>zuju određene sadržaje objave Božje: priop</w:t>
        <w:softHyphen/>
        <w:t>ćenje zapovijedi Mojsiju (Izl 25,22) ili nepo</w:t>
        <w:softHyphen/>
        <w:t>sredno Izraelcima (Izl 20,11), Sabata Izraelu (Neh 9,14), obećanja Davidove dinastije (2 Sam 7,21 = 1 Ljet 17,19), objašnjenja faraonova »sna Josipu (Post 41,39). Hebrejska Biblija iz</w:t>
        <w:softHyphen/>
        <w:t>vješćuje o objavi Božjoj uvijek kao o doga</w:t>
        <w:softHyphen/>
        <w:t>đaju; stoga joj nedostaje objektivirani pojam objave. Događaji, o kojima ona priča, razli</w:t>
        <w:softHyphen/>
        <w:t>kuju se; Božjim govorima i djelovanju pripi</w:t>
        <w:softHyphen/>
        <w:t>sani su razni događaji, koji se svaki put zovu drukčije (usp. Sinajsko bogojavljenje Izl 19-34, poslanje Mojsijevo Izl 3,10 i d. i proročka svje</w:t>
        <w:softHyphen/>
        <w:t xml:space="preserve">dočanstva Iz 6, Jr 1,4 i d.; 4,19; 20.7;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3,7 i d.; 7,15; Mih 3,8; Ez 1-3 sa silaskom Božjim radi spasenja Suci 5,4-5; Hab 3,3-15, što na</w:t>
        <w:softHyphen/>
        <w:t>rod moli u tužaljkama, Ps 80.2 i d.).</w:t>
      </w:r>
    </w:p>
    <w:p>
      <w:pPr>
        <w:pStyle w:val="Style20"/>
        <w:keepNext w:val="0"/>
        <w:keepLines w:val="0"/>
        <w:widowControl w:val="0"/>
        <w:numPr>
          <w:ilvl w:val="0"/>
          <w:numId w:val="377"/>
        </w:numPr>
        <w:shd w:val="clear" w:color="auto" w:fill="auto"/>
        <w:tabs>
          <w:tab w:pos="265" w:val="left"/>
        </w:tabs>
        <w:bidi w:val="0"/>
        <w:spacing w:before="0" w:after="0"/>
        <w:ind w:left="0" w:right="0" w:firstLine="0"/>
        <w:jc w:val="both"/>
        <w:sectPr>
          <w:headerReference w:type="default" r:id="rId971"/>
          <w:footerReference w:type="default" r:id="rId972"/>
          <w:headerReference w:type="even" r:id="rId973"/>
          <w:footerReference w:type="even" r:id="rId974"/>
          <w:headerReference w:type="first" r:id="rId975"/>
          <w:footerReference w:type="first" r:id="rId976"/>
          <w:footnotePr>
            <w:pos w:val="pageBottom"/>
            <w:numFmt w:val="decimal"/>
            <w:numRestart w:val="continuous"/>
            <w15:footnoteColumns w:val="1"/>
          </w:footnotePr>
          <w:pgSz w:w="6816" w:h="11006"/>
          <w:pgMar w:top="992" w:left="171" w:right="179" w:bottom="534" w:header="0" w:footer="3" w:gutter="0"/>
          <w:cols w:num="2" w:space="173"/>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U talmudskoj i midraškoj literaturi:</w:t>
      </w:r>
      <w:r>
        <w:rPr>
          <w:rFonts w:ascii="Times New Roman" w:eastAsia="Times New Roman" w:hAnsi="Times New Roman" w:cs="Times New Roman"/>
          <w:color w:val="000000"/>
          <w:spacing w:val="0"/>
          <w:w w:val="100"/>
          <w:position w:val="0"/>
          <w:shd w:val="clear" w:color="auto" w:fill="auto"/>
          <w:lang w:val="hr-HR" w:eastAsia="hr-HR" w:bidi="hr-HR"/>
        </w:rPr>
        <w:t xml:space="preserve"> Znače</w:t>
        <w:softHyphen/>
        <w:t>nje rečenice Izraelaca iz povijesti objave: »Sve što je ON rekao, izvršit ćemo i poslušat će</w:t>
        <w:softHyphen/>
        <w:t xml:space="preserve">mo!« (Izl 24,7, usp. 19,8) uneseno je i u po- slijebiblijsko židovstvo: objavu ne treba samo doživjeti nego i </w:t>
      </w:r>
      <w:r>
        <w:rPr>
          <w:rFonts w:ascii="Times New Roman" w:eastAsia="Times New Roman" w:hAnsi="Times New Roman" w:cs="Times New Roman"/>
          <w:i/>
          <w:iCs/>
          <w:color w:val="000000"/>
          <w:spacing w:val="0"/>
          <w:w w:val="100"/>
          <w:position w:val="0"/>
          <w:shd w:val="clear" w:color="auto" w:fill="auto"/>
          <w:lang w:val="hr-HR" w:eastAsia="hr-HR" w:bidi="hr-HR"/>
        </w:rPr>
        <w:t>proživjeti,</w:t>
      </w:r>
      <w:r>
        <w:rPr>
          <w:rFonts w:ascii="Times New Roman" w:eastAsia="Times New Roman" w:hAnsi="Times New Roman" w:cs="Times New Roman"/>
          <w:color w:val="000000"/>
          <w:spacing w:val="0"/>
          <w:w w:val="100"/>
          <w:position w:val="0"/>
          <w:shd w:val="clear" w:color="auto" w:fill="auto"/>
          <w:lang w:val="hr-HR" w:eastAsia="hr-HR" w:bidi="hr-HR"/>
        </w:rPr>
        <w:t xml:space="preserve"> i doživljaj mora vo</w:t>
        <w:softHyphen/>
        <w:t>diti ispunjenju: »Uzmi k srcu zapovijedi Božje, pa ćeš spoznati Boga i naći njegove putove« (Šifre Pnz 6,6). Spoznaja Boga ne može se odvojiti od spremnosti čovjeka da provodi Božju volju. Stoga za židovstvo nije odlučuju</w:t>
        <w:softHyphen/>
        <w:t>ća ugasla neposredna proročka o. (1 Mak 4,46; 9,27; 14,41) već objavljena riječ Božja »da je vrše« (Pnz 30,14). Njemu je povjerena zauvijek mjerodavna Božja o. u Tori kako bi jc izvršio i kako bi ona time odredila njegov životni put: »Što je skriveno, pripada NJE</w:t>
        <w:softHyphen/>
        <w:t>MU, Bogu našemu, a o. nama i sinovima na</w:t>
        <w:softHyphen/>
        <w:t>šim zauvijek, da vršimo sve riječi ovoga Za</w:t>
        <w:softHyphen/>
        <w:t>kona!« (Pnz 29,28). Sam Bog objavio jc cije</w:t>
        <w:softHyphen/>
      </w:r>
      <w:r>
        <w:rPr>
          <w:rFonts w:ascii="Times New Roman" w:eastAsia="Times New Roman" w:hAnsi="Times New Roman" w:cs="Times New Roman"/>
          <w:color w:val="000000"/>
          <w:spacing w:val="0"/>
          <w:w w:val="100"/>
          <w:position w:val="0"/>
          <w:shd w:val="clear" w:color="auto" w:fill="auto"/>
          <w:lang w:val="hr-HR" w:eastAsia="hr-HR" w:bidi="hr-HR"/>
        </w:rPr>
        <w:t>lom narodu jakim glasom »deset riječi« (= za</w:t>
        <w:softHyphen/>
        <w:t>povijedi, Izl 34,28; Pnz 4,31) i omogućio da svaka od tih »riječi« (preko jednog anđela ili bez njega) dopre do svakoga pojedinog Izrael</w:t>
        <w:softHyphen/>
        <w:t>ca (Šir ha-širim 1,2). Preostali dio Tore pre</w:t>
        <w:softHyphen/>
        <w:t xml:space="preserve">dan je Mojsiju da ga prenese Izraelu </w:t>
      </w:r>
      <w:r>
        <w:rPr>
          <w:rFonts w:ascii="Times New Roman" w:eastAsia="Times New Roman" w:hAnsi="Times New Roman" w:cs="Times New Roman"/>
          <w:i/>
          <w:iCs/>
          <w:color w:val="000000"/>
          <w:spacing w:val="0"/>
          <w:w w:val="100"/>
          <w:position w:val="0"/>
          <w:shd w:val="clear" w:color="auto" w:fill="auto"/>
          <w:lang w:val="hr-HR" w:eastAsia="hr-HR" w:bidi="hr-HR"/>
        </w:rPr>
        <w:t>(matan tora,</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58a; Berešit raba XXXIV, 8,21). Premda samo jedna stara izreka (Rabi Akivc, 1. stoljeće) govori o podrijetlu objave Mojsiju iz Tore (Šifre Pnz 14,7; b Hulin 60b), općenito vlada uvjerenje da Mojsije ni jednu riječ iz Tore nije progovorio sam (Šifre Pnz 1,6;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99a; Šifre Br 15,31). Tradi</w:t>
        <w:softHyphen/>
        <w:t>cija je prenijela razna mišljenja samo o vrsti »predaje Tore« Mojsiju. Prednost ima staja</w:t>
        <w:softHyphen/>
        <w:t>lište da je Bog Mojsija učio Toru (b Nedarim 38a; Menahot 29a). No, rabini su objasnili i to da je Bog dao Mojsiju Toru u pismenom obli</w:t>
        <w:softHyphen/>
        <w:t xml:space="preserve">ku (Šir ha-širim V,14; b Megila 19b; Nedarim 38a) ili mu ju je izdiktirao (b Bava batra 14b.l5a;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60a; Šifre Pnz 34,5); pritom su posegnuli za starom idejom o diktatu (Jubileji 2). U vezi s prvom zamisli učenjaci su ras</w:t>
        <w:softHyphen/>
        <w:t xml:space="preserve">pravljali o pojedinostima - da je Bog s Torom učio Mojsija i propise </w:t>
      </w:r>
      <w:r>
        <w:rPr>
          <w:rFonts w:ascii="Times New Roman" w:eastAsia="Times New Roman" w:hAnsi="Times New Roman" w:cs="Times New Roman"/>
          <w:i/>
          <w:iCs/>
          <w:color w:val="000000"/>
          <w:spacing w:val="0"/>
          <w:w w:val="100"/>
          <w:position w:val="0"/>
          <w:shd w:val="clear" w:color="auto" w:fill="auto"/>
          <w:lang w:val="hr-HR" w:eastAsia="hr-HR" w:bidi="hr-HR"/>
        </w:rPr>
        <w:t>(halahot)</w:t>
      </w:r>
      <w:r>
        <w:rPr>
          <w:rFonts w:ascii="Times New Roman" w:eastAsia="Times New Roman" w:hAnsi="Times New Roman" w:cs="Times New Roman"/>
          <w:color w:val="000000"/>
          <w:spacing w:val="0"/>
          <w:w w:val="100"/>
          <w:position w:val="0"/>
          <w:shd w:val="clear" w:color="auto" w:fill="auto"/>
          <w:lang w:val="hr-HR" w:eastAsia="hr-HR" w:bidi="hr-HR"/>
        </w:rPr>
        <w:t xml:space="preserve"> koji tumače Toru: »Kad se Bog objavio na Sinaju kako bi Izraelcima dao Toru, redom ju je tumačio Mojsiju, tj. Pismo, Mišnu,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 xml:space="preserve">i Hagadu« (Šcmot raba </w:t>
      </w:r>
      <w:r>
        <w:rPr>
          <w:rFonts w:ascii="Times New Roman" w:eastAsia="Times New Roman" w:hAnsi="Times New Roman" w:cs="Times New Roman"/>
          <w:color w:val="000000"/>
          <w:spacing w:val="0"/>
          <w:w w:val="100"/>
          <w:position w:val="0"/>
          <w:shd w:val="clear" w:color="auto" w:fill="auto"/>
          <w:lang w:val="en-US" w:eastAsia="en-US" w:bidi="en-US"/>
        </w:rPr>
        <w:t xml:space="preserve">XLVII.34,27; </w:t>
      </w:r>
      <w:r>
        <w:rPr>
          <w:rFonts w:ascii="Times New Roman" w:eastAsia="Times New Roman" w:hAnsi="Times New Roman" w:cs="Times New Roman"/>
          <w:color w:val="000000"/>
          <w:spacing w:val="0"/>
          <w:w w:val="100"/>
          <w:position w:val="0"/>
          <w:shd w:val="clear" w:color="auto" w:fill="auto"/>
          <w:lang w:val="hr-HR" w:eastAsia="hr-HR" w:bidi="hr-HR"/>
        </w:rPr>
        <w:t xml:space="preserve">usp. j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 xml:space="preserve">II,17a; Megila IV,74d; Hagiga I,76d): Mojsije jc sam napisao Toru jer ju je naučio od Boga: to je »pisana Tora« (zora </w:t>
      </w:r>
      <w:r>
        <w:rPr>
          <w:rFonts w:ascii="Times New Roman" w:eastAsia="Times New Roman" w:hAnsi="Times New Roman" w:cs="Times New Roman"/>
          <w:i/>
          <w:iCs/>
          <w:color w:val="000000"/>
          <w:spacing w:val="0"/>
          <w:w w:val="100"/>
          <w:position w:val="0"/>
          <w:shd w:val="clear" w:color="auto" w:fill="auto"/>
          <w:lang w:val="hr-HR" w:eastAsia="hr-HR" w:bidi="hr-HR"/>
        </w:rPr>
        <w:t>še bi-hetav,</w:t>
      </w:r>
      <w:r>
        <w:rPr>
          <w:rFonts w:ascii="Times New Roman" w:eastAsia="Times New Roman" w:hAnsi="Times New Roman" w:cs="Times New Roman"/>
          <w:color w:val="000000"/>
          <w:spacing w:val="0"/>
          <w:w w:val="100"/>
          <w:position w:val="0"/>
          <w:shd w:val="clear" w:color="auto" w:fill="auto"/>
          <w:lang w:val="hr-HR" w:eastAsia="hr-HR" w:bidi="hr-HR"/>
        </w:rPr>
        <w:t xml:space="preserve"> b Šabat 31a), ali ne i »usmena Tora« </w:t>
      </w:r>
      <w:r>
        <w:rPr>
          <w:rFonts w:ascii="Times New Roman" w:eastAsia="Times New Roman" w:hAnsi="Times New Roman" w:cs="Times New Roman"/>
          <w:i/>
          <w:iCs/>
          <w:color w:val="000000"/>
          <w:spacing w:val="0"/>
          <w:w w:val="100"/>
          <w:position w:val="0"/>
          <w:shd w:val="clear" w:color="auto" w:fill="auto"/>
          <w:lang w:val="hr-HR" w:eastAsia="hr-HR" w:bidi="hr-HR"/>
        </w:rPr>
        <w:t>(tora še-be-al-pe),</w:t>
      </w:r>
      <w:r>
        <w:rPr>
          <w:rFonts w:ascii="Times New Roman" w:eastAsia="Times New Roman" w:hAnsi="Times New Roman" w:cs="Times New Roman"/>
          <w:color w:val="000000"/>
          <w:spacing w:val="0"/>
          <w:w w:val="100"/>
          <w:position w:val="0"/>
          <w:shd w:val="clear" w:color="auto" w:fill="auto"/>
          <w:lang w:val="hr-HR" w:eastAsia="hr-HR" w:bidi="hr-HR"/>
        </w:rPr>
        <w:t xml:space="preserve"> koja je trebala ostati Izraelova tajna i tradicijski se prenositi s roda na rod (Šemot raba </w:t>
      </w:r>
      <w:r>
        <w:rPr>
          <w:rFonts w:ascii="Times New Roman" w:eastAsia="Times New Roman" w:hAnsi="Times New Roman" w:cs="Times New Roman"/>
          <w:color w:val="000000"/>
          <w:spacing w:val="0"/>
          <w:w w:val="100"/>
          <w:position w:val="0"/>
          <w:shd w:val="clear" w:color="auto" w:fill="auto"/>
          <w:lang w:val="en-US" w:eastAsia="en-US" w:bidi="en-US"/>
        </w:rPr>
        <w:t xml:space="preserve">XI.VII, </w:t>
      </w:r>
      <w:r>
        <w:rPr>
          <w:rFonts w:ascii="Times New Roman" w:eastAsia="Times New Roman" w:hAnsi="Times New Roman" w:cs="Times New Roman"/>
          <w:color w:val="000000"/>
          <w:spacing w:val="0"/>
          <w:w w:val="100"/>
          <w:position w:val="0"/>
          <w:shd w:val="clear" w:color="auto" w:fill="auto"/>
          <w:lang w:val="hr-HR" w:eastAsia="hr-HR" w:bidi="hr-HR"/>
        </w:rPr>
        <w:t xml:space="preserve">34.27; </w:t>
      </w:r>
      <w:r>
        <w:rPr>
          <w:rFonts w:ascii="Times New Roman" w:eastAsia="Times New Roman" w:hAnsi="Times New Roman" w:cs="Times New Roman"/>
          <w:color w:val="000000"/>
          <w:spacing w:val="0"/>
          <w:w w:val="100"/>
          <w:position w:val="0"/>
          <w:shd w:val="clear" w:color="auto" w:fill="auto"/>
          <w:lang w:val="en-US" w:eastAsia="en-US" w:bidi="en-US"/>
        </w:rPr>
        <w:t xml:space="preserve">j Pea </w:t>
      </w:r>
      <w:r>
        <w:rPr>
          <w:rFonts w:ascii="Times New Roman" w:eastAsia="Times New Roman" w:hAnsi="Times New Roman" w:cs="Times New Roman"/>
          <w:color w:val="000000"/>
          <w:spacing w:val="0"/>
          <w:w w:val="100"/>
          <w:position w:val="0"/>
          <w:shd w:val="clear" w:color="auto" w:fill="auto"/>
          <w:lang w:val="hr-HR" w:eastAsia="hr-HR" w:bidi="hr-HR"/>
        </w:rPr>
        <w:t xml:space="preserve">II. 17a; Pesikta rabati V,14b), pa odatle »Halaha Mojsijcva sa Sinaja« </w:t>
      </w:r>
      <w:r>
        <w:rPr>
          <w:rFonts w:ascii="Times New Roman" w:eastAsia="Times New Roman" w:hAnsi="Times New Roman" w:cs="Times New Roman"/>
          <w:i/>
          <w:iCs/>
          <w:color w:val="000000"/>
          <w:spacing w:val="0"/>
          <w:w w:val="100"/>
          <w:position w:val="0"/>
          <w:shd w:val="clear" w:color="auto" w:fill="auto"/>
          <w:lang w:val="hr-HR" w:eastAsia="hr-HR" w:bidi="hr-HR"/>
        </w:rPr>
        <w:t>(halalta le-moše mi-sinaj,</w:t>
      </w:r>
      <w:r>
        <w:rPr>
          <w:rFonts w:ascii="Times New Roman" w:eastAsia="Times New Roman" w:hAnsi="Times New Roman" w:cs="Times New Roman"/>
          <w:color w:val="000000"/>
          <w:spacing w:val="0"/>
          <w:w w:val="100"/>
          <w:position w:val="0"/>
          <w:shd w:val="clear" w:color="auto" w:fill="auto"/>
          <w:lang w:val="hr-HR" w:eastAsia="hr-HR" w:bidi="hr-HR"/>
        </w:rPr>
        <w:t xml:space="preserve"> b Kidušin 38b). - Bog sc pos</w:t>
        <w:softHyphen/>
        <w:t>tupno već bio objavio Adamu, Noi i Abra- hamu, ali: »Onako kako je zvao Mojsija, nije zvao Abrahanta« (Vajikra raba 1,1.1); i pro</w:t>
        <w:softHyphen/>
        <w:t>roci su je primali u manjoj mjeri od Mojsija: »Proroci su gledali kroz devet zrcala... No Mojsije je gledao samo kroz jedno zrcalo... Svi proroci gledali su kroz jedno mutno zrca</w:t>
        <w:softHyphen/>
        <w:t xml:space="preserve">lo... No Mojsije je gledao kroz fino brušeno zrcalo«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Analogno tomu rabini su druk</w:t>
        <w:softHyphen/>
        <w:t>čije ocjenjivali i božansko podrijetlo nemojsi- jevskih knjiga u Kanonu (b Nedarim 22b): »Cak sveti duh. koji počiva na prorocima, počiva samo određenom težinom, jer jedan proroku</w:t>
        <w:softHyphen/>
        <w:t xml:space="preserve">je jednu knjigu, a drugi dvije knjige« </w:t>
      </w:r>
      <w:r>
        <w:rPr>
          <w:rFonts w:ascii="Times New Roman" w:eastAsia="Times New Roman" w:hAnsi="Times New Roman" w:cs="Times New Roman"/>
          <w:color w:val="000000"/>
          <w:spacing w:val="0"/>
          <w:w w:val="100"/>
          <w:position w:val="0"/>
          <w:shd w:val="clear" w:color="auto" w:fill="auto"/>
          <w:lang w:val="en-US" w:eastAsia="en-US" w:bidi="en-US"/>
        </w:rPr>
        <w:t>(ibid.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XV, 13,2). S razorenjem prvoga Hrama (Ko- helet </w:t>
      </w:r>
      <w:r>
        <w:rPr>
          <w:rFonts w:ascii="Times New Roman" w:eastAsia="Times New Roman" w:hAnsi="Times New Roman" w:cs="Times New Roman"/>
          <w:color w:val="000000"/>
          <w:spacing w:val="0"/>
          <w:w w:val="100"/>
          <w:position w:val="0"/>
          <w:shd w:val="clear" w:color="auto" w:fill="auto"/>
          <w:lang w:val="en-US" w:eastAsia="en-US" w:bidi="en-US"/>
        </w:rPr>
        <w:t xml:space="preserve">XII.6; </w:t>
      </w:r>
      <w:r>
        <w:rPr>
          <w:rFonts w:ascii="Times New Roman" w:eastAsia="Times New Roman" w:hAnsi="Times New Roman" w:cs="Times New Roman"/>
          <w:color w:val="000000"/>
          <w:spacing w:val="0"/>
          <w:w w:val="100"/>
          <w:position w:val="0"/>
          <w:shd w:val="clear" w:color="auto" w:fill="auto"/>
          <w:lang w:val="hr-HR" w:eastAsia="hr-HR" w:bidi="hr-HR"/>
        </w:rPr>
        <w:t>j Taanit II.65a; b Joma 21b), od</w:t>
        <w:softHyphen/>
        <w:t>nosno prema drugima, sa smrću posljednjih proroka, Hagaja, Zaharijc i Malahije (Tos. XIII,2), ugasio se proročki duh u Izraelu. Na</w:t>
        <w:softHyphen/>
        <w:t xml:space="preserve">domjestio ga je vrlo slabo »nebeski glas« </w:t>
      </w:r>
      <w:r>
        <w:rPr>
          <w:rFonts w:ascii="Times New Roman" w:eastAsia="Times New Roman" w:hAnsi="Times New Roman" w:cs="Times New Roman"/>
          <w:i/>
          <w:iCs/>
          <w:color w:val="000000"/>
          <w:spacing w:val="0"/>
          <w:w w:val="100"/>
          <w:position w:val="0"/>
          <w:shd w:val="clear" w:color="auto" w:fill="auto"/>
          <w:lang w:val="hr-HR" w:eastAsia="hr-HR" w:bidi="hr-HR"/>
        </w:rPr>
        <w:t>(bat kol,</w:t>
      </w:r>
      <w:r>
        <w:rPr>
          <w:rFonts w:ascii="Times New Roman" w:eastAsia="Times New Roman" w:hAnsi="Times New Roman" w:cs="Times New Roman"/>
          <w:color w:val="000000"/>
          <w:spacing w:val="0"/>
          <w:w w:val="100"/>
          <w:position w:val="0"/>
          <w:shd w:val="clear" w:color="auto" w:fill="auto"/>
          <w:lang w:val="hr-HR" w:eastAsia="hr-HR" w:bidi="hr-HR"/>
        </w:rPr>
        <w:t xml:space="preserve"> »kći glasa«), jeka glasa Božjeg (b Sota 48b;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11a; Joma 9b) koji se čuje na zemlji. No čini se da predodžba o gašenju sve</w:t>
        <w:softHyphen/>
        <w:t>toga duha u Izraelu nije općenito priznata u Izraelu. Izreka iz III. stoljeća daje proroštvo, doduše, oduzeto prorocima, ali daje dano uče</w:t>
        <w:softHyphen/>
        <w:t>njacima, odgovara svakako raširenom mišlje</w:t>
        <w:softHyphen/>
        <w:t>nju. Naime, prema teoriji ordinacije (redenja), polaganje ruke izvršila je riječ duha (Br 27,18; Pnz 34,9) te isključila pretpostavku daje me</w:t>
        <w:softHyphen/>
        <w:t>đu rabinima ikada prestao proročki dar; u od</w:t>
        <w:softHyphen/>
        <w:t xml:space="preserve">ređenih mudraca izričito se slavila i poslije njihove smrti (Tos. Pcsahim 1,27; Sota XIII,4; b Sota 48b;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11a; Vajikra raba XXI, 16,3). Osim toga, učenjaci su smatrali dostoj</w:t>
        <w:softHyphen/>
        <w:t>nim svakoga da primi svetoga duha »tko se žrtvuje za Izraelce (Bentidbar raba XV,11,16), »tko uči (Toru) kako bi poslije prema njoj dje</w:t>
        <w:softHyphen/>
        <w:t>lovao« (Vajikra raba XXXV,26,3) i »tko Toru javno poučava« (Šir ha-širim 1,1). Takva oči</w:t>
        <w:softHyphen/>
        <w:t>tovanja vuku korijenje iz uvjerenja da proroč</w:t>
        <w:softHyphen/>
        <w:t xml:space="preserve">ki dar i dalje živi u židovstvu: »Pobožnost/pra- vednost vodi k svetome duhu« (M Sota IX,15). Opća oboružanost svetim duhom proroštva očekivala se ipak tek u mesijansko doba (Be- </w:t>
      </w:r>
      <w:r>
        <w:rPr>
          <w:rFonts w:ascii="Times New Roman" w:eastAsia="Times New Roman" w:hAnsi="Times New Roman" w:cs="Times New Roman"/>
          <w:color w:val="000000"/>
          <w:spacing w:val="0"/>
          <w:w w:val="100"/>
          <w:position w:val="0"/>
          <w:shd w:val="clear" w:color="auto" w:fill="auto"/>
          <w:lang w:val="en-US" w:eastAsia="en-US" w:bidi="en-US"/>
        </w:rPr>
        <w:t xml:space="preserve">midbar </w:t>
      </w:r>
      <w:r>
        <w:rPr>
          <w:rFonts w:ascii="Times New Roman" w:eastAsia="Times New Roman" w:hAnsi="Times New Roman" w:cs="Times New Roman"/>
          <w:color w:val="000000"/>
          <w:spacing w:val="0"/>
          <w:w w:val="100"/>
          <w:position w:val="0"/>
          <w:shd w:val="clear" w:color="auto" w:fill="auto"/>
          <w:lang w:val="hr-HR" w:eastAsia="hr-HR" w:bidi="hr-HR"/>
        </w:rPr>
        <w:t>raba XV,11,16; Eha rabati 111,50).</w:t>
      </w:r>
    </w:p>
    <w:p>
      <w:pPr>
        <w:pStyle w:val="Style20"/>
        <w:keepNext w:val="0"/>
        <w:keepLines w:val="0"/>
        <w:widowControl w:val="0"/>
        <w:numPr>
          <w:ilvl w:val="0"/>
          <w:numId w:val="377"/>
        </w:numPr>
        <w:shd w:val="clear" w:color="auto" w:fill="auto"/>
        <w:tabs>
          <w:tab w:pos="25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»Stvaranje, o., otkupljenje«:</w:t>
      </w:r>
      <w:r>
        <w:rPr>
          <w:rFonts w:ascii="Times New Roman" w:eastAsia="Times New Roman" w:hAnsi="Times New Roman" w:cs="Times New Roman"/>
          <w:color w:val="000000"/>
          <w:spacing w:val="0"/>
          <w:w w:val="100"/>
          <w:position w:val="0"/>
          <w:shd w:val="clear" w:color="auto" w:fill="auto"/>
          <w:lang w:val="hr-HR" w:eastAsia="hr-HR" w:bidi="hr-HR"/>
        </w:rPr>
        <w:t xml:space="preserve"> Židovstvo svih vremena smatralo je objavu na Sinaju temelj</w:t>
        <w:softHyphen/>
        <w:t>nim događajem u svojoj povijesti. Sva is</w:t>
        <w:softHyphen/>
        <w:t>traživanja, razmišljanja i tumačenja usmjere</w:t>
        <w:softHyphen/>
        <w:t>na su na razumijevanje sadržaja objave. Kad bi i otkrili novo značenje, činjenica o sinajskoj objavi ostala bi netaknuta. Za mistike je »o. nastala iz jednog čina koji se neprestance po</w:t>
        <w:softHyphen/>
        <w:t xml:space="preserve">navlja« </w:t>
      </w:r>
      <w:r>
        <w:rPr>
          <w:rFonts w:ascii="Times New Roman" w:eastAsia="Times New Roman" w:hAnsi="Times New Roman" w:cs="Times New Roman"/>
          <w:color w:val="000000"/>
          <w:spacing w:val="0"/>
          <w:w w:val="100"/>
          <w:position w:val="0"/>
          <w:shd w:val="clear" w:color="auto" w:fill="auto"/>
          <w:lang w:val="en-US" w:eastAsia="en-US" w:bidi="en-US"/>
        </w:rPr>
        <w:t xml:space="preserve">(Gershom Scholem,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jiidische Mys- tik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ihren Hauptstrbmungen</w:t>
      </w:r>
      <w:r>
        <w:rPr>
          <w:rFonts w:ascii="Times New Roman" w:eastAsia="Times New Roman" w:hAnsi="Times New Roman" w:cs="Times New Roman"/>
          <w:color w:val="000000"/>
          <w:spacing w:val="0"/>
          <w:w w:val="100"/>
          <w:position w:val="0"/>
          <w:shd w:val="clear" w:color="auto" w:fill="auto"/>
          <w:lang w:val="hr-HR" w:eastAsia="hr-HR" w:bidi="hr-HR"/>
        </w:rPr>
        <w:t>, 1957, 10). Pre</w:t>
        <w:softHyphen/>
        <w:t xml:space="preserve">ma Franzu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Rosenzweigu, </w:t>
      </w:r>
      <w:r>
        <w:rPr>
          <w:rFonts w:ascii="Times New Roman" w:eastAsia="Times New Roman" w:hAnsi="Times New Roman" w:cs="Times New Roman"/>
          <w:color w:val="000000"/>
          <w:spacing w:val="0"/>
          <w:w w:val="100"/>
          <w:position w:val="0"/>
          <w:shd w:val="clear" w:color="auto" w:fill="auto"/>
          <w:lang w:val="hr-HR" w:eastAsia="hr-HR" w:bidi="hr-HR"/>
        </w:rPr>
        <w:t>»vremenski oblik prošlosti u kojoj je stvaranje kao čin zasno</w:t>
        <w:softHyphen/>
        <w:t>vano i kao rezultat dosegnulo vrhunac, od</w:t>
        <w:softHyphen/>
        <w:t xml:space="preserve">govara sadašnjosti. O. je prisutna, ona je čak sama sadašnjost«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Erlosung,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 xml:space="preserve">1976, 207).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 xml:space="preserve">opisao je trozvuk velikih riječi iz židovske religije: »Stvaranje je početak, otkupljenje je cilj, ali o. nije točka između njih koja miruje, koja je čvrsta i koja se može datirati; sinajska o. nije sredina, nego </w:t>
      </w:r>
      <w:r>
        <w:rPr>
          <w:rFonts w:ascii="Times New Roman" w:eastAsia="Times New Roman" w:hAnsi="Times New Roman" w:cs="Times New Roman"/>
          <w:color w:val="000000"/>
          <w:spacing w:val="0"/>
          <w:w w:val="100"/>
          <w:position w:val="0"/>
          <w:shd w:val="clear" w:color="auto" w:fill="auto"/>
          <w:lang w:val="hr-HR" w:eastAsia="hr-HR" w:bidi="hr-HR"/>
        </w:rPr>
        <w:t xml:space="preserve">nešto što se uvijek može ponavljati i čuti«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Mensch von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heute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jiidische </w:t>
      </w:r>
      <w:r>
        <w:rPr>
          <w:rFonts w:ascii="Times New Roman" w:eastAsia="Times New Roman" w:hAnsi="Times New Roman" w:cs="Times New Roman"/>
          <w:i/>
          <w:iCs/>
          <w:color w:val="000000"/>
          <w:spacing w:val="0"/>
          <w:w w:val="100"/>
          <w:position w:val="0"/>
          <w:shd w:val="clear" w:color="auto" w:fill="auto"/>
          <w:lang w:val="en-US" w:eastAsia="en-US" w:bidi="en-US"/>
        </w:rPr>
        <w:t xml:space="preserve">Bibel, </w:t>
      </w:r>
      <w:r>
        <w:rPr>
          <w:rFonts w:ascii="Times New Roman" w:eastAsia="Times New Roman" w:hAnsi="Times New Roman" w:cs="Times New Roman"/>
          <w:color w:val="000000"/>
          <w:spacing w:val="0"/>
          <w:w w:val="100"/>
          <w:position w:val="0"/>
          <w:shd w:val="clear" w:color="auto" w:fill="auto"/>
          <w:lang w:val="en-US" w:eastAsia="en-US" w:bidi="en-US"/>
        </w:rPr>
        <w:t xml:space="preserve">1926,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 xml:space="preserve">M. Buber/F. Rosenzweig, </w:t>
      </w:r>
      <w:r>
        <w:rPr>
          <w:rFonts w:ascii="Times New Roman" w:eastAsia="Times New Roman" w:hAnsi="Times New Roman" w:cs="Times New Roman"/>
          <w:i/>
          <w:iCs/>
          <w:color w:val="000000"/>
          <w:spacing w:val="0"/>
          <w:w w:val="100"/>
          <w:position w:val="0"/>
          <w:shd w:val="clear" w:color="auto" w:fill="auto"/>
          <w:lang w:val="en-US" w:eastAsia="en-US" w:bidi="en-US"/>
        </w:rPr>
        <w:t>Die Schrift und Hire Verdeutschung,</w:t>
      </w:r>
      <w:r>
        <w:rPr>
          <w:rFonts w:ascii="Times New Roman" w:eastAsia="Times New Roman" w:hAnsi="Times New Roman" w:cs="Times New Roman"/>
          <w:color w:val="000000"/>
          <w:spacing w:val="0"/>
          <w:w w:val="100"/>
          <w:position w:val="0"/>
          <w:shd w:val="clear" w:color="auto" w:fill="auto"/>
          <w:lang w:val="en-US" w:eastAsia="en-US" w:bidi="en-US"/>
        </w:rPr>
        <w:t xml:space="preserve"> 1936, 13-45,20). </w:t>
      </w:r>
      <w:r>
        <w:rPr>
          <w:rFonts w:ascii="Times New Roman" w:eastAsia="Times New Roman" w:hAnsi="Times New Roman" w:cs="Times New Roman"/>
          <w:color w:val="000000"/>
          <w:spacing w:val="0"/>
          <w:w w:val="100"/>
          <w:position w:val="0"/>
          <w:shd w:val="clear" w:color="auto" w:fill="auto"/>
          <w:lang w:val="hr-HR" w:eastAsia="hr-HR" w:bidi="hr-HR"/>
        </w:rPr>
        <w:t>»Stva</w:t>
        <w:softHyphen/>
        <w:t>ranje i otkupljenje istinito je... samo uz pri</w:t>
        <w:softHyphen/>
        <w:t xml:space="preserve">sutnost objave. Održati objavu znači izdržati puninu odluke trenutka, znači odgovarati za trenutak: njega učiniti odgovornim«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22).</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Lil.: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14, ■’1978, 117-126; </w:t>
      </w:r>
      <w:r>
        <w:rPr>
          <w:color w:val="000000"/>
          <w:spacing w:val="0"/>
          <w:w w:val="100"/>
          <w:position w:val="0"/>
          <w:shd w:val="clear" w:color="auto" w:fill="auto"/>
        </w:rPr>
        <w:t xml:space="preserve">J. Maier, </w:t>
      </w:r>
      <w:r>
        <w:rPr>
          <w:i/>
          <w:iCs/>
          <w:color w:val="000000"/>
          <w:spacing w:val="0"/>
          <w:w w:val="100"/>
          <w:position w:val="0"/>
          <w:shd w:val="clear" w:color="auto" w:fill="auto"/>
        </w:rPr>
        <w:t>Geschichte dcrjudischen Religion,</w:t>
      </w:r>
      <w:r>
        <w:rPr>
          <w:color w:val="000000"/>
          <w:spacing w:val="0"/>
          <w:w w:val="100"/>
          <w:position w:val="0"/>
          <w:shd w:val="clear" w:color="auto" w:fill="auto"/>
        </w:rPr>
        <w:t xml:space="preserve"> 1972, 2&lt;J i d., 122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366 i d.; A. J. Hcschd, </w:t>
      </w:r>
      <w:r>
        <w:rPr>
          <w:i/>
          <w:iCs/>
          <w:color w:val="000000"/>
          <w:spacing w:val="0"/>
          <w:w w:val="100"/>
          <w:position w:val="0"/>
          <w:shd w:val="clear" w:color="auto" w:fill="auto"/>
        </w:rPr>
        <w:t>Gott ruche den Menschen,</w:t>
      </w:r>
      <w:r>
        <w:rPr>
          <w:color w:val="000000"/>
          <w:spacing w:val="0"/>
          <w:w w:val="100"/>
          <w:position w:val="0"/>
          <w:shd w:val="clear" w:color="auto" w:fill="auto"/>
        </w:rPr>
        <w:t xml:space="preserve"> 19fi0,142 i d.</w:t>
      </w:r>
    </w:p>
    <w:p>
      <w:pPr>
        <w:pStyle w:val="Style74"/>
        <w:keepNext w:val="0"/>
        <w:keepLines w:val="0"/>
        <w:widowControl w:val="0"/>
        <w:shd w:val="clear" w:color="auto" w:fill="auto"/>
        <w:bidi w:val="0"/>
        <w:spacing w:before="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O. VE TItR</w:t>
      </w:r>
    </w:p>
    <w:p>
      <w:pPr>
        <w:pStyle w:val="Style63"/>
        <w:keepNext/>
        <w:keepLines/>
        <w:widowControl w:val="0"/>
        <w:numPr>
          <w:ilvl w:val="0"/>
          <w:numId w:val="375"/>
        </w:numPr>
        <w:shd w:val="clear" w:color="auto" w:fill="auto"/>
        <w:tabs>
          <w:tab w:pos="260" w:val="left"/>
        </w:tabs>
        <w:bidi w:val="0"/>
        <w:spacing w:before="0" w:after="80" w:line="223" w:lineRule="auto"/>
        <w:ind w:left="0" w:right="0" w:firstLine="0"/>
        <w:jc w:val="both"/>
      </w:pPr>
      <w:bookmarkStart w:id="228" w:name="bookmark22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2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je novovjeki ključni pojam kršćanskog </w:t>
      </w:r>
      <w:r>
        <w:rPr>
          <w:rFonts w:ascii="Times New Roman" w:eastAsia="Times New Roman" w:hAnsi="Times New Roman" w:cs="Times New Roman"/>
          <w:color w:val="000000"/>
          <w:spacing w:val="0"/>
          <w:w w:val="100"/>
          <w:position w:val="0"/>
          <w:shd w:val="clear" w:color="auto" w:fill="auto"/>
          <w:lang w:val="en-US" w:eastAsia="en-US" w:bidi="en-US"/>
        </w:rPr>
        <w:t xml:space="preserve">sa- morazumijevanja. </w:t>
      </w:r>
      <w:r>
        <w:rPr>
          <w:rFonts w:ascii="Times New Roman" w:eastAsia="Times New Roman" w:hAnsi="Times New Roman" w:cs="Times New Roman"/>
          <w:color w:val="000000"/>
          <w:spacing w:val="0"/>
          <w:w w:val="100"/>
          <w:position w:val="0"/>
          <w:shd w:val="clear" w:color="auto" w:fill="auto"/>
          <w:lang w:val="hr-HR" w:eastAsia="hr-HR" w:bidi="hr-HR"/>
        </w:rPr>
        <w:t>Kao takav označava radi</w:t>
        <w:softHyphen/>
        <w:t>kalno i potpuno Božje samopriopćavanje svi</w:t>
        <w:softHyphen/>
        <w:t>jetu u utjelovljenju Isusa iz Nazareta. Tako se kršćanski pojam objave razlučuje od svih ne- kršćanskih religijsko-znanstvenih kao i nereli- gijskih i etimoloških shvaćanja objave. U sva</w:t>
        <w:softHyphen/>
        <w:t xml:space="preserve">kom slučaju o. nije bila u svim razdobljima povijesti kršćanstva središnji izraz za ono što je kršćanski razlikovno. Zato iako je o. danas kršćanski izraz za </w:t>
      </w:r>
      <w:r>
        <w:rPr>
          <w:rFonts w:ascii="Times New Roman" w:eastAsia="Times New Roman" w:hAnsi="Times New Roman" w:cs="Times New Roman"/>
          <w:i/>
          <w:iCs/>
          <w:color w:val="000000"/>
          <w:spacing w:val="0"/>
          <w:w w:val="100"/>
          <w:position w:val="0"/>
          <w:shd w:val="clear" w:color="auto" w:fill="auto"/>
          <w:lang w:val="hr-HR" w:eastAsia="hr-HR" w:bidi="hr-HR"/>
        </w:rPr>
        <w:t>Proprium Christianum,</w:t>
      </w:r>
      <w:r>
        <w:rPr>
          <w:rFonts w:ascii="Times New Roman" w:eastAsia="Times New Roman" w:hAnsi="Times New Roman" w:cs="Times New Roman"/>
          <w:color w:val="000000"/>
          <w:spacing w:val="0"/>
          <w:w w:val="100"/>
          <w:position w:val="0"/>
          <w:shd w:val="clear" w:color="auto" w:fill="auto"/>
          <w:lang w:val="hr-HR" w:eastAsia="hr-HR" w:bidi="hr-HR"/>
        </w:rPr>
        <w:t xml:space="preserve"> nisu nevažna ni ostala shvaćanja ukoliko, uspore</w:t>
        <w:softHyphen/>
        <w:t>đujući se s kršćanskim samorazumijevanjem, pomažu ostvariti njegovu komunikativnost.</w:t>
      </w:r>
    </w:p>
    <w:p>
      <w:pPr>
        <w:pStyle w:val="Style20"/>
        <w:keepNext w:val="0"/>
        <w:keepLines w:val="0"/>
        <w:widowControl w:val="0"/>
        <w:numPr>
          <w:ilvl w:val="0"/>
          <w:numId w:val="379"/>
        </w:numPr>
        <w:shd w:val="clear" w:color="auto" w:fill="auto"/>
        <w:tabs>
          <w:tab w:pos="274" w:val="left"/>
        </w:tabs>
        <w:bidi w:val="0"/>
        <w:spacing w:before="0" w:after="60"/>
        <w:ind w:left="0" w:right="0" w:firstLine="0"/>
        <w:jc w:val="both"/>
        <w:sectPr>
          <w:headerReference w:type="default" r:id="rId977"/>
          <w:footerReference w:type="default" r:id="rId978"/>
          <w:headerReference w:type="even" r:id="rId979"/>
          <w:footerReference w:type="even" r:id="rId980"/>
          <w:footnotePr>
            <w:pos w:val="pageBottom"/>
            <w:numFmt w:val="decimal"/>
            <w:numRestart w:val="continuous"/>
            <w15:footnoteColumns w:val="1"/>
          </w:footnotePr>
          <w:type w:val="continuous"/>
          <w:pgSz w:w="6816" w:h="11006"/>
          <w:pgMar w:top="992" w:left="171" w:right="179" w:bottom="534" w:header="0" w:footer="3" w:gutter="0"/>
          <w:cols w:num="2" w:space="173"/>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Biblijski:</w:t>
      </w:r>
      <w:r>
        <w:rPr>
          <w:rFonts w:ascii="Times New Roman" w:eastAsia="Times New Roman" w:hAnsi="Times New Roman" w:cs="Times New Roman"/>
          <w:color w:val="000000"/>
          <w:spacing w:val="0"/>
          <w:w w:val="100"/>
          <w:position w:val="0"/>
          <w:shd w:val="clear" w:color="auto" w:fill="auto"/>
          <w:lang w:val="hr-HR" w:eastAsia="hr-HR" w:bidi="hr-HR"/>
        </w:rPr>
        <w:t xml:space="preserve"> starozavjetno kao i novozavjetno izražava se Božje ophođenje s ljudima u povi</w:t>
        <w:softHyphen/>
        <w:t>jesti mnoštvom glagola radnje: Bog govori, dade se vidjeti, dade se osloviti, susreće kao prijatelj, ozdravljuje, pomaže, poziva u zajed</w:t>
        <w:softHyphen/>
        <w:t>ništvo sa sobom, blizu je. U iskustvima sa svojim Bogom izraelski narod uvida njegovu sveobuhvatnu moć i isto ga tako priznaje kao Stvoritelja neba i zemlje kao što priznaje oče</w:t>
        <w:softHyphen/>
        <w:t>kivanje konačnog objavljivanja Božjega kra</w:t>
        <w:softHyphen/>
        <w:t xml:space="preserve">ljevstva na kraju vremena. Taj se kraj opisuje grč. terminom </w:t>
      </w:r>
      <w:r>
        <w:rPr>
          <w:rFonts w:ascii="Times New Roman" w:eastAsia="Times New Roman" w:hAnsi="Times New Roman" w:cs="Times New Roman"/>
          <w:color w:val="000000"/>
          <w:spacing w:val="0"/>
          <w:w w:val="100"/>
          <w:position w:val="0"/>
          <w:shd w:val="clear" w:color="auto" w:fill="auto"/>
          <w:lang w:val="en-US" w:eastAsia="en-US" w:bidi="en-US"/>
        </w:rPr>
        <w:t xml:space="preserve">»apokalyptein, apokalypsis« </w:t>
      </w:r>
      <w:r>
        <w:rPr>
          <w:rFonts w:ascii="Times New Roman" w:eastAsia="Times New Roman" w:hAnsi="Times New Roman" w:cs="Times New Roman"/>
          <w:color w:val="000000"/>
          <w:spacing w:val="0"/>
          <w:w w:val="100"/>
          <w:position w:val="0"/>
          <w:shd w:val="clear" w:color="auto" w:fill="auto"/>
          <w:lang w:val="hr-HR" w:eastAsia="hr-HR" w:bidi="hr-HR"/>
        </w:rPr>
        <w:t>= objaviti, o., naime, otkrivanje stvarnosti Boga i ljudi, povijesti, u uskrsnuću mrtvih i na sudu. Središnji lik »apokalipse« (lat. revelatio) bio je Sin čovječji koji je novozavjetno izjednačen s Isusom iz Nazareta. Važan obrat u predodžbi objave učinilo je usmjeravanje pogleda na smrt na križu trpećeg Sina čovječjega koji Božju bit nije objavio u moći nego nemoći kao ne</w:t>
        <w:softHyphen/>
        <w:t>objašnjivu, neizmjernu ljubav. Današnjim teo</w:t>
        <w:softHyphen/>
        <w:t>loškim rječnikom to bi se reklo: Radikalno Isusovo samoponištenje (usp. Fil 2) potvrđuje</w:t>
      </w:r>
    </w:p>
    <w:p>
      <w:pPr>
        <w:pStyle w:val="Style85"/>
        <w:keepNext w:val="0"/>
        <w:keepLines w:val="0"/>
        <w:widowControl w:val="0"/>
        <w:pBdr>
          <w:bottom w:val="single" w:sz="4" w:space="0" w:color="auto"/>
        </w:pBdr>
        <w:shd w:val="clear" w:color="auto" w:fill="auto"/>
        <w:bidi w:val="0"/>
        <w:spacing w:before="0" w:after="0" w:line="240" w:lineRule="auto"/>
        <w:ind w:left="0" w:right="0" w:firstLine="0"/>
        <w:jc w:val="left"/>
        <w:sectPr>
          <w:headerReference w:type="default" r:id="rId981"/>
          <w:footerReference w:type="default" r:id="rId982"/>
          <w:headerReference w:type="even" r:id="rId983"/>
          <w:footerReference w:type="even" r:id="rId984"/>
          <w:footnotePr>
            <w:pos w:val="pageBottom"/>
            <w:numFmt w:val="decimal"/>
            <w:numRestart w:val="continuous"/>
            <w15:footnoteColumns w:val="1"/>
          </w:footnotePr>
          <w:pgSz w:w="6816" w:h="11006"/>
          <w:pgMar w:top="643" w:left="202" w:right="221" w:bottom="285" w:header="215" w:footer="3" w:gutter="0"/>
          <w:pgNumType w:start="328"/>
          <w:cols w:space="720"/>
          <w:noEndnote/>
          <w:rtlGutter w:val="0"/>
          <w:docGrid w:linePitch="360"/>
        </w:sectPr>
      </w:pPr>
      <w:r>
        <w:rPr>
          <w:color w:val="000000"/>
          <w:spacing w:val="0"/>
          <w:w w:val="100"/>
          <w:position w:val="0"/>
          <w:shd w:val="clear" w:color="auto" w:fill="auto"/>
          <w:lang w:val="hr-HR" w:eastAsia="hr-HR" w:bidi="hr-HR"/>
        </w:rPr>
        <w:t>objava</w:t>
      </w:r>
    </w:p>
    <w:p>
      <w:pPr>
        <w:widowControl w:val="0"/>
        <w:spacing w:line="48" w:lineRule="exact"/>
        <w:rPr>
          <w:sz w:val="4"/>
          <w:szCs w:val="4"/>
        </w:rPr>
      </w:pPr>
    </w:p>
    <w:p>
      <w:pPr>
        <w:widowControl w:val="0"/>
        <w:spacing w:line="1" w:lineRule="exact"/>
        <w:sectPr>
          <w:footnotePr>
            <w:pos w:val="pageBottom"/>
            <w:numFmt w:val="decimal"/>
            <w:numRestart w:val="continuous"/>
            <w15:footnoteColumns w:val="1"/>
          </w:footnotePr>
          <w:type w:val="continuous"/>
          <w:pgSz w:w="6816" w:h="11006"/>
          <w:pgMar w:top="786" w:left="0" w:right="0" w:bottom="342" w:header="0" w:footer="3" w:gutter="0"/>
          <w:cols w:space="720"/>
          <w:noEndnote/>
          <w:rtlGutter w:val="0"/>
          <w:docGrid w:linePitch="360"/>
        </w:sectPr>
      </w:pP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 kao temelj radikalnoga Božjeg samopriop- ćavanja u kojem on ne objavljuje ni ne pre</w:t>
        <w:softHyphen/>
        <w:t xml:space="preserve">daje </w:t>
      </w:r>
      <w:r>
        <w:rPr>
          <w:rFonts w:ascii="Times New Roman" w:eastAsia="Times New Roman" w:hAnsi="Times New Roman" w:cs="Times New Roman"/>
          <w:i/>
          <w:iCs/>
          <w:color w:val="000000"/>
          <w:spacing w:val="0"/>
          <w:w w:val="100"/>
          <w:position w:val="0"/>
          <w:shd w:val="clear" w:color="auto" w:fill="auto"/>
          <w:lang w:val="hr-HR" w:eastAsia="hr-HR" w:bidi="hr-HR"/>
        </w:rPr>
        <w:t>nešto</w:t>
      </w:r>
      <w:r>
        <w:rPr>
          <w:rFonts w:ascii="Times New Roman" w:eastAsia="Times New Roman" w:hAnsi="Times New Roman" w:cs="Times New Roman"/>
          <w:color w:val="000000"/>
          <w:spacing w:val="0"/>
          <w:w w:val="100"/>
          <w:position w:val="0"/>
          <w:shd w:val="clear" w:color="auto" w:fill="auto"/>
          <w:lang w:val="hr-HR" w:eastAsia="hr-HR" w:bidi="hr-HR"/>
        </w:rPr>
        <w:t xml:space="preserve"> od sebe, nego nenadmašivo .raznoga </w:t>
      </w:r>
      <w:r>
        <w:rPr>
          <w:rFonts w:ascii="Times New Roman" w:eastAsia="Times New Roman" w:hAnsi="Times New Roman" w:cs="Times New Roman"/>
          <w:i/>
          <w:iCs/>
          <w:color w:val="000000"/>
          <w:spacing w:val="0"/>
          <w:w w:val="100"/>
          <w:position w:val="0"/>
          <w:shd w:val="clear" w:color="auto" w:fill="auto"/>
          <w:lang w:val="hr-HR" w:eastAsia="hr-HR" w:bidi="hr-HR"/>
        </w:rPr>
        <w:t>sebe</w:t>
      </w:r>
      <w:r>
        <w:rPr>
          <w:rFonts w:ascii="Times New Roman" w:eastAsia="Times New Roman" w:hAnsi="Times New Roman" w:cs="Times New Roman"/>
          <w:color w:val="000000"/>
          <w:spacing w:val="0"/>
          <w:w w:val="100"/>
          <w:position w:val="0"/>
          <w:shd w:val="clear" w:color="auto" w:fill="auto"/>
          <w:lang w:val="hr-HR" w:eastAsia="hr-HR" w:bidi="hr-HR"/>
        </w:rPr>
        <w:t xml:space="preserve"> u svom biću. O. je tako, po tom shva</w:t>
        <w:softHyphen/>
        <w:t>ćanju, iskaz o samome Bogu koji se čovjeku i svijetu pozitivno objavljuje kao njihov spas i - nakon čovjekova grijeha - kao otkupljenje od grijeha, krivnje i smrti, kao neiscrpna ljubav i to ni iz kakva drugog razloga osim ovoga: samo je Božje biće - trostruko - očigledna ljubav.</w:t>
      </w:r>
    </w:p>
    <w:p>
      <w:pPr>
        <w:pStyle w:val="Style20"/>
        <w:keepNext w:val="0"/>
        <w:keepLines w:val="0"/>
        <w:widowControl w:val="0"/>
        <w:numPr>
          <w:ilvl w:val="0"/>
          <w:numId w:val="379"/>
        </w:numPr>
        <w:shd w:val="clear" w:color="auto" w:fill="auto"/>
        <w:tabs>
          <w:tab w:pos="274"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Povijesno-teološki:</w:t>
      </w:r>
      <w:r>
        <w:rPr>
          <w:rFonts w:ascii="Times New Roman" w:eastAsia="Times New Roman" w:hAnsi="Times New Roman" w:cs="Times New Roman"/>
          <w:color w:val="000000"/>
          <w:spacing w:val="0"/>
          <w:w w:val="100"/>
          <w:position w:val="0"/>
          <w:shd w:val="clear" w:color="auto" w:fill="auto"/>
          <w:lang w:val="hr-HR" w:eastAsia="hr-HR" w:bidi="hr-HR"/>
        </w:rPr>
        <w:t xml:space="preserve"> Koncentracija kršćan</w:t>
        <w:softHyphen/>
        <w:t>skog samorazumijevanja u objavi nije dakako izvorne vrste. Povijesno-teološki treba pripa</w:t>
        <w:softHyphen/>
        <w:t>ziti na sljedeće momente: apokaliptičko ozrač</w:t>
        <w:softHyphen/>
        <w:t>je očekivanja i razmišljanja vrlo je brzo nakon Isusove smrti bilo potisnuto u onoj mjeri u ko</w:t>
        <w:softHyphen/>
        <w:t>joj je izostalo s njim povezano skoro očeki</w:t>
        <w:softHyphen/>
        <w:t>vanje konačnoga Božjeg pojavljivanja nakon Isusove smrti. Na višestruk je način ostala dje</w:t>
        <w:softHyphen/>
        <w:t>lotvorna svijest o jednom u njegovim grani</w:t>
        <w:softHyphen/>
        <w:t>cama, njegovu početku i kraju povijesno ne</w:t>
        <w:softHyphen/>
        <w:t>dohvatljivom okviru, unutar kojega se odigra</w:t>
        <w:softHyphen/>
        <w:t>va međuvrijeme, povijest koja se za kršćanina nalazi pod trajnim utjecajem, odnosno u traj</w:t>
        <w:softHyphen/>
        <w:t>noj prisutnosti Gospodina koji već stoji i živi na apokaliptičkom svršetku (»Isusovo uskrsnu</w:t>
        <w:softHyphen/>
        <w:t>će«) i ta povijest konkretno iz njegove riječi i sakramenta (prije svega euharistije) živi i ostvaruje svoj spas. Prakršćanska napetost iz</w:t>
        <w:softHyphen/>
        <w:t>među ‘već’ i ‘još ne’ bila je skraćena u korist onoga ‘već’.</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Time o. više nije bila događaj koji treba očeki</w:t>
        <w:softHyphen/>
        <w:t>vati, odnosno i u sadašnjosti uvijek iznova pri</w:t>
        <w:softHyphen/>
        <w:t>mjećivati; umjesto toga ona je bila svedena na spoznajno područje - očevidno u atribut vjer</w:t>
        <w:softHyphen/>
        <w:t>skog sadržaja: objavljeno učenje u suprotnosti s postignutom, »naravnom« Božjom spozna</w:t>
        <w:softHyphen/>
        <w:t>jom na putu čovjekove umne djelatnosti. U raspravi oko izvora ovog objavljenog učenja jednom je bila riječ o Svetom pismu, koje je bilo predstavljeno kao od samoga Boga ostva</w:t>
        <w:softHyphen/>
        <w:t>ren (»nadahnut«) izraz božanskog objavljiva</w:t>
        <w:softHyphen/>
        <w:t>nja, a drugi put o procesu izlaganja i usvajanja Svetoga pisma, odnosno o predaji (»tradiciji«) koja se poslije reformacije manje držala kao događaj a više kao dodatni izvor koji posre</w:t>
        <w:softHyphen/>
        <w:t>duje sadržaj. Koncentracija na spoznajno pod</w:t>
        <w:softHyphen/>
        <w:t>ručje dovela je do toga da se o. pretežito pro</w:t>
        <w:softHyphen/>
        <w:t>matrala pod vidom riječi. O. je, prema tomu, bila riječ Božja pri čemu je spekulativno bav</w:t>
        <w:softHyphen/>
        <w:t>ljenje riječju dugo vremena prekrivalo kon</w:t>
        <w:softHyphen/>
      </w:r>
      <w:r>
        <w:rPr>
          <w:rFonts w:ascii="Times New Roman" w:eastAsia="Times New Roman" w:hAnsi="Times New Roman" w:cs="Times New Roman"/>
          <w:color w:val="000000"/>
          <w:spacing w:val="0"/>
          <w:w w:val="100"/>
          <w:position w:val="0"/>
          <w:shd w:val="clear" w:color="auto" w:fill="auto"/>
          <w:lang w:val="hr-HR" w:eastAsia="hr-HR" w:bidi="hr-HR"/>
        </w:rPr>
        <w:t>kretno biblijsko podrijetlo kršćanskog razumi</w:t>
        <w:softHyphen/>
        <w:t>jevanja riječi.</w:t>
      </w:r>
    </w:p>
    <w:p>
      <w:pPr>
        <w:pStyle w:val="Style20"/>
        <w:keepNext w:val="0"/>
        <w:keepLines w:val="0"/>
        <w:widowControl w:val="0"/>
        <w:shd w:val="clear" w:color="auto" w:fill="auto"/>
        <w:bidi w:val="0"/>
        <w:spacing w:before="0" w:after="0"/>
        <w:ind w:left="0" w:right="0" w:firstLine="0"/>
        <w:jc w:val="both"/>
        <w:sectPr>
          <w:footnotePr>
            <w:pos w:val="pageBottom"/>
            <w:numFmt w:val="decimal"/>
            <w:numRestart w:val="continuous"/>
            <w15:footnoteColumns w:val="1"/>
          </w:footnotePr>
          <w:type w:val="continuous"/>
          <w:pgSz w:w="6816" w:h="11006"/>
          <w:pgMar w:top="786" w:left="193" w:right="196" w:bottom="342" w:header="0" w:footer="3" w:gutter="0"/>
          <w:cols w:num="2" w:space="19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Novo usmjerenje kršćanskog razumijevanja objave treba pripisati vremenu nakon prosvje</w:t>
        <w:softHyphen/>
        <w:t>titeljstva u kojem su međusobno bile u supar</w:t>
        <w:softHyphen/>
        <w:t>ništvu »jasnoća« i »osvjetljenje«: »Prosvjeti</w:t>
        <w:softHyphen/>
        <w:t>teljstvo« uz pomoć svjetla ljudskog uma i »jas</w:t>
        <w:softHyphen/>
        <w:t>noća« koju jedino Bog može darovati čovjeku uz pomoć svjetla svoje objave. Odlučni obrat od poučavateljsko-teoretskoga do »osobno kva</w:t>
        <w:softHyphen/>
        <w:t>lificiranog komunikacijsko-teoretskog razumi</w:t>
        <w:softHyphen/>
        <w:t>jevanja objave« (M. Seckler) izvršilo se tada paralelno uz kritičko bavljenje s prosvijetlje</w:t>
        <w:softHyphen/>
        <w:t>nom uporabom uma. Jer, prosvijetljeni je um gubio u onoj mjeri svoju bezuvjetnost u kojoj je čovjek postajao svjestan povijesne uvjetova</w:t>
        <w:softHyphen/>
        <w:t>nosti svoje uporabe uma i tako je ljudski um bio upućen natrag u svoju konačnost. Djelo</w:t>
        <w:softHyphen/>
        <w:t xml:space="preserve">mično i za Crkvu mučan proces (modernizam, </w:t>
      </w:r>
      <w:r>
        <w:rPr>
          <w:rFonts w:ascii="Times New Roman" w:eastAsia="Times New Roman" w:hAnsi="Times New Roman" w:cs="Times New Roman"/>
          <w:i/>
          <w:iCs/>
          <w:color w:val="000000"/>
          <w:spacing w:val="0"/>
          <w:w w:val="100"/>
          <w:position w:val="0"/>
          <w:shd w:val="clear" w:color="auto" w:fill="auto"/>
          <w:lang w:val="hr-HR" w:eastAsia="hr-HR" w:bidi="hr-HR"/>
        </w:rPr>
        <w:t>Nouvelle thćologie)</w:t>
      </w:r>
      <w:r>
        <w:rPr>
          <w:rFonts w:ascii="Times New Roman" w:eastAsia="Times New Roman" w:hAnsi="Times New Roman" w:cs="Times New Roman"/>
          <w:color w:val="000000"/>
          <w:spacing w:val="0"/>
          <w:w w:val="100"/>
          <w:position w:val="0"/>
          <w:shd w:val="clear" w:color="auto" w:fill="auto"/>
          <w:lang w:val="hr-HR" w:eastAsia="hr-HR" w:bidi="hr-HR"/>
        </w:rPr>
        <w:t xml:space="preserve"> doveo je na Drugom vati</w:t>
        <w:softHyphen/>
        <w:t xml:space="preserve">kanskom koncilu do jednog u stanovitoj mjeri zaključnog formuliranja objave u 1. poglavlju Dogmatske konstitucije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Dei </w:t>
      </w:r>
      <w:r>
        <w:rPr>
          <w:rFonts w:ascii="Times New Roman" w:eastAsia="Times New Roman" w:hAnsi="Times New Roman" w:cs="Times New Roman"/>
          <w:i/>
          <w:iCs/>
          <w:color w:val="000000"/>
          <w:spacing w:val="0"/>
          <w:w w:val="100"/>
          <w:position w:val="0"/>
          <w:shd w:val="clear" w:color="auto" w:fill="auto"/>
          <w:lang w:val="hr-HR" w:eastAsia="hr-HR" w:bidi="hr-HR"/>
        </w:rPr>
        <w:t>Verbum.</w:t>
      </w:r>
      <w:r>
        <w:rPr>
          <w:rFonts w:ascii="Times New Roman" w:eastAsia="Times New Roman" w:hAnsi="Times New Roman" w:cs="Times New Roman"/>
          <w:color w:val="000000"/>
          <w:spacing w:val="0"/>
          <w:w w:val="100"/>
          <w:position w:val="0"/>
          <w:shd w:val="clear" w:color="auto" w:fill="auto"/>
          <w:lang w:val="hr-HR" w:eastAsia="hr-HR" w:bidi="hr-HR"/>
        </w:rPr>
        <w:t xml:space="preserve"> Novo u </w:t>
      </w:r>
      <w:r>
        <w:rPr>
          <w:rFonts w:ascii="Times New Roman" w:eastAsia="Times New Roman" w:hAnsi="Times New Roman" w:cs="Times New Roman"/>
          <w:i/>
          <w:iCs/>
          <w:color w:val="000000"/>
          <w:spacing w:val="0"/>
          <w:w w:val="100"/>
          <w:position w:val="0"/>
          <w:shd w:val="clear" w:color="auto" w:fill="auto"/>
          <w:lang w:val="hr-HR" w:eastAsia="hr-HR" w:bidi="hr-HR"/>
        </w:rPr>
        <w:t>Dei Verbum,</w:t>
      </w:r>
      <w:r>
        <w:rPr>
          <w:rFonts w:ascii="Times New Roman" w:eastAsia="Times New Roman" w:hAnsi="Times New Roman" w:cs="Times New Roman"/>
          <w:color w:val="000000"/>
          <w:spacing w:val="0"/>
          <w:w w:val="100"/>
          <w:position w:val="0"/>
          <w:shd w:val="clear" w:color="auto" w:fill="auto"/>
          <w:lang w:val="hr-HR" w:eastAsia="hr-HR" w:bidi="hr-HR"/>
        </w:rPr>
        <w:t xml:space="preserve"> 1. poglavlje, nije toliko njegov sadržaj koliko način na koji je on izrečen. O. je, kao što se razvija iz biblijskoga temeljnog razumijevanja, međusoban susret Boga s čo</w:t>
        <w:softHyphen/>
        <w:t>vjekom, čovječanstvom, na kojem Bog priop</w:t>
        <w:softHyphen/>
        <w:t xml:space="preserve">ćava </w:t>
      </w:r>
      <w:r>
        <w:rPr>
          <w:rFonts w:ascii="Times New Roman" w:eastAsia="Times New Roman" w:hAnsi="Times New Roman" w:cs="Times New Roman"/>
          <w:i/>
          <w:iCs/>
          <w:color w:val="000000"/>
          <w:spacing w:val="0"/>
          <w:w w:val="100"/>
          <w:position w:val="0"/>
          <w:shd w:val="clear" w:color="auto" w:fill="auto"/>
          <w:lang w:val="hr-HR" w:eastAsia="hr-HR" w:bidi="hr-HR"/>
        </w:rPr>
        <w:t>samoga sebe</w:t>
      </w:r>
      <w:r>
        <w:rPr>
          <w:rFonts w:ascii="Times New Roman" w:eastAsia="Times New Roman" w:hAnsi="Times New Roman" w:cs="Times New Roman"/>
          <w:color w:val="000000"/>
          <w:spacing w:val="0"/>
          <w:w w:val="100"/>
          <w:position w:val="0"/>
          <w:shd w:val="clear" w:color="auto" w:fill="auto"/>
          <w:lang w:val="hr-HR" w:eastAsia="hr-HR" w:bidi="hr-HR"/>
        </w:rPr>
        <w:t xml:space="preserve"> ljudima za njihovo spasenje. O. se ispunjava povijesno »u riječima i dje</w:t>
        <w:softHyphen/>
        <w:t>lima«. Sama sc povijest opisuje od svoga po</w:t>
        <w:softHyphen/>
        <w:t>četka kao povijest božanskoga spasenjskog dara u kojem sam Bog privodi svijet njegovu vrhuncu, samopriopćenju Boga u Isusu iz Na- zareta. »Sveukupnom svojom prisutnošću i pojavom, riječima i djelima, znacima i čudesi</w:t>
        <w:softHyphen/>
        <w:t>ma, a osobito svojom smrću i slavnim uskrs</w:t>
        <w:softHyphen/>
        <w:t>nućem od mrtvih i konačno poslanjem Duha istine - On objavi daje puninu i dovršava je te je božanskim svjedočanstvom potvrđuje: Bog je s nama da nas iz tmina grijeha i smrti oslo</w:t>
        <w:softHyphen/>
        <w:t>bodi i na vječni život uskrisi« (br. 4). O. ovdje više ne kazuje neku dodatnu spoznaju nego radikalno zajedništvo (»komuniju« i komuni</w:t>
        <w:softHyphen/>
        <w:t>kaciju) čovjeka s Bogom iz radikalnog zajed</w:t>
        <w:softHyphen/>
        <w:t>ništva Boga s čovjekom (»inkarnacija«). Do</w:t>
        <w:softHyphen/>
        <w:t>duše, samo Božje utjelovljenje ne dopušta više nikakvu ponudu (u tom je smislu o. zaključe</w:t>
        <w:softHyphen/>
        <w:t>na), ali je utoliko nedovršeno ukoliko je trajni poziv ljudima da na svoj način u svom životu utjelovljuju Božje utjelovljenje u nasljedova</w:t>
        <w:softHyphen/>
        <w:t>nju Isusa.</w:t>
      </w:r>
    </w:p>
    <w:p>
      <w:pPr>
        <w:pStyle w:val="Style20"/>
        <w:keepNext w:val="0"/>
        <w:keepLines w:val="0"/>
        <w:widowControl w:val="0"/>
        <w:numPr>
          <w:ilvl w:val="0"/>
          <w:numId w:val="379"/>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»Riječju-djclom«:</w:t>
      </w:r>
      <w:r>
        <w:rPr>
          <w:rFonts w:ascii="Times New Roman" w:eastAsia="Times New Roman" w:hAnsi="Times New Roman" w:cs="Times New Roman"/>
          <w:color w:val="000000"/>
          <w:spacing w:val="0"/>
          <w:w w:val="100"/>
          <w:position w:val="0"/>
          <w:shd w:val="clear" w:color="auto" w:fill="auto"/>
          <w:lang w:val="hr-HR" w:eastAsia="hr-HR" w:bidi="hr-HR"/>
        </w:rPr>
        <w:t xml:space="preserve"> U središtu uobičajenoga normativnog pojma objave u današnjem navi- jcšlanju i teologiji stoji meduosobnost Boga i čovjeka koja proizlazi iz Božje inicijative koja je konstitutivna za židovsko-kršćanski odnos: Bog - čovjek, i precizirana je u kršćanskom shvaćanju. No, meduosobnost je obilježena i povezanošću riječi i djela, riječi i života, riječi i šutnje. Predstavljenosl objave riječju i dje</w:t>
        <w:softHyphen/>
        <w:t>lom kao Božjeg samopriopćavanja u dotičnoj sadašnjosti poziva na njezino zapažanje kao i na pravila razlikovanja. Radikalnosti današ</w:t>
        <w:softHyphen/>
        <w:t>njega kršćanskog shvaćanja objave pridružuje se njegova »relativnost« utoliko što i današnje radikalno shvaćanje objave uvijek stoji u od</w:t>
        <w:softHyphen/>
        <w:t>nosu na ranija, drugačija kršćanska kao i iz- vankršćanska shvaćanja objave, a toj radikal</w:t>
        <w:softHyphen/>
        <w:t>nosti bitno pripada »estetika« kao prosuđiva</w:t>
        <w:softHyphen/>
        <w:t>nje onoga što se označava kao »o.« i uostalom iz relativnosti »prema natrag« slijedi takva relativnost »prema naprijed«, jer ono što je osebujno kršćansko mora biti uvedeno na da</w:t>
        <w:softHyphen/>
        <w:t>našnje područje »estetskoga«, tj. područje da</w:t>
        <w:softHyphen/>
        <w:t>našnjeg zapažanja i iskustva.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Povezanost objave i estetike objašnjava da za</w:t>
        <w:softHyphen/>
        <w:t>pažanje objave uza sve naglašavanje »sluša</w:t>
        <w:softHyphen/>
        <w:t>telja riječi« uvijek nadvisuje riječ. Govor o ob</w:t>
        <w:softHyphen/>
        <w:t>javi po svojstvu je blizak govoru o iskustvu Boga i priopćava se u znakovima, simbolima, uputama, aporetskim kao i prospektivnim, u situacijama otvaranja ljudskog života, u sjeća</w:t>
        <w:softHyphen/>
        <w:t>njima i sudjelovanju u tuđem iskustvu koje se narativno posreduje, u kultnoj anamnezi i os</w:t>
        <w:softHyphen/>
        <w:t>talome. Estetika na koju mislimo artikulira se ujedno u pozivima da poštujemo život koji se osmišljeno živi. Ona vodi iznad područja iz</w:t>
        <w:softHyphen/>
        <w:t>ričite religije i religioznosti i dopušta da se poštuju mnogostruki načini poziva na ljudsko ispunjenje života i - analogno - na spasenje. Pluralnost proživljenih pokušaja da nađemo smisao, zrcali se i u množini »objava«. Upravo zato jer o. nije izvorno kršćanski pojam nego ju je kršćanstvo preuzelo i ispunilo svojim sre</w:t>
        <w:softHyphen/>
        <w:t>dišnjim sadržajem, ne može kršćanstvo osta</w:t>
        <w:softHyphen/>
        <w:t>lim religijama jednostavno zabraniti njihovo pravo na objavu. Može samo pokušati, pred- kršćanski kao i postkršćanski, pridružiti ob</w:t>
        <w:softHyphen/>
        <w:t>jave vlastitom shvaćanju objave, razlikovati nju od ostalih i učiniti vlastite kriterije razliko</w:t>
        <w:softHyphen/>
        <w:t>vanja drugima razumljivima. Upravo zato jer se kršćansko prisvajanje prava na objavu udružuje s prisvajanjem prava na opću valja</w:t>
        <w:softHyphen/>
      </w:r>
      <w:r>
        <w:rPr>
          <w:rFonts w:ascii="Times New Roman" w:eastAsia="Times New Roman" w:hAnsi="Times New Roman" w:cs="Times New Roman"/>
          <w:color w:val="000000"/>
          <w:spacing w:val="0"/>
          <w:w w:val="100"/>
          <w:position w:val="0"/>
          <w:shd w:val="clear" w:color="auto" w:fill="auto"/>
          <w:lang w:val="hr-HR" w:eastAsia="hr-HR" w:bidi="hr-HR"/>
        </w:rPr>
        <w:t>nost, kršćanstvo je postavljeno pred zadaću ne samo teoretski utvrđivati tu opću valjanost ne</w:t>
        <w:softHyphen/>
        <w:t>go je i praktički pokazati »riječju-djclom« kao ostvarivu, gledajući na Isusa iz Nazarcta.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HDG 1,1a i b (Gcscbichtc des chrtstlichcn Offenba- mngsbcgntts); W. Panncnbcrg (Hrsg.), </w:t>
      </w:r>
      <w:r>
        <w:rPr>
          <w:i/>
          <w:iCs/>
          <w:color w:val="000000"/>
          <w:spacing w:val="0"/>
          <w:w w:val="100"/>
          <w:position w:val="0"/>
          <w:shd w:val="clear" w:color="auto" w:fill="auto"/>
          <w:lang w:val="hr-HR" w:eastAsia="hr-HR" w:bidi="hr-HR"/>
        </w:rPr>
        <w:t>Offenbarung als Ge- schichle,</w:t>
      </w:r>
      <w:r>
        <w:rPr>
          <w:color w:val="000000"/>
          <w:spacing w:val="0"/>
          <w:w w:val="100"/>
          <w:position w:val="0"/>
          <w:shd w:val="clear" w:color="auto" w:fill="auto"/>
          <w:lang w:val="hr-HR" w:eastAsia="hr-HR" w:bidi="hr-HR"/>
        </w:rPr>
        <w:t xml:space="preserve"> Gullingen (1961), 1982; P. Eichcr. </w:t>
      </w:r>
      <w:r>
        <w:rPr>
          <w:i/>
          <w:iCs/>
          <w:color w:val="000000"/>
          <w:spacing w:val="0"/>
          <w:w w:val="100"/>
          <w:position w:val="0"/>
          <w:shd w:val="clear" w:color="auto" w:fill="auto"/>
          <w:lang w:val="hr-HR" w:eastAsia="hr-HR" w:bidi="hr-HR"/>
        </w:rPr>
        <w:t xml:space="preserve">Offenbantng, </w:t>
      </w:r>
      <w:r>
        <w:rPr>
          <w:color w:val="000000"/>
          <w:spacing w:val="0"/>
          <w:w w:val="100"/>
          <w:position w:val="0"/>
          <w:shd w:val="clear" w:color="auto" w:fill="auto"/>
          <w:lang w:val="hr-HR" w:eastAsia="hr-HR" w:bidi="hr-HR"/>
        </w:rPr>
        <w:t xml:space="preserve">Munchcn 1977; M. Secklcr, </w:t>
      </w:r>
      <w:r>
        <w:rPr>
          <w:i/>
          <w:iCs/>
          <w:color w:val="000000"/>
          <w:spacing w:val="0"/>
          <w:w w:val="100"/>
          <w:position w:val="0"/>
          <w:shd w:val="clear" w:color="auto" w:fill="auto"/>
          <w:lang w:val="hr-HR" w:eastAsia="hr-HR" w:bidi="hr-HR"/>
        </w:rPr>
        <w:t xml:space="preserve">Aufkldrung und Offenbarung: Chrisllichrr </w:t>
      </w:r>
      <w:r>
        <w:rPr>
          <w:i/>
          <w:iCs/>
          <w:color w:val="000000"/>
          <w:spacing w:val="0"/>
          <w:w w:val="100"/>
          <w:position w:val="0"/>
          <w:shd w:val="clear" w:color="auto" w:fill="auto"/>
        </w:rPr>
        <w:t xml:space="preserve">Gtautx in </w:t>
      </w:r>
      <w:r>
        <w:rPr>
          <w:i/>
          <w:iCs/>
          <w:color w:val="000000"/>
          <w:spacing w:val="0"/>
          <w:w w:val="100"/>
          <w:position w:val="0"/>
          <w:shd w:val="clear" w:color="auto" w:fill="auto"/>
          <w:lang w:val="hr-HR" w:eastAsia="hr-HR" w:bidi="hr-HR"/>
        </w:rPr>
        <w:t>moderner Gesellschafl</w:t>
      </w:r>
      <w:r>
        <w:rPr>
          <w:color w:val="000000"/>
          <w:spacing w:val="0"/>
          <w:w w:val="100"/>
          <w:position w:val="0"/>
          <w:shd w:val="clear" w:color="auto" w:fill="auto"/>
          <w:lang w:val="hr-HR" w:eastAsia="hr-HR" w:bidi="hr-HR"/>
        </w:rPr>
        <w:t xml:space="preserve"> 21, 6-78; W. </w:t>
      </w:r>
      <w:r>
        <w:rPr>
          <w:color w:val="000000"/>
          <w:spacing w:val="0"/>
          <w:w w:val="100"/>
          <w:position w:val="0"/>
          <w:shd w:val="clear" w:color="auto" w:fill="auto"/>
        </w:rPr>
        <w:t xml:space="preserve">Strok'S. </w:t>
      </w:r>
      <w:r>
        <w:rPr>
          <w:color w:val="000000"/>
          <w:spacing w:val="0"/>
          <w:w w:val="100"/>
          <w:position w:val="0"/>
          <w:shd w:val="clear" w:color="auto" w:fill="auto"/>
          <w:lang w:val="hr-HR" w:eastAsia="hr-HR" w:bidi="hr-HR"/>
        </w:rPr>
        <w:t xml:space="preserve">Ucda (Hrsg.), </w:t>
      </w:r>
      <w:r>
        <w:rPr>
          <w:i/>
          <w:iCs/>
          <w:color w:val="000000"/>
          <w:spacing w:val="0"/>
          <w:w w:val="100"/>
          <w:position w:val="0"/>
          <w:shd w:val="clear" w:color="auto" w:fill="auto"/>
          <w:lang w:val="hr-HR" w:eastAsia="hr-HR" w:bidi="hr-HR"/>
        </w:rPr>
        <w:t>Offenbarung als Heitserfatvung im Chrisienlum, llinduismus und Buddhismus,</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1982; II. </w:t>
      </w:r>
      <w:r>
        <w:rPr>
          <w:color w:val="000000"/>
          <w:spacing w:val="0"/>
          <w:w w:val="100"/>
          <w:position w:val="0"/>
          <w:shd w:val="clear" w:color="auto" w:fill="auto"/>
        </w:rPr>
        <w:t xml:space="preserve">Walllcnfcls, </w:t>
      </w:r>
      <w:r>
        <w:rPr>
          <w:i/>
          <w:iCs/>
          <w:color w:val="000000"/>
          <w:spacing w:val="0"/>
          <w:w w:val="100"/>
          <w:position w:val="0"/>
          <w:shd w:val="clear" w:color="auto" w:fill="auto"/>
        </w:rPr>
        <w:t xml:space="preserve">Kontestuelle </w:t>
      </w:r>
      <w:r>
        <w:rPr>
          <w:i/>
          <w:iCs/>
          <w:color w:val="000000"/>
          <w:spacing w:val="0"/>
          <w:w w:val="100"/>
          <w:position w:val="0"/>
          <w:shd w:val="clear" w:color="auto" w:fill="auto"/>
          <w:lang w:val="hr-HR" w:eastAsia="hr-HR" w:bidi="hr-HR"/>
        </w:rPr>
        <w:t>Fundammlallhi'ologia,</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Pader</w:t>
        <w:softHyphen/>
        <w:t xml:space="preserve">born </w:t>
      </w:r>
      <w:r>
        <w:rPr>
          <w:color w:val="000000"/>
          <w:spacing w:val="0"/>
          <w:w w:val="100"/>
          <w:position w:val="0"/>
          <w:shd w:val="clear" w:color="auto" w:fill="auto"/>
          <w:lang w:val="hr-HR" w:eastAsia="hr-HR" w:bidi="hr-HR"/>
        </w:rPr>
        <w:t xml:space="preserve">1985, </w:t>
      </w:r>
      <w:r>
        <w:rPr>
          <w:color w:val="000000"/>
          <w:spacing w:val="0"/>
          <w:w w:val="100"/>
          <w:position w:val="0"/>
          <w:shd w:val="clear" w:color="auto" w:fill="auto"/>
        </w:rPr>
        <w:t xml:space="preserve">Toil 11, </w:t>
      </w:r>
      <w:r>
        <w:rPr>
          <w:color w:val="000000"/>
          <w:spacing w:val="0"/>
          <w:w w:val="100"/>
          <w:position w:val="0"/>
          <w:shd w:val="clear" w:color="auto" w:fill="auto"/>
          <w:lang w:val="hr-HR" w:eastAsia="hr-HR" w:bidi="hr-HR"/>
        </w:rPr>
        <w:t xml:space="preserve">Kap. </w:t>
      </w:r>
      <w:r>
        <w:rPr>
          <w:color w:val="000000"/>
          <w:spacing w:val="0"/>
          <w:w w:val="100"/>
          <w:position w:val="0"/>
          <w:shd w:val="clear" w:color="auto" w:fill="auto"/>
        </w:rPr>
        <w:t xml:space="preserve">4; W. Kern i dr. (Hrsg.), </w:t>
      </w:r>
      <w:r>
        <w:rPr>
          <w:i/>
          <w:iCs/>
          <w:color w:val="000000"/>
          <w:spacing w:val="0"/>
          <w:w w:val="100"/>
          <w:position w:val="0"/>
          <w:shd w:val="clear" w:color="auto" w:fill="auto"/>
        </w:rPr>
        <w:t>Handbuck der Fundamenialihealogie II.</w:t>
      </w:r>
      <w:r>
        <w:rPr>
          <w:color w:val="000000"/>
          <w:spacing w:val="0"/>
          <w:w w:val="100"/>
          <w:position w:val="0"/>
          <w:shd w:val="clear" w:color="auto" w:fill="auto"/>
        </w:rPr>
        <w:t xml:space="preserve"> Freiburg 1985.</w:t>
      </w:r>
    </w:p>
    <w:p>
      <w:pPr>
        <w:pStyle w:val="Style74"/>
        <w:keepNext w:val="0"/>
        <w:keepLines w:val="0"/>
        <w:widowControl w:val="0"/>
        <w:shd w:val="clear" w:color="auto" w:fill="auto"/>
        <w:bidi w:val="0"/>
        <w:spacing w:before="0" w:after="0" w:line="480"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H. WAt.DENI'ELS</w:t>
      </w:r>
    </w:p>
    <w:p>
      <w:pPr>
        <w:pStyle w:val="Style63"/>
        <w:keepNext/>
        <w:keepLines/>
        <w:widowControl w:val="0"/>
        <w:numPr>
          <w:ilvl w:val="0"/>
          <w:numId w:val="375"/>
        </w:numPr>
        <w:shd w:val="clear" w:color="auto" w:fill="auto"/>
        <w:tabs>
          <w:tab w:pos="265" w:val="left"/>
        </w:tabs>
        <w:bidi w:val="0"/>
        <w:spacing w:before="0" w:after="0" w:line="480" w:lineRule="auto"/>
        <w:ind w:left="0" w:right="0" w:firstLine="0"/>
        <w:jc w:val="both"/>
      </w:pPr>
      <w:bookmarkStart w:id="229" w:name="bookmark229"/>
      <w:r>
        <w:rPr>
          <w:rFonts w:ascii="Times New Roman" w:eastAsia="Times New Roman" w:hAnsi="Times New Roman" w:cs="Times New Roman"/>
          <w:color w:val="000000"/>
          <w:spacing w:val="0"/>
          <w:w w:val="100"/>
          <w:position w:val="0"/>
          <w:shd w:val="clear" w:color="auto" w:fill="auto"/>
          <w:lang w:val="hr-HR" w:eastAsia="hr-HR" w:bidi="hr-HR"/>
        </w:rPr>
        <w:t>islamski</w:t>
      </w:r>
      <w:bookmarkEnd w:id="22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Suprotno kršćanskomu shvaćanju objave kao čina božanskoga nadahnuća koja se udjeljuje čovjeku u okviru njegovih duhovnih sposob</w:t>
        <w:softHyphen/>
        <w:t>nosti, islam pod tim spoznajnim procesom podrazumijeva pasivno prihvaćanje viših du</w:t>
        <w:softHyphen/>
        <w:t>hovnih sadržaja koje je praćeno božanskom zapovijedi daljnjega predavanja. Čovjeku, pre</w:t>
        <w:softHyphen/>
        <w:t>ma tomu, nije dopušteno da vrši izmjene na sadržajima objave ili na tekstovima. Stoga za muslimane kao evanđelje vrijede samo auten</w:t>
        <w:softHyphen/>
        <w:t>tične riječi historijskog Isusa. Ono što su uz to dometnuli apostoli, to su po njihovu mišljenju ljudske dopune koje ne pripadaju objavi. Tak</w:t>
        <w:softHyphen/>
        <w:t>vo shvaćanje objave objašnjava nepristajanje islama da kao potpuno čiste prihvati sveta pisma Židova i muslimana. Budući da o. zrcali božanski Duh, ona ne može biti upućena na čovjekovo suoblikovanje.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Terminus </w:t>
      </w:r>
      <w:r>
        <w:rPr>
          <w:rFonts w:ascii="Times New Roman" w:eastAsia="Times New Roman" w:hAnsi="Times New Roman" w:cs="Times New Roman"/>
          <w:color w:val="000000"/>
          <w:spacing w:val="0"/>
          <w:w w:val="100"/>
          <w:position w:val="0"/>
          <w:shd w:val="clear" w:color="auto" w:fill="auto"/>
          <w:lang w:val="hr-HR" w:eastAsia="hr-HR" w:bidi="hr-HR"/>
        </w:rPr>
        <w:t xml:space="preserve">tcchnicus za objavu u islamu jest arapska riječ </w:t>
      </w:r>
      <w:r>
        <w:rPr>
          <w:rFonts w:ascii="Times New Roman" w:eastAsia="Times New Roman" w:hAnsi="Times New Roman" w:cs="Times New Roman"/>
          <w:i/>
          <w:iCs/>
          <w:color w:val="000000"/>
          <w:spacing w:val="0"/>
          <w:w w:val="100"/>
          <w:position w:val="0"/>
          <w:shd w:val="clear" w:color="auto" w:fill="auto"/>
          <w:lang w:val="hr-HR" w:eastAsia="hr-HR" w:bidi="hr-HR"/>
        </w:rPr>
        <w:t>al-wahy.</w:t>
      </w:r>
      <w:r>
        <w:rPr>
          <w:rFonts w:ascii="Times New Roman" w:eastAsia="Times New Roman" w:hAnsi="Times New Roman" w:cs="Times New Roman"/>
          <w:color w:val="000000"/>
          <w:spacing w:val="0"/>
          <w:w w:val="100"/>
          <w:position w:val="0"/>
          <w:shd w:val="clear" w:color="auto" w:fill="auto"/>
          <w:lang w:val="hr-HR" w:eastAsia="hr-HR" w:bidi="hr-HR"/>
        </w:rPr>
        <w:t xml:space="preserve"> Ona znači </w:t>
      </w:r>
      <w:r>
        <w:rPr>
          <w:rFonts w:ascii="Times New Roman" w:eastAsia="Times New Roman" w:hAnsi="Times New Roman" w:cs="Times New Roman"/>
          <w:i/>
          <w:iCs/>
          <w:color w:val="000000"/>
          <w:spacing w:val="0"/>
          <w:w w:val="100"/>
          <w:position w:val="0"/>
          <w:shd w:val="clear" w:color="auto" w:fill="auto"/>
          <w:lang w:val="hr-HR" w:eastAsia="hr-HR" w:bidi="hr-HR"/>
        </w:rPr>
        <w:t>nadahnuće, inspiraciju, intuiciju, uputu, nagovještaj.</w:t>
      </w:r>
      <w:r>
        <w:rPr>
          <w:rFonts w:ascii="Times New Roman" w:eastAsia="Times New Roman" w:hAnsi="Times New Roman" w:cs="Times New Roman"/>
          <w:color w:val="000000"/>
          <w:spacing w:val="0"/>
          <w:w w:val="100"/>
          <w:position w:val="0"/>
          <w:shd w:val="clear" w:color="auto" w:fill="auto"/>
          <w:lang w:val="hr-HR" w:eastAsia="hr-HR" w:bidi="hr-HR"/>
        </w:rPr>
        <w:t xml:space="preserve"> Sva se ta značenja mogu posvjedočili u Kuranu. U jednom se stihu kaže da je Bog dao pčeli </w:t>
      </w:r>
      <w:r>
        <w:rPr>
          <w:rFonts w:ascii="Times New Roman" w:eastAsia="Times New Roman" w:hAnsi="Times New Roman" w:cs="Times New Roman"/>
          <w:color w:val="000000"/>
          <w:spacing w:val="0"/>
          <w:w w:val="100"/>
          <w:position w:val="0"/>
          <w:shd w:val="clear" w:color="auto" w:fill="auto"/>
          <w:lang w:val="en-US" w:eastAsia="en-US" w:bidi="en-US"/>
        </w:rPr>
        <w:t xml:space="preserve">al- wahy </w:t>
      </w:r>
      <w:r>
        <w:rPr>
          <w:rFonts w:ascii="Times New Roman" w:eastAsia="Times New Roman" w:hAnsi="Times New Roman" w:cs="Times New Roman"/>
          <w:color w:val="000000"/>
          <w:spacing w:val="0"/>
          <w:w w:val="100"/>
          <w:position w:val="0"/>
          <w:shd w:val="clear" w:color="auto" w:fill="auto"/>
          <w:lang w:val="hr-HR" w:eastAsia="hr-HR" w:bidi="hr-HR"/>
        </w:rPr>
        <w:t>(nadahnuće) kako bi mogla »praviti ku</w:t>
        <w:softHyphen/>
        <w:t xml:space="preserve">će </w:t>
      </w:r>
      <w:r>
        <w:rPr>
          <w:rFonts w:ascii="Times New Roman" w:eastAsia="Times New Roman" w:hAnsi="Times New Roman" w:cs="Times New Roman"/>
          <w:i/>
          <w:iCs/>
          <w:color w:val="000000"/>
          <w:spacing w:val="0"/>
          <w:w w:val="100"/>
          <w:position w:val="0"/>
          <w:shd w:val="clear" w:color="auto" w:fill="auto"/>
          <w:lang w:val="hr-HR" w:eastAsia="hr-HR" w:bidi="hr-HR"/>
        </w:rPr>
        <w:t>(košnice, ulišta)</w:t>
      </w:r>
      <w:r>
        <w:rPr>
          <w:rFonts w:ascii="Times New Roman" w:eastAsia="Times New Roman" w:hAnsi="Times New Roman" w:cs="Times New Roman"/>
          <w:color w:val="000000"/>
          <w:spacing w:val="0"/>
          <w:w w:val="100"/>
          <w:position w:val="0"/>
          <w:shd w:val="clear" w:color="auto" w:fill="auto"/>
          <w:lang w:val="hr-HR" w:eastAsia="hr-HR" w:bidi="hr-HR"/>
        </w:rPr>
        <w:t xml:space="preserve"> u brdima i u drveću i u onom što </w:t>
      </w:r>
      <w:r>
        <w:rPr>
          <w:rFonts w:ascii="Times New Roman" w:eastAsia="Times New Roman" w:hAnsi="Times New Roman" w:cs="Times New Roman"/>
          <w:i/>
          <w:iCs/>
          <w:color w:val="000000"/>
          <w:spacing w:val="0"/>
          <w:w w:val="100"/>
          <w:position w:val="0"/>
          <w:shd w:val="clear" w:color="auto" w:fill="auto"/>
          <w:lang w:val="hr-HR" w:eastAsia="hr-HR" w:bidi="hr-HR"/>
        </w:rPr>
        <w:t>(ljudi)</w:t>
      </w:r>
      <w:r>
        <w:rPr>
          <w:rFonts w:ascii="Times New Roman" w:eastAsia="Times New Roman" w:hAnsi="Times New Roman" w:cs="Times New Roman"/>
          <w:color w:val="000000"/>
          <w:spacing w:val="0"/>
          <w:w w:val="100"/>
          <w:position w:val="0"/>
          <w:shd w:val="clear" w:color="auto" w:fill="auto"/>
          <w:lang w:val="hr-HR" w:eastAsia="hr-HR" w:bidi="hr-HR"/>
        </w:rPr>
        <w:t xml:space="preserve"> prave« (16,68). Ovdje al-wahy očigledno znači: </w:t>
      </w:r>
      <w:r>
        <w:rPr>
          <w:rFonts w:ascii="Times New Roman" w:eastAsia="Times New Roman" w:hAnsi="Times New Roman" w:cs="Times New Roman"/>
          <w:i/>
          <w:iCs/>
          <w:color w:val="000000"/>
          <w:spacing w:val="0"/>
          <w:w w:val="100"/>
          <w:position w:val="0"/>
          <w:shd w:val="clear" w:color="auto" w:fill="auto"/>
          <w:lang w:val="hr-HR" w:eastAsia="hr-HR" w:bidi="hr-HR"/>
        </w:rPr>
        <w:t>instinkt.</w:t>
      </w:r>
      <w:r>
        <w:rPr>
          <w:rFonts w:ascii="Times New Roman" w:eastAsia="Times New Roman" w:hAnsi="Times New Roman" w:cs="Times New Roman"/>
          <w:color w:val="000000"/>
          <w:spacing w:val="0"/>
          <w:w w:val="100"/>
          <w:position w:val="0"/>
          <w:shd w:val="clear" w:color="auto" w:fill="auto"/>
          <w:lang w:val="hr-HR" w:eastAsia="hr-HR" w:bidi="hr-HR"/>
        </w:rPr>
        <w:t xml:space="preserve"> Kuran rabi još jedan izraz za objavu: </w:t>
      </w:r>
      <w:r>
        <w:rPr>
          <w:rFonts w:ascii="Times New Roman" w:eastAsia="Times New Roman" w:hAnsi="Times New Roman" w:cs="Times New Roman"/>
          <w:i/>
          <w:iCs/>
          <w:color w:val="000000"/>
          <w:spacing w:val="0"/>
          <w:w w:val="100"/>
          <w:position w:val="0"/>
          <w:shd w:val="clear" w:color="auto" w:fill="auto"/>
          <w:lang w:val="hr-HR" w:eastAsia="hr-HR" w:bidi="hr-HR"/>
        </w:rPr>
        <w:t>anzala</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nazzala</w:t>
      </w:r>
      <w:r>
        <w:rPr>
          <w:rFonts w:ascii="Times New Roman" w:eastAsia="Times New Roman" w:hAnsi="Times New Roman" w:cs="Times New Roman"/>
          <w:color w:val="000000"/>
          <w:spacing w:val="0"/>
          <w:w w:val="100"/>
          <w:position w:val="0"/>
          <w:shd w:val="clear" w:color="auto" w:fill="auto"/>
          <w:lang w:val="hr-HR" w:eastAsia="hr-HR" w:bidi="hr-HR"/>
        </w:rPr>
        <w:t xml:space="preserve"> (odložiti, položiti na srce). Iz njega bi se trebalo raza</w:t>
        <w:softHyphen/>
        <w:t>brati da o. ne uključuje bezuvjetno i neki ver</w:t>
        <w:softHyphen/>
        <w:t>balni proces, što je danas općenito prihvaćeno u islamskoj teologiji. Primatelj dakle ne mora imati ni neku viziju niti mora čuti neke gla</w:t>
        <w:softHyphen/>
        <w:t xml:space="preserve">sove, no ipak mora postati svjestan poruke (W. M.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i/>
          <w:iCs/>
          <w:color w:val="000000"/>
          <w:spacing w:val="0"/>
          <w:w w:val="100"/>
          <w:position w:val="0"/>
          <w:shd w:val="clear" w:color="auto" w:fill="auto"/>
          <w:lang w:val="hr-HR" w:eastAsia="hr-HR" w:bidi="hr-HR"/>
        </w:rPr>
        <w:t>Islam,</w:t>
      </w:r>
      <w:r>
        <w:rPr>
          <w:rFonts w:ascii="Times New Roman" w:eastAsia="Times New Roman" w:hAnsi="Times New Roman" w:cs="Times New Roman"/>
          <w:color w:val="000000"/>
          <w:spacing w:val="0"/>
          <w:w w:val="100"/>
          <w:position w:val="0"/>
          <w:shd w:val="clear" w:color="auto" w:fill="auto"/>
          <w:lang w:val="hr-HR" w:eastAsia="hr-HR" w:bidi="hr-HR"/>
        </w:rPr>
        <w:t xml:space="preserve"> I, 73).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Objavu na višestruk način posreduje anđeo </w:t>
      </w: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Džibril); u tom je slučaju prijam ver</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balan. U Kuranu se govori i o »svetom« ili »pouzdanom Duhu« kao posredniku Božjih poruka. Opisi iz islamske predaje o načinu na koji je Muhamed obično primao svoju objavu, pri čemu se izvješćuje o izvjesnim psihičkim popratnim okolnostima u njegovu ponašanju, doveli su do tvrdnje da je on patio od pa- </w:t>
      </w:r>
      <w:r>
        <w:rPr>
          <w:rFonts w:ascii="Times New Roman" w:eastAsia="Times New Roman" w:hAnsi="Times New Roman" w:cs="Times New Roman"/>
          <w:color w:val="000000"/>
          <w:spacing w:val="0"/>
          <w:w w:val="100"/>
          <w:position w:val="0"/>
          <w:shd w:val="clear" w:color="auto" w:fill="auto"/>
          <w:lang w:val="en-US" w:eastAsia="en-US" w:bidi="en-US"/>
        </w:rPr>
        <w:t xml:space="preserve">daviee. Montgomery Watt </w:t>
      </w:r>
      <w:r>
        <w:rPr>
          <w:rFonts w:ascii="Times New Roman" w:eastAsia="Times New Roman" w:hAnsi="Times New Roman" w:cs="Times New Roman"/>
          <w:color w:val="000000"/>
          <w:spacing w:val="0"/>
          <w:w w:val="100"/>
          <w:position w:val="0"/>
          <w:shd w:val="clear" w:color="auto" w:fill="auto"/>
          <w:lang w:val="hr-HR" w:eastAsia="hr-HR" w:bidi="hr-HR"/>
        </w:rPr>
        <w:t>smatra: »Nema, međutim, nikakvih čvrstih dokaza za tu hipo</w:t>
        <w:softHyphen/>
        <w:t>tezu. Ti simptomi ne odgovaraju, k tomu, simp</w:t>
        <w:softHyphen/>
        <w:t xml:space="preserve">tomima padavice, a pred kraj svojega života Muhamed ne pokazuje nikakve znakove na- rušenosti tjelesnoga i duševnoga zdravlja koji idu skupa s tom bolešću«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color w:val="000000"/>
          <w:spacing w:val="0"/>
          <w:w w:val="100"/>
          <w:position w:val="0"/>
          <w:shd w:val="clear" w:color="auto" w:fill="auto"/>
          <w:lang w:val="hr-HR" w:eastAsia="hr-HR" w:bidi="hr-HR"/>
        </w:rPr>
        <w:t>74).</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Premda je Tvorac objave Bog, njezini su sa</w:t>
        <w:softHyphen/>
        <w:t>držaji višestruko utkani u povijest. U Kuranu se to vidi po tome što je on, npr. u svojim društvenim i pravnim stavovima, pošao od sta</w:t>
        <w:softHyphen/>
        <w:t>nja arapskoga društva u VII. stoljeću, čiji du</w:t>
        <w:softHyphen/>
        <w:t>hovni stav uvelike uzima u obzir, te u vlastitim redakcijama prenosi židovske i kršćanske pri</w:t>
        <w:softHyphen/>
        <w:t>povijesti. »Mnogi se stihovi iz Kurana mogu ispravno razumjeti samo ako smo upoznati s posebnim bitnim obilježjima arapskoga nači</w:t>
        <w:softHyphen/>
        <w:t xml:space="preserve">na života, posebice sa životom u pustinji i s arapskim načinom mišljenja«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color w:val="000000"/>
          <w:spacing w:val="0"/>
          <w:w w:val="100"/>
          <w:position w:val="0"/>
          <w:shd w:val="clear" w:color="auto" w:fill="auto"/>
          <w:lang w:val="hr-HR" w:eastAsia="hr-HR" w:bidi="hr-HR"/>
        </w:rPr>
        <w:t xml:space="preserve">75). W. M.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color w:val="000000"/>
          <w:spacing w:val="0"/>
          <w:w w:val="100"/>
          <w:position w:val="0"/>
          <w:shd w:val="clear" w:color="auto" w:fill="auto"/>
          <w:lang w:val="hr-HR" w:eastAsia="hr-HR" w:bidi="hr-HR"/>
        </w:rPr>
        <w:t xml:space="preserve">smatra da utjecaji koji se očituju u Kuranu »nisu utjecaji na pisca Kurana, već na one, za koje je Kuran napisan«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color w:val="000000"/>
          <w:spacing w:val="0"/>
          <w:w w:val="100"/>
          <w:position w:val="0"/>
          <w:shd w:val="clear" w:color="auto" w:fill="auto"/>
          <w:lang w:val="hr-HR" w:eastAsia="hr-HR" w:bidi="hr-HR"/>
        </w:rPr>
        <w:t>75). Svijest o nužnosti prilagodbe onima kojima je Kuran upućen izriče i jedna Muhamedova upu</w:t>
        <w:softHyphen/>
        <w:t>ta jednom od njegovih sljedbenika: »Razgo</w:t>
        <w:softHyphen/>
        <w:t>varaj s ljudima tako da i njima bude shvatlji</w:t>
        <w:softHyphen/>
        <w: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Istinitost se zahtjeva objave mora dokazati ako računamo s vjerom u objavu. Okolnosti i način primanja objave ne mogu neupućenomu pružiti nikakav upotrebljiv dokaz. »Valjanost ili istinitost poruke spoznaje se po ‘plodovi</w:t>
        <w:softHyphen/>
        <w:t>ma’ koje ona donosi u životu cjelokupne za</w:t>
        <w:softHyphen/>
        <w:t>jednice. Širenje islamske religije i kreposne promjene načina života kod mnogih njezinih pristaša predstavljaju nepobitni ukaz na to da je u učenjima Kurana sadržano mnoštvo is</w:t>
        <w:softHyphen/>
        <w:t>tina. I Muhamed je bio uvjeren da bi od svojih vlastitih misli mogao razlikovati to što je pri</w:t>
        <w:softHyphen/>
        <w:t xml:space="preserve">mio kao objavu. U tome je morao biti iskren; jer nezamislivo je da velika svjetska religija počiva na svjesnom varanju. Ljudi koji svjesno varaju druge ljude ne uzimaju na sebe toliko breme koliko je na sebe uzeo Muhamed; Muhamedu ne bi promakla nečasnost ni tako </w:t>
      </w:r>
      <w:r>
        <w:rPr>
          <w:rFonts w:ascii="Times New Roman" w:eastAsia="Times New Roman" w:hAnsi="Times New Roman" w:cs="Times New Roman"/>
          <w:color w:val="000000"/>
          <w:spacing w:val="0"/>
          <w:w w:val="100"/>
          <w:position w:val="0"/>
          <w:shd w:val="clear" w:color="auto" w:fill="auto"/>
          <w:lang w:val="hr-HR" w:eastAsia="hr-HR" w:bidi="hr-HR"/>
        </w:rPr>
        <w:t xml:space="preserve">časnih ljudi kao što su Abu Bekr i Omer«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color w:val="000000"/>
          <w:spacing w:val="0"/>
          <w:w w:val="100"/>
          <w:position w:val="0"/>
          <w:shd w:val="clear" w:color="auto" w:fill="auto"/>
          <w:lang w:val="hr-HR" w:eastAsia="hr-HR" w:bidi="hr-HR"/>
        </w:rPr>
        <w:t>74).</w:t>
      </w:r>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Činjenica da se u Kuranu reflektiraju brojni židovsko-kršćanski pojmovi i čitave pripovi</w:t>
        <w:softHyphen/>
        <w:t>jesti iz Biblije može se svesti na to da u Ku</w:t>
        <w:softHyphen/>
        <w:t>ranu govori jedan te isti Bog (-» riječ Božja), Tvorac biblijske objave. No Kuran ovaj put posebice uobziruje arapskoga čovjeka, njegov vidokrug i njegovu viziju budućnosti. To je smisao »razgovijetnoga arapskog jezika«, na kojem je Kuran sišao ljudima.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 Montgomery Watt/zVIlord </w:t>
      </w:r>
      <w:r>
        <w:rPr>
          <w:color w:val="000000"/>
          <w:spacing w:val="0"/>
          <w:w w:val="100"/>
          <w:position w:val="0"/>
          <w:shd w:val="clear" w:color="auto" w:fill="auto"/>
          <w:lang w:val="hr-HR" w:eastAsia="hr-HR" w:bidi="hr-HR"/>
        </w:rPr>
        <w:t xml:space="preserve">T. </w:t>
      </w:r>
      <w:r>
        <w:rPr>
          <w:color w:val="000000"/>
          <w:spacing w:val="0"/>
          <w:w w:val="100"/>
          <w:position w:val="0"/>
          <w:shd w:val="clear" w:color="auto" w:fill="auto"/>
        </w:rPr>
        <w:t xml:space="preserve">Welch. </w:t>
      </w:r>
      <w:r>
        <w:rPr>
          <w:i/>
          <w:iCs/>
          <w:color w:val="000000"/>
          <w:spacing w:val="0"/>
          <w:w w:val="100"/>
          <w:position w:val="0"/>
          <w:shd w:val="clear" w:color="auto" w:fill="auto"/>
          <w:lang w:val="hr-HR" w:eastAsia="hr-HR" w:bidi="hr-HR"/>
        </w:rPr>
        <w:t>Dtr hltun.</w:t>
      </w:r>
      <w:r>
        <w:rPr>
          <w:color w:val="000000"/>
          <w:spacing w:val="0"/>
          <w:w w:val="100"/>
          <w:position w:val="0"/>
          <w:shd w:val="clear" w:color="auto" w:fill="auto"/>
          <w:lang w:val="hr-HR" w:eastAsia="hr-HR" w:bidi="hr-HR"/>
        </w:rPr>
        <w:t xml:space="preserve"> 1.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1980, 72-77; </w:t>
      </w:r>
      <w:r>
        <w:rPr>
          <w:color w:val="000000"/>
          <w:spacing w:val="0"/>
          <w:w w:val="100"/>
          <w:position w:val="0"/>
          <w:shd w:val="clear" w:color="auto" w:fill="auto"/>
        </w:rPr>
        <w:t xml:space="preserve">Rotraud Wiclandt, </w:t>
      </w:r>
      <w:r>
        <w:rPr>
          <w:i/>
          <w:iCs/>
          <w:color w:val="000000"/>
          <w:spacing w:val="0"/>
          <w:w w:val="100"/>
          <w:position w:val="0"/>
          <w:shd w:val="clear" w:color="auto" w:fill="auto"/>
          <w:lang w:val="hr-HR" w:eastAsia="hr-HR" w:bidi="hr-HR"/>
        </w:rPr>
        <w:t xml:space="preserve">Ojfenborung und Ceschidue im Denkcn moderner </w:t>
      </w:r>
      <w:r>
        <w:rPr>
          <w:i/>
          <w:iCs/>
          <w:color w:val="000000"/>
          <w:spacing w:val="0"/>
          <w:w w:val="100"/>
          <w:position w:val="0"/>
          <w:shd w:val="clear" w:color="auto" w:fill="auto"/>
        </w:rPr>
        <w:t>Muslim?</w:t>
      </w:r>
      <w:r>
        <w:rPr>
          <w:i/>
          <w:iCs/>
          <w:color w:val="000000"/>
          <w:spacing w:val="0"/>
          <w:w w:val="100"/>
          <w:position w:val="0"/>
          <w:shd w:val="clear" w:color="auto" w:fill="auto"/>
          <w:lang w:val="hr-HR" w:eastAsia="hr-HR" w:bidi="hr-HR"/>
        </w:rPr>
        <w: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Wiesbaden </w:t>
      </w:r>
      <w:r>
        <w:rPr>
          <w:color w:val="000000"/>
          <w:spacing w:val="0"/>
          <w:w w:val="100"/>
          <w:position w:val="0"/>
          <w:shd w:val="clear" w:color="auto" w:fill="auto"/>
          <w:lang w:val="hr-HR" w:eastAsia="hr-HR" w:bidi="hr-HR"/>
        </w:rPr>
        <w:t>1971.</w:t>
      </w:r>
    </w:p>
    <w:p>
      <w:pPr>
        <w:pStyle w:val="Style56"/>
        <w:keepNext w:val="0"/>
        <w:keepLines w:val="0"/>
        <w:widowControl w:val="0"/>
        <w:shd w:val="clear" w:color="auto" w:fill="auto"/>
        <w:bidi w:val="0"/>
        <w:spacing w:before="0" w:after="280" w:line="240" w:lineRule="auto"/>
        <w:ind w:left="0" w:right="0" w:firstLine="0"/>
        <w:jc w:val="right"/>
      </w:pPr>
      <w:r>
        <w:rPr>
          <w:color w:val="000000"/>
          <w:spacing w:val="0"/>
          <w:w w:val="100"/>
          <w:position w:val="0"/>
          <w:shd w:val="clear" w:color="auto" w:fill="auto"/>
          <w:lang w:val="hr-HR" w:eastAsia="hr-HR" w:bidi="hr-HR"/>
        </w:rPr>
        <w:t>S HAt.lĆ</w:t>
      </w:r>
    </w:p>
    <w:p>
      <w:pPr>
        <w:pStyle w:val="Style33"/>
        <w:keepNext w:val="0"/>
        <w:keepLines w:val="0"/>
        <w:widowControl w:val="0"/>
        <w:shd w:val="clear" w:color="auto" w:fill="auto"/>
        <w:bidi w:val="0"/>
        <w:spacing w:before="0" w:after="100" w:line="221" w:lineRule="auto"/>
        <w:ind w:left="0" w:right="0" w:firstLine="0"/>
        <w:jc w:val="both"/>
        <w:rPr>
          <w:sz w:val="18"/>
          <w:szCs w:val="18"/>
        </w:rPr>
      </w:pP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OBRAĆENJE -&gt; </w:t>
      </w:r>
      <w:r>
        <w:rPr>
          <w:rFonts w:ascii="Times New Roman" w:eastAsia="Times New Roman" w:hAnsi="Times New Roman" w:cs="Times New Roman"/>
          <w:color w:val="000000"/>
          <w:spacing w:val="0"/>
          <w:w w:val="100"/>
          <w:position w:val="0"/>
          <w:sz w:val="18"/>
          <w:szCs w:val="18"/>
          <w:shd w:val="clear" w:color="auto" w:fill="auto"/>
          <w:lang w:val="hr-HR" w:eastAsia="hr-HR" w:bidi="hr-HR"/>
        </w:rPr>
        <w:t>POKORA</w:t>
      </w:r>
    </w:p>
    <w:p>
      <w:pPr>
        <w:pStyle w:val="Style91"/>
        <w:keepNext/>
        <w:keepLines/>
        <w:widowControl w:val="0"/>
        <w:shd w:val="clear" w:color="auto" w:fill="auto"/>
        <w:bidi w:val="0"/>
        <w:spacing w:before="0" w:after="100" w:line="360" w:lineRule="auto"/>
        <w:ind w:left="0" w:right="0" w:firstLine="0"/>
        <w:jc w:val="both"/>
        <w:rPr>
          <w:sz w:val="18"/>
          <w:szCs w:val="18"/>
        </w:rPr>
      </w:pPr>
      <w:bookmarkStart w:id="230" w:name="bookmark230"/>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OBREZIVANJE -&gt; </w:t>
      </w:r>
      <w:r>
        <w:rPr>
          <w:rFonts w:ascii="Times New Roman" w:eastAsia="Times New Roman" w:hAnsi="Times New Roman" w:cs="Times New Roman"/>
          <w:color w:val="000000"/>
          <w:spacing w:val="0"/>
          <w:w w:val="100"/>
          <w:position w:val="0"/>
          <w:sz w:val="18"/>
          <w:szCs w:val="18"/>
          <w:shd w:val="clear" w:color="auto" w:fill="auto"/>
          <w:lang w:val="hr-HR" w:eastAsia="hr-HR" w:bidi="hr-HR"/>
        </w:rPr>
        <w:t xml:space="preserve">INICIJACIJA </w:t>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ODGOJ -&gt; </w:t>
      </w:r>
      <w:r>
        <w:rPr>
          <w:rFonts w:ascii="Times New Roman" w:eastAsia="Times New Roman" w:hAnsi="Times New Roman" w:cs="Times New Roman"/>
          <w:color w:val="000000"/>
          <w:spacing w:val="0"/>
          <w:w w:val="100"/>
          <w:position w:val="0"/>
          <w:sz w:val="18"/>
          <w:szCs w:val="18"/>
          <w:shd w:val="clear" w:color="auto" w:fill="auto"/>
          <w:lang w:val="hr-HR" w:eastAsia="hr-HR" w:bidi="hr-HR"/>
        </w:rPr>
        <w:t>RELIGIJSKA PEDAGOGIJA</w:t>
      </w:r>
      <w:bookmarkEnd w:id="230"/>
    </w:p>
    <w:p>
      <w:pPr>
        <w:pStyle w:val="Style63"/>
        <w:keepNext/>
        <w:keepLines/>
        <w:widowControl w:val="0"/>
        <w:shd w:val="clear" w:color="auto" w:fill="auto"/>
        <w:bidi w:val="0"/>
        <w:spacing w:before="0" w:after="100"/>
        <w:ind w:left="0" w:right="0" w:firstLine="0"/>
        <w:jc w:val="both"/>
      </w:pPr>
      <w:bookmarkStart w:id="231" w:name="bookmark231"/>
      <w:r>
        <w:rPr>
          <w:rFonts w:ascii="Times New Roman" w:eastAsia="Times New Roman" w:hAnsi="Times New Roman" w:cs="Times New Roman"/>
          <w:color w:val="000000"/>
          <w:spacing w:val="0"/>
          <w:w w:val="100"/>
          <w:position w:val="0"/>
          <w:shd w:val="clear" w:color="auto" w:fill="auto"/>
          <w:lang w:val="hr-HR" w:eastAsia="hr-HR" w:bidi="hr-HR"/>
        </w:rPr>
        <w:t>ODGOVORNOST ZA SVIJET</w:t>
      </w:r>
      <w:bookmarkEnd w:id="231"/>
    </w:p>
    <w:p>
      <w:pPr>
        <w:pStyle w:val="Style91"/>
        <w:keepNext/>
        <w:keepLines/>
        <w:widowControl w:val="0"/>
        <w:numPr>
          <w:ilvl w:val="0"/>
          <w:numId w:val="381"/>
        </w:numPr>
        <w:shd w:val="clear" w:color="auto" w:fill="auto"/>
        <w:tabs>
          <w:tab w:pos="250" w:val="left"/>
        </w:tabs>
        <w:bidi w:val="0"/>
        <w:spacing w:before="0" w:after="100" w:line="240" w:lineRule="auto"/>
        <w:ind w:left="0" w:right="0" w:firstLine="0"/>
        <w:jc w:val="both"/>
        <w:rPr>
          <w:sz w:val="18"/>
          <w:szCs w:val="18"/>
        </w:rPr>
      </w:pPr>
      <w:bookmarkStart w:id="232" w:name="bookmark232"/>
      <w:r>
        <w:rPr>
          <w:rFonts w:ascii="Times New Roman" w:eastAsia="Times New Roman" w:hAnsi="Times New Roman" w:cs="Times New Roman"/>
          <w:color w:val="000000"/>
          <w:spacing w:val="0"/>
          <w:w w:val="100"/>
          <w:position w:val="0"/>
          <w:sz w:val="18"/>
          <w:szCs w:val="18"/>
          <w:shd w:val="clear" w:color="auto" w:fill="auto"/>
          <w:lang w:val="hr-HR" w:eastAsia="hr-HR" w:bidi="hr-HR"/>
        </w:rPr>
        <w:t>židovski</w:t>
      </w:r>
      <w:bookmarkEnd w:id="232"/>
    </w:p>
    <w:p>
      <w:pPr>
        <w:pStyle w:val="Style20"/>
        <w:keepNext w:val="0"/>
        <w:keepLines w:val="0"/>
        <w:widowControl w:val="0"/>
        <w:numPr>
          <w:ilvl w:val="0"/>
          <w:numId w:val="383"/>
        </w:numPr>
        <w:shd w:val="clear" w:color="auto" w:fill="auto"/>
        <w:tabs>
          <w:tab w:pos="279" w:val="left"/>
        </w:tabs>
        <w:bidi w:val="0"/>
        <w:spacing w:before="0" w:after="0"/>
        <w:ind w:left="0" w:right="0" w:firstLine="0"/>
        <w:jc w:val="both"/>
        <w:sectPr>
          <w:headerReference w:type="default" r:id="rId985"/>
          <w:footerReference w:type="default" r:id="rId986"/>
          <w:headerReference w:type="even" r:id="rId987"/>
          <w:footerReference w:type="even" r:id="rId988"/>
          <w:headerReference w:type="first" r:id="rId989"/>
          <w:footerReference w:type="first" r:id="rId990"/>
          <w:footnotePr>
            <w:pos w:val="pageBottom"/>
            <w:numFmt w:val="decimal"/>
            <w:numRestart w:val="continuous"/>
            <w15:footnoteColumns w:val="1"/>
          </w:footnotePr>
          <w:pgSz w:w="6816" w:h="11006"/>
          <w:pgMar w:top="786" w:left="193" w:right="196" w:bottom="342" w:header="0" w:footer="3" w:gutter="0"/>
          <w:pgNumType w:start="325"/>
          <w:cols w:num="2" w:space="192"/>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»...zemlju dade sinovima čovječjim.«</w:t>
      </w:r>
      <w:r>
        <w:rPr>
          <w:rFonts w:ascii="Times New Roman" w:eastAsia="Times New Roman" w:hAnsi="Times New Roman" w:cs="Times New Roman"/>
          <w:color w:val="000000"/>
          <w:spacing w:val="0"/>
          <w:w w:val="100"/>
          <w:position w:val="0"/>
          <w:shd w:val="clear" w:color="auto" w:fill="auto"/>
          <w:lang w:val="hr-HR" w:eastAsia="hr-HR" w:bidi="hr-HR"/>
        </w:rPr>
        <w:t xml:space="preserve"> He</w:t>
        <w:softHyphen/>
        <w:t>brejska Biblija iznosi na mnogim mjestima da se Bog odgovorno ponaša prema »svijetu« (biblijski: »nebu i zemlji«) smatrajući ga zre</w:t>
        <w:softHyphen/>
        <w:t>lim u njegovoj stvorenosti (»djelo njegovih ru</w:t>
        <w:softHyphen/>
        <w:t>ku«, Ps 102,26), tj. upućenosti na njega (Post 1-11). Ta ovisnost »svijeta« o Bogu pozitivno obilježava uzajamni odnos Stvoritelj - stvo</w:t>
        <w:softHyphen/>
        <w:t>renje, međusobnu vezu koju je zasnovao Bog između Stvoritelja i stvorenoga. Odgovorno ponašanje Stvoritelja Izrael je iskusio u tome što se On obvezao svojim stvorenjima da mu se ona mogu obraćati (pitati ga: Ps 64,1-10, držati ga za riječ: 89,20 i d., moliti ga da ih usliši: 102,2 i d.) i mogla se nadati da će ih us- lišiti kako je obećao: »Blagoslovio vas ON koji stvori nebo i zemlju! Nebo je nebo NJEGO</w:t>
        <w:softHyphen/>
        <w:t>VO, a zemlju dade sinovima čovječjim« (115, 15 i d.). Stalno povećanje broja blagoslova od jednog naraštaja do drugog temelji se od sa</w:t>
        <w:softHyphen/>
        <w:t xml:space="preserve">moga početka na tajni stvaranja. No, prema volji Stvoritelja, ljudi trebaju nasljedovati Stvoriteljevo djelo ljubavi </w:t>
      </w:r>
      <w:r>
        <w:rPr>
          <w:rFonts w:ascii="Times New Roman" w:eastAsia="Times New Roman" w:hAnsi="Times New Roman" w:cs="Times New Roman"/>
          <w:i/>
          <w:iCs/>
          <w:color w:val="000000"/>
          <w:spacing w:val="0"/>
          <w:w w:val="100"/>
          <w:position w:val="0"/>
          <w:shd w:val="clear" w:color="auto" w:fill="auto"/>
          <w:lang w:val="hr-HR" w:eastAsia="hr-HR" w:bidi="hr-HR"/>
        </w:rPr>
        <w:t>(hesed,</w:t>
      </w:r>
      <w:r>
        <w:rPr>
          <w:rFonts w:ascii="Times New Roman" w:eastAsia="Times New Roman" w:hAnsi="Times New Roman" w:cs="Times New Roman"/>
          <w:color w:val="000000"/>
          <w:spacing w:val="0"/>
          <w:w w:val="100"/>
          <w:position w:val="0"/>
          <w:shd w:val="clear" w:color="auto" w:fill="auto"/>
          <w:lang w:val="hr-HR" w:eastAsia="hr-HR" w:bidi="hr-HR"/>
        </w:rPr>
        <w:t xml:space="preserve"> redak 1) ta</w:t>
        <w:softHyphen/>
        <w:t>ko da »svijet«, Božje stvorenje, u ljubavi ču</w:t>
        <w:softHyphen/>
        <w:t>vaju, u ljubavi grade, u ljubavi unapređuju. »Zemlja« mora ustrajati u toj suprotnosti po</w:t>
        <w:softHyphen/>
        <w:t>vjerenja u Stvoritelja i čekanja čovječjega dje</w:t>
        <w:softHyphen/>
      </w:r>
    </w:p>
    <w:p>
      <w:pPr>
        <w:pStyle w:val="Style20"/>
        <w:keepNext w:val="0"/>
        <w:keepLines w:val="0"/>
        <w:widowControl w:val="0"/>
        <w:shd w:val="clear" w:color="auto" w:fill="auto"/>
        <w:tabs>
          <w:tab w:pos="27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 u napetosti prirode i kulture - do otkuplju- jućeg dolaska Božje vlasti. No do tada čovjek mora uskladiti svoje djelovanje sa Stvoritclje- vim djelovanjem kako bi se u odgovornom čo</w:t>
        <w:softHyphen/>
        <w:t>vječjem djelu moglo ostvariti Božje (Post 1,26-28). Stvoritelj nije dao čovječjem životu vrijednost i smisao samo zato da postoji. Čo</w:t>
        <w:softHyphen/>
        <w:t xml:space="preserve">vjek od Boga ima svoj život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uputu (Toru); on je u stanju birati između dobra i zla, između života i smrti (Pnz 30,19). Činiti Božje dobro znači provesti Božju volju u svijetu. Služiti od</w:t>
        <w:softHyphen/>
        <w:t xml:space="preserve">govorno Bogu znači ujediniti »svijet« i Božju zapovijed u cjelinu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19,2.37; 20,7-22). Sam Bog postaje zadaća, koju čovjek u svijetu mora ostvariti tako da taj svijet »obrađuje i čuva« (Post 2,15) i drugim ljudima također prizna stvorenost na sliku Božju (19,17.33 i d.). Čvrsta povezanost rečenica »NJEGOVA je zemlja i sve na njoj« i »Tko če uzici na Goru NJEGOVU?« (Ps 24,1.3; usp. redak 4-6, v. Ps 15) naglašava potrebnu vezu službe Bogu i odgovorne službe svijetu. No i na živo</w:t>
        <w:softHyphen/>
        <w:t>tinjama, nad kojima čovjek vlada (Post 1,28), dokazuje se čovjekova odgovornost; jer s vlaš</w:t>
        <w:softHyphen/>
        <w:t xml:space="preserve">ću nad životinjama predana mu je i dužnost da ih štiti. Pravno načelo, koje treba pomoći zaštiti životinja od štete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24,18), zadržava težinu i u drugom propisu u Knjizi Saveza, koji nalaže čovjeku da pomogne i životinji u nevolji (Izl 23,4 i d., usp. Pnz 22,4.6). I životi</w:t>
        <w:softHyphen/>
        <w:t>njama, koje su uključene u radnu zajednicu, čovjek treba priznati pravo na dan počinka (Izl 20,10; Pnz 5,14); treba im pružati ljubav kao da plaća dug Bogu (Pnz 25,4; Ps 147,9; 104,14.7). Svijet kao Božje stvorenje može go</w:t>
        <w:softHyphen/>
        <w:t>voriti samo da objavi djelo Božje ako čovjek poštuje Božji zakon i čini ono što Bog od nje</w:t>
        <w:softHyphen/>
        <w:t>ga zahtijeva (Ps 19A i B).</w:t>
      </w:r>
    </w:p>
    <w:p>
      <w:pPr>
        <w:pStyle w:val="Style20"/>
        <w:keepNext w:val="0"/>
        <w:keepLines w:val="0"/>
        <w:widowControl w:val="0"/>
        <w:numPr>
          <w:ilvl w:val="0"/>
          <w:numId w:val="383"/>
        </w:numPr>
        <w:shd w:val="clear" w:color="auto" w:fill="auto"/>
        <w:tabs>
          <w:tab w:pos="265"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»Čovjek mora sudjelovati u boli zajednice.« </w:t>
      </w:r>
      <w:r>
        <w:rPr>
          <w:rFonts w:ascii="Times New Roman" w:eastAsia="Times New Roman" w:hAnsi="Times New Roman" w:cs="Times New Roman"/>
          <w:color w:val="000000"/>
          <w:spacing w:val="0"/>
          <w:w w:val="100"/>
          <w:position w:val="0"/>
          <w:shd w:val="clear" w:color="auto" w:fill="auto"/>
          <w:lang w:val="hr-HR" w:eastAsia="hr-HR" w:bidi="hr-HR"/>
        </w:rPr>
        <w:t>Prema tradiciji, čovjeka Bog nije samo stvo</w:t>
        <w:softHyphen/>
        <w:t xml:space="preserve">rio; on se svakodnevno ponovno rađa Božjom voljom: »Moj Bože, čista je duša koju si mi dao« (jutarnja molitva). On je odgovoran za svoje zamisli, djela i njihove posljedice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38a; uz to Rašijev komentar). Mudraci su ga smatrali sposobnim da slijedi osobine i djela Božja u svakodnevnom društvenom ži</w:t>
        <w:softHyphen/>
        <w:t xml:space="preserve">votu, u odnosu čovjeka i bližnjega, te čovjeka prema svojoj okolini. »Idite samo za NJIM« (Pnz 13,5). Na pitanje može li čovjek slijediti Boga, Rabi Hama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Hanina (III. stoljeće) odgovorio je: »Štoviše, (to nas uči) da se pos</w:t>
        <w:softHyphen/>
      </w:r>
      <w:r>
        <w:rPr>
          <w:rFonts w:ascii="Times New Roman" w:eastAsia="Times New Roman" w:hAnsi="Times New Roman" w:cs="Times New Roman"/>
          <w:color w:val="000000"/>
          <w:spacing w:val="0"/>
          <w:w w:val="100"/>
          <w:position w:val="0"/>
          <w:shd w:val="clear" w:color="auto" w:fill="auto"/>
          <w:lang w:val="hr-HR" w:eastAsia="hr-HR" w:bidi="hr-HR"/>
        </w:rPr>
        <w:t>tupci Svetoga, hvaljen bio, moraju oponašali. Kako on odijeva gole... (Post 3,21), tako i ti odijevaj gole. Kako Sveti, hvaljen bio, posje</w:t>
        <w:softHyphen/>
        <w:t>ćuje bolesnike... (18,1), tako i ti posjećuj bo</w:t>
        <w:softHyphen/>
        <w:t>lesnike. Kako Sveti, hvaljen bio, tješi ožaloš</w:t>
        <w:softHyphen/>
        <w:t xml:space="preserve">ćene... (25,1), tako i ti tješi ožalošćene. Kako Sveti, hvaljen bio, pokapa mrtve... (Pnz 34,6) tako i ti pokapaj mrtve« (b Sota 14a, usp. Ša- bat 133b). O ostvarenju tih pravila ponašanja u životu pojedinca i u okviru društva detaljno je govorio </w:t>
      </w:r>
      <w:r>
        <w:rPr>
          <w:rFonts w:ascii="Times New Roman" w:eastAsia="Times New Roman" w:hAnsi="Times New Roman" w:cs="Times New Roman"/>
          <w:color w:val="000000"/>
          <w:spacing w:val="0"/>
          <w:w w:val="100"/>
          <w:position w:val="0"/>
          <w:shd w:val="clear" w:color="auto" w:fill="auto"/>
          <w:lang w:val="en-US" w:eastAsia="en-US" w:bidi="en-US"/>
        </w:rPr>
        <w:t xml:space="preserve">Seadja Gaon (IX./X.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u posljednjem poglavlju svojega slavnog religij- sko-filozofskog djela </w:t>
      </w:r>
      <w:r>
        <w:rPr>
          <w:rFonts w:ascii="Times New Roman" w:eastAsia="Times New Roman" w:hAnsi="Times New Roman" w:cs="Times New Roman"/>
          <w:i/>
          <w:iCs/>
          <w:color w:val="000000"/>
          <w:spacing w:val="0"/>
          <w:w w:val="100"/>
          <w:position w:val="0"/>
          <w:shd w:val="clear" w:color="auto" w:fill="auto"/>
          <w:lang w:val="hr-HR" w:eastAsia="hr-HR" w:bidi="hr-HR"/>
        </w:rPr>
        <w:t>(Sefer ha-emunot ve-lta- de’ot</w:t>
      </w:r>
      <w:r>
        <w:rPr>
          <w:rFonts w:ascii="Times New Roman" w:eastAsia="Times New Roman" w:hAnsi="Times New Roman" w:cs="Times New Roman"/>
          <w:color w:val="000000"/>
          <w:spacing w:val="0"/>
          <w:w w:val="100"/>
          <w:position w:val="0"/>
          <w:shd w:val="clear" w:color="auto" w:fill="auto"/>
          <w:lang w:val="hr-HR" w:eastAsia="hr-HR" w:bidi="hr-HR"/>
        </w:rPr>
        <w:t xml:space="preserve"> /Knjiga o vjerovanjima i mišljenjima/). Šmuelova izreka i njegovo tumačenje bacaju karakteristično svjetlo na odgovornost pojedin</w:t>
        <w:softHyphen/>
        <w:t>ca prema javnosti: »Neka se čovjek ne isklju</w:t>
        <w:softHyphen/>
        <w:t xml:space="preserve">čuje iz zajednice« (b Berahot 49b). Predaja ga ne dovodi u vezu samo s pozivom na molitvu, već ga tumači kao načelo društvenog morala: »Kad zajednicu </w:t>
      </w:r>
      <w:r>
        <w:rPr>
          <w:rFonts w:ascii="Times New Roman" w:eastAsia="Times New Roman" w:hAnsi="Times New Roman" w:cs="Times New Roman"/>
          <w:i/>
          <w:iCs/>
          <w:color w:val="000000"/>
          <w:spacing w:val="0"/>
          <w:w w:val="100"/>
          <w:position w:val="0"/>
          <w:shd w:val="clear" w:color="auto" w:fill="auto"/>
          <w:lang w:val="hr-HR" w:eastAsia="hr-HR" w:bidi="hr-HR"/>
        </w:rPr>
        <w:t>(cibur)</w:t>
      </w:r>
      <w:r>
        <w:rPr>
          <w:rFonts w:ascii="Times New Roman" w:eastAsia="Times New Roman" w:hAnsi="Times New Roman" w:cs="Times New Roman"/>
          <w:color w:val="000000"/>
          <w:spacing w:val="0"/>
          <w:w w:val="100"/>
          <w:position w:val="0"/>
          <w:shd w:val="clear" w:color="auto" w:fill="auto"/>
          <w:lang w:val="hr-HR" w:eastAsia="hr-HR" w:bidi="hr-HR"/>
        </w:rPr>
        <w:t xml:space="preserve"> snađe bol, tada se ne smije reći: Idem kući jesti i piti i mir s tobom, dušo moja...Naprotiv, čovjek mora sudjelo</w:t>
        <w:softHyphen/>
        <w:t>vati u bolu zajednice« (b Taanit 11a). Obveza odgovornosti prema cjelini nije se ograniča</w:t>
        <w:softHyphen/>
        <w:t>vala samo na doba patnje; bila je izražena i u obilju opomena i propisa radi zaštite čovjeko</w:t>
        <w:softHyphen/>
        <w:t>va prirodnog okoliša - primjerice, stari su tu</w:t>
        <w:softHyphen/>
        <w:t xml:space="preserve">mači uporno ponavljali zabranu uništavanja stabala (Pnz 20,19): »Čovjekov život ovisi o stablu« (Šifre u vezi s tim mjestom; o tome i komentari Abrahama </w:t>
      </w:r>
      <w:r>
        <w:rPr>
          <w:rFonts w:ascii="Times New Roman" w:eastAsia="Times New Roman" w:hAnsi="Times New Roman" w:cs="Times New Roman"/>
          <w:color w:val="000000"/>
          <w:spacing w:val="0"/>
          <w:w w:val="100"/>
          <w:position w:val="0"/>
          <w:shd w:val="clear" w:color="auto" w:fill="auto"/>
          <w:lang w:val="en-US" w:eastAsia="en-US" w:bidi="en-US"/>
        </w:rPr>
        <w:t xml:space="preserve">ibn </w:t>
      </w:r>
      <w:r>
        <w:rPr>
          <w:rFonts w:ascii="Times New Roman" w:eastAsia="Times New Roman" w:hAnsi="Times New Roman" w:cs="Times New Roman"/>
          <w:color w:val="000000"/>
          <w:spacing w:val="0"/>
          <w:w w:val="100"/>
          <w:position w:val="0"/>
          <w:shd w:val="clear" w:color="auto" w:fill="auto"/>
          <w:lang w:val="hr-HR" w:eastAsia="hr-HR" w:bidi="hr-HR"/>
        </w:rPr>
        <w:t xml:space="preserve">Ezre </w:t>
      </w:r>
      <w:r>
        <w:rPr>
          <w:rFonts w:ascii="Times New Roman" w:eastAsia="Times New Roman" w:hAnsi="Times New Roman" w:cs="Times New Roman"/>
          <w:color w:val="000000"/>
          <w:spacing w:val="0"/>
          <w:w w:val="100"/>
          <w:position w:val="0"/>
          <w:shd w:val="clear" w:color="auto" w:fill="auto"/>
          <w:lang w:val="en-US" w:eastAsia="en-US" w:bidi="en-US"/>
        </w:rPr>
        <w:t xml:space="preserve">/XI./XII. </w:t>
      </w:r>
      <w:r>
        <w:rPr>
          <w:rFonts w:ascii="Times New Roman" w:eastAsia="Times New Roman" w:hAnsi="Times New Roman" w:cs="Times New Roman"/>
          <w:color w:val="000000"/>
          <w:spacing w:val="0"/>
          <w:w w:val="100"/>
          <w:position w:val="0"/>
          <w:shd w:val="clear" w:color="auto" w:fill="auto"/>
          <w:lang w:val="hr-HR" w:eastAsia="hr-HR" w:bidi="hr-HR"/>
        </w:rPr>
        <w:t>sto</w:t>
        <w:softHyphen/>
        <w:t xml:space="preserve">ljeće/; S. R. </w:t>
      </w:r>
      <w:r>
        <w:rPr>
          <w:rFonts w:ascii="Times New Roman" w:eastAsia="Times New Roman" w:hAnsi="Times New Roman" w:cs="Times New Roman"/>
          <w:color w:val="000000"/>
          <w:spacing w:val="0"/>
          <w:w w:val="100"/>
          <w:position w:val="0"/>
          <w:shd w:val="clear" w:color="auto" w:fill="auto"/>
          <w:lang w:val="en-US" w:eastAsia="en-US" w:bidi="en-US"/>
        </w:rPr>
        <w:t xml:space="preserve">Hirsch </w:t>
      </w:r>
      <w:r>
        <w:rPr>
          <w:rFonts w:ascii="Times New Roman" w:eastAsia="Times New Roman" w:hAnsi="Times New Roman" w:cs="Times New Roman"/>
          <w:color w:val="000000"/>
          <w:spacing w:val="0"/>
          <w:w w:val="100"/>
          <w:position w:val="0"/>
          <w:shd w:val="clear" w:color="auto" w:fill="auto"/>
          <w:lang w:val="hr-HR" w:eastAsia="hr-HR" w:bidi="hr-HR"/>
        </w:rPr>
        <w:t>/XIX. stoljeće/); kada Miš- na propisuje da se ima čuvati zeleni pojas oko gradova (Arahin IX,8; Bava batra 11,7) i štititi poljodjelstvo od stočarstva (Bava kama VII,7), a midraš promiče sadnju i sjetvu (Vajikra raba XXV,19,23). To obuhvaća i skrb za zaštitu društvenog okoliša: zapovijedi iz talmudskoga doba o održavanju čistoće stambenih područ</w:t>
        <w:softHyphen/>
        <w:t>ja i zraka, o izbjegavanju nepotrebne buke i obziru prema susjedima služile su očuvanju i poticanju zdravlja ljudi u gradovima s natpro</w:t>
        <w:softHyphen/>
        <w:t>sječnom gustoćom stanovništva (M Bava ba</w:t>
        <w:softHyphen/>
        <w:t>tra 11,1-4.8 i d.; Tos. Terumot Vll, 14). Oslanja</w:t>
        <w:softHyphen/>
        <w:t xml:space="preserve">jući se na biblijsko-talmudske izvore, Majmo- </w:t>
      </w:r>
      <w:r>
        <w:rPr>
          <w:rFonts w:ascii="Times New Roman" w:eastAsia="Times New Roman" w:hAnsi="Times New Roman" w:cs="Times New Roman"/>
          <w:color w:val="000000"/>
          <w:spacing w:val="0"/>
          <w:w w:val="100"/>
          <w:position w:val="0"/>
          <w:shd w:val="clear" w:color="auto" w:fill="auto"/>
          <w:lang w:val="en-US" w:eastAsia="en-US" w:bidi="en-US"/>
        </w:rPr>
        <w:t xml:space="preserve">nid (XII./XIII. </w:t>
      </w:r>
      <w:r>
        <w:rPr>
          <w:rFonts w:ascii="Times New Roman" w:eastAsia="Times New Roman" w:hAnsi="Times New Roman" w:cs="Times New Roman"/>
          <w:color w:val="000000"/>
          <w:spacing w:val="0"/>
          <w:w w:val="100"/>
          <w:position w:val="0"/>
          <w:shd w:val="clear" w:color="auto" w:fill="auto"/>
          <w:lang w:val="hr-HR" w:eastAsia="hr-HR" w:bidi="hr-HR"/>
        </w:rPr>
        <w:t>stoljeće) se potanko bavio pi</w:t>
        <w:softHyphen/>
        <w:t>tanjima odgovornosti čovjeka za okoliš (Mis</w:t>
        <w:softHyphen/>
        <w:t xml:space="preserve">ne Tora, Hilhot šehenim </w:t>
      </w:r>
      <w:r>
        <w:rPr>
          <w:rFonts w:ascii="Times New Roman" w:eastAsia="Times New Roman" w:hAnsi="Times New Roman" w:cs="Times New Roman"/>
          <w:color w:val="000000"/>
          <w:spacing w:val="0"/>
          <w:w w:val="100"/>
          <w:position w:val="0"/>
          <w:shd w:val="clear" w:color="auto" w:fill="auto"/>
          <w:lang w:val="en-US" w:eastAsia="en-US" w:bidi="en-US"/>
        </w:rPr>
        <w:t xml:space="preserve">X.4.11 </w:t>
      </w:r>
      <w:r>
        <w:rPr>
          <w:rFonts w:ascii="Times New Roman" w:eastAsia="Times New Roman" w:hAnsi="Times New Roman" w:cs="Times New Roman"/>
          <w:color w:val="000000"/>
          <w:spacing w:val="0"/>
          <w:w w:val="100"/>
          <w:position w:val="0"/>
          <w:shd w:val="clear" w:color="auto" w:fill="auto"/>
          <w:lang w:val="hr-HR" w:eastAsia="hr-HR" w:bidi="hr-HR"/>
        </w:rPr>
        <w:t xml:space="preserve">i d.; XI,1.4 i d.; Hilhot niske mamon 1,1; XII,1 i d.; XIV,2.5.15; Hilhot roccah XI,4-6; XII,4.14), a time se bavilo i halaško djelo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Šullian aruh </w:t>
      </w:r>
      <w:r>
        <w:rPr>
          <w:rFonts w:ascii="Times New Roman" w:eastAsia="Times New Roman" w:hAnsi="Times New Roman" w:cs="Times New Roman"/>
          <w:i/>
          <w:iCs/>
          <w:color w:val="000000"/>
          <w:spacing w:val="0"/>
          <w:w w:val="100"/>
          <w:position w:val="0"/>
          <w:shd w:val="clear" w:color="auto" w:fill="auto"/>
          <w:lang w:val="hr-HR" w:eastAsia="hr-HR" w:bidi="hr-HR"/>
        </w:rPr>
        <w:t>(Hošen mišpat</w:t>
      </w:r>
      <w:r>
        <w:rPr>
          <w:rFonts w:ascii="Times New Roman" w:eastAsia="Times New Roman" w:hAnsi="Times New Roman" w:cs="Times New Roman"/>
          <w:color w:val="000000"/>
          <w:spacing w:val="0"/>
          <w:w w:val="100"/>
          <w:position w:val="0"/>
          <w:shd w:val="clear" w:color="auto" w:fill="auto"/>
          <w:lang w:val="hr-HR" w:eastAsia="hr-HR" w:bidi="hr-HR"/>
        </w:rPr>
        <w:t xml:space="preserve"> 156 § 1-4; 417 § 1.5. i d.) </w:t>
      </w:r>
      <w:r>
        <w:rPr>
          <w:rFonts w:ascii="Times New Roman" w:eastAsia="Times New Roman" w:hAnsi="Times New Roman" w:cs="Times New Roman"/>
          <w:color w:val="000000"/>
          <w:spacing w:val="0"/>
          <w:w w:val="100"/>
          <w:position w:val="0"/>
          <w:shd w:val="clear" w:color="auto" w:fill="auto"/>
          <w:lang w:val="en-US" w:eastAsia="en-US" w:bidi="en-US"/>
        </w:rPr>
        <w:t xml:space="preserve">Josefa Kara (XV./XVI. </w:t>
      </w:r>
      <w:r>
        <w:rPr>
          <w:rFonts w:ascii="Times New Roman" w:eastAsia="Times New Roman" w:hAnsi="Times New Roman" w:cs="Times New Roman"/>
          <w:color w:val="000000"/>
          <w:spacing w:val="0"/>
          <w:w w:val="100"/>
          <w:position w:val="0"/>
          <w:shd w:val="clear" w:color="auto" w:fill="auto"/>
          <w:lang w:val="hr-HR" w:eastAsia="hr-HR" w:bidi="hr-HR"/>
        </w:rPr>
        <w:t>stoljeće), koje jc s vremenom postalo kanonsko.</w:t>
      </w:r>
    </w:p>
    <w:p>
      <w:pPr>
        <w:pStyle w:val="Style56"/>
        <w:keepNext w:val="0"/>
        <w:keepLines w:val="0"/>
        <w:widowControl w:val="0"/>
        <w:shd w:val="clear" w:color="auto" w:fill="auto"/>
        <w:tabs>
          <w:tab w:pos="2419"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P. Navć </w:t>
      </w:r>
      <w:r>
        <w:rPr>
          <w:color w:val="000000"/>
          <w:spacing w:val="0"/>
          <w:w w:val="100"/>
          <w:position w:val="0"/>
          <w:shd w:val="clear" w:color="auto" w:fill="auto"/>
        </w:rPr>
        <w:t xml:space="preserve">Ixvinson, </w:t>
      </w:r>
      <w:r>
        <w:rPr>
          <w:i/>
          <w:iCs/>
          <w:color w:val="000000"/>
          <w:spacing w:val="0"/>
          <w:w w:val="100"/>
          <w:position w:val="0"/>
          <w:shd w:val="clear" w:color="auto" w:fill="auto"/>
          <w:lang w:val="hr-HR" w:eastAsia="hr-HR" w:bidi="hr-HR"/>
        </w:rPr>
        <w:t xml:space="preserve">Einfuhrung </w:t>
      </w:r>
      <w:r>
        <w:rPr>
          <w:i/>
          <w:iCs/>
          <w:color w:val="000000"/>
          <w:spacing w:val="0"/>
          <w:w w:val="100"/>
          <w:position w:val="0"/>
          <w:shd w:val="clear" w:color="auto" w:fill="auto"/>
        </w:rPr>
        <w:t>in die rabbinische The- ologie,</w:t>
      </w:r>
      <w:r>
        <w:rPr>
          <w:color w:val="000000"/>
          <w:spacing w:val="0"/>
          <w:w w:val="100"/>
          <w:position w:val="0"/>
          <w:shd w:val="clear" w:color="auto" w:fill="auto"/>
        </w:rPr>
        <w:t xml:space="preserve"> 1982.108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R. Gradwohl. </w:t>
      </w:r>
      <w:r>
        <w:rPr>
          <w:i/>
          <w:iCs/>
          <w:color w:val="000000"/>
          <w:spacing w:val="0"/>
          <w:w w:val="100"/>
          <w:position w:val="0"/>
          <w:shd w:val="clear" w:color="auto" w:fill="auto"/>
        </w:rPr>
        <w:t>Grundgesetze desJuden- turns,</w:t>
      </w:r>
      <w:r>
        <w:rPr>
          <w:color w:val="000000"/>
          <w:spacing w:val="0"/>
          <w:w w:val="100"/>
          <w:position w:val="0"/>
          <w:shd w:val="clear" w:color="auto" w:fill="auto"/>
        </w:rPr>
        <w:t xml:space="preserve"> ’1984,113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w:t>
        <w:tab/>
        <w:t>D. VE JTKR</w:t>
      </w:r>
    </w:p>
    <w:p>
      <w:pPr>
        <w:pStyle w:val="Style63"/>
        <w:keepNext/>
        <w:keepLines/>
        <w:widowControl w:val="0"/>
        <w:numPr>
          <w:ilvl w:val="0"/>
          <w:numId w:val="381"/>
        </w:numPr>
        <w:shd w:val="clear" w:color="auto" w:fill="auto"/>
        <w:tabs>
          <w:tab w:pos="260" w:val="left"/>
        </w:tabs>
        <w:bidi w:val="0"/>
        <w:spacing w:before="0"/>
        <w:ind w:left="0" w:right="0" w:firstLine="0"/>
        <w:jc w:val="both"/>
      </w:pPr>
      <w:bookmarkStart w:id="233" w:name="bookmark23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3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Problem </w:t>
      </w:r>
      <w:r>
        <w:rPr>
          <w:rFonts w:ascii="Times New Roman" w:eastAsia="Times New Roman" w:hAnsi="Times New Roman" w:cs="Times New Roman"/>
          <w:i/>
          <w:iCs/>
          <w:color w:val="000000"/>
          <w:spacing w:val="0"/>
          <w:w w:val="100"/>
          <w:position w:val="0"/>
          <w:shd w:val="clear" w:color="auto" w:fill="auto"/>
          <w:lang w:val="hr-HR" w:eastAsia="hr-HR" w:bidi="hr-HR"/>
        </w:rPr>
        <w:t>svijeta</w:t>
      </w:r>
      <w:r>
        <w:rPr>
          <w:rFonts w:ascii="Times New Roman" w:eastAsia="Times New Roman" w:hAnsi="Times New Roman" w:cs="Times New Roman"/>
          <w:color w:val="000000"/>
          <w:spacing w:val="0"/>
          <w:w w:val="100"/>
          <w:position w:val="0"/>
          <w:shd w:val="clear" w:color="auto" w:fill="auto"/>
          <w:lang w:val="hr-HR" w:eastAsia="hr-HR" w:bidi="hr-HR"/>
        </w:rPr>
        <w:t xml:space="preserve"> nije dugo vremena bio tema- tiziran u povijesti duha. Što se filozofski misli pod svijetom, ostalo je većinom nejasno. Sa</w:t>
        <w:softHyphen/>
        <w:t>dašnja filozofija svakako se trudi »oko toč</w:t>
        <w:softHyphen/>
        <w:t xml:space="preserve">nijeg shvaćanja fenomena i pojma« (H. R. Schlette). Slično vrijedi za pojam </w:t>
      </w:r>
      <w:r>
        <w:rPr>
          <w:rFonts w:ascii="Times New Roman" w:eastAsia="Times New Roman" w:hAnsi="Times New Roman" w:cs="Times New Roman"/>
          <w:i/>
          <w:iCs/>
          <w:color w:val="000000"/>
          <w:spacing w:val="0"/>
          <w:w w:val="100"/>
          <w:position w:val="0"/>
          <w:shd w:val="clear" w:color="auto" w:fill="auto"/>
          <w:lang w:val="hr-HR" w:eastAsia="hr-HR" w:bidi="hr-HR"/>
        </w:rPr>
        <w:t xml:space="preserve">odgovornost. </w:t>
      </w:r>
      <w:r>
        <w:rPr>
          <w:rFonts w:ascii="Times New Roman" w:eastAsia="Times New Roman" w:hAnsi="Times New Roman" w:cs="Times New Roman"/>
          <w:color w:val="000000"/>
          <w:spacing w:val="0"/>
          <w:w w:val="100"/>
          <w:position w:val="0"/>
          <w:shd w:val="clear" w:color="auto" w:fill="auto"/>
          <w:lang w:val="hr-HR" w:eastAsia="hr-HR" w:bidi="hr-HR"/>
        </w:rPr>
        <w:t>Današnja etika bavi se njime u znaku tehnolo</w:t>
        <w:softHyphen/>
        <w:t xml:space="preserve">gije radnjama posljedice kojih daleko prelaze sve što je dosad bilo uobičajeno. To pomiče »odgovornost u središte etike« (H. </w:t>
      </w:r>
      <w:r>
        <w:rPr>
          <w:rFonts w:ascii="Times New Roman" w:eastAsia="Times New Roman" w:hAnsi="Times New Roman" w:cs="Times New Roman"/>
          <w:color w:val="000000"/>
          <w:spacing w:val="0"/>
          <w:w w:val="100"/>
          <w:position w:val="0"/>
          <w:shd w:val="clear" w:color="auto" w:fill="auto"/>
          <w:lang w:val="en-US" w:eastAsia="en-US" w:bidi="en-US"/>
        </w:rPr>
        <w:t xml:space="preserve">Jonas) </w:t>
      </w:r>
      <w:r>
        <w:rPr>
          <w:rFonts w:ascii="Times New Roman" w:eastAsia="Times New Roman" w:hAnsi="Times New Roman" w:cs="Times New Roman"/>
          <w:color w:val="000000"/>
          <w:spacing w:val="0"/>
          <w:w w:val="100"/>
          <w:position w:val="0"/>
          <w:shd w:val="clear" w:color="auto" w:fill="auto"/>
          <w:lang w:val="hr-HR" w:eastAsia="hr-HR" w:bidi="hr-HR"/>
        </w:rPr>
        <w:t>i čini nužnom ontološki utemeljenu teoriju od</w:t>
        <w:softHyphen/>
        <w:t>govornosti.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Iskazi o svijetu u NZ različiti su i čak suprotni. Svijet se s jedne strane doživljava kao nesa</w:t>
        <w:softHyphen/>
        <w:t>vršen i opasan i isto se tako drži da je pod vlašću sotone (Rim 16,20; 1 Kor 5,5; 7,5; 2 Kor 2,11; 4,4; 1 Sol 2,18), a s druge strane nema ni najmanje sumnje da svijet ima svoj iz</w:t>
        <w:softHyphen/>
        <w:t xml:space="preserve">vor u Bogu i da stoji »pod Božjom provid- nošću« (Mk 13,19; Dj 4, 24; 17, 24; Rim 1, 25; 1 Kor 8,6; Ef 3,9; Heb 1,10; Otk 4,11; 10,6 i </w:t>
      </w: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(N. Brox). Svijet jc stvoren po Kristu (Iv 1,3; 1,10; 1 Kor 8,6; Kol 1,15 i d.; Heb 1,2; Otk 3,14) i stoga ne može biti bitno loš (Rim 14,14; 14,20; 1 Kor 10,25 i d.; 1 Tim 4,3 i d.). Negativne iskaze o svijetu treba razumijevati samo u svezi s antitetičkim pojmovima spa</w:t>
        <w:softHyphen/>
        <w:t>senja kao što je dualizam i to kao »dualizam odluke« (R. Bultmann), ali ne i kao kozmo- loški dualizam. Prema tomu, po NZ, odnos kršćanina prema svijetu zahtijeva istodobno odmak i služenje, odluku za Boga koja ne do</w:t>
        <w:softHyphen/>
        <w:t>pušta nikakav bijeg od svijeta kao ni ikakvo nijekanje svijeta (F. Mussncr).</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Kršćanska o. z. s. počiva - ako sažmemo is</w:t>
        <w:softHyphen/>
        <w:t xml:space="preserve">kaze NZ - na </w:t>
      </w:r>
      <w:r>
        <w:rPr>
          <w:rFonts w:ascii="Times New Roman" w:eastAsia="Times New Roman" w:hAnsi="Times New Roman" w:cs="Times New Roman"/>
          <w:i/>
          <w:iCs/>
          <w:color w:val="000000"/>
          <w:spacing w:val="0"/>
          <w:w w:val="100"/>
          <w:position w:val="0"/>
          <w:shd w:val="clear" w:color="auto" w:fill="auto"/>
          <w:lang w:val="hr-HR" w:eastAsia="hr-HR" w:bidi="hr-HR"/>
        </w:rPr>
        <w:t>tajni postanka</w:t>
      </w:r>
      <w:r>
        <w:rPr>
          <w:rFonts w:ascii="Times New Roman" w:eastAsia="Times New Roman" w:hAnsi="Times New Roman" w:cs="Times New Roman"/>
          <w:color w:val="000000"/>
          <w:spacing w:val="0"/>
          <w:w w:val="100"/>
          <w:position w:val="0"/>
          <w:shd w:val="clear" w:color="auto" w:fill="auto"/>
          <w:lang w:val="hr-HR" w:eastAsia="hr-HR" w:bidi="hr-HR"/>
        </w:rPr>
        <w:t xml:space="preserve"> (Post 1,28). Čo</w:t>
        <w:softHyphen/>
        <w:t>vjek »jc pozvan na suradnju u razvoju božan</w:t>
        <w:softHyphen/>
        <w:t xml:space="preserve">skog stvaranja svijeta« (A. Auer). Ona nadalje proizlazi iz </w:t>
      </w:r>
      <w:r>
        <w:rPr>
          <w:rFonts w:ascii="Times New Roman" w:eastAsia="Times New Roman" w:hAnsi="Times New Roman" w:cs="Times New Roman"/>
          <w:i/>
          <w:iCs/>
          <w:color w:val="000000"/>
          <w:spacing w:val="0"/>
          <w:w w:val="100"/>
          <w:position w:val="0"/>
          <w:shd w:val="clear" w:color="auto" w:fill="auto"/>
          <w:lang w:val="hr-HR" w:eastAsia="hr-HR" w:bidi="hr-HR"/>
        </w:rPr>
        <w:t>tajne zla:</w:t>
      </w:r>
      <w:r>
        <w:rPr>
          <w:rFonts w:ascii="Times New Roman" w:eastAsia="Times New Roman" w:hAnsi="Times New Roman" w:cs="Times New Roman"/>
          <w:color w:val="000000"/>
          <w:spacing w:val="0"/>
          <w:w w:val="100"/>
          <w:position w:val="0"/>
          <w:shd w:val="clear" w:color="auto" w:fill="auto"/>
          <w:lang w:val="hr-HR" w:eastAsia="hr-HR" w:bidi="hr-HR"/>
        </w:rPr>
        <w:t xml:space="preserve"> Kršćanin je kao partner »Boga koji spašava svijet« (A. Auer) pozvan svladati raspadajuće, razarajuće sile u svijetu pa i zastupničkom pokorom (E. </w:t>
      </w:r>
      <w:r>
        <w:rPr>
          <w:rFonts w:ascii="Times New Roman" w:eastAsia="Times New Roman" w:hAnsi="Times New Roman" w:cs="Times New Roman"/>
          <w:color w:val="000000"/>
          <w:spacing w:val="0"/>
          <w:w w:val="100"/>
          <w:position w:val="0"/>
          <w:shd w:val="clear" w:color="auto" w:fill="auto"/>
          <w:lang w:val="en-US" w:eastAsia="en-US" w:bidi="en-US"/>
        </w:rPr>
        <w:t xml:space="preserve">Schillebeeckx). </w:t>
      </w:r>
      <w:r>
        <w:rPr>
          <w:rFonts w:ascii="Times New Roman" w:eastAsia="Times New Roman" w:hAnsi="Times New Roman" w:cs="Times New Roman"/>
          <w:color w:val="000000"/>
          <w:spacing w:val="0"/>
          <w:w w:val="100"/>
          <w:position w:val="0"/>
          <w:shd w:val="clear" w:color="auto" w:fill="auto"/>
          <w:lang w:val="hr-HR" w:eastAsia="hr-HR" w:bidi="hr-HR"/>
        </w:rPr>
        <w:t>Kršćanska o. z. s. počiva nadalje na Kristovoj tajni na temelju koje jc čovjek povezan s</w:t>
      </w:r>
    </w:p>
    <w:p>
      <w:pPr>
        <w:pStyle w:val="Style20"/>
        <w:keepNext w:val="0"/>
        <w:keepLines w:val="0"/>
        <w:widowControl w:val="0"/>
        <w:shd w:val="clear" w:color="auto" w:fill="auto"/>
        <w:bidi w:val="0"/>
        <w:spacing w:before="0" w:after="60"/>
        <w:ind w:left="0" w:right="0" w:firstLine="0"/>
        <w:jc w:val="both"/>
        <w:sectPr>
          <w:headerReference w:type="default" r:id="rId991"/>
          <w:footerReference w:type="default" r:id="rId992"/>
          <w:headerReference w:type="even" r:id="rId993"/>
          <w:footerReference w:type="even" r:id="rId994"/>
          <w:headerReference w:type="first" r:id="rId995"/>
          <w:footerReference w:type="first" r:id="rId996"/>
          <w:footnotePr>
            <w:pos w:val="pageBottom"/>
            <w:numFmt w:val="decimal"/>
            <w:numRestart w:val="continuous"/>
            <w15:footnoteColumns w:val="1"/>
          </w:footnotePr>
          <w:pgSz w:w="6816" w:h="11006"/>
          <w:pgMar w:top="786" w:left="193" w:right="196" w:bottom="342" w:header="0" w:footer="3" w:gutter="0"/>
          <w:cols w:num="2" w:space="192"/>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Kristom i obvezan na suradnju u »posvećiva</w:t>
        <w:softHyphen/>
        <w:t xml:space="preserve">nju svijeta« (A. Auer), a to znači da je dobio nalog misionariti. </w:t>
      </w:r>
      <w:r>
        <w:rPr>
          <w:rFonts w:ascii="Times New Roman" w:eastAsia="Times New Roman" w:hAnsi="Times New Roman" w:cs="Times New Roman"/>
          <w:i/>
          <w:iCs/>
          <w:color w:val="000000"/>
          <w:spacing w:val="0"/>
          <w:w w:val="100"/>
          <w:position w:val="0"/>
          <w:shd w:val="clear" w:color="auto" w:fill="auto"/>
          <w:lang w:val="hr-HR" w:eastAsia="hr-HR" w:bidi="hr-HR"/>
        </w:rPr>
        <w:t>Povijesno</w:t>
      </w:r>
      <w:r>
        <w:rPr>
          <w:rFonts w:ascii="Times New Roman" w:eastAsia="Times New Roman" w:hAnsi="Times New Roman" w:cs="Times New Roman"/>
          <w:color w:val="000000"/>
          <w:spacing w:val="0"/>
          <w:w w:val="100"/>
          <w:position w:val="0"/>
          <w:shd w:val="clear" w:color="auto" w:fill="auto"/>
          <w:lang w:val="hr-HR" w:eastAsia="hr-HR" w:bidi="hr-HR"/>
        </w:rPr>
        <w:t xml:space="preserve"> gledano, proizašla su različita naglašavanja. Dugo jc djelovalo shvaćanje svijeta koje jc dominiralo u sred</w:t>
        <w:softHyphen/>
        <w:t>njem vijeku, a karakterizira ga praktički duali</w:t>
        <w:softHyphen/>
        <w:t>zam. Nasuprot tomu, praktički bez šireg dje</w:t>
        <w:softHyphen/>
        <w:t>lovanja, ostala su »suprotna polazišta kao npr. ljubav prema prirodi Franje Asiškoga ili teo</w:t>
        <w:softHyphen/>
        <w:t>logija Akvinca« (H. R. Schlette), osobito nje</w:t>
        <w:softHyphen/>
        <w:t xml:space="preserve">govo učenje o značenju drugih uzroka. Dok je sve do novoga doba svijet mogao vrijediti kao </w:t>
      </w:r>
      <w:r>
        <w:rPr>
          <w:rFonts w:ascii="Times New Roman" w:eastAsia="Times New Roman" w:hAnsi="Times New Roman" w:cs="Times New Roman"/>
          <w:color w:val="000000"/>
          <w:spacing w:val="0"/>
          <w:w w:val="100"/>
          <w:position w:val="0"/>
          <w:shd w:val="clear" w:color="auto" w:fill="auto"/>
          <w:lang w:val="en-US" w:eastAsia="en-US" w:bidi="en-US"/>
        </w:rPr>
        <w:t xml:space="preserve">vestigia Dei </w:t>
      </w:r>
      <w:r>
        <w:rPr>
          <w:rFonts w:ascii="Times New Roman" w:eastAsia="Times New Roman" w:hAnsi="Times New Roman" w:cs="Times New Roman"/>
          <w:color w:val="000000"/>
          <w:spacing w:val="0"/>
          <w:w w:val="100"/>
          <w:position w:val="0"/>
          <w:shd w:val="clear" w:color="auto" w:fill="auto"/>
          <w:lang w:val="hr-HR" w:eastAsia="hr-HR" w:bidi="hr-HR"/>
        </w:rPr>
        <w:t>(Božji tragovi), dotle se u sadaš</w:t>
        <w:softHyphen/>
        <w:t xml:space="preserve">njosti više doživljava kao svijet (stvaralačkog) čovjeka, kao </w:t>
      </w:r>
      <w:r>
        <w:rPr>
          <w:rFonts w:ascii="Times New Roman" w:eastAsia="Times New Roman" w:hAnsi="Times New Roman" w:cs="Times New Roman"/>
          <w:color w:val="000000"/>
          <w:spacing w:val="0"/>
          <w:w w:val="100"/>
          <w:position w:val="0"/>
          <w:shd w:val="clear" w:color="auto" w:fill="auto"/>
          <w:lang w:val="en-US" w:eastAsia="en-US" w:bidi="en-US"/>
        </w:rPr>
        <w:t xml:space="preserve">vestigia </w:t>
      </w:r>
      <w:r>
        <w:rPr>
          <w:rFonts w:ascii="Times New Roman" w:eastAsia="Times New Roman" w:hAnsi="Times New Roman" w:cs="Times New Roman"/>
          <w:color w:val="000000"/>
          <w:spacing w:val="0"/>
          <w:w w:val="100"/>
          <w:position w:val="0"/>
          <w:shd w:val="clear" w:color="auto" w:fill="auto"/>
          <w:lang w:val="hr-HR" w:eastAsia="hr-HR" w:bidi="hr-HR"/>
        </w:rPr>
        <w:t>hominis, »kao što se po</w:t>
        <w:softHyphen/>
        <w:t xml:space="preserve">kazalo u novovjekovnom procesu posvjetov- ljenja«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B. Metz). I ovaj »svjetovni svijet«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B. Metz) neopozivo je prihvaćen od Boga u njegovu Sinu. Odatle kršćanin stječe razu</w:t>
        <w:softHyphen/>
        <w:t>mijevanje svijeta primjereno svojoj epohi. Svi</w:t>
        <w:softHyphen/>
        <w:t xml:space="preserve">jet je primjereno svojoj stvorenosti istodobno </w:t>
      </w:r>
      <w:r>
        <w:rPr>
          <w:rFonts w:ascii="Times New Roman" w:eastAsia="Times New Roman" w:hAnsi="Times New Roman" w:cs="Times New Roman"/>
          <w:i/>
          <w:iCs/>
          <w:color w:val="000000"/>
          <w:spacing w:val="0"/>
          <w:w w:val="100"/>
          <w:position w:val="0"/>
          <w:shd w:val="clear" w:color="auto" w:fill="auto"/>
          <w:lang w:val="hr-HR" w:eastAsia="hr-HR" w:bidi="hr-HR"/>
        </w:rPr>
        <w:t>autonoman i upućen</w:t>
      </w:r>
      <w:r>
        <w:rPr>
          <w:rFonts w:ascii="Times New Roman" w:eastAsia="Times New Roman" w:hAnsi="Times New Roman" w:cs="Times New Roman"/>
          <w:color w:val="000000"/>
          <w:spacing w:val="0"/>
          <w:w w:val="100"/>
          <w:position w:val="0"/>
          <w:shd w:val="clear" w:color="auto" w:fill="auto"/>
          <w:lang w:val="hr-HR" w:eastAsia="hr-HR" w:bidi="hr-HR"/>
        </w:rPr>
        <w:t xml:space="preserve"> (na Boga), što se ne is</w:t>
        <w:softHyphen/>
        <w:t>ključuje ako je ta upućenost kao uzor više usmjerena na zakonitosti osobnog ponašanja (prijateljstvo) nego na zakonitosti s područja prirode, svijeta stvari. Bog prihvaćajući oslo</w:t>
        <w:softHyphen/>
        <w:t xml:space="preserve">bađa »ono drugo u vlastitost samoga bitka«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B. Metz). Tako gledano, kršćaninu više no ikada postaje vidljiva njegova kršćanska o. z. s. kao »posredniku, gotovo kao mjestu za prc- krcavanje oslobođenog svijeta«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B. Metz). »Teologija svijeta« </w:t>
      </w:r>
      <w:r>
        <w:rPr>
          <w:rFonts w:ascii="Times New Roman" w:eastAsia="Times New Roman" w:hAnsi="Times New Roman" w:cs="Times New Roman"/>
          <w:color w:val="000000"/>
          <w:spacing w:val="0"/>
          <w:w w:val="100"/>
          <w:position w:val="0"/>
          <w:shd w:val="clear" w:color="auto" w:fill="auto"/>
          <w:lang w:val="en-US" w:eastAsia="en-US" w:bidi="en-US"/>
        </w:rPr>
        <w:t xml:space="preserve">(A. Menningen) </w:t>
      </w:r>
      <w:r>
        <w:rPr>
          <w:rFonts w:ascii="Times New Roman" w:eastAsia="Times New Roman" w:hAnsi="Times New Roman" w:cs="Times New Roman"/>
          <w:color w:val="000000"/>
          <w:spacing w:val="0"/>
          <w:w w:val="100"/>
          <w:position w:val="0"/>
          <w:shd w:val="clear" w:color="auto" w:fill="auto"/>
          <w:lang w:val="hr-HR" w:eastAsia="hr-HR" w:bidi="hr-HR"/>
        </w:rPr>
        <w:t xml:space="preserve">najprije snažno ističe </w:t>
      </w:r>
      <w:r>
        <w:rPr>
          <w:rFonts w:ascii="Times New Roman" w:eastAsia="Times New Roman" w:hAnsi="Times New Roman" w:cs="Times New Roman"/>
          <w:i/>
          <w:iCs/>
          <w:color w:val="000000"/>
          <w:spacing w:val="0"/>
          <w:w w:val="100"/>
          <w:position w:val="0"/>
          <w:shd w:val="clear" w:color="auto" w:fill="auto"/>
          <w:lang w:val="hr-HR" w:eastAsia="hr-HR" w:bidi="hr-HR"/>
        </w:rPr>
        <w:t>autonomiju</w:t>
      </w:r>
      <w:r>
        <w:rPr>
          <w:rFonts w:ascii="Times New Roman" w:eastAsia="Times New Roman" w:hAnsi="Times New Roman" w:cs="Times New Roman"/>
          <w:color w:val="000000"/>
          <w:spacing w:val="0"/>
          <w:w w:val="100"/>
          <w:position w:val="0"/>
          <w:shd w:val="clear" w:color="auto" w:fill="auto"/>
          <w:lang w:val="hr-HR" w:eastAsia="hr-HR" w:bidi="hr-HR"/>
        </w:rPr>
        <w:t xml:space="preserve"> ovozemnih stvarnos</w:t>
        <w:softHyphen/>
        <w:t>ti, »autonomiju ljudi, društava i znanosti« (Pastoralna konstitucija o Crkvi u suvreme</w:t>
        <w:softHyphen/>
        <w:t>nom svijetu, 36). Vlastite zakone i vrijednosti ovih područja »čovjek mora postupno otkri</w:t>
        <w:softHyphen/>
        <w:t>vati, primjenjivati i sređivati« (isto mj.). Čo</w:t>
        <w:softHyphen/>
        <w:t>vjek sudjeluje kao suradnik i Božji partner u Kristu u stvaranju i otkupljenju svijeta na svim područjima koja pripadaju vremenitom redu kao što su obitelj, »kultura, ekonomija, umije</w:t>
        <w:softHyphen/>
        <w:t>ća i struke, ustanove, političke zajednice, me</w:t>
        <w:softHyphen/>
        <w:t>đunarodni odnosi« (Dekret o apostolatu lai</w:t>
        <w:softHyphen/>
        <w:t>ka, 7). To konkretno znači da kršćanska o. z. s. uključuje sve, primjerice, odgovornost za ži</w:t>
        <w:softHyphen/>
        <w:t>vot, nerođen kao i ostario, za živi svijet (eko</w:t>
        <w:softHyphen/>
        <w:t>logija), za oblikovanje političkih i gospodar</w:t>
        <w:softHyphen/>
        <w:t>skih struktura, za promicanje ljudskih prava, za mir u svijetu. Unutar Katoličke crkve iz</w:t>
        <w:softHyphen/>
        <w:t xml:space="preserve">ražavaju se težnje za sve većom odgovornošću za svijet i u ciljevima religioznih zajednica,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svjetovnih</w:t>
      </w:r>
      <w:r>
        <w:rPr>
          <w:rFonts w:ascii="Times New Roman" w:eastAsia="Times New Roman" w:hAnsi="Times New Roman" w:cs="Times New Roman"/>
          <w:color w:val="000000"/>
          <w:spacing w:val="0"/>
          <w:w w:val="100"/>
          <w:position w:val="0"/>
          <w:shd w:val="clear" w:color="auto" w:fill="auto"/>
          <w:lang w:val="hr-HR" w:eastAsia="hr-HR" w:bidi="hr-HR"/>
        </w:rPr>
        <w:t xml:space="preserve"> instituta koji su nastali u XX. sto</w:t>
        <w:softHyphen/>
        <w:t xml:space="preserve">ljeću i koji vide svoju zadaću </w:t>
      </w:r>
      <w:r>
        <w:rPr>
          <w:rFonts w:ascii="Times New Roman" w:eastAsia="Times New Roman" w:hAnsi="Times New Roman" w:cs="Times New Roman"/>
          <w:i/>
          <w:iCs/>
          <w:color w:val="000000"/>
          <w:spacing w:val="0"/>
          <w:w w:val="100"/>
          <w:position w:val="0"/>
          <w:shd w:val="clear" w:color="auto" w:fill="auto"/>
          <w:lang w:val="hr-HR" w:eastAsia="hr-HR" w:bidi="hr-HR"/>
        </w:rPr>
        <w:t>u</w:t>
      </w:r>
      <w:r>
        <w:rPr>
          <w:rFonts w:ascii="Times New Roman" w:eastAsia="Times New Roman" w:hAnsi="Times New Roman" w:cs="Times New Roman"/>
          <w:color w:val="000000"/>
          <w:spacing w:val="0"/>
          <w:w w:val="100"/>
          <w:position w:val="0"/>
          <w:shd w:val="clear" w:color="auto" w:fill="auto"/>
          <w:lang w:val="hr-HR" w:eastAsia="hr-HR" w:bidi="hr-HR"/>
        </w:rPr>
        <w:t xml:space="preserve"> svijetu, bilo na pojedinim mjestima bilo u zajedništvima, u pokušaju stvaranja uzora. Jako naglašavanje autonomije zemaljskih stvarnosti, osobito čo</w:t>
        <w:softHyphen/>
        <w:t>vjeka, moglo bi dovesti do kobne jednostra</w:t>
        <w:softHyphen/>
        <w:t>nosti ako čovjek u vidljivim dimenzijama svoje slobode i svog stvaralaštva nc bi bio upućen na apsolutnu slobodu, na samog Stvoritelja. Kršćanska o. z. s. uključuje svjedočenje o Božjem suverenom pravu.</w:t>
      </w:r>
    </w:p>
    <w:p>
      <w:pPr>
        <w:pStyle w:val="Style56"/>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N. Brox/H. R. Schlcttc, natuknica: </w:t>
      </w:r>
      <w:r>
        <w:rPr>
          <w:color w:val="000000"/>
          <w:spacing w:val="0"/>
          <w:w w:val="100"/>
          <w:position w:val="0"/>
          <w:shd w:val="clear" w:color="auto" w:fill="auto"/>
        </w:rPr>
        <w:t xml:space="preserve">Welt,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Heinrich Fries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Handbuch theologischer Grundbe&amp;iffe,</w:t>
      </w:r>
      <w:r>
        <w:rPr>
          <w:color w:val="000000"/>
          <w:spacing w:val="0"/>
          <w:w w:val="100"/>
          <w:position w:val="0"/>
          <w:shd w:val="clear" w:color="auto" w:fill="auto"/>
          <w:lang w:val="hr-HR" w:eastAsia="hr-HR" w:bidi="hr-HR"/>
        </w:rPr>
        <w:t xml:space="preserve"> Bd. II, Munchcn 1963, 813-834; F. Mussncr/J. B. Metz/A. Aucr, natuknica: </w:t>
      </w:r>
      <w:r>
        <w:rPr>
          <w:color w:val="000000"/>
          <w:spacing w:val="0"/>
          <w:w w:val="100"/>
          <w:position w:val="0"/>
          <w:shd w:val="clear" w:color="auto" w:fill="auto"/>
        </w:rPr>
        <w:t xml:space="preserve">Welt,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 xml:space="preserve">Lexikon fur </w:t>
      </w:r>
      <w:r>
        <w:rPr>
          <w:i/>
          <w:iCs/>
          <w:color w:val="000000"/>
          <w:spacing w:val="0"/>
          <w:w w:val="100"/>
          <w:position w:val="0"/>
          <w:shd w:val="clear" w:color="auto" w:fill="auto"/>
          <w:lang w:val="hr-HR" w:eastAsia="hr-HR" w:bidi="hr-HR"/>
        </w:rPr>
        <w:t>Theologie und Kirche,</w:t>
      </w:r>
      <w:r>
        <w:rPr>
          <w:color w:val="000000"/>
          <w:spacing w:val="0"/>
          <w:w w:val="100"/>
          <w:position w:val="0"/>
          <w:shd w:val="clear" w:color="auto" w:fill="auto"/>
          <w:lang w:val="hr-HR" w:eastAsia="hr-HR" w:bidi="hr-HR"/>
        </w:rPr>
        <w:t xml:space="preserve"> 10. Bd., </w:t>
      </w:r>
      <w:r>
        <w:rPr>
          <w:color w:val="000000"/>
          <w:spacing w:val="0"/>
          <w:w w:val="100"/>
          <w:position w:val="0"/>
          <w:shd w:val="clear" w:color="auto" w:fill="auto"/>
        </w:rPr>
        <w:t xml:space="preserve">Freiburg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1966; </w:t>
      </w:r>
      <w:r>
        <w:rPr>
          <w:i/>
          <w:iCs/>
          <w:color w:val="000000"/>
          <w:spacing w:val="0"/>
          <w:w w:val="100"/>
          <w:position w:val="0"/>
          <w:shd w:val="clear" w:color="auto" w:fill="auto"/>
          <w:lang w:val="hr-HR" w:eastAsia="hr-HR" w:bidi="hr-HR"/>
        </w:rPr>
        <w:t xml:space="preserve">Da </w:t>
      </w:r>
      <w:r>
        <w:rPr>
          <w:i/>
          <w:iCs/>
          <w:color w:val="000000"/>
          <w:spacing w:val="0"/>
          <w:w w:val="100"/>
          <w:position w:val="0"/>
          <w:shd w:val="clear" w:color="auto" w:fill="auto"/>
        </w:rPr>
        <w:t xml:space="preserve">Christ 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Welt, Konzilsdekrete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4, </w:t>
      </w:r>
      <w:r>
        <w:rPr>
          <w:color w:val="000000"/>
          <w:spacing w:val="0"/>
          <w:w w:val="100"/>
          <w:position w:val="0"/>
          <w:shd w:val="clear" w:color="auto" w:fill="auto"/>
        </w:rPr>
        <w:t xml:space="preserve">Recklinghausen *1966; A. Menningen. </w:t>
      </w:r>
      <w:r>
        <w:rPr>
          <w:i/>
          <w:iCs/>
          <w:color w:val="000000"/>
          <w:spacing w:val="0"/>
          <w:w w:val="100"/>
          <w:position w:val="0"/>
          <w:shd w:val="clear" w:color="auto" w:fill="auto"/>
        </w:rPr>
        <w:t>Christ in wehhafter Eristenz,</w:t>
      </w:r>
      <w:r>
        <w:rPr>
          <w:color w:val="000000"/>
          <w:spacing w:val="0"/>
          <w:w w:val="100"/>
          <w:position w:val="0"/>
          <w:shd w:val="clear" w:color="auto" w:fill="auto"/>
        </w:rPr>
        <w:t xml:space="preserve"> Vallcndar/Schbnstatt 1968; J. B. Metz, </w:t>
      </w:r>
      <w:r>
        <w:rPr>
          <w:i/>
          <w:iCs/>
          <w:color w:val="000000"/>
          <w:spacing w:val="0"/>
          <w:w w:val="100"/>
          <w:position w:val="0"/>
          <w:shd w:val="clear" w:color="auto" w:fill="auto"/>
        </w:rPr>
        <w:t>Zur Theo- togie der Weil,</w:t>
      </w:r>
      <w:r>
        <w:rPr>
          <w:color w:val="000000"/>
          <w:spacing w:val="0"/>
          <w:w w:val="100"/>
          <w:position w:val="0"/>
          <w:shd w:val="clear" w:color="auto" w:fill="auto"/>
        </w:rPr>
        <w:t xml:space="preserve"> MainzyMunchcn 1968; W. Huber/H. E. Todt. </w:t>
      </w:r>
      <w:r>
        <w:rPr>
          <w:i/>
          <w:iCs/>
          <w:color w:val="000000"/>
          <w:spacing w:val="0"/>
          <w:w w:val="100"/>
          <w:position w:val="0"/>
          <w:shd w:val="clear" w:color="auto" w:fill="auto"/>
        </w:rPr>
        <w:t xml:space="preserve">Mertschenrechie. Perspektiven einer menschtichen Welt, </w:t>
      </w:r>
      <w:r>
        <w:rPr>
          <w:color w:val="000000"/>
          <w:spacing w:val="0"/>
          <w:w w:val="100"/>
          <w:position w:val="0"/>
          <w:shd w:val="clear" w:color="auto" w:fill="auto"/>
        </w:rPr>
        <w:t xml:space="preserve">Stuttgart 1977; Katholischc Arbcitnchmcr-Bewcgung Deut- schUnds (Hrsg.), </w:t>
      </w:r>
      <w:r>
        <w:rPr>
          <w:i/>
          <w:iCs/>
          <w:color w:val="000000"/>
          <w:spacing w:val="0"/>
          <w:w w:val="100"/>
          <w:position w:val="0"/>
          <w:shd w:val="clear" w:color="auto" w:fill="auto"/>
          <w:lang w:val="hr-HR" w:eastAsia="hr-HR" w:bidi="hr-HR"/>
        </w:rPr>
        <w:t xml:space="preserve">Tene </w:t>
      </w:r>
      <w:r>
        <w:rPr>
          <w:i/>
          <w:iCs/>
          <w:color w:val="000000"/>
          <w:spacing w:val="0"/>
          <w:w w:val="100"/>
          <w:position w:val="0"/>
          <w:shd w:val="clear" w:color="auto" w:fill="auto"/>
        </w:rPr>
        <w:t>zur kasholischen Sozialiehre,</w:t>
      </w:r>
      <w:r>
        <w:rPr>
          <w:color w:val="000000"/>
          <w:spacing w:val="0"/>
          <w:w w:val="100"/>
          <w:position w:val="0"/>
          <w:shd w:val="clear" w:color="auto" w:fill="auto"/>
        </w:rPr>
        <w:t xml:space="preserve"> Keve</w:t>
        <w:softHyphen/>
        <w:t xml:space="preserve">laer 1976; H. Jonas. </w:t>
      </w:r>
      <w:r>
        <w:rPr>
          <w:i/>
          <w:iCs/>
          <w:color w:val="000000"/>
          <w:spacing w:val="0"/>
          <w:w w:val="100"/>
          <w:position w:val="0"/>
          <w:shd w:val="clear" w:color="auto" w:fill="auto"/>
        </w:rPr>
        <w:t>Das Prinzip Verantworiung. Ver such ei</w:t>
        <w:softHyphen/>
        <w:t>ner Elhik fur die techndogische Zivilisation,</w:t>
      </w:r>
      <w:r>
        <w:rPr>
          <w:color w:val="000000"/>
          <w:spacing w:val="0"/>
          <w:w w:val="100"/>
          <w:position w:val="0"/>
          <w:shd w:val="clear" w:color="auto" w:fill="auto"/>
        </w:rPr>
        <w:t xml:space="preserve"> Frankfurt *1983; H. Schlosser, </w:t>
      </w:r>
      <w:r>
        <w:rPr>
          <w:i/>
          <w:iCs/>
          <w:color w:val="000000"/>
          <w:spacing w:val="0"/>
          <w:w w:val="100"/>
          <w:position w:val="0"/>
          <w:shd w:val="clear" w:color="auto" w:fill="auto"/>
        </w:rPr>
        <w:t>Menschliches Zusammenieben in Frie- den und Freiheit. Zur Theorie und Praxis des intemationalen Schdnstatt^erkes,</w:t>
      </w:r>
      <w:r>
        <w:rPr>
          <w:color w:val="000000"/>
          <w:spacing w:val="0"/>
          <w:w w:val="100"/>
          <w:position w:val="0"/>
          <w:shd w:val="clear" w:color="auto" w:fill="auto"/>
        </w:rPr>
        <w:t xml:space="preserve"> Vallendar/Schiinstatt 1985; E. Schillcbccckx, </w:t>
      </w:r>
      <w:r>
        <w:rPr>
          <w:i/>
          <w:iCs/>
          <w:color w:val="000000"/>
          <w:spacing w:val="0"/>
          <w:w w:val="100"/>
          <w:position w:val="0"/>
          <w:shd w:val="clear" w:color="auto" w:fill="auto"/>
        </w:rPr>
        <w:t>Christus und die Christen,</w:t>
      </w:r>
      <w:r>
        <w:rPr>
          <w:color w:val="000000"/>
          <w:spacing w:val="0"/>
          <w:w w:val="100"/>
          <w:position w:val="0"/>
          <w:shd w:val="clear" w:color="auto" w:fill="auto"/>
        </w:rPr>
        <w:t xml:space="preserve"> Freiburg 1977. H. SCHLOSSER</w:t>
      </w:r>
    </w:p>
    <w:p>
      <w:pPr>
        <w:pStyle w:val="Style63"/>
        <w:keepNext/>
        <w:keepLines/>
        <w:widowControl w:val="0"/>
        <w:numPr>
          <w:ilvl w:val="0"/>
          <w:numId w:val="381"/>
        </w:numPr>
        <w:shd w:val="clear" w:color="auto" w:fill="auto"/>
        <w:tabs>
          <w:tab w:pos="265" w:val="left"/>
        </w:tabs>
        <w:bidi w:val="0"/>
        <w:spacing w:before="0" w:line="223" w:lineRule="auto"/>
        <w:ind w:left="0" w:right="0" w:firstLine="0"/>
        <w:jc w:val="both"/>
      </w:pPr>
      <w:bookmarkStart w:id="234" w:name="bookmark234"/>
      <w:r>
        <w:rPr>
          <w:rFonts w:ascii="Times New Roman" w:eastAsia="Times New Roman" w:hAnsi="Times New Roman" w:cs="Times New Roman"/>
          <w:color w:val="000000"/>
          <w:spacing w:val="0"/>
          <w:w w:val="100"/>
          <w:position w:val="0"/>
          <w:shd w:val="clear" w:color="auto" w:fill="auto"/>
          <w:lang w:val="hr-HR" w:eastAsia="hr-HR" w:bidi="hr-HR"/>
        </w:rPr>
        <w:t>islamski</w:t>
      </w:r>
      <w:bookmarkEnd w:id="234"/>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Čovjek je u Kuranu, kao </w:t>
      </w:r>
      <w:r>
        <w:rPr>
          <w:rFonts w:ascii="Times New Roman" w:eastAsia="Times New Roman" w:hAnsi="Times New Roman" w:cs="Times New Roman"/>
          <w:i/>
          <w:iCs/>
          <w:color w:val="000000"/>
          <w:spacing w:val="0"/>
          <w:w w:val="100"/>
          <w:position w:val="0"/>
          <w:shd w:val="clear" w:color="auto" w:fill="auto"/>
          <w:lang w:val="hr-HR" w:eastAsia="hr-HR" w:bidi="hr-HR"/>
        </w:rPr>
        <w:t>vicarius Dei,</w:t>
      </w:r>
      <w:r>
        <w:rPr>
          <w:rFonts w:ascii="Times New Roman" w:eastAsia="Times New Roman" w:hAnsi="Times New Roman" w:cs="Times New Roman"/>
          <w:color w:val="000000"/>
          <w:spacing w:val="0"/>
          <w:w w:val="100"/>
          <w:position w:val="0"/>
          <w:shd w:val="clear" w:color="auto" w:fill="auto"/>
          <w:lang w:val="hr-HR" w:eastAsia="hr-HR" w:bidi="hr-HR"/>
        </w:rPr>
        <w:t xml:space="preserve"> pozvan na čuvanje i njegovanje njemu povjerenih ma</w:t>
        <w:softHyphen/>
        <w:t>terijalnih i duhovnih dobara. »Svaki je pojedi</w:t>
        <w:softHyphen/>
        <w:t>nac pastir koji snosi odgovornost za svoje stado«, rekao je Muhamed. Namjerna su uniš</w:t>
        <w:softHyphen/>
        <w:t>tavanja prirode grijeh protiv Boga. Potpuna vjera uključuje solidarnost s ljudima i životi</w:t>
        <w:softHyphen/>
        <w:t>njama. U Meki je neka mačka bila mučena do smrti. Umrla je od gladi i žeđi vezana za ko</w:t>
        <w:softHyphen/>
        <w:t>lac. Obaviješten o tome, Muhamed je prasnuo i kazao: »Neka sudnjega dana neljudi te vrste požele seliti se u pakao«. U manje drama</w:t>
        <w:softHyphen/>
        <w:t>tičnim situacijama on je običavao uvijek izno</w:t>
        <w:softHyphen/>
        <w:t xml:space="preserve">va blago opominjali, misliti na stvorenje </w:t>
      </w:r>
      <w:r>
        <w:rPr>
          <w:rFonts w:ascii="Times New Roman" w:eastAsia="Times New Roman" w:hAnsi="Times New Roman" w:cs="Times New Roman"/>
          <w:i/>
          <w:iCs/>
          <w:color w:val="000000"/>
          <w:spacing w:val="0"/>
          <w:w w:val="100"/>
          <w:position w:val="0"/>
          <w:shd w:val="clear" w:color="auto" w:fill="auto"/>
          <w:lang w:val="en-US" w:eastAsia="en-US" w:bidi="en-US"/>
        </w:rPr>
        <w:t>(ma</w:t>
        <w:softHyphen/>
      </w:r>
      <w:r>
        <w:rPr>
          <w:rFonts w:ascii="Times New Roman" w:eastAsia="Times New Roman" w:hAnsi="Times New Roman" w:cs="Times New Roman"/>
          <w:i/>
          <w:iCs/>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lik:</w:t>
      </w:r>
      <w:r>
        <w:rPr>
          <w:rFonts w:ascii="Times New Roman" w:eastAsia="Times New Roman" w:hAnsi="Times New Roman" w:cs="Times New Roman"/>
          <w:i/>
          <w:iCs/>
          <w:color w:val="000000"/>
          <w:spacing w:val="0"/>
          <w:w w:val="100"/>
          <w:position w:val="0"/>
          <w:shd w:val="clear" w:color="auto" w:fill="auto"/>
          <w:lang w:val="hr-HR" w:eastAsia="hr-HR" w:bidi="hr-HR"/>
        </w:rPr>
        <w:t xml:space="preserve"> makhluk)</w:t>
      </w:r>
      <w:r>
        <w:rPr>
          <w:rFonts w:ascii="Times New Roman" w:eastAsia="Times New Roman" w:hAnsi="Times New Roman" w:cs="Times New Roman"/>
          <w:color w:val="000000"/>
          <w:spacing w:val="0"/>
          <w:w w:val="100"/>
          <w:position w:val="0"/>
          <w:shd w:val="clear" w:color="auto" w:fill="auto"/>
          <w:lang w:val="hr-HR" w:eastAsia="hr-HR" w:bidi="hr-HR"/>
        </w:rPr>
        <w:t xml:space="preserve"> i ne zanemarivati dužnost brige za bližnje. Zabranjivao je sječu drveća ako to nije nužno i u svemu jc savjetovao umjere</w:t>
        <w:softHyphen/>
        <w:t>nost.</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Muhamed je jednoga dana primijetio kako su beduini htjeli žigosati magarca. Upitao ih je zašto to čine. Odgovor jc bio: »Kako bi se zaštitili od krađe«. Na to je Muhamed pomis</w:t>
        <w:softHyphen/>
        <w:t xml:space="preserve">lio da bi bilo razboritije stavljati žig ne na glavu, nego na stražnjicu, zato što ga taj dio manje boli. To od čovjeka zahtijeva sućut (su- </w:t>
      </w:r>
      <w:r>
        <w:rPr>
          <w:rFonts w:ascii="Times New Roman" w:eastAsia="Times New Roman" w:hAnsi="Times New Roman" w:cs="Times New Roman"/>
          <w:color w:val="000000"/>
          <w:spacing w:val="0"/>
          <w:w w:val="100"/>
          <w:position w:val="0"/>
          <w:shd w:val="clear" w:color="auto" w:fill="auto"/>
          <w:lang w:val="hr-HR" w:eastAsia="hr-HR" w:bidi="hr-HR"/>
        </w:rPr>
        <w:t>patnja). Taj je savjet poslušan. Od tada su ži</w:t>
        <w:softHyphen/>
        <w:t>votinje žigosane na taj način. Također je za</w:t>
        <w:softHyphen/>
        <w:t>sluga navjestitelja islama to što je ukinuo bar</w:t>
        <w:softHyphen/>
        <w:t>barsku praksu vađenja krvi iz živih kamila u svrhu pravljenja krvavica.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James. </w:t>
      </w:r>
      <w:r>
        <w:rPr>
          <w:color w:val="000000"/>
          <w:spacing w:val="0"/>
          <w:w w:val="100"/>
          <w:position w:val="0"/>
          <w:shd w:val="clear" w:color="auto" w:fill="auto"/>
          <w:lang w:val="hr-HR" w:eastAsia="hr-HR" w:bidi="hr-HR"/>
        </w:rPr>
        <w:t xml:space="preserve">A. Michener, Islam - čine miBvcrstandcnc </w:t>
      </w:r>
      <w:r>
        <w:rPr>
          <w:color w:val="000000"/>
          <w:spacing w:val="0"/>
          <w:w w:val="100"/>
          <w:position w:val="0"/>
          <w:shd w:val="clear" w:color="auto" w:fill="auto"/>
        </w:rPr>
        <w:t>Re</w:t>
        <w:softHyphen/>
        <w:t xml:space="preserve">ligion,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Der Istom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(Zurich) </w:t>
      </w:r>
      <w:r>
        <w:rPr>
          <w:color w:val="000000"/>
          <w:spacing w:val="0"/>
          <w:w w:val="100"/>
          <w:position w:val="0"/>
          <w:shd w:val="clear" w:color="auto" w:fill="auto"/>
          <w:lang w:val="hr-HR" w:eastAsia="hr-HR" w:bidi="hr-HR"/>
        </w:rPr>
        <w:t xml:space="preserve">19/1986, </w:t>
      </w:r>
      <w:r>
        <w:rPr>
          <w:color w:val="000000"/>
          <w:spacing w:val="0"/>
          <w:w w:val="100"/>
          <w:position w:val="0"/>
          <w:shd w:val="clear" w:color="auto" w:fill="auto"/>
        </w:rPr>
        <w:t xml:space="preserve">Sept., </w:t>
      </w:r>
      <w:r>
        <w:rPr>
          <w:color w:val="000000"/>
          <w:spacing w:val="0"/>
          <w:w w:val="100"/>
          <w:position w:val="0"/>
          <w:shd w:val="clear" w:color="auto" w:fill="auto"/>
          <w:lang w:val="hr-HR" w:eastAsia="hr-HR" w:bidi="hr-HR"/>
        </w:rPr>
        <w:t>16-23.</w:t>
      </w:r>
    </w:p>
    <w:p>
      <w:pPr>
        <w:pStyle w:val="Style20"/>
        <w:keepNext w:val="0"/>
        <w:keepLines w:val="0"/>
        <w:widowControl w:val="0"/>
        <w:shd w:val="clear" w:color="auto" w:fill="auto"/>
        <w:bidi w:val="0"/>
        <w:spacing w:before="0" w:after="340" w:line="185"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BAljC</w:t>
      </w:r>
    </w:p>
    <w:p>
      <w:pPr>
        <w:pStyle w:val="Style33"/>
        <w:keepNext w:val="0"/>
        <w:keepLines w:val="0"/>
        <w:widowControl w:val="0"/>
        <w:shd w:val="clear" w:color="auto" w:fill="auto"/>
        <w:bidi w:val="0"/>
        <w:spacing w:before="0" w:after="16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ODJEĆA/RUHO</w:t>
      </w:r>
    </w:p>
    <w:p>
      <w:pPr>
        <w:pStyle w:val="Style63"/>
        <w:keepNext/>
        <w:keepLines/>
        <w:widowControl w:val="0"/>
        <w:numPr>
          <w:ilvl w:val="0"/>
          <w:numId w:val="385"/>
        </w:numPr>
        <w:shd w:val="clear" w:color="auto" w:fill="auto"/>
        <w:tabs>
          <w:tab w:pos="250" w:val="left"/>
        </w:tabs>
        <w:bidi w:val="0"/>
        <w:spacing w:before="0" w:line="223" w:lineRule="auto"/>
        <w:ind w:left="0" w:right="0" w:firstLine="0"/>
        <w:jc w:val="both"/>
      </w:pPr>
      <w:bookmarkStart w:id="235" w:name="bookmark235"/>
      <w:r>
        <w:rPr>
          <w:rFonts w:ascii="Times New Roman" w:eastAsia="Times New Roman" w:hAnsi="Times New Roman" w:cs="Times New Roman"/>
          <w:color w:val="000000"/>
          <w:spacing w:val="0"/>
          <w:w w:val="100"/>
          <w:position w:val="0"/>
          <w:shd w:val="clear" w:color="auto" w:fill="auto"/>
          <w:lang w:val="hr-HR" w:eastAsia="hr-HR" w:bidi="hr-HR"/>
        </w:rPr>
        <w:t>židovski</w:t>
      </w:r>
      <w:bookmarkEnd w:id="235"/>
    </w:p>
    <w:p>
      <w:pPr>
        <w:pStyle w:val="Style20"/>
        <w:keepNext w:val="0"/>
        <w:keepLines w:val="0"/>
        <w:widowControl w:val="0"/>
        <w:shd w:val="clear" w:color="auto" w:fill="auto"/>
        <w:bidi w:val="0"/>
        <w:spacing w:before="0" w:after="0"/>
        <w:ind w:left="0" w:right="0" w:firstLine="0"/>
        <w:jc w:val="both"/>
        <w:sectPr>
          <w:headerReference w:type="default" r:id="rId997"/>
          <w:footerReference w:type="default" r:id="rId998"/>
          <w:headerReference w:type="even" r:id="rId999"/>
          <w:footerReference w:type="even" r:id="rId1000"/>
          <w:footnotePr>
            <w:pos w:val="pageBottom"/>
            <w:numFmt w:val="decimal"/>
            <w:numRestart w:val="continuous"/>
            <w15:footnoteColumns w:val="1"/>
          </w:footnotePr>
          <w:type w:val="continuous"/>
          <w:pgSz w:w="6816" w:h="11006"/>
          <w:pgMar w:top="786" w:left="193" w:right="196" w:bottom="342" w:header="0" w:footer="3" w:gutter="0"/>
          <w:cols w:num="2" w:space="192"/>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a) »Dvovrsnu odjeću, miješanu tkaninu, ne stav</w:t>
        <w:softHyphen/>
        <w:t>ljaj na</w:t>
      </w:r>
      <w:r>
        <w:rPr>
          <w:rFonts w:ascii="Times New Roman" w:eastAsia="Times New Roman" w:hAnsi="Times New Roman" w:cs="Times New Roman"/>
          <w:color w:val="000000"/>
          <w:spacing w:val="0"/>
          <w:w w:val="100"/>
          <w:position w:val="0"/>
          <w:shd w:val="clear" w:color="auto" w:fill="auto"/>
          <w:lang w:val="hr-HR" w:eastAsia="hr-HR" w:bidi="hr-HR"/>
        </w:rPr>
        <w:t xml:space="preserve"> se.« Talmudska predaja nabraja osam</w:t>
        <w:softHyphen/>
        <w:t>naest odjevnih predmeta; oni daju potpunu sliku ondašnje nošnje. Rabini su ih smatrali prijeko potrebnim i dopuštali da se i na šabat čuvaju od vatre (b Šabat 120a; j XVI,5,15d). U »lijepom ruhu« vidjeli su izraz čovjekova dostojanstva (b Berahot 57b; Šcmot raba XXVII,18,5) pa su smatrali da ga nemarnost u odijevanju vrijeđa, a prljava o. i pokrpane cipele mudraci su smatrali obeščašćenjem Bo</w:t>
        <w:softHyphen/>
        <w:t xml:space="preserve">ga pred ljudima (b Šabat 114a; Berahot 43b). Iako su se Židovi odijevali uglavnom poput Grka i Rimljana (Berešit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LXXXIV, </w:t>
      </w:r>
      <w:r>
        <w:rPr>
          <w:rFonts w:ascii="Times New Roman" w:eastAsia="Times New Roman" w:hAnsi="Times New Roman" w:cs="Times New Roman"/>
          <w:color w:val="000000"/>
          <w:spacing w:val="0"/>
          <w:w w:val="100"/>
          <w:position w:val="0"/>
          <w:shd w:val="clear" w:color="auto" w:fill="auto"/>
          <w:lang w:val="hr-HR" w:eastAsia="hr-HR" w:bidi="hr-HR"/>
        </w:rPr>
        <w:t>37,23; b Šabat 140b; Mehilta uz Izl 22,25), ipak su biblijski propisi tražili od njih određeno raz</w:t>
        <w:softHyphen/>
        <w:t xml:space="preserve">likovanje od okoline: bilo im je zabranjeno miješati vunu i lan: »Dvovrsnu </w:t>
      </w:r>
      <w:r>
        <w:rPr>
          <w:rFonts w:ascii="Times New Roman" w:eastAsia="Times New Roman" w:hAnsi="Times New Roman" w:cs="Times New Roman"/>
          <w:i/>
          <w:iCs/>
          <w:color w:val="000000"/>
          <w:spacing w:val="0"/>
          <w:w w:val="100"/>
          <w:position w:val="0"/>
          <w:shd w:val="clear" w:color="auto" w:fill="auto"/>
          <w:lang w:val="hr-HR" w:eastAsia="hr-HR" w:bidi="hr-HR"/>
        </w:rPr>
        <w:t>(kilajim)</w:t>
      </w:r>
      <w:r>
        <w:rPr>
          <w:rFonts w:ascii="Times New Roman" w:eastAsia="Times New Roman" w:hAnsi="Times New Roman" w:cs="Times New Roman"/>
          <w:color w:val="000000"/>
          <w:spacing w:val="0"/>
          <w:w w:val="100"/>
          <w:position w:val="0"/>
          <w:shd w:val="clear" w:color="auto" w:fill="auto"/>
          <w:lang w:val="hr-HR" w:eastAsia="hr-HR" w:bidi="hr-HR"/>
        </w:rPr>
        <w:t xml:space="preserve"> od</w:t>
        <w:softHyphen/>
        <w:t xml:space="preserve">jeću, miješanu tkaninu </w:t>
      </w:r>
      <w:r>
        <w:rPr>
          <w:rFonts w:ascii="Times New Roman" w:eastAsia="Times New Roman" w:hAnsi="Times New Roman" w:cs="Times New Roman"/>
          <w:i/>
          <w:iCs/>
          <w:color w:val="000000"/>
          <w:spacing w:val="0"/>
          <w:w w:val="100"/>
          <w:position w:val="0"/>
          <w:shd w:val="clear" w:color="auto" w:fill="auto"/>
          <w:lang w:val="hr-HR" w:eastAsia="hr-HR" w:bidi="hr-HR"/>
        </w:rPr>
        <w:t>(šaatnez)</w:t>
      </w:r>
      <w:r>
        <w:rPr>
          <w:rFonts w:ascii="Times New Roman" w:eastAsia="Times New Roman" w:hAnsi="Times New Roman" w:cs="Times New Roman"/>
          <w:color w:val="000000"/>
          <w:spacing w:val="0"/>
          <w:w w:val="100"/>
          <w:position w:val="0"/>
          <w:shd w:val="clear" w:color="auto" w:fill="auto"/>
          <w:lang w:val="hr-HR" w:eastAsia="hr-HR" w:bidi="hr-HR"/>
        </w:rPr>
        <w:t xml:space="preserve"> ne stavljaj na se«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19,19, usp. Pnz 22,11). Mišna je jasno izuzela svećenike od te zabrane (Kilajim IX,1) jer je njihovo r. bilo napravljeno baš od takve miješane tkanine (Izl 28,6.8.15; 39,29). Svim ostalim Židovima rabini su oštro nalagali poštivanje te odredbe (M Kilajim IX,8; b Nida 61b; Taanit 27b). Budući da je posrijedi Božji propis </w:t>
      </w:r>
      <w:r>
        <w:rPr>
          <w:rFonts w:ascii="Times New Roman" w:eastAsia="Times New Roman" w:hAnsi="Times New Roman" w:cs="Times New Roman"/>
          <w:i/>
          <w:iCs/>
          <w:color w:val="000000"/>
          <w:spacing w:val="0"/>
          <w:w w:val="100"/>
          <w:position w:val="0"/>
          <w:shd w:val="clear" w:color="auto" w:fill="auto"/>
          <w:lang w:val="hr-HR" w:eastAsia="hr-HR" w:bidi="hr-HR"/>
        </w:rPr>
        <w:t>(hok),</w:t>
      </w:r>
      <w:r>
        <w:rPr>
          <w:rFonts w:ascii="Times New Roman" w:eastAsia="Times New Roman" w:hAnsi="Times New Roman" w:cs="Times New Roman"/>
          <w:color w:val="000000"/>
          <w:spacing w:val="0"/>
          <w:w w:val="100"/>
          <w:position w:val="0"/>
          <w:shd w:val="clear" w:color="auto" w:fill="auto"/>
          <w:lang w:val="hr-HR" w:eastAsia="hr-HR" w:bidi="hr-HR"/>
        </w:rPr>
        <w:t xml:space="preserve"> ne treba mu razumsko objaš</w:t>
        <w:softHyphen/>
        <w:t xml:space="preserve">njenje; unatoč tomu, židovski učenjaci stalno su nastojali objasniti svoju namjeru. Majmo- nid je stoga u »miješanoj tkanini« naslutio tabu zato što jc r. poganskih svećenika bilo od takva tkanja (More nevuhim 3,37). Nahmanid je u »miješanju raznih vrsta« otkrio izazov za ljude da nadmaše oblike koje je stvorio Bog (Komentar na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19,19). S. R. Hirsch vidio jc u zabrani opomenu čovjeku da sačuva do</w:t>
        <w:softHyphen/>
        <w:t xml:space="preserve">dijeljenu mu svrhu i mjesto u svijetu, baš kao što se moraju sačuvati razne vrste (Komentar na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19,19). Zapovijed »sinovima,Izraela«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da »moraju sebi praviti bijele rese </w:t>
      </w:r>
      <w:r>
        <w:rPr>
          <w:rFonts w:ascii="Times New Roman" w:eastAsia="Times New Roman" w:hAnsi="Times New Roman" w:cs="Times New Roman"/>
          <w:i/>
          <w:iCs/>
          <w:color w:val="000000"/>
          <w:spacing w:val="0"/>
          <w:w w:val="100"/>
          <w:position w:val="0"/>
          <w:shd w:val="clear" w:color="auto" w:fill="auto"/>
          <w:lang w:val="hr-HR" w:eastAsia="hr-HR" w:bidi="hr-HR"/>
        </w:rPr>
        <w:t>(cicit)</w:t>
      </w:r>
      <w:r>
        <w:rPr>
          <w:rFonts w:ascii="Times New Roman" w:eastAsia="Times New Roman" w:hAnsi="Times New Roman" w:cs="Times New Roman"/>
          <w:color w:val="000000"/>
          <w:spacing w:val="0"/>
          <w:w w:val="100"/>
          <w:position w:val="0"/>
          <w:shd w:val="clear" w:color="auto" w:fill="auto"/>
          <w:lang w:val="hr-HR" w:eastAsia="hr-HR" w:bidi="hr-HR"/>
        </w:rPr>
        <w:t xml:space="preserve"> na skutovima svojih haljina« dobiva u Bibliji ja</w:t>
        <w:softHyphen/>
        <w:t xml:space="preserve">san cilj: »Imat ćete rese </w:t>
      </w:r>
      <w:r>
        <w:rPr>
          <w:rFonts w:ascii="Times New Roman" w:eastAsia="Times New Roman" w:hAnsi="Times New Roman" w:cs="Times New Roman"/>
          <w:i/>
          <w:iCs/>
          <w:color w:val="000000"/>
          <w:spacing w:val="0"/>
          <w:w w:val="100"/>
          <w:position w:val="0"/>
          <w:shd w:val="clear" w:color="auto" w:fill="auto"/>
          <w:lang w:val="hr-HR" w:eastAsia="hr-HR" w:bidi="hr-HR"/>
        </w:rPr>
        <w:t>(cicit)</w:t>
      </w:r>
      <w:r>
        <w:rPr>
          <w:rFonts w:ascii="Times New Roman" w:eastAsia="Times New Roman" w:hAnsi="Times New Roman" w:cs="Times New Roman"/>
          <w:color w:val="000000"/>
          <w:spacing w:val="0"/>
          <w:w w:val="100"/>
          <w:position w:val="0"/>
          <w:shd w:val="clear" w:color="auto" w:fill="auto"/>
          <w:lang w:val="hr-HR" w:eastAsia="hr-HR" w:bidi="hr-HR"/>
        </w:rPr>
        <w:t xml:space="preserve"> zato da vas po</w:t>
        <w:softHyphen/>
        <w:t>gled na njih sjeća na sve NJEGOVE zapo</w:t>
        <w:softHyphen/>
        <w:t>vijedi, vršite ih, a nc zanosite sc svojim srcem i svojim očima što vas tako lako zavode na ne</w:t>
        <w:softHyphen/>
        <w:t>vjeru« (Br 15,38 i d.; usp. Pnz 22,12). »Lju</w:t>
        <w:softHyphen/>
        <w:t>bičasta (nebeskiplava) vrpca« (Br 15,38) treba možda podsjetiti na nebo, tj. na Boga (b Me- nahot 43b). Pri izgovoru riječi »cicit« u jutar</w:t>
        <w:softHyphen/>
        <w:t xml:space="preserve">njoj molitvi za vrijeme čitanja trećeg odlomka </w:t>
      </w:r>
      <w:r>
        <w:rPr>
          <w:rFonts w:ascii="Times New Roman" w:eastAsia="Times New Roman" w:hAnsi="Times New Roman" w:cs="Times New Roman"/>
          <w:i/>
          <w:iCs/>
          <w:color w:val="000000"/>
          <w:spacing w:val="0"/>
          <w:w w:val="100"/>
          <w:position w:val="0"/>
          <w:shd w:val="clear" w:color="auto" w:fill="auto"/>
          <w:lang w:val="hr-HR" w:eastAsia="hr-HR" w:bidi="hr-HR"/>
        </w:rPr>
        <w:t>Kcriat Šema</w:t>
      </w:r>
      <w:r>
        <w:rPr>
          <w:rFonts w:ascii="Times New Roman" w:eastAsia="Times New Roman" w:hAnsi="Times New Roman" w:cs="Times New Roman"/>
          <w:color w:val="000000"/>
          <w:spacing w:val="0"/>
          <w:w w:val="100"/>
          <w:position w:val="0"/>
          <w:shd w:val="clear" w:color="auto" w:fill="auto"/>
          <w:lang w:val="hr-HR" w:eastAsia="hr-HR" w:bidi="hr-HR"/>
        </w:rPr>
        <w:t xml:space="preserve"> (Pnz 6,4-9; 11,13-21; Br 15,37—41) resa </w:t>
      </w:r>
      <w:r>
        <w:rPr>
          <w:rFonts w:ascii="Times New Roman" w:eastAsia="Times New Roman" w:hAnsi="Times New Roman" w:cs="Times New Roman"/>
          <w:i/>
          <w:iCs/>
          <w:color w:val="000000"/>
          <w:spacing w:val="0"/>
          <w:w w:val="100"/>
          <w:position w:val="0"/>
          <w:shd w:val="clear" w:color="auto" w:fill="auto"/>
          <w:lang w:val="hr-HR" w:eastAsia="hr-HR" w:bidi="hr-HR"/>
        </w:rPr>
        <w:t>(cicit)</w:t>
      </w:r>
      <w:r>
        <w:rPr>
          <w:rFonts w:ascii="Times New Roman" w:eastAsia="Times New Roman" w:hAnsi="Times New Roman" w:cs="Times New Roman"/>
          <w:color w:val="000000"/>
          <w:spacing w:val="0"/>
          <w:w w:val="100"/>
          <w:position w:val="0"/>
          <w:shd w:val="clear" w:color="auto" w:fill="auto"/>
          <w:lang w:val="hr-HR" w:eastAsia="hr-HR" w:bidi="hr-HR"/>
        </w:rPr>
        <w:t xml:space="preserve"> pritišće se na oči i usta kao znak ljubavi prema Bogu (F. Thicbcrgcr (Hrsg.), </w:t>
      </w:r>
      <w:r>
        <w:rPr>
          <w:rFonts w:ascii="Times New Roman" w:eastAsia="Times New Roman" w:hAnsi="Times New Roman" w:cs="Times New Roman"/>
          <w:i/>
          <w:iCs/>
          <w:color w:val="000000"/>
          <w:spacing w:val="0"/>
          <w:w w:val="100"/>
          <w:position w:val="0"/>
          <w:shd w:val="clear" w:color="auto" w:fill="auto"/>
          <w:lang w:val="hr-HR" w:eastAsia="hr-HR" w:bidi="hr-HR"/>
        </w:rPr>
        <w:t>Jiidisches Fest Jiidischer Bmuch,</w:t>
      </w:r>
      <w:r>
        <w:rPr>
          <w:rFonts w:ascii="Times New Roman" w:eastAsia="Times New Roman" w:hAnsi="Times New Roman" w:cs="Times New Roman"/>
          <w:color w:val="000000"/>
          <w:spacing w:val="0"/>
          <w:w w:val="100"/>
          <w:position w:val="0"/>
          <w:shd w:val="clear" w:color="auto" w:fill="auto"/>
          <w:lang w:val="hr-HR" w:eastAsia="hr-HR" w:bidi="hr-HR"/>
        </w:rPr>
        <w:t xml:space="preserve"> 1937,</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1967/1979, 70, A.8).</w:t>
      </w:r>
    </w:p>
    <w:p>
      <w:pPr>
        <w:pStyle w:val="Style20"/>
        <w:keepNext w:val="0"/>
        <w:keepLines w:val="0"/>
        <w:widowControl w:val="0"/>
        <w:numPr>
          <w:ilvl w:val="0"/>
          <w:numId w:val="37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ogrnuo se (talirom) i molio.«</w:t>
      </w:r>
      <w:r>
        <w:rPr>
          <w:rFonts w:ascii="Times New Roman" w:eastAsia="Times New Roman" w:hAnsi="Times New Roman" w:cs="Times New Roman"/>
          <w:color w:val="000000"/>
          <w:spacing w:val="0"/>
          <w:w w:val="100"/>
          <w:position w:val="0"/>
          <w:shd w:val="clear" w:color="auto" w:fill="auto"/>
          <w:lang w:val="hr-HR" w:eastAsia="hr-HR" w:bidi="hr-HR"/>
        </w:rPr>
        <w:t xml:space="preserve"> Takozvani »talit«, ogrtač, nosili su muškarci, žene (Šifre Br 15,38, § 115 /34a/), djeca (b Menahot 40b), siromasi (M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 xml:space="preserve">IV,3), uglednici: »Ako je čovjek stekao znanje o Tori, stekao je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talit« </w:t>
      </w:r>
      <w:r>
        <w:rPr>
          <w:rFonts w:ascii="Times New Roman" w:eastAsia="Times New Roman" w:hAnsi="Times New Roman" w:cs="Times New Roman"/>
          <w:color w:val="000000"/>
          <w:spacing w:val="0"/>
          <w:w w:val="100"/>
          <w:position w:val="0"/>
          <w:shd w:val="clear" w:color="auto" w:fill="auto"/>
          <w:lang w:val="hr-HR" w:eastAsia="hr-HR" w:bidi="hr-HR"/>
        </w:rPr>
        <w:t>(Berešit raba LXX,28,20). Talit se susreće kao karakteristični odjevni predmet učenjaka, dug »tako da se ispod njega ne vidi ni pedlja košulje« (b Bava batra 57b), a »učenjaka se prepozna prema načinu na koji se ogmuo tali- tom« (poslijetalmudski traktat Dereh erec Žuta 5; usp. Šifre Pnz 33,2,§ 343 /143a/). Pre</w:t>
        <w:softHyphen/>
        <w:t xml:space="preserve">daja osuđuje onoga »koji se kiti učenjačkim talirom a da nije učenjak«; »njega se ne vodi u krug Svetoga, hvaljen bio« (b Bava batra 98a). Talit se, naposljetku, javlja kao molitveni ogrtač koji se stavlja pri molitvi: »R. Kahana (II„ oko 375)... ogrnuo sc (svojim talitom) i molio« (b Šabat 10a; usp. Roš ha-šana 17b; Megila 16a). Na sličan način i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Karo bi</w:t>
        <w:softHyphen/>
        <w:t>lježi u obrednom i pravnom kodeksu židov</w:t>
        <w:softHyphen/>
        <w:t>stva vjernoga Tori: »Učenjaci i njihovi učenici obično su se molili samo kad su se ogrnuli svojim talitom« (Šulhan aruh. Orah hajim § 91,6).</w:t>
      </w:r>
    </w:p>
    <w:p>
      <w:pPr>
        <w:pStyle w:val="Style20"/>
        <w:keepNext w:val="0"/>
        <w:keepLines w:val="0"/>
        <w:widowControl w:val="0"/>
        <w:numPr>
          <w:ilvl w:val="0"/>
          <w:numId w:val="373"/>
        </w:numPr>
        <w:shd w:val="clear" w:color="auto" w:fill="auto"/>
        <w:tabs>
          <w:tab w:pos="265" w:val="left"/>
        </w:tabs>
        <w:bidi w:val="0"/>
        <w:spacing w:before="0" w:after="4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 ne hodite prema njihovim zakonima.« </w:t>
      </w:r>
      <w:r>
        <w:rPr>
          <w:rFonts w:ascii="Times New Roman" w:eastAsia="Times New Roman" w:hAnsi="Times New Roman" w:cs="Times New Roman"/>
          <w:color w:val="000000"/>
          <w:spacing w:val="0"/>
          <w:w w:val="100"/>
          <w:position w:val="0"/>
          <w:shd w:val="clear" w:color="auto" w:fill="auto"/>
          <w:lang w:val="hr-HR" w:eastAsia="hr-HR" w:bidi="hr-HR"/>
        </w:rPr>
        <w:t>Halaška, moralna i socijalna načela zapisana u rabinskoj literaturi utjecala su na odijevanje Zidova u poslijetalmudsko doba. U mnogim propisima zajednice u vezi s odijevanjem du</w:t>
        <w:softHyphen/>
        <w:t>go su djelovale zabrane povođenja za običa</w:t>
        <w:softHyphen/>
        <w:t>jima naroda u načinu odijevanja i češljanja: »Nemojte raditi kako se radi u zemlji egipat</w:t>
        <w:softHyphen/>
        <w:t xml:space="preserve">skoj, gdje ste boravili; niti radite kako se radi u zemlji kanaanskoj, kamo vas vodim, ne ho- ditc prema njihovim zakonima« (običajima)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18,3; usp. 20,23; Pnz 12,30; Sef 1,8). Ra- binski propisi tražili su odricanje od skupo</w:t>
        <w:softHyphen/>
        <w:t>cjene odjeće, jer o. mora biti odraz priklad</w:t>
        <w:softHyphen/>
        <w:t>nosti i skromnosti onoga tko je nosi. Žene sc moraju odijevati i kititi umjereno. Od udanih žena halaha zahtijeva da se izvan kuće poka</w:t>
        <w:softHyphen/>
        <w:t>zuju samo pokrivene glave (Šifre Br 5,18, § 11 /5a/; b Ketubot 72a; Nedarim 30b). Sabatom bi svi trebali nositi biranu odjeću, a na blag</w:t>
        <w:softHyphen/>
        <w:t>dane još finiju (b Sabat 113a. 114a). Osim to</w:t>
        <w:softHyphen/>
        <w:t>ga, u procesu nastanka posebne židovske od</w:t>
        <w:softHyphen/>
        <w:t>jeće imale su udjela diskriminirajućc odluke protiv Židova. Prva je donesena 849. u Egiptu pod islamskom vlašću; prema njoj, Židovi su morali nositi odjeću koja ih označava. Isti je cilj u kršćanskom svijetu imalo prvo zakono</w:t>
        <w:softHyphen/>
        <w:t>davstvo Četvrtoga lateranskoga koncila 1215. godine.</w:t>
      </w:r>
    </w:p>
    <w:p>
      <w:pPr>
        <w:pStyle w:val="Style20"/>
        <w:keepNext w:val="0"/>
        <w:keepLines w:val="0"/>
        <w:widowControl w:val="0"/>
        <w:numPr>
          <w:ilvl w:val="0"/>
          <w:numId w:val="373"/>
        </w:numPr>
        <w:shd w:val="clear" w:color="auto" w:fill="auto"/>
        <w:tabs>
          <w:tab w:pos="270" w:val="left"/>
        </w:tabs>
        <w:bidi w:val="0"/>
        <w:spacing w:before="0" w:after="4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 idem četiri lakta nepokrivene glave.«</w:t>
      </w:r>
      <w:r>
        <w:rPr>
          <w:rFonts w:ascii="Times New Roman" w:eastAsia="Times New Roman" w:hAnsi="Times New Roman" w:cs="Times New Roman"/>
          <w:color w:val="000000"/>
          <w:spacing w:val="0"/>
          <w:w w:val="100"/>
          <w:position w:val="0"/>
          <w:shd w:val="clear" w:color="auto" w:fill="auto"/>
          <w:lang w:val="hr-HR" w:eastAsia="hr-HR" w:bidi="hr-HR"/>
        </w:rPr>
        <w:t xml:space="preserve"> U XX. stoljeću uglavnom je nestalo izrazite ži</w:t>
        <w:softHyphen/>
        <w:t xml:space="preserve">dovske odjeće. Ipak, i danas pobožni Židovi nose </w:t>
      </w:r>
      <w:r>
        <w:rPr>
          <w:rFonts w:ascii="Times New Roman" w:eastAsia="Times New Roman" w:hAnsi="Times New Roman" w:cs="Times New Roman"/>
          <w:i/>
          <w:iCs/>
          <w:color w:val="000000"/>
          <w:spacing w:val="0"/>
          <w:w w:val="100"/>
          <w:position w:val="0"/>
          <w:shd w:val="clear" w:color="auto" w:fill="auto"/>
          <w:lang w:val="hr-HR" w:eastAsia="hr-HR" w:bidi="hr-HR"/>
        </w:rPr>
        <w:t>talit</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teftlin</w:t>
      </w:r>
      <w:r>
        <w:rPr>
          <w:rFonts w:ascii="Times New Roman" w:eastAsia="Times New Roman" w:hAnsi="Times New Roman" w:cs="Times New Roman"/>
          <w:color w:val="000000"/>
          <w:spacing w:val="0"/>
          <w:w w:val="100"/>
          <w:position w:val="0"/>
          <w:shd w:val="clear" w:color="auto" w:fill="auto"/>
          <w:lang w:val="hr-HR" w:eastAsia="hr-HR" w:bidi="hr-HR"/>
        </w:rPr>
        <w:t xml:space="preserve"> (molitveno remenje) dok se mole; na </w:t>
      </w:r>
      <w:r>
        <w:rPr>
          <w:rFonts w:ascii="Times New Roman" w:eastAsia="Times New Roman" w:hAnsi="Times New Roman" w:cs="Times New Roman"/>
          <w:i/>
          <w:iCs/>
          <w:color w:val="000000"/>
          <w:spacing w:val="0"/>
          <w:w w:val="100"/>
          <w:position w:val="0"/>
          <w:shd w:val="clear" w:color="auto" w:fill="auto"/>
          <w:lang w:val="hr-HR" w:eastAsia="hr-HR" w:bidi="hr-HR"/>
        </w:rPr>
        <w:t>tefilin</w:t>
      </w:r>
      <w:r>
        <w:rPr>
          <w:rFonts w:ascii="Times New Roman" w:eastAsia="Times New Roman" w:hAnsi="Times New Roman" w:cs="Times New Roman"/>
          <w:color w:val="000000"/>
          <w:spacing w:val="0"/>
          <w:w w:val="100"/>
          <w:position w:val="0"/>
          <w:shd w:val="clear" w:color="auto" w:fill="auto"/>
          <w:lang w:val="hr-HR" w:eastAsia="hr-HR" w:bidi="hr-HR"/>
        </w:rPr>
        <w:t xml:space="preserve"> su pričvršćene kožnate kutijice koje sadrže četiri odlomka iz Tore, napisana na pergamentu (Pnz 6,4-9; 11,13-21; Iz] 13,1-10 i 11-16). Na Dan pomirenja stoje pred Bogom »u halji i </w:t>
      </w:r>
      <w:r>
        <w:rPr>
          <w:rFonts w:ascii="Times New Roman" w:eastAsia="Times New Roman" w:hAnsi="Times New Roman" w:cs="Times New Roman"/>
          <w:i/>
          <w:iCs/>
          <w:color w:val="000000"/>
          <w:spacing w:val="0"/>
          <w:w w:val="100"/>
          <w:position w:val="0"/>
          <w:shd w:val="clear" w:color="auto" w:fill="auto"/>
          <w:lang w:val="hr-HR" w:eastAsia="hr-HR" w:bidi="hr-HR"/>
        </w:rPr>
        <w:t>sargenesu«</w:t>
      </w:r>
      <w:r>
        <w:rPr>
          <w:rFonts w:ascii="Times New Roman" w:eastAsia="Times New Roman" w:hAnsi="Times New Roman" w:cs="Times New Roman"/>
          <w:color w:val="000000"/>
          <w:spacing w:val="0"/>
          <w:w w:val="100"/>
          <w:position w:val="0"/>
          <w:shd w:val="clear" w:color="auto" w:fill="auto"/>
          <w:lang w:val="hr-HR" w:eastAsia="hr-HR" w:bidi="hr-HR"/>
        </w:rPr>
        <w:t xml:space="preserve"> i nose i na večeri </w:t>
      </w:r>
      <w:r>
        <w:rPr>
          <w:rFonts w:ascii="Times New Roman" w:eastAsia="Times New Roman" w:hAnsi="Times New Roman" w:cs="Times New Roman"/>
          <w:i/>
          <w:iCs/>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svećenički bijelu halju u kojoj će jednoga dana biti pokopani (F. Thieberger, op. cit., 160.162. 210). Pokrivalo za glavu postalo je znak orto</w:t>
        <w:softHyphen/>
        <w:t>doksnih Židova. U Erec Jisraclu nekoć je ne</w:t>
        <w:softHyphen/>
        <w:t>pokrivena glava muškarca bila simbol njegove slobode (Onkelov targum Izl 14,8; targum Su</w:t>
        <w:softHyphen/>
        <w:t>ci 5,9); kao i onda, Židovi vjerni Tori ne idu stoga nikada gologlavi kako bi objavili da sc pokoravaju vlasti Božjoj i osjećaju vječno stra</w:t>
        <w:softHyphen/>
        <w:t>hopoštovanje pred Bogom: »Rav Huna ben Jehošua (oko 350) rekao je: Ne idem nepo</w:t>
        <w:softHyphen/>
        <w:t>krivene glave četiri lakta; rekao je: Šekina (Božja nazočnost) boravi iznad moje glave« (b Kidušin 31a; usp. Šabat 118b; 156b). U orto</w:t>
        <w:softHyphen/>
        <w:t>doksnim krugovima udane žene poštuju i da</w:t>
        <w:softHyphen/>
        <w:t>lje obvezni propisani običaj pokrivanja kose (M Ketubot VII,6; l os. Sota V,9; j Sota 1,16b). Ultraortodoksnc skupine, koncentrirane u Je</w:t>
        <w:softHyphen/>
        <w:t>ruzalemu i Bene Bcraku u Izraelu, ali i u ogra</w:t>
        <w:softHyphen/>
        <w:t xml:space="preserve">ničenim predjelima u drugim dijelovima svijeta, još nose karakteristični krzneni šešir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(štrajml) </w:t>
      </w:r>
      <w:r>
        <w:rPr>
          <w:rFonts w:ascii="Times New Roman" w:eastAsia="Times New Roman" w:hAnsi="Times New Roman" w:cs="Times New Roman"/>
          <w:color w:val="000000"/>
          <w:spacing w:val="0"/>
          <w:w w:val="100"/>
          <w:position w:val="0"/>
          <w:shd w:val="clear" w:color="auto" w:fill="auto"/>
          <w:lang w:val="hr-HR" w:eastAsia="hr-HR" w:bidi="hr-HR"/>
        </w:rPr>
        <w:t xml:space="preserve">na šabat i na blagdane te dugi </w:t>
      </w:r>
      <w:r>
        <w:rPr>
          <w:rFonts w:ascii="Times New Roman" w:eastAsia="Times New Roman" w:hAnsi="Times New Roman" w:cs="Times New Roman"/>
          <w:color w:val="000000"/>
          <w:spacing w:val="0"/>
          <w:w w:val="100"/>
          <w:position w:val="0"/>
          <w:shd w:val="clear" w:color="auto" w:fill="auto"/>
          <w:lang w:val="en-US" w:eastAsia="en-US" w:bidi="en-US"/>
        </w:rPr>
        <w:t>kaftan.</w:t>
      </w:r>
    </w:p>
    <w:p>
      <w:pPr>
        <w:pStyle w:val="Style56"/>
        <w:keepNext w:val="0"/>
        <w:keepLines w:val="0"/>
        <w:widowControl w:val="0"/>
        <w:shd w:val="clear" w:color="auto" w:fill="auto"/>
        <w:tabs>
          <w:tab w:pos="2448" w:val="left"/>
        </w:tabs>
        <w:bidi w:val="0"/>
        <w:spacing w:before="0" w:after="40" w:line="230" w:lineRule="auto"/>
        <w:ind w:left="0" w:right="0" w:firstLine="0"/>
        <w:jc w:val="both"/>
        <w:sectPr>
          <w:headerReference w:type="default" r:id="rId1001"/>
          <w:footerReference w:type="default" r:id="rId1002"/>
          <w:headerReference w:type="even" r:id="rId1003"/>
          <w:footerReference w:type="even" r:id="rId1004"/>
          <w:footnotePr>
            <w:pos w:val="pageBottom"/>
            <w:numFmt w:val="decimal"/>
            <w:numRestart w:val="continuous"/>
            <w15:footnoteColumns w:val="1"/>
          </w:footnotePr>
          <w:pgSz w:w="6816" w:h="11006"/>
          <w:pgMar w:top="786" w:left="193" w:right="196" w:bottom="342" w:header="0" w:footer="3" w:gutter="0"/>
          <w:pgNumType w:start="334"/>
          <w:cols w:num="2" w:space="192"/>
          <w:noEndnote/>
          <w:rtlGutter w:val="0"/>
          <w:docGrid w:linePitch="360"/>
        </w:sectPr>
      </w:pPr>
      <w:r>
        <w:rPr>
          <w:color w:val="000000"/>
          <w:spacing w:val="0"/>
          <w:w w:val="100"/>
          <w:position w:val="0"/>
          <w:shd w:val="clear" w:color="auto" w:fill="auto"/>
        </w:rPr>
        <w:t xml:space="preserve">Lit.: A. Roscnzwcig, </w:t>
      </w:r>
      <w:r>
        <w:rPr>
          <w:i/>
          <w:iCs/>
          <w:color w:val="000000"/>
          <w:spacing w:val="0"/>
          <w:w w:val="100"/>
          <w:position w:val="0"/>
          <w:shd w:val="clear" w:color="auto" w:fill="auto"/>
        </w:rPr>
        <w:t>Kleidung und Schmuck in Bibel und lalmudischen Schrifium,</w:t>
      </w:r>
      <w:r>
        <w:rPr>
          <w:color w:val="000000"/>
          <w:spacing w:val="0"/>
          <w:w w:val="100"/>
          <w:position w:val="0"/>
          <w:shd w:val="clear" w:color="auto" w:fill="auto"/>
        </w:rPr>
        <w:t xml:space="preserve"> 1905; </w:t>
      </w:r>
      <w:r>
        <w:rPr>
          <w:i/>
          <w:iCs/>
          <w:color w:val="000000"/>
          <w:spacing w:val="0"/>
          <w:w w:val="100"/>
          <w:position w:val="0"/>
          <w:shd w:val="clear" w:color="auto" w:fill="auto"/>
        </w:rPr>
        <w:t>Jud is dies Lexicon</w:t>
      </w:r>
      <w:r>
        <w:rPr>
          <w:color w:val="000000"/>
          <w:spacing w:val="0"/>
          <w:w w:val="100"/>
          <w:position w:val="0"/>
          <w:shd w:val="clear" w:color="auto" w:fill="auto"/>
        </w:rPr>
        <w:t xml:space="preserve"> IV/2, 1927/1982.1009-27,1629-31: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6,</w:t>
      </w:r>
      <w:r>
        <w:rPr>
          <w:color w:val="000000"/>
          <w:spacing w:val="0"/>
          <w:w w:val="100"/>
          <w:position w:val="0"/>
          <w:shd w:val="clear" w:color="auto" w:fill="auto"/>
          <w:vertAlign w:val="superscript"/>
        </w:rPr>
        <w:t>4</w:t>
      </w:r>
      <w:r>
        <w:rPr>
          <w:color w:val="000000"/>
          <w:spacing w:val="0"/>
          <w:w w:val="100"/>
          <w:position w:val="0"/>
          <w:shd w:val="clear" w:color="auto" w:fill="auto"/>
        </w:rPr>
        <w:t>1978, 212-23; 15,</w:t>
      </w:r>
      <w:r>
        <w:rPr>
          <w:color w:val="000000"/>
          <w:spacing w:val="0"/>
          <w:w w:val="100"/>
          <w:position w:val="0"/>
          <w:shd w:val="clear" w:color="auto" w:fill="auto"/>
          <w:vertAlign w:val="superscript"/>
        </w:rPr>
        <w:t>4</w:t>
      </w:r>
      <w:r>
        <w:rPr>
          <w:color w:val="000000"/>
          <w:spacing w:val="0"/>
          <w:w w:val="100"/>
          <w:position w:val="0"/>
          <w:shd w:val="clear" w:color="auto" w:fill="auto"/>
        </w:rPr>
        <w:t>1978, 743-45.</w:t>
        <w:tab/>
        <w:t>D.VbTllSK</w:t>
      </w:r>
    </w:p>
    <w:p>
      <w:pPr>
        <w:pStyle w:val="Style63"/>
        <w:keepNext/>
        <w:keepLines/>
        <w:widowControl w:val="0"/>
        <w:numPr>
          <w:ilvl w:val="0"/>
          <w:numId w:val="385"/>
        </w:numPr>
        <w:shd w:val="clear" w:color="auto" w:fill="auto"/>
        <w:tabs>
          <w:tab w:pos="260" w:val="left"/>
        </w:tabs>
        <w:bidi w:val="0"/>
        <w:spacing w:before="0" w:after="80" w:line="218" w:lineRule="auto"/>
        <w:ind w:left="0" w:right="0" w:firstLine="0"/>
        <w:jc w:val="both"/>
      </w:pPr>
      <w:bookmarkStart w:id="236" w:name="bookmark23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36"/>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Službena o. onih koji vrše službu u bogoslužju naziva se paramenl. Ona se razvila iz zahtjeva da se za liturgijsku službu nabavi svečana o. U početku nije se razlikovala od uobičajene od</w:t>
        <w:softHyphen/>
        <w:t>jeće. Tek kada su pod carem Konstantinom klerici dobili rang državnih službenika, stekli su pravo da nose određene znakove službe i komade odjeće koji su bili određeni za više staleže. Tek nakon seobe naroda nastalo je li</w:t>
        <w:softHyphen/>
        <w:t>turgijsko r. koje se razlikovalo od svako</w:t>
        <w:softHyphen/>
        <w:t>dnevne odjeće. Svećenstvo zadržava za svaki dan kao i za službu Božju staru rimsku odjeću: dugu donju odjeću (tunika) i gomju odjeću (toga, dalmatika) iz kojih se razvila alba i misno ruho. U srednjem vijeku pod utjecajem starozavjetnih tradicija ova o. dobiva hijerar</w:t>
        <w:softHyphen/>
        <w:t>hijski karakter: pojedinačni se komadi blagos</w:t>
        <w:softHyphen/>
        <w:t>livljaju, tumače alegorijski i oblače uz molitve. Osobito se biskup svečano odijeva. Boja od</w:t>
        <w:softHyphen/>
        <w:t>jeće, barem na Zapadu, dobiva značenje. U početku to je trebala biti posebno svečana o. u kojoj je bilo izmiješano što više dragocjenog purpura. Prema množini purpura nastale su različite boje koje su kasnije bile pripisane od</w:t>
        <w:softHyphen/>
        <w:t>ređenim svetkovinama ili blagdanskim raz</w:t>
        <w:softHyphen/>
        <w:t>dobljima: bijelo za Uskrs i Božić, crveno za blagdane mučenika i Duhove, zeleno za opću crkvenu godinu, ljubičasto za vrijeme došašća i korizme, crno za spomen na mrtve. Danas još i dalje vrijedi ovo tradicionalno svrstavanje pri čemu se mogu zbog svečanih razloga pri</w:t>
        <w:softHyphen/>
        <w:t>mijeniti skupocjeni paramenli makar ne od</w:t>
        <w:softHyphen/>
        <w:t>govarali boji toga dana. Izražajna snaga boja ne smije se ni danas podcjenjivati, jer njihova simbolička vrijednost još i danas govori lju</w:t>
        <w:softHyphen/>
        <w:t>dima. S druge strane sve više se nameće spo</w:t>
        <w:softHyphen/>
        <w:t>znaja da bi r. koje se upotrebljava u liturgiji trebalo imati jednostavnu osnovnu crtu dosto</w:t>
        <w:softHyphen/>
        <w:t>janstvene odjeće. Danas je neosporno da sva</w:t>
        <w:softHyphen/>
        <w:t>ki veći svečani skup zajednice zahtijeva po</w:t>
        <w:softHyphen/>
        <w:t>sebnu odjeću. I reformacija koja je ukinula sve dijelove odjeće, koji su odgovarali sred</w:t>
        <w:softHyphen/>
        <w:t>njovjekovnom shvaćanju, zadržava barem du</w:t>
        <w:softHyphen/>
        <w:t xml:space="preserve">gački </w:t>
      </w:r>
      <w:r>
        <w:rPr>
          <w:rFonts w:ascii="Times New Roman" w:eastAsia="Times New Roman" w:hAnsi="Times New Roman" w:cs="Times New Roman"/>
          <w:color w:val="000000"/>
          <w:spacing w:val="0"/>
          <w:w w:val="100"/>
          <w:position w:val="0"/>
          <w:shd w:val="clear" w:color="auto" w:fill="auto"/>
          <w:lang w:val="en-US" w:eastAsia="en-US" w:bidi="en-US"/>
        </w:rPr>
        <w:t xml:space="preserve">talar. </w:t>
      </w:r>
      <w:r>
        <w:rPr>
          <w:rFonts w:ascii="Times New Roman" w:eastAsia="Times New Roman" w:hAnsi="Times New Roman" w:cs="Times New Roman"/>
          <w:color w:val="000000"/>
          <w:spacing w:val="0"/>
          <w:w w:val="100"/>
          <w:position w:val="0"/>
          <w:shd w:val="clear" w:color="auto" w:fill="auto"/>
          <w:lang w:val="hr-HR" w:eastAsia="hr-HR" w:bidi="hr-HR"/>
        </w:rPr>
        <w:t>Kao tkanini prednost se daje pa</w:t>
        <w:softHyphen/>
        <w:t>muku, ali biskupske konferencije na Zapadu imaju pravo odrediti oblik i tkaninu.</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J. Braun,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litufjpsche </w:t>
      </w:r>
      <w:r>
        <w:rPr>
          <w:i/>
          <w:iCs/>
          <w:color w:val="000000"/>
          <w:spacing w:val="0"/>
          <w:w w:val="100"/>
          <w:position w:val="0"/>
          <w:shd w:val="clear" w:color="auto" w:fill="auto"/>
        </w:rPr>
        <w:t xml:space="preserve">Gewandung </w:t>
      </w:r>
      <w:r>
        <w:rPr>
          <w:i/>
          <w:iCs/>
          <w:color w:val="000000"/>
          <w:spacing w:val="0"/>
          <w:w w:val="100"/>
          <w:position w:val="0"/>
          <w:shd w:val="clear" w:color="auto" w:fill="auto"/>
          <w:lang w:val="hr-HR" w:eastAsia="hr-HR" w:bidi="hr-HR"/>
        </w:rPr>
        <w:t xml:space="preserve">im </w:t>
      </w:r>
      <w:r>
        <w:rPr>
          <w:i/>
          <w:iCs/>
          <w:color w:val="000000"/>
          <w:spacing w:val="0"/>
          <w:w w:val="100"/>
          <w:position w:val="0"/>
          <w:shd w:val="clear" w:color="auto" w:fill="auto"/>
        </w:rPr>
        <w:t>Occident und Orient.</w:t>
      </w:r>
      <w:r>
        <w:rPr>
          <w:color w:val="000000"/>
          <w:spacing w:val="0"/>
          <w:w w:val="100"/>
          <w:position w:val="0"/>
          <w:shd w:val="clear" w:color="auto" w:fill="auto"/>
        </w:rPr>
        <w:t xml:space="preserve"> Freiburg 1907; A.-Th. Khoury, Vom Sinn der Para- mente bci dcr McBfeicr, u: lh. Maas-Ewcrd, K. Richter (Hrsg.), </w:t>
      </w:r>
      <w:r>
        <w:rPr>
          <w:i/>
          <w:iCs/>
          <w:color w:val="000000"/>
          <w:spacing w:val="0"/>
          <w:w w:val="100"/>
          <w:position w:val="0"/>
          <w:shd w:val="clear" w:color="auto" w:fill="auto"/>
        </w:rPr>
        <w:t>Gemeinde im Herrenmahl,</w:t>
      </w:r>
      <w:r>
        <w:rPr>
          <w:color w:val="000000"/>
          <w:spacing w:val="0"/>
          <w:w w:val="100"/>
          <w:position w:val="0"/>
          <w:shd w:val="clear" w:color="auto" w:fill="auto"/>
        </w:rPr>
        <w:t xml:space="preserve"> Freiburg</w:t>
      </w:r>
      <w:r>
        <w:rPr>
          <w:color w:val="000000"/>
          <w:spacing w:val="0"/>
          <w:w w:val="100"/>
          <w:position w:val="0"/>
          <w:shd w:val="clear" w:color="auto" w:fill="auto"/>
          <w:vertAlign w:val="superscript"/>
        </w:rPr>
        <w:t>2</w:t>
      </w:r>
      <w:r>
        <w:rPr>
          <w:color w:val="000000"/>
          <w:spacing w:val="0"/>
          <w:w w:val="100"/>
          <w:position w:val="0"/>
          <w:shd w:val="clear" w:color="auto" w:fill="auto"/>
        </w:rPr>
        <w:t>1976,370-374.</w:t>
      </w:r>
    </w:p>
    <w:p>
      <w:pPr>
        <w:pStyle w:val="Style74"/>
        <w:keepNext w:val="0"/>
        <w:keepLines w:val="0"/>
        <w:widowControl w:val="0"/>
        <w:shd w:val="clear" w:color="auto" w:fill="auto"/>
        <w:bidi w:val="0"/>
        <w:spacing w:before="0" w:after="8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K. RICHTER</w:t>
      </w:r>
    </w:p>
    <w:p>
      <w:pPr>
        <w:spacing w:lineRule="exact" w:line="1"/>
        <w:rPr>
          <w:sz w:val="2"/>
          <w:szCs w:val="2"/>
        </w:rPr>
      </w:pPr>
      <w:r>
        <w:br w:type="column"/>
      </w:r>
    </w:p>
    <w:p>
      <w:pPr>
        <w:pStyle w:val="Style63"/>
        <w:keepNext/>
        <w:keepLines/>
        <w:widowControl w:val="0"/>
        <w:numPr>
          <w:ilvl w:val="0"/>
          <w:numId w:val="385"/>
        </w:numPr>
        <w:shd w:val="clear" w:color="auto" w:fill="auto"/>
        <w:tabs>
          <w:tab w:pos="265" w:val="left"/>
        </w:tabs>
        <w:bidi w:val="0"/>
        <w:spacing w:before="0" w:after="80" w:line="223" w:lineRule="auto"/>
        <w:ind w:left="0" w:right="0" w:firstLine="0"/>
        <w:jc w:val="both"/>
      </w:pPr>
      <w:bookmarkStart w:id="237" w:name="bookmark237"/>
      <w:r>
        <w:rPr>
          <w:rFonts w:ascii="Times New Roman" w:eastAsia="Times New Roman" w:hAnsi="Times New Roman" w:cs="Times New Roman"/>
          <w:color w:val="000000"/>
          <w:spacing w:val="0"/>
          <w:w w:val="100"/>
          <w:position w:val="0"/>
          <w:shd w:val="clear" w:color="auto" w:fill="auto"/>
          <w:lang w:val="hr-HR" w:eastAsia="hr-HR" w:bidi="hr-HR"/>
        </w:rPr>
        <w:t>islamski</w:t>
      </w:r>
      <w:bookmarkEnd w:id="23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Vjera od muslimana zahtijeva da održava čis</w:t>
        <w:softHyphen/>
        <w:t>toću tijela, vjeroispovijesti i kućanstva. Mo</w:t>
        <w:softHyphen/>
        <w:t>litva se ne smije obavljati nečistoga tijela ili u prljavoj odjeći. Muhamed je običavao kazati: »Čistoća je neotuđivi dio vjere«. Kada je Ku</w:t>
        <w:softHyphen/>
        <w:t>ran dao izvjesne preporuke u odnosu na po</w:t>
        <w:softHyphen/>
        <w:t>našanje na ulici, tada je to u određenom histo</w:t>
        <w:softHyphen/>
        <w:t>rijskom trenutku bio vidljivi znamen pripad</w:t>
        <w:softHyphen/>
        <w:t>nosti boljem društvu, naime islamskom. Time bi se žena trebala zaštiti od tlačenja. Tada je zar na glavi mogao zamijeniti šešir na glavi su</w:t>
        <w:softHyphen/>
        <w:t>vremene žene. Uostalom, mnogim je starim narodima Istoka bilo svojstveno da žene u jav</w:t>
        <w:softHyphen/>
        <w:t xml:space="preserve">nosti prekrivaju lice (v. </w:t>
      </w:r>
      <w:r>
        <w:rPr>
          <w:rFonts w:ascii="Times New Roman" w:eastAsia="Times New Roman" w:hAnsi="Times New Roman" w:cs="Times New Roman"/>
          <w:color w:val="000000"/>
          <w:spacing w:val="0"/>
          <w:w w:val="100"/>
          <w:position w:val="0"/>
          <w:shd w:val="clear" w:color="auto" w:fill="auto"/>
          <w:lang w:val="en-US" w:eastAsia="en-US" w:bidi="en-US"/>
        </w:rPr>
        <w:t xml:space="preserve">Klaus </w:t>
      </w:r>
      <w:r>
        <w:rPr>
          <w:rFonts w:ascii="Times New Roman" w:eastAsia="Times New Roman" w:hAnsi="Times New Roman" w:cs="Times New Roman"/>
          <w:color w:val="000000"/>
          <w:spacing w:val="0"/>
          <w:w w:val="100"/>
          <w:position w:val="0"/>
          <w:shd w:val="clear" w:color="auto" w:fill="auto"/>
          <w:lang w:val="hr-HR" w:eastAsia="hr-HR" w:bidi="hr-HR"/>
        </w:rPr>
        <w:t xml:space="preserve">E. Miiller,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Kul- turhistorische Studien zur Genese pseudo-isla- </w:t>
      </w:r>
      <w:r>
        <w:rPr>
          <w:rFonts w:ascii="Times New Roman" w:eastAsia="Times New Roman" w:hAnsi="Times New Roman" w:cs="Times New Roman"/>
          <w:i/>
          <w:iCs/>
          <w:color w:val="000000"/>
          <w:spacing w:val="0"/>
          <w:w w:val="100"/>
          <w:position w:val="0"/>
          <w:shd w:val="clear" w:color="auto" w:fill="auto"/>
          <w:lang w:val="en-US" w:eastAsia="en-US" w:bidi="en-US"/>
        </w:rPr>
        <w:t xml:space="preserve">mischer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Sektengebilde </w:t>
      </w:r>
      <w:r>
        <w:rPr>
          <w:rFonts w:ascii="Times New Roman" w:eastAsia="Times New Roman" w:hAnsi="Times New Roman" w:cs="Times New Roman"/>
          <w:i/>
          <w:iCs/>
          <w:color w:val="000000"/>
          <w:spacing w:val="0"/>
          <w:w w:val="100"/>
          <w:position w:val="0"/>
          <w:shd w:val="clear" w:color="auto" w:fill="auto"/>
          <w:lang w:val="en-US" w:eastAsia="en-US" w:bidi="en-US"/>
        </w:rPr>
        <w:t>in Vorderasien,</w:t>
      </w:r>
      <w:r>
        <w:rPr>
          <w:rFonts w:ascii="Times New Roman" w:eastAsia="Times New Roman" w:hAnsi="Times New Roman" w:cs="Times New Roman"/>
          <w:color w:val="000000"/>
          <w:spacing w:val="0"/>
          <w:w w:val="100"/>
          <w:position w:val="0"/>
          <w:shd w:val="clear" w:color="auto" w:fill="auto"/>
          <w:lang w:val="en-US" w:eastAsia="en-US" w:bidi="en-US"/>
        </w:rPr>
        <w:t xml:space="preserve"> Wiesba</w:t>
        <w:softHyphen/>
        <w:t xml:space="preserve">den </w:t>
      </w:r>
      <w:r>
        <w:rPr>
          <w:rFonts w:ascii="Times New Roman" w:eastAsia="Times New Roman" w:hAnsi="Times New Roman" w:cs="Times New Roman"/>
          <w:color w:val="000000"/>
          <w:spacing w:val="0"/>
          <w:w w:val="100"/>
          <w:position w:val="0"/>
          <w:shd w:val="clear" w:color="auto" w:fill="auto"/>
          <w:lang w:val="hr-HR" w:eastAsia="hr-HR" w:bidi="hr-HR"/>
        </w:rPr>
        <w:t>1967, 242).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Istočni način mišljenja polaže veliku vrijed</w:t>
        <w:softHyphen/>
        <w:t>nost na odjeću. Ona se smatra sredstvom ču</w:t>
        <w:softHyphen/>
        <w:t>vanja ćudorednosti. Ma kakva bila do izvjes</w:t>
        <w:softHyphen/>
        <w:t xml:space="preserve">noga stupnja, njoj se u eličkome području ipak pridaje pretjerano veliko značenje. Suprotno vladajućem mišljenju Kuran zastupa stajalište da je čuvanje samoga sebe - </w:t>
      </w:r>
      <w:r>
        <w:rPr>
          <w:rFonts w:ascii="Times New Roman" w:eastAsia="Times New Roman" w:hAnsi="Times New Roman" w:cs="Times New Roman"/>
          <w:color w:val="000000"/>
          <w:spacing w:val="0"/>
          <w:w w:val="100"/>
          <w:position w:val="0"/>
          <w:shd w:val="clear" w:color="auto" w:fill="auto"/>
          <w:lang w:val="en-US" w:eastAsia="en-US" w:bidi="en-US"/>
        </w:rPr>
        <w:t xml:space="preserve">tzv.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tekva </w:t>
      </w:r>
      <w:r>
        <w:rPr>
          <w:rFonts w:ascii="Times New Roman" w:eastAsia="Times New Roman" w:hAnsi="Times New Roman" w:cs="Times New Roman"/>
          <w:i/>
          <w:iCs/>
          <w:color w:val="000000"/>
          <w:spacing w:val="0"/>
          <w:w w:val="100"/>
          <w:position w:val="0"/>
          <w:shd w:val="clear" w:color="auto" w:fill="auto"/>
          <w:lang w:val="en-US" w:eastAsia="en-US" w:bidi="en-US"/>
        </w:rPr>
        <w:t xml:space="preserve">(taqwa) </w:t>
      </w:r>
      <w:r>
        <w:rPr>
          <w:rFonts w:ascii="Times New Roman" w:eastAsia="Times New Roman" w:hAnsi="Times New Roman" w:cs="Times New Roman"/>
          <w:color w:val="000000"/>
          <w:spacing w:val="0"/>
          <w:w w:val="100"/>
          <w:position w:val="0"/>
          <w:shd w:val="clear" w:color="auto" w:fill="auto"/>
          <w:lang w:val="hr-HR" w:eastAsia="hr-HR" w:bidi="hr-HR"/>
        </w:rPr>
        <w:t>- najbolja moralna zaštita žene i muškarca: »O sinovi Ademovi, Mi smo vam poslali od</w:t>
        <w:softHyphen/>
        <w:t xml:space="preserve">jeću koja će pokrivati vašu golotinju i odjeću </w:t>
      </w:r>
      <w:r>
        <w:rPr>
          <w:rFonts w:ascii="Times New Roman" w:eastAsia="Times New Roman" w:hAnsi="Times New Roman" w:cs="Times New Roman"/>
          <w:i/>
          <w:iCs/>
          <w:color w:val="000000"/>
          <w:spacing w:val="0"/>
          <w:w w:val="100"/>
          <w:position w:val="0"/>
          <w:shd w:val="clear" w:color="auto" w:fill="auto"/>
          <w:lang w:val="hr-HR" w:eastAsia="hr-HR" w:bidi="hr-HR"/>
        </w:rPr>
        <w:t>(za ukras). A o.</w:t>
      </w:r>
      <w:r>
        <w:rPr>
          <w:rFonts w:ascii="Times New Roman" w:eastAsia="Times New Roman" w:hAnsi="Times New Roman" w:cs="Times New Roman"/>
          <w:color w:val="000000"/>
          <w:spacing w:val="0"/>
          <w:w w:val="100"/>
          <w:position w:val="0"/>
          <w:shd w:val="clear" w:color="auto" w:fill="auto"/>
          <w:lang w:val="hr-HR" w:eastAsia="hr-HR" w:bidi="hr-HR"/>
        </w:rPr>
        <w:t xml:space="preserve"> bogobojaznosti je najbolja« (7,25).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Nadahnut europskim načinom razmišljanja turski je reformator </w:t>
      </w:r>
      <w:r>
        <w:rPr>
          <w:rFonts w:ascii="Times New Roman" w:eastAsia="Times New Roman" w:hAnsi="Times New Roman" w:cs="Times New Roman"/>
          <w:color w:val="000000"/>
          <w:spacing w:val="0"/>
          <w:w w:val="100"/>
          <w:position w:val="0"/>
          <w:shd w:val="clear" w:color="auto" w:fill="auto"/>
          <w:lang w:val="en-US" w:eastAsia="en-US" w:bidi="en-US"/>
        </w:rPr>
        <w:t xml:space="preserve">Mustafa Kemal Ataturk </w:t>
      </w:r>
      <w:r>
        <w:rPr>
          <w:rFonts w:ascii="Times New Roman" w:eastAsia="Times New Roman" w:hAnsi="Times New Roman" w:cs="Times New Roman"/>
          <w:color w:val="000000"/>
          <w:spacing w:val="0"/>
          <w:w w:val="100"/>
          <w:position w:val="0"/>
          <w:shd w:val="clear" w:color="auto" w:fill="auto"/>
          <w:lang w:val="hr-HR" w:eastAsia="hr-HR" w:bidi="hr-HR"/>
        </w:rPr>
        <w:t>(1880-1938) uveo europski način odijevanja. On je time htio potaknuti progres. No Turska nije zbog toga postala naprednom. Unatoč vjernosti svojoj izvornoj tradiciji, u tom je po</w:t>
        <w:softHyphen/>
        <w:t>gledu mnogo više uznapredovala jedna druga azijska zemlja, Japan. Za ženu u Iranu to na</w:t>
        <w:softHyphen/>
        <w:t>likuje ponovnom uvođenju obveznoga noše</w:t>
        <w:softHyphen/>
        <w:t>nja žara (vela) na ulici. Obratan je jedino cilj. U oba se slučaja odjeći pridaje pretjerano ve</w:t>
        <w:softHyphen/>
        <w:t>liko značenje. Islamski moral zahtijeva pristoj</w:t>
        <w:softHyphen/>
        <w:t>nu odjeću. Od žena se očekuje da ne nose ni</w:t>
        <w:softHyphen/>
        <w:t xml:space="preserve">kakvu izazovnu odjeću koja pruža pogled u njihovu »gizdavost« </w:t>
      </w:r>
      <w:r>
        <w:rPr>
          <w:rFonts w:ascii="Times New Roman" w:eastAsia="Times New Roman" w:hAnsi="Times New Roman" w:cs="Times New Roman"/>
          <w:i/>
          <w:iCs/>
          <w:color w:val="000000"/>
          <w:spacing w:val="0"/>
          <w:w w:val="100"/>
          <w:position w:val="0"/>
          <w:shd w:val="clear" w:color="auto" w:fill="auto"/>
          <w:lang w:val="hr-HR" w:eastAsia="hr-HR" w:bidi="hr-HR"/>
        </w:rPr>
        <w:t>(ztna).</w:t>
      </w:r>
    </w:p>
    <w:p>
      <w:pPr>
        <w:pStyle w:val="Style20"/>
        <w:keepNext w:val="0"/>
        <w:keepLines w:val="0"/>
        <w:widowControl w:val="0"/>
        <w:shd w:val="clear" w:color="auto" w:fill="auto"/>
        <w:bidi w:val="0"/>
        <w:spacing w:before="0" w:after="2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Naročito je važno da se pristojno odjevenim bude prilikom obavljanja obveznih molitvi. Žene pritom nose maramu na glavi ili šamiju, čime na vidjelo izlazi razlika spram profanoga ponašanja. Mnogi se muslimanski duhovi ras</w:t>
        <w:softHyphen/>
        <w:t>plamsavaju na pitanju o obvezi nošenja žara</w:t>
      </w:r>
    </w:p>
    <w:p>
      <w:pPr>
        <w:pStyle w:val="Style56"/>
        <w:keepNext w:val="0"/>
        <w:keepLines w:val="0"/>
        <w:widowControl w:val="0"/>
        <w:shd w:val="clear" w:color="auto" w:fill="auto"/>
        <w:bidi w:val="0"/>
        <w:spacing w:before="0" w:after="40" w:line="240" w:lineRule="auto"/>
        <w:ind w:left="0" w:right="0" w:firstLine="0"/>
        <w:jc w:val="right"/>
        <w:sectPr>
          <w:headerReference w:type="default" r:id="rId1005"/>
          <w:footerReference w:type="default" r:id="rId1006"/>
          <w:headerReference w:type="even" r:id="rId1007"/>
          <w:footerReference w:type="even" r:id="rId1008"/>
          <w:footnotePr>
            <w:pos w:val="pageBottom"/>
            <w:numFmt w:val="decimal"/>
            <w:numRestart w:val="continuous"/>
            <w15:footnoteColumns w:val="1"/>
          </w:footnotePr>
          <w:pgSz w:w="6816" w:h="11006"/>
          <w:pgMar w:top="1054" w:left="202" w:right="207" w:bottom="147" w:header="0" w:footer="3" w:gutter="0"/>
          <w:cols w:num="2" w:space="225"/>
          <w:noEndnote/>
          <w:rtlGutter w:val="0"/>
          <w:docGrid w:linePitch="360"/>
        </w:sectPr>
      </w:pPr>
      <w:r>
        <w:rPr>
          <w:color w:val="000000"/>
          <w:spacing w:val="0"/>
          <w:w w:val="100"/>
          <w:position w:val="0"/>
          <w:shd w:val="clear" w:color="auto" w:fill="auto"/>
          <w:lang w:val="hr-HR" w:eastAsia="hr-HR" w:bidi="hr-HR"/>
        </w:rPr>
        <w:t>IH</w:t>
      </w:r>
    </w:p>
    <w:p>
      <w:pPr>
        <w:pStyle w:val="Style20"/>
        <w:keepNext w:val="0"/>
        <w:keepLines w:val="0"/>
        <w:widowControl w:val="0"/>
        <w:shd w:val="clear" w:color="auto" w:fill="auto"/>
        <w:tabs>
          <w:tab w:pos="2606" w:val="left"/>
        </w:tabs>
        <w:bidi w:val="0"/>
        <w:spacing w:before="0" w:after="260" w:line="259"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kod žena. Rigoristi vjeruju da su u Kuranu našli propis o odijevanju, po kojemu bi se mu</w:t>
        <w:softHyphen/>
        <w:t>slimanske žene i djevojke smjele pokazivati na ulici samo kao časne. No iza toga se krije na</w:t>
        <w:softHyphen/>
        <w:t>čin razmišljanja jednoga klasnog društva koje je običavalo propisivati nadzor za sve posebne skupine stanovništva. Mnogi su se konzerva</w:t>
        <w:softHyphen/>
        <w:t xml:space="preserve">tivni muslimani na sličan način osjećali vjerski obvezanima nositi nekakav zar preko glave, a to je stav koji se može svesti na židovske utjecaje. </w:t>
      </w:r>
      <w:r>
        <w:rPr>
          <w:rFonts w:ascii="Arial" w:eastAsia="Arial" w:hAnsi="Arial" w:cs="Arial"/>
          <w:color w:val="000000"/>
          <w:spacing w:val="0"/>
          <w:w w:val="100"/>
          <w:position w:val="0"/>
          <w:sz w:val="12"/>
          <w:szCs w:val="12"/>
          <w:shd w:val="clear" w:color="auto" w:fill="auto"/>
          <w:lang w:val="en-US" w:eastAsia="en-US" w:bidi="en-US"/>
        </w:rPr>
        <w:t xml:space="preserve">Lit.: Osman Nun </w:t>
      </w:r>
      <w:r>
        <w:rPr>
          <w:rFonts w:ascii="Arial" w:eastAsia="Arial" w:hAnsi="Arial" w:cs="Arial"/>
          <w:color w:val="000000"/>
          <w:spacing w:val="0"/>
          <w:w w:val="100"/>
          <w:position w:val="0"/>
          <w:sz w:val="12"/>
          <w:szCs w:val="12"/>
          <w:shd w:val="clear" w:color="auto" w:fill="auto"/>
          <w:lang w:val="hr-HR" w:eastAsia="hr-HR" w:bidi="hr-HR"/>
        </w:rPr>
        <w:t xml:space="preserve">Hadžić. </w:t>
      </w:r>
      <w:r>
        <w:rPr>
          <w:rFonts w:ascii="Arial" w:eastAsia="Arial" w:hAnsi="Arial" w:cs="Arial"/>
          <w:i/>
          <w:iCs/>
          <w:color w:val="000000"/>
          <w:spacing w:val="0"/>
          <w:w w:val="100"/>
          <w:position w:val="0"/>
          <w:sz w:val="12"/>
          <w:szCs w:val="12"/>
          <w:shd w:val="clear" w:color="auto" w:fill="auto"/>
          <w:lang w:val="en-US" w:eastAsia="en-US" w:bidi="en-US"/>
        </w:rPr>
        <w:t xml:space="preserve">Muhammad </w:t>
      </w:r>
      <w:r>
        <w:rPr>
          <w:rFonts w:ascii="Arial" w:eastAsia="Arial" w:hAnsi="Arial" w:cs="Arial"/>
          <w:i/>
          <w:iCs/>
          <w:color w:val="000000"/>
          <w:spacing w:val="0"/>
          <w:w w:val="100"/>
          <w:position w:val="0"/>
          <w:sz w:val="12"/>
          <w:szCs w:val="12"/>
          <w:shd w:val="clear" w:color="auto" w:fill="auto"/>
          <w:lang w:val="hr-HR" w:eastAsia="hr-HR" w:bidi="hr-HR"/>
        </w:rPr>
        <w:t>a. S. i Kur'an,</w:t>
      </w:r>
      <w:r>
        <w:rPr>
          <w:rFonts w:ascii="Arial" w:eastAsia="Arial" w:hAnsi="Arial" w:cs="Arial"/>
          <w:color w:val="000000"/>
          <w:spacing w:val="0"/>
          <w:w w:val="100"/>
          <w:position w:val="0"/>
          <w:sz w:val="12"/>
          <w:szCs w:val="12"/>
          <w:shd w:val="clear" w:color="auto" w:fill="auto"/>
          <w:lang w:val="hr-HR" w:eastAsia="hr-HR" w:bidi="hr-HR"/>
        </w:rPr>
        <w:t xml:space="preserve"> Sara</w:t>
        <w:softHyphen/>
        <w:t>jevo 1968.</w:t>
        <w:tab/>
        <w:t>S.BAI.IĆ</w:t>
      </w:r>
    </w:p>
    <w:p>
      <w:pPr>
        <w:pStyle w:val="Style33"/>
        <w:keepNext w:val="0"/>
        <w:keepLines w:val="0"/>
        <w:widowControl w:val="0"/>
        <w:shd w:val="clear" w:color="auto" w:fill="auto"/>
        <w:bidi w:val="0"/>
        <w:spacing w:before="0" w:after="2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OKOLIŠ -&gt; PRIRODA, -&gt; EKOLOGIJA</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OPRAVDANJE</w:t>
      </w:r>
    </w:p>
    <w:p>
      <w:pPr>
        <w:pStyle w:val="Style63"/>
        <w:keepNext/>
        <w:keepLines/>
        <w:widowControl w:val="0"/>
        <w:numPr>
          <w:ilvl w:val="0"/>
          <w:numId w:val="387"/>
        </w:numPr>
        <w:shd w:val="clear" w:color="auto" w:fill="auto"/>
        <w:tabs>
          <w:tab w:pos="250" w:val="left"/>
        </w:tabs>
        <w:bidi w:val="0"/>
        <w:spacing w:before="0"/>
        <w:ind w:left="0" w:right="0" w:firstLine="0"/>
        <w:jc w:val="both"/>
      </w:pPr>
      <w:bookmarkStart w:id="238" w:name="bookmark238"/>
      <w:r>
        <w:rPr>
          <w:rFonts w:ascii="Times New Roman" w:eastAsia="Times New Roman" w:hAnsi="Times New Roman" w:cs="Times New Roman"/>
          <w:color w:val="000000"/>
          <w:spacing w:val="0"/>
          <w:w w:val="100"/>
          <w:position w:val="0"/>
          <w:shd w:val="clear" w:color="auto" w:fill="auto"/>
          <w:lang w:val="hr-HR" w:eastAsia="hr-HR" w:bidi="hr-HR"/>
        </w:rPr>
        <w:t>židovski</w:t>
      </w:r>
      <w:bookmarkEnd w:id="238"/>
    </w:p>
    <w:p>
      <w:pPr>
        <w:pStyle w:val="Style20"/>
        <w:keepNext w:val="0"/>
        <w:keepLines w:val="0"/>
        <w:widowControl w:val="0"/>
        <w:numPr>
          <w:ilvl w:val="0"/>
          <w:numId w:val="389"/>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»Kada je ona vaš život? Kada se za njega tru</w:t>
        <w:softHyphen/>
        <w:t>dite.«</w:t>
      </w:r>
      <w:r>
        <w:rPr>
          <w:rFonts w:ascii="Times New Roman" w:eastAsia="Times New Roman" w:hAnsi="Times New Roman" w:cs="Times New Roman"/>
          <w:color w:val="000000"/>
          <w:spacing w:val="0"/>
          <w:w w:val="100"/>
          <w:position w:val="0"/>
          <w:shd w:val="clear" w:color="auto" w:fill="auto"/>
          <w:lang w:val="hr-HR" w:eastAsia="hr-HR" w:bidi="hr-HR"/>
        </w:rPr>
        <w:t xml:space="preserve"> S obzirom na iskrivljen prikaz židovstva kao »religije apsolutnoga samootkupljenja«, koje se, prema tom prikazu, postiže »nagomi- lavanjem ispunjenja zapovijedi i vršenjem do</w:t>
        <w:softHyphen/>
        <w:t>brih djela« tako da »Bog gleda na čovjeka kao pravednika«... »ili ga (proglašava) praved</w:t>
        <w:softHyphen/>
        <w:t xml:space="preserve">nim« (H. L. Strack/P. Billerbeck,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Kommentar zum Neuen Testament aus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Talmud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Mid</w:t>
        <w:softHyphen/>
      </w:r>
      <w:r>
        <w:rPr>
          <w:rFonts w:ascii="Times New Roman" w:eastAsia="Times New Roman" w:hAnsi="Times New Roman" w:cs="Times New Roman"/>
          <w:i/>
          <w:iCs/>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rasch,</w:t>
      </w:r>
      <w:r>
        <w:rPr>
          <w:rFonts w:ascii="Times New Roman" w:eastAsia="Times New Roman" w:hAnsi="Times New Roman" w:cs="Times New Roman"/>
          <w:color w:val="000000"/>
          <w:spacing w:val="0"/>
          <w:w w:val="100"/>
          <w:position w:val="0"/>
          <w:shd w:val="clear" w:color="auto" w:fill="auto"/>
          <w:lang w:val="hr-HR" w:eastAsia="hr-HR" w:bidi="hr-HR"/>
        </w:rPr>
        <w:t xml:space="preserve"> 1928, &lt;4 975, IV/1,6.5; usp. 1,250 i d.; III, 160 i d.), cilj je židovskoga života naglasak na posvećenosti cijelog života tako da Bog u čo</w:t>
        <w:softHyphen/>
        <w:t xml:space="preserve">vječjem djelovanju u svijetu postane vidljiv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18,5;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74a;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27b; Joma 85a); naime, zapovijed koja se te</w:t>
        <w:softHyphen/>
        <w:t>melji na Božjem »atributu« i u hebrejskoj se Bibliji, u sličnim ili različitim oblicima, ponav</w:t>
        <w:softHyphen/>
        <w:t xml:space="preserve">lja pet puta: »Sveti budite! Jer sam svet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usp. 11,44 i d., 20,7.26), polaže temelje trajnom životu židovskoga na</w:t>
        <w:softHyphen/>
        <w:t>roda te poziva i njihove pojedine članove na oponašanje Boga. Analogija postupaka, »ako budete... hodili svim njegovim putevima« (Pnz</w:t>
      </w:r>
    </w:p>
    <w:p>
      <w:pPr>
        <w:pStyle w:val="Style20"/>
        <w:keepNext w:val="0"/>
        <w:keepLines w:val="0"/>
        <w:widowControl w:val="0"/>
        <w:numPr>
          <w:ilvl w:val="0"/>
          <w:numId w:val="391"/>
        </w:numPr>
        <w:shd w:val="clear" w:color="auto" w:fill="auto"/>
        <w:tabs>
          <w:tab w:pos="32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22), »idite samo za NJIM, Bogom svojim« (13,5), spaja čovjeka s Bogom: »Ako poštuješ zapovijedi, poštuješ mene; ako ih prezireš, prezireš mene« (Tanhuma uz Post 46,28). No zapovijedi treba izvršiti čovjek kako najbolje zna i s punom namjerom: »Svi tvoji postupci neka budu radi Neba (= Boga)« (M Avot 11,12, usp. 11,2; </w:t>
      </w:r>
      <w:r>
        <w:rPr>
          <w:rFonts w:ascii="Times New Roman" w:eastAsia="Times New Roman" w:hAnsi="Times New Roman" w:cs="Times New Roman"/>
          <w:color w:val="000000"/>
          <w:spacing w:val="0"/>
          <w:w w:val="100"/>
          <w:position w:val="0"/>
          <w:shd w:val="clear" w:color="auto" w:fill="auto"/>
          <w:lang w:val="en-US" w:eastAsia="en-US" w:bidi="en-US"/>
        </w:rPr>
        <w:t xml:space="preserve">Nazir </w:t>
      </w:r>
      <w:r>
        <w:rPr>
          <w:rFonts w:ascii="Times New Roman" w:eastAsia="Times New Roman" w:hAnsi="Times New Roman" w:cs="Times New Roman"/>
          <w:color w:val="000000"/>
          <w:spacing w:val="0"/>
          <w:w w:val="100"/>
          <w:position w:val="0"/>
          <w:shd w:val="clear" w:color="auto" w:fill="auto"/>
          <w:lang w:val="hr-HR" w:eastAsia="hr-HR" w:bidi="hr-HR"/>
        </w:rPr>
        <w:t xml:space="preserve">23b). Namjeri Božjih uputa ne odgovara mnoštvo postupaka nego to da čovjek u njima i njima nauči usmjeriti </w:t>
      </w:r>
      <w:r>
        <w:rPr>
          <w:rFonts w:ascii="Times New Roman" w:eastAsia="Times New Roman" w:hAnsi="Times New Roman" w:cs="Times New Roman"/>
          <w:color w:val="000000"/>
          <w:spacing w:val="0"/>
          <w:w w:val="100"/>
          <w:position w:val="0"/>
          <w:shd w:val="clear" w:color="auto" w:fill="auto"/>
          <w:lang w:val="hr-HR" w:eastAsia="hr-HR" w:bidi="hr-HR"/>
        </w:rPr>
        <w:t>svoje srce prema Bogu: »Nije važno čini li se mnogo ili malo ako se samo srce usmjeri pre</w:t>
        <w:softHyphen/>
        <w:t xml:space="preserve">ma Nebu« (b Berahot 17a; usp. 63a; Kidušin 82a;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106b). Stoga onaj tko je spre</w:t>
        <w:softHyphen/>
        <w:t xml:space="preserve">man za to, moli prije negoli se u stvarnosti susretne s Gospodarom: »Blagoslovljen bio, Vječni, naš Bože, Kralju svijeta, koji si nas posvetio svojim zapovijedima i naredio nam...« (b Sabat 23a uz Pnz 17,10 i d.; usp. Majmonid, </w:t>
      </w:r>
      <w:r>
        <w:rPr>
          <w:rFonts w:ascii="Times New Roman" w:eastAsia="Times New Roman" w:hAnsi="Times New Roman" w:cs="Times New Roman"/>
          <w:i/>
          <w:iCs/>
          <w:color w:val="000000"/>
          <w:spacing w:val="0"/>
          <w:w w:val="100"/>
          <w:position w:val="0"/>
          <w:shd w:val="clear" w:color="auto" w:fill="auto"/>
          <w:lang w:val="hr-HR" w:eastAsia="hr-HR" w:bidi="hr-HR"/>
        </w:rPr>
        <w:t>Misne Tora,</w:t>
      </w:r>
      <w:r>
        <w:rPr>
          <w:rFonts w:ascii="Times New Roman" w:eastAsia="Times New Roman" w:hAnsi="Times New Roman" w:cs="Times New Roman"/>
          <w:color w:val="000000"/>
          <w:spacing w:val="0"/>
          <w:w w:val="100"/>
          <w:position w:val="0"/>
          <w:shd w:val="clear" w:color="auto" w:fill="auto"/>
          <w:lang w:val="hr-HR" w:eastAsia="hr-HR" w:bidi="hr-HR"/>
        </w:rPr>
        <w:t xml:space="preserve"> Hilhot berahot 1,4) kako bi iz</w:t>
        <w:softHyphen/>
        <w:t>vršenjem zapovijedi bio »svet«, tj. kako bi po</w:t>
        <w:softHyphen/>
        <w:t xml:space="preserve">stigao »usmjerenost srca« </w:t>
      </w:r>
      <w:r>
        <w:rPr>
          <w:rFonts w:ascii="Times New Roman" w:eastAsia="Times New Roman" w:hAnsi="Times New Roman" w:cs="Times New Roman"/>
          <w:i/>
          <w:iCs/>
          <w:color w:val="000000"/>
          <w:spacing w:val="0"/>
          <w:w w:val="100"/>
          <w:position w:val="0"/>
          <w:shd w:val="clear" w:color="auto" w:fill="auto"/>
          <w:lang w:val="hr-HR" w:eastAsia="hr-HR" w:bidi="hr-HR"/>
        </w:rPr>
        <w:t>(kavana)</w:t>
      </w:r>
      <w:r>
        <w:rPr>
          <w:rFonts w:ascii="Times New Roman" w:eastAsia="Times New Roman" w:hAnsi="Times New Roman" w:cs="Times New Roman"/>
          <w:color w:val="000000"/>
          <w:spacing w:val="0"/>
          <w:w w:val="100"/>
          <w:position w:val="0"/>
          <w:shd w:val="clear" w:color="auto" w:fill="auto"/>
          <w:lang w:val="hr-HR" w:eastAsia="hr-HR" w:bidi="hr-HR"/>
        </w:rPr>
        <w:t xml:space="preserve"> i u potpu</w:t>
        <w:softHyphen/>
        <w:t>nosti ispunio volju Božju. On vjeruje u obli</w:t>
        <w:softHyphen/>
        <w:t xml:space="preserve">kovnu moć zapovijedi, jer ima povjerenja u njega koji ne nameće nego, štoviše, i obećava: »Držite moje zakone i vršite ih, JA sam onaj koji vas posvećuje«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20,8). Smisao zapo</w:t>
        <w:softHyphen/>
        <w:t>vijedi doista je objašnjen: »Prema Ravu (u. 247) propisi su predani samo stoga da bi se ljudi oplemenili« (Berešit raba XLIV,15,I). Samo egzegeza, omalovažavana u postojećem tradicijskom kontekstu diskusije, uzima iz tra</w:t>
        <w:softHyphen/>
        <w:t>dicijske literature formuliranu pouku prema kojoj »plaćevni i vrijednosni odnos koji posto</w:t>
        <w:softHyphen/>
        <w:t>ji između zarade i duga... (daje) postojeće stanje pravednosti čovjeka pred Bogom« (Strack/Billerbeck, op.cit., IV/1,5.10 u vezi s M Avot 111,15 i d., i IV,22 i Vajikra raba XXX,23,40); ona previđa da mudraci ni iz kakva pobožnog čina ne izvlače pravo na Božju milost na kojem bi »pravednik« smio inzistirati: »Ne budite poput slugu koji služe gospodaru da bi bili plaćeni, već budite poput slugu koje služe gospodaru bez namjere da budu plaćeni, i neka nad vama bude straho</w:t>
        <w:softHyphen/>
        <w:t>poštovanje pred Bogom« (M Avot 1,3).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 izjava Antigona iz judejskoga grada Soha oko 200. pr. Kr. sadrži farizejsko temeljno učenje prema kojem svaki bogougodni čin na</w:t>
        <w:softHyphen/>
        <w:t>lazi hvalu i zadovoljstvo u samom sebi, u tome što čovjek u ljubavi Božjoj nalazi svoje izvo</w:t>
        <w:softHyphen/>
        <w:t>rište i svoju »nagradu« u stalnosti zadaće. Čo</w:t>
        <w:softHyphen/>
        <w:t>vjeka ne treba voditi osvrtanje na »zaradu« i strah od kazne; samo ljubav potiče na ispu</w:t>
        <w:softHyphen/>
        <w:t>njenje volje Božje: »Što činite, činite samo iz ljubavi; tek to znači ljubiti Boga« (Šifre Pnz 11,13), poučavali su stari tumači i opominjali: »Nemoj pitati za nagradu za sve, nego znaj: blago čovjeku koji to čini i sinu zemlje koji se toga drži« (Mehilta Izl 16,28). Iako su rabini čovjeku priznavali sposobnost da se sam slo</w:t>
        <w:softHyphen/>
        <w:t>bodno odluči za dobro (M Avot 111,16) i sna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gu koja se oslobađa iz takve slobodne odluke i koju Bog zahtijeva da se ispuni Božja volja objavljena u Tori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IV,2; b Sabat 104a; Makot 10b; usp. Mehilta Izl 15,26; 19,5; Šifre Pnz 11,22; 12,28; b Berahot 40a; Suka 46b), oni su ipak bili svjesni toga da nitko ne može potpuno ispuniti zahtjev da bude svet kao što je Bog svet, a kamoli da može tvrditi kako je činio više nego što je zapovjeđeno. Pred Bo</w:t>
        <w:softHyphen/>
        <w:t>gom nema zasluge, ali ima samo predanosti njegovoj ljubavi i milosti: »Tvoja je, Vječni, pravednost a naš sram lica. Na što se možemo potužiti, što reći, što govoriti i kako se oprav</w:t>
        <w:softHyphen/>
        <w:t>dati!« (dio molitve koji slijedi neposredno na</w:t>
        <w:softHyphen/>
        <w:t>kon tefile = Osamnaest blagoslova, ponedjelj</w:t>
        <w:softHyphen/>
        <w:t>kom i četvrtkom). Molba u triput na dan iz- govaranoj molitvi Osamnaest blagoslova glasi: »Vladaj nama, Vječni, samo u milosti i milo</w:t>
        <w:softHyphen/>
        <w:t>srđu i opravdaj nas na sudu« (XI. blagoslov). Upravo onima koji su se trudili i revno tražili Boga mudraci su nastojali pomoći da uvide kako čovjek nikada neće biti dovršen, potpun i savršen, ali da mora naučiti podnijeti napor: »Nije ti dano da dovršiš posao, i nisi ovlašten da ga se kloniš« (M Avot 11,16). Propovjednici su krijepili svoje slušatelje na tom putu: »Ra</w:t>
        <w:softHyphen/>
        <w:t>ba Benaja (oko 220) znao je reći: Ako izvrša</w:t>
        <w:softHyphen/>
        <w:t xml:space="preserve">vaš riječi Tore radi nje same, riječi Tore za tebe su život« (Šifre Pnz 32,2); pojačavali su pozornost i opravdavali nadu: »On (Rabi Aki- va, u. 135) rekao je (Rabi Jišmaclu): Nema prazne riječi daleko od vas (tj. od koje se možete okrenuti, Pnz 32,47), i ako je prazna, onda potječe od vas (tj. sami ste krivi za to). Zašto? Zato što je ne znate protumačiti, jer se i ne trudite. ‘Ona je vaš život’ (Pnz 32,47). Kada je ona vaš život? Kad se za nju trudite« (Berešit raba 1,1,1; usp. j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1,15b; Šcviit 1,33b; Šabat 1,33b).</w:t>
      </w:r>
    </w:p>
    <w:p>
      <w:pPr>
        <w:pStyle w:val="Style20"/>
        <w:keepNext w:val="0"/>
        <w:keepLines w:val="0"/>
        <w:widowControl w:val="0"/>
        <w:shd w:val="clear" w:color="auto" w:fill="auto"/>
        <w:bidi w:val="0"/>
        <w:spacing w:before="0" w:after="60"/>
        <w:ind w:left="0" w:right="0" w:firstLine="0"/>
        <w:jc w:val="both"/>
        <w:sectPr>
          <w:headerReference w:type="default" r:id="rId1009"/>
          <w:footerReference w:type="default" r:id="rId1010"/>
          <w:headerReference w:type="even" r:id="rId1011"/>
          <w:footerReference w:type="even" r:id="rId1012"/>
          <w:headerReference w:type="first" r:id="rId1013"/>
          <w:footerReference w:type="first" r:id="rId1014"/>
          <w:footnotePr>
            <w:pos w:val="pageBottom"/>
            <w:numFmt w:val="decimal"/>
            <w:numRestart w:val="continuous"/>
            <w15:footnoteColumns w:val="1"/>
          </w:footnotePr>
          <w:pgSz w:w="6816" w:h="11006"/>
          <w:pgMar w:top="996" w:left="186" w:right="189" w:bottom="516" w:header="0" w:footer="3" w:gutter="0"/>
          <w:pgNumType w:start="332"/>
          <w:cols w:num="2" w:space="191"/>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 xml:space="preserve">b) »Tko se želi očistiti, njemu se pomaže (Bog).« </w:t>
      </w:r>
      <w:r>
        <w:rPr>
          <w:rFonts w:ascii="Times New Roman" w:eastAsia="Times New Roman" w:hAnsi="Times New Roman" w:cs="Times New Roman"/>
          <w:color w:val="000000"/>
          <w:spacing w:val="0"/>
          <w:w w:val="100"/>
          <w:position w:val="0"/>
          <w:shd w:val="clear" w:color="auto" w:fill="auto"/>
          <w:lang w:val="hr-HR" w:eastAsia="hr-HR" w:bidi="hr-HR"/>
        </w:rPr>
        <w:t>Događaj u židovskom životu blizak »oprav</w:t>
        <w:softHyphen/>
        <w:t xml:space="preserve">danju« koje postoji u opraštanju grijeha jest </w:t>
      </w:r>
      <w:r>
        <w:rPr>
          <w:rFonts w:ascii="Times New Roman" w:eastAsia="Times New Roman" w:hAnsi="Times New Roman" w:cs="Times New Roman"/>
          <w:i/>
          <w:iCs/>
          <w:color w:val="000000"/>
          <w:spacing w:val="0"/>
          <w:w w:val="100"/>
          <w:position w:val="0"/>
          <w:shd w:val="clear" w:color="auto" w:fill="auto"/>
          <w:lang w:val="hr-HR" w:eastAsia="hr-HR" w:bidi="hr-HR"/>
        </w:rPr>
        <w:t>pomirenje.</w:t>
      </w:r>
      <w:r>
        <w:rPr>
          <w:rFonts w:ascii="Times New Roman" w:eastAsia="Times New Roman" w:hAnsi="Times New Roman" w:cs="Times New Roman"/>
          <w:color w:val="000000"/>
          <w:spacing w:val="0"/>
          <w:w w:val="100"/>
          <w:position w:val="0"/>
          <w:shd w:val="clear" w:color="auto" w:fill="auto"/>
          <w:lang w:val="hr-HR" w:eastAsia="hr-HR" w:bidi="hr-HR"/>
        </w:rPr>
        <w:t xml:space="preserve">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(oko 270) opisuje njegov dvostruki karakter: »Posvuda je uobi</w:t>
        <w:softHyphen/>
        <w:t>čajeno da kad netko javno uvrijedi bližnjega i kad to nakon nekog vremena nastoji izgladiti, uvrijeđeni kaže: Javno si me uvrijedio i želiš se izmiriti u četiri oka? Idi i dovedi one muš</w:t>
        <w:softHyphen/>
        <w:t>karce u čijoj si me prisutnosti uvrijedio, pa ću se s tobom pomiriti. No, s Bogom je drukčije: ako čovjek stane na trg i Boga grdi i oma</w:t>
        <w:softHyphen/>
        <w:t xml:space="preserve">lovažava, on mu kaže: Pokaj se u četiri oka </w:t>
      </w:r>
      <w:r>
        <w:rPr>
          <w:rFonts w:ascii="Times New Roman" w:eastAsia="Times New Roman" w:hAnsi="Times New Roman" w:cs="Times New Roman"/>
          <w:color w:val="000000"/>
          <w:spacing w:val="0"/>
          <w:w w:val="100"/>
          <w:position w:val="0"/>
          <w:shd w:val="clear" w:color="auto" w:fill="auto"/>
          <w:lang w:val="hr-HR" w:eastAsia="hr-HR" w:bidi="hr-HR"/>
        </w:rPr>
        <w:t>(bez svjedoka), i ja ću te primiti« (Pesikta Ra</w:t>
        <w:softHyphen/>
        <w:t xml:space="preserve">bi </w:t>
      </w:r>
      <w:r>
        <w:rPr>
          <w:rFonts w:ascii="Times New Roman" w:eastAsia="Times New Roman" w:hAnsi="Times New Roman" w:cs="Times New Roman"/>
          <w:color w:val="000000"/>
          <w:spacing w:val="0"/>
          <w:w w:val="100"/>
          <w:position w:val="0"/>
          <w:shd w:val="clear" w:color="auto" w:fill="auto"/>
          <w:lang w:val="en-US" w:eastAsia="en-US" w:bidi="en-US"/>
        </w:rPr>
        <w:t xml:space="preserve">Kahane </w:t>
      </w:r>
      <w:r>
        <w:rPr>
          <w:rFonts w:ascii="Times New Roman" w:eastAsia="Times New Roman" w:hAnsi="Times New Roman" w:cs="Times New Roman"/>
          <w:color w:val="000000"/>
          <w:spacing w:val="0"/>
          <w:w w:val="100"/>
          <w:position w:val="0"/>
          <w:shd w:val="clear" w:color="auto" w:fill="auto"/>
          <w:lang w:val="hr-HR" w:eastAsia="hr-HR" w:bidi="hr-HR"/>
        </w:rPr>
        <w:t xml:space="preserve">/S.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163b). Pomirenje nije jedino djelo Božje milosti, nego i zahtjev čo</w:t>
        <w:softHyphen/>
        <w:t>vjeku da se pomiri sa sučovjekom kojega je uvrijedio: »Šmuel (u. 254) kaže: Tko se og</w:t>
        <w:softHyphen/>
        <w:t>riješi o bližnjega, neka mu kaže: Pogriješio sam prema tebi. Ako čovjek to prihvati, dobro je; ako pak ne prihvati, neka povede sa sobom druge ljude i pomiri se s njim u njihovoj pri</w:t>
        <w:softHyphen/>
        <w:t xml:space="preserve">sutnosti... Ako je pak uvrijeđeni umro, čovjek koji ga je uvrijedio mora se s njim pomiriti na njegovu grobu i reći: Pogriješio sam prema tebi«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Joma VIII,45c). Židovstvo kao religija pomirenja shvaća zapovijed ljubavi prema bližnjemu posve konkretno: »Rabi Jichak (oko 300) kaže: Tko bližnjega uvrijedi makar i ri</w:t>
        <w:softHyphen/>
        <w:t xml:space="preserve">ječima, mora tražiti pomirenje« (b Joma 87a). Tko uspostavlja mir između bližnjega i sebe (M Avot 1,12), pomirujc: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kaže: Ovdje se pokazalo (1 Sam 1,17) da onaj tko nečim sumnjiči bližnjega, a to je neopravdano, njega mora umiriti, udobrovoljiti (pomiriti se s njim); i ne samo to, mora ga i blagosloviti« (b Berahot 31b). Bez obraćanja bližnjemu ni</w:t>
        <w:softHyphen/>
        <w:t xml:space="preserve">tko ne može iskusiti snagu pomirenja Božjeg: »Grijehe čovjeka prema bližnjemu ne okajava Dan pomirenja... Ako čovjek griješi prema drugomu i moli ga za oproštenje, oprašta mu Bog« (b Joma 87a; usp. M VIII,9;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16,30). Za grijeh protiv Boga (b Joma 86b; Bava batra 164b) koji ne doživljava kao sud</w:t>
        <w:softHyphen/>
        <w:t xml:space="preserve">binu, nego griješi i zbog toga grijeha postaje žrtvom vlastita postupka (Izl 32,30; Br 32,23; Pnz 9,16.18; 30,15; Jr 40,3; 44,23; Ez 18,24; Hoš 10,9; Izr 5,22), odgovoran je sam čovjek (M Avot IV,2). On grijehom razara temeljni odnos sa svojim Stvoriteljem udaljujući se od činjenice da je on stvorenje. Samo Bog može ponovno uspostaviti vezu: »Očistit ćete se od svih svojih grijeha pred NJIM«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16,30, s tim u vezi M Joma VIII,9), a »on će mu dati pomirenje« (b Joma 86b) nakon što se čovjek vrati obraćenjem u svoj status stvorenja za koji je samo on odgovoran: »Ako pak čovjek griješi prema Bogu, tko bi mogao moliti za njega? - samo obraćenje i dobra djela (vra</w:t>
        <w:softHyphen/>
        <w:t xml:space="preserve">ćaju ga k Bogu)«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87a). Obraćenje (-&gt; Pokora) čovjek mora provesti u cjelini; ništa je ne smije spriječiti: »Ako netko kaže, ja ću griješiti i činiti pokoru (obraćenje, pokajanje, </w:t>
      </w:r>
      <w:r>
        <w:rPr>
          <w:rFonts w:ascii="Times New Roman" w:eastAsia="Times New Roman" w:hAnsi="Times New Roman" w:cs="Times New Roman"/>
          <w:i/>
          <w:iCs/>
          <w:color w:val="000000"/>
          <w:spacing w:val="0"/>
          <w:w w:val="100"/>
          <w:position w:val="0"/>
          <w:shd w:val="clear" w:color="auto" w:fill="auto"/>
          <w:lang w:val="hr-HR" w:eastAsia="hr-HR" w:bidi="hr-HR"/>
        </w:rPr>
        <w:t>tešuva),</w:t>
      </w:r>
      <w:r>
        <w:rPr>
          <w:rFonts w:ascii="Times New Roman" w:eastAsia="Times New Roman" w:hAnsi="Times New Roman" w:cs="Times New Roman"/>
          <w:color w:val="000000"/>
          <w:spacing w:val="0"/>
          <w:w w:val="100"/>
          <w:position w:val="0"/>
          <w:shd w:val="clear" w:color="auto" w:fill="auto"/>
          <w:lang w:val="hr-HR" w:eastAsia="hr-HR" w:bidi="hr-HR"/>
        </w:rPr>
        <w:t xml:space="preserve"> neće mu se dopustiti pokora... ja ću griješiti, a Dan pomirenja će me očistiti (oka</w:t>
        <w:softHyphen/>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jati), tada Dan pomirenja </w:t>
      </w:r>
      <w:r>
        <w:rPr>
          <w:rFonts w:ascii="Times New Roman" w:eastAsia="Times New Roman" w:hAnsi="Times New Roman" w:cs="Times New Roman"/>
          <w:i/>
          <w:iCs/>
          <w:color w:val="000000"/>
          <w:spacing w:val="0"/>
          <w:w w:val="100"/>
          <w:position w:val="0"/>
          <w:shd w:val="clear" w:color="auto" w:fill="auto"/>
          <w:lang w:val="en-US" w:eastAsia="en-US" w:bidi="en-US"/>
        </w:rPr>
        <w:t xml:space="preserve">(join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ha-kipurim) </w:t>
      </w:r>
      <w:r>
        <w:rPr>
          <w:rFonts w:ascii="Times New Roman" w:eastAsia="Times New Roman" w:hAnsi="Times New Roman" w:cs="Times New Roman"/>
          <w:color w:val="000000"/>
          <w:spacing w:val="0"/>
          <w:w w:val="100"/>
          <w:position w:val="0"/>
          <w:shd w:val="clear" w:color="auto" w:fill="auto"/>
          <w:lang w:val="hr-HR" w:eastAsia="hr-HR" w:bidi="hr-HR"/>
        </w:rPr>
        <w:t xml:space="preserve">nema okajničko djelovanje« (M </w:t>
      </w:r>
      <w:r>
        <w:rPr>
          <w:rFonts w:ascii="Times New Roman" w:eastAsia="Times New Roman" w:hAnsi="Times New Roman" w:cs="Times New Roman"/>
          <w:color w:val="000000"/>
          <w:spacing w:val="0"/>
          <w:w w:val="100"/>
          <w:position w:val="0"/>
          <w:shd w:val="clear" w:color="auto" w:fill="auto"/>
          <w:lang w:val="en-US" w:eastAsia="en-US" w:bidi="en-US"/>
        </w:rPr>
        <w:t xml:space="preserve">Jonia </w:t>
      </w:r>
      <w:r>
        <w:rPr>
          <w:rFonts w:ascii="Times New Roman" w:eastAsia="Times New Roman" w:hAnsi="Times New Roman" w:cs="Times New Roman"/>
          <w:color w:val="000000"/>
          <w:spacing w:val="0"/>
          <w:w w:val="100"/>
          <w:position w:val="0"/>
          <w:shd w:val="clear" w:color="auto" w:fill="auto"/>
          <w:lang w:val="hr-HR" w:eastAsia="hr-HR" w:bidi="hr-HR"/>
        </w:rPr>
        <w:t xml:space="preserve">VHI.9). Međutim, Bog je uvijek spreman omogućiti grešniku obraćenje - i njegov jc udio dovoljno jak: »Tko je on pred kim se čistite i tko je on koji vas čisti? Vaš Otac na nebesima«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Svijet postoji samo zbog jedinstva »praved</w:t>
        <w:softHyphen/>
        <w:t>nosti« i »milosti« u Bogu, ne samo zbog »mi</w:t>
        <w:softHyphen/>
        <w:t>losti« nego zbog njezina zajedničkog djelova</w:t>
        <w:softHyphen/>
        <w:t xml:space="preserve">nja s »pravednošću koja kažnjava«; jer Bog izlazi iz </w:t>
      </w:r>
      <w:r>
        <w:rPr>
          <w:rFonts w:ascii="Times New Roman" w:eastAsia="Times New Roman" w:hAnsi="Times New Roman" w:cs="Times New Roman"/>
          <w:i/>
          <w:iCs/>
          <w:color w:val="000000"/>
          <w:spacing w:val="0"/>
          <w:w w:val="100"/>
          <w:position w:val="0"/>
          <w:shd w:val="clear" w:color="auto" w:fill="auto"/>
          <w:lang w:val="hr-HR" w:eastAsia="hr-HR" w:bidi="hr-HR"/>
        </w:rPr>
        <w:t>mide</w:t>
      </w:r>
      <w:r>
        <w:rPr>
          <w:rFonts w:ascii="Times New Roman" w:eastAsia="Times New Roman" w:hAnsi="Times New Roman" w:cs="Times New Roman"/>
          <w:color w:val="000000"/>
          <w:spacing w:val="0"/>
          <w:w w:val="100"/>
          <w:position w:val="0"/>
          <w:shd w:val="clear" w:color="auto" w:fill="auto"/>
          <w:lang w:val="hr-HR" w:eastAsia="hr-HR" w:bidi="hr-HR"/>
        </w:rPr>
        <w:t xml:space="preserve"> suda (postupka strogosti) i ulazi u </w:t>
      </w:r>
      <w:r>
        <w:rPr>
          <w:rFonts w:ascii="Times New Roman" w:eastAsia="Times New Roman" w:hAnsi="Times New Roman" w:cs="Times New Roman"/>
          <w:i/>
          <w:iCs/>
          <w:color w:val="000000"/>
          <w:spacing w:val="0"/>
          <w:w w:val="100"/>
          <w:position w:val="0"/>
          <w:shd w:val="clear" w:color="auto" w:fill="auto"/>
          <w:lang w:val="hr-HR" w:eastAsia="hr-HR" w:bidi="hr-HR"/>
        </w:rPr>
        <w:t>midu</w:t>
      </w:r>
      <w:r>
        <w:rPr>
          <w:rFonts w:ascii="Times New Roman" w:eastAsia="Times New Roman" w:hAnsi="Times New Roman" w:cs="Times New Roman"/>
          <w:color w:val="000000"/>
          <w:spacing w:val="0"/>
          <w:w w:val="100"/>
          <w:position w:val="0"/>
          <w:shd w:val="clear" w:color="auto" w:fill="auto"/>
          <w:lang w:val="hr-HR" w:eastAsia="hr-HR" w:bidi="hr-HR"/>
        </w:rPr>
        <w:t xml:space="preserve"> smilovanja (j Taanit 11,1; usp. b Bera- hot 7a): </w:t>
      </w:r>
      <w:r>
        <w:rPr>
          <w:rFonts w:ascii="Times New Roman" w:eastAsia="Times New Roman" w:hAnsi="Times New Roman" w:cs="Times New Roman"/>
          <w:i/>
          <w:iCs/>
          <w:color w:val="000000"/>
          <w:spacing w:val="0"/>
          <w:w w:val="100"/>
          <w:position w:val="0"/>
          <w:shd w:val="clear" w:color="auto" w:fill="auto"/>
          <w:lang w:val="hr-HR" w:eastAsia="hr-HR" w:bidi="hr-HR"/>
        </w:rPr>
        <w:t>mida</w:t>
      </w:r>
      <w:r>
        <w:rPr>
          <w:rFonts w:ascii="Times New Roman" w:eastAsia="Times New Roman" w:hAnsi="Times New Roman" w:cs="Times New Roman"/>
          <w:color w:val="000000"/>
          <w:spacing w:val="0"/>
          <w:w w:val="100"/>
          <w:position w:val="0"/>
          <w:shd w:val="clear" w:color="auto" w:fill="auto"/>
          <w:lang w:val="hr-HR" w:eastAsia="hr-HR" w:bidi="hr-HR"/>
        </w:rPr>
        <w:t xml:space="preserve"> milosti je jača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100a). Milost prevladava, ne tek u budućem otkup</w:t>
        <w:softHyphen/>
        <w:t>ljenju, nego i u cijeloj povijesti čovječanstva: «... mjera dobrote veća jc od mjere naplate« (Tos. Sota IV,1). Budući da jc tako, na obra</w:t>
        <w:softHyphen/>
        <w:t xml:space="preserve">ćenje se ne sprema nitko komu Božja milost već ne dolazi u susret: »Tko se želi očistiti, njemu se pomaže (= Bog)« (b Sabat 104a). Jezik mudraca, blizak stvarnosti, konkretizira to ovako: »Rabi Jichak (oko </w:t>
      </w:r>
      <w:r>
        <w:rPr>
          <w:rFonts w:ascii="Times New Roman" w:eastAsia="Times New Roman" w:hAnsi="Times New Roman" w:cs="Times New Roman"/>
          <w:color w:val="000000"/>
          <w:spacing w:val="0"/>
          <w:w w:val="100"/>
          <w:position w:val="0"/>
          <w:shd w:val="clear" w:color="auto" w:fill="auto"/>
          <w:lang w:val="en-US" w:eastAsia="en-US" w:bidi="en-US"/>
        </w:rPr>
        <w:t xml:space="preserve">3CXJ) </w:t>
      </w:r>
      <w:r>
        <w:rPr>
          <w:rFonts w:ascii="Times New Roman" w:eastAsia="Times New Roman" w:hAnsi="Times New Roman" w:cs="Times New Roman"/>
          <w:color w:val="000000"/>
          <w:spacing w:val="0"/>
          <w:w w:val="100"/>
          <w:position w:val="0"/>
          <w:shd w:val="clear" w:color="auto" w:fill="auto"/>
          <w:lang w:val="hr-HR" w:eastAsia="hr-HR" w:bidi="hr-HR"/>
        </w:rPr>
        <w:t>kaže: ... Bog je rekao Izraelcima: Činite pokoru u onih deset dana između Nove godine i Dana po</w:t>
        <w:softHyphen/>
        <w:t>mirenja, i ja ću vas proglasiti pravednima na Dan pomirenja i napraviti od vas novo stvo</w:t>
        <w:softHyphen/>
        <w:t>renje« (Pcsikta rabati 40 /169a/).</w:t>
      </w:r>
    </w:p>
    <w:p>
      <w:pPr>
        <w:pStyle w:val="Style56"/>
        <w:keepNext w:val="0"/>
        <w:keepLines w:val="0"/>
        <w:widowControl w:val="0"/>
        <w:shd w:val="clear" w:color="auto" w:fill="auto"/>
        <w:tabs>
          <w:tab w:pos="2414" w:val="left"/>
        </w:tabs>
        <w:bidi w:val="0"/>
        <w:spacing w:before="0" w:after="200" w:line="240" w:lineRule="auto"/>
        <w:ind w:left="0" w:right="0" w:firstLine="0"/>
        <w:jc w:val="both"/>
        <w:rPr>
          <w:sz w:val="15"/>
          <w:szCs w:val="15"/>
        </w:rPr>
      </w:pPr>
      <w:r>
        <w:rPr>
          <w:color w:val="000000"/>
          <w:spacing w:val="0"/>
          <w:w w:val="100"/>
          <w:position w:val="0"/>
          <w:sz w:val="12"/>
          <w:szCs w:val="12"/>
          <w:shd w:val="clear" w:color="auto" w:fill="auto"/>
          <w:lang w:val="hr-HR" w:eastAsia="hr-HR" w:bidi="hr-HR"/>
        </w:rPr>
        <w:t xml:space="preserve">Lit.: </w:t>
      </w:r>
      <w:r>
        <w:rPr>
          <w:i/>
          <w:iCs/>
          <w:color w:val="000000"/>
          <w:spacing w:val="0"/>
          <w:w w:val="100"/>
          <w:position w:val="0"/>
          <w:sz w:val="12"/>
          <w:szCs w:val="12"/>
          <w:shd w:val="clear" w:color="auto" w:fill="auto"/>
          <w:lang w:val="hr-HR" w:eastAsia="hr-HR" w:bidi="hr-HR"/>
        </w:rPr>
        <w:t>G.</w:t>
      </w:r>
      <w:r>
        <w:rPr>
          <w:color w:val="000000"/>
          <w:spacing w:val="0"/>
          <w:w w:val="100"/>
          <w:position w:val="0"/>
          <w:sz w:val="12"/>
          <w:szCs w:val="12"/>
          <w:shd w:val="clear" w:color="auto" w:fill="auto"/>
          <w:lang w:val="hr-HR" w:eastAsia="hr-HR" w:bidi="hr-HR"/>
        </w:rPr>
        <w:t xml:space="preserve"> F. </w:t>
      </w:r>
      <w:r>
        <w:rPr>
          <w:i/>
          <w:iCs/>
          <w:color w:val="000000"/>
          <w:spacing w:val="0"/>
          <w:w w:val="100"/>
          <w:position w:val="0"/>
          <w:sz w:val="12"/>
          <w:szCs w:val="12"/>
          <w:shd w:val="clear" w:color="auto" w:fill="auto"/>
        </w:rPr>
        <w:t>lAcwc. Judaism in the First Gentunes of the Chris</w:t>
        <w:softHyphen/>
        <w:t>tian Era. The dge of the Tannaim</w:t>
      </w:r>
      <w:r>
        <w:rPr>
          <w:color w:val="000000"/>
          <w:spacing w:val="0"/>
          <w:w w:val="100"/>
          <w:position w:val="0"/>
          <w:sz w:val="12"/>
          <w:szCs w:val="12"/>
          <w:shd w:val="clear" w:color="auto" w:fill="auto"/>
        </w:rPr>
        <w:t xml:space="preserve"> /, 1927/1962. 443-552; F. L. Urbach. </w:t>
      </w:r>
      <w:r>
        <w:rPr>
          <w:i/>
          <w:iCs/>
          <w:color w:val="000000"/>
          <w:spacing w:val="0"/>
          <w:w w:val="100"/>
          <w:position w:val="0"/>
          <w:sz w:val="12"/>
          <w:szCs w:val="12"/>
          <w:shd w:val="clear" w:color="auto" w:fill="auto"/>
        </w:rPr>
        <w:t>The Sages. Their Concepts and Beliefs.</w:t>
      </w:r>
      <w:r>
        <w:rPr>
          <w:color w:val="000000"/>
          <w:spacing w:val="0"/>
          <w:w w:val="100"/>
          <w:position w:val="0"/>
          <w:sz w:val="12"/>
          <w:szCs w:val="12"/>
          <w:shd w:val="clear" w:color="auto" w:fill="auto"/>
        </w:rPr>
        <w:t xml:space="preserve"> I 975,44K id, 462 id.</w:t>
        <w:tab/>
        <w:t xml:space="preserve">i&gt;. </w:t>
      </w:r>
      <w:r>
        <w:rPr>
          <w:rFonts w:ascii="Times New Roman" w:eastAsia="Times New Roman" w:hAnsi="Times New Roman" w:cs="Times New Roman"/>
          <w:smallCaps/>
          <w:color w:val="000000"/>
          <w:spacing w:val="0"/>
          <w:w w:val="100"/>
          <w:position w:val="0"/>
          <w:sz w:val="15"/>
          <w:szCs w:val="15"/>
          <w:shd w:val="clear" w:color="auto" w:fill="auto"/>
        </w:rPr>
        <w:t>veiter</w:t>
      </w:r>
    </w:p>
    <w:p>
      <w:pPr>
        <w:pStyle w:val="Style56"/>
        <w:keepNext w:val="0"/>
        <w:keepLines w:val="0"/>
        <w:widowControl w:val="0"/>
        <w:numPr>
          <w:ilvl w:val="0"/>
          <w:numId w:val="353"/>
        </w:numPr>
        <w:shd w:val="clear" w:color="auto" w:fill="auto"/>
        <w:tabs>
          <w:tab w:pos="255" w:val="left"/>
        </w:tabs>
        <w:bidi w:val="0"/>
        <w:spacing w:before="0" w:after="60" w:line="240" w:lineRule="auto"/>
        <w:ind w:left="0" w:right="0" w:firstLine="0"/>
        <w:jc w:val="both"/>
      </w:pP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w:t>
      </w:r>
      <w:r>
        <w:rPr>
          <w:rFonts w:ascii="Times New Roman" w:eastAsia="Times New Roman" w:hAnsi="Times New Roman" w:cs="Times New Roman"/>
          <w:color w:val="000000"/>
          <w:spacing w:val="0"/>
          <w:w w:val="100"/>
          <w:position w:val="0"/>
          <w:shd w:val="clear" w:color="auto" w:fill="auto"/>
          <w:lang w:val="hr-HR" w:eastAsia="hr-HR" w:bidi="hr-HR"/>
        </w:rPr>
        <w:t xml:space="preserve"> U kršćansko-religijskom jeziku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vrijedi kao moto pavlovskog učenja o otkupljenju iako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srodan pojam »pravednost« (dika- </w:t>
      </w:r>
      <w:r>
        <w:rPr>
          <w:rFonts w:ascii="Times New Roman" w:eastAsia="Times New Roman" w:hAnsi="Times New Roman" w:cs="Times New Roman"/>
          <w:color w:val="000000"/>
          <w:spacing w:val="0"/>
          <w:w w:val="100"/>
          <w:position w:val="0"/>
          <w:shd w:val="clear" w:color="auto" w:fill="auto"/>
          <w:lang w:val="en-US" w:eastAsia="en-US" w:bidi="en-US"/>
        </w:rPr>
        <w:t xml:space="preserve">iosyne </w:t>
      </w:r>
      <w:r>
        <w:rPr>
          <w:rFonts w:ascii="Times New Roman" w:eastAsia="Times New Roman" w:hAnsi="Times New Roman" w:cs="Times New Roman"/>
          <w:color w:val="000000"/>
          <w:spacing w:val="0"/>
          <w:w w:val="100"/>
          <w:position w:val="0"/>
          <w:shd w:val="clear" w:color="auto" w:fill="auto"/>
          <w:lang w:val="hr-HR" w:eastAsia="hr-HR" w:bidi="hr-HR"/>
        </w:rPr>
        <w:t xml:space="preserve">- 34 puta samo u Rim) dolazi daleko češće. Grčku riječ dikaiosis, koja se u Septua- ginti samo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24, 22 javlja kao prijevod od mišpath = »pravo«, Pavao primjenjuje dvaput (Rim 4,25; 5,18) i to u značenju »o.«. U Sep- tuaginti poznatu riječ dikaioma (za hebr. hoq, </w:t>
      </w:r>
      <w:r>
        <w:rPr>
          <w:rFonts w:ascii="Times New Roman" w:eastAsia="Times New Roman" w:hAnsi="Times New Roman" w:cs="Times New Roman"/>
          <w:color w:val="000000"/>
          <w:spacing w:val="0"/>
          <w:w w:val="100"/>
          <w:position w:val="0"/>
          <w:shd w:val="clear" w:color="auto" w:fill="auto"/>
          <w:lang w:val="en-US" w:eastAsia="en-US" w:bidi="en-US"/>
        </w:rPr>
        <w:t xml:space="preserve">huqah </w:t>
      </w:r>
      <w:r>
        <w:rPr>
          <w:rFonts w:ascii="Times New Roman" w:eastAsia="Times New Roman" w:hAnsi="Times New Roman" w:cs="Times New Roman"/>
          <w:color w:val="000000"/>
          <w:spacing w:val="0"/>
          <w:w w:val="100"/>
          <w:position w:val="0"/>
          <w:shd w:val="clear" w:color="auto" w:fill="auto"/>
          <w:lang w:val="hr-HR" w:eastAsia="hr-HR" w:bidi="hr-HR"/>
        </w:rPr>
        <w:t>mišpath) primjenjuje doduše 5 puta u Rim, ali samo jednom u značenju »o./suđe- nje« (5,16; inače »zakonit čitV'zahtijevanje/pra- va«). Drugačije stoji s glagolom dikaioo = »opravdati/osuditi«: Pavao ga upotrebljava 25 puta (Rim: 15 puta; Gal: 8 puta; 1 Kor: 2 puta) iako u Septuaginti stoji samo 45 puta, većinom kao prijevod od sdq.</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Ovi pojmovi pozajmljeni iz pravničkog jezika u NZ snažno su obilježeni Scptuagintom: Tko </w:t>
      </w:r>
      <w:r>
        <w:rPr>
          <w:rFonts w:ascii="Times New Roman" w:eastAsia="Times New Roman" w:hAnsi="Times New Roman" w:cs="Times New Roman"/>
          <w:color w:val="000000"/>
          <w:spacing w:val="0"/>
          <w:w w:val="100"/>
          <w:position w:val="0"/>
          <w:shd w:val="clear" w:color="auto" w:fill="auto"/>
          <w:lang w:val="hr-HR" w:eastAsia="hr-HR" w:bidi="hr-HR"/>
        </w:rPr>
        <w:t>ispravno postupa, treba mu »dati pravo« (Izl 23,7; Pnz. 25, 1; 2 Sam 15.4); komu se događa nepravda, treba mu »vratiti pravicu« (Ps 81/82, 3; Iz 50,8). Pravednost neke osobe treba dakle dobiti javno priznanje kako pred bližnjima ta</w:t>
        <w:softHyphen/>
        <w:t>ko i pred Božjim očima koje sude (Ps 50/51, 6; 142/143,2). »Pravednik« se nada na posljed</w:t>
        <w:softHyphen/>
        <w:t xml:space="preserve">njem Božjem sudu trijumfirati što. dakako, ne izgleda moguće bez Božje milosrdne vjernosti (Ps 142/143, 1; usp. </w:t>
      </w:r>
      <w:r>
        <w:rPr>
          <w:rFonts w:ascii="Times New Roman" w:eastAsia="Times New Roman" w:hAnsi="Times New Roman" w:cs="Times New Roman"/>
          <w:color w:val="000000"/>
          <w:spacing w:val="0"/>
          <w:w w:val="100"/>
          <w:position w:val="0"/>
          <w:shd w:val="clear" w:color="auto" w:fill="auto"/>
          <w:lang w:val="en-US" w:eastAsia="en-US" w:bidi="en-US"/>
        </w:rPr>
        <w:t xml:space="preserve">1QH </w:t>
      </w:r>
      <w:r>
        <w:rPr>
          <w:rFonts w:ascii="Times New Roman" w:eastAsia="Times New Roman" w:hAnsi="Times New Roman" w:cs="Times New Roman"/>
          <w:color w:val="000000"/>
          <w:spacing w:val="0"/>
          <w:w w:val="100"/>
          <w:position w:val="0"/>
          <w:shd w:val="clear" w:color="auto" w:fill="auto"/>
          <w:lang w:val="hr-HR" w:eastAsia="hr-HR" w:bidi="hr-HR"/>
        </w:rPr>
        <w:t>13,17; 4 Esdr 8,36).</w:t>
      </w:r>
    </w:p>
    <w:p>
      <w:pPr>
        <w:pStyle w:val="Style20"/>
        <w:keepNext w:val="0"/>
        <w:keepLines w:val="0"/>
        <w:widowControl w:val="0"/>
        <w:numPr>
          <w:ilvl w:val="0"/>
          <w:numId w:val="389"/>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Iako kod </w:t>
      </w:r>
      <w:r>
        <w:rPr>
          <w:rFonts w:ascii="Times New Roman" w:eastAsia="Times New Roman" w:hAnsi="Times New Roman" w:cs="Times New Roman"/>
          <w:i/>
          <w:iCs/>
          <w:color w:val="000000"/>
          <w:spacing w:val="0"/>
          <w:w w:val="100"/>
          <w:position w:val="0"/>
          <w:shd w:val="clear" w:color="auto" w:fill="auto"/>
          <w:lang w:val="en-US" w:eastAsia="en-US" w:bidi="en-US"/>
        </w:rPr>
        <w:t>Ms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hr-HR" w:eastAsia="hr-HR" w:bidi="hr-HR"/>
        </w:rPr>
        <w:t>Lk</w:t>
      </w:r>
      <w:r>
        <w:rPr>
          <w:rFonts w:ascii="Times New Roman" w:eastAsia="Times New Roman" w:hAnsi="Times New Roman" w:cs="Times New Roman"/>
          <w:color w:val="000000"/>
          <w:spacing w:val="0"/>
          <w:w w:val="100"/>
          <w:position w:val="0"/>
          <w:shd w:val="clear" w:color="auto" w:fill="auto"/>
          <w:lang w:val="hr-HR" w:eastAsia="hr-HR" w:bidi="hr-HR"/>
        </w:rPr>
        <w:t xml:space="preserve"> pojmovi »pravedan« (Mt: 17 puta, I.k: 11 puta) i »pravednost« (7 puta u Mt kao osobito etičko savršenstvo koje se zah</w:t>
        <w:softHyphen/>
        <w:t>tijevalo kod učenika a da se nije naročito isti</w:t>
        <w:softHyphen/>
        <w:t>cao ntilosni značaj) igraju veliku ulogu, malo je govora o »opravdati«. U O-logiji (Mt 11, 19; Lk 7,35) nalazi se forenzički smisao Sep- tuagintc: Mudrost se svojim djelima odnosno djecom »opravdala« (ili: »ona se dokazala kao pravedna«).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Dvaput Lk primjenjuje povratni glagol »oprav</w:t>
        <w:softHyphen/>
        <w:t>dati se« na farizeje, jednom u redakcijskom vezivnom odlomku (10.29). zatim u osudi fa</w:t>
        <w:softHyphen/>
        <w:t>rizejske umišljene pravednosti (16,15). O fari</w:t>
        <w:softHyphen/>
        <w:t>zejskom samoopravdanju (odnosno preziru grešnika) radi se i u Lk 18,14 a. izreci koja pri</w:t>
        <w:softHyphen/>
        <w:t>pada tradiciji: Ovdje Bog jasno ukazuje na o. kao na dokaz milosti raskajanom grešniku. Kako ova izreka počiva na Isusovu povijesnom ponašanju naspram carinika i grešnika, po svoj prilici jc jasno da pavlovsko učenje o oprav</w:t>
        <w:softHyphen/>
        <w:t>danju nije tuđe Isusovu učenju i ponašanju.</w:t>
      </w:r>
    </w:p>
    <w:p>
      <w:pPr>
        <w:pStyle w:val="Style20"/>
        <w:keepNext w:val="0"/>
        <w:keepLines w:val="0"/>
        <w:widowControl w:val="0"/>
        <w:numPr>
          <w:ilvl w:val="0"/>
          <w:numId w:val="389"/>
        </w:numPr>
        <w:shd w:val="clear" w:color="auto" w:fill="auto"/>
        <w:tabs>
          <w:tab w:pos="260"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Polazna točka </w:t>
      </w:r>
      <w:r>
        <w:rPr>
          <w:rFonts w:ascii="Times New Roman" w:eastAsia="Times New Roman" w:hAnsi="Times New Roman" w:cs="Times New Roman"/>
          <w:i/>
          <w:iCs/>
          <w:color w:val="000000"/>
          <w:spacing w:val="0"/>
          <w:w w:val="100"/>
          <w:position w:val="0"/>
          <w:shd w:val="clear" w:color="auto" w:fill="auto"/>
          <w:lang w:val="hr-HR" w:eastAsia="hr-HR" w:bidi="hr-HR"/>
        </w:rPr>
        <w:t>pavlovskog</w:t>
      </w:r>
      <w:r>
        <w:rPr>
          <w:rFonts w:ascii="Times New Roman" w:eastAsia="Times New Roman" w:hAnsi="Times New Roman" w:cs="Times New Roman"/>
          <w:color w:val="000000"/>
          <w:spacing w:val="0"/>
          <w:w w:val="100"/>
          <w:position w:val="0"/>
          <w:shd w:val="clear" w:color="auto" w:fill="auto"/>
          <w:lang w:val="hr-HR" w:eastAsia="hr-HR" w:bidi="hr-HR"/>
        </w:rPr>
        <w:t xml:space="preserve"> učenja o oprav</w:t>
        <w:softHyphen/>
        <w:t>danju svakako je Pavlovo uvjerenje da Bog ne prihvaća samo Židove nego i pogane i to na temelju vjere u Isusa Krista (Gal 3,8; Rim 3, 29 i d.). To je on najprije iskusio na samome sebi. Prije svoga obraćenja bio je, »po praved</w:t>
        <w:softHyphen/>
        <w:t>nosti koja dolazi od Zakona, besprijekoran« (Fil 3,6); ipak zatim »ne pravednošću koja bi bila moja - onom koja dolazi od Zakona - nego onom koja se dobiva po vjeri u Krista, pravednošću koja dolazi od Boga na osnovi vjere« (Fi) 3, 9). Osuđuje svoju židovsku braću u vjeri, gledajući unazad i priznavajući njihov žar, jer su htjeli ustanoviti svoju vlastitu pra</w:t>
        <w:softHyphen/>
        <w:t>vednost pa tako ne poznaju pravednost koja dolazi od Boga (Rim 10, 2-3).</w:t>
      </w:r>
    </w:p>
    <w:p>
      <w:pPr>
        <w:pStyle w:val="Style20"/>
        <w:keepNext w:val="0"/>
        <w:keepLines w:val="0"/>
        <w:widowControl w:val="0"/>
        <w:numPr>
          <w:ilvl w:val="0"/>
          <w:numId w:val="389"/>
        </w:numPr>
        <w:shd w:val="clear" w:color="auto" w:fill="auto"/>
        <w:tabs>
          <w:tab w:pos="265" w:val="left"/>
        </w:tabs>
        <w:bidi w:val="0"/>
        <w:spacing w:before="0" w:after="0" w:line="240" w:lineRule="auto"/>
        <w:ind w:left="0" w:right="0" w:firstLine="0"/>
        <w:jc w:val="both"/>
        <w:sectPr>
          <w:headerReference w:type="default" r:id="rId1015"/>
          <w:footerReference w:type="default" r:id="rId1016"/>
          <w:headerReference w:type="even" r:id="rId1017"/>
          <w:footerReference w:type="even" r:id="rId1018"/>
          <w:footnotePr>
            <w:pos w:val="pageBottom"/>
            <w:numFmt w:val="decimal"/>
            <w:numRestart w:val="continuous"/>
            <w15:footnoteColumns w:val="1"/>
          </w:footnotePr>
          <w:type w:val="continuous"/>
          <w:pgSz w:w="6816" w:h="11006"/>
          <w:pgMar w:top="996" w:left="186" w:right="189" w:bottom="516" w:header="0" w:footer="3" w:gutter="0"/>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borbi protiv judaizanata koji su htjeli nametnuti kršćanima poganskog podrijetla u crkvama Galacije obdržavanje židovskih za</w:t>
        <w:softHyphen/>
        <w:t>konskih dužnosti kao nužno za spasenje. Pa-</w:t>
      </w:r>
    </w:p>
    <w:p>
      <w:pPr>
        <w:pStyle w:val="Style20"/>
        <w:keepNext w:val="0"/>
        <w:keepLines w:val="0"/>
        <w:widowControl w:val="0"/>
        <w:shd w:val="clear" w:color="auto" w:fill="auto"/>
        <w:tabs>
          <w:tab w:pos="1373" w:val="left"/>
        </w:tabs>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vao u </w:t>
      </w:r>
      <w:r>
        <w:rPr>
          <w:rFonts w:ascii="Times New Roman" w:eastAsia="Times New Roman" w:hAnsi="Times New Roman" w:cs="Times New Roman"/>
          <w:i/>
          <w:iCs/>
          <w:color w:val="000000"/>
          <w:spacing w:val="0"/>
          <w:w w:val="100"/>
          <w:position w:val="0"/>
          <w:shd w:val="clear" w:color="auto" w:fill="auto"/>
          <w:lang w:val="hr-HR" w:eastAsia="hr-HR" w:bidi="hr-HR"/>
        </w:rPr>
        <w:t>Poslanici Galaćanima</w:t>
      </w:r>
      <w:r>
        <w:rPr>
          <w:rFonts w:ascii="Times New Roman" w:eastAsia="Times New Roman" w:hAnsi="Times New Roman" w:cs="Times New Roman"/>
          <w:color w:val="000000"/>
          <w:spacing w:val="0"/>
          <w:w w:val="100"/>
          <w:position w:val="0"/>
          <w:shd w:val="clear" w:color="auto" w:fill="auto"/>
          <w:lang w:val="hr-HR" w:eastAsia="hr-HR" w:bidi="hr-HR"/>
        </w:rPr>
        <w:t xml:space="preserve"> razvija svoje uče</w:t>
        <w:softHyphen/>
        <w:t>nje o spasenju. Njegova teza glasi: Čak mi, rođeni Židovi, prepoznali smo i povjerovali u svjetlu Kristova događaja »da čovjeka ne oprav</w:t>
        <w:softHyphen/>
        <w:t>dava vršenje Zakona, nego samo vjera u Kris</w:t>
        <w:softHyphen/>
        <w:t>ta Isusa« (2,16). Kao dokaz primijenio je naj</w:t>
        <w:softHyphen/>
        <w:t xml:space="preserve">prije Ps 142/143, 2 </w:t>
      </w:r>
      <w:r>
        <w:rPr>
          <w:rFonts w:ascii="Times New Roman" w:eastAsia="Times New Roman" w:hAnsi="Times New Roman" w:cs="Times New Roman"/>
          <w:color w:val="000000"/>
          <w:spacing w:val="0"/>
          <w:w w:val="100"/>
          <w:position w:val="0"/>
          <w:shd w:val="clear" w:color="auto" w:fill="auto"/>
          <w:lang w:val="en-US" w:eastAsia="en-US" w:bidi="en-US"/>
        </w:rPr>
        <w:t>I.</w:t>
      </w:r>
      <w:r>
        <w:rPr>
          <w:rFonts w:ascii="Times New Roman" w:eastAsia="Times New Roman" w:hAnsi="Times New Roman" w:cs="Times New Roman"/>
          <w:color w:val="000000"/>
          <w:spacing w:val="0"/>
          <w:w w:val="100"/>
          <w:position w:val="0"/>
          <w:shd w:val="clear" w:color="auto" w:fill="auto"/>
          <w:lang w:val="hr-HR" w:eastAsia="hr-HR" w:bidi="hr-HR"/>
        </w:rPr>
        <w:t>XX, ali bez doslovnog ci</w:t>
        <w:softHyphen/>
        <w:t>tiranja i uz dodatak izraza koji daju objašnje</w:t>
        <w:softHyphen/>
        <w:t xml:space="preserve">nje. Tekst Scptuaginte glasi: »Nijedan se živi stvor ne opravdava pred Tobom.« Pa ipak, Pavao kaže (Gal 2,16e; usp. Rim 3,20): </w:t>
      </w:r>
      <w:r>
        <w:rPr>
          <w:rFonts w:ascii="Times New Roman" w:eastAsia="Times New Roman" w:hAnsi="Times New Roman" w:cs="Times New Roman"/>
          <w:i/>
          <w:iCs/>
          <w:color w:val="000000"/>
          <w:spacing w:val="0"/>
          <w:w w:val="100"/>
          <w:position w:val="0"/>
          <w:shd w:val="clear" w:color="auto" w:fill="auto"/>
          <w:lang w:val="hr-HR" w:eastAsia="hr-HR" w:bidi="hr-HR"/>
        </w:rPr>
        <w:t>»Vrše</w:t>
        <w:softHyphen/>
        <w:t>nje Zakona</w:t>
      </w:r>
      <w:r>
        <w:rPr>
          <w:rFonts w:ascii="Times New Roman" w:eastAsia="Times New Roman" w:hAnsi="Times New Roman" w:cs="Times New Roman"/>
          <w:color w:val="000000"/>
          <w:spacing w:val="0"/>
          <w:w w:val="100"/>
          <w:position w:val="0"/>
          <w:shd w:val="clear" w:color="auto" w:fill="auto"/>
          <w:lang w:val="hr-HR" w:eastAsia="hr-HR" w:bidi="hr-HR"/>
        </w:rPr>
        <w:t xml:space="preserve"> ‘neće </w:t>
      </w:r>
      <w:r>
        <w:rPr>
          <w:rFonts w:ascii="Times New Roman" w:eastAsia="Times New Roman" w:hAnsi="Times New Roman" w:cs="Times New Roman"/>
          <w:i/>
          <w:iCs/>
          <w:color w:val="000000"/>
          <w:spacing w:val="0"/>
          <w:w w:val="100"/>
          <w:position w:val="0"/>
          <w:shd w:val="clear" w:color="auto" w:fill="auto"/>
          <w:lang w:val="hr-HR" w:eastAsia="hr-HR" w:bidi="hr-HR"/>
        </w:rPr>
        <w:t>nikoga</w:t>
      </w:r>
      <w:r>
        <w:rPr>
          <w:rFonts w:ascii="Times New Roman" w:eastAsia="Times New Roman" w:hAnsi="Times New Roman" w:cs="Times New Roman"/>
          <w:color w:val="000000"/>
          <w:spacing w:val="0"/>
          <w:w w:val="100"/>
          <w:position w:val="0"/>
          <w:shd w:val="clear" w:color="auto" w:fill="auto"/>
          <w:lang w:val="hr-HR" w:eastAsia="hr-HR" w:bidi="hr-HR"/>
        </w:rPr>
        <w:t xml:space="preserve"> opravdati’«. Time Pa</w:t>
        <w:softHyphen/>
        <w:t>vao ne želi reći da Bog ne priznaje onoga koji ispravno postupa: »Tko ispunjava Zakon, ži</w:t>
        <w:softHyphen/>
        <w:t>vjet će od njega«, vrijedi još uvijek (Rim 10,5); ali on vjeruje da nitko ne može sve činiti stoje u Zakonu napisano (Gal 3,10) i da zato svi stoje pod prokletstvom Zakona (Pnz 27,26). Zato je praktički isključen put opravdanja »djelima Zakona« (Rim 5,1; 10,4); o. je samo milosni dar za onoga koji vjeruje. Pavao do</w:t>
        <w:softHyphen/>
        <w:t>nosi dva pisamska dokaza za to; najprije Abra- hantov primjer »’Vjerova Bogu i to mu se ura</w:t>
        <w:softHyphen/>
        <w:t xml:space="preserve">čuna u pravednost’« (Gal 3,6; usp. Rim 4,3; Post 15,6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O. vjerom, koje se uzorno i unaprijed navještajući dogodilo u Abrahamu. postaje sada blagoslov za sve narode, jer od sada »Bog vjerom opravdava pogane« (Gal 3,8). Drugi pisamski dokaz je iz Hab 2,4, Gal 3,11; usp. Rim 1,17: »Pravednik živi od svoje vjere«. Nakon što je došla vjera u Isusa Krista, Zakon je izgubio svoju ulogu čuvara i oslobo</w:t>
        <w:softHyphen/>
        <w:t>dio nas je »da se vjerom opravdamo« (Gal 3,24).</w:t>
        <w:tab/>
        <w:t>'</w:t>
      </w:r>
    </w:p>
    <w:p>
      <w:pPr>
        <w:pStyle w:val="Style20"/>
        <w:keepNext w:val="0"/>
        <w:keepLines w:val="0"/>
        <w:widowControl w:val="0"/>
        <w:numPr>
          <w:ilvl w:val="0"/>
          <w:numId w:val="389"/>
        </w:numPr>
        <w:shd w:val="clear" w:color="auto" w:fill="auto"/>
        <w:tabs>
          <w:tab w:pos="250" w:val="left"/>
        </w:tabs>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Poslanici Rimljanima</w:t>
      </w:r>
      <w:r>
        <w:rPr>
          <w:rFonts w:ascii="Times New Roman" w:eastAsia="Times New Roman" w:hAnsi="Times New Roman" w:cs="Times New Roman"/>
          <w:color w:val="000000"/>
          <w:spacing w:val="0"/>
          <w:w w:val="100"/>
          <w:position w:val="0"/>
          <w:shd w:val="clear" w:color="auto" w:fill="auto"/>
          <w:lang w:val="hr-HR" w:eastAsia="hr-HR" w:bidi="hr-HR"/>
        </w:rPr>
        <w:t xml:space="preserve"> (3-4; 5; 8,30-33) Pavao još jednom nabacuje tu problematiku; dalje ipak diže ruke od toga. O. grešnika počiva na neospornoj Božjoj vjernosti koja se ne da zbuniti od ljudske nepravednosti (3,3-5).</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nitko u Izraelu ne može sloviti za praved</w:t>
        <w:softHyphen/>
        <w:t>nika, da dakle svi trebaju milost, Pavao doka</w:t>
        <w:softHyphen/>
        <w:t>zuje nizom starozavjetnih tekstova (3,10-18) iz čega slijedi: Zakon je donio samo »točnu spoznaju grijeha« (3,20b). Samo je Bog prave</w:t>
        <w:softHyphen/>
        <w:t>dan, svi su drugi grcšnici (3,23). On sada oči</w:t>
        <w:softHyphen/>
        <w:t>tuje svoju pravednost tako što »opravdava bezbožnika« (4,5) ne na temelju bilo kakvih djela nego »darom svoje milosti, otkupljenjem u Kristu Isusu« (3,24). Kratko rečeno: Bog opravdava (samo) onoga koji vjeruje u Isusa (4,25); a to su i Židovi i pogani (3,29-30).</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koji je već prije obrezanja vjerovao i to mu se uračunavalo u pravednost, vrijedi opet kao uzor i otac svih onih koji su oprav</w:t>
        <w:softHyphen/>
        <w:t>dani vjerom (4. poglavlje) - Ovo o. u Kristo</w:t>
        <w:softHyphen/>
        <w:t>voj otkupiteljskoj smrti sada je već za vjernika stvarnost (5,1.9; pa ipak 3,30; 5.19: Gal 5,5; I Kor 4,4-5 izgledaju - kao da konačno pro</w:t>
        <w:softHyphen/>
        <w:t>glašenje pravednim odlažu u budućnost), ali istodobno je priprema za konačno spasenje od Božjega strašnog suda i ulazak u Božju slavu (5.2.9 - 10; 8,30). Dok vjernici ostaju u tom opravdanju koje je dala Božja i Kristova ljubav (5,5.8; 8,31 39), nema nikoga tko će podići tužbu protiv njih (8,33).</w:t>
      </w:r>
    </w:p>
    <w:p>
      <w:pPr>
        <w:pStyle w:val="Style20"/>
        <w:keepNext w:val="0"/>
        <w:keepLines w:val="0"/>
        <w:widowControl w:val="0"/>
        <w:numPr>
          <w:ilvl w:val="0"/>
          <w:numId w:val="389"/>
        </w:numPr>
        <w:shd w:val="clear" w:color="auto" w:fill="auto"/>
        <w:tabs>
          <w:tab w:pos="255" w:val="left"/>
        </w:tabs>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Pavlovsko učenje o opravdanju kao Božjem spasenjskom daru u Kristu ima odjeka u dva</w:t>
        <w:softHyphen/>
        <w:t xml:space="preserve">ma nepavlovskim tekstovima. U Dj 13,38-39 pisac pušta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ovako govoriti: »Od svega od čega se niste mogli opravdati Mojsijcvim zakonom, po ovome se opravdava svaki ktiji vjeruje«. Ovdje je očigledan napor da se go</w:t>
        <w:softHyphen/>
        <w:t>vori pavlovski. No ipak odzvanja druga pre</w:t>
        <w:softHyphen/>
        <w:t>dodžba o nedostatnosti Zakona: Njegovo pri</w:t>
        <w:softHyphen/>
        <w:t>državanje bilo je teško (usp. Dj 15,10.19; na</w:t>
        <w:softHyphen/>
        <w:t xml:space="preserve">protiv Rim 7,7-11). </w:t>
      </w:r>
      <w:r>
        <w:rPr>
          <w:rFonts w:ascii="Times New Roman" w:eastAsia="Times New Roman" w:hAnsi="Times New Roman" w:cs="Times New Roman"/>
          <w:i/>
          <w:iCs/>
          <w:color w:val="000000"/>
          <w:spacing w:val="0"/>
          <w:w w:val="100"/>
          <w:position w:val="0"/>
          <w:shd w:val="clear" w:color="auto" w:fill="auto"/>
          <w:lang w:val="hr-HR" w:eastAsia="hr-HR" w:bidi="hr-HR"/>
        </w:rPr>
        <w:t>Jakovljeva poslanica</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lemizira protiv »vjere bez djela« (2,14-26). Otvoreno je pitanje pobija li Jakov ovdje ne</w:t>
        <w:softHyphen/>
        <w:t>posredno pavlovsko učenje ili libertinska stru</w:t>
        <w:softHyphen/>
        <w:t>janja koja se žele protegnuti nad Pavlom. U svakom se slučaju poziva osim na Rahabu ta</w:t>
        <w:softHyphen/>
        <w:t>kođer i na Abrahama i njegovu pravednost. Na crti židovskog izlaganja (usp. 1 Mak 5,52; Sir 44,20) tvrdi da je Abrahamova vjera (Post 15,6) u žrtvovanju njegova sina (Post 22) bila usavršena i da je zato (tj. zbog djela) nazvan Božjim prijateljem (2,21 23; usp. Jub 19,9: CD 1,2-3). On iz toga izvlači načelo: »Što ko</w:t>
        <w:softHyphen/>
        <w:t>risti, braćo moja, ako tko rekne da ima vjeru, a djela nema?« (2,14). Vjera i djela organski pripadaju zajedno. No, ta se tvrdnja ne su</w:t>
        <w:softHyphen/>
        <w:t>kobljava s pavlovskom misli: Nema doduše vi</w:t>
        <w:softHyphen/>
        <w:t>še povratka židovskom zakonu, ali vjera se mo</w:t>
        <w:softHyphen/>
        <w:t>ra potvrđivati u ljubavi (Gal 5,6) i donijeti »plod Duha« (Gal 5,22-23). I po pavlovskom gledištu ima »suda prema djelima« (usp. 2 Kor 10,5; Rim 14,18).</w:t>
      </w:r>
    </w:p>
    <w:p>
      <w:pPr>
        <w:pStyle w:val="Style20"/>
        <w:keepNext w:val="0"/>
        <w:keepLines w:val="0"/>
        <w:widowControl w:val="0"/>
        <w:numPr>
          <w:ilvl w:val="0"/>
          <w:numId w:val="389"/>
        </w:numPr>
        <w:shd w:val="clear" w:color="auto" w:fill="auto"/>
        <w:tabs>
          <w:tab w:pos="265" w:val="left"/>
        </w:tabs>
        <w:bidi w:val="0"/>
        <w:spacing w:before="0" w:after="60" w:line="254" w:lineRule="auto"/>
        <w:ind w:left="0" w:right="0" w:firstLine="0"/>
        <w:jc w:val="both"/>
        <w:sectPr>
          <w:headerReference w:type="default" r:id="rId1019"/>
          <w:footerReference w:type="default" r:id="rId1020"/>
          <w:headerReference w:type="even" r:id="rId1021"/>
          <w:footerReference w:type="even" r:id="rId1022"/>
          <w:footnotePr>
            <w:pos w:val="pageBottom"/>
            <w:numFmt w:val="decimal"/>
            <w:numRestart w:val="continuous"/>
            <w15:footnoteColumns w:val="1"/>
          </w:footnotePr>
          <w:pgSz w:w="6816" w:h="11006"/>
          <w:pgMar w:top="996" w:left="186" w:right="189" w:bottom="516" w:header="0" w:footer="88" w:gutter="0"/>
          <w:pgNumType w:start="339"/>
          <w:cols w:num="2" w:space="191"/>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Povijest izlaganja</w:t>
      </w:r>
      <w:r>
        <w:rPr>
          <w:rFonts w:ascii="Times New Roman" w:eastAsia="Times New Roman" w:hAnsi="Times New Roman" w:cs="Times New Roman"/>
          <w:color w:val="000000"/>
          <w:spacing w:val="0"/>
          <w:w w:val="100"/>
          <w:position w:val="0"/>
          <w:shd w:val="clear" w:color="auto" w:fill="auto"/>
          <w:lang w:val="hr-HR" w:eastAsia="hr-HR" w:bidi="hr-HR"/>
        </w:rPr>
        <w:t xml:space="preserve"> novijeg vremena obilježe</w:t>
        <w:softHyphen/>
        <w:t>na je naporom da se pavlovska teza oslobodi od nepotrebne polemike. Uvida se da je nje</w:t>
        <w:softHyphen/>
        <w:t xml:space="preserve">govo učenje bilo formulirano u konkretnom sučeljavanju s judaizirajućim tendencijama i </w:t>
      </w:r>
    </w:p>
    <w:p>
      <w:pPr>
        <w:pStyle w:val="Style20"/>
        <w:keepNext w:val="0"/>
        <w:keepLines w:val="0"/>
        <w:widowControl w:val="0"/>
        <w:shd w:val="clear" w:color="auto" w:fill="auto"/>
        <w:tabs>
          <w:tab w:pos="265" w:val="left"/>
        </w:tabs>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može svoju soteriologiju izraziti i u katego</w:t>
        <w:softHyphen/>
        <w:t xml:space="preserve">rijama »učenja o pomirenju«. Je li </w:t>
      </w:r>
      <w:r>
        <w:rPr>
          <w:rFonts w:ascii="Times New Roman" w:eastAsia="Times New Roman" w:hAnsi="Times New Roman" w:cs="Times New Roman"/>
          <w:i/>
          <w:iCs/>
          <w:color w:val="000000"/>
          <w:spacing w:val="0"/>
          <w:w w:val="100"/>
          <w:position w:val="0"/>
          <w:shd w:val="clear" w:color="auto" w:fill="auto"/>
          <w:lang w:val="hr-HR" w:eastAsia="hr-HR" w:bidi="hr-HR"/>
        </w:rPr>
        <w:t>t&gt;. proglaša</w:t>
        <w:softHyphen/>
        <w:t>vanje</w:t>
      </w:r>
      <w:r>
        <w:rPr>
          <w:rFonts w:ascii="Times New Roman" w:eastAsia="Times New Roman" w:hAnsi="Times New Roman" w:cs="Times New Roman"/>
          <w:color w:val="000000"/>
          <w:spacing w:val="0"/>
          <w:w w:val="100"/>
          <w:position w:val="0"/>
          <w:shd w:val="clear" w:color="auto" w:fill="auto"/>
          <w:lang w:val="hr-HR" w:eastAsia="hr-HR" w:bidi="hr-HR"/>
        </w:rPr>
        <w:t xml:space="preserve"> pravednim ili </w:t>
      </w:r>
      <w:r>
        <w:rPr>
          <w:rFonts w:ascii="Times New Roman" w:eastAsia="Times New Roman" w:hAnsi="Times New Roman" w:cs="Times New Roman"/>
          <w:i/>
          <w:iCs/>
          <w:color w:val="000000"/>
          <w:spacing w:val="0"/>
          <w:w w:val="100"/>
          <w:position w:val="0"/>
          <w:shd w:val="clear" w:color="auto" w:fill="auto"/>
          <w:lang w:val="hr-HR" w:eastAsia="hr-HR" w:bidi="hr-HR"/>
        </w:rPr>
        <w:t>činjenje</w:t>
      </w:r>
      <w:r>
        <w:rPr>
          <w:rFonts w:ascii="Times New Roman" w:eastAsia="Times New Roman" w:hAnsi="Times New Roman" w:cs="Times New Roman"/>
          <w:color w:val="000000"/>
          <w:spacing w:val="0"/>
          <w:w w:val="100"/>
          <w:position w:val="0"/>
          <w:shd w:val="clear" w:color="auto" w:fill="auto"/>
          <w:lang w:val="hr-HR" w:eastAsia="hr-HR" w:bidi="hr-HR"/>
        </w:rPr>
        <w:t xml:space="preserve"> pravednim, moglo bi biti suvišno prepiranje: Božja riječ ostva</w:t>
        <w:softHyphen/>
        <w:t>ruje ono što izriče; Božjim opravdanjem greš- nik jc stvarno učinjen pravednim, jer jc to Božje stvaralačko djelovanje (Rim 4,17; 2 Kor 5,17.21).</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w:t>
      </w:r>
      <w:r>
        <w:rPr>
          <w:i/>
          <w:iCs/>
          <w:color w:val="000000"/>
          <w:spacing w:val="0"/>
          <w:w w:val="100"/>
          <w:position w:val="0"/>
          <w:shd w:val="clear" w:color="auto" w:fill="auto"/>
          <w:lang w:val="hr-HR" w:eastAsia="hr-HR" w:bidi="hr-HR"/>
        </w:rPr>
        <w:t xml:space="preserve">Rechtfertigung. </w:t>
      </w:r>
      <w:r>
        <w:rPr>
          <w:i/>
          <w:iCs/>
          <w:color w:val="000000"/>
          <w:spacing w:val="0"/>
          <w:w w:val="100"/>
          <w:position w:val="0"/>
          <w:shd w:val="clear" w:color="auto" w:fill="auto"/>
        </w:rPr>
        <w:t xml:space="preserve">Festschrift fur </w:t>
      </w:r>
      <w:r>
        <w:rPr>
          <w:i/>
          <w:iCs/>
          <w:color w:val="000000"/>
          <w:spacing w:val="0"/>
          <w:w w:val="100"/>
          <w:position w:val="0"/>
          <w:shd w:val="clear" w:color="auto" w:fill="auto"/>
          <w:lang w:val="hr-HR" w:eastAsia="hr-HR" w:bidi="hr-HR"/>
        </w:rPr>
        <w:t xml:space="preserve">E. </w:t>
      </w:r>
      <w:r>
        <w:rPr>
          <w:i/>
          <w:iCs/>
          <w:color w:val="000000"/>
          <w:spacing w:val="0"/>
          <w:w w:val="100"/>
          <w:position w:val="0"/>
          <w:shd w:val="clear" w:color="auto" w:fill="auto"/>
        </w:rPr>
        <w:t>Kdsemann,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hrsg. </w:t>
      </w:r>
      <w:r>
        <w:rPr>
          <w:color w:val="000000"/>
          <w:spacing w:val="0"/>
          <w:w w:val="100"/>
          <w:position w:val="0"/>
          <w:shd w:val="clear" w:color="auto" w:fill="auto"/>
        </w:rPr>
        <w:t xml:space="preserve">von </w:t>
      </w:r>
      <w:r>
        <w:rPr>
          <w:color w:val="000000"/>
          <w:spacing w:val="0"/>
          <w:w w:val="100"/>
          <w:position w:val="0"/>
          <w:shd w:val="clear" w:color="auto" w:fill="auto"/>
          <w:lang w:val="hr-HR" w:eastAsia="hr-HR" w:bidi="hr-HR"/>
        </w:rPr>
        <w:t xml:space="preserve">J. </w:t>
      </w:r>
      <w:r>
        <w:rPr>
          <w:color w:val="000000"/>
          <w:spacing w:val="0"/>
          <w:w w:val="100"/>
          <w:position w:val="0"/>
          <w:shd w:val="clear" w:color="auto" w:fill="auto"/>
        </w:rPr>
        <w:t xml:space="preserve">Friedrich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a. Tubingen </w:t>
      </w:r>
      <w:r>
        <w:rPr>
          <w:color w:val="000000"/>
          <w:spacing w:val="0"/>
          <w:w w:val="100"/>
          <w:position w:val="0"/>
          <w:shd w:val="clear" w:color="auto" w:fill="auto"/>
          <w:lang w:val="hr-HR" w:eastAsia="hr-HR" w:bidi="hr-HR"/>
        </w:rPr>
        <w:t xml:space="preserve">1976; K. Kcrtclcgc, </w:t>
      </w:r>
      <w:r>
        <w:rPr>
          <w:i/>
          <w:iCs/>
          <w:color w:val="000000"/>
          <w:spacing w:val="0"/>
          <w:w w:val="100"/>
          <w:position w:val="0"/>
          <w:shd w:val="clear" w:color="auto" w:fill="auto"/>
          <w:lang w:val="hr-HR" w:eastAsia="hr-HR" w:bidi="hr-HR"/>
        </w:rPr>
        <w:t xml:space="preserve">Rechtfertigung </w:t>
      </w:r>
      <w:r>
        <w:rPr>
          <w:i/>
          <w:iCs/>
          <w:color w:val="000000"/>
          <w:spacing w:val="0"/>
          <w:w w:val="100"/>
          <w:position w:val="0"/>
          <w:shd w:val="clear" w:color="auto" w:fill="auto"/>
        </w:rPr>
        <w:t>bei Paulus,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Muocben </w:t>
      </w:r>
      <w:r>
        <w:rPr>
          <w:color w:val="000000"/>
          <w:spacing w:val="0"/>
          <w:w w:val="100"/>
          <w:position w:val="0"/>
          <w:shd w:val="clear" w:color="auto" w:fill="auto"/>
          <w:vertAlign w:val="superscript"/>
          <w:lang w:val="hr-HR" w:eastAsia="hr-HR" w:bidi="hr-HR"/>
        </w:rPr>
        <w:t>1</w:t>
      </w:r>
      <w:r>
        <w:rPr>
          <w:color w:val="000000"/>
          <w:spacing w:val="0"/>
          <w:w w:val="100"/>
          <w:position w:val="0"/>
          <w:shd w:val="clear" w:color="auto" w:fill="auto"/>
          <w:lang w:val="hr-HR" w:eastAsia="hr-HR" w:bidi="hr-HR"/>
        </w:rPr>
        <w:t xml:space="preserve">1971, isti, natuknica: dikaioo, u: </w:t>
      </w:r>
      <w:r>
        <w:rPr>
          <w:color w:val="000000"/>
          <w:spacing w:val="0"/>
          <w:w w:val="100"/>
          <w:position w:val="0"/>
          <w:shd w:val="clear" w:color="auto" w:fill="auto"/>
        </w:rPr>
        <w:t xml:space="preserve">EWNT I; </w:t>
      </w:r>
      <w:r>
        <w:rPr>
          <w:color w:val="000000"/>
          <w:spacing w:val="0"/>
          <w:w w:val="100"/>
          <w:position w:val="0"/>
          <w:shd w:val="clear" w:color="auto" w:fill="auto"/>
          <w:lang w:val="hr-HR" w:eastAsia="hr-HR" w:bidi="hr-HR"/>
        </w:rPr>
        <w:t xml:space="preserve">D. Liihrmann, </w:t>
      </w:r>
      <w:r>
        <w:rPr>
          <w:i/>
          <w:iCs/>
          <w:color w:val="000000"/>
          <w:spacing w:val="0"/>
          <w:w w:val="100"/>
          <w:position w:val="0"/>
          <w:shd w:val="clear" w:color="auto" w:fill="auto"/>
          <w:lang w:val="hr-HR" w:eastAsia="hr-HR" w:bidi="hr-HR"/>
        </w:rPr>
        <w:t xml:space="preserve">»Ga-echiigkrit HI. Neues Testament«, </w:t>
      </w:r>
      <w:r>
        <w:rPr>
          <w:color w:val="000000"/>
          <w:spacing w:val="0"/>
          <w:w w:val="100"/>
          <w:position w:val="0"/>
          <w:shd w:val="clear" w:color="auto" w:fill="auto"/>
          <w:lang w:val="hr-HR" w:eastAsia="hr-HR" w:bidi="hr-HR"/>
        </w:rPr>
        <w:t xml:space="preserve">TRE 12; U. </w:t>
      </w:r>
      <w:r>
        <w:rPr>
          <w:color w:val="000000"/>
          <w:spacing w:val="0"/>
          <w:w w:val="100"/>
          <w:position w:val="0"/>
          <w:shd w:val="clear" w:color="auto" w:fill="auto"/>
        </w:rPr>
        <w:t xml:space="preserve">Wflckens.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Brief an die Romer,</w:t>
      </w:r>
      <w:r>
        <w:rPr>
          <w:color w:val="000000"/>
          <w:spacing w:val="0"/>
          <w:w w:val="100"/>
          <w:position w:val="0"/>
          <w:shd w:val="clear" w:color="auto" w:fill="auto"/>
        </w:rPr>
        <w:t xml:space="preserve"> F.KK VI,1, Neukirchen 1978, 202-233; J. A. Zicslcr. </w:t>
      </w:r>
      <w:r>
        <w:rPr>
          <w:i/>
          <w:iCs/>
          <w:color w:val="000000"/>
          <w:spacing w:val="0"/>
          <w:w w:val="100"/>
          <w:position w:val="0"/>
          <w:shd w:val="clear" w:color="auto" w:fill="auto"/>
        </w:rPr>
        <w:t>The Meaning of Righteousness in Paul,</w:t>
      </w:r>
      <w:r>
        <w:rPr>
          <w:color w:val="000000"/>
          <w:spacing w:val="0"/>
          <w:w w:val="100"/>
          <w:position w:val="0"/>
          <w:shd w:val="clear" w:color="auto" w:fill="auto"/>
        </w:rPr>
        <w:t xml:space="preserve"> MSSNTS 20, Cambridge 1972.</w:t>
      </w:r>
    </w:p>
    <w:p>
      <w:pPr>
        <w:pStyle w:val="Style74"/>
        <w:keepNext w:val="0"/>
        <w:keepLines w:val="0"/>
        <w:widowControl w:val="0"/>
        <w:shd w:val="clear" w:color="auto" w:fill="auto"/>
        <w:bidi w:val="0"/>
        <w:spacing w:before="0" w:after="16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H. HAUSER</w:t>
      </w:r>
    </w:p>
    <w:p>
      <w:pPr>
        <w:pStyle w:val="Style63"/>
        <w:keepNext/>
        <w:keepLines/>
        <w:widowControl w:val="0"/>
        <w:numPr>
          <w:ilvl w:val="0"/>
          <w:numId w:val="353"/>
        </w:numPr>
        <w:shd w:val="clear" w:color="auto" w:fill="auto"/>
        <w:tabs>
          <w:tab w:pos="265" w:val="left"/>
        </w:tabs>
        <w:bidi w:val="0"/>
        <w:spacing w:before="0" w:line="223" w:lineRule="auto"/>
        <w:ind w:left="0" w:right="0" w:firstLine="0"/>
        <w:jc w:val="both"/>
      </w:pPr>
      <w:bookmarkStart w:id="239" w:name="bookmark239"/>
      <w:r>
        <w:rPr>
          <w:rFonts w:ascii="Times New Roman" w:eastAsia="Times New Roman" w:hAnsi="Times New Roman" w:cs="Times New Roman"/>
          <w:color w:val="000000"/>
          <w:spacing w:val="0"/>
          <w:w w:val="100"/>
          <w:position w:val="0"/>
          <w:shd w:val="clear" w:color="auto" w:fill="auto"/>
          <w:lang w:val="hr-HR" w:eastAsia="hr-HR" w:bidi="hr-HR"/>
        </w:rPr>
        <w:t>islamski</w:t>
      </w:r>
      <w:bookmarkEnd w:id="239"/>
    </w:p>
    <w:p>
      <w:pPr>
        <w:pStyle w:val="Style20"/>
        <w:keepNext w:val="0"/>
        <w:keepLines w:val="0"/>
        <w:widowControl w:val="0"/>
        <w:shd w:val="clear" w:color="auto" w:fill="auto"/>
        <w:tabs>
          <w:tab w:pos="2592" w:val="left"/>
        </w:tabs>
        <w:bidi w:val="0"/>
        <w:spacing w:before="0" w:after="3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Budući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islam ne poznaje istočni grijeh i sukladno tomu nepotrebnim smatra Kristovo žrtvovanje za spas čovječanstva, islamu jc ta</w:t>
        <w:softHyphen/>
        <w:t>kođer strano o. Prema islamskomu nauku čo</w:t>
        <w:softHyphen/>
        <w:t>vjek je po svojoj naravi upućen na milost i mora se truditi dopasti se Bogu. Put k tomu vodi preko bogoslužja, zatim preko povjerenja u Boga i - prema shvaćanju mistika - preko Božje ljubavi. Ta se ljubav naposljetku obliku</w:t>
        <w:softHyphen/>
        <w:t xml:space="preserve">je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unio </w:t>
      </w:r>
      <w:r>
        <w:rPr>
          <w:rFonts w:ascii="Times New Roman" w:eastAsia="Times New Roman" w:hAnsi="Times New Roman" w:cs="Times New Roman"/>
          <w:i/>
          <w:iCs/>
          <w:color w:val="000000"/>
          <w:spacing w:val="0"/>
          <w:w w:val="100"/>
          <w:position w:val="0"/>
          <w:shd w:val="clear" w:color="auto" w:fill="auto"/>
          <w:lang w:val="en-US" w:eastAsia="en-US" w:bidi="en-US"/>
        </w:rPr>
        <w:t>mystica.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Musliman postaje pravedan svojom vlastitom snagom, u čemu mu pripo</w:t>
        <w:softHyphen/>
        <w:t>maže Bog. Krepostan zemaljski život vodi k zrenju Boga, k miru i raju. Tek će se u onos- tranosti uspostaviti onaj red koji se u potpu</w:t>
        <w:softHyphen/>
        <w:t>nosti dopada Bogu.</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ORTODOKSUA/PRAVOVJERJE</w:t>
      </w:r>
    </w:p>
    <w:p>
      <w:pPr>
        <w:pStyle w:val="Style63"/>
        <w:keepNext/>
        <w:keepLines/>
        <w:widowControl w:val="0"/>
        <w:numPr>
          <w:ilvl w:val="0"/>
          <w:numId w:val="393"/>
        </w:numPr>
        <w:shd w:val="clear" w:color="auto" w:fill="auto"/>
        <w:tabs>
          <w:tab w:pos="246" w:val="left"/>
        </w:tabs>
        <w:bidi w:val="0"/>
        <w:spacing w:before="0" w:line="223" w:lineRule="auto"/>
        <w:ind w:left="0" w:right="0" w:firstLine="0"/>
        <w:jc w:val="both"/>
      </w:pPr>
      <w:bookmarkStart w:id="240" w:name="bookmark240"/>
      <w:r>
        <w:rPr>
          <w:rFonts w:ascii="Times New Roman" w:eastAsia="Times New Roman" w:hAnsi="Times New Roman" w:cs="Times New Roman"/>
          <w:color w:val="000000"/>
          <w:spacing w:val="0"/>
          <w:w w:val="100"/>
          <w:position w:val="0"/>
          <w:shd w:val="clear" w:color="auto" w:fill="auto"/>
          <w:lang w:val="hr-HR" w:eastAsia="hr-HR" w:bidi="hr-HR"/>
        </w:rPr>
        <w:t>židovski</w:t>
      </w:r>
      <w:bookmarkEnd w:id="240"/>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Unatoč raseljenosti među drugim narodima, židovstvo se čvrsto držalo sve do novoga vije</w:t>
        <w:softHyphen/>
        <w:t>ka svoje predodžbe o sebi ukorijenjene u za</w:t>
        <w:softHyphen/>
        <w:t xml:space="preserve">jedničkom podrijetlu, tradiciji i povijesti, a u toj predodžbi nacionalnost, religija i obećana zemlja (Erec Jisrael) čine nedjeljivu cjelinu. Proces asimilacije u stoljeću emancipacije (usp. H. J. Schoeps (Hrsg.), </w:t>
      </w:r>
      <w:r>
        <w:rPr>
          <w:rFonts w:ascii="Times New Roman" w:eastAsia="Times New Roman" w:hAnsi="Times New Roman" w:cs="Times New Roman"/>
          <w:i/>
          <w:iCs/>
          <w:color w:val="000000"/>
          <w:spacing w:val="0"/>
          <w:w w:val="100"/>
          <w:position w:val="0"/>
          <w:shd w:val="clear" w:color="auto" w:fill="auto"/>
          <w:lang w:val="hr-HR" w:eastAsia="hr-HR" w:bidi="hr-HR"/>
        </w:rPr>
        <w:t xml:space="preserve">Jiidische </w:t>
      </w:r>
      <w:r>
        <w:rPr>
          <w:rFonts w:ascii="Times New Roman" w:eastAsia="Times New Roman" w:hAnsi="Times New Roman" w:cs="Times New Roman"/>
          <w:i/>
          <w:iCs/>
          <w:color w:val="000000"/>
          <w:spacing w:val="0"/>
          <w:w w:val="100"/>
          <w:position w:val="0"/>
          <w:shd w:val="clear" w:color="auto" w:fill="auto"/>
          <w:lang w:val="en-US" w:eastAsia="en-US" w:bidi="en-US"/>
        </w:rPr>
        <w:t xml:space="preserve">Ge'isteswelt, </w:t>
      </w:r>
      <w:r>
        <w:rPr>
          <w:rFonts w:ascii="Times New Roman" w:eastAsia="Times New Roman" w:hAnsi="Times New Roman" w:cs="Times New Roman"/>
          <w:color w:val="000000"/>
          <w:spacing w:val="0"/>
          <w:w w:val="100"/>
          <w:position w:val="0"/>
          <w:shd w:val="clear" w:color="auto" w:fill="auto"/>
          <w:lang w:val="hr-HR" w:eastAsia="hr-HR" w:bidi="hr-HR"/>
        </w:rPr>
        <w:t xml:space="preserve">1980, 233 i d.;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H. Schoeps, </w:t>
      </w:r>
      <w:r>
        <w:rPr>
          <w:rFonts w:ascii="Times New Roman" w:eastAsia="Times New Roman" w:hAnsi="Times New Roman" w:cs="Times New Roman"/>
          <w:i/>
          <w:iCs/>
          <w:color w:val="000000"/>
          <w:spacing w:val="0"/>
          <w:w w:val="100"/>
          <w:position w:val="0"/>
          <w:shd w:val="clear" w:color="auto" w:fill="auto"/>
          <w:lang w:val="en-US" w:eastAsia="en-US" w:bidi="en-US"/>
        </w:rPr>
        <w:t>Moses Mendels</w:t>
        <w:softHyphen/>
        <w:t>sohn,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1979,126 i d.; H. H. Ben-Sasson (Hrsg.), </w:t>
      </w:r>
      <w:r>
        <w:rPr>
          <w:rFonts w:ascii="Times New Roman" w:eastAsia="Times New Roman" w:hAnsi="Times New Roman" w:cs="Times New Roman"/>
          <w:i/>
          <w:iCs/>
          <w:color w:val="000000"/>
          <w:spacing w:val="0"/>
          <w:w w:val="100"/>
          <w:position w:val="0"/>
          <w:shd w:val="clear" w:color="auto" w:fill="auto"/>
          <w:lang w:val="hr-HR" w:eastAsia="hr-HR" w:bidi="hr-HR"/>
        </w:rPr>
        <w:t>Geschichte des jiidischen Volkes,</w:t>
      </w:r>
      <w:r>
        <w:rPr>
          <w:rFonts w:ascii="Times New Roman" w:eastAsia="Times New Roman" w:hAnsi="Times New Roman" w:cs="Times New Roman"/>
          <w:color w:val="000000"/>
          <w:spacing w:val="0"/>
          <w:w w:val="100"/>
          <w:position w:val="0"/>
          <w:shd w:val="clear" w:color="auto" w:fill="auto"/>
          <w:lang w:val="hr-HR" w:eastAsia="hr-HR" w:bidi="hr-HR"/>
        </w:rPr>
        <w:t xml:space="preserve"> III, 1980, 94,126 i d., 137 i d.) naveo je brojne Židove da pre</w:t>
        <w:softHyphen/>
        <w:t>kinu svoju povezanost s naslijeđenim konfor</w:t>
        <w:softHyphen/>
        <w:t>mizmom i da se snažnije identificiraju s drža</w:t>
        <w:softHyphen/>
        <w:t xml:space="preserve">vama i narodima čiji su ravnopravni građani </w:t>
      </w:r>
      <w:r>
        <w:rPr>
          <w:rFonts w:ascii="Times New Roman" w:eastAsia="Times New Roman" w:hAnsi="Times New Roman" w:cs="Times New Roman"/>
          <w:color w:val="000000"/>
          <w:spacing w:val="0"/>
          <w:w w:val="100"/>
          <w:position w:val="0"/>
          <w:shd w:val="clear" w:color="auto" w:fill="auto"/>
          <w:lang w:val="hr-HR" w:eastAsia="hr-HR" w:bidi="hr-HR"/>
        </w:rPr>
        <w:t>postali. Židovi stopljeni na taj način sa svojom okolinom gledali su u židovstvu još samo reli</w:t>
        <w:softHyphen/>
        <w:t>giju i kulturu. U molitvenicima reformator</w:t>
        <w:softHyphen/>
        <w:t>skoga pokreta nema ni jedne upute na židov</w:t>
        <w:softHyphen/>
        <w:t xml:space="preserve">ski narod i na Erec Jisrael (C. </w:t>
      </w:r>
      <w:r>
        <w:rPr>
          <w:rFonts w:ascii="Times New Roman" w:eastAsia="Times New Roman" w:hAnsi="Times New Roman" w:cs="Times New Roman"/>
          <w:color w:val="000000"/>
          <w:spacing w:val="0"/>
          <w:w w:val="100"/>
          <w:position w:val="0"/>
          <w:shd w:val="clear" w:color="auto" w:fill="auto"/>
          <w:lang w:val="en-US" w:eastAsia="en-US" w:bidi="en-US"/>
        </w:rPr>
        <w:t xml:space="preserve">Seligman, </w:t>
      </w:r>
      <w:r>
        <w:rPr>
          <w:rFonts w:ascii="Times New Roman" w:eastAsia="Times New Roman" w:hAnsi="Times New Roman" w:cs="Times New Roman"/>
          <w:i/>
          <w:iCs/>
          <w:color w:val="000000"/>
          <w:spacing w:val="0"/>
          <w:w w:val="100"/>
          <w:position w:val="0"/>
          <w:shd w:val="clear" w:color="auto" w:fill="auto"/>
          <w:lang w:val="hr-HR" w:eastAsia="hr-HR" w:bidi="hr-HR"/>
        </w:rPr>
        <w:t>Ge</w:t>
        <w:softHyphen/>
        <w:t xml:space="preserve">schichte der jiidischen </w:t>
      </w:r>
      <w:r>
        <w:rPr>
          <w:rFonts w:ascii="Times New Roman" w:eastAsia="Times New Roman" w:hAnsi="Times New Roman" w:cs="Times New Roman"/>
          <w:i/>
          <w:iCs/>
          <w:color w:val="000000"/>
          <w:spacing w:val="0"/>
          <w:w w:val="100"/>
          <w:position w:val="0"/>
          <w:shd w:val="clear" w:color="auto" w:fill="auto"/>
          <w:lang w:val="en-US" w:eastAsia="en-US" w:bidi="en-US"/>
        </w:rPr>
        <w:t>Reformbewegung,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1922; </w:t>
      </w:r>
      <w:r>
        <w:rPr>
          <w:rFonts w:ascii="Times New Roman" w:eastAsia="Times New Roman" w:hAnsi="Times New Roman" w:cs="Times New Roman"/>
          <w:color w:val="000000"/>
          <w:spacing w:val="0"/>
          <w:w w:val="100"/>
          <w:position w:val="0"/>
          <w:shd w:val="clear" w:color="auto" w:fill="auto"/>
          <w:lang w:val="en-US" w:eastAsia="en-US" w:bidi="en-US"/>
        </w:rPr>
        <w:t xml:space="preserve">J. J. Petuchowski, </w:t>
      </w:r>
      <w:r>
        <w:rPr>
          <w:rFonts w:ascii="Times New Roman" w:eastAsia="Times New Roman" w:hAnsi="Times New Roman" w:cs="Times New Roman"/>
          <w:i/>
          <w:iCs/>
          <w:color w:val="000000"/>
          <w:spacing w:val="0"/>
          <w:w w:val="100"/>
          <w:position w:val="0"/>
          <w:shd w:val="clear" w:color="auto" w:fill="auto"/>
          <w:lang w:val="en-US" w:eastAsia="en-US" w:bidi="en-US"/>
        </w:rPr>
        <w:t>Prayerbook Reform in Euro</w:t>
        <w:softHyphen/>
        <w:t>pe,</w:t>
      </w:r>
      <w:r>
        <w:rPr>
          <w:rFonts w:ascii="Times New Roman" w:eastAsia="Times New Roman" w:hAnsi="Times New Roman" w:cs="Times New Roman"/>
          <w:color w:val="000000"/>
          <w:spacing w:val="0"/>
          <w:w w:val="100"/>
          <w:position w:val="0"/>
          <w:shd w:val="clear" w:color="auto" w:fill="auto"/>
          <w:lang w:val="en-US" w:eastAsia="en-US" w:bidi="en-US"/>
        </w:rPr>
        <w:t xml:space="preserve"> 1968). </w:t>
      </w:r>
      <w:r>
        <w:rPr>
          <w:rFonts w:ascii="Times New Roman" w:eastAsia="Times New Roman" w:hAnsi="Times New Roman" w:cs="Times New Roman"/>
          <w:color w:val="000000"/>
          <w:spacing w:val="0"/>
          <w:w w:val="100"/>
          <w:position w:val="0"/>
          <w:shd w:val="clear" w:color="auto" w:fill="auto"/>
          <w:lang w:val="hr-HR" w:eastAsia="hr-HR" w:bidi="hr-HR"/>
        </w:rPr>
        <w:t xml:space="preserve">U načela Konferencije u </w:t>
      </w:r>
      <w:r>
        <w:rPr>
          <w:rFonts w:ascii="Times New Roman" w:eastAsia="Times New Roman" w:hAnsi="Times New Roman" w:cs="Times New Roman"/>
          <w:color w:val="000000"/>
          <w:spacing w:val="0"/>
          <w:w w:val="100"/>
          <w:position w:val="0"/>
          <w:shd w:val="clear" w:color="auto" w:fill="auto"/>
          <w:lang w:val="en-US" w:eastAsia="en-US" w:bidi="en-US"/>
        </w:rPr>
        <w:t xml:space="preserve">Pittsburghu 1885. </w:t>
      </w:r>
      <w:r>
        <w:rPr>
          <w:rFonts w:ascii="Times New Roman" w:eastAsia="Times New Roman" w:hAnsi="Times New Roman" w:cs="Times New Roman"/>
          <w:color w:val="000000"/>
          <w:spacing w:val="0"/>
          <w:w w:val="100"/>
          <w:position w:val="0"/>
          <w:shd w:val="clear" w:color="auto" w:fill="auto"/>
          <w:lang w:val="hr-HR" w:eastAsia="hr-HR" w:bidi="hr-HR"/>
        </w:rPr>
        <w:t>samo su moralni zahtjevi Tore prihva</w:t>
        <w:softHyphen/>
        <w:t>ćeni kao obvezni, ali su odbačena sva ona koja se odnose na nacionalni život u »Palestini«, te oni mojsijevski i rabinski propisi koji se pro</w:t>
        <w:softHyphen/>
        <w:t>tive modernom židovskom duhovnom i religi</w:t>
        <w:softHyphen/>
        <w:t xml:space="preserve">oznom osjećaju </w:t>
      </w:r>
      <w:r>
        <w:rPr>
          <w:rFonts w:ascii="Times New Roman" w:eastAsia="Times New Roman" w:hAnsi="Times New Roman" w:cs="Times New Roman"/>
          <w:i/>
          <w:iCs/>
          <w:color w:val="000000"/>
          <w:spacing w:val="0"/>
          <w:w w:val="100"/>
          <w:position w:val="0"/>
          <w:shd w:val="clear" w:color="auto" w:fill="auto"/>
          <w:lang w:val="en-US" w:eastAsia="en-US" w:bidi="en-US"/>
        </w:rPr>
        <w:t>(Pittsburgh Platform,</w:t>
      </w:r>
      <w:r>
        <w:rPr>
          <w:rFonts w:ascii="Times New Roman" w:eastAsia="Times New Roman" w:hAnsi="Times New Roman" w:cs="Times New Roman"/>
          <w:color w:val="000000"/>
          <w:spacing w:val="0"/>
          <w:w w:val="100"/>
          <w:position w:val="0"/>
          <w:shd w:val="clear" w:color="auto" w:fill="auto"/>
          <w:lang w:val="en-US" w:eastAsia="en-US" w:bidi="en-US"/>
        </w:rPr>
        <w:t xml:space="preserve"> III./IV.). </w:t>
      </w:r>
      <w:r>
        <w:rPr>
          <w:rFonts w:ascii="Times New Roman" w:eastAsia="Times New Roman" w:hAnsi="Times New Roman" w:cs="Times New Roman"/>
          <w:color w:val="000000"/>
          <w:spacing w:val="0"/>
          <w:w w:val="100"/>
          <w:position w:val="0"/>
          <w:shd w:val="clear" w:color="auto" w:fill="auto"/>
          <w:lang w:val="hr-HR" w:eastAsia="hr-HR" w:bidi="hr-HR"/>
        </w:rPr>
        <w:t>Iz kritičke prosudbe prenošenja židovskoga životnog puta kroz tradiciju neizbježno je us</w:t>
        <w:softHyphen/>
        <w:t>lijedio velik broj brakova židovskih partnera s nežidovskima i prelaska na kršćanstvo. Cioni- zam koji se nije temeljio na religiji pospješio je raskol u protivnom smjeru; on jc odustao od religijskoga vida tradicije i dodijelio vrhov</w:t>
        <w:softHyphen/>
        <w:t xml:space="preserve">ni položaj židovskoj naciji i obnovi »Ciona«. Židovstvo nazvano od početka XIX. stoljeća »ortodoksnim«, poslije »židovstvo vjerno Tori« i si., za razliku od reformista (N. I_amm/W.S. </w:t>
      </w:r>
      <w:r>
        <w:rPr>
          <w:rFonts w:ascii="Times New Roman" w:eastAsia="Times New Roman" w:hAnsi="Times New Roman" w:cs="Times New Roman"/>
          <w:color w:val="000000"/>
          <w:spacing w:val="0"/>
          <w:w w:val="100"/>
          <w:position w:val="0"/>
          <w:shd w:val="clear" w:color="auto" w:fill="auto"/>
          <w:lang w:val="en-US" w:eastAsia="en-US" w:bidi="en-US"/>
        </w:rPr>
        <w:t xml:space="preserve">Wurzburger, </w:t>
      </w:r>
      <w:r>
        <w:rPr>
          <w:rFonts w:ascii="Times New Roman" w:eastAsia="Times New Roman" w:hAnsi="Times New Roman" w:cs="Times New Roman"/>
          <w:color w:val="000000"/>
          <w:spacing w:val="0"/>
          <w:w w:val="100"/>
          <w:position w:val="0"/>
          <w:shd w:val="clear" w:color="auto" w:fill="auto"/>
          <w:lang w:val="hr-HR" w:eastAsia="hr-HR" w:bidi="hr-HR"/>
        </w:rPr>
        <w:t xml:space="preserve">nakl.,/1 </w:t>
      </w:r>
      <w:r>
        <w:rPr>
          <w:rFonts w:ascii="Times New Roman" w:eastAsia="Times New Roman" w:hAnsi="Times New Roman" w:cs="Times New Roman"/>
          <w:i/>
          <w:iCs/>
          <w:color w:val="000000"/>
          <w:spacing w:val="0"/>
          <w:w w:val="100"/>
          <w:position w:val="0"/>
          <w:shd w:val="clear" w:color="auto" w:fill="auto"/>
          <w:lang w:val="en-US" w:eastAsia="en-US" w:bidi="en-US"/>
        </w:rPr>
        <w:t>Treasury of Tradition,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1967), ne smatra se jednim od mnogih ogranaka ži</w:t>
        <w:softHyphen/>
        <w:t>dovstva nego eksponentom autentične tradi</w:t>
        <w:softHyphen/>
        <w:t>cije koji zahtijeva normativnu valjanost i auto</w:t>
        <w:softHyphen/>
        <w:t>ritet nad svim Židovima. Polazeći od njegova glavnog uvjeta, istine i autoriteta vječno ob</w:t>
        <w:softHyphen/>
        <w:t>vezne jedine Tore (»pismene« i »usmene«), pripadnost židovskom narodu uključuje ljubav prema zemlji otaca, dok odvajanje od nacije ili nijekanje Erec Jisraela predstavlja odbaci</w:t>
        <w:softHyphen/>
        <w:t xml:space="preserve">vanje Tore kao životnoga pravilnika i životnog puta. Sve dotle dok netko pripada židovskoj zajednici, ostaje Židov i kad griješi; no, tko se odvoji od svojega naroda, prestaje biti Židov u halaškom smislu, kad bi i zadovoljavao sve propise </w:t>
      </w:r>
      <w:r>
        <w:rPr>
          <w:rFonts w:ascii="Times New Roman" w:eastAsia="Times New Roman" w:hAnsi="Times New Roman" w:cs="Times New Roman"/>
          <w:color w:val="000000"/>
          <w:spacing w:val="0"/>
          <w:w w:val="100"/>
          <w:position w:val="0"/>
          <w:shd w:val="clear" w:color="auto" w:fill="auto"/>
          <w:lang w:val="en-US" w:eastAsia="en-US" w:bidi="en-US"/>
        </w:rPr>
        <w:t xml:space="preserve">(I. </w:t>
      </w:r>
      <w:r>
        <w:rPr>
          <w:rFonts w:ascii="Times New Roman" w:eastAsia="Times New Roman" w:hAnsi="Times New Roman" w:cs="Times New Roman"/>
          <w:color w:val="000000"/>
          <w:spacing w:val="0"/>
          <w:w w:val="100"/>
          <w:position w:val="0"/>
          <w:shd w:val="clear" w:color="auto" w:fill="auto"/>
          <w:lang w:val="hr-HR" w:eastAsia="hr-HR" w:bidi="hr-HR"/>
        </w:rPr>
        <w:t xml:space="preserve">S. </w:t>
      </w:r>
      <w:r>
        <w:rPr>
          <w:rFonts w:ascii="Times New Roman" w:eastAsia="Times New Roman" w:hAnsi="Times New Roman" w:cs="Times New Roman"/>
          <w:color w:val="000000"/>
          <w:spacing w:val="0"/>
          <w:w w:val="100"/>
          <w:position w:val="0"/>
          <w:shd w:val="clear" w:color="auto" w:fill="auto"/>
          <w:lang w:val="en-US" w:eastAsia="en-US" w:bidi="en-US"/>
        </w:rPr>
        <w:t xml:space="preserve">Ben-Meir, </w:t>
      </w:r>
      <w:r>
        <w:rPr>
          <w:rFonts w:ascii="Times New Roman" w:eastAsia="Times New Roman" w:hAnsi="Times New Roman" w:cs="Times New Roman"/>
          <w:i/>
          <w:iCs/>
          <w:color w:val="000000"/>
          <w:spacing w:val="0"/>
          <w:w w:val="100"/>
          <w:position w:val="0"/>
          <w:shd w:val="clear" w:color="auto" w:fill="auto"/>
          <w:lang w:val="en-US" w:eastAsia="en-US" w:bidi="en-US"/>
        </w:rPr>
        <w:t xml:space="preserve">Israel-Magazine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1968, br. 5; usp. prijevod M. Neuefeinda, Gesctzge- bung </w:t>
      </w:r>
      <w:r>
        <w:rPr>
          <w:rFonts w:ascii="Times New Roman" w:eastAsia="Times New Roman" w:hAnsi="Times New Roman" w:cs="Times New Roman"/>
          <w:color w:val="000000"/>
          <w:spacing w:val="0"/>
          <w:w w:val="100"/>
          <w:position w:val="0"/>
          <w:shd w:val="clear" w:color="auto" w:fill="auto"/>
          <w:lang w:val="en-US" w:eastAsia="en-US" w:bidi="en-US"/>
        </w:rPr>
        <w:t xml:space="preserve">und </w:t>
      </w:r>
      <w:r>
        <w:rPr>
          <w:rFonts w:ascii="Times New Roman" w:eastAsia="Times New Roman" w:hAnsi="Times New Roman" w:cs="Times New Roman"/>
          <w:color w:val="000000"/>
          <w:spacing w:val="0"/>
          <w:w w:val="100"/>
          <w:position w:val="0"/>
          <w:shd w:val="clear" w:color="auto" w:fill="auto"/>
          <w:lang w:val="hr-HR" w:eastAsia="hr-HR" w:bidi="hr-HR"/>
        </w:rPr>
        <w:t xml:space="preserve">jiidische </w:t>
      </w:r>
      <w:r>
        <w:rPr>
          <w:rFonts w:ascii="Times New Roman" w:eastAsia="Times New Roman" w:hAnsi="Times New Roman" w:cs="Times New Roman"/>
          <w:color w:val="000000"/>
          <w:spacing w:val="0"/>
          <w:w w:val="100"/>
          <w:position w:val="0"/>
          <w:shd w:val="clear" w:color="auto" w:fill="auto"/>
          <w:lang w:val="en-US" w:eastAsia="en-US" w:bidi="en-US"/>
        </w:rPr>
        <w:t xml:space="preserve">Religion in </w:t>
      </w:r>
      <w:r>
        <w:rPr>
          <w:rFonts w:ascii="Times New Roman" w:eastAsia="Times New Roman" w:hAnsi="Times New Roman" w:cs="Times New Roman"/>
          <w:color w:val="000000"/>
          <w:spacing w:val="0"/>
          <w:w w:val="100"/>
          <w:position w:val="0"/>
          <w:shd w:val="clear" w:color="auto" w:fill="auto"/>
          <w:lang w:val="hr-HR" w:eastAsia="hr-HR" w:bidi="hr-HR"/>
        </w:rPr>
        <w:t xml:space="preserve">der Sicht der </w:t>
      </w:r>
      <w:r>
        <w:rPr>
          <w:rFonts w:ascii="Times New Roman" w:eastAsia="Times New Roman" w:hAnsi="Times New Roman" w:cs="Times New Roman"/>
          <w:color w:val="000000"/>
          <w:spacing w:val="0"/>
          <w:w w:val="100"/>
          <w:position w:val="0"/>
          <w:shd w:val="clear" w:color="auto" w:fill="auto"/>
          <w:lang w:val="en-US" w:eastAsia="en-US" w:bidi="en-US"/>
        </w:rPr>
        <w:t xml:space="preserve">Orthodoxen,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Emuna</w:t>
      </w:r>
      <w:r>
        <w:rPr>
          <w:rFonts w:ascii="Times New Roman" w:eastAsia="Times New Roman" w:hAnsi="Times New Roman" w:cs="Times New Roman"/>
          <w:color w:val="000000"/>
          <w:spacing w:val="0"/>
          <w:w w:val="100"/>
          <w:position w:val="0"/>
          <w:shd w:val="clear" w:color="auto" w:fill="auto"/>
          <w:lang w:val="hr-HR" w:eastAsia="hr-HR" w:bidi="hr-HR"/>
        </w:rPr>
        <w:t xml:space="preserve"> V, br. 4, 1970, 216 i d.). Na istoj osnovi objašnjava se ortodoksni zahtjev da država Izrael mora ustrajati na od</w:t>
        <w:softHyphen/>
        <w:t>redbama halahe neovisno o tome što se samo manjina njezinih židovskih državljana drži or</w:t>
        <w:softHyphen/>
        <w:t>todoksnog židovstva, jer samo židovski životni put može opravdati nacionalno ujedinjenje.</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Različita samoodređenja ortodoksnoga židov</w:t>
        <w:softHyphen/>
        <w:t xml:space="preserve">stva neprekidno naglašavaju primat poveza- </w:t>
      </w:r>
      <w:r>
        <w:rPr>
          <w:rFonts w:ascii="Times New Roman" w:eastAsia="Times New Roman" w:hAnsi="Times New Roman" w:cs="Times New Roman"/>
          <w:color w:val="000000"/>
          <w:spacing w:val="0"/>
          <w:w w:val="100"/>
          <w:position w:val="0"/>
          <w:shd w:val="clear" w:color="auto" w:fill="auto"/>
          <w:lang w:val="hr-HR" w:eastAsia="hr-HR" w:bidi="hr-HR"/>
        </w:rPr>
        <w:t xml:space="preserve">nosli s </w:t>
      </w:r>
      <w:r>
        <w:rPr>
          <w:rFonts w:ascii="Times New Roman" w:eastAsia="Times New Roman" w:hAnsi="Times New Roman" w:cs="Times New Roman"/>
          <w:i/>
          <w:iCs/>
          <w:color w:val="000000"/>
          <w:spacing w:val="0"/>
          <w:w w:val="100"/>
          <w:position w:val="0"/>
          <w:shd w:val="clear" w:color="auto" w:fill="auto"/>
          <w:lang w:val="hr-HR" w:eastAsia="hr-HR" w:bidi="hr-HR"/>
        </w:rPr>
        <w:t>jednom</w:t>
      </w:r>
      <w:r>
        <w:rPr>
          <w:rFonts w:ascii="Times New Roman" w:eastAsia="Times New Roman" w:hAnsi="Times New Roman" w:cs="Times New Roman"/>
          <w:color w:val="000000"/>
          <w:spacing w:val="0"/>
          <w:w w:val="100"/>
          <w:position w:val="0"/>
          <w:shd w:val="clear" w:color="auto" w:fill="auto"/>
          <w:lang w:val="hr-HR" w:eastAsia="hr-HR" w:bidi="hr-HR"/>
        </w:rPr>
        <w:t xml:space="preserve"> Torom, pa im se stoga više sviđa naziv »Židovi vjerni Tori« ili »halaški« Židovi (u Njemačkoj često »vjerni Zakonu«), On odražava posluh i spremnost i bezuvjetnu podređenost objavljenoj Božjoj volji u »pis</w:t>
        <w:softHyphen/>
        <w:t>menom« i »usmenom nauku«. Ispunjenje te norme u svakodnevnom životu nije teret već privilegija, a ona se odnosi na »Toru sa Si</w:t>
        <w:softHyphen/>
        <w:t xml:space="preserve">naja« (M Avot 1,1) ili na »Mojsijcvu halahu sa Sinaja« (M Pca 11,6; Edujot VIII,7; Jadajim IV,3; b Kidušin 38b) koja svoje opunomoće- nje i potvrdu izvodi neposredno ili posredno iz objave; prema ortodoksnom shvaćanju, to je židovski put k svetosti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18,5), sred</w:t>
        <w:softHyphen/>
        <w:t>stvo davanja dostojanstva i smisla ljudskom društvu. Normativno židovstvo ne razlikuje »religijsko« od »svjetovnog«, kao što ni u Bib</w:t>
        <w:softHyphen/>
        <w:t>liji nema pojmova »religija« i »svijet«; tradi</w:t>
        <w:softHyphen/>
        <w:t>cija prati nedjeljivi ljudski život i obuhvaća sve aspekte egzistencije. Ipak, iz važne promjene povijesnih uvjeta morale su nastati posljedice u »Nauku« o oblikovanju života, premda cilj svetosti ostaje nepromijenjen. »Pismena« To</w:t>
        <w:softHyphen/>
        <w:t>ra dokumentira potrebu da se jedna stara od</w:t>
        <w:softHyphen/>
        <w:t>redba interpretira na nov način u promijenje</w:t>
        <w:softHyphen/>
        <w:t>nim okolnostima (npr. odredba o šabatnoj go</w:t>
        <w:softHyphen/>
        <w:t xml:space="preserve">dini u Pnz 15,1-11, usp. Izl 23,10-13;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25,3-7). Klasični primjer »usmene« Tore je </w:t>
      </w:r>
      <w:r>
        <w:rPr>
          <w:rFonts w:ascii="Times New Roman" w:eastAsia="Times New Roman" w:hAnsi="Times New Roman" w:cs="Times New Roman"/>
          <w:i/>
          <w:iCs/>
          <w:color w:val="000000"/>
          <w:spacing w:val="0"/>
          <w:w w:val="100"/>
          <w:position w:val="0"/>
          <w:shd w:val="clear" w:color="auto" w:fill="auto"/>
          <w:lang w:val="hr-HR" w:eastAsia="hr-HR" w:bidi="hr-HR"/>
        </w:rPr>
        <w:t>prozhul,</w:t>
      </w:r>
      <w:r>
        <w:rPr>
          <w:rFonts w:ascii="Times New Roman" w:eastAsia="Times New Roman" w:hAnsi="Times New Roman" w:cs="Times New Roman"/>
          <w:color w:val="000000"/>
          <w:spacing w:val="0"/>
          <w:w w:val="100"/>
          <w:position w:val="0"/>
          <w:shd w:val="clear" w:color="auto" w:fill="auto"/>
          <w:lang w:val="hr-HR" w:eastAsia="hr-HR" w:bidi="hr-HR"/>
        </w:rPr>
        <w:t xml:space="preserve"> a Hilelu se pripisuje njegovo uvođe</w:t>
        <w:softHyphen/>
        <w:t>nje; on je ukinuo biblijski propis o redovitom oprostu duga svake sedme godine kako bi se zajmodavstvo u drugom gospodarskom poret</w:t>
        <w:softHyphen/>
        <w:t xml:space="preserve">ku oblikovalo realistički (M Šcviit X,3, usp.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 xml:space="preserve">III,6;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36a).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odražava raz</w:t>
        <w:softHyphen/>
        <w:t>vitak halahe; naime, osim šezdeset i tri trak</w:t>
        <w:softHyphen/>
        <w:t>tata Mišne, u kojima su skupljene stoljećima stvarane izvršne i dopunske odredbe biblijskih propisa (konačna redakcija potkraj II. stolje</w:t>
        <w:softHyphen/>
        <w:t>ća), on sadrži objašnjenja i dorade Mišne u Gemari (završeno oko 500. pos. Kr.), koje su nastale u daljnjoj fazi razvitka. U sljedećim stoljećima bilo je raznih pokušaja uspostavlja</w:t>
        <w:softHyphen/>
        <w:t xml:space="preserve">nja učinkovitosti halahe u židovskom životu, medu njima i Majmonidova </w:t>
      </w:r>
      <w:r>
        <w:rPr>
          <w:rFonts w:ascii="Times New Roman" w:eastAsia="Times New Roman" w:hAnsi="Times New Roman" w:cs="Times New Roman"/>
          <w:i/>
          <w:iCs/>
          <w:color w:val="000000"/>
          <w:spacing w:val="0"/>
          <w:w w:val="100"/>
          <w:position w:val="0"/>
          <w:shd w:val="clear" w:color="auto" w:fill="auto"/>
          <w:lang w:val="hr-HR" w:eastAsia="hr-HR" w:bidi="hr-HR"/>
        </w:rPr>
        <w:t>Mišne Tora',</w:t>
      </w:r>
      <w:r>
        <w:rPr>
          <w:rFonts w:ascii="Times New Roman" w:eastAsia="Times New Roman" w:hAnsi="Times New Roman" w:cs="Times New Roman"/>
          <w:color w:val="000000"/>
          <w:spacing w:val="0"/>
          <w:w w:val="100"/>
          <w:position w:val="0"/>
          <w:shd w:val="clear" w:color="auto" w:fill="auto"/>
          <w:lang w:val="hr-HR" w:eastAsia="hr-HR" w:bidi="hr-HR"/>
        </w:rPr>
        <w:t xml:space="preserve"> me</w:t>
        <w:softHyphen/>
        <w:t xml:space="preserve">đutim, samo je </w:t>
      </w:r>
      <w:r>
        <w:rPr>
          <w:rFonts w:ascii="Times New Roman" w:eastAsia="Times New Roman" w:hAnsi="Times New Roman" w:cs="Times New Roman"/>
          <w:i/>
          <w:iCs/>
          <w:color w:val="000000"/>
          <w:spacing w:val="0"/>
          <w:w w:val="100"/>
          <w:position w:val="0"/>
          <w:shd w:val="clear" w:color="auto" w:fill="auto"/>
          <w:lang w:val="hr-HR" w:eastAsia="hr-HR" w:bidi="hr-HR"/>
        </w:rPr>
        <w:t>Šulhan aruh</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Josefa </w:t>
      </w:r>
      <w:r>
        <w:rPr>
          <w:rFonts w:ascii="Times New Roman" w:eastAsia="Times New Roman" w:hAnsi="Times New Roman" w:cs="Times New Roman"/>
          <w:color w:val="000000"/>
          <w:spacing w:val="0"/>
          <w:w w:val="100"/>
          <w:position w:val="0"/>
          <w:shd w:val="clear" w:color="auto" w:fill="auto"/>
          <w:lang w:val="hr-HR" w:eastAsia="hr-HR" w:bidi="hr-HR"/>
        </w:rPr>
        <w:t>Kara (prvo izdanje 1564/65) zadržao u ortodoksiji najve</w:t>
        <w:softHyphen/>
        <w:t>ću vrijednost kao normativna zbirka halaških odluka. Međutim, ni jedan od lih procesa ne smije se zamijeniti pokušajem prilagodbe ži</w:t>
        <w:softHyphen/>
        <w:t>dovskoga životnog puta »duhu vremena«. Prema tradicijskom stajalištu, mjerilo je riječ Božja u sinajskoj praobjavi i u njezinu komen</w:t>
        <w:softHyphen/>
      </w:r>
      <w:r>
        <w:rPr>
          <w:rFonts w:ascii="Times New Roman" w:eastAsia="Times New Roman" w:hAnsi="Times New Roman" w:cs="Times New Roman"/>
          <w:color w:val="000000"/>
          <w:spacing w:val="0"/>
          <w:w w:val="100"/>
          <w:position w:val="0"/>
          <w:shd w:val="clear" w:color="auto" w:fill="auto"/>
          <w:lang w:val="hr-HR" w:eastAsia="hr-HR" w:bidi="hr-HR"/>
        </w:rPr>
        <w:t>taru u predaji, i prema njemu se moraju ocje</w:t>
        <w:softHyphen/>
        <w:t>njivati sva druga pravila. »Revizije« Halahe mjerodavne su samo ako novi razlozi vode k novoj interpretaciji i novoj primjeni zbog pro</w:t>
        <w:softHyphen/>
        <w:t>mjena u povijesnim situacijama. Kad je Rabi Akiva nakon Hagade našao novi smisao u To</w:t>
        <w:softHyphen/>
        <w:t>ri, kojega se Mojsije privremeno klonio (b Menahot 29b), nije time stvorio novu Toru kako bi je prilagodio situaciji svojega doba; naprotiv, proučavajući Toru u svjetlu uvjeta svoje sadašnjosti, otkrio je nova značenja koja su mu pomogla primijeniti Toru na uvjete što su prevladavali u tom povijesnom razdoblju. Legitimni razvitak komentara ne otklanja prvo</w:t>
        <w:softHyphen/>
        <w:t xml:space="preserve">bitni smisao nego tek omogućava ostvarenje temeljnoga poretka u životu tako da se dotad skrivena značenja (b Sabat 88b;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34a) u Tori tumače u skladu s posebnim generacij</w:t>
        <w:softHyphen/>
        <w:t xml:space="preserve">skim zahtjevima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 xml:space="preserve">Albo, </w:t>
      </w:r>
      <w:r>
        <w:rPr>
          <w:rFonts w:ascii="Times New Roman" w:eastAsia="Times New Roman" w:hAnsi="Times New Roman" w:cs="Times New Roman"/>
          <w:i/>
          <w:iCs/>
          <w:color w:val="000000"/>
          <w:spacing w:val="0"/>
          <w:w w:val="100"/>
          <w:position w:val="0"/>
          <w:shd w:val="clear" w:color="auto" w:fill="auto"/>
          <w:lang w:val="hr-HR" w:eastAsia="hr-HR" w:bidi="hr-HR"/>
        </w:rPr>
        <w:t>Ikarim</w:t>
      </w:r>
      <w:r>
        <w:rPr>
          <w:rFonts w:ascii="Times New Roman" w:eastAsia="Times New Roman" w:hAnsi="Times New Roman" w:cs="Times New Roman"/>
          <w:color w:val="000000"/>
          <w:spacing w:val="0"/>
          <w:w w:val="100"/>
          <w:position w:val="0"/>
          <w:shd w:val="clear" w:color="auto" w:fill="auto"/>
          <w:lang w:val="hr-HR" w:eastAsia="hr-HR" w:bidi="hr-HR"/>
        </w:rPr>
        <w:t xml:space="preserve"> /Knjiga načela/, 3,16). No, kako nas uči povijest novoga vijeka, živoj tradiciji ne prijeti samo nestanak zbog radikalne reforme nego i opasnost fosiliza- cijc zbog fundamentalističke ortodoksije.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12,</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1978,1486-93; E- L. </w:t>
      </w:r>
      <w:r>
        <w:rPr>
          <w:color w:val="000000"/>
          <w:spacing w:val="0"/>
          <w:w w:val="100"/>
          <w:position w:val="0"/>
          <w:shd w:val="clear" w:color="auto" w:fill="auto"/>
        </w:rPr>
        <w:t xml:space="preserve">Ehrlich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dr., </w:t>
      </w:r>
      <w:r>
        <w:rPr>
          <w:i/>
          <w:iCs/>
          <w:color w:val="000000"/>
          <w:spacing w:val="0"/>
          <w:w w:val="100"/>
          <w:position w:val="0"/>
          <w:shd w:val="clear" w:color="auto" w:fill="auto"/>
        </w:rPr>
        <w:t xml:space="preserve">Religiose </w:t>
      </w:r>
      <w:r>
        <w:rPr>
          <w:i/>
          <w:iCs/>
          <w:color w:val="000000"/>
          <w:spacing w:val="0"/>
          <w:w w:val="100"/>
          <w:position w:val="0"/>
          <w:shd w:val="clear" w:color="auto" w:fill="auto"/>
          <w:lang w:val="hr-HR" w:eastAsia="hr-HR" w:bidi="hr-HR"/>
        </w:rPr>
        <w:t>Stromungen im Judentutn heule,</w:t>
      </w:r>
      <w:r>
        <w:rPr>
          <w:color w:val="000000"/>
          <w:spacing w:val="0"/>
          <w:w w:val="100"/>
          <w:position w:val="0"/>
          <w:shd w:val="clear" w:color="auto" w:fill="auto"/>
          <w:lang w:val="hr-HR" w:eastAsia="hr-HR" w:bidi="hr-HR"/>
        </w:rPr>
        <w:t xml:space="preserve"> 1973.</w:t>
      </w:r>
    </w:p>
    <w:p>
      <w:pPr>
        <w:pStyle w:val="Style56"/>
        <w:keepNext w:val="0"/>
        <w:keepLines w:val="0"/>
        <w:widowControl w:val="0"/>
        <w:shd w:val="clear" w:color="auto" w:fill="auto"/>
        <w:bidi w:val="0"/>
        <w:spacing w:before="0" w:after="160" w:line="240" w:lineRule="auto"/>
        <w:ind w:left="0" w:right="0" w:firstLine="0"/>
        <w:jc w:val="right"/>
      </w:pPr>
      <w:r>
        <w:rPr>
          <w:color w:val="000000"/>
          <w:spacing w:val="0"/>
          <w:w w:val="100"/>
          <w:position w:val="0"/>
          <w:shd w:val="clear" w:color="auto" w:fill="auto"/>
          <w:lang w:val="hr-HR" w:eastAsia="hr-HR" w:bidi="hr-HR"/>
        </w:rPr>
        <w:t>P. VEl’n-R</w:t>
      </w:r>
    </w:p>
    <w:p>
      <w:pPr>
        <w:pStyle w:val="Style63"/>
        <w:keepNext/>
        <w:keepLines/>
        <w:widowControl w:val="0"/>
        <w:numPr>
          <w:ilvl w:val="0"/>
          <w:numId w:val="393"/>
        </w:numPr>
        <w:shd w:val="clear" w:color="auto" w:fill="auto"/>
        <w:tabs>
          <w:tab w:pos="260" w:val="left"/>
        </w:tabs>
        <w:bidi w:val="0"/>
        <w:spacing w:before="0" w:after="80"/>
        <w:ind w:left="0" w:right="0" w:firstLine="0"/>
        <w:jc w:val="both"/>
      </w:pPr>
      <w:bookmarkStart w:id="241" w:name="bookmark24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41"/>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ili p. je prihvaćanje i priznavanje pravoga kršćanskog učenja u stvarima vjere i ćudoređa koje je Crkva utvrdila kao obvezatno. O. može značiti i zbroj onih vjerskih istina i ću</w:t>
        <w:softHyphen/>
        <w:t>dorednih normi koje su definirane i objavlje</w:t>
        <w:softHyphen/>
        <w:t>ne kao obvezatne. Prema katoličkom shvaća</w:t>
        <w:softHyphen/>
        <w:t>nju Crkva u vršenju svog —&gt; učiteljstva, po</w:t>
        <w:softHyphen/>
        <w:t>lazeći od -» Božje objave u -» Svetom pismu i pod vodstvom Duha Svetoga definira ono što je vjerska istina (to su dogme) koja se ne može napustiti i što je obvezatna ćudoredna norma. Dogmama i obvezatnim ćudorednim normama definira se temeljni kršćanski iden</w:t>
        <w:softHyphen/>
        <w:t>titet katoličke vjerske zajednice. Odbijanje tih vjerskih istina i tih ćudorednih normi te zastu</w:t>
        <w:softHyphen/>
        <w:t>panje drugog učenja jest —&gt; hereza; ona stav</w:t>
        <w:softHyphen/>
        <w:t>lja heretika izvan zajednice.</w:t>
      </w:r>
    </w:p>
    <w:p>
      <w:pPr>
        <w:pStyle w:val="Style56"/>
        <w:keepNext w:val="0"/>
        <w:keepLines w:val="0"/>
        <w:widowControl w:val="0"/>
        <w:shd w:val="clear" w:color="auto" w:fill="auto"/>
        <w:bidi w:val="0"/>
        <w:spacing w:before="0" w:after="200" w:line="240" w:lineRule="auto"/>
        <w:ind w:left="0" w:right="0" w:firstLine="0"/>
        <w:jc w:val="both"/>
      </w:pPr>
      <w:r>
        <w:rPr>
          <w:color w:val="000000"/>
          <w:spacing w:val="0"/>
          <w:w w:val="100"/>
          <w:position w:val="0"/>
          <w:shd w:val="clear" w:color="auto" w:fill="auto"/>
          <w:lang w:val="hr-HR" w:eastAsia="hr-HR" w:bidi="hr-HR"/>
        </w:rPr>
        <w:t xml:space="preserve">Lit.: Osim u tekstu navedenih natuknica pogledaj još Vjera, -+ Vjeroispovijest, -&gt; Koncil, -&gt; Papa. </w:t>
      </w:r>
      <w:r>
        <w:rPr>
          <w:rFonts w:ascii="Times New Roman" w:eastAsia="Times New Roman" w:hAnsi="Times New Roman" w:cs="Times New Roman"/>
          <w:smallCaps/>
          <w:color w:val="000000"/>
          <w:spacing w:val="0"/>
          <w:w w:val="100"/>
          <w:position w:val="0"/>
          <w:sz w:val="15"/>
          <w:szCs w:val="15"/>
          <w:shd w:val="clear" w:color="auto" w:fill="auto"/>
        </w:rPr>
        <w:t>a.</w:t>
      </w:r>
      <w:r>
        <w:rPr>
          <w:color w:val="000000"/>
          <w:spacing w:val="0"/>
          <w:w w:val="100"/>
          <w:position w:val="0"/>
          <w:shd w:val="clear" w:color="auto" w:fill="auto"/>
        </w:rPr>
        <w:t xml:space="preserve"> KHOURY</w:t>
      </w:r>
    </w:p>
    <w:p>
      <w:pPr>
        <w:pStyle w:val="Style63"/>
        <w:keepNext/>
        <w:keepLines/>
        <w:widowControl w:val="0"/>
        <w:numPr>
          <w:ilvl w:val="0"/>
          <w:numId w:val="393"/>
        </w:numPr>
        <w:shd w:val="clear" w:color="auto" w:fill="auto"/>
        <w:tabs>
          <w:tab w:pos="260" w:val="left"/>
        </w:tabs>
        <w:bidi w:val="0"/>
        <w:spacing w:before="0" w:after="80"/>
        <w:ind w:left="0" w:right="0" w:firstLine="0"/>
        <w:jc w:val="both"/>
      </w:pPr>
      <w:bookmarkStart w:id="242" w:name="bookmark242"/>
      <w:r>
        <w:rPr>
          <w:rFonts w:ascii="Times New Roman" w:eastAsia="Times New Roman" w:hAnsi="Times New Roman" w:cs="Times New Roman"/>
          <w:color w:val="000000"/>
          <w:spacing w:val="0"/>
          <w:w w:val="100"/>
          <w:position w:val="0"/>
          <w:shd w:val="clear" w:color="auto" w:fill="auto"/>
          <w:lang w:val="hr-HR" w:eastAsia="hr-HR" w:bidi="hr-HR"/>
        </w:rPr>
        <w:t>islamski</w:t>
      </w:r>
      <w:bookmarkEnd w:id="242"/>
    </w:p>
    <w:p>
      <w:pPr>
        <w:pStyle w:val="Style20"/>
        <w:keepNext w:val="0"/>
        <w:keepLines w:val="0"/>
        <w:widowControl w:val="0"/>
        <w:shd w:val="clear" w:color="auto" w:fill="auto"/>
        <w:bidi w:val="0"/>
        <w:spacing w:before="0" w:after="0" w:line="254" w:lineRule="auto"/>
        <w:ind w:left="0" w:right="0" w:firstLine="0"/>
        <w:jc w:val="both"/>
        <w:sectPr>
          <w:headerReference w:type="default" r:id="rId1023"/>
          <w:footerReference w:type="default" r:id="rId1024"/>
          <w:headerReference w:type="even" r:id="rId1025"/>
          <w:footerReference w:type="even" r:id="rId1026"/>
          <w:headerReference w:type="first" r:id="rId1027"/>
          <w:footerReference w:type="first" r:id="rId1028"/>
          <w:footnotePr>
            <w:pos w:val="pageBottom"/>
            <w:numFmt w:val="decimal"/>
            <w:numRestart w:val="continuous"/>
            <w15:footnoteColumns w:val="1"/>
          </w:footnotePr>
          <w:pgSz w:w="6816" w:h="11006"/>
          <w:pgMar w:top="996" w:left="186" w:right="189" w:bottom="516" w:header="0" w:footer="3" w:gutter="0"/>
          <w:pgNumType w:start="336"/>
          <w:cols w:num="2" w:space="19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Kriterij ortodoksnosti (pravovjernosti) u isla</w:t>
        <w:softHyphen/>
        <w:t xml:space="preserve">mu je pripadnost jednoj od četiri priznate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sunitske pravne škole ili duodecimalnom ši- jizmu koja se zgodimice smatra petom orto</w:t>
        <w:softHyphen/>
        <w:t>doksnom školom cjelokupnog islama. Svako odstupanje od modela vjerovanja i ponašanja, koje je propisala svaka od dotičnih škola, iza</w:t>
        <w:softHyphen/>
        <w:t>ziva sumnju u ortodoksiju onoga koji je odstu</w:t>
        <w:softHyphen/>
        <w:t>pio. Vjerniku je dopušteno da se opredijeli i za nauk druge škole, kojoj on izvorno ne pri</w:t>
        <w:softHyphen/>
        <w:t xml:space="preserve">pada. Taj eklekticizam, koji se zove </w:t>
      </w:r>
      <w:r>
        <w:rPr>
          <w:rFonts w:ascii="Times New Roman" w:eastAsia="Times New Roman" w:hAnsi="Times New Roman" w:cs="Times New Roman"/>
          <w:i/>
          <w:iCs/>
          <w:color w:val="000000"/>
          <w:spacing w:val="0"/>
          <w:w w:val="100"/>
          <w:position w:val="0"/>
          <w:shd w:val="clear" w:color="auto" w:fill="auto"/>
          <w:lang w:val="hr-HR" w:eastAsia="hr-HR" w:bidi="hr-HR"/>
        </w:rPr>
        <w:t>at-takhay- yur</w:t>
      </w:r>
      <w:r>
        <w:rPr>
          <w:rFonts w:ascii="Times New Roman" w:eastAsia="Times New Roman" w:hAnsi="Times New Roman" w:cs="Times New Roman"/>
          <w:color w:val="000000"/>
          <w:spacing w:val="0"/>
          <w:w w:val="100"/>
          <w:position w:val="0"/>
          <w:shd w:val="clear" w:color="auto" w:fill="auto"/>
          <w:lang w:val="hr-HR" w:eastAsia="hr-HR" w:bidi="hr-HR"/>
        </w:rPr>
        <w:t xml:space="preserve"> (»biranje«) ili </w:t>
      </w:r>
      <w:r>
        <w:rPr>
          <w:rFonts w:ascii="Times New Roman" w:eastAsia="Times New Roman" w:hAnsi="Times New Roman" w:cs="Times New Roman"/>
          <w:i/>
          <w:iCs/>
          <w:color w:val="000000"/>
          <w:spacing w:val="0"/>
          <w:w w:val="100"/>
          <w:position w:val="0"/>
          <w:shd w:val="clear" w:color="auto" w:fill="auto"/>
          <w:lang w:val="en-US" w:eastAsia="en-US" w:bidi="en-US"/>
        </w:rPr>
        <w:t>talfiq</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(»kombiniranje«), olak</w:t>
        <w:softHyphen/>
        <w:t>šava prilagodbu postojećim prilikama. Ta pri</w:t>
        <w:softHyphen/>
        <w:t>lagodba može također omogućiti novo tuma</w:t>
        <w:softHyphen/>
        <w:t>čenje izvornih tekstova, kada ih vrši pozvana strana i kada to ona vrši sa svom potrebnom akribijom, a da se o. ne dovodi u pitanje.</w:t>
      </w:r>
    </w:p>
    <w:p>
      <w:pPr>
        <w:pStyle w:val="Style20"/>
        <w:keepNext w:val="0"/>
        <w:keepLines w:val="0"/>
        <w:widowControl w:val="0"/>
        <w:shd w:val="clear" w:color="auto" w:fill="auto"/>
        <w:tabs>
          <w:tab w:pos="2582" w:val="left"/>
        </w:tabs>
        <w:bidi w:val="0"/>
        <w:spacing w:before="0" w:after="32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Al-Gazali</w:t>
      </w:r>
      <w:r>
        <w:rPr>
          <w:rFonts w:ascii="Times New Roman" w:eastAsia="Times New Roman" w:hAnsi="Times New Roman" w:cs="Times New Roman"/>
          <w:color w:val="000000"/>
          <w:spacing w:val="0"/>
          <w:w w:val="100"/>
          <w:position w:val="0"/>
          <w:shd w:val="clear" w:color="auto" w:fill="auto"/>
          <w:lang w:val="hr-HR" w:eastAsia="hr-HR" w:bidi="hr-HR"/>
        </w:rPr>
        <w:t xml:space="preserve"> definira heterodoksiju </w:t>
      </w:r>
      <w:r>
        <w:rPr>
          <w:rFonts w:ascii="Times New Roman" w:eastAsia="Times New Roman" w:hAnsi="Times New Roman" w:cs="Times New Roman"/>
          <w:i/>
          <w:iCs/>
          <w:color w:val="000000"/>
          <w:spacing w:val="0"/>
          <w:w w:val="100"/>
          <w:position w:val="0"/>
          <w:shd w:val="clear" w:color="auto" w:fill="auto"/>
          <w:lang w:val="en-US" w:eastAsia="en-US" w:bidi="en-US"/>
        </w:rPr>
        <w:t xml:space="preserve">(zanduqa) </w:t>
      </w:r>
      <w:r>
        <w:rPr>
          <w:rFonts w:ascii="Times New Roman" w:eastAsia="Times New Roman" w:hAnsi="Times New Roman" w:cs="Times New Roman"/>
          <w:color w:val="000000"/>
          <w:spacing w:val="0"/>
          <w:w w:val="100"/>
          <w:position w:val="0"/>
          <w:shd w:val="clear" w:color="auto" w:fill="auto"/>
          <w:lang w:val="hr-HR" w:eastAsia="hr-HR" w:bidi="hr-HR"/>
        </w:rPr>
        <w:t>kao sklonost ateizmu. No to se može obraz</w:t>
        <w:softHyphen/>
        <w:t>ložiti samo teškim odstupanjima od temeljno</w:t>
        <w:softHyphen/>
        <w:t>ga nauka. Kao heterodoksna važi npr. pret</w:t>
        <w:softHyphen/>
        <w:t>postavka da je svijet nastao »nepostojanim miješanjem četiri elementa«. Ekstatične sek</w:t>
        <w:softHyphen/>
        <w:t>te, koje putem duševnoga sjedinjavanja s Bo</w:t>
        <w:softHyphen/>
        <w:t>gom nastoje izbjeći religiozne propise i zako</w:t>
        <w:softHyphen/>
        <w:t xml:space="preserve">ne, sumnjiče se kao heterodoksne. Takva je sumnja mogla zgodimice biti opasna po život zato što je heterodoksija smatrana čaranjem protiv islamske države. Izraziti slučajevi hete- rodoksije </w:t>
      </w:r>
      <w:r>
        <w:rPr>
          <w:rFonts w:ascii="Times New Roman" w:eastAsia="Times New Roman" w:hAnsi="Times New Roman" w:cs="Times New Roman"/>
          <w:i/>
          <w:iCs/>
          <w:color w:val="000000"/>
          <w:spacing w:val="0"/>
          <w:w w:val="100"/>
          <w:position w:val="0"/>
          <w:shd w:val="clear" w:color="auto" w:fill="auto"/>
          <w:lang w:val="en-US" w:eastAsia="en-US" w:bidi="en-US"/>
        </w:rPr>
        <w:t>(zandaqa)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bili su kažnjavani smrću. Heterodoksija </w:t>
      </w:r>
      <w:r>
        <w:rPr>
          <w:rFonts w:ascii="Times New Roman" w:eastAsia="Times New Roman" w:hAnsi="Times New Roman" w:cs="Times New Roman"/>
          <w:i/>
          <w:iCs/>
          <w:color w:val="000000"/>
          <w:spacing w:val="0"/>
          <w:w w:val="100"/>
          <w:position w:val="0"/>
          <w:shd w:val="clear" w:color="auto" w:fill="auto"/>
          <w:lang w:val="en-US" w:eastAsia="en-US" w:bidi="en-US"/>
        </w:rPr>
        <w:t>(zandaqa)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nužno vodi k ma- nje-više izraženoj permisivnosti koja se izjed</w:t>
        <w:softHyphen/>
        <w:t>načuje s ukidanjem zakonitoga religioznog poretka. U tome leži njezina društvcno-poli- tička ubojitost. Konzervativne apologete ozna</w:t>
        <w:softHyphen/>
        <w:t>čuju danas mnoge slobodno misleće muslima</w:t>
        <w:softHyphen/>
        <w:t xml:space="preserve">ne kao </w:t>
      </w:r>
      <w:r>
        <w:rPr>
          <w:rFonts w:ascii="Times New Roman" w:eastAsia="Times New Roman" w:hAnsi="Times New Roman" w:cs="Times New Roman"/>
          <w:i/>
          <w:iCs/>
          <w:color w:val="000000"/>
          <w:spacing w:val="0"/>
          <w:w w:val="100"/>
          <w:position w:val="0"/>
          <w:shd w:val="clear" w:color="auto" w:fill="auto"/>
          <w:lang w:val="en-US" w:eastAsia="en-US" w:bidi="en-US"/>
        </w:rPr>
        <w:t>zindiq</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(čarobnjak, vještac). Nasuprot tomu, kao </w:t>
      </w:r>
      <w:r>
        <w:rPr>
          <w:rFonts w:ascii="Times New Roman" w:eastAsia="Times New Roman" w:hAnsi="Times New Roman" w:cs="Times New Roman"/>
          <w:i/>
          <w:iCs/>
          <w:color w:val="000000"/>
          <w:spacing w:val="0"/>
          <w:w w:val="100"/>
          <w:position w:val="0"/>
          <w:shd w:val="clear" w:color="auto" w:fill="auto"/>
          <w:lang w:val="hr-HR" w:eastAsia="hr-HR" w:bidi="hr-HR"/>
        </w:rPr>
        <w:t>[asiq</w:t>
      </w:r>
      <w:r>
        <w:rPr>
          <w:rFonts w:ascii="Times New Roman" w:eastAsia="Times New Roman" w:hAnsi="Times New Roman" w:cs="Times New Roman"/>
          <w:color w:val="000000"/>
          <w:spacing w:val="0"/>
          <w:w w:val="100"/>
          <w:position w:val="0"/>
          <w:shd w:val="clear" w:color="auto" w:fill="auto"/>
          <w:lang w:val="hr-HR" w:eastAsia="hr-HR" w:bidi="hr-HR"/>
        </w:rPr>
        <w:t xml:space="preserve"> (»bezgrešan čovjek«) važi onaj tko ne poštuje vjerske propise, ali tko se ispovijeda u islamu.</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bai.ič</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OSLOBOĐENJE -+ OTKUPLJENJE</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OTKUPLJENJE</w:t>
      </w:r>
    </w:p>
    <w:p>
      <w:pPr>
        <w:pStyle w:val="Style63"/>
        <w:keepNext/>
        <w:keepLines/>
        <w:widowControl w:val="0"/>
        <w:numPr>
          <w:ilvl w:val="0"/>
          <w:numId w:val="395"/>
        </w:numPr>
        <w:shd w:val="clear" w:color="auto" w:fill="auto"/>
        <w:tabs>
          <w:tab w:pos="241" w:val="left"/>
        </w:tabs>
        <w:bidi w:val="0"/>
        <w:spacing w:before="0"/>
        <w:ind w:left="0" w:right="0" w:firstLine="0"/>
        <w:jc w:val="both"/>
      </w:pPr>
      <w:bookmarkStart w:id="243" w:name="bookmark243"/>
      <w:r>
        <w:rPr>
          <w:rFonts w:ascii="Times New Roman" w:eastAsia="Times New Roman" w:hAnsi="Times New Roman" w:cs="Times New Roman"/>
          <w:color w:val="000000"/>
          <w:spacing w:val="0"/>
          <w:w w:val="100"/>
          <w:position w:val="0"/>
          <w:shd w:val="clear" w:color="auto" w:fill="auto"/>
          <w:lang w:val="hr-HR" w:eastAsia="hr-HR" w:bidi="hr-HR"/>
        </w:rPr>
        <w:t>židovski</w:t>
      </w:r>
      <w:bookmarkEnd w:id="24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Nema vjere bez zapovijedi:</w:t>
      </w:r>
      <w:r>
        <w:rPr>
          <w:rFonts w:ascii="Times New Roman" w:eastAsia="Times New Roman" w:hAnsi="Times New Roman" w:cs="Times New Roman"/>
          <w:color w:val="000000"/>
          <w:spacing w:val="0"/>
          <w:w w:val="100"/>
          <w:position w:val="0"/>
          <w:shd w:val="clear" w:color="auto" w:fill="auto"/>
          <w:lang w:val="hr-HR" w:eastAsia="hr-HR" w:bidi="hr-HR"/>
        </w:rPr>
        <w:t xml:space="preserve"> Židovstvo je od</w:t>
        <w:softHyphen/>
        <w:t>uvijek tražilo obilje zapovijedi. Cisti čin vjere, koji otvara vrata otkupljenju, židovstvu je stran. »Riječ Božja« nije mu nikada satno dar i sred</w:t>
        <w:softHyphen/>
        <w:t xml:space="preserve">stvo za o., nego ostaje uvijek </w:t>
      </w:r>
      <w:r>
        <w:rPr>
          <w:rFonts w:ascii="Times New Roman" w:eastAsia="Times New Roman" w:hAnsi="Times New Roman" w:cs="Times New Roman"/>
          <w:i/>
          <w:iCs/>
          <w:color w:val="000000"/>
          <w:spacing w:val="0"/>
          <w:w w:val="100"/>
          <w:position w:val="0"/>
          <w:shd w:val="clear" w:color="auto" w:fill="auto"/>
          <w:lang w:val="hr-HR" w:eastAsia="hr-HR" w:bidi="hr-HR"/>
        </w:rPr>
        <w:t>Tora -</w:t>
      </w:r>
      <w:r>
        <w:rPr>
          <w:rFonts w:ascii="Times New Roman" w:eastAsia="Times New Roman" w:hAnsi="Times New Roman" w:cs="Times New Roman"/>
          <w:color w:val="000000"/>
          <w:spacing w:val="0"/>
          <w:w w:val="100"/>
          <w:position w:val="0"/>
          <w:shd w:val="clear" w:color="auto" w:fill="auto"/>
          <w:lang w:val="hr-HR" w:eastAsia="hr-HR" w:bidi="hr-HR"/>
        </w:rPr>
        <w:t xml:space="preserve"> Božji na</w:t>
        <w:softHyphen/>
        <w:t>log koji treba izvršiti. Židovstvo ne traži pri</w:t>
        <w:softHyphen/>
        <w:t xml:space="preserve">hvaćanje određenih doktrina spasenja i milos- </w:t>
      </w:r>
      <w:r>
        <w:rPr>
          <w:rFonts w:ascii="Times New Roman" w:eastAsia="Times New Roman" w:hAnsi="Times New Roman" w:cs="Times New Roman"/>
          <w:color w:val="000000"/>
          <w:spacing w:val="0"/>
          <w:w w:val="100"/>
          <w:position w:val="0"/>
          <w:shd w:val="clear" w:color="auto" w:fill="auto"/>
          <w:lang w:val="hr-HR" w:eastAsia="hr-HR" w:bidi="hr-HR"/>
        </w:rPr>
        <w:t xml:space="preserve">nih darova i ne izvršava učinkovite radnje koje tako reći vuku nebo na zemlju. O. mu ne ovisi o pravoj vjeri niti o pravoj teologiji: »Nije nauk glavni već čin« (M Avot 1,17). On, preko kojega čovjek ide Božjim putevima, </w:t>
      </w:r>
      <w:r>
        <w:rPr>
          <w:rFonts w:ascii="Times New Roman" w:eastAsia="Times New Roman" w:hAnsi="Times New Roman" w:cs="Times New Roman"/>
          <w:i/>
          <w:iCs/>
          <w:color w:val="000000"/>
          <w:spacing w:val="0"/>
          <w:w w:val="100"/>
          <w:position w:val="0"/>
          <w:shd w:val="clear" w:color="auto" w:fill="auto"/>
          <w:lang w:val="hr-HR" w:eastAsia="hr-HR" w:bidi="hr-HR"/>
        </w:rPr>
        <w:t>oponaša Boga,</w:t>
      </w:r>
      <w:r>
        <w:rPr>
          <w:rFonts w:ascii="Times New Roman" w:eastAsia="Times New Roman" w:hAnsi="Times New Roman" w:cs="Times New Roman"/>
          <w:color w:val="000000"/>
          <w:spacing w:val="0"/>
          <w:w w:val="100"/>
          <w:position w:val="0"/>
          <w:shd w:val="clear" w:color="auto" w:fill="auto"/>
          <w:lang w:val="hr-HR" w:eastAsia="hr-HR" w:bidi="hr-HR"/>
        </w:rPr>
        <w:t xml:space="preserve"> jest ono što »otkupljuje« čovječji opsta</w:t>
        <w:softHyphen/>
        <w:t>nak. Ta bezuvjetna vrijednost čina u židovstvu ne znači ni »aktivizam« niti uvjerenost u vlas</w:t>
        <w:softHyphen/>
        <w:t>titu nepogrešivost. Nije mu ni nakraj pameti da veliča samouvjerenu ćudorednost, iskriv</w:t>
        <w:softHyphen/>
        <w:t>ljenu sliku podijeljenoga duhovnog svijeta: ovdje opravdanje milošću, ondje opravdanje djelima.</w:t>
      </w:r>
    </w:p>
    <w:p>
      <w:pPr>
        <w:pStyle w:val="Style20"/>
        <w:keepNext w:val="0"/>
        <w:keepLines w:val="0"/>
        <w:widowControl w:val="0"/>
        <w:numPr>
          <w:ilvl w:val="0"/>
          <w:numId w:val="39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»Budile sveli«:</w:t>
      </w:r>
      <w:r>
        <w:rPr>
          <w:rFonts w:ascii="Times New Roman" w:eastAsia="Times New Roman" w:hAnsi="Times New Roman" w:cs="Times New Roman"/>
          <w:color w:val="000000"/>
          <w:spacing w:val="0"/>
          <w:w w:val="100"/>
          <w:position w:val="0"/>
          <w:shd w:val="clear" w:color="auto" w:fill="auto"/>
          <w:lang w:val="hr-HR" w:eastAsia="hr-HR" w:bidi="hr-HR"/>
        </w:rPr>
        <w:t xml:space="preserve"> Nikakva uvjerenost u milost ne može nadomjestiti zapovijed. »Tko uvijek govori da za njega ne vrijedi ništa osim nau</w:t>
        <w:softHyphen/>
        <w:t>ka..., za njega ne vrijedi ni nauk« (b Jabmut 109b). Nauk je neraskidivo povezan s djelom; nije moguće učiti i poučavati a da ne živiš (M Avot IV,5). Istodobno vrijedi i obratno: »Nauk je veći, jer nauk vodi k djelu« (b Kidušin 40b); jer samo u povezanosti s onim što je zapovje</w:t>
        <w:softHyphen/>
        <w:t>đeno čovjek može pravo djelo i pravilno iz</w:t>
        <w:softHyphen/>
        <w:t>vršiti. Čovjek koji je djelovao, zna da je bio u ruci Božjoj i jest u ruci Božjoj! Ozbiljno uzi</w:t>
        <w:softHyphen/>
        <w:t>manje stvorene čovječje samostalnosti za pra</w:t>
        <w:softHyphen/>
        <w:t xml:space="preserve">vo djelo ne remeti ozbiljno uzimanje milosti Božje. Naime, čovjeku kojega je stvorio na svoju sliku, Bog je dodijelio snagu ostvarenja: »Sveti budite! Jer sam svet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 odgovornoj, konkretnoj odluci pred Bogom čovjek ostvaruje Boga. U tom smislu o. nije cilj odmora već upozorenje na nedo</w:t>
        <w:softHyphen/>
        <w:t>vršenu životnu obvezu pojedinca u zajednici Božjega naroda. U tome se židovstvo razlikuje od religije otkupljenja onoga koji poznaje sa</w:t>
        <w:softHyphen/>
        <w:t>mo svoje Ja i svojega Otkupitelja.</w:t>
      </w:r>
    </w:p>
    <w:p>
      <w:pPr>
        <w:pStyle w:val="Style20"/>
        <w:keepNext w:val="0"/>
        <w:keepLines w:val="0"/>
        <w:widowControl w:val="0"/>
        <w:numPr>
          <w:ilvl w:val="0"/>
          <w:numId w:val="397"/>
        </w:numPr>
        <w:shd w:val="clear" w:color="auto" w:fill="auto"/>
        <w:tabs>
          <w:tab w:pos="265" w:val="left"/>
        </w:tabs>
        <w:bidi w:val="0"/>
        <w:spacing w:before="0" w:after="0"/>
        <w:ind w:left="0" w:right="0" w:firstLine="0"/>
        <w:jc w:val="both"/>
        <w:sectPr>
          <w:headerReference w:type="default" r:id="rId1029"/>
          <w:footerReference w:type="default" r:id="rId1030"/>
          <w:headerReference w:type="even" r:id="rId1031"/>
          <w:footerReference w:type="even" r:id="rId1032"/>
          <w:footnotePr>
            <w:pos w:val="pageBottom"/>
            <w:numFmt w:val="decimal"/>
            <w:numRestart w:val="continuous"/>
            <w15:footnoteColumns w:val="1"/>
          </w:footnotePr>
          <w:type w:val="continuous"/>
          <w:pgSz w:w="6816" w:h="11006"/>
          <w:pgMar w:top="996" w:left="186" w:right="189" w:bottom="516" w:header="0" w:footer="3" w:gutter="0"/>
          <w:cols w:num="2" w:space="191"/>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Najdublji sadržaj povijesti:</w:t>
      </w:r>
      <w:r>
        <w:rPr>
          <w:rFonts w:ascii="Times New Roman" w:eastAsia="Times New Roman" w:hAnsi="Times New Roman" w:cs="Times New Roman"/>
          <w:color w:val="000000"/>
          <w:spacing w:val="0"/>
          <w:w w:val="100"/>
          <w:position w:val="0"/>
          <w:shd w:val="clear" w:color="auto" w:fill="auto"/>
          <w:lang w:val="hr-HR" w:eastAsia="hr-HR" w:bidi="hr-HR"/>
        </w:rPr>
        <w:t xml:space="preserve"> O. je utemeljilo povijest Izraela. Povijesnim činom koji je pot</w:t>
        <w:softHyphen/>
        <w:t>lačenima omogućio da dožive o., počela je na</w:t>
        <w:softHyphen/>
        <w:t>cionalna egzistencija Izraela: »To sam JA; ja ću vas izbaviti od tereta što su vam ga Egip</w:t>
        <w:softHyphen/>
        <w:t>ćani nametnuli. Oslobodit ću vas od ropstva u kojem vas drže, izbavit ću vas...« (Izl 6,6). S otkupljenjem počela je povezanost Boga koji izabire i izabranog naroda, uzajamni odnos u kojem su obuhvaćene ljubav i patnja: »Za svoj ću vas narod uzeti, i bit ću vašim Bogom« (Izl 6,7). Sjećanje na Božje oslobađanje sačuvalo je Izrael u njegovim počecima; na to podjed</w:t>
        <w:softHyphen/>
        <w:t xml:space="preserve">nako upozorava svaka zapovijed (Izl 20,2) kao i Izraclovo priznanje: »Milošću svojom vodio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si ovaj narod, tobom otkupljen,...« (Izl 15,13). To razumijevanje za </w:t>
      </w:r>
      <w:r>
        <w:rPr>
          <w:rFonts w:ascii="Times New Roman" w:eastAsia="Times New Roman" w:hAnsi="Times New Roman" w:cs="Times New Roman"/>
          <w:i/>
          <w:iCs/>
          <w:color w:val="000000"/>
          <w:spacing w:val="0"/>
          <w:w w:val="100"/>
          <w:position w:val="0"/>
          <w:shd w:val="clear" w:color="auto" w:fill="auto"/>
          <w:lang w:val="hr-HR" w:eastAsia="hr-HR" w:bidi="hr-HR"/>
        </w:rPr>
        <w:t>najdublji sadržaj njegove povijesti</w:t>
      </w:r>
      <w:r>
        <w:rPr>
          <w:rFonts w:ascii="Times New Roman" w:eastAsia="Times New Roman" w:hAnsi="Times New Roman" w:cs="Times New Roman"/>
          <w:color w:val="000000"/>
          <w:spacing w:val="0"/>
          <w:w w:val="100"/>
          <w:position w:val="0"/>
          <w:shd w:val="clear" w:color="auto" w:fill="auto"/>
          <w:lang w:val="hr-HR" w:eastAsia="hr-HR" w:bidi="hr-HR"/>
        </w:rPr>
        <w:t xml:space="preserve"> pojačalo se tijekom stoljeća u kojima se Izrael morao boriti za svoj opstanak i speci</w:t>
        <w:softHyphen/>
        <w:t>fičnost. Nasuprot sili, kojom su ga svladavali drugi narodi i raselili u druge zemlje, ostalo mu je uvjerenje da će Bog svoj narod oslobo</w:t>
        <w:softHyphen/>
        <w:t>diti iz svakog ropstva (Hagada o Pesahu), jer je za njegovu povijest ona druga istina bila mjerodavna: »Ne silom niti snagom, već du</w:t>
        <w:softHyphen/>
        <w:t>hom mojim« (Zah 4,6). Iz iskustva u počeci</w:t>
        <w:softHyphen/>
        <w:t xml:space="preserve">ma rasla jc nada u Božja otkupljujuća djela u </w:t>
      </w:r>
      <w:r>
        <w:rPr>
          <w:rFonts w:ascii="Times New Roman" w:eastAsia="Times New Roman" w:hAnsi="Times New Roman" w:cs="Times New Roman"/>
          <w:i/>
          <w:iCs/>
          <w:color w:val="000000"/>
          <w:spacing w:val="0"/>
          <w:w w:val="100"/>
          <w:position w:val="0"/>
          <w:shd w:val="clear" w:color="auto" w:fill="auto"/>
          <w:lang w:val="hr-HR" w:eastAsia="hr-HR" w:bidi="hr-HR"/>
        </w:rPr>
        <w:t>budućnosti.</w:t>
      </w:r>
      <w:r>
        <w:rPr>
          <w:rFonts w:ascii="Times New Roman" w:eastAsia="Times New Roman" w:hAnsi="Times New Roman" w:cs="Times New Roman"/>
          <w:color w:val="000000"/>
          <w:spacing w:val="0"/>
          <w:w w:val="100"/>
          <w:position w:val="0"/>
          <w:shd w:val="clear" w:color="auto" w:fill="auto"/>
          <w:lang w:val="hr-HR" w:eastAsia="hr-HR" w:bidi="hr-HR"/>
        </w:rPr>
        <w:t xml:space="preserve"> Izraelova </w:t>
      </w:r>
      <w:r>
        <w:rPr>
          <w:rFonts w:ascii="Times New Roman" w:eastAsia="Times New Roman" w:hAnsi="Times New Roman" w:cs="Times New Roman"/>
          <w:i/>
          <w:iCs/>
          <w:color w:val="000000"/>
          <w:spacing w:val="0"/>
          <w:w w:val="100"/>
          <w:position w:val="0"/>
          <w:shd w:val="clear" w:color="auto" w:fill="auto"/>
          <w:lang w:val="hr-HR" w:eastAsia="hr-HR" w:bidi="hr-HR"/>
        </w:rPr>
        <w:t>mesijanska</w:t>
      </w:r>
      <w:r>
        <w:rPr>
          <w:rFonts w:ascii="Times New Roman" w:eastAsia="Times New Roman" w:hAnsi="Times New Roman" w:cs="Times New Roman"/>
          <w:color w:val="000000"/>
          <w:spacing w:val="0"/>
          <w:w w:val="100"/>
          <w:position w:val="0"/>
          <w:shd w:val="clear" w:color="auto" w:fill="auto"/>
          <w:lang w:val="hr-HR" w:eastAsia="hr-HR" w:bidi="hr-HR"/>
        </w:rPr>
        <w:t xml:space="preserve"> čežnja pro</w:t>
        <w:softHyphen/>
        <w:t>vela je u djelo samo Božju vlast suprotstav- ljenu svakoj realnosti sile.</w:t>
      </w:r>
    </w:p>
    <w:p>
      <w:pPr>
        <w:pStyle w:val="Style20"/>
        <w:keepNext w:val="0"/>
        <w:keepLines w:val="0"/>
        <w:widowControl w:val="0"/>
        <w:numPr>
          <w:ilvl w:val="0"/>
          <w:numId w:val="397"/>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Budući ovostrani svijet:</w:t>
      </w:r>
      <w:r>
        <w:rPr>
          <w:rFonts w:ascii="Times New Roman" w:eastAsia="Times New Roman" w:hAnsi="Times New Roman" w:cs="Times New Roman"/>
          <w:color w:val="000000"/>
          <w:spacing w:val="0"/>
          <w:w w:val="100"/>
          <w:position w:val="0"/>
          <w:shd w:val="clear" w:color="auto" w:fill="auto"/>
          <w:lang w:val="hr-HR" w:eastAsia="hr-HR" w:bidi="hr-HR"/>
        </w:rPr>
        <w:t xml:space="preserve"> Iz nauka o »posljed</w:t>
        <w:softHyphen/>
        <w:t>njim stvarima« ne može sc razumjeti nada u o.; time bi bila promašena upravo njegova konkretna povijesna jezgra! Ona je sačuvala biblijsko kao i talmudsko mesijanstvo i mesi</w:t>
        <w:softHyphen/>
        <w:t>janstvo u poslijetalmudsko doba da se ne ras- plinc u bezvremenstvo i besprostornost. Već jc i proročka nada u ispunjenje Božje volje u izraelskom pravednom načinu života - i, pre</w:t>
        <w:softHyphen/>
        <w:t>ma tomu, pravednom načinu života svih na</w:t>
        <w:softHyphen/>
        <w:t>roda - povezana s jednim Davidovim potom</w:t>
        <w:softHyphen/>
        <w:t xml:space="preserve">kom (Iz 9,6;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9,11; Hoš 3,5; Mih 4,4, usp. 1 Kr 5,5). Ni utopijska vizija zemlje ispunjene Božjom spoznajom, duboko povezana s obno</w:t>
        <w:softHyphen/>
        <w:t>viteljskom težnjom (Iz 11,9; Hab 2,14; Jr 31,34) nije daleko od povijesti. I ona biblijska slika budućnosti, oblikovana u talmudskoj li</w:t>
        <w:softHyphen/>
        <w:t xml:space="preserve">teraturi o mesijanskom dobu, proteže sc u </w:t>
      </w:r>
      <w:r>
        <w:rPr>
          <w:rFonts w:ascii="Times New Roman" w:eastAsia="Times New Roman" w:hAnsi="Times New Roman" w:cs="Times New Roman"/>
          <w:i/>
          <w:iCs/>
          <w:color w:val="000000"/>
          <w:spacing w:val="0"/>
          <w:w w:val="100"/>
          <w:position w:val="0"/>
          <w:shd w:val="clear" w:color="auto" w:fill="auto"/>
          <w:lang w:val="hr-HR" w:eastAsia="hr-HR" w:bidi="hr-HR"/>
        </w:rPr>
        <w:t>ovostranom</w:t>
      </w:r>
      <w:r>
        <w:rPr>
          <w:rFonts w:ascii="Times New Roman" w:eastAsia="Times New Roman" w:hAnsi="Times New Roman" w:cs="Times New Roman"/>
          <w:color w:val="000000"/>
          <w:spacing w:val="0"/>
          <w:w w:val="100"/>
          <w:position w:val="0"/>
          <w:shd w:val="clear" w:color="auto" w:fill="auto"/>
          <w:lang w:val="hr-HR" w:eastAsia="hr-HR" w:bidi="hr-HR"/>
        </w:rPr>
        <w:t xml:space="preserve"> svijetu koji još nije nastupio: »Ne</w:t>
        <w:softHyphen/>
        <w:t>ma nijedne druge razlike između ovoga svijeta i mesijanskoga doba osim podjarmljenosti (Iz</w:t>
        <w:softHyphen/>
        <w:t>raela) u kraljevstvima« (b Berahot 34b; Šabat 63a i 151b). Očekivanje ovostranog otkuplje</w:t>
        <w:softHyphen/>
        <w:t>nja ostalo je neokrnjeno i presudno za židov</w:t>
        <w:softHyphen/>
        <w:t>stvo u poslijetalmudskom dobu. Majmonid (1135-1204), koji je staru biblijsko-rabinsku nadu preuzeo u svojih trinaest vjerskih čla</w:t>
        <w:softHyphen/>
        <w:t>naka, objasnio je mesijansko kraljevstvo ova</w:t>
        <w:softHyphen/>
        <w:t>ko: »Ne treha misliti da će išta u danima Me</w:t>
        <w:softHyphen/>
        <w:t>sije što odgovara prirodnom tijeku svijeta prestati ili poprimiti novi oblik u djelu stvara</w:t>
        <w:softHyphen/>
        <w:t>nja... U to doba neće biti ni gladi niti rata, ni zavisti niti nesloge, jer će biti zemaljskih do</w:t>
        <w:softHyphen/>
        <w:t>bara u izobilju, i svih će dragocjenosti biti kao pljeve. Cijeli svijet neće imati drugih briga osim što će spoznavati Boga« (Mišnc Tora, Hilhot Melahim 12,1.5).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Vezu s poviješću izražava i moderna židovska filozofija otkupljenja kad razmišlja o svlada</w:t>
        <w:softHyphen/>
        <w:t xml:space="preserve">vanju poriva za grijehom </w:t>
      </w:r>
      <w:r>
        <w:rPr>
          <w:rFonts w:ascii="Times New Roman" w:eastAsia="Times New Roman" w:hAnsi="Times New Roman" w:cs="Times New Roman"/>
          <w:color w:val="000000"/>
          <w:spacing w:val="0"/>
          <w:w w:val="100"/>
          <w:position w:val="0"/>
          <w:shd w:val="clear" w:color="auto" w:fill="auto"/>
          <w:lang w:val="en-US" w:eastAsia="en-US" w:bidi="en-US"/>
        </w:rPr>
        <w:t xml:space="preserve">(Hermann Cohen) </w:t>
      </w:r>
      <w:r>
        <w:rPr>
          <w:rFonts w:ascii="Times New Roman" w:eastAsia="Times New Roman" w:hAnsi="Times New Roman" w:cs="Times New Roman"/>
          <w:color w:val="000000"/>
          <w:spacing w:val="0"/>
          <w:w w:val="100"/>
          <w:position w:val="0"/>
          <w:shd w:val="clear" w:color="auto" w:fill="auto"/>
          <w:lang w:val="hr-HR" w:eastAsia="hr-HR" w:bidi="hr-HR"/>
        </w:rPr>
        <w:t xml:space="preserve">ili o iskorjenjivanju zla, što ga jc u povijesti čovječanstva prouzročio čovjek, posvećivanjem svakodnevnog života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odnos</w:t>
        <w:softHyphen/>
        <w:t>no o razlučivanju zla od dobra (Ahraham J. Heschel) i o sjedinjenju svijeta i čovjeka u savr</w:t>
        <w:softHyphen/>
        <w:t xml:space="preserve">šenom skladu s Bogom </w:t>
      </w:r>
      <w:r>
        <w:rPr>
          <w:rFonts w:ascii="Times New Roman" w:eastAsia="Times New Roman" w:hAnsi="Times New Roman" w:cs="Times New Roman"/>
          <w:color w:val="000000"/>
          <w:spacing w:val="0"/>
          <w:w w:val="100"/>
          <w:position w:val="0"/>
          <w:shd w:val="clear" w:color="auto" w:fill="auto"/>
          <w:lang w:val="en-US" w:eastAsia="en-US" w:bidi="en-US"/>
        </w:rPr>
        <w:t>(Franz Rosenzweig).</w:t>
      </w:r>
    </w:p>
    <w:p>
      <w:pPr>
        <w:pStyle w:val="Style20"/>
        <w:keepNext w:val="0"/>
        <w:keepLines w:val="0"/>
        <w:widowControl w:val="0"/>
        <w:numPr>
          <w:ilvl w:val="0"/>
          <w:numId w:val="397"/>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Skoro očekivanje:</w:t>
      </w:r>
      <w:r>
        <w:rPr>
          <w:rFonts w:ascii="Times New Roman" w:eastAsia="Times New Roman" w:hAnsi="Times New Roman" w:cs="Times New Roman"/>
          <w:color w:val="000000"/>
          <w:spacing w:val="0"/>
          <w:w w:val="100"/>
          <w:position w:val="0"/>
          <w:shd w:val="clear" w:color="auto" w:fill="auto"/>
          <w:lang w:val="hr-HR" w:eastAsia="hr-HR" w:bidi="hr-HR"/>
        </w:rPr>
        <w:t xml:space="preserve"> Izraelove početne patnje bile su izvorište nade u o.; njegov mukotrpni </w:t>
      </w:r>
      <w:r>
        <w:rPr>
          <w:rFonts w:ascii="Times New Roman" w:eastAsia="Times New Roman" w:hAnsi="Times New Roman" w:cs="Times New Roman"/>
          <w:i/>
          <w:iCs/>
          <w:color w:val="000000"/>
          <w:spacing w:val="0"/>
          <w:w w:val="100"/>
          <w:position w:val="0"/>
          <w:shd w:val="clear" w:color="auto" w:fill="auto"/>
          <w:lang w:val="hr-HR" w:eastAsia="hr-HR" w:bidi="hr-HR"/>
        </w:rPr>
        <w:t>put</w:t>
      </w:r>
      <w:r>
        <w:rPr>
          <w:rFonts w:ascii="Times New Roman" w:eastAsia="Times New Roman" w:hAnsi="Times New Roman" w:cs="Times New Roman"/>
          <w:color w:val="000000"/>
          <w:spacing w:val="0"/>
          <w:w w:val="100"/>
          <w:position w:val="0"/>
          <w:shd w:val="clear" w:color="auto" w:fill="auto"/>
          <w:lang w:val="hr-HR" w:eastAsia="hr-HR" w:bidi="hr-HR"/>
        </w:rPr>
        <w:t xml:space="preserve"> uvijek je održavao nadu u životu. Jačanje političkih, pravnih i gospodarskih nesigurnos</w:t>
        <w:softHyphen/>
        <w:t>ti povećavalo je zahtjev da o. bude u nepo</w:t>
        <w:softHyphen/>
        <w:t>srednoj budućnosti. Rabinsko je židovstvo od</w:t>
        <w:softHyphen/>
        <w:t>bijalo odrediti dan otkupljenja; tješilo jc one koji su ustrajali u čvrstoj vjeri u Božje ispunje</w:t>
        <w:softHyphen/>
        <w:t xml:space="preserve">nje obećanog otkupljenja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97b). Za razliku od biblijskih predodžbi, apokalip- tika je sa svojim eshatološkim skorim iščeki</w:t>
        <w:softHyphen/>
        <w:t>vanjem premjestila sve procese otkupljenja u stvarnost koja se ne obazire na svijet i njegovu povijest. S obzirom na takvo iščekivanje ob</w:t>
        <w:softHyphen/>
        <w:t>novljena svijeta, koji je više od puke ponovne uspostave pravremena, mudraci su razmišljali o tome smije li čovječje djelovanje iznuditi o., pa su nedvosmisleno upozorili mesijanske akti</w:t>
        <w:softHyphen/>
        <w:t>viste: »Pa nećeš se valjda više žuriti od Stvori</w:t>
        <w:softHyphen/>
        <w:t>telja« (IV Ezr 2. odnosno 4,34).</w:t>
      </w:r>
    </w:p>
    <w:p>
      <w:pPr>
        <w:pStyle w:val="Style20"/>
        <w:keepNext w:val="0"/>
        <w:keepLines w:val="0"/>
        <w:widowControl w:val="0"/>
        <w:numPr>
          <w:ilvl w:val="0"/>
          <w:numId w:val="397"/>
        </w:numPr>
        <w:shd w:val="clear" w:color="auto" w:fill="auto"/>
        <w:tabs>
          <w:tab w:pos="250" w:val="left"/>
        </w:tabs>
        <w:bidi w:val="0"/>
        <w:spacing w:before="0" w:after="6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Onaj koji dolazi:</w:t>
      </w:r>
      <w:r>
        <w:rPr>
          <w:rFonts w:ascii="Times New Roman" w:eastAsia="Times New Roman" w:hAnsi="Times New Roman" w:cs="Times New Roman"/>
          <w:color w:val="000000"/>
          <w:spacing w:val="0"/>
          <w:w w:val="100"/>
          <w:position w:val="0"/>
          <w:shd w:val="clear" w:color="auto" w:fill="auto"/>
          <w:lang w:val="hr-HR" w:eastAsia="hr-HR" w:bidi="hr-HR"/>
        </w:rPr>
        <w:t xml:space="preserve"> Bog koji čeka odgovor svo</w:t>
        <w:softHyphen/>
        <w:t xml:space="preserve">jega naroda i svih naroda obećava dolazak očekivanoga.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 xml:space="preserve">potomak koji ispunjava nadu dokazani je pomazanik (2 Sam 23,3). U otkupljeničkom radu i on je samo oruđe u Božjim rukama (Midraš Tchilim za Ps 31,2, usp. Mehilta Rabi Jišmaela, </w:t>
      </w:r>
      <w:r>
        <w:rPr>
          <w:rFonts w:ascii="Times New Roman" w:eastAsia="Times New Roman" w:hAnsi="Times New Roman" w:cs="Times New Roman"/>
          <w:i/>
          <w:iCs/>
          <w:color w:val="000000"/>
          <w:spacing w:val="0"/>
          <w:w w:val="100"/>
          <w:position w:val="0"/>
          <w:shd w:val="clear" w:color="auto" w:fill="auto"/>
          <w:lang w:val="hr-HR" w:eastAsia="hr-HR" w:bidi="hr-HR"/>
        </w:rPr>
        <w:t>Piska</w:t>
      </w:r>
      <w:r>
        <w:rPr>
          <w:rFonts w:ascii="Times New Roman" w:eastAsia="Times New Roman" w:hAnsi="Times New Roman" w:cs="Times New Roman"/>
          <w:color w:val="000000"/>
          <w:spacing w:val="0"/>
          <w:w w:val="100"/>
          <w:position w:val="0"/>
          <w:shd w:val="clear" w:color="auto" w:fill="auto"/>
          <w:lang w:val="hr-HR" w:eastAsia="hr-HR" w:bidi="hr-HR"/>
        </w:rPr>
        <w:t xml:space="preserve"> XIV,51).</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 xml:space="preserve">Encyclopaedia Judaica </w:t>
      </w:r>
      <w:r>
        <w:rPr>
          <w:i/>
          <w:iCs/>
          <w:color w:val="000000"/>
          <w:spacing w:val="0"/>
          <w:w w:val="100"/>
          <w:position w:val="0"/>
          <w:shd w:val="clear" w:color="auto" w:fill="auto"/>
          <w:lang w:val="hr-HR" w:eastAsia="hr-HR" w:bidi="hr-HR"/>
        </w:rPr>
        <w:t>14,</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Jerusalem </w:t>
      </w:r>
      <w:r>
        <w:rPr>
          <w:color w:val="000000"/>
          <w:spacing w:val="0"/>
          <w:w w:val="100"/>
          <w:position w:val="0"/>
          <w:shd w:val="clear" w:color="auto" w:fill="auto"/>
          <w:lang w:val="hr-HR" w:eastAsia="hr-HR" w:bidi="hr-HR"/>
        </w:rPr>
        <w:t>1972, 1-9.</w:t>
      </w:r>
    </w:p>
    <w:p>
      <w:pPr>
        <w:pStyle w:val="Style74"/>
        <w:keepNext w:val="0"/>
        <w:keepLines w:val="0"/>
        <w:widowControl w:val="0"/>
        <w:shd w:val="clear" w:color="auto" w:fill="auto"/>
        <w:bidi w:val="0"/>
        <w:spacing w:before="0" w:after="8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en-US" w:eastAsia="en-US" w:bidi="en-US"/>
        </w:rPr>
        <w:t>VLTI'ER</w:t>
      </w:r>
    </w:p>
    <w:p>
      <w:pPr>
        <w:pStyle w:val="Style63"/>
        <w:keepNext/>
        <w:keepLines/>
        <w:widowControl w:val="0"/>
        <w:numPr>
          <w:ilvl w:val="0"/>
          <w:numId w:val="395"/>
        </w:numPr>
        <w:shd w:val="clear" w:color="auto" w:fill="auto"/>
        <w:tabs>
          <w:tab w:pos="255" w:val="left"/>
        </w:tabs>
        <w:bidi w:val="0"/>
        <w:spacing w:before="0" w:line="223" w:lineRule="auto"/>
        <w:ind w:left="0" w:right="0" w:firstLine="0"/>
        <w:jc w:val="both"/>
      </w:pPr>
      <w:bookmarkStart w:id="244" w:name="bookmark24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44"/>
    </w:p>
    <w:p>
      <w:pPr>
        <w:pStyle w:val="Style20"/>
        <w:keepNext w:val="0"/>
        <w:keepLines w:val="0"/>
        <w:widowControl w:val="0"/>
        <w:shd w:val="clear" w:color="auto" w:fill="auto"/>
        <w:bidi w:val="0"/>
        <w:spacing w:before="0" w:after="40"/>
        <w:ind w:left="0" w:right="0" w:firstLine="0"/>
        <w:jc w:val="both"/>
        <w:sectPr>
          <w:headerReference w:type="default" r:id="rId1033"/>
          <w:footerReference w:type="default" r:id="rId1034"/>
          <w:headerReference w:type="even" r:id="rId1035"/>
          <w:footerReference w:type="even" r:id="rId1036"/>
          <w:footnotePr>
            <w:pos w:val="pageBottom"/>
            <w:numFmt w:val="decimal"/>
            <w:numRestart w:val="continuous"/>
            <w15:footnoteColumns w:val="1"/>
          </w:footnotePr>
          <w:pgSz w:w="6816" w:h="11006"/>
          <w:pgMar w:top="996" w:left="186" w:right="189" w:bottom="516" w:header="0" w:footer="88" w:gutter="0"/>
          <w:pgNumType w:start="343"/>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 je fenomen koji uglavnom dolazi u svjet</w:t>
        <w:softHyphen/>
        <w:t>skim religijama. On pretpostavlja egzistenci</w:t>
        <w:softHyphen/>
        <w:t>jalnu situaciju zla iz kojega bi čovjek koji su</w:t>
        <w:softHyphen/>
        <w:t>sreće božansko želio biti oslobođen. Prema mističkom odnosno profetskom temeljnom ustrojstvu svjetskih religija - kad se kao osno</w:t>
        <w:softHyphen/>
        <w:t>va uzme spasenjska shema - općenita situacija zla dade se svesti ili na »prianjanje uz svoje ja« ili na »bolesnu ovisnost o svome ja« po</w:t>
        <w:softHyphen/>
        <w:t>jedinačnog čovjeka (grijeh). Dok su »ja« i »spasenje« u mističkim religijama nespojive veličine, postoji razlog za izoliranje od Boga 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profetski strukturiranim religijama »u usmje</w:t>
        <w:softHyphen/>
        <w:t>renju svih čovjekovih bitnih snaga na ja i nje</w:t>
        <w:softHyphen/>
        <w:t xml:space="preserve">gove potrebe« (G. </w:t>
      </w:r>
      <w:r>
        <w:rPr>
          <w:rFonts w:ascii="Times New Roman" w:eastAsia="Times New Roman" w:hAnsi="Times New Roman" w:cs="Times New Roman"/>
          <w:color w:val="000000"/>
          <w:spacing w:val="0"/>
          <w:w w:val="100"/>
          <w:position w:val="0"/>
          <w:shd w:val="clear" w:color="auto" w:fill="auto"/>
          <w:lang w:val="en-US" w:eastAsia="en-US" w:bidi="en-US"/>
        </w:rPr>
        <w:t xml:space="preserve">Mensching,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Religion, </w:t>
      </w:r>
      <w:r>
        <w:rPr>
          <w:rFonts w:ascii="Times New Roman" w:eastAsia="Times New Roman" w:hAnsi="Times New Roman" w:cs="Times New Roman"/>
          <w:color w:val="000000"/>
          <w:spacing w:val="0"/>
          <w:w w:val="100"/>
          <w:position w:val="0"/>
          <w:shd w:val="clear" w:color="auto" w:fill="auto"/>
          <w:lang w:val="hr-HR" w:eastAsia="hr-HR" w:bidi="hr-HR"/>
        </w:rPr>
        <w:t xml:space="preserve">1959 </w:t>
      </w:r>
      <w:r>
        <w:rPr>
          <w:rFonts w:ascii="Times New Roman" w:eastAsia="Times New Roman" w:hAnsi="Times New Roman" w:cs="Times New Roman"/>
          <w:color w:val="000000"/>
          <w:spacing w:val="0"/>
          <w:w w:val="100"/>
          <w:position w:val="0"/>
          <w:shd w:val="clear" w:color="auto" w:fill="auto"/>
          <w:lang w:val="en-US" w:eastAsia="en-US" w:bidi="en-US"/>
        </w:rPr>
        <w:t xml:space="preserve">[ I B </w:t>
      </w:r>
      <w:r>
        <w:rPr>
          <w:rFonts w:ascii="Times New Roman" w:eastAsia="Times New Roman" w:hAnsi="Times New Roman" w:cs="Times New Roman"/>
          <w:color w:val="000000"/>
          <w:spacing w:val="0"/>
          <w:w w:val="100"/>
          <w:position w:val="0"/>
          <w:shd w:val="clear" w:color="auto" w:fill="auto"/>
          <w:lang w:val="hr-HR" w:eastAsia="hr-HR" w:bidi="hr-HR"/>
        </w:rPr>
        <w:t>1962], 234), tj. u upućenosti na sebe, u čovjekovom egoizmu. Ove uvodne religij- sko-znanstvene naznake olakšavaju svrstava</w:t>
        <w:softHyphen/>
        <w:t xml:space="preserve">nje specifično kršćanske ideje otkupljenja. Egzistencijalna i općenita situacija zla, iz koje treba omogućiti oslobađanje, je - kršćanski rečeno - grijeh. Nc misli se na konkretno i aktualno počinjene grijehe, nego na </w:t>
      </w:r>
      <w:r>
        <w:rPr>
          <w:rFonts w:ascii="Times New Roman" w:eastAsia="Times New Roman" w:hAnsi="Times New Roman" w:cs="Times New Roman"/>
          <w:i/>
          <w:iCs/>
          <w:color w:val="000000"/>
          <w:spacing w:val="0"/>
          <w:w w:val="100"/>
          <w:position w:val="0"/>
          <w:shd w:val="clear" w:color="auto" w:fill="auto"/>
          <w:lang w:val="hr-HR" w:eastAsia="hr-HR" w:bidi="hr-HR"/>
        </w:rPr>
        <w:t>jednu</w:t>
      </w:r>
      <w:r>
        <w:rPr>
          <w:rFonts w:ascii="Times New Roman" w:eastAsia="Times New Roman" w:hAnsi="Times New Roman" w:cs="Times New Roman"/>
          <w:color w:val="000000"/>
          <w:spacing w:val="0"/>
          <w:w w:val="100"/>
          <w:position w:val="0"/>
          <w:shd w:val="clear" w:color="auto" w:fill="auto"/>
          <w:lang w:val="hr-HR" w:eastAsia="hr-HR" w:bidi="hr-HR"/>
        </w:rPr>
        <w:t xml:space="preserve"> ne</w:t>
        <w:softHyphen/>
        <w:t xml:space="preserve">gativnu </w:t>
      </w:r>
      <w:r>
        <w:rPr>
          <w:rFonts w:ascii="Times New Roman" w:eastAsia="Times New Roman" w:hAnsi="Times New Roman" w:cs="Times New Roman"/>
          <w:i/>
          <w:iCs/>
          <w:color w:val="000000"/>
          <w:spacing w:val="0"/>
          <w:w w:val="100"/>
          <w:position w:val="0"/>
          <w:shd w:val="clear" w:color="auto" w:fill="auto"/>
          <w:lang w:val="hr-HR" w:eastAsia="hr-HR" w:bidi="hr-HR"/>
        </w:rPr>
        <w:t>temeljnu situaciju</w:t>
      </w:r>
      <w:r>
        <w:rPr>
          <w:rFonts w:ascii="Times New Roman" w:eastAsia="Times New Roman" w:hAnsi="Times New Roman" w:cs="Times New Roman"/>
          <w:color w:val="000000"/>
          <w:spacing w:val="0"/>
          <w:w w:val="100"/>
          <w:position w:val="0"/>
          <w:shd w:val="clear" w:color="auto" w:fill="auto"/>
          <w:lang w:val="hr-HR" w:eastAsia="hr-HR" w:bidi="hr-HR"/>
        </w:rPr>
        <w:t xml:space="preserve"> zla koja neizbježno pogađa svakoga čovjeka i iz koje se istom ostva</w:t>
        <w:softHyphen/>
        <w:t>ruju pojedinačni grijesi.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Kršćansko o. je nedjeljivo povezano sa znače</w:t>
        <w:softHyphen/>
        <w:t>njem Isusa Krista, s tumačenjem križa i uskrs</w:t>
        <w:softHyphen/>
        <w:t>nuća. Isusova smrt tumači se u različitim sli</w:t>
        <w:softHyphen/>
        <w:t xml:space="preserve">kama i predodžbama, prije svega u onima iz Staroga zavjeta: Upitno je svodi li se na samog Isusa tumačenje njegove smrti kao okajanja. Si- noptička mjesta Mk 10,45 i 14,24 mogla bi prije pripadati kerigmi prazajednice. Kod </w:t>
      </w:r>
      <w:r>
        <w:rPr>
          <w:rFonts w:ascii="Times New Roman" w:eastAsia="Times New Roman" w:hAnsi="Times New Roman" w:cs="Times New Roman"/>
          <w:color w:val="000000"/>
          <w:spacing w:val="0"/>
          <w:w w:val="100"/>
          <w:position w:val="0"/>
          <w:shd w:val="clear" w:color="auto" w:fill="auto"/>
          <w:lang w:val="en-US" w:eastAsia="en-US" w:bidi="en-US"/>
        </w:rPr>
        <w:t>Pav</w:t>
        <w:softHyphen/>
        <w:t xml:space="preserve">la </w:t>
      </w:r>
      <w:r>
        <w:rPr>
          <w:rFonts w:ascii="Times New Roman" w:eastAsia="Times New Roman" w:hAnsi="Times New Roman" w:cs="Times New Roman"/>
          <w:color w:val="000000"/>
          <w:spacing w:val="0"/>
          <w:w w:val="100"/>
          <w:position w:val="0"/>
          <w:shd w:val="clear" w:color="auto" w:fill="auto"/>
          <w:lang w:val="hr-HR" w:eastAsia="hr-HR" w:bidi="hr-HR"/>
        </w:rPr>
        <w:t xml:space="preserve">nalazimo više načina tumačenja Kristove smrti. Prema Rim 5,6.8; 8,32; 14,15 itd. Krist je umro »za nas«, tj. njegova se smrt tumači kao </w:t>
      </w:r>
      <w:r>
        <w:rPr>
          <w:rFonts w:ascii="Times New Roman" w:eastAsia="Times New Roman" w:hAnsi="Times New Roman" w:cs="Times New Roman"/>
          <w:i/>
          <w:iCs/>
          <w:color w:val="000000"/>
          <w:spacing w:val="0"/>
          <w:w w:val="100"/>
          <w:position w:val="0"/>
          <w:shd w:val="clear" w:color="auto" w:fill="auto"/>
          <w:lang w:val="hr-HR" w:eastAsia="hr-HR" w:bidi="hr-HR"/>
        </w:rPr>
        <w:t>žrtva okajnica.</w:t>
      </w:r>
      <w:r>
        <w:rPr>
          <w:rFonts w:ascii="Times New Roman" w:eastAsia="Times New Roman" w:hAnsi="Times New Roman" w:cs="Times New Roman"/>
          <w:color w:val="000000"/>
          <w:spacing w:val="0"/>
          <w:w w:val="100"/>
          <w:position w:val="0"/>
          <w:shd w:val="clear" w:color="auto" w:fill="auto"/>
          <w:lang w:val="hr-HR" w:eastAsia="hr-HR" w:bidi="hr-HR"/>
        </w:rPr>
        <w:t xml:space="preserve"> Prema Gal 3,13 »Krist nas je otkupio od prokletstva Zakona postavši mjesto nas proklet«. Slika </w:t>
      </w:r>
      <w:r>
        <w:rPr>
          <w:rFonts w:ascii="Times New Roman" w:eastAsia="Times New Roman" w:hAnsi="Times New Roman" w:cs="Times New Roman"/>
          <w:i/>
          <w:iCs/>
          <w:color w:val="000000"/>
          <w:spacing w:val="0"/>
          <w:w w:val="100"/>
          <w:position w:val="0"/>
          <w:shd w:val="clear" w:color="auto" w:fill="auto"/>
          <w:lang w:val="hr-HR" w:eastAsia="hr-HR" w:bidi="hr-HR"/>
        </w:rPr>
        <w:t>otkupa</w:t>
      </w:r>
      <w:r>
        <w:rPr>
          <w:rFonts w:ascii="Times New Roman" w:eastAsia="Times New Roman" w:hAnsi="Times New Roman" w:cs="Times New Roman"/>
          <w:color w:val="000000"/>
          <w:spacing w:val="0"/>
          <w:w w:val="100"/>
          <w:position w:val="0"/>
          <w:shd w:val="clear" w:color="auto" w:fill="auto"/>
          <w:lang w:val="hr-HR" w:eastAsia="hr-HR" w:bidi="hr-HR"/>
        </w:rPr>
        <w:t xml:space="preserve"> (usp. Mk 10,45) odnosi se na zatvorenika ili roba. Dalj</w:t>
        <w:softHyphen/>
        <w:t xml:space="preserve">nji obrazac tumačenja je misao o </w:t>
      </w:r>
      <w:r>
        <w:rPr>
          <w:rFonts w:ascii="Times New Roman" w:eastAsia="Times New Roman" w:hAnsi="Times New Roman" w:cs="Times New Roman"/>
          <w:i/>
          <w:iCs/>
          <w:color w:val="000000"/>
          <w:spacing w:val="0"/>
          <w:w w:val="100"/>
          <w:position w:val="0"/>
          <w:shd w:val="clear" w:color="auto" w:fill="auto"/>
          <w:lang w:val="hr-HR" w:eastAsia="hr-HR" w:bidi="hr-HR"/>
        </w:rPr>
        <w:t>žrtvi.</w:t>
      </w:r>
      <w:r>
        <w:rPr>
          <w:rFonts w:ascii="Times New Roman" w:eastAsia="Times New Roman" w:hAnsi="Times New Roman" w:cs="Times New Roman"/>
          <w:color w:val="000000"/>
          <w:spacing w:val="0"/>
          <w:w w:val="100"/>
          <w:position w:val="0"/>
          <w:shd w:val="clear" w:color="auto" w:fill="auto"/>
          <w:lang w:val="hr-HR" w:eastAsia="hr-HR" w:bidi="hr-HR"/>
        </w:rPr>
        <w:t xml:space="preserve"> U Po</w:t>
        <w:softHyphen/>
        <w:t xml:space="preserve">slanici Hebrcjima ona je oblikovana u ideju Kristove velikosvećenićke žrtve samoga sebe (usp. 2,17; 5,1; 7,1-28 i si.). Njegova smrt, dakle, kao žrtva okajava krivnju ljudi i time utemeljuje zajedništvo između Boga i čovjeka. Daljnji obrazac je obrazac pomirenja prema kojem Bog po Isusu uspostavlja mir između sebe i čovjeka (Rim 5,10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Dolazi i pre</w:t>
        <w:softHyphen/>
        <w:t xml:space="preserve">dodžba </w:t>
      </w:r>
      <w:r>
        <w:rPr>
          <w:rFonts w:ascii="Times New Roman" w:eastAsia="Times New Roman" w:hAnsi="Times New Roman" w:cs="Times New Roman"/>
          <w:i/>
          <w:iCs/>
          <w:color w:val="000000"/>
          <w:spacing w:val="0"/>
          <w:w w:val="100"/>
          <w:position w:val="0"/>
          <w:shd w:val="clear" w:color="auto" w:fill="auto"/>
          <w:lang w:val="hr-HR" w:eastAsia="hr-HR" w:bidi="hr-HR"/>
        </w:rPr>
        <w:t>uzajamne razmjene,</w:t>
      </w:r>
      <w:r>
        <w:rPr>
          <w:rFonts w:ascii="Times New Roman" w:eastAsia="Times New Roman" w:hAnsi="Times New Roman" w:cs="Times New Roman"/>
          <w:color w:val="000000"/>
          <w:spacing w:val="0"/>
          <w:w w:val="100"/>
          <w:position w:val="0"/>
          <w:shd w:val="clear" w:color="auto" w:fill="auto"/>
          <w:lang w:val="hr-HR" w:eastAsia="hr-HR" w:bidi="hr-HR"/>
        </w:rPr>
        <w:t xml:space="preserve"> npr. 2 Kor 5,21: »Njega koji je bio bez ikakva grijeha Bog učini mjesto nas grijehom, da mi u njemu posta</w:t>
        <w:softHyphen/>
        <w:t xml:space="preserve">nemo pravednošću Božjom«. Osobito važno tumačenje Božjeg čina u Kristu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opravdanje, </w:t>
      </w:r>
      <w:r>
        <w:rPr>
          <w:rFonts w:ascii="Times New Roman" w:eastAsia="Times New Roman" w:hAnsi="Times New Roman" w:cs="Times New Roman"/>
          <w:color w:val="000000"/>
          <w:spacing w:val="0"/>
          <w:w w:val="100"/>
          <w:position w:val="0"/>
          <w:shd w:val="clear" w:color="auto" w:fill="auto"/>
          <w:lang w:val="hr-HR" w:eastAsia="hr-HR" w:bidi="hr-HR"/>
        </w:rPr>
        <w:t>poglavito u svojoj pavlovskoj verziji (Rim 3,28). Ma kako različita bila shvaćanja o otkupljenju u pojedinačnome, zajednička im je temeljna misao da je sam čovjek bespo</w:t>
        <w:softHyphen/>
        <w:t>moćan i da o. uvijek polazi od Boga koji ga je izvršio u Kristu. Kršćanska teologija je razvila - gradeći na novozavjetnim osnovama - uzor</w:t>
        <w:softHyphen/>
        <w:t>ke tumačenja, ali koji se mogu tipološki ra</w:t>
        <w:softHyphen/>
        <w:t xml:space="preserve">sporediti. Prema tomu, polazi li se od </w:t>
      </w:r>
      <w:r>
        <w:rPr>
          <w:rFonts w:ascii="Times New Roman" w:eastAsia="Times New Roman" w:hAnsi="Times New Roman" w:cs="Times New Roman"/>
          <w:i/>
          <w:iCs/>
          <w:color w:val="000000"/>
          <w:spacing w:val="0"/>
          <w:w w:val="100"/>
          <w:position w:val="0"/>
          <w:shd w:val="clear" w:color="auto" w:fill="auto"/>
          <w:lang w:val="hr-HR" w:eastAsia="hr-HR" w:bidi="hr-HR"/>
        </w:rPr>
        <w:t>utje</w:t>
        <w:softHyphen/>
      </w:r>
      <w:r>
        <w:rPr>
          <w:rFonts w:ascii="Times New Roman" w:eastAsia="Times New Roman" w:hAnsi="Times New Roman" w:cs="Times New Roman"/>
          <w:i/>
          <w:iCs/>
          <w:color w:val="000000"/>
          <w:spacing w:val="0"/>
          <w:w w:val="100"/>
          <w:position w:val="0"/>
          <w:shd w:val="clear" w:color="auto" w:fill="auto"/>
          <w:lang w:val="hr-HR" w:eastAsia="hr-HR" w:bidi="hr-HR"/>
        </w:rPr>
        <w:t>lovljenja</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križa,</w:t>
      </w:r>
      <w:r>
        <w:rPr>
          <w:rFonts w:ascii="Times New Roman" w:eastAsia="Times New Roman" w:hAnsi="Times New Roman" w:cs="Times New Roman"/>
          <w:color w:val="000000"/>
          <w:spacing w:val="0"/>
          <w:w w:val="100"/>
          <w:position w:val="0"/>
          <w:shd w:val="clear" w:color="auto" w:fill="auto"/>
          <w:lang w:val="hr-HR" w:eastAsia="hr-HR" w:bidi="hr-HR"/>
        </w:rPr>
        <w:t xml:space="preserve"> slijede drugi obrasci mišlje</w:t>
        <w:softHyphen/>
        <w:t>nja. Ponajviše mistički obilježena istočnocrkvc- na teologija usmjerava se uglavnom na utje</w:t>
        <w:softHyphen/>
        <w:t>lovljenje. Njezina velika tema je Božje očovje- čenje i čovjekovo pobožanstvenje: »Bog je poslao čovjekom da bismo mi postali božan</w:t>
        <w:softHyphen/>
        <w:t>ski« (Atanazije). Pod utjecajem grčke misli, zaokupljene bitkom, grijeh od kojega se treba otkupiti, važi kao nedostatak u bitku. Bog je čisti bitak i besmrtnost. Biti odijeljen od Boga znači gubitak bitka i stoga prolaznost i smrt</w:t>
        <w:softHyphen/>
        <w:t xml:space="preserve">nost. Krist na temelju utjelovljenja Logosa ujedinjuje oba svijeta u </w:t>
      </w:r>
      <w:r>
        <w:rPr>
          <w:rFonts w:ascii="Times New Roman" w:eastAsia="Times New Roman" w:hAnsi="Times New Roman" w:cs="Times New Roman"/>
          <w:i/>
          <w:iCs/>
          <w:color w:val="000000"/>
          <w:spacing w:val="0"/>
          <w:w w:val="100"/>
          <w:position w:val="0"/>
          <w:shd w:val="clear" w:color="auto" w:fill="auto"/>
          <w:lang w:val="hr-HR" w:eastAsia="hr-HR" w:bidi="hr-HR"/>
        </w:rPr>
        <w:t>jednoj</w:t>
      </w:r>
      <w:r>
        <w:rPr>
          <w:rFonts w:ascii="Times New Roman" w:eastAsia="Times New Roman" w:hAnsi="Times New Roman" w:cs="Times New Roman"/>
          <w:color w:val="000000"/>
          <w:spacing w:val="0"/>
          <w:w w:val="100"/>
          <w:position w:val="0"/>
          <w:shd w:val="clear" w:color="auto" w:fill="auto"/>
          <w:lang w:val="hr-HR" w:eastAsia="hr-HR" w:bidi="hr-HR"/>
        </w:rPr>
        <w:t xml:space="preserve"> osobi: božan</w:t>
        <w:softHyphen/>
        <w:t>stvo i čovještvo. Pritom božanski bitak uzdiže ljudski tako da je o. jednako dovršenju čovje</w:t>
        <w:softHyphen/>
        <w:t>ka u Bogu.</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Zapadno kršćanstvo razumijeva odnos izme</w:t>
        <w:softHyphen/>
        <w:t xml:space="preserve">đu Boga i čovjeka kao </w:t>
      </w:r>
      <w:r>
        <w:rPr>
          <w:rFonts w:ascii="Times New Roman" w:eastAsia="Times New Roman" w:hAnsi="Times New Roman" w:cs="Times New Roman"/>
          <w:i/>
          <w:iCs/>
          <w:color w:val="000000"/>
          <w:spacing w:val="0"/>
          <w:w w:val="100"/>
          <w:position w:val="0"/>
          <w:shd w:val="clear" w:color="auto" w:fill="auto"/>
          <w:lang w:val="hr-HR" w:eastAsia="hr-HR" w:bidi="hr-HR"/>
        </w:rPr>
        <w:t>pravni.</w:t>
      </w:r>
      <w:r>
        <w:rPr>
          <w:rFonts w:ascii="Times New Roman" w:eastAsia="Times New Roman" w:hAnsi="Times New Roman" w:cs="Times New Roman"/>
          <w:color w:val="000000"/>
          <w:spacing w:val="0"/>
          <w:w w:val="100"/>
          <w:position w:val="0"/>
          <w:shd w:val="clear" w:color="auto" w:fill="auto"/>
          <w:lang w:val="hr-HR" w:eastAsia="hr-HR" w:bidi="hr-HR"/>
        </w:rPr>
        <w:t xml:space="preserve"> Učenje o oprav</w:t>
        <w:softHyphen/>
        <w:t>danju koje je Pavao razvio u Poslanici Rimlja</w:t>
        <w:softHyphen/>
        <w:t>nima nastalo je, što je znakovito, u Rimu gdje je bila jako judeokršćanski obilježena zajed</w:t>
        <w:softHyphen/>
        <w:t>nica »pripadnici koje su poznavali zakon i ko</w:t>
        <w:softHyphen/>
        <w:t>jima je na srcu ležalo pitanje o Božjoj praved</w:t>
        <w:softHyphen/>
        <w:t xml:space="preserve">nosti i o ispunjenju njezinih zahtjeva od strane ljudi« (E. </w:t>
      </w:r>
      <w:r>
        <w:rPr>
          <w:rFonts w:ascii="Times New Roman" w:eastAsia="Times New Roman" w:hAnsi="Times New Roman" w:cs="Times New Roman"/>
          <w:color w:val="000000"/>
          <w:spacing w:val="0"/>
          <w:w w:val="100"/>
          <w:position w:val="0"/>
          <w:shd w:val="clear" w:color="auto" w:fill="auto"/>
          <w:lang w:val="en-US" w:eastAsia="en-US" w:bidi="en-US"/>
        </w:rPr>
        <w:t xml:space="preserve">Benz, </w:t>
      </w:r>
      <w:r>
        <w:rPr>
          <w:rFonts w:ascii="Times New Roman" w:eastAsia="Times New Roman" w:hAnsi="Times New Roman" w:cs="Times New Roman"/>
          <w:i/>
          <w:iCs/>
          <w:color w:val="000000"/>
          <w:spacing w:val="0"/>
          <w:w w:val="100"/>
          <w:position w:val="0"/>
          <w:shd w:val="clear" w:color="auto" w:fill="auto"/>
          <w:lang w:val="en-US" w:eastAsia="en-US" w:bidi="en-US"/>
        </w:rPr>
        <w:t xml:space="preserve">Geist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Leben der Ostkirche, </w:t>
      </w:r>
      <w:r>
        <w:rPr>
          <w:rFonts w:ascii="Times New Roman" w:eastAsia="Times New Roman" w:hAnsi="Times New Roman" w:cs="Times New Roman"/>
          <w:color w:val="000000"/>
          <w:spacing w:val="0"/>
          <w:w w:val="100"/>
          <w:position w:val="0"/>
          <w:shd w:val="clear" w:color="auto" w:fill="auto"/>
          <w:lang w:val="hr-HR" w:eastAsia="hr-HR" w:bidi="hr-HR"/>
        </w:rPr>
        <w:t>1971, 40). Nasuprot Bogu, zakonodavcu, stoji neposlušan čovjek koji se nalazi u stanju Božje udaljenosti, ne na temelju nedostatka bitka nego zbog namjernog okretanja od Bo</w:t>
        <w:softHyphen/>
        <w:t>ga, zbog svoje pobune protiv Boga za koju snosi krivnju. Čovjek je za kaznu zbog svoje krivnje izgubio onostrano spasenje. To mora okajati, jer se razljućen Bog mora izmiriti. Ka</w:t>
        <w:softHyphen/>
        <w:t>ko je grešan čovjek u tome nesposoban, Bog pomaže šaljući Krista. Taj Bogočovjck omo</w:t>
        <w:softHyphen/>
        <w:t>gućuje čovječanstvu da prinese potrebnu za</w:t>
        <w:softHyphen/>
        <w:t>dovoljštinu, žrtvu koja se zahtijeva.</w:t>
      </w:r>
    </w:p>
    <w:p>
      <w:pPr>
        <w:pStyle w:val="Style20"/>
        <w:keepNext w:val="0"/>
        <w:keepLines w:val="0"/>
        <w:widowControl w:val="0"/>
        <w:shd w:val="clear" w:color="auto" w:fill="auto"/>
        <w:bidi w:val="0"/>
        <w:spacing w:before="0" w:after="0" w:line="257" w:lineRule="auto"/>
        <w:ind w:left="0" w:right="0" w:firstLine="0"/>
        <w:jc w:val="both"/>
        <w:sectPr>
          <w:headerReference w:type="default" r:id="rId1037"/>
          <w:footerReference w:type="default" r:id="rId1038"/>
          <w:headerReference w:type="even" r:id="rId1039"/>
          <w:footerReference w:type="even" r:id="rId1040"/>
          <w:footnotePr>
            <w:pos w:val="pageBottom"/>
            <w:numFmt w:val="decimal"/>
            <w:numRestart w:val="continuous"/>
            <w15:footnoteColumns w:val="1"/>
          </w:footnotePr>
          <w:pgSz w:w="6816" w:h="11006"/>
          <w:pgMar w:top="996" w:left="186" w:right="189" w:bottom="516" w:header="0" w:footer="3" w:gutter="0"/>
          <w:pgNumType w:start="340"/>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Srednjovjekovno shvaćanje otkupljenja bilo je posebno obilježeno učenjem o satisfakciji An- </w:t>
      </w:r>
      <w:r>
        <w:rPr>
          <w:rFonts w:ascii="Times New Roman" w:eastAsia="Times New Roman" w:hAnsi="Times New Roman" w:cs="Times New Roman"/>
          <w:color w:val="000000"/>
          <w:spacing w:val="0"/>
          <w:w w:val="100"/>
          <w:position w:val="0"/>
          <w:shd w:val="clear" w:color="auto" w:fill="auto"/>
          <w:lang w:val="en-US" w:eastAsia="en-US" w:bidi="en-US"/>
        </w:rPr>
        <w:t xml:space="preserve">sclma Canterburyjskog </w:t>
      </w:r>
      <w:r>
        <w:rPr>
          <w:rFonts w:ascii="Times New Roman" w:eastAsia="Times New Roman" w:hAnsi="Times New Roman" w:cs="Times New Roman"/>
          <w:color w:val="000000"/>
          <w:spacing w:val="0"/>
          <w:w w:val="100"/>
          <w:position w:val="0"/>
          <w:shd w:val="clear" w:color="auto" w:fill="auto"/>
          <w:lang w:val="hr-HR" w:eastAsia="hr-HR" w:bidi="hr-HR"/>
        </w:rPr>
        <w:t xml:space="preserve">(1033-1109). U svom zapisu zamišljenom kao dijalog »Cur Deus homo« (Zašlo je Bog postao čovjekom?) </w:t>
      </w:r>
      <w:r>
        <w:rPr>
          <w:rFonts w:ascii="Times New Roman" w:eastAsia="Times New Roman" w:hAnsi="Times New Roman" w:cs="Times New Roman"/>
          <w:color w:val="000000"/>
          <w:spacing w:val="0"/>
          <w:w w:val="100"/>
          <w:position w:val="0"/>
          <w:shd w:val="clear" w:color="auto" w:fill="auto"/>
          <w:lang w:val="en-US" w:eastAsia="en-US" w:bidi="en-US"/>
        </w:rPr>
        <w:t>An</w:t>
        <w:softHyphen/>
        <w:t xml:space="preserve">selmo </w:t>
      </w:r>
      <w:r>
        <w:rPr>
          <w:rFonts w:ascii="Times New Roman" w:eastAsia="Times New Roman" w:hAnsi="Times New Roman" w:cs="Times New Roman"/>
          <w:color w:val="000000"/>
          <w:spacing w:val="0"/>
          <w:w w:val="100"/>
          <w:position w:val="0"/>
          <w:shd w:val="clear" w:color="auto" w:fill="auto"/>
          <w:lang w:val="hr-HR" w:eastAsia="hr-HR" w:bidi="hr-HR"/>
        </w:rPr>
        <w:t>hoće dokazati i razložiti uopće o., zašto se ono moralo dogoditi upravo događajem Krista. Zbog istočnoga grijeha čovjek je iza</w:t>
        <w:softHyphen/>
        <w:t>šao iz prvobitnog stanja pravednosti. Taj gri</w:t>
        <w:softHyphen/>
        <w:t xml:space="preserve">jeh </w:t>
      </w:r>
      <w:r>
        <w:rPr>
          <w:rFonts w:ascii="Times New Roman" w:eastAsia="Times New Roman" w:hAnsi="Times New Roman" w:cs="Times New Roman"/>
          <w:color w:val="000000"/>
          <w:spacing w:val="0"/>
          <w:w w:val="100"/>
          <w:position w:val="0"/>
          <w:shd w:val="clear" w:color="auto" w:fill="auto"/>
          <w:lang w:val="en-US" w:eastAsia="en-US" w:bidi="en-US"/>
        </w:rPr>
        <w:t xml:space="preserve">Anselmo </w:t>
      </w:r>
      <w:r>
        <w:rPr>
          <w:rFonts w:ascii="Times New Roman" w:eastAsia="Times New Roman" w:hAnsi="Times New Roman" w:cs="Times New Roman"/>
          <w:color w:val="000000"/>
          <w:spacing w:val="0"/>
          <w:w w:val="100"/>
          <w:position w:val="0"/>
          <w:shd w:val="clear" w:color="auto" w:fill="auto"/>
          <w:lang w:val="hr-HR" w:eastAsia="hr-HR" w:bidi="hr-HR"/>
        </w:rPr>
        <w:t>ciljano tumači tako što čovjek nije Bogu iskazao poštovanje koje mu pripa</w:t>
        <w:softHyphen/>
        <w:t xml:space="preserve">da, pa je time poremetio poredak koji je Bog htio. Taj se poredak sastojao od podređenosti čovjekove volje božanskoj volji. Čovjek mora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izvršiti pokoru jer grijeh </w:t>
      </w:r>
      <w:r>
        <w:rPr>
          <w:rFonts w:ascii="Times New Roman" w:eastAsia="Times New Roman" w:hAnsi="Times New Roman" w:cs="Times New Roman"/>
          <w:i/>
          <w:iCs/>
          <w:color w:val="000000"/>
          <w:spacing w:val="0"/>
          <w:w w:val="100"/>
          <w:position w:val="0"/>
          <w:shd w:val="clear" w:color="auto" w:fill="auto"/>
          <w:lang w:val="hr-HR" w:eastAsia="hr-HR" w:bidi="hr-HR"/>
        </w:rPr>
        <w:t>mora</w:t>
      </w:r>
      <w:r>
        <w:rPr>
          <w:rFonts w:ascii="Times New Roman" w:eastAsia="Times New Roman" w:hAnsi="Times New Roman" w:cs="Times New Roman"/>
          <w:color w:val="000000"/>
          <w:spacing w:val="0"/>
          <w:w w:val="100"/>
          <w:position w:val="0"/>
          <w:shd w:val="clear" w:color="auto" w:fill="auto"/>
          <w:lang w:val="hr-HR" w:eastAsia="hr-HR" w:bidi="hr-HR"/>
        </w:rPr>
        <w:t xml:space="preserve"> biti kažnjen. Ne bi odgovaralo Božjoj pravednosti kad bi u svom kraljevstvu ostavio nešto nesređeno.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svaki propust, da bi se okajao, treba više od same nadoknade štete. Čovjek, međutim, nije kadar izvršiti pravu nadoknadu. Sve što on može (»kajanje, skrušeno srce, poniznost, post, svakojake tjelesne muke, milosrdno da</w:t>
        <w:softHyphen/>
        <w:t xml:space="preserve">vanje i opraštanje, poslušnost« [XX]), samo je izraz obveznih djela. Iz toga nužno slijedi da netko </w:t>
      </w:r>
      <w:r>
        <w:rPr>
          <w:rFonts w:ascii="Times New Roman" w:eastAsia="Times New Roman" w:hAnsi="Times New Roman" w:cs="Times New Roman"/>
          <w:i/>
          <w:iCs/>
          <w:color w:val="000000"/>
          <w:spacing w:val="0"/>
          <w:w w:val="100"/>
          <w:position w:val="0"/>
          <w:shd w:val="clear" w:color="auto" w:fill="auto"/>
          <w:lang w:val="hr-HR" w:eastAsia="hr-HR" w:bidi="hr-HR"/>
        </w:rPr>
        <w:t>drugi</w:t>
      </w:r>
      <w:r>
        <w:rPr>
          <w:rFonts w:ascii="Times New Roman" w:eastAsia="Times New Roman" w:hAnsi="Times New Roman" w:cs="Times New Roman"/>
          <w:color w:val="000000"/>
          <w:spacing w:val="0"/>
          <w:w w:val="100"/>
          <w:position w:val="0"/>
          <w:shd w:val="clear" w:color="auto" w:fill="auto"/>
          <w:lang w:val="hr-HR" w:eastAsia="hr-HR" w:bidi="hr-HR"/>
        </w:rPr>
        <w:t xml:space="preserve"> mora nastupiti za čovjeka i umjes</w:t>
        <w:softHyphen/>
        <w:t>to njega preuzeti okajanje. Sam Bog ne bi ni</w:t>
        <w:softHyphen/>
        <w:t>kada mogao odustati od kazne jer to »ne leži u Božjoj slobodi ni dobroti niti Njegovoj vo</w:t>
        <w:softHyphen/>
        <w:t xml:space="preserve">lji«. Do ove točke razgovora </w:t>
      </w:r>
      <w:r>
        <w:rPr>
          <w:rFonts w:ascii="Times New Roman" w:eastAsia="Times New Roman" w:hAnsi="Times New Roman" w:cs="Times New Roman"/>
          <w:color w:val="000000"/>
          <w:spacing w:val="0"/>
          <w:w w:val="100"/>
          <w:position w:val="0"/>
          <w:shd w:val="clear" w:color="auto" w:fill="auto"/>
          <w:lang w:val="en-US" w:eastAsia="en-US" w:bidi="en-US"/>
        </w:rPr>
        <w:t xml:space="preserve">Anselmo </w:t>
      </w:r>
      <w:r>
        <w:rPr>
          <w:rFonts w:ascii="Times New Roman" w:eastAsia="Times New Roman" w:hAnsi="Times New Roman" w:cs="Times New Roman"/>
          <w:color w:val="000000"/>
          <w:spacing w:val="0"/>
          <w:w w:val="100"/>
          <w:position w:val="0"/>
          <w:shd w:val="clear" w:color="auto" w:fill="auto"/>
          <w:lang w:val="hr-HR" w:eastAsia="hr-HR" w:bidi="hr-HR"/>
        </w:rPr>
        <w:t>tako argumentira kao da se uopće ništa ne zna o Kristu. Na temelju svog povjerenja u ljudski razum on vjeruje da njegov sugovornik sam po sebi mora doći do uvida u nužnost doga</w:t>
        <w:softHyphen/>
        <w:t>đaja Krista. No ispunjenje božanskog plana s ljudima »može se dogoditi samo ako za čovje</w:t>
        <w:softHyphen/>
        <w:t>kov grijeh prema Bogu netko uzvrati nečime što je veće od svega - izuzev samoga Boga. Tako mora i onaj, kojem je takvo rješenje mo</w:t>
        <w:softHyphen/>
        <w:t>guće, biti veći od svega što nije Bog. A samo je sam Bog iznad svega što je tu. Dakle, također samo Bog može učiniti tu zadovoljštinu. S druge strane, mora je učiniti čovjek jer inače upravo on ne bi učinio dostatno. Prema tomu, mora je izvršiti Bogočovjek« (VI).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Abelard </w:t>
      </w:r>
      <w:r>
        <w:rPr>
          <w:rFonts w:ascii="Times New Roman" w:eastAsia="Times New Roman" w:hAnsi="Times New Roman" w:cs="Times New Roman"/>
          <w:color w:val="000000"/>
          <w:spacing w:val="0"/>
          <w:w w:val="100"/>
          <w:position w:val="0"/>
          <w:shd w:val="clear" w:color="auto" w:fill="auto"/>
          <w:lang w:val="hr-HR" w:eastAsia="hr-HR" w:bidi="hr-HR"/>
        </w:rPr>
        <w:t>(1079-1142) odbacuje Ansclmovo tumačenje. Po njemu, Bog je svim ljudima ob</w:t>
        <w:softHyphen/>
        <w:t>javio svoju ljubav u Isusu Kristu, koji je postao čovjekom. Krist je stoga čovjekov učitelj i uzor sve do krajnje vjernosti u smrti na križu. Isu</w:t>
        <w:softHyphen/>
        <w:t>sova ljubav budi u ljudima uzvratnu ljubav ko</w:t>
        <w:softHyphen/>
        <w:t>ja je osnova za oproštenje grijeha. Isus na</w:t>
        <w:softHyphen/>
        <w:t>dopunjuje svojim zagovorom ono što nedo</w:t>
        <w:softHyphen/>
        <w:t>staje čovječjoj ljubavi.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Najveći srednjovjekovni teolog Toma Akvin- ski (1225-1274) i većina teologa koji ga slijede slažu se s Atanazijevom starocrkvenom misli o pomirenju i povezuju je djelomično s raz</w:t>
        <w:softHyphen/>
        <w:t>mišljanjima Anselma i Abclarda.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Reformacija je kao središte ukupne novoza- vjetne poruke prepoznala novozavjetno uče</w:t>
        <w:softHyphen/>
        <w:t>nje o opravdanju - dakle jedno od više novo- zavjetnih učenja o otkupljenju. Dok protes</w:t>
        <w:softHyphen/>
        <w:t xml:space="preserve">tantska teologija uči o opravdanju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iz mi</w:t>
        <w:softHyphen/>
        <w:t>losti i bez čovjekove zasluge, katoličanstvo uz to naglašava, u priključku na Tridentski kon</w:t>
        <w:softHyphen/>
      </w:r>
      <w:r>
        <w:rPr>
          <w:rFonts w:ascii="Times New Roman" w:eastAsia="Times New Roman" w:hAnsi="Times New Roman" w:cs="Times New Roman"/>
          <w:color w:val="000000"/>
          <w:spacing w:val="0"/>
          <w:w w:val="100"/>
          <w:position w:val="0"/>
          <w:shd w:val="clear" w:color="auto" w:fill="auto"/>
          <w:lang w:val="hr-HR" w:eastAsia="hr-HR" w:bidi="hr-HR"/>
        </w:rPr>
        <w:t>cil, i čovjekovo sudjelovanje (-&gt; Opravdanje). U dijalogu sa židovstvom i islamom protes</w:t>
        <w:softHyphen/>
        <w:t xml:space="preserve">tantsko je učenje o opravdanju dovelo do toga da se često ove obje religije krivo shvaćaju kao religije zakona i samootkupljenja. Taj religijsko-povijesni »prafenomen«, koji je evangelički teolog i religijski znanstvenik </w:t>
      </w:r>
      <w:r>
        <w:rPr>
          <w:rFonts w:ascii="Times New Roman" w:eastAsia="Times New Roman" w:hAnsi="Times New Roman" w:cs="Times New Roman"/>
          <w:color w:val="000000"/>
          <w:spacing w:val="0"/>
          <w:w w:val="100"/>
          <w:position w:val="0"/>
          <w:shd w:val="clear" w:color="auto" w:fill="auto"/>
          <w:lang w:val="en-US" w:eastAsia="en-US" w:bidi="en-US"/>
        </w:rPr>
        <w:t>Hein</w:t>
        <w:softHyphen/>
        <w:t xml:space="preserve">rich Frick </w:t>
      </w:r>
      <w:r>
        <w:rPr>
          <w:rFonts w:ascii="Times New Roman" w:eastAsia="Times New Roman" w:hAnsi="Times New Roman" w:cs="Times New Roman"/>
          <w:color w:val="000000"/>
          <w:spacing w:val="0"/>
          <w:w w:val="100"/>
          <w:position w:val="0"/>
          <w:shd w:val="clear" w:color="auto" w:fill="auto"/>
          <w:lang w:val="hr-HR" w:eastAsia="hr-HR" w:bidi="hr-HR"/>
        </w:rPr>
        <w:t xml:space="preserve">istaknuo kao »katoličko-protestant- ski razdor«, zastario je interkonfcsionalno isto tako kao što je samo uvjetno primjenljiv na opću religijsku povijest (H. </w:t>
      </w:r>
      <w:r>
        <w:rPr>
          <w:rFonts w:ascii="Times New Roman" w:eastAsia="Times New Roman" w:hAnsi="Times New Roman" w:cs="Times New Roman"/>
          <w:color w:val="000000"/>
          <w:spacing w:val="0"/>
          <w:w w:val="100"/>
          <w:position w:val="0"/>
          <w:shd w:val="clear" w:color="auto" w:fill="auto"/>
          <w:lang w:val="en-US" w:eastAsia="en-US" w:bidi="en-US"/>
        </w:rPr>
        <w:t xml:space="preserve">Frick, </w:t>
      </w:r>
      <w:r>
        <w:rPr>
          <w:rFonts w:ascii="Times New Roman" w:eastAsia="Times New Roman" w:hAnsi="Times New Roman" w:cs="Times New Roman"/>
          <w:i/>
          <w:iCs/>
          <w:color w:val="000000"/>
          <w:spacing w:val="0"/>
          <w:w w:val="100"/>
          <w:position w:val="0"/>
          <w:shd w:val="clear" w:color="auto" w:fill="auto"/>
          <w:lang w:val="en-US" w:eastAsia="en-US" w:bidi="en-US"/>
        </w:rPr>
        <w:t xml:space="preserve">Yergleichen-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 </w:t>
      </w:r>
      <w:r>
        <w:rPr>
          <w:rFonts w:ascii="Times New Roman" w:eastAsia="Times New Roman" w:hAnsi="Times New Roman" w:cs="Times New Roman"/>
          <w:i/>
          <w:iCs/>
          <w:color w:val="000000"/>
          <w:spacing w:val="0"/>
          <w:w w:val="100"/>
          <w:position w:val="0"/>
          <w:shd w:val="clear" w:color="auto" w:fill="auto"/>
          <w:lang w:val="en-US" w:eastAsia="en-US" w:bidi="en-US"/>
        </w:rPr>
        <w:t>Religionswissenschaft</w:t>
      </w:r>
      <w:r>
        <w:rPr>
          <w:rFonts w:ascii="Times New Roman" w:eastAsia="Times New Roman" w:hAnsi="Times New Roman" w:cs="Times New Roman"/>
          <w:color w:val="000000"/>
          <w:spacing w:val="0"/>
          <w:w w:val="100"/>
          <w:position w:val="0"/>
          <w:shd w:val="clear" w:color="auto" w:fill="auto"/>
          <w:lang w:val="hr-HR" w:eastAsia="hr-HR" w:bidi="hr-HR"/>
        </w:rPr>
        <w:t>, 1928, 86-107).</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Značajno je u modernoj protestantskoj teolo</w:t>
        <w:softHyphen/>
        <w:t xml:space="preserve">giji učenje </w:t>
      </w:r>
      <w:r>
        <w:rPr>
          <w:rFonts w:ascii="Times New Roman" w:eastAsia="Times New Roman" w:hAnsi="Times New Roman" w:cs="Times New Roman"/>
          <w:color w:val="000000"/>
          <w:spacing w:val="0"/>
          <w:w w:val="100"/>
          <w:position w:val="0"/>
          <w:shd w:val="clear" w:color="auto" w:fill="auto"/>
          <w:lang w:val="en-US" w:eastAsia="en-US" w:bidi="en-US"/>
        </w:rPr>
        <w:t xml:space="preserve">Paula </w:t>
      </w:r>
      <w:r>
        <w:rPr>
          <w:rFonts w:ascii="Times New Roman" w:eastAsia="Times New Roman" w:hAnsi="Times New Roman" w:cs="Times New Roman"/>
          <w:color w:val="000000"/>
          <w:spacing w:val="0"/>
          <w:w w:val="100"/>
          <w:position w:val="0"/>
          <w:shd w:val="clear" w:color="auto" w:fill="auto"/>
          <w:lang w:val="hr-HR" w:eastAsia="hr-HR" w:bidi="hr-HR"/>
        </w:rPr>
        <w:t>Tilicha (1886-1965) o spa</w:t>
        <w:softHyphen/>
        <w:t xml:space="preserve">senju. Spasenjski cilj je za njega »ponovno sjedinjenje« u »novom bitku« čovjeka koji se u grijehu (—&gt; Grijeh) otuđio od Boga. To se zbiva </w:t>
      </w:r>
      <w:r>
        <w:rPr>
          <w:rFonts w:ascii="Times New Roman" w:eastAsia="Times New Roman" w:hAnsi="Times New Roman" w:cs="Times New Roman"/>
          <w:i/>
          <w:iCs/>
          <w:color w:val="000000"/>
          <w:spacing w:val="0"/>
          <w:w w:val="100"/>
          <w:position w:val="0"/>
          <w:shd w:val="clear" w:color="auto" w:fill="auto"/>
          <w:lang w:val="hr-HR" w:eastAsia="hr-HR" w:bidi="hr-HR"/>
        </w:rPr>
        <w:t>sudjelovanjem,</w:t>
      </w:r>
      <w:r>
        <w:rPr>
          <w:rFonts w:ascii="Times New Roman" w:eastAsia="Times New Roman" w:hAnsi="Times New Roman" w:cs="Times New Roman"/>
          <w:color w:val="000000"/>
          <w:spacing w:val="0"/>
          <w:w w:val="100"/>
          <w:position w:val="0"/>
          <w:shd w:val="clear" w:color="auto" w:fill="auto"/>
          <w:lang w:val="hr-HR" w:eastAsia="hr-HR" w:bidi="hr-HR"/>
        </w:rPr>
        <w:t xml:space="preserve"> tj. tradicionalno formuli</w:t>
        <w:softHyphen/>
        <w:t xml:space="preserve">rano, »ponovnim rođenjem«, </w:t>
      </w:r>
      <w:r>
        <w:rPr>
          <w:rFonts w:ascii="Times New Roman" w:eastAsia="Times New Roman" w:hAnsi="Times New Roman" w:cs="Times New Roman"/>
          <w:i/>
          <w:iCs/>
          <w:color w:val="000000"/>
          <w:spacing w:val="0"/>
          <w:w w:val="100"/>
          <w:position w:val="0"/>
          <w:shd w:val="clear" w:color="auto" w:fill="auto"/>
          <w:lang w:val="hr-HR" w:eastAsia="hr-HR" w:bidi="hr-HR"/>
        </w:rPr>
        <w:t>prihvaćanjem</w:t>
      </w:r>
      <w:r>
        <w:rPr>
          <w:rFonts w:ascii="Times New Roman" w:eastAsia="Times New Roman" w:hAnsi="Times New Roman" w:cs="Times New Roman"/>
          <w:color w:val="000000"/>
          <w:spacing w:val="0"/>
          <w:w w:val="100"/>
          <w:position w:val="0"/>
          <w:shd w:val="clear" w:color="auto" w:fill="auto"/>
          <w:lang w:val="hr-HR" w:eastAsia="hr-HR" w:bidi="hr-HR"/>
        </w:rPr>
        <w:t xml:space="preserve"> no</w:t>
        <w:softHyphen/>
        <w:t xml:space="preserve">voga bitka u »opravdanju« i </w:t>
      </w:r>
      <w:r>
        <w:rPr>
          <w:rFonts w:ascii="Times New Roman" w:eastAsia="Times New Roman" w:hAnsi="Times New Roman" w:cs="Times New Roman"/>
          <w:i/>
          <w:iCs/>
          <w:color w:val="000000"/>
          <w:spacing w:val="0"/>
          <w:w w:val="100"/>
          <w:position w:val="0"/>
          <w:shd w:val="clear" w:color="auto" w:fill="auto"/>
          <w:lang w:val="hr-HR" w:eastAsia="hr-HR" w:bidi="hr-HR"/>
        </w:rPr>
        <w:t>preobrazbom</w:t>
      </w:r>
      <w:r>
        <w:rPr>
          <w:rFonts w:ascii="Times New Roman" w:eastAsia="Times New Roman" w:hAnsi="Times New Roman" w:cs="Times New Roman"/>
          <w:color w:val="000000"/>
          <w:spacing w:val="0"/>
          <w:w w:val="100"/>
          <w:position w:val="0"/>
          <w:shd w:val="clear" w:color="auto" w:fill="auto"/>
          <w:lang w:val="hr-HR" w:eastAsia="hr-HR" w:bidi="hr-HR"/>
        </w:rPr>
        <w:t xml:space="preserve"> kroz novi bitak, »posvećenjem«. Naposljetku, o. u Tillichovu smislu je ponovno sjedinjenje ono</w:t>
        <w:softHyphen/>
        <w:t>ga što je rastavljeno. Tako ovo učenje o otkup</w:t>
        <w:softHyphen/>
        <w:t>ljenju cilja na Boga i na svladavanje rastavlje- nosti od njega u stanju Novoga bitka.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 novijoj diskusiji o otkupljenju kritiziralo se između ostaloga privatiziranje spasenja koje je pospješio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i Bultmannova egzistenci</w:t>
        <w:softHyphen/>
        <w:t xml:space="preserve">jalna teologija. Tomu se suprotstavlja misao kozmičkog otkupljenja (npr. kod Tillicha, </w:t>
      </w:r>
      <w:r>
        <w:rPr>
          <w:rFonts w:ascii="Times New Roman" w:eastAsia="Times New Roman" w:hAnsi="Times New Roman" w:cs="Times New Roman"/>
          <w:color w:val="000000"/>
          <w:spacing w:val="0"/>
          <w:w w:val="100"/>
          <w:position w:val="0"/>
          <w:shd w:val="clear" w:color="auto" w:fill="auto"/>
          <w:lang w:val="en-US" w:eastAsia="en-US" w:bidi="en-US"/>
        </w:rPr>
        <w:t xml:space="preserve">Teilharda de </w:t>
      </w:r>
      <w:r>
        <w:rPr>
          <w:rFonts w:ascii="Times New Roman" w:eastAsia="Times New Roman" w:hAnsi="Times New Roman" w:cs="Times New Roman"/>
          <w:color w:val="000000"/>
          <w:spacing w:val="0"/>
          <w:w w:val="100"/>
          <w:position w:val="0"/>
          <w:shd w:val="clear" w:color="auto" w:fill="auto"/>
          <w:lang w:val="hr-HR" w:eastAsia="hr-HR" w:bidi="hr-HR"/>
        </w:rPr>
        <w:t>Chardina, P. Schiitza i ostalih). »Svijet prirode« ne promatra se »samo kao pozornica ili scenarij za dramu osobnog ot</w:t>
        <w:softHyphen/>
        <w:t>kupljenja«, nego je uračunat u o. (J. Sittler). U aktualnoj teološkoj diskusiji o krizi okoliša S. M. Dacckc je između ostaloga ukazao na sve</w:t>
        <w:softHyphen/>
        <w:t>tost prirode »jer je Bog u Isusu ušao u nju da bi je otkupio«. O. u smislu ekološke teologije treba krenuti od kristološkoga, pncumatološ- kog, na stvoreni svijet usredotočenog pola</w:t>
        <w:softHyphen/>
        <w:t>zišta. Ako se o. shvaća kao oslobođenje/eman- cipacija, tada to uključuje jače društveno-politič- ko usmjerenje.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G. </w:t>
      </w:r>
      <w:r>
        <w:rPr>
          <w:color w:val="000000"/>
          <w:spacing w:val="0"/>
          <w:w w:val="100"/>
          <w:position w:val="0"/>
          <w:shd w:val="clear" w:color="auto" w:fill="auto"/>
        </w:rPr>
        <w:t xml:space="preserve">Mcnsching, </w:t>
      </w:r>
      <w:r>
        <w:rPr>
          <w:i/>
          <w:iCs/>
          <w:color w:val="000000"/>
          <w:spacing w:val="0"/>
          <w:w w:val="100"/>
          <w:position w:val="0"/>
          <w:shd w:val="clear" w:color="auto" w:fill="auto"/>
        </w:rPr>
        <w:t xml:space="preserve">Die idee </w:t>
      </w:r>
      <w:r>
        <w:rPr>
          <w:i/>
          <w:iCs/>
          <w:color w:val="000000"/>
          <w:spacing w:val="0"/>
          <w:w w:val="100"/>
          <w:position w:val="0"/>
          <w:shd w:val="clear" w:color="auto" w:fill="auto"/>
          <w:lang w:val="hr-HR" w:eastAsia="hr-HR" w:bidi="hr-HR"/>
        </w:rPr>
        <w:t>der Šunde,</w:t>
      </w:r>
      <w:r>
        <w:rPr>
          <w:color w:val="000000"/>
          <w:spacing w:val="0"/>
          <w:w w:val="100"/>
          <w:position w:val="0"/>
          <w:shd w:val="clear" w:color="auto" w:fill="auto"/>
          <w:lang w:val="hr-HR" w:eastAsia="hr-HR" w:bidi="hr-HR"/>
        </w:rPr>
        <w:t xml:space="preserve"> 1931. isti, </w:t>
      </w:r>
      <w:r>
        <w:rPr>
          <w:i/>
          <w:iCs/>
          <w:color w:val="000000"/>
          <w:spacing w:val="0"/>
          <w:w w:val="100"/>
          <w:position w:val="0"/>
          <w:shd w:val="clear" w:color="auto" w:fill="auto"/>
          <w:lang w:val="hr-HR" w:eastAsia="hr-HR" w:bidi="hr-HR"/>
        </w:rPr>
        <w:t xml:space="preserve">Zar Meta- </w:t>
      </w:r>
      <w:r>
        <w:rPr>
          <w:i/>
          <w:iCs/>
          <w:color w:val="000000"/>
          <w:spacing w:val="0"/>
          <w:w w:val="100"/>
          <w:position w:val="0"/>
          <w:shd w:val="clear" w:color="auto" w:fill="auto"/>
        </w:rPr>
        <w:t xml:space="preserve">physik </w:t>
      </w:r>
      <w:r>
        <w:rPr>
          <w:i/>
          <w:iCs/>
          <w:color w:val="000000"/>
          <w:spacing w:val="0"/>
          <w:w w:val="100"/>
          <w:position w:val="0"/>
          <w:shd w:val="clear" w:color="auto" w:fill="auto"/>
          <w:lang w:val="hr-HR" w:eastAsia="hr-HR" w:bidi="hr-HR"/>
        </w:rPr>
        <w:t>der Ich,</w:t>
      </w:r>
      <w:r>
        <w:rPr>
          <w:color w:val="000000"/>
          <w:spacing w:val="0"/>
          <w:w w:val="100"/>
          <w:position w:val="0"/>
          <w:shd w:val="clear" w:color="auto" w:fill="auto"/>
          <w:lang w:val="hr-HR" w:eastAsia="hr-HR" w:bidi="hr-HR"/>
        </w:rPr>
        <w:t xml:space="preserve"> 1933; H. Kcsslcr, </w:t>
      </w:r>
      <w:r>
        <w:rPr>
          <w:i/>
          <w:iCs/>
          <w:color w:val="000000"/>
          <w:spacing w:val="0"/>
          <w:w w:val="100"/>
          <w:position w:val="0"/>
          <w:shd w:val="clear" w:color="auto" w:fill="auto"/>
          <w:lang w:val="hr-HR" w:eastAsia="hr-HR" w:bidi="hr-HR"/>
        </w:rPr>
        <w:t xml:space="preserve">Erldtltng als Befreiung, </w:t>
      </w:r>
      <w:r>
        <w:rPr>
          <w:color w:val="000000"/>
          <w:spacing w:val="0"/>
          <w:w w:val="100"/>
          <w:position w:val="0"/>
          <w:shd w:val="clear" w:color="auto" w:fill="auto"/>
          <w:lang w:val="hr-HR" w:eastAsia="hr-HR" w:bidi="hr-HR"/>
        </w:rPr>
        <w:t xml:space="preserve">1972; G. </w:t>
      </w:r>
      <w:r>
        <w:rPr>
          <w:color w:val="000000"/>
          <w:spacing w:val="0"/>
          <w:w w:val="100"/>
          <w:position w:val="0"/>
          <w:shd w:val="clear" w:color="auto" w:fill="auto"/>
        </w:rPr>
        <w:t xml:space="preserve">Bitter. </w:t>
      </w:r>
      <w:r>
        <w:rPr>
          <w:i/>
          <w:iCs/>
          <w:color w:val="000000"/>
          <w:spacing w:val="0"/>
          <w:w w:val="100"/>
          <w:position w:val="0"/>
          <w:shd w:val="clear" w:color="auto" w:fill="auto"/>
          <w:lang w:val="hr-HR" w:eastAsia="hr-HR" w:bidi="hr-HR"/>
        </w:rPr>
        <w:t>Erldsung,</w:t>
      </w:r>
      <w:r>
        <w:rPr>
          <w:color w:val="000000"/>
          <w:spacing w:val="0"/>
          <w:w w:val="100"/>
          <w:position w:val="0"/>
          <w:shd w:val="clear" w:color="auto" w:fill="auto"/>
          <w:lang w:val="hr-HR" w:eastAsia="hr-HR" w:bidi="hr-HR"/>
        </w:rPr>
        <w:t xml:space="preserve"> 1976, F.. J. Sharpc/John R.llin- nclts (Hrsg.), </w:t>
      </w:r>
      <w:r>
        <w:rPr>
          <w:i/>
          <w:iCs/>
          <w:color w:val="000000"/>
          <w:spacing w:val="0"/>
          <w:w w:val="100"/>
          <w:position w:val="0"/>
          <w:shd w:val="clear" w:color="auto" w:fill="auto"/>
        </w:rPr>
        <w:t xml:space="preserve">Man </w:t>
      </w:r>
      <w:r>
        <w:rPr>
          <w:i/>
          <w:iCs/>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 xml:space="preserve">nd </w:t>
      </w:r>
      <w:r>
        <w:rPr>
          <w:i/>
          <w:iCs/>
          <w:color w:val="000000"/>
          <w:spacing w:val="0"/>
          <w:w w:val="100"/>
          <w:position w:val="0"/>
          <w:shd w:val="clear" w:color="auto" w:fill="auto"/>
          <w:lang w:val="hr-HR" w:eastAsia="hr-HR" w:bidi="hr-HR"/>
        </w:rPr>
        <w:t xml:space="preserve">hir </w:t>
      </w:r>
      <w:r>
        <w:rPr>
          <w:i/>
          <w:iCs/>
          <w:color w:val="000000"/>
          <w:spacing w:val="0"/>
          <w:w w:val="100"/>
          <w:position w:val="0"/>
          <w:shd w:val="clear" w:color="auto" w:fill="auto"/>
        </w:rPr>
        <w:t>Salvation,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1973; H. Schar, </w:t>
      </w:r>
      <w:r>
        <w:rPr>
          <w:i/>
          <w:iCs/>
          <w:color w:val="000000"/>
          <w:spacing w:val="0"/>
          <w:w w:val="100"/>
          <w:position w:val="0"/>
          <w:shd w:val="clear" w:color="auto" w:fill="auto"/>
          <w:lang w:val="hr-HR" w:eastAsia="hr-HR" w:bidi="hr-HR"/>
        </w:rPr>
        <w:t xml:space="preserve">Erids- ungsvorstellungen </w:t>
      </w:r>
      <w:r>
        <w:rPr>
          <w:i/>
          <w:iCs/>
          <w:color w:val="000000"/>
          <w:spacing w:val="0"/>
          <w:w w:val="100"/>
          <w:position w:val="0"/>
          <w:shd w:val="clear" w:color="auto" w:fill="auto"/>
        </w:rPr>
        <w:t xml:space="preserve">and ihre psyrhologische </w:t>
      </w:r>
      <w:r>
        <w:rPr>
          <w:i/>
          <w:iCs/>
          <w:color w:val="000000"/>
          <w:spacing w:val="0"/>
          <w:w w:val="100"/>
          <w:position w:val="0"/>
          <w:shd w:val="clear" w:color="auto" w:fill="auto"/>
          <w:lang w:val="hr-HR" w:eastAsia="hr-HR" w:bidi="hr-HR"/>
        </w:rPr>
        <w:t>Aspekte,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Zurich </w:t>
      </w:r>
      <w:r>
        <w:rPr>
          <w:color w:val="000000"/>
          <w:spacing w:val="0"/>
          <w:w w:val="100"/>
          <w:position w:val="0"/>
          <w:shd w:val="clear" w:color="auto" w:fill="auto"/>
          <w:lang w:val="hr-HR" w:eastAsia="hr-HR" w:bidi="hr-HR"/>
        </w:rPr>
        <w:t xml:space="preserve">1950; S. M. Dacckc, </w:t>
      </w:r>
      <w:r>
        <w:rPr>
          <w:color w:val="000000"/>
          <w:spacing w:val="0"/>
          <w:w w:val="100"/>
          <w:position w:val="0"/>
          <w:shd w:val="clear" w:color="auto" w:fill="auto"/>
        </w:rPr>
        <w:t xml:space="preserve">Umwclt </w:t>
      </w:r>
      <w:r>
        <w:rPr>
          <w:color w:val="000000"/>
          <w:spacing w:val="0"/>
          <w:w w:val="100"/>
          <w:position w:val="0"/>
          <w:shd w:val="clear" w:color="auto" w:fill="auto"/>
          <w:lang w:val="hr-HR" w:eastAsia="hr-HR" w:bidi="hr-HR"/>
        </w:rPr>
        <w:t xml:space="preserve">im Cluistcntum, u. </w:t>
      </w:r>
      <w:r>
        <w:rPr>
          <w:i/>
          <w:iCs/>
          <w:color w:val="000000"/>
          <w:spacing w:val="0"/>
          <w:w w:val="100"/>
          <w:position w:val="0"/>
          <w:shd w:val="clear" w:color="auto" w:fill="auto"/>
          <w:lang w:val="hr-HR" w:eastAsia="hr-HR" w:bidi="hr-HR"/>
        </w:rPr>
        <w:t xml:space="preserve">Etnik der Retigidnen - </w:t>
      </w:r>
      <w:r>
        <w:rPr>
          <w:i/>
          <w:iCs/>
          <w:color w:val="000000"/>
          <w:spacing w:val="0"/>
          <w:w w:val="100"/>
          <w:position w:val="0"/>
          <w:shd w:val="clear" w:color="auto" w:fill="auto"/>
        </w:rPr>
        <w:t xml:space="preserve">lyhre </w:t>
      </w:r>
      <w:r>
        <w:rPr>
          <w:i/>
          <w:iCs/>
          <w:color w:val="000000"/>
          <w:spacing w:val="0"/>
          <w:w w:val="100"/>
          <w:position w:val="0"/>
          <w:shd w:val="clear" w:color="auto" w:fill="auto"/>
          <w:lang w:val="hr-HR" w:eastAsia="hr-HR" w:bidi="hr-HR"/>
        </w:rPr>
        <w:t>utul Leben,</w:t>
      </w:r>
      <w:r>
        <w:rPr>
          <w:color w:val="000000"/>
          <w:spacing w:val="0"/>
          <w:w w:val="100"/>
          <w:position w:val="0"/>
          <w:shd w:val="clear" w:color="auto" w:fill="auto"/>
          <w:lang w:val="hr-HR" w:eastAsia="hr-HR" w:bidi="hr-HR"/>
        </w:rPr>
        <w:t xml:space="preserve"> Bd.5: </w:t>
      </w:r>
      <w:r>
        <w:rPr>
          <w:i/>
          <w:iCs/>
          <w:color w:val="000000"/>
          <w:spacing w:val="0"/>
          <w:w w:val="100"/>
          <w:position w:val="0"/>
          <w:shd w:val="clear" w:color="auto" w:fill="auto"/>
        </w:rPr>
        <w:t>Umwell.</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19S6. 26 i d.</w:t>
      </w:r>
    </w:p>
    <w:p>
      <w:pPr>
        <w:pStyle w:val="Style56"/>
        <w:keepNext w:val="0"/>
        <w:keepLines w:val="0"/>
        <w:widowControl w:val="0"/>
        <w:shd w:val="clear" w:color="auto" w:fill="auto"/>
        <w:bidi w:val="0"/>
        <w:spacing w:before="0" w:after="0" w:line="240" w:lineRule="auto"/>
        <w:ind w:left="0" w:right="0" w:firstLine="0"/>
        <w:jc w:val="right"/>
        <w:rPr>
          <w:sz w:val="15"/>
          <w:szCs w:val="15"/>
        </w:rPr>
        <w:sectPr>
          <w:headerReference w:type="default" r:id="rId1041"/>
          <w:footerReference w:type="default" r:id="rId1042"/>
          <w:headerReference w:type="even" r:id="rId1043"/>
          <w:footerReference w:type="even" r:id="rId1044"/>
          <w:footnotePr>
            <w:pos w:val="pageBottom"/>
            <w:numFmt w:val="decimal"/>
            <w:numRestart w:val="continuous"/>
            <w15:footnoteColumns w:val="1"/>
          </w:footnotePr>
          <w:pgSz w:w="6816" w:h="11006"/>
          <w:pgMar w:top="996" w:left="186" w:right="189" w:bottom="516" w:header="0" w:footer="88" w:gutter="0"/>
          <w:pgNumType w:start="345"/>
          <w:cols w:num="2" w:space="191"/>
          <w:noEndnote/>
          <w:rtlGutter w:val="0"/>
          <w:docGrid w:linePitch="360"/>
        </w:sectPr>
      </w:pPr>
      <w:r>
        <w:rPr>
          <w:color w:val="000000"/>
          <w:spacing w:val="0"/>
          <w:w w:val="100"/>
          <w:position w:val="0"/>
          <w:sz w:val="12"/>
          <w:szCs w:val="12"/>
          <w:shd w:val="clear" w:color="auto" w:fill="auto"/>
          <w:lang w:val="hr-HR" w:eastAsia="hr-HR" w:bidi="hr-HR"/>
        </w:rPr>
        <w:t xml:space="preserve">U </w:t>
      </w:r>
      <w:r>
        <w:rPr>
          <w:color w:val="000000"/>
          <w:spacing w:val="0"/>
          <w:w w:val="100"/>
          <w:position w:val="0"/>
          <w:sz w:val="12"/>
          <w:szCs w:val="12"/>
          <w:shd w:val="clear" w:color="auto" w:fill="auto"/>
        </w:rPr>
        <w:t xml:space="preserve">TWORUSC1 </w:t>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IKa</w:t>
      </w:r>
    </w:p>
    <w:p>
      <w:pPr>
        <w:pStyle w:val="Style63"/>
        <w:keepNext/>
        <w:keepLines/>
        <w:widowControl w:val="0"/>
        <w:numPr>
          <w:ilvl w:val="0"/>
          <w:numId w:val="399"/>
        </w:numPr>
        <w:shd w:val="clear" w:color="auto" w:fill="auto"/>
        <w:tabs>
          <w:tab w:pos="265" w:val="left"/>
        </w:tabs>
        <w:bidi w:val="0"/>
        <w:spacing w:before="0" w:line="228" w:lineRule="auto"/>
        <w:ind w:left="0" w:right="0" w:firstLine="0"/>
        <w:jc w:val="both"/>
      </w:pPr>
      <w:bookmarkStart w:id="245" w:name="bookmark245"/>
      <w:r>
        <w:rPr>
          <w:rFonts w:ascii="Times New Roman" w:eastAsia="Times New Roman" w:hAnsi="Times New Roman" w:cs="Times New Roman"/>
          <w:color w:val="000000"/>
          <w:spacing w:val="0"/>
          <w:w w:val="100"/>
          <w:position w:val="0"/>
          <w:shd w:val="clear" w:color="auto" w:fill="auto"/>
          <w:lang w:val="hr-HR" w:eastAsia="hr-HR" w:bidi="hr-HR"/>
        </w:rPr>
        <w:t>islamski</w:t>
      </w:r>
      <w:bookmarkEnd w:id="245"/>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Biblijska pripovijest o istočnom grijehu i o progonstvu iz raja i dalje, doduše, živi u isla</w:t>
        <w:softHyphen/>
        <w:t>mu, no on ipak odbacuje nauk o isločnome grijehu. Čovjek je sposoban bez luđe pomoći postići blaženstvo. Jer Bog samomu sebi pro</w:t>
        <w:softHyphen/>
        <w:t>pisuje milost i svaki je čovjek odgovoran za sa</w:t>
        <w:softHyphen/>
        <w:t>moga sebe. Blaženstvo omogućuju jedino do</w:t>
        <w:softHyphen/>
        <w:t>bra djela koja čovjek čini za spasenje svoje duše. Što je više dobrih djela, to je oprav- danija nada u milost. Grijeh ima i jednu po</w:t>
        <w:softHyphen/>
        <w:t>zitivnu vrijednost. Muhamed je navodno ka</w:t>
        <w:softHyphen/>
        <w:t>zao: »Ako ne biste bili grešni, onda bi vas Bog uništio i doveo nove ljude koji čine grijeh ka</w:t>
        <w:softHyphen/>
        <w:t>ko bi im oprostio«. Ibrahimu ibn Adhamu, umro između 776. i 783., prilikom molitve go</w:t>
        <w:softHyphen/>
        <w:t>vorio je nepoznati glas: »Bezgrešnost, za koju Me moliš, htjeli su svi ljudi dobiti od Mene. Ali ako udovoljim tebi i njima, onda ćete biti lišeni moje milosti«. Čovjek biva pročišćen svojom poslušnošću prema Bogu, kajanjem i pokorom, molitvom i postom, žrtvom i do</w:t>
        <w:softHyphen/>
        <w:t>bročinstvom.</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Mistici uče drugom putu otkupljenja: putu du</w:t>
        <w:softHyphen/>
        <w:t xml:space="preserve">hovnoga sjedinjenja s Bogom ili putu ljubavi prema Gospodinu. Onaj tko je prošao kroz žarki plam ljubavi, taj je siguran od drugoga izgaranja, naime onoga u paklu. </w:t>
      </w:r>
      <w:r>
        <w:rPr>
          <w:rFonts w:ascii="Times New Roman" w:eastAsia="Times New Roman" w:hAnsi="Times New Roman" w:cs="Times New Roman"/>
          <w:color w:val="000000"/>
          <w:spacing w:val="0"/>
          <w:w w:val="100"/>
          <w:position w:val="0"/>
          <w:shd w:val="clear" w:color="auto" w:fill="auto"/>
          <w:lang w:val="en-US" w:eastAsia="en-US" w:bidi="en-US"/>
        </w:rPr>
        <w:t xml:space="preserve">Rabija </w:t>
      </w:r>
      <w:r>
        <w:rPr>
          <w:rFonts w:ascii="Times New Roman" w:eastAsia="Times New Roman" w:hAnsi="Times New Roman" w:cs="Times New Roman"/>
          <w:color w:val="000000"/>
          <w:spacing w:val="0"/>
          <w:w w:val="100"/>
          <w:position w:val="0"/>
          <w:shd w:val="clear" w:color="auto" w:fill="auto"/>
          <w:lang w:val="hr-HR" w:eastAsia="hr-HR" w:bidi="hr-HR"/>
        </w:rPr>
        <w:t>(u. 801) je pitala Boga: »Hoćeš li paklenom va</w:t>
        <w:softHyphen/>
        <w:t>trom spaliti srce koje Te ljubi?«. Božanski glas odgovara: »Mi nismo takvi da bismo to učinili. Nikako ne misli loše o nama!«. Pokajnik će sudnjega dana potrti svoja zla djela dobrima. Obični se musliman zahvaljujući svojoj isklju</w:t>
        <w:softHyphen/>
        <w:t>čivoj pripadnosti islamu osjeća sasvim sigur</w:t>
        <w:softHyphen/>
        <w:t>nim od Božje kazne. Produhovljeni pobožnik, nasuprot tomu, uvijek se koleba između stra</w:t>
        <w:softHyphen/>
        <w:t>ha za sebe i nade za druge.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Gotthard </w:t>
      </w:r>
      <w:r>
        <w:rPr>
          <w:color w:val="000000"/>
          <w:spacing w:val="0"/>
          <w:w w:val="100"/>
          <w:position w:val="0"/>
          <w:shd w:val="clear" w:color="auto" w:fill="auto"/>
          <w:lang w:val="hr-HR" w:eastAsia="hr-HR" w:bidi="hr-HR"/>
        </w:rPr>
        <w:t xml:space="preserve">Jacscbkc, </w:t>
      </w:r>
      <w:r>
        <w:rPr>
          <w:color w:val="000000"/>
          <w:spacing w:val="0"/>
          <w:w w:val="100"/>
          <w:position w:val="0"/>
          <w:shd w:val="clear" w:color="auto" w:fill="auto"/>
        </w:rPr>
        <w:t xml:space="preserve">Sucht auch </w:t>
      </w:r>
      <w:r>
        <w:rPr>
          <w:color w:val="000000"/>
          <w:spacing w:val="0"/>
          <w:w w:val="100"/>
          <w:position w:val="0"/>
          <w:shd w:val="clear" w:color="auto" w:fill="auto"/>
          <w:lang w:val="hr-HR" w:eastAsia="hr-HR" w:bidi="hr-HR"/>
        </w:rPr>
        <w:t xml:space="preserve">cin </w:t>
      </w:r>
      <w:r>
        <w:rPr>
          <w:color w:val="000000"/>
          <w:spacing w:val="0"/>
          <w:w w:val="100"/>
          <w:position w:val="0"/>
          <w:shd w:val="clear" w:color="auto" w:fill="auto"/>
        </w:rPr>
        <w:t xml:space="preserve">Muslim. </w:t>
      </w:r>
      <w:r>
        <w:rPr>
          <w:color w:val="000000"/>
          <w:spacing w:val="0"/>
          <w:w w:val="100"/>
          <w:position w:val="0"/>
          <w:shd w:val="clear" w:color="auto" w:fill="auto"/>
          <w:lang w:val="hr-HR" w:eastAsia="hr-HR" w:bidi="hr-HR"/>
        </w:rPr>
        <w:t xml:space="preserve">Eridsung und findci cr sic?, u: </w:t>
      </w:r>
      <w:r>
        <w:rPr>
          <w:i/>
          <w:iCs/>
          <w:color w:val="000000"/>
          <w:spacing w:val="0"/>
          <w:w w:val="100"/>
          <w:position w:val="0"/>
          <w:shd w:val="clear" w:color="auto" w:fill="auto"/>
          <w:lang w:val="hr-HR" w:eastAsia="hr-HR" w:bidi="hr-HR"/>
        </w:rPr>
        <w:t xml:space="preserve">Zdischrifl </w:t>
      </w:r>
      <w:r>
        <w:rPr>
          <w:i/>
          <w:iCs/>
          <w:color w:val="000000"/>
          <w:spacing w:val="0"/>
          <w:w w:val="100"/>
          <w:position w:val="0"/>
          <w:shd w:val="clear" w:color="auto" w:fill="auto"/>
        </w:rPr>
        <w:t xml:space="preserve">fur Muiionswissenschaft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Reliffvnswissenschaft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(1957), 294—301; </w:t>
      </w:r>
      <w:r>
        <w:rPr>
          <w:color w:val="000000"/>
          <w:spacing w:val="0"/>
          <w:w w:val="100"/>
          <w:position w:val="0"/>
          <w:shd w:val="clear" w:color="auto" w:fill="auto"/>
        </w:rPr>
        <w:t xml:space="preserve">Haos Heinrich Schaeder (i dr), Oricntalischc Stimmcn zum Erldsungs- gedanken, u: </w:t>
      </w:r>
      <w:r>
        <w:rPr>
          <w:i/>
          <w:iCs/>
          <w:color w:val="000000"/>
          <w:spacing w:val="0"/>
          <w:w w:val="100"/>
          <w:position w:val="0"/>
          <w:shd w:val="clear" w:color="auto" w:fill="auto"/>
        </w:rPr>
        <w:t>Morgenland</w:t>
      </w:r>
      <w:r>
        <w:rPr>
          <w:color w:val="000000"/>
          <w:spacing w:val="0"/>
          <w:w w:val="100"/>
          <w:position w:val="0"/>
          <w:shd w:val="clear" w:color="auto" w:fill="auto"/>
        </w:rPr>
        <w:t xml:space="preserve"> (1936), 28 (55-79): Die Erlds- ungssucht in dcr islamischcn Mystik des Millelalters.</w:t>
      </w:r>
    </w:p>
    <w:p>
      <w:pPr>
        <w:pStyle w:val="Style56"/>
        <w:keepNext w:val="0"/>
        <w:keepLines w:val="0"/>
        <w:widowControl w:val="0"/>
        <w:shd w:val="clear" w:color="auto" w:fill="auto"/>
        <w:bidi w:val="0"/>
        <w:spacing w:before="0" w:after="0" w:line="240" w:lineRule="auto"/>
        <w:ind w:left="0" w:right="0" w:firstLine="0"/>
        <w:jc w:val="right"/>
        <w:sectPr>
          <w:headerReference w:type="default" r:id="rId1045"/>
          <w:footerReference w:type="default" r:id="rId1046"/>
          <w:headerReference w:type="even" r:id="rId1047"/>
          <w:footerReference w:type="even" r:id="rId1048"/>
          <w:footnotePr>
            <w:pos w:val="pageBottom"/>
            <w:numFmt w:val="decimal"/>
            <w:numRestart w:val="continuous"/>
            <w15:footnoteColumns w:val="1"/>
          </w:footnotePr>
          <w:pgSz w:w="6816" w:h="11006"/>
          <w:pgMar w:top="996" w:left="186" w:right="189" w:bottom="516" w:header="0" w:footer="3" w:gutter="0"/>
          <w:pgNumType w:start="342"/>
          <w:cols w:num="2" w:space="191"/>
          <w:noEndnote/>
          <w:rtlGutter w:val="0"/>
          <w:docGrid w:linePitch="360"/>
        </w:sectPr>
      </w:pPr>
      <w:r>
        <w:rPr>
          <w:color w:val="000000"/>
          <w:spacing w:val="0"/>
          <w:w w:val="100"/>
          <w:position w:val="0"/>
          <w:shd w:val="clear" w:color="auto" w:fill="auto"/>
        </w:rPr>
        <w:t xml:space="preserve">S. </w:t>
      </w:r>
      <w:r>
        <w:rPr>
          <w:color w:val="000000"/>
          <w:spacing w:val="0"/>
          <w:w w:val="100"/>
          <w:position w:val="0"/>
          <w:shd w:val="clear" w:color="auto" w:fill="auto"/>
          <w:lang w:val="hr-HR" w:eastAsia="hr-HR" w:bidi="hr-HR"/>
        </w:rPr>
        <w:t>bALiĆ</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19" w:after="119" w:line="240" w:lineRule="exact"/>
        <w:rPr>
          <w:sz w:val="19"/>
          <w:szCs w:val="19"/>
        </w:rPr>
      </w:pPr>
    </w:p>
    <w:p>
      <w:pPr>
        <w:widowControl w:val="0"/>
        <w:spacing w:line="1" w:lineRule="exact"/>
        <w:sectPr>
          <w:headerReference w:type="default" r:id="rId1049"/>
          <w:footerReference w:type="default" r:id="rId1050"/>
          <w:headerReference w:type="even" r:id="rId1051"/>
          <w:footerReference w:type="even" r:id="rId1052"/>
          <w:headerReference w:type="first" r:id="rId1053"/>
          <w:footerReference w:type="first" r:id="rId1054"/>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p>
    <w:p>
      <w:pPr>
        <w:pStyle w:val="Style33"/>
        <w:keepNext w:val="0"/>
        <w:keepLines w:val="0"/>
        <w:widowControl w:val="0"/>
        <w:shd w:val="clear" w:color="auto" w:fill="auto"/>
        <w:bidi w:val="0"/>
        <w:spacing w:before="0" w:after="16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PAKAO</w:t>
      </w:r>
    </w:p>
    <w:p>
      <w:pPr>
        <w:pStyle w:val="Style63"/>
        <w:keepNext/>
        <w:keepLines/>
        <w:widowControl w:val="0"/>
        <w:numPr>
          <w:ilvl w:val="0"/>
          <w:numId w:val="401"/>
        </w:numPr>
        <w:shd w:val="clear" w:color="auto" w:fill="auto"/>
        <w:tabs>
          <w:tab w:pos="250" w:val="left"/>
        </w:tabs>
        <w:bidi w:val="0"/>
        <w:spacing w:before="0" w:after="80" w:line="223" w:lineRule="auto"/>
        <w:ind w:left="0" w:right="0" w:firstLine="0"/>
        <w:jc w:val="both"/>
      </w:pPr>
      <w:bookmarkStart w:id="246" w:name="bookmark246"/>
      <w:r>
        <w:rPr>
          <w:rFonts w:ascii="Times New Roman" w:eastAsia="Times New Roman" w:hAnsi="Times New Roman" w:cs="Times New Roman"/>
          <w:color w:val="000000"/>
          <w:spacing w:val="0"/>
          <w:w w:val="100"/>
          <w:position w:val="0"/>
          <w:shd w:val="clear" w:color="auto" w:fill="auto"/>
          <w:lang w:val="hr-HR" w:eastAsia="hr-HR" w:bidi="hr-HR"/>
        </w:rPr>
        <w:t>židovski</w:t>
      </w:r>
      <w:bookmarkEnd w:id="246"/>
    </w:p>
    <w:p>
      <w:pPr>
        <w:pStyle w:val="Style20"/>
        <w:keepNext w:val="0"/>
        <w:keepLines w:val="0"/>
        <w:widowControl w:val="0"/>
        <w:numPr>
          <w:ilvl w:val="0"/>
          <w:numId w:val="40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Šeol ili carstvo mrtvih:</w:t>
      </w:r>
      <w:r>
        <w:rPr>
          <w:rFonts w:ascii="Times New Roman" w:eastAsia="Times New Roman" w:hAnsi="Times New Roman" w:cs="Times New Roman"/>
          <w:color w:val="000000"/>
          <w:spacing w:val="0"/>
          <w:w w:val="100"/>
          <w:position w:val="0"/>
          <w:shd w:val="clear" w:color="auto" w:fill="auto"/>
          <w:lang w:val="hr-HR" w:eastAsia="hr-HR" w:bidi="hr-HR"/>
        </w:rPr>
        <w:t xml:space="preserve"> Šeol je u hebrejskoj Bibliji naziv za mjesto svih mrtvih (Post 37,35; Iz 38,10). Predodžba ga je tražila u »dubini zemlje« (Ps 63,10; 95,4), u »vodi ispod zem</w:t>
        <w:softHyphen/>
        <w:t xml:space="preserve">lje«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26,5 i d.; 38,16 i d.), kao mjesto pot</w:t>
        <w:softHyphen/>
        <w:t>pune tame bez povezanosti sa zemljom živih i bez povratka na nju (Izr 2,18 i d.), kao »grob« i »propast« (Ps 88,12); no, prije svega izjedna</w:t>
        <w:softHyphen/>
        <w:t xml:space="preserve">čila ga je s »jamom«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26,6) i s truleži (Ps 16,10). Mrtvi koji borave </w:t>
      </w:r>
      <w:r>
        <w:rPr>
          <w:rFonts w:ascii="Times New Roman" w:eastAsia="Times New Roman" w:hAnsi="Times New Roman" w:cs="Times New Roman"/>
          <w:i/>
          <w:iCs/>
          <w:color w:val="000000"/>
          <w:spacing w:val="0"/>
          <w:w w:val="100"/>
          <w:position w:val="0"/>
          <w:shd w:val="clear" w:color="auto" w:fill="auto"/>
          <w:lang w:val="hr-HR" w:eastAsia="hr-HR" w:bidi="hr-HR"/>
        </w:rPr>
        <w:t>ušeolu</w:t>
      </w:r>
      <w:r>
        <w:rPr>
          <w:rFonts w:ascii="Times New Roman" w:eastAsia="Times New Roman" w:hAnsi="Times New Roman" w:cs="Times New Roman"/>
          <w:color w:val="000000"/>
          <w:spacing w:val="0"/>
          <w:w w:val="100"/>
          <w:position w:val="0"/>
          <w:shd w:val="clear" w:color="auto" w:fill="auto"/>
          <w:lang w:val="hr-HR" w:eastAsia="hr-HR" w:bidi="hr-HR"/>
        </w:rPr>
        <w:t xml:space="preserve"> više ne mogu hvaliti Boga (Ps 88,11; 115,17; Iz 38,18 i d.). Takve su misli živjele još u II. stoljeću pos. Kr. (Sir 14,16; 51,6). Apokrifsko-pscudocpigrafska literatura ipak je bila izložena različitim pro</w:t>
        <w:softHyphen/>
        <w:t xml:space="preserve">mjenama kada se u to doba u židovstvu razvio pogled na individualnu odmazdu. Sada se sa </w:t>
      </w:r>
      <w:r>
        <w:rPr>
          <w:rFonts w:ascii="Times New Roman" w:eastAsia="Times New Roman" w:hAnsi="Times New Roman" w:cs="Times New Roman"/>
          <w:i/>
          <w:iCs/>
          <w:color w:val="000000"/>
          <w:spacing w:val="0"/>
          <w:w w:val="100"/>
          <w:position w:val="0"/>
          <w:shd w:val="clear" w:color="auto" w:fill="auto"/>
          <w:lang w:val="hr-HR" w:eastAsia="hr-HR" w:bidi="hr-HR"/>
        </w:rPr>
        <w:t>šeolom</w:t>
      </w:r>
      <w:r>
        <w:rPr>
          <w:rFonts w:ascii="Times New Roman" w:eastAsia="Times New Roman" w:hAnsi="Times New Roman" w:cs="Times New Roman"/>
          <w:color w:val="000000"/>
          <w:spacing w:val="0"/>
          <w:w w:val="100"/>
          <w:position w:val="0"/>
          <w:shd w:val="clear" w:color="auto" w:fill="auto"/>
          <w:lang w:val="hr-HR" w:eastAsia="hr-HR" w:bidi="hr-HR"/>
        </w:rPr>
        <w:t xml:space="preserve"> povezuje pomisao na mjesto kazne. U nekim se djelima razlikuje nekoliko razina u </w:t>
      </w:r>
      <w:r>
        <w:rPr>
          <w:rFonts w:ascii="Times New Roman" w:eastAsia="Times New Roman" w:hAnsi="Times New Roman" w:cs="Times New Roman"/>
          <w:i/>
          <w:iCs/>
          <w:color w:val="000000"/>
          <w:spacing w:val="0"/>
          <w:w w:val="100"/>
          <w:position w:val="0"/>
          <w:shd w:val="clear" w:color="auto" w:fill="auto"/>
          <w:lang w:val="hr-HR" w:eastAsia="hr-HR" w:bidi="hr-HR"/>
        </w:rPr>
        <w:t>šeolu</w:t>
      </w:r>
      <w:r>
        <w:rPr>
          <w:rFonts w:ascii="Times New Roman" w:eastAsia="Times New Roman" w:hAnsi="Times New Roman" w:cs="Times New Roman"/>
          <w:color w:val="000000"/>
          <w:spacing w:val="0"/>
          <w:w w:val="100"/>
          <w:position w:val="0"/>
          <w:shd w:val="clear" w:color="auto" w:fill="auto"/>
          <w:lang w:val="hr-HR" w:eastAsia="hr-HR" w:bidi="hr-HR"/>
        </w:rPr>
        <w:t xml:space="preserve"> (IV Ezr 5/7/,36 i d.): na donjoj razini muče se bezbožnici još prije uskrsnuća mrtvih, a na najvišoj pravednici uživaju u blaženstvu.</w:t>
      </w:r>
    </w:p>
    <w:p>
      <w:pPr>
        <w:pStyle w:val="Style20"/>
        <w:keepNext w:val="0"/>
        <w:keepLines w:val="0"/>
        <w:widowControl w:val="0"/>
        <w:numPr>
          <w:ilvl w:val="0"/>
          <w:numId w:val="403"/>
        </w:numPr>
        <w:shd w:val="clear" w:color="auto" w:fill="auto"/>
        <w:tabs>
          <w:tab w:pos="274"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Gchena ili mjesto suda:</w:t>
      </w:r>
      <w:r>
        <w:rPr>
          <w:rFonts w:ascii="Times New Roman" w:eastAsia="Times New Roman" w:hAnsi="Times New Roman" w:cs="Times New Roman"/>
          <w:color w:val="000000"/>
          <w:spacing w:val="0"/>
          <w:w w:val="100"/>
          <w:position w:val="0"/>
          <w:shd w:val="clear" w:color="auto" w:fill="auto"/>
          <w:lang w:val="hr-HR" w:eastAsia="hr-HR" w:bidi="hr-HR"/>
        </w:rPr>
        <w:t xml:space="preserve"> Drugi autori »šeol« zamjenjuju »gehenom«. To je oblik grčkog naziva za Hinomsku dolinu koja se proteže do jugoistočnog dijela Jeruzalema. U doba kra</w:t>
        <w:softHyphen/>
        <w:t>ljeva na lom je mjestu podignut žrtvenik na kojem su ljudi morali provoditi djecu kroz oganj žrtvujući ih bogu Molohu (Moleku) (2 Kr 23,10; Jr 32,35). Kao kaznu Božju za taj nezakoniti obred trebalo je Hinomsku dolinu pretvoriti u polje leševa i preimenovati je u »Dolinu klanja« (Jr 7,31 i d.; 19,6 i d ). U doba nakon babilonskoga sužanjslva čini se da je Hinomska dolina doista služila kao neuo</w:t>
        <w:softHyphen/>
        <w:t xml:space="preserve">bičajeno groblje, možda i stratište (Jr 31,40; Iz 66,24). U puku je tada nastalo mišljenje da se ovdje na posljednjem sudu kažnjavaju greš- nici. </w:t>
      </w:r>
      <w:r>
        <w:rPr>
          <w:rFonts w:ascii="Times New Roman" w:eastAsia="Times New Roman" w:hAnsi="Times New Roman" w:cs="Times New Roman"/>
          <w:i/>
          <w:iCs/>
          <w:color w:val="000000"/>
          <w:spacing w:val="0"/>
          <w:w w:val="100"/>
          <w:position w:val="0"/>
          <w:shd w:val="clear" w:color="auto" w:fill="auto"/>
          <w:lang w:val="hr-HR" w:eastAsia="hr-HR" w:bidi="hr-HR"/>
        </w:rPr>
        <w:t>Gchena</w:t>
      </w:r>
      <w:r>
        <w:rPr>
          <w:rFonts w:ascii="Times New Roman" w:eastAsia="Times New Roman" w:hAnsi="Times New Roman" w:cs="Times New Roman"/>
          <w:color w:val="000000"/>
          <w:spacing w:val="0"/>
          <w:w w:val="100"/>
          <w:position w:val="0"/>
          <w:shd w:val="clear" w:color="auto" w:fill="auto"/>
          <w:lang w:val="hr-HR" w:eastAsia="hr-HR" w:bidi="hr-HR"/>
        </w:rPr>
        <w:t xml:space="preserve"> se još u II. stoljeću pr. Kr. topo</w:t>
        <w:softHyphen/>
        <w:t>grafski povezivala s Hinomskom dolinom (etiop.</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Henok 26,4; 54,1), a zatim su je autori apo- krifa i pseudoepigrafa povezivali s prostorno neodređenom predodžbom pakla ili podzem</w:t>
        <w:softHyphen/>
        <w:t>nog svijeta: »Taj prokleti klanac namijenjen je vječno prokletima; ondje se skupljaju svi čija usta govore nedoličnosti protiv Boga i koji iz</w:t>
        <w:softHyphen/>
        <w:t>govaraju drskosti protiv njegove slave« (etiop. Henok 27,2).</w:t>
      </w:r>
    </w:p>
    <w:p>
      <w:pPr>
        <w:pStyle w:val="Style20"/>
        <w:keepNext w:val="0"/>
        <w:keepLines w:val="0"/>
        <w:widowControl w:val="0"/>
        <w:numPr>
          <w:ilvl w:val="0"/>
          <w:numId w:val="40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 (gehinom) u tradicijskoj literaturi:</w:t>
      </w:r>
      <w:r>
        <w:rPr>
          <w:rFonts w:ascii="Times New Roman" w:eastAsia="Times New Roman" w:hAnsi="Times New Roman" w:cs="Times New Roman"/>
          <w:color w:val="000000"/>
          <w:spacing w:val="0"/>
          <w:w w:val="100"/>
          <w:position w:val="0"/>
          <w:shd w:val="clear" w:color="auto" w:fill="auto"/>
          <w:lang w:val="hr-HR" w:eastAsia="hr-HR" w:bidi="hr-HR"/>
        </w:rPr>
        <w:t xml:space="preserve"> Miš</w:t>
        <w:softHyphen/>
        <w:t>ljenja o mjestu i sudbini prokletih prodrle su u školske rasprave. Rabini su tumačili »gehi</w:t>
        <w:softHyphen/>
        <w:t>nom« (hebr.) kao ognjenu peć (Mehilta Izl 20,18; b Eruvin 19a) kao i apokaliptika (etiop. Henok 90,26 i d.; 108,4; 109,9) i pretpostavili da je jedan od tri ulaza u p. blizu Jeruzalema; drugi su ulaz prepoznali u pustinji gdje je zem</w:t>
        <w:softHyphen/>
        <w:t>lja progutala Korahovu družinu; treći su pre</w:t>
        <w:softHyphen/>
        <w:t xml:space="preserve">bacili k Joni na more (Jon 2,3; b Eruvin 19a;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110b). Bogatstvo njihovih ideja na</w:t>
        <w:softHyphen/>
        <w:t xml:space="preserve">stanilo je </w:t>
      </w:r>
      <w:r>
        <w:rPr>
          <w:rFonts w:ascii="Times New Roman" w:eastAsia="Times New Roman" w:hAnsi="Times New Roman" w:cs="Times New Roman"/>
          <w:i/>
          <w:iCs/>
          <w:color w:val="000000"/>
          <w:spacing w:val="0"/>
          <w:w w:val="100"/>
          <w:position w:val="0"/>
          <w:shd w:val="clear" w:color="auto" w:fill="auto"/>
          <w:lang w:val="hr-HR" w:eastAsia="hr-HR" w:bidi="hr-HR"/>
        </w:rPr>
        <w:t>gehinom</w:t>
      </w:r>
      <w:r>
        <w:rPr>
          <w:rFonts w:ascii="Times New Roman" w:eastAsia="Times New Roman" w:hAnsi="Times New Roman" w:cs="Times New Roman"/>
          <w:color w:val="000000"/>
          <w:spacing w:val="0"/>
          <w:w w:val="100"/>
          <w:position w:val="0"/>
          <w:shd w:val="clear" w:color="auto" w:fill="auto"/>
          <w:lang w:val="hr-HR" w:eastAsia="hr-HR" w:bidi="hr-HR"/>
        </w:rPr>
        <w:t xml:space="preserve"> iznad nebeskoga svoda, od</w:t>
        <w:softHyphen/>
        <w:t xml:space="preserve">nosno iza brda tame (b Tamid 32b), izraču- nalo dimenzije pakla (b Pcsahim 94a; Taanit 10a), pregledalo njegovih sedam odjeljaka (b Sota 10b) i pustilo da se osjeti šezdeset puta jači pakleni oganj (b Berahot 57b) koji usijava izvore Tiberijade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39a). Okrutnu i pretjeranu maštu o kažnjivoj odmazdi zauz</w:t>
        <w:softHyphen/>
        <w:t xml:space="preserve">dalo je načelo Mišne: »Kazneni sud za greš- nike u paklu </w:t>
      </w:r>
      <w:r>
        <w:rPr>
          <w:rFonts w:ascii="Times New Roman" w:eastAsia="Times New Roman" w:hAnsi="Times New Roman" w:cs="Times New Roman"/>
          <w:i/>
          <w:iCs/>
          <w:color w:val="000000"/>
          <w:spacing w:val="0"/>
          <w:w w:val="100"/>
          <w:position w:val="0"/>
          <w:shd w:val="clear" w:color="auto" w:fill="auto"/>
          <w:lang w:val="hr-HR" w:eastAsia="hr-HR" w:bidi="hr-HR"/>
        </w:rPr>
        <w:t>(gehinom)</w:t>
      </w:r>
      <w:r>
        <w:rPr>
          <w:rFonts w:ascii="Times New Roman" w:eastAsia="Times New Roman" w:hAnsi="Times New Roman" w:cs="Times New Roman"/>
          <w:color w:val="000000"/>
          <w:spacing w:val="0"/>
          <w:w w:val="100"/>
          <w:position w:val="0"/>
          <w:shd w:val="clear" w:color="auto" w:fill="auto"/>
          <w:lang w:val="hr-HR" w:eastAsia="hr-HR" w:bidi="hr-HR"/>
        </w:rPr>
        <w:t xml:space="preserve"> traje dvanaest mjese</w:t>
        <w:softHyphen/>
        <w:t>ci« (Edujot 11,10). Nakon prikaza kraja greš- nika (b Roš ha-Šana 17a) slijedi zagovor pra</w:t>
        <w:softHyphen/>
        <w:t xml:space="preserve">vednika za njih, pa ih Bog izvodi iz pepela u vječni život (Jalkut Mal 3,21). Od Rabi </w:t>
      </w:r>
      <w:r>
        <w:rPr>
          <w:rFonts w:ascii="Times New Roman" w:eastAsia="Times New Roman" w:hAnsi="Times New Roman" w:cs="Times New Roman"/>
          <w:color w:val="000000"/>
          <w:spacing w:val="0"/>
          <w:w w:val="100"/>
          <w:position w:val="0"/>
          <w:shd w:val="clear" w:color="auto" w:fill="auto"/>
          <w:lang w:val="en-US" w:eastAsia="en-US" w:bidi="en-US"/>
        </w:rPr>
        <w:t>Si</w:t>
        <w:softHyphen/>
        <w:t xml:space="preserve">mona ben </w:t>
      </w:r>
      <w:r>
        <w:rPr>
          <w:rFonts w:ascii="Times New Roman" w:eastAsia="Times New Roman" w:hAnsi="Times New Roman" w:cs="Times New Roman"/>
          <w:color w:val="000000"/>
          <w:spacing w:val="0"/>
          <w:w w:val="100"/>
          <w:position w:val="0"/>
          <w:shd w:val="clear" w:color="auto" w:fill="auto"/>
          <w:lang w:val="hr-HR" w:eastAsia="hr-HR" w:bidi="hr-HR"/>
        </w:rPr>
        <w:t>Lakiša (III. stoljeće pos. Kr.) pre</w:t>
        <w:softHyphen/>
        <w:t xml:space="preserve">dajom je sačuvana rečenica: »Nema čistilišta u svijetu koji dolazi«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3b; Ne- darim 8b). Time se misli na vrijeme mesijan</w:t>
        <w:softHyphen/>
        <w:t>skog otkupljenja.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Kasnije židovstvo slijedilo je Majmonida koji je sve osjetilne predodžbe o onome svijetu objasnio odgojnom namjerom ispunjenja za</w:t>
        <w:softHyphen/>
        <w:t xml:space="preserve">povijedi (komentar Mišne na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 1).</w:t>
      </w:r>
    </w:p>
    <w:p>
      <w:pPr>
        <w:pStyle w:val="Style56"/>
        <w:keepNext w:val="0"/>
        <w:keepLines w:val="0"/>
        <w:widowControl w:val="0"/>
        <w:shd w:val="clear" w:color="auto" w:fill="auto"/>
        <w:tabs>
          <w:tab w:pos="2443"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Lit.: C. G. Montcfiorc/H. </w:t>
      </w:r>
      <w:r>
        <w:rPr>
          <w:color w:val="000000"/>
          <w:spacing w:val="0"/>
          <w:w w:val="100"/>
          <w:position w:val="0"/>
          <w:shd w:val="clear" w:color="auto" w:fill="auto"/>
        </w:rPr>
        <w:t xml:space="preserve">Loewe, </w:t>
      </w:r>
      <w:r>
        <w:rPr>
          <w:i/>
          <w:iCs/>
          <w:color w:val="000000"/>
          <w:spacing w:val="0"/>
          <w:w w:val="100"/>
          <w:position w:val="0"/>
          <w:shd w:val="clear" w:color="auto" w:fill="auto"/>
        </w:rPr>
        <w:t>A Rabbinic Anthology,</w:t>
      </w:r>
      <w:r>
        <w:rPr>
          <w:color w:val="000000"/>
          <w:spacing w:val="0"/>
          <w:w w:val="100"/>
          <w:position w:val="0"/>
          <w:shd w:val="clear" w:color="auto" w:fill="auto"/>
        </w:rPr>
        <w:t xml:space="preserve"> New York 1974, Index.</w:t>
        <w:tab/>
        <w:t>D. vtTItR</w:t>
      </w:r>
    </w:p>
    <w:p>
      <w:pPr>
        <w:pStyle w:val="Style63"/>
        <w:keepNext/>
        <w:keepLines/>
        <w:widowControl w:val="0"/>
        <w:numPr>
          <w:ilvl w:val="0"/>
          <w:numId w:val="401"/>
        </w:numPr>
        <w:shd w:val="clear" w:color="auto" w:fill="auto"/>
        <w:tabs>
          <w:tab w:pos="255" w:val="left"/>
        </w:tabs>
        <w:bidi w:val="0"/>
        <w:spacing w:before="0"/>
        <w:ind w:left="0" w:right="0" w:firstLine="0"/>
        <w:jc w:val="both"/>
      </w:pPr>
      <w:bookmarkStart w:id="247" w:name="bookmark24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47"/>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pojmom »p.*, a u germanskoj mitologiji »carstvo mrtvih«, u brojnim se religijama po</w:t>
        <w:softHyphen/>
        <w:t>vezuje misao o kazni. SZ isprva još ne poznaje neko mjesto odmazde nego samo boravište umrlih, šcol, kao prebivalište svih mrtvih, do</w:t>
        <w:softHyphen/>
        <w:t>brih kao i zlih. U kasnom židovstvu, pod utje</w:t>
        <w:softHyphen/>
        <w:t>cajem iranskih predodžbi o uskrsnuću mrtvih, došlo je do promjene. Razlikovala se sudbina dobrih od sudbine zlih u šeolu i sam se šcol zamišljao kao da je podijeljen na dvije nepre</w:t>
        <w:softHyphen/>
        <w:t>mostive komore, na jednu za dobre i drugu za zle. S vremenom se uz ovu predodžbu razvila zamisao eshatološke kaznionice, tzv. gehena, kao vječni p. za grešnikc gdje »gledat ću tru</w:t>
        <w:softHyphen/>
        <w:t>pla ljudi koji se od mene odmetnuše: crv nji</w:t>
        <w:softHyphen/>
        <w:t>hov neće umrijeti i njihov se oganj neće uga</w:t>
        <w:softHyphen/>
        <w:t>siti« (Iz 66,24; usp. Jdt 16,17; Sir 7,17; Mk 9, 48). Od svog iskona taje predodžba povezana s dolinom Hinom koja je bila na zlu glasu kao mjesto štovanja idola i ispunjeno prijetnjama sudom (Jr 7,32; 19,6). Iz toga je proizašlo vje</w:t>
        <w:softHyphen/>
        <w:t>rovanje da je dolina Hinom mjesto vječnog prokletstva.</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Ove obadvije starozavjetne tradicije, predo</w:t>
        <w:softHyphen/>
        <w:t>džba o šeolu i geheni, nalaze se i u NZ pri čemu je u svakom slučaju predodžba o geheni nadmašila predodžbu o šeolu pa ju je i po</w:t>
        <w:softHyphen/>
        <w:t>tisnula. Eshatološko mjesto kazne za grešnike naziva se gehena = p. (usp. Mk 9, 43.45.47; Mt 5,22.29 i d.; 10,28; 18,9; 23, 15.33; Lk 12,5) koji prijeti svima onima koji odbijaju od Boga ponuđeno spasenje. Sinonimi za p. su: vječni oganj (Mt 18,8; 25,41), neugasivi oganj (Mk 9,43; Lk 3,17), ognjena peć (Mt 13,42.50) i ognjeno jezero koje gori sumporom (Otk 14,10; 19,20; 20,10.14 i d.; 21,8). Kao mjesto gdje vladaju »tama« - slika iz predodžbe o šeolu - »plač i škrgut zuba«, opisan je p. kod Mt (8,12; 13,50; 22,13; 24,51; 25,30). U Iva</w:t>
        <w:softHyphen/>
        <w:t>novu evanđelju. Djelima apostolskim i posla</w:t>
        <w:softHyphen/>
        <w:t>nicama često je, doduše, riječ o konačnom kažnjavanju grešnika, ali se ne ulazi u potan</w:t>
        <w:softHyphen/>
        <w:t>kosti o načinu i mjestu toga kažnjavanja. Kaže se: oni nalaze osudu i smrt (Iv 3,36; 5,14.29; 6,53; 10,9; Rim 6,23), vječnu propast (2 Sol 1,9; 1 Sol 5,3; 1 Tim 6,9), propast (Rim 9,22; Fil 3,19), oni propadaju (1 Sol 2,10; 1 Kor 1,18; 2 Kor 2,15; 4,3) i ne stižu u kraljevstvo Božje (I Kor 6,9).</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Kršćansko učenje o eshatološkom mjestu odmazde (paklu) izvodi se iz obadviju spomenutih starozavjetnih predodžbi šeola i gehene. Ono kaže da čovjeku u životu, na te</w:t>
        <w:softHyphen/>
        <w:t>melju njemu vlastite slobode odlučivanja, pri</w:t>
        <w:softHyphen/>
        <w:t>jeti stvarna mogućnost vječne propasti. P. je tako pučki izraz za nepostignuto spasenje, jer ga sam čovjek nije zaslužio.</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Haag (Hrsg.), </w:t>
      </w:r>
      <w:r>
        <w:rPr>
          <w:i/>
          <w:iCs/>
          <w:color w:val="000000"/>
          <w:spacing w:val="0"/>
          <w:w w:val="100"/>
          <w:position w:val="0"/>
          <w:shd w:val="clear" w:color="auto" w:fill="auto"/>
          <w:lang w:val="hr-HR" w:eastAsia="hr-HR" w:bidi="hr-HR"/>
        </w:rPr>
        <w:t>Bibrllaakon,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ZilriclvEinsicdcln/Koln </w:t>
      </w:r>
      <w:r>
        <w:rPr>
          <w:color w:val="000000"/>
          <w:spacing w:val="0"/>
          <w:w w:val="100"/>
          <w:position w:val="0"/>
          <w:shd w:val="clear" w:color="auto" w:fill="auto"/>
          <w:lang w:val="hr-HR" w:eastAsia="hr-HR" w:bidi="hr-HR"/>
        </w:rPr>
        <w:t xml:space="preserve">&gt;1982, 758-759; I.ThK, Bd 5, 445-450; </w:t>
      </w:r>
      <w:r>
        <w:rPr>
          <w:color w:val="000000"/>
          <w:spacing w:val="0"/>
          <w:w w:val="100"/>
          <w:position w:val="0"/>
          <w:shd w:val="clear" w:color="auto" w:fill="auto"/>
        </w:rPr>
        <w:t xml:space="preserve">J. Ratzinger, </w:t>
      </w:r>
      <w:r>
        <w:rPr>
          <w:i/>
          <w:iCs/>
          <w:color w:val="000000"/>
          <w:spacing w:val="0"/>
          <w:w w:val="100"/>
          <w:position w:val="0"/>
          <w:shd w:val="clear" w:color="auto" w:fill="auto"/>
          <w:lang w:val="hr-HR" w:eastAsia="hr-HR" w:bidi="hr-HR"/>
        </w:rPr>
        <w:t xml:space="preserve">Es- </w:t>
      </w:r>
      <w:r>
        <w:rPr>
          <w:i/>
          <w:iCs/>
          <w:color w:val="000000"/>
          <w:spacing w:val="0"/>
          <w:w w:val="100"/>
          <w:position w:val="0"/>
          <w:shd w:val="clear" w:color="auto" w:fill="auto"/>
        </w:rPr>
        <w:t xml:space="preserve">chatologie, Tod </w:t>
      </w:r>
      <w:r>
        <w:rPr>
          <w:i/>
          <w:iCs/>
          <w:color w:val="000000"/>
          <w:spacing w:val="0"/>
          <w:w w:val="100"/>
          <w:position w:val="0"/>
          <w:shd w:val="clear" w:color="auto" w:fill="auto"/>
          <w:lang w:val="hr-HR" w:eastAsia="hr-HR" w:bidi="hr-HR"/>
        </w:rPr>
        <w:t xml:space="preserve">utui </w:t>
      </w:r>
      <w:r>
        <w:rPr>
          <w:i/>
          <w:iCs/>
          <w:color w:val="000000"/>
          <w:spacing w:val="0"/>
          <w:w w:val="100"/>
          <w:position w:val="0"/>
          <w:shd w:val="clear" w:color="auto" w:fill="auto"/>
        </w:rPr>
        <w:t xml:space="preserve">ewiges </w:t>
      </w:r>
      <w:r>
        <w:rPr>
          <w:i/>
          <w:iCs/>
          <w:color w:val="000000"/>
          <w:spacing w:val="0"/>
          <w:w w:val="100"/>
          <w:position w:val="0"/>
          <w:shd w:val="clear" w:color="auto" w:fill="auto"/>
          <w:lang w:val="hr-HR" w:eastAsia="hr-HR" w:bidi="hr-HR"/>
        </w:rPr>
        <w:t xml:space="preserve">Leben </w:t>
      </w:r>
      <w:r>
        <w:rPr>
          <w:i/>
          <w:iCs/>
          <w:color w:val="000000"/>
          <w:spacing w:val="0"/>
          <w:w w:val="100"/>
          <w:position w:val="0"/>
          <w:shd w:val="clear" w:color="auto" w:fill="auto"/>
        </w:rPr>
        <w:t xml:space="preserve">(Kleine </w:t>
      </w:r>
      <w:r>
        <w:rPr>
          <w:i/>
          <w:iCs/>
          <w:color w:val="000000"/>
          <w:spacing w:val="0"/>
          <w:w w:val="100"/>
          <w:position w:val="0"/>
          <w:shd w:val="clear" w:color="auto" w:fill="auto"/>
          <w:lang w:val="hr-HR" w:eastAsia="hr-HR" w:bidi="hr-HR"/>
        </w:rPr>
        <w:t>kaihoHsche Dog- maiik,</w:t>
      </w:r>
      <w:r>
        <w:rPr>
          <w:color w:val="000000"/>
          <w:spacing w:val="0"/>
          <w:w w:val="100"/>
          <w:position w:val="0"/>
          <w:shd w:val="clear" w:color="auto" w:fill="auto"/>
          <w:lang w:val="hr-HR" w:eastAsia="hr-HR" w:bidi="hr-HR"/>
        </w:rPr>
        <w:t xml:space="preserve"> Bd. 9), </w:t>
      </w:r>
      <w:r>
        <w:rPr>
          <w:color w:val="000000"/>
          <w:spacing w:val="0"/>
          <w:w w:val="100"/>
          <w:position w:val="0"/>
          <w:shd w:val="clear" w:color="auto" w:fill="auto"/>
        </w:rPr>
        <w:t xml:space="preserve">Regensburg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t977, 176-179.</w:t>
      </w:r>
    </w:p>
    <w:p>
      <w:pPr>
        <w:pStyle w:val="Style56"/>
        <w:keepNext w:val="0"/>
        <w:keepLines w:val="0"/>
        <w:widowControl w:val="0"/>
        <w:shd w:val="clear" w:color="auto" w:fill="auto"/>
        <w:bidi w:val="0"/>
        <w:spacing w:before="0" w:after="0" w:line="389" w:lineRule="auto"/>
        <w:ind w:left="0" w:right="0" w:firstLine="0"/>
        <w:jc w:val="right"/>
      </w:pPr>
      <w:r>
        <w:rPr>
          <w:color w:val="000000"/>
          <w:spacing w:val="0"/>
          <w:w w:val="100"/>
          <w:position w:val="0"/>
          <w:shd w:val="clear" w:color="auto" w:fill="auto"/>
          <w:lang w:val="hr-HR" w:eastAsia="hr-HR" w:bidi="hr-HR"/>
        </w:rPr>
        <w:t>L. I IAGLMANN</w:t>
      </w:r>
    </w:p>
    <w:p>
      <w:pPr>
        <w:pStyle w:val="Style63"/>
        <w:keepNext/>
        <w:keepLines/>
        <w:widowControl w:val="0"/>
        <w:numPr>
          <w:ilvl w:val="0"/>
          <w:numId w:val="401"/>
        </w:numPr>
        <w:shd w:val="clear" w:color="auto" w:fill="auto"/>
        <w:tabs>
          <w:tab w:pos="260" w:val="left"/>
        </w:tabs>
        <w:bidi w:val="0"/>
        <w:spacing w:before="0" w:after="0" w:line="389" w:lineRule="auto"/>
        <w:ind w:left="0" w:right="0" w:firstLine="0"/>
        <w:jc w:val="both"/>
      </w:pPr>
      <w:bookmarkStart w:id="248" w:name="bookmark248"/>
      <w:r>
        <w:rPr>
          <w:rFonts w:ascii="Times New Roman" w:eastAsia="Times New Roman" w:hAnsi="Times New Roman" w:cs="Times New Roman"/>
          <w:color w:val="000000"/>
          <w:spacing w:val="0"/>
          <w:w w:val="100"/>
          <w:position w:val="0"/>
          <w:shd w:val="clear" w:color="auto" w:fill="auto"/>
          <w:lang w:val="hr-HR" w:eastAsia="hr-HR" w:bidi="hr-HR"/>
        </w:rPr>
        <w:t>islamski</w:t>
      </w:r>
      <w:bookmarkEnd w:id="24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Muslimanska oznaka za p., </w:t>
      </w:r>
      <w:r>
        <w:rPr>
          <w:rFonts w:ascii="Times New Roman" w:eastAsia="Times New Roman" w:hAnsi="Times New Roman" w:cs="Times New Roman"/>
          <w:i/>
          <w:iCs/>
          <w:color w:val="000000"/>
          <w:spacing w:val="0"/>
          <w:w w:val="100"/>
          <w:position w:val="0"/>
          <w:shd w:val="clear" w:color="auto" w:fill="auto"/>
          <w:lang w:val="hr-HR" w:eastAsia="hr-HR" w:bidi="hr-HR"/>
        </w:rPr>
        <w:t>džehenem,</w:t>
      </w:r>
      <w:r>
        <w:rPr>
          <w:rFonts w:ascii="Times New Roman" w:eastAsia="Times New Roman" w:hAnsi="Times New Roman" w:cs="Times New Roman"/>
          <w:color w:val="000000"/>
          <w:spacing w:val="0"/>
          <w:w w:val="100"/>
          <w:position w:val="0"/>
          <w:shd w:val="clear" w:color="auto" w:fill="auto"/>
          <w:lang w:val="hr-HR" w:eastAsia="hr-HR" w:bidi="hr-HR"/>
        </w:rPr>
        <w:t xml:space="preserve"> je he</w:t>
        <w:softHyphen/>
        <w:t>brejskoga podrijetla. Ona znači: duboki zde</w:t>
        <w:softHyphen/>
        <w:t>nac, duboka jama. Iz kuranskih tekstova jasno ne proizlazi, radi li se kod te riječi o običnoj oznaci mjesta, na kojemu će grešnici trpjeti svoje kazne, ili o nekom pokretnom elementu duševne boli. Prilog zadnjem razumijevanju govore formulacije poput: »i džehenem se to</w:t>
        <w:softHyphen/>
        <w:t>ga dana prinese« i »džehenem će se povećati« (89,23-24) kao i »džehenem gotovo da se ras</w:t>
        <w:softHyphen/>
        <w:t>pada od srdžbe« (67,8). Dakle, unaprijed je uskraćeno neko čvrsto doslovno razumijeva</w:t>
        <w:softHyphen/>
        <w:t>nje. U opisnome jeziku Kurana p. je zastrašu</w:t>
        <w:softHyphen/>
        <w:t>jući predio u kojemu vladaju vatra, zmije, ključala voda, ledene pustinje i druge grozote, ali predio u kojemu nema smrti. »Kuran go</w:t>
        <w:softHyphen/>
        <w:t>vori o raju i paklu jedino kako bi imao po</w:t>
        <w:softHyphen/>
        <w:t>moćno sredstvo za to da obične ljude navede na vođenje pravednoga i časnoga života i za napredovanje k istini; on pritom ne polaže ni</w:t>
        <w:softHyphen/>
        <w:t>kakvu vrijednost na pojedinosti, npr. na pi</w:t>
        <w:softHyphen/>
        <w:t xml:space="preserve">tanje, radi li se o mjestima ili stanjima« </w:t>
      </w:r>
      <w:r>
        <w:rPr>
          <w:rFonts w:ascii="Times New Roman" w:eastAsia="Times New Roman" w:hAnsi="Times New Roman" w:cs="Times New Roman"/>
          <w:color w:val="000000"/>
          <w:spacing w:val="0"/>
          <w:w w:val="100"/>
          <w:position w:val="0"/>
          <w:shd w:val="clear" w:color="auto" w:fill="auto"/>
          <w:lang w:val="en-US" w:eastAsia="en-US" w:bidi="en-US"/>
        </w:rPr>
        <w:t>(Mu</w:t>
        <w:softHyphen/>
        <w:t xml:space="preserve">hammad </w:t>
      </w:r>
      <w:r>
        <w:rPr>
          <w:rFonts w:ascii="Times New Roman" w:eastAsia="Times New Roman" w:hAnsi="Times New Roman" w:cs="Times New Roman"/>
          <w:color w:val="000000"/>
          <w:spacing w:val="0"/>
          <w:w w:val="100"/>
          <w:position w:val="0"/>
          <w:shd w:val="clear" w:color="auto" w:fill="auto"/>
          <w:lang w:val="hr-HR" w:eastAsia="hr-HR" w:bidi="hr-HR"/>
        </w:rPr>
        <w:t xml:space="preserve">Hamidullah, </w:t>
      </w:r>
      <w:r>
        <w:rPr>
          <w:rFonts w:ascii="Times New Roman" w:eastAsia="Times New Roman" w:hAnsi="Times New Roman" w:cs="Times New Roman"/>
          <w:i/>
          <w:iCs/>
          <w:color w:val="000000"/>
          <w:spacing w:val="0"/>
          <w:w w:val="100"/>
          <w:position w:val="0"/>
          <w:shd w:val="clear" w:color="auto" w:fill="auto"/>
          <w:lang w:val="hr-HR" w:eastAsia="hr-HR" w:bidi="hr-HR"/>
        </w:rPr>
        <w:t>Der Islam,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Salmiyah- Kuwait </w:t>
      </w:r>
      <w:r>
        <w:rPr>
          <w:rFonts w:ascii="Times New Roman" w:eastAsia="Times New Roman" w:hAnsi="Times New Roman" w:cs="Times New Roman"/>
          <w:color w:val="000000"/>
          <w:spacing w:val="0"/>
          <w:w w:val="100"/>
          <w:position w:val="0"/>
          <w:shd w:val="clear" w:color="auto" w:fill="auto"/>
          <w:lang w:val="hr-HR" w:eastAsia="hr-HR" w:bidi="hr-HR"/>
        </w:rPr>
        <w:t>1973, 102).</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Učenjaci nisu jedinstveni s obzirom na pita</w:t>
        <w:softHyphen/>
        <w:t>nje, traju li paklene kazne vječno. Hanefitska pravna škola smatra ih privremenim.</w:t>
      </w:r>
    </w:p>
    <w:p>
      <w:pPr>
        <w:pStyle w:val="Style56"/>
        <w:keepNext w:val="0"/>
        <w:keepLines w:val="0"/>
        <w:widowControl w:val="0"/>
        <w:shd w:val="clear" w:color="auto" w:fill="auto"/>
        <w:tabs>
          <w:tab w:pos="2573" w:val="left"/>
        </w:tabs>
        <w:bidi w:val="0"/>
        <w:spacing w:before="0" w:after="60" w:line="240" w:lineRule="auto"/>
        <w:ind w:left="0" w:right="0" w:firstLine="0"/>
        <w:jc w:val="both"/>
        <w:sectPr>
          <w:footnotePr>
            <w:pos w:val="pageBottom"/>
            <w:numFmt w:val="decimal"/>
            <w:numRestart w:val="continuous"/>
            <w15:footnoteColumns w:val="1"/>
          </w:footnotePr>
          <w:type w:val="continuous"/>
          <w:pgSz w:w="6816" w:h="11006"/>
          <w:pgMar w:top="975" w:left="189" w:right="196" w:bottom="532" w:header="0" w:footer="3" w:gutter="0"/>
          <w:cols w:num="2" w:space="156"/>
          <w:noEndnote/>
          <w:rtlGutter w:val="0"/>
          <w:docGrid w:linePitch="360"/>
        </w:sectPr>
      </w:pPr>
      <w:r>
        <w:rPr>
          <w:color w:val="000000"/>
          <w:spacing w:val="0"/>
          <w:w w:val="100"/>
          <w:position w:val="0"/>
          <w:shd w:val="clear" w:color="auto" w:fill="auto"/>
        </w:rPr>
        <w:t xml:space="preserve">Lit.: Muhammad </w:t>
      </w:r>
      <w:r>
        <w:rPr>
          <w:color w:val="000000"/>
          <w:spacing w:val="0"/>
          <w:w w:val="100"/>
          <w:position w:val="0"/>
          <w:shd w:val="clear" w:color="auto" w:fill="auto"/>
          <w:lang w:val="hr-HR" w:eastAsia="hr-HR" w:bidi="hr-HR"/>
        </w:rPr>
        <w:t xml:space="preserve">Hamidullah, </w:t>
      </w:r>
      <w:r>
        <w:rPr>
          <w:i/>
          <w:iCs/>
          <w:color w:val="000000"/>
          <w:spacing w:val="0"/>
          <w:w w:val="100"/>
          <w:position w:val="0"/>
          <w:shd w:val="clear" w:color="auto" w:fill="auto"/>
          <w:lang w:val="hr-HR" w:eastAsia="hr-HR" w:bidi="hr-HR"/>
        </w:rPr>
        <w:t xml:space="preserve">Dcr </w:t>
      </w:r>
      <w:r>
        <w:rPr>
          <w:i/>
          <w:iCs/>
          <w:color w:val="000000"/>
          <w:spacing w:val="0"/>
          <w:w w:val="100"/>
          <w:position w:val="0"/>
          <w:shd w:val="clear" w:color="auto" w:fill="auto"/>
        </w:rPr>
        <w:t>Islam,</w:t>
      </w:r>
      <w:r>
        <w:rPr>
          <w:color w:val="000000"/>
          <w:spacing w:val="0"/>
          <w:w w:val="100"/>
          <w:position w:val="0"/>
          <w:shd w:val="clear" w:color="auto" w:fill="auto"/>
        </w:rPr>
        <w:t xml:space="preserve"> Salmiyah-Kuwait </w:t>
      </w:r>
      <w:r>
        <w:rPr>
          <w:color w:val="000000"/>
          <w:spacing w:val="0"/>
          <w:w w:val="100"/>
          <w:position w:val="0"/>
          <w:shd w:val="clear" w:color="auto" w:fill="auto"/>
          <w:lang w:val="hr-HR" w:eastAsia="hr-HR" w:bidi="hr-HR"/>
        </w:rPr>
        <w:t>1973.</w:t>
        <w:tab/>
        <w:t>S. BAI.IĆ</w:t>
      </w:r>
    </w:p>
    <w:p>
      <w:pPr>
        <w:pStyle w:val="Style33"/>
        <w:keepNext w:val="0"/>
        <w:keepLines w:val="0"/>
        <w:widowControl w:val="0"/>
        <w:shd w:val="clear" w:color="auto" w:fill="auto"/>
        <w:bidi w:val="0"/>
        <w:spacing w:before="0" w:after="80" w:line="230"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PAPINSTVO -&gt; UČITELJSTVO, SLUŽBA, -&gt; CRKVA</w:t>
      </w:r>
    </w:p>
    <w:p>
      <w:pPr>
        <w:pStyle w:val="Style33"/>
        <w:keepNext w:val="0"/>
        <w:keepLines w:val="0"/>
        <w:widowControl w:val="0"/>
        <w:shd w:val="clear" w:color="auto" w:fill="auto"/>
        <w:bidi w:val="0"/>
        <w:spacing w:before="0" w:after="16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 xml:space="preserve">PASTORAL </w:t>
      </w:r>
      <w:r>
        <w:rPr>
          <w:rFonts w:ascii="Times New Roman" w:eastAsia="Times New Roman" w:hAnsi="Times New Roman" w:cs="Times New Roman"/>
          <w:b/>
          <w:bCs/>
          <w:color w:val="000000"/>
          <w:spacing w:val="0"/>
          <w:w w:val="100"/>
          <w:position w:val="0"/>
          <w:shd w:val="clear" w:color="auto" w:fill="auto"/>
          <w:lang w:val="hr-HR" w:eastAsia="hr-HR" w:bidi="hr-HR"/>
        </w:rPr>
        <w:t>-&gt; DUŠOBRIŽNIŠTVO</w:t>
      </w:r>
    </w:p>
    <w:p>
      <w:pPr>
        <w:pStyle w:val="Style33"/>
        <w:keepNext w:val="0"/>
        <w:keepLines w:val="0"/>
        <w:widowControl w:val="0"/>
        <w:shd w:val="clear" w:color="auto" w:fill="auto"/>
        <w:bidi w:val="0"/>
        <w:spacing w:before="0" w:after="12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PATNJA</w:t>
      </w:r>
    </w:p>
    <w:p>
      <w:pPr>
        <w:pStyle w:val="Style63"/>
        <w:keepNext/>
        <w:keepLines/>
        <w:widowControl w:val="0"/>
        <w:numPr>
          <w:ilvl w:val="0"/>
          <w:numId w:val="405"/>
        </w:numPr>
        <w:shd w:val="clear" w:color="auto" w:fill="auto"/>
        <w:tabs>
          <w:tab w:pos="246" w:val="left"/>
        </w:tabs>
        <w:bidi w:val="0"/>
        <w:spacing w:before="0" w:after="80" w:line="218" w:lineRule="auto"/>
        <w:ind w:left="0" w:right="0" w:firstLine="0"/>
        <w:jc w:val="both"/>
      </w:pPr>
      <w:bookmarkStart w:id="249" w:name="bookmark249"/>
      <w:r>
        <w:rPr>
          <w:rFonts w:ascii="Times New Roman" w:eastAsia="Times New Roman" w:hAnsi="Times New Roman" w:cs="Times New Roman"/>
          <w:color w:val="000000"/>
          <w:spacing w:val="0"/>
          <w:w w:val="100"/>
          <w:position w:val="0"/>
          <w:shd w:val="clear" w:color="auto" w:fill="auto"/>
          <w:lang w:val="hr-HR" w:eastAsia="hr-HR" w:bidi="hr-HR"/>
        </w:rPr>
        <w:t>židovski</w:t>
      </w:r>
      <w:bookmarkEnd w:id="24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Svijest o solidarnosti, izrasla iz povezanosti u porodici i plemenu, oblikovala je staro temelj</w:t>
        <w:softHyphen/>
        <w:t>no načelo: »Svi Izraelci jamče jedan za dru</w:t>
        <w:softHyphen/>
        <w:t xml:space="preserve">goga«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26,37; usp.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 Savuot 39a; Roš ha-Šana 29a). Kao što svi so</w:t>
        <w:softHyphen/>
        <w:t>lidarno jamče za pojedinca, tako i svaki pri</w:t>
        <w:softHyphen/>
        <w:t>padnik naroda Saveza nastupa pred Bogom (Izl 19,8; 24,3.7) kao solidarni dužnik. To za</w:t>
        <w:softHyphen/>
        <w:t>jedničko jamstvo jasno se pokazuje i kod uda</w:t>
        <w:softHyphen/>
        <w:t xml:space="preserve">raca koji zadese zajednicu (Izl 20,5). Čini se da su prirodne katastrofe najprije potaknule razmišljanja o pravednosti kolektivne nesreće (Post 18,22 i d.; 2 Sam 24,17). Dogmatski aspekt Božje osvetničke uzročnosti jasno je utvrdio: p. pokazuje krivnju (Hoš 10,13 i d.; Izr 22,8;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4,7 i d.). No propast Judeje, Jeru</w:t>
        <w:softHyphen/>
        <w:t>zalema i prvoga Hrama uzdrmala je istinu o solidarnom kajanju; ono što je odavno bilo određeno kao pravednost za pojedinca: »Ne</w:t>
        <w:softHyphen/>
        <w:t>ka se očevi ne osuđuju na smrt zbog sinova ni sinovi zbog očeva; neka svatko za svoj grijeh gine« (Pnz 24,16; 2 Kr 14,6), sada se najavljuje kao Božje buduće djelovanje na rodove naro</w:t>
        <w:softHyphen/>
        <w:t xml:space="preserve">da (Jr 31,29 </w:t>
      </w:r>
      <w:r>
        <w:rPr>
          <w:rFonts w:ascii="Times New Roman" w:eastAsia="Times New Roman" w:hAnsi="Times New Roman" w:cs="Times New Roman"/>
          <w:color w:val="000000"/>
          <w:spacing w:val="0"/>
          <w:w w:val="100"/>
          <w:position w:val="0"/>
          <w:shd w:val="clear" w:color="auto" w:fill="auto"/>
          <w:lang w:val="en-US" w:eastAsia="en-US" w:bidi="en-US"/>
        </w:rPr>
        <w:t>id.).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Optužba Božja »Zašto?« iz patnje (Ps 10,1; 22,2;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3,20) ne poriče da sve dolazi od Bo</w:t>
        <w:softHyphen/>
        <w:t xml:space="preserve">ga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3,23; 16,11; 19,10); u njoj se pita kako se p. slaže s djelovanjem Božjim u prošlosti, koje su oci posvjedočili (usp.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color w:val="000000"/>
          <w:spacing w:val="0"/>
          <w:w w:val="100"/>
          <w:position w:val="0"/>
          <w:shd w:val="clear" w:color="auto" w:fill="auto"/>
          <w:lang w:val="hr-HR" w:eastAsia="hr-HR" w:bidi="hr-HR"/>
        </w:rPr>
        <w:t xml:space="preserve">Glaube der Propheten, 1950,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Werke </w:t>
      </w:r>
      <w:r>
        <w:rPr>
          <w:rFonts w:ascii="Times New Roman" w:eastAsia="Times New Roman" w:hAnsi="Times New Roman" w:cs="Times New Roman"/>
          <w:i/>
          <w:iCs/>
          <w:color w:val="000000"/>
          <w:spacing w:val="0"/>
          <w:w w:val="100"/>
          <w:position w:val="0"/>
          <w:shd w:val="clear" w:color="auto" w:fill="auto"/>
          <w:lang w:val="hr-HR" w:eastAsia="hr-HR" w:bidi="hr-HR"/>
        </w:rPr>
        <w:t>II,</w:t>
      </w:r>
      <w:r>
        <w:rPr>
          <w:rFonts w:ascii="Times New Roman" w:eastAsia="Times New Roman" w:hAnsi="Times New Roman" w:cs="Times New Roman"/>
          <w:color w:val="000000"/>
          <w:spacing w:val="0"/>
          <w:w w:val="100"/>
          <w:position w:val="0"/>
          <w:shd w:val="clear" w:color="auto" w:fill="auto"/>
          <w:lang w:val="hr-HR" w:eastAsia="hr-HR" w:bidi="hr-HR"/>
        </w:rPr>
        <w:t xml:space="preserve"> 1962, 233-484, posebice 430 i d.; isti, </w:t>
      </w:r>
      <w:r>
        <w:rPr>
          <w:rFonts w:ascii="Times New Roman" w:eastAsia="Times New Roman" w:hAnsi="Times New Roman" w:cs="Times New Roman"/>
          <w:i/>
          <w:iCs/>
          <w:color w:val="000000"/>
          <w:spacing w:val="0"/>
          <w:w w:val="100"/>
          <w:position w:val="0"/>
          <w:shd w:val="clear" w:color="auto" w:fill="auto"/>
          <w:lang w:val="hr-HR" w:eastAsia="hr-HR" w:bidi="hr-HR"/>
        </w:rPr>
        <w:t>Recht und Unrecht,</w:t>
      </w:r>
      <w:r>
        <w:rPr>
          <w:rFonts w:ascii="Times New Roman" w:eastAsia="Times New Roman" w:hAnsi="Times New Roman" w:cs="Times New Roman"/>
          <w:color w:val="000000"/>
          <w:spacing w:val="0"/>
          <w:w w:val="100"/>
          <w:position w:val="0"/>
          <w:shd w:val="clear" w:color="auto" w:fill="auto"/>
          <w:lang w:val="hr-HR" w:eastAsia="hr-HR" w:bidi="hr-HR"/>
        </w:rPr>
        <w:t xml:space="preserve"> 1952, 39-61; Ch. Schiitz, </w:t>
      </w:r>
      <w:r>
        <w:rPr>
          <w:rFonts w:ascii="Times New Roman" w:eastAsia="Times New Roman" w:hAnsi="Times New Roman" w:cs="Times New Roman"/>
          <w:i/>
          <w:iCs/>
          <w:color w:val="000000"/>
          <w:spacing w:val="0"/>
          <w:w w:val="100"/>
          <w:position w:val="0"/>
          <w:shd w:val="clear" w:color="auto" w:fill="auto"/>
          <w:lang w:val="hr-HR" w:eastAsia="hr-HR" w:bidi="hr-HR"/>
        </w:rPr>
        <w:t xml:space="preserve">Verborgen- heit Gottes. </w:t>
      </w:r>
      <w:r>
        <w:rPr>
          <w:rFonts w:ascii="Times New Roman" w:eastAsia="Times New Roman" w:hAnsi="Times New Roman" w:cs="Times New Roman"/>
          <w:i/>
          <w:iCs/>
          <w:color w:val="000000"/>
          <w:spacing w:val="0"/>
          <w:w w:val="100"/>
          <w:position w:val="0"/>
          <w:shd w:val="clear" w:color="auto" w:fill="auto"/>
          <w:lang w:val="en-US" w:eastAsia="en-US" w:bidi="en-US"/>
        </w:rPr>
        <w:t xml:space="preserve">Manin Bubers Werk </w:t>
      </w:r>
      <w:r>
        <w:rPr>
          <w:rFonts w:ascii="Times New Roman" w:eastAsia="Times New Roman" w:hAnsi="Times New Roman" w:cs="Times New Roman"/>
          <w:i/>
          <w:iCs/>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en-US" w:eastAsia="en-US" w:bidi="en-US"/>
        </w:rPr>
        <w:t>Eine Ge- samtdarstellung,</w:t>
      </w:r>
      <w:r>
        <w:rPr>
          <w:rFonts w:ascii="Times New Roman" w:eastAsia="Times New Roman" w:hAnsi="Times New Roman" w:cs="Times New Roman"/>
          <w:color w:val="000000"/>
          <w:spacing w:val="0"/>
          <w:w w:val="100"/>
          <w:position w:val="0"/>
          <w:shd w:val="clear" w:color="auto" w:fill="auto"/>
          <w:lang w:val="en-US" w:eastAsia="en-US" w:bidi="en-US"/>
        </w:rPr>
        <w:t xml:space="preserve"> 1975, 303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U promjeni osobnoga životnog iskustva skupljala se sud</w:t>
        <w:softHyphen/>
        <w:t xml:space="preserve">bina cijeloga naroda: »A meni je milina biti u Božjoj blizini, imati sklonište svoje u TEBI. Pripovijedat ću sva tvoja djela« (Ps 73,28). Zajedništvo s Bogom stječe se patnjom. Tko dobrovoljno pati, ljubi Boga. Uvid pojedinca u pravi smisao dobiva egzemplarno značenje: »Kako je dobar Bog Izraelu: onima koji su čista srca« (stih 1). U osobnome mišljenju sažeo se Izraelov pristanak na put koji kroz patnju vodi k Bogu: Ikoje čista srca, doznaje </w:t>
      </w:r>
      <w:r>
        <w:rPr>
          <w:rFonts w:ascii="Times New Roman" w:eastAsia="Times New Roman" w:hAnsi="Times New Roman" w:cs="Times New Roman"/>
          <w:color w:val="000000"/>
          <w:spacing w:val="0"/>
          <w:w w:val="100"/>
          <w:position w:val="0"/>
          <w:shd w:val="clear" w:color="auto" w:fill="auto"/>
          <w:lang w:val="hr-HR" w:eastAsia="hr-HR" w:bidi="hr-HR"/>
        </w:rPr>
        <w:t>daje Bog s njim. Stoga mudraci upućuju na to da se u patnji spozna razlog pohvale Boga: »Ne činite sa mnom što drugi (neizraelićani) obično čine u zemljama. Kad ih snađe dobro, slave svoje božanstvo..., a kad ih stigne kazna, tada psuju božanstvo... No, kad Izraelu done</w:t>
        <w:softHyphen/>
        <w:t>sem dobro, zahvale, a zahvale i kad im done</w:t>
        <w:softHyphen/>
        <w:t>sem patnju« (Mehilta Izl 20,23; usp. Šifre Pnz 6,5; Tanhuma 90b; b Berahot 5a; 60b). Rabini su tražili da se čovjek povije pod patnjom, jer ona navodi ljude na obraćenje i donosi ka</w:t>
        <w:softHyphen/>
        <w:t xml:space="preserve">janje (j </w:t>
      </w:r>
      <w:r>
        <w:rPr>
          <w:rFonts w:ascii="Times New Roman" w:eastAsia="Times New Roman" w:hAnsi="Times New Roman" w:cs="Times New Roman"/>
          <w:color w:val="000000"/>
          <w:spacing w:val="0"/>
          <w:w w:val="100"/>
          <w:position w:val="0"/>
          <w:shd w:val="clear" w:color="auto" w:fill="auto"/>
          <w:lang w:val="en-US" w:eastAsia="en-US" w:bidi="en-US"/>
        </w:rPr>
        <w:t xml:space="preserve">Taanit 1,63d; </w:t>
      </w:r>
      <w:r>
        <w:rPr>
          <w:rFonts w:ascii="Times New Roman" w:eastAsia="Times New Roman" w:hAnsi="Times New Roman" w:cs="Times New Roman"/>
          <w:color w:val="000000"/>
          <w:spacing w:val="0"/>
          <w:w w:val="100"/>
          <w:position w:val="0"/>
          <w:shd w:val="clear" w:color="auto" w:fill="auto"/>
          <w:lang w:val="hr-HR" w:eastAsia="hr-HR" w:bidi="hr-HR"/>
        </w:rPr>
        <w:t xml:space="preserve">M Joma VIII,8; Tos. Jo- ma V,6 i d.;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97b; 101a). Oni po</w:t>
        <w:softHyphen/>
        <w:t xml:space="preserve">učavaju o poniznosti u patnji kao predavanje u Božjoj ljubavi (Šifre uz Pnz 6,5; b Berahot 5a;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101a). Onaj tko daje život, nosi ga i u svojoj patnji; u takvoj sigurnosti predavanje postaje služenje Bogu (Mehilta Izl 12,1; b Berahot 32a; Bava mecia 85a). U tom kontekstu treba razumjeti i Riječ da se ne</w:t>
        <w:softHyphen/>
        <w:t>pravdi, koja je nekomu učinjena u osobnom životu, ne treba suprotstaviti silom (b Megila 28a; Joma 23a). Učitelji su opominjali: »Čo</w:t>
        <w:softHyphen/>
        <w:t>vjek neka uvijek pripada progonjenima, a ne progoniteljima« (b Bava kama 93a; usp. 92b) i zagovarali: »O onima koji su poniženi a da sami ne ponizuju, koji slušaju pogrde a da ih ne uzvraćaju, koji djeluju iz ljubavi (prema Bogu) i raduju se patnji, Sveto pismo (Suci 5,31) kaže: Oni koji ga ljube nek budu kao sunce kada se diže u svojemu sjaju« (b Šabat 88b); oni prednjače dobrim primjerom: »Kad bi Mar bar Rabina završio molitvu (Osam</w:t>
        <w:softHyphen/>
        <w:t>naest blagoslova), obično bi rekao: Bože moj! Sačuvaj moj jezik od zla, moje usne od var</w:t>
        <w:softHyphen/>
        <w:t>ljiva govora. Onomu tko me proklinje, neka šuti moja duša, moja duša neka bude kao prah na zemlji za svakoga ( = po kojem će svatko gaziti)« (b Berahot 17a). Osobitost ži</w:t>
        <w:softHyphen/>
        <w:t>dovskoga naroda, njegova prejaka volja za životom, koja ne dopušta ravnodušnost prema svijetu i odricanje od njega, jer ga je stvorio Bog, nije u patnji nikada prepoznala temeljni oblik života, nego Božji poziv čovje</w:t>
        <w:softHyphen/>
        <w:t>ku da bude stvoritelj po njegovoj volji: »Ako čovjek vidi da će ga snaći p., neka preispita svoja djela... Ako ih je ispitao i nije ništa (ne</w:t>
        <w:softHyphen/>
        <w:t>dostojno u njima) našao, neka potraži razlog svoje patnje u zanemarivanju učenja Tore... Ako (ni) tada nije ništa našao, onda su to svakako kažnjavanja ljubavi« koje u ljubavi treba prihvatiti (b Berahot 5a).</w:t>
      </w:r>
    </w:p>
    <w:p>
      <w:pPr>
        <w:pStyle w:val="Style56"/>
        <w:keepNext w:val="0"/>
        <w:keepLines w:val="0"/>
        <w:widowControl w:val="0"/>
        <w:shd w:val="clear" w:color="auto" w:fill="auto"/>
        <w:tabs>
          <w:tab w:pos="2448"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H L. Strack/P. Billcrbcck, </w:t>
      </w:r>
      <w:r>
        <w:rPr>
          <w:i/>
          <w:iCs/>
          <w:color w:val="000000"/>
          <w:spacing w:val="0"/>
          <w:w w:val="100"/>
          <w:position w:val="0"/>
          <w:shd w:val="clear" w:color="auto" w:fill="auto"/>
          <w:lang w:val="hr-HR" w:eastAsia="hr-HR" w:bidi="hr-HR"/>
        </w:rPr>
        <w:t>Konunentar zum Netten Tes</w:t>
        <w:softHyphen/>
        <w:t xml:space="preserve">tament aus </w:t>
      </w:r>
      <w:r>
        <w:rPr>
          <w:i/>
          <w:iCs/>
          <w:color w:val="000000"/>
          <w:spacing w:val="0"/>
          <w:w w:val="100"/>
          <w:position w:val="0"/>
          <w:shd w:val="clear" w:color="auto" w:fill="auto"/>
        </w:rPr>
        <w:t xml:space="preserve">Talmud und Midrasch </w:t>
      </w:r>
      <w:r>
        <w:rPr>
          <w:i/>
          <w:iCs/>
          <w:color w:val="000000"/>
          <w:spacing w:val="0"/>
          <w:w w:val="100"/>
          <w:position w:val="0"/>
          <w:shd w:val="clear" w:color="auto" w:fill="auto"/>
          <w:lang w:val="hr-HR" w:eastAsia="hr-HR" w:bidi="hr-HR"/>
        </w:rPr>
        <w:t>II,</w:t>
      </w:r>
      <w:r>
        <w:rPr>
          <w:color w:val="000000"/>
          <w:spacing w:val="0"/>
          <w:w w:val="100"/>
          <w:position w:val="0"/>
          <w:shd w:val="clear" w:color="auto" w:fill="auto"/>
          <w:lang w:val="hr-HR" w:eastAsia="hr-HR" w:bidi="hr-HR"/>
        </w:rPr>
        <w:t xml:space="preserve"> 1924/</w:t>
      </w:r>
      <w:r>
        <w:rPr>
          <w:color w:val="000000"/>
          <w:spacing w:val="0"/>
          <w:w w:val="100"/>
          <w:position w:val="0"/>
          <w:shd w:val="clear" w:color="auto" w:fill="auto"/>
          <w:vertAlign w:val="superscript"/>
          <w:lang w:val="hr-HR" w:eastAsia="hr-HR" w:bidi="hr-HR"/>
        </w:rPr>
        <w:t>,</w:t>
      </w:r>
      <w:r>
        <w:rPr>
          <w:color w:val="000000"/>
          <w:spacing w:val="0"/>
          <w:w w:val="100"/>
          <w:position w:val="0"/>
          <w:shd w:val="clear" w:color="auto" w:fill="auto"/>
          <w:lang w:val="hr-HR" w:eastAsia="hr-HR" w:bidi="hr-HR"/>
        </w:rPr>
        <w:t xml:space="preserve">l 978, 274—82, C. G Montcfiorc.'H. </w:t>
      </w:r>
      <w:r>
        <w:rPr>
          <w:color w:val="000000"/>
          <w:spacing w:val="0"/>
          <w:w w:val="100"/>
          <w:position w:val="0"/>
          <w:shd w:val="clear" w:color="auto" w:fill="auto"/>
        </w:rPr>
        <w:t xml:space="preserve">Loewe, </w:t>
      </w:r>
      <w:r>
        <w:rPr>
          <w:i/>
          <w:iCs/>
          <w:color w:val="000000"/>
          <w:spacing w:val="0"/>
          <w:w w:val="100"/>
          <w:position w:val="0"/>
          <w:shd w:val="clear" w:color="auto" w:fill="auto"/>
        </w:rPr>
        <w:t>A Rabbinic Anthology.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1974, 542 i d., 583 i d.; J. Maicr/P. </w:t>
      </w:r>
      <w:r>
        <w:rPr>
          <w:color w:val="000000"/>
          <w:spacing w:val="0"/>
          <w:w w:val="100"/>
          <w:position w:val="0"/>
          <w:shd w:val="clear" w:color="auto" w:fill="auto"/>
        </w:rPr>
        <w:t xml:space="preserve">Schafer, </w:t>
      </w:r>
      <w:r>
        <w:rPr>
          <w:i/>
          <w:iCs/>
          <w:color w:val="000000"/>
          <w:spacing w:val="0"/>
          <w:w w:val="100"/>
          <w:position w:val="0"/>
          <w:shd w:val="clear" w:color="auto" w:fill="auto"/>
        </w:rPr>
        <w:t xml:space="preserve">Kleines Lexikon </w:t>
      </w:r>
      <w:r>
        <w:rPr>
          <w:i/>
          <w:iCs/>
          <w:color w:val="000000"/>
          <w:spacing w:val="0"/>
          <w:w w:val="100"/>
          <w:position w:val="0"/>
          <w:shd w:val="clear" w:color="auto" w:fill="auto"/>
          <w:lang w:val="hr-HR" w:eastAsia="hr-HR" w:bidi="hr-HR"/>
        </w:rPr>
        <w:t xml:space="preserve">desJuden- </w:t>
      </w:r>
      <w:r>
        <w:rPr>
          <w:i/>
          <w:iCs/>
          <w:color w:val="000000"/>
          <w:spacing w:val="0"/>
          <w:w w:val="100"/>
          <w:position w:val="0"/>
          <w:shd w:val="clear" w:color="auto" w:fill="auto"/>
        </w:rPr>
        <w:t>turns,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1981, 186 i d.; G. B. </w:t>
      </w:r>
      <w:r>
        <w:rPr>
          <w:color w:val="000000"/>
          <w:spacing w:val="0"/>
          <w:w w:val="100"/>
          <w:position w:val="0"/>
          <w:shd w:val="clear" w:color="auto" w:fill="auto"/>
        </w:rPr>
        <w:t xml:space="preserve">Ginzel.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rPr>
        <w:t xml:space="preserve">Auschwitz </w:t>
      </w:r>
      <w:r>
        <w:rPr>
          <w:i/>
          <w:iCs/>
          <w:color w:val="000000"/>
          <w:spacing w:val="0"/>
          <w:w w:val="100"/>
          <w:position w:val="0"/>
          <w:shd w:val="clear" w:color="auto" w:fill="auto"/>
          <w:lang w:val="hr-HR" w:eastAsia="hr-HR" w:bidi="hr-HR"/>
        </w:rPr>
        <w:t xml:space="preserve">als Hcrausforderung furjuden ud </w:t>
      </w:r>
      <w:r>
        <w:rPr>
          <w:i/>
          <w:iCs/>
          <w:color w:val="000000"/>
          <w:spacing w:val="0"/>
          <w:w w:val="100"/>
          <w:position w:val="0"/>
          <w:shd w:val="clear" w:color="auto" w:fill="auto"/>
        </w:rPr>
        <w:t>Christen,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198(1, 132 i d . 157 i d.. 413-80.</w:t>
        <w:tab/>
        <w:t>D. VE'ITER</w:t>
      </w:r>
    </w:p>
    <w:p>
      <w:pPr>
        <w:pStyle w:val="Style63"/>
        <w:keepNext/>
        <w:keepLines/>
        <w:widowControl w:val="0"/>
        <w:numPr>
          <w:ilvl w:val="0"/>
          <w:numId w:val="405"/>
        </w:numPr>
        <w:shd w:val="clear" w:color="auto" w:fill="auto"/>
        <w:tabs>
          <w:tab w:pos="260" w:val="left"/>
        </w:tabs>
        <w:bidi w:val="0"/>
        <w:spacing w:before="0" w:after="80" w:line="223" w:lineRule="auto"/>
        <w:ind w:left="0" w:right="0" w:firstLine="0"/>
        <w:jc w:val="both"/>
      </w:pPr>
      <w:bookmarkStart w:id="250" w:name="bookmark25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5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 u jednoj drugoj religijskoj tradieiji nije p. tako snažno prikazana u slikama kao u krš</w:t>
        <w:softHyphen/>
        <w:t>ćanstvu - makar su ti prikazi stoljećima bili teološki osporavani. Uz klasičan prizor raspe</w:t>
        <w:softHyphen/>
        <w:t>ća ili mučeništva mogu se gotovo proizvoljno očitati fizičke, psihičke i socijalne dimenzije ljudske patnje. P. u kršćanskom shvaćanju ne obuhvaća samo tjelesnu bol nego i učinke mo</w:t>
        <w:softHyphen/>
        <w:t>ralnog zla sve do sudbonosne nesreće. Za krš</w:t>
        <w:softHyphen/>
        <w:t>ćane je p. nerazrješivo povezana s grijehom čiji je podstrekač đavao i čija je naplata pa</w:t>
        <w:softHyphen/>
        <w:t>kao. Pa ipak, p. kao čista kazna sužava kršćan</w:t>
        <w:softHyphen/>
        <w:t>sko shvaćanje i Isus ju je izričito odbacio (usp. Iv 9,1-7; Lk 13,1-5). Ključ za razumijevanje patnje može se lakše naći u njegovim riječima: Blago vama, siromasi, ... koji sada gladujete ... koji sada plačete ... kad vas ljudi zamrze ...« (Lk 6,20-22). Kao što je sigurno da je Isus točno ove riječi rekao uistinu siromaš</w:t>
        <w:softHyphen/>
        <w:t>nima i patnicima u svojoj okolini, tako je on stvarno propatio svoju vlastitu muku, a suče</w:t>
        <w:softHyphen/>
        <w:t>ljavanje s patnjom istodobno je trajan pokušaj da se izađe na kraj s tom nepobitnom činjeni</w:t>
        <w:softHyphen/>
        <w:t>com.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Sjećanje na Isusovu muku djelovalo je zapra</w:t>
        <w:softHyphen/>
        <w:t xml:space="preserve">vo kao uzor najprije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Njegove su osobne patnje »Kristove patnje« koje sa so</w:t>
        <w:softHyphen/>
        <w:t>bom donose »preobilnu utjehu« (2 Kor 1,5); i on ohrabruje zajednicu da ga u tome slijedi kao »ljudi bez ičega ... a zapravo oni koji po</w:t>
        <w:softHyphen/>
        <w:t>sjeduju sve« (6,10). Trebamo »s njim trpjeti - da s njim budemo i proslavljeni« (Rim 8,17), doduše u spoznaji »da sva stvorenja zajedno uzdišu i da se sva skupa nalaze u porođajnim mukama sve dosad«, ali u nadi »objavljivanja sinova Božjih« (8,19.22). U vrijeme prvih pro</w:t>
        <w:softHyphen/>
        <w:t>gona kršćana p. je bila shvaćena kao iskuša</w:t>
        <w:softHyphen/>
        <w:t>vanje vjere (usp. »propadljivo zlato koje se iskušava u vatri«, 1 Pt 1,7; Jak 1,2-4, Heb 12,4-11).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 praksa prevladavanja patnje, koja čini pat</w:t>
        <w:softHyphen/>
        <w:t xml:space="preserve">nju korisnom za vjeru, kršćanima je svaki puta bila važnija od teorija koje trebaju osvijetliti patnju kao ‘problem’! Pa ipak, kršćani su vrlo </w:t>
      </w:r>
      <w:r>
        <w:rPr>
          <w:rFonts w:ascii="Times New Roman" w:eastAsia="Times New Roman" w:hAnsi="Times New Roman" w:cs="Times New Roman"/>
          <w:color w:val="000000"/>
          <w:spacing w:val="0"/>
          <w:w w:val="100"/>
          <w:position w:val="0"/>
          <w:shd w:val="clear" w:color="auto" w:fill="auto"/>
          <w:lang w:val="hr-HR" w:eastAsia="hr-HR" w:bidi="hr-HR"/>
        </w:rPr>
        <w:t>rano bili suočeni s pitanjem stoika: Kako Bog, koji je istodobno nadasve dobar i svemoćan, uopće može dopustiti zlo? Još je Toma Akvin- ski jasno prepoznao značenje toga pitanja za teologiju. Polazište za rješenje, koje prevla</w:t>
        <w:softHyphen/>
        <w:t>dava u povijesti vjere, potječe od Augustina: Stvorenje je u svojoj biti dobro i zato p. može biti samo od Boga dopušten nedostatak u do</w:t>
        <w:softHyphen/>
        <w:t>brome. Drugo je polazište koje seže do Ire- neja i koje je teologija dosta napustila, ali je posvuda prisutno u duhovnosti: P. je uistinu nešto loše, ali što je Bog izričito htio da bi čovjeka podvrgnuo procesu učenja pri kojem postaje sve sličniji Bogu.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Kršćanstvu se u njegovu sučeljavanju sa zlom često predbacivao robovski moral podređenos</w:t>
        <w:softHyphen/>
        <w:t>ti, čak fatalizam i mazohizam; kršćanstvo je navodno sublimiralo patnju umjesto da svlada njezine uzroke. Pa ipak, kršćansko shvaćanje patnje sadrži posvemašnju mogućnost da svla</w:t>
        <w:softHyphen/>
        <w:t>da apatičnost (nesposobnost za proživljavanje patnje) i potmulu nijemost u pogledu patnje, te da je preobrazi u optužbu i protest, u prih</w:t>
        <w:softHyphen/>
        <w:t>vaćanje i priopćavanje patnje kako bi radilo na njezinu svladavanju i smanjivanju u soli</w:t>
        <w:softHyphen/>
        <w:t>darnosti sa svim ljudima.</w:t>
      </w:r>
    </w:p>
    <w:p>
      <w:pPr>
        <w:pStyle w:val="Style56"/>
        <w:keepNext w:val="0"/>
        <w:keepLines w:val="0"/>
        <w:widowControl w:val="0"/>
        <w:shd w:val="clear" w:color="auto" w:fill="auto"/>
        <w:tabs>
          <w:tab w:pos="2645" w:val="left"/>
        </w:tabs>
        <w:bidi w:val="0"/>
        <w:spacing w:before="0" w:after="120" w:line="240" w:lineRule="auto"/>
        <w:ind w:left="0" w:right="0" w:firstLine="0"/>
        <w:jc w:val="both"/>
      </w:pPr>
      <w:r>
        <w:rPr>
          <w:color w:val="000000"/>
          <w:spacing w:val="0"/>
          <w:w w:val="100"/>
          <w:position w:val="0"/>
          <w:shd w:val="clear" w:color="auto" w:fill="auto"/>
        </w:rPr>
        <w:t xml:space="preserve">Lit.: J, Bowker. </w:t>
      </w:r>
      <w:r>
        <w:rPr>
          <w:i/>
          <w:iCs/>
          <w:color w:val="000000"/>
          <w:spacing w:val="0"/>
          <w:w w:val="100"/>
          <w:position w:val="0"/>
          <w:shd w:val="clear" w:color="auto" w:fill="auto"/>
        </w:rPr>
        <w:t>Problems of Suffering in Religions of the World.</w:t>
      </w:r>
      <w:r>
        <w:rPr>
          <w:color w:val="000000"/>
          <w:spacing w:val="0"/>
          <w:w w:val="100"/>
          <w:position w:val="0"/>
          <w:shd w:val="clear" w:color="auto" w:fill="auto"/>
        </w:rPr>
        <w:t xml:space="preserve"> Cambridge 1970; J. Hick. </w:t>
      </w:r>
      <w:r>
        <w:rPr>
          <w:i/>
          <w:iCs/>
          <w:color w:val="000000"/>
          <w:spacing w:val="0"/>
          <w:w w:val="100"/>
          <w:position w:val="0"/>
          <w:shd w:val="clear" w:color="auto" w:fill="auto"/>
        </w:rPr>
        <w:t>Evil and the God of the Love.</w:t>
      </w:r>
      <w:r>
        <w:rPr>
          <w:color w:val="000000"/>
          <w:spacing w:val="0"/>
          <w:w w:val="100"/>
          <w:position w:val="0"/>
          <w:shd w:val="clear" w:color="auto" w:fill="auto"/>
        </w:rPr>
        <w:t xml:space="preserve"> New York 1966; D. Suite. </w:t>
      </w:r>
      <w:r>
        <w:rPr>
          <w:i/>
          <w:iCs/>
          <w:color w:val="000000"/>
          <w:spacing w:val="0"/>
          <w:w w:val="100"/>
          <w:position w:val="0"/>
          <w:shd w:val="clear" w:color="auto" w:fill="auto"/>
        </w:rPr>
        <w:t>Leiden,</w:t>
      </w:r>
      <w:r>
        <w:rPr>
          <w:color w:val="000000"/>
          <w:spacing w:val="0"/>
          <w:w w:val="100"/>
          <w:position w:val="0"/>
          <w:shd w:val="clear" w:color="auto" w:fill="auto"/>
        </w:rPr>
        <w:t xml:space="preserve"> Stuttgatt/Bcrlin 1973.</w:t>
        <w:tab/>
        <w:t>J M/XY</w:t>
      </w:r>
    </w:p>
    <w:p>
      <w:pPr>
        <w:pStyle w:val="Style63"/>
        <w:keepNext/>
        <w:keepLines/>
        <w:widowControl w:val="0"/>
        <w:numPr>
          <w:ilvl w:val="0"/>
          <w:numId w:val="405"/>
        </w:numPr>
        <w:shd w:val="clear" w:color="auto" w:fill="auto"/>
        <w:tabs>
          <w:tab w:pos="270" w:val="left"/>
        </w:tabs>
        <w:bidi w:val="0"/>
        <w:spacing w:before="0" w:line="223" w:lineRule="auto"/>
        <w:ind w:left="0" w:right="0" w:firstLine="0"/>
        <w:jc w:val="both"/>
      </w:pPr>
      <w:bookmarkStart w:id="251" w:name="bookmark251"/>
      <w:r>
        <w:rPr>
          <w:rFonts w:ascii="Times New Roman" w:eastAsia="Times New Roman" w:hAnsi="Times New Roman" w:cs="Times New Roman"/>
          <w:color w:val="000000"/>
          <w:spacing w:val="0"/>
          <w:w w:val="100"/>
          <w:position w:val="0"/>
          <w:shd w:val="clear" w:color="auto" w:fill="auto"/>
          <w:lang w:val="hr-HR" w:eastAsia="hr-HR" w:bidi="hr-HR"/>
        </w:rPr>
        <w:t>islamski</w:t>
      </w:r>
      <w:bookmarkEnd w:id="25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središte islamske vjere nije uključen nika</w:t>
        <w:softHyphen/>
        <w:t>kav događaj patnje koji bi imao spasenjsko značenje, na kojemu bi se mogla izgraditi teo</w:t>
        <w:softHyphen/>
        <w:t>logija patnje. Šijitski islam predstavlja iznim</w:t>
        <w:softHyphen/>
        <w:t>ku u pogledu toga. Predodređen za životnu borbu, čovjek je izložen stalnim strahovima i patnjama. No život pruža i mnoge radosti. Muslimanska je slika svijeta prije optimistična nego pesimistična. Čovjeku se s bogoslužjem pruža prilika za sklapanje prijateljstva s Bo</w:t>
        <w:softHyphen/>
        <w:t>gom. »Zaista za Božje prijatelje nema straha niti će oni tugovati« (10,62). Snagom duše, koja raste iz takova odnosa povjerenja, mogu se bolje svladati životni problemi a p. lakše podnositi.</w:t>
      </w:r>
    </w:p>
    <w:p>
      <w:pPr>
        <w:pStyle w:val="Style20"/>
        <w:keepNext w:val="0"/>
        <w:keepLines w:val="0"/>
        <w:widowControl w:val="0"/>
        <w:shd w:val="clear" w:color="auto" w:fill="auto"/>
        <w:bidi w:val="0"/>
        <w:spacing w:before="0" w:after="60"/>
        <w:ind w:left="0" w:right="0" w:firstLine="0"/>
        <w:jc w:val="both"/>
        <w:sectPr>
          <w:headerReference w:type="default" r:id="rId1055"/>
          <w:footerReference w:type="default" r:id="rId1056"/>
          <w:headerReference w:type="even" r:id="rId1057"/>
          <w:footerReference w:type="even" r:id="rId1058"/>
          <w:headerReference w:type="first" r:id="rId1059"/>
          <w:footerReference w:type="first" r:id="rId1060"/>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Šijitski</w:t>
      </w:r>
      <w:r>
        <w:rPr>
          <w:rFonts w:ascii="Times New Roman" w:eastAsia="Times New Roman" w:hAnsi="Times New Roman" w:cs="Times New Roman"/>
          <w:color w:val="000000"/>
          <w:spacing w:val="0"/>
          <w:w w:val="100"/>
          <w:position w:val="0"/>
          <w:shd w:val="clear" w:color="auto" w:fill="auto"/>
          <w:lang w:val="hr-HR" w:eastAsia="hr-HR" w:bidi="hr-HR"/>
        </w:rPr>
        <w:t xml:space="preserve"> islam poznaje motiv pasije. To je uboj</w:t>
        <w:softHyphen/>
        <w:t>stvo Huseina, Muhamcdova unuka, u Kerbeli 680. godine. Jedan motiv pasije bio je prisutan i u vrijeme prvih naviještanja u Meki. Zbog događaja u Medini taj se motiv kasnije izgu</w:t>
        <w:softHyphen/>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bio. Novonastali motiv pasije omogućio jc kod šijita nastanak religioznih predodžbi kojih ina</w:t>
        <w:softHyphen/>
        <w:t>če nema u islamu. Tu spadaju pojava božan</w:t>
        <w:softHyphen/>
        <w:t>skoga u čovjeku i paruzija (usp. Shi'a, u: HI, 685).</w:t>
      </w:r>
    </w:p>
    <w:p>
      <w:pPr>
        <w:pStyle w:val="Style56"/>
        <w:keepNext w:val="0"/>
        <w:keepLines w:val="0"/>
        <w:widowControl w:val="0"/>
        <w:shd w:val="clear" w:color="auto" w:fill="auto"/>
        <w:tabs>
          <w:tab w:pos="2520" w:val="left"/>
        </w:tabs>
        <w:bidi w:val="0"/>
        <w:spacing w:before="0" w:after="340" w:line="240" w:lineRule="auto"/>
        <w:ind w:left="0" w:right="0" w:firstLine="0"/>
        <w:jc w:val="both"/>
      </w:pPr>
      <w:r>
        <w:rPr>
          <w:color w:val="000000"/>
          <w:spacing w:val="0"/>
          <w:w w:val="100"/>
          <w:position w:val="0"/>
          <w:shd w:val="clear" w:color="auto" w:fill="auto"/>
        </w:rPr>
        <w:t xml:space="preserve">Lit. Mahmoud </w:t>
      </w: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Ayoub, The </w:t>
      </w:r>
      <w:r>
        <w:rPr>
          <w:color w:val="000000"/>
          <w:spacing w:val="0"/>
          <w:w w:val="100"/>
          <w:position w:val="0"/>
          <w:shd w:val="clear" w:color="auto" w:fill="auto"/>
          <w:lang w:val="hr-HR" w:eastAsia="hr-HR" w:bidi="hr-HR"/>
        </w:rPr>
        <w:t xml:space="preserve">Problem </w:t>
      </w:r>
      <w:r>
        <w:rPr>
          <w:color w:val="000000"/>
          <w:spacing w:val="0"/>
          <w:w w:val="100"/>
          <w:position w:val="0"/>
          <w:shd w:val="clear" w:color="auto" w:fill="auto"/>
        </w:rPr>
        <w:t>of .suffering in Is</w:t>
        <w:softHyphen/>
        <w:t xml:space="preserve">lam, U, u: </w:t>
      </w:r>
      <w:r>
        <w:rPr>
          <w:i/>
          <w:iCs/>
          <w:color w:val="000000"/>
          <w:spacing w:val="0"/>
          <w:w w:val="100"/>
          <w:position w:val="0"/>
          <w:shd w:val="clear" w:color="auto" w:fill="auto"/>
        </w:rPr>
        <w:t>Alserat</w:t>
      </w:r>
      <w:r>
        <w:rPr>
          <w:color w:val="000000"/>
          <w:spacing w:val="0"/>
          <w:w w:val="100"/>
          <w:position w:val="0"/>
          <w:shd w:val="clear" w:color="auto" w:fill="auto"/>
        </w:rPr>
        <w:t xml:space="preserve"> 8 (1982) 2, 3/4, 11-21; 26-35; ‘Umar Austin, Suffering in Muslim religious thought, u: </w:t>
      </w:r>
      <w:r>
        <w:rPr>
          <w:i/>
          <w:iCs/>
          <w:color w:val="000000"/>
          <w:spacing w:val="0"/>
          <w:w w:val="100"/>
          <w:position w:val="0"/>
          <w:shd w:val="clear" w:color="auto" w:fill="auto"/>
        </w:rPr>
        <w:t>Islamic Quaierly</w:t>
      </w:r>
      <w:r>
        <w:rPr>
          <w:color w:val="000000"/>
          <w:spacing w:val="0"/>
          <w:w w:val="100"/>
          <w:position w:val="0"/>
          <w:shd w:val="clear" w:color="auto" w:fill="auto"/>
        </w:rPr>
        <w:t xml:space="preserve"> 26 (1982), 27-39.</w:t>
        <w:tab/>
        <w:t xml:space="preserve">S </w:t>
      </w:r>
      <w:r>
        <w:rPr>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2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PISMO </w:t>
      </w:r>
      <w:r>
        <w:rPr>
          <w:rFonts w:ascii="Times New Roman" w:eastAsia="Times New Roman" w:hAnsi="Times New Roman" w:cs="Times New Roman"/>
          <w:b/>
          <w:bCs/>
          <w:color w:val="000000"/>
          <w:spacing w:val="0"/>
          <w:w w:val="100"/>
          <w:position w:val="0"/>
          <w:shd w:val="clear" w:color="auto" w:fill="auto"/>
          <w:lang w:val="en-US" w:eastAsia="en-US" w:bidi="en-US"/>
        </w:rPr>
        <w:t xml:space="preserve">-&gt; </w:t>
      </w:r>
      <w:r>
        <w:rPr>
          <w:rFonts w:ascii="Times New Roman" w:eastAsia="Times New Roman" w:hAnsi="Times New Roman" w:cs="Times New Roman"/>
          <w:b/>
          <w:bCs/>
          <w:color w:val="000000"/>
          <w:spacing w:val="0"/>
          <w:w w:val="100"/>
          <w:position w:val="0"/>
          <w:shd w:val="clear" w:color="auto" w:fill="auto"/>
          <w:lang w:val="hr-HR" w:eastAsia="hr-HR" w:bidi="hr-HR"/>
        </w:rPr>
        <w:t>SVETO PISMO</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POGANI</w:t>
      </w:r>
    </w:p>
    <w:p>
      <w:pPr>
        <w:pStyle w:val="Style63"/>
        <w:keepNext/>
        <w:keepLines/>
        <w:widowControl w:val="0"/>
        <w:numPr>
          <w:ilvl w:val="0"/>
          <w:numId w:val="407"/>
        </w:numPr>
        <w:shd w:val="clear" w:color="auto" w:fill="auto"/>
        <w:tabs>
          <w:tab w:pos="250" w:val="left"/>
        </w:tabs>
        <w:bidi w:val="0"/>
        <w:spacing w:before="0"/>
        <w:ind w:left="0" w:right="0" w:firstLine="0"/>
        <w:jc w:val="both"/>
      </w:pPr>
      <w:bookmarkStart w:id="252" w:name="bookmark252"/>
      <w:r>
        <w:rPr>
          <w:rFonts w:ascii="Times New Roman" w:eastAsia="Times New Roman" w:hAnsi="Times New Roman" w:cs="Times New Roman"/>
          <w:color w:val="000000"/>
          <w:spacing w:val="0"/>
          <w:w w:val="100"/>
          <w:position w:val="0"/>
          <w:shd w:val="clear" w:color="auto" w:fill="auto"/>
          <w:lang w:val="hr-HR" w:eastAsia="hr-HR" w:bidi="hr-HR"/>
        </w:rPr>
        <w:t>židovski</w:t>
      </w:r>
      <w:bookmarkEnd w:id="25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Dva suprotna stajališta svijeta naroda u biblij</w:t>
        <w:softHyphen/>
        <w:t>skoj i talmudskoj literaturi otežavaju rasvjet</w:t>
        <w:softHyphen/>
        <w:t>ljavanje stvarnoga stanja. Jedno je stvoreno na svijesti zajednice ustanovljene prema pro</w:t>
        <w:softHyphen/>
        <w:t>pisima (Izl 20,2—17) koja se primjereno obra</w:t>
        <w:softHyphen/>
        <w:t>ća pojedincu kao cjelini. Snaga koja ujedinjuje zakonodavnih Deset zapovijedi (Izl 34,28; Pnz 4,13; 10,4) proizlazi iz samoopredjeljenja Bo</w:t>
        <w:softHyphen/>
        <w:t>ga kao spasitelja Izraela kojemu se obraća, a time i svakom pojedincu u oslobođenom na</w:t>
        <w:softHyphen/>
        <w:t>rodu (Izl 20,2), ali ne iz naglašavanja njegove uloge vladara svijeta, a on to ipak jest (19,5). Prema volji davatelja temeljnoga zakona taj se zakon treba izvršiti u životu (ne u vjeri) za</w:t>
        <w:softHyphen/>
        <w:t>jednice, tj. priznati njegovu isključivu vlast i vodstvo u povijesno djelotvornom odvajanju od drugih naroda i njihovih bogova odbija</w:t>
        <w:softHyphen/>
        <w:t>njem služenja idolima, slikama i čarobnjaštvu (20,3-6). Radi očuvanja i zaštite žive veze sa svojim Gospodinom, izabrana zajednica mo</w:t>
        <w:softHyphen/>
        <w:t>rala se odijeliti od naroda među kojima je ži</w:t>
        <w:softHyphen/>
        <w:t>vjela i nije smjela postupati prema »zakoni</w:t>
        <w:softHyphen/>
        <w:t xml:space="preserve">ma, običajima naroda« </w:t>
      </w:r>
      <w:r>
        <w:rPr>
          <w:rFonts w:ascii="Times New Roman" w:eastAsia="Times New Roman" w:hAnsi="Times New Roman" w:cs="Times New Roman"/>
          <w:i/>
          <w:iCs/>
          <w:color w:val="000000"/>
          <w:spacing w:val="0"/>
          <w:w w:val="100"/>
          <w:position w:val="0"/>
          <w:shd w:val="clear" w:color="auto" w:fill="auto"/>
          <w:lang w:val="hr-HR" w:eastAsia="hr-HR" w:bidi="hr-HR"/>
        </w:rPr>
        <w:t>(hukot ha-gojim,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18,1-5; 20,1-4.23; Pnz 12,31; 18,11-14; Jr 10,2) niti se s njima oroditi sklapanjem braka (Izl 34,11-16; Pnz 7,2-6; Ezr 9 i d.); ona se mora kloniti svih stranih propisa i običaja koji bi jc mogli navesti na idolopoklonstvo ili bez- božništvo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 b Sabat 67a; </w:t>
      </w:r>
      <w:r>
        <w:rPr>
          <w:rFonts w:ascii="Times New Roman" w:eastAsia="Times New Roman" w:hAnsi="Times New Roman" w:cs="Times New Roman"/>
          <w:color w:val="000000"/>
          <w:spacing w:val="0"/>
          <w:w w:val="100"/>
          <w:position w:val="0"/>
          <w:shd w:val="clear" w:color="auto" w:fill="auto"/>
          <w:lang w:val="en-US" w:eastAsia="en-US" w:bidi="en-US"/>
        </w:rPr>
        <w:t>Sanhe</w:t>
        <w:softHyphen/>
        <w:t xml:space="preserve">drin </w:t>
      </w:r>
      <w:r>
        <w:rPr>
          <w:rFonts w:ascii="Times New Roman" w:eastAsia="Times New Roman" w:hAnsi="Times New Roman" w:cs="Times New Roman"/>
          <w:color w:val="000000"/>
          <w:spacing w:val="0"/>
          <w:w w:val="100"/>
          <w:position w:val="0"/>
          <w:shd w:val="clear" w:color="auto" w:fill="auto"/>
          <w:lang w:val="hr-HR" w:eastAsia="hr-HR" w:bidi="hr-HR"/>
        </w:rPr>
        <w:t xml:space="preserve">101a; Tos. Sabat VII i VIII; Majmonid, Misne Tora, </w:t>
      </w:r>
      <w:r>
        <w:rPr>
          <w:rFonts w:ascii="Times New Roman" w:eastAsia="Times New Roman" w:hAnsi="Times New Roman" w:cs="Times New Roman"/>
          <w:color w:val="000000"/>
          <w:spacing w:val="0"/>
          <w:w w:val="100"/>
          <w:position w:val="0"/>
          <w:shd w:val="clear" w:color="auto" w:fill="auto"/>
          <w:lang w:val="en-US" w:eastAsia="en-US" w:bidi="en-US"/>
        </w:rPr>
        <w:t xml:space="preserve">Hilhot </w:t>
      </w:r>
      <w:r>
        <w:rPr>
          <w:rFonts w:ascii="Times New Roman" w:eastAsia="Times New Roman" w:hAnsi="Times New Roman" w:cs="Times New Roman"/>
          <w:color w:val="000000"/>
          <w:spacing w:val="0"/>
          <w:w w:val="100"/>
          <w:position w:val="0"/>
          <w:shd w:val="clear" w:color="auto" w:fill="auto"/>
          <w:lang w:val="hr-HR" w:eastAsia="hr-HR" w:bidi="hr-HR"/>
        </w:rPr>
        <w:t>akum XI,1,2; Šulhan aruh, Jore dea 178,1,2). Taj zahtjev postavljen izabranom narodu, koji je njegova beskrajna patnička povijest pod vladavinom stranih na</w:t>
        <w:softHyphen/>
        <w:t>roda samo pooštrila nakon razorcnja prvoga, a posebice drugoga Hrama, stvorio je nega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tivno značenje riječi »narodi« </w:t>
      </w:r>
      <w:r>
        <w:rPr>
          <w:rFonts w:ascii="Times New Roman" w:eastAsia="Times New Roman" w:hAnsi="Times New Roman" w:cs="Times New Roman"/>
          <w:i/>
          <w:iCs/>
          <w:color w:val="000000"/>
          <w:spacing w:val="0"/>
          <w:w w:val="100"/>
          <w:position w:val="0"/>
          <w:shd w:val="clear" w:color="auto" w:fill="auto"/>
          <w:lang w:val="hr-HR" w:eastAsia="hr-HR" w:bidi="hr-HR"/>
        </w:rPr>
        <w:t>(gojim)</w:t>
      </w:r>
      <w:r>
        <w:rPr>
          <w:rFonts w:ascii="Times New Roman" w:eastAsia="Times New Roman" w:hAnsi="Times New Roman" w:cs="Times New Roman"/>
          <w:color w:val="000000"/>
          <w:spacing w:val="0"/>
          <w:w w:val="100"/>
          <w:position w:val="0"/>
          <w:shd w:val="clear" w:color="auto" w:fill="auto"/>
          <w:lang w:val="hr-HR" w:eastAsia="hr-HR" w:bidi="hr-HR"/>
        </w:rPr>
        <w:t xml:space="preserve"> kao »p.« koji »ne poznaju« istinskoga, jedinog Bo</w:t>
        <w:softHyphen/>
        <w:t xml:space="preserve">ga (Jr 10,25; Ps 79,6), tj. istoga pojma koji Izrael može označiti kao »sveti narod« </w:t>
      </w:r>
      <w:r>
        <w:rPr>
          <w:rFonts w:ascii="Times New Roman" w:eastAsia="Times New Roman" w:hAnsi="Times New Roman" w:cs="Times New Roman"/>
          <w:i/>
          <w:iCs/>
          <w:color w:val="000000"/>
          <w:spacing w:val="0"/>
          <w:w w:val="100"/>
          <w:position w:val="0"/>
          <w:shd w:val="clear" w:color="auto" w:fill="auto"/>
          <w:lang w:val="hr-HR" w:eastAsia="hr-HR" w:bidi="hr-HR"/>
        </w:rPr>
        <w:t>(goj kado!)</w:t>
      </w:r>
      <w:r>
        <w:rPr>
          <w:rFonts w:ascii="Times New Roman" w:eastAsia="Times New Roman" w:hAnsi="Times New Roman" w:cs="Times New Roman"/>
          <w:color w:val="000000"/>
          <w:spacing w:val="0"/>
          <w:w w:val="100"/>
          <w:position w:val="0"/>
          <w:shd w:val="clear" w:color="auto" w:fill="auto"/>
          <w:lang w:val="hr-HR" w:eastAsia="hr-HR" w:bidi="hr-HR"/>
        </w:rPr>
        <w:t xml:space="preserve"> (Izl 19,6). Iz zabrinutosti mudraca za opstanak izabranoga naroda i njegove zadaće izrasle su one izreke sačuvane u tradicijskoj literaturi koje židovstvo, izloženo opasnim utjecajima svojeg okoliša, trebaju podsjećali na njegovu obvezu koju im je dao Bog i pod- grijavati ga, izreke koje su uvijek ponovno tu</w:t>
        <w:softHyphen/>
        <w:t xml:space="preserve">mačili kao preuzetan »sud stare sinagoge o </w:t>
      </w:r>
      <w:r>
        <w:rPr>
          <w:rFonts w:ascii="Times New Roman" w:eastAsia="Times New Roman" w:hAnsi="Times New Roman" w:cs="Times New Roman"/>
          <w:i/>
          <w:iCs/>
          <w:color w:val="000000"/>
          <w:spacing w:val="0"/>
          <w:w w:val="100"/>
          <w:position w:val="0"/>
          <w:shd w:val="clear" w:color="auto" w:fill="auto"/>
          <w:lang w:val="hr-HR" w:eastAsia="hr-HR" w:bidi="hr-HR"/>
        </w:rPr>
        <w:t>gojim</w:t>
      </w:r>
      <w:r>
        <w:rPr>
          <w:rFonts w:ascii="Times New Roman" w:eastAsia="Times New Roman" w:hAnsi="Times New Roman" w:cs="Times New Roman"/>
          <w:color w:val="000000"/>
          <w:spacing w:val="0"/>
          <w:w w:val="100"/>
          <w:position w:val="0"/>
          <w:shd w:val="clear" w:color="auto" w:fill="auto"/>
          <w:lang w:val="hr-HR" w:eastAsia="hr-HR" w:bidi="hr-HR"/>
        </w:rPr>
        <w:t xml:space="preserve"> (neizraclcima)« (usp. H. L. Strack/P. Billerbeck,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Kommentar zum Neuen Testament aus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Talmud </w:t>
      </w:r>
      <w:r>
        <w:rPr>
          <w:rFonts w:ascii="Times New Roman" w:eastAsia="Times New Roman" w:hAnsi="Times New Roman" w:cs="Times New Roman"/>
          <w:i/>
          <w:iCs/>
          <w:color w:val="000000"/>
          <w:spacing w:val="0"/>
          <w:w w:val="100"/>
          <w:position w:val="0"/>
          <w:shd w:val="clear" w:color="auto" w:fill="auto"/>
          <w:lang w:val="hr-HR" w:eastAsia="hr-HR" w:bidi="hr-HR"/>
        </w:rPr>
        <w:t>und Midrasch III,</w:t>
      </w:r>
      <w:r>
        <w:rPr>
          <w:rFonts w:ascii="Times New Roman" w:eastAsia="Times New Roman" w:hAnsi="Times New Roman" w:cs="Times New Roman"/>
          <w:color w:val="000000"/>
          <w:spacing w:val="0"/>
          <w:w w:val="100"/>
          <w:position w:val="0"/>
          <w:shd w:val="clear" w:color="auto" w:fill="auto"/>
          <w:lang w:val="hr-HR" w:eastAsia="hr-HR" w:bidi="hr-HR"/>
        </w:rPr>
        <w:t xml:space="preserve"> 1926,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7</w:t>
      </w:r>
      <w:r>
        <w:rPr>
          <w:rFonts w:ascii="Times New Roman" w:eastAsia="Times New Roman" w:hAnsi="Times New Roman" w:cs="Times New Roman"/>
          <w:color w:val="000000"/>
          <w:spacing w:val="0"/>
          <w:w w:val="100"/>
          <w:position w:val="0"/>
          <w:shd w:val="clear" w:color="auto" w:fill="auto"/>
          <w:lang w:val="hr-HR" w:eastAsia="hr-HR" w:bidi="hr-HR"/>
        </w:rPr>
        <w:t xml:space="preserve">1979, 120, 139-155, 185; IV, 1928, *1975, 353-414; W. Boussel/H. </w:t>
      </w:r>
      <w:r>
        <w:rPr>
          <w:rFonts w:ascii="Times New Roman" w:eastAsia="Times New Roman" w:hAnsi="Times New Roman" w:cs="Times New Roman"/>
          <w:color w:val="000000"/>
          <w:spacing w:val="0"/>
          <w:w w:val="100"/>
          <w:position w:val="0"/>
          <w:shd w:val="clear" w:color="auto" w:fill="auto"/>
          <w:lang w:val="en-US" w:eastAsia="en-US" w:bidi="en-US"/>
        </w:rPr>
        <w:t xml:space="preserve">Gressmann,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Religion des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Judentums im </w:t>
      </w:r>
      <w:r>
        <w:rPr>
          <w:rFonts w:ascii="Times New Roman" w:eastAsia="Times New Roman" w:hAnsi="Times New Roman" w:cs="Times New Roman"/>
          <w:i/>
          <w:iCs/>
          <w:color w:val="000000"/>
          <w:spacing w:val="0"/>
          <w:w w:val="100"/>
          <w:position w:val="0"/>
          <w:shd w:val="clear" w:color="auto" w:fill="auto"/>
          <w:lang w:val="en-US" w:eastAsia="en-US" w:bidi="en-US"/>
        </w:rPr>
        <w:t>spdthellenistischen Zeitalter,</w:t>
      </w:r>
      <w:r>
        <w:rPr>
          <w:rFonts w:ascii="Times New Roman" w:eastAsia="Times New Roman" w:hAnsi="Times New Roman" w:cs="Times New Roman"/>
          <w:color w:val="000000"/>
          <w:spacing w:val="0"/>
          <w:w w:val="100"/>
          <w:position w:val="0"/>
          <w:shd w:val="clear" w:color="auto" w:fill="auto"/>
          <w:lang w:val="en-US" w:eastAsia="en-US" w:bidi="en-US"/>
        </w:rPr>
        <w:t xml:space="preserve"> 1926,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4</w:t>
      </w:r>
      <w:r>
        <w:rPr>
          <w:rFonts w:ascii="Times New Roman" w:eastAsia="Times New Roman" w:hAnsi="Times New Roman" w:cs="Times New Roman"/>
          <w:color w:val="000000"/>
          <w:spacing w:val="0"/>
          <w:w w:val="100"/>
          <w:position w:val="0"/>
          <w:shd w:val="clear" w:color="auto" w:fill="auto"/>
          <w:lang w:val="en-US" w:eastAsia="en-US" w:bidi="en-US"/>
        </w:rPr>
        <w:t xml:space="preserve">1966, 304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 xml:space="preserve">i naveli crkvenu cenzuru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u literaturi predaje i komentara pojmove »naro</w:t>
        <w:softHyphen/>
        <w:t>di« i »stranci« nadomjesti skraćenicom »akum« skovanom od pojma »štovatelja zvijezda«, na</w:t>
        <w:softHyphen/>
        <w:t>vodnoga tajnog naziva za kršćane.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velikoj mjeri jednostranom gledištu o nad</w:t>
        <w:softHyphen/>
        <w:t>moćnom »poganstvu« iz situacije židovske manjine s ugroženom egzistencijom protivi se biblijski obrazložena i u rabinskoj literaturi izraženija razlikovna crta. Prema njoj, prije Saveza, koji je Bog sklopio s rodočelnicima i preko njih s njihovim potomcima, jest Savez koji je Bog preko Noe zasnovao s cijelim čo</w:t>
        <w:softHyphen/>
        <w:t xml:space="preserve">vječanstvom (Post 9 i d.). </w:t>
      </w:r>
      <w:r>
        <w:rPr>
          <w:rFonts w:ascii="Times New Roman" w:eastAsia="Times New Roman" w:hAnsi="Times New Roman" w:cs="Times New Roman"/>
          <w:i/>
          <w:iCs/>
          <w:color w:val="000000"/>
          <w:spacing w:val="0"/>
          <w:w w:val="100"/>
          <w:position w:val="0"/>
          <w:shd w:val="clear" w:color="auto" w:fill="auto"/>
          <w:lang w:val="hr-HR" w:eastAsia="hr-HR" w:bidi="hr-HR"/>
        </w:rPr>
        <w:t>Djeca Izraela</w:t>
      </w:r>
      <w:r>
        <w:rPr>
          <w:rFonts w:ascii="Times New Roman" w:eastAsia="Times New Roman" w:hAnsi="Times New Roman" w:cs="Times New Roman"/>
          <w:color w:val="000000"/>
          <w:spacing w:val="0"/>
          <w:w w:val="100"/>
          <w:position w:val="0"/>
          <w:shd w:val="clear" w:color="auto" w:fill="auto"/>
          <w:lang w:val="hr-HR" w:eastAsia="hr-HR" w:bidi="hr-HR"/>
        </w:rPr>
        <w:t xml:space="preserve"> su oni koji preuzimaju naredbu jedinoga Boga kako bi bili njegovi svjedoci medu narodima (Iz 42,1 i d., 6; 49,6), </w:t>
      </w:r>
      <w:r>
        <w:rPr>
          <w:rFonts w:ascii="Times New Roman" w:eastAsia="Times New Roman" w:hAnsi="Times New Roman" w:cs="Times New Roman"/>
          <w:i/>
          <w:iCs/>
          <w:color w:val="000000"/>
          <w:spacing w:val="0"/>
          <w:w w:val="100"/>
          <w:position w:val="0"/>
          <w:shd w:val="clear" w:color="auto" w:fill="auto"/>
          <w:lang w:val="hr-HR" w:eastAsia="hr-HR" w:bidi="hr-HR"/>
        </w:rPr>
        <w:t>djeca Noina</w:t>
      </w:r>
      <w:r>
        <w:rPr>
          <w:rFonts w:ascii="Times New Roman" w:eastAsia="Times New Roman" w:hAnsi="Times New Roman" w:cs="Times New Roman"/>
          <w:color w:val="000000"/>
          <w:spacing w:val="0"/>
          <w:w w:val="100"/>
          <w:position w:val="0"/>
          <w:shd w:val="clear" w:color="auto" w:fill="auto"/>
          <w:lang w:val="hr-HR" w:eastAsia="hr-HR" w:bidi="hr-HR"/>
        </w:rPr>
        <w:t xml:space="preserve"> su drugi koji se klone neljudskih, nećudorednih djela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 xml:space="preserve">56a-b;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64b); a jedni i drugi djeca su istoga Stvoritelja (Post 9,6; usp. M Avot 111,14). Jedan je mudrac zastupao miš</w:t>
        <w:softHyphen/>
        <w:t>ljenje da nauk o zajedničkom podrijetlu ljud</w:t>
        <w:softHyphen/>
        <w:t>skoga roda (Post 5,1) ima veću težinu od za</w:t>
        <w:softHyphen/>
        <w:t xml:space="preserve">povijedi iz Tore o ljubavi prema bližnjemu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j Nedarim IX,9); jedan drugi iznio je svoje mišljenje: »Jedan jedini čovjek vrijedi isto toliko koliko i cjelokupno djelo stvaranja« (Avot Rabi Natana, pogl. 39 kraj). Na sličan način Židovi u svakodnevnoj jutarnjoj molitvi hvale Boga koji je »dobar svima, milosrdan svim djelima svojim« (Ps 145,9). On je pogled koji se od izbavitelja iz Egipta i izabranika svoje »posebne svojine« okreće prema Stvo</w:t>
        <w:softHyphen/>
        <w:t xml:space="preserve">ritelju neba i zemlje i gospodaru svih naroda, </w:t>
      </w:r>
      <w:r>
        <w:rPr>
          <w:rFonts w:ascii="Times New Roman" w:eastAsia="Times New Roman" w:hAnsi="Times New Roman" w:cs="Times New Roman"/>
          <w:color w:val="000000"/>
          <w:spacing w:val="0"/>
          <w:w w:val="100"/>
          <w:position w:val="0"/>
          <w:shd w:val="clear" w:color="auto" w:fill="auto"/>
          <w:lang w:val="hr-HR" w:eastAsia="hr-HR" w:bidi="hr-HR"/>
        </w:rPr>
        <w:t>koji već autora Jonine knjige navodi da se odupre partikularističkim i ekskluzivnim pre</w:t>
        <w:softHyphen/>
        <w:t>dodžbama i objavi kako Bog svoju sporost na srdžbu i svoje oprosno milosrđe nc želi uskra</w:t>
        <w:softHyphen/>
        <w:t xml:space="preserve">titi ni »poganima«. Za rabine iz toga proizlazi da su </w:t>
      </w:r>
      <w:r>
        <w:rPr>
          <w:rFonts w:ascii="Times New Roman" w:eastAsia="Times New Roman" w:hAnsi="Times New Roman" w:cs="Times New Roman"/>
          <w:i/>
          <w:iCs/>
          <w:color w:val="000000"/>
          <w:spacing w:val="0"/>
          <w:w w:val="100"/>
          <w:position w:val="0"/>
          <w:shd w:val="clear" w:color="auto" w:fill="auto"/>
          <w:lang w:val="hr-HR" w:eastAsia="hr-HR" w:bidi="hr-HR"/>
        </w:rPr>
        <w:t>gojim,</w:t>
      </w:r>
      <w:r>
        <w:rPr>
          <w:rFonts w:ascii="Times New Roman" w:eastAsia="Times New Roman" w:hAnsi="Times New Roman" w:cs="Times New Roman"/>
          <w:color w:val="000000"/>
          <w:spacing w:val="0"/>
          <w:w w:val="100"/>
          <w:position w:val="0"/>
          <w:shd w:val="clear" w:color="auto" w:fill="auto"/>
          <w:lang w:val="hr-HR" w:eastAsia="hr-HR" w:bidi="hr-HR"/>
        </w:rPr>
        <w:t xml:space="preserve"> bez obzira na sadržaj svoje reli</w:t>
        <w:softHyphen/>
        <w:t xml:space="preserve">gije i oblik svojega kulta, potpuno izjednačeni s Izraelcima samo ako se ne ogriješe o načela ćudorednosli kao temelja ljudskoga poretka (Post 9; b </w:t>
      </w:r>
      <w:r>
        <w:rPr>
          <w:rFonts w:ascii="Times New Roman" w:eastAsia="Times New Roman" w:hAnsi="Times New Roman" w:cs="Times New Roman"/>
          <w:color w:val="000000"/>
          <w:spacing w:val="0"/>
          <w:w w:val="100"/>
          <w:position w:val="0"/>
          <w:shd w:val="clear" w:color="auto" w:fill="auto"/>
          <w:lang w:val="en-US" w:eastAsia="en-US" w:bidi="en-US"/>
        </w:rPr>
        <w:t xml:space="preserve">Avoda Zara </w:t>
      </w:r>
      <w:r>
        <w:rPr>
          <w:rFonts w:ascii="Times New Roman" w:eastAsia="Times New Roman" w:hAnsi="Times New Roman" w:cs="Times New Roman"/>
          <w:color w:val="000000"/>
          <w:spacing w:val="0"/>
          <w:w w:val="100"/>
          <w:position w:val="0"/>
          <w:shd w:val="clear" w:color="auto" w:fill="auto"/>
          <w:lang w:val="hr-HR" w:eastAsia="hr-HR" w:bidi="hr-HR"/>
        </w:rPr>
        <w:t xml:space="preserve">64b;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56b), a bit će »sudionicima budućega svijeta«, jer svi koji vrše Božju volju ubrajaju se u »praved</w:t>
        <w:softHyphen/>
        <w:t xml:space="preserve">nike među narodima«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XIII,2; b 105a).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Susreti s nežidovima </w:t>
      </w:r>
      <w:r>
        <w:rPr>
          <w:rFonts w:ascii="Times New Roman" w:eastAsia="Times New Roman" w:hAnsi="Times New Roman" w:cs="Times New Roman"/>
          <w:i/>
          <w:iCs/>
          <w:color w:val="000000"/>
          <w:spacing w:val="0"/>
          <w:w w:val="100"/>
          <w:position w:val="0"/>
          <w:shd w:val="clear" w:color="auto" w:fill="auto"/>
          <w:lang w:val="hr-HR" w:eastAsia="hr-HR" w:bidi="hr-HR"/>
        </w:rPr>
        <w:t>(nohrim,</w:t>
      </w:r>
      <w:r>
        <w:rPr>
          <w:rFonts w:ascii="Times New Roman" w:eastAsia="Times New Roman" w:hAnsi="Times New Roman" w:cs="Times New Roman"/>
          <w:color w:val="000000"/>
          <w:spacing w:val="0"/>
          <w:w w:val="100"/>
          <w:position w:val="0"/>
          <w:shd w:val="clear" w:color="auto" w:fill="auto"/>
          <w:lang w:val="hr-HR" w:eastAsia="hr-HR" w:bidi="hr-HR"/>
        </w:rPr>
        <w:t xml:space="preserve"> »stranci, p.«) visoke civilizacije i ćudoredna načina života izvan Izraela sažeti su u fundamentalnoj re</w:t>
        <w:softHyphen/>
        <w:t xml:space="preserve">čenici: »P. </w:t>
      </w:r>
      <w:r>
        <w:rPr>
          <w:rFonts w:ascii="Times New Roman" w:eastAsia="Times New Roman" w:hAnsi="Times New Roman" w:cs="Times New Roman"/>
          <w:i/>
          <w:iCs/>
          <w:color w:val="000000"/>
          <w:spacing w:val="0"/>
          <w:w w:val="100"/>
          <w:position w:val="0"/>
          <w:shd w:val="clear" w:color="auto" w:fill="auto"/>
          <w:lang w:val="hr-HR" w:eastAsia="hr-HR" w:bidi="hr-HR"/>
        </w:rPr>
        <w:t>(nohrim)</w:t>
      </w:r>
      <w:r>
        <w:rPr>
          <w:rFonts w:ascii="Times New Roman" w:eastAsia="Times New Roman" w:hAnsi="Times New Roman" w:cs="Times New Roman"/>
          <w:color w:val="000000"/>
          <w:spacing w:val="0"/>
          <w:w w:val="100"/>
          <w:position w:val="0"/>
          <w:shd w:val="clear" w:color="auto" w:fill="auto"/>
          <w:lang w:val="hr-HR" w:eastAsia="hr-HR" w:bidi="hr-HR"/>
        </w:rPr>
        <w:t xml:space="preserve"> u inozemstvu nisu idolo</w:t>
        <w:softHyphen/>
        <w:t>poklonici, nego se samo čvrsto drže običaja svojih otaca« (b Hulin 13b). Ponavljanje te rečenice i u kasnijim vremenima i njezino do</w:t>
        <w:softHyphen/>
        <w:t xml:space="preserve">slovno citiranje među tosafistima </w:t>
      </w:r>
      <w:r>
        <w:rPr>
          <w:rFonts w:ascii="Times New Roman" w:eastAsia="Times New Roman" w:hAnsi="Times New Roman" w:cs="Times New Roman"/>
          <w:color w:val="000000"/>
          <w:spacing w:val="0"/>
          <w:w w:val="100"/>
          <w:position w:val="0"/>
          <w:shd w:val="clear" w:color="auto" w:fill="auto"/>
          <w:lang w:val="en-US" w:eastAsia="en-US" w:bidi="en-US"/>
        </w:rPr>
        <w:t xml:space="preserve">XH7XIII. </w:t>
      </w:r>
      <w:r>
        <w:rPr>
          <w:rFonts w:ascii="Times New Roman" w:eastAsia="Times New Roman" w:hAnsi="Times New Roman" w:cs="Times New Roman"/>
          <w:color w:val="000000"/>
          <w:spacing w:val="0"/>
          <w:w w:val="100"/>
          <w:position w:val="0"/>
          <w:shd w:val="clear" w:color="auto" w:fill="auto"/>
          <w:lang w:val="hr-HR" w:eastAsia="hr-HR" w:bidi="hr-HR"/>
        </w:rPr>
        <w:t>sto</w:t>
        <w:softHyphen/>
        <w:t xml:space="preserve">ljeća pokazuju njezinu važnost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2a;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63b, </w:t>
      </w:r>
      <w:r>
        <w:rPr>
          <w:rFonts w:ascii="Times New Roman" w:eastAsia="Times New Roman" w:hAnsi="Times New Roman" w:cs="Times New Roman"/>
          <w:color w:val="000000"/>
          <w:spacing w:val="0"/>
          <w:w w:val="100"/>
          <w:position w:val="0"/>
          <w:shd w:val="clear" w:color="auto" w:fill="auto"/>
          <w:lang w:val="en-US" w:eastAsia="en-US" w:bidi="en-US"/>
        </w:rPr>
        <w:t xml:space="preserve">Bcrahot </w:t>
      </w:r>
      <w:r>
        <w:rPr>
          <w:rFonts w:ascii="Times New Roman" w:eastAsia="Times New Roman" w:hAnsi="Times New Roman" w:cs="Times New Roman"/>
          <w:color w:val="000000"/>
          <w:spacing w:val="0"/>
          <w:w w:val="100"/>
          <w:position w:val="0"/>
          <w:shd w:val="clear" w:color="auto" w:fill="auto"/>
          <w:lang w:val="hr-HR" w:eastAsia="hr-HR" w:bidi="hr-HR"/>
        </w:rPr>
        <w:t xml:space="preserve">2b;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 xml:space="preserve">Karo,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Bet Josef </w:t>
      </w:r>
      <w:r>
        <w:rPr>
          <w:rFonts w:ascii="Times New Roman" w:eastAsia="Times New Roman" w:hAnsi="Times New Roman" w:cs="Times New Roman"/>
          <w:i/>
          <w:iCs/>
          <w:color w:val="000000"/>
          <w:spacing w:val="0"/>
          <w:w w:val="100"/>
          <w:position w:val="0"/>
          <w:shd w:val="clear" w:color="auto" w:fill="auto"/>
          <w:lang w:val="hr-HR" w:eastAsia="hr-HR" w:bidi="hr-HR"/>
        </w:rPr>
        <w:t>148\</w:t>
      </w:r>
      <w:r>
        <w:rPr>
          <w:rFonts w:ascii="Times New Roman" w:eastAsia="Times New Roman" w:hAnsi="Times New Roman" w:cs="Times New Roman"/>
          <w:color w:val="000000"/>
          <w:spacing w:val="0"/>
          <w:w w:val="100"/>
          <w:position w:val="0"/>
          <w:shd w:val="clear" w:color="auto" w:fill="auto"/>
          <w:lang w:val="hr-HR" w:eastAsia="hr-HR" w:bidi="hr-HR"/>
        </w:rPr>
        <w:t xml:space="preserve"> Komentar na Šulhan aruh Sa- bataja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Meir Hakohena, Sifte kohen, Jorc đca 123, br. 2). Učenjaci su propise u Tori protiv idolopoklonika ograničili na kanaanske narode u Svetoj zemlji iz prošlosti. Odluka u talmudsko doba da se Amonci i Moapci prime u savez židovstva, potvrđuje tu univerzalnu ten</w:t>
        <w:softHyphen/>
        <w:t>denciju (b Berahot 28a), kao i izdavanje pro</w:t>
        <w:softHyphen/>
        <w:t>pisa o pravednom i socijalnom ponašanju pre</w:t>
        <w:softHyphen/>
        <w:t xml:space="preserve">ma »poganima« (b Bava kama 113a-b; To- sefta X,15; Majmonid, Mišne Tora, Hilhot ge- zcla 1,2; Jalkut 1,837;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61a) i molitva za dobro »poganske« vlade (M Avot III,2; usp. Berahot 58a; Ketubot lila). Sve se uklapa u veliki kontekst, koji karakterizira namjeru mudraca da Božja usta anđeoskim slugama, koji su nakon propasti Egipćana u Crvenome moru htjeli slaviti, progovore: »Rad mojih ru</w:t>
        <w:softHyphen/>
        <w:t>ku utopio se u moru, a vi biste zapjevali?’«(b Megila 10b).</w:t>
      </w:r>
    </w:p>
    <w:p>
      <w:pPr>
        <w:pStyle w:val="Style56"/>
        <w:keepNext w:val="0"/>
        <w:keepLines w:val="0"/>
        <w:widowControl w:val="0"/>
        <w:shd w:val="clear" w:color="auto" w:fill="auto"/>
        <w:tabs>
          <w:tab w:pos="2410" w:val="left"/>
        </w:tabs>
        <w:bidi w:val="0"/>
        <w:spacing w:before="0" w:after="120" w:line="240" w:lineRule="auto"/>
        <w:ind w:left="0" w:right="0" w:firstLine="0"/>
        <w:jc w:val="both"/>
      </w:pPr>
      <w:r>
        <w:rPr>
          <w:color w:val="000000"/>
          <w:spacing w:val="0"/>
          <w:w w:val="100"/>
          <w:position w:val="0"/>
          <w:shd w:val="clear" w:color="auto" w:fill="auto"/>
        </w:rPr>
        <w:t xml:space="preserve">Lit.: J. </w:t>
      </w:r>
      <w:r>
        <w:rPr>
          <w:color w:val="000000"/>
          <w:spacing w:val="0"/>
          <w:w w:val="100"/>
          <w:position w:val="0"/>
          <w:shd w:val="clear" w:color="auto" w:fill="auto"/>
          <w:lang w:val="hr-HR" w:eastAsia="hr-HR" w:bidi="hr-HR"/>
        </w:rPr>
        <w:t xml:space="preserve">S. </w:t>
      </w:r>
      <w:r>
        <w:rPr>
          <w:color w:val="000000"/>
          <w:spacing w:val="0"/>
          <w:w w:val="100"/>
          <w:position w:val="0"/>
          <w:shd w:val="clear" w:color="auto" w:fill="auto"/>
        </w:rPr>
        <w:t xml:space="preserve">Bloch, </w:t>
      </w:r>
      <w:r>
        <w:rPr>
          <w:b/>
          <w:bCs/>
          <w:i/>
          <w:iCs/>
          <w:color w:val="000000"/>
          <w:spacing w:val="0"/>
          <w:w w:val="100"/>
          <w:position w:val="0"/>
          <w:sz w:val="9"/>
          <w:szCs w:val="9"/>
          <w:shd w:val="clear" w:color="auto" w:fill="auto"/>
        </w:rPr>
        <w:t>Israel und die Volker.</w:t>
      </w:r>
      <w:r>
        <w:rPr>
          <w:color w:val="000000"/>
          <w:spacing w:val="0"/>
          <w:w w:val="100"/>
          <w:position w:val="0"/>
          <w:shd w:val="clear" w:color="auto" w:fill="auto"/>
        </w:rPr>
        <w:t xml:space="preserve"> 1922, 13 i d., 37 i d., 80 id., lllid.</w:t>
        <w:tab/>
        <w:t>D. VETTER</w:t>
      </w:r>
    </w:p>
    <w:p>
      <w:pPr>
        <w:pStyle w:val="Style63"/>
        <w:keepNext/>
        <w:keepLines/>
        <w:widowControl w:val="0"/>
        <w:numPr>
          <w:ilvl w:val="0"/>
          <w:numId w:val="407"/>
        </w:numPr>
        <w:shd w:val="clear" w:color="auto" w:fill="auto"/>
        <w:tabs>
          <w:tab w:pos="260" w:val="left"/>
        </w:tabs>
        <w:bidi w:val="0"/>
        <w:spacing w:before="0"/>
        <w:ind w:left="0" w:right="0" w:firstLine="0"/>
        <w:jc w:val="both"/>
      </w:pPr>
      <w:bookmarkStart w:id="253" w:name="bookmark25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53"/>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»p.« zauzimao je visoko mjesto kako u teološkoj terminologiji tako i u našem svako</w:t>
        <w:softHyphen/>
        <w:t>dnevnom govoru o »drugim«, »stranim«, »ne- kršćanskim« religijama. Danas se uvelike iz</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bjegava taj pojam svrstavanja koji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polemički </w:t>
      </w:r>
      <w:r>
        <w:rPr>
          <w:rFonts w:ascii="Times New Roman" w:eastAsia="Times New Roman" w:hAnsi="Times New Roman" w:cs="Times New Roman"/>
          <w:color w:val="000000"/>
          <w:spacing w:val="0"/>
          <w:w w:val="100"/>
          <w:position w:val="0"/>
          <w:shd w:val="clear" w:color="auto" w:fill="auto"/>
          <w:lang w:val="hr-HR" w:eastAsia="hr-HR" w:bidi="hr-HR"/>
        </w:rPr>
        <w:t>određivao razliku između biblijske religije i ostale religijske povijesti. »P.« nc sadrži samo pogrdni prizvuk nego pripada pojmovima koji uključuju etnocentrizam, pa i rasizam.</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Jezično-povijesno</w:t>
      </w:r>
      <w:r>
        <w:rPr>
          <w:rFonts w:ascii="Times New Roman" w:eastAsia="Times New Roman" w:hAnsi="Times New Roman" w:cs="Times New Roman"/>
          <w:color w:val="000000"/>
          <w:spacing w:val="0"/>
          <w:w w:val="100"/>
          <w:position w:val="0"/>
          <w:shd w:val="clear" w:color="auto" w:fill="auto"/>
          <w:lang w:val="hr-HR" w:eastAsia="hr-HR" w:bidi="hr-HR"/>
        </w:rPr>
        <w:t xml:space="preserve"> proizlazi sljedeće stanje stva</w:t>
        <w:softHyphen/>
        <w:t xml:space="preserve">ri: njem. Hciden izvodi se ili iz gotičkoga »haithi« (polje) ili iz srednjovisokonjemačko- ga »Heide« (nenastanjena šumovita zemlja). To je oponašanje prema latinskom </w:t>
      </w:r>
      <w:r>
        <w:rPr>
          <w:rFonts w:ascii="Times New Roman" w:eastAsia="Times New Roman" w:hAnsi="Times New Roman" w:cs="Times New Roman"/>
          <w:i/>
          <w:iCs/>
          <w:color w:val="000000"/>
          <w:spacing w:val="0"/>
          <w:w w:val="100"/>
          <w:position w:val="0"/>
          <w:shd w:val="clear" w:color="auto" w:fill="auto"/>
          <w:lang w:val="hr-HR" w:eastAsia="hr-HR" w:bidi="hr-HR"/>
        </w:rPr>
        <w:t xml:space="preserve">paganus, </w:t>
      </w:r>
      <w:r>
        <w:rPr>
          <w:rFonts w:ascii="Times New Roman" w:eastAsia="Times New Roman" w:hAnsi="Times New Roman" w:cs="Times New Roman"/>
          <w:color w:val="000000"/>
          <w:spacing w:val="0"/>
          <w:w w:val="100"/>
          <w:position w:val="0"/>
          <w:shd w:val="clear" w:color="auto" w:fill="auto"/>
          <w:lang w:val="hr-HR" w:eastAsia="hr-HR" w:bidi="hr-HR"/>
        </w:rPr>
        <w:t>koje se upotrebljavalo od Augustina (354-430) za sve koji nisu priznavali kršćansku državnu religiju, tj. za pristaše starih obreda koji su u konzervativnoj seoskoj sredini i dalje praktici</w:t>
        <w:softHyphen/>
        <w:t>rali svoju vjeru. Kasnije su se u potpuno krš</w:t>
        <w:softHyphen/>
        <w:t>ćanskom okruženju nazivali poganima oni lju</w:t>
        <w:softHyphen/>
        <w:t>di koji nisu pripadali kršćansko-židovskoj vje</w:t>
        <w:softHyphen/>
        <w:t>ri. Trodijelna podjela opće religijske povijesti potječe od Vigilija iz Thapsusa (oko 484) čija je mnogo citirana rečenica imala dugu povi</w:t>
        <w:softHyphen/>
        <w:t xml:space="preserve">jest djelovanja: »Tres </w:t>
      </w:r>
      <w:r>
        <w:rPr>
          <w:rFonts w:ascii="Times New Roman" w:eastAsia="Times New Roman" w:hAnsi="Times New Roman" w:cs="Times New Roman"/>
          <w:color w:val="000000"/>
          <w:spacing w:val="0"/>
          <w:w w:val="100"/>
          <w:position w:val="0"/>
          <w:shd w:val="clear" w:color="auto" w:fill="auto"/>
          <w:lang w:val="en-US" w:eastAsia="en-US" w:bidi="en-US"/>
        </w:rPr>
        <w:t xml:space="preserve">sunt in </w:t>
      </w:r>
      <w:r>
        <w:rPr>
          <w:rFonts w:ascii="Times New Roman" w:eastAsia="Times New Roman" w:hAnsi="Times New Roman" w:cs="Times New Roman"/>
          <w:color w:val="000000"/>
          <w:spacing w:val="0"/>
          <w:w w:val="100"/>
          <w:position w:val="0"/>
          <w:shd w:val="clear" w:color="auto" w:fill="auto"/>
          <w:lang w:val="hr-HR" w:eastAsia="hr-HR" w:bidi="hr-HR"/>
        </w:rPr>
        <w:t>mundo religio- nes, Iudeorum, paganorum et Christianorum« (Na svijetu su tri religije: židovska, poganska i kršćanska).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Sve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 xml:space="preserve">XVI. stoljeća </w:t>
      </w:r>
      <w:r>
        <w:rPr>
          <w:rFonts w:ascii="Times New Roman" w:eastAsia="Times New Roman" w:hAnsi="Times New Roman" w:cs="Times New Roman"/>
          <w:i/>
          <w:iCs/>
          <w:color w:val="000000"/>
          <w:spacing w:val="0"/>
          <w:w w:val="100"/>
          <w:position w:val="0"/>
          <w:shd w:val="clear" w:color="auto" w:fill="auto"/>
          <w:lang w:val="hr-HR" w:eastAsia="hr-HR" w:bidi="hr-HR"/>
        </w:rPr>
        <w:t>muslimani</w:t>
      </w:r>
      <w:r>
        <w:rPr>
          <w:rFonts w:ascii="Times New Roman" w:eastAsia="Times New Roman" w:hAnsi="Times New Roman" w:cs="Times New Roman"/>
          <w:color w:val="000000"/>
          <w:spacing w:val="0"/>
          <w:w w:val="100"/>
          <w:position w:val="0"/>
          <w:shd w:val="clear" w:color="auto" w:fill="auto"/>
          <w:lang w:val="hr-HR" w:eastAsia="hr-HR" w:bidi="hr-HR"/>
        </w:rPr>
        <w:t xml:space="preserve"> su se još ubra</w:t>
        <w:softHyphen/>
        <w:t>jali u pogane (»turski p.«). Putujući trgovci maurskog i sicilijanskog podrijetla kao i »Ci</w:t>
        <w:softHyphen/>
        <w:t xml:space="preserve">gani« isto su se tako u Njemačkoj označavali kao p. Izvan toga »p.« je bio termin </w:t>
      </w:r>
      <w:r>
        <w:rPr>
          <w:rFonts w:ascii="Times New Roman" w:eastAsia="Times New Roman" w:hAnsi="Times New Roman" w:cs="Times New Roman"/>
          <w:i/>
          <w:iCs/>
          <w:color w:val="000000"/>
          <w:spacing w:val="0"/>
          <w:w w:val="100"/>
          <w:position w:val="0"/>
          <w:shd w:val="clear" w:color="auto" w:fill="auto"/>
          <w:lang w:val="hr-HR" w:eastAsia="hr-HR" w:bidi="hr-HR"/>
        </w:rPr>
        <w:t>unutar- kršćanske polemike:</w:t>
      </w:r>
      <w:r>
        <w:rPr>
          <w:rFonts w:ascii="Times New Roman" w:eastAsia="Times New Roman" w:hAnsi="Times New Roman" w:cs="Times New Roman"/>
          <w:color w:val="000000"/>
          <w:spacing w:val="0"/>
          <w:w w:val="100"/>
          <w:position w:val="0"/>
          <w:shd w:val="clear" w:color="auto" w:fill="auto"/>
          <w:lang w:val="hr-HR" w:eastAsia="hr-HR" w:bidi="hr-HR"/>
        </w:rPr>
        <w:t xml:space="preserve"> U srednjovisokonjemač- kom označavao se tako svatko tko još nije ili više nije zastupao ortodoksnu vjeru u Krista (heterodoksija kao poganstvo). Osobito su se narodi klasične </w:t>
      </w:r>
      <w:r>
        <w:rPr>
          <w:rFonts w:ascii="Times New Roman" w:eastAsia="Times New Roman" w:hAnsi="Times New Roman" w:cs="Times New Roman"/>
          <w:i/>
          <w:iCs/>
          <w:color w:val="000000"/>
          <w:spacing w:val="0"/>
          <w:w w:val="100"/>
          <w:position w:val="0"/>
          <w:shd w:val="clear" w:color="auto" w:fill="auto"/>
          <w:lang w:val="hr-HR" w:eastAsia="hr-HR" w:bidi="hr-HR"/>
        </w:rPr>
        <w:t>starine</w:t>
      </w:r>
      <w:r>
        <w:rPr>
          <w:rFonts w:ascii="Times New Roman" w:eastAsia="Times New Roman" w:hAnsi="Times New Roman" w:cs="Times New Roman"/>
          <w:color w:val="000000"/>
          <w:spacing w:val="0"/>
          <w:w w:val="100"/>
          <w:position w:val="0"/>
          <w:shd w:val="clear" w:color="auto" w:fill="auto"/>
          <w:lang w:val="hr-HR" w:eastAsia="hr-HR" w:bidi="hr-HR"/>
        </w:rPr>
        <w:t xml:space="preserve"> označavali kao p. »Zavi</w:t>
        <w:softHyphen/>
        <w:t xml:space="preserve">čajno« kršćanstvo, </w:t>
      </w:r>
      <w:r>
        <w:rPr>
          <w:rFonts w:ascii="Times New Roman" w:eastAsia="Times New Roman" w:hAnsi="Times New Roman" w:cs="Times New Roman"/>
          <w:color w:val="000000"/>
          <w:spacing w:val="0"/>
          <w:w w:val="100"/>
          <w:position w:val="0"/>
          <w:shd w:val="clear" w:color="auto" w:fill="auto"/>
          <w:lang w:val="en-US" w:eastAsia="en-US" w:bidi="en-US"/>
        </w:rPr>
        <w:t xml:space="preserve">Corpus </w:t>
      </w:r>
      <w:r>
        <w:rPr>
          <w:rFonts w:ascii="Times New Roman" w:eastAsia="Times New Roman" w:hAnsi="Times New Roman" w:cs="Times New Roman"/>
          <w:color w:val="000000"/>
          <w:spacing w:val="0"/>
          <w:w w:val="100"/>
          <w:position w:val="0"/>
          <w:shd w:val="clear" w:color="auto" w:fill="auto"/>
          <w:lang w:val="hr-HR" w:eastAsia="hr-HR" w:bidi="hr-HR"/>
        </w:rPr>
        <w:t>Christianum, pau</w:t>
        <w:softHyphen/>
        <w:t>šalno se postavljalo nasuprot »tuđem« pogan</w:t>
        <w:softHyphen/>
        <w:t>stvu koje nije bilo točnije diferencirano.</w:t>
      </w:r>
    </w:p>
    <w:p>
      <w:pPr>
        <w:pStyle w:val="Style20"/>
        <w:keepNext w:val="0"/>
        <w:keepLines w:val="0"/>
        <w:widowControl w:val="0"/>
        <w:shd w:val="clear" w:color="auto" w:fill="auto"/>
        <w:bidi w:val="0"/>
        <w:spacing w:before="0" w:after="0" w:line="257" w:lineRule="auto"/>
        <w:ind w:left="0" w:right="0" w:firstLine="0"/>
        <w:jc w:val="both"/>
        <w:sectPr>
          <w:headerReference w:type="default" r:id="rId1061"/>
          <w:footerReference w:type="default" r:id="rId1062"/>
          <w:headerReference w:type="even" r:id="rId1063"/>
          <w:footerReference w:type="even" r:id="rId1064"/>
          <w:headerReference w:type="first" r:id="rId1065"/>
          <w:footerReference w:type="first" r:id="rId1066"/>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srednjovjekovnoj dvorskoj literaturi nalazi se stereotip »plemenitog poganina«. Struktu</w:t>
        <w:softHyphen/>
        <w:t>ra viteštva, povezanost kršćanskog ratnika s muslimanskim na temelju njihova zajedničkog podrijetla iz antiknog viteštva kao i crkvena tradicija nekih predkršćanskih »svetih poga</w:t>
        <w:softHyphen/>
        <w:t>na« za koje je spasenje bilo otvoreno, odgo</w:t>
        <w:softHyphen/>
        <w:t>vorni su za nastanak tog stereotipa. I u epo</w:t>
        <w:softHyphen/>
        <w:t>vima putujućih pjevača, koje su sastavljali sve</w:t>
        <w:softHyphen/>
        <w:t xml:space="preserve">ćenici, </w:t>
      </w:r>
      <w:r>
        <w:rPr>
          <w:rFonts w:ascii="Times New Roman" w:eastAsia="Times New Roman" w:hAnsi="Times New Roman" w:cs="Times New Roman"/>
          <w:i/>
          <w:iCs/>
          <w:color w:val="000000"/>
          <w:spacing w:val="0"/>
          <w:w w:val="100"/>
          <w:position w:val="0"/>
          <w:shd w:val="clear" w:color="auto" w:fill="auto"/>
          <w:lang w:val="hr-HR" w:eastAsia="hr-HR" w:bidi="hr-HR"/>
        </w:rPr>
        <w:t>bili su idealizirani daleki stranci.</w:t>
      </w:r>
      <w:r>
        <w:rPr>
          <w:rFonts w:ascii="Times New Roman" w:eastAsia="Times New Roman" w:hAnsi="Times New Roman" w:cs="Times New Roman"/>
          <w:color w:val="000000"/>
          <w:spacing w:val="0"/>
          <w:w w:val="100"/>
          <w:position w:val="0"/>
          <w:shd w:val="clear" w:color="auto" w:fill="auto"/>
          <w:lang w:val="hr-HR" w:eastAsia="hr-HR" w:bidi="hr-HR"/>
        </w:rPr>
        <w:t xml:space="preserve"> Stereo</w:t>
        <w:softHyphen/>
        <w:t>tip »plemenitog poganina«, naprotiv, nestaje opet iz literature na kraju viteštva i dolaskom građanstva. Sada pred vratima stoje »nevjer</w:t>
        <w:softHyphen/>
        <w:t>nici« (Turci).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Danas, u našem </w:t>
      </w:r>
      <w:r>
        <w:rPr>
          <w:rFonts w:ascii="Times New Roman" w:eastAsia="Times New Roman" w:hAnsi="Times New Roman" w:cs="Times New Roman"/>
          <w:i/>
          <w:iCs/>
          <w:color w:val="000000"/>
          <w:spacing w:val="0"/>
          <w:w w:val="100"/>
          <w:position w:val="0"/>
          <w:shd w:val="clear" w:color="auto" w:fill="auto"/>
          <w:lang w:val="hr-HR" w:eastAsia="hr-HR" w:bidi="hr-HR"/>
        </w:rPr>
        <w:t>sadašnjem jeziku,</w:t>
      </w:r>
      <w:r>
        <w:rPr>
          <w:rFonts w:ascii="Times New Roman" w:eastAsia="Times New Roman" w:hAnsi="Times New Roman" w:cs="Times New Roman"/>
          <w:color w:val="000000"/>
          <w:spacing w:val="0"/>
          <w:w w:val="100"/>
          <w:position w:val="0"/>
          <w:shd w:val="clear" w:color="auto" w:fill="auto"/>
          <w:lang w:val="hr-HR" w:eastAsia="hr-HR" w:bidi="hr-HR"/>
        </w:rPr>
        <w:t xml:space="preserve"> riječ »p.« je negativno obojana. P. su u prvom redu pris</w:t>
        <w:softHyphen/>
        <w:t>taše politeističkih religija koje pogrešno slove za primitivne. Poganski je često puta sinonim za barbarski, neumjeren, divlji, strašan, zao itd. Čak nckrščansko ponašanje (ili što se uobi</w:t>
        <w:softHyphen/>
        <w:t xml:space="preserve">čajeno takvim drži) označava se katkada kao pogansko (npr. netko tko ne ide u crkvu, ne- krštena djeca itd.) S druge strane ima </w:t>
      </w:r>
      <w:r>
        <w:rPr>
          <w:rFonts w:ascii="Times New Roman" w:eastAsia="Times New Roman" w:hAnsi="Times New Roman" w:cs="Times New Roman"/>
          <w:i/>
          <w:iCs/>
          <w:color w:val="000000"/>
          <w:spacing w:val="0"/>
          <w:w w:val="100"/>
          <w:position w:val="0"/>
          <w:shd w:val="clear" w:color="auto" w:fill="auto"/>
          <w:lang w:val="hr-HR" w:eastAsia="hr-HR" w:bidi="hr-HR"/>
        </w:rPr>
        <w:t>poku</w:t>
        <w:softHyphen/>
        <w:t>šaja podizanja vrijednosti</w:t>
      </w:r>
      <w:r>
        <w:rPr>
          <w:rFonts w:ascii="Times New Roman" w:eastAsia="Times New Roman" w:hAnsi="Times New Roman" w:cs="Times New Roman"/>
          <w:color w:val="000000"/>
          <w:spacing w:val="0"/>
          <w:w w:val="100"/>
          <w:position w:val="0"/>
          <w:shd w:val="clear" w:color="auto" w:fill="auto"/>
          <w:lang w:val="hr-HR" w:eastAsia="hr-HR" w:bidi="hr-HR"/>
        </w:rPr>
        <w:t xml:space="preserve"> ovoj riječi: slobodni mislioci i vjernici najrazličitije nijansiranosti, odijeljeni od Crkve, govore katkada ponosno o sebi kao o »neopoganima«.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Stereotip »p.« koji je </w:t>
      </w:r>
      <w:r>
        <w:rPr>
          <w:rFonts w:ascii="Times New Roman" w:eastAsia="Times New Roman" w:hAnsi="Times New Roman" w:cs="Times New Roman"/>
          <w:i/>
          <w:iCs/>
          <w:color w:val="000000"/>
          <w:spacing w:val="0"/>
          <w:w w:val="100"/>
          <w:position w:val="0"/>
          <w:shd w:val="clear" w:color="auto" w:fill="auto"/>
          <w:lang w:val="hr-HR" w:eastAsia="hr-HR" w:bidi="hr-HR"/>
        </w:rPr>
        <w:t>teološki</w:t>
      </w:r>
      <w:r>
        <w:rPr>
          <w:rFonts w:ascii="Times New Roman" w:eastAsia="Times New Roman" w:hAnsi="Times New Roman" w:cs="Times New Roman"/>
          <w:color w:val="000000"/>
          <w:spacing w:val="0"/>
          <w:w w:val="100"/>
          <w:position w:val="0"/>
          <w:shd w:val="clear" w:color="auto" w:fill="auto"/>
          <w:lang w:val="hr-HR" w:eastAsia="hr-HR" w:bidi="hr-HR"/>
        </w:rPr>
        <w:t xml:space="preserve"> postao kriterij za prosuđivanje sveukupne nebiblijske religije (izuzev židovstva i kasnije islama) ima svoju osnovu u samoj </w:t>
      </w:r>
      <w:r>
        <w:rPr>
          <w:rFonts w:ascii="Times New Roman" w:eastAsia="Times New Roman" w:hAnsi="Times New Roman" w:cs="Times New Roman"/>
          <w:i/>
          <w:iCs/>
          <w:color w:val="000000"/>
          <w:spacing w:val="0"/>
          <w:w w:val="100"/>
          <w:position w:val="0"/>
          <w:shd w:val="clear" w:color="auto" w:fill="auto"/>
          <w:lang w:val="hr-HR" w:eastAsia="hr-HR" w:bidi="hr-HR"/>
        </w:rPr>
        <w:t>Bibliji.</w:t>
      </w:r>
      <w:r>
        <w:rPr>
          <w:rFonts w:ascii="Times New Roman" w:eastAsia="Times New Roman" w:hAnsi="Times New Roman" w:cs="Times New Roman"/>
          <w:color w:val="000000"/>
          <w:spacing w:val="0"/>
          <w:w w:val="100"/>
          <w:position w:val="0"/>
          <w:shd w:val="clear" w:color="auto" w:fill="auto"/>
          <w:lang w:val="hr-HR" w:eastAsia="hr-HR" w:bidi="hr-HR"/>
        </w:rPr>
        <w:t xml:space="preserve"> Već starozavjetna je</w:t>
        <w:softHyphen/>
        <w:t xml:space="preserve">zična uporaba odražava dvodijelnu podjelu čovječanstva: naspram izraelskog naroda stoje bez razlike strani narodi, označeni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kao gojim. </w:t>
      </w:r>
      <w:r>
        <w:rPr>
          <w:rFonts w:ascii="Times New Roman" w:eastAsia="Times New Roman" w:hAnsi="Times New Roman" w:cs="Times New Roman"/>
          <w:color w:val="000000"/>
          <w:spacing w:val="0"/>
          <w:w w:val="100"/>
          <w:position w:val="0"/>
          <w:shd w:val="clear" w:color="auto" w:fill="auto"/>
          <w:lang w:val="hr-HR" w:eastAsia="hr-HR" w:bidi="hr-HR"/>
        </w:rPr>
        <w:t>Ova je suprotnost religijske naravi: Gojim su takvi narodi koji ne poznaju Jahvu i »odani su laži«. Iako se ova skupina ne smije općenito izjednačiti s »poganstvom«, ipak se može ba</w:t>
        <w:softHyphen/>
        <w:t xml:space="preserve">rem »utvrditi tendencija u pravcu ‘pogana’ (O. </w:t>
      </w:r>
      <w:r>
        <w:rPr>
          <w:rFonts w:ascii="Times New Roman" w:eastAsia="Times New Roman" w:hAnsi="Times New Roman" w:cs="Times New Roman"/>
          <w:color w:val="000000"/>
          <w:spacing w:val="0"/>
          <w:w w:val="100"/>
          <w:position w:val="0"/>
          <w:shd w:val="clear" w:color="auto" w:fill="auto"/>
          <w:lang w:val="en-US" w:eastAsia="en-US" w:bidi="en-US"/>
        </w:rPr>
        <w:t xml:space="preserve">Bachli, </w:t>
      </w:r>
      <w:r>
        <w:rPr>
          <w:rFonts w:ascii="Times New Roman" w:eastAsia="Times New Roman" w:hAnsi="Times New Roman" w:cs="Times New Roman"/>
          <w:i/>
          <w:iCs/>
          <w:color w:val="000000"/>
          <w:spacing w:val="0"/>
          <w:w w:val="100"/>
          <w:position w:val="0"/>
          <w:shd w:val="clear" w:color="auto" w:fill="auto"/>
          <w:lang w:val="en-US" w:eastAsia="en-US" w:bidi="en-US"/>
        </w:rPr>
        <w:t>Israel und die Volker,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69).</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Premda Isus daje sasvim negativne sudove o »poganima« (Mt 5,47; 6,7; 6,31 i d.), iz nje</w:t>
        <w:softHyphen/>
        <w:t>gova stava ipak izbija novo ocjenjivanje neži- dovskih religija. Za Isusa, međutim, sukob sa stranim skupinama nije bio aktualan problem. Ima Isusovih riječi koje svjedoče o »kerigma- tičkoj inkluzivnosti« (U. Mann): Spasenje ci</w:t>
        <w:softHyphen/>
        <w:t xml:space="preserve">lja na </w:t>
      </w:r>
      <w:r>
        <w:rPr>
          <w:rFonts w:ascii="Times New Roman" w:eastAsia="Times New Roman" w:hAnsi="Times New Roman" w:cs="Times New Roman"/>
          <w:i/>
          <w:iCs/>
          <w:color w:val="000000"/>
          <w:spacing w:val="0"/>
          <w:w w:val="100"/>
          <w:position w:val="0"/>
          <w:shd w:val="clear" w:color="auto" w:fill="auto"/>
          <w:lang w:val="hr-HR" w:eastAsia="hr-HR" w:bidi="hr-HR"/>
        </w:rPr>
        <w:t>sve</w:t>
      </w:r>
      <w:r>
        <w:rPr>
          <w:rFonts w:ascii="Times New Roman" w:eastAsia="Times New Roman" w:hAnsi="Times New Roman" w:cs="Times New Roman"/>
          <w:color w:val="000000"/>
          <w:spacing w:val="0"/>
          <w:w w:val="100"/>
          <w:position w:val="0"/>
          <w:shd w:val="clear" w:color="auto" w:fill="auto"/>
          <w:lang w:val="hr-HR" w:eastAsia="hr-HR" w:bidi="hr-HR"/>
        </w:rPr>
        <w:t xml:space="preserve"> ljude pa time razlike otpadaju (usp. Mt 8,11 i d.; Lk 13,28 i 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koji je zacrtao temeljne misli o ne- krščanskim religijama, i p. posjeduju znanje o Bogu jer ga mogu spoznati iz stvorenoga svi</w:t>
        <w:softHyphen/>
        <w:t>jeta. Oni su ipak izopačili te spoznaje (Rim 1,19-23). Osim toga, Bog je zakon koji je za</w:t>
        <w:softHyphen/>
        <w:t>pisan ostavio Židovima upisao poganima u njihovo srce tako da i oni znaju za ispunjava</w:t>
        <w:softHyphen/>
        <w:t>nje Božje volje (Rim 2,14 i d.). Prema iska</w:t>
        <w:softHyphen/>
        <w:t>zima iz Djela apostolskih (14,16 i d.) i nekrš- čanske su religije okružene Božjom spasenj- skom voljom.</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Pojam »p.« s </w:t>
      </w:r>
      <w:r>
        <w:rPr>
          <w:rFonts w:ascii="Times New Roman" w:eastAsia="Times New Roman" w:hAnsi="Times New Roman" w:cs="Times New Roman"/>
          <w:i/>
          <w:iCs/>
          <w:color w:val="000000"/>
          <w:spacing w:val="0"/>
          <w:w w:val="100"/>
          <w:position w:val="0"/>
          <w:shd w:val="clear" w:color="auto" w:fill="auto"/>
          <w:lang w:val="hr-HR" w:eastAsia="hr-HR" w:bidi="hr-HR"/>
        </w:rPr>
        <w:t xml:space="preserve">kulturalno-antropološkoga gledišta </w:t>
      </w:r>
      <w:r>
        <w:rPr>
          <w:rFonts w:ascii="Times New Roman" w:eastAsia="Times New Roman" w:hAnsi="Times New Roman" w:cs="Times New Roman"/>
          <w:color w:val="000000"/>
          <w:spacing w:val="0"/>
          <w:w w:val="100"/>
          <w:position w:val="0"/>
          <w:shd w:val="clear" w:color="auto" w:fill="auto"/>
          <w:lang w:val="hr-HR" w:eastAsia="hr-HR" w:bidi="hr-HR"/>
        </w:rPr>
        <w:t xml:space="preserve">odražava </w:t>
      </w:r>
      <w:r>
        <w:rPr>
          <w:rFonts w:ascii="Times New Roman" w:eastAsia="Times New Roman" w:hAnsi="Times New Roman" w:cs="Times New Roman"/>
          <w:i/>
          <w:iCs/>
          <w:color w:val="000000"/>
          <w:spacing w:val="0"/>
          <w:w w:val="100"/>
          <w:position w:val="0"/>
          <w:shd w:val="clear" w:color="auto" w:fill="auto"/>
          <w:lang w:val="hr-HR" w:eastAsia="hr-HR" w:bidi="hr-HR"/>
        </w:rPr>
        <w:t>etnocentrićni temeljni slav.</w:t>
      </w:r>
      <w:r>
        <w:rPr>
          <w:rFonts w:ascii="Times New Roman" w:eastAsia="Times New Roman" w:hAnsi="Times New Roman" w:cs="Times New Roman"/>
          <w:color w:val="000000"/>
          <w:spacing w:val="0"/>
          <w:w w:val="100"/>
          <w:position w:val="0"/>
          <w:shd w:val="clear" w:color="auto" w:fill="auto"/>
          <w:lang w:val="hr-HR" w:eastAsia="hr-HR" w:bidi="hr-HR"/>
        </w:rPr>
        <w:t xml:space="preserve"> Sve što ne pripada vlastitoj kulturi ili religiji promatra se kao manje vrijedno. Za Grka bio je svaki negrk </w:t>
      </w:r>
      <w:r>
        <w:rPr>
          <w:rFonts w:ascii="Times New Roman" w:eastAsia="Times New Roman" w:hAnsi="Times New Roman" w:cs="Times New Roman"/>
          <w:i/>
          <w:iCs/>
          <w:color w:val="000000"/>
          <w:spacing w:val="0"/>
          <w:w w:val="100"/>
          <w:position w:val="0"/>
          <w:shd w:val="clear" w:color="auto" w:fill="auto"/>
          <w:lang w:val="hr-HR" w:eastAsia="hr-HR" w:bidi="hr-HR"/>
        </w:rPr>
        <w:t>barbar.</w:t>
      </w:r>
      <w:r>
        <w:rPr>
          <w:rFonts w:ascii="Times New Roman" w:eastAsia="Times New Roman" w:hAnsi="Times New Roman" w:cs="Times New Roman"/>
          <w:color w:val="000000"/>
          <w:spacing w:val="0"/>
          <w:w w:val="100"/>
          <w:position w:val="0"/>
          <w:shd w:val="clear" w:color="auto" w:fill="auto"/>
          <w:lang w:val="hr-HR" w:eastAsia="hr-HR" w:bidi="hr-HR"/>
        </w:rPr>
        <w:t xml:space="preserve"> Čini se da se ova riječ odnosi na neartikulirane glasove ptičjeg cvrkutanja za </w:t>
      </w:r>
      <w:r>
        <w:rPr>
          <w:rFonts w:ascii="Times New Roman" w:eastAsia="Times New Roman" w:hAnsi="Times New Roman" w:cs="Times New Roman"/>
          <w:color w:val="000000"/>
          <w:spacing w:val="0"/>
          <w:w w:val="100"/>
          <w:position w:val="0"/>
          <w:shd w:val="clear" w:color="auto" w:fill="auto"/>
          <w:lang w:val="hr-HR" w:eastAsia="hr-HR" w:bidi="hr-HR"/>
        </w:rPr>
        <w:t>razliku od kultiviranoga ljudskog jezika. Slični sc primjeri nalaze također i kod Indijaca, Ki</w:t>
        <w:softHyphen/>
        <w:t>neza i mnogih drugih naroda.</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Naivna dvodijclnost čovječanstva je od </w:t>
      </w:r>
      <w:r>
        <w:rPr>
          <w:rFonts w:ascii="Times New Roman" w:eastAsia="Times New Roman" w:hAnsi="Times New Roman" w:cs="Times New Roman"/>
          <w:i/>
          <w:iCs/>
          <w:color w:val="000000"/>
          <w:spacing w:val="0"/>
          <w:w w:val="100"/>
          <w:position w:val="0"/>
          <w:shd w:val="clear" w:color="auto" w:fill="auto"/>
          <w:lang w:val="hr-HR" w:eastAsia="hr-HR" w:bidi="hr-HR"/>
        </w:rPr>
        <w:t>seman</w:t>
        <w:softHyphen/>
        <w:t>tičkog interesa.</w:t>
      </w:r>
      <w:r>
        <w:rPr>
          <w:rFonts w:ascii="Times New Roman" w:eastAsia="Times New Roman" w:hAnsi="Times New Roman" w:cs="Times New Roman"/>
          <w:color w:val="000000"/>
          <w:spacing w:val="0"/>
          <w:w w:val="100"/>
          <w:position w:val="0"/>
          <w:shd w:val="clear" w:color="auto" w:fill="auto"/>
          <w:lang w:val="hr-HR" w:eastAsia="hr-HR" w:bidi="hr-HR"/>
        </w:rPr>
        <w:t xml:space="preserve"> Imamo posla s tzv. »dvovalja- nim usmjerenjem svog mišljenja«. Pod time se razumijeva »sklonost da svijet dijelimo na dva suprotstavljena tabora: ‘Ispravnost’ protiv ‘ne</w:t>
        <w:softHyphen/>
        <w:t>ispravnosti’, ‘dobro’ protiv ‘lošega’ - i da igno</w:t>
        <w:softHyphen/>
        <w:t>riramo ili osporavamo postojanje bilo kakve srednje stvari.« Dvovaljana usmjerenja snažno teže »neljudskosti prema ljudima«, jer »ako jc dobro ‘apsolutno dobro’, a loše ‘apsolutno lo</w:t>
        <w:softHyphen/>
        <w:t>še’, tada logika primitivnoga dvovaljanog usmje</w:t>
        <w:softHyphen/>
        <w:t>renja zahtijeva da svim raspoloživim sredstvi</w:t>
        <w:softHyphen/>
        <w:t xml:space="preserve">ma iskorijenimo ‘zlo’.« (S. </w:t>
      </w:r>
      <w:r>
        <w:rPr>
          <w:rFonts w:ascii="Times New Roman" w:eastAsia="Times New Roman" w:hAnsi="Times New Roman" w:cs="Times New Roman"/>
          <w:color w:val="000000"/>
          <w:spacing w:val="0"/>
          <w:w w:val="100"/>
          <w:position w:val="0"/>
          <w:shd w:val="clear" w:color="auto" w:fill="auto"/>
          <w:lang w:val="en-US" w:eastAsia="en-US" w:bidi="en-US"/>
        </w:rPr>
        <w:t xml:space="preserve">I. Hayakava,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 mantik. Sprache im Denken und Handeln, </w:t>
      </w:r>
      <w:r>
        <w:rPr>
          <w:rFonts w:ascii="Times New Roman" w:eastAsia="Times New Roman" w:hAnsi="Times New Roman" w:cs="Times New Roman"/>
          <w:color w:val="000000"/>
          <w:spacing w:val="0"/>
          <w:w w:val="100"/>
          <w:position w:val="0"/>
          <w:shd w:val="clear" w:color="auto" w:fill="auto"/>
          <w:lang w:val="en-US" w:eastAsia="en-US" w:bidi="en-US"/>
        </w:rPr>
        <w:t xml:space="preserve">Darmstadt </w:t>
      </w:r>
      <w:r>
        <w:rPr>
          <w:rFonts w:ascii="Times New Roman" w:eastAsia="Times New Roman" w:hAnsi="Times New Roman" w:cs="Times New Roman"/>
          <w:color w:val="000000"/>
          <w:spacing w:val="0"/>
          <w:w w:val="100"/>
          <w:position w:val="0"/>
          <w:shd w:val="clear" w:color="auto" w:fill="auto"/>
          <w:lang w:val="hr-HR" w:eastAsia="hr-HR" w:bidi="hr-HR"/>
        </w:rPr>
        <w:t>1964,309). Nizozemski protestant</w:t>
        <w:softHyphen/>
        <w:t xml:space="preserve">ski znanstvenik za misije J. Chr. Hoekendijk stavlja riječ »p.« u poučan </w:t>
      </w:r>
      <w:r>
        <w:rPr>
          <w:rFonts w:ascii="Times New Roman" w:eastAsia="Times New Roman" w:hAnsi="Times New Roman" w:cs="Times New Roman"/>
          <w:i/>
          <w:iCs/>
          <w:color w:val="000000"/>
          <w:spacing w:val="0"/>
          <w:w w:val="100"/>
          <w:position w:val="0"/>
          <w:shd w:val="clear" w:color="auto" w:fill="auto"/>
          <w:lang w:val="hr-HR" w:eastAsia="hr-HR" w:bidi="hr-HR"/>
        </w:rPr>
        <w:t>izvanteološki</w:t>
      </w:r>
      <w:r>
        <w:rPr>
          <w:rFonts w:ascii="Times New Roman" w:eastAsia="Times New Roman" w:hAnsi="Times New Roman" w:cs="Times New Roman"/>
          <w:color w:val="000000"/>
          <w:spacing w:val="0"/>
          <w:w w:val="100"/>
          <w:position w:val="0"/>
          <w:shd w:val="clear" w:color="auto" w:fill="auto"/>
          <w:lang w:val="hr-HR" w:eastAsia="hr-HR" w:bidi="hr-HR"/>
        </w:rPr>
        <w:t xml:space="preserve"> kon</w:t>
        <w:softHyphen/>
        <w:t xml:space="preserve">tekst koji objašnjava problematiku primjene ove riječi (iz: R. Friedli,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Fremdheit als Heimal, </w:t>
      </w:r>
      <w:r>
        <w:rPr>
          <w:rFonts w:ascii="Times New Roman" w:eastAsia="Times New Roman" w:hAnsi="Times New Roman" w:cs="Times New Roman"/>
          <w:color w:val="000000"/>
          <w:spacing w:val="0"/>
          <w:w w:val="100"/>
          <w:position w:val="0"/>
          <w:shd w:val="clear" w:color="auto" w:fill="auto"/>
          <w:lang w:val="hr-HR" w:eastAsia="hr-HR" w:bidi="hr-HR"/>
        </w:rPr>
        <w:t>47):</w:t>
      </w:r>
    </w:p>
    <w:tbl>
      <w:tblPr>
        <w:tblOverlap w:val="never"/>
        <w:jc w:val="center"/>
        <w:tblLayout w:type="fixed"/>
      </w:tblPr>
      <w:tblGrid>
        <w:gridCol w:w="1123"/>
        <w:gridCol w:w="1090"/>
        <w:gridCol w:w="758"/>
      </w:tblGrid>
      <w:tr>
        <w:trPr>
          <w:trHeight w:val="178"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Crkva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interakcija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00" w:right="0" w:firstLine="0"/>
              <w:jc w:val="center"/>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»ostali«</w:t>
            </w:r>
          </w:p>
        </w:tc>
      </w:tr>
      <w:tr>
        <w:trPr>
          <w:trHeight w:val="18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Božji</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rPr>
                <w:sz w:val="13"/>
                <w:szCs w:val="13"/>
              </w:rPr>
            </w:pPr>
            <w:r>
              <w:rPr>
                <w:rFonts w:ascii="Arial" w:eastAsia="Arial" w:hAnsi="Arial" w:cs="Arial"/>
                <w:color w:val="000000"/>
                <w:spacing w:val="0"/>
                <w:w w:val="100"/>
                <w:position w:val="0"/>
                <w:sz w:val="13"/>
                <w:szCs w:val="13"/>
                <w:shd w:val="clear" w:color="auto" w:fill="auto"/>
                <w:lang w:val="hr-HR" w:eastAsia="hr-HR" w:bidi="hr-HR"/>
              </w:rPr>
              <w:t>narod</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0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pogani</w:t>
            </w:r>
          </w:p>
        </w:tc>
      </w:tr>
      <w:tr>
        <w:trPr>
          <w:trHeight w:val="173"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kultura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civilizacija</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0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barbari</w:t>
            </w:r>
          </w:p>
        </w:tc>
      </w:tr>
      <w:tr>
        <w:trPr>
          <w:trHeight w:val="178"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kraljevstvo Božje</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smirivanje</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neprijatelji</w:t>
            </w:r>
          </w:p>
        </w:tc>
      </w:tr>
      <w:tr>
        <w:trPr>
          <w:trHeight w:val="32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Corpus</w:t>
            </w:r>
          </w:p>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Christianum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podčinjavanje</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10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pogani</w:t>
            </w:r>
          </w:p>
        </w:tc>
      </w:tr>
      <w:tr>
        <w:trPr>
          <w:trHeight w:val="360"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Europa</w:t>
            </w:r>
          </w:p>
        </w:tc>
        <w:tc>
          <w:tcPr>
            <w:tcBorders/>
            <w:shd w:val="clear" w:color="auto" w:fill="FFFFFF"/>
            <w:vAlign w:val="top"/>
          </w:tcPr>
          <w:p>
            <w:pPr>
              <w:pStyle w:val="Style7"/>
              <w:keepNext w:val="0"/>
              <w:keepLines w:val="0"/>
              <w:widowControl w:val="0"/>
              <w:shd w:val="clear" w:color="auto" w:fill="auto"/>
              <w:bidi w:val="0"/>
              <w:spacing w:before="0" w:after="0" w:line="286" w:lineRule="auto"/>
              <w:ind w:left="0" w:right="0" w:firstLine="0"/>
              <w:jc w:val="both"/>
              <w:rPr>
                <w:sz w:val="13"/>
                <w:szCs w:val="13"/>
              </w:rPr>
            </w:pPr>
            <w:r>
              <w:rPr>
                <w:rFonts w:ascii="Arial" w:eastAsia="Arial" w:hAnsi="Arial" w:cs="Arial"/>
                <w:color w:val="000000"/>
                <w:spacing w:val="0"/>
                <w:w w:val="100"/>
                <w:position w:val="0"/>
                <w:sz w:val="13"/>
                <w:szCs w:val="13"/>
                <w:shd w:val="clear" w:color="auto" w:fill="auto"/>
                <w:lang w:val="hr-HR" w:eastAsia="hr-HR" w:bidi="hr-HR"/>
              </w:rPr>
              <w:t xml:space="preserve">križarski ratovi </w:t>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kolonijalizam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righ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Ne-Europa</w:t>
            </w:r>
          </w:p>
        </w:tc>
      </w:tr>
    </w:tbl>
    <w:p>
      <w:pPr>
        <w:widowControl w:val="0"/>
        <w:spacing w:after="119" w:line="1" w:lineRule="exact"/>
      </w:pP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Konačno, pojam »p.«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znanstveno-religijski </w:t>
      </w:r>
      <w:r>
        <w:rPr>
          <w:rFonts w:ascii="Times New Roman" w:eastAsia="Times New Roman" w:hAnsi="Times New Roman" w:cs="Times New Roman"/>
          <w:color w:val="000000"/>
          <w:spacing w:val="0"/>
          <w:w w:val="100"/>
          <w:position w:val="0"/>
          <w:shd w:val="clear" w:color="auto" w:fill="auto"/>
          <w:lang w:val="hr-HR" w:eastAsia="hr-HR" w:bidi="hr-HR"/>
        </w:rPr>
        <w:t>neupotrebljiv, jer povjesničar religije ne po</w:t>
        <w:softHyphen/>
        <w:t>znaje nikakvu kategoriju poganstva koju bi trebao definirati kao jedinstvenu veličinu. Teo</w:t>
        <w:softHyphen/>
        <w:t>logija nadahnuta mislima »sadržajne toleran</w:t>
        <w:softHyphen/>
        <w:t>cije« Gustava Menschinga (—&gt; Tolerancija) i dijaloga s religijama odbacit če pojam »p.« jer on ne služi da bi se promicalo razumijevanje ostalih religija i sporazumijevanje među nji</w:t>
        <w:softHyphen/>
        <w:t>ma.</w:t>
      </w:r>
    </w:p>
    <w:p>
      <w:pPr>
        <w:pStyle w:val="Style56"/>
        <w:keepNext w:val="0"/>
        <w:keepLines w:val="0"/>
        <w:widowControl w:val="0"/>
        <w:shd w:val="clear" w:color="auto" w:fill="auto"/>
        <w:tabs>
          <w:tab w:pos="2098"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Lit.: O. Bachli, </w:t>
      </w:r>
      <w:r>
        <w:rPr>
          <w:i/>
          <w:iCs/>
          <w:color w:val="000000"/>
          <w:spacing w:val="0"/>
          <w:w w:val="100"/>
          <w:position w:val="0"/>
          <w:shd w:val="clear" w:color="auto" w:fill="auto"/>
        </w:rPr>
        <w:t xml:space="preserve">Israel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 xml:space="preserve">die Volker. </w:t>
      </w:r>
      <w:r>
        <w:rPr>
          <w:i/>
          <w:iCs/>
          <w:color w:val="000000"/>
          <w:spacing w:val="0"/>
          <w:w w:val="100"/>
          <w:position w:val="0"/>
          <w:shd w:val="clear" w:color="auto" w:fill="auto"/>
          <w:lang w:val="hr-HR" w:eastAsia="hr-HR" w:bidi="hr-HR"/>
        </w:rPr>
        <w:t>Eine Studie zum Deu- teronomium,</w:t>
      </w:r>
      <w:r>
        <w:rPr>
          <w:color w:val="000000"/>
          <w:spacing w:val="0"/>
          <w:w w:val="100"/>
          <w:position w:val="0"/>
          <w:shd w:val="clear" w:color="auto" w:fill="auto"/>
          <w:lang w:val="hr-HR" w:eastAsia="hr-HR" w:bidi="hr-HR"/>
        </w:rPr>
        <w:t xml:space="preserve"> 7,unch/Stuttgart 1962; R. Friedli, </w:t>
      </w:r>
      <w:r>
        <w:rPr>
          <w:i/>
          <w:iCs/>
          <w:color w:val="000000"/>
          <w:spacing w:val="0"/>
          <w:w w:val="100"/>
          <w:position w:val="0"/>
          <w:shd w:val="clear" w:color="auto" w:fill="auto"/>
          <w:lang w:val="hr-HR" w:eastAsia="hr-HR" w:bidi="hr-HR"/>
        </w:rPr>
        <w:t xml:space="preserve">Fremdheit ali </w:t>
      </w:r>
      <w:r>
        <w:rPr>
          <w:i/>
          <w:iCs/>
          <w:color w:val="000000"/>
          <w:spacing w:val="0"/>
          <w:w w:val="100"/>
          <w:position w:val="0"/>
          <w:shd w:val="clear" w:color="auto" w:fill="auto"/>
        </w:rPr>
        <w:t>Freiheit,</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1974; H. </w:t>
      </w:r>
      <w:r>
        <w:rPr>
          <w:color w:val="000000"/>
          <w:spacing w:val="0"/>
          <w:w w:val="100"/>
          <w:position w:val="0"/>
          <w:shd w:val="clear" w:color="auto" w:fill="auto"/>
        </w:rPr>
        <w:t xml:space="preserve">Loiskandl, </w:t>
      </w:r>
      <w:r>
        <w:rPr>
          <w:i/>
          <w:iCs/>
          <w:color w:val="000000"/>
          <w:spacing w:val="0"/>
          <w:w w:val="100"/>
          <w:position w:val="0"/>
          <w:shd w:val="clear" w:color="auto" w:fill="auto"/>
        </w:rPr>
        <w:t xml:space="preserve">Edie Wilde, Hei- den </w:t>
      </w:r>
      <w:r>
        <w:rPr>
          <w:i/>
          <w:iCs/>
          <w:color w:val="000000"/>
          <w:spacing w:val="0"/>
          <w:w w:val="100"/>
          <w:position w:val="0"/>
          <w:shd w:val="clear" w:color="auto" w:fill="auto"/>
          <w:lang w:val="hr-HR" w:eastAsia="hr-HR" w:bidi="hr-HR"/>
        </w:rPr>
        <w:t xml:space="preserve">und Barbaren, Fremdheit als </w:t>
      </w:r>
      <w:r>
        <w:rPr>
          <w:i/>
          <w:iCs/>
          <w:color w:val="000000"/>
          <w:spacing w:val="0"/>
          <w:w w:val="100"/>
          <w:position w:val="0"/>
          <w:shd w:val="clear" w:color="auto" w:fill="auto"/>
        </w:rPr>
        <w:t xml:space="preserve">Bewertungskruerium zwi- schen </w:t>
      </w:r>
      <w:r>
        <w:rPr>
          <w:i/>
          <w:iCs/>
          <w:color w:val="000000"/>
          <w:spacing w:val="0"/>
          <w:w w:val="100"/>
          <w:position w:val="0"/>
          <w:shd w:val="clear" w:color="auto" w:fill="auto"/>
          <w:lang w:val="hr-HR" w:eastAsia="hr-HR" w:bidi="hr-HR"/>
        </w:rPr>
        <w:t>Kulturen,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Mddling bei Wien </w:t>
      </w:r>
      <w:r>
        <w:rPr>
          <w:color w:val="000000"/>
          <w:spacing w:val="0"/>
          <w:w w:val="100"/>
          <w:position w:val="0"/>
          <w:shd w:val="clear" w:color="auto" w:fill="auto"/>
          <w:lang w:val="hr-HR" w:eastAsia="hr-HR" w:bidi="hr-HR"/>
        </w:rPr>
        <w:t xml:space="preserve">1966; U. </w:t>
      </w:r>
      <w:r>
        <w:rPr>
          <w:color w:val="000000"/>
          <w:spacing w:val="0"/>
          <w:w w:val="100"/>
          <w:position w:val="0"/>
          <w:shd w:val="clear" w:color="auto" w:fill="auto"/>
        </w:rPr>
        <w:t xml:space="preserve">Twor use </w:t>
      </w:r>
      <w:r>
        <w:rPr>
          <w:color w:val="000000"/>
          <w:spacing w:val="0"/>
          <w:w w:val="100"/>
          <w:position w:val="0"/>
          <w:shd w:val="clear" w:color="auto" w:fill="auto"/>
          <w:lang w:val="hr-HR" w:eastAsia="hr-HR" w:bidi="hr-HR"/>
        </w:rPr>
        <w:t xml:space="preserve">tika, </w:t>
      </w:r>
      <w:r>
        <w:rPr>
          <w:i/>
          <w:iCs/>
          <w:color w:val="000000"/>
          <w:spacing w:val="0"/>
          <w:w w:val="100"/>
          <w:position w:val="0"/>
          <w:shd w:val="clear" w:color="auto" w:fill="auto"/>
        </w:rPr>
        <w:t xml:space="preserve">Methodise he Zugange </w:t>
      </w:r>
      <w:r>
        <w:rPr>
          <w:i/>
          <w:iCs/>
          <w:color w:val="000000"/>
          <w:spacing w:val="0"/>
          <w:w w:val="100"/>
          <w:position w:val="0"/>
          <w:shd w:val="clear" w:color="auto" w:fill="auto"/>
          <w:lang w:val="hr-HR" w:eastAsia="hr-HR" w:bidi="hr-HR"/>
        </w:rPr>
        <w:t xml:space="preserve">zu </w:t>
      </w:r>
      <w:r>
        <w:rPr>
          <w:i/>
          <w:iCs/>
          <w:color w:val="000000"/>
          <w:spacing w:val="0"/>
          <w:w w:val="100"/>
          <w:position w:val="0"/>
          <w:shd w:val="clear" w:color="auto" w:fill="auto"/>
        </w:rPr>
        <w:t>den Weltreligionen,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Frankfurt/Mun- chcn 1982.</w:t>
        <w:tab/>
        <w:t xml:space="preserve">U. </w:t>
      </w:r>
      <w:r>
        <w:rPr>
          <w:color w:val="000000"/>
          <w:spacing w:val="0"/>
          <w:w w:val="100"/>
          <w:position w:val="0"/>
          <w:shd w:val="clear" w:color="auto" w:fill="auto"/>
        </w:rPr>
        <w:t>TWORUSCHKA</w:t>
      </w:r>
    </w:p>
    <w:p>
      <w:pPr>
        <w:pStyle w:val="Style63"/>
        <w:keepNext/>
        <w:keepLines/>
        <w:widowControl w:val="0"/>
        <w:numPr>
          <w:ilvl w:val="0"/>
          <w:numId w:val="407"/>
        </w:numPr>
        <w:shd w:val="clear" w:color="auto" w:fill="auto"/>
        <w:tabs>
          <w:tab w:pos="260" w:val="left"/>
        </w:tabs>
        <w:bidi w:val="0"/>
        <w:spacing w:before="0" w:after="80"/>
        <w:ind w:left="0" w:right="0" w:firstLine="0"/>
        <w:jc w:val="both"/>
      </w:pPr>
      <w:bookmarkStart w:id="254" w:name="bookmark254"/>
      <w:r>
        <w:rPr>
          <w:rFonts w:ascii="Times New Roman" w:eastAsia="Times New Roman" w:hAnsi="Times New Roman" w:cs="Times New Roman"/>
          <w:color w:val="000000"/>
          <w:spacing w:val="0"/>
          <w:w w:val="100"/>
          <w:position w:val="0"/>
          <w:shd w:val="clear" w:color="auto" w:fill="auto"/>
          <w:lang w:val="hr-HR" w:eastAsia="hr-HR" w:bidi="hr-HR"/>
        </w:rPr>
        <w:t>islamski</w:t>
      </w:r>
      <w:bookmarkEnd w:id="254"/>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Poput Isusa Krista, Muhamed je na početku svoje misije bio toliko uvjeren o skorašnjem </w:t>
      </w:r>
      <w:r>
        <w:rPr>
          <w:rFonts w:ascii="Times New Roman" w:eastAsia="Times New Roman" w:hAnsi="Times New Roman" w:cs="Times New Roman"/>
          <w:color w:val="000000"/>
          <w:spacing w:val="0"/>
          <w:w w:val="100"/>
          <w:position w:val="0"/>
          <w:shd w:val="clear" w:color="auto" w:fill="auto"/>
          <w:lang w:val="hr-HR" w:eastAsia="hr-HR" w:bidi="hr-HR"/>
        </w:rPr>
        <w:t>sudnjem danu da se u prvom redu bavio svo</w:t>
        <w:softHyphen/>
        <w:t>jom vlastitom sudbinom. Svijest o postojanju nepopravljivoga neprijatelja religije njemu su tek probudile gluhe uši i odbojan stav njegove okoline. Arapski idolopoklonici, koji su činili sve da slome Muhameda u njegovim nastoja</w:t>
        <w:softHyphen/>
        <w:t>njima kao navjestitelja vjere, iskristalizirali su se tada u svijest o islamu kao klasičnom pred</w:t>
        <w:softHyphen/>
        <w:t>stavniku poganstva. Politeisti (u Kuranu: al- mushrikun), koji osim Boga priznaju i druge bogove, važe time ujedno kao p. i »barbari« (ahl al-djaahiliyya). Kuran im je prijetio teš</w:t>
        <w:softHyphen/>
        <w:t>kim kaznama. Sadržajem svoje vjere oni čine grijehe za koje Bog nema nikakva oprosta (4,51,116; 31,12). Vjernici se moraju držati podalje od njih. S poganima se ne smije skla</w:t>
        <w:softHyphen/>
        <w:t>pati brak; s njima nema nikakva prijateljstva. Jedan ih stih iz Kurana (9,28) degradira kao »nečiste ljude«. Pod jednim širim pojmom, al-kafirun (nevjernici), podrazumijevaju se i</w:t>
      </w:r>
    </w:p>
    <w:p>
      <w:pPr>
        <w:pStyle w:val="Style20"/>
        <w:keepNext w:val="0"/>
        <w:keepLines w:val="0"/>
        <w:widowControl w:val="0"/>
        <w:shd w:val="clear" w:color="auto" w:fill="auto"/>
        <w:tabs>
          <w:tab w:pos="246"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w:t>
        <w:tab/>
        <w:t>i ljudi druge vjere. Iz jednoga bi se mjesta u Kuranu (9,86) moglo razabrati »da su p. i ljudi Pisma koji su nevjernici« na jednak način osu</w:t>
        <w:softHyphen/>
        <w:t>đeni na prokletstvo; no mjerodavni komenta</w:t>
        <w:softHyphen/>
        <w:t>tori Kurana oštro razgraničavaju posjedova- telje Pisma, naime Židove i kršćane, i al-mus- hrikun. To je nedvojbeno u kuranskome smis</w:t>
        <w:softHyphen/>
        <w:t>lu, no inače ne bi bilo nikakvih odredbi koje bi regulirale suživot muslimana s pripadnicima ranijih monoteističkih religija i koje bi una</w:t>
        <w:softHyphen/>
        <w:t xml:space="preserve">prijed određivale snošljivi </w:t>
      </w:r>
      <w:r>
        <w:rPr>
          <w:rFonts w:ascii="Times New Roman" w:eastAsia="Times New Roman" w:hAnsi="Times New Roman" w:cs="Times New Roman"/>
          <w:i/>
          <w:iCs/>
          <w:color w:val="000000"/>
          <w:spacing w:val="0"/>
          <w:w w:val="100"/>
          <w:position w:val="0"/>
          <w:shd w:val="clear" w:color="auto" w:fill="auto"/>
          <w:lang w:val="hr-HR" w:eastAsia="hr-HR" w:bidi="hr-HR"/>
        </w:rPr>
        <w:t>modus vivendi</w:t>
      </w:r>
      <w:r>
        <w:rPr>
          <w:rFonts w:ascii="Times New Roman" w:eastAsia="Times New Roman" w:hAnsi="Times New Roman" w:cs="Times New Roman"/>
          <w:color w:val="000000"/>
          <w:spacing w:val="0"/>
          <w:w w:val="100"/>
          <w:position w:val="0"/>
          <w:shd w:val="clear" w:color="auto" w:fill="auto"/>
          <w:lang w:val="hr-HR" w:eastAsia="hr-HR" w:bidi="hr-HR"/>
        </w:rPr>
        <w:t xml:space="preserve"> s nji</w:t>
        <w:softHyphen/>
        <w:t>ma. Islam je prema poganstvu nedvosmisleno netolerantan, ali ne i prema židovstvu i krš</w:t>
        <w:softHyphen/>
        <w:t>ćanstvu.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Muhamed je stavio pogane pred izbor, ili pri</w:t>
        <w:softHyphen/>
        <w:t>hvatiti islam ili se izložiti borbi ili pak napus</w:t>
        <w:softHyphen/>
        <w:t>titi Arabiju. U prvim stoljećima islamske po</w:t>
        <w:softHyphen/>
        <w:t>vijesti - izuzev prvoga razdoblja - odnos is</w:t>
        <w:softHyphen/>
        <w:t>lama prema poganstvu bio je uvijek napet. Bila je to međusobna borba na život i smrt. Tek mnogo kasnije, posebice u Indiji za vla</w:t>
        <w:softHyphen/>
        <w:t>davine Velikoga mogula (1526-1857), islam</w:t>
        <w:softHyphen/>
        <w:t>sko je društvo uzmoglo naći način snošljivoga suživota i s politeističkim strukturama - i to ne samo zahvaljujući duhovnosti i tolerant</w:t>
        <w:softHyphen/>
        <w:t>nosti koju su njegovale sufije.</w:t>
      </w:r>
    </w:p>
    <w:p>
      <w:pPr>
        <w:pStyle w:val="Style56"/>
        <w:keepNext w:val="0"/>
        <w:keepLines w:val="0"/>
        <w:widowControl w:val="0"/>
        <w:shd w:val="clear" w:color="auto" w:fill="auto"/>
        <w:tabs>
          <w:tab w:pos="2539" w:val="left"/>
        </w:tabs>
        <w:bidi w:val="0"/>
        <w:spacing w:before="0" w:after="40" w:line="240" w:lineRule="auto"/>
        <w:ind w:left="0" w:right="0" w:firstLine="0"/>
        <w:jc w:val="both"/>
      </w:pPr>
      <w:r>
        <w:rPr>
          <w:color w:val="000000"/>
          <w:spacing w:val="0"/>
          <w:w w:val="100"/>
          <w:position w:val="0"/>
          <w:shd w:val="clear" w:color="auto" w:fill="auto"/>
          <w:lang w:val="hr-HR" w:eastAsia="hr-HR" w:bidi="hr-HR"/>
        </w:rPr>
        <w:t xml:space="preserve">Lit.: natuknica: </w:t>
      </w:r>
      <w:r>
        <w:rPr>
          <w:color w:val="000000"/>
          <w:spacing w:val="0"/>
          <w:w w:val="100"/>
          <w:position w:val="0"/>
          <w:shd w:val="clear" w:color="auto" w:fill="auto"/>
        </w:rPr>
        <w:t xml:space="preserve">Shirk, </w:t>
      </w:r>
      <w:r>
        <w:rPr>
          <w:color w:val="000000"/>
          <w:spacing w:val="0"/>
          <w:w w:val="100"/>
          <w:position w:val="0"/>
          <w:shd w:val="clear" w:color="auto" w:fill="auto"/>
          <w:lang w:val="hr-HR" w:eastAsia="hr-HR" w:bidi="hr-HR"/>
        </w:rPr>
        <w:t>u: 111,693-695.</w:t>
        <w:tab/>
        <w:t>S. BAL1Ć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POKORA</w:t>
      </w:r>
    </w:p>
    <w:p>
      <w:pPr>
        <w:pStyle w:val="Style63"/>
        <w:keepNext/>
        <w:keepLines/>
        <w:widowControl w:val="0"/>
        <w:numPr>
          <w:ilvl w:val="0"/>
          <w:numId w:val="409"/>
        </w:numPr>
        <w:shd w:val="clear" w:color="auto" w:fill="auto"/>
        <w:tabs>
          <w:tab w:pos="246" w:val="left"/>
        </w:tabs>
        <w:bidi w:val="0"/>
        <w:spacing w:before="0"/>
        <w:ind w:left="0" w:right="0" w:firstLine="0"/>
        <w:jc w:val="both"/>
      </w:pPr>
      <w:bookmarkStart w:id="255" w:name="bookmark255"/>
      <w:r>
        <w:rPr>
          <w:rFonts w:ascii="Times New Roman" w:eastAsia="Times New Roman" w:hAnsi="Times New Roman" w:cs="Times New Roman"/>
          <w:color w:val="000000"/>
          <w:spacing w:val="0"/>
          <w:w w:val="100"/>
          <w:position w:val="0"/>
          <w:shd w:val="clear" w:color="auto" w:fill="auto"/>
          <w:lang w:val="hr-HR" w:eastAsia="hr-HR" w:bidi="hr-HR"/>
        </w:rPr>
        <w:t>židovski</w:t>
      </w:r>
      <w:bookmarkEnd w:id="255"/>
    </w:p>
    <w:p>
      <w:pPr>
        <w:pStyle w:val="Style20"/>
        <w:keepNext w:val="0"/>
        <w:keepLines w:val="0"/>
        <w:widowControl w:val="0"/>
        <w:numPr>
          <w:ilvl w:val="0"/>
          <w:numId w:val="411"/>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»Obrati se dan prije svoje smrti«:</w:t>
      </w:r>
      <w:r>
        <w:rPr>
          <w:rFonts w:ascii="Times New Roman" w:eastAsia="Times New Roman" w:hAnsi="Times New Roman" w:cs="Times New Roman"/>
          <w:color w:val="000000"/>
          <w:spacing w:val="0"/>
          <w:w w:val="100"/>
          <w:position w:val="0"/>
          <w:shd w:val="clear" w:color="auto" w:fill="auto"/>
          <w:lang w:val="hr-HR" w:eastAsia="hr-HR" w:bidi="hr-HR"/>
        </w:rPr>
        <w:t xml:space="preserve"> Čovjek se može vratiti zapovijedi i početku svojega živo</w:t>
        <w:softHyphen/>
        <w:t>ta. Bog mu uvijek iznova odobrava početak. »Obrati se dan prije svoje smrti« (M Avot</w:t>
      </w:r>
    </w:p>
    <w:p>
      <w:pPr>
        <w:pStyle w:val="Style20"/>
        <w:keepNext w:val="0"/>
        <w:keepLines w:val="0"/>
        <w:widowControl w:val="0"/>
        <w:numPr>
          <w:ilvl w:val="0"/>
          <w:numId w:val="413"/>
        </w:numPr>
        <w:shd w:val="clear" w:color="auto" w:fill="auto"/>
        <w:tabs>
          <w:tab w:pos="29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10). Na pitanje svojih učenika: »Zna li uop</w:t>
        <w:softHyphen/>
        <w:t xml:space="preserve">će čovjek kojega će dana umrijeti?« rabin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(II. stoljeće) odgovorio je: »To više se mora danas obratiti, jer će sutra možda umri</w:t>
        <w:softHyphen/>
        <w:t xml:space="preserve">jeti; dakle, iz toga slijedi da on svoje dane mora provesti u obraćenju« (b Sabat 153a). To obraćenje je pomirenje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5,6) u kojem se čovjekov život uvijek može obnoviti.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Obraćenje </w:t>
      </w:r>
      <w:r>
        <w:rPr>
          <w:rFonts w:ascii="Times New Roman" w:eastAsia="Times New Roman" w:hAnsi="Times New Roman" w:cs="Times New Roman"/>
          <w:color w:val="000000"/>
          <w:spacing w:val="0"/>
          <w:w w:val="100"/>
          <w:position w:val="0"/>
          <w:shd w:val="clear" w:color="auto" w:fill="auto"/>
          <w:lang w:val="hr-HR" w:eastAsia="hr-HR" w:bidi="hr-HR"/>
        </w:rPr>
        <w:t xml:space="preserve">(hebr. </w:t>
      </w:r>
      <w:r>
        <w:rPr>
          <w:rFonts w:ascii="Times New Roman" w:eastAsia="Times New Roman" w:hAnsi="Times New Roman" w:cs="Times New Roman"/>
          <w:i/>
          <w:iCs/>
          <w:color w:val="000000"/>
          <w:spacing w:val="0"/>
          <w:w w:val="100"/>
          <w:position w:val="0"/>
          <w:shd w:val="clear" w:color="auto" w:fill="auto"/>
          <w:lang w:val="hr-HR" w:eastAsia="hr-HR" w:bidi="hr-HR"/>
        </w:rPr>
        <w:t>tešuva =</w:t>
      </w:r>
      <w:r>
        <w:rPr>
          <w:rFonts w:ascii="Times New Roman" w:eastAsia="Times New Roman" w:hAnsi="Times New Roman" w:cs="Times New Roman"/>
          <w:color w:val="000000"/>
          <w:spacing w:val="0"/>
          <w:w w:val="100"/>
          <w:position w:val="0"/>
          <w:shd w:val="clear" w:color="auto" w:fill="auto"/>
          <w:lang w:val="hr-HR" w:eastAsia="hr-HR" w:bidi="hr-HR"/>
        </w:rPr>
        <w:t xml:space="preserve"> povratak, obraćenje, kajanje) - ne p. kako se to krivo prevodi pogrešnim shvaćanjem osnove te biblijske riječi i zbog toga tako nazvanoga procesa - prema Tori je druga od »sedam stvari« koje su »stvorene prije stvaranja svijeta«, poučavali su mudraci (b Pesahim 54a). Obraćenje, pomirenje pret</w:t>
        <w:softHyphen/>
        <w:t>postavlja da je čovjek kriv zato što je uništen odnos između njega i njegova Stvoritelja. Okrc- nuvši leđa zajednici s Bogom, čovjek dolazi pod sud Božji. Pomirenja stoga nema bez priznanja krivnje, nema ga ako čovjek ne po</w:t>
        <w:softHyphen/>
        <w:t xml:space="preserve">klekne pred Božjom osudom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5,5 i d.; Iz 58,6 i d.; Jr 3,12 i d.; Ez 3,19): »Kajanje i svi</w:t>
        <w:softHyphen/>
        <w:t>jest o krivnji jednaki su prinošenju svih žrta</w:t>
        <w:softHyphen/>
        <w:t>va« (Vajikra raba VII, 6,9). Učitelji Mišne po</w:t>
        <w:softHyphen/>
        <w:t>sebno naglašavaju: »Ako tko kaže: Griješit ću i obratiti se, neće mu sc dopustiti povratak« (Joma VIII, 9).</w:t>
      </w:r>
    </w:p>
    <w:p>
      <w:pPr>
        <w:pStyle w:val="Style20"/>
        <w:keepNext w:val="0"/>
        <w:keepLines w:val="0"/>
        <w:widowControl w:val="0"/>
        <w:shd w:val="clear" w:color="auto" w:fill="auto"/>
        <w:bidi w:val="0"/>
        <w:spacing w:before="0" w:after="60"/>
        <w:ind w:left="0" w:right="0" w:firstLine="0"/>
        <w:jc w:val="both"/>
        <w:sectPr>
          <w:headerReference w:type="default" r:id="rId1067"/>
          <w:footerReference w:type="default" r:id="rId1068"/>
          <w:headerReference w:type="even" r:id="rId1069"/>
          <w:footerReference w:type="even" r:id="rId1070"/>
          <w:headerReference w:type="first" r:id="rId1071"/>
          <w:footerReference w:type="first" r:id="rId1072"/>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Bog pomirujc. U jednome talmudskom od</w:t>
        <w:softHyphen/>
        <w:t>lomku kaže sc o Danu pomirenja: »Mjera do</w:t>
        <w:softHyphen/>
        <w:t xml:space="preserve">bra bogatija je od mjere nesreće« (b Joma 76a). Prema starom tumačenju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je, navodno, moleći se za Sodomu, rekao Bogu: »Ako želiš sačuvati svijet, ne možeš primjenji</w:t>
        <w:softHyphen/>
        <w:t>vali pravo, ako pak to želiš, ne možeš sačuvati svijet. Stoga uhvati konop za oba kraja, tj. ovdje sačuvaj svijet, a ondje primjenjuj pravo; ako malo ne popustiš, svijet neće moći op</w:t>
        <w:softHyphen/>
        <w:t xml:space="preserve">stati« (Berešit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XLIX, </w:t>
      </w:r>
      <w:r>
        <w:rPr>
          <w:rFonts w:ascii="Times New Roman" w:eastAsia="Times New Roman" w:hAnsi="Times New Roman" w:cs="Times New Roman"/>
          <w:color w:val="000000"/>
          <w:spacing w:val="0"/>
          <w:w w:val="100"/>
          <w:position w:val="0"/>
          <w:shd w:val="clear" w:color="auto" w:fill="auto"/>
          <w:lang w:val="hr-HR" w:eastAsia="hr-HR" w:bidi="hr-HR"/>
        </w:rPr>
        <w:t>18,25). Znanje da je milost ispred prava dalo je ime Danu po</w:t>
        <w:softHyphen/>
        <w:t>mirenja: Jom kipur, dan očišćenja od grijeha. Dan pomirenja postao je najsvetijim danom rabinskoga židovstva, danom samoispitivanja i obraćenja: »Jer toga dana on će vam oprostiti kako bi vas očistio; trebate se očistiti pred Bo</w:t>
        <w:softHyphen/>
        <w:t>gom od svih svojih grijeha« (M Joma VI,2).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Molitelji se uzdaju da revni, osvetljivi Bog ni</w:t>
        <w:softHyphen/>
        <w:t>kada ne prestaje biti dragi Bog. Ta sigurnost ušla je već u paradoksalno oblikovanu bib</w:t>
        <w:softHyphen/>
        <w:t>lijsku molbu: »U gnjevu se svojem smilovanja sjeti!« (Hab 3,2); to se djelovanje osjeća i u predodžbi mudraca o samoj Božjoj molitvi: »Neka bude moja volja da moje milosrđe svla</w:t>
        <w:softHyphen/>
        <w:t>da moj gnjev, da moje milosrđe pregazi moja svojstva (prava), da sa svojom djecom postu</w:t>
        <w:softHyphen/>
        <w:t xml:space="preserve">pam prema svojstvu milosrđa i da zbog njih stanem na liniju prava (tj. da ne postupam strogo po pravu)« (b Berahot 7a). Stoga se u različita vremena molitve na Jom kipur - u molitvi </w:t>
      </w:r>
      <w:r>
        <w:rPr>
          <w:rFonts w:ascii="Times New Roman" w:eastAsia="Times New Roman" w:hAnsi="Times New Roman" w:cs="Times New Roman"/>
          <w:i/>
          <w:iCs/>
          <w:color w:val="000000"/>
          <w:spacing w:val="0"/>
          <w:w w:val="100"/>
          <w:position w:val="0"/>
          <w:shd w:val="clear" w:color="auto" w:fill="auto"/>
          <w:lang w:val="hr-HR" w:eastAsia="hr-HR" w:bidi="hr-HR"/>
        </w:rPr>
        <w:t>minha</w:t>
      </w:r>
      <w:r>
        <w:rPr>
          <w:rFonts w:ascii="Times New Roman" w:eastAsia="Times New Roman" w:hAnsi="Times New Roman" w:cs="Times New Roman"/>
          <w:color w:val="000000"/>
          <w:spacing w:val="0"/>
          <w:w w:val="100"/>
          <w:position w:val="0"/>
          <w:shd w:val="clear" w:color="auto" w:fill="auto"/>
          <w:lang w:val="hr-HR" w:eastAsia="hr-HR" w:bidi="hr-HR"/>
        </w:rPr>
        <w:t xml:space="preserve"> u predvečerje, u jutarnjoj, po</w:t>
        <w:softHyphen/>
        <w:t>podnevnoj i završnoj molitvi - neprestance ponavlja Božji pomirbeni odgovor: »Oprostio sam« (Br 14,20 na Mojsijevo zaklinjanje). U pomirenju u kojem se oprašta, koje oslobađa, Židov traži i nalazi oslonac u životu: To je blizina Boga u zemaljskom životu.</w:t>
      </w:r>
    </w:p>
    <w:p>
      <w:pPr>
        <w:pStyle w:val="Style20"/>
        <w:keepNext w:val="0"/>
        <w:keepLines w:val="0"/>
        <w:widowControl w:val="0"/>
        <w:numPr>
          <w:ilvl w:val="0"/>
          <w:numId w:val="411"/>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»...stoga trebate biti milosrdni na zemlji«: </w:t>
      </w:r>
      <w:r>
        <w:rPr>
          <w:rFonts w:ascii="Times New Roman" w:eastAsia="Times New Roman" w:hAnsi="Times New Roman" w:cs="Times New Roman"/>
          <w:color w:val="000000"/>
          <w:spacing w:val="0"/>
          <w:w w:val="100"/>
          <w:position w:val="0"/>
          <w:shd w:val="clear" w:color="auto" w:fill="auto"/>
          <w:lang w:val="hr-HR" w:eastAsia="hr-HR" w:bidi="hr-HR"/>
        </w:rPr>
        <w:t>No, opraštanje grijeha nije samo proces iz</w:t>
        <w:softHyphen/>
        <w:t>među Boga i čovjeka, već između čovjeka i njemu bližnjega, kao u staroj rabinskoj izreci: »Narode moj, djeco Izraclova, kao što je mi</w:t>
        <w:softHyphen/>
        <w:t xml:space="preserve">losrdan naš Otac na nebu, tako morate i vi na zemlji biti milosrdni« </w:t>
      </w:r>
      <w:r>
        <w:rPr>
          <w:rFonts w:ascii="Times New Roman" w:eastAsia="Times New Roman" w:hAnsi="Times New Roman" w:cs="Times New Roman"/>
          <w:i/>
          <w:iCs/>
          <w:color w:val="000000"/>
          <w:spacing w:val="0"/>
          <w:w w:val="100"/>
          <w:position w:val="0"/>
          <w:shd w:val="clear" w:color="auto" w:fill="auto"/>
          <w:lang w:val="hr-HR" w:eastAsia="hr-HR" w:bidi="hr-HR"/>
        </w:rPr>
        <w:t>(Targum Jerušalmi I</w:t>
      </w:r>
      <w:r>
        <w:rPr>
          <w:rFonts w:ascii="Times New Roman" w:eastAsia="Times New Roman" w:hAnsi="Times New Roman" w:cs="Times New Roman"/>
          <w:color w:val="000000"/>
          <w:spacing w:val="0"/>
          <w:w w:val="100"/>
          <w:position w:val="0"/>
          <w:shd w:val="clear" w:color="auto" w:fill="auto"/>
          <w:lang w:val="hr-HR" w:eastAsia="hr-HR" w:bidi="hr-HR"/>
        </w:rPr>
        <w:t xml:space="preserve">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22,28). Samo milosrdni nalaze milosrđe: »Tko je milosrdan prema svojim bližnjima, če</w:t>
        <w:softHyphen/>
        <w:t>ka ga milosrđe na nebu, a tko nije milosrdan prema svojim bližnjima, nema mu milosrđa ni na nebu« (b Šabat 151b). U tom smislu ži</w:t>
        <w:softHyphen/>
        <w:t>dovstvo promatra ljubazno ponašanje prema bližnjima kao preduvjet za pomirenje s Bo</w:t>
        <w:softHyphen/>
        <w:t>gom. To je u Mišni strogo formulirano: »Gri</w:t>
        <w:softHyphen/>
        <w:t>jehe čovjeka prema bližnjem ne okajava Dan pomirenja sve do oprosta« (Joma VIII,9). Ti</w:t>
        <w:softHyphen/>
        <w:t>me su mudraci svjedočili Božju volju da se najprije treba pomiriti sa svojim bratom, a tek tada moliti za svoje pomirenje. Pomirenje s bližnjim, mir medu ljudima cilj je koji jc Bog postavio ljudima. Stoga je Hilel (prema b Sa</w:t>
        <w:softHyphen/>
        <w:t>batu 15a živio jc stotinu godina prije razaranja Hrama) skovao formulu: »Budi među sljedbe</w:t>
        <w:softHyphen/>
        <w:t>nicima Aharonovim koji ljube mir i teže za mirom, ljube bića i privode ih Tori« (M Avot 1,12). Židovstvo se smatra pomirbenom religi</w:t>
        <w:softHyphen/>
        <w:t>jom.</w:t>
      </w:r>
    </w:p>
    <w:p>
      <w:pPr>
        <w:pStyle w:val="Style20"/>
        <w:keepNext w:val="0"/>
        <w:keepLines w:val="0"/>
        <w:widowControl w:val="0"/>
        <w:numPr>
          <w:ilvl w:val="0"/>
          <w:numId w:val="411"/>
        </w:numPr>
        <w:shd w:val="clear" w:color="auto" w:fill="auto"/>
        <w:tabs>
          <w:tab w:pos="26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»Obraćenje... donosi svijetu ozdravljenje«:</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vratak Bogu uključuje priznanje krivnje. Ne</w:t>
        <w:softHyphen/>
        <w:t xml:space="preserve">koć je veliki svećenik ispovijedao Bogu sve grijehe Izraelaca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16,21). Nakon razara</w:t>
        <w:softHyphen/>
      </w:r>
      <w:r>
        <w:rPr>
          <w:rFonts w:ascii="Times New Roman" w:eastAsia="Times New Roman" w:hAnsi="Times New Roman" w:cs="Times New Roman"/>
          <w:color w:val="000000"/>
          <w:spacing w:val="0"/>
          <w:w w:val="100"/>
          <w:position w:val="0"/>
          <w:shd w:val="clear" w:color="auto" w:fill="auto"/>
          <w:lang w:val="hr-HR" w:eastAsia="hr-HR" w:bidi="hr-HR"/>
        </w:rPr>
        <w:t>nja drugoga Hrama priznavanje grijeha posta</w:t>
        <w:softHyphen/>
        <w:t>lo je okosnicom cijelog bogoslužja na Dan po</w:t>
        <w:softHyphen/>
        <w:t>mirenja. Zajednica skupljena u sinagogi i sva</w:t>
        <w:softHyphen/>
        <w:t xml:space="preserve">ki pojedinac ispovijeda ih. »Čovjek gleda u oči. No </w:t>
      </w:r>
      <w:r>
        <w:rPr>
          <w:rFonts w:ascii="Times New Roman" w:eastAsia="Times New Roman" w:hAnsi="Times New Roman" w:cs="Times New Roman"/>
          <w:i/>
          <w:iCs/>
          <w:color w:val="000000"/>
          <w:spacing w:val="0"/>
          <w:w w:val="100"/>
          <w:position w:val="0"/>
          <w:shd w:val="clear" w:color="auto" w:fill="auto"/>
          <w:lang w:val="hr-HR" w:eastAsia="hr-HR" w:bidi="hr-HR"/>
        </w:rPr>
        <w:t>On</w:t>
      </w:r>
      <w:r>
        <w:rPr>
          <w:rFonts w:ascii="Times New Roman" w:eastAsia="Times New Roman" w:hAnsi="Times New Roman" w:cs="Times New Roman"/>
          <w:color w:val="000000"/>
          <w:spacing w:val="0"/>
          <w:w w:val="100"/>
          <w:position w:val="0"/>
          <w:shd w:val="clear" w:color="auto" w:fill="auto"/>
          <w:lang w:val="hr-HR" w:eastAsia="hr-HR" w:bidi="hr-HR"/>
        </w:rPr>
        <w:t xml:space="preserve"> vidi u srce«; »Naše si grijehe stavio pred svoje oči, naše potajne grijehe na svjet</w:t>
        <w:softHyphen/>
        <w:t>lost lica svojega« (1 Sam 16,7; Ps 90,8). Pri</w:t>
        <w:softHyphen/>
        <w:t>znavanje grijeha ispitivanje je savjesti pred Bogom. Ono se proteže na način čitavog živo</w:t>
        <w:softHyphen/>
        <w:t>ta - ne na prekršaje »ceremonijalnoga zako</w:t>
        <w:softHyphen/>
        <w:t>na« (naziv koji je od »Jeruzalema« Mosesa Mendelssohna, 1783, primijenjen za religijske običaje i obrede), »ograde oko Tore« (tako se i propisi ponašanja prikladno nazivaju štitni</w:t>
        <w:softHyphen/>
        <w:t>kom Tore, a ne samim naukom, M Avot 1,1). Njegovo priznanje krivnje budi spoznaju u čo</w:t>
        <w:softHyphen/>
        <w:t>vjeku da pred Bogom stoji »siromašan i pra</w:t>
        <w:softHyphen/>
        <w:t>zan«. Međutim, slom ljudske samosvijesti ujed</w:t>
        <w:softHyphen/>
        <w:t>no je i početak obraćenja. Predajom je saču</w:t>
        <w:softHyphen/>
        <w:t xml:space="preserve">vana izreka Harne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Hanine (III. stoljeće): »Obraćenje jc važno jer donosi svijetu ozdrav</w:t>
        <w:softHyphen/>
        <w:t>ljenje«; jedan naraštaj poslije njega Rabi Levi je rekao: »Obraćenje je važno jer dopire do prijestolja slave« (b Joma 86a-b). Ali, tko pra</w:t>
        <w:softHyphen/>
        <w:t xml:space="preserve">vi prvi korak, Bog ili čovjek? U midrašu se u razgovoru te dvojice suprotstavlja želja za prvim korakom: »Gospodaru svijeta! Tvoja je stvar da nas vratiš. Ne, rekao im je Bog, vaša je stvar da prvi počnete... (Eha rabati V,21); to se polako pretvara u beskrajan razgovor u kojem svakako Bog ima pravo jer je njegova riječ zadnja. Na tom je midrašu </w:t>
      </w:r>
      <w:r>
        <w:rPr>
          <w:rFonts w:ascii="Times New Roman" w:eastAsia="Times New Roman" w:hAnsi="Times New Roman" w:cs="Times New Roman"/>
          <w:color w:val="000000"/>
          <w:spacing w:val="0"/>
          <w:w w:val="100"/>
          <w:position w:val="0"/>
          <w:shd w:val="clear" w:color="auto" w:fill="auto"/>
          <w:lang w:val="en-US" w:eastAsia="en-US" w:bidi="en-US"/>
        </w:rPr>
        <w:t xml:space="preserve">Jehuda Halevi (XI./XII. </w:t>
      </w:r>
      <w:r>
        <w:rPr>
          <w:rFonts w:ascii="Times New Roman" w:eastAsia="Times New Roman" w:hAnsi="Times New Roman" w:cs="Times New Roman"/>
          <w:color w:val="000000"/>
          <w:spacing w:val="0"/>
          <w:w w:val="100"/>
          <w:position w:val="0"/>
          <w:shd w:val="clear" w:color="auto" w:fill="auto"/>
          <w:lang w:val="hr-HR" w:eastAsia="hr-HR" w:bidi="hr-HR"/>
        </w:rPr>
        <w:t>stoljeće) sagradio svoj veliki razgo</w:t>
        <w:softHyphen/>
        <w:t>vor čovjeka i Boga namijenjen podnevnim sa</w:t>
        <w:softHyphen/>
        <w:t xml:space="preserve">tovima na Dan pomirenja. Već u posljednjem stihu od te dvije kitice himna svladava se u stvarnom dijalogu alternativno mišljenje: »Vrati nas kući, Gospodine, pripremi za Tebe da se vratimo kući.« »Vratite se kući k meni, pa ću se ja vratiti k vama«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Jehuda </w:t>
      </w:r>
      <w:r>
        <w:rPr>
          <w:rFonts w:ascii="Times New Roman" w:eastAsia="Times New Roman" w:hAnsi="Times New Roman" w:cs="Times New Roman"/>
          <w:i/>
          <w:iCs/>
          <w:color w:val="000000"/>
          <w:spacing w:val="0"/>
          <w:w w:val="100"/>
          <w:position w:val="0"/>
          <w:shd w:val="clear" w:color="auto" w:fill="auto"/>
          <w:lang w:val="en-US" w:eastAsia="en-US" w:bidi="en-US"/>
        </w:rPr>
        <w:t xml:space="preserve">Halevi </w:t>
      </w:r>
      <w:r>
        <w:rPr>
          <w:rFonts w:ascii="Times New Roman" w:eastAsia="Times New Roman" w:hAnsi="Times New Roman" w:cs="Times New Roman"/>
          <w:i/>
          <w:iCs/>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en-US" w:eastAsia="en-US" w:bidi="en-US"/>
        </w:rPr>
        <w:t>zweiundneunzig Hymnen und Gedi- chte:</w:t>
      </w:r>
      <w:r>
        <w:rPr>
          <w:rFonts w:ascii="Times New Roman" w:eastAsia="Times New Roman" w:hAnsi="Times New Roman" w:cs="Times New Roman"/>
          <w:color w:val="000000"/>
          <w:spacing w:val="0"/>
          <w:w w:val="100"/>
          <w:position w:val="0"/>
          <w:shd w:val="clear" w:color="auto" w:fill="auto"/>
          <w:lang w:val="en-US" w:eastAsia="en-US" w:bidi="en-US"/>
        </w:rPr>
        <w:t xml:space="preserve"> Heimkehr, 28). </w:t>
      </w:r>
      <w:r>
        <w:rPr>
          <w:rFonts w:ascii="Times New Roman" w:eastAsia="Times New Roman" w:hAnsi="Times New Roman" w:cs="Times New Roman"/>
          <w:color w:val="000000"/>
          <w:spacing w:val="0"/>
          <w:w w:val="100"/>
          <w:position w:val="0"/>
          <w:shd w:val="clear" w:color="auto" w:fill="auto"/>
          <w:lang w:val="hr-HR" w:eastAsia="hr-HR" w:bidi="hr-HR"/>
        </w:rPr>
        <w:t>Čovjek koji pred Bogom osjeća nemoć i čeka da Bog počne, mora isto</w:t>
        <w:softHyphen/>
        <w:t xml:space="preserve">dobno osjetiti da Bog od njega traži prvi korak. O onom istinskom o toj predodžbi pomirenja poučava Rabi </w:t>
      </w:r>
      <w:r>
        <w:rPr>
          <w:rFonts w:ascii="Times New Roman" w:eastAsia="Times New Roman" w:hAnsi="Times New Roman" w:cs="Times New Roman"/>
          <w:color w:val="000000"/>
          <w:spacing w:val="0"/>
          <w:w w:val="100"/>
          <w:position w:val="0"/>
          <w:shd w:val="clear" w:color="auto" w:fill="auto"/>
          <w:lang w:val="en-US" w:eastAsia="en-US" w:bidi="en-US"/>
        </w:rPr>
        <w:t xml:space="preserve">Akiva </w:t>
      </w:r>
      <w:r>
        <w:rPr>
          <w:rFonts w:ascii="Times New Roman" w:eastAsia="Times New Roman" w:hAnsi="Times New Roman" w:cs="Times New Roman"/>
          <w:color w:val="000000"/>
          <w:spacing w:val="0"/>
          <w:w w:val="100"/>
          <w:position w:val="0"/>
          <w:shd w:val="clear" w:color="auto" w:fill="auto"/>
          <w:lang w:val="hr-HR" w:eastAsia="hr-HR" w:bidi="hr-HR"/>
        </w:rPr>
        <w:t xml:space="preserve">(I./II. stoljeće): »Spasi vas, Izraele! Tko je taj pred kojim se čistite i tko je taj tko vas čisti? Vaš Bog na nebu« (M Joma VIII,9). Jedno i drugo jednako se jako osjeća u židovstvu: ljubav koja daje i pravda koja gospodari. »Pružaš ruku grešnicima, i tvoja je ruka pružena da primi povratnike.« U </w:t>
      </w:r>
      <w:r>
        <w:rPr>
          <w:rFonts w:ascii="Times New Roman" w:eastAsia="Times New Roman" w:hAnsi="Times New Roman" w:cs="Times New Roman"/>
          <w:color w:val="000000"/>
          <w:spacing w:val="0"/>
          <w:w w:val="100"/>
          <w:position w:val="0"/>
          <w:shd w:val="clear" w:color="auto" w:fill="auto"/>
          <w:lang w:val="hr-HR" w:eastAsia="hr-HR" w:bidi="hr-HR"/>
        </w:rPr>
        <w:t xml:space="preserve">molitvi </w:t>
      </w:r>
      <w:r>
        <w:rPr>
          <w:rFonts w:ascii="Times New Roman" w:eastAsia="Times New Roman" w:hAnsi="Times New Roman" w:cs="Times New Roman"/>
          <w:i/>
          <w:iCs/>
          <w:color w:val="000000"/>
          <w:spacing w:val="0"/>
          <w:w w:val="100"/>
          <w:position w:val="0"/>
          <w:shd w:val="clear" w:color="auto" w:fill="auto"/>
          <w:lang w:val="hr-HR" w:eastAsia="hr-HR" w:bidi="hr-HR"/>
        </w:rPr>
        <w:t>neila</w:t>
      </w:r>
      <w:r>
        <w:rPr>
          <w:rFonts w:ascii="Times New Roman" w:eastAsia="Times New Roman" w:hAnsi="Times New Roman" w:cs="Times New Roman"/>
          <w:color w:val="000000"/>
          <w:spacing w:val="0"/>
          <w:w w:val="100"/>
          <w:position w:val="0"/>
          <w:shd w:val="clear" w:color="auto" w:fill="auto"/>
          <w:lang w:val="hr-HR" w:eastAsia="hr-HR" w:bidi="hr-HR"/>
        </w:rPr>
        <w:t xml:space="preserve"> na kraju Dana pomirenja čovjek koji se usrdno moli krije se u blizini milo</w:t>
        <w:softHyphen/>
        <w:t>srdnoga Boga. No onaj, tko se od Boga okre</w:t>
        <w:softHyphen/>
        <w:t xml:space="preserve">nuo, treba mu se vratiti (Iz 55,7) kako bi se ponovno očistio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16,30).</w:t>
      </w:r>
    </w:p>
    <w:p>
      <w:pPr>
        <w:pStyle w:val="Style56"/>
        <w:keepNext w:val="0"/>
        <w:keepLines w:val="0"/>
        <w:widowControl w:val="0"/>
        <w:shd w:val="clear" w:color="auto" w:fill="auto"/>
        <w:tabs>
          <w:tab w:pos="2400"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fJt.: F. Thiebcrgcr, </w:t>
      </w:r>
      <w:r>
        <w:rPr>
          <w:i/>
          <w:iCs/>
          <w:color w:val="000000"/>
          <w:spacing w:val="0"/>
          <w:w w:val="100"/>
          <w:position w:val="0"/>
          <w:shd w:val="clear" w:color="auto" w:fill="auto"/>
          <w:lang w:val="hr-HR" w:eastAsia="hr-HR" w:bidi="hr-HR"/>
        </w:rPr>
        <w:t>Jiidischa Fest, judischer Brauch,</w:t>
      </w:r>
      <w:r>
        <w:rPr>
          <w:color w:val="000000"/>
          <w:spacing w:val="0"/>
          <w:w w:val="100"/>
          <w:position w:val="0"/>
          <w:shd w:val="clear" w:color="auto" w:fill="auto"/>
          <w:lang w:val="hr-HR" w:eastAsia="hr-HR" w:bidi="hr-HR"/>
        </w:rPr>
        <w:t xml:space="preserve"> Konig- stcin/Ts. 1979, 152 i d.</w:t>
        <w:tab/>
        <w:t xml:space="preserve">D. </w:t>
      </w:r>
      <w:r>
        <w:rPr>
          <w:color w:val="000000"/>
          <w:spacing w:val="0"/>
          <w:w w:val="100"/>
          <w:position w:val="0"/>
          <w:shd w:val="clear" w:color="auto" w:fill="auto"/>
        </w:rPr>
        <w:t>VETTER</w:t>
      </w:r>
    </w:p>
    <w:p>
      <w:pPr>
        <w:pStyle w:val="Style63"/>
        <w:keepNext/>
        <w:keepLines/>
        <w:widowControl w:val="0"/>
        <w:numPr>
          <w:ilvl w:val="0"/>
          <w:numId w:val="415"/>
        </w:numPr>
        <w:shd w:val="clear" w:color="auto" w:fill="auto"/>
        <w:tabs>
          <w:tab w:pos="260" w:val="left"/>
        </w:tabs>
        <w:bidi w:val="0"/>
        <w:spacing w:before="0"/>
        <w:ind w:left="0" w:right="0" w:firstLine="0"/>
        <w:jc w:val="both"/>
      </w:pPr>
      <w:bookmarkStart w:id="256" w:name="bookmark25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56"/>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w:t>
        <w:tab/>
        <w:t>je obraćenje (grčki: metšnoia) i okretanje od grijeha, u kojem se čovjek odriče Boga, i priklanjanje Bogu Ocu koji ne želi smrt greš- nika nego očekuje obrat njegova mišljenja, njegovo obraćenje i povratak kući (usp. Lk 15,11-32). Za kršćanina je ovo obraćenje naj- tješnje povezano s vjerom u evanđelje (Mk 1, 15). Grijeh je svjesno odcjepljenje od Božje volje koja obvezuje, »ne« pozivu na samo- ostvarenje u nasljedovanju Krista. On ima i socijalnu dimenziju ako je odcjepljenje od za</w:t>
        <w:softHyphen/>
        <w:t>jednice u Kristu posvećenih i povreda vjero</w:t>
        <w:softHyphen/>
        <w:t>dostojnosti Crkve. Pa ipak, tako dalekosežne izjave vrijede u potpunoj mjeri samo za greš</w:t>
        <w:softHyphen/>
        <w:t>no ponašanje koje se označava kao »smrtni grijeh« u smislu potpunog i slobodnog odvra</w:t>
        <w:softHyphen/>
        <w:t>ćanja od Boga i Crkve. No i tamo gdje se ne donosi tako važna temeljna odluka, do koje zapravo samo rijetko dolazi, kršćani griješe u mnogim stvarima (Jak 3,2). Krist je grijeh uzi</w:t>
        <w:softHyphen/>
        <w:t>mao vrlo ozbiljno. No on se također trudio oko pomirenja grešnika i sam je opraštao gri</w:t>
        <w:softHyphen/>
        <w:t>jehe. Vrhunac njegova smilovanja prema greš</w:t>
        <w:softHyphen/>
        <w:t>nom čovječanstvu je njegova pomirujuća i okajavajuća patnja i smrt (usp. Rim 5,8). Tom činu pomirenja udijelio je trajnost tako što je utemeljio sakrament svoga Tijela, predanog za nas, i svoje krvi koja je prolivena za »oproštenje grijeha« (Lk 24,47). Svojim je učenicima dao nalog i ovlast »propovijedati obraćenje« i tako »oproštenje grijeha svim narodima« (Lk 24,47) te krstiti ih da bi im se oprostili grijesi (Mt 28,19; Mk 16,16). Učinio je Crkvu znakom i oruđem pomirenja kada je na dan uskrsnuća govorio učenicima: »Primite Duha Svetoga! Kojima oprostite grijehe, oproš</w:t>
        <w:softHyphen/>
        <w:t>teni su im; kojima zadržite, zadržani su im« (Iv 20,22 i d.). Crkva u ovome vidi utemeljenje postupka pomirenja koji je već stara Crkva prakticirala i koji se kasnije označio kao sa</w:t>
        <w:softHyphen/>
        <w:t xml:space="preserve">krament pokore. Budući da je za postuskrsne Kristove učenike grijeh također odjeljivanje od crkvene zajednice, obraćenje i p. imaju </w:t>
      </w:r>
      <w:r>
        <w:rPr>
          <w:rFonts w:ascii="Times New Roman" w:eastAsia="Times New Roman" w:hAnsi="Times New Roman" w:cs="Times New Roman"/>
          <w:color w:val="000000"/>
          <w:spacing w:val="0"/>
          <w:w w:val="100"/>
          <w:position w:val="0"/>
          <w:shd w:val="clear" w:color="auto" w:fill="auto"/>
          <w:lang w:val="hr-HR" w:eastAsia="hr-HR" w:bidi="hr-HR"/>
        </w:rPr>
        <w:t>eklezijalni karakter s ciljem ponovnog uključi</w:t>
        <w:softHyphen/>
        <w:t>vanja u potpuno crkveno zajedništvo, što se označava kao pomirenje i sakrament pokore. Budući da čovjeku pripada i tjelesno-vidljivo područje, p. se mora izražavati i vidljivim zna</w:t>
        <w:softHyphen/>
        <w:t>kovima i radnjama koje predočavaju isto tako otklon od grijeha kao i ponovno uključenje u nasljedovanje Krista pa tako u vjeru, nadu i ljubav. Uz pokornička djela, poznata već u Starom zavjetu: molitvu, post i milostinju = po- božnost, samosvladavanjc i ljubav koja služi, a koje su bile u Crkvi na visokoj cijeni, danas treba misliti na moderne oblike odricanja od potrošnje, spremnosti na pomoć (u srednjem vijeku sedam djela milosrđa), slušanja Božje riječi, na meditaciju i pokornička bogoslužja. Pritom treba isključiti nesporazum u odnosu na pravednost djelima, jer kod svakoga ljud</w:t>
        <w:softHyphen/>
        <w:t>skog čina u pokori uvijek prethodi milost Bo</w:t>
        <w:softHyphen/>
        <w:t>ga koji ljubi i pretječe onoga koji želi obra</w:t>
        <w:softHyphen/>
        <w:t>ćenje, pa ga zapravo osposobljuje za pokoru. Sva p. kršćana dobiva svoju snagu iz okajanja koje je Krist u svom predanju Ocu ispunio za nas i u koje su kršćani uključeni.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brige za obraćenje grešnika razvijaju se u Crkvi, u različitim epohama i područjima, raz</w:t>
        <w:softHyphen/>
        <w:t>novrsni pokornički postupci različiti po stro</w:t>
        <w:softHyphen/>
        <w:t>gosti odnosno blagosti. Već je prazajcdnica poznavala ekskomunikaciju, izopćenje grešni</w:t>
        <w:softHyphen/>
        <w:t>ka na neko vrijeme da bi ga potaknula na obraćenje (usp. 1 Kor 5,1-3). Za oproštenje svakodnevnih ogrešenja vrijedilo je kao do</w:t>
        <w:softHyphen/>
        <w:t>statno molitva, post i milostinja kao i ostala dobra djela. Takozvani glavni grijesi (prije svega otpadništvo od vjere, ubojstvo, preljub) bili su ubrzo podvrgnuti postupku javne po</w:t>
        <w:softHyphen/>
        <w:t>kore koji se u biti sastojao od sljedećih kora</w:t>
        <w:softHyphen/>
        <w:t>ka: tajna ispovijed pred biskupom, primanje u pokorničko stanje s utvrđenom pokorničkom obvezom, isključivanje iz euharistijske gozbe i primanja pričesti. Pokorničko vrijeme moglo je trajati godinama, ponegdje i do samrtne po</w:t>
        <w:softHyphen/>
        <w:t>stelje. Ponovno primanje u Crkvu, pomirenje, uslijedilo bi polaganjem biskupovih ruku. Od</w:t>
      </w:r>
    </w:p>
    <w:p>
      <w:pPr>
        <w:pStyle w:val="Style20"/>
        <w:keepNext w:val="0"/>
        <w:keepLines w:val="0"/>
        <w:widowControl w:val="0"/>
        <w:numPr>
          <w:ilvl w:val="0"/>
          <w:numId w:val="417"/>
        </w:numPr>
        <w:shd w:val="clear" w:color="auto" w:fill="auto"/>
        <w:tabs>
          <w:tab w:pos="342" w:val="left"/>
        </w:tabs>
        <w:bidi w:val="0"/>
        <w:spacing w:before="0" w:after="0"/>
        <w:ind w:left="0" w:right="0" w:firstLine="0"/>
        <w:jc w:val="both"/>
        <w:sectPr>
          <w:headerReference w:type="default" r:id="rId1073"/>
          <w:footerReference w:type="default" r:id="rId1074"/>
          <w:headerReference w:type="even" r:id="rId1075"/>
          <w:footerReference w:type="even" r:id="rId1076"/>
          <w:headerReference w:type="first" r:id="rId1077"/>
          <w:footerReference w:type="first" r:id="rId1078"/>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stoljeća došlo je pod utjecajem irsko-škot- skih putujućih redovnika do takozvane »tarif</w:t>
        <w:softHyphen/>
        <w:t>ne pokore«. Svoji su se grijesi ispovijedili ne</w:t>
        <w:softHyphen/>
        <w:t>kom svećeniku koji bi naložio odgovarajuću pokoru; nakon njezina izvršenja, kasnije ili odmah, dobilo bi se odrješenje. Iz toga su se razvile »privatne ispovijedi« kod kojih je ekle</w:t>
        <w:softHyphen/>
        <w:t xml:space="preserve">zijalni aspekt još jedva igrao neku ulogu. U </w:t>
      </w:r>
    </w:p>
    <w:p>
      <w:pPr>
        <w:pStyle w:val="Style20"/>
        <w:keepNext w:val="0"/>
        <w:keepLines w:val="0"/>
        <w:widowControl w:val="0"/>
        <w:shd w:val="clear" w:color="auto" w:fill="auto"/>
        <w:tabs>
          <w:tab w:pos="342"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novo vrijeme došlo je do »ispovijedi iz po- božnosti« s priznavanjem samo laganih grije</w:t>
        <w:softHyphen/>
        <w:t>ha, osobito kao priprava za primanje pričesti. Od XVI. stoljeća premiješta se davanje sakra</w:t>
        <w:softHyphen/>
        <w:t>menta pokore s oltarskog prostora u ispovje- daonicu. Već prije je formula molbe sveće</w:t>
        <w:softHyphen/>
        <w:t>niku za oproštenje grijeha morala dati pros</w:t>
        <w:softHyphen/>
        <w:t>tora za odiješenje (»Ja te odrješujem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Liturgija rane Crkve daje vjernicima, koji su svjesni trajne ugroženosti svoga spasenja (1 Kor 10,12; 2 Kor 4,7; Fil 2,12), pomoćna sred</w:t>
        <w:softHyphen/>
        <w:t>stva za održavanje i djela pokore: četrdeset- dnevno uskrsno pokornićko vrijeme kao pri</w:t>
        <w:softHyphen/>
        <w:t>premu za Uskrs, znak križa pepelom na pe</w:t>
        <w:softHyphen/>
        <w:t>pelnicu, čin pokore na misnom slavlju, pokor</w:t>
        <w:softHyphen/>
        <w:t>nička bogoslužja kao opomene na pokoru i molitve za pokajnike. Petak je kao dan Isu</w:t>
        <w:softHyphen/>
        <w:t>sove smrti dan pokore, na koji je prije bilo naređeno suzdržavanje od mesnih jela kao p. Danas se na taj dan treba tražiti osobna po</w:t>
        <w:softHyphen/>
        <w:t>kornička djela. Pokoncilski Red pokore tre</w:t>
        <w:softHyphen/>
        <w:t>bao bi revidirati sakrament pokore tako da obredi i obrasci jasnije izraze narav i djelova</w:t>
        <w:softHyphen/>
        <w:t>nje sakramenta. Od 1975. za njemačko je go</w:t>
        <w:softHyphen/>
        <w:t>vorno područje obvezatno studijsko izdanje: »Pokornićko slavlje«. Ono sadrži svečanost pomirenja za pojedince u ispovjedaonici: po</w:t>
        <w:softHyphen/>
        <w:t>zdrav, čitanje iz Svetoga pisma, ispovijed i is</w:t>
        <w:softHyphen/>
        <w:t>povjedni razgovor, nalaganje pokorničkog či</w:t>
        <w:softHyphen/>
        <w:t>na, molitvu kajanja, odiješenje, zahvalu Bogu i otpuštanje; zajedničko slavlje pomirenja s is</w:t>
        <w:softHyphen/>
        <w:t>povijedanjem i odtješenjem pojedinca: ispo</w:t>
        <w:softHyphen/>
        <w:t>vijedanje i odiješenje povezani su u službi Božje riječi koja objašnjava liturgijsko-ekle- zijalni karakter pokore; zajedničko slavlje po</w:t>
        <w:softHyphen/>
        <w:t>mirenja s općom ispovijedi i općim odrješe- njem: pojedinačno ispovijedanje zamijenjeno je općim, a odrješenje se daje zajednički svi</w:t>
        <w:softHyphen/>
        <w:t>ma. Odrješenjc svaki put slijedi kod širenja ruku i znaka križa da bi se pokazala poveza</w:t>
        <w:softHyphen/>
        <w:t>nost između Isusove smrti na križu i pomi</w:t>
        <w:softHyphen/>
        <w:t>renja.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Pokornička bogoslužja bez dijeljenja sakra</w:t>
        <w:softHyphen/>
        <w:t>menta posvješćuju aspekte pokore koji su za</w:t>
        <w:softHyphen/>
        <w:t>kržljali u uobičajenom dijeljenju sakramenta. Ona trebaju izoštriti savjest intenzivnim sus</w:t>
        <w:softHyphen/>
        <w:t>retom s Božjom riječju i zajedničkim promiš</w:t>
        <w:softHyphen/>
        <w:t>ljanjem. Izgrađivanjem bogoslužja Riječi ona su raščlanjena u naviještanje, promišljanje i molitvu. Crkve rcformacije pridržavaju se po</w:t>
        <w:softHyphen/>
        <w:t>kore kao neprestano nužne promjene mišlje</w:t>
        <w:softHyphen/>
        <w:t xml:space="preserve">nja, ali ne poznaju sakramentalnost pokore, </w:t>
      </w:r>
      <w:r>
        <w:rPr>
          <w:rFonts w:ascii="Times New Roman" w:eastAsia="Times New Roman" w:hAnsi="Times New Roman" w:cs="Times New Roman"/>
          <w:color w:val="000000"/>
          <w:spacing w:val="0"/>
          <w:w w:val="100"/>
          <w:position w:val="0"/>
          <w:shd w:val="clear" w:color="auto" w:fill="auto"/>
          <w:lang w:val="hr-HR" w:eastAsia="hr-HR" w:bidi="hr-HR"/>
        </w:rPr>
        <w:t>jer ovdje, za razliku od krštenja i Gospodnje večere, nedostaje izričita riječ Isusa kao ute</w:t>
        <w:softHyphen/>
        <w:t>meljitelja. No p. se promatra i kao neka vrsta povratka milosti krštenja. U istočnim crkvama oblikovala se velika raznolikost u biti pokore. Tako se u bizantinskom obredu zajednički go</w:t>
        <w:softHyphen/>
        <w:t>vore molitve u okviru pokorničkog bogoslužja nakon čega se pojedinac ispovijeda. No u pra</w:t>
        <w:softHyphen/>
        <w:t>vilu odrješenje slijedi tek nakon izvršenja na- loženih pokorničkih djela.</w:t>
      </w:r>
    </w:p>
    <w:p>
      <w:pPr>
        <w:pStyle w:val="Style56"/>
        <w:keepNext w:val="0"/>
        <w:keepLines w:val="0"/>
        <w:widowControl w:val="0"/>
        <w:shd w:val="clear" w:color="auto" w:fill="auto"/>
        <w:tabs>
          <w:tab w:pos="2381" w:val="left"/>
        </w:tabs>
        <w:bidi w:val="0"/>
        <w:spacing w:before="0" w:after="1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F. Nikolascb,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Feier der Busre Theologie und Lilur- </w:t>
      </w:r>
      <w:r>
        <w:rPr>
          <w:i/>
          <w:iCs/>
          <w:color w:val="000000"/>
          <w:spacing w:val="0"/>
          <w:w w:val="100"/>
          <w:position w:val="0"/>
          <w:shd w:val="clear" w:color="auto" w:fill="auto"/>
        </w:rPr>
        <w:t>gie,</w:t>
      </w:r>
      <w:r>
        <w:rPr>
          <w:color w:val="000000"/>
          <w:spacing w:val="0"/>
          <w:w w:val="100"/>
          <w:position w:val="0"/>
          <w:shd w:val="clear" w:color="auto" w:fill="auto"/>
        </w:rPr>
        <w:t xml:space="preserve"> Wurzburg </w:t>
      </w:r>
      <w:r>
        <w:rPr>
          <w:color w:val="000000"/>
          <w:spacing w:val="0"/>
          <w:w w:val="100"/>
          <w:position w:val="0"/>
          <w:shd w:val="clear" w:color="auto" w:fill="auto"/>
          <w:lang w:val="hr-HR" w:eastAsia="hr-HR" w:bidi="hr-HR"/>
        </w:rPr>
        <w:t>1974; H. Vnrgrimlcr, natuknica: Bussc/Vcr- gebung, u: NHTbG t (1984) 150-165.</w:t>
        <w:tab/>
        <w:t xml:space="preserve">K </w:t>
      </w:r>
      <w:r>
        <w:rPr>
          <w:color w:val="000000"/>
          <w:spacing w:val="0"/>
          <w:w w:val="100"/>
          <w:position w:val="0"/>
          <w:shd w:val="clear" w:color="auto" w:fill="auto"/>
        </w:rPr>
        <w:t>RICHTER</w:t>
      </w:r>
    </w:p>
    <w:p>
      <w:pPr>
        <w:pStyle w:val="Style63"/>
        <w:keepNext/>
        <w:keepLines/>
        <w:widowControl w:val="0"/>
        <w:numPr>
          <w:ilvl w:val="0"/>
          <w:numId w:val="415"/>
        </w:numPr>
        <w:shd w:val="clear" w:color="auto" w:fill="auto"/>
        <w:tabs>
          <w:tab w:pos="260" w:val="left"/>
        </w:tabs>
        <w:bidi w:val="0"/>
        <w:spacing w:before="0"/>
        <w:ind w:left="0" w:right="0" w:firstLine="0"/>
        <w:jc w:val="both"/>
      </w:pPr>
      <w:bookmarkStart w:id="257" w:name="bookmark257"/>
      <w:r>
        <w:rPr>
          <w:rFonts w:ascii="Times New Roman" w:eastAsia="Times New Roman" w:hAnsi="Times New Roman" w:cs="Times New Roman"/>
          <w:color w:val="000000"/>
          <w:spacing w:val="0"/>
          <w:w w:val="100"/>
          <w:position w:val="0"/>
          <w:shd w:val="clear" w:color="auto" w:fill="auto"/>
          <w:lang w:val="hr-HR" w:eastAsia="hr-HR" w:bidi="hr-HR"/>
        </w:rPr>
        <w:t>islamski</w:t>
      </w:r>
      <w:bookmarkEnd w:id="25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 ili pokajanje naziva se </w:t>
      </w:r>
      <w:r>
        <w:rPr>
          <w:rFonts w:ascii="Times New Roman" w:eastAsia="Times New Roman" w:hAnsi="Times New Roman" w:cs="Times New Roman"/>
          <w:i/>
          <w:iCs/>
          <w:color w:val="000000"/>
          <w:spacing w:val="0"/>
          <w:w w:val="100"/>
          <w:position w:val="0"/>
          <w:shd w:val="clear" w:color="auto" w:fill="auto"/>
          <w:lang w:val="hr-HR" w:eastAsia="hr-HR" w:bidi="hr-HR"/>
        </w:rPr>
        <w:t>kaffara</w:t>
      </w:r>
      <w:r>
        <w:rPr>
          <w:rFonts w:ascii="Times New Roman" w:eastAsia="Times New Roman" w:hAnsi="Times New Roman" w:cs="Times New Roman"/>
          <w:color w:val="000000"/>
          <w:spacing w:val="0"/>
          <w:w w:val="100"/>
          <w:position w:val="0"/>
          <w:shd w:val="clear" w:color="auto" w:fill="auto"/>
          <w:lang w:val="hr-HR" w:eastAsia="hr-HR" w:bidi="hr-HR"/>
        </w:rPr>
        <w:t xml:space="preserve"> (ono što »po</w:t>
        <w:softHyphen/>
        <w:t>kriva« grijeh). Razlikuje se opća i posebna p. Opća se p. ne odnosi na neki određeni pro</w:t>
        <w:softHyphen/>
        <w:t xml:space="preserve">pust, nedjelo ili nepažnju. Naprotiv, ona se vrši zbog ukupnosti manjih propusta. Ona, prema tomu, nije također vezana ni za kakvu određenu formu. Poticaj na nju sadržaj je u jednom stihu iz Kurana: »I obavljaj namaz na dva kraja dana </w:t>
      </w:r>
      <w:r>
        <w:rPr>
          <w:rFonts w:ascii="Times New Roman" w:eastAsia="Times New Roman" w:hAnsi="Times New Roman" w:cs="Times New Roman"/>
          <w:i/>
          <w:iCs/>
          <w:color w:val="000000"/>
          <w:spacing w:val="0"/>
          <w:w w:val="100"/>
          <w:position w:val="0"/>
          <w:shd w:val="clear" w:color="auto" w:fill="auto"/>
          <w:lang w:val="hr-HR" w:eastAsia="hr-HR" w:bidi="hr-HR"/>
        </w:rPr>
        <w:t>(jutrom i večerom)</w:t>
      </w:r>
      <w:r>
        <w:rPr>
          <w:rFonts w:ascii="Times New Roman" w:eastAsia="Times New Roman" w:hAnsi="Times New Roman" w:cs="Times New Roman"/>
          <w:color w:val="000000"/>
          <w:spacing w:val="0"/>
          <w:w w:val="100"/>
          <w:position w:val="0"/>
          <w:shd w:val="clear" w:color="auto" w:fill="auto"/>
          <w:lang w:val="hr-HR" w:eastAsia="hr-HR" w:bidi="hr-HR"/>
        </w:rPr>
        <w:t xml:space="preserve"> i u prvim ča</w:t>
        <w:softHyphen/>
        <w:t>sovima noći. Zaista dobra djela uništavaju ružna djela. To je opomena onima koji pri</w:t>
        <w:softHyphen/>
        <w:t>maju pouku« (11,115).</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Posebne su pokore propisane za: vjerolom- nost, ružne izjave muža o ženi, za neke prijes</w:t>
        <w:softHyphen/>
        <w:t>tupe i nedostatke prilikom pripremanja ho</w:t>
        <w:softHyphen/>
        <w:t>dočašća u Meku, za namjerno ubojstvo i na</w:t>
        <w:softHyphen/>
        <w:t>mjerno nepoštovanje posta. Najviši oblik po</w:t>
        <w:softHyphen/>
        <w:t>kore čini smrt na Božjoj stazi. Ali i to poka</w:t>
        <w:softHyphen/>
        <w:t>janje potire samo one grijehe koji su nastali povredom »Božjih prava« (hukuk). Povrijeđe</w:t>
        <w:softHyphen/>
        <w:t>na ljudska prava moraju se opet u potpunosti uspostaviti kako bi Bog prihvatio pokajanje, što je bitni element pokore. Prirodno prouzro</w:t>
        <w:softHyphen/>
        <w:t xml:space="preserve">čenim mukama, nesrećom i bolešću, čovjek stječe duhovno pročišćenje i biva oslobođen izvjesnih grijeha. Stoga se kao jedna vrsta </w:t>
      </w:r>
      <w:r>
        <w:rPr>
          <w:rFonts w:ascii="Times New Roman" w:eastAsia="Times New Roman" w:hAnsi="Times New Roman" w:cs="Times New Roman"/>
          <w:i/>
          <w:iCs/>
          <w:color w:val="000000"/>
          <w:spacing w:val="0"/>
          <w:w w:val="100"/>
          <w:position w:val="0"/>
          <w:shd w:val="clear" w:color="auto" w:fill="auto"/>
          <w:lang w:val="hr-HR" w:eastAsia="hr-HR" w:bidi="hr-HR"/>
        </w:rPr>
        <w:t>kaffara</w:t>
      </w:r>
      <w:r>
        <w:rPr>
          <w:rFonts w:ascii="Times New Roman" w:eastAsia="Times New Roman" w:hAnsi="Times New Roman" w:cs="Times New Roman"/>
          <w:color w:val="000000"/>
          <w:spacing w:val="0"/>
          <w:w w:val="100"/>
          <w:position w:val="0"/>
          <w:shd w:val="clear" w:color="auto" w:fill="auto"/>
          <w:lang w:val="hr-HR" w:eastAsia="hr-HR" w:bidi="hr-HR"/>
        </w:rPr>
        <w:t xml:space="preserve"> promatra i ljudska patnja. U jedna</w:t>
        <w:softHyphen/>
        <w:t>kom smislu kao ono što »pokriva grijehe« važe i kazne koje podnose grešnici i prijestupnici.</w:t>
      </w:r>
    </w:p>
    <w:p>
      <w:pPr>
        <w:pStyle w:val="Style56"/>
        <w:keepNext w:val="0"/>
        <w:keepLines w:val="0"/>
        <w:widowControl w:val="0"/>
        <w:shd w:val="clear" w:color="auto" w:fill="auto"/>
        <w:tabs>
          <w:tab w:pos="2568" w:val="left"/>
        </w:tabs>
        <w:bidi w:val="0"/>
        <w:spacing w:before="0" w:after="60" w:line="240" w:lineRule="auto"/>
        <w:ind w:left="0" w:right="0" w:firstLine="0"/>
        <w:jc w:val="both"/>
      </w:pPr>
      <w:r>
        <w:rPr>
          <w:color w:val="000000"/>
          <w:spacing w:val="0"/>
          <w:w w:val="100"/>
          <w:position w:val="0"/>
          <w:shd w:val="clear" w:color="auto" w:fill="auto"/>
        </w:rPr>
        <w:t xml:space="preserve">Lit.: Haris </w:t>
      </w:r>
      <w:r>
        <w:rPr>
          <w:color w:val="000000"/>
          <w:spacing w:val="0"/>
          <w:w w:val="100"/>
          <w:position w:val="0"/>
          <w:shd w:val="clear" w:color="auto" w:fill="auto"/>
          <w:lang w:val="hr-HR" w:eastAsia="hr-HR" w:bidi="hr-HR"/>
        </w:rPr>
        <w:t xml:space="preserve">Korkut, </w:t>
      </w:r>
      <w:r>
        <w:rPr>
          <w:i/>
          <w:iCs/>
          <w:color w:val="000000"/>
          <w:spacing w:val="0"/>
          <w:w w:val="100"/>
          <w:position w:val="0"/>
          <w:shd w:val="clear" w:color="auto" w:fill="auto"/>
          <w:lang w:val="hr-HR" w:eastAsia="hr-HR" w:bidi="hr-HR"/>
        </w:rPr>
        <w:t>El-KeffarUl. Pokrivači ffijeha,</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Beirut </w:t>
      </w:r>
      <w:r>
        <w:rPr>
          <w:color w:val="000000"/>
          <w:spacing w:val="0"/>
          <w:w w:val="100"/>
          <w:position w:val="0"/>
          <w:shd w:val="clear" w:color="auto" w:fill="auto"/>
          <w:lang w:val="hr-HR" w:eastAsia="hr-HR" w:bidi="hr-HR"/>
        </w:rPr>
        <w:t>1966.</w:t>
        <w:tab/>
        <w:t>S.BALIĆ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POLITIKA</w:t>
      </w:r>
    </w:p>
    <w:p>
      <w:pPr>
        <w:pStyle w:val="Style63"/>
        <w:keepNext/>
        <w:keepLines/>
        <w:widowControl w:val="0"/>
        <w:numPr>
          <w:ilvl w:val="0"/>
          <w:numId w:val="419"/>
        </w:numPr>
        <w:shd w:val="clear" w:color="auto" w:fill="auto"/>
        <w:tabs>
          <w:tab w:pos="255" w:val="left"/>
        </w:tabs>
        <w:bidi w:val="0"/>
        <w:spacing w:before="0"/>
        <w:ind w:left="0" w:right="0" w:firstLine="0"/>
        <w:jc w:val="both"/>
      </w:pPr>
      <w:bookmarkStart w:id="258" w:name="bookmark258"/>
      <w:r>
        <w:rPr>
          <w:rFonts w:ascii="Times New Roman" w:eastAsia="Times New Roman" w:hAnsi="Times New Roman" w:cs="Times New Roman"/>
          <w:color w:val="000000"/>
          <w:spacing w:val="0"/>
          <w:w w:val="100"/>
          <w:position w:val="0"/>
          <w:shd w:val="clear" w:color="auto" w:fill="auto"/>
          <w:lang w:val="hr-HR" w:eastAsia="hr-HR" w:bidi="hr-HR"/>
        </w:rPr>
        <w:t>židovski</w:t>
      </w:r>
      <w:bookmarkEnd w:id="258"/>
    </w:p>
    <w:p>
      <w:pPr>
        <w:pStyle w:val="Style20"/>
        <w:keepNext w:val="0"/>
        <w:keepLines w:val="0"/>
        <w:widowControl w:val="0"/>
        <w:shd w:val="clear" w:color="auto" w:fill="auto"/>
        <w:bidi w:val="0"/>
        <w:spacing w:before="0" w:after="0"/>
        <w:ind w:left="0" w:right="0" w:firstLine="0"/>
        <w:jc w:val="both"/>
        <w:sectPr>
          <w:headerReference w:type="default" r:id="rId1079"/>
          <w:footerReference w:type="default" r:id="rId1080"/>
          <w:headerReference w:type="even" r:id="rId1081"/>
          <w:footerReference w:type="even" r:id="rId1082"/>
          <w:headerReference w:type="first" r:id="rId1083"/>
          <w:footerReference w:type="first" r:id="rId1084"/>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a) »Sinovi vi ste NJEMU, svomu Bogu!«</w:t>
      </w:r>
      <w:r>
        <w:rPr>
          <w:rFonts w:ascii="Times New Roman" w:eastAsia="Times New Roman" w:hAnsi="Times New Roman" w:cs="Times New Roman"/>
          <w:color w:val="000000"/>
          <w:spacing w:val="0"/>
          <w:w w:val="100"/>
          <w:position w:val="0"/>
          <w:shd w:val="clear" w:color="auto" w:fill="auto"/>
          <w:lang w:val="hr-HR" w:eastAsia="hr-HR" w:bidi="hr-HR"/>
        </w:rPr>
        <w:t xml:space="preserve"> Tradi</w:t>
        <w:softHyphen/>
        <w:t>cijsko židovstvo obilježeno je posebnim život</w:t>
        <w:softHyphen/>
        <w:t>nim putem (halaha), izvedenim iz hebrejske Biblije i usmenoga nauka koji je objašnjava, nastavlja i kodificira. Njegova razumljivost sa</w:t>
        <w:softHyphen/>
        <w:t>ma po sebi temelji se na saznanjima o židov</w:t>
        <w:softHyphen/>
        <w:t xml:space="preserve">skom kolektivu izabranoga naroda (Izl 19,4-6; Pnz 7,6-8; 10,15; 14,2) koji je stajao na Sinaju (Izl 19,2.10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 xml:space="preserve">20,18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Pnz 5,1 id.;MAvot 1,1; Edujot VIII.7). Njegov nalog za ispunje</w:t>
        <w:softHyphen/>
        <w:t>nje ne odnosi se na »religiju« židovstva, nego je usmjeren na životni odnos Boga i židov</w:t>
        <w:softHyphen/>
        <w:t>skoga naroda. Na to podsjećaju Mojsijcvc oproštajne riječi u Ponovljenom zakonu (14,1): »Sinovi vi ste NJEMU, svomu Bogu!«. No Iz</w:t>
        <w:softHyphen/>
        <w:t>rael u svojoj ljudskoj zajednici kojoj je po</w:t>
        <w:softHyphen/>
        <w:t>vjerena izabranost kao »kraljevstvu« Božjem (Izl 19,6) može u rcalno-historijskom svjet</w:t>
        <w:softHyphen/>
        <w:t>skom okviru biti zasnovana samo »politički«. Bez »političkoga« konstituiranja kao naroda Izrael se odriče svoje stvarnosti kao nerazrje- šive međusobne povezanosti židovskoga na</w:t>
        <w:softHyphen/>
        <w:t>roda i židovske religije. Zbog svoje jedinosti i jedinstvenosti, koja se u tome odražava, Izrael ne može izbjeći pitanje društvenoga i politič</w:t>
        <w:softHyphen/>
        <w:t>kog poretka u gradnji zajednice. Stoga je on određen za sudjelovanje u namjeri svake »po</w:t>
        <w:softHyphen/>
        <w:t>litike« imajući u vidu potpunu vlast Božju u svijetu. Dakako, »političko« postavljanje cilja i puta ne potječe od njega nego od Boga: »Vi ste vidjeli što sam učinio Egipćanima; kako sam vas nosio na orlovskim krilima i k sebi vas doveo. Stoga, budete Ii mi se vjerno pokora</w:t>
        <w:softHyphen/>
        <w:t>vali i držali moj Savez, vi ćete mi biti predraga svojina mimo sve narode - ta moj je sav svijet - vi ćete mi biti kraljevstvo svećenika, narod svet« (Izl 19,4-6). »Politička« konkretizacija te primjerne funkcije Izraela oblikuje zapo</w:t>
        <w:softHyphen/>
        <w:t>vijed koja s puno ljubavi traži obraćanje bližnjima, s kojima svatko u životu ima posla: »Ne mrzi svoga brata u srcu... Ne osvećuj se! Ne gaji srdžbe prema sinovima svoga naroda. Ljubi bližnjega svoga kao samoga sebe. JA sam koji jesam.« (Ixv 19,17 i d.). Prenaglašenu »političku« stranu traženoga ponašanja signa</w:t>
        <w:softHyphen/>
        <w:t>lizira dodatak koji ističe neprihvatljivost sva</w:t>
        <w:softHyphen/>
        <w:t>kog ograničenja: »Ako se stranac nastani u vašoj zemlji, nemojte ga ugnjetavati. Stranac koji s vama boravi, neka vam bude kao su</w:t>
        <w:softHyphen/>
      </w:r>
      <w:r>
        <w:rPr>
          <w:rFonts w:ascii="Times New Roman" w:eastAsia="Times New Roman" w:hAnsi="Times New Roman" w:cs="Times New Roman"/>
          <w:color w:val="000000"/>
          <w:spacing w:val="0"/>
          <w:w w:val="100"/>
          <w:position w:val="0"/>
          <w:shd w:val="clear" w:color="auto" w:fill="auto"/>
          <w:lang w:val="hr-HR" w:eastAsia="hr-HR" w:bidi="hr-HR"/>
        </w:rPr>
        <w:t>narodnjak; ljubi ga kao sebe samoga. Ta i vi ste bili stranci u egipatskoj zemlji. JA sam Bog vaš« (redak 33 i d.). Veza između »religije« i »politike« u izraelskoj predaji biva nam ra</w:t>
        <w:softHyphen/>
        <w:t>zumljivijom iz povezanosti Božjeg i izraelskog djelovanja: »Jer ON, Bog vaš... ljubi pridoš- licu, daje mu hranu i odjeću. Ljubite i vi pri- došlicu, jer ste i sami bili pridošlicc u zemlji egipatskoj« (Pnz 10,17-19). Potpuno se jas</w:t>
        <w:softHyphen/>
        <w:t>nom čini prvobitna veza religioznoga štovanja i »političke etike« u kontekstu triju spominja</w:t>
        <w:softHyphen/>
        <w:t>nja ljubavi i sličnih riječi - Izraelove prema Bogu: »Dakle, Izraele, što od tebe traži ON, Bog tvoj? Samo to... da ga ljubiš«; Božje pre</w:t>
        <w:softHyphen/>
        <w:t>ma Izraelu: »Ali NJEMU vaši oci omilješc«; Božja prema onome tko je ovisan o narodu tuđe države: »... koji ljubi pridošlicu« (Pnz 10,12.15.18). Stoga se i od Izraela može očeki</w:t>
        <w:softHyphen/>
        <w:t>vati da on svoj odnos s Bogom pretvori u »po</w:t>
        <w:softHyphen/>
        <w:t>litički« čin i ljubi svakog čovjeka kojega ljubi Bog. Tradicijsko-povijcsna nadgradnja u fari- zejsko-rabinskim verzijama univerzalnosti za</w:t>
        <w:softHyphen/>
        <w:t xml:space="preserve">povijedi ljubavi (j Ncdarim IX,4;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19,18; Berešit raba XXIV,5,1;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105a; M Avot 1,12) nije značila povijesni prije</w:t>
        <w:softHyphen/>
        <w:t>laz s »političke« na individualnu etiku; naime, ni mudraci poslijebiblijskoga doba, kada nije postojala nezavisna židovska država, nisu po</w:t>
        <w:softHyphen/>
        <w:t>učavali izabrane pojedince, već narod na Si</w:t>
        <w:softHyphen/>
        <w:t>naju, da svojom pokornošću »politički«, tj. u stvarnom utjelovljenju ljudskoga suživota tre</w:t>
        <w:softHyphen/>
        <w:t>ba anticipirati kraljevstvo Božje: »Sinovi vi ste NJEMU, svomu Bogu!« S tim u vezi Rabi Akiva (u. oko 135) obično je govorio: »Ljub</w:t>
        <w:softHyphen/>
        <w:t>ljeni su Izraelci; jer nazvani su sinovima Božjim. U znak posebne ljubavi objavljeno im je da su imenovani sinovima Božjim« (M Avot 111,15; usp. b Bava batra 10a; Pesikta rabati 5 /24b/; j Kidušin 1,61c; b 36a). Ni u hebrejskoj Bibliji niti u tradicijskoj literaturi ne može se odijeliti »političko« od »religijskoga«. »Religij</w:t>
        <w:softHyphen/>
        <w:t>sko« uvijek pokazuje smjer ako je »političko« put ostvarenja. To izrazito naglašavaju dva primjera: šabatna zapovijed prima iscrpljene ljude i životinje na zajednički počinak koji im je kao i Stvoritelju potreban kako bi predah</w:t>
        <w:softHyphen/>
        <w:t>nuli; »religijsko« obrazloženje: »... sedmoga je dana prestao (Bog) raditi i odahnuo« (Izl 31,17; usp. b Taanit 27b) treba otvoriti oči i vidjeti potrebu i zahtjev uzdržavanih osoba da se omogući odgovarajući počinak i Stvoritelju i njegovim stvorenjima i navesti ih na »poli</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tičko« oponašanje: »Šest dana obavljaj svoj posao, ali sedmog dana od posla odustani da ti otpočine vo i magarac i da odahne sin tvoje sluškinje i pridošlica« (23,12; usp. Mehilta na tom mjestu; b Jevamot 48b). Zapovijed »reli</w:t>
        <w:softHyphen/>
        <w:t xml:space="preserve">gijski« obrazlaže i šabatnu godinu: »Ali sedme godine neka i zemlja uživa šabatni počinak, NJEGOV šabat; svoje njive ne zasijavaj niti obrezuj svoga vinograda«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25,4) kako bi se zatim povukle »političke« posljedice; one se sastoje u tome da u godini kad polja miruju ono što iznova naraste bude na raspolaganju onima koji nemaju učešća na zemlji, pa ne ovise o darovima posjednika (redak 6 i d.; usp. Izl 23,11). Rabini su šire obrazložili tu od</w:t>
        <w:softHyphen/>
        <w:t>redbu: »Strancima (nežidovima) smije se po</w:t>
        <w:softHyphen/>
        <w:t xml:space="preserve">magati u godini mirovanja polja (u poljskim radovima)« (M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V,9).</w:t>
      </w:r>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»Sljedeći nemaju pravo sudjelovanja u budu</w:t>
        <w:softHyphen/>
        <w:t>ćem svijetu...«</w:t>
      </w:r>
      <w:r>
        <w:rPr>
          <w:rFonts w:ascii="Times New Roman" w:eastAsia="Times New Roman" w:hAnsi="Times New Roman" w:cs="Times New Roman"/>
          <w:color w:val="000000"/>
          <w:spacing w:val="0"/>
          <w:w w:val="100"/>
          <w:position w:val="0"/>
          <w:shd w:val="clear" w:color="auto" w:fill="auto"/>
          <w:lang w:val="hr-HR" w:eastAsia="hr-HR" w:bidi="hr-HR"/>
        </w:rPr>
        <w:t xml:space="preserve"> Ta često izgovarana rečenica u Mišni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X,l) uskraćuje sudioništvo u vječnom životu ne samo onima koji niječu uskrsnuće mrtvih i koji niječu nebesko pod</w:t>
        <w:softHyphen/>
        <w:t>rijetlo Tore, nego i »cpikurcjcima«. Tri su ne</w:t>
        <w:softHyphen/>
        <w:t>gacije osuđene najvjerojatnije zato što za ži</w:t>
        <w:softHyphen/>
        <w:t xml:space="preserve">dovski narod u cjelini rađaju opasnost da </w:t>
      </w:r>
      <w:r>
        <w:rPr>
          <w:rFonts w:ascii="Times New Roman" w:eastAsia="Times New Roman" w:hAnsi="Times New Roman" w:cs="Times New Roman"/>
          <w:i/>
          <w:iCs/>
          <w:color w:val="000000"/>
          <w:spacing w:val="0"/>
          <w:w w:val="100"/>
          <w:position w:val="0"/>
          <w:shd w:val="clear" w:color="auto" w:fill="auto"/>
          <w:lang w:val="hr-HR" w:eastAsia="hr-HR" w:bidi="hr-HR"/>
        </w:rPr>
        <w:t xml:space="preserve">će </w:t>
      </w:r>
      <w:r>
        <w:rPr>
          <w:rFonts w:ascii="Times New Roman" w:eastAsia="Times New Roman" w:hAnsi="Times New Roman" w:cs="Times New Roman"/>
          <w:color w:val="000000"/>
          <w:spacing w:val="0"/>
          <w:w w:val="100"/>
          <w:position w:val="0"/>
          <w:shd w:val="clear" w:color="auto" w:fill="auto"/>
          <w:lang w:val="hr-HR" w:eastAsia="hr-HR" w:bidi="hr-HR"/>
        </w:rPr>
        <w:t>im uništiti potpuno povjerenje u Božje po</w:t>
        <w:softHyphen/>
        <w:t xml:space="preserve">stupke. Opasne tendencije koje prvenstveno ugrožavaju Izraelovu službu ispunjenja polaze od najopćenitije i temeljne kategorije; naime, to se ne odnosi samo na preziratelje Tore i njezinih učitelja (j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XI,27d; b 99b; M Avot 11,14), već, naprotiv, na one koji pre</w:t>
        <w:softHyphen/>
        <w:t>ma Epikurovu učenju »vjeruju da u životu ne vlada providnost, da se Bog ne brine za ljud</w:t>
        <w:softHyphen/>
        <w:t xml:space="preserve">ske stvari« niti za »ljudske poslove«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Antiquitates </w:t>
      </w:r>
      <w:r>
        <w:rPr>
          <w:rFonts w:ascii="Times New Roman" w:eastAsia="Times New Roman" w:hAnsi="Times New Roman" w:cs="Times New Roman"/>
          <w:i/>
          <w:iCs/>
          <w:color w:val="000000"/>
          <w:spacing w:val="0"/>
          <w:w w:val="100"/>
          <w:position w:val="0"/>
          <w:shd w:val="clear" w:color="auto" w:fill="auto"/>
          <w:lang w:val="hr-HR" w:eastAsia="hr-HR" w:bidi="hr-HR"/>
        </w:rPr>
        <w:t>iudaicae,</w:t>
      </w:r>
      <w:r>
        <w:rPr>
          <w:rFonts w:ascii="Times New Roman" w:eastAsia="Times New Roman" w:hAnsi="Times New Roman" w:cs="Times New Roman"/>
          <w:color w:val="000000"/>
          <w:spacing w:val="0"/>
          <w:w w:val="100"/>
          <w:position w:val="0"/>
          <w:shd w:val="clear" w:color="auto" w:fill="auto"/>
          <w:lang w:val="hr-HR" w:eastAsia="hr-HR" w:bidi="hr-HR"/>
        </w:rPr>
        <w:t xml:space="preserve"> X,II,7). Zbog te tendencije slijedi odvajanje »religije« od »po</w:t>
        <w:softHyphen/>
        <w:t>litike« zato što bi lzraelovo doživljavanje Bo</w:t>
        <w:softHyphen/>
        <w:t>ga, pa i nada u mesijansko djelovanje Božje u povijesti svijeta postali beznačajni u njegovoj povijesti. Tko Bogu osporava zanimanje za zemaljske stvari, pobija i Božju skrb koja želi neposredno utjecati na ljude koji vjeruju u sa</w:t>
        <w:softHyphen/>
        <w:t>dašnjost, na njihov »politički« suživot, preko objave Izraelu; tom objavom doznaje narod, koji je za to i izabran, kako će vršiti Božju volju. »Epikurcjac« niječe stvarnost biblijsko</w:t>
        <w:softHyphen/>
        <w:t>ga i poslijebiblijskog židovstva koje ispunjenje Tore smatra posluhom zapovjedne riječi Božje radi cijeloga, nepodijeljenog ljudskog opstan</w:t>
        <w:softHyphen/>
        <w:t xml:space="preserve">ka i kojemu su strani pojmovi, izdvojeni iz te </w:t>
      </w:r>
      <w:r>
        <w:rPr>
          <w:rFonts w:ascii="Times New Roman" w:eastAsia="Times New Roman" w:hAnsi="Times New Roman" w:cs="Times New Roman"/>
          <w:color w:val="000000"/>
          <w:spacing w:val="0"/>
          <w:w w:val="100"/>
          <w:position w:val="0"/>
          <w:shd w:val="clear" w:color="auto" w:fill="auto"/>
          <w:lang w:val="hr-HR" w:eastAsia="hr-HR" w:bidi="hr-HR"/>
        </w:rPr>
        <w:t>prvobitne realnosti, poput »religije« i »poli</w:t>
        <w:softHyphen/>
        <w:t>tičke etike«: »...jer i ljude se mora zadovoljiti kao što se Boga mora zadovoljiti (M Šehalim 11,2, usp. j III, 47c). Židovski životni put je potpun; proteže se na osobna i intimna pod</w:t>
        <w:softHyphen/>
        <w:t xml:space="preserve">ručja ljudskoga života i ponašanja, a obuhvaća i procese i odluke u gospodarstvu, društvu i državi. Njegove norme ne upućuju kako da ljudi štuju Boga u određena vremena nego kako u sva vremena </w:t>
      </w:r>
      <w:r>
        <w:rPr>
          <w:rFonts w:ascii="Times New Roman" w:eastAsia="Times New Roman" w:hAnsi="Times New Roman" w:cs="Times New Roman"/>
          <w:i/>
          <w:iCs/>
          <w:color w:val="000000"/>
          <w:spacing w:val="0"/>
          <w:w w:val="100"/>
          <w:position w:val="0"/>
          <w:shd w:val="clear" w:color="auto" w:fill="auto"/>
          <w:lang w:val="hr-HR" w:eastAsia="hr-HR" w:bidi="hr-HR"/>
        </w:rPr>
        <w:t>žive s Bogom:</w:t>
      </w:r>
      <w:r>
        <w:rPr>
          <w:rFonts w:ascii="Times New Roman" w:eastAsia="Times New Roman" w:hAnsi="Times New Roman" w:cs="Times New Roman"/>
          <w:color w:val="000000"/>
          <w:spacing w:val="0"/>
          <w:w w:val="100"/>
          <w:position w:val="0"/>
          <w:shd w:val="clear" w:color="auto" w:fill="auto"/>
          <w:lang w:val="hr-HR" w:eastAsia="hr-HR" w:bidi="hr-HR"/>
        </w:rPr>
        <w:t xml:space="preserve"> »Daj mu (Bogu) od njegovoga: jer ti i tvoje pripadate njemu« (M Avot 111,7; usp. kako jc Rabi </w:t>
      </w:r>
      <w:r>
        <w:rPr>
          <w:rFonts w:ascii="Times New Roman" w:eastAsia="Times New Roman" w:hAnsi="Times New Roman" w:cs="Times New Roman"/>
          <w:color w:val="000000"/>
          <w:spacing w:val="0"/>
          <w:w w:val="100"/>
          <w:position w:val="0"/>
          <w:shd w:val="clear" w:color="auto" w:fill="auto"/>
          <w:lang w:val="en-US" w:eastAsia="en-US" w:bidi="en-US"/>
        </w:rPr>
        <w:t>Elea</w:t>
        <w:softHyphen/>
        <w:t xml:space="preserve">zar </w:t>
      </w:r>
      <w:r>
        <w:rPr>
          <w:rFonts w:ascii="Times New Roman" w:eastAsia="Times New Roman" w:hAnsi="Times New Roman" w:cs="Times New Roman"/>
          <w:color w:val="000000"/>
          <w:spacing w:val="0"/>
          <w:w w:val="100"/>
          <w:position w:val="0"/>
          <w:shd w:val="clear" w:color="auto" w:fill="auto"/>
          <w:lang w:val="hr-HR" w:eastAsia="hr-HR" w:bidi="hr-HR"/>
        </w:rPr>
        <w:t>iz Bertotc /oko 110/ postupio u skladu sa svojim učenjem u b Taanit 34a). Budući da to nisu dužnosti za pojedince koji žive ne oviseći jedan o drugome, već je to prije svojevrstan nalog cijelom Izraelu, izvršenje »religijske« namjere u cijelom životu mora se očitovati uvijek i u »političkim« odlukama i postupci</w:t>
        <w:softHyphen/>
        <w:t xml:space="preserve">ma. Samo u kritičkoj identifikaciji sa svojim izabranjem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2,4 i d.; 3,1 i d.; 9,7) židovski narod može pokušati riješiti svoju zadaću. Sa</w:t>
        <w:softHyphen/>
        <w:t>mo na temelju svoje mesijanske nade: »Stoga željno čekamo Tebe, Bože naš, da uskoro vi</w:t>
        <w:softHyphen/>
        <w:t>dimo sjaj pobjede tvoje... da sredimo svijet za kraljevstvo Silnoga« (molitva Alejnu u svako</w:t>
        <w:softHyphen/>
        <w:t>dnevnom bogoslužju) židovski narod može »politički« anticipirati problematični model koji upozorava na pravi oblik Božje vlasti u svijetu. On mora biti svjestan dvojbenosti svo</w:t>
        <w:softHyphen/>
        <w:t>jih nastojanja za realizaciju. On se ne smije okrenuti od »politike« kao modeliranja »reli</w:t>
        <w:softHyphen/>
        <w:t>gijskoga«, zato što mu je zapovjeđena odgo</w:t>
        <w:softHyphen/>
        <w:t>vornost za svijet; istodobno može nedostatno činiti ono što treba činiti, samo u velikoj želji za potpunim ispunjenjem: »Daj da novo svjet</w:t>
        <w:softHyphen/>
        <w:t xml:space="preserve">lo zasvijetli nad Cionom«, »Dovedi nas kući u miru s četiri kraja svijeta« (I. i II. blagoslov prije čitanja </w:t>
      </w:r>
      <w:r>
        <w:rPr>
          <w:rFonts w:ascii="Times New Roman" w:eastAsia="Times New Roman" w:hAnsi="Times New Roman" w:cs="Times New Roman"/>
          <w:i/>
          <w:iCs/>
          <w:color w:val="000000"/>
          <w:spacing w:val="0"/>
          <w:w w:val="100"/>
          <w:position w:val="0"/>
          <w:shd w:val="clear" w:color="auto" w:fill="auto"/>
          <w:lang w:val="hr-HR" w:eastAsia="hr-HR" w:bidi="hr-HR"/>
        </w:rPr>
        <w:t>Sema),</w:t>
      </w:r>
      <w:r>
        <w:rPr>
          <w:rFonts w:ascii="Times New Roman" w:eastAsia="Times New Roman" w:hAnsi="Times New Roman" w:cs="Times New Roman"/>
          <w:color w:val="000000"/>
          <w:spacing w:val="0"/>
          <w:w w:val="100"/>
          <w:position w:val="0"/>
          <w:shd w:val="clear" w:color="auto" w:fill="auto"/>
          <w:lang w:val="hr-HR" w:eastAsia="hr-HR" w:bidi="hr-HR"/>
        </w:rPr>
        <w:t xml:space="preserve"> »Zapuši snažno u veliki šofar za naše oslobođenje...«, »U tvoj grad Jeruzalem vrati sc milostivo, prebivaj u nje</w:t>
        <w:softHyphen/>
        <w:t>mu...«, »Daj da izdanak tvojega sluge Davida brzo nikne, neka se njegov rog vine uz tvoju pomoć, jer tvojoj se pomoći nadamo cijeli dan« (X., XIV., XV. blagoslov molitve Osamnaest blagoslova).</w:t>
      </w:r>
    </w:p>
    <w:p>
      <w:pPr>
        <w:pStyle w:val="Style56"/>
        <w:keepNext w:val="0"/>
        <w:keepLines w:val="0"/>
        <w:widowControl w:val="0"/>
        <w:shd w:val="clear" w:color="auto" w:fill="auto"/>
        <w:bidi w:val="0"/>
        <w:spacing w:before="0" w:after="0" w:line="240" w:lineRule="auto"/>
        <w:ind w:left="0" w:right="0" w:firstLine="0"/>
        <w:jc w:val="both"/>
        <w:sectPr>
          <w:headerReference w:type="default" r:id="rId1085"/>
          <w:footerReference w:type="default" r:id="rId1086"/>
          <w:headerReference w:type="even" r:id="rId1087"/>
          <w:footerReference w:type="even" r:id="rId1088"/>
          <w:footnotePr>
            <w:pos w:val="pageBottom"/>
            <w:numFmt w:val="decimal"/>
            <w:numRestart w:val="continuous"/>
            <w15:footnoteColumns w:val="1"/>
          </w:footnotePr>
          <w:type w:val="continuous"/>
          <w:pgSz w:w="6816" w:h="11006"/>
          <w:pgMar w:top="975" w:left="189" w:right="196" w:bottom="532" w:header="0" w:footer="3" w:gutter="0"/>
          <w:cols w:num="2" w:space="156"/>
          <w:noEndnote/>
          <w:rtlGutter w:val="0"/>
          <w:docGrid w:linePitch="360"/>
        </w:sectPr>
      </w:pPr>
      <w:r>
        <w:rPr>
          <w:color w:val="000000"/>
          <w:spacing w:val="0"/>
          <w:w w:val="100"/>
          <w:position w:val="0"/>
          <w:shd w:val="clear" w:color="auto" w:fill="auto"/>
          <w:lang w:val="hr-HR" w:eastAsia="hr-HR" w:bidi="hr-HR"/>
        </w:rPr>
        <w:t xml:space="preserve">Lii.: </w:t>
      </w:r>
      <w:r>
        <w:rPr>
          <w:i/>
          <w:iCs/>
          <w:color w:val="000000"/>
          <w:spacing w:val="0"/>
          <w:w w:val="100"/>
          <w:position w:val="0"/>
          <w:shd w:val="clear" w:color="auto" w:fill="auto"/>
          <w:lang w:val="hr-HR" w:eastAsia="hr-HR" w:bidi="hr-HR"/>
        </w:rPr>
        <w:t>Jiidisches Lenkon IV/l,</w:t>
      </w:r>
      <w:r>
        <w:rPr>
          <w:color w:val="000000"/>
          <w:spacing w:val="0"/>
          <w:w w:val="100"/>
          <w:position w:val="0"/>
          <w:shd w:val="clear" w:color="auto" w:fill="auto"/>
          <w:lang w:val="hr-HR" w:eastAsia="hr-HR" w:bidi="hr-HR"/>
        </w:rPr>
        <w:t xml:space="preserve"> 1927/1982, 1030-7; D. </w:t>
      </w:r>
      <w:r>
        <w:rPr>
          <w:color w:val="000000"/>
          <w:spacing w:val="0"/>
          <w:w w:val="100"/>
          <w:position w:val="0"/>
          <w:shd w:val="clear" w:color="auto" w:fill="auto"/>
        </w:rPr>
        <w:t xml:space="preserve">Diner, </w:t>
      </w:r>
      <w:r>
        <w:rPr>
          <w:color w:val="000000"/>
          <w:spacing w:val="0"/>
          <w:w w:val="100"/>
          <w:position w:val="0"/>
          <w:shd w:val="clear" w:color="auto" w:fill="auto"/>
          <w:lang w:val="hr-HR" w:eastAsia="hr-HR" w:bidi="hr-HR"/>
        </w:rPr>
        <w:t xml:space="preserve">Dcr Zionismus umi </w:t>
      </w:r>
      <w:r>
        <w:rPr>
          <w:color w:val="000000"/>
          <w:spacing w:val="0"/>
          <w:w w:val="100"/>
          <w:position w:val="0"/>
          <w:shd w:val="clear" w:color="auto" w:fill="auto"/>
        </w:rPr>
        <w:t xml:space="preserve">die jtidi-schc </w:t>
      </w:r>
      <w:r>
        <w:rPr>
          <w:color w:val="000000"/>
          <w:spacing w:val="0"/>
          <w:w w:val="100"/>
          <w:position w:val="0"/>
          <w:shd w:val="clear" w:color="auto" w:fill="auto"/>
          <w:lang w:val="hr-HR" w:eastAsia="hr-HR" w:bidi="hr-HR"/>
        </w:rPr>
        <w:t xml:space="preserve">Fragc hculc, u; </w:t>
      </w:r>
      <w:r>
        <w:rPr>
          <w:i/>
          <w:iCs/>
          <w:color w:val="000000"/>
          <w:spacing w:val="0"/>
          <w:w w:val="100"/>
          <w:position w:val="0"/>
          <w:shd w:val="clear" w:color="auto" w:fill="auto"/>
          <w:lang w:val="hr-HR" w:eastAsia="hr-HR" w:bidi="hr-HR"/>
        </w:rPr>
        <w:t xml:space="preserve">Emuna V, </w:t>
      </w:r>
      <w:r>
        <w:rPr>
          <w:color w:val="000000"/>
          <w:spacing w:val="0"/>
          <w:w w:val="100"/>
          <w:position w:val="0"/>
          <w:shd w:val="clear" w:color="auto" w:fill="auto"/>
          <w:lang w:val="hr-HR" w:eastAsia="hr-HR" w:bidi="hr-HR"/>
        </w:rPr>
        <w:t xml:space="preserve">1970,153-9; Z </w:t>
      </w:r>
      <w:r>
        <w:rPr>
          <w:color w:val="000000"/>
          <w:spacing w:val="0"/>
          <w:w w:val="100"/>
          <w:position w:val="0"/>
          <w:shd w:val="clear" w:color="auto" w:fill="auto"/>
        </w:rPr>
        <w:t xml:space="preserve">Lamm, Die </w:t>
      </w:r>
      <w:r>
        <w:rPr>
          <w:color w:val="000000"/>
          <w:spacing w:val="0"/>
          <w:w w:val="100"/>
          <w:position w:val="0"/>
          <w:shd w:val="clear" w:color="auto" w:fill="auto"/>
          <w:lang w:val="hr-HR" w:eastAsia="hr-HR" w:bidi="hr-HR"/>
        </w:rPr>
        <w:t xml:space="preserve">ncue Linkc umi judisehe Idciv titiit, u: nav, dj., 160-70; </w:t>
      </w:r>
      <w:r>
        <w:rPr>
          <w:color w:val="000000"/>
          <w:spacing w:val="0"/>
          <w:w w:val="100"/>
          <w:position w:val="0"/>
          <w:shd w:val="clear" w:color="auto" w:fill="auto"/>
        </w:rPr>
        <w:t xml:space="preserve">W. </w:t>
      </w:r>
      <w:r>
        <w:rPr>
          <w:color w:val="000000"/>
          <w:spacing w:val="0"/>
          <w:w w:val="100"/>
          <w:position w:val="0"/>
          <w:shd w:val="clear" w:color="auto" w:fill="auto"/>
          <w:lang w:val="hr-HR" w:eastAsia="hr-HR" w:bidi="hr-HR"/>
        </w:rPr>
        <w:t xml:space="preserve">v. </w:t>
      </w:r>
      <w:r>
        <w:rPr>
          <w:color w:val="000000"/>
          <w:spacing w:val="0"/>
          <w:w w:val="100"/>
          <w:position w:val="0"/>
          <w:shd w:val="clear" w:color="auto" w:fill="auto"/>
        </w:rPr>
        <w:t xml:space="preserve">Wcisl, </w:t>
      </w:r>
      <w:r>
        <w:rPr>
          <w:color w:val="000000"/>
          <w:spacing w:val="0"/>
          <w:w w:val="100"/>
          <w:position w:val="0"/>
          <w:shd w:val="clear" w:color="auto" w:fill="auto"/>
          <w:lang w:val="hr-HR" w:eastAsia="hr-HR" w:bidi="hr-HR"/>
        </w:rPr>
        <w:t xml:space="preserve">'Hicologic des Zionis- mus und Antizionismus, u: </w:t>
      </w:r>
      <w:r>
        <w:rPr>
          <w:i/>
          <w:iCs/>
          <w:color w:val="000000"/>
          <w:spacing w:val="0"/>
          <w:w w:val="100"/>
          <w:position w:val="0"/>
          <w:shd w:val="clear" w:color="auto" w:fill="auto"/>
          <w:lang w:val="hr-HR" w:eastAsia="hr-HR" w:bidi="hr-HR"/>
        </w:rPr>
        <w:t>Emuna VIH.</w:t>
      </w:r>
      <w:r>
        <w:rPr>
          <w:color w:val="000000"/>
          <w:spacing w:val="0"/>
          <w:w w:val="100"/>
          <w:position w:val="0"/>
          <w:shd w:val="clear" w:color="auto" w:fill="auto"/>
          <w:lang w:val="hr-HR" w:eastAsia="hr-HR" w:bidi="hr-HR"/>
        </w:rPr>
        <w:t xml:space="preserve"> 1973. 164-81; S. </w:t>
      </w:r>
      <w:r>
        <w:rPr>
          <w:color w:val="000000"/>
          <w:spacing w:val="0"/>
          <w:w w:val="100"/>
          <w:position w:val="0"/>
          <w:shd w:val="clear" w:color="auto" w:fill="auto"/>
        </w:rPr>
        <w:t xml:space="preserve">Schwarz. </w:t>
      </w:r>
      <w:r>
        <w:rPr>
          <w:color w:val="000000"/>
          <w:spacing w:val="0"/>
          <w:w w:val="100"/>
          <w:position w:val="0"/>
          <w:shd w:val="clear" w:color="auto" w:fill="auto"/>
          <w:lang w:val="hr-HR" w:eastAsia="hr-HR" w:bidi="hr-HR"/>
        </w:rPr>
        <w:t xml:space="preserve">Zionismus blcibt </w:t>
      </w:r>
      <w:r>
        <w:rPr>
          <w:color w:val="000000"/>
          <w:spacing w:val="0"/>
          <w:w w:val="100"/>
          <w:position w:val="0"/>
          <w:shd w:val="clear" w:color="auto" w:fill="auto"/>
        </w:rPr>
        <w:t xml:space="preserve">Wcgwciscr </w:t>
      </w:r>
      <w:r>
        <w:rPr>
          <w:color w:val="000000"/>
          <w:spacing w:val="0"/>
          <w:w w:val="100"/>
          <w:position w:val="0"/>
          <w:shd w:val="clear" w:color="auto" w:fill="auto"/>
          <w:lang w:val="hr-HR" w:eastAsia="hr-HR" w:bidi="hr-HR"/>
        </w:rPr>
        <w:t xml:space="preserve">des judischcn Vnlkcs. u: </w:t>
      </w:r>
      <w:r>
        <w:rPr>
          <w:i/>
          <w:iCs/>
          <w:color w:val="000000"/>
          <w:spacing w:val="0"/>
          <w:w w:val="100"/>
          <w:position w:val="0"/>
          <w:shd w:val="clear" w:color="auto" w:fill="auto"/>
          <w:lang w:val="hr-HR" w:eastAsia="hr-HR" w:bidi="hr-HR"/>
        </w:rPr>
        <w:t>Emuna.'hraeiforum</w:t>
      </w:r>
      <w:r>
        <w:rPr>
          <w:color w:val="000000"/>
          <w:spacing w:val="0"/>
          <w:w w:val="100"/>
          <w:position w:val="0"/>
          <w:shd w:val="clear" w:color="auto" w:fill="auto"/>
          <w:lang w:val="hr-HR" w:eastAsia="hr-HR" w:bidi="hr-HR"/>
        </w:rPr>
        <w:t xml:space="preserve"> 2, 1976, 46-9; Y. Mcroz, </w:t>
      </w:r>
      <w:r>
        <w:rPr>
          <w:color w:val="000000"/>
          <w:spacing w:val="0"/>
          <w:w w:val="100"/>
          <w:position w:val="0"/>
          <w:shd w:val="clear" w:color="auto" w:fill="auto"/>
        </w:rPr>
        <w:t xml:space="preserve">Die </w:t>
      </w:r>
      <w:r>
        <w:rPr>
          <w:color w:val="000000"/>
          <w:spacing w:val="0"/>
          <w:w w:val="100"/>
          <w:position w:val="0"/>
          <w:shd w:val="clear" w:color="auto" w:fill="auto"/>
          <w:lang w:val="hr-HR" w:eastAsia="hr-HR" w:bidi="hr-HR"/>
        </w:rPr>
        <w:t>Bcdcu-</w:t>
      </w:r>
    </w:p>
    <w:p>
      <w:pPr>
        <w:pStyle w:val="Style56"/>
        <w:keepNext w:val="0"/>
        <w:keepLines w:val="0"/>
        <w:widowControl w:val="0"/>
        <w:shd w:val="clear" w:color="auto" w:fill="auto"/>
        <w:tabs>
          <w:tab w:pos="2443" w:val="left"/>
        </w:tabs>
        <w:bidi w:val="0"/>
        <w:spacing w:before="0" w:after="160" w:line="240" w:lineRule="auto"/>
        <w:ind w:left="0" w:right="0" w:firstLine="0"/>
        <w:jc w:val="both"/>
      </w:pPr>
      <w:r>
        <w:rPr>
          <w:color w:val="000000"/>
          <w:spacing w:val="0"/>
          <w:w w:val="100"/>
          <w:position w:val="0"/>
          <w:shd w:val="clear" w:color="auto" w:fill="auto"/>
        </w:rPr>
        <w:t xml:space="preserve">lung des </w:t>
      </w:r>
      <w:r>
        <w:rPr>
          <w:color w:val="000000"/>
          <w:spacing w:val="0"/>
          <w:w w:val="100"/>
          <w:position w:val="0"/>
          <w:shd w:val="clear" w:color="auto" w:fill="auto"/>
          <w:lang w:val="hr-HR" w:eastAsia="hr-HR" w:bidi="hr-HR"/>
        </w:rPr>
        <w:t xml:space="preserve">Z-Junismus </w:t>
      </w:r>
      <w:r>
        <w:rPr>
          <w:color w:val="000000"/>
          <w:spacing w:val="0"/>
          <w:w w:val="100"/>
          <w:position w:val="0"/>
          <w:shd w:val="clear" w:color="auto" w:fill="auto"/>
        </w:rPr>
        <w:t xml:space="preserve">fur </w:t>
      </w:r>
      <w:r>
        <w:rPr>
          <w:color w:val="000000"/>
          <w:spacing w:val="0"/>
          <w:w w:val="100"/>
          <w:position w:val="0"/>
          <w:shd w:val="clear" w:color="auto" w:fill="auto"/>
          <w:lang w:val="hr-HR" w:eastAsia="hr-HR" w:bidi="hr-HR"/>
        </w:rPr>
        <w:t xml:space="preserve">đas Sclbsivcrstandms dcs Staates </w:t>
      </w:r>
      <w:r>
        <w:rPr>
          <w:color w:val="000000"/>
          <w:spacing w:val="0"/>
          <w:w w:val="100"/>
          <w:position w:val="0"/>
          <w:shd w:val="clear" w:color="auto" w:fill="auto"/>
        </w:rPr>
        <w:t xml:space="preserve">Israel,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Emunallsraelforum l,</w:t>
      </w:r>
      <w:r>
        <w:rPr>
          <w:color w:val="000000"/>
          <w:spacing w:val="0"/>
          <w:w w:val="100"/>
          <w:position w:val="0"/>
          <w:shd w:val="clear" w:color="auto" w:fill="auto"/>
          <w:lang w:val="hr-HR" w:eastAsia="hr-HR" w:bidi="hr-HR"/>
        </w:rPr>
        <w:t xml:space="preserve"> 1977, 45-58; P. R. </w:t>
      </w:r>
      <w:r>
        <w:rPr>
          <w:color w:val="000000"/>
          <w:spacing w:val="0"/>
          <w:w w:val="100"/>
          <w:position w:val="0"/>
          <w:shd w:val="clear" w:color="auto" w:fill="auto"/>
        </w:rPr>
        <w:t xml:space="preserve">Mendes- Flohr (Hrsg.), Marlin Buber, </w:t>
      </w:r>
      <w:r>
        <w:rPr>
          <w:i/>
          <w:iCs/>
          <w:color w:val="000000"/>
          <w:spacing w:val="0"/>
          <w:w w:val="100"/>
          <w:position w:val="0"/>
          <w:shd w:val="clear" w:color="auto" w:fill="auto"/>
        </w:rPr>
        <w:t>Ein Land und nvei Volker. Zur judisch-arabischen Frage,</w:t>
      </w:r>
      <w:r>
        <w:rPr>
          <w:color w:val="000000"/>
          <w:spacing w:val="0"/>
          <w:w w:val="100"/>
          <w:position w:val="0"/>
          <w:shd w:val="clear" w:color="auto" w:fill="auto"/>
        </w:rPr>
        <w:t xml:space="preserve"> 1983; K. Schneider (Hrsg.), </w:t>
      </w:r>
      <w:r>
        <w:rPr>
          <w:i/>
          <w:iCs/>
          <w:color w:val="000000"/>
          <w:spacing w:val="0"/>
          <w:w w:val="100"/>
          <w:position w:val="0"/>
          <w:shd w:val="clear" w:color="auto" w:fill="auto"/>
        </w:rPr>
        <w:t>Staal und Religion in Israel,</w:t>
      </w:r>
      <w:r>
        <w:rPr>
          <w:color w:val="000000"/>
          <w:spacing w:val="0"/>
          <w:w w:val="100"/>
          <w:position w:val="0"/>
          <w:shd w:val="clear" w:color="auto" w:fill="auto"/>
        </w:rPr>
        <w:t xml:space="preserve"> 1984.</w:t>
        <w:tab/>
        <w:t>D. VEl'ITSH</w:t>
      </w:r>
    </w:p>
    <w:p>
      <w:pPr>
        <w:pStyle w:val="Style63"/>
        <w:keepNext/>
        <w:keepLines/>
        <w:widowControl w:val="0"/>
        <w:numPr>
          <w:ilvl w:val="0"/>
          <w:numId w:val="419"/>
        </w:numPr>
        <w:shd w:val="clear" w:color="auto" w:fill="auto"/>
        <w:tabs>
          <w:tab w:pos="260" w:val="left"/>
        </w:tabs>
        <w:bidi w:val="0"/>
        <w:spacing w:before="0" w:after="100" w:line="216" w:lineRule="auto"/>
        <w:ind w:left="0" w:right="0" w:firstLine="0"/>
        <w:jc w:val="both"/>
      </w:pPr>
      <w:bookmarkStart w:id="259" w:name="bookmark25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5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 </w:t>
      </w:r>
      <w:r>
        <w:rPr>
          <w:rFonts w:ascii="Times New Roman" w:eastAsia="Times New Roman" w:hAnsi="Times New Roman" w:cs="Times New Roman"/>
          <w:color w:val="000000"/>
          <w:spacing w:val="0"/>
          <w:w w:val="100"/>
          <w:position w:val="0"/>
          <w:shd w:val="clear" w:color="auto" w:fill="auto"/>
          <w:lang w:val="hr-HR" w:eastAsia="hr-HR" w:bidi="hr-HR"/>
        </w:rPr>
        <w:t xml:space="preserve">(od grč. politike </w:t>
      </w:r>
      <w:r>
        <w:rPr>
          <w:rFonts w:ascii="Times New Roman" w:eastAsia="Times New Roman" w:hAnsi="Times New Roman" w:cs="Times New Roman"/>
          <w:color w:val="000000"/>
          <w:spacing w:val="0"/>
          <w:w w:val="100"/>
          <w:position w:val="0"/>
          <w:shd w:val="clear" w:color="auto" w:fill="auto"/>
          <w:lang w:val="en-US" w:eastAsia="en-US" w:bidi="en-US"/>
        </w:rPr>
        <w:t xml:space="preserve">scil. techne = </w:t>
      </w:r>
      <w:r>
        <w:rPr>
          <w:rFonts w:ascii="Times New Roman" w:eastAsia="Times New Roman" w:hAnsi="Times New Roman" w:cs="Times New Roman"/>
          <w:color w:val="000000"/>
          <w:spacing w:val="0"/>
          <w:w w:val="100"/>
          <w:position w:val="0"/>
          <w:shd w:val="clear" w:color="auto" w:fill="auto"/>
          <w:lang w:val="hr-HR" w:eastAsia="hr-HR" w:bidi="hr-HR"/>
        </w:rPr>
        <w:t xml:space="preserve">državno umijeće) je najopćenitija oznaka za čovjekove postupke koji na bilo koji način proizlaze od države ili se na nju odnose. U drugom smislu p. znači i </w:t>
      </w:r>
      <w:r>
        <w:rPr>
          <w:rFonts w:ascii="Times New Roman" w:eastAsia="Times New Roman" w:hAnsi="Times New Roman" w:cs="Times New Roman"/>
          <w:i/>
          <w:iCs/>
          <w:color w:val="000000"/>
          <w:spacing w:val="0"/>
          <w:w w:val="100"/>
          <w:position w:val="0"/>
          <w:shd w:val="clear" w:color="auto" w:fill="auto"/>
          <w:lang w:val="hr-HR" w:eastAsia="hr-HR" w:bidi="hr-HR"/>
        </w:rPr>
        <w:t>teoretsko</w:t>
      </w:r>
      <w:r>
        <w:rPr>
          <w:rFonts w:ascii="Times New Roman" w:eastAsia="Times New Roman" w:hAnsi="Times New Roman" w:cs="Times New Roman"/>
          <w:color w:val="000000"/>
          <w:spacing w:val="0"/>
          <w:w w:val="100"/>
          <w:position w:val="0"/>
          <w:shd w:val="clear" w:color="auto" w:fill="auto"/>
          <w:lang w:val="hr-HR" w:eastAsia="hr-HR" w:bidi="hr-HR"/>
        </w:rPr>
        <w:t xml:space="preserve"> sučeljavanje s fenomenom političkog djelovanja i kao takva ne treba se jednoznačno razlikovati od nauka o državi (usp. uz to natuknicu »Država«). P. kao prak</w:t>
        <w:softHyphen/>
        <w:t>sa odnosi se na sve oblike čovjekova društve</w:t>
        <w:softHyphen/>
        <w:t>noga (socijalnog) postupanja ne samo u do</w:t>
        <w:softHyphen/>
        <w:t>tičnoj konkretnoj državi nego i izvan nje u njezinim odnosima prema drugim državama i globalnim, dakle, »svjetsko-političkim« pita</w:t>
        <w:softHyphen/>
        <w:t>njima. Razlikovanje politike prema objektima na koje se usmjerava (vanjska, unutarnja, eko</w:t>
        <w:softHyphen/>
        <w:t xml:space="preserve">nomska, financijska, obrambena, kulturna p. itd.) vodi do sržnog pitanja politike, naime, treba li ona obuhvatiti </w:t>
      </w:r>
      <w:r>
        <w:rPr>
          <w:rFonts w:ascii="Times New Roman" w:eastAsia="Times New Roman" w:hAnsi="Times New Roman" w:cs="Times New Roman"/>
          <w:i/>
          <w:iCs/>
          <w:color w:val="000000"/>
          <w:spacing w:val="0"/>
          <w:w w:val="100"/>
          <w:position w:val="0"/>
          <w:shd w:val="clear" w:color="auto" w:fill="auto"/>
          <w:lang w:val="hr-HR" w:eastAsia="hr-HR" w:bidi="hr-HR"/>
        </w:rPr>
        <w:t>sva</w:t>
      </w:r>
      <w:r>
        <w:rPr>
          <w:rFonts w:ascii="Times New Roman" w:eastAsia="Times New Roman" w:hAnsi="Times New Roman" w:cs="Times New Roman"/>
          <w:color w:val="000000"/>
          <w:spacing w:val="0"/>
          <w:w w:val="100"/>
          <w:position w:val="0"/>
          <w:shd w:val="clear" w:color="auto" w:fill="auto"/>
          <w:lang w:val="hr-HR" w:eastAsia="hr-HR" w:bidi="hr-HR"/>
        </w:rPr>
        <w:t xml:space="preserve"> područja ljudskog života ili ima privatnih, »nepolitičkih« pod</w:t>
        <w:softHyphen/>
        <w:t>ručja u koja p. ne smije zadirati. Dok u totali</w:t>
        <w:softHyphen/>
        <w:t>tarnim državama prijeti opasnost da i privatni život bude određen politikom, dotle u moder</w:t>
        <w:softHyphen/>
        <w:t>noj, demokratskoj pravnoj državi postoji pri</w:t>
        <w:softHyphen/>
        <w:t>znato iskonsko područje privatne naravi o či</w:t>
        <w:softHyphen/>
        <w:t>joj širini i ograničenju ipak nema nimalo je</w:t>
        <w:softHyphen/>
        <w:t>dinstvenosti. Sve veći tehnički napredak uči</w:t>
        <w:softHyphen/>
        <w:t>nio je osobito nužnim da se sada u političko djelovanje uključe područja koja su se prije držala za privatnu stvar - tako danas imamo npr. populacijsku politiku, ekološku politiku ili politiku podataka. Naspram djelovanju drža</w:t>
        <w:softHyphen/>
        <w:t>ve na pojedince stoji politička djelatnost po</w:t>
        <w:softHyphen/>
        <w:t>jedinaca i udruga. Pritom se p. pokazuje kao interakcija između države i društvenih skupi</w:t>
        <w:softHyphen/>
        <w:t>na odnosno pojedinaca, ako sjedne strane po</w:t>
        <w:softHyphen/>
        <w:t>litiku »prave« moćnici za građane, a s druge strane ovi svojim djelovanjem (ili isto tako nedjelovanjem) mogu vršiti utjecaj na političke smjernice. Često neprestani rast državne ad</w:t>
        <w:softHyphen/>
        <w:t>ministracije vodi do toga da se pojedinac doživljava još samo kao objekt politike i gubi svoje povjerenje u sposobnost funkcioniranja parlamentarne demokracije. To vodi do naj- različitijih oblika izvanparlamentame opozi</w:t>
        <w:softHyphen/>
        <w:t xml:space="preserve">cije, zakonitoga nenasilnog protesta, sve do terorizma. Na pitanje o normama, po kojima se treba usmjeravati političko djelovanje, daje </w:t>
      </w:r>
      <w:r>
        <w:rPr>
          <w:rFonts w:ascii="Times New Roman" w:eastAsia="Times New Roman" w:hAnsi="Times New Roman" w:cs="Times New Roman"/>
          <w:color w:val="000000"/>
          <w:spacing w:val="0"/>
          <w:w w:val="100"/>
          <w:position w:val="0"/>
          <w:shd w:val="clear" w:color="auto" w:fill="auto"/>
          <w:lang w:val="hr-HR" w:eastAsia="hr-HR" w:bidi="hr-HR"/>
        </w:rPr>
        <w:t>se različit odgovor prema karakteru i strukturi konkretne države. Dok u ideološki određenim društvenim sustavima norme proistječu nepo</w:t>
        <w:softHyphen/>
        <w:t>sredno iz vladajuće ideologije (s polaganjem prava na znanstvenu utemeljenost), u teokrat</w:t>
        <w:softHyphen/>
        <w:t>ski ustrojenim državama one su definirane službenim izlaganjem religijsko-teoretskoga koncepta države (s polaganjem prava na racio</w:t>
        <w:softHyphen/>
        <w:t>nalnu neprevarljivost božanske objave), dotle se prije svega u zapadnokršćanski obilježenim državama Europe i Amerike oblikovala poli</w:t>
        <w:softHyphen/>
        <w:t>tička etika koja počam od prosvjetiteljstva po</w:t>
        <w:softHyphen/>
        <w:t>čiva na suglasnosti svih. Najviša politička nor</w:t>
        <w:softHyphen/>
        <w:t>ma »opće dobro«, tj. blagostanje svih, razvi</w:t>
        <w:softHyphen/>
        <w:t>jano je u izvanjskoj i unutarnjoj sigurnosti i slobodi prema mjerilu egalitame pravednosti. U to se naročito ubraja bezuvjetno čuvanje ljudskih prava čije se kolektivno stavljanje iz</w:t>
        <w:softHyphen/>
        <w:t>van snage ne može opravdati nikakvom »vi</w:t>
        <w:softHyphen/>
        <w:t>šom svrhom« koja bi se mogla zamisliti.</w:t>
      </w:r>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Problem »da se odrede granice djelotvornosti države« </w:t>
      </w:r>
      <w:r>
        <w:rPr>
          <w:rFonts w:ascii="Times New Roman" w:eastAsia="Times New Roman" w:hAnsi="Times New Roman" w:cs="Times New Roman"/>
          <w:color w:val="000000"/>
          <w:spacing w:val="0"/>
          <w:w w:val="100"/>
          <w:position w:val="0"/>
          <w:shd w:val="clear" w:color="auto" w:fill="auto"/>
          <w:lang w:val="en-US" w:eastAsia="en-US" w:bidi="en-US"/>
        </w:rPr>
        <w:t xml:space="preserve">(Humboldt) </w:t>
      </w:r>
      <w:r>
        <w:rPr>
          <w:rFonts w:ascii="Times New Roman" w:eastAsia="Times New Roman" w:hAnsi="Times New Roman" w:cs="Times New Roman"/>
          <w:color w:val="000000"/>
          <w:spacing w:val="0"/>
          <w:w w:val="100"/>
          <w:position w:val="0"/>
          <w:shd w:val="clear" w:color="auto" w:fill="auto"/>
          <w:lang w:val="hr-HR" w:eastAsia="hr-HR" w:bidi="hr-HR"/>
        </w:rPr>
        <w:t>posebno je jasan na pri</w:t>
        <w:softHyphen/>
        <w:t>mjeru religije: Prema kršćanskom shvaćanju religija je s jedne strane privatna stvar, dakle, nešto na što p. ne smije djelovati (vjerska slo</w:t>
        <w:softHyphen/>
        <w:t>boda), a s druge je strane njezina praksa, koja se uvijek vrši u zajedništvu, eminentno poli</w:t>
        <w:softHyphen/>
        <w:t>tički čimbenik. Doduše, bit če mnogo poli</w:t>
        <w:softHyphen/>
        <w:t>tičkih područja koja se, bez obzira na sta</w:t>
        <w:softHyphen/>
        <w:t>novita temeljna moralna načela, ne mogu sma</w:t>
        <w:softHyphen/>
        <w:t>trati kao specifično »religijski relevantna«, a ipak kršćanin uzima sebi pravo da u načelu daje svoje mišljenje o svim političkim pitanji</w:t>
        <w:softHyphen/>
        <w:t>ma i da se zalaže za odluku u smislu koji za</w:t>
        <w:softHyphen/>
        <w:t>stupa. Pritom je, dakako, sporno kako daleko treba i smije ići njegovo zalaganje u konflikt</w:t>
        <w:softHyphen/>
        <w:t>nom slučaju. Razlučivanje područja politike i religije koja se uzajamno presijecaju, ali pot</w:t>
        <w:softHyphen/>
        <w:t>puno ne pokrivaju, težak je, neriješen, čak ne</w:t>
        <w:softHyphen/>
        <w:t>rješiv zadatak, jer norme kršćanske etike često u svojoj općenitosti nisu dostatne da odluče o određenim političkim pitanjima, pogotovo da unaprijed prepoznaju i promisle sve moguće političke probleme. Tako će se morati upravo pojedincu u političkom životu dati veliki pros</w:t>
        <w:softHyphen/>
        <w:t>tor za njegovu slobodu savjesti i biti toleran</w:t>
        <w:softHyphen/>
        <w:t>tan tamo gdje nedostaju jednoznačni kriteriji odlučivanja. P. je dakle »umijeće« da se uspo</w:t>
        <w:softHyphen/>
        <w:t>stavi ravnoteža između privatnih interesa gra</w:t>
        <w:softHyphen/>
        <w:t>đana i općeg dobra.</w:t>
      </w:r>
    </w:p>
    <w:p>
      <w:pPr>
        <w:pStyle w:val="Style56"/>
        <w:keepNext w:val="0"/>
        <w:keepLines w:val="0"/>
        <w:widowControl w:val="0"/>
        <w:shd w:val="clear" w:color="auto" w:fill="auto"/>
        <w:tabs>
          <w:tab w:pos="2578" w:val="left"/>
        </w:tabs>
        <w:bidi w:val="0"/>
        <w:spacing w:before="0" w:after="40" w:line="240" w:lineRule="auto"/>
        <w:ind w:left="0" w:right="0" w:firstLine="0"/>
        <w:jc w:val="both"/>
        <w:sectPr>
          <w:headerReference w:type="default" r:id="rId1089"/>
          <w:footerReference w:type="default" r:id="rId1090"/>
          <w:headerReference w:type="even" r:id="rId1091"/>
          <w:footerReference w:type="even" r:id="rId1092"/>
          <w:footnotePr>
            <w:pos w:val="pageBottom"/>
            <w:numFmt w:val="decimal"/>
            <w:numRestart w:val="continuous"/>
            <w15:footnoteColumns w:val="1"/>
          </w:footnotePr>
          <w:pgSz w:w="6816" w:h="11006"/>
          <w:pgMar w:top="975" w:left="189" w:right="196" w:bottom="532" w:header="0" w:footer="104" w:gutter="0"/>
          <w:pgNumType w:start="360"/>
          <w:cols w:num="2" w:space="156"/>
          <w:noEndnote/>
          <w:rtlGutter w:val="0"/>
          <w:docGrid w:linePitch="360"/>
        </w:sectPr>
      </w:pPr>
      <w:r>
        <w:rPr>
          <w:color w:val="000000"/>
          <w:spacing w:val="0"/>
          <w:w w:val="100"/>
          <w:position w:val="0"/>
          <w:shd w:val="clear" w:color="auto" w:fill="auto"/>
          <w:lang w:val="hr-HR" w:eastAsia="hr-HR" w:bidi="hr-HR"/>
        </w:rPr>
        <w:t>Lit: vidi —&gt; Država</w:t>
        <w:tab/>
        <w:t>R.Gl£l</w:t>
      </w:r>
    </w:p>
    <w:p>
      <w:pPr>
        <w:pStyle w:val="Style63"/>
        <w:keepNext/>
        <w:keepLines/>
        <w:widowControl w:val="0"/>
        <w:numPr>
          <w:ilvl w:val="0"/>
          <w:numId w:val="419"/>
        </w:numPr>
        <w:shd w:val="clear" w:color="auto" w:fill="auto"/>
        <w:tabs>
          <w:tab w:pos="270" w:val="left"/>
        </w:tabs>
        <w:bidi w:val="0"/>
        <w:spacing w:before="0" w:after="100"/>
        <w:ind w:left="0" w:right="0" w:firstLine="0"/>
        <w:jc w:val="both"/>
      </w:pPr>
      <w:bookmarkStart w:id="260" w:name="bookmark260"/>
      <w:r>
        <w:rPr>
          <w:rFonts w:ascii="Times New Roman" w:eastAsia="Times New Roman" w:hAnsi="Times New Roman" w:cs="Times New Roman"/>
          <w:color w:val="000000"/>
          <w:spacing w:val="0"/>
          <w:w w:val="100"/>
          <w:position w:val="0"/>
          <w:shd w:val="clear" w:color="auto" w:fill="auto"/>
          <w:lang w:val="hr-HR" w:eastAsia="hr-HR" w:bidi="hr-HR"/>
        </w:rPr>
        <w:t>islamski</w:t>
      </w:r>
      <w:bookmarkEnd w:id="260"/>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 ne može zaobići politiku kao ni druge religije. On je, štoviše, s njom srastao snažnije od bilo koje druge religije. To se može objas</w:t>
        <w:softHyphen/>
        <w:t>niti povijesnim nastankom muslimanske svjet</w:t>
        <w:softHyphen/>
        <w:t>ske zajednice koja je u početku bila vrlo uspješ</w:t>
        <w:softHyphen/>
        <w:t>na. Dakle, politička je svijest historijski nasta</w:t>
        <w:softHyphen/>
        <w:t>la kao dio religiozno-kulturnog identiteta. Strogo uzevši, mnogo toga što se danas sma</w:t>
        <w:softHyphen/>
        <w:t>tra naprosto »islamskim« predstavlja puku konstrukciju Muhamcdova naslijeđa. Pomisli</w:t>
        <w:softHyphen/>
        <w:t xml:space="preserve">mo samo npr. na kalifat, o kojem se ne govori ni u Kuranu niti u tradiciji </w:t>
      </w:r>
      <w:r>
        <w:rPr>
          <w:rFonts w:ascii="Times New Roman" w:eastAsia="Times New Roman" w:hAnsi="Times New Roman" w:cs="Times New Roman"/>
          <w:i/>
          <w:iCs/>
          <w:color w:val="000000"/>
          <w:spacing w:val="0"/>
          <w:w w:val="100"/>
          <w:position w:val="0"/>
          <w:shd w:val="clear" w:color="auto" w:fill="auto"/>
          <w:lang w:val="hr-HR" w:eastAsia="hr-HR" w:bidi="hr-HR"/>
        </w:rPr>
        <w:t>(sunna).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 tradicija u širem smislu jest vazda ono na što se kod muslimana oslanja političko miš</w:t>
        <w:softHyphen/>
        <w:t>ljenje. Tradicionalisti su također najvažniji za</w:t>
        <w:softHyphen/>
        <w:t>govornici političke filozofije koja se gradi na šerijatu (religijski pravni sustav). Kao zrcalo njihovih predodžbi o tom području ljudske djelatnosti može poslužiti rasprava strogo hanbelitskoga puritanca Ibn Teimijc (u. 1328) koja nosi naslov as-Siyasa ash-shar’iyya (Šcri- jatski pravedna p.). Od tada su nastala bez</w:t>
        <w:softHyphen/>
        <w:t>brojna djela i traktati koji se bave tim pred</w:t>
        <w:softHyphen/>
        <w:t xml:space="preserve">metom. U okviru osmanske književnosti, koja se razumljivo posebice zanimala za političke događaje, taj je književni rod poznat zbirnim pojmom </w:t>
      </w:r>
      <w:r>
        <w:rPr>
          <w:rFonts w:ascii="Times New Roman" w:eastAsia="Times New Roman" w:hAnsi="Times New Roman" w:cs="Times New Roman"/>
          <w:i/>
          <w:iCs/>
          <w:color w:val="000000"/>
          <w:spacing w:val="0"/>
          <w:w w:val="100"/>
          <w:position w:val="0"/>
          <w:shd w:val="clear" w:color="auto" w:fill="auto"/>
          <w:lang w:val="hr-HR" w:eastAsia="hr-HR" w:bidi="hr-HR"/>
        </w:rPr>
        <w:t>sijasetname</w:t>
      </w:r>
      <w:r>
        <w:rPr>
          <w:rFonts w:ascii="Times New Roman" w:eastAsia="Times New Roman" w:hAnsi="Times New Roman" w:cs="Times New Roman"/>
          <w:color w:val="000000"/>
          <w:spacing w:val="0"/>
          <w:w w:val="100"/>
          <w:position w:val="0"/>
          <w:shd w:val="clear" w:color="auto" w:fill="auto"/>
          <w:lang w:val="hr-HR" w:eastAsia="hr-HR" w:bidi="hr-HR"/>
        </w:rPr>
        <w:t xml:space="preserve"> (politički spis).</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Politički aspekti islamskoga poslanja uglav</w:t>
        <w:softHyphen/>
        <w:t>nom se izvode iz Muhamcdova djelovanja u Medini. On se je tamo uzdigao do poglavara zajednice koja je nalikovala državi. On je kao takav snosio odgovornost i za židovska ple</w:t>
        <w:softHyphen/>
        <w:t>mena koja su živjela u Medini i njezinoj oko</w:t>
        <w:softHyphen/>
        <w:t>lini. Tada su se Zidovi i kršćani koji su živjeli skupa s muslimanima doista ubrajali u čla</w:t>
        <w:softHyphen/>
        <w:t xml:space="preserve">nove zajednice </w:t>
      </w:r>
      <w:r>
        <w:rPr>
          <w:rFonts w:ascii="Times New Roman" w:eastAsia="Times New Roman" w:hAnsi="Times New Roman" w:cs="Times New Roman"/>
          <w:i/>
          <w:iCs/>
          <w:color w:val="000000"/>
          <w:spacing w:val="0"/>
          <w:w w:val="100"/>
          <w:position w:val="0"/>
          <w:shd w:val="clear" w:color="auto" w:fill="auto"/>
          <w:lang w:val="hr-HR" w:eastAsia="hr-HR" w:bidi="hr-HR"/>
        </w:rPr>
        <w:t>(umma:</w:t>
      </w:r>
      <w:r>
        <w:rPr>
          <w:rFonts w:ascii="Times New Roman" w:eastAsia="Times New Roman" w:hAnsi="Times New Roman" w:cs="Times New Roman"/>
          <w:color w:val="000000"/>
          <w:spacing w:val="0"/>
          <w:w w:val="100"/>
          <w:position w:val="0"/>
          <w:shd w:val="clear" w:color="auto" w:fill="auto"/>
          <w:lang w:val="hr-HR" w:eastAsia="hr-HR" w:bidi="hr-HR"/>
        </w:rPr>
        <w:t xml:space="preserve"> muslimanska ekume</w:t>
        <w:softHyphen/>
        <w:t>na). O tome rječito svjedoči »Ustav Medine«. U savjetodavnim tijelima grada Židovi su imali čvrsto mjesto. Iz toga se može vidjeti da je Muhamedova politička djelatnost imala re</w:t>
        <w:softHyphen/>
        <w:t>gionalni i nacionalni karakter, koja je bila ne</w:t>
        <w:softHyphen/>
        <w:t>porecivo vezana za prostor na kojemu se raz</w:t>
        <w:softHyphen/>
        <w:t xml:space="preserve">vijala. No ona nikada nije imala prvenstvo pred vjerskim poslanjem (Subhi al-Salih, Poli- tisehe und gesellschaftliche Formen des rcli- giosen Auftrags,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Glaube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Kultur, Recht und Pohttk,</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Mainz </w:t>
      </w:r>
      <w:r>
        <w:rPr>
          <w:rFonts w:ascii="Times New Roman" w:eastAsia="Times New Roman" w:hAnsi="Times New Roman" w:cs="Times New Roman"/>
          <w:color w:val="000000"/>
          <w:spacing w:val="0"/>
          <w:w w:val="100"/>
          <w:position w:val="0"/>
          <w:shd w:val="clear" w:color="auto" w:fill="auto"/>
          <w:lang w:val="hr-HR" w:eastAsia="hr-HR" w:bidi="hr-HR"/>
        </w:rPr>
        <w:t xml:space="preserve">1982, 77). Muhamed je znao vrlo dobro praviti razliku između </w:t>
      </w:r>
      <w:r>
        <w:rPr>
          <w:rFonts w:ascii="Times New Roman" w:eastAsia="Times New Roman" w:hAnsi="Times New Roman" w:cs="Times New Roman"/>
          <w:i/>
          <w:iCs/>
          <w:color w:val="000000"/>
          <w:spacing w:val="0"/>
          <w:w w:val="100"/>
          <w:position w:val="0"/>
          <w:shd w:val="clear" w:color="auto" w:fill="auto"/>
          <w:lang w:val="hr-HR" w:eastAsia="hr-HR" w:bidi="hr-HR"/>
        </w:rPr>
        <w:t>đin</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dunya, </w:t>
      </w:r>
      <w:r>
        <w:rPr>
          <w:rFonts w:ascii="Times New Roman" w:eastAsia="Times New Roman" w:hAnsi="Times New Roman" w:cs="Times New Roman"/>
          <w:color w:val="000000"/>
          <w:spacing w:val="0"/>
          <w:w w:val="100"/>
          <w:position w:val="0"/>
          <w:shd w:val="clear" w:color="auto" w:fill="auto"/>
          <w:lang w:val="hr-HR" w:eastAsia="hr-HR" w:bidi="hr-HR"/>
        </w:rPr>
        <w:t xml:space="preserve">tj. između vjerskih i unutarsvjetovnih stvari. Na tome ništa ne mijenjaju ni tvrdnje poput </w:t>
      </w:r>
      <w:r>
        <w:rPr>
          <w:rFonts w:ascii="Times New Roman" w:eastAsia="Times New Roman" w:hAnsi="Times New Roman" w:cs="Times New Roman"/>
          <w:color w:val="000000"/>
          <w:spacing w:val="0"/>
          <w:w w:val="100"/>
          <w:position w:val="0"/>
          <w:shd w:val="clear" w:color="auto" w:fill="auto"/>
          <w:lang w:val="hr-HR" w:eastAsia="hr-HR" w:bidi="hr-HR"/>
        </w:rPr>
        <w:t>onih da političari imaju u islamu prevlast u izgradnji zajednice, »koja nije ništa drugo ne</w:t>
        <w:softHyphen/>
        <w:t xml:space="preserve">go država Božja, u kojoj se sakralno sjedinjuje sa svakodnevnim«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74). Suodređujuća uloga sakralnoga bila je samorazumljiva za Muhamedovo vrijeme i za društvo u kojemu je politički djelovao. No tada su na sakralne uvide bili obvezani i Židovi kako u političkom tako i u religioznom životu.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Prvobitni model islamskoga društva, kakav se konačno oblikovao nakon svih početnih teš</w:t>
        <w:softHyphen/>
        <w:t>koća i borbi za goli opstanak, odgovarao je slici zatvorenoga društva. U tome se nedvoj</w:t>
        <w:softHyphen/>
        <w:t>beno zrcalio židovski utjecaj. U takvom su društvu djelovali zahtjevi koji su postavljani pojedincu i to s teškim bremenom obiteljskih obveza. Socijalni im je pritisak davao potreb</w:t>
        <w:softHyphen/>
        <w:t>nu težinu. Oni su lako uzrokovali društveno zatvaranje. Stočarstvo je kao glavna grana na</w:t>
        <w:softHyphen/>
        <w:t xml:space="preserve">cionalnoga gospodarstva vodilo organiziranju pastirskoga načina života. Odnos </w:t>
      </w:r>
      <w:r>
        <w:rPr>
          <w:rFonts w:ascii="Times New Roman" w:eastAsia="Times New Roman" w:hAnsi="Times New Roman" w:cs="Times New Roman"/>
          <w:i/>
          <w:iCs/>
          <w:color w:val="000000"/>
          <w:spacing w:val="0"/>
          <w:w w:val="100"/>
          <w:position w:val="0"/>
          <w:shd w:val="clear" w:color="auto" w:fill="auto"/>
          <w:lang w:val="hr-HR" w:eastAsia="hr-HR" w:bidi="hr-HR"/>
        </w:rPr>
        <w:t>pastira</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sta</w:t>
        <w:softHyphen/>
        <w:t>da</w:t>
      </w:r>
      <w:r>
        <w:rPr>
          <w:rFonts w:ascii="Times New Roman" w:eastAsia="Times New Roman" w:hAnsi="Times New Roman" w:cs="Times New Roman"/>
          <w:color w:val="000000"/>
          <w:spacing w:val="0"/>
          <w:w w:val="100"/>
          <w:position w:val="0"/>
          <w:shd w:val="clear" w:color="auto" w:fill="auto"/>
          <w:lang w:val="hr-HR" w:eastAsia="hr-HR" w:bidi="hr-HR"/>
        </w:rPr>
        <w:t xml:space="preserve"> te obveza prema Pismu postali su istaknu</w:t>
        <w:softHyphen/>
        <w:t xml:space="preserve">tim obilježjima u politici i državi (usp.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Islam et </w:t>
      </w:r>
      <w:r>
        <w:rPr>
          <w:rFonts w:ascii="Times New Roman" w:eastAsia="Times New Roman" w:hAnsi="Times New Roman" w:cs="Times New Roman"/>
          <w:i/>
          <w:iCs/>
          <w:color w:val="000000"/>
          <w:spacing w:val="0"/>
          <w:w w:val="100"/>
          <w:position w:val="0"/>
          <w:shd w:val="clear" w:color="auto" w:fill="auto"/>
          <w:lang w:val="en-US" w:eastAsia="en-US" w:bidi="en-US"/>
        </w:rPr>
        <w:t>politique in Maghreb,</w:t>
      </w:r>
      <w:r>
        <w:rPr>
          <w:rFonts w:ascii="Times New Roman" w:eastAsia="Times New Roman" w:hAnsi="Times New Roman" w:cs="Times New Roman"/>
          <w:color w:val="000000"/>
          <w:spacing w:val="0"/>
          <w:w w:val="100"/>
          <w:position w:val="0"/>
          <w:shd w:val="clear" w:color="auto" w:fill="auto"/>
          <w:lang w:val="en-US" w:eastAsia="en-US" w:bidi="en-US"/>
        </w:rPr>
        <w:t xml:space="preserve"> Paris 1982, 151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Ti modeli mišljenja leže također u temelju mno</w:t>
        <w:softHyphen/>
        <w:t>gih političkih očekivanja koja u Trećem svije</w:t>
        <w:softHyphen/>
        <w:t>tu pokreću ponovno probuđeni islam. Pored židovstva nošenoga cionizmom, islam je reli</w:t>
        <w:softHyphen/>
        <w:t>gija s najvećim političkim potencijalom, una</w:t>
        <w:softHyphen/>
        <w:t>toč svim pokušajima razdvajanja religije od politike koji su u zadnjim desetljećima podu</w:t>
        <w:softHyphen/>
        <w:t>zimani u islamskim zemljama.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Manipuliranje predajama dvojbenoga podri</w:t>
        <w:softHyphen/>
        <w:t xml:space="preserve">jetla omogućilo je prodor stranih elemenata u islam. Tako se npr. na Kuranu ne zasniva smrtna kazna koja je predviđena za otpadniš- tvo od vjere. Primarno </w:t>
      </w:r>
      <w:r>
        <w:rPr>
          <w:rFonts w:ascii="Times New Roman" w:eastAsia="Times New Roman" w:hAnsi="Times New Roman" w:cs="Times New Roman"/>
          <w:i/>
          <w:iCs/>
          <w:color w:val="000000"/>
          <w:spacing w:val="0"/>
          <w:w w:val="100"/>
          <w:position w:val="0"/>
          <w:shd w:val="clear" w:color="auto" w:fill="auto"/>
          <w:lang w:val="hr-HR" w:eastAsia="hr-HR" w:bidi="hr-HR"/>
        </w:rPr>
        <w:t>politički</w:t>
      </w:r>
      <w:r>
        <w:rPr>
          <w:rFonts w:ascii="Times New Roman" w:eastAsia="Times New Roman" w:hAnsi="Times New Roman" w:cs="Times New Roman"/>
          <w:color w:val="000000"/>
          <w:spacing w:val="0"/>
          <w:w w:val="100"/>
          <w:position w:val="0"/>
          <w:shd w:val="clear" w:color="auto" w:fill="auto"/>
          <w:lang w:val="hr-HR" w:eastAsia="hr-HR" w:bidi="hr-HR"/>
        </w:rPr>
        <w:t xml:space="preserve"> motivirana, ona se prije shvaća kao kazna zbog mijenjanja zastava ili za izdaju negoli zbog otpadništva od vjere. Zbog toga je također jasno da se ona odnosi samo na muškarce, odnosno na poten</w:t>
        <w:softHyphen/>
        <w:t>cijalne ili stvarne vojnike.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Političke teorije, koje su u atomsko doba izne</w:t>
        <w:softHyphen/>
        <w:t>sene pod etiketom islama, sadrže brojne ele</w:t>
        <w:softHyphen/>
        <w:t xml:space="preserve">mente koje nisu izvorno »islamske« naravi. Kao što </w:t>
      </w:r>
      <w:r>
        <w:rPr>
          <w:rFonts w:ascii="Times New Roman" w:eastAsia="Times New Roman" w:hAnsi="Times New Roman" w:cs="Times New Roman"/>
          <w:color w:val="000000"/>
          <w:spacing w:val="0"/>
          <w:w w:val="100"/>
          <w:position w:val="0"/>
          <w:shd w:val="clear" w:color="auto" w:fill="auto"/>
          <w:lang w:val="en-US" w:eastAsia="en-US" w:bidi="en-US"/>
        </w:rPr>
        <w:t xml:space="preserve">Peter Antes </w:t>
      </w:r>
      <w:r>
        <w:rPr>
          <w:rFonts w:ascii="Times New Roman" w:eastAsia="Times New Roman" w:hAnsi="Times New Roman" w:cs="Times New Roman"/>
          <w:color w:val="000000"/>
          <w:spacing w:val="0"/>
          <w:w w:val="100"/>
          <w:position w:val="0"/>
          <w:shd w:val="clear" w:color="auto" w:fill="auto"/>
          <w:lang w:val="hr-HR" w:eastAsia="hr-HR" w:bidi="hr-HR"/>
        </w:rPr>
        <w:t>s pravom primjećuje, po</w:t>
        <w:softHyphen/>
        <w:t>vijest potvrđuje »da mnogo toga što danas važi kao dobra islamska tradicija često uopće nije tako staro kako bi to željeli prikazati teo</w:t>
        <w:softHyphen/>
        <w:t>lozi i pravni učenjaci. Prilikom kritičke pro</w:t>
        <w:softHyphen/>
        <w:t xml:space="preserve">vjere, u prilog tomu ne govore ni kuranska svjedočanstva, kako bi to rado htjeli branitelji </w:t>
      </w:r>
      <w:r>
        <w:rPr>
          <w:rFonts w:ascii="Times New Roman" w:eastAsia="Times New Roman" w:hAnsi="Times New Roman" w:cs="Times New Roman"/>
          <w:color w:val="000000"/>
          <w:spacing w:val="0"/>
          <w:w w:val="100"/>
          <w:position w:val="0"/>
          <w:shd w:val="clear" w:color="auto" w:fill="auto"/>
          <w:lang w:val="hr-HR" w:eastAsia="hr-HR" w:bidi="hr-HR"/>
        </w:rPr>
        <w:t xml:space="preserve">takve tradicije. To važi kako za prikrivanje tako i za mnoga druga područja« </w:t>
      </w:r>
      <w:r>
        <w:rPr>
          <w:rFonts w:ascii="Times New Roman" w:eastAsia="Times New Roman" w:hAnsi="Times New Roman" w:cs="Times New Roman"/>
          <w:color w:val="000000"/>
          <w:spacing w:val="0"/>
          <w:w w:val="100"/>
          <w:position w:val="0"/>
          <w:shd w:val="clear" w:color="auto" w:fill="auto"/>
          <w:lang w:val="en-US" w:eastAsia="en-US" w:bidi="en-US"/>
        </w:rPr>
        <w:t>(Peter An</w:t>
        <w:softHyphen/>
        <w:t xml:space="preserve">tes, </w:t>
      </w:r>
      <w:r>
        <w:rPr>
          <w:rFonts w:ascii="Times New Roman" w:eastAsia="Times New Roman" w:hAnsi="Times New Roman" w:cs="Times New Roman"/>
          <w:i/>
          <w:iCs/>
          <w:color w:val="000000"/>
          <w:spacing w:val="0"/>
          <w:w w:val="100"/>
          <w:position w:val="0"/>
          <w:shd w:val="clear" w:color="auto" w:fill="auto"/>
          <w:lang w:val="hr-HR" w:eastAsia="hr-HR" w:bidi="hr-HR"/>
        </w:rPr>
        <w:t>Der Islam als politischer Faktor,</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Hannover </w:t>
      </w:r>
      <w:r>
        <w:rPr>
          <w:rFonts w:ascii="Times New Roman" w:eastAsia="Times New Roman" w:hAnsi="Times New Roman" w:cs="Times New Roman"/>
          <w:color w:val="000000"/>
          <w:spacing w:val="0"/>
          <w:w w:val="100"/>
          <w:position w:val="0"/>
          <w:shd w:val="clear" w:color="auto" w:fill="auto"/>
          <w:lang w:val="hr-HR" w:eastAsia="hr-HR" w:bidi="hr-HR"/>
        </w:rPr>
        <w:t>1980, 48).</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Richard Hartmann, </w:t>
      </w:r>
      <w:r>
        <w:rPr>
          <w:color w:val="000000"/>
          <w:spacing w:val="0"/>
          <w:w w:val="100"/>
          <w:position w:val="0"/>
          <w:shd w:val="clear" w:color="auto" w:fill="auto"/>
          <w:lang w:val="hr-HR" w:eastAsia="hr-HR" w:bidi="hr-HR"/>
        </w:rPr>
        <w:t xml:space="preserve">Islam und Politik, u: </w:t>
      </w:r>
      <w:r>
        <w:rPr>
          <w:i/>
          <w:iCs/>
          <w:color w:val="000000"/>
          <w:spacing w:val="0"/>
          <w:w w:val="100"/>
          <w:position w:val="0"/>
          <w:shd w:val="clear" w:color="auto" w:fill="auto"/>
          <w:lang w:val="hr-HR" w:eastAsia="hr-HR" w:bidi="hr-HR"/>
        </w:rPr>
        <w:t xml:space="preserve">Jahrbuch der </w:t>
      </w:r>
      <w:r>
        <w:rPr>
          <w:i/>
          <w:iCs/>
          <w:color w:val="000000"/>
          <w:spacing w:val="0"/>
          <w:w w:val="100"/>
          <w:position w:val="0"/>
          <w:shd w:val="clear" w:color="auto" w:fill="auto"/>
        </w:rPr>
        <w:t xml:space="preserve">Akademie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Wisscnschaften in Gdltingen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1942/43 (1943). 68-93; </w:t>
      </w:r>
      <w:r>
        <w:rPr>
          <w:color w:val="000000"/>
          <w:spacing w:val="0"/>
          <w:w w:val="100"/>
          <w:position w:val="0"/>
          <w:shd w:val="clear" w:color="auto" w:fill="auto"/>
        </w:rPr>
        <w:t xml:space="preserve">Alfred von Kremer, </w:t>
      </w:r>
      <w:r>
        <w:rPr>
          <w:i/>
          <w:iCs/>
          <w:color w:val="000000"/>
          <w:spacing w:val="0"/>
          <w:w w:val="100"/>
          <w:position w:val="0"/>
          <w:shd w:val="clear" w:color="auto" w:fill="auto"/>
        </w:rPr>
        <w:t xml:space="preserve">Geschichte der herrschendtn Ideen des Islams. Der Gottesbegriff, die Prophetic und Staatsidee, </w:t>
      </w:r>
      <w:r>
        <w:rPr>
          <w:color w:val="000000"/>
          <w:spacing w:val="0"/>
          <w:w w:val="100"/>
          <w:position w:val="0"/>
          <w:shd w:val="clear" w:color="auto" w:fill="auto"/>
        </w:rPr>
        <w:t xml:space="preserve">Hildesheim 1961; Baber Johansen, Islam und Slaat. Ab- hiingtgc Etitwicklung, Vcrwaltung dos Elemis und rcli- gioscr Anti-lmpcrialismus, u: </w:t>
      </w:r>
      <w:r>
        <w:rPr>
          <w:i/>
          <w:iCs/>
          <w:color w:val="000000"/>
          <w:spacing w:val="0"/>
          <w:w w:val="100"/>
          <w:position w:val="0"/>
          <w:shd w:val="clear" w:color="auto" w:fill="auto"/>
        </w:rPr>
        <w:t>Argument.</w:t>
      </w:r>
      <w:r>
        <w:rPr>
          <w:color w:val="000000"/>
          <w:spacing w:val="0"/>
          <w:w w:val="100"/>
          <w:position w:val="0"/>
          <w:shd w:val="clear" w:color="auto" w:fill="auto"/>
        </w:rPr>
        <w:t xml:space="preserve"> Studicnhcftc 54 (1912) 1-55; 'Abdalgawwad EalatQrT, Der Islam - cine Re</w:t>
        <w:softHyphen/>
        <w:t xml:space="preserve">ligion mil gcsclischaftlichcm und politischcm Engagement, u; </w:t>
      </w:r>
      <w:r>
        <w:rPr>
          <w:i/>
          <w:iCs/>
          <w:color w:val="000000"/>
          <w:spacing w:val="0"/>
          <w:w w:val="100"/>
          <w:position w:val="0"/>
          <w:shd w:val="clear" w:color="auto" w:fill="auto"/>
        </w:rPr>
        <w:t>Beitrdge zur Konfliktforsehung</w:t>
      </w:r>
      <w:r>
        <w:rPr>
          <w:color w:val="000000"/>
          <w:spacing w:val="0"/>
          <w:w w:val="100"/>
          <w:position w:val="0"/>
          <w:shd w:val="clear" w:color="auto" w:fill="auto"/>
        </w:rPr>
        <w:t xml:space="preserve"> 10 (1980) I. 49-70; S. Ba- lid. Religion und Politik im Islam, u: </w:t>
      </w:r>
      <w:r>
        <w:rPr>
          <w:i/>
          <w:iCs/>
          <w:color w:val="000000"/>
          <w:spacing w:val="0"/>
          <w:w w:val="100"/>
          <w:position w:val="0"/>
          <w:shd w:val="clear" w:color="auto" w:fill="auto"/>
        </w:rPr>
        <w:t>Erziehutig zur Kultur- begegnung,</w:t>
      </w:r>
      <w:r>
        <w:rPr>
          <w:color w:val="000000"/>
          <w:spacing w:val="0"/>
          <w:w w:val="100"/>
          <w:position w:val="0"/>
          <w:shd w:val="clear" w:color="auto" w:fill="auto"/>
        </w:rPr>
        <w:t xml:space="preserve"> hr.sg. von J. Lalmcmann. Hamburg 1986,81-92.</w:t>
      </w:r>
    </w:p>
    <w:p>
      <w:pPr>
        <w:pStyle w:val="Style74"/>
        <w:keepNext w:val="0"/>
        <w:keepLines w:val="0"/>
        <w:widowControl w:val="0"/>
        <w:shd w:val="clear" w:color="auto" w:fill="auto"/>
        <w:bidi w:val="0"/>
        <w:spacing w:before="0" w:after="26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BAI.JĆ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POST</w:t>
      </w:r>
    </w:p>
    <w:p>
      <w:pPr>
        <w:pStyle w:val="Style63"/>
        <w:keepNext/>
        <w:keepLines/>
        <w:widowControl w:val="0"/>
        <w:numPr>
          <w:ilvl w:val="0"/>
          <w:numId w:val="421"/>
        </w:numPr>
        <w:shd w:val="clear" w:color="auto" w:fill="auto"/>
        <w:tabs>
          <w:tab w:pos="246" w:val="left"/>
        </w:tabs>
        <w:bidi w:val="0"/>
        <w:spacing w:before="0"/>
        <w:ind w:left="0" w:right="0" w:firstLine="0"/>
        <w:jc w:val="both"/>
      </w:pPr>
      <w:bookmarkStart w:id="261" w:name="bookmark261"/>
      <w:r>
        <w:rPr>
          <w:rFonts w:ascii="Times New Roman" w:eastAsia="Times New Roman" w:hAnsi="Times New Roman" w:cs="Times New Roman"/>
          <w:color w:val="000000"/>
          <w:spacing w:val="0"/>
          <w:w w:val="100"/>
          <w:position w:val="0"/>
          <w:shd w:val="clear" w:color="auto" w:fill="auto"/>
          <w:lang w:val="hr-HR" w:eastAsia="hr-HR" w:bidi="hr-HR"/>
        </w:rPr>
        <w:t>židovski</w:t>
      </w:r>
      <w:bookmarkEnd w:id="26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Mojsije je ostao četrdeset dana i četrdeset no</w:t>
        <w:softHyphen/>
        <w:t>ći na Sinaju ništa ne jedući i ne pijući prije ne</w:t>
        <w:softHyphen/>
        <w:t>goli je primio »deset riječi« (Izl 34,28; Pnz 9,9). Danici je »postio« i trapio se neko vri</w:t>
        <w:softHyphen/>
        <w:t xml:space="preserve">jeme prije svojih viđenja (Dn 9,3; 10,2-12). Ovdje je »p.« u službi pripreme za slušanje riječi Božjih.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je skupio sinove Izraela u Mispi na molitvu, p. i priznanje grijeha (1 Sam 7,6). </w:t>
      </w:r>
      <w:r>
        <w:rPr>
          <w:rFonts w:ascii="Times New Roman" w:eastAsia="Times New Roman" w:hAnsi="Times New Roman" w:cs="Times New Roman"/>
          <w:color w:val="000000"/>
          <w:spacing w:val="0"/>
          <w:w w:val="100"/>
          <w:position w:val="0"/>
          <w:shd w:val="clear" w:color="auto" w:fill="auto"/>
          <w:lang w:val="en-US" w:eastAsia="en-US" w:bidi="en-US"/>
        </w:rPr>
        <w:t xml:space="preserve">Joel </w:t>
      </w:r>
      <w:r>
        <w:rPr>
          <w:rFonts w:ascii="Times New Roman" w:eastAsia="Times New Roman" w:hAnsi="Times New Roman" w:cs="Times New Roman"/>
          <w:color w:val="000000"/>
          <w:spacing w:val="0"/>
          <w:w w:val="100"/>
          <w:position w:val="0"/>
          <w:shd w:val="clear" w:color="auto" w:fill="auto"/>
          <w:lang w:val="hr-HR" w:eastAsia="hr-HR" w:bidi="hr-HR"/>
        </w:rPr>
        <w:t>je naredio p. zbog najezde ska</w:t>
        <w:softHyphen/>
        <w:t>kavaca i sazvao svečani zbor (JI 1,14). Nchc- mija je »postio« kad sc molio za oslobođenje Izraela (Neh 1,4). »Postilo« se od tuge za po</w:t>
        <w:softHyphen/>
        <w:t>kojnikom (I Sam 31,13; 2 Sam 1,12; 3,35; 12,21), u nadi da će se Bog uplesti u nevolju pojedinca (2 Sam 12,16 i d.; 1 Kr 21,27; Ps 35,13; 69,11), na nacionalne dane nesreće (Suci 20,26; 1 Sam 7,6; 1 Kr 21,9; Jr 36,6.9; Jon 3,5 i d.; 1 Ljet 20,3 i d.). P. je propisan i stalno povezan s bogoštovljem na Dan pomi</w:t>
        <w:softHyphen/>
        <w:t xml:space="preserve">renja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16,29 i d.; 23,27 i d.; Br 29,7). Ovdje je p. izraz klanjanja čovjeka Bogu, poniznosti pred njim, osebujno sačuvan u iz</w:t>
        <w:softHyphen/>
        <w:t>razu »poniziti dušu« tj. postiti (I,ev 16,29.31; 23,27.32; Br 29,7, usp. Iz 58,3; Ps 35,13).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Obje osnove te biblijske riječi ušle su u rabin- sku literaturu. U toj se literaturi razlikuje »javni p.« </w:t>
      </w:r>
      <w:r>
        <w:rPr>
          <w:rFonts w:ascii="Times New Roman" w:eastAsia="Times New Roman" w:hAnsi="Times New Roman" w:cs="Times New Roman"/>
          <w:i/>
          <w:iCs/>
          <w:color w:val="000000"/>
          <w:spacing w:val="0"/>
          <w:w w:val="100"/>
          <w:position w:val="0"/>
          <w:shd w:val="clear" w:color="auto" w:fill="auto"/>
          <w:lang w:val="hr-HR" w:eastAsia="hr-HR" w:bidi="hr-HR"/>
        </w:rPr>
        <w:t>(Taanit cibur)</w:t>
      </w:r>
      <w:r>
        <w:rPr>
          <w:rFonts w:ascii="Times New Roman" w:eastAsia="Times New Roman" w:hAnsi="Times New Roman" w:cs="Times New Roman"/>
          <w:color w:val="000000"/>
          <w:spacing w:val="0"/>
          <w:w w:val="100"/>
          <w:position w:val="0"/>
          <w:shd w:val="clear" w:color="auto" w:fill="auto"/>
          <w:lang w:val="hr-HR" w:eastAsia="hr-HR" w:bidi="hr-HR"/>
        </w:rPr>
        <w:t xml:space="preserve"> od »privatnog posta« </w:t>
      </w:r>
      <w:r>
        <w:rPr>
          <w:rFonts w:ascii="Times New Roman" w:eastAsia="Times New Roman" w:hAnsi="Times New Roman" w:cs="Times New Roman"/>
          <w:i/>
          <w:iCs/>
          <w:color w:val="000000"/>
          <w:spacing w:val="0"/>
          <w:w w:val="100"/>
          <w:position w:val="0"/>
          <w:shd w:val="clear" w:color="auto" w:fill="auto"/>
          <w:lang w:val="hr-HR" w:eastAsia="hr-HR" w:bidi="hr-HR"/>
        </w:rPr>
        <w:t>(Taanit jahid,</w:t>
      </w:r>
      <w:r>
        <w:rPr>
          <w:rFonts w:ascii="Times New Roman" w:eastAsia="Times New Roman" w:hAnsi="Times New Roman" w:cs="Times New Roman"/>
          <w:color w:val="000000"/>
          <w:spacing w:val="0"/>
          <w:w w:val="100"/>
          <w:position w:val="0"/>
          <w:shd w:val="clear" w:color="auto" w:fill="auto"/>
          <w:lang w:val="hr-HR" w:eastAsia="hr-HR" w:bidi="hr-HR"/>
        </w:rPr>
        <w:t xml:space="preserve"> b Taanit 12b). P. javnosti, obve</w:t>
        <w:softHyphen/>
        <w:t>zatan za sve, rabini su povezali s odgovara</w:t>
        <w:softHyphen/>
        <w:t xml:space="preserve">jućim odredbama </w:t>
      </w:r>
      <w:r>
        <w:rPr>
          <w:rFonts w:ascii="Times New Roman" w:eastAsia="Times New Roman" w:hAnsi="Times New Roman" w:cs="Times New Roman"/>
          <w:color w:val="000000"/>
          <w:spacing w:val="0"/>
          <w:w w:val="100"/>
          <w:position w:val="0"/>
          <w:shd w:val="clear" w:color="auto" w:fill="auto"/>
          <w:lang w:val="en-US" w:eastAsia="en-US" w:bidi="en-US"/>
        </w:rPr>
        <w:t xml:space="preserve">Tore (Lev </w:t>
      </w:r>
      <w:r>
        <w:rPr>
          <w:rFonts w:ascii="Times New Roman" w:eastAsia="Times New Roman" w:hAnsi="Times New Roman" w:cs="Times New Roman"/>
          <w:color w:val="000000"/>
          <w:spacing w:val="0"/>
          <w:w w:val="100"/>
          <w:position w:val="0"/>
          <w:shd w:val="clear" w:color="auto" w:fill="auto"/>
          <w:lang w:val="hr-HR" w:eastAsia="hr-HR" w:bidi="hr-HR"/>
        </w:rPr>
        <w:t xml:space="preserve">16,29 i d.), a ponajprije na Dan pomirenja (M Joma VIII, 1-6; Tos. V,1 i d.; b 77b; j V,5; b Hulin 107b; j Taanit I,64c). Prema staroj tradiciji (Zah 7,3 i </w:t>
      </w:r>
      <w:r>
        <w:rPr>
          <w:rFonts w:ascii="Times New Roman" w:eastAsia="Times New Roman" w:hAnsi="Times New Roman" w:cs="Times New Roman"/>
          <w:color w:val="000000"/>
          <w:spacing w:val="0"/>
          <w:w w:val="100"/>
          <w:position w:val="0"/>
          <w:shd w:val="clear" w:color="auto" w:fill="auto"/>
          <w:lang w:val="hr-HR" w:eastAsia="hr-HR" w:bidi="hr-HR"/>
        </w:rPr>
        <w:t>d.; 8,19) svetkuju se svake godine dani nacio</w:t>
        <w:softHyphen/>
        <w:t>nalne žalosti kao dani posta, poput 9. ava, Da</w:t>
        <w:softHyphen/>
        <w:t>na sjećanja na razorenjc prvoga i drugoga Hrama (M Taanit IV,6 i d.; Tos. IV,9; b 29a). Opće nevolje, poput suše, bolesti i rata potica</w:t>
        <w:softHyphen/>
        <w:t>le su na proglašenje posebnoga »javnog posta« (M Taanit 1,5; 11,8 i d.; III, 2.4). Dani u tjednu, koji su imali prednost nad drugim danima za izvanredni opći p. jesu ponedjeljak i četvrtak (M Taanit 1,4 i d.; b 10a); na šabat, na blag</w:t>
        <w:softHyphen/>
        <w:t>dane i međuprazničke dane nc bi ga smjelo biti (Jdt 8,6; j Taanit II, 66a; Megila I,70d; M II,lo; b 17b). P. na Dan pomirenja i 9. ava traje jedan dan od sumraka i posti se onoga dana u tjednu na koji pada, premda kod od</w:t>
        <w:softHyphen/>
        <w:t>ređivanja godišnjega kalendara - »šabatu u čast« (M Taanit IV,3) - sedmi se dan po mo</w:t>
        <w:softHyphen/>
        <w:t>gućnosti izuzima iz posta (M Menahot XI,7). Dobro je poznata opća svetkovina posta za vrijeme trajne nestašice kiše; ona traje trinaest dana, uvijek ponedjeljkom i četvrtkom, pa se puni p. proteže na sedam tjedana (M Taanit 1,3-7; 11,1-5; 111,9; j 1,64b).</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Dragovoljni pojedinačni p. razvio se u odre</w:t>
        <w:softHyphen/>
        <w:t>đenim krugovima u posljednja tri stoljeća u razdoblju drugoga Hrama kao stalni običaj (Sir 31,26; Tob 12,8; Jdt 8,6; Ps Sal 3,8). I u talmudskom razdoblju smatrali su ga samim po sebi razumljivim izrazom pobožnosti. Po</w:t>
        <w:softHyphen/>
        <w:t xml:space="preserve">jedinac je postio kraće i dulje vrijeme; Rabi Cadok (oko 50. pos. Kr.) »proboravio je, naime, četrdeset godina u postu kako Jeruzalem ne bi bio razoren«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56a). LI nedaćama, željama i potrebama posnika utemeljila se od</w:t>
        <w:softHyphen/>
        <w:t xml:space="preserve">luka za privatno odricanje: jedan je time htio okajati grijeh (b Hagiga 22b; </w:t>
      </w:r>
      <w:r>
        <w:rPr>
          <w:rFonts w:ascii="Times New Roman" w:eastAsia="Times New Roman" w:hAnsi="Times New Roman" w:cs="Times New Roman"/>
          <w:color w:val="000000"/>
          <w:spacing w:val="0"/>
          <w:w w:val="100"/>
          <w:position w:val="0"/>
          <w:shd w:val="clear" w:color="auto" w:fill="auto"/>
          <w:lang w:val="en-US" w:eastAsia="en-US" w:bidi="en-US"/>
        </w:rPr>
        <w:t xml:space="preserve">Nazir </w:t>
      </w:r>
      <w:r>
        <w:rPr>
          <w:rFonts w:ascii="Times New Roman" w:eastAsia="Times New Roman" w:hAnsi="Times New Roman" w:cs="Times New Roman"/>
          <w:color w:val="000000"/>
          <w:spacing w:val="0"/>
          <w:w w:val="100"/>
          <w:position w:val="0"/>
          <w:shd w:val="clear" w:color="auto" w:fill="auto"/>
          <w:lang w:val="hr-HR" w:eastAsia="hr-HR" w:bidi="hr-HR"/>
        </w:rPr>
        <w:t>52b) ili potpomoći uslišenju molitve (b Bava kama 85a; Kohelet IX, 10), drugi je njime htio otklo</w:t>
        <w:softHyphen/>
        <w:t xml:space="preserve">niti udarce nesreće (b Taanit 12b, 22b; Šabat 11a) ili se posebno poniziti pred Bogom (b Berahot 32b). Ipak nije nedostajalo glasova upozorenja (b Taanit 1 </w:t>
      </w:r>
      <w:r>
        <w:rPr>
          <w:rFonts w:ascii="Times New Roman" w:eastAsia="Times New Roman" w:hAnsi="Times New Roman" w:cs="Times New Roman"/>
          <w:color w:val="000000"/>
          <w:spacing w:val="0"/>
          <w:w w:val="100"/>
          <w:position w:val="0"/>
          <w:shd w:val="clear" w:color="auto" w:fill="auto"/>
          <w:lang w:val="en-US" w:eastAsia="en-US" w:bidi="en-US"/>
        </w:rPr>
        <w:t xml:space="preserve">la; Nazir </w:t>
      </w:r>
      <w:r>
        <w:rPr>
          <w:rFonts w:ascii="Times New Roman" w:eastAsia="Times New Roman" w:hAnsi="Times New Roman" w:cs="Times New Roman"/>
          <w:color w:val="000000"/>
          <w:spacing w:val="0"/>
          <w:w w:val="100"/>
          <w:position w:val="0"/>
          <w:shd w:val="clear" w:color="auto" w:fill="auto"/>
          <w:lang w:val="hr-HR" w:eastAsia="hr-HR" w:bidi="hr-HR"/>
        </w:rPr>
        <w:t>22a; Bava ka</w:t>
        <w:softHyphen/>
        <w:t>ma 91b); ni učenik Zakona nije nipošto smio postiti dragovoljno, jer bi time samo oslabio i nc bi mogao proučavati Toru (b Taanit 11b, uz to Rašijevo objašnjenje).</w:t>
      </w:r>
    </w:p>
    <w:p>
      <w:pPr>
        <w:pStyle w:val="Style56"/>
        <w:keepNext w:val="0"/>
        <w:keepLines w:val="0"/>
        <w:widowControl w:val="0"/>
        <w:shd w:val="clear" w:color="auto" w:fill="auto"/>
        <w:tabs>
          <w:tab w:pos="2429" w:val="left"/>
        </w:tabs>
        <w:bidi w:val="0"/>
        <w:spacing w:before="0" w:after="40" w:line="240" w:lineRule="auto"/>
        <w:ind w:left="0" w:right="0" w:firstLine="0"/>
        <w:jc w:val="both"/>
        <w:sectPr>
          <w:headerReference w:type="default" r:id="rId1093"/>
          <w:footerReference w:type="default" r:id="rId1094"/>
          <w:headerReference w:type="even" r:id="rId1095"/>
          <w:footerReference w:type="even" r:id="rId1096"/>
          <w:headerReference w:type="first" r:id="rId1097"/>
          <w:footerReference w:type="first" r:id="rId1098"/>
          <w:footnotePr>
            <w:pos w:val="pageBottom"/>
            <w:numFmt w:val="decimal"/>
            <w:numRestart w:val="continuous"/>
            <w15:footnoteColumns w:val="1"/>
          </w:footnotePr>
          <w:pgSz w:w="6816" w:h="11006"/>
          <w:pgMar w:top="975" w:left="189" w:right="196" w:bottom="532" w:header="0" w:footer="3" w:gutter="0"/>
          <w:pgNumType w:start="357"/>
          <w:cols w:num="2" w:space="156"/>
          <w:noEndnote/>
          <w:titlePg/>
          <w:rtlGutter w:val="0"/>
          <w:docGrid w:linePitch="360"/>
        </w:sectPr>
      </w:pPr>
      <w:r>
        <w:rPr>
          <w:color w:val="000000"/>
          <w:spacing w:val="0"/>
          <w:w w:val="100"/>
          <w:position w:val="0"/>
          <w:shd w:val="clear" w:color="auto" w:fill="auto"/>
          <w:lang w:val="hr-HR" w:eastAsia="hr-HR" w:bidi="hr-HR"/>
        </w:rPr>
        <w:t xml:space="preserve">Lit.: H. L. </w:t>
      </w:r>
      <w:r>
        <w:rPr>
          <w:color w:val="000000"/>
          <w:spacing w:val="0"/>
          <w:w w:val="100"/>
          <w:position w:val="0"/>
          <w:shd w:val="clear" w:color="auto" w:fill="auto"/>
        </w:rPr>
        <w:t xml:space="preserve">Strack/?. </w:t>
      </w:r>
      <w:r>
        <w:rPr>
          <w:color w:val="000000"/>
          <w:spacing w:val="0"/>
          <w:w w:val="100"/>
          <w:position w:val="0"/>
          <w:shd w:val="clear" w:color="auto" w:fill="auto"/>
          <w:lang w:val="hr-HR" w:eastAsia="hr-HR" w:bidi="hr-HR"/>
        </w:rPr>
        <w:t xml:space="preserve">Billcrbcck, </w:t>
      </w:r>
      <w:r>
        <w:rPr>
          <w:i/>
          <w:iCs/>
          <w:color w:val="000000"/>
          <w:spacing w:val="0"/>
          <w:w w:val="100"/>
          <w:position w:val="0"/>
          <w:shd w:val="clear" w:color="auto" w:fill="auto"/>
          <w:lang w:val="hr-HR" w:eastAsia="hr-HR" w:bidi="hr-HR"/>
        </w:rPr>
        <w:t>Kommentar zum Neuen Tes</w:t>
        <w:softHyphen/>
        <w:t xml:space="preserve">tament aus </w:t>
      </w:r>
      <w:r>
        <w:rPr>
          <w:i/>
          <w:iCs/>
          <w:color w:val="000000"/>
          <w:spacing w:val="0"/>
          <w:w w:val="100"/>
          <w:position w:val="0"/>
          <w:shd w:val="clear" w:color="auto" w:fill="auto"/>
        </w:rPr>
        <w:t xml:space="preserve">Talmud und </w:t>
      </w:r>
      <w:r>
        <w:rPr>
          <w:i/>
          <w:iCs/>
          <w:color w:val="000000"/>
          <w:spacing w:val="0"/>
          <w:w w:val="100"/>
          <w:position w:val="0"/>
          <w:shd w:val="clear" w:color="auto" w:fill="auto"/>
          <w:lang w:val="hr-HR" w:eastAsia="hr-HR" w:bidi="hr-HR"/>
        </w:rPr>
        <w:t>Midrasch IV.l,</w:t>
      </w:r>
      <w:r>
        <w:rPr>
          <w:color w:val="000000"/>
          <w:spacing w:val="0"/>
          <w:w w:val="100"/>
          <w:position w:val="0"/>
          <w:shd w:val="clear" w:color="auto" w:fill="auto"/>
          <w:lang w:val="hr-HR" w:eastAsia="hr-HR" w:bidi="hr-HR"/>
        </w:rPr>
        <w:t xml:space="preserve"> 1928, </w:t>
      </w:r>
      <w:r>
        <w:rPr>
          <w:color w:val="000000"/>
          <w:spacing w:val="0"/>
          <w:w w:val="100"/>
          <w:position w:val="0"/>
          <w:shd w:val="clear" w:color="auto" w:fill="auto"/>
          <w:vertAlign w:val="superscript"/>
          <w:lang w:val="hr-HR" w:eastAsia="hr-HR" w:bidi="hr-HR"/>
        </w:rPr>
        <w:t>6</w:t>
      </w:r>
      <w:r>
        <w:rPr>
          <w:color w:val="000000"/>
          <w:spacing w:val="0"/>
          <w:w w:val="100"/>
          <w:position w:val="0"/>
          <w:shd w:val="clear" w:color="auto" w:fill="auto"/>
          <w:lang w:val="hr-HR" w:eastAsia="hr-HR" w:bidi="hr-HR"/>
        </w:rPr>
        <w:t xml:space="preserve">1975, 77-114; I. Elbogcn.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judische Gottesdienst in seiner geschichtli- chen Entnicklung,</w:t>
      </w:r>
      <w:r>
        <w:rPr>
          <w:color w:val="000000"/>
          <w:spacing w:val="0"/>
          <w:w w:val="100"/>
          <w:position w:val="0"/>
          <w:shd w:val="clear" w:color="auto" w:fill="auto"/>
        </w:rPr>
        <w:t xml:space="preserve"> 1913,1967, 126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P. P. Grunewald, </w:t>
      </w:r>
      <w:r>
        <w:rPr>
          <w:i/>
          <w:iCs/>
          <w:color w:val="000000"/>
          <w:spacing w:val="0"/>
          <w:w w:val="100"/>
          <w:position w:val="0"/>
          <w:shd w:val="clear" w:color="auto" w:fill="auto"/>
        </w:rPr>
        <w:t>Im ewigen Kreis,</w:t>
      </w:r>
      <w:r>
        <w:rPr>
          <w:color w:val="000000"/>
          <w:spacing w:val="0"/>
          <w:w w:val="100"/>
          <w:position w:val="0"/>
          <w:shd w:val="clear" w:color="auto" w:fill="auto"/>
        </w:rPr>
        <w:t xml:space="preserve"> 1980, 67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w:t>
        <w:tab/>
        <w:t>D. VliTH-R</w:t>
      </w:r>
    </w:p>
    <w:p>
      <w:pPr>
        <w:pStyle w:val="Style63"/>
        <w:keepNext/>
        <w:keepLines/>
        <w:widowControl w:val="0"/>
        <w:numPr>
          <w:ilvl w:val="0"/>
          <w:numId w:val="421"/>
        </w:numPr>
        <w:shd w:val="clear" w:color="auto" w:fill="auto"/>
        <w:tabs>
          <w:tab w:pos="255" w:val="left"/>
        </w:tabs>
        <w:bidi w:val="0"/>
        <w:spacing w:before="0"/>
        <w:ind w:left="0" w:right="0" w:firstLine="0"/>
        <w:jc w:val="both"/>
      </w:pPr>
      <w:bookmarkStart w:id="262" w:name="bookmark26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62"/>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Još u Starom zavjetu postom se izražavala tu</w:t>
        <w:softHyphen/>
        <w:t>ga, pokora, jačanje molitve i priprava za oso</w:t>
        <w:softHyphen/>
        <w:t>bite religijske događaje i svečanosti. Isus, koji je i sam četrdeset dana postio prije svog jav</w:t>
        <w:softHyphen/>
        <w:t>nog djelovanja, upozorava na izopačenost motiva (Mt 6,16—18): Ljudi ne trebaju vidjeti »gdje postiš, nego Otac tvoj koji vidi u taj</w:t>
        <w:softHyphen/>
        <w:t>nosti«. Prazajednica je postila (npr. Dj 13,2; 14,23), a Didahe (8,1), najstariji propis za za</w:t>
        <w:softHyphen/>
        <w:t>jednicu, preporuča redovit p. srijedom i pet</w:t>
        <w:softHyphen/>
        <w:t>kom. U staroj Crkvi »p. iz žalosti« na Veliki petak i Veliku subotu dobiva posebno zna</w:t>
        <w:softHyphen/>
        <w:t>čenje, na što se odnose Isusove riječi o postu učenika kada im je ugrabljen zaručnik (Mt 9, 15; Mk 2,20; Lk 5,34 i d.). To je potpuni p. bez jela i piča. Taj se p. ubrzo protegnuo na Veliki tjedan i četrdesetdnevno uskrsno vrijeme ko</w:t>
        <w:softHyphen/>
        <w:t>rizme, pri čemu su bile izuzete nedjelje kao tjedne svečanosti uskrsnuća. U to je vrijeme bio samo jedan obrok dnevno, suzdržavanje od mesa i vina, kasnije i od mlijeka, maslaca, sira i jaja. Također kvatre i vigilijc rano su uključene u zapovijed posla i odricanja. Kva</w:t>
        <w:softHyphen/>
        <w:t>tre znače »četiri vremena« i kod različitoga povijesnog razvoja označavaju svaki put srije</w:t>
        <w:softHyphen/>
        <w:t>du, petak i subotu na početku četiriju godiš</w:t>
        <w:softHyphen/>
        <w:t>njih doba koja su bila obilježena molitvom i postom, a vrijedila su i kao termini za posve</w:t>
        <w:softHyphen/>
        <w:t>ćenje. Danas su to prvi tjedni došašća i ko</w:t>
        <w:softHyphen/>
        <w:t>rizme, tjedan prije Duhova i prvi tjedan u lis</w:t>
        <w:softHyphen/>
        <w:t>topadu koji trebaju biti u znaku posebne te</w:t>
        <w:softHyphen/>
        <w:t>matike o duhovnoj obnovi zajednice. Vigilija je latinski naziv za noćno bdijenje i označava noćni molitveni skup. Od II. stoljeća to se noć</w:t>
        <w:softHyphen/>
        <w:t>no bdijenje za uskrsnu svečanost potvrđuje kao izraz očekivanja ponovnoga Gospodinova dolaska. Prema Uskrsu, »majci svih vigilija«, oblikuju se ostali blagdani u kojima p. isto tako predstavlja pripravu za blagdan koji slije</w:t>
        <w:softHyphen/>
        <w:t>di. Danas uz uskrsne vigilijc imaju vigilije još samo Duhovi i Božić kao i veliki blagdani ro</w:t>
        <w:softHyphen/>
        <w:t xml:space="preserve">đenja Ivana Krstitelja, Petra 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 Mariji</w:t>
        <w:softHyphen/>
        <w:t>nog Uznesenja, ali p. ne igra više presudnu ulogu. I u vrijeme priprave za Uskrs, u koriz</w:t>
        <w:softHyphen/>
        <w:t>mi, p. više nije u prvom planu. Od kasnoga srednjeg vijeka može se zapaziti ublažavanje posta tako da se danas prakticira još samo u najmanjoj mjeri. Dani posta i odricanja još su samo Pepelnica i Veliki petak kada svi koji imaju više od sedam godina smiju uzeti samo jedan obrok.</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Stara Crkva vidjela je u postu jačanje molitve i utiranje puta za primanje Duha Svetoga, obranu od napasti, pripravu za religijske čine i uz to, štednjom u vlastitim izdacima, omogu</w:t>
        <w:softHyphen/>
        <w:t>ćavanje djelatne spremnosti za pomaganje si</w:t>
        <w:softHyphen/>
        <w:t>romasima. Ovo posljednje ponovno je oživje</w:t>
        <w:softHyphen/>
        <w:t>lo u najnovije vrijeme prilozima za crkvene dobrotvorne organizacije prije svega u Tre</w:t>
        <w:softHyphen/>
        <w:t>ćem svijetu kao što je npr. Misereor. Osim toga u novije se vrijeme sve više čuju glasovi koji zagovaraju povratak postu u korist tje- lesno-duševnog zdravlja, prije svega kao odus</w:t>
        <w:softHyphen/>
        <w:t>tajanje od potrošnje u najrazličitijim oblicima. Tako na kršćanskom području ostaje trajna zadaća da se p. naviješta kao sredstvo duhov</w:t>
        <w:softHyphen/>
        <w:t>nog života, da se u njemu vidi sredstvo za spoznavanje čovjekove cjeline kao jedinstva tijela i duše. To ujedno znači da treba oživiti stara razdoblja posta, a u potrošačkom i ma</w:t>
        <w:softHyphen/>
        <w:t>terijaliziranom svijetu svjedočiti o postu kao o alternativnom načinu života. To bi moralo us</w:t>
        <w:softHyphen/>
        <w:t>pijevali pogotovo zato što p. kao terapijska metoda uživa veliki ugled u medicini.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J. Schummcr,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altkirchliche </w:t>
      </w:r>
      <w:r>
        <w:rPr>
          <w:i/>
          <w:iCs/>
          <w:color w:val="000000"/>
          <w:spacing w:val="0"/>
          <w:w w:val="100"/>
          <w:position w:val="0"/>
          <w:shd w:val="clear" w:color="auto" w:fill="auto"/>
        </w:rPr>
        <w:t xml:space="preserve">Fastenpraxis </w:t>
      </w:r>
      <w:r>
        <w:rPr>
          <w:i/>
          <w:iCs/>
          <w:color w:val="000000"/>
          <w:spacing w:val="0"/>
          <w:w w:val="100"/>
          <w:position w:val="0"/>
          <w:shd w:val="clear" w:color="auto" w:fill="auto"/>
          <w:lang w:val="hr-HR" w:eastAsia="hr-HR" w:bidi="hr-HR"/>
        </w:rPr>
        <w:t xml:space="preserve">(Liturgische </w:t>
      </w:r>
      <w:r>
        <w:rPr>
          <w:i/>
          <w:iCs/>
          <w:color w:val="000000"/>
          <w:spacing w:val="0"/>
          <w:w w:val="100"/>
          <w:position w:val="0"/>
          <w:shd w:val="clear" w:color="auto" w:fill="auto"/>
        </w:rPr>
        <w:t xml:space="preserve">Quellen </w:t>
      </w:r>
      <w:r>
        <w:rPr>
          <w:i/>
          <w:iCs/>
          <w:color w:val="000000"/>
          <w:spacing w:val="0"/>
          <w:w w:val="100"/>
          <w:position w:val="0"/>
          <w:shd w:val="clear" w:color="auto" w:fill="auto"/>
          <w:lang w:val="hr-HR" w:eastAsia="hr-HR" w:bidi="hr-HR"/>
        </w:rPr>
        <w:t>und Forschungen</w:t>
      </w:r>
      <w:r>
        <w:rPr>
          <w:color w:val="000000"/>
          <w:spacing w:val="0"/>
          <w:w w:val="100"/>
          <w:position w:val="0"/>
          <w:shd w:val="clear" w:color="auto" w:fill="auto"/>
          <w:lang w:val="hr-HR" w:eastAsia="hr-HR" w:bidi="hr-HR"/>
        </w:rPr>
        <w:t xml:space="preserve"> 27), </w:t>
      </w:r>
      <w:r>
        <w:rPr>
          <w:color w:val="000000"/>
          <w:spacing w:val="0"/>
          <w:w w:val="100"/>
          <w:position w:val="0"/>
          <w:shd w:val="clear" w:color="auto" w:fill="auto"/>
        </w:rPr>
        <w:t xml:space="preserve">Munster </w:t>
      </w:r>
      <w:r>
        <w:rPr>
          <w:color w:val="000000"/>
          <w:spacing w:val="0"/>
          <w:w w:val="100"/>
          <w:position w:val="0"/>
          <w:shd w:val="clear" w:color="auto" w:fill="auto"/>
          <w:lang w:val="hr-HR" w:eastAsia="hr-HR" w:bidi="hr-HR"/>
        </w:rPr>
        <w:t xml:space="preserve">1933; P. R. Rćga- </w:t>
      </w:r>
      <w:r>
        <w:rPr>
          <w:color w:val="000000"/>
          <w:spacing w:val="0"/>
          <w:w w:val="100"/>
          <w:position w:val="0"/>
          <w:shd w:val="clear" w:color="auto" w:fill="auto"/>
        </w:rPr>
        <w:t xml:space="preserve">mcy. </w:t>
      </w:r>
      <w:r>
        <w:rPr>
          <w:i/>
          <w:iCs/>
          <w:color w:val="000000"/>
          <w:spacing w:val="0"/>
          <w:w w:val="100"/>
          <w:position w:val="0"/>
          <w:shd w:val="clear" w:color="auto" w:fill="auto"/>
        </w:rPr>
        <w:t>Wiederentdeckung des Fastens,</w:t>
      </w:r>
      <w:r>
        <w:rPr>
          <w:color w:val="000000"/>
          <w:spacing w:val="0"/>
          <w:w w:val="100"/>
          <w:position w:val="0"/>
          <w:shd w:val="clear" w:color="auto" w:fill="auto"/>
        </w:rPr>
        <w:t xml:space="preserve"> Wicn/Munchcn </w:t>
      </w:r>
      <w:r>
        <w:rPr>
          <w:color w:val="000000"/>
          <w:spacing w:val="0"/>
          <w:w w:val="100"/>
          <w:position w:val="0"/>
          <w:shd w:val="clear" w:color="auto" w:fill="auto"/>
          <w:lang w:val="hr-HR" w:eastAsia="hr-HR" w:bidi="hr-HR"/>
        </w:rPr>
        <w:t>1963.</w:t>
      </w:r>
    </w:p>
    <w:p>
      <w:pPr>
        <w:pStyle w:val="Style56"/>
        <w:keepNext w:val="0"/>
        <w:keepLines w:val="0"/>
        <w:widowControl w:val="0"/>
        <w:shd w:val="clear" w:color="auto" w:fill="auto"/>
        <w:bidi w:val="0"/>
        <w:spacing w:before="0" w:after="160" w:line="240" w:lineRule="auto"/>
        <w:ind w:left="0" w:right="0" w:firstLine="0"/>
        <w:jc w:val="right"/>
      </w:pPr>
      <w:r>
        <w:rPr>
          <w:color w:val="000000"/>
          <w:spacing w:val="0"/>
          <w:w w:val="100"/>
          <w:position w:val="0"/>
          <w:shd w:val="clear" w:color="auto" w:fill="auto"/>
          <w:lang w:val="hr-HR" w:eastAsia="hr-HR" w:bidi="hr-HR"/>
        </w:rPr>
        <w:t xml:space="preserve">K. </w:t>
      </w:r>
      <w:r>
        <w:rPr>
          <w:color w:val="000000"/>
          <w:spacing w:val="0"/>
          <w:w w:val="100"/>
          <w:position w:val="0"/>
          <w:shd w:val="clear" w:color="auto" w:fill="auto"/>
        </w:rPr>
        <w:t>RICHTER</w:t>
      </w:r>
    </w:p>
    <w:p>
      <w:pPr>
        <w:pStyle w:val="Style63"/>
        <w:keepNext/>
        <w:keepLines/>
        <w:widowControl w:val="0"/>
        <w:numPr>
          <w:ilvl w:val="0"/>
          <w:numId w:val="421"/>
        </w:numPr>
        <w:shd w:val="clear" w:color="auto" w:fill="auto"/>
        <w:tabs>
          <w:tab w:pos="265" w:val="left"/>
        </w:tabs>
        <w:bidi w:val="0"/>
        <w:spacing w:before="0"/>
        <w:ind w:left="0" w:right="0" w:firstLine="0"/>
        <w:jc w:val="both"/>
      </w:pPr>
      <w:bookmarkStart w:id="263" w:name="bookmark263"/>
      <w:r>
        <w:rPr>
          <w:rFonts w:ascii="Times New Roman" w:eastAsia="Times New Roman" w:hAnsi="Times New Roman" w:cs="Times New Roman"/>
          <w:color w:val="000000"/>
          <w:spacing w:val="0"/>
          <w:w w:val="100"/>
          <w:position w:val="0"/>
          <w:shd w:val="clear" w:color="auto" w:fill="auto"/>
          <w:lang w:val="hr-HR" w:eastAsia="hr-HR" w:bidi="hr-HR"/>
        </w:rPr>
        <w:t>islamski</w:t>
      </w:r>
      <w:bookmarkEnd w:id="26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Pozivajući se na tradiciju prethodnika u Kura</w:t>
        <w:softHyphen/>
        <w:t>nu p. postaje dužnošću vjernika u 9. mjesecu muslimanske lunarne kalendarske godine - u ramazanu (ramadan). Dok se tamo jedino go</w:t>
        <w:softHyphen/>
        <w:t>vori o »nekim danima« obveznoga posta, su- nizam ustvrduje broj dana posta s 29 ili 30 da</w:t>
        <w:softHyphen/>
        <w:t>na, odnosno s cijelim mjesecom ramazanom. Utjecajna grana šijitskog islama - ismailili - ustrajavaju na samo tri dana posta, s čime se izgleda podudaraju kuranske izjave o nekim danima. Islamski p. znači potpuno suzdržava</w:t>
        <w:softHyphen/>
        <w:t>nje od jela, pića i svih drugih tjelesnih užitaka uključujući i pušenje i spolno općenje. P. za</w:t>
        <w:softHyphen/>
        <w:t>počinje s razdanjivanjem a završava u mrak. Pobožnom obredu mora prethoditi jasna na</w:t>
        <w:softHyphen/>
        <w:t>mjera da bude prihvaćen na temelju Božje za</w:t>
        <w:softHyphen/>
        <w:t>povijedi. Postiti su dužni svi odrasli, duhovno i tjelesno zdravi muslimani, i muškarci i žene.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Osim religioznoga p. ima i socijalni i etički aspekt. U ramazanu se daje obvezni vjerski prinos za siromašne </w:t>
      </w:r>
      <w:r>
        <w:rPr>
          <w:rFonts w:ascii="Times New Roman" w:eastAsia="Times New Roman" w:hAnsi="Times New Roman" w:cs="Times New Roman"/>
          <w:i/>
          <w:iCs/>
          <w:color w:val="000000"/>
          <w:spacing w:val="0"/>
          <w:w w:val="100"/>
          <w:position w:val="0"/>
          <w:shd w:val="clear" w:color="auto" w:fill="auto"/>
          <w:lang w:val="hr-HR" w:eastAsia="hr-HR" w:bidi="hr-HR"/>
        </w:rPr>
        <w:t>(zekat)</w:t>
      </w:r>
      <w:r>
        <w:rPr>
          <w:rFonts w:ascii="Times New Roman" w:eastAsia="Times New Roman" w:hAnsi="Times New Roman" w:cs="Times New Roman"/>
          <w:color w:val="000000"/>
          <w:spacing w:val="0"/>
          <w:w w:val="100"/>
          <w:position w:val="0"/>
          <w:shd w:val="clear" w:color="auto" w:fill="auto"/>
          <w:lang w:val="hr-HR" w:eastAsia="hr-HR" w:bidi="hr-HR"/>
        </w:rPr>
        <w:t xml:space="preserve"> i više nego inače udjeljuje se milostinja </w:t>
      </w:r>
      <w:r>
        <w:rPr>
          <w:rFonts w:ascii="Times New Roman" w:eastAsia="Times New Roman" w:hAnsi="Times New Roman" w:cs="Times New Roman"/>
          <w:i/>
          <w:iCs/>
          <w:color w:val="000000"/>
          <w:spacing w:val="0"/>
          <w:w w:val="100"/>
          <w:position w:val="0"/>
          <w:shd w:val="clear" w:color="auto" w:fill="auto"/>
          <w:lang w:val="hr-HR" w:eastAsia="hr-HR" w:bidi="hr-HR"/>
        </w:rPr>
        <w:t>(sadaka).</w:t>
      </w:r>
      <w:r>
        <w:rPr>
          <w:rFonts w:ascii="Times New Roman" w:eastAsia="Times New Roman" w:hAnsi="Times New Roman" w:cs="Times New Roman"/>
          <w:color w:val="000000"/>
          <w:spacing w:val="0"/>
          <w:w w:val="100"/>
          <w:position w:val="0"/>
          <w:shd w:val="clear" w:color="auto" w:fill="auto"/>
          <w:lang w:val="hr-HR" w:eastAsia="hr-HR" w:bidi="hr-HR"/>
        </w:rPr>
        <w:t xml:space="preserve"> Činjenje zlo</w:t>
        <w:softHyphen/>
        <w:t>djela poništava vrijednost ramazanskoga pos</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ta. </w:t>
      </w:r>
      <w:r>
        <w:rPr>
          <w:rFonts w:ascii="Times New Roman" w:eastAsia="Times New Roman" w:hAnsi="Times New Roman" w:cs="Times New Roman"/>
          <w:color w:val="000000"/>
          <w:spacing w:val="0"/>
          <w:w w:val="100"/>
          <w:position w:val="0"/>
          <w:shd w:val="clear" w:color="auto" w:fill="auto"/>
          <w:lang w:val="en-US" w:eastAsia="en-US" w:bidi="en-US"/>
        </w:rPr>
        <w:t xml:space="preserve">P. </w:t>
      </w:r>
      <w:r>
        <w:rPr>
          <w:rFonts w:ascii="Times New Roman" w:eastAsia="Times New Roman" w:hAnsi="Times New Roman" w:cs="Times New Roman"/>
          <w:color w:val="000000"/>
          <w:spacing w:val="0"/>
          <w:w w:val="100"/>
          <w:position w:val="0"/>
          <w:shd w:val="clear" w:color="auto" w:fill="auto"/>
          <w:lang w:val="hr-HR" w:eastAsia="hr-HR" w:bidi="hr-HR"/>
        </w:rPr>
        <w:t>uključuje i suzdržavanje od svih zlih na</w:t>
        <w:softHyphen/>
        <w:t>kana, prijestupa i nedjela. Povrh toga, korisno je provoditi vrijeme ramazana u meditiranju, šutnji i čitanju Kurana. U zadnjoj trećini ra</w:t>
        <w:softHyphen/>
        <w:t>mazana u svakoj se zajednici barem jedan po</w:t>
        <w:softHyphen/>
        <w:t>božan čovjek povlači u osamu kako bi se po</w:t>
        <w:softHyphen/>
        <w:t xml:space="preserve">svetio izučavanju Kurana. Zajednica se za to vrijeme skrbi za njega. Kao mjesto te klauzure </w:t>
      </w:r>
      <w:r>
        <w:rPr>
          <w:rFonts w:ascii="Times New Roman" w:eastAsia="Times New Roman" w:hAnsi="Times New Roman" w:cs="Times New Roman"/>
          <w:i/>
          <w:iCs/>
          <w:color w:val="000000"/>
          <w:spacing w:val="0"/>
          <w:w w:val="100"/>
          <w:position w:val="0"/>
          <w:shd w:val="clear" w:color="auto" w:fill="auto"/>
          <w:lang w:val="hr-HR" w:eastAsia="hr-HR" w:bidi="hr-HR"/>
        </w:rPr>
        <w:t>- itikafa (i'likaf) -</w:t>
      </w:r>
      <w:r>
        <w:rPr>
          <w:rFonts w:ascii="Times New Roman" w:eastAsia="Times New Roman" w:hAnsi="Times New Roman" w:cs="Times New Roman"/>
          <w:color w:val="000000"/>
          <w:spacing w:val="0"/>
          <w:w w:val="100"/>
          <w:position w:val="0"/>
          <w:shd w:val="clear" w:color="auto" w:fill="auto"/>
          <w:lang w:val="hr-HR" w:eastAsia="hr-HR" w:bidi="hr-HR"/>
        </w:rPr>
        <w:t xml:space="preserve"> služi jedna od mjesnih dža</w:t>
        <w:softHyphen/>
        <w:t>mija.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islamu je virulcntna predodžba da uzimanje hrane djeluje pozitivno ili negativno na razvoj osobnosti. Muhamedu se pripisuje izreka: »Želudac je izvor najčešćih bolesti«. Stoga se islam regulativno miješa u čovjekove hranid</w:t>
        <w:softHyphen/>
        <w:t>bene navike. Osnovno pravilo u Kuranu glasi: »Jedite i pijte a ne rasipajte! Zaista On ne voli rasipnike« (7,30). Ramazanski p. ima kome- morativni karakter: U ramazanu je bio objav</w:t>
        <w:softHyphen/>
        <w:t xml:space="preserve">ljen Kuran. Stoga religiozni osjećaji vjernika dobivaju u tom razdoblju poseban naglasak. U sjećanju na asketsku praksu proroka </w:t>
      </w:r>
      <w:r>
        <w:rPr>
          <w:rFonts w:ascii="Times New Roman" w:eastAsia="Times New Roman" w:hAnsi="Times New Roman" w:cs="Times New Roman"/>
          <w:i/>
          <w:iCs/>
          <w:color w:val="000000"/>
          <w:spacing w:val="0"/>
          <w:w w:val="100"/>
          <w:position w:val="0"/>
          <w:shd w:val="clear" w:color="auto" w:fill="auto"/>
          <w:lang w:val="hr-HR" w:eastAsia="hr-HR" w:bidi="hr-HR"/>
        </w:rPr>
        <w:t>Davi</w:t>
        <w:softHyphen/>
        <w:t xml:space="preserve">da </w:t>
      </w:r>
      <w:r>
        <w:rPr>
          <w:rFonts w:ascii="Times New Roman" w:eastAsia="Times New Roman" w:hAnsi="Times New Roman" w:cs="Times New Roman"/>
          <w:i/>
          <w:iCs/>
          <w:color w:val="000000"/>
          <w:spacing w:val="0"/>
          <w:w w:val="100"/>
          <w:position w:val="0"/>
          <w:shd w:val="clear" w:color="auto" w:fill="auto"/>
          <w:lang w:val="en-US" w:eastAsia="en-US" w:bidi="en-US"/>
        </w:rPr>
        <w:t>(Dawid)</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pobožni se muslimani drže tako</w:t>
        <w:softHyphen/>
        <w:t xml:space="preserve">zvanoga </w:t>
      </w:r>
      <w:r>
        <w:rPr>
          <w:rFonts w:ascii="Times New Roman" w:eastAsia="Times New Roman" w:hAnsi="Times New Roman" w:cs="Times New Roman"/>
          <w:i/>
          <w:iCs/>
          <w:color w:val="000000"/>
          <w:spacing w:val="0"/>
          <w:w w:val="100"/>
          <w:position w:val="0"/>
          <w:shd w:val="clear" w:color="auto" w:fill="auto"/>
          <w:lang w:val="en-US" w:eastAsia="en-US" w:bidi="en-US"/>
        </w:rPr>
        <w:t>Davidova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posta. On se sastoji u rit</w:t>
        <w:softHyphen/>
        <w:t>mičkoj izmjeni jednoga dana posta i jednoga dana prekida posta.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Dok p. u predindustrijsko doba nije predstav</w:t>
        <w:softHyphen/>
        <w:t>ljao nikakvo naročito opterećenje za vjernike, u životnim uvjetima industrijskoga društva on je postao težak problem. Prvi predsjednik Tu</w:t>
        <w:softHyphen/>
        <w:t xml:space="preserve">nisa, </w:t>
      </w:r>
      <w:r>
        <w:rPr>
          <w:rFonts w:ascii="Times New Roman" w:eastAsia="Times New Roman" w:hAnsi="Times New Roman" w:cs="Times New Roman"/>
          <w:color w:val="000000"/>
          <w:spacing w:val="0"/>
          <w:w w:val="100"/>
          <w:position w:val="0"/>
          <w:shd w:val="clear" w:color="auto" w:fill="auto"/>
          <w:lang w:val="en-US" w:eastAsia="en-US" w:bidi="en-US"/>
        </w:rPr>
        <w:t xml:space="preserve">Habib </w:t>
      </w:r>
      <w:r>
        <w:rPr>
          <w:rFonts w:ascii="Times New Roman" w:eastAsia="Times New Roman" w:hAnsi="Times New Roman" w:cs="Times New Roman"/>
          <w:color w:val="000000"/>
          <w:spacing w:val="0"/>
          <w:w w:val="100"/>
          <w:position w:val="0"/>
          <w:shd w:val="clear" w:color="auto" w:fill="auto"/>
          <w:lang w:val="hr-HR" w:eastAsia="hr-HR" w:bidi="hr-HR"/>
        </w:rPr>
        <w:t>Burgiba, pokušao je pozivajući se na nužnost nacionalne i religiozne izgradnje svesti broj dana posta na najmanju moguću mjeru, no ipak uzaludno. Islamski se učenjaci uvijek iznova bave pitanjem, mogu li se ra</w:t>
        <w:softHyphen/>
        <w:t>mazanskoga posta osloboditi barem radnici koji rade najteže poslove u teškoj industriji - recimo oni koji rade pokraj visokih peći. Jed</w:t>
        <w:softHyphen/>
        <w:t xml:space="preserve">na od najznačajnijih odluka </w:t>
      </w:r>
      <w:r>
        <w:rPr>
          <w:rFonts w:ascii="Times New Roman" w:eastAsia="Times New Roman" w:hAnsi="Times New Roman" w:cs="Times New Roman"/>
          <w:i/>
          <w:iCs/>
          <w:color w:val="000000"/>
          <w:spacing w:val="0"/>
          <w:w w:val="100"/>
          <w:position w:val="0"/>
          <w:shd w:val="clear" w:color="auto" w:fill="auto"/>
          <w:lang w:val="hr-HR" w:eastAsia="hr-HR" w:bidi="hr-HR"/>
        </w:rPr>
        <w:t>(fetva)</w:t>
      </w:r>
      <w:r>
        <w:rPr>
          <w:rFonts w:ascii="Times New Roman" w:eastAsia="Times New Roman" w:hAnsi="Times New Roman" w:cs="Times New Roman"/>
          <w:color w:val="000000"/>
          <w:spacing w:val="0"/>
          <w:w w:val="100"/>
          <w:position w:val="0"/>
          <w:shd w:val="clear" w:color="auto" w:fill="auto"/>
          <w:lang w:val="hr-HR" w:eastAsia="hr-HR" w:bidi="hr-HR"/>
        </w:rPr>
        <w:t xml:space="preserve"> o tome, jest ona koja je donesena prigodom među</w:t>
        <w:softHyphen/>
        <w:t>narodnog islamskog seminara u Annabi (Alžir) 1976. godine. Prema njoj, prekid posta u ramazanu dozvoljen je muslimanskim radni</w:t>
        <w:softHyphen/>
        <w:t>cima koji preko dana rade pokraj visokih peći, svakako uz obvezu da kasnije izvrše dužnost posta.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hanefitskoj pravnoj školi obveza posta otpada kada to na temelju liječničkoga nalaza u ovom ili onom slučaju štetno po zdravlje ili sprečava vjernika u izvršenju svoje dužnosti ili mu znatno otežava rad u polju ili u industriji. Dojilje, napušteni bolesnici, starci i putnici </w:t>
      </w:r>
      <w:r>
        <w:rPr>
          <w:rFonts w:ascii="Times New Roman" w:eastAsia="Times New Roman" w:hAnsi="Times New Roman" w:cs="Times New Roman"/>
          <w:color w:val="000000"/>
          <w:spacing w:val="0"/>
          <w:w w:val="100"/>
          <w:position w:val="0"/>
          <w:shd w:val="clear" w:color="auto" w:fill="auto"/>
          <w:lang w:val="hr-HR" w:eastAsia="hr-HR" w:bidi="hr-HR"/>
        </w:rPr>
        <w:t>također su oslobođeni dužnosti posta. Musli</w:t>
        <w:softHyphen/>
        <w:t>mani u ramazanu razvijaju dodatne oblike društvenoga života. U zajednici vlada blag</w:t>
        <w:softHyphen/>
        <w:t>danski ugođaj. Započinje ljudski pokušaj stva</w:t>
        <w:softHyphen/>
        <w:t>ranja rajskoga stanja.</w:t>
      </w:r>
    </w:p>
    <w:p>
      <w:pPr>
        <w:pStyle w:val="Style56"/>
        <w:keepNext w:val="0"/>
        <w:keepLines w:val="0"/>
        <w:widowControl w:val="0"/>
        <w:shd w:val="clear" w:color="auto" w:fill="auto"/>
        <w:bidi w:val="0"/>
        <w:spacing w:before="0" w:after="26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Sawn,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Htuizbvdnerbuch der Islam,</w:t>
      </w:r>
      <w:r>
        <w:rPr>
          <w:color w:val="000000"/>
          <w:spacing w:val="0"/>
          <w:w w:val="100"/>
          <w:position w:val="0"/>
          <w:shd w:val="clear" w:color="auto" w:fill="auto"/>
          <w:lang w:val="hr-HR" w:eastAsia="hr-HR" w:bidi="hr-HR"/>
        </w:rPr>
        <w:t xml:space="preserve"> Leidcn 1941,650-654; </w:t>
      </w:r>
      <w:r>
        <w:rPr>
          <w:color w:val="000000"/>
          <w:spacing w:val="0"/>
          <w:w w:val="100"/>
          <w:position w:val="0"/>
          <w:shd w:val="clear" w:color="auto" w:fill="auto"/>
        </w:rPr>
        <w:t xml:space="preserve">Klaus </w:t>
      </w:r>
      <w:r>
        <w:rPr>
          <w:color w:val="000000"/>
          <w:spacing w:val="0"/>
          <w:w w:val="100"/>
          <w:position w:val="0"/>
          <w:shd w:val="clear" w:color="auto" w:fill="auto"/>
          <w:lang w:val="hr-HR" w:eastAsia="hr-HR" w:bidi="hr-HR"/>
        </w:rPr>
        <w:t xml:space="preserve">Lcch, </w:t>
      </w:r>
      <w:r>
        <w:rPr>
          <w:i/>
          <w:iCs/>
          <w:color w:val="000000"/>
          <w:spacing w:val="0"/>
          <w:w w:val="100"/>
          <w:position w:val="0"/>
          <w:shd w:val="clear" w:color="auto" w:fill="auto"/>
          <w:lang w:val="hr-HR" w:eastAsia="hr-HR" w:bidi="hr-HR"/>
        </w:rPr>
        <w:t xml:space="preserve">Das </w:t>
      </w:r>
      <w:r>
        <w:rPr>
          <w:i/>
          <w:iCs/>
          <w:color w:val="000000"/>
          <w:spacing w:val="0"/>
          <w:w w:val="100"/>
          <w:position w:val="0"/>
          <w:shd w:val="clear" w:color="auto" w:fill="auto"/>
        </w:rPr>
        <w:t>Ramadan-Fasten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Wiesbaden </w:t>
      </w:r>
      <w:r>
        <w:rPr>
          <w:color w:val="000000"/>
          <w:spacing w:val="0"/>
          <w:w w:val="100"/>
          <w:position w:val="0"/>
          <w:shd w:val="clear" w:color="auto" w:fill="auto"/>
          <w:lang w:val="hr-HR" w:eastAsia="hr-HR" w:bidi="hr-HR"/>
        </w:rPr>
        <w:t xml:space="preserve">1979; </w:t>
      </w:r>
      <w:r>
        <w:rPr>
          <w:color w:val="000000"/>
          <w:spacing w:val="0"/>
          <w:w w:val="100"/>
          <w:position w:val="0"/>
          <w:shd w:val="clear" w:color="auto" w:fill="auto"/>
        </w:rPr>
        <w:t xml:space="preserve">Heinrich Wallnocfcr, Fasten heiBt nicht hungern und tut viclcn von uns gut. u* </w:t>
      </w:r>
      <w:r>
        <w:rPr>
          <w:i/>
          <w:iCs/>
          <w:color w:val="000000"/>
          <w:spacing w:val="0"/>
          <w:w w:val="100"/>
          <w:position w:val="0"/>
          <w:shd w:val="clear" w:color="auto" w:fill="auto"/>
        </w:rPr>
        <w:t>Express</w:t>
      </w:r>
      <w:r>
        <w:rPr>
          <w:color w:val="000000"/>
          <w:spacing w:val="0"/>
          <w:w w:val="100"/>
          <w:position w:val="0"/>
          <w:shd w:val="clear" w:color="auto" w:fill="auto"/>
        </w:rPr>
        <w:t xml:space="preserve"> (Wien) 1958,12,6. S. </w:t>
      </w:r>
      <w:r>
        <w:rPr>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POVIJEST</w:t>
      </w:r>
    </w:p>
    <w:p>
      <w:pPr>
        <w:pStyle w:val="Style63"/>
        <w:keepNext/>
        <w:keepLines/>
        <w:widowControl w:val="0"/>
        <w:numPr>
          <w:ilvl w:val="0"/>
          <w:numId w:val="423"/>
        </w:numPr>
        <w:shd w:val="clear" w:color="auto" w:fill="auto"/>
        <w:tabs>
          <w:tab w:pos="246" w:val="left"/>
        </w:tabs>
        <w:bidi w:val="0"/>
        <w:spacing w:before="0"/>
        <w:ind w:left="0" w:right="0" w:firstLine="0"/>
        <w:jc w:val="both"/>
      </w:pPr>
      <w:bookmarkStart w:id="264" w:name="bookmark264"/>
      <w:r>
        <w:rPr>
          <w:rFonts w:ascii="Times New Roman" w:eastAsia="Times New Roman" w:hAnsi="Times New Roman" w:cs="Times New Roman"/>
          <w:color w:val="000000"/>
          <w:spacing w:val="0"/>
          <w:w w:val="100"/>
          <w:position w:val="0"/>
          <w:shd w:val="clear" w:color="auto" w:fill="auto"/>
          <w:lang w:val="hr-HR" w:eastAsia="hr-HR" w:bidi="hr-HR"/>
        </w:rPr>
        <w:t>židovski</w:t>
      </w:r>
      <w:bookmarkEnd w:id="264"/>
    </w:p>
    <w:p>
      <w:pPr>
        <w:pStyle w:val="Style20"/>
        <w:keepNext w:val="0"/>
        <w:keepLines w:val="0"/>
        <w:widowControl w:val="0"/>
        <w:numPr>
          <w:ilvl w:val="0"/>
          <w:numId w:val="425"/>
        </w:numPr>
        <w:shd w:val="clear" w:color="auto" w:fill="auto"/>
        <w:tabs>
          <w:tab w:pos="270" w:val="left"/>
        </w:tabs>
        <w:bidi w:val="0"/>
        <w:spacing w:before="0" w:after="0"/>
        <w:ind w:left="0" w:right="0" w:firstLine="0"/>
        <w:jc w:val="both"/>
        <w:sectPr>
          <w:headerReference w:type="default" r:id="rId1099"/>
          <w:footerReference w:type="default" r:id="rId1100"/>
          <w:headerReference w:type="even" r:id="rId1101"/>
          <w:footerReference w:type="even" r:id="rId1102"/>
          <w:headerReference w:type="first" r:id="rId1103"/>
          <w:footerReference w:type="first" r:id="rId1104"/>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Pitanje prikaza izraelske povijesti dovodi nas na činjenicu da su u hebrejskoj Bibliji za</w:t>
        <w:softHyphen/>
        <w:t>jedno obrađeni okviri različitih sukcesivnih povijesnih događaja: Izrael je uvijek u novim verzijama iznosio svoje poimanje o sebi i o svijetu. Sjećanje na svoje oslobođenje iz egi</w:t>
        <w:softHyphen/>
        <w:t>patskoga sužanjstva, pozivanje na narod koji je Božja svojina s posebnim zakonom te od</w:t>
        <w:softHyphen/>
        <w:t>vođenje u Kanaan temeljni su elementi Tore. Događaje povezane s osvajanjem zemlje Iz</w:t>
        <w:softHyphen/>
        <w:t>rael je shvatio kao djela izvršena po Božjoj volji s obzirom na obećanje zemlje očevima (Jš 2-10). U davidovsko-salomonskom veli</w:t>
        <w:softHyphen/>
        <w:t>kom kraljevstvu on je spoznao da je velik na</w:t>
        <w:softHyphen/>
        <w:t>rod i veliko sjeme učinak Božjeg blagoslova i uvidio kako će svoju pravu veličinu steći tek onda kada kod njega drugi narodi nadu blago</w:t>
        <w:softHyphen/>
        <w:t>slov u stjecanju slobodnoga, plodnog života (Post 12,1—4a). Katastrofa u VI. stoljeću, koju obilježavaju tuđinska vlast, progonstvo, uniš</w:t>
        <w:softHyphen/>
        <w:t>tenje posljednje samostalne države, Hrama i propisanog bogoslužja, stvorila je novo povijesno stajalište, a to je izričito pozivanje preživjelih Izraelaca da se vrate Bogu, povijesnih susreta u vapaju njemu, u priznanju grijeha, u molitvi za spas i spremnosti za novu poslušnost (Suci 2,16; 3,9; 1 Sam 12,19; 1 Kr 8,47), u slušanju glasa Božjeg svim srcem (2 Kr 23,25; Pnz 4,30; 30,2.8.10). Jedan drugi obris povijesti odnosio se na doba nakon katastrofe: on obuhvaća Izraclovo političko-religijsko postojanje pred Bogom u opisu puta na kojem od vremena do vremena novi Božji propisi temelje i osigura</w:t>
        <w:softHyphen/>
        <w:t>vaju život Izraela i koji se svodi na bogoslužje, kojemu Bog daruje svoju prisutnost, i na pri</w:t>
        <w:softHyphen/>
        <w:t>nošenje žrtve s pokajničkim događajem veli</w:t>
        <w:softHyphen/>
        <w:t xml:space="preserve">koga Dana pomirenja na mjestu nazočnosti božanske pojave (Post 1,1-2,4a; lzl 29,43; 40,34;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16; 23,27; Br 28 i d.). U vlastitoj kon- </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ccpciji povijesti legitimirala se zajednica na</w:t>
        <w:softHyphen/>
        <w:t>kon izgnanstva između IV. i III. stoljeća pr. Kr. (1/2 Ljet, Ezr, Neh): posrijedi je bilo novo oživljavanje povijesti Boga sa svojim narodom, a ono čeka ispunjenje. Pričanje o prošlosti po</w:t>
        <w:softHyphen/>
        <w:t>novno se oblikovalo radi utemeljenja nade u još neostvareno. Različitim koncepcijama za</w:t>
        <w:softHyphen/>
        <w:t>jedničko je da Izrael opaža svoju zbilju kao svoj put od Boga i k Bogu u velikom dijalogu.</w:t>
      </w:r>
    </w:p>
    <w:p>
      <w:pPr>
        <w:pStyle w:val="Style20"/>
        <w:keepNext w:val="0"/>
        <w:keepLines w:val="0"/>
        <w:widowControl w:val="0"/>
        <w:numPr>
          <w:ilvl w:val="0"/>
          <w:numId w:val="425"/>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Razgovornom karakteru povijesti odgova</w:t>
        <w:softHyphen/>
        <w:t>rali su i jezični oblici izraelskih proroka: opo</w:t>
        <w:softHyphen/>
        <w:t xml:space="preserve">mena (Hoš 12,7;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 citat optuženika (Hoš 12,9; 2,7), monološko prikazivanje sa</w:t>
        <w:softHyphen/>
        <w:t xml:space="preserve">mog Boga sve od Egipta (Hoš 12,10; 13,4; usp. 11,1), disputacijski stil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 i verbalna realizacija buduće povijesti kao parnični pos</w:t>
        <w:softHyphen/>
        <w:t>tupak sa živim izmjenjivanjem preslušanja i obrane, optužbe i izricanja presude (Hoš 2,1-17; 4,1-4; 12,3). Proroci su otkrivali povijest kao djelo nadolazećeg Boga i time ustanovljavali kraj dosadašnje povijesti odnosa Boga i nje</w:t>
        <w:softHyphen/>
        <w:t xml:space="preserve">gova naroda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2,9 i d.; 3,1 i d.; 9,7; Hoš 2,16 i d.; 11,1.4; 12,10.14; 13,4). Sa svršetkom stare povijesti, koji je jednak povijesnom početku, treba doći do temeljnoga novog sus</w:t>
        <w:softHyphen/>
        <w:t>reta s Bogom na sudu, s novim Božjim od</w:t>
        <w:softHyphen/>
        <w:t xml:space="preserve">redbama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2,13-16; Hoš 2,8 i d., 14 i d.; 12,10.12). Jedinstvo povijesti spoznali su pro</w:t>
        <w:softHyphen/>
        <w:t>roci u istosti jednoga Boga koji se u prethod</w:t>
        <w:softHyphen/>
        <w:t>noj povijesti obraćao Izraelu i kojemu je Iz</w:t>
        <w:softHyphen/>
        <w:t>rael svojim djelovanjem bio odgovoran, a sada mu se objavljuje kao onaj koji dolazi i čiji se sud odnosi na Izraelovo djelovanje u sadaš</w:t>
        <w:softHyphen/>
        <w:t xml:space="preserve">njosti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2,6-8; Hoš 11,5.7; 12,1-8.15); iza stroge povezanosti pojedinih događaja u pro</w:t>
        <w:softHyphen/>
        <w:t>ročkoj riječi s cjelinom bilo je uvjerenje da je Bog ta spona (Hoš 12,3; 4,9). Izraelovi proroci objašnjavali su to u Bogu Izraelovu zaključe</w:t>
        <w:softHyphen/>
        <w:t xml:space="preserve">no jedinstvo prošle i buduće povijesti u svim područjima i vremenima kao kontinuitet ne- raskidiva životnog saveza (stoga usporedba s ljubavnom pričom u Hoš 2,4 i d. ili s odnosom otac sin u 11,1 i d.). Od povijesti izabranoga naroda, koja ostaje nerazmrsivo isprepletena s poviješću svijeta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2,6.9 usp. s 1,3-2,5) i koja je pogrešno shvaćena kao sakralna p. bez analogije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 može se raspoznati p. svi</w:t>
        <w:softHyphen/>
        <w:t xml:space="preserve">jeta u svojem kontinuitetu i finalitetu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1,3-2,5; 2,9; 9,7; Iz 10; Jr 27; Iz 45; Ez 36,23.36).</w:t>
      </w:r>
    </w:p>
    <w:p>
      <w:pPr>
        <w:pStyle w:val="Style20"/>
        <w:keepNext w:val="0"/>
        <w:keepLines w:val="0"/>
        <w:widowControl w:val="0"/>
        <w:numPr>
          <w:ilvl w:val="0"/>
          <w:numId w:val="425"/>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rabinskoj literaturi nedostaje glavna crta karakteristična za pisanje izraelske povijesti: </w:t>
      </w:r>
      <w:r>
        <w:rPr>
          <w:rFonts w:ascii="Times New Roman" w:eastAsia="Times New Roman" w:hAnsi="Times New Roman" w:cs="Times New Roman"/>
          <w:color w:val="000000"/>
          <w:spacing w:val="0"/>
          <w:w w:val="100"/>
          <w:position w:val="0"/>
          <w:shd w:val="clear" w:color="auto" w:fill="auto"/>
          <w:lang w:val="hr-HR" w:eastAsia="hr-HR" w:bidi="hr-HR"/>
        </w:rPr>
        <w:t>prikaz događaja povezanih s tijekom povijesti. Doduše, mnogo pripovjedačke građe u talmu- dima i midrašima zasniva se na povijesnim zbivanjima koja se tiču neposredno židovsko</w:t>
        <w:softHyphen/>
        <w:t>ga naroda; no, ta grada nije oblikovana u su</w:t>
        <w:softHyphen/>
        <w:t>vislo povezani prikaz. Taj nedostatak - u usporedbi s obrisima povijesti u Bibliji - od</w:t>
        <w:softHyphen/>
        <w:t>ražava političku situaciju u kojoj se našlo ži</w:t>
        <w:softHyphen/>
        <w:t>dovstvo u talmudskom razdoblju: ono više ni</w:t>
        <w:softHyphen/>
        <w:t>je stvaralo samo p. kao u prošlosti, nego je proživljavalo p. drugih naroda. Međutim, nje</w:t>
        <w:softHyphen/>
        <w:t>gov pogled na svjetsku p. temelji se na očeki</w:t>
        <w:softHyphen/>
        <w:t>vanju mesijanskoga kraljevstva Božjeg, koje treba uspostaviti, a to je očekivanje oduzelo težinu događajima iz suvremene povijesti. Ra</w:t>
        <w:softHyphen/>
        <w:t xml:space="preserve">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iz </w:t>
      </w:r>
      <w:r>
        <w:rPr>
          <w:rFonts w:ascii="Times New Roman" w:eastAsia="Times New Roman" w:hAnsi="Times New Roman" w:cs="Times New Roman"/>
          <w:color w:val="000000"/>
          <w:spacing w:val="0"/>
          <w:w w:val="100"/>
          <w:position w:val="0"/>
          <w:shd w:val="clear" w:color="auto" w:fill="auto"/>
          <w:lang w:val="en-US" w:eastAsia="en-US" w:bidi="en-US"/>
        </w:rPr>
        <w:t xml:space="preserve">Modiina </w:t>
      </w:r>
      <w:r>
        <w:rPr>
          <w:rFonts w:ascii="Times New Roman" w:eastAsia="Times New Roman" w:hAnsi="Times New Roman" w:cs="Times New Roman"/>
          <w:color w:val="000000"/>
          <w:spacing w:val="0"/>
          <w:w w:val="100"/>
          <w:position w:val="0"/>
          <w:shd w:val="clear" w:color="auto" w:fill="auto"/>
          <w:lang w:val="hr-HR" w:eastAsia="hr-HR" w:bidi="hr-HR"/>
        </w:rPr>
        <w:t>(II. stoljeće) rekao je: »Kada će propasti ime tih (Amalečana = Rim</w:t>
        <w:softHyphen/>
        <w:t>ljana)? U onom satu kada se iskorijeni samo idolopoklonstvo i njegovi sluge; tada će Bog biti jedini na svijetu i njegova kraljevska vlast na vijeke vjekova« (Mehilta Izl 17,14). Mjesto židovskoga pisanja povijesti, osuđenoga na šutnju, zauzeli su oblikovanje i diskusija »ogra</w:t>
        <w:softHyphen/>
        <w:t>de oko Tore« (M Avot 1,1). Sva nastojanja usmjerena na radikalnu pokornost Božjoj vo</w:t>
        <w:softHyphen/>
        <w:t xml:space="preserve">lji odnosila su se na taj cilj povijesti. Ona su trebala čovjeku, koji cijelim svojim životom »posvećuje i slavi« Boga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 18,5), omogućiti da odraste i sazri i time u svijetu sagraditi ideal čovjeka u sveopćoj vlasti Božjoj na zemlji. Rabini su bili svjesni prave prirode povijesti, pa su upravo zato mogli pojedine povijesne činjenice podčiniti svojoj svrsi i anegdotski ih oblikovati ili tipizirati (b Joma 69a; Menahot 109b; Bava batra 3b-4a;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55b-56b).</w:t>
      </w:r>
    </w:p>
    <w:p>
      <w:pPr>
        <w:pStyle w:val="Style20"/>
        <w:keepNext w:val="0"/>
        <w:keepLines w:val="0"/>
        <w:widowControl w:val="0"/>
        <w:numPr>
          <w:ilvl w:val="0"/>
          <w:numId w:val="425"/>
        </w:numPr>
        <w:shd w:val="clear" w:color="auto" w:fill="auto"/>
        <w:tabs>
          <w:tab w:pos="27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Shvaćanje povijesti, koje se temelji na svim biblijskim konceptima povijesti, ne kao dje</w:t>
        <w:softHyphen/>
        <w:t>lovanje Boga preko ljudi nego kao djelovanje između Boga i ljudi, svojim se oblikom dubo</w:t>
        <w:softHyphen/>
        <w:t>ko usadilo u tradicijsku literaturu: Rabi Akiva (I./II. stoljeće) hvalio je: »Čovjek je ljubimac (Božji), jer stvoren je na sliku«; međutim, kao Božju pravu ljubav hvalio je to što je Bog čo</w:t>
        <w:softHyphen/>
        <w:t>vjeku dao svijest o njegovoj sličnosti s Bogom: »... obznanjena mu je posebna ljubav zato što je stvoren na njegovu sliku« (M Avot 111,15). Čovjek ne može »biti kao Bog«, ali može za</w:t>
        <w:softHyphen/>
        <w:t>sigurno, u svoj toj nedokučivosti, svom sna</w:t>
        <w:softHyphen/>
        <w:t xml:space="preserve">gom svojega života, slijediti Boga (Pnz 11,22; 13,5; b </w:t>
      </w:r>
      <w:r>
        <w:rPr>
          <w:rFonts w:ascii="Times New Roman" w:eastAsia="Times New Roman" w:hAnsi="Times New Roman" w:cs="Times New Roman"/>
          <w:color w:val="000000"/>
          <w:spacing w:val="0"/>
          <w:w w:val="100"/>
          <w:position w:val="0"/>
          <w:shd w:val="clear" w:color="auto" w:fill="auto"/>
          <w:lang w:val="en-US" w:eastAsia="en-US" w:bidi="en-US"/>
        </w:rPr>
        <w:t xml:space="preserve">Sola </w:t>
      </w:r>
      <w:r>
        <w:rPr>
          <w:rFonts w:ascii="Times New Roman" w:eastAsia="Times New Roman" w:hAnsi="Times New Roman" w:cs="Times New Roman"/>
          <w:color w:val="000000"/>
          <w:spacing w:val="0"/>
          <w:w w:val="100"/>
          <w:position w:val="0"/>
          <w:shd w:val="clear" w:color="auto" w:fill="auto"/>
          <w:lang w:val="hr-HR" w:eastAsia="hr-HR" w:bidi="hr-HR"/>
        </w:rPr>
        <w:t>14a; Šifre Pnz 11,22), razviti sliku prema kojoj je stvoren i tako oponašati Boga,</w:t>
      </w:r>
    </w:p>
    <w:p>
      <w:pPr>
        <w:pStyle w:val="Style20"/>
        <w:keepNext w:val="0"/>
        <w:keepLines w:val="0"/>
        <w:widowControl w:val="0"/>
        <w:shd w:val="clear" w:color="auto" w:fill="auto"/>
        <w:tabs>
          <w:tab w:pos="3024"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»nalikovati svojem Stvoritelju« (Jalkut rc’u- beni Post 1,27). Na temelju svojevoljnosti koja mu je pripala čovjek se u svojem djelovanju može okrenuti prema Bogu i okrenuti od nje</w:t>
        <w:softHyphen/>
        <w:t>ga, djelovati protiv njega. Stoga biblijski re</w:t>
        <w:softHyphen/>
        <w:t>daktor izvješćima o nasilnicima u povijesti Iz</w:t>
        <w:softHyphen/>
        <w:t>raela (2 Kr 9 i d.; 11,1.16; 12,20-22) nije ospo</w:t>
        <w:softHyphen/>
        <w:t>rio pripadnost kanonu - ne zato što ih je sma</w:t>
        <w:softHyphen/>
        <w:t>trao »dostojnijima povijesti« od njihovih žrta</w:t>
        <w:softHyphen/>
        <w:t>va, nego prije stoga kako bi pažljive čitatelje Biblije poučio da shvate kako čovjeka u činje</w:t>
        <w:softHyphen/>
        <w:t>nju zla ne sprečava Bog nego sam čovjek koji svojim postupcima i ponašanjem odgovara na zahtjev Božji; kako se može dogoditi da onaj koji se ne »probije« u p. ne daje ispravan odgovor i u potaji prima neznatnu potvrdu koja ostaje neprepoznata (usp. s pjesmama o »božjem sluzi« i prozbenim psalmima poje</w:t>
        <w:softHyphen/>
        <w:t>dinca). Prema rabinskom tumačenju Pisma, čak šckinu (Božju prisutnost u povijesti) za</w:t>
        <w:softHyphen/>
        <w:t>desi tama i nevolja »progonstva«: »Bijah s va</w:t>
        <w:softHyphen/>
        <w:t>ma u (egipatskom) sužanjstvu. Bit ću s vama u sužanjstvu naroda« (b Berahot 9b). Božji po</w:t>
        <w:softHyphen/>
        <w:t>vijesni put nije »saglediv«. No, kako bi čovjek znao što mu je činiti, Izraelova je povijesna zapovijed: »Kraljevskoj pratnji dolikuje opo</w:t>
        <w:softHyphen/>
        <w:t xml:space="preserve">našati kralja«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w:t>
        <w:tab/>
        <w:t>■</w:t>
      </w:r>
    </w:p>
    <w:p>
      <w:pPr>
        <w:pStyle w:val="Style56"/>
        <w:keepNext w:val="0"/>
        <w:keepLines w:val="0"/>
        <w:widowControl w:val="0"/>
        <w:shd w:val="clear" w:color="auto" w:fill="auto"/>
        <w:tabs>
          <w:tab w:pos="2453"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R. Rcndtorff. </w:t>
      </w:r>
      <w:r>
        <w:rPr>
          <w:i/>
          <w:iCs/>
          <w:color w:val="000000"/>
          <w:spacing w:val="0"/>
          <w:w w:val="100"/>
          <w:position w:val="0"/>
          <w:shd w:val="clear" w:color="auto" w:fill="auto"/>
        </w:rPr>
        <w:t xml:space="preserve">Das </w:t>
      </w:r>
      <w:r>
        <w:rPr>
          <w:i/>
          <w:iCs/>
          <w:color w:val="000000"/>
          <w:spacing w:val="0"/>
          <w:w w:val="100"/>
          <w:position w:val="0"/>
          <w:shd w:val="clear" w:color="auto" w:fill="auto"/>
          <w:lang w:val="hr-HR" w:eastAsia="hr-HR" w:bidi="hr-HR"/>
        </w:rPr>
        <w:t xml:space="preserve">Alte Testament. Eine Einfuhrung, </w:t>
      </w:r>
      <w:r>
        <w:rPr>
          <w:color w:val="000000"/>
          <w:spacing w:val="0"/>
          <w:w w:val="100"/>
          <w:position w:val="0"/>
          <w:shd w:val="clear" w:color="auto" w:fill="auto"/>
          <w:lang w:val="hr-HR" w:eastAsia="hr-HR" w:bidi="hr-HR"/>
        </w:rPr>
        <w:t xml:space="preserve">1983.1-79; N. N. Glatžcr. </w:t>
      </w:r>
      <w:r>
        <w:rPr>
          <w:i/>
          <w:iCs/>
          <w:color w:val="000000"/>
          <w:spacing w:val="0"/>
          <w:w w:val="100"/>
          <w:position w:val="0"/>
          <w:shd w:val="clear" w:color="auto" w:fill="auto"/>
          <w:lang w:val="hr-HR" w:eastAsia="hr-HR" w:bidi="hr-HR"/>
        </w:rPr>
        <w:t xml:space="preserve">Geschichte der talmudischen Zeit,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1981; M. </w:t>
      </w:r>
      <w:r>
        <w:rPr>
          <w:color w:val="000000"/>
          <w:spacing w:val="0"/>
          <w:w w:val="100"/>
          <w:position w:val="0"/>
          <w:shd w:val="clear" w:color="auto" w:fill="auto"/>
        </w:rPr>
        <w:t xml:space="preserve">Buber,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Stunde </w:t>
      </w:r>
      <w:r>
        <w:rPr>
          <w:i/>
          <w:iCs/>
          <w:color w:val="000000"/>
          <w:spacing w:val="0"/>
          <w:w w:val="100"/>
          <w:position w:val="0"/>
          <w:shd w:val="clear" w:color="auto" w:fill="auto"/>
        </w:rPr>
        <w:t xml:space="preserve">und die Erkenntnis. Reden </w:t>
      </w:r>
      <w:r>
        <w:rPr>
          <w:i/>
          <w:iCs/>
          <w:color w:val="000000"/>
          <w:spacing w:val="0"/>
          <w:w w:val="100"/>
          <w:position w:val="0"/>
          <w:shd w:val="clear" w:color="auto" w:fill="auto"/>
          <w:lang w:val="hr-HR" w:eastAsia="hr-HR" w:bidi="hr-HR"/>
        </w:rPr>
        <w:t>und Aufsatze</w:t>
      </w:r>
      <w:r>
        <w:rPr>
          <w:color w:val="000000"/>
          <w:spacing w:val="0"/>
          <w:w w:val="100"/>
          <w:position w:val="0"/>
          <w:shd w:val="clear" w:color="auto" w:fill="auto"/>
          <w:lang w:val="hr-HR" w:eastAsia="hr-HR" w:bidi="hr-HR"/>
        </w:rPr>
        <w:t xml:space="preserve"> 1933,35; 1936, 27-34; L. </w:t>
      </w:r>
      <w:r>
        <w:rPr>
          <w:color w:val="000000"/>
          <w:spacing w:val="0"/>
          <w:w w:val="100"/>
          <w:position w:val="0"/>
          <w:shd w:val="clear" w:color="auto" w:fill="auto"/>
        </w:rPr>
        <w:t xml:space="preserve">Racck, </w:t>
      </w:r>
      <w:r>
        <w:rPr>
          <w:i/>
          <w:iCs/>
          <w:color w:val="000000"/>
          <w:spacing w:val="0"/>
          <w:w w:val="100"/>
          <w:position w:val="0"/>
          <w:shd w:val="clear" w:color="auto" w:fill="auto"/>
        </w:rPr>
        <w:t xml:space="preserve">Das Wesen des </w:t>
      </w:r>
      <w:r>
        <w:rPr>
          <w:i/>
          <w:iCs/>
          <w:color w:val="000000"/>
          <w:spacing w:val="0"/>
          <w:w w:val="100"/>
          <w:position w:val="0"/>
          <w:shd w:val="clear" w:color="auto" w:fill="auto"/>
          <w:lang w:val="hr-HR" w:eastAsia="hr-HR" w:bidi="hr-HR"/>
        </w:rPr>
        <w:t>Ju- denfums,&lt;'1960,92</w:t>
      </w:r>
      <w:r>
        <w:rPr>
          <w:color w:val="000000"/>
          <w:spacing w:val="0"/>
          <w:w w:val="100"/>
          <w:position w:val="0"/>
          <w:shd w:val="clear" w:color="auto" w:fill="auto"/>
          <w:lang w:val="hr-HR" w:eastAsia="hr-HR" w:bidi="hr-HR"/>
        </w:rPr>
        <w:t xml:space="preserve"> i d., 152 i d., 252 i d.</w:t>
        <w:tab/>
        <w:t xml:space="preserve">Đ, </w:t>
      </w:r>
      <w:r>
        <w:rPr>
          <w:color w:val="000000"/>
          <w:spacing w:val="0"/>
          <w:w w:val="100"/>
          <w:position w:val="0"/>
          <w:shd w:val="clear" w:color="auto" w:fill="auto"/>
        </w:rPr>
        <w:t>VETTER</w:t>
      </w:r>
    </w:p>
    <w:p>
      <w:pPr>
        <w:pStyle w:val="Style63"/>
        <w:keepNext/>
        <w:keepLines/>
        <w:widowControl w:val="0"/>
        <w:numPr>
          <w:ilvl w:val="0"/>
          <w:numId w:val="423"/>
        </w:numPr>
        <w:shd w:val="clear" w:color="auto" w:fill="auto"/>
        <w:tabs>
          <w:tab w:pos="260" w:val="left"/>
        </w:tabs>
        <w:bidi w:val="0"/>
        <w:spacing w:before="0" w:after="80"/>
        <w:ind w:left="0" w:right="0" w:firstLine="0"/>
        <w:jc w:val="both"/>
      </w:pPr>
      <w:bookmarkStart w:id="265" w:name="bookmark26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65"/>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je, objektivno gledano, razvojna povezanost mnogih događaja unutar kojih se mijenja za</w:t>
        <w:softHyphen/>
        <w:t>jednica - grad, država ili Crkva - ili pak čo</w:t>
        <w:softHyphen/>
        <w:t>vječanstvo kao cjelina. Subjektivno je p. zna</w:t>
        <w:softHyphen/>
        <w:t>nje o toj povezanosti, a u širem smislu i nje</w:t>
        <w:softHyphen/>
        <w:t>zino metodičko istraživanje i/ili prikazivanje. Oba su značenja upućena jedno na drugo i ne mogu se konačno rastaviti. Doduše, ono što je prošlo, objektivna je stvarnost, ali postaje p. tek kao predmet naše svijesti. Kada govorimo o pretpovijesti, mislimo na vrijeme neke kul</w:t>
        <w:softHyphen/>
        <w:t>ture bez pisanih spomenika. Razlika u odnosu na vrijeme s pisanom ostavštinom nije prven</w:t>
        <w:softHyphen/>
        <w:t>stveno u tome što pretpovijest - možda čak slučajno - ne pokazuje nikakva pisana svje</w:t>
        <w:softHyphen/>
        <w:t xml:space="preserve">dočanstva, pa je stoga manje točno možemo istraživati, nego u tome što ta epoha samu sebe upravo tako karakterizira da svoja djela </w:t>
      </w:r>
      <w:r>
        <w:rPr>
          <w:rFonts w:ascii="Times New Roman" w:eastAsia="Times New Roman" w:hAnsi="Times New Roman" w:cs="Times New Roman"/>
          <w:color w:val="000000"/>
          <w:spacing w:val="0"/>
          <w:w w:val="100"/>
          <w:position w:val="0"/>
          <w:shd w:val="clear" w:color="auto" w:fill="auto"/>
          <w:lang w:val="hr-HR" w:eastAsia="hr-HR" w:bidi="hr-HR"/>
        </w:rPr>
        <w:t>ne fiksira niti datira znakovima. Njezina su predaja mit i saga.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Činjenica da čovjek svoju p. ne samo čini nego i svjesno prihvaća te slobodno, makar ne pro</w:t>
        <w:softHyphen/>
        <w:t>izvoljno, dalje vodi, znači bez obzira na odnos prema povijesti koji je u tome izražen, pro</w:t>
        <w:softHyphen/>
        <w:t>mjenu same povijesti. - »Sloboda« ovdje znači da mu u nekoj konkretnoj situaciji stoje otvo</w:t>
        <w:softHyphen/>
        <w:t>rene različite mogućnosti akcije i/ili reakcije i da njegovi postupci ne predstavljaju veličinu koja nužno proizlazi iz koordinata prošlosti pa se zato unaprijed može izračunati. »Nepro- izvoljnost« znači da on svoje odluke mora do</w:t>
        <w:softHyphen/>
        <w:t>nositi u konkretnim i nezamjenjivim uvjetima i da mu svojstva što ih kao stvorenje ima po</w:t>
        <w:softHyphen/>
        <w:t>stavljaju određene granice. - Ovo stanje čo</w:t>
        <w:softHyphen/>
        <w:t>vjekova postojanja između prošlosti koja mu je uvijek nezavisno od njega predana, a koju ne može više mijenjati, i budućnosti, koju u stanovitim granicama slobodno treba obliko</w:t>
        <w:softHyphen/>
        <w:t xml:space="preserve">vati, pripada njegovu biću i naziva se </w:t>
      </w:r>
      <w:r>
        <w:rPr>
          <w:rFonts w:ascii="Times New Roman" w:eastAsia="Times New Roman" w:hAnsi="Times New Roman" w:cs="Times New Roman"/>
          <w:i/>
          <w:iCs/>
          <w:color w:val="000000"/>
          <w:spacing w:val="0"/>
          <w:w w:val="100"/>
          <w:position w:val="0"/>
          <w:shd w:val="clear" w:color="auto" w:fill="auto"/>
          <w:lang w:val="hr-HR" w:eastAsia="hr-HR" w:bidi="hr-HR"/>
        </w:rPr>
        <w:t>povijes</w:t>
        <w:softHyphen/>
        <w:t>nom.</w:t>
      </w:r>
      <w:r>
        <w:rPr>
          <w:rFonts w:ascii="Times New Roman" w:eastAsia="Times New Roman" w:hAnsi="Times New Roman" w:cs="Times New Roman"/>
          <w:color w:val="000000"/>
          <w:spacing w:val="0"/>
          <w:w w:val="100"/>
          <w:position w:val="0"/>
          <w:shd w:val="clear" w:color="auto" w:fill="auto"/>
          <w:lang w:val="hr-HR" w:eastAsia="hr-HR" w:bidi="hr-HR"/>
        </w:rPr>
        <w:t xml:space="preserve"> Tako čovjek prolazi vremenom ne kao statično i zauvijek dovršeno biće; dapače, on se prvo mora sam ostvariti dok, prihvaćajući svoju prošlost i suočavajući se s pitanjima sa</w:t>
        <w:softHyphen/>
        <w:t>dašnjosti, planira sebe za budućnost. Drugim riječima: čovjekova sadašnjost doživljava se kao događaj slobode u jedinstvu prošlosti koja mu je i oduzeta i ostavljena te budućnosti koja dolazi i nije još ostvarena.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toga su za pojedinca kao i za zajednicu moguća sljedeća pogrešna stanovišta: Nepri</w:t>
        <w:softHyphen/>
        <w:t>hvaćanje vlastite prošlosti je pokušaj da se zadaća koju postavlja prošlost riješi odbaciva</w:t>
        <w:softHyphen/>
        <w:t>njem same zadaće; u tom je smislu ona po</w:t>
        <w:softHyphen/>
        <w:t>tiskivanje.</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 se neostvarenost budućnosti, kojom se ne može raspolagati, plašljivo gurne na stranu i pokuša zamijeniti prisvajanjem, nastaje stav konzervativizma koji nastoji obnoviti prijašnje stanje. Naprotiv, gdje se odnos prema buduć</w:t>
        <w:softHyphen/>
        <w:t>nosti shvaća utopijski, sadašnjost sc degradira u golo gradilište budućnosti.</w:t>
      </w:r>
    </w:p>
    <w:p>
      <w:pPr>
        <w:pStyle w:val="Style20"/>
        <w:keepNext w:val="0"/>
        <w:keepLines w:val="0"/>
        <w:widowControl w:val="0"/>
        <w:shd w:val="clear" w:color="auto" w:fill="auto"/>
        <w:bidi w:val="0"/>
        <w:spacing w:before="0" w:after="0" w:line="254" w:lineRule="auto"/>
        <w:ind w:left="0" w:right="0" w:firstLine="0"/>
        <w:jc w:val="both"/>
        <w:sectPr>
          <w:headerReference w:type="default" r:id="rId1105"/>
          <w:footerReference w:type="default" r:id="rId1106"/>
          <w:headerReference w:type="even" r:id="rId1107"/>
          <w:footerReference w:type="even" r:id="rId1108"/>
          <w:headerReference w:type="first" r:id="rId1109"/>
          <w:footerReference w:type="first" r:id="rId1110"/>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Za teologiju je čovjekova povijesnost utoliko relevantna ukoliko postaje jasno da čovjek može svoje spasenje ostvariti samo u povijesti i nikako drugačije. I objava nepromjenljivoga Boga ne slijedi neovisno o prostoru i vremenu nego po konkretnim ljudima - po starozavjet</w:t>
        <w:softHyphen/>
        <w:t>nim prorocima i na kraju po Isusu iz Nazareta - na konkretnom jeziku i u konkretnoj situ</w:t>
        <w:softHyphen/>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aciji. U onome što je povijesno slučajno i je</w:t>
        <w:softHyphen/>
        <w:t>dinstveno biva očevidno ono što je Vječno Vrijedno, bolje reći, može zbog čovjekova na</w:t>
        <w:softHyphen/>
        <w:t>čina života samo na taj način biti objavljeno. S prosvjetiteljstvom počinje težnja za što toč</w:t>
        <w:softHyphen/>
        <w:t>nijim i objektivnijim istraživanjem prošlosti. Sustavno istraživanje prošlosti i njezino prika</w:t>
        <w:softHyphen/>
        <w:t xml:space="preserve">zivanje označavaju se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povijesna znanost. </w:t>
      </w:r>
      <w:r>
        <w:rPr>
          <w:rFonts w:ascii="Times New Roman" w:eastAsia="Times New Roman" w:hAnsi="Times New Roman" w:cs="Times New Roman"/>
          <w:color w:val="000000"/>
          <w:spacing w:val="0"/>
          <w:w w:val="100"/>
          <w:position w:val="0"/>
          <w:shd w:val="clear" w:color="auto" w:fill="auto"/>
          <w:lang w:val="hr-HR" w:eastAsia="hr-HR" w:bidi="hr-HR"/>
        </w:rPr>
        <w:t>Predmet povijesne znanosti bila je u vrijeme Rankca - najprije Europa i njezina prošlost. Pritom je zanimanje bilo pretežito usmjereno na političko-vojne događaje. Otada se polje u dvostrukom smislu promijenilo i preokrenulo. Danas se europska p. gleda i istražuje u kon</w:t>
        <w:softHyphen/>
        <w:t>tekstu univerzalnoga povijesnog zbivanja; pri</w:t>
        <w:softHyphen/>
        <w:t>tom s osobitim naglaskom pitamo - drugačije nego prije stotinu godina - o društvenim i go</w:t>
        <w:softHyphen/>
        <w:t>spodarstvenim pretpostavkama tih događaja. Povijesna znanost radi povijesno-kritičkom metodom, tj. ona je vezana uz izvore i može samo toliko reći o događajima, prilikama i osobama koliko ih je prije toga našla u izvo</w:t>
        <w:softHyphen/>
        <w:t>rima. Izvori - bilješke, zapisi, spomenici, slike i ostalo - moraju se potražiti, ispitati njihova autentičnost, istražiti njihov povijesni sadržaj i objaviti u zajamčenim tekstovima. Prvi cilj is</w:t>
        <w:softHyphen/>
        <w:t>traživanja je utvrđivanje povijesno zajamčenih datuma i činjenica. Oni tvore kostur svakoga povijesnog prikazivanja. Bez njihova zajamče</w:t>
        <w:softHyphen/>
        <w:t>nog poznavanja nesiguran je svaki daljnji ko</w:t>
        <w:softHyphen/>
        <w:t>rak. Pri svakom naporu da se postigne objek</w:t>
        <w:softHyphen/>
        <w:t>tivnost, što je vrijedno priznanja, ostaje i u po</w:t>
        <w:softHyphen/>
        <w:t>vijesnoj znanosti ostatak (nužno) subjektiv</w:t>
        <w:softHyphen/>
        <w:t>noga. Tako se između ostaloga ne smije elimi</w:t>
        <w:softHyphen/>
        <w:t>nirati autorovo i izdavačevo duhovno ozračje. No, čak i kad se u velikoj mjeri uspiju isključiti konfesionalna, politička ili nacionalna staja</w:t>
        <w:softHyphen/>
        <w:t>lišta, još uvijek povijesni prikaz nije čisto pri</w:t>
        <w:softHyphen/>
        <w:t>kazivanje činjenica. Već i kauzalno poveziva</w:t>
        <w:softHyphen/>
        <w:t>nje zajamčenih fakata, nalaz motiva kod oso</w:t>
        <w:softHyphen/>
        <w:t>ba koje su djelovale i s time povezan sud o državnim i crkvenim ličnostima, zadiru izvan utvrđenih činjenica. Oni se svode na pretpo</w:t>
        <w:softHyphen/>
        <w:t>stavke i procjene koje se ne mogu uzeti iz same povijesti. To vrijedi i za uporabu poj</w:t>
        <w:softHyphen/>
        <w:t>mova kao što su »procvat«, »propadanje«, »uspon«, »zloporaba«, »napredak« itd., poj</w:t>
        <w:softHyphen/>
        <w:t>mova kojima svima već u osnovi leže pre</w:t>
        <w:softHyphen/>
        <w:t>dodžbe o »ispravnoj državi« ili »ispravnoj Crkvi«. Ocjenjivanje činjenica i ličnosti mora biti dopušteno povjesničaru. No on mora na</w:t>
        <w:softHyphen/>
        <w:t xml:space="preserve">vesti svoje kriterije i uzimati u obzir da se </w:t>
      </w:r>
      <w:r>
        <w:rPr>
          <w:rFonts w:ascii="Times New Roman" w:eastAsia="Times New Roman" w:hAnsi="Times New Roman" w:cs="Times New Roman"/>
          <w:color w:val="000000"/>
          <w:spacing w:val="0"/>
          <w:w w:val="100"/>
          <w:position w:val="0"/>
          <w:shd w:val="clear" w:color="auto" w:fill="auto"/>
          <w:lang w:val="hr-HR" w:eastAsia="hr-HR" w:bidi="hr-HR"/>
        </w:rPr>
        <w:t>neko ponašanje iz prošlosti ne može mjeriti mjerilima iz sadašnjosti. Tako se pasivnost mnogih ljudi naspram nepravdi lijevih ili des</w:t>
        <w:softHyphen/>
        <w:t>nih diktatura ne može, zbog terora koji tamo vlada, mjeriti mjerilima demokratskih država. Takvim diferenciranim prosuđivanjem nipoš</w:t>
        <w:softHyphen/>
        <w:t>to se ne relativiziraju niti dokidaju zatajivanja i krivnje. Da povijesni prikazi duhovnog oz</w:t>
        <w:softHyphen/>
        <w:t>račja i predodžbe o autorovu cilju također od</w:t>
        <w:softHyphen/>
        <w:t>lučuju, danas je općenito priznato. No čak i u nekom besprijekornom izdanju izvora još uvi</w:t>
        <w:softHyphen/>
        <w:t>jek čuči ostatak subjektivnosti. Zašto je iza</w:t>
        <w:softHyphen/>
        <w:t xml:space="preserve">brao ovo područje - istraživač mora dopustiti da ga tako pitaju - a ne neko drugo? Zašto su npr. u godini 1983. (500. godišnjica rođenja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Luthcra) izdana ili ponovno tiskana tako mnoga izvorna djela iz vremena reforma- cije, da ne spomenemo velik broj Lutherovih životopisa?</w:t>
      </w:r>
    </w:p>
    <w:p>
      <w:pPr>
        <w:pStyle w:val="Style20"/>
        <w:keepNext w:val="0"/>
        <w:keepLines w:val="0"/>
        <w:widowControl w:val="0"/>
        <w:shd w:val="clear" w:color="auto" w:fill="auto"/>
        <w:bidi w:val="0"/>
        <w:spacing w:before="0" w:after="0"/>
        <w:ind w:left="0" w:right="0" w:firstLine="0"/>
        <w:jc w:val="both"/>
        <w:sectPr>
          <w:headerReference w:type="default" r:id="rId1111"/>
          <w:footerReference w:type="default" r:id="rId1112"/>
          <w:headerReference w:type="even" r:id="rId1113"/>
          <w:footerReference w:type="even" r:id="rId1114"/>
          <w:footnotePr>
            <w:pos w:val="pageBottom"/>
            <w:numFmt w:val="decimal"/>
            <w:numRestart w:val="continuous"/>
            <w15:footnoteColumns w:val="1"/>
          </w:footnotePr>
          <w:pgSz w:w="6816" w:h="11006"/>
          <w:pgMar w:top="975" w:left="189" w:right="196" w:bottom="532" w:header="0" w:footer="3" w:gutter="0"/>
          <w:pgNumType w:start="367"/>
          <w:cols w:num="2" w:space="15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Povijesna se znanost za istraživanje povijesti služi ostalim - sa svoga gledišta - pomoćnim znanostima. Tu se između ostaloga ubrajaju: paleologija, kronologija, genealogija, nauka o ispravama, pečatima, novčanicama i grbovi</w:t>
        <w:softHyphen/>
        <w:t>ma. - Brzina kojom danas živimo i proširenje povijesne znanosti na gotovo sva područja ljudskoga života - između ostaloga na kultu</w:t>
        <w:softHyphen/>
        <w:t>ru, literaturu, gospodarstvo, pravo, religiju - dovelo je počam od XIX. stoljeća do podjele povijesne znanosti na mnoga pojedinačna pod</w:t>
        <w:softHyphen/>
        <w:t xml:space="preserve">ručja istraživanja. Njima pripada </w:t>
      </w:r>
      <w:r>
        <w:rPr>
          <w:rFonts w:ascii="Times New Roman" w:eastAsia="Times New Roman" w:hAnsi="Times New Roman" w:cs="Times New Roman"/>
          <w:i/>
          <w:iCs/>
          <w:color w:val="000000"/>
          <w:spacing w:val="0"/>
          <w:w w:val="100"/>
          <w:position w:val="0"/>
          <w:shd w:val="clear" w:color="auto" w:fill="auto"/>
          <w:lang w:val="hr-HR" w:eastAsia="hr-HR" w:bidi="hr-HR"/>
        </w:rPr>
        <w:t xml:space="preserve">crkvena p. </w:t>
      </w:r>
      <w:r>
        <w:rPr>
          <w:rFonts w:ascii="Times New Roman" w:eastAsia="Times New Roman" w:hAnsi="Times New Roman" w:cs="Times New Roman"/>
          <w:color w:val="000000"/>
          <w:spacing w:val="0"/>
          <w:w w:val="100"/>
          <w:position w:val="0"/>
          <w:shd w:val="clear" w:color="auto" w:fill="auto"/>
          <w:lang w:val="hr-HR" w:eastAsia="hr-HR" w:bidi="hr-HR"/>
        </w:rPr>
        <w:t>kao nipošto najmanje važno područje. Ona je, kako je danas poznajemo, dijete prosvjetitelj</w:t>
        <w:softHyphen/>
        <w:t>stva. I ona se služi povijesno-kritičkim meto</w:t>
        <w:softHyphen/>
        <w:t>dama, a u svojim je priznatim rezultatima uvažena isto tako kao i profana povijesna zna</w:t>
        <w:softHyphen/>
        <w:t>nost. U manje znanstvenom obliku crkvena je p. ipak starija. Već je evanđelist Luka - teo</w:t>
        <w:softHyphen/>
        <w:t>loški motivirano - pokušao uključiti u okvir svjetske povijesti Isusov život i smrt, njegovo uskrsnuće i njegov daljnji život u Crkvi. Svo</w:t>
        <w:softHyphen/>
        <w:t>jim shvaćanjem povijesti mogao se osloniti na SZ u kojem je - koliko danas znamo - prvi put opisana p. jednog naroda kao -&gt; p. spasenja. »Ocem crkvene povijesti« postao je biskup Euzcbijc Cczarcjski (u. 339) svojom crkvenom poviješću koju je najprije zamislio u 7 svezaka, a nakon pobjede cara Konstantina proširio ju je na 10 svezaka. On je započinje jednim pro</w:t>
        <w:softHyphen/>
        <w:t>gramom: »Odlučio sam u ovom zapisu izvijes</w:t>
        <w:softHyphen/>
        <w:t>titi o nasljednicima svetih apostola, o vreme</w:t>
        <w:softHyphen/>
        <w:t xml:space="preserve">nima koja su protekla od našeg Otkupitelja pa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 do nas, o brojnim velikim događajima crkvene povijesti, o svim sjajnim vođama i predstojnicima . ..«Tako je on otprilike nago</w:t>
        <w:softHyphen/>
        <w:t>vijestio predmet crkvene povijesti. To je p. crkvenog i religioznog života od Isusa do da</w:t>
        <w:softHyphen/>
        <w:t>nas. Euzebijeva crkvena p. nije tijekom sred</w:t>
        <w:softHyphen/>
        <w:t>njega vijeka našla nijednog oponašatelja. Sve do humanizma/reformacije vladali su s gledišta povijesti spasenja, spomenut ćemo samo naj</w:t>
        <w:softHyphen/>
        <w:t xml:space="preserve">važnije, zapisi koncipirani kao </w:t>
      </w:r>
      <w:r>
        <w:rPr>
          <w:rFonts w:ascii="Times New Roman" w:eastAsia="Times New Roman" w:hAnsi="Times New Roman" w:cs="Times New Roman"/>
          <w:i/>
          <w:iCs/>
          <w:color w:val="000000"/>
          <w:spacing w:val="0"/>
          <w:w w:val="100"/>
          <w:position w:val="0"/>
          <w:shd w:val="clear" w:color="auto" w:fill="auto"/>
          <w:lang w:val="hr-HR" w:eastAsia="hr-HR" w:bidi="hr-HR"/>
        </w:rPr>
        <w:t>Država Božja (De civilate Dei,</w:t>
      </w:r>
      <w:r>
        <w:rPr>
          <w:rFonts w:ascii="Times New Roman" w:eastAsia="Times New Roman" w:hAnsi="Times New Roman" w:cs="Times New Roman"/>
          <w:color w:val="000000"/>
          <w:spacing w:val="0"/>
          <w:w w:val="100"/>
          <w:position w:val="0"/>
          <w:shd w:val="clear" w:color="auto" w:fill="auto"/>
          <w:lang w:val="hr-HR" w:eastAsia="hr-HR" w:bidi="hr-HR"/>
        </w:rPr>
        <w:t xml:space="preserve"> napisana 413-26) jednog Au- gustina i </w:t>
      </w:r>
      <w:r>
        <w:rPr>
          <w:rFonts w:ascii="Times New Roman" w:eastAsia="Times New Roman" w:hAnsi="Times New Roman" w:cs="Times New Roman"/>
          <w:i/>
          <w:iCs/>
          <w:color w:val="000000"/>
          <w:spacing w:val="0"/>
          <w:w w:val="100"/>
          <w:position w:val="0"/>
          <w:shd w:val="clear" w:color="auto" w:fill="auto"/>
          <w:lang w:val="hr-HR" w:eastAsia="hr-HR" w:bidi="hr-HR"/>
        </w:rPr>
        <w:t>Geschichie der beiden Reiche</w:t>
      </w:r>
      <w:r>
        <w:rPr>
          <w:rFonts w:ascii="Times New Roman" w:eastAsia="Times New Roman" w:hAnsi="Times New Roman" w:cs="Times New Roman"/>
          <w:color w:val="000000"/>
          <w:spacing w:val="0"/>
          <w:w w:val="100"/>
          <w:position w:val="0"/>
          <w:shd w:val="clear" w:color="auto" w:fill="auto"/>
          <w:lang w:val="hr-HR" w:eastAsia="hr-HR" w:bidi="hr-HR"/>
        </w:rPr>
        <w:t xml:space="preserve"> Otta von Freisinga (u. 1185). Tu je jednoznačno riječ o filozofiji povijesti ili o teologiji povi</w:t>
        <w:softHyphen/>
        <w:t>jesti.</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Vrijeme reformacije izvuklo je korist iz rada humanista koji je imao program: »Ad fontes« = »Natrag k izvorima«. Šanse egzaktnog pi</w:t>
        <w:softHyphen/>
        <w:t>sanja povijesti bile su ipak u velikoj mjeri pro</w:t>
        <w:softHyphen/>
        <w:t>igrane zbog apologetičke težnje s kojom je ve</w:t>
        <w:softHyphen/>
        <w:t>ćina djela bila objavljena. Crkvena se p. koris</w:t>
        <w:softHyphen/>
        <w:t>tila kao kamenolom; morala je pružati građu za opravdavanje vlastitog shvaćanja i za bla</w:t>
        <w:softHyphen/>
        <w:t>ćenje protivnika. Nije bio niti jest beznačajan za vrstu prikaza pojam Crkve koji se nalazi u osnovi cjeline. On je uvijek povezan uz načelo koje nadmašuje svekoliko znanstveno iskus</w:t>
        <w:softHyphen/>
        <w:t>tvo, a ovisi o prethodnom teološkom shvaća</w:t>
        <w:softHyphen/>
        <w:t>nju. Uza sve približavanje evangeličkih i kato</w:t>
        <w:softHyphen/>
        <w:t>ličkih stavova, ne mogu se zanemariti ni kat</w:t>
        <w:softHyphen/>
        <w:t>kada vrlo malene različitosti. To nije nevažno, jer se shvaćanje crkvene povijesti nužno mi</w:t>
        <w:softHyphen/>
        <w:t>jenja, ako pod Crkvom vidimo čisto sociološ</w:t>
        <w:softHyphen/>
        <w:t>ku veličinu, čisto Crkvu Duha ili instituciju koju je Bog utemeljio, a ljudi je stoljećima pronose. Lutherovu sliku Crkve, npr., odredilo je uvjerenje da je pravo biblijsko učenje o spa</w:t>
        <w:softHyphen/>
        <w:t>senju stoljećima bilo patvoreno krivnjom papa i srednjovjekovnih teologa, pa da je reforma moguća samo u smislu povratka na staro. Ko</w:t>
        <w:softHyphen/>
        <w:t>liko god se kod svih reformi, koje su nepre</w:t>
        <w:softHyphen/>
        <w:t>stano nužne, mora uzimati u obzir izvor Crkve, bilo bi ipak pogrešno - u smislu povi- jesnosti - kad bi se na Crkvu gledalo kao na jednom utemeljenu i za sva vremena dovršenu veličinu. Ako je Crkva - ostanimo kod po</w:t>
        <w:softHyphen/>
        <w:t>znate kao i omiljene slike - lađa koju je Isus dovršenu predao apostolima i kod koje se u najboljem slučaju nakon oluje obnavlja pode</w:t>
        <w:softHyphen/>
        <w:t>rano jedro ili nakon duge plovidbe namaz bo</w:t>
        <w:softHyphen/>
        <w:t xml:space="preserve">je, tada ta Crkva nema pravu p. U njezinu se </w:t>
      </w:r>
      <w:r>
        <w:rPr>
          <w:rFonts w:ascii="Times New Roman" w:eastAsia="Times New Roman" w:hAnsi="Times New Roman" w:cs="Times New Roman"/>
          <w:color w:val="000000"/>
          <w:spacing w:val="0"/>
          <w:w w:val="100"/>
          <w:position w:val="0"/>
          <w:shd w:val="clear" w:color="auto" w:fill="auto"/>
          <w:lang w:val="hr-HR" w:eastAsia="hr-HR" w:bidi="hr-HR"/>
        </w:rPr>
        <w:t>naime bit kao povijesne veličine ubraja upravo i njezina promjenljivost. Drugim riječima - ostanimo i dalje kod navedene slike: čamac Pe</w:t>
        <w:softHyphen/>
        <w:t>tra, ribara ljudi, ako okolnosti to zahtijevaju, smije biti pregrađen u dobru lađu s tri jarbola ili čak u moderan parobrod, jer i Crkva ima udjela u povijesnosti, dakle u prošlosti koju su kršćani zatekli i u budućnosti koja se početno treba izgrađivati u sadašnjosti.</w:t>
      </w:r>
    </w:p>
    <w:p>
      <w:pPr>
        <w:pStyle w:val="Style56"/>
        <w:keepNext w:val="0"/>
        <w:keepLines w:val="0"/>
        <w:widowControl w:val="0"/>
        <w:shd w:val="clear" w:color="auto" w:fill="auto"/>
        <w:tabs>
          <w:tab w:pos="2491" w:val="left"/>
        </w:tabs>
        <w:bidi w:val="0"/>
        <w:spacing w:before="0" w:after="340" w:line="240" w:lineRule="auto"/>
        <w:ind w:left="0" w:right="0" w:firstLine="0"/>
        <w:jc w:val="both"/>
      </w:pPr>
      <w:r>
        <w:rPr>
          <w:color w:val="000000"/>
          <w:spacing w:val="0"/>
          <w:w w:val="100"/>
          <w:position w:val="0"/>
          <w:shd w:val="clear" w:color="auto" w:fill="auto"/>
          <w:lang w:val="hr-HR" w:eastAsia="hr-HR" w:bidi="hr-HR"/>
        </w:rPr>
        <w:t xml:space="preserve">Lit.; K. Adam, Das Problem des Gcschichtikhcn im </w:t>
      </w:r>
      <w:r>
        <w:rPr>
          <w:color w:val="000000"/>
          <w:spacing w:val="0"/>
          <w:w w:val="100"/>
          <w:position w:val="0"/>
          <w:shd w:val="clear" w:color="auto" w:fill="auto"/>
        </w:rPr>
        <w:t xml:space="preserve">Ixbcn </w:t>
      </w:r>
      <w:r>
        <w:rPr>
          <w:color w:val="000000"/>
          <w:spacing w:val="0"/>
          <w:w w:val="100"/>
          <w:position w:val="0"/>
          <w:shd w:val="clear" w:color="auto" w:fill="auto"/>
          <w:lang w:val="hr-HR" w:eastAsia="hr-HR" w:bidi="hr-HR"/>
        </w:rPr>
        <w:t xml:space="preserve">dcr Kirchc, u: </w:t>
      </w:r>
      <w:r>
        <w:rPr>
          <w:i/>
          <w:iCs/>
          <w:color w:val="000000"/>
          <w:spacing w:val="0"/>
          <w:w w:val="100"/>
          <w:position w:val="0"/>
          <w:shd w:val="clear" w:color="auto" w:fill="auto"/>
        </w:rPr>
        <w:t>Theoloffsche Quanalschrift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128 (1948), 257-300; </w:t>
      </w:r>
      <w:r>
        <w:rPr>
          <w:color w:val="000000"/>
          <w:spacing w:val="0"/>
          <w:w w:val="100"/>
          <w:position w:val="0"/>
          <w:shd w:val="clear" w:color="auto" w:fill="auto"/>
        </w:rPr>
        <w:t xml:space="preserve">A. Brunner, </w:t>
      </w:r>
      <w:r>
        <w:rPr>
          <w:i/>
          <w:iCs/>
          <w:color w:val="000000"/>
          <w:spacing w:val="0"/>
          <w:w w:val="100"/>
          <w:position w:val="0"/>
          <w:shd w:val="clear" w:color="auto" w:fill="auto"/>
        </w:rPr>
        <w:t>Geschichtiichke.it</w:t>
      </w:r>
      <w:r>
        <w:rPr>
          <w:color w:val="000000"/>
          <w:spacing w:val="0"/>
          <w:w w:val="100"/>
          <w:position w:val="0"/>
          <w:shd w:val="clear" w:color="auto" w:fill="auto"/>
          <w:lang w:val="hr-HR" w:eastAsia="hr-HR" w:bidi="hr-HR"/>
        </w:rPr>
        <w:t xml:space="preserve">, BcrrvMiinchcn 1961; J. </w:t>
      </w:r>
      <w:r>
        <w:rPr>
          <w:color w:val="000000"/>
          <w:spacing w:val="0"/>
          <w:w w:val="100"/>
          <w:position w:val="0"/>
          <w:shd w:val="clear" w:color="auto" w:fill="auto"/>
        </w:rPr>
        <w:t xml:space="preserve">Chamborn, </w:t>
      </w:r>
      <w:r>
        <w:rPr>
          <w:i/>
          <w:iCs/>
          <w:color w:val="000000"/>
          <w:spacing w:val="0"/>
          <w:w w:val="100"/>
          <w:position w:val="0"/>
          <w:shd w:val="clear" w:color="auto" w:fill="auto"/>
        </w:rPr>
        <w:t xml:space="preserve">Was </w:t>
      </w:r>
      <w:r>
        <w:rPr>
          <w:i/>
          <w:iCs/>
          <w:color w:val="000000"/>
          <w:spacing w:val="0"/>
          <w:w w:val="100"/>
          <w:position w:val="0"/>
          <w:shd w:val="clear" w:color="auto" w:fill="auto"/>
          <w:lang w:val="hr-HR" w:eastAsia="hr-HR" w:bidi="hr-HR"/>
        </w:rPr>
        <w:t xml:space="preserve">ist Kirchengeschichte? Massstabe und Ein- </w:t>
      </w:r>
      <w:r>
        <w:rPr>
          <w:i/>
          <w:iCs/>
          <w:color w:val="000000"/>
          <w:spacing w:val="0"/>
          <w:w w:val="100"/>
          <w:position w:val="0"/>
          <w:shd w:val="clear" w:color="auto" w:fill="auto"/>
        </w:rPr>
        <w:t>sichien,</w:t>
      </w:r>
      <w:r>
        <w:rPr>
          <w:color w:val="000000"/>
          <w:spacing w:val="0"/>
          <w:w w:val="100"/>
          <w:position w:val="0"/>
          <w:shd w:val="clear" w:color="auto" w:fill="auto"/>
        </w:rPr>
        <w:t xml:space="preserve"> Gottingen </w:t>
      </w:r>
      <w:r>
        <w:rPr>
          <w:color w:val="000000"/>
          <w:spacing w:val="0"/>
          <w:w w:val="100"/>
          <w:position w:val="0"/>
          <w:shd w:val="clear" w:color="auto" w:fill="auto"/>
          <w:lang w:val="hr-HR" w:eastAsia="hr-HR" w:bidi="hr-HR"/>
        </w:rPr>
        <w:t xml:space="preserve">1957; H. Jcdin, Einlcitung </w:t>
      </w:r>
      <w:r>
        <w:rPr>
          <w:color w:val="000000"/>
          <w:spacing w:val="0"/>
          <w:w w:val="100"/>
          <w:position w:val="0"/>
          <w:shd w:val="clear" w:color="auto" w:fill="auto"/>
        </w:rPr>
        <w:t xml:space="preserve">in die </w:t>
      </w:r>
      <w:r>
        <w:rPr>
          <w:color w:val="000000"/>
          <w:spacing w:val="0"/>
          <w:w w:val="100"/>
          <w:position w:val="0"/>
          <w:shd w:val="clear" w:color="auto" w:fill="auto"/>
          <w:lang w:val="hr-HR" w:eastAsia="hr-HR" w:bidi="hr-HR"/>
        </w:rPr>
        <w:t xml:space="preserve">Kir- chcngcschichtc. u: H. Jcdin (Hrsg.), </w:t>
      </w:r>
      <w:r>
        <w:rPr>
          <w:i/>
          <w:iCs/>
          <w:color w:val="000000"/>
          <w:spacing w:val="0"/>
          <w:w w:val="100"/>
          <w:position w:val="0"/>
          <w:shd w:val="clear" w:color="auto" w:fill="auto"/>
          <w:lang w:val="hr-HR" w:eastAsia="hr-HR" w:bidi="hr-HR"/>
        </w:rPr>
        <w:t>Handbuch der Kir</w:t>
        <w:softHyphen/>
        <w:t>chengeschichte,</w:t>
      </w:r>
      <w:r>
        <w:rPr>
          <w:color w:val="000000"/>
          <w:spacing w:val="0"/>
          <w:w w:val="100"/>
          <w:position w:val="0"/>
          <w:shd w:val="clear" w:color="auto" w:fill="auto"/>
          <w:lang w:val="hr-HR" w:eastAsia="hr-HR" w:bidi="hr-HR"/>
        </w:rPr>
        <w:t xml:space="preserve"> Bd.!,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*1965, 1—55; O. </w:t>
      </w:r>
      <w:r>
        <w:rPr>
          <w:color w:val="000000"/>
          <w:spacing w:val="0"/>
          <w:w w:val="100"/>
          <w:position w:val="0"/>
          <w:shd w:val="clear" w:color="auto" w:fill="auto"/>
        </w:rPr>
        <w:t xml:space="preserve">Kohler: </w:t>
      </w:r>
      <w:r>
        <w:rPr>
          <w:color w:val="000000"/>
          <w:spacing w:val="0"/>
          <w:w w:val="100"/>
          <w:position w:val="0"/>
          <w:shd w:val="clear" w:color="auto" w:fill="auto"/>
          <w:lang w:val="hr-HR" w:eastAsia="hr-HR" w:bidi="hr-HR"/>
        </w:rPr>
        <w:t xml:space="preserve">Dcr Gcgcnstand dcr Kirchengeschichte, u: </w:t>
      </w:r>
      <w:r>
        <w:rPr>
          <w:i/>
          <w:iCs/>
          <w:color w:val="000000"/>
          <w:spacing w:val="0"/>
          <w:w w:val="100"/>
          <w:position w:val="0"/>
          <w:shd w:val="clear" w:color="auto" w:fill="auto"/>
          <w:lang w:val="hr-HR" w:eastAsia="hr-HR" w:bidi="hr-HR"/>
        </w:rPr>
        <w:t xml:space="preserve">Hisiorisches Jahrbuch </w:t>
      </w:r>
      <w:r>
        <w:rPr>
          <w:color w:val="000000"/>
          <w:spacing w:val="0"/>
          <w:w w:val="100"/>
          <w:position w:val="0"/>
          <w:shd w:val="clear" w:color="auto" w:fill="auto"/>
          <w:lang w:val="hr-HR" w:eastAsia="hr-HR" w:bidi="hr-HR"/>
        </w:rPr>
        <w:t xml:space="preserve">77 (1958), 254-269; R. Kottjc (Hrsg.), </w:t>
      </w:r>
      <w:r>
        <w:rPr>
          <w:i/>
          <w:iCs/>
          <w:color w:val="000000"/>
          <w:spacing w:val="0"/>
          <w:w w:val="100"/>
          <w:position w:val="0"/>
          <w:shd w:val="clear" w:color="auto" w:fill="auto"/>
          <w:lang w:val="hr-HR" w:eastAsia="hr-HR" w:bidi="hr-HR"/>
        </w:rPr>
        <w:t xml:space="preserve">Kirchengeschichte heute, </w:t>
      </w:r>
      <w:r>
        <w:rPr>
          <w:i/>
          <w:iCs/>
          <w:color w:val="000000"/>
          <w:spacing w:val="0"/>
          <w:w w:val="100"/>
          <w:position w:val="0"/>
          <w:shd w:val="clear" w:color="auto" w:fill="auto"/>
        </w:rPr>
        <w:t xml:space="preserve">Geschichtswissenschaft </w:t>
      </w:r>
      <w:r>
        <w:rPr>
          <w:i/>
          <w:iCs/>
          <w:color w:val="000000"/>
          <w:spacing w:val="0"/>
          <w:w w:val="100"/>
          <w:position w:val="0"/>
          <w:shd w:val="clear" w:color="auto" w:fill="auto"/>
          <w:lang w:val="hr-HR" w:eastAsia="hr-HR" w:bidi="hr-HR"/>
        </w:rPr>
        <w:t xml:space="preserve">oder </w:t>
      </w:r>
      <w:r>
        <w:rPr>
          <w:i/>
          <w:iCs/>
          <w:color w:val="000000"/>
          <w:spacing w:val="0"/>
          <w:w w:val="100"/>
          <w:position w:val="0"/>
          <w:shd w:val="clear" w:color="auto" w:fill="auto"/>
        </w:rPr>
        <w:t>Theologie, Trier</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1970; F. Mcincckc, </w:t>
      </w:r>
      <w:r>
        <w:rPr>
          <w:i/>
          <w:iCs/>
          <w:color w:val="000000"/>
          <w:spacing w:val="0"/>
          <w:w w:val="100"/>
          <w:position w:val="0"/>
          <w:shd w:val="clear" w:color="auto" w:fill="auto"/>
          <w:lang w:val="hr-HR" w:eastAsia="hr-HR" w:bidi="hr-HR"/>
        </w:rPr>
        <w:t xml:space="preserve">Zur Theologie </w:t>
      </w:r>
      <w:r>
        <w:rPr>
          <w:i/>
          <w:iCs/>
          <w:color w:val="000000"/>
          <w:spacing w:val="0"/>
          <w:w w:val="100"/>
          <w:position w:val="0"/>
          <w:shd w:val="clear" w:color="auto" w:fill="auto"/>
        </w:rPr>
        <w:t xml:space="preserve">und Philosophic </w:t>
      </w:r>
      <w:r>
        <w:rPr>
          <w:i/>
          <w:iCs/>
          <w:color w:val="000000"/>
          <w:spacing w:val="0"/>
          <w:w w:val="100"/>
          <w:position w:val="0"/>
          <w:shd w:val="clear" w:color="auto" w:fill="auto"/>
          <w:lang w:val="hr-HR" w:eastAsia="hr-HR" w:bidi="hr-HR"/>
        </w:rPr>
        <w:t xml:space="preserve">der Geschichie,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1959, </w:t>
      </w:r>
      <w:r>
        <w:rPr>
          <w:color w:val="000000"/>
          <w:spacing w:val="0"/>
          <w:w w:val="100"/>
          <w:position w:val="0"/>
          <w:shd w:val="clear" w:color="auto" w:fill="auto"/>
        </w:rPr>
        <w:t xml:space="preserve">Historiographic,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Orbis</w:t>
      </w:r>
      <w:r>
        <w:rPr>
          <w:color w:val="000000"/>
          <w:spacing w:val="0"/>
          <w:w w:val="100"/>
          <w:position w:val="0"/>
          <w:shd w:val="clear" w:color="auto" w:fill="auto"/>
          <w:lang w:val="hr-HR" w:eastAsia="hr-HR" w:bidi="hr-HR"/>
        </w:rPr>
        <w:t xml:space="preserve"> III; R. </w:t>
      </w:r>
      <w:r>
        <w:rPr>
          <w:color w:val="000000"/>
          <w:spacing w:val="0"/>
          <w:w w:val="100"/>
          <w:position w:val="0"/>
          <w:shd w:val="clear" w:color="auto" w:fill="auto"/>
        </w:rPr>
        <w:t xml:space="preserve">Wittram, </w:t>
      </w:r>
      <w:r>
        <w:rPr>
          <w:i/>
          <w:iCs/>
          <w:color w:val="000000"/>
          <w:spacing w:val="0"/>
          <w:w w:val="100"/>
          <w:position w:val="0"/>
          <w:shd w:val="clear" w:color="auto" w:fill="auto"/>
          <w:lang w:val="hr-HR" w:eastAsia="hr-HR" w:bidi="hr-HR"/>
        </w:rPr>
        <w:t xml:space="preserve">7Mkunft der Geschichie. </w:t>
      </w:r>
      <w:r>
        <w:rPr>
          <w:i/>
          <w:iCs/>
          <w:color w:val="000000"/>
          <w:spacing w:val="0"/>
          <w:w w:val="100"/>
          <w:position w:val="0"/>
          <w:shd w:val="clear" w:color="auto" w:fill="auto"/>
        </w:rPr>
        <w:t xml:space="preserve">Zu </w:t>
      </w:r>
      <w:r>
        <w:rPr>
          <w:i/>
          <w:iCs/>
          <w:color w:val="000000"/>
          <w:spacing w:val="0"/>
          <w:w w:val="100"/>
          <w:position w:val="0"/>
          <w:shd w:val="clear" w:color="auto" w:fill="auto"/>
          <w:lang w:val="hr-HR" w:eastAsia="hr-HR" w:bidi="hr-HR"/>
        </w:rPr>
        <w:t xml:space="preserve">Grenzfragen der </w:t>
      </w:r>
      <w:r>
        <w:rPr>
          <w:i/>
          <w:iCs/>
          <w:color w:val="000000"/>
          <w:spacing w:val="0"/>
          <w:w w:val="100"/>
          <w:position w:val="0"/>
          <w:shd w:val="clear" w:color="auto" w:fill="auto"/>
        </w:rPr>
        <w:t xml:space="preserve">Geschichtswis- </w:t>
      </w:r>
      <w:r>
        <w:rPr>
          <w:i/>
          <w:iCs/>
          <w:color w:val="000000"/>
          <w:spacing w:val="0"/>
          <w:w w:val="100"/>
          <w:position w:val="0"/>
          <w:shd w:val="clear" w:color="auto" w:fill="auto"/>
          <w:lang w:val="hr-HR" w:eastAsia="hr-HR" w:bidi="hr-HR"/>
        </w:rPr>
        <w:t xml:space="preserve">senschaft und Theologie, </w:t>
      </w:r>
      <w:r>
        <w:rPr>
          <w:i/>
          <w:iCs/>
          <w:color w:val="000000"/>
          <w:spacing w:val="0"/>
          <w:w w:val="100"/>
          <w:position w:val="0"/>
          <w:shd w:val="clear" w:color="auto" w:fill="auto"/>
        </w:rPr>
        <w:t>Gollingen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1966.</w:t>
        <w:tab/>
        <w:t xml:space="preserve">K. </w:t>
      </w:r>
      <w:r>
        <w:rPr>
          <w:color w:val="000000"/>
          <w:spacing w:val="0"/>
          <w:w w:val="100"/>
          <w:position w:val="0"/>
          <w:shd w:val="clear" w:color="auto" w:fill="auto"/>
        </w:rPr>
        <w:t>WEBER</w:t>
      </w:r>
    </w:p>
    <w:p>
      <w:pPr>
        <w:pStyle w:val="Style63"/>
        <w:keepNext/>
        <w:keepLines/>
        <w:widowControl w:val="0"/>
        <w:numPr>
          <w:ilvl w:val="0"/>
          <w:numId w:val="423"/>
        </w:numPr>
        <w:shd w:val="clear" w:color="auto" w:fill="auto"/>
        <w:tabs>
          <w:tab w:pos="265" w:val="left"/>
        </w:tabs>
        <w:bidi w:val="0"/>
        <w:spacing w:before="0" w:line="226" w:lineRule="auto"/>
        <w:ind w:left="0" w:right="0" w:firstLine="0"/>
        <w:jc w:val="both"/>
      </w:pPr>
      <w:bookmarkStart w:id="266" w:name="bookmark266"/>
      <w:r>
        <w:rPr>
          <w:rFonts w:ascii="Times New Roman" w:eastAsia="Times New Roman" w:hAnsi="Times New Roman" w:cs="Times New Roman"/>
          <w:color w:val="000000"/>
          <w:spacing w:val="0"/>
          <w:w w:val="100"/>
          <w:position w:val="0"/>
          <w:shd w:val="clear" w:color="auto" w:fill="auto"/>
          <w:lang w:val="hr-HR" w:eastAsia="hr-HR" w:bidi="hr-HR"/>
        </w:rPr>
        <w:t>islamski</w:t>
      </w:r>
      <w:bookmarkEnd w:id="266"/>
    </w:p>
    <w:p>
      <w:pPr>
        <w:pStyle w:val="Style20"/>
        <w:keepNext w:val="0"/>
        <w:keepLines w:val="0"/>
        <w:widowControl w:val="0"/>
        <w:shd w:val="clear" w:color="auto" w:fill="auto"/>
        <w:bidi w:val="0"/>
        <w:spacing w:before="0" w:after="0" w:line="254" w:lineRule="auto"/>
        <w:ind w:left="0" w:right="0" w:firstLine="0"/>
        <w:jc w:val="both"/>
        <w:sectPr>
          <w:headerReference w:type="default" r:id="rId1115"/>
          <w:footerReference w:type="default" r:id="rId1116"/>
          <w:headerReference w:type="even" r:id="rId1117"/>
          <w:footerReference w:type="even" r:id="rId1118"/>
          <w:footnotePr>
            <w:pos w:val="pageBottom"/>
            <w:numFmt w:val="decimal"/>
            <w:numRestart w:val="continuous"/>
            <w15:footnoteColumns w:val="1"/>
          </w:footnotePr>
          <w:pgSz w:w="6816" w:h="11006"/>
          <w:pgMar w:top="975" w:left="189" w:right="196" w:bottom="532" w:header="0" w:footer="3" w:gutter="0"/>
          <w:pgNumType w:start="364"/>
          <w:cols w:num="2" w:space="15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Sukladno univerzalno shvaćenim islamskim pojmom Boga p. je neraskidivi djelomični pro</w:t>
        <w:softHyphen/>
        <w:t>ces općega svjetskog razvoja. U tom je proce</w:t>
        <w:softHyphen/>
        <w:t>su glavni sudionik čovjek. P. je dakle u prvo</w:t>
        <w:softHyphen/>
        <w:t>me redu područje kojim vlada čovjek. Bog intervenira u povijesti samo utoliko što se ona kreće u putanjama zakona koje je on uteme</w:t>
        <w:softHyphen/>
        <w:t>ljio i ukoliko izvanjskim i unutarnjim glaso</w:t>
        <w:softHyphen/>
        <w:t>vima, koji navješćuju Njegovu volju, nastoji utjecati na ljudsko ponašanje. Izvanjski se gla</w:t>
        <w:softHyphen/>
        <w:t>sovi čuju u poruci proroka ili Božjega posla</w:t>
        <w:softHyphen/>
        <w:t>nika; unutarnji glasovi dolaze iz savjesti sva</w:t>
        <w:softHyphen/>
        <w:t>koga pojedinca. Božja poruka, koja se pro</w:t>
        <w:softHyphen/>
        <w:t>vlači kroz cjelokupnu p., jest jedinstvena. Tako ni u povijesno-spasenjskom niti u kozmološ- kom pogledu ne postoji neki prekid povijesti. Ljudi su oni koji snose glavnu odgovornost za odvijanje povijesti. Bog nije nijedan narod bez zasluga postavio iznad drugoga naroda niti je svojim neposrednim ulaženjem u p. potaknuo njezin radikalni preokret. Ovdje islamsko shva</w:t>
        <w:softHyphen/>
        <w:t>ćanje povijesti odstupa od židovskoga i kršćan</w:t>
        <w:softHyphen/>
        <w:t>skoga. Islam ne poznaje nikakvu izabranost genetskim odrednicama niti povijesno-spasenj- ski obrat putem Božjega samoočitovanja. Ku</w:t>
        <w:softHyphen/>
        <w:t xml:space="preserve">ran izričito ustvrduje da Bog upravlja svijetom prema jednom čvrstom običaju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koji je dao samome sebi. Taj je običaj nepromjenjiv i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nc </w:t>
      </w:r>
      <w:r>
        <w:rPr>
          <w:rFonts w:ascii="Times New Roman" w:eastAsia="Times New Roman" w:hAnsi="Times New Roman" w:cs="Times New Roman"/>
          <w:color w:val="000000"/>
          <w:spacing w:val="0"/>
          <w:w w:val="100"/>
          <w:position w:val="0"/>
          <w:shd w:val="clear" w:color="auto" w:fill="auto"/>
          <w:lang w:val="hr-HR" w:eastAsia="hr-HR" w:bidi="hr-HR"/>
        </w:rPr>
        <w:t>može se zamijeniti s isprekidanim božan</w:t>
        <w:softHyphen/>
        <w:t>skim djelovanjem. Povijesne teme obrađene u Kuranu imaju za svrhu zor biti pojava, pro</w:t>
        <w:softHyphen/>
        <w:t>cesa, likova i sveza iz prošlosti. Takav bi zor biti trebao »dovesti do spoznaje nadvreme- noga bitka stvari pod vidom njihove oslobođe- nosti od povijesnoga opstojanja«.</w:t>
      </w:r>
    </w:p>
    <w:p>
      <w:pPr>
        <w:pStyle w:val="Style20"/>
        <w:keepNext w:val="0"/>
        <w:keepLines w:val="0"/>
        <w:widowControl w:val="0"/>
        <w:shd w:val="clear" w:color="auto" w:fill="auto"/>
        <w:tabs>
          <w:tab w:pos="2578" w:val="left"/>
        </w:tabs>
        <w:bidi w:val="0"/>
        <w:spacing w:before="0" w:after="32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prethodno ukratko skiciranoga islamskog shvaćanja povijesti proizlazi da se islam mno</w:t>
        <w:softHyphen/>
        <w:t>go manje nego židovstvo i kršćanstvo želi is</w:t>
        <w:softHyphen/>
        <w:t>crpiti u povijesnome prostoru. On ne želi na njemu zasnivati dogmatske sadržaje, nego ga jedino transcendirati. Ono vječno ne može se izvoditi iz povijesnoga.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140" w:line="22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POVIJEST SPASENJA</w:t>
      </w:r>
    </w:p>
    <w:p>
      <w:pPr>
        <w:pStyle w:val="Style63"/>
        <w:keepNext/>
        <w:keepLines/>
        <w:widowControl w:val="0"/>
        <w:shd w:val="clear" w:color="auto" w:fill="auto"/>
        <w:bidi w:val="0"/>
        <w:spacing w:before="0" w:after="100" w:line="226" w:lineRule="auto"/>
        <w:ind w:left="0" w:right="0" w:firstLine="0"/>
        <w:jc w:val="both"/>
      </w:pPr>
      <w:bookmarkStart w:id="267" w:name="bookmark26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67"/>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»p. s.« želi obuhvatiti Božje djelovanje i riječi za čovjekovo spasenje i može pokrivati tri aspekta: s jedne strane povijest (= vremen</w:t>
        <w:softHyphen/>
        <w:t>ski slijed) božanskoga spasenjskog djelovanja, s druge strane povijest ljudi, koji vjeruju u Bo</w:t>
        <w:softHyphen/>
        <w:t>ga, shvaćene kao povijest od Boga darovanog spasenja, i konačno, lokaliziranje spasenja ko</w:t>
        <w:softHyphen/>
        <w:t>je u imanenciji potječe iz transcendencije. Teo</w:t>
        <w:softHyphen/>
        <w:t>logija razlikuje opći pojam i poseban pojam povijesti spasenja. Opći pojam pretpostavlja da i izvan židovsko-kršćanske povijesti spase</w:t>
        <w:softHyphen/>
        <w:t>nja ima spasenjskih iskustava. Time se misli na od Boga darovano spasenje gdje god se ono pokazuje u povijesti čovječanstva, u povi</w:t>
        <w:softHyphen/>
        <w:t>jesti svih spasenjskih iskustava čovječanstva. Jer, Božja spasenjska volja upućena je svim ljudima svih vremena i povijesnih područja. Bog svim ljudima nudi svoje spasenje za koje se čovjek može zatvoriti samo slobodnom teš</w:t>
        <w:softHyphen/>
        <w:t>kom krivnjom. Iz ovoga kršćanskog shvaćanja opće Božje spasenjske volje i ponude slijedi pozitivno razumijevanje opće povijesti reli</w:t>
        <w:softHyphen/>
        <w:t>gija-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Posebni pojam povijesti spasenja dolazi tada kada Bog svojom riječju, koja je sastavni dio spasenja, objašnjava neki događaj kao spase</w:t>
        <w:softHyphen/>
        <w:t>nje ili kao zlo. Tako protumačen događaj odva</w:t>
        <w:softHyphen/>
        <w:t>ja se od ostale povijesti i uzdiže se na područje izričite povijesti spasenja. Događaji, naime, koje je sam Bog potvrdio kao spasenje, imaju čak svoju vlastitu povijest u povijesnoj različi</w:t>
        <w:softHyphen/>
        <w:t>tosti spasenjskih događaja i iskustava, ali oso</w:t>
        <w:softHyphen/>
      </w:r>
      <w:r>
        <w:rPr>
          <w:rFonts w:ascii="Times New Roman" w:eastAsia="Times New Roman" w:hAnsi="Times New Roman" w:cs="Times New Roman"/>
          <w:color w:val="000000"/>
          <w:spacing w:val="0"/>
          <w:w w:val="100"/>
          <w:position w:val="0"/>
          <w:shd w:val="clear" w:color="auto" w:fill="auto"/>
          <w:lang w:val="hr-HR" w:eastAsia="hr-HR" w:bidi="hr-HR"/>
        </w:rPr>
        <w:t>bito u sve većoj jasnoći u kojoj nadmašuju opću povijest spasenja.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Kršćanstvo vjeruje da povijest Božje ponude spasenja i mogućnost prihvaćanja na temelju shvaćanja koje je Bog posredovao ima svoj vrhunac koji određuje smisao i cilj ljudske po</w:t>
        <w:softHyphen/>
        <w:t>vijesti u tome da je ona postala povijest, dakle, u dohvatljivosti riječi Božje (—&gt; Riječ Božja) koja je postala čovjekom. Posebna p. s., dakle, u svojoj punini koja čovjeku daje smisao i cilj da</w:t>
        <w:softHyphen/>
        <w:t>rovana je u Isusu Kristu.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Ona se može shvatiti kao ukorijenjena u opću povijest. Jer tek savez Božji s Mojsijem može se u gore opisanom smislu shvatiti kao poče</w:t>
        <w:softHyphen/>
        <w:t>tak posebne povijesti spasenja; Mojsije sam svodi svoju pretpovijest etiološki na početak, na opću povijest spasenja. SZ opisuje granice između povijesti spasenja i profane povijesti kao meke granice. Jer, s jedne je strane Iz</w:t>
        <w:softHyphen/>
        <w:t>raelu bilo teško razlikovati između pravih i lažnih proroka, jer je nedostajala instancija koja bi bila apsolutno sigurna u prosuđivanju. S druge je strane Izrael mogao iznevjeriti svoj poziv i tako potamniti posebnu dohvatljivost božanske spasenjske volje. Konačno, kršćan</w:t>
        <w:softHyphen/>
        <w:t>stvo vjeruje iz objave da je Bog djelovao na spasenje i drugih naroda, a ne samo Izraela, makar Izraelova p. s. vrijedi kao neposredna pretpovijest utjelovljenja Božje riječi.</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Posebna p. s. načelno dokida opću povijest u sebi, ali je ne čini nevažećom. Promatrana iz perspektive vjere u Isusa Krista, ona vrijedi kao zlo samo onda kada se načelno zatvara Kristovu zahtjevu.</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Božji dar u Isusu nadilazi prošlost i budućnost, ta je p. s. razdvojena od ostale svjetske povijesti. Crkva, sakramenti i Pismo kao posljedice tog vrhunca Božjeg dara sudje</w:t>
        <w:softHyphen/>
        <w:t>luju u razlučivanju od svjetske povijesti. Zato jer je posebna p. s. unutar svjetske povijesti, ona ostaje za sve ljude svih vremena ta koja određuje opću povijest do njezina samorazu- mijevanja: svjetska povijest i opća p. s. mogu se razumjeti utjelovljenjem Riječi. Posebna p. s. postupno teži za identičnošću s općom po</w:t>
        <w:softHyphen/>
        <w:t>viješću spasenja i svjetskom poviješću (-&gt; Es- hatologija). Završna točka toga kretanja tu</w:t>
        <w:softHyphen/>
        <w:t>mači se kao dokidanje povijesti, kao -&gt; kra</w:t>
        <w:softHyphen/>
        <w:t>ljevstvo Božje.</w:t>
      </w:r>
    </w:p>
    <w:p>
      <w:pPr>
        <w:pStyle w:val="Style56"/>
        <w:keepNext w:val="0"/>
        <w:keepLines w:val="0"/>
        <w:widowControl w:val="0"/>
        <w:shd w:val="clear" w:color="auto" w:fill="auto"/>
        <w:bidi w:val="0"/>
        <w:spacing w:before="0" w:after="0" w:line="240" w:lineRule="auto"/>
        <w:ind w:left="0" w:right="0" w:firstLine="0"/>
        <w:jc w:val="both"/>
        <w:sectPr>
          <w:headerReference w:type="default" r:id="rId1119"/>
          <w:footerReference w:type="default" r:id="rId1120"/>
          <w:headerReference w:type="even" r:id="rId1121"/>
          <w:footerReference w:type="even" r:id="rId1122"/>
          <w:footnotePr>
            <w:pos w:val="pageBottom"/>
            <w:numFmt w:val="decimal"/>
            <w:numRestart w:val="continuous"/>
            <w15:footnoteColumns w:val="1"/>
          </w:footnotePr>
          <w:pgSz w:w="6816" w:h="11006"/>
          <w:pgMar w:top="975" w:left="189" w:right="196" w:bottom="532" w:header="0" w:footer="104" w:gutter="0"/>
          <w:pgNumType w:start="369"/>
          <w:cols w:num="2" w:space="156"/>
          <w:noEndnote/>
          <w:rtlGutter w:val="0"/>
          <w:docGrid w:linePitch="360"/>
        </w:sectPr>
      </w:pPr>
      <w:r>
        <w:rPr>
          <w:color w:val="000000"/>
          <w:spacing w:val="0"/>
          <w:w w:val="100"/>
          <w:position w:val="0"/>
          <w:shd w:val="clear" w:color="auto" w:fill="auto"/>
          <w:lang w:val="hr-HR" w:eastAsia="hr-HR" w:bidi="hr-HR"/>
        </w:rPr>
        <w:t xml:space="preserve">Lit.: A. Đarlap, natuknica Hcilsgcschichtc II. </w:t>
      </w:r>
      <w:r>
        <w:rPr>
          <w:color w:val="000000"/>
          <w:spacing w:val="0"/>
          <w:w w:val="100"/>
          <w:position w:val="0"/>
          <w:shd w:val="clear" w:color="auto" w:fill="auto"/>
        </w:rPr>
        <w:t xml:space="preserve">Systematise!), </w:t>
      </w:r>
      <w:r>
        <w:rPr>
          <w:color w:val="000000"/>
          <w:spacing w:val="0"/>
          <w:w w:val="100"/>
          <w:position w:val="0"/>
          <w:shd w:val="clear" w:color="auto" w:fill="auto"/>
          <w:lang w:val="hr-HR" w:eastAsia="hr-HR" w:bidi="hr-HR"/>
        </w:rPr>
        <w:t xml:space="preserve">u: 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Handbuch iheologischer Grundbegriffe,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Bil. 1. Munchcn 1962. 674- 680; isti, natuknica II. Thuulo- gische Vcrmittlung, u: K. </w:t>
      </w:r>
      <w:r>
        <w:rPr>
          <w:color w:val="000000"/>
          <w:spacing w:val="0"/>
          <w:w w:val="100"/>
          <w:position w:val="0"/>
          <w:shd w:val="clear" w:color="auto" w:fill="auto"/>
        </w:rPr>
        <w:t xml:space="preserve">Rahner (Hrsg.). </w:t>
      </w:r>
      <w:r>
        <w:rPr>
          <w:i/>
          <w:iCs/>
          <w:color w:val="000000"/>
          <w:spacing w:val="0"/>
          <w:w w:val="100"/>
          <w:position w:val="0"/>
          <w:shd w:val="clear" w:color="auto" w:fill="auto"/>
        </w:rPr>
        <w:t xml:space="preserve">Herders </w:t>
      </w:r>
      <w:r>
        <w:rPr>
          <w:i/>
          <w:iCs/>
          <w:color w:val="000000"/>
          <w:spacing w:val="0"/>
          <w:w w:val="100"/>
          <w:position w:val="0"/>
          <w:shd w:val="clear" w:color="auto" w:fill="auto"/>
          <w:lang w:val="hr-HR" w:eastAsia="hr-HR" w:bidi="hr-HR"/>
        </w:rPr>
        <w:t>theolo- gisches Taschenlerikon,</w:t>
      </w:r>
      <w:r>
        <w:rPr>
          <w:color w:val="000000"/>
          <w:spacing w:val="0"/>
          <w:w w:val="100"/>
          <w:position w:val="0"/>
          <w:shd w:val="clear" w:color="auto" w:fill="auto"/>
          <w:lang w:val="hr-HR" w:eastAsia="hr-HR" w:bidi="hr-HR"/>
        </w:rPr>
        <w:t xml:space="preserve"> B&lt;J. 3, Frciburg/Bascl.AMjcn 1972, 259-265; K. Rahncj/H. Vorgrimlcr, </w:t>
      </w:r>
      <w:r>
        <w:rPr>
          <w:i/>
          <w:iCs/>
          <w:color w:val="000000"/>
          <w:spacing w:val="0"/>
          <w:w w:val="100"/>
          <w:position w:val="0"/>
          <w:shd w:val="clear" w:color="auto" w:fill="auto"/>
        </w:rPr>
        <w:t xml:space="preserve">Kleines </w:t>
      </w:r>
      <w:r>
        <w:rPr>
          <w:i/>
          <w:iCs/>
          <w:color w:val="000000"/>
          <w:spacing w:val="0"/>
          <w:w w:val="100"/>
          <w:position w:val="0"/>
          <w:shd w:val="clear" w:color="auto" w:fill="auto"/>
          <w:lang w:val="hr-HR" w:eastAsia="hr-HR" w:bidi="hr-HR"/>
        </w:rPr>
        <w:t xml:space="preserve">theologisches </w:t>
      </w:r>
      <w:r>
        <w:rPr>
          <w:i/>
          <w:iCs/>
          <w:color w:val="000000"/>
          <w:spacing w:val="0"/>
          <w:w w:val="100"/>
          <w:position w:val="0"/>
          <w:shd w:val="clear" w:color="auto" w:fill="auto"/>
        </w:rPr>
        <w:t>Worterbuch,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Frcibur^BasclA^’icn 1961, 167 i đ.</w:t>
      </w:r>
    </w:p>
    <w:p>
      <w:pPr>
        <w:pStyle w:val="Style74"/>
        <w:keepNext w:val="0"/>
        <w:keepLines w:val="0"/>
        <w:widowControl w:val="0"/>
        <w:shd w:val="clear" w:color="auto" w:fill="auto"/>
        <w:bidi w:val="0"/>
        <w:spacing w:before="0" w:after="38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G. G1RSCHEK</w:t>
      </w:r>
    </w:p>
    <w:p>
      <w:pPr>
        <w:pStyle w:val="Style33"/>
        <w:keepNext w:val="0"/>
        <w:keepLines w:val="0"/>
        <w:widowControl w:val="0"/>
        <w:shd w:val="clear" w:color="auto" w:fill="auto"/>
        <w:bidi w:val="0"/>
        <w:spacing w:before="0" w:after="1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POZVANJE -&gt; PROROK</w:t>
      </w:r>
    </w:p>
    <w:p>
      <w:pPr>
        <w:pStyle w:val="Style33"/>
        <w:keepNext w:val="0"/>
        <w:keepLines w:val="0"/>
        <w:widowControl w:val="0"/>
        <w:shd w:val="clear" w:color="auto" w:fill="auto"/>
        <w:bidi w:val="0"/>
        <w:spacing w:before="0" w:after="1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PRAVNA ŠKOLA</w:t>
      </w:r>
    </w:p>
    <w:p>
      <w:pPr>
        <w:pStyle w:val="Style63"/>
        <w:keepNext/>
        <w:keepLines/>
        <w:widowControl w:val="0"/>
        <w:shd w:val="clear" w:color="auto" w:fill="auto"/>
        <w:bidi w:val="0"/>
        <w:spacing w:before="0"/>
        <w:ind w:left="0" w:right="0" w:firstLine="0"/>
        <w:jc w:val="both"/>
      </w:pPr>
      <w:bookmarkStart w:id="268" w:name="bookmark268"/>
      <w:r>
        <w:rPr>
          <w:rFonts w:ascii="Times New Roman" w:eastAsia="Times New Roman" w:hAnsi="Times New Roman" w:cs="Times New Roman"/>
          <w:color w:val="000000"/>
          <w:spacing w:val="0"/>
          <w:w w:val="100"/>
          <w:position w:val="0"/>
          <w:shd w:val="clear" w:color="auto" w:fill="auto"/>
          <w:lang w:val="hr-HR" w:eastAsia="hr-HR" w:bidi="hr-HR"/>
        </w:rPr>
        <w:t>islamski</w:t>
      </w:r>
      <w:bookmarkEnd w:id="26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Osim ograničenog utjecaja kuranskih pravnih odredbi za nastanak pravnih škola još je u po</w:t>
        <w:softHyphen/>
        <w:t>sebnoj mjeri bilo presudno shvaćanje tradi</w:t>
        <w:softHyphen/>
        <w:t xml:space="preserve">cije. Zanemari li se šijitsko shvaćanje prava, tada unutar većinske teološke, sunitske struje, susrećemo četiri pravne škole. One su nastale u VII. i VIII. stoljeću. Najstarija od tih škola - </w:t>
      </w:r>
      <w:r>
        <w:rPr>
          <w:rFonts w:ascii="Times New Roman" w:eastAsia="Times New Roman" w:hAnsi="Times New Roman" w:cs="Times New Roman"/>
          <w:i/>
          <w:iCs/>
          <w:color w:val="000000"/>
          <w:spacing w:val="0"/>
          <w:w w:val="100"/>
          <w:position w:val="0"/>
          <w:shd w:val="clear" w:color="auto" w:fill="auto"/>
          <w:lang w:val="hr-HR" w:eastAsia="hr-HR" w:bidi="hr-HR"/>
        </w:rPr>
        <w:t>hanefitska -</w:t>
      </w:r>
      <w:r>
        <w:rPr>
          <w:rFonts w:ascii="Times New Roman" w:eastAsia="Times New Roman" w:hAnsi="Times New Roman" w:cs="Times New Roman"/>
          <w:color w:val="000000"/>
          <w:spacing w:val="0"/>
          <w:w w:val="100"/>
          <w:position w:val="0"/>
          <w:shd w:val="clear" w:color="auto" w:fill="auto"/>
          <w:lang w:val="hr-HR" w:eastAsia="hr-HR" w:bidi="hr-HR"/>
        </w:rPr>
        <w:t xml:space="preserve"> znakovito je najotvorenija prema svijetu i razmjerno najliberalnija. Njezin sc duhovni otac, Abu Hanifa (u. 766), u svojemu promišljanju prava odlučno pozivao na zdravi čovjekov sud (ra’y). Islamskom su pravnom znanošću tada vladala dva suprotna tabora: </w:t>
      </w:r>
      <w:r>
        <w:rPr>
          <w:rFonts w:ascii="Times New Roman" w:eastAsia="Times New Roman" w:hAnsi="Times New Roman" w:cs="Times New Roman"/>
          <w:i/>
          <w:iCs/>
          <w:color w:val="000000"/>
          <w:spacing w:val="0"/>
          <w:w w:val="100"/>
          <w:position w:val="0"/>
          <w:shd w:val="clear" w:color="auto" w:fill="auto"/>
          <w:lang w:val="hr-HR" w:eastAsia="hr-HR" w:bidi="hr-HR"/>
        </w:rPr>
        <w:t xml:space="preserve">Ahl </w:t>
      </w:r>
      <w:r>
        <w:rPr>
          <w:rFonts w:ascii="Times New Roman" w:eastAsia="Times New Roman" w:hAnsi="Times New Roman" w:cs="Times New Roman"/>
          <w:i/>
          <w:iCs/>
          <w:color w:val="000000"/>
          <w:spacing w:val="0"/>
          <w:w w:val="100"/>
          <w:position w:val="0"/>
          <w:shd w:val="clear" w:color="auto" w:fill="auto"/>
          <w:lang w:val="en-US" w:eastAsia="en-US" w:bidi="en-US"/>
        </w:rPr>
        <w:t>ar-ra'y</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(sljedbenici osobnoga mišljenja) i </w:t>
      </w:r>
      <w:r>
        <w:rPr>
          <w:rFonts w:ascii="Times New Roman" w:eastAsia="Times New Roman" w:hAnsi="Times New Roman" w:cs="Times New Roman"/>
          <w:i/>
          <w:iCs/>
          <w:color w:val="000000"/>
          <w:spacing w:val="0"/>
          <w:w w:val="100"/>
          <w:position w:val="0"/>
          <w:shd w:val="clear" w:color="auto" w:fill="auto"/>
          <w:lang w:val="hr-HR" w:eastAsia="hr-HR" w:bidi="hr-HR"/>
        </w:rPr>
        <w:t>Ahl al-hadith</w:t>
      </w:r>
      <w:r>
        <w:rPr>
          <w:rFonts w:ascii="Times New Roman" w:eastAsia="Times New Roman" w:hAnsi="Times New Roman" w:cs="Times New Roman"/>
          <w:color w:val="000000"/>
          <w:spacing w:val="0"/>
          <w:w w:val="100"/>
          <w:position w:val="0"/>
          <w:shd w:val="clear" w:color="auto" w:fill="auto"/>
          <w:lang w:val="hr-HR" w:eastAsia="hr-HR" w:bidi="hr-HR"/>
        </w:rPr>
        <w:t xml:space="preserve"> (sljedbenici predaje). Zadnje su spomenuti bili striktni, zapravo slijepi izvrši</w:t>
        <w:softHyphen/>
        <w:t>telji svih onih odluka i modela koji su se pripisivali Muhamedu i njegovim sljedbenici</w:t>
        <w:softHyphen/>
        <w:t>ma.</w:t>
      </w:r>
    </w:p>
    <w:p>
      <w:pPr>
        <w:pStyle w:val="Style20"/>
        <w:keepNext w:val="0"/>
        <w:keepLines w:val="0"/>
        <w:widowControl w:val="0"/>
        <w:shd w:val="clear" w:color="auto" w:fill="auto"/>
        <w:bidi w:val="0"/>
        <w:spacing w:before="0" w:after="1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Povijest opisuje Abu Hanifu kao umjerenoga i tolerantnog učenjaka koji je uživao u životnim radostima. »Točno poznavanje usmjerenosti njegova duha, njegova uvijek pravednoga i ne</w:t>
        <w:softHyphen/>
        <w:t>pristranog duha koji je bio posebice vrlo tole</w:t>
        <w:softHyphen/>
        <w:t>rantan prema ljudima druge vjere, pokazuje nam u njemu čovjeka koji je izbjegao usko</w:t>
        <w:softHyphen/>
        <w:t xml:space="preserve">grudne, sirove navike svojega doba i svojega naroda« </w:t>
      </w:r>
      <w:r>
        <w:rPr>
          <w:rFonts w:ascii="Times New Roman" w:eastAsia="Times New Roman" w:hAnsi="Times New Roman" w:cs="Times New Roman"/>
          <w:color w:val="000000"/>
          <w:spacing w:val="0"/>
          <w:w w:val="100"/>
          <w:position w:val="0"/>
          <w:shd w:val="clear" w:color="auto" w:fill="auto"/>
          <w:lang w:val="en-US" w:eastAsia="en-US" w:bidi="en-US"/>
        </w:rPr>
        <w:t xml:space="preserve">(Alfred von </w:t>
      </w:r>
      <w:r>
        <w:rPr>
          <w:rFonts w:ascii="Times New Roman" w:eastAsia="Times New Roman" w:hAnsi="Times New Roman" w:cs="Times New Roman"/>
          <w:color w:val="000000"/>
          <w:spacing w:val="0"/>
          <w:w w:val="100"/>
          <w:position w:val="0"/>
          <w:shd w:val="clear" w:color="auto" w:fill="auto"/>
          <w:lang w:val="hr-HR" w:eastAsia="hr-HR" w:bidi="hr-HR"/>
        </w:rPr>
        <w:t xml:space="preserve">Kreme, </w:t>
      </w:r>
      <w:r>
        <w:rPr>
          <w:rFonts w:ascii="Times New Roman" w:eastAsia="Times New Roman" w:hAnsi="Times New Roman" w:cs="Times New Roman"/>
          <w:i/>
          <w:iCs/>
          <w:color w:val="000000"/>
          <w:spacing w:val="0"/>
          <w:w w:val="100"/>
          <w:position w:val="0"/>
          <w:shd w:val="clear" w:color="auto" w:fill="auto"/>
          <w:lang w:val="hr-HR" w:eastAsia="hr-HR" w:bidi="hr-HR"/>
        </w:rPr>
        <w:t xml:space="preserve">Kulturgeschichte </w:t>
      </w:r>
      <w:r>
        <w:rPr>
          <w:rFonts w:ascii="Times New Roman" w:eastAsia="Times New Roman" w:hAnsi="Times New Roman" w:cs="Times New Roman"/>
          <w:i/>
          <w:iCs/>
          <w:color w:val="000000"/>
          <w:spacing w:val="0"/>
          <w:w w:val="100"/>
          <w:position w:val="0"/>
          <w:shd w:val="clear" w:color="auto" w:fill="auto"/>
          <w:lang w:val="en-US" w:eastAsia="en-US" w:bidi="en-US"/>
        </w:rPr>
        <w:t>des Orients unter den Chalifen,</w:t>
      </w:r>
      <w:r>
        <w:rPr>
          <w:rFonts w:ascii="Times New Roman" w:eastAsia="Times New Roman" w:hAnsi="Times New Roman" w:cs="Times New Roman"/>
          <w:color w:val="000000"/>
          <w:spacing w:val="0"/>
          <w:w w:val="100"/>
          <w:position w:val="0"/>
          <w:shd w:val="clear" w:color="auto" w:fill="auto"/>
          <w:lang w:val="en-US" w:eastAsia="en-US" w:bidi="en-US"/>
        </w:rPr>
        <w:t xml:space="preserve"> Wien </w:t>
      </w:r>
      <w:r>
        <w:rPr>
          <w:rFonts w:ascii="Times New Roman" w:eastAsia="Times New Roman" w:hAnsi="Times New Roman" w:cs="Times New Roman"/>
          <w:color w:val="000000"/>
          <w:spacing w:val="0"/>
          <w:w w:val="100"/>
          <w:position w:val="0"/>
          <w:shd w:val="clear" w:color="auto" w:fill="auto"/>
          <w:lang w:val="hr-HR" w:eastAsia="hr-HR" w:bidi="hr-HR"/>
        </w:rPr>
        <w:t xml:space="preserve">1875/6, Bd. 1,494). Abu Hanifa je vjerojatno kao prvi primjenjivao </w:t>
      </w:r>
      <w:r>
        <w:rPr>
          <w:rFonts w:ascii="Times New Roman" w:eastAsia="Times New Roman" w:hAnsi="Times New Roman" w:cs="Times New Roman"/>
          <w:i/>
          <w:iCs/>
          <w:color w:val="000000"/>
          <w:spacing w:val="0"/>
          <w:w w:val="100"/>
          <w:position w:val="0"/>
          <w:shd w:val="clear" w:color="auto" w:fill="auto"/>
          <w:lang w:val="hr-HR" w:eastAsia="hr-HR" w:bidi="hr-HR"/>
        </w:rPr>
        <w:t>istihsan,</w:t>
      </w:r>
      <w:r>
        <w:rPr>
          <w:rFonts w:ascii="Times New Roman" w:eastAsia="Times New Roman" w:hAnsi="Times New Roman" w:cs="Times New Roman"/>
          <w:color w:val="000000"/>
          <w:spacing w:val="0"/>
          <w:w w:val="100"/>
          <w:position w:val="0"/>
          <w:shd w:val="clear" w:color="auto" w:fill="auto"/>
          <w:lang w:val="hr-HR" w:eastAsia="hr-HR" w:bidi="hr-HR"/>
        </w:rPr>
        <w:t xml:space="preserve"> tj. donošenje odluke na temelju dobrohotnosti. Sama je škola velikim dijelom djelo njegova dva učenika, Abu Ju- sufa (u. 795) i Muhameda aš-Šcjbanija (u. 805). U mnogim knjigama koje su oni napisali prikazani su i nazori njihova učitelja. Za ha- nefitsku pravnu školu karakteristična je fleksi</w:t>
        <w:softHyphen/>
        <w:t>bilnost njihove metodologije. Prema toj se školi ravnaju svi muslimani istočne i jugois</w:t>
        <w:softHyphen/>
        <w:t>točne Europe, u Turskoj, u središnjoj Aziji,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Afganistanu i na indijskom potkontinentu. Čisto teološki nazori hanefitske pravne škole izraženi su u nauku o vjeri al-Maturdija (u. 944).</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Konzervativna i malo zabrinuta za uvažavanje promijenjenih socijalnih prilika jest po starini druga p. š„ naime </w:t>
      </w:r>
      <w:r>
        <w:rPr>
          <w:rFonts w:ascii="Times New Roman" w:eastAsia="Times New Roman" w:hAnsi="Times New Roman" w:cs="Times New Roman"/>
          <w:i/>
          <w:iCs/>
          <w:color w:val="000000"/>
          <w:spacing w:val="0"/>
          <w:w w:val="100"/>
          <w:position w:val="0"/>
          <w:shd w:val="clear" w:color="auto" w:fill="auto"/>
          <w:lang w:val="hr-HR" w:eastAsia="hr-HR" w:bidi="hr-HR"/>
        </w:rPr>
        <w:t>malikitska.</w:t>
      </w:r>
      <w:r>
        <w:rPr>
          <w:rFonts w:ascii="Times New Roman" w:eastAsia="Times New Roman" w:hAnsi="Times New Roman" w:cs="Times New Roman"/>
          <w:color w:val="000000"/>
          <w:spacing w:val="0"/>
          <w:w w:val="100"/>
          <w:position w:val="0"/>
          <w:shd w:val="clear" w:color="auto" w:fill="auto"/>
          <w:lang w:val="hr-HR" w:eastAsia="hr-HR" w:bidi="hr-HR"/>
        </w:rPr>
        <w:t xml:space="preserve"> I ona je prije djelo učenika negoli djelo učiteljevo. Taj se učitelj zvao </w:t>
      </w:r>
      <w:r>
        <w:rPr>
          <w:rFonts w:ascii="Times New Roman" w:eastAsia="Times New Roman" w:hAnsi="Times New Roman" w:cs="Times New Roman"/>
          <w:color w:val="000000"/>
          <w:spacing w:val="0"/>
          <w:w w:val="100"/>
          <w:position w:val="0"/>
          <w:shd w:val="clear" w:color="auto" w:fill="auto"/>
          <w:lang w:val="en-US" w:eastAsia="en-US" w:bidi="en-US"/>
        </w:rPr>
        <w:t xml:space="preserve">Malik </w:t>
      </w:r>
      <w:r>
        <w:rPr>
          <w:rFonts w:ascii="Times New Roman" w:eastAsia="Times New Roman" w:hAnsi="Times New Roman" w:cs="Times New Roman"/>
          <w:color w:val="000000"/>
          <w:spacing w:val="0"/>
          <w:w w:val="100"/>
          <w:position w:val="0"/>
          <w:shd w:val="clear" w:color="auto" w:fill="auto"/>
          <w:lang w:val="hr-HR" w:eastAsia="hr-HR" w:bidi="hr-HR"/>
        </w:rPr>
        <w:t>ibn Enes (u. 795). Ta sc škola u izgradnji svojega pravnog sustava uve</w:t>
        <w:softHyphen/>
        <w:t xml:space="preserve">like oslanja na konsenzus starih medinskih pravnika i time je bliska </w:t>
      </w:r>
      <w:r>
        <w:rPr>
          <w:rFonts w:ascii="Times New Roman" w:eastAsia="Times New Roman" w:hAnsi="Times New Roman" w:cs="Times New Roman"/>
          <w:i/>
          <w:iCs/>
          <w:color w:val="000000"/>
          <w:spacing w:val="0"/>
          <w:w w:val="100"/>
          <w:position w:val="0"/>
          <w:shd w:val="clear" w:color="auto" w:fill="auto"/>
          <w:lang w:val="hr-HR" w:eastAsia="hr-HR" w:bidi="hr-HR"/>
        </w:rPr>
        <w:t>Ahl al-hadithima.</w:t>
      </w:r>
      <w:r>
        <w:rPr>
          <w:rFonts w:ascii="Times New Roman" w:eastAsia="Times New Roman" w:hAnsi="Times New Roman" w:cs="Times New Roman"/>
          <w:color w:val="000000"/>
          <w:spacing w:val="0"/>
          <w:w w:val="100"/>
          <w:position w:val="0"/>
          <w:shd w:val="clear" w:color="auto" w:fill="auto"/>
          <w:lang w:val="hr-HR" w:eastAsia="hr-HR" w:bidi="hr-HR"/>
        </w:rPr>
        <w:t xml:space="preserve"> Iz</w:t>
        <w:softHyphen/>
        <w:t>vjesnu elastičnost toj školi daje njezina me</w:t>
        <w:softHyphen/>
        <w:t xml:space="preserve">toda izricanja pravorijeka </w:t>
      </w:r>
      <w:r>
        <w:rPr>
          <w:rFonts w:ascii="Times New Roman" w:eastAsia="Times New Roman" w:hAnsi="Times New Roman" w:cs="Times New Roman"/>
          <w:i/>
          <w:iCs/>
          <w:color w:val="000000"/>
          <w:spacing w:val="0"/>
          <w:w w:val="100"/>
          <w:position w:val="0"/>
          <w:shd w:val="clear" w:color="auto" w:fill="auto"/>
          <w:lang w:val="hr-HR" w:eastAsia="hr-HR" w:bidi="hr-HR"/>
        </w:rPr>
        <w:t>(istislah),</w:t>
      </w:r>
      <w:r>
        <w:rPr>
          <w:rFonts w:ascii="Times New Roman" w:eastAsia="Times New Roman" w:hAnsi="Times New Roman" w:cs="Times New Roman"/>
          <w:color w:val="000000"/>
          <w:spacing w:val="0"/>
          <w:w w:val="100"/>
          <w:position w:val="0"/>
          <w:shd w:val="clear" w:color="auto" w:fill="auto"/>
          <w:lang w:val="hr-HR" w:eastAsia="hr-HR" w:bidi="hr-HR"/>
        </w:rPr>
        <w:t xml:space="preserve"> tj. uvaža</w:t>
        <w:softHyphen/>
        <w:t>vanje interesa općinstva. Ta metoda dozvolja</w:t>
        <w:softHyphen/>
        <w:t>va tu i tamo odstupanje od stroge analogije. Prostor njezina širenja danas je Magreb uklju</w:t>
        <w:softHyphen/>
        <w:t>čujući ostala područja zapadne Afrike.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Istaknuti sislematičar bio je Muhamed aš-Šafi (u. 820), po kojemu je ime dobila treća škola. Nakon što su oko 800. u novom okviru sažeta »Izvješća o Muhamedovu primjeru« (al-Azr- </w:t>
      </w:r>
      <w:r>
        <w:rPr>
          <w:rFonts w:ascii="Times New Roman" w:eastAsia="Times New Roman" w:hAnsi="Times New Roman" w:cs="Times New Roman"/>
          <w:i/>
          <w:iCs/>
          <w:color w:val="000000"/>
          <w:spacing w:val="0"/>
          <w:w w:val="100"/>
          <w:position w:val="0"/>
          <w:shd w:val="clear" w:color="auto" w:fill="auto"/>
          <w:lang w:val="hr-HR" w:eastAsia="hr-HR" w:bidi="hr-HR"/>
        </w:rPr>
        <w:t>đith),</w:t>
      </w:r>
      <w:r>
        <w:rPr>
          <w:rFonts w:ascii="Times New Roman" w:eastAsia="Times New Roman" w:hAnsi="Times New Roman" w:cs="Times New Roman"/>
          <w:color w:val="000000"/>
          <w:spacing w:val="0"/>
          <w:w w:val="100"/>
          <w:position w:val="0"/>
          <w:shd w:val="clear" w:color="auto" w:fill="auto"/>
          <w:lang w:val="hr-HR" w:eastAsia="hr-HR" w:bidi="hr-HR"/>
        </w:rPr>
        <w:t xml:space="preserve"> koja bi u pojedinostima mogla biti i apo</w:t>
        <w:softHyphen/>
        <w:t xml:space="preserve">krifna, i »Poznavanje žive tradicije«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(as-sunna), </w:t>
      </w:r>
      <w:r>
        <w:rPr>
          <w:rFonts w:ascii="Times New Roman" w:eastAsia="Times New Roman" w:hAnsi="Times New Roman" w:cs="Times New Roman"/>
          <w:color w:val="000000"/>
          <w:spacing w:val="0"/>
          <w:w w:val="100"/>
          <w:position w:val="0"/>
          <w:shd w:val="clear" w:color="auto" w:fill="auto"/>
          <w:lang w:val="hr-HR" w:eastAsia="hr-HR" w:bidi="hr-HR"/>
        </w:rPr>
        <w:t xml:space="preserve">njemu je pošlo za rukom da izgradi jednu važnu disciplinu, </w:t>
      </w:r>
      <w:r>
        <w:rPr>
          <w:rFonts w:ascii="Times New Roman" w:eastAsia="Times New Roman" w:hAnsi="Times New Roman" w:cs="Times New Roman"/>
          <w:i/>
          <w:iCs/>
          <w:color w:val="000000"/>
          <w:spacing w:val="0"/>
          <w:w w:val="100"/>
          <w:position w:val="0"/>
          <w:shd w:val="clear" w:color="auto" w:fill="auto"/>
          <w:lang w:val="hr-HR" w:eastAsia="hr-HR" w:bidi="hr-HR"/>
        </w:rPr>
        <w:t>usul al-fiqh</w:t>
      </w:r>
      <w:r>
        <w:rPr>
          <w:rFonts w:ascii="Times New Roman" w:eastAsia="Times New Roman" w:hAnsi="Times New Roman" w:cs="Times New Roman"/>
          <w:color w:val="000000"/>
          <w:spacing w:val="0"/>
          <w:w w:val="100"/>
          <w:position w:val="0"/>
          <w:shd w:val="clear" w:color="auto" w:fill="auto"/>
          <w:lang w:val="hr-HR" w:eastAsia="hr-HR" w:bidi="hr-HR"/>
        </w:rPr>
        <w:t xml:space="preserve"> (metodika islamske pravne znanosti). Najvažniji korijeni te disci</w:t>
        <w:softHyphen/>
        <w:t xml:space="preserve">pline leže u Kuranu. Samostalno donošenje suda u vjerskim stvarima </w:t>
      </w:r>
      <w:r>
        <w:rPr>
          <w:rFonts w:ascii="Times New Roman" w:eastAsia="Times New Roman" w:hAnsi="Times New Roman" w:cs="Times New Roman"/>
          <w:i/>
          <w:iCs/>
          <w:color w:val="000000"/>
          <w:spacing w:val="0"/>
          <w:w w:val="100"/>
          <w:position w:val="0"/>
          <w:shd w:val="clear" w:color="auto" w:fill="auto"/>
          <w:lang w:val="hr-HR" w:eastAsia="hr-HR" w:bidi="hr-HR"/>
        </w:rPr>
        <w:t>(al-idžtihad)</w:t>
      </w:r>
      <w:r>
        <w:rPr>
          <w:rFonts w:ascii="Times New Roman" w:eastAsia="Times New Roman" w:hAnsi="Times New Roman" w:cs="Times New Roman"/>
          <w:color w:val="000000"/>
          <w:spacing w:val="0"/>
          <w:w w:val="100"/>
          <w:position w:val="0"/>
          <w:shd w:val="clear" w:color="auto" w:fill="auto"/>
          <w:lang w:val="hr-HR" w:eastAsia="hr-HR" w:bidi="hr-HR"/>
        </w:rPr>
        <w:t xml:space="preserve"> aš-Šafi- je je ograničio na traganje za iznimnim sluča</w:t>
        <w:softHyphen/>
        <w:t xml:space="preserve">jem iz prvoga razdoblja islama i na sud koji je bio analogno donesen prema tomu. On je učio i kod hanefitskih i kod malekitskih autoriteta. Ovi su ga zadnji izgleda snažnije oblikovali zato što gotovo nikako bio dojmljen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Ahl ar- </w:t>
      </w:r>
      <w:r>
        <w:rPr>
          <w:rFonts w:ascii="Times New Roman" w:eastAsia="Times New Roman" w:hAnsi="Times New Roman" w:cs="Times New Roman"/>
          <w:i/>
          <w:iCs/>
          <w:color w:val="000000"/>
          <w:spacing w:val="0"/>
          <w:w w:val="100"/>
          <w:position w:val="0"/>
          <w:shd w:val="clear" w:color="auto" w:fill="auto"/>
          <w:lang w:val="en-US" w:eastAsia="en-US" w:bidi="en-US"/>
        </w:rPr>
        <w:t>ra’yima.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Njegov nazor da je sunna božanska mudrost i daje time »objavljena« jednako kao i Kuran približava ga zadnjoj i najkonzervativ</w:t>
        <w:softHyphen/>
        <w:t>nijoj školi, hanbelitima. On odbacuje »dono</w:t>
        <w:softHyphen/>
        <w:t>šenje odluke na temelju dobrohotnosti« (al- istihsan), makar ona bila opravdana hadisom ili nečim sličnim. Predmet njegove nevoljkosti svakako je ona, u malekitskoj školi primjenji</w:t>
        <w:softHyphen/>
        <w:t>vana metoda istislaha koja prilikom postavlja</w:t>
        <w:softHyphen/>
        <w:t>nja pravnih stavaka uz korištenje inače uobi</w:t>
        <w:softHyphen/>
        <w:t>čajene metode dedukcije vodećom mišlju čini opće dobro društva. Danas je Indonezija naj</w:t>
        <w:softHyphen/>
        <w:t>važnije područje širenja šafijske škole. Ona je također zastupljena u Egiptu i Sudanu.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Ahmed </w:t>
      </w:r>
      <w:r>
        <w:rPr>
          <w:rFonts w:ascii="Times New Roman" w:eastAsia="Times New Roman" w:hAnsi="Times New Roman" w:cs="Times New Roman"/>
          <w:color w:val="000000"/>
          <w:spacing w:val="0"/>
          <w:w w:val="100"/>
          <w:position w:val="0"/>
          <w:shd w:val="clear" w:color="auto" w:fill="auto"/>
          <w:lang w:val="hr-HR" w:eastAsia="hr-HR" w:bidi="hr-HR"/>
        </w:rPr>
        <w:t>ibn Ilanbel (u. 855), na kojega se svo</w:t>
        <w:softHyphen/>
        <w:t xml:space="preserve">de počeci strogo konzervativne hanbelitske škole krajnje obvezane hadisu, istaknuo se </w:t>
      </w:r>
      <w:r>
        <w:rPr>
          <w:rFonts w:ascii="Times New Roman" w:eastAsia="Times New Roman" w:hAnsi="Times New Roman" w:cs="Times New Roman"/>
          <w:color w:val="000000"/>
          <w:spacing w:val="0"/>
          <w:w w:val="100"/>
          <w:position w:val="0"/>
          <w:shd w:val="clear" w:color="auto" w:fill="auto"/>
          <w:lang w:val="hr-HR" w:eastAsia="hr-HR" w:bidi="hr-HR"/>
        </w:rPr>
        <w:t>kao neslomljivi protivnik teorije o stvorenosti Kurana koju je zastupala slobodoumna teo</w:t>
        <w:softHyphen/>
        <w:t>loška škola mutezilita. On potječe iz tabora Ahl al-haditha. U skladu je s tim i njegov od</w:t>
        <w:softHyphen/>
        <w:t xml:space="preserve">nos prema tradiciji. Po njemu, ona stoji na jednakom stupnju s objavom. </w:t>
      </w:r>
      <w:r>
        <w:rPr>
          <w:rFonts w:ascii="Times New Roman" w:eastAsia="Times New Roman" w:hAnsi="Times New Roman" w:cs="Times New Roman"/>
          <w:i/>
          <w:iCs/>
          <w:color w:val="000000"/>
          <w:spacing w:val="0"/>
          <w:w w:val="100"/>
          <w:position w:val="0"/>
          <w:shd w:val="clear" w:color="auto" w:fill="auto"/>
          <w:lang w:val="hr-HR" w:eastAsia="hr-HR" w:bidi="hr-HR"/>
        </w:rPr>
        <w:t>Ibn Henbel</w:t>
      </w:r>
      <w:r>
        <w:rPr>
          <w:rFonts w:ascii="Times New Roman" w:eastAsia="Times New Roman" w:hAnsi="Times New Roman" w:cs="Times New Roman"/>
          <w:color w:val="000000"/>
          <w:spacing w:val="0"/>
          <w:w w:val="100"/>
          <w:position w:val="0"/>
          <w:shd w:val="clear" w:color="auto" w:fill="auto"/>
          <w:lang w:val="hr-HR" w:eastAsia="hr-HR" w:bidi="hr-HR"/>
        </w:rPr>
        <w:t xml:space="preserve"> je jedino eponim škole; njezini utemeljitelji po</w:t>
        <w:softHyphen/>
        <w:t>tječu iz različitih skupina vjernika vjernih tra</w:t>
        <w:softHyphen/>
        <w:t>diciji. Samo u muci i nevolji - prisiljeni okol</w:t>
        <w:softHyphen/>
        <w:t>nostima - hanbeliti kao pravni izvor prihvaća</w:t>
        <w:softHyphen/>
        <w:t xml:space="preserve">ju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consensus </w:t>
      </w:r>
      <w:r>
        <w:rPr>
          <w:rFonts w:ascii="Times New Roman" w:eastAsia="Times New Roman" w:hAnsi="Times New Roman" w:cs="Times New Roman"/>
          <w:i/>
          <w:iCs/>
          <w:color w:val="000000"/>
          <w:spacing w:val="0"/>
          <w:w w:val="100"/>
          <w:position w:val="0"/>
          <w:shd w:val="clear" w:color="auto" w:fill="auto"/>
          <w:lang w:val="hr-HR" w:eastAsia="hr-HR" w:bidi="hr-HR"/>
        </w:rPr>
        <w:t>doctorum</w:t>
      </w:r>
      <w:r>
        <w:rPr>
          <w:rFonts w:ascii="Times New Roman" w:eastAsia="Times New Roman" w:hAnsi="Times New Roman" w:cs="Times New Roman"/>
          <w:color w:val="000000"/>
          <w:spacing w:val="0"/>
          <w:w w:val="100"/>
          <w:position w:val="0"/>
          <w:shd w:val="clear" w:color="auto" w:fill="auto"/>
          <w:lang w:val="hr-HR" w:eastAsia="hr-HR" w:bidi="hr-HR"/>
        </w:rPr>
        <w:t xml:space="preserve"> (al-idžma); prvobitno su oni kao takvi htjeli da važe samo Kuran i sunna. Sljedbenici tih škola u početku su uglav</w:t>
        <w:softHyphen/>
        <w:t>nom bili obični i neobrazovani građani Bag</w:t>
        <w:softHyphen/>
        <w:t>dada, slični onima koji su u XX. stoljeću iz</w:t>
        <w:softHyphen/>
        <w:t>vršili Homeinijevu islamsku revoluciju u Ira</w:t>
        <w:softHyphen/>
        <w:t>nu. Za ovu je školu karakteristična dominacija sakralnoga znanja u njihovu mišljenju i os</w:t>
        <w:softHyphen/>
        <w:t>jećanju. Danas se područje njezina utjecaja ograničuje na Saudijsku Arabiju, gdje je ona zahvaljujući »vahabitskomu pokretu« doživje</w:t>
        <w:softHyphen/>
        <w:t>la jednu vrstu preporoda, i na neke druge dijelove arapskih zemalja kao i na manje sku</w:t>
        <w:softHyphen/>
        <w:t>pine indijskih muslimana. Zbog učlanjenja u vjerske, kulturne, gospodarske i političke po</w:t>
        <w:softHyphen/>
        <w:t>krete Trećega svijeta, gdje se pojavljuje prije svega kao financijski čimbenik, ona je u okvi</w:t>
        <w:softHyphen/>
        <w:t>rima svjetskog islama dobila veće značenje se</w:t>
        <w:softHyphen/>
        <w:t>damdesetih godina XX. stoljeća. Vahabitska slika svijeta, koja se očituje u svjetskoj pro</w:t>
        <w:softHyphen/>
        <w:t>midžbi islama potekloj iz Saudijske Arabije, djeluje zgodimice zaostalo i nehumano, te prekriva cjelokupni islam patinom arhaične religije duboko uronjene u srednji vijek - a to je pojava koja nelagodom ispunjava sve na</w:t>
        <w:softHyphen/>
        <w:t>predne vjernike u svijetu.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Tijekom je povijesti bilo i drugih škola koje su u međuvremenu nestale. Spomena su vrijedne škole al-Avzija (u. 773) u sjevernoj Africi i Španjolskoj, koje je kasnije tamo dokinula malikitska škola, škola Sufijana-at-Tcvrija (ute</w:t>
        <w:softHyphen/>
        <w:t>meljitelj, u. 778) u Kufi, škola Abu Tcvra (u. 854) u Armeniji, džaririjska škola koju je po</w:t>
        <w:softHyphen/>
        <w:t>novno oživio glasoviti komentator Kurana at- -Tabari (u. 923) i stara zahiritska škola. Toj je zadnje spomenutoj pripadao, između ostalih, utjecajni španjolski učenjak Ibn Hazm od An- daluzije (u. 1064). Njezina se posebnost sasto</w:t>
        <w:softHyphen/>
        <w:t>jala u tome što je slijedila doslovno jasan smi</w:t>
        <w:softHyphen/>
        <w:t>sao kuranskih i hadiskih tekstova te izbjega</w:t>
        <w:softHyphen/>
        <w:t>vala analoške zaključke i druge pravne me</w:t>
        <w:softHyphen/>
        <w:t>tode.</w:t>
      </w:r>
    </w:p>
    <w:p>
      <w:pPr>
        <w:pStyle w:val="Style56"/>
        <w:keepNext w:val="0"/>
        <w:keepLines w:val="0"/>
        <w:widowControl w:val="0"/>
        <w:shd w:val="clear" w:color="auto" w:fill="auto"/>
        <w:tabs>
          <w:tab w:pos="2568" w:val="left"/>
        </w:tabs>
        <w:bidi w:val="0"/>
        <w:spacing w:before="0" w:after="280" w:line="240" w:lineRule="auto"/>
        <w:ind w:left="0" w:right="0" w:firstLine="0"/>
        <w:jc w:val="both"/>
      </w:pPr>
      <w:r>
        <w:rPr>
          <w:color w:val="000000"/>
          <w:spacing w:val="0"/>
          <w:w w:val="100"/>
          <w:position w:val="0"/>
          <w:shd w:val="clear" w:color="auto" w:fill="auto"/>
        </w:rPr>
        <w:t xml:space="preserve">Lit.: Joseph Schacht, </w:t>
      </w:r>
      <w:r>
        <w:rPr>
          <w:i/>
          <w:iCs/>
          <w:color w:val="000000"/>
          <w:spacing w:val="0"/>
          <w:w w:val="100"/>
          <w:position w:val="0"/>
          <w:shd w:val="clear" w:color="auto" w:fill="auto"/>
        </w:rPr>
        <w:t>An Introduction to Islamic Law,</w:t>
      </w:r>
      <w:r>
        <w:rPr>
          <w:color w:val="000000"/>
          <w:spacing w:val="0"/>
          <w:w w:val="100"/>
          <w:position w:val="0"/>
          <w:shd w:val="clear" w:color="auto" w:fill="auto"/>
        </w:rPr>
        <w:t xml:space="preserve"> Ox</w:t>
        <w:softHyphen/>
        <w:t xml:space="preserve">ford 1964; Th. W. Juynboil, </w:t>
      </w:r>
      <w:r>
        <w:rPr>
          <w:i/>
          <w:iCs/>
          <w:color w:val="000000"/>
          <w:spacing w:val="0"/>
          <w:w w:val="100"/>
          <w:position w:val="0"/>
          <w:shd w:val="clear" w:color="auto" w:fill="auto"/>
        </w:rPr>
        <w:t>Handbueh des iskurtischen Ge- seizes,</w:t>
      </w:r>
      <w:r>
        <w:rPr>
          <w:color w:val="000000"/>
          <w:spacing w:val="0"/>
          <w:w w:val="100"/>
          <w:position w:val="0"/>
          <w:shd w:val="clear" w:color="auto" w:fill="auto"/>
        </w:rPr>
        <w:t xml:space="preserve"> Leiden 1910.</w:t>
        <w:tab/>
      </w:r>
      <w:r>
        <w:rPr>
          <w:color w:val="000000"/>
          <w:spacing w:val="0"/>
          <w:w w:val="100"/>
          <w:position w:val="0"/>
          <w:shd w:val="clear" w:color="auto" w:fill="auto"/>
          <w:lang w:val="hr-HR" w:eastAsia="hr-HR" w:bidi="hr-HR"/>
        </w:rPr>
        <w:t>S.RAI.IĆ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PRAVEDNOST</w:t>
      </w:r>
    </w:p>
    <w:p>
      <w:pPr>
        <w:pStyle w:val="Style63"/>
        <w:keepNext/>
        <w:keepLines/>
        <w:widowControl w:val="0"/>
        <w:numPr>
          <w:ilvl w:val="0"/>
          <w:numId w:val="427"/>
        </w:numPr>
        <w:shd w:val="clear" w:color="auto" w:fill="auto"/>
        <w:tabs>
          <w:tab w:pos="246" w:val="left"/>
        </w:tabs>
        <w:bidi w:val="0"/>
        <w:spacing w:before="0"/>
        <w:ind w:left="0" w:right="0" w:firstLine="0"/>
        <w:jc w:val="both"/>
      </w:pPr>
      <w:bookmarkStart w:id="269" w:name="bookmark269"/>
      <w:r>
        <w:rPr>
          <w:rFonts w:ascii="Times New Roman" w:eastAsia="Times New Roman" w:hAnsi="Times New Roman" w:cs="Times New Roman"/>
          <w:color w:val="000000"/>
          <w:spacing w:val="0"/>
          <w:w w:val="100"/>
          <w:position w:val="0"/>
          <w:shd w:val="clear" w:color="auto" w:fill="auto"/>
          <w:lang w:val="hr-HR" w:eastAsia="hr-HR" w:bidi="hr-HR"/>
        </w:rPr>
        <w:t>židovski</w:t>
      </w:r>
      <w:bookmarkEnd w:id="269"/>
    </w:p>
    <w:p>
      <w:pPr>
        <w:pStyle w:val="Style20"/>
        <w:keepNext w:val="0"/>
        <w:keepLines w:val="0"/>
        <w:widowControl w:val="0"/>
        <w:numPr>
          <w:ilvl w:val="0"/>
          <w:numId w:val="429"/>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Božansko podrijetlo: »P.« u Bibliji i u tradi</w:t>
        <w:softHyphen/>
        <w:t>cijskoj literaturi nije nikada samo »etički« ili »socijalni« nego uvijek i »religijski« izraz. On upućuje na Boga kao izvorište jedinstva pra</w:t>
        <w:softHyphen/>
        <w:t xml:space="preserve">vog suda i pravog djela (1 Kr 10,9; Iz 9,6; Jr 23,5; 33,15). Bog je u Izraelu, odnosno na zemlji odredio »pravo« i »p.« (Iz 1,27; 28,17; 33,5; Jr 9,23; Ps 99,4); stoga Božji sljedbenici mogu i oploditi ono što im je zasađeno (Iz 5,7;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5,7.24; 6,12). Taj par riječi, odnosno sama riječ »p.« postali su jedan od temeljnih biblijskih i talmudskih pojmova u odnosu Bog-čovjek: »Zoveš Boga pravednim, pa budi i ti pravedan« (Šifre Pnz 11,22), opisuje mi- draš »oponašanje Boga«, tj. učinak na čovjeka djelovanjem Boga. Čovjek spoznaje ljubav i p. kao ono što Bog daje i zapovijeda (Iz 5,1 i d. 16). Bog ga poučava o putevima kojima treba poći: »Trebaju hoditi MOJIM putem radeći što je dobro i pravedno« (Post 18,19). Shvatiti sama sebe znači učiti od Boga da postaneš stvorenje po Božjoj volji: »Objavljeno ti je, čo</w:t>
        <w:softHyphen/>
        <w:t>vječe, što je dobro, što ON traži od tebe: samo činiti pravicu, milosrđe ljubiti i smjerno sa svo</w:t>
        <w:softHyphen/>
        <w:t>jim Bogom hoditi« (Mi 6,8).</w:t>
      </w:r>
    </w:p>
    <w:p>
      <w:pPr>
        <w:pStyle w:val="Style20"/>
        <w:keepNext w:val="0"/>
        <w:keepLines w:val="0"/>
        <w:widowControl w:val="0"/>
        <w:numPr>
          <w:ilvl w:val="0"/>
          <w:numId w:val="429"/>
        </w:numPr>
        <w:shd w:val="clear" w:color="auto" w:fill="auto"/>
        <w:tabs>
          <w:tab w:pos="274" w:val="left"/>
        </w:tabs>
        <w:bidi w:val="0"/>
        <w:spacing w:before="0" w:after="0"/>
        <w:ind w:left="0" w:right="0" w:firstLine="0"/>
        <w:jc w:val="both"/>
        <w:sectPr>
          <w:headerReference w:type="default" r:id="rId1123"/>
          <w:footerReference w:type="default" r:id="rId1124"/>
          <w:headerReference w:type="even" r:id="rId1125"/>
          <w:footerReference w:type="even" r:id="rId1126"/>
          <w:headerReference w:type="first" r:id="rId1127"/>
          <w:footerReference w:type="first" r:id="rId1128"/>
          <w:footnotePr>
            <w:pos w:val="pageBottom"/>
            <w:numFmt w:val="decimal"/>
            <w:numRestart w:val="continuous"/>
            <w15:footnoteColumns w:val="1"/>
          </w:footnotePr>
          <w:pgSz w:w="6816" w:h="11006"/>
          <w:pgMar w:top="975" w:left="189" w:right="196" w:bottom="532" w:header="0" w:footer="3" w:gutter="0"/>
          <w:pgNumType w:start="366"/>
          <w:cols w:num="2" w:space="15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Učinak na čovjeka: »Ako želiš izvršiti zapo</w:t>
        <w:softHyphen/>
        <w:t xml:space="preserve">vijed: Po pravdi sudi svomu bližnjemu - tada osudi svakog čovjeka na dobro!«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19,15). Bog je milosrdan i milostiv, pa takav mora biti i čovjek. Jedan tumač nastavio je riječi Boga iz Izl 34,6: »Ja sam milostiv (= ob</w:t>
        <w:softHyphen/>
        <w:t>jašnjenje Božjeg imena) prije negoli čovjek zgriješi, i takav sam pošto je čovjek zgriješio i obratio se« (b Roš ha-šana 17b; Raši u vezi s cit. mjestom). Božje milosrđe treba čovjeka uputiti prema bližnjemu (sučovjeku) i u sudu mu biti odmjeren. P. kakvu želi Bog izrasta iz ljubavi. Samo ona štiti od umišljene praved</w:t>
        <w:softHyphen/>
        <w:t>nosti suca koji je »čovjeku rekao: Makni taj trun što ti je između očiju«, a čovjek mu je odgovorio: »Makni taj balvan što ti je između očiju« (b Bava batra 15b). Mudraci su u bi</w:t>
        <w:softHyphen/>
        <w:t>blijskoj jezičnoj upotrebi našli značenje za do</w:t>
        <w:softHyphen/>
        <w:t>bro koje treba odrediti put i cilj pravednosti. Naučavali su o živoj pravednosti čija se stro</w:t>
        <w:softHyphen/>
      </w:r>
    </w:p>
    <w:p>
      <w:pPr>
        <w:pStyle w:val="Style20"/>
        <w:keepNext w:val="0"/>
        <w:keepLines w:val="0"/>
        <w:widowControl w:val="0"/>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gost u djelovanju mora pokazati kao milosrđe. Jakov se pri susretu s Ezavom naklonio sedam puta (Post 33,4), a to pokazuje da je »time htio reći: Promatraj se kao da si unutar sedam odaja, da sjediš na sudu i ja pred tobom kao tuženik i da osjećaš prema meni samilost.« Prema Rabi Hanini bar Jichaku, Jakov se »ni</w:t>
        <w:softHyphen/>
        <w:t xml:space="preserve">je maknuo s mjesta, nego je išao gore-dolje sve dok mjeru pravednosti nije pretvorio u mjeru milosrđa« (Bcrešit raba LXXVIII,33,3). Ženina veća razboritost ponukala je Rabi </w:t>
      </w:r>
      <w:r>
        <w:rPr>
          <w:rFonts w:ascii="Times New Roman" w:eastAsia="Times New Roman" w:hAnsi="Times New Roman" w:cs="Times New Roman"/>
          <w:color w:val="000000"/>
          <w:spacing w:val="0"/>
          <w:w w:val="100"/>
          <w:position w:val="0"/>
          <w:shd w:val="clear" w:color="auto" w:fill="auto"/>
          <w:lang w:val="en-US" w:eastAsia="en-US" w:bidi="en-US"/>
        </w:rPr>
        <w:t xml:space="preserve">Meira </w:t>
      </w:r>
      <w:r>
        <w:rPr>
          <w:rFonts w:ascii="Times New Roman" w:eastAsia="Times New Roman" w:hAnsi="Times New Roman" w:cs="Times New Roman"/>
          <w:color w:val="000000"/>
          <w:spacing w:val="0"/>
          <w:w w:val="100"/>
          <w:position w:val="0"/>
          <w:shd w:val="clear" w:color="auto" w:fill="auto"/>
          <w:lang w:val="hr-HR" w:eastAsia="hr-HR" w:bidi="hr-HR"/>
        </w:rPr>
        <w:t>(II. stoljeće) na promjenu mišljenja ka</w:t>
        <w:softHyphen/>
        <w:t>da se protiv svojih neprijatelja usrdno molio »da umru...: Ti se, doduše, oslanjaš na redak u Pismu (Ps 104,35): neka nestanu grijesi, ali to ne znači grešnici, već grijesi... Kad se uniš</w:t>
        <w:softHyphen/>
        <w:t>te grijesi, nema više ni zločina. Radije se moli za njihovo milosrđe kako bi se obratili« (b Berahot 10a). Jedan je propovjednik izričito opomenuo: »Jao zlikovcima koji osobinu mi</w:t>
        <w:softHyphen/>
        <w:t xml:space="preserve">losrđa pretvaraju u osobinu strogosti« (Be- </w:t>
      </w:r>
      <w:r>
        <w:rPr>
          <w:rFonts w:ascii="Times New Roman" w:eastAsia="Times New Roman" w:hAnsi="Times New Roman" w:cs="Times New Roman"/>
          <w:color w:val="000000"/>
          <w:spacing w:val="0"/>
          <w:w w:val="100"/>
          <w:position w:val="0"/>
          <w:shd w:val="clear" w:color="auto" w:fill="auto"/>
          <w:lang w:val="en-US" w:eastAsia="en-US" w:bidi="en-US"/>
        </w:rPr>
        <w:t xml:space="preserve">midbar </w:t>
      </w:r>
      <w:r>
        <w:rPr>
          <w:rFonts w:ascii="Times New Roman" w:eastAsia="Times New Roman" w:hAnsi="Times New Roman" w:cs="Times New Roman"/>
          <w:color w:val="000000"/>
          <w:spacing w:val="0"/>
          <w:w w:val="100"/>
          <w:position w:val="0"/>
          <w:shd w:val="clear" w:color="auto" w:fill="auto"/>
          <w:lang w:val="hr-HR" w:eastAsia="hr-HR" w:bidi="hr-HR"/>
        </w:rPr>
        <w:t>raba IX,5,21). U proučavanju Biblije rabini su otkrili razumijevanje čovjeka, koje premošćuje sve što dijeli podrijetlo: ne »sve</w:t>
        <w:softHyphen/>
        <w:t xml:space="preserve">ćenici, leviti i Izraelci«, nego ljudi bez razlike djelovali su prema zakonskim pravilima, došli oni kao »pravednici« k Bogu, hvalili ga, bili oni »dobri« kojima on čini dobro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18,5; Iz 26,2; Ps 118,20; 33,1; 125,4). »Iz toga možeš naučiti da je i nežidov, koji poštuje Toru, izjednačen s velikim svećenikom«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Jednom Bogu odgovara jedna p.; jedinstvo Boga treba stvoriti čovjek svojim pravednim djelovanjem na zemlji. Židovstvo poznaje ca- dika (»pravednika«) kao i hasida (»punog lju</w:t>
        <w:softHyphen/>
        <w:t>bavi«) samo u onome koji izvršava dužnost prema bližnjima koju mu je naredio Bog, ona je zapovijed pravednosti. Ona još nije ostva</w:t>
        <w:softHyphen/>
        <w:t xml:space="preserve">rena ako se propušta ili sprečava zahvaćanje u pravo drugoga; kao socijalna zapovijed čak traži djelatno priznanje jednakosti drugih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24,22). I kao neprijatelj on ostaje bližnji (Izl 23,4: Izr 25,21). Bližnji ne smije biti prepušten neizvjesnoj naklonosti; on ima po Božjoj volji pravo na p. koja mu pomaže (Izl 23,6; 22,25 i d.). To pravo čovjeka strogo naglašava midraš kad govori iz Božjih usta: »Veliki i mali pred Bogom su jednaki« i dodaje komentar Rabi Hanine: »Veliki i mali jednaki su na svijetu, pa čovjek u svojoj nevolji ne treba klonuti du</w:t>
        <w:softHyphen/>
        <w:t xml:space="preserve">hom« (Šemot raba </w:t>
      </w:r>
      <w:r>
        <w:rPr>
          <w:rFonts w:ascii="Times New Roman" w:eastAsia="Times New Roman" w:hAnsi="Times New Roman" w:cs="Times New Roman"/>
          <w:color w:val="000000"/>
          <w:spacing w:val="0"/>
          <w:w w:val="100"/>
          <w:position w:val="0"/>
          <w:shd w:val="clear" w:color="auto" w:fill="auto"/>
          <w:lang w:val="en-US" w:eastAsia="en-US" w:bidi="en-US"/>
        </w:rPr>
        <w:t>XL,</w:t>
      </w:r>
      <w:r>
        <w:rPr>
          <w:rFonts w:ascii="Times New Roman" w:eastAsia="Times New Roman" w:hAnsi="Times New Roman" w:cs="Times New Roman"/>
          <w:color w:val="000000"/>
          <w:spacing w:val="0"/>
          <w:w w:val="100"/>
          <w:position w:val="0"/>
          <w:shd w:val="clear" w:color="auto" w:fill="auto"/>
          <w:lang w:val="hr-HR" w:eastAsia="hr-HR" w:bidi="hr-HR"/>
        </w:rPr>
        <w:t xml:space="preserve">31,1,2). No, i kad ga </w:t>
      </w:r>
      <w:r>
        <w:rPr>
          <w:rFonts w:ascii="Times New Roman" w:eastAsia="Times New Roman" w:hAnsi="Times New Roman" w:cs="Times New Roman"/>
          <w:color w:val="000000"/>
          <w:spacing w:val="0"/>
          <w:w w:val="100"/>
          <w:position w:val="0"/>
          <w:shd w:val="clear" w:color="auto" w:fill="auto"/>
          <w:lang w:val="hr-HR" w:eastAsia="hr-HR" w:bidi="hr-HR"/>
        </w:rPr>
        <w:t>ljudi ostvare, važno je ovo: »U tebe je, moj Gospodine, p., a u nas stid«; uz Dn 9,7 Rabi Nehemija je rekao: »Kad bismo i bili pravedni i pomnije promatrali svoja djela, moramo se stidjeti, ne možemo se ni u jednom satu oslo</w:t>
        <w:softHyphen/>
        <w:t>niti na svoju ruku (tj. na svoju jakost i za</w:t>
        <w:softHyphen/>
        <w:t xml:space="preserve">slugu)«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XLI,31,1,2).</w:t>
      </w:r>
    </w:p>
    <w:p>
      <w:pPr>
        <w:pStyle w:val="Style20"/>
        <w:keepNext w:val="0"/>
        <w:keepLines w:val="0"/>
        <w:widowControl w:val="0"/>
        <w:numPr>
          <w:ilvl w:val="0"/>
          <w:numId w:val="429"/>
        </w:numPr>
        <w:shd w:val="clear" w:color="auto" w:fill="auto"/>
        <w:tabs>
          <w:tab w:pos="260"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Nazor Sodome: Bitan i potreban sastavni dio religije jest, prema židovskom shvaćanju, socijalni imperativ. Čovjek je dužnik svojega bližnjega. U potrebitom suočava se s »imao</w:t>
        <w:softHyphen/>
        <w:t>cem dobročinstva« (Izr 3,27): »Nemoj pljač</w:t>
        <w:softHyphen/>
        <w:t>kati siromaha zato što je siromah« (22,22), jer će mu se inače oduzeti ono što mu je Bog dao: pravo da živi kao bližnji (22,23). U midrašu ljudi govore o Sodomi: »Nitko ne treba doći k nama, jer ljudi dolaze k nama samo na našu štetu, želimo se uzdići i svako ophođenje s nama predati zaboravu«; Bog odgovara: »Za dobro koje sam vam omogućio želite predati zaboravu ophođenje s vama? Ja ću vas uklo</w:t>
        <w:softHyphen/>
        <w:t>niti sa svijeta i predati zaboravu« (Bemidbar raba IX,5,27). Ovdje se jasno i odlučno razvija p.: Tko o sebi ne bi mogao ništa drugo reći nego da nije nikada naškodio bližnjemu svo</w:t>
        <w:softHyphen/>
        <w:t>mu, pred Bogom je poput Sodomca. »Tko kaže: ‘Moje je moje, a tvoje tvoje’... To je na</w:t>
        <w:softHyphen/>
        <w:t>zor Sodome« (M Avot V,10). Premda čovjek s takvim stajalištem izjednačava sebe s bližnjim, on ne čini djelo ljubavi: »Evo opačina sestre tvoje Sodome: gizdavo, u izobilju kruha i bez</w:t>
        <w:softHyphen/>
        <w:t>brižno življaše ona i kćeri njezine, a sirotinju i bijednike ne pomagahu« (Ez 16,49). Pravedan je čovjek tek kad pomaže bližnjemu. P. koja se uvijek iskazuje prema siromašnima i slabima obilježila je odredbe u Bibliji i u Talmudu. One se protive svakoj sili vlasnika (Jr 5,8) koja potiskuje pravoga posjednika zemlje i njego</w:t>
        <w:softHyphen/>
        <w:t xml:space="preserve">vih prihoda, Boga, te odriče pravo siromašnih, njegovih štićenika (Pnz 15,1-11. usp. Hilelov prozbul M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 xml:space="preserve">III,6; Ševiit (X,3;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36a). U ponašanju prema siromahu čovjek najprije spozna konkretnu Božju volju da bude sučo- vjek (Mchilta uz Izl 22,24). Kada Biblija i tal</w:t>
        <w:softHyphen/>
        <w:t>mudska literatura u mnogobrojnim slučajevi</w:t>
        <w:softHyphen/>
        <w:t xml:space="preserve">ma oblikuje dužništvo prema siromašnima u pozitivnim propisima, izričito uključuje pridoš- lice i strance (Izl 22,20; Br 15,16;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19,34; 24,22; 25,23.35; Pnz 10,18; 14,29; 16,14; 24,17; Ps 39,13; Bemidbar raba VIII,5,6). Učitelji iz</w:t>
        <w:softHyphen/>
        <w:t xml:space="preserve">lažu: »Stranci ste kod mene, to znači: nemojte od sebe učiniti ljude koji sve sami vrednuju« </w:t>
      </w:r>
      <w:r>
        <w:rPr>
          <w:rFonts w:ascii="Times New Roman" w:eastAsia="Times New Roman" w:hAnsi="Times New Roman" w:cs="Times New Roman"/>
          <w:color w:val="000000"/>
          <w:spacing w:val="0"/>
          <w:w w:val="100"/>
          <w:position w:val="0"/>
          <w:shd w:val="clear" w:color="auto" w:fill="auto"/>
          <w:lang w:val="hr-HR" w:eastAsia="hr-HR" w:bidi="hr-HR"/>
        </w:rPr>
        <w:t xml:space="preserve">(Šifra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25,23). Stoga hvale cadika, jer on ide putem prema svojemu potrebitom bližnjem i time postiže ljudski život: »Pravednik nosi svijet« (Targum za Izr 10,25), u riječi Rabi Jo- hanana: »I zbog jednoga pravednika svijet bi opstao« (b Joma 38b).</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E. E. </w:t>
      </w:r>
      <w:r>
        <w:rPr>
          <w:color w:val="000000"/>
          <w:spacing w:val="0"/>
          <w:w w:val="100"/>
          <w:position w:val="0"/>
          <w:shd w:val="clear" w:color="auto" w:fill="auto"/>
        </w:rPr>
        <w:t xml:space="preserve">Urbach. </w:t>
      </w:r>
      <w:r>
        <w:rPr>
          <w:i/>
          <w:iCs/>
          <w:color w:val="000000"/>
          <w:spacing w:val="0"/>
          <w:w w:val="100"/>
          <w:position w:val="0"/>
          <w:shd w:val="clear" w:color="auto" w:fill="auto"/>
        </w:rPr>
        <w:t xml:space="preserve">The Sages </w:t>
      </w:r>
      <w:r>
        <w:rPr>
          <w:i/>
          <w:iCs/>
          <w:color w:val="000000"/>
          <w:spacing w:val="0"/>
          <w:w w:val="100"/>
          <w:position w:val="0"/>
          <w:shd w:val="clear" w:color="auto" w:fill="auto"/>
          <w:lang w:val="hr-HR" w:eastAsia="hr-HR" w:bidi="hr-HR"/>
        </w:rPr>
        <w:t xml:space="preserve">- </w:t>
      </w:r>
      <w:r>
        <w:rPr>
          <w:i/>
          <w:iCs/>
          <w:color w:val="000000"/>
          <w:spacing w:val="0"/>
          <w:w w:val="100"/>
          <w:position w:val="0"/>
          <w:shd w:val="clear" w:color="auto" w:fill="auto"/>
        </w:rPr>
        <w:t xml:space="preserve">Their Concepts and Beliefs. </w:t>
      </w:r>
      <w:r>
        <w:rPr>
          <w:color w:val="000000"/>
          <w:spacing w:val="0"/>
          <w:w w:val="100"/>
          <w:position w:val="0"/>
          <w:shd w:val="clear" w:color="auto" w:fill="auto"/>
        </w:rPr>
        <w:t xml:space="preserve">1975. </w:t>
      </w:r>
      <w:r>
        <w:rPr>
          <w:color w:val="000000"/>
          <w:spacing w:val="0"/>
          <w:w w:val="100"/>
          <w:position w:val="0"/>
          <w:shd w:val="clear" w:color="auto" w:fill="auto"/>
          <w:lang w:val="hr-HR" w:eastAsia="hr-HR" w:bidi="hr-HR"/>
        </w:rPr>
        <w:t xml:space="preserve">vidi Kazalo;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10,</w:t>
      </w:r>
      <w:r>
        <w:rPr>
          <w:color w:val="000000"/>
          <w:spacing w:val="0"/>
          <w:w w:val="100"/>
          <w:position w:val="0"/>
          <w:shd w:val="clear" w:color="auto" w:fill="auto"/>
          <w:vertAlign w:val="superscript"/>
        </w:rPr>
        <w:t>4</w:t>
      </w:r>
      <w:r>
        <w:rPr>
          <w:color w:val="000000"/>
          <w:spacing w:val="0"/>
          <w:w w:val="100"/>
          <w:position w:val="0"/>
          <w:shd w:val="clear" w:color="auto" w:fill="auto"/>
        </w:rPr>
        <w:t>1978,476 i d.</w:t>
      </w:r>
    </w:p>
    <w:p>
      <w:pPr>
        <w:pStyle w:val="Style74"/>
        <w:keepNext w:val="0"/>
        <w:keepLines w:val="0"/>
        <w:widowControl w:val="0"/>
        <w:shd w:val="clear" w:color="auto" w:fill="auto"/>
        <w:bidi w:val="0"/>
        <w:spacing w:before="0" w:after="28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D. VETTER</w:t>
      </w:r>
    </w:p>
    <w:p>
      <w:pPr>
        <w:pStyle w:val="Style63"/>
        <w:keepNext/>
        <w:keepLines/>
        <w:widowControl w:val="0"/>
        <w:numPr>
          <w:ilvl w:val="0"/>
          <w:numId w:val="427"/>
        </w:numPr>
        <w:shd w:val="clear" w:color="auto" w:fill="auto"/>
        <w:tabs>
          <w:tab w:pos="260" w:val="left"/>
        </w:tabs>
        <w:bidi w:val="0"/>
        <w:spacing w:before="0" w:line="228" w:lineRule="auto"/>
        <w:ind w:left="0" w:right="0" w:firstLine="0"/>
        <w:jc w:val="both"/>
      </w:pPr>
      <w:bookmarkStart w:id="270" w:name="bookmark27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70"/>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w:t>
      </w:r>
      <w:r>
        <w:rPr>
          <w:rFonts w:ascii="Times New Roman" w:eastAsia="Times New Roman" w:hAnsi="Times New Roman" w:cs="Times New Roman"/>
          <w:color w:val="000000"/>
          <w:spacing w:val="0"/>
          <w:w w:val="100"/>
          <w:position w:val="0"/>
          <w:shd w:val="clear" w:color="auto" w:fill="auto"/>
          <w:lang w:val="en-US" w:eastAsia="en-US" w:bidi="en-US"/>
        </w:rPr>
        <w:t xml:space="preserve">p. </w:t>
      </w:r>
      <w:r>
        <w:rPr>
          <w:rFonts w:ascii="Times New Roman" w:eastAsia="Times New Roman" w:hAnsi="Times New Roman" w:cs="Times New Roman"/>
          <w:color w:val="000000"/>
          <w:spacing w:val="0"/>
          <w:w w:val="100"/>
          <w:position w:val="0"/>
          <w:shd w:val="clear" w:color="auto" w:fill="auto"/>
          <w:lang w:val="hr-HR" w:eastAsia="hr-HR" w:bidi="hr-HR"/>
        </w:rPr>
        <w:t xml:space="preserve">i odgovarajući pridjev »pravedan« primjenjuju se u dvama međusobno različitim temeljnim značenjima koja su ipak povezana. Ona mogu služiti vrijednosnom karakterizira- nju: </w:t>
      </w:r>
      <w:r>
        <w:rPr>
          <w:rFonts w:ascii="Times New Roman" w:eastAsia="Times New Roman" w:hAnsi="Times New Roman" w:cs="Times New Roman"/>
          <w:i/>
          <w:iCs/>
          <w:color w:val="000000"/>
          <w:spacing w:val="0"/>
          <w:w w:val="100"/>
          <w:position w:val="0"/>
          <w:shd w:val="clear" w:color="auto" w:fill="auto"/>
          <w:lang w:val="hr-HR" w:eastAsia="hr-HR" w:bidi="hr-HR"/>
        </w:rPr>
        <w:t>a)</w:t>
      </w:r>
      <w:r>
        <w:rPr>
          <w:rFonts w:ascii="Times New Roman" w:eastAsia="Times New Roman" w:hAnsi="Times New Roman" w:cs="Times New Roman"/>
          <w:color w:val="000000"/>
          <w:spacing w:val="0"/>
          <w:w w:val="100"/>
          <w:position w:val="0"/>
          <w:shd w:val="clear" w:color="auto" w:fill="auto"/>
          <w:lang w:val="hr-HR" w:eastAsia="hr-HR" w:bidi="hr-HR"/>
        </w:rPr>
        <w:t xml:space="preserve"> nekog objektivnog poretka (kad npr. neki gospodarski ili socijalni sustav nazivamo pravednim) zatim i </w:t>
      </w:r>
      <w:r>
        <w:rPr>
          <w:rFonts w:ascii="Times New Roman" w:eastAsia="Times New Roman" w:hAnsi="Times New Roman" w:cs="Times New Roman"/>
          <w:i/>
          <w:iCs/>
          <w:color w:val="000000"/>
          <w:spacing w:val="0"/>
          <w:w w:val="100"/>
          <w:position w:val="0"/>
          <w:shd w:val="clear" w:color="auto" w:fill="auto"/>
          <w:lang w:val="hr-HR" w:eastAsia="hr-HR" w:bidi="hr-HR"/>
        </w:rPr>
        <w:t>b)</w:t>
      </w:r>
      <w:r>
        <w:rPr>
          <w:rFonts w:ascii="Times New Roman" w:eastAsia="Times New Roman" w:hAnsi="Times New Roman" w:cs="Times New Roman"/>
          <w:color w:val="000000"/>
          <w:spacing w:val="0"/>
          <w:w w:val="100"/>
          <w:position w:val="0"/>
          <w:shd w:val="clear" w:color="auto" w:fill="auto"/>
          <w:lang w:val="hr-HR" w:eastAsia="hr-HR" w:bidi="hr-HR"/>
        </w:rPr>
        <w:t xml:space="preserve"> subjektivnog držanja (kad, primjerice, nekog suca označimo kao pravednoga).</w:t>
      </w:r>
    </w:p>
    <w:p>
      <w:pPr>
        <w:pStyle w:val="Style20"/>
        <w:keepNext w:val="0"/>
        <w:keepLines w:val="0"/>
        <w:widowControl w:val="0"/>
        <w:numPr>
          <w:ilvl w:val="0"/>
          <w:numId w:val="431"/>
        </w:numPr>
        <w:shd w:val="clear" w:color="auto" w:fill="auto"/>
        <w:tabs>
          <w:tab w:pos="270"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Poredak označavamo kao pravedan kada je takav kakav bi trebao biti. U SZ i NZ p. često znači obuhvatno od Boga obećano spasenje; »Spasenje« ili odgovarajući sinonimi i p. mo</w:t>
        <w:softHyphen/>
        <w:t>gu se međusobno zamijeniti (Tako npr. Iz 45,8 »Rosite nebesa, odozgo, i oblaci, dažditc pravednošću. Neka se rastvori zemlja da pro</w:t>
        <w:softHyphen/>
        <w:t>cvjeta spasenje« i u 2 Pt 3,13: »Ali mi očeku</w:t>
        <w:softHyphen/>
        <w:t>jemo, prema njegovu obećanju, nova nebesa i novu zemlju, gdje prebiva p.«). Ako govorimo o pravednosti u odnosu na ljudske poretke (društveni, gospodarski, politički), tada su slje</w:t>
        <w:softHyphen/>
        <w:t>deća razlikovanja tradicionalna: Pod socijal</w:t>
        <w:softHyphen/>
        <w:t>nom pravdom razumijeva se obuhvatno opće dobro; tu treba uvrstiti (komutativnu) izrav- navajuću pravdu (kad su u pitanju razmjene, ugovori), tj. red kojeg se pojedinci trebaju pridržavati prema pojedincima, zakonsku (le</w:t>
        <w:softHyphen/>
        <w:t>galnu) pravdu, tj. red kojeg se pojedinci tre</w:t>
        <w:softHyphen/>
        <w:t>baju pridržavati prema društvenoj cjelini te pravdu u društvenoj raspodjeli (distributivnu), tj. red kojeg se vlast treba pridržavati prema članovima zajednice. Ove definicije još ne na</w:t>
        <w:softHyphen/>
        <w:t>vode što treba u pojedinačnom slučaju vrije</w:t>
        <w:softHyphen/>
        <w:t>diti kao pravedno. Za određivanje sadržaja pravednosti temeljno je načelo jednakosti: lju</w:t>
        <w:softHyphen/>
        <w:t xml:space="preserve">di trebaju u relevantno sličnim okolnostima jednako postupati (usp. zlatno pravilo Mt, 12: »Sve što želite da ljudi čine vama, činite i vi njima!« ili njegovu primjenu u prispodobi o </w:t>
      </w:r>
      <w:r>
        <w:rPr>
          <w:rFonts w:ascii="Times New Roman" w:eastAsia="Times New Roman" w:hAnsi="Times New Roman" w:cs="Times New Roman"/>
          <w:color w:val="000000"/>
          <w:spacing w:val="0"/>
          <w:w w:val="100"/>
          <w:position w:val="0"/>
          <w:shd w:val="clear" w:color="auto" w:fill="auto"/>
          <w:lang w:val="hr-HR" w:eastAsia="hr-HR" w:bidi="hr-HR"/>
        </w:rPr>
        <w:t>nemilosrdnom dužniku, Mt 18,23-35). Da bismo pobliže odredili što je pravedno, po</w:t>
        <w:softHyphen/>
        <w:t>trebno je ispuniti sadržaj onoga što bi za slič</w:t>
        <w:softHyphen/>
        <w:t>nu, odnosno nesličnu okolnost trebalo vrije</w:t>
        <w:softHyphen/>
        <w:t>diti kao relevantno. Načelo jednakosti razlu- čuje kao kriterij za po sebi relevantnu ncslič- nost (i time za nejednak postupak) samo golu individualnost (Pavao da je Pavao i Petar da je Petar; Bog je nazvan pravednim jer sudi ne obazirući se na uvaženost osobe, usp. 1 Pt 1, 17) i golu različitost mjesta i vremena. U veći</w:t>
        <w:softHyphen/>
        <w:t>ni konteksta pri dodjeli prava i dužnosti, do</w:t>
        <w:softHyphen/>
        <w:t>bara i opterećenja opravdano vrijedi kao ire</w:t>
        <w:softHyphen/>
        <w:t>levantno razlika u spolu, rasnoj i religijskoj pripadnosti te društveni i gospodarski položaj; u većini konteksta relevantni su radna sposob</w:t>
        <w:softHyphen/>
        <w:t>nost i njezin nedostatak. S pojedinačnim od</w:t>
        <w:softHyphen/>
        <w:t>ređivanjem sadržaja pravednosti bavi se nor</w:t>
        <w:softHyphen/>
        <w:t>mativna (individualna i socijalna) etika.</w:t>
      </w:r>
    </w:p>
    <w:p>
      <w:pPr>
        <w:pStyle w:val="Style20"/>
        <w:keepNext w:val="0"/>
        <w:keepLines w:val="0"/>
        <w:widowControl w:val="0"/>
        <w:numPr>
          <w:ilvl w:val="0"/>
          <w:numId w:val="431"/>
        </w:numPr>
        <w:shd w:val="clear" w:color="auto" w:fill="auto"/>
        <w:tabs>
          <w:tab w:pos="265" w:val="left"/>
        </w:tabs>
        <w:bidi w:val="0"/>
        <w:spacing w:before="0" w:after="0" w:line="254" w:lineRule="auto"/>
        <w:ind w:left="0" w:right="0" w:firstLine="0"/>
        <w:jc w:val="both"/>
        <w:sectPr>
          <w:headerReference w:type="default" r:id="rId1129"/>
          <w:footerReference w:type="default" r:id="rId1130"/>
          <w:headerReference w:type="even" r:id="rId1131"/>
          <w:footerReference w:type="even" r:id="rId1132"/>
          <w:headerReference w:type="first" r:id="rId1133"/>
          <w:footerReference w:type="first" r:id="rId1134"/>
          <w:footnotePr>
            <w:pos w:val="pageBottom"/>
            <w:numFmt w:val="decimal"/>
            <w:numRestart w:val="continuous"/>
            <w15:footnoteColumns w:val="1"/>
          </w:footnotePr>
          <w:pgSz w:w="6816" w:h="11006"/>
          <w:pgMar w:top="975" w:left="189" w:right="196" w:bottom="532" w:header="0" w:footer="3" w:gutter="0"/>
          <w:cols w:num="2" w:space="15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Oslanjajući se na ono što se označava kao pravedan poredak, pod pravednošću se razu</w:t>
        <w:softHyphen/>
        <w:t>mijeva zatim i ono ćudoredno držanje ili vrli</w:t>
        <w:softHyphen/>
        <w:t>na »pomoću koje netko postojanom i čvrstom voljom priznaje svakomu njegovo pravo« (To</w:t>
        <w:softHyphen/>
        <w:t xml:space="preserve">ma Akvinski, </w:t>
      </w:r>
      <w:r>
        <w:rPr>
          <w:rFonts w:ascii="Times New Roman" w:eastAsia="Times New Roman" w:hAnsi="Times New Roman" w:cs="Times New Roman"/>
          <w:i/>
          <w:iCs/>
          <w:color w:val="000000"/>
          <w:spacing w:val="0"/>
          <w:w w:val="100"/>
          <w:position w:val="0"/>
          <w:shd w:val="clear" w:color="auto" w:fill="auto"/>
          <w:lang w:val="en-US" w:eastAsia="en-US" w:bidi="en-US"/>
        </w:rPr>
        <w:t xml:space="preserve">Summa </w:t>
      </w:r>
      <w:r>
        <w:rPr>
          <w:rFonts w:ascii="Times New Roman" w:eastAsia="Times New Roman" w:hAnsi="Times New Roman" w:cs="Times New Roman"/>
          <w:i/>
          <w:iCs/>
          <w:color w:val="000000"/>
          <w:spacing w:val="0"/>
          <w:w w:val="100"/>
          <w:position w:val="0"/>
          <w:shd w:val="clear" w:color="auto" w:fill="auto"/>
          <w:lang w:val="hr-HR" w:eastAsia="hr-HR" w:bidi="hr-HR"/>
        </w:rPr>
        <w:t>theologiae,</w:t>
      </w:r>
      <w:r>
        <w:rPr>
          <w:rFonts w:ascii="Times New Roman" w:eastAsia="Times New Roman" w:hAnsi="Times New Roman" w:cs="Times New Roman"/>
          <w:color w:val="000000"/>
          <w:spacing w:val="0"/>
          <w:w w:val="100"/>
          <w:position w:val="0"/>
          <w:shd w:val="clear" w:color="auto" w:fill="auto"/>
          <w:lang w:val="hr-HR" w:eastAsia="hr-HR" w:bidi="hr-HR"/>
        </w:rPr>
        <w:t xml:space="preserve"> 2II q 58 a 1). Prije svega, gledajući na Sveto pismo, treba kod pravednosti u tom smislu razlikovati dva značenja: aa) P. tu često ne znači neki djelo</w:t>
        <w:softHyphen/>
        <w:t>mičan vid božanske biti ili ljudske bogougod- nosti nego samoga Boga kako se spasenjski obraća čovjeku (npr. Iz 56,1: »Jer uskoro ćc se objaviti moja p.« ili Rim 1, 17: »Jer u njemu (Evanđelju) se očituje pravednost Božja, iz vjere u vjeru.«) ili (i ćudorednu) bogougod- nost samoga čovjeka koja mu je od Boga iz milosti darovana na osnovi vjere (npr. Rim 4,6: «... kako i David proglašuje blaženim ono</w:t>
        <w:softHyphen/>
        <w:t>ga komu Bog uračunava p. bez djela«). P. u smislu oznake za Božju spasenjsku volju i spa- senjsko djelovanje kao i za njihovo odraža</w:t>
        <w:softHyphen/>
        <w:t>vanje u vjerniku ne ide dakle mimo dobrote, milosrđa, ljubavi itd. niti je u suparništvu s njima, nego ih tako obuhvaća da se javljaju kao pojedinačni aspekti pravednosti. Riječi p. pripada tada ista funkcija koju (također po</w:t>
        <w:softHyphen/>
        <w:t>lazeći od NZ) danas obično pridajemo riječi »ljubav« kao oznaci za Božju bit i za kvin- tesenciju ćudoredne dobrote. U definiciji sve</w:t>
        <w:softHyphen/>
        <w:t>toga Tome morale bi tada, primjerice, riječi »njegovo pravo«, biti zamijenjene sa »za njega dobro u obuhvatnom smislu«, bb) No, u nor-</w:t>
      </w:r>
    </w:p>
    <w:p>
      <w:pPr>
        <w:pStyle w:val="Style85"/>
        <w:keepNext w:val="0"/>
        <w:keepLines w:val="0"/>
        <w:widowControl w:val="0"/>
        <w:pBdr>
          <w:bottom w:val="single" w:sz="4" w:space="0" w:color="auto"/>
        </w:pBdr>
        <w:shd w:val="clear" w:color="auto" w:fill="auto"/>
        <w:bidi w:val="0"/>
        <w:spacing w:before="0" w:after="0" w:line="240" w:lineRule="auto"/>
        <w:ind w:left="0" w:right="0" w:firstLine="0"/>
        <w:jc w:val="left"/>
        <w:sectPr>
          <w:headerReference w:type="default" r:id="rId1135"/>
          <w:footerReference w:type="default" r:id="rId1136"/>
          <w:headerReference w:type="even" r:id="rId1137"/>
          <w:footerReference w:type="even" r:id="rId1138"/>
          <w:headerReference w:type="first" r:id="rId1139"/>
          <w:footerReference w:type="first" r:id="rId1140"/>
          <w:footnotePr>
            <w:pos w:val="pageBottom"/>
            <w:numFmt w:val="decimal"/>
            <w:numRestart w:val="continuous"/>
            <w15:footnoteColumns w:val="1"/>
          </w:footnotePr>
          <w:pgSz w:w="6816" w:h="11006"/>
          <w:pgMar w:top="626" w:left="209" w:right="209" w:bottom="354" w:header="0" w:footer="3" w:gutter="0"/>
          <w:cols w:space="720"/>
          <w:noEndnote/>
          <w:titlePg/>
          <w:rtlGutter w:val="0"/>
          <w:docGrid w:linePitch="360"/>
        </w:sectPr>
      </w:pPr>
      <w:r>
        <w:rPr>
          <w:color w:val="000000"/>
          <w:spacing w:val="0"/>
          <w:w w:val="100"/>
          <w:position w:val="0"/>
          <w:shd w:val="clear" w:color="auto" w:fill="auto"/>
        </w:rPr>
        <w:t>pravednost/pravo</w:t>
      </w:r>
    </w:p>
    <w:p>
      <w:pPr>
        <w:widowControl w:val="0"/>
        <w:spacing w:line="54" w:lineRule="exact"/>
        <w:rPr>
          <w:sz w:val="4"/>
          <w:szCs w:val="4"/>
        </w:rPr>
      </w:pPr>
    </w:p>
    <w:p>
      <w:pPr>
        <w:widowControl w:val="0"/>
        <w:spacing w:line="1" w:lineRule="exact"/>
        <w:sectPr>
          <w:footnotePr>
            <w:pos w:val="pageBottom"/>
            <w:numFmt w:val="decimal"/>
            <w:numRestart w:val="continuous"/>
            <w15:footnoteColumns w:val="1"/>
          </w:footnotePr>
          <w:type w:val="continuous"/>
          <w:pgSz w:w="6816" w:h="11006"/>
          <w:pgMar w:top="783" w:left="0" w:right="0" w:bottom="398" w:header="0" w:footer="3" w:gutter="0"/>
          <w:cols w:space="720"/>
          <w:noEndnote/>
          <w:rtlGutter w:val="0"/>
          <w:docGrid w:linePitch="360"/>
        </w:sectPr>
      </w:pP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malnoj jezičnoj uporabi, a i u filozofskim i teološkim kontekstima, pod pravednošću se ipak češće razumijeva djelomičan aspekt ću</w:t>
        <w:softHyphen/>
        <w:t>doredne dobrote i savršenstva (točno u smislu kako je definira Toma). Ako se to značenje uzme kao osnova, tada p. možda može doći u sukob s milosrđem ili dobrotom.</w:t>
      </w:r>
    </w:p>
    <w:p>
      <w:pPr>
        <w:pStyle w:val="Style56"/>
        <w:keepNext w:val="0"/>
        <w:keepLines w:val="0"/>
        <w:widowControl w:val="0"/>
        <w:shd w:val="clear" w:color="auto" w:fill="auto"/>
        <w:tabs>
          <w:tab w:pos="2419" w:val="left"/>
        </w:tabs>
        <w:bidi w:val="0"/>
        <w:spacing w:before="0" w:after="36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Wckcl. </w:t>
      </w:r>
      <w:r>
        <w:rPr>
          <w:i/>
          <w:iCs/>
          <w:color w:val="000000"/>
          <w:spacing w:val="0"/>
          <w:w w:val="100"/>
          <w:position w:val="0"/>
          <w:shd w:val="clear" w:color="auto" w:fill="auto"/>
          <w:lang w:val="hr-HR" w:eastAsia="hr-HR" w:bidi="hr-HR"/>
        </w:rPr>
        <w:t xml:space="preserve">Naiurrechi und maleriale Gerechtigkeit, </w:t>
      </w:r>
      <w:r>
        <w:rPr>
          <w:color w:val="000000"/>
          <w:spacing w:val="0"/>
          <w:w w:val="100"/>
          <w:position w:val="0"/>
          <w:shd w:val="clear" w:color="auto" w:fill="auto"/>
        </w:rPr>
        <w:t xml:space="preserve">Gollingen </w:t>
      </w:r>
      <w:r>
        <w:rPr>
          <w:color w:val="000000"/>
          <w:spacing w:val="0"/>
          <w:w w:val="100"/>
          <w:position w:val="0"/>
          <w:shd w:val="clear" w:color="auto" w:fill="auto"/>
          <w:lang w:val="hr-HR" w:eastAsia="hr-HR" w:bidi="hr-HR"/>
        </w:rPr>
        <w:t xml:space="preserve">*1968; </w:t>
      </w:r>
      <w:r>
        <w:rPr>
          <w:color w:val="000000"/>
          <w:spacing w:val="0"/>
          <w:w w:val="100"/>
          <w:position w:val="0"/>
          <w:shd w:val="clear" w:color="auto" w:fill="auto"/>
        </w:rPr>
        <w:t xml:space="preserve">Ch. Perelman, </w:t>
      </w:r>
      <w:r>
        <w:rPr>
          <w:i/>
          <w:iCs/>
          <w:color w:val="000000"/>
          <w:spacing w:val="0"/>
          <w:w w:val="100"/>
          <w:position w:val="0"/>
          <w:shd w:val="clear" w:color="auto" w:fill="auto"/>
        </w:rPr>
        <w:t xml:space="preserve">Uber die </w:t>
      </w:r>
      <w:r>
        <w:rPr>
          <w:i/>
          <w:iCs/>
          <w:color w:val="000000"/>
          <w:spacing w:val="0"/>
          <w:w w:val="100"/>
          <w:position w:val="0"/>
          <w:shd w:val="clear" w:color="auto" w:fill="auto"/>
          <w:lang w:val="hr-HR" w:eastAsia="hr-HR" w:bidi="hr-HR"/>
        </w:rPr>
        <w:t xml:space="preserve">Gerechtigkeit, </w:t>
      </w:r>
      <w:r>
        <w:rPr>
          <w:color w:val="000000"/>
          <w:spacing w:val="0"/>
          <w:w w:val="100"/>
          <w:position w:val="0"/>
          <w:shd w:val="clear" w:color="auto" w:fill="auto"/>
          <w:lang w:val="hr-HR" w:eastAsia="hr-HR" w:bidi="hr-HR"/>
        </w:rPr>
        <w:t xml:space="preserve">Munchcn &gt;967; O. von Ncll-Brcuoing. </w:t>
      </w:r>
      <w:r>
        <w:rPr>
          <w:i/>
          <w:iCs/>
          <w:color w:val="000000"/>
          <w:spacing w:val="0"/>
          <w:w w:val="100"/>
          <w:position w:val="0"/>
          <w:shd w:val="clear" w:color="auto" w:fill="auto"/>
          <w:lang w:val="hr-HR" w:eastAsia="hr-HR" w:bidi="hr-HR"/>
        </w:rPr>
        <w:t xml:space="preserve">Gerechtigkeii und </w:t>
      </w:r>
      <w:r>
        <w:rPr>
          <w:color w:val="000000"/>
          <w:spacing w:val="0"/>
          <w:w w:val="100"/>
          <w:position w:val="0"/>
          <w:shd w:val="clear" w:color="auto" w:fill="auto"/>
          <w:lang w:val="hr-HR" w:eastAsia="hr-HR" w:bidi="hr-HR"/>
        </w:rPr>
        <w:t>£r«Afl/,Wicn 1980.</w:t>
        <w:tab/>
        <w:t>RGIN'll-RS</w:t>
      </w:r>
    </w:p>
    <w:p>
      <w:pPr>
        <w:pStyle w:val="Style63"/>
        <w:keepNext/>
        <w:keepLines/>
        <w:widowControl w:val="0"/>
        <w:numPr>
          <w:ilvl w:val="0"/>
          <w:numId w:val="427"/>
        </w:numPr>
        <w:shd w:val="clear" w:color="auto" w:fill="auto"/>
        <w:tabs>
          <w:tab w:pos="260" w:val="left"/>
        </w:tabs>
        <w:bidi w:val="0"/>
        <w:spacing w:before="0" w:line="228" w:lineRule="auto"/>
        <w:ind w:left="0" w:right="0" w:firstLine="0"/>
        <w:jc w:val="both"/>
      </w:pPr>
      <w:bookmarkStart w:id="271" w:name="bookmark271"/>
      <w:r>
        <w:rPr>
          <w:rFonts w:ascii="Times New Roman" w:eastAsia="Times New Roman" w:hAnsi="Times New Roman" w:cs="Times New Roman"/>
          <w:color w:val="000000"/>
          <w:spacing w:val="0"/>
          <w:w w:val="100"/>
          <w:position w:val="0"/>
          <w:shd w:val="clear" w:color="auto" w:fill="auto"/>
          <w:lang w:val="hr-HR" w:eastAsia="hr-HR" w:bidi="hr-HR"/>
        </w:rPr>
        <w:t>islamski</w:t>
      </w:r>
      <w:bookmarkEnd w:id="271"/>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 je riječ jedna od najupotrebljavanijih u religiji, teologiji, pravu i filozofiji. U islamskoj se etici zapovijed pravednosti skoro izjedna</w:t>
        <w:softHyphen/>
        <w:t>čuje sa zapovijedi ljubavi u kršćanstvu. P. je mjerljiva, oćutiva i predvidiva - ako u društ</w:t>
        <w:softHyphen/>
        <w:t>venome životu ima vrijednost koja se može izračunati, što se za ljubav ne može kazati. P. je jedna od pretpostavki međuljudske solidar</w:t>
        <w:softHyphen/>
        <w:t>nosti i jedinstva. »On je taj koji ti je svojom pomoći i s vjerujućim narodom pružio oslonac i međusobno povezao srca vjernika. Ako bi za to i upotrijebio sve vrijednosti koje su na nebu i na zemlji, ne bi ih mogao pomiriti (svojom snagom).« Pretpostavljajući ovaj stih iz Ku</w:t>
        <w:softHyphen/>
        <w:t>rana islamski moralni teolog Šaban Hodžić zaključuje da se snaga naroda poglavito za</w:t>
        <w:softHyphen/>
        <w:t xml:space="preserve">sniva na </w:t>
      </w:r>
      <w:r>
        <w:rPr>
          <w:rFonts w:ascii="Times New Roman" w:eastAsia="Times New Roman" w:hAnsi="Times New Roman" w:cs="Times New Roman"/>
          <w:i/>
          <w:iCs/>
          <w:color w:val="000000"/>
          <w:spacing w:val="0"/>
          <w:w w:val="100"/>
          <w:position w:val="0"/>
          <w:shd w:val="clear" w:color="auto" w:fill="auto"/>
          <w:lang w:val="hr-HR" w:eastAsia="hr-HR" w:bidi="hr-HR"/>
        </w:rPr>
        <w:t>ljubavi.</w:t>
      </w:r>
      <w:r>
        <w:rPr>
          <w:rFonts w:ascii="Times New Roman" w:eastAsia="Times New Roman" w:hAnsi="Times New Roman" w:cs="Times New Roman"/>
          <w:color w:val="000000"/>
          <w:spacing w:val="0"/>
          <w:w w:val="100"/>
          <w:position w:val="0"/>
          <w:shd w:val="clear" w:color="auto" w:fill="auto"/>
          <w:lang w:val="hr-HR" w:eastAsia="hr-HR" w:bidi="hr-HR"/>
        </w:rPr>
        <w:t xml:space="preserve"> Ali ljubav se zasniva na pra</w:t>
        <w:softHyphen/>
        <w:t xml:space="preserve">vednosti </w:t>
      </w:r>
      <w:r>
        <w:rPr>
          <w:rFonts w:ascii="Times New Roman" w:eastAsia="Times New Roman" w:hAnsi="Times New Roman" w:cs="Times New Roman"/>
          <w:i/>
          <w:iCs/>
          <w:color w:val="000000"/>
          <w:spacing w:val="0"/>
          <w:w w:val="100"/>
          <w:position w:val="0"/>
          <w:shd w:val="clear" w:color="auto" w:fill="auto"/>
          <w:lang w:val="hr-HR" w:eastAsia="hr-HR" w:bidi="hr-HR"/>
        </w:rPr>
        <w:t>(Ahlak,</w:t>
      </w:r>
      <w:r>
        <w:rPr>
          <w:rFonts w:ascii="Times New Roman" w:eastAsia="Times New Roman" w:hAnsi="Times New Roman" w:cs="Times New Roman"/>
          <w:color w:val="000000"/>
          <w:spacing w:val="0"/>
          <w:w w:val="100"/>
          <w:position w:val="0"/>
          <w:shd w:val="clear" w:color="auto" w:fill="auto"/>
          <w:lang w:val="hr-HR" w:eastAsia="hr-HR" w:bidi="hr-HR"/>
        </w:rPr>
        <w:t xml:space="preserve"> Sarajevo 1940, 92). U mute- zilitskoj teologiji Božja p. čini jedan od pet te</w:t>
        <w:softHyphen/>
        <w:t xml:space="preserve">meljnih članaka vjere. P. se opisuje kao stanje moralnoga i religioznog usavršavanja. To se stanje teško postiže. Njega mogu dostići samo izvanredne osobnosti, koje narod promatra kao svece. Prema šijitskom vjerovanju tek će očekivani Mesija </w:t>
      </w:r>
      <w:r>
        <w:rPr>
          <w:rFonts w:ascii="Times New Roman" w:eastAsia="Times New Roman" w:hAnsi="Times New Roman" w:cs="Times New Roman"/>
          <w:i/>
          <w:iCs/>
          <w:color w:val="000000"/>
          <w:spacing w:val="0"/>
          <w:w w:val="100"/>
          <w:position w:val="0"/>
          <w:shd w:val="clear" w:color="auto" w:fill="auto"/>
          <w:lang w:val="hr-HR" w:eastAsia="hr-HR" w:bidi="hr-HR"/>
        </w:rPr>
        <w:t>(al-MahđT)</w:t>
      </w:r>
      <w:r>
        <w:rPr>
          <w:rFonts w:ascii="Times New Roman" w:eastAsia="Times New Roman" w:hAnsi="Times New Roman" w:cs="Times New Roman"/>
          <w:color w:val="000000"/>
          <w:spacing w:val="0"/>
          <w:w w:val="100"/>
          <w:position w:val="0"/>
          <w:shd w:val="clear" w:color="auto" w:fill="auto"/>
          <w:lang w:val="hr-HR" w:eastAsia="hr-HR" w:bidi="hr-HR"/>
        </w:rPr>
        <w:t xml:space="preserve"> uspostaviti pot</w:t>
        <w:softHyphen/>
        <w:t>punu p. u svijetu. Neovisno o tome, praved</w:t>
        <w:softHyphen/>
        <w:t>nosti je dužan služiti i sudac, snagom svoje službe, ali i snagom vjere. Ideja materijalne pravednosti ne igra neku važniju ulogu u teo</w:t>
        <w:softHyphen/>
        <w:t>riji religioznoga zakona, premda se za nju za</w:t>
        <w:softHyphen/>
        <w:t>laže prilikom obrade optužbi. Pravedan je čovjek po muslimanskomu shvaćanju iden</w:t>
        <w:softHyphen/>
        <w:t>tičan s moralno bezgrešnom osobnošću. Islam</w:t>
        <w:softHyphen/>
        <w:t>sko pravo - tipično pravo zasnovano na svje</w:t>
        <w:softHyphen/>
        <w:t>docima - najveću vrijednost polaže na osobnu p. svjedoka. Važno je da se p. može pretposta</w:t>
        <w:softHyphen/>
        <w:t>viti kao postojeća u trenutku svjedokova da</w:t>
        <w:softHyphen/>
      </w:r>
      <w:r>
        <w:rPr>
          <w:rFonts w:ascii="Times New Roman" w:eastAsia="Times New Roman" w:hAnsi="Times New Roman" w:cs="Times New Roman"/>
          <w:color w:val="000000"/>
          <w:spacing w:val="0"/>
          <w:w w:val="100"/>
          <w:position w:val="0"/>
          <w:shd w:val="clear" w:color="auto" w:fill="auto"/>
          <w:lang w:val="hr-HR" w:eastAsia="hr-HR" w:bidi="hr-HR"/>
        </w:rPr>
        <w:t>vanja iskaza. Islamski sudovi uvode u stanovi</w:t>
        <w:softHyphen/>
        <w:t xml:space="preserve">tim okolnostima poseban istražni postupak za provjeru pravednosti svjedoka </w:t>
      </w:r>
      <w:r>
        <w:rPr>
          <w:rFonts w:ascii="Times New Roman" w:eastAsia="Times New Roman" w:hAnsi="Times New Roman" w:cs="Times New Roman"/>
          <w:i/>
          <w:iCs/>
          <w:color w:val="000000"/>
          <w:spacing w:val="0"/>
          <w:w w:val="100"/>
          <w:position w:val="0"/>
          <w:shd w:val="clear" w:color="auto" w:fill="auto"/>
          <w:lang w:val="hr-HR" w:eastAsia="hr-HR" w:bidi="hr-HR"/>
        </w:rPr>
        <w:t>(jezkija: tez- kiya).</w:t>
      </w:r>
    </w:p>
    <w:p>
      <w:pPr>
        <w:pStyle w:val="Style56"/>
        <w:keepNext w:val="0"/>
        <w:keepLines w:val="0"/>
        <w:widowControl w:val="0"/>
        <w:shd w:val="clear" w:color="auto" w:fill="auto"/>
        <w:tabs>
          <w:tab w:pos="2510" w:val="left"/>
        </w:tabs>
        <w:bidi w:val="0"/>
        <w:spacing w:before="0" w:after="380" w:line="240" w:lineRule="auto"/>
        <w:ind w:left="0" w:right="0" w:firstLine="0"/>
        <w:jc w:val="both"/>
        <w:rPr>
          <w:sz w:val="10"/>
          <w:szCs w:val="10"/>
        </w:rPr>
      </w:pPr>
      <w:r>
        <w:rPr>
          <w:color w:val="000000"/>
          <w:spacing w:val="0"/>
          <w:w w:val="100"/>
          <w:position w:val="0"/>
          <w:sz w:val="12"/>
          <w:szCs w:val="12"/>
          <w:shd w:val="clear" w:color="auto" w:fill="auto"/>
        </w:rPr>
        <w:t xml:space="preserve">Lie </w:t>
      </w:r>
      <w:r>
        <w:rPr>
          <w:color w:val="000000"/>
          <w:spacing w:val="0"/>
          <w:w w:val="100"/>
          <w:position w:val="0"/>
          <w:sz w:val="12"/>
          <w:szCs w:val="12"/>
          <w:shd w:val="clear" w:color="auto" w:fill="auto"/>
          <w:lang w:val="hr-HR" w:eastAsia="hr-HR" w:bidi="hr-HR"/>
        </w:rPr>
        <w:t xml:space="preserve">E. </w:t>
      </w:r>
      <w:r>
        <w:rPr>
          <w:color w:val="000000"/>
          <w:spacing w:val="0"/>
          <w:w w:val="100"/>
          <w:position w:val="0"/>
          <w:sz w:val="12"/>
          <w:szCs w:val="12"/>
          <w:shd w:val="clear" w:color="auto" w:fill="auto"/>
        </w:rPr>
        <w:t xml:space="preserve">Tyan, </w:t>
      </w:r>
      <w:r>
        <w:rPr>
          <w:color w:val="000000"/>
          <w:spacing w:val="0"/>
          <w:w w:val="100"/>
          <w:position w:val="0"/>
          <w:sz w:val="12"/>
          <w:szCs w:val="12"/>
          <w:shd w:val="clear" w:color="auto" w:fill="auto"/>
          <w:lang w:val="hr-HR" w:eastAsia="hr-HR" w:bidi="hr-HR"/>
        </w:rPr>
        <w:t>Adi, u: F.P I 209-210.</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S. BAI.1Ć</w:t>
      </w:r>
    </w:p>
    <w:p>
      <w:pPr>
        <w:pStyle w:val="Style33"/>
        <w:keepNext w:val="0"/>
        <w:keepLines w:val="0"/>
        <w:widowControl w:val="0"/>
        <w:shd w:val="clear" w:color="auto" w:fill="auto"/>
        <w:bidi w:val="0"/>
        <w:spacing w:before="0" w:after="160" w:line="22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PRAVO</w:t>
      </w:r>
    </w:p>
    <w:p>
      <w:pPr>
        <w:pStyle w:val="Style63"/>
        <w:keepNext/>
        <w:keepLines/>
        <w:widowControl w:val="0"/>
        <w:numPr>
          <w:ilvl w:val="0"/>
          <w:numId w:val="433"/>
        </w:numPr>
        <w:shd w:val="clear" w:color="auto" w:fill="auto"/>
        <w:tabs>
          <w:tab w:pos="250" w:val="left"/>
        </w:tabs>
        <w:bidi w:val="0"/>
        <w:spacing w:before="0" w:after="80" w:line="228" w:lineRule="auto"/>
        <w:ind w:left="0" w:right="0" w:firstLine="0"/>
        <w:jc w:val="both"/>
      </w:pPr>
      <w:bookmarkStart w:id="272" w:name="bookmark272"/>
      <w:r>
        <w:rPr>
          <w:rFonts w:ascii="Times New Roman" w:eastAsia="Times New Roman" w:hAnsi="Times New Roman" w:cs="Times New Roman"/>
          <w:color w:val="000000"/>
          <w:spacing w:val="0"/>
          <w:w w:val="100"/>
          <w:position w:val="0"/>
          <w:shd w:val="clear" w:color="auto" w:fill="auto"/>
          <w:lang w:val="hr-HR" w:eastAsia="hr-HR" w:bidi="hr-HR"/>
        </w:rPr>
        <w:t>židovski</w:t>
      </w:r>
      <w:bookmarkEnd w:id="272"/>
    </w:p>
    <w:p>
      <w:pPr>
        <w:pStyle w:val="Style20"/>
        <w:keepNext w:val="0"/>
        <w:keepLines w:val="0"/>
        <w:widowControl w:val="0"/>
        <w:shd w:val="clear" w:color="auto" w:fill="auto"/>
        <w:bidi w:val="0"/>
        <w:spacing w:before="0" w:after="12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w:t>
      </w:r>
      <w:r>
        <w:rPr>
          <w:rFonts w:ascii="Times New Roman" w:eastAsia="Times New Roman" w:hAnsi="Times New Roman" w:cs="Times New Roman"/>
          <w:i/>
          <w:iCs/>
          <w:color w:val="000000"/>
          <w:spacing w:val="0"/>
          <w:w w:val="100"/>
          <w:position w:val="0"/>
          <w:shd w:val="clear" w:color="auto" w:fill="auto"/>
          <w:lang w:val="hr-HR" w:eastAsia="hr-HR" w:bidi="hr-HR"/>
        </w:rPr>
        <w:t>»Mojsije je primio Toru na Sinaju.«</w:t>
      </w:r>
      <w:r>
        <w:rPr>
          <w:rFonts w:ascii="Times New Roman" w:eastAsia="Times New Roman" w:hAnsi="Times New Roman" w:cs="Times New Roman"/>
          <w:color w:val="000000"/>
          <w:spacing w:val="0"/>
          <w:w w:val="100"/>
          <w:position w:val="0"/>
          <w:shd w:val="clear" w:color="auto" w:fill="auto"/>
          <w:lang w:val="hr-HR" w:eastAsia="hr-HR" w:bidi="hr-HR"/>
        </w:rPr>
        <w:t xml:space="preserve"> Židov</w:t>
        <w:softHyphen/>
        <w:t>sko je p. danas u hebrejskoj Bibliji, Talmudu i u kodifikacijskoj literaturi uz responze - odgovore što su ih dali rabinski autoriteti u obliku poslanica ili pravnih mišljenja. »Reli</w:t>
        <w:softHyphen/>
        <w:t>gijsko« p. ne razlikuje se od »svjetovnoga«, već se prije proteže na čitav život. Naime, ono se shvaća kao Božje, a nc čovječje djelo: »Moj- sije je Toru (ovdje se poglavito misli na usme</w:t>
        <w:softHyphen/>
        <w:t>ni nauk) primio na Sinaju i. .. predao je u baš</w:t>
        <w:softHyphen/>
        <w:t>tinu« (M Avot 1,1). Stoga moć nije p. - ona je nepravo? - nego je p. moć koja dolazi od Bo</w:t>
        <w:softHyphen/>
        <w:t>ga. Stoga je nastalo staro tumačenje: »Moć Božja je u tome da on voli p. U ljudskoj dje</w:t>
        <w:softHyphen/>
        <w:t>latnosti moć biva proturječje prava; tko ima vlast, prekoračuje p. U Bogu je sama moć p.« (Midraš Tehilim u vezi s Ps 99,4). - U užem smislu p. obuhvaća sve odredbe koje su po</w:t>
        <w:softHyphen/>
        <w:t>vezane s odnosima čovjeka prema čovjeku i zajednice prema pojedincu i koje u određe</w:t>
        <w:softHyphen/>
        <w:t>nim sporovima reguliraju odluke. Prema tra</w:t>
        <w:softHyphen/>
        <w:t>dicijskom shvaćanju p. obvezuje Židove pos</w:t>
        <w:softHyphen/>
        <w:t>vuda i uvijek, osim pojedinačnih zakona koji »izvan zemlje« Izraela ne važe ili su povezani s egzistencijom suverene židovske države. Ob- vezatnost prava temelji se na religiji: ono ima uporište u samom Bogu kao davatelju i zaštit</w:t>
        <w:softHyphen/>
        <w:t>niku prava; državna prisila nc osigurava pre</w:t>
        <w:softHyphen/>
        <w:t>sudno njegovo provođenje. Jedan propis ipak nalaže Židovima u dijaspori da priznaju za</w:t>
        <w:softHyphen/>
        <w:t>kon strane države ako se on nc kosi s religij- sko-moralnim zakonom židovstva; to temelj</w:t>
        <w:softHyphen/>
        <w:t xml:space="preserve">no načelo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10b) odnosi se prvenstveno na imovinsko p., posebice na porezno zakono</w:t>
        <w:softHyphen/>
        <w:t>davstvo i nc tiče se židovskoga bogoštovnog. obiteljskog i bračnog prava. Tek je uvođenje općega građanskog prava u XIX. stoljeću i za židovske državljane, sada priznate punoprav</w:t>
        <w:softHyphen/>
        <w:t>ne građane, potisnulo praktičnu primjenu ži</w:t>
        <w:softHyphen/>
        <w:t>dovskoga prava.</w:t>
      </w:r>
    </w:p>
    <w:p>
      <w:pPr>
        <w:pStyle w:val="Style20"/>
        <w:keepNext w:val="0"/>
        <w:keepLines w:val="0"/>
        <w:widowControl w:val="0"/>
        <w:numPr>
          <w:ilvl w:val="0"/>
          <w:numId w:val="43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 njima će naći život.*</w:t>
      </w:r>
      <w:r>
        <w:rPr>
          <w:rFonts w:ascii="Times New Roman" w:eastAsia="Times New Roman" w:hAnsi="Times New Roman" w:cs="Times New Roman"/>
          <w:color w:val="000000"/>
          <w:spacing w:val="0"/>
          <w:w w:val="100"/>
          <w:position w:val="0"/>
          <w:shd w:val="clear" w:color="auto" w:fill="auto"/>
          <w:lang w:val="hr-HR" w:eastAsia="hr-HR" w:bidi="hr-HR"/>
        </w:rPr>
        <w:t xml:space="preserve"> Uspostava prava u Bogu, koji daje i očekuje ljubav, sjedinjuje strogost i blagost. Pravna praksa mora između strogog zahtjeva i dobrostivog popuštanja pronaći srednju liniju kako bi zadovoljila na</w:t>
        <w:softHyphen/>
        <w:t>čelo da je Bog dao p. radi čovjeka, a da nije stvorio čovjeka radi prava. »Držite moje zako</w:t>
        <w:softHyphen/>
        <w:t xml:space="preserve">ne i moje naredbe: tko ih vrši, u njima će naći život«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18,5). Odatle je Rabi Jišmacl (I./II. stoljeće) izveo svoje gledište o pravu: Čovjek treba s time živjeti, a ne umrijeti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74a). Mudraci su više cijenili po</w:t>
        <w:softHyphen/>
        <w:t>pustljivo odustajanje od zahtjeva nego ustra</w:t>
        <w:softHyphen/>
        <w:t>janje na zahtjevima prema strogom pravu To</w:t>
        <w:softHyphen/>
        <w:t>re. Kako bi naglasili da osim »pravne linije« treba tražiti odluku pravednosti, koja je »unu</w:t>
        <w:softHyphen/>
        <w:t>tar pravne linije«, nisu se susprezali ni od zas</w:t>
        <w:softHyphen/>
        <w:t>trašujuće tvrdnje: »Jeruzalem je razoren samo zato što što su se držali (strogog) prava u To</w:t>
        <w:softHyphen/>
        <w:t>ri« (b Bava mecia 30b). - Talmudski učenjaci povodili su se za smislom za socijalnu pravdu, razvijenom u starom Izraelu (Pnz 21,1 i d., usp. M Sota IX,6; Iz 58,6 i d.; Jr 22,16; M Avot III,7) kad su p. oblikovali u skladu s pro</w:t>
        <w:softHyphen/>
        <w:t>mijenjenim uvjetima kako bi u sukobima in</w:t>
        <w:softHyphen/>
        <w:t>teresa uspostavili ravnotežu u prilog gospo</w:t>
        <w:softHyphen/>
        <w:t>darski slabih.</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mora ostvariti čovjek, i on mora za njega biti odgovoran; stoga su iz židovskoga proces</w:t>
        <w:softHyphen/>
        <w:t>nog prava izbačeni nadnaravni dokazi. To ras</w:t>
        <w:softHyphen/>
        <w:t>vjetljava rasprava: »Kad se jedan učitelj u par</w:t>
        <w:softHyphen/>
        <w:t>nici pozvao na nadnaravni glas, drugi su ga prekorili pozivajući se na Pnz 30,12 kako p. nije na nebesima! Mi se ne obaziremo na jeku glasa, jer si već na brdu Sinaju napisao u Toru (Iz! 23,2): odlučiti prema većini« (b Maba Mecija 59b).</w:t>
      </w:r>
    </w:p>
    <w:p>
      <w:pPr>
        <w:pStyle w:val="Style20"/>
        <w:keepNext w:val="0"/>
        <w:keepLines w:val="0"/>
        <w:widowControl w:val="0"/>
        <w:numPr>
          <w:ilvl w:val="0"/>
          <w:numId w:val="43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»Naknada oko - za oko.«</w:t>
      </w:r>
      <w:r>
        <w:rPr>
          <w:rFonts w:ascii="Times New Roman" w:eastAsia="Times New Roman" w:hAnsi="Times New Roman" w:cs="Times New Roman"/>
          <w:color w:val="000000"/>
          <w:spacing w:val="0"/>
          <w:w w:val="100"/>
          <w:position w:val="0"/>
          <w:shd w:val="clear" w:color="auto" w:fill="auto"/>
          <w:lang w:val="hr-HR" w:eastAsia="hr-HR" w:bidi="hr-HR"/>
        </w:rPr>
        <w:t xml:space="preserve"> Načelo odmazde (talion) strogo poput zahtjeva za naknadu šte</w:t>
        <w:softHyphen/>
        <w:t>te ne može se ustanoviti iz hebrejske Biblije kao odlučujuće načelo izraelskoga prava. Na</w:t>
        <w:softHyphen/>
        <w:t>čelo, na temelju kojeg se izraelsko-židovska religija trajno optužuje kao religija osvete, su</w:t>
        <w:softHyphen/>
        <w:t>sreće se samo jedanput u kazuističkom pravu iz Knjige Saveza (Izl 21,23-25). Budući da se ne pojavljuje, to načelo ne može biti karakte</w:t>
        <w:softHyphen/>
        <w:t xml:space="preserve">ristično za p. Već sam naslov u Izl 21,1: »Ovo su propisi«, koji je nekoć zacijelo bio uvod u Knjigu Saveza (20,22-23,33), pokazuje da ga je sudac shvaćao i rabio kao pravno načelo: na suca je upućeno izricanje i izvršenje kazne i time jc to prestala biti privatna stvar. U užem </w:t>
      </w:r>
      <w:r>
        <w:rPr>
          <w:rFonts w:ascii="Times New Roman" w:eastAsia="Times New Roman" w:hAnsi="Times New Roman" w:cs="Times New Roman"/>
          <w:color w:val="000000"/>
          <w:spacing w:val="0"/>
          <w:w w:val="100"/>
          <w:position w:val="0"/>
          <w:shd w:val="clear" w:color="auto" w:fill="auto"/>
          <w:lang w:val="hr-HR" w:eastAsia="hr-HR" w:bidi="hr-HR"/>
        </w:rPr>
        <w:t>kontekstu obrađuju se tjelesne ozljede sa smrtnom posljedicom ili bez nje (21,18-36). Ako je netko, prema 21.18 i d. drugoga udario i obogaljio, mora platiti samo odgovarajuću novčanu kaznu, tada ni 21,23-25 ne može ima</w:t>
        <w:softHyphen/>
        <w:t>ti ni jedan drugi sadržaj osim da se štetnik mora osuditi na plaćanje odgovarajuće novča</w:t>
        <w:softHyphen/>
        <w:t>ne kazne oštećeniku. Jedina iznimka: ako je posrijedi ubojstvo, nije dopuštena odšteta »ot</w:t>
        <w:softHyphen/>
        <w:t>kupninom« (Br 35,31). Neposredno slijedi propis o robovima (21,26 i d.) koji naglašava financijsku naknadu koju utvrdi sudac i koju počinitelj mora dati žrtvi: najmanje oštećenje</w:t>
      </w:r>
    </w:p>
    <w:p>
      <w:pPr>
        <w:pStyle w:val="Style20"/>
        <w:keepNext w:val="0"/>
        <w:keepLines w:val="0"/>
        <w:widowControl w:val="0"/>
        <w:numPr>
          <w:ilvl w:val="0"/>
          <w:numId w:val="437"/>
        </w:numPr>
        <w:shd w:val="clear" w:color="auto" w:fill="auto"/>
        <w:tabs>
          <w:tab w:pos="198"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ozljeda oka ili zuba - daje robu slobodu! Zar se to ne bi smjelo odnositi na slobodne Izraelce? No i jezični oblik izričaja 21,23-25 isključuje značenje nadomjestive istovrijed- nosti: »Oko za oko« u smislu »jednako za jed</w:t>
        <w:softHyphen/>
        <w:t>nako«. Zapravo se mislilo »umjesto drugoga«: štetnik mora oštećeniku dati nešto umjesto uda ili organa koji više ne može vršiti svoju funkciju. Stoga onaj koji jc bližnjega ozlijedio nije za uzvrat dobio istu ozljedu, nego je mo</w:t>
        <w:softHyphen/>
        <w:t>rao platiti odštetu prema sudskoj odluci. To uvijek krivo tumačeno načelo preveli su pri</w:t>
        <w:softHyphen/>
        <w:t xml:space="preserve">mjereno na njemački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Franz Roscnzweig: </w:t>
      </w:r>
      <w:r>
        <w:rPr>
          <w:rFonts w:ascii="Times New Roman" w:eastAsia="Times New Roman" w:hAnsi="Times New Roman" w:cs="Times New Roman"/>
          <w:color w:val="000000"/>
          <w:spacing w:val="0"/>
          <w:w w:val="100"/>
          <w:position w:val="0"/>
          <w:shd w:val="clear" w:color="auto" w:fill="auto"/>
          <w:lang w:val="hr-HR" w:eastAsia="hr-HR" w:bidi="hr-HR"/>
        </w:rPr>
        <w:t>»No, dogodi li se najgore, neka za život naknada bude - kazna za život, za oko</w:t>
      </w:r>
    </w:p>
    <w:p>
      <w:pPr>
        <w:pStyle w:val="Style20"/>
        <w:keepNext w:val="0"/>
        <w:keepLines w:val="0"/>
        <w:widowControl w:val="0"/>
        <w:numPr>
          <w:ilvl w:val="0"/>
          <w:numId w:val="437"/>
        </w:numPr>
        <w:shd w:val="clear" w:color="auto" w:fill="auto"/>
        <w:tabs>
          <w:tab w:pos="222" w:val="left"/>
        </w:tabs>
        <w:bidi w:val="0"/>
        <w:spacing w:before="0" w:after="0"/>
        <w:ind w:left="0" w:right="0" w:firstLine="0"/>
        <w:jc w:val="both"/>
        <w:sectPr>
          <w:footnotePr>
            <w:pos w:val="pageBottom"/>
            <w:numFmt w:val="decimal"/>
            <w:numRestart w:val="continuous"/>
            <w15:footnoteColumns w:val="1"/>
          </w:footnotePr>
          <w:type w:val="continuous"/>
          <w:pgSz w:w="6816" w:h="11006"/>
          <w:pgMar w:top="783" w:left="196" w:right="198" w:bottom="398" w:header="0" w:footer="3" w:gutter="0"/>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naknada za oko...« (Izl 21,23-25). Drugi dokaz pravne riječi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24,20 interpretira to u svojem pravom smislu kao izraz pravne jed</w:t>
        <w:softHyphen/>
        <w:t>nakosti svih. Suce je trebalo upozoriti nače</w:t>
        <w:softHyphen/>
        <w:t>lom »neka vam je jednak sud« (redak 22) da »za lom vrijedi naknada za lom, za oko nak</w:t>
        <w:softHyphen/>
        <w:t>nada za oko« te da isto vrijedi i za stranca i za domoroca. Izraelsko je p. samo za roba imalo iznimku: on nije bio ravnopravan slobodnom Izraelcu; u slučaju oštećenja imao je čak pred</w:t>
        <w:softHyphen/>
        <w:t>nost zbog veće naknade: slobodu umjesto izbi</w:t>
        <w:softHyphen/>
        <w:t>jenog zuba! U posljednjem dokazu Pnz 19,21 taj obrazac ima normativni značaj za uporabu: kontekst isključuje pretpostavku da se ošte- ćenik smije sam osvetiti na taj način. Ovdje nisu posrijedi sudionici, nego prije sudac od kojega se traži presuda prema načelu praved</w:t>
        <w:softHyphen/>
        <w:t>nosti: »Neka ti se oko ne sažaljuje« (redak 21). Ukratko: Kao što hebrejska Biblija za</w:t>
        <w:softHyphen/>
        <w:t>branjuje ubijanje, tako zabranjuje i svaku dru</w:t>
        <w:softHyphen/>
        <w:t>gu ozljedu tijela. Pravilo »oko za oko, zub za zub« nipošto ne podrazumijeva navodno kru</w:t>
        <w:softHyphen/>
        <w:t>to pravo odmazde, nego se drži poštovanja tijela bližnjega.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Ranorabinsko i srednjovjekovno tumačenje: zbog svoje stroge obveze pridržavanja slova Tore saduceji su zacijelo mogli doslovce shva</w:t>
        <w:softHyphen/>
        <w:t xml:space="preserve">titi propis u Izl 21,24, a ne u smislu novčane odštete (Josip Flavije, </w:t>
      </w:r>
      <w:r>
        <w:rPr>
          <w:rFonts w:ascii="Times New Roman" w:eastAsia="Times New Roman" w:hAnsi="Times New Roman" w:cs="Times New Roman"/>
          <w:i/>
          <w:iCs/>
          <w:color w:val="000000"/>
          <w:spacing w:val="0"/>
          <w:w w:val="100"/>
          <w:position w:val="0"/>
          <w:shd w:val="clear" w:color="auto" w:fill="auto"/>
          <w:lang w:val="hr-HR" w:eastAsia="hr-HR" w:bidi="hr-HR"/>
        </w:rPr>
        <w:t>Židovske starine</w:t>
      </w:r>
      <w:r>
        <w:rPr>
          <w:rFonts w:ascii="Times New Roman" w:eastAsia="Times New Roman" w:hAnsi="Times New Roman" w:cs="Times New Roman"/>
          <w:color w:val="000000"/>
          <w:spacing w:val="0"/>
          <w:w w:val="100"/>
          <w:position w:val="0"/>
          <w:shd w:val="clear" w:color="auto" w:fill="auto"/>
          <w:lang w:val="hr-HR" w:eastAsia="hr-HR" w:bidi="hr-HR"/>
        </w:rPr>
        <w:t xml:space="preserve"> IV,8, 35); no upravo to je bilo tumačenje farizeja, koji su u posljednjim desetljećima razdoblja drugoga Hrama predstavljali religijske pre</w:t>
        <w:softHyphen/>
        <w:t>dodžbe i prakse te socijalna gledišta velike ve</w:t>
        <w:softHyphen/>
        <w:t xml:space="preserve">ćine židovskoga naroda. Rabin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(oko 90) citiran je u talmudskoj raspravi (b Bava kama 83b-84a) kao jedini s drukčijim mišlje</w:t>
        <w:softHyphen/>
        <w:t>njem o doslovnom tumačenju Izl 21,24. Rado ga s Josipom navode kao svjedoka tvrdnje ka</w:t>
        <w:softHyphen/>
        <w:t xml:space="preserve">ko je »ius talionis« vršen barem dijelom još u doba poslije Krista (Strack-Billerbcck,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Kom- mentar zum Neuen Testament aus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Talmud </w:t>
      </w:r>
      <w:r>
        <w:rPr>
          <w:rFonts w:ascii="Times New Roman" w:eastAsia="Times New Roman" w:hAnsi="Times New Roman" w:cs="Times New Roman"/>
          <w:i/>
          <w:iCs/>
          <w:color w:val="000000"/>
          <w:spacing w:val="0"/>
          <w:w w:val="100"/>
          <w:position w:val="0"/>
          <w:shd w:val="clear" w:color="auto" w:fill="auto"/>
          <w:lang w:val="hr-HR" w:eastAsia="hr-HR" w:bidi="hr-HR"/>
        </w:rPr>
        <w:t>und Midrasch,</w:t>
      </w:r>
      <w:r>
        <w:rPr>
          <w:rFonts w:ascii="Times New Roman" w:eastAsia="Times New Roman" w:hAnsi="Times New Roman" w:cs="Times New Roman"/>
          <w:color w:val="000000"/>
          <w:spacing w:val="0"/>
          <w:w w:val="100"/>
          <w:position w:val="0"/>
          <w:shd w:val="clear" w:color="auto" w:fill="auto"/>
          <w:lang w:val="hr-HR" w:eastAsia="hr-HR" w:bidi="hr-HR"/>
        </w:rPr>
        <w:t xml:space="preserve"> 1,337.340). Pritom se ipak zanema</w:t>
        <w:softHyphen/>
        <w:t xml:space="preserve">ruje da je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u Talmudu često zastupao stariju halahu Šamajevc škole, koja se s obzi</w:t>
        <w:softHyphen/>
        <w:t xml:space="preserve">rom na Hilelovu nije probila, i da se on u spomenutoj raspravi jasno javlja kao disident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84a). Većina mudraca odlučivala je odavno o Izl 21,24 u smislu odštetnog zah</w:t>
        <w:softHyphen/>
        <w:t>tjeva (M Bava kama VIII,1). Pritom je djelo</w:t>
        <w:softHyphen/>
        <w:t>valo načelno razmišljanje: odmazda shvaćena kao kazna, koja treba ponovno uspostaviti prvobitno stanje, nastoji postići besprijekornu pravdu tako da mjeri zločina točno odgovara kaznena mjera. Rabini su tada dokazali da ta predodžba pravednosti povlači za sobom ne- izbježivu nepravdu: »Pogledaj, ako je oko jed</w:t>
        <w:softHyphen/>
        <w:t xml:space="preserve">noga (ozlijeđenoga) bilo veliko a oko drugoga (ozljeditelja) maleno, pa kako onda mogu na njega primijeniti riječi iz Pisma ‘oko za oko!’?« Stoga su zaključili: »Time se misli na novčanu odštetu« u smislu: vrijednost oka za oko (b Baba Kama 83b). Doslovna primjena pretvorila bi talionsku pravednost u njezinu suprotnost i čak prekršila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84a) oštru bi</w:t>
        <w:softHyphen/>
        <w:t xml:space="preserve">blijsku naredbu o jedinstvenoj pravdi za sve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24,22). - Nedvojbeno je da je praktici</w:t>
        <w:softHyphen/>
        <w:t>rana odmazda izopćena iz antiknog židovstva (usp. i Mehilta uz Izl 21,24). Rabini su prizna</w:t>
        <w:softHyphen/>
        <w:t>vali talionsko načelo kao načelo prirodne pra</w:t>
        <w:softHyphen/>
        <w:t>vednosti: »Mjerom kojom čovjek mjeri, mjeri se njega« (M Sota 1,7). I Hilelovo pravilo izve</w:t>
        <w:softHyphen/>
        <w:t xml:space="preserve">deno je iz istog principa: »Ono što tebi nije drago, ne čini to ni svojem bližnjem« (b Sabat 31a). - Mudraci su iz Br 35,31 zaključili: Smije se uzeti »otkupnina« za osakaćenje udova, ali ne i za život ubojice (b Bava kama 84a). Ipak </w:t>
      </w:r>
      <w:r>
        <w:rPr>
          <w:rFonts w:ascii="Times New Roman" w:eastAsia="Times New Roman" w:hAnsi="Times New Roman" w:cs="Times New Roman"/>
          <w:color w:val="000000"/>
          <w:spacing w:val="0"/>
          <w:w w:val="100"/>
          <w:position w:val="0"/>
          <w:shd w:val="clear" w:color="auto" w:fill="auto"/>
          <w:lang w:val="hr-HR" w:eastAsia="hr-HR" w:bidi="hr-HR"/>
        </w:rPr>
        <w:t>su istodobno tražili od suca da izbjegava smrt</w:t>
        <w:softHyphen/>
        <w:t>nu presudu: »Sud, koji jedanput u jednoj sed</w:t>
        <w:softHyphen/>
        <w:t xml:space="preserve">mici godine (Dn 9,24 i d.) izvrši pogubljenje, naziva se izopačenikom.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kaže: Je</w:t>
        <w:softHyphen/>
        <w:t>danput u sedamdeset godina. Rabi Tarphon i Rabi Akiva rekli su: Da smo mi sjedili u Sine- driju, nikada ne bi bio pogubljen ni jedan čo</w:t>
        <w:softHyphen/>
        <w:t>vjek« (M Makot 1,10, usp. b Makot 7a). Srednjovjekovni rabini oslanjali su se na tu</w:t>
        <w:softHyphen/>
        <w:t>mačenje Biblije ranijih učenjaka. Raši (u. 1105) u vezi s Izl 21,24: »Tko nekomu oslijepi jedno oko, mora mu dati toliko odštete koliko je manje vrijedan zbog toga gubitka; isto je pri gubitku udova, ali to ne znači da se počinitelju odstrani dotični ud.« Majmonid (u. 1204) po</w:t>
        <w:softHyphen/>
        <w:t>kazao je na Br 35,31 da Izl 21,24 može značiti samo novčanu odštetu. Sforno (u. 1550) upo</w:t>
        <w:softHyphen/>
        <w:t>zorio je na to da stroga pravednost traži talion (načelo odmazde »oko za oko«, »zub za zub«), ali da židovska predaja ublažava to načelo svodeći ga na odštetu kako bi isključila opas</w:t>
        <w:softHyphen/>
        <w:t xml:space="preserve">nost od prekoračenja točne mjere. </w:t>
      </w:r>
      <w:r>
        <w:rPr>
          <w:rFonts w:ascii="Times New Roman" w:eastAsia="Times New Roman" w:hAnsi="Times New Roman" w:cs="Times New Roman"/>
          <w:color w:val="000000"/>
          <w:spacing w:val="0"/>
          <w:w w:val="100"/>
          <w:position w:val="0"/>
          <w:shd w:val="clear" w:color="auto" w:fill="auto"/>
          <w:lang w:val="en-US" w:eastAsia="en-US" w:bidi="en-US"/>
        </w:rPr>
        <w:t xml:space="preserve">Ibn Ezra </w:t>
      </w:r>
      <w:r>
        <w:rPr>
          <w:rFonts w:ascii="Times New Roman" w:eastAsia="Times New Roman" w:hAnsi="Times New Roman" w:cs="Times New Roman"/>
          <w:color w:val="000000"/>
          <w:spacing w:val="0"/>
          <w:w w:val="100"/>
          <w:position w:val="0"/>
          <w:shd w:val="clear" w:color="auto" w:fill="auto"/>
          <w:lang w:val="hr-HR" w:eastAsia="hr-HR" w:bidi="hr-HR"/>
        </w:rPr>
        <w:t>(u. 1167) upozorio je na rabinsku interpreta</w:t>
        <w:softHyphen/>
        <w:t>ciju da rob doslovnoga značenja Izl 21,24 mora biti onaj tko ne plati odštetu. Nahmanid (u. 1270) objasnio je: Ako dužnik nije sposo</w:t>
        <w:softHyphen/>
        <w:t>ban dati odštetu, neka bude prodan u robove dok ne plati dug. No Juda ben Bezalel (u. 1609) naglasio je: Kad bi i »platio«, slučaj još ne bi bio riješen dok počinitelj ne bi zamolio žrtvu za oproštenje; stoga, kako je rekao, ne</w:t>
        <w:softHyphen/>
        <w:t>ma u Izl 21,24 riječi »platiti« kako nitko ne bi pomislio da je novčana odšteta dovoljna.</w:t>
      </w:r>
    </w:p>
    <w:p>
      <w:pPr>
        <w:pStyle w:val="Style56"/>
        <w:keepNext w:val="0"/>
        <w:keepLines w:val="0"/>
        <w:widowControl w:val="0"/>
        <w:shd w:val="clear" w:color="auto" w:fill="auto"/>
        <w:tabs>
          <w:tab w:pos="2419"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I .»t: </w:t>
      </w:r>
      <w:r>
        <w:rPr>
          <w:i/>
          <w:iCs/>
          <w:color w:val="000000"/>
          <w:spacing w:val="0"/>
          <w:w w:val="100"/>
          <w:position w:val="0"/>
          <w:shd w:val="clear" w:color="auto" w:fill="auto"/>
          <w:lang w:val="hr-HR" w:eastAsia="hr-HR" w:bidi="hr-HR"/>
        </w:rPr>
        <w:t>Jfuiuches Lcjakon</w:t>
      </w:r>
      <w:r>
        <w:rPr>
          <w:color w:val="000000"/>
          <w:spacing w:val="0"/>
          <w:w w:val="100"/>
          <w:position w:val="0"/>
          <w:shd w:val="clear" w:color="auto" w:fill="auto"/>
          <w:lang w:val="hr-HR" w:eastAsia="hr-HR" w:bidi="hr-HR"/>
        </w:rPr>
        <w:t xml:space="preserve"> IV. I, 1927/1982, KonigsicirVTs., 1262 i d.</w:t>
        <w:tab/>
        <w:t>D. VUl’il-R</w:t>
      </w:r>
    </w:p>
    <w:p>
      <w:pPr>
        <w:pStyle w:val="Style63"/>
        <w:keepNext/>
        <w:keepLines/>
        <w:widowControl w:val="0"/>
        <w:numPr>
          <w:ilvl w:val="0"/>
          <w:numId w:val="433"/>
        </w:numPr>
        <w:shd w:val="clear" w:color="auto" w:fill="auto"/>
        <w:tabs>
          <w:tab w:pos="255" w:val="left"/>
        </w:tabs>
        <w:bidi w:val="0"/>
        <w:spacing w:before="0" w:line="223" w:lineRule="auto"/>
        <w:ind w:left="0" w:right="0" w:firstLine="0"/>
        <w:jc w:val="both"/>
      </w:pPr>
      <w:bookmarkStart w:id="273" w:name="bookmark27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73"/>
    </w:p>
    <w:p>
      <w:pPr>
        <w:pStyle w:val="Style20"/>
        <w:keepNext w:val="0"/>
        <w:keepLines w:val="0"/>
        <w:widowControl w:val="0"/>
        <w:numPr>
          <w:ilvl w:val="0"/>
          <w:numId w:val="439"/>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je zahtjev ili ovlaštenje po faktički ili nor</w:t>
        <w:softHyphen/>
        <w:t>mativno važećim pravilima da se nešto učini, pusti, zahtijeva ili posjeduje. U tom subjektiv</w:t>
        <w:softHyphen/>
        <w:t>nom smislu kažemo otprilike da svaki čovjek ima p. na život i tjelesnu nepovredivost ili xy nije iskoristio svoje p. na prigovor.</w:t>
      </w:r>
    </w:p>
    <w:p>
      <w:pPr>
        <w:pStyle w:val="Style20"/>
        <w:keepNext w:val="0"/>
        <w:keepLines w:val="0"/>
        <w:widowControl w:val="0"/>
        <w:numPr>
          <w:ilvl w:val="0"/>
          <w:numId w:val="439"/>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je sustav institucionalnih pravila ili nor</w:t>
        <w:softHyphen/>
        <w:t>mi koji priznaje zahtjeve i ovlaštenja, nameće obveze i isto tako utvrđuje uvjete njihove va</w:t>
        <w:softHyphen/>
        <w:t>ljanosti. U tom objektivnom smislu npr. brač</w:t>
        <w:softHyphen/>
        <w:t>no i obiteljsko p. određuje stanovite zahtjeve i dužnosti u pogledu uzdržavanja supružnika i djece te odredene roditeljske ovlasti u odgoju; nadalje utvrđuje, npr., uvjete za valjanost ne</w:t>
        <w:softHyphen/>
        <w:t>kog braka i za zakonitost djece. Pobliža de</w:t>
        <w:softHyphen/>
      </w:r>
      <w:r>
        <w:rPr>
          <w:rFonts w:ascii="Times New Roman" w:eastAsia="Times New Roman" w:hAnsi="Times New Roman" w:cs="Times New Roman"/>
          <w:color w:val="000000"/>
          <w:spacing w:val="0"/>
          <w:w w:val="100"/>
          <w:position w:val="0"/>
          <w:shd w:val="clear" w:color="auto" w:fill="auto"/>
          <w:lang w:val="hr-HR" w:eastAsia="hr-HR" w:bidi="hr-HR"/>
        </w:rPr>
        <w:t>finicija prava je sporna. Po čemu se razlikuju sustavi prava od sustava normi druge vrste, npr. od pravila šahovske igre ili moralnih pravila? Ovdje se suprotstavljaju dva shva</w:t>
        <w:softHyphen/>
        <w:t xml:space="preserve">ćanja: prirodno p. i pozitivističko p. Prema shvaćanju </w:t>
      </w:r>
      <w:r>
        <w:rPr>
          <w:rFonts w:ascii="Times New Roman" w:eastAsia="Times New Roman" w:hAnsi="Times New Roman" w:cs="Times New Roman"/>
          <w:i/>
          <w:iCs/>
          <w:color w:val="000000"/>
          <w:spacing w:val="0"/>
          <w:w w:val="100"/>
          <w:position w:val="0"/>
          <w:shd w:val="clear" w:color="auto" w:fill="auto"/>
          <w:lang w:val="hr-HR" w:eastAsia="hr-HR" w:bidi="hr-HR"/>
        </w:rPr>
        <w:t>prirodnog prava,</w:t>
      </w:r>
      <w:r>
        <w:rPr>
          <w:rFonts w:ascii="Times New Roman" w:eastAsia="Times New Roman" w:hAnsi="Times New Roman" w:cs="Times New Roman"/>
          <w:color w:val="000000"/>
          <w:spacing w:val="0"/>
          <w:w w:val="100"/>
          <w:position w:val="0"/>
          <w:shd w:val="clear" w:color="auto" w:fill="auto"/>
          <w:lang w:val="hr-HR" w:eastAsia="hr-HR" w:bidi="hr-HR"/>
        </w:rPr>
        <w:t xml:space="preserve"> u definiciju prava pripada da je u skladu s prirodnim ćudored</w:t>
        <w:softHyphen/>
        <w:t>nim pravom, tj. s onim ćudorednim normama koje se dadu prepoznati samo pomoću ‘priro</w:t>
        <w:softHyphen/>
        <w:t>dnog' razuma iz čovjekove ‘naravi’ (tj. iz nje</w:t>
        <w:softHyphen/>
        <w:t xml:space="preserve">mu kao čovjeku svojstvene određenosti smisla i svrhe). Dakle, ono što jc p. ne definira sc čisto opisno nego se već vrednujući </w:t>
      </w:r>
      <w:r>
        <w:rPr>
          <w:rFonts w:ascii="Times New Roman" w:eastAsia="Times New Roman" w:hAnsi="Times New Roman" w:cs="Times New Roman"/>
          <w:color w:val="000000"/>
          <w:spacing w:val="0"/>
          <w:w w:val="100"/>
          <w:position w:val="0"/>
          <w:shd w:val="clear" w:color="auto" w:fill="auto"/>
          <w:lang w:val="en-US" w:eastAsia="en-US" w:bidi="en-US"/>
        </w:rPr>
        <w:t xml:space="preserve">per </w:t>
      </w:r>
      <w:r>
        <w:rPr>
          <w:rFonts w:ascii="Times New Roman" w:eastAsia="Times New Roman" w:hAnsi="Times New Roman" w:cs="Times New Roman"/>
          <w:color w:val="000000"/>
          <w:spacing w:val="0"/>
          <w:w w:val="100"/>
          <w:position w:val="0"/>
          <w:shd w:val="clear" w:color="auto" w:fill="auto"/>
          <w:lang w:val="hr-HR" w:eastAsia="hr-HR" w:bidi="hr-HR"/>
        </w:rPr>
        <w:t xml:space="preserve">defini- tionem unosi kao ćudoredan sadržaj u ono što jc već određeno kao p.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je prihvatio to etičko određenje prava kada je smatrao da države koje svoje norme ne ravnaju prema ću</w:t>
        <w:softHyphen/>
        <w:t>dorednom zakonu ne predstavljaju pravni po</w:t>
        <w:softHyphen/>
        <w:t xml:space="preserve">redak nego organizirane bande razbojnika. To sc shvaćanje nalazi i u starom pravilu: </w:t>
      </w:r>
      <w:r>
        <w:rPr>
          <w:rFonts w:ascii="Times New Roman" w:eastAsia="Times New Roman" w:hAnsi="Times New Roman" w:cs="Times New Roman"/>
          <w:color w:val="000000"/>
          <w:spacing w:val="0"/>
          <w:w w:val="100"/>
          <w:position w:val="0"/>
          <w:shd w:val="clear" w:color="auto" w:fill="auto"/>
          <w:lang w:val="en-US" w:eastAsia="en-US" w:bidi="en-US"/>
        </w:rPr>
        <w:t xml:space="preserve">Lex </w:t>
      </w:r>
      <w:r>
        <w:rPr>
          <w:rFonts w:ascii="Times New Roman" w:eastAsia="Times New Roman" w:hAnsi="Times New Roman" w:cs="Times New Roman"/>
          <w:color w:val="000000"/>
          <w:spacing w:val="0"/>
          <w:w w:val="100"/>
          <w:position w:val="0"/>
          <w:shd w:val="clear" w:color="auto" w:fill="auto"/>
          <w:lang w:val="hr-HR" w:eastAsia="hr-HR" w:bidi="hr-HR"/>
        </w:rPr>
        <w:t xml:space="preserve">injusta </w:t>
      </w:r>
      <w:r>
        <w:rPr>
          <w:rFonts w:ascii="Times New Roman" w:eastAsia="Times New Roman" w:hAnsi="Times New Roman" w:cs="Times New Roman"/>
          <w:color w:val="000000"/>
          <w:spacing w:val="0"/>
          <w:w w:val="100"/>
          <w:position w:val="0"/>
          <w:shd w:val="clear" w:color="auto" w:fill="auto"/>
          <w:lang w:val="en-US" w:eastAsia="en-US" w:bidi="en-US"/>
        </w:rPr>
        <w:t xml:space="preserve">non </w:t>
      </w:r>
      <w:r>
        <w:rPr>
          <w:rFonts w:ascii="Times New Roman" w:eastAsia="Times New Roman" w:hAnsi="Times New Roman" w:cs="Times New Roman"/>
          <w:color w:val="000000"/>
          <w:spacing w:val="0"/>
          <w:w w:val="100"/>
          <w:position w:val="0"/>
          <w:shd w:val="clear" w:color="auto" w:fill="auto"/>
          <w:lang w:val="hr-HR" w:eastAsia="hr-HR" w:bidi="hr-HR"/>
        </w:rPr>
        <w:t xml:space="preserve">est </w:t>
      </w:r>
      <w:r>
        <w:rPr>
          <w:rFonts w:ascii="Times New Roman" w:eastAsia="Times New Roman" w:hAnsi="Times New Roman" w:cs="Times New Roman"/>
          <w:color w:val="000000"/>
          <w:spacing w:val="0"/>
          <w:w w:val="100"/>
          <w:position w:val="0"/>
          <w:shd w:val="clear" w:color="auto" w:fill="auto"/>
          <w:lang w:val="en-US" w:eastAsia="en-US" w:bidi="en-US"/>
        </w:rPr>
        <w:t xml:space="preserve">lex </w:t>
      </w:r>
      <w:r>
        <w:rPr>
          <w:rFonts w:ascii="Times New Roman" w:eastAsia="Times New Roman" w:hAnsi="Times New Roman" w:cs="Times New Roman"/>
          <w:color w:val="000000"/>
          <w:spacing w:val="0"/>
          <w:w w:val="100"/>
          <w:position w:val="0"/>
          <w:shd w:val="clear" w:color="auto" w:fill="auto"/>
          <w:lang w:val="hr-HR" w:eastAsia="hr-HR" w:bidi="hr-HR"/>
        </w:rPr>
        <w:t>(Nepravedan zakon zapra</w:t>
        <w:softHyphen/>
        <w:t xml:space="preserve">vo uopće nije zakon). Prema tomu, trebalo je npr. </w:t>
      </w:r>
      <w:r>
        <w:rPr>
          <w:rFonts w:ascii="Times New Roman" w:eastAsia="Times New Roman" w:hAnsi="Times New Roman" w:cs="Times New Roman"/>
          <w:color w:val="000000"/>
          <w:spacing w:val="0"/>
          <w:w w:val="100"/>
          <w:position w:val="0"/>
          <w:shd w:val="clear" w:color="auto" w:fill="auto"/>
          <w:lang w:val="en-US" w:eastAsia="en-US" w:bidi="en-US"/>
        </w:rPr>
        <w:t xml:space="preserve">per </w:t>
      </w:r>
      <w:r>
        <w:rPr>
          <w:rFonts w:ascii="Times New Roman" w:eastAsia="Times New Roman" w:hAnsi="Times New Roman" w:cs="Times New Roman"/>
          <w:color w:val="000000"/>
          <w:spacing w:val="0"/>
          <w:w w:val="100"/>
          <w:position w:val="0"/>
          <w:shd w:val="clear" w:color="auto" w:fill="auto"/>
          <w:lang w:val="hr-HR" w:eastAsia="hr-HR" w:bidi="hr-HR"/>
        </w:rPr>
        <w:t>definitionem svojstva koje p. ima osporiti zakonodavstvo prema Židovima u Tre</w:t>
        <w:softHyphen/>
        <w:t xml:space="preserve">ćem Reichu. Po </w:t>
      </w:r>
      <w:r>
        <w:rPr>
          <w:rFonts w:ascii="Times New Roman" w:eastAsia="Times New Roman" w:hAnsi="Times New Roman" w:cs="Times New Roman"/>
          <w:i/>
          <w:iCs/>
          <w:color w:val="000000"/>
          <w:spacing w:val="0"/>
          <w:w w:val="100"/>
          <w:position w:val="0"/>
          <w:shd w:val="clear" w:color="auto" w:fill="auto"/>
          <w:lang w:val="hr-HR" w:eastAsia="hr-HR" w:bidi="hr-HR"/>
        </w:rPr>
        <w:t>pravno pozitivističkom</w:t>
      </w:r>
      <w:r>
        <w:rPr>
          <w:rFonts w:ascii="Times New Roman" w:eastAsia="Times New Roman" w:hAnsi="Times New Roman" w:cs="Times New Roman"/>
          <w:color w:val="000000"/>
          <w:spacing w:val="0"/>
          <w:w w:val="100"/>
          <w:position w:val="0"/>
          <w:shd w:val="clear" w:color="auto" w:fill="auto"/>
          <w:lang w:val="hr-HR" w:eastAsia="hr-HR" w:bidi="hr-HR"/>
        </w:rPr>
        <w:t xml:space="preserve"> shva</w:t>
        <w:softHyphen/>
        <w:t>ćanju p. treba definirati čisto opisno kao stvarnu društvenu datost bez obzira na ćudo</w:t>
        <w:softHyphen/>
        <w:t xml:space="preserve">redne zahtjeve. </w:t>
      </w:r>
      <w:r>
        <w:rPr>
          <w:rFonts w:ascii="Times New Roman" w:eastAsia="Times New Roman" w:hAnsi="Times New Roman" w:cs="Times New Roman"/>
          <w:i/>
          <w:iCs/>
          <w:color w:val="000000"/>
          <w:spacing w:val="0"/>
          <w:w w:val="100"/>
          <w:position w:val="0"/>
          <w:shd w:val="clear" w:color="auto" w:fill="auto"/>
          <w:lang w:val="hr-HR" w:eastAsia="hr-HR" w:bidi="hr-HR"/>
        </w:rPr>
        <w:t>Jedna</w:t>
      </w:r>
      <w:r>
        <w:rPr>
          <w:rFonts w:ascii="Times New Roman" w:eastAsia="Times New Roman" w:hAnsi="Times New Roman" w:cs="Times New Roman"/>
          <w:color w:val="000000"/>
          <w:spacing w:val="0"/>
          <w:w w:val="100"/>
          <w:position w:val="0"/>
          <w:shd w:val="clear" w:color="auto" w:fill="auto"/>
          <w:lang w:val="hr-HR" w:eastAsia="hr-HR" w:bidi="hr-HR"/>
        </w:rPr>
        <w:t xml:space="preserve"> je stvar faktično posto</w:t>
        <w:softHyphen/>
        <w:t>janje zakona, a druga su stvar njegove (i mo</w:t>
        <w:softHyphen/>
        <w:t xml:space="preserve">ralne) prednosti i štete, pisao je </w:t>
      </w:r>
      <w:r>
        <w:rPr>
          <w:rFonts w:ascii="Times New Roman" w:eastAsia="Times New Roman" w:hAnsi="Times New Roman" w:cs="Times New Roman"/>
          <w:color w:val="000000"/>
          <w:spacing w:val="0"/>
          <w:w w:val="100"/>
          <w:position w:val="0"/>
          <w:shd w:val="clear" w:color="auto" w:fill="auto"/>
          <w:lang w:val="en-US" w:eastAsia="en-US" w:bidi="en-US"/>
        </w:rPr>
        <w:t xml:space="preserve">John Austin. Austin </w:t>
      </w:r>
      <w:r>
        <w:rPr>
          <w:rFonts w:ascii="Times New Roman" w:eastAsia="Times New Roman" w:hAnsi="Times New Roman" w:cs="Times New Roman"/>
          <w:color w:val="000000"/>
          <w:spacing w:val="0"/>
          <w:w w:val="100"/>
          <w:position w:val="0"/>
          <w:shd w:val="clear" w:color="auto" w:fill="auto"/>
          <w:lang w:val="hr-HR" w:eastAsia="hr-HR" w:bidi="hr-HR"/>
        </w:rPr>
        <w:t>i mnogi drugi daju, dakle, prednost čis</w:t>
        <w:softHyphen/>
        <w:t>tom pojmovnom rastavljanju prava od morala. No, oni tako ujedno ne moraju tvrditi da je svako faktički važeće p. istodobno i p. koje ću</w:t>
        <w:softHyphen/>
        <w:t>doredno obvezuje. U tom smislu može npr. pravni pozitivist u pogledu zakonodavstva pre</w:t>
        <w:softHyphen/>
        <w:t>ma Židovima zastupati gledište da se tu do</w:t>
        <w:softHyphen/>
        <w:t>duše radilo o faktički važećem pravu, ali ipak zbog nadređenih moralnih razloga nitko nije bio uz njega ćudoredno vezan. Jasno treba razlikovati između pravnog pozitivizma kao definicijske teorije i pravnog pozitivizma kao normativne teorije valjanosti (koja kazuje da je normativno obvezatno p. sve što nosi des</w:t>
        <w:softHyphen/>
        <w:t>kriptivan pravni karakter).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karakteristične deskriptivne oznake pra</w:t>
        <w:softHyphen/>
        <w:t>va navode se pojedinačno: njegov imperativni zapovjedni karakter (p. su zapovijedi politič</w:t>
        <w:softHyphen/>
        <w:t>kog autoriteta), njegov prinudni karakter (p. je hijerahijski sustav prinudnih normi) i obi</w:t>
        <w:softHyphen/>
        <w:t>lježje društvenog prihvaćanja (p. je sustav druš</w:t>
        <w:softHyphen/>
        <w:t>tveno prihvaćenih pravila). Ove se oznake si</w:t>
        <w:softHyphen/>
      </w:r>
      <w:r>
        <w:rPr>
          <w:rFonts w:ascii="Times New Roman" w:eastAsia="Times New Roman" w:hAnsi="Times New Roman" w:cs="Times New Roman"/>
          <w:color w:val="000000"/>
          <w:spacing w:val="0"/>
          <w:w w:val="100"/>
          <w:position w:val="0"/>
          <w:shd w:val="clear" w:color="auto" w:fill="auto"/>
          <w:lang w:val="hr-HR" w:eastAsia="hr-HR" w:bidi="hr-HR"/>
        </w:rPr>
        <w:t>gurno odnose na većinu onoga što u svako</w:t>
        <w:softHyphen/>
        <w:t>dnevnom govoru označavamo kao p., ali ipak sigurno ne na sve bez iznimke i ne na speci</w:t>
        <w:softHyphen/>
        <w:t>fično samo p. Primjerice, pravno je pitanje koji autoritet vrijedi kao zakonit, ali te (za</w:t>
        <w:softHyphen/>
        <w:t>konski) pravne rečenice ne nose imperativni karakter. Nadalje, ima priznatih imperativnih pravnih normi uz koje nije vezana prijetnja prisile (npr. na kratko vrijeme obveza stav</w:t>
        <w:softHyphen/>
        <w:t>ljanja pojasa u Saveznoj Republici Njemač</w:t>
        <w:softHyphen/>
        <w:t>koj). I, konačno, ima društveno prihvaćenih sustava pravila (npr. sustav pravila u njemač</w:t>
        <w:softHyphen/>
        <w:t>kom jeziku). Cisto opisna definicija prava mo</w:t>
        <w:softHyphen/>
        <w:t>rat će se prema tomu držati razmjerno otvore</w:t>
        <w:softHyphen/>
        <w:t>nom, otprilike na ovaj način: društveno pri</w:t>
        <w:softHyphen/>
        <w:t>znat sustav institucionalnih pravila i normi ko</w:t>
        <w:softHyphen/>
        <w:t>ji utvrđuje zahtjeve i ovlaštenja, dužnosti i uvjete valjanosti i koji na širokim područjima nosi zapovjedni karakter i sankcionira se pod prijetnjom prisile.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i ćudorednost načelno se razlikuju u tome što ćudorednost nije samo usmjerena na is</w:t>
        <w:softHyphen/>
        <w:t>pravno činjenje nego i na ispravno unutarnje moralno raspoloženje. Nasuprot tomu, p. nužno uređuje samo izvanjsko ponašanje. Ono, doduše, kod onih koji mu podliježu pretpo</w:t>
        <w:softHyphen/>
        <w:t>stavlja i moralno shvaćanje, ali pokoravanje pravu nije povezano s datošću te pretpostav</w:t>
        <w:softHyphen/>
        <w:t>ke. Ponašanje u skladu s pravom moguće je i kod nemoralnog (egoističnog) raspoloženja; tako se, primjerice, čitavo kazneno p. priziva na čovjekov egoizam. Težak problem pred</w:t>
        <w:softHyphen/>
        <w:t>stavlja pitanje u kolikoj mjeri pripada u za</w:t>
        <w:softHyphen/>
        <w:t>daću prava oštro nalagati pridržavanje ćudo</w:t>
        <w:softHyphen/>
        <w:t>rednih normi koje su priznate u društvu.</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 može biti upitno pripada li to uopće u za</w:t>
        <w:softHyphen/>
        <w:t>daću prava (spomenimo samo oštre sankcije kod krvnih delikata), nego samo kako daleko seže nadležnost pravnog poretka u tom po</w:t>
        <w:softHyphen/>
        <w:t>gledu. Treba li pravno sankcionirati one ću</w:t>
        <w:softHyphen/>
        <w:t>doredne norme u kojima se radi o temeljnim povredama drugih ili i ćudoredne norme dru</w:t>
        <w:softHyphen/>
        <w:t>ge vrste (obveze, primjerice, naspram samoga sebe ili religiozne dužnosti)?</w:t>
      </w:r>
    </w:p>
    <w:p>
      <w:pPr>
        <w:pStyle w:val="Style56"/>
        <w:keepNext w:val="0"/>
        <w:keepLines w:val="0"/>
        <w:widowControl w:val="0"/>
        <w:shd w:val="clear" w:color="auto" w:fill="auto"/>
        <w:tabs>
          <w:tab w:pos="2347" w:val="left"/>
        </w:tabs>
        <w:bidi w:val="0"/>
        <w:spacing w:before="0" w:after="40" w:line="240" w:lineRule="auto"/>
        <w:ind w:left="0" w:right="0" w:firstLine="0"/>
        <w:jc w:val="both"/>
        <w:sectPr>
          <w:headerReference w:type="default" r:id="rId1141"/>
          <w:footerReference w:type="default" r:id="rId1142"/>
          <w:headerReference w:type="even" r:id="rId1143"/>
          <w:footerReference w:type="even" r:id="rId1144"/>
          <w:headerReference w:type="first" r:id="rId1145"/>
          <w:footerReference w:type="first" r:id="rId1146"/>
          <w:footnotePr>
            <w:pos w:val="pageBottom"/>
            <w:numFmt w:val="decimal"/>
            <w:numRestart w:val="continuous"/>
            <w15:footnoteColumns w:val="1"/>
          </w:footnotePr>
          <w:pgSz w:w="6816" w:h="11006"/>
          <w:pgMar w:top="783" w:left="196" w:right="198" w:bottom="398" w:header="0" w:footer="3" w:gutter="0"/>
          <w:pgNumType w:start="376"/>
          <w:cols w:num="2" w:space="186"/>
          <w:noEndnote/>
          <w:titlePg/>
          <w:rtlGutter w:val="0"/>
          <w:docGrid w:linePitch="360"/>
        </w:sectPr>
      </w:pPr>
      <w:r>
        <w:rPr>
          <w:color w:val="000000"/>
          <w:spacing w:val="0"/>
          <w:w w:val="100"/>
          <w:position w:val="0"/>
          <w:shd w:val="clear" w:color="auto" w:fill="auto"/>
        </w:rPr>
        <w:t xml:space="preserve">Lu.: </w:t>
      </w:r>
      <w:r>
        <w:rPr>
          <w:color w:val="000000"/>
          <w:spacing w:val="0"/>
          <w:w w:val="100"/>
          <w:position w:val="0"/>
          <w:shd w:val="clear" w:color="auto" w:fill="auto"/>
          <w:lang w:val="hr-HR" w:eastAsia="hr-HR" w:bidi="hr-HR"/>
        </w:rPr>
        <w:t xml:space="preserve">L. </w:t>
      </w:r>
      <w:r>
        <w:rPr>
          <w:color w:val="000000"/>
          <w:spacing w:val="0"/>
          <w:w w:val="100"/>
          <w:position w:val="0"/>
          <w:shd w:val="clear" w:color="auto" w:fill="auto"/>
        </w:rPr>
        <w:t xml:space="preserve">Lautmatin/W. Maihofcr/H. Schclsky (Hog.). </w:t>
      </w:r>
      <w:r>
        <w:rPr>
          <w:i/>
          <w:iCs/>
          <w:color w:val="000000"/>
          <w:spacing w:val="0"/>
          <w:w w:val="100"/>
          <w:position w:val="0"/>
          <w:shd w:val="clear" w:color="auto" w:fill="auto"/>
        </w:rPr>
        <w:t>Die punklion des Rechls in der rnodernen Gesellschaft,</w:t>
      </w:r>
      <w:r>
        <w:rPr>
          <w:color w:val="000000"/>
          <w:spacing w:val="0"/>
          <w:w w:val="100"/>
          <w:position w:val="0"/>
          <w:shd w:val="clear" w:color="auto" w:fill="auto"/>
        </w:rPr>
        <w:t xml:space="preserve"> Bielefeld 1970; H. L. A. Hart, </w:t>
      </w:r>
      <w:r>
        <w:rPr>
          <w:i/>
          <w:iCs/>
          <w:color w:val="000000"/>
          <w:spacing w:val="0"/>
          <w:w w:val="100"/>
          <w:position w:val="0"/>
          <w:shd w:val="clear" w:color="auto" w:fill="auto"/>
        </w:rPr>
        <w:t>Rerhl und Moral,</w:t>
      </w:r>
      <w:r>
        <w:rPr>
          <w:color w:val="000000"/>
          <w:spacing w:val="0"/>
          <w:w w:val="100"/>
          <w:position w:val="0"/>
          <w:shd w:val="clear" w:color="auto" w:fill="auto"/>
        </w:rPr>
        <w:t xml:space="preserve"> Gottingen 1971; i.M&gt;, </w:t>
      </w:r>
      <w:r>
        <w:rPr>
          <w:i/>
          <w:iCs/>
          <w:color w:val="000000"/>
          <w:spacing w:val="0"/>
          <w:w w:val="100"/>
          <w:position w:val="0"/>
          <w:shd w:val="clear" w:color="auto" w:fill="auto"/>
        </w:rPr>
        <w:t>DerBegriff des Rechls,</w:t>
      </w:r>
      <w:r>
        <w:rPr>
          <w:color w:val="000000"/>
          <w:spacing w:val="0"/>
          <w:w w:val="100"/>
          <w:position w:val="0"/>
          <w:shd w:val="clear" w:color="auto" w:fill="auto"/>
        </w:rPr>
        <w:t xml:space="preserve"> Frankfurt 1974; N. Hocrslcr (Hog ), </w:t>
      </w:r>
      <w:r>
        <w:rPr>
          <w:i/>
          <w:iCs/>
          <w:color w:val="000000"/>
          <w:spacing w:val="0"/>
          <w:w w:val="100"/>
          <w:position w:val="0"/>
          <w:shd w:val="clear" w:color="auto" w:fill="auto"/>
        </w:rPr>
        <w:t>Rerhl und Moral,</w:t>
      </w:r>
      <w:r>
        <w:rPr>
          <w:color w:val="000000"/>
          <w:spacing w:val="0"/>
          <w:w w:val="100"/>
          <w:position w:val="0"/>
          <w:shd w:val="clear" w:color="auto" w:fill="auto"/>
        </w:rPr>
        <w:t xml:space="preserve"> Munchcn 1977.</w:t>
        <w:tab/>
        <w:t>It (tl.VHiKS</w:t>
      </w:r>
    </w:p>
    <w:p>
      <w:pPr>
        <w:pStyle w:val="Style56"/>
        <w:keepNext w:val="0"/>
        <w:keepLines w:val="0"/>
        <w:widowControl w:val="0"/>
        <w:numPr>
          <w:ilvl w:val="0"/>
          <w:numId w:val="433"/>
        </w:numPr>
        <w:shd w:val="clear" w:color="auto" w:fill="auto"/>
        <w:tabs>
          <w:tab w:pos="260" w:val="left"/>
        </w:tabs>
        <w:bidi w:val="0"/>
        <w:spacing w:before="0" w:after="120" w:line="240" w:lineRule="auto"/>
        <w:ind w:left="0" w:right="0" w:firstLine="0"/>
        <w:jc w:val="both"/>
      </w:pP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Primjereno zahtjevu islama da bude totalitet islamsko se p. ne ograničuje samo na religij</w:t>
        <w:softHyphen/>
        <w:t>sko i moralno područje. Ono, štoviše, obuhva</w:t>
        <w:softHyphen/>
        <w:t>ća sva područja života i može se opravdano uspoređivati s rimskim pravom. Poput židov</w:t>
        <w:softHyphen/>
        <w:t>stva, islam polazi od toga da je čovjek djelat</w:t>
        <w:softHyphen/>
        <w:t>nik uvezan u društvene institucije: u brak, obi</w:t>
        <w:softHyphen/>
        <w:t>telj, narod, pravnu i obrednu zajednicu. Vjer</w:t>
        <w:softHyphen/>
        <w:t xml:space="preserve">nik se. znakovito, rijetko uvezuje u državne institucije. </w:t>
      </w:r>
      <w:r>
        <w:rPr>
          <w:rFonts w:ascii="Times New Roman" w:eastAsia="Times New Roman" w:hAnsi="Times New Roman" w:cs="Times New Roman"/>
          <w:i/>
          <w:iCs/>
          <w:color w:val="000000"/>
          <w:spacing w:val="0"/>
          <w:w w:val="100"/>
          <w:position w:val="0"/>
          <w:shd w:val="clear" w:color="auto" w:fill="auto"/>
          <w:lang w:val="hr-HR" w:eastAsia="hr-HR" w:bidi="hr-HR"/>
        </w:rPr>
        <w:t>Serijaster</w:t>
      </w:r>
      <w:r>
        <w:rPr>
          <w:rFonts w:ascii="Times New Roman" w:eastAsia="Times New Roman" w:hAnsi="Times New Roman" w:cs="Times New Roman"/>
          <w:color w:val="000000"/>
          <w:spacing w:val="0"/>
          <w:w w:val="100"/>
          <w:position w:val="0"/>
          <w:shd w:val="clear" w:color="auto" w:fill="auto"/>
          <w:lang w:val="hr-HR" w:eastAsia="hr-HR" w:bidi="hr-HR"/>
        </w:rPr>
        <w:t xml:space="preserve"> se također naziva islam</w:t>
        <w:softHyphen/>
        <w:t xml:space="preserve">sko p. koje je ugrađeno u cjelokupni sustav vjerovanja - </w:t>
      </w:r>
      <w:r>
        <w:rPr>
          <w:rFonts w:ascii="Times New Roman" w:eastAsia="Times New Roman" w:hAnsi="Times New Roman" w:cs="Times New Roman"/>
          <w:i/>
          <w:iCs/>
          <w:color w:val="000000"/>
          <w:spacing w:val="0"/>
          <w:w w:val="100"/>
          <w:position w:val="0"/>
          <w:shd w:val="clear" w:color="auto" w:fill="auto"/>
          <w:lang w:val="hr-HR" w:eastAsia="hr-HR" w:bidi="hr-HR"/>
        </w:rPr>
        <w:t>šerijat.</w:t>
      </w:r>
      <w:r>
        <w:rPr>
          <w:rFonts w:ascii="Times New Roman" w:eastAsia="Times New Roman" w:hAnsi="Times New Roman" w:cs="Times New Roman"/>
          <w:color w:val="000000"/>
          <w:spacing w:val="0"/>
          <w:w w:val="100"/>
          <w:position w:val="0"/>
          <w:shd w:val="clear" w:color="auto" w:fill="auto"/>
          <w:lang w:val="hr-HR" w:eastAsia="hr-HR" w:bidi="hr-HR"/>
        </w:rPr>
        <w:t xml:space="preserve"> Primarni su izvor islam</w:t>
        <w:softHyphen/>
        <w:t xml:space="preserve">skoga prava Kuran i tradicija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Dopun</w:t>
        <w:softHyphen/>
        <w:t xml:space="preserve">sku funkciju imaju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consensus </w:t>
      </w:r>
      <w:r>
        <w:rPr>
          <w:rFonts w:ascii="Times New Roman" w:eastAsia="Times New Roman" w:hAnsi="Times New Roman" w:cs="Times New Roman"/>
          <w:i/>
          <w:iCs/>
          <w:color w:val="000000"/>
          <w:spacing w:val="0"/>
          <w:w w:val="100"/>
          <w:position w:val="0"/>
          <w:shd w:val="clear" w:color="auto" w:fill="auto"/>
          <w:lang w:val="hr-HR" w:eastAsia="hr-HR" w:bidi="hr-HR"/>
        </w:rPr>
        <w:t>doctorum (idžma)</w:t>
      </w:r>
      <w:r>
        <w:rPr>
          <w:rFonts w:ascii="Times New Roman" w:eastAsia="Times New Roman" w:hAnsi="Times New Roman" w:cs="Times New Roman"/>
          <w:color w:val="000000"/>
          <w:spacing w:val="0"/>
          <w:w w:val="100"/>
          <w:position w:val="0"/>
          <w:shd w:val="clear" w:color="auto" w:fill="auto"/>
          <w:lang w:val="hr-HR" w:eastAsia="hr-HR" w:bidi="hr-HR"/>
        </w:rPr>
        <w:t xml:space="preserve"> i analoški zaključak </w:t>
      </w:r>
      <w:r>
        <w:rPr>
          <w:rFonts w:ascii="Times New Roman" w:eastAsia="Times New Roman" w:hAnsi="Times New Roman" w:cs="Times New Roman"/>
          <w:i/>
          <w:iCs/>
          <w:color w:val="000000"/>
          <w:spacing w:val="0"/>
          <w:w w:val="100"/>
          <w:position w:val="0"/>
          <w:shd w:val="clear" w:color="auto" w:fill="auto"/>
          <w:lang w:val="en-US" w:eastAsia="en-US" w:bidi="en-US"/>
        </w:rPr>
        <w:t>(kijas),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što većina sunita priznaje kao treći i četvrti izvor vjere. Nasu</w:t>
        <w:softHyphen/>
        <w:t>prot tomu, šijiti pripisuju pravni karakter mno</w:t>
        <w:softHyphen/>
        <w:t>gim izrekama svojih imama. Postojeća op</w:t>
        <w:softHyphen/>
        <w:t>sežna pravna materija znatnim je dijelom po</w:t>
        <w:softHyphen/>
        <w:t>sljedak djelatnosti pravnih mislitelja u učenja</w:t>
        <w:softHyphen/>
        <w:t xml:space="preserve">ka od VII.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X. stoljeća. Ona, sukladno to</w:t>
        <w:softHyphen/>
        <w:t>mu, sadrži mnoge naknadno donesene zaključ</w:t>
        <w:softHyphen/>
        <w:t>ke po analogiji, spoznaje i stavove. Ta nad</w:t>
        <w:softHyphen/>
        <w:t>gradnja prekriva, između ostaloga, izvore. Ona k tomu u očima konzervativnih muslimana važi kao sakralno naslijeđe poput objave same. S vre</w:t>
        <w:softHyphen/>
        <w:t>menom je muslimanska jurisprudencija prihva</w:t>
        <w:softHyphen/>
        <w:t>tila i primijenila različite elemente običajnoga prava Arapa kao i drugih naroda.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Islamsko je p. ustvrdeno u detaljnom obliku: što je obvezatno, što se preporučuje, što je dopustivo, što je neprihvatljivo, što nije rado viđeno i što je zabranjeno. Pritom se čisto pravne teme miješaju s onima koje su religi</w:t>
        <w:softHyphen/>
        <w:t>oznoga, obrednog i moralnoga karaktera. Me</w:t>
        <w:softHyphen/>
        <w:t>toda zasnivanja prava u pravilu je kazuislička. Po svojoj postavci, islamsko je p. vjerski mo</w:t>
        <w:softHyphen/>
        <w:t>tivirano. Prethodno biblijski oblikovano, ono je u slučaju sudovanja pravni svjedok. Iskazi svjedoka čine po njemu temelj za otkrivanje istine. Presudna se uloga tog postupka doka</w:t>
        <w:softHyphen/>
        <w:t xml:space="preserve">zivanja objašnjava posebnostima nomadskoga života semitskih pustinjaka, za koje je to p. bilo izvorno stvoreno. Pokretljivost starih He- breja i Arapa zbog nomadskoga načina života mogla se smatrati nepremostivom preprekom razvoju i primjeni drugih metoda otkrivanja, l ako npr. pustinja često može odmah izbrisati tragove neke kažnjive radnje, što je važan </w:t>
      </w:r>
      <w:r>
        <w:rPr>
          <w:rFonts w:ascii="Times New Roman" w:eastAsia="Times New Roman" w:hAnsi="Times New Roman" w:cs="Times New Roman"/>
          <w:color w:val="000000"/>
          <w:spacing w:val="0"/>
          <w:w w:val="100"/>
          <w:position w:val="0"/>
          <w:shd w:val="clear" w:color="auto" w:fill="auto"/>
          <w:lang w:val="hr-HR" w:eastAsia="hr-HR" w:bidi="hr-HR"/>
        </w:rPr>
        <w:t>razlog za to da se prilikom prosudbe nekoga događaja oslonac traži u iskazima svjedoka.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Islamsko p. u principu vrijednost polaže više na osobne nego na stvarne odnose. U tome se očituje crta čovjeku bliskoga donošenja pra</w:t>
        <w:softHyphen/>
        <w:t>vorijeka. Po tome se islamsko p. bitno raz</w:t>
        <w:softHyphen/>
        <w:t>likuje od sekularnoga prava suvremenoga do</w:t>
        <w:softHyphen/>
        <w:t>ba koje je višestruko određeno stvarnim prisi</w:t>
        <w:softHyphen/>
        <w:t>lama.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Ibn Hazm od Andaluzijc (u. 1064), istaknuti pravni učenjak iz maurske Španjolske, zastu</w:t>
        <w:softHyphen/>
        <w:t>pao je nazor da je društvu dozvoljeno širiti prema svojim potrebama fleksibilno p. On je smatrao da je Kuran santo zbirna orijenta- cijska podloga. 1 inače su veliki pravni učenja</w:t>
        <w:softHyphen/>
        <w:t>ci ranije islamske povijesti običavali razvijati znatnu slobodu mišljenja. Uopće i u cjelini, p. je uvijek bilo izraz živoga i proživljenoga od</w:t>
        <w:softHyphen/>
        <w:t>nosa prema Pismu. I za Kuran važi ono što je nekoć kazano o odnosu Biblije prema životnoj praksi Židova: »Čitaj i čitaj tu Knjigu: sve je u njoj!« Kao jedan sloj društvene zbilje promje</w:t>
        <w:softHyphen/>
        <w:t>na je prihvaćena kao legitimna i samorazum</w:t>
        <w:softHyphen/>
        <w:t xml:space="preserve">ljiva. Tako i u priznatima djelima fikha, kao u Al-Hidaji koju je napisao ‘Ali ibn Abi Bakr al-Farghani </w:t>
      </w:r>
      <w:r>
        <w:rPr>
          <w:rFonts w:ascii="Times New Roman" w:eastAsia="Times New Roman" w:hAnsi="Times New Roman" w:cs="Times New Roman"/>
          <w:color w:val="000000"/>
          <w:spacing w:val="0"/>
          <w:w w:val="100"/>
          <w:position w:val="0"/>
          <w:shd w:val="clear" w:color="auto" w:fill="auto"/>
          <w:lang w:val="en-US" w:eastAsia="en-US" w:bidi="en-US"/>
        </w:rPr>
        <w:t xml:space="preserve">al-MarghinSni </w:t>
      </w:r>
      <w:r>
        <w:rPr>
          <w:rFonts w:ascii="Times New Roman" w:eastAsia="Times New Roman" w:hAnsi="Times New Roman" w:cs="Times New Roman"/>
          <w:color w:val="000000"/>
          <w:spacing w:val="0"/>
          <w:w w:val="100"/>
          <w:position w:val="0"/>
          <w:shd w:val="clear" w:color="auto" w:fill="auto"/>
          <w:lang w:val="hr-HR" w:eastAsia="hr-HR" w:bidi="hr-HR"/>
        </w:rPr>
        <w:t>(u. 1197), nalazi</w:t>
        <w:softHyphen/>
        <w:t xml:space="preserve">mo zabilješke poput ove: »Wa </w:t>
      </w:r>
      <w:r>
        <w:rPr>
          <w:rFonts w:ascii="Times New Roman" w:eastAsia="Times New Roman" w:hAnsi="Times New Roman" w:cs="Times New Roman"/>
          <w:color w:val="000000"/>
          <w:spacing w:val="0"/>
          <w:w w:val="100"/>
          <w:position w:val="0"/>
          <w:shd w:val="clear" w:color="auto" w:fill="auto"/>
          <w:lang w:val="en-US" w:eastAsia="en-US" w:bidi="en-US"/>
        </w:rPr>
        <w:t xml:space="preserve">yufla </w:t>
      </w:r>
      <w:r>
        <w:rPr>
          <w:rFonts w:ascii="Times New Roman" w:eastAsia="Times New Roman" w:hAnsi="Times New Roman" w:cs="Times New Roman"/>
          <w:color w:val="000000"/>
          <w:spacing w:val="0"/>
          <w:w w:val="100"/>
          <w:position w:val="0"/>
          <w:shd w:val="clear" w:color="auto" w:fill="auto"/>
          <w:lang w:val="hr-HR" w:eastAsia="hr-HR" w:bidi="hr-HR"/>
        </w:rPr>
        <w:t>bihi fi zamanina« (»U naše se doba tako ponaša vjcrski-rcligiozno«).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nikakvo drugo duhovno naslijeđe p. ima oblik onoga društvenoga konteksta u kojemu je nastalo. Neovisno o temeljnim moralnim čimbenicima sve se drugo stječe u njemu. Is</w:t>
        <w:softHyphen/>
        <w:t>lamska je pravna znanost od davnina upozna</w:t>
        <w:softHyphen/>
        <w:t>ta s relativiranjent norme. Kada se neka nor</w:t>
        <w:softHyphen/>
        <w:t>ma treba primijeniti izvan svojega izvornoga konteksta, ona tada ima sasvim drugačije zna</w:t>
        <w:softHyphen/>
        <w:t>čenje. Ona se u stanovitim okolnostima može zamijeniti. Zahvaljujući tomu su u sunitskom islamu nastale četiri pravne škole: one koje se strogo drže slova predaje i one više liberalne. To su razmjerno liberalna hanefitska, strogo slovu predaje dosljedna hanbelitska, umjere</w:t>
        <w:softHyphen/>
        <w:t>na šafijska i malikitska pravna škola, u čijim je razmišljanjima snažnije prisutno opće dobro. Razmjerno mali opseg autentičnoga prava ostavlja slobodan prostor intuitivnom promiš</w:t>
        <w:softHyphen/>
        <w:t>ljanju prava. Otkrivanje izvanjskih poticaja po</w:t>
        <w:softHyphen/>
        <w:t>jedinih sadržaja objave (asbab an-nuzul), či</w:t>
        <w:softHyphen/>
        <w:t>me se djelomice bavi egzegeza Kurana, u od</w:t>
        <w:softHyphen/>
        <w:t xml:space="preserve">nosu na obvezatnu vrijednost kuranskih uputa ponekad je uzrokovalo korekture ili stavljanje </w:t>
      </w:r>
      <w:r>
        <w:rPr>
          <w:rFonts w:ascii="Times New Roman" w:eastAsia="Times New Roman" w:hAnsi="Times New Roman" w:cs="Times New Roman"/>
          <w:color w:val="000000"/>
          <w:spacing w:val="0"/>
          <w:w w:val="100"/>
          <w:position w:val="0"/>
          <w:shd w:val="clear" w:color="auto" w:fill="auto"/>
          <w:lang w:val="hr-HR" w:eastAsia="hr-HR" w:bidi="hr-HR"/>
        </w:rPr>
        <w:t>novih naglasaka. Osim toga, Kuran sadrži niz derogiranih pravnih odredbi. Njegovi stihovi, koji bivaju istrgnuti iz koncepcijskoga i histo</w:t>
        <w:softHyphen/>
        <w:t>rijskoga sklopa, mogu stoga lako dovesti do pogrešnih pretpostavki. U prvom izvoru isla</w:t>
        <w:softHyphen/>
        <w:t xml:space="preserve">ma ponekad sc, povrh toga, nalaze metafo- rički iskazi </w:t>
      </w:r>
      <w:r>
        <w:rPr>
          <w:rFonts w:ascii="Times New Roman" w:eastAsia="Times New Roman" w:hAnsi="Times New Roman" w:cs="Times New Roman"/>
          <w:i/>
          <w:iCs/>
          <w:color w:val="000000"/>
          <w:spacing w:val="0"/>
          <w:w w:val="100"/>
          <w:position w:val="0"/>
          <w:shd w:val="clear" w:color="auto" w:fill="auto"/>
          <w:lang w:val="hr-HR" w:eastAsia="hr-HR" w:bidi="hr-HR"/>
        </w:rPr>
        <w:t>(al-mutashabihdt),</w:t>
      </w:r>
      <w:r>
        <w:rPr>
          <w:rFonts w:ascii="Times New Roman" w:eastAsia="Times New Roman" w:hAnsi="Times New Roman" w:cs="Times New Roman"/>
          <w:color w:val="000000"/>
          <w:spacing w:val="0"/>
          <w:w w:val="100"/>
          <w:position w:val="0"/>
          <w:shd w:val="clear" w:color="auto" w:fill="auto"/>
          <w:lang w:val="hr-HR" w:eastAsia="hr-HR" w:bidi="hr-HR"/>
        </w:rPr>
        <w:t xml:space="preserve"> što dodatno otežava egzegezu.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 iskazi unaprijed dopuštaju dvosmislenosti. Zbog toga kao i zbog tendenciozne egzegeze i manipuliranja s manje pouzdanim predajama različitim je elementima pružena mogućnost da u cjelokupnu građevinu islamskoga prava prokrijumčarc njemu strane ideje i institucije. To, dakako, važi prije svega za pravnu misao različitih rubnih i ekstremnih skupina. Onaj dio islamskoga prava, koji uređuje međuljud</w:t>
        <w:softHyphen/>
        <w:t xml:space="preserve">ske odnose </w:t>
      </w:r>
      <w:r>
        <w:rPr>
          <w:rFonts w:ascii="Times New Roman" w:eastAsia="Times New Roman" w:hAnsi="Times New Roman" w:cs="Times New Roman"/>
          <w:color w:val="000000"/>
          <w:spacing w:val="0"/>
          <w:w w:val="100"/>
          <w:position w:val="0"/>
          <w:shd w:val="clear" w:color="auto" w:fill="auto"/>
          <w:lang w:val="en-US" w:eastAsia="en-US" w:bidi="en-US"/>
        </w:rPr>
        <w:t xml:space="preserve">(huqDq </w:t>
      </w:r>
      <w:r>
        <w:rPr>
          <w:rFonts w:ascii="Times New Roman" w:eastAsia="Times New Roman" w:hAnsi="Times New Roman" w:cs="Times New Roman"/>
          <w:color w:val="000000"/>
          <w:spacing w:val="0"/>
          <w:w w:val="100"/>
          <w:position w:val="0"/>
          <w:shd w:val="clear" w:color="auto" w:fill="auto"/>
          <w:lang w:val="hr-HR" w:eastAsia="hr-HR" w:bidi="hr-HR"/>
        </w:rPr>
        <w:t>al-insan), pravno je fleksi</w:t>
        <w:softHyphen/>
        <w:t xml:space="preserve">bilan u okviru principa koji ga utemeljuju. Nasuprot tomu, p. koje je izgrađeno po uzoru na Toru i koje se odnosi na Boga </w:t>
      </w:r>
      <w:r>
        <w:rPr>
          <w:rFonts w:ascii="Times New Roman" w:eastAsia="Times New Roman" w:hAnsi="Times New Roman" w:cs="Times New Roman"/>
          <w:color w:val="000000"/>
          <w:spacing w:val="0"/>
          <w:w w:val="100"/>
          <w:position w:val="0"/>
          <w:shd w:val="clear" w:color="auto" w:fill="auto"/>
          <w:lang w:val="en-US" w:eastAsia="en-US" w:bidi="en-US"/>
        </w:rPr>
        <w:t xml:space="preserve">(huquq- </w:t>
      </w:r>
      <w:r>
        <w:rPr>
          <w:rFonts w:ascii="Times New Roman" w:eastAsia="Times New Roman" w:hAnsi="Times New Roman" w:cs="Times New Roman"/>
          <w:color w:val="000000"/>
          <w:spacing w:val="0"/>
          <w:w w:val="100"/>
          <w:position w:val="0"/>
          <w:shd w:val="clear" w:color="auto" w:fill="auto"/>
          <w:lang w:val="hr-HR" w:eastAsia="hr-HR" w:bidi="hr-HR"/>
        </w:rPr>
        <w:t xml:space="preserve">Allah) jest fiksno, </w:t>
      </w:r>
      <w:r>
        <w:rPr>
          <w:rFonts w:ascii="Times New Roman" w:eastAsia="Times New Roman" w:hAnsi="Times New Roman" w:cs="Times New Roman"/>
          <w:color w:val="000000"/>
          <w:spacing w:val="0"/>
          <w:w w:val="100"/>
          <w:position w:val="0"/>
          <w:shd w:val="clear" w:color="auto" w:fill="auto"/>
          <w:lang w:val="en-US" w:eastAsia="en-US" w:bidi="en-US"/>
        </w:rPr>
        <w:t>rigoroz.no</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 neumoljivo. U tu pravnu kategoriju spadaju odredbe o zaštiti jednoboštva, prema kojemu se ravnaju moral i društveni poredak cjelokupnoga islamskog društva.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cjelokupnoj građevini islama zakon je na posljednjemu mjestu. Na vrhu je vjera sa svojih šest stavaka, a zatim slijedi nauk o dužnosti; na njega se nadovezuje nauk o moralu.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Pored idealnih zahtjeva šerijata u svakoj su is</w:t>
        <w:softHyphen/>
        <w:t>lamskoj zajednici postojala i druga, narodom i situacijom uvjetovana shvaćanja prava. Taj jc dualizam danas prisutan više nego ikad. Raz</w:t>
        <w:softHyphen/>
        <w:t xml:space="preserve">voj prava u Osmanskome Carstvu doveo jc u drugoj polovici XIX. stoljeća do kodificiranja građanskoga prava u obliku </w:t>
      </w:r>
      <w:r>
        <w:rPr>
          <w:rFonts w:ascii="Times New Roman" w:eastAsia="Times New Roman" w:hAnsi="Times New Roman" w:cs="Times New Roman"/>
          <w:i/>
          <w:iCs/>
          <w:color w:val="000000"/>
          <w:spacing w:val="0"/>
          <w:w w:val="100"/>
          <w:position w:val="0"/>
          <w:shd w:val="clear" w:color="auto" w:fill="auto"/>
          <w:lang w:val="hr-HR" w:eastAsia="hr-HR" w:bidi="hr-HR"/>
        </w:rPr>
        <w:t>medžele.</w:t>
      </w:r>
      <w:r>
        <w:rPr>
          <w:rFonts w:ascii="Times New Roman" w:eastAsia="Times New Roman" w:hAnsi="Times New Roman" w:cs="Times New Roman"/>
          <w:color w:val="000000"/>
          <w:spacing w:val="0"/>
          <w:w w:val="100"/>
          <w:position w:val="0"/>
          <w:shd w:val="clear" w:color="auto" w:fill="auto"/>
          <w:lang w:val="hr-HR" w:eastAsia="hr-HR" w:bidi="hr-HR"/>
        </w:rPr>
        <w:t xml:space="preserve"> To je jed</w:t>
        <w:softHyphen/>
        <w:t>na vrsta građanskoga zakonika. Po svojemu duhu, on je u suglasju sa šerijatom, no uvelike odgovara pravnom osjećaju kod suvremenoga čovjeka. Islamska filozofija prava stoji na sta</w:t>
        <w:softHyphen/>
        <w:t>jalištu da neko zlo počinjeno u svijetu u pu</w:t>
        <w:softHyphen/>
        <w:t>nom opsegu treba pogoditi njegova počinite</w:t>
        <w:softHyphen/>
        <w:t>lja zato što se društveni interesi moraju u do</w:t>
        <w:softHyphen/>
        <w:t xml:space="preserve">voljnoj mjeri štitili. Otuda strogost kazni koje mnogi ljudi smatraju barbarskim. No kazna u pravilu služi kao primjer i ne izostaje njezin upozoravajući učinak. </w:t>
      </w:r>
      <w:r>
        <w:rPr>
          <w:rFonts w:ascii="Times New Roman" w:eastAsia="Times New Roman" w:hAnsi="Times New Roman" w:cs="Times New Roman"/>
          <w:i/>
          <w:iCs/>
          <w:color w:val="000000"/>
          <w:spacing w:val="0"/>
          <w:w w:val="100"/>
          <w:position w:val="0"/>
          <w:shd w:val="clear" w:color="auto" w:fill="auto"/>
          <w:lang w:val="hr-HR" w:eastAsia="hr-HR" w:bidi="hr-HR"/>
        </w:rPr>
        <w:t>Namjera</w:t>
      </w:r>
      <w:r>
        <w:rPr>
          <w:rFonts w:ascii="Times New Roman" w:eastAsia="Times New Roman" w:hAnsi="Times New Roman" w:cs="Times New Roman"/>
          <w:color w:val="000000"/>
          <w:spacing w:val="0"/>
          <w:w w:val="100"/>
          <w:position w:val="0"/>
          <w:shd w:val="clear" w:color="auto" w:fill="auto"/>
          <w:lang w:val="hr-HR" w:eastAsia="hr-HR" w:bidi="hr-HR"/>
        </w:rPr>
        <w:t xml:space="preserve"> (an-niyya) je odlučujući kriterij za prosudbu nekoga čina.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Kuran jednako kao i Biblija sadrži pravila i preporuke koje sc odnose na neku historijsku situaciju. Stoga oni tamo svoje mjesto pot</w:t>
        <w:softHyphen/>
      </w:r>
      <w:r>
        <w:rPr>
          <w:rFonts w:ascii="Times New Roman" w:eastAsia="Times New Roman" w:hAnsi="Times New Roman" w:cs="Times New Roman"/>
          <w:color w:val="000000"/>
          <w:spacing w:val="0"/>
          <w:w w:val="100"/>
          <w:position w:val="0"/>
          <w:shd w:val="clear" w:color="auto" w:fill="auto"/>
          <w:lang w:val="hr-HR" w:eastAsia="hr-HR" w:bidi="hr-HR"/>
        </w:rPr>
        <w:t>vrđuju jedino kao dokumenti vremena. I u Kuranu sc mnogo toga može nanovo objas</w:t>
        <w:softHyphen/>
        <w:t>niti. Taj jc problem zajednički za sve objav</w:t>
        <w:softHyphen/>
        <w:t>ljene religije. Islam ima iza sebe dugi razvoj prava. Drakonsko sudstvo, koje je bilo nužno zbog opstanka prve zajednice u Medini koja sc borila za golu egzistenciju, važilo je kao prevladano, što je posljedak iznalaženja prava u duhu Kurana. Već je kalif Omer prakticirao fleksibilno pravosuđe koje se razlikovalo od onoga iz prvoga razdoblja islama. Tako za njegove vladavine krađa nije bila tako strogo kažnjavana kao u vrijeme njegovih prethod</w:t>
        <w:softHyphen/>
        <w:t>nika; nasuprot tomu, kazne su za alkoholne is</w:t>
        <w:softHyphen/>
        <w:t>pade bile udvostručene.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Ibn Tejimija (u. 1328), veliki sunitski učenjak, smatrao je da uživanje alkohola i opijanje ne treba kažnjavati zato što je u tome vidio mo</w:t>
        <w:softHyphen/>
        <w:t>gućnost da sc počinitelje odvrati od još gorih nedjela kao što su ubojstvo, pljačka i haranje. Abu Hanifa (u. 767), po kojemu je hanefitska pravna škola dobila ime, dao se radije zatočiti negoli se obući u suca. Stav prema takvim i sličnim pitanjima, koja spadaju u područje hu- maniziranja života, uvelike ovisi o shvaćanju religije. Izricanje pravnih odluka upravo nije područje u kojemu veliki duhovi traže svoj moralni integritet. Stroge kazne vode k izvanj- skome prilagodavanju i zbog svojega su eg</w:t>
        <w:softHyphen/>
        <w:t>zemplarnoga karaktera učinkovite na područ</w:t>
        <w:softHyphen/>
        <w:t>ju društvenoga ponašanja, ali teško dovode do ćudorednog uvida, nego kod dotičnoga prije do ogorčenja i razaranja svakog osjećaja o vlastitoj vrijednosti.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Pravne formulacije u Kuranu, koje su u od</w:t>
        <w:softHyphen/>
        <w:t>nosu na ostale stihove sasvim oskudne, skici</w:t>
        <w:softHyphen/>
        <w:t>raju u izvjesnom smislu smjer u kojemu vodi islamski put mišljenja. Tako treći stih četvrte sure, kojim je pravno ustvrđeno ograničenje mnogoženstva, pokazuje jasnu simpatiju za jednoženstvo. U islamu poduzeto humanizi- ranje ratnoga prava opet nedvosmisleno po</w:t>
        <w:softHyphen/>
        <w:t>kazuje davanje prvenstva miru. Nadovezujući se na odredbe o kažnjavanju zbog žigosanja ili bičevanja, koje su bile zamišljene kao zamjena za smrtnu kaznu, nalaze sc stihovi o kajanju, blagosti i oprostu. To je očigledno islamska vi</w:t>
        <w:softHyphen/>
        <w:t>zija boljega svijeta.</w:t>
      </w:r>
    </w:p>
    <w:p>
      <w:pPr>
        <w:pStyle w:val="Style20"/>
        <w:keepNext w:val="0"/>
        <w:keepLines w:val="0"/>
        <w:widowControl w:val="0"/>
        <w:shd w:val="clear" w:color="auto" w:fill="auto"/>
        <w:bidi w:val="0"/>
        <w:spacing w:before="0" w:after="80"/>
        <w:ind w:left="0" w:right="0" w:firstLine="0"/>
        <w:jc w:val="both"/>
        <w:sectPr>
          <w:headerReference w:type="default" r:id="rId1147"/>
          <w:footerReference w:type="default" r:id="rId1148"/>
          <w:headerReference w:type="even" r:id="rId1149"/>
          <w:footerReference w:type="even" r:id="rId1150"/>
          <w:headerReference w:type="first" r:id="rId1151"/>
          <w:footerReference w:type="first" r:id="rId1152"/>
          <w:footnotePr>
            <w:pos w:val="pageBottom"/>
            <w:numFmt w:val="decimal"/>
            <w:numRestart w:val="continuous"/>
            <w15:footnoteColumns w:val="1"/>
          </w:footnotePr>
          <w:pgSz w:w="6816" w:h="11006"/>
          <w:pgMar w:top="783" w:left="196" w:right="198" w:bottom="398" w:header="0" w:footer="3" w:gutter="0"/>
          <w:pgNumType w:start="374"/>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Islamska je pravna tradicija presudno suobli- kovala samorazumijevanje islama. Od sredine XIX. stoljeća reformistički pravni učenjaci pokušavaju unijeti izvjesne korekture u islam- </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sko p. No </w:t>
      </w:r>
      <w:r>
        <w:rPr>
          <w:rFonts w:ascii="Times New Roman" w:eastAsia="Times New Roman" w:hAnsi="Times New Roman" w:cs="Times New Roman"/>
          <w:color w:val="000000"/>
          <w:spacing w:val="0"/>
          <w:w w:val="100"/>
          <w:position w:val="0"/>
          <w:shd w:val="clear" w:color="auto" w:fill="auto"/>
          <w:lang w:val="hr-HR" w:eastAsia="hr-HR" w:bidi="hr-HR"/>
        </w:rPr>
        <w:t>ipak ne zadovoljavaju razmjer i učinkovitost postignutoga. S obzirom na tra- juću dekadenciju Trećega svijeta, u kojemu muslimani predstavljaju bitan čimbenik, od sedamdesetih godina XX. stoljeća ojačani is</w:t>
        <w:softHyphen/>
        <w:t>lamski fundamentalizam pokušava pojedinim vjernicima prigovoriti da izlazak iz te deka</w:t>
        <w:softHyphen/>
        <w:t>dencije ovisi samo o njemu. Na izopačenom shvaćanju šerijata nedvojbeno počiva i to što muslimanskim narodima tako teško pada tra</w:t>
        <w:softHyphen/>
        <w:t xml:space="preserve">ganje za njima sigurnim mjestom u svjetskoj zajednici (usp. ntoj članak, Das Schari’a-Ver- standnis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 xml:space="preserve">plularistischcr </w:t>
      </w:r>
      <w:r>
        <w:rPr>
          <w:rFonts w:ascii="Times New Roman" w:eastAsia="Times New Roman" w:hAnsi="Times New Roman" w:cs="Times New Roman"/>
          <w:color w:val="000000"/>
          <w:spacing w:val="0"/>
          <w:w w:val="100"/>
          <w:position w:val="0"/>
          <w:shd w:val="clear" w:color="auto" w:fill="auto"/>
          <w:lang w:val="en-US" w:eastAsia="en-US" w:bidi="en-US"/>
        </w:rPr>
        <w:t xml:space="preserve">Gesellschaft,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Is</w:t>
        <w:softHyphen/>
        <w:t xml:space="preserve">lam und der </w:t>
      </w:r>
      <w:r>
        <w:rPr>
          <w:rFonts w:ascii="Times New Roman" w:eastAsia="Times New Roman" w:hAnsi="Times New Roman" w:cs="Times New Roman"/>
          <w:i/>
          <w:iCs/>
          <w:color w:val="000000"/>
          <w:spacing w:val="0"/>
          <w:w w:val="100"/>
          <w:position w:val="0"/>
          <w:shd w:val="clear" w:color="auto" w:fill="auto"/>
          <w:lang w:val="en-US" w:eastAsia="en-US" w:bidi="en-US"/>
        </w:rPr>
        <w:t>Westen,</w:t>
      </w:r>
      <w:r>
        <w:rPr>
          <w:rFonts w:ascii="Times New Roman" w:eastAsia="Times New Roman" w:hAnsi="Times New Roman" w:cs="Times New Roman"/>
          <w:color w:val="000000"/>
          <w:spacing w:val="0"/>
          <w:w w:val="100"/>
          <w:position w:val="0"/>
          <w:shd w:val="clear" w:color="auto" w:fill="auto"/>
          <w:lang w:val="en-US" w:eastAsia="en-US" w:bidi="en-US"/>
        </w:rPr>
        <w:t xml:space="preserve"> Wien </w:t>
      </w:r>
      <w:r>
        <w:rPr>
          <w:rFonts w:ascii="Times New Roman" w:eastAsia="Times New Roman" w:hAnsi="Times New Roman" w:cs="Times New Roman"/>
          <w:color w:val="000000"/>
          <w:spacing w:val="0"/>
          <w:w w:val="100"/>
          <w:position w:val="0"/>
          <w:shd w:val="clear" w:color="auto" w:fill="auto"/>
          <w:lang w:val="hr-HR" w:eastAsia="hr-HR" w:bidi="hr-HR"/>
        </w:rPr>
        <w:t>1/1981, 1,2).</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Said Ramadan, </w:t>
      </w:r>
      <w:r>
        <w:rPr>
          <w:i/>
          <w:iCs/>
          <w:color w:val="000000"/>
          <w:spacing w:val="0"/>
          <w:w w:val="100"/>
          <w:position w:val="0"/>
          <w:shd w:val="clear" w:color="auto" w:fill="auto"/>
        </w:rPr>
        <w:t xml:space="preserve">Das islamische Rechi. Theorie und Praxis, </w:t>
      </w:r>
      <w:r>
        <w:rPr>
          <w:color w:val="000000"/>
          <w:spacing w:val="0"/>
          <w:w w:val="100"/>
          <w:position w:val="0"/>
          <w:shd w:val="clear" w:color="auto" w:fill="auto"/>
        </w:rPr>
        <w:t xml:space="preserve">Wiesbaden 1980; Adel Theodor Khoury, I.slaniischcs Roehl, u: </w:t>
      </w:r>
      <w:r>
        <w:rPr>
          <w:i/>
          <w:iCs/>
          <w:color w:val="000000"/>
          <w:spacing w:val="0"/>
          <w:w w:val="100"/>
          <w:position w:val="0"/>
          <w:shd w:val="clear" w:color="auto" w:fill="auto"/>
        </w:rPr>
        <w:t>Islam - Herausforderung an West und Ost,</w:t>
      </w:r>
      <w:r>
        <w:rPr>
          <w:color w:val="000000"/>
          <w:spacing w:val="0"/>
          <w:w w:val="100"/>
          <w:position w:val="0"/>
          <w:shd w:val="clear" w:color="auto" w:fill="auto"/>
        </w:rPr>
        <w:t xml:space="preserve"> Alten</w:t>
        <w:softHyphen/>
        <w:t xml:space="preserve">berge 1981, 26-44; Udo Steinbach, Mcnschcnrcchtc im Vcrslandnis de* Islam, u: </w:t>
      </w:r>
      <w:r>
        <w:rPr>
          <w:i/>
          <w:iCs/>
          <w:color w:val="000000"/>
          <w:spacing w:val="0"/>
          <w:w w:val="100"/>
          <w:position w:val="0"/>
          <w:shd w:val="clear" w:color="auto" w:fill="auto"/>
        </w:rPr>
        <w:t xml:space="preserve">Verfassung und Rechl im Ubersee </w:t>
      </w:r>
      <w:r>
        <w:rPr>
          <w:color w:val="000000"/>
          <w:spacing w:val="0"/>
          <w:w w:val="100"/>
          <w:position w:val="0"/>
          <w:shd w:val="clear" w:color="auto" w:fill="auto"/>
        </w:rPr>
        <w:t>8/1975,47-59; Mohammed el Nowaihi, Some recent attem</w:t>
        <w:softHyphen/>
        <w:t xml:space="preserve">pts towards a more liberal interpretation of the Qur'an and mixlcrmzation of Islamic jurisprudence, u* </w:t>
      </w:r>
      <w:r>
        <w:rPr>
          <w:i/>
          <w:iCs/>
          <w:color w:val="000000"/>
          <w:spacing w:val="0"/>
          <w:w w:val="100"/>
          <w:position w:val="0"/>
          <w:shd w:val="clear" w:color="auto" w:fill="auto"/>
        </w:rPr>
        <w:t>Journal od the Middle East</w:t>
      </w:r>
      <w:r>
        <w:rPr>
          <w:color w:val="000000"/>
          <w:spacing w:val="0"/>
          <w:w w:val="100"/>
          <w:position w:val="0"/>
          <w:shd w:val="clear" w:color="auto" w:fill="auto"/>
        </w:rPr>
        <w:t xml:space="preserve"> 3/1976, 59 i d.; ’AbdalgavAvad </w:t>
      </w:r>
      <w:r>
        <w:rPr>
          <w:color w:val="000000"/>
          <w:spacing w:val="0"/>
          <w:w w:val="100"/>
          <w:position w:val="0"/>
          <w:shd w:val="clear" w:color="auto" w:fill="auto"/>
          <w:lang w:val="hr-HR" w:eastAsia="hr-HR" w:bidi="hr-HR"/>
        </w:rPr>
        <w:t xml:space="preserve">balaturi, </w:t>
      </w:r>
      <w:r>
        <w:rPr>
          <w:color w:val="000000"/>
          <w:spacing w:val="0"/>
          <w:w w:val="100"/>
          <w:position w:val="0"/>
          <w:shd w:val="clear" w:color="auto" w:fill="auto"/>
        </w:rPr>
        <w:t xml:space="preserve">Das is- lamischc Rccbt. u: </w:t>
      </w:r>
      <w:r>
        <w:rPr>
          <w:i/>
          <w:iCs/>
          <w:color w:val="000000"/>
          <w:spacing w:val="0"/>
          <w:w w:val="100"/>
          <w:position w:val="0"/>
          <w:shd w:val="clear" w:color="auto" w:fill="auto"/>
        </w:rPr>
        <w:t>Die Schari’a - hier und heute,</w:t>
      </w:r>
      <w:r>
        <w:rPr>
          <w:color w:val="000000"/>
          <w:spacing w:val="0"/>
          <w:w w:val="100"/>
          <w:position w:val="0"/>
          <w:shd w:val="clear" w:color="auto" w:fill="auto"/>
        </w:rPr>
        <w:t xml:space="preserve"> Aachen 1983, 6-27; isli, Die Sunna des Prophctcn Muhammad als Gnmdlagc des islamischcn Ruehls, u: </w:t>
      </w:r>
      <w:r>
        <w:rPr>
          <w:i/>
          <w:iCs/>
          <w:color w:val="000000"/>
          <w:spacing w:val="0"/>
          <w:w w:val="100"/>
          <w:position w:val="0"/>
          <w:shd w:val="clear" w:color="auto" w:fill="auto"/>
        </w:rPr>
        <w:t>Die Schari’a - hier und heute,</w:t>
      </w:r>
      <w:r>
        <w:rPr>
          <w:color w:val="000000"/>
          <w:spacing w:val="0"/>
          <w:w w:val="100"/>
          <w:position w:val="0"/>
          <w:shd w:val="clear" w:color="auto" w:fill="auto"/>
        </w:rPr>
        <w:t xml:space="preserve"> Aachen 1983, 53-70; liaraid Herman, Religio- scs Rccht im klassischcn Islam, u: </w:t>
      </w:r>
      <w:r>
        <w:rPr>
          <w:i/>
          <w:iCs/>
          <w:color w:val="000000"/>
          <w:spacing w:val="0"/>
          <w:w w:val="100"/>
          <w:position w:val="0"/>
          <w:shd w:val="clear" w:color="auto" w:fill="auto"/>
        </w:rPr>
        <w:t>Akten des 18. Deutschen Orientalistentags in Lubeck,</w:t>
      </w:r>
      <w:r>
        <w:rPr>
          <w:color w:val="000000"/>
          <w:spacing w:val="0"/>
          <w:w w:val="100"/>
          <w:position w:val="0"/>
          <w:shd w:val="clear" w:color="auto" w:fill="auto"/>
        </w:rPr>
        <w:t xml:space="preserve"> Wiesbaden 1974, 152-156; Pe</w:t>
        <w:softHyphen/>
        <w:t xml:space="preserve">ter Heine, Zur </w:t>
      </w:r>
      <w:r>
        <w:rPr>
          <w:color w:val="000000"/>
          <w:spacing w:val="0"/>
          <w:w w:val="100"/>
          <w:position w:val="0"/>
          <w:shd w:val="clear" w:color="auto" w:fill="auto"/>
          <w:lang w:val="hr-HR" w:eastAsia="hr-HR" w:bidi="hr-HR"/>
        </w:rPr>
        <w:t xml:space="preserve">Kritik </w:t>
      </w:r>
      <w:r>
        <w:rPr>
          <w:color w:val="000000"/>
          <w:spacing w:val="0"/>
          <w:w w:val="100"/>
          <w:position w:val="0"/>
          <w:shd w:val="clear" w:color="auto" w:fill="auto"/>
        </w:rPr>
        <w:t>muslimischcr Extrcmislcn am isla</w:t>
        <w:softHyphen/>
        <w:t xml:space="preserve">mischcn Rccht, u: </w:t>
      </w:r>
      <w:r>
        <w:rPr>
          <w:i/>
          <w:iCs/>
          <w:color w:val="000000"/>
          <w:spacing w:val="0"/>
          <w:w w:val="100"/>
          <w:position w:val="0"/>
          <w:shd w:val="clear" w:color="auto" w:fill="auto"/>
        </w:rPr>
        <w:t>Rechtstheorie</w:t>
      </w:r>
      <w:r>
        <w:rPr>
          <w:color w:val="000000"/>
          <w:spacing w:val="0"/>
          <w:w w:val="100"/>
          <w:position w:val="0"/>
          <w:shd w:val="clear" w:color="auto" w:fill="auto"/>
        </w:rPr>
        <w:t xml:space="preserve"> 14 (1983), 505-511,</w:t>
      </w:r>
    </w:p>
    <w:p>
      <w:pPr>
        <w:pStyle w:val="Style74"/>
        <w:keepNext w:val="0"/>
        <w:keepLines w:val="0"/>
        <w:widowControl w:val="0"/>
        <w:shd w:val="clear" w:color="auto" w:fill="auto"/>
        <w:bidi w:val="0"/>
        <w:spacing w:before="0" w:after="36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 xml:space="preserve">S. BAI </w:t>
      </w:r>
      <w:r>
        <w:rPr>
          <w:rFonts w:ascii="Times New Roman" w:eastAsia="Times New Roman" w:hAnsi="Times New Roman" w:cs="Times New Roman"/>
          <w:color w:val="000000"/>
          <w:spacing w:val="0"/>
          <w:w w:val="100"/>
          <w:position w:val="0"/>
          <w:shd w:val="clear" w:color="auto" w:fill="auto"/>
          <w:lang w:val="hr-HR" w:eastAsia="hr-HR" w:bidi="hr-HR"/>
        </w:rPr>
        <w:t>.IĆ</w:t>
      </w:r>
    </w:p>
    <w:p>
      <w:pPr>
        <w:pStyle w:val="Style63"/>
        <w:keepNext/>
        <w:keepLines/>
        <w:widowControl w:val="0"/>
        <w:shd w:val="clear" w:color="auto" w:fill="auto"/>
        <w:bidi w:val="0"/>
        <w:spacing w:before="0" w:after="180"/>
        <w:ind w:left="0" w:right="0" w:firstLine="0"/>
        <w:jc w:val="both"/>
      </w:pPr>
      <w:bookmarkStart w:id="274" w:name="bookmark274"/>
      <w:r>
        <w:rPr>
          <w:rFonts w:ascii="Times New Roman" w:eastAsia="Times New Roman" w:hAnsi="Times New Roman" w:cs="Times New Roman"/>
          <w:color w:val="000000"/>
          <w:spacing w:val="0"/>
          <w:w w:val="100"/>
          <w:position w:val="0"/>
          <w:shd w:val="clear" w:color="auto" w:fill="auto"/>
          <w:lang w:val="hr-HR" w:eastAsia="hr-HR" w:bidi="hr-HR"/>
        </w:rPr>
        <w:t>PRAVOSLAVNE CRKVE</w:t>
      </w:r>
      <w:bookmarkEnd w:id="27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Uvodne opaske: »P. c.« nije identična s tako</w:t>
        <w:softHyphen/>
        <w:t>zvanim kršćanskim »istočnim crkvama«. Po</w:t>
        <w:softHyphen/>
        <w:t>jam »istočna Crkva« označava (u odnosu na antičku sliku svijeta) prvenstveno one crkve koje su nastale na istoku nekadašnjega Rim</w:t>
        <w:softHyphen/>
        <w:t>skog Carstva (i pograničnih područja). Istoč</w:t>
        <w:softHyphen/>
        <w:t>na Crkva također ne oblikuje nikakvo zatvo</w:t>
        <w:softHyphen/>
        <w:t>reno jedinstvo, nego se čak mnoštvo konfesija i obreda shvaća kao istočnocrkveno. Mjesne istočne crkve raščlanjuju se prema konfesija</w:t>
        <w:softHyphen/>
        <w:t>ma u: (u uniji s Rimom) katolike, pravoslavce, monofizite, nestorijance i pojedinačne protes</w:t>
        <w:softHyphen/>
        <w:t>tantske vjerske zajednice. Isto se tako u is</w:t>
        <w:softHyphen/>
        <w:t>točnim crkvama može razlikovati 5 glavnih obreda: aleksandrijski. antiohijski ili zapadno- sirijski; kaldejski ili istočnosirijski, armenski i najrašireniji, bizantski obred. Iako dotični ob</w:t>
        <w:softHyphen/>
        <w:t xml:space="preserve">red ne predstavlja prije svega nikakav znak koji definira u konfesijskom smislu, ipak je </w:t>
      </w:r>
      <w:r>
        <w:rPr>
          <w:rFonts w:ascii="Times New Roman" w:eastAsia="Times New Roman" w:hAnsi="Times New Roman" w:cs="Times New Roman"/>
          <w:color w:val="000000"/>
          <w:spacing w:val="0"/>
          <w:w w:val="100"/>
          <w:position w:val="0"/>
          <w:shd w:val="clear" w:color="auto" w:fill="auto"/>
          <w:lang w:val="hr-HR" w:eastAsia="hr-HR" w:bidi="hr-HR"/>
        </w:rPr>
        <w:t>upadljivo da su crkve bizantskog obreda naj</w:t>
        <w:softHyphen/>
        <w:t>većim dijelom identične s pravoslavnim crkva</w:t>
        <w:softHyphen/>
        <w:t>ma najveće istočnocrkveno vjerske zajednice. Pravoslavna Velecrkva ne tvori potpuno zatvo</w:t>
        <w:softHyphen/>
        <w:t>reno i hijerarhijski uređeno jedinstvo (u su</w:t>
        <w:softHyphen/>
        <w:t>protnosti prema Rimokatoličkoj crkvi) nego se sastoji iz zajedništva samostalnih i među</w:t>
        <w:softHyphen/>
        <w:t>sobno nezavisnih takozvanih »autokefalnih« istočnih crkava. Crkvenopravni pojam »auto</w:t>
        <w:softHyphen/>
        <w:t>kefalan« označava, prema tomu, autonomiju pravoslavne crkve nekog (političkim) granica</w:t>
        <w:softHyphen/>
        <w:t>ma zacrtanog područja kod izbora i posvete glavnog poglavara te crkve i uređenje svih unu</w:t>
        <w:softHyphen/>
        <w:t>tarnjih i vanjskih crkvenih područja rada. Autokefalne mjesne crkve povezane su pra</w:t>
        <w:softHyphen/>
        <w:t>voslavnom teologijom i tradicijom, ali prije svega zajedničkim oblikom euharistijske litur</w:t>
        <w:softHyphen/>
        <w:t>gije.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 prvobitne patrijarhate istočne Crkve (1. Ca</w:t>
        <w:softHyphen/>
        <w:t>rigrad, 2. Aleksandrija, 3. Antiohija, 4. Jeru</w:t>
        <w:softHyphen/>
        <w:t>zalem) danas su prihvaćeni patrijarhati od</w:t>
        <w:softHyphen/>
        <w:t>nosno katolikati 5. Moskve, 6. Srbije, 7. Ru</w:t>
        <w:softHyphen/>
        <w:t>munjske, 8. Bugarske i crkava Cipra, Grčke, Poljske, Albanije kao i Sinajska nadbiskupija. Posljednji je kriterij za autokefalnost neke mjesne Crkve prema tradiciji i crkvenoprav- noj određenosti priznavanje od strane Cari</w:t>
        <w:softHyphen/>
        <w:t>gradskog ekumenskog patrijarhata. Ovaj dakle posjeduje poseban počasni položaj unutar jed</w:t>
        <w:softHyphen/>
        <w:t>nako rangiranih autokefalnih crkava. U sva</w:t>
        <w:softHyphen/>
        <w:t>kom se slučaju ta prednost općenito ne pri</w:t>
        <w:softHyphen/>
        <w:t>znaje. Tako Moskovski patrijarhat priznaje još autokefalne crkve Gruzije, Češke i Slovačke i »pravoslavne crkve u Americi«. Ako se uzme u obzir teološko i crkveno značenje pravoslav</w:t>
        <w:softHyphen/>
        <w:t>nih crkava koje daleko prelazi Istočnu Euro</w:t>
        <w:softHyphen/>
        <w:t>pu (npr. brojne misijske crkve u svim dijelovi</w:t>
        <w:softHyphen/>
        <w:t>ma kugle zemaljske), tada je razvidno da se na pravoslavnu crkvu ne smije više gledati samo kao na predstavnicu istočnoga kršćanstva, ne</w:t>
        <w:softHyphen/>
        <w:t>go kao na onu koja predstavlja diljem svijeta kršćansku konfesiju koja zrači specifičnim teološkim sadržajima.</w:t>
      </w:r>
    </w:p>
    <w:p>
      <w:pPr>
        <w:pStyle w:val="Style20"/>
        <w:keepNext w:val="0"/>
        <w:keepLines w:val="0"/>
        <w:widowControl w:val="0"/>
        <w:shd w:val="clear" w:color="auto" w:fill="auto"/>
        <w:bidi w:val="0"/>
        <w:spacing w:before="0" w:after="0"/>
        <w:ind w:left="0" w:right="0" w:firstLine="0"/>
        <w:jc w:val="both"/>
        <w:sectPr>
          <w:headerReference w:type="default" r:id="rId1153"/>
          <w:footerReference w:type="default" r:id="rId1154"/>
          <w:headerReference w:type="even" r:id="rId1155"/>
          <w:footerReference w:type="even" r:id="rId1156"/>
          <w:footnotePr>
            <w:pos w:val="pageBottom"/>
            <w:numFmt w:val="decimal"/>
            <w:numRestart w:val="continuous"/>
            <w15:footnoteColumns w:val="1"/>
          </w:footnotePr>
          <w:pgSz w:w="6816" w:h="11006"/>
          <w:pgMar w:top="783" w:left="196" w:right="198" w:bottom="398" w:header="0" w:footer="3" w:gutter="0"/>
          <w:pgNumType w:start="380"/>
          <w:cols w:num="2" w:space="18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Kratak povijesni pregled: P. c. bila je snažno obilježena kristološkim sučeljavanjima (oso</w:t>
        <w:softHyphen/>
        <w:t>bito s krivovjerjima arijanizma, nestorijaniz- ma, monofizitizma, monoteletizma) patrističke epohe. Utoliko vrijeme od Prvoga i do Dru</w:t>
        <w:softHyphen/>
        <w:t>goga nicejskoga koncila (325-787) ima veliko značenje kao faza produbljivanja vjerskih te</w:t>
        <w:softHyphen/>
        <w:t xml:space="preserve">melja pravoslavne crkve koja je stoga često bila obilježena kao crkva prvih sedam cku-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menskih koncila. Za povijest pravoslavne crkve značajno je IX. stoljeće. Na jednoj je strani počela misija Slavena, a na drugoj se strani već nazirala, na temelju teoloških i crkveno- političkih pitanja i suprotnosti, opasnost od rastavljanja istočne od zapadne Crkve (vidi npr. privremenu šizmu pod patrijarhom Fo- tijcm i problematiku dodavanja </w:t>
      </w:r>
      <w:r>
        <w:rPr>
          <w:rFonts w:ascii="Times New Roman" w:eastAsia="Times New Roman" w:hAnsi="Times New Roman" w:cs="Times New Roman"/>
          <w:color w:val="000000"/>
          <w:spacing w:val="0"/>
          <w:w w:val="100"/>
          <w:position w:val="0"/>
          <w:shd w:val="clear" w:color="auto" w:fill="auto"/>
          <w:lang w:val="en-US" w:eastAsia="en-US" w:bidi="en-US"/>
        </w:rPr>
        <w:t xml:space="preserve">»filioque« </w:t>
      </w:r>
      <w:r>
        <w:rPr>
          <w:rFonts w:ascii="Times New Roman" w:eastAsia="Times New Roman" w:hAnsi="Times New Roman" w:cs="Times New Roman"/>
          <w:color w:val="000000"/>
          <w:spacing w:val="0"/>
          <w:w w:val="100"/>
          <w:position w:val="0"/>
          <w:shd w:val="clear" w:color="auto" w:fill="auto"/>
          <w:lang w:val="hr-HR" w:eastAsia="hr-HR" w:bidi="hr-HR"/>
        </w:rPr>
        <w:t>Ni- cejsko-carigradskom vjerovanju u latinskoj Crkvi).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Svoj vrhunac dosegao je sukob istočne Crkve sa zapadnom u uzajamnom izopćenju obadvi- ju crkava (1054). Veliki je raskol bio bolno pojačan u sjećanju pravoslavne crkve zloči</w:t>
        <w:softHyphen/>
        <w:t>načkim zaposjedanjem Carigrada od strane Četvrte križarske vojne (1204-1261). Daljnji datum koji je bolno obilježio povijest pravo</w:t>
        <w:softHyphen/>
        <w:t>slavne crkve je propast Bizantskog Carstva os- manlijskim osvajanjem Carigrada (1453). Od početka XIX. stoljeća (oslobađanje Balkan</w:t>
        <w:softHyphen/>
        <w:t>skog poluotoka od turske vladavine) može se zapaziti teološko novo promišljanje i oživlja</w:t>
        <w:softHyphen/>
        <w:t>vanje pravoslavne crkve koja se sada opet službeno javlja. I članstvo nekih pravoslavnih crkava u Ekumenskom vijeću crkava (EVC) te zajednička izjava patrijarha Atenagore i pa</w:t>
        <w:softHyphen/>
        <w:t xml:space="preserve">pe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VI. od 7. XII. 1965. u povodu uzajam</w:t>
        <w:softHyphen/>
        <w:t>nog izopćenja ukazuju na ekumensko usmjere</w:t>
        <w:softHyphen/>
        <w:t>nje pravoslavnih crkava. U svakom slučaju vrijedi to da Veliki raskol još nije poništen.</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teologiji pravoslavnih crkava: pravoslavna se teologija smatra duboko mističnom. Cilj ove teologije nije isključivo intelektualno spozna</w:t>
        <w:softHyphen/>
        <w:t>vanje božanske spasenjske istine, nego prven</w:t>
        <w:softHyphen/>
        <w:t>stveno egzistencijalno aktualiziranje numinoz- nog u vjerničkom čovjeku. Teološka spoznaja događa se u neku ruku kao mistični događaj. Prema pravoslavnom shvaćanju postoji nužna izmjenična igra između teologije i molitve. Kao izvor te na kraju doksološki usmjerene teologije u kojoj je sadržana molitva i vjerois- povijedanje nema, prema tomu, nikakva nor- mativnog teksta. Pravoslavna teologija mnogo više živi iz bogatstva božanske ekonomije koja je posvjedočena u Svetom pismu. Ova se aktu</w:t>
        <w:softHyphen/>
        <w:t>alizira u živoj tradiciji pravoslavnih crkava. Elementi te tradicije prvenstveno su spisi SZ i NZ, dogme prvih sedam ekumenskih koncila, patristički tekstovi i liturgija pravoslavnih crka</w:t>
        <w:softHyphen/>
        <w:t xml:space="preserve">va. Uz liturgijske oblike himnologije, heorto- logije, sinaksarija i si. to na poseban način vrijedi za liturgiju euharistijske gozbe. Samo </w:t>
      </w:r>
      <w:r>
        <w:rPr>
          <w:rFonts w:ascii="Times New Roman" w:eastAsia="Times New Roman" w:hAnsi="Times New Roman" w:cs="Times New Roman"/>
          <w:color w:val="000000"/>
          <w:spacing w:val="0"/>
          <w:w w:val="100"/>
          <w:position w:val="0"/>
          <w:shd w:val="clear" w:color="auto" w:fill="auto"/>
          <w:lang w:val="hr-HR" w:eastAsia="hr-HR" w:bidi="hr-HR"/>
        </w:rPr>
        <w:t>cjelina tih elemenata tradicije utemeljuje i predstavlja svetost pravoslavnih crkava i tako omogućuje duboko duhom ispunjeno iskustvo Božje spasenjske stvarnosti. Utoliko se može tradicija razumijevati kao karizmatičko nače</w:t>
        <w:softHyphen/>
        <w:t>lo koje pomaže pravoslavnoj crkvi u sve pot</w:t>
        <w:softHyphen/>
        <w:t>punijem sudjelovanju u božanskoj istini.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daljnji značajni moment za razumijevanje pravoslavne teologije treba označiti učenje o Bogu. Već su rani istočni crkveni oci (npr. u borbi protiv Eunomijcva krivovjerja) ukazali na Božju apsolutnu transcendenciju. Oni se kod toga pozivaju na 1 Tim 6,16 i slična mjes</w:t>
        <w:softHyphen/>
        <w:t>ta u biblijskom tekstu. Razlika između stvore</w:t>
        <w:softHyphen/>
        <w:t>nog i nestvorenog bitka vrijedi kao nepremos</w:t>
        <w:softHyphen/>
        <w:t>tiva. Tako čovjeku kao Božjem stvoru nije moguće spoznati Boga. Ovo teološko shvaća</w:t>
        <w:softHyphen/>
        <w:t>nje predstavlja u svakom slučaju suprotnost prema jednako tako tradicionalnom hesihas- tičkom učenju, koje su posvjedočili grčki crkveni oci, o mogućem iskustvu Boga, o mi- losnom gledanju Boga (»taborska svjetlost«): u »svijetlećoj šutnji« (Dionizije Areopagit), u »božanskoj tami« (Grgur Nazijanski) Bog po</w:t>
        <w:softHyphen/>
        <w:t>staje očevidan. Postoji dakle mogućnost ima</w:t>
        <w:softHyphen/>
        <w:t>nentnog aktualiziranja Božje spasenjske stvar</w:t>
        <w:softHyphen/>
        <w:t>nosti u vjerničkom čovjeku. Da bi dokinula »prividnu« proturječnost obadviju tradicional</w:t>
        <w:softHyphen/>
        <w:t>nih predodžbi i da bi izbjegla opasnost teo</w:t>
        <w:softHyphen/>
        <w:t>loškog agnosticizma, pravoslavna je teologija razvila teoriju »palamizma«, nazvanu prema solunskom arhiepiskopu Gregoriju Palamasu (1296-1359). On je razlikovao između apso</w:t>
        <w:softHyphen/>
        <w:t xml:space="preserve">lutno transcendentnoga, nespoznatljivog Božjeg </w:t>
      </w:r>
      <w:r>
        <w:rPr>
          <w:rFonts w:ascii="Times New Roman" w:eastAsia="Times New Roman" w:hAnsi="Times New Roman" w:cs="Times New Roman"/>
          <w:i/>
          <w:iCs/>
          <w:color w:val="000000"/>
          <w:spacing w:val="0"/>
          <w:w w:val="100"/>
          <w:position w:val="0"/>
          <w:shd w:val="clear" w:color="auto" w:fill="auto"/>
          <w:lang w:val="hr-HR" w:eastAsia="hr-HR" w:bidi="hr-HR"/>
        </w:rPr>
        <w:t>bića</w:t>
      </w:r>
      <w:r>
        <w:rPr>
          <w:rFonts w:ascii="Times New Roman" w:eastAsia="Times New Roman" w:hAnsi="Times New Roman" w:cs="Times New Roman"/>
          <w:color w:val="000000"/>
          <w:spacing w:val="0"/>
          <w:w w:val="100"/>
          <w:position w:val="0"/>
          <w:shd w:val="clear" w:color="auto" w:fill="auto"/>
          <w:lang w:val="hr-HR" w:eastAsia="hr-HR" w:bidi="hr-HR"/>
        </w:rPr>
        <w:t xml:space="preserve"> i njegovih nestvorenih </w:t>
      </w:r>
      <w:r>
        <w:rPr>
          <w:rFonts w:ascii="Times New Roman" w:eastAsia="Times New Roman" w:hAnsi="Times New Roman" w:cs="Times New Roman"/>
          <w:i/>
          <w:iCs/>
          <w:color w:val="000000"/>
          <w:spacing w:val="0"/>
          <w:w w:val="100"/>
          <w:position w:val="0"/>
          <w:shd w:val="clear" w:color="auto" w:fill="auto"/>
          <w:lang w:val="hr-HR" w:eastAsia="hr-HR" w:bidi="hr-HR"/>
        </w:rPr>
        <w:t>energija:</w:t>
      </w:r>
      <w:r>
        <w:rPr>
          <w:rFonts w:ascii="Times New Roman" w:eastAsia="Times New Roman" w:hAnsi="Times New Roman" w:cs="Times New Roman"/>
          <w:color w:val="000000"/>
          <w:spacing w:val="0"/>
          <w:w w:val="100"/>
          <w:position w:val="0"/>
          <w:shd w:val="clear" w:color="auto" w:fill="auto"/>
          <w:lang w:val="hr-HR" w:eastAsia="hr-HR" w:bidi="hr-HR"/>
        </w:rPr>
        <w:t xml:space="preserve"> samo njih može kršćanin spoznati, odnosno može ih is</w:t>
        <w:softHyphen/>
        <w:t>kusiti mistikom.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Unatoč (više crkveno-politički uvjetovanom) Velikom raskolu i brojnim različitim teološkim naglašavanjima (npr. pravoslavno naglašava</w:t>
        <w:softHyphen/>
        <w:t>nje mistične dimenzije teologije), učenje pra</w:t>
        <w:softHyphen/>
        <w:t>voslavne crkve najvećim dijelom odgovara ka</w:t>
        <w:softHyphen/>
        <w:t>toličkom pokladu vjere. U svakom se slučaju mogu navesti neke važne razlike. Tako pravo</w:t>
        <w:softHyphen/>
        <w:t>slavlje (unatoč svom produbljenom poštivanju Marije) ne prihvaća katoličko dogmatizirano učenje o Marijinu bezgrešnom začeću. Isto tako protuslovi dogmatiziranoj predodžbi ka</w:t>
        <w:softHyphen/>
        <w:t>toličke teologije o posebnome mjestu čistilišta nakon smrti (»purgatorium«).</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 latinski dodatak </w:t>
      </w:r>
      <w:r>
        <w:rPr>
          <w:rFonts w:ascii="Times New Roman" w:eastAsia="Times New Roman" w:hAnsi="Times New Roman" w:cs="Times New Roman"/>
          <w:color w:val="000000"/>
          <w:spacing w:val="0"/>
          <w:w w:val="100"/>
          <w:position w:val="0"/>
          <w:shd w:val="clear" w:color="auto" w:fill="auto"/>
          <w:lang w:val="en-US" w:eastAsia="en-US" w:bidi="en-US"/>
        </w:rPr>
        <w:t xml:space="preserve">»filioque« </w:t>
      </w:r>
      <w:r>
        <w:rPr>
          <w:rFonts w:ascii="Times New Roman" w:eastAsia="Times New Roman" w:hAnsi="Times New Roman" w:cs="Times New Roman"/>
          <w:color w:val="000000"/>
          <w:spacing w:val="0"/>
          <w:w w:val="100"/>
          <w:position w:val="0"/>
          <w:shd w:val="clear" w:color="auto" w:fill="auto"/>
          <w:lang w:val="hr-HR" w:eastAsia="hr-HR" w:bidi="hr-HR"/>
        </w:rPr>
        <w:t>Nicejsko-cari- gradskom vjerovanju gleda se kao na neau</w:t>
        <w:softHyphen/>
      </w:r>
      <w:r>
        <w:rPr>
          <w:rFonts w:ascii="Times New Roman" w:eastAsia="Times New Roman" w:hAnsi="Times New Roman" w:cs="Times New Roman"/>
          <w:color w:val="000000"/>
          <w:spacing w:val="0"/>
          <w:w w:val="100"/>
          <w:position w:val="0"/>
          <w:shd w:val="clear" w:color="auto" w:fill="auto"/>
          <w:lang w:val="hr-HR" w:eastAsia="hr-HR" w:bidi="hr-HR"/>
        </w:rPr>
        <w:t>tentičan vjerski dodatak. Prema pravoslav</w:t>
        <w:softHyphen/>
        <w:t>nom shvaćanju jedinstvo Trojstva ne počiva na njegovoj zajedničkoj naravi nego je isklju</w:t>
        <w:softHyphen/>
        <w:t>čivo utemeljeno u Ocu. Također treba poka</w:t>
        <w:softHyphen/>
        <w:t>zati teološke, odnosno liturgijske razlike u sve</w:t>
        <w:softHyphen/>
        <w:t>zi sakramenata (npr. problematika ponovlji- vosti potvrde ili problematika nerazrješivosti braka). Ovdje treba prije svega decidirano ukazati na pravoslavno učenje koje naglašava nužnost »epikleze« za pretvorbu euharistij- skih darova. Najdublju suprotnost između (autokefalnih) pravoslavnih crkava i Katolič</w:t>
        <w:softHyphen/>
        <w:t>ke crkve predstavlja dogma o primatu juris</w:t>
        <w:softHyphen/>
        <w:t>dikcije rimskog pape.</w:t>
      </w:r>
    </w:p>
    <w:p>
      <w:pPr>
        <w:pStyle w:val="Style56"/>
        <w:keepNext w:val="0"/>
        <w:keepLines w:val="0"/>
        <w:widowControl w:val="0"/>
        <w:shd w:val="clear" w:color="auto" w:fill="auto"/>
        <w:tabs>
          <w:tab w:pos="2510" w:val="left"/>
        </w:tabs>
        <w:bidi w:val="0"/>
        <w:spacing w:before="0" w:after="360" w:line="240" w:lineRule="auto"/>
        <w:ind w:left="0" w:right="0" w:firstLine="0"/>
        <w:jc w:val="both"/>
      </w:pPr>
      <w:r>
        <w:rPr>
          <w:color w:val="000000"/>
          <w:spacing w:val="0"/>
          <w:w w:val="100"/>
          <w:position w:val="0"/>
          <w:shd w:val="clear" w:color="auto" w:fill="auto"/>
          <w:lang w:val="hr-HR" w:eastAsia="hr-HR" w:bidi="hr-HR"/>
        </w:rPr>
        <w:t xml:space="preserve">Lit.: a) Pravoslavno: A. Kallis, </w:t>
      </w:r>
      <w:r>
        <w:rPr>
          <w:i/>
          <w:iCs/>
          <w:color w:val="000000"/>
          <w:spacing w:val="0"/>
          <w:w w:val="100"/>
          <w:position w:val="0"/>
          <w:shd w:val="clear" w:color="auto" w:fill="auto"/>
        </w:rPr>
        <w:t xml:space="preserve">Orthodoxie. Was </w:t>
      </w:r>
      <w:r>
        <w:rPr>
          <w:i/>
          <w:iCs/>
          <w:color w:val="000000"/>
          <w:spacing w:val="0"/>
          <w:w w:val="100"/>
          <w:position w:val="0"/>
          <w:shd w:val="clear" w:color="auto" w:fill="auto"/>
          <w:lang w:val="hr-HR" w:eastAsia="hr-HR" w:bidi="hr-HR"/>
        </w:rPr>
        <w:t xml:space="preserve">ist das?, </w:t>
      </w:r>
      <w:r>
        <w:rPr>
          <w:color w:val="000000"/>
          <w:spacing w:val="0"/>
          <w:w w:val="100"/>
          <w:position w:val="0"/>
          <w:shd w:val="clear" w:color="auto" w:fill="auto"/>
        </w:rPr>
        <w:t xml:space="preserve">Mainz </w:t>
      </w:r>
      <w:r>
        <w:rPr>
          <w:color w:val="000000"/>
          <w:spacing w:val="0"/>
          <w:w w:val="100"/>
          <w:position w:val="0"/>
          <w:shd w:val="clear" w:color="auto" w:fill="auto"/>
          <w:lang w:val="hr-HR" w:eastAsia="hr-HR" w:bidi="hr-HR"/>
        </w:rPr>
        <w:t xml:space="preserve">1979; N. </w:t>
      </w:r>
      <w:r>
        <w:rPr>
          <w:color w:val="000000"/>
          <w:spacing w:val="0"/>
          <w:w w:val="100"/>
          <w:position w:val="0"/>
          <w:shd w:val="clear" w:color="auto" w:fill="auto"/>
        </w:rPr>
        <w:t xml:space="preserve">Nissiotis,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Thcologie der Osikirche im okumenisehen </w:t>
      </w:r>
      <w:r>
        <w:rPr>
          <w:i/>
          <w:iCs/>
          <w:color w:val="000000"/>
          <w:spacing w:val="0"/>
          <w:w w:val="100"/>
          <w:position w:val="0"/>
          <w:shd w:val="clear" w:color="auto" w:fill="auto"/>
        </w:rPr>
        <w:t>Dialog,</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1968. b) Katolički: Dekret </w:t>
      </w:r>
      <w:r>
        <w:rPr>
          <w:color w:val="000000"/>
          <w:spacing w:val="0"/>
          <w:w w:val="100"/>
          <w:position w:val="0"/>
          <w:shd w:val="clear" w:color="auto" w:fill="auto"/>
        </w:rPr>
        <w:t xml:space="preserve">uber die </w:t>
      </w:r>
      <w:r>
        <w:rPr>
          <w:color w:val="000000"/>
          <w:spacing w:val="0"/>
          <w:w w:val="100"/>
          <w:position w:val="0"/>
          <w:shd w:val="clear" w:color="auto" w:fill="auto"/>
          <w:lang w:val="hr-HR" w:eastAsia="hr-HR" w:bidi="hr-HR"/>
        </w:rPr>
        <w:t xml:space="preserve">katbolischcn Ostkirchcn, »Oricntaltum Eecicsia- rum« (nn. 24-29). u: </w:t>
      </w:r>
      <w:r>
        <w:rPr>
          <w:i/>
          <w:iCs/>
          <w:color w:val="000000"/>
          <w:spacing w:val="0"/>
          <w:w w:val="100"/>
          <w:position w:val="0"/>
          <w:shd w:val="clear" w:color="auto" w:fill="auto"/>
        </w:rPr>
        <w:t>Kleines Konzilskompendium,</w:t>
      </w:r>
      <w:r>
        <w:rPr>
          <w:color w:val="000000"/>
          <w:spacing w:val="0"/>
          <w:w w:val="100"/>
          <w:position w:val="0"/>
          <w:shd w:val="clear" w:color="auto" w:fill="auto"/>
        </w:rPr>
        <w:t xml:space="preserve"> hrsg. </w:t>
      </w:r>
      <w:r>
        <w:rPr>
          <w:color w:val="000000"/>
          <w:spacing w:val="0"/>
          <w:w w:val="100"/>
          <w:position w:val="0"/>
          <w:shd w:val="clear" w:color="auto" w:fill="auto"/>
          <w:lang w:val="hr-HR" w:eastAsia="hr-HR" w:bidi="hr-HR"/>
        </w:rPr>
        <w:t xml:space="preserve">v. K. Rahncr/H. Vurgrimmlcr,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1966, 214-216; Dek</w:t>
        <w:softHyphen/>
        <w:t xml:space="preserve">ret uber den Okumcnismus, »Unitatis rcdinlcgratio« (nn. 13-18), u: isto, 241-246; </w:t>
      </w:r>
      <w:r>
        <w:rPr>
          <w:i/>
          <w:iCs/>
          <w:color w:val="000000"/>
          <w:spacing w:val="0"/>
          <w:w w:val="100"/>
          <w:position w:val="0"/>
          <w:shd w:val="clear" w:color="auto" w:fill="auto"/>
          <w:lang w:val="hr-HR" w:eastAsia="hr-HR" w:bidi="hr-HR"/>
        </w:rPr>
        <w:t xml:space="preserve">Handbuch der Ostkirchenkunđe, </w:t>
      </w:r>
      <w:r>
        <w:rPr>
          <w:color w:val="000000"/>
          <w:spacing w:val="0"/>
          <w:w w:val="100"/>
          <w:position w:val="0"/>
          <w:shd w:val="clear" w:color="auto" w:fill="auto"/>
          <w:lang w:val="hr-HR" w:eastAsia="hr-HR" w:bidi="hr-HR"/>
        </w:rPr>
        <w:t xml:space="preserve">brsg. v. E. von Ivanka/J. </w:t>
      </w:r>
      <w:r>
        <w:rPr>
          <w:color w:val="000000"/>
          <w:spacing w:val="0"/>
          <w:w w:val="100"/>
          <w:position w:val="0"/>
          <w:shd w:val="clear" w:color="auto" w:fill="auto"/>
        </w:rPr>
        <w:t xml:space="preserve">Tyciak-'P. Wicru. Dusseldorf </w:t>
      </w:r>
      <w:r>
        <w:rPr>
          <w:color w:val="000000"/>
          <w:spacing w:val="0"/>
          <w:w w:val="100"/>
          <w:position w:val="0"/>
          <w:shd w:val="clear" w:color="auto" w:fill="auto"/>
          <w:lang w:val="hr-HR" w:eastAsia="hr-HR" w:bidi="hr-HR"/>
        </w:rPr>
        <w:t xml:space="preserve">1971; E. Sauscr, </w:t>
      </w:r>
      <w:r>
        <w:rPr>
          <w:color w:val="000000"/>
          <w:spacing w:val="0"/>
          <w:w w:val="100"/>
          <w:position w:val="0"/>
          <w:shd w:val="clear" w:color="auto" w:fill="auto"/>
        </w:rPr>
        <w:t xml:space="preserve">So </w:t>
      </w:r>
      <w:r>
        <w:rPr>
          <w:i/>
          <w:iCs/>
          <w:color w:val="000000"/>
          <w:spacing w:val="0"/>
          <w:w w:val="100"/>
          <w:position w:val="0"/>
          <w:shd w:val="clear" w:color="auto" w:fill="auto"/>
          <w:lang w:val="hr-HR" w:eastAsia="hr-HR" w:bidi="hr-HR"/>
        </w:rPr>
        <w:t xml:space="preserve">nahe steht uns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Osikirche,</w:t>
      </w:r>
      <w:r>
        <w:rPr>
          <w:color w:val="000000"/>
          <w:spacing w:val="0"/>
          <w:w w:val="100"/>
          <w:position w:val="0"/>
          <w:shd w:val="clear" w:color="auto" w:fill="auto"/>
          <w:lang w:val="hr-HR" w:eastAsia="hr-HR" w:bidi="hr-HR"/>
        </w:rPr>
        <w:t xml:space="preserve"> Frankfurt 1980. c) Protestantski: E. </w:t>
      </w:r>
      <w:r>
        <w:rPr>
          <w:color w:val="000000"/>
          <w:spacing w:val="0"/>
          <w:w w:val="100"/>
          <w:position w:val="0"/>
          <w:shd w:val="clear" w:color="auto" w:fill="auto"/>
        </w:rPr>
        <w:t xml:space="preserve">Benz,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Osikirche im I-lchte der pro- testantischen Geschichtsschreibung von der </w:t>
      </w:r>
      <w:r>
        <w:rPr>
          <w:i/>
          <w:iCs/>
          <w:color w:val="000000"/>
          <w:spacing w:val="0"/>
          <w:w w:val="100"/>
          <w:position w:val="0"/>
          <w:shd w:val="clear" w:color="auto" w:fill="auto"/>
        </w:rPr>
        <w:t xml:space="preserve">Reformation </w:t>
      </w:r>
      <w:r>
        <w:rPr>
          <w:i/>
          <w:iCs/>
          <w:color w:val="000000"/>
          <w:spacing w:val="0"/>
          <w:w w:val="100"/>
          <w:position w:val="0"/>
          <w:shd w:val="clear" w:color="auto" w:fill="auto"/>
          <w:lang w:val="hr-HR" w:eastAsia="hr-HR" w:bidi="hr-HR"/>
        </w:rPr>
        <w:t xml:space="preserve">bis zur G </w:t>
      </w:r>
      <w:r>
        <w:rPr>
          <w:i/>
          <w:iCs/>
          <w:color w:val="000000"/>
          <w:spacing w:val="0"/>
          <w:w w:val="100"/>
          <w:position w:val="0"/>
          <w:shd w:val="clear" w:color="auto" w:fill="auto"/>
        </w:rPr>
        <w:t>egenwart,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Munchcn 1952; F. Hcilcr,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Ostkirchen, Neubearbeitung von »Urkirche und Ostkirchen,</w:t>
      </w:r>
      <w:r>
        <w:rPr>
          <w:color w:val="000000"/>
          <w:spacing w:val="0"/>
          <w:w w:val="100"/>
          <w:position w:val="0"/>
          <w:shd w:val="clear" w:color="auto" w:fill="auto"/>
          <w:lang w:val="hr-HR" w:eastAsia="hr-HR" w:bidi="hr-HR"/>
        </w:rPr>
        <w:t xml:space="preserve"> Munchcn 1971.</w:t>
        <w:tab/>
        <w:t xml:space="preserve">E. </w:t>
      </w:r>
      <w:r>
        <w:rPr>
          <w:color w:val="000000"/>
          <w:spacing w:val="0"/>
          <w:w w:val="100"/>
          <w:position w:val="0"/>
          <w:shd w:val="clear" w:color="auto" w:fill="auto"/>
        </w:rPr>
        <w:t>HE YEN</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PRAZNOVJERJE</w:t>
      </w:r>
    </w:p>
    <w:p>
      <w:pPr>
        <w:pStyle w:val="Style63"/>
        <w:keepNext/>
        <w:keepLines/>
        <w:widowControl w:val="0"/>
        <w:numPr>
          <w:ilvl w:val="0"/>
          <w:numId w:val="441"/>
        </w:numPr>
        <w:shd w:val="clear" w:color="auto" w:fill="auto"/>
        <w:tabs>
          <w:tab w:pos="246" w:val="left"/>
        </w:tabs>
        <w:bidi w:val="0"/>
        <w:spacing w:before="0"/>
        <w:ind w:left="0" w:right="0" w:firstLine="0"/>
        <w:jc w:val="both"/>
      </w:pPr>
      <w:bookmarkStart w:id="275" w:name="bookmark275"/>
      <w:r>
        <w:rPr>
          <w:rFonts w:ascii="Times New Roman" w:eastAsia="Times New Roman" w:hAnsi="Times New Roman" w:cs="Times New Roman"/>
          <w:color w:val="000000"/>
          <w:spacing w:val="0"/>
          <w:w w:val="100"/>
          <w:position w:val="0"/>
          <w:shd w:val="clear" w:color="auto" w:fill="auto"/>
          <w:lang w:val="hr-HR" w:eastAsia="hr-HR" w:bidi="hr-HR"/>
        </w:rPr>
        <w:t>židovski</w:t>
      </w:r>
      <w:bookmarkEnd w:id="275"/>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je uvjerenje o moći neovisnih prirodnih sila koje čovjeku mogu naškoditi ako ih ne sputa ili ako se od njih obrani obrednim radnjama. Definicija praznovjerja ovisi o pojedinoj reli</w:t>
        <w:softHyphen/>
        <w:t>giji i o suvremenim gledištima prirodnih zna</w:t>
        <w:softHyphen/>
        <w:t>nosti. U Zidova i kršćana rašireni su ovi oblici praznovjerja: vjerovanje u utjecaj zvijezda (as</w:t>
        <w:softHyphen/>
        <w:t>trologija); strah od povratka mrtvih (duhovi); proricanje budućnosti iz snova ili predmeta; strah od duševnih bolesnika kao od »opsjed</w:t>
        <w:softHyphen/>
        <w:t>nutih«; vjerovanje u utjecaj vještica i čarob</w:t>
        <w:softHyphen/>
        <w:t>njaka (»prijek pogled«, »bacanje čini« na živa bića ili na žetvu kako bi im se naškodilo).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Takve su radnje za Bibliju idolopoklonstvo, pa se stoga strogo odvraća od njih (Izl 22,18; Pnz 18,9 i d.; Jr 27,9; Iz 47,9.12 i </w:t>
      </w: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I u po- slijcbibiblijsko doba »cmoritski običaji« bili su zabranjeni; naprotiv, bilo je mnogo prazno</w:t>
        <w:softHyphen/>
        <w:t>vjernih običaja protiv kojih su se borili tal</w:t>
        <w:softHyphen/>
        <w:t>mudski rabini. Mnogi običaji, svrstani poslije u p., smatrali su se ipak »znanstvenim« činje</w:t>
        <w:softHyphen/>
      </w:r>
      <w:r>
        <w:rPr>
          <w:rFonts w:ascii="Times New Roman" w:eastAsia="Times New Roman" w:hAnsi="Times New Roman" w:cs="Times New Roman"/>
          <w:color w:val="000000"/>
          <w:spacing w:val="0"/>
          <w:w w:val="100"/>
          <w:position w:val="0"/>
          <w:shd w:val="clear" w:color="auto" w:fill="auto"/>
          <w:lang w:val="hr-HR" w:eastAsia="hr-HR" w:bidi="hr-HR"/>
        </w:rPr>
        <w:t>nicama. Zazivanja su bila dopuštena ako su snagom Boga kao »bijelom« magijom trebala pomoći čovjeku. Tomu su služili amuleti s bi</w:t>
        <w:softHyphen/>
        <w:t>blijskim stihovima, imenima Boga i anđela, koje mnogi Židovi i danas nose. Poseban strah vladao je od Adamove legendarne prve žene I.ilit, majke demona od prolivena sje</w:t>
        <w:softHyphen/>
        <w:t>mena; ovdje sc ponovno susrećemo s vjerom u inkuba. Od nje treba zaštititi babinjaču i do- jenče. O širenju zajedničkog vlasništva nad praznovjeijem svjedoči dio srednjovjekovne hebrejske literature, poput »Knjige pobožnih« (Porajnje, XIII. stoljeće). Osim važnoga etič</w:t>
        <w:softHyphen/>
        <w:t>kog materijala ona sadrži propise za zaštitu od vještica i još mnoge druge. Posebni postupci odnose se na pokojnike: u kući tuge izlijeva se voda, zastire zrcalo i jedanaest mjeseci izgova</w:t>
        <w:softHyphen/>
        <w:t>ra se molitva kadiš kako bi se pokojnik pošte</w:t>
        <w:softHyphen/>
        <w:t>dio boli »anđela koji kažnjavaju« i požurilo njegovo primanje u nebo (racionalistički Ži</w:t>
        <w:softHyphen/>
        <w:t>dovi izgovaraju tu molitvu s drugom motivaci</w:t>
        <w:softHyphen/>
        <w:t>jom). Mistika je učvrstila (-» Mistika) tc po</w:t>
        <w:softHyphen/>
        <w:t xml:space="preserve">glede u mnogih tradicijskih Židova na Istoku i u istočnoj Europi, posebice u hasidizmu. Ovdje veliku ulogu ima seoba duša: duša koja luta može postati </w:t>
      </w:r>
      <w:r>
        <w:rPr>
          <w:rFonts w:ascii="Times New Roman" w:eastAsia="Times New Roman" w:hAnsi="Times New Roman" w:cs="Times New Roman"/>
          <w:i/>
          <w:iCs/>
          <w:color w:val="000000"/>
          <w:spacing w:val="0"/>
          <w:w w:val="100"/>
          <w:position w:val="0"/>
          <w:shd w:val="clear" w:color="auto" w:fill="auto"/>
          <w:lang w:val="hr-HR" w:eastAsia="hr-HR" w:bidi="hr-HR"/>
        </w:rPr>
        <w:t>dibuk,</w:t>
      </w:r>
      <w:r>
        <w:rPr>
          <w:rFonts w:ascii="Times New Roman" w:eastAsia="Times New Roman" w:hAnsi="Times New Roman" w:cs="Times New Roman"/>
          <w:color w:val="000000"/>
          <w:spacing w:val="0"/>
          <w:w w:val="100"/>
          <w:position w:val="0"/>
          <w:shd w:val="clear" w:color="auto" w:fill="auto"/>
          <w:lang w:val="hr-HR" w:eastAsia="hr-HR" w:bidi="hr-HR"/>
        </w:rPr>
        <w:t xml:space="preserve"> »parazit« koji osvaja tijelo živa čovjeka i kojega treba egzorcirati. Pret</w:t>
        <w:softHyphen/>
        <w:t>postavlja sc da se duše grešnika često nalaze u životinjama, koje mistici namjerno jedu kako bi njihove duše uzdigli k Bogu.</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Mnogi srednjovjekovni autoriteti proglašava</w:t>
        <w:softHyphen/>
        <w:t>ju besmislicom svaki oblik praznovjerja, ali su ipak prihvatili tu praksu kao narodne običaje. Oni pridonose duševnom dobru onih koji u to vjeruju u okviru monoteizma. Općenito gleda</w:t>
        <w:softHyphen/>
        <w:t>jući, ovdje je svakako posrijedi i važna funk</w:t>
        <w:softHyphen/>
        <w:t>cija podsvijesti.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S. An-ski,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Dybuk</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(drama), 1920; L. Blau, </w:t>
      </w:r>
      <w:r>
        <w:rPr>
          <w:i/>
          <w:iCs/>
          <w:color w:val="000000"/>
          <w:spacing w:val="0"/>
          <w:w w:val="100"/>
          <w:position w:val="0"/>
          <w:shd w:val="clear" w:color="auto" w:fill="auto"/>
          <w:lang w:val="hr-HR" w:eastAsia="hr-HR" w:bidi="hr-HR"/>
        </w:rPr>
        <w:t xml:space="preserve">Das alt- </w:t>
      </w:r>
      <w:r>
        <w:rPr>
          <w:i/>
          <w:iCs/>
          <w:color w:val="000000"/>
          <w:spacing w:val="0"/>
          <w:w w:val="100"/>
          <w:position w:val="0"/>
          <w:shd w:val="clear" w:color="auto" w:fill="auto"/>
        </w:rPr>
        <w:t>jiidische Zauberwesen,</w:t>
      </w:r>
      <w:r>
        <w:rPr>
          <w:color w:val="000000"/>
          <w:spacing w:val="0"/>
          <w:w w:val="100"/>
          <w:position w:val="0"/>
          <w:shd w:val="clear" w:color="auto" w:fill="auto"/>
        </w:rPr>
        <w:t xml:space="preserve"> Budapest </w:t>
      </w:r>
      <w:r>
        <w:rPr>
          <w:color w:val="000000"/>
          <w:spacing w:val="0"/>
          <w:w w:val="100"/>
          <w:position w:val="0"/>
          <w:shd w:val="clear" w:color="auto" w:fill="auto"/>
          <w:lang w:val="hr-HR" w:eastAsia="hr-HR" w:bidi="hr-HR"/>
        </w:rPr>
        <w:t xml:space="preserve">1898; M. Bubcr, </w:t>
      </w:r>
      <w:r>
        <w:rPr>
          <w:i/>
          <w:iCs/>
          <w:color w:val="000000"/>
          <w:spacing w:val="0"/>
          <w:w w:val="100"/>
          <w:position w:val="0"/>
          <w:shd w:val="clear" w:color="auto" w:fill="auto"/>
          <w:lang w:val="hr-HR" w:eastAsia="hr-HR" w:bidi="hr-HR"/>
        </w:rPr>
        <w:t>Erzahlun- gen von Engeln, Ceistern und Damonen,</w:t>
      </w:r>
      <w:r>
        <w:rPr>
          <w:color w:val="000000"/>
          <w:spacing w:val="0"/>
          <w:w w:val="100"/>
          <w:position w:val="0"/>
          <w:shd w:val="clear" w:color="auto" w:fill="auto"/>
          <w:lang w:val="hr-HR" w:eastAsia="hr-HR" w:bidi="hr-HR"/>
        </w:rPr>
        <w:t xml:space="preserve"> Berlin 1934; M, </w:t>
      </w:r>
      <w:r>
        <w:rPr>
          <w:color w:val="000000"/>
          <w:spacing w:val="0"/>
          <w:w w:val="100"/>
          <w:position w:val="0"/>
          <w:shd w:val="clear" w:color="auto" w:fill="auto"/>
        </w:rPr>
        <w:t xml:space="preserve">Gruncwald, </w:t>
      </w:r>
      <w:r>
        <w:rPr>
          <w:i/>
          <w:iCs/>
          <w:color w:val="000000"/>
          <w:spacing w:val="0"/>
          <w:w w:val="100"/>
          <w:position w:val="0"/>
          <w:shd w:val="clear" w:color="auto" w:fill="auto"/>
        </w:rPr>
        <w:t xml:space="preserve">Bitten </w:t>
      </w:r>
      <w:r>
        <w:rPr>
          <w:i/>
          <w:iCs/>
          <w:color w:val="000000"/>
          <w:spacing w:val="0"/>
          <w:w w:val="100"/>
          <w:position w:val="0"/>
          <w:shd w:val="clear" w:color="auto" w:fill="auto"/>
          <w:lang w:val="hr-HR" w:eastAsia="hr-HR" w:bidi="hr-HR"/>
        </w:rPr>
        <w:t>und Briuuhe der Juden,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Wien </w:t>
      </w:r>
      <w:r>
        <w:rPr>
          <w:color w:val="000000"/>
          <w:spacing w:val="0"/>
          <w:w w:val="100"/>
          <w:position w:val="0"/>
          <w:shd w:val="clear" w:color="auto" w:fill="auto"/>
          <w:lang w:val="hr-HR" w:eastAsia="hr-HR" w:bidi="hr-HR"/>
        </w:rPr>
        <w:t xml:space="preserve">1894; M. Gudcmann. </w:t>
      </w:r>
      <w:r>
        <w:rPr>
          <w:i/>
          <w:iCs/>
          <w:color w:val="000000"/>
          <w:spacing w:val="0"/>
          <w:w w:val="100"/>
          <w:position w:val="0"/>
          <w:shd w:val="clear" w:color="auto" w:fill="auto"/>
        </w:rPr>
        <w:t xml:space="preserve">Geschichte des Erziehungswesen </w:t>
      </w:r>
      <w:r>
        <w:rPr>
          <w:i/>
          <w:iCs/>
          <w:color w:val="000000"/>
          <w:spacing w:val="0"/>
          <w:w w:val="100"/>
          <w:position w:val="0"/>
          <w:shd w:val="clear" w:color="auto" w:fill="auto"/>
          <w:lang w:val="hr-HR" w:eastAsia="hr-HR" w:bidi="hr-HR"/>
        </w:rPr>
        <w:t>und der Cultur der abendlandischen Juden,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Wien </w:t>
      </w:r>
      <w:r>
        <w:rPr>
          <w:color w:val="000000"/>
          <w:spacing w:val="0"/>
          <w:w w:val="100"/>
          <w:position w:val="0"/>
          <w:shd w:val="clear" w:color="auto" w:fill="auto"/>
          <w:lang w:val="hr-HR" w:eastAsia="hr-HR" w:bidi="hr-HR"/>
        </w:rPr>
        <w:t xml:space="preserve">1880-1888; M. Micsc, </w:t>
      </w:r>
      <w:r>
        <w:rPr>
          <w:i/>
          <w:iCs/>
          <w:color w:val="000000"/>
          <w:spacing w:val="0"/>
          <w:w w:val="100"/>
          <w:position w:val="0"/>
          <w:shd w:val="clear" w:color="auto" w:fill="auto"/>
          <w:lang w:val="hr-HR" w:eastAsia="hr-HR" w:bidi="hr-HR"/>
        </w:rPr>
        <w:t xml:space="preserve">Gebildetenreligion und </w:t>
      </w:r>
      <w:r>
        <w:rPr>
          <w:i/>
          <w:iCs/>
          <w:color w:val="000000"/>
          <w:spacing w:val="0"/>
          <w:w w:val="100"/>
          <w:position w:val="0"/>
          <w:shd w:val="clear" w:color="auto" w:fill="auto"/>
        </w:rPr>
        <w:t>Yolksglaube Israels;</w:t>
      </w:r>
      <w:r>
        <w:rPr>
          <w:color w:val="000000"/>
          <w:spacing w:val="0"/>
          <w:w w:val="100"/>
          <w:position w:val="0"/>
          <w:shd w:val="clear" w:color="auto" w:fill="auto"/>
        </w:rPr>
        <w:t xml:space="preserve"> J. Trachtenberg, </w:t>
      </w:r>
      <w:r>
        <w:rPr>
          <w:i/>
          <w:iCs/>
          <w:color w:val="000000"/>
          <w:spacing w:val="0"/>
          <w:w w:val="100"/>
          <w:position w:val="0"/>
          <w:shd w:val="clear" w:color="auto" w:fill="auto"/>
        </w:rPr>
        <w:t>Jewish Magic and Superstition,</w:t>
      </w:r>
      <w:r>
        <w:rPr>
          <w:color w:val="000000"/>
          <w:spacing w:val="0"/>
          <w:w w:val="100"/>
          <w:position w:val="0"/>
          <w:shd w:val="clear" w:color="auto" w:fill="auto"/>
        </w:rPr>
        <w:t xml:space="preserve"> New York </w:t>
      </w:r>
      <w:r>
        <w:rPr>
          <w:color w:val="000000"/>
          <w:spacing w:val="0"/>
          <w:w w:val="100"/>
          <w:position w:val="0"/>
          <w:shd w:val="clear" w:color="auto" w:fill="auto"/>
          <w:vertAlign w:val="superscript"/>
        </w:rPr>
        <w:t>2</w:t>
      </w:r>
      <w:r>
        <w:rPr>
          <w:color w:val="000000"/>
          <w:spacing w:val="0"/>
          <w:w w:val="100"/>
          <w:position w:val="0"/>
          <w:shd w:val="clear" w:color="auto" w:fill="auto"/>
        </w:rPr>
        <w:t>196l</w:t>
      </w:r>
    </w:p>
    <w:p>
      <w:pPr>
        <w:pStyle w:val="Style74"/>
        <w:keepNext w:val="0"/>
        <w:keepLines w:val="0"/>
        <w:widowControl w:val="0"/>
        <w:shd w:val="clear" w:color="auto" w:fill="auto"/>
        <w:bidi w:val="0"/>
        <w:spacing w:before="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P. NAVE LEVINSON</w:t>
      </w:r>
    </w:p>
    <w:p>
      <w:pPr>
        <w:pStyle w:val="Style63"/>
        <w:keepNext/>
        <w:keepLines/>
        <w:widowControl w:val="0"/>
        <w:numPr>
          <w:ilvl w:val="0"/>
          <w:numId w:val="441"/>
        </w:numPr>
        <w:shd w:val="clear" w:color="auto" w:fill="auto"/>
        <w:tabs>
          <w:tab w:pos="260" w:val="left"/>
        </w:tabs>
        <w:bidi w:val="0"/>
        <w:spacing w:before="0" w:after="120" w:line="223" w:lineRule="auto"/>
        <w:ind w:left="0" w:right="0" w:firstLine="0"/>
        <w:jc w:val="both"/>
      </w:pPr>
      <w:bookmarkStart w:id="276" w:name="bookmark27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76"/>
    </w:p>
    <w:p>
      <w:pPr>
        <w:pStyle w:val="Style20"/>
        <w:keepNext w:val="0"/>
        <w:keepLines w:val="0"/>
        <w:widowControl w:val="0"/>
        <w:shd w:val="clear" w:color="auto" w:fill="auto"/>
        <w:bidi w:val="0"/>
        <w:spacing w:before="0" w:after="0" w:line="240" w:lineRule="auto"/>
        <w:ind w:left="0" w:right="0" w:firstLine="0"/>
        <w:jc w:val="both"/>
        <w:sectPr>
          <w:headerReference w:type="default" r:id="rId1157"/>
          <w:footerReference w:type="default" r:id="rId1158"/>
          <w:headerReference w:type="even" r:id="rId1159"/>
          <w:footerReference w:type="even" r:id="rId1160"/>
          <w:headerReference w:type="first" r:id="rId1161"/>
          <w:footerReference w:type="first" r:id="rId1162"/>
          <w:footnotePr>
            <w:pos w:val="pageBottom"/>
            <w:numFmt w:val="decimal"/>
            <w:numRestart w:val="continuous"/>
            <w15:footnoteColumns w:val="1"/>
          </w:footnotePr>
          <w:pgSz w:w="6816" w:h="11006"/>
          <w:pgMar w:top="783" w:left="196" w:right="198" w:bottom="398" w:header="0" w:footer="3" w:gutter="0"/>
          <w:pgNumType w:start="377"/>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bi se odredio pojam praznovjerja, treba poći od značenja riječi; p. tada znači isto što i »kriva vjera«. No tako se javlja teškoća kako razlikovati »krivu« od »prave« vjere. Stoga će određivanje praznovjerja uvijek ovisiti o vlas</w:t>
        <w:softHyphen/>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titom razumijevanju vjere, odnosno o vlasti</w:t>
        <w:softHyphen/>
        <w:t>tom svjetonazoru. Sa stajališta prave vjere p. je zastarjeli i odbačeni oblik nekoga prošlog oblika religioznosti koja nema oslonca u Božjoj objavi. Nadalje, p. može biti u magič</w:t>
        <w:softHyphen/>
        <w:t>noj zloporabi prave religije tako da se koriste oblici legitimnoga religijskog narodnog običaja kako bi se postigao utjecaj na nadzemaljske moći i sile. Kao postreligijski fenomen p. se u sekulariziranom društvu javlja kao nadomjes</w:t>
        <w:softHyphen/>
        <w:t>tak za religiju ljudima koji u zamršenom i ne</w:t>
        <w:softHyphen/>
        <w:t>preglednom svijetu tragaju za izlazima, kako bi pomoću određenih radnji našli oslonac u prijetećim i bezizlaznim situacijama. P. se kao pojam mora razlučiti od krivovjerja, otpadniš- tva i nevjere.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osnovi praznovjerja leži magična slika svi</w:t>
        <w:softHyphen/>
        <w:t>jeta koja polazi od toga da postoje sile koje se prirodnim zakonima i znanstveno ne mogu objasniti, a na koje ljudi mogu utjecati odre</w:t>
        <w:softHyphen/>
        <w:t>đenim obredima, radnjama i načinima pona</w:t>
        <w:softHyphen/>
        <w:t>šanja. Ljudi pokušavaju utjecati na te tajno</w:t>
        <w:softHyphen/>
        <w:t>vite moći i upravljati njima prije svega u po</w:t>
        <w:softHyphen/>
        <w:t>sebno kriznim životnim razdobljima kao što su rođenje, bolest, smrt, rat, nesreća, tjelesna opasnost itd., da bi pomoću dobivenih tajnih spoznaja i načina ponašanja našli zaštitu, si</w:t>
        <w:softHyphen/>
        <w:t>gurnost, materijalnu sreću i utočište u neiz</w:t>
        <w:softHyphen/>
        <w:t>vjesnosti svoje egzistencije. Pritom se vjerski stav tako izvrće da praznovjeran čovjek poku</w:t>
        <w:softHyphen/>
        <w:t>šava svojim radnjama i načinima ponašanja manipulirati tajanstvenim moćima i silama, u koje vjeruje, i staviti ih sebi u službu. Tu se napušta vjerski stav koji znači predanje i pod</w:t>
        <w:softHyphen/>
        <w:t>ložnost svemogućem i milosrdnom Bogu, a na njegovo mjesto dolaze magične radnje, tajne zakonitosti i automatizmi koje onaj koji je u to upućen može staviti sebi u službu. Sa stano</w:t>
        <w:softHyphen/>
        <w:t>višta povijesti religija zanimljiva je nepovijes- nost praznovjernih predodžbi i radnji koje po</w:t>
        <w:softHyphen/>
        <w:t>tječu iz predznanstvenog razdoblja čovječan</w:t>
        <w:softHyphen/>
        <w:t>stva i razvijaju čudesnu otpornost postojanja također i u racionalno-tehnološkom vremenu. Obilje oblika praznovjerja možemo samo na</w:t>
        <w:softHyphen/>
        <w:t>brojili, ali ne i opisati. Prvo područje obuhva</w:t>
        <w:softHyphen/>
        <w:t>ća sve ono praznovjerno što je povezano s ro</w:t>
        <w:softHyphen/>
        <w:t>đenjem, ljubavlju, ženidbom, bolešću i smrću. U drugu su skupinu svrstani demonski likovi kao što su prikaze iz vjerovanja u vještice, pre</w:t>
        <w:softHyphen/>
        <w:t>dodžbe o vukodlacima, duhovi koji kucaju ili podižu buku, zagonetne svjetlosne prikaze kao vilenjaci i slično. Treće područje obuhva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ća praznovjerne fenomene, obranu od zla ili činjenje zla, donošenje ili sprečavanje sreće (usp. L. </w:t>
      </w:r>
      <w:r>
        <w:rPr>
          <w:rFonts w:ascii="Times New Roman" w:eastAsia="Times New Roman" w:hAnsi="Times New Roman" w:cs="Times New Roman"/>
          <w:color w:val="000000"/>
          <w:spacing w:val="0"/>
          <w:w w:val="100"/>
          <w:position w:val="0"/>
          <w:shd w:val="clear" w:color="auto" w:fill="auto"/>
          <w:lang w:val="en-US" w:eastAsia="en-US" w:bidi="en-US"/>
        </w:rPr>
        <w:t xml:space="preserve">Rohrich, </w:t>
      </w:r>
      <w:r>
        <w:rPr>
          <w:rFonts w:ascii="Times New Roman" w:eastAsia="Times New Roman" w:hAnsi="Times New Roman" w:cs="Times New Roman"/>
          <w:color w:val="000000"/>
          <w:spacing w:val="0"/>
          <w:w w:val="100"/>
          <w:position w:val="0"/>
          <w:shd w:val="clear" w:color="auto" w:fill="auto"/>
          <w:lang w:val="hr-HR" w:eastAsia="hr-HR" w:bidi="hr-HR"/>
        </w:rPr>
        <w:t>RGG I, 54 i d.). Pri ovom nabrajanju oblika, u kojima se p. javlja, po</w:t>
        <w:softHyphen/>
        <w:t>staje jasno kako se često ono može teško ili čak nikako razlikovati od parapsiholoških fe</w:t>
        <w:softHyphen/>
        <w:t>nomena.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Kršćanstvo je osudilo svaki oblik praznovjerja s obrazloženjem da ono pokušava preokrenuti odnos između Boga i čovjeka, jer se čovjek ne podvrgava Bogu i ne priznaje njegovu svemoć, nego dopušta sebi stjecanje moći nad Bogom i božanskim silama. U tom je stavu kršćanstvo jedinstveno sa židovstvom i islamom. Stari za</w:t>
        <w:softHyphen/>
        <w:t>vjet svjedoči o sukobu sa »starim božanstvi</w:t>
        <w:softHyphen/>
        <w:t>ma« i »obredima Kanaana«, o čarobnjaštvu i drugim oblicima praznovjerja koje se ne može povezati s vjerom Izraela u jednoga Boga koji je svoj narod izveo iz ropstva i koji je stvorio nebo i zemlju. Odbacivanje svakog oblika praznovjerja prati povijest izabranoga naroda i svjedoči o zavodljivosti i opasnosti koje je predstavljao taj oblik »izopačene« religioz</w:t>
        <w:softHyphen/>
        <w:t xml:space="preserve">nosti (npr. Izl 22,17;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19,31; 20,27; Pnz 18,10; 1 Sam 28; 2 Kr 21,6; 2 Kr 9,22; Iz 8,20; Jr 27,9 i dr.). U Novom zavjetu uvijek se iznova objašnjava da je Isus Krist detronizirao sve moći i sile, da su njegovim dolaskom zlo</w:t>
        <w:softHyphen/>
        <w:t>dusi i tko god misli da ima pravo na silu, izgu</w:t>
        <w:softHyphen/>
        <w:t>bili svoju moć i utjecaj koje su sebi prisvajali, a nikada nisu posjedovali (Mk 1, 25 i d.; 3,15; 5, 13; Mt 12,28; Lk 8,29; Dj 13,10 i d.; 19,13-19). Pavao neumorno objašnjava novopridošlim kršćanima da su oslobođeni od jarma zlih du</w:t>
        <w:softHyphen/>
        <w:t>hova, od moći i sila praznovjerja, i upozorava ih da svježe stečenu slobodu ne stavljaju la</w:t>
        <w:softHyphen/>
        <w:t>komisleno opet na kocku slaveći određene da</w:t>
        <w:softHyphen/>
        <w:t>ne, mjesece i vršeći ostale praznovjerne rad</w:t>
        <w:softHyphen/>
        <w:t>nje (Gal 4,8-11; 5,10 i d.; 1 Kor 10,14; Kol 3,5). Povijest širenja kršćanstva obilježena je neprestanim obračunavanjem s različitim ob</w:t>
        <w:softHyphen/>
        <w:t>licima praznovjerja na koje se nailazilo u doti</w:t>
        <w:softHyphen/>
        <w:t>caju s različitim narodima i kulturama. Pritom se pokazuje da jednoznačno odbijanje svakog oblika praznovjerja od strane kršćanstva, nije moglo spriječiti da se praznovjerne radnje održe i da zadrže veći ili manji utjecaj. Uz to su vjerodostojni oblici kršćanske pobožnosti i shvaćanja sakramenata bili srozani do prazno</w:t>
        <w:softHyphen/>
        <w:t>vjernih radnji (znak križa kao magična formu</w:t>
        <w:softHyphen/>
        <w:t>la, zloporaba hostija, lančane molitve i lan</w:t>
        <w:softHyphen/>
        <w:t>čane mise itd.). Praznovjerne predodžbe o po</w:t>
        <w:softHyphen/>
      </w:r>
      <w:r>
        <w:rPr>
          <w:rFonts w:ascii="Times New Roman" w:eastAsia="Times New Roman" w:hAnsi="Times New Roman" w:cs="Times New Roman"/>
          <w:color w:val="000000"/>
          <w:spacing w:val="0"/>
          <w:w w:val="100"/>
          <w:position w:val="0"/>
          <w:shd w:val="clear" w:color="auto" w:fill="auto"/>
          <w:lang w:val="hr-HR" w:eastAsia="hr-HR" w:bidi="hr-HR"/>
        </w:rPr>
        <w:t>svećenim hostijama i uporabi krvi bile su u srednjem vijeku višestruko povod za antise</w:t>
        <w:softHyphen/>
        <w:t>mitske ispade. Prenošenje praznovjernih pre</w:t>
        <w:softHyphen/>
        <w:t>dodžbi kršćanskog podrijetla na Zidove do</w:t>
        <w:softHyphen/>
        <w:t>velo je do toga da im se podvaljuju obredna umorstva i drugi jezivi zločini koji su zatim bili izgovor za progone Židova. Tu se pokazuje opasnost od praznovjerja koje se lako okreće u fanatizam, kao što pokazuju ti primjeri i grozna povijest progona vještica.</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jc karikatura prave vjere i svojom nepre</w:t>
        <w:softHyphen/>
        <w:t>stanom prisutnošću u području prave religioz</w:t>
        <w:softHyphen/>
        <w:t>nosti pokazuje ljudsku osnovnu potrebu za si</w:t>
        <w:softHyphen/>
        <w:t>gurnošću, jasnoćom i vladanjem vlastitom eg</w:t>
        <w:softHyphen/>
        <w:t>zistencijom. Zahtjevi transcendcntnc, mono</w:t>
        <w:softHyphen/>
        <w:t>teističke vjere predstavljaju za neke ljude pre</w:t>
        <w:softHyphen/>
        <w:t>tjeran zahtjev. Iz egzistencijalnog straha i za</w:t>
        <w:softHyphen/>
        <w:t>brinutosti oni se okreću različitim oblicima praznovjerja. Religije imaju zadaću uz svu au</w:t>
        <w:softHyphen/>
        <w:t>tentičnost tako naviještati svoju poruku da ona bude ljudima djelatna pomoć u njihovim životnim potrebama.</w:t>
      </w:r>
    </w:p>
    <w:p>
      <w:pPr>
        <w:pStyle w:val="Style56"/>
        <w:keepNext w:val="0"/>
        <w:keepLines w:val="0"/>
        <w:widowControl w:val="0"/>
        <w:shd w:val="clear" w:color="auto" w:fill="auto"/>
        <w:bidi w:val="0"/>
        <w:spacing w:before="0" w:after="400" w:line="240" w:lineRule="auto"/>
        <w:ind w:left="0" w:right="0" w:firstLine="0"/>
        <w:jc w:val="both"/>
      </w:pPr>
      <w:r>
        <w:rPr>
          <w:color w:val="000000"/>
          <w:spacing w:val="0"/>
          <w:w w:val="100"/>
          <w:position w:val="0"/>
          <w:shd w:val="clear" w:color="auto" w:fill="auto"/>
          <w:lang w:val="hr-HR" w:eastAsia="hr-HR" w:bidi="hr-HR"/>
        </w:rPr>
        <w:t xml:space="preserve">Lit.: O. Propkop/'P </w:t>
      </w:r>
      <w:r>
        <w:rPr>
          <w:color w:val="000000"/>
          <w:spacing w:val="0"/>
          <w:w w:val="100"/>
          <w:position w:val="0"/>
          <w:shd w:val="clear" w:color="auto" w:fill="auto"/>
        </w:rPr>
        <w:t xml:space="preserve">Wimmer, </w:t>
      </w:r>
      <w:r>
        <w:rPr>
          <w:i/>
          <w:iCs/>
          <w:color w:val="000000"/>
          <w:spacing w:val="0"/>
          <w:w w:val="100"/>
          <w:position w:val="0"/>
          <w:shd w:val="clear" w:color="auto" w:fill="auto"/>
          <w:lang w:val="hr-HR" w:eastAsia="hr-HR" w:bidi="hr-HR"/>
        </w:rPr>
        <w:t xml:space="preserve">Der moderne Okkullismus,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1976; A. Kobcrlc, </w:t>
      </w:r>
      <w:r>
        <w:rPr>
          <w:i/>
          <w:iCs/>
          <w:color w:val="000000"/>
          <w:spacing w:val="0"/>
          <w:w w:val="100"/>
          <w:position w:val="0"/>
          <w:shd w:val="clear" w:color="auto" w:fill="auto"/>
        </w:rPr>
        <w:t xml:space="preserve">Zukunft </w:t>
      </w:r>
      <w:r>
        <w:rPr>
          <w:i/>
          <w:iCs/>
          <w:color w:val="000000"/>
          <w:spacing w:val="0"/>
          <w:w w:val="100"/>
          <w:position w:val="0"/>
          <w:shd w:val="clear" w:color="auto" w:fill="auto"/>
          <w:lang w:val="hr-HR" w:eastAsia="hr-HR" w:bidi="hr-HR"/>
        </w:rPr>
        <w:t>und Aberglaube,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Stutt</w:t>
        <w:softHyphen/>
        <w:t xml:space="preserve">gart </w:t>
      </w:r>
      <w:r>
        <w:rPr>
          <w:color w:val="000000"/>
          <w:spacing w:val="0"/>
          <w:w w:val="100"/>
          <w:position w:val="0"/>
          <w:shd w:val="clear" w:color="auto" w:fill="auto"/>
          <w:lang w:val="hr-HR" w:eastAsia="hr-HR" w:bidi="hr-HR"/>
        </w:rPr>
        <w:t xml:space="preserve">1964; H. </w:t>
      </w:r>
      <w:r>
        <w:rPr>
          <w:color w:val="000000"/>
          <w:spacing w:val="0"/>
          <w:w w:val="100"/>
          <w:position w:val="0"/>
          <w:shd w:val="clear" w:color="auto" w:fill="auto"/>
        </w:rPr>
        <w:t xml:space="preserve">Gottschalk, </w:t>
      </w:r>
      <w:r>
        <w:rPr>
          <w:i/>
          <w:iCs/>
          <w:color w:val="000000"/>
          <w:spacing w:val="0"/>
          <w:w w:val="100"/>
          <w:position w:val="0"/>
          <w:shd w:val="clear" w:color="auto" w:fill="auto"/>
          <w:lang w:val="hr-HR" w:eastAsia="hr-HR" w:bidi="hr-HR"/>
        </w:rPr>
        <w:t xml:space="preserve">Der Abertfaube, </w:t>
      </w:r>
      <w:r>
        <w:rPr>
          <w:i/>
          <w:iCs/>
          <w:color w:val="000000"/>
          <w:spacing w:val="0"/>
          <w:w w:val="100"/>
          <w:position w:val="0"/>
          <w:shd w:val="clear" w:color="auto" w:fill="auto"/>
        </w:rPr>
        <w:t xml:space="preserve">Wesen </w:t>
      </w:r>
      <w:r>
        <w:rPr>
          <w:i/>
          <w:iCs/>
          <w:color w:val="000000"/>
          <w:spacing w:val="0"/>
          <w:w w:val="100"/>
          <w:position w:val="0"/>
          <w:shd w:val="clear" w:color="auto" w:fill="auto"/>
          <w:lang w:val="hr-HR" w:eastAsia="hr-HR" w:bidi="hr-HR"/>
        </w:rPr>
        <w:t xml:space="preserve">und Unwe- </w:t>
      </w:r>
      <w:r>
        <w:rPr>
          <w:i/>
          <w:iCs/>
          <w:color w:val="000000"/>
          <w:spacing w:val="0"/>
          <w:w w:val="100"/>
          <w:position w:val="0"/>
          <w:shd w:val="clear" w:color="auto" w:fill="auto"/>
        </w:rPr>
        <w:t>sen,</w:t>
      </w:r>
      <w:r>
        <w:rPr>
          <w:color w:val="000000"/>
          <w:spacing w:val="0"/>
          <w:w w:val="100"/>
          <w:position w:val="0"/>
          <w:shd w:val="clear" w:color="auto" w:fill="auto"/>
        </w:rPr>
        <w:t xml:space="preserve"> Gutersloh </w:t>
      </w:r>
      <w:r>
        <w:rPr>
          <w:color w:val="000000"/>
          <w:spacing w:val="0"/>
          <w:w w:val="100"/>
          <w:position w:val="0"/>
          <w:shd w:val="clear" w:color="auto" w:fill="auto"/>
          <w:lang w:val="hr-HR" w:eastAsia="hr-HR" w:bidi="hr-HR"/>
        </w:rPr>
        <w:t xml:space="preserve">1965;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G. </w:t>
      </w:r>
      <w:r>
        <w:rPr>
          <w:color w:val="000000"/>
          <w:spacing w:val="0"/>
          <w:w w:val="100"/>
          <w:position w:val="0"/>
          <w:shd w:val="clear" w:color="auto" w:fill="auto"/>
        </w:rPr>
        <w:t xml:space="preserve">Lcithauser, </w:t>
      </w:r>
      <w:r>
        <w:rPr>
          <w:i/>
          <w:iCs/>
          <w:color w:val="000000"/>
          <w:spacing w:val="0"/>
          <w:w w:val="100"/>
          <w:position w:val="0"/>
          <w:shd w:val="clear" w:color="auto" w:fill="auto"/>
        </w:rPr>
        <w:t>Das neue Buch vom Abergtaube,</w:t>
      </w:r>
      <w:r>
        <w:rPr>
          <w:color w:val="000000"/>
          <w:spacing w:val="0"/>
          <w:w w:val="100"/>
          <w:position w:val="0"/>
          <w:shd w:val="clear" w:color="auto" w:fill="auto"/>
        </w:rPr>
        <w:t xml:space="preserve"> Berlin 1964; B. KJoppcnburg, Abcrglaubc, SM I, 16-20; K. Hruby, Vcrhangnisvollc Lcgcndcn und ihre Bckampfung, u: Eckert-Ehrlich (Hrsg), </w:t>
      </w:r>
      <w:r>
        <w:rPr>
          <w:i/>
          <w:iCs/>
          <w:color w:val="000000"/>
          <w:spacing w:val="0"/>
          <w:w w:val="100"/>
          <w:position w:val="0"/>
          <w:shd w:val="clear" w:color="auto" w:fill="auto"/>
        </w:rPr>
        <w:t>Judenhass - Sehuld der Christen,</w:t>
      </w:r>
      <w:r>
        <w:rPr>
          <w:color w:val="000000"/>
          <w:spacing w:val="0"/>
          <w:w w:val="100"/>
          <w:position w:val="0"/>
          <w:shd w:val="clear" w:color="auto" w:fill="auto"/>
        </w:rPr>
        <w:t xml:space="preserve"> Essen 1964, 281-308. G. EVERS</w:t>
      </w:r>
    </w:p>
    <w:p>
      <w:pPr>
        <w:pStyle w:val="Style63"/>
        <w:keepNext/>
        <w:keepLines/>
        <w:widowControl w:val="0"/>
        <w:numPr>
          <w:ilvl w:val="0"/>
          <w:numId w:val="441"/>
        </w:numPr>
        <w:shd w:val="clear" w:color="auto" w:fill="auto"/>
        <w:tabs>
          <w:tab w:pos="260" w:val="left"/>
        </w:tabs>
        <w:bidi w:val="0"/>
        <w:spacing w:before="0" w:after="80"/>
        <w:ind w:left="0" w:right="0" w:firstLine="0"/>
        <w:jc w:val="both"/>
      </w:pPr>
      <w:bookmarkStart w:id="277" w:name="bookmark277"/>
      <w:r>
        <w:rPr>
          <w:rFonts w:ascii="Times New Roman" w:eastAsia="Times New Roman" w:hAnsi="Times New Roman" w:cs="Times New Roman"/>
          <w:color w:val="000000"/>
          <w:spacing w:val="0"/>
          <w:w w:val="100"/>
          <w:position w:val="0"/>
          <w:shd w:val="clear" w:color="auto" w:fill="auto"/>
          <w:lang w:val="hr-HR" w:eastAsia="hr-HR" w:bidi="hr-HR"/>
        </w:rPr>
        <w:t>islamski</w:t>
      </w:r>
      <w:bookmarkEnd w:id="277"/>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Kao </w:t>
      </w:r>
      <w:r>
        <w:rPr>
          <w:rFonts w:ascii="Times New Roman" w:eastAsia="Times New Roman" w:hAnsi="Times New Roman" w:cs="Times New Roman"/>
          <w:color w:val="000000"/>
          <w:spacing w:val="0"/>
          <w:w w:val="100"/>
          <w:position w:val="0"/>
          <w:shd w:val="clear" w:color="auto" w:fill="auto"/>
          <w:lang w:val="en-US" w:eastAsia="en-US" w:bidi="en-US"/>
        </w:rPr>
        <w:t xml:space="preserve">p. </w:t>
      </w:r>
      <w:r>
        <w:rPr>
          <w:rFonts w:ascii="Times New Roman" w:eastAsia="Times New Roman" w:hAnsi="Times New Roman" w:cs="Times New Roman"/>
          <w:color w:val="000000"/>
          <w:spacing w:val="0"/>
          <w:w w:val="100"/>
          <w:position w:val="0"/>
          <w:shd w:val="clear" w:color="auto" w:fill="auto"/>
          <w:lang w:val="hr-HR" w:eastAsia="hr-HR" w:bidi="hr-HR"/>
        </w:rPr>
        <w:t>označuju se oni oblici vjerovanja, pre</w:t>
        <w:softHyphen/>
        <w:t>dodžbi i praktika, koji odstupaju od službe</w:t>
        <w:softHyphen/>
        <w:t>noga religioznog nauka i koji se, unatoč tomu, potvrđuju u životu. Oni zgodimicc graniče s mnogoboštvom koje je strogo zabranjeno u is</w:t>
        <w:softHyphen/>
        <w:t>lamu. Praznovjerju pripadaju štovanje relik</w:t>
        <w:softHyphen/>
        <w:t>vija, kao recimo vlasi Muhamedove kose, gro</w:t>
        <w:softHyphen/>
        <w:t>bova svetaca i »čudotvornih« ukazanja, vjera u nadnaravne sile i pojave kao što su vampiri, vile i zmajevi. Neovisno o jednoznačno odboj</w:t>
        <w:softHyphen/>
        <w:t>nom stavu islama, mnogi su od tih kultova, koji dijelom potječu iz poganstva, sve do da</w:t>
        <w:softHyphen/>
        <w:t>nas sačuvani među najnižim slojevima stanov</w:t>
        <w:softHyphen/>
        <w:t>ništva. Pismoznanci su u mnogim područjima prešutno tolerirali kult svetaca. Pojedine su se pobožne osobe iz rane povijesti islama pojav</w:t>
        <w:softHyphen/>
        <w:t>ljivale u ulozi priznatih zaštitnika. To je pose</w:t>
        <w:softHyphen/>
        <w:t xml:space="preserve">bice slučaj tamo gdje je mistika bila duboko ukorijenjena u narodu. Najnepomirljivi stav prema kultu svetaca zauzela je teologijska </w:t>
      </w:r>
      <w:r>
        <w:rPr>
          <w:rFonts w:ascii="Times New Roman" w:eastAsia="Times New Roman" w:hAnsi="Times New Roman" w:cs="Times New Roman"/>
          <w:color w:val="000000"/>
          <w:spacing w:val="0"/>
          <w:w w:val="100"/>
          <w:position w:val="0"/>
          <w:shd w:val="clear" w:color="auto" w:fill="auto"/>
          <w:lang w:val="hr-HR" w:eastAsia="hr-HR" w:bidi="hr-HR"/>
        </w:rPr>
        <w:t>škola mutezilita. Njihov racionalizam u tom pogledu ima utjecaj i na stav suvremene teo</w:t>
        <w:softHyphen/>
        <w:t>logije.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u širem smislu obuhvaća i tzv. tajne zna</w:t>
        <w:softHyphen/>
        <w:t>nosti. To su viša i niža proročanstva, kabalis- tićka znanost, talismanologija, alkemija i fi- ziognomika, uključujući i mantiku. Te su pseu- doznanosti dugo vremena preplavljivale čita</w:t>
        <w:softHyphen/>
        <w:t>vo područje islamske kulture. One i danas imaju svoje važenje time što u svojemu načinu djelovanja i mišljenja uključuju i religiju te ti</w:t>
        <w:softHyphen/>
        <w:t xml:space="preserve">me brišu granice između vjere i praznovjerja. Izbjegavaju se sva proroćišta </w:t>
      </w:r>
      <w:r>
        <w:rPr>
          <w:rFonts w:ascii="Times New Roman" w:eastAsia="Times New Roman" w:hAnsi="Times New Roman" w:cs="Times New Roman"/>
          <w:color w:val="000000"/>
          <w:spacing w:val="0"/>
          <w:w w:val="100"/>
          <w:position w:val="0"/>
          <w:shd w:val="clear" w:color="auto" w:fill="auto"/>
          <w:lang w:val="en-US" w:eastAsia="en-US" w:bidi="en-US"/>
        </w:rPr>
        <w:t xml:space="preserve">(maysir) </w:t>
      </w:r>
      <w:r>
        <w:rPr>
          <w:rFonts w:ascii="Times New Roman" w:eastAsia="Times New Roman" w:hAnsi="Times New Roman" w:cs="Times New Roman"/>
          <w:color w:val="000000"/>
          <w:spacing w:val="0"/>
          <w:w w:val="100"/>
          <w:position w:val="0"/>
          <w:shd w:val="clear" w:color="auto" w:fill="auto"/>
          <w:lang w:val="hr-HR" w:eastAsia="hr-HR" w:bidi="hr-HR"/>
        </w:rPr>
        <w:t>i sve vrste simpatetske magije, zato što ih Kuran izričito zabranjuje (usp. Kuran 2,216; 5,92).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Max Horten </w:t>
      </w:r>
      <w:r>
        <w:rPr>
          <w:rFonts w:ascii="Times New Roman" w:eastAsia="Times New Roman" w:hAnsi="Times New Roman" w:cs="Times New Roman"/>
          <w:i/>
          <w:iCs/>
          <w:color w:val="000000"/>
          <w:spacing w:val="0"/>
          <w:w w:val="100"/>
          <w:position w:val="0"/>
          <w:shd w:val="clear" w:color="auto" w:fill="auto"/>
          <w:lang w:val="en-US" w:eastAsia="en-US" w:bidi="en-US"/>
        </w:rPr>
        <w:t>(Die religiose Gedankenwelt des Volkes im heutigen Islam,</w:t>
      </w:r>
      <w:r>
        <w:rPr>
          <w:rFonts w:ascii="Times New Roman" w:eastAsia="Times New Roman" w:hAnsi="Times New Roman" w:cs="Times New Roman"/>
          <w:color w:val="000000"/>
          <w:spacing w:val="0"/>
          <w:w w:val="100"/>
          <w:position w:val="0"/>
          <w:shd w:val="clear" w:color="auto" w:fill="auto"/>
          <w:lang w:val="en-US" w:eastAsia="en-US" w:bidi="en-US"/>
        </w:rPr>
        <w:t xml:space="preserve"> Halle an der Saale 1917/18) </w:t>
      </w:r>
      <w:r>
        <w:rPr>
          <w:rFonts w:ascii="Times New Roman" w:eastAsia="Times New Roman" w:hAnsi="Times New Roman" w:cs="Times New Roman"/>
          <w:color w:val="000000"/>
          <w:spacing w:val="0"/>
          <w:w w:val="100"/>
          <w:position w:val="0"/>
          <w:shd w:val="clear" w:color="auto" w:fill="auto"/>
          <w:lang w:val="hr-HR" w:eastAsia="hr-HR" w:bidi="hr-HR"/>
        </w:rPr>
        <w:t xml:space="preserve">je pokazao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narodno vjerovanje kod muslimana predstavlja šaroliku idejnu tvorevinu u koju svaki narod unosi nešto no</w:t>
        <w:softHyphen/>
        <w:t xml:space="preserve">vo. F. V. Hasluk jc na primjeru balkanskih muslimana prikazao niže slojeve tih nazora. Strah od zloduha, koji potječe još iz predis- lamskoga vremena, vjera u povratak mrtvih i u budući život umrlih dobrih ljudi </w:t>
      </w:r>
      <w:r>
        <w:rPr>
          <w:rFonts w:ascii="Times New Roman" w:eastAsia="Times New Roman" w:hAnsi="Times New Roman" w:cs="Times New Roman"/>
          <w:color w:val="000000"/>
          <w:spacing w:val="0"/>
          <w:w w:val="100"/>
          <w:position w:val="0"/>
          <w:shd w:val="clear" w:color="auto" w:fill="auto"/>
          <w:lang w:val="en-US" w:eastAsia="en-US" w:bidi="en-US"/>
        </w:rPr>
        <w:t xml:space="preserve">(awlija, </w:t>
      </w:r>
      <w:r>
        <w:rPr>
          <w:rFonts w:ascii="Times New Roman" w:eastAsia="Times New Roman" w:hAnsi="Times New Roman" w:cs="Times New Roman"/>
          <w:color w:val="000000"/>
          <w:spacing w:val="0"/>
          <w:w w:val="100"/>
          <w:position w:val="0"/>
          <w:shd w:val="clear" w:color="auto" w:fill="auto"/>
          <w:lang w:val="hr-HR" w:eastAsia="hr-HR" w:bidi="hr-HR"/>
        </w:rPr>
        <w:t>sve</w:t>
        <w:softHyphen/>
        <w:t xml:space="preserve">taca), strah od zlih džina (džin), šejtana </w:t>
      </w:r>
      <w:r>
        <w:rPr>
          <w:rFonts w:ascii="Times New Roman" w:eastAsia="Times New Roman" w:hAnsi="Times New Roman" w:cs="Times New Roman"/>
          <w:color w:val="000000"/>
          <w:spacing w:val="0"/>
          <w:w w:val="100"/>
          <w:position w:val="0"/>
          <w:shd w:val="clear" w:color="auto" w:fill="auto"/>
          <w:lang w:val="en-US" w:eastAsia="en-US" w:bidi="en-US"/>
        </w:rPr>
        <w:t>(shay</w:t>
        <w:softHyphen/>
        <w:t xml:space="preserve">tan: </w:t>
      </w:r>
      <w:r>
        <w:rPr>
          <w:rFonts w:ascii="Times New Roman" w:eastAsia="Times New Roman" w:hAnsi="Times New Roman" w:cs="Times New Roman"/>
          <w:color w:val="000000"/>
          <w:spacing w:val="0"/>
          <w:w w:val="100"/>
          <w:position w:val="0"/>
          <w:shd w:val="clear" w:color="auto" w:fill="auto"/>
          <w:lang w:val="hr-HR" w:eastAsia="hr-HR" w:bidi="hr-HR"/>
        </w:rPr>
        <w:t>zloduh) kao i od ghula (zla čudovišna bi</w:t>
        <w:softHyphen/>
        <w:t>ća, čije je postojanje Muhamed izričito zanije</w:t>
        <w:softHyphen/>
        <w:t xml:space="preserve">kao, usp. </w:t>
      </w:r>
      <w:r>
        <w:rPr>
          <w:rFonts w:ascii="Times New Roman" w:eastAsia="Times New Roman" w:hAnsi="Times New Roman" w:cs="Times New Roman"/>
          <w:i/>
          <w:iCs/>
          <w:color w:val="000000"/>
          <w:spacing w:val="0"/>
          <w:w w:val="100"/>
          <w:position w:val="0"/>
          <w:shd w:val="clear" w:color="auto" w:fill="auto"/>
          <w:lang w:val="en-US" w:eastAsia="en-US" w:bidi="en-US"/>
        </w:rPr>
        <w:t>Handworterbuch des Islam,</w:t>
      </w:r>
      <w:r>
        <w:rPr>
          <w:rFonts w:ascii="Times New Roman" w:eastAsia="Times New Roman" w:hAnsi="Times New Roman" w:cs="Times New Roman"/>
          <w:color w:val="000000"/>
          <w:spacing w:val="0"/>
          <w:w w:val="100"/>
          <w:position w:val="0"/>
          <w:shd w:val="clear" w:color="auto" w:fill="auto"/>
          <w:lang w:val="en-US" w:eastAsia="en-US" w:bidi="en-US"/>
        </w:rPr>
        <w:t xml:space="preserve"> Leiden 1941, 144) </w:t>
      </w:r>
      <w:r>
        <w:rPr>
          <w:rFonts w:ascii="Times New Roman" w:eastAsia="Times New Roman" w:hAnsi="Times New Roman" w:cs="Times New Roman"/>
          <w:color w:val="000000"/>
          <w:spacing w:val="0"/>
          <w:w w:val="100"/>
          <w:position w:val="0"/>
          <w:shd w:val="clear" w:color="auto" w:fill="auto"/>
          <w:lang w:val="hr-HR" w:eastAsia="hr-HR" w:bidi="hr-HR"/>
        </w:rPr>
        <w:t xml:space="preserve">i od drugih mističnih bića kao štojc </w:t>
      </w:r>
      <w:r>
        <w:rPr>
          <w:rFonts w:ascii="Times New Roman" w:eastAsia="Times New Roman" w:hAnsi="Times New Roman" w:cs="Times New Roman"/>
          <w:color w:val="000000"/>
          <w:spacing w:val="0"/>
          <w:w w:val="100"/>
          <w:position w:val="0"/>
          <w:shd w:val="clear" w:color="auto" w:fill="auto"/>
          <w:lang w:val="en-US" w:eastAsia="en-US" w:bidi="en-US"/>
        </w:rPr>
        <w:t xml:space="preserve">dew, </w:t>
      </w:r>
      <w:r>
        <w:rPr>
          <w:rFonts w:ascii="Times New Roman" w:eastAsia="Times New Roman" w:hAnsi="Times New Roman" w:cs="Times New Roman"/>
          <w:color w:val="000000"/>
          <w:spacing w:val="0"/>
          <w:w w:val="100"/>
          <w:position w:val="0"/>
          <w:shd w:val="clear" w:color="auto" w:fill="auto"/>
          <w:lang w:val="hr-HR" w:eastAsia="hr-HR" w:bidi="hr-HR"/>
        </w:rPr>
        <w:t xml:space="preserve">odnosno diw (perz.: gorostas), vampira (vamp, kod slavenskih muslimana: vukodlak, krvopija) i dr., posvuda se može susresti kod neobrazovanoga stanovništva. P. se posebice susreće u pučkim pričama i bajkama. Misli se na »Tisuću i jednu noć« i na likove kao što je Aladin i njegova čarobna lampa, na leteći sag itd. Osim toga, »prizivanje« ili »razgovara- nje«, koje se nastoji odagnati s uobičajenim m3 </w:t>
      </w:r>
      <w:r>
        <w:rPr>
          <w:rFonts w:ascii="Times New Roman" w:eastAsia="Times New Roman" w:hAnsi="Times New Roman" w:cs="Times New Roman"/>
          <w:color w:val="000000"/>
          <w:spacing w:val="0"/>
          <w:w w:val="100"/>
          <w:position w:val="0"/>
          <w:shd w:val="clear" w:color="auto" w:fill="auto"/>
          <w:lang w:val="en-US" w:eastAsia="en-US" w:bidi="en-US"/>
        </w:rPr>
        <w:t xml:space="preserve">sha’ Allah </w:t>
      </w:r>
      <w:r>
        <w:rPr>
          <w:rFonts w:ascii="Times New Roman" w:eastAsia="Times New Roman" w:hAnsi="Times New Roman" w:cs="Times New Roman"/>
          <w:color w:val="000000"/>
          <w:spacing w:val="0"/>
          <w:w w:val="100"/>
          <w:position w:val="0"/>
          <w:shd w:val="clear" w:color="auto" w:fill="auto"/>
          <w:lang w:val="hr-HR" w:eastAsia="hr-HR" w:bidi="hr-HR"/>
        </w:rPr>
        <w:t>(»nepozvan«), umijeće gatanja (čitanje iz graha ili kave), kao i amuleti i talis</w:t>
        <w:softHyphen/>
        <w:t>mani, imaju velik utjecaj na život naroda na Istoku. Islam ne poznaje vještićarenje.</w:t>
      </w:r>
    </w:p>
    <w:p>
      <w:pPr>
        <w:pStyle w:val="Style20"/>
        <w:keepNext w:val="0"/>
        <w:keepLines w:val="0"/>
        <w:widowControl w:val="0"/>
        <w:shd w:val="clear" w:color="auto" w:fill="auto"/>
        <w:bidi w:val="0"/>
        <w:spacing w:before="0" w:after="0"/>
        <w:ind w:left="0" w:right="0" w:firstLine="0"/>
        <w:jc w:val="both"/>
        <w:sectPr>
          <w:headerReference w:type="default" r:id="rId1163"/>
          <w:footerReference w:type="default" r:id="rId1164"/>
          <w:headerReference w:type="even" r:id="rId1165"/>
          <w:footerReference w:type="even" r:id="rId1166"/>
          <w:headerReference w:type="first" r:id="rId1167"/>
          <w:footerReference w:type="first" r:id="rId1168"/>
          <w:footnotePr>
            <w:pos w:val="pageBottom"/>
            <w:numFmt w:val="decimal"/>
            <w:numRestart w:val="continuous"/>
            <w15:footnoteColumns w:val="1"/>
          </w:footnotePr>
          <w:pgSz w:w="6816" w:h="11006"/>
          <w:pgMar w:top="783" w:left="196" w:right="198" w:bottom="398" w:header="0" w:footer="3" w:gutter="0"/>
          <w:cols w:num="2" w:space="186"/>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 povremenom političkom propašću musli</w:t>
        <w:softHyphen/>
        <w:t>manskih zemalja i s pojavom prirodnih katas</w:t>
        <w:softHyphen/>
        <w:t>trofa među pukom se pojačavao temeljni ma</w:t>
        <w:softHyphen/>
        <w:t>gijski stav koji je u različitim čarolijama tražio pribježište, utjehu i zaborav. To su razdoblja prije svega nakon prodora Mongola i uniš</w:t>
        <w:softHyphen/>
        <w:t>tenja Bagdada 1398. i 1401. kao i u XV. stolje</w:t>
        <w:softHyphen/>
        <w:t>ću nakon gubitka Španjolske. Predanost Mo- riskosa magiji ubrzala je njihovu propast. Slič-</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 se moglo zapaziti nakon protjerivanja Tu</w:t>
        <w:softHyphen/>
        <w:t>raka iz Ugarske u XVII. stoljeću i nakon bal</w:t>
        <w:softHyphen/>
        <w:t>kanskih ratova (1912-1914).</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Nakon pojave velikih obnovitelja DjamJl al- Din al-Afganlja (1838/9-1897), Muhumadda 'Abduha (1848-1905) i </w:t>
      </w:r>
      <w:r>
        <w:rPr>
          <w:rFonts w:ascii="Times New Roman" w:eastAsia="Times New Roman" w:hAnsi="Times New Roman" w:cs="Times New Roman"/>
          <w:color w:val="000000"/>
          <w:spacing w:val="0"/>
          <w:w w:val="100"/>
          <w:position w:val="0"/>
          <w:shd w:val="clear" w:color="auto" w:fill="auto"/>
          <w:lang w:val="en-US" w:eastAsia="en-US" w:bidi="en-US"/>
        </w:rPr>
        <w:t xml:space="preserve">Rashida </w:t>
      </w:r>
      <w:r>
        <w:rPr>
          <w:rFonts w:ascii="Times New Roman" w:eastAsia="Times New Roman" w:hAnsi="Times New Roman" w:cs="Times New Roman"/>
          <w:color w:val="000000"/>
          <w:spacing w:val="0"/>
          <w:w w:val="100"/>
          <w:position w:val="0"/>
          <w:shd w:val="clear" w:color="auto" w:fill="auto"/>
          <w:lang w:val="hr-HR" w:eastAsia="hr-HR" w:bidi="hr-HR"/>
        </w:rPr>
        <w:t>Rida (u. 1935), u Turskoj, Egiptu, Alžiru, Pakistanu, Indoneziji i Iranu se praznovjeiju suprotstav</w:t>
        <w:softHyphen/>
        <w:t>ljalo uz državnu potporu.</w:t>
      </w:r>
    </w:p>
    <w:p>
      <w:pPr>
        <w:pStyle w:val="Style56"/>
        <w:keepNext w:val="0"/>
        <w:keepLines w:val="0"/>
        <w:widowControl w:val="0"/>
        <w:shd w:val="clear" w:color="auto" w:fill="auto"/>
        <w:bidi w:val="0"/>
        <w:spacing w:before="0" w:after="400" w:line="240" w:lineRule="auto"/>
        <w:ind w:left="0" w:right="0" w:firstLine="0"/>
        <w:jc w:val="both"/>
      </w:pPr>
      <w:r>
        <w:rPr>
          <w:color w:val="000000"/>
          <w:spacing w:val="0"/>
          <w:w w:val="100"/>
          <w:position w:val="0"/>
          <w:shd w:val="clear" w:color="auto" w:fill="auto"/>
        </w:rPr>
        <w:t xml:space="preserve">(.it.: </w:t>
      </w:r>
      <w:r>
        <w:rPr>
          <w:color w:val="000000"/>
          <w:spacing w:val="0"/>
          <w:w w:val="100"/>
          <w:position w:val="0"/>
          <w:shd w:val="clear" w:color="auto" w:fill="auto"/>
          <w:lang w:val="hr-HR" w:eastAsia="hr-HR" w:bidi="hr-HR"/>
        </w:rPr>
        <w:t xml:space="preserve">R. Kriss/H. Kriss-Hcinrich, </w:t>
      </w:r>
      <w:r>
        <w:rPr>
          <w:i/>
          <w:iCs/>
          <w:color w:val="000000"/>
          <w:spacing w:val="0"/>
          <w:w w:val="100"/>
          <w:position w:val="0"/>
          <w:shd w:val="clear" w:color="auto" w:fill="auto"/>
          <w:lang w:val="hr-HR" w:eastAsia="hr-HR" w:bidi="hr-HR"/>
        </w:rPr>
        <w:t>Volksglaube im Bereich des Islam, 2</w:t>
      </w:r>
      <w:r>
        <w:rPr>
          <w:color w:val="000000"/>
          <w:spacing w:val="0"/>
          <w:w w:val="100"/>
          <w:position w:val="0"/>
          <w:shd w:val="clear" w:color="auto" w:fill="auto"/>
          <w:lang w:val="hr-HR" w:eastAsia="hr-HR" w:bidi="hr-HR"/>
        </w:rPr>
        <w:t xml:space="preserve"> Bdc,, </w:t>
      </w:r>
      <w:r>
        <w:rPr>
          <w:color w:val="000000"/>
          <w:spacing w:val="0"/>
          <w:w w:val="100"/>
          <w:position w:val="0"/>
          <w:shd w:val="clear" w:color="auto" w:fill="auto"/>
        </w:rPr>
        <w:t xml:space="preserve">Wiesbaden </w:t>
      </w:r>
      <w:r>
        <w:rPr>
          <w:color w:val="000000"/>
          <w:spacing w:val="0"/>
          <w:w w:val="100"/>
          <w:position w:val="0"/>
          <w:shd w:val="clear" w:color="auto" w:fill="auto"/>
          <w:lang w:val="hr-HR" w:eastAsia="hr-HR" w:bidi="hr-HR"/>
        </w:rPr>
        <w:t xml:space="preserve">1960,1962; EI, natuknice: </w:t>
      </w:r>
      <w:r>
        <w:rPr>
          <w:color w:val="000000"/>
          <w:spacing w:val="0"/>
          <w:w w:val="100"/>
          <w:position w:val="0"/>
          <w:shd w:val="clear" w:color="auto" w:fill="auto"/>
        </w:rPr>
        <w:t xml:space="preserve">Djinn, Sihr, Maysir, </w:t>
      </w:r>
      <w:r>
        <w:rPr>
          <w:color w:val="000000"/>
          <w:spacing w:val="0"/>
          <w:w w:val="100"/>
          <w:position w:val="0"/>
          <w:shd w:val="clear" w:color="auto" w:fill="auto"/>
          <w:lang w:val="hr-HR" w:eastAsia="hr-HR" w:bidi="hr-HR"/>
        </w:rPr>
        <w:t xml:space="preserve">GhDl; </w:t>
      </w:r>
      <w:r>
        <w:rPr>
          <w:i/>
          <w:iCs/>
          <w:color w:val="000000"/>
          <w:spacing w:val="0"/>
          <w:w w:val="100"/>
          <w:position w:val="0"/>
          <w:shd w:val="clear" w:color="auto" w:fill="auto"/>
          <w:lang w:val="hr-HR" w:eastAsia="hr-HR" w:bidi="hr-HR"/>
        </w:rPr>
        <w:t>dkam al-murdjdn fi ahkam al-djdnn</w:t>
      </w:r>
      <w:r>
        <w:rPr>
          <w:color w:val="000000"/>
          <w:spacing w:val="0"/>
          <w:w w:val="100"/>
          <w:position w:val="0"/>
          <w:shd w:val="clear" w:color="auto" w:fill="auto"/>
          <w:lang w:val="hr-HR" w:eastAsia="hr-HR" w:bidi="hr-HR"/>
        </w:rPr>
        <w:t xml:space="preserve"> (Is</w:t>
        <w:softHyphen/>
        <w:t xml:space="preserve">lamska dcmonologija); </w:t>
      </w:r>
      <w:r>
        <w:rPr>
          <w:color w:val="000000"/>
          <w:spacing w:val="0"/>
          <w:w w:val="100"/>
          <w:position w:val="0"/>
          <w:shd w:val="clear" w:color="auto" w:fill="auto"/>
        </w:rPr>
        <w:t xml:space="preserve">Muhammad ‘Umar Menon, </w:t>
      </w:r>
      <w:r>
        <w:rPr>
          <w:i/>
          <w:iCs/>
          <w:color w:val="000000"/>
          <w:spacing w:val="0"/>
          <w:w w:val="100"/>
          <w:position w:val="0"/>
          <w:shd w:val="clear" w:color="auto" w:fill="auto"/>
        </w:rPr>
        <w:t>Ibn Tai- miya's Struggle Against Popular Religion,'Vhe</w:t>
      </w:r>
      <w:r>
        <w:rPr>
          <w:color w:val="000000"/>
          <w:spacing w:val="0"/>
          <w:w w:val="100"/>
          <w:position w:val="0"/>
          <w:shd w:val="clear" w:color="auto" w:fill="auto"/>
        </w:rPr>
        <w:t xml:space="preserve"> Hauguc 1977. S. </w:t>
      </w:r>
      <w:r>
        <w:rPr>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18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PREDESTINACIJA</w:t>
      </w:r>
    </w:p>
    <w:p>
      <w:pPr>
        <w:pStyle w:val="Style63"/>
        <w:keepNext/>
        <w:keepLines/>
        <w:widowControl w:val="0"/>
        <w:numPr>
          <w:ilvl w:val="0"/>
          <w:numId w:val="443"/>
        </w:numPr>
        <w:shd w:val="clear" w:color="auto" w:fill="auto"/>
        <w:tabs>
          <w:tab w:pos="246" w:val="left"/>
        </w:tabs>
        <w:bidi w:val="0"/>
        <w:spacing w:before="0" w:after="100"/>
        <w:ind w:left="0" w:right="0" w:firstLine="0"/>
        <w:jc w:val="both"/>
      </w:pPr>
      <w:bookmarkStart w:id="281" w:name="bookmark281"/>
      <w:r>
        <w:rPr>
          <w:rFonts w:ascii="Times New Roman" w:eastAsia="Times New Roman" w:hAnsi="Times New Roman" w:cs="Times New Roman"/>
          <w:color w:val="000000"/>
          <w:spacing w:val="0"/>
          <w:w w:val="100"/>
          <w:position w:val="0"/>
          <w:shd w:val="clear" w:color="auto" w:fill="auto"/>
          <w:lang w:val="hr-HR" w:eastAsia="hr-HR" w:bidi="hr-HR"/>
        </w:rPr>
        <w:t>židovski</w:t>
      </w:r>
      <w:bookmarkEnd w:id="281"/>
    </w:p>
    <w:p>
      <w:pPr>
        <w:pStyle w:val="Style20"/>
        <w:keepNext w:val="0"/>
        <w:keepLines w:val="0"/>
        <w:widowControl w:val="0"/>
        <w:numPr>
          <w:ilvl w:val="0"/>
          <w:numId w:val="44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pred vas stavljam: život i smrt.«</w:t>
      </w:r>
      <w:r>
        <w:rPr>
          <w:rFonts w:ascii="Times New Roman" w:eastAsia="Times New Roman" w:hAnsi="Times New Roman" w:cs="Times New Roman"/>
          <w:color w:val="000000"/>
          <w:spacing w:val="0"/>
          <w:w w:val="100"/>
          <w:position w:val="0"/>
          <w:shd w:val="clear" w:color="auto" w:fill="auto"/>
          <w:lang w:val="hr-HR" w:eastAsia="hr-HR" w:bidi="hr-HR"/>
        </w:rPr>
        <w:t xml:space="preserve"> Hebrej</w:t>
        <w:softHyphen/>
        <w:t>ska Biblija jasno svjedoči Izraelovo izabranjc (Izl 19,4-6; Pnz 7,6 i d.; 26,5-9; Hoš 11,1; Iz 41,8; 43,10; 44,1; 45,3 i d.; 48,15; 1 Kr 8,53; Ps 106,5; Iz 14,1; Dn 9,19); izvješćuje u različitim oblicima i o pravilima Božjeg upravljanja u povijesti naroda i u životu pojedinaca, koje se od helenističkog židovstva terminološki pove</w:t>
        <w:softHyphen/>
        <w:t>zivalo sa stoičkim pojmom »pronoia« (»pro</w:t>
        <w:softHyphen/>
        <w:t>vidnost«) (Mudr 14,3; 17,2; 3 Mak 4,21; 4 17,22). No, u hebrejskoj Bibliji ne nalazimo iz</w:t>
        <w:softHyphen/>
        <w:t>vedenu predodžbu »predestinacije«, »spasenj- sko sudioništvo« što ga je Bog dosudio lju</w:t>
        <w:softHyphen/>
        <w:t xml:space="preserve">dima ih »spasenjsku nepristupačnost«. Ovdje »spasenje« čovjeka nije u Božjem izabranju iz pokvarena i izgubljena čovječanstva, »massa perditionis« (usp.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 libero </w:t>
      </w:r>
      <w:r>
        <w:rPr>
          <w:rFonts w:ascii="Times New Roman" w:eastAsia="Times New Roman" w:hAnsi="Times New Roman" w:cs="Times New Roman"/>
          <w:i/>
          <w:iCs/>
          <w:color w:val="000000"/>
          <w:spacing w:val="0"/>
          <w:w w:val="100"/>
          <w:position w:val="0"/>
          <w:shd w:val="clear" w:color="auto" w:fill="auto"/>
          <w:lang w:val="hr-HR" w:eastAsia="hr-HR" w:bidi="hr-HR"/>
        </w:rPr>
        <w:t xml:space="preserve">arbitrio), </w:t>
      </w:r>
      <w:r>
        <w:rPr>
          <w:rFonts w:ascii="Times New Roman" w:eastAsia="Times New Roman" w:hAnsi="Times New Roman" w:cs="Times New Roman"/>
          <w:color w:val="000000"/>
          <w:spacing w:val="0"/>
          <w:w w:val="100"/>
          <w:position w:val="0"/>
          <w:shd w:val="clear" w:color="auto" w:fill="auto"/>
          <w:lang w:val="hr-HR" w:eastAsia="hr-HR" w:bidi="hr-HR"/>
        </w:rPr>
        <w:t xml:space="preserve">»nesreća, zlo« ne znači da je to od Boga »pre- destinirano« (predodređeno) i, prema tomu, ne znači biti od Boga »odbačen«; ovdje je »spasenje« </w:t>
      </w:r>
      <w:r>
        <w:rPr>
          <w:rFonts w:ascii="Times New Roman" w:eastAsia="Times New Roman" w:hAnsi="Times New Roman" w:cs="Times New Roman"/>
          <w:i/>
          <w:iCs/>
          <w:color w:val="000000"/>
          <w:spacing w:val="0"/>
          <w:w w:val="100"/>
          <w:position w:val="0"/>
          <w:shd w:val="clear" w:color="auto" w:fill="auto"/>
          <w:lang w:val="hr-HR" w:eastAsia="hr-HR" w:bidi="hr-HR"/>
        </w:rPr>
        <w:t>zadaća</w:t>
      </w:r>
      <w:r>
        <w:rPr>
          <w:rFonts w:ascii="Times New Roman" w:eastAsia="Times New Roman" w:hAnsi="Times New Roman" w:cs="Times New Roman"/>
          <w:color w:val="000000"/>
          <w:spacing w:val="0"/>
          <w:w w:val="100"/>
          <w:position w:val="0"/>
          <w:shd w:val="clear" w:color="auto" w:fill="auto"/>
          <w:lang w:val="hr-HR" w:eastAsia="hr-HR" w:bidi="hr-HR"/>
        </w:rPr>
        <w:t xml:space="preserve"> koju jc postavio Bog: «... pred Vas stavlja: život i smrt,... Život, dakle, biraj... da živiš ti i tvoje potomstvo« (Pnz 30,19). Ono što Bog traži od čovjeka, to mu i odobrava: »Držite moje zakone i moje nared</w:t>
        <w:softHyphen/>
        <w:t xml:space="preserve">be; vršite moje zapovijedi; prema njima ho- dite. JA sam koji jesam«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w:t>
      </w:r>
    </w:p>
    <w:p>
      <w:pPr>
        <w:pStyle w:val="Style20"/>
        <w:keepNext w:val="0"/>
        <w:keepLines w:val="0"/>
        <w:widowControl w:val="0"/>
        <w:numPr>
          <w:ilvl w:val="0"/>
          <w:numId w:val="44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»Nije sve djelo sudbine.«</w:t>
      </w:r>
      <w:r>
        <w:rPr>
          <w:rFonts w:ascii="Times New Roman" w:eastAsia="Times New Roman" w:hAnsi="Times New Roman" w:cs="Times New Roman"/>
          <w:color w:val="000000"/>
          <w:spacing w:val="0"/>
          <w:w w:val="100"/>
          <w:position w:val="0"/>
          <w:shd w:val="clear" w:color="auto" w:fill="auto"/>
          <w:lang w:val="hr-HR" w:eastAsia="hr-HR" w:bidi="hr-HR"/>
        </w:rPr>
        <w:t xml:space="preserve"> Prema shvaćanju farizeja, objava Božje volje sa zahtjevom is</w:t>
        <w:softHyphen/>
        <w:t>punjenja može se odnositi samo na čovjeka sposobnoga za slobodni izbor, koji sam od</w:t>
        <w:softHyphen/>
        <w:t>lučuje hoće li poslušati zapovijed ili neće. Po</w:t>
        <w:softHyphen/>
      </w:r>
      <w:r>
        <w:rPr>
          <w:rFonts w:ascii="Times New Roman" w:eastAsia="Times New Roman" w:hAnsi="Times New Roman" w:cs="Times New Roman"/>
          <w:color w:val="000000"/>
          <w:spacing w:val="0"/>
          <w:w w:val="100"/>
          <w:position w:val="0"/>
          <w:shd w:val="clear" w:color="auto" w:fill="auto"/>
          <w:lang w:val="hr-HR" w:eastAsia="hr-HR" w:bidi="hr-HR"/>
        </w:rPr>
        <w:t>stupati i slušati iz unutarnje usuglašenosti s naumom Nalogodavca, a ne prisilom - »Neka su svi tvoji postupci u Božje ime« (M Avot 11,12, usp. 11,2; b Berahot 17a; 63a; Kidušin 82a) - pretpostavlja slobodnu primjenu čo</w:t>
        <w:softHyphen/>
        <w:t>vječje volje. Židovski povjesničar Josip Flavije (rod. 37) opisao je esene kao »predodređe- nike« (»predestinacijance«) za koje su farizeji istaknuli: »Farizeji su tvrdili da je ponešto, ali ne i sve, djelo usuda (sudbine); naprotiv, po</w:t>
        <w:softHyphen/>
        <w:t>nešto se događa ili prestaje slobodnom vo</w:t>
        <w:softHyphen/>
        <w:t xml:space="preserve">ljom. Međutim, eseni poučavaju da jc sve u moći usuda (sudbine) i da se ljudima ništa ne dogada što nije određeno sudbinom« </w:t>
      </w:r>
      <w:r>
        <w:rPr>
          <w:rFonts w:ascii="Times New Roman" w:eastAsia="Times New Roman" w:hAnsi="Times New Roman" w:cs="Times New Roman"/>
          <w:i/>
          <w:iCs/>
          <w:color w:val="000000"/>
          <w:spacing w:val="0"/>
          <w:w w:val="100"/>
          <w:position w:val="0"/>
          <w:shd w:val="clear" w:color="auto" w:fill="auto"/>
          <w:lang w:val="hr-HR" w:eastAsia="hr-HR" w:bidi="hr-HR"/>
        </w:rPr>
        <w:t xml:space="preserve">(Anti- </w:t>
      </w:r>
      <w:r>
        <w:rPr>
          <w:rFonts w:ascii="Times New Roman" w:eastAsia="Times New Roman" w:hAnsi="Times New Roman" w:cs="Times New Roman"/>
          <w:i/>
          <w:iCs/>
          <w:color w:val="000000"/>
          <w:spacing w:val="0"/>
          <w:w w:val="100"/>
          <w:position w:val="0"/>
          <w:shd w:val="clear" w:color="auto" w:fill="auto"/>
          <w:lang w:val="en-US" w:eastAsia="en-US" w:bidi="en-US"/>
        </w:rPr>
        <w:t>quitates Judaicae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XIII, 5,9). »Ako oni (fari</w:t>
        <w:softHyphen/>
        <w:t xml:space="preserve">zeji) tvrde da se sve dogada prema određenoj sudbini, time čovječjoj volji ne žele osporiti moć da odredi samu sebe, već poučavaju kako se Bogu svidjelo da potakne moć sudbine i ljudski um na zajedničko djelovanje tako da se svatko prema svojoj odluci može okrenuti prema poroku ili kreposti.« Eseni, naprotiv, poučavaju da se sve mora prepustiti Božjoj volji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XVIII, 1,3,5).</w:t>
      </w:r>
    </w:p>
    <w:p>
      <w:pPr>
        <w:pStyle w:val="Style20"/>
        <w:keepNext w:val="0"/>
        <w:keepLines w:val="0"/>
        <w:widowControl w:val="0"/>
        <w:numPr>
          <w:ilvl w:val="0"/>
          <w:numId w:val="445"/>
        </w:numPr>
        <w:shd w:val="clear" w:color="auto" w:fill="auto"/>
        <w:tabs>
          <w:tab w:pos="260" w:val="left"/>
        </w:tabs>
        <w:bidi w:val="0"/>
        <w:spacing w:before="0" w:after="22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»Sve je u Božjim rukama osim straha Božjeg.«</w:t>
      </w:r>
      <w:r>
        <w:rPr>
          <w:rFonts w:ascii="Times New Roman" w:eastAsia="Times New Roman" w:hAnsi="Times New Roman" w:cs="Times New Roman"/>
          <w:color w:val="000000"/>
          <w:spacing w:val="0"/>
          <w:w w:val="100"/>
          <w:position w:val="0"/>
          <w:shd w:val="clear" w:color="auto" w:fill="auto"/>
          <w:lang w:val="hr-HR" w:eastAsia="hr-HR" w:bidi="hr-HR"/>
        </w:rPr>
        <w:t xml:space="preserve"> Učitelji židovstva iz ranih vremena nisu tražili teološku ravnotežu slobode i mi</w:t>
        <w:softHyphen/>
        <w:t>losti, etike poslušnosti i djelovanja Božje »pro</w:t>
        <w:softHyphen/>
        <w:t>vidnosti«, niti predodžbu Božjeg sveznanja. Rabi Akiva (u. oko 135) tvrdio je kako je veza slobode i predodredenosti paradoks: »Sve je (Bog) predvidio, a slobodni je izbor prepušten (čovjeku, kako bi on, ako samo hoće, mogao ispuniti volju Božju); svijetu se sudi dobro</w:t>
        <w:softHyphen/>
        <w:t>tom, ali sve se sudi prema većini (čovječjeg) djelovanja (tj. konačni sud nad čovjekom ut</w:t>
        <w:softHyphen/>
        <w:t>vrđuje se prema većini njegovih dobrih, od</w:t>
        <w:softHyphen/>
        <w:t>nosno zlih djela)« (M Avot 111,16; usp. b Joma 38b; 39a; Šabat 55a). Židovstvo se naviknulo živjeti u napetosti i sigurnosti da je čovjek postavljen u svijet kao Božje stvorenje, isto</w:t>
        <w:softHyphen/>
        <w:t xml:space="preserve">dobno i kao onaj tko ostvaruje Božju volju, kao Božja tvorevina, ali kojemu Bog obećava moć da sam oblikuje svoj život (Sir 15,15 i d.; Josip Flavije, </w:t>
      </w:r>
      <w:r>
        <w:rPr>
          <w:rFonts w:ascii="Times New Roman" w:eastAsia="Times New Roman" w:hAnsi="Times New Roman" w:cs="Times New Roman"/>
          <w:i/>
          <w:iCs/>
          <w:color w:val="000000"/>
          <w:spacing w:val="0"/>
          <w:w w:val="100"/>
          <w:position w:val="0"/>
          <w:shd w:val="clear" w:color="auto" w:fill="auto"/>
          <w:lang w:val="hr-HR" w:eastAsia="hr-HR" w:bidi="hr-HR"/>
        </w:rPr>
        <w:t>Bellum Judaicum</w:t>
      </w:r>
      <w:r>
        <w:rPr>
          <w:rFonts w:ascii="Times New Roman" w:eastAsia="Times New Roman" w:hAnsi="Times New Roman" w:cs="Times New Roman"/>
          <w:color w:val="000000"/>
          <w:spacing w:val="0"/>
          <w:w w:val="100"/>
          <w:position w:val="0"/>
          <w:shd w:val="clear" w:color="auto" w:fill="auto"/>
          <w:lang w:val="hr-HR" w:eastAsia="hr-HR" w:bidi="hr-HR"/>
        </w:rPr>
        <w:t xml:space="preserve"> 11,8,14; Me- hilta Izl 15,26 i 19,5; Šifre Pnz 11,22 i 12,28; b Berahot 40a; Suka 46b; M Avot 11,1; IV,2). Sve u svojem životu čovjek prima od Boga koji daje; no slobodan, odgovoran čin čovjeku odobrava Bog gospodar. Taj ga čin vodi na njegovo mjesto pred Svcsilnim, kako se para</w:t>
        <w:softHyphen/>
        <w:t>doksalno izrazio i Rabi Hanina (oko 225):</w:t>
      </w:r>
    </w:p>
    <w:p>
      <w:pPr>
        <w:pStyle w:val="Style56"/>
        <w:keepNext w:val="0"/>
        <w:keepLines w:val="0"/>
        <w:widowControl w:val="0"/>
        <w:shd w:val="clear" w:color="auto" w:fill="auto"/>
        <w:bidi w:val="0"/>
        <w:spacing w:before="0" w:after="120" w:line="240" w:lineRule="auto"/>
        <w:ind w:left="0" w:right="0" w:firstLine="0"/>
        <w:jc w:val="right"/>
      </w:pPr>
      <w:r>
        <w:rPr>
          <w:b/>
          <w:bCs/>
          <w:color w:val="000000"/>
          <w:spacing w:val="0"/>
          <w:w w:val="100"/>
          <w:position w:val="0"/>
          <w:shd w:val="clear" w:color="auto" w:fill="auto"/>
          <w:lang w:val="hr-HR" w:eastAsia="hr-HR" w:bidi="hr-HR"/>
        </w:rPr>
        <w:t>7S1</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 je u Božjim rukama osim straha Božjeg (tj. on je božanski zahtjev čije ispunjenje ovisi o čovjekovoj volji)« (b Berahot 33b; Megila 25a; Nida 16b; usp. Šabat 31b). Islamski utje</w:t>
        <w:softHyphen/>
        <w:t>caj naveo je srednjovjekovne židovske filozofe religije na pitanje kako se čovječja sloboda može spojiti s Božjim sveznanjem i provid- nošću. Većina je vidjela rješenje problema u tome da Božja providnost ne ograničava čo</w:t>
        <w:softHyphen/>
        <w:t xml:space="preserve">vjekovu slobodu volje, ali da Bog već znade rezultat čovjekove slobodne odluke (usp. Majmonid, </w:t>
      </w:r>
      <w:r>
        <w:rPr>
          <w:rFonts w:ascii="Times New Roman" w:eastAsia="Times New Roman" w:hAnsi="Times New Roman" w:cs="Times New Roman"/>
          <w:i/>
          <w:iCs/>
          <w:color w:val="000000"/>
          <w:spacing w:val="0"/>
          <w:w w:val="100"/>
          <w:position w:val="0"/>
          <w:shd w:val="clear" w:color="auto" w:fill="auto"/>
          <w:lang w:val="hr-HR" w:eastAsia="hr-HR" w:bidi="hr-HR"/>
        </w:rPr>
        <w:t>Mišne Tora, Hilhot Tešuva V).</w:t>
      </w:r>
      <w:r>
        <w:rPr>
          <w:rFonts w:ascii="Times New Roman" w:eastAsia="Times New Roman" w:hAnsi="Times New Roman" w:cs="Times New Roman"/>
          <w:color w:val="000000"/>
          <w:spacing w:val="0"/>
          <w:w w:val="100"/>
          <w:position w:val="0"/>
          <w:shd w:val="clear" w:color="auto" w:fill="auto"/>
          <w:lang w:val="hr-HR" w:eastAsia="hr-HR" w:bidi="hr-HR"/>
        </w:rPr>
        <w:t xml:space="preserve"> Od vremena Biblije, Mišnc i Talmuda do sadaš</w:t>
        <w:softHyphen/>
        <w:t xml:space="preserve">njosti suglasni su učitelji i filozofi, osim malih iznimaka, s etikom naroda u neograničenoj slobodi volje - pa i slobode volje grešnika za obraćenje - kako ju je Majmonid izrazio u svoj oštrini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Stoga se u židovstvu nije mogao razviti eksplicitni nauk o predestina</w:t>
        <w:softHyphen/>
        <w:t>ciji.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E. E- </w:t>
      </w:r>
      <w:r>
        <w:rPr>
          <w:color w:val="000000"/>
          <w:spacing w:val="0"/>
          <w:w w:val="100"/>
          <w:position w:val="0"/>
          <w:shd w:val="clear" w:color="auto" w:fill="auto"/>
        </w:rPr>
        <w:t xml:space="preserve">Urbach. </w:t>
      </w:r>
      <w:r>
        <w:rPr>
          <w:i/>
          <w:iCs/>
          <w:color w:val="000000"/>
          <w:spacing w:val="0"/>
          <w:w w:val="100"/>
          <w:position w:val="0"/>
          <w:shd w:val="clear" w:color="auto" w:fill="auto"/>
        </w:rPr>
        <w:t xml:space="preserve">The Sages. Their Concepts und Reliefs, </w:t>
      </w:r>
      <w:r>
        <w:rPr>
          <w:color w:val="000000"/>
          <w:spacing w:val="0"/>
          <w:w w:val="100"/>
          <w:position w:val="0"/>
          <w:shd w:val="clear" w:color="auto" w:fill="auto"/>
        </w:rPr>
        <w:t xml:space="preserve">1975,255 i (J., 272 id.; H. Cohen, </w:t>
      </w:r>
      <w:r>
        <w:rPr>
          <w:i/>
          <w:iCs/>
          <w:color w:val="000000"/>
          <w:spacing w:val="0"/>
          <w:w w:val="100"/>
          <w:position w:val="0"/>
          <w:shd w:val="clear" w:color="auto" w:fill="auto"/>
        </w:rPr>
        <w:t>Religion der Vernunft aus den Quellen des Judetuums.</w:t>
      </w:r>
      <w:r>
        <w:rPr>
          <w:color w:val="000000"/>
          <w:spacing w:val="0"/>
          <w:w w:val="100"/>
          <w:position w:val="0"/>
          <w:shd w:val="clear" w:color="auto" w:fill="auto"/>
        </w:rPr>
        <w:t xml:space="preserve"> </w:t>
      </w:r>
      <w:r>
        <w:rPr>
          <w:color w:val="000000"/>
          <w:spacing w:val="0"/>
          <w:w w:val="100"/>
          <w:position w:val="0"/>
          <w:shd w:val="clear" w:color="auto" w:fill="auto"/>
          <w:vertAlign w:val="superscript"/>
        </w:rPr>
        <w:footnoteReference w:id="17"/>
      </w:r>
      <w:r>
        <w:rPr>
          <w:color w:val="000000"/>
          <w:spacing w:val="0"/>
          <w:w w:val="100"/>
          <w:position w:val="0"/>
          <w:shd w:val="clear" w:color="auto" w:fill="auto"/>
          <w:vertAlign w:val="superscript"/>
        </w:rPr>
        <w:t xml:space="preserve"> </w:t>
      </w:r>
      <w:r>
        <w:rPr>
          <w:color w:val="000000"/>
          <w:spacing w:val="0"/>
          <w:w w:val="100"/>
          <w:position w:val="0"/>
          <w:shd w:val="clear" w:color="auto" w:fill="auto"/>
          <w:vertAlign w:val="superscript"/>
        </w:rPr>
        <w:footnoteReference w:id="18"/>
      </w:r>
      <w:r>
        <w:rPr>
          <w:color w:val="000000"/>
          <w:spacing w:val="0"/>
          <w:w w:val="100"/>
          <w:position w:val="0"/>
          <w:shd w:val="clear" w:color="auto" w:fill="auto"/>
        </w:rPr>
        <w:t xml:space="preserve">1928, 1966/1978. </w:t>
      </w:r>
      <w:r>
        <w:rPr>
          <w:color w:val="000000"/>
          <w:spacing w:val="0"/>
          <w:w w:val="100"/>
          <w:position w:val="0"/>
          <w:shd w:val="clear" w:color="auto" w:fill="auto"/>
          <w:lang w:val="hr-HR" w:eastAsia="hr-HR" w:bidi="hr-HR"/>
        </w:rPr>
        <w:t xml:space="preserve">Kazalo; </w:t>
      </w:r>
      <w:r>
        <w:rPr>
          <w:color w:val="000000"/>
          <w:spacing w:val="0"/>
          <w:w w:val="100"/>
          <w:position w:val="0"/>
          <w:shd w:val="clear" w:color="auto" w:fill="auto"/>
        </w:rPr>
        <w:t xml:space="preserve">F. Roscnzweig. </w:t>
      </w:r>
      <w:r>
        <w:rPr>
          <w:i/>
          <w:iCs/>
          <w:color w:val="000000"/>
          <w:spacing w:val="0"/>
          <w:w w:val="100"/>
          <w:position w:val="0"/>
          <w:shd w:val="clear" w:color="auto" w:fill="auto"/>
        </w:rPr>
        <w:t>Der Stern der Eribsung,</w:t>
      </w:r>
      <w:r>
        <w:rPr>
          <w:color w:val="000000"/>
          <w:spacing w:val="0"/>
          <w:w w:val="100"/>
          <w:position w:val="0"/>
          <w:shd w:val="clear" w:color="auto" w:fill="auto"/>
        </w:rPr>
        <w:t xml:space="preserve"> 1921,</w:t>
      </w:r>
      <w:r>
        <w:rPr>
          <w:color w:val="000000"/>
          <w:spacing w:val="0"/>
          <w:w w:val="100"/>
          <w:position w:val="0"/>
          <w:shd w:val="clear" w:color="auto" w:fill="auto"/>
          <w:vertAlign w:val="superscript"/>
        </w:rPr>
        <w:t>2</w:t>
      </w:r>
      <w:r>
        <w:rPr>
          <w:color w:val="000000"/>
          <w:spacing w:val="0"/>
          <w:w w:val="100"/>
          <w:position w:val="0"/>
          <w:shd w:val="clear" w:color="auto" w:fill="auto"/>
        </w:rPr>
        <w:t>1930,</w:t>
      </w:r>
      <w:r>
        <w:rPr>
          <w:color w:val="000000"/>
          <w:spacing w:val="0"/>
          <w:w w:val="100"/>
          <w:position w:val="0"/>
          <w:shd w:val="clear" w:color="auto" w:fill="auto"/>
          <w:vertAlign w:val="superscript"/>
        </w:rPr>
        <w:footnoteReference w:id="19"/>
      </w:r>
      <w:r>
        <w:rPr>
          <w:color w:val="000000"/>
          <w:spacing w:val="0"/>
          <w:w w:val="100"/>
          <w:position w:val="0"/>
          <w:shd w:val="clear" w:color="auto" w:fill="auto"/>
        </w:rPr>
        <w:t xml:space="preserve">1976. 71 t d., 158 i d., 351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L. Baeck, </w:t>
      </w:r>
      <w:r>
        <w:rPr>
          <w:i/>
          <w:iCs/>
          <w:color w:val="000000"/>
          <w:spacing w:val="0"/>
          <w:w w:val="100"/>
          <w:position w:val="0"/>
          <w:shd w:val="clear" w:color="auto" w:fill="auto"/>
        </w:rPr>
        <w:t xml:space="preserve">Das Wesen des Judentums, </w:t>
      </w:r>
      <w:r>
        <w:rPr>
          <w:color w:val="000000"/>
          <w:spacing w:val="0"/>
          <w:w w:val="100"/>
          <w:position w:val="0"/>
          <w:shd w:val="clear" w:color="auto" w:fill="auto"/>
        </w:rPr>
        <w:t xml:space="preserve">1905, ‘‘1966, 88 i d.. 130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M. Buber, </w:t>
      </w:r>
      <w:r>
        <w:rPr>
          <w:i/>
          <w:iCs/>
          <w:color w:val="000000"/>
          <w:spacing w:val="0"/>
          <w:w w:val="100"/>
          <w:position w:val="0"/>
          <w:shd w:val="clear" w:color="auto" w:fill="auto"/>
        </w:rPr>
        <w:t>kh und Du.</w:t>
      </w:r>
      <w:r>
        <w:rPr>
          <w:color w:val="000000"/>
          <w:spacing w:val="0"/>
          <w:w w:val="100"/>
          <w:position w:val="0"/>
          <w:shd w:val="clear" w:color="auto" w:fill="auto"/>
        </w:rPr>
        <w:t xml:space="preserve"> 1923; </w:t>
      </w:r>
      <w:r>
        <w:rPr>
          <w:i/>
          <w:iCs/>
          <w:color w:val="000000"/>
          <w:spacing w:val="0"/>
          <w:w w:val="100"/>
          <w:position w:val="0"/>
          <w:shd w:val="clear" w:color="auto" w:fill="auto"/>
        </w:rPr>
        <w:t>Werke I.</w:t>
      </w:r>
      <w:r>
        <w:rPr>
          <w:color w:val="000000"/>
          <w:spacing w:val="0"/>
          <w:w w:val="100"/>
          <w:position w:val="0"/>
          <w:shd w:val="clear" w:color="auto" w:fill="auto"/>
        </w:rPr>
        <w:t xml:space="preserve"> 1962,77 i d</w:t>
      </w:r>
      <w:r>
        <w:rPr>
          <w:i/>
          <w:iCs/>
          <w:color w:val="000000"/>
          <w:spacing w:val="0"/>
          <w:w w:val="100"/>
          <w:position w:val="0"/>
          <w:shd w:val="clear" w:color="auto" w:fill="auto"/>
        </w:rPr>
        <w:t>Encyclopaedia Judaica,</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1978, 7,125-31, 1279-86; S. Ben«Chonn, </w:t>
      </w:r>
      <w:r>
        <w:rPr>
          <w:i/>
          <w:iCs/>
          <w:color w:val="000000"/>
          <w:spacing w:val="0"/>
          <w:w w:val="100"/>
          <w:position w:val="0"/>
          <w:shd w:val="clear" w:color="auto" w:fill="auto"/>
        </w:rPr>
        <w:t>Jiidischer Glaube,</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979, 40 i d.</w:t>
      </w:r>
    </w:p>
    <w:p>
      <w:pPr>
        <w:pStyle w:val="Style20"/>
        <w:keepNext w:val="0"/>
        <w:keepLines w:val="0"/>
        <w:widowControl w:val="0"/>
        <w:shd w:val="clear" w:color="auto" w:fill="auto"/>
        <w:bidi w:val="0"/>
        <w:spacing w:before="0" w:after="0" w:line="202" w:lineRule="auto"/>
        <w:ind w:left="0" w:right="0" w:firstLine="0"/>
        <w:jc w:val="right"/>
        <w:rPr>
          <w:sz w:val="14"/>
          <w:szCs w:val="14"/>
        </w:rPr>
      </w:pPr>
      <w:r>
        <w:rPr>
          <w:rFonts w:ascii="Times New Roman" w:eastAsia="Times New Roman" w:hAnsi="Times New Roman" w:cs="Times New Roman"/>
          <w:color w:val="000000"/>
          <w:spacing w:val="0"/>
          <w:w w:val="100"/>
          <w:position w:val="0"/>
          <w:sz w:val="14"/>
          <w:szCs w:val="14"/>
          <w:shd w:val="clear" w:color="auto" w:fill="auto"/>
          <w:lang w:val="hr-HR" w:eastAsia="hr-HR" w:bidi="hr-HR"/>
        </w:rPr>
        <w:t xml:space="preserve">u. </w:t>
      </w:r>
      <w:r>
        <w:rPr>
          <w:rFonts w:ascii="Times New Roman" w:eastAsia="Times New Roman" w:hAnsi="Times New Roman" w:cs="Times New Roman"/>
          <w:color w:val="000000"/>
          <w:spacing w:val="0"/>
          <w:w w:val="100"/>
          <w:position w:val="0"/>
          <w:sz w:val="14"/>
          <w:szCs w:val="14"/>
          <w:shd w:val="clear" w:color="auto" w:fill="auto"/>
          <w:lang w:val="en-US" w:eastAsia="en-US" w:bidi="en-US"/>
        </w:rPr>
        <w:t>virrruR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spasenja. Pa ipak, izabranost ne štiti narod od kazne, ako bude nevjeran svomu Bogu. I oni koji ustraju u svojoj okorjelosti, neće sudjelo</w:t>
        <w:softHyphen/>
        <w:t>vati u očekivanom mesijanskom kraljevstvu, onom kraljevstvu koje donosi obećanu »novu izabranost« (Iz 14,1) i »novi Savez« (Jr 31,31). U NZ je zamisao izabranosti na temelju Božjeg predodredenja najjasnije izražena u Pavlovoj Poslanici Rimljanima: »Znamo da Bog čini da sve pridonosi dobru onih koji ga ljube; onih koji su odlukom Božjom pozvani, jer koje je predvidio, one je i predodredio da bu</w:t>
        <w:softHyphen/>
        <w:t>du jednaki slici njegova Sina, da ovaj bude prvorodenac među mnogom braćom. A koje je predodredio, one je i pozvao; koje je po</w:t>
        <w:softHyphen/>
        <w:t>zvao, one je i opravdao; koje je opravdao, one je i proslavio« (8,28-30).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postupa s ljudima prema svom »slobod</w:t>
        <w:softHyphen/>
        <w:t>nom izboru« i predodredenju (Rim 9,11), kao što lončar slobodno oblikujući radi s glinom (usp. Rim 9,21). Pozivajući se na Božje iskaze Mojsiju, Pavao dalje potvrđuje: »Jer Mojsije veli: ‘Milosrđe iskazujem onomu komu ga is</w:t>
        <w:softHyphen/>
        <w:t>kazujem, a imam samilosti s onim s kime je imam.’ Prema tomu, izbor nije stvar ni onoga koji hoće niti onoga koji trči, već Boga koji se smiluje ... Tako dakle: iskazuje milosrđe ko</w:t>
        <w:softHyphen/>
        <w:t>mu hoće, a čini tvrdokornim koga hoće« (Rim 9,15-16.18). Pa ipak. Bog nije nepravedan (Rim 9,14) i nitko se ne može s njim pravdati (Rim 9,19). To je doduše tajna neistražive Božje mudrosti (usp. Rim 11,33-36), ali i čo</w:t>
        <w:softHyphen/>
        <w:t>vjek na bilo koji način sudjeluje u ostvarenju svoga vlastitog spasenja: »Sa strahom i drhta</w:t>
        <w:softHyphen/>
        <w:t>njem nastojte da postignete svoje spasenje. Bog je, naime, onaj koji proizvodi u vama i htijenje i djelovanje ...« (Fil 2,12-13).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Kršćanski su teolozi uvijek iznova pokušavali formulirali usuglašeno učenje o predestinaciji koja istodobno potvrđuje Božju slobodu i sve</w:t>
        <w:softHyphen/>
        <w:t>moć ali i čovjekovu slobodu i odgovornost. Na kraju otačkog doba Ivan Damaščanski (u. pri</w:t>
        <w:softHyphen/>
        <w:t>je 753) sažima na Istoku učenje koje su zastu</w:t>
        <w:softHyphen/>
        <w:t xml:space="preserve">pali grčki teolozi: U svojoj predvremenskoj spa- senjskoj volji Bog unaprijed upravlja onime što ne leži u čovjekovoj moći; i on određuje naplatu za sva djela koja ljudi u svom životu počine i, dakle, za koja moraju odgovarati </w:t>
      </w:r>
      <w:r>
        <w:rPr>
          <w:rFonts w:ascii="Times New Roman" w:eastAsia="Times New Roman" w:hAnsi="Times New Roman" w:cs="Times New Roman"/>
          <w:color w:val="000000"/>
          <w:spacing w:val="0"/>
          <w:w w:val="100"/>
          <w:position w:val="0"/>
          <w:shd w:val="clear" w:color="auto" w:fill="auto"/>
          <w:lang w:val="en-US" w:eastAsia="en-US" w:bidi="en-US"/>
        </w:rPr>
        <w:t xml:space="preserve">(De Fide orthodoxa </w:t>
      </w:r>
      <w:r>
        <w:rPr>
          <w:rFonts w:ascii="Times New Roman" w:eastAsia="Times New Roman" w:hAnsi="Times New Roman" w:cs="Times New Roman"/>
          <w:color w:val="000000"/>
          <w:spacing w:val="0"/>
          <w:w w:val="100"/>
          <w:position w:val="0"/>
          <w:shd w:val="clear" w:color="auto" w:fill="auto"/>
          <w:lang w:val="hr-HR" w:eastAsia="hr-HR" w:bidi="hr-HR"/>
        </w:rPr>
        <w:t xml:space="preserve">II, 30,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Patrologia graeca </w:t>
      </w:r>
      <w:r>
        <w:rPr>
          <w:rFonts w:ascii="Times New Roman" w:eastAsia="Times New Roman" w:hAnsi="Times New Roman" w:cs="Times New Roman"/>
          <w:color w:val="000000"/>
          <w:spacing w:val="0"/>
          <w:w w:val="100"/>
          <w:position w:val="0"/>
          <w:shd w:val="clear" w:color="auto" w:fill="auto"/>
          <w:lang w:val="hr-HR" w:eastAsia="hr-HR" w:bidi="hr-HR"/>
        </w:rPr>
        <w:t>94, 969).</w:t>
      </w:r>
    </w:p>
    <w:p>
      <w:pPr>
        <w:pStyle w:val="Style20"/>
        <w:keepNext w:val="0"/>
        <w:keepLines w:val="0"/>
        <w:widowControl w:val="0"/>
        <w:shd w:val="clear" w:color="auto" w:fill="auto"/>
        <w:bidi w:val="0"/>
        <w:spacing w:before="0" w:after="0"/>
        <w:ind w:left="0" w:right="0" w:firstLine="0"/>
        <w:jc w:val="both"/>
        <w:sectPr>
          <w:headerReference w:type="default" r:id="rId1169"/>
          <w:footerReference w:type="default" r:id="rId1170"/>
          <w:headerReference w:type="even" r:id="rId1171"/>
          <w:footerReference w:type="even" r:id="rId1172"/>
          <w:headerReference w:type="first" r:id="rId1173"/>
          <w:footerReference w:type="first" r:id="rId1174"/>
          <w:footnotePr>
            <w:pos w:val="pageBottom"/>
            <w:numFmt w:val="decimal"/>
            <w:numRestart w:val="continuous"/>
            <w15:footnoteColumns w:val="1"/>
          </w:footnotePr>
          <w:pgSz w:w="6816" w:h="11006"/>
          <w:pgMar w:top="828" w:left="185" w:right="190" w:bottom="339" w:header="0" w:footer="3" w:gutter="0"/>
          <w:pgNumType w:start="385"/>
          <w:cols w:num="2" w:space="17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latinskoj teologiji dominira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 xml:space="preserve">koji u završnoj fazi svojih razmišljanja ne propušta,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doduše, vidjeti čovjekovo sudjelovanje, ali pri</w:t>
        <w:softHyphen/>
        <w:t>je svega ističe suverenu slobodu Boga u njego</w:t>
        <w:softHyphen/>
        <w:t>voj odluci. »Uslijed istočnoga grijeha čovje</w:t>
        <w:softHyphen/>
        <w:t>čanstvo je izručeno prokletstvu, ali Bog iz te massa damnationis (= iz te mase koja je pro</w:t>
        <w:softHyphen/>
        <w:t>kleta) izbavlja one koje je odredio za spasenje i oni su nepogrešivo spašeni. Broj izabranih oduvijek je određen. Ne odbacujući ostale. Bog stalno dopušta da se oni zbog svojih gri</w:t>
        <w:softHyphen/>
        <w:t xml:space="preserve">jeha slobodno izručuju prokletstvu« (H. </w:t>
      </w:r>
      <w:r>
        <w:rPr>
          <w:rFonts w:ascii="Times New Roman" w:eastAsia="Times New Roman" w:hAnsi="Times New Roman" w:cs="Times New Roman"/>
          <w:color w:val="000000"/>
          <w:spacing w:val="0"/>
          <w:w w:val="100"/>
          <w:position w:val="0"/>
          <w:shd w:val="clear" w:color="auto" w:fill="auto"/>
          <w:lang w:val="en-US" w:eastAsia="en-US" w:bidi="en-US"/>
        </w:rPr>
        <w:t>Ron</w:t>
        <w:softHyphen/>
        <w:t xml:space="preserve">del, </w:t>
      </w:r>
      <w:r>
        <w:rPr>
          <w:rFonts w:ascii="Times New Roman" w:eastAsia="Times New Roman" w:hAnsi="Times New Roman" w:cs="Times New Roman"/>
          <w:color w:val="000000"/>
          <w:spacing w:val="0"/>
          <w:w w:val="100"/>
          <w:position w:val="0"/>
          <w:shd w:val="clear" w:color="auto" w:fill="auto"/>
          <w:lang w:val="hr-HR" w:eastAsia="hr-HR" w:bidi="hr-HR"/>
        </w:rPr>
        <w:t>68). U srednjem vijeku opet se više pod</w:t>
        <w:softHyphen/>
        <w:t>sjeća na Božju univerzalnu spasenjsku volju (koja hoće sve spasiti) pa se čovjekova slo</w:t>
        <w:softHyphen/>
        <w:t>bodna volja tješnje stavlja pod znak pitanja. Bonaventura naglašava da Bog doduše slobod</w:t>
        <w:softHyphen/>
        <w:t>no odlučuje, ali unaprijed zna za čovjekova djela. Toma Akvinski razlikuje između per</w:t>
        <w:softHyphen/>
        <w:t>spektive vječnosti (Bog) i vremenitosti (čo</w:t>
        <w:softHyphen/>
        <w:t xml:space="preserve">vjek). Tako se perspektiva vremenitosti </w:t>
      </w:r>
      <w:r>
        <w:rPr>
          <w:rFonts w:ascii="Times New Roman" w:eastAsia="Times New Roman" w:hAnsi="Times New Roman" w:cs="Times New Roman"/>
          <w:i/>
          <w:iCs/>
          <w:color w:val="000000"/>
          <w:spacing w:val="0"/>
          <w:w w:val="100"/>
          <w:position w:val="0"/>
          <w:shd w:val="clear" w:color="auto" w:fill="auto"/>
          <w:lang w:val="hr-HR" w:eastAsia="hr-HR" w:bidi="hr-HR"/>
        </w:rPr>
        <w:t>una</w:t>
        <w:softHyphen/>
        <w:t>prijed</w:t>
      </w:r>
      <w:r>
        <w:rPr>
          <w:rFonts w:ascii="Times New Roman" w:eastAsia="Times New Roman" w:hAnsi="Times New Roman" w:cs="Times New Roman"/>
          <w:color w:val="000000"/>
          <w:spacing w:val="0"/>
          <w:w w:val="100"/>
          <w:position w:val="0"/>
          <w:shd w:val="clear" w:color="auto" w:fill="auto"/>
          <w:lang w:val="hr-HR" w:eastAsia="hr-HR" w:bidi="hr-HR"/>
        </w:rPr>
        <w:t xml:space="preserve"> odnosi samo kod čovjeka na vremenski slijed događaja, djela i naplate, dok kod Boga upućuje samo na diferenciranje unutar glo</w:t>
        <w:softHyphen/>
        <w:t>balnog čina. Jer, Bog obuhvaća sve u jednom jedinom spoznajnom činu i sve hoće u jednom jedinom činu volje. U perspektivi vječnosti komprimira se ukupni tijek povijesti u jednoj točki u kojoj Bog sada sve istodobno spoznaje i hoće. »Stvarni problem leži u našoj nespo</w:t>
        <w:softHyphen/>
        <w:t xml:space="preserve">sobnosti da u ljudskim pojmovima izrazimo </w:t>
      </w:r>
      <w:r>
        <w:rPr>
          <w:rFonts w:ascii="Times New Roman" w:eastAsia="Times New Roman" w:hAnsi="Times New Roman" w:cs="Times New Roman"/>
          <w:i/>
          <w:iCs/>
          <w:color w:val="000000"/>
          <w:spacing w:val="0"/>
          <w:w w:val="100"/>
          <w:position w:val="0"/>
          <w:shd w:val="clear" w:color="auto" w:fill="auto"/>
          <w:lang w:val="hr-HR" w:eastAsia="hr-HR" w:bidi="hr-HR"/>
        </w:rPr>
        <w:t>način</w:t>
      </w:r>
      <w:r>
        <w:rPr>
          <w:rFonts w:ascii="Times New Roman" w:eastAsia="Times New Roman" w:hAnsi="Times New Roman" w:cs="Times New Roman"/>
          <w:color w:val="000000"/>
          <w:spacing w:val="0"/>
          <w:w w:val="100"/>
          <w:position w:val="0"/>
          <w:shd w:val="clear" w:color="auto" w:fill="auto"/>
          <w:lang w:val="hr-HR" w:eastAsia="hr-HR" w:bidi="hr-HR"/>
        </w:rPr>
        <w:t xml:space="preserve"> kako Bog, kao prvi uzrok svega što jest, djeluje drugim uzrocima prije svega našom slobodom da bi stvorio svijet u kojem se jedni spašavaju, drugi propadaju, a da pritom nitko ne bi mogao optužiti Boga zbog nepraved</w:t>
        <w:softHyphen/>
        <w:t>nosti ili pristranosti (D 142 2007 805 i d.)« (H. Rondet, 69-70).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vrijeme reformacije </w:t>
      </w:r>
      <w:r>
        <w:rPr>
          <w:rFonts w:ascii="Times New Roman" w:eastAsia="Times New Roman" w:hAnsi="Times New Roman" w:cs="Times New Roman"/>
          <w:color w:val="000000"/>
          <w:spacing w:val="0"/>
          <w:w w:val="100"/>
          <w:position w:val="0"/>
          <w:shd w:val="clear" w:color="auto" w:fill="auto"/>
          <w:lang w:val="en-US" w:eastAsia="en-US" w:bidi="en-US"/>
        </w:rPr>
        <w:t xml:space="preserve">Zwingli, Luther </w:t>
      </w:r>
      <w:r>
        <w:rPr>
          <w:rFonts w:ascii="Times New Roman" w:eastAsia="Times New Roman" w:hAnsi="Times New Roman" w:cs="Times New Roman"/>
          <w:color w:val="000000"/>
          <w:spacing w:val="0"/>
          <w:w w:val="100"/>
          <w:position w:val="0"/>
          <w:shd w:val="clear" w:color="auto" w:fill="auto"/>
          <w:lang w:val="hr-HR" w:eastAsia="hr-HR" w:bidi="hr-HR"/>
        </w:rPr>
        <w:t>u svo</w:t>
        <w:softHyphen/>
        <w:t xml:space="preserve">joj kasnijoj fazi i prije svega </w:t>
      </w:r>
      <w:r>
        <w:rPr>
          <w:rFonts w:ascii="Times New Roman" w:eastAsia="Times New Roman" w:hAnsi="Times New Roman" w:cs="Times New Roman"/>
          <w:color w:val="000000"/>
          <w:spacing w:val="0"/>
          <w:w w:val="100"/>
          <w:position w:val="0"/>
          <w:shd w:val="clear" w:color="auto" w:fill="auto"/>
          <w:lang w:val="en-US" w:eastAsia="en-US" w:bidi="en-US"/>
        </w:rPr>
        <w:t xml:space="preserve">Calvin </w:t>
      </w:r>
      <w:r>
        <w:rPr>
          <w:rFonts w:ascii="Times New Roman" w:eastAsia="Times New Roman" w:hAnsi="Times New Roman" w:cs="Times New Roman"/>
          <w:color w:val="000000"/>
          <w:spacing w:val="0"/>
          <w:w w:val="100"/>
          <w:position w:val="0"/>
          <w:shd w:val="clear" w:color="auto" w:fill="auto"/>
          <w:lang w:val="hr-HR" w:eastAsia="hr-HR" w:bidi="hr-HR"/>
        </w:rPr>
        <w:t>toliko su Božju volju vidjeli kao uzrok svega što se do</w:t>
        <w:softHyphen/>
        <w:t>gađa u čovjekovu životu da su predestinaciju držali za djelo suverene Božje volje i malo su još davali prostora za čovjekovu slobodnu vo</w:t>
        <w:softHyphen/>
        <w:t xml:space="preserve">lju. U katoličkoj Francuskoj XVII. stoljeća </w:t>
      </w:r>
      <w:r>
        <w:rPr>
          <w:rFonts w:ascii="Times New Roman" w:eastAsia="Times New Roman" w:hAnsi="Times New Roman" w:cs="Times New Roman"/>
          <w:color w:val="000000"/>
          <w:spacing w:val="0"/>
          <w:w w:val="100"/>
          <w:position w:val="0"/>
          <w:shd w:val="clear" w:color="auto" w:fill="auto"/>
          <w:lang w:val="en-US" w:eastAsia="en-US" w:bidi="en-US"/>
        </w:rPr>
        <w:t xml:space="preserve">Jansen </w:t>
      </w:r>
      <w:r>
        <w:rPr>
          <w:rFonts w:ascii="Times New Roman" w:eastAsia="Times New Roman" w:hAnsi="Times New Roman" w:cs="Times New Roman"/>
          <w:color w:val="000000"/>
          <w:spacing w:val="0"/>
          <w:w w:val="100"/>
          <w:position w:val="0"/>
          <w:shd w:val="clear" w:color="auto" w:fill="auto"/>
          <w:lang w:val="hr-HR" w:eastAsia="hr-HR" w:bidi="hr-HR"/>
        </w:rPr>
        <w:t>(u. 1638) je zastupao strogo učenje ko</w:t>
        <w:softHyphen/>
        <w:t>je naglašava suverenu slobodu Boga u njego</w:t>
        <w:softHyphen/>
        <w:t>vim odlukama i u iskazivanju njegove milosti kao i čovjekovu pokvarenost i nemoć uslijed istočnoga grijeha. Time se Božja spasenjska volja proteže samo na malo izabranih. Katolič</w:t>
        <w:softHyphen/>
        <w:t xml:space="preserve">ka crkva je protiv jansenizma izjavila da Božja spasenjska volja obuhvaća sve ljude, daje Isus Krist umro za sve ljude, a ne samo za predes- </w:t>
      </w:r>
      <w:r>
        <w:rPr>
          <w:rFonts w:ascii="Times New Roman" w:eastAsia="Times New Roman" w:hAnsi="Times New Roman" w:cs="Times New Roman"/>
          <w:color w:val="000000"/>
          <w:spacing w:val="0"/>
          <w:w w:val="100"/>
          <w:position w:val="0"/>
          <w:shd w:val="clear" w:color="auto" w:fill="auto"/>
          <w:lang w:val="hr-HR" w:eastAsia="hr-HR" w:bidi="hr-HR"/>
        </w:rPr>
        <w:t>tinirane, pravednike ili vjernike (D 1096 1294 1379).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katoličkoj teologiji nastavila se diskusija s naporom oko prikladnog učenja o predesti</w:t>
        <w:softHyphen/>
        <w:t>naciji, koje uzima u obzir apsolutnu volju i djelotvornu Božju svemoć i istodobno čovje</w:t>
        <w:softHyphen/>
        <w:t>kovu slobodu i odgovornost. Pritom nužnost da se transcendentni Bog i uz svijet vezan čo</w:t>
        <w:softHyphen/>
        <w:t>vjek, koji ne pripadaju istoj razini bitka, ipak svedu na istu razinu i da se povežu njihovi različiti načini djelovanja, vodi uvijek iznova do pokušaja posredovanja, ali i do novih ne</w:t>
        <w:softHyphen/>
        <w:t>savladivih teškoća. To je stanje već u XVII. stoljeću dalo povoda tvrdnji francuskog bis</w:t>
        <w:softHyphen/>
        <w:t>kupa Bossueta kako mi doduše držimo dva kraja lanca, ali ipak ne vidimo kako su ona međusobno spojena.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 u svom pokušaju teološkog posredovanja </w:t>
      </w:r>
      <w:r>
        <w:rPr>
          <w:rFonts w:ascii="Times New Roman" w:eastAsia="Times New Roman" w:hAnsi="Times New Roman" w:cs="Times New Roman"/>
          <w:color w:val="000000"/>
          <w:spacing w:val="0"/>
          <w:w w:val="100"/>
          <w:position w:val="0"/>
          <w:shd w:val="clear" w:color="auto" w:fill="auto"/>
          <w:lang w:val="en-US" w:eastAsia="en-US" w:bidi="en-US"/>
        </w:rPr>
        <w:t xml:space="preserve">Karl Rahner </w:t>
      </w:r>
      <w:r>
        <w:rPr>
          <w:rFonts w:ascii="Times New Roman" w:eastAsia="Times New Roman" w:hAnsi="Times New Roman" w:cs="Times New Roman"/>
          <w:color w:val="000000"/>
          <w:spacing w:val="0"/>
          <w:w w:val="100"/>
          <w:position w:val="0"/>
          <w:shd w:val="clear" w:color="auto" w:fill="auto"/>
          <w:lang w:val="hr-HR" w:eastAsia="hr-HR" w:bidi="hr-HR"/>
        </w:rPr>
        <w:t>ne uzdiže se bitno iznad tvrdnje o dvama krajevima lanca: »Ako se p. odnosi na cjelinu čovjekova spasenja kao takvog (iz ćudoredno dobre odluke i (ili) milosno dane spasenjske situacije koje obadvije Bog omo</w:t>
        <w:softHyphen/>
        <w:t>gućuje svojom djelotvornom milošću, te iz ustrajnosti i iz toga proizlazeće slave), p. ima kao jedini izvor slobodnu Božju ljubav. No, kao takva ona hoće proslavljenost čovjeka (u slučaju da je on upotrijebio slobodu razuma) kao da ovisi o njegovoj ćudorednoj odluci ..., hoće dakle neutemeljeno njegov spas čiji mo</w:t>
        <w:softHyphen/>
        <w:t>menti međusobno imaju odnos utemeljenosti ... P. ne poništava slobodu stvora, njegovu od</w:t>
        <w:softHyphen/>
        <w:t>govornost i dijaloško partnerstvo s Bogom, nego je njihov temelj, jer Božja volja može ci</w:t>
        <w:softHyphen/>
        <w:t>ljati upravo na konstituciju slobodnog čovjeka i njegova čina i cilja u transcendenciji svoje uzročnosti...</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Nema nikakve pozitivne ni aktivne predesti</w:t>
        <w:softHyphen/>
        <w:t>nacije prema grijehu, dakle zloporabi slobo</w:t>
        <w:softHyphen/>
        <w:t>de. Takva je nespojiva s Božjom svetošću i njegovom sveopćom spasenjskom voljom. Bog ne želi grijeh makar ga ‘predviđa’, dopušta i sigurno za grijeh hoće kaznu i ta je kazna po</w:t>
        <w:softHyphen/>
        <w:t xml:space="preserve">sljedica grijeha, a ne temelj božanske odluke da se grijeh dopusti (D 300 316322)« </w:t>
      </w:r>
      <w:r>
        <w:rPr>
          <w:rFonts w:ascii="Times New Roman" w:eastAsia="Times New Roman" w:hAnsi="Times New Roman" w:cs="Times New Roman"/>
          <w:color w:val="000000"/>
          <w:spacing w:val="0"/>
          <w:w w:val="100"/>
          <w:position w:val="0"/>
          <w:shd w:val="clear" w:color="auto" w:fill="auto"/>
          <w:lang w:val="en-US" w:eastAsia="en-US" w:bidi="en-US"/>
        </w:rPr>
        <w:t>(Rah</w:t>
        <w:softHyphen/>
        <w:t xml:space="preserve">ner, </w:t>
      </w:r>
      <w:r>
        <w:rPr>
          <w:rFonts w:ascii="Times New Roman" w:eastAsia="Times New Roman" w:hAnsi="Times New Roman" w:cs="Times New Roman"/>
          <w:color w:val="000000"/>
          <w:spacing w:val="0"/>
          <w:w w:val="100"/>
          <w:position w:val="0"/>
          <w:shd w:val="clear" w:color="auto" w:fill="auto"/>
          <w:lang w:val="hr-HR" w:eastAsia="hr-HR" w:bidi="hr-HR"/>
        </w:rPr>
        <w:t>str. 71-72).</w:t>
      </w:r>
    </w:p>
    <w:p>
      <w:pPr>
        <w:pStyle w:val="Style56"/>
        <w:keepNext w:val="0"/>
        <w:keepLines w:val="0"/>
        <w:widowControl w:val="0"/>
        <w:shd w:val="clear" w:color="auto" w:fill="auto"/>
        <w:bidi w:val="0"/>
        <w:spacing w:before="0" w:after="260" w:line="240" w:lineRule="auto"/>
        <w:ind w:left="0" w:right="0" w:firstLine="0"/>
        <w:jc w:val="both"/>
        <w:sectPr>
          <w:headerReference w:type="default" r:id="rId1175"/>
          <w:footerReference w:type="default" r:id="rId1176"/>
          <w:headerReference w:type="even" r:id="rId1177"/>
          <w:footerReference w:type="even" r:id="rId1178"/>
          <w:footnotePr>
            <w:pos w:val="pageBottom"/>
            <w:numFmt w:val="decimal"/>
            <w:numRestart w:val="continuous"/>
            <w15:footnoteColumns w:val="1"/>
          </w:footnotePr>
          <w:type w:val="continuous"/>
          <w:pgSz w:w="6816" w:h="11006"/>
          <w:pgMar w:top="828" w:left="185" w:right="190" w:bottom="339" w:header="0" w:footer="3" w:gutter="0"/>
          <w:cols w:num="2" w:space="177"/>
          <w:noEndnote/>
          <w:rtlGutter w:val="0"/>
          <w:docGrid w:linePitch="360"/>
        </w:sectPr>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F. Hcssc, </w:t>
      </w:r>
      <w:r>
        <w:rPr>
          <w:i/>
          <w:iCs/>
          <w:color w:val="000000"/>
          <w:spacing w:val="0"/>
          <w:w w:val="100"/>
          <w:position w:val="0"/>
          <w:shd w:val="clear" w:color="auto" w:fill="auto"/>
          <w:lang w:val="hr-HR" w:eastAsia="hr-HR" w:bidi="hr-HR"/>
        </w:rPr>
        <w:t>Das Vejstockungsproblem im Alten Testa</w:t>
        <w:softHyphen/>
        <w:t>ment,</w:t>
      </w:r>
      <w:r>
        <w:rPr>
          <w:color w:val="000000"/>
          <w:spacing w:val="0"/>
          <w:w w:val="100"/>
          <w:position w:val="0"/>
          <w:shd w:val="clear" w:color="auto" w:fill="auto"/>
          <w:lang w:val="hr-HR" w:eastAsia="hr-HR" w:bidi="hr-HR"/>
        </w:rPr>
        <w:t xml:space="preserve"> Berlin 1955;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Gnilka,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Verstockung </w:t>
      </w:r>
      <w:r>
        <w:rPr>
          <w:i/>
          <w:iCs/>
          <w:color w:val="000000"/>
          <w:spacing w:val="0"/>
          <w:w w:val="100"/>
          <w:position w:val="0"/>
          <w:shd w:val="clear" w:color="auto" w:fill="auto"/>
        </w:rPr>
        <w:t>Israels,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Miitt- chcn 1961; G. </w:t>
      </w:r>
      <w:r>
        <w:rPr>
          <w:color w:val="000000"/>
          <w:spacing w:val="0"/>
          <w:w w:val="100"/>
          <w:position w:val="0"/>
          <w:shd w:val="clear" w:color="auto" w:fill="auto"/>
        </w:rPr>
        <w:t xml:space="preserve">Nygrcn, </w:t>
      </w:r>
      <w:r>
        <w:rPr>
          <w:i/>
          <w:iCs/>
          <w:color w:val="000000"/>
          <w:spacing w:val="0"/>
          <w:w w:val="100"/>
          <w:position w:val="0"/>
          <w:shd w:val="clear" w:color="auto" w:fill="auto"/>
          <w:lang w:val="hr-HR" w:eastAsia="hr-HR" w:bidi="hr-HR"/>
        </w:rPr>
        <w:t xml:space="preserve">Das Pradestinationsproblem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Theoiagie Augustins,</w:t>
      </w:r>
      <w:r>
        <w:rPr>
          <w:color w:val="000000"/>
          <w:spacing w:val="0"/>
          <w:w w:val="100"/>
          <w:position w:val="0"/>
          <w:shd w:val="clear" w:color="auto" w:fill="auto"/>
        </w:rPr>
        <w:t xml:space="preserve"> Gottingen </w:t>
      </w:r>
      <w:r>
        <w:rPr>
          <w:color w:val="000000"/>
          <w:spacing w:val="0"/>
          <w:w w:val="100"/>
          <w:position w:val="0"/>
          <w:shd w:val="clear" w:color="auto" w:fill="auto"/>
          <w:lang w:val="hr-HR" w:eastAsia="hr-HR" w:bidi="hr-HR"/>
        </w:rPr>
        <w:t xml:space="preserve">1956; </w:t>
      </w:r>
      <w:r>
        <w:rPr>
          <w:color w:val="000000"/>
          <w:spacing w:val="0"/>
          <w:w w:val="100"/>
          <w:position w:val="0"/>
          <w:shd w:val="clear" w:color="auto" w:fill="auto"/>
        </w:rPr>
        <w:t xml:space="preserve">W. A. Hauck, </w:t>
      </w:r>
      <w:r>
        <w:rPr>
          <w:i/>
          <w:iCs/>
          <w:color w:val="000000"/>
          <w:spacing w:val="0"/>
          <w:w w:val="100"/>
          <w:position w:val="0"/>
          <w:shd w:val="clear" w:color="auto" w:fill="auto"/>
        </w:rPr>
        <w:t>Die Er- wtihlten. Pradesdnalion und 1 IcilsgewiPheit nach Cabin,</w:t>
      </w:r>
      <w:r>
        <w:rPr>
          <w:color w:val="000000"/>
          <w:spacing w:val="0"/>
          <w:w w:val="100"/>
          <w:position w:val="0"/>
          <w:shd w:val="clear" w:color="auto" w:fill="auto"/>
        </w:rPr>
        <w:t xml:space="preserve"> Gu</w:t>
        <w:softHyphen/>
        <w:t xml:space="preserve">tersloh 1950; J. Moltmann, </w:t>
      </w:r>
      <w:r>
        <w:rPr>
          <w:i/>
          <w:iCs/>
          <w:color w:val="000000"/>
          <w:spacing w:val="0"/>
          <w:w w:val="100"/>
          <w:position w:val="0"/>
          <w:shd w:val="clear" w:color="auto" w:fill="auto"/>
        </w:rPr>
        <w:t xml:space="preserve">Pradestinaiion und Perseveranz. </w:t>
      </w:r>
      <w:r>
        <w:rPr>
          <w:color w:val="000000"/>
          <w:spacing w:val="0"/>
          <w:w w:val="100"/>
          <w:position w:val="0"/>
          <w:shd w:val="clear" w:color="auto" w:fill="auto"/>
        </w:rPr>
        <w:t xml:space="preserve">Neukirchen 1961; K. Schwarzwaldcr, </w:t>
      </w:r>
      <w:r>
        <w:rPr>
          <w:i/>
          <w:iCs/>
          <w:color w:val="000000"/>
          <w:spacing w:val="0"/>
          <w:w w:val="100"/>
          <w:position w:val="0"/>
          <w:shd w:val="clear" w:color="auto" w:fill="auto"/>
        </w:rPr>
        <w:t xml:space="preserve">Das Gotteslob der </w:t>
      </w:r>
    </w:p>
    <w:p>
      <w:pPr>
        <w:pStyle w:val="Style56"/>
        <w:keepNext w:val="0"/>
        <w:keepLines w:val="0"/>
        <w:widowControl w:val="0"/>
        <w:shd w:val="clear" w:color="auto" w:fill="auto"/>
        <w:bidi w:val="0"/>
        <w:spacing w:before="0" w:after="260" w:line="240" w:lineRule="auto"/>
        <w:ind w:left="0" w:right="0" w:firstLine="0"/>
        <w:jc w:val="both"/>
      </w:pPr>
      <w:r>
        <w:rPr>
          <w:i/>
          <w:iCs/>
          <w:color w:val="000000"/>
          <w:spacing w:val="0"/>
          <w:w w:val="100"/>
          <w:position w:val="0"/>
          <w:shd w:val="clear" w:color="auto" w:fill="auto"/>
        </w:rPr>
        <w:t xml:space="preserve">angefochiencn </w:t>
      </w:r>
      <w:r>
        <w:rPr>
          <w:i/>
          <w:iCs/>
          <w:color w:val="000000"/>
          <w:spacing w:val="0"/>
          <w:w w:val="100"/>
          <w:position w:val="0"/>
          <w:shd w:val="clear" w:color="auto" w:fill="auto"/>
          <w:lang w:val="hr-HR" w:eastAsia="hr-HR" w:bidi="hr-HR"/>
        </w:rPr>
        <w:t>Gemeinde,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Neukirchen </w:t>
      </w:r>
      <w:r>
        <w:rPr>
          <w:color w:val="000000"/>
          <w:spacing w:val="0"/>
          <w:w w:val="100"/>
          <w:position w:val="0"/>
          <w:shd w:val="clear" w:color="auto" w:fill="auto"/>
          <w:lang w:val="hr-HR" w:eastAsia="hr-HR" w:bidi="hr-HR"/>
        </w:rPr>
        <w:t xml:space="preserve">1970; G. </w:t>
      </w:r>
      <w:r>
        <w:rPr>
          <w:color w:val="000000"/>
          <w:spacing w:val="0"/>
          <w:w w:val="100"/>
          <w:position w:val="0"/>
          <w:shd w:val="clear" w:color="auto" w:fill="auto"/>
        </w:rPr>
        <w:t xml:space="preserve">Kraus, </w:t>
      </w:r>
      <w:r>
        <w:rPr>
          <w:color w:val="000000"/>
          <w:spacing w:val="0"/>
          <w:w w:val="100"/>
          <w:position w:val="0"/>
          <w:shd w:val="clear" w:color="auto" w:fill="auto"/>
          <w:lang w:val="hr-HR" w:eastAsia="hr-HR" w:bidi="hr-HR"/>
        </w:rPr>
        <w:t xml:space="preserve">F&lt;x- </w:t>
      </w:r>
      <w:r>
        <w:rPr>
          <w:i/>
          <w:iCs/>
          <w:color w:val="000000"/>
          <w:spacing w:val="0"/>
          <w:w w:val="100"/>
          <w:position w:val="0"/>
          <w:shd w:val="clear" w:color="auto" w:fill="auto"/>
          <w:lang w:val="hr-HR" w:eastAsia="hr-HR" w:bidi="hr-HR"/>
        </w:rPr>
        <w:t xml:space="preserve">herbestimmung. Tradilionelle Pradestinalionslehre im </w:t>
      </w:r>
      <w:r>
        <w:rPr>
          <w:i/>
          <w:iCs/>
          <w:color w:val="000000"/>
          <w:spacing w:val="0"/>
          <w:w w:val="100"/>
          <w:position w:val="0"/>
          <w:shd w:val="clear" w:color="auto" w:fill="auto"/>
        </w:rPr>
        <w:t>Licht gegenwortiger Theologie,</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1977; </w:t>
      </w:r>
      <w:r>
        <w:rPr>
          <w:color w:val="000000"/>
          <w:spacing w:val="0"/>
          <w:w w:val="100"/>
          <w:position w:val="0"/>
          <w:shd w:val="clear" w:color="auto" w:fill="auto"/>
        </w:rPr>
        <w:t xml:space="preserve">J. Auer, </w:t>
      </w:r>
      <w:r>
        <w:rPr>
          <w:color w:val="000000"/>
          <w:spacing w:val="0"/>
          <w:w w:val="100"/>
          <w:position w:val="0"/>
          <w:shd w:val="clear" w:color="auto" w:fill="auto"/>
          <w:lang w:val="hr-HR" w:eastAsia="hr-HR" w:bidi="hr-HR"/>
        </w:rPr>
        <w:t xml:space="preserve">natuknica </w:t>
      </w:r>
      <w:r>
        <w:rPr>
          <w:i/>
          <w:iCs/>
          <w:color w:val="000000"/>
          <w:spacing w:val="0"/>
          <w:w w:val="100"/>
          <w:position w:val="0"/>
          <w:shd w:val="clear" w:color="auto" w:fill="auto"/>
        </w:rPr>
        <w:t xml:space="preserve">Predestination, </w:t>
      </w:r>
      <w:r>
        <w:rPr>
          <w:color w:val="000000"/>
          <w:spacing w:val="0"/>
          <w:w w:val="100"/>
          <w:position w:val="0"/>
          <w:shd w:val="clear" w:color="auto" w:fill="auto"/>
        </w:rPr>
        <w:t xml:space="preserve">u: </w:t>
      </w:r>
      <w:r>
        <w:rPr>
          <w:i/>
          <w:iCs/>
          <w:color w:val="000000"/>
          <w:spacing w:val="0"/>
          <w:w w:val="100"/>
          <w:position w:val="0"/>
          <w:shd w:val="clear" w:color="auto" w:fill="auto"/>
        </w:rPr>
        <w:t xml:space="preserve">Worterbuch Theologischer Grundbegriffe, </w:t>
      </w:r>
      <w:r>
        <w:rPr>
          <w:color w:val="000000"/>
          <w:spacing w:val="0"/>
          <w:w w:val="100"/>
          <w:position w:val="0"/>
          <w:shd w:val="clear" w:color="auto" w:fill="auto"/>
        </w:rPr>
        <w:t xml:space="preserve">II, Miinchcn 1963,334-339; H. Rondel, </w:t>
      </w:r>
      <w:r>
        <w:rPr>
          <w:color w:val="000000"/>
          <w:spacing w:val="0"/>
          <w:w w:val="100"/>
          <w:position w:val="0"/>
          <w:shd w:val="clear" w:color="auto" w:fill="auto"/>
          <w:lang w:val="hr-HR" w:eastAsia="hr-HR" w:bidi="hr-HR"/>
        </w:rPr>
        <w:t xml:space="preserve">natuknica </w:t>
      </w:r>
      <w:r>
        <w:rPr>
          <w:i/>
          <w:iCs/>
          <w:color w:val="000000"/>
          <w:spacing w:val="0"/>
          <w:w w:val="100"/>
          <w:position w:val="0"/>
          <w:shd w:val="clear" w:color="auto" w:fill="auto"/>
        </w:rPr>
        <w:t>Prddestb nation,</w:t>
      </w:r>
      <w:r>
        <w:rPr>
          <w:color w:val="000000"/>
          <w:spacing w:val="0"/>
          <w:w w:val="100"/>
          <w:position w:val="0"/>
          <w:shd w:val="clear" w:color="auto" w:fill="auto"/>
        </w:rPr>
        <w:t xml:space="preserve"> u: </w:t>
      </w:r>
      <w:r>
        <w:rPr>
          <w:i/>
          <w:iCs/>
          <w:color w:val="000000"/>
          <w:spacing w:val="0"/>
          <w:w w:val="100"/>
          <w:position w:val="0"/>
          <w:shd w:val="clear" w:color="auto" w:fill="auto"/>
        </w:rPr>
        <w:t>Herders Theologisches Taschentedkon,</w:t>
      </w:r>
      <w:r>
        <w:rPr>
          <w:color w:val="000000"/>
          <w:spacing w:val="0"/>
          <w:w w:val="100"/>
          <w:position w:val="0"/>
          <w:shd w:val="clear" w:color="auto" w:fill="auto"/>
        </w:rPr>
        <w:t xml:space="preserve"> Bd. 6, Frei</w:t>
        <w:softHyphen/>
        <w:t>burg 1973,66-70; K. Rahner, ibid.. 71-72. A. CHOURY</w:t>
      </w:r>
    </w:p>
    <w:p>
      <w:pPr>
        <w:pStyle w:val="Style63"/>
        <w:keepNext/>
        <w:keepLines/>
        <w:widowControl w:val="0"/>
        <w:numPr>
          <w:ilvl w:val="0"/>
          <w:numId w:val="447"/>
        </w:numPr>
        <w:shd w:val="clear" w:color="auto" w:fill="auto"/>
        <w:tabs>
          <w:tab w:pos="260" w:val="left"/>
        </w:tabs>
        <w:bidi w:val="0"/>
        <w:spacing w:before="0" w:after="100" w:line="226" w:lineRule="auto"/>
        <w:ind w:left="0" w:right="0" w:firstLine="0"/>
        <w:jc w:val="both"/>
      </w:pPr>
      <w:bookmarkStart w:id="282" w:name="bookmark282"/>
      <w:r>
        <w:rPr>
          <w:rFonts w:ascii="Times New Roman" w:eastAsia="Times New Roman" w:hAnsi="Times New Roman" w:cs="Times New Roman"/>
          <w:color w:val="000000"/>
          <w:spacing w:val="0"/>
          <w:w w:val="100"/>
          <w:position w:val="0"/>
          <w:shd w:val="clear" w:color="auto" w:fill="auto"/>
          <w:lang w:val="hr-HR" w:eastAsia="hr-HR" w:bidi="hr-HR"/>
        </w:rPr>
        <w:t>islamski</w:t>
      </w:r>
      <w:bookmarkEnd w:id="282"/>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Šesti članak islamske vjere glasi: »Vjerujem u Božji utjecaj na događaje u svijetu: naime u to da je njegovom odlukom utemeljeno sve - bi</w:t>
        <w:softHyphen/>
        <w:t>lo dobro ili zlo«. Ta formulacija ne potječe doduše iz Kurana, no ona nužno proizlazi iz njegove slike svijeta. Čini se da mnogi kuran- ski stihovi potvrđuju predodređenost; no ima i takvih koji smjeraju na slobodu čovječje volje. Muhamed je navodno preporučio svojim sljedbenicima da se ne bave previše pitanjem predestinacije zato što je ono zavelo mnoge prethodnike i zato što, sukladno tomu, može iritirati i mnoge suvremenike. No ipak je to pitanje toliko pocijepano da se pod pretpo</w:t>
        <w:softHyphen/>
        <w:t>stavkom čovjekove slobodne volje u pitanje dovodi Božja svemoć; a, nasuprot tomu, pod pretpostavkom čovjekove potpune ovisnosti o Božjoj vladavini najviša bi pravednost bila iz</w:t>
        <w:softHyphen/>
        <w:t>vođena ad absurdum. Jer kako bi se predo- dređenosti podčinjeni čovjek mogao pozvati na odgovornost za svoja djela?</w:t>
      </w:r>
    </w:p>
    <w:p>
      <w:pPr>
        <w:pStyle w:val="Style20"/>
        <w:keepNext w:val="0"/>
        <w:keepLines w:val="0"/>
        <w:widowControl w:val="0"/>
        <w:shd w:val="clear" w:color="auto" w:fill="auto"/>
        <w:bidi w:val="0"/>
        <w:spacing w:before="0" w:after="10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»Ljubav ne poznaje nikakvu logiku« - tako Muhamed Hamidulah pokušava razriješiti ovu dilemu; »a musliman koji ljubi svojega Stvo</w:t>
        <w:softHyphen/>
        <w:t xml:space="preserve">ritelja odbacuje misao da bi Bog mogao imati manjkava svojstva. Bog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ne samo moćan i mudar, nego i pravedan i u najvećoj mogućoj mjeri milostiv. Nebeske stvari - a to su za</w:t>
        <w:softHyphen/>
        <w:t>pravo Božja svojstva - islam razdvaja od vre</w:t>
        <w:softHyphen/>
        <w:t>menskih ljudskih pitanja i od svojih vjernika zahtijeva da se bore i trude. Budući da će Božja volja ostati za čovjeka tajna, on jc dužan da nipošto ne očajava prilikom svojega prvog promašaja, nego da djeluje i uvijek iz</w:t>
        <w:softHyphen/>
        <w:t>nova djeluje sve dok cilj ili ne bude postignut ili dok ne postane nedostižan. Tek u tom tre</w:t>
        <w:softHyphen/>
        <w:t>nutku - u trenutku do kojega je učinjeno sve što je potrebno za uspjeh - islam uključuje po</w:t>
        <w:softHyphen/>
        <w:t>jam predodredenosti koji je čudesno u stanju smiriti i utješiti čovjeka: Bila je to volja Božja! Za vječni su spas beznačajni uspjeh ili neus</w:t>
        <w:softHyphen/>
        <w:t>pjeh; jer Bog ravna po namjeri i naporima, a ne po ostvarenju i uspjesima«.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tumačenje nabacuje niz daljnjih pitanja. Prije svega, mora se sumnjati da se praktični učinak vjere u predodredenost razvija na onoj crti koju je ocrtao Hamidulah. Zatim treba objasniti, odgovara li pojmu potpune praved</w:t>
        <w:softHyphen/>
        <w:t>nosti ravnanjc prema pukoj namjeri i napo</w:t>
        <w:softHyphen/>
        <w:t>rima, kako to smatra autor, a ne prema poslje</w:t>
        <w:softHyphen/>
        <w:t>dici.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Uglavnom se održao nazor da čovjek - unatoč Božjoj svemoći - ima slobodnu volju, no ona se svakako kreće u razmjerno uskom okviru. Prema Abu Zehri (u. 1974), učenjaku sa Sve</w:t>
        <w:softHyphen/>
        <w:t xml:space="preserve">učilišta </w:t>
      </w:r>
      <w:r>
        <w:rPr>
          <w:rFonts w:ascii="Times New Roman" w:eastAsia="Times New Roman" w:hAnsi="Times New Roman" w:cs="Times New Roman"/>
          <w:i/>
          <w:iCs/>
          <w:color w:val="000000"/>
          <w:spacing w:val="0"/>
          <w:w w:val="100"/>
          <w:position w:val="0"/>
          <w:shd w:val="clear" w:color="auto" w:fill="auto"/>
          <w:lang w:val="hr-HR" w:eastAsia="hr-HR" w:bidi="hr-HR"/>
        </w:rPr>
        <w:t>al-Azhar,</w:t>
      </w:r>
      <w:r>
        <w:rPr>
          <w:rFonts w:ascii="Times New Roman" w:eastAsia="Times New Roman" w:hAnsi="Times New Roman" w:cs="Times New Roman"/>
          <w:color w:val="000000"/>
          <w:spacing w:val="0"/>
          <w:w w:val="100"/>
          <w:position w:val="0"/>
          <w:shd w:val="clear" w:color="auto" w:fill="auto"/>
          <w:lang w:val="hr-HR" w:eastAsia="hr-HR" w:bidi="hr-HR"/>
        </w:rPr>
        <w:t xml:space="preserve"> Bog daje čovjeku snagu za djelovanje. On time po svojoj vlastitoj volji vrši radnje koje nikada ne odstupaju od Božje volje. Sve što postoji, bilo dobro ili zlo, korist ili šteta, ovisi o Božjoj volji. Tako s obzirom na tu volju ne postoji nikakva razlika između opstanka i propasti, između života i smrti, jer Bog jc neovisan o stvorenju. Mnogo toga što Bog želi, npr. dobra djela, On ipak priželj</w:t>
        <w:softHyphen/>
        <w:t>kuje, a mnogo toga On, nasuprot tomu, opet nc želi, npr. nevjeru i rđavost, grijehe i po- kvarenost. Musliman mora tražiti način da se dopadne Bogu. Bog će zavesti red tek u ono</w:t>
        <w:softHyphen/>
        <w:t>me životu, red koji u potpunosti odgovara Njemu. U tom će redu biti spašene duše do</w:t>
        <w:softHyphen/>
        <w:t>brih ljudi.</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Svoj život vjernik oblikuje prema misli da je uklopljen u jednu veliku cjelinu. Bog je posvu</w:t>
        <w:softHyphen/>
        <w:t>da. Čovjek mu se uvijek može u potpunosti predati, a da pritom nc izgubi svoju osobnost i svoju slobodu. Voljna predanost, koja vlada u stvorenju, nije nikakav fatalizam. Ona je kon</w:t>
        <w:softHyphen/>
        <w:t xml:space="preserve">kretna potvrda vjeroispovijesti: »Nema boga osim Boga«. Kuran jc dao teističko tumačenje nekim predestinacijskim predodžbama pred- islamskih Arapa. Jedna je takva predodžba da su događaji zapisani u »Knjizi </w:t>
      </w:r>
      <w:r>
        <w:rPr>
          <w:rFonts w:ascii="Times New Roman" w:eastAsia="Times New Roman" w:hAnsi="Times New Roman" w:cs="Times New Roman"/>
          <w:color w:val="000000"/>
          <w:spacing w:val="0"/>
          <w:w w:val="100"/>
          <w:position w:val="0"/>
          <w:shd w:val="clear" w:color="auto" w:fill="auto"/>
          <w:lang w:val="en-US" w:eastAsia="en-US" w:bidi="en-US"/>
        </w:rPr>
        <w:t>predodrede</w:t>
        <w:softHyphen/>
        <w:t xml:space="preserve">nosti«: </w:t>
      </w:r>
      <w:r>
        <w:rPr>
          <w:rFonts w:ascii="Times New Roman" w:eastAsia="Times New Roman" w:hAnsi="Times New Roman" w:cs="Times New Roman"/>
          <w:color w:val="000000"/>
          <w:spacing w:val="0"/>
          <w:w w:val="100"/>
          <w:position w:val="0"/>
          <w:shd w:val="clear" w:color="auto" w:fill="auto"/>
          <w:lang w:val="hr-HR" w:eastAsia="hr-HR" w:bidi="hr-HR"/>
        </w:rPr>
        <w:t xml:space="preserve">»Ne nastupi nikakva nesreća na zemlji, niti u vama, a da se ona </w:t>
      </w:r>
      <w:r>
        <w:rPr>
          <w:rFonts w:ascii="Times New Roman" w:eastAsia="Times New Roman" w:hAnsi="Times New Roman" w:cs="Times New Roman"/>
          <w:i/>
          <w:iCs/>
          <w:color w:val="000000"/>
          <w:spacing w:val="0"/>
          <w:w w:val="100"/>
          <w:position w:val="0"/>
          <w:shd w:val="clear" w:color="auto" w:fill="auto"/>
          <w:lang w:val="hr-HR" w:eastAsia="hr-HR" w:bidi="hr-HR"/>
        </w:rPr>
        <w:t>(nije nalazila)</w:t>
      </w:r>
      <w:r>
        <w:rPr>
          <w:rFonts w:ascii="Times New Roman" w:eastAsia="Times New Roman" w:hAnsi="Times New Roman" w:cs="Times New Roman"/>
          <w:color w:val="000000"/>
          <w:spacing w:val="0"/>
          <w:w w:val="100"/>
          <w:position w:val="0"/>
          <w:shd w:val="clear" w:color="auto" w:fill="auto"/>
          <w:lang w:val="hr-HR" w:eastAsia="hr-HR" w:bidi="hr-HR"/>
        </w:rPr>
        <w:t xml:space="preserve"> u Knjizi (...) još prije nego smo je Mi stvorili« (57,22).</w:t>
      </w:r>
    </w:p>
    <w:p>
      <w:pPr>
        <w:pStyle w:val="Style56"/>
        <w:keepNext w:val="0"/>
        <w:keepLines w:val="0"/>
        <w:widowControl w:val="0"/>
        <w:shd w:val="clear" w:color="auto" w:fill="auto"/>
        <w:tabs>
          <w:tab w:pos="2563" w:val="left"/>
        </w:tabs>
        <w:bidi w:val="0"/>
        <w:spacing w:before="0" w:after="40" w:line="226"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W. </w:t>
      </w:r>
      <w:r>
        <w:rPr>
          <w:color w:val="000000"/>
          <w:spacing w:val="0"/>
          <w:w w:val="100"/>
          <w:position w:val="0"/>
          <w:shd w:val="clear" w:color="auto" w:fill="auto"/>
        </w:rPr>
        <w:t xml:space="preserve">Montgomery Watt/Alford </w:t>
      </w:r>
      <w:r>
        <w:rPr>
          <w:color w:val="000000"/>
          <w:spacing w:val="0"/>
          <w:w w:val="100"/>
          <w:position w:val="0"/>
          <w:shd w:val="clear" w:color="auto" w:fill="auto"/>
          <w:lang w:val="hr-HR" w:eastAsia="hr-HR" w:bidi="hr-HR"/>
        </w:rPr>
        <w:t xml:space="preserve">T. </w:t>
      </w:r>
      <w:r>
        <w:rPr>
          <w:color w:val="000000"/>
          <w:spacing w:val="0"/>
          <w:w w:val="100"/>
          <w:position w:val="0"/>
          <w:shd w:val="clear" w:color="auto" w:fill="auto"/>
        </w:rPr>
        <w:t xml:space="preserve">Welch, </w:t>
      </w:r>
      <w:r>
        <w:rPr>
          <w:i/>
          <w:iCs/>
          <w:color w:val="000000"/>
          <w:spacing w:val="0"/>
          <w:w w:val="100"/>
          <w:position w:val="0"/>
          <w:shd w:val="clear" w:color="auto" w:fill="auto"/>
          <w:lang w:val="hr-HR" w:eastAsia="hr-HR" w:bidi="hr-HR"/>
        </w:rPr>
        <w:t>Der Islam.</w:t>
      </w:r>
      <w:r>
        <w:rPr>
          <w:color w:val="000000"/>
          <w:spacing w:val="0"/>
          <w:w w:val="100"/>
          <w:position w:val="0"/>
          <w:shd w:val="clear" w:color="auto" w:fill="auto"/>
          <w:lang w:val="hr-HR" w:eastAsia="hr-HR" w:bidi="hr-HR"/>
        </w:rPr>
        <w:t xml:space="preserve"> I,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1980, 216-217.</w:t>
        <w:tab/>
        <w:t>S BAUĆ</w:t>
      </w:r>
    </w:p>
    <w:p>
      <w:pPr>
        <w:pStyle w:val="Style63"/>
        <w:keepNext/>
        <w:keepLines/>
        <w:widowControl w:val="0"/>
        <w:shd w:val="clear" w:color="auto" w:fill="auto"/>
        <w:bidi w:val="0"/>
        <w:spacing w:before="0" w:after="40" w:line="218" w:lineRule="auto"/>
        <w:ind w:left="0" w:right="0" w:firstLine="0"/>
        <w:jc w:val="both"/>
      </w:pPr>
      <w:bookmarkStart w:id="283" w:name="bookmark283"/>
      <w:r>
        <w:rPr>
          <w:rFonts w:ascii="Times New Roman" w:eastAsia="Times New Roman" w:hAnsi="Times New Roman" w:cs="Times New Roman"/>
          <w:color w:val="000000"/>
          <w:spacing w:val="0"/>
          <w:w w:val="100"/>
          <w:position w:val="0"/>
          <w:shd w:val="clear" w:color="auto" w:fill="auto"/>
          <w:lang w:val="hr-HR" w:eastAsia="hr-HR" w:bidi="hr-HR"/>
        </w:rPr>
        <w:t>PREDODREĐENOST -»</w:t>
      </w:r>
      <w:bookmarkEnd w:id="283"/>
    </w:p>
    <w:p>
      <w:pPr>
        <w:pStyle w:val="Style91"/>
        <w:keepNext/>
        <w:keepLines/>
        <w:widowControl w:val="0"/>
        <w:shd w:val="clear" w:color="auto" w:fill="auto"/>
        <w:bidi w:val="0"/>
        <w:spacing w:before="0" w:after="280" w:line="206" w:lineRule="auto"/>
        <w:ind w:left="0" w:right="0" w:firstLine="0"/>
        <w:jc w:val="both"/>
        <w:rPr>
          <w:sz w:val="18"/>
          <w:szCs w:val="18"/>
        </w:rPr>
      </w:pPr>
      <w:bookmarkStart w:id="284" w:name="bookmark284"/>
      <w:r>
        <w:rPr>
          <w:rFonts w:ascii="Times New Roman" w:eastAsia="Times New Roman" w:hAnsi="Times New Roman" w:cs="Times New Roman"/>
          <w:color w:val="000000"/>
          <w:spacing w:val="0"/>
          <w:w w:val="100"/>
          <w:position w:val="0"/>
          <w:sz w:val="18"/>
          <w:szCs w:val="18"/>
          <w:shd w:val="clear" w:color="auto" w:fill="auto"/>
          <w:lang w:val="hr-HR" w:eastAsia="hr-HR" w:bidi="hr-HR"/>
        </w:rPr>
        <w:t>PREDESTINACIJA</w:t>
      </w:r>
      <w:bookmarkEnd w:id="284"/>
    </w:p>
    <w:p>
      <w:pPr>
        <w:pStyle w:val="Style33"/>
        <w:keepNext w:val="0"/>
        <w:keepLines w:val="0"/>
        <w:widowControl w:val="0"/>
        <w:shd w:val="clear" w:color="auto" w:fill="auto"/>
        <w:bidi w:val="0"/>
        <w:spacing w:before="0" w:after="120" w:line="218"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PRIRODA (EKOLOGIJA)</w:t>
      </w:r>
    </w:p>
    <w:p>
      <w:pPr>
        <w:pStyle w:val="Style63"/>
        <w:keepNext/>
        <w:keepLines/>
        <w:widowControl w:val="0"/>
        <w:numPr>
          <w:ilvl w:val="0"/>
          <w:numId w:val="449"/>
        </w:numPr>
        <w:shd w:val="clear" w:color="auto" w:fill="auto"/>
        <w:tabs>
          <w:tab w:pos="241" w:val="left"/>
        </w:tabs>
        <w:bidi w:val="0"/>
        <w:spacing w:before="0" w:after="40" w:line="218" w:lineRule="auto"/>
        <w:ind w:left="0" w:right="0" w:firstLine="0"/>
        <w:jc w:val="both"/>
      </w:pPr>
      <w:bookmarkStart w:id="285" w:name="bookmark285"/>
      <w:r>
        <w:rPr>
          <w:rFonts w:ascii="Times New Roman" w:eastAsia="Times New Roman" w:hAnsi="Times New Roman" w:cs="Times New Roman"/>
          <w:color w:val="000000"/>
          <w:spacing w:val="0"/>
          <w:w w:val="100"/>
          <w:position w:val="0"/>
          <w:shd w:val="clear" w:color="auto" w:fill="auto"/>
          <w:lang w:val="hr-HR" w:eastAsia="hr-HR" w:bidi="hr-HR"/>
        </w:rPr>
        <w:t>židovski</w:t>
      </w:r>
      <w:bookmarkEnd w:id="285"/>
    </w:p>
    <w:p>
      <w:pPr>
        <w:pStyle w:val="Style20"/>
        <w:keepNext w:val="0"/>
        <w:keepLines w:val="0"/>
        <w:widowControl w:val="0"/>
        <w:numPr>
          <w:ilvl w:val="0"/>
          <w:numId w:val="451"/>
        </w:numPr>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»Koji stvori nebo i zemlju«:</w:t>
      </w:r>
      <w:r>
        <w:rPr>
          <w:rFonts w:ascii="Times New Roman" w:eastAsia="Times New Roman" w:hAnsi="Times New Roman" w:cs="Times New Roman"/>
          <w:color w:val="000000"/>
          <w:spacing w:val="0"/>
          <w:w w:val="100"/>
          <w:position w:val="0"/>
          <w:shd w:val="clear" w:color="auto" w:fill="auto"/>
          <w:lang w:val="hr-HR" w:eastAsia="hr-HR" w:bidi="hr-HR"/>
        </w:rPr>
        <w:t xml:space="preserve"> Biblijski Izrael nije poznavao pojam »prirode« u današnjem smislu. Budući da nije bio suprotstavljen biću, nego se, štoviše, našao u zbivanju, koje je is</w:t>
        <w:softHyphen/>
        <w:t>kusio kao tajanstveno, ali i čudesno djelovanje Božje, govorio je da se služi umjesto apstrakt</w:t>
        <w:softHyphen/>
        <w:t>nim pojmom, o odnosu svih ljudi, štoviše, »sve</w:t>
        <w:softHyphen/>
        <w:t>ga stvorenoga, s NJIM, koji je stvorio nebo i zemlju« (Ps 115,15; usp. 121,2; 124,8; 134,3), koji je »Bog pravremena, ON, stvoritelj kraje</w:t>
        <w:softHyphen/>
        <w:t>va zemaljskih« (Iz 40,28), »koji stvori i razas- trije nebesa, koji rasprostrije zemlju i njeno raslinje, koji dade dah narodima na njoj, i dah bićima što njome hode« (Iz 42,5). Stvaranje Božje, a ne puko zbivanje, pripremilo je te</w:t>
        <w:softHyphen/>
        <w:t>melj za sve živo. Izrael je to priznao u svojoj zahvalnici: »Da, dobar je ON« (Ps 100,5; 135,3; 136,1). U njemu je odjek osnovne re</w:t>
        <w:softHyphen/>
        <w:t xml:space="preserve">čenice izvješća o stvaranju u Post 1, koja se ondje ponavlja šest puta: »I vidje Bog da je dobro« (1,4.10.12.18.21.25). U Božjoj potvrdi prirodnog postanka jest stvaranje. Ni jedan predmet što ga čovjek može istražiti nije samo objekt; svako prisvajanje prirode, za koje je čovjek sposoban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28), ne skriva činjenicu da on ne pronalazi posljednju tajnu prirode: »Jedino je Bog put njen proniknuo, on jedini znade gdje se nalazi« (redak 23). Sve je djelo Božje. Život koji čovjek doživljava i koji pro</w:t>
        <w:softHyphen/>
        <w:t>matra, već postoji i od Boga je potvrđen: »Da, jer dobar je.« Jezični oblik: »Bog stvori (reče, vidje, rastavi, prozva, načini, dade, blagoslovi, dovrši, posveti)« provlači se od Post 1,1 do 2,4a; ni jedna druga osnovna veličina osim Božje obavlja sve stvaranje. »Da, dobro je, bi</w:t>
        <w:softHyphen/>
        <w:t>lo je dobro i bit će dobro!«-jer je to Stvoritelj učinio. »Da, ON je dobar!« - odgovara zajed</w:t>
        <w:softHyphen/>
        <w:t>nica kličući u psalmima na takvu objavu svega stvorenog. No stvoreno: »I bi (tako)«; i tu rečenicu koja se ponavlja u Post 1 (redci 3.7.9.11.15.24.30) prihvatila je zajednica, okup</w:t>
        <w:softHyphen/>
        <w:t>ljena na bogoslužju u pohvali: »Jer on reče - i sve postade, naredi - i sve se stvori« (Ps 33,9). Stvoreno, za Boga »načinjeno«, susreće ljude uvijek kao »postalo«. Ono što »postade« jest ono što »Bog stvori«: pojave »prirode«, »svi</w:t>
        <w:softHyphen/>
      </w:r>
      <w:r>
        <w:rPr>
          <w:rFonts w:ascii="Times New Roman" w:eastAsia="Times New Roman" w:hAnsi="Times New Roman" w:cs="Times New Roman"/>
          <w:color w:val="000000"/>
          <w:spacing w:val="0"/>
          <w:w w:val="100"/>
          <w:position w:val="0"/>
          <w:shd w:val="clear" w:color="auto" w:fill="auto"/>
          <w:lang w:val="hr-HR" w:eastAsia="hr-HR" w:bidi="hr-HR"/>
        </w:rPr>
        <w:t>jeta«, sve stvoreno (Post 1,1). No ona pripada Bogu, njegovo je vlasništvo zato što ju je stvo</w:t>
        <w:softHyphen/>
        <w:t>rio: »Tvoj je dan i noć je tvoja, i učvrsti mjesec i sunce, ti sazda sve granice zemlji, ti stvori ljeto i zimu« (Ps 74,16 i d.); »Tvoja su nebesa i tvoja je zemlja, zemljin krug ti si sazdao i sve što je na njemu; sjever i jug ti si stvorio...« (89,12). Stalno ponavljanje priče o stvaranju objasnilo je u Izraelu uvjerenje: Stvoritelj ne prepušta svoje vlasništvo sili koja se protivi stvaranju (Ps 74,13-15; 89,10 i d. 14). Izrael se oslanja na svoje uvjerenje da Stvoritelj ide k svome cilju, koji povezuje sa svojim dobrim stvaralačkim djelom, dosljedno uništavajući svaku kaotičnu silu. Bez Stvoriteljeva pona</w:t>
        <w:softHyphen/>
        <w:t xml:space="preserve">šanja punog ljubavi (usp. ključnu riječ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hesed, </w:t>
      </w:r>
      <w:r>
        <w:rPr>
          <w:rFonts w:ascii="Times New Roman" w:eastAsia="Times New Roman" w:hAnsi="Times New Roman" w:cs="Times New Roman"/>
          <w:color w:val="000000"/>
          <w:spacing w:val="0"/>
          <w:w w:val="100"/>
          <w:position w:val="0"/>
          <w:shd w:val="clear" w:color="auto" w:fill="auto"/>
          <w:lang w:val="hr-HR" w:eastAsia="hr-HR" w:bidi="hr-HR"/>
        </w:rPr>
        <w:t xml:space="preserve">»ljubav, vjernost, naklonost« u Ps 89,2 i d., 15.25.29.34.50.) prema svemu stvorenomu, ona bi bila izgubljena; ona je to što jest u svojoj ovisnosti o Bogu. Izrael pokazuje »prirodu« samo kao Stvoriteljevo djelo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4,13; 5,8 i d.; 9,5 i d.; Iz 40,26;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38-41). I helenističko židovstvo spoznalo je u punini »prirode« po</w:t>
        <w:softHyphen/>
        <w:t>kazatelje Božje stvoriteljske svemoći (Sir 16,26-17,9; 39,12-35; 42,15-43,33; IV Ezr 4,1-11; 5,36-40; 6,38-54; I Hen 83 i d.; Jdt 8,14; 9,12; 3 Mak 2,3.9; 4 Mak 11,5; 2 Bar 21,4 i d.).</w:t>
      </w:r>
    </w:p>
    <w:p>
      <w:pPr>
        <w:pStyle w:val="Style20"/>
        <w:keepNext w:val="0"/>
        <w:keepLines w:val="0"/>
        <w:widowControl w:val="0"/>
        <w:numPr>
          <w:ilvl w:val="0"/>
          <w:numId w:val="451"/>
        </w:numPr>
        <w:shd w:val="clear" w:color="auto" w:fill="auto"/>
        <w:tabs>
          <w:tab w:pos="270" w:val="left"/>
        </w:tabs>
        <w:bidi w:val="0"/>
        <w:spacing w:before="0" w:after="0"/>
        <w:ind w:left="0" w:right="0" w:firstLine="0"/>
        <w:jc w:val="both"/>
        <w:sectPr>
          <w:headerReference w:type="default" r:id="rId1179"/>
          <w:footerReference w:type="default" r:id="rId1180"/>
          <w:headerReference w:type="even" r:id="rId1181"/>
          <w:footerReference w:type="even" r:id="rId1182"/>
          <w:headerReference w:type="first" r:id="rId1183"/>
          <w:footerReference w:type="first" r:id="rId1184"/>
          <w:footnotePr>
            <w:pos w:val="pageBottom"/>
            <w:numFmt w:val="decimal"/>
            <w:numRestart w:val="continuous"/>
            <w15:footnoteColumns w:val="1"/>
          </w:footnotePr>
          <w:pgSz w:w="6816" w:h="11006"/>
          <w:pgMar w:top="828" w:left="185" w:right="190" w:bottom="339" w:header="0" w:footer="3" w:gutter="0"/>
          <w:pgNumType w:start="384"/>
          <w:cols w:num="2" w:space="17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»Hvaljen bio onaj koji stvori.«</w:t>
      </w:r>
      <w:r>
        <w:rPr>
          <w:rFonts w:ascii="Times New Roman" w:eastAsia="Times New Roman" w:hAnsi="Times New Roman" w:cs="Times New Roman"/>
          <w:color w:val="000000"/>
          <w:spacing w:val="0"/>
          <w:w w:val="100"/>
          <w:position w:val="0"/>
          <w:shd w:val="clear" w:color="auto" w:fill="auto"/>
          <w:lang w:val="hr-HR" w:eastAsia="hr-HR" w:bidi="hr-HR"/>
        </w:rPr>
        <w:t xml:space="preserve"> Za rabine promatranje »prirode« oblikovalo se u opo</w:t>
        <w:softHyphen/>
        <w:t xml:space="preserve">menu da se u njoj pazi na čudesne putove Stvoritelja i preko njih dospije do hvale Božje. Rabi </w:t>
      </w:r>
      <w:r>
        <w:rPr>
          <w:rFonts w:ascii="Times New Roman" w:eastAsia="Times New Roman" w:hAnsi="Times New Roman" w:cs="Times New Roman"/>
          <w:color w:val="000000"/>
          <w:spacing w:val="0"/>
          <w:w w:val="100"/>
          <w:position w:val="0"/>
          <w:shd w:val="clear" w:color="auto" w:fill="auto"/>
          <w:lang w:val="en-US" w:eastAsia="en-US" w:bidi="en-US"/>
        </w:rPr>
        <w:t xml:space="preserve">Akiva </w:t>
      </w:r>
      <w:r>
        <w:rPr>
          <w:rFonts w:ascii="Times New Roman" w:eastAsia="Times New Roman" w:hAnsi="Times New Roman" w:cs="Times New Roman"/>
          <w:color w:val="000000"/>
          <w:spacing w:val="0"/>
          <w:w w:val="100"/>
          <w:position w:val="0"/>
          <w:shd w:val="clear" w:color="auto" w:fill="auto"/>
          <w:lang w:val="hr-HR" w:eastAsia="hr-HR" w:bidi="hr-HR"/>
        </w:rPr>
        <w:t>(II. stoljeće) rekao je: »Imaš stvo</w:t>
        <w:softHyphen/>
        <w:t>renja koja uspijevaju u moru i imaš stvorenja koja uspijevaju na kopnu; kad bi se ona mor</w:t>
        <w:softHyphen/>
        <w:t>ska popela na kopno, odmah bi uginula, a kad bi se ona kopnena spustila u more, odmah bi uginula. Imaš stvorenja koja uspijevaju u vatri i imaš stvorenja koja uspijevaju u zraku; kad bi ona vatrena dospjela u zrak, odmah bi ugi</w:t>
        <w:softHyphen/>
        <w:t>nula, a kad bi ona iz zraka došla u vatru, od</w:t>
        <w:softHyphen/>
        <w:t>mah bi uginula. Kako su brojna tvoja djela, TI!« (Ps 104,24) (b Hulin 127a). Mudraci su odbacili posve estetsko promatranje »prirode«, koje nc vodi dubljem razumijevanju Božje vo</w:t>
        <w:softHyphen/>
        <w:t>lje: »Tko hodi putem i uči i prekida učenje i kaže: ‘Kako je lijepo ovo drvo! - Kako je lije</w:t>
        <w:softHyphen/>
        <w:t>pa ova njiva!’, Pismo će ga (tj. Bog) optužiti kao da je proigrao svoj život« (M Avot 111,8). Oni su skrenuli razmišljanja o prirodi na dje</w:t>
        <w:softHyphen/>
        <w:t xml:space="preserve">lovanje zajedničkoga stvoritelja prirode i ljudi i time na stvoriteljsku vezu s prirodom, a ta je veza čovjeku potrebna za život: »Iznad svih </w:t>
      </w:r>
    </w:p>
    <w:p>
      <w:pPr>
        <w:pStyle w:val="Style20"/>
        <w:keepNext w:val="0"/>
        <w:keepLines w:val="0"/>
        <w:widowControl w:val="0"/>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stvori (Bog) nebeski svod; iznad svoda nebes</w:t>
        <w:softHyphen/>
        <w:t>koga stvori zviježđa koja svijet obasjaše; povrh svega stvori drveće, jer drveće rodi plodove, a zviježđa ne rađaju plodove...; povrh zlih du</w:t>
        <w:softHyphen/>
        <w:t xml:space="preserve">hova stvori stoku, jer stoka radi i jede, a zli duhovi ne rade i ne jedu; povrh stoke stvori čovjeka, jer čovjek ima um </w:t>
      </w:r>
      <w:r>
        <w:rPr>
          <w:rFonts w:ascii="Times New Roman" w:eastAsia="Times New Roman" w:hAnsi="Times New Roman" w:cs="Times New Roman"/>
          <w:i/>
          <w:iCs/>
          <w:color w:val="000000"/>
          <w:spacing w:val="0"/>
          <w:w w:val="100"/>
          <w:position w:val="0"/>
          <w:shd w:val="clear" w:color="auto" w:fill="auto"/>
          <w:lang w:val="hr-HR" w:eastAsia="hr-HR" w:bidi="hr-HR"/>
        </w:rPr>
        <w:t>(de‘a),</w:t>
      </w:r>
      <w:r>
        <w:rPr>
          <w:rFonts w:ascii="Times New Roman" w:eastAsia="Times New Roman" w:hAnsi="Times New Roman" w:cs="Times New Roman"/>
          <w:color w:val="000000"/>
          <w:spacing w:val="0"/>
          <w:w w:val="100"/>
          <w:position w:val="0"/>
          <w:shd w:val="clear" w:color="auto" w:fill="auto"/>
          <w:lang w:val="hr-HR" w:eastAsia="hr-HR" w:bidi="hr-HR"/>
        </w:rPr>
        <w:t xml:space="preserve"> a stoka ne</w:t>
        <w:softHyphen/>
        <w:t>ma uma« (Avot Rabi Natana 37). Odlika čo</w:t>
        <w:softHyphen/>
        <w:t xml:space="preserve">vjeka koji je obdaren »umom« pa je ispred svakoga »bezumnog« stvorenja (usp.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31; Bcrešit raba VIII, 1,26) jest njegov odgovorni postupak prema svemu stvorenom prema volji Stvoritelja objavljenoj u Tori (b Sabat 88a). Učitelji židovstva uporno su upozoravali na neposredne posljedice čovjekova krivog po</w:t>
        <w:softHyphen/>
        <w:t xml:space="preserve">našanja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108a; Berešit raba XXVIII,6,7, V,l,ll; Pirke Rabi Eleazara 14). Oni naglašavaju da je Bog stvorenju naredio da javlja o djelovanju čovjeka: »Bog je objavio nebu i zemlji kako bi trebali biti svjedocima ako čovjek griješi« (Jalkut Šimoni 1 § 27). Čovjeku koji se hibridno uzdigao iznad »pri</w:t>
        <w:softHyphen/>
        <w:t>rode« pokazali su gdje mu je mjesto: »Koma</w:t>
        <w:softHyphen/>
        <w:t xml:space="preserve">rac ti prethodi u stvaranju (i stoga je veći od tebe; čemu onda ta oholost?)«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38a; Berešit raba VIII. 1,26).</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Čitavo židovstvo ostaje vjerno hvalidbenom priznanju prve rečenice u Tori: »U početku stvori Bog nebo i zemlju.« Na toj osnovi rabini poučavaju o pravom susretu s prirodom: »O gorama, brežuljcima, morima, rijekama i pu</w:t>
        <w:softHyphen/>
        <w:t>stinjama kaže se: Hvaljen bio on koji (‘u po</w:t>
        <w:softHyphen/>
        <w:t xml:space="preserve">četku’) sve stvori. Rabi Jehuda kaže: Tko vidi veliko more, neka govori: Hvaljen bio on koji stvori veliko more« (M Berahot IX,2); »Rabi Jehuda je rekao: Tko u dane </w:t>
      </w:r>
      <w:r>
        <w:rPr>
          <w:rFonts w:ascii="Times New Roman" w:eastAsia="Times New Roman" w:hAnsi="Times New Roman" w:cs="Times New Roman"/>
          <w:i/>
          <w:iCs/>
          <w:color w:val="000000"/>
          <w:spacing w:val="0"/>
          <w:w w:val="100"/>
          <w:position w:val="0"/>
          <w:shd w:val="clear" w:color="auto" w:fill="auto"/>
          <w:lang w:val="hr-HR" w:eastAsia="hr-HR" w:bidi="hr-HR"/>
        </w:rPr>
        <w:t>nišana</w:t>
      </w:r>
      <w:r>
        <w:rPr>
          <w:rFonts w:ascii="Times New Roman" w:eastAsia="Times New Roman" w:hAnsi="Times New Roman" w:cs="Times New Roman"/>
          <w:color w:val="000000"/>
          <w:spacing w:val="0"/>
          <w:w w:val="100"/>
          <w:position w:val="0"/>
          <w:shd w:val="clear" w:color="auto" w:fill="auto"/>
          <w:lang w:val="hr-HR" w:eastAsia="hr-HR" w:bidi="hr-HR"/>
        </w:rPr>
        <w:t xml:space="preserve"> (ožujak, travanj) iziđe i vidi kako cvjeta drveće, neka govori: Hvaljen bio on koji ne dopušta da išta uzmanjka u njegovu svijetu i koji je u njemu stvorio lijepa stvorenja i lijepo drveće, pa ljudi u njima tnogu uživati« (b Berahot 43b). S po</w:t>
        <w:softHyphen/>
        <w:t xml:space="preserve">hvalom stvoritelja prirode priznaje molitelj Jednog Jedinog u Blagoslovima, koji svakoga dana ujutro i navečer okružuju izgovaranje molitve </w:t>
      </w:r>
      <w:r>
        <w:rPr>
          <w:rFonts w:ascii="Times New Roman" w:eastAsia="Times New Roman" w:hAnsi="Times New Roman" w:cs="Times New Roman"/>
          <w:i/>
          <w:iCs/>
          <w:color w:val="000000"/>
          <w:spacing w:val="0"/>
          <w:w w:val="100"/>
          <w:position w:val="0"/>
          <w:shd w:val="clear" w:color="auto" w:fill="auto"/>
          <w:lang w:val="hr-HR" w:eastAsia="hr-HR" w:bidi="hr-HR"/>
        </w:rPr>
        <w:t>Šema Jisrael</w:t>
      </w:r>
      <w:r>
        <w:rPr>
          <w:rFonts w:ascii="Times New Roman" w:eastAsia="Times New Roman" w:hAnsi="Times New Roman" w:cs="Times New Roman"/>
          <w:color w:val="000000"/>
          <w:spacing w:val="0"/>
          <w:w w:val="100"/>
          <w:position w:val="0"/>
          <w:shd w:val="clear" w:color="auto" w:fill="auto"/>
          <w:lang w:val="hr-HR" w:eastAsia="hr-HR" w:bidi="hr-HR"/>
        </w:rPr>
        <w:t xml:space="preserve"> (Pnz 6,4), od ranih vre</w:t>
        <w:softHyphen/>
        <w:t xml:space="preserve">mena (M Berahot 1.4) do sadašnjosti: Tekst uvodne </w:t>
      </w:r>
      <w:r>
        <w:rPr>
          <w:rFonts w:ascii="Times New Roman" w:eastAsia="Times New Roman" w:hAnsi="Times New Roman" w:cs="Times New Roman"/>
          <w:i/>
          <w:iCs/>
          <w:color w:val="000000"/>
          <w:spacing w:val="0"/>
          <w:w w:val="100"/>
          <w:position w:val="0"/>
          <w:shd w:val="clear" w:color="auto" w:fill="auto"/>
          <w:lang w:val="hr-HR" w:eastAsia="hr-HR" w:bidi="hr-HR"/>
        </w:rPr>
        <w:t>berahe</w:t>
      </w:r>
      <w:r>
        <w:rPr>
          <w:rFonts w:ascii="Times New Roman" w:eastAsia="Times New Roman" w:hAnsi="Times New Roman" w:cs="Times New Roman"/>
          <w:color w:val="000000"/>
          <w:spacing w:val="0"/>
          <w:w w:val="100"/>
          <w:position w:val="0"/>
          <w:shd w:val="clear" w:color="auto" w:fill="auto"/>
          <w:lang w:val="hr-HR" w:eastAsia="hr-HR" w:bidi="hr-HR"/>
        </w:rPr>
        <w:t xml:space="preserve"> ujutro oslanja se na Iz 45,7 (»koji tvori svjetlost i stvara tamu«, usp. b Be</w:t>
        <w:softHyphen/>
        <w:t xml:space="preserve">rahot 11b; 19a) i slavi dobročinitelja svemira: »koji u milosrđu daješ svjetlo na zemlji«. Prva večernja </w:t>
      </w:r>
      <w:r>
        <w:rPr>
          <w:rFonts w:ascii="Times New Roman" w:eastAsia="Times New Roman" w:hAnsi="Times New Roman" w:cs="Times New Roman"/>
          <w:i/>
          <w:iCs/>
          <w:color w:val="000000"/>
          <w:spacing w:val="0"/>
          <w:w w:val="100"/>
          <w:position w:val="0"/>
          <w:shd w:val="clear" w:color="auto" w:fill="auto"/>
          <w:lang w:val="hr-HR" w:eastAsia="hr-HR" w:bidi="hr-HR"/>
        </w:rPr>
        <w:t>beraha</w:t>
      </w:r>
      <w:r>
        <w:rPr>
          <w:rFonts w:ascii="Times New Roman" w:eastAsia="Times New Roman" w:hAnsi="Times New Roman" w:cs="Times New Roman"/>
          <w:color w:val="000000"/>
          <w:spacing w:val="0"/>
          <w:w w:val="100"/>
          <w:position w:val="0"/>
          <w:shd w:val="clear" w:color="auto" w:fill="auto"/>
          <w:lang w:val="hr-HR" w:eastAsia="hr-HR" w:bidi="hr-HR"/>
        </w:rPr>
        <w:t xml:space="preserve"> svjedoči: »On je stvoritelj da</w:t>
        <w:softHyphen/>
      </w:r>
      <w:r>
        <w:rPr>
          <w:rFonts w:ascii="Times New Roman" w:eastAsia="Times New Roman" w:hAnsi="Times New Roman" w:cs="Times New Roman"/>
          <w:color w:val="000000"/>
          <w:spacing w:val="0"/>
          <w:w w:val="100"/>
          <w:position w:val="0"/>
          <w:shd w:val="clear" w:color="auto" w:fill="auto"/>
          <w:lang w:val="hr-HR" w:eastAsia="hr-HR" w:bidi="hr-HR"/>
        </w:rPr>
        <w:t>na i noći i daje da svjetlost uzmakne pred ta</w:t>
        <w:softHyphen/>
        <w:t>mom i tama pred svjetlošću.«</w:t>
      </w:r>
    </w:p>
    <w:p>
      <w:pPr>
        <w:pStyle w:val="Style20"/>
        <w:keepNext w:val="0"/>
        <w:keepLines w:val="0"/>
        <w:widowControl w:val="0"/>
        <w:numPr>
          <w:ilvl w:val="0"/>
          <w:numId w:val="451"/>
        </w:numPr>
        <w:shd w:val="clear" w:color="auto" w:fill="auto"/>
        <w:tabs>
          <w:tab w:pos="265"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hr-HR" w:eastAsia="hr-HR" w:bidi="hr-HR"/>
        </w:rPr>
        <w:t>pravilo ponašanja za sve naraštaje.«</w:t>
      </w:r>
      <w:r>
        <w:rPr>
          <w:rFonts w:ascii="Times New Roman" w:eastAsia="Times New Roman" w:hAnsi="Times New Roman" w:cs="Times New Roman"/>
          <w:color w:val="000000"/>
          <w:spacing w:val="0"/>
          <w:w w:val="100"/>
          <w:position w:val="0"/>
          <w:shd w:val="clear" w:color="auto" w:fill="auto"/>
          <w:lang w:val="hr-HR" w:eastAsia="hr-HR" w:bidi="hr-HR"/>
        </w:rPr>
        <w:t xml:space="preserve"> Čo</w:t>
        <w:softHyphen/>
        <w:t>vjek može Stvoritelja štovati samo ako poštuje i njegovo djelo, i to je čvrsto usađeno u ži</w:t>
        <w:softHyphen/>
        <w:t>dovskoj tradiciji i u biblijsko-taimudskoj etici konkretno oblikovano u propisima za zaštitu prirode. Obrazloženje se nalazi u uzoru sa</w:t>
        <w:softHyphen/>
        <w:t>moga Boga. Kad je Bog naredio da se podigne »Šator sastanka« (Izl 27,21), zapovjedio je Mojsiju: »Trenice što će nauzgor stajati za Pre</w:t>
        <w:softHyphen/>
        <w:t>bivalište napravi od bagremova drva« (26,15), Midraš razlaže: »Zašto bagremovo drvo? Sve</w:t>
        <w:softHyphen/>
        <w:t>ti, hvaljen bio, htio je time dati pravila pona</w:t>
        <w:softHyphen/>
        <w:t>šanja za sve naraštaje. Ako čovjek želi graditi kuću od voćke, njemu se kaže: Ako je već kralj nad kraljevima, kojemu ipak sve pripada, kad je zapovjedio da se načini stan, naredio: Trebaš donijeli samo drvo koje ne donosi plo</w:t>
        <w:softHyphen/>
        <w:t>da, pa vi to još manje smijete! (Šcmot raba XXXV,26,15). Zabranu »Nemoj uništavati njegovih stabala (osvojenoga grada)« (Pnz 20,19) mudraci su uzdignuli na osnovnu od</w:t>
        <w:softHyphen/>
        <w:t xml:space="preserve">redbu </w:t>
      </w:r>
      <w:r>
        <w:rPr>
          <w:rFonts w:ascii="Times New Roman" w:eastAsia="Times New Roman" w:hAnsi="Times New Roman" w:cs="Times New Roman"/>
          <w:i/>
          <w:iCs/>
          <w:color w:val="000000"/>
          <w:spacing w:val="0"/>
          <w:w w:val="100"/>
          <w:position w:val="0"/>
          <w:shd w:val="clear" w:color="auto" w:fill="auto"/>
          <w:lang w:val="hr-HR" w:eastAsia="hr-HR" w:bidi="hr-HR"/>
        </w:rPr>
        <w:t>(bal tašhit</w:t>
      </w:r>
      <w:r>
        <w:rPr>
          <w:rFonts w:ascii="Times New Roman" w:eastAsia="Times New Roman" w:hAnsi="Times New Roman" w:cs="Times New Roman"/>
          <w:color w:val="000000"/>
          <w:spacing w:val="0"/>
          <w:w w:val="100"/>
          <w:position w:val="0"/>
          <w:shd w:val="clear" w:color="auto" w:fill="auto"/>
          <w:lang w:val="hr-HR" w:eastAsia="hr-HR" w:bidi="hr-HR"/>
        </w:rPr>
        <w:t xml:space="preserve"> »nemoj uništavati«) koja za</w:t>
        <w:softHyphen/>
        <w:t>branjuje svako obijesno ili lakomisleno uništa</w:t>
        <w:softHyphen/>
        <w:t>vanje prirode i njezinih darova (M Bava kama Vili,6, usp. VII.7; Arahin IX,8; b Jabmut 1 lb; Sabat 129a; Majmonid, Misne Tora, Hilhol melahim VI,8-10).</w:t>
      </w:r>
    </w:p>
    <w:p>
      <w:pPr>
        <w:pStyle w:val="Style56"/>
        <w:keepNext w:val="0"/>
        <w:keepLines w:val="0"/>
        <w:widowControl w:val="0"/>
        <w:shd w:val="clear" w:color="auto" w:fill="auto"/>
        <w:tabs>
          <w:tab w:pos="2429" w:val="left"/>
        </w:tabs>
        <w:bidi w:val="0"/>
        <w:spacing w:before="0" w:after="12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 xml:space="preserve">Encyclopaedia Judaica </w:t>
      </w:r>
      <w:r>
        <w:rPr>
          <w:i/>
          <w:iCs/>
          <w:color w:val="000000"/>
          <w:spacing w:val="0"/>
          <w:w w:val="100"/>
          <w:position w:val="0"/>
          <w:shd w:val="clear" w:color="auto" w:fill="auto"/>
          <w:lang w:val="hr-HR" w:eastAsia="hr-HR" w:bidi="hr-HR"/>
        </w:rPr>
        <w:t>12,</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888-91; F.. E. </w:t>
      </w:r>
      <w:r>
        <w:rPr>
          <w:color w:val="000000"/>
          <w:spacing w:val="0"/>
          <w:w w:val="100"/>
          <w:position w:val="0"/>
          <w:shd w:val="clear" w:color="auto" w:fill="auto"/>
        </w:rPr>
        <w:t>Ur</w:t>
        <w:softHyphen/>
        <w:t xml:space="preserve">bach, </w:t>
      </w:r>
      <w:r>
        <w:rPr>
          <w:i/>
          <w:iCs/>
          <w:color w:val="000000"/>
          <w:spacing w:val="0"/>
          <w:w w:val="100"/>
          <w:position w:val="0"/>
          <w:shd w:val="clear" w:color="auto" w:fill="auto"/>
        </w:rPr>
        <w:t>The Sages. Their Concepts and Beliefs,</w:t>
      </w:r>
      <w:r>
        <w:rPr>
          <w:color w:val="000000"/>
          <w:spacing w:val="0"/>
          <w:w w:val="100"/>
          <w:position w:val="0"/>
          <w:shd w:val="clear" w:color="auto" w:fill="auto"/>
        </w:rPr>
        <w:t xml:space="preserve"> 1975, Index: P. Navi Ixvinson, </w:t>
      </w:r>
      <w:r>
        <w:rPr>
          <w:i/>
          <w:iCs/>
          <w:color w:val="000000"/>
          <w:spacing w:val="0"/>
          <w:w w:val="100"/>
          <w:position w:val="0"/>
          <w:shd w:val="clear" w:color="auto" w:fill="auto"/>
        </w:rPr>
        <w:t xml:space="preserve">Einfuhrung in die rabbinisehe Theologie, </w:t>
      </w:r>
      <w:r>
        <w:rPr>
          <w:color w:val="000000"/>
          <w:spacing w:val="0"/>
          <w:w w:val="100"/>
          <w:position w:val="0"/>
          <w:shd w:val="clear" w:color="auto" w:fill="auto"/>
        </w:rPr>
        <w:t xml:space="preserve">1982. 88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w:t>
        <w:tab/>
        <w:t xml:space="preserve">p </w:t>
      </w:r>
      <w:r>
        <w:rPr>
          <w:color w:val="000000"/>
          <w:spacing w:val="0"/>
          <w:w w:val="100"/>
          <w:position w:val="0"/>
          <w:shd w:val="clear" w:color="auto" w:fill="auto"/>
          <w:lang w:val="hr-HR" w:eastAsia="hr-HR" w:bidi="hr-HR"/>
        </w:rPr>
        <w:t>VETIl-R</w:t>
      </w:r>
    </w:p>
    <w:p>
      <w:pPr>
        <w:pStyle w:val="Style63"/>
        <w:keepNext/>
        <w:keepLines/>
        <w:widowControl w:val="0"/>
        <w:numPr>
          <w:ilvl w:val="0"/>
          <w:numId w:val="449"/>
        </w:numPr>
        <w:shd w:val="clear" w:color="auto" w:fill="auto"/>
        <w:tabs>
          <w:tab w:pos="255" w:val="left"/>
        </w:tabs>
        <w:bidi w:val="0"/>
        <w:spacing w:before="0" w:after="80"/>
        <w:ind w:left="0" w:right="0" w:firstLine="0"/>
        <w:jc w:val="both"/>
      </w:pPr>
      <w:bookmarkStart w:id="286" w:name="bookmark28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8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Pod </w:t>
      </w:r>
      <w:r>
        <w:rPr>
          <w:rFonts w:ascii="Times New Roman" w:eastAsia="Times New Roman" w:hAnsi="Times New Roman" w:cs="Times New Roman"/>
          <w:color w:val="000000"/>
          <w:spacing w:val="0"/>
          <w:w w:val="100"/>
          <w:position w:val="0"/>
          <w:shd w:val="clear" w:color="auto" w:fill="auto"/>
          <w:lang w:val="hr-HR" w:eastAsia="hr-HR" w:bidi="hr-HR"/>
        </w:rPr>
        <w:t>prirodom se ovdje razumijeva ukupni okoliš koji čovjek nije stvorio, točnije: životi</w:t>
        <w:softHyphen/>
        <w:t>nje, biljke, ali i biotopi, planine, krajolici. Samo se po sebi razumije daje čovjek, koji jedini na ovome svijetu moralno djeluje, odgovoran za postupke s prirodom koja ga okružuje (usp. Post 1,29). Pitanje je samo dokle seže njegova odgovornost, tj. što mora činili a što propustiti u odnosu na prirodu. Mogu se zamisliti dva osnovna stava. Najčešće je u prošlosti i sa</w:t>
        <w:softHyphen/>
        <w:t>dašnjosti zastupan antropocentričan stav pre</w:t>
        <w:softHyphen/>
        <w:t>ma kojem mi ljudi imamo dužnosti samo pre</w:t>
        <w:softHyphen/>
        <w:t xml:space="preserve">ma Bogu, sebi samima i svojim bližnjima, ali ne i prema živoj i neživoj prirodi; u odnosu na nju imali bismo dužnosti samo ako mi sami i ostali ljudi imamo u njoj neki interes. Zbog ekološke stabilnosti, iz znanstvenih i estetskih </w:t>
      </w:r>
      <w:r>
        <w:rPr>
          <w:rFonts w:ascii="Times New Roman" w:eastAsia="Times New Roman" w:hAnsi="Times New Roman" w:cs="Times New Roman"/>
          <w:color w:val="000000"/>
          <w:spacing w:val="0"/>
          <w:w w:val="100"/>
          <w:position w:val="0"/>
          <w:shd w:val="clear" w:color="auto" w:fill="auto"/>
          <w:lang w:val="hr-HR" w:eastAsia="hr-HR" w:bidi="hr-HR"/>
        </w:rPr>
        <w:t>razloga mnogi se ljudi zanimaju za održanje raznolikosti vrsta, a osim toga mogu gospo</w:t>
        <w:softHyphen/>
        <w:t>darska stajališta i razmišljanja zagovarati u prilog veće kvalitete života, održavanje slo</w:t>
        <w:softHyphen/>
        <w:t>bodnih prostora za odmor i otvaranje različi</w:t>
        <w:softHyphen/>
        <w:t>tih medicinskih i farmaceutskih mogućnosti iskorištavanja. Dakle, zaštita okoliša nc zah</w:t>
        <w:softHyphen/>
        <w:t>tijeva se zbog samog okoliša, biljaka, životinja i nežive prirode, nego zbog čovjeka. Vrijed</w:t>
        <w:softHyphen/>
        <w:t>nost prirode koja je izvan čovjeka javlja se samo kao sredstvo ili korist za čovjeka. Danas se zbog zaštite okoliša često pledira za životi</w:t>
        <w:softHyphen/>
        <w:t>nje i biljke te njihovu raznolikost zbog njih samih. Ne bismo ih trebali iskorjenjivati ne samo zato jer su nam od koristi ili nam to mogu biti nego i zato jer je po sebi dobro da ih ima. Barem se živa p. promatra kao vrijednost po sebi, kao nešto u sebi dobro - nezavisno od toga koristi li bilo kojim ljudima. Nasuprot prvom stavu, drugi je obuhvatniji ukoliko u sebi uključuje i prvi.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obadvama shvaćanjima imamo nepo</w:t>
        <w:softHyphen/>
        <w:t>sredno dužnosti prema sebi samima i prema svojim bližnjima. Iz loga neposredno proiz</w:t>
        <w:softHyphen/>
        <w:t>laze daljnje dužnosti koje se odnose na naš okoliš. One rezultiraju iz činjenice da naše vlastito dobro i dobro naših bližnjih funda</w:t>
        <w:softHyphen/>
        <w:t>mentalno ovisi o okolišu u kojem živimo. Pa ipak, mi imamo, promatrano sasvim u sebi, iste dužnosti i prema ljudima budućih poko</w:t>
        <w:softHyphen/>
        <w:t>ljenja. Škode li naši postupci, kako se pred</w:t>
        <w:softHyphen/>
        <w:t>viđa, ljudima koji sada žive ili koji će tek ubu</w:t>
        <w:softHyphen/>
        <w:t>duće živjeti, čini se da je irelevantno za nji</w:t>
        <w:softHyphen/>
        <w:t>hovo ćudoredno prosuđivanje. Iz toga proiz</w:t>
        <w:softHyphen/>
        <w:t>lazi prva djelomična teza za ispravan postu</w:t>
        <w:softHyphen/>
        <w:t>pak s prirodom: Ćudoredno treba odbaciti postupak zbog kojega trpe štetu, koja se može jasno predvidjeti, ljudi koji žive danas ili će živjeti ubuduće. U svakom slučaju treba još dodati važno ograničenje. Ono proizlazi iz či</w:t>
        <w:softHyphen/>
        <w:t>njenice da često imamo samo izbor između dvaju zala i tada se smatra da treba dati pred</w:t>
        <w:softHyphen/>
        <w:t>nost manjem zlu pred većim. Da bismo po</w:t>
        <w:softHyphen/>
        <w:t>visili sigurnost prometa, trebamo npr. više cesta i šire ceste. No to očigledno znači op</w:t>
        <w:softHyphen/>
        <w:t>terećenje za naš okoliš. Često se s pravom mirimo s time, jer nam se to čini kao manje zlo. Prvoj djelomičnoj tezi trebalo bi, prema tomu, dodati ograničavajuću klauzulu koja dopušta iznimku u slučaju da se opterećenje okoliša javlja kao jedino i stoga nužno sred</w:t>
        <w:softHyphen/>
        <w:t>stvo da bi se otklonile veće štete.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Kako nisu sva zadiranja u prirodu uzrokovana zadovoljavanjem naših temeljnih potreba, npr. prehrane, odijevanja, grijanja, štetna za pri</w:t>
        <w:softHyphen/>
        <w:t>rodu, ne može im se ništa prigovoriti. Prema tomu, okoliš se smije - druga teza - tako dugo iskorištavati za zadovoljavanje čovjekovih po</w:t>
        <w:softHyphen/>
        <w:t>treba dok iz toga ne proizlazi nikakva šteta za ljude koji žive danas ili ubuduće. Oba se ta pravila postavljaju bez obzira na to kakav se stav od obadvaju osnovnih stavova zastupa. Pozitivna dužnost održavanja i čuvanja našeg okoliša proizlazi u svakom slučaju samo ako mu priznajemo vlastitu vrijednost iznad nje</w:t>
        <w:softHyphen/>
        <w:t>gove korisnosti za čovjeka. Tada je takvo shva</w:t>
        <w:softHyphen/>
        <w:t>ćanje blizu onomu kada o svakom čovjeku kažemo - što je za kršćanina samo po sebi ra</w:t>
        <w:softHyphen/>
        <w:t>zumljivo - da je on sam po sebi vrijednost pa se kao takav treba cijeniti i ljubiti zbog sa</w:t>
        <w:softHyphen/>
        <w:t>moga sebe. Iz kakva bi onda razloga svim ostalim živim bićima (izostavit ćemo teže pi</w:t>
        <w:softHyphen/>
        <w:t>tanje u odnosu na neživu prirodu), koja su ipak u ponekom pogledu slična čovjeku, tre</w:t>
        <w:softHyphen/>
        <w:t>balo osporiti specifičnu i stupnjevanu vrijed</w:t>
        <w:softHyphen/>
        <w:t>nost? Zašto bi ona trebala imati vrijednost samo po koristi koju pružaju? Tko se slaže u tome da barem sva živa bića imaju vlastitu vrijednost, pristat će i uz treću tezu: Okoliš treba održavati i čuvati sve dok time ne nas</w:t>
        <w:softHyphen/>
        <w:t>taje šteta za ljude koji žive sada ili ubuduće.</w:t>
      </w:r>
    </w:p>
    <w:p>
      <w:pPr>
        <w:pStyle w:val="Style20"/>
        <w:keepNext w:val="0"/>
        <w:keepLines w:val="0"/>
        <w:widowControl w:val="0"/>
        <w:shd w:val="clear" w:color="auto" w:fill="auto"/>
        <w:bidi w:val="0"/>
        <w:spacing w:before="0" w:after="60"/>
        <w:ind w:left="0" w:right="0" w:firstLine="0"/>
        <w:jc w:val="both"/>
        <w:sectPr>
          <w:headerReference w:type="default" r:id="rId1185"/>
          <w:footerReference w:type="default" r:id="rId1186"/>
          <w:headerReference w:type="even" r:id="rId1187"/>
          <w:footerReference w:type="even" r:id="rId1188"/>
          <w:headerReference w:type="first" r:id="rId1189"/>
          <w:footerReference w:type="first" r:id="rId1190"/>
          <w:footnotePr>
            <w:pos w:val="pageBottom"/>
            <w:numFmt w:val="decimal"/>
            <w:numRestart w:val="continuous"/>
            <w15:footnoteColumns w:val="1"/>
          </w:footnotePr>
          <w:pgSz w:w="6816" w:h="11006"/>
          <w:pgMar w:top="828" w:left="185" w:right="190" w:bottom="339" w:header="0" w:footer="3" w:gutter="0"/>
          <w:cols w:num="2" w:space="17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Od ovih triju etičkih pravila o pitanju isprav</w:t>
        <w:softHyphen/>
        <w:t>nog ponašanja prema našem okolišu prvo bi pravilo zabranilo neke oblike današnjeg za</w:t>
        <w:softHyphen/>
        <w:t>gađivanja i uništavanja okoliša; drugo pravilo dopušta primjenu biljaka i životinja za pre</w:t>
        <w:softHyphen/>
        <w:t>hranu, gradnju kuća itd.; treće pravilo konač</w:t>
        <w:softHyphen/>
        <w:t>no čuva prirodu od proizvoljnog razaranja. Ova tri pravila izgledaju čak razmjerno oči</w:t>
        <w:softHyphen/>
        <w:t>gledna. Cijela poteškoća leži u njihovoj prim</w:t>
        <w:softHyphen/>
        <w:t>jeni na konkretne probleme. Ona je dvojake vrste: jednom su kod mnogih pitanja okoliša empirijska stanja stvari tako zamršena da je njihova točna procjena vrlo teška i za struč</w:t>
        <w:softHyphen/>
        <w:t>njake. Drugi puta se i na čisto vrijednosnom području kod prosuđivanja za’ i ‘protiv’ nc dolazi uvijek do jednodušne procjene. Kada bi se kod opterećivanja okoliša uvijek radilo neposredno o preživljavanju čovječanstva, ta</w:t>
        <w:softHyphen/>
        <w:t xml:space="preserve">da se ne bi javljali posebni problemi. Pa ipak, mi ne bismo željeli samo preživjeti nego i ugodno živjeti - a to je povezano s daljnjim opterećenjem okoliša. Odatle proizlaze, npr., sljedeća pitanja: Gdje leži granica na kojoj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moramo zaustaviti svoj luksuz i svoje udob</w:t>
        <w:softHyphen/>
        <w:t>nosti iz obzira prema okolišu? Do koje mjere i kakvim sredstvima trebamo ograničiti rast pučanstva iz obzira prema okolišu? Jer, što je veći broj stanovnika, to je jače opterećenje okoliša. Ovdje sigurno ima sivih zona u koji</w:t>
        <w:softHyphen/>
        <w:t>ma više nije moguć odgovor na pitanje o ono</w:t>
        <w:softHyphen/>
        <w:t>me što je ispravno.</w:t>
      </w:r>
    </w:p>
    <w:p>
      <w:pPr>
        <w:pStyle w:val="Style56"/>
        <w:keepNext w:val="0"/>
        <w:keepLines w:val="0"/>
        <w:widowControl w:val="0"/>
        <w:shd w:val="clear" w:color="auto" w:fill="auto"/>
        <w:tabs>
          <w:tab w:pos="2419" w:val="left"/>
        </w:tabs>
        <w:bidi w:val="0"/>
        <w:spacing w:before="0" w:after="1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R. L. </w:t>
      </w:r>
      <w:r>
        <w:rPr>
          <w:color w:val="000000"/>
          <w:spacing w:val="0"/>
          <w:w w:val="100"/>
          <w:position w:val="0"/>
          <w:shd w:val="clear" w:color="auto" w:fill="auto"/>
        </w:rPr>
        <w:t xml:space="preserve">Pur </w:t>
      </w:r>
      <w:r>
        <w:rPr>
          <w:color w:val="000000"/>
          <w:spacing w:val="0"/>
          <w:w w:val="100"/>
          <w:position w:val="0"/>
          <w:shd w:val="clear" w:color="auto" w:fill="auto"/>
          <w:lang w:val="hr-HR" w:eastAsia="hr-HR" w:bidi="hr-HR"/>
        </w:rPr>
        <w:t xml:space="preserve">tili, </w:t>
      </w:r>
      <w:r>
        <w:rPr>
          <w:i/>
          <w:iCs/>
          <w:color w:val="000000"/>
          <w:spacing w:val="0"/>
          <w:w w:val="100"/>
          <w:position w:val="0"/>
          <w:shd w:val="clear" w:color="auto" w:fill="auto"/>
          <w:lang w:val="hr-HR" w:eastAsia="hr-HR" w:bidi="hr-HR"/>
        </w:rPr>
        <w:t xml:space="preserve">Grundfragtn der </w:t>
      </w:r>
      <w:r>
        <w:rPr>
          <w:i/>
          <w:iCs/>
          <w:color w:val="000000"/>
          <w:spacing w:val="0"/>
          <w:w w:val="100"/>
          <w:position w:val="0"/>
          <w:shd w:val="clear" w:color="auto" w:fill="auto"/>
        </w:rPr>
        <w:t>Ethik,</w:t>
      </w:r>
      <w:r>
        <w:rPr>
          <w:color w:val="000000"/>
          <w:spacing w:val="0"/>
          <w:w w:val="100"/>
          <w:position w:val="0"/>
          <w:shd w:val="clear" w:color="auto" w:fill="auto"/>
        </w:rPr>
        <w:t xml:space="preserve"> Dusseldorf </w:t>
      </w:r>
      <w:r>
        <w:rPr>
          <w:color w:val="000000"/>
          <w:spacing w:val="0"/>
          <w:w w:val="100"/>
          <w:position w:val="0"/>
          <w:shd w:val="clear" w:color="auto" w:fill="auto"/>
          <w:lang w:val="hr-HR" w:eastAsia="hr-HR" w:bidi="hr-HR"/>
        </w:rPr>
        <w:t xml:space="preserve">1977, 9. pogl.; D- Birnbachcr (Hrsg ), </w:t>
      </w:r>
      <w:r>
        <w:rPr>
          <w:i/>
          <w:iCs/>
          <w:color w:val="000000"/>
          <w:spacing w:val="0"/>
          <w:w w:val="100"/>
          <w:position w:val="0"/>
          <w:shd w:val="clear" w:color="auto" w:fill="auto"/>
          <w:lang w:val="hr-HR" w:eastAsia="hr-HR" w:bidi="hr-HR"/>
        </w:rPr>
        <w:t>Okologie und Elhik,</w:t>
      </w:r>
      <w:r>
        <w:rPr>
          <w:color w:val="000000"/>
          <w:spacing w:val="0"/>
          <w:w w:val="100"/>
          <w:position w:val="0"/>
          <w:shd w:val="clear" w:color="auto" w:fill="auto"/>
          <w:lang w:val="hr-HR" w:eastAsia="hr-HR" w:bidi="hr-HR"/>
        </w:rPr>
        <w:t xml:space="preserve"> Sluti* gart 1980.</w:t>
        <w:tab/>
        <w:t>R. GINT12RS</w:t>
      </w:r>
    </w:p>
    <w:p>
      <w:pPr>
        <w:pStyle w:val="Style63"/>
        <w:keepNext/>
        <w:keepLines/>
        <w:widowControl w:val="0"/>
        <w:numPr>
          <w:ilvl w:val="0"/>
          <w:numId w:val="449"/>
        </w:numPr>
        <w:shd w:val="clear" w:color="auto" w:fill="auto"/>
        <w:tabs>
          <w:tab w:pos="260" w:val="left"/>
        </w:tabs>
        <w:bidi w:val="0"/>
        <w:spacing w:before="0"/>
        <w:ind w:left="0" w:right="0" w:firstLine="0"/>
        <w:jc w:val="both"/>
      </w:pPr>
      <w:bookmarkStart w:id="287" w:name="bookmark287"/>
      <w:r>
        <w:rPr>
          <w:rFonts w:ascii="Times New Roman" w:eastAsia="Times New Roman" w:hAnsi="Times New Roman" w:cs="Times New Roman"/>
          <w:color w:val="000000"/>
          <w:spacing w:val="0"/>
          <w:w w:val="100"/>
          <w:position w:val="0"/>
          <w:shd w:val="clear" w:color="auto" w:fill="auto"/>
          <w:lang w:val="hr-HR" w:eastAsia="hr-HR" w:bidi="hr-HR"/>
        </w:rPr>
        <w:t>islamski</w:t>
      </w:r>
      <w:bookmarkEnd w:id="28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Kao </w:t>
      </w:r>
      <w:r>
        <w:rPr>
          <w:rFonts w:ascii="Times New Roman" w:eastAsia="Times New Roman" w:hAnsi="Times New Roman" w:cs="Times New Roman"/>
          <w:i/>
          <w:iCs/>
          <w:color w:val="000000"/>
          <w:spacing w:val="0"/>
          <w:w w:val="100"/>
          <w:position w:val="0"/>
          <w:shd w:val="clear" w:color="auto" w:fill="auto"/>
          <w:lang w:val="hr-HR" w:eastAsia="hr-HR" w:bidi="hr-HR"/>
        </w:rPr>
        <w:t>vicarius Dei</w:t>
      </w:r>
      <w:r>
        <w:rPr>
          <w:rFonts w:ascii="Times New Roman" w:eastAsia="Times New Roman" w:hAnsi="Times New Roman" w:cs="Times New Roman"/>
          <w:color w:val="000000"/>
          <w:spacing w:val="0"/>
          <w:w w:val="100"/>
          <w:position w:val="0"/>
          <w:shd w:val="clear" w:color="auto" w:fill="auto"/>
          <w:lang w:val="hr-HR" w:eastAsia="hr-HR" w:bidi="hr-HR"/>
        </w:rPr>
        <w:t xml:space="preserve"> čovjek je (po Kuranu) po</w:t>
        <w:softHyphen/>
        <w:t>zvan da čuva Bogu ugodni poredak u prirodi i stvorenom. Uništavanje prirode predstavlja predznak propasti svijeta nakon kojega treba uslijediti čovjekov ponovni uspon. Islamska se predaja jednako oštro kao židovska i kršćan</w:t>
        <w:softHyphen/>
        <w:t>ska tradicija protivi nasilnim miješanjima u sklad stvorenoga svijeta. Često se navodi Mu- hamedova riječ: »Čovjek je najsavršenije stvo</w:t>
        <w:softHyphen/>
        <w:t>renje Božje; jao onome koji ga uništava«. No, u arhaičnim plemenskim društvima mogu se susresti i običaji koji ne poštuju to shvaćanje, npr. sakaćenja žena i djevojčica u Africi i ne</w:t>
        <w:softHyphen/>
        <w:t>kim dijelovima Arabije. Medu naglašeno tra</w:t>
        <w:softHyphen/>
        <w:t>dicionalističkim učenjacima hanbelitske škole mogu se čak čuti glasovi koji opravdavaju tak</w:t>
        <w:softHyphen/>
        <w:t>ve običaje. No u islamu je općenito snažno razvijena ekološka svijest, premda ne u obli</w:t>
        <w:softHyphen/>
        <w:t>cima i definicijama koje su poznate suvreme</w:t>
        <w:softHyphen/>
        <w:t>nomu čovjeku.</w:t>
      </w:r>
    </w:p>
    <w:p>
      <w:pPr>
        <w:pStyle w:val="Style20"/>
        <w:keepNext w:val="0"/>
        <w:keepLines w:val="0"/>
        <w:widowControl w:val="0"/>
        <w:shd w:val="clear" w:color="auto" w:fill="auto"/>
        <w:bidi w:val="0"/>
        <w:spacing w:before="0" w:after="3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Kada se kalif Abu Bekr opraštao od svoje voj</w:t>
        <w:softHyphen/>
        <w:t>ske koja je prvi put nakon njegova preuzima</w:t>
        <w:softHyphen/>
        <w:t>nja službe ušla u Siriju, on joj je klasičnim postalim jezikom stavio u odgovornost da se prilikom svake akcije brinu za djecu, žene, starce i doseljenike, ali i da ne diraju životinje i biljke, makar one bile nužne za prehranu. »Neka mi Alah oprašta stotinu puta«, govorio je učeni Muhamed Jusuf as-Senuši iz Tlem- ccna u XV. stoljeću prema autentičnom tu</w:t>
        <w:softHyphen/>
        <w:t>mačenju islamskoga nauka. »No njegovo je najveće milosrđe sačuvano za one koji su ču</w:t>
        <w:softHyphen/>
        <w:t>vali najmanja stvorenja.« S dotokom indijske mudrosti u islamsku mistiku u islamskom su se svijetu također udomaćile mnoge ideje koje se odnose na poštovanje svake vrste života. Iz</w:t>
        <w:softHyphen/>
        <w:t>vjesne su životinje bile gotovo uključene u vjersku zajednicu: tako recimo lastavica, konj, kamila i mali žuti mravi. U narodu se kaže: la</w:t>
        <w:softHyphen/>
      </w:r>
      <w:r>
        <w:rPr>
          <w:rFonts w:ascii="Times New Roman" w:eastAsia="Times New Roman" w:hAnsi="Times New Roman" w:cs="Times New Roman"/>
          <w:color w:val="000000"/>
          <w:spacing w:val="0"/>
          <w:w w:val="100"/>
          <w:position w:val="0"/>
          <w:shd w:val="clear" w:color="auto" w:fill="auto"/>
          <w:lang w:val="hr-HR" w:eastAsia="hr-HR" w:bidi="hr-HR"/>
        </w:rPr>
        <w:t>sta kada pjeva čita Kuran. Konj je tako ple</w:t>
        <w:softHyphen/>
        <w:t>menita životinja i ima nešto od onoga do</w:t>
        <w:softHyphen/>
        <w:t>stojanstva koje je po Kuranu udijcljcno čo</w:t>
        <w:softHyphen/>
        <w:t>vjeku. Vjernici poznaju 99 »lijepih imena Ala- hovih«; kamila poznaje 100 imena. Majušni žuti mrav po tom je shvaćanju »muslimić« za</w:t>
        <w:softHyphen/>
        <w:t xml:space="preserve">to što je »predan Bogu i želi mir«. s </w:t>
      </w:r>
      <w:r>
        <w:rPr>
          <w:rFonts w:ascii="Times New Roman" w:eastAsia="Times New Roman" w:hAnsi="Times New Roman" w:cs="Times New Roman"/>
          <w:smallCaps/>
          <w:color w:val="000000"/>
          <w:spacing w:val="0"/>
          <w:w w:val="100"/>
          <w:position w:val="0"/>
          <w:shd w:val="clear" w:color="auto" w:fill="auto"/>
          <w:lang w:val="hr-HR" w:eastAsia="hr-HR" w:bidi="hr-HR"/>
        </w:rPr>
        <w:t>hai.ić</w:t>
      </w:r>
    </w:p>
    <w:p>
      <w:pPr>
        <w:pStyle w:val="Style33"/>
        <w:keepNext w:val="0"/>
        <w:keepLines w:val="0"/>
        <w:widowControl w:val="0"/>
        <w:shd w:val="clear" w:color="auto" w:fill="auto"/>
        <w:bidi w:val="0"/>
        <w:spacing w:before="0" w:after="28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PROFANO -&gt; SAKRALNO</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PROROK</w:t>
      </w:r>
    </w:p>
    <w:p>
      <w:pPr>
        <w:pStyle w:val="Style63"/>
        <w:keepNext/>
        <w:keepLines/>
        <w:widowControl w:val="0"/>
        <w:shd w:val="clear" w:color="auto" w:fill="auto"/>
        <w:bidi w:val="0"/>
        <w:spacing w:before="0"/>
        <w:ind w:left="0" w:right="0" w:firstLine="0"/>
        <w:jc w:val="both"/>
      </w:pPr>
      <w:bookmarkStart w:id="288" w:name="bookmark288"/>
      <w:r>
        <w:rPr>
          <w:rFonts w:ascii="Times New Roman" w:eastAsia="Times New Roman" w:hAnsi="Times New Roman" w:cs="Times New Roman"/>
          <w:color w:val="000000"/>
          <w:spacing w:val="0"/>
          <w:w w:val="100"/>
          <w:position w:val="0"/>
          <w:shd w:val="clear" w:color="auto" w:fill="auto"/>
          <w:lang w:val="hr-HR" w:eastAsia="hr-HR" w:bidi="hr-HR"/>
        </w:rPr>
        <w:t>t. židovski</w:t>
      </w:r>
      <w:bookmarkEnd w:id="288"/>
    </w:p>
    <w:p>
      <w:pPr>
        <w:pStyle w:val="Style20"/>
        <w:keepNext w:val="0"/>
        <w:keepLines w:val="0"/>
        <w:widowControl w:val="0"/>
        <w:numPr>
          <w:ilvl w:val="0"/>
          <w:numId w:val="453"/>
        </w:numPr>
        <w:shd w:val="clear" w:color="auto" w:fill="auto"/>
        <w:tabs>
          <w:tab w:pos="265" w:val="left"/>
        </w:tabs>
        <w:bidi w:val="0"/>
        <w:spacing w:before="0" w:after="22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 »prorokovati po svojoj glavi«:</w:t>
      </w:r>
      <w:r>
        <w:rPr>
          <w:rFonts w:ascii="Times New Roman" w:eastAsia="Times New Roman" w:hAnsi="Times New Roman" w:cs="Times New Roman"/>
          <w:color w:val="000000"/>
          <w:spacing w:val="0"/>
          <w:w w:val="100"/>
          <w:position w:val="0"/>
          <w:shd w:val="clear" w:color="auto" w:fill="auto"/>
          <w:lang w:val="hr-HR" w:eastAsia="hr-HR" w:bidi="hr-HR"/>
        </w:rPr>
        <w:t xml:space="preserve"> O proroč</w:t>
        <w:softHyphen/>
        <w:t>kom događaju ne može se prikladno razmišlja</w:t>
        <w:softHyphen/>
        <w:t>ti bez predodžbe koju su izraelski proroci imali o sebi. Tvrdili su svojim sumnjičavim su</w:t>
        <w:softHyphen/>
        <w:t>vremenicima da oni ne »prorokuju po svojoj glavi« (Ez 13,2) niti da se njihove riječi te</w:t>
        <w:softHyphen/>
        <w:t xml:space="preserve">melje na izmišljotini (1 Kr 22,14.28), nego da se oni, naprotiv, odnose na primanje riječi o čemu oni ne odlučuju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3,8; 7,1.4.7; Jr 1,4.11; Ez 6,1; 12,1.8.17). Tvrdili su da ih je Bog pozvao i poslao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7,14; Iz 6,8; 48,16; Jr 1,7; 728,15;/ Ez 2,3 i d.) kako predaja pripisuje već Mojsiju: »Po ovom ćete vidjeti da me ON poslao da vršim sva ova djela, a da ih ne činim sam od sebe« (Br 16,28). Snaga riječi Božje (Ps 33,6.9) uplašila je ljude: »Nije li riječ moja poput vatre - riječ je NJEGOVA - i nije li slična malju što razbija pećinu?!« (Jr 23,29); ona ih je prisilila da idu onamo i kažu: »Ova</w:t>
        <w:softHyphen/>
        <w:t xml:space="preserve">ko govori ON«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1,3.6.9.11.13). Oni ipak nisu smatrali da je njihova zadaća ograničena na prenošenje poruka: Bog je imenovao pro</w:t>
        <w:softHyphen/>
        <w:t xml:space="preserve">roka »stražarom« svojega naroda (Jr 6,17; Ez 3,18; 33,2,6 i d.; Iz 52,8; 56,10), »ispitivačem« puteva svojega naroda (Jr 6,27), »opominja- čem« (Ez 3,17 i d.; 33,3 i d.) i zagovornikom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7,2.5; Jr 7,16; 11,14; 14,11; 15,1) koji će stati za narod »na proboje« i založiti se za njega (Ez 13,5; 22,30). P. stoji »pred licem« Božjim (Jr 15,19) kao njegov »sluga (Jr 25,4; 26,5;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3,7), na vijećanju s NJIM« (Jr 23,18), kojemu on »otkriva svoju osnovu«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3,7).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 xml:space="preserve">i F. </w:t>
      </w:r>
      <w:r>
        <w:rPr>
          <w:rFonts w:ascii="Times New Roman" w:eastAsia="Times New Roman" w:hAnsi="Times New Roman" w:cs="Times New Roman"/>
          <w:color w:val="000000"/>
          <w:spacing w:val="0"/>
          <w:w w:val="100"/>
          <w:position w:val="0"/>
          <w:shd w:val="clear" w:color="auto" w:fill="auto"/>
          <w:lang w:val="en-US" w:eastAsia="en-US" w:bidi="en-US"/>
        </w:rPr>
        <w:t xml:space="preserve">Rosenzwcig </w:t>
      </w:r>
      <w:r>
        <w:rPr>
          <w:rFonts w:ascii="Times New Roman" w:eastAsia="Times New Roman" w:hAnsi="Times New Roman" w:cs="Times New Roman"/>
          <w:color w:val="000000"/>
          <w:spacing w:val="0"/>
          <w:w w:val="100"/>
          <w:position w:val="0"/>
          <w:shd w:val="clear" w:color="auto" w:fill="auto"/>
          <w:lang w:val="hr-HR" w:eastAsia="hr-HR" w:bidi="hr-HR"/>
        </w:rPr>
        <w:t>jasno su izrazili svoje razumijevanje prijevodom hebrej</w:t>
        <w:softHyphen/>
        <w:t xml:space="preserve">ske riječi </w:t>
      </w:r>
      <w:r>
        <w:rPr>
          <w:rFonts w:ascii="Times New Roman" w:eastAsia="Times New Roman" w:hAnsi="Times New Roman" w:cs="Times New Roman"/>
          <w:i/>
          <w:iCs/>
          <w:color w:val="000000"/>
          <w:spacing w:val="0"/>
          <w:w w:val="100"/>
          <w:position w:val="0"/>
          <w:shd w:val="clear" w:color="auto" w:fill="auto"/>
          <w:lang w:val="en-US" w:eastAsia="en-US" w:bidi="en-US"/>
        </w:rPr>
        <w:t>nevi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 »navjestitelj«, »p.«: »Naime, navijestiti se ne može, za razliku od pričati i govoriti, uporabiti apsolutno i bez objekta.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Navjestitelj je ... uvijek navjestitelj nečega što je povezano s njegovim naviještanjem. Stoga ta riječ upravo isključuje predodžbu... spo</w:t>
        <w:softHyphen/>
        <w:t xml:space="preserve">sobnosti, nadarenosti...’religioznoga genija’«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Schrift und ihre </w:t>
      </w:r>
      <w:r>
        <w:rPr>
          <w:rFonts w:ascii="Times New Roman" w:eastAsia="Times New Roman" w:hAnsi="Times New Roman" w:cs="Times New Roman"/>
          <w:i/>
          <w:iCs/>
          <w:color w:val="000000"/>
          <w:spacing w:val="0"/>
          <w:w w:val="100"/>
          <w:position w:val="0"/>
          <w:shd w:val="clear" w:color="auto" w:fill="auto"/>
          <w:lang w:val="hr-HR" w:eastAsia="hr-HR" w:bidi="hr-HR"/>
        </w:rPr>
        <w:t>Verdeutschung,</w:t>
      </w:r>
      <w:r>
        <w:rPr>
          <w:rFonts w:ascii="Times New Roman" w:eastAsia="Times New Roman" w:hAnsi="Times New Roman" w:cs="Times New Roman"/>
          <w:color w:val="000000"/>
          <w:spacing w:val="0"/>
          <w:w w:val="100"/>
          <w:position w:val="0"/>
          <w:shd w:val="clear" w:color="auto" w:fill="auto"/>
          <w:lang w:val="hr-HR" w:eastAsia="hr-HR" w:bidi="hr-HR"/>
        </w:rPr>
        <w:t xml:space="preserve"> 1936, 289). U tom opisu već je utemeljeno tuma</w:t>
        <w:softHyphen/>
        <w:t xml:space="preserve">čenje A. J. Heschela, izraelskoga proroka kao »svjedoka« </w:t>
      </w:r>
      <w:r>
        <w:rPr>
          <w:rFonts w:ascii="Times New Roman" w:eastAsia="Times New Roman" w:hAnsi="Times New Roman" w:cs="Times New Roman"/>
          <w:i/>
          <w:iCs/>
          <w:color w:val="000000"/>
          <w:spacing w:val="0"/>
          <w:w w:val="100"/>
          <w:position w:val="0"/>
          <w:shd w:val="clear" w:color="auto" w:fill="auto"/>
          <w:lang w:val="en-US" w:eastAsia="en-US" w:bidi="en-US"/>
        </w:rPr>
        <w:t>(The Prophets,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1962, </w:t>
      </w:r>
      <w:r>
        <w:rPr>
          <w:rFonts w:ascii="Times New Roman" w:eastAsia="Times New Roman" w:hAnsi="Times New Roman" w:cs="Times New Roman"/>
          <w:color w:val="000000"/>
          <w:spacing w:val="0"/>
          <w:w w:val="100"/>
          <w:position w:val="0"/>
          <w:shd w:val="clear" w:color="auto" w:fill="auto"/>
          <w:lang w:val="en-US" w:eastAsia="en-US" w:bidi="en-US"/>
        </w:rPr>
        <w:t xml:space="preserve">I, </w:t>
      </w:r>
      <w:r>
        <w:rPr>
          <w:rFonts w:ascii="Times New Roman" w:eastAsia="Times New Roman" w:hAnsi="Times New Roman" w:cs="Times New Roman"/>
          <w:color w:val="000000"/>
          <w:spacing w:val="0"/>
          <w:w w:val="100"/>
          <w:position w:val="0"/>
          <w:shd w:val="clear" w:color="auto" w:fill="auto"/>
          <w:lang w:val="hr-HR" w:eastAsia="hr-HR" w:bidi="hr-HR"/>
        </w:rPr>
        <w:t>1-26). Bli</w:t>
        <w:softHyphen/>
        <w:t>zina je potvrdila M. Buberovo daljnje shva</w:t>
        <w:softHyphen/>
        <w:t xml:space="preserve">ćanje: »Taj naslov (nevii/navjestitelj) zacijelo karakterizira kao posrednike one osobe koje riječ poruke s neba donose na zemlju i riječ molitve sa zemlje uzdižu na nebo«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Glau-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 </w:t>
      </w:r>
      <w:r>
        <w:rPr>
          <w:rFonts w:ascii="Times New Roman" w:eastAsia="Times New Roman" w:hAnsi="Times New Roman" w:cs="Times New Roman"/>
          <w:i/>
          <w:iCs/>
          <w:color w:val="000000"/>
          <w:spacing w:val="0"/>
          <w:w w:val="100"/>
          <w:position w:val="0"/>
          <w:shd w:val="clear" w:color="auto" w:fill="auto"/>
          <w:lang w:val="hr-HR" w:eastAsia="hr-HR" w:bidi="hr-HR"/>
        </w:rPr>
        <w:t>der Propheten,</w:t>
      </w:r>
      <w:r>
        <w:rPr>
          <w:rFonts w:ascii="Times New Roman" w:eastAsia="Times New Roman" w:hAnsi="Times New Roman" w:cs="Times New Roman"/>
          <w:color w:val="000000"/>
          <w:spacing w:val="0"/>
          <w:w w:val="100"/>
          <w:position w:val="0"/>
          <w:shd w:val="clear" w:color="auto" w:fill="auto"/>
          <w:lang w:val="hr-HR" w:eastAsia="hr-HR" w:bidi="hr-HR"/>
        </w:rPr>
        <w:t xml:space="preserve"> 1950,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Werke </w:t>
      </w:r>
      <w:r>
        <w:rPr>
          <w:rFonts w:ascii="Times New Roman" w:eastAsia="Times New Roman" w:hAnsi="Times New Roman" w:cs="Times New Roman"/>
          <w:i/>
          <w:iCs/>
          <w:color w:val="000000"/>
          <w:spacing w:val="0"/>
          <w:w w:val="100"/>
          <w:position w:val="0"/>
          <w:shd w:val="clear" w:color="auto" w:fill="auto"/>
          <w:lang w:val="hr-HR" w:eastAsia="hr-HR" w:bidi="hr-HR"/>
        </w:rPr>
        <w:t>II,</w:t>
      </w:r>
      <w:r>
        <w:rPr>
          <w:rFonts w:ascii="Times New Roman" w:eastAsia="Times New Roman" w:hAnsi="Times New Roman" w:cs="Times New Roman"/>
          <w:color w:val="000000"/>
          <w:spacing w:val="0"/>
          <w:w w:val="100"/>
          <w:position w:val="0"/>
          <w:shd w:val="clear" w:color="auto" w:fill="auto"/>
          <w:lang w:val="hr-HR" w:eastAsia="hr-HR" w:bidi="hr-HR"/>
        </w:rPr>
        <w:t xml:space="preserve"> 1962, 233-484, 237 i d.); naime, budućnost u pro</w:t>
        <w:softHyphen/>
        <w:t>ročkoj riječi nije nešto već postojeće; štoviše, ona bitno ovisi o odluci ljudi koji sudjeluju u određenom povijesnom trenutku.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Buberovu tumačenju proroci otkrivaju u pretpovijesnom i povijesnom vremenu Izra</w:t>
        <w:softHyphen/>
        <w:t>ela »glavnoga boga polunomada« kao »boga agrarne države« i naposljetku kao »boga pat</w:t>
        <w:softHyphen/>
        <w:t>nika« (op. cit. 269 i d.). Za Heschela je »bo</w:t>
        <w:softHyphen/>
        <w:t>žanski patos« postao ključem njegova objaš</w:t>
        <w:softHyphen/>
        <w:t xml:space="preserve">njenja proroka </w:t>
      </w:r>
      <w:r>
        <w:rPr>
          <w:rFonts w:ascii="Times New Roman" w:eastAsia="Times New Roman" w:hAnsi="Times New Roman" w:cs="Times New Roman"/>
          <w:color w:val="000000"/>
          <w:spacing w:val="0"/>
          <w:w w:val="100"/>
          <w:position w:val="0"/>
          <w:shd w:val="clear" w:color="auto" w:fill="auto"/>
          <w:lang w:val="en-US" w:eastAsia="en-US" w:bidi="en-US"/>
        </w:rPr>
        <w:t xml:space="preserve">(op. </w:t>
      </w:r>
      <w:r>
        <w:rPr>
          <w:rFonts w:ascii="Times New Roman" w:eastAsia="Times New Roman" w:hAnsi="Times New Roman" w:cs="Times New Roman"/>
          <w:color w:val="000000"/>
          <w:spacing w:val="0"/>
          <w:w w:val="100"/>
          <w:position w:val="0"/>
          <w:shd w:val="clear" w:color="auto" w:fill="auto"/>
          <w:lang w:val="hr-HR" w:eastAsia="hr-HR" w:bidi="hr-HR"/>
        </w:rPr>
        <w:t>cit., II, 27 i d., 87 i d.). Time je probio aksiom filozofa religije o apa</w:t>
        <w:softHyphen/>
        <w:t xml:space="preserve">tiji Božje egzistencije (usp. Majmonid, </w:t>
      </w:r>
      <w:r>
        <w:rPr>
          <w:rFonts w:ascii="Times New Roman" w:eastAsia="Times New Roman" w:hAnsi="Times New Roman" w:cs="Times New Roman"/>
          <w:i/>
          <w:iCs/>
          <w:color w:val="000000"/>
          <w:spacing w:val="0"/>
          <w:w w:val="100"/>
          <w:position w:val="0"/>
          <w:shd w:val="clear" w:color="auto" w:fill="auto"/>
          <w:lang w:val="hr-HR" w:eastAsia="hr-HR" w:bidi="hr-HR"/>
        </w:rPr>
        <w:t>More nevukim,</w:t>
      </w:r>
      <w:r>
        <w:rPr>
          <w:rFonts w:ascii="Times New Roman" w:eastAsia="Times New Roman" w:hAnsi="Times New Roman" w:cs="Times New Roman"/>
          <w:color w:val="000000"/>
          <w:spacing w:val="0"/>
          <w:w w:val="100"/>
          <w:position w:val="0"/>
          <w:shd w:val="clear" w:color="auto" w:fill="auto"/>
          <w:lang w:val="hr-HR" w:eastAsia="hr-HR" w:bidi="hr-HR"/>
        </w:rPr>
        <w:t xml:space="preserve"> I, 1; H. </w:t>
      </w:r>
      <w:r>
        <w:rPr>
          <w:rFonts w:ascii="Times New Roman" w:eastAsia="Times New Roman" w:hAnsi="Times New Roman" w:cs="Times New Roman"/>
          <w:color w:val="000000"/>
          <w:spacing w:val="0"/>
          <w:w w:val="100"/>
          <w:position w:val="0"/>
          <w:shd w:val="clear" w:color="auto" w:fill="auto"/>
          <w:lang w:val="en-US" w:eastAsia="en-US" w:bidi="en-US"/>
        </w:rPr>
        <w:t xml:space="preserve">Cohen,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Vemunft aus </w:t>
      </w:r>
      <w:r>
        <w:rPr>
          <w:rFonts w:ascii="Times New Roman" w:eastAsia="Times New Roman" w:hAnsi="Times New Roman" w:cs="Times New Roman"/>
          <w:i/>
          <w:iCs/>
          <w:color w:val="000000"/>
          <w:spacing w:val="0"/>
          <w:w w:val="100"/>
          <w:position w:val="0"/>
          <w:shd w:val="clear" w:color="auto" w:fill="auto"/>
          <w:lang w:val="en-US" w:eastAsia="en-US" w:bidi="en-US"/>
        </w:rPr>
        <w:t>den Quellen des Judentums,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1928, 1978, 48 i d.): u svojem patosu Bog izlazi iz sebe i pokazuje zanimanje za narod svojeg izbora, postaje mu partner u Savezu i narod mu se može obratiti. Njegov je patos slobodan od</w:t>
        <w:softHyphen/>
        <w:t>nos prema njegovu stvaranju, patnji zbog lz- raclovih čina i zbog njegovih patnji. »Proroč</w:t>
        <w:softHyphen/>
        <w:t>ka simpatija« čini korelat božanskom patosu. Ona se zbiva kao odgovor na njegovu inspira</w:t>
        <w:softHyphen/>
        <w:t xml:space="preserve">ciju. Prema A. Neheru, koji je razradio He- schelovu interpretaciju </w:t>
      </w:r>
      <w:r>
        <w:rPr>
          <w:rFonts w:ascii="Times New Roman" w:eastAsia="Times New Roman" w:hAnsi="Times New Roman" w:cs="Times New Roman"/>
          <w:i/>
          <w:iCs/>
          <w:color w:val="000000"/>
          <w:spacing w:val="0"/>
          <w:w w:val="100"/>
          <w:position w:val="0"/>
          <w:shd w:val="clear" w:color="auto" w:fill="auto"/>
          <w:lang w:val="hr-HR" w:eastAsia="hr-HR" w:bidi="hr-HR"/>
        </w:rPr>
        <w:t>(l.’essence du prophe- tišme,</w:t>
      </w:r>
      <w:r>
        <w:rPr>
          <w:rFonts w:ascii="Times New Roman" w:eastAsia="Times New Roman" w:hAnsi="Times New Roman" w:cs="Times New Roman"/>
          <w:color w:val="000000"/>
          <w:spacing w:val="0"/>
          <w:w w:val="100"/>
          <w:position w:val="0"/>
          <w:shd w:val="clear" w:color="auto" w:fill="auto"/>
          <w:lang w:val="hr-HR" w:eastAsia="hr-HR" w:bidi="hr-HR"/>
        </w:rPr>
        <w:t xml:space="preserve"> 1955, 1972, 95 i d., 124 i d.), Božji »ak</w:t>
        <w:softHyphen/>
        <w:t>tualni patos« sprečava da proročka srca osta</w:t>
        <w:softHyphen/>
        <w:t>nu netaknuta. Bog smatra dostojnim svoje slu</w:t>
        <w:softHyphen/>
        <w:t>ge da se u simpatiji približe »intimnosti Božjoj«; emocionalno iskustvo postaje im središnja toč</w:t>
        <w:softHyphen/>
        <w:t>ka razumijevanja Boga. Proroci ne žive samo svoj osobni život nego i život Božji kao odsjev božanskoga patosa. Njihovu poruku razumije samo onaj koji ima osjećaja za Božji patos što ga oni svjedoče u simpatiji.</w:t>
      </w:r>
    </w:p>
    <w:p>
      <w:pPr>
        <w:pStyle w:val="Style20"/>
        <w:keepNext w:val="0"/>
        <w:keepLines w:val="0"/>
        <w:widowControl w:val="0"/>
        <w:numPr>
          <w:ilvl w:val="0"/>
          <w:numId w:val="453"/>
        </w:numPr>
        <w:shd w:val="clear" w:color="auto" w:fill="auto"/>
        <w:tabs>
          <w:tab w:pos="265" w:val="left"/>
        </w:tabs>
        <w:bidi w:val="0"/>
        <w:spacing w:before="0" w:after="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»Prorošlvo je oduzeto prorocima i dalo mu</w:t>
        <w:softHyphen/>
        <w:t>dracima.«</w:t>
      </w:r>
      <w:r>
        <w:rPr>
          <w:rFonts w:ascii="Times New Roman" w:eastAsia="Times New Roman" w:hAnsi="Times New Roman" w:cs="Times New Roman"/>
          <w:color w:val="000000"/>
          <w:spacing w:val="0"/>
          <w:w w:val="100"/>
          <w:position w:val="0"/>
          <w:shd w:val="clear" w:color="auto" w:fill="auto"/>
          <w:lang w:val="hr-HR" w:eastAsia="hr-HR" w:bidi="hr-HR"/>
        </w:rPr>
        <w:t xml:space="preserve"> Rabini su izjednačavali sve proroke </w:t>
      </w:r>
      <w:r>
        <w:rPr>
          <w:rFonts w:ascii="Times New Roman" w:eastAsia="Times New Roman" w:hAnsi="Times New Roman" w:cs="Times New Roman"/>
          <w:color w:val="000000"/>
          <w:spacing w:val="0"/>
          <w:w w:val="100"/>
          <w:position w:val="0"/>
          <w:shd w:val="clear" w:color="auto" w:fill="auto"/>
          <w:lang w:val="hr-HR" w:eastAsia="hr-HR" w:bidi="hr-HR"/>
        </w:rPr>
        <w:t xml:space="preserve">kroz koje je govorio duh nadahnuća </w:t>
      </w:r>
      <w:r>
        <w:rPr>
          <w:rFonts w:ascii="Times New Roman" w:eastAsia="Times New Roman" w:hAnsi="Times New Roman" w:cs="Times New Roman"/>
          <w:i/>
          <w:iCs/>
          <w:color w:val="000000"/>
          <w:spacing w:val="0"/>
          <w:w w:val="100"/>
          <w:position w:val="0"/>
          <w:shd w:val="clear" w:color="auto" w:fill="auto"/>
          <w:lang w:val="hr-HR" w:eastAsia="hr-HR" w:bidi="hr-HR"/>
        </w:rPr>
        <w:t>(ruah ha-kodeš,</w:t>
      </w:r>
      <w:r>
        <w:rPr>
          <w:rFonts w:ascii="Times New Roman" w:eastAsia="Times New Roman" w:hAnsi="Times New Roman" w:cs="Times New Roman"/>
          <w:color w:val="000000"/>
          <w:spacing w:val="0"/>
          <w:w w:val="100"/>
          <w:position w:val="0"/>
          <w:shd w:val="clear" w:color="auto" w:fill="auto"/>
          <w:lang w:val="hr-HR" w:eastAsia="hr-HR" w:bidi="hr-HR"/>
        </w:rPr>
        <w:t xml:space="preserve"> »sveti duh«), pa prema tom kriteriju nisu razlikovali Izaiju od Jeremije (Pesikta ra</w:t>
        <w:softHyphen/>
        <w:t xml:space="preserve">bati 158a; 162b; 198a) niti Davida od Salo- mona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161a s obzirom na Ps 36,10; 160a - Pj 8,9; Kohclet 1,1 - Izr 22,29). Ovdje se ob</w:t>
        <w:softHyphen/>
        <w:t xml:space="preserve">jašnjava i naziv proroci </w:t>
      </w:r>
      <w:r>
        <w:rPr>
          <w:rFonts w:ascii="Times New Roman" w:eastAsia="Times New Roman" w:hAnsi="Times New Roman" w:cs="Times New Roman"/>
          <w:i/>
          <w:iCs/>
          <w:color w:val="000000"/>
          <w:spacing w:val="0"/>
          <w:w w:val="100"/>
          <w:position w:val="0"/>
          <w:shd w:val="clear" w:color="auto" w:fill="auto"/>
          <w:lang w:val="hr-HR" w:eastAsia="hr-HR" w:bidi="hr-HR"/>
        </w:rPr>
        <w:t>(neviim)</w:t>
      </w:r>
      <w:r>
        <w:rPr>
          <w:rFonts w:ascii="Times New Roman" w:eastAsia="Times New Roman" w:hAnsi="Times New Roman" w:cs="Times New Roman"/>
          <w:color w:val="000000"/>
          <w:spacing w:val="0"/>
          <w:w w:val="100"/>
          <w:position w:val="0"/>
          <w:shd w:val="clear" w:color="auto" w:fill="auto"/>
          <w:lang w:val="hr-HR" w:eastAsia="hr-HR" w:bidi="hr-HR"/>
        </w:rPr>
        <w:t xml:space="preserve"> za drugi dio kanona hebrejske Biblije, koji sjedinjuje, osim spisa trojice »velikih« i dvanaestorice »malih« proroka, i povijesne knjige, jer su ih sastavili Jošua,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i Jeremija (b Bava batra 14b. 15a). Mudraci su nabrojili četrdeset i osam proroka i sedam proročica, a njihove su izjave sabrane u Bibliji (b </w:t>
      </w:r>
      <w:r>
        <w:rPr>
          <w:rFonts w:ascii="Times New Roman" w:eastAsia="Times New Roman" w:hAnsi="Times New Roman" w:cs="Times New Roman"/>
          <w:color w:val="000000"/>
          <w:spacing w:val="0"/>
          <w:w w:val="100"/>
          <w:position w:val="0"/>
          <w:shd w:val="clear" w:color="auto" w:fill="auto"/>
          <w:lang w:val="en-US" w:eastAsia="en-US" w:bidi="en-US"/>
        </w:rPr>
        <w:t xml:space="preserve">Mcgila </w:t>
      </w:r>
      <w:r>
        <w:rPr>
          <w:rFonts w:ascii="Times New Roman" w:eastAsia="Times New Roman" w:hAnsi="Times New Roman" w:cs="Times New Roman"/>
          <w:color w:val="000000"/>
          <w:spacing w:val="0"/>
          <w:w w:val="100"/>
          <w:position w:val="0"/>
          <w:shd w:val="clear" w:color="auto" w:fill="auto"/>
          <w:lang w:val="hr-HR" w:eastAsia="hr-HR" w:bidi="hr-HR"/>
        </w:rPr>
        <w:t xml:space="preserve">14a;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olam raba 17-21), ali su, osim njih, znali i za mnoge dru</w:t>
        <w:softHyphen/>
        <w:t xml:space="preserve">ge: »Nema ni jednoga jedinoga grada u zemlji Izraelu u kojem nije bilo proroka«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olam raba 21). »Mnogi su proroci izdanci Izraelaca, i dvostruko ih je više od onih koji su izišli iz Egipta« (b Megila 14a; usp. Suka 27b). Nji</w:t>
        <w:softHyphen/>
        <w:t>hove riječi ostale su nezapisane, »jer suvre</w:t>
        <w:softHyphen/>
        <w:t>menici nisu imali potrebu da to učine, no ipak će Bog jednoga dana obznaniti njihova pro</w:t>
        <w:softHyphen/>
        <w:t>ročanstva« (Sir ha-širim IV,11). Povremeno prebrojavanje dokazuje da su rabini spoznali široku sferu djelovanja proroka: »P. se ime</w:t>
        <w:softHyphen/>
        <w:t>nuje s deset naziva: glasnik, ovjerovitelj, sluga, poslanik, gledatelj, stražar, vidjelac, sanjar, p. i čovjek Božji« (Avot Rabi Natana 34 /9a/). Iz</w:t>
        <w:softHyphen/>
        <w:t xml:space="preserve">vori imenuju sedam neizraelskih proroka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105a; Bava batra 15b; </w:t>
      </w:r>
      <w:r>
        <w:rPr>
          <w:rFonts w:ascii="Times New Roman" w:eastAsia="Times New Roman" w:hAnsi="Times New Roman" w:cs="Times New Roman"/>
          <w:color w:val="000000"/>
          <w:spacing w:val="0"/>
          <w:w w:val="100"/>
          <w:position w:val="0"/>
          <w:shd w:val="clear" w:color="auto" w:fill="auto"/>
          <w:lang w:val="en-US" w:eastAsia="en-US" w:bidi="en-US"/>
        </w:rPr>
        <w:t xml:space="preserve">Seder </w:t>
      </w:r>
      <w:r>
        <w:rPr>
          <w:rFonts w:ascii="Times New Roman" w:eastAsia="Times New Roman" w:hAnsi="Times New Roman" w:cs="Times New Roman"/>
          <w:color w:val="000000"/>
          <w:spacing w:val="0"/>
          <w:w w:val="100"/>
          <w:position w:val="0"/>
          <w:shd w:val="clear" w:color="auto" w:fill="auto"/>
          <w:lang w:val="hr-HR" w:eastAsia="hr-HR" w:bidi="hr-HR"/>
        </w:rPr>
        <w:t>olam raba 21), pa narodi u budućnosti ne mogu prigovoriti da ih je Bog izbjegavao: »Što je učinio Bog? Kao što je Izraelcima postavio kraljeve, mudrace i proroke, tako ih je posta</w:t>
        <w:softHyphen/>
        <w:t>vio i narodima svijeta... Ukratko, otkrit ćeš da su sve veličine, koje su primili Izraelci, primili i narodi. Na isti način pustio je da se Mojsijc dogodi Izraelcima i Bileam narodima svijeta« (Bcmidbar raba XX,22,2; usp. Jalkut 966). Iz</w:t>
        <w:softHyphen/>
        <w:t>raelski proroci upozoravali su izabrani narod »na prekršaje... i suosjećali su (doslovce: bili su u svojstvu milosrđa) s Izraelcima i naro</w:t>
        <w:softHyphen/>
        <w:t xml:space="preserve">dima svijeta« </w:t>
      </w:r>
      <w:r>
        <w:rPr>
          <w:rFonts w:ascii="Times New Roman" w:eastAsia="Times New Roman" w:hAnsi="Times New Roman" w:cs="Times New Roman"/>
          <w:color w:val="000000"/>
          <w:spacing w:val="0"/>
          <w:w w:val="100"/>
          <w:position w:val="0"/>
          <w:shd w:val="clear" w:color="auto" w:fill="auto"/>
          <w:lang w:val="en-US" w:eastAsia="en-US" w:bidi="en-US"/>
        </w:rPr>
        <w:t xml:space="preserve">(Bemidbar </w:t>
      </w:r>
      <w:r>
        <w:rPr>
          <w:rFonts w:ascii="Times New Roman" w:eastAsia="Times New Roman" w:hAnsi="Times New Roman" w:cs="Times New Roman"/>
          <w:color w:val="000000"/>
          <w:spacing w:val="0"/>
          <w:w w:val="100"/>
          <w:position w:val="0"/>
          <w:shd w:val="clear" w:color="auto" w:fill="auto"/>
          <w:lang w:val="hr-HR" w:eastAsia="hr-HR" w:bidi="hr-HR"/>
        </w:rPr>
        <w:t>raba XX,22,2). Na pitanje, na koje se odnosi proročko naviješ- tanjc, oblikovao se odgovor: »Svi su proroci proricali samo o mesijanskim danima«, tj. o vremenu Božje vlasti u sadašnjem svijetu; nji</w:t>
        <w:softHyphen/>
        <w:t>ma nije odobreno vidjeti »svijet koji dolazi«, o kojemu su učenjaci rekli s Iz 64,3: »... oko nijedno nije vidjelo osim tebe, o Bože...« (b Berahot 34b).</w:t>
      </w:r>
    </w:p>
    <w:p>
      <w:pPr>
        <w:pStyle w:val="Style20"/>
        <w:keepNext w:val="0"/>
        <w:keepLines w:val="0"/>
        <w:widowControl w:val="0"/>
        <w:shd w:val="clear" w:color="auto" w:fill="auto"/>
        <w:tabs>
          <w:tab w:pos="2429" w:val="left"/>
        </w:tabs>
        <w:bidi w:val="0"/>
        <w:spacing w:before="0" w:after="120"/>
        <w:ind w:left="0" w:right="0" w:firstLine="0"/>
        <w:jc w:val="both"/>
        <w:rPr>
          <w:sz w:val="10"/>
          <w:szCs w:val="10"/>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U modernoj židovskoj misli proroci zauzimaju posebni položaj (vidi gore u vezi s Buberom, Heschclom, Ncherom). Kad je ćudoredni zahtjev naglašen kao bit židovstva, može se reći: Nije Izrael »zasadio etiku s neba na zem</w:t>
        <w:softHyphen/>
        <w:t xml:space="preserve">lju, nego je njegov Bog sa zemlje postavljen na nebo... Najjasniji izraz toga činjeničnog stanja nalazimo ako postavimo sebi pitanje kako p. prevodi pojam ‘ćudoređe’ ili ‘etika’ (E. </w:t>
      </w:r>
      <w:r>
        <w:rPr>
          <w:rFonts w:ascii="Times New Roman" w:eastAsia="Times New Roman" w:hAnsi="Times New Roman" w:cs="Times New Roman"/>
          <w:color w:val="000000"/>
          <w:spacing w:val="0"/>
          <w:w w:val="100"/>
          <w:position w:val="0"/>
          <w:sz w:val="15"/>
          <w:szCs w:val="15"/>
          <w:shd w:val="clear" w:color="auto" w:fill="auto"/>
          <w:lang w:val="en-US" w:eastAsia="en-US" w:bidi="en-US"/>
        </w:rPr>
        <w:t>Auer</w:t>
        <w:softHyphen/>
        <w:t xml:space="preserve">bach,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Die Prophelie,</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5"/>
          <w:szCs w:val="15"/>
          <w:shd w:val="clear" w:color="auto" w:fill="auto"/>
          <w:lang w:val="hr-HR" w:eastAsia="hr-HR" w:bidi="hr-HR"/>
        </w:rPr>
        <w:t>1920, 80). »To vlastito, proročko u židovstvu« jc »ta zapovijed odlu</w:t>
        <w:softHyphen/>
        <w:t>ke«; stoga je »prava izraelska« »proročka reli</w:t>
        <w:softHyphen/>
        <w:t xml:space="preserve">gija« za koju je »moralni zakon stožer« (L. Bacck,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Das H'e.ren des Judentums,</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’1925, '’I960, 146.56). Prema sudu mudraca, proroci, naprotiv, ne nastupaju kao religijski inovatori; njihova zadaća ograničavala ih je na tuma</w:t>
        <w:softHyphen/>
        <w:t>čenje i objašnjenje učenja Tore. Rabini su tu</w:t>
        <w:softHyphen/>
        <w:t xml:space="preserve">mačili biblijsku rečenicu: »To su zapovijedi koje jc ON izdao Mojsiju za Izraelce na Si- najskome brdu«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(Lev </w:t>
      </w:r>
      <w:r>
        <w:rPr>
          <w:rFonts w:ascii="Times New Roman" w:eastAsia="Times New Roman" w:hAnsi="Times New Roman" w:cs="Times New Roman"/>
          <w:color w:val="000000"/>
          <w:spacing w:val="0"/>
          <w:w w:val="100"/>
          <w:position w:val="0"/>
          <w:sz w:val="15"/>
          <w:szCs w:val="15"/>
          <w:shd w:val="clear" w:color="auto" w:fill="auto"/>
          <w:lang w:val="hr-HR" w:eastAsia="hr-HR" w:bidi="hr-HR"/>
        </w:rPr>
        <w:t>27,34), pa »p. od sada ne smije uvesti ništa novo« (b Sabat 104a; Te- mura 16a). Prema njihovu shvaćanju, proroci nisu »ništa ispustili iz Tore niti su što dodali« (b Megila 14a). S tim gledištem slaže se Avot, traktat iz Mišne, prema kojemu se proroci jav</w:t>
        <w:softHyphen/>
        <w:t>ljaju u lancu predaje samo kao prenositelji Mojsijevc Tore - kao nasljednici Jošue i star</w:t>
        <w:softHyphen/>
        <w:t>ješina (usp. Još 24,31; Jr 7,25) i kao prethod</w:t>
        <w:softHyphen/>
        <w:t>nici »muškaraca Velikoga sabora« (1,1). Na sličan način komentirali su pismoznanci: »Pro</w:t>
        <w:softHyphen/>
        <w:t>roci su vidjeli kroz devet zrcala..., a Mojsijc jc vidio samo kroz jedno zrcalo... Svi proroci vidjeli su kroz mutno zrcalo... No Mojsije je vidio kroz fino brušeno zrcalo« (Vajikra raba 1,1,1). Međutim, ugled mudraca je rastao: »Od onoga dana kada je razoreno svetište, proroštvo je oduzeto prorocima i predano mudracima. Ne bi li, dakle, mudrac bio p.7 On jc to tako mislio: iako je oduzeto prorocima, ipak nije oduzeto mudracima« (b Bava batra 12a).</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Đ </w:t>
      </w: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VETTER</w:t>
      </w:r>
    </w:p>
    <w:p>
      <w:pPr>
        <w:pStyle w:val="Style63"/>
        <w:keepNext/>
        <w:keepLines/>
        <w:widowControl w:val="0"/>
        <w:numPr>
          <w:ilvl w:val="0"/>
          <w:numId w:val="443"/>
        </w:numPr>
        <w:shd w:val="clear" w:color="auto" w:fill="auto"/>
        <w:tabs>
          <w:tab w:pos="255" w:val="left"/>
        </w:tabs>
        <w:bidi w:val="0"/>
        <w:spacing w:before="0"/>
        <w:ind w:left="0" w:right="0" w:firstLine="0"/>
        <w:jc w:val="both"/>
      </w:pPr>
      <w:bookmarkStart w:id="289" w:name="bookmark28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8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 ‘p.’ (grč. prophetes, lat. propheta) ozna</w:t>
        <w:softHyphen/>
        <w:t>čava općenito osobu koja Božju riječ, koja joj je na nadnaravni način objavljena, naviješta i vrši dužnost tumača neke nadahnute osobe. Etimološki se p. može objasniti kao ‘navje</w:t>
        <w:softHyphen/>
        <w:t>stitelj’, ‘govornik’, pri čemu isprva nedostaje komponenta budućnosti; proroštvo, dakle, pri</w:t>
        <w:softHyphen/>
        <w:t xml:space="preserve">marno nije proricanje budućnosti nego na- </w:t>
      </w:r>
      <w:r>
        <w:rPr>
          <w:rFonts w:ascii="Times New Roman" w:eastAsia="Times New Roman" w:hAnsi="Times New Roman" w:cs="Times New Roman"/>
          <w:color w:val="000000"/>
          <w:spacing w:val="0"/>
          <w:w w:val="100"/>
          <w:position w:val="0"/>
          <w:shd w:val="clear" w:color="auto" w:fill="auto"/>
          <w:lang w:val="hr-HR" w:eastAsia="hr-HR" w:bidi="hr-HR"/>
        </w:rPr>
        <w:t>viještanje neke Božje riječi. Pogansko-grčki proroci su većinom proroci iz proročišta, tj. predstavnici institucionaliziranog prorokova- nja koji tumače često nejasne izjave nekog ne</w:t>
        <w:softHyphen/>
        <w:t>posrednog primatelja objave. Stoga element ekstaze treba dometnuti samo ‘primarnim’ prorocima dok ‘sekundarni’ proroci u proro- čištima imaju isključivo racionalno-egzegetsku funkciju: uz Apolonovo proročište u Dclfima svećenica (tzv. Pitija) bi u transu izricala pro</w:t>
        <w:softHyphen/>
        <w:t>ročanstva u stihovima, kasnije i u prozi, koja je tumačila ekipa ‘proroka’.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SZ oznaka p. (hebr. nabi, prevedeno u Sep- tuaginti s prophetes) nije se upotrebljavala jedinstveno: Glavni se problem sastoji u tome da se s jedne strane s »p.« obilježava pripad</w:t>
        <w:softHyphen/>
        <w:t xml:space="preserve">nik određene skupine proroka po zanimanju koji stoji u tijesnoj vezi s kultom (ovdje jc najviše moguća usporedba s profanim grčkim prorocima), ali da su s druge strane ‘pravi’ proroci pojedinačni likovi koji sebe drže za suprotnost institucionaliziranom prorokova- nju. Osim toga, titula proroka prenosi se i na starije likove kao šio su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Mojsije, </w:t>
      </w:r>
      <w:r>
        <w:rPr>
          <w:rFonts w:ascii="Times New Roman" w:eastAsia="Times New Roman" w:hAnsi="Times New Roman" w:cs="Times New Roman"/>
          <w:color w:val="000000"/>
          <w:spacing w:val="0"/>
          <w:w w:val="100"/>
          <w:position w:val="0"/>
          <w:shd w:val="clear" w:color="auto" w:fill="auto"/>
          <w:lang w:val="en-US" w:eastAsia="en-US" w:bidi="en-US"/>
        </w:rPr>
        <w:t xml:space="preserve">Aron, </w:t>
      </w:r>
      <w:r>
        <w:rPr>
          <w:rFonts w:ascii="Times New Roman" w:eastAsia="Times New Roman" w:hAnsi="Times New Roman" w:cs="Times New Roman"/>
          <w:color w:val="000000"/>
          <w:spacing w:val="0"/>
          <w:w w:val="100"/>
          <w:position w:val="0"/>
          <w:shd w:val="clear" w:color="auto" w:fill="auto"/>
          <w:lang w:val="hr-HR" w:eastAsia="hr-HR" w:bidi="hr-HR"/>
        </w:rPr>
        <w:t>Mirjam i dr. - Pravo je prorokovanjc, po shvaćanju SZ, autentično naviještanje Jah- vine volje izvan ili barem nezavisno od svake institucionalne povezanosti. Pritom načelno sadržaj nije omiljen ni kazuistički, nego se bit</w:t>
        <w:softHyphen/>
        <w:t>no odnosi na povijest spasenja izraelskog na</w:t>
        <w:softHyphen/>
        <w:t>roda. Povod za proročanstvo većinom nije ne</w:t>
        <w:softHyphen/>
        <w:t>ko Bogu postavljeno pitanje i odgovor na nje</w:t>
        <w:softHyphen/>
        <w:t>ga nego profetski doživljaj poziva (usp. npr. Jr 1,4 i d.; Ez 1,1 i d.; Hoš 1,1 i d., itd.) koji pro</w:t>
        <w:softHyphen/>
        <w:t>roka ozakonjuje za neizazvano naviještanje Jahvine riječi, a koja jc u pravilu riječ o ne</w:t>
        <w:softHyphen/>
        <w:t>volji. Stoga već za SZ problem predstavlja po</w:t>
        <w:softHyphen/>
        <w:t>java lažnih proroka, odnosno njihovo raskrin</w:t>
        <w:softHyphen/>
        <w:t>kavanje.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NZ različiti židovski muževi i žene nose proročke crte: Zaharija, Elizabeta, </w:t>
      </w:r>
      <w:r>
        <w:rPr>
          <w:rFonts w:ascii="Times New Roman" w:eastAsia="Times New Roman" w:hAnsi="Times New Roman" w:cs="Times New Roman"/>
          <w:color w:val="000000"/>
          <w:spacing w:val="0"/>
          <w:w w:val="100"/>
          <w:position w:val="0"/>
          <w:shd w:val="clear" w:color="auto" w:fill="auto"/>
          <w:lang w:val="en-US" w:eastAsia="en-US" w:bidi="en-US"/>
        </w:rPr>
        <w:t xml:space="preserve">Simeon, </w:t>
      </w:r>
      <w:r>
        <w:rPr>
          <w:rFonts w:ascii="Times New Roman" w:eastAsia="Times New Roman" w:hAnsi="Times New Roman" w:cs="Times New Roman"/>
          <w:color w:val="000000"/>
          <w:spacing w:val="0"/>
          <w:w w:val="100"/>
          <w:position w:val="0"/>
          <w:shd w:val="clear" w:color="auto" w:fill="auto"/>
          <w:lang w:val="hr-HR" w:eastAsia="hr-HR" w:bidi="hr-HR"/>
        </w:rPr>
        <w:t>Ana (usp. Lk 1,41,67; 2,25,36) i prije svega Ivan Krstitelj koji se označava kao p. i u povijes</w:t>
        <w:softHyphen/>
        <w:t>nom izvoru i u izvoru logija (usp. Mk 11,32; Mt 21,26; Lk 20,6 odnosno Mt 11,9-11; Lk 7,26-28); njegov poziv (Lk 3,1-6) oponaša po</w:t>
        <w:softHyphen/>
        <w:t>ziv starozavjetnih proroka. I Isus se povre</w:t>
        <w:softHyphen/>
        <w:t>meno naziva prorokom; Ivanovo evanđelje i Djela apostolska osobito naglašavaju da je s Isusom bilo ispunjeno starozavjetno proro</w:t>
        <w:softHyphen/>
        <w:t>čanstvo i da je on sam u Pnz 18,15 obećani cshatološki p. (usp. Iv 6,14; 7,40.52; Dj 3,22;</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7,37). U prakršćanstvu sc karizmatički navjes</w:t>
        <w:softHyphen/>
        <w:t>titelji Božje riječi nazivaju prorocima i ob</w:t>
        <w:softHyphen/>
        <w:t>našaju visoku funkciju u zajednici; prema Pav- lu, prorokovanje je najvažnija karizma i strogo se razlikuje od glosolalije: ekstaza je tuda pra- kršćanskom proroku koji govori pri bistrom umu: »ležite za ljubavlju! Vruće čeznite za du</w:t>
        <w:softHyphen/>
        <w:t>hovnim darovima, posebno za prorokovanjem! Jer, koji govori tuđim jezikom, ne govori lju</w:t>
        <w:softHyphen/>
        <w:t>dima, nego Bogu; ... Naprotiv, onaj koji pro</w:t>
        <w:softHyphen/>
        <w:t>rokuje, govori ljudima: uzdiže ih, opominje i tješi« (1 Kor 14,1-3). Ovo prorokovanje u za</w:t>
        <w:softHyphen/>
        <w:t>jednici bila je u apostolsko vrijeme vrlo česta pojava i još se javljala u ranom poslijeapostol- skom vremenu kao što izvješćuju Didahe (uče</w:t>
        <w:softHyphen/>
        <w:t>nje 12 apostola) i Hermin ‘Pastir’.</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crkvenih otaca razvija se shvaćanje o pro- rokovanju i proročanstvu tako da su kao pro</w:t>
        <w:softHyphen/>
        <w:t>roci gotovo isključivo označeni starozavjetni proroci Pisma; čak i novozavjetni proroci kao Agab spomenuti su samo pojedinačno. Au</w:t>
        <w:softHyphen/>
        <w:t>tentično prorokovanje u sadašnjosti teško sc moglo održati, jer su uzimali maha lažni pro</w:t>
        <w:softHyphen/>
        <w:t>roci i uslijed teškoće »da se razlikuju duhovi« (I Kor 12,10) i ‘suvišnosti’ prorokovanja s ob</w:t>
        <w:softHyphen/>
        <w:t>zirom na to da su se u Isusu ispunila staro</w:t>
        <w:softHyphen/>
        <w:t>zavjetna proročanstva; posljednji plamsaj doži</w:t>
        <w:softHyphen/>
        <w:t>vjelo je prorokovanje u montanizmu. - Zatim je u prvi plan došao napor oko razumijevanja i tumačenja starozavjetnog prorokovanja u nje</w:t>
        <w:softHyphen/>
        <w:t>govu ukazivanju na Isusa (dokazi o onom što se proreklo). Zato za tumačenje prorokovanja konstitutivan element postaje ono što će ubu</w:t>
        <w:softHyphen/>
        <w:t>duće biti, obistinjenje kao mjerilo njegove is</w:t>
        <w:softHyphen/>
        <w:t>tine - kriterij koji u aktualnoj borbi mišljenja oko proročke izjave nije mogao igrati nikakvu ulogu. Definicija proroka, odnosno proroko</w:t>
        <w:softHyphen/>
        <w:t>vanja postavlja kao uvjet, uz nužnu autentič</w:t>
        <w:softHyphen/>
        <w:t>nost proročkoga govora, još i stvarno obisti</w:t>
        <w:softHyphen/>
        <w:t xml:space="preserve">njenje onoga što sc proricalo (tako npr. kod Origena, Ivana Zlatoustog, Ireneja </w:t>
      </w:r>
      <w:r>
        <w:rPr>
          <w:rFonts w:ascii="Times New Roman" w:eastAsia="Times New Roman" w:hAnsi="Times New Roman" w:cs="Times New Roman"/>
          <w:color w:val="000000"/>
          <w:spacing w:val="0"/>
          <w:w w:val="100"/>
          <w:position w:val="0"/>
          <w:shd w:val="clear" w:color="auto" w:fill="auto"/>
          <w:lang w:val="en-US" w:eastAsia="en-US" w:bidi="en-US"/>
        </w:rPr>
        <w:t xml:space="preserve">Lyonskog, </w:t>
      </w:r>
      <w:r>
        <w:rPr>
          <w:rFonts w:ascii="Times New Roman" w:eastAsia="Times New Roman" w:hAnsi="Times New Roman" w:cs="Times New Roman"/>
          <w:color w:val="000000"/>
          <w:spacing w:val="0"/>
          <w:w w:val="100"/>
          <w:position w:val="0"/>
          <w:shd w:val="clear" w:color="auto" w:fill="auto"/>
          <w:lang w:val="hr-HR" w:eastAsia="hr-HR" w:bidi="hr-HR"/>
        </w:rPr>
        <w:t>Kasiodora i dr.). Ta se tendencija nastavlja i u srednjem vijeku pri čemu navedeno shvaćanje prorokovanja pruža argumente kršćanskoj po</w:t>
        <w:softHyphen/>
        <w:t>lemici protiv židovstva i islama: Tako sc npr. Muhamedova pretenzija da je p., koji se sas</w:t>
        <w:softHyphen/>
        <w:t>vim u smislu SZ shvaćao kao navjestitelj ob</w:t>
        <w:softHyphen/>
        <w:t>javljene Božje riječi i kao »pečat proroka« (Kuran 33,40), mogla pobiti između ostalog argumentom da nije ništa prorokovao što bi se kasnije ispunilo.</w:t>
      </w:r>
    </w:p>
    <w:p>
      <w:pPr>
        <w:pStyle w:val="Style56"/>
        <w:keepNext w:val="0"/>
        <w:keepLines w:val="0"/>
        <w:widowControl w:val="0"/>
        <w:shd w:val="clear" w:color="auto" w:fill="auto"/>
        <w:bidi w:val="0"/>
        <w:spacing w:before="0" w:after="40" w:line="240" w:lineRule="auto"/>
        <w:ind w:left="0" w:right="0" w:firstLine="0"/>
        <w:jc w:val="both"/>
      </w:pPr>
      <w:r>
        <w:rPr>
          <w:color w:val="000000"/>
          <w:spacing w:val="0"/>
          <w:w w:val="100"/>
          <w:position w:val="0"/>
          <w:shd w:val="clear" w:color="auto" w:fill="auto"/>
        </w:rPr>
        <w:t xml:space="preserve">Lil: </w:t>
      </w:r>
      <w:r>
        <w:rPr>
          <w:color w:val="000000"/>
          <w:spacing w:val="0"/>
          <w:w w:val="100"/>
          <w:position w:val="0"/>
          <w:shd w:val="clear" w:color="auto" w:fill="auto"/>
          <w:lang w:val="hr-HR" w:eastAsia="hr-HR" w:bidi="hr-HR"/>
        </w:rPr>
        <w:t xml:space="preserve">N. Brox, Prophetcia im ersten Timothcusbricf, u: </w:t>
      </w:r>
      <w:r>
        <w:rPr>
          <w:i/>
          <w:iCs/>
          <w:color w:val="000000"/>
          <w:spacing w:val="0"/>
          <w:w w:val="100"/>
          <w:position w:val="0"/>
          <w:shd w:val="clear" w:color="auto" w:fill="auto"/>
          <w:lang w:val="hr-HR" w:eastAsia="hr-HR" w:bidi="hr-HR"/>
        </w:rPr>
        <w:t>Bibli- sehe Zeiischrift</w:t>
      </w:r>
      <w:r>
        <w:rPr>
          <w:color w:val="000000"/>
          <w:spacing w:val="0"/>
          <w:w w:val="100"/>
          <w:position w:val="0"/>
          <w:shd w:val="clear" w:color="auto" w:fill="auto"/>
          <w:lang w:val="hr-HR" w:eastAsia="hr-HR" w:bidi="hr-HR"/>
        </w:rPr>
        <w:t xml:space="preserve"> 20. 1976, 229-232; E. Dckkcrs. Propbeicia-</w:t>
      </w:r>
    </w:p>
    <w:p>
      <w:pPr>
        <w:pStyle w:val="Style56"/>
        <w:keepNext w:val="0"/>
        <w:keepLines w:val="0"/>
        <w:widowControl w:val="0"/>
        <w:shd w:val="clear" w:color="auto" w:fill="auto"/>
        <w:tabs>
          <w:tab w:pos="2616" w:val="left"/>
        </w:tabs>
        <w:bidi w:val="0"/>
        <w:spacing w:before="0" w:after="180" w:line="240" w:lineRule="auto"/>
        <w:ind w:left="0" w:right="0" w:firstLine="0"/>
        <w:jc w:val="both"/>
      </w:pPr>
      <w:r>
        <w:rPr>
          <w:color w:val="000000"/>
          <w:spacing w:val="0"/>
          <w:w w:val="100"/>
          <w:position w:val="0"/>
          <w:shd w:val="clear" w:color="auto" w:fill="auto"/>
          <w:lang w:val="hr-HR" w:eastAsia="hr-HR" w:bidi="hr-HR"/>
        </w:rPr>
        <w:t xml:space="preserve">praefatio, u: </w:t>
      </w:r>
      <w:r>
        <w:rPr>
          <w:i/>
          <w:iCs/>
          <w:color w:val="000000"/>
          <w:spacing w:val="0"/>
          <w:w w:val="100"/>
          <w:position w:val="0"/>
          <w:shd w:val="clear" w:color="auto" w:fill="auto"/>
        </w:rPr>
        <w:t xml:space="preserve">Melanges </w:t>
      </w:r>
      <w:r>
        <w:rPr>
          <w:i/>
          <w:iCs/>
          <w:color w:val="000000"/>
          <w:spacing w:val="0"/>
          <w:w w:val="100"/>
          <w:position w:val="0"/>
          <w:shd w:val="clear" w:color="auto" w:fill="auto"/>
          <w:lang w:val="hr-HR" w:eastAsia="hr-HR" w:bidi="hr-HR"/>
        </w:rPr>
        <w:t>Chr. Mohrtnann</w:t>
      </w:r>
      <w:r>
        <w:rPr>
          <w:color w:val="000000"/>
          <w:spacing w:val="0"/>
          <w:w w:val="100"/>
          <w:position w:val="0"/>
          <w:shd w:val="clear" w:color="auto" w:fill="auto"/>
          <w:lang w:val="hr-HR" w:eastAsia="hr-HR" w:bidi="hr-HR"/>
        </w:rPr>
        <w:t xml:space="preserve"> (1963) 190-195; E Faschcr, </w:t>
      </w:r>
      <w:r>
        <w:rPr>
          <w:i/>
          <w:iCs/>
          <w:color w:val="000000"/>
          <w:spacing w:val="0"/>
          <w:w w:val="100"/>
          <w:position w:val="0"/>
          <w:shd w:val="clear" w:color="auto" w:fill="auto"/>
          <w:lang w:val="hr-HR" w:eastAsia="hr-HR" w:bidi="hr-HR"/>
        </w:rPr>
        <w:t>PROPHETES. Einesprach- und religionsgeschicht- iiche l/'ntersuchung,</w:t>
      </w:r>
      <w:r>
        <w:rPr>
          <w:color w:val="000000"/>
          <w:spacing w:val="0"/>
          <w:w w:val="100"/>
          <w:position w:val="0"/>
          <w:shd w:val="clear" w:color="auto" w:fill="auto"/>
          <w:lang w:val="hr-HR" w:eastAsia="hr-HR" w:bidi="hr-HR"/>
        </w:rPr>
        <w:t xml:space="preserve"> 1927; Hagcmann. </w:t>
      </w:r>
      <w:r>
        <w:rPr>
          <w:i/>
          <w:iCs/>
          <w:color w:val="000000"/>
          <w:spacing w:val="0"/>
          <w:w w:val="100"/>
          <w:position w:val="0"/>
          <w:shd w:val="clear" w:color="auto" w:fill="auto"/>
          <w:lang w:val="hr-HR" w:eastAsia="hr-HR" w:bidi="hr-HR"/>
        </w:rPr>
        <w:t xml:space="preserve">Propheiien - 7.eu- gen des Glaubcns. Koranischc und biblische Deu/ungen, </w:t>
      </w:r>
      <w:r>
        <w:rPr>
          <w:color w:val="000000"/>
          <w:spacing w:val="0"/>
          <w:w w:val="100"/>
          <w:position w:val="0"/>
          <w:shd w:val="clear" w:color="auto" w:fill="auto"/>
          <w:lang w:val="hr-HR" w:eastAsia="hr-HR" w:bidi="hr-HR"/>
        </w:rPr>
        <w:t xml:space="preserve">Graz 1985; J. Jcccmias. natuknica Nabi, u: </w:t>
      </w:r>
      <w:r>
        <w:rPr>
          <w:smallCaps/>
          <w:color w:val="000000"/>
          <w:spacing w:val="0"/>
          <w:w w:val="100"/>
          <w:position w:val="0"/>
          <w:shd w:val="clear" w:color="auto" w:fill="auto"/>
        </w:rPr>
        <w:t>TJiHWAT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2. 1976, 7-26; H. </w:t>
      </w:r>
      <w:r>
        <w:rPr>
          <w:color w:val="000000"/>
          <w:spacing w:val="0"/>
          <w:w w:val="100"/>
          <w:position w:val="0"/>
          <w:shd w:val="clear" w:color="auto" w:fill="auto"/>
        </w:rPr>
        <w:t xml:space="preserve">Kramer </w:t>
      </w:r>
      <w:r>
        <w:rPr>
          <w:color w:val="000000"/>
          <w:spacing w:val="0"/>
          <w:w w:val="100"/>
          <w:position w:val="0"/>
          <w:shd w:val="clear" w:color="auto" w:fill="auto"/>
          <w:lang w:val="hr-HR" w:eastAsia="hr-HR" w:bidi="hr-HR"/>
        </w:rPr>
        <w:t xml:space="preserve">i dr.. natuknica: Prophctcs, u: </w:t>
      </w:r>
      <w:r>
        <w:rPr>
          <w:color w:val="000000"/>
          <w:spacing w:val="0"/>
          <w:w w:val="100"/>
          <w:position w:val="0"/>
          <w:shd w:val="clear" w:color="auto" w:fill="auto"/>
        </w:rPr>
        <w:t xml:space="preserve">ThWNT </w:t>
      </w:r>
      <w:r>
        <w:rPr>
          <w:color w:val="000000"/>
          <w:spacing w:val="0"/>
          <w:w w:val="100"/>
          <w:position w:val="0"/>
          <w:shd w:val="clear" w:color="auto" w:fill="auto"/>
          <w:lang w:val="hr-HR" w:eastAsia="hr-HR" w:bidi="hr-HR"/>
        </w:rPr>
        <w:t xml:space="preserve">6, 1959, 781-863: popis literature u: Bd 10/2. 1979, 1250-54; H. </w:t>
      </w:r>
      <w:r>
        <w:rPr>
          <w:color w:val="000000"/>
          <w:spacing w:val="0"/>
          <w:w w:val="100"/>
          <w:position w:val="0"/>
          <w:shd w:val="clear" w:color="auto" w:fill="auto"/>
        </w:rPr>
        <w:t xml:space="preserve">Kraft, Die allkirchlichc Prophetic und die Entsichung des Montanismus, u: </w:t>
      </w:r>
      <w:r>
        <w:rPr>
          <w:i/>
          <w:iCs/>
          <w:color w:val="000000"/>
          <w:spacing w:val="0"/>
          <w:w w:val="100"/>
          <w:position w:val="0"/>
          <w:shd w:val="clear" w:color="auto" w:fill="auto"/>
        </w:rPr>
        <w:t xml:space="preserve">Theologjschc Zeiischrifi </w:t>
      </w:r>
      <w:r>
        <w:rPr>
          <w:color w:val="000000"/>
          <w:spacing w:val="0"/>
          <w:w w:val="100"/>
          <w:position w:val="0"/>
          <w:shd w:val="clear" w:color="auto" w:fill="auto"/>
        </w:rPr>
        <w:t xml:space="preserve">11, 1955, 249-271;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B. Muller, </w:t>
      </w:r>
      <w:r>
        <w:rPr>
          <w:i/>
          <w:iCs/>
          <w:color w:val="000000"/>
          <w:spacing w:val="0"/>
          <w:w w:val="100"/>
          <w:position w:val="0"/>
          <w:shd w:val="clear" w:color="auto" w:fill="auto"/>
        </w:rPr>
        <w:t>Prophelie und Predigt im Neuen Testament,</w:t>
      </w:r>
      <w:r>
        <w:rPr>
          <w:color w:val="000000"/>
          <w:spacing w:val="0"/>
          <w:w w:val="100"/>
          <w:position w:val="0"/>
          <w:shd w:val="clear" w:color="auto" w:fill="auto"/>
        </w:rPr>
        <w:t xml:space="preserve"> 1975; G. Munderlcin, </w:t>
      </w:r>
      <w:r>
        <w:rPr>
          <w:i/>
          <w:iCs/>
          <w:color w:val="000000"/>
          <w:spacing w:val="0"/>
          <w:w w:val="100"/>
          <w:position w:val="0"/>
          <w:shd w:val="clear" w:color="auto" w:fill="auto"/>
        </w:rPr>
        <w:t>Kriterien wahrer und falscher Prophetie. Enistehung und Bedeuiung im Alien Tesiumeni,</w:t>
      </w:r>
      <w:r>
        <w:rPr>
          <w:color w:val="000000"/>
          <w:spacing w:val="0"/>
          <w:w w:val="100"/>
          <w:position w:val="0"/>
          <w:shd w:val="clear" w:color="auto" w:fill="auto"/>
        </w:rPr>
        <w:tab/>
        <w:t>R.GLEl</w:t>
      </w:r>
    </w:p>
    <w:p>
      <w:pPr>
        <w:pStyle w:val="Style63"/>
        <w:keepNext/>
        <w:keepLines/>
        <w:widowControl w:val="0"/>
        <w:numPr>
          <w:ilvl w:val="0"/>
          <w:numId w:val="443"/>
        </w:numPr>
        <w:shd w:val="clear" w:color="auto" w:fill="auto"/>
        <w:tabs>
          <w:tab w:pos="265" w:val="left"/>
        </w:tabs>
        <w:bidi w:val="0"/>
        <w:spacing w:before="0"/>
        <w:ind w:left="0" w:right="0" w:firstLine="0"/>
        <w:jc w:val="both"/>
      </w:pPr>
      <w:bookmarkStart w:id="290" w:name="bookmark290"/>
      <w:r>
        <w:rPr>
          <w:rFonts w:ascii="Times New Roman" w:eastAsia="Times New Roman" w:hAnsi="Times New Roman" w:cs="Times New Roman"/>
          <w:color w:val="000000"/>
          <w:spacing w:val="0"/>
          <w:w w:val="100"/>
          <w:position w:val="0"/>
          <w:shd w:val="clear" w:color="auto" w:fill="auto"/>
          <w:lang w:val="hr-HR" w:eastAsia="hr-HR" w:bidi="hr-HR"/>
        </w:rPr>
        <w:t>islamski</w:t>
      </w:r>
      <w:bookmarkEnd w:id="290"/>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Pod </w:t>
      </w:r>
      <w:r>
        <w:rPr>
          <w:rFonts w:ascii="Times New Roman" w:eastAsia="Times New Roman" w:hAnsi="Times New Roman" w:cs="Times New Roman"/>
          <w:color w:val="000000"/>
          <w:spacing w:val="0"/>
          <w:w w:val="100"/>
          <w:position w:val="0"/>
          <w:shd w:val="clear" w:color="auto" w:fill="auto"/>
          <w:lang w:val="hr-HR" w:eastAsia="hr-HR" w:bidi="hr-HR"/>
        </w:rPr>
        <w:t xml:space="preserve">pojmom </w:t>
      </w:r>
      <w:r>
        <w:rPr>
          <w:rFonts w:ascii="Times New Roman" w:eastAsia="Times New Roman" w:hAnsi="Times New Roman" w:cs="Times New Roman"/>
          <w:color w:val="000000"/>
          <w:spacing w:val="0"/>
          <w:w w:val="100"/>
          <w:position w:val="0"/>
          <w:shd w:val="clear" w:color="auto" w:fill="auto"/>
          <w:lang w:val="en-US" w:eastAsia="en-US" w:bidi="en-US"/>
        </w:rPr>
        <w:t xml:space="preserve">p. </w:t>
      </w:r>
      <w:r>
        <w:rPr>
          <w:rFonts w:ascii="Times New Roman" w:eastAsia="Times New Roman" w:hAnsi="Times New Roman" w:cs="Times New Roman"/>
          <w:color w:val="000000"/>
          <w:spacing w:val="0"/>
          <w:w w:val="100"/>
          <w:position w:val="0"/>
          <w:shd w:val="clear" w:color="auto" w:fill="auto"/>
          <w:lang w:val="hr-HR" w:eastAsia="hr-HR" w:bidi="hr-HR"/>
        </w:rPr>
        <w:t xml:space="preserve">(arapski </w:t>
      </w:r>
      <w:r>
        <w:rPr>
          <w:rFonts w:ascii="Times New Roman" w:eastAsia="Times New Roman" w:hAnsi="Times New Roman" w:cs="Times New Roman"/>
          <w:i/>
          <w:iCs/>
          <w:color w:val="000000"/>
          <w:spacing w:val="0"/>
          <w:w w:val="100"/>
          <w:position w:val="0"/>
          <w:shd w:val="clear" w:color="auto" w:fill="auto"/>
          <w:lang w:val="en-US" w:eastAsia="en-US" w:bidi="en-US"/>
        </w:rPr>
        <w:t>nabi:</w:t>
      </w:r>
      <w:r>
        <w:rPr>
          <w:rFonts w:ascii="Times New Roman" w:eastAsia="Times New Roman" w:hAnsi="Times New Roman" w:cs="Times New Roman"/>
          <w:color w:val="000000"/>
          <w:spacing w:val="0"/>
          <w:w w:val="100"/>
          <w:position w:val="0"/>
          <w:shd w:val="clear" w:color="auto" w:fill="auto"/>
          <w:lang w:val="en-US" w:eastAsia="en-US" w:bidi="en-US"/>
        </w:rPr>
        <w:t xml:space="preserve"> vjerovjesnik) u </w:t>
      </w:r>
      <w:r>
        <w:rPr>
          <w:rFonts w:ascii="Times New Roman" w:eastAsia="Times New Roman" w:hAnsi="Times New Roman" w:cs="Times New Roman"/>
          <w:color w:val="000000"/>
          <w:spacing w:val="0"/>
          <w:w w:val="100"/>
          <w:position w:val="0"/>
          <w:shd w:val="clear" w:color="auto" w:fill="auto"/>
          <w:lang w:val="hr-HR" w:eastAsia="hr-HR" w:bidi="hr-HR"/>
        </w:rPr>
        <w:t xml:space="preserve">islamu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podrazumijeva ona karizmatska lič</w:t>
        <w:softHyphen/>
        <w:t>nost koju je Bog ovlastio da poziva na vjeru i da se bori protiv pokvarenosti. Dok Tora pra</w:t>
        <w:softHyphen/>
        <w:t>vi razliku između velikih i malih proroka, po Kuranu su svi (vjerski) proroci međusobno jednaki. Sa stajališta povijesti djelovanja zna</w:t>
        <w:softHyphen/>
        <w:t>čajniji su ipak oni proroci koji su iza sebe osta</w:t>
        <w:softHyphen/>
        <w:t xml:space="preserve">vili neku posebnu Vijest ili Pismo. Oni sc zovu Božji vjesnici ili Božji poslanici </w:t>
      </w:r>
      <w:r>
        <w:rPr>
          <w:rFonts w:ascii="Times New Roman" w:eastAsia="Times New Roman" w:hAnsi="Times New Roman" w:cs="Times New Roman"/>
          <w:i/>
          <w:iCs/>
          <w:color w:val="000000"/>
          <w:spacing w:val="0"/>
          <w:w w:val="100"/>
          <w:position w:val="0"/>
          <w:shd w:val="clear" w:color="auto" w:fill="auto"/>
          <w:lang w:val="hr-HR" w:eastAsia="hr-HR" w:bidi="hr-HR"/>
        </w:rPr>
        <w:t xml:space="preserve">(rusulallah). </w:t>
      </w:r>
      <w:r>
        <w:rPr>
          <w:rFonts w:ascii="Times New Roman" w:eastAsia="Times New Roman" w:hAnsi="Times New Roman" w:cs="Times New Roman"/>
          <w:color w:val="000000"/>
          <w:spacing w:val="0"/>
          <w:w w:val="100"/>
          <w:position w:val="0"/>
          <w:shd w:val="clear" w:color="auto" w:fill="auto"/>
          <w:lang w:val="hr-HR" w:eastAsia="hr-HR" w:bidi="hr-HR"/>
        </w:rPr>
        <w:t>Zadnji je p. a time i zadnji Božji poslanik Mu</w:t>
        <w:softHyphen/>
        <w:t>hamed, koji kao »pečat proroka« ukida svaki naredni zahtjev za proroštvom. Ono što su u vrijeme biblijskoga doba bili ljudi koji su se u proročkim školama odgajali za čuvare vjera i za nadzornike javnoga morala, to su u islamu, nakon Muhamedovc smrti, bili pismoznanci. Prema jednom hadisu oni su legitimni nasljed</w:t>
        <w:softHyphen/>
        <w:t>nici proroka.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Vjerovanje u proroke sačinjava četvrti članak islamske vjere. Najvećim se prorocima sma</w:t>
        <w:softHyphen/>
        <w:t xml:space="preserve">traju </w:t>
      </w:r>
      <w:r>
        <w:rPr>
          <w:rFonts w:ascii="Times New Roman" w:eastAsia="Times New Roman" w:hAnsi="Times New Roman" w:cs="Times New Roman"/>
          <w:color w:val="000000"/>
          <w:spacing w:val="0"/>
          <w:w w:val="100"/>
          <w:position w:val="0"/>
          <w:shd w:val="clear" w:color="auto" w:fill="auto"/>
          <w:lang w:val="en-US" w:eastAsia="en-US" w:bidi="en-US"/>
        </w:rPr>
        <w:t xml:space="preserve">Noa, Abraham, </w:t>
      </w:r>
      <w:r>
        <w:rPr>
          <w:rFonts w:ascii="Times New Roman" w:eastAsia="Times New Roman" w:hAnsi="Times New Roman" w:cs="Times New Roman"/>
          <w:color w:val="000000"/>
          <w:spacing w:val="0"/>
          <w:w w:val="100"/>
          <w:position w:val="0"/>
          <w:shd w:val="clear" w:color="auto" w:fill="auto"/>
          <w:lang w:val="hr-HR" w:eastAsia="hr-HR" w:bidi="hr-HR"/>
        </w:rPr>
        <w:t>Mojsije, Isus i Muha</w:t>
        <w:softHyphen/>
        <w:t>med. Za vjerski senzibiliziranoga muslimana nije primjereno da se prorocima nazivaju ve</w:t>
        <w:softHyphen/>
        <w:t xml:space="preserve">liki religijsko-povijesni likovi kakvi su bili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Mojsije, Isus i Muhamed. Djelo</w:t>
        <w:softHyphen/>
        <w:t>mični aspekt proroštva predstavljaju i pred</w:t>
        <w:softHyphen/>
        <w:t>viđanja. No ona uvelike ili u potpunosti izo</w:t>
        <w:softHyphen/>
        <w:t>staju u području djelovanja tih ljudi.</w:t>
      </w:r>
    </w:p>
    <w:p>
      <w:pPr>
        <w:pStyle w:val="Style20"/>
        <w:keepNext w:val="0"/>
        <w:keepLines w:val="0"/>
        <w:widowControl w:val="0"/>
        <w:shd w:val="clear" w:color="auto" w:fill="auto"/>
        <w:bidi w:val="0"/>
        <w:spacing w:before="0" w:after="0" w:line="240" w:lineRule="auto"/>
        <w:ind w:left="0" w:right="0" w:firstLine="0"/>
        <w:jc w:val="both"/>
        <w:sectPr>
          <w:headerReference w:type="default" r:id="rId1191"/>
          <w:footerReference w:type="default" r:id="rId1192"/>
          <w:headerReference w:type="even" r:id="rId1193"/>
          <w:footerReference w:type="even" r:id="rId1194"/>
          <w:headerReference w:type="first" r:id="rId1195"/>
          <w:footerReference w:type="first" r:id="rId1196"/>
          <w:footnotePr>
            <w:pos w:val="pageBottom"/>
            <w:numFmt w:val="decimal"/>
            <w:numRestart w:val="continuous"/>
            <w15:footnoteColumns w:val="1"/>
          </w:footnotePr>
          <w:pgSz w:w="6816" w:h="11006"/>
          <w:pgMar w:top="828" w:left="185" w:right="190" w:bottom="339" w:header="0" w:footer="3" w:gutter="0"/>
          <w:cols w:num="2" w:space="17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Ono što je u Kuranu sadržano od predviđanja budućnosti, to su elementi jedne vizije buduć</w:t>
        <w:softHyphen/>
        <w:t>nosti koja proizlazi iz vjere. Muhamed nije primjerice stupio na prizornicu povijesti kako bi izricao proroštva, već kako bi ispunio mno</w:t>
        <w:softHyphen/>
        <w:t>go veću misiju. Oznaka p. nije primjerena niti njegovu poslanju niti njegovoj historijskoj ve</w:t>
        <w:softHyphen/>
        <w:t xml:space="preserve">ličini. </w:t>
      </w:r>
      <w:r>
        <w:rPr>
          <w:rFonts w:ascii="Times New Roman" w:eastAsia="Times New Roman" w:hAnsi="Times New Roman" w:cs="Times New Roman"/>
          <w:color w:val="000000"/>
          <w:spacing w:val="0"/>
          <w:w w:val="100"/>
          <w:position w:val="0"/>
          <w:shd w:val="clear" w:color="auto" w:fill="auto"/>
          <w:lang w:val="en-US" w:eastAsia="en-US" w:bidi="en-US"/>
        </w:rPr>
        <w:t xml:space="preserve">Osman Nuri </w:t>
      </w:r>
      <w:r>
        <w:rPr>
          <w:rFonts w:ascii="Times New Roman" w:eastAsia="Times New Roman" w:hAnsi="Times New Roman" w:cs="Times New Roman"/>
          <w:color w:val="000000"/>
          <w:spacing w:val="0"/>
          <w:w w:val="100"/>
          <w:position w:val="0"/>
          <w:shd w:val="clear" w:color="auto" w:fill="auto"/>
          <w:lang w:val="hr-HR" w:eastAsia="hr-HR" w:bidi="hr-HR"/>
        </w:rPr>
        <w:t>Hadžić (u. 1937) se deset</w:t>
        <w:softHyphen/>
        <w:t xml:space="preserve">ljećima borio protiv primjene takove oznake na Muhameda. Vjerski osviješteni muslimani smatraju neadekvatnim, zapravo uvredljivim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takovo kvalificiranje svojega vjerovjesnika. Oni u Muhamedu vide rasulallaha (Božjega poslanika s vlastitom porukom koja je kasnije fiksirana u Knjizi) ili zadnjega nabija, odnos</w:t>
        <w:softHyphen/>
        <w:t>no (osobnoga) pejgambera.</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Znatan dio Kurana sačinjavaju tzv. proročke pripovijesti. Teološko vrednovanje tih pripo</w:t>
        <w:softHyphen/>
        <w:t>vijesti nije jedinstveno. Dok ih stariji komen</w:t>
        <w:softHyphen/>
        <w:t>tatori Kurana uzimaju kao posredovanje si</w:t>
        <w:softHyphen/>
        <w:t>gurnih činjenica, neki noviji egzegeti (Hala- fallJh, Dozo, Korkut i dr.) pripisuju im po</w:t>
        <w:softHyphen/>
        <w:t>moćnu pedagoško-literarnu ulogu. Oni se pri</w:t>
        <w:softHyphen/>
        <w:t>tom pozivaju na to da sam Kuran ističe pe- renetsko-literarnu i estetsku usmjerenost jed</w:t>
        <w:softHyphen/>
        <w:t>noga dijela svojih proročkih pripovijesti. Tako se, primjerice, u njemu sadržano izvješće o egipatskome Josipu kvalificira kao »najljepša pripovijest«. Općenito gledano, ta se skupina kuranskih iskaza sastoji od tračaka, ulomaka i nagovještaja. Izostaju zaokruženi prikazi. Sve to dokazuje da im je u cjelokupnom konceptu Kurana dodijeljena samo sporedna funkcija. Oni su u stanovitoj mjeri subkultura svijeta misli i osjećaja koji je sadržan u Kuranu. Po tom shvaćanju, koje danas sve više jača, pro</w:t>
        <w:softHyphen/>
        <w:t>ročke su pripovijesti istodobno jedna vrsta za</w:t>
        <w:softHyphen/>
        <w:t>bavnoga literarnog štiva koje između ostaloga služi kao podloga za razgovor s drugim objav</w:t>
        <w:softHyphen/>
        <w:t>ljenim religijama. Stoga se, prema tomu miš</w:t>
        <w:softHyphen/>
        <w:t>ljenju, u njima ne radi toliko o sadržaju i učin</w:t>
        <w:softHyphen/>
        <w:t>ku koliko o dobivanju pomoćnoga sredstva za jačanje vjere kod određenoga slušateljstva. One služe kao poticaj i stimulans za razvijanje pobožnosti. Njihov je dotični junak uzor (uswa hasana). On stoga mora moči u svojim ljud</w:t>
        <w:softHyphen/>
        <w:t>skim dimenzijama osloviti slušatelja.</w:t>
      </w:r>
    </w:p>
    <w:p>
      <w:pPr>
        <w:pStyle w:val="Style56"/>
        <w:keepNext w:val="0"/>
        <w:keepLines w:val="0"/>
        <w:widowControl w:val="0"/>
        <w:shd w:val="clear" w:color="auto" w:fill="auto"/>
        <w:tabs>
          <w:tab w:pos="2578" w:val="left"/>
        </w:tabs>
        <w:bidi w:val="0"/>
        <w:spacing w:before="0" w:after="300" w:line="233" w:lineRule="auto"/>
        <w:ind w:left="0" w:right="0" w:firstLine="0"/>
        <w:jc w:val="both"/>
        <w:rPr>
          <w:sz w:val="10"/>
          <w:szCs w:val="10"/>
        </w:rPr>
      </w:pPr>
      <w:r>
        <w:rPr>
          <w:color w:val="000000"/>
          <w:spacing w:val="0"/>
          <w:w w:val="100"/>
          <w:position w:val="0"/>
          <w:sz w:val="13"/>
          <w:szCs w:val="13"/>
          <w:shd w:val="clear" w:color="auto" w:fill="auto"/>
          <w:lang w:val="hr-HR" w:eastAsia="hr-HR" w:bidi="hr-HR"/>
        </w:rPr>
        <w:t xml:space="preserve">Lit.: F. </w:t>
      </w:r>
      <w:r>
        <w:rPr>
          <w:color w:val="000000"/>
          <w:spacing w:val="0"/>
          <w:w w:val="100"/>
          <w:position w:val="0"/>
          <w:sz w:val="13"/>
          <w:szCs w:val="13"/>
          <w:shd w:val="clear" w:color="auto" w:fill="auto"/>
        </w:rPr>
        <w:t xml:space="preserve">Rahman, </w:t>
      </w:r>
      <w:r>
        <w:rPr>
          <w:i/>
          <w:iCs/>
          <w:color w:val="000000"/>
          <w:spacing w:val="0"/>
          <w:w w:val="100"/>
          <w:position w:val="0"/>
          <w:sz w:val="12"/>
          <w:szCs w:val="12"/>
          <w:shd w:val="clear" w:color="auto" w:fill="auto"/>
        </w:rPr>
        <w:t xml:space="preserve">Prophecy in </w:t>
      </w:r>
      <w:r>
        <w:rPr>
          <w:i/>
          <w:iCs/>
          <w:color w:val="000000"/>
          <w:spacing w:val="0"/>
          <w:w w:val="100"/>
          <w:position w:val="0"/>
          <w:sz w:val="12"/>
          <w:szCs w:val="12"/>
          <w:shd w:val="clear" w:color="auto" w:fill="auto"/>
          <w:lang w:val="hr-HR" w:eastAsia="hr-HR" w:bidi="hr-HR"/>
        </w:rPr>
        <w:t xml:space="preserve">Islam. </w:t>
      </w:r>
      <w:r>
        <w:rPr>
          <w:i/>
          <w:iCs/>
          <w:color w:val="000000"/>
          <w:spacing w:val="0"/>
          <w:w w:val="100"/>
          <w:position w:val="0"/>
          <w:sz w:val="12"/>
          <w:szCs w:val="12"/>
          <w:shd w:val="clear" w:color="auto" w:fill="auto"/>
        </w:rPr>
        <w:t xml:space="preserve">Philosophy and </w:t>
      </w:r>
      <w:r>
        <w:rPr>
          <w:i/>
          <w:iCs/>
          <w:color w:val="000000"/>
          <w:spacing w:val="0"/>
          <w:w w:val="100"/>
          <w:position w:val="0"/>
          <w:sz w:val="12"/>
          <w:szCs w:val="12"/>
          <w:shd w:val="clear" w:color="auto" w:fill="auto"/>
          <w:lang w:val="hr-HR" w:eastAsia="hr-HR" w:bidi="hr-HR"/>
        </w:rPr>
        <w:t xml:space="preserve">Orio- </w:t>
      </w:r>
      <w:r>
        <w:rPr>
          <w:i/>
          <w:iCs/>
          <w:color w:val="000000"/>
          <w:spacing w:val="0"/>
          <w:w w:val="100"/>
          <w:position w:val="0"/>
          <w:sz w:val="12"/>
          <w:szCs w:val="12"/>
          <w:shd w:val="clear" w:color="auto" w:fill="auto"/>
        </w:rPr>
        <w:t>doxy,</w:t>
      </w:r>
      <w:r>
        <w:rPr>
          <w:color w:val="000000"/>
          <w:spacing w:val="0"/>
          <w:w w:val="100"/>
          <w:position w:val="0"/>
          <w:sz w:val="13"/>
          <w:szCs w:val="13"/>
          <w:shd w:val="clear" w:color="auto" w:fill="auto"/>
        </w:rPr>
        <w:t xml:space="preserve"> London 195K</w:t>
        <w:tab/>
      </w:r>
      <w:r>
        <w:rPr>
          <w:rFonts w:ascii="Times New Roman" w:eastAsia="Times New Roman" w:hAnsi="Times New Roman" w:cs="Times New Roman"/>
          <w:b/>
          <w:bCs/>
          <w:color w:val="000000"/>
          <w:spacing w:val="0"/>
          <w:w w:val="100"/>
          <w:position w:val="0"/>
          <w:sz w:val="10"/>
          <w:szCs w:val="10"/>
          <w:shd w:val="clear" w:color="auto" w:fill="auto"/>
        </w:rPr>
        <w:t xml:space="preserve">s. </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BAL1Ć</w:t>
      </w:r>
    </w:p>
    <w:p>
      <w:pPr>
        <w:pStyle w:val="Style33"/>
        <w:keepNext w:val="0"/>
        <w:keepLines w:val="0"/>
        <w:widowControl w:val="0"/>
        <w:shd w:val="clear" w:color="auto" w:fill="auto"/>
        <w:bidi w:val="0"/>
        <w:spacing w:before="0" w:after="140" w:line="216"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PROSVJETITELJSTVO</w:t>
      </w:r>
    </w:p>
    <w:p>
      <w:pPr>
        <w:pStyle w:val="Style63"/>
        <w:keepNext/>
        <w:keepLines/>
        <w:widowControl w:val="0"/>
        <w:numPr>
          <w:ilvl w:val="0"/>
          <w:numId w:val="455"/>
        </w:numPr>
        <w:shd w:val="clear" w:color="auto" w:fill="auto"/>
        <w:tabs>
          <w:tab w:pos="241" w:val="left"/>
        </w:tabs>
        <w:bidi w:val="0"/>
        <w:spacing w:before="0" w:line="216" w:lineRule="auto"/>
        <w:ind w:left="0" w:right="0" w:firstLine="0"/>
        <w:jc w:val="both"/>
      </w:pPr>
      <w:bookmarkStart w:id="291" w:name="bookmark291"/>
      <w:r>
        <w:rPr>
          <w:rFonts w:ascii="Times New Roman" w:eastAsia="Times New Roman" w:hAnsi="Times New Roman" w:cs="Times New Roman"/>
          <w:color w:val="000000"/>
          <w:spacing w:val="0"/>
          <w:w w:val="100"/>
          <w:position w:val="0"/>
          <w:shd w:val="clear" w:color="auto" w:fill="auto"/>
          <w:lang w:val="hr-HR" w:eastAsia="hr-HR" w:bidi="hr-HR"/>
        </w:rPr>
        <w:t>židovski</w:t>
      </w:r>
      <w:bookmarkEnd w:id="29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 </w:t>
      </w:r>
      <w:r>
        <w:rPr>
          <w:rFonts w:ascii="Times New Roman" w:eastAsia="Times New Roman" w:hAnsi="Times New Roman" w:cs="Times New Roman"/>
          <w:color w:val="000000"/>
          <w:spacing w:val="0"/>
          <w:w w:val="100"/>
          <w:position w:val="0"/>
          <w:shd w:val="clear" w:color="auto" w:fill="auto"/>
          <w:lang w:val="hr-HR" w:eastAsia="hr-HR" w:bidi="hr-HR"/>
        </w:rPr>
        <w:t>je europski pokret s naglaskom na razum</w:t>
        <w:softHyphen/>
        <w:t>nom. znanstvenom i kritičnom pogledu na svi</w:t>
        <w:softHyphen/>
        <w:t xml:space="preserve">jet, društvo i religiju. Počeo je u renesansnoj Italiji. Odnosi se i na židovsko p., hebr. </w:t>
      </w:r>
      <w:r>
        <w:rPr>
          <w:rFonts w:ascii="Times New Roman" w:eastAsia="Times New Roman" w:hAnsi="Times New Roman" w:cs="Times New Roman"/>
          <w:i/>
          <w:iCs/>
          <w:color w:val="000000"/>
          <w:spacing w:val="0"/>
          <w:w w:val="100"/>
          <w:position w:val="0"/>
          <w:shd w:val="clear" w:color="auto" w:fill="auto"/>
          <w:lang w:val="hr-HR" w:eastAsia="hr-HR" w:bidi="hr-HR"/>
        </w:rPr>
        <w:t>kas</w:t>
        <w:softHyphen/>
        <w:t>kala,</w:t>
      </w:r>
      <w:r>
        <w:rPr>
          <w:rFonts w:ascii="Times New Roman" w:eastAsia="Times New Roman" w:hAnsi="Times New Roman" w:cs="Times New Roman"/>
          <w:color w:val="000000"/>
          <w:spacing w:val="0"/>
          <w:w w:val="100"/>
          <w:position w:val="0"/>
          <w:shd w:val="clear" w:color="auto" w:fill="auto"/>
          <w:lang w:val="hr-HR" w:eastAsia="hr-HR" w:bidi="hr-HR"/>
        </w:rPr>
        <w:t xml:space="preserve"> s religijskim znanstvenicima kao što su Asarja </w:t>
      </w:r>
      <w:r>
        <w:rPr>
          <w:rFonts w:ascii="Times New Roman" w:eastAsia="Times New Roman" w:hAnsi="Times New Roman" w:cs="Times New Roman"/>
          <w:color w:val="000000"/>
          <w:spacing w:val="0"/>
          <w:w w:val="100"/>
          <w:position w:val="0"/>
          <w:shd w:val="clear" w:color="auto" w:fill="auto"/>
          <w:lang w:val="en-US" w:eastAsia="en-US" w:bidi="en-US"/>
        </w:rPr>
        <w:t xml:space="preserve">de’ Rossi, </w:t>
      </w:r>
      <w:r>
        <w:rPr>
          <w:rFonts w:ascii="Times New Roman" w:eastAsia="Times New Roman" w:hAnsi="Times New Roman" w:cs="Times New Roman"/>
          <w:color w:val="000000"/>
          <w:spacing w:val="0"/>
          <w:w w:val="100"/>
          <w:position w:val="0"/>
          <w:shd w:val="clear" w:color="auto" w:fill="auto"/>
          <w:lang w:val="hr-HR" w:eastAsia="hr-HR" w:bidi="hr-HR"/>
        </w:rPr>
        <w:t xml:space="preserve">XVI. stoljeće i </w:t>
      </w:r>
      <w:r>
        <w:rPr>
          <w:rFonts w:ascii="Times New Roman" w:eastAsia="Times New Roman" w:hAnsi="Times New Roman" w:cs="Times New Roman"/>
          <w:color w:val="000000"/>
          <w:spacing w:val="0"/>
          <w:w w:val="100"/>
          <w:position w:val="0"/>
          <w:shd w:val="clear" w:color="auto" w:fill="auto"/>
          <w:lang w:val="en-US" w:eastAsia="en-US" w:bidi="en-US"/>
        </w:rPr>
        <w:t>Leon Mo</w:t>
        <w:softHyphen/>
        <w:t xml:space="preserve">dena, </w:t>
      </w:r>
      <w:r>
        <w:rPr>
          <w:rFonts w:ascii="Times New Roman" w:eastAsia="Times New Roman" w:hAnsi="Times New Roman" w:cs="Times New Roman"/>
          <w:color w:val="000000"/>
          <w:spacing w:val="0"/>
          <w:w w:val="100"/>
          <w:position w:val="0"/>
          <w:shd w:val="clear" w:color="auto" w:fill="auto"/>
          <w:lang w:val="hr-HR" w:eastAsia="hr-HR" w:bidi="hr-HR"/>
        </w:rPr>
        <w:t>XVII. stoljeće. Širenje tih misli zaoštrio je sukob s tradicionalistima koje su tada na</w:t>
        <w:softHyphen/>
        <w:t>zvali ortodoksnima. U glavne sadržaje židov</w:t>
        <w:softHyphen/>
        <w:t>skoga prosvjetiteljstva ubrajaju se ravnoprav</w:t>
        <w:softHyphen/>
      </w:r>
      <w:r>
        <w:rPr>
          <w:rFonts w:ascii="Times New Roman" w:eastAsia="Times New Roman" w:hAnsi="Times New Roman" w:cs="Times New Roman"/>
          <w:color w:val="000000"/>
          <w:spacing w:val="0"/>
          <w:w w:val="100"/>
          <w:position w:val="0"/>
          <w:shd w:val="clear" w:color="auto" w:fill="auto"/>
          <w:lang w:val="hr-HR" w:eastAsia="hr-HR" w:bidi="hr-HR"/>
        </w:rPr>
        <w:t>nost Židova kao državljana, njihova povijesna, kulturna i religijska samostalnost, njegovanje hebrejskoga jezika i književnosti, istraživanje tih tema te oštra polemika protiv poimanja bespovijesnosti, tj. nepromijenjene verbalne inspiracije, polemika o Bibliji i tradiciji. Etape te epohe: Njemačka 1750-1820; Austro-Ugar- ska 1820-1850; Rusija 1850-1881.</w:t>
      </w:r>
    </w:p>
    <w:p>
      <w:pPr>
        <w:pStyle w:val="Style20"/>
        <w:keepNext w:val="0"/>
        <w:keepLines w:val="0"/>
        <w:widowControl w:val="0"/>
        <w:numPr>
          <w:ilvl w:val="0"/>
          <w:numId w:val="457"/>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»Berlinska haskala« počela je u krugu mis</w:t>
        <w:softHyphen/>
        <w:t>lilaca i pisaca oko pionira modernoga židov</w:t>
        <w:softHyphen/>
        <w:t>skog života Mosesa Mendelssohna (1729—1786). On sam borio se prije svega za slobodno miš</w:t>
        <w:softHyphen/>
        <w:t xml:space="preserve">ljenje i za onu građansku ravnopravnost koja njemu još nije bila dodijeljena. Njegove misli o svevažećoj istini židovske religije napali su kršćanski teolozi </w:t>
      </w:r>
      <w:r>
        <w:rPr>
          <w:rFonts w:ascii="Times New Roman" w:eastAsia="Times New Roman" w:hAnsi="Times New Roman" w:cs="Times New Roman"/>
          <w:color w:val="000000"/>
          <w:spacing w:val="0"/>
          <w:w w:val="100"/>
          <w:position w:val="0"/>
          <w:shd w:val="clear" w:color="auto" w:fill="auto"/>
          <w:lang w:val="en-US" w:eastAsia="en-US" w:bidi="en-US"/>
        </w:rPr>
        <w:t xml:space="preserve">Hamann </w:t>
      </w:r>
      <w:r>
        <w:rPr>
          <w:rFonts w:ascii="Times New Roman" w:eastAsia="Times New Roman" w:hAnsi="Times New Roman" w:cs="Times New Roman"/>
          <w:color w:val="000000"/>
          <w:spacing w:val="0"/>
          <w:w w:val="100"/>
          <w:position w:val="0"/>
          <w:shd w:val="clear" w:color="auto" w:fill="auto"/>
          <w:lang w:val="hr-HR" w:eastAsia="hr-HR" w:bidi="hr-HR"/>
        </w:rPr>
        <w:t xml:space="preserve">i Lavater. Doduše, sam </w:t>
      </w:r>
      <w:r>
        <w:rPr>
          <w:rFonts w:ascii="Times New Roman" w:eastAsia="Times New Roman" w:hAnsi="Times New Roman" w:cs="Times New Roman"/>
          <w:color w:val="000000"/>
          <w:spacing w:val="0"/>
          <w:w w:val="100"/>
          <w:position w:val="0"/>
          <w:shd w:val="clear" w:color="auto" w:fill="auto"/>
          <w:lang w:val="en-US" w:eastAsia="en-US" w:bidi="en-US"/>
        </w:rPr>
        <w:t xml:space="preserve">Mendelssohn </w:t>
      </w:r>
      <w:r>
        <w:rPr>
          <w:rFonts w:ascii="Times New Roman" w:eastAsia="Times New Roman" w:hAnsi="Times New Roman" w:cs="Times New Roman"/>
          <w:color w:val="000000"/>
          <w:spacing w:val="0"/>
          <w:w w:val="100"/>
          <w:position w:val="0"/>
          <w:shd w:val="clear" w:color="auto" w:fill="auto"/>
          <w:lang w:val="hr-HR" w:eastAsia="hr-HR" w:bidi="hr-HR"/>
        </w:rPr>
        <w:t>opirao se svakoj promjeni vjerskih običaja zbog njihove moralne vrijed</w:t>
        <w:softHyphen/>
        <w:t>nosti i vrijednosti za preživljavanje. Njegov njemački prijevod Biblije s hebrejskim ko</w:t>
        <w:softHyphen/>
        <w:t>mentarom utemeljio je novu školu židovskih egzegeta. Njegova definicija Židova kao kon</w:t>
        <w:softHyphen/>
        <w:t>fesije pobijena je tek proširenim povijesnim istraživanjima. Zbog toga su mnogi Židovi iz</w:t>
        <w:softHyphen/>
        <w:t>gubili identitet nakon gubitka religije. - Pros</w:t>
        <w:softHyphen/>
        <w:t>vjetiteljska publicistika počela je 1750. s Men- delssohnovim hebrejskim časopisom u koje</w:t>
        <w:softHyphen/>
        <w:t xml:space="preserve">mu je između ostalih sudjelovao i kantovac S. </w:t>
      </w:r>
      <w:r>
        <w:rPr>
          <w:rFonts w:ascii="Times New Roman" w:eastAsia="Times New Roman" w:hAnsi="Times New Roman" w:cs="Times New Roman"/>
          <w:color w:val="000000"/>
          <w:spacing w:val="0"/>
          <w:w w:val="100"/>
          <w:position w:val="0"/>
          <w:shd w:val="clear" w:color="auto" w:fill="auto"/>
          <w:lang w:val="en-US" w:eastAsia="en-US" w:bidi="en-US"/>
        </w:rPr>
        <w:t xml:space="preserve">Maimon.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 xml:space="preserve">Wessely </w:t>
      </w:r>
      <w:r>
        <w:rPr>
          <w:rFonts w:ascii="Times New Roman" w:eastAsia="Times New Roman" w:hAnsi="Times New Roman" w:cs="Times New Roman"/>
          <w:color w:val="000000"/>
          <w:spacing w:val="0"/>
          <w:w w:val="100"/>
          <w:position w:val="0"/>
          <w:shd w:val="clear" w:color="auto" w:fill="auto"/>
          <w:lang w:val="hr-HR" w:eastAsia="hr-HR" w:bidi="hr-HR"/>
        </w:rPr>
        <w:t xml:space="preserve">napisao je hebrejski ep o Mojsiju pod dojmom Klopstockova </w:t>
      </w:r>
      <w:r>
        <w:rPr>
          <w:rFonts w:ascii="Times New Roman" w:eastAsia="Times New Roman" w:hAnsi="Times New Roman" w:cs="Times New Roman"/>
          <w:i/>
          <w:iCs/>
          <w:color w:val="000000"/>
          <w:spacing w:val="0"/>
          <w:w w:val="100"/>
          <w:position w:val="0"/>
          <w:shd w:val="clear" w:color="auto" w:fill="auto"/>
          <w:lang w:val="hr-HR" w:eastAsia="hr-HR" w:bidi="hr-HR"/>
        </w:rPr>
        <w:t>Mesije</w:t>
      </w:r>
      <w:r>
        <w:rPr>
          <w:rFonts w:ascii="Times New Roman" w:eastAsia="Times New Roman" w:hAnsi="Times New Roman" w:cs="Times New Roman"/>
          <w:color w:val="000000"/>
          <w:spacing w:val="0"/>
          <w:w w:val="100"/>
          <w:position w:val="0"/>
          <w:shd w:val="clear" w:color="auto" w:fill="auto"/>
          <w:lang w:val="hr-HR" w:eastAsia="hr-HR" w:bidi="hr-HR"/>
        </w:rPr>
        <w:t xml:space="preserve"> i Hcrdcrova spisa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Vom Geist </w:t>
      </w:r>
      <w:r>
        <w:rPr>
          <w:rFonts w:ascii="Times New Roman" w:eastAsia="Times New Roman" w:hAnsi="Times New Roman" w:cs="Times New Roman"/>
          <w:i/>
          <w:iCs/>
          <w:color w:val="000000"/>
          <w:spacing w:val="0"/>
          <w:w w:val="100"/>
          <w:position w:val="0"/>
          <w:shd w:val="clear" w:color="auto" w:fill="auto"/>
          <w:lang w:val="hr-HR" w:eastAsia="hr-HR" w:bidi="hr-HR"/>
        </w:rPr>
        <w:t>der Ebraischen Poesie.</w:t>
      </w:r>
      <w:r>
        <w:rPr>
          <w:rFonts w:ascii="Times New Roman" w:eastAsia="Times New Roman" w:hAnsi="Times New Roman" w:cs="Times New Roman"/>
          <w:color w:val="000000"/>
          <w:spacing w:val="0"/>
          <w:w w:val="100"/>
          <w:position w:val="0"/>
          <w:shd w:val="clear" w:color="auto" w:fill="auto"/>
          <w:lang w:val="hr-HR" w:eastAsia="hr-HR" w:bidi="hr-HR"/>
        </w:rPr>
        <w:t xml:space="preserve"> Prosvjetitelje je potaknuo i Herderov citat da je Izraelovo »još nedovršeno vodstvo najveća poema svih vremena i vjerojatno se nastavlja do posljednjeg razvitka velikoga, još netaknutog čvora svih naroda na zemlji« </w:t>
      </w:r>
      <w:r>
        <w:rPr>
          <w:rFonts w:ascii="Times New Roman" w:eastAsia="Times New Roman" w:hAnsi="Times New Roman" w:cs="Times New Roman"/>
          <w:i/>
          <w:iCs/>
          <w:color w:val="000000"/>
          <w:spacing w:val="0"/>
          <w:w w:val="100"/>
          <w:position w:val="0"/>
          <w:shd w:val="clear" w:color="auto" w:fill="auto"/>
          <w:lang w:val="hr-HR" w:eastAsia="hr-HR" w:bidi="hr-HR"/>
        </w:rPr>
        <w:t xml:space="preserve">(Ideen zar </w:t>
      </w:r>
      <w:r>
        <w:rPr>
          <w:rFonts w:ascii="Times New Roman" w:eastAsia="Times New Roman" w:hAnsi="Times New Roman" w:cs="Times New Roman"/>
          <w:i/>
          <w:iCs/>
          <w:color w:val="000000"/>
          <w:spacing w:val="0"/>
          <w:w w:val="100"/>
          <w:position w:val="0"/>
          <w:shd w:val="clear" w:color="auto" w:fill="auto"/>
          <w:lang w:val="en-US" w:eastAsia="en-US" w:bidi="en-US"/>
        </w:rPr>
        <w:t xml:space="preserve">Philosophic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Geschichle der Menschheit, </w:t>
      </w:r>
      <w:r>
        <w:rPr>
          <w:rFonts w:ascii="Times New Roman" w:eastAsia="Times New Roman" w:hAnsi="Times New Roman" w:cs="Times New Roman"/>
          <w:color w:val="000000"/>
          <w:spacing w:val="0"/>
          <w:w w:val="100"/>
          <w:position w:val="0"/>
          <w:shd w:val="clear" w:color="auto" w:fill="auto"/>
          <w:lang w:val="hr-HR" w:eastAsia="hr-HR" w:bidi="hr-HR"/>
        </w:rPr>
        <w:t>1784). Ortodoksni su Židovi napali prosvje</w:t>
        <w:softHyphen/>
        <w:t xml:space="preserve">titeljsko djelo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Wissenschaft des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Judentums. </w:t>
      </w:r>
      <w:r>
        <w:rPr>
          <w:rFonts w:ascii="Times New Roman" w:eastAsia="Times New Roman" w:hAnsi="Times New Roman" w:cs="Times New Roman"/>
          <w:color w:val="000000"/>
          <w:spacing w:val="0"/>
          <w:w w:val="100"/>
          <w:position w:val="0"/>
          <w:shd w:val="clear" w:color="auto" w:fill="auto"/>
          <w:lang w:val="hr-HR" w:eastAsia="hr-HR" w:bidi="hr-HR"/>
        </w:rPr>
        <w:t>Predmeti istraživanja bili su povijest religije, liturgija, svjetovna i duhovna književnost od kasne antike, odgoj, ustroji zajednice, odnosi prema okolini te židovska povijest kao nepre</w:t>
        <w:softHyphen/>
        <w:t xml:space="preserve">kidni proces u mnogim zemljama. Važni su utemeljitelji bili L. </w:t>
      </w:r>
      <w:r>
        <w:rPr>
          <w:rFonts w:ascii="Times New Roman" w:eastAsia="Times New Roman" w:hAnsi="Times New Roman" w:cs="Times New Roman"/>
          <w:color w:val="000000"/>
          <w:spacing w:val="0"/>
          <w:w w:val="100"/>
          <w:position w:val="0"/>
          <w:shd w:val="clear" w:color="auto" w:fill="auto"/>
          <w:lang w:val="en-US" w:eastAsia="en-US" w:bidi="en-US"/>
        </w:rPr>
        <w:t xml:space="preserve">Zunz, A. Geiger, </w:t>
      </w:r>
      <w:r>
        <w:rPr>
          <w:rFonts w:ascii="Times New Roman" w:eastAsia="Times New Roman" w:hAnsi="Times New Roman" w:cs="Times New Roman"/>
          <w:color w:val="000000"/>
          <w:spacing w:val="0"/>
          <w:w w:val="100"/>
          <w:position w:val="0"/>
          <w:shd w:val="clear" w:color="auto" w:fill="auto"/>
          <w:lang w:val="hr-HR" w:eastAsia="hr-HR" w:bidi="hr-HR"/>
        </w:rPr>
        <w:t xml:space="preserve">Z. </w:t>
      </w:r>
      <w:r>
        <w:rPr>
          <w:rFonts w:ascii="Times New Roman" w:eastAsia="Times New Roman" w:hAnsi="Times New Roman" w:cs="Times New Roman"/>
          <w:color w:val="000000"/>
          <w:spacing w:val="0"/>
          <w:w w:val="100"/>
          <w:position w:val="0"/>
          <w:shd w:val="clear" w:color="auto" w:fill="auto"/>
          <w:lang w:val="en-US" w:eastAsia="en-US" w:bidi="en-US"/>
        </w:rPr>
        <w:t>Fran</w:t>
        <w:softHyphen/>
        <w:t xml:space="preserve">kel, </w:t>
      </w:r>
      <w:r>
        <w:rPr>
          <w:rFonts w:ascii="Times New Roman" w:eastAsia="Times New Roman" w:hAnsi="Times New Roman" w:cs="Times New Roman"/>
          <w:color w:val="000000"/>
          <w:spacing w:val="0"/>
          <w:w w:val="100"/>
          <w:position w:val="0"/>
          <w:shd w:val="clear" w:color="auto" w:fill="auto"/>
          <w:lang w:val="hr-HR" w:eastAsia="hr-HR" w:bidi="hr-HR"/>
        </w:rPr>
        <w:t xml:space="preserve">S. D. Luzzatto, H. Graetz, M. Steinschnei- der. Jedan od utemeljitelja oko 1820. bio je </w:t>
      </w:r>
      <w:r>
        <w:rPr>
          <w:rFonts w:ascii="Times New Roman" w:eastAsia="Times New Roman" w:hAnsi="Times New Roman" w:cs="Times New Roman"/>
          <w:color w:val="000000"/>
          <w:spacing w:val="0"/>
          <w:w w:val="100"/>
          <w:position w:val="0"/>
          <w:shd w:val="clear" w:color="auto" w:fill="auto"/>
          <w:lang w:val="en-US" w:eastAsia="en-US" w:bidi="en-US"/>
        </w:rPr>
        <w:t xml:space="preserve">Heinrich Heine, </w:t>
      </w:r>
      <w:r>
        <w:rPr>
          <w:rFonts w:ascii="Times New Roman" w:eastAsia="Times New Roman" w:hAnsi="Times New Roman" w:cs="Times New Roman"/>
          <w:color w:val="000000"/>
          <w:spacing w:val="0"/>
          <w:w w:val="100"/>
          <w:position w:val="0"/>
          <w:shd w:val="clear" w:color="auto" w:fill="auto"/>
          <w:lang w:val="hr-HR" w:eastAsia="hr-HR" w:bidi="hr-HR"/>
        </w:rPr>
        <w:t xml:space="preserve">ali je odbacio židovstvo, jer se, da bi mogao raditi kao budući pravnik, morao pokrstiti </w:t>
      </w:r>
      <w:r>
        <w:rPr>
          <w:rFonts w:ascii="Times New Roman" w:eastAsia="Times New Roman" w:hAnsi="Times New Roman" w:cs="Times New Roman"/>
          <w:i/>
          <w:iCs/>
          <w:color w:val="000000"/>
          <w:spacing w:val="0"/>
          <w:w w:val="100"/>
          <w:position w:val="0"/>
          <w:shd w:val="clear" w:color="auto" w:fill="auto"/>
          <w:lang w:val="en-US" w:eastAsia="en-US" w:bidi="en-US"/>
        </w:rPr>
        <w:t xml:space="preserve">(Entreebillet </w:t>
      </w:r>
      <w:r>
        <w:rPr>
          <w:rFonts w:ascii="Times New Roman" w:eastAsia="Times New Roman" w:hAnsi="Times New Roman" w:cs="Times New Roman"/>
          <w:i/>
          <w:iCs/>
          <w:color w:val="000000"/>
          <w:spacing w:val="0"/>
          <w:w w:val="100"/>
          <w:position w:val="0"/>
          <w:shd w:val="clear" w:color="auto" w:fill="auto"/>
          <w:lang w:val="hr-HR" w:eastAsia="hr-HR" w:bidi="hr-HR"/>
        </w:rPr>
        <w:t>zar europaischen Zivilisation).</w:t>
      </w:r>
      <w:r>
        <w:rPr>
          <w:rFonts w:ascii="Times New Roman" w:eastAsia="Times New Roman" w:hAnsi="Times New Roman" w:cs="Times New Roman"/>
          <w:color w:val="000000"/>
          <w:spacing w:val="0"/>
          <w:w w:val="100"/>
          <w:position w:val="0"/>
          <w:shd w:val="clear" w:color="auto" w:fill="auto"/>
          <w:lang w:val="hr-HR" w:eastAsia="hr-HR" w:bidi="hr-HR"/>
        </w:rPr>
        <w:t xml:space="preserve"> S. </w:t>
      </w:r>
      <w:r>
        <w:rPr>
          <w:rFonts w:ascii="Times New Roman" w:eastAsia="Times New Roman" w:hAnsi="Times New Roman" w:cs="Times New Roman"/>
          <w:color w:val="000000"/>
          <w:spacing w:val="0"/>
          <w:w w:val="100"/>
          <w:position w:val="0"/>
          <w:shd w:val="clear" w:color="auto" w:fill="auto"/>
          <w:lang w:val="en-US" w:eastAsia="en-US" w:bidi="en-US"/>
        </w:rPr>
        <w:t xml:space="preserve">Schechter </w:t>
      </w:r>
      <w:r>
        <w:rPr>
          <w:rFonts w:ascii="Times New Roman" w:eastAsia="Times New Roman" w:hAnsi="Times New Roman" w:cs="Times New Roman"/>
          <w:color w:val="000000"/>
          <w:spacing w:val="0"/>
          <w:w w:val="100"/>
          <w:position w:val="0"/>
          <w:shd w:val="clear" w:color="auto" w:fill="auto"/>
          <w:lang w:val="hr-HR" w:eastAsia="hr-HR" w:bidi="hr-HR"/>
        </w:rPr>
        <w:t>prenio je te disci</w:t>
        <w:softHyphen/>
        <w:t>pline u Engcsku i u SAD. Većina je djela na</w:t>
        <w:softHyphen/>
      </w:r>
      <w:r>
        <w:rPr>
          <w:rFonts w:ascii="Times New Roman" w:eastAsia="Times New Roman" w:hAnsi="Times New Roman" w:cs="Times New Roman"/>
          <w:color w:val="000000"/>
          <w:spacing w:val="0"/>
          <w:w w:val="100"/>
          <w:position w:val="0"/>
          <w:shd w:val="clear" w:color="auto" w:fill="auto"/>
          <w:lang w:val="hr-HR" w:eastAsia="hr-HR" w:bidi="hr-HR"/>
        </w:rPr>
        <w:t>pisana na njemačkom. Mjesta istraživanja bile su nove visoke teološke škole u Breslauu, Pa</w:t>
        <w:softHyphen/>
        <w:t>dovi, Beču i Berlinu. Oni su temelji današnje judaistike.</w:t>
      </w:r>
    </w:p>
    <w:p>
      <w:pPr>
        <w:pStyle w:val="Style20"/>
        <w:keepNext w:val="0"/>
        <w:keepLines w:val="0"/>
        <w:widowControl w:val="0"/>
        <w:numPr>
          <w:ilvl w:val="0"/>
          <w:numId w:val="457"/>
        </w:numPr>
        <w:shd w:val="clear" w:color="auto" w:fill="auto"/>
        <w:tabs>
          <w:tab w:pos="27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»Bečka haskala« smatrala je glavnom zada</w:t>
        <w:softHyphen/>
        <w:t>ćom modernizaciju židovskih narodnih masa. Osim hebrejskoga važnu je ulogu u tome imao jidiš. Mnogi su autori bili višejezični. Borili su se protiv tradicijskih nastavnih metoda u dje</w:t>
        <w:softHyphen/>
        <w:t xml:space="preserve">čačkoj osnovnoj školi, </w:t>
      </w:r>
      <w:r>
        <w:rPr>
          <w:rFonts w:ascii="Times New Roman" w:eastAsia="Times New Roman" w:hAnsi="Times New Roman" w:cs="Times New Roman"/>
          <w:i/>
          <w:iCs/>
          <w:color w:val="000000"/>
          <w:spacing w:val="0"/>
          <w:w w:val="100"/>
          <w:position w:val="0"/>
          <w:shd w:val="clear" w:color="auto" w:fill="auto"/>
          <w:lang w:val="hr-HR" w:eastAsia="hr-HR" w:bidi="hr-HR"/>
        </w:rPr>
        <w:t>hederu,</w:t>
      </w:r>
      <w:r>
        <w:rPr>
          <w:rFonts w:ascii="Times New Roman" w:eastAsia="Times New Roman" w:hAnsi="Times New Roman" w:cs="Times New Roman"/>
          <w:color w:val="000000"/>
          <w:spacing w:val="0"/>
          <w:w w:val="100"/>
          <w:position w:val="0"/>
          <w:shd w:val="clear" w:color="auto" w:fill="auto"/>
          <w:lang w:val="hr-HR" w:eastAsia="hr-HR" w:bidi="hr-HR"/>
        </w:rPr>
        <w:t xml:space="preserve"> s isključivo reli</w:t>
        <w:softHyphen/>
        <w:t>gijskim predmetima koji su se učili napamet. U »reformiranom hederu« dječaci i djevojčice učili su hebrejsku gramatiku, Bibliju i svjetov</w:t>
        <w:softHyphen/>
        <w:t xml:space="preserve">ne predmete. Dok je </w:t>
      </w:r>
      <w:r>
        <w:rPr>
          <w:rFonts w:ascii="Times New Roman" w:eastAsia="Times New Roman" w:hAnsi="Times New Roman" w:cs="Times New Roman"/>
          <w:color w:val="000000"/>
          <w:spacing w:val="0"/>
          <w:w w:val="100"/>
          <w:position w:val="0"/>
          <w:shd w:val="clear" w:color="auto" w:fill="auto"/>
          <w:lang w:val="en-US" w:eastAsia="en-US" w:bidi="en-US"/>
        </w:rPr>
        <w:t xml:space="preserve">Mendelssohn </w:t>
      </w:r>
      <w:r>
        <w:rPr>
          <w:rFonts w:ascii="Times New Roman" w:eastAsia="Times New Roman" w:hAnsi="Times New Roman" w:cs="Times New Roman"/>
          <w:color w:val="000000"/>
          <w:spacing w:val="0"/>
          <w:w w:val="100"/>
          <w:position w:val="0"/>
          <w:shd w:val="clear" w:color="auto" w:fill="auto"/>
          <w:lang w:val="hr-HR" w:eastAsia="hr-HR" w:bidi="hr-HR"/>
        </w:rPr>
        <w:t>htio Židove učiti njemački kako bi dobili pravo stanovanja, austrijski su Židovi imali nepobitno pravo pre</w:t>
        <w:softHyphen/>
        <w:t>bivanja u mnogim pokrajinama. Ondje su nje</w:t>
        <w:softHyphen/>
        <w:t xml:space="preserve">govali modemi hebrejski. S. Hakohen htio je pokazati »kako se i taj stari orijentalni jezik može kultivirati i oživiti« </w:t>
      </w:r>
      <w:r>
        <w:rPr>
          <w:rFonts w:ascii="Times New Roman" w:eastAsia="Times New Roman" w:hAnsi="Times New Roman" w:cs="Times New Roman"/>
          <w:i/>
          <w:iCs/>
          <w:color w:val="000000"/>
          <w:spacing w:val="0"/>
          <w:w w:val="100"/>
          <w:position w:val="0"/>
          <w:shd w:val="clear" w:color="auto" w:fill="auto"/>
          <w:lang w:val="hr-HR" w:eastAsia="hr-HR" w:bidi="hr-HR"/>
        </w:rPr>
        <w:t>(Moralisches Fahel- buch,</w:t>
      </w:r>
      <w:r>
        <w:rPr>
          <w:rFonts w:ascii="Times New Roman" w:eastAsia="Times New Roman" w:hAnsi="Times New Roman" w:cs="Times New Roman"/>
          <w:color w:val="000000"/>
          <w:spacing w:val="0"/>
          <w:w w:val="100"/>
          <w:position w:val="0"/>
          <w:shd w:val="clear" w:color="auto" w:fill="auto"/>
          <w:lang w:val="hr-HR" w:eastAsia="hr-HR" w:bidi="hr-HR"/>
        </w:rPr>
        <w:t xml:space="preserve"> 1799). Između ostaloga napisao je soci</w:t>
        <w:softHyphen/>
        <w:t xml:space="preserve">jalnu dramu </w:t>
      </w:r>
      <w:r>
        <w:rPr>
          <w:rFonts w:ascii="Times New Roman" w:eastAsia="Times New Roman" w:hAnsi="Times New Roman" w:cs="Times New Roman"/>
          <w:i/>
          <w:iCs/>
          <w:color w:val="000000"/>
          <w:spacing w:val="0"/>
          <w:w w:val="100"/>
          <w:position w:val="0"/>
          <w:shd w:val="clear" w:color="auto" w:fill="auto"/>
          <w:lang w:val="hr-HR" w:eastAsia="hr-HR" w:bidi="hr-HR"/>
        </w:rPr>
        <w:t>Amal we-Tirza</w:t>
      </w:r>
      <w:r>
        <w:rPr>
          <w:rFonts w:ascii="Times New Roman" w:eastAsia="Times New Roman" w:hAnsi="Times New Roman" w:cs="Times New Roman"/>
          <w:color w:val="000000"/>
          <w:spacing w:val="0"/>
          <w:w w:val="100"/>
          <w:position w:val="0"/>
          <w:shd w:val="clear" w:color="auto" w:fill="auto"/>
          <w:lang w:val="hr-HR" w:eastAsia="hr-HR" w:bidi="hr-HR"/>
        </w:rPr>
        <w:t xml:space="preserve"> (1812). Život se po</w:t>
        <w:softHyphen/>
        <w:t>stepeno sekularizirao. Tomu su pridonijele pa</w:t>
        <w:softHyphen/>
        <w:t xml:space="preserve">rodije J. Perla i J. Ertera na djelo </w:t>
      </w:r>
      <w:r>
        <w:rPr>
          <w:rFonts w:ascii="Times New Roman" w:eastAsia="Times New Roman" w:hAnsi="Times New Roman" w:cs="Times New Roman"/>
          <w:i/>
          <w:iCs/>
          <w:color w:val="000000"/>
          <w:spacing w:val="0"/>
          <w:w w:val="100"/>
          <w:position w:val="0"/>
          <w:shd w:val="clear" w:color="auto" w:fill="auto"/>
          <w:lang w:val="hr-HR" w:eastAsia="hr-HR" w:bidi="hr-HR"/>
        </w:rPr>
        <w:t>Dunkelmdn- ner,</w:t>
      </w:r>
      <w:r>
        <w:rPr>
          <w:rFonts w:ascii="Times New Roman" w:eastAsia="Times New Roman" w:hAnsi="Times New Roman" w:cs="Times New Roman"/>
          <w:color w:val="000000"/>
          <w:spacing w:val="0"/>
          <w:w w:val="100"/>
          <w:position w:val="0"/>
          <w:shd w:val="clear" w:color="auto" w:fill="auto"/>
          <w:lang w:val="hr-HR" w:eastAsia="hr-HR" w:bidi="hr-HR"/>
        </w:rPr>
        <w:t xml:space="preserve"> Mislilo se na raširenu vjeru u čudotvorne rabine, seljenje duša, opsjednutost u pučkom pokretu hasidizma, ponajprije u Galiciji.</w:t>
      </w:r>
    </w:p>
    <w:p>
      <w:pPr>
        <w:pStyle w:val="Style20"/>
        <w:keepNext w:val="0"/>
        <w:keepLines w:val="0"/>
        <w:widowControl w:val="0"/>
        <w:numPr>
          <w:ilvl w:val="0"/>
          <w:numId w:val="457"/>
        </w:numPr>
        <w:shd w:val="clear" w:color="auto" w:fill="auto"/>
        <w:tabs>
          <w:tab w:pos="28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Prijelaz na pravu modernu zbio se u </w:t>
      </w:r>
      <w:r>
        <w:rPr>
          <w:rFonts w:ascii="Times New Roman" w:eastAsia="Times New Roman" w:hAnsi="Times New Roman" w:cs="Times New Roman"/>
          <w:i/>
          <w:iCs/>
          <w:color w:val="000000"/>
          <w:spacing w:val="0"/>
          <w:w w:val="100"/>
          <w:position w:val="0"/>
          <w:shd w:val="clear" w:color="auto" w:fill="auto"/>
          <w:lang w:val="hr-HR" w:eastAsia="hr-HR" w:bidi="hr-HR"/>
        </w:rPr>
        <w:t>Ruskoj huškali.</w:t>
      </w:r>
      <w:r>
        <w:rPr>
          <w:rFonts w:ascii="Times New Roman" w:eastAsia="Times New Roman" w:hAnsi="Times New Roman" w:cs="Times New Roman"/>
          <w:color w:val="000000"/>
          <w:spacing w:val="0"/>
          <w:w w:val="100"/>
          <w:position w:val="0"/>
          <w:shd w:val="clear" w:color="auto" w:fill="auto"/>
          <w:lang w:val="hr-HR" w:eastAsia="hr-HR" w:bidi="hr-HR"/>
        </w:rPr>
        <w:t xml:space="preserve"> Novo bavljenje Biblijom dovelo je do još jačega buđenja svijesti u oblikovnoj epohi židovske povijesti. Usprkos jakoj racionalis- tičkoj temeljnoj poziciji postojala je roman</w:t>
        <w:softHyphen/>
        <w:t>tična sklonost prema povratku prirodi. A. Ma</w:t>
        <w:softHyphen/>
        <w:t xml:space="preserve">pu (1807-1867), »otac hebrejskoga romana«, objavio je 1850. povijesni roman </w:t>
      </w:r>
      <w:r>
        <w:rPr>
          <w:rFonts w:ascii="Times New Roman" w:eastAsia="Times New Roman" w:hAnsi="Times New Roman" w:cs="Times New Roman"/>
          <w:i/>
          <w:iCs/>
          <w:color w:val="000000"/>
          <w:spacing w:val="0"/>
          <w:w w:val="100"/>
          <w:position w:val="0"/>
          <w:shd w:val="clear" w:color="auto" w:fill="auto"/>
          <w:lang w:val="en-US" w:eastAsia="en-US" w:bidi="en-US"/>
        </w:rPr>
        <w:t xml:space="preserve">Ahawat Zion </w:t>
      </w:r>
      <w:r>
        <w:rPr>
          <w:rFonts w:ascii="Times New Roman" w:eastAsia="Times New Roman" w:hAnsi="Times New Roman" w:cs="Times New Roman"/>
          <w:color w:val="000000"/>
          <w:spacing w:val="0"/>
          <w:w w:val="100"/>
          <w:position w:val="0"/>
          <w:shd w:val="clear" w:color="auto" w:fill="auto"/>
          <w:lang w:val="hr-HR" w:eastAsia="hr-HR" w:bidi="hr-HR"/>
        </w:rPr>
        <w:t xml:space="preserve">(njem.: </w:t>
      </w:r>
      <w:r>
        <w:rPr>
          <w:rFonts w:ascii="Times New Roman" w:eastAsia="Times New Roman" w:hAnsi="Times New Roman" w:cs="Times New Roman"/>
          <w:i/>
          <w:iCs/>
          <w:color w:val="000000"/>
          <w:spacing w:val="0"/>
          <w:w w:val="100"/>
          <w:position w:val="0"/>
          <w:shd w:val="clear" w:color="auto" w:fill="auto"/>
          <w:lang w:val="hr-HR" w:eastAsia="hr-HR" w:bidi="hr-HR"/>
        </w:rPr>
        <w:t>Thamar. Ein Roman aus dem hihli- schen Allertum,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Leipzig </w:t>
      </w:r>
      <w:r>
        <w:rPr>
          <w:rFonts w:ascii="Times New Roman" w:eastAsia="Times New Roman" w:hAnsi="Times New Roman" w:cs="Times New Roman"/>
          <w:color w:val="000000"/>
          <w:spacing w:val="0"/>
          <w:w w:val="100"/>
          <w:position w:val="0"/>
          <w:shd w:val="clear" w:color="auto" w:fill="auto"/>
          <w:lang w:val="hr-HR" w:eastAsia="hr-HR" w:bidi="hr-HR"/>
        </w:rPr>
        <w:t>1897). Događa se u doba proroka Izaije u seoskom okolišu i bio je izvor nadahnuća naraštajima ranih cionista u Rusiji. Mapuova društvena kritika dekadent</w:t>
        <w:softHyphen/>
        <w:t xml:space="preserve">noga gradskog života punog spletaka tema je romana </w:t>
      </w:r>
      <w:r>
        <w:rPr>
          <w:rFonts w:ascii="Times New Roman" w:eastAsia="Times New Roman" w:hAnsi="Times New Roman" w:cs="Times New Roman"/>
          <w:i/>
          <w:iCs/>
          <w:color w:val="000000"/>
          <w:spacing w:val="0"/>
          <w:w w:val="100"/>
          <w:position w:val="0"/>
          <w:shd w:val="clear" w:color="auto" w:fill="auto"/>
          <w:lang w:val="hr-HR" w:eastAsia="hr-HR" w:bidi="hr-HR"/>
        </w:rPr>
        <w:t>Aimai Somron</w:t>
      </w:r>
      <w:r>
        <w:rPr>
          <w:rFonts w:ascii="Times New Roman" w:eastAsia="Times New Roman" w:hAnsi="Times New Roman" w:cs="Times New Roman"/>
          <w:color w:val="000000"/>
          <w:spacing w:val="0"/>
          <w:w w:val="100"/>
          <w:position w:val="0"/>
          <w:shd w:val="clear" w:color="auto" w:fill="auto"/>
          <w:lang w:val="hr-HR" w:eastAsia="hr-HR" w:bidi="hr-HR"/>
        </w:rPr>
        <w:t xml:space="preserve"> (1866). Društvo i re</w:t>
        <w:softHyphen/>
        <w:t xml:space="preserve">ligiju kritiziraju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L. </w:t>
      </w:r>
      <w:r>
        <w:rPr>
          <w:rFonts w:ascii="Times New Roman" w:eastAsia="Times New Roman" w:hAnsi="Times New Roman" w:cs="Times New Roman"/>
          <w:color w:val="000000"/>
          <w:spacing w:val="0"/>
          <w:w w:val="100"/>
          <w:position w:val="0"/>
          <w:shd w:val="clear" w:color="auto" w:fill="auto"/>
          <w:lang w:val="en-US" w:eastAsia="en-US" w:bidi="en-US"/>
        </w:rPr>
        <w:t xml:space="preserve">Gordon </w:t>
      </w:r>
      <w:r>
        <w:rPr>
          <w:rFonts w:ascii="Times New Roman" w:eastAsia="Times New Roman" w:hAnsi="Times New Roman" w:cs="Times New Roman"/>
          <w:color w:val="000000"/>
          <w:spacing w:val="0"/>
          <w:w w:val="100"/>
          <w:position w:val="0"/>
          <w:shd w:val="clear" w:color="auto" w:fill="auto"/>
          <w:lang w:val="hr-HR" w:eastAsia="hr-HR" w:bidi="hr-HR"/>
        </w:rPr>
        <w:t>i M. L. Lilien- blum u publicistici, poeziji i u romanima raz</w:t>
        <w:softHyphen/>
        <w:t>vitka ličnosti. P. Smolenskin borio se u svojim romanima protiv ortodoksije, naglašavao po</w:t>
        <w:softHyphen/>
        <w:t>trebu religijskih reformi i jedinstvo religije i naroda u židovstvu. Hebrejski jezik definirao je kao jedino sredstvo protiv gubitka identi</w:t>
        <w:softHyphen/>
        <w:t>teta. - Romantizam, ali i realizam, karakteri</w:t>
        <w:softHyphen/>
        <w:t xml:space="preserve">ziraju novele L. J. Poreza. Kao prosvjetitelj puka i pisac vjernih opisa miljea djelovao je </w:t>
      </w:r>
      <w:r>
        <w:rPr>
          <w:rFonts w:ascii="Times New Roman" w:eastAsia="Times New Roman" w:hAnsi="Times New Roman" w:cs="Times New Roman"/>
          <w:color w:val="000000"/>
          <w:spacing w:val="0"/>
          <w:w w:val="100"/>
          <w:position w:val="0"/>
          <w:shd w:val="clear" w:color="auto" w:fill="auto"/>
          <w:lang w:val="hr-HR" w:eastAsia="hr-HR" w:bidi="hr-HR"/>
        </w:rPr>
        <w:t>»djed« novije hebrejske literature Mcndele Mocher Sforim. Do 1880. javlja se kod nekih prosvjetitelja sklonost prema potpunoj inte</w:t>
        <w:softHyphen/>
        <w:t>graciji u rusku državu. S progonima 1881. izgubila se vjera u ruski građanski napredak. Tada se počela isticati cionistička misao.</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 i reforma'.</w:t>
      </w:r>
      <w:r>
        <w:rPr>
          <w:rFonts w:ascii="Times New Roman" w:eastAsia="Times New Roman" w:hAnsi="Times New Roman" w:cs="Times New Roman"/>
          <w:color w:val="000000"/>
          <w:spacing w:val="0"/>
          <w:w w:val="100"/>
          <w:position w:val="0"/>
          <w:shd w:val="clear" w:color="auto" w:fill="auto"/>
          <w:lang w:val="hr-HR" w:eastAsia="hr-HR" w:bidi="hr-HR"/>
        </w:rPr>
        <w:t xml:space="preserve"> Od vremena Mendelssohnovih učenika živo je mišljenje da se religija stalno mijenja i daje to potrebno za njezin opstanak. U Zapadnoj Europi nastaju u XIX. stoljeću tri pravca koja se odvajaju od stare ortodok</w:t>
        <w:softHyphen/>
        <w:t>sije i koje ona najoštrije odbija: reforma, po</w:t>
        <w:softHyphen/>
        <w:t>vijesna škola (konzervativa) i nova ortodok- sija.</w:t>
      </w:r>
    </w:p>
    <w:p>
      <w:pPr>
        <w:pStyle w:val="Style56"/>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rPr>
        <w:t xml:space="preserve">Lit.: A. Elociwcr, </w:t>
      </w:r>
      <w:r>
        <w:rPr>
          <w:i/>
          <w:iCs/>
          <w:color w:val="000000"/>
          <w:spacing w:val="0"/>
          <w:w w:val="100"/>
          <w:position w:val="0"/>
          <w:shd w:val="clear" w:color="auto" w:fill="auto"/>
        </w:rPr>
        <w:t xml:space="preserve">Vom Ghetto </w:t>
      </w:r>
      <w:r>
        <w:rPr>
          <w:i/>
          <w:iCs/>
          <w:color w:val="000000"/>
          <w:spacing w:val="0"/>
          <w:w w:val="100"/>
          <w:position w:val="0"/>
          <w:shd w:val="clear" w:color="auto" w:fill="auto"/>
          <w:lang w:val="hr-HR" w:eastAsia="hr-HR" w:bidi="hr-HR"/>
        </w:rPr>
        <w:t>nach Europa; das Judentum im geistigen Ijeben des 19. Jahrhunderts,</w:t>
      </w:r>
      <w:r>
        <w:rPr>
          <w:color w:val="000000"/>
          <w:spacing w:val="0"/>
          <w:w w:val="100"/>
          <w:position w:val="0"/>
          <w:shd w:val="clear" w:color="auto" w:fill="auto"/>
          <w:lang w:val="hr-HR" w:eastAsia="hr-HR" w:bidi="hr-HR"/>
        </w:rPr>
        <w:t xml:space="preserve"> Berlin 1936; J. Meisl, </w:t>
      </w:r>
      <w:r>
        <w:rPr>
          <w:i/>
          <w:iCs/>
          <w:color w:val="000000"/>
          <w:spacing w:val="0"/>
          <w:w w:val="100"/>
          <w:position w:val="0"/>
          <w:shd w:val="clear" w:color="auto" w:fill="auto"/>
          <w:lang w:val="hr-HR" w:eastAsia="hr-HR" w:bidi="hr-HR"/>
        </w:rPr>
        <w:t xml:space="preserve">Haskalah, </w:t>
      </w:r>
      <w:r>
        <w:rPr>
          <w:i/>
          <w:iCs/>
          <w:color w:val="000000"/>
          <w:spacing w:val="0"/>
          <w:w w:val="100"/>
          <w:position w:val="0"/>
          <w:shd w:val="clear" w:color="auto" w:fill="auto"/>
        </w:rPr>
        <w:t xml:space="preserve">Geschichle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Aufkiiirungsbewegung </w:t>
      </w:r>
      <w:r>
        <w:rPr>
          <w:i/>
          <w:iCs/>
          <w:color w:val="000000"/>
          <w:spacing w:val="0"/>
          <w:w w:val="100"/>
          <w:position w:val="0"/>
          <w:shd w:val="clear" w:color="auto" w:fill="auto"/>
          <w:lang w:val="hr-HR" w:eastAsia="hr-HR" w:bidi="hr-HR"/>
        </w:rPr>
        <w:t xml:space="preserve">unter der Juden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Ruflland,</w:t>
      </w:r>
      <w:r>
        <w:rPr>
          <w:color w:val="000000"/>
          <w:spacing w:val="0"/>
          <w:w w:val="100"/>
          <w:position w:val="0"/>
          <w:shd w:val="clear" w:color="auto" w:fill="auto"/>
          <w:lang w:val="hr-HR" w:eastAsia="hr-HR" w:bidi="hr-HR"/>
        </w:rPr>
        <w:t xml:space="preserve"> Berlin 1919; P. Nav«, </w:t>
      </w:r>
      <w:r>
        <w:rPr>
          <w:i/>
          <w:iCs/>
          <w:color w:val="000000"/>
          <w:spacing w:val="0"/>
          <w:w w:val="100"/>
          <w:position w:val="0"/>
          <w:shd w:val="clear" w:color="auto" w:fill="auto"/>
        </w:rPr>
        <w:t xml:space="preserve">Die neue he- </w:t>
      </w:r>
      <w:r>
        <w:rPr>
          <w:i/>
          <w:iCs/>
          <w:color w:val="000000"/>
          <w:spacing w:val="0"/>
          <w:w w:val="100"/>
          <w:position w:val="0"/>
          <w:shd w:val="clear" w:color="auto" w:fill="auto"/>
          <w:lang w:val="hr-HR" w:eastAsia="hr-HR" w:bidi="hr-HR"/>
        </w:rPr>
        <w:t>brdisehe Literatur,</w:t>
      </w:r>
      <w:r>
        <w:rPr>
          <w:color w:val="000000"/>
          <w:spacing w:val="0"/>
          <w:w w:val="100"/>
          <w:position w:val="0"/>
          <w:shd w:val="clear" w:color="auto" w:fill="auto"/>
          <w:lang w:val="hr-HR" w:eastAsia="hr-HR" w:bidi="hr-HR"/>
        </w:rPr>
        <w:t xml:space="preserve"> Miinchcn 1962. P. </w:t>
      </w:r>
      <w:r>
        <w:rPr>
          <w:color w:val="000000"/>
          <w:spacing w:val="0"/>
          <w:w w:val="100"/>
          <w:position w:val="0"/>
          <w:shd w:val="clear" w:color="auto" w:fill="auto"/>
        </w:rPr>
        <w:t>NAVE LEVINSON</w:t>
      </w:r>
    </w:p>
    <w:p>
      <w:pPr>
        <w:pStyle w:val="Style63"/>
        <w:keepNext/>
        <w:keepLines/>
        <w:widowControl w:val="0"/>
        <w:numPr>
          <w:ilvl w:val="0"/>
          <w:numId w:val="455"/>
        </w:numPr>
        <w:shd w:val="clear" w:color="auto" w:fill="auto"/>
        <w:tabs>
          <w:tab w:pos="265" w:val="left"/>
        </w:tabs>
        <w:bidi w:val="0"/>
        <w:spacing w:before="0"/>
        <w:ind w:left="0" w:right="0" w:firstLine="0"/>
        <w:jc w:val="both"/>
      </w:pPr>
      <w:bookmarkStart w:id="292" w:name="bookmark29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9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označava raznolik duhovno-povijesni pok</w:t>
        <w:softHyphen/>
        <w:t>ret koji je počeo u Zapadnoj Europi XVII. i XVIII. stoljeća, a ima kao predmet »autono</w:t>
        <w:softHyphen/>
        <w:t>miju uma, solidarnost kulture intelekta, po</w:t>
        <w:softHyphen/>
        <w:t>uzdanje u njezin nezaustavljiv napredak i aris</w:t>
        <w:softHyphen/>
        <w:t xml:space="preserve">tokraciju duha« </w:t>
      </w:r>
      <w:r>
        <w:rPr>
          <w:rFonts w:ascii="Times New Roman" w:eastAsia="Times New Roman" w:hAnsi="Times New Roman" w:cs="Times New Roman"/>
          <w:color w:val="000000"/>
          <w:spacing w:val="0"/>
          <w:w w:val="100"/>
          <w:position w:val="0"/>
          <w:shd w:val="clear" w:color="auto" w:fill="auto"/>
          <w:lang w:val="en-US" w:eastAsia="en-US" w:bidi="en-US"/>
        </w:rPr>
        <w:t xml:space="preserve">(Dilthey). </w:t>
      </w:r>
      <w:r>
        <w:rPr>
          <w:rFonts w:ascii="Times New Roman" w:eastAsia="Times New Roman" w:hAnsi="Times New Roman" w:cs="Times New Roman"/>
          <w:color w:val="000000"/>
          <w:spacing w:val="0"/>
          <w:w w:val="100"/>
          <w:position w:val="0"/>
          <w:shd w:val="clear" w:color="auto" w:fill="auto"/>
          <w:lang w:val="hr-HR" w:eastAsia="hr-HR" w:bidi="hr-HR"/>
        </w:rPr>
        <w:t>»Imaj hrabrosti po</w:t>
        <w:softHyphen/>
        <w:t xml:space="preserve">služiti se svojim vlastitim razumom!« (Kant) geslo je po kojem se čovječanstvo treba izvesti iz »maloljetnosti za koju je samo krivo«. P. je počelo u Engleskoj (Hume, </w:t>
      </w:r>
      <w:r>
        <w:rPr>
          <w:rFonts w:ascii="Times New Roman" w:eastAsia="Times New Roman" w:hAnsi="Times New Roman" w:cs="Times New Roman"/>
          <w:color w:val="000000"/>
          <w:spacing w:val="0"/>
          <w:w w:val="100"/>
          <w:position w:val="0"/>
          <w:shd w:val="clear" w:color="auto" w:fill="auto"/>
          <w:lang w:val="en-US" w:eastAsia="en-US" w:bidi="en-US"/>
        </w:rPr>
        <w:t xml:space="preserve">Locke), </w:t>
      </w:r>
      <w:r>
        <w:rPr>
          <w:rFonts w:ascii="Times New Roman" w:eastAsia="Times New Roman" w:hAnsi="Times New Roman" w:cs="Times New Roman"/>
          <w:color w:val="000000"/>
          <w:spacing w:val="0"/>
          <w:w w:val="100"/>
          <w:position w:val="0"/>
          <w:shd w:val="clear" w:color="auto" w:fill="auto"/>
          <w:lang w:val="hr-HR" w:eastAsia="hr-HR" w:bidi="hr-HR"/>
        </w:rPr>
        <w:t>a u Fran</w:t>
        <w:softHyphen/>
        <w:t>cuskoj se pokazalo u često bespoštednoj kri</w:t>
        <w:softHyphen/>
        <w:t>tici postojećih institucija Crkve i države (en</w:t>
        <w:softHyphen/>
        <w:t xml:space="preserve">ciklopedisti, </w:t>
      </w:r>
      <w:r>
        <w:rPr>
          <w:rFonts w:ascii="Times New Roman" w:eastAsia="Times New Roman" w:hAnsi="Times New Roman" w:cs="Times New Roman"/>
          <w:color w:val="000000"/>
          <w:spacing w:val="0"/>
          <w:w w:val="100"/>
          <w:position w:val="0"/>
          <w:shd w:val="clear" w:color="auto" w:fill="auto"/>
          <w:lang w:val="en-US" w:eastAsia="en-US" w:bidi="en-US"/>
        </w:rPr>
        <w:t xml:space="preserve">Voltaire) </w:t>
      </w:r>
      <w:r>
        <w:rPr>
          <w:rFonts w:ascii="Times New Roman" w:eastAsia="Times New Roman" w:hAnsi="Times New Roman" w:cs="Times New Roman"/>
          <w:color w:val="000000"/>
          <w:spacing w:val="0"/>
          <w:w w:val="100"/>
          <w:position w:val="0"/>
          <w:shd w:val="clear" w:color="auto" w:fill="auto"/>
          <w:lang w:val="hr-HR" w:eastAsia="hr-HR" w:bidi="hr-HR"/>
        </w:rPr>
        <w:t>koja je svoj vrhunac do</w:t>
        <w:softHyphen/>
        <w:t xml:space="preserve">segla u Francuskoj revoluciji. U Njemačkoj je p. imalo većma idealistički oblik </w:t>
      </w:r>
      <w:r>
        <w:rPr>
          <w:rFonts w:ascii="Times New Roman" w:eastAsia="Times New Roman" w:hAnsi="Times New Roman" w:cs="Times New Roman"/>
          <w:color w:val="000000"/>
          <w:spacing w:val="0"/>
          <w:w w:val="100"/>
          <w:position w:val="0"/>
          <w:shd w:val="clear" w:color="auto" w:fill="auto"/>
          <w:lang w:val="en-US" w:eastAsia="en-US" w:bidi="en-US"/>
        </w:rPr>
        <w:t xml:space="preserve">(Leibniz, Thomasius, Wolf), </w:t>
      </w:r>
      <w:r>
        <w:rPr>
          <w:rFonts w:ascii="Times New Roman" w:eastAsia="Times New Roman" w:hAnsi="Times New Roman" w:cs="Times New Roman"/>
          <w:color w:val="000000"/>
          <w:spacing w:val="0"/>
          <w:w w:val="100"/>
          <w:position w:val="0"/>
          <w:shd w:val="clear" w:color="auto" w:fill="auto"/>
          <w:lang w:val="hr-HR" w:eastAsia="hr-HR" w:bidi="hr-HR"/>
        </w:rPr>
        <w:t xml:space="preserve">a istaknuti predstavnici bili su mu </w:t>
      </w:r>
      <w:r>
        <w:rPr>
          <w:rFonts w:ascii="Times New Roman" w:eastAsia="Times New Roman" w:hAnsi="Times New Roman" w:cs="Times New Roman"/>
          <w:color w:val="000000"/>
          <w:spacing w:val="0"/>
          <w:w w:val="100"/>
          <w:position w:val="0"/>
          <w:shd w:val="clear" w:color="auto" w:fill="auto"/>
          <w:lang w:val="en-US" w:eastAsia="en-US" w:bidi="en-US"/>
        </w:rPr>
        <w:t xml:space="preserve">Lessing </w:t>
      </w:r>
      <w:r>
        <w:rPr>
          <w:rFonts w:ascii="Times New Roman" w:eastAsia="Times New Roman" w:hAnsi="Times New Roman" w:cs="Times New Roman"/>
          <w:color w:val="000000"/>
          <w:spacing w:val="0"/>
          <w:w w:val="100"/>
          <w:position w:val="0"/>
          <w:shd w:val="clear" w:color="auto" w:fill="auto"/>
          <w:lang w:val="hr-HR" w:eastAsia="hr-HR" w:bidi="hr-HR"/>
        </w:rPr>
        <w:t>i Kant.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Pozivajući se na snagu naravnog uma, napada se vjera u objavu i potiče se naravna religija i moral (deizam). Koriste se spoznaje prirodnih znanosti da bi se dokazala suvišnost čudesa kao Božjega nadnaravnog uplitanja u kretanje svijeta, jer se sveukupnost zbivanja u svijetu može objasniti pomoću prirodnih zakona (dc- izam). Izvori židovsko-kršćanske objave, Sve</w:t>
        <w:softHyphen/>
        <w:t>to pismo, izvrgnuti su načelnoj kritici (kritika teksta, povijest predaje, autentičnost) pri če</w:t>
        <w:softHyphen/>
        <w:t xml:space="preserve">mu se razrađuje pitanje mogućnosti objave i njezina posredovanja tijekom povijesti (»ružno kopanje«, </w:t>
      </w:r>
      <w:r>
        <w:rPr>
          <w:rFonts w:ascii="Times New Roman" w:eastAsia="Times New Roman" w:hAnsi="Times New Roman" w:cs="Times New Roman"/>
          <w:color w:val="000000"/>
          <w:spacing w:val="0"/>
          <w:w w:val="100"/>
          <w:position w:val="0"/>
          <w:shd w:val="clear" w:color="auto" w:fill="auto"/>
          <w:lang w:val="en-US" w:eastAsia="en-US" w:bidi="en-US"/>
        </w:rPr>
        <w:t xml:space="preserve">Leibniz). </w:t>
      </w:r>
      <w:r>
        <w:rPr>
          <w:rFonts w:ascii="Times New Roman" w:eastAsia="Times New Roman" w:hAnsi="Times New Roman" w:cs="Times New Roman"/>
          <w:color w:val="000000"/>
          <w:spacing w:val="0"/>
          <w:w w:val="100"/>
          <w:position w:val="0"/>
          <w:shd w:val="clear" w:color="auto" w:fill="auto"/>
          <w:lang w:val="hr-HR" w:eastAsia="hr-HR" w:bidi="hr-HR"/>
        </w:rPr>
        <w:t>Nasuprot nadnaravnoj re</w:t>
        <w:softHyphen/>
        <w:t>ligiji s objavom postavlja se načelna moguć</w:t>
        <w:softHyphen/>
      </w:r>
      <w:r>
        <w:rPr>
          <w:rFonts w:ascii="Times New Roman" w:eastAsia="Times New Roman" w:hAnsi="Times New Roman" w:cs="Times New Roman"/>
          <w:color w:val="000000"/>
          <w:spacing w:val="0"/>
          <w:w w:val="100"/>
          <w:position w:val="0"/>
          <w:shd w:val="clear" w:color="auto" w:fill="auto"/>
          <w:lang w:val="hr-HR" w:eastAsia="hr-HR" w:bidi="hr-HR"/>
        </w:rPr>
        <w:t>nost »razumske religije« (racionalizam) i sum</w:t>
        <w:softHyphen/>
        <w:t>nja se u apsolutiziranje kršćanstva ukazivanjem na velike kulture i religije (prije svega u Aziji). Poimanje o jedinstvu čovječanstva izražava se formuliranjem ljudskih prava medu kojima is</w:t>
        <w:softHyphen/>
        <w:t>taknuto mjesto zauzimaju sloboda i toleran</w:t>
        <w:softHyphen/>
        <w:t>cija u predmetu vjere i savjesti. Na području čovjekova političkog i društvenog autorstva polazi se od pojedinca, a država i politički au</w:t>
        <w:softHyphen/>
        <w:t>toritet ne promatraju se više kao »Božjim mi</w:t>
        <w:softHyphen/>
        <w:t>lostima« dani nego kao tvorevine koje su na</w:t>
        <w:softHyphen/>
        <w:t>stale ugovorom i dogovaranjem (državni ugo</w:t>
        <w:softHyphen/>
        <w:t>vor). Naspram zahtjeva Crkve da bude neza</w:t>
        <w:softHyphen/>
        <w:t>visna i iznad državne moći, zahtijeva se odje</w:t>
        <w:softHyphen/>
        <w:t>ljivanje Crkve od države. Na pedagoškom području p. je učinilo novi početak koji za</w:t>
        <w:softHyphen/>
        <w:t xml:space="preserve">pravo tek utemeljuje pedagogiju kao znanost (Komenski, </w:t>
      </w:r>
      <w:r>
        <w:rPr>
          <w:rFonts w:ascii="Times New Roman" w:eastAsia="Times New Roman" w:hAnsi="Times New Roman" w:cs="Times New Roman"/>
          <w:color w:val="000000"/>
          <w:spacing w:val="0"/>
          <w:w w:val="100"/>
          <w:position w:val="0"/>
          <w:shd w:val="clear" w:color="auto" w:fill="auto"/>
          <w:lang w:val="en-US" w:eastAsia="en-US" w:bidi="en-US"/>
        </w:rPr>
        <w:t xml:space="preserve">Rousseau, </w:t>
      </w:r>
      <w:r>
        <w:rPr>
          <w:rFonts w:ascii="Times New Roman" w:eastAsia="Times New Roman" w:hAnsi="Times New Roman" w:cs="Times New Roman"/>
          <w:color w:val="000000"/>
          <w:spacing w:val="0"/>
          <w:w w:val="100"/>
          <w:position w:val="0"/>
          <w:shd w:val="clear" w:color="auto" w:fill="auto"/>
          <w:lang w:val="hr-HR" w:eastAsia="hr-HR" w:bidi="hr-HR"/>
        </w:rPr>
        <w:t>Overberg).</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Proces prosvjetiteljstva kršćanske su crkve, prije svega Katolička, promatrale i ocijenile najprije kao napad na religiju i tradiciju. U ro</w:t>
        <w:softHyphen/>
        <w:t>manskim zemljama pokret se jače usmjerava protiv Crkve kao institucije i njezina širokog utjecaja na državu i društvo dok se u Engles</w:t>
        <w:softHyphen/>
        <w:t>koj i Njemačkoj ta antiklerikalna crta tako izričito ne pokazuje. Pa ipak, od početka je u katolicizmu i protestantizmu bilo napora da se nastojanja prosvjetiteljstva integriraju i uči</w:t>
        <w:softHyphen/>
        <w:t>ne djelotvornima. Povijesni tijek, prije svega zbivanja Francuske revolucije, učinili su su</w:t>
        <w:softHyphen/>
        <w:t>parništvo između prosvjetiteljstva i Crkve ve</w:t>
        <w:softHyphen/>
        <w:t>ćim nego što je to zapravo bilo nužno s obzi</w:t>
        <w:softHyphen/>
        <w:t>rom na cilj i sadržaj tog ambivalentnog po</w:t>
        <w:softHyphen/>
        <w:t>kreta. Zatim je u XX. stoljeću, s odmakom od događaja, bila formulirana teza o kršćanskom podrijetlu prosvjetiteljstva. Postvarenje priro</w:t>
        <w:softHyphen/>
        <w:t>de, oslobađanje zemlje od začaranosti, uki</w:t>
        <w:softHyphen/>
        <w:t>danje mnogih tabua i stav prema zemlji kao objektu i gradi, koje čovjek preoblikuje, sve</w:t>
        <w:softHyphen/>
        <w:t>deno je na poruku židovsko-kršćanske tradi</w:t>
        <w:softHyphen/>
        <w:t>cije prema kojoj upravo zemlja kao stvoreni svijet nije božansko područje, nego je stvoreni svijet dan na raspolaganje čovjeku. P. kao po</w:t>
        <w:softHyphen/>
        <w:t>kret slobode i emancipacije naširoko se do</w:t>
        <w:softHyphen/>
        <w:t>duše provodilo u suparništvu s kršćanskim crkvama i izvan njih, ali ono se u analizi za</w:t>
        <w:softHyphen/>
        <w:t>pravo pokazalo kao vjerodostojni daljnji raz</w:t>
        <w:softHyphen/>
        <w:t>vitak židovsko-kršćanskih polazišta. Nakon što se na duhovno-povijesni proces sekulari</w:t>
        <w:softHyphen/>
        <w:t xml:space="preserve">zacije dugo gledalo kao na sažaljenja vrijedno otpadništvo od Boga i Crkve, u teološkoj je diskusiji o novovjekovnom poimanju svijeta </w:t>
      </w:r>
      <w:r>
        <w:rPr>
          <w:rFonts w:ascii="Times New Roman" w:eastAsia="Times New Roman" w:hAnsi="Times New Roman" w:cs="Times New Roman"/>
          <w:color w:val="000000"/>
          <w:spacing w:val="0"/>
          <w:w w:val="100"/>
          <w:position w:val="0"/>
          <w:shd w:val="clear" w:color="auto" w:fill="auto"/>
          <w:lang w:val="hr-HR" w:eastAsia="hr-HR" w:bidi="hr-HR"/>
        </w:rPr>
        <w:t>kao »zakonito dijete« židovsko-kršćanske tra</w:t>
        <w:softHyphen/>
        <w:t>dicije bilo pozdravljeno oblikovanje »svjetov</w:t>
        <w:softHyphen/>
        <w:t xml:space="preserve">nog svijeta«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B. Metz) koje se izražava u nagloj promjeni od kozmocentričnog u antro- pocentrični način mišljenja i u promjeni od poimanja svijeta kao prirode u poimanje svije</w:t>
        <w:softHyphen/>
        <w:t>ta kao povijesti.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Proces prosvjetiteljstva ne može biti ograni</w:t>
        <w:softHyphen/>
        <w:t>čen na strujanja XVII. i XVIII. stoljeća, nego se pokazuje kao nedovršena zadaća koja po</w:t>
        <w:softHyphen/>
        <w:t>ziva na daljnje provođenje, korekturu i novo zadavanje zadataka. Vjera u snagu razuma po</w:t>
        <w:softHyphen/>
        <w:t>kazala se tijekom povijesti krhkom. Marksi</w:t>
        <w:softHyphen/>
        <w:t>zam i psihoanaliza pokazali su da samo poziv na čovjekov razum, slobodu i zrelost nisu do</w:t>
        <w:softHyphen/>
        <w:t>statni, da vanjske društvene okolnosti i unu</w:t>
        <w:softHyphen/>
        <w:t xml:space="preserve">tarnji pritisci na pojedinca mogu mnogo više spriječiti ljude da budu razumni, slobodni i zreli. Danas se u različitim filozofskim i znan- stveno-teoretskim naporima provodi nakana prosvjetiteljstva: u kritičkom racionalizmu (K. R. </w:t>
      </w:r>
      <w:r>
        <w:rPr>
          <w:rFonts w:ascii="Times New Roman" w:eastAsia="Times New Roman" w:hAnsi="Times New Roman" w:cs="Times New Roman"/>
          <w:color w:val="000000"/>
          <w:spacing w:val="0"/>
          <w:w w:val="100"/>
          <w:position w:val="0"/>
          <w:shd w:val="clear" w:color="auto" w:fill="auto"/>
          <w:lang w:val="en-US" w:eastAsia="en-US" w:bidi="en-US"/>
        </w:rPr>
        <w:t xml:space="preserve">Popper,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 xml:space="preserve">Albert), </w:t>
      </w:r>
      <w:r>
        <w:rPr>
          <w:rFonts w:ascii="Times New Roman" w:eastAsia="Times New Roman" w:hAnsi="Times New Roman" w:cs="Times New Roman"/>
          <w:color w:val="000000"/>
          <w:spacing w:val="0"/>
          <w:w w:val="100"/>
          <w:position w:val="0"/>
          <w:shd w:val="clear" w:color="auto" w:fill="auto"/>
          <w:lang w:val="hr-HR" w:eastAsia="hr-HR" w:bidi="hr-HR"/>
        </w:rPr>
        <w:t xml:space="preserve">u kritičkoj teoriji (M. </w:t>
      </w:r>
      <w:r>
        <w:rPr>
          <w:rFonts w:ascii="Times New Roman" w:eastAsia="Times New Roman" w:hAnsi="Times New Roman" w:cs="Times New Roman"/>
          <w:color w:val="000000"/>
          <w:spacing w:val="0"/>
          <w:w w:val="100"/>
          <w:position w:val="0"/>
          <w:shd w:val="clear" w:color="auto" w:fill="auto"/>
          <w:lang w:val="en-US" w:eastAsia="en-US" w:bidi="en-US"/>
        </w:rPr>
        <w:t xml:space="preserve">Horkheimer, Th. W. Adorno, J. Habermas), </w:t>
      </w:r>
      <w:r>
        <w:rPr>
          <w:rFonts w:ascii="Times New Roman" w:eastAsia="Times New Roman" w:hAnsi="Times New Roman" w:cs="Times New Roman"/>
          <w:color w:val="000000"/>
          <w:spacing w:val="0"/>
          <w:w w:val="100"/>
          <w:position w:val="0"/>
          <w:shd w:val="clear" w:color="auto" w:fill="auto"/>
          <w:lang w:val="hr-HR" w:eastAsia="hr-HR" w:bidi="hr-HR"/>
        </w:rPr>
        <w:t>u jezičnoj i komunikacijskoj logici kao i u teori</w:t>
        <w:softHyphen/>
        <w:t>jama sustava. Kao preostale zadaće i problemi novovjekovnog procesa slobode i prosvjetitelj</w:t>
        <w:softHyphen/>
        <w:t>stva ostaju tri sljedeća područja (prema W. Oclmullcru): poštivanje čovjeka kao subjekta i osobe, problem zla kao otuđenja i neiden- titeta te krug pitanja koja ljudskim postup</w:t>
        <w:softHyphen/>
        <w:t>cima pokazuju cilj.</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dijalog među religijama, posebno za trija- log između židovstva, kršćanstva i islama, ostaje problem u kolikoj je mjeri kao europ</w:t>
        <w:softHyphen/>
        <w:t>ska duhovno-povijesna pojava p. proces koji se može i treba ostvariti diljem svijeta. Za ži</w:t>
        <w:softHyphen/>
        <w:t>dovstvo se može utvrditi da su mnogi poticaji prosvjetiteljstva prihvaćeni i da su se dalje sa</w:t>
        <w:softHyphen/>
        <w:t>mostalno razvijali. Pritom još nije zaključena diskusija u kolikoj se mjeri tu radi o vjero</w:t>
        <w:softHyphen/>
        <w:t>dostojnom daljnjem razvoju ili o prihvaćanju tuđinskog utjecaja izvana upravo nakon holo</w:t>
        <w:softHyphen/>
        <w:t>kausta kao povijesnog loma. Za islam se na sasvim drugačiji način postavlja pitanje o legi</w:t>
        <w:softHyphen/>
        <w:t>timnosti prosvjetiteljstva. Nakon nekoliko po</w:t>
        <w:softHyphen/>
        <w:t xml:space="preserve">kušaja islamskog prosvjetiteljstva </w:t>
      </w:r>
      <w:r>
        <w:rPr>
          <w:rFonts w:ascii="Times New Roman" w:eastAsia="Times New Roman" w:hAnsi="Times New Roman" w:cs="Times New Roman"/>
          <w:color w:val="000000"/>
          <w:spacing w:val="0"/>
          <w:w w:val="100"/>
          <w:position w:val="0"/>
          <w:shd w:val="clear" w:color="auto" w:fill="auto"/>
          <w:lang w:val="en-US" w:eastAsia="en-US" w:bidi="en-US"/>
        </w:rPr>
        <w:t xml:space="preserve">(Kemal </w:t>
      </w:r>
      <w:r>
        <w:rPr>
          <w:rFonts w:ascii="Times New Roman" w:eastAsia="Times New Roman" w:hAnsi="Times New Roman" w:cs="Times New Roman"/>
          <w:color w:val="000000"/>
          <w:spacing w:val="0"/>
          <w:w w:val="100"/>
          <w:position w:val="0"/>
          <w:shd w:val="clear" w:color="auto" w:fill="auto"/>
          <w:lang w:val="hr-HR" w:eastAsia="hr-HR" w:bidi="hr-HR"/>
        </w:rPr>
        <w:t>Ata- tiirk u Turskoj, M. ’Abduh u Egiptu) čini se da se u najnovije vrijeme u novom promiš</w:t>
        <w:softHyphen/>
        <w:t>ljanju islama pokret sve više svodi na rene</w:t>
        <w:softHyphen/>
        <w:t>sansu. Za dijalog među religijama u religijski i svjetonazorski pluralističkom svijetu sigurno je vrlo značajno pitanje o dalekosežnoj vrijed</w:t>
        <w:softHyphen/>
      </w:r>
      <w:r>
        <w:rPr>
          <w:rFonts w:ascii="Times New Roman" w:eastAsia="Times New Roman" w:hAnsi="Times New Roman" w:cs="Times New Roman"/>
          <w:color w:val="000000"/>
          <w:spacing w:val="0"/>
          <w:w w:val="100"/>
          <w:position w:val="0"/>
          <w:shd w:val="clear" w:color="auto" w:fill="auto"/>
          <w:lang w:val="hr-HR" w:eastAsia="hr-HR" w:bidi="hr-HR"/>
        </w:rPr>
        <w:t>nosti impulsa, učinaka i strujanja zapadne po</w:t>
        <w:softHyphen/>
        <w:t>vijesti prosvjetiteljstva.</w:t>
      </w:r>
    </w:p>
    <w:p>
      <w:pPr>
        <w:pStyle w:val="Style56"/>
        <w:keepNext w:val="0"/>
        <w:keepLines w:val="0"/>
        <w:widowControl w:val="0"/>
        <w:shd w:val="clear" w:color="auto" w:fill="auto"/>
        <w:tabs>
          <w:tab w:pos="2544" w:val="left"/>
        </w:tabs>
        <w:bidi w:val="0"/>
        <w:spacing w:before="0" w:after="24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F. W. Kanlzcnbach. </w:t>
      </w:r>
      <w:r>
        <w:rPr>
          <w:i/>
          <w:iCs/>
          <w:color w:val="000000"/>
          <w:spacing w:val="0"/>
          <w:w w:val="100"/>
          <w:position w:val="0"/>
          <w:shd w:val="clear" w:color="auto" w:fill="auto"/>
          <w:lang w:val="hr-HR" w:eastAsia="hr-HR" w:bidi="hr-HR"/>
        </w:rPr>
        <w:t xml:space="preserve">Protesiaruisches Chrislentum im Zeilalier </w:t>
      </w:r>
      <w:r>
        <w:rPr>
          <w:i/>
          <w:iCs/>
          <w:color w:val="000000"/>
          <w:spacing w:val="0"/>
          <w:w w:val="100"/>
          <w:position w:val="0"/>
          <w:shd w:val="clear" w:color="auto" w:fill="auto"/>
        </w:rPr>
        <w:t>des Aufklarung,</w:t>
      </w:r>
      <w:r>
        <w:rPr>
          <w:color w:val="000000"/>
          <w:spacing w:val="0"/>
          <w:w w:val="100"/>
          <w:position w:val="0"/>
          <w:shd w:val="clear" w:color="auto" w:fill="auto"/>
        </w:rPr>
        <w:t xml:space="preserve"> Gutersloh </w:t>
      </w:r>
      <w:r>
        <w:rPr>
          <w:color w:val="000000"/>
          <w:spacing w:val="0"/>
          <w:w w:val="100"/>
          <w:position w:val="0"/>
          <w:shd w:val="clear" w:color="auto" w:fill="auto"/>
          <w:lang w:val="hr-HR" w:eastAsia="hr-HR" w:bidi="hr-HR"/>
        </w:rPr>
        <w:t xml:space="preserve">1965; H. Raab. </w:t>
      </w:r>
      <w:r>
        <w:rPr>
          <w:i/>
          <w:iCs/>
          <w:color w:val="000000"/>
          <w:spacing w:val="0"/>
          <w:w w:val="100"/>
          <w:position w:val="0"/>
          <w:shd w:val="clear" w:color="auto" w:fill="auto"/>
          <w:lang w:val="hr-HR" w:eastAsia="hr-HR" w:bidi="hr-HR"/>
        </w:rPr>
        <w:t>Auf- kldmng,</w:t>
      </w:r>
      <w:r>
        <w:rPr>
          <w:color w:val="000000"/>
          <w:spacing w:val="0"/>
          <w:w w:val="100"/>
          <w:position w:val="0"/>
          <w:shd w:val="clear" w:color="auto" w:fill="auto"/>
          <w:lang w:val="hr-HR" w:eastAsia="hr-HR" w:bidi="hr-HR"/>
        </w:rPr>
        <w:t xml:space="preserve"> $M ! (1967), 425-430;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B. Metz, </w:t>
      </w:r>
      <w:r>
        <w:rPr>
          <w:i/>
          <w:iCs/>
          <w:color w:val="000000"/>
          <w:spacing w:val="0"/>
          <w:w w:val="100"/>
          <w:position w:val="0"/>
          <w:shd w:val="clear" w:color="auto" w:fill="auto"/>
          <w:lang w:val="hr-HR" w:eastAsia="hr-HR" w:bidi="hr-HR"/>
        </w:rPr>
        <w:t xml:space="preserve">Zur Theoiogie der </w:t>
      </w:r>
      <w:r>
        <w:rPr>
          <w:i/>
          <w:iCs/>
          <w:color w:val="000000"/>
          <w:spacing w:val="0"/>
          <w:w w:val="100"/>
          <w:position w:val="0"/>
          <w:shd w:val="clear" w:color="auto" w:fill="auto"/>
        </w:rPr>
        <w:t xml:space="preserve">Well, </w:t>
      </w:r>
      <w:r>
        <w:rPr>
          <w:i/>
          <w:iCs/>
          <w:color w:val="000000"/>
          <w:spacing w:val="0"/>
          <w:w w:val="100"/>
          <w:position w:val="0"/>
          <w:shd w:val="clear" w:color="auto" w:fill="auto"/>
          <w:lang w:val="hr-HR" w:eastAsia="hr-HR" w:bidi="hr-HR"/>
        </w:rPr>
        <w:t xml:space="preserve">Munchtn </w:t>
      </w:r>
      <w:r>
        <w:rPr>
          <w:i/>
          <w:iCs/>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1969;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B. Metz/J. Moltmann/ W. Oclmul- Icr, </w:t>
      </w:r>
      <w:r>
        <w:rPr>
          <w:i/>
          <w:iCs/>
          <w:color w:val="000000"/>
          <w:spacing w:val="0"/>
          <w:w w:val="100"/>
          <w:position w:val="0"/>
          <w:shd w:val="clear" w:color="auto" w:fill="auto"/>
          <w:lang w:val="hr-HR" w:eastAsia="hr-HR" w:bidi="hr-HR"/>
        </w:rPr>
        <w:t xml:space="preserve">Kirehe im </w:t>
      </w:r>
      <w:r>
        <w:rPr>
          <w:i/>
          <w:iCs/>
          <w:color w:val="000000"/>
          <w:spacing w:val="0"/>
          <w:w w:val="100"/>
          <w:position w:val="0"/>
          <w:shd w:val="clear" w:color="auto" w:fill="auto"/>
        </w:rPr>
        <w:t xml:space="preserve">Prouts </w:t>
      </w:r>
      <w:r>
        <w:rPr>
          <w:i/>
          <w:iCs/>
          <w:color w:val="000000"/>
          <w:spacing w:val="0"/>
          <w:w w:val="100"/>
          <w:position w:val="0"/>
          <w:shd w:val="clear" w:color="auto" w:fill="auto"/>
          <w:lang w:val="hr-HR" w:eastAsia="hr-HR" w:bidi="hr-HR"/>
        </w:rPr>
        <w:t>der Aufkldrung,</w:t>
      </w:r>
      <w:r>
        <w:rPr>
          <w:color w:val="000000"/>
          <w:spacing w:val="0"/>
          <w:w w:val="100"/>
          <w:position w:val="0"/>
          <w:shd w:val="clear" w:color="auto" w:fill="auto"/>
          <w:lang w:val="hr-HR" w:eastAsia="hr-HR" w:bidi="hr-HR"/>
        </w:rPr>
        <w:t xml:space="preserve"> Munehen 1970; G. </w:t>
      </w:r>
      <w:r>
        <w:rPr>
          <w:color w:val="000000"/>
          <w:spacing w:val="0"/>
          <w:w w:val="100"/>
          <w:position w:val="0"/>
          <w:shd w:val="clear" w:color="auto" w:fill="auto"/>
        </w:rPr>
        <w:t xml:space="preserve">Otto. </w:t>
      </w:r>
      <w:r>
        <w:rPr>
          <w:i/>
          <w:iCs/>
          <w:color w:val="000000"/>
          <w:spacing w:val="0"/>
          <w:w w:val="100"/>
          <w:position w:val="0"/>
          <w:shd w:val="clear" w:color="auto" w:fill="auto"/>
        </w:rPr>
        <w:t>Vernunfl,</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1970.</w:t>
        <w:tab/>
        <w:t>(M-vi-RS</w:t>
      </w:r>
    </w:p>
    <w:p>
      <w:pPr>
        <w:pStyle w:val="Style63"/>
        <w:keepNext/>
        <w:keepLines/>
        <w:widowControl w:val="0"/>
        <w:numPr>
          <w:ilvl w:val="0"/>
          <w:numId w:val="455"/>
        </w:numPr>
        <w:shd w:val="clear" w:color="auto" w:fill="auto"/>
        <w:tabs>
          <w:tab w:pos="265" w:val="left"/>
        </w:tabs>
        <w:bidi w:val="0"/>
        <w:spacing w:before="0" w:after="80" w:line="223" w:lineRule="auto"/>
        <w:ind w:left="0" w:right="0" w:firstLine="0"/>
        <w:jc w:val="both"/>
      </w:pPr>
      <w:bookmarkStart w:id="293" w:name="bookmark293"/>
      <w:r>
        <w:rPr>
          <w:rFonts w:ascii="Times New Roman" w:eastAsia="Times New Roman" w:hAnsi="Times New Roman" w:cs="Times New Roman"/>
          <w:color w:val="000000"/>
          <w:spacing w:val="0"/>
          <w:w w:val="100"/>
          <w:position w:val="0"/>
          <w:shd w:val="clear" w:color="auto" w:fill="auto"/>
          <w:lang w:val="hr-HR" w:eastAsia="hr-HR" w:bidi="hr-HR"/>
        </w:rPr>
        <w:t>islamski</w:t>
      </w:r>
      <w:bookmarkEnd w:id="293"/>
    </w:p>
    <w:p>
      <w:pPr>
        <w:pStyle w:val="Style20"/>
        <w:keepNext w:val="0"/>
        <w:keepLines w:val="0"/>
        <w:widowControl w:val="0"/>
        <w:shd w:val="clear" w:color="auto" w:fill="auto"/>
        <w:bidi w:val="0"/>
        <w:spacing w:before="0" w:after="1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Racionalistička strujanja u islamu postojala su već u VIII. stoljeću. Za njih su se naravno vezale i prosvjetiteljske nevolje. No u islam</w:t>
        <w:softHyphen/>
        <w:t>skome je svijetu nedostajalo hrabrosti da se potpuno i u cijelosti dopusti vladavina ljudskog uma. Prvenstvo je uvijek imalo posvećeno zna</w:t>
        <w:softHyphen/>
        <w:t>nje. Onaj tko se stavljao iznad toga temeljnog pravila bio je okrivljivan zbog hereze. Postig</w:t>
        <w:softHyphen/>
        <w:t>nuća slobodnog uma bila su smještena u opći okvir religiozne umnosti. Jedino je mistika bila ta koja je znala praktično razoriti posvećeno znanje. Njezino virulentno monističko viđenje svijeta dopuštalo je da Bog i svijet važe kao jedinstvo. Sukladno tomu, sve su pojave bile utemeljene i »posvećene« u Bogu. Izgubile su se granice između onoga što Bog želi i ne želi. Kuranskc i tradicijske predodžbe o normama i vrednotama izgubile su sc u fikciji. Stoga način življenja i ponašanja, koji je određivala mistika, nije mogao osloboditi nikakve napredne snage. Dok se u europskom prosvjetiteljstvu pantei- zam ubrajao u noseće duhovne snage, on se u kulturnom području islama pokazao kao pot</w:t>
        <w:softHyphen/>
        <w:t>puno beznačajan. P. koje unutar islama vje</w:t>
        <w:softHyphen/>
        <w:t>ruje u objavu profiliralo se u murdžijitskom i mutezilitskom smjeru mišljenja kao i u moder</w:t>
        <w:softHyphen/>
        <w:t xml:space="preserve">nim pokretima. Murdžijiti </w:t>
      </w:r>
      <w:r>
        <w:rPr>
          <w:rFonts w:ascii="Times New Roman" w:eastAsia="Times New Roman" w:hAnsi="Times New Roman" w:cs="Times New Roman"/>
          <w:color w:val="000000"/>
          <w:spacing w:val="0"/>
          <w:w w:val="100"/>
          <w:position w:val="0"/>
          <w:shd w:val="clear" w:color="auto" w:fill="auto"/>
          <w:lang w:val="en-US" w:eastAsia="en-US" w:bidi="en-US"/>
        </w:rPr>
        <w:t xml:space="preserve">(VIII./IX. </w:t>
      </w:r>
      <w:r>
        <w:rPr>
          <w:rFonts w:ascii="Times New Roman" w:eastAsia="Times New Roman" w:hAnsi="Times New Roman" w:cs="Times New Roman"/>
          <w:color w:val="000000"/>
          <w:spacing w:val="0"/>
          <w:w w:val="100"/>
          <w:position w:val="0"/>
          <w:shd w:val="clear" w:color="auto" w:fill="auto"/>
          <w:lang w:val="hr-HR" w:eastAsia="hr-HR" w:bidi="hr-HR"/>
        </w:rPr>
        <w:t>stoljeće) su odbacivali misao daje čovjek nadležan od</w:t>
        <w:softHyphen/>
        <w:t>lučivati o najnutarnjijoj vrednoti vjere nekoga vjernika. Oni su zastupali tezu o rubnoj pojavi takozvanih »anonimnih muslimana« te su na temelju toga došli do zaključka o nužnosti ap</w:t>
        <w:softHyphen/>
        <w:t>solutne tolerantnosti. Muteziliti su pitali o smislu svakoga religioznog propisa. Državna je vlast krajem X. stoljeća dokrajčila njihovu mirnodopsku teologiju. Islam po svojoj naravi posjeduje izvjesne elemente prosvjetiteljstva. Tu prije svega spadaju utilitarizam, koji se ne smije izroditi u egoističke sklonosti, i egalita</w:t>
        <w:softHyphen/>
        <w:t>rizam. On se očituje u nauku da su svi vjernici braća i da među ljudima nema nikakvih rasnih prednosti.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Premda Kuran poziva na punu upotrebu uma (17,36) a islam sc u istoj predaji upravo opi</w:t>
        <w:softHyphen/>
        <w:t>suje kao um, sadržaji objave ipak predstav</w:t>
        <w:softHyphen/>
        <w:t>ljaju temeljnu smjernicu za vjernike. Unatoč svim pokušajima da se učini okret od toga te</w:t>
        <w:softHyphen/>
        <w:t>meljnog usmjerenja mslimanski se narodi čvr</w:t>
        <w:softHyphen/>
        <w:t>sto drže toga. Nova je situacija nastupila je</w:t>
        <w:softHyphen/>
        <w:t>dino u komunističkim državama. P. koje je u Republici Turskoj prakticirano odozgo djelo</w:t>
        <w:softHyphen/>
        <w:t xml:space="preserve">valo je samo površinski i u gradskoj sredini. No na ulazu u Sveučilište u Ankari, koje je osnova pozitivist </w:t>
      </w:r>
      <w:r>
        <w:rPr>
          <w:rFonts w:ascii="Times New Roman" w:eastAsia="Times New Roman" w:hAnsi="Times New Roman" w:cs="Times New Roman"/>
          <w:i/>
          <w:iCs/>
          <w:color w:val="000000"/>
          <w:spacing w:val="0"/>
          <w:w w:val="100"/>
          <w:position w:val="0"/>
          <w:shd w:val="clear" w:color="auto" w:fill="auto"/>
          <w:lang w:val="en-US" w:eastAsia="en-US" w:bidi="en-US"/>
        </w:rPr>
        <w:t>Kemal Ataturk,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kao </w:t>
      </w:r>
      <w:r>
        <w:rPr>
          <w:rFonts w:ascii="Times New Roman" w:eastAsia="Times New Roman" w:hAnsi="Times New Roman" w:cs="Times New Roman"/>
          <w:color w:val="000000"/>
          <w:spacing w:val="0"/>
          <w:w w:val="100"/>
          <w:position w:val="0"/>
          <w:shd w:val="clear" w:color="auto" w:fill="auto"/>
          <w:lang w:val="en-US" w:eastAsia="en-US" w:bidi="en-US"/>
        </w:rPr>
        <w:t>memen</w:t>
        <w:softHyphen/>
        <w:t xml:space="preserve">to </w:t>
      </w:r>
      <w:r>
        <w:rPr>
          <w:rFonts w:ascii="Times New Roman" w:eastAsia="Times New Roman" w:hAnsi="Times New Roman" w:cs="Times New Roman"/>
          <w:color w:val="000000"/>
          <w:spacing w:val="0"/>
          <w:w w:val="100"/>
          <w:position w:val="0"/>
          <w:shd w:val="clear" w:color="auto" w:fill="auto"/>
          <w:lang w:val="hr-HR" w:eastAsia="hr-HR" w:bidi="hr-HR"/>
        </w:rPr>
        <w:t>za nadolazeće generacije akademske mla</w:t>
        <w:softHyphen/>
        <w:t>deži urezana je jedna od njegovih karakteris</w:t>
        <w:softHyphen/>
        <w:t>tičnih prosvjetiteljskih izreka: »U životu jedini je istinski vođa znanost«. Djelomične su rezul</w:t>
        <w:softHyphen/>
        <w:t>tate polučili i državni pokušaji prosvjećivanja u Tunisu. Liberalizam i njegove popratne pojave - i pozitivne i negativne - do sada nisu mogli uhvatiti korijena nigdje u islamskome svijetu. Na području teologije prosvjetiteljstvu su jed</w:t>
        <w:softHyphen/>
        <w:t xml:space="preserve">naki napori </w:t>
      </w:r>
      <w:r>
        <w:rPr>
          <w:rFonts w:ascii="Times New Roman" w:eastAsia="Times New Roman" w:hAnsi="Times New Roman" w:cs="Times New Roman"/>
          <w:color w:val="000000"/>
          <w:spacing w:val="0"/>
          <w:w w:val="100"/>
          <w:position w:val="0"/>
          <w:shd w:val="clear" w:color="auto" w:fill="auto"/>
          <w:lang w:val="en-US" w:eastAsia="en-US" w:bidi="en-US"/>
        </w:rPr>
        <w:t xml:space="preserve">sa/n/iyya-pokreta </w:t>
      </w:r>
      <w:r>
        <w:rPr>
          <w:rFonts w:ascii="Times New Roman" w:eastAsia="Times New Roman" w:hAnsi="Times New Roman" w:cs="Times New Roman"/>
          <w:color w:val="000000"/>
          <w:spacing w:val="0"/>
          <w:w w:val="100"/>
          <w:position w:val="0"/>
          <w:shd w:val="clear" w:color="auto" w:fill="auto"/>
          <w:lang w:val="hr-HR" w:eastAsia="hr-HR" w:bidi="hr-HR"/>
        </w:rPr>
        <w:t>da oslobodi is</w:t>
        <w:softHyphen/>
        <w:t>lam povijesnoga balasta. On je donio jedno razmišljanje o izvorima, ali se uostalom nije brinuo za povijest nastanka niti za obrazlože</w:t>
        <w:softHyphen/>
        <w:t xml:space="preserve">nje sadržaja nauka koji su reducirani tijekom njihova preoblikovanja. </w:t>
      </w:r>
      <w:r>
        <w:rPr>
          <w:rFonts w:ascii="Times New Roman" w:eastAsia="Times New Roman" w:hAnsi="Times New Roman" w:cs="Times New Roman"/>
          <w:i/>
          <w:iCs/>
          <w:color w:val="000000"/>
          <w:spacing w:val="0"/>
          <w:w w:val="100"/>
          <w:position w:val="0"/>
          <w:shd w:val="clear" w:color="auto" w:fill="auto"/>
          <w:lang w:val="en-US" w:eastAsia="en-US" w:bidi="en-US"/>
        </w:rPr>
        <w:t>Salafiyya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je potisnula racionalni pristup Kuranu, semantičko-histo- rijska egzegeza i uvažavanje rezultata istraživa</w:t>
        <w:softHyphen/>
        <w:t xml:space="preserve">nja u orijentalistici. Ona je time djelovala više regresivno i restaurativno nego prosvjetiteljski. U teološkome području p. je prije svih uveo Egipćanin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‘Abduh (1949-1905). Slična je zadaća u Indiji pripala tamošnjim neomutezilitima koji se u svojemu radu ipak nisu uvijek držali stroge teološke metode argu</w:t>
        <w:softHyphen/>
        <w:t>mentiranja. Važan je napredak u teološkom utemeljenju sekularne varijante islamskoga društva kratko nakon raspada kalifata u Tur</w:t>
        <w:softHyphen/>
        <w:t xml:space="preserve">skoj učinio Egipćanin ‘Ali </w:t>
      </w:r>
      <w:r>
        <w:rPr>
          <w:rFonts w:ascii="Times New Roman" w:eastAsia="Times New Roman" w:hAnsi="Times New Roman" w:cs="Times New Roman"/>
          <w:color w:val="000000"/>
          <w:spacing w:val="0"/>
          <w:w w:val="100"/>
          <w:position w:val="0"/>
          <w:shd w:val="clear" w:color="auto" w:fill="auto"/>
          <w:lang w:val="en-US" w:eastAsia="en-US" w:bidi="en-US"/>
        </w:rPr>
        <w:t>‘Abdarraziq.</w:t>
      </w:r>
    </w:p>
    <w:p>
      <w:pPr>
        <w:pStyle w:val="Style20"/>
        <w:keepNext w:val="0"/>
        <w:keepLines w:val="0"/>
        <w:widowControl w:val="0"/>
        <w:shd w:val="clear" w:color="auto" w:fill="auto"/>
        <w:bidi w:val="0"/>
        <w:spacing w:before="0" w:after="0" w:line="240" w:lineRule="auto"/>
        <w:ind w:left="0" w:right="0" w:firstLine="0"/>
        <w:jc w:val="both"/>
        <w:sectPr>
          <w:headerReference w:type="default" r:id="rId1197"/>
          <w:footerReference w:type="default" r:id="rId1198"/>
          <w:headerReference w:type="even" r:id="rId1199"/>
          <w:footerReference w:type="even" r:id="rId1200"/>
          <w:headerReference w:type="first" r:id="rId1201"/>
          <w:footerReference w:type="first" r:id="rId1202"/>
          <w:footnotePr>
            <w:pos w:val="pageBottom"/>
            <w:numFmt w:val="decimal"/>
            <w:numRestart w:val="continuous"/>
            <w15:footnoteColumns w:val="1"/>
          </w:footnotePr>
          <w:pgSz w:w="6816" w:h="11006"/>
          <w:pgMar w:top="828" w:left="185" w:right="190" w:bottom="339" w:header="0" w:footer="3" w:gutter="0"/>
          <w:cols w:num="2" w:space="17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vrednovanju ljudskih prava tradicionalni je islam bio pod utjecajem antičke slike svijeta. Humanost je stoga ovisna o obvezujučoj po</w:t>
        <w:softHyphen/>
        <w:t xml:space="preserve">vezanosti s Bogom kao vodećim motivom i principom djelovanja. Teološki besprigovomo ponašanje važi kao pretpostavka za postajanje punopravnoga člana svjetske zajednice islama </w:t>
      </w:r>
      <w:r>
        <w:rPr>
          <w:rFonts w:ascii="Times New Roman" w:eastAsia="Times New Roman" w:hAnsi="Times New Roman" w:cs="Times New Roman"/>
          <w:i/>
          <w:iCs/>
          <w:color w:val="000000"/>
          <w:spacing w:val="0"/>
          <w:w w:val="100"/>
          <w:position w:val="0"/>
          <w:shd w:val="clear" w:color="auto" w:fill="auto"/>
          <w:lang w:val="hr-HR" w:eastAsia="hr-HR" w:bidi="hr-HR"/>
        </w:rPr>
        <w:t>(umma).</w:t>
      </w:r>
      <w:r>
        <w:rPr>
          <w:rFonts w:ascii="Times New Roman" w:eastAsia="Times New Roman" w:hAnsi="Times New Roman" w:cs="Times New Roman"/>
          <w:color w:val="000000"/>
          <w:spacing w:val="0"/>
          <w:w w:val="100"/>
          <w:position w:val="0"/>
          <w:shd w:val="clear" w:color="auto" w:fill="auto"/>
          <w:lang w:val="hr-HR" w:eastAsia="hr-HR" w:bidi="hr-HR"/>
        </w:rPr>
        <w:t xml:space="preserve"> Taj status gubi svatko tko sc ne po</w:t>
        <w:softHyphen/>
        <w:t>naša na taj način. Politeisti su za islam isto što i barbari. To objašnjava njegov oštri postupak protiv arapskih idolopoklonika u Muhamedo- vo doba. I islamsko pravo ima antičko obličje, što se može naročito uočiti u kaznenome pravu.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Novi tip islamskoga prosvjetiteljstva primje</w:t>
        <w:softHyphen/>
        <w:t>tan je tek zadnjih nekoliko godina u Egiptu. Tamo se oko Hasana Hanafija, profesora filo</w:t>
        <w:softHyphen/>
        <w:t>zofije u Kairu, okupila skupina intelektualaca koji su pod nazivom »Islamska ljevica« po</w:t>
        <w:softHyphen/>
        <w:t xml:space="preserve">taknuli progresivistički pokret. Njihove misli izražava niz knjiga pod naslovom </w:t>
      </w:r>
      <w:r>
        <w:rPr>
          <w:rFonts w:ascii="Times New Roman" w:eastAsia="Times New Roman" w:hAnsi="Times New Roman" w:cs="Times New Roman"/>
          <w:i/>
          <w:iCs/>
          <w:color w:val="000000"/>
          <w:spacing w:val="0"/>
          <w:w w:val="100"/>
          <w:position w:val="0"/>
          <w:shd w:val="clear" w:color="auto" w:fill="auto"/>
          <w:lang w:val="hr-HR" w:eastAsia="hr-HR" w:bidi="hr-HR"/>
        </w:rPr>
        <w:t>al-Yasir al- islđmi (Spisi o islamskom preporodu).</w:t>
      </w:r>
      <w:r>
        <w:rPr>
          <w:rFonts w:ascii="Times New Roman" w:eastAsia="Times New Roman" w:hAnsi="Times New Roman" w:cs="Times New Roman"/>
          <w:color w:val="000000"/>
          <w:spacing w:val="0"/>
          <w:w w:val="100"/>
          <w:position w:val="0"/>
          <w:shd w:val="clear" w:color="auto" w:fill="auto"/>
          <w:lang w:val="hr-HR" w:eastAsia="hr-HR" w:bidi="hr-HR"/>
        </w:rPr>
        <w:t xml:space="preserve"> S obzi</w:t>
        <w:softHyphen/>
        <w:t>rom na žestok otpor protiv tog pokreta teško je kazati kakav će biti njegov uspjeh.</w:t>
      </w:r>
    </w:p>
    <w:p>
      <w:pPr>
        <w:pStyle w:val="Style56"/>
        <w:keepNext w:val="0"/>
        <w:keepLines w:val="0"/>
        <w:widowControl w:val="0"/>
        <w:shd w:val="clear" w:color="auto" w:fill="auto"/>
        <w:tabs>
          <w:tab w:pos="2597" w:val="left"/>
        </w:tabs>
        <w:bidi w:val="0"/>
        <w:spacing w:before="0" w:after="340" w:line="240" w:lineRule="auto"/>
        <w:ind w:left="0" w:right="0" w:firstLine="0"/>
        <w:jc w:val="both"/>
      </w:pPr>
      <w:r>
        <w:rPr>
          <w:color w:val="000000"/>
          <w:spacing w:val="0"/>
          <w:w w:val="100"/>
          <w:position w:val="0"/>
          <w:shd w:val="clear" w:color="auto" w:fill="auto"/>
        </w:rPr>
        <w:t xml:space="preserve">Lit.: Carl Heinrich </w:t>
      </w:r>
      <w:r>
        <w:rPr>
          <w:color w:val="000000"/>
          <w:spacing w:val="0"/>
          <w:w w:val="100"/>
          <w:position w:val="0"/>
          <w:shd w:val="clear" w:color="auto" w:fill="auto"/>
          <w:lang w:val="hr-HR" w:eastAsia="hr-HR" w:bidi="hr-HR"/>
        </w:rPr>
        <w:t xml:space="preserve">Bccker, Dcr Islam als Problem, u: isti, </w:t>
      </w:r>
      <w:r>
        <w:rPr>
          <w:i/>
          <w:iCs/>
          <w:color w:val="000000"/>
          <w:spacing w:val="0"/>
          <w:w w:val="100"/>
          <w:position w:val="0"/>
          <w:shd w:val="clear" w:color="auto" w:fill="auto"/>
        </w:rPr>
        <w:t>Islamstudien,</w:t>
      </w:r>
      <w:r>
        <w:rPr>
          <w:color w:val="000000"/>
          <w:spacing w:val="0"/>
          <w:w w:val="100"/>
          <w:position w:val="0"/>
          <w:shd w:val="clear" w:color="auto" w:fill="auto"/>
        </w:rPr>
        <w:t xml:space="preserve"> I, Leipzig </w:t>
      </w:r>
      <w:r>
        <w:rPr>
          <w:color w:val="000000"/>
          <w:spacing w:val="0"/>
          <w:w w:val="100"/>
          <w:position w:val="0"/>
          <w:shd w:val="clear" w:color="auto" w:fill="auto"/>
          <w:lang w:val="hr-HR" w:eastAsia="hr-HR" w:bidi="hr-HR"/>
        </w:rPr>
        <w:t xml:space="preserve">1924, 1-24; isti, Das turkisehe Bil- dungsproblcm, u: isti, </w:t>
      </w:r>
      <w:r>
        <w:rPr>
          <w:i/>
          <w:iCs/>
          <w:color w:val="000000"/>
          <w:spacing w:val="0"/>
          <w:w w:val="100"/>
          <w:position w:val="0"/>
          <w:shd w:val="clear" w:color="auto" w:fill="auto"/>
          <w:lang w:val="hr-HR" w:eastAsia="hr-HR" w:bidi="hr-HR"/>
        </w:rPr>
        <w:t>hlanuiudien,</w:t>
      </w:r>
      <w:r>
        <w:rPr>
          <w:color w:val="000000"/>
          <w:spacing w:val="0"/>
          <w:w w:val="100"/>
          <w:position w:val="0"/>
          <w:shd w:val="clear" w:color="auto" w:fill="auto"/>
          <w:lang w:val="hr-HR" w:eastAsia="hr-HR" w:bidi="hr-HR"/>
        </w:rPr>
        <w:t xml:space="preserve"> II, </w:t>
      </w:r>
      <w:r>
        <w:rPr>
          <w:color w:val="000000"/>
          <w:spacing w:val="0"/>
          <w:w w:val="100"/>
          <w:position w:val="0"/>
          <w:shd w:val="clear" w:color="auto" w:fill="auto"/>
        </w:rPr>
        <w:t xml:space="preserve">Leipzig </w:t>
      </w:r>
      <w:r>
        <w:rPr>
          <w:color w:val="000000"/>
          <w:spacing w:val="0"/>
          <w:w w:val="100"/>
          <w:position w:val="0"/>
          <w:shd w:val="clear" w:color="auto" w:fill="auto"/>
          <w:lang w:val="hr-HR" w:eastAsia="hr-HR" w:bidi="hr-HR"/>
        </w:rPr>
        <w:t xml:space="preserve">1932. 363-384; </w:t>
      </w:r>
      <w:r>
        <w:rPr>
          <w:i/>
          <w:iCs/>
          <w:color w:val="000000"/>
          <w:spacing w:val="0"/>
          <w:w w:val="100"/>
          <w:position w:val="0"/>
          <w:shd w:val="clear" w:color="auto" w:fill="auto"/>
          <w:lang w:val="hr-HR" w:eastAsia="hr-HR" w:bidi="hr-HR"/>
        </w:rPr>
        <w:t xml:space="preserve">Al-Yasđr </w:t>
      </w:r>
      <w:r>
        <w:rPr>
          <w:i/>
          <w:iCs/>
          <w:color w:val="000000"/>
          <w:spacing w:val="0"/>
          <w:w w:val="100"/>
          <w:position w:val="0"/>
          <w:shd w:val="clear" w:color="auto" w:fill="auto"/>
        </w:rPr>
        <w:t>alislinii,</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Kairo 1981, </w:t>
      </w:r>
      <w:r>
        <w:rPr>
          <w:color w:val="000000"/>
          <w:spacing w:val="0"/>
          <w:w w:val="100"/>
          <w:position w:val="0"/>
          <w:shd w:val="clear" w:color="auto" w:fill="auto"/>
        </w:rPr>
        <w:t xml:space="preserve">I; </w:t>
      </w:r>
      <w:r>
        <w:rPr>
          <w:color w:val="000000"/>
          <w:spacing w:val="0"/>
          <w:w w:val="100"/>
          <w:position w:val="0"/>
          <w:shd w:val="clear" w:color="auto" w:fill="auto"/>
          <w:lang w:val="hr-HR" w:eastAsia="hr-HR" w:bidi="hr-HR"/>
        </w:rPr>
        <w:t xml:space="preserve">Za^’ar </w:t>
      </w:r>
      <w:r>
        <w:rPr>
          <w:color w:val="000000"/>
          <w:spacing w:val="0"/>
          <w:w w:val="100"/>
          <w:position w:val="0"/>
          <w:shd w:val="clear" w:color="auto" w:fill="auto"/>
        </w:rPr>
        <w:t xml:space="preserve">Ahmad </w:t>
      </w:r>
      <w:r>
        <w:rPr>
          <w:color w:val="000000"/>
          <w:spacing w:val="0"/>
          <w:w w:val="100"/>
          <w:position w:val="0"/>
          <w:shd w:val="clear" w:color="auto" w:fill="auto"/>
          <w:lang w:val="hr-HR" w:eastAsia="hr-HR" w:bidi="hr-HR"/>
        </w:rPr>
        <w:t xml:space="preserve">Hanfi, </w:t>
      </w:r>
      <w:r>
        <w:rPr>
          <w:i/>
          <w:iCs/>
          <w:color w:val="000000"/>
          <w:spacing w:val="0"/>
          <w:w w:val="100"/>
          <w:position w:val="0"/>
          <w:shd w:val="clear" w:color="auto" w:fill="auto"/>
        </w:rPr>
        <w:t xml:space="preserve">Die modernistische Denkbewegung </w:t>
      </w:r>
      <w:r>
        <w:rPr>
          <w:i/>
          <w:iCs/>
          <w:color w:val="000000"/>
          <w:spacing w:val="0"/>
          <w:w w:val="100"/>
          <w:position w:val="0"/>
          <w:shd w:val="clear" w:color="auto" w:fill="auto"/>
          <w:lang w:val="hr-HR" w:eastAsia="hr-HR" w:bidi="hr-HR"/>
        </w:rPr>
        <w:t>im indischen Is</w:t>
        <w:softHyphen/>
        <w:t>lam (1858-1940),</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1964; </w:t>
      </w:r>
      <w:r>
        <w:rPr>
          <w:color w:val="000000"/>
          <w:spacing w:val="0"/>
          <w:w w:val="100"/>
          <w:position w:val="0"/>
          <w:shd w:val="clear" w:color="auto" w:fill="auto"/>
        </w:rPr>
        <w:t xml:space="preserve">‘All Abdarrlziq, </w:t>
      </w:r>
      <w:r>
        <w:rPr>
          <w:i/>
          <w:iCs/>
          <w:color w:val="000000"/>
          <w:spacing w:val="0"/>
          <w:w w:val="100"/>
          <w:position w:val="0"/>
          <w:shd w:val="clear" w:color="auto" w:fill="auto"/>
          <w:lang w:val="hr-HR" w:eastAsia="hr-HR" w:bidi="hr-HR"/>
        </w:rPr>
        <w:t>Al-Islllm wa usula l-hukm (Islam i osnove vladanja), Kairo</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1925; </w:t>
      </w:r>
      <w:r>
        <w:rPr>
          <w:color w:val="000000"/>
          <w:spacing w:val="0"/>
          <w:w w:val="100"/>
          <w:position w:val="0"/>
          <w:shd w:val="clear" w:color="auto" w:fill="auto"/>
        </w:rPr>
        <w:t xml:space="preserve">Hans Ludwig Gottschalk, Europaische Aufklarung - tincr- wunschler Import, u: </w:t>
      </w:r>
      <w:r>
        <w:rPr>
          <w:i/>
          <w:iCs/>
          <w:color w:val="000000"/>
          <w:spacing w:val="0"/>
          <w:w w:val="100"/>
          <w:position w:val="0"/>
          <w:shd w:val="clear" w:color="auto" w:fill="auto"/>
        </w:rPr>
        <w:t xml:space="preserve">Europa in den Augen der Anderen, </w:t>
      </w:r>
      <w:r>
        <w:rPr>
          <w:color w:val="000000"/>
          <w:spacing w:val="0"/>
          <w:w w:val="100"/>
          <w:position w:val="0"/>
          <w:shd w:val="clear" w:color="auto" w:fill="auto"/>
        </w:rPr>
        <w:t xml:space="preserve">Wien </w:t>
      </w:r>
      <w:r>
        <w:rPr>
          <w:i/>
          <w:iCs/>
          <w:color w:val="000000"/>
          <w:spacing w:val="0"/>
          <w:w w:val="100"/>
          <w:position w:val="0"/>
          <w:shd w:val="clear" w:color="auto" w:fill="auto"/>
        </w:rPr>
        <w:t>V)62(WienerSchriften, 17),</w:t>
      </w:r>
      <w:r>
        <w:rPr>
          <w:color w:val="000000"/>
          <w:spacing w:val="0"/>
          <w:w w:val="100"/>
          <w:position w:val="0"/>
          <w:shd w:val="clear" w:color="auto" w:fill="auto"/>
        </w:rPr>
        <w:t xml:space="preserve"> 253-263.</w:t>
        <w:tab/>
      </w:r>
      <w:r>
        <w:rPr>
          <w:color w:val="000000"/>
          <w:spacing w:val="0"/>
          <w:w w:val="100"/>
          <w:position w:val="0"/>
          <w:shd w:val="clear" w:color="auto" w:fill="auto"/>
          <w:lang w:val="hr-HR" w:eastAsia="hr-HR" w:bidi="hr-HR"/>
        </w:rPr>
        <w:t>S.BALIĆ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PROVIDNOST</w:t>
      </w:r>
    </w:p>
    <w:p>
      <w:pPr>
        <w:pStyle w:val="Style63"/>
        <w:keepNext/>
        <w:keepLines/>
        <w:widowControl w:val="0"/>
        <w:numPr>
          <w:ilvl w:val="0"/>
          <w:numId w:val="459"/>
        </w:numPr>
        <w:shd w:val="clear" w:color="auto" w:fill="auto"/>
        <w:tabs>
          <w:tab w:pos="246" w:val="left"/>
        </w:tabs>
        <w:bidi w:val="0"/>
        <w:spacing w:before="0"/>
        <w:ind w:left="0" w:right="0" w:firstLine="0"/>
        <w:jc w:val="both"/>
      </w:pPr>
      <w:bookmarkStart w:id="294" w:name="bookmark294"/>
      <w:r>
        <w:rPr>
          <w:rFonts w:ascii="Times New Roman" w:eastAsia="Times New Roman" w:hAnsi="Times New Roman" w:cs="Times New Roman"/>
          <w:color w:val="000000"/>
          <w:spacing w:val="0"/>
          <w:w w:val="100"/>
          <w:position w:val="0"/>
          <w:shd w:val="clear" w:color="auto" w:fill="auto"/>
          <w:lang w:val="hr-HR" w:eastAsia="hr-HR" w:bidi="hr-HR"/>
        </w:rPr>
        <w:t>židovski</w:t>
      </w:r>
      <w:bookmarkEnd w:id="29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a) »No </w:t>
      </w:r>
      <w:r>
        <w:rPr>
          <w:rFonts w:ascii="Times New Roman" w:eastAsia="Times New Roman" w:hAnsi="Times New Roman" w:cs="Times New Roman"/>
          <w:i/>
          <w:iCs/>
          <w:color w:val="000000"/>
          <w:spacing w:val="0"/>
          <w:w w:val="100"/>
          <w:position w:val="0"/>
          <w:shd w:val="clear" w:color="auto" w:fill="auto"/>
          <w:lang w:val="en-US" w:eastAsia="en-US" w:bidi="en-US"/>
        </w:rPr>
        <w:t xml:space="preserve">Bog </w:t>
      </w:r>
      <w:r>
        <w:rPr>
          <w:rFonts w:ascii="Times New Roman" w:eastAsia="Times New Roman" w:hAnsi="Times New Roman" w:cs="Times New Roman"/>
          <w:i/>
          <w:iCs/>
          <w:color w:val="000000"/>
          <w:spacing w:val="0"/>
          <w:w w:val="100"/>
          <w:position w:val="0"/>
          <w:shd w:val="clear" w:color="auto" w:fill="auto"/>
          <w:lang w:val="hr-HR" w:eastAsia="hr-HR" w:bidi="hr-HR"/>
        </w:rPr>
        <w:t>će vas se doista sjetiti.«</w:t>
      </w:r>
      <w:r>
        <w:rPr>
          <w:rFonts w:ascii="Times New Roman" w:eastAsia="Times New Roman" w:hAnsi="Times New Roman" w:cs="Times New Roman"/>
          <w:color w:val="000000"/>
          <w:spacing w:val="0"/>
          <w:w w:val="100"/>
          <w:position w:val="0"/>
          <w:shd w:val="clear" w:color="auto" w:fill="auto"/>
          <w:lang w:val="hr-HR" w:eastAsia="hr-HR" w:bidi="hr-HR"/>
        </w:rPr>
        <w:t xml:space="preserve"> Božju »p.« Izrael je doživio kao do pojedinosti razrađen život naroda i ljudskih sudbina kojima zapo</w:t>
        <w:softHyphen/>
        <w:t>vijeda i upravlja Bog: izvođenje naroda iz ne</w:t>
        <w:softHyphen/>
        <w:t>volja sužanjstva: »Ali će se Bog, zacijelo, sje</w:t>
        <w:softHyphen/>
        <w:t>titi vas i odvesti vas iz ove zemlje u zemlju što ju je obećao Abrahamu, Izaku i Jakovu... Bog će vas se doista sjetiti« (Post 50,24 i d.; usp. Izl 3,16; 4,31; 13,19), njegova potpora u oskudici: »... jer je čula na Moapskim poljanama da je ON pohodio narod svoj i dao im kruha« (Rut 1,6), ali i njegovo kazneno djelovanje koje iz</w:t>
        <w:softHyphen/>
        <w:t>jednačava djelo i posljedicu tako da djeca pa</w:t>
        <w:softHyphen/>
        <w:t>te zbog grijeha otaca dok god su živi: »... jer kažnjavam grijeh otaca na djeci do trećeg i četvrtoga koljena« (Izl 20,5, usp. 34,7; Br 14,18), njegovo ponovno obraćanje Izraelu u izgnanstvu: »Istom kad se Babilonu ispuni onih sedamdeset godina, ja ću vas pohoditi te vam ispuniti dobro obećanje da ću vas vratiti na ovo mjesto« (Jr 29,10; usp. Sef 2,7), izgna</w:t>
        <w:softHyphen/>
        <w:t>nom kralju: «... i ondje ostati dok ga ne poho</w:t>
        <w:softHyphen/>
        <w:t>dim« (Jr 32,5) i u vezi s hramskim posuđem: »U Babilon ću ih odnijeti i ondje će ostati sve do dana kad ja odem po njih« (Jr 27,22). Božja skrb otklanja nevolju neplodna braka: »I ON pohodi Anu, i ona zatrudnje i rodi tri sina i dvije kćeri« (1 Sam 2,21; usp. Post 21,1); njegovo »providno« djelovanje čuva stvore</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nja: »...brižljivo si nad mojim bdio dahom«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10,12). Čuđenje puno strahopoštovanja prema Božjem nadmoćnom povijesnom dje</w:t>
        <w:softHyphen/>
        <w:t>lovanju susrećemo u biblijskim predajama i ondje gdje Božja »p.« nije izražena određe</w:t>
        <w:softHyphen/>
        <w:t>nom osnovom riječi - u izvješćima o Izraclovu sužanjstvu: »Ali što su ih više tlačili, oni su se još više množili, napredovali i širili se tako da su Egipćani strahovali od Izraelaca« (Izl 1,12), o Mojsijevu ili Samuelovu rođenju (2,1-10; 1 Sam 1), o ugroženosti pramajke (Post 12,10-20; 20,1-8; 26,1-11), o nastavku naraštaja (12-25), o odnosu među braćom (25-28; 32 i d.), o Šaulovu neprijateljstvu prema Davidu (1 Sam 16-2 Sam 5), o Davidovu naslijeđu prijestolja (2 Sam 6-1 Kr 2), i svi oni svjedoče o od</w:t>
        <w:softHyphen/>
        <w:t>lučnom djelovanju Boga u provođenju njego</w:t>
        <w:softHyphen/>
        <w:t>ve volje, kako se izrazio Josip obraćajući se braći: »Iako ste vi namjeravali da meni naudi- te, Bog je bio ono okrenuo na dobro« (Post 50,20) ili kad prorok objavljuje Božju riječ: »Jer ja znam svoje naume koje s vama nam</w:t>
        <w:softHyphen/>
        <w:t>jeravam - riječ je NJEGOVA - naume mira, a ne nesreće: da vam dadnem budućnost i nadu« (Jr 29,11).</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»Ptica ne propada bez Neba.«</w:t>
      </w:r>
      <w:r>
        <w:rPr>
          <w:rFonts w:ascii="Times New Roman" w:eastAsia="Times New Roman" w:hAnsi="Times New Roman" w:cs="Times New Roman"/>
          <w:color w:val="000000"/>
          <w:spacing w:val="0"/>
          <w:w w:val="100"/>
          <w:position w:val="0"/>
          <w:shd w:val="clear" w:color="auto" w:fill="auto"/>
          <w:lang w:val="hr-HR" w:eastAsia="hr-HR" w:bidi="hr-HR"/>
        </w:rPr>
        <w:t xml:space="preserve"> Zagonetni i patnički tijek povijesti nije ni poslijebiblijsko židovstvo moglo odvratiti od njegove vjere u božansku »p.« </w:t>
      </w:r>
      <w:r>
        <w:rPr>
          <w:rFonts w:ascii="Times New Roman" w:eastAsia="Times New Roman" w:hAnsi="Times New Roman" w:cs="Times New Roman"/>
          <w:i/>
          <w:iCs/>
          <w:color w:val="000000"/>
          <w:spacing w:val="0"/>
          <w:w w:val="100"/>
          <w:position w:val="0"/>
          <w:shd w:val="clear" w:color="auto" w:fill="auto"/>
          <w:lang w:val="hr-HR" w:eastAsia="hr-HR" w:bidi="hr-HR"/>
        </w:rPr>
        <w:t>(prdnoia,</w:t>
      </w:r>
      <w:r>
        <w:rPr>
          <w:rFonts w:ascii="Times New Roman" w:eastAsia="Times New Roman" w:hAnsi="Times New Roman" w:cs="Times New Roman"/>
          <w:color w:val="000000"/>
          <w:spacing w:val="0"/>
          <w:w w:val="100"/>
          <w:position w:val="0"/>
          <w:shd w:val="clear" w:color="auto" w:fill="auto"/>
          <w:lang w:val="hr-HR" w:eastAsia="hr-HR" w:bidi="hr-HR"/>
        </w:rPr>
        <w:t xml:space="preserve"> Mudr 14,3; 17,2). Ono je u tom pogledu bilo svjesno svojega puta i činjenice tko vlada živima i mrtvima: »Razmišljaj o trima stvarima...: znaj odakle dolaziš, kamo ideš i kome ćeš jednoga dana polagati račune« (M Avot 111,1), te se predalo vlasti Božjoj nad cijelom zemljom. U liturgiji to dojmljivo ponašanje ponajprije dokazuje </w:t>
      </w:r>
      <w:r>
        <w:rPr>
          <w:rFonts w:ascii="Times New Roman" w:eastAsia="Times New Roman" w:hAnsi="Times New Roman" w:cs="Times New Roman"/>
          <w:i/>
          <w:iCs/>
          <w:color w:val="000000"/>
          <w:spacing w:val="0"/>
          <w:w w:val="100"/>
          <w:position w:val="0"/>
          <w:shd w:val="clear" w:color="auto" w:fill="auto"/>
          <w:lang w:val="hr-HR" w:eastAsia="hr-HR" w:bidi="hr-HR"/>
        </w:rPr>
        <w:t>kadiš'.</w:t>
      </w:r>
      <w:r>
        <w:rPr>
          <w:rFonts w:ascii="Times New Roman" w:eastAsia="Times New Roman" w:hAnsi="Times New Roman" w:cs="Times New Roman"/>
          <w:color w:val="000000"/>
          <w:spacing w:val="0"/>
          <w:w w:val="100"/>
          <w:position w:val="0"/>
          <w:shd w:val="clear" w:color="auto" w:fill="auto"/>
          <w:lang w:val="hr-HR" w:eastAsia="hr-HR" w:bidi="hr-HR"/>
        </w:rPr>
        <w:t xml:space="preserve"> »Neka je veličano i sveto Njegovo ve</w:t>
        <w:softHyphen/>
        <w:t>liko Ime širom svijeta koji je stvorio svojom voljom...« te molitva-d/e/’nu: »Dužnost nam je da hvalimo Vladara svemira, da iskazujemo veličinu Stvoritelju početka... Stoga se uzda- mo u tebe... da priznaju i znaju svi stanovnici svijeta... Jer tvoje je kraljevstvo i navijeke ti ćeš vladati u slavi...« K priznavanju Božjega »providnog« svjetskog poretka vodile su iz</w:t>
        <w:softHyphen/>
        <w:t>reke mudraca koje, primjerice, u nastavku Jr 18,6 Izrael uspoređuju s »ilovačom u lončaro- voj ruci« (b Berahot 32a; Suka 52b; Berešit raba LXXII,30,21) i dočaravaju na različite načine Božju vlast nad svijetom: »Nijedan čo</w:t>
        <w:softHyphen/>
        <w:t xml:space="preserve">vjek neće ovdje dolje ozlijediti prst, jer bi se to već gore obznanilo« (b Mulin 7b); »Kuga </w:t>
      </w:r>
      <w:r>
        <w:rPr>
          <w:rFonts w:ascii="Times New Roman" w:eastAsia="Times New Roman" w:hAnsi="Times New Roman" w:cs="Times New Roman"/>
          <w:color w:val="000000"/>
          <w:spacing w:val="0"/>
          <w:w w:val="100"/>
          <w:position w:val="0"/>
          <w:shd w:val="clear" w:color="auto" w:fill="auto"/>
          <w:lang w:val="hr-HR" w:eastAsia="hr-HR" w:bidi="hr-HR"/>
        </w:rPr>
        <w:t xml:space="preserve">može trajati sedam godina, a ipak nitko neće umrijeti ako mu nije kucnuo čas«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29a); »Bog sjedi i hrani (svijet), od bivoljih ro</w:t>
        <w:softHyphen/>
        <w:t>gova sve do jajašaca gamadi« (Šabat 107b); »Čak nadglednika zdenca postavlja Nebo (na njegovu dužnost)« (Bava batra 91b). Uzdanje u božansku »p.«</w:t>
      </w:r>
      <w:r>
        <w:rPr>
          <w:rFonts w:ascii="Times New Roman" w:eastAsia="Times New Roman" w:hAnsi="Times New Roman" w:cs="Times New Roman"/>
          <w:color w:val="000000"/>
          <w:spacing w:val="0"/>
          <w:w w:val="100"/>
          <w:position w:val="0"/>
          <w:shd w:val="clear" w:color="auto" w:fill="auto"/>
          <w:vertAlign w:val="subscript"/>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izraženo u dubokoj skrovito- sti, dokazuje riječ Rabi Šimona bar Johaja (oko 150), koji je mnogo godina morao živjeti u špilji kako bi izbjegao progon poganske vla</w:t>
        <w:softHyphen/>
        <w:t>de: »Ptica ne propada bez Neba (= Boga), a kamoli čovjek!« (j Ševiit IX,38d; usp. b Sabat 33b; Pcsikta 88b; Kohelet X,8).</w:t>
      </w:r>
    </w:p>
    <w:p>
      <w:pPr>
        <w:pStyle w:val="Style20"/>
        <w:keepNext w:val="0"/>
        <w:keepLines w:val="0"/>
        <w:widowControl w:val="0"/>
        <w:numPr>
          <w:ilvl w:val="0"/>
          <w:numId w:val="453"/>
        </w:numPr>
        <w:shd w:val="clear" w:color="auto" w:fill="auto"/>
        <w:tabs>
          <w:tab w:pos="255" w:val="left"/>
        </w:tabs>
        <w:bidi w:val="0"/>
        <w:spacing w:before="0" w:after="8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»Sve je predviđeno, i slobodan izbor je dan.«</w:t>
      </w:r>
      <w:r>
        <w:rPr>
          <w:rFonts w:ascii="Times New Roman" w:eastAsia="Times New Roman" w:hAnsi="Times New Roman" w:cs="Times New Roman"/>
          <w:color w:val="000000"/>
          <w:spacing w:val="0"/>
          <w:w w:val="100"/>
          <w:position w:val="0"/>
          <w:shd w:val="clear" w:color="auto" w:fill="auto"/>
          <w:lang w:val="hr-HR" w:eastAsia="hr-HR" w:bidi="hr-HR"/>
        </w:rPr>
        <w:t xml:space="preserve"> I premda je dostatno povjerenje u Stvoritcljevu sveobuhvatnu zapovjedničku vlast sve do Božje skrbi za svaku čovjekovu vlas (b Bava batra 16a), ono ipak ne ugrožava odgovorno samoodređenje čovjeka u njegovu djelovanju kako to ustanovljava izreka Rabi Akive (u. oko 135) koja je prihvaćena u Mišni: »Sve je predviđeno (od Boga) i (čovjeku) je dan slo</w:t>
        <w:softHyphen/>
        <w:t>bodan izbor (tako da on može, samo ako ho</w:t>
        <w:softHyphen/>
        <w:t>će, vršiti volju Božju)« (Avot HI,16; usp. b Joma 38b; 39a; Šabat 55a).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E. E. </w:t>
      </w:r>
      <w:r>
        <w:rPr>
          <w:color w:val="000000"/>
          <w:spacing w:val="0"/>
          <w:w w:val="100"/>
          <w:position w:val="0"/>
          <w:shd w:val="clear" w:color="auto" w:fill="auto"/>
        </w:rPr>
        <w:t xml:space="preserve">Urbach, </w:t>
      </w:r>
      <w:r>
        <w:rPr>
          <w:i/>
          <w:iCs/>
          <w:color w:val="000000"/>
          <w:spacing w:val="0"/>
          <w:w w:val="100"/>
          <w:position w:val="0"/>
          <w:shd w:val="clear" w:color="auto" w:fill="auto"/>
        </w:rPr>
        <w:t xml:space="preserve">The Sages. Their Concepts and Beliefs, </w:t>
      </w:r>
      <w:r>
        <w:rPr>
          <w:color w:val="000000"/>
          <w:spacing w:val="0"/>
          <w:w w:val="100"/>
          <w:position w:val="0"/>
          <w:shd w:val="clear" w:color="auto" w:fill="auto"/>
        </w:rPr>
        <w:t xml:space="preserve">1975, 255-85; </w:t>
      </w:r>
      <w:r>
        <w:rPr>
          <w:i/>
          <w:iCs/>
          <w:color w:val="000000"/>
          <w:spacing w:val="0"/>
          <w:w w:val="100"/>
          <w:position w:val="0"/>
          <w:shd w:val="clear" w:color="auto" w:fill="auto"/>
        </w:rPr>
        <w:t>Encyclopedia Judaica</w:t>
      </w:r>
      <w:r>
        <w:rPr>
          <w:color w:val="000000"/>
          <w:spacing w:val="0"/>
          <w:w w:val="100"/>
          <w:position w:val="0"/>
          <w:shd w:val="clear" w:color="auto" w:fill="auto"/>
        </w:rPr>
        <w:t xml:space="preserve"> 13, *1978, 1279-86.</w:t>
      </w:r>
    </w:p>
    <w:p>
      <w:pPr>
        <w:pStyle w:val="Style56"/>
        <w:keepNext w:val="0"/>
        <w:keepLines w:val="0"/>
        <w:widowControl w:val="0"/>
        <w:shd w:val="clear" w:color="auto" w:fill="auto"/>
        <w:bidi w:val="0"/>
        <w:spacing w:before="0" w:after="160" w:line="240" w:lineRule="auto"/>
        <w:ind w:left="0" w:right="0" w:firstLine="0"/>
        <w:jc w:val="right"/>
      </w:pPr>
      <w:r>
        <w:rPr>
          <w:color w:val="000000"/>
          <w:spacing w:val="0"/>
          <w:w w:val="100"/>
          <w:position w:val="0"/>
          <w:shd w:val="clear" w:color="auto" w:fill="auto"/>
        </w:rPr>
        <w:t>D. VETTER</w:t>
      </w:r>
    </w:p>
    <w:p>
      <w:pPr>
        <w:pStyle w:val="Style56"/>
        <w:keepNext w:val="0"/>
        <w:keepLines w:val="0"/>
        <w:widowControl w:val="0"/>
        <w:shd w:val="clear" w:color="auto" w:fill="auto"/>
        <w:bidi w:val="0"/>
        <w:spacing w:before="0" w:after="80" w:line="240" w:lineRule="auto"/>
        <w:ind w:left="0" w:right="0" w:firstLine="0"/>
        <w:jc w:val="both"/>
      </w:pPr>
      <w:r>
        <w:rPr>
          <w:b/>
          <w:bCs/>
          <w:color w:val="000000"/>
          <w:spacing w:val="0"/>
          <w:w w:val="100"/>
          <w:position w:val="0"/>
          <w:shd w:val="clear" w:color="auto" w:fill="auto"/>
        </w:rPr>
        <w:t xml:space="preserve">2. </w:t>
      </w: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 </w:t>
      </w:r>
      <w:r>
        <w:rPr>
          <w:rFonts w:ascii="Times New Roman" w:eastAsia="Times New Roman" w:hAnsi="Times New Roman" w:cs="Times New Roman"/>
          <w:color w:val="000000"/>
          <w:spacing w:val="0"/>
          <w:w w:val="100"/>
          <w:position w:val="0"/>
          <w:shd w:val="clear" w:color="auto" w:fill="auto"/>
          <w:lang w:val="hr-HR" w:eastAsia="hr-HR" w:bidi="hr-HR"/>
        </w:rPr>
        <w:t>znači božanski nacrt svekolike stvarnosti koja je stvorena i koja se još treba stvarati, koja je omogućena beskrajnom sveobuhvat</w:t>
        <w:softHyphen/>
        <w:t>nom spoznajom Boga i njegovom svetom vo</w:t>
        <w:softHyphen/>
        <w:t>ljom koja sve uvjetuje i ljubi. Osobitu rele- vantnost dobiva Božja p. u sferi povijesnosti. Stvarnost bitka ne može se tumačiti ni kao vječno kruženje istih elemenata niti povijest predstavlja slučajan besmislen proces; dapače, ona dobiva svoj (spasenjski) cilj providnošću Boga kao stvarnoga gospodara povijesti. Već je antikna grčka filozofija poznavala pojam providnosti (pronoia). Tako Platon upotreb</w:t>
        <w:softHyphen/>
        <w:t xml:space="preserve">ljava taj pojam kao </w:t>
      </w:r>
      <w:r>
        <w:rPr>
          <w:rFonts w:ascii="Times New Roman" w:eastAsia="Times New Roman" w:hAnsi="Times New Roman" w:cs="Times New Roman"/>
          <w:color w:val="000000"/>
          <w:spacing w:val="0"/>
          <w:w w:val="100"/>
          <w:position w:val="0"/>
          <w:shd w:val="clear" w:color="auto" w:fill="auto"/>
          <w:lang w:val="en-US" w:eastAsia="en-US" w:bidi="en-US"/>
        </w:rPr>
        <w:t xml:space="preserve">»terminus </w:t>
      </w:r>
      <w:r>
        <w:rPr>
          <w:rFonts w:ascii="Times New Roman" w:eastAsia="Times New Roman" w:hAnsi="Times New Roman" w:cs="Times New Roman"/>
          <w:color w:val="000000"/>
          <w:spacing w:val="0"/>
          <w:w w:val="100"/>
          <w:position w:val="0"/>
          <w:shd w:val="clear" w:color="auto" w:fill="auto"/>
          <w:lang w:val="hr-HR" w:eastAsia="hr-HR" w:bidi="hr-HR"/>
        </w:rPr>
        <w:t>tcchnicus« za savršen poredak svemira koji je u sebi pun smisla. Nadalje je ideja providnosti bila raz</w:t>
        <w:softHyphen/>
        <w:t>vijena u filozofskoj školi stoicizma, osobito na području stoičke etike. Samo pristajući na su</w:t>
        <w:softHyphen/>
        <w:t>djelovanje u božanskom, konačno osmišljenom, skladnom svjetskom poretku postiže krepostan čovjek unutarnji mir i tako stiže do blaženstva (eudaimonia). Ta predodžba (koja sadrži la</w:t>
        <w:softHyphen/>
      </w:r>
      <w:r>
        <w:rPr>
          <w:rFonts w:ascii="Times New Roman" w:eastAsia="Times New Roman" w:hAnsi="Times New Roman" w:cs="Times New Roman"/>
          <w:color w:val="000000"/>
          <w:spacing w:val="0"/>
          <w:w w:val="100"/>
          <w:position w:val="0"/>
          <w:shd w:val="clear" w:color="auto" w:fill="auto"/>
          <w:lang w:val="hr-HR" w:eastAsia="hr-HR" w:bidi="hr-HR"/>
        </w:rPr>
        <w:t>tentno panteističke elemente) ostavlja doduše malo prostora za ljudsku slobodu, ali daje povo</w:t>
        <w:softHyphen/>
        <w:t>da za specifičnu opuštenost (ataraksia). Stoa, dakle, naglašava prvenstveno priliku božan</w:t>
        <w:softHyphen/>
        <w:t>ske (panteističke) providnosti koja premašuje sve individualno i koja je kozmološki orijenti</w:t>
        <w:softHyphen/>
        <w:t>rana.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Biblijski je pojam »providnosti« posvjedočen tek u starozavjetnoj (pod helenističkim utje</w:t>
        <w:softHyphen/>
        <w:t xml:space="preserve">cajem) mudrosnoj literaturi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10,12; Mudr 14,3; 17,2). U svakom je slučaju Božja p. kao konkretno iskustvena Jahvina povijesna snaga važan izraelski poklad vjere (usp. prije svega </w:t>
      </w:r>
      <w:r>
        <w:rPr>
          <w:rFonts w:ascii="Times New Roman" w:eastAsia="Times New Roman" w:hAnsi="Times New Roman" w:cs="Times New Roman"/>
          <w:color w:val="000000"/>
          <w:spacing w:val="0"/>
          <w:w w:val="100"/>
          <w:position w:val="0"/>
          <w:shd w:val="clear" w:color="auto" w:fill="auto"/>
          <w:lang w:val="en-US" w:eastAsia="en-US" w:bidi="en-US"/>
        </w:rPr>
        <w:t xml:space="preserve">Credo </w:t>
      </w:r>
      <w:r>
        <w:rPr>
          <w:rFonts w:ascii="Times New Roman" w:eastAsia="Times New Roman" w:hAnsi="Times New Roman" w:cs="Times New Roman"/>
          <w:color w:val="000000"/>
          <w:spacing w:val="0"/>
          <w:w w:val="100"/>
          <w:position w:val="0"/>
          <w:shd w:val="clear" w:color="auto" w:fill="auto"/>
          <w:lang w:val="hr-HR" w:eastAsia="hr-HR" w:bidi="hr-HR"/>
        </w:rPr>
        <w:t>iz Ponovljenog zakona, Pnz 26,5-9). Doduše, pojam pronoia ne da se novozavjet- no potvrditi, ali jc ipak ideja božanske provid</w:t>
        <w:softHyphen/>
        <w:t>nosti implicitno sastavni dio novozavjetne teo</w:t>
        <w:softHyphen/>
        <w:t>logije. Samo na temelju Božje providnosne brige moguće je čovjeku potpuno se usmjeriti na posljednji cilj Gospodinove providnosti, naime, na kraljevstvo Božje (usp. osobito Mt 6,25-34). Prema novozavjetnom shvaćanju, povijest spasenja ne razlikuje se od svjetske povijesti nego se u njoj ispunjava. Vjera koja je povijesno odlučno usmjerena na božansku p. artikulira se osobito u Lukinim zapisima; prije svega ovdje treba ukazati na spasenjsko povijesnu formulu »mora« (Lk 9,22; 17,25; 24,26; Dj 1,16; 3,21). Isusov život i smrt nužni su sastavni dijelovi konačno osmišljene Božje providnosti.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tematizira prakršćansko naviještanje (Dj 2,23; 4,28; Ef 1,3-14). Zato se kršćanska misija isto tako shvaća kao nužna posljedica Božjeg plana spasenja (Dj 10,8 i d.; 13,46; 15,14). Prema novozavjetnoj predodžbi, svjet</w:t>
        <w:softHyphen/>
        <w:t>ska spasenjska povijest određena je Božjom providnošću.</w:t>
      </w:r>
    </w:p>
    <w:p>
      <w:pPr>
        <w:pStyle w:val="Style20"/>
        <w:keepNext w:val="0"/>
        <w:keepLines w:val="0"/>
        <w:widowControl w:val="0"/>
        <w:shd w:val="clear" w:color="auto" w:fill="auto"/>
        <w:bidi w:val="0"/>
        <w:spacing w:before="0" w:after="0" w:line="240" w:lineRule="auto"/>
        <w:ind w:left="0" w:right="0" w:firstLine="0"/>
        <w:jc w:val="both"/>
        <w:sectPr>
          <w:headerReference w:type="default" r:id="rId1203"/>
          <w:footerReference w:type="default" r:id="rId1204"/>
          <w:headerReference w:type="even" r:id="rId1205"/>
          <w:footerReference w:type="even" r:id="rId1206"/>
          <w:headerReference w:type="first" r:id="rId1207"/>
          <w:footerReference w:type="first" r:id="rId1208"/>
          <w:footnotePr>
            <w:pos w:val="pageBottom"/>
            <w:numFmt w:val="decimal"/>
            <w:numRestart w:val="continuous"/>
            <w15:footnoteColumns w:val="1"/>
          </w:footnotePr>
          <w:pgSz w:w="6816" w:h="11006"/>
          <w:pgMar w:top="828" w:left="185" w:right="190" w:bottom="339" w:header="0" w:footer="3" w:gutter="0"/>
          <w:cols w:num="2" w:space="17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Ranokršćanska patristika pokušavala je učini</w:t>
        <w:softHyphen/>
        <w:t>ti sintezu biblijske vjere u p. i filozofske spe</w:t>
        <w:softHyphen/>
        <w:t>kulacije o providnosti. U svakom slučaju pri</w:t>
        <w:softHyphen/>
        <w:t>lično kozmološki usmjerena p. dobiva povi</w:t>
        <w:softHyphen/>
        <w:t>jesno teološku oblikovanost i (sada) osobni Bog omogućava ljudsku slobodu i odgovor</w:t>
        <w:softHyphen/>
        <w:t xml:space="preserve">nost unutar svog nacrta providnosti. Tako su npr. Irenej i </w:t>
      </w:r>
      <w:r>
        <w:rPr>
          <w:rFonts w:ascii="Times New Roman" w:eastAsia="Times New Roman" w:hAnsi="Times New Roman" w:cs="Times New Roman"/>
          <w:color w:val="000000"/>
          <w:spacing w:val="0"/>
          <w:w w:val="100"/>
          <w:position w:val="0"/>
          <w:shd w:val="clear" w:color="auto" w:fill="auto"/>
          <w:lang w:val="en-US" w:eastAsia="en-US" w:bidi="en-US"/>
        </w:rPr>
        <w:t xml:space="preserve">Origen </w:t>
      </w:r>
      <w:r>
        <w:rPr>
          <w:rFonts w:ascii="Times New Roman" w:eastAsia="Times New Roman" w:hAnsi="Times New Roman" w:cs="Times New Roman"/>
          <w:color w:val="000000"/>
          <w:spacing w:val="0"/>
          <w:w w:val="100"/>
          <w:position w:val="0"/>
          <w:shd w:val="clear" w:color="auto" w:fill="auto"/>
          <w:lang w:val="hr-HR" w:eastAsia="hr-HR" w:bidi="hr-HR"/>
        </w:rPr>
        <w:t>preuzeli platonski obi</w:t>
        <w:softHyphen/>
        <w:t>lježenu predodžbu providnosti kao »božansku pedagogiju« - koja nadmašuje čovjekovu in</w:t>
        <w:softHyphen/>
        <w:t>telektualnu snagu shvaćanja. U svezi s time tu se mogu također uvrstiti i negativni, patnički momenti individualne i kolektivne povijesti čovječanstva koji prilično proturječe božan</w:t>
        <w:softHyphen/>
        <w:t xml:space="preserve">skoj providnosti. Tako nastaju prvi uzorci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leodiceje </w:t>
      </w:r>
      <w:r>
        <w:rPr>
          <w:rFonts w:ascii="Times New Roman" w:eastAsia="Times New Roman" w:hAnsi="Times New Roman" w:cs="Times New Roman"/>
          <w:color w:val="000000"/>
          <w:spacing w:val="0"/>
          <w:w w:val="100"/>
          <w:position w:val="0"/>
          <w:shd w:val="clear" w:color="auto" w:fill="auto"/>
          <w:lang w:val="en-US" w:eastAsia="en-US" w:bidi="en-US"/>
        </w:rPr>
        <w:t xml:space="preserve">(npr. </w:t>
      </w:r>
      <w:r>
        <w:rPr>
          <w:rFonts w:ascii="Times New Roman" w:eastAsia="Times New Roman" w:hAnsi="Times New Roman" w:cs="Times New Roman"/>
          <w:color w:val="000000"/>
          <w:spacing w:val="0"/>
          <w:w w:val="100"/>
          <w:position w:val="0"/>
          <w:shd w:val="clear" w:color="auto" w:fill="auto"/>
          <w:lang w:val="hr-HR" w:eastAsia="hr-HR" w:bidi="hr-HR"/>
        </w:rPr>
        <w:t xml:space="preserve">kod </w:t>
      </w:r>
      <w:r>
        <w:rPr>
          <w:rFonts w:ascii="Times New Roman" w:eastAsia="Times New Roman" w:hAnsi="Times New Roman" w:cs="Times New Roman"/>
          <w:color w:val="000000"/>
          <w:spacing w:val="0"/>
          <w:w w:val="100"/>
          <w:position w:val="0"/>
          <w:shd w:val="clear" w:color="auto" w:fill="auto"/>
          <w:lang w:val="en-US" w:eastAsia="en-US" w:bidi="en-US"/>
        </w:rPr>
        <w:t xml:space="preserve">Origena i Augustina). Au- gustinu </w:t>
      </w:r>
      <w:r>
        <w:rPr>
          <w:rFonts w:ascii="Times New Roman" w:eastAsia="Times New Roman" w:hAnsi="Times New Roman" w:cs="Times New Roman"/>
          <w:color w:val="000000"/>
          <w:spacing w:val="0"/>
          <w:w w:val="100"/>
          <w:position w:val="0"/>
          <w:shd w:val="clear" w:color="auto" w:fill="auto"/>
          <w:lang w:val="hr-HR" w:eastAsia="hr-HR" w:bidi="hr-HR"/>
        </w:rPr>
        <w:t>uspijeva na znaćajan naćin rcligijsko- -filozofsko prodiranje u tajnovitu povezanost božanske providnosti i konkretne svjetske po</w:t>
        <w:softHyphen/>
        <w:t xml:space="preserve">vijesti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 </w:t>
      </w:r>
      <w:r>
        <w:rPr>
          <w:rFonts w:ascii="Times New Roman" w:eastAsia="Times New Roman" w:hAnsi="Times New Roman" w:cs="Times New Roman"/>
          <w:i/>
          <w:iCs/>
          <w:color w:val="000000"/>
          <w:spacing w:val="0"/>
          <w:w w:val="100"/>
          <w:position w:val="0"/>
          <w:shd w:val="clear" w:color="auto" w:fill="auto"/>
          <w:lang w:val="hr-HR" w:eastAsia="hr-HR" w:bidi="hr-HR"/>
        </w:rPr>
        <w:t>civitate Dei).</w:t>
      </w:r>
      <w:r>
        <w:rPr>
          <w:rFonts w:ascii="Times New Roman" w:eastAsia="Times New Roman" w:hAnsi="Times New Roman" w:cs="Times New Roman"/>
          <w:color w:val="000000"/>
          <w:spacing w:val="0"/>
          <w:w w:val="100"/>
          <w:position w:val="0"/>
          <w:shd w:val="clear" w:color="auto" w:fill="auto"/>
          <w:lang w:val="hr-HR" w:eastAsia="hr-HR" w:bidi="hr-HR"/>
        </w:rPr>
        <w:t xml:space="preserve"> Kršćanska vjera u p. ima ućinka (djelomično sekularizirana) sve do novoga doba. Tako Leibnizovo filozofsko uče</w:t>
        <w:softHyphen/>
        <w:t>nje, - koje leži u osnovi njegove tcodiccjc o prestabiliziranom skladu temelji se isto tako na kršćanskoj povijesno-teološkoj teoriji pro</w:t>
        <w:softHyphen/>
        <w:t>vidnosti kao i npr. povijesno-filozofske ideje Hegela i Manta.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Prvi vatikanski koncil definirao je stvarnost božanske providnosti da bi je razlučio od pan- teističkih, deističkih, dualističkih ali i fatalistič- kih pogrešnih interpretacija. Uz ovo eksplicitno dogmatiziranje samo malo definicijskih katolič</w:t>
        <w:softHyphen/>
        <w:t>kih, naučavateljskih izjava ukazuje implicitno na Božju p. (npr. u osuđivanju Priscilijanovih he</w:t>
        <w:softHyphen/>
        <w:t xml:space="preserve">reza, Valdenza, </w:t>
      </w:r>
      <w:r>
        <w:rPr>
          <w:rFonts w:ascii="Times New Roman" w:eastAsia="Times New Roman" w:hAnsi="Times New Roman" w:cs="Times New Roman"/>
          <w:color w:val="000000"/>
          <w:spacing w:val="0"/>
          <w:w w:val="100"/>
          <w:position w:val="0"/>
          <w:shd w:val="clear" w:color="auto" w:fill="auto"/>
          <w:lang w:val="en-US" w:eastAsia="en-US" w:bidi="en-US"/>
        </w:rPr>
        <w:t xml:space="preserve">Wycliffa). </w:t>
      </w:r>
      <w:r>
        <w:rPr>
          <w:rFonts w:ascii="Times New Roman" w:eastAsia="Times New Roman" w:hAnsi="Times New Roman" w:cs="Times New Roman"/>
          <w:color w:val="000000"/>
          <w:spacing w:val="0"/>
          <w:w w:val="100"/>
          <w:position w:val="0"/>
          <w:shd w:val="clear" w:color="auto" w:fill="auto"/>
          <w:lang w:val="hr-HR" w:eastAsia="hr-HR" w:bidi="hr-HR"/>
        </w:rPr>
        <w:t>Pa ipak, življena vjer</w:t>
        <w:softHyphen/>
        <w:t>ska praksa (npr. prozbena molitva) potvrđuje kršćansko uvjerenje o božanskoj providnosti i snazi povijesnosti.</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sažetak može se reći da Božja p. ne pred</w:t>
        <w:softHyphen/>
        <w:t xml:space="preserve">stavlja mogućnost unutar pluralnosti obliku- jućih faktora. Bog je mnogo više nego </w:t>
      </w:r>
      <w:r>
        <w:rPr>
          <w:rFonts w:ascii="Times New Roman" w:eastAsia="Times New Roman" w:hAnsi="Times New Roman" w:cs="Times New Roman"/>
          <w:color w:val="000000"/>
          <w:spacing w:val="0"/>
          <w:w w:val="100"/>
          <w:position w:val="0"/>
          <w:shd w:val="clear" w:color="auto" w:fill="auto"/>
          <w:lang w:val="en-US" w:eastAsia="en-US" w:bidi="en-US"/>
        </w:rPr>
        <w:t>»crea</w:t>
        <w:softHyphen/>
        <w:t xml:space="preserve">tor ex </w:t>
      </w:r>
      <w:r>
        <w:rPr>
          <w:rFonts w:ascii="Times New Roman" w:eastAsia="Times New Roman" w:hAnsi="Times New Roman" w:cs="Times New Roman"/>
          <w:color w:val="000000"/>
          <w:spacing w:val="0"/>
          <w:w w:val="100"/>
          <w:position w:val="0"/>
          <w:shd w:val="clear" w:color="auto" w:fill="auto"/>
          <w:lang w:val="hr-HR" w:eastAsia="hr-HR" w:bidi="hr-HR"/>
        </w:rPr>
        <w:t>nihilo« svijeta, čovjekov izvor i jamac imanentnih svjetskih zakona i čovjekovih čina slobode. Zato čovječje aktivnosti ne konkuri</w:t>
        <w:softHyphen/>
        <w:t>raju s providnosnim Božjim spasenjskim dje</w:t>
        <w:softHyphen/>
        <w:t>lovanjem nego su unutarnji razlog božanskog nacrta za svijet u pravcu njegova (još izosta</w:t>
        <w:softHyphen/>
        <w:t>log) ispunjenja. Sloboda stvorenja omogućena je božanskom slobodom. Ukoliko kršćanska vjera u p. ne skriva opasnost fatalističke pasiv</w:t>
        <w:softHyphen/>
        <w:t>nosti utoliko se - providnošću određen - božanski spasenjski interes aktualizira u čo</w:t>
        <w:softHyphen/>
        <w:t>vjekovu povijesnom djelovanju. Jednako tako teološki govor o Božjoj providnosti nipošto ne ozakonjuje povijesno optimistički obilježenu predodžbu o sadašnjem svjetskom poretku li</w:t>
        <w:softHyphen/>
        <w:t>šenom patnje i savršenom (ili samo »najbo</w:t>
        <w:softHyphen/>
        <w:t>ljem mogućem« u Leibnizovu smislu). Samo ukazivanje na još otvorena vjerska pitanja, na Božju supatnju (Isusova smrt na križu) i nada u eshatološko ispunjenje (Rim 8,18; Otk 21, 1-4) omogućuju s povjerenjem prihvaćanje vje</w:t>
        <w:softHyphen/>
        <w:t>rovanja u p.</w:t>
      </w:r>
    </w:p>
    <w:p>
      <w:pPr>
        <w:pStyle w:val="Style56"/>
        <w:keepNext w:val="0"/>
        <w:keepLines w:val="0"/>
        <w:widowControl w:val="0"/>
        <w:shd w:val="clear" w:color="auto" w:fill="auto"/>
        <w:bidi w:val="0"/>
        <w:spacing w:before="0" w:after="4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K. P. </w:t>
      </w:r>
      <w:r>
        <w:rPr>
          <w:color w:val="000000"/>
          <w:spacing w:val="0"/>
          <w:w w:val="100"/>
          <w:position w:val="0"/>
          <w:shd w:val="clear" w:color="auto" w:fill="auto"/>
        </w:rPr>
        <w:t xml:space="preserve">Fischer, </w:t>
      </w:r>
      <w:r>
        <w:rPr>
          <w:i/>
          <w:iCs/>
          <w:color w:val="000000"/>
          <w:spacing w:val="0"/>
          <w:w w:val="100"/>
          <w:position w:val="0"/>
          <w:shd w:val="clear" w:color="auto" w:fill="auto"/>
          <w:lang w:val="hr-HR" w:eastAsia="hr-HR" w:bidi="hr-HR"/>
        </w:rPr>
        <w:t>Zufall oder Fiigung?,</w:t>
      </w:r>
      <w:r>
        <w:rPr>
          <w:color w:val="000000"/>
          <w:spacing w:val="0"/>
          <w:w w:val="100"/>
          <w:position w:val="0"/>
          <w:shd w:val="clear" w:color="auto" w:fill="auto"/>
          <w:lang w:val="hr-HR" w:eastAsia="hr-HR" w:bidi="hr-HR"/>
        </w:rPr>
        <w:t xml:space="preserve"> Zurich/F.insicdcln/ Kolo 1977; O. Kuss, </w:t>
      </w:r>
      <w:r>
        <w:rPr>
          <w:i/>
          <w:iCs/>
          <w:color w:val="000000"/>
          <w:spacing w:val="0"/>
          <w:w w:val="100"/>
          <w:position w:val="0"/>
          <w:shd w:val="clear" w:color="auto" w:fill="auto"/>
          <w:lang w:val="hr-HR" w:eastAsia="hr-HR" w:bidi="hr-HR"/>
        </w:rPr>
        <w:t>Zum Vorsehungsglauben</w:t>
      </w:r>
      <w:r>
        <w:rPr>
          <w:color w:val="000000"/>
          <w:spacing w:val="0"/>
          <w:w w:val="100"/>
          <w:position w:val="0"/>
          <w:shd w:val="clear" w:color="auto" w:fill="auto"/>
          <w:lang w:val="hr-HR" w:eastAsia="hr-HR" w:bidi="hr-HR"/>
        </w:rPr>
        <w:t xml:space="preserve"> im </w:t>
      </w:r>
      <w:r>
        <w:rPr>
          <w:i/>
          <w:iCs/>
          <w:color w:val="000000"/>
          <w:spacing w:val="0"/>
          <w:w w:val="100"/>
          <w:position w:val="0"/>
          <w:shd w:val="clear" w:color="auto" w:fill="auto"/>
          <w:lang w:val="hr-HR" w:eastAsia="hr-HR" w:bidi="hr-HR"/>
        </w:rPr>
        <w:t xml:space="preserve">Neuen Tet- </w:t>
      </w:r>
      <w:r>
        <w:rPr>
          <w:i/>
          <w:iCs/>
          <w:color w:val="000000"/>
          <w:spacing w:val="0"/>
          <w:w w:val="100"/>
          <w:position w:val="0"/>
          <w:shd w:val="clear" w:color="auto" w:fill="auto"/>
        </w:rPr>
        <w:t xml:space="preserve">lament. </w:t>
      </w:r>
      <w:r>
        <w:rPr>
          <w:i/>
          <w:iCs/>
          <w:color w:val="000000"/>
          <w:spacing w:val="0"/>
          <w:w w:val="100"/>
          <w:position w:val="0"/>
          <w:shd w:val="clear" w:color="auto" w:fill="auto"/>
          <w:lang w:val="hr-HR" w:eastAsia="hr-HR" w:bidi="hr-HR"/>
        </w:rPr>
        <w:t xml:space="preserve">zlusiegung </w:t>
      </w:r>
      <w:r>
        <w:rPr>
          <w:i/>
          <w:iCs/>
          <w:color w:val="000000"/>
          <w:spacing w:val="0"/>
          <w:w w:val="100"/>
          <w:position w:val="0"/>
          <w:shd w:val="clear" w:color="auto" w:fill="auto"/>
        </w:rPr>
        <w:t xml:space="preserve">and </w:t>
      </w:r>
      <w:r>
        <w:rPr>
          <w:i/>
          <w:iCs/>
          <w:color w:val="000000"/>
          <w:spacing w:val="0"/>
          <w:w w:val="100"/>
          <w:position w:val="0"/>
          <w:shd w:val="clear" w:color="auto" w:fill="auto"/>
          <w:lang w:val="hr-HR" w:eastAsia="hr-HR" w:bidi="hr-HR"/>
        </w:rPr>
        <w:t>Verkilndigung II.</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Regensburg </w:t>
      </w:r>
      <w:r>
        <w:rPr>
          <w:color w:val="000000"/>
          <w:spacing w:val="0"/>
          <w:w w:val="100"/>
          <w:position w:val="0"/>
          <w:shd w:val="clear" w:color="auto" w:fill="auto"/>
          <w:lang w:val="hr-HR" w:eastAsia="hr-HR" w:bidi="hr-HR"/>
        </w:rPr>
        <w:t xml:space="preserve">1967; B. G. </w:t>
      </w:r>
      <w:r>
        <w:rPr>
          <w:color w:val="000000"/>
          <w:spacing w:val="0"/>
          <w:w w:val="100"/>
          <w:position w:val="0"/>
          <w:shd w:val="clear" w:color="auto" w:fill="auto"/>
        </w:rPr>
        <w:t xml:space="preserve">Latigcnicyer, </w:t>
      </w:r>
      <w:r>
        <w:rPr>
          <w:i/>
          <w:iCs/>
          <w:color w:val="000000"/>
          <w:spacing w:val="0"/>
          <w:w w:val="100"/>
          <w:position w:val="0"/>
          <w:shd w:val="clear" w:color="auto" w:fill="auto"/>
          <w:lang w:val="hr-HR" w:eastAsia="hr-HR" w:bidi="hr-HR"/>
        </w:rPr>
        <w:t xml:space="preserve">Dat Phdnomen Zufall </w:t>
      </w:r>
      <w:r>
        <w:rPr>
          <w:i/>
          <w:iCs/>
          <w:color w:val="000000"/>
          <w:spacing w:val="0"/>
          <w:w w:val="100"/>
          <w:position w:val="0"/>
          <w:shd w:val="clear" w:color="auto" w:fill="auto"/>
        </w:rPr>
        <w:t>and die Frage nach dem goiliichen Vorsehung: Theologie im Dialog mil der</w:t>
      </w:r>
    </w:p>
    <w:p>
      <w:pPr>
        <w:pStyle w:val="Style56"/>
        <w:keepNext w:val="0"/>
        <w:keepLines w:val="0"/>
        <w:widowControl w:val="0"/>
        <w:shd w:val="clear" w:color="auto" w:fill="auto"/>
        <w:tabs>
          <w:tab w:pos="2491" w:val="left"/>
        </w:tabs>
        <w:bidi w:val="0"/>
        <w:spacing w:before="0" w:after="180" w:line="240" w:lineRule="auto"/>
        <w:ind w:left="0" w:right="0" w:firstLine="0"/>
        <w:jc w:val="both"/>
      </w:pPr>
      <w:r>
        <w:rPr>
          <w:i/>
          <w:iCs/>
          <w:color w:val="000000"/>
          <w:spacing w:val="0"/>
          <w:w w:val="100"/>
          <w:position w:val="0"/>
          <w:shd w:val="clear" w:color="auto" w:fill="auto"/>
        </w:rPr>
        <w:t>Wirktichkeil,</w:t>
      </w:r>
      <w:r>
        <w:rPr>
          <w:color w:val="000000"/>
          <w:spacing w:val="0"/>
          <w:w w:val="100"/>
          <w:position w:val="0"/>
          <w:shd w:val="clear" w:color="auto" w:fill="auto"/>
        </w:rPr>
        <w:t xml:space="preserve"> Wurzburg 1979; L. Schcffczyk, </w:t>
      </w:r>
      <w:r>
        <w:rPr>
          <w:i/>
          <w:iCs/>
          <w:color w:val="000000"/>
          <w:spacing w:val="0"/>
          <w:w w:val="100"/>
          <w:position w:val="0"/>
          <w:shd w:val="clear" w:color="auto" w:fill="auto"/>
        </w:rPr>
        <w:t>Schopfung und Vorsehung: Handbueh der Dogmengeschichre 1112a.</w:t>
      </w:r>
      <w:r>
        <w:rPr>
          <w:color w:val="000000"/>
          <w:spacing w:val="0"/>
          <w:w w:val="100"/>
          <w:position w:val="0"/>
          <w:shd w:val="clear" w:color="auto" w:fill="auto"/>
        </w:rPr>
        <w:t xml:space="preserve"> Freiburg 1951 i d.; A. Schilson, </w:t>
      </w:r>
      <w:r>
        <w:rPr>
          <w:i/>
          <w:iCs/>
          <w:color w:val="000000"/>
          <w:spacing w:val="0"/>
          <w:w w:val="100"/>
          <w:position w:val="0"/>
          <w:shd w:val="clear" w:color="auto" w:fill="auto"/>
        </w:rPr>
        <w:t xml:space="preserve">Gescluchle </w:t>
      </w:r>
      <w:r>
        <w:rPr>
          <w:i/>
          <w:iCs/>
          <w:color w:val="000000"/>
          <w:spacing w:val="0"/>
          <w:w w:val="100"/>
          <w:position w:val="0"/>
          <w:shd w:val="clear" w:color="auto" w:fill="auto"/>
          <w:lang w:val="hr-HR" w:eastAsia="hr-HR" w:bidi="hr-HR"/>
        </w:rPr>
        <w:t xml:space="preserve">im Horizont </w:t>
      </w:r>
      <w:r>
        <w:rPr>
          <w:i/>
          <w:iCs/>
          <w:color w:val="000000"/>
          <w:spacing w:val="0"/>
          <w:w w:val="100"/>
          <w:position w:val="0"/>
          <w:shd w:val="clear" w:color="auto" w:fill="auto"/>
        </w:rPr>
        <w:t>der Vorse- hung.</w:t>
      </w:r>
      <w:r>
        <w:rPr>
          <w:color w:val="000000"/>
          <w:spacing w:val="0"/>
          <w:w w:val="100"/>
          <w:position w:val="0"/>
          <w:shd w:val="clear" w:color="auto" w:fill="auto"/>
        </w:rPr>
        <w:t xml:space="preserve"> Mainz 1974.</w:t>
        <w:tab/>
        <w:t>E. 11EYEN</w:t>
      </w:r>
    </w:p>
    <w:p>
      <w:pPr>
        <w:pStyle w:val="Style63"/>
        <w:keepNext/>
        <w:keepLines/>
        <w:widowControl w:val="0"/>
        <w:numPr>
          <w:ilvl w:val="0"/>
          <w:numId w:val="461"/>
        </w:numPr>
        <w:shd w:val="clear" w:color="auto" w:fill="auto"/>
        <w:tabs>
          <w:tab w:pos="260" w:val="left"/>
        </w:tabs>
        <w:bidi w:val="0"/>
        <w:spacing w:before="0" w:line="223" w:lineRule="auto"/>
        <w:ind w:left="0" w:right="0" w:firstLine="0"/>
        <w:jc w:val="both"/>
      </w:pPr>
      <w:bookmarkStart w:id="295" w:name="bookmark295"/>
      <w:r>
        <w:rPr>
          <w:rFonts w:ascii="Times New Roman" w:eastAsia="Times New Roman" w:hAnsi="Times New Roman" w:cs="Times New Roman"/>
          <w:color w:val="000000"/>
          <w:spacing w:val="0"/>
          <w:w w:val="100"/>
          <w:position w:val="0"/>
          <w:shd w:val="clear" w:color="auto" w:fill="auto"/>
          <w:lang w:val="hr-HR" w:eastAsia="hr-HR" w:bidi="hr-HR"/>
        </w:rPr>
        <w:t>islamski</w:t>
      </w:r>
      <w:bookmarkEnd w:id="29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Šesti članak islamske vjere - vjera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kadar - </w:t>
      </w:r>
      <w:r>
        <w:rPr>
          <w:rFonts w:ascii="Times New Roman" w:eastAsia="Times New Roman" w:hAnsi="Times New Roman" w:cs="Times New Roman"/>
          <w:color w:val="000000"/>
          <w:spacing w:val="0"/>
          <w:w w:val="100"/>
          <w:position w:val="0"/>
          <w:shd w:val="clear" w:color="auto" w:fill="auto"/>
          <w:lang w:val="hr-HR" w:eastAsia="hr-HR" w:bidi="hr-HR"/>
        </w:rPr>
        <w:t>džebariti, pristaše nauka o predestinaciji, shva</w:t>
        <w:softHyphen/>
        <w:t>ćaju kao vjeru u Božju nepromjenjivu odluku. Taj je nauk uvijek izazivao protuslovlje. Su</w:t>
        <w:softHyphen/>
        <w:t>vremena islamska teologija shvaća p. u smislu prethodnoga Božjeg znanja »koje ni na koji način ne sprečava čovjekovo slobodno djelo</w:t>
        <w:softHyphen/>
        <w:t>vanje«. Za Muhammada ‘Abduha (u. 1905) je nužno osloboditi taj pojam predodžbe o »ne</w:t>
        <w:softHyphen/>
        <w:t>podnošljivoj prisili«. »Ali da se nužno događa ono što je Bog prethodno znao«, to po njemu »dolazi otuda što je to obuhvaćeno Bogom«. »Stoga to mora biti u suglasju sa zbiljom; ali se zbilja ne mijenja... ‘Abduhovo se mišljenje sasvim dosljedno okreće protiv onoga starog muslimana koji jc svjestan svojega spasenja zato što je na času smrti izrekao svoju vjerois</w:t>
        <w:softHyphen/>
        <w:t xml:space="preserve">povijest. Za ‘Abduha su za spasenje nužna i djela!« </w:t>
      </w:r>
      <w:r>
        <w:rPr>
          <w:rFonts w:ascii="Times New Roman" w:eastAsia="Times New Roman" w:hAnsi="Times New Roman" w:cs="Times New Roman"/>
          <w:color w:val="000000"/>
          <w:spacing w:val="0"/>
          <w:w w:val="100"/>
          <w:position w:val="0"/>
          <w:shd w:val="clear" w:color="auto" w:fill="auto"/>
          <w:lang w:val="en-US" w:eastAsia="en-US" w:bidi="en-US"/>
        </w:rPr>
        <w:t xml:space="preserve">(Ulrich Schoen, </w:t>
      </w:r>
      <w:r>
        <w:rPr>
          <w:rFonts w:ascii="Times New Roman" w:eastAsia="Times New Roman" w:hAnsi="Times New Roman" w:cs="Times New Roman"/>
          <w:i/>
          <w:iCs/>
          <w:color w:val="000000"/>
          <w:spacing w:val="0"/>
          <w:w w:val="100"/>
          <w:position w:val="0"/>
          <w:shd w:val="clear" w:color="auto" w:fill="auto"/>
          <w:lang w:val="hr-HR" w:eastAsia="hr-HR" w:bidi="hr-HR"/>
        </w:rPr>
        <w:t>Denken heute,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Gottin</w:t>
        <w:softHyphen/>
        <w:t xml:space="preserve">gen </w:t>
      </w:r>
      <w:r>
        <w:rPr>
          <w:rFonts w:ascii="Times New Roman" w:eastAsia="Times New Roman" w:hAnsi="Times New Roman" w:cs="Times New Roman"/>
          <w:color w:val="000000"/>
          <w:spacing w:val="0"/>
          <w:w w:val="100"/>
          <w:position w:val="0"/>
          <w:shd w:val="clear" w:color="auto" w:fill="auto"/>
          <w:lang w:val="hr-HR" w:eastAsia="hr-HR" w:bidi="hr-HR"/>
        </w:rPr>
        <w:t>1976, 139).</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Mnogo prije ‘Abduha ašaritska je dogmatika precizirala nauk o čovjekovoj slobodnoj volji (al-irada al-duzija) u svjetskome događanju. Čovjek stječe svoja djela (-&gt; Predestinacija). U svojim razmišljanjima o nauku o predesti</w:t>
        <w:softHyphen/>
        <w:t xml:space="preserve">naciji jedan učenjak, Mehamed </w:t>
      </w:r>
      <w:r>
        <w:rPr>
          <w:rFonts w:ascii="Times New Roman" w:eastAsia="Times New Roman" w:hAnsi="Times New Roman" w:cs="Times New Roman"/>
          <w:color w:val="000000"/>
          <w:spacing w:val="0"/>
          <w:w w:val="100"/>
          <w:position w:val="0"/>
          <w:shd w:val="clear" w:color="auto" w:fill="auto"/>
          <w:lang w:val="en-US" w:eastAsia="en-US" w:bidi="en-US"/>
        </w:rPr>
        <w:t xml:space="preserve">Hasan </w:t>
      </w:r>
      <w:r>
        <w:rPr>
          <w:rFonts w:ascii="Times New Roman" w:eastAsia="Times New Roman" w:hAnsi="Times New Roman" w:cs="Times New Roman"/>
          <w:color w:val="000000"/>
          <w:spacing w:val="0"/>
          <w:w w:val="100"/>
          <w:position w:val="0"/>
          <w:shd w:val="clear" w:color="auto" w:fill="auto"/>
          <w:lang w:val="hr-HR" w:eastAsia="hr-HR" w:bidi="hr-HR"/>
        </w:rPr>
        <w:t>al-Ja- sin, slikovito smatra da se trebaju »slomiti šilj</w:t>
        <w:softHyphen/>
        <w:t xml:space="preserve">ci na kruni ljudske odgovornosti i božanske pravednosti« </w:t>
      </w:r>
      <w:r>
        <w:rPr>
          <w:rFonts w:ascii="Times New Roman" w:eastAsia="Times New Roman" w:hAnsi="Times New Roman" w:cs="Times New Roman"/>
          <w:color w:val="000000"/>
          <w:spacing w:val="0"/>
          <w:w w:val="100"/>
          <w:position w:val="0"/>
          <w:shd w:val="clear" w:color="auto" w:fill="auto"/>
          <w:lang w:val="en-US" w:eastAsia="en-US" w:bidi="en-US"/>
        </w:rPr>
        <w:t xml:space="preserve">(Schoen, </w:t>
      </w:r>
      <w:r>
        <w:rPr>
          <w:rFonts w:ascii="Times New Roman" w:eastAsia="Times New Roman" w:hAnsi="Times New Roman" w:cs="Times New Roman"/>
          <w:color w:val="000000"/>
          <w:spacing w:val="0"/>
          <w:w w:val="100"/>
          <w:position w:val="0"/>
          <w:shd w:val="clear" w:color="auto" w:fill="auto"/>
          <w:lang w:val="hr-HR" w:eastAsia="hr-HR" w:bidi="hr-HR"/>
        </w:rPr>
        <w:t xml:space="preserve">140). Izraz </w:t>
      </w:r>
      <w:r>
        <w:rPr>
          <w:rFonts w:ascii="Times New Roman" w:eastAsia="Times New Roman" w:hAnsi="Times New Roman" w:cs="Times New Roman"/>
          <w:i/>
          <w:iCs/>
          <w:color w:val="000000"/>
          <w:spacing w:val="0"/>
          <w:w w:val="100"/>
          <w:position w:val="0"/>
          <w:shd w:val="clear" w:color="auto" w:fill="auto"/>
          <w:lang w:val="hr-HR" w:eastAsia="hr-HR" w:bidi="hr-HR"/>
        </w:rPr>
        <w:t>kismet,</w:t>
      </w:r>
      <w:r>
        <w:rPr>
          <w:rFonts w:ascii="Times New Roman" w:eastAsia="Times New Roman" w:hAnsi="Times New Roman" w:cs="Times New Roman"/>
          <w:color w:val="000000"/>
          <w:spacing w:val="0"/>
          <w:w w:val="100"/>
          <w:position w:val="0"/>
          <w:shd w:val="clear" w:color="auto" w:fill="auto"/>
          <w:lang w:val="hr-HR" w:eastAsia="hr-HR" w:bidi="hr-HR"/>
        </w:rPr>
        <w:t xml:space="preserve"> koji zrcali džebaritsko shvaćanje providnosti, još uvijek se u autentičnoj tradiciji pojavljuje u Kuranu. U narodu se ponekad može čuti iz</w:t>
        <w:softHyphen/>
        <w:t>reka: »Ja sam ispunio svoju dužnost, ali sam propao zbog kismeta«. To znači da jc osobno nastojanje pretpostavka uspjeha. A da, pak, ono izostaje, tada se - tako to doživljava na</w:t>
        <w:softHyphen/>
        <w:t xml:space="preserve">rod - još uvijek možemo tješiti kismetom. U Kuranu se također može pročitati: »Pa zaista uz tegobu </w:t>
      </w:r>
      <w:r>
        <w:rPr>
          <w:rFonts w:ascii="Times New Roman" w:eastAsia="Times New Roman" w:hAnsi="Times New Roman" w:cs="Times New Roman"/>
          <w:i/>
          <w:iCs/>
          <w:color w:val="000000"/>
          <w:spacing w:val="0"/>
          <w:w w:val="100"/>
          <w:position w:val="0"/>
          <w:shd w:val="clear" w:color="auto" w:fill="auto"/>
          <w:lang w:val="hr-HR" w:eastAsia="hr-HR" w:bidi="hr-HR"/>
        </w:rPr>
        <w:t>(ima)</w:t>
      </w:r>
      <w:r>
        <w:rPr>
          <w:rFonts w:ascii="Times New Roman" w:eastAsia="Times New Roman" w:hAnsi="Times New Roman" w:cs="Times New Roman"/>
          <w:color w:val="000000"/>
          <w:spacing w:val="0"/>
          <w:w w:val="100"/>
          <w:position w:val="0"/>
          <w:shd w:val="clear" w:color="auto" w:fill="auto"/>
          <w:lang w:val="hr-HR" w:eastAsia="hr-HR" w:bidi="hr-HR"/>
        </w:rPr>
        <w:t xml:space="preserve"> olakšanje; s teškoćom dolazi olakšanje. Pa kad završiš neku stvar, prihvati se nove; i teži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svomu Alahu« (94-5-8).</w:t>
      </w:r>
    </w:p>
    <w:p>
      <w:pPr>
        <w:pStyle w:val="Style56"/>
        <w:keepNext w:val="0"/>
        <w:keepLines w:val="0"/>
        <w:widowControl w:val="0"/>
        <w:shd w:val="clear" w:color="auto" w:fill="auto"/>
        <w:bidi w:val="0"/>
        <w:spacing w:before="0" w:after="320" w:line="240" w:lineRule="auto"/>
        <w:ind w:left="0" w:right="0" w:firstLine="0"/>
        <w:jc w:val="both"/>
      </w:pPr>
      <w:r>
        <w:rPr>
          <w:color w:val="000000"/>
          <w:spacing w:val="0"/>
          <w:w w:val="100"/>
          <w:position w:val="0"/>
          <w:shd w:val="clear" w:color="auto" w:fill="auto"/>
          <w:lang w:val="hr-HR" w:eastAsia="hr-HR" w:bidi="hr-HR"/>
        </w:rPr>
        <w:t xml:space="preserve">Lit.: Hans Daiber, </w:t>
      </w:r>
      <w:r>
        <w:rPr>
          <w:i/>
          <w:iCs/>
          <w:color w:val="000000"/>
          <w:spacing w:val="0"/>
          <w:w w:val="100"/>
          <w:position w:val="0"/>
          <w:shd w:val="clear" w:color="auto" w:fill="auto"/>
          <w:lang w:val="hr-HR" w:eastAsia="hr-HR" w:bidi="hr-HR"/>
        </w:rPr>
        <w:t>Goti, Muur und menrchlicher U'itle im friihen istamischen Denken,</w:t>
      </w:r>
      <w:r>
        <w:rPr>
          <w:color w:val="000000"/>
          <w:spacing w:val="0"/>
          <w:w w:val="100"/>
          <w:position w:val="0"/>
          <w:shd w:val="clear" w:color="auto" w:fill="auto"/>
          <w:lang w:val="hr-HR" w:eastAsia="hr-HR" w:bidi="hr-HR"/>
        </w:rPr>
        <w:t xml:space="preserve"> Amsterdam 1978. S. BAJ.IĆ</w:t>
      </w:r>
    </w:p>
    <w:p>
      <w:pPr>
        <w:pStyle w:val="Style33"/>
        <w:keepNext w:val="0"/>
        <w:keepLines w:val="0"/>
        <w:widowControl w:val="0"/>
        <w:shd w:val="clear" w:color="auto" w:fill="auto"/>
        <w:bidi w:val="0"/>
        <w:spacing w:before="0" w:after="120" w:line="223" w:lineRule="auto"/>
        <w:ind w:left="0" w:right="0" w:firstLine="0"/>
        <w:jc w:val="both"/>
        <w:sectPr>
          <w:headerReference w:type="default" r:id="rId1209"/>
          <w:footerReference w:type="default" r:id="rId1210"/>
          <w:headerReference w:type="even" r:id="rId1211"/>
          <w:footerReference w:type="even" r:id="rId1212"/>
          <w:footnotePr>
            <w:pos w:val="pageBottom"/>
            <w:numFmt w:val="decimal"/>
            <w:numRestart w:val="continuous"/>
            <w15:footnoteColumns w:val="1"/>
          </w:footnotePr>
          <w:type w:val="continuous"/>
          <w:pgSz w:w="6816" w:h="11006"/>
          <w:pgMar w:top="828" w:left="185" w:right="190" w:bottom="339" w:header="0" w:footer="3" w:gutter="0"/>
          <w:cols w:num="2" w:space="177"/>
          <w:noEndnote/>
          <w:rtlGutter w:val="0"/>
          <w:docGrid w:linePitch="360"/>
        </w:sectPr>
      </w:pPr>
      <w:r>
        <w:rPr>
          <w:rFonts w:ascii="Times New Roman" w:eastAsia="Times New Roman" w:hAnsi="Times New Roman" w:cs="Times New Roman"/>
          <w:b/>
          <w:bCs/>
          <w:color w:val="000000"/>
          <w:spacing w:val="0"/>
          <w:w w:val="100"/>
          <w:position w:val="0"/>
          <w:shd w:val="clear" w:color="auto" w:fill="auto"/>
          <w:lang w:val="hr-HR" w:eastAsia="hr-HR" w:bidi="hr-HR"/>
        </w:rPr>
        <w:t>PROZELITIZAM -&gt; MISIJA</w:t>
      </w:r>
    </w:p>
    <w:p>
      <w:pPr>
        <w:pStyle w:val="Style33"/>
        <w:keepNext w:val="0"/>
        <w:keepLines w:val="0"/>
        <w:widowControl w:val="0"/>
        <w:shd w:val="clear" w:color="auto" w:fill="auto"/>
        <w:bidi w:val="0"/>
        <w:spacing w:before="0" w:after="22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RABINI -&gt; SLUŽBA</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RACIONALIZAM</w:t>
      </w:r>
    </w:p>
    <w:p>
      <w:pPr>
        <w:pStyle w:val="Style63"/>
        <w:keepNext/>
        <w:keepLines/>
        <w:widowControl w:val="0"/>
        <w:numPr>
          <w:ilvl w:val="0"/>
          <w:numId w:val="463"/>
        </w:numPr>
        <w:shd w:val="clear" w:color="auto" w:fill="auto"/>
        <w:tabs>
          <w:tab w:pos="246" w:val="left"/>
        </w:tabs>
        <w:bidi w:val="0"/>
        <w:spacing w:before="0" w:line="223" w:lineRule="auto"/>
        <w:ind w:left="0" w:right="0" w:firstLine="0"/>
        <w:jc w:val="both"/>
      </w:pPr>
      <w:bookmarkStart w:id="296" w:name="bookmark296"/>
      <w:r>
        <w:rPr>
          <w:rFonts w:ascii="Times New Roman" w:eastAsia="Times New Roman" w:hAnsi="Times New Roman" w:cs="Times New Roman"/>
          <w:color w:val="000000"/>
          <w:spacing w:val="0"/>
          <w:w w:val="100"/>
          <w:position w:val="0"/>
          <w:shd w:val="clear" w:color="auto" w:fill="auto"/>
          <w:lang w:val="hr-HR" w:eastAsia="hr-HR" w:bidi="hr-HR"/>
        </w:rPr>
        <w:t>židovski</w:t>
      </w:r>
      <w:bookmarkEnd w:id="296"/>
    </w:p>
    <w:p>
      <w:pPr>
        <w:pStyle w:val="Style20"/>
        <w:keepNext w:val="0"/>
        <w:keepLines w:val="0"/>
        <w:widowControl w:val="0"/>
        <w:numPr>
          <w:ilvl w:val="0"/>
          <w:numId w:val="46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»Obdari nas spoznajom, razumijevanjem i razumom.«</w:t>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 U </w:t>
      </w:r>
      <w:r>
        <w:rPr>
          <w:rFonts w:ascii="Times New Roman" w:eastAsia="Times New Roman" w:hAnsi="Times New Roman" w:cs="Times New Roman"/>
          <w:color w:val="000000"/>
          <w:spacing w:val="0"/>
          <w:w w:val="100"/>
          <w:position w:val="0"/>
          <w:shd w:val="clear" w:color="auto" w:fill="auto"/>
          <w:lang w:val="hr-HR" w:eastAsia="hr-HR" w:bidi="hr-HR"/>
        </w:rPr>
        <w:t>hebrejskoj Bibliji »srce« ozna</w:t>
        <w:softHyphen/>
        <w:t>čava sjedište i funkcije razuma: sposobnost spoznaje (lzr 15,4), um (1 Sam 25,37), shva</w:t>
        <w:softHyphen/>
        <w:t xml:space="preserve">ćanje (Pnz 29,3), razumijevanje/pronicavost (lz 6,10; 42,25), svijest (Pnz 6,6; lzr 7,3; Jr 17,1), pamćenje (Ps 27,8), znanje (Suci 16,15; Dn 7,28), razmišljanje (1 Sam 9,20; 25,25; 27,1; Hoš 7,2), sposobnost prosuđivanja (lzr 23,29 i d.) i orijentacije (Hoš 4,11 i d.; 7,11), razum (lzr 19,8;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12,3;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10,2 i d.). Pre</w:t>
        <w:softHyphen/>
        <w:t>ma biblijskoj gramatici, čovjekove intelektu</w:t>
        <w:softHyphen/>
        <w:t>alne, razumske snage ne ometaju njegovu »vjeru«; one u istoj mjeri pripadaju bitnom životnom odnosu čovjeka prema Bogu: on doživljava »razum« poput »vjere« kao nešto što mu Bog omogućava i za što ga ovlašćuje; naime, ne samo »vjernik« - tj. u biblijskom smislu, onaj koji postupa po volji Božjoj, koji se u Boga pouzdajc (Post 15,6; Izl 4,31; 14,31; Pnz 1,32; 9,23; Iz 7,9; 28,16; 43,10) - pita za njegovo povezivanje s Bogom; tek znanje o Bogu i o njegovoj vlasti stavlja čovjeka u pravi odnos s predmetima njegove spoznaje: »Ra</w:t>
        <w:softHyphen/>
        <w:t>zumno srce stječe znanje, i uho mudrih traži znanje« (lzr 18,15). U stvarnosti koja obuhva</w:t>
        <w:softHyphen/>
        <w:t xml:space="preserve">ća čitav život i odnose u njemu čovjek može biti »vjeran«, pa stoga i »dati povjerenje« (s tim u vezi M. </w:t>
      </w:r>
      <w:r>
        <w:rPr>
          <w:rFonts w:ascii="Times New Roman" w:eastAsia="Times New Roman" w:hAnsi="Times New Roman" w:cs="Times New Roman"/>
          <w:color w:val="000000"/>
          <w:spacing w:val="0"/>
          <w:w w:val="100"/>
          <w:position w:val="0"/>
          <w:shd w:val="clear" w:color="auto" w:fill="auto"/>
          <w:lang w:val="en-US" w:eastAsia="en-US" w:bidi="en-US"/>
        </w:rPr>
        <w:t xml:space="preserve">Buber, Zwei Glaubcnsweisen,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Werke I,</w:t>
      </w:r>
      <w:r>
        <w:rPr>
          <w:rFonts w:ascii="Times New Roman" w:eastAsia="Times New Roman" w:hAnsi="Times New Roman" w:cs="Times New Roman"/>
          <w:color w:val="000000"/>
          <w:spacing w:val="0"/>
          <w:w w:val="100"/>
          <w:position w:val="0"/>
          <w:shd w:val="clear" w:color="auto" w:fill="auto"/>
          <w:lang w:val="en-US" w:eastAsia="en-US" w:bidi="en-US"/>
        </w:rPr>
        <w:t xml:space="preserve"> 1962, 651-782, </w:t>
      </w:r>
      <w:r>
        <w:rPr>
          <w:rFonts w:ascii="Times New Roman" w:eastAsia="Times New Roman" w:hAnsi="Times New Roman" w:cs="Times New Roman"/>
          <w:color w:val="000000"/>
          <w:spacing w:val="0"/>
          <w:w w:val="100"/>
          <w:position w:val="0"/>
          <w:shd w:val="clear" w:color="auto" w:fill="auto"/>
          <w:lang w:val="hr-HR" w:eastAsia="hr-HR" w:bidi="hr-HR"/>
        </w:rPr>
        <w:t xml:space="preserve">posebice </w:t>
      </w:r>
      <w:r>
        <w:rPr>
          <w:rFonts w:ascii="Times New Roman" w:eastAsia="Times New Roman" w:hAnsi="Times New Roman" w:cs="Times New Roman"/>
          <w:color w:val="000000"/>
          <w:spacing w:val="0"/>
          <w:w w:val="100"/>
          <w:position w:val="0"/>
          <w:shd w:val="clear" w:color="auto" w:fill="auto"/>
          <w:lang w:val="en-US" w:eastAsia="en-US" w:bidi="en-US"/>
        </w:rPr>
        <w:t xml:space="preserve">664 </w:t>
      </w:r>
      <w:r>
        <w:rPr>
          <w:rFonts w:ascii="Times New Roman" w:eastAsia="Times New Roman" w:hAnsi="Times New Roman" w:cs="Times New Roman"/>
          <w:color w:val="000000"/>
          <w:spacing w:val="0"/>
          <w:w w:val="100"/>
          <w:position w:val="0"/>
          <w:shd w:val="clear" w:color="auto" w:fill="auto"/>
          <w:lang w:val="hr-HR" w:eastAsia="hr-HR" w:bidi="hr-HR"/>
        </w:rPr>
        <w:t xml:space="preserve">i d.); on teži prema »umu koji sluša«, koji se u Bibliji izražava u usporednosti »srca« i »uha« (Pnz 29,3; Iz 6,10; 32,3 i d.; Jr 11,8; Ez 3,10; 40,4; 44,5; lzr 2,2; 22,17; 23,12); njegov </w:t>
      </w:r>
      <w:r>
        <w:rPr>
          <w:rFonts w:ascii="Times New Roman" w:eastAsia="Times New Roman" w:hAnsi="Times New Roman" w:cs="Times New Roman"/>
          <w:i/>
          <w:iCs/>
          <w:color w:val="000000"/>
          <w:spacing w:val="0"/>
          <w:w w:val="100"/>
          <w:position w:val="0"/>
          <w:shd w:val="clear" w:color="auto" w:fill="auto"/>
          <w:lang w:val="en-US" w:eastAsia="en-US" w:bidi="en-US"/>
        </w:rPr>
        <w:t>ratio</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ne iz</w:t>
        <w:softHyphen/>
        <w:t xml:space="preserve">bjegava blizinu njegova povjerenja. Samo onaj koji »svjesno« živi, koji se poziva na »um« </w:t>
      </w:r>
      <w:r>
        <w:rPr>
          <w:rFonts w:ascii="Times New Roman" w:eastAsia="Times New Roman" w:hAnsi="Times New Roman" w:cs="Times New Roman"/>
          <w:color w:val="000000"/>
          <w:spacing w:val="0"/>
          <w:w w:val="100"/>
          <w:position w:val="0"/>
          <w:shd w:val="clear" w:color="auto" w:fill="auto"/>
          <w:lang w:val="hr-HR" w:eastAsia="hr-HR" w:bidi="hr-HR"/>
        </w:rPr>
        <w:t>(»razbor«) čuje riječi Božje (Pnz 6,6); iz »vlas</w:t>
        <w:softHyphen/>
        <w:t>tite pobude« slijedi ljubav Božjeg poslušnika (6,5). Jezična upotreba »srca« u Bibliji primo</w:t>
        <w:softHyphen/>
        <w:t>rava nas da paralelno gledamo razumsku spo</w:t>
        <w:softHyphen/>
        <w:t>sobnost čovjeka i njegovu spremnost na svjes</w:t>
        <w:softHyphen/>
        <w:t>nu predanost volji Božjoj (Pnz 4,29; 10,12; 11,18). Židovska predaja uvijek spoznaje ljud</w:t>
        <w:softHyphen/>
        <w:t>sku inteligenciju kao dar, nikada kao svrhu sa</w:t>
        <w:softHyphen/>
        <w:t>moj sebi (lzr 3,5). Čovjek svoje funkcije ra</w:t>
        <w:softHyphen/>
        <w:t>zuma i djelatnosti volje (2 Sam 7,27; Hoš 2,16 i d.; lzr 4,23) treba uporabiti kako bi mogao slijediti Božji putokaz (Ps 24,4; 17,3; 139,23; lzr 21,2; Pnz 10,16).</w:t>
      </w:r>
    </w:p>
    <w:p>
      <w:pPr>
        <w:pStyle w:val="Style20"/>
        <w:keepNext w:val="0"/>
        <w:keepLines w:val="0"/>
        <w:widowControl w:val="0"/>
        <w:shd w:val="clear" w:color="auto" w:fill="auto"/>
        <w:bidi w:val="0"/>
        <w:spacing w:before="0" w:after="0" w:line="254" w:lineRule="auto"/>
        <w:ind w:left="0" w:right="0" w:firstLine="0"/>
        <w:jc w:val="both"/>
        <w:sectPr>
          <w:headerReference w:type="default" r:id="rId1213"/>
          <w:footerReference w:type="default" r:id="rId1214"/>
          <w:headerReference w:type="even" r:id="rId1215"/>
          <w:footerReference w:type="even" r:id="rId1216"/>
          <w:footnotePr>
            <w:pos w:val="pageBottom"/>
            <w:numFmt w:val="decimal"/>
            <w:numRestart w:val="continuous"/>
            <w15:footnoteColumns w:val="1"/>
          </w:footnotePr>
          <w:pgSz w:w="6816" w:h="11006"/>
          <w:pgMar w:top="828" w:left="185" w:right="190" w:bottom="339" w:header="400" w:footer="3" w:gutter="0"/>
          <w:pgNumType w:start="403"/>
          <w:cols w:num="2" w:space="177"/>
          <w:noEndnote/>
          <w:rtlGutter w:val="0"/>
          <w:docGrid w:linePitch="360"/>
        </w:sectPr>
      </w:pPr>
      <w:r>
        <mc:AlternateContent>
          <mc:Choice Requires="wps">
            <w:drawing>
              <wp:anchor distT="25400" distB="254000" distL="114300" distR="114300" simplePos="0" relativeHeight="125829419" behindDoc="0" locked="0" layoutInCell="1" allowOverlap="1">
                <wp:simplePos x="0" y="0"/>
                <wp:positionH relativeFrom="page">
                  <wp:posOffset>4022090</wp:posOffset>
                </wp:positionH>
                <wp:positionV relativeFrom="margin">
                  <wp:posOffset>6099175</wp:posOffset>
                </wp:positionV>
                <wp:extent cx="189230" cy="149225"/>
                <wp:wrapTopAndBottom/>
                <wp:docPr id="2612" name="Shape 2612"/>
                <a:graphic xmlns:a="http://schemas.openxmlformats.org/drawingml/2006/main">
                  <a:graphicData uri="http://schemas.microsoft.com/office/word/2010/wordprocessingShape">
                    <wps:wsp>
                      <wps:cNvSpPr txBox="1"/>
                      <wps:spPr>
                        <a:xfrm>
                          <a:ext cx="189230" cy="149225"/>
                        </a:xfrm>
                        <a:prstGeom prst="rect"/>
                        <a:noFill/>
                      </wps:spPr>
                      <wps:txbx>
                        <w:txbxContent>
                          <w:p>
                            <w:pPr>
                              <w:pStyle w:val="Style91"/>
                              <w:keepNext/>
                              <w:keepLines/>
                              <w:widowControl w:val="0"/>
                              <w:shd w:val="clear" w:color="auto" w:fill="auto"/>
                              <w:bidi w:val="0"/>
                              <w:spacing w:before="0" w:after="0" w:line="240" w:lineRule="auto"/>
                              <w:ind w:left="0" w:right="0" w:firstLine="0"/>
                              <w:jc w:val="left"/>
                            </w:pPr>
                            <w:bookmarkStart w:id="278" w:name="bookmark278"/>
                            <w:r>
                              <w:rPr>
                                <w:rFonts w:ascii="Times New Roman" w:eastAsia="Times New Roman" w:hAnsi="Times New Roman" w:cs="Times New Roman"/>
                                <w:color w:val="000000"/>
                                <w:spacing w:val="0"/>
                                <w:w w:val="100"/>
                                <w:position w:val="0"/>
                                <w:shd w:val="clear" w:color="auto" w:fill="auto"/>
                                <w:lang w:val="hr-HR" w:eastAsia="hr-HR" w:bidi="hr-HR"/>
                              </w:rPr>
                              <w:t>'too</w:t>
                            </w:r>
                            <w:bookmarkEnd w:id="278"/>
                          </w:p>
                        </w:txbxContent>
                      </wps:txbx>
                      <wps:bodyPr wrap="none" lIns="0" tIns="0" rIns="0" bIns="0">
                        <a:noAutoFit/>
                      </wps:bodyPr>
                    </wps:wsp>
                  </a:graphicData>
                </a:graphic>
              </wp:anchor>
            </w:drawing>
          </mc:Choice>
          <mc:Fallback>
            <w:pict>
              <v:shape id="_x0000_s3638" type="#_x0000_t202" style="position:absolute;margin-left:316.69999999999999pt;margin-top:480.25pt;width:14.9pt;height:11.75pt;z-index:-125829334;mso-wrap-distance-left:9.pt;mso-wrap-distance-top:2.pt;mso-wrap-distance-right:9.pt;mso-wrap-distance-bottom:20.pt;mso-position-horizontal-relative:page;mso-position-vertical-relative:margin" filled="f" stroked="f">
                <v:textbox inset="0,0,0,0">
                  <w:txbxContent>
                    <w:p>
                      <w:pPr>
                        <w:pStyle w:val="Style91"/>
                        <w:keepNext/>
                        <w:keepLines/>
                        <w:widowControl w:val="0"/>
                        <w:shd w:val="clear" w:color="auto" w:fill="auto"/>
                        <w:bidi w:val="0"/>
                        <w:spacing w:before="0" w:after="0" w:line="240" w:lineRule="auto"/>
                        <w:ind w:left="0" w:right="0" w:firstLine="0"/>
                        <w:jc w:val="left"/>
                      </w:pPr>
                      <w:bookmarkStart w:id="278" w:name="bookmark278"/>
                      <w:r>
                        <w:rPr>
                          <w:rFonts w:ascii="Times New Roman" w:eastAsia="Times New Roman" w:hAnsi="Times New Roman" w:cs="Times New Roman"/>
                          <w:color w:val="000000"/>
                          <w:spacing w:val="0"/>
                          <w:w w:val="100"/>
                          <w:position w:val="0"/>
                          <w:shd w:val="clear" w:color="auto" w:fill="auto"/>
                          <w:lang w:val="hr-HR" w:eastAsia="hr-HR" w:bidi="hr-HR"/>
                        </w:rPr>
                        <w:t>'too</w:t>
                      </w:r>
                      <w:bookmarkEnd w:id="278"/>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Budući da u židovskoj kulturi vjere i u njezinu tradicijskom odgoju nema mjesta za »vjeru« bez zapovijedi i propisa, nego su oni svi, što</w:t>
        <w:softHyphen/>
        <w:t>više, usmjereni na duhovni, voljni i emocio</w:t>
        <w:softHyphen/>
        <w:t>nalni čovjekov trud na specifičnom životnom putu (halaha), koji proizlazi iz interpretativ- no-kontinuiranoga, kodificiranog usmenog na</w:t>
        <w:softHyphen/>
        <w:t>uka o hebrejskoj Bibliji, neminovno je zajed</w:t>
        <w:softHyphen/>
        <w:t>ničko djelovanje »razuma« i »vjere«. Bez ula</w:t>
        <w:softHyphen/>
        <w:t>ganja racionalnih snaga predaja o Božjoj vlas</w:t>
        <w:softHyphen/>
        <w:t>ti u svijetu, koju treba ostvariti, propala bi i pretvorila se u puku religiju okrenutu prema unutra. Bez prave uporabe uma nitko ne može razumijevanje vjere pretvoriti u potrebne od</w:t>
        <w:softHyphen/>
        <w:t xml:space="preserve">luke. No, židovski nauk i opservancija (ob- državanje) ispunili bi se samo površinski i ne bi urodili plodom kad bi se židovska religija ocjenjivala samo s racionalnog stajališta, kad bi se zanemarilo značenje unutarnjeg podu- daranja s izvršenjem zapovijedi (b Megila 20a; 72b; </w:t>
      </w:r>
      <w:r>
        <w:rPr>
          <w:rFonts w:ascii="Times New Roman" w:eastAsia="Times New Roman" w:hAnsi="Times New Roman" w:cs="Times New Roman"/>
          <w:color w:val="000000"/>
          <w:spacing w:val="0"/>
          <w:w w:val="100"/>
          <w:position w:val="0"/>
          <w:shd w:val="clear" w:color="auto" w:fill="auto"/>
          <w:lang w:val="en-US" w:eastAsia="en-US" w:bidi="en-US"/>
        </w:rPr>
        <w:t xml:space="preserve">Nazir </w:t>
      </w:r>
      <w:r>
        <w:rPr>
          <w:rFonts w:ascii="Times New Roman" w:eastAsia="Times New Roman" w:hAnsi="Times New Roman" w:cs="Times New Roman"/>
          <w:color w:val="000000"/>
          <w:spacing w:val="0"/>
          <w:w w:val="100"/>
          <w:position w:val="0"/>
          <w:shd w:val="clear" w:color="auto" w:fill="auto"/>
          <w:lang w:val="hr-HR" w:eastAsia="hr-HR" w:bidi="hr-HR"/>
        </w:rPr>
        <w:t>23b; Berahot 28a) i kad bi se tradi</w:t>
        <w:softHyphen/>
        <w:t xml:space="preserve">cionalni temeljni uvjeti - čovjekova stvorenost na sliku Božju (Post 1,26 i d.), Izraclovo iza- branje (Izl 19,4-6) i zadaća svetosti (Ixv 20,26) - objasnili pojmom autonomnog uma. Strahopoštovanje i čuđenje (Iz 40,12; lzr 30,2-4;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11,7-9), ljubav, povjerenje i mo</w:t>
        <w:softHyphen/>
        <w:t xml:space="preserve">litva (Izl 15,2; 20,6; Pnz 5,10; Hoš 6.6; Mi 6,8; Ps 97,10; 119,113; 3; 5) ostaju tajna po-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božnosti i izvan su svakoga racionalnog doka</w:t>
        <w:softHyphen/>
        <w:t xml:space="preserve">zivanja. Ako staro tumačenje zabrana pljačke, nečudorcda, idolopoklonstva, bogohuljenja i prolijevanja krvi smatra da ih je ljudski razum sam smislio ako nisu zapisane u Tori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18,4; b Joma 67b), tada ono može po</w:t>
        <w:softHyphen/>
        <w:t>vezati tu predodžbu s prirodnim pravom kako je to zamišljeno u postulatu o duhovnoj i ću</w:t>
        <w:softHyphen/>
        <w:t>dorednoj autonomiji čovjeka; napokon, rabini su i te zabrane dovodili u vezu s objavom Božjom; na jednom drugom popisu one se ubrajaju u noahidskc zapovijedi, koje je pre</w:t>
        <w:softHyphen/>
        <w:t>ma shvaćanju mudraca Bog dao precima čita</w:t>
        <w:softHyphen/>
        <w:t xml:space="preserve">vog čovječanstva nakon Potopa pri sklapanju Saveza (Tos.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VIII,4,6; b 64b;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56a-b). Ono što jedan izvor smatra tvorbom razuma, drugi obrazlaže iracionalnim. No za učitelje židovstva u tome nema protu</w:t>
        <w:softHyphen/>
        <w:t>rječja. Napokon, molitelj moli za ljudski raz</w:t>
        <w:softHyphen/>
        <w:t>bor triput na dan kao za dar Božji: »Obdari nas spoznajom, razumijevanjem i razumom« (IV. blagoslov molitve Osamnaest blagoslo</w:t>
        <w:softHyphen/>
        <w:t>va). Duhovna živahnost je prvo za što Židov moli, prema odredbi mudraca: »Velika je spo</w:t>
        <w:softHyphen/>
        <w:t>znaja da je stavljena na početak svakodnevne molitve radnim danom« (b Berahot 33a).</w:t>
      </w:r>
    </w:p>
    <w:p>
      <w:pPr>
        <w:pStyle w:val="Style20"/>
        <w:keepNext w:val="0"/>
        <w:keepLines w:val="0"/>
        <w:widowControl w:val="0"/>
        <w:numPr>
          <w:ilvl w:val="0"/>
          <w:numId w:val="465"/>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»Moja su me djeca pobijedila *</w:t>
      </w:r>
      <w:r>
        <w:rPr>
          <w:rFonts w:ascii="Times New Roman" w:eastAsia="Times New Roman" w:hAnsi="Times New Roman" w:cs="Times New Roman"/>
          <w:color w:val="000000"/>
          <w:spacing w:val="0"/>
          <w:w w:val="100"/>
          <w:position w:val="0"/>
          <w:shd w:val="clear" w:color="auto" w:fill="auto"/>
          <w:lang w:val="hr-HR" w:eastAsia="hr-HR" w:bidi="hr-HR"/>
        </w:rPr>
        <w:t xml:space="preserve"> Sve dotle dok - kao posljedicu slušanja jednoga Boga (Pnz 6,4) - sigurno znamo da »razum« i »vje</w:t>
        <w:softHyphen/>
        <w:t>ra« imaju zajedničko podrijetlo i da je čovjek upućen sad na jedno sad na drugo područje kako bi služio Bogu, nema povoda da se kon</w:t>
        <w:softHyphen/>
        <w:t>kurencija ugura na mjesto polariteta. Za mo</w:t>
        <w:softHyphen/>
        <w:t>gući sukob racionalne receptivnosti pri izradi normi za djelovanje i proročke spontanosti, koja svoj zahtjev poslušnosti obrazlaže inspi</w:t>
        <w:softHyphen/>
        <w:t>racijom, mudraci su donijeli koliko važnu to</w:t>
        <w:softHyphen/>
        <w:t xml:space="preserve">liko i smjelu odluku: »Onoga dana (kad su učenjaci raspravljali o M Kelimu V,10)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(ben </w:t>
      </w:r>
      <w:r>
        <w:rPr>
          <w:rFonts w:ascii="Times New Roman" w:eastAsia="Times New Roman" w:hAnsi="Times New Roman" w:cs="Times New Roman"/>
          <w:color w:val="000000"/>
          <w:spacing w:val="0"/>
          <w:w w:val="100"/>
          <w:position w:val="0"/>
          <w:shd w:val="clear" w:color="auto" w:fill="auto"/>
          <w:lang w:val="hr-HR" w:eastAsia="hr-HR" w:bidi="hr-HR"/>
        </w:rPr>
        <w:t>Hirkan, oko 90) prigovarao je na sve moguće načine, ali ni jedan prigovor nije prihvaćen. Tada im je on rekao: Ako je halaha (jedina obvezna odredba) onakva kako ja kažem, onda neka drvo rogač bude dokaz. Ta</w:t>
        <w:softHyphen/>
        <w:t>da se rogač pomaknuo stotinu lakata od svo</w:t>
        <w:softHyphen/>
        <w:t>jega mjesta... Odgovorili su mu: Rogač ne da</w:t>
        <w:softHyphen/>
        <w:t>je dokaza. On im ponovno reče: Ako je ha</w:t>
        <w:softHyphen/>
        <w:t>laha onakva kako ja kažem, onda neka potok bude dokaz. Tada jc potok potekao uzvodno. Odgovorili su mu: Potok ne daje dokaza. On im ponovno reče: Ako jc halaha onakva kako ja kažem, neka zidovi učilišta budu dokaz. Ta</w:t>
        <w:softHyphen/>
      </w:r>
      <w:r>
        <w:rPr>
          <w:rFonts w:ascii="Times New Roman" w:eastAsia="Times New Roman" w:hAnsi="Times New Roman" w:cs="Times New Roman"/>
          <w:color w:val="000000"/>
          <w:spacing w:val="0"/>
          <w:w w:val="100"/>
          <w:position w:val="0"/>
          <w:shd w:val="clear" w:color="auto" w:fill="auto"/>
          <w:lang w:val="hr-HR" w:eastAsia="hr-HR" w:bidi="hr-HR"/>
        </w:rPr>
        <w:t>da se nagnuše zidovi učilišta i gotovo se sru</w:t>
        <w:softHyphen/>
        <w:t>šiše. No Rabi Jošua (ben Hananja, oko 90) napao ih jc i rekao: Ako se učenici među</w:t>
        <w:softHyphen/>
        <w:t>sobno bore u halahi, što vas se to tiče! Nisu se srušili zbog poštovanja Rabi Jošue, a niti us</w:t>
        <w:softHyphen/>
        <w:t>pravili zbog poštovanja Rabi Eleazara. 1 još su nagnuti. On im se ponovno obrati: Ako je ha</w:t>
        <w:softHyphen/>
        <w:t xml:space="preserve">laha onakva kako ja kažem, onda neka dokaz dode s neba! Tada se začu </w:t>
      </w:r>
      <w:r>
        <w:rPr>
          <w:rFonts w:ascii="Times New Roman" w:eastAsia="Times New Roman" w:hAnsi="Times New Roman" w:cs="Times New Roman"/>
          <w:i/>
          <w:iCs/>
          <w:color w:val="000000"/>
          <w:spacing w:val="0"/>
          <w:w w:val="100"/>
          <w:position w:val="0"/>
          <w:shd w:val="clear" w:color="auto" w:fill="auto"/>
          <w:lang w:val="hr-HR" w:eastAsia="hr-HR" w:bidi="hr-HR"/>
        </w:rPr>
        <w:t>bat kol</w:t>
      </w:r>
      <w:r>
        <w:rPr>
          <w:rFonts w:ascii="Times New Roman" w:eastAsia="Times New Roman" w:hAnsi="Times New Roman" w:cs="Times New Roman"/>
          <w:color w:val="000000"/>
          <w:spacing w:val="0"/>
          <w:w w:val="100"/>
          <w:position w:val="0"/>
          <w:shd w:val="clear" w:color="auto" w:fill="auto"/>
          <w:lang w:val="hr-HR" w:eastAsia="hr-HR" w:bidi="hr-HR"/>
        </w:rPr>
        <w:t xml:space="preserve"> (»jeka gla- sa«/»kći glasa«): Što ste postigli s Rabi Ele- azarom? Halaha je posvuda u skladu s njego</w:t>
        <w:softHyphen/>
        <w:t xml:space="preserve">vim mišljenjem! No Rabi Jošua digne se i reče: Ona (Tora) nije na nebesima (Pnz 30,12). Što znači, nije na nebesima? Rabin Jirmeja (oko 320) rekao jc: Tora je odavno predana na brdu Sinaju (i više nije na nebesima). Ne obazirc- mo se na </w:t>
      </w:r>
      <w:r>
        <w:rPr>
          <w:rFonts w:ascii="Times New Roman" w:eastAsia="Times New Roman" w:hAnsi="Times New Roman" w:cs="Times New Roman"/>
          <w:i/>
          <w:iCs/>
          <w:color w:val="000000"/>
          <w:spacing w:val="0"/>
          <w:w w:val="100"/>
          <w:position w:val="0"/>
          <w:shd w:val="clear" w:color="auto" w:fill="auto"/>
          <w:lang w:val="hr-HR" w:eastAsia="hr-HR" w:bidi="hr-HR"/>
        </w:rPr>
        <w:t>bal kol;</w:t>
      </w:r>
      <w:r>
        <w:rPr>
          <w:rFonts w:ascii="Times New Roman" w:eastAsia="Times New Roman" w:hAnsi="Times New Roman" w:cs="Times New Roman"/>
          <w:color w:val="000000"/>
          <w:spacing w:val="0"/>
          <w:w w:val="100"/>
          <w:position w:val="0"/>
          <w:shd w:val="clear" w:color="auto" w:fill="auto"/>
          <w:lang w:val="hr-HR" w:eastAsia="hr-HR" w:bidi="hr-HR"/>
        </w:rPr>
        <w:t xml:space="preserve"> jer odavno si (Bog) od brda Sinaja zapisao u Fori (Izl 23,2): Povodi se za većinom (majoritet). Rabi </w:t>
      </w:r>
      <w:r>
        <w:rPr>
          <w:rFonts w:ascii="Times New Roman" w:eastAsia="Times New Roman" w:hAnsi="Times New Roman" w:cs="Times New Roman"/>
          <w:color w:val="000000"/>
          <w:spacing w:val="0"/>
          <w:w w:val="100"/>
          <w:position w:val="0"/>
          <w:shd w:val="clear" w:color="auto" w:fill="auto"/>
          <w:lang w:val="en-US" w:eastAsia="en-US" w:bidi="en-US"/>
        </w:rPr>
        <w:t xml:space="preserve">Natan </w:t>
      </w:r>
      <w:r>
        <w:rPr>
          <w:rFonts w:ascii="Times New Roman" w:eastAsia="Times New Roman" w:hAnsi="Times New Roman" w:cs="Times New Roman"/>
          <w:color w:val="000000"/>
          <w:spacing w:val="0"/>
          <w:w w:val="100"/>
          <w:position w:val="0"/>
          <w:shd w:val="clear" w:color="auto" w:fill="auto"/>
          <w:lang w:val="hr-HR" w:eastAsia="hr-HR" w:bidi="hr-HR"/>
        </w:rPr>
        <w:t xml:space="preserve">(oko 160) sreo je proroka Iliju i obratio mu se riječima: Što jc Bog radio u onom trenutku? On mu je odgovorio: Nasmijao se i rekao: Moja su me djeca pobijedila, moja su me djeca pobijedila! Govorilo se: Onoga dana donijelo se sve čisto što je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proglasio čistim i spalilo se. Zatim su glasovali o njemu i prokleti ga (»osudili ga na izopćenje«) »(b Bava Mecia 59b). Učenjake nisu mogla impresionirati ču</w:t>
        <w:softHyphen/>
        <w:t xml:space="preserve">da, kojima je pribjegavao rabin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pa ni neposredan znak s nebesa za koji moli po</w:t>
        <w:softHyphen/>
        <w:t>božni fanatik. Rabi Jošua proturječi Bogu, ko</w:t>
        <w:softHyphen/>
        <w:t>ji se objavljuje »jekom glasa«, citatom iz vlas</w:t>
        <w:softHyphen/>
        <w:t>tite Tore (Pnz 30,12). Njegov sljedbenik po</w:t>
        <w:softHyphen/>
        <w:t>maže mu i nadmašuje ga upućivanjem na na</w:t>
        <w:softHyphen/>
        <w:t>čelo, naznačeno u Tori, demokratskog odluči</w:t>
        <w:softHyphen/>
        <w:t>vanja o kritičkim pitanjima (Izl 23,2). Većina rabina ne obazire se na čuda i glas Božji; oni slijede objektivnu argumentaciju »razuma ko</w:t>
        <w:softHyphen/>
        <w:t>ji sluša« rabina Jošue: »(Više) nije na nebe</w:t>
        <w:softHyphen/>
        <w:t>sima (Tora).« No Bog, koji najprije staje na stranu zastupnika »vjere«, dopušta da ga »po</w:t>
        <w:softHyphen/>
        <w:t>bijedi« hilelitski »razum koji sluša«. Božanska ironija ipak ublažava potrebnu ljudsko-po- vijesnu odluku u prilog kontinuiteta tradicije i protiv pozivanja na (nadahnuće) inspiraciju; ona predviđa doba potpune Božje vlasti u ko</w:t>
        <w:softHyphen/>
        <w:t xml:space="preserve">jem </w:t>
      </w:r>
      <w:r>
        <w:rPr>
          <w:rFonts w:ascii="Times New Roman" w:eastAsia="Times New Roman" w:hAnsi="Times New Roman" w:cs="Times New Roman"/>
          <w:i/>
          <w:iCs/>
          <w:color w:val="000000"/>
          <w:spacing w:val="0"/>
          <w:w w:val="100"/>
          <w:position w:val="0"/>
          <w:shd w:val="clear" w:color="auto" w:fill="auto"/>
          <w:lang w:val="hr-HR" w:eastAsia="hr-HR" w:bidi="hr-HR"/>
        </w:rPr>
        <w:t>jedna</w:t>
      </w:r>
      <w:r>
        <w:rPr>
          <w:rFonts w:ascii="Times New Roman" w:eastAsia="Times New Roman" w:hAnsi="Times New Roman" w:cs="Times New Roman"/>
          <w:color w:val="000000"/>
          <w:spacing w:val="0"/>
          <w:w w:val="100"/>
          <w:position w:val="0"/>
          <w:shd w:val="clear" w:color="auto" w:fill="auto"/>
          <w:lang w:val="hr-HR" w:eastAsia="hr-HR" w:bidi="hr-HR"/>
        </w:rPr>
        <w:t xml:space="preserve"> stvarnost obuhvaća nepodijeljene »razum« i »vjeru« i u kojem je njihovo razliko</w:t>
        <w:softHyphen/>
        <w:t>vanje suvišno: »Učenjak je više od proroka« (b Bava batra 12a), premda ostaje svijest o činjenici da je proroštvo važan, ako ne i glavni izvor halaškoga razvitka i da su proroci karike tradicijskoga lanca što ga navodi Mojsijc (M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Avot 1,1). Do tada vrijedi: »Rabi Jošua je re</w:t>
        <w:softHyphen/>
        <w:t>kao: Ne uzima se u obzir (pri odlučivanju o halaškim pitanjima, tj. o načinu židovskoga ži</w:t>
        <w:softHyphen/>
        <w:t xml:space="preserve">vota) </w:t>
      </w:r>
      <w:r>
        <w:rPr>
          <w:rFonts w:ascii="Times New Roman" w:eastAsia="Times New Roman" w:hAnsi="Times New Roman" w:cs="Times New Roman"/>
          <w:i/>
          <w:iCs/>
          <w:color w:val="000000"/>
          <w:spacing w:val="0"/>
          <w:w w:val="100"/>
          <w:position w:val="0"/>
          <w:shd w:val="clear" w:color="auto" w:fill="auto"/>
          <w:lang w:val="hr-HR" w:eastAsia="hr-HR" w:bidi="hr-HR"/>
        </w:rPr>
        <w:t>bal kol«</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52a; Hulin 44a). Ri- goroznost halahe i rabinska dijalektika zahti</w:t>
        <w:softHyphen/>
        <w:t>jevaju stalno duhovne snage, kako je to for</w:t>
        <w:softHyphen/>
        <w:t xml:space="preserve">mulirao Hilel (oko 30. pr. Kr. do 10. pos. Kr.): »Neobrazovani (tj. ‘neobrađen’ poput polja koje ‘ostaje neobrađeno’, M Bava Mecia IX,3) ne zazire od grijeha, neuki </w:t>
      </w:r>
      <w:r>
        <w:rPr>
          <w:rFonts w:ascii="Times New Roman" w:eastAsia="Times New Roman" w:hAnsi="Times New Roman" w:cs="Times New Roman"/>
          <w:i/>
          <w:iCs/>
          <w:color w:val="000000"/>
          <w:spacing w:val="0"/>
          <w:w w:val="100"/>
          <w:position w:val="0"/>
          <w:shd w:val="clear" w:color="auto" w:fill="auto"/>
          <w:lang w:val="en-US" w:eastAsia="en-US" w:bidi="en-US"/>
        </w:rPr>
        <w:t xml:space="preserve">(am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ha-arec) </w:t>
      </w:r>
      <w:r>
        <w:rPr>
          <w:rFonts w:ascii="Times New Roman" w:eastAsia="Times New Roman" w:hAnsi="Times New Roman" w:cs="Times New Roman"/>
          <w:color w:val="000000"/>
          <w:spacing w:val="0"/>
          <w:w w:val="100"/>
          <w:position w:val="0"/>
          <w:shd w:val="clear" w:color="auto" w:fill="auto"/>
          <w:lang w:val="hr-HR" w:eastAsia="hr-HR" w:bidi="hr-HR"/>
        </w:rPr>
        <w:t xml:space="preserve">nije pobožan </w:t>
      </w:r>
      <w:r>
        <w:rPr>
          <w:rFonts w:ascii="Times New Roman" w:eastAsia="Times New Roman" w:hAnsi="Times New Roman" w:cs="Times New Roman"/>
          <w:i/>
          <w:iCs/>
          <w:color w:val="000000"/>
          <w:spacing w:val="0"/>
          <w:w w:val="100"/>
          <w:position w:val="0"/>
          <w:shd w:val="clear" w:color="auto" w:fill="auto"/>
          <w:lang w:val="hr-HR" w:eastAsia="hr-HR" w:bidi="hr-HR"/>
        </w:rPr>
        <w:t>(hasid)«</w:t>
      </w:r>
      <w:r>
        <w:rPr>
          <w:rFonts w:ascii="Times New Roman" w:eastAsia="Times New Roman" w:hAnsi="Times New Roman" w:cs="Times New Roman"/>
          <w:color w:val="000000"/>
          <w:spacing w:val="0"/>
          <w:w w:val="100"/>
          <w:position w:val="0"/>
          <w:shd w:val="clear" w:color="auto" w:fill="auto"/>
          <w:lang w:val="hr-HR" w:eastAsia="hr-HR" w:bidi="hr-HR"/>
        </w:rPr>
        <w:t xml:space="preserve"> (M Avot 11,5); židovska je predaja, naime, potpuno povezivala »vjeru« s »pravednikom« </w:t>
      </w:r>
      <w:r>
        <w:rPr>
          <w:rFonts w:ascii="Times New Roman" w:eastAsia="Times New Roman" w:hAnsi="Times New Roman" w:cs="Times New Roman"/>
          <w:i/>
          <w:iCs/>
          <w:color w:val="000000"/>
          <w:spacing w:val="0"/>
          <w:w w:val="100"/>
          <w:position w:val="0"/>
          <w:shd w:val="clear" w:color="auto" w:fill="auto"/>
          <w:lang w:val="hr-HR" w:eastAsia="hr-HR" w:bidi="hr-HR"/>
        </w:rPr>
        <w:t>(cadik,</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18a) koji ispunjava svoje dužnosti prema Bogu i bližnjemu (Šifre Pnz 6,5; b Joma 86a;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19,18; b Šabat 30b) i »pobožnikom« - »punim ljubavi« </w:t>
      </w:r>
      <w:r>
        <w:rPr>
          <w:rFonts w:ascii="Times New Roman" w:eastAsia="Times New Roman" w:hAnsi="Times New Roman" w:cs="Times New Roman"/>
          <w:i/>
          <w:iCs/>
          <w:color w:val="000000"/>
          <w:spacing w:val="0"/>
          <w:w w:val="100"/>
          <w:position w:val="0"/>
          <w:shd w:val="clear" w:color="auto" w:fill="auto"/>
          <w:lang w:val="hr-HR" w:eastAsia="hr-HR" w:bidi="hr-HR"/>
        </w:rPr>
        <w:t>(hasid,</w:t>
      </w:r>
      <w:r>
        <w:rPr>
          <w:rFonts w:ascii="Times New Roman" w:eastAsia="Times New Roman" w:hAnsi="Times New Roman" w:cs="Times New Roman"/>
          <w:color w:val="000000"/>
          <w:spacing w:val="0"/>
          <w:w w:val="100"/>
          <w:position w:val="0"/>
          <w:shd w:val="clear" w:color="auto" w:fill="auto"/>
          <w:lang w:val="hr-HR" w:eastAsia="hr-HR" w:bidi="hr-HR"/>
        </w:rPr>
        <w:t xml:space="preserve"> M Avot V,10), za ko</w:t>
        <w:softHyphen/>
        <w:t xml:space="preserve">jega je »proučavanje Tore stalni posao«, koji prima »svakoga s prijateljskim licem« (M Avot 1,15) i koji dopušta da ga »nauk« upućuje na »djelo«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1,17; usp. b Kidušin 40b).</w:t>
      </w:r>
    </w:p>
    <w:p>
      <w:pPr>
        <w:pStyle w:val="Style20"/>
        <w:keepNext w:val="0"/>
        <w:keepLines w:val="0"/>
        <w:widowControl w:val="0"/>
        <w:numPr>
          <w:ilvl w:val="0"/>
          <w:numId w:val="465"/>
        </w:numPr>
        <w:shd w:val="clear" w:color="auto" w:fill="auto"/>
        <w:tabs>
          <w:tab w:pos="255" w:val="left"/>
        </w:tabs>
        <w:bidi w:val="0"/>
        <w:spacing w:before="0" w:after="12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»Svijet je stvoren radi Davida... Radi Moj- šija.«</w:t>
      </w:r>
      <w:r>
        <w:rPr>
          <w:rFonts w:ascii="Times New Roman" w:eastAsia="Times New Roman" w:hAnsi="Times New Roman" w:cs="Times New Roman"/>
          <w:color w:val="000000"/>
          <w:spacing w:val="0"/>
          <w:w w:val="100"/>
          <w:position w:val="0"/>
          <w:shd w:val="clear" w:color="auto" w:fill="auto"/>
          <w:lang w:val="hr-HR" w:eastAsia="hr-HR" w:bidi="hr-HR"/>
        </w:rPr>
        <w:t xml:space="preserve"> Izjednačavanje židovstva i racionalizma zazire od poteškoća višeslojne židovske pre</w:t>
        <w:softHyphen/>
        <w:t>daje i ograničava se na stalni odgoj radi dje</w:t>
        <w:softHyphen/>
        <w:t xml:space="preserve">lovanja u smislu tradicijskoga životnog puta. Premda </w:t>
      </w:r>
      <w:r>
        <w:rPr>
          <w:rFonts w:ascii="Times New Roman" w:eastAsia="Times New Roman" w:hAnsi="Times New Roman" w:cs="Times New Roman"/>
          <w:color w:val="000000"/>
          <w:spacing w:val="0"/>
          <w:w w:val="100"/>
          <w:position w:val="0"/>
          <w:shd w:val="clear" w:color="auto" w:fill="auto"/>
          <w:lang w:val="en-US" w:eastAsia="en-US" w:bidi="en-US"/>
        </w:rPr>
        <w:t xml:space="preserve">to Moses Mendelssohn </w:t>
      </w:r>
      <w:r>
        <w:rPr>
          <w:rFonts w:ascii="Times New Roman" w:eastAsia="Times New Roman" w:hAnsi="Times New Roman" w:cs="Times New Roman"/>
          <w:color w:val="000000"/>
          <w:spacing w:val="0"/>
          <w:w w:val="100"/>
          <w:position w:val="0"/>
          <w:shd w:val="clear" w:color="auto" w:fill="auto"/>
          <w:lang w:val="hr-HR" w:eastAsia="hr-HR" w:bidi="hr-HR"/>
        </w:rPr>
        <w:t>pokušava ra</w:t>
        <w:softHyphen/>
        <w:t>cionalno dokazati u svojem djelu (objavlje</w:t>
        <w:softHyphen/>
        <w:t xml:space="preserve">nom 1785) </w:t>
      </w:r>
      <w:r>
        <w:rPr>
          <w:rFonts w:ascii="Times New Roman" w:eastAsia="Times New Roman" w:hAnsi="Times New Roman" w:cs="Times New Roman"/>
          <w:i/>
          <w:iCs/>
          <w:color w:val="000000"/>
          <w:spacing w:val="0"/>
          <w:w w:val="100"/>
          <w:position w:val="0"/>
          <w:shd w:val="clear" w:color="auto" w:fill="auto"/>
          <w:lang w:val="hr-HR" w:eastAsia="hr-HR" w:bidi="hr-HR"/>
        </w:rPr>
        <w:t xml:space="preserve">Morgenstunden oder Vorlesungen iiber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Daseyn </w:t>
      </w:r>
      <w:r>
        <w:rPr>
          <w:rFonts w:ascii="Times New Roman" w:eastAsia="Times New Roman" w:hAnsi="Times New Roman" w:cs="Times New Roman"/>
          <w:i/>
          <w:iCs/>
          <w:color w:val="000000"/>
          <w:spacing w:val="0"/>
          <w:w w:val="100"/>
          <w:position w:val="0"/>
          <w:shd w:val="clear" w:color="auto" w:fill="auto"/>
          <w:lang w:val="hr-HR" w:eastAsia="hr-HR" w:bidi="hr-HR"/>
        </w:rPr>
        <w:t>Gottes,</w:t>
      </w:r>
      <w:r>
        <w:rPr>
          <w:rFonts w:ascii="Times New Roman" w:eastAsia="Times New Roman" w:hAnsi="Times New Roman" w:cs="Times New Roman"/>
          <w:color w:val="000000"/>
          <w:spacing w:val="0"/>
          <w:w w:val="100"/>
          <w:position w:val="0"/>
          <w:shd w:val="clear" w:color="auto" w:fill="auto"/>
          <w:lang w:val="hr-HR" w:eastAsia="hr-HR" w:bidi="hr-HR"/>
        </w:rPr>
        <w:t xml:space="preserve"> prema zakonima miš</w:t>
        <w:softHyphen/>
        <w:t>ljenja objašnjavajući da židovska religija ne potječe iz objave, nego da je dio prirodne reli</w:t>
        <w:softHyphen/>
        <w:t>gije do koje bi mogli razumski dospjeti svi lju</w:t>
        <w:softHyphen/>
        <w:t>di, za njega ipak nije propalo znanje o metae- tičkom u vlastitoj religiji. Naravno, u odnosu na farizejsko-rabinsko židovstvo, tvrdnja o pot</w:t>
        <w:softHyphen/>
        <w:t>punoj istovjetnosti religije i etike samo je plod neznanja. Upravo su učenjaci iz doba Mišne i Talmuda stvorili silama suprotnog djelovanja halahe i hagadc okvir koji je zaštitio od pro</w:t>
        <w:softHyphen/>
        <w:t>pasti napete veze »razuma« i »vjere«. Ako ha- laha određuje kako treba ispuniti volju Božju u svim pojedinostima čitavog života, oblikuje život prema racionalnim aspektima, definira i specificira ih, hagada priča o onome što je onkraj granica čistog uma, o neobjašnjivoj taj</w:t>
        <w:softHyphen/>
        <w:t>ni u svim osobnim odnosima, kako o uzajam</w:t>
        <w:softHyphen/>
        <w:t>nom odnosu Boga i čovjeka tako i o među</w:t>
        <w:softHyphen/>
        <w:t>ljudskim odnosima, o smislu zapovijedi i prav</w:t>
        <w:softHyphen/>
        <w:t>nih odredbi. Oslobađanje hagadskih spona iz tradicije i njihovo značenje stopilo bi židov</w:t>
        <w:softHyphen/>
        <w:t xml:space="preserve">stvo u unutarnjost daleko od stvarnosti; bez </w:t>
      </w:r>
      <w:r>
        <w:rPr>
          <w:rFonts w:ascii="Times New Roman" w:eastAsia="Times New Roman" w:hAnsi="Times New Roman" w:cs="Times New Roman"/>
          <w:color w:val="000000"/>
          <w:spacing w:val="0"/>
          <w:w w:val="100"/>
          <w:position w:val="0"/>
          <w:shd w:val="clear" w:color="auto" w:fill="auto"/>
          <w:lang w:val="hr-HR" w:eastAsia="hr-HR" w:bidi="hr-HR"/>
        </w:rPr>
        <w:t>halahe nedostajali bi izvor i sigurnost razvi</w:t>
        <w:softHyphen/>
        <w:t>janja »vjere« u djelovanju. Halaha bez hagade ne bi mogla bez poticaja ljubavi i razumije</w:t>
        <w:softHyphen/>
        <w:t>vanja kad bi stega bila bez Božje hvale, vri</w:t>
        <w:softHyphen/>
        <w:t xml:space="preserve">jeme bez vječnosti. Budući da i jedna i druga moraju zajedno biti djelotvorne i međusobno se nadopunjavati, kako je i provela talmudska redakcija ako židovska obveza </w:t>
      </w:r>
      <w:r>
        <w:rPr>
          <w:rFonts w:ascii="Times New Roman" w:eastAsia="Times New Roman" w:hAnsi="Times New Roman" w:cs="Times New Roman"/>
          <w:i/>
          <w:iCs/>
          <w:color w:val="000000"/>
          <w:spacing w:val="0"/>
          <w:w w:val="100"/>
          <w:position w:val="0"/>
          <w:shd w:val="clear" w:color="auto" w:fill="auto"/>
          <w:lang w:val="hr-HR" w:eastAsia="hr-HR" w:bidi="hr-HR"/>
        </w:rPr>
        <w:t>(micva)</w:t>
      </w:r>
      <w:r>
        <w:rPr>
          <w:rFonts w:ascii="Times New Roman" w:eastAsia="Times New Roman" w:hAnsi="Times New Roman" w:cs="Times New Roman"/>
          <w:color w:val="000000"/>
          <w:spacing w:val="0"/>
          <w:w w:val="100"/>
          <w:position w:val="0"/>
          <w:shd w:val="clear" w:color="auto" w:fill="auto"/>
          <w:lang w:val="hr-HR" w:eastAsia="hr-HR" w:bidi="hr-HR"/>
        </w:rPr>
        <w:t xml:space="preserve"> želi is</w:t>
        <w:softHyphen/>
        <w:t xml:space="preserve">todobno biti poslušnost i iskustvo radosti, ne smije ni halahi ni hagadi pripasti prednost i mora se izdržati problem odnosa »razuma« i »vjere«. Mudraci su dijalektički izrazili svoje razumijevanje: »Rav (u. 247) je rekao: Svijet je stvoren radi Davida (kako bi mogao hvaliti Boga u psalmima). Šmuel (u. 254) je rekao: Radi Mojsija (kako bi mogao primiti uputu Božju)«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98b). </w:t>
      </w:r>
      <w:r>
        <w:rPr>
          <w:rFonts w:ascii="Times New Roman" w:eastAsia="Times New Roman" w:hAnsi="Times New Roman" w:cs="Times New Roman"/>
          <w:color w:val="000000"/>
          <w:spacing w:val="0"/>
          <w:w w:val="100"/>
          <w:position w:val="0"/>
          <w:shd w:val="clear" w:color="auto" w:fill="auto"/>
          <w:lang w:val="en-US" w:eastAsia="en-US" w:bidi="en-US"/>
        </w:rPr>
        <w:t xml:space="preserve">Franz Rosenzweig </w:t>
      </w:r>
      <w:r>
        <w:rPr>
          <w:rFonts w:ascii="Times New Roman" w:eastAsia="Times New Roman" w:hAnsi="Times New Roman" w:cs="Times New Roman"/>
          <w:color w:val="000000"/>
          <w:spacing w:val="0"/>
          <w:w w:val="100"/>
          <w:position w:val="0"/>
          <w:shd w:val="clear" w:color="auto" w:fill="auto"/>
          <w:lang w:val="hr-HR" w:eastAsia="hr-HR" w:bidi="hr-HR"/>
        </w:rPr>
        <w:t>odjenuo je stari problem u rečenice: »Nije vje</w:t>
        <w:softHyphen/>
        <w:t>ra protiv znanja, nego je vjersko znanje protiv nevjerskoga. Ili zapravo, budući da upravo ozakonjenost vjerskoga znanja uključuje ne- vjersko, dok, obratno, nevjerskom znanju vjer</w:t>
        <w:softHyphen/>
        <w:t xml:space="preserve">sko ostaje nepristupačno; vjersko-nevjersko znanje je protiv ograničeno nevjerskog« </w:t>
      </w:r>
      <w:r>
        <w:rPr>
          <w:rFonts w:ascii="Times New Roman" w:eastAsia="Times New Roman" w:hAnsi="Times New Roman" w:cs="Times New Roman"/>
          <w:color w:val="000000"/>
          <w:spacing w:val="0"/>
          <w:w w:val="100"/>
          <w:position w:val="0"/>
          <w:shd w:val="clear" w:color="auto" w:fill="auto"/>
          <w:lang w:val="en-US" w:eastAsia="en-US" w:bidi="en-US"/>
        </w:rPr>
        <w:t xml:space="preserve">(Die </w:t>
      </w:r>
      <w:r>
        <w:rPr>
          <w:rFonts w:ascii="Times New Roman" w:eastAsia="Times New Roman" w:hAnsi="Times New Roman" w:cs="Times New Roman"/>
          <w:color w:val="000000"/>
          <w:spacing w:val="0"/>
          <w:w w:val="100"/>
          <w:position w:val="0"/>
          <w:shd w:val="clear" w:color="auto" w:fill="auto"/>
          <w:lang w:val="hr-HR" w:eastAsia="hr-HR" w:bidi="hr-HR"/>
        </w:rPr>
        <w:t xml:space="preserve">Einheit der Bibel, u: </w:t>
      </w:r>
      <w:r>
        <w:rPr>
          <w:rFonts w:ascii="Times New Roman" w:eastAsia="Times New Roman" w:hAnsi="Times New Roman" w:cs="Times New Roman"/>
          <w:i/>
          <w:iCs/>
          <w:color w:val="000000"/>
          <w:spacing w:val="0"/>
          <w:w w:val="100"/>
          <w:position w:val="0"/>
          <w:shd w:val="clear" w:color="auto" w:fill="auto"/>
          <w:lang w:val="hr-HR" w:eastAsia="hr-HR" w:bidi="hr-HR"/>
        </w:rPr>
        <w:t>Kleinere Schriften,</w:t>
      </w:r>
      <w:r>
        <w:rPr>
          <w:rFonts w:ascii="Times New Roman" w:eastAsia="Times New Roman" w:hAnsi="Times New Roman" w:cs="Times New Roman"/>
          <w:color w:val="000000"/>
          <w:spacing w:val="0"/>
          <w:w w:val="100"/>
          <w:position w:val="0"/>
          <w:shd w:val="clear" w:color="auto" w:fill="auto"/>
          <w:lang w:val="hr-HR" w:eastAsia="hr-HR" w:bidi="hr-HR"/>
        </w:rPr>
        <w:t xml:space="preserve"> 1937, 128-133,132).</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w:t>
      </w:r>
      <w:r>
        <w:rPr>
          <w:i/>
          <w:iCs/>
          <w:color w:val="000000"/>
          <w:spacing w:val="0"/>
          <w:w w:val="100"/>
          <w:position w:val="0"/>
          <w:shd w:val="clear" w:color="auto" w:fill="auto"/>
          <w:lang w:val="hr-HR" w:eastAsia="hr-HR" w:bidi="hr-HR"/>
        </w:rPr>
        <w:t>Judische, Ledkon</w:t>
      </w:r>
      <w:r>
        <w:rPr>
          <w:color w:val="000000"/>
          <w:spacing w:val="0"/>
          <w:w w:val="100"/>
          <w:position w:val="0"/>
          <w:shd w:val="clear" w:color="auto" w:fill="auto"/>
          <w:lang w:val="hr-HR" w:eastAsia="hr-HR" w:bidi="hr-HR"/>
        </w:rPr>
        <w:t xml:space="preserve"> 1927,1982. IV,'1, 125 i d.; IVfl, 119 i d.;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*1978,3,675 i d.; 10,392 i d.; U, 1330 i d; 13,421, 452; H. </w:t>
      </w:r>
      <w:r>
        <w:rPr>
          <w:color w:val="000000"/>
          <w:spacing w:val="0"/>
          <w:w w:val="100"/>
          <w:position w:val="0"/>
          <w:shd w:val="clear" w:color="auto" w:fill="auto"/>
        </w:rPr>
        <w:t xml:space="preserve">W. Wolff, </w:t>
      </w:r>
      <w:r>
        <w:rPr>
          <w:i/>
          <w:iCs/>
          <w:color w:val="000000"/>
          <w:spacing w:val="0"/>
          <w:w w:val="100"/>
          <w:position w:val="0"/>
          <w:shd w:val="clear" w:color="auto" w:fill="auto"/>
        </w:rPr>
        <w:t xml:space="preserve">Anthropologic </w:t>
      </w:r>
      <w:r>
        <w:rPr>
          <w:i/>
          <w:iCs/>
          <w:color w:val="000000"/>
          <w:spacing w:val="0"/>
          <w:w w:val="100"/>
          <w:position w:val="0"/>
          <w:shd w:val="clear" w:color="auto" w:fill="auto"/>
          <w:lang w:val="hr-HR" w:eastAsia="hr-HR" w:bidi="hr-HR"/>
        </w:rPr>
        <w:t xml:space="preserve">des </w:t>
      </w:r>
      <w:r>
        <w:rPr>
          <w:i/>
          <w:iCs/>
          <w:color w:val="000000"/>
          <w:spacing w:val="0"/>
          <w:w w:val="100"/>
          <w:position w:val="0"/>
          <w:shd w:val="clear" w:color="auto" w:fill="auto"/>
        </w:rPr>
        <w:t>Alien Testaments,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1973. 68 i d.;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H. Schocps, </w:t>
      </w:r>
      <w:r>
        <w:rPr>
          <w:i/>
          <w:iCs/>
          <w:color w:val="000000"/>
          <w:spacing w:val="0"/>
          <w:w w:val="100"/>
          <w:position w:val="0"/>
          <w:shd w:val="clear" w:color="auto" w:fill="auto"/>
        </w:rPr>
        <w:t>Motes Mendels</w:t>
        <w:softHyphen/>
        <w:t>sohn,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1979, 150 i d.; A. J. Hcschcl, </w:t>
      </w:r>
      <w:r>
        <w:rPr>
          <w:i/>
          <w:iCs/>
          <w:color w:val="000000"/>
          <w:spacing w:val="0"/>
          <w:w w:val="100"/>
          <w:position w:val="0"/>
          <w:shd w:val="clear" w:color="auto" w:fill="auto"/>
          <w:lang w:val="hr-HR" w:eastAsia="hr-HR" w:bidi="hr-HR"/>
        </w:rPr>
        <w:t xml:space="preserve">Goti </w:t>
      </w:r>
      <w:r>
        <w:rPr>
          <w:i/>
          <w:iCs/>
          <w:color w:val="000000"/>
          <w:spacing w:val="0"/>
          <w:w w:val="100"/>
          <w:position w:val="0"/>
          <w:shd w:val="clear" w:color="auto" w:fill="auto"/>
        </w:rPr>
        <w:t xml:space="preserve">tucht den Men- </w:t>
      </w:r>
      <w:r>
        <w:rPr>
          <w:i/>
          <w:iCs/>
          <w:color w:val="000000"/>
          <w:spacing w:val="0"/>
          <w:w w:val="100"/>
          <w:position w:val="0"/>
          <w:shd w:val="clear" w:color="auto" w:fill="auto"/>
          <w:lang w:val="hr-HR" w:eastAsia="hr-HR" w:bidi="hr-HR"/>
        </w:rPr>
        <w:t>schen,</w:t>
      </w:r>
      <w:r>
        <w:rPr>
          <w:color w:val="000000"/>
          <w:spacing w:val="0"/>
          <w:w w:val="100"/>
          <w:position w:val="0"/>
          <w:shd w:val="clear" w:color="auto" w:fill="auto"/>
          <w:lang w:val="hr-HR" w:eastAsia="hr-HR" w:bidi="hr-HR"/>
        </w:rPr>
        <w:t xml:space="preserve"> 1980, II i d., 167 i d., 246 i d., 258 i d.; E. </w:t>
      </w:r>
      <w:r>
        <w:rPr>
          <w:color w:val="000000"/>
          <w:spacing w:val="0"/>
          <w:w w:val="100"/>
          <w:position w:val="0"/>
          <w:shd w:val="clear" w:color="auto" w:fill="auto"/>
        </w:rPr>
        <w:t xml:space="preserve">Simon, </w:t>
      </w:r>
      <w:r>
        <w:rPr>
          <w:i/>
          <w:iCs/>
          <w:color w:val="000000"/>
          <w:spacing w:val="0"/>
          <w:w w:val="100"/>
          <w:position w:val="0"/>
          <w:shd w:val="clear" w:color="auto" w:fill="auto"/>
          <w:lang w:val="hr-HR" w:eastAsia="hr-HR" w:bidi="hr-HR"/>
        </w:rPr>
        <w:t>Em- seheidung zum Judenlum,</w:t>
      </w:r>
      <w:r>
        <w:rPr>
          <w:color w:val="000000"/>
          <w:spacing w:val="0"/>
          <w:w w:val="100"/>
          <w:position w:val="0"/>
          <w:shd w:val="clear" w:color="auto" w:fill="auto"/>
          <w:lang w:val="hr-HR" w:eastAsia="hr-HR" w:bidi="hr-HR"/>
        </w:rPr>
        <w:t xml:space="preserve"> 1980, 33 i d., 75 i d.</w:t>
      </w:r>
    </w:p>
    <w:p>
      <w:pPr>
        <w:pStyle w:val="Style74"/>
        <w:keepNext w:val="0"/>
        <w:keepLines w:val="0"/>
        <w:widowControl w:val="0"/>
        <w:shd w:val="clear" w:color="auto" w:fill="auto"/>
        <w:bidi w:val="0"/>
        <w:spacing w:before="0" w:after="22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D. VBTn-R</w:t>
      </w:r>
    </w:p>
    <w:p>
      <w:pPr>
        <w:pStyle w:val="Style63"/>
        <w:keepNext/>
        <w:keepLines/>
        <w:widowControl w:val="0"/>
        <w:numPr>
          <w:ilvl w:val="0"/>
          <w:numId w:val="463"/>
        </w:numPr>
        <w:shd w:val="clear" w:color="auto" w:fill="auto"/>
        <w:tabs>
          <w:tab w:pos="260" w:val="left"/>
        </w:tabs>
        <w:bidi w:val="0"/>
        <w:spacing w:before="0" w:after="120" w:line="226" w:lineRule="auto"/>
        <w:ind w:left="0" w:right="0" w:firstLine="0"/>
        <w:jc w:val="both"/>
      </w:pPr>
      <w:bookmarkStart w:id="297" w:name="bookmark29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297"/>
    </w:p>
    <w:p>
      <w:pPr>
        <w:pStyle w:val="Style20"/>
        <w:keepNext w:val="0"/>
        <w:keepLines w:val="0"/>
        <w:widowControl w:val="0"/>
        <w:shd w:val="clear" w:color="auto" w:fill="auto"/>
        <w:bidi w:val="0"/>
        <w:spacing w:before="0" w:after="12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 vidi u </w:t>
      </w:r>
      <w:r>
        <w:rPr>
          <w:rFonts w:ascii="Times New Roman" w:eastAsia="Times New Roman" w:hAnsi="Times New Roman" w:cs="Times New Roman"/>
          <w:i/>
          <w:iCs/>
          <w:color w:val="000000"/>
          <w:spacing w:val="0"/>
          <w:w w:val="100"/>
          <w:position w:val="0"/>
          <w:shd w:val="clear" w:color="auto" w:fill="auto"/>
          <w:lang w:val="hr-HR" w:eastAsia="hr-HR" w:bidi="hr-HR"/>
        </w:rPr>
        <w:t>razumu</w:t>
      </w:r>
      <w:r>
        <w:rPr>
          <w:rFonts w:ascii="Times New Roman" w:eastAsia="Times New Roman" w:hAnsi="Times New Roman" w:cs="Times New Roman"/>
          <w:color w:val="000000"/>
          <w:spacing w:val="0"/>
          <w:w w:val="100"/>
          <w:position w:val="0"/>
          <w:shd w:val="clear" w:color="auto" w:fill="auto"/>
          <w:lang w:val="hr-HR" w:eastAsia="hr-HR" w:bidi="hr-HR"/>
        </w:rPr>
        <w:t xml:space="preserve"> (lat. </w:t>
      </w:r>
      <w:r>
        <w:rPr>
          <w:rFonts w:ascii="Times New Roman" w:eastAsia="Times New Roman" w:hAnsi="Times New Roman" w:cs="Times New Roman"/>
          <w:color w:val="000000"/>
          <w:spacing w:val="0"/>
          <w:w w:val="100"/>
          <w:position w:val="0"/>
          <w:shd w:val="clear" w:color="auto" w:fill="auto"/>
          <w:lang w:val="en-US" w:eastAsia="en-US" w:bidi="en-US"/>
        </w:rPr>
        <w:t xml:space="preserve">ratio) </w:t>
      </w:r>
      <w:r>
        <w:rPr>
          <w:rFonts w:ascii="Times New Roman" w:eastAsia="Times New Roman" w:hAnsi="Times New Roman" w:cs="Times New Roman"/>
          <w:color w:val="000000"/>
          <w:spacing w:val="0"/>
          <w:w w:val="100"/>
          <w:position w:val="0"/>
          <w:shd w:val="clear" w:color="auto" w:fill="auto"/>
          <w:lang w:val="hr-HR" w:eastAsia="hr-HR" w:bidi="hr-HR"/>
        </w:rPr>
        <w:t>posljednji nepre- varljivi temelj svake spoznaje, mišljenja i pos</w:t>
        <w:softHyphen/>
        <w:t xml:space="preserve">tupanja; </w:t>
      </w:r>
      <w:r>
        <w:rPr>
          <w:rFonts w:ascii="Times New Roman" w:eastAsia="Times New Roman" w:hAnsi="Times New Roman" w:cs="Times New Roman"/>
          <w:i/>
          <w:iCs/>
          <w:color w:val="000000"/>
          <w:spacing w:val="0"/>
          <w:w w:val="100"/>
          <w:position w:val="0"/>
          <w:shd w:val="clear" w:color="auto" w:fill="auto"/>
          <w:lang w:val="hr-HR" w:eastAsia="hr-HR" w:bidi="hr-HR"/>
        </w:rPr>
        <w:t>iskustvu</w:t>
      </w:r>
      <w:r>
        <w:rPr>
          <w:rFonts w:ascii="Times New Roman" w:eastAsia="Times New Roman" w:hAnsi="Times New Roman" w:cs="Times New Roman"/>
          <w:color w:val="000000"/>
          <w:spacing w:val="0"/>
          <w:w w:val="100"/>
          <w:position w:val="0"/>
          <w:shd w:val="clear" w:color="auto" w:fill="auto"/>
          <w:lang w:val="hr-HR" w:eastAsia="hr-HR" w:bidi="hr-HR"/>
        </w:rPr>
        <w:t xml:space="preserve"> se pritom svaki put priznaje podređena uloga. R. se primarno odnosi na obilježavanje onoga spoznajno-teoretskog sta</w:t>
        <w:softHyphen/>
        <w:t>va koji u svjetlu prirodnog razuma spoznaju drži nadasve nezavisnom od iskustva (suprot</w:t>
        <w:softHyphen/>
        <w:t>no: empirizam, senzualizam). Ideje koje su nam a priori dane i urođene omogućuju nam primjenom analitičko-deduktivnog mišljenja u načelu spoznaju ukupnoga postojećeg svi</w:t>
        <w:softHyphen/>
        <w:t xml:space="preserve">jeta, jer on ima svojstvo koje se može logički, prema zakonima proračunati (misliti i biti je identično). </w:t>
      </w:r>
      <w:r>
        <w:rPr>
          <w:rFonts w:ascii="Times New Roman" w:eastAsia="Times New Roman" w:hAnsi="Times New Roman" w:cs="Times New Roman"/>
          <w:i/>
          <w:iCs/>
          <w:color w:val="000000"/>
          <w:spacing w:val="0"/>
          <w:w w:val="100"/>
          <w:position w:val="0"/>
          <w:shd w:val="clear" w:color="auto" w:fill="auto"/>
          <w:lang w:val="hr-HR" w:eastAsia="hr-HR" w:bidi="hr-HR"/>
        </w:rPr>
        <w:t>Spoznajno-teoretski</w:t>
      </w:r>
      <w:r>
        <w:rPr>
          <w:rFonts w:ascii="Times New Roman" w:eastAsia="Times New Roman" w:hAnsi="Times New Roman" w:cs="Times New Roman"/>
          <w:color w:val="000000"/>
          <w:spacing w:val="0"/>
          <w:w w:val="100"/>
          <w:position w:val="0"/>
          <w:shd w:val="clear" w:color="auto" w:fill="auto"/>
          <w:lang w:val="hr-HR" w:eastAsia="hr-HR" w:bidi="hr-HR"/>
        </w:rPr>
        <w:t xml:space="preserve"> r. pretpostavlja dakle </w:t>
      </w:r>
      <w:r>
        <w:rPr>
          <w:rFonts w:ascii="Times New Roman" w:eastAsia="Times New Roman" w:hAnsi="Times New Roman" w:cs="Times New Roman"/>
          <w:i/>
          <w:iCs/>
          <w:color w:val="000000"/>
          <w:spacing w:val="0"/>
          <w:w w:val="100"/>
          <w:position w:val="0"/>
          <w:shd w:val="clear" w:color="auto" w:fill="auto"/>
          <w:lang w:val="hr-HR" w:eastAsia="hr-HR" w:bidi="hr-HR"/>
        </w:rPr>
        <w:t>metafizički</w:t>
      </w:r>
      <w:r>
        <w:rPr>
          <w:rFonts w:ascii="Times New Roman" w:eastAsia="Times New Roman" w:hAnsi="Times New Roman" w:cs="Times New Roman"/>
          <w:color w:val="000000"/>
          <w:spacing w:val="0"/>
          <w:w w:val="100"/>
          <w:position w:val="0"/>
          <w:shd w:val="clear" w:color="auto" w:fill="auto"/>
          <w:lang w:val="hr-HR" w:eastAsia="hr-HR" w:bidi="hr-HR"/>
        </w:rPr>
        <w:t xml:space="preserve"> r.; iz obadvaju slijedi pri</w:t>
        <w:softHyphen/>
        <w:t xml:space="preserve">mjenljivost racionalizma na etiku </w:t>
      </w:r>
      <w:r>
        <w:rPr>
          <w:rFonts w:ascii="Times New Roman" w:eastAsia="Times New Roman" w:hAnsi="Times New Roman" w:cs="Times New Roman"/>
          <w:i/>
          <w:iCs/>
          <w:color w:val="000000"/>
          <w:spacing w:val="0"/>
          <w:w w:val="100"/>
          <w:position w:val="0"/>
          <w:shd w:val="clear" w:color="auto" w:fill="auto"/>
          <w:lang w:val="hr-HR" w:eastAsia="hr-HR" w:bidi="hr-HR"/>
        </w:rPr>
        <w:t>(etički</w:t>
      </w:r>
      <w:r>
        <w:rPr>
          <w:rFonts w:ascii="Times New Roman" w:eastAsia="Times New Roman" w:hAnsi="Times New Roman" w:cs="Times New Roman"/>
          <w:color w:val="000000"/>
          <w:spacing w:val="0"/>
          <w:w w:val="100"/>
          <w:position w:val="0"/>
          <w:shd w:val="clear" w:color="auto" w:fill="auto"/>
          <w:lang w:val="hr-HR" w:eastAsia="hr-HR" w:bidi="hr-HR"/>
        </w:rPr>
        <w:t xml:space="preserve"> 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Moralno postupanje isključivo je moguće pod primatom razuma.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lako se elementi racionalizma nalaze već u antiknoj i srednjovjekovnoj filozofiji, nasta</w:t>
        <w:softHyphen/>
        <w:t>nak racionalizma kao učenja zbiva se ipak tek u novo doba. On počinje u XVII. stoljeću s Descartcsom: Budući da je zbog radikalne sum</w:t>
        <w:softHyphen/>
        <w:t xml:space="preserve">nje postala upitna svaka spoznaja koja počiva na osjetilnom iskustvu pa ništa ne preostaje kao egzistencijalna izvjesnost individue koja misli/sumnja </w:t>
      </w:r>
      <w:r>
        <w:rPr>
          <w:rFonts w:ascii="Times New Roman" w:eastAsia="Times New Roman" w:hAnsi="Times New Roman" w:cs="Times New Roman"/>
          <w:color w:val="000000"/>
          <w:spacing w:val="0"/>
          <w:w w:val="100"/>
          <w:position w:val="0"/>
          <w:shd w:val="clear" w:color="auto" w:fill="auto"/>
          <w:lang w:val="en-US" w:eastAsia="en-US" w:bidi="en-US"/>
        </w:rPr>
        <w:t xml:space="preserve">(cogito, ergo sum), </w:t>
      </w:r>
      <w:r>
        <w:rPr>
          <w:rFonts w:ascii="Times New Roman" w:eastAsia="Times New Roman" w:hAnsi="Times New Roman" w:cs="Times New Roman"/>
          <w:color w:val="000000"/>
          <w:spacing w:val="0"/>
          <w:w w:val="100"/>
          <w:position w:val="0"/>
          <w:shd w:val="clear" w:color="auto" w:fill="auto"/>
          <w:lang w:val="hr-HR" w:eastAsia="hr-HR" w:bidi="hr-HR"/>
        </w:rPr>
        <w:t>razum je upu</w:t>
        <w:softHyphen/>
        <w:t>ćen sam na sebe: »Izvjesno je samo ono što razum jasno i razgovijetno spoznaje kao egzis</w:t>
        <w:softHyphen/>
        <w:t xml:space="preserve">tenciju razumnog subjekta«. Daljnja izgradnja racionalizma kao filozofskog sustava leži prije svega u rukama Spinoze, Leibniza i </w:t>
      </w:r>
      <w:r>
        <w:rPr>
          <w:rFonts w:ascii="Times New Roman" w:eastAsia="Times New Roman" w:hAnsi="Times New Roman" w:cs="Times New Roman"/>
          <w:color w:val="000000"/>
          <w:spacing w:val="0"/>
          <w:w w:val="100"/>
          <w:position w:val="0"/>
          <w:shd w:val="clear" w:color="auto" w:fill="auto"/>
          <w:lang w:val="en-US" w:eastAsia="en-US" w:bidi="en-US"/>
        </w:rPr>
        <w:t xml:space="preserve">Wolffa; </w:t>
      </w:r>
      <w:r>
        <w:rPr>
          <w:rFonts w:ascii="Times New Roman" w:eastAsia="Times New Roman" w:hAnsi="Times New Roman" w:cs="Times New Roman"/>
          <w:color w:val="000000"/>
          <w:spacing w:val="0"/>
          <w:w w:val="100"/>
          <w:position w:val="0"/>
          <w:shd w:val="clear" w:color="auto" w:fill="auto"/>
          <w:lang w:val="hr-HR" w:eastAsia="hr-HR" w:bidi="hr-HR"/>
        </w:rPr>
        <w:t xml:space="preserve">primjenljivost racionalizma na sva područja ljudske kulture pokazuje se između ostaloga u </w:t>
      </w:r>
      <w:r>
        <w:rPr>
          <w:rFonts w:ascii="Times New Roman" w:eastAsia="Times New Roman" w:hAnsi="Times New Roman" w:cs="Times New Roman"/>
          <w:i/>
          <w:iCs/>
          <w:color w:val="000000"/>
          <w:spacing w:val="0"/>
          <w:w w:val="100"/>
          <w:position w:val="0"/>
          <w:shd w:val="clear" w:color="auto" w:fill="auto"/>
          <w:lang w:val="hr-HR" w:eastAsia="hr-HR" w:bidi="hr-HR"/>
        </w:rPr>
        <w:t>državno-teorelskom</w:t>
      </w:r>
      <w:r>
        <w:rPr>
          <w:rFonts w:ascii="Times New Roman" w:eastAsia="Times New Roman" w:hAnsi="Times New Roman" w:cs="Times New Roman"/>
          <w:color w:val="000000"/>
          <w:spacing w:val="0"/>
          <w:w w:val="100"/>
          <w:position w:val="0"/>
          <w:shd w:val="clear" w:color="auto" w:fill="auto"/>
          <w:lang w:val="hr-HR" w:eastAsia="hr-HR" w:bidi="hr-HR"/>
        </w:rPr>
        <w:t xml:space="preserve"> racionalizmu Rousseaua (država nastaje svjesnim dogovaranjem, »druš</w:t>
        <w:softHyphen/>
        <w:t xml:space="preserve">tvenim ugovorom«) i u </w:t>
      </w:r>
      <w:r>
        <w:rPr>
          <w:rFonts w:ascii="Times New Roman" w:eastAsia="Times New Roman" w:hAnsi="Times New Roman" w:cs="Times New Roman"/>
          <w:i/>
          <w:iCs/>
          <w:color w:val="000000"/>
          <w:spacing w:val="0"/>
          <w:w w:val="100"/>
          <w:position w:val="0"/>
          <w:shd w:val="clear" w:color="auto" w:fill="auto"/>
          <w:lang w:val="hr-HR" w:eastAsia="hr-HR" w:bidi="hr-HR"/>
        </w:rPr>
        <w:t>teološkom</w:t>
      </w:r>
      <w:r>
        <w:rPr>
          <w:rFonts w:ascii="Times New Roman" w:eastAsia="Times New Roman" w:hAnsi="Times New Roman" w:cs="Times New Roman"/>
          <w:color w:val="000000"/>
          <w:spacing w:val="0"/>
          <w:w w:val="100"/>
          <w:position w:val="0"/>
          <w:shd w:val="clear" w:color="auto" w:fill="auto"/>
          <w:lang w:val="hr-HR" w:eastAsia="hr-HR" w:bidi="hr-HR"/>
        </w:rPr>
        <w:t xml:space="preserve"> racionaliz</w:t>
        <w:softHyphen/>
        <w:t xml:space="preserve">mu kako se on prije svega shvaća u engleskom </w:t>
      </w:r>
      <w:r>
        <w:rPr>
          <w:rFonts w:ascii="Times New Roman" w:eastAsia="Times New Roman" w:hAnsi="Times New Roman" w:cs="Times New Roman"/>
          <w:i/>
          <w:iCs/>
          <w:color w:val="000000"/>
          <w:spacing w:val="0"/>
          <w:w w:val="100"/>
          <w:position w:val="0"/>
          <w:shd w:val="clear" w:color="auto" w:fill="auto"/>
          <w:lang w:val="hr-HR" w:eastAsia="hr-HR" w:bidi="hr-HR"/>
        </w:rPr>
        <w:t>deizmu:</w:t>
      </w:r>
      <w:r>
        <w:rPr>
          <w:rFonts w:ascii="Times New Roman" w:eastAsia="Times New Roman" w:hAnsi="Times New Roman" w:cs="Times New Roman"/>
          <w:color w:val="000000"/>
          <w:spacing w:val="0"/>
          <w:w w:val="100"/>
          <w:position w:val="0"/>
          <w:shd w:val="clear" w:color="auto" w:fill="auto"/>
          <w:lang w:val="hr-HR" w:eastAsia="hr-HR" w:bidi="hr-HR"/>
        </w:rPr>
        <w:t xml:space="preserve"> Religija može biti samo kao »prirod</w:t>
        <w:softHyphen/>
        <w:t>na religija« bez objave, temeljena na čisto razumskoj spoznaji; strogo antropocentrička Rousseauova teologija stoji tako u najoštrijoj opreci s kršćanstvom; ipak je naročito protes</w:t>
        <w:softHyphen/>
        <w:t>tantska teologija dobila važne impulse od ra</w:t>
        <w:softHyphen/>
        <w:t>cionalizma.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Bezgranično povjerenje, temeljeno između ostaloga na uspjesima cvatućih matematičkih znanosti, u spoznajnu sposobnost ljudskog ra</w:t>
        <w:softHyphen/>
        <w:t>zuma koja se zgusnula u sustav racionalizma, odražava se i u načinu razmišljanja europskog prosvjetiteljstva, »čovjekova izlaska iz njegove nezrelosti koju je sam skrivio« (Kant). Povi</w:t>
        <w:softHyphen/>
        <w:t>jesno razumljivo i možda čak nužno, jer cmancipirajuće prenaglašavanjc moći razuma nije ostalo bez reakcije kao što pokazuju su</w:t>
        <w:softHyphen/>
        <w:t>protni pokreti iracionalizma (npr. pijetizam i romantizam).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(Spoznajno-teoretski) r. pobijali su osobito empiristi </w:t>
      </w:r>
      <w:r>
        <w:rPr>
          <w:rFonts w:ascii="Times New Roman" w:eastAsia="Times New Roman" w:hAnsi="Times New Roman" w:cs="Times New Roman"/>
          <w:color w:val="000000"/>
          <w:spacing w:val="0"/>
          <w:w w:val="100"/>
          <w:position w:val="0"/>
          <w:shd w:val="clear" w:color="auto" w:fill="auto"/>
          <w:lang w:val="en-US" w:eastAsia="en-US" w:bidi="en-US"/>
        </w:rPr>
        <w:t xml:space="preserve">(Locke, </w:t>
      </w:r>
      <w:r>
        <w:rPr>
          <w:rFonts w:ascii="Times New Roman" w:eastAsia="Times New Roman" w:hAnsi="Times New Roman" w:cs="Times New Roman"/>
          <w:color w:val="000000"/>
          <w:spacing w:val="0"/>
          <w:w w:val="100"/>
          <w:position w:val="0"/>
          <w:shd w:val="clear" w:color="auto" w:fill="auto"/>
          <w:lang w:val="hr-HR" w:eastAsia="hr-HR" w:bidi="hr-HR"/>
        </w:rPr>
        <w:t xml:space="preserve">Hume, </w:t>
      </w:r>
      <w:r>
        <w:rPr>
          <w:rFonts w:ascii="Times New Roman" w:eastAsia="Times New Roman" w:hAnsi="Times New Roman" w:cs="Times New Roman"/>
          <w:color w:val="000000"/>
          <w:spacing w:val="0"/>
          <w:w w:val="100"/>
          <w:position w:val="0"/>
          <w:shd w:val="clear" w:color="auto" w:fill="auto"/>
          <w:lang w:val="en-US" w:eastAsia="en-US" w:bidi="en-US"/>
        </w:rPr>
        <w:t xml:space="preserve">Condillac); </w:t>
      </w:r>
      <w:r>
        <w:rPr>
          <w:rFonts w:ascii="Times New Roman" w:eastAsia="Times New Roman" w:hAnsi="Times New Roman" w:cs="Times New Roman"/>
          <w:color w:val="000000"/>
          <w:spacing w:val="0"/>
          <w:w w:val="100"/>
          <w:position w:val="0"/>
          <w:shd w:val="clear" w:color="auto" w:fill="auto"/>
          <w:lang w:val="hr-HR" w:eastAsia="hr-HR" w:bidi="hr-HR"/>
        </w:rPr>
        <w:t>dok eks</w:t>
        <w:softHyphen/>
        <w:t xml:space="preserve">tremni </w:t>
      </w:r>
      <w:r>
        <w:rPr>
          <w:rFonts w:ascii="Times New Roman" w:eastAsia="Times New Roman" w:hAnsi="Times New Roman" w:cs="Times New Roman"/>
          <w:color w:val="000000"/>
          <w:spacing w:val="0"/>
          <w:w w:val="100"/>
          <w:position w:val="0"/>
          <w:shd w:val="clear" w:color="auto" w:fill="auto"/>
          <w:lang w:val="en-US" w:eastAsia="en-US" w:bidi="en-US"/>
        </w:rPr>
        <w:t xml:space="preserve">rationalist </w:t>
      </w:r>
      <w:r>
        <w:rPr>
          <w:rFonts w:ascii="Times New Roman" w:eastAsia="Times New Roman" w:hAnsi="Times New Roman" w:cs="Times New Roman"/>
          <w:color w:val="000000"/>
          <w:spacing w:val="0"/>
          <w:w w:val="100"/>
          <w:position w:val="0"/>
          <w:shd w:val="clear" w:color="auto" w:fill="auto"/>
          <w:lang w:val="hr-HR" w:eastAsia="hr-HR" w:bidi="hr-HR"/>
        </w:rPr>
        <w:t>vjeruje u bezgraničnu moć razuma za koju u načelu nema nerješivih pro</w:t>
        <w:softHyphen/>
        <w:t>blema, dotle ekstremni empirist načelno sum</w:t>
        <w:softHyphen/>
        <w:t>nja da razum može steći bilo kakve netrivi</w:t>
        <w:softHyphen/>
        <w:t xml:space="preserve">jalne izvjesnosti o činjeničnom znanju koje je posredovano promatranjem. Tek je </w:t>
      </w:r>
      <w:r>
        <w:rPr>
          <w:rFonts w:ascii="Times New Roman" w:eastAsia="Times New Roman" w:hAnsi="Times New Roman" w:cs="Times New Roman"/>
          <w:i/>
          <w:iCs/>
          <w:color w:val="000000"/>
          <w:spacing w:val="0"/>
          <w:w w:val="100"/>
          <w:position w:val="0"/>
          <w:shd w:val="clear" w:color="auto" w:fill="auto"/>
          <w:lang w:val="hr-HR" w:eastAsia="hr-HR" w:bidi="hr-HR"/>
        </w:rPr>
        <w:t>Kantov kriticizam</w:t>
      </w:r>
      <w:r>
        <w:rPr>
          <w:rFonts w:ascii="Times New Roman" w:eastAsia="Times New Roman" w:hAnsi="Times New Roman" w:cs="Times New Roman"/>
          <w:color w:val="000000"/>
          <w:spacing w:val="0"/>
          <w:w w:val="100"/>
          <w:position w:val="0"/>
          <w:shd w:val="clear" w:color="auto" w:fill="auto"/>
          <w:lang w:val="hr-HR" w:eastAsia="hr-HR" w:bidi="hr-HR"/>
        </w:rPr>
        <w:t xml:space="preserve"> poništio suprotnost između raciona</w:t>
        <w:softHyphen/>
        <w:t>lizma i empirizma, prevladavajući jednostra</w:t>
        <w:softHyphen/>
        <w:t>nosti i jednoga i drugoga: Pojedinačna spo</w:t>
        <w:softHyphen/>
      </w:r>
      <w:r>
        <w:rPr>
          <w:rFonts w:ascii="Times New Roman" w:eastAsia="Times New Roman" w:hAnsi="Times New Roman" w:cs="Times New Roman"/>
          <w:color w:val="000000"/>
          <w:spacing w:val="0"/>
          <w:w w:val="100"/>
          <w:position w:val="0"/>
          <w:shd w:val="clear" w:color="auto" w:fill="auto"/>
          <w:lang w:val="hr-HR" w:eastAsia="hr-HR" w:bidi="hr-HR"/>
        </w:rPr>
        <w:t>znaja moguća je, doduše po Kantu, samo is</w:t>
        <w:softHyphen/>
        <w:t>kustvom, a uvjet za mogućnost iskustva u što se, npr., ubrajaju prostor i vrijeme kao temelj</w:t>
        <w:softHyphen/>
        <w:t>ni oblici opažanja, mora prije svakog iskustva biti - a priori - dan.</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Unatoč Kantovu relativiziranju, r. je ostao u </w:t>
      </w:r>
      <w:r>
        <w:rPr>
          <w:rFonts w:ascii="Times New Roman" w:eastAsia="Times New Roman" w:hAnsi="Times New Roman" w:cs="Times New Roman"/>
          <w:i/>
          <w:iCs/>
          <w:color w:val="000000"/>
          <w:spacing w:val="0"/>
          <w:w w:val="100"/>
          <w:position w:val="0"/>
          <w:shd w:val="clear" w:color="auto" w:fill="auto"/>
          <w:lang w:val="hr-HR" w:eastAsia="hr-HR" w:bidi="hr-HR"/>
        </w:rPr>
        <w:t>njemačkom idealizmu</w:t>
      </w:r>
      <w:r>
        <w:rPr>
          <w:rFonts w:ascii="Times New Roman" w:eastAsia="Times New Roman" w:hAnsi="Times New Roman" w:cs="Times New Roman"/>
          <w:color w:val="000000"/>
          <w:spacing w:val="0"/>
          <w:w w:val="100"/>
          <w:position w:val="0"/>
          <w:shd w:val="clear" w:color="auto" w:fill="auto"/>
          <w:lang w:val="hr-HR" w:eastAsia="hr-HR" w:bidi="hr-HR"/>
        </w:rPr>
        <w:t xml:space="preserve"> vodeće shvaćanje i kul</w:t>
        <w:softHyphen/>
        <w:t>minirao je u racionalističkom Hegelovu susta</w:t>
        <w:softHyphen/>
        <w:t>vu čija je temeljna pretpostavka ekstremni r. (panlogizam): Sve što je stvarno, razumno je i samo je razumno stvarno; utjecaj racionaliz</w:t>
        <w:softHyphen/>
        <w:t>ma hegelijanskog obilježja bio je velik prije svega u protestantskoj teologiji.</w:t>
      </w:r>
    </w:p>
    <w:p>
      <w:pPr>
        <w:pStyle w:val="Style20"/>
        <w:keepNext w:val="0"/>
        <w:keepLines w:val="0"/>
        <w:widowControl w:val="0"/>
        <w:shd w:val="clear" w:color="auto" w:fill="auto"/>
        <w:bidi w:val="0"/>
        <w:spacing w:before="0" w:after="6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Tzv. </w:t>
      </w:r>
      <w:r>
        <w:rPr>
          <w:rFonts w:ascii="Times New Roman" w:eastAsia="Times New Roman" w:hAnsi="Times New Roman" w:cs="Times New Roman"/>
          <w:i/>
          <w:iCs/>
          <w:color w:val="000000"/>
          <w:spacing w:val="0"/>
          <w:w w:val="100"/>
          <w:position w:val="0"/>
          <w:shd w:val="clear" w:color="auto" w:fill="auto"/>
          <w:lang w:val="hr-HR" w:eastAsia="hr-HR" w:bidi="hr-HR"/>
        </w:rPr>
        <w:t>kritički</w:t>
      </w:r>
      <w:r>
        <w:rPr>
          <w:rFonts w:ascii="Times New Roman" w:eastAsia="Times New Roman" w:hAnsi="Times New Roman" w:cs="Times New Roman"/>
          <w:color w:val="000000"/>
          <w:spacing w:val="0"/>
          <w:w w:val="100"/>
          <w:position w:val="0"/>
          <w:shd w:val="clear" w:color="auto" w:fill="auto"/>
          <w:lang w:val="hr-HR" w:eastAsia="hr-HR" w:bidi="hr-HR"/>
        </w:rPr>
        <w:t xml:space="preserve"> r. (koji je utemeljio K. R. </w:t>
      </w:r>
      <w:r>
        <w:rPr>
          <w:rFonts w:ascii="Times New Roman" w:eastAsia="Times New Roman" w:hAnsi="Times New Roman" w:cs="Times New Roman"/>
          <w:color w:val="000000"/>
          <w:spacing w:val="0"/>
          <w:w w:val="100"/>
          <w:position w:val="0"/>
          <w:shd w:val="clear" w:color="auto" w:fill="auto"/>
          <w:lang w:val="en-US" w:eastAsia="en-US" w:bidi="en-US"/>
        </w:rPr>
        <w:t xml:space="preserve">Popper) </w:t>
      </w:r>
      <w:r>
        <w:rPr>
          <w:rFonts w:ascii="Times New Roman" w:eastAsia="Times New Roman" w:hAnsi="Times New Roman" w:cs="Times New Roman"/>
          <w:color w:val="000000"/>
          <w:spacing w:val="0"/>
          <w:w w:val="100"/>
          <w:position w:val="0"/>
          <w:shd w:val="clear" w:color="auto" w:fill="auto"/>
          <w:lang w:val="hr-HR" w:eastAsia="hr-HR" w:bidi="hr-HR"/>
        </w:rPr>
        <w:t>shvaća se kao naslijeđe klasičnog racionalizma a da, dakako, nije preuzeo njegovu jednostra</w:t>
        <w:softHyphen/>
        <w:t>nost (samo je moguće opovrgavanjc (falsifika- cija) rečenica/teorija, a ne apsolutna nedvojbe- nost (verifikacija)), i usmjerava se prije svega protiv neopozitivizma koji teorije temelji isklju</w:t>
        <w:softHyphen/>
        <w:t>čivo na jeziku promatranja i osim toga priznaje samo analitički, tj. svagdanji govor. Predstav</w:t>
        <w:softHyphen/>
        <w:t>nici kritičkog racionalizma vide u njemu i in</w:t>
        <w:softHyphen/>
        <w:t xml:space="preserve">strument za kritiku opsežnih teorija društva </w:t>
      </w:r>
      <w:r>
        <w:rPr>
          <w:rFonts w:ascii="Times New Roman" w:eastAsia="Times New Roman" w:hAnsi="Times New Roman" w:cs="Times New Roman"/>
          <w:color w:val="000000"/>
          <w:spacing w:val="0"/>
          <w:w w:val="100"/>
          <w:position w:val="0"/>
          <w:shd w:val="clear" w:color="auto" w:fill="auto"/>
          <w:lang w:val="en-US" w:eastAsia="en-US" w:bidi="en-US"/>
        </w:rPr>
        <w:t xml:space="preserve">(Hegel, Marx), </w:t>
      </w:r>
      <w:r>
        <w:rPr>
          <w:rFonts w:ascii="Times New Roman" w:eastAsia="Times New Roman" w:hAnsi="Times New Roman" w:cs="Times New Roman"/>
          <w:color w:val="000000"/>
          <w:spacing w:val="0"/>
          <w:w w:val="100"/>
          <w:position w:val="0"/>
          <w:shd w:val="clear" w:color="auto" w:fill="auto"/>
          <w:lang w:val="hr-HR" w:eastAsia="hr-HR" w:bidi="hr-HR"/>
        </w:rPr>
        <w:t>za kritiku ideologija i za znan- stveno-teoretsku diskusiju o temeljima.</w:t>
      </w:r>
    </w:p>
    <w:p>
      <w:pPr>
        <w:pStyle w:val="Style56"/>
        <w:keepNext w:val="0"/>
        <w:keepLines w:val="0"/>
        <w:widowControl w:val="0"/>
        <w:shd w:val="clear" w:color="auto" w:fill="auto"/>
        <w:tabs>
          <w:tab w:pos="2006" w:val="left"/>
        </w:tabs>
        <w:bidi w:val="0"/>
        <w:spacing w:before="0" w:after="0" w:line="240" w:lineRule="auto"/>
        <w:ind w:left="0" w:right="0" w:firstLine="0"/>
        <w:jc w:val="both"/>
      </w:pPr>
      <w:r>
        <w:rPr>
          <w:color w:val="000000"/>
          <w:spacing w:val="0"/>
          <w:w w:val="100"/>
          <w:position w:val="0"/>
          <w:shd w:val="clear" w:color="auto" w:fill="auto"/>
          <w:lang w:val="hr-HR" w:eastAsia="hr-HR" w:bidi="hr-HR"/>
        </w:rPr>
        <w:t>Lit.: M. Frischciscn-KoblcrAV,</w:t>
        <w:tab/>
      </w:r>
      <w:r>
        <w:rPr>
          <w:i/>
          <w:iCs/>
          <w:color w:val="000000"/>
          <w:spacing w:val="0"/>
          <w:w w:val="100"/>
          <w:position w:val="0"/>
          <w:shd w:val="clear" w:color="auto" w:fill="auto"/>
        </w:rPr>
        <w:t xml:space="preserve">Die Philosophic </w:t>
      </w:r>
      <w:r>
        <w:rPr>
          <w:i/>
          <w:iCs/>
          <w:color w:val="000000"/>
          <w:spacing w:val="0"/>
          <w:w w:val="100"/>
          <w:position w:val="0"/>
          <w:shd w:val="clear" w:color="auto" w:fill="auto"/>
          <w:lang w:val="hr-HR" w:eastAsia="hr-HR" w:bidi="hr-HR"/>
        </w:rPr>
        <w:t>der</w:t>
      </w:r>
    </w:p>
    <w:p>
      <w:pPr>
        <w:pStyle w:val="Style56"/>
        <w:keepNext w:val="0"/>
        <w:keepLines w:val="0"/>
        <w:widowControl w:val="0"/>
        <w:shd w:val="clear" w:color="auto" w:fill="auto"/>
        <w:bidi w:val="0"/>
        <w:spacing w:before="0" w:after="0" w:line="240" w:lineRule="auto"/>
        <w:ind w:left="0" w:right="0" w:firstLine="0"/>
        <w:jc w:val="both"/>
      </w:pPr>
      <w:r>
        <w:rPr>
          <w:i/>
          <w:iCs/>
          <w:color w:val="000000"/>
          <w:spacing w:val="0"/>
          <w:w w:val="100"/>
          <w:position w:val="0"/>
          <w:shd w:val="clear" w:color="auto" w:fill="auto"/>
        </w:rPr>
        <w:t xml:space="preserve">Neuzeit </w:t>
      </w:r>
      <w:r>
        <w:rPr>
          <w:i/>
          <w:iCs/>
          <w:color w:val="000000"/>
          <w:spacing w:val="0"/>
          <w:w w:val="100"/>
          <w:position w:val="0"/>
          <w:shd w:val="clear" w:color="auto" w:fill="auto"/>
          <w:lang w:val="hr-HR" w:eastAsia="hr-HR" w:bidi="hr-HR"/>
        </w:rPr>
        <w:t xml:space="preserve">bis </w:t>
      </w:r>
      <w:r>
        <w:rPr>
          <w:i/>
          <w:iCs/>
          <w:color w:val="000000"/>
          <w:spacing w:val="0"/>
          <w:w w:val="100"/>
          <w:position w:val="0"/>
          <w:shd w:val="clear" w:color="auto" w:fill="auto"/>
        </w:rPr>
        <w:t xml:space="preserve">zum </w:t>
      </w:r>
      <w:r>
        <w:rPr>
          <w:i/>
          <w:iCs/>
          <w:color w:val="000000"/>
          <w:spacing w:val="0"/>
          <w:w w:val="100"/>
          <w:position w:val="0"/>
          <w:shd w:val="clear" w:color="auto" w:fill="auto"/>
          <w:lang w:val="hr-HR" w:eastAsia="hr-HR" w:bidi="hr-HR"/>
        </w:rPr>
        <w:t xml:space="preserve">Ende </w:t>
      </w:r>
      <w:r>
        <w:rPr>
          <w:i/>
          <w:iCs/>
          <w:color w:val="000000"/>
          <w:spacing w:val="0"/>
          <w:w w:val="100"/>
          <w:position w:val="0"/>
          <w:shd w:val="clear" w:color="auto" w:fill="auto"/>
        </w:rPr>
        <w:t xml:space="preserve">des </w:t>
      </w:r>
      <w:r>
        <w:rPr>
          <w:i/>
          <w:iCs/>
          <w:color w:val="000000"/>
          <w:spacing w:val="0"/>
          <w:w w:val="100"/>
          <w:position w:val="0"/>
          <w:shd w:val="clear" w:color="auto" w:fill="auto"/>
          <w:lang w:val="hr-HR" w:eastAsia="hr-HR" w:bidi="hr-HR"/>
        </w:rPr>
        <w:t>XVIII. Jahrhunderts,</w:t>
      </w:r>
      <w:r>
        <w:rPr>
          <w:color w:val="000000"/>
          <w:spacing w:val="0"/>
          <w:w w:val="100"/>
          <w:position w:val="0"/>
          <w:shd w:val="clear" w:color="auto" w:fill="auto"/>
          <w:lang w:val="hr-HR" w:eastAsia="hr-HR" w:bidi="hr-HR"/>
        </w:rPr>
        <w:t xml:space="preserve"> Berlin </w:t>
      </w:r>
      <w:r>
        <w:rPr>
          <w:color w:val="000000"/>
          <w:spacing w:val="0"/>
          <w:w w:val="100"/>
          <w:position w:val="0"/>
          <w:shd w:val="clear" w:color="auto" w:fill="auto"/>
          <w:vertAlign w:val="superscript"/>
          <w:lang w:val="hr-HR" w:eastAsia="hr-HR" w:bidi="hr-HR"/>
        </w:rPr>
        <w:t>12</w:t>
      </w:r>
      <w:r>
        <w:rPr>
          <w:color w:val="000000"/>
          <w:spacing w:val="0"/>
          <w:w w:val="100"/>
          <w:position w:val="0"/>
          <w:shd w:val="clear" w:color="auto" w:fill="auto"/>
          <w:lang w:val="hr-HR" w:eastAsia="hr-HR" w:bidi="hr-HR"/>
        </w:rPr>
        <w:t xml:space="preserve">1924 (Ucbcrvvcg TciJ </w:t>
      </w:r>
      <w:r>
        <w:rPr>
          <w:color w:val="000000"/>
          <w:spacing w:val="0"/>
          <w:w w:val="100"/>
          <w:position w:val="0"/>
          <w:shd w:val="clear" w:color="auto" w:fill="auto"/>
        </w:rPr>
        <w:t xml:space="preserve">111); </w:t>
      </w:r>
      <w:r>
        <w:rPr>
          <w:color w:val="000000"/>
          <w:spacing w:val="0"/>
          <w:w w:val="100"/>
          <w:position w:val="0"/>
          <w:shd w:val="clear" w:color="auto" w:fill="auto"/>
          <w:lang w:val="hr-HR" w:eastAsia="hr-HR" w:bidi="hr-HR"/>
        </w:rPr>
        <w:t xml:space="preserve">K. Girgcnsohn, </w:t>
      </w:r>
      <w:r>
        <w:rPr>
          <w:i/>
          <w:iCs/>
          <w:color w:val="000000"/>
          <w:spacing w:val="0"/>
          <w:w w:val="100"/>
          <w:position w:val="0"/>
          <w:shd w:val="clear" w:color="auto" w:fill="auto"/>
          <w:lang w:val="hr-HR" w:eastAsia="hr-HR" w:bidi="hr-HR"/>
        </w:rPr>
        <w:t xml:space="preserve">Der Rationalismus des </w:t>
      </w:r>
      <w:r>
        <w:rPr>
          <w:i/>
          <w:iCs/>
          <w:color w:val="000000"/>
          <w:spacing w:val="0"/>
          <w:w w:val="100"/>
          <w:position w:val="0"/>
          <w:shd w:val="clear" w:color="auto" w:fill="auto"/>
        </w:rPr>
        <w:t>Abendlandes,</w:t>
      </w:r>
      <w:r>
        <w:rPr>
          <w:color w:val="000000"/>
          <w:spacing w:val="0"/>
          <w:w w:val="100"/>
          <w:position w:val="0"/>
          <w:shd w:val="clear" w:color="auto" w:fill="auto"/>
        </w:rPr>
        <w:t xml:space="preserve"> Leipzig </w:t>
      </w:r>
      <w:r>
        <w:rPr>
          <w:color w:val="000000"/>
          <w:spacing w:val="0"/>
          <w:w w:val="100"/>
          <w:position w:val="0"/>
          <w:shd w:val="clear" w:color="auto" w:fill="auto"/>
          <w:lang w:val="hr-HR" w:eastAsia="hr-HR" w:bidi="hr-HR"/>
        </w:rPr>
        <w:t xml:space="preserve">1926; P, </w:t>
      </w:r>
      <w:r>
        <w:rPr>
          <w:color w:val="000000"/>
          <w:spacing w:val="0"/>
          <w:w w:val="100"/>
          <w:position w:val="0"/>
          <w:shd w:val="clear" w:color="auto" w:fill="auto"/>
        </w:rPr>
        <w:t xml:space="preserve">Kondyhs.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Aufldarung im Rahmen des neuzeitlichen Rationalismus,</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1981; R, </w:t>
      </w:r>
      <w:r>
        <w:rPr>
          <w:color w:val="000000"/>
          <w:spacing w:val="0"/>
          <w:w w:val="100"/>
          <w:position w:val="0"/>
          <w:shd w:val="clear" w:color="auto" w:fill="auto"/>
        </w:rPr>
        <w:t xml:space="preserve">Specht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 xml:space="preserve">Rationalismus (Geschiehte der Philosophie </w:t>
      </w:r>
      <w:r>
        <w:rPr>
          <w:i/>
          <w:iCs/>
          <w:color w:val="000000"/>
          <w:spacing w:val="0"/>
          <w:w w:val="100"/>
          <w:position w:val="0"/>
          <w:shd w:val="clear" w:color="auto" w:fill="auto"/>
        </w:rPr>
        <w:t xml:space="preserve">in Text </w:t>
      </w:r>
      <w:r>
        <w:rPr>
          <w:i/>
          <w:iCs/>
          <w:color w:val="000000"/>
          <w:spacing w:val="0"/>
          <w:w w:val="100"/>
          <w:position w:val="0"/>
          <w:shd w:val="clear" w:color="auto" w:fill="auto"/>
          <w:lang w:val="hr-HR" w:eastAsia="hr-HR" w:bidi="hr-HR"/>
        </w:rPr>
        <w:t>und Darstellung,</w:t>
      </w:r>
      <w:r>
        <w:rPr>
          <w:color w:val="000000"/>
          <w:spacing w:val="0"/>
          <w:w w:val="100"/>
          <w:position w:val="0"/>
          <w:shd w:val="clear" w:color="auto" w:fill="auto"/>
          <w:lang w:val="hr-HR" w:eastAsia="hr-HR" w:bidi="hr-HR"/>
        </w:rPr>
        <w:t xml:space="preserve"> Đd. </w:t>
      </w:r>
      <w:r>
        <w:rPr>
          <w:color w:val="000000"/>
          <w:spacing w:val="0"/>
          <w:w w:val="100"/>
          <w:position w:val="0"/>
          <w:shd w:val="clear" w:color="auto" w:fill="auto"/>
        </w:rPr>
        <w:t xml:space="preserve">5), Stuttgart 1979; K. F. Staud- Iin, </w:t>
      </w:r>
      <w:r>
        <w:rPr>
          <w:i/>
          <w:iCs/>
          <w:color w:val="000000"/>
          <w:spacing w:val="0"/>
          <w:w w:val="100"/>
          <w:position w:val="0"/>
          <w:shd w:val="clear" w:color="auto" w:fill="auto"/>
        </w:rPr>
        <w:t>(jeschichte des Rationalismus und Supernaturalismus vornehmlich in Bezug auf das Christentum,</w:t>
      </w:r>
      <w:r>
        <w:rPr>
          <w:color w:val="000000"/>
          <w:spacing w:val="0"/>
          <w:w w:val="100"/>
          <w:position w:val="0"/>
          <w:shd w:val="clear" w:color="auto" w:fill="auto"/>
        </w:rPr>
        <w:t xml:space="preserve"> Gottingen 1826.</w:t>
      </w:r>
    </w:p>
    <w:p>
      <w:pPr>
        <w:pStyle w:val="Style74"/>
        <w:keepNext w:val="0"/>
        <w:keepLines w:val="0"/>
        <w:widowControl w:val="0"/>
        <w:shd w:val="clear" w:color="auto" w:fill="auto"/>
        <w:bidi w:val="0"/>
        <w:spacing w:before="0" w:after="14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R G1.IJ</w:t>
      </w:r>
    </w:p>
    <w:p>
      <w:pPr>
        <w:pStyle w:val="Style63"/>
        <w:keepNext/>
        <w:keepLines/>
        <w:widowControl w:val="0"/>
        <w:numPr>
          <w:ilvl w:val="0"/>
          <w:numId w:val="463"/>
        </w:numPr>
        <w:shd w:val="clear" w:color="auto" w:fill="auto"/>
        <w:tabs>
          <w:tab w:pos="260" w:val="left"/>
        </w:tabs>
        <w:bidi w:val="0"/>
        <w:spacing w:before="0" w:after="100" w:line="226" w:lineRule="auto"/>
        <w:ind w:left="0" w:right="0" w:firstLine="0"/>
        <w:jc w:val="both"/>
      </w:pPr>
      <w:bookmarkStart w:id="298" w:name="bookmark298"/>
      <w:r>
        <w:rPr>
          <w:rFonts w:ascii="Times New Roman" w:eastAsia="Times New Roman" w:hAnsi="Times New Roman" w:cs="Times New Roman"/>
          <w:color w:val="000000"/>
          <w:spacing w:val="0"/>
          <w:w w:val="100"/>
          <w:position w:val="0"/>
          <w:shd w:val="clear" w:color="auto" w:fill="auto"/>
          <w:lang w:val="hr-HR" w:eastAsia="hr-HR" w:bidi="hr-HR"/>
        </w:rPr>
        <w:t>islamski</w:t>
      </w:r>
      <w:bookmarkEnd w:id="298"/>
    </w:p>
    <w:p>
      <w:pPr>
        <w:pStyle w:val="Style20"/>
        <w:keepNext w:val="0"/>
        <w:keepLines w:val="0"/>
        <w:widowControl w:val="0"/>
        <w:shd w:val="clear" w:color="auto" w:fill="auto"/>
        <w:bidi w:val="0"/>
        <w:spacing w:before="0" w:after="0"/>
        <w:ind w:left="0" w:right="0" w:firstLine="0"/>
        <w:jc w:val="both"/>
        <w:sectPr>
          <w:headerReference w:type="default" r:id="rId1217"/>
          <w:footerReference w:type="default" r:id="rId1218"/>
          <w:headerReference w:type="even" r:id="rId1219"/>
          <w:footerReference w:type="even" r:id="rId1220"/>
          <w:footnotePr>
            <w:pos w:val="pageBottom"/>
            <w:numFmt w:val="decimal"/>
            <w:numRestart w:val="continuous"/>
            <w15:footnoteColumns w:val="1"/>
          </w:footnotePr>
          <w:pgSz w:w="6816" w:h="11006"/>
          <w:pgMar w:top="828" w:left="185" w:right="190" w:bottom="339" w:header="0" w:footer="3" w:gutter="0"/>
          <w:pgNumType w:start="400"/>
          <w:cols w:num="2" w:space="17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Često se citira izreka: »Vjera je um«, izreka koja se svodi na Muhameda. Ista se ta misao varira u jednoj drugoj izreci: »Čovjekova je vjera potpuna tek kada je potpuno razvijen razum«. Kuran se opetovano poziva na zdravi razum, što ga čini »neuobičajenom svetom Knjigom«. Svakako da u Kuranu ima i sadrža</w:t>
        <w:softHyphen/>
        <w:t>ja koji se ne mogu objasniti racionalno - no prije svega u smislu suvremene prirodne zna</w:t>
        <w:softHyphen/>
        <w:t>nosti. Neovisno o tome on potiče vjernike da promatraju prirodu i proučavaju znamenje koje je Bog ostavio u njoj (3,191-2). Suvre</w:t>
        <w:softHyphen/>
        <w:t>mena egzegeza Kurana zahtijeva da svaki tu- mačitelj Kurana postavi sebi zdravu sliku svi</w:t>
        <w:softHyphen/>
        <w:t xml:space="preserve">jeta prije nego pristupi tumačenju tekstova; 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suprotnom je slučaju svaka egzegeza pogreš</w:t>
        <w:softHyphen/>
        <w:t>na. Od prve polovice XIII. stoljeća pa sve do kraja X. stoljeća islamska je teologija bila pod snažnim utjecajem racionalističkc struje. Teo</w:t>
        <w:softHyphen/>
        <w:t xml:space="preserve">lozi koji su bili uključeni u tu struju i koji se zovu </w:t>
      </w:r>
      <w:r>
        <w:rPr>
          <w:rFonts w:ascii="Times New Roman" w:eastAsia="Times New Roman" w:hAnsi="Times New Roman" w:cs="Times New Roman"/>
          <w:i/>
          <w:iCs/>
          <w:color w:val="000000"/>
          <w:spacing w:val="0"/>
          <w:w w:val="100"/>
          <w:position w:val="0"/>
          <w:shd w:val="clear" w:color="auto" w:fill="auto"/>
          <w:lang w:val="hr-HR" w:eastAsia="hr-HR" w:bidi="hr-HR"/>
        </w:rPr>
        <w:t>muteziliti</w:t>
      </w:r>
      <w:r>
        <w:rPr>
          <w:rFonts w:ascii="Times New Roman" w:eastAsia="Times New Roman" w:hAnsi="Times New Roman" w:cs="Times New Roman"/>
          <w:color w:val="000000"/>
          <w:spacing w:val="0"/>
          <w:w w:val="100"/>
          <w:position w:val="0"/>
          <w:shd w:val="clear" w:color="auto" w:fill="auto"/>
          <w:lang w:val="hr-HR" w:eastAsia="hr-HR" w:bidi="hr-HR"/>
        </w:rPr>
        <w:t xml:space="preserve"> običavali su ponosno ukazivati na to da su se »oslobodili majoriteta koji je pao na razinu nerazumnosti i krivovjerja, ka</w:t>
        <w:softHyphen/>
        <w:t>ko i prodrli do umne spoznaje božanske bit</w:t>
        <w:softHyphen/>
        <w:t xml:space="preserve">nosti« (natuknica: Mu’tazillten,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Lexikon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arabischen </w:t>
      </w:r>
      <w:r>
        <w:rPr>
          <w:rFonts w:ascii="Times New Roman" w:eastAsia="Times New Roman" w:hAnsi="Times New Roman" w:cs="Times New Roman"/>
          <w:i/>
          <w:iCs/>
          <w:color w:val="000000"/>
          <w:spacing w:val="0"/>
          <w:w w:val="100"/>
          <w:position w:val="0"/>
          <w:shd w:val="clear" w:color="auto" w:fill="auto"/>
          <w:lang w:val="en-US" w:eastAsia="en-US" w:bidi="en-US"/>
        </w:rPr>
        <w:t>Welt,</w:t>
      </w:r>
      <w:r>
        <w:rPr>
          <w:rFonts w:ascii="Times New Roman" w:eastAsia="Times New Roman" w:hAnsi="Times New Roman" w:cs="Times New Roman"/>
          <w:color w:val="000000"/>
          <w:spacing w:val="0"/>
          <w:w w:val="100"/>
          <w:position w:val="0"/>
          <w:shd w:val="clear" w:color="auto" w:fill="auto"/>
          <w:lang w:val="en-US" w:eastAsia="en-US" w:bidi="en-US"/>
        </w:rPr>
        <w:t xml:space="preserve"> Zurich </w:t>
      </w:r>
      <w:r>
        <w:rPr>
          <w:rFonts w:ascii="Times New Roman" w:eastAsia="Times New Roman" w:hAnsi="Times New Roman" w:cs="Times New Roman"/>
          <w:color w:val="000000"/>
          <w:spacing w:val="0"/>
          <w:w w:val="100"/>
          <w:position w:val="0"/>
          <w:shd w:val="clear" w:color="auto" w:fill="auto"/>
          <w:lang w:val="hr-HR" w:eastAsia="hr-HR" w:bidi="hr-HR"/>
        </w:rPr>
        <w:t>1972, 793). Muteziliti su npr. smatrali daje Kuran Božja tvorevina u vremenu i prostoru; tako nije smatrao jedan drugi smjer mišljenja koji u Kuranu vidi nc- stvorenu riječ Božju. To se shvaćanje u među</w:t>
        <w:softHyphen/>
        <w:t>vremenu uzdiglo do službene doktrine.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Mutczilitsko je shvaćanje Božje pravednosti išlo dotle da su tvrdili kako je Bog pokazao čovjeku pravi put i kako ga je time učinio od</w:t>
        <w:softHyphen/>
        <w:t>govornim za vlastito djelovanje, no kako mu je ostavio otvorenom mogućnost da svoju sud</w:t>
        <w:softHyphen/>
        <w:t>binu oblikuje prema vlastitim predodžbama. Smatrali su da to ne proturječi prethodnom božanskom planu i čini nevažećim svaki pri</w:t>
        <w:softHyphen/>
        <w:t>govor da bi Bog recimo nametnutom sudbi</w:t>
        <w:softHyphen/>
        <w:t>nom povrijedio princip pravednosti. Racio- nalistički način mišljenja vlada i mutezilitskim viđenjem etike. Za društvo kao i za pojedinca vrijede iste maksime. Svaki zahtjev pretpo</w:t>
        <w:softHyphen/>
        <w:t>stavlja neku prethodnu umnu prosudbu. Ali dosljedni r. u vjeri također izaziva protuslovlje zato što ostavlja vrlo mali prostor djelovanju božanske milosti.</w:t>
      </w:r>
    </w:p>
    <w:p>
      <w:pPr>
        <w:pStyle w:val="Style56"/>
        <w:keepNext w:val="0"/>
        <w:keepLines w:val="0"/>
        <w:widowControl w:val="0"/>
        <w:shd w:val="clear" w:color="auto" w:fill="auto"/>
        <w:tabs>
          <w:tab w:pos="2573" w:val="left"/>
        </w:tabs>
        <w:bidi w:val="0"/>
        <w:spacing w:before="0" w:after="360" w:line="240" w:lineRule="auto"/>
        <w:ind w:left="0" w:right="0" w:firstLine="0"/>
        <w:jc w:val="both"/>
      </w:pPr>
      <w:r>
        <w:rPr>
          <w:color w:val="000000"/>
          <w:spacing w:val="0"/>
          <w:w w:val="100"/>
          <w:position w:val="0"/>
          <w:shd w:val="clear" w:color="auto" w:fill="auto"/>
          <w:lang w:val="hr-HR" w:eastAsia="hr-HR" w:bidi="hr-HR"/>
        </w:rPr>
        <w:t xml:space="preserve">Lit.: natuknica: Mu’tažilitcn, u: </w:t>
      </w:r>
      <w:r>
        <w:rPr>
          <w:i/>
          <w:iCs/>
          <w:color w:val="000000"/>
          <w:spacing w:val="0"/>
          <w:w w:val="100"/>
          <w:position w:val="0"/>
          <w:shd w:val="clear" w:color="auto" w:fill="auto"/>
        </w:rPr>
        <w:t xml:space="preserve">Lexikon </w:t>
      </w:r>
      <w:r>
        <w:rPr>
          <w:i/>
          <w:iCs/>
          <w:color w:val="000000"/>
          <w:spacing w:val="0"/>
          <w:w w:val="100"/>
          <w:position w:val="0"/>
          <w:shd w:val="clear" w:color="auto" w:fill="auto"/>
          <w:lang w:val="hr-HR" w:eastAsia="hr-HR" w:bidi="hr-HR"/>
        </w:rPr>
        <w:t>der arabischen</w:t>
      </w:r>
      <w:r>
        <w:rPr>
          <w:color w:val="000000"/>
          <w:spacing w:val="0"/>
          <w:w w:val="100"/>
          <w:position w:val="0"/>
          <w:shd w:val="clear" w:color="auto" w:fill="auto"/>
          <w:lang w:val="hr-HR" w:eastAsia="hr-HR" w:bidi="hr-HR"/>
        </w:rPr>
        <w:t xml:space="preserve"> H'rft, </w:t>
      </w:r>
      <w:r>
        <w:rPr>
          <w:color w:val="000000"/>
          <w:spacing w:val="0"/>
          <w:w w:val="100"/>
          <w:position w:val="0"/>
          <w:shd w:val="clear" w:color="auto" w:fill="auto"/>
        </w:rPr>
        <w:t xml:space="preserve">Zurich </w:t>
      </w:r>
      <w:r>
        <w:rPr>
          <w:color w:val="000000"/>
          <w:spacing w:val="0"/>
          <w:w w:val="100"/>
          <w:position w:val="0"/>
          <w:shd w:val="clear" w:color="auto" w:fill="auto"/>
          <w:lang w:val="hr-HR" w:eastAsia="hr-HR" w:bidi="hr-HR"/>
        </w:rPr>
        <w:t>1972, 792-794.</w:t>
        <w:tab/>
        <w:t>S. BAI.IĆ</w:t>
      </w:r>
    </w:p>
    <w:p>
      <w:pPr>
        <w:pStyle w:val="Style63"/>
        <w:keepNext/>
        <w:keepLines/>
        <w:widowControl w:val="0"/>
        <w:shd w:val="clear" w:color="auto" w:fill="auto"/>
        <w:bidi w:val="0"/>
        <w:spacing w:before="0" w:after="0" w:line="223" w:lineRule="auto"/>
        <w:ind w:left="0" w:right="0" w:firstLine="0"/>
        <w:jc w:val="both"/>
      </w:pPr>
      <w:bookmarkStart w:id="299" w:name="bookmark299"/>
      <w:r>
        <w:rPr>
          <w:rFonts w:ascii="Times New Roman" w:eastAsia="Times New Roman" w:hAnsi="Times New Roman" w:cs="Times New Roman"/>
          <w:color w:val="000000"/>
          <w:spacing w:val="0"/>
          <w:w w:val="100"/>
          <w:position w:val="0"/>
          <w:shd w:val="clear" w:color="auto" w:fill="auto"/>
          <w:lang w:val="hr-HR" w:eastAsia="hr-HR" w:bidi="hr-HR"/>
        </w:rPr>
        <w:t>RAČUNANJE VREMENA -&gt;</w:t>
      </w:r>
      <w:bookmarkEnd w:id="299"/>
    </w:p>
    <w:p>
      <w:pPr>
        <w:pStyle w:val="Style91"/>
        <w:keepNext/>
        <w:keepLines/>
        <w:widowControl w:val="0"/>
        <w:shd w:val="clear" w:color="auto" w:fill="auto"/>
        <w:bidi w:val="0"/>
        <w:spacing w:before="0" w:after="260" w:line="211" w:lineRule="auto"/>
        <w:ind w:left="0" w:right="0" w:firstLine="0"/>
        <w:jc w:val="both"/>
        <w:rPr>
          <w:sz w:val="18"/>
          <w:szCs w:val="18"/>
        </w:rPr>
      </w:pPr>
      <w:bookmarkStart w:id="300" w:name="bookmark300"/>
      <w:r>
        <w:rPr>
          <w:rFonts w:ascii="Times New Roman" w:eastAsia="Times New Roman" w:hAnsi="Times New Roman" w:cs="Times New Roman"/>
          <w:color w:val="000000"/>
          <w:spacing w:val="0"/>
          <w:w w:val="100"/>
          <w:position w:val="0"/>
          <w:sz w:val="18"/>
          <w:szCs w:val="18"/>
          <w:shd w:val="clear" w:color="auto" w:fill="auto"/>
          <w:lang w:val="hr-HR" w:eastAsia="hr-HR" w:bidi="hr-HR"/>
        </w:rPr>
        <w:t>KALENDAR</w:t>
      </w:r>
      <w:bookmarkEnd w:id="300"/>
    </w:p>
    <w:p>
      <w:pPr>
        <w:pStyle w:val="Style33"/>
        <w:keepNext w:val="0"/>
        <w:keepLines w:val="0"/>
        <w:widowControl w:val="0"/>
        <w:shd w:val="clear" w:color="auto" w:fill="auto"/>
        <w:bidi w:val="0"/>
        <w:spacing w:before="0" w:after="16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RAD</w:t>
      </w:r>
    </w:p>
    <w:p>
      <w:pPr>
        <w:pStyle w:val="Style56"/>
        <w:keepNext w:val="0"/>
        <w:keepLines w:val="0"/>
        <w:widowControl w:val="0"/>
        <w:numPr>
          <w:ilvl w:val="0"/>
          <w:numId w:val="467"/>
        </w:numPr>
        <w:shd w:val="clear" w:color="auto" w:fill="auto"/>
        <w:tabs>
          <w:tab w:pos="246" w:val="left"/>
        </w:tabs>
        <w:bidi w:val="0"/>
        <w:spacing w:before="0" w:after="80" w:line="240" w:lineRule="auto"/>
        <w:ind w:left="0" w:right="0" w:firstLine="0"/>
        <w:jc w:val="both"/>
      </w:pPr>
      <w:r>
        <w:rPr>
          <w:b/>
          <w:bCs/>
          <w:color w:val="000000"/>
          <w:spacing w:val="0"/>
          <w:w w:val="100"/>
          <w:position w:val="0"/>
          <w:shd w:val="clear" w:color="auto" w:fill="auto"/>
          <w:lang w:val="hr-HR" w:eastAsia="hr-HR" w:bidi="hr-HR"/>
        </w:rPr>
        <w:t>židovstvo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 je u židovskom pravu proizvodnja ili pro</w:t>
        <w:softHyphen/>
        <w:t>mjena neke stvari. U njemu se dokazuje čo</w:t>
        <w:softHyphen/>
        <w:t xml:space="preserve">vjek kao vjerna slika Boga koji stvara i čuva. Biblija i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naglašavaju dostojanstvo i socijalnu važnost rada. Oni sadrže opširno za</w:t>
        <w:softHyphen/>
        <w:t>konodavstvo o zaštiti radnika. Fizički r. ne smatra sc kaznom za grijeh već osmišljen ži</w:t>
        <w:softHyphen/>
        <w:t xml:space="preserve">vot. Bog je prikazan kako sadi vrt u raju (Post </w:t>
      </w:r>
      <w:r>
        <w:rPr>
          <w:rFonts w:ascii="Times New Roman" w:eastAsia="Times New Roman" w:hAnsi="Times New Roman" w:cs="Times New Roman"/>
          <w:color w:val="000000"/>
          <w:spacing w:val="0"/>
          <w:w w:val="100"/>
          <w:position w:val="0"/>
          <w:shd w:val="clear" w:color="auto" w:fill="auto"/>
          <w:lang w:val="hr-HR" w:eastAsia="hr-HR" w:bidi="hr-HR"/>
        </w:rPr>
        <w:t>2,8), a bezgrešni ga čovjek obrađuje i čuva (Post 15); mesijansko doba obilježeno je rad</w:t>
        <w:softHyphen/>
        <w:t>nim alatom i mirnim uživanjem plodova rada (Mi 4,3-4). U jednoj redakciji Deset zapovi</w:t>
        <w:softHyphen/>
        <w:t>jedi naglašava se dan počinka i time se opo</w:t>
        <w:softHyphen/>
        <w:t>naša Bog (Izl 20,11), a u drugoj redakciji soci</w:t>
        <w:softHyphen/>
        <w:t>jalni aspekt s istim pravima gospodara i slugu kao spomen na oslobođenje Izraela od rop</w:t>
        <w:softHyphen/>
        <w:t>stva (Pnz 5,12-16). Za razliku od drugih zako</w:t>
        <w:softHyphen/>
        <w:t>na u starom vijeku, i žene - gospodarice i sluš</w:t>
        <w:softHyphen/>
        <w:t>kinje - imale su pravo na počinak. Samostalan i mnogostran ženski r. opisan je u Izr 31,11 i d. I domaće životinje imaju pravo na počinak. Dok rade jedu na polju (Pnz 25,4), pomaže im se kad nose težak teret (Izl 23,5; Pnz 22,4), daje im se hrana prije negoli čovjek jede (pre</w:t>
        <w:softHyphen/>
        <w:t>ma Pnz 11,15), jer »pravednik poznaje dušu svoga živinčeta« (Izl 12,10).</w:t>
      </w:r>
    </w:p>
    <w:p>
      <w:pPr>
        <w:pStyle w:val="Style20"/>
        <w:keepNext w:val="0"/>
        <w:keepLines w:val="0"/>
        <w:widowControl w:val="0"/>
        <w:shd w:val="clear" w:color="auto" w:fill="auto"/>
        <w:bidi w:val="0"/>
        <w:spacing w:before="0" w:after="0"/>
        <w:ind w:left="0" w:right="0" w:firstLine="0"/>
        <w:jc w:val="both"/>
        <w:sectPr>
          <w:headerReference w:type="default" r:id="rId1221"/>
          <w:footerReference w:type="default" r:id="rId1222"/>
          <w:headerReference w:type="even" r:id="rId1223"/>
          <w:footerReference w:type="even" r:id="rId1224"/>
          <w:footnotePr>
            <w:pos w:val="pageBottom"/>
            <w:numFmt w:val="decimal"/>
            <w:numRestart w:val="continuous"/>
            <w15:footnoteColumns w:val="1"/>
          </w:footnotePr>
          <w:pgSz w:w="6816" w:h="11006"/>
          <w:pgMar w:top="828" w:left="185" w:right="190" w:bottom="339" w:header="0" w:footer="3" w:gutter="0"/>
          <w:pgNumType w:start="407"/>
          <w:cols w:num="2" w:space="177"/>
          <w:noEndnote/>
          <w:rtlGutter w:val="0"/>
          <w:docGrid w:linePitch="360"/>
        </w:sectPr>
      </w:pPr>
      <w:r>
        <mc:AlternateContent>
          <mc:Choice Requires="wps">
            <w:drawing>
              <wp:anchor distT="0" distB="254000" distL="114300" distR="114300" simplePos="0" relativeHeight="125829421" behindDoc="0" locked="0" layoutInCell="1" allowOverlap="1">
                <wp:simplePos x="0" y="0"/>
                <wp:positionH relativeFrom="page">
                  <wp:posOffset>4008120</wp:posOffset>
                </wp:positionH>
                <wp:positionV relativeFrom="margin">
                  <wp:posOffset>6099175</wp:posOffset>
                </wp:positionV>
                <wp:extent cx="182880" cy="149225"/>
                <wp:wrapTopAndBottom/>
                <wp:docPr id="2630" name="Shape 2630"/>
                <a:graphic xmlns:a="http://schemas.openxmlformats.org/drawingml/2006/main">
                  <a:graphicData uri="http://schemas.microsoft.com/office/word/2010/wordprocessingShape">
                    <wps:wsp>
                      <wps:cNvSpPr txBox="1"/>
                      <wps:spPr>
                        <a:xfrm>
                          <a:ext cx="182880" cy="149225"/>
                        </a:xfrm>
                        <a:prstGeom prst="rect"/>
                        <a:noFill/>
                      </wps:spPr>
                      <wps:txbx>
                        <w:txbxContent>
                          <w:p>
                            <w:pPr>
                              <w:pStyle w:val="Style91"/>
                              <w:keepNext/>
                              <w:keepLines/>
                              <w:widowControl w:val="0"/>
                              <w:shd w:val="clear" w:color="auto" w:fill="auto"/>
                              <w:bidi w:val="0"/>
                              <w:spacing w:before="0" w:after="0" w:line="240" w:lineRule="auto"/>
                              <w:ind w:left="0" w:right="0" w:firstLine="0"/>
                              <w:jc w:val="left"/>
                            </w:pPr>
                            <w:bookmarkStart w:id="279" w:name="bookmark279"/>
                            <w:r>
                              <w:rPr>
                                <w:rFonts w:ascii="Times New Roman" w:eastAsia="Times New Roman" w:hAnsi="Times New Roman" w:cs="Times New Roman"/>
                                <w:color w:val="000000"/>
                                <w:spacing w:val="0"/>
                                <w:w w:val="100"/>
                                <w:position w:val="0"/>
                                <w:shd w:val="clear" w:color="auto" w:fill="auto"/>
                                <w:lang w:val="en-US" w:eastAsia="en-US" w:bidi="en-US"/>
                              </w:rPr>
                              <w:t>am</w:t>
                            </w:r>
                            <w:bookmarkEnd w:id="279"/>
                          </w:p>
                        </w:txbxContent>
                      </wps:txbx>
                      <wps:bodyPr wrap="none" lIns="0" tIns="0" rIns="0" bIns="0">
                        <a:noAutoFit/>
                      </wps:bodyPr>
                    </wps:wsp>
                  </a:graphicData>
                </a:graphic>
              </wp:anchor>
            </w:drawing>
          </mc:Choice>
          <mc:Fallback>
            <w:pict>
              <v:shape id="_x0000_s3656" type="#_x0000_t202" style="position:absolute;margin-left:315.60000000000002pt;margin-top:480.25pt;width:14.4pt;height:11.75pt;z-index:-125829332;mso-wrap-distance-left:9.pt;mso-wrap-distance-right:9.pt;mso-wrap-distance-bottom:20.pt;mso-position-horizontal-relative:page;mso-position-vertical-relative:margin" filled="f" stroked="f">
                <v:textbox inset="0,0,0,0">
                  <w:txbxContent>
                    <w:p>
                      <w:pPr>
                        <w:pStyle w:val="Style91"/>
                        <w:keepNext/>
                        <w:keepLines/>
                        <w:widowControl w:val="0"/>
                        <w:shd w:val="clear" w:color="auto" w:fill="auto"/>
                        <w:bidi w:val="0"/>
                        <w:spacing w:before="0" w:after="0" w:line="240" w:lineRule="auto"/>
                        <w:ind w:left="0" w:right="0" w:firstLine="0"/>
                        <w:jc w:val="left"/>
                      </w:pPr>
                      <w:bookmarkStart w:id="279" w:name="bookmark279"/>
                      <w:r>
                        <w:rPr>
                          <w:rFonts w:ascii="Times New Roman" w:eastAsia="Times New Roman" w:hAnsi="Times New Roman" w:cs="Times New Roman"/>
                          <w:color w:val="000000"/>
                          <w:spacing w:val="0"/>
                          <w:w w:val="100"/>
                          <w:position w:val="0"/>
                          <w:shd w:val="clear" w:color="auto" w:fill="auto"/>
                          <w:lang w:val="en-US" w:eastAsia="en-US" w:bidi="en-US"/>
                        </w:rPr>
                        <w:t>am</w:t>
                      </w:r>
                      <w:bookmarkEnd w:id="279"/>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prvenstveno naglašava etičku vrijed</w:t>
        <w:softHyphen/>
        <w:t>nost rada. Mnogi su učitelji bili seljaci, kovači, stolari itd. Roditeljskom dužnošću smatrali su naukovanje za svoje sinove, pa su ga i zahtije</w:t>
        <w:softHyphen/>
        <w:t>vali, zato što ljenčarenje kvari karakter (b Ki- dušin 29a). Osim fizičkoga rada duhovni su r. na Božjem nauku postavili kao životnu za</w:t>
        <w:softHyphen/>
        <w:t>daću. - U srednjem vijeku taj židovski oblik života bio je uništen u mnogim zemljama, jer je zemljoposjed i obrt Židovima bio ograničen ili im ih je država zabranjivala. U Istočnoj Eu</w:t>
        <w:softHyphen/>
        <w:t>ropi to se događalo rjeđe. Želja za ispunje</w:t>
        <w:softHyphen/>
        <w:t>njem religijske dužnosti da obrade i izgrade Svetu zemlju odvela je oko 1900. Židove iz Is</w:t>
        <w:softHyphen/>
        <w:t>točne Europe i islamskih zemalja u Palestinu. Slično su vjerovale i djelovale neke skupine kršćana te behaisti, sljedbenici religije nastale iz perzijskog islama. Milijuni židovskoga pro</w:t>
        <w:softHyphen/>
        <w:t xml:space="preserve">letarijata emigrirali su iz Rusije u Ameriku te podigli tamošnje gospodarstvo svojim radom. </w:t>
      </w:r>
      <w:r>
        <w:rPr>
          <w:rFonts w:ascii="Times New Roman" w:eastAsia="Times New Roman" w:hAnsi="Times New Roman" w:cs="Times New Roman"/>
          <w:i/>
          <w:iCs/>
          <w:color w:val="000000"/>
          <w:spacing w:val="0"/>
          <w:w w:val="100"/>
          <w:position w:val="0"/>
          <w:shd w:val="clear" w:color="auto" w:fill="auto"/>
          <w:lang w:val="hr-HR" w:eastAsia="hr-HR" w:bidi="hr-HR"/>
        </w:rPr>
        <w:t>Zakoni o radu</w:t>
      </w:r>
      <w:r>
        <w:rPr>
          <w:rFonts w:ascii="Times New Roman" w:eastAsia="Times New Roman" w:hAnsi="Times New Roman" w:cs="Times New Roman"/>
          <w:color w:val="000000"/>
          <w:spacing w:val="0"/>
          <w:w w:val="100"/>
          <w:position w:val="0"/>
          <w:shd w:val="clear" w:color="auto" w:fill="auto"/>
          <w:lang w:val="hr-HR" w:eastAsia="hr-HR" w:bidi="hr-HR"/>
        </w:rPr>
        <w:t xml:space="preserve"> čine opsežno poglavlje židov</w:t>
        <w:softHyphen/>
        <w:t>skoga prava. Oni su sastavni dio kodeksa Maj- monida. Kara i drugih i temelje se na Bibliji i Talmudu. Njihovo je načelo jednakost ljudi usprkos staleškim razlikama. »Tko kupi ži</w:t>
        <w:softHyphen/>
        <w:t xml:space="preserve">dovskoga slugu, kupio je gospodara« (b Ki- dušin 12a). Poganski, »kanaanski«, rob imao je također pravo na dostojanstven postupak. Ostane li oštećenje ili ožiljak nakon tjelesne ozljede, imao je pravo na oslobođenje prema zakonu »oko za oko, zub za zub, opeklina za opeklinu, ožiljak za ožiljak« (Izl 21.24-27; »za« je naknada za nešto). Strani radnici koji su tražili azil dobivali su stambeno pravo (Pnz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23,16-17). S ratnim zarobljcnicama nije se smjelo postupati kao s radnicama nego kao sa suprugama (Pnz 21,10 i d.). Ako zaduženi očevi prodaju kćeri za r. kao ropkinje, one se s nastupom punoljetnosti udaju ili ih se oslo</w:t>
        <w:softHyphen/>
        <w:t>bađa (Izl 21,7 i d ). Otmica radi ucjene ili trgovine robljem kažnjavala se smrću (Izl 21, 16; Pnz 24,7). Krađa se ispravljala radom na određeno vrijeme, jer židovsko pravo nije po</w:t>
        <w:softHyphen/>
        <w:t>znavalo ni zatvorsku kaznu ni sakaćenje. Sve do državne zabrane prelaska na židovstvo u srednjem vijeku primali su se ncžidovski rad</w:t>
        <w:softHyphen/>
        <w:t>nici i nakon oslobađanja bili su ravnopravni članovi zajednice.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radnoga dana odbijali su se put na posao, vrijeme jela i molitve (b Bava mecia 83a). Po</w:t>
        <w:softHyphen/>
        <w:t>slodavac se morao brinuti za zdravstvenu pre</w:t>
        <w:softHyphen/>
        <w:t>ventivu. Nadničarima se moralo platiti nave</w:t>
        <w:softHyphen/>
        <w:t xml:space="preserve">čer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19,13). Radnici su radili u najmu naj</w:t>
        <w:softHyphen/>
        <w:t>više 3-6 godina (Iz 16,14; Pnz 15,18) ili su sklapali ugovor za određenu svotu. Ako su prije roka ispunili ugovor, imali su pravo na plaću za nezaposlene (b Bava mecia 76a i d.). Ako je postojala zamjena, radnik je mogao u svako doba odustati od ugovora. Brižljiv r. smatrali su obvezom. Moderna načela obra</w:t>
        <w:softHyphen/>
        <w:t>đuju se u današnjem židovskom pravu.</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Mislilac </w:t>
      </w:r>
      <w:r>
        <w:rPr>
          <w:rFonts w:ascii="Times New Roman" w:eastAsia="Times New Roman" w:hAnsi="Times New Roman" w:cs="Times New Roman"/>
          <w:color w:val="000000"/>
          <w:spacing w:val="0"/>
          <w:w w:val="100"/>
          <w:position w:val="0"/>
          <w:shd w:val="clear" w:color="auto" w:fill="auto"/>
          <w:lang w:val="en-US" w:eastAsia="en-US" w:bidi="en-US"/>
        </w:rPr>
        <w:t xml:space="preserve">A. </w:t>
      </w:r>
      <w:r>
        <w:rPr>
          <w:rFonts w:ascii="Times New Roman" w:eastAsia="Times New Roman" w:hAnsi="Times New Roman" w:cs="Times New Roman"/>
          <w:color w:val="000000"/>
          <w:spacing w:val="0"/>
          <w:w w:val="100"/>
          <w:position w:val="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en-US" w:eastAsia="en-US" w:bidi="en-US"/>
        </w:rPr>
        <w:t xml:space="preserve">Gordon </w:t>
      </w:r>
      <w:r>
        <w:rPr>
          <w:rFonts w:ascii="Times New Roman" w:eastAsia="Times New Roman" w:hAnsi="Times New Roman" w:cs="Times New Roman"/>
          <w:color w:val="000000"/>
          <w:spacing w:val="0"/>
          <w:w w:val="100"/>
          <w:position w:val="0"/>
          <w:shd w:val="clear" w:color="auto" w:fill="auto"/>
          <w:lang w:val="hr-HR" w:eastAsia="hr-HR" w:bidi="hr-HR"/>
        </w:rPr>
        <w:t>propovijedao je »reli</w:t>
        <w:softHyphen/>
        <w:t>giju rada« radi osnivanja židovskoga društva koje se razboljclo zbog ugnjetavanja i preko</w:t>
        <w:softHyphen/>
        <w:t>mjerna oduhovljenja. Poput njegova prijatelja M. Bubera vjerovao je u oslobađajućc etičko djelo pojedinca. To gledište dijele religijski i sekularni cionisti, posebice u radničkom po</w:t>
        <w:softHyphen/>
        <w:t>kretu.</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D. Farbstcin. </w:t>
      </w:r>
      <w:r>
        <w:rPr>
          <w:i/>
          <w:iCs/>
          <w:color w:val="000000"/>
          <w:spacing w:val="0"/>
          <w:w w:val="100"/>
          <w:position w:val="0"/>
          <w:shd w:val="clear" w:color="auto" w:fill="auto"/>
          <w:lang w:val="hr-HR" w:eastAsia="hr-HR" w:bidi="hr-HR"/>
        </w:rPr>
        <w:t>Das Rechi der frcitn und der unfreien Ar- beiter nach judtsch-talmudischen Rechi,</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Zurich </w:t>
      </w:r>
      <w:r>
        <w:rPr>
          <w:color w:val="000000"/>
          <w:spacing w:val="0"/>
          <w:w w:val="100"/>
          <w:position w:val="0"/>
          <w:shd w:val="clear" w:color="auto" w:fill="auto"/>
          <w:lang w:val="hr-HR" w:eastAsia="hr-HR" w:bidi="hr-HR"/>
        </w:rPr>
        <w:t xml:space="preserve">1896; Ka- </w:t>
      </w:r>
      <w:r>
        <w:rPr>
          <w:color w:val="000000"/>
          <w:spacing w:val="0"/>
          <w:w w:val="100"/>
          <w:position w:val="0"/>
          <w:shd w:val="clear" w:color="auto" w:fill="auto"/>
        </w:rPr>
        <w:t xml:space="preserve">lischcr, Die Wcrlsclulzung </w:t>
      </w:r>
      <w:r>
        <w:rPr>
          <w:color w:val="000000"/>
          <w:spacing w:val="0"/>
          <w:w w:val="100"/>
          <w:position w:val="0"/>
          <w:shd w:val="clear" w:color="auto" w:fill="auto"/>
          <w:lang w:val="hr-HR" w:eastAsia="hr-HR" w:bidi="hr-HR"/>
        </w:rPr>
        <w:t xml:space="preserve">dcr Arbcicer </w:t>
      </w:r>
      <w:r>
        <w:rPr>
          <w:color w:val="000000"/>
          <w:spacing w:val="0"/>
          <w:w w:val="100"/>
          <w:position w:val="0"/>
          <w:shd w:val="clear" w:color="auto" w:fill="auto"/>
        </w:rPr>
        <w:t xml:space="preserve">in </w:t>
      </w:r>
      <w:r>
        <w:rPr>
          <w:color w:val="000000"/>
          <w:spacing w:val="0"/>
          <w:w w:val="100"/>
          <w:position w:val="0"/>
          <w:shd w:val="clear" w:color="auto" w:fill="auto"/>
          <w:lang w:val="hr-HR" w:eastAsia="hr-HR" w:bidi="hr-HR"/>
        </w:rPr>
        <w:t xml:space="preserve">und </w:t>
      </w:r>
      <w:r>
        <w:rPr>
          <w:color w:val="000000"/>
          <w:spacing w:val="0"/>
          <w:w w:val="100"/>
          <w:position w:val="0"/>
          <w:shd w:val="clear" w:color="auto" w:fill="auto"/>
        </w:rPr>
        <w:t>Tal</w:t>
        <w:softHyphen/>
        <w:t xml:space="preserve">mud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lang w:val="hr-HR" w:eastAsia="hr-HR" w:bidi="hr-HR"/>
        </w:rPr>
        <w:t>H.-Cohen-Festschrift)),</w:t>
      </w:r>
      <w:r>
        <w:rPr>
          <w:color w:val="000000"/>
          <w:spacing w:val="0"/>
          <w:w w:val="100"/>
          <w:position w:val="0"/>
          <w:shd w:val="clear" w:color="auto" w:fill="auto"/>
          <w:lang w:val="hr-HR" w:eastAsia="hr-HR" w:bidi="hr-HR"/>
        </w:rPr>
        <w:t xml:space="preserve"> Berlin 1912; S. Rubin,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Sklaverei. Ein Bfilrag zur Lehrc von den Meruchenrechten im Judentum,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Wien </w:t>
      </w:r>
      <w:r>
        <w:rPr>
          <w:color w:val="000000"/>
          <w:spacing w:val="0"/>
          <w:w w:val="100"/>
          <w:position w:val="0"/>
          <w:shd w:val="clear" w:color="auto" w:fill="auto"/>
          <w:lang w:val="hr-HR" w:eastAsia="hr-HR" w:bidi="hr-HR"/>
        </w:rPr>
        <w:t xml:space="preserve">1920; A. D. </w:t>
      </w:r>
      <w:r>
        <w:rPr>
          <w:color w:val="000000"/>
          <w:spacing w:val="0"/>
          <w:w w:val="100"/>
          <w:position w:val="0"/>
          <w:shd w:val="clear" w:color="auto" w:fill="auto"/>
        </w:rPr>
        <w:t xml:space="preserve">Gordon. </w:t>
      </w:r>
      <w:r>
        <w:rPr>
          <w:i/>
          <w:iCs/>
          <w:color w:val="000000"/>
          <w:spacing w:val="0"/>
          <w:w w:val="100"/>
          <w:position w:val="0"/>
          <w:shd w:val="clear" w:color="auto" w:fill="auto"/>
          <w:lang w:val="hr-HR" w:eastAsia="hr-HR" w:bidi="hr-HR"/>
        </w:rPr>
        <w:t xml:space="preserve">Briefe aus Palastina, </w:t>
      </w:r>
      <w:r>
        <w:rPr>
          <w:color w:val="000000"/>
          <w:spacing w:val="0"/>
          <w:w w:val="100"/>
          <w:position w:val="0"/>
          <w:shd w:val="clear" w:color="auto" w:fill="auto"/>
          <w:lang w:val="hr-HR" w:eastAsia="hr-HR" w:bidi="hr-HR"/>
        </w:rPr>
        <w:t xml:space="preserve">Berlin 1919; isti, </w:t>
      </w:r>
      <w:r>
        <w:rPr>
          <w:i/>
          <w:iCs/>
          <w:color w:val="000000"/>
          <w:spacing w:val="0"/>
          <w:w w:val="100"/>
          <w:position w:val="0"/>
          <w:shd w:val="clear" w:color="auto" w:fill="auto"/>
          <w:lang w:val="hr-HR" w:eastAsia="hr-HR" w:bidi="hr-HR"/>
        </w:rPr>
        <w:t xml:space="preserve">Erioiung </w:t>
      </w:r>
      <w:r>
        <w:rPr>
          <w:i/>
          <w:iCs/>
          <w:color w:val="000000"/>
          <w:spacing w:val="0"/>
          <w:w w:val="100"/>
          <w:position w:val="0"/>
          <w:shd w:val="clear" w:color="auto" w:fill="auto"/>
        </w:rPr>
        <w:t>durch Arbeit,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Berlin 1929.</w:t>
      </w:r>
    </w:p>
    <w:p>
      <w:pPr>
        <w:pStyle w:val="Style56"/>
        <w:keepNext w:val="0"/>
        <w:keepLines w:val="0"/>
        <w:widowControl w:val="0"/>
        <w:shd w:val="clear" w:color="auto" w:fill="auto"/>
        <w:bidi w:val="0"/>
        <w:spacing w:before="0" w:after="180" w:line="240" w:lineRule="auto"/>
        <w:ind w:left="0" w:right="0" w:firstLine="0"/>
        <w:jc w:val="right"/>
      </w:pPr>
      <w:r>
        <w:rPr>
          <w:color w:val="000000"/>
          <w:spacing w:val="0"/>
          <w:w w:val="100"/>
          <w:position w:val="0"/>
          <w:shd w:val="clear" w:color="auto" w:fill="auto"/>
          <w:lang w:val="hr-HR" w:eastAsia="hr-HR" w:bidi="hr-HR"/>
        </w:rPr>
        <w:t>P.NAVF. 1.1-</w:t>
      </w:r>
      <w:r>
        <w:rPr>
          <w:color w:val="000000"/>
          <w:spacing w:val="0"/>
          <w:w w:val="100"/>
          <w:position w:val="0"/>
          <w:shd w:val="clear" w:color="auto" w:fill="auto"/>
        </w:rPr>
        <w:t>VINSON</w:t>
      </w:r>
    </w:p>
    <w:p>
      <w:pPr>
        <w:pStyle w:val="Style63"/>
        <w:keepNext/>
        <w:keepLines/>
        <w:widowControl w:val="0"/>
        <w:numPr>
          <w:ilvl w:val="0"/>
          <w:numId w:val="467"/>
        </w:numPr>
        <w:shd w:val="clear" w:color="auto" w:fill="auto"/>
        <w:tabs>
          <w:tab w:pos="255" w:val="left"/>
        </w:tabs>
        <w:bidi w:val="0"/>
        <w:spacing w:before="0"/>
        <w:ind w:left="0" w:right="0" w:firstLine="0"/>
        <w:jc w:val="both"/>
      </w:pPr>
      <w:bookmarkStart w:id="301" w:name="bookmark30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0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Pojmovno značenje riječi r. ovisno je o mno</w:t>
        <w:softHyphen/>
        <w:t>gim promjenljivim čimbenicima - filozofsko- -teološke, ekonomske, socijalne i sociološke naravi - tako da ga s teološkoga gledišta nije baš lako općenito odrediti. Dakako, izjave iz biblijske tradicije ne mogu se lako prenijeti na svijet rada u XX. stoljeću. S druge strane, u knjigama Svetoga pisma nalaze se izjave s te</w:t>
        <w:softHyphen/>
      </w:r>
      <w:r>
        <w:rPr>
          <w:rFonts w:ascii="Times New Roman" w:eastAsia="Times New Roman" w:hAnsi="Times New Roman" w:cs="Times New Roman"/>
          <w:color w:val="000000"/>
          <w:spacing w:val="0"/>
          <w:w w:val="100"/>
          <w:position w:val="0"/>
          <w:shd w:val="clear" w:color="auto" w:fill="auto"/>
          <w:lang w:val="hr-HR" w:eastAsia="hr-HR" w:bidi="hr-HR"/>
        </w:rPr>
        <w:t>matskog područja rada koje su do danas za</w:t>
        <w:softHyphen/>
        <w:t>držale svoju izražajnu snagu ili se u svojim implikacijama tek danas mogu ispravno razum</w:t>
        <w:softHyphen/>
        <w:t>jeti. Za teološko razumijevanje rada od temelj</w:t>
        <w:softHyphen/>
        <w:t>nog je značenja biblijsko Izvješće o stvaranju, po kojem je čovjek pozvan od Boga Stvoritelja da svijet »podloži sebi« (Post 1,28) i da stvo</w:t>
        <w:softHyphen/>
        <w:t>reno »obrađuje i čuva« (Post 2,15). Odnos čovjeka prema stvorenom svijetu treba biti određen tinte što sam čovjek nije samo stvor i tako dio stvorenog svijeta, nego svoju poseb</w:t>
        <w:softHyphen/>
        <w:t>nost nalazi i u tome što mu je Bog povjerio stvoreni svijet da ga mijenja, oblikuje i čuva. Sličnost čovjeka s njegovim Stvoriteljem ogle</w:t>
        <w:softHyphen/>
        <w:t>da se u tom sudjelovanju na poslu stvaranja svijeta i u velikim mogućnostima koje se tu otvaraju za čovjeka. Taj temeljno pozitivan čovjekov odnos prema stvorenom svijetu kao prema nečemu s čime se suočava i što treba oblikovati, nije ostao nepomućen. Ta porc- mećenost ne dolazi s područja stvorenoga svi</w:t>
        <w:softHyphen/>
        <w:t>jeta, materije, nego zbog činjenice da je čo</w:t>
        <w:softHyphen/>
        <w:t>vjek sam zatajio pred svojim Stvoriteljem. Po</w:t>
        <w:softHyphen/>
        <w:t>kušaj da se uzdigne iznad Stvoritelja završava gubitkom čovjekove vlasti nad stvorenim svi</w:t>
        <w:softHyphen/>
        <w:t>jetom u harmoniji. Iz udjela u Božjem nalogu da se svijet stvara radom, nastaje prokletstvo rada u kojem čovjek »u znoju lica svoga kruh svoj jede« (Post 3,18 i 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Izgled kasnijeg otkupljenja ublažava to pro</w:t>
        <w:softHyphen/>
        <w:t>kletstvo (Post 3,15), ali ostaje dvoznačnost ra</w:t>
        <w:softHyphen/>
        <w:t>da kao sudjelovanja u Božjem stvaranju svi</w:t>
        <w:softHyphen/>
        <w:t>jeta i kao prokletstva zbog grijeha.</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povijesti se vrednovanje rada veoma mije</w:t>
        <w:softHyphen/>
        <w:t>njalo. Antika snižava vrijednost rada naspram čovjekovih viših duhovnih djelatnosti. U mo- naškim redovima nalazimo pokušaj da se r. in</w:t>
        <w:softHyphen/>
        <w:t>tegrira u duhovni život. U srednjem vijeku na r. se gleda kao na mogućnost da se stvore nužna životna dobra, kao na lijek protiv ljen</w:t>
        <w:softHyphen/>
        <w:t>čarenja i kao na stvaranje mogućnosti za da</w:t>
        <w:softHyphen/>
        <w:t>vanje milostinje. Novo vrednovanje rada koje se nametnulo kao posljedica novoga doba, ka</w:t>
        <w:softHyphen/>
        <w:t>ko ga je sa sobom nosila industrijalizacija, kršćanske su crkve promatrale više sumnjiča</w:t>
        <w:softHyphen/>
        <w:t>vo, nego da ga pozitivno suoblikuju. Desakra- lizacija svih životnih područja smatrala se naj</w:t>
        <w:softHyphen/>
        <w:t>prije kao napad na Boga i Božje stvorenje. Tek se u kasnijem promišljanju gledalo na de- sakralizaciju »svjetovnog svijeta« kao na čin oslobađanja i kao na dosljedno provođenje zapovijedi stvaranja, a s time i kao na vjero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dostojno nastavljanje židovsko-kršćanske misli (Gogarten, </w:t>
      </w:r>
      <w:r>
        <w:rPr>
          <w:rFonts w:ascii="Times New Roman" w:eastAsia="Times New Roman" w:hAnsi="Times New Roman" w:cs="Times New Roman"/>
          <w:color w:val="000000"/>
          <w:spacing w:val="0"/>
          <w:w w:val="100"/>
          <w:position w:val="0"/>
          <w:shd w:val="clear" w:color="auto" w:fill="auto"/>
          <w:lang w:val="en-US" w:eastAsia="en-US" w:bidi="en-US"/>
        </w:rPr>
        <w:t xml:space="preserve">Bonhoeffer, Metz </w:t>
      </w:r>
      <w:r>
        <w:rPr>
          <w:rFonts w:ascii="Times New Roman" w:eastAsia="Times New Roman" w:hAnsi="Times New Roman" w:cs="Times New Roman"/>
          <w:color w:val="000000"/>
          <w:spacing w:val="0"/>
          <w:w w:val="100"/>
          <w:position w:val="0"/>
          <w:shd w:val="clear" w:color="auto" w:fill="auto"/>
          <w:lang w:val="hr-HR" w:eastAsia="hr-HR" w:bidi="hr-HR"/>
        </w:rPr>
        <w:t>i dr.). To stav</w:t>
        <w:softHyphen/>
        <w:t>ljanje svijeta na raspolaganje čovjeku, na koje se pozitivno gleda, i zajedno s time pozitivno vrednovanje čovjekova rada ustuknulo je pred daleko kritičnijim gledištem koje je proizašlo iz rasprave o krizi okoliša, o granicama rasta, o novom životnom stilu i ostalim ekološkim temama. Svijet rada i prije svega radnika iz</w:t>
        <w:softHyphen/>
        <w:t>makao je crkvama. Pokušaji posebnoga rad</w:t>
        <w:softHyphen/>
        <w:t>ničkog pastorala (svcćenici-radnici, industrij</w:t>
        <w:softHyphen/>
        <w:t>ski apostolat itd.) nisu doveli do pravog sus</w:t>
        <w:softHyphen/>
        <w:t>reta Crkve i svijeta rada.</w:t>
      </w:r>
    </w:p>
    <w:p>
      <w:pPr>
        <w:pStyle w:val="Style56"/>
        <w:keepNext w:val="0"/>
        <w:keepLines w:val="0"/>
        <w:widowControl w:val="0"/>
        <w:shd w:val="clear" w:color="auto" w:fill="auto"/>
        <w:tabs>
          <w:tab w:pos="2458" w:val="left"/>
        </w:tabs>
        <w:bidi w:val="0"/>
        <w:spacing w:before="0" w:after="3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W. Bicticrt, </w:t>
      </w:r>
      <w:r>
        <w:rPr>
          <w:i/>
          <w:iCs/>
          <w:color w:val="000000"/>
          <w:spacing w:val="0"/>
          <w:w w:val="100"/>
          <w:position w:val="0"/>
          <w:shd w:val="clear" w:color="auto" w:fill="auto"/>
        </w:rPr>
        <w:t xml:space="preserve">Die Arbeit </w:t>
      </w:r>
      <w:r>
        <w:rPr>
          <w:i/>
          <w:iCs/>
          <w:color w:val="000000"/>
          <w:spacing w:val="0"/>
          <w:w w:val="100"/>
          <w:position w:val="0"/>
          <w:shd w:val="clear" w:color="auto" w:fill="auto"/>
          <w:lang w:val="hr-HR" w:eastAsia="hr-HR" w:bidi="hr-HR"/>
        </w:rPr>
        <w:t>nach der Lehre der Bibel,</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Stutt</w:t>
        <w:softHyphen/>
        <w:t xml:space="preserve">gart </w:t>
      </w:r>
      <w:r>
        <w:rPr>
          <w:color w:val="000000"/>
          <w:spacing w:val="0"/>
          <w:w w:val="100"/>
          <w:position w:val="0"/>
          <w:shd w:val="clear" w:color="auto" w:fill="auto"/>
          <w:lang w:val="hr-HR" w:eastAsia="hr-HR" w:bidi="hr-HR"/>
        </w:rPr>
        <w:t xml:space="preserve">1956; K. </w:t>
      </w:r>
      <w:r>
        <w:rPr>
          <w:color w:val="000000"/>
          <w:spacing w:val="0"/>
          <w:w w:val="100"/>
          <w:position w:val="0"/>
          <w:shd w:val="clear" w:color="auto" w:fill="auto"/>
        </w:rPr>
        <w:t xml:space="preserve">Barth. </w:t>
      </w:r>
      <w:r>
        <w:rPr>
          <w:i/>
          <w:iCs/>
          <w:color w:val="000000"/>
          <w:spacing w:val="0"/>
          <w:w w:val="100"/>
          <w:position w:val="0"/>
          <w:shd w:val="clear" w:color="auto" w:fill="auto"/>
        </w:rPr>
        <w:t xml:space="preserve">Die kirchliche </w:t>
      </w:r>
      <w:r>
        <w:rPr>
          <w:i/>
          <w:iCs/>
          <w:color w:val="000000"/>
          <w:spacing w:val="0"/>
          <w:w w:val="100"/>
          <w:position w:val="0"/>
          <w:shd w:val="clear" w:color="auto" w:fill="auto"/>
          <w:lang w:val="hr-HR" w:eastAsia="hr-HR" w:bidi="hr-HR"/>
        </w:rPr>
        <w:t>Dogmatik</w:t>
      </w:r>
      <w:r>
        <w:rPr>
          <w:color w:val="000000"/>
          <w:spacing w:val="0"/>
          <w:w w:val="100"/>
          <w:position w:val="0"/>
          <w:shd w:val="clear" w:color="auto" w:fill="auto"/>
          <w:lang w:val="hr-HR" w:eastAsia="hr-HR" w:bidi="hr-HR"/>
        </w:rPr>
        <w:t xml:space="preserve"> 111/4, Zollikon 1957, 538-648; M. D. Chcnu, Arbcit, u: HThG, 99-111, Miinchcn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197O ; J, David, </w:t>
      </w:r>
      <w:r>
        <w:rPr>
          <w:color w:val="000000"/>
          <w:spacing w:val="0"/>
          <w:w w:val="100"/>
          <w:position w:val="0"/>
          <w:shd w:val="clear" w:color="auto" w:fill="auto"/>
        </w:rPr>
        <w:t xml:space="preserve">Die </w:t>
      </w:r>
      <w:r>
        <w:rPr>
          <w:color w:val="000000"/>
          <w:spacing w:val="0"/>
          <w:w w:val="100"/>
          <w:position w:val="0"/>
          <w:shd w:val="clear" w:color="auto" w:fill="auto"/>
          <w:lang w:val="hr-HR" w:eastAsia="hr-HR" w:bidi="hr-HR"/>
        </w:rPr>
        <w:t xml:space="preserve">schopfcrischc </w:t>
      </w:r>
      <w:r>
        <w:rPr>
          <w:color w:val="000000"/>
          <w:spacing w:val="0"/>
          <w:w w:val="100"/>
          <w:position w:val="0"/>
          <w:shd w:val="clear" w:color="auto" w:fill="auto"/>
        </w:rPr>
        <w:t xml:space="preserve">Kraft </w:t>
      </w:r>
      <w:r>
        <w:rPr>
          <w:color w:val="000000"/>
          <w:spacing w:val="0"/>
          <w:w w:val="100"/>
          <w:position w:val="0"/>
          <w:shd w:val="clear" w:color="auto" w:fill="auto"/>
          <w:lang w:val="hr-HR" w:eastAsia="hr-HR" w:bidi="hr-HR"/>
        </w:rPr>
        <w:t xml:space="preserve">des Mcnschcn - Thcologic dcr Arbcit und dcrTcchnik, u: </w:t>
      </w:r>
      <w:r>
        <w:rPr>
          <w:i/>
          <w:iCs/>
          <w:color w:val="000000"/>
          <w:spacing w:val="0"/>
          <w:w w:val="100"/>
          <w:position w:val="0"/>
          <w:shd w:val="clear" w:color="auto" w:fill="auto"/>
          <w:lang w:val="hr-HR" w:eastAsia="hr-HR" w:bidi="hr-HR"/>
        </w:rPr>
        <w:t>My. Sa!</w:t>
      </w:r>
      <w:r>
        <w:rPr>
          <w:color w:val="000000"/>
          <w:spacing w:val="0"/>
          <w:w w:val="100"/>
          <w:position w:val="0"/>
          <w:shd w:val="clear" w:color="auto" w:fill="auto"/>
          <w:lang w:val="hr-HR" w:eastAsia="hr-HR" w:bidi="hr-HR"/>
        </w:rPr>
        <w:t xml:space="preserve"> H, Einsicdcln 1967, 787-804.</w:t>
        <w:tab/>
        <w:t xml:space="preserve">G </w:t>
      </w:r>
      <w:r>
        <w:rPr>
          <w:color w:val="000000"/>
          <w:spacing w:val="0"/>
          <w:w w:val="100"/>
          <w:position w:val="0"/>
          <w:shd w:val="clear" w:color="auto" w:fill="auto"/>
        </w:rPr>
        <w:t>EVERS</w:t>
      </w:r>
    </w:p>
    <w:p>
      <w:pPr>
        <w:pStyle w:val="Style56"/>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hd w:val="clear" w:color="auto" w:fill="auto"/>
          <w:lang w:val="hr-HR" w:eastAsia="hr-HR" w:bidi="hr-HR"/>
        </w:rPr>
        <w:t>3. islamski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je po Kuranu Božji namjesnik na zem</w:t>
        <w:softHyphen/>
        <w:t>lji (2,30). Iz toga slijedi njegova odgovornost za suoblikovanje svijeta. Prilikom potvrđiva</w:t>
        <w:softHyphen/>
        <w:t>nja svoje predanosti Bogu vjernik treba razviti sve svoje stvaralačke snage. Presudna životna pitanja mogu se riješiti čovjekovim postignu</w:t>
        <w:softHyphen/>
        <w:t>ćem, no ipak uz Božje vodstvo. Čovjekova do</w:t>
        <w:softHyphen/>
        <w:t>bit ne prekoračuje iznos njegova uloga (13,39). »Duši pripada ono što je stekla; a pripada joj i kazna za ono što krivo uradi« (2,286). »Doživ</w:t>
        <w:softHyphen/>
        <w:t>ljavam časove božanskoga stvaralaštva« - ta</w:t>
        <w:softHyphen/>
        <w:t>ko je Muhamed opisao svoju vlastitu radnu uzmožnost.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»Kada je molitva gotova, raziđite se po zemlji i radite! Koristite Božja dobročinstva i mislite često na Njega, da imate uspjeha!« (61,11). »Radite; tako će Bog i njegov poslanik vidjeti vaše djelo«. Iz navedenih kuranskih stihova jasno proizlazi da musliman ne smije čekati da mu sc nešto pokloni; on mora raditi kako bi mogao računati sa željenim uspjehom. R. služi za zadovoljavanje osobnih potreba, ali jednim dijelom i za skidanje one krivnje koju ima prema roditeljima. Oni se s bezgraničnom strpljivošću i požrtvovanošću trebaju brinuti za mladi naraštaj. Oslonjen na samoga sebe on mora tvamo priskakati u pomoć svojim ostarjelim roditeljima ako oni nisu zbrinuti i opskrbljeni. Muškarac u prvom redu radi za samoga sebe i za svoju obitelj, no jedan dio plodova rada daje i zajednici: susjedima, srod</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nicima, braći po vjeri i svim ljudima koji su u nevolji. S. Hodžić, </w:t>
      </w:r>
      <w:r>
        <w:rPr>
          <w:rFonts w:ascii="Times New Roman" w:eastAsia="Times New Roman" w:hAnsi="Times New Roman" w:cs="Times New Roman"/>
          <w:i/>
          <w:iCs/>
          <w:color w:val="000000"/>
          <w:spacing w:val="0"/>
          <w:w w:val="100"/>
          <w:position w:val="0"/>
          <w:shd w:val="clear" w:color="auto" w:fill="auto"/>
          <w:lang w:val="hr-HR" w:eastAsia="hr-HR" w:bidi="hr-HR"/>
        </w:rPr>
        <w:t>Ahlak (Islamski nauk o moralu),</w:t>
      </w:r>
      <w:r>
        <w:rPr>
          <w:rFonts w:ascii="Times New Roman" w:eastAsia="Times New Roman" w:hAnsi="Times New Roman" w:cs="Times New Roman"/>
          <w:color w:val="000000"/>
          <w:spacing w:val="0"/>
          <w:w w:val="100"/>
          <w:position w:val="0"/>
          <w:shd w:val="clear" w:color="auto" w:fill="auto"/>
          <w:lang w:val="hr-HR" w:eastAsia="hr-HR" w:bidi="hr-HR"/>
        </w:rPr>
        <w:t xml:space="preserve"> Sarajevo 1940, 48.</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Hvale je vrijedan svaki častan i od religije do</w:t>
        <w:softHyphen/>
        <w:t>pušteni r. Osim općenito poznatih nemoralnih djela, još je posebno nedopustivo pravljenje alkohola i narkotika, makar to bilo i u me</w:t>
        <w:softHyphen/>
        <w:t xml:space="preserve">dicinske ili industrijske svrhe. Društveno sc pozitivni r. promatra kao bogoslužje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(‘ibada, </w:t>
      </w:r>
      <w:r>
        <w:rPr>
          <w:rFonts w:ascii="Times New Roman" w:eastAsia="Times New Roman" w:hAnsi="Times New Roman" w:cs="Times New Roman"/>
          <w:i/>
          <w:iCs/>
          <w:color w:val="000000"/>
          <w:spacing w:val="0"/>
          <w:w w:val="100"/>
          <w:position w:val="0"/>
          <w:shd w:val="clear" w:color="auto" w:fill="auto"/>
          <w:lang w:val="en-US" w:eastAsia="en-US" w:bidi="en-US"/>
        </w:rPr>
        <w:t>ghayra).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Kada je u Muhamedovo vrijeme prije početka jutarnje molitve u velikoj džamiji u Medini viđen neki mladić koji je žurnim kora</w:t>
        <w:softHyphen/>
        <w:t>kom hitao na svoje radno mjesto, ne brinući se za molitvu koja je počinjala, netko je pri</w:t>
        <w:softHyphen/>
        <w:t>mijetio: »Kakav marljiv mladić! Još ako bi po</w:t>
        <w:softHyphen/>
        <w:t>kazao toliko mara u obavljanju svojih obvez</w:t>
        <w:softHyphen/>
        <w:t>nih molitvi, ne bi bilo nikakvoga boljeg čo</w:t>
        <w:softHyphen/>
        <w:t>vjeka od njega«. - »Ne govori tako«, uzvratio mu je u džamiji nazočni Muhamed, »jer ako taj mladić radi samo za svoje roditelje ili za svoju ženu i djecu, on tada djeluje u ime Božje. No ako njegov r. predstavlja gomilanje bogatstva ili njegovih požuda, on onda djeluje u ime đavla« (Hodžić, 49).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 Muhamed izvješćuje da je svoju svako- dnevicu običavao provoditi u radu, prije svega kao trgovac, a zatim kao vjeroučitelj zajednice i kao njezin najvažniji socijalni radnik. Pritom je vazda ostao skroman. Njegova se dnevna prehrana sastojala od lepinje, nekoliko datu</w:t>
        <w:softHyphen/>
        <w:t>lja i od jedne ili dvije čaše mlijeka. On se nije stidio pomagati u kućanstvu, očistiti peć, svoju sobu ili odjeću i obuću. Nikada nije napuštao svoju kuću a da pritom nije uredio svoju kosu i sredio svoju odjeću. Sa sobom je uvijek nosio češalj koji mu je služio kao četkica za zube, kao i malo zrcalo. Svojim je prijateljima obi</w:t>
        <w:softHyphen/>
        <w:t xml:space="preserve">čavao kazati: »Bog to voli a ljudima je ugodno kada se u društvo dolazi pristojno obučenim i čistim« (Balić, </w:t>
      </w:r>
      <w:r>
        <w:rPr>
          <w:rFonts w:ascii="Times New Roman" w:eastAsia="Times New Roman" w:hAnsi="Times New Roman" w:cs="Times New Roman"/>
          <w:i/>
          <w:iCs/>
          <w:color w:val="000000"/>
          <w:spacing w:val="0"/>
          <w:w w:val="100"/>
          <w:position w:val="0"/>
          <w:shd w:val="clear" w:color="auto" w:fill="auto"/>
          <w:lang w:val="hr-HR" w:eastAsia="hr-HR" w:bidi="hr-HR"/>
        </w:rPr>
        <w:t>Ruf vom Minareti,</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Wien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1979, 25). Koliko je Muhamed bio srastao s proble</w:t>
        <w:softHyphen/>
        <w:t>mima rada, pokazuju njegove sljedeće izreke: »Radi za ovaj svijet kao da želiš vječno živjeti! Radi za onostranost kao da sutra moraš umri</w:t>
        <w:softHyphen/>
        <w:t>jeti! Radnik je Božji prijatelj«.</w:t>
      </w:r>
    </w:p>
    <w:p>
      <w:pPr>
        <w:pStyle w:val="Style20"/>
        <w:keepNext w:val="0"/>
        <w:keepLines w:val="0"/>
        <w:widowControl w:val="0"/>
        <w:shd w:val="clear" w:color="auto" w:fill="auto"/>
        <w:bidi w:val="0"/>
        <w:spacing w:before="0" w:after="0"/>
        <w:ind w:left="0" w:right="0" w:firstLine="0"/>
        <w:jc w:val="both"/>
        <w:sectPr>
          <w:headerReference w:type="default" r:id="rId1225"/>
          <w:footerReference w:type="default" r:id="rId1226"/>
          <w:headerReference w:type="even" r:id="rId1227"/>
          <w:footerReference w:type="even" r:id="rId1228"/>
          <w:headerReference w:type="first" r:id="rId1229"/>
          <w:footerReference w:type="first" r:id="rId1230"/>
          <w:footnotePr>
            <w:pos w:val="pageBottom"/>
            <w:numFmt w:val="decimal"/>
            <w:numRestart w:val="continuous"/>
            <w15:footnoteColumns w:val="1"/>
          </w:footnotePr>
          <w:pgSz w:w="6816" w:h="11006"/>
          <w:pgMar w:top="828" w:left="185" w:right="190" w:bottom="339" w:header="0" w:footer="3" w:gutter="0"/>
          <w:pgNumType w:start="404"/>
          <w:cols w:num="2" w:space="17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»Veži prvo kamilu pa se tek onda uzdaj u Boga. Plati radnicima prije nego im se osuši znoj. Tko se brine za nezbrinutu udovicu ili za nekoga beskućnika, taj se može usporediti s borcem na fronti ili s onim koji stalno moli ili s onim koji posti« (Balić, 71). U tehnički vi</w:t>
        <w:softHyphen/>
        <w:t xml:space="preserve">soko razvijenome svijetu, čovjek koji se služi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strojevima mora razborito i disciplinirano udesili svoj rad. Jedna od glavnih pretpostavki za to jest izbjegavanje alkohola, pa i u najma</w:t>
        <w:softHyphen/>
        <w:t>njim količinama. Pokazalo se da prilikom teh</w:t>
        <w:softHyphen/>
        <w:t>ničkoga rada svako uživanje alkohola ugroža</w:t>
        <w:softHyphen/>
        <w:t>va čovjekov život, njegovo dobro i njegove usta</w:t>
        <w:softHyphen/>
        <w:t>nove. U porastu razboritih (trezvenih), odgo</w:t>
        <w:softHyphen/>
        <w:t>vornih ljudi, islam vidi jednu od svojih prven</w:t>
        <w:softHyphen/>
        <w:t>stvenih zadaća.</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Čovjekova odgovornošću ispunjena sloboda, prema kojoj se on uopće ntožc prosuditi etički i religiozno, kao i slobodno razvijanje stvara</w:t>
        <w:softHyphen/>
        <w:t>lačkih snaga, jesu pretpostavke svjesnog is</w:t>
        <w:softHyphen/>
        <w:t>lamskog života. Tamo gdje te pretpostavke izostaju, tu nije moguće plodno nasljedovanje Muhameda. Samo uz korištenje svoje potpu</w:t>
        <w:softHyphen/>
        <w:t>no odgovorne slobode i uz mobiliziranje svih svojih snaga Muhamed je mogao postaviti onaj oduševljavajući primjer za kojim su nje</w:t>
        <w:softHyphen/>
        <w:t>gove pristaše težile iz svoga religioznog uvje</w:t>
        <w:softHyphen/>
        <w:t>renja i iz ljubavi prema njemu.</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Tworuschka, Arbeit </w:t>
      </w:r>
      <w:r>
        <w:rPr>
          <w:color w:val="000000"/>
          <w:spacing w:val="0"/>
          <w:w w:val="100"/>
          <w:position w:val="0"/>
          <w:shd w:val="clear" w:color="auto" w:fill="auto"/>
          <w:lang w:val="hr-HR" w:eastAsia="hr-HR" w:bidi="hr-HR"/>
        </w:rPr>
        <w:t xml:space="preserve">im Islam, li: </w:t>
      </w:r>
      <w:r>
        <w:rPr>
          <w:i/>
          <w:iCs/>
          <w:color w:val="000000"/>
          <w:spacing w:val="0"/>
          <w:w w:val="100"/>
          <w:position w:val="0"/>
          <w:shd w:val="clear" w:color="auto" w:fill="auto"/>
        </w:rPr>
        <w:t>Arbrii.</w:t>
      </w:r>
      <w:r>
        <w:rPr>
          <w:color w:val="000000"/>
          <w:spacing w:val="0"/>
          <w:w w:val="100"/>
          <w:position w:val="0"/>
          <w:shd w:val="clear" w:color="auto" w:fill="auto"/>
        </w:rPr>
        <w:t xml:space="preserve"> timer </w:t>
      </w:r>
      <w:r>
        <w:rPr>
          <w:color w:val="000000"/>
          <w:spacing w:val="0"/>
          <w:w w:val="100"/>
          <w:position w:val="0"/>
          <w:shd w:val="clear" w:color="auto" w:fill="auto"/>
          <w:lang w:val="hr-HR" w:eastAsia="hr-HR" w:bidi="hr-HR"/>
        </w:rPr>
        <w:t xml:space="preserve">Mi- tarbcit </w:t>
      </w:r>
      <w:r>
        <w:rPr>
          <w:color w:val="000000"/>
          <w:spacing w:val="0"/>
          <w:w w:val="100"/>
          <w:position w:val="0"/>
          <w:shd w:val="clear" w:color="auto" w:fill="auto"/>
        </w:rPr>
        <w:t xml:space="preserve">von A. </w:t>
      </w:r>
      <w:r>
        <w:rPr>
          <w:color w:val="000000"/>
          <w:spacing w:val="0"/>
          <w:w w:val="100"/>
          <w:position w:val="0"/>
          <w:shd w:val="clear" w:color="auto" w:fill="auto"/>
          <w:lang w:val="hr-HR" w:eastAsia="hr-HR" w:bidi="hr-HR"/>
        </w:rPr>
        <w:t xml:space="preserve">v. </w:t>
      </w:r>
      <w:r>
        <w:rPr>
          <w:color w:val="000000"/>
          <w:spacing w:val="0"/>
          <w:w w:val="100"/>
          <w:position w:val="0"/>
          <w:shd w:val="clear" w:color="auto" w:fill="auto"/>
        </w:rPr>
        <w:t xml:space="preserve">Dijk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dr.). </w:t>
      </w:r>
      <w:r>
        <w:rPr>
          <w:color w:val="000000"/>
          <w:spacing w:val="0"/>
          <w:w w:val="100"/>
          <w:position w:val="0"/>
          <w:shd w:val="clear" w:color="auto" w:fill="auto"/>
          <w:lang w:val="hr-HR" w:eastAsia="hr-HR" w:bidi="hr-HR"/>
        </w:rPr>
        <w:t>Miinchcn IV85. 64-84.</w:t>
      </w:r>
    </w:p>
    <w:p>
      <w:pPr>
        <w:pStyle w:val="Style56"/>
        <w:keepNext w:val="0"/>
        <w:keepLines w:val="0"/>
        <w:widowControl w:val="0"/>
        <w:shd w:val="clear" w:color="auto" w:fill="auto"/>
        <w:bidi w:val="0"/>
        <w:spacing w:before="0" w:after="480" w:line="240" w:lineRule="auto"/>
        <w:ind w:left="0" w:right="0" w:firstLine="0"/>
        <w:jc w:val="right"/>
      </w:pPr>
      <w:r>
        <w:rPr>
          <w:color w:val="000000"/>
          <w:spacing w:val="0"/>
          <w:w w:val="100"/>
          <w:position w:val="0"/>
          <w:shd w:val="clear" w:color="auto" w:fill="auto"/>
          <w:lang w:val="hr-HR" w:eastAsia="hr-HR" w:bidi="hr-HR"/>
        </w:rPr>
        <w:t>s. BAI.IĆ</w:t>
      </w:r>
    </w:p>
    <w:p>
      <w:pPr>
        <w:pStyle w:val="Style91"/>
        <w:keepNext/>
        <w:keepLines/>
        <w:widowControl w:val="0"/>
        <w:shd w:val="clear" w:color="auto" w:fill="auto"/>
        <w:bidi w:val="0"/>
        <w:spacing w:before="0" w:after="300" w:line="240" w:lineRule="auto"/>
        <w:ind w:left="0" w:right="0" w:firstLine="0"/>
        <w:jc w:val="both"/>
        <w:rPr>
          <w:sz w:val="18"/>
          <w:szCs w:val="18"/>
        </w:rPr>
      </w:pPr>
      <w:bookmarkStart w:id="302" w:name="bookmark302"/>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RAJ </w:t>
      </w:r>
      <w:r>
        <w:rPr>
          <w:rFonts w:ascii="Times New Roman" w:eastAsia="Times New Roman" w:hAnsi="Times New Roman" w:cs="Times New Roman"/>
          <w:color w:val="000000"/>
          <w:spacing w:val="0"/>
          <w:w w:val="100"/>
          <w:position w:val="0"/>
          <w:sz w:val="18"/>
          <w:szCs w:val="18"/>
          <w:shd w:val="clear" w:color="auto" w:fill="auto"/>
          <w:lang w:val="hr-HR" w:eastAsia="hr-HR" w:bidi="hr-HR"/>
        </w:rPr>
        <w:t>NEBO</w:t>
      </w:r>
      <w:bookmarkEnd w:id="302"/>
    </w:p>
    <w:p>
      <w:pPr>
        <w:pStyle w:val="Style33"/>
        <w:keepNext w:val="0"/>
        <w:keepLines w:val="0"/>
        <w:widowControl w:val="0"/>
        <w:shd w:val="clear" w:color="auto" w:fill="auto"/>
        <w:bidi w:val="0"/>
        <w:spacing w:before="0" w:after="180" w:line="240"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RAT</w:t>
      </w:r>
    </w:p>
    <w:p>
      <w:pPr>
        <w:pStyle w:val="Style56"/>
        <w:keepNext w:val="0"/>
        <w:keepLines w:val="0"/>
        <w:widowControl w:val="0"/>
        <w:numPr>
          <w:ilvl w:val="0"/>
          <w:numId w:val="469"/>
        </w:numPr>
        <w:shd w:val="clear" w:color="auto" w:fill="auto"/>
        <w:tabs>
          <w:tab w:pos="250" w:val="left"/>
        </w:tabs>
        <w:bidi w:val="0"/>
        <w:spacing w:before="0" w:after="120" w:line="240" w:lineRule="auto"/>
        <w:ind w:left="0" w:right="0" w:firstLine="0"/>
        <w:jc w:val="both"/>
      </w:pPr>
      <w:r>
        <w:rPr>
          <w:b/>
          <w:bCs/>
          <w:color w:val="000000"/>
          <w:spacing w:val="0"/>
          <w:w w:val="100"/>
          <w:position w:val="0"/>
          <w:shd w:val="clear" w:color="auto" w:fill="auto"/>
          <w:lang w:val="hr-HR" w:eastAsia="hr-HR" w:bidi="hr-HR"/>
        </w:rPr>
        <w:t>židovski</w:t>
      </w:r>
    </w:p>
    <w:p>
      <w:pPr>
        <w:pStyle w:val="Style20"/>
        <w:keepNext w:val="0"/>
        <w:keepLines w:val="0"/>
        <w:widowControl w:val="0"/>
        <w:numPr>
          <w:ilvl w:val="0"/>
          <w:numId w:val="471"/>
        </w:numPr>
        <w:shd w:val="clear" w:color="auto" w:fill="auto"/>
        <w:tabs>
          <w:tab w:pos="260" w:val="left"/>
        </w:tabs>
        <w:bidi w:val="0"/>
        <w:spacing w:before="0" w:after="1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»ON će se boriti za vas.«</w:t>
      </w:r>
      <w:r>
        <w:rPr>
          <w:rFonts w:ascii="Times New Roman" w:eastAsia="Times New Roman" w:hAnsi="Times New Roman" w:cs="Times New Roman"/>
          <w:color w:val="000000"/>
          <w:spacing w:val="0"/>
          <w:w w:val="100"/>
          <w:position w:val="0"/>
          <w:shd w:val="clear" w:color="auto" w:fill="auto"/>
          <w:lang w:val="hr-HR" w:eastAsia="hr-HR" w:bidi="hr-HR"/>
        </w:rPr>
        <w:t xml:space="preserve"> Hebrejska Biblija govori o »borbama« u kojima uvijek Bog Iz</w:t>
        <w:softHyphen/>
        <w:t>raela sam vodi bitku i time zastupa svoj narod. Neke glavne crte mogu se izvući iz predajne grade: Bog ide ispred svoga naroda i bori se za Izrael (Pnz 1,30; Suci 20,35; 1 Sam 14,23); svećenici i ovlašteni glasnogovornici prenose obećanje »ON (JHVH) borit će se za vas!« (Izl 14,14; Jš 10,14.42; 23,10). Izrael ne treba pomagati sam sebi nego treba dati prostora otkupiteljskom zahvatu svojega Boga i pustiti da Bog djeluje za njega (lzl 14,13; Pnz 20,3; Jš 8,1; 11,6; 1 Sam 30,6). Božje djelovanje znači pomoć za Izrael, ali sud za neprijatelje izabra</w:t>
        <w:softHyphen/>
        <w:t>noga naroda. Saniopomoć potječe od straha i zbiva sc u strahu; stoga se narod poziva da se ne boji i potiče na smirenost i opuštenost onoga (Iz 7,4; 30,15) tko sudjeluje u NJEGO</w:t>
        <w:softHyphen/>
        <w:t>VIM bojevima (1 Sam 18,17; 25,28; Br 21,14).</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Izraclovo sudjelovanje u njima trebalo bi biti njegovo »povjerenje«: »Ako se na me ne oslo</w:t>
        <w:softHyphen/>
        <w:t>nite, održat sc nećete« (Iz 7,9). Ta »ratna« iz</w:t>
        <w:softHyphen/>
        <w:t>vješća govore o dvjema značajnim linijama: prema jednoj, Bog se raspoznaje SVOJIM bo</w:t>
        <w:softHyphen/>
        <w:t>jevima u povijesnim razračunavanjima u Iz</w:t>
        <w:softHyphen/>
        <w:t>raelu i s njim kao onaj tko utire put svojem narodu; prema drugoj, naglašava se obilje rat</w:t>
        <w:softHyphen/>
        <w:t>nih pothvata i odražava problematika rata ko</w:t>
        <w:softHyphen/>
        <w:t>ja sc osjeća u starom Izraelu: ovdje sc ospo</w:t>
        <w:softHyphen/>
        <w:t>rava stvarna vrijednost rata i vojske, a ratnič</w:t>
        <w:softHyphen/>
        <w:t>koj predodžbi svih naroda o sebi, uključujući Izraelce, suprotstavlja se poruka: Božja pobje</w:t>
        <w:softHyphen/>
        <w:t>da ruši svu moć naroda i učinak ljudskih djela (lz 22,11; 56,16 i d.). Povjerenje u Izrael izras</w:t>
        <w:softHyphen/>
        <w:t>lo iz slušanja i iskustva dokazuje to događanje u svjetskoj povijesti (Iz 31,1.3; Ps 118,6.8.16); u njemu su ukorijenjena očekivanja mira he</w:t>
        <w:softHyphen/>
        <w:t>brejske Biblije (Ps 72,1-7; l Ljct 22,6-9; Iz 2,2-4; 11,1-5; Zah 9,10).</w:t>
      </w:r>
    </w:p>
    <w:p>
      <w:pPr>
        <w:pStyle w:val="Style20"/>
        <w:keepNext w:val="0"/>
        <w:keepLines w:val="0"/>
        <w:widowControl w:val="0"/>
        <w:numPr>
          <w:ilvl w:val="0"/>
          <w:numId w:val="471"/>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»Zapovjedeni r.«:</w:t>
      </w:r>
      <w:r>
        <w:rPr>
          <w:rFonts w:ascii="Times New Roman" w:eastAsia="Times New Roman" w:hAnsi="Times New Roman" w:cs="Times New Roman"/>
          <w:color w:val="000000"/>
          <w:spacing w:val="0"/>
          <w:w w:val="100"/>
          <w:position w:val="0"/>
          <w:shd w:val="clear" w:color="auto" w:fill="auto"/>
          <w:lang w:val="hr-HR" w:eastAsia="hr-HR" w:bidi="hr-HR"/>
        </w:rPr>
        <w:t xml:space="preserve"> Misna izražava mišljenje u vezi s propisima o sudjelovanju ili nesudje</w:t>
        <w:softHyphen/>
        <w:t>lovanju čovjeka u ratu, pa su predajom saču</w:t>
        <w:softHyphen/>
        <w:t xml:space="preserve">vana dva gledišta (Sota VII1.7). Prema prvom gledištu, postoji »zapovjedeni r.« </w:t>
      </w:r>
      <w:r>
        <w:rPr>
          <w:rFonts w:ascii="Times New Roman" w:eastAsia="Times New Roman" w:hAnsi="Times New Roman" w:cs="Times New Roman"/>
          <w:i/>
          <w:iCs/>
          <w:color w:val="000000"/>
          <w:spacing w:val="0"/>
          <w:w w:val="100"/>
          <w:position w:val="0"/>
          <w:shd w:val="clear" w:color="auto" w:fill="auto"/>
          <w:lang w:val="hr-HR" w:eastAsia="hr-HR" w:bidi="hr-HR"/>
        </w:rPr>
        <w:t>(milhemet micva)</w:t>
      </w:r>
      <w:r>
        <w:rPr>
          <w:rFonts w:ascii="Times New Roman" w:eastAsia="Times New Roman" w:hAnsi="Times New Roman" w:cs="Times New Roman"/>
          <w:color w:val="000000"/>
          <w:spacing w:val="0"/>
          <w:w w:val="100"/>
          <w:position w:val="0"/>
          <w:shd w:val="clear" w:color="auto" w:fill="auto"/>
          <w:lang w:val="hr-HR" w:eastAsia="hr-HR" w:bidi="hr-HR"/>
        </w:rPr>
        <w:t xml:space="preserve"> koji se vodi radi osvajanja Svete zemlje ili za obranu od postojećeg napada i u kojem svatko mora sudjelovati, te »dragovoljni r.« </w:t>
      </w:r>
      <w:r>
        <w:rPr>
          <w:rFonts w:ascii="Times New Roman" w:eastAsia="Times New Roman" w:hAnsi="Times New Roman" w:cs="Times New Roman"/>
          <w:i/>
          <w:iCs/>
          <w:color w:val="000000"/>
          <w:spacing w:val="0"/>
          <w:w w:val="100"/>
          <w:position w:val="0"/>
          <w:shd w:val="clear" w:color="auto" w:fill="auto"/>
          <w:lang w:val="hr-HR" w:eastAsia="hr-HR" w:bidi="hr-HR"/>
        </w:rPr>
        <w:t>(milhemet harešut)</w:t>
      </w:r>
      <w:r>
        <w:rPr>
          <w:rFonts w:ascii="Times New Roman" w:eastAsia="Times New Roman" w:hAnsi="Times New Roman" w:cs="Times New Roman"/>
          <w:color w:val="000000"/>
          <w:spacing w:val="0"/>
          <w:w w:val="100"/>
          <w:position w:val="0"/>
          <w:shd w:val="clear" w:color="auto" w:fill="auto"/>
          <w:lang w:val="hr-HR" w:eastAsia="hr-HR" w:bidi="hr-HR"/>
        </w:rPr>
        <w:t xml:space="preserve"> kojim se treba osvojiti drugi teritorij ili spriječiti neprijateljski napad i u kojem ne treba sudjelovati svatko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VIII, 2.4). Drugo mišljenje zastupa rabin Je- huda; on navodi preventivni r. kao »zapovje</w:t>
        <w:softHyphen/>
        <w:t xml:space="preserve">deni r.« koji, analogno tomu, izričito služi za osvajanje Svete zemlje, te obrambeni r. kao »obvezni« </w:t>
      </w:r>
      <w:r>
        <w:rPr>
          <w:rFonts w:ascii="Times New Roman" w:eastAsia="Times New Roman" w:hAnsi="Times New Roman" w:cs="Times New Roman"/>
          <w:i/>
          <w:iCs/>
          <w:color w:val="000000"/>
          <w:spacing w:val="0"/>
          <w:w w:val="100"/>
          <w:position w:val="0"/>
          <w:shd w:val="clear" w:color="auto" w:fill="auto"/>
          <w:lang w:val="hr-HR" w:eastAsia="hr-HR" w:bidi="hr-HR"/>
        </w:rPr>
        <w:t>(milhemet hova).</w:t>
      </w:r>
      <w:r>
        <w:rPr>
          <w:rFonts w:ascii="Times New Roman" w:eastAsia="Times New Roman" w:hAnsi="Times New Roman" w:cs="Times New Roman"/>
          <w:color w:val="000000"/>
          <w:spacing w:val="0"/>
          <w:w w:val="100"/>
          <w:position w:val="0"/>
          <w:shd w:val="clear" w:color="auto" w:fill="auto"/>
          <w:lang w:val="hr-HR" w:eastAsia="hr-HR" w:bidi="hr-HR"/>
        </w:rPr>
        <w:t xml:space="preserve"> Prema objašnje</w:t>
        <w:softHyphen/>
        <w:t>nju kasnijih učenjaka (III./IV. stoljeće) ta sc dva gledišta razlikuju samo u smislu vjerskoga zakona; naime, prema prvom gledištu sudi</w:t>
        <w:softHyphen/>
        <w:t>onik preventivnog rata (»dragovoljnog rata«) nije oslobođen ispunjenja druge religijske od</w:t>
        <w:softHyphen/>
        <w:t>redbe koju treba istodobno poštovati, dok pre</w:t>
        <w:softHyphen/>
        <w:t>ma drugom gledištu jest, jer se preventivni r. smatra »zapovjedenint« (b Sota 44b). Prema jednom i drugom gledištu, svatko je dužan su</w:t>
        <w:softHyphen/>
        <w:t xml:space="preserve">djelovati u ratu koji služi za osvajanje i obranu Svete zemlje (usp. također Majmonid, </w:t>
      </w:r>
      <w:r>
        <w:rPr>
          <w:rFonts w:ascii="Times New Roman" w:eastAsia="Times New Roman" w:hAnsi="Times New Roman" w:cs="Times New Roman"/>
          <w:i/>
          <w:iCs/>
          <w:color w:val="000000"/>
          <w:spacing w:val="0"/>
          <w:w w:val="100"/>
          <w:position w:val="0"/>
          <w:shd w:val="clear" w:color="auto" w:fill="auto"/>
          <w:lang w:val="hr-HR" w:eastAsia="hr-HR" w:bidi="hr-HR"/>
        </w:rPr>
        <w:t>Mišne Tora,</w:t>
      </w:r>
      <w:r>
        <w:rPr>
          <w:rFonts w:ascii="Times New Roman" w:eastAsia="Times New Roman" w:hAnsi="Times New Roman" w:cs="Times New Roman"/>
          <w:color w:val="000000"/>
          <w:spacing w:val="0"/>
          <w:w w:val="100"/>
          <w:position w:val="0"/>
          <w:shd w:val="clear" w:color="auto" w:fill="auto"/>
          <w:lang w:val="hr-HR" w:eastAsia="hr-HR" w:bidi="hr-HR"/>
        </w:rPr>
        <w:t xml:space="preserve"> Hilhot melahim V,l). Rabinski je nauk i za biblijsko doba razlikovao Jošuine »obvezne ratove« za osvajanje zemlje i »dragovoljne« napadačke ratove Davidovih potomaka za pro</w:t>
        <w:softHyphen/>
        <w:t xml:space="preserve">širenje zemlje. Prema tom razlikovanju Izrael </w:t>
      </w:r>
      <w:r>
        <w:rPr>
          <w:rFonts w:ascii="Times New Roman" w:eastAsia="Times New Roman" w:hAnsi="Times New Roman" w:cs="Times New Roman"/>
          <w:color w:val="000000"/>
          <w:spacing w:val="0"/>
          <w:w w:val="100"/>
          <w:position w:val="0"/>
          <w:shd w:val="clear" w:color="auto" w:fill="auto"/>
          <w:lang w:val="hr-HR" w:eastAsia="hr-HR" w:bidi="hr-HR"/>
        </w:rPr>
        <w:t>je nakon osvojenja područja svojega prebiva</w:t>
        <w:softHyphen/>
        <w:t>lišta u Kanaanu smio vodili još samo obram</w:t>
        <w:softHyphen/>
        <w:t>bene ratove u smislu »zapovjedenih ratova« (b Sota 44b). U jednom takvom slučaju, poput onoga u doba ustanka protiv seleukidske vlas</w:t>
        <w:softHyphen/>
        <w:t>ti (IMak 2,19-22), bilo je dopušteno prekršiti tomu suprotne vjerske odredbe u vezi sa ša- batnim počinkom, šabatnom godinom i pro</w:t>
        <w:softHyphen/>
        <w:t>pisima o hrani (2,29-41). U svim rabinskim izjavama izražava se težnja da se, gdje god je to moguče, izbjegava prolijevanje krvi: »Ni sa kim u svijetu čovjek se ne smije zaratiti a da mu prije toga ne ponudi mir« (Šifre Pnz 20,10); »... treba dvaput, pa i triput, pozvati na mir prije negoli se započne r.« (Jalkut Pnz 20,10; usp. Devarim raba V,20,10) odnosno spriječiti ga: »Značajan je mir, čak za vrijeme rata treba misliti na mir« (Jalkut Br 6,26; usp. s Pnz 20,19; 21,10; 21,14). Majmonid je u svo</w:t>
        <w:softHyphen/>
        <w:t>jim komentarima dotičnih halaških propisa zabranio vjerolomstvo u mirovnim uvjetima i tražio da se pri opsadi grada oslobodi jedna strana za izbjeglice (op.cit. VI,3,7). No, sve odredbe i njihova tumačenja pretpostavljaju državnu samostalnost i treba ih promatrati u vezi s kraljevskim pravom (usp. Hramski svi</w:t>
        <w:softHyphen/>
        <w:t>tak iz Kumrana).</w:t>
      </w:r>
    </w:p>
    <w:p>
      <w:pPr>
        <w:pStyle w:val="Style20"/>
        <w:keepNext w:val="0"/>
        <w:keepLines w:val="0"/>
        <w:widowControl w:val="0"/>
        <w:numPr>
          <w:ilvl w:val="0"/>
          <w:numId w:val="471"/>
        </w:numPr>
        <w:shd w:val="clear" w:color="auto" w:fill="auto"/>
        <w:tabs>
          <w:tab w:pos="250"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»ViSe neće biti rata«'.</w:t>
      </w:r>
      <w:r>
        <w:rPr>
          <w:rFonts w:ascii="Times New Roman" w:eastAsia="Times New Roman" w:hAnsi="Times New Roman" w:cs="Times New Roman"/>
          <w:color w:val="000000"/>
          <w:spacing w:val="0"/>
          <w:w w:val="100"/>
          <w:position w:val="0"/>
          <w:shd w:val="clear" w:color="auto" w:fill="auto"/>
          <w:lang w:val="hr-HR" w:eastAsia="hr-HR" w:bidi="hr-HR"/>
        </w:rPr>
        <w:t xml:space="preserve"> Iako su mudraci svo</w:t>
        <w:softHyphen/>
        <w:t>jom definicijom potrebnoga, »zapovjeđenog rata« moralno opravdavali borbu za obranu Svete zemlje, ipak su bili vrlo daleko od sva</w:t>
        <w:softHyphen/>
        <w:t>kog veličanja rata; u odnosu na Iz 2,4 oni su za oružje tvrdili: »Ono je za nagrđivanje« (M Sa</w:t>
        <w:softHyphen/>
        <w:t>bat VI,4). Židovi protjerani iz svoje zemlje upozoravali su rabine da im je zabranjen svaki pokušaj ponovnog osvojenja zemlje silom (b Ketubot 111a). Njihov je pogled na mesijan</w:t>
        <w:softHyphen/>
        <w:t>sku Božju vlast pacifistički: »Tada su mu (Bo</w:t>
        <w:softHyphen/>
        <w:t>gu) Izraelci rekli: Gospodaru svijeta, ako sc oni (narodi svijeta) dignu i s nama zarate i uzmu sve što imamo, kakve li koristi od toga? A Bog im je rekao: Tako vam života! Više neće biti rata« (Pcsikta 187a, usp. b Sabat 63a). Budući da židovstvo nakon kraja vlastite samostalne države više nije moglo dići glas u vezi s međunarodnim pitanjima rata i mira, njihovi su učenjaci dosljedno razmatrali te teme u mesijanskom kontekstu. S obzirom na nastavak ratovanja među narodima, uključu</w:t>
        <w:softHyphen/>
        <w:t>jući vjerskih ratova, Saadja (892-942) izriči</w:t>
        <w:softHyphen/>
        <w:t xml:space="preserve">to tvrdi da se proročka vizija mira na zemlji može odnositi samo na mesijansko doba (Emu- </w:t>
      </w:r>
      <w:r>
        <w:rPr>
          <w:rFonts w:ascii="Times New Roman" w:eastAsia="Times New Roman" w:hAnsi="Times New Roman" w:cs="Times New Roman"/>
          <w:color w:val="000000"/>
          <w:spacing w:val="0"/>
          <w:w w:val="100"/>
          <w:position w:val="0"/>
          <w:shd w:val="clear" w:color="auto" w:fill="auto"/>
          <w:lang w:val="hr-HR" w:eastAsia="hr-HR" w:bidi="hr-HR"/>
        </w:rPr>
        <w:t xml:space="preserve">not </w:t>
      </w:r>
      <w:r>
        <w:rPr>
          <w:rFonts w:ascii="Times New Roman" w:eastAsia="Times New Roman" w:hAnsi="Times New Roman" w:cs="Times New Roman"/>
          <w:color w:val="000000"/>
          <w:spacing w:val="0"/>
          <w:w w:val="100"/>
          <w:position w:val="0"/>
          <w:shd w:val="clear" w:color="auto" w:fill="auto"/>
          <w:lang w:val="en-US" w:eastAsia="en-US" w:bidi="en-US"/>
        </w:rPr>
        <w:t xml:space="preserve">vedeot </w:t>
      </w:r>
      <w:r>
        <w:rPr>
          <w:rFonts w:ascii="Times New Roman" w:eastAsia="Times New Roman" w:hAnsi="Times New Roman" w:cs="Times New Roman"/>
          <w:color w:val="000000"/>
          <w:spacing w:val="0"/>
          <w:w w:val="100"/>
          <w:position w:val="0"/>
          <w:shd w:val="clear" w:color="auto" w:fill="auto"/>
          <w:lang w:val="hr-HR" w:eastAsia="hr-HR" w:bidi="hr-HR"/>
        </w:rPr>
        <w:t>VII, 10). Uspostavljanje mira u cijelom čovječanstvu promatrao je i Majmo</w:t>
        <w:softHyphen/>
        <w:t>nid (1135-1204) kao mesijansko savršenstvo (op.cit. XII,5). Kimhi je (1160-1235) objasnio u vezi s Iz 2,4 da će narodi svoje razmirice po</w:t>
        <w:softHyphen/>
        <w:t>dastrijeti Mesiji na odluku, pa bi tako ratovi poslali suvišni. Prema Izaku Arami (XV. sto</w:t>
        <w:softHyphen/>
        <w:t>ljeće) razumijevanje mira kao puko nijekanje razmirice vodi do zanemarivanja pravednog postupanja; mir se mora priznati kao pozi</w:t>
        <w:softHyphen/>
        <w:t>tivno dobro kako bi ljudi različita tempera</w:t>
        <w:softHyphen/>
        <w:t>menta i mišljenja mogli surađivati (Akedat Ji- ehak 74). I medu židovskim misliocima XX. stoljeća neosporna je vrijednost mira za razli</w:t>
        <w:softHyphen/>
        <w:t xml:space="preserve">ku od rata. Karakteristično je stajalište zauzeo </w:t>
      </w:r>
      <w:r>
        <w:rPr>
          <w:rFonts w:ascii="Times New Roman" w:eastAsia="Times New Roman" w:hAnsi="Times New Roman" w:cs="Times New Roman"/>
          <w:color w:val="000000"/>
          <w:spacing w:val="0"/>
          <w:w w:val="100"/>
          <w:position w:val="0"/>
          <w:shd w:val="clear" w:color="auto" w:fill="auto"/>
          <w:lang w:val="en-US" w:eastAsia="en-US" w:bidi="en-US"/>
        </w:rPr>
        <w:t xml:space="preserve">Morris Joseph </w:t>
      </w:r>
      <w:r>
        <w:rPr>
          <w:rFonts w:ascii="Times New Roman" w:eastAsia="Times New Roman" w:hAnsi="Times New Roman" w:cs="Times New Roman"/>
          <w:i/>
          <w:iCs/>
          <w:color w:val="000000"/>
          <w:spacing w:val="0"/>
          <w:w w:val="100"/>
          <w:position w:val="0"/>
          <w:shd w:val="clear" w:color="auto" w:fill="auto"/>
          <w:lang w:val="en-US" w:eastAsia="en-US" w:bidi="en-US"/>
        </w:rPr>
        <w:t xml:space="preserve">(Judaism as Creed and Life. </w:t>
      </w:r>
      <w:r>
        <w:rPr>
          <w:rFonts w:ascii="Times New Roman" w:eastAsia="Times New Roman" w:hAnsi="Times New Roman" w:cs="Times New Roman"/>
          <w:color w:val="000000"/>
          <w:spacing w:val="0"/>
          <w:w w:val="100"/>
          <w:position w:val="0"/>
          <w:shd w:val="clear" w:color="auto" w:fill="auto"/>
          <w:lang w:val="en-US" w:eastAsia="en-US" w:bidi="en-US"/>
        </w:rPr>
        <w:t xml:space="preserve">1903, 456 i d.): on </w:t>
      </w:r>
      <w:r>
        <w:rPr>
          <w:rFonts w:ascii="Times New Roman" w:eastAsia="Times New Roman" w:hAnsi="Times New Roman" w:cs="Times New Roman"/>
          <w:color w:val="000000"/>
          <w:spacing w:val="0"/>
          <w:w w:val="100"/>
          <w:position w:val="0"/>
          <w:shd w:val="clear" w:color="auto" w:fill="auto"/>
          <w:lang w:val="hr-HR" w:eastAsia="hr-HR" w:bidi="hr-HR"/>
        </w:rPr>
        <w:t>je istinskim nasljednikom proroka priznavao samo Židova koji voli mir, tražio najveće žrtve za izbjegavanje rata i nije</w:t>
        <w:softHyphen/>
        <w:t xml:space="preserve">kao da se Židov može složiti s ratom sklonoj strani ako je ukorijenjen u židovskoj religiji i povijesti. </w:t>
      </w:r>
      <w:r>
        <w:rPr>
          <w:rFonts w:ascii="Times New Roman" w:eastAsia="Times New Roman" w:hAnsi="Times New Roman" w:cs="Times New Roman"/>
          <w:color w:val="000000"/>
          <w:spacing w:val="0"/>
          <w:w w:val="100"/>
          <w:position w:val="0"/>
          <w:shd w:val="clear" w:color="auto" w:fill="auto"/>
          <w:lang w:val="en-US" w:eastAsia="en-US" w:bidi="en-US"/>
        </w:rPr>
        <w:t xml:space="preserve">Abraham Isaak Kook (Zevin: </w:t>
      </w:r>
      <w:r>
        <w:rPr>
          <w:rFonts w:ascii="Times New Roman" w:eastAsia="Times New Roman" w:hAnsi="Times New Roman" w:cs="Times New Roman"/>
          <w:i/>
          <w:iCs/>
          <w:color w:val="000000"/>
          <w:spacing w:val="0"/>
          <w:w w:val="100"/>
          <w:position w:val="0"/>
          <w:shd w:val="clear" w:color="auto" w:fill="auto"/>
          <w:lang w:val="en-US" w:eastAsia="en-US" w:bidi="en-US"/>
        </w:rPr>
        <w:t>Le-Or ha-halaha,</w:t>
      </w:r>
      <w:r>
        <w:rPr>
          <w:rFonts w:ascii="Times New Roman" w:eastAsia="Times New Roman" w:hAnsi="Times New Roman" w:cs="Times New Roman"/>
          <w:color w:val="000000"/>
          <w:spacing w:val="0"/>
          <w:w w:val="100"/>
          <w:position w:val="0"/>
          <w:shd w:val="clear" w:color="auto" w:fill="auto"/>
          <w:lang w:val="en-US" w:eastAsia="en-US" w:bidi="en-US"/>
        </w:rPr>
        <w:t xml:space="preserve"> 1946, 27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 xml:space="preserve">komentirao je propis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»svećeniku pomazanom za r.« (Pnz 20,2-4; M Sota VIII,1) tvrdeći kako je ta služba na</w:t>
        <w:softHyphen/>
        <w:t xml:space="preserve">sljedna samo za humanitarne poslove, da je mir jedino stanje koje zavređuje stalnost i da stoga nije u nadležnosti nositelja službe; za njega su odgovorni samo oni koji utječu na stvaranje mira. Prema Franzu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Rosenzweigu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Erlosung,</w:t>
      </w:r>
      <w:r>
        <w:rPr>
          <w:rFonts w:ascii="Times New Roman" w:eastAsia="Times New Roman" w:hAnsi="Times New Roman" w:cs="Times New Roman"/>
          <w:color w:val="000000"/>
          <w:spacing w:val="0"/>
          <w:w w:val="100"/>
          <w:position w:val="0"/>
          <w:shd w:val="clear" w:color="auto" w:fill="auto"/>
          <w:lang w:val="hr-HR" w:eastAsia="hr-HR" w:bidi="hr-HR"/>
        </w:rPr>
        <w:t xml:space="preserve"> ■’1976, 368) »židovski na</w:t>
        <w:softHyphen/>
        <w:t>rod ostavio je svoj vjerski r. u mitskoj proš</w:t>
        <w:softHyphen/>
        <w:t xml:space="preserve">losti. Stoga su svi ratovi koje će još doživjeti posve politički ratovi.« </w:t>
      </w:r>
      <w:r>
        <w:rPr>
          <w:rFonts w:ascii="Times New Roman" w:eastAsia="Times New Roman" w:hAnsi="Times New Roman" w:cs="Times New Roman"/>
          <w:color w:val="000000"/>
          <w:spacing w:val="0"/>
          <w:w w:val="100"/>
          <w:position w:val="0"/>
          <w:shd w:val="clear" w:color="auto" w:fill="auto"/>
          <w:lang w:val="en-US" w:eastAsia="en-US" w:bidi="en-US"/>
        </w:rPr>
        <w:t xml:space="preserve">Leo Baeck </w:t>
      </w:r>
      <w:r>
        <w:rPr>
          <w:rFonts w:ascii="Times New Roman" w:eastAsia="Times New Roman" w:hAnsi="Times New Roman" w:cs="Times New Roman"/>
          <w:color w:val="000000"/>
          <w:spacing w:val="0"/>
          <w:w w:val="100"/>
          <w:position w:val="0"/>
          <w:shd w:val="clear" w:color="auto" w:fill="auto"/>
          <w:lang w:val="hr-HR" w:eastAsia="hr-HR" w:bidi="hr-HR"/>
        </w:rPr>
        <w:t>usredoto</w:t>
        <w:softHyphen/>
        <w:t>čen je na »mesijanstvo židovstva«: »Govori o miru budućnosti, a ni taj mir nije mir senti</w:t>
        <w:softHyphen/>
        <w:t xml:space="preserve">mentalnosti i romantike, već zapovjedeni mir«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Judentums,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6. izdanje, 280).</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E. </w:t>
      </w:r>
      <w:r>
        <w:rPr>
          <w:color w:val="000000"/>
          <w:spacing w:val="0"/>
          <w:w w:val="100"/>
          <w:position w:val="0"/>
          <w:shd w:val="clear" w:color="auto" w:fill="auto"/>
        </w:rPr>
        <w:t xml:space="preserve">Simon, </w:t>
      </w:r>
      <w:r>
        <w:rPr>
          <w:i/>
          <w:iCs/>
          <w:color w:val="000000"/>
          <w:spacing w:val="0"/>
          <w:w w:val="100"/>
          <w:position w:val="0"/>
          <w:shd w:val="clear" w:color="auto" w:fill="auto"/>
        </w:rPr>
        <w:t>Erziehung zum Frieden in Kriegszeiten,</w:t>
      </w:r>
      <w:r>
        <w:rPr>
          <w:color w:val="000000"/>
          <w:spacing w:val="0"/>
          <w:w w:val="100"/>
          <w:position w:val="0"/>
          <w:shd w:val="clear" w:color="auto" w:fill="auto"/>
        </w:rPr>
        <w:t xml:space="preserve"> 1971: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Vor und nach dem Scchsta£ckricg, 1966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Em« scheidung zum Judentum,</w:t>
      </w:r>
      <w:r>
        <w:rPr>
          <w:color w:val="000000"/>
          <w:spacing w:val="0"/>
          <w:w w:val="100"/>
          <w:position w:val="0"/>
          <w:shd w:val="clear" w:color="auto" w:fill="auto"/>
        </w:rPr>
        <w:t xml:space="preserve"> 1980, 358 i d., 373 i d.</w:t>
      </w:r>
    </w:p>
    <w:p>
      <w:pPr>
        <w:pStyle w:val="Style74"/>
        <w:keepNext w:val="0"/>
        <w:keepLines w:val="0"/>
        <w:widowControl w:val="0"/>
        <w:shd w:val="clear" w:color="auto" w:fill="auto"/>
        <w:bidi w:val="0"/>
        <w:spacing w:before="0" w:after="180" w:line="286"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f). VEHLR</w:t>
      </w:r>
    </w:p>
    <w:p>
      <w:pPr>
        <w:pStyle w:val="Style63"/>
        <w:keepNext/>
        <w:keepLines/>
        <w:widowControl w:val="0"/>
        <w:numPr>
          <w:ilvl w:val="0"/>
          <w:numId w:val="469"/>
        </w:numPr>
        <w:shd w:val="clear" w:color="auto" w:fill="auto"/>
        <w:tabs>
          <w:tab w:pos="260" w:val="left"/>
        </w:tabs>
        <w:bidi w:val="0"/>
        <w:spacing w:before="0" w:line="223" w:lineRule="auto"/>
        <w:ind w:left="0" w:right="0" w:firstLine="0"/>
        <w:jc w:val="both"/>
      </w:pPr>
      <w:bookmarkStart w:id="303" w:name="bookmark30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03"/>
    </w:p>
    <w:p>
      <w:pPr>
        <w:pStyle w:val="Style20"/>
        <w:keepNext w:val="0"/>
        <w:keepLines w:val="0"/>
        <w:widowControl w:val="0"/>
        <w:shd w:val="clear" w:color="auto" w:fill="auto"/>
        <w:bidi w:val="0"/>
        <w:spacing w:before="0" w:after="0"/>
        <w:ind w:left="0" w:right="0" w:firstLine="0"/>
        <w:jc w:val="both"/>
        <w:sectPr>
          <w:headerReference w:type="default" r:id="rId1231"/>
          <w:footerReference w:type="default" r:id="rId1232"/>
          <w:headerReference w:type="even" r:id="rId1233"/>
          <w:footerReference w:type="even" r:id="rId1234"/>
          <w:headerReference w:type="first" r:id="rId1235"/>
          <w:footerReference w:type="first" r:id="rId1236"/>
          <w:footnotePr>
            <w:pos w:val="pageBottom"/>
            <w:numFmt w:val="decimal"/>
            <w:numRestart w:val="continuous"/>
            <w15:footnoteColumns w:val="1"/>
          </w:footnotePr>
          <w:pgSz w:w="6816" w:h="11006"/>
          <w:pgMar w:top="828" w:left="185" w:right="190" w:bottom="339" w:header="0" w:footer="3" w:gutter="0"/>
          <w:cols w:num="2" w:space="177"/>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R. </w:t>
      </w:r>
      <w:r>
        <w:rPr>
          <w:rFonts w:ascii="Times New Roman" w:eastAsia="Times New Roman" w:hAnsi="Times New Roman" w:cs="Times New Roman"/>
          <w:color w:val="000000"/>
          <w:spacing w:val="0"/>
          <w:w w:val="100"/>
          <w:position w:val="0"/>
          <w:shd w:val="clear" w:color="auto" w:fill="auto"/>
          <w:lang w:val="hr-HR" w:eastAsia="hr-HR" w:bidi="hr-HR"/>
        </w:rPr>
        <w:t>je organiziran međudržavni sukob oružjem. Kako r. nije neotklonjiva prirodna katastrofa, nego predstavlja od ljudi planiranu, pokre</w:t>
        <w:softHyphen/>
        <w:t>nutu i podržavanu primjenu sile kojom se uzrokuje najteže zlo, postavlja se pred sva</w:t>
        <w:softHyphen/>
        <w:t>koga koji sudjeluje u omogućavanju, planira</w:t>
        <w:softHyphen/>
        <w:t xml:space="preserve">nju, pokretanju i provođenju ratnih radnji moralno pitanje o dopustivosti ili ispravnosti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njegova postupka. Prema tradiciji, taj se prob</w:t>
        <w:softHyphen/>
        <w:t>lem obraduje u tzv. učenju o »pravednom ra</w:t>
        <w:softHyphen/>
        <w:t>tu«, tj. o opravdanom vođenju rata. Za oprav</w:t>
        <w:softHyphen/>
        <w:t>dano vođenje rata navode se pojedinačno slje</w:t>
        <w:softHyphen/>
        <w:t>deći moralni kriteriji koji prema stanju stvari odgovaraju kriterijima za opravdane postupke nužne obrane: a) Kod protivničkog napada mora se raditi o teškom napadu na životno važna dobra. Primjerice, moralo bi se iz ću</w:t>
        <w:softHyphen/>
        <w:t>dorednih razloga odbaciti vođenje rata zbog običnih pitanja prestiža (»za očuvanje narod</w:t>
        <w:softHyphen/>
        <w:t>ne časti«), b) Taj napad mora biti neoprav</w:t>
        <w:softHyphen/>
        <w:t>dan, ne smije biti izazvan prethodnim teškim provokacijama, c) Obrana od protivničkog napada mora biti neposredna, pa se dakle ne smije raditi o preventivnoj mjeri protiv napa</w:t>
        <w:softHyphen/>
        <w:t>dačkih namjera koje se samo pretpostavljaju,</w:t>
      </w:r>
    </w:p>
    <w:p>
      <w:pPr>
        <w:pStyle w:val="Style20"/>
        <w:keepNext w:val="0"/>
        <w:keepLines w:val="0"/>
        <w:widowControl w:val="0"/>
        <w:numPr>
          <w:ilvl w:val="0"/>
          <w:numId w:val="471"/>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 mora objaviti zakoniti autoritet, e) On smije služiti samo čistoj obrani ugroženih do</w:t>
        <w:softHyphen/>
        <w:t>bara, tj. obrana ne smije prelaziti ni u namjeri ni u primijenjenim sredstvima ono što je nužno za obranu. Uz te su uvjete svi osvajački ratovi žigosani kao ono što treba odbaciti, f) Mora postojati vrlo dobar izgled da će se pos</w:t>
        <w:softHyphen/>
        <w:t xml:space="preserve">tići taj cilj obrane, g) Ne smije se dopustiti da se taj cilj postigne manje lošim sredstvima (načelo: </w:t>
      </w:r>
      <w:r>
        <w:rPr>
          <w:rFonts w:ascii="Times New Roman" w:eastAsia="Times New Roman" w:hAnsi="Times New Roman" w:cs="Times New Roman"/>
          <w:color w:val="000000"/>
          <w:spacing w:val="0"/>
          <w:w w:val="100"/>
          <w:position w:val="0"/>
          <w:shd w:val="clear" w:color="auto" w:fill="auto"/>
          <w:lang w:val="en-US" w:eastAsia="en-US" w:bidi="en-US"/>
        </w:rPr>
        <w:t xml:space="preserve">ultima ratio), </w:t>
      </w:r>
      <w:r>
        <w:rPr>
          <w:rFonts w:ascii="Times New Roman" w:eastAsia="Times New Roman" w:hAnsi="Times New Roman" w:cs="Times New Roman"/>
          <w:color w:val="000000"/>
          <w:spacing w:val="0"/>
          <w:w w:val="100"/>
          <w:position w:val="0"/>
          <w:shd w:val="clear" w:color="auto" w:fill="auto"/>
          <w:lang w:val="hr-HR" w:eastAsia="hr-HR" w:bidi="hr-HR"/>
        </w:rPr>
        <w:t>tj. moraju biti iscrplje</w:t>
        <w:softHyphen/>
        <w:t>na sva mirovna sredstva (pregovori i posred</w:t>
        <w:softHyphen/>
        <w:t>ništva). h) Dobra koja trebaju biti osigurana moraju imati u cijelosti veću težinu nego zlo koje će se vjerojatno ratom dogoditi (načelo razmjernosti), i) Ne smiju se koristiti nikakva sredstva koja bi se iz ćudorednih razloga mo</w:t>
        <w:softHyphen/>
        <w:t>rala odbaciti, a ovdje se ne moraju tumačiti. Tu se otprilike ubraja neposredno ubijanje bespomoćnih i onih koji ne sudjeluju u ratu, teror i nasilne mjere protiv civilnog stanov</w:t>
        <w:softHyphen/>
        <w:t>ništva (kao npr. bombardiranje u svrhu srav</w:t>
        <w:softHyphen/>
        <w:t>njivanja čitavih gradova, prisilno odvođenje protivničke radne snage za ratnu industriju, strijeljanje talaca), ubijanje ranjenika i zarob</w:t>
        <w:softHyphen/>
        <w:t>ljenika kao i nedostatna briga o njima. Ako ovi uvjeti nisu u cjelini ispunjeni, tada se zah</w:t>
        <w:softHyphen/>
        <w:t>tijeva, prema tradicionalnom shvaćanju, odu</w:t>
        <w:softHyphen/>
        <w:t>stajanje od vođenja rata, pa tako i prihvaćanje zla na koje prisiljava protivnik.</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Ove se etičke kriterije teško može napadati. Doduše, dosta je često teško postići jednozna</w:t>
        <w:softHyphen/>
        <w:t>čan rezultat pri pojedinačnoj primjeni na od</w:t>
        <w:softHyphen/>
        <w:t>ređenu situaciju koja je složena s obzirom na činjenično stanje. Pa ipak, kako oni u cijelosti moraju biti ispunjeni, ako r. treba biti oprav</w:t>
        <w:softHyphen/>
      </w:r>
      <w:r>
        <w:rPr>
          <w:rFonts w:ascii="Times New Roman" w:eastAsia="Times New Roman" w:hAnsi="Times New Roman" w:cs="Times New Roman"/>
          <w:color w:val="000000"/>
          <w:spacing w:val="0"/>
          <w:w w:val="100"/>
          <w:position w:val="0"/>
          <w:shd w:val="clear" w:color="auto" w:fill="auto"/>
          <w:lang w:val="hr-HR" w:eastAsia="hr-HR" w:bidi="hr-HR"/>
        </w:rPr>
        <w:t>dan kao općenito manje zlo i kako je velika vjerojatnost da primjena barem jednoga ili nekih od ovih kriterija vodi do jednoznačnih rezultata, čini se da etičko prosuđivanje kon</w:t>
        <w:softHyphen/>
        <w:t>kretnih ratova obično ne predstavlja nesavla</w:t>
        <w:softHyphen/>
        <w:t>dive teškoće. Aktualna problematika ne sasto</w:t>
        <w:softHyphen/>
        <w:t>ji se toliko u pitanju da li prema ovim kriteri</w:t>
        <w:softHyphen/>
        <w:t>jima u današnjim uvjetima još uopće može biti nekog opravdanog rata između visoko indus</w:t>
        <w:softHyphen/>
        <w:t>trijaliziranih država. Ako i nismo godinama proučavali modernu tehniku naoružanja, lo</w:t>
        <w:softHyphen/>
        <w:t>gistiku itd., morat ćemo negativno odgovoriti na ovo pitanje i to osobito na temelju 8. uvje</w:t>
        <w:softHyphen/>
        <w:t>ta: Ne treba očekivati da dobra, koja bi se tre</w:t>
        <w:softHyphen/>
        <w:t>bala osigurati jednim modernim ratom, mogu prevagnuti pred zlom koje se predviđa da će se dogoditi. Aktualna problematika proizlazi više iz ambivalentnosti modernog naoružanja: Ono omogućuje vođenje rata, a istodobno se čini - kod ravnoteže naoružanja - da ga spre</w:t>
        <w:softHyphen/>
        <w:t>čava uzajamnim zastrašivanjem i da tako od njega štiti. Samo je po sebi jasno da ozbiljan, trajan napor svih, a prvenstveno onih koji imaju utjecaja, mora biti usmjeren prema sve</w:t>
        <w:softHyphen/>
        <w:t>stranom, promišljenom razoružanju, jer svako naoružanje predstavlja još teže zlo. Preostaje ipak etički problem koji se - ni teoretski - ne da riješiti: Sjedne se strane čini jasnim da se r. ne može opravdati u modernim uvjetima, a s druge strane postojeća odgovarajuće naoruža</w:t>
        <w:softHyphen/>
        <w:t>na vojska djeluje kao prepreka ratu; pa ipak, svako zastrašivanje koje počiva na naoružanju prestaje biti zastrašivanje ako mogući protiv</w:t>
        <w:softHyphen/>
        <w:t>nik zna da suprotna strana i u ozbiljnom slu</w:t>
        <w:softHyphen/>
        <w:t>čaju iz moralnog uvjerenja drži pogrešnim stvarno vođenje rata.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Lit.: tradicionalni priručnici filozofske i teološke etike.</w:t>
      </w:r>
    </w:p>
    <w:p>
      <w:pPr>
        <w:pStyle w:val="Style56"/>
        <w:keepNext w:val="0"/>
        <w:keepLines w:val="0"/>
        <w:widowControl w:val="0"/>
        <w:shd w:val="clear" w:color="auto" w:fill="auto"/>
        <w:bidi w:val="0"/>
        <w:spacing w:before="0" w:after="120" w:line="240" w:lineRule="auto"/>
        <w:ind w:left="0" w:right="0" w:firstLine="0"/>
        <w:jc w:val="right"/>
      </w:pPr>
      <w:r>
        <w:rPr>
          <w:color w:val="000000"/>
          <w:spacing w:val="0"/>
          <w:w w:val="100"/>
          <w:position w:val="0"/>
          <w:shd w:val="clear" w:color="auto" w:fill="auto"/>
          <w:lang w:val="hr-HR" w:eastAsia="hr-HR" w:bidi="hr-HR"/>
        </w:rPr>
        <w:t>K. O1NTLRS</w:t>
      </w:r>
    </w:p>
    <w:p>
      <w:pPr>
        <w:pStyle w:val="Style63"/>
        <w:keepNext/>
        <w:keepLines/>
        <w:widowControl w:val="0"/>
        <w:numPr>
          <w:ilvl w:val="0"/>
          <w:numId w:val="469"/>
        </w:numPr>
        <w:shd w:val="clear" w:color="auto" w:fill="auto"/>
        <w:tabs>
          <w:tab w:pos="260" w:val="left"/>
        </w:tabs>
        <w:bidi w:val="0"/>
        <w:spacing w:before="0" w:line="223" w:lineRule="auto"/>
        <w:ind w:left="0" w:right="0" w:firstLine="0"/>
        <w:jc w:val="both"/>
      </w:pPr>
      <w:bookmarkStart w:id="304" w:name="bookmark304"/>
      <w:r>
        <w:rPr>
          <w:rFonts w:ascii="Times New Roman" w:eastAsia="Times New Roman" w:hAnsi="Times New Roman" w:cs="Times New Roman"/>
          <w:color w:val="000000"/>
          <w:spacing w:val="0"/>
          <w:w w:val="100"/>
          <w:position w:val="0"/>
          <w:shd w:val="clear" w:color="auto" w:fill="auto"/>
          <w:lang w:val="hr-HR" w:eastAsia="hr-HR" w:bidi="hr-HR"/>
        </w:rPr>
        <w:t>islamski</w:t>
      </w:r>
      <w:bookmarkEnd w:id="304"/>
    </w:p>
    <w:p>
      <w:pPr>
        <w:pStyle w:val="Style20"/>
        <w:keepNext w:val="0"/>
        <w:keepLines w:val="0"/>
        <w:widowControl w:val="0"/>
        <w:shd w:val="clear" w:color="auto" w:fill="auto"/>
        <w:bidi w:val="0"/>
        <w:spacing w:before="0" w:after="0"/>
        <w:ind w:left="0" w:right="0" w:firstLine="0"/>
        <w:jc w:val="both"/>
        <w:sectPr>
          <w:headerReference w:type="default" r:id="rId1237"/>
          <w:footerReference w:type="default" r:id="rId1238"/>
          <w:headerReference w:type="even" r:id="rId1239"/>
          <w:footerReference w:type="even" r:id="rId1240"/>
          <w:footnotePr>
            <w:pos w:val="pageBottom"/>
            <w:numFmt w:val="decimal"/>
            <w:numRestart w:val="continuous"/>
            <w15:footnoteColumns w:val="1"/>
          </w:footnotePr>
          <w:type w:val="continuous"/>
          <w:pgSz w:w="6816" w:h="11006"/>
          <w:pgMar w:top="828" w:left="185" w:right="190" w:bottom="339" w:header="0" w:footer="3" w:gutter="0"/>
          <w:cols w:num="2" w:space="17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Konfrontirana s divljim politeističkim beduin- skim plemenima, prva se zajednica često os</w:t>
        <w:softHyphen/>
        <w:t xml:space="preserve">jećala prisiljenom posegnuti za oružjem kako bi opstala i ubrzala svoje unutarnje konsolidi- ranje. Ako je po Kuranu mlada država morala pribjeći ratu kao sredstvu samoobrane, onda to kasnije - u složenoj muslimanskoj državi - nije bilo toliko nužno. Prije svega, promijenio se sadržaj pojma </w:t>
      </w:r>
      <w:r>
        <w:rPr>
          <w:rFonts w:ascii="Times New Roman" w:eastAsia="Times New Roman" w:hAnsi="Times New Roman" w:cs="Times New Roman"/>
          <w:i/>
          <w:iCs/>
          <w:color w:val="000000"/>
          <w:spacing w:val="0"/>
          <w:w w:val="100"/>
          <w:position w:val="0"/>
          <w:shd w:val="clear" w:color="auto" w:fill="auto"/>
          <w:lang w:val="hr-HR" w:eastAsia="hr-HR" w:bidi="hr-HR"/>
        </w:rPr>
        <w:t>džihad,</w:t>
      </w:r>
      <w:r>
        <w:rPr>
          <w:rFonts w:ascii="Times New Roman" w:eastAsia="Times New Roman" w:hAnsi="Times New Roman" w:cs="Times New Roman"/>
          <w:color w:val="000000"/>
          <w:spacing w:val="0"/>
          <w:w w:val="100"/>
          <w:position w:val="0"/>
          <w:shd w:val="clear" w:color="auto" w:fill="auto"/>
          <w:lang w:val="hr-HR" w:eastAsia="hr-HR" w:bidi="hr-HR"/>
        </w:rPr>
        <w:t xml:space="preserve"> pod kojim se podra</w:t>
        <w:softHyphen/>
        <w:t>zumijevala dužnost vjernika u oblikovanju no</w:t>
        <w:softHyphen/>
        <w:t>voga, pravednog društva izgrađenog na brat</w:t>
        <w:softHyphen/>
        <w:t xml:space="preserve">stvu. Ideja džihada u smislu ratnoga sukoba s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nepravednim i ignorancijom (džahilija) ispu</w:t>
        <w:softHyphen/>
        <w:t xml:space="preserve">njenim društvom ubrzo je izgubila zbiljsko značenje. »Medu asketima i misticima javila sc tendencija da se ona pretvori u ideju protiv đavla i protiv vlastitih nagona« </w:t>
      </w:r>
      <w:r>
        <w:rPr>
          <w:rFonts w:ascii="Times New Roman" w:eastAsia="Times New Roman" w:hAnsi="Times New Roman" w:cs="Times New Roman"/>
          <w:color w:val="000000"/>
          <w:spacing w:val="0"/>
          <w:w w:val="100"/>
          <w:position w:val="0"/>
          <w:shd w:val="clear" w:color="auto" w:fill="auto"/>
          <w:lang w:val="en-US" w:eastAsia="en-US" w:bidi="en-US"/>
        </w:rPr>
        <w:t>(W. Montgo</w:t>
        <w:softHyphen/>
        <w:t xml:space="preserve">mery Watt,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Islam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and the integration of Society, </w:t>
      </w:r>
      <w:r>
        <w:rPr>
          <w:rFonts w:ascii="Times New Roman" w:eastAsia="Times New Roman" w:hAnsi="Times New Roman" w:cs="Times New Roman"/>
          <w:color w:val="000000"/>
          <w:spacing w:val="0"/>
          <w:w w:val="100"/>
          <w:position w:val="0"/>
          <w:shd w:val="clear" w:color="auto" w:fill="auto"/>
          <w:lang w:val="en-US" w:eastAsia="en-US" w:bidi="en-US"/>
        </w:rPr>
        <w:t xml:space="preserve">London 1961). </w:t>
      </w:r>
      <w:r>
        <w:rPr>
          <w:rFonts w:ascii="Times New Roman" w:eastAsia="Times New Roman" w:hAnsi="Times New Roman" w:cs="Times New Roman"/>
          <w:i/>
          <w:iCs/>
          <w:color w:val="000000"/>
          <w:spacing w:val="0"/>
          <w:w w:val="100"/>
          <w:position w:val="0"/>
          <w:shd w:val="clear" w:color="auto" w:fill="auto"/>
          <w:lang w:val="hr-HR" w:eastAsia="hr-HR" w:bidi="hr-HR"/>
        </w:rPr>
        <w:t>Džihad</w:t>
      </w:r>
      <w:r>
        <w:rPr>
          <w:rFonts w:ascii="Times New Roman" w:eastAsia="Times New Roman" w:hAnsi="Times New Roman" w:cs="Times New Roman"/>
          <w:color w:val="000000"/>
          <w:spacing w:val="0"/>
          <w:w w:val="100"/>
          <w:position w:val="0"/>
          <w:shd w:val="clear" w:color="auto" w:fill="auto"/>
          <w:lang w:val="hr-HR" w:eastAsia="hr-HR" w:bidi="hr-HR"/>
        </w:rPr>
        <w:t xml:space="preserve"> je u tom smislu ponekad shvaćao već i Muhamed. Stoga suvremena teologija formulira džihad sjedne strane kao borbu zajednice za samoodržanje i s druge strane kao nastojanje pojedinca oko jedin</w:t>
        <w:softHyphen/>
        <w:t>stvene osobnosti. Tijekom povijesti, ideja je džihada bila često zloupotrebljavana. Tomu je na ruku išla prije svega teza da islam i politika pripadaju skupa. Dužnost poslušnosti prema vodstvu bila je sljedeći čimbenik koji je išao na ruku toj zloupotrebi.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Teologija pod utjecajem skolastike do današ</w:t>
        <w:softHyphen/>
        <w:t>njega sc dana nije mogla osloboditi koncepta pravednoga i nepravednoga rata. Nova teolo</w:t>
        <w:softHyphen/>
        <w:t>gija nasilja i rata, koja je prihvatljiva za današ</w:t>
        <w:softHyphen/>
        <w:t>nje vrijeme, može sc uočiti tek u postavkama. Putu njezinoga daljnjeg razvoja priječe se ne</w:t>
        <w:softHyphen/>
        <w:t xml:space="preserve">ke naknadne konstrukcije iz </w:t>
      </w:r>
      <w:r>
        <w:rPr>
          <w:rFonts w:ascii="Times New Roman" w:eastAsia="Times New Roman" w:hAnsi="Times New Roman" w:cs="Times New Roman"/>
          <w:i/>
          <w:iCs/>
          <w:color w:val="000000"/>
          <w:spacing w:val="0"/>
          <w:w w:val="100"/>
          <w:position w:val="0"/>
          <w:shd w:val="clear" w:color="auto" w:fill="auto"/>
          <w:lang w:val="hr-HR" w:eastAsia="hr-HR" w:bidi="hr-HR"/>
        </w:rPr>
        <w:t>fikha.</w:t>
      </w:r>
      <w:r>
        <w:rPr>
          <w:rFonts w:ascii="Times New Roman" w:eastAsia="Times New Roman" w:hAnsi="Times New Roman" w:cs="Times New Roman"/>
          <w:color w:val="000000"/>
          <w:spacing w:val="0"/>
          <w:w w:val="100"/>
          <w:position w:val="0"/>
          <w:shd w:val="clear" w:color="auto" w:fill="auto"/>
          <w:lang w:val="hr-HR" w:eastAsia="hr-HR" w:bidi="hr-HR"/>
        </w:rPr>
        <w:t xml:space="preserve"> Posebnu smetnju predstavlja predodžba o dva svijeta: o »kući islama« (dar al-islam) i »kući rata« (dar al-herb). Narednu opterećujuću komponentu predstavlja tendencija stjecanja prevlasti mus</w:t>
        <w:softHyphen/>
        <w:t>limanske većine (ponekad i manjine), tenden</w:t>
        <w:softHyphen/>
        <w:t>cija koja je utemeljena u logici izvornoga dži</w:t>
        <w:softHyphen/>
        <w:t>hada. Ta tendencija ne dozvoljava nikakvo spontano oblikovanje pluralističkih društvenih formi u islamskome svijetu. Ona jedino trpi oaze drugačije strukturiranih vjerskih zajed</w:t>
        <w:softHyphen/>
        <w:t>nica. To se trpljenje izvorno ograničavalo na pripadnike objavljenih religija; no kasnije se ono protegnulo i na druge religije.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Najvažnije su odredbe Kurana o ratu vidljive iz sljedećih kuranskih stihova: »Borite se na Božjem putu protiv onih koji se bore protiv vas! Ne prelazite granice! Zaista Alah ne voli one koji prekoračuju granice </w:t>
      </w:r>
      <w:r>
        <w:rPr>
          <w:rFonts w:ascii="Times New Roman" w:eastAsia="Times New Roman" w:hAnsi="Times New Roman" w:cs="Times New Roman"/>
          <w:i/>
          <w:iCs/>
          <w:color w:val="000000"/>
          <w:spacing w:val="0"/>
          <w:w w:val="100"/>
          <w:position w:val="0"/>
          <w:shd w:val="clear" w:color="auto" w:fill="auto"/>
          <w:lang w:val="hr-HR" w:eastAsia="hr-HR" w:bidi="hr-HR"/>
        </w:rPr>
        <w:t>(onoga što je do</w:t>
        <w:softHyphen/>
        <w:t>zvoljeno)«</w:t>
      </w:r>
      <w:r>
        <w:rPr>
          <w:rFonts w:ascii="Times New Roman" w:eastAsia="Times New Roman" w:hAnsi="Times New Roman" w:cs="Times New Roman"/>
          <w:color w:val="000000"/>
          <w:spacing w:val="0"/>
          <w:w w:val="100"/>
          <w:position w:val="0"/>
          <w:shd w:val="clear" w:color="auto" w:fill="auto"/>
          <w:lang w:val="hr-HR" w:eastAsia="hr-HR" w:bidi="hr-HR"/>
        </w:rPr>
        <w:t xml:space="preserve"> (2,190). »Borite sc protiv njih sve dok smutnja ne bude </w:t>
      </w:r>
      <w:r>
        <w:rPr>
          <w:rFonts w:ascii="Times New Roman" w:eastAsia="Times New Roman" w:hAnsi="Times New Roman" w:cs="Times New Roman"/>
          <w:i/>
          <w:iCs/>
          <w:color w:val="000000"/>
          <w:spacing w:val="0"/>
          <w:w w:val="100"/>
          <w:position w:val="0"/>
          <w:shd w:val="clear" w:color="auto" w:fill="auto"/>
          <w:lang w:val="hr-HR" w:eastAsia="hr-HR" w:bidi="hr-HR"/>
        </w:rPr>
        <w:t>(istrijebljena),</w:t>
      </w:r>
      <w:r>
        <w:rPr>
          <w:rFonts w:ascii="Times New Roman" w:eastAsia="Times New Roman" w:hAnsi="Times New Roman" w:cs="Times New Roman"/>
          <w:color w:val="000000"/>
          <w:spacing w:val="0"/>
          <w:w w:val="100"/>
          <w:position w:val="0"/>
          <w:shd w:val="clear" w:color="auto" w:fill="auto"/>
          <w:lang w:val="hr-HR" w:eastAsia="hr-HR" w:bidi="hr-HR"/>
        </w:rPr>
        <w:t xml:space="preserve"> a vjera u Alaha </w:t>
      </w:r>
      <w:r>
        <w:rPr>
          <w:rFonts w:ascii="Times New Roman" w:eastAsia="Times New Roman" w:hAnsi="Times New Roman" w:cs="Times New Roman"/>
          <w:i/>
          <w:iCs/>
          <w:color w:val="000000"/>
          <w:spacing w:val="0"/>
          <w:w w:val="100"/>
          <w:position w:val="0"/>
          <w:shd w:val="clear" w:color="auto" w:fill="auto"/>
          <w:lang w:val="hr-HR" w:eastAsia="hr-HR" w:bidi="hr-HR"/>
        </w:rPr>
        <w:t>(primljena)'.</w:t>
      </w:r>
      <w:r>
        <w:rPr>
          <w:rFonts w:ascii="Times New Roman" w:eastAsia="Times New Roman" w:hAnsi="Times New Roman" w:cs="Times New Roman"/>
          <w:color w:val="000000"/>
          <w:spacing w:val="0"/>
          <w:w w:val="100"/>
          <w:position w:val="0"/>
          <w:shd w:val="clear" w:color="auto" w:fill="auto"/>
          <w:lang w:val="hr-HR" w:eastAsia="hr-HR" w:bidi="hr-HR"/>
        </w:rPr>
        <w:t xml:space="preserve"> Ako se ustegnu, nema ne</w:t>
        <w:softHyphen/>
        <w:t xml:space="preserve">prijateljstva osim prema silnicima« (2,193). »O vjernici, izvršavajte svoje obveze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(ime) </w:t>
      </w:r>
      <w:r>
        <w:rPr>
          <w:rFonts w:ascii="Times New Roman" w:eastAsia="Times New Roman" w:hAnsi="Times New Roman" w:cs="Times New Roman"/>
          <w:color w:val="000000"/>
          <w:spacing w:val="0"/>
          <w:w w:val="100"/>
          <w:position w:val="0"/>
          <w:shd w:val="clear" w:color="auto" w:fill="auto"/>
          <w:lang w:val="hr-HR" w:eastAsia="hr-HR" w:bidi="hr-HR"/>
        </w:rPr>
        <w:t xml:space="preserve">Boga </w:t>
      </w:r>
      <w:r>
        <w:rPr>
          <w:rFonts w:ascii="Times New Roman" w:eastAsia="Times New Roman" w:hAnsi="Times New Roman" w:cs="Times New Roman"/>
          <w:i/>
          <w:iCs/>
          <w:color w:val="000000"/>
          <w:spacing w:val="0"/>
          <w:w w:val="100"/>
          <w:position w:val="0"/>
          <w:shd w:val="clear" w:color="auto" w:fill="auto"/>
          <w:lang w:val="hr-HR" w:eastAsia="hr-HR" w:bidi="hr-HR"/>
        </w:rPr>
        <w:t>(ispravno i)</w:t>
      </w:r>
      <w:r>
        <w:rPr>
          <w:rFonts w:ascii="Times New Roman" w:eastAsia="Times New Roman" w:hAnsi="Times New Roman" w:cs="Times New Roman"/>
          <w:color w:val="000000"/>
          <w:spacing w:val="0"/>
          <w:w w:val="100"/>
          <w:position w:val="0"/>
          <w:shd w:val="clear" w:color="auto" w:fill="auto"/>
          <w:lang w:val="hr-HR" w:eastAsia="hr-HR" w:bidi="hr-HR"/>
        </w:rPr>
        <w:t xml:space="preserve"> svjedočite pravedno, i neka vas ne navede mržnja prema </w:t>
      </w:r>
      <w:r>
        <w:rPr>
          <w:rFonts w:ascii="Times New Roman" w:eastAsia="Times New Roman" w:hAnsi="Times New Roman" w:cs="Times New Roman"/>
          <w:i/>
          <w:iCs/>
          <w:color w:val="000000"/>
          <w:spacing w:val="0"/>
          <w:w w:val="100"/>
          <w:position w:val="0"/>
          <w:shd w:val="clear" w:color="auto" w:fill="auto"/>
          <w:lang w:val="hr-HR" w:eastAsia="hr-HR" w:bidi="hr-HR"/>
        </w:rPr>
        <w:t>(nekim)</w:t>
      </w:r>
      <w:r>
        <w:rPr>
          <w:rFonts w:ascii="Times New Roman" w:eastAsia="Times New Roman" w:hAnsi="Times New Roman" w:cs="Times New Roman"/>
          <w:color w:val="000000"/>
          <w:spacing w:val="0"/>
          <w:w w:val="100"/>
          <w:position w:val="0"/>
          <w:shd w:val="clear" w:color="auto" w:fill="auto"/>
          <w:lang w:val="hr-HR" w:eastAsia="hr-HR" w:bidi="hr-HR"/>
        </w:rPr>
        <w:t xml:space="preserve"> ljudima da ne budete pravedni: budite pravedni, to je najbliže bogobojaznosti« (5,9). »Dozvoljena je </w:t>
      </w:r>
      <w:r>
        <w:rPr>
          <w:rFonts w:ascii="Times New Roman" w:eastAsia="Times New Roman" w:hAnsi="Times New Roman" w:cs="Times New Roman"/>
          <w:i/>
          <w:iCs/>
          <w:color w:val="000000"/>
          <w:spacing w:val="0"/>
          <w:w w:val="100"/>
          <w:position w:val="0"/>
          <w:shd w:val="clear" w:color="auto" w:fill="auto"/>
          <w:lang w:val="hr-HR" w:eastAsia="hr-HR" w:bidi="hr-HR"/>
        </w:rPr>
        <w:t>(borba)</w:t>
      </w:r>
      <w:r>
        <w:rPr>
          <w:rFonts w:ascii="Times New Roman" w:eastAsia="Times New Roman" w:hAnsi="Times New Roman" w:cs="Times New Roman"/>
          <w:color w:val="000000"/>
          <w:spacing w:val="0"/>
          <w:w w:val="100"/>
          <w:position w:val="0"/>
          <w:shd w:val="clear" w:color="auto" w:fill="auto"/>
          <w:lang w:val="hr-HR" w:eastAsia="hr-HR" w:bidi="hr-HR"/>
        </w:rPr>
        <w:t xml:space="preserve"> onima koji budu napadnuti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(koje </w:t>
      </w:r>
      <w:r>
        <w:rPr>
          <w:rFonts w:ascii="Times New Roman" w:eastAsia="Times New Roman" w:hAnsi="Times New Roman" w:cs="Times New Roman"/>
          <w:i/>
          <w:iCs/>
          <w:color w:val="000000"/>
          <w:spacing w:val="0"/>
          <w:w w:val="100"/>
          <w:position w:val="0"/>
          <w:shd w:val="clear" w:color="auto" w:fill="auto"/>
          <w:lang w:val="hr-HR" w:eastAsia="hr-HR" w:bidi="hr-HR"/>
        </w:rPr>
        <w:t>drugi napadaju),</w:t>
      </w:r>
      <w:r>
        <w:rPr>
          <w:rFonts w:ascii="Times New Roman" w:eastAsia="Times New Roman" w:hAnsi="Times New Roman" w:cs="Times New Roman"/>
          <w:color w:val="000000"/>
          <w:spacing w:val="0"/>
          <w:w w:val="100"/>
          <w:position w:val="0"/>
          <w:shd w:val="clear" w:color="auto" w:fill="auto"/>
          <w:lang w:val="hr-HR" w:eastAsia="hr-HR" w:bidi="hr-HR"/>
        </w:rPr>
        <w:t xml:space="preserve"> zato što im je učinjeno nasilje i zaista je Alah moćan da im pomogne, one koji su protjerani iz svojih domova bespravno, samo zato što govore: ‘Naš gospodar je Alah’. I da Alah ne otklanja </w:t>
      </w:r>
      <w:r>
        <w:rPr>
          <w:rFonts w:ascii="Times New Roman" w:eastAsia="Times New Roman" w:hAnsi="Times New Roman" w:cs="Times New Roman"/>
          <w:i/>
          <w:iCs/>
          <w:color w:val="000000"/>
          <w:spacing w:val="0"/>
          <w:w w:val="100"/>
          <w:position w:val="0"/>
          <w:shd w:val="clear" w:color="auto" w:fill="auto"/>
          <w:lang w:val="hr-HR" w:eastAsia="hr-HR" w:bidi="hr-HR"/>
        </w:rPr>
        <w:t>(zla)</w:t>
      </w:r>
      <w:r>
        <w:rPr>
          <w:rFonts w:ascii="Times New Roman" w:eastAsia="Times New Roman" w:hAnsi="Times New Roman" w:cs="Times New Roman"/>
          <w:color w:val="000000"/>
          <w:spacing w:val="0"/>
          <w:w w:val="100"/>
          <w:position w:val="0"/>
          <w:shd w:val="clear" w:color="auto" w:fill="auto"/>
          <w:lang w:val="hr-HR" w:eastAsia="hr-HR" w:bidi="hr-HR"/>
        </w:rPr>
        <w:t xml:space="preserve"> ljudi, jednih po</w:t>
        <w:softHyphen/>
        <w:t>moću drugih, bili bi porušeni samostani, crkve, sinagoge i džamije u kojima se mnogo spomi</w:t>
        <w:softHyphen/>
        <w:t xml:space="preserve">nje Božje ime. Zaista će Alah pomoći onoga koji pomogne Njega. Zaista je Alah moćan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hr-HR" w:eastAsia="hr-HR" w:bidi="hr-HR"/>
        </w:rPr>
        <w:t xml:space="preserve">snažan </w:t>
      </w:r>
      <w:r>
        <w:rPr>
          <w:rFonts w:ascii="Times New Roman" w:eastAsia="Times New Roman" w:hAnsi="Times New Roman" w:cs="Times New Roman"/>
          <w:i/>
          <w:iCs/>
          <w:color w:val="000000"/>
          <w:spacing w:val="0"/>
          <w:w w:val="100"/>
          <w:position w:val="0"/>
          <w:shd w:val="clear" w:color="auto" w:fill="auto"/>
          <w:lang w:val="hr-HR" w:eastAsia="hr-HR" w:bidi="hr-HR"/>
        </w:rPr>
        <w:t>(daje moć i snagu)«</w:t>
      </w:r>
      <w:r>
        <w:rPr>
          <w:rFonts w:ascii="Times New Roman" w:eastAsia="Times New Roman" w:hAnsi="Times New Roman" w:cs="Times New Roman"/>
          <w:color w:val="000000"/>
          <w:spacing w:val="0"/>
          <w:w w:val="100"/>
          <w:position w:val="0"/>
          <w:shd w:val="clear" w:color="auto" w:fill="auto"/>
          <w:lang w:val="hr-HR" w:eastAsia="hr-HR" w:bidi="hr-HR"/>
        </w:rPr>
        <w:t xml:space="preserve"> (22,39-40). »Ja ne</w:t>
        <w:softHyphen/>
        <w:t>ću uništiti djelo nijednoga vašeg radnika, muš</w:t>
        <w:softHyphen/>
        <w:t xml:space="preserve">karca ili žene, vi ste jedni od drugih. Onima koji su iselili, istjerani iz svojih domova, uzne- miravani na Mome putu, borili se i poginuli, Ja ću im svakako pokriti njihova rđava djela i uvest ću ih u dženet ispod kojih teku rijeke. </w:t>
      </w:r>
      <w:r>
        <w:rPr>
          <w:rFonts w:ascii="Times New Roman" w:eastAsia="Times New Roman" w:hAnsi="Times New Roman" w:cs="Times New Roman"/>
          <w:i/>
          <w:iCs/>
          <w:color w:val="000000"/>
          <w:spacing w:val="0"/>
          <w:w w:val="100"/>
          <w:position w:val="0"/>
          <w:shd w:val="clear" w:color="auto" w:fill="auto"/>
          <w:lang w:val="hr-HR" w:eastAsia="hr-HR" w:bidi="hr-HR"/>
        </w:rPr>
        <w:t>(Ovo će biti)</w:t>
      </w:r>
      <w:r>
        <w:rPr>
          <w:rFonts w:ascii="Times New Roman" w:eastAsia="Times New Roman" w:hAnsi="Times New Roman" w:cs="Times New Roman"/>
          <w:color w:val="000000"/>
          <w:spacing w:val="0"/>
          <w:w w:val="100"/>
          <w:position w:val="0"/>
          <w:shd w:val="clear" w:color="auto" w:fill="auto"/>
          <w:lang w:val="hr-HR" w:eastAsia="hr-HR" w:bidi="hr-HR"/>
        </w:rPr>
        <w:t xml:space="preserve"> nagrada od Boga. Najbolja na</w:t>
        <w:softHyphen/>
        <w:t xml:space="preserve">grada je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kod Boga« (3,195).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Muhamcdovc su privatne izjave o ratu i na</w:t>
        <w:softHyphen/>
        <w:t>silju omogućile nastanak ovakve slike: »Bu</w:t>
        <w:softHyphen/>
        <w:t>dite međusobno i prema drugima čovječni i pravedni! Čovjekov život i imutak trebaju vam biti sveti i nepovredivi. Čovjek je Božje stvo</w:t>
        <w:softHyphen/>
        <w:t>renje; proklet bio tko ga uništi«. »Budi nepo</w:t>
        <w:softHyphen/>
        <w:t>mirljiv prema samovolji i nasilju, i pokušaj ih spriječiti. Ako nc možeš, onda govori protiv njih. Ako ni to ne možeš, onda ih osudi u srcu. No ovo zadnje svjedoči o slaboj vjeri.« Pravila ponašanja prilikom bitke sadrže jednu dnevnu zapovijed kalifa Abu Bekra: »Ljudi! Kada ste u bitci, borite se kao junaci i vitezovi! Nikada nc dopustite da na vas padne mrlja nevjer- nosti ili izdaje! Nikada ne smijete nekoga mal</w:t>
        <w:softHyphen/>
        <w:t>tretirati: ni mučiti živoga niti mrcvariti mrtvo</w:t>
        <w:softHyphen/>
        <w:t>ga! Ne pucajte na stare, žene i djecu! Ne uništavajte tuđe države i nc lomite grane voć</w:t>
        <w:softHyphen/>
        <w:t>ki. Od životinja uzimajte samo onoliko koliko vam je nužno za prehranu. Naiđete li na ljude koji se - povučeno u kolibama - mole Bogu, pošteditc ih i sačuvajte svakoga ometanja te ih sačuvajte i od najmanjega uzbuđenja!«</w:t>
      </w:r>
    </w:p>
    <w:p>
      <w:pPr>
        <w:pStyle w:val="Style20"/>
        <w:keepNext w:val="0"/>
        <w:keepLines w:val="0"/>
        <w:widowControl w:val="0"/>
        <w:shd w:val="clear" w:color="auto" w:fill="auto"/>
        <w:bidi w:val="0"/>
        <w:spacing w:before="0" w:after="60"/>
        <w:ind w:left="0" w:right="0" w:firstLine="0"/>
        <w:jc w:val="both"/>
        <w:sectPr>
          <w:headerReference w:type="default" r:id="rId1241"/>
          <w:footerReference w:type="default" r:id="rId1242"/>
          <w:headerReference w:type="even" r:id="rId1243"/>
          <w:footerReference w:type="even" r:id="rId1244"/>
          <w:footnotePr>
            <w:pos w:val="pageBottom"/>
            <w:numFmt w:val="decimal"/>
            <w:numRestart w:val="continuous"/>
            <w15:footnoteColumns w:val="1"/>
          </w:footnotePr>
          <w:pgSz w:w="6816" w:h="11006"/>
          <w:pgMar w:top="828" w:left="185" w:right="190" w:bottom="339" w:header="0" w:footer="3" w:gutter="0"/>
          <w:pgNumType w:start="413"/>
          <w:cols w:num="2" w:space="177"/>
          <w:noEndnote/>
          <w:rtlGutter w:val="0"/>
          <w:docGrid w:linePitch="360"/>
        </w:sectPr>
      </w:pPr>
      <w:r>
        <mc:AlternateContent>
          <mc:Choice Requires="wps">
            <w:drawing>
              <wp:anchor distT="12700" distB="254000" distL="114300" distR="114300" simplePos="0" relativeHeight="125829423" behindDoc="0" locked="0" layoutInCell="1" allowOverlap="1">
                <wp:simplePos x="0" y="0"/>
                <wp:positionH relativeFrom="page">
                  <wp:posOffset>4001770</wp:posOffset>
                </wp:positionH>
                <wp:positionV relativeFrom="margin">
                  <wp:posOffset>6099175</wp:posOffset>
                </wp:positionV>
                <wp:extent cx="194945" cy="149225"/>
                <wp:wrapTopAndBottom/>
                <wp:docPr id="2678" name="Shape 2678"/>
                <a:graphic xmlns:a="http://schemas.openxmlformats.org/drawingml/2006/main">
                  <a:graphicData uri="http://schemas.microsoft.com/office/word/2010/wordprocessingShape">
                    <wps:wsp>
                      <wps:cNvSpPr txBox="1"/>
                      <wps:spPr>
                        <a:xfrm>
                          <a:ext cx="194945" cy="149225"/>
                        </a:xfrm>
                        <a:prstGeom prst="rect"/>
                        <a:noFill/>
                      </wps:spPr>
                      <wps:txbx>
                        <w:txbxContent>
                          <w:p>
                            <w:pPr>
                              <w:pStyle w:val="Style91"/>
                              <w:keepNext/>
                              <w:keepLines/>
                              <w:widowControl w:val="0"/>
                              <w:shd w:val="clear" w:color="auto" w:fill="auto"/>
                              <w:bidi w:val="0"/>
                              <w:spacing w:before="0" w:after="0" w:line="240" w:lineRule="auto"/>
                              <w:ind w:left="0" w:right="0" w:firstLine="0"/>
                              <w:jc w:val="left"/>
                            </w:pPr>
                            <w:bookmarkStart w:id="280" w:name="bookmark280"/>
                            <w:r>
                              <w:rPr>
                                <w:rFonts w:ascii="Times New Roman" w:eastAsia="Times New Roman" w:hAnsi="Times New Roman" w:cs="Times New Roman"/>
                                <w:color w:val="000000"/>
                                <w:spacing w:val="0"/>
                                <w:w w:val="100"/>
                                <w:position w:val="0"/>
                                <w:shd w:val="clear" w:color="auto" w:fill="auto"/>
                                <w:lang w:val="hr-HR" w:eastAsia="hr-HR" w:bidi="hr-HR"/>
                              </w:rPr>
                              <w:t>a no</w:t>
                            </w:r>
                            <w:bookmarkEnd w:id="280"/>
                          </w:p>
                        </w:txbxContent>
                      </wps:txbx>
                      <wps:bodyPr wrap="none" lIns="0" tIns="0" rIns="0" bIns="0">
                        <a:noAutoFit/>
                      </wps:bodyPr>
                    </wps:wsp>
                  </a:graphicData>
                </a:graphic>
              </wp:anchor>
            </w:drawing>
          </mc:Choice>
          <mc:Fallback>
            <w:pict>
              <v:shape id="_x0000_s3704" type="#_x0000_t202" style="position:absolute;margin-left:315.10000000000002pt;margin-top:480.25pt;width:15.35pt;height:11.75pt;z-index:-125829330;mso-wrap-distance-left:9.pt;mso-wrap-distance-top:1.pt;mso-wrap-distance-right:9.pt;mso-wrap-distance-bottom:20.pt;mso-position-horizontal-relative:page;mso-position-vertical-relative:margin" filled="f" stroked="f">
                <v:textbox inset="0,0,0,0">
                  <w:txbxContent>
                    <w:p>
                      <w:pPr>
                        <w:pStyle w:val="Style91"/>
                        <w:keepNext/>
                        <w:keepLines/>
                        <w:widowControl w:val="0"/>
                        <w:shd w:val="clear" w:color="auto" w:fill="auto"/>
                        <w:bidi w:val="0"/>
                        <w:spacing w:before="0" w:after="0" w:line="240" w:lineRule="auto"/>
                        <w:ind w:left="0" w:right="0" w:firstLine="0"/>
                        <w:jc w:val="left"/>
                      </w:pPr>
                      <w:bookmarkStart w:id="280" w:name="bookmark280"/>
                      <w:r>
                        <w:rPr>
                          <w:rFonts w:ascii="Times New Roman" w:eastAsia="Times New Roman" w:hAnsi="Times New Roman" w:cs="Times New Roman"/>
                          <w:color w:val="000000"/>
                          <w:spacing w:val="0"/>
                          <w:w w:val="100"/>
                          <w:position w:val="0"/>
                          <w:shd w:val="clear" w:color="auto" w:fill="auto"/>
                          <w:lang w:val="hr-HR" w:eastAsia="hr-HR" w:bidi="hr-HR"/>
                        </w:rPr>
                        <w:t>a no</w:t>
                      </w:r>
                      <w:bookmarkEnd w:id="280"/>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Kao što se vidi iz navedenih tekstova, Kuran obvezuje na praštanje i na velikodušnost pre</w:t>
        <w:softHyphen/>
        <w:t>ma pobijeđenomu neprijatelju. »Zaostalo po</w:t>
        <w:softHyphen/>
        <w:t xml:space="preserve">našanje i osvetoljubivost nisu islamski, barem ne u postavci«, smatra </w:t>
      </w:r>
      <w:r>
        <w:rPr>
          <w:rFonts w:ascii="Times New Roman" w:eastAsia="Times New Roman" w:hAnsi="Times New Roman" w:cs="Times New Roman"/>
          <w:color w:val="000000"/>
          <w:spacing w:val="0"/>
          <w:w w:val="100"/>
          <w:position w:val="0"/>
          <w:shd w:val="clear" w:color="auto" w:fill="auto"/>
          <w:lang w:val="en-US" w:eastAsia="en-US" w:bidi="en-US"/>
        </w:rPr>
        <w:t xml:space="preserve">Wolfgang </w:t>
      </w:r>
      <w:r>
        <w:rPr>
          <w:rFonts w:ascii="Times New Roman" w:eastAsia="Times New Roman" w:hAnsi="Times New Roman" w:cs="Times New Roman"/>
          <w:color w:val="000000"/>
          <w:spacing w:val="0"/>
          <w:w w:val="100"/>
          <w:position w:val="0"/>
          <w:shd w:val="clear" w:color="auto" w:fill="auto"/>
          <w:lang w:val="hr-HR" w:eastAsia="hr-HR" w:bidi="hr-HR"/>
        </w:rPr>
        <w:t xml:space="preserve">S. </w:t>
      </w:r>
      <w:r>
        <w:rPr>
          <w:rFonts w:ascii="Times New Roman" w:eastAsia="Times New Roman" w:hAnsi="Times New Roman" w:cs="Times New Roman"/>
          <w:color w:val="000000"/>
          <w:spacing w:val="0"/>
          <w:w w:val="100"/>
          <w:position w:val="0"/>
          <w:shd w:val="clear" w:color="auto" w:fill="auto"/>
          <w:lang w:val="en-US" w:eastAsia="en-US" w:bidi="en-US"/>
        </w:rPr>
        <w:t xml:space="preserve">Freund. </w:t>
      </w:r>
      <w:r>
        <w:rPr>
          <w:rFonts w:ascii="Times New Roman" w:eastAsia="Times New Roman" w:hAnsi="Times New Roman" w:cs="Times New Roman"/>
          <w:color w:val="000000"/>
          <w:spacing w:val="0"/>
          <w:w w:val="100"/>
          <w:position w:val="0"/>
          <w:shd w:val="clear" w:color="auto" w:fill="auto"/>
          <w:lang w:val="hr-HR" w:eastAsia="hr-HR" w:bidi="hr-HR"/>
        </w:rPr>
        <w:t xml:space="preserve">»A sigurno nekoć i u praksi: Jer pravila su srednjovjekovnoga viteštva uvezena u Europu s Istoka i ona jasno pokazuju kako je tada moralo biti njegovano i humano društveno ophođenje u području islamske kulture« (W. S. </w:t>
      </w:r>
      <w:r>
        <w:rPr>
          <w:rFonts w:ascii="Times New Roman" w:eastAsia="Times New Roman" w:hAnsi="Times New Roman" w:cs="Times New Roman"/>
          <w:color w:val="000000"/>
          <w:spacing w:val="0"/>
          <w:w w:val="100"/>
          <w:position w:val="0"/>
          <w:shd w:val="clear" w:color="auto" w:fill="auto"/>
          <w:lang w:val="en-US" w:eastAsia="en-US" w:bidi="en-US"/>
        </w:rPr>
        <w:t xml:space="preserve">Freund </w:t>
      </w:r>
      <w:r>
        <w:rPr>
          <w:rFonts w:ascii="Times New Roman" w:eastAsia="Times New Roman" w:hAnsi="Times New Roman" w:cs="Times New Roman"/>
          <w:color w:val="000000"/>
          <w:spacing w:val="0"/>
          <w:w w:val="100"/>
          <w:position w:val="0"/>
          <w:shd w:val="clear" w:color="auto" w:fill="auto"/>
          <w:lang w:val="hr-HR" w:eastAsia="hr-HR" w:bidi="hr-HR"/>
        </w:rPr>
        <w:t xml:space="preserve">u jednom predavanju o fenomenu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nasilja u objavljenim religijama islama, krš</w:t>
        <w:softHyphen/>
        <w:t>ćanstva i židovstva, koje je održano u auli Sve</w:t>
        <w:softHyphen/>
        <w:t>učilišta u Strassbourgu lipnja 1981; rukopis, str. 3).</w:t>
      </w:r>
    </w:p>
    <w:p>
      <w:pPr>
        <w:pStyle w:val="Style56"/>
        <w:keepNext w:val="0"/>
        <w:keepLines w:val="0"/>
        <w:widowControl w:val="0"/>
        <w:shd w:val="clear" w:color="auto" w:fill="auto"/>
        <w:tabs>
          <w:tab w:pos="2592" w:val="left"/>
        </w:tabs>
        <w:bidi w:val="0"/>
        <w:spacing w:before="0" w:after="360" w:line="240" w:lineRule="auto"/>
        <w:ind w:left="0" w:right="0" w:firstLine="0"/>
        <w:jc w:val="both"/>
      </w:pPr>
      <w:r>
        <w:rPr>
          <w:color w:val="000000"/>
          <w:spacing w:val="0"/>
          <w:w w:val="100"/>
          <w:position w:val="0"/>
          <w:shd w:val="clear" w:color="auto" w:fill="auto"/>
        </w:rPr>
        <w:t xml:space="preserve">Lit.: Muhammad Abu </w:t>
      </w:r>
      <w:r>
        <w:rPr>
          <w:color w:val="000000"/>
          <w:spacing w:val="0"/>
          <w:w w:val="100"/>
          <w:position w:val="0"/>
          <w:shd w:val="clear" w:color="auto" w:fill="auto"/>
          <w:lang w:val="hr-HR" w:eastAsia="hr-HR" w:bidi="hr-HR"/>
        </w:rPr>
        <w:t xml:space="preserve">Zabra, </w:t>
      </w:r>
      <w:r>
        <w:rPr>
          <w:i/>
          <w:iCs/>
          <w:color w:val="000000"/>
          <w:spacing w:val="0"/>
          <w:w w:val="100"/>
          <w:position w:val="0"/>
          <w:shd w:val="clear" w:color="auto" w:fill="auto"/>
        </w:rPr>
        <w:t xml:space="preserve">Concept of war in Islam, </w:t>
      </w:r>
      <w:r>
        <w:rPr>
          <w:color w:val="000000"/>
          <w:spacing w:val="0"/>
          <w:w w:val="100"/>
          <w:position w:val="0"/>
          <w:shd w:val="clear" w:color="auto" w:fill="auto"/>
          <w:lang w:val="hr-HR" w:eastAsia="hr-HR" w:bidi="hr-HR"/>
        </w:rPr>
        <w:t xml:space="preserve">Kairo </w:t>
      </w:r>
      <w:r>
        <w:rPr>
          <w:color w:val="000000"/>
          <w:spacing w:val="0"/>
          <w:w w:val="100"/>
          <w:position w:val="0"/>
          <w:shd w:val="clear" w:color="auto" w:fill="auto"/>
        </w:rPr>
        <w:t xml:space="preserve">1961; M. Khadduri, </w:t>
      </w:r>
      <w:r>
        <w:rPr>
          <w:i/>
          <w:iCs/>
          <w:color w:val="000000"/>
          <w:spacing w:val="0"/>
          <w:w w:val="100"/>
          <w:position w:val="0"/>
          <w:shd w:val="clear" w:color="auto" w:fill="auto"/>
        </w:rPr>
        <w:t>War and peace in the law of Is</w:t>
        <w:softHyphen/>
        <w:t>lam,</w:t>
      </w:r>
      <w:r>
        <w:rPr>
          <w:color w:val="000000"/>
          <w:spacing w:val="0"/>
          <w:w w:val="100"/>
          <w:position w:val="0"/>
          <w:shd w:val="clear" w:color="auto" w:fill="auto"/>
        </w:rPr>
        <w:t xml:space="preserve"> Baltimore 1962.</w:t>
        <w:tab/>
        <w:t xml:space="preserve">s. </w:t>
      </w:r>
      <w:r>
        <w:rPr>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RELIGIJA</w:t>
      </w:r>
    </w:p>
    <w:p>
      <w:pPr>
        <w:pStyle w:val="Style63"/>
        <w:keepNext/>
        <w:keepLines/>
        <w:widowControl w:val="0"/>
        <w:numPr>
          <w:ilvl w:val="0"/>
          <w:numId w:val="473"/>
        </w:numPr>
        <w:shd w:val="clear" w:color="auto" w:fill="auto"/>
        <w:tabs>
          <w:tab w:pos="241" w:val="left"/>
        </w:tabs>
        <w:bidi w:val="0"/>
        <w:spacing w:before="0"/>
        <w:ind w:left="0" w:right="0" w:firstLine="0"/>
        <w:jc w:val="both"/>
      </w:pPr>
      <w:bookmarkStart w:id="305" w:name="bookmark305"/>
      <w:r>
        <w:rPr>
          <w:rFonts w:ascii="Times New Roman" w:eastAsia="Times New Roman" w:hAnsi="Times New Roman" w:cs="Times New Roman"/>
          <w:color w:val="000000"/>
          <w:spacing w:val="0"/>
          <w:w w:val="100"/>
          <w:position w:val="0"/>
          <w:shd w:val="clear" w:color="auto" w:fill="auto"/>
          <w:lang w:val="hr-HR" w:eastAsia="hr-HR" w:bidi="hr-HR"/>
        </w:rPr>
        <w:t>židovski</w:t>
      </w:r>
      <w:bookmarkEnd w:id="305"/>
    </w:p>
    <w:p>
      <w:pPr>
        <w:pStyle w:val="Style20"/>
        <w:keepNext w:val="0"/>
        <w:keepLines w:val="0"/>
        <w:widowControl w:val="0"/>
        <w:numPr>
          <w:ilvl w:val="0"/>
          <w:numId w:val="47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»Neka se čovjek nikada ne isključi iz zajed</w:t>
        <w:softHyphen/>
        <w:t>nice.«</w:t>
      </w:r>
      <w:r>
        <w:rPr>
          <w:rFonts w:ascii="Times New Roman" w:eastAsia="Times New Roman" w:hAnsi="Times New Roman" w:cs="Times New Roman"/>
          <w:color w:val="000000"/>
          <w:spacing w:val="0"/>
          <w:w w:val="100"/>
          <w:position w:val="0"/>
          <w:shd w:val="clear" w:color="auto" w:fill="auto"/>
          <w:lang w:val="hr-HR" w:eastAsia="hr-HR" w:bidi="hr-HR"/>
        </w:rPr>
        <w:t xml:space="preserve"> U židovstvu se r. u bitnim crtama pri</w:t>
        <w:softHyphen/>
        <w:t>znaje kao Tora: kao zakon, nauk Božji za dje</w:t>
        <w:softHyphen/>
        <w:t xml:space="preserve">lovanje i odluku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10,11). Njezini duhovni nosioci nisu ni u stoljećima u kojima je ži</w:t>
        <w:softHyphen/>
        <w:t>dovski narod imao u velikom sinedriju i u ba</w:t>
        <w:softHyphen/>
        <w:t>bilonskim rabinskim školama središnji auto</w:t>
        <w:softHyphen/>
        <w:t>ritet pokazivali sklonost prema dogmatskom vezivanju zajednice. Svoju povezanost osigu</w:t>
        <w:softHyphen/>
        <w:t>ravali su prije time što su održali živim sje</w:t>
        <w:softHyphen/>
        <w:t>ćanje na zajedničko podrijetlo, tradiciju i za</w:t>
        <w:softHyphen/>
        <w:t>jednicu vezanu sudbinom određenim propi</w:t>
        <w:softHyphen/>
        <w:t>sima židovskoga životnog puta (halaha). Od</w:t>
        <w:softHyphen/>
        <w:t>redbe o uzajamnoj odgovornosti ukorijenili su u predodžbi o jamstvu svih pripadnika židov</w:t>
        <w:softHyphen/>
        <w:t>skoga naroda, a to je oblikovano u starom iz</w:t>
        <w:softHyphen/>
        <w:t xml:space="preserve">voru: »Svi Izraelci jamče jedan za drugoga«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26,37), i ta se formulacija stalno ponavlja u talmudskoj literaturi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 Šavuot 39a-b; Roš ha-šana 29a, usp. Ra- šijev komentar na to mjesto; Jalkut Šimoni uz Izr 6,1; Šir ha-širim 1,3); ta je izreka upotreb- ljena dvosmisleno, i to tako da će i svi članovi židovske zajednice biti pozvani na odgovor</w:t>
        <w:softHyphen/>
        <w:t>nost zbog pogreške jednoga Židova i da je sveukupna zajednica dužna odvraćati pojedin</w:t>
        <w:softHyphen/>
        <w:t>ce od pogrešaka i voditi je pravim putem u skladu s Torom. Povijest djelovanja toga soli</w:t>
        <w:softHyphen/>
        <w:t>darnog jamstva, karakterističnog za židovsku religiju, poprima u novom vijeku značajne iz</w:t>
        <w:softHyphen/>
        <w:t>raze. Istaknuti talmudski učenjak iz XIX. sto</w:t>
        <w:softHyphen/>
        <w:t>ljeća Jichak Elhanan Spcktor iz Kovna uklju</w:t>
        <w:softHyphen/>
        <w:t xml:space="preserve">čio je u jamstvo židovske zajednice i Židove koji su prešli u druge religijske zajednice </w:t>
      </w:r>
      <w:r>
        <w:rPr>
          <w:rFonts w:ascii="Times New Roman" w:eastAsia="Times New Roman" w:hAnsi="Times New Roman" w:cs="Times New Roman"/>
          <w:i/>
          <w:iCs/>
          <w:color w:val="000000"/>
          <w:spacing w:val="0"/>
          <w:w w:val="100"/>
          <w:position w:val="0"/>
          <w:shd w:val="clear" w:color="auto" w:fill="auto"/>
          <w:lang w:val="hr-HR" w:eastAsia="hr-HR" w:bidi="hr-HR"/>
        </w:rPr>
        <w:t>(En Jichak, Se'elot u-tešuvot, EH 1,2).</w:t>
      </w:r>
      <w:r>
        <w:rPr>
          <w:rFonts w:ascii="Times New Roman" w:eastAsia="Times New Roman" w:hAnsi="Times New Roman" w:cs="Times New Roman"/>
          <w:color w:val="000000"/>
          <w:spacing w:val="0"/>
          <w:w w:val="100"/>
          <w:position w:val="0"/>
          <w:shd w:val="clear" w:color="auto" w:fill="auto"/>
          <w:lang w:val="hr-HR" w:eastAsia="hr-HR" w:bidi="hr-HR"/>
        </w:rPr>
        <w:t xml:space="preserve"> Interteritori- jalna židovska humanitarna organizacija </w:t>
      </w:r>
      <w:r>
        <w:rPr>
          <w:rFonts w:ascii="Times New Roman" w:eastAsia="Times New Roman" w:hAnsi="Times New Roman" w:cs="Times New Roman"/>
          <w:color w:val="000000"/>
          <w:spacing w:val="0"/>
          <w:w w:val="100"/>
          <w:position w:val="0"/>
          <w:shd w:val="clear" w:color="auto" w:fill="auto"/>
          <w:lang w:val="en-US" w:eastAsia="en-US" w:bidi="en-US"/>
        </w:rPr>
        <w:t>»Alli</w:t>
        <w:softHyphen/>
        <w:t xml:space="preserve">ance Israelite </w:t>
      </w:r>
      <w:r>
        <w:rPr>
          <w:rFonts w:ascii="Times New Roman" w:eastAsia="Times New Roman" w:hAnsi="Times New Roman" w:cs="Times New Roman"/>
          <w:color w:val="000000"/>
          <w:spacing w:val="0"/>
          <w:w w:val="100"/>
          <w:position w:val="0"/>
          <w:shd w:val="clear" w:color="auto" w:fill="auto"/>
          <w:lang w:val="hr-HR" w:eastAsia="hr-HR" w:bidi="hr-HR"/>
        </w:rPr>
        <w:t xml:space="preserve">Universcllc«, osnovana 1860, koja je nastojala pomoći ugroženim Židovima u dijaspori, povezala se svojim motom »Svi su Izraelci drugovi« </w:t>
      </w:r>
      <w:r>
        <w:rPr>
          <w:rFonts w:ascii="Times New Roman" w:eastAsia="Times New Roman" w:hAnsi="Times New Roman" w:cs="Times New Roman"/>
          <w:i/>
          <w:iCs/>
          <w:color w:val="000000"/>
          <w:spacing w:val="0"/>
          <w:w w:val="100"/>
          <w:position w:val="0"/>
          <w:shd w:val="clear" w:color="auto" w:fill="auto"/>
          <w:lang w:val="hr-HR" w:eastAsia="hr-HR" w:bidi="hr-HR"/>
        </w:rPr>
        <w:t>(kol jisrael haverim)</w:t>
      </w:r>
      <w:r>
        <w:rPr>
          <w:rFonts w:ascii="Times New Roman" w:eastAsia="Times New Roman" w:hAnsi="Times New Roman" w:cs="Times New Roman"/>
          <w:color w:val="000000"/>
          <w:spacing w:val="0"/>
          <w:w w:val="100"/>
          <w:position w:val="0"/>
          <w:shd w:val="clear" w:color="auto" w:fill="auto"/>
          <w:lang w:val="hr-HR" w:eastAsia="hr-HR" w:bidi="hr-HR"/>
        </w:rPr>
        <w:t xml:space="preserve"> na zah</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tjev iz talmudskoga doba </w:t>
      </w:r>
      <w:r>
        <w:rPr>
          <w:rFonts w:ascii="Times New Roman" w:eastAsia="Times New Roman" w:hAnsi="Times New Roman" w:cs="Times New Roman"/>
          <w:i/>
          <w:iCs/>
          <w:color w:val="000000"/>
          <w:spacing w:val="0"/>
          <w:w w:val="100"/>
          <w:position w:val="0"/>
          <w:shd w:val="clear" w:color="auto" w:fill="auto"/>
          <w:lang w:val="hr-HR" w:eastAsia="hr-HR" w:bidi="hr-HR"/>
        </w:rPr>
        <w:t>(kol jisrael arevim ze baze).</w:t>
      </w:r>
      <w:r>
        <w:rPr>
          <w:rFonts w:ascii="Times New Roman" w:eastAsia="Times New Roman" w:hAnsi="Times New Roman" w:cs="Times New Roman"/>
          <w:color w:val="000000"/>
          <w:spacing w:val="0"/>
          <w:w w:val="100"/>
          <w:position w:val="0"/>
          <w:shd w:val="clear" w:color="auto" w:fill="auto"/>
          <w:lang w:val="hr-HR" w:eastAsia="hr-HR" w:bidi="hr-HR"/>
        </w:rPr>
        <w:t xml:space="preserve"> Nekadašnje rusko-židovske centre sma</w:t>
        <w:softHyphen/>
        <w:t>trali su solidarnim društvima. Udruga Židova vjernih Tori (Ahdut: »Jedinstvo«), osnovana 1923. u Njemačkoj, smatrala je svojom zada</w:t>
        <w:softHyphen/>
        <w:t>ćom da zajedno s drugim Židovima, pa i s onima koji su već skrenuli sa židovskoga život</w:t>
        <w:softHyphen/>
        <w:t>nog puta, žive u jedinstvenoj zajednici kako bi Tori u svim krugovima pribavili priznanje i valjanost. Za tim ciljem išla je i većina pale</w:t>
        <w:softHyphen/>
        <w:t>stinskih Židova vjernih Tori, koji su u ravu A. J. Kuku, nadrabinu aškenaske općine u Jeru</w:t>
        <w:softHyphen/>
        <w:t>zalemu (1919-1935) imali važnog predstav</w:t>
        <w:softHyphen/>
        <w:t xml:space="preserve">nika. Za jedinstvom »cjeline Izraela« </w:t>
      </w:r>
      <w:r>
        <w:rPr>
          <w:rFonts w:ascii="Times New Roman" w:eastAsia="Times New Roman" w:hAnsi="Times New Roman" w:cs="Times New Roman"/>
          <w:i/>
          <w:iCs/>
          <w:color w:val="000000"/>
          <w:spacing w:val="0"/>
          <w:w w:val="100"/>
          <w:position w:val="0"/>
          <w:shd w:val="clear" w:color="auto" w:fill="auto"/>
          <w:lang w:val="hr-HR" w:eastAsia="hr-HR" w:bidi="hr-HR"/>
        </w:rPr>
        <w:t>(klal jis</w:t>
        <w:softHyphen/>
        <w:t>rael)</w:t>
      </w:r>
      <w:r>
        <w:rPr>
          <w:rFonts w:ascii="Times New Roman" w:eastAsia="Times New Roman" w:hAnsi="Times New Roman" w:cs="Times New Roman"/>
          <w:color w:val="000000"/>
          <w:spacing w:val="0"/>
          <w:w w:val="100"/>
          <w:position w:val="0"/>
          <w:shd w:val="clear" w:color="auto" w:fill="auto"/>
          <w:lang w:val="hr-HR" w:eastAsia="hr-HR" w:bidi="hr-HR"/>
        </w:rPr>
        <w:t xml:space="preserve"> i unutar cionističkoga pokreta i </w:t>
      </w:r>
      <w:r>
        <w:rPr>
          <w:rFonts w:ascii="Times New Roman" w:eastAsia="Times New Roman" w:hAnsi="Times New Roman" w:cs="Times New Roman"/>
          <w:i/>
          <w:iCs/>
          <w:color w:val="000000"/>
          <w:spacing w:val="0"/>
          <w:w w:val="100"/>
          <w:position w:val="0"/>
          <w:shd w:val="clear" w:color="auto" w:fill="auto"/>
          <w:lang w:val="en-US" w:eastAsia="en-US" w:bidi="en-US"/>
        </w:rPr>
        <w:t xml:space="preserve">Mizrahi </w:t>
      </w:r>
      <w:r>
        <w:rPr>
          <w:rFonts w:ascii="Times New Roman" w:eastAsia="Times New Roman" w:hAnsi="Times New Roman" w:cs="Times New Roman"/>
          <w:color w:val="000000"/>
          <w:spacing w:val="0"/>
          <w:w w:val="100"/>
          <w:position w:val="0"/>
          <w:shd w:val="clear" w:color="auto" w:fill="auto"/>
          <w:lang w:val="hr-HR" w:eastAsia="hr-HR" w:bidi="hr-HR"/>
        </w:rPr>
        <w:t>težila je cionistička ortodoksija osnovana 1902. Zbog zajedničke religije i posebnoga životnog puta što ga ona nudi, Židovi su se u svim sto</w:t>
        <w:softHyphen/>
        <w:t>ljećima povijesti svojega naroda osjećali po</w:t>
        <w:softHyphen/>
        <w:t>vezani u sudbinskoj zajednici; svijest o tome budile su nikada zaboravljene riječi njihovih učitelja: »Neka se čovjek nikada ne isključi iz zajednice« (b Bcrahot 49b). »Ako se židovska cjelina nade u nevolji, ne smije se reći: Hoću kući, jesti i piti, i mir nad tobom, dušo moja... Štoviše, on mora biti sudionikom nevolje svo</w:t>
        <w:softHyphen/>
        <w:t>je cjeline« (b Taanit 11a).</w:t>
      </w:r>
    </w:p>
    <w:p>
      <w:pPr>
        <w:pStyle w:val="Style20"/>
        <w:keepNext w:val="0"/>
        <w:keepLines w:val="0"/>
        <w:widowControl w:val="0"/>
        <w:numPr>
          <w:ilvl w:val="0"/>
          <w:numId w:val="47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»Nije najvažniji nauk, najvažnije je djelo.« </w:t>
      </w:r>
      <w:r>
        <w:rPr>
          <w:rFonts w:ascii="Times New Roman" w:eastAsia="Times New Roman" w:hAnsi="Times New Roman" w:cs="Times New Roman"/>
          <w:color w:val="000000"/>
          <w:spacing w:val="0"/>
          <w:w w:val="100"/>
          <w:position w:val="0"/>
          <w:shd w:val="clear" w:color="auto" w:fill="auto"/>
          <w:lang w:val="hr-HR" w:eastAsia="hr-HR" w:bidi="hr-HR"/>
        </w:rPr>
        <w:t>Predaja nedvojbeno sadrži vjerska načela koja izražavaju židovsko povjerenje i svoje oprav</w:t>
        <w:softHyphen/>
        <w:t>danje nalaze samo u hebrejskoj Bibliji ili u tradiciji. Ovamo se ubraja Izraclovo temeljno opredjeljenje za jednoga jedinog Boga i nje</w:t>
        <w:softHyphen/>
        <w:t>gove zapovijedi (Pnz 6,4-9; 11,13-21; Br 15,37-41), koje od ranih vremena zauzima po</w:t>
        <w:softHyphen/>
        <w:t>sebno mjesto u svakodnevnoj molitvenoj litur</w:t>
        <w:softHyphen/>
        <w:t xml:space="preserve">giji (j Bcrahot 1,3c; M 11,2; b 14b; Bava kama 92b). Rabi Akiva (u. oko 135) sudio je o opće shvaćenoj zapovijedi ljubavi prema bližnjemu: »To je veliko univerzalno načelo </w:t>
      </w:r>
      <w:r>
        <w:rPr>
          <w:rFonts w:ascii="Times New Roman" w:eastAsia="Times New Roman" w:hAnsi="Times New Roman" w:cs="Times New Roman"/>
          <w:i/>
          <w:iCs/>
          <w:color w:val="000000"/>
          <w:spacing w:val="0"/>
          <w:w w:val="100"/>
          <w:position w:val="0"/>
          <w:shd w:val="clear" w:color="auto" w:fill="auto"/>
          <w:lang w:val="hr-HR" w:eastAsia="hr-HR" w:bidi="hr-HR"/>
        </w:rPr>
        <w:t>(klalgadol)</w:t>
      </w:r>
      <w:r>
        <w:rPr>
          <w:rFonts w:ascii="Times New Roman" w:eastAsia="Times New Roman" w:hAnsi="Times New Roman" w:cs="Times New Roman"/>
          <w:color w:val="000000"/>
          <w:spacing w:val="0"/>
          <w:w w:val="100"/>
          <w:position w:val="0"/>
          <w:shd w:val="clear" w:color="auto" w:fill="auto"/>
          <w:lang w:val="hr-HR" w:eastAsia="hr-HR" w:bidi="hr-HR"/>
        </w:rPr>
        <w:t xml:space="preserve"> u Tori«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19,18;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Nedarim IX,4). Za talmudsko i rabinsko židovstvo objava i božan- sko podrijetlo Tore, štovanje i čuvanje nauka, »budući svijet« i uskrsnuće mrtvih (M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X,l; usp. Avot 1,1) smatraju se teme</w:t>
        <w:softHyphen/>
        <w:t xml:space="preserve">ljem </w:t>
      </w:r>
      <w:r>
        <w:rPr>
          <w:rFonts w:ascii="Times New Roman" w:eastAsia="Times New Roman" w:hAnsi="Times New Roman" w:cs="Times New Roman"/>
          <w:i/>
          <w:iCs/>
          <w:color w:val="000000"/>
          <w:spacing w:val="0"/>
          <w:w w:val="100"/>
          <w:position w:val="0"/>
          <w:shd w:val="clear" w:color="auto" w:fill="auto"/>
          <w:lang w:val="hr-HR" w:eastAsia="hr-HR" w:bidi="hr-HR"/>
        </w:rPr>
        <w:t>emune,</w:t>
      </w:r>
      <w:r>
        <w:rPr>
          <w:rFonts w:ascii="Times New Roman" w:eastAsia="Times New Roman" w:hAnsi="Times New Roman" w:cs="Times New Roman"/>
          <w:color w:val="000000"/>
          <w:spacing w:val="0"/>
          <w:w w:val="100"/>
          <w:position w:val="0"/>
          <w:shd w:val="clear" w:color="auto" w:fill="auto"/>
          <w:lang w:val="hr-HR" w:eastAsia="hr-HR" w:bidi="hr-HR"/>
        </w:rPr>
        <w:t xml:space="preserve"> povjerenja, vjerovanja u Boga. Mudraci su odustali od toga da »poricatclja korijena« </w:t>
      </w:r>
      <w:r>
        <w:rPr>
          <w:rFonts w:ascii="Times New Roman" w:eastAsia="Times New Roman" w:hAnsi="Times New Roman" w:cs="Times New Roman"/>
          <w:i/>
          <w:iCs/>
          <w:color w:val="000000"/>
          <w:spacing w:val="0"/>
          <w:w w:val="100"/>
          <w:position w:val="0"/>
          <w:shd w:val="clear" w:color="auto" w:fill="auto"/>
          <w:lang w:val="hr-HR" w:eastAsia="hr-HR" w:bidi="hr-HR"/>
        </w:rPr>
        <w:t>(kofer be'ikar),</w:t>
      </w:r>
      <w:r>
        <w:rPr>
          <w:rFonts w:ascii="Times New Roman" w:eastAsia="Times New Roman" w:hAnsi="Times New Roman" w:cs="Times New Roman"/>
          <w:color w:val="000000"/>
          <w:spacing w:val="0"/>
          <w:w w:val="100"/>
          <w:position w:val="0"/>
          <w:shd w:val="clear" w:color="auto" w:fill="auto"/>
          <w:lang w:val="hr-HR" w:eastAsia="hr-HR" w:bidi="hr-HR"/>
        </w:rPr>
        <w:t xml:space="preserve"> valjanosti toga teme</w:t>
        <w:softHyphen/>
        <w:t xml:space="preserve">lja, pojmovno oštro ograniče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26,14 i d.). »Trinaest načela vjere« što ih je postavio Majmonid (Komentar Mišne na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najpoznatiji je pokušaj da se Emuna utvrdi u </w:t>
      </w:r>
      <w:r>
        <w:rPr>
          <w:rFonts w:ascii="Times New Roman" w:eastAsia="Times New Roman" w:hAnsi="Times New Roman" w:cs="Times New Roman"/>
          <w:color w:val="000000"/>
          <w:spacing w:val="0"/>
          <w:w w:val="100"/>
          <w:position w:val="0"/>
          <w:shd w:val="clear" w:color="auto" w:fill="auto"/>
          <w:lang w:val="hr-HR" w:eastAsia="hr-HR" w:bidi="hr-HR"/>
        </w:rPr>
        <w:t>dogmatskim formulama. No, iako su u pjes</w:t>
        <w:softHyphen/>
        <w:t xml:space="preserve">ničkoj obradi </w:t>
      </w:r>
      <w:r>
        <w:rPr>
          <w:rFonts w:ascii="Times New Roman" w:eastAsia="Times New Roman" w:hAnsi="Times New Roman" w:cs="Times New Roman"/>
          <w:i/>
          <w:iCs/>
          <w:color w:val="000000"/>
          <w:spacing w:val="0"/>
          <w:w w:val="100"/>
          <w:position w:val="0"/>
          <w:shd w:val="clear" w:color="auto" w:fill="auto"/>
          <w:lang w:val="hr-HR" w:eastAsia="hr-HR" w:bidi="hr-HR"/>
        </w:rPr>
        <w:t>(jigdal)</w:t>
      </w:r>
      <w:r>
        <w:rPr>
          <w:rFonts w:ascii="Times New Roman" w:eastAsia="Times New Roman" w:hAnsi="Times New Roman" w:cs="Times New Roman"/>
          <w:color w:val="000000"/>
          <w:spacing w:val="0"/>
          <w:w w:val="100"/>
          <w:position w:val="0"/>
          <w:shd w:val="clear" w:color="auto" w:fill="auto"/>
          <w:lang w:val="hr-HR" w:eastAsia="hr-HR" w:bidi="hr-HR"/>
        </w:rPr>
        <w:t xml:space="preserve"> i u obliku ispovijedi (na svršetku jutarnje molitve) prihvaćena u molit</w:t>
        <w:softHyphen/>
        <w:t>venik, nisu nikada bila mjerodavna za židov</w:t>
        <w:softHyphen/>
        <w:t>sku religijsku svijest. Biblijski-talmudsko obi</w:t>
        <w:softHyphen/>
        <w:t>lježena bojazan da se odnos s Bogom obuh</w:t>
        <w:softHyphen/>
        <w:t xml:space="preserve">vati teološki-sustavno (Izl 33,12-23, usp. b Berahot 7a; Roš ha-šana 17b; Šemot raba XXIII,15,1; XLV,33,12;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 Šifre Br 12,8), relativizirala jc uvijek snagu dogme u židovskoj religijskoj povijesti, u razdoblju Misne i Talmuda kao i u stoljećima duhovne borbe filozofski obrazovanoga židovstva pro</w:t>
        <w:softHyphen/>
        <w:t>tiv islama i kršćanstva. U religijskom životu židovstva dogma nikada nije dobila težinu, koja se doduše može graditi samo u odnosu na konkretnu situaciju, već snage skupljene na tragu nazočnosti Božje u povijesti kako bi čovjek krenuo njegovim putovima (Pnz 10,12; 11,22; 26,17; 30,16). Naime, onaj koji jc stvo</w:t>
        <w:softHyphen/>
        <w:t xml:space="preserve">ren na sliku Božju (Post 1,26 i d.) na zemlji je stoga kako bi nasljedovao svojega Stvoritelja dajući »pravdu siroti i udovici«, da »ljubi pri- došlicu i daje mu hranu i odjeću« (Pnz 10,18 i d.), da na sabat ne radi ni on, ni njegov sluga, ni sluškinja, ni kći, ni živina (Izl 20,10 i d ), da na sedmi dan »otpočine vol i magarac i da odahne sin tvoje sluškinje i pridošlica« (23, 12), da stranca kod sebe »ne ugnjetava«, da, štoviše, »bude kao sunarodnjak« i da ga »ljubi kao samoga sebe«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19,33 i d.). Čovjek mora svim svojim djelatnostima tijekom dana dokazivati svoju ljubav prema Bogu (b Joma 86a); rabini su otkrili vezu Božjih »atributa« sa zapovijedi: »Ti kažeš: Bog je milosrdan i milostiv; hajde, budi i ti milosrdan, nesebično čini dobro i budi dobar prema svakomu. Zo</w:t>
        <w:softHyphen/>
        <w:t>veš Boga pravednim, pa budi i ti pravedan. Ti kažeš: Bog je pun ljubavi u svemu što čini; pa budi i ti pun ljubavi« (Šifre Pnz 11,22). Sma</w:t>
        <w:softHyphen/>
        <w:t>traju kako jc čovjekova zadaća da izabere Boga u svakoj odluci i ispuni njegovu volju svojim djelovanjem i drže halahu pouzdani</w:t>
        <w:softHyphen/>
        <w:t xml:space="preserve">jim putokazom od svake teologije. Stoga opasnosti od precjenjivanja elementa znanja u religiji (M Dcmai 11,3; Šcviit V,9; Hagiga 11,7) suprotstavljaju očekivanje konkretne životne situacije u kojoj samo Bog susreće čovjeka: »Najvažniji nije nauk, najvažnije je djelo« (Avot 1,17, usp. 111,9.10.16.18; VI,5;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17b, usp. Kidušin 40b; Berahot 7b).</w:t>
      </w:r>
    </w:p>
    <w:p>
      <w:pPr>
        <w:pStyle w:val="Style20"/>
        <w:keepNext w:val="0"/>
        <w:keepLines w:val="0"/>
        <w:widowControl w:val="0"/>
        <w:numPr>
          <w:ilvl w:val="0"/>
          <w:numId w:val="47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»Na koga se možemo osloniti? Na našega Oca na nebesima.«</w:t>
      </w:r>
      <w:r>
        <w:rPr>
          <w:rFonts w:ascii="Times New Roman" w:eastAsia="Times New Roman" w:hAnsi="Times New Roman" w:cs="Times New Roman"/>
          <w:color w:val="000000"/>
          <w:spacing w:val="0"/>
          <w:w w:val="100"/>
          <w:position w:val="0"/>
          <w:shd w:val="clear" w:color="auto" w:fill="auto"/>
          <w:lang w:val="hr-HR" w:eastAsia="hr-HR" w:bidi="hr-HR"/>
        </w:rPr>
        <w:t xml:space="preserve"> Prema predodžbi o samom sebi, Izraelovo izabranje sastoji se u tome da jc odreden kao narod činom objave Božje (Izl 19,4-6). Toru smatra najbiranijom milošću koju je Bog udijelio svojem narodu. Savezom s Bogom Izrael jc primio Toru za svakoga svo</w:t>
        <w:softHyphen/>
        <w:t>jeg pripadnika, pa i za neposlušne i otpadnike, za sva vremena u povijesti: »Sve što je ON rekao, izvršit ćemo i poslušat ćemo!« (24,7, usp. redak 3; 19,8). Židovski je narod tisućlje</w:t>
        <w:softHyphen/>
        <w:t>ćima imao tu povlasticu, koja je uvijek i dužnost, da bude »predraga svojina mimo sve narode« (19,5); nikada nije potpuno izvršio svoje poslanje, često je stenjao pod njegovim teretom, bio zbog te povlastice izvrgnut ruglu i proganjan, ali nikada ju nije potpuno odba</w:t>
        <w:softHyphen/>
        <w:t>cio i nikada se nije povukao iz Saveza, nikada raskinuo s Bogom (b Pesahim 87a; Midraš Tchilim uz Ps 94,14; Midraš Ruta 1,6). Iz svo</w:t>
        <w:softHyphen/>
        <w:t>jeg odnosa s Bogom Izrael je stekao sposob</w:t>
        <w:softHyphen/>
        <w:t xml:space="preserve">nost za kritičku samoidentifikaciju; sačuvao ju je od toga da vrijednost izabranja ne izvrne u nevrijednost idolizacijc vlastita naroda (Pnz 7,7 i d„ usp. 4,38; 9,4-6; 10,14-16;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 Njegovi proroci i učitelji mjerili su zrelost na</w:t>
        <w:softHyphen/>
        <w:t xml:space="preserve">roda prema neumoljivosti Božjega zahtjeva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2,6 i d.; 3,1 i d.; Hoš 1,2 i d.; Iz 6,9 i d.; Jr 7,9 i d.; b Sota 22b; j Berahot 14b). Bio je privremeno odbačen, ali ne i konačno (Hoš 2,1-3; Iz 6,13; 40,1); doživio je da se nitko ne zauzima za židovski narod, da nitko ne staje za njega pred Boga, i svoju je pouzdanost za utješnu riječ za sve rodove oblikovao ovako: »Na koga se možemo osloniti? Na našega Oca na nebesima« (M Sota IX,15 u trostrukom ponavljanju!). Izrael jc u svojem temeljnom odnosu s Bogom uvijek bio svjestan činjenice da Jcdan-Jcdincati nije samo Bog Izraela, ne</w:t>
        <w:softHyphen/>
        <w:t xml:space="preserve">go i Bog cijeloga čovječanstva (Post 1,27;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IV,5; Avot 111,15; IV,3; VI, 1) i u tome shvatio svoj temeljni odnos s drugim na</w:t>
        <w:softHyphen/>
        <w:t>rodima: on je dopustio da se njegova nacio</w:t>
        <w:softHyphen/>
        <w:t>nalna očekivanja (Sir 51,12 i d.; M Taanit 11,2—4;</w:t>
      </w:r>
    </w:p>
    <w:p>
      <w:pPr>
        <w:pStyle w:val="Style20"/>
        <w:keepNext w:val="0"/>
        <w:keepLines w:val="0"/>
        <w:widowControl w:val="0"/>
        <w:numPr>
          <w:ilvl w:val="0"/>
          <w:numId w:val="477"/>
        </w:numPr>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XIV. i XV. blagoslov molitve Osmanaest blagoslova) pretoče u univerzalnu širinu mesi</w:t>
        <w:softHyphen/>
        <w:t>janske nade (b Pesahim 118b; Majmonid, Ko</w:t>
        <w:softHyphen/>
        <w:t xml:space="preserve">mentar Mišne na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 Mišne Tora, Hilhot melahim XI,4; XII,4; Hilhot tešuva IX,2).</w:t>
      </w:r>
    </w:p>
    <w:p>
      <w:pPr>
        <w:pStyle w:val="Style56"/>
        <w:keepNext w:val="0"/>
        <w:keepLines w:val="0"/>
        <w:widowControl w:val="0"/>
        <w:shd w:val="clear" w:color="auto" w:fill="auto"/>
        <w:bidi w:val="0"/>
        <w:spacing w:before="0" w:after="0" w:line="240" w:lineRule="auto"/>
        <w:ind w:left="0" w:right="0" w:firstLine="0"/>
        <w:jc w:val="both"/>
        <w:sectPr>
          <w:headerReference w:type="default" r:id="rId1245"/>
          <w:footerReference w:type="default" r:id="rId1246"/>
          <w:headerReference w:type="even" r:id="rId1247"/>
          <w:footerReference w:type="even" r:id="rId1248"/>
          <w:headerReference w:type="first" r:id="rId1249"/>
          <w:footerReference w:type="first" r:id="rId1250"/>
          <w:footnotePr>
            <w:pos w:val="pageBottom"/>
            <w:numFmt w:val="decimal"/>
            <w:numRestart w:val="continuous"/>
            <w15:footnoteColumns w:val="1"/>
          </w:footnotePr>
          <w:pgSz w:w="6816" w:h="11006"/>
          <w:pgMar w:top="828" w:left="185" w:right="190" w:bottom="339" w:header="0" w:footer="3" w:gutter="0"/>
          <w:pgNumType w:start="410"/>
          <w:cols w:num="2" w:space="177"/>
          <w:noEndnote/>
          <w:titlePg/>
          <w:rtlGutter w:val="0"/>
          <w:docGrid w:linePitch="360"/>
        </w:sectPr>
      </w:pPr>
      <w:r>
        <w:rPr>
          <w:color w:val="000000"/>
          <w:spacing w:val="0"/>
          <w:w w:val="100"/>
          <w:position w:val="0"/>
          <w:shd w:val="clear" w:color="auto" w:fill="auto"/>
        </w:rPr>
        <w:t>I .it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A. </w:t>
      </w:r>
      <w:r>
        <w:rPr>
          <w:color w:val="000000"/>
          <w:spacing w:val="0"/>
          <w:w w:val="100"/>
          <w:position w:val="0"/>
          <w:shd w:val="clear" w:color="auto" w:fill="auto"/>
          <w:lang w:val="hr-HR" w:eastAsia="hr-HR" w:bidi="hr-HR"/>
        </w:rPr>
        <w:t xml:space="preserve">Gcrcchlcr,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Bedeutung der Gebote im Jude/Hum. </w:t>
      </w:r>
      <w:r>
        <w:rPr>
          <w:color w:val="000000"/>
          <w:spacing w:val="0"/>
          <w:w w:val="100"/>
          <w:position w:val="0"/>
          <w:shd w:val="clear" w:color="auto" w:fill="auto"/>
          <w:lang w:val="hr-HR" w:eastAsia="hr-HR" w:bidi="hr-HR"/>
        </w:rPr>
        <w:t xml:space="preserve">1930/1983.166 i d.; M. Bubvr, </w:t>
      </w:r>
      <w:r>
        <w:rPr>
          <w:i/>
          <w:iCs/>
          <w:color w:val="000000"/>
          <w:spacing w:val="0"/>
          <w:w w:val="100"/>
          <w:position w:val="0"/>
          <w:shd w:val="clear" w:color="auto" w:fill="auto"/>
          <w:lang w:val="hr-HR" w:eastAsia="hr-HR" w:bidi="hr-HR"/>
        </w:rPr>
        <w:t xml:space="preserve">Kampf um </w:t>
      </w:r>
      <w:r>
        <w:rPr>
          <w:i/>
          <w:iCs/>
          <w:color w:val="000000"/>
          <w:spacing w:val="0"/>
          <w:w w:val="100"/>
          <w:position w:val="0"/>
          <w:shd w:val="clear" w:color="auto" w:fill="auto"/>
        </w:rPr>
        <w:t>Israel. Reden and</w:t>
      </w:r>
    </w:p>
    <w:p>
      <w:pPr>
        <w:pStyle w:val="Style56"/>
        <w:keepNext w:val="0"/>
        <w:keepLines w:val="0"/>
        <w:widowControl w:val="0"/>
        <w:shd w:val="clear" w:color="auto" w:fill="auto"/>
        <w:tabs>
          <w:tab w:pos="2438" w:val="left"/>
        </w:tabs>
        <w:bidi w:val="0"/>
        <w:spacing w:before="0" w:after="120" w:line="240" w:lineRule="auto"/>
        <w:ind w:left="0" w:right="0" w:firstLine="0"/>
        <w:jc w:val="both"/>
      </w:pPr>
      <w:r>
        <w:rPr>
          <w:i/>
          <w:iCs/>
          <w:color w:val="000000"/>
          <w:spacing w:val="0"/>
          <w:w w:val="100"/>
          <w:position w:val="0"/>
          <w:shd w:val="clear" w:color="auto" w:fill="auto"/>
        </w:rPr>
        <w:t>Schriften,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1921-32,1933, 29-49; </w:t>
      </w:r>
      <w:r>
        <w:rPr>
          <w:color w:val="000000"/>
          <w:spacing w:val="0"/>
          <w:w w:val="100"/>
          <w:position w:val="0"/>
          <w:shd w:val="clear" w:color="auto" w:fill="auto"/>
        </w:rPr>
        <w:t xml:space="preserve">J. J. Pctuchowski, Zur rab- binischcn Interpretation des Offcnbarungsglaubcns,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J. J. Pctuchowski/W. Strok, Hrsg., </w:t>
      </w:r>
      <w:r>
        <w:rPr>
          <w:i/>
          <w:iCs/>
          <w:color w:val="000000"/>
          <w:spacing w:val="0"/>
          <w:w w:val="100"/>
          <w:position w:val="0"/>
          <w:shd w:val="clear" w:color="auto" w:fill="auto"/>
        </w:rPr>
        <w:t>Ofenborung im jildischen und christlichcn Glaubt'nsvtrstdndnis,</w:t>
      </w:r>
      <w:r>
        <w:rPr>
          <w:color w:val="000000"/>
          <w:spacing w:val="0"/>
          <w:w w:val="100"/>
          <w:position w:val="0"/>
          <w:shd w:val="clear" w:color="auto" w:fill="auto"/>
        </w:rPr>
        <w:t xml:space="preserve"> 19# J. 72—86; E. L. Ehrlich/ R. Gradwohl i dr., </w:t>
      </w:r>
      <w:r>
        <w:rPr>
          <w:i/>
          <w:iCs/>
          <w:color w:val="000000"/>
          <w:spacing w:val="0"/>
          <w:w w:val="100"/>
          <w:position w:val="0"/>
          <w:shd w:val="clear" w:color="auto" w:fill="auto"/>
        </w:rPr>
        <w:t xml:space="preserve">Religiose Stromungen im Judentum heute, </w:t>
      </w:r>
      <w:r>
        <w:rPr>
          <w:color w:val="000000"/>
          <w:spacing w:val="0"/>
          <w:w w:val="100"/>
          <w:position w:val="0"/>
          <w:shd w:val="clear" w:color="auto" w:fill="auto"/>
        </w:rPr>
        <w:t>1973.</w:t>
        <w:tab/>
      </w:r>
      <w:r>
        <w:rPr>
          <w:color w:val="000000"/>
          <w:spacing w:val="0"/>
          <w:w w:val="100"/>
          <w:position w:val="0"/>
          <w:shd w:val="clear" w:color="auto" w:fill="auto"/>
          <w:lang w:val="hr-HR" w:eastAsia="hr-HR" w:bidi="hr-HR"/>
        </w:rPr>
        <w:t xml:space="preserve">Đ. </w:t>
      </w:r>
      <w:r>
        <w:rPr>
          <w:color w:val="000000"/>
          <w:spacing w:val="0"/>
          <w:w w:val="100"/>
          <w:position w:val="0"/>
          <w:shd w:val="clear" w:color="auto" w:fill="auto"/>
        </w:rPr>
        <w:t>VE1TLR</w:t>
      </w:r>
    </w:p>
    <w:p>
      <w:pPr>
        <w:pStyle w:val="Style63"/>
        <w:keepNext/>
        <w:keepLines/>
        <w:widowControl w:val="0"/>
        <w:numPr>
          <w:ilvl w:val="0"/>
          <w:numId w:val="459"/>
        </w:numPr>
        <w:shd w:val="clear" w:color="auto" w:fill="auto"/>
        <w:tabs>
          <w:tab w:pos="255" w:val="left"/>
        </w:tabs>
        <w:bidi w:val="0"/>
        <w:spacing w:before="0" w:line="223" w:lineRule="auto"/>
        <w:ind w:left="0" w:right="0" w:firstLine="0"/>
        <w:jc w:val="both"/>
      </w:pPr>
      <w:bookmarkStart w:id="306" w:name="bookmark30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06"/>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w:t>
      </w:r>
      <w:r>
        <w:rPr>
          <w:rFonts w:ascii="Times New Roman" w:eastAsia="Times New Roman" w:hAnsi="Times New Roman" w:cs="Times New Roman"/>
          <w:color w:val="000000"/>
          <w:spacing w:val="0"/>
          <w:w w:val="100"/>
          <w:position w:val="0"/>
          <w:shd w:val="clear" w:color="auto" w:fill="auto"/>
          <w:lang w:val="en-US" w:eastAsia="en-US" w:bidi="en-US"/>
        </w:rPr>
        <w:t xml:space="preserve">r. </w:t>
      </w:r>
      <w:r>
        <w:rPr>
          <w:rFonts w:ascii="Times New Roman" w:eastAsia="Times New Roman" w:hAnsi="Times New Roman" w:cs="Times New Roman"/>
          <w:color w:val="000000"/>
          <w:spacing w:val="0"/>
          <w:w w:val="100"/>
          <w:position w:val="0"/>
          <w:shd w:val="clear" w:color="auto" w:fill="auto"/>
          <w:lang w:val="hr-HR" w:eastAsia="hr-HR" w:bidi="hr-HR"/>
        </w:rPr>
        <w:t>izvodi se iz lat. »religio« i potječe od antikne rimske seljačke religije. Ciceron do</w:t>
        <w:softHyphen/>
        <w:t>vodi »religio« u vezu s »relegere«: »Sve što je važno za štovanje bogova, neka se brižno pro</w:t>
        <w:softHyphen/>
        <w:t>misli i u neku ruku uvijek iznova ispita« (nat. deor. 2,72). Pa ipak, Rimljanin nije shvaćao »religio« kao raspoloženje koje obilježava njegovu čitavu osobnost nego kao »nepresta</w:t>
        <w:softHyphen/>
        <w:t>nu spremnost da radnjom koja udobrovoljava odgovori na svaki znak neke smetnje u uobi</w:t>
        <w:softHyphen/>
        <w:t xml:space="preserve">čajenom odnosu prema bogovima« (K. </w:t>
      </w:r>
      <w:r>
        <w:rPr>
          <w:rFonts w:ascii="Times New Roman" w:eastAsia="Times New Roman" w:hAnsi="Times New Roman" w:cs="Times New Roman"/>
          <w:color w:val="000000"/>
          <w:spacing w:val="0"/>
          <w:w w:val="100"/>
          <w:position w:val="0"/>
          <w:shd w:val="clear" w:color="auto" w:fill="auto"/>
          <w:lang w:val="en-US" w:eastAsia="en-US" w:bidi="en-US"/>
        </w:rPr>
        <w:t xml:space="preserve">Latte). </w:t>
      </w:r>
      <w:r>
        <w:rPr>
          <w:rFonts w:ascii="Times New Roman" w:eastAsia="Times New Roman" w:hAnsi="Times New Roman" w:cs="Times New Roman"/>
          <w:color w:val="000000"/>
          <w:spacing w:val="0"/>
          <w:w w:val="100"/>
          <w:position w:val="0"/>
          <w:shd w:val="clear" w:color="auto" w:fill="auto"/>
          <w:lang w:val="hr-HR" w:eastAsia="hr-HR" w:bidi="hr-HR"/>
        </w:rPr>
        <w:t>Rimska religio mukotrpno je strogo pridrža</w:t>
        <w:softHyphen/>
        <w:t>vanje naslijeđenoga obreda i ostvaruje se u prvom redu u »cultus deorum«. Odnos čovje</w:t>
        <w:softHyphen/>
        <w:t>ka i Boga pravni je odnos i ujedno odnos vjer</w:t>
        <w:softHyphen/>
        <w:t>nosti. Rimska religio državna je krepost; »cul</w:t>
        <w:softHyphen/>
        <w:t>tus« i »religio« tvore temelj od »res publica«. Rani latinski kršćani kritički su primjenjivali pojam religije što je osobito jasno iz etimolo</w:t>
        <w:softHyphen/>
        <w:t>gije koja potječe od afričkoga kršćanina Lak- tancija (oko 317. pos. Kr.). Vjerojatno nado- vezujući se na postojeću jezičnu uporabu, on »religio« izvodi od »religare« i izjavljuje: »Ro</w:t>
        <w:softHyphen/>
        <w:t xml:space="preserve">đeni smo pod uvjetom da Bogu koji nas je stvorio iskazujemo pravu i dužnu poslušnost, da samo njega priznajemo i slijedimo. Ovim okovima pobožne dužnosti mi smo vezani </w:t>
      </w:r>
      <w:r>
        <w:rPr>
          <w:rFonts w:ascii="Times New Roman" w:eastAsia="Times New Roman" w:hAnsi="Times New Roman" w:cs="Times New Roman"/>
          <w:i/>
          <w:iCs/>
          <w:color w:val="000000"/>
          <w:spacing w:val="0"/>
          <w:w w:val="100"/>
          <w:position w:val="0"/>
          <w:shd w:val="clear" w:color="auto" w:fill="auto"/>
          <w:lang w:val="hr-HR" w:eastAsia="hr-HR" w:bidi="hr-HR"/>
        </w:rPr>
        <w:t>na</w:t>
        <w:softHyphen/>
        <w:t>trag</w:t>
      </w:r>
      <w:r>
        <w:rPr>
          <w:rFonts w:ascii="Times New Roman" w:eastAsia="Times New Roman" w:hAnsi="Times New Roman" w:cs="Times New Roman"/>
          <w:color w:val="000000"/>
          <w:spacing w:val="0"/>
          <w:w w:val="100"/>
          <w:position w:val="0"/>
          <w:shd w:val="clear" w:color="auto" w:fill="auto"/>
          <w:lang w:val="hr-HR" w:eastAsia="hr-HR" w:bidi="hr-HR"/>
        </w:rPr>
        <w:t xml:space="preserve"> uz Boga« </w:t>
      </w:r>
      <w:r>
        <w:rPr>
          <w:rFonts w:ascii="Times New Roman" w:eastAsia="Times New Roman" w:hAnsi="Times New Roman" w:cs="Times New Roman"/>
          <w:color w:val="000000"/>
          <w:spacing w:val="0"/>
          <w:w w:val="100"/>
          <w:position w:val="0"/>
          <w:shd w:val="clear" w:color="auto" w:fill="auto"/>
          <w:lang w:val="en-US" w:eastAsia="en-US" w:bidi="en-US"/>
        </w:rPr>
        <w:t xml:space="preserve">(A. Wlosok, </w:t>
      </w:r>
      <w:r>
        <w:rPr>
          <w:rFonts w:ascii="Times New Roman" w:eastAsia="Times New Roman" w:hAnsi="Times New Roman" w:cs="Times New Roman"/>
          <w:color w:val="000000"/>
          <w:spacing w:val="0"/>
          <w:w w:val="100"/>
          <w:position w:val="0"/>
          <w:shd w:val="clear" w:color="auto" w:fill="auto"/>
          <w:lang w:val="hr-HR" w:eastAsia="hr-HR" w:bidi="hr-HR"/>
        </w:rPr>
        <w:t xml:space="preserve">Romischer </w:t>
      </w:r>
      <w:r>
        <w:rPr>
          <w:rFonts w:ascii="Times New Roman" w:eastAsia="Times New Roman" w:hAnsi="Times New Roman" w:cs="Times New Roman"/>
          <w:color w:val="000000"/>
          <w:spacing w:val="0"/>
          <w:w w:val="100"/>
          <w:position w:val="0"/>
          <w:shd w:val="clear" w:color="auto" w:fill="auto"/>
          <w:lang w:val="en-US" w:eastAsia="en-US" w:bidi="en-US"/>
        </w:rPr>
        <w:t>Religi</w:t>
        <w:softHyphen/>
        <w:t xml:space="preserve">ons- </w:t>
      </w:r>
      <w:r>
        <w:rPr>
          <w:rFonts w:ascii="Times New Roman" w:eastAsia="Times New Roman" w:hAnsi="Times New Roman" w:cs="Times New Roman"/>
          <w:color w:val="000000"/>
          <w:spacing w:val="0"/>
          <w:w w:val="100"/>
          <w:position w:val="0"/>
          <w:shd w:val="clear" w:color="auto" w:fill="auto"/>
          <w:lang w:val="hr-HR" w:eastAsia="hr-HR" w:bidi="hr-HR"/>
        </w:rPr>
        <w:t xml:space="preserve">und </w:t>
      </w:r>
      <w:r>
        <w:rPr>
          <w:rFonts w:ascii="Times New Roman" w:eastAsia="Times New Roman" w:hAnsi="Times New Roman" w:cs="Times New Roman"/>
          <w:color w:val="000000"/>
          <w:spacing w:val="0"/>
          <w:w w:val="100"/>
          <w:position w:val="0"/>
          <w:shd w:val="clear" w:color="auto" w:fill="auto"/>
          <w:lang w:val="en-US" w:eastAsia="en-US" w:bidi="en-US"/>
        </w:rPr>
        <w:t xml:space="preserve">Gottesbegriff in </w:t>
      </w:r>
      <w:r>
        <w:rPr>
          <w:rFonts w:ascii="Times New Roman" w:eastAsia="Times New Roman" w:hAnsi="Times New Roman" w:cs="Times New Roman"/>
          <w:color w:val="000000"/>
          <w:spacing w:val="0"/>
          <w:w w:val="100"/>
          <w:position w:val="0"/>
          <w:shd w:val="clear" w:color="auto" w:fill="auto"/>
          <w:lang w:val="hr-HR" w:eastAsia="hr-HR" w:bidi="hr-HR"/>
        </w:rPr>
        <w:t xml:space="preserve">heidnischer und christlicher Zeit,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Antike </w:t>
      </w:r>
      <w:r>
        <w:rPr>
          <w:rFonts w:ascii="Times New Roman" w:eastAsia="Times New Roman" w:hAnsi="Times New Roman" w:cs="Times New Roman"/>
          <w:i/>
          <w:iCs/>
          <w:color w:val="000000"/>
          <w:spacing w:val="0"/>
          <w:w w:val="100"/>
          <w:position w:val="0"/>
          <w:shd w:val="clear" w:color="auto" w:fill="auto"/>
          <w:lang w:val="en-US" w:eastAsia="en-US" w:bidi="en-US"/>
        </w:rPr>
        <w:t>and Abendland</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16 [1970] 49). Čovjek je na temelju činjenice da je stvoren, vezan uz Boga. Kako rani kršćani najprije nisu govorili o svojoj novoj religiji niti o kršćanstvu nego o novom putu, odnosno vjeri (pistis) (Dj 9,2; 19,9; 22,4; 24,14.22), može se počevši od Tcrtulijana i Minucija Fe- liksa razabrati suzdržano preuzimanje riječi religio za vlastitu religiju. Osim za antikne re</w:t>
        <w:softHyphen/>
        <w:t>ligije i za bogoštovlje koje dolazi u SZ, na što se gledalo s porugom i prezirom, sada se go</w:t>
        <w:softHyphen/>
        <w:t>vori o »našoj religiji«, »pravoj religiji«, »Božjoj religiji« i »kršćanskoj religiji« (L. Koep, »Re</w:t>
        <w:softHyphen/>
        <w:t xml:space="preserve">ligio« und »Ritus« als Problem des friihen Christentums, </w:t>
      </w:r>
      <w:r>
        <w:rPr>
          <w:rFonts w:ascii="Times New Roman" w:eastAsia="Times New Roman" w:hAnsi="Times New Roman" w:cs="Times New Roman"/>
          <w:i/>
          <w:iCs/>
          <w:color w:val="000000"/>
          <w:spacing w:val="0"/>
          <w:w w:val="100"/>
          <w:position w:val="0"/>
          <w:shd w:val="clear" w:color="auto" w:fill="auto"/>
          <w:lang w:val="hr-HR" w:eastAsia="hr-HR" w:bidi="hr-HR"/>
        </w:rPr>
        <w:t>u.Jahrbuch fur Antike und Chris- tenlum</w:t>
      </w:r>
      <w:r>
        <w:rPr>
          <w:rFonts w:ascii="Times New Roman" w:eastAsia="Times New Roman" w:hAnsi="Times New Roman" w:cs="Times New Roman"/>
          <w:color w:val="000000"/>
          <w:spacing w:val="0"/>
          <w:w w:val="100"/>
          <w:position w:val="0"/>
          <w:shd w:val="clear" w:color="auto" w:fill="auto"/>
          <w:lang w:val="hr-HR" w:eastAsia="hr-HR" w:bidi="hr-HR"/>
        </w:rPr>
        <w:t xml:space="preserve"> 5, 1962, 47 i đ.).</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Unatoč ponekoj suzdržanosti u primanju uobi</w:t>
        <w:softHyphen/>
        <w:t>čajenih religioznih pojmova, bilo je od poče</w:t>
        <w:softHyphen/>
        <w:t>taka kršćanstva uvijek napora da bi se došlo do izravnavanja vlastite vjere s religioznim gledištima okoline. Odnos kršćanstva prema okolnim religijama ne može se jednostavno opisati kao suprotnost. Na temelju njegove apsolutno utvrđene vjere u Isusa Krista, Me</w:t>
        <w:softHyphen/>
        <w:t xml:space="preserve">siju i </w:t>
      </w:r>
      <w:r>
        <w:rPr>
          <w:rFonts w:ascii="Times New Roman" w:eastAsia="Times New Roman" w:hAnsi="Times New Roman" w:cs="Times New Roman"/>
          <w:color w:val="000000"/>
          <w:spacing w:val="0"/>
          <w:w w:val="100"/>
          <w:position w:val="0"/>
          <w:shd w:val="clear" w:color="auto" w:fill="auto"/>
          <w:lang w:val="en-US" w:eastAsia="en-US" w:bidi="en-US"/>
        </w:rPr>
        <w:t xml:space="preserve">Kyriosa, </w:t>
      </w:r>
      <w:r>
        <w:rPr>
          <w:rFonts w:ascii="Times New Roman" w:eastAsia="Times New Roman" w:hAnsi="Times New Roman" w:cs="Times New Roman"/>
          <w:color w:val="000000"/>
          <w:spacing w:val="0"/>
          <w:w w:val="100"/>
          <w:position w:val="0"/>
          <w:shd w:val="clear" w:color="auto" w:fill="auto"/>
          <w:lang w:val="hr-HR" w:eastAsia="hr-HR" w:bidi="hr-HR"/>
        </w:rPr>
        <w:t>nastalo je novo zajedništvo koje je moralo poduzeti razgraničenja od drugih predodžaba koje se nisu mogle složiti s njego</w:t>
        <w:softHyphen/>
        <w:t>vim shvaćanjem. No, kršćanski se teolozi nisu odlučili za shemu: »Vjera s objavom« nasu</w:t>
        <w:softHyphen/>
        <w:t>prot »religiji« (kao npr. u dijalektičkoj teolo</w:t>
        <w:softHyphen/>
        <w:t xml:space="preserve">giji K. </w:t>
      </w:r>
      <w:r>
        <w:rPr>
          <w:rFonts w:ascii="Times New Roman" w:eastAsia="Times New Roman" w:hAnsi="Times New Roman" w:cs="Times New Roman"/>
          <w:color w:val="000000"/>
          <w:spacing w:val="0"/>
          <w:w w:val="100"/>
          <w:position w:val="0"/>
          <w:shd w:val="clear" w:color="auto" w:fill="auto"/>
          <w:lang w:val="en-US" w:eastAsia="en-US" w:bidi="en-US"/>
        </w:rPr>
        <w:t xml:space="preserve">Bartha). </w:t>
      </w:r>
      <w:r>
        <w:rPr>
          <w:rFonts w:ascii="Times New Roman" w:eastAsia="Times New Roman" w:hAnsi="Times New Roman" w:cs="Times New Roman"/>
          <w:color w:val="000000"/>
          <w:spacing w:val="0"/>
          <w:w w:val="100"/>
          <w:position w:val="0"/>
          <w:shd w:val="clear" w:color="auto" w:fill="auto"/>
          <w:lang w:val="hr-HR" w:eastAsia="hr-HR" w:bidi="hr-HR"/>
        </w:rPr>
        <w:t>Dapače, vidjeli su kršćanstvo sasvim svrstano u krug ostalih religija. Dodu</w:t>
        <w:softHyphen/>
        <w:t xml:space="preserve">še, ono je bilo »apsolutni vrhunac«, ali ipak ne »kontrapunkt« (P. Stockmeier,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Glaube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Religion 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friihen </w:t>
      </w:r>
      <w:r>
        <w:rPr>
          <w:rFonts w:ascii="Times New Roman" w:eastAsia="Times New Roman" w:hAnsi="Times New Roman" w:cs="Times New Roman"/>
          <w:i/>
          <w:iCs/>
          <w:color w:val="000000"/>
          <w:spacing w:val="0"/>
          <w:w w:val="100"/>
          <w:position w:val="0"/>
          <w:shd w:val="clear" w:color="auto" w:fill="auto"/>
          <w:lang w:val="en-US" w:eastAsia="en-US" w:bidi="en-US"/>
        </w:rPr>
        <w:t>Kirche,</w:t>
      </w:r>
      <w:r>
        <w:rPr>
          <w:rFonts w:ascii="Times New Roman" w:eastAsia="Times New Roman" w:hAnsi="Times New Roman" w:cs="Times New Roman"/>
          <w:color w:val="000000"/>
          <w:spacing w:val="0"/>
          <w:w w:val="100"/>
          <w:position w:val="0"/>
          <w:shd w:val="clear" w:color="auto" w:fill="auto"/>
          <w:lang w:val="en-US" w:eastAsia="en-US" w:bidi="en-US"/>
        </w:rPr>
        <w:t xml:space="preserve"> Freiburg </w:t>
      </w:r>
      <w:r>
        <w:rPr>
          <w:rFonts w:ascii="Times New Roman" w:eastAsia="Times New Roman" w:hAnsi="Times New Roman" w:cs="Times New Roman"/>
          <w:color w:val="000000"/>
          <w:spacing w:val="0"/>
          <w:w w:val="100"/>
          <w:position w:val="0"/>
          <w:shd w:val="clear" w:color="auto" w:fill="auto"/>
          <w:lang w:val="hr-HR" w:eastAsia="hr-HR" w:bidi="hr-HR"/>
        </w:rPr>
        <w:t>1973, 38) prema općoj religijskoj povijesti. Odnos se dade opisati »manje u smislu odmaka nego in</w:t>
        <w:softHyphen/>
        <w:t>tegracije koja dakako isključuje djelomična područja antiknih religija«. Dok su u prak</w:t>
        <w:softHyphen/>
        <w:t>tičnom pogledu tuđe religijske predodžbe o obredu bile prilagođene, teoretski je stav bio polemički ili kao kod apologeta univerzalis- tički. Apologeti su pokušavali pridobiti za se</w:t>
        <w:softHyphen/>
        <w:t xml:space="preserve">be obrazovane krugove iz »poganstva«. Oni su uvlačili grčku religijsku filozofiju u svoja razmatranja i tumačili je polazeći od Krista. Tako je nastalo učenje o »logosu raspršenom kao sjeme«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spermatikos) koji je došao do izražaja i kod razumnih »pogana«, npr. u filozofiji Indijaca, Perzijanaca, Egipćana i Grka.</w:t>
      </w:r>
    </w:p>
    <w:p>
      <w:pPr>
        <w:pStyle w:val="Style20"/>
        <w:keepNext w:val="0"/>
        <w:keepLines w:val="0"/>
        <w:widowControl w:val="0"/>
        <w:shd w:val="clear" w:color="auto" w:fill="auto"/>
        <w:bidi w:val="0"/>
        <w:spacing w:before="0" w:after="0" w:line="254" w:lineRule="auto"/>
        <w:ind w:left="0" w:right="0" w:firstLine="0"/>
        <w:jc w:val="both"/>
        <w:sectPr>
          <w:headerReference w:type="default" r:id="rId1251"/>
          <w:footerReference w:type="default" r:id="rId1252"/>
          <w:headerReference w:type="even" r:id="rId1253"/>
          <w:footerReference w:type="even" r:id="rId1254"/>
          <w:footnotePr>
            <w:pos w:val="pageBottom"/>
            <w:numFmt w:val="decimal"/>
            <w:numRestart w:val="continuous"/>
            <w15:footnoteColumns w:val="1"/>
          </w:footnotePr>
          <w:type w:val="continuous"/>
          <w:pgSz w:w="6816" w:h="11006"/>
          <w:pgMar w:top="828" w:left="185" w:right="190" w:bottom="339" w:header="0" w:footer="3" w:gutter="0"/>
          <w:cols w:num="2" w:space="17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Kao »čitav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 xml:space="preserve">(pas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javlja se samo u Kristu. Ideja o prirodnoj religiji omogućila je umetanje povijesti objave u opću religijsku povijest. Ona je dovela do toga da su kršćani svoju religiju, doduše kao »vera religio«, raz</w:t>
        <w:softHyphen/>
        <w:t>likovali od lažnih religija. Nikada ih takvo drža</w:t>
        <w:softHyphen/>
        <w:t>nje nije zavelo da bi se držali za one koji su »bez religije«. Od najvećega zapadnog crkve</w:t>
        <w:softHyphen/>
        <w:t>nog oca Augustina (354-430) potječe rečenica koja potvrđuje kršćansku univerzalnost: »Ono što se sada naziva kršćanskom religijom pos</w:t>
        <w:softHyphen/>
        <w:t xml:space="preserve">tojalo je uvijek u staro doba i nije od početka ljudskog roda nikada bilo nepoznato dok se Krist nije pojavio u tijelu. Od toga vremena počela je prava r. koja je danas ovdje da bismo je nazvali kršćanskom« (Retr. </w:t>
      </w:r>
      <w:r>
        <w:rPr>
          <w:rFonts w:ascii="Times New Roman" w:eastAsia="Times New Roman" w:hAnsi="Times New Roman" w:cs="Times New Roman"/>
          <w:color w:val="000000"/>
          <w:spacing w:val="0"/>
          <w:w w:val="100"/>
          <w:position w:val="0"/>
          <w:shd w:val="clear" w:color="auto" w:fill="auto"/>
          <w:lang w:val="en-US" w:eastAsia="en-US" w:bidi="en-US"/>
        </w:rPr>
        <w:t xml:space="preserve">I, </w:t>
      </w:r>
      <w:r>
        <w:rPr>
          <w:rFonts w:ascii="Times New Roman" w:eastAsia="Times New Roman" w:hAnsi="Times New Roman" w:cs="Times New Roman"/>
          <w:color w:val="000000"/>
          <w:spacing w:val="0"/>
          <w:w w:val="100"/>
          <w:position w:val="0"/>
          <w:shd w:val="clear" w:color="auto" w:fill="auto"/>
          <w:lang w:val="hr-HR" w:eastAsia="hr-HR" w:bidi="hr-HR"/>
        </w:rPr>
        <w:t>c. XIII § 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Susretom s islamom, koji je označio duboki rez u kršćansko tumačenje opće religijske po</w:t>
        <w:softHyphen/>
        <w:t>vijesti, došlo je do odlučujućeg izazova za ovakvo razumijevanje religije. Za Petra Abe- larda (u. 1142) r. je bila nešto općcljudsko što ima temelj u savjesti, dakle u etičnom. Toma Akvinski (u. 1274) shvaćao je »religio« isto tako kao da je to ćudoredna vrlina. »Prepo- znavajući pogansku zabludu, izvankršćansko mišljenje u svojim ‘prirodnim uviđajima’ vri</w:t>
        <w:softHyphen/>
        <w:t xml:space="preserve">jedi kao zajednički temelj kršćanstva i ne- kršćanskih religija. Svima dan </w:t>
      </w:r>
      <w:r>
        <w:rPr>
          <w:rFonts w:ascii="Times New Roman" w:eastAsia="Times New Roman" w:hAnsi="Times New Roman" w:cs="Times New Roman"/>
          <w:color w:val="000000"/>
          <w:spacing w:val="0"/>
          <w:w w:val="100"/>
          <w:position w:val="0"/>
          <w:shd w:val="clear" w:color="auto" w:fill="auto"/>
          <w:lang w:val="en-US" w:eastAsia="en-US" w:bidi="en-US"/>
        </w:rPr>
        <w:t>intellectus na</w:t>
        <w:softHyphen/>
        <w:t xml:space="preserve">turae </w:t>
      </w:r>
      <w:r>
        <w:rPr>
          <w:rFonts w:ascii="Times New Roman" w:eastAsia="Times New Roman" w:hAnsi="Times New Roman" w:cs="Times New Roman"/>
          <w:color w:val="000000"/>
          <w:spacing w:val="0"/>
          <w:w w:val="100"/>
          <w:position w:val="0"/>
          <w:shd w:val="clear" w:color="auto" w:fill="auto"/>
          <w:lang w:val="hr-HR" w:eastAsia="hr-HR" w:bidi="hr-HR"/>
        </w:rPr>
        <w:t>jest onaj temelj na kojem pogani kao i kršćani stoje naspram Boga, čak i ako se ne nalaze na jednako visokim i jednako vrijed</w:t>
        <w:softHyphen/>
        <w:t xml:space="preserve">nim razinama« (H. </w:t>
      </w:r>
      <w:r>
        <w:rPr>
          <w:rFonts w:ascii="Times New Roman" w:eastAsia="Times New Roman" w:hAnsi="Times New Roman" w:cs="Times New Roman"/>
          <w:color w:val="000000"/>
          <w:spacing w:val="0"/>
          <w:w w:val="100"/>
          <w:position w:val="0"/>
          <w:shd w:val="clear" w:color="auto" w:fill="auto"/>
          <w:lang w:val="en-US" w:eastAsia="en-US" w:bidi="en-US"/>
        </w:rPr>
        <w:t xml:space="preserve">Halbfas, </w:t>
      </w:r>
      <w:r>
        <w:rPr>
          <w:rFonts w:ascii="Times New Roman" w:eastAsia="Times New Roman" w:hAnsi="Times New Roman" w:cs="Times New Roman"/>
          <w:i/>
          <w:iCs/>
          <w:color w:val="000000"/>
          <w:spacing w:val="0"/>
          <w:w w:val="100"/>
          <w:position w:val="0"/>
          <w:shd w:val="clear" w:color="auto" w:fill="auto"/>
          <w:lang w:val="en-US" w:eastAsia="en-US" w:bidi="en-US"/>
        </w:rPr>
        <w:t>Religion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 niz: </w:t>
      </w:r>
      <w:r>
        <w:rPr>
          <w:rFonts w:ascii="Times New Roman" w:eastAsia="Times New Roman" w:hAnsi="Times New Roman" w:cs="Times New Roman"/>
          <w:i/>
          <w:iCs/>
          <w:color w:val="000000"/>
          <w:spacing w:val="0"/>
          <w:w w:val="100"/>
          <w:position w:val="0"/>
          <w:shd w:val="clear" w:color="auto" w:fill="auto"/>
          <w:lang w:val="en-US" w:eastAsia="en-US" w:bidi="en-US"/>
        </w:rPr>
        <w:t xml:space="preserve">Themen </w:t>
      </w:r>
      <w:r>
        <w:rPr>
          <w:rFonts w:ascii="Times New Roman" w:eastAsia="Times New Roman" w:hAnsi="Times New Roman" w:cs="Times New Roman"/>
          <w:i/>
          <w:iCs/>
          <w:color w:val="000000"/>
          <w:spacing w:val="0"/>
          <w:w w:val="100"/>
          <w:position w:val="0"/>
          <w:shd w:val="clear" w:color="auto" w:fill="auto"/>
          <w:lang w:val="hr-HR" w:eastAsia="hr-HR" w:bidi="hr-HR"/>
        </w:rPr>
        <w:t>der Theologie.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Erganzungsband], Stutt</w:t>
        <w:softHyphen/>
        <w:t xml:space="preserve">gart </w:t>
      </w:r>
      <w:r>
        <w:rPr>
          <w:rFonts w:ascii="Times New Roman" w:eastAsia="Times New Roman" w:hAnsi="Times New Roman" w:cs="Times New Roman"/>
          <w:color w:val="000000"/>
          <w:spacing w:val="0"/>
          <w:w w:val="100"/>
          <w:position w:val="0"/>
          <w:shd w:val="clear" w:color="auto" w:fill="auto"/>
          <w:lang w:val="hr-HR" w:eastAsia="hr-HR" w:bidi="hr-HR"/>
        </w:rPr>
        <w:t xml:space="preserve">u.a. 1976, 190 i d.). Kardinal Nikola Ku- zanski (1401-1464) značajan je predstavnik ideje o jedinstvu. On je govorio o </w:t>
      </w:r>
      <w:r>
        <w:rPr>
          <w:rFonts w:ascii="Times New Roman" w:eastAsia="Times New Roman" w:hAnsi="Times New Roman" w:cs="Times New Roman"/>
          <w:i/>
          <w:iCs/>
          <w:color w:val="000000"/>
          <w:spacing w:val="0"/>
          <w:w w:val="100"/>
          <w:position w:val="0"/>
          <w:shd w:val="clear" w:color="auto" w:fill="auto"/>
          <w:lang w:val="hr-HR" w:eastAsia="hr-HR" w:bidi="hr-HR"/>
        </w:rPr>
        <w:t>»jednoj</w:t>
      </w:r>
      <w:r>
        <w:rPr>
          <w:rFonts w:ascii="Times New Roman" w:eastAsia="Times New Roman" w:hAnsi="Times New Roman" w:cs="Times New Roman"/>
          <w:color w:val="000000"/>
          <w:spacing w:val="0"/>
          <w:w w:val="100"/>
          <w:position w:val="0"/>
          <w:shd w:val="clear" w:color="auto" w:fill="auto"/>
          <w:lang w:val="hr-HR" w:eastAsia="hr-HR" w:bidi="hr-HR"/>
        </w:rPr>
        <w:t xml:space="preserve"> reli</w:t>
        <w:softHyphen/>
        <w:t>giji unutar mnogostrukosti religioznih obi</w:t>
        <w:softHyphen/>
        <w:t xml:space="preserve">čaja« (una religio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 xml:space="preserve">rituum varictatc). U svom zapisu »De </w:t>
      </w:r>
      <w:r>
        <w:rPr>
          <w:rFonts w:ascii="Times New Roman" w:eastAsia="Times New Roman" w:hAnsi="Times New Roman" w:cs="Times New Roman"/>
          <w:color w:val="000000"/>
          <w:spacing w:val="0"/>
          <w:w w:val="100"/>
          <w:position w:val="0"/>
          <w:shd w:val="clear" w:color="auto" w:fill="auto"/>
          <w:lang w:val="en-US" w:eastAsia="en-US" w:bidi="en-US"/>
        </w:rPr>
        <w:t xml:space="preserve">pace </w:t>
      </w:r>
      <w:r>
        <w:rPr>
          <w:rFonts w:ascii="Times New Roman" w:eastAsia="Times New Roman" w:hAnsi="Times New Roman" w:cs="Times New Roman"/>
          <w:color w:val="000000"/>
          <w:spacing w:val="0"/>
          <w:w w:val="100"/>
          <w:position w:val="0"/>
          <w:shd w:val="clear" w:color="auto" w:fill="auto"/>
          <w:lang w:val="hr-HR" w:eastAsia="hr-HR" w:bidi="hr-HR"/>
        </w:rPr>
        <w:t>fidci« (O vjerskom miru, 1453) kardinal je pretresao u dijaloškom ob</w:t>
        <w:softHyphen/>
        <w:t>liku svoje ideje o budućoj svjetskoj jedinstve</w:t>
        <w:softHyphen/>
        <w:t xml:space="preserve">noj religiji na kršćanskom temelju.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na</w:t>
        <w:softHyphen/>
        <w:t>stupa na nebeskom savjetovanju i objašnjava da su se religijski sporovi svodili na u religi</w:t>
        <w:softHyphen/>
        <w:t>jama krivo shvaćanje stvarne Božje volje. Bog na to zaključi »da se sve religije zajedničkim sporazumom svih ljudi mimo ujedine u jednoj jedinoj religiji koja odsada treba biti nepovre</w:t>
        <w:softHyphen/>
        <w:t>diva«.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srednjem je vijeku pojam »religije« služio za obilježavanje redovničke biti.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nije koristio pojam općenito i izolirano nego »uvi</w:t>
        <w:softHyphen/>
        <w:t>jek samo u povezanosti s određenim načinom čovjekova ponašanja koje je usmjereno ili na božanstvo ili na zemaljske međuljudske od</w:t>
        <w:softHyphen/>
        <w:t xml:space="preserve">nose« (P. </w:t>
      </w:r>
      <w:r>
        <w:rPr>
          <w:rFonts w:ascii="Times New Roman" w:eastAsia="Times New Roman" w:hAnsi="Times New Roman" w:cs="Times New Roman"/>
          <w:color w:val="000000"/>
          <w:spacing w:val="0"/>
          <w:w w:val="100"/>
          <w:position w:val="0"/>
          <w:shd w:val="clear" w:color="auto" w:fill="auto"/>
          <w:lang w:val="en-US" w:eastAsia="en-US" w:bidi="en-US"/>
        </w:rPr>
        <w:t xml:space="preserve">Meinhold, Religionswissenschaft </w:t>
      </w:r>
      <w:r>
        <w:rPr>
          <w:rFonts w:ascii="Times New Roman" w:eastAsia="Times New Roman" w:hAnsi="Times New Roman" w:cs="Times New Roman"/>
          <w:color w:val="000000"/>
          <w:spacing w:val="0"/>
          <w:w w:val="100"/>
          <w:position w:val="0"/>
          <w:shd w:val="clear" w:color="auto" w:fill="auto"/>
          <w:lang w:val="hr-HR" w:eastAsia="hr-HR" w:bidi="hr-HR"/>
        </w:rPr>
        <w:t xml:space="preserve">im </w:t>
      </w:r>
      <w:r>
        <w:rPr>
          <w:rFonts w:ascii="Times New Roman" w:eastAsia="Times New Roman" w:hAnsi="Times New Roman" w:cs="Times New Roman"/>
          <w:color w:val="000000"/>
          <w:spacing w:val="0"/>
          <w:w w:val="100"/>
          <w:position w:val="0"/>
          <w:shd w:val="clear" w:color="auto" w:fill="auto"/>
          <w:lang w:val="en-US" w:eastAsia="en-US" w:bidi="en-US"/>
        </w:rPr>
        <w:t xml:space="preserve">Mittelalter und Reformation, </w:t>
      </w:r>
      <w:r>
        <w:rPr>
          <w:rFonts w:ascii="Times New Roman" w:eastAsia="Times New Roman" w:hAnsi="Times New Roman" w:cs="Times New Roman"/>
          <w:color w:val="000000"/>
          <w:spacing w:val="0"/>
          <w:w w:val="100"/>
          <w:position w:val="0"/>
          <w:shd w:val="clear" w:color="auto" w:fill="auto"/>
          <w:lang w:val="hr-HR" w:eastAsia="hr-HR" w:bidi="hr-HR"/>
        </w:rPr>
        <w:t xml:space="preserve">u: U. Mann [Hrsg.J, </w:t>
      </w:r>
      <w:r>
        <w:rPr>
          <w:rFonts w:ascii="Times New Roman" w:eastAsia="Times New Roman" w:hAnsi="Times New Roman" w:cs="Times New Roman"/>
          <w:i/>
          <w:iCs/>
          <w:color w:val="000000"/>
          <w:spacing w:val="0"/>
          <w:w w:val="100"/>
          <w:position w:val="0"/>
          <w:shd w:val="clear" w:color="auto" w:fill="auto"/>
          <w:lang w:val="hr-HR" w:eastAsia="hr-HR" w:bidi="hr-HR"/>
        </w:rPr>
        <w:t xml:space="preserve">Theologie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Religionswissenschaft, </w:t>
      </w:r>
      <w:r>
        <w:rPr>
          <w:rFonts w:ascii="Times New Roman" w:eastAsia="Times New Roman" w:hAnsi="Times New Roman" w:cs="Times New Roman"/>
          <w:color w:val="000000"/>
          <w:spacing w:val="0"/>
          <w:w w:val="100"/>
          <w:position w:val="0"/>
          <w:shd w:val="clear" w:color="auto" w:fill="auto"/>
          <w:lang w:val="en-US" w:eastAsia="en-US" w:bidi="en-US"/>
        </w:rPr>
        <w:t xml:space="preserve">Darmstadt </w:t>
      </w:r>
      <w:r>
        <w:rPr>
          <w:rFonts w:ascii="Times New Roman" w:eastAsia="Times New Roman" w:hAnsi="Times New Roman" w:cs="Times New Roman"/>
          <w:color w:val="000000"/>
          <w:spacing w:val="0"/>
          <w:w w:val="100"/>
          <w:position w:val="0"/>
          <w:shd w:val="clear" w:color="auto" w:fill="auto"/>
          <w:lang w:val="hr-HR" w:eastAsia="hr-HR" w:bidi="hr-HR"/>
        </w:rPr>
        <w:t>1973, 364). Već »pogani« u pri</w:t>
        <w:softHyphen/>
        <w:t>ključku na Rim 1,20 posjeduju znanje o Bogu, ali to su navodno izopačili u svojim kultovima i obredima. Za Lulhera se izvankršćansko re</w:t>
        <w:softHyphen/>
        <w:t>ligije suprotstavljaju kršćanskoj vjeri koja se sastoji u prihvaćanju evanđelja. Zidovi, pa- pisti i Turci (dakle muslimani) za njega su predstavnici zakonske pobožnosti koja vodi do samootkupljenja i propasti i, naprotiv, ni</w:t>
        <w:softHyphen/>
        <w:t xml:space="preserve">kada do izvjesnosti. Luthcrovo gledište »u svom </w:t>
      </w:r>
      <w:r>
        <w:rPr>
          <w:rFonts w:ascii="Times New Roman" w:eastAsia="Times New Roman" w:hAnsi="Times New Roman" w:cs="Times New Roman"/>
          <w:color w:val="000000"/>
          <w:spacing w:val="0"/>
          <w:w w:val="100"/>
          <w:position w:val="0"/>
          <w:shd w:val="clear" w:color="auto" w:fill="auto"/>
          <w:lang w:val="hr-HR" w:eastAsia="hr-HR" w:bidi="hr-HR"/>
        </w:rPr>
        <w:t xml:space="preserve">rezultatu nije vrlo udaljeno od Tillicha i Bartha« (C. H. </w:t>
      </w:r>
      <w:r>
        <w:rPr>
          <w:rFonts w:ascii="Times New Roman" w:eastAsia="Times New Roman" w:hAnsi="Times New Roman" w:cs="Times New Roman"/>
          <w:color w:val="000000"/>
          <w:spacing w:val="0"/>
          <w:w w:val="100"/>
          <w:position w:val="0"/>
          <w:shd w:val="clear" w:color="auto" w:fill="auto"/>
          <w:lang w:val="en-US" w:eastAsia="en-US" w:bidi="en-US"/>
        </w:rPr>
        <w:t xml:space="preserve">Ratschow,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Religionenen [= </w:t>
      </w:r>
      <w:r>
        <w:rPr>
          <w:rFonts w:ascii="Times New Roman" w:eastAsia="Times New Roman" w:hAnsi="Times New Roman" w:cs="Times New Roman"/>
          <w:i/>
          <w:iCs/>
          <w:color w:val="000000"/>
          <w:spacing w:val="0"/>
          <w:w w:val="100"/>
          <w:position w:val="0"/>
          <w:shd w:val="clear" w:color="auto" w:fill="auto"/>
          <w:lang w:val="en-US" w:eastAsia="en-US" w:bidi="en-US"/>
        </w:rPr>
        <w:t>Hand- buch Systematischer Theologie,</w:t>
      </w:r>
      <w:r>
        <w:rPr>
          <w:rFonts w:ascii="Times New Roman" w:eastAsia="Times New Roman" w:hAnsi="Times New Roman" w:cs="Times New Roman"/>
          <w:color w:val="000000"/>
          <w:spacing w:val="0"/>
          <w:w w:val="100"/>
          <w:position w:val="0"/>
          <w:shd w:val="clear" w:color="auto" w:fill="auto"/>
          <w:lang w:val="en-US" w:eastAsia="en-US" w:bidi="en-US"/>
        </w:rPr>
        <w:t xml:space="preserve"> Bd. 16|, Guter</w:t>
        <w:softHyphen/>
        <w:t>sloh 1979, 91).</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Calvin </w:t>
      </w:r>
      <w:r>
        <w:rPr>
          <w:rFonts w:ascii="Times New Roman" w:eastAsia="Times New Roman" w:hAnsi="Times New Roman" w:cs="Times New Roman"/>
          <w:color w:val="000000"/>
          <w:spacing w:val="0"/>
          <w:w w:val="100"/>
          <w:position w:val="0"/>
          <w:shd w:val="clear" w:color="auto" w:fill="auto"/>
          <w:lang w:val="hr-HR" w:eastAsia="hr-HR" w:bidi="hr-HR"/>
        </w:rPr>
        <w:t xml:space="preserve">je koristio taj pojam u naslovu svoje slavne </w:t>
      </w:r>
      <w:r>
        <w:rPr>
          <w:rFonts w:ascii="Times New Roman" w:eastAsia="Times New Roman" w:hAnsi="Times New Roman" w:cs="Times New Roman"/>
          <w:i/>
          <w:iCs/>
          <w:color w:val="000000"/>
          <w:spacing w:val="0"/>
          <w:w w:val="100"/>
          <w:position w:val="0"/>
          <w:shd w:val="clear" w:color="auto" w:fill="auto"/>
          <w:lang w:val="hr-HR" w:eastAsia="hr-HR" w:bidi="hr-HR"/>
        </w:rPr>
        <w:t>Institutio christianae religionis</w:t>
      </w:r>
      <w:r>
        <w:rPr>
          <w:rFonts w:ascii="Times New Roman" w:eastAsia="Times New Roman" w:hAnsi="Times New Roman" w:cs="Times New Roman"/>
          <w:color w:val="000000"/>
          <w:spacing w:val="0"/>
          <w:w w:val="100"/>
          <w:position w:val="0"/>
          <w:shd w:val="clear" w:color="auto" w:fill="auto"/>
          <w:lang w:val="hr-HR" w:eastAsia="hr-HR" w:bidi="hr-HR"/>
        </w:rPr>
        <w:t xml:space="preserve"> (1536) u smislu apriorističke sklonosti u čovjeku koju naziva »semen religionis«. R. je za Calvina iskustvo bezgranične čovjekove ovisnosti pred Bogom. Isto tako i Melanchthon svodi spo</w:t>
        <w:softHyphen/>
        <w:t>znajne temelje u kršćanstvu i u religijama na zajednički antropološki temelj.</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protestantskoj ortodoksiji služio je termin r. kao nadpojam za kršćanske i izvankršćan- ske religije.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prosvjetiteljstvu se iznova promišlja pojam religije. »Sve veće povijesno poznavanje svjet</w:t>
        <w:softHyphen/>
        <w:t>skih religija i sučeljavanje s njima u poveza</w:t>
        <w:softHyphen/>
        <w:t>nosti s filozofskim deizmom vode do shvaća</w:t>
        <w:softHyphen/>
        <w:t xml:space="preserve">nja religije koje kršćanstvo supsumira pod nadpojam i tako čini pojavom između ostalih« (H.-J. </w:t>
      </w:r>
      <w:r>
        <w:rPr>
          <w:rFonts w:ascii="Times New Roman" w:eastAsia="Times New Roman" w:hAnsi="Times New Roman" w:cs="Times New Roman"/>
          <w:color w:val="000000"/>
          <w:spacing w:val="0"/>
          <w:w w:val="100"/>
          <w:position w:val="0"/>
          <w:shd w:val="clear" w:color="auto" w:fill="auto"/>
          <w:lang w:val="en-US" w:eastAsia="en-US" w:bidi="en-US"/>
        </w:rPr>
        <w:t xml:space="preserve">Fraas,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Katechismustradition, </w:t>
      </w:r>
      <w:r>
        <w:rPr>
          <w:rFonts w:ascii="Times New Roman" w:eastAsia="Times New Roman" w:hAnsi="Times New Roman" w:cs="Times New Roman"/>
          <w:i/>
          <w:iCs/>
          <w:color w:val="000000"/>
          <w:spacing w:val="0"/>
          <w:w w:val="100"/>
          <w:position w:val="0"/>
          <w:shd w:val="clear" w:color="auto" w:fill="auto"/>
          <w:lang w:val="en-US" w:eastAsia="en-US" w:bidi="en-US"/>
        </w:rPr>
        <w:t xml:space="preserve">Luthers Kleiner Katechismus in Kirche und Schule, </w:t>
      </w:r>
      <w:r>
        <w:rPr>
          <w:rFonts w:ascii="Times New Roman" w:eastAsia="Times New Roman" w:hAnsi="Times New Roman" w:cs="Times New Roman"/>
          <w:color w:val="000000"/>
          <w:spacing w:val="0"/>
          <w:w w:val="100"/>
          <w:position w:val="0"/>
          <w:shd w:val="clear" w:color="auto" w:fill="auto"/>
          <w:lang w:val="en-US" w:eastAsia="en-US" w:bidi="en-US"/>
        </w:rPr>
        <w:t xml:space="preserve">Gottingen 1971, 141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 xml:space="preserve">Dolazi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razliko</w:t>
        <w:softHyphen/>
        <w:t>vanja, čak i suprotstavljenosti između teolo</w:t>
        <w:softHyphen/>
        <w:t xml:space="preserve">gije i religije (usp. </w:t>
      </w:r>
      <w:r>
        <w:rPr>
          <w:rFonts w:ascii="Times New Roman" w:eastAsia="Times New Roman" w:hAnsi="Times New Roman" w:cs="Times New Roman"/>
          <w:color w:val="000000"/>
          <w:spacing w:val="0"/>
          <w:w w:val="100"/>
          <w:position w:val="0"/>
          <w:shd w:val="clear" w:color="auto" w:fill="auto"/>
          <w:lang w:val="en-US" w:eastAsia="en-US" w:bidi="en-US"/>
        </w:rPr>
        <w:t xml:space="preserve">Johann </w:t>
      </w:r>
      <w:r>
        <w:rPr>
          <w:rFonts w:ascii="Times New Roman" w:eastAsia="Times New Roman" w:hAnsi="Times New Roman" w:cs="Times New Roman"/>
          <w:color w:val="000000"/>
          <w:spacing w:val="0"/>
          <w:w w:val="100"/>
          <w:position w:val="0"/>
          <w:shd w:val="clear" w:color="auto" w:fill="auto"/>
          <w:lang w:val="hr-HR" w:eastAsia="hr-HR" w:bidi="hr-HR"/>
        </w:rPr>
        <w:t xml:space="preserve">Salomo Semler,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Abhandlung von freier Untersuchung des Canon, </w:t>
      </w:r>
      <w:r>
        <w:rPr>
          <w:rFonts w:ascii="Times New Roman" w:eastAsia="Times New Roman" w:hAnsi="Times New Roman" w:cs="Times New Roman"/>
          <w:color w:val="000000"/>
          <w:spacing w:val="0"/>
          <w:w w:val="100"/>
          <w:position w:val="0"/>
          <w:shd w:val="clear" w:color="auto" w:fill="auto"/>
          <w:lang w:val="hr-HR" w:eastAsia="hr-HR" w:bidi="hr-HR"/>
        </w:rPr>
        <w:t>1771). Time je Semler osigurao znanosti pot</w:t>
        <w:softHyphen/>
        <w:t xml:space="preserve">punu slobodu. Semler je razlikovao javnu od privatne religije. Dok punoljetan pojedinac ima potpunu slobodu religioznog uvjerenja, država treba bdjeti nad velikim mnoštvom. </w:t>
      </w:r>
      <w:r>
        <w:rPr>
          <w:rFonts w:ascii="Times New Roman" w:eastAsia="Times New Roman" w:hAnsi="Times New Roman" w:cs="Times New Roman"/>
          <w:color w:val="000000"/>
          <w:spacing w:val="0"/>
          <w:w w:val="100"/>
          <w:position w:val="0"/>
          <w:shd w:val="clear" w:color="auto" w:fill="auto"/>
          <w:lang w:val="en-US" w:eastAsia="en-US" w:bidi="en-US"/>
        </w:rPr>
        <w:t>Jo</w:t>
        <w:softHyphen/>
        <w:t xml:space="preserve">hann Gottfried Herder </w:t>
      </w:r>
      <w:r>
        <w:rPr>
          <w:rFonts w:ascii="Times New Roman" w:eastAsia="Times New Roman" w:hAnsi="Times New Roman" w:cs="Times New Roman"/>
          <w:color w:val="000000"/>
          <w:spacing w:val="0"/>
          <w:w w:val="100"/>
          <w:position w:val="0"/>
          <w:shd w:val="clear" w:color="auto" w:fill="auto"/>
          <w:lang w:val="hr-HR" w:eastAsia="hr-HR" w:bidi="hr-HR"/>
        </w:rPr>
        <w:t xml:space="preserve">zastupao je u svom spisu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Von Religion, </w:t>
      </w:r>
      <w:r>
        <w:rPr>
          <w:rFonts w:ascii="Times New Roman" w:eastAsia="Times New Roman" w:hAnsi="Times New Roman" w:cs="Times New Roman"/>
          <w:i/>
          <w:iCs/>
          <w:color w:val="000000"/>
          <w:spacing w:val="0"/>
          <w:w w:val="100"/>
          <w:position w:val="0"/>
          <w:shd w:val="clear" w:color="auto" w:fill="auto"/>
          <w:lang w:val="hr-HR" w:eastAsia="hr-HR" w:bidi="hr-HR"/>
        </w:rPr>
        <w:t>Lehrmeinungen und Ge- brduchen</w:t>
      </w:r>
      <w:r>
        <w:rPr>
          <w:rFonts w:ascii="Times New Roman" w:eastAsia="Times New Roman" w:hAnsi="Times New Roman" w:cs="Times New Roman"/>
          <w:color w:val="000000"/>
          <w:spacing w:val="0"/>
          <w:w w:val="100"/>
          <w:position w:val="0"/>
          <w:shd w:val="clear" w:color="auto" w:fill="auto"/>
          <w:lang w:val="hr-HR" w:eastAsia="hr-HR" w:bidi="hr-HR"/>
        </w:rPr>
        <w:t xml:space="preserve"> (1798) gledište da »ono što misle učenja, dijeli i ogorčava, dok r. ujedinjuje jer je u srcima svih ljudi samo jedna«.</w:t>
      </w:r>
    </w:p>
    <w:p>
      <w:pPr>
        <w:pStyle w:val="Style20"/>
        <w:keepNext w:val="0"/>
        <w:keepLines w:val="0"/>
        <w:widowControl w:val="0"/>
        <w:shd w:val="clear" w:color="auto" w:fill="auto"/>
        <w:bidi w:val="0"/>
        <w:spacing w:before="0" w:after="0" w:line="240" w:lineRule="auto"/>
        <w:ind w:left="0" w:right="0" w:firstLine="0"/>
        <w:jc w:val="both"/>
        <w:sectPr>
          <w:headerReference w:type="default" r:id="rId1255"/>
          <w:footerReference w:type="default" r:id="rId1256"/>
          <w:headerReference w:type="even" r:id="rId1257"/>
          <w:footerReference w:type="even" r:id="rId1258"/>
          <w:footnotePr>
            <w:pos w:val="pageBottom"/>
            <w:numFmt w:val="decimal"/>
            <w:numRestart w:val="continuous"/>
            <w15:footnoteColumns w:val="1"/>
          </w:footnotePr>
          <w:pgSz w:w="6816" w:h="11006"/>
          <w:pgMar w:top="828" w:left="185" w:right="190" w:bottom="339" w:header="0" w:footer="3" w:gutter="0"/>
          <w:pgNumType w:start="417"/>
          <w:cols w:num="2" w:space="17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Sve veće poznavanje izvankršćanskih religija bilo je u liberalnoj teologiji razrađeno na po- vijesno-pozitivistički način. Zanimalo se za iz</w:t>
        <w:softHyphen/>
        <w:t>vedenice i u pravilu su samo egzegetske disci</w:t>
        <w:softHyphen/>
        <w:t>pline to uzimale na znanje. Unutar liberalne teologije trudila se obrazložiti vlastita r., po</w:t>
        <w:softHyphen/>
        <w:t xml:space="preserve">lazeći od općeljudske pojave religioznosti. Za to je značajan programatski predgovor prvog izdanja priručnog tječnika </w:t>
      </w:r>
      <w:r>
        <w:rPr>
          <w:rFonts w:ascii="Times New Roman" w:eastAsia="Times New Roman" w:hAnsi="Times New Roman" w:cs="Times New Roman"/>
          <w:i/>
          <w:iCs/>
          <w:color w:val="000000"/>
          <w:spacing w:val="0"/>
          <w:w w:val="100"/>
          <w:position w:val="0"/>
          <w:shd w:val="clear" w:color="auto" w:fill="auto"/>
          <w:lang w:val="en-US" w:eastAsia="en-US" w:bidi="en-US"/>
        </w:rPr>
        <w:t>Die Religion in Geschichte und Gegemvart</w:t>
      </w:r>
      <w:r>
        <w:rPr>
          <w:rFonts w:ascii="Times New Roman" w:eastAsia="Times New Roman" w:hAnsi="Times New Roman" w:cs="Times New Roman"/>
          <w:color w:val="000000"/>
          <w:spacing w:val="0"/>
          <w:w w:val="100"/>
          <w:position w:val="0"/>
          <w:shd w:val="clear" w:color="auto" w:fill="auto"/>
          <w:lang w:val="en-US" w:eastAsia="en-US" w:bidi="en-US"/>
        </w:rPr>
        <w:t xml:space="preserve"> (RGG, 1. </w:t>
      </w:r>
      <w:r>
        <w:rPr>
          <w:rFonts w:ascii="Times New Roman" w:eastAsia="Times New Roman" w:hAnsi="Times New Roman" w:cs="Times New Roman"/>
          <w:color w:val="000000"/>
          <w:spacing w:val="0"/>
          <w:w w:val="100"/>
          <w:position w:val="0"/>
          <w:shd w:val="clear" w:color="auto" w:fill="auto"/>
          <w:lang w:val="hr-HR" w:eastAsia="hr-HR" w:bidi="hr-HR"/>
        </w:rPr>
        <w:t xml:space="preserve">izdanje </w:t>
      </w:r>
      <w:r>
        <w:rPr>
          <w:rFonts w:ascii="Times New Roman" w:eastAsia="Times New Roman" w:hAnsi="Times New Roman" w:cs="Times New Roman"/>
          <w:color w:val="000000"/>
          <w:spacing w:val="0"/>
          <w:w w:val="100"/>
          <w:position w:val="0"/>
          <w:shd w:val="clear" w:color="auto" w:fill="auto"/>
          <w:lang w:val="en-US" w:eastAsia="en-US" w:bidi="en-US"/>
        </w:rPr>
        <w:t xml:space="preserve">1909-1913): </w:t>
      </w:r>
      <w:r>
        <w:rPr>
          <w:rFonts w:ascii="Times New Roman" w:eastAsia="Times New Roman" w:hAnsi="Times New Roman" w:cs="Times New Roman"/>
          <w:color w:val="000000"/>
          <w:spacing w:val="0"/>
          <w:w w:val="100"/>
          <w:position w:val="0"/>
          <w:shd w:val="clear" w:color="auto" w:fill="auto"/>
          <w:lang w:val="hr-HR" w:eastAsia="hr-HR" w:bidi="hr-HR"/>
        </w:rPr>
        <w:t xml:space="preserve">»Glede </w:t>
      </w:r>
      <w:r>
        <w:rPr>
          <w:rFonts w:ascii="Times New Roman" w:eastAsia="Times New Roman" w:hAnsi="Times New Roman" w:cs="Times New Roman"/>
          <w:color w:val="000000"/>
          <w:spacing w:val="0"/>
          <w:w w:val="100"/>
          <w:position w:val="0"/>
          <w:shd w:val="clear" w:color="auto" w:fill="auto"/>
          <w:lang w:val="en-US" w:eastAsia="en-US" w:bidi="en-US"/>
        </w:rPr>
        <w:t xml:space="preserve">same </w:t>
      </w:r>
      <w:r>
        <w:rPr>
          <w:rFonts w:ascii="Times New Roman" w:eastAsia="Times New Roman" w:hAnsi="Times New Roman" w:cs="Times New Roman"/>
          <w:color w:val="000000"/>
          <w:spacing w:val="0"/>
          <w:w w:val="100"/>
          <w:position w:val="0"/>
          <w:shd w:val="clear" w:color="auto" w:fill="auto"/>
          <w:lang w:val="hr-HR" w:eastAsia="hr-HR" w:bidi="hr-HR"/>
        </w:rPr>
        <w:t>religije moramo pro</w:t>
        <w:softHyphen/>
        <w:t xml:space="preserve">širiti svoje granice. Nestaje staro, apsolutno dijeljenje na kršćanstvo i religije bez objave i na to mjesto dolaze nove povijesne granice i odnosi. Zato naš priručnik opisuje sve glavne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religije prema temeljnim crtama njihove biti i njihove povijesti te razrađuje u posebnim član</w:t>
        <w:softHyphen/>
        <w:t>cima sav materijal o činjenicama opće reli</w:t>
        <w:softHyphen/>
        <w:t xml:space="preserve">gijske znanosti koji ima značenje za povijest i sadašnjost naše religije.« (IX). Za liberalno razmišljanje kršćanstvo je dakle </w:t>
      </w:r>
      <w:r>
        <w:rPr>
          <w:rFonts w:ascii="Times New Roman" w:eastAsia="Times New Roman" w:hAnsi="Times New Roman" w:cs="Times New Roman"/>
          <w:i/>
          <w:iCs/>
          <w:color w:val="000000"/>
          <w:spacing w:val="0"/>
          <w:w w:val="100"/>
          <w:position w:val="0"/>
          <w:shd w:val="clear" w:color="auto" w:fill="auto"/>
          <w:lang w:val="hr-HR" w:eastAsia="hr-HR" w:bidi="hr-HR"/>
        </w:rPr>
        <w:t>jedna</w:t>
      </w:r>
      <w:r>
        <w:rPr>
          <w:rFonts w:ascii="Times New Roman" w:eastAsia="Times New Roman" w:hAnsi="Times New Roman" w:cs="Times New Roman"/>
          <w:color w:val="000000"/>
          <w:spacing w:val="0"/>
          <w:w w:val="100"/>
          <w:position w:val="0"/>
          <w:shd w:val="clear" w:color="auto" w:fill="auto"/>
          <w:lang w:val="hr-HR" w:eastAsia="hr-HR" w:bidi="hr-HR"/>
        </w:rPr>
        <w:t xml:space="preserve"> r. od mnogih, ali ipak »najpotpunija </w:t>
      </w:r>
      <w:r>
        <w:rPr>
          <w:rFonts w:ascii="Times New Roman" w:eastAsia="Times New Roman" w:hAnsi="Times New Roman" w:cs="Times New Roman"/>
          <w:color w:val="000000"/>
          <w:spacing w:val="0"/>
          <w:w w:val="100"/>
          <w:position w:val="0"/>
          <w:shd w:val="clear" w:color="auto" w:fill="auto"/>
          <w:lang w:val="en-US" w:eastAsia="en-US" w:bidi="en-US"/>
        </w:rPr>
        <w:t xml:space="preserve">species </w:t>
      </w:r>
      <w:r>
        <w:rPr>
          <w:rFonts w:ascii="Times New Roman" w:eastAsia="Times New Roman" w:hAnsi="Times New Roman" w:cs="Times New Roman"/>
          <w:color w:val="000000"/>
          <w:spacing w:val="0"/>
          <w:w w:val="100"/>
          <w:position w:val="0"/>
          <w:shd w:val="clear" w:color="auto" w:fill="auto"/>
          <w:lang w:val="hr-HR" w:eastAsia="hr-HR" w:bidi="hr-HR"/>
        </w:rPr>
        <w:t xml:space="preserve">od </w:t>
      </w:r>
      <w:r>
        <w:rPr>
          <w:rFonts w:ascii="Times New Roman" w:eastAsia="Times New Roman" w:hAnsi="Times New Roman" w:cs="Times New Roman"/>
          <w:color w:val="000000"/>
          <w:spacing w:val="0"/>
          <w:w w:val="100"/>
          <w:position w:val="0"/>
          <w:shd w:val="clear" w:color="auto" w:fill="auto"/>
          <w:lang w:val="en-US" w:eastAsia="en-US" w:bidi="en-US"/>
        </w:rPr>
        <w:t>ge</w:t>
        <w:softHyphen/>
        <w:t xml:space="preserve">nus« (Elsas, </w:t>
      </w:r>
      <w:r>
        <w:rPr>
          <w:rFonts w:ascii="Times New Roman" w:eastAsia="Times New Roman" w:hAnsi="Times New Roman" w:cs="Times New Roman"/>
          <w:i/>
          <w:iCs/>
          <w:color w:val="000000"/>
          <w:spacing w:val="0"/>
          <w:w w:val="100"/>
          <w:position w:val="0"/>
          <w:shd w:val="clear" w:color="auto" w:fill="auto"/>
          <w:lang w:val="en-US" w:eastAsia="en-US" w:bidi="en-US"/>
        </w:rPr>
        <w:t>Religion,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32). Sustavna teologija jedva je uzela na znanje rcligijsko-povijesna istraživanja i zato je to ostao objelodanjen materijal bez stvarnog djelovanja. Ni misli za religijsku znanost vrlo značajnog evangelič- kog teologa i filozofa religija Rudolfa Otta (1869-1937) nisu imale osobito djelovanje unutar teologije. Potpuno novo promišljanje na protestantskom području izvršio je Karl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(1886-1968). Razmjena mišljenja koja je godinama dobro funkcionirala između teo</w:t>
        <w:softHyphen/>
        <w:t>logije i religijske znanosti (npr. u »Školi za po</w:t>
        <w:softHyphen/>
        <w:t xml:space="preserve">vijest religija« liberalne teologije) zaledila se do beznačajnosti u eri dijalektičke teologije. Od dvadesetih godina XX. stoljeća </w:t>
      </w:r>
      <w:r>
        <w:rPr>
          <w:rFonts w:ascii="Times New Roman" w:eastAsia="Times New Roman" w:hAnsi="Times New Roman" w:cs="Times New Roman"/>
          <w:color w:val="000000"/>
          <w:spacing w:val="0"/>
          <w:w w:val="100"/>
          <w:position w:val="0"/>
          <w:shd w:val="clear" w:color="auto" w:fill="auto"/>
          <w:lang w:val="en-US" w:eastAsia="en-US" w:bidi="en-US"/>
        </w:rPr>
        <w:t xml:space="preserve">Barth </w:t>
      </w:r>
      <w:r>
        <w:rPr>
          <w:rFonts w:ascii="Times New Roman" w:eastAsia="Times New Roman" w:hAnsi="Times New Roman" w:cs="Times New Roman"/>
          <w:color w:val="000000"/>
          <w:spacing w:val="0"/>
          <w:w w:val="100"/>
          <w:position w:val="0"/>
          <w:shd w:val="clear" w:color="auto" w:fill="auto"/>
          <w:lang w:val="hr-HR" w:eastAsia="hr-HR" w:bidi="hr-HR"/>
        </w:rPr>
        <w:t>i njegovi teološki sljedbenici diktatorski su sta</w:t>
      </w:r>
      <w:r>
        <w:rPr>
          <w:rFonts w:ascii="Times New Roman" w:eastAsia="Times New Roman" w:hAnsi="Times New Roman" w:cs="Times New Roman"/>
          <w:color w:val="000000"/>
          <w:spacing w:val="0"/>
          <w:w w:val="100"/>
          <w:position w:val="0"/>
          <w:shd w:val="clear" w:color="auto" w:fill="auto"/>
          <w:vertAlign w:val="subscript"/>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hr-HR" w:eastAsia="hr-HR" w:bidi="hr-HR"/>
        </w:rPr>
        <w:t>vili fenomen »religije« pod verdikt evanđelja. Odsada kršćanstvo više nije bila r. i zato se više nije moglo uspoređivati s ostalim religija</w:t>
        <w:softHyphen/>
        <w:t>ma. Vrijedilo je: r. je ljudski, grešni i uzaludni pokušaj »odozdo«; naprotiv, kršćanska vjera je nezaslužen dar odozgo. Između obadviju veličina ne postoji kontinuitet. »R. je nevje</w:t>
        <w:softHyphen/>
        <w:t xml:space="preserve">ra«, »stvar bezbožnog čovjeka«. Božja objava znači prema § 17. </w:t>
      </w:r>
      <w:r>
        <w:rPr>
          <w:rFonts w:ascii="Times New Roman" w:eastAsia="Times New Roman" w:hAnsi="Times New Roman" w:cs="Times New Roman"/>
          <w:i/>
          <w:iCs/>
          <w:color w:val="000000"/>
          <w:spacing w:val="0"/>
          <w:w w:val="100"/>
          <w:position w:val="0"/>
          <w:shd w:val="clear" w:color="auto" w:fill="auto"/>
          <w:lang w:val="hr-HR" w:eastAsia="hr-HR" w:bidi="hr-HR"/>
        </w:rPr>
        <w:t>Crkvene dogmatike</w:t>
      </w:r>
      <w:r>
        <w:rPr>
          <w:rFonts w:ascii="Times New Roman" w:eastAsia="Times New Roman" w:hAnsi="Times New Roman" w:cs="Times New Roman"/>
          <w:color w:val="000000"/>
          <w:spacing w:val="0"/>
          <w:w w:val="100"/>
          <w:position w:val="0"/>
          <w:shd w:val="clear" w:color="auto" w:fill="auto"/>
          <w:lang w:val="hr-HR" w:eastAsia="hr-HR" w:bidi="hr-HR"/>
        </w:rPr>
        <w:t xml:space="preserve"> »ukida</w:t>
        <w:softHyphen/>
        <w:t>nje religija«.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Utjecaj dijalektičkog shvaćanja religije jasno se može osjetiti u trećem izdanju već spome</w:t>
        <w:softHyphen/>
        <w:t>nutoga priručnog rječnika RGG: »Kršćanska vjera (sic!) po cvangeličkom shvaćanju treba odrediti novo izdanje tog djela. Ona je sre</w:t>
        <w:softHyphen/>
        <w:t>dište koje određuje, od kojega se kritički za</w:t>
        <w:softHyphen/>
        <w:t>uzima stav prema svim pojavnim oblicima re</w:t>
        <w:softHyphen/>
        <w:t>ligioznoga (!)« (V.).</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Protiv protestantske nove ortodoksije i shva</w:t>
        <w:softHyphen/>
        <w:t>ćanja religije bili su između ostaloga usmje</w:t>
        <w:softHyphen/>
        <w:t>reni »Stavci iz Hanaua« (1968) »Saveza za slobodno kršćanstvo«, udruženja slobodoum</w:t>
        <w:softHyphen/>
        <w:t>nih protestanata u kojima je priznato i pravo izvanbiblijskih osvjedočenja o Bogu. I teolo</w:t>
        <w:softHyphen/>
        <w:t xml:space="preserve">gija </w:t>
      </w:r>
      <w:r>
        <w:rPr>
          <w:rFonts w:ascii="Times New Roman" w:eastAsia="Times New Roman" w:hAnsi="Times New Roman" w:cs="Times New Roman"/>
          <w:color w:val="000000"/>
          <w:spacing w:val="0"/>
          <w:w w:val="100"/>
          <w:position w:val="0"/>
          <w:shd w:val="clear" w:color="auto" w:fill="auto"/>
          <w:lang w:val="en-US" w:eastAsia="en-US" w:bidi="en-US"/>
        </w:rPr>
        <w:t xml:space="preserve">Paula </w:t>
      </w:r>
      <w:r>
        <w:rPr>
          <w:rFonts w:ascii="Times New Roman" w:eastAsia="Times New Roman" w:hAnsi="Times New Roman" w:cs="Times New Roman"/>
          <w:color w:val="000000"/>
          <w:spacing w:val="0"/>
          <w:w w:val="100"/>
          <w:position w:val="0"/>
          <w:shd w:val="clear" w:color="auto" w:fill="auto"/>
          <w:lang w:val="hr-HR" w:eastAsia="hr-HR" w:bidi="hr-HR"/>
        </w:rPr>
        <w:t>Tillicha, koji je tek pri kraju svoga života - teološki - primio na znanje realno postojeće religije, unatoč svojim iskazima koji zvuče tolerantno, nije daleko od Barthova sta</w:t>
        <w:softHyphen/>
        <w:t xml:space="preserve">jališta. Oba antipoda došla su do analogne </w:t>
      </w:r>
      <w:r>
        <w:rPr>
          <w:rFonts w:ascii="Times New Roman" w:eastAsia="Times New Roman" w:hAnsi="Times New Roman" w:cs="Times New Roman"/>
          <w:color w:val="000000"/>
          <w:spacing w:val="0"/>
          <w:w w:val="100"/>
          <w:position w:val="0"/>
          <w:shd w:val="clear" w:color="auto" w:fill="auto"/>
          <w:lang w:val="hr-HR" w:eastAsia="hr-HR" w:bidi="hr-HR"/>
        </w:rPr>
        <w:t xml:space="preserve">teze u odnosu na religiju. Doduše, pogotovo kod kasnoga Tillicha (Daj </w:t>
      </w:r>
      <w:r>
        <w:rPr>
          <w:rFonts w:ascii="Times New Roman" w:eastAsia="Times New Roman" w:hAnsi="Times New Roman" w:cs="Times New Roman"/>
          <w:i/>
          <w:iCs/>
          <w:color w:val="000000"/>
          <w:spacing w:val="0"/>
          <w:w w:val="100"/>
          <w:position w:val="0"/>
          <w:shd w:val="clear" w:color="auto" w:fill="auto"/>
          <w:lang w:val="hr-HR" w:eastAsia="hr-HR" w:bidi="hr-HR"/>
        </w:rPr>
        <w:t xml:space="preserve">Christentum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Begegnung der </w:t>
      </w:r>
      <w:r>
        <w:rPr>
          <w:rFonts w:ascii="Times New Roman" w:eastAsia="Times New Roman" w:hAnsi="Times New Roman" w:cs="Times New Roman"/>
          <w:i/>
          <w:iCs/>
          <w:color w:val="000000"/>
          <w:spacing w:val="0"/>
          <w:w w:val="100"/>
          <w:position w:val="0"/>
          <w:shd w:val="clear" w:color="auto" w:fill="auto"/>
          <w:lang w:val="en-US" w:eastAsia="en-US" w:bidi="en-US"/>
        </w:rPr>
        <w:t>Weltreligionen</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1964) nalaze se zanimljiva i za religije sasvim otvorena pro</w:t>
        <w:softHyphen/>
        <w:t xml:space="preserve">suđivanja. U njegovoj </w:t>
      </w:r>
      <w:r>
        <w:rPr>
          <w:rFonts w:ascii="Times New Roman" w:eastAsia="Times New Roman" w:hAnsi="Times New Roman" w:cs="Times New Roman"/>
          <w:i/>
          <w:iCs/>
          <w:color w:val="000000"/>
          <w:spacing w:val="0"/>
          <w:w w:val="100"/>
          <w:position w:val="0"/>
          <w:shd w:val="clear" w:color="auto" w:fill="auto"/>
          <w:lang w:val="en-US" w:eastAsia="en-US" w:bidi="en-US"/>
        </w:rPr>
        <w:t xml:space="preserve">Systematische </w:t>
      </w:r>
      <w:r>
        <w:rPr>
          <w:rFonts w:ascii="Times New Roman" w:eastAsia="Times New Roman" w:hAnsi="Times New Roman" w:cs="Times New Roman"/>
          <w:i/>
          <w:iCs/>
          <w:color w:val="000000"/>
          <w:spacing w:val="0"/>
          <w:w w:val="100"/>
          <w:position w:val="0"/>
          <w:shd w:val="clear" w:color="auto" w:fill="auto"/>
          <w:lang w:val="hr-HR" w:eastAsia="hr-HR" w:bidi="hr-HR"/>
        </w:rPr>
        <w:t xml:space="preserve">Theologie </w:t>
      </w:r>
      <w:r>
        <w:rPr>
          <w:rFonts w:ascii="Times New Roman" w:eastAsia="Times New Roman" w:hAnsi="Times New Roman" w:cs="Times New Roman"/>
          <w:color w:val="000000"/>
          <w:spacing w:val="0"/>
          <w:w w:val="100"/>
          <w:position w:val="0"/>
          <w:shd w:val="clear" w:color="auto" w:fill="auto"/>
          <w:lang w:val="hr-HR" w:eastAsia="hr-HR" w:bidi="hr-HR"/>
        </w:rPr>
        <w:t>riječ je isto tako o svetome i numinoznome u smislu Rudolfa Otta. Pa ipak, religije i »Novi bitak« na kraju se međusobno suprotstavljaju. Tragedija religija za Tillicha je njihova navod</w:t>
        <w:softHyphen/>
        <w:t>na sklonost prema samootkupljcnju.</w:t>
      </w:r>
    </w:p>
    <w:p>
      <w:pPr>
        <w:pStyle w:val="Style56"/>
        <w:keepNext w:val="0"/>
        <w:keepLines w:val="0"/>
        <w:widowControl w:val="0"/>
        <w:shd w:val="clear" w:color="auto" w:fill="auto"/>
        <w:bidi w:val="0"/>
        <w:spacing w:before="0" w:after="120" w:line="240" w:lineRule="auto"/>
        <w:ind w:left="0" w:right="0" w:firstLine="0"/>
        <w:jc w:val="both"/>
        <w:rPr>
          <w:sz w:val="15"/>
          <w:szCs w:val="15"/>
        </w:rPr>
      </w:pPr>
      <w:r>
        <w:rPr>
          <w:color w:val="000000"/>
          <w:spacing w:val="0"/>
          <w:w w:val="100"/>
          <w:position w:val="0"/>
          <w:sz w:val="12"/>
          <w:szCs w:val="12"/>
          <w:shd w:val="clear" w:color="auto" w:fill="auto"/>
        </w:rPr>
        <w:t xml:space="preserve">Lie.: Ch. Elsas (Hrsg.). </w:t>
      </w:r>
      <w:r>
        <w:rPr>
          <w:i/>
          <w:iCs/>
          <w:color w:val="000000"/>
          <w:spacing w:val="0"/>
          <w:w w:val="100"/>
          <w:position w:val="0"/>
          <w:sz w:val="12"/>
          <w:szCs w:val="12"/>
          <w:shd w:val="clear" w:color="auto" w:fill="auto"/>
        </w:rPr>
        <w:t xml:space="preserve">Religion. </w:t>
      </w:r>
      <w:r>
        <w:rPr>
          <w:i/>
          <w:iCs/>
          <w:color w:val="000000"/>
          <w:spacing w:val="0"/>
          <w:w w:val="100"/>
          <w:position w:val="0"/>
          <w:sz w:val="12"/>
          <w:szCs w:val="12"/>
          <w:shd w:val="clear" w:color="auto" w:fill="auto"/>
          <w:lang w:val="hr-HR" w:eastAsia="hr-HR" w:bidi="hr-HR"/>
        </w:rPr>
        <w:t xml:space="preserve">Em Jahrhundert theologi- scher, </w:t>
      </w:r>
      <w:r>
        <w:rPr>
          <w:i/>
          <w:iCs/>
          <w:color w:val="000000"/>
          <w:spacing w:val="0"/>
          <w:w w:val="100"/>
          <w:position w:val="0"/>
          <w:sz w:val="12"/>
          <w:szCs w:val="12"/>
          <w:shd w:val="clear" w:color="auto" w:fill="auto"/>
        </w:rPr>
        <w:t xml:space="preserve">philosophischer, soziologischer </w:t>
      </w:r>
      <w:r>
        <w:rPr>
          <w:i/>
          <w:iCs/>
          <w:color w:val="000000"/>
          <w:spacing w:val="0"/>
          <w:w w:val="100"/>
          <w:position w:val="0"/>
          <w:sz w:val="12"/>
          <w:szCs w:val="12"/>
          <w:shd w:val="clear" w:color="auto" w:fill="auto"/>
          <w:lang w:val="hr-HR" w:eastAsia="hr-HR" w:bidi="hr-HR"/>
        </w:rPr>
        <w:t>und</w:t>
      </w:r>
      <w:r>
        <w:rPr>
          <w:i/>
          <w:iCs/>
          <w:color w:val="000000"/>
          <w:spacing w:val="0"/>
          <w:w w:val="100"/>
          <w:position w:val="0"/>
          <w:sz w:val="12"/>
          <w:szCs w:val="12"/>
          <w:shd w:val="clear" w:color="auto" w:fill="auto"/>
        </w:rPr>
        <w:t xml:space="preserve">psychotoffscher In- </w:t>
      </w:r>
      <w:r>
        <w:rPr>
          <w:i/>
          <w:iCs/>
          <w:color w:val="000000"/>
          <w:spacing w:val="0"/>
          <w:w w:val="100"/>
          <w:position w:val="0"/>
          <w:sz w:val="12"/>
          <w:szCs w:val="12"/>
          <w:shd w:val="clear" w:color="auto" w:fill="auto"/>
          <w:lang w:val="hr-HR" w:eastAsia="hr-HR" w:bidi="hr-HR"/>
        </w:rPr>
        <w:t>lerpreiationsansatzc.</w:t>
      </w:r>
      <w:r>
        <w:rPr>
          <w:color w:val="000000"/>
          <w:spacing w:val="0"/>
          <w:w w:val="100"/>
          <w:position w:val="0"/>
          <w:sz w:val="12"/>
          <w:szCs w:val="12"/>
          <w:shd w:val="clear" w:color="auto" w:fill="auto"/>
          <w:lang w:val="hr-HR" w:eastAsia="hr-HR" w:bidi="hr-HR"/>
        </w:rPr>
        <w:t xml:space="preserve"> (= Thcologischc </w:t>
      </w:r>
      <w:r>
        <w:rPr>
          <w:color w:val="000000"/>
          <w:spacing w:val="0"/>
          <w:w w:val="100"/>
          <w:position w:val="0"/>
          <w:sz w:val="12"/>
          <w:szCs w:val="12"/>
          <w:shd w:val="clear" w:color="auto" w:fill="auto"/>
        </w:rPr>
        <w:t xml:space="preserve">Biiehcrci. </w:t>
      </w:r>
      <w:r>
        <w:rPr>
          <w:i/>
          <w:iCs/>
          <w:color w:val="000000"/>
          <w:spacing w:val="0"/>
          <w:w w:val="100"/>
          <w:position w:val="0"/>
          <w:sz w:val="12"/>
          <w:szCs w:val="12"/>
          <w:shd w:val="clear" w:color="auto" w:fill="auto"/>
        </w:rPr>
        <w:t xml:space="preserve">Systemali- </w:t>
      </w:r>
      <w:r>
        <w:rPr>
          <w:i/>
          <w:iCs/>
          <w:color w:val="000000"/>
          <w:spacing w:val="0"/>
          <w:w w:val="100"/>
          <w:position w:val="0"/>
          <w:sz w:val="12"/>
          <w:szCs w:val="12"/>
          <w:shd w:val="clear" w:color="auto" w:fill="auto"/>
          <w:lang w:val="hr-HR" w:eastAsia="hr-HR" w:bidi="hr-HR"/>
        </w:rPr>
        <w:t>rehe Theologie</w:t>
      </w:r>
      <w:r>
        <w:rPr>
          <w:color w:val="000000"/>
          <w:spacing w:val="0"/>
          <w:w w:val="100"/>
          <w:position w:val="0"/>
          <w:sz w:val="12"/>
          <w:szCs w:val="12"/>
          <w:shd w:val="clear" w:color="auto" w:fill="auto"/>
          <w:lang w:val="hr-HR" w:eastAsia="hr-HR" w:bidi="hr-HR"/>
        </w:rPr>
        <w:t xml:space="preserve"> Bd. 56), Munchcn 1975; E. Fcil. </w:t>
      </w:r>
      <w:r>
        <w:rPr>
          <w:i/>
          <w:iCs/>
          <w:color w:val="000000"/>
          <w:spacing w:val="0"/>
          <w:w w:val="100"/>
          <w:position w:val="0"/>
          <w:sz w:val="12"/>
          <w:szCs w:val="12"/>
          <w:shd w:val="clear" w:color="auto" w:fill="auto"/>
          <w:lang w:val="hr-HR" w:eastAsia="hr-HR" w:bidi="hr-HR"/>
        </w:rPr>
        <w:t xml:space="preserve">Reltgio </w:t>
      </w:r>
      <w:r>
        <w:rPr>
          <w:i/>
          <w:iCs/>
          <w:color w:val="000000"/>
          <w:spacing w:val="0"/>
          <w:w w:val="100"/>
          <w:position w:val="0"/>
          <w:sz w:val="12"/>
          <w:szCs w:val="12"/>
          <w:shd w:val="clear" w:color="auto" w:fill="auto"/>
        </w:rPr>
        <w:t xml:space="preserve">Die Geschichte des </w:t>
      </w:r>
      <w:r>
        <w:rPr>
          <w:i/>
          <w:iCs/>
          <w:color w:val="000000"/>
          <w:spacing w:val="0"/>
          <w:w w:val="100"/>
          <w:position w:val="0"/>
          <w:sz w:val="12"/>
          <w:szCs w:val="12"/>
          <w:shd w:val="clear" w:color="auto" w:fill="auto"/>
          <w:lang w:val="hr-HR" w:eastAsia="hr-HR" w:bidi="hr-HR"/>
        </w:rPr>
        <w:t>Regriffs von den Anfiingen der Chrisienheil bis zum Augsburgcr Religionsfrieden</w:t>
      </w:r>
      <w:r>
        <w:rPr>
          <w:color w:val="000000"/>
          <w:spacing w:val="0"/>
          <w:w w:val="100"/>
          <w:position w:val="0"/>
          <w:sz w:val="12"/>
          <w:szCs w:val="12"/>
          <w:shd w:val="clear" w:color="auto" w:fill="auto"/>
          <w:lang w:val="hr-HR" w:eastAsia="hr-HR" w:bidi="hr-HR"/>
        </w:rPr>
        <w:t xml:space="preserve"> 1555, Giillingcn 1986; G. </w:t>
      </w:r>
      <w:r>
        <w:rPr>
          <w:color w:val="000000"/>
          <w:spacing w:val="0"/>
          <w:w w:val="100"/>
          <w:position w:val="0"/>
          <w:sz w:val="12"/>
          <w:szCs w:val="12"/>
          <w:shd w:val="clear" w:color="auto" w:fill="auto"/>
        </w:rPr>
        <w:t xml:space="preserve">Mcnsching, </w:t>
      </w:r>
      <w:r>
        <w:rPr>
          <w:i/>
          <w:iCs/>
          <w:color w:val="000000"/>
          <w:spacing w:val="0"/>
          <w:w w:val="100"/>
          <w:position w:val="0"/>
          <w:sz w:val="12"/>
          <w:szCs w:val="12"/>
          <w:shd w:val="clear" w:color="auto" w:fill="auto"/>
        </w:rPr>
        <w:t>Die Religion,</w:t>
      </w:r>
      <w:r>
        <w:rPr>
          <w:color w:val="000000"/>
          <w:spacing w:val="0"/>
          <w:w w:val="100"/>
          <w:position w:val="0"/>
          <w:sz w:val="12"/>
          <w:szCs w:val="12"/>
          <w:shd w:val="clear" w:color="auto" w:fill="auto"/>
        </w:rPr>
        <w:t xml:space="preserve"> Stuttgart </w:t>
      </w:r>
      <w:r>
        <w:rPr>
          <w:color w:val="000000"/>
          <w:spacing w:val="0"/>
          <w:w w:val="100"/>
          <w:position w:val="0"/>
          <w:sz w:val="12"/>
          <w:szCs w:val="12"/>
          <w:shd w:val="clear" w:color="auto" w:fill="auto"/>
          <w:lang w:val="hr-HR" w:eastAsia="hr-HR" w:bidi="hr-HR"/>
        </w:rPr>
        <w:t xml:space="preserve">1959. U. </w:t>
      </w:r>
      <w:r>
        <w:rPr>
          <w:rFonts w:ascii="Times New Roman" w:eastAsia="Times New Roman" w:hAnsi="Times New Roman" w:cs="Times New Roman"/>
          <w:smallCaps/>
          <w:color w:val="000000"/>
          <w:spacing w:val="0"/>
          <w:w w:val="100"/>
          <w:position w:val="0"/>
          <w:sz w:val="15"/>
          <w:szCs w:val="15"/>
          <w:shd w:val="clear" w:color="auto" w:fill="auto"/>
        </w:rPr>
        <w:t>I'WORUSCIIKa</w:t>
      </w:r>
    </w:p>
    <w:p>
      <w:pPr>
        <w:pStyle w:val="Style63"/>
        <w:keepNext/>
        <w:keepLines/>
        <w:widowControl w:val="0"/>
        <w:numPr>
          <w:ilvl w:val="0"/>
          <w:numId w:val="459"/>
        </w:numPr>
        <w:shd w:val="clear" w:color="auto" w:fill="auto"/>
        <w:tabs>
          <w:tab w:pos="265" w:val="left"/>
        </w:tabs>
        <w:bidi w:val="0"/>
        <w:spacing w:before="0"/>
        <w:ind w:left="0" w:right="0" w:firstLine="0"/>
        <w:jc w:val="both"/>
      </w:pPr>
      <w:bookmarkStart w:id="307" w:name="bookmark307"/>
      <w:r>
        <w:rPr>
          <w:rFonts w:ascii="Times New Roman" w:eastAsia="Times New Roman" w:hAnsi="Times New Roman" w:cs="Times New Roman"/>
          <w:color w:val="000000"/>
          <w:spacing w:val="0"/>
          <w:w w:val="100"/>
          <w:position w:val="0"/>
          <w:shd w:val="clear" w:color="auto" w:fill="auto"/>
          <w:lang w:val="hr-HR" w:eastAsia="hr-HR" w:bidi="hr-HR"/>
        </w:rPr>
        <w:t>islamski</w:t>
      </w:r>
      <w:bookmarkEnd w:id="30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 pojmom r. u islamu se podrazumijeva ona božanska ustanova koja ovdje na zemlji obe</w:t>
        <w:softHyphen/>
        <w:t>ćava spas razumnim bićima i jamči ga na ono</w:t>
        <w:softHyphen/>
        <w:t>me svijetu. Pretvorena u životnu zbilju, r. se sastoji od vjerskih sadržaja i od djela njezinih pripadnika. Kuran - a prema njemu i islamska teologija - za označavanje pojma religije ko</w:t>
        <w:softHyphen/>
        <w:t xml:space="preserve">riste perzijsku riječ </w:t>
      </w:r>
      <w:r>
        <w:rPr>
          <w:rFonts w:ascii="Times New Roman" w:eastAsia="Times New Roman" w:hAnsi="Times New Roman" w:cs="Times New Roman"/>
          <w:i/>
          <w:iCs/>
          <w:color w:val="000000"/>
          <w:spacing w:val="0"/>
          <w:w w:val="100"/>
          <w:position w:val="0"/>
          <w:shd w:val="clear" w:color="auto" w:fill="auto"/>
          <w:lang w:val="hr-HR" w:eastAsia="hr-HR" w:bidi="hr-HR"/>
        </w:rPr>
        <w:t>din.</w:t>
      </w:r>
      <w:r>
        <w:rPr>
          <w:rFonts w:ascii="Times New Roman" w:eastAsia="Times New Roman" w:hAnsi="Times New Roman" w:cs="Times New Roman"/>
          <w:color w:val="000000"/>
          <w:spacing w:val="0"/>
          <w:w w:val="100"/>
          <w:position w:val="0"/>
          <w:shd w:val="clear" w:color="auto" w:fill="auto"/>
          <w:lang w:val="hr-HR" w:eastAsia="hr-HR" w:bidi="hr-HR"/>
        </w:rPr>
        <w:t xml:space="preserve"> U arapskoj jezičnoj uporabi ta riječ ima još i značenje </w:t>
      </w:r>
      <w:r>
        <w:rPr>
          <w:rFonts w:ascii="Times New Roman" w:eastAsia="Times New Roman" w:hAnsi="Times New Roman" w:cs="Times New Roman"/>
          <w:i/>
          <w:iCs/>
          <w:color w:val="000000"/>
          <w:spacing w:val="0"/>
          <w:w w:val="100"/>
          <w:position w:val="0"/>
          <w:shd w:val="clear" w:color="auto" w:fill="auto"/>
          <w:lang w:val="hr-HR" w:eastAsia="hr-HR" w:bidi="hr-HR"/>
        </w:rPr>
        <w:t>običaja, navika</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suda.</w:t>
      </w:r>
      <w:r>
        <w:rPr>
          <w:rFonts w:ascii="Times New Roman" w:eastAsia="Times New Roman" w:hAnsi="Times New Roman" w:cs="Times New Roman"/>
          <w:color w:val="000000"/>
          <w:spacing w:val="0"/>
          <w:w w:val="100"/>
          <w:position w:val="0"/>
          <w:shd w:val="clear" w:color="auto" w:fill="auto"/>
          <w:lang w:val="hr-HR" w:eastAsia="hr-HR" w:bidi="hr-HR"/>
        </w:rPr>
        <w:t xml:space="preserve"> Svaka je r. </w:t>
      </w:r>
      <w:r>
        <w:rPr>
          <w:rFonts w:ascii="Times New Roman" w:eastAsia="Times New Roman" w:hAnsi="Times New Roman" w:cs="Times New Roman"/>
          <w:i/>
          <w:iCs/>
          <w:color w:val="000000"/>
          <w:spacing w:val="0"/>
          <w:w w:val="100"/>
          <w:position w:val="0"/>
          <w:shd w:val="clear" w:color="auto" w:fill="auto"/>
          <w:lang w:val="hr-HR" w:eastAsia="hr-HR" w:bidi="hr-HR"/>
        </w:rPr>
        <w:t>din,</w:t>
      </w:r>
      <w:r>
        <w:rPr>
          <w:rFonts w:ascii="Times New Roman" w:eastAsia="Times New Roman" w:hAnsi="Times New Roman" w:cs="Times New Roman"/>
          <w:color w:val="000000"/>
          <w:spacing w:val="0"/>
          <w:w w:val="100"/>
          <w:position w:val="0"/>
          <w:shd w:val="clear" w:color="auto" w:fill="auto"/>
          <w:lang w:val="hr-HR" w:eastAsia="hr-HR" w:bidi="hr-HR"/>
        </w:rPr>
        <w:t xml:space="preserve"> no Bog priznaje samo islam (3,27). Shvaćanje religije kao bo</w:t>
        <w:softHyphen/>
        <w:t>žanske zaklade donosi sa sobom to da musli</w:t>
        <w:softHyphen/>
        <w:t>mani u njoj vide voljni izraz najvišeg autori</w:t>
        <w:softHyphen/>
        <w:t>teta koji sukladno tomu zahtijeva poslušnost i respekt. S druge strane, svakom je čovjeku prepuštena sloboda da se odluči za religiju ili da ostane izvan nje. »U vjeri nema prisilja- vanja« (2,256). R. obuhvaća tri područja osje</w:t>
        <w:softHyphen/>
        <w:t xml:space="preserve">ćanja, mišljenja i djelovanja: a) vjeru </w:t>
      </w:r>
      <w:r>
        <w:rPr>
          <w:rFonts w:ascii="Times New Roman" w:eastAsia="Times New Roman" w:hAnsi="Times New Roman" w:cs="Times New Roman"/>
          <w:i/>
          <w:iCs/>
          <w:color w:val="000000"/>
          <w:spacing w:val="0"/>
          <w:w w:val="100"/>
          <w:position w:val="0"/>
          <w:shd w:val="clear" w:color="auto" w:fill="auto"/>
          <w:lang w:val="hr-HR" w:eastAsia="hr-HR" w:bidi="hr-HR"/>
        </w:rPr>
        <w:t xml:space="preserve">(iman), </w:t>
      </w:r>
      <w:r>
        <w:rPr>
          <w:rFonts w:ascii="Times New Roman" w:eastAsia="Times New Roman" w:hAnsi="Times New Roman" w:cs="Times New Roman"/>
          <w:color w:val="000000"/>
          <w:spacing w:val="0"/>
          <w:w w:val="100"/>
          <w:position w:val="0"/>
          <w:shd w:val="clear" w:color="auto" w:fill="auto"/>
          <w:lang w:val="hr-HR" w:eastAsia="hr-HR" w:bidi="hr-HR"/>
        </w:rPr>
        <w:t xml:space="preserve">b) obavljanje vjerskih obreda i dužnosti </w:t>
      </w:r>
      <w:r>
        <w:rPr>
          <w:rFonts w:ascii="Times New Roman" w:eastAsia="Times New Roman" w:hAnsi="Times New Roman" w:cs="Times New Roman"/>
          <w:i/>
          <w:iCs/>
          <w:color w:val="000000"/>
          <w:spacing w:val="0"/>
          <w:w w:val="100"/>
          <w:position w:val="0"/>
          <w:shd w:val="clear" w:color="auto" w:fill="auto"/>
          <w:lang w:val="hr-HR" w:eastAsia="hr-HR" w:bidi="hr-HR"/>
        </w:rPr>
        <w:t>(is</w:t>
        <w:softHyphen/>
        <w:t>lam)</w:t>
      </w:r>
      <w:r>
        <w:rPr>
          <w:rFonts w:ascii="Times New Roman" w:eastAsia="Times New Roman" w:hAnsi="Times New Roman" w:cs="Times New Roman"/>
          <w:color w:val="000000"/>
          <w:spacing w:val="0"/>
          <w:w w:val="100"/>
          <w:position w:val="0"/>
          <w:shd w:val="clear" w:color="auto" w:fill="auto"/>
          <w:lang w:val="hr-HR" w:eastAsia="hr-HR" w:bidi="hr-HR"/>
        </w:rPr>
        <w:t xml:space="preserve"> i c) ponašanje </w:t>
      </w:r>
      <w:r>
        <w:rPr>
          <w:rFonts w:ascii="Times New Roman" w:eastAsia="Times New Roman" w:hAnsi="Times New Roman" w:cs="Times New Roman"/>
          <w:i/>
          <w:iCs/>
          <w:color w:val="000000"/>
          <w:spacing w:val="0"/>
          <w:w w:val="100"/>
          <w:position w:val="0"/>
          <w:shd w:val="clear" w:color="auto" w:fill="auto"/>
          <w:lang w:val="hr-HR" w:eastAsia="hr-HR" w:bidi="hr-HR"/>
        </w:rPr>
        <w:t>(akhlak</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ihsan).</w:t>
      </w:r>
      <w:r>
        <w:rPr>
          <w:rFonts w:ascii="Times New Roman" w:eastAsia="Times New Roman" w:hAnsi="Times New Roman" w:cs="Times New Roman"/>
          <w:color w:val="000000"/>
          <w:spacing w:val="0"/>
          <w:w w:val="100"/>
          <w:position w:val="0"/>
          <w:shd w:val="clear" w:color="auto" w:fill="auto"/>
          <w:lang w:val="hr-HR" w:eastAsia="hr-HR" w:bidi="hr-HR"/>
        </w:rPr>
        <w:t xml:space="preserve"> Vjeru sačinjava šest članaka vjere islamske vjerois</w:t>
        <w:softHyphen/>
        <w:t>povijesti. Oni glase: 1. Vjerujem u Boga. 2. Vjerujem u Njegove anđele. 3. Vjerujem u Njegove objave. 4. Vjerujem u Njegove po</w:t>
        <w:softHyphen/>
        <w:t>slanike (proroke). 5. Vjerujem u sudnji dan i u uskrsnuće mrtvih. 6. Vjerujem u njegov od</w:t>
        <w:softHyphen/>
        <w:t>lučujući utjecaj na tijek svijeta; naime u to da je njegovom odlukom zasnovano sve, bilo do</w:t>
        <w:softHyphen/>
        <w:t>bro ili zlo.</w:t>
      </w:r>
    </w:p>
    <w:p>
      <w:pPr>
        <w:pStyle w:val="Style20"/>
        <w:keepNext w:val="0"/>
        <w:keepLines w:val="0"/>
        <w:widowControl w:val="0"/>
        <w:shd w:val="clear" w:color="auto" w:fill="auto"/>
        <w:bidi w:val="0"/>
        <w:spacing w:before="0" w:after="60"/>
        <w:ind w:left="0" w:right="0" w:firstLine="0"/>
        <w:jc w:val="both"/>
        <w:sectPr>
          <w:headerReference w:type="default" r:id="rId1259"/>
          <w:footerReference w:type="default" r:id="rId1260"/>
          <w:headerReference w:type="even" r:id="rId1261"/>
          <w:footerReference w:type="even" r:id="rId1262"/>
          <w:footnotePr>
            <w:pos w:val="pageBottom"/>
            <w:numFmt w:val="decimal"/>
            <w:numRestart w:val="continuous"/>
            <w15:footnoteColumns w:val="1"/>
          </w:footnotePr>
          <w:pgSz w:w="6816" w:h="11006"/>
          <w:pgMar w:top="828" w:left="185" w:right="190" w:bottom="339" w:header="0" w:footer="3" w:gutter="0"/>
          <w:pgNumType w:start="414"/>
          <w:cols w:num="2" w:space="17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prvom se religioznom planu ispunjava na</w:t>
        <w:softHyphen/>
        <w:t xml:space="preserve">rednih pet dužnosti (»uporišta islama«): 1. svjedočanstvo, 2. molitve, 3. post u mjesecu ramazanu, davanje socijalnih prinosa (zekat) i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 hodočašće u Meku (hadž). Ponašanje se is</w:t>
        <w:softHyphen/>
        <w:t xml:space="preserve">crpno obraduje u islamskome nauku o moralu (—&gt; Vrlina). Na njega se u prvom redu odnosi Muhamedovo apostolsko poslanje. Nasuprot </w:t>
      </w:r>
      <w:r>
        <w:rPr>
          <w:rFonts w:ascii="Times New Roman" w:eastAsia="Times New Roman" w:hAnsi="Times New Roman" w:cs="Times New Roman"/>
          <w:i/>
          <w:iCs/>
          <w:color w:val="000000"/>
          <w:spacing w:val="0"/>
          <w:w w:val="100"/>
          <w:position w:val="0"/>
          <w:shd w:val="clear" w:color="auto" w:fill="auto"/>
          <w:lang w:val="hr-HR" w:eastAsia="hr-HR" w:bidi="hr-HR"/>
        </w:rPr>
        <w:t>dinu</w:t>
      </w:r>
      <w:r>
        <w:rPr>
          <w:rFonts w:ascii="Times New Roman" w:eastAsia="Times New Roman" w:hAnsi="Times New Roman" w:cs="Times New Roman"/>
          <w:color w:val="000000"/>
          <w:spacing w:val="0"/>
          <w:w w:val="100"/>
          <w:position w:val="0"/>
          <w:shd w:val="clear" w:color="auto" w:fill="auto"/>
          <w:lang w:val="hr-HR" w:eastAsia="hr-HR" w:bidi="hr-HR"/>
        </w:rPr>
        <w:t xml:space="preserve"> stoji </w:t>
      </w:r>
      <w:r>
        <w:rPr>
          <w:rFonts w:ascii="Times New Roman" w:eastAsia="Times New Roman" w:hAnsi="Times New Roman" w:cs="Times New Roman"/>
          <w:i/>
          <w:iCs/>
          <w:color w:val="000000"/>
          <w:spacing w:val="0"/>
          <w:w w:val="100"/>
          <w:position w:val="0"/>
          <w:shd w:val="clear" w:color="auto" w:fill="auto"/>
          <w:lang w:val="hr-HR" w:eastAsia="hr-HR" w:bidi="hr-HR"/>
        </w:rPr>
        <w:t>dunja -</w:t>
      </w:r>
      <w:r>
        <w:rPr>
          <w:rFonts w:ascii="Times New Roman" w:eastAsia="Times New Roman" w:hAnsi="Times New Roman" w:cs="Times New Roman"/>
          <w:color w:val="000000"/>
          <w:spacing w:val="0"/>
          <w:w w:val="100"/>
          <w:position w:val="0"/>
          <w:shd w:val="clear" w:color="auto" w:fill="auto"/>
          <w:lang w:val="hr-HR" w:eastAsia="hr-HR" w:bidi="hr-HR"/>
        </w:rPr>
        <w:t xml:space="preserve"> »niži svijet« svakodnevice. Razlikovanje </w:t>
      </w:r>
      <w:r>
        <w:rPr>
          <w:rFonts w:ascii="Times New Roman" w:eastAsia="Times New Roman" w:hAnsi="Times New Roman" w:cs="Times New Roman"/>
          <w:i/>
          <w:iCs/>
          <w:color w:val="000000"/>
          <w:spacing w:val="0"/>
          <w:w w:val="100"/>
          <w:position w:val="0"/>
          <w:shd w:val="clear" w:color="auto" w:fill="auto"/>
          <w:lang w:val="hr-HR" w:eastAsia="hr-HR" w:bidi="hr-HR"/>
        </w:rPr>
        <w:t>dina</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dunja</w:t>
      </w:r>
      <w:r>
        <w:rPr>
          <w:rFonts w:ascii="Times New Roman" w:eastAsia="Times New Roman" w:hAnsi="Times New Roman" w:cs="Times New Roman"/>
          <w:color w:val="000000"/>
          <w:spacing w:val="0"/>
          <w:w w:val="100"/>
          <w:position w:val="0"/>
          <w:shd w:val="clear" w:color="auto" w:fill="auto"/>
          <w:lang w:val="hr-HR" w:eastAsia="hr-HR" w:bidi="hr-HR"/>
        </w:rPr>
        <w:t xml:space="preserve"> duboko je usađeno u svijest muslimanskih ljudi.</w:t>
      </w:r>
    </w:p>
    <w:p>
      <w:pPr>
        <w:pStyle w:val="Style56"/>
        <w:keepNext w:val="0"/>
        <w:keepLines w:val="0"/>
        <w:widowControl w:val="0"/>
        <w:shd w:val="clear" w:color="auto" w:fill="auto"/>
        <w:tabs>
          <w:tab w:pos="2549" w:val="left"/>
        </w:tabs>
        <w:bidi w:val="0"/>
        <w:spacing w:before="0" w:after="300" w:line="240" w:lineRule="auto"/>
        <w:ind w:left="0" w:right="0" w:firstLine="0"/>
        <w:jc w:val="both"/>
      </w:pPr>
      <w:r>
        <w:rPr>
          <w:color w:val="000000"/>
          <w:spacing w:val="0"/>
          <w:w w:val="100"/>
          <w:position w:val="0"/>
          <w:shd w:val="clear" w:color="auto" w:fill="auto"/>
          <w:lang w:val="hr-HR" w:eastAsia="hr-HR" w:bidi="hr-HR"/>
        </w:rPr>
        <w:t xml:space="preserve">Lit.: natuknica: </w:t>
      </w:r>
      <w:r>
        <w:rPr>
          <w:i/>
          <w:iCs/>
          <w:color w:val="000000"/>
          <w:spacing w:val="0"/>
          <w:w w:val="100"/>
          <w:position w:val="0"/>
          <w:shd w:val="clear" w:color="auto" w:fill="auto"/>
          <w:lang w:val="hr-HR" w:eastAsia="hr-HR" w:bidi="hr-HR"/>
        </w:rPr>
        <w:t>din,</w:t>
      </w:r>
      <w:r>
        <w:rPr>
          <w:color w:val="000000"/>
          <w:spacing w:val="0"/>
          <w:w w:val="100"/>
          <w:position w:val="0"/>
          <w:shd w:val="clear" w:color="auto" w:fill="auto"/>
          <w:lang w:val="hr-HR" w:eastAsia="hr-HR" w:bidi="hr-HR"/>
        </w:rPr>
        <w:t xml:space="preserve"> u: Hl, 98-99.</w:t>
        <w:tab/>
        <w:t>S. BAUĆ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RELIGIJSKA PEDAGOGIJA</w:t>
      </w:r>
    </w:p>
    <w:p>
      <w:pPr>
        <w:pStyle w:val="Style63"/>
        <w:keepNext/>
        <w:keepLines/>
        <w:widowControl w:val="0"/>
        <w:numPr>
          <w:ilvl w:val="0"/>
          <w:numId w:val="479"/>
        </w:numPr>
        <w:shd w:val="clear" w:color="auto" w:fill="auto"/>
        <w:tabs>
          <w:tab w:pos="246" w:val="left"/>
        </w:tabs>
        <w:bidi w:val="0"/>
        <w:spacing w:before="0"/>
        <w:ind w:left="0" w:right="0" w:firstLine="0"/>
        <w:jc w:val="both"/>
      </w:pPr>
      <w:bookmarkStart w:id="308" w:name="bookmark308"/>
      <w:r>
        <w:rPr>
          <w:rFonts w:ascii="Times New Roman" w:eastAsia="Times New Roman" w:hAnsi="Times New Roman" w:cs="Times New Roman"/>
          <w:color w:val="000000"/>
          <w:spacing w:val="0"/>
          <w:w w:val="100"/>
          <w:position w:val="0"/>
          <w:shd w:val="clear" w:color="auto" w:fill="auto"/>
          <w:lang w:val="hr-HR" w:eastAsia="hr-HR" w:bidi="hr-HR"/>
        </w:rPr>
        <w:t>židovski</w:t>
      </w:r>
      <w:bookmarkEnd w:id="308"/>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»Neka naša djeca budu naši jamci« :</w:t>
      </w:r>
      <w:r>
        <w:rPr>
          <w:rFonts w:ascii="Times New Roman" w:eastAsia="Times New Roman" w:hAnsi="Times New Roman" w:cs="Times New Roman"/>
          <w:color w:val="000000"/>
          <w:spacing w:val="0"/>
          <w:w w:val="100"/>
          <w:position w:val="0"/>
          <w:shd w:val="clear" w:color="auto" w:fill="auto"/>
          <w:lang w:val="hr-HR" w:eastAsia="hr-HR" w:bidi="hr-HR"/>
        </w:rPr>
        <w:t xml:space="preserve"> »Tako govoraše Bog Izraelcima dok su stajali kako bi primili Toru: Dat ću vam Toru; dovedite mi dobre jamce da ćete je se i držati, kad vam je dadnem. Izraelci rekoše: Naši su oci naši jam</w:t>
        <w:softHyphen/>
        <w:t xml:space="preserve">ci. Bog odvrati: Vaši oci jamče samo za sebe. Tako i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jamči za sebe, jer mi nije vjerovao (Post 15,8), pa ni Jichak jer je ljubio Ezava kojega sam mrzio (Mal 1,3), ni Jakov jer nije imao povjerenja (Iz 40,27); morate da</w:t>
        <w:softHyphen/>
        <w:t>ti dobro jamstvo, pa ću vam dati Toru. Izraelci govorahu pred Bogom: Gospodaru svijeta! Neka naši proroci budu naši jamci. I oni, od</w:t>
        <w:softHyphen/>
        <w:t>vrati Bog, jamče samo za sebe (Jr 2,8; Ez 13,4); morate mi dati sigurne jamce ako vam dajem Toru. Neka onda, rekoše Izraelci, naša djeca budu naši jamci. Njih prihvaćam, od</w:t>
        <w:softHyphen/>
        <w:t>vrati Bog, ona su mi dobri jamci za vas, i dat ću vam Toru (Ps 8,3).« Tumačenje Rabi Mei- ra (II. stoljeće) u midrašu naglašava na način, koji se ni s čime ne može usporediti, visoko značenje koje židovstvo pripisuje vjerodostoj</w:t>
        <w:softHyphen/>
        <w:t xml:space="preserve">nom svakodnevnom odlučivanju i djelovanju roditelja u životu cijele židovske zajednice u »religijskom« odgoju djece. Da je to istaknuta dužnost </w:t>
      </w:r>
      <w:r>
        <w:rPr>
          <w:rFonts w:ascii="Times New Roman" w:eastAsia="Times New Roman" w:hAnsi="Times New Roman" w:cs="Times New Roman"/>
          <w:i/>
          <w:iCs/>
          <w:color w:val="000000"/>
          <w:spacing w:val="0"/>
          <w:w w:val="100"/>
          <w:position w:val="0"/>
          <w:shd w:val="clear" w:color="auto" w:fill="auto"/>
          <w:lang w:val="hr-HR" w:eastAsia="hr-HR" w:bidi="hr-HR"/>
        </w:rPr>
        <w:t>(micva,</w:t>
      </w:r>
      <w:r>
        <w:rPr>
          <w:rFonts w:ascii="Times New Roman" w:eastAsia="Times New Roman" w:hAnsi="Times New Roman" w:cs="Times New Roman"/>
          <w:color w:val="000000"/>
          <w:spacing w:val="0"/>
          <w:w w:val="100"/>
          <w:position w:val="0"/>
          <w:shd w:val="clear" w:color="auto" w:fill="auto"/>
          <w:lang w:val="hr-HR" w:eastAsia="hr-HR" w:bidi="hr-HR"/>
        </w:rPr>
        <w:t xml:space="preserve"> »zapovijed«), koju stariji na</w:t>
        <w:softHyphen/>
        <w:t>raštaj treba izvršiti na mladom naraštaju, po</w:t>
        <w:softHyphen/>
        <w:t>kazuje već čvrsta biblijska veza osnovnoga zahtjeva »Čuj, lzraclc: ON naš Bog, ON je</w:t>
        <w:softHyphen/>
        <w:t>dini! Ljubi NJEGA svojega Boga...« i nared</w:t>
        <w:softHyphen/>
        <w:t>ba: »Riječi ove što ti ih danas naređujem, ne</w:t>
        <w:softHyphen/>
        <w:t>ka ti se urežu u srce. Napominji ih svojim si</w:t>
        <w:softHyphen/>
        <w:t>novima. Govori im o njima kad sjediš u svojoj kući i kad ideš putem; kad lijegaš i kad usta- ješ« (Pnz 6,4 i d.6 i d.; usp. 11,19; 31,12 i d.). Samo ako ponašanje roditelja potiče djecu na pitanja, odgovori nisu »religiozna pouka« ko</w:t>
        <w:softHyphen/>
        <w:t>ja u životu odraslih nije utemeljena (Pnz 6,20 i d.; lzl 12,26 i d.; 13.14 i d.; usp. M Pcsahim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X,4). U svojoj religijsko-pedagoškoj predodžbi predaja slijedi uzor Boga koji pri predaji Tore Mojsiju nije odgovarao »svojim« glasom već »mu je odgovorio glasom« (lzl 19,19) i time predvidio Mojsijevu duhovnu i intelektualnu sposobnost (Midraš Tanhuma u vezi s tim mjestom); na sličan je načina opisana zadaća: »Otac podučava dijete u skladu s njegovim ra</w:t>
        <w:softHyphen/>
        <w:t>zumijevanjem« (M Pesahim X,4). To peda</w:t>
        <w:softHyphen/>
        <w:t xml:space="preserve">goško načelo potaknulo je rabinski prikaz o četirima sinovima u </w:t>
      </w:r>
      <w:r>
        <w:rPr>
          <w:rFonts w:ascii="Times New Roman" w:eastAsia="Times New Roman" w:hAnsi="Times New Roman" w:cs="Times New Roman"/>
          <w:i/>
          <w:iCs/>
          <w:color w:val="000000"/>
          <w:spacing w:val="0"/>
          <w:w w:val="100"/>
          <w:position w:val="0"/>
          <w:shd w:val="clear" w:color="auto" w:fill="auto"/>
          <w:lang w:val="hr-HR" w:eastAsia="hr-HR" w:bidi="hr-HR"/>
        </w:rPr>
        <w:t>Hagadi šel Pesah:</w:t>
      </w:r>
      <w:r>
        <w:rPr>
          <w:rFonts w:ascii="Times New Roman" w:eastAsia="Times New Roman" w:hAnsi="Times New Roman" w:cs="Times New Roman"/>
          <w:color w:val="000000"/>
          <w:spacing w:val="0"/>
          <w:w w:val="100"/>
          <w:position w:val="0"/>
          <w:shd w:val="clear" w:color="auto" w:fill="auto"/>
          <w:lang w:val="hr-HR" w:eastAsia="hr-HR" w:bidi="hr-HR"/>
        </w:rPr>
        <w:t xml:space="preserve"> O tome kako roditelji prenose upute za život (Tora) svojoj djeci, koja su vrlo različita, ovisi hoće li ona jednoga dana postati njihovi »dobri jam</w:t>
        <w:softHyphen/>
        <w:t>ci« pred Bogom.</w:t>
      </w:r>
    </w:p>
    <w:p>
      <w:pPr>
        <w:pStyle w:val="Style20"/>
        <w:keepNext w:val="0"/>
        <w:keepLines w:val="0"/>
        <w:widowControl w:val="0"/>
        <w:shd w:val="clear" w:color="auto" w:fill="auto"/>
        <w:bidi w:val="0"/>
        <w:spacing w:before="0" w:after="0"/>
        <w:ind w:left="0" w:right="0" w:firstLine="0"/>
        <w:jc w:val="both"/>
        <w:sectPr>
          <w:headerReference w:type="default" r:id="rId1263"/>
          <w:footerReference w:type="default" r:id="rId1264"/>
          <w:headerReference w:type="even" r:id="rId1265"/>
          <w:footerReference w:type="even" r:id="rId1266"/>
          <w:footnotePr>
            <w:pos w:val="pageBottom"/>
            <w:numFmt w:val="decimal"/>
            <w:numRestart w:val="continuous"/>
            <w15:footnoteColumns w:val="1"/>
          </w:footnotePr>
          <w:pgSz w:w="6816" w:h="11006"/>
          <w:pgMar w:top="828" w:left="185" w:right="190" w:bottom="339" w:header="0" w:footer="3" w:gutter="0"/>
          <w:pgNumType w:start="419"/>
          <w:cols w:num="2" w:space="177"/>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b) »Obrazujte mnoge učenike.«</w:t>
      </w:r>
      <w:r>
        <w:rPr>
          <w:rFonts w:ascii="Times New Roman" w:eastAsia="Times New Roman" w:hAnsi="Times New Roman" w:cs="Times New Roman"/>
          <w:color w:val="000000"/>
          <w:spacing w:val="0"/>
          <w:w w:val="100"/>
          <w:position w:val="0"/>
          <w:shd w:val="clear" w:color="auto" w:fill="auto"/>
          <w:lang w:val="hr-HR" w:eastAsia="hr-HR" w:bidi="hr-HR"/>
        </w:rPr>
        <w:t xml:space="preserve"> Ako roditelji, zbog vanjskih ili unutarnjih uvjeta, ne mogu udovoljiti propisu koji se od njih traži, drugi obavljaju njihovu dužnost: »Tko podučava Toru sina svojega bližnjega, dodijeljeno mu je mjesto u nebeskom kolegiju (tj. u Božjoj blizi</w:t>
        <w:softHyphen/>
        <w:t>ni)... a tko podučava Toru sina neuka čovje</w:t>
        <w:softHyphen/>
        <w:t>ka, njemu će Sveti, hvaljen bio, ukinuti pre</w:t>
        <w:softHyphen/>
        <w:t xml:space="preserve">sudu« (b Bava </w:t>
      </w:r>
      <w:r>
        <w:rPr>
          <w:rFonts w:ascii="Times New Roman" w:eastAsia="Times New Roman" w:hAnsi="Times New Roman" w:cs="Times New Roman"/>
          <w:color w:val="000000"/>
          <w:spacing w:val="0"/>
          <w:w w:val="100"/>
          <w:position w:val="0"/>
          <w:shd w:val="clear" w:color="auto" w:fill="auto"/>
          <w:lang w:val="en-US" w:eastAsia="en-US" w:bidi="en-US"/>
        </w:rPr>
        <w:t xml:space="preserve">mecia </w:t>
      </w:r>
      <w:r>
        <w:rPr>
          <w:rFonts w:ascii="Times New Roman" w:eastAsia="Times New Roman" w:hAnsi="Times New Roman" w:cs="Times New Roman"/>
          <w:color w:val="000000"/>
          <w:spacing w:val="0"/>
          <w:w w:val="100"/>
          <w:position w:val="0"/>
          <w:shd w:val="clear" w:color="auto" w:fill="auto"/>
          <w:lang w:val="hr-HR" w:eastAsia="hr-HR" w:bidi="hr-HR"/>
        </w:rPr>
        <w:t xml:space="preserve">85a; usp.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19b). Mudraci su pobudili osjećaj odgovor</w:t>
        <w:softHyphen/>
        <w:t>nosti jednog naraštaja za drugi: »Tko uči To</w:t>
        <w:softHyphen/>
        <w:t>ru, a ne podučava je, nalik je na mirtu u pusti</w:t>
        <w:softHyphen/>
        <w:t xml:space="preserve">nji (b Roš ha-šana 23a; usp.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91b; 99a; Bava batra 8b; Vajikra raba XXII,17,3; XXX,23,40); oni su zapazili da je dobrobit ži</w:t>
        <w:softHyphen/>
        <w:t>dovske zajednice ugrožena ako se dovoljno ne pazi na prenošenje znanja: Gdje djeca ne uče, nema učenika, gdje nema učenika, nema uče</w:t>
        <w:softHyphen/>
        <w:t xml:space="preserve">njaka, a gdje nema učenjaka, nema starješina, a gdje nema starješina, nema proroka, a gdje nema proroka. Bog ne pušta ni svoju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šekinu </w:t>
      </w:r>
      <w:r>
        <w:rPr>
          <w:rFonts w:ascii="Times New Roman" w:eastAsia="Times New Roman" w:hAnsi="Times New Roman" w:cs="Times New Roman"/>
          <w:color w:val="000000"/>
          <w:spacing w:val="0"/>
          <w:w w:val="100"/>
          <w:position w:val="0"/>
          <w:shd w:val="clear" w:color="auto" w:fill="auto"/>
          <w:lang w:val="hr-HR" w:eastAsia="hr-HR" w:bidi="hr-HR"/>
        </w:rPr>
        <w:t>(tj. Božju povezanost s Izraelom u svijetu) da počiva nad njima« (Berešit raba XLII,14,1, usp. Vajikra raba XI,9,1). Već na početku raz</w:t>
        <w:softHyphen/>
        <w:t>doblja drugoga Hrama »muškarci Velikog sa</w:t>
        <w:softHyphen/>
        <w:t>bora« nametnuli su skrb za obrazovanje: »Ob</w:t>
        <w:softHyphen/>
        <w:t>razujte mnoge učenike« (M Avot 1,1). Naj</w:t>
        <w:softHyphen/>
        <w:t>prije su nastala učilišta za mlade pismoznan- ce; javne škole za dječake od šeste godine os</w:t>
        <w:softHyphen/>
        <w:t>novane su potkraj razdoblja postojanja Hra</w:t>
        <w:softHyphen/>
        <w:t>ma: »Doista, onom čovjeku, imenom Rabi Je- hošua ben Gamla, pripisuje se u dobro, jer da nije bilo njega, Tora bi u Izraelu pala u zabo</w:t>
        <w:softHyphen/>
        <w:t>rav. Naime, u početku je sina podučavao Toru otac, ako ga je imao... Poslije je u Jeruzalemu izdana odredba da se namjeste dječji učite</w:t>
        <w:softHyphen/>
        <w:t>lji... zatim, da se oni namjeste u svakom okru</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gu. Dovodili su im (dječake u dobi) od šes- naest-sedamnaest godina...Zatim je nastupio Rabi Jehošua ben Gamla (oko 65) i naredio da se dječji učitelji namjeste u svakoj provin</w:t>
        <w:softHyphen/>
        <w:t>ciji i u svakom gradu i da im se vode (dječaci u dobi) od šest-sedam godina« (b Baba Batra 21a). Učenjaci su neprekidno usađivali ljudi</w:t>
        <w:softHyphen/>
        <w:t xml:space="preserve">ma u glavu potrebu prenošenja religijskoga znanja: »Jeruzalem je razoren samo zato što su učenike odvraćali (od nastave)... Svijet će se održati samo dahom školske djece... Neka se školska djeca ne odvraćaju (od nastave), pa ni radi gradnje Svetišta... Bit će razoren svaki grad u kojem nema školske djece« (b Šabat 119b). Oni su podsjećali na obvezu da se treba skrbiti za djecu siromašnih i neobrazovanih: »Pazile na djecu siromašnih, jer od njih dolazi Tora« (b Nedarim 81a); »Pazite na djecu neukih, jer od njih dolazi Tora«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96a).</w:t>
      </w:r>
    </w:p>
    <w:p>
      <w:pPr>
        <w:pStyle w:val="Style20"/>
        <w:keepNext w:val="0"/>
        <w:keepLines w:val="0"/>
        <w:widowControl w:val="0"/>
        <w:shd w:val="clear" w:color="auto" w:fill="auto"/>
        <w:bidi w:val="0"/>
        <w:spacing w:before="0" w:after="1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c) </w:t>
      </w:r>
      <w:r>
        <w:rPr>
          <w:rFonts w:ascii="Times New Roman" w:eastAsia="Times New Roman" w:hAnsi="Times New Roman" w:cs="Times New Roman"/>
          <w:i/>
          <w:iCs/>
          <w:color w:val="000000"/>
          <w:spacing w:val="0"/>
          <w:w w:val="100"/>
          <w:position w:val="0"/>
          <w:shd w:val="clear" w:color="auto" w:fill="auto"/>
          <w:lang w:val="hr-HR" w:eastAsia="hr-HR" w:bidi="hr-HR"/>
        </w:rPr>
        <w:t>»Kuća Knjige».</w:t>
      </w:r>
      <w:r>
        <w:rPr>
          <w:rFonts w:ascii="Times New Roman" w:eastAsia="Times New Roman" w:hAnsi="Times New Roman" w:cs="Times New Roman"/>
          <w:color w:val="000000"/>
          <w:spacing w:val="0"/>
          <w:w w:val="100"/>
          <w:position w:val="0"/>
          <w:shd w:val="clear" w:color="auto" w:fill="auto"/>
          <w:lang w:val="hr-HR" w:eastAsia="hr-HR" w:bidi="hr-HR"/>
        </w:rPr>
        <w:t xml:space="preserve"> Naziv dječje škole u talmud</w:t>
        <w:softHyphen/>
        <w:t>sko doba »Kuća Knjige«, tj. Tore (Vajikra ra</w:t>
        <w:softHyphen/>
        <w:t xml:space="preserve">ba IX,7,11; Tehilim Ps 92,16), koja se zadržala u terminologiji izraelskoga školskog sustava, govori o središnjem položaju što ga je Tora zauzela u cjelokupnoj nastavi. O uvođenju djeteta u Bibliju i tumačenju toga rabini su rekli: »Kako čovjek uči Toru?...Najprije čita </w:t>
      </w:r>
      <w:r>
        <w:rPr>
          <w:rFonts w:ascii="Times New Roman" w:eastAsia="Times New Roman" w:hAnsi="Times New Roman" w:cs="Times New Roman"/>
          <w:i/>
          <w:iCs/>
          <w:color w:val="000000"/>
          <w:spacing w:val="0"/>
          <w:w w:val="100"/>
          <w:position w:val="0"/>
          <w:shd w:val="clear" w:color="auto" w:fill="auto"/>
          <w:lang w:val="hr-HR" w:eastAsia="hr-HR" w:bidi="hr-HR"/>
        </w:rPr>
        <w:t>megilu</w:t>
      </w:r>
      <w:r>
        <w:rPr>
          <w:rFonts w:ascii="Times New Roman" w:eastAsia="Times New Roman" w:hAnsi="Times New Roman" w:cs="Times New Roman"/>
          <w:color w:val="000000"/>
          <w:spacing w:val="0"/>
          <w:w w:val="100"/>
          <w:position w:val="0"/>
          <w:shd w:val="clear" w:color="auto" w:fill="auto"/>
          <w:lang w:val="hr-HR" w:eastAsia="hr-HR" w:bidi="hr-HR"/>
        </w:rPr>
        <w:t xml:space="preserve"> (tj. hebrejski alfabet, napisan na svitku, možda i izvatke iz Tore na posebnoj megili = svitku); zatim čita iz Knjige (tj. Tore - Pcnta- teuha, Petoknjižja), zatim Proroke, zatim Ha- giografe. Kad dovrši Pismo </w:t>
      </w:r>
      <w:r>
        <w:rPr>
          <w:rFonts w:ascii="Times New Roman" w:eastAsia="Times New Roman" w:hAnsi="Times New Roman" w:cs="Times New Roman"/>
          <w:i/>
          <w:iCs/>
          <w:color w:val="000000"/>
          <w:spacing w:val="0"/>
          <w:w w:val="100"/>
          <w:position w:val="0"/>
          <w:shd w:val="clear" w:color="auto" w:fill="auto"/>
          <w:lang w:val="hr-HR" w:eastAsia="hr-HR" w:bidi="hr-HR"/>
        </w:rPr>
        <w:t>(ha-mikra</w:t>
      </w:r>
      <w:r>
        <w:rPr>
          <w:rFonts w:ascii="Times New Roman" w:eastAsia="Times New Roman" w:hAnsi="Times New Roman" w:cs="Times New Roman"/>
          <w:color w:val="000000"/>
          <w:spacing w:val="0"/>
          <w:w w:val="100"/>
          <w:position w:val="0"/>
          <w:shd w:val="clear" w:color="auto" w:fill="auto"/>
          <w:lang w:val="hr-HR" w:eastAsia="hr-HR" w:bidi="hr-HR"/>
        </w:rPr>
        <w:t xml:space="preserve"> upozo</w:t>
        <w:softHyphen/>
        <w:t>rava na glasno čitanje Biblije koje zvukom ri</w:t>
        <w:softHyphen/>
        <w:t xml:space="preserve">ječi pridonosi razumijevanju sadržaja), uči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(tradicijska učenja), zatim halahot (pojedine utvrđene propise za ispunjenje volje Božje u svakodnevnom životu), zatim hagadot (tradicijske, neobvezne teme u kojima se ob</w:t>
        <w:softHyphen/>
        <w:t xml:space="preserve">rađuje smisao propisa)« </w:t>
      </w:r>
      <w:r>
        <w:rPr>
          <w:rFonts w:ascii="Times New Roman" w:eastAsia="Times New Roman" w:hAnsi="Times New Roman" w:cs="Times New Roman"/>
          <w:color w:val="000000"/>
          <w:spacing w:val="0"/>
          <w:w w:val="100"/>
          <w:position w:val="0"/>
          <w:shd w:val="clear" w:color="auto" w:fill="auto"/>
          <w:lang w:val="en-US" w:eastAsia="en-US" w:bidi="en-US"/>
        </w:rPr>
        <w:t xml:space="preserve">(Devarim </w:t>
      </w:r>
      <w:r>
        <w:rPr>
          <w:rFonts w:ascii="Times New Roman" w:eastAsia="Times New Roman" w:hAnsi="Times New Roman" w:cs="Times New Roman"/>
          <w:color w:val="000000"/>
          <w:spacing w:val="0"/>
          <w:w w:val="100"/>
          <w:position w:val="0"/>
          <w:shd w:val="clear" w:color="auto" w:fill="auto"/>
          <w:lang w:val="hr-HR" w:eastAsia="hr-HR" w:bidi="hr-HR"/>
        </w:rPr>
        <w:t>raba VIII, 30,11). Biblijska nastavna metoda dala je prednost pitanju učenika (M Avot V,7; j Be- rahot IV,7; b Šabat 3b; Taanit 7a; Kidušin 30a; Hagiga 1 lb; Avot Rabi Natana 40; Šifre Pnz 6,7). U »četrdeset i osam stvari« kojima se, prema mišljenju mudraca, stječe znanje Tore, ubrajaju se i: »oslanjanje na članove, rasprave učenika...; tko pita i odgovara, sluša i dodatno uči; tko uči da bi podučavao, uči da bi ispunio obveze« (M Avot VI,6). - Tradi</w:t>
        <w:softHyphen/>
        <w:t xml:space="preserve">cijska biblijska nastava bila je od doba Misne </w:t>
      </w:r>
      <w:r>
        <w:rPr>
          <w:rFonts w:ascii="Times New Roman" w:eastAsia="Times New Roman" w:hAnsi="Times New Roman" w:cs="Times New Roman"/>
          <w:color w:val="000000"/>
          <w:spacing w:val="0"/>
          <w:w w:val="100"/>
          <w:position w:val="0"/>
          <w:shd w:val="clear" w:color="auto" w:fill="auto"/>
          <w:lang w:val="en-US" w:eastAsia="en-US" w:bidi="en-US"/>
        </w:rPr>
        <w:t xml:space="preserve">do XV11I. </w:t>
      </w:r>
      <w:r>
        <w:rPr>
          <w:rFonts w:ascii="Times New Roman" w:eastAsia="Times New Roman" w:hAnsi="Times New Roman" w:cs="Times New Roman"/>
          <w:color w:val="000000"/>
          <w:spacing w:val="0"/>
          <w:w w:val="100"/>
          <w:position w:val="0"/>
          <w:shd w:val="clear" w:color="auto" w:fill="auto"/>
          <w:lang w:val="hr-HR" w:eastAsia="hr-HR" w:bidi="hr-HR"/>
        </w:rPr>
        <w:t xml:space="preserve">stoljeća jedini židovski oblik odgoja </w:t>
      </w:r>
      <w:r>
        <w:rPr>
          <w:rFonts w:ascii="Times New Roman" w:eastAsia="Times New Roman" w:hAnsi="Times New Roman" w:cs="Times New Roman"/>
          <w:color w:val="000000"/>
          <w:spacing w:val="0"/>
          <w:w w:val="100"/>
          <w:position w:val="0"/>
          <w:shd w:val="clear" w:color="auto" w:fill="auto"/>
          <w:lang w:val="hr-HR" w:eastAsia="hr-HR" w:bidi="hr-HR"/>
        </w:rPr>
        <w:t>i obrazovanja: od 5. do 10. godine života uče</w:t>
        <w:softHyphen/>
        <w:t>nici su čitali i pamtili Sveto pismo koje im se razjašnjavalo tradicijskim komentarima; od 11. do 13. godine života usvajali su Mišnu is</w:t>
        <w:softHyphen/>
        <w:t xml:space="preserve">tim metodičkim postupkom. Tada je sinago- galna zajednica obredom </w:t>
      </w:r>
      <w:r>
        <w:rPr>
          <w:rFonts w:ascii="Times New Roman" w:eastAsia="Times New Roman" w:hAnsi="Times New Roman" w:cs="Times New Roman"/>
          <w:i/>
          <w:iCs/>
          <w:color w:val="000000"/>
          <w:spacing w:val="0"/>
          <w:w w:val="100"/>
          <w:position w:val="0"/>
          <w:shd w:val="clear" w:color="auto" w:fill="auto"/>
          <w:lang w:val="hr-HR" w:eastAsia="hr-HR" w:bidi="hr-HR"/>
        </w:rPr>
        <w:t>bar micva</w:t>
      </w:r>
      <w:r>
        <w:rPr>
          <w:rFonts w:ascii="Times New Roman" w:eastAsia="Times New Roman" w:hAnsi="Times New Roman" w:cs="Times New Roman"/>
          <w:color w:val="000000"/>
          <w:spacing w:val="0"/>
          <w:w w:val="100"/>
          <w:position w:val="0"/>
          <w:shd w:val="clear" w:color="auto" w:fill="auto"/>
          <w:lang w:val="hr-HR" w:eastAsia="hr-HR" w:bidi="hr-HR"/>
        </w:rPr>
        <w:t xml:space="preserve"> prihvatila učenika kao punopravnog člana. Židovsko pro</w:t>
        <w:softHyphen/>
        <w:t xml:space="preserve">svjetiteljstvo </w:t>
      </w:r>
      <w:r>
        <w:rPr>
          <w:rFonts w:ascii="Times New Roman" w:eastAsia="Times New Roman" w:hAnsi="Times New Roman" w:cs="Times New Roman"/>
          <w:i/>
          <w:iCs/>
          <w:color w:val="000000"/>
          <w:spacing w:val="0"/>
          <w:w w:val="100"/>
          <w:position w:val="0"/>
          <w:shd w:val="clear" w:color="auto" w:fill="auto"/>
          <w:lang w:val="hr-HR" w:eastAsia="hr-HR" w:bidi="hr-HR"/>
        </w:rPr>
        <w:t>(haskala)</w:t>
      </w:r>
      <w:r>
        <w:rPr>
          <w:rFonts w:ascii="Times New Roman" w:eastAsia="Times New Roman" w:hAnsi="Times New Roman" w:cs="Times New Roman"/>
          <w:color w:val="000000"/>
          <w:spacing w:val="0"/>
          <w:w w:val="100"/>
          <w:position w:val="0"/>
          <w:shd w:val="clear" w:color="auto" w:fill="auto"/>
          <w:lang w:val="hr-HR" w:eastAsia="hr-HR" w:bidi="hr-HR"/>
        </w:rPr>
        <w:t xml:space="preserve"> u XVIII. i XIX. stolje</w:t>
        <w:softHyphen/>
        <w:t xml:space="preserve">ću htjelo je studij ograničen na Bibliju, </w:t>
      </w:r>
      <w:r>
        <w:rPr>
          <w:rFonts w:ascii="Times New Roman" w:eastAsia="Times New Roman" w:hAnsi="Times New Roman" w:cs="Times New Roman"/>
          <w:color w:val="000000"/>
          <w:spacing w:val="0"/>
          <w:w w:val="100"/>
          <w:position w:val="0"/>
          <w:shd w:val="clear" w:color="auto" w:fill="auto"/>
          <w:lang w:val="en-US" w:eastAsia="en-US" w:bidi="en-US"/>
        </w:rPr>
        <w:t>Tal</w:t>
        <w:softHyphen/>
        <w:t xml:space="preserve">mud </w:t>
      </w:r>
      <w:r>
        <w:rPr>
          <w:rFonts w:ascii="Times New Roman" w:eastAsia="Times New Roman" w:hAnsi="Times New Roman" w:cs="Times New Roman"/>
          <w:color w:val="000000"/>
          <w:spacing w:val="0"/>
          <w:w w:val="100"/>
          <w:position w:val="0"/>
          <w:shd w:val="clear" w:color="auto" w:fill="auto"/>
          <w:lang w:val="hr-HR" w:eastAsia="hr-HR" w:bidi="hr-HR"/>
        </w:rPr>
        <w:t>i komentare otvoriti simbiozi praktičnog iskustva iz okoliša s vrijednostima predaje. U zamahu kulturnih asimilacijskih nastojanja u XIX. stoljeću iz religijske nastave nastala je posebna disciplina koja je prenosila znanje he</w:t>
        <w:softHyphen/>
        <w:t>brejskoga, sustavni vjeronauk te biblijsku i po- slijebiblijsku židovsku povijest. Ncoortodoksna struja usmjerena protiv reformiranoga židov</w:t>
        <w:softHyphen/>
        <w:t>stva u Njemačkoj nastojala je tradicijsko ži</w:t>
        <w:softHyphen/>
        <w:t>dovsko znanje sačuvati u odgoju i obrazova</w:t>
        <w:softHyphen/>
        <w:t>nju, ali stjecanje znanja o svjetovnim temama nije načelno odbijala, osim sinteze jednog i drugog područja. Nacionalno-religijski iden</w:t>
        <w:softHyphen/>
        <w:t>titet koji se budio odredio je nastavu Biblije prema koncepciji reformatora. - Od 1954/55 vrijede službeni nastavni programi za obje grane izraelskoga odgojno-obrazovnog susta</w:t>
        <w:softHyphen/>
        <w:t>va, religijsku i općedržavnu, i oni otkrivaju razna osnovna gledišta: dok religijski smjer naglašava božansko podrijetlo Biblije i nastavi Biblije dodjeljuje zadaću da »u srca djece usa</w:t>
        <w:softHyphen/>
        <w:t>di vjeru u Gospodina, koji je stvoritelj svijeta i davatelj Tore« , slobodni smjer prepoznaje u Bibliji »temelj izraelske kulture« i studiju Bib</w:t>
        <w:softHyphen/>
        <w:t>lije postavlja cilj da »u srca djece usadi ljubav prema domovini i ljubav prema narodu koji je ovdje živio i stvarao svoju kulturu«. Proširenje programa za religijsku granu - zahtjev reli</w:t>
        <w:softHyphen/>
        <w:t>gijskih stranaka poslije 1967 - predviđa da državne vjerske škole naglašavaju svetost zemlje s težištem na radu: učenje o zajednič</w:t>
        <w:softHyphen/>
        <w:t>kom gledanju na »egzistenciju i mir Izraela u zemlji Izraelu u vezi s poštivanjem Tore i za</w:t>
        <w:softHyphen/>
        <w:t>povijedi« i osnivanje države s početkom ot</w:t>
        <w:softHyphen/>
        <w:t>kupljenja: »Prikupljanje egzilanata početak je ostvarenja riječi iz Tore i proročke vizije, koje govore o otkupljenju Izraela.«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*1978,6,382—465; 9, 891-94; L. </w:t>
      </w:r>
      <w:r>
        <w:rPr>
          <w:color w:val="000000"/>
          <w:spacing w:val="0"/>
          <w:w w:val="100"/>
          <w:position w:val="0"/>
          <w:shd w:val="clear" w:color="auto" w:fill="auto"/>
        </w:rPr>
        <w:t xml:space="preserve">Baeck, </w:t>
      </w:r>
      <w:r>
        <w:rPr>
          <w:i/>
          <w:iCs/>
          <w:color w:val="000000"/>
          <w:spacing w:val="0"/>
          <w:w w:val="100"/>
          <w:position w:val="0"/>
          <w:shd w:val="clear" w:color="auto" w:fill="auto"/>
        </w:rPr>
        <w:t xml:space="preserve">Religion </w:t>
      </w:r>
      <w:r>
        <w:rPr>
          <w:i/>
          <w:iCs/>
          <w:color w:val="000000"/>
          <w:spacing w:val="0"/>
          <w:w w:val="100"/>
          <w:position w:val="0"/>
          <w:shd w:val="clear" w:color="auto" w:fill="auto"/>
          <w:lang w:val="hr-HR" w:eastAsia="hr-HR" w:bidi="hr-HR"/>
        </w:rPr>
        <w:t>und Erdehung,</w:t>
      </w:r>
      <w:r>
        <w:rPr>
          <w:color w:val="000000"/>
          <w:spacing w:val="0"/>
          <w:w w:val="100"/>
          <w:position w:val="0"/>
          <w:shd w:val="clear" w:color="auto" w:fill="auto"/>
          <w:lang w:val="hr-HR" w:eastAsia="hr-HR" w:bidi="hr-HR"/>
        </w:rPr>
        <w:t xml:space="preserve"> 1926; isti, </w:t>
      </w:r>
      <w:r>
        <w:rPr>
          <w:color w:val="000000"/>
          <w:spacing w:val="0"/>
          <w:w w:val="100"/>
          <w:position w:val="0"/>
          <w:shd w:val="clear" w:color="auto" w:fill="auto"/>
        </w:rPr>
        <w:t xml:space="preserve">Philosophic </w:t>
      </w:r>
      <w:r>
        <w:rPr>
          <w:color w:val="000000"/>
          <w:spacing w:val="0"/>
          <w:w w:val="100"/>
          <w:position w:val="0"/>
          <w:shd w:val="clear" w:color="auto" w:fill="auto"/>
          <w:lang w:val="hr-HR" w:eastAsia="hr-HR" w:bidi="hr-HR"/>
        </w:rPr>
        <w:t xml:space="preserve">und Rcligionsunterricht, 1930, u: </w:t>
      </w:r>
      <w:r>
        <w:rPr>
          <w:i/>
          <w:iCs/>
          <w:color w:val="000000"/>
          <w:spacing w:val="0"/>
          <w:w w:val="100"/>
          <w:position w:val="0"/>
          <w:shd w:val="clear" w:color="auto" w:fill="auto"/>
          <w:lang w:val="hr-HR" w:eastAsia="hr-HR" w:bidi="hr-HR"/>
        </w:rPr>
        <w:t>Wege im Judentum,</w:t>
      </w:r>
      <w:r>
        <w:rPr>
          <w:color w:val="000000"/>
          <w:spacing w:val="0"/>
          <w:w w:val="100"/>
          <w:position w:val="0"/>
          <w:shd w:val="clear" w:color="auto" w:fill="auto"/>
          <w:lang w:val="hr-HR" w:eastAsia="hr-HR" w:bidi="hr-HR"/>
        </w:rPr>
        <w:t xml:space="preserve"> 1933,1591 d., 178 i d.; M. Bubcr, Rcdcn iiber F.rzichung, 1925, 1935, 1939, u: </w:t>
      </w:r>
      <w:r>
        <w:rPr>
          <w:i/>
          <w:iCs/>
          <w:color w:val="000000"/>
          <w:spacing w:val="0"/>
          <w:w w:val="100"/>
          <w:position w:val="0"/>
          <w:shd w:val="clear" w:color="auto" w:fill="auto"/>
        </w:rPr>
        <w:t xml:space="preserve">Werke </w:t>
      </w:r>
      <w:r>
        <w:rPr>
          <w:i/>
          <w:iCs/>
          <w:color w:val="000000"/>
          <w:spacing w:val="0"/>
          <w:w w:val="100"/>
          <w:position w:val="0"/>
          <w:shd w:val="clear" w:color="auto" w:fill="auto"/>
          <w:lang w:val="hr-HR" w:eastAsia="hr-HR" w:bidi="hr-HR"/>
        </w:rPr>
        <w:t>1,</w:t>
      </w:r>
      <w:r>
        <w:rPr>
          <w:color w:val="000000"/>
          <w:spacing w:val="0"/>
          <w:w w:val="100"/>
          <w:position w:val="0"/>
          <w:shd w:val="clear" w:color="auto" w:fill="auto"/>
          <w:lang w:val="hr-HR" w:eastAsia="hr-HR" w:bidi="hr-HR"/>
        </w:rPr>
        <w:t xml:space="preserve"> 1962,783-832; J, SchoncvcM. </w:t>
      </w:r>
      <w:r>
        <w:rPr>
          <w:i/>
          <w:iCs/>
          <w:color w:val="000000"/>
          <w:spacing w:val="0"/>
          <w:w w:val="100"/>
          <w:position w:val="0"/>
          <w:shd w:val="clear" w:color="auto" w:fill="auto"/>
        </w:rPr>
        <w:t>The Bible in Israeli Education. A Study of Approaches io the Hebrew Bible and its Teaching in Israeli Educational Literature,</w:t>
      </w:r>
      <w:r>
        <w:rPr>
          <w:color w:val="000000"/>
          <w:spacing w:val="0"/>
          <w:w w:val="100"/>
          <w:position w:val="0"/>
          <w:shd w:val="clear" w:color="auto" w:fill="auto"/>
        </w:rPr>
        <w:t xml:space="preserve"> 1976, usp.</w:t>
      </w:r>
    </w:p>
    <w:p>
      <w:pPr>
        <w:pStyle w:val="Style56"/>
        <w:keepNext w:val="0"/>
        <w:keepLines w:val="0"/>
        <w:widowControl w:val="0"/>
        <w:shd w:val="clear" w:color="auto" w:fill="auto"/>
        <w:tabs>
          <w:tab w:pos="2434"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Krupp, Die </w:t>
      </w:r>
      <w:r>
        <w:rPr>
          <w:color w:val="000000"/>
          <w:spacing w:val="0"/>
          <w:w w:val="100"/>
          <w:position w:val="0"/>
          <w:shd w:val="clear" w:color="auto" w:fill="auto"/>
          <w:lang w:val="hr-HR" w:eastAsia="hr-HR" w:bidi="hr-HR"/>
        </w:rPr>
        <w:t xml:space="preserve">Hcbraischc </w:t>
      </w:r>
      <w:r>
        <w:rPr>
          <w:color w:val="000000"/>
          <w:spacing w:val="0"/>
          <w:w w:val="100"/>
          <w:position w:val="0"/>
          <w:shd w:val="clear" w:color="auto" w:fill="auto"/>
        </w:rPr>
        <w:t xml:space="preserve">Bibci in </w:t>
      </w:r>
      <w:r>
        <w:rPr>
          <w:color w:val="000000"/>
          <w:spacing w:val="0"/>
          <w:w w:val="100"/>
          <w:position w:val="0"/>
          <w:shd w:val="clear" w:color="auto" w:fill="auto"/>
          <w:lang w:val="hr-HR" w:eastAsia="hr-HR" w:bidi="hr-HR"/>
        </w:rPr>
        <w:t xml:space="preserve">dcr israclischen Erzic- hung und Bibclpadagogik, u: </w:t>
      </w:r>
      <w:r>
        <w:rPr>
          <w:i/>
          <w:iCs/>
          <w:color w:val="000000"/>
          <w:spacing w:val="0"/>
          <w:w w:val="100"/>
          <w:position w:val="0"/>
          <w:shd w:val="clear" w:color="auto" w:fill="auto"/>
        </w:rPr>
        <w:t xml:space="preserve">1'reitwger </w:t>
      </w:r>
      <w:r>
        <w:rPr>
          <w:i/>
          <w:iCs/>
          <w:color w:val="000000"/>
          <w:spacing w:val="0"/>
          <w:w w:val="100"/>
          <w:position w:val="0"/>
          <w:shd w:val="clear" w:color="auto" w:fill="auto"/>
          <w:lang w:val="hr-HR" w:eastAsia="hr-HR" w:bidi="hr-HR"/>
        </w:rPr>
        <w:t xml:space="preserve">Rundbrief </w:t>
      </w:r>
      <w:r>
        <w:rPr>
          <w:i/>
          <w:iCs/>
          <w:color w:val="000000"/>
          <w:spacing w:val="0"/>
          <w:w w:val="100"/>
          <w:position w:val="0"/>
          <w:shd w:val="clear" w:color="auto" w:fill="auto"/>
        </w:rPr>
        <w:t xml:space="preserve">XXVJH, </w:t>
      </w:r>
      <w:r>
        <w:rPr>
          <w:color w:val="000000"/>
          <w:spacing w:val="0"/>
          <w:w w:val="100"/>
          <w:position w:val="0"/>
          <w:shd w:val="clear" w:color="auto" w:fill="auto"/>
          <w:lang w:val="hr-HR" w:eastAsia="hr-HR" w:bidi="hr-HR"/>
        </w:rPr>
        <w:t xml:space="preserve">1976.60-63; H. Brucn, Zur Rollc dcr rcligifacn Erzichung </w:t>
      </w:r>
      <w:r>
        <w:rPr>
          <w:color w:val="000000"/>
          <w:spacing w:val="0"/>
          <w:w w:val="100"/>
          <w:position w:val="0"/>
          <w:shd w:val="clear" w:color="auto" w:fill="auto"/>
        </w:rPr>
        <w:t xml:space="preserve">in Israel,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 xml:space="preserve">Einladung ins </w:t>
      </w:r>
      <w:r>
        <w:rPr>
          <w:i/>
          <w:iCs/>
          <w:color w:val="000000"/>
          <w:spacing w:val="0"/>
          <w:w w:val="100"/>
          <w:position w:val="0"/>
          <w:shd w:val="clear" w:color="auto" w:fill="auto"/>
          <w:lang w:val="hr-HR" w:eastAsia="hr-HR" w:bidi="hr-HR"/>
        </w:rPr>
        <w:t>l.ehrhaus,</w:t>
      </w:r>
      <w:r>
        <w:rPr>
          <w:color w:val="000000"/>
          <w:spacing w:val="0"/>
          <w:w w:val="100"/>
          <w:position w:val="0"/>
          <w:shd w:val="clear" w:color="auto" w:fill="auto"/>
          <w:lang w:val="hr-HR" w:eastAsia="hr-HR" w:bidi="hr-HR"/>
        </w:rPr>
        <w:t xml:space="preserve"> W. </w:t>
      </w:r>
      <w:r>
        <w:rPr>
          <w:color w:val="000000"/>
          <w:spacing w:val="0"/>
          <w:w w:val="100"/>
          <w:position w:val="0"/>
          <w:shd w:val="clear" w:color="auto" w:fill="auto"/>
        </w:rPr>
        <w:t xml:space="preserve">Licharz/M. </w:t>
      </w:r>
      <w:r>
        <w:rPr>
          <w:color w:val="000000"/>
          <w:spacing w:val="0"/>
          <w:w w:val="100"/>
          <w:position w:val="0"/>
          <w:shd w:val="clear" w:color="auto" w:fill="auto"/>
          <w:lang w:val="hr-HR" w:eastAsia="hr-HR" w:bidi="hr-HR"/>
        </w:rPr>
        <w:t>Stohr, Hrsg., 1981,95-110.</w:t>
        <w:tab/>
        <w:t xml:space="preserve">Đ. </w:t>
      </w:r>
      <w:r>
        <w:rPr>
          <w:color w:val="000000"/>
          <w:spacing w:val="0"/>
          <w:w w:val="100"/>
          <w:position w:val="0"/>
          <w:shd w:val="clear" w:color="auto" w:fill="auto"/>
        </w:rPr>
        <w:t>VETTER</w:t>
      </w:r>
    </w:p>
    <w:p>
      <w:pPr>
        <w:pStyle w:val="Style63"/>
        <w:keepNext/>
        <w:keepLines/>
        <w:widowControl w:val="0"/>
        <w:numPr>
          <w:ilvl w:val="0"/>
          <w:numId w:val="479"/>
        </w:numPr>
        <w:shd w:val="clear" w:color="auto" w:fill="auto"/>
        <w:tabs>
          <w:tab w:pos="255" w:val="left"/>
        </w:tabs>
        <w:bidi w:val="0"/>
        <w:spacing w:before="0"/>
        <w:ind w:left="0" w:right="0" w:firstLine="0"/>
        <w:jc w:val="both"/>
      </w:pPr>
      <w:bookmarkStart w:id="309" w:name="bookmark30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0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 p. jc naziv u teološkoj disciplini čiji je pred</w:t>
        <w:softHyphen/>
        <w:t>met u prvom redu školska religijska poduka koja se vrši odijeljeno po konfesijama (evan- gelička/katolička). Ona se tradicionalno raz</w:t>
        <w:softHyphen/>
        <w:t>likuje od katehetike predmet koje je teorija i praksa crkvene poduke. Rasprava o reformi tijekom zadnjih dvaju desetljeća dovela je do proširenja pojma religijske pedagogije. Kao predmet te struke vrijedi »ukupno polje reli- gijsko-ctičkog odgoja«, a škola predstavlja sa</w:t>
        <w:softHyphen/>
        <w:t>mo jedan dio toga područja. Uz crkvenu tradi</w:t>
        <w:softHyphen/>
        <w:t>ciju danas treba uzeti u obzir ambivalentnost religije u našem društvu. R. p. pripada od</w:t>
        <w:softHyphen/>
        <w:t>ređenoj vrsti znanosti koje se označavaju kao znanosti o ponašanju (npr. socijalne i komu</w:t>
        <w:softHyphen/>
        <w:t>nikacijske znanosti). Prema općem shvaćanju, r. p. jc teološka znanost. No, ona nije samo primijenjena disciplina teologije koja npr. prema specifičnoj starosti snima rezultate bib</w:t>
        <w:softHyphen/>
        <w:t>lijskih znanosti ili sustavne teologije. Mnogo se više shvaća kao samostalna disciplina koja kao predmet znanstveno obrađuje specifično područje i koja je usmjerena interdisciplinar</w:t>
        <w:softHyphen/>
        <w:t>no. U znanosti, na koje se oslanja, uračuna</w:t>
        <w:softHyphen/>
        <w:t>vaju se uz evangeličku/katoličku teologiju i: religijska znanost, odgojne znanosti, socijalne znanosti, psihologija i lingvistika.</w:t>
      </w:r>
    </w:p>
    <w:p>
      <w:pPr>
        <w:pStyle w:val="Style20"/>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Razvitak nakon Drugoga svjetskog rata omo</w:t>
        <w:softHyphen/>
        <w:t>gućuje da se unutar cvangeličke religijske pe</w:t>
        <w:softHyphen/>
        <w:t>dagogije prepoznaju različite faze i usmjere</w:t>
        <w:softHyphen/>
        <w:t>nja. Pod utjecajem dijalektičke teologije koja jc pojam religije stavila u nemilost i koja je bila usmjerena protiv literarne teologije (—&gt; Religija), ta se disciplina najprije utemeljila kao »Evangeličko poučavanje« (vodeći pred</w:t>
        <w:softHyphen/>
        <w:t xml:space="preserve">stavnici: </w:t>
      </w:r>
      <w:r>
        <w:rPr>
          <w:rFonts w:ascii="Times New Roman" w:eastAsia="Times New Roman" w:hAnsi="Times New Roman" w:cs="Times New Roman"/>
          <w:color w:val="000000"/>
          <w:spacing w:val="0"/>
          <w:w w:val="100"/>
          <w:position w:val="0"/>
          <w:shd w:val="clear" w:color="auto" w:fill="auto"/>
          <w:lang w:val="en-US" w:eastAsia="en-US" w:bidi="en-US"/>
        </w:rPr>
        <w:t xml:space="preserve">Oskar Hammelsbeck, Helmuth Kittel). </w:t>
      </w:r>
      <w:r>
        <w:rPr>
          <w:rFonts w:ascii="Times New Roman" w:eastAsia="Times New Roman" w:hAnsi="Times New Roman" w:cs="Times New Roman"/>
          <w:color w:val="000000"/>
          <w:spacing w:val="0"/>
          <w:w w:val="100"/>
          <w:position w:val="0"/>
          <w:shd w:val="clear" w:color="auto" w:fill="auto"/>
          <w:lang w:val="hr-HR" w:eastAsia="hr-HR" w:bidi="hr-HR"/>
        </w:rPr>
        <w:t>Pod time se u prvom redu shvaćala »Crkva u školi«, tj. »Poučavanje o ispravnom postupa</w:t>
        <w:softHyphen/>
        <w:t xml:space="preserve">nju s evanđeljem« (H. </w:t>
      </w:r>
      <w:r>
        <w:rPr>
          <w:rFonts w:ascii="Times New Roman" w:eastAsia="Times New Roman" w:hAnsi="Times New Roman" w:cs="Times New Roman"/>
          <w:color w:val="000000"/>
          <w:spacing w:val="0"/>
          <w:w w:val="100"/>
          <w:position w:val="0"/>
          <w:shd w:val="clear" w:color="auto" w:fill="auto"/>
          <w:lang w:val="en-US" w:eastAsia="en-US" w:bidi="en-US"/>
        </w:rPr>
        <w:t xml:space="preserve">Kittel). </w:t>
      </w:r>
      <w:r>
        <w:rPr>
          <w:rFonts w:ascii="Times New Roman" w:eastAsia="Times New Roman" w:hAnsi="Times New Roman" w:cs="Times New Roman"/>
          <w:color w:val="000000"/>
          <w:spacing w:val="0"/>
          <w:w w:val="100"/>
          <w:position w:val="0"/>
          <w:shd w:val="clear" w:color="auto" w:fill="auto"/>
          <w:lang w:val="hr-HR" w:eastAsia="hr-HR" w:bidi="hr-HR"/>
        </w:rPr>
        <w:t>Na početku 60. godina XX. stoljeća shvaćala se r. p. kao teo</w:t>
        <w:softHyphen/>
        <w:t>rija »hermeneutičke religijske poduke«. Njoj nije bilo stalo do naviještanja nego do pri</w:t>
        <w:softHyphen/>
        <w:t>mjerenog razumijevanja biblijske poruke u ozračju sadašnjeg promišljanja. Glavni pred</w:t>
        <w:softHyphen/>
        <w:t xml:space="preserve">stavnici ovoga pravca bili su između ostalih osobito </w:t>
      </w:r>
      <w:r>
        <w:rPr>
          <w:rFonts w:ascii="Times New Roman" w:eastAsia="Times New Roman" w:hAnsi="Times New Roman" w:cs="Times New Roman"/>
          <w:color w:val="000000"/>
          <w:spacing w:val="0"/>
          <w:w w:val="100"/>
          <w:position w:val="0"/>
          <w:shd w:val="clear" w:color="auto" w:fill="auto"/>
          <w:lang w:val="en-US" w:eastAsia="en-US" w:bidi="en-US"/>
        </w:rPr>
        <w:t>Martin Stallmann, Hans Stock, Gert</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Otto, Klaus Wegcnast </w:t>
      </w:r>
      <w:r>
        <w:rPr>
          <w:rFonts w:ascii="Times New Roman" w:eastAsia="Times New Roman" w:hAnsi="Times New Roman" w:cs="Times New Roman"/>
          <w:color w:val="000000"/>
          <w:spacing w:val="0"/>
          <w:w w:val="100"/>
          <w:position w:val="0"/>
          <w:shd w:val="clear" w:color="auto" w:fill="auto"/>
          <w:lang w:val="hr-HR" w:eastAsia="hr-HR" w:bidi="hr-HR"/>
        </w:rPr>
        <w:t xml:space="preserve">i ostali. Godine </w:t>
      </w:r>
      <w:r>
        <w:rPr>
          <w:rFonts w:ascii="Times New Roman" w:eastAsia="Times New Roman" w:hAnsi="Times New Roman" w:cs="Times New Roman"/>
          <w:color w:val="000000"/>
          <w:spacing w:val="0"/>
          <w:w w:val="100"/>
          <w:position w:val="0"/>
          <w:shd w:val="clear" w:color="auto" w:fill="auto"/>
          <w:lang w:val="en-US" w:eastAsia="en-US" w:bidi="en-US"/>
        </w:rPr>
        <w:t xml:space="preserve">1968. Wegenast </w:t>
      </w:r>
      <w:r>
        <w:rPr>
          <w:rFonts w:ascii="Times New Roman" w:eastAsia="Times New Roman" w:hAnsi="Times New Roman" w:cs="Times New Roman"/>
          <w:color w:val="000000"/>
          <w:spacing w:val="0"/>
          <w:w w:val="100"/>
          <w:position w:val="0"/>
          <w:shd w:val="clear" w:color="auto" w:fill="auto"/>
          <w:lang w:val="hr-HR" w:eastAsia="hr-HR" w:bidi="hr-HR"/>
        </w:rPr>
        <w:t xml:space="preserve">je govorio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»empiričkom izričaju u religijskoj pedagogiji« koja je trebala izvesti iz očigledne krize. R. p. morala je iznova i dru</w:t>
        <w:softHyphen/>
        <w:t>gačije nego dosad ozakoniti religijski odgoj u školi »kada jc sekularno-pluralističko društvo oko sredine šezdesetih godina XX. stoljeća postalo svjesno samoga sebe i na sektoru ono</w:t>
        <w:softHyphen/>
        <w:t>ga što je bitno za obrazovanje, pa su se tako crkve počele razumijevati kao skupine u druš</w:t>
        <w:softHyphen/>
        <w:t xml:space="preserve">tvenom kontekstu među ostalim skupinama i institucijama« </w:t>
      </w:r>
      <w:r>
        <w:rPr>
          <w:rFonts w:ascii="Times New Roman" w:eastAsia="Times New Roman" w:hAnsi="Times New Roman" w:cs="Times New Roman"/>
          <w:color w:val="000000"/>
          <w:spacing w:val="0"/>
          <w:w w:val="100"/>
          <w:position w:val="0"/>
          <w:shd w:val="clear" w:color="auto" w:fill="auto"/>
          <w:lang w:val="en-US" w:eastAsia="en-US" w:bidi="en-US"/>
        </w:rPr>
        <w:t xml:space="preserve">(Wegenast). Hans-Bernhard Kaufmann </w:t>
      </w:r>
      <w:r>
        <w:rPr>
          <w:rFonts w:ascii="Times New Roman" w:eastAsia="Times New Roman" w:hAnsi="Times New Roman" w:cs="Times New Roman"/>
          <w:color w:val="000000"/>
          <w:spacing w:val="0"/>
          <w:w w:val="100"/>
          <w:position w:val="0"/>
          <w:shd w:val="clear" w:color="auto" w:fill="auto"/>
          <w:lang w:val="hr-HR" w:eastAsia="hr-HR" w:bidi="hr-HR"/>
        </w:rPr>
        <w:t>je zastupajući ostale formulirao pi</w:t>
        <w:softHyphen/>
        <w:t>tanje: »Mora li Biblija stajati u središtu reli</w:t>
        <w:softHyphen/>
        <w:t>gijske poduke?« (1968) i tako je uveo fazu »religijske poduke usmjerene na teme i pro</w:t>
        <w:softHyphen/>
        <w:t>bleme«. Osim tog oblika religijske poduke na značenju su dobile »politička« kao i »terapc- utska religijska poduka« (D. Stoodt). »Ovi oblici religijskog odgoja ne polaze više od tra</w:t>
        <w:softHyphen/>
        <w:t>dicije nego od problema i konflikata učenika na njihovim različitim životnim područjima i pokušavaju ih tako obraditi da se za savjet pi</w:t>
        <w:softHyphen/>
        <w:t>taju između ostaloga biblijski i teološki sim</w:t>
        <w:softHyphen/>
        <w:t>boli i tekstovi prema svom mogućem dopri</w:t>
        <w:softHyphen/>
        <w:t xml:space="preserve">nosu u rješavanju graničnih pitanja« </w:t>
      </w:r>
      <w:r>
        <w:rPr>
          <w:rFonts w:ascii="Times New Roman" w:eastAsia="Times New Roman" w:hAnsi="Times New Roman" w:cs="Times New Roman"/>
          <w:color w:val="000000"/>
          <w:spacing w:val="0"/>
          <w:w w:val="100"/>
          <w:position w:val="0"/>
          <w:shd w:val="clear" w:color="auto" w:fill="auto"/>
          <w:lang w:val="en-US" w:eastAsia="en-US" w:bidi="en-US"/>
        </w:rPr>
        <w:t>(Wege</w:t>
        <w:softHyphen/>
        <w:t xml:space="preserve">nast). </w:t>
      </w:r>
      <w:r>
        <w:rPr>
          <w:rFonts w:ascii="Times New Roman" w:eastAsia="Times New Roman" w:hAnsi="Times New Roman" w:cs="Times New Roman"/>
          <w:color w:val="000000"/>
          <w:spacing w:val="0"/>
          <w:w w:val="100"/>
          <w:position w:val="0"/>
          <w:shd w:val="clear" w:color="auto" w:fill="auto"/>
          <w:lang w:val="hr-HR" w:eastAsia="hr-HR" w:bidi="hr-HR"/>
        </w:rPr>
        <w:t>Od sredine 70. godina XX. stoljeća po</w:t>
        <w:softHyphen/>
        <w:t>stali su pojmovi »iskustvo« i »simbol« ključne kategorije religijske pedagogije. Ima pledoa</w:t>
        <w:softHyphen/>
        <w:t>jea za uvrštavanje posebnih pedagoških pro</w:t>
        <w:softHyphen/>
        <w:t>blema u religijsku pedagogiju. R. p. usmjerava svoju pozornost i na ostale religije i svjetona</w:t>
        <w:softHyphen/>
        <w:t>zore. Povijest problema ove udomaćene te</w:t>
        <w:softHyphen/>
        <w:t>matike koja jc već dulje općenito prihvaćena u konfesionalnoj religijskoj poduči razrađena je tek u obrisima. U svjetske religije, odnosno strane religije, kako se prije govorilo, ubraja se uz hinduizam, budizam itd., u prvom redu židovstvo. Sve važniji postaje islam koji - ana</w:t>
        <w:softHyphen/>
        <w:t>logno židovstvu - nije samo tematiziran kao velika svjetska religija nego bi se trebao ob</w:t>
        <w:softHyphen/>
        <w:t>rađivati u okviru ukupne problematike »Ži</w:t>
        <w:softHyphen/>
        <w:t>dova - kršćana - muslimana«.</w:t>
      </w:r>
    </w:p>
    <w:p>
      <w:pPr>
        <w:pStyle w:val="Style56"/>
        <w:keepNext w:val="0"/>
        <w:keepLines w:val="0"/>
        <w:widowControl w:val="0"/>
        <w:shd w:val="clear" w:color="auto" w:fill="auto"/>
        <w:bidi w:val="0"/>
        <w:spacing w:before="0" w:after="0" w:line="240" w:lineRule="auto"/>
        <w:ind w:left="0" w:right="0" w:firstLine="0"/>
        <w:jc w:val="both"/>
        <w:sectPr>
          <w:headerReference w:type="default" r:id="rId1267"/>
          <w:footerReference w:type="default" r:id="rId1268"/>
          <w:headerReference w:type="even" r:id="rId1269"/>
          <w:footerReference w:type="even" r:id="rId1270"/>
          <w:headerReference w:type="first" r:id="rId1271"/>
          <w:footerReference w:type="first" r:id="rId1272"/>
          <w:footnotePr>
            <w:pos w:val="pageBottom"/>
            <w:numFmt w:val="decimal"/>
            <w:numRestart w:val="continuous"/>
            <w15:footnoteColumns w:val="1"/>
          </w:footnotePr>
          <w:pgSz w:w="6816" w:h="11006"/>
          <w:pgMar w:top="828" w:left="185" w:right="190" w:bottom="339" w:header="0" w:footer="3" w:gutter="0"/>
          <w:pgNumType w:start="416"/>
          <w:cols w:num="2" w:space="177"/>
          <w:noEndnote/>
          <w:titlePg/>
          <w:rtlGutter w:val="0"/>
          <w:docGrid w:linePitch="360"/>
        </w:sectPr>
      </w:pPr>
      <w:r>
        <w:rPr>
          <w:color w:val="000000"/>
          <w:spacing w:val="0"/>
          <w:w w:val="100"/>
          <w:position w:val="0"/>
          <w:shd w:val="clear" w:color="auto" w:fill="auto"/>
          <w:lang w:val="hr-HR" w:eastAsia="hr-HR" w:bidi="hr-HR"/>
        </w:rPr>
        <w:t xml:space="preserve">Lit.: W. Brtckcr/H.-G, Hcimbr&lt;&gt;ck/E. Kcrkhoff (Hrsg.), </w:t>
      </w:r>
      <w:r>
        <w:rPr>
          <w:i/>
          <w:iCs/>
          <w:color w:val="000000"/>
          <w:spacing w:val="0"/>
          <w:w w:val="100"/>
          <w:position w:val="0"/>
          <w:shd w:val="clear" w:color="auto" w:fill="auto"/>
          <w:lang w:val="hr-HR" w:eastAsia="hr-HR" w:bidi="hr-HR"/>
        </w:rPr>
        <w:t>Uandbuch religioser Erziehung,</w:t>
      </w:r>
      <w:r>
        <w:rPr>
          <w:color w:val="000000"/>
          <w:spacing w:val="0"/>
          <w:w w:val="100"/>
          <w:position w:val="0"/>
          <w:shd w:val="clear" w:color="auto" w:fill="auto"/>
          <w:lang w:val="hr-HR" w:eastAsia="hr-HR" w:bidi="hr-HR"/>
        </w:rPr>
        <w:t xml:space="preserve"> 2 Bdc., </w:t>
      </w:r>
      <w:r>
        <w:rPr>
          <w:color w:val="000000"/>
          <w:spacing w:val="0"/>
          <w:w w:val="100"/>
          <w:position w:val="0"/>
          <w:shd w:val="clear" w:color="auto" w:fill="auto"/>
        </w:rPr>
        <w:t xml:space="preserve">19X6; </w:t>
      </w:r>
      <w:r>
        <w:rPr>
          <w:color w:val="000000"/>
          <w:spacing w:val="0"/>
          <w:w w:val="100"/>
          <w:position w:val="0"/>
          <w:shd w:val="clear" w:color="auto" w:fill="auto"/>
          <w:lang w:val="hr-HR" w:eastAsia="hr-HR" w:bidi="hr-HR"/>
        </w:rPr>
        <w:t xml:space="preserve">P. Ficdlcr, </w:t>
      </w:r>
      <w:r>
        <w:rPr>
          <w:i/>
          <w:iCs/>
          <w:color w:val="000000"/>
          <w:spacing w:val="0"/>
          <w:w w:val="100"/>
          <w:position w:val="0"/>
          <w:shd w:val="clear" w:color="auto" w:fill="auto"/>
          <w:lang w:val="hr-HR" w:eastAsia="hr-HR" w:bidi="hr-HR"/>
        </w:rPr>
        <w:t xml:space="preserve">Dus Judentttm im kaihotischen </w:t>
      </w:r>
      <w:r>
        <w:rPr>
          <w:i/>
          <w:iCs/>
          <w:color w:val="000000"/>
          <w:spacing w:val="0"/>
          <w:w w:val="100"/>
          <w:position w:val="0"/>
          <w:shd w:val="clear" w:color="auto" w:fill="auto"/>
        </w:rPr>
        <w:t>Reiigionsiiruemciu,</w:t>
      </w:r>
      <w:r>
        <w:rPr>
          <w:color w:val="000000"/>
          <w:spacing w:val="0"/>
          <w:w w:val="100"/>
          <w:position w:val="0"/>
          <w:shd w:val="clear" w:color="auto" w:fill="auto"/>
        </w:rPr>
        <w:t xml:space="preserve"> Dusseldorf </w:t>
      </w:r>
      <w:r>
        <w:rPr>
          <w:color w:val="000000"/>
          <w:spacing w:val="0"/>
          <w:w w:val="100"/>
          <w:position w:val="0"/>
          <w:shd w:val="clear" w:color="auto" w:fill="auto"/>
          <w:lang w:val="hr-HR" w:eastAsia="hr-HR" w:bidi="hr-HR"/>
        </w:rPr>
        <w:t xml:space="preserve">1980; E. Chr. Hclmrcich, </w:t>
      </w:r>
      <w:r>
        <w:rPr>
          <w:i/>
          <w:iCs/>
          <w:color w:val="000000"/>
          <w:spacing w:val="0"/>
          <w:w w:val="100"/>
          <w:position w:val="0"/>
          <w:shd w:val="clear" w:color="auto" w:fill="auto"/>
          <w:lang w:val="hr-HR" w:eastAsia="hr-HR" w:bidi="hr-HR"/>
        </w:rPr>
        <w:t xml:space="preserve">Religionsunterricht </w:t>
      </w:r>
      <w:r>
        <w:rPr>
          <w:i/>
          <w:iCs/>
          <w:color w:val="000000"/>
          <w:spacing w:val="0"/>
          <w:w w:val="100"/>
          <w:position w:val="0"/>
          <w:shd w:val="clear" w:color="auto" w:fill="auto"/>
        </w:rPr>
        <w:t xml:space="preserve">in Deutschland, </w:t>
      </w:r>
      <w:r>
        <w:rPr>
          <w:color w:val="000000"/>
          <w:spacing w:val="0"/>
          <w:w w:val="100"/>
          <w:position w:val="0"/>
          <w:shd w:val="clear" w:color="auto" w:fill="auto"/>
          <w:lang w:val="hr-HR" w:eastAsia="hr-HR" w:bidi="hr-HR"/>
        </w:rPr>
        <w:t xml:space="preserve">1966; U. </w:t>
      </w:r>
      <w:r>
        <w:rPr>
          <w:color w:val="000000"/>
          <w:spacing w:val="0"/>
          <w:w w:val="100"/>
          <w:position w:val="0"/>
          <w:shd w:val="clear" w:color="auto" w:fill="auto"/>
        </w:rPr>
        <w:t xml:space="preserve">Tworuschka, </w:t>
      </w:r>
      <w:r>
        <w:rPr>
          <w:i/>
          <w:iCs/>
          <w:color w:val="000000"/>
          <w:spacing w:val="0"/>
          <w:w w:val="100"/>
          <w:position w:val="0"/>
          <w:shd w:val="clear" w:color="auto" w:fill="auto"/>
        </w:rPr>
        <w:t>Die Geschichte nichtchristlicher Relig- ionen im chrisllichen Religionsunierrichi,</w:t>
      </w:r>
      <w:r>
        <w:rPr>
          <w:color w:val="000000"/>
          <w:spacing w:val="0"/>
          <w:w w:val="100"/>
          <w:position w:val="0"/>
          <w:shd w:val="clear" w:color="auto" w:fill="auto"/>
        </w:rPr>
        <w:t xml:space="preserve"> KblnAVicn 1983;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Analyse der evangelischen Religions bile her zum Thema Islam (= Der Islam in den Schidbilchern der Bundesrepublik Deutschland,</w:t>
      </w:r>
      <w:r>
        <w:rPr>
          <w:color w:val="000000"/>
          <w:spacing w:val="0"/>
          <w:w w:val="100"/>
          <w:position w:val="0"/>
          <w:shd w:val="clear" w:color="auto" w:fill="auto"/>
        </w:rPr>
        <w:t xml:space="preserve"> niz: Studicn zur lntcrnationalcn Schulfor* sebung, Bd. 47), Braunschweig 1986; J. M, Sutcliff (Hrsg.), A. </w:t>
      </w:r>
      <w:r>
        <w:rPr>
          <w:i/>
          <w:iCs/>
          <w:color w:val="000000"/>
          <w:spacing w:val="0"/>
          <w:w w:val="100"/>
          <w:position w:val="0"/>
          <w:shd w:val="clear" w:color="auto" w:fill="auto"/>
        </w:rPr>
        <w:t>Dictionary of Religious Education,</w:t>
      </w:r>
      <w:r>
        <w:rPr>
          <w:color w:val="000000"/>
          <w:spacing w:val="0"/>
          <w:w w:val="100"/>
          <w:position w:val="0"/>
          <w:shd w:val="clear" w:color="auto" w:fill="auto"/>
        </w:rPr>
        <w:t xml:space="preserve"> 19X4; K. Wegenast </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(Hrsg), </w:t>
      </w:r>
      <w:r>
        <w:rPr>
          <w:color w:val="000000"/>
          <w:spacing w:val="0"/>
          <w:w w:val="100"/>
          <w:position w:val="0"/>
          <w:shd w:val="clear" w:color="auto" w:fill="auto"/>
          <w:lang w:val="hr-HR" w:eastAsia="hr-HR" w:bidi="hr-HR"/>
        </w:rPr>
        <w:t xml:space="preserve">R.. 2 Bdc., </w:t>
      </w:r>
      <w:r>
        <w:rPr>
          <w:color w:val="000000"/>
          <w:spacing w:val="0"/>
          <w:w w:val="100"/>
          <w:position w:val="0"/>
          <w:shd w:val="clear" w:color="auto" w:fill="auto"/>
        </w:rPr>
        <w:t xml:space="preserve">Darmstadt </w:t>
      </w:r>
      <w:r>
        <w:rPr>
          <w:color w:val="000000"/>
          <w:spacing w:val="0"/>
          <w:w w:val="100"/>
          <w:position w:val="0"/>
          <w:shd w:val="clear" w:color="auto" w:fill="auto"/>
          <w:lang w:val="hr-HR" w:eastAsia="hr-HR" w:bidi="hr-HR"/>
        </w:rPr>
        <w:t xml:space="preserve">19BI i d.; D. Zillcflcn (Hrsg.). </w:t>
      </w:r>
      <w:r>
        <w:rPr>
          <w:i/>
          <w:iCs/>
          <w:color w:val="000000"/>
          <w:spacing w:val="0"/>
          <w:w w:val="100"/>
          <w:position w:val="0"/>
          <w:shd w:val="clear" w:color="auto" w:fill="auto"/>
          <w:lang w:val="hr-HR" w:eastAsia="hr-HR" w:bidi="hr-HR"/>
        </w:rPr>
        <w:t xml:space="preserve">Religionspadagogisches </w:t>
      </w:r>
      <w:r>
        <w:rPr>
          <w:i/>
          <w:iCs/>
          <w:color w:val="000000"/>
          <w:spacing w:val="0"/>
          <w:w w:val="100"/>
          <w:position w:val="0"/>
          <w:shd w:val="clear" w:color="auto" w:fill="auto"/>
        </w:rPr>
        <w:t>Wericbuch,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Frankfurt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1976.</w:t>
      </w:r>
    </w:p>
    <w:p>
      <w:pPr>
        <w:pStyle w:val="Style74"/>
        <w:keepNext w:val="0"/>
        <w:keepLines w:val="0"/>
        <w:widowControl w:val="0"/>
        <w:shd w:val="clear" w:color="auto" w:fill="auto"/>
        <w:bidi w:val="0"/>
        <w:spacing w:before="0" w:after="160"/>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TWORUSCHKA</w:t>
      </w:r>
    </w:p>
    <w:p>
      <w:pPr>
        <w:pStyle w:val="Style63"/>
        <w:keepNext/>
        <w:keepLines/>
        <w:widowControl w:val="0"/>
        <w:numPr>
          <w:ilvl w:val="0"/>
          <w:numId w:val="479"/>
        </w:numPr>
        <w:shd w:val="clear" w:color="auto" w:fill="auto"/>
        <w:tabs>
          <w:tab w:pos="260" w:val="left"/>
        </w:tabs>
        <w:bidi w:val="0"/>
        <w:spacing w:before="0" w:after="80" w:line="228" w:lineRule="auto"/>
        <w:ind w:left="0" w:right="0" w:firstLine="0"/>
        <w:jc w:val="both"/>
      </w:pPr>
      <w:bookmarkStart w:id="310" w:name="bookmark310"/>
      <w:r>
        <w:rPr>
          <w:rFonts w:ascii="Times New Roman" w:eastAsia="Times New Roman" w:hAnsi="Times New Roman" w:cs="Times New Roman"/>
          <w:color w:val="000000"/>
          <w:spacing w:val="0"/>
          <w:w w:val="100"/>
          <w:position w:val="0"/>
          <w:shd w:val="clear" w:color="auto" w:fill="auto"/>
          <w:lang w:val="hr-HR" w:eastAsia="hr-HR" w:bidi="hr-HR"/>
        </w:rPr>
        <w:t>islamski</w:t>
      </w:r>
      <w:bookmarkEnd w:id="310"/>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Postavke za religijsku pedagogiju nalaze se u Muhamcdovim riječima i djelima. On se u predaji ističe kao uzoriti odgajatelj. Kao do</w:t>
        <w:softHyphen/>
        <w:t>kaz se između ostaloga navodi njegov nježni odnos prema vlastitoj djeci i njegov pažljivi način oslovljavanja drugih ljudi. Tako je on govorio: »Govori s ljudima uvažavajući njiho</w:t>
        <w:softHyphen/>
        <w:t>ve intelektualne sposobnosti«. Cilj je religije uputiti učenika na uspostavljanje skladnog od</w:t>
        <w:softHyphen/>
        <w:t>nosa prema Bogu, bližnjem i prema samome sebi.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Bogoslužje </w:t>
      </w:r>
      <w:r>
        <w:rPr>
          <w:rFonts w:ascii="Times New Roman" w:eastAsia="Times New Roman" w:hAnsi="Times New Roman" w:cs="Times New Roman"/>
          <w:i/>
          <w:iCs/>
          <w:color w:val="000000"/>
          <w:spacing w:val="0"/>
          <w:w w:val="100"/>
          <w:position w:val="0"/>
          <w:shd w:val="clear" w:color="auto" w:fill="auto"/>
          <w:lang w:val="hr-HR" w:eastAsia="hr-HR" w:bidi="hr-HR"/>
        </w:rPr>
        <w:t>{‘ibada)</w:t>
      </w:r>
      <w:r>
        <w:rPr>
          <w:rFonts w:ascii="Times New Roman" w:eastAsia="Times New Roman" w:hAnsi="Times New Roman" w:cs="Times New Roman"/>
          <w:color w:val="000000"/>
          <w:spacing w:val="0"/>
          <w:w w:val="100"/>
          <w:position w:val="0"/>
          <w:shd w:val="clear" w:color="auto" w:fill="auto"/>
          <w:lang w:val="hr-HR" w:eastAsia="hr-HR" w:bidi="hr-HR"/>
        </w:rPr>
        <w:t xml:space="preserve"> predstavlja od Boga dani okvir u kojemu se smisleno postiže taj cilj. Bo</w:t>
        <w:softHyphen/>
        <w:t>goslužje nije dakle služenje Bogu koje je iznad svih svjetovnih potreba, nego je ono služenje čovjeku u znaku onog ideala koji se zove Bog. Vodeći stav prosvjetiteljstva: »Čovjek je mjera svih stvari«, nije doduše prihvatljiv za islam, no prilikom bogoslužja dolazi se na isto: do toga da se u svakodnevici čovjek postavlja u središte. Čovjek je također »Božji predstavnik na zemlji«.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islamskoj religijskoj pedagogiji prvenstvo se daje sakralnome znanju. Čini se da je time iz nje isključen drugi vodeći stav modernoga čo</w:t>
        <w:softHyphen/>
        <w:t>vjeka, naime nužnost sumnjanja kako bi se dospjelo do sigurne spoznaje. No taj je stav islama ograničen samo na čisto naučni poklad vjere. Respektira se sloboda misli u prirodnim znanostima, pri čemu se Kuran navodi kao opravdanje kritičkoga promatranja svijeta. Naime, u Kuranu se vjernici opetovano pozi</w:t>
        <w:softHyphen/>
        <w:t>vaju na to da svoju pozornost poklone zna</w:t>
        <w:softHyphen/>
        <w:t>menima božanske moči u prirodi, da ih pro</w:t>
        <w:softHyphen/>
        <w:t>učavaju i da posljedice koje slijede iz toga sta</w:t>
        <w:softHyphen/>
        <w:t>ve u službu vjere i čovjeka.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Religijskom pedagogijom vlada princip auto</w:t>
        <w:softHyphen/>
        <w:t>riteta, ma koliko da se nastojalo dovesti do važenja vlastito autonomno mišljenje. Primjer vjerovjesnika uvijek se predočuje kao uzor. Ne smije izostati ni dobar primjer učitelja. U nastavnome procesu veliko se značenje pri</w:t>
        <w:softHyphen/>
        <w:t>daje metodi demonstracije i mnemotehnici. »Biflanjc« ulomaka tekstova i mnemotehnič</w:t>
        <w:softHyphen/>
        <w:t>kih rečenica sačuvalo se još od srednjega vije</w:t>
        <w:softHyphen/>
        <w:t xml:space="preserve">ka. U mnogim medresama (teološki seminari) </w:t>
      </w:r>
      <w:r>
        <w:rPr>
          <w:rFonts w:ascii="Times New Roman" w:eastAsia="Times New Roman" w:hAnsi="Times New Roman" w:cs="Times New Roman"/>
          <w:color w:val="000000"/>
          <w:spacing w:val="0"/>
          <w:w w:val="100"/>
          <w:position w:val="0"/>
          <w:shd w:val="clear" w:color="auto" w:fill="auto"/>
          <w:lang w:val="hr-HR" w:eastAsia="hr-HR" w:bidi="hr-HR"/>
        </w:rPr>
        <w:t>ta se tehnika učenja primjenjuje pored mo</w:t>
        <w:softHyphen/>
        <w:t>dernih audio-vizualnih metoda.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Odavno ustaljeni modeli mišljenja sprečavaju razvoj religijske pedagogije. U selima je često kažnjavanje djece. Zbog tog se načina odga</w:t>
        <w:softHyphen/>
        <w:t>janja pitanja ne postavljaju ni učiteljima niti roditeljima. On važi kao »sveto naslijeđe« ko</w:t>
        <w:softHyphen/>
        <w:t>je se održalo. Napori mladih ljudi oko stje</w:t>
        <w:softHyphen/>
        <w:t>canja identiteta više se uvažavaju u gradovi</w:t>
        <w:softHyphen/>
        <w:t>ma. I vlade se zanimaju za to da modernija r. p. pripremi mladež za život u današnjem svi</w:t>
        <w:softHyphen/>
        <w:t>jetu.</w:t>
      </w:r>
    </w:p>
    <w:p>
      <w:pPr>
        <w:pStyle w:val="Style20"/>
        <w:keepNext w:val="0"/>
        <w:keepLines w:val="0"/>
        <w:widowControl w:val="0"/>
        <w:shd w:val="clear" w:color="auto" w:fill="auto"/>
        <w:tabs>
          <w:tab w:pos="2563" w:val="left"/>
        </w:tabs>
        <w:bidi w:val="0"/>
        <w:spacing w:before="0" w:after="300" w:line="262" w:lineRule="auto"/>
        <w:ind w:left="0" w:right="0" w:firstLine="0"/>
        <w:jc w:val="both"/>
        <w:rPr>
          <w:sz w:val="10"/>
          <w:szCs w:val="10"/>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U Meki, Rijadu i Londonu zadnjih su godina održane međunarodne konferencije koje su se bavile islamskom religijskom pedagogijom. Mnogo je toga u nastajanju. U uskoj suradnji s »Ligom islamskoga svijeta« u Saudijskoj Arabiji postoji Institut za znanost o odgoju. Na rezultate njegovoga rada širokim okvirima sa zanimanjem čekaju muslimani cijeloga svi</w:t>
        <w:softHyphen/>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jeta.</w:t>
        <w:tab/>
        <w:t>S BA11Ć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RIJEČ BOŽJA</w:t>
      </w:r>
    </w:p>
    <w:p>
      <w:pPr>
        <w:pStyle w:val="Style63"/>
        <w:keepNext/>
        <w:keepLines/>
        <w:widowControl w:val="0"/>
        <w:numPr>
          <w:ilvl w:val="0"/>
          <w:numId w:val="481"/>
        </w:numPr>
        <w:shd w:val="clear" w:color="auto" w:fill="auto"/>
        <w:tabs>
          <w:tab w:pos="255" w:val="left"/>
        </w:tabs>
        <w:bidi w:val="0"/>
        <w:spacing w:before="0" w:line="223" w:lineRule="auto"/>
        <w:ind w:left="0" w:right="0" w:firstLine="0"/>
        <w:jc w:val="both"/>
      </w:pPr>
      <w:bookmarkStart w:id="311" w:name="bookmark311"/>
      <w:r>
        <w:rPr>
          <w:rFonts w:ascii="Times New Roman" w:eastAsia="Times New Roman" w:hAnsi="Times New Roman" w:cs="Times New Roman"/>
          <w:color w:val="000000"/>
          <w:spacing w:val="0"/>
          <w:w w:val="100"/>
          <w:position w:val="0"/>
          <w:shd w:val="clear" w:color="auto" w:fill="auto"/>
          <w:lang w:val="hr-HR" w:eastAsia="hr-HR" w:bidi="hr-HR"/>
        </w:rPr>
        <w:t>židovski</w:t>
      </w:r>
      <w:bookmarkEnd w:id="311"/>
    </w:p>
    <w:p>
      <w:pPr>
        <w:pStyle w:val="Style20"/>
        <w:keepNext w:val="0"/>
        <w:keepLines w:val="0"/>
        <w:widowControl w:val="0"/>
        <w:numPr>
          <w:ilvl w:val="0"/>
          <w:numId w:val="483"/>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Podrijetlo »svetih pisama«.</w:t>
      </w:r>
      <w:r>
        <w:rPr>
          <w:rFonts w:ascii="Times New Roman" w:eastAsia="Times New Roman" w:hAnsi="Times New Roman" w:cs="Times New Roman"/>
          <w:color w:val="000000"/>
          <w:spacing w:val="0"/>
          <w:w w:val="100"/>
          <w:position w:val="0"/>
          <w:shd w:val="clear" w:color="auto" w:fill="auto"/>
          <w:lang w:val="hr-HR" w:eastAsia="hr-HR" w:bidi="hr-HR"/>
        </w:rPr>
        <w:t xml:space="preserve"> Mudraci se slažu o sudjelovanju Božjem u nastanku »svetih pi</w:t>
        <w:softHyphen/>
        <w:t>sama«. Pritom oni ipak u velikoj mjeri i na čak poseban način pripisuju Toru te jedan i drugi dio Kanona Bogu kao njihovu autoru. Toru, koja svojim značenjem nadmašuje sva ostala »sveta pisma« (Nedarim 22b: »Da Izraelci ni</w:t>
        <w:softHyphen/>
        <w:t>su griješili, dobili bi samo pet knjiga Tore i Knjigu o Jošui«), mudraci su opisali kao nji</w:t>
        <w:softHyphen/>
        <w:t>hovu prccgzistenciju: ona se spominje kao prva od »sedam stvari« koje su »stvorene prije svijeta« (b Pcsahim 54a; usp. Berešit raba 1,1,1; Tchilim § 12 uz Ps 90). Njezinu jedin</w:t>
        <w:softHyphen/>
        <w:t>stvenost naglašava Mišna koja svakome tko tvrdi da »Tora nije od Boga« osporava »sudi</w:t>
        <w:softHyphen/>
        <w:t xml:space="preserve">oništvo u budućem svijetu«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X,l). Budući da pri njezinu nastanku ni jedno stvo</w:t>
        <w:softHyphen/>
        <w:t xml:space="preserve">renje nije bilo Božji savjetnik niti pomoćnik, za nju sc uvijek govori: Tora je dana (b Bera- hot 58a; Berešit raba XXXIV,8,21; Šemot raba XXVII,18,1). Od Božje Tore postala je Mojsijeva i Izraelova Tora; ovdje se pojavljuje ideja o čovječjem posredništvu: Tora ne bi trebala uvijek ostati kod Boga, nego bi trebala biti usađena u Izrael preko Mojsija. Bog je Mojsiju dao napisanu Toru - i ostale odlomke </w:t>
      </w:r>
      <w:r>
        <w:rPr>
          <w:rFonts w:ascii="Times New Roman" w:eastAsia="Times New Roman" w:hAnsi="Times New Roman" w:cs="Times New Roman"/>
          <w:color w:val="000000"/>
          <w:spacing w:val="0"/>
          <w:w w:val="100"/>
          <w:position w:val="0"/>
          <w:shd w:val="clear" w:color="auto" w:fill="auto"/>
          <w:lang w:val="hr-HR" w:eastAsia="hr-HR" w:bidi="hr-HR"/>
        </w:rPr>
        <w:t>s Deset zapovijedi (Dekalog) na dvije kamene ploče (Šir ha-širim V,14; b Mcgila 19b; Ne- darim 38a), odnosno pretpovijesni primjerak Tore na prijepis (Devarim raba 111,10,1; Še- mot raba XLVII,34,28) - ili mu ju je izdikti</w:t>
        <w:softHyphen/>
        <w:t>rao (Jubileji 2,1-33; b Bava batra 14b; 15a; Ši</w:t>
        <w:softHyphen/>
        <w:t>fre Pnz 34,5).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razliku od tvrdnje o osebujnom podrijetlu Tore, već zarana se stvorila pretpostavka o tome kako drugi dijelovi Kanona potječu po</w:t>
        <w:softHyphen/>
        <w:t xml:space="preserve">sredstvom Božje inspiracije (IV Ezr 14,18 i d.); Josip Flavije nazvao ju je »nadahnućem od Boga«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1,7); rabini su pri</w:t>
        <w:softHyphen/>
        <w:t xml:space="preserve">povijedali da se </w:t>
      </w:r>
      <w:r>
        <w:rPr>
          <w:rFonts w:ascii="Times New Roman" w:eastAsia="Times New Roman" w:hAnsi="Times New Roman" w:cs="Times New Roman"/>
          <w:i/>
          <w:iCs/>
          <w:color w:val="000000"/>
          <w:spacing w:val="0"/>
          <w:w w:val="100"/>
          <w:position w:val="0"/>
          <w:shd w:val="clear" w:color="auto" w:fill="auto"/>
          <w:lang w:val="hr-HR" w:eastAsia="hr-HR" w:bidi="hr-HR"/>
        </w:rPr>
        <w:t>šekina</w:t>
      </w:r>
      <w:r>
        <w:rPr>
          <w:rFonts w:ascii="Times New Roman" w:eastAsia="Times New Roman" w:hAnsi="Times New Roman" w:cs="Times New Roman"/>
          <w:color w:val="000000"/>
          <w:spacing w:val="0"/>
          <w:w w:val="100"/>
          <w:position w:val="0"/>
          <w:shd w:val="clear" w:color="auto" w:fill="auto"/>
          <w:lang w:val="hr-HR" w:eastAsia="hr-HR" w:bidi="hr-HR"/>
        </w:rPr>
        <w:t xml:space="preserve"> (prisutnost Božja) ili sveti duh (= duh proroštva ili inspiracije) te</w:t>
        <w:softHyphen/>
        <w:t>melje na autorima drugih biblijskih spisa i da ona govori u njima i preko njih (Šir ha-širim 1,1; Kohelet 1,1; Vajikra raba XV,13,2; Šifre uz Pnz 1,6; b Megila 7a). Uz glavno mišljenje javljaju se i gledišta da su Ncviim (Jš-2Kr) i Ketuvim (Ps-2 Ljct) objavljeni Mojsiju na Si</w:t>
        <w:softHyphen/>
        <w:t>naju i da ih jc on dalje prenosio (b Berahot 5a), odnosno da su preegzistentne duše ob</w:t>
        <w:softHyphen/>
        <w:t>javljene njihovim autorima na Sinaju (Šcmot raba XXVIII,20,1). - Ta shvaćanja tradicije, prema kojima je Bog svoje upute i propise ot</w:t>
        <w:softHyphen/>
        <w:t xml:space="preserve">krio Mojsiju, prorocima i drugim primateljima svoje objave, objašnjavaju - zajedno s drugim odgovarajućim biblijskim izrekama (Ps 107,20; 147,15; Iz 9,7; 55,11) - »riječ Božju« kao naziv Biblije, pojedinih dijelova i rečenica u rabin- skim školama </w:t>
      </w:r>
      <w:r>
        <w:rPr>
          <w:rFonts w:ascii="Times New Roman" w:eastAsia="Times New Roman" w:hAnsi="Times New Roman" w:cs="Times New Roman"/>
          <w:i/>
          <w:iCs/>
          <w:color w:val="000000"/>
          <w:spacing w:val="0"/>
          <w:w w:val="100"/>
          <w:position w:val="0"/>
          <w:shd w:val="clear" w:color="auto" w:fill="auto"/>
          <w:lang w:val="hr-HR" w:eastAsia="hr-HR" w:bidi="hr-HR"/>
        </w:rPr>
        <w:t>(diber:</w:t>
      </w:r>
      <w:r>
        <w:rPr>
          <w:rFonts w:ascii="Times New Roman" w:eastAsia="Times New Roman" w:hAnsi="Times New Roman" w:cs="Times New Roman"/>
          <w:color w:val="000000"/>
          <w:spacing w:val="0"/>
          <w:w w:val="100"/>
          <w:position w:val="0"/>
          <w:shd w:val="clear" w:color="auto" w:fill="auto"/>
          <w:lang w:val="hr-HR" w:eastAsia="hr-HR" w:bidi="hr-HR"/>
        </w:rPr>
        <w:t xml:space="preserve"> b Bava kama 54b;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 xml:space="preserve">67a; </w:t>
      </w:r>
      <w:r>
        <w:rPr>
          <w:rFonts w:ascii="Times New Roman" w:eastAsia="Times New Roman" w:hAnsi="Times New Roman" w:cs="Times New Roman"/>
          <w:i/>
          <w:iCs/>
          <w:color w:val="000000"/>
          <w:spacing w:val="0"/>
          <w:w w:val="100"/>
          <w:position w:val="0"/>
          <w:shd w:val="clear" w:color="auto" w:fill="auto"/>
          <w:lang w:val="hr-HR" w:eastAsia="hr-HR" w:bidi="hr-HR"/>
        </w:rPr>
        <w:t>dibur:</w:t>
      </w:r>
      <w:r>
        <w:rPr>
          <w:rFonts w:ascii="Times New Roman" w:eastAsia="Times New Roman" w:hAnsi="Times New Roman" w:cs="Times New Roman"/>
          <w:color w:val="000000"/>
          <w:spacing w:val="0"/>
          <w:w w:val="100"/>
          <w:position w:val="0"/>
          <w:shd w:val="clear" w:color="auto" w:fill="auto"/>
          <w:lang w:val="hr-HR" w:eastAsia="hr-HR" w:bidi="hr-HR"/>
        </w:rPr>
        <w:t xml:space="preserve"> Šemot raba </w:t>
      </w:r>
      <w:r>
        <w:rPr>
          <w:rFonts w:ascii="Times New Roman" w:eastAsia="Times New Roman" w:hAnsi="Times New Roman" w:cs="Times New Roman"/>
          <w:color w:val="000000"/>
          <w:spacing w:val="0"/>
          <w:w w:val="100"/>
          <w:position w:val="0"/>
          <w:shd w:val="clear" w:color="auto" w:fill="auto"/>
          <w:lang w:val="en-US" w:eastAsia="en-US" w:bidi="en-US"/>
        </w:rPr>
        <w:t xml:space="preserve">XXVIII.20.1.8; </w:t>
      </w:r>
      <w:r>
        <w:rPr>
          <w:rFonts w:ascii="Times New Roman" w:eastAsia="Times New Roman" w:hAnsi="Times New Roman" w:cs="Times New Roman"/>
          <w:color w:val="000000"/>
          <w:spacing w:val="0"/>
          <w:w w:val="100"/>
          <w:position w:val="0"/>
          <w:shd w:val="clear" w:color="auto" w:fill="auto"/>
          <w:lang w:val="hr-HR" w:eastAsia="hr-HR" w:bidi="hr-HR"/>
        </w:rPr>
        <w:t>j Nedarim III,37d; Vajikra raba 1,1,1; b Jcva- mol 5b; Šabat 63a). Tom općom imenicom ra</w:t>
        <w:softHyphen/>
        <w:t xml:space="preserve">bini su u učilišnoj jezičnoj upotrebi prihvatili izraz »govor/govorenje Božje« </w:t>
      </w:r>
      <w:r>
        <w:rPr>
          <w:rFonts w:ascii="Times New Roman" w:eastAsia="Times New Roman" w:hAnsi="Times New Roman" w:cs="Times New Roman"/>
          <w:i/>
          <w:iCs/>
          <w:color w:val="000000"/>
          <w:spacing w:val="0"/>
          <w:w w:val="100"/>
          <w:position w:val="0"/>
          <w:shd w:val="clear" w:color="auto" w:fill="auto"/>
          <w:lang w:val="hr-HR" w:eastAsia="hr-HR" w:bidi="hr-HR"/>
        </w:rPr>
        <w:t>(memra)</w:t>
      </w:r>
      <w:r>
        <w:rPr>
          <w:rFonts w:ascii="Times New Roman" w:eastAsia="Times New Roman" w:hAnsi="Times New Roman" w:cs="Times New Roman"/>
          <w:color w:val="000000"/>
          <w:spacing w:val="0"/>
          <w:w w:val="100"/>
          <w:position w:val="0"/>
          <w:shd w:val="clear" w:color="auto" w:fill="auto"/>
          <w:lang w:val="hr-HR" w:eastAsia="hr-HR" w:bidi="hr-HR"/>
        </w:rPr>
        <w:t xml:space="preserve"> iz ara- mejskih prijevoda hebrejske Biblije za primje</w:t>
        <w:softHyphen/>
        <w:t xml:space="preserve">nu u bogoslužju </w:t>
      </w:r>
      <w:r>
        <w:rPr>
          <w:rFonts w:ascii="Times New Roman" w:eastAsia="Times New Roman" w:hAnsi="Times New Roman" w:cs="Times New Roman"/>
          <w:i/>
          <w:iCs/>
          <w:color w:val="000000"/>
          <w:spacing w:val="0"/>
          <w:w w:val="100"/>
          <w:position w:val="0"/>
          <w:shd w:val="clear" w:color="auto" w:fill="auto"/>
          <w:lang w:val="hr-HR" w:eastAsia="hr-HR" w:bidi="hr-HR"/>
        </w:rPr>
        <w:t>(targumim).</w:t>
      </w:r>
    </w:p>
    <w:p>
      <w:pPr>
        <w:pStyle w:val="Style20"/>
        <w:keepNext w:val="0"/>
        <w:keepLines w:val="0"/>
        <w:widowControl w:val="0"/>
        <w:numPr>
          <w:ilvl w:val="0"/>
          <w:numId w:val="483"/>
        </w:numPr>
        <w:shd w:val="clear" w:color="auto" w:fill="auto"/>
        <w:tabs>
          <w:tab w:pos="270" w:val="left"/>
        </w:tabs>
        <w:bidi w:val="0"/>
        <w:spacing w:before="0" w:after="80"/>
        <w:ind w:left="0" w:right="0" w:firstLine="0"/>
        <w:jc w:val="both"/>
        <w:sectPr>
          <w:headerReference w:type="default" r:id="rId1273"/>
          <w:footerReference w:type="default" r:id="rId1274"/>
          <w:headerReference w:type="even" r:id="rId1275"/>
          <w:footerReference w:type="even" r:id="rId1276"/>
          <w:headerReference w:type="first" r:id="rId1277"/>
          <w:footerReference w:type="first" r:id="rId1278"/>
          <w:footnotePr>
            <w:pos w:val="pageBottom"/>
            <w:numFmt w:val="decimal"/>
            <w:numRestart w:val="continuous"/>
            <w15:footnoteColumns w:val="1"/>
          </w:footnotePr>
          <w:pgSz w:w="6816" w:h="11006"/>
          <w:pgMar w:top="828" w:left="185" w:right="190" w:bottom="339" w:header="0" w:footer="3" w:gutter="0"/>
          <w:cols w:num="2" w:space="177"/>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»Ne poput zastarjela dokumenta.«</w:t>
      </w:r>
      <w:r>
        <w:rPr>
          <w:rFonts w:ascii="Times New Roman" w:eastAsia="Times New Roman" w:hAnsi="Times New Roman" w:cs="Times New Roman"/>
          <w:color w:val="000000"/>
          <w:spacing w:val="0"/>
          <w:w w:val="100"/>
          <w:position w:val="0"/>
          <w:shd w:val="clear" w:color="auto" w:fill="auto"/>
          <w:lang w:val="hr-HR" w:eastAsia="hr-HR" w:bidi="hr-HR"/>
        </w:rPr>
        <w:t xml:space="preserve"> Zbog shvaćanja Biblije kao »riječi Božje« smanjio se, doduše, čovječji udio u rastu »svetih pi</w:t>
        <w:softHyphen/>
        <w:t>sama«; no slušatcljev i čitateljev dojam da on ovdje susreće osobe iz prošlosti, koje zapo</w:t>
        <w:softHyphen/>
        <w:t>vjednički i striktno ostaju pri svojoj riječi, ipak je stvorio slobodu približavanja »riječi Božjoj« u kojoj ljudi svakoga doba mogu naći svoju sa</w:t>
        <w:softHyphen/>
        <w:t>dašnjost. Naime, »Božja riječ« nije upućena samo onima koji su nekoć živjeli; ona mora vrijediti za sve u svakom naraštaju. To tuma</w:t>
        <w:softHyphen/>
        <w:t xml:space="preserve">čenje Rabana Gamliela (vjerojatno Starijega, prije 70, a ne njegova unuka, I./II. stoljeće) </w:t>
      </w:r>
      <w:r>
        <w:rPr>
          <w:rFonts w:ascii="Times New Roman" w:eastAsia="Times New Roman" w:hAnsi="Times New Roman" w:cs="Times New Roman"/>
          <w:color w:val="000000"/>
          <w:spacing w:val="0"/>
          <w:w w:val="100"/>
          <w:position w:val="0"/>
          <w:shd w:val="clear" w:color="auto" w:fill="auto"/>
          <w:lang w:val="hr-HR" w:eastAsia="hr-HR" w:bidi="hr-HR"/>
        </w:rPr>
        <w:t xml:space="preserve">čuva Mišna: »Od naraštaja do naraštaja svatko je dužan gledati na sebe tako kao da je tek sada došao iz Egipta, jer se u Izl 13,8 kaže: Svomu sinu toga dana objasni (kad budeš slavio sjećanje na Izlazak), dakle: To je za ono što </w:t>
      </w:r>
      <w:r>
        <w:rPr>
          <w:rFonts w:ascii="Times New Roman" w:eastAsia="Times New Roman" w:hAnsi="Times New Roman" w:cs="Times New Roman"/>
          <w:i/>
          <w:iCs/>
          <w:color w:val="000000"/>
          <w:spacing w:val="0"/>
          <w:w w:val="100"/>
          <w:position w:val="0"/>
          <w:shd w:val="clear" w:color="auto" w:fill="auto"/>
          <w:lang w:val="hr-HR" w:eastAsia="hr-HR" w:bidi="hr-HR"/>
        </w:rPr>
        <w:t>mi je</w:t>
      </w:r>
      <w:r>
        <w:rPr>
          <w:rFonts w:ascii="Times New Roman" w:eastAsia="Times New Roman" w:hAnsi="Times New Roman" w:cs="Times New Roman"/>
          <w:color w:val="000000"/>
          <w:spacing w:val="0"/>
          <w:w w:val="100"/>
          <w:position w:val="0"/>
          <w:shd w:val="clear" w:color="auto" w:fill="auto"/>
          <w:lang w:val="hr-HR" w:eastAsia="hr-HR" w:bidi="hr-HR"/>
        </w:rPr>
        <w:t xml:space="preserve"> ON učinio kad sam se iz Egipta izbavio. Stoga hvalu, pohvalu, slavu, uzdizanje, štovanje i obožavanje dugujemo Njemu koji je za naše oee i za nas (Jeruzalemska Mišna kaže samo ‘za nas’) učinio sva ta čuda« (Pesahim X,5). Biblija shvaćena kao »r. B.« nije u židovstvu nikada stara knjiga: »Riječi u Tori neka u tvo</w:t>
        <w:softHyphen/>
        <w:t>jim očima nikada ne izgledaju poput zastar</w:t>
        <w:softHyphen/>
        <w:t>jela dokumenta, već poput novoga što bi ga svi rado pročitali« (Pesikta Rabi Kahane, Pis</w:t>
        <w:softHyphen/>
        <w:t>ka XII). Stoga jc Propovjednik Izl 19,1 - »Is</w:t>
        <w:softHyphen/>
        <w:t>toga dana stignu Izraelci u Sinajsku pustinju« - objasnio ovako: »Jesu Ii toga dana stigli ta</w:t>
        <w:softHyphen/>
        <w:t>mo? Samo Tora će te naučiti da ona u tvojim očima neće nikada ostarjeti, nego će ti izgle</w:t>
        <w:softHyphen/>
        <w:t xml:space="preserve">dati tako kao da je dana tek toga dana«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Bit biblijskoga sadržaja, »r. B.« upu</w:t>
        <w:softHyphen/>
        <w:t>ćena čovjeku, uskraćuje sebi pomak u suprot- slavljeno: »Kad su izraelski mudraci čuli nje</w:t>
        <w:softHyphen/>
        <w:t xml:space="preserve">gov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 xml:space="preserve">glas, rekli su: Ako se David, kralj Izraela, bavi Torom, koliko se puta više mi moramo njome baviti! Stoga se utvrdilo da se zbog njega svi Izraelci bave Torom«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VII). Židovstvo je spoznalo kako je za Bibliju životno pitanje da se u njoj sačuva »r. B.«. U tom smislu jedan jc učenjak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1,3 - »Kak</w:t>
        <w:softHyphen/>
        <w:t xml:space="preserve">va je korist čovjeku od svega truda njegova?«- protumačio ovako: »No, budući da glasi: ‘uza sav </w:t>
      </w:r>
      <w:r>
        <w:rPr>
          <w:rFonts w:ascii="Times New Roman" w:eastAsia="Times New Roman" w:hAnsi="Times New Roman" w:cs="Times New Roman"/>
          <w:i/>
          <w:iCs/>
          <w:color w:val="000000"/>
          <w:spacing w:val="0"/>
          <w:w w:val="100"/>
          <w:position w:val="0"/>
          <w:shd w:val="clear" w:color="auto" w:fill="auto"/>
          <w:lang w:val="hr-HR" w:eastAsia="hr-HR" w:bidi="hr-HR"/>
        </w:rPr>
        <w:t>njegov</w:t>
      </w:r>
      <w:r>
        <w:rPr>
          <w:rFonts w:ascii="Times New Roman" w:eastAsia="Times New Roman" w:hAnsi="Times New Roman" w:cs="Times New Roman"/>
          <w:color w:val="000000"/>
          <w:spacing w:val="0"/>
          <w:w w:val="100"/>
          <w:position w:val="0"/>
          <w:shd w:val="clear" w:color="auto" w:fill="auto"/>
          <w:lang w:val="hr-HR" w:eastAsia="hr-HR" w:bidi="hr-HR"/>
        </w:rPr>
        <w:t xml:space="preserve"> trud’, time se misli na trud koji ne donosi nikakvu korist, ali vrijedi truda za To</w:t>
        <w:softHyphen/>
        <w:t xml:space="preserve">ru«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VIII). Povjerenje, izraslo iz iskustva, u Božju prisutnost obilježilo je ophođenje mudraca s »riječju Božjom« koja se nepo</w:t>
        <w:softHyphen/>
        <w:t>sredno njima obraća u trenutku slušanja i či</w:t>
        <w:softHyphen/>
        <w:t>tanja »svetih pisama«: »Neka budu te riječi... ‘Preko njih prepoznaješ Svetoga, hvaljen bio ON, i njegovim putovima hodiš..., kako ti ih danas zapovijedam’, neka u tvojim očima ne budu poput starog edikta kojega nitko ne poštuje, već poput novoga kojemu svi hrle« (Šifre Pnz 6,6; usp. Rašijev Komentar na Pe- toknjižje u vezi s tim mjestom). U završnoj berahi molitve Šema (»Čuj, Izraele«) molitclji se opredjeljuju stoljećima, puni predanosti u ljubavi i poštovanju, »Božjoj riječi« koju su svojini čitanjima (Pnz 6,4-9; 11,13-21; Br 15,37-41) čuli za sebe: »Istinita i nepromje</w:t>
        <w:softHyphen/>
      </w:r>
    </w:p>
    <w:p>
      <w:pPr>
        <w:pStyle w:val="Style20"/>
        <w:keepNext w:val="0"/>
        <w:keepLines w:val="0"/>
        <w:widowControl w:val="0"/>
        <w:shd w:val="clear" w:color="auto" w:fill="auto"/>
        <w:tabs>
          <w:tab w:pos="270" w:val="left"/>
        </w:tabs>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njiva i utemeljena i trajna i iskrena i dokazana i ljubljena i dragocjena i mila i draga i uz</w:t>
        <w:softHyphen/>
        <w:t>višena i veličanstvena i sređena i primljena i dobra i lijepa, takva je to riječ i za nas je za</w:t>
        <w:softHyphen/>
        <w:t>uvijek i vječna... ranijima i kasnijima ona pri</w:t>
        <w:softHyphen/>
        <w:t xml:space="preserve">staje kao dobra i trajna riječ zauvijek i vječna, istinita i vjerna...« </w:t>
      </w:r>
      <w:r>
        <w:rPr>
          <w:rFonts w:ascii="Times New Roman" w:eastAsia="Times New Roman" w:hAnsi="Times New Roman" w:cs="Times New Roman"/>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color w:val="000000"/>
          <w:spacing w:val="0"/>
          <w:w w:val="100"/>
          <w:position w:val="0"/>
          <w:shd w:val="clear" w:color="auto" w:fill="auto"/>
          <w:lang w:val="hr-HR" w:eastAsia="hr-HR" w:bidi="hr-HR"/>
        </w:rPr>
        <w:t>dozvao je Bibliju u svijest ljudi XX. stoljeća kao osvje</w:t>
        <w:softHyphen/>
        <w:t>dočenu »Božju riječ«: »Zahtjev Pisma, kojim je ono prilazilo i prilazi naraštajima, treba pri</w:t>
        <w:softHyphen/>
        <w:t>znati kao dokument istinite povijesti svijeta, kao onaj u kojem svijet ima početak i cilj; ono traži od ljudske osobe da u tu istinitu povijest usadi vlastiti život tako da ja u početku svijeta nađem svoj početak i u njegovu cilju svoj cilj; no kao sredinu između početka i cilja pismo ne smješta nešto .što se nekoć dogodilo, ne</w:t>
        <w:softHyphen/>
        <w:t>go... trenutak u kojem ja, čitatelj, slušatelj, čovjek, preko njega čujem glas koji govori od početka i usmjerava prema cilju: taj moj smrt</w:t>
        <w:softHyphen/>
        <w:t xml:space="preserve">ni, vječni trenutak«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Mensch von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heute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w:t>
      </w:r>
      <w:r>
        <w:rPr>
          <w:rFonts w:ascii="Times New Roman" w:eastAsia="Times New Roman" w:hAnsi="Times New Roman" w:cs="Times New Roman"/>
          <w:i/>
          <w:iCs/>
          <w:color w:val="000000"/>
          <w:spacing w:val="0"/>
          <w:w w:val="100"/>
          <w:position w:val="0"/>
          <w:shd w:val="clear" w:color="auto" w:fill="auto"/>
          <w:lang w:val="hr-HR" w:eastAsia="hr-HR" w:bidi="hr-HR"/>
        </w:rPr>
        <w:t>jiidische Bibel,</w:t>
      </w:r>
      <w:r>
        <w:rPr>
          <w:rFonts w:ascii="Times New Roman" w:eastAsia="Times New Roman" w:hAnsi="Times New Roman" w:cs="Times New Roman"/>
          <w:color w:val="000000"/>
          <w:spacing w:val="0"/>
          <w:w w:val="100"/>
          <w:position w:val="0"/>
          <w:shd w:val="clear" w:color="auto" w:fill="auto"/>
          <w:lang w:val="hr-HR" w:eastAsia="hr-HR" w:bidi="hr-HR"/>
        </w:rPr>
        <w:t xml:space="preserve"> 1926. iz: M. Buber/F. </w:t>
      </w:r>
      <w:r>
        <w:rPr>
          <w:rFonts w:ascii="Times New Roman" w:eastAsia="Times New Roman" w:hAnsi="Times New Roman" w:cs="Times New Roman"/>
          <w:color w:val="000000"/>
          <w:spacing w:val="0"/>
          <w:w w:val="100"/>
          <w:position w:val="0"/>
          <w:shd w:val="clear" w:color="auto" w:fill="auto"/>
          <w:lang w:val="en-US" w:eastAsia="en-US" w:bidi="en-US"/>
        </w:rPr>
        <w:t xml:space="preserve">Roscnzwcig,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Schrift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ihre Verdeutschung, </w:t>
      </w:r>
      <w:r>
        <w:rPr>
          <w:rFonts w:ascii="Times New Roman" w:eastAsia="Times New Roman" w:hAnsi="Times New Roman" w:cs="Times New Roman"/>
          <w:color w:val="000000"/>
          <w:spacing w:val="0"/>
          <w:w w:val="100"/>
          <w:position w:val="0"/>
          <w:shd w:val="clear" w:color="auto" w:fill="auto"/>
          <w:lang w:val="en-US" w:eastAsia="en-US" w:bidi="en-US"/>
        </w:rPr>
        <w:t>1936, 13-45,20).</w:t>
      </w:r>
    </w:p>
    <w:p>
      <w:pPr>
        <w:pStyle w:val="Style56"/>
        <w:keepNext w:val="0"/>
        <w:keepLines w:val="0"/>
        <w:widowControl w:val="0"/>
        <w:shd w:val="clear" w:color="auto" w:fill="auto"/>
        <w:tabs>
          <w:tab w:pos="2458" w:val="left"/>
        </w:tabs>
        <w:bidi w:val="0"/>
        <w:spacing w:before="0" w:after="260" w:line="240" w:lineRule="auto"/>
        <w:ind w:left="0" w:right="0" w:firstLine="0"/>
        <w:jc w:val="both"/>
        <w:rPr>
          <w:sz w:val="10"/>
          <w:szCs w:val="10"/>
        </w:rPr>
      </w:pPr>
      <w:r>
        <w:rPr>
          <w:color w:val="000000"/>
          <w:spacing w:val="0"/>
          <w:w w:val="100"/>
          <w:position w:val="0"/>
          <w:sz w:val="12"/>
          <w:szCs w:val="12"/>
          <w:shd w:val="clear" w:color="auto" w:fill="auto"/>
        </w:rPr>
        <w:t xml:space="preserve">Lit.: H. L. Strack/P. Billcrbcck, </w:t>
      </w:r>
      <w:r>
        <w:rPr>
          <w:i/>
          <w:iCs/>
          <w:color w:val="000000"/>
          <w:spacing w:val="0"/>
          <w:w w:val="100"/>
          <w:position w:val="0"/>
          <w:sz w:val="12"/>
          <w:szCs w:val="12"/>
          <w:shd w:val="clear" w:color="auto" w:fill="auto"/>
        </w:rPr>
        <w:t>Kommentar zumNeuen Tes</w:t>
        <w:softHyphen/>
        <w:t>tament aus Talmud und Midrasch ll,</w:t>
      </w:r>
      <w:r>
        <w:rPr>
          <w:color w:val="000000"/>
          <w:spacing w:val="0"/>
          <w:w w:val="100"/>
          <w:position w:val="0"/>
          <w:sz w:val="12"/>
          <w:szCs w:val="12"/>
          <w:shd w:val="clear" w:color="auto" w:fill="auto"/>
        </w:rPr>
        <w:t xml:space="preserve"> 1924, 1978, 302-33, IV. I. 1923. 1975. 435-50; J. Maier, </w:t>
      </w:r>
      <w:r>
        <w:rPr>
          <w:i/>
          <w:iCs/>
          <w:color w:val="000000"/>
          <w:spacing w:val="0"/>
          <w:w w:val="100"/>
          <w:position w:val="0"/>
          <w:sz w:val="12"/>
          <w:szCs w:val="12"/>
          <w:shd w:val="clear" w:color="auto" w:fill="auto"/>
        </w:rPr>
        <w:t>Geschichte der jiidi- schen Keligion,</w:t>
      </w:r>
      <w:r>
        <w:rPr>
          <w:color w:val="000000"/>
          <w:spacing w:val="0"/>
          <w:w w:val="100"/>
          <w:position w:val="0"/>
          <w:sz w:val="12"/>
          <w:szCs w:val="12"/>
          <w:shd w:val="clear" w:color="auto" w:fill="auto"/>
        </w:rPr>
        <w:t xml:space="preserve"> 1972.90.162. 165 </w:t>
      </w:r>
      <w:r>
        <w:rPr>
          <w:color w:val="000000"/>
          <w:spacing w:val="0"/>
          <w:w w:val="100"/>
          <w:position w:val="0"/>
          <w:sz w:val="12"/>
          <w:szCs w:val="12"/>
          <w:shd w:val="clear" w:color="auto" w:fill="auto"/>
          <w:lang w:val="hr-HR" w:eastAsia="hr-HR" w:bidi="hr-HR"/>
        </w:rPr>
        <w:t xml:space="preserve">i </w:t>
      </w:r>
      <w:r>
        <w:rPr>
          <w:color w:val="000000"/>
          <w:spacing w:val="0"/>
          <w:w w:val="100"/>
          <w:position w:val="0"/>
          <w:sz w:val="12"/>
          <w:szCs w:val="12"/>
          <w:shd w:val="clear" w:color="auto" w:fill="auto"/>
        </w:rPr>
        <w:t>d.</w:t>
        <w:tab/>
      </w:r>
      <w:r>
        <w:rPr>
          <w:rFonts w:ascii="Times New Roman" w:eastAsia="Times New Roman" w:hAnsi="Times New Roman" w:cs="Times New Roman"/>
          <w:b/>
          <w:bCs/>
          <w:color w:val="000000"/>
          <w:spacing w:val="0"/>
          <w:w w:val="100"/>
          <w:position w:val="0"/>
          <w:sz w:val="10"/>
          <w:szCs w:val="10"/>
          <w:shd w:val="clear" w:color="auto" w:fill="auto"/>
        </w:rPr>
        <w:t>D. V12T112K</w:t>
      </w:r>
    </w:p>
    <w:p>
      <w:pPr>
        <w:pStyle w:val="Style56"/>
        <w:keepNext w:val="0"/>
        <w:keepLines w:val="0"/>
        <w:widowControl w:val="0"/>
        <w:numPr>
          <w:ilvl w:val="0"/>
          <w:numId w:val="481"/>
        </w:numPr>
        <w:shd w:val="clear" w:color="auto" w:fill="auto"/>
        <w:tabs>
          <w:tab w:pos="255" w:val="left"/>
        </w:tabs>
        <w:bidi w:val="0"/>
        <w:spacing w:before="0" w:after="80" w:line="240" w:lineRule="auto"/>
        <w:ind w:left="0" w:right="0" w:firstLine="0"/>
        <w:jc w:val="both"/>
      </w:pP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R. B. </w:t>
      </w:r>
      <w:r>
        <w:rPr>
          <w:rFonts w:ascii="Times New Roman" w:eastAsia="Times New Roman" w:hAnsi="Times New Roman" w:cs="Times New Roman"/>
          <w:color w:val="000000"/>
          <w:spacing w:val="0"/>
          <w:w w:val="100"/>
          <w:position w:val="0"/>
          <w:shd w:val="clear" w:color="auto" w:fill="auto"/>
          <w:lang w:val="hr-HR" w:eastAsia="hr-HR" w:bidi="hr-HR"/>
        </w:rPr>
        <w:t>koja se u SZ trostruko artikulira (kao stvaralačka riječ, riječ Saveza i riječ proroka) ponovno je prihvaćena u NZ. Tako su u NZ korišteni »Zakon i riječi proroka« da bi uka</w:t>
        <w:softHyphen/>
        <w:t>zali (kao tzv. formule ispunjenja) na Isusovu posebnost i mesijanstvo (usp. npr. Mt 1,22; 2,5.15.17; 4,14; 8,17; 12,17; Lk 4,17-21; 24,26 i d., 44; Iv 1,45; 12,38; 15,25). I Isus se odnosi prema »Zakonu i prorocima« kao r. B. (usp. npr. Ml 7,20; 22,40). Iako Isusa (kao što je već prikazano) treba tumačiti kao »ispunjenje« Božje riječi, na njega ipak treba gledati i kao na slušatelja riječi Božje (usp. prije svega isu- sovski doživljaj krštenja. Mk 1,11 par.). Pa ipak, Isus preoblikuje (s posebnom punomoći koju ima, usp. Mt 7,28 i d.; Iv 3,34; 14,24; 17,8) riječ Božju u radosnu vijest spasenja koje sada počinje, kraljevstva Božjeg koje nas</w:t>
        <w:softHyphen/>
        <w:t>taje. Isusova riječ postaje djelotvorna Kristova riječ (usp. Mt 8,8). Tako postaje prepoznat</w:t>
        <w:softHyphen/>
        <w:t>ljiva stanovita povezanost između Isusovih ri</w:t>
        <w:softHyphen/>
        <w:t>ječi i njegove karakterizacijc kao Sina Božje</w:t>
        <w:softHyphen/>
      </w:r>
      <w:r>
        <w:rPr>
          <w:rFonts w:ascii="Times New Roman" w:eastAsia="Times New Roman" w:hAnsi="Times New Roman" w:cs="Times New Roman"/>
          <w:color w:val="000000"/>
          <w:spacing w:val="0"/>
          <w:w w:val="100"/>
          <w:position w:val="0"/>
          <w:shd w:val="clear" w:color="auto" w:fill="auto"/>
          <w:lang w:val="hr-HR" w:eastAsia="hr-HR" w:bidi="hr-HR"/>
        </w:rPr>
        <w:t>ga, odnosno »Sina čovječjeg« (usp. Mk 8,38; Lk 9,26). Dakle, sinoptičari već početno nago</w:t>
        <w:softHyphen/>
        <w:t>vještaju izričitu povezanost Božje riječi uz Isusovu osobu i Isusovo teološko identifici</w:t>
        <w:softHyphen/>
        <w:t>ranje s riječju Božjom. Poosobljenje Božje ri</w:t>
        <w:softHyphen/>
        <w:t xml:space="preserve">ječi dalje se provodi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Za njega je Krist »da« Božjem obećanju (2 Kor 1,19 i d.). Daljnje teološki produbljeno upućivanje na misterij izjednačavanja Isusa Krista s riječju Božjom nalazi se u Heb 1,1 i d. »Bog koji je nekoć u mnogo navrata i na mnogo načina go</w:t>
        <w:softHyphen/>
        <w:t>vorio očima po prorocima, na kraju, to jest u ovo vrijeme, govorio nam je po Sinu « Krist je ovdje shvaćen kao konačan i nenadmašivo au</w:t>
        <w:softHyphen/>
        <w:t>tentičan Božji posrednik, kao vrhunac božan</w:t>
        <w:softHyphen/>
        <w:t>skoga spasenjskog naviještanja. Ovi - prilično približni - iskazi dobivaju svoju stvarnu pret</w:t>
        <w:softHyphen/>
        <w:t>postavku i svoju najdublju razradu u ivanov- skoj teologiji. Za Ivana je identitet riječi i Bo</w:t>
        <w:softHyphen/>
        <w:t>ga nesumnjiv temelj kršćanske teologije. Isus Krist je preegzistentan »lx&gt;gos« Božji (Iv 1,1), »utjelovljeni« (Iv 1,14), dakle u povijesti utje</w:t>
        <w:softHyphen/>
        <w:t>lovljena r. B., radikalan Gospodinov izraz sebe koji daruje spasenje (usp. i 1 Iv 1,1; Otk 19,13). Krist kao r. B. može u najvećoj mjeri biti označen kao Božje očitovanje (usp. Iv 1,18). Budući da Krist kao inkarnacija Božje riječi predstavlja najviše moguće i jedino au</w:t>
        <w:softHyphen/>
        <w:t>tentično Božje ostvarenje, postisusovska apo</w:t>
        <w:softHyphen/>
        <w:t>stolska r. B., koja slijedi, može značiti samo raščlanjenje Božje tajne u Isusu Kristu ljud</w:t>
        <w:softHyphen/>
        <w:t>skom riječju (u svom uvijek doksološki, svje- dočanski, tješiteljski, teološki naučavajući, opo</w:t>
        <w:softHyphen/>
        <w:t>minjući usmjerenom svojstvu). Svetost i auten</w:t>
        <w:softHyphen/>
        <w:t xml:space="preserve">tičnost riječi Božje iskazana je u ljudskoj riječi »nadahnućem« (usp. 1 Pt 1,10—12; 2 Pt 1,16-21 i prije svega 2 Tim 3,14-17 koji ukazuje na »pismo koje je Bog pobudio«). Nadahnuće je isto tako posljednji kriterij (tako je s katoličke strane odlučilo crkveno učiteljstvo na </w:t>
      </w:r>
      <w:r>
        <w:rPr>
          <w:rFonts w:ascii="Times New Roman" w:eastAsia="Times New Roman" w:hAnsi="Times New Roman" w:cs="Times New Roman"/>
          <w:color w:val="000000"/>
          <w:spacing w:val="0"/>
          <w:w w:val="100"/>
          <w:position w:val="0"/>
          <w:shd w:val="clear" w:color="auto" w:fill="auto"/>
          <w:lang w:val="en-US" w:eastAsia="en-US" w:bidi="en-US"/>
        </w:rPr>
        <w:t xml:space="preserve">Trident- </w:t>
      </w:r>
      <w:r>
        <w:rPr>
          <w:rFonts w:ascii="Times New Roman" w:eastAsia="Times New Roman" w:hAnsi="Times New Roman" w:cs="Times New Roman"/>
          <w:color w:val="000000"/>
          <w:spacing w:val="0"/>
          <w:w w:val="100"/>
          <w:position w:val="0"/>
          <w:shd w:val="clear" w:color="auto" w:fill="auto"/>
          <w:lang w:val="hr-HR" w:eastAsia="hr-HR" w:bidi="hr-HR"/>
        </w:rPr>
        <w:t>skom koncilu) kanoniziranja (sada) zapisane riječi Božje.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Prvorazredna zadaća Crkve i teologije je au</w:t>
        <w:softHyphen/>
        <w:t>tentična i živa predaja (transmissio) objavlje</w:t>
        <w:softHyphen/>
        <w:t>ne riječi Božje u povijesti sve do njezina esha- tološkog ispunjenja (usp. uz to osobito Dog</w:t>
        <w:softHyphen/>
        <w:t>matsku konstituciju »Dei Verbum« Drugoga vatikanskoga koncila). To je višestruko mogu</w:t>
        <w:softHyphen/>
        <w:t>će. Primjerice, »Dei Verbum« kaže da se r. B. povijesno prenosi propovijedanjem, primjeri</w:t>
        <w:softHyphen/>
        <w:t>ma i ustanovama (usp. br. 7), odnosno nauča- vanjem, životom i bogoštovljem (usp. br. 8).</w:t>
      </w:r>
    </w:p>
    <w:p>
      <w:pPr>
        <w:pStyle w:val="Style20"/>
        <w:keepNext w:val="0"/>
        <w:keepLines w:val="0"/>
        <w:widowControl w:val="0"/>
        <w:shd w:val="clear" w:color="auto" w:fill="auto"/>
        <w:tabs>
          <w:tab w:pos="2549" w:val="left"/>
        </w:tabs>
        <w:bidi w:val="0"/>
        <w:spacing w:before="0" w:after="260"/>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Utoliko vrijedi pripaziti da se spasenjski pro</w:t>
        <w:softHyphen/>
        <w:t>ces božanskog događanja riječi, nakon što je postigao vrhunac u Kristu kao »utjelovljenom« Božjem Logosu, »može čuti« odnosno iskusiti unutar (ne treba ljudski ograničavati) Kristo</w:t>
        <w:softHyphen/>
        <w:t>ve Crkve u različitim izvedbama. R. B. artiku</w:t>
        <w:softHyphen/>
        <w:t xml:space="preserve">lira se kao kanonizirano i nadahnuto Sveto pismo unutar crkveno-apostolskc tradicije, u aktualnom naviještanju Crkve, unutar vjerske prakse Božjeg naroda kao Kristove zajednice sljedbenika i dobiva (teološki shvaćeno kao »opus operatum«) osobit »ekshibitivan« </w:t>
      </w:r>
      <w:r>
        <w:rPr>
          <w:rFonts w:ascii="Times New Roman" w:eastAsia="Times New Roman" w:hAnsi="Times New Roman" w:cs="Times New Roman"/>
          <w:color w:val="000000"/>
          <w:spacing w:val="0"/>
          <w:w w:val="100"/>
          <w:position w:val="0"/>
          <w:sz w:val="15"/>
          <w:szCs w:val="15"/>
          <w:shd w:val="clear" w:color="auto" w:fill="auto"/>
          <w:lang w:val="en-US" w:eastAsia="en-US" w:bidi="en-US"/>
        </w:rPr>
        <w:t>(Rah</w:t>
        <w:softHyphen/>
        <w:t xml:space="preserve">ner) </w:t>
      </w:r>
      <w:r>
        <w:rPr>
          <w:rFonts w:ascii="Times New Roman" w:eastAsia="Times New Roman" w:hAnsi="Times New Roman" w:cs="Times New Roman"/>
          <w:color w:val="000000"/>
          <w:spacing w:val="0"/>
          <w:w w:val="100"/>
          <w:position w:val="0"/>
          <w:sz w:val="15"/>
          <w:szCs w:val="15"/>
          <w:shd w:val="clear" w:color="auto" w:fill="auto"/>
          <w:lang w:val="hr-HR" w:eastAsia="hr-HR" w:bidi="hr-HR"/>
        </w:rPr>
        <w:t>karakter u okviru crkvene sakramental- nosti. U suprotnosti s ovim prilično katolički usmjerenim razmišljanjem o riječi Božjoj, cvangcličko teološko određivanje odnosa iz</w:t>
        <w:softHyphen/>
        <w:t xml:space="preserve">među riječi Božje i sakramenta (načelo -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»sola </w:t>
      </w:r>
      <w:r>
        <w:rPr>
          <w:rFonts w:ascii="Times New Roman" w:eastAsia="Times New Roman" w:hAnsi="Times New Roman" w:cs="Times New Roman"/>
          <w:color w:val="000000"/>
          <w:spacing w:val="0"/>
          <w:w w:val="100"/>
          <w:position w:val="0"/>
          <w:sz w:val="15"/>
          <w:szCs w:val="15"/>
          <w:shd w:val="clear" w:color="auto" w:fill="auto"/>
          <w:lang w:val="hr-HR" w:eastAsia="hr-HR" w:bidi="hr-HR"/>
        </w:rPr>
        <w:t>scriptura«) pridaje ovom drugom samo malu važnost. U svakom se slučaju može utvr</w:t>
        <w:softHyphen/>
        <w:t>diti da je unutar protestantske teologije - pri</w:t>
        <w:softHyphen/>
        <w:t xml:space="preserve">je često diskutirana - »teologija riječi Božje« (npr.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Barth, </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Bultmann, Gogarten) potisnuta u korist »teologije povijesti« (Pannenberg). </w:t>
      </w:r>
      <w:r>
        <w:rPr>
          <w:rFonts w:ascii="Arial" w:eastAsia="Arial" w:hAnsi="Arial" w:cs="Arial"/>
          <w:color w:val="000000"/>
          <w:spacing w:val="0"/>
          <w:w w:val="100"/>
          <w:position w:val="0"/>
          <w:sz w:val="12"/>
          <w:szCs w:val="12"/>
          <w:shd w:val="clear" w:color="auto" w:fill="auto"/>
          <w:lang w:val="en-US" w:eastAsia="en-US" w:bidi="en-US"/>
        </w:rPr>
        <w:t xml:space="preserve">(.it.: </w:t>
      </w:r>
      <w:r>
        <w:rPr>
          <w:rFonts w:ascii="Arial" w:eastAsia="Arial" w:hAnsi="Arial" w:cs="Arial"/>
          <w:color w:val="000000"/>
          <w:spacing w:val="0"/>
          <w:w w:val="100"/>
          <w:position w:val="0"/>
          <w:sz w:val="12"/>
          <w:szCs w:val="12"/>
          <w:shd w:val="clear" w:color="auto" w:fill="auto"/>
          <w:lang w:val="hr-HR" w:eastAsia="hr-HR" w:bidi="hr-HR"/>
        </w:rPr>
        <w:t xml:space="preserve">H, IJ. v. </w:t>
      </w:r>
      <w:r>
        <w:rPr>
          <w:rFonts w:ascii="Arial" w:eastAsia="Arial" w:hAnsi="Arial" w:cs="Arial"/>
          <w:color w:val="000000"/>
          <w:spacing w:val="0"/>
          <w:w w:val="100"/>
          <w:position w:val="0"/>
          <w:sz w:val="12"/>
          <w:szCs w:val="12"/>
          <w:shd w:val="clear" w:color="auto" w:fill="auto"/>
          <w:lang w:val="en-US" w:eastAsia="en-US" w:bidi="en-US"/>
        </w:rPr>
        <w:t xml:space="preserve">Balthasar. </w:t>
      </w:r>
      <w:r>
        <w:rPr>
          <w:rFonts w:ascii="Arial" w:eastAsia="Arial" w:hAnsi="Arial" w:cs="Arial"/>
          <w:i/>
          <w:iCs/>
          <w:color w:val="000000"/>
          <w:spacing w:val="0"/>
          <w:w w:val="100"/>
          <w:position w:val="0"/>
          <w:sz w:val="12"/>
          <w:szCs w:val="12"/>
          <w:shd w:val="clear" w:color="auto" w:fill="auto"/>
          <w:lang w:val="hr-HR" w:eastAsia="hr-HR" w:bidi="hr-HR"/>
        </w:rPr>
        <w:t xml:space="preserve">Sponsti </w:t>
      </w:r>
      <w:r>
        <w:rPr>
          <w:rFonts w:ascii="Arial" w:eastAsia="Arial" w:hAnsi="Arial" w:cs="Arial"/>
          <w:i/>
          <w:iCs/>
          <w:color w:val="000000"/>
          <w:spacing w:val="0"/>
          <w:w w:val="100"/>
          <w:position w:val="0"/>
          <w:sz w:val="12"/>
          <w:szCs w:val="12"/>
          <w:shd w:val="clear" w:color="auto" w:fill="auto"/>
          <w:lang w:val="en-US" w:eastAsia="en-US" w:bidi="en-US"/>
        </w:rPr>
        <w:t>Verbi,</w:t>
      </w:r>
      <w:r>
        <w:rPr>
          <w:rFonts w:ascii="Arial" w:eastAsia="Arial" w:hAnsi="Arial" w:cs="Arial"/>
          <w:color w:val="000000"/>
          <w:spacing w:val="0"/>
          <w:w w:val="100"/>
          <w:position w:val="0"/>
          <w:sz w:val="12"/>
          <w:szCs w:val="12"/>
          <w:shd w:val="clear" w:color="auto" w:fill="auto"/>
          <w:lang w:val="en-US" w:eastAsia="en-US" w:bidi="en-US"/>
        </w:rPr>
        <w:t xml:space="preserve"> </w:t>
      </w:r>
      <w:r>
        <w:rPr>
          <w:rFonts w:ascii="Arial" w:eastAsia="Arial" w:hAnsi="Arial" w:cs="Arial"/>
          <w:color w:val="000000"/>
          <w:spacing w:val="0"/>
          <w:w w:val="100"/>
          <w:position w:val="0"/>
          <w:sz w:val="12"/>
          <w:szCs w:val="12"/>
          <w:shd w:val="clear" w:color="auto" w:fill="auto"/>
          <w:lang w:val="hr-HR" w:eastAsia="hr-HR" w:bidi="hr-HR"/>
        </w:rPr>
        <w:t xml:space="preserve">Ein.Mcddn I960; K. </w:t>
      </w:r>
      <w:r>
        <w:rPr>
          <w:rFonts w:ascii="Arial" w:eastAsia="Arial" w:hAnsi="Arial" w:cs="Arial"/>
          <w:color w:val="000000"/>
          <w:spacing w:val="0"/>
          <w:w w:val="100"/>
          <w:position w:val="0"/>
          <w:sz w:val="12"/>
          <w:szCs w:val="12"/>
          <w:shd w:val="clear" w:color="auto" w:fill="auto"/>
          <w:lang w:val="en-US" w:eastAsia="en-US" w:bidi="en-US"/>
        </w:rPr>
        <w:t xml:space="preserve">Barth. </w:t>
      </w:r>
      <w:r>
        <w:rPr>
          <w:rFonts w:ascii="Arial" w:eastAsia="Arial" w:hAnsi="Arial" w:cs="Arial"/>
          <w:i/>
          <w:iCs/>
          <w:color w:val="000000"/>
          <w:spacing w:val="0"/>
          <w:w w:val="100"/>
          <w:position w:val="0"/>
          <w:sz w:val="12"/>
          <w:szCs w:val="12"/>
          <w:shd w:val="clear" w:color="auto" w:fill="auto"/>
          <w:lang w:val="en-US" w:eastAsia="en-US" w:bidi="en-US"/>
        </w:rPr>
        <w:t xml:space="preserve">Das Wort Goites und die </w:t>
      </w:r>
      <w:r>
        <w:rPr>
          <w:rFonts w:ascii="Arial" w:eastAsia="Arial" w:hAnsi="Arial" w:cs="Arial"/>
          <w:i/>
          <w:iCs/>
          <w:color w:val="000000"/>
          <w:spacing w:val="0"/>
          <w:w w:val="100"/>
          <w:position w:val="0"/>
          <w:sz w:val="12"/>
          <w:szCs w:val="12"/>
          <w:shd w:val="clear" w:color="auto" w:fill="auto"/>
          <w:lang w:val="hr-HR" w:eastAsia="hr-HR" w:bidi="hr-HR"/>
        </w:rPr>
        <w:t>Theoio&amp;e,</w:t>
      </w:r>
      <w:r>
        <w:rPr>
          <w:rFonts w:ascii="Arial" w:eastAsia="Arial" w:hAnsi="Arial" w:cs="Arial"/>
          <w:color w:val="000000"/>
          <w:spacing w:val="0"/>
          <w:w w:val="100"/>
          <w:position w:val="0"/>
          <w:sz w:val="12"/>
          <w:szCs w:val="12"/>
          <w:shd w:val="clear" w:color="auto" w:fill="auto"/>
          <w:lang w:val="hr-HR" w:eastAsia="hr-HR" w:bidi="hr-HR"/>
        </w:rPr>
        <w:t xml:space="preserve"> Munchcn 1924; R. Bultmann. Dcr Bcgriff des </w:t>
      </w:r>
      <w:r>
        <w:rPr>
          <w:rFonts w:ascii="Arial" w:eastAsia="Arial" w:hAnsi="Arial" w:cs="Arial"/>
          <w:color w:val="000000"/>
          <w:spacing w:val="0"/>
          <w:w w:val="100"/>
          <w:position w:val="0"/>
          <w:sz w:val="12"/>
          <w:szCs w:val="12"/>
          <w:shd w:val="clear" w:color="auto" w:fill="auto"/>
          <w:lang w:val="en-US" w:eastAsia="en-US" w:bidi="en-US"/>
        </w:rPr>
        <w:t xml:space="preserve">Wortes </w:t>
      </w:r>
      <w:r>
        <w:rPr>
          <w:rFonts w:ascii="Arial" w:eastAsia="Arial" w:hAnsi="Arial" w:cs="Arial"/>
          <w:color w:val="000000"/>
          <w:spacing w:val="0"/>
          <w:w w:val="100"/>
          <w:position w:val="0"/>
          <w:sz w:val="12"/>
          <w:szCs w:val="12"/>
          <w:shd w:val="clear" w:color="auto" w:fill="auto"/>
          <w:lang w:val="hr-HR" w:eastAsia="hr-HR" w:bidi="hr-HR"/>
        </w:rPr>
        <w:t xml:space="preserve">Goitcs im Ncucn Testament, u: </w:t>
      </w:r>
      <w:r>
        <w:rPr>
          <w:rFonts w:ascii="Arial" w:eastAsia="Arial" w:hAnsi="Arial" w:cs="Arial"/>
          <w:i/>
          <w:iCs/>
          <w:color w:val="000000"/>
          <w:spacing w:val="0"/>
          <w:w w:val="100"/>
          <w:position w:val="0"/>
          <w:sz w:val="12"/>
          <w:szCs w:val="12"/>
          <w:shd w:val="clear" w:color="auto" w:fill="auto"/>
          <w:lang w:val="hr-HR" w:eastAsia="hr-HR" w:bidi="hr-HR"/>
        </w:rPr>
        <w:t>Glauben und Versiehen 1,</w:t>
      </w:r>
      <w:r>
        <w:rPr>
          <w:rFonts w:ascii="Arial" w:eastAsia="Arial" w:hAnsi="Arial" w:cs="Arial"/>
          <w:color w:val="000000"/>
          <w:spacing w:val="0"/>
          <w:w w:val="100"/>
          <w:position w:val="0"/>
          <w:sz w:val="12"/>
          <w:szCs w:val="12"/>
          <w:shd w:val="clear" w:color="auto" w:fill="auto"/>
          <w:lang w:val="hr-HR" w:eastAsia="hr-HR" w:bidi="hr-HR"/>
        </w:rPr>
        <w:t xml:space="preserve"> </w:t>
      </w:r>
      <w:r>
        <w:rPr>
          <w:rFonts w:ascii="Arial" w:eastAsia="Arial" w:hAnsi="Arial" w:cs="Arial"/>
          <w:color w:val="000000"/>
          <w:spacing w:val="0"/>
          <w:w w:val="100"/>
          <w:position w:val="0"/>
          <w:sz w:val="12"/>
          <w:szCs w:val="12"/>
          <w:shd w:val="clear" w:color="auto" w:fill="auto"/>
          <w:lang w:val="en-US" w:eastAsia="en-US" w:bidi="en-US"/>
        </w:rPr>
        <w:t xml:space="preserve">Tubingen </w:t>
      </w:r>
      <w:r>
        <w:rPr>
          <w:rFonts w:ascii="Arial" w:eastAsia="Arial" w:hAnsi="Arial" w:cs="Arial"/>
          <w:color w:val="000000"/>
          <w:spacing w:val="0"/>
          <w:w w:val="100"/>
          <w:position w:val="0"/>
          <w:sz w:val="12"/>
          <w:szCs w:val="12"/>
          <w:shd w:val="clear" w:color="auto" w:fill="auto"/>
          <w:vertAlign w:val="superscript"/>
          <w:lang w:val="hr-HR" w:eastAsia="hr-HR" w:bidi="hr-HR"/>
        </w:rPr>
        <w:t>Z</w:t>
      </w:r>
      <w:r>
        <w:rPr>
          <w:rFonts w:ascii="Arial" w:eastAsia="Arial" w:hAnsi="Arial" w:cs="Arial"/>
          <w:color w:val="000000"/>
          <w:spacing w:val="0"/>
          <w:w w:val="100"/>
          <w:position w:val="0"/>
          <w:sz w:val="12"/>
          <w:szCs w:val="12"/>
          <w:shd w:val="clear" w:color="auto" w:fill="auto"/>
          <w:lang w:val="hr-HR" w:eastAsia="hr-HR" w:bidi="hr-HR"/>
        </w:rPr>
        <w:t xml:space="preserve">1972; P. Knaucr, </w:t>
      </w:r>
      <w:r>
        <w:rPr>
          <w:rFonts w:ascii="Arial" w:eastAsia="Arial" w:hAnsi="Arial" w:cs="Arial"/>
          <w:i/>
          <w:iCs/>
          <w:color w:val="000000"/>
          <w:spacing w:val="0"/>
          <w:w w:val="100"/>
          <w:position w:val="0"/>
          <w:sz w:val="12"/>
          <w:szCs w:val="12"/>
          <w:shd w:val="clear" w:color="auto" w:fill="auto"/>
          <w:lang w:val="hr-HR" w:eastAsia="hr-HR" w:bidi="hr-HR"/>
        </w:rPr>
        <w:t xml:space="preserve">Der Glaube </w:t>
      </w:r>
      <w:r>
        <w:rPr>
          <w:rFonts w:ascii="Arial" w:eastAsia="Arial" w:hAnsi="Arial" w:cs="Arial"/>
          <w:i/>
          <w:iCs/>
          <w:color w:val="000000"/>
          <w:spacing w:val="0"/>
          <w:w w:val="100"/>
          <w:position w:val="0"/>
          <w:sz w:val="12"/>
          <w:szCs w:val="12"/>
          <w:shd w:val="clear" w:color="auto" w:fill="auto"/>
          <w:lang w:val="en-US" w:eastAsia="en-US" w:bidi="en-US"/>
        </w:rPr>
        <w:t>kommt vom Horen,</w:t>
      </w:r>
      <w:r>
        <w:rPr>
          <w:rFonts w:ascii="Arial" w:eastAsia="Arial" w:hAnsi="Arial" w:cs="Arial"/>
          <w:color w:val="000000"/>
          <w:spacing w:val="0"/>
          <w:w w:val="100"/>
          <w:position w:val="0"/>
          <w:sz w:val="12"/>
          <w:szCs w:val="12"/>
          <w:shd w:val="clear" w:color="auto" w:fill="auto"/>
          <w:lang w:val="en-US" w:eastAsia="en-US" w:bidi="en-US"/>
        </w:rPr>
        <w:t xml:space="preserve"> Graz </w:t>
      </w:r>
      <w:r>
        <w:rPr>
          <w:rFonts w:ascii="Arial" w:eastAsia="Arial" w:hAnsi="Arial" w:cs="Arial"/>
          <w:color w:val="000000"/>
          <w:spacing w:val="0"/>
          <w:w w:val="100"/>
          <w:position w:val="0"/>
          <w:sz w:val="12"/>
          <w:szCs w:val="12"/>
          <w:shd w:val="clear" w:color="auto" w:fill="auto"/>
          <w:lang w:val="hr-HR" w:eastAsia="hr-HR" w:bidi="hr-HR"/>
        </w:rPr>
        <w:t xml:space="preserve">1978; K, </w:t>
      </w:r>
      <w:r>
        <w:rPr>
          <w:rFonts w:ascii="Arial" w:eastAsia="Arial" w:hAnsi="Arial" w:cs="Arial"/>
          <w:color w:val="000000"/>
          <w:spacing w:val="0"/>
          <w:w w:val="100"/>
          <w:position w:val="0"/>
          <w:sz w:val="12"/>
          <w:szCs w:val="12"/>
          <w:shd w:val="clear" w:color="auto" w:fill="auto"/>
          <w:lang w:val="en-US" w:eastAsia="en-US" w:bidi="en-US"/>
        </w:rPr>
        <w:t xml:space="preserve">Rahner,'J. Ratzinger. </w:t>
      </w:r>
      <w:r>
        <w:rPr>
          <w:rFonts w:ascii="Arial" w:eastAsia="Arial" w:hAnsi="Arial" w:cs="Arial"/>
          <w:i/>
          <w:iCs/>
          <w:color w:val="000000"/>
          <w:spacing w:val="0"/>
          <w:w w:val="100"/>
          <w:position w:val="0"/>
          <w:sz w:val="12"/>
          <w:szCs w:val="12"/>
          <w:shd w:val="clear" w:color="auto" w:fill="auto"/>
          <w:lang w:val="en-US" w:eastAsia="en-US" w:bidi="en-US"/>
        </w:rPr>
        <w:t xml:space="preserve">Offenbarung </w:t>
      </w:r>
      <w:r>
        <w:rPr>
          <w:rFonts w:ascii="Arial" w:eastAsia="Arial" w:hAnsi="Arial" w:cs="Arial"/>
          <w:i/>
          <w:iCs/>
          <w:color w:val="000000"/>
          <w:spacing w:val="0"/>
          <w:w w:val="100"/>
          <w:position w:val="0"/>
          <w:sz w:val="12"/>
          <w:szCs w:val="12"/>
          <w:shd w:val="clear" w:color="auto" w:fill="auto"/>
          <w:lang w:val="hr-HR" w:eastAsia="hr-HR" w:bidi="hr-HR"/>
        </w:rPr>
        <w:t xml:space="preserve">und </w:t>
      </w:r>
      <w:r>
        <w:rPr>
          <w:rFonts w:ascii="Arial" w:eastAsia="Arial" w:hAnsi="Arial" w:cs="Arial"/>
          <w:i/>
          <w:iCs/>
          <w:color w:val="000000"/>
          <w:spacing w:val="0"/>
          <w:w w:val="100"/>
          <w:position w:val="0"/>
          <w:sz w:val="12"/>
          <w:szCs w:val="12"/>
          <w:shd w:val="clear" w:color="auto" w:fill="auto"/>
          <w:lang w:val="en-US" w:eastAsia="en-US" w:bidi="en-US"/>
        </w:rPr>
        <w:t>Uberlieferung,</w:t>
      </w:r>
      <w:r>
        <w:rPr>
          <w:rFonts w:ascii="Arial" w:eastAsia="Arial" w:hAnsi="Arial" w:cs="Arial"/>
          <w:color w:val="000000"/>
          <w:spacing w:val="0"/>
          <w:w w:val="100"/>
          <w:position w:val="0"/>
          <w:sz w:val="12"/>
          <w:szCs w:val="12"/>
          <w:shd w:val="clear" w:color="auto" w:fill="auto"/>
          <w:lang w:val="en-US" w:eastAsia="en-US" w:bidi="en-US"/>
        </w:rPr>
        <w:t xml:space="preserve"> Frei</w:t>
        <w:softHyphen/>
        <w:t xml:space="preserve">burg </w:t>
      </w:r>
      <w:r>
        <w:rPr>
          <w:rFonts w:ascii="Arial" w:eastAsia="Arial" w:hAnsi="Arial" w:cs="Arial"/>
          <w:color w:val="000000"/>
          <w:spacing w:val="0"/>
          <w:w w:val="100"/>
          <w:position w:val="0"/>
          <w:sz w:val="12"/>
          <w:szCs w:val="12"/>
          <w:shd w:val="clear" w:color="auto" w:fill="auto"/>
          <w:lang w:val="hr-HR" w:eastAsia="hr-HR" w:bidi="hr-HR"/>
        </w:rPr>
        <w:t xml:space="preserve">i. Br. 1965: O. Scmmclroth, </w:t>
      </w:r>
      <w:r>
        <w:rPr>
          <w:rFonts w:ascii="Arial" w:eastAsia="Arial" w:hAnsi="Arial" w:cs="Arial"/>
          <w:i/>
          <w:iCs/>
          <w:color w:val="000000"/>
          <w:spacing w:val="0"/>
          <w:w w:val="100"/>
          <w:position w:val="0"/>
          <w:sz w:val="12"/>
          <w:szCs w:val="12"/>
          <w:shd w:val="clear" w:color="auto" w:fill="auto"/>
          <w:lang w:val="en-US" w:eastAsia="en-US" w:bidi="en-US"/>
        </w:rPr>
        <w:t>Wirkendes Wort,</w:t>
      </w:r>
      <w:r>
        <w:rPr>
          <w:rFonts w:ascii="Arial" w:eastAsia="Arial" w:hAnsi="Arial" w:cs="Arial"/>
          <w:color w:val="000000"/>
          <w:spacing w:val="0"/>
          <w:w w:val="100"/>
          <w:position w:val="0"/>
          <w:sz w:val="12"/>
          <w:szCs w:val="12"/>
          <w:shd w:val="clear" w:color="auto" w:fill="auto"/>
          <w:lang w:val="en-US" w:eastAsia="en-US" w:bidi="en-US"/>
        </w:rPr>
        <w:t xml:space="preserve"> Freiburg </w:t>
      </w:r>
      <w:r>
        <w:rPr>
          <w:rFonts w:ascii="Arial" w:eastAsia="Arial" w:hAnsi="Arial" w:cs="Arial"/>
          <w:color w:val="000000"/>
          <w:spacing w:val="0"/>
          <w:w w:val="100"/>
          <w:position w:val="0"/>
          <w:sz w:val="12"/>
          <w:szCs w:val="12"/>
          <w:shd w:val="clear" w:color="auto" w:fill="auto"/>
          <w:lang w:val="hr-HR" w:eastAsia="hr-HR" w:bidi="hr-HR"/>
        </w:rPr>
        <w:t xml:space="preserve">i. Br. 1962; H. </w:t>
      </w:r>
      <w:r>
        <w:rPr>
          <w:rFonts w:ascii="Arial" w:eastAsia="Arial" w:hAnsi="Arial" w:cs="Arial"/>
          <w:color w:val="000000"/>
          <w:spacing w:val="0"/>
          <w:w w:val="100"/>
          <w:position w:val="0"/>
          <w:sz w:val="12"/>
          <w:szCs w:val="12"/>
          <w:shd w:val="clear" w:color="auto" w:fill="auto"/>
          <w:lang w:val="en-US" w:eastAsia="en-US" w:bidi="en-US"/>
        </w:rPr>
        <w:t xml:space="preserve">Waldcnfcls, </w:t>
      </w:r>
      <w:r>
        <w:rPr>
          <w:rFonts w:ascii="Arial" w:eastAsia="Arial" w:hAnsi="Arial" w:cs="Arial"/>
          <w:i/>
          <w:iCs/>
          <w:color w:val="000000"/>
          <w:spacing w:val="0"/>
          <w:w w:val="100"/>
          <w:position w:val="0"/>
          <w:sz w:val="12"/>
          <w:szCs w:val="12"/>
          <w:shd w:val="clear" w:color="auto" w:fill="auto"/>
          <w:lang w:val="hr-HR" w:eastAsia="hr-HR" w:bidi="hr-HR"/>
        </w:rPr>
        <w:t xml:space="preserve">Kontoaurile </w:t>
      </w:r>
      <w:r>
        <w:rPr>
          <w:rFonts w:ascii="Arial" w:eastAsia="Arial" w:hAnsi="Arial" w:cs="Arial"/>
          <w:i/>
          <w:iCs/>
          <w:color w:val="000000"/>
          <w:spacing w:val="0"/>
          <w:w w:val="100"/>
          <w:position w:val="0"/>
          <w:sz w:val="12"/>
          <w:szCs w:val="12"/>
          <w:shd w:val="clear" w:color="auto" w:fill="auto"/>
          <w:lang w:val="en-US" w:eastAsia="en-US" w:bidi="en-US"/>
        </w:rPr>
        <w:t>Fundanirnlaltheolo- gie,</w:t>
      </w:r>
      <w:r>
        <w:rPr>
          <w:rFonts w:ascii="Arial" w:eastAsia="Arial" w:hAnsi="Arial" w:cs="Arial"/>
          <w:color w:val="000000"/>
          <w:spacing w:val="0"/>
          <w:w w:val="100"/>
          <w:position w:val="0"/>
          <w:sz w:val="12"/>
          <w:szCs w:val="12"/>
          <w:shd w:val="clear" w:color="auto" w:fill="auto"/>
          <w:lang w:val="en-US" w:eastAsia="en-US" w:bidi="en-US"/>
        </w:rPr>
        <w:t xml:space="preserve"> Paderborn </w:t>
      </w:r>
      <w:r>
        <w:rPr>
          <w:rFonts w:ascii="Arial" w:eastAsia="Arial" w:hAnsi="Arial" w:cs="Arial"/>
          <w:color w:val="000000"/>
          <w:spacing w:val="0"/>
          <w:w w:val="100"/>
          <w:position w:val="0"/>
          <w:sz w:val="12"/>
          <w:szCs w:val="12"/>
          <w:shd w:val="clear" w:color="auto" w:fill="auto"/>
          <w:lang w:val="hr-HR" w:eastAsia="hr-HR" w:bidi="hr-HR"/>
        </w:rPr>
        <w:t>1985, posebice 91-107, 165-184, 416-434, 489-495.</w:t>
        <w:tab/>
        <w:t xml:space="preserve">E. </w:t>
      </w:r>
      <w:r>
        <w:rPr>
          <w:rFonts w:ascii="Arial" w:eastAsia="Arial" w:hAnsi="Arial" w:cs="Arial"/>
          <w:color w:val="000000"/>
          <w:spacing w:val="0"/>
          <w:w w:val="100"/>
          <w:position w:val="0"/>
          <w:sz w:val="12"/>
          <w:szCs w:val="12"/>
          <w:shd w:val="clear" w:color="auto" w:fill="auto"/>
          <w:lang w:val="en-US" w:eastAsia="en-US" w:bidi="en-US"/>
        </w:rPr>
        <w:t>1IEYEN</w:t>
      </w:r>
    </w:p>
    <w:p>
      <w:pPr>
        <w:pStyle w:val="Style63"/>
        <w:keepNext/>
        <w:keepLines/>
        <w:widowControl w:val="0"/>
        <w:numPr>
          <w:ilvl w:val="0"/>
          <w:numId w:val="481"/>
        </w:numPr>
        <w:shd w:val="clear" w:color="auto" w:fill="auto"/>
        <w:tabs>
          <w:tab w:pos="265" w:val="left"/>
        </w:tabs>
        <w:bidi w:val="0"/>
        <w:spacing w:before="0" w:after="120" w:line="209" w:lineRule="auto"/>
        <w:ind w:left="0" w:right="0" w:firstLine="0"/>
        <w:jc w:val="left"/>
      </w:pPr>
      <w:bookmarkStart w:id="312" w:name="bookmark312"/>
      <w:r>
        <w:rPr>
          <w:rFonts w:ascii="Times New Roman" w:eastAsia="Times New Roman" w:hAnsi="Times New Roman" w:cs="Times New Roman"/>
          <w:color w:val="000000"/>
          <w:spacing w:val="0"/>
          <w:w w:val="100"/>
          <w:position w:val="0"/>
          <w:shd w:val="clear" w:color="auto" w:fill="auto"/>
          <w:lang w:val="hr-HR" w:eastAsia="hr-HR" w:bidi="hr-HR"/>
        </w:rPr>
        <w:t>islamski</w:t>
      </w:r>
      <w:bookmarkEnd w:id="312"/>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 B. predstavlja u kuranskoj upotrebi ne sa</w:t>
        <w:softHyphen/>
        <w:t>mo sredstvo spoznaje, već jednako kao u Bib</w:t>
        <w:softHyphen/>
        <w:t>liji i silu koja djeluje u prirodi i povijesti. Za</w:t>
        <w:softHyphen/>
        <w:t xml:space="preserve">pravo, temeljno načelo stvaranja shvaća se kao r. B. To je zapovjedni oblik glagola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biti: </w:t>
      </w:r>
      <w:r>
        <w:rPr>
          <w:rFonts w:ascii="Times New Roman" w:eastAsia="Times New Roman" w:hAnsi="Times New Roman" w:cs="Times New Roman"/>
          <w:color w:val="000000"/>
          <w:spacing w:val="0"/>
          <w:w w:val="100"/>
          <w:position w:val="0"/>
          <w:shd w:val="clear" w:color="auto" w:fill="auto"/>
          <w:lang w:val="hr-HR" w:eastAsia="hr-HR" w:bidi="hr-HR"/>
        </w:rPr>
        <w:t>»Neka bude!«. R. B. je jedina na ovome svi</w:t>
        <w:softHyphen/>
        <w:t xml:space="preserve">jetu korištena forma samopriopćenja trans- cendentnoga Boga. Nju je najneposrednije doživio Mojsije: On je bio »Božji sugovornik« </w:t>
      </w:r>
      <w:r>
        <w:rPr>
          <w:rFonts w:ascii="Times New Roman" w:eastAsia="Times New Roman" w:hAnsi="Times New Roman" w:cs="Times New Roman"/>
          <w:i/>
          <w:iCs/>
          <w:color w:val="000000"/>
          <w:spacing w:val="0"/>
          <w:w w:val="100"/>
          <w:position w:val="0"/>
          <w:shd w:val="clear" w:color="auto" w:fill="auto"/>
          <w:lang w:val="hr-HR" w:eastAsia="hr-HR" w:bidi="hr-HR"/>
        </w:rPr>
        <w:t>(kalim-AUah).</w:t>
      </w:r>
      <w:r>
        <w:rPr>
          <w:rFonts w:ascii="Times New Roman" w:eastAsia="Times New Roman" w:hAnsi="Times New Roman" w:cs="Times New Roman"/>
          <w:color w:val="000000"/>
          <w:spacing w:val="0"/>
          <w:w w:val="100"/>
          <w:position w:val="0"/>
          <w:shd w:val="clear" w:color="auto" w:fill="auto"/>
          <w:lang w:val="hr-HR" w:eastAsia="hr-HR" w:bidi="hr-HR"/>
        </w:rPr>
        <w:t xml:space="preserve"> Kao r. B. u cjelini i u pojedi</w:t>
        <w:softHyphen/>
        <w:t>nostima važi objava prorocima. Budući da je Bog njezin autor, na čovjeku nije da je mi</w:t>
        <w:softHyphen/>
        <w:t>jenja. Zbog svojega zaključnoga karaktera za islam je najvažnija objava koju je primio Mu</w:t>
        <w:softHyphen/>
        <w:t>hamed. Kuran je r. B. koja stoji u središtu vjere. Sporno je pitanje, je li on - analogno svakoj drugoj objavi - bio stvoren u određe</w:t>
        <w:softHyphen/>
        <w:t xml:space="preserve">nom historijskom trenutku ili od vječnosti </w:t>
      </w:r>
      <w:r>
        <w:rPr>
          <w:rFonts w:ascii="Times New Roman" w:eastAsia="Times New Roman" w:hAnsi="Times New Roman" w:cs="Times New Roman"/>
          <w:color w:val="000000"/>
          <w:spacing w:val="0"/>
          <w:w w:val="100"/>
          <w:position w:val="0"/>
          <w:shd w:val="clear" w:color="auto" w:fill="auto"/>
          <w:lang w:val="hr-HR" w:eastAsia="hr-HR" w:bidi="hr-HR"/>
        </w:rPr>
        <w:t>postoji kao sastavni dio božanske mudrosti? Od kraja X. stoljeća zadnji se nazor smatra ortodoksnim. Tom je stavu ne naposljetku pripomoglo uvođenje nasilnih sredstava. Mi</w:t>
        <w:softHyphen/>
        <w:t>sao o preegzistenciji svetih knjiga prisutna je uostalom i u teologiji drugih religija.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svojim društvenim učincima r. B. se obli</w:t>
        <w:softHyphen/>
        <w:t xml:space="preserve">kuje kao radosna vijest </w:t>
      </w:r>
      <w:r>
        <w:rPr>
          <w:rFonts w:ascii="Times New Roman" w:eastAsia="Times New Roman" w:hAnsi="Times New Roman" w:cs="Times New Roman"/>
          <w:i/>
          <w:iCs/>
          <w:color w:val="000000"/>
          <w:spacing w:val="0"/>
          <w:w w:val="100"/>
          <w:position w:val="0"/>
          <w:shd w:val="clear" w:color="auto" w:fill="auto"/>
          <w:lang w:val="hr-HR" w:eastAsia="hr-HR" w:bidi="hr-HR"/>
        </w:rPr>
        <w:t>(bushra),</w:t>
      </w:r>
      <w:r>
        <w:rPr>
          <w:rFonts w:ascii="Times New Roman" w:eastAsia="Times New Roman" w:hAnsi="Times New Roman" w:cs="Times New Roman"/>
          <w:color w:val="000000"/>
          <w:spacing w:val="0"/>
          <w:w w:val="100"/>
          <w:position w:val="0"/>
          <w:shd w:val="clear" w:color="auto" w:fill="auto"/>
          <w:lang w:val="hr-HR" w:eastAsia="hr-HR" w:bidi="hr-HR"/>
        </w:rPr>
        <w:t xml:space="preserve"> upozorenje ili opomena </w:t>
      </w:r>
      <w:r>
        <w:rPr>
          <w:rFonts w:ascii="Times New Roman" w:eastAsia="Times New Roman" w:hAnsi="Times New Roman" w:cs="Times New Roman"/>
          <w:i/>
          <w:iCs/>
          <w:color w:val="000000"/>
          <w:spacing w:val="0"/>
          <w:w w:val="100"/>
          <w:position w:val="0"/>
          <w:shd w:val="clear" w:color="auto" w:fill="auto"/>
          <w:lang w:val="en-US" w:eastAsia="en-US" w:bidi="en-US"/>
        </w:rPr>
        <w:t>(dhikr),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zapovijed </w:t>
      </w:r>
      <w:r>
        <w:rPr>
          <w:rFonts w:ascii="Times New Roman" w:eastAsia="Times New Roman" w:hAnsi="Times New Roman" w:cs="Times New Roman"/>
          <w:i/>
          <w:iCs/>
          <w:color w:val="000000"/>
          <w:spacing w:val="0"/>
          <w:w w:val="100"/>
          <w:position w:val="0"/>
          <w:shd w:val="clear" w:color="auto" w:fill="auto"/>
          <w:lang w:val="hr-HR" w:eastAsia="hr-HR" w:bidi="hr-HR"/>
        </w:rPr>
        <w:t>(amr)</w:t>
      </w:r>
      <w:r>
        <w:rPr>
          <w:rFonts w:ascii="Times New Roman" w:eastAsia="Times New Roman" w:hAnsi="Times New Roman" w:cs="Times New Roman"/>
          <w:color w:val="000000"/>
          <w:spacing w:val="0"/>
          <w:w w:val="100"/>
          <w:position w:val="0"/>
          <w:shd w:val="clear" w:color="auto" w:fill="auto"/>
          <w:lang w:val="hr-HR" w:eastAsia="hr-HR" w:bidi="hr-HR"/>
        </w:rPr>
        <w:t xml:space="preserve"> ili na</w:t>
        <w:softHyphen/>
        <w:t xml:space="preserve">prosto kao navještaj </w:t>
      </w:r>
      <w:r>
        <w:rPr>
          <w:rFonts w:ascii="Times New Roman" w:eastAsia="Times New Roman" w:hAnsi="Times New Roman" w:cs="Times New Roman"/>
          <w:i/>
          <w:iCs/>
          <w:color w:val="000000"/>
          <w:spacing w:val="0"/>
          <w:w w:val="100"/>
          <w:position w:val="0"/>
          <w:shd w:val="clear" w:color="auto" w:fill="auto"/>
          <w:lang w:val="hr-HR" w:eastAsia="hr-HR" w:bidi="hr-HR"/>
        </w:rPr>
        <w:t>(labiigh).</w:t>
      </w:r>
      <w:r>
        <w:rPr>
          <w:rFonts w:ascii="Times New Roman" w:eastAsia="Times New Roman" w:hAnsi="Times New Roman" w:cs="Times New Roman"/>
          <w:color w:val="000000"/>
          <w:spacing w:val="0"/>
          <w:w w:val="100"/>
          <w:position w:val="0"/>
          <w:shd w:val="clear" w:color="auto" w:fill="auto"/>
          <w:lang w:val="hr-HR" w:eastAsia="hr-HR" w:bidi="hr-HR"/>
        </w:rPr>
        <w:t xml:space="preserve"> Razlika se iz</w:t>
        <w:softHyphen/>
        <w:t>među riječi Božje i proročke riječi sastoji u tome što r. B. smjera na nadvremene i univer</w:t>
        <w:softHyphen/>
        <w:t>zalne učinke i što je zbog pozadine svojeg autoriteta nepovrediva, a ako nije zasnovana kao neposredno tumačenje riječi Božje, pro</w:t>
        <w:softHyphen/>
        <w:t>ročka je riječ situacijski i vremenski uvjetova</w:t>
        <w:softHyphen/>
        <w:t>na. Stvorenost Kurana implicira da su i nje</w:t>
        <w:softHyphen/>
        <w:t>govi iskazi djelomice vremenski uvjetovani i da reflektiraju konkretnu sliku ljudske i druš</w:t>
        <w:softHyphen/>
        <w:t xml:space="preserve">tvene situacije. Priznati reformacijski teolozi kao što su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 xml:space="preserve">‘Abduh, Rašid Rida, </w:t>
      </w:r>
      <w:r>
        <w:rPr>
          <w:rFonts w:ascii="Times New Roman" w:eastAsia="Times New Roman" w:hAnsi="Times New Roman" w:cs="Times New Roman"/>
          <w:color w:val="000000"/>
          <w:spacing w:val="0"/>
          <w:w w:val="100"/>
          <w:position w:val="0"/>
          <w:shd w:val="clear" w:color="auto" w:fill="auto"/>
          <w:lang w:val="en-US" w:eastAsia="en-US" w:bidi="en-US"/>
        </w:rPr>
        <w:t xml:space="preserve">Mahmud </w:t>
      </w:r>
      <w:r>
        <w:rPr>
          <w:rFonts w:ascii="Times New Roman" w:eastAsia="Times New Roman" w:hAnsi="Times New Roman" w:cs="Times New Roman"/>
          <w:color w:val="000000"/>
          <w:spacing w:val="0"/>
          <w:w w:val="100"/>
          <w:position w:val="0"/>
          <w:shd w:val="clear" w:color="auto" w:fill="auto"/>
          <w:lang w:val="hr-HR" w:eastAsia="hr-HR" w:bidi="hr-HR"/>
        </w:rPr>
        <w:t>Shaltut i dr., doista dopuštaju da je Kuran zbirka svjedočanstava iz prvoga raz</w:t>
        <w:softHyphen/>
        <w:t>doblja islama.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Tijekom intenziviranih razgovora između krš</w:t>
        <w:softHyphen/>
        <w:t>ćanstva i islama nakon »Islamske revolucije« u Iranu 1978/79 godine postalo je moderno davati Kuranu u islamu ono mjesto koje u kršćanstvu zauzima osoba Isusa Krista. Su</w:t>
        <w:softHyphen/>
        <w:t>kladno se tomu tvrdi daje Kuran u središtu is</w:t>
        <w:softHyphen/>
        <w:t>lamskoga vjerskog života - baš kao što je Krist u središtu kršćanstva. Da su muslimani prema tomu »oni koji vjeruju u Kuran«. To je pre</w:t>
        <w:softHyphen/>
        <w:t>dodžba koja bi lako mogla do pretpostavke kako je Kuran fetišiziran. To nikako nije toč</w:t>
        <w:softHyphen/>
        <w:t>no. Islam naprotiv uči da je objava općenito jedina moguća podloga susreta Boga i čovje</w:t>
        <w:softHyphen/>
        <w:t xml:space="preserve">ka. Misli se dakle ne samo na Kuran. Središta svake objave čini Bog. Muslimani se stoga mogu označiti samo kao oni koji vjeruju u </w:t>
      </w:r>
      <w:r>
        <w:rPr>
          <w:rFonts w:ascii="Times New Roman" w:eastAsia="Times New Roman" w:hAnsi="Times New Roman" w:cs="Times New Roman"/>
          <w:i/>
          <w:iCs/>
          <w:color w:val="000000"/>
          <w:spacing w:val="0"/>
          <w:w w:val="100"/>
          <w:position w:val="0"/>
          <w:shd w:val="clear" w:color="auto" w:fill="auto"/>
          <w:lang w:val="hr-HR" w:eastAsia="hr-HR" w:bidi="hr-HR"/>
        </w:rPr>
        <w:t>Bo</w:t>
        <w:softHyphen/>
        <w:t>ga,</w:t>
      </w:r>
      <w:r>
        <w:rPr>
          <w:rFonts w:ascii="Times New Roman" w:eastAsia="Times New Roman" w:hAnsi="Times New Roman" w:cs="Times New Roman"/>
          <w:color w:val="000000"/>
          <w:spacing w:val="0"/>
          <w:w w:val="100"/>
          <w:position w:val="0"/>
          <w:shd w:val="clear" w:color="auto" w:fill="auto"/>
          <w:lang w:val="hr-HR" w:eastAsia="hr-HR" w:bidi="hr-HR"/>
        </w:rPr>
        <w:t xml:space="preserve"> odnosno u </w:t>
      </w:r>
      <w:r>
        <w:rPr>
          <w:rFonts w:ascii="Times New Roman" w:eastAsia="Times New Roman" w:hAnsi="Times New Roman" w:cs="Times New Roman"/>
          <w:i/>
          <w:iCs/>
          <w:color w:val="000000"/>
          <w:spacing w:val="0"/>
          <w:w w:val="100"/>
          <w:position w:val="0"/>
          <w:shd w:val="clear" w:color="auto" w:fill="auto"/>
          <w:lang w:val="hr-HR" w:eastAsia="hr-HR" w:bidi="hr-HR"/>
        </w:rPr>
        <w:t>Alaha,</w:t>
      </w:r>
      <w:r>
        <w:rPr>
          <w:rFonts w:ascii="Times New Roman" w:eastAsia="Times New Roman" w:hAnsi="Times New Roman" w:cs="Times New Roman"/>
          <w:color w:val="000000"/>
          <w:spacing w:val="0"/>
          <w:w w:val="100"/>
          <w:position w:val="0"/>
          <w:shd w:val="clear" w:color="auto" w:fill="auto"/>
          <w:lang w:val="hr-HR" w:eastAsia="hr-HR" w:bidi="hr-HR"/>
        </w:rPr>
        <w:t xml:space="preserve"> l aj se smisao uostalom dobiva i iz imena njihove religije </w:t>
      </w:r>
      <w:r>
        <w:rPr>
          <w:rFonts w:ascii="Times New Roman" w:eastAsia="Times New Roman" w:hAnsi="Times New Roman" w:cs="Times New Roman"/>
          <w:i/>
          <w:iCs/>
          <w:color w:val="000000"/>
          <w:spacing w:val="0"/>
          <w:w w:val="100"/>
          <w:position w:val="0"/>
          <w:shd w:val="clear" w:color="auto" w:fill="auto"/>
          <w:lang w:val="hr-HR" w:eastAsia="hr-HR" w:bidi="hr-HR"/>
        </w:rPr>
        <w:t>(islam).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 u islamu ne zamjenjuje Isusa koji je smatra središtem već ni zato što on nije jedini izvor nauka. K tomu i Kuran označuje Isusa kao riječ Božju. Također postoji i jedan sličan kuranski iskaz o prvome čovjeku, zldamu. Slično kao i u cvangcličkom shvaćanju vjere, i u islamu r. B. spada u ono što konstituira sve što je religiozno i teološko, zapravo između ostaloga i ono što pripada pravu i gospodar</w:t>
        <w:softHyphen/>
        <w:t>skoj politici. Riječi su izvanjski izraz duhov-</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noga bogatstva (ili pak siromaštva). R. B. po</w:t>
        <w:softHyphen/>
        <w:t xml:space="preserve">tječe iz neiscrpne mudrosti Božje. »Da su (sva) stabla na zemlji pera, a more, uz pomoć još sedam mora, </w:t>
      </w:r>
      <w:r>
        <w:rPr>
          <w:rFonts w:ascii="Times New Roman" w:eastAsia="Times New Roman" w:hAnsi="Times New Roman" w:cs="Times New Roman"/>
          <w:i/>
          <w:iCs/>
          <w:color w:val="000000"/>
          <w:spacing w:val="0"/>
          <w:w w:val="100"/>
          <w:position w:val="0"/>
          <w:shd w:val="clear" w:color="auto" w:fill="auto"/>
          <w:lang w:val="hr-HR" w:eastAsia="hr-HR" w:bidi="hr-HR"/>
        </w:rPr>
        <w:t>(tinta),</w:t>
      </w:r>
      <w:r>
        <w:rPr>
          <w:rFonts w:ascii="Times New Roman" w:eastAsia="Times New Roman" w:hAnsi="Times New Roman" w:cs="Times New Roman"/>
          <w:color w:val="000000"/>
          <w:spacing w:val="0"/>
          <w:w w:val="100"/>
          <w:position w:val="0"/>
          <w:shd w:val="clear" w:color="auto" w:fill="auto"/>
          <w:lang w:val="hr-HR" w:eastAsia="hr-HR" w:bidi="hr-HR"/>
        </w:rPr>
        <w:t xml:space="preserve"> ne bi nestalo Božjih riječi« (31,27). R. B. sigurno nije - pa ni opće</w:t>
        <w:softHyphen/>
        <w:t>nito - ograničena na određeni ljudski jezik. Nauk o nestvorenosti Kurana implicira među</w:t>
        <w:softHyphen/>
        <w:t>tim shvaćanje »njega kao čvrsto oblikovanoga i misaonoga bloka«, u kojem arapski jezik predstavlja jedan bitan element. Stoga se taj</w:t>
      </w:r>
    </w:p>
    <w:p>
      <w:pPr>
        <w:pStyle w:val="Style20"/>
        <w:keepNext w:val="0"/>
        <w:keepLines w:val="0"/>
        <w:widowControl w:val="0"/>
        <w:shd w:val="clear" w:color="auto" w:fill="auto"/>
        <w:tabs>
          <w:tab w:pos="2573" w:val="left"/>
        </w:tabs>
        <w:bidi w:val="0"/>
        <w:spacing w:before="0" w:after="0"/>
        <w:ind w:left="0" w:right="0" w:firstLine="0"/>
        <w:jc w:val="both"/>
        <w:rPr>
          <w:sz w:val="10"/>
          <w:szCs w:val="10"/>
        </w:rPr>
        <w:sectPr>
          <w:headerReference w:type="default" r:id="rId1279"/>
          <w:footerReference w:type="default" r:id="rId1280"/>
          <w:headerReference w:type="even" r:id="rId1281"/>
          <w:footerReference w:type="even" r:id="rId1282"/>
          <w:footnotePr>
            <w:pos w:val="pageBottom"/>
            <w:numFmt w:val="decimal"/>
            <w:numRestart w:val="continuous"/>
            <w15:footnoteColumns w:val="1"/>
          </w:footnotePr>
          <w:type w:val="continuous"/>
          <w:pgSz w:w="6816" w:h="11006"/>
          <w:pgMar w:top="828" w:left="185" w:right="190" w:bottom="339" w:header="0" w:footer="3" w:gutter="0"/>
          <w:cols w:num="2" w:space="177"/>
          <w:noEndnote/>
          <w:rtlGutter w:val="0"/>
          <w:docGrid w:linePitch="360"/>
        </w:sectPr>
      </w:pPr>
      <w:r>
        <w:rPr>
          <w:rFonts w:ascii="Times New Roman" w:eastAsia="Times New Roman" w:hAnsi="Times New Roman" w:cs="Times New Roman"/>
          <w:color w:val="000000"/>
          <w:spacing w:val="0"/>
          <w:w w:val="100"/>
          <w:position w:val="0"/>
          <w:sz w:val="15"/>
          <w:szCs w:val="15"/>
          <w:shd w:val="clear" w:color="auto" w:fill="auto"/>
          <w:lang w:val="hr-HR" w:eastAsia="hr-HR" w:bidi="hr-HR"/>
        </w:rPr>
        <w:t>jezik smatra svetim, premda se u Kuranu ne iskazuje ništa što bi ukazivalo na to. Zatim se naučava da propisana dnevna molitva valja</w:t>
        <w:softHyphen/>
        <w:t>nosti ima samo ako se izgovara na arapskom jeziku. Pojedini veliki imami kao što je Abu Hanifa stoje, nasuprot tomu, na stajalištu da se - ako se ne vlada tim jezikom - svakako možemo moliti na vlastitom materinjem jezi</w:t>
        <w:softHyphen/>
        <w:t>ku.</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S. BAI.1Ć</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24" w:after="24" w:line="240" w:lineRule="exact"/>
        <w:rPr>
          <w:sz w:val="19"/>
          <w:szCs w:val="19"/>
        </w:rPr>
      </w:pPr>
    </w:p>
    <w:p>
      <w:pPr>
        <w:widowControl w:val="0"/>
        <w:spacing w:line="1" w:lineRule="exact"/>
        <w:sectPr>
          <w:headerReference w:type="default" r:id="rId1283"/>
          <w:footerReference w:type="default" r:id="rId1284"/>
          <w:headerReference w:type="even" r:id="rId1285"/>
          <w:footerReference w:type="even" r:id="rId1286"/>
          <w:headerReference w:type="first" r:id="rId1287"/>
          <w:footerReference w:type="first" r:id="rId1288"/>
          <w:footnotePr>
            <w:pos w:val="pageBottom"/>
            <w:numFmt w:val="decimal"/>
            <w:numRestart w:val="continuous"/>
            <w15:footnoteColumns w:val="1"/>
          </w:footnotePr>
          <w:pgSz w:w="6816" w:h="11006"/>
          <w:pgMar w:top="973" w:left="189" w:right="195" w:bottom="516" w:header="0" w:footer="3" w:gutter="0"/>
          <w:cols w:num="2" w:space="169"/>
          <w:noEndnote/>
          <w:titlePg/>
          <w:rtlGutter w:val="0"/>
          <w:docGrid w:linePitch="360"/>
        </w:sectPr>
      </w:pP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SAKRALNO</w:t>
      </w:r>
    </w:p>
    <w:p>
      <w:pPr>
        <w:pStyle w:val="Style63"/>
        <w:keepNext/>
        <w:keepLines/>
        <w:widowControl w:val="0"/>
        <w:numPr>
          <w:ilvl w:val="0"/>
          <w:numId w:val="485"/>
        </w:numPr>
        <w:shd w:val="clear" w:color="auto" w:fill="auto"/>
        <w:tabs>
          <w:tab w:pos="246" w:val="left"/>
        </w:tabs>
        <w:bidi w:val="0"/>
        <w:spacing w:before="0" w:line="223" w:lineRule="auto"/>
        <w:ind w:left="0" w:right="0" w:firstLine="0"/>
        <w:jc w:val="both"/>
      </w:pPr>
      <w:bookmarkStart w:id="314" w:name="bookmark314"/>
      <w:r>
        <w:rPr>
          <w:rFonts w:ascii="Times New Roman" w:eastAsia="Times New Roman" w:hAnsi="Times New Roman" w:cs="Times New Roman"/>
          <w:color w:val="000000"/>
          <w:spacing w:val="0"/>
          <w:w w:val="100"/>
          <w:position w:val="0"/>
          <w:shd w:val="clear" w:color="auto" w:fill="auto"/>
          <w:lang w:val="hr-HR" w:eastAsia="hr-HR" w:bidi="hr-HR"/>
        </w:rPr>
        <w:t>židovski</w:t>
      </w:r>
      <w:bookmarkEnd w:id="314"/>
    </w:p>
    <w:p>
      <w:pPr>
        <w:pStyle w:val="Style20"/>
        <w:keepNext w:val="0"/>
        <w:keepLines w:val="0"/>
        <w:widowControl w:val="0"/>
        <w:numPr>
          <w:ilvl w:val="0"/>
          <w:numId w:val="48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Granica:</w:t>
      </w:r>
      <w:r>
        <w:rPr>
          <w:rFonts w:ascii="Times New Roman" w:eastAsia="Times New Roman" w:hAnsi="Times New Roman" w:cs="Times New Roman"/>
          <w:color w:val="000000"/>
          <w:spacing w:val="0"/>
          <w:w w:val="100"/>
          <w:position w:val="0"/>
          <w:shd w:val="clear" w:color="auto" w:fill="auto"/>
          <w:lang w:val="hr-HR" w:eastAsia="hr-HR" w:bidi="hr-HR"/>
        </w:rPr>
        <w:t xml:space="preserve"> Prema židovskoj predaji Bog je ušao u ljudsko područje. Zbog Božje prisut</w:t>
        <w:softHyphen/>
        <w:t>nosti to je mjesto »strašno« (Post 28,17), »sve</w:t>
        <w:softHyphen/>
        <w:t>to« (Izl 3,5; Jš 5,15). Ono je ostavljeno za Bo</w:t>
        <w:softHyphen/>
        <w:t>ga; time se ono razlikuje od »profanoga« u koje se smije ući; iz njega izlazi strah (Post 28,16 i d.). Mjesto objave nije svakomu neogra</w:t>
        <w:softHyphen/>
        <w:t>ničeno pristupačno (Izl 19,12 i d.; 20,18; 24; 34,3). Ograničenja »približavanja« mjestu Božje prisutnosti (usp. Post 22,3 i d., 9.14; 28,11.19; Pnz 12,2.5; Jr 7,3.12; Ps 24,3) ubrajaju se u glavnu pretpostavku izraelske religije: Mojsije i Jošua moraju se izuti (Izl 3,5; Jš 5,15); ni</w:t>
        <w:softHyphen/>
        <w:t>kakva osvajačka obuća (Ps 60,10) ne smije stupiti na tlo koje je izdvojeno kao »sveto«; tko se na to odvaži, izuvanjem se odriče pos</w:t>
        <w:softHyphen/>
        <w:t>jeda (Rut 4,7 i d.; Pnz 25,9), a bosim nogama pokazuje poniznost (2 Sam 15,30; Iz 20,2; Ez 24,17.23). Midraš potvrđuje tu radnju kao ob</w:t>
        <w:softHyphen/>
        <w:t xml:space="preserve">red iz razdoblja drugoga Hrama: »Na mjestu na kojem se pokazuje </w:t>
      </w:r>
      <w:r>
        <w:rPr>
          <w:rFonts w:ascii="Times New Roman" w:eastAsia="Times New Roman" w:hAnsi="Times New Roman" w:cs="Times New Roman"/>
          <w:i/>
          <w:iCs/>
          <w:color w:val="000000"/>
          <w:spacing w:val="0"/>
          <w:w w:val="100"/>
          <w:position w:val="0"/>
          <w:shd w:val="clear" w:color="auto" w:fill="auto"/>
          <w:lang w:val="hr-HR" w:eastAsia="hr-HR" w:bidi="hr-HR"/>
        </w:rPr>
        <w:t>šekina</w:t>
      </w:r>
      <w:r>
        <w:rPr>
          <w:rFonts w:ascii="Times New Roman" w:eastAsia="Times New Roman" w:hAnsi="Times New Roman" w:cs="Times New Roman"/>
          <w:color w:val="000000"/>
          <w:spacing w:val="0"/>
          <w:w w:val="100"/>
          <w:position w:val="0"/>
          <w:shd w:val="clear" w:color="auto" w:fill="auto"/>
          <w:lang w:val="hr-HR" w:eastAsia="hr-HR" w:bidi="hr-HR"/>
        </w:rPr>
        <w:t xml:space="preserve"> (Božja prisut</w:t>
        <w:softHyphen/>
        <w:t xml:space="preserve">nost), ne smije se nositi obuća... I svećenici obavljaju hramsku službu samo bosonogi« (Šcmot raba 11,3,5). Propisi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22,3; Br 18,3 i d., 22; Jš 3,4) o obrednom pristupanju na »sveto« (Izl 12,48; 16,9;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9,5.7 i d.; 1 Sam 14,36; Ez 44,15 i d.) označavaju granicu koja je postavljena za pristup čovjeka («Tko god priđe NJEGOVU prebivalištu, umire...«, Br 17,28). Na sličan način odredila je Mišna: »Neka se na Hramsko brdo ne ide sa štapom, u obući, s pojasom, s prašnim stopalima. Neka on ne bude prolaz (kako bi se uštedjelo na vremenu), a još manje da se na njemu jede« (Berahot IX,5). »S.« je ono što je trajno ili privremeno izdvojeno za kultnu vezu s Bo</w:t>
        <w:softHyphen/>
        <w:t xml:space="preserve">gom. »Osim mjesta na kojem dajem da bude mjesto sjećanja mojeg imena« - na njemu »ću doći k tebi i blagosloviti te« (Izl 20,21), »sveti« </w:t>
      </w:r>
      <w:r>
        <w:rPr>
          <w:rFonts w:ascii="Times New Roman" w:eastAsia="Times New Roman" w:hAnsi="Times New Roman" w:cs="Times New Roman"/>
          <w:color w:val="000000"/>
          <w:spacing w:val="0"/>
          <w:w w:val="100"/>
          <w:position w:val="0"/>
          <w:shd w:val="clear" w:color="auto" w:fill="auto"/>
          <w:lang w:val="hr-HR" w:eastAsia="hr-HR" w:bidi="hr-HR"/>
        </w:rPr>
        <w:t xml:space="preserve">su i prinosi Bogu (Izl 28,38), svećenici koji mu služe (Izl 29; 30,29 i d.;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21; Ez 44,15 i d.) u »svetom« ruhu (Izl 28,2 i d.; 31,10), posuđe koje se rabi u svetištu (Br 4,15; 18,3); sve je »sveto« čemu je zbog povezanosti sa službom Božjom uskraćen dodir s »profanim« </w:t>
      </w:r>
      <w:r>
        <w:rPr>
          <w:rFonts w:ascii="Times New Roman" w:eastAsia="Times New Roman" w:hAnsi="Times New Roman" w:cs="Times New Roman"/>
          <w:i/>
          <w:iCs/>
          <w:color w:val="000000"/>
          <w:spacing w:val="0"/>
          <w:w w:val="100"/>
          <w:position w:val="0"/>
          <w:shd w:val="clear" w:color="auto" w:fill="auto"/>
          <w:lang w:val="hr-HR" w:eastAsia="hr-HR" w:bidi="hr-HR"/>
        </w:rPr>
        <w:t>{hol).</w:t>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 U </w:t>
      </w:r>
      <w:r>
        <w:rPr>
          <w:rFonts w:ascii="Times New Roman" w:eastAsia="Times New Roman" w:hAnsi="Times New Roman" w:cs="Times New Roman"/>
          <w:color w:val="000000"/>
          <w:spacing w:val="0"/>
          <w:w w:val="100"/>
          <w:position w:val="0"/>
          <w:shd w:val="clear" w:color="auto" w:fill="auto"/>
          <w:lang w:val="hr-HR" w:eastAsia="hr-HR" w:bidi="hr-HR"/>
        </w:rPr>
        <w:t>svećeničke dužnosti ubraja se pouka naroda o razlici svetoga i nesvetoga (Ez 44,23).</w:t>
      </w:r>
    </w:p>
    <w:p>
      <w:pPr>
        <w:pStyle w:val="Style20"/>
        <w:keepNext w:val="0"/>
        <w:keepLines w:val="0"/>
        <w:widowControl w:val="0"/>
        <w:numPr>
          <w:ilvl w:val="0"/>
          <w:numId w:val="487"/>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Postupak:</w:t>
      </w:r>
      <w:r>
        <w:rPr>
          <w:rFonts w:ascii="Times New Roman" w:eastAsia="Times New Roman" w:hAnsi="Times New Roman" w:cs="Times New Roman"/>
          <w:color w:val="000000"/>
          <w:spacing w:val="0"/>
          <w:w w:val="100"/>
          <w:position w:val="0"/>
          <w:shd w:val="clear" w:color="auto" w:fill="auto"/>
          <w:lang w:val="hr-HR" w:eastAsia="hr-HR" w:bidi="hr-HR"/>
        </w:rPr>
        <w:t xml:space="preserve"> Smisao je jasniji ako slijedimo biblijski način izražavanja i (s Martinom Bu- berom i Franzom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Rosenzweigom, </w:t>
      </w:r>
      <w:r>
        <w:rPr>
          <w:rFonts w:ascii="Times New Roman" w:eastAsia="Times New Roman" w:hAnsi="Times New Roman" w:cs="Times New Roman"/>
          <w:i/>
          <w:iCs/>
          <w:color w:val="000000"/>
          <w:spacing w:val="0"/>
          <w:w w:val="100"/>
          <w:position w:val="0"/>
          <w:shd w:val="clear" w:color="auto" w:fill="auto"/>
          <w:lang w:val="hr-HR" w:eastAsia="hr-HR" w:bidi="hr-HR"/>
        </w:rPr>
        <w:t>Zu einer neucn Verdeutschung der Schrift,</w:t>
      </w:r>
      <w:r>
        <w:rPr>
          <w:rFonts w:ascii="Times New Roman" w:eastAsia="Times New Roman" w:hAnsi="Times New Roman" w:cs="Times New Roman"/>
          <w:color w:val="000000"/>
          <w:spacing w:val="0"/>
          <w:w w:val="100"/>
          <w:position w:val="0"/>
          <w:shd w:val="clear" w:color="auto" w:fill="auto"/>
          <w:lang w:val="hr-HR" w:eastAsia="hr-HR" w:bidi="hr-HR"/>
        </w:rPr>
        <w:t xml:space="preserve"> '4976) izra</w:t>
        <w:softHyphen/>
        <w:t xml:space="preserve">zimo </w:t>
      </w:r>
      <w:r>
        <w:rPr>
          <w:rFonts w:ascii="Times New Roman" w:eastAsia="Times New Roman" w:hAnsi="Times New Roman" w:cs="Times New Roman"/>
          <w:i/>
          <w:iCs/>
          <w:color w:val="000000"/>
          <w:spacing w:val="0"/>
          <w:w w:val="100"/>
          <w:position w:val="0"/>
          <w:shd w:val="clear" w:color="auto" w:fill="auto"/>
          <w:lang w:val="hr-HR" w:eastAsia="hr-HR" w:bidi="hr-HR"/>
        </w:rPr>
        <w:t>postupak</w:t>
      </w:r>
      <w:r>
        <w:rPr>
          <w:rFonts w:ascii="Times New Roman" w:eastAsia="Times New Roman" w:hAnsi="Times New Roman" w:cs="Times New Roman"/>
          <w:color w:val="000000"/>
          <w:spacing w:val="0"/>
          <w:w w:val="100"/>
          <w:position w:val="0"/>
          <w:shd w:val="clear" w:color="auto" w:fill="auto"/>
          <w:lang w:val="hr-HR" w:eastAsia="hr-HR" w:bidi="hr-HR"/>
        </w:rPr>
        <w:t xml:space="preserve"> posvećenja, svetosti i posve</w:t>
        <w:softHyphen/>
        <w:t>ćenosti onako kako ga izražava hebrejska os</w:t>
        <w:softHyphen/>
        <w:t>nova riječi: Mojsije stoji na »svetom tlu« (Izl 3,5); svećenici dobivaju »sveto ruho« (28,2); pri</w:t>
        <w:softHyphen/>
        <w:t>nosi su »sveti prinosi« (28,38); »prijenos sveto</w:t>
        <w:softHyphen/>
        <w:t>sti prinosa« (Br 18,9 i d.); o pomazanju pred</w:t>
        <w:softHyphen/>
        <w:t>meta u »svetištu« (na mjestu koje je po</w:t>
        <w:softHyphen/>
        <w:t>svećeno Božjom prisutnošću) tekst glasi: «... posveti ih, i oni će tako postati posvećeni, i što god ih se dotakne, posvećeno će postati« (Izl 30,29); središnji dio »svetišta« je »Svetište (za</w:t>
        <w:softHyphen/>
        <w:t>pravo svetinja) nad svetinjama« (Br 4,4). Kao što »Kovčeg svjedočanstva« (redak 5) posve</w:t>
        <w:softHyphen/>
        <w:t>ćuje sve u »svetištu«, tako su bića i predmeti odijeljeni od svjetovnoga u sveto u službi Božjoj, jer ih je nazočnost na »svetome mjestu« »posvetila«.</w:t>
      </w:r>
    </w:p>
    <w:p>
      <w:pPr>
        <w:pStyle w:val="Style20"/>
        <w:keepNext w:val="0"/>
        <w:keepLines w:val="0"/>
        <w:widowControl w:val="0"/>
        <w:numPr>
          <w:ilvl w:val="0"/>
          <w:numId w:val="48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Razlučivanje:</w:t>
      </w:r>
      <w:r>
        <w:rPr>
          <w:rFonts w:ascii="Times New Roman" w:eastAsia="Times New Roman" w:hAnsi="Times New Roman" w:cs="Times New Roman"/>
          <w:color w:val="000000"/>
          <w:spacing w:val="0"/>
          <w:w w:val="100"/>
          <w:position w:val="0"/>
          <w:shd w:val="clear" w:color="auto" w:fill="auto"/>
          <w:lang w:val="hr-HR" w:eastAsia="hr-HR" w:bidi="hr-HR"/>
        </w:rPr>
        <w:t xml:space="preserve"> Ono što nije uvršteno u s., »ustupljeno« </w:t>
      </w:r>
      <w:r>
        <w:rPr>
          <w:rFonts w:ascii="Times New Roman" w:eastAsia="Times New Roman" w:hAnsi="Times New Roman" w:cs="Times New Roman"/>
          <w:i/>
          <w:iCs/>
          <w:color w:val="000000"/>
          <w:spacing w:val="0"/>
          <w:w w:val="100"/>
          <w:position w:val="0"/>
          <w:shd w:val="clear" w:color="auto" w:fill="auto"/>
          <w:lang w:val="hr-HR" w:eastAsia="hr-HR" w:bidi="hr-HR"/>
        </w:rPr>
        <w:t>je općoj</w:t>
      </w:r>
      <w:r>
        <w:rPr>
          <w:rFonts w:ascii="Times New Roman" w:eastAsia="Times New Roman" w:hAnsi="Times New Roman" w:cs="Times New Roman"/>
          <w:color w:val="000000"/>
          <w:spacing w:val="0"/>
          <w:w w:val="100"/>
          <w:position w:val="0"/>
          <w:shd w:val="clear" w:color="auto" w:fill="auto"/>
          <w:lang w:val="hr-HR" w:eastAsia="hr-HR" w:bidi="hr-HR"/>
        </w:rPr>
        <w:t xml:space="preserve"> uporabi. Izraz iz hebrej</w:t>
        <w:softHyphen/>
        <w:t xml:space="preserve">ske Biblije pokazuje to razlučivanje, ali ipak ne daje negativnu ocjenu »nesveto« ili »nepo- svećeno« (Ez 44,23): npr. (nakon obvezne »posvećenosti« prinosa,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19,23) početak korištenja vinograda zove se, prema tomu, »ustupanje« (Pnz 20,6; 28,30). Tora razlikuje s. (»posvećeno«) i profano (»ustupljeno«); razlikovali su ih i rabini talmudskoga razdo</w:t>
        <w:softHyphen/>
        <w:t>blja (»Kako bi se posuda, koja se rabi za sveto, mogla uporabiti za profano!?« b Bava mecia 84b; usp. Hulin 2b; 26b; M Hagiga</w:t>
      </w:r>
    </w:p>
    <w:p>
      <w:pPr>
        <w:pStyle w:val="Style20"/>
        <w:keepNext w:val="0"/>
        <w:keepLines w:val="0"/>
        <w:widowControl w:val="0"/>
        <w:shd w:val="clear" w:color="auto" w:fill="auto"/>
        <w:tabs>
          <w:tab w:pos="2448" w:val="left"/>
        </w:tabs>
        <w:bidi w:val="0"/>
        <w:spacing w:before="0" w:after="24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1.1-3; Tohorot). </w:t>
      </w:r>
      <w:r>
        <w:rPr>
          <w:rFonts w:ascii="Times New Roman" w:eastAsia="Times New Roman" w:hAnsi="Times New Roman" w:cs="Times New Roman"/>
          <w:color w:val="000000"/>
          <w:spacing w:val="0"/>
          <w:w w:val="100"/>
          <w:position w:val="0"/>
          <w:shd w:val="clear" w:color="auto" w:fill="auto"/>
          <w:lang w:val="hr-HR" w:eastAsia="hr-HR" w:bidi="hr-HR"/>
        </w:rPr>
        <w:t>Još danas »posvećivanje da</w:t>
        <w:softHyphen/>
        <w:t>na«, javni Kiduš pred skupljenom zajednicom u predvečerje petka svečano objavljuje dola</w:t>
        <w:softHyphen/>
        <w:t>zak sabata; na isti način ispraća se sabat drev</w:t>
        <w:softHyphen/>
        <w:t xml:space="preserve">nim obredom </w:t>
      </w:r>
      <w:r>
        <w:rPr>
          <w:rFonts w:ascii="Times New Roman" w:eastAsia="Times New Roman" w:hAnsi="Times New Roman" w:cs="Times New Roman"/>
          <w:i/>
          <w:iCs/>
          <w:color w:val="000000"/>
          <w:spacing w:val="0"/>
          <w:w w:val="100"/>
          <w:position w:val="0"/>
          <w:shd w:val="clear" w:color="auto" w:fill="auto"/>
          <w:lang w:val="hr-HR" w:eastAsia="hr-HR" w:bidi="hr-HR"/>
        </w:rPr>
        <w:t>havdala</w:t>
      </w:r>
      <w:r>
        <w:rPr>
          <w:rFonts w:ascii="Times New Roman" w:eastAsia="Times New Roman" w:hAnsi="Times New Roman" w:cs="Times New Roman"/>
          <w:color w:val="000000"/>
          <w:spacing w:val="0"/>
          <w:w w:val="100"/>
          <w:position w:val="0"/>
          <w:shd w:val="clear" w:color="auto" w:fill="auto"/>
          <w:lang w:val="hr-HR" w:eastAsia="hr-HR" w:bidi="hr-HR"/>
        </w:rPr>
        <w:t xml:space="preserve"> (M Berahot V.2) i ri</w:t>
        <w:softHyphen/>
        <w:t>ječima: »Blagoslovljen bio... koji dijeliš sveto od svjetovnoga... sedmi dan od šest radnih dana...« (j Berahot V,2/9b.c/;b Pesahim 104a; Hulin 26b). Sa šabatom se ponaša isto kao sa svetištem, ljudima i predmetima koje traži služba Božja: Ni on nije po sebi »svet«, nego je posvećen dodirom s Bogom. Od »posvete dana« nastaje ograničenje za sva bića (Izl 20,8-11; 23,12; 31.13; 1-17; 34,21; 35,2); na</w:t>
        <w:softHyphen/>
        <w:t>kon toga oni se ponovno »ustupaju« iz izvora posvećenosti u uobičajenom radnom pogonu. Blagoslovi, koji se izgovaraju gotovo u svim prigodama, svjedoče o spremnosti za uzdiza</w:t>
        <w:softHyphen/>
        <w:t>nje i zahvale, ali i o volji da se svi njihovi pri</w:t>
        <w:softHyphen/>
        <w:t>nosi uzmu kao darovi Božji i da se sav život podredi zahtjevu Božjem. Naime, »profano« ne znači da još nije »posvećeno«, ali da će upravo biti posvećeno. Sve stvoreno predmet je posvećenja i odvest će ljude do mesijanskog ukinuća razlike. Prema španjolsko-orijental- nom obredu početne riječi molitve kadiša gla</w:t>
        <w:softHyphen/>
        <w:t>se: »Neka bude veličano i sveto Njegovo Ve</w:t>
        <w:softHyphen/>
        <w:t>liko Ime širom svijeta, koji je stvorio svojom voljom i neka on uspostavi svoje Kraljevstvo u vrijeme našega života i u vrijeme naših dana i u vrijeme života cijele kuće Izraelove, uskoro i u bliskoj budućnosti.«</w:t>
        <w:tab/>
        <w:t xml:space="preserve">n. </w:t>
      </w:r>
      <w:r>
        <w:rPr>
          <w:rFonts w:ascii="Times New Roman" w:eastAsia="Times New Roman" w:hAnsi="Times New Roman" w:cs="Times New Roman"/>
          <w:smallCaps/>
          <w:color w:val="000000"/>
          <w:spacing w:val="0"/>
          <w:w w:val="100"/>
          <w:position w:val="0"/>
          <w:shd w:val="clear" w:color="auto" w:fill="auto"/>
          <w:lang w:val="hr-HR" w:eastAsia="hr-HR" w:bidi="hr-HR"/>
        </w:rPr>
        <w:t>vižiti-r</w:t>
      </w:r>
    </w:p>
    <w:p>
      <w:pPr>
        <w:pStyle w:val="Style63"/>
        <w:keepNext/>
        <w:keepLines/>
        <w:widowControl w:val="0"/>
        <w:numPr>
          <w:ilvl w:val="0"/>
          <w:numId w:val="485"/>
        </w:numPr>
        <w:shd w:val="clear" w:color="auto" w:fill="auto"/>
        <w:tabs>
          <w:tab w:pos="255" w:val="left"/>
        </w:tabs>
        <w:bidi w:val="0"/>
        <w:spacing w:before="0" w:after="120"/>
        <w:ind w:left="0" w:right="0" w:firstLine="0"/>
        <w:jc w:val="both"/>
      </w:pPr>
      <w:bookmarkStart w:id="315" w:name="bookmark31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1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Sakralan (svet) je najprije sam Bog jer je pot</w:t>
        <w:softHyphen/>
        <w:t>puno drugačiji nego ljudi i svijet koji je lju</w:t>
        <w:softHyphen/>
        <w:t>dima dostupan: »Jer ja sam Bog, a ne čovjek; Svetac posred tebe« (I loš 11,9). Zbog ove sve</w:t>
        <w:softHyphen/>
        <w:t>tosti Bog inta svetište, isključivo njemu pri</w:t>
        <w:softHyphen/>
        <w:t>držan prostor na koji čovjek ne smije stupiti (Izl 3,5). Bog »koji boravi u nepristupačnoj svjetlosti, kojega nitko od ljudi nije vidio i ne može vidjeti« (1 Tim 6. 16). Prostor koji je lju</w:t>
        <w:softHyphen/>
        <w:t>dima pristupačan leži pred svetištem, profan je i nije sakralan. No, Bog dopušta pristup u svoje svetište. Tako on čini svetima one ko</w:t>
        <w:softHyphen/>
        <w:t>jima omogućuje pristup. Najneposredniji pri</w:t>
        <w:softHyphen/>
        <w:t xml:space="preserve">stup u Božje svetište ima po kršćanskoj vjeri Isus Krist koji nije samo svet nego i »Svetac Božji« (Mk 1,24; Iv 6,69). On ima pristup u Božje svetište (Heb 9.11 i d.), on je vidio Oca </w:t>
      </w:r>
      <w:r>
        <w:rPr>
          <w:rFonts w:ascii="Times New Roman" w:eastAsia="Times New Roman" w:hAnsi="Times New Roman" w:cs="Times New Roman"/>
          <w:color w:val="000000"/>
          <w:spacing w:val="0"/>
          <w:w w:val="100"/>
          <w:position w:val="0"/>
          <w:shd w:val="clear" w:color="auto" w:fill="auto"/>
          <w:lang w:val="hr-HR" w:eastAsia="hr-HR" w:bidi="hr-HR"/>
        </w:rPr>
        <w:t>(Iv 1,18). Otada nema više sakralnog mjesta i sakralnih osoba, jer Bog je u Isusu Kristu postao pristupačan, u njegovu Tijelu, zajed</w:t>
        <w:softHyphen/>
        <w:t>ništvu vjernika iz kojih je izgradio sveti hram (Ef 2,20-22; 1 Pt 2,5), u njegovoj zajednici, Crkvi za koju je »sam sebe predao da je po</w:t>
        <w:softHyphen/>
        <w:t>sveti čistoći je u kupelji vode uz pratnju riječi« (Ef 5,25 i d.). Posvećenje i blagoslovi ne izdva</w:t>
        <w:softHyphen/>
        <w:t>jaju više sakralne osobe i stvari, jer je u Kris</w:t>
        <w:softHyphen/>
        <w:t>tovu utjelovljenju čitav stvoreni svijet već vra</w:t>
        <w:softHyphen/>
        <w:t>ćen kući i ponovo je stupio u odnos prema Bogu. Tako za kršćanina koji je krštenjem uključen u Tijelo Kristovo nema više zapravo profanog prostora, jer je on po Kristu uvijek i svagdje u povezanosti s Bogom, jer »sve je vaše, a vi ste Kristovi, a Krist je Božji« (1 Kor 3,22). U zajednici koja se okupila na službi Božjoj vidljivo se objelodanjuje ta povezanost u znakovima i riječima. Ovdje kršćanin doživ</w:t>
        <w:softHyphen/>
        <w:t>ljava kako profani svijet leži u Božjoj ruci i kako ga u sakramentalnim znakovima proži</w:t>
        <w:softHyphen/>
        <w:t>ma Božji život i Božja svetost. Zato se bogo- služni oblici na kršćanskom području ne bi više trebali nazivati sakralnima, ne bi više tre</w:t>
        <w:softHyphen/>
        <w:t>bala biti riječ o sakralnoj glazbi ili sakralnim predmetima, jer odsada svetost za kršćanina ovisi o osobnom odnosu prema Kristu.</w:t>
      </w:r>
    </w:p>
    <w:p>
      <w:pPr>
        <w:pStyle w:val="Style20"/>
        <w:keepNext w:val="0"/>
        <w:keepLines w:val="0"/>
        <w:widowControl w:val="0"/>
        <w:shd w:val="clear" w:color="auto" w:fill="auto"/>
        <w:bidi w:val="0"/>
        <w:spacing w:before="0" w:after="0"/>
        <w:ind w:left="0" w:right="0" w:firstLine="0"/>
        <w:jc w:val="both"/>
        <w:sectPr>
          <w:footnotePr>
            <w:pos w:val="pageBottom"/>
            <w:numFmt w:val="decimal"/>
            <w:numRestart w:val="continuous"/>
            <w15:footnoteColumns w:val="1"/>
          </w:footnotePr>
          <w:type w:val="continuous"/>
          <w:pgSz w:w="6816" w:h="11006"/>
          <w:pgMar w:top="973" w:left="189" w:right="195" w:bottom="516" w:header="0" w:footer="3" w:gutter="0"/>
          <w:cols w:num="2" w:space="1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To u svakom slučaju nema nikakve veze s oni</w:t>
        <w:softHyphen/>
        <w:t>me što se misli pod pojmom desakralizacije. Zapravo je očitovanje religioznoga - riječi, radnje, znakovi, slike - sasvim profanog pod</w:t>
        <w:softHyphen/>
        <w:t>rijetla: bogoslužni skup i njegov voditelj kao i riječi koje su izrečene, geste kao stajanje, sje</w:t>
        <w:softHyphen/>
        <w:t>denje, koračanje, radnje kao kupanje, poma- zivanje, jedenje, pijenje. Pa ipak, ima oblika koji su primjereni službi Božjoj. Već se i na nereligioznom području razlikuje između rad</w:t>
        <w:softHyphen/>
        <w:t>noga dana i blagdana, npr. po odjeći. Javni postupci, npr. u sudskoj dvorani, ne vrše se bez utvrđenih obreda koji su drugačiji od sva- kodnevice. Ako desakralizacija znači ukidanje takvih posebnih, za službu Božju pridržanih oblika, tada je treba odbaciti. To s pravom nema oslonca ni u teologiji ni u NZ. NZ po</w:t>
        <w:softHyphen/>
        <w:t>znaje mnoštvo posebnih znakovitih radnji ko</w:t>
        <w:softHyphen/>
        <w:t>je u svakom slučaju nisu po sebi sakralne, ali mogu biti označene kao svete samo u odnosu na Krista. Tako za kršćanina nema ničega po sebi sakralnoga, ali on ipak ima strahopoš</w:t>
        <w:softHyphen/>
        <w:t>tovanje prema Božjoj blizini koju je iskusio u vjeri i koju iznutra i znakovito priznaje u na</w:t>
        <w:softHyphen/>
        <w:t>slijeđenim oblicima.</w:t>
      </w:r>
    </w:p>
    <w:p>
      <w:pPr>
        <w:pStyle w:val="Style56"/>
        <w:keepNext w:val="0"/>
        <w:keepLines w:val="0"/>
        <w:widowControl w:val="0"/>
        <w:shd w:val="clear" w:color="auto" w:fill="auto"/>
        <w:tabs>
          <w:tab w:pos="2405" w:val="left"/>
        </w:tabs>
        <w:bidi w:val="0"/>
        <w:spacing w:before="0" w:after="140" w:line="240" w:lineRule="auto"/>
        <w:ind w:left="0" w:right="0" w:firstLine="0"/>
        <w:jc w:val="both"/>
      </w:pPr>
      <w:r>
        <w:rPr>
          <w:color w:val="000000"/>
          <w:spacing w:val="0"/>
          <w:w w:val="100"/>
          <w:position w:val="0"/>
          <w:shd w:val="clear" w:color="auto" w:fill="auto"/>
        </w:rPr>
        <w:t xml:space="preserve">Lit.: M. Eliadc, </w:t>
      </w:r>
      <w:r>
        <w:rPr>
          <w:i/>
          <w:iCs/>
          <w:color w:val="000000"/>
          <w:spacing w:val="0"/>
          <w:w w:val="100"/>
          <w:position w:val="0"/>
          <w:shd w:val="clear" w:color="auto" w:fill="auto"/>
        </w:rPr>
        <w:t>Das Ileilige und das Profane,</w:t>
      </w:r>
      <w:r>
        <w:rPr>
          <w:color w:val="000000"/>
          <w:spacing w:val="0"/>
          <w:w w:val="100"/>
          <w:position w:val="0"/>
          <w:shd w:val="clear" w:color="auto" w:fill="auto"/>
        </w:rPr>
        <w:t xml:space="preserve"> Hamburg 1957; F.. J. Ixngcling, Sakral - </w:t>
      </w:r>
      <w:r>
        <w:rPr>
          <w:color w:val="000000"/>
          <w:spacing w:val="0"/>
          <w:w w:val="100"/>
          <w:position w:val="0"/>
          <w:shd w:val="clear" w:color="auto" w:fill="auto"/>
          <w:lang w:val="hr-HR" w:eastAsia="hr-HR" w:bidi="hr-HR"/>
        </w:rPr>
        <w:t xml:space="preserve">Profan, </w:t>
      </w:r>
      <w:r>
        <w:rPr>
          <w:color w:val="000000"/>
          <w:spacing w:val="0"/>
          <w:w w:val="100"/>
          <w:position w:val="0"/>
          <w:shd w:val="clear" w:color="auto" w:fill="auto"/>
        </w:rPr>
        <w:t xml:space="preserve">u: </w:t>
      </w:r>
      <w:r>
        <w:rPr>
          <w:i/>
          <w:iCs/>
          <w:color w:val="000000"/>
          <w:spacing w:val="0"/>
          <w:w w:val="100"/>
          <w:position w:val="0"/>
          <w:shd w:val="clear" w:color="auto" w:fill="auto"/>
        </w:rPr>
        <w:t>Liiurpsches Jahr- buck</w:t>
      </w:r>
      <w:r>
        <w:rPr>
          <w:color w:val="000000"/>
          <w:spacing w:val="0"/>
          <w:w w:val="100"/>
          <w:position w:val="0"/>
          <w:shd w:val="clear" w:color="auto" w:fill="auto"/>
        </w:rPr>
        <w:t xml:space="preserve"> 18 (1968), 164-188; H. Miiblen, </w:t>
      </w:r>
      <w:r>
        <w:rPr>
          <w:i/>
          <w:iCs/>
          <w:color w:val="000000"/>
          <w:spacing w:val="0"/>
          <w:w w:val="100"/>
          <w:position w:val="0"/>
          <w:shd w:val="clear" w:color="auto" w:fill="auto"/>
        </w:rPr>
        <w:t>Emsakralisierung,</w:t>
      </w:r>
      <w:r>
        <w:rPr>
          <w:color w:val="000000"/>
          <w:spacing w:val="0"/>
          <w:w w:val="100"/>
          <w:position w:val="0"/>
          <w:shd w:val="clear" w:color="auto" w:fill="auto"/>
        </w:rPr>
        <w:t xml:space="preserve"> Pa</w:t>
        <w:softHyphen/>
        <w:t>derborn 1971.</w:t>
        <w:tab/>
        <w:t>K.RlCim-R</w:t>
      </w:r>
    </w:p>
    <w:p>
      <w:pPr>
        <w:pStyle w:val="Style63"/>
        <w:keepNext/>
        <w:keepLines/>
        <w:widowControl w:val="0"/>
        <w:numPr>
          <w:ilvl w:val="0"/>
          <w:numId w:val="485"/>
        </w:numPr>
        <w:shd w:val="clear" w:color="auto" w:fill="auto"/>
        <w:tabs>
          <w:tab w:pos="265" w:val="left"/>
        </w:tabs>
        <w:bidi w:val="0"/>
        <w:spacing w:before="0"/>
        <w:ind w:left="0" w:right="0" w:firstLine="0"/>
        <w:jc w:val="both"/>
      </w:pPr>
      <w:bookmarkStart w:id="316" w:name="bookmark316"/>
      <w:r>
        <w:rPr>
          <w:rFonts w:ascii="Times New Roman" w:eastAsia="Times New Roman" w:hAnsi="Times New Roman" w:cs="Times New Roman"/>
          <w:color w:val="000000"/>
          <w:spacing w:val="0"/>
          <w:w w:val="100"/>
          <w:position w:val="0"/>
          <w:shd w:val="clear" w:color="auto" w:fill="auto"/>
          <w:lang w:val="hr-HR" w:eastAsia="hr-HR" w:bidi="hr-HR"/>
        </w:rPr>
        <w:t>islamski</w:t>
      </w:r>
      <w:bookmarkEnd w:id="316"/>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Islamu je sasvim stran pojam sakralnog. To se objašnjava time što ta religija kao legitimno područje svojega interesa promatra cjelokup</w:t>
        <w:softHyphen/>
        <w:t>ni život - i duhovni i materijalni - i što s druge strane, možda mnogo više od kršćanstva, uvažava čovjekove granice. Po Kuranu svet je samo Bog (al-malik al-quddCs). Inače se taj pojam vrlo rijetko koristi, on nije izbalansiran i neortodoksan je. U džamiji ne postoji ništa što bi se moglo nazvati »najsvetijim«. Struktu</w:t>
        <w:softHyphen/>
        <w:t>ralno su profana čak i oba, za povijest i kult is</w:t>
        <w:softHyphen/>
        <w:t xml:space="preserve">lama tako važna grada, Meka i Medina, koji se u izvanjskome svijetu označavaju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sveti. </w:t>
      </w:r>
      <w:r>
        <w:rPr>
          <w:rFonts w:ascii="Times New Roman" w:eastAsia="Times New Roman" w:hAnsi="Times New Roman" w:cs="Times New Roman"/>
          <w:color w:val="000000"/>
          <w:spacing w:val="0"/>
          <w:w w:val="100"/>
          <w:position w:val="0"/>
          <w:shd w:val="clear" w:color="auto" w:fill="auto"/>
          <w:lang w:val="hr-HR" w:eastAsia="hr-HR" w:bidi="hr-HR"/>
        </w:rPr>
        <w:t>Oni se smatraju religiozno značajnim samo zbog svoje povijesti i funkcije. Meka je stoga dostojanstven (mukarrama), a Medina napro</w:t>
        <w:softHyphen/>
        <w:t xml:space="preserve">tiv prosvijetljeni </w:t>
      </w:r>
      <w:r>
        <w:rPr>
          <w:rFonts w:ascii="Times New Roman" w:eastAsia="Times New Roman" w:hAnsi="Times New Roman" w:cs="Times New Roman"/>
          <w:color w:val="000000"/>
          <w:spacing w:val="0"/>
          <w:w w:val="100"/>
          <w:position w:val="0"/>
          <w:shd w:val="clear" w:color="auto" w:fill="auto"/>
          <w:lang w:val="en-US" w:eastAsia="en-US" w:bidi="en-US"/>
        </w:rPr>
        <w:t xml:space="preserve">(munawwara) </w:t>
      </w:r>
      <w:r>
        <w:rPr>
          <w:rFonts w:ascii="Times New Roman" w:eastAsia="Times New Roman" w:hAnsi="Times New Roman" w:cs="Times New Roman"/>
          <w:color w:val="000000"/>
          <w:spacing w:val="0"/>
          <w:w w:val="100"/>
          <w:position w:val="0"/>
          <w:shd w:val="clear" w:color="auto" w:fill="auto"/>
          <w:lang w:val="hr-HR" w:eastAsia="hr-HR" w:bidi="hr-HR"/>
        </w:rPr>
        <w:t>grad.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 ne poznaje sedam sakramenata Novoga zakona u Katoličkoj crkvi (krštenje, potvrda, euharistija, pokora, posljednja pomast, posve</w:t>
        <w:softHyphen/>
        <w:t>ta i crkveno sklapanje braka). On također ne poznaje dva sakramenta (krštenje i večera) evangeličke crkve. Zgodimice se u islamu o sakralnome govori u smislu onog »religiozno obvezatnog«. Stoga se pod »sakralnim zna</w:t>
        <w:softHyphen/>
        <w:t>njem« podrazumijeva ono znanje koje se crpi iz kuranske objave i koje se sukladno tomu pripisuje Bogu koji je svet. Izraz »sakralno zna</w:t>
        <w:softHyphen/>
        <w:t xml:space="preserve">nje« ipak nije izvorno islamski; on potječe iz europskoga teološkog vokabulara.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harem </w:t>
      </w:r>
      <w:r>
        <w:rPr>
          <w:rFonts w:ascii="Times New Roman" w:eastAsia="Times New Roman" w:hAnsi="Times New Roman" w:cs="Times New Roman"/>
          <w:color w:val="000000"/>
          <w:spacing w:val="0"/>
          <w:w w:val="100"/>
          <w:position w:val="0"/>
          <w:shd w:val="clear" w:color="auto" w:fill="auto"/>
          <w:lang w:val="hr-HR" w:eastAsia="hr-HR" w:bidi="hr-HR"/>
        </w:rPr>
        <w:t>(zabranjeno, »sveto«) označava se najbliža oko</w:t>
        <w:softHyphen/>
        <w:t>lina Kabe u Meki kao i dvor »Prorokove dža</w:t>
        <w:softHyphen/>
        <w:t>mije« u Medini, koji se trebaju čuvati od rat</w:t>
        <w:softHyphen/>
        <w:t>nih djelovanja i bilo kakvoga prolivanja krvi.</w:t>
      </w:r>
    </w:p>
    <w:p>
      <w:pPr>
        <w:pStyle w:val="Style74"/>
        <w:keepNext w:val="0"/>
        <w:keepLines w:val="0"/>
        <w:widowControl w:val="0"/>
        <w:shd w:val="clear" w:color="auto" w:fill="auto"/>
        <w:bidi w:val="0"/>
        <w:spacing w:before="0" w:after="28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BAL1Ć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SAKRAMENT</w:t>
      </w:r>
    </w:p>
    <w:p>
      <w:pPr>
        <w:pStyle w:val="Style63"/>
        <w:keepNext/>
        <w:keepLines/>
        <w:widowControl w:val="0"/>
        <w:shd w:val="clear" w:color="auto" w:fill="auto"/>
        <w:bidi w:val="0"/>
        <w:spacing w:before="0"/>
        <w:ind w:left="0" w:right="0" w:firstLine="0"/>
        <w:jc w:val="both"/>
      </w:pPr>
      <w:bookmarkStart w:id="317" w:name="bookmark31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17"/>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XII. stoljeća s. je skupni pojam za od</w:t>
        <w:softHyphen/>
        <w:t>ređene bogoslužne radnje koje utemeljuju ži</w:t>
        <w:softHyphen/>
        <w:t>vot kršćanske zajednice i koje su poredane unutar svetog broja sedam; krštenje, potvrda, euharistija, pokora, bolesničko pomazanje, sveti red, ženidba. Već SZ poznaje svete zna</w:t>
        <w:softHyphen/>
        <w:t xml:space="preserve">kove kao spomen na Božja sveta djela i na </w:t>
      </w:r>
      <w:r>
        <w:rPr>
          <w:rFonts w:ascii="Times New Roman" w:eastAsia="Times New Roman" w:hAnsi="Times New Roman" w:cs="Times New Roman"/>
          <w:color w:val="000000"/>
          <w:spacing w:val="0"/>
          <w:w w:val="100"/>
          <w:position w:val="0"/>
          <w:shd w:val="clear" w:color="auto" w:fill="auto"/>
          <w:lang w:val="hr-HR" w:eastAsia="hr-HR" w:bidi="hr-HR"/>
        </w:rPr>
        <w:t xml:space="preserve">obećanje budućeg otkupljenja kao što je ob- rezanje znak Saveza (Post 17,10) i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znak za spašavanje iz ropstva (Izl 12,1-20). Za krš</w:t>
        <w:softHyphen/>
        <w:t>ćanina je kraljevstvo Božje ostvareno u Isusu Kristu. Blizina kraljevstva Božjeg postaje shvatljiva u riječi Isusova naviještanja, ali i u ostalim znakovima i radnjama u kojima se može prepoznati nevidljivi Bog. Sakramenti su takvi znakovi spasenja i Božje blizine koji su utemeljeni u Isusu Kristu. U njegovu se čovještvu, u njegovu životu, smrti i uskrsnuću »dobrota Boga, našega Spasitelja, i njegova ljubav prema ljudima« (Tit 3,4) pojavila medu nama. Kako je Krist znak u kojem prepozna</w:t>
        <w:softHyphen/>
        <w:t>jemo Božju brigu za nas ljude, on je prasakra- ment. Po Duhu Svetom sa svojim spasenjskim djelom on ostaje prisutan za sva vremena me</w:t>
        <w:softHyphen/>
        <w:t>đu nama. Crkva, kao Duhom Svetim ujedinje</w:t>
        <w:softHyphen/>
        <w:t>no zajedništvo vjernika, trajan je znak te blizi</w:t>
        <w:softHyphen/>
        <w:t>ne i Božje ljubavi za svijet. Zato je ona u Kristu u neku ruku s. U pojedinim sakramen</w:t>
        <w:softHyphen/>
        <w:t>tima razvija se ta sakramentalna bit Crkve u konkretnim situacijama ljudskoga života. U sakramentalnim znakovima, koji su uzeti iz čovjekova životnog okružja, susreće nas Krist i daruje nam Božje spasenje. Pretpostavka za to je vjera koja pušta čovjeka da traži spasenje u Kristu. Vjerom on prepoznaje Božje djelo</w:t>
        <w:softHyphen/>
        <w:t>vanje u ljudskim znakovima. Stoga primanje sakramenata nije jednostavno postupak u ko</w:t>
        <w:softHyphen/>
        <w:t>jem se nešto dobiva, nego s. pokazuje osobni odnos prema Bogu i stvara taj odnos. Bog se u sakramentu obraća čovjeku i nudi mu svoje spasenje. Zato se Božje djelovanje i čovjekova spremnost moraju susresti. To se događa prije svega na važnim stanicama čovjekova života na kojima se posebno žustro postavlja pitanje o smislu života, a to su rođenje, ulazak u svjes</w:t>
        <w:softHyphen/>
        <w:t>no sučeljavanje s okolinom i društvom, sklapa</w:t>
        <w:softHyphen/>
        <w:t>nje braka, krivnja, teške bolesti i smrt. Krš</w:t>
        <w:softHyphen/>
        <w:t>ćanska vjera daje u sakramentima vlastito tu</w:t>
        <w:softHyphen/>
        <w:t>mačenje i određenje takvih situacija. Ove sa</w:t>
        <w:softHyphen/>
        <w:t>kramente čovjek nalazi u Crkvi, u zajedništvu vjernika. Tko prima s., prima zajedništvo s Kristom i vjernicima. To je svečanost vjere i vjernika. Svaki put na vlastit način koji je zor</w:t>
        <w:softHyphen/>
        <w:t>no prikazan sakramentalnim znakom, svaki s. pruža specifičnu sličnost s Kristom i daje da pri</w:t>
        <w:softHyphen/>
        <w:t xml:space="preserve">matelj stupi s njim u uže životno zajedništvo. To se zajedništvo utemeljuje po Duhu Svetom koji je spona koja povezuje vjernika s Kristom i sukršćanima. Stoga se na sakramente ne </w:t>
      </w:r>
      <w:r>
        <w:rPr>
          <w:rFonts w:ascii="Times New Roman" w:eastAsia="Times New Roman" w:hAnsi="Times New Roman" w:cs="Times New Roman"/>
          <w:color w:val="000000"/>
          <w:spacing w:val="0"/>
          <w:w w:val="100"/>
          <w:position w:val="0"/>
          <w:shd w:val="clear" w:color="auto" w:fill="auto"/>
          <w:lang w:val="hr-HR" w:eastAsia="hr-HR" w:bidi="hr-HR"/>
        </w:rPr>
        <w:t>smije gledati kao na izolirane iznimne situa</w:t>
        <w:softHyphen/>
        <w:t>cije. Dapače, oni su žarišta u djelovanju Crkve koja je u cjelini znak božanskog djelovanja pa je zato sakramentalna. Stoga se npr. s. pokore i pomirenja može podijeliti samo tamo gdje je Crkva u cijelosti znak pomirenja medu ljudi</w:t>
        <w:softHyphen/>
        <w:t>ma; i samo tamo može se podijeliti bolesničko pomazanje gdje se zajednica i inače brine o bolesnicima.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Biblijski pojam za ove spasenjske znakove je </w:t>
      </w:r>
      <w:r>
        <w:rPr>
          <w:rFonts w:ascii="Times New Roman" w:eastAsia="Times New Roman" w:hAnsi="Times New Roman" w:cs="Times New Roman"/>
          <w:color w:val="000000"/>
          <w:spacing w:val="0"/>
          <w:w w:val="100"/>
          <w:position w:val="0"/>
          <w:shd w:val="clear" w:color="auto" w:fill="auto"/>
          <w:lang w:val="en-US" w:eastAsia="en-US" w:bidi="en-US"/>
        </w:rPr>
        <w:t xml:space="preserve">mysterium, </w:t>
      </w:r>
      <w:r>
        <w:rPr>
          <w:rFonts w:ascii="Times New Roman" w:eastAsia="Times New Roman" w:hAnsi="Times New Roman" w:cs="Times New Roman"/>
          <w:color w:val="000000"/>
          <w:spacing w:val="0"/>
          <w:w w:val="100"/>
          <w:position w:val="0"/>
          <w:shd w:val="clear" w:color="auto" w:fill="auto"/>
          <w:lang w:val="hr-HR" w:eastAsia="hr-HR" w:bidi="hr-HR"/>
        </w:rPr>
        <w:t>a on se još i danas upotrebljava u istočnim crkvama. Ovaj pojam sadrži svu pu</w:t>
        <w:softHyphen/>
        <w:t>ninu značenja Božjega spasenjskog djelovanja u događaju Krista, prije svega u njegovoj smrti i uskrsnuću, ali i u tipološkom događanju u starom Savezu, u njegovoj trajnoj prisutnosti u Crkvi i u njezinim životnim izražavanjima, prije svega na bogoslužnom skupu i konačno u njegovu još izostalom potpunom liku na kraju vremena i u ponovnom dolasku. Čovje</w:t>
        <w:softHyphen/>
        <w:t xml:space="preserve">kovim obraćenjem (grč. = </w:t>
      </w:r>
      <w:r>
        <w:rPr>
          <w:rFonts w:ascii="Times New Roman" w:eastAsia="Times New Roman" w:hAnsi="Times New Roman" w:cs="Times New Roman"/>
          <w:i/>
          <w:iCs/>
          <w:color w:val="000000"/>
          <w:spacing w:val="0"/>
          <w:w w:val="100"/>
          <w:position w:val="0"/>
          <w:shd w:val="clear" w:color="auto" w:fill="auto"/>
          <w:lang w:val="hr-HR" w:eastAsia="hr-HR" w:bidi="hr-HR"/>
        </w:rPr>
        <w:t>metanoia)</w:t>
      </w:r>
      <w:r>
        <w:rPr>
          <w:rFonts w:ascii="Times New Roman" w:eastAsia="Times New Roman" w:hAnsi="Times New Roman" w:cs="Times New Roman"/>
          <w:color w:val="000000"/>
          <w:spacing w:val="0"/>
          <w:w w:val="100"/>
          <w:position w:val="0"/>
          <w:shd w:val="clear" w:color="auto" w:fill="auto"/>
          <w:lang w:val="hr-HR" w:eastAsia="hr-HR" w:bidi="hr-HR"/>
        </w:rPr>
        <w:t xml:space="preserve"> (Dj 2,38), koje je na početku Isusova naviještanja (Mk 1,15), postiže se sudioništvo u kraljevstvu Božjem (1 Kor 1,8 i d.). Put do postizavanja tog spasenja su vjera i krštenje (Mk 16,16). Pomoću Duha Božjega događa se uključi</w:t>
        <w:softHyphen/>
        <w:t>vanje u Kristovo zajedništvo u krštenju i na Gospodnjoj večeri (1 Kor 6,11; 10,3 i đ.; 12,13). Rano kršćanstvo poznaje daljnje spa</w:t>
        <w:softHyphen/>
        <w:t>senjske znakove kao što su polaganje ruku i slanje Duha (npr. 2 Tim 1,6; Dj 8,15), po</w:t>
        <w:softHyphen/>
        <w:t xml:space="preserve">mazanje bolesnika uljem (Jak 5,14) itd. Kada se </w:t>
      </w:r>
      <w:r>
        <w:rPr>
          <w:rFonts w:ascii="Times New Roman" w:eastAsia="Times New Roman" w:hAnsi="Times New Roman" w:cs="Times New Roman"/>
          <w:color w:val="000000"/>
          <w:spacing w:val="0"/>
          <w:w w:val="100"/>
          <w:position w:val="0"/>
          <w:shd w:val="clear" w:color="auto" w:fill="auto"/>
          <w:lang w:val="en-US" w:eastAsia="en-US" w:bidi="en-US"/>
        </w:rPr>
        <w:t xml:space="preserve">mysterium </w:t>
      </w:r>
      <w:r>
        <w:rPr>
          <w:rFonts w:ascii="Times New Roman" w:eastAsia="Times New Roman" w:hAnsi="Times New Roman" w:cs="Times New Roman"/>
          <w:color w:val="000000"/>
          <w:spacing w:val="0"/>
          <w:w w:val="100"/>
          <w:position w:val="0"/>
          <w:shd w:val="clear" w:color="auto" w:fill="auto"/>
          <w:lang w:val="hr-HR" w:eastAsia="hr-HR" w:bidi="hr-HR"/>
        </w:rPr>
        <w:t>preveo na lat. sacramentum, u Zapadnom je kršćanstvu došlo do sužavanja pojma, jer sacramentum znači vojničku prisegu koja je povezana s nekim simbolom. Kod Augustina to je znak koji ukazuje na božanski život u Kristu, ali ga i sadrži: vidljivi znak nevidljive stvarnosti. Daljnje sužavanje događa se s ranom skolastikom od XII. stolje</w:t>
        <w:softHyphen/>
        <w:t>ća: vanjski znak koji je Kristova milost posta</w:t>
        <w:softHyphen/>
        <w:t>vila da bi je predstavljao i sadržavao. U valja</w:t>
        <w:softHyphen/>
        <w:t xml:space="preserve">no ostvarenje uračunava se sada riječ (forma sacramenti) i znak </w:t>
      </w:r>
      <w:r>
        <w:rPr>
          <w:rFonts w:ascii="Times New Roman" w:eastAsia="Times New Roman" w:hAnsi="Times New Roman" w:cs="Times New Roman"/>
          <w:color w:val="000000"/>
          <w:spacing w:val="0"/>
          <w:w w:val="100"/>
          <w:position w:val="0"/>
          <w:shd w:val="clear" w:color="auto" w:fill="auto"/>
          <w:lang w:val="en-US" w:eastAsia="en-US" w:bidi="en-US"/>
        </w:rPr>
        <w:t xml:space="preserve">(materia </w:t>
      </w:r>
      <w:r>
        <w:rPr>
          <w:rFonts w:ascii="Times New Roman" w:eastAsia="Times New Roman" w:hAnsi="Times New Roman" w:cs="Times New Roman"/>
          <w:color w:val="000000"/>
          <w:spacing w:val="0"/>
          <w:w w:val="100"/>
          <w:position w:val="0"/>
          <w:shd w:val="clear" w:color="auto" w:fill="auto"/>
          <w:lang w:val="hr-HR" w:eastAsia="hr-HR" w:bidi="hr-HR"/>
        </w:rPr>
        <w:t>sacramenti). Dok se do toga trenutka pod pojmom sakramenta shvaćao širok izbor životnih izražavanja, sada se to sužava na sveti broj sedam. Od sakrame</w:t>
        <w:softHyphen/>
        <w:t>nata su odijeljeni sakramentali koji pred</w:t>
        <w:softHyphen/>
        <w:t>stavljaju znakove koje nije postavio Krist nego Crkva. Njima pripadaju svi bogoslužni znako</w:t>
        <w:softHyphen/>
        <w:t xml:space="preserve">vi koji se ne ubrajaju u sedam sakramenata. Iako je crkveno učenje uvijek držalo da vjera </w:t>
      </w:r>
      <w:r>
        <w:rPr>
          <w:rFonts w:ascii="Times New Roman" w:eastAsia="Times New Roman" w:hAnsi="Times New Roman" w:cs="Times New Roman"/>
          <w:color w:val="000000"/>
          <w:spacing w:val="0"/>
          <w:w w:val="100"/>
          <w:position w:val="0"/>
          <w:shd w:val="clear" w:color="auto" w:fill="auto"/>
          <w:lang w:val="hr-HR" w:eastAsia="hr-HR" w:bidi="hr-HR"/>
        </w:rPr>
        <w:t>pripada primanju, sada se sve više u prvi plan stavlja objektivna djelotvornost. To ponegdje u pučkoj pobožnosti vodi do magičnih krivih tumačenja. Sve više dolazi do individualistič- kog i privatističkoga gledanja na s.</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Reformatori imaju još vrlo malo razumijeva</w:t>
        <w:softHyphen/>
        <w:t>nja za funkciju znaka kao što uopće kasni srednji vijek sasvim formalno ispunjava zna</w:t>
        <w:softHyphen/>
        <w:t>kove kod dijeljenja sakramenata kao više ili manje proizvoljno ustanovljenih oblika indi</w:t>
        <w:softHyphen/>
        <w:t>vidualnog priopćavanja Kristove milosti. Zato reformatori isključuju niz bogoslužnih radnji iz kruga sakramenata tako da su na kraju kao sakramenti zadržani samo krštenje i euharis</w:t>
        <w:softHyphen/>
        <w:t>tija. Spasonosni susret s Kristom događa se za rcformaciju samo u vjerničkom primanju Božje riječi.</w:t>
      </w:r>
    </w:p>
    <w:p>
      <w:pPr>
        <w:pStyle w:val="Style20"/>
        <w:keepNext w:val="0"/>
        <w:keepLines w:val="0"/>
        <w:widowControl w:val="0"/>
        <w:shd w:val="clear" w:color="auto" w:fill="auto"/>
        <w:bidi w:val="0"/>
        <w:spacing w:before="0" w:after="0"/>
        <w:ind w:left="0" w:right="0" w:firstLine="0"/>
        <w:jc w:val="both"/>
        <w:sectPr>
          <w:headerReference w:type="default" r:id="rId1289"/>
          <w:footerReference w:type="default" r:id="rId1290"/>
          <w:headerReference w:type="even" r:id="rId1291"/>
          <w:footerReference w:type="even" r:id="rId1292"/>
          <w:headerReference w:type="first" r:id="rId1293"/>
          <w:footerReference w:type="first" r:id="rId1294"/>
          <w:footnotePr>
            <w:pos w:val="pageBottom"/>
            <w:numFmt w:val="decimal"/>
            <w:numRestart w:val="continuous"/>
            <w15:footnoteColumns w:val="1"/>
          </w:footnotePr>
          <w:pgSz w:w="6816" w:h="11006"/>
          <w:pgMar w:top="973" w:left="189" w:right="195" w:bottom="516" w:header="0" w:footer="3" w:gutter="0"/>
          <w:cols w:num="2" w:space="16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Rimskoj crkvi zadnjih desetljeća sve više dolazi do pravnog usmjeravanja sakramental- nog shvaćanja. Crkveno pravo od 1917. ne ra</w:t>
        <w:softHyphen/>
        <w:t>čuna ih više u službu Božju. Tek Drugi vati</w:t>
        <w:softHyphen/>
        <w:t>kanski koncil započinje sužavanje sakramen- talnog shvaćanja na materiju i oblik kao mini</w:t>
        <w:softHyphen/>
        <w:t>mum valjanosti i u njima vidi opet bogoslužna slavljenja zajednice koja ne samo pretpostav</w:t>
        <w:softHyphen/>
        <w:t>ljaju vjeru nego je jačaju i hrane u riječi i zna</w:t>
        <w:softHyphen/>
        <w:t>ku. Pritom pojedina sakramentalna slavlja stoje u stanovitom redu. Najintenzivnije životno is</w:t>
        <w:softHyphen/>
        <w:t>punjenje zajednice je euharistija, središte i cen</w:t>
        <w:softHyphen/>
        <w:t>tar svih sakramenata u užem i širem smislu, najintenzivnija Gospodinova sadašnjost u nje</w:t>
        <w:softHyphen/>
        <w:t>govoj zajednici. Pristup tom zajedništvu spa</w:t>
        <w:softHyphen/>
        <w:t>senja dobiva se krštenjem i potvrdom, kao sa</w:t>
        <w:softHyphen/>
        <w:t>kramentima inicijacije. Tko je teškom krivnjom izgubio živu povezanost s Crkvom, nalazi po</w:t>
        <w:softHyphen/>
        <w:t>novno pomirenje, oproštenje, u sakramentu pokore. Osobite zadaće Crkve, koje su nužne u zajednici, zbog sakramentalnog ustrojstva Crkve imaju također sakramentalan oblik: prenošenje posebnih službi posvećenjem u đakona, svećenika ili biskupa, pa i brak jer je kopija ljubavi između Krista i njegove Crkve. Budući da teška bolest predstavlja posebnu krizu smisla, u sakramentu bolesničkog po</w:t>
        <w:softHyphen/>
        <w:t>mazanja daruje se jačanje. Svi ovi temeljni postupci u životu Crkve ne služe samo posve</w:t>
        <w:softHyphen/>
        <w:t>ćenju pojedinog čovjeka, nego i izgradnji Tije</w:t>
        <w:softHyphen/>
        <w:t>la Kristova, zajedništva vjernika, u službi spa</w:t>
        <w:softHyphen/>
        <w:t>senja drugih. Zato se sakramenti događaju uvijek u prostoru Crkve i povezani su uz za</w:t>
        <w:softHyphen/>
        <w:t>jedništvo vjernika. To bi trebalo dobiti na jas</w:t>
        <w:softHyphen/>
        <w:t xml:space="preserve">noći također u obliku slavlja. Zbog njegova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posebnog odnosa prema euharistijskom slav</w:t>
        <w:softHyphen/>
        <w:t>lju kao spomenu na smrt i uskrsnuće Isusa Krista puni oblik dijeljenja sakramenata treba vidjeti unutar euharistijske gozbe.</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Sakramentalan znak kao i riječ treba vjernič</w:t>
        <w:softHyphen/>
        <w:t>ko primanje. Doduše, Bog ne opoziva svoje obećanje čak ako ga čovjek ne želi prihvatiti. Tako s. ne djeluje zbog vjere, ali njegovo vjer</w:t>
        <w:softHyphen/>
        <w:t>ničko prihvaćanje je pretpostavka da u pri</w:t>
        <w:softHyphen/>
        <w:t>matelju djeluje spasenjski. Zato je naviještana riječ kod dijeljenja sakramenta nužni sastavni dio slavlja koje sadrži služba Božje riječi. No iznad toga znak mora biti razumljiv da bi se mogao shvatiti i prepoznati. Tako kruh kao hostija, koja se ne može prepoznati kao kruh, nedostatno izražava u znaku kruha sadržano otajstvo euharistije. Ili pomazanje pri kojemu ne teče nikakvo ulje, nego je čelo samo do</w:t>
        <w:softHyphen/>
        <w:t>taknuto nauljenim palcem, dostatno je do</w:t>
        <w:softHyphen/>
        <w:t>duše kao pravno određena najniža granica iz</w:t>
        <w:softHyphen/>
        <w:t>vođenja, ali nije više odgovarajući znak nego ceremonija u lošem smislu. Slavlje sakrame</w:t>
        <w:softHyphen/>
        <w:t>nata u životu zajednice ne može polaziti od minimalnog oblika nego se mora potruditi da dade znakovitosti puni oblik kako bi ona mog</w:t>
        <w:softHyphen/>
        <w:t>la stvarno ispuniti svoju zadaću.</w:t>
      </w:r>
    </w:p>
    <w:p>
      <w:pPr>
        <w:pStyle w:val="Style56"/>
        <w:keepNext w:val="0"/>
        <w:keepLines w:val="0"/>
        <w:widowControl w:val="0"/>
        <w:shd w:val="clear" w:color="auto" w:fill="auto"/>
        <w:tabs>
          <w:tab w:pos="2386" w:val="left"/>
        </w:tabs>
        <w:bidi w:val="0"/>
        <w:spacing w:before="0" w:after="380" w:line="240" w:lineRule="auto"/>
        <w:ind w:left="0" w:right="0" w:firstLine="0"/>
        <w:jc w:val="both"/>
      </w:pPr>
      <w:r>
        <w:rPr>
          <w:color w:val="000000"/>
          <w:spacing w:val="0"/>
          <w:w w:val="100"/>
          <w:position w:val="0"/>
          <w:shd w:val="clear" w:color="auto" w:fill="auto"/>
        </w:rPr>
        <w:t xml:space="preserve">Lit.: Th. Schneider, </w:t>
      </w:r>
      <w:r>
        <w:rPr>
          <w:i/>
          <w:iCs/>
          <w:color w:val="000000"/>
          <w:spacing w:val="0"/>
          <w:w w:val="100"/>
          <w:position w:val="0"/>
          <w:shd w:val="clear" w:color="auto" w:fill="auto"/>
          <w:lang w:val="hr-HR" w:eastAsia="hr-HR" w:bidi="hr-HR"/>
        </w:rPr>
        <w:t>Zeichen drr \ahr Goltes,</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Mainz </w:t>
      </w:r>
      <w:r>
        <w:rPr>
          <w:color w:val="000000"/>
          <w:spacing w:val="0"/>
          <w:w w:val="100"/>
          <w:position w:val="0"/>
          <w:shd w:val="clear" w:color="auto" w:fill="auto"/>
          <w:lang w:val="hr-HR" w:eastAsia="hr-HR" w:bidi="hr-HR"/>
        </w:rPr>
        <w:t xml:space="preserve">1979; </w:t>
      </w:r>
      <w:r>
        <w:rPr>
          <w:color w:val="000000"/>
          <w:spacing w:val="0"/>
          <w:w w:val="100"/>
          <w:position w:val="0"/>
          <w:shd w:val="clear" w:color="auto" w:fill="auto"/>
        </w:rPr>
        <w:t xml:space="preserve">A. Ganoczy, </w:t>
      </w:r>
      <w:r>
        <w:rPr>
          <w:color w:val="000000"/>
          <w:spacing w:val="0"/>
          <w:w w:val="100"/>
          <w:position w:val="0"/>
          <w:shd w:val="clear" w:color="auto" w:fill="auto"/>
          <w:lang w:val="hr-HR" w:eastAsia="hr-HR" w:bidi="hr-HR"/>
        </w:rPr>
        <w:t>natuknica Sakrament, u: NHThG 4 (1985), 94-104.</w:t>
        <w:tab/>
        <w:t>ICRICirrER</w:t>
      </w:r>
    </w:p>
    <w:p>
      <w:pPr>
        <w:pStyle w:val="Style33"/>
        <w:keepNext w:val="0"/>
        <w:keepLines w:val="0"/>
        <w:widowControl w:val="0"/>
        <w:shd w:val="clear" w:color="auto" w:fill="auto"/>
        <w:bidi w:val="0"/>
        <w:spacing w:before="0" w:after="16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SAVEZ</w:t>
      </w:r>
    </w:p>
    <w:p>
      <w:pPr>
        <w:pStyle w:val="Style63"/>
        <w:keepNext/>
        <w:keepLines/>
        <w:widowControl w:val="0"/>
        <w:numPr>
          <w:ilvl w:val="0"/>
          <w:numId w:val="489"/>
        </w:numPr>
        <w:shd w:val="clear" w:color="auto" w:fill="auto"/>
        <w:tabs>
          <w:tab w:pos="246" w:val="left"/>
        </w:tabs>
        <w:bidi w:val="0"/>
        <w:spacing w:before="0" w:after="80" w:line="223" w:lineRule="auto"/>
        <w:ind w:left="0" w:right="0" w:firstLine="0"/>
        <w:jc w:val="both"/>
      </w:pPr>
      <w:bookmarkStart w:id="318" w:name="bookmark318"/>
      <w:r>
        <w:rPr>
          <w:rFonts w:ascii="Times New Roman" w:eastAsia="Times New Roman" w:hAnsi="Times New Roman" w:cs="Times New Roman"/>
          <w:color w:val="000000"/>
          <w:spacing w:val="0"/>
          <w:w w:val="100"/>
          <w:position w:val="0"/>
          <w:shd w:val="clear" w:color="auto" w:fill="auto"/>
          <w:lang w:val="hr-HR" w:eastAsia="hr-HR" w:bidi="hr-HR"/>
        </w:rPr>
        <w:t>židovski</w:t>
      </w:r>
      <w:bookmarkEnd w:id="31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(hebr. </w:t>
      </w:r>
      <w:r>
        <w:rPr>
          <w:rFonts w:ascii="Times New Roman" w:eastAsia="Times New Roman" w:hAnsi="Times New Roman" w:cs="Times New Roman"/>
          <w:i/>
          <w:iCs/>
          <w:color w:val="000000"/>
          <w:spacing w:val="0"/>
          <w:w w:val="100"/>
          <w:position w:val="0"/>
          <w:shd w:val="clear" w:color="auto" w:fill="auto"/>
          <w:lang w:val="hr-HR" w:eastAsia="hr-HR" w:bidi="hr-HR"/>
        </w:rPr>
        <w:t>b'rit.,</w:t>
      </w:r>
      <w:r>
        <w:rPr>
          <w:rFonts w:ascii="Times New Roman" w:eastAsia="Times New Roman" w:hAnsi="Times New Roman" w:cs="Times New Roman"/>
          <w:color w:val="000000"/>
          <w:spacing w:val="0"/>
          <w:w w:val="100"/>
          <w:position w:val="0"/>
          <w:shd w:val="clear" w:color="auto" w:fill="auto"/>
          <w:lang w:val="hr-HR" w:eastAsia="hr-HR" w:bidi="hr-HR"/>
        </w:rPr>
        <w:t xml:space="preserve"> lat. </w:t>
      </w:r>
      <w:r>
        <w:rPr>
          <w:rFonts w:ascii="Times New Roman" w:eastAsia="Times New Roman" w:hAnsi="Times New Roman" w:cs="Times New Roman"/>
          <w:i/>
          <w:iCs/>
          <w:color w:val="000000"/>
          <w:spacing w:val="0"/>
          <w:w w:val="100"/>
          <w:position w:val="0"/>
          <w:shd w:val="clear" w:color="auto" w:fill="auto"/>
          <w:lang w:val="en-US" w:eastAsia="en-US" w:bidi="en-US"/>
        </w:rPr>
        <w:t>testamentum)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neraskidiv je ugovor dvaju partnera koji su obvezni jedan prema drugom kad ga sklope. Sklapanje toga saveza potkrijepljeno je u biblijsko doba žrtvom ili kultnom gozbom. Hebrejska Biblija (= SZ) objavljuje dotad nepoznati S. Boga i ljudi. Bog u SZ je Bog sklapanja Saveza. Ta teologija Saveza bila je odlučna za zakonodav</w:t>
        <w:softHyphen/>
        <w:t>stvo, pisanje povijesti i proročanstva Izraela. Božji s. vrijedio je vječno, bio je stalan i neraskidiv poput prirodnih zakona. U njemu čovjek niječe poganska vjerovanja i kultove. Prekršaji odredaba u Savezu, dakle neprimjere</w:t>
        <w:softHyphen/>
        <w:t>no ponašanje prema Bogu, bližnjemu, životi</w:t>
        <w:softHyphen/>
        <w:t>nji i prirodi, imaju, prema biblijskom mišlje</w:t>
        <w:softHyphen/>
        <w:t>nju, teške posljedice. Prijestupnik ili grešnik ipak se može obraćenjem i -» pokorom po</w:t>
        <w:softHyphen/>
      </w:r>
      <w:r>
        <w:rPr>
          <w:rFonts w:ascii="Times New Roman" w:eastAsia="Times New Roman" w:hAnsi="Times New Roman" w:cs="Times New Roman"/>
          <w:color w:val="000000"/>
          <w:spacing w:val="0"/>
          <w:w w:val="100"/>
          <w:position w:val="0"/>
          <w:shd w:val="clear" w:color="auto" w:fill="auto"/>
          <w:lang w:val="hr-HR" w:eastAsia="hr-HR" w:bidi="hr-HR"/>
        </w:rPr>
        <w:t>novno aktivirati u Savezu. Ovamo se ubrajaju obećanja i blagoslovi. Najvažniji jamci su po</w:t>
        <w:softHyphen/>
        <w:t>tomci koji nastavljaju S. - U SZ navedeni su ovi savezi s Bogom: a) s Noom i njegovim po</w:t>
        <w:softHyphen/>
        <w:t>tomcima poslije potopa (Post 9). Bog obećava da svijet neće potonuti u kaosu, ni kao kazna za ljudsku zloću. On nalaže čovjeku odgovor</w:t>
        <w:softHyphen/>
        <w:t>nost za sva stvorenja i dopušta mu da jede ži</w:t>
        <w:softHyphen/>
        <w:t xml:space="preserve">votinje bez —&gt; </w:t>
      </w:r>
      <w:r>
        <w:rPr>
          <w:rFonts w:ascii="Times New Roman" w:eastAsia="Times New Roman" w:hAnsi="Times New Roman" w:cs="Times New Roman"/>
          <w:i/>
          <w:iCs/>
          <w:color w:val="000000"/>
          <w:spacing w:val="0"/>
          <w:w w:val="100"/>
          <w:position w:val="0"/>
          <w:shd w:val="clear" w:color="auto" w:fill="auto"/>
          <w:lang w:val="hr-HR" w:eastAsia="hr-HR" w:bidi="hr-HR"/>
        </w:rPr>
        <w:t>krvi.</w:t>
      </w:r>
      <w:r>
        <w:rPr>
          <w:rFonts w:ascii="Times New Roman" w:eastAsia="Times New Roman" w:hAnsi="Times New Roman" w:cs="Times New Roman"/>
          <w:color w:val="000000"/>
          <w:spacing w:val="0"/>
          <w:w w:val="100"/>
          <w:position w:val="0"/>
          <w:shd w:val="clear" w:color="auto" w:fill="auto"/>
          <w:lang w:val="hr-HR" w:eastAsia="hr-HR" w:bidi="hr-HR"/>
        </w:rPr>
        <w:t xml:space="preserve"> Ubojstvo trebaju kažnja</w:t>
        <w:softHyphen/>
        <w:t>vati ljudi (tj. sudovi). S. obuhvaća »sve živo«, pa i životinje (Post 9,9,10). Znak Saveza je duga (Post 9,13,14). - Prema rabinskom gle</w:t>
        <w:softHyphen/>
        <w:t>dištu, nežidovi koji se drže Noina saveza su</w:t>
        <w:softHyphen/>
        <w:t xml:space="preserve">djeluju u vječnom spasenju. Modemi mislioci vide u Savezu s Noom zajedničko ctičko-ra- cionalno tlo za Izrael i čovječanstvo (H. </w:t>
      </w:r>
      <w:r>
        <w:rPr>
          <w:rFonts w:ascii="Times New Roman" w:eastAsia="Times New Roman" w:hAnsi="Times New Roman" w:cs="Times New Roman"/>
          <w:color w:val="000000"/>
          <w:spacing w:val="0"/>
          <w:w w:val="100"/>
          <w:position w:val="0"/>
          <w:shd w:val="clear" w:color="auto" w:fill="auto"/>
          <w:lang w:val="en-US" w:eastAsia="en-US" w:bidi="en-US"/>
        </w:rPr>
        <w:t>Co</w:t>
        <w:softHyphen/>
        <w:t xml:space="preserve">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Vemunft </w:t>
      </w:r>
      <w:r>
        <w:rPr>
          <w:rFonts w:ascii="Times New Roman" w:eastAsia="Times New Roman" w:hAnsi="Times New Roman" w:cs="Times New Roman"/>
          <w:i/>
          <w:iCs/>
          <w:color w:val="000000"/>
          <w:spacing w:val="0"/>
          <w:w w:val="100"/>
          <w:position w:val="0"/>
          <w:shd w:val="clear" w:color="auto" w:fill="auto"/>
          <w:lang w:val="hr-HR" w:eastAsia="hr-HR" w:bidi="hr-HR"/>
        </w:rPr>
        <w:t xml:space="preserve">aus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den Quellen des </w:t>
      </w:r>
      <w:r>
        <w:rPr>
          <w:rFonts w:ascii="Times New Roman" w:eastAsia="Times New Roman" w:hAnsi="Times New Roman" w:cs="Times New Roman"/>
          <w:i/>
          <w:iCs/>
          <w:color w:val="000000"/>
          <w:spacing w:val="0"/>
          <w:w w:val="100"/>
          <w:position w:val="0"/>
          <w:shd w:val="clear" w:color="auto" w:fill="auto"/>
          <w:lang w:val="hr-HR" w:eastAsia="hr-HR" w:bidi="hr-HR"/>
        </w:rPr>
        <w:t>Judentums,</w:t>
      </w:r>
      <w:r>
        <w:rPr>
          <w:rFonts w:ascii="Times New Roman" w:eastAsia="Times New Roman" w:hAnsi="Times New Roman" w:cs="Times New Roman"/>
          <w:color w:val="000000"/>
          <w:spacing w:val="0"/>
          <w:w w:val="100"/>
          <w:position w:val="0"/>
          <w:shd w:val="clear" w:color="auto" w:fill="auto"/>
          <w:lang w:val="hr-HR" w:eastAsia="hr-HR" w:bidi="hr-HR"/>
        </w:rPr>
        <w:t xml:space="preserve"> Berlin 1929, 135 i d.).</w:t>
      </w:r>
    </w:p>
    <w:p>
      <w:pPr>
        <w:pStyle w:val="Style20"/>
        <w:keepNext w:val="0"/>
        <w:keepLines w:val="0"/>
        <w:widowControl w:val="0"/>
        <w:numPr>
          <w:ilvl w:val="0"/>
          <w:numId w:val="491"/>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Abrahamom (Post 15), Božjim slugom (Post 26,24) i ljubimcem (Iz 41,8). Starcu Abrahamu i Sari bez djece obećani su mnogo</w:t>
        <w:softHyphen/>
        <w:t>brojni potomci. Oni će poput Abrahama na</w:t>
        <w:softHyphen/>
        <w:t xml:space="preserve">kon progonstva u Egiptu prebivati u zemlji Kanaanu, »Obećanoj zemlji«.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će is</w:t>
        <w:softHyphen/>
        <w:t>todobno postati blagoslovom za sve narode (Post 12,13; 18,18). Znak toga saveza je ob- rezanje muških potomaka. (-»</w:t>
      </w:r>
      <w:r>
        <w:rPr>
          <w:rFonts w:ascii="Times New Roman" w:eastAsia="Times New Roman" w:hAnsi="Times New Roman" w:cs="Times New Roman"/>
          <w:i/>
          <w:iCs/>
          <w:color w:val="000000"/>
          <w:spacing w:val="0"/>
          <w:w w:val="100"/>
          <w:position w:val="0"/>
          <w:shd w:val="clear" w:color="auto" w:fill="auto"/>
          <w:lang w:val="hr-HR" w:eastAsia="hr-HR" w:bidi="hr-HR"/>
        </w:rPr>
        <w:t>Inicijacija)</w:t>
      </w:r>
    </w:p>
    <w:p>
      <w:pPr>
        <w:pStyle w:val="Style20"/>
        <w:keepNext w:val="0"/>
        <w:keepLines w:val="0"/>
        <w:widowControl w:val="0"/>
        <w:numPr>
          <w:ilvl w:val="0"/>
          <w:numId w:val="491"/>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Abrahamov s. nastavlja se za sva vremena preko Sarina sina Izaka i njegove žene Re- beke (Post 17; 19; 21). Pritom se naglašava davanje zemlje (Post 24,7; 26,1-5). Obećanja se daju i Abrahamovu sinu Jišmaelu i Egip- ćanki Hagari: blagoslovljen je kao praotac ve</w:t>
        <w:softHyphen/>
        <w:t>likoga naroda s 12 knezova (Post 17,20) arap</w:t>
        <w:softHyphen/>
        <w:t>skih plemena između Egipta i Asirije (Post 25,12-18)</w:t>
      </w:r>
    </w:p>
    <w:p>
      <w:pPr>
        <w:pStyle w:val="Style20"/>
        <w:keepNext w:val="0"/>
        <w:keepLines w:val="0"/>
        <w:widowControl w:val="0"/>
        <w:numPr>
          <w:ilvl w:val="0"/>
          <w:numId w:val="491"/>
        </w:numPr>
        <w:shd w:val="clear" w:color="auto" w:fill="auto"/>
        <w:tabs>
          <w:tab w:pos="279" w:val="left"/>
        </w:tabs>
        <w:bidi w:val="0"/>
        <w:spacing w:before="0" w:after="0"/>
        <w:ind w:left="0" w:right="0" w:firstLine="0"/>
        <w:jc w:val="both"/>
        <w:sectPr>
          <w:headerReference w:type="default" r:id="rId1295"/>
          <w:footerReference w:type="default" r:id="rId1296"/>
          <w:headerReference w:type="even" r:id="rId1297"/>
          <w:footerReference w:type="even" r:id="rId1298"/>
          <w:footnotePr>
            <w:pos w:val="pageBottom"/>
            <w:numFmt w:val="decimal"/>
            <w:numRestart w:val="continuous"/>
            <w15:footnoteColumns w:val="1"/>
          </w:footnotePr>
          <w:pgSz w:w="6816" w:h="11006"/>
          <w:pgMar w:top="973" w:left="189" w:right="195" w:bottom="516" w:header="0" w:footer="3" w:gutter="0"/>
          <w:pgNumType w:start="431"/>
          <w:cols w:num="2" w:space="1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 Izakovu sinu Jakovu potvrđuje se S., i njemu je obećana zemlja i blagoslov narodima (Post 28). Znak Saveza je promjena Jakov- ljeva imena u Izrael (hebr. čovjek koji se borio s Bogom; Post 32,24-30; 35,9-15). Nositelji Saveza bili su dvanaestorica sinova i posvo</w:t>
        <w:softHyphen/>
        <w:t>jenih sinova njegovih žena Rahele i Lee. Sto</w:t>
        <w:softHyphen/>
        <w:t xml:space="preserve">ga židovska tradicija govori o tri praoca i četiri majke. - 1 Jakovljevu blizancu Ezavu-Edomu obećani su velik narod i zemlja: Edomci u is- točno-jordanskoj zemlji Sciru (Post 25,23; Post 26). Usprkos sukobima, ostali su braća. Potomci Edomaca (i Egipćana) primljeni su u narod Saveza: »Nemoj prezirati Edomca, jer je on brat tvoj. Ne preziri ni Egipćanina, jer si bio došljak u zemlji njegovoj. Njihovi potomci </w:t>
      </w:r>
    </w:p>
    <w:p>
      <w:pPr>
        <w:pStyle w:val="Style20"/>
        <w:keepNext w:val="0"/>
        <w:keepLines w:val="0"/>
        <w:widowControl w:val="0"/>
        <w:shd w:val="clear" w:color="auto" w:fill="auto"/>
        <w:tabs>
          <w:tab w:pos="27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trećem naraštaju mogu se primiti u Jahvinu zajednicu« (Pnz 23,8,9).</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 Nakon izlaska iz Egipta, oslobođenja iz egi</w:t>
        <w:softHyphen/>
        <w:t>patskoga ropstva, slijedi na Sinaju sklapanje Saveza s cijelim izraelskim narodom (Izl 24). Obveza se odnosi na Knjigu Saveza (Izl 24,7) s Dckalogom i drugim zapovijedima te na dvi</w:t>
        <w:softHyphen/>
        <w:t>je kamene ploče Saveza. Kovčeg saveza bio je sve do doba izraelskih kraljeva svetište i svje</w:t>
        <w:softHyphen/>
        <w:t>dok veze s Bogom. S. je obuhvaćao sve bu</w:t>
        <w:softHyphen/>
        <w:t>duće naraštaje (Pnz 29,13-14). Izrael i vjernici koji su mu pristupili »narod su Božji«, Božja svojina (Izl 19,5; Pnz 7,6 i češće). Znaku ovo</w:t>
        <w:softHyphen/>
        <w:t>ga saveza priključuje se, osim obrezanja i prvotnih zapovijedi, i svetkovanje šabata (Izl 31, 16.17).</w:t>
      </w:r>
    </w:p>
    <w:p>
      <w:pPr>
        <w:pStyle w:val="Style20"/>
        <w:keepNext w:val="0"/>
        <w:keepLines w:val="0"/>
        <w:widowControl w:val="0"/>
        <w:numPr>
          <w:ilvl w:val="0"/>
          <w:numId w:val="493"/>
        </w:numPr>
        <w:shd w:val="clear" w:color="auto" w:fill="auto"/>
        <w:tabs>
          <w:tab w:pos="246"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Jošua obnavlja S. pri osvajanju zemlje (Jš 24,25). Svi članovi naroda svjedoci su odri</w:t>
        <w:softHyphen/>
        <w:t>canja od bogova susjednih naroda i izbora Jahve kao svoga gospodara (24,22). Ovdje se posebno ističe uzajamnost u Savezu. Teološko značenje Saveza u zemlji naglašava Mojsijeva pjesma (Pnz 32) kao svjedok Saveza (Pnz 31,19 i d ). Drugi svjedoci su nebo i zemlja (Pnz 30,19; 31,28).</w:t>
      </w:r>
    </w:p>
    <w:p>
      <w:pPr>
        <w:pStyle w:val="Style20"/>
        <w:keepNext w:val="0"/>
        <w:keepLines w:val="0"/>
        <w:widowControl w:val="0"/>
        <w:numPr>
          <w:ilvl w:val="0"/>
          <w:numId w:val="493"/>
        </w:numPr>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Nakon razvrgnuća Saveza u doba kraljeva proroci i neki kraljevi uporno su pozivali na povratak i obnovu Saveza. Hošca je usporedio Izraelov odnos s Bogom s brakom koji se po</w:t>
        <w:softHyphen/>
        <w:t>novno uspostavlja unatoč otuđenju (Hoš 2,18-22). Kralj Jošija zapečatio je S. prema Knjizi Saveza (2 Kr 23,1-3). Jcremija je ta</w:t>
        <w:softHyphen/>
        <w:t xml:space="preserve">kođer iskoristio prispodobu s brakom (2,2) i govorio o budućem »novom Savezu« s punom unutarnjom spremnošću (31,31-33). On će pak biti povezan kao u doba izlaska iz Egipta s povratkom u zemlju (31,22 i d.). Postoji još i poseban savez s Davidovim potomcima i s le- vitima (33,20-26). Nakon razaranja prvoga Hrama (586. pr. Kr.) govori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prorok u izgnanstvu, o budućem isključenju iz Saveza onih koji ga ne prihvaćaju (20,38) i naglašava nenasljedivanjc grijeha (Ez 18).</w:t>
      </w:r>
    </w:p>
    <w:p>
      <w:pPr>
        <w:pStyle w:val="Style20"/>
        <w:keepNext w:val="0"/>
        <w:keepLines w:val="0"/>
        <w:widowControl w:val="0"/>
        <w:numPr>
          <w:ilvl w:val="0"/>
          <w:numId w:val="493"/>
        </w:numPr>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Obnova Saveza slijedi nakon povratka iz babilonskog izgnanstva i izgradnje drugoga Hrama (Neh 10). Psalmisti, proroci i propo</w:t>
        <w:softHyphen/>
        <w:t>vjednici često naglašavaju uzajamnost i spo</w:t>
        <w:softHyphen/>
        <w:t>sobnost obnove Saveza kao središte izraelske egzistencije.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 središnji motiv biblijskoga vjerovanja na</w:t>
        <w:softHyphen/>
        <w:t xml:space="preserve">lazimo i u apokrifima. Naglašava se obrezanje kao Abrahamov s. protiv pogansko-helcnistič- </w:t>
      </w:r>
      <w:r>
        <w:rPr>
          <w:rFonts w:ascii="Times New Roman" w:eastAsia="Times New Roman" w:hAnsi="Times New Roman" w:cs="Times New Roman"/>
          <w:color w:val="000000"/>
          <w:spacing w:val="0"/>
          <w:w w:val="100"/>
          <w:position w:val="0"/>
          <w:shd w:val="clear" w:color="auto" w:fill="auto"/>
          <w:lang w:val="hr-HR" w:eastAsia="hr-HR" w:bidi="hr-HR"/>
        </w:rPr>
        <w:t>ke asimilacije. Sa šabatnim odmorom i odri</w:t>
        <w:softHyphen/>
        <w:t>canjem od svinjetine nastaju izrazita obilježja Židova vjernih Savezu u Rimskom Carstvu. I Pavao ističe neotkazani S. sa svojim karakte</w:t>
        <w:softHyphen/>
        <w:t>ristikama: »Oni su Izraelci: njima pripada po- sinjenje, savezi i zakonodavstvo... i obećanja (Rim 9,4).</w:t>
      </w:r>
    </w:p>
    <w:p>
      <w:pPr>
        <w:pStyle w:val="Style20"/>
        <w:keepNext w:val="0"/>
        <w:keepLines w:val="0"/>
        <w:widowControl w:val="0"/>
        <w:shd w:val="clear" w:color="auto" w:fill="auto"/>
        <w:bidi w:val="0"/>
        <w:spacing w:before="0" w:after="10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Nakon razaranja Jeruzalema (70. pos. Kr.) propovjednici su naglašavali daje i muka znak Saveza: Bog iskušava nepokolebljive i po</w:t>
        <w:softHyphen/>
        <w:t>božne, ali ne i slabe u vjeri. On govori iz tmja jer s Izraelom partnerski dijeli bol (Izl Rabba, Šcmot 11,5 - uz Iz 63,5). Povjerenje u Božju vjernost ostalo je i u muci odlučno za židov</w:t>
        <w:softHyphen/>
        <w:t xml:space="preserve">stvo. I odnos prema zemlji često je činio dio shvaćanja Saveza. Kršćansko shvaćanje da su jedini nasljednici Abrahatna, Novog Izraela te naziv njihova Pisma »novi Savez« (zavjet) nije smanjilo spremnost Židova na vlastitu vjeru. Ipak postoji mogućnost za —&gt; </w:t>
      </w:r>
      <w:r>
        <w:rPr>
          <w:rFonts w:ascii="Times New Roman" w:eastAsia="Times New Roman" w:hAnsi="Times New Roman" w:cs="Times New Roman"/>
          <w:i/>
          <w:iCs/>
          <w:color w:val="000000"/>
          <w:spacing w:val="0"/>
          <w:w w:val="100"/>
          <w:position w:val="0"/>
          <w:shd w:val="clear" w:color="auto" w:fill="auto"/>
          <w:lang w:val="hr-HR" w:eastAsia="hr-HR" w:bidi="hr-HR"/>
        </w:rPr>
        <w:t>dijalog</w:t>
      </w:r>
      <w:r>
        <w:rPr>
          <w:rFonts w:ascii="Times New Roman" w:eastAsia="Times New Roman" w:hAnsi="Times New Roman" w:cs="Times New Roman"/>
          <w:color w:val="000000"/>
          <w:spacing w:val="0"/>
          <w:w w:val="100"/>
          <w:position w:val="0"/>
          <w:shd w:val="clear" w:color="auto" w:fill="auto"/>
          <w:lang w:val="hr-HR" w:eastAsia="hr-HR" w:bidi="hr-HR"/>
        </w:rPr>
        <w:t xml:space="preserve"> tek s da</w:t>
        <w:softHyphen/>
        <w:t>našnjim rušenjem teorije o kršćanskom raz- baštinjenju s izjavama poput ove: »Kršćani i Židovi u svojem samopoimanju obilježeni su time što znaju da ih je jedne i druge Bog kao partnere odabrao u Savezu... Stoga se kršćani i Židovi mogu zajednički potruditi kako bi u svijetu ostvarili pravednost i mir te služili mi</w:t>
        <w:softHyphen/>
        <w:t>ru« (EKD 1975).</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D. </w:t>
      </w:r>
      <w:r>
        <w:rPr>
          <w:color w:val="000000"/>
          <w:spacing w:val="0"/>
          <w:w w:val="100"/>
          <w:position w:val="0"/>
          <w:shd w:val="clear" w:color="auto" w:fill="auto"/>
        </w:rPr>
        <w:t>Goldschmidt,</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J. Kraus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 xml:space="preserve">Der ungekiindigte </w:t>
      </w:r>
      <w:r>
        <w:rPr>
          <w:i/>
          <w:iCs/>
          <w:color w:val="000000"/>
          <w:spacing w:val="0"/>
          <w:w w:val="100"/>
          <w:position w:val="0"/>
          <w:shd w:val="clear" w:color="auto" w:fill="auto"/>
        </w:rPr>
        <w:t>Bund.</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1962; D. </w:t>
      </w:r>
      <w:r>
        <w:rPr>
          <w:color w:val="000000"/>
          <w:spacing w:val="0"/>
          <w:w w:val="100"/>
          <w:position w:val="0"/>
          <w:shd w:val="clear" w:color="auto" w:fill="auto"/>
        </w:rPr>
        <w:t xml:space="preserve">J. McCarthy, </w:t>
      </w:r>
      <w:r>
        <w:rPr>
          <w:i/>
          <w:iCs/>
          <w:color w:val="000000"/>
          <w:spacing w:val="0"/>
          <w:w w:val="100"/>
          <w:position w:val="0"/>
          <w:shd w:val="clear" w:color="auto" w:fill="auto"/>
          <w:lang w:val="hr-HR" w:eastAsia="hr-HR" w:bidi="hr-HR"/>
        </w:rPr>
        <w:t xml:space="preserve">Der Goltesbund ini Alten Testament. Ein Bericht iiber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Eorschungen der leti- ten Juhre-,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1966; </w:t>
      </w:r>
      <w:r>
        <w:rPr>
          <w:color w:val="000000"/>
          <w:spacing w:val="0"/>
          <w:w w:val="100"/>
          <w:position w:val="0"/>
          <w:shd w:val="clear" w:color="auto" w:fill="auto"/>
        </w:rPr>
        <w:t xml:space="preserve">J. L’Hour,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Ethik des Bundes- tradition im </w:t>
      </w:r>
      <w:r>
        <w:rPr>
          <w:i/>
          <w:iCs/>
          <w:color w:val="000000"/>
          <w:spacing w:val="0"/>
          <w:w w:val="100"/>
          <w:position w:val="0"/>
          <w:shd w:val="clear" w:color="auto" w:fill="auto"/>
        </w:rPr>
        <w:t>Alien Testament,</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1967; L Pcrlitt, </w:t>
      </w:r>
      <w:r>
        <w:rPr>
          <w:i/>
          <w:iCs/>
          <w:color w:val="000000"/>
          <w:spacing w:val="0"/>
          <w:w w:val="100"/>
          <w:position w:val="0"/>
          <w:shd w:val="clear" w:color="auto" w:fill="auto"/>
          <w:lang w:val="hr-HR" w:eastAsia="hr-HR" w:bidi="hr-HR"/>
        </w:rPr>
        <w:t xml:space="preserve">Bundestheoloffe im </w:t>
      </w:r>
      <w:r>
        <w:rPr>
          <w:i/>
          <w:iCs/>
          <w:color w:val="000000"/>
          <w:spacing w:val="0"/>
          <w:w w:val="100"/>
          <w:position w:val="0"/>
          <w:shd w:val="clear" w:color="auto" w:fill="auto"/>
        </w:rPr>
        <w:t xml:space="preserve">Alien </w:t>
      </w:r>
      <w:r>
        <w:rPr>
          <w:i/>
          <w:iCs/>
          <w:color w:val="000000"/>
          <w:spacing w:val="0"/>
          <w:w w:val="100"/>
          <w:position w:val="0"/>
          <w:shd w:val="clear" w:color="auto" w:fill="auto"/>
          <w:lang w:val="hr-HR" w:eastAsia="hr-HR" w:bidi="hr-HR"/>
        </w:rPr>
        <w:t>Testament,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Neukirchen </w:t>
      </w:r>
      <w:r>
        <w:rPr>
          <w:color w:val="000000"/>
          <w:spacing w:val="0"/>
          <w:w w:val="100"/>
          <w:position w:val="0"/>
          <w:shd w:val="clear" w:color="auto" w:fill="auto"/>
          <w:lang w:val="hr-HR" w:eastAsia="hr-HR" w:bidi="hr-HR"/>
        </w:rPr>
        <w:t xml:space="preserve">1969; FJ (1971), 12, natuknica Noacludc </w:t>
      </w:r>
      <w:r>
        <w:rPr>
          <w:color w:val="000000"/>
          <w:spacing w:val="0"/>
          <w:w w:val="100"/>
          <w:position w:val="0"/>
          <w:shd w:val="clear" w:color="auto" w:fill="auto"/>
        </w:rPr>
        <w:t xml:space="preserve">Laws, </w:t>
      </w:r>
      <w:r>
        <w:rPr>
          <w:color w:val="000000"/>
          <w:spacing w:val="0"/>
          <w:w w:val="100"/>
          <w:position w:val="0"/>
          <w:shd w:val="clear" w:color="auto" w:fill="auto"/>
          <w:lang w:val="hr-HR" w:eastAsia="hr-HR" w:bidi="hr-HR"/>
        </w:rPr>
        <w:t xml:space="preserve">1189 i d.; Rat der Evangclischcn Kjrchc </w:t>
      </w:r>
      <w:r>
        <w:rPr>
          <w:color w:val="000000"/>
          <w:spacing w:val="0"/>
          <w:w w:val="100"/>
          <w:position w:val="0"/>
          <w:shd w:val="clear" w:color="auto" w:fill="auto"/>
        </w:rPr>
        <w:t xml:space="preserve">in Deutschland </w:t>
      </w:r>
      <w:r>
        <w:rPr>
          <w:color w:val="000000"/>
          <w:spacing w:val="0"/>
          <w:w w:val="100"/>
          <w:position w:val="0"/>
          <w:shd w:val="clear" w:color="auto" w:fill="auto"/>
          <w:lang w:val="hr-HR" w:eastAsia="hr-HR" w:bidi="hr-HR"/>
        </w:rPr>
        <w:t xml:space="preserve">(EKD), </w:t>
      </w:r>
      <w:r>
        <w:rPr>
          <w:i/>
          <w:iCs/>
          <w:color w:val="000000"/>
          <w:spacing w:val="0"/>
          <w:w w:val="100"/>
          <w:position w:val="0"/>
          <w:shd w:val="clear" w:color="auto" w:fill="auto"/>
        </w:rPr>
        <w:t xml:space="preserve">Christen </w:t>
      </w:r>
      <w:r>
        <w:rPr>
          <w:i/>
          <w:iCs/>
          <w:color w:val="000000"/>
          <w:spacing w:val="0"/>
          <w:w w:val="100"/>
          <w:position w:val="0"/>
          <w:shd w:val="clear" w:color="auto" w:fill="auto"/>
          <w:lang w:val="hr-HR" w:eastAsia="hr-HR" w:bidi="hr-HR"/>
        </w:rPr>
        <w:t>und Juden,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Gutersloh </w:t>
      </w:r>
      <w:r>
        <w:rPr>
          <w:color w:val="000000"/>
          <w:spacing w:val="0"/>
          <w:w w:val="100"/>
          <w:position w:val="0"/>
          <w:shd w:val="clear" w:color="auto" w:fill="auto"/>
          <w:lang w:val="hr-HR" w:eastAsia="hr-HR" w:bidi="hr-HR"/>
        </w:rPr>
        <w:t xml:space="preserve">1975; R. Rcndtorff </w:t>
      </w:r>
      <w:r>
        <w:rPr>
          <w:color w:val="000000"/>
          <w:spacing w:val="0"/>
          <w:w w:val="100"/>
          <w:position w:val="0"/>
          <w:shd w:val="clear" w:color="auto" w:fill="auto"/>
        </w:rPr>
        <w:t xml:space="preserve">(Hrsg.), Arbictsbuch </w:t>
      </w:r>
      <w:r>
        <w:rPr>
          <w:color w:val="000000"/>
          <w:spacing w:val="0"/>
          <w:w w:val="100"/>
          <w:position w:val="0"/>
          <w:shd w:val="clear" w:color="auto" w:fill="auto"/>
          <w:lang w:val="hr-HR" w:eastAsia="hr-HR" w:bidi="hr-HR"/>
        </w:rPr>
        <w:t xml:space="preserve">zu </w:t>
      </w:r>
      <w:r>
        <w:rPr>
          <w:i/>
          <w:iCs/>
          <w:color w:val="000000"/>
          <w:spacing w:val="0"/>
          <w:w w:val="100"/>
          <w:position w:val="0"/>
          <w:shd w:val="clear" w:color="auto" w:fill="auto"/>
        </w:rPr>
        <w:t xml:space="preserve">»Christen und </w:t>
      </w:r>
      <w:r>
        <w:rPr>
          <w:i/>
          <w:iCs/>
          <w:color w:val="000000"/>
          <w:spacing w:val="0"/>
          <w:w w:val="100"/>
          <w:position w:val="0"/>
          <w:shd w:val="clear" w:color="auto" w:fill="auto"/>
          <w:lang w:val="hr-HR" w:eastAsia="hr-HR" w:bidi="hr-HR"/>
        </w:rPr>
        <w:t>Juden*,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Gutersloh 1979.</w:t>
      </w:r>
    </w:p>
    <w:p>
      <w:pPr>
        <w:pStyle w:val="Style74"/>
        <w:keepNext w:val="0"/>
        <w:keepLines w:val="0"/>
        <w:widowControl w:val="0"/>
        <w:shd w:val="clear" w:color="auto" w:fill="auto"/>
        <w:bidi w:val="0"/>
        <w:spacing w:before="0" w:after="280"/>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P. NAVE LEVINSON</w:t>
      </w:r>
    </w:p>
    <w:p>
      <w:pPr>
        <w:pStyle w:val="Style63"/>
        <w:keepNext/>
        <w:keepLines/>
        <w:widowControl w:val="0"/>
        <w:numPr>
          <w:ilvl w:val="0"/>
          <w:numId w:val="489"/>
        </w:numPr>
        <w:shd w:val="clear" w:color="auto" w:fill="auto"/>
        <w:tabs>
          <w:tab w:pos="255" w:val="left"/>
        </w:tabs>
        <w:bidi w:val="0"/>
        <w:spacing w:before="0" w:after="120" w:line="226" w:lineRule="auto"/>
        <w:ind w:left="0" w:right="0" w:firstLine="0"/>
        <w:jc w:val="both"/>
      </w:pPr>
      <w:bookmarkStart w:id="319" w:name="bookmark31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19"/>
    </w:p>
    <w:p>
      <w:pPr>
        <w:pStyle w:val="Style20"/>
        <w:keepNext w:val="0"/>
        <w:keepLines w:val="0"/>
        <w:widowControl w:val="0"/>
        <w:shd w:val="clear" w:color="auto" w:fill="auto"/>
        <w:bidi w:val="0"/>
        <w:spacing w:before="0" w:after="120" w:line="259" w:lineRule="auto"/>
        <w:ind w:left="0" w:right="0" w:firstLine="0"/>
        <w:jc w:val="both"/>
        <w:sectPr>
          <w:headerReference w:type="default" r:id="rId1299"/>
          <w:footerReference w:type="default" r:id="rId1300"/>
          <w:headerReference w:type="even" r:id="rId1301"/>
          <w:footerReference w:type="even" r:id="rId1302"/>
          <w:footnotePr>
            <w:pos w:val="pageBottom"/>
            <w:numFmt w:val="decimal"/>
            <w:numRestart w:val="continuous"/>
            <w15:footnoteColumns w:val="1"/>
          </w:footnotePr>
          <w:pgSz w:w="6816" w:h="11006"/>
          <w:pgMar w:top="973" w:left="189" w:right="195" w:bottom="516" w:header="0" w:footer="3" w:gutter="0"/>
          <w:pgNumType w:start="428"/>
          <w:cols w:num="2" w:space="1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Predodžba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Savezu kao posebnoj povezanosti Boga s ljudima zajednička je kršćanstvu i židov</w:t>
        <w:softHyphen/>
        <w:t>stvu i po njoj je kršćanstvo povijesno-religijski i teološki na sasvim poseban način vezano uz ži</w:t>
        <w:softHyphen/>
        <w:t>dovstvo. Razlikovanjem savezničkog odnosa iz</w:t>
        <w:softHyphen/>
        <w:t>među Boga i čovječanstva na »stari« i na »novi S.«, pri čemu se kršćanstvo shvaća kao ispu</w:t>
        <w:softHyphen/>
        <w:t>njenje i dokidanje »staroga Saveza« u »novi Božji narod«, ovo je zajedničko naslijede Ži</w:t>
        <w:softHyphen/>
        <w:t>dova i kršćana bilo u povijesti istodobno pola</w:t>
        <w:softHyphen/>
        <w:t>zište za duboke sukobe i progone.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Pritom jc teološki neosporno da se s kršćan</w:t>
        <w:softHyphen/>
        <w:t>ske strane može govoriti o Savezu samo po</w:t>
        <w:softHyphen/>
        <w:t>vezano sa židovskim shvaćanjem Saveza i oslanjajući se na njega. Židovstvu jc ideja Sa</w:t>
        <w:softHyphen/>
        <w:t>veza, kao sociološko-pravna zamisao, zajed</w:t>
        <w:softHyphen/>
        <w:t>nička s mnogim drugim narodima Bliskog is</w:t>
        <w:softHyphen/>
        <w:t>toka. S. je čvrsta obveza i trajno zajedništvo dvaju partnera koje se ostvaruje sklapanjem saveza, pozivajući se na Boga kao jamca i svje</w:t>
        <w:softHyphen/>
        <w:t>doka. Za S. u njegovu teološkom shvaćanju postao jc prije svega značajan s. između društ</w:t>
        <w:softHyphen/>
        <w:t>veno nejednakih partnera - kao što su pobjed</w:t>
        <w:softHyphen/>
        <w:t>nik i pobijeđeni, kralj i feudalci itd. Prema do</w:t>
        <w:softHyphen/>
        <w:t>kazanom svjedočanstvu Staroga zavjeta, Izrael je svoj odnos prema Bogu vidio na osobit na</w:t>
        <w:softHyphen/>
        <w:t xml:space="preserve">čin određen odnosom Saveza. Pritom se može pokazati kako se razvijala misao o Savezu. Središnje mjesto zauzima Sinajski S. kojim jc dvanaest izraelskih plemena na poseban način postalo narod u vlasništvu </w:t>
      </w:r>
      <w:r>
        <w:rPr>
          <w:rFonts w:ascii="Times New Roman" w:eastAsia="Times New Roman" w:hAnsi="Times New Roman" w:cs="Times New Roman"/>
          <w:i/>
          <w:iCs/>
          <w:color w:val="000000"/>
          <w:spacing w:val="0"/>
          <w:w w:val="100"/>
          <w:position w:val="0"/>
          <w:shd w:val="clear" w:color="auto" w:fill="auto"/>
          <w:lang w:val="hr-HR" w:eastAsia="hr-HR" w:bidi="hr-HR"/>
        </w:rPr>
        <w:t>jednoga</w:t>
      </w:r>
      <w:r>
        <w:rPr>
          <w:rFonts w:ascii="Times New Roman" w:eastAsia="Times New Roman" w:hAnsi="Times New Roman" w:cs="Times New Roman"/>
          <w:color w:val="000000"/>
          <w:spacing w:val="0"/>
          <w:w w:val="100"/>
          <w:position w:val="0"/>
          <w:shd w:val="clear" w:color="auto" w:fill="auto"/>
          <w:lang w:val="hr-HR" w:eastAsia="hr-HR" w:bidi="hr-HR"/>
        </w:rPr>
        <w:t xml:space="preserve"> Boga koji je oslobodio svoj narod iz egipatskog ropstva (lzl 19-24). Bog odabire slobodnim milosnim izborom Izrael kao svoj narod; narod sveča</w:t>
        <w:softHyphen/>
        <w:t>nim sklapanjem Saveza preuzima zakon Sa</w:t>
        <w:softHyphen/>
        <w:t>veza (Dekalog) kao svetu obvezu. Sinajski s. pripravljen jc posebnim Božjim odnosom pre</w:t>
        <w:softHyphen/>
        <w:t>ma patrijarsima koji se izražava obećanjima i sklapanjem Saveza s njima. Bog sklapa pose</w:t>
        <w:softHyphen/>
        <w:t>ban S. s Abrahamom (Post 15) koji sadrži obećanje zemlje i obećanje blagoslova. 1 Izak izvješćuje o posebnom Savezu (Post 26,28). Kad je kasnije nastalo kraljevstvo, došlo je do posebne situacije uslijed protezanja ideje Sa</w:t>
        <w:softHyphen/>
        <w:t>veza na monarhiju. S Davidom i njegovom ku</w:t>
        <w:softHyphen/>
        <w:t>ćom sklopljen jc »vječni S.« (2 Sam 23,5; usp. 2 Sam 7; 2 Ljet 13,5) koji ima svoje mjesto unutar središnjeg Sinajskog saveza. Novo teo</w:t>
        <w:softHyphen/>
        <w:t>loško stavljanje naglaska doživljava zamisao Saveza u deuteronomijskoj povijesti. S obzi</w:t>
        <w:softHyphen/>
        <w:t>rom na političko i moralno propadanje stvara se zamisao o obnovi Saveza i naglašava se Božji milosni izbor zajedno s Izraelovim ob</w:t>
        <w:softHyphen/>
        <w:t>vezama (Pnz 8,11-20). U svećeničkoj predaji javlja se S. (s Noom Post 9,9-17 i Abrahamom Post 17,1-22) kao slobodna Božja odluka koja nije vezana uz vjernost ljudi, a u Noinom sa</w:t>
        <w:softHyphen/>
        <w:t>vezu proteže se i izvan Izraela na cijelo čo</w:t>
        <w:softHyphen/>
        <w:t>vječanstvo.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Proroci se, s obzirom na Izraelovo otpadništvo i grijehe, kritički postavljaju prema Božjem savezu s njegovim narodom. Jeremija, Hošea,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 xml:space="preserve">i ostali proroci pokazuju da jc Izrael </w:t>
      </w:r>
      <w:r>
        <w:rPr>
          <w:rFonts w:ascii="Times New Roman" w:eastAsia="Times New Roman" w:hAnsi="Times New Roman" w:cs="Times New Roman"/>
          <w:color w:val="000000"/>
          <w:spacing w:val="0"/>
          <w:w w:val="100"/>
          <w:position w:val="0"/>
          <w:shd w:val="clear" w:color="auto" w:fill="auto"/>
          <w:lang w:val="hr-HR" w:eastAsia="hr-HR" w:bidi="hr-HR"/>
        </w:rPr>
        <w:t>svojim grijesima raskinuo S. i zaslužio kaznu (Jr 11,1 17, Hoš 2, Ez 16). Naspram nevjer- nosti Izraelova naroda, koja se neprestano ponavlja, stoji neusporediva Božja vjernost svomu narodu (Jr 3,6-8; Iz 30,19 i d.). Ostatak će biti spašen i Bog će pripraviti »novi S.« (Jr 31,31-34; 32, 37^11; Ez 16, 60-63; 34, 25-31) koji proizlazi iz Božje praštajuće ljubavi i nad- mašuje stari S. Kao posrednika toga saveza Deutero-Izaija spominje Božjeg Slugu koji trpi (Iz 42,6 i d.; 49,6; 53) i proširuje S. na univerzalnu daljinu, naviještajući prihvaćanje pogana (Iz 55,3-5; 49,6). Središnja izjava no- vozavjetnih Pisama i zasigurno mladoga krš</w:t>
        <w:softHyphen/>
        <w:t>ćanstva je izjava da je Bog u Isusu iz Nazareta obznanio novi S. s čovječanstvom, koji su pro</w:t>
        <w:softHyphen/>
        <w:t>roci naviještali, pa su se time stara obećanja ispunila. To se najjasnije događa u izvješćima o odvijanju Posljednje večere na kojoj se po predaji o riječima nad kaležom (krv Saveza prolivena za oproštenje grijeha Mt 26,28; Mk 14,24) ne treba previdjeti ukazivanje na lzl 24,8, dok Lk 22,20 (usp. 1 Kor 11,25) izričito uzima Jcrcmijinu riječ (31,31) i vidi u Isusovu činu utemeljen novi S. U Pavlovim poslani</w:t>
        <w:softHyphen/>
        <w:t>cama, a najizričitije u Poslanici Hehrejima, slijedi razlikovanje »novog Saveza«, tj. kršćan</w:t>
        <w:softHyphen/>
        <w:t>stva od »starog Saveza«, židovstva. Sinajski s. je u novom, univerzalnom, spasenjskom Save</w:t>
        <w:softHyphen/>
        <w:t>zu Isusa iz Nazareta poništen i ispunjen (2 Kor 3,6-18, Gal 4,21-31; Ef 2,12-18, Heb 9,9 i d.; 10,1). Pavlovi iskazi, koji drugačije zvuče (Rim 9-11), nisu nažalost u povijesti teologije sve do našega vremena naišli na pozornost koju zaslužuju, a možda bi omogućili manje tragično odvijanje povijesti.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Povijest paralelnosti »staroga« i »novoga Sa</w:t>
        <w:softHyphen/>
        <w:t>veza« nije postala povijest uzajamnog susreta, oplođivanja i dopunjavanja, nego povijest su</w:t>
        <w:softHyphen/>
        <w:t>protstavljanja koja teško opterećuje kršćanstvo. Uz postavku da jc Sinajski s. poništen u krš</w:t>
        <w:softHyphen/>
        <w:t xml:space="preserve">ćanstvu, da su </w:t>
      </w:r>
      <w:r>
        <w:rPr>
          <w:rFonts w:ascii="Times New Roman" w:eastAsia="Times New Roman" w:hAnsi="Times New Roman" w:cs="Times New Roman"/>
          <w:color w:val="000000"/>
          <w:spacing w:val="0"/>
          <w:w w:val="100"/>
          <w:position w:val="0"/>
          <w:shd w:val="clear" w:color="auto" w:fill="auto"/>
          <w:lang w:val="en-US" w:eastAsia="en-US" w:bidi="en-US"/>
        </w:rPr>
        <w:t xml:space="preserve">time </w:t>
      </w:r>
      <w:r>
        <w:rPr>
          <w:rFonts w:ascii="Times New Roman" w:eastAsia="Times New Roman" w:hAnsi="Times New Roman" w:cs="Times New Roman"/>
          <w:color w:val="000000"/>
          <w:spacing w:val="0"/>
          <w:w w:val="100"/>
          <w:position w:val="0"/>
          <w:shd w:val="clear" w:color="auto" w:fill="auto"/>
          <w:lang w:val="hr-HR" w:eastAsia="hr-HR" w:bidi="hr-HR"/>
        </w:rPr>
        <w:t>Židovi odbačeni i daje nji</w:t>
        <w:softHyphen/>
        <w:t>hovo vjerovanje u stari S. s Bogom i njegovim narodom postalo isprazno, nije dakako bio moguć nikakav dijalog i nikakav susret sa Ži</w:t>
        <w:softHyphen/>
        <w:t>dovima.</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Uspostavljanjem dijaloga između Židova i kršćana zadnjih desetljeća nakon događaja u Drugom svjetskom ratu, kada su Židovi uniš</w:t>
        <w:softHyphen/>
        <w:t>tavani, poduzima se teološki pokušaj da se iznova promisli teologija Saveza. Pritom se ra</w:t>
        <w:softHyphen/>
        <w:t xml:space="preserve">di o temeljnoj izjavi kršćanske teologije: U </w:t>
      </w:r>
      <w:r>
        <w:rPr>
          <w:rFonts w:ascii="Times New Roman" w:eastAsia="Times New Roman" w:hAnsi="Times New Roman" w:cs="Times New Roman"/>
          <w:color w:val="000000"/>
          <w:spacing w:val="0"/>
          <w:w w:val="100"/>
          <w:position w:val="0"/>
          <w:shd w:val="clear" w:color="auto" w:fill="auto"/>
          <w:lang w:val="hr-HR" w:eastAsia="hr-HR" w:bidi="hr-HR"/>
        </w:rPr>
        <w:t>novom je Savezu poništen stari S. Za teologe, koji žele ozbiljno uzeti dijalog sa Židovima, nesumnjivo je da ta izjava mora otpasti i da je dijalog moguć samo na temelju Božje nepo</w:t>
        <w:softHyphen/>
        <w:t>kolebljive vjernosti obećanjima svom narodu tj. Židovima. Slijedeći Rim 9-11, francuska Biskupska konferencija daje izjavu kao prvi službeni crkveni dokument 1973: »Prvi S. nije otpao uslijed novoga Saveza. Prvi je S. korijen i izvor novoga Saveza, njegov temelj i obe</w:t>
        <w:softHyphen/>
        <w:t>ćanje.« Pokušaji razvoja nove teologije Saveza još nisu doveli do općeprihvaćenog rezultata unutar kršćanske teologije. Da bi došlo do di</w:t>
        <w:softHyphen/>
        <w:t>jaloga sa židovstvom, šanse pruža razlikovanje između »ispunjenog« i »neispunjenog mesija- nizma« (R. Ruether). Iz eshatološke perspek</w:t>
        <w:softHyphen/>
        <w:t>tive da i kršćanstvo čeka na ispunjenje konač</w:t>
        <w:softHyphen/>
        <w:t>noga mesijanskog obećanja, dade se s jedne strane izbjeći trijumfalistićki stav krive »teolo</w:t>
        <w:softHyphen/>
        <w:t>gije ispunjenja«, a s druge se strane pruža prostor da se zajedno sa Židovima govori o izostavljenom ispunjenju Božjih obećanja.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P. E. </w:t>
      </w:r>
      <w:r>
        <w:rPr>
          <w:color w:val="000000"/>
          <w:spacing w:val="0"/>
          <w:w w:val="100"/>
          <w:position w:val="0"/>
          <w:shd w:val="clear" w:color="auto" w:fill="auto"/>
        </w:rPr>
        <w:t xml:space="preserve">Mendenhall, </w:t>
      </w:r>
      <w:r>
        <w:rPr>
          <w:i/>
          <w:iCs/>
          <w:color w:val="000000"/>
          <w:spacing w:val="0"/>
          <w:w w:val="100"/>
          <w:position w:val="0"/>
          <w:shd w:val="clear" w:color="auto" w:fill="auto"/>
        </w:rPr>
        <w:t>Law and Covenant in Israel and the Ancient Near East,</w:t>
      </w:r>
      <w:r>
        <w:rPr>
          <w:color w:val="000000"/>
          <w:spacing w:val="0"/>
          <w:w w:val="100"/>
          <w:position w:val="0"/>
          <w:shd w:val="clear" w:color="auto" w:fill="auto"/>
        </w:rPr>
        <w:t xml:space="preserve"> Pittsburgh 1955; L. Krinctzki, </w:t>
      </w:r>
      <w:r>
        <w:rPr>
          <w:i/>
          <w:iCs/>
          <w:color w:val="000000"/>
          <w:spacing w:val="0"/>
          <w:w w:val="100"/>
          <w:position w:val="0"/>
          <w:shd w:val="clear" w:color="auto" w:fill="auto"/>
        </w:rPr>
        <w:t>Der Bund GoUes nut den Menschen nach dem Alien Testament und Neuen Testament,</w:t>
      </w:r>
      <w:r>
        <w:rPr>
          <w:color w:val="000000"/>
          <w:spacing w:val="0"/>
          <w:w w:val="100"/>
          <w:position w:val="0"/>
          <w:shd w:val="clear" w:color="auto" w:fill="auto"/>
        </w:rPr>
        <w:t xml:space="preserve"> Dusseldorf 1963; J. Haspcckcr, </w:t>
      </w:r>
      <w:r>
        <w:rPr>
          <w:color w:val="000000"/>
          <w:spacing w:val="0"/>
          <w:w w:val="100"/>
          <w:position w:val="0"/>
          <w:shd w:val="clear" w:color="auto" w:fill="auto"/>
          <w:lang w:val="hr-HR" w:eastAsia="hr-HR" w:bidi="hr-HR"/>
        </w:rPr>
        <w:t>natuk</w:t>
        <w:softHyphen/>
        <w:t xml:space="preserve">nica: </w:t>
      </w:r>
      <w:r>
        <w:rPr>
          <w:color w:val="000000"/>
          <w:spacing w:val="0"/>
          <w:w w:val="100"/>
          <w:position w:val="0"/>
          <w:shd w:val="clear" w:color="auto" w:fill="auto"/>
        </w:rPr>
        <w:t xml:space="preserve">Bund, u: HThG; Gazelles, </w:t>
      </w:r>
      <w:r>
        <w:rPr>
          <w:color w:val="000000"/>
          <w:spacing w:val="0"/>
          <w:w w:val="100"/>
          <w:position w:val="0"/>
          <w:shd w:val="clear" w:color="auto" w:fill="auto"/>
          <w:lang w:val="hr-HR" w:eastAsia="hr-HR" w:bidi="hr-HR"/>
        </w:rPr>
        <w:t xml:space="preserve">natuknica: </w:t>
      </w:r>
      <w:r>
        <w:rPr>
          <w:color w:val="000000"/>
          <w:spacing w:val="0"/>
          <w:w w:val="100"/>
          <w:position w:val="0"/>
          <w:shd w:val="clear" w:color="auto" w:fill="auto"/>
        </w:rPr>
        <w:t xml:space="preserve">Bund,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SM I, 642-652; R. R. Geis, </w:t>
      </w:r>
      <w:r>
        <w:rPr>
          <w:i/>
          <w:iCs/>
          <w:color w:val="000000"/>
          <w:spacing w:val="0"/>
          <w:w w:val="100"/>
          <w:position w:val="0"/>
          <w:shd w:val="clear" w:color="auto" w:fill="auto"/>
        </w:rPr>
        <w:t>Gottes Minoritdt,</w:t>
      </w:r>
      <w:r>
        <w:rPr>
          <w:color w:val="000000"/>
          <w:spacing w:val="0"/>
          <w:w w:val="100"/>
          <w:position w:val="0"/>
          <w:shd w:val="clear" w:color="auto" w:fill="auto"/>
        </w:rPr>
        <w:t xml:space="preserve"> Munchcn 1971; R. Ruethcr, </w:t>
      </w:r>
      <w:r>
        <w:rPr>
          <w:i/>
          <w:iCs/>
          <w:color w:val="000000"/>
          <w:spacing w:val="0"/>
          <w:w w:val="100"/>
          <w:position w:val="0"/>
          <w:shd w:val="clear" w:color="auto" w:fill="auto"/>
        </w:rPr>
        <w:t>Nachstenliebe und Gottesmord,</w:t>
      </w:r>
      <w:r>
        <w:rPr>
          <w:color w:val="000000"/>
          <w:spacing w:val="0"/>
          <w:w w:val="100"/>
          <w:position w:val="0"/>
          <w:shd w:val="clear" w:color="auto" w:fill="auto"/>
        </w:rPr>
        <w:t xml:space="preserve"> MOnchcn 1978.</w:t>
      </w:r>
    </w:p>
    <w:p>
      <w:pPr>
        <w:pStyle w:val="Style74"/>
        <w:keepNext w:val="0"/>
        <w:keepLines w:val="0"/>
        <w:widowControl w:val="0"/>
        <w:shd w:val="clear" w:color="auto" w:fill="auto"/>
        <w:bidi w:val="0"/>
        <w:spacing w:before="0" w:after="22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G. EVERS</w:t>
      </w:r>
    </w:p>
    <w:p>
      <w:pPr>
        <w:pStyle w:val="Style63"/>
        <w:keepNext/>
        <w:keepLines/>
        <w:widowControl w:val="0"/>
        <w:numPr>
          <w:ilvl w:val="0"/>
          <w:numId w:val="489"/>
        </w:numPr>
        <w:shd w:val="clear" w:color="auto" w:fill="auto"/>
        <w:tabs>
          <w:tab w:pos="260" w:val="left"/>
        </w:tabs>
        <w:bidi w:val="0"/>
        <w:spacing w:before="0" w:after="80" w:line="223" w:lineRule="auto"/>
        <w:ind w:left="0" w:right="0" w:firstLine="0"/>
        <w:jc w:val="both"/>
      </w:pPr>
      <w:bookmarkStart w:id="320" w:name="bookmark320"/>
      <w:r>
        <w:rPr>
          <w:rFonts w:ascii="Times New Roman" w:eastAsia="Times New Roman" w:hAnsi="Times New Roman" w:cs="Times New Roman"/>
          <w:color w:val="000000"/>
          <w:spacing w:val="0"/>
          <w:w w:val="100"/>
          <w:position w:val="0"/>
          <w:shd w:val="clear" w:color="auto" w:fill="auto"/>
          <w:lang w:val="hr-HR" w:eastAsia="hr-HR" w:bidi="hr-HR"/>
        </w:rPr>
        <w:t>islamski</w:t>
      </w:r>
      <w:bookmarkEnd w:id="320"/>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Teološki sadržaj Saveza između Boga i čovje</w:t>
        <w:softHyphen/>
        <w:t>ka, koji je postuliran u hebrejskoj Bibliji, is</w:t>
        <w:softHyphen/>
        <w:t>lam zastupa u vrlo oslabljenoj formi. Jedina slaba polazišna točka za provođenje ove teo</w:t>
        <w:softHyphen/>
        <w:t xml:space="preserve">logije jest jedno mjesto iz Kurana, na kojemu se izvješćuje o prvom susretu svjesnim posta- loga čovjeka s Bogom. Praiskonsko pitanje, koje je Bog pritom postavio čovjeku, prema Kuranu glasi: »Zar ja nisam vaš Gospodar?« (7,171). Time je započeo međusobni odnos </w:t>
      </w:r>
      <w:r>
        <w:rPr>
          <w:rFonts w:ascii="Times New Roman" w:eastAsia="Times New Roman" w:hAnsi="Times New Roman" w:cs="Times New Roman"/>
          <w:i/>
          <w:iCs/>
          <w:color w:val="000000"/>
          <w:spacing w:val="0"/>
          <w:w w:val="100"/>
          <w:position w:val="0"/>
          <w:shd w:val="clear" w:color="auto" w:fill="auto"/>
          <w:lang w:val="hr-HR" w:eastAsia="hr-HR" w:bidi="hr-HR"/>
        </w:rPr>
        <w:t>Bog : čovjek.</w:t>
      </w:r>
      <w:r>
        <w:rPr>
          <w:rFonts w:ascii="Times New Roman" w:eastAsia="Times New Roman" w:hAnsi="Times New Roman" w:cs="Times New Roman"/>
          <w:color w:val="000000"/>
          <w:spacing w:val="0"/>
          <w:w w:val="100"/>
          <w:position w:val="0"/>
          <w:shd w:val="clear" w:color="auto" w:fill="auto"/>
          <w:lang w:val="hr-HR" w:eastAsia="hr-HR" w:bidi="hr-HR"/>
        </w:rPr>
        <w:t xml:space="preserve"> Potvrdan odgovor upitanih, koji bilježi Kuran, razumije se kao »S.« prije svega u islamskoj mistici. No inače taj pojam nema nikakve relevantnosti u islamskom teološkom mišljenju.</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Ipak je misli o međusobnoj obvezi </w:t>
      </w:r>
      <w:r>
        <w:rPr>
          <w:rFonts w:ascii="Times New Roman" w:eastAsia="Times New Roman" w:hAnsi="Times New Roman" w:cs="Times New Roman"/>
          <w:i/>
          <w:iCs/>
          <w:color w:val="000000"/>
          <w:spacing w:val="0"/>
          <w:w w:val="100"/>
          <w:position w:val="0"/>
          <w:shd w:val="clear" w:color="auto" w:fill="auto"/>
          <w:lang w:val="en-US" w:eastAsia="en-US" w:bidi="en-US"/>
        </w:rPr>
        <w:t xml:space="preserve">(al-mitaq) </w:t>
      </w:r>
      <w:r>
        <w:rPr>
          <w:rFonts w:ascii="Times New Roman" w:eastAsia="Times New Roman" w:hAnsi="Times New Roman" w:cs="Times New Roman"/>
          <w:color w:val="000000"/>
          <w:spacing w:val="0"/>
          <w:w w:val="100"/>
          <w:position w:val="0"/>
          <w:shd w:val="clear" w:color="auto" w:fill="auto"/>
          <w:lang w:val="hr-HR" w:eastAsia="hr-HR" w:bidi="hr-HR"/>
        </w:rPr>
        <w:t>u »Savezu« bliska kuranska predodžba o čo</w:t>
        <w:softHyphen/>
        <w:t xml:space="preserve">vjeku kao Božjem predstavniku na zemlji. Ta je časna misija apsolutne vrste, tj. nijedan čovjek nije isključen iz nje. No dioništvo u </w:t>
      </w:r>
      <w:r>
        <w:rPr>
          <w:rFonts w:ascii="Times New Roman" w:eastAsia="Times New Roman" w:hAnsi="Times New Roman" w:cs="Times New Roman"/>
          <w:color w:val="000000"/>
          <w:spacing w:val="0"/>
          <w:w w:val="100"/>
          <w:position w:val="0"/>
          <w:shd w:val="clear" w:color="auto" w:fill="auto"/>
          <w:lang w:val="hr-HR" w:eastAsia="hr-HR" w:bidi="hr-HR"/>
        </w:rPr>
        <w:t>vječnome spasenju priznaje se samo onima koji su na ono praiskonsko pitanje »Zar ja ni</w:t>
        <w:softHyphen/>
        <w:t xml:space="preserve">sam vaš Gospodar« odgovorili s </w:t>
      </w:r>
      <w:r>
        <w:rPr>
          <w:rFonts w:ascii="Times New Roman" w:eastAsia="Times New Roman" w:hAnsi="Times New Roman" w:cs="Times New Roman"/>
          <w:i/>
          <w:iCs/>
          <w:color w:val="000000"/>
          <w:spacing w:val="0"/>
          <w:w w:val="100"/>
          <w:position w:val="0"/>
          <w:shd w:val="clear" w:color="auto" w:fill="auto"/>
          <w:lang w:val="hr-HR" w:eastAsia="hr-HR" w:bidi="hr-HR"/>
        </w:rPr>
        <w:t>bala</w:t>
      </w:r>
      <w:r>
        <w:rPr>
          <w:rFonts w:ascii="Times New Roman" w:eastAsia="Times New Roman" w:hAnsi="Times New Roman" w:cs="Times New Roman"/>
          <w:color w:val="000000"/>
          <w:spacing w:val="0"/>
          <w:w w:val="100"/>
          <w:position w:val="0"/>
          <w:shd w:val="clear" w:color="auto" w:fill="auto"/>
          <w:lang w:val="hr-HR" w:eastAsia="hr-HR" w:bidi="hr-HR"/>
        </w:rPr>
        <w:t xml:space="preserve"> (Da, mi svjedočimo). Osim pravih muslimana takvi su još i al-kitab (»sljedbenici Knjige«), naime Ži</w:t>
        <w:softHyphen/>
        <w:t>dovi i kršćani koji djeluju sukladno zahtjevima Knjige.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Knjizi postanka (12,13; 18,18) posvjedočena predodžba o Abrahamu kao blagoslovu za sve narode živi dalje u islamu i vrlo se jasno iz</w:t>
        <w:softHyphen/>
        <w:t xml:space="preserve">ražava u jednoj molitvi-zamolnici (du’a) koja se svagda izriče s molitvenoga mjesta (Balić, </w:t>
      </w:r>
      <w:r>
        <w:rPr>
          <w:rFonts w:ascii="Times New Roman" w:eastAsia="Times New Roman" w:hAnsi="Times New Roman" w:cs="Times New Roman"/>
          <w:i/>
          <w:iCs/>
          <w:color w:val="000000"/>
          <w:spacing w:val="0"/>
          <w:w w:val="100"/>
          <w:position w:val="0"/>
          <w:shd w:val="clear" w:color="auto" w:fill="auto"/>
          <w:lang w:val="en-US" w:eastAsia="en-US" w:bidi="en-US"/>
        </w:rPr>
        <w:t>Ruf vom Minarett,</w:t>
      </w:r>
      <w:r>
        <w:rPr>
          <w:rFonts w:ascii="Times New Roman" w:eastAsia="Times New Roman" w:hAnsi="Times New Roman" w:cs="Times New Roman"/>
          <w:color w:val="000000"/>
          <w:spacing w:val="0"/>
          <w:w w:val="100"/>
          <w:position w:val="0"/>
          <w:shd w:val="clear" w:color="auto" w:fill="auto"/>
          <w:lang w:val="en-US" w:eastAsia="en-US" w:bidi="en-US"/>
        </w:rPr>
        <w:t xml:space="preserve"> Wien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1979, 41-42). U obe</w:t>
        <w:softHyphen/>
        <w:t>ćanje o »Savezu« uključeni su i svi nasljednici patrijarha počevši s Izakom i Jišmaclom. Pri</w:t>
        <w:softHyphen/>
        <w:t xml:space="preserve">padnost muslimana toj manje genealoškoj a više idealnoj zajednici omogućuje naposljetku da se shvati zašto Bog daje obećanje: »Mi smo vas učinili najboljom sržnom zajednicom </w:t>
      </w:r>
      <w:r>
        <w:rPr>
          <w:rFonts w:ascii="Times New Roman" w:eastAsia="Times New Roman" w:hAnsi="Times New Roman" w:cs="Times New Roman"/>
          <w:color w:val="000000"/>
          <w:spacing w:val="0"/>
          <w:w w:val="100"/>
          <w:position w:val="0"/>
          <w:shd w:val="clear" w:color="auto" w:fill="auto"/>
          <w:lang w:val="en-US" w:eastAsia="en-US" w:bidi="en-US"/>
        </w:rPr>
        <w:t>(um</w:t>
        <w:softHyphen/>
        <w:t xml:space="preserve">ma) </w:t>
      </w:r>
      <w:r>
        <w:rPr>
          <w:rFonts w:ascii="Times New Roman" w:eastAsia="Times New Roman" w:hAnsi="Times New Roman" w:cs="Times New Roman"/>
          <w:color w:val="000000"/>
          <w:spacing w:val="0"/>
          <w:w w:val="100"/>
          <w:position w:val="0"/>
          <w:shd w:val="clear" w:color="auto" w:fill="auto"/>
          <w:lang w:val="hr-HR" w:eastAsia="hr-HR" w:bidi="hr-HR"/>
        </w:rPr>
        <w:t>koja je stvorena za svijet«.</w:t>
      </w:r>
    </w:p>
    <w:p>
      <w:pPr>
        <w:pStyle w:val="Style20"/>
        <w:keepNext w:val="0"/>
        <w:keepLines w:val="0"/>
        <w:widowControl w:val="0"/>
        <w:shd w:val="clear" w:color="auto" w:fill="auto"/>
        <w:bidi w:val="0"/>
        <w:spacing w:before="0" w:after="10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Osjećaj posebne bliskosti Bogu, koji se može objasniti samo osjećajem »sudioništva u Sa</w:t>
        <w:softHyphen/>
        <w:t>vezu«, nerijetko je određivao radnje pojedinih vjernika kao i običnoga puka. Sasvim na crti načina ponašanja židovskih rabina, koji je du</w:t>
        <w:softHyphen/>
        <w:t>boko ukorijenjen u mentalitetu Saveza, leži motiv prepiranja s Bogom u narednoj sufij- skoj pripovijesti: Gladni sufija (mistik) ide pustinjom i sit svoje situacije žali se pred Bo</w:t>
        <w:softHyphen/>
        <w:t>gom: »Ima li ikoga na svijetu tko je gladniji od mene?« Nakon toga čuje glas Božji: »Pokazat ću ti jednoga koji je još gladniji od tebe«. Po</w:t>
        <w:softHyphen/>
        <w:t>tom dođe izgladnjeli vuk i napade pobožnika. Čovjek zavapi: »O, Gospodine, nemoj je ubiti na tako žalostan način! Vidio sam tko je glad</w:t>
        <w:softHyphen/>
        <w:t>niji od mene. Sada sam sitiji od svih drugih. Ubuduće ću te moliti samo za život«. Tada ga vuk pusti i odjuri u pustinju. Osjećaj pripad</w:t>
        <w:softHyphen/>
        <w:t>nosti Božjemu Savezu pokazuje i tužaljka jed</w:t>
        <w:softHyphen/>
        <w:t xml:space="preserve">noga turskog pjesnika </w:t>
      </w:r>
      <w:r>
        <w:rPr>
          <w:rFonts w:ascii="Times New Roman" w:eastAsia="Times New Roman" w:hAnsi="Times New Roman" w:cs="Times New Roman"/>
          <w:color w:val="000000"/>
          <w:spacing w:val="0"/>
          <w:w w:val="100"/>
          <w:position w:val="0"/>
          <w:shd w:val="clear" w:color="auto" w:fill="auto"/>
          <w:lang w:val="en-US" w:eastAsia="en-US" w:bidi="en-US"/>
        </w:rPr>
        <w:t xml:space="preserve">(Uweja Wcyslja), </w:t>
      </w:r>
      <w:r>
        <w:rPr>
          <w:rFonts w:ascii="Times New Roman" w:eastAsia="Times New Roman" w:hAnsi="Times New Roman" w:cs="Times New Roman"/>
          <w:color w:val="000000"/>
          <w:spacing w:val="0"/>
          <w:w w:val="100"/>
          <w:position w:val="0"/>
          <w:shd w:val="clear" w:color="auto" w:fill="auto"/>
          <w:lang w:val="hr-HR" w:eastAsia="hr-HR" w:bidi="hr-HR"/>
        </w:rPr>
        <w:t>kada primjećuje da su stari islamski uglednici do</w:t>
        <w:softHyphen/>
        <w:t>spjeli u nepovoljan položaj u odnosu na dina</w:t>
        <w:softHyphen/>
        <w:t>mične konvertite. »Čudno«, žali se on u jed</w:t>
        <w:softHyphen/>
        <w:t>noj pjesmi koja opisuje socijalne prilike nje</w:t>
        <w:softHyphen/>
        <w:t>gova doba, »da se samo Albanci i Bošnjaci dijele po časti i sreći. Sva sramota ovoga svi</w:t>
        <w:softHyphen/>
        <w:t>jeta, o Bože, naprotiv napada na potomstvo Božjega poslanika (naime Arapa i Turaka)«.</w:t>
      </w:r>
    </w:p>
    <w:p>
      <w:pPr>
        <w:pStyle w:val="Style56"/>
        <w:keepNext w:val="0"/>
        <w:keepLines w:val="0"/>
        <w:widowControl w:val="0"/>
        <w:shd w:val="clear" w:color="auto" w:fill="auto"/>
        <w:tabs>
          <w:tab w:pos="2568" w:val="left"/>
        </w:tabs>
        <w:bidi w:val="0"/>
        <w:spacing w:before="0" w:after="60" w:line="240" w:lineRule="auto"/>
        <w:ind w:left="0" w:right="0" w:firstLine="0"/>
        <w:jc w:val="both"/>
        <w:sectPr>
          <w:headerReference w:type="default" r:id="rId1303"/>
          <w:footerReference w:type="default" r:id="rId1304"/>
          <w:headerReference w:type="even" r:id="rId1305"/>
          <w:footerReference w:type="even" r:id="rId1306"/>
          <w:headerReference w:type="first" r:id="rId1307"/>
          <w:footerReference w:type="first" r:id="rId1308"/>
          <w:footnotePr>
            <w:pos w:val="pageBottom"/>
            <w:numFmt w:val="decimal"/>
            <w:numRestart w:val="continuous"/>
            <w15:footnoteColumns w:val="1"/>
          </w:footnotePr>
          <w:pgSz w:w="6816" w:h="11006"/>
          <w:pgMar w:top="973" w:left="189" w:right="195" w:bottom="516" w:header="0" w:footer="3" w:gutter="0"/>
          <w:pgNumType w:start="433"/>
          <w:cols w:num="2" w:space="169"/>
          <w:noEndnote/>
          <w:titlePg/>
          <w:rtlGutter w:val="0"/>
          <w:docGrid w:linePitch="360"/>
        </w:sectPr>
      </w:pPr>
      <w:r>
        <w:rPr>
          <w:color w:val="000000"/>
          <w:spacing w:val="0"/>
          <w:w w:val="100"/>
          <w:position w:val="0"/>
          <w:shd w:val="clear" w:color="auto" w:fill="auto"/>
          <w:lang w:val="hr-HR" w:eastAsia="hr-HR" w:bidi="hr-HR"/>
        </w:rPr>
        <w:t xml:space="preserve">Lit.: Hcdvig-Tcrcsia von Pcincn (Hrsg.), </w:t>
      </w:r>
      <w:r>
        <w:rPr>
          <w:i/>
          <w:iCs/>
          <w:color w:val="000000"/>
          <w:spacing w:val="0"/>
          <w:w w:val="100"/>
          <w:position w:val="0"/>
          <w:shd w:val="clear" w:color="auto" w:fill="auto"/>
          <w:lang w:val="hr-HR" w:eastAsia="hr-HR" w:bidi="hr-HR"/>
        </w:rPr>
        <w:t xml:space="preserve">»Zeigmirden </w:t>
      </w:r>
      <w:r>
        <w:rPr>
          <w:i/>
          <w:iCs/>
          <w:color w:val="000000"/>
          <w:spacing w:val="0"/>
          <w:w w:val="100"/>
          <w:position w:val="0"/>
          <w:shd w:val="clear" w:color="auto" w:fill="auto"/>
        </w:rPr>
        <w:t xml:space="preserve">Weg, den </w:t>
      </w:r>
      <w:r>
        <w:rPr>
          <w:i/>
          <w:iCs/>
          <w:color w:val="000000"/>
          <w:spacing w:val="0"/>
          <w:w w:val="100"/>
          <w:position w:val="0"/>
          <w:shd w:val="clear" w:color="auto" w:fill="auto"/>
          <w:lang w:val="hr-HR" w:eastAsia="hr-HR" w:bidi="hr-HR"/>
        </w:rPr>
        <w:t xml:space="preserve">ich grhen soli«. </w:t>
      </w:r>
      <w:r>
        <w:rPr>
          <w:i/>
          <w:iCs/>
          <w:color w:val="000000"/>
          <w:spacing w:val="0"/>
          <w:w w:val="100"/>
          <w:position w:val="0"/>
          <w:shd w:val="clear" w:color="auto" w:fill="auto"/>
        </w:rPr>
        <w:t>Psalmen der grofien Okutnene.</w:t>
      </w:r>
      <w:r>
        <w:rPr>
          <w:color w:val="000000"/>
          <w:spacing w:val="0"/>
          <w:w w:val="100"/>
          <w:position w:val="0"/>
          <w:shd w:val="clear" w:color="auto" w:fill="auto"/>
        </w:rPr>
        <w:t xml:space="preserve"> Regens</w:t>
        <w:softHyphen/>
        <w:t>burg 1981.</w:t>
        <w:tab/>
        <w:t xml:space="preserve">S. </w:t>
      </w:r>
      <w:r>
        <w:rPr>
          <w:color w:val="000000"/>
          <w:spacing w:val="0"/>
          <w:w w:val="100"/>
          <w:position w:val="0"/>
          <w:shd w:val="clear" w:color="auto" w:fill="auto"/>
          <w:lang w:val="hr-HR" w:eastAsia="hr-HR" w:bidi="hr-HR"/>
        </w:rPr>
        <w:t>B/MJĆ</w:t>
      </w: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SEKULARIZACIJA</w:t>
      </w:r>
    </w:p>
    <w:p>
      <w:pPr>
        <w:pStyle w:val="Style63"/>
        <w:keepNext/>
        <w:keepLines/>
        <w:widowControl w:val="0"/>
        <w:numPr>
          <w:ilvl w:val="0"/>
          <w:numId w:val="495"/>
        </w:numPr>
        <w:shd w:val="clear" w:color="auto" w:fill="auto"/>
        <w:tabs>
          <w:tab w:pos="246" w:val="left"/>
        </w:tabs>
        <w:bidi w:val="0"/>
        <w:spacing w:before="0"/>
        <w:ind w:left="0" w:right="0" w:firstLine="0"/>
        <w:jc w:val="both"/>
      </w:pPr>
      <w:bookmarkStart w:id="321" w:name="bookmark321"/>
      <w:r>
        <w:rPr>
          <w:rFonts w:ascii="Times New Roman" w:eastAsia="Times New Roman" w:hAnsi="Times New Roman" w:cs="Times New Roman"/>
          <w:color w:val="000000"/>
          <w:spacing w:val="0"/>
          <w:w w:val="100"/>
          <w:position w:val="0"/>
          <w:shd w:val="clear" w:color="auto" w:fill="auto"/>
          <w:lang w:val="hr-HR" w:eastAsia="hr-HR" w:bidi="hr-HR"/>
        </w:rPr>
        <w:t>židovski</w:t>
      </w:r>
      <w:bookmarkEnd w:id="321"/>
    </w:p>
    <w:p>
      <w:pPr>
        <w:pStyle w:val="Style20"/>
        <w:keepNext w:val="0"/>
        <w:keepLines w:val="0"/>
        <w:widowControl w:val="0"/>
        <w:numPr>
          <w:ilvl w:val="0"/>
          <w:numId w:val="497"/>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Židovska zajednica pred liberalnim razdob</w:t>
        <w:softHyphen/>
        <w:t>ljem:</w:t>
      </w:r>
      <w:r>
        <w:rPr>
          <w:rFonts w:ascii="Times New Roman" w:eastAsia="Times New Roman" w:hAnsi="Times New Roman" w:cs="Times New Roman"/>
          <w:color w:val="000000"/>
          <w:spacing w:val="0"/>
          <w:w w:val="100"/>
          <w:position w:val="0"/>
          <w:shd w:val="clear" w:color="auto" w:fill="auto"/>
          <w:lang w:val="hr-HR" w:eastAsia="hr-HR" w:bidi="hr-HR"/>
        </w:rPr>
        <w:t xml:space="preserve"> U stoljećima prije liberalnoga razdoblja zajedničke su crte obilježavale život židovske manjine u Europi: religijski ustav prožimao je sva područja života; on nije oblikovao samo nezamjenjivi židovski životni put, nego je stvorio, zajedno s preostalom strujom preda</w:t>
        <w:softHyphen/>
        <w:t>je, i samosvijest pojedinaca da pripadaju ti</w:t>
        <w:softHyphen/>
        <w:t>sućama godina staroj povijesti židovskoga naroda. Gdje god su se Židovi naselili, gradili su, usprkos nepovjerljivoj do neprijateljskoj sredini, zatvorenu, rcligijsko-socijalno-kultur- nu zajednicu podvrgnutu rabinskim zakoni</w:t>
        <w:softHyphen/>
        <w:t>ma. Ona je u svako doba bila upućena na »povlastice« svoje zaštitne moći; u skladu s njihovim interesima, koji su svaki put ovisili o ekonomskoj, socijalnoj i političkoj situaciji, knezovi su im davali povlastice ili posezali u njihov rcligijsko-socijalni pravni poredak ili ih u nemirna vremena izvrgavali progonima ka</w:t>
        <w:softHyphen/>
        <w:t>ko bi narodnim masama skrenuli pozornost i smirili ih. Doduše, kulturni utjecaji prodirali su iz kršćanskoga društva u židovsku četvrt i tu se pretvarali u židovske, a jezično u zapadni jidiš odnosno u odgovarajući istočni idiom u slavenskom okolišu; no to se nije događalo u procesu svjesnog prihvaćanja. Naime, samo rubni slojevi židovskoga društva, gospodarski najjači i socijalno najslabiji, bili su u vezi s odgovarajućim predstavnicima kršćanskoga društva, čijim su uvjetima i promjeni predali svoju egzistenciju. Većina Židova živjela je u svojoj religijskoj kulturi, izoliranoj od svijeta u svojem okruženju.</w:t>
      </w:r>
    </w:p>
    <w:p>
      <w:pPr>
        <w:pStyle w:val="Style20"/>
        <w:keepNext w:val="0"/>
        <w:keepLines w:val="0"/>
        <w:widowControl w:val="0"/>
        <w:numPr>
          <w:ilvl w:val="0"/>
          <w:numId w:val="497"/>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Židovsko prosvjetiteljstvo (huškala):</w:t>
      </w:r>
      <w:r>
        <w:rPr>
          <w:rFonts w:ascii="Times New Roman" w:eastAsia="Times New Roman" w:hAnsi="Times New Roman" w:cs="Times New Roman"/>
          <w:color w:val="000000"/>
          <w:spacing w:val="0"/>
          <w:w w:val="100"/>
          <w:position w:val="0"/>
          <w:shd w:val="clear" w:color="auto" w:fill="auto"/>
          <w:lang w:val="hr-HR" w:eastAsia="hr-HR" w:bidi="hr-HR"/>
        </w:rPr>
        <w:t xml:space="preserve"> U dru</w:t>
        <w:softHyphen/>
        <w:t>goj polovini XVIII. stoljeća djelovale su u broj</w:t>
        <w:softHyphen/>
        <w:t>čano jakim krugovima pobožnika još tradicio</w:t>
        <w:softHyphen/>
        <w:t>nalne predodžbe i propisi koji su određivali židovstvo u dugom razdoblju izgnanstva i spa</w:t>
        <w:softHyphen/>
        <w:t>šavali ga od propasti. S druge strane, mnogim Židovima smisao starih propisa za život više nije bio blizak; što je više nestajala njihova svijest o vlastitu nacionalnom identitetu, više su se okretali njemačkoj kulturnoj i povijesnoj sferi koja je trebala nadomjestiti izgubljenu ži</w:t>
        <w:softHyphen/>
        <w:t>dovsku. Oni su prihvaćali prosvjetiteljsku sli</w:t>
        <w:softHyphen/>
        <w:t>ku o pojedincu koji se morao osloboditi svojih povijesno izraslih religijskih i socijalnih spona. Za tim ciljem išlo je i židovsko prosvjetitelj</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stvo (haskala) u </w:t>
      </w:r>
      <w:r>
        <w:rPr>
          <w:rFonts w:ascii="Times New Roman" w:eastAsia="Times New Roman" w:hAnsi="Times New Roman" w:cs="Times New Roman"/>
          <w:color w:val="000000"/>
          <w:spacing w:val="0"/>
          <w:w w:val="100"/>
          <w:position w:val="0"/>
          <w:shd w:val="clear" w:color="auto" w:fill="auto"/>
          <w:lang w:val="en-US" w:eastAsia="en-US" w:bidi="en-US"/>
        </w:rPr>
        <w:t xml:space="preserve">XVHI./XIX. </w:t>
      </w:r>
      <w:r>
        <w:rPr>
          <w:rFonts w:ascii="Times New Roman" w:eastAsia="Times New Roman" w:hAnsi="Times New Roman" w:cs="Times New Roman"/>
          <w:color w:val="000000"/>
          <w:spacing w:val="0"/>
          <w:w w:val="100"/>
          <w:position w:val="0"/>
          <w:shd w:val="clear" w:color="auto" w:fill="auto"/>
          <w:lang w:val="hr-HR" w:eastAsia="hr-HR" w:bidi="hr-HR"/>
        </w:rPr>
        <w:t>stoljeću u srednjoj i istočnoj Europi. Korijeni su mu u europ</w:t>
        <w:softHyphen/>
        <w:t>skom prosvetiteljstvu, te je ono preuzelo i nje</w:t>
        <w:softHyphen/>
        <w:t>mačko poimanje kulturnih vrijednosti. No nje</w:t>
        <w:softHyphen/>
        <w:t>gova posebnost očitovala se u tome što ono nije samo potkapalo tradicijske židovske ob</w:t>
        <w:softHyphen/>
        <w:t>like života, nego je nastojalo spojiti - paralel</w:t>
        <w:softHyphen/>
        <w:t>no sa socijalnom i kulturnom asimilacijom - židovsku tradiciju i novovjekovna nastojanja i postignuća europskih naroda. Ono je htjelo stvoriti novoga židovskog čovjeka koji se ne temelji samo na židovskoj nego i na općoj kul</w:t>
        <w:softHyphen/>
        <w:t>turi. Za razliku od nizozemsko-židovskoga fi</w:t>
        <w:softHyphen/>
        <w:t>lozofa Baruha Spinoze (1632-1677), koji je svojom kritikom Biblije i židovskoga pojma objave i svojim naukom o Bogu kao jedinoj, nedjeljivoj, beskonačnoj supstanciji i panteis- tičkom jedinstvu Boga i prirode utjecao manje na židovstvo a više na njemačko prosvjetitelj</w:t>
        <w:softHyphen/>
        <w:t>stvo i njemački idealizam, u njemačkom filo</w:t>
        <w:softHyphen/>
        <w:t>zofu Moscsu Mcndclssohnu (1729-1786) jav</w:t>
        <w:softHyphen/>
        <w:t>lja se prvi duhovno emancipirani Židov čiji je prijevod Petoknjižja, psalama i drugih biblij</w:t>
        <w:softHyphen/>
        <w:t>skih spisa doveo prosvjetiteljstvo među Žido</w:t>
        <w:softHyphen/>
        <w:t>ve u Njemačkoj. Mendelssohnovi prijevodi i ko</w:t>
        <w:softHyphen/>
        <w:t>mentari Petoknjižja postavili su temelj na ko</w:t>
        <w:softHyphen/>
        <w:t>jem su se mladi Židovi mogli baviti problemi</w:t>
        <w:softHyphen/>
        <w:t>ma novovjekovne literature, znanosti i filozo</w:t>
        <w:softHyphen/>
        <w:t>fije i koji im je također omogućio da se upo</w:t>
        <w:softHyphen/>
        <w:t xml:space="preserve">znaju s hebrejskim jezikom. </w:t>
      </w:r>
      <w:r>
        <w:rPr>
          <w:rFonts w:ascii="Times New Roman" w:eastAsia="Times New Roman" w:hAnsi="Times New Roman" w:cs="Times New Roman"/>
          <w:color w:val="000000"/>
          <w:spacing w:val="0"/>
          <w:w w:val="100"/>
          <w:position w:val="0"/>
          <w:shd w:val="clear" w:color="auto" w:fill="auto"/>
          <w:lang w:val="en-US" w:eastAsia="en-US" w:bidi="en-US"/>
        </w:rPr>
        <w:t xml:space="preserve">Mendelssohn </w:t>
      </w:r>
      <w:r>
        <w:rPr>
          <w:rFonts w:ascii="Times New Roman" w:eastAsia="Times New Roman" w:hAnsi="Times New Roman" w:cs="Times New Roman"/>
          <w:color w:val="000000"/>
          <w:spacing w:val="0"/>
          <w:w w:val="100"/>
          <w:position w:val="0"/>
          <w:shd w:val="clear" w:color="auto" w:fill="auto"/>
          <w:lang w:val="hr-HR" w:eastAsia="hr-HR" w:bidi="hr-HR"/>
        </w:rPr>
        <w:t xml:space="preserve">je odbijao </w:t>
      </w:r>
      <w:r>
        <w:rPr>
          <w:rFonts w:ascii="Times New Roman" w:eastAsia="Times New Roman" w:hAnsi="Times New Roman" w:cs="Times New Roman"/>
          <w:i/>
          <w:iCs/>
          <w:color w:val="000000"/>
          <w:spacing w:val="0"/>
          <w:w w:val="100"/>
          <w:position w:val="0"/>
          <w:shd w:val="clear" w:color="auto" w:fill="auto"/>
          <w:lang w:val="hr-HR" w:eastAsia="hr-HR" w:bidi="hr-HR"/>
        </w:rPr>
        <w:t>svaki</w:t>
      </w:r>
      <w:r>
        <w:rPr>
          <w:rFonts w:ascii="Times New Roman" w:eastAsia="Times New Roman" w:hAnsi="Times New Roman" w:cs="Times New Roman"/>
          <w:color w:val="000000"/>
          <w:spacing w:val="0"/>
          <w:w w:val="100"/>
          <w:position w:val="0"/>
          <w:shd w:val="clear" w:color="auto" w:fill="auto"/>
          <w:lang w:val="hr-HR" w:eastAsia="hr-HR" w:bidi="hr-HR"/>
        </w:rPr>
        <w:t xml:space="preserve"> autoritet koji je ograničavao re</w:t>
        <w:softHyphen/>
        <w:t xml:space="preserve">ligijsku misao; on je to razradio i obrazložio u svojoj knjizi </w:t>
      </w:r>
      <w:r>
        <w:rPr>
          <w:rFonts w:ascii="Times New Roman" w:eastAsia="Times New Roman" w:hAnsi="Times New Roman" w:cs="Times New Roman"/>
          <w:i/>
          <w:iCs/>
          <w:color w:val="000000"/>
          <w:spacing w:val="0"/>
          <w:w w:val="100"/>
          <w:position w:val="0"/>
          <w:shd w:val="clear" w:color="auto" w:fill="auto"/>
          <w:lang w:val="en-US" w:eastAsia="en-US" w:bidi="en-US"/>
        </w:rPr>
        <w:t xml:space="preserve">Jerusalem, Oder ilber religiose </w:t>
      </w:r>
      <w:r>
        <w:rPr>
          <w:rFonts w:ascii="Times New Roman" w:eastAsia="Times New Roman" w:hAnsi="Times New Roman" w:cs="Times New Roman"/>
          <w:i/>
          <w:iCs/>
          <w:color w:val="000000"/>
          <w:spacing w:val="0"/>
          <w:w w:val="100"/>
          <w:position w:val="0"/>
          <w:shd w:val="clear" w:color="auto" w:fill="auto"/>
          <w:lang w:val="hr-HR" w:eastAsia="hr-HR" w:bidi="hr-HR"/>
        </w:rPr>
        <w:t>Macht und Judenthum</w:t>
      </w:r>
      <w:r>
        <w:rPr>
          <w:rFonts w:ascii="Times New Roman" w:eastAsia="Times New Roman" w:hAnsi="Times New Roman" w:cs="Times New Roman"/>
          <w:color w:val="000000"/>
          <w:spacing w:val="0"/>
          <w:w w:val="100"/>
          <w:position w:val="0"/>
          <w:shd w:val="clear" w:color="auto" w:fill="auto"/>
          <w:lang w:val="hr-HR" w:eastAsia="hr-HR" w:bidi="hr-HR"/>
        </w:rPr>
        <w:t xml:space="preserve"> (1783): »Načela su slobodna, uvjerenja po svojoj prirodi ne trpe prisile, pod</w:t>
        <w:softHyphen/>
        <w:t xml:space="preserve">mićivanja... Dakle, ni crkva ni država nemaju pravo načela i uvjerenja ljudi podvrgnuti bilo kakvoj prisili« </w:t>
      </w:r>
      <w:r>
        <w:rPr>
          <w:rFonts w:ascii="Times New Roman" w:eastAsia="Times New Roman" w:hAnsi="Times New Roman" w:cs="Times New Roman"/>
          <w:i/>
          <w:iCs/>
          <w:color w:val="000000"/>
          <w:spacing w:val="0"/>
          <w:w w:val="100"/>
          <w:position w:val="0"/>
          <w:shd w:val="clear" w:color="auto" w:fill="auto"/>
          <w:lang w:val="en-US" w:eastAsia="en-US" w:bidi="en-US"/>
        </w:rPr>
        <w:t xml:space="preserve">(Moses Mendelssohn’s </w:t>
      </w:r>
      <w:r>
        <w:rPr>
          <w:rFonts w:ascii="Times New Roman" w:eastAsia="Times New Roman" w:hAnsi="Times New Roman" w:cs="Times New Roman"/>
          <w:i/>
          <w:iCs/>
          <w:color w:val="000000"/>
          <w:spacing w:val="0"/>
          <w:w w:val="100"/>
          <w:position w:val="0"/>
          <w:shd w:val="clear" w:color="auto" w:fill="auto"/>
          <w:lang w:val="hr-HR" w:eastAsia="hr-HR" w:bidi="hr-HR"/>
        </w:rPr>
        <w:t>gesam- melte Schriften,</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hrsg. von </w:t>
      </w:r>
      <w:r>
        <w:rPr>
          <w:rFonts w:ascii="Times New Roman" w:eastAsia="Times New Roman" w:hAnsi="Times New Roman" w:cs="Times New Roman"/>
          <w:color w:val="000000"/>
          <w:spacing w:val="0"/>
          <w:w w:val="100"/>
          <w:position w:val="0"/>
          <w:shd w:val="clear" w:color="auto" w:fill="auto"/>
          <w:lang w:val="hr-HR" w:eastAsia="hr-HR" w:bidi="hr-HR"/>
        </w:rPr>
        <w:t xml:space="preserve">G. B. </w:t>
      </w:r>
      <w:r>
        <w:rPr>
          <w:rFonts w:ascii="Times New Roman" w:eastAsia="Times New Roman" w:hAnsi="Times New Roman" w:cs="Times New Roman"/>
          <w:color w:val="000000"/>
          <w:spacing w:val="0"/>
          <w:w w:val="100"/>
          <w:position w:val="0"/>
          <w:shd w:val="clear" w:color="auto" w:fill="auto"/>
          <w:lang w:val="en-US" w:eastAsia="en-US" w:bidi="en-US"/>
        </w:rPr>
        <w:t xml:space="preserve">Mendelssohn, </w:t>
      </w:r>
      <w:r>
        <w:rPr>
          <w:rFonts w:ascii="Times New Roman" w:eastAsia="Times New Roman" w:hAnsi="Times New Roman" w:cs="Times New Roman"/>
          <w:color w:val="000000"/>
          <w:spacing w:val="0"/>
          <w:w w:val="100"/>
          <w:position w:val="0"/>
          <w:shd w:val="clear" w:color="auto" w:fill="auto"/>
          <w:lang w:val="hr-HR" w:eastAsia="hr-HR" w:bidi="hr-HR"/>
        </w:rPr>
        <w:t>1843-45, III, 294). Rabini i predstojnici zajed</w:t>
        <w:softHyphen/>
        <w:t>nica trebali su se radi Boga ljubavi i milosrđa odreći izopćenja i isključenja: »Ne slijedite mane nacija kao što ste dosad mislili da mo</w:t>
        <w:softHyphen/>
        <w:t xml:space="preserve">rate, već slijedite njihove vrline. Ako hoćete da vas drugi štite, trpe i poštede, štitite se i trpite i međusobno štedite! Ljubite, pa će i vas ljubiti!«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202).</w:t>
      </w:r>
    </w:p>
    <w:p>
      <w:pPr>
        <w:pStyle w:val="Style20"/>
        <w:keepNext w:val="0"/>
        <w:keepLines w:val="0"/>
        <w:widowControl w:val="0"/>
        <w:numPr>
          <w:ilvl w:val="0"/>
          <w:numId w:val="497"/>
        </w:numPr>
        <w:shd w:val="clear" w:color="auto" w:fill="auto"/>
        <w:tabs>
          <w:tab w:pos="255" w:val="left"/>
        </w:tabs>
        <w:bidi w:val="0"/>
        <w:spacing w:before="0" w:after="0"/>
        <w:ind w:left="0" w:right="0" w:firstLine="0"/>
        <w:jc w:val="both"/>
        <w:sectPr>
          <w:headerReference w:type="default" r:id="rId1309"/>
          <w:footerReference w:type="default" r:id="rId1310"/>
          <w:headerReference w:type="even" r:id="rId1311"/>
          <w:footerReference w:type="even" r:id="rId1312"/>
          <w:footnotePr>
            <w:pos w:val="pageBottom"/>
            <w:numFmt w:val="decimal"/>
            <w:numRestart w:val="continuous"/>
            <w15:footnoteColumns w:val="1"/>
          </w:footnotePr>
          <w:type w:val="continuous"/>
          <w:pgSz w:w="6816" w:h="11006"/>
          <w:pgMar w:top="973" w:left="189" w:right="195" w:bottom="516" w:header="0" w:footer="3" w:gutter="0"/>
          <w:cols w:num="2" w:space="169"/>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 xml:space="preserve">Djelovanja </w:t>
      </w:r>
      <w:r>
        <w:rPr>
          <w:rFonts w:ascii="Times New Roman" w:eastAsia="Times New Roman" w:hAnsi="Times New Roman" w:cs="Times New Roman"/>
          <w:i/>
          <w:iCs/>
          <w:color w:val="000000"/>
          <w:spacing w:val="0"/>
          <w:w w:val="100"/>
          <w:position w:val="0"/>
          <w:shd w:val="clear" w:color="auto" w:fill="auto"/>
          <w:lang w:val="en-US" w:eastAsia="en-US" w:bidi="en-US"/>
        </w:rPr>
        <w:t>haskale:</w:t>
      </w:r>
      <w:r>
        <w:rPr>
          <w:rFonts w:ascii="Times New Roman" w:eastAsia="Times New Roman" w:hAnsi="Times New Roman" w:cs="Times New Roman"/>
          <w:color w:val="000000"/>
          <w:spacing w:val="0"/>
          <w:w w:val="100"/>
          <w:position w:val="0"/>
          <w:shd w:val="clear" w:color="auto" w:fill="auto"/>
          <w:lang w:val="en-US" w:eastAsia="en-US" w:bidi="en-US"/>
        </w:rPr>
        <w:t xml:space="preserve"> Mendelssohn </w:t>
      </w:r>
      <w:r>
        <w:rPr>
          <w:rFonts w:ascii="Times New Roman" w:eastAsia="Times New Roman" w:hAnsi="Times New Roman" w:cs="Times New Roman"/>
          <w:color w:val="000000"/>
          <w:spacing w:val="0"/>
          <w:w w:val="100"/>
          <w:position w:val="0"/>
          <w:shd w:val="clear" w:color="auto" w:fill="auto"/>
          <w:lang w:val="hr-HR" w:eastAsia="hr-HR" w:bidi="hr-HR"/>
        </w:rPr>
        <w:t xml:space="preserve">i mnogi njegovi učenici ostali su povezani s predajom i držali se religijskih propisa. Ipak je njihov rad najzad prouzrokovao onaj proces svjesnog priključenja Židova na njemačku kulturu i </w:t>
      </w:r>
    </w:p>
    <w:p>
      <w:pPr>
        <w:pStyle w:val="Style20"/>
        <w:keepNext w:val="0"/>
        <w:keepLines w:val="0"/>
        <w:widowControl w:val="0"/>
        <w:shd w:val="clear" w:color="auto" w:fill="auto"/>
        <w:tabs>
          <w:tab w:pos="25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ubrzo zatim na njemačku narodnu tradiciju, proces što su ga poticali njemačko prosvje</w:t>
        <w:softHyphen/>
        <w:t>titeljstvo i Francuska revolucija i koji je na</w:t>
        <w:softHyphen/>
        <w:t>posljetku doveo do promjene u židovstvu nje</w:t>
        <w:softHyphen/>
        <w:t xml:space="preserve">mačkoga govornog područja. Ako je </w:t>
      </w:r>
      <w:r>
        <w:rPr>
          <w:rFonts w:ascii="Times New Roman" w:eastAsia="Times New Roman" w:hAnsi="Times New Roman" w:cs="Times New Roman"/>
          <w:color w:val="000000"/>
          <w:spacing w:val="0"/>
          <w:w w:val="100"/>
          <w:position w:val="0"/>
          <w:shd w:val="clear" w:color="auto" w:fill="auto"/>
          <w:lang w:val="en-US" w:eastAsia="en-US" w:bidi="en-US"/>
        </w:rPr>
        <w:t>Men</w:t>
        <w:softHyphen/>
        <w:t xml:space="preserve">delssohn </w:t>
      </w:r>
      <w:r>
        <w:rPr>
          <w:rFonts w:ascii="Times New Roman" w:eastAsia="Times New Roman" w:hAnsi="Times New Roman" w:cs="Times New Roman"/>
          <w:color w:val="000000"/>
          <w:spacing w:val="0"/>
          <w:w w:val="100"/>
          <w:position w:val="0"/>
          <w:shd w:val="clear" w:color="auto" w:fill="auto"/>
          <w:lang w:val="hr-HR" w:eastAsia="hr-HR" w:bidi="hr-HR"/>
        </w:rPr>
        <w:t>židovstvo proglasio »objavljenim za</w:t>
        <w:softHyphen/>
        <w:t>konom« koji - za razliku od »objavljene reli</w:t>
        <w:softHyphen/>
        <w:t>gije« - ne proturječi načelu slobode misli i pravno-filozofskih i crkveno-političkih načela koja iz toga proizlaze, time je pripremio po</w:t>
        <w:softHyphen/>
        <w:t xml:space="preserve">grešno shvaćanje poglavito ccrcmonijalno-za- konsko-ritualne židovske religije kao i krivo izjednačenje židovstva i religije razuma, koje su postavili kasniji židovski prosvjetitelji </w:t>
      </w:r>
      <w:r>
        <w:rPr>
          <w:rFonts w:ascii="Times New Roman" w:eastAsia="Times New Roman" w:hAnsi="Times New Roman" w:cs="Times New Roman"/>
          <w:i/>
          <w:iCs/>
          <w:color w:val="000000"/>
          <w:spacing w:val="0"/>
          <w:w w:val="100"/>
          <w:position w:val="0"/>
          <w:shd w:val="clear" w:color="auto" w:fill="auto"/>
          <w:lang w:val="hr-HR" w:eastAsia="hr-HR" w:bidi="hr-HR"/>
        </w:rPr>
        <w:t>(mas- kilim)</w:t>
      </w:r>
      <w:r>
        <w:rPr>
          <w:rFonts w:ascii="Times New Roman" w:eastAsia="Times New Roman" w:hAnsi="Times New Roman" w:cs="Times New Roman"/>
          <w:color w:val="000000"/>
          <w:spacing w:val="0"/>
          <w:w w:val="100"/>
          <w:position w:val="0"/>
          <w:shd w:val="clear" w:color="auto" w:fill="auto"/>
          <w:lang w:val="hr-HR" w:eastAsia="hr-HR" w:bidi="hr-HR"/>
        </w:rPr>
        <w:t xml:space="preserve"> koji su u »zakonu« vidjeli još samo po</w:t>
        <w:softHyphen/>
        <w:t xml:space="preserve">vijesno uvjetovan zaštitni oblik te »istine«. - </w:t>
      </w:r>
      <w:r>
        <w:rPr>
          <w:rFonts w:ascii="Times New Roman" w:eastAsia="Times New Roman" w:hAnsi="Times New Roman" w:cs="Times New Roman"/>
          <w:color w:val="000000"/>
          <w:spacing w:val="0"/>
          <w:w w:val="100"/>
          <w:position w:val="0"/>
          <w:shd w:val="clear" w:color="auto" w:fill="auto"/>
          <w:lang w:val="en-US" w:eastAsia="en-US" w:bidi="en-US"/>
        </w:rPr>
        <w:t xml:space="preserve">Hartwig (Naftali Herz) Wessely (Weisel; 1725-1895), David Friedlander (1750-1843) i Naftali Herz Homberg (1749-1841) </w:t>
      </w:r>
      <w:r>
        <w:rPr>
          <w:rFonts w:ascii="Times New Roman" w:eastAsia="Times New Roman" w:hAnsi="Times New Roman" w:cs="Times New Roman"/>
          <w:color w:val="000000"/>
          <w:spacing w:val="0"/>
          <w:w w:val="100"/>
          <w:position w:val="0"/>
          <w:shd w:val="clear" w:color="auto" w:fill="auto"/>
          <w:lang w:val="hr-HR" w:eastAsia="hr-HR" w:bidi="hr-HR"/>
        </w:rPr>
        <w:t xml:space="preserve">zauzeli su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 xml:space="preserve">za obnovu i prilagodbu židovskoga društva, posebice na području odgoja i obrazovanja. </w:t>
      </w:r>
      <w:r>
        <w:rPr>
          <w:rFonts w:ascii="Times New Roman" w:eastAsia="Times New Roman" w:hAnsi="Times New Roman" w:cs="Times New Roman"/>
          <w:color w:val="000000"/>
          <w:spacing w:val="0"/>
          <w:w w:val="100"/>
          <w:position w:val="0"/>
          <w:shd w:val="clear" w:color="auto" w:fill="auto"/>
          <w:lang w:val="en-US" w:eastAsia="en-US" w:bidi="en-US"/>
        </w:rPr>
        <w:t xml:space="preserve">Wessely </w:t>
      </w:r>
      <w:r>
        <w:rPr>
          <w:rFonts w:ascii="Times New Roman" w:eastAsia="Times New Roman" w:hAnsi="Times New Roman" w:cs="Times New Roman"/>
          <w:color w:val="000000"/>
          <w:spacing w:val="0"/>
          <w:w w:val="100"/>
          <w:position w:val="0"/>
          <w:shd w:val="clear" w:color="auto" w:fill="auto"/>
          <w:lang w:val="hr-HR" w:eastAsia="hr-HR" w:bidi="hr-HR"/>
        </w:rPr>
        <w:t>je tražio na temelju Patenta o tole</w:t>
        <w:softHyphen/>
        <w:t>ranciji Josipa II. iz 1782. da se otvore vrata za školovanje prirodnim znanostima, povijesti, zemljopisu i jeziku zemlje na štetu talmud</w:t>
        <w:softHyphen/>
        <w:t xml:space="preserve">skog proučavanja; </w:t>
      </w:r>
      <w:r>
        <w:rPr>
          <w:rFonts w:ascii="Times New Roman" w:eastAsia="Times New Roman" w:hAnsi="Times New Roman" w:cs="Times New Roman"/>
          <w:color w:val="000000"/>
          <w:spacing w:val="0"/>
          <w:w w:val="100"/>
          <w:position w:val="0"/>
          <w:shd w:val="clear" w:color="auto" w:fill="auto"/>
          <w:lang w:val="en-US" w:eastAsia="en-US" w:bidi="en-US"/>
        </w:rPr>
        <w:t xml:space="preserve">Friedlander </w:t>
      </w:r>
      <w:r>
        <w:rPr>
          <w:rFonts w:ascii="Times New Roman" w:eastAsia="Times New Roman" w:hAnsi="Times New Roman" w:cs="Times New Roman"/>
          <w:color w:val="000000"/>
          <w:spacing w:val="0"/>
          <w:w w:val="100"/>
          <w:position w:val="0"/>
          <w:shd w:val="clear" w:color="auto" w:fill="auto"/>
          <w:lang w:val="hr-HR" w:eastAsia="hr-HR" w:bidi="hr-HR"/>
        </w:rPr>
        <w:t>je osnovao li</w:t>
        <w:softHyphen/>
        <w:t>beralnu židovsku školu i svoje prijedloge re</w:t>
        <w:softHyphen/>
        <w:t>forme širio u prosvjetiteljskim časopisima i »poslanicom«: njihov je cilj bio uklanjanje mesijanskih molitava u sinagogalnom bogo</w:t>
        <w:softHyphen/>
        <w:t>služju i ostvarenje dcističke religije u kojoj bi se kršćani odrekli dogme a Zidovi obrednih propisa i koja bi Zidovima omogućila pristup kršćanskom društvu i izgladila put prema že</w:t>
        <w:softHyphen/>
        <w:t>ljenoj političkoj ravnopravnosti. Homberg je pokušao - premda neuspješno zbog ortodoks</w:t>
        <w:softHyphen/>
        <w:t>nog otpora - kao opunomoćenik vlade za židovsku školsku reformu u Galiciji, ukida</w:t>
        <w:softHyphen/>
        <w:t>njem rabinske literature u prilog svjetovnog obrazovanja preoblikovati talmudsko židov</w:t>
        <w:softHyphen/>
        <w:t xml:space="preserve">stvo u židovstvo prilagođeno kulturi, koje bi postupno steklo puna građanska prava. I oni </w:t>
      </w:r>
      <w:r>
        <w:rPr>
          <w:rFonts w:ascii="Times New Roman" w:eastAsia="Times New Roman" w:hAnsi="Times New Roman" w:cs="Times New Roman"/>
          <w:i/>
          <w:iCs/>
          <w:color w:val="000000"/>
          <w:spacing w:val="0"/>
          <w:w w:val="100"/>
          <w:position w:val="0"/>
          <w:shd w:val="clear" w:color="auto" w:fill="auto"/>
          <w:lang w:val="hr-HR" w:eastAsia="hr-HR" w:bidi="hr-HR"/>
        </w:rPr>
        <w:t>maskilim,</w:t>
      </w:r>
      <w:r>
        <w:rPr>
          <w:rFonts w:ascii="Times New Roman" w:eastAsia="Times New Roman" w:hAnsi="Times New Roman" w:cs="Times New Roman"/>
          <w:color w:val="000000"/>
          <w:spacing w:val="0"/>
          <w:w w:val="100"/>
          <w:position w:val="0"/>
          <w:shd w:val="clear" w:color="auto" w:fill="auto"/>
          <w:lang w:val="hr-HR" w:eastAsia="hr-HR" w:bidi="hr-HR"/>
        </w:rPr>
        <w:t xml:space="preserve"> koji su namjeravali ostati vjerni vlastitoj religiji, smatrali su židovsko prosvje</w:t>
        <w:softHyphen/>
        <w:t>titeljstvo posrednikom univerzalnih duhovnih tendencija i bili su skloni deističkim pre</w:t>
        <w:softHyphen/>
        <w:t xml:space="preserve">dodžbama dajući prednost »religiji prirode« pred svakom religijom objave. - </w:t>
      </w:r>
      <w:r>
        <w:rPr>
          <w:rFonts w:ascii="Times New Roman" w:eastAsia="Times New Roman" w:hAnsi="Times New Roman" w:cs="Times New Roman"/>
          <w:color w:val="000000"/>
          <w:spacing w:val="0"/>
          <w:w w:val="100"/>
          <w:position w:val="0"/>
          <w:shd w:val="clear" w:color="auto" w:fill="auto"/>
          <w:lang w:val="en-US" w:eastAsia="en-US" w:bidi="en-US"/>
        </w:rPr>
        <w:t>Samson Ra</w:t>
        <w:softHyphen/>
        <w:t xml:space="preserve">phael Hirsch </w:t>
      </w:r>
      <w:r>
        <w:rPr>
          <w:rFonts w:ascii="Times New Roman" w:eastAsia="Times New Roman" w:hAnsi="Times New Roman" w:cs="Times New Roman"/>
          <w:color w:val="000000"/>
          <w:spacing w:val="0"/>
          <w:w w:val="100"/>
          <w:position w:val="0"/>
          <w:shd w:val="clear" w:color="auto" w:fill="auto"/>
          <w:lang w:val="hr-HR" w:eastAsia="hr-HR" w:bidi="hr-HR"/>
        </w:rPr>
        <w:t>(1808-1888) potvrdio je potrebu preporoda židovstva, ali je nije htio postići re</w:t>
        <w:softHyphen/>
        <w:t xml:space="preserve">formom tradicijskog sadržaja i religijsko- praktičnoga života. Godine 1851. utemeljio je </w:t>
      </w:r>
      <w:r>
        <w:rPr>
          <w:rFonts w:ascii="Times New Roman" w:eastAsia="Times New Roman" w:hAnsi="Times New Roman" w:cs="Times New Roman"/>
          <w:color w:val="000000"/>
          <w:spacing w:val="0"/>
          <w:w w:val="100"/>
          <w:position w:val="0"/>
          <w:shd w:val="clear" w:color="auto" w:fill="auto"/>
          <w:lang w:val="hr-HR" w:eastAsia="hr-HR" w:bidi="hr-HR"/>
        </w:rPr>
        <w:t>neortodoksno »Izraelsko religijsko društvo« koje je spajalo vjernost tradiciji s priznava</w:t>
        <w:softHyphen/>
        <w:t>njem moderne znanosti i držalo se čvrsto me</w:t>
        <w:softHyphen/>
        <w:t>sijanske nade i istodobno zagovaralo emanci</w:t>
        <w:softHyphen/>
        <w:t>paciju i nacionalnu asimilaciju. No većina ko</w:t>
        <w:softHyphen/>
        <w:t>ja je od 1844. bila zastupana u »Društvu za reformirano židovstvo« branila je kulturno ži</w:t>
        <w:softHyphen/>
        <w:t xml:space="preserve">dovstvo koje je odbacilo autoritarnu tradiciju u prilog znanstveno utemeljene etike. Na tom tlu nastala su djela neokantovca Hcrmanna Cohena (1842-1918):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Begriff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im </w:t>
      </w:r>
      <w:r>
        <w:rPr>
          <w:rFonts w:ascii="Times New Roman" w:eastAsia="Times New Roman" w:hAnsi="Times New Roman" w:cs="Times New Roman"/>
          <w:i/>
          <w:iCs/>
          <w:color w:val="000000"/>
          <w:spacing w:val="0"/>
          <w:w w:val="100"/>
          <w:position w:val="0"/>
          <w:shd w:val="clear" w:color="auto" w:fill="auto"/>
          <w:lang w:val="en-US" w:eastAsia="en-US" w:bidi="en-US"/>
        </w:rPr>
        <w:t xml:space="preserve">System </w:t>
      </w:r>
      <w:r>
        <w:rPr>
          <w:rFonts w:ascii="Times New Roman" w:eastAsia="Times New Roman" w:hAnsi="Times New Roman" w:cs="Times New Roman"/>
          <w:i/>
          <w:iCs/>
          <w:color w:val="000000"/>
          <w:spacing w:val="0"/>
          <w:w w:val="100"/>
          <w:position w:val="0"/>
          <w:shd w:val="clear" w:color="auto" w:fill="auto"/>
          <w:lang w:val="hr-HR" w:eastAsia="hr-HR" w:bidi="hr-HR"/>
        </w:rPr>
        <w:t>der Philosophie</w:t>
      </w:r>
      <w:r>
        <w:rPr>
          <w:rFonts w:ascii="Times New Roman" w:eastAsia="Times New Roman" w:hAnsi="Times New Roman" w:cs="Times New Roman"/>
          <w:color w:val="000000"/>
          <w:spacing w:val="0"/>
          <w:w w:val="100"/>
          <w:position w:val="0"/>
          <w:shd w:val="clear" w:color="auto" w:fill="auto"/>
          <w:lang w:val="hr-HR" w:eastAsia="hr-HR" w:bidi="hr-HR"/>
        </w:rPr>
        <w:t xml:space="preserve"> (1915) 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Religion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Vemunft </w:t>
      </w:r>
      <w:r>
        <w:rPr>
          <w:rFonts w:ascii="Times New Roman" w:eastAsia="Times New Roman" w:hAnsi="Times New Roman" w:cs="Times New Roman"/>
          <w:i/>
          <w:iCs/>
          <w:color w:val="000000"/>
          <w:spacing w:val="0"/>
          <w:w w:val="100"/>
          <w:position w:val="0"/>
          <w:shd w:val="clear" w:color="auto" w:fill="auto"/>
          <w:lang w:val="hr-HR" w:eastAsia="hr-HR" w:bidi="hr-HR"/>
        </w:rPr>
        <w:t xml:space="preserve">aus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den Quellen des Judentums </w:t>
      </w:r>
      <w:r>
        <w:rPr>
          <w:rFonts w:ascii="Times New Roman" w:eastAsia="Times New Roman" w:hAnsi="Times New Roman" w:cs="Times New Roman"/>
          <w:color w:val="000000"/>
          <w:spacing w:val="0"/>
          <w:w w:val="100"/>
          <w:position w:val="0"/>
          <w:shd w:val="clear" w:color="auto" w:fill="auto"/>
          <w:lang w:val="en-US" w:eastAsia="en-US" w:bidi="en-US"/>
        </w:rPr>
        <w:t xml:space="preserve">(posthumno 1919), </w:t>
      </w:r>
      <w:r>
        <w:rPr>
          <w:rFonts w:ascii="Times New Roman" w:eastAsia="Times New Roman" w:hAnsi="Times New Roman" w:cs="Times New Roman"/>
          <w:color w:val="000000"/>
          <w:spacing w:val="0"/>
          <w:w w:val="100"/>
          <w:position w:val="0"/>
          <w:shd w:val="clear" w:color="auto" w:fill="auto"/>
          <w:lang w:val="hr-HR" w:eastAsia="hr-HR" w:bidi="hr-HR"/>
        </w:rPr>
        <w:t xml:space="preserve">te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w:t>
        <w:softHyphen/>
        <w:t>tums</w:t>
      </w:r>
      <w:r>
        <w:rPr>
          <w:rFonts w:ascii="Times New Roman" w:eastAsia="Times New Roman" w:hAnsi="Times New Roman" w:cs="Times New Roman"/>
          <w:color w:val="000000"/>
          <w:spacing w:val="0"/>
          <w:w w:val="100"/>
          <w:position w:val="0"/>
          <w:shd w:val="clear" w:color="auto" w:fill="auto"/>
          <w:lang w:val="en-US" w:eastAsia="en-US" w:bidi="en-US"/>
        </w:rPr>
        <w:t xml:space="preserve"> (1905,</w:t>
      </w:r>
      <w:r>
        <w:rPr>
          <w:rFonts w:ascii="Times New Roman" w:eastAsia="Times New Roman" w:hAnsi="Times New Roman" w:cs="Times New Roman"/>
          <w:color w:val="000000"/>
          <w:spacing w:val="0"/>
          <w:w w:val="100"/>
          <w:position w:val="0"/>
          <w:shd w:val="clear" w:color="auto" w:fill="auto"/>
          <w:vertAlign w:val="superscript"/>
          <w:lang w:val="en-US" w:eastAsia="en-US" w:bidi="en-US"/>
        </w:rPr>
        <w:t>6</w:t>
      </w:r>
      <w:r>
        <w:rPr>
          <w:rFonts w:ascii="Times New Roman" w:eastAsia="Times New Roman" w:hAnsi="Times New Roman" w:cs="Times New Roman"/>
          <w:color w:val="000000"/>
          <w:spacing w:val="0"/>
          <w:w w:val="100"/>
          <w:position w:val="0"/>
          <w:shd w:val="clear" w:color="auto" w:fill="auto"/>
          <w:lang w:val="en-US" w:eastAsia="en-US" w:bidi="en-US"/>
        </w:rPr>
        <w:t xml:space="preserve">1966) </w:t>
      </w:r>
      <w:r>
        <w:rPr>
          <w:rFonts w:ascii="Times New Roman" w:eastAsia="Times New Roman" w:hAnsi="Times New Roman" w:cs="Times New Roman"/>
          <w:color w:val="000000"/>
          <w:spacing w:val="0"/>
          <w:w w:val="100"/>
          <w:position w:val="0"/>
          <w:shd w:val="clear" w:color="auto" w:fill="auto"/>
          <w:lang w:val="hr-HR" w:eastAsia="hr-HR" w:bidi="hr-HR"/>
        </w:rPr>
        <w:t xml:space="preserve">njegova učenika </w:t>
      </w:r>
      <w:r>
        <w:rPr>
          <w:rFonts w:ascii="Times New Roman" w:eastAsia="Times New Roman" w:hAnsi="Times New Roman" w:cs="Times New Roman"/>
          <w:color w:val="000000"/>
          <w:spacing w:val="0"/>
          <w:w w:val="100"/>
          <w:position w:val="0"/>
          <w:shd w:val="clear" w:color="auto" w:fill="auto"/>
          <w:lang w:val="en-US" w:eastAsia="en-US" w:bidi="en-US"/>
        </w:rPr>
        <w:t xml:space="preserve">Lea Baccka (1873-1956), </w:t>
      </w:r>
      <w:r>
        <w:rPr>
          <w:rFonts w:ascii="Times New Roman" w:eastAsia="Times New Roman" w:hAnsi="Times New Roman" w:cs="Times New Roman"/>
          <w:color w:val="000000"/>
          <w:spacing w:val="0"/>
          <w:w w:val="100"/>
          <w:position w:val="0"/>
          <w:shd w:val="clear" w:color="auto" w:fill="auto"/>
          <w:lang w:val="hr-HR" w:eastAsia="hr-HR" w:bidi="hr-HR"/>
        </w:rPr>
        <w:t xml:space="preserve">koji je </w:t>
      </w:r>
      <w:r>
        <w:rPr>
          <w:rFonts w:ascii="Times New Roman" w:eastAsia="Times New Roman" w:hAnsi="Times New Roman" w:cs="Times New Roman"/>
          <w:color w:val="000000"/>
          <w:spacing w:val="0"/>
          <w:w w:val="100"/>
          <w:position w:val="0"/>
          <w:shd w:val="clear" w:color="auto" w:fill="auto"/>
          <w:lang w:val="en-US" w:eastAsia="en-US" w:bidi="en-US"/>
        </w:rPr>
        <w:t xml:space="preserve">u to </w:t>
      </w:r>
      <w:r>
        <w:rPr>
          <w:rFonts w:ascii="Times New Roman" w:eastAsia="Times New Roman" w:hAnsi="Times New Roman" w:cs="Times New Roman"/>
          <w:color w:val="000000"/>
          <w:spacing w:val="0"/>
          <w:w w:val="100"/>
          <w:position w:val="0"/>
          <w:shd w:val="clear" w:color="auto" w:fill="auto"/>
          <w:lang w:val="hr-HR" w:eastAsia="hr-HR" w:bidi="hr-HR"/>
        </w:rPr>
        <w:t xml:space="preserve">doba još vjerovao u sintezu židovskoga mesijanizma i njemačkoga nacionalnog osjećaja: »Bez manjina ne postoji svjetskopovijesni cilj. Upravo time židovstvo je i postalo </w:t>
      </w:r>
      <w:r>
        <w:rPr>
          <w:rFonts w:ascii="Times New Roman" w:eastAsia="Times New Roman" w:hAnsi="Times New Roman" w:cs="Times New Roman"/>
          <w:i/>
          <w:iCs/>
          <w:color w:val="000000"/>
          <w:spacing w:val="0"/>
          <w:w w:val="100"/>
          <w:position w:val="0"/>
          <w:shd w:val="clear" w:color="auto" w:fill="auto"/>
          <w:lang w:val="hr-HR" w:eastAsia="hr-HR" w:bidi="hr-HR"/>
        </w:rPr>
        <w:t>mjerilo visine ćudorednosti</w:t>
      </w:r>
      <w:r>
        <w:rPr>
          <w:rFonts w:ascii="Times New Roman" w:eastAsia="Times New Roman" w:hAnsi="Times New Roman" w:cs="Times New Roman"/>
          <w:color w:val="000000"/>
          <w:spacing w:val="0"/>
          <w:w w:val="100"/>
          <w:position w:val="0"/>
          <w:shd w:val="clear" w:color="auto" w:fill="auto"/>
          <w:lang w:val="hr-HR" w:eastAsia="hr-HR" w:bidi="hr-HR"/>
        </w:rPr>
        <w:t xml:space="preserve"> na zem</w:t>
        <w:softHyphen/>
        <w:t>lji. Ono što je njegova zajednica doživjela od naroda među kojima je živjela uvijek je bilo mjerilo dokle su dopirali pravo i pravednost medu narodima, jer sva pravednost je praved</w:t>
        <w:softHyphen/>
        <w:t>nost za malobrojne... Na njegovoj (Izraelo- voj) sudbini može se očitati koliko je još os</w:t>
        <w:softHyphen/>
        <w:t>talo puta do mesijanskih dana. Kad Izrael bu</w:t>
        <w:softHyphen/>
        <w:t>de mogao mimo živjeti među narodima, ispu</w:t>
        <w:softHyphen/>
        <w:t xml:space="preserve">nit će se obećano vrijeme«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306 i d.). Za vrijeme Prvoga svjetskog rata </w:t>
      </w:r>
      <w:r>
        <w:rPr>
          <w:rFonts w:ascii="Times New Roman" w:eastAsia="Times New Roman" w:hAnsi="Times New Roman" w:cs="Times New Roman"/>
          <w:color w:val="000000"/>
          <w:spacing w:val="0"/>
          <w:w w:val="100"/>
          <w:position w:val="0"/>
          <w:shd w:val="clear" w:color="auto" w:fill="auto"/>
          <w:lang w:val="en-US" w:eastAsia="en-US" w:bidi="en-US"/>
        </w:rPr>
        <w:t>Hermann Co</w:t>
        <w:softHyphen/>
        <w:t xml:space="preserve">hen </w:t>
      </w:r>
      <w:r>
        <w:rPr>
          <w:rFonts w:ascii="Times New Roman" w:eastAsia="Times New Roman" w:hAnsi="Times New Roman" w:cs="Times New Roman"/>
          <w:color w:val="000000"/>
          <w:spacing w:val="0"/>
          <w:w w:val="100"/>
          <w:position w:val="0"/>
          <w:shd w:val="clear" w:color="auto" w:fill="auto"/>
          <w:lang w:val="hr-HR" w:eastAsia="hr-HR" w:bidi="hr-HR"/>
        </w:rPr>
        <w:t>izrazio je uvjerenje da će posrećena sim</w:t>
        <w:softHyphen/>
        <w:t>bioza židovstva i nijemstva nakon mira osigu</w:t>
        <w:softHyphen/>
        <w:t>rati Njemačkoj prednost u svim osnovama du</w:t>
        <w:softHyphen/>
        <w:t xml:space="preserve">hovnoga i duševnog života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(Deutschland </w:t>
      </w:r>
      <w:r>
        <w:rPr>
          <w:rFonts w:ascii="Times New Roman" w:eastAsia="Times New Roman" w:hAnsi="Times New Roman" w:cs="Times New Roman"/>
          <w:i/>
          <w:iCs/>
          <w:color w:val="000000"/>
          <w:spacing w:val="0"/>
          <w:w w:val="100"/>
          <w:position w:val="0"/>
          <w:shd w:val="clear" w:color="auto" w:fill="auto"/>
          <w:lang w:val="hr-HR" w:eastAsia="hr-HR" w:bidi="hr-HR"/>
        </w:rPr>
        <w:t>und das Judentum,</w:t>
      </w:r>
      <w:r>
        <w:rPr>
          <w:rFonts w:ascii="Times New Roman" w:eastAsia="Times New Roman" w:hAnsi="Times New Roman" w:cs="Times New Roman"/>
          <w:color w:val="000000"/>
          <w:spacing w:val="0"/>
          <w:w w:val="100"/>
          <w:position w:val="0"/>
          <w:shd w:val="clear" w:color="auto" w:fill="auto"/>
          <w:lang w:val="hr-HR" w:eastAsia="hr-HR" w:bidi="hr-HR"/>
        </w:rPr>
        <w:t xml:space="preserve"> 1916).</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Židovi su stekli emancipaciju u europskom građanskom društvu samo uz cijenu nijekanja vlastite nacionalnosti; njihovi prosvjetiteljski glasnogovornici u Njemačkoj odlučno su ih priznavali s obzirom na njemačke pobornike jednakih prava. Kad su se nakon poraza u Prvom svjetskom ratu i s pojavom gospodar</w:t>
        <w:softHyphen/>
        <w:t>skih poteškoća ponovno javile antisemitske manifestacije, od 1916. godine, mnogima su propale iluzije o njemačkom židovstvu. Neko</w:t>
        <w:softHyphen/>
        <w:t>liko desetljeća poslije ono je moralo zajedno s europskim židovstvom pod ubojitom mašine</w:t>
        <w:softHyphen/>
        <w:t xml:space="preserve">rijom njemačkoga </w:t>
      </w:r>
      <w:r>
        <w:rPr>
          <w:rFonts w:ascii="Times New Roman" w:eastAsia="Times New Roman" w:hAnsi="Times New Roman" w:cs="Times New Roman"/>
          <w:i/>
          <w:iCs/>
          <w:color w:val="000000"/>
          <w:spacing w:val="0"/>
          <w:w w:val="100"/>
          <w:position w:val="0"/>
          <w:shd w:val="clear" w:color="auto" w:fill="auto"/>
          <w:lang w:val="hr-HR" w:eastAsia="hr-HR" w:bidi="hr-HR"/>
        </w:rPr>
        <w:t>Reicha</w:t>
      </w:r>
      <w:r>
        <w:rPr>
          <w:rFonts w:ascii="Times New Roman" w:eastAsia="Times New Roman" w:hAnsi="Times New Roman" w:cs="Times New Roman"/>
          <w:color w:val="000000"/>
          <w:spacing w:val="0"/>
          <w:w w:val="100"/>
          <w:position w:val="0"/>
          <w:shd w:val="clear" w:color="auto" w:fill="auto"/>
          <w:lang w:val="hr-HR" w:eastAsia="hr-HR" w:bidi="hr-HR"/>
        </w:rPr>
        <w:t xml:space="preserve"> 1933^15 avanturu asimilacije platiti svojom propašću.</w:t>
      </w:r>
    </w:p>
    <w:p>
      <w:pPr>
        <w:pStyle w:val="Style56"/>
        <w:keepNext w:val="0"/>
        <w:keepLines w:val="0"/>
        <w:widowControl w:val="0"/>
        <w:shd w:val="clear" w:color="auto" w:fill="auto"/>
        <w:bidi w:val="0"/>
        <w:spacing w:before="0" w:after="0" w:line="240" w:lineRule="auto"/>
        <w:ind w:left="0" w:right="0" w:firstLine="0"/>
        <w:jc w:val="both"/>
        <w:sectPr>
          <w:headerReference w:type="default" r:id="rId1313"/>
          <w:footerReference w:type="default" r:id="rId1314"/>
          <w:headerReference w:type="even" r:id="rId1315"/>
          <w:footerReference w:type="even" r:id="rId1316"/>
          <w:footnotePr>
            <w:pos w:val="pageBottom"/>
            <w:numFmt w:val="decimal"/>
            <w:numRestart w:val="continuous"/>
            <w15:footnoteColumns w:val="1"/>
          </w:footnotePr>
          <w:pgSz w:w="6816" w:h="11006"/>
          <w:pgMar w:top="973" w:left="189" w:right="195" w:bottom="516" w:header="0" w:footer="3" w:gutter="0"/>
          <w:pgNumType w:start="432"/>
          <w:cols w:num="2" w:space="169"/>
          <w:noEndnote/>
          <w:rtlGutter w:val="0"/>
          <w:docGrid w:linePitch="360"/>
        </w:sectPr>
      </w:pPr>
      <w:r>
        <w:rPr>
          <w:smallCaps/>
          <w:color w:val="000000"/>
          <w:spacing w:val="0"/>
          <w:w w:val="100"/>
          <w:position w:val="0"/>
          <w:shd w:val="clear" w:color="auto" w:fill="auto"/>
          <w:lang w:val="hr-HR" w:eastAsia="hr-HR" w:bidi="hr-HR"/>
        </w:rPr>
        <w:t xml:space="preserve">Iju: </w:t>
      </w:r>
      <w:r>
        <w:rPr>
          <w:i/>
          <w:iCs/>
          <w:color w:val="000000"/>
          <w:spacing w:val="0"/>
          <w:w w:val="100"/>
          <w:position w:val="0"/>
          <w:shd w:val="clear" w:color="auto" w:fill="auto"/>
          <w:lang w:val="hr-HR" w:eastAsia="hr-HR" w:bidi="hr-HR"/>
        </w:rPr>
        <w:t>Judischa Ladkorc</w:t>
      </w:r>
      <w:r>
        <w:rPr>
          <w:color w:val="000000"/>
          <w:spacing w:val="0"/>
          <w:w w:val="100"/>
          <w:position w:val="0"/>
          <w:shd w:val="clear" w:color="auto" w:fill="auto"/>
          <w:lang w:val="hr-HR" w:eastAsia="hr-HR" w:bidi="hr-HR"/>
        </w:rPr>
        <w:t xml:space="preserve"> 1927/82. II. 1442-49. 1000-1002: IH, 1099 i d : IV/1, 415-28-1288-94; </w:t>
      </w:r>
      <w:r>
        <w:rPr>
          <w:i/>
          <w:iCs/>
          <w:color w:val="000000"/>
          <w:spacing w:val="0"/>
          <w:w w:val="100"/>
          <w:position w:val="0"/>
          <w:shd w:val="clear" w:color="auto" w:fill="auto"/>
        </w:rPr>
        <w:t xml:space="preserve">Encyclopaedia Judaica </w:t>
      </w:r>
      <w:r>
        <w:rPr>
          <w:color w:val="000000"/>
          <w:spacing w:val="0"/>
          <w:w w:val="100"/>
          <w:position w:val="0"/>
          <w:shd w:val="clear" w:color="auto" w:fill="auto"/>
          <w:lang w:val="hr-HR" w:eastAsia="hr-HR" w:bidi="hr-HR"/>
        </w:rPr>
        <w:t xml:space="preserve">7,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1433-52; J. Maicr, </w:t>
      </w:r>
      <w:r>
        <w:rPr>
          <w:i/>
          <w:iCs/>
          <w:color w:val="000000"/>
          <w:spacing w:val="0"/>
          <w:w w:val="100"/>
          <w:position w:val="0"/>
          <w:shd w:val="clear" w:color="auto" w:fill="auto"/>
          <w:lang w:val="hr-HR" w:eastAsia="hr-HR" w:bidi="hr-HR"/>
        </w:rPr>
        <w:t xml:space="preserve">Geschichle der jddischen Reli- </w:t>
      </w:r>
    </w:p>
    <w:p>
      <w:pPr>
        <w:pStyle w:val="Style56"/>
        <w:keepNext w:val="0"/>
        <w:keepLines w:val="0"/>
        <w:widowControl w:val="0"/>
        <w:shd w:val="clear" w:color="auto" w:fill="auto"/>
        <w:bidi w:val="0"/>
        <w:spacing w:before="0" w:after="0" w:line="240" w:lineRule="auto"/>
        <w:ind w:left="0" w:right="0" w:firstLine="0"/>
        <w:jc w:val="both"/>
      </w:pPr>
      <w:r>
        <w:rPr>
          <w:i/>
          <w:iCs/>
          <w:color w:val="000000"/>
          <w:spacing w:val="0"/>
          <w:w w:val="100"/>
          <w:position w:val="0"/>
          <w:shd w:val="clear" w:color="auto" w:fill="auto"/>
        </w:rPr>
        <w:t>gion,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1972, 572 t d.; C. Scholcm. Judcn </w:t>
      </w:r>
      <w:r>
        <w:rPr>
          <w:color w:val="000000"/>
          <w:spacing w:val="0"/>
          <w:w w:val="100"/>
          <w:position w:val="0"/>
          <w:shd w:val="clear" w:color="auto" w:fill="auto"/>
        </w:rPr>
        <w:t xml:space="preserve">und Deutsche,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2, 1977, 20-46; isti, </w:t>
      </w:r>
      <w:r>
        <w:rPr>
          <w:i/>
          <w:iCs/>
          <w:color w:val="000000"/>
          <w:spacing w:val="0"/>
          <w:w w:val="100"/>
          <w:position w:val="0"/>
          <w:shd w:val="clear" w:color="auto" w:fill="auto"/>
          <w:lang w:val="hr-HR" w:eastAsia="hr-HR" w:bidi="hr-HR"/>
        </w:rPr>
        <w:t xml:space="preserve">Von Berlin </w:t>
      </w:r>
      <w:r>
        <w:rPr>
          <w:i/>
          <w:iCs/>
          <w:color w:val="000000"/>
          <w:spacing w:val="0"/>
          <w:w w:val="100"/>
          <w:position w:val="0"/>
          <w:shd w:val="clear" w:color="auto" w:fill="auto"/>
        </w:rPr>
        <w:t xml:space="preserve">nach Jerusalem, </w:t>
      </w:r>
      <w:r>
        <w:rPr>
          <w:color w:val="000000"/>
          <w:spacing w:val="0"/>
          <w:w w:val="100"/>
          <w:position w:val="0"/>
          <w:shd w:val="clear" w:color="auto" w:fill="auto"/>
          <w:lang w:val="hr-HR" w:eastAsia="hr-HR" w:bidi="hr-HR"/>
        </w:rPr>
        <w:t xml:space="preserve">1978;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Schocps, </w:t>
      </w:r>
      <w:r>
        <w:rPr>
          <w:i/>
          <w:iCs/>
          <w:color w:val="000000"/>
          <w:spacing w:val="0"/>
          <w:w w:val="100"/>
          <w:position w:val="0"/>
          <w:shd w:val="clear" w:color="auto" w:fill="auto"/>
        </w:rPr>
        <w:t>Moses Mendelssohn,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1979; E. </w:t>
      </w:r>
      <w:r>
        <w:rPr>
          <w:color w:val="000000"/>
          <w:spacing w:val="0"/>
          <w:w w:val="100"/>
          <w:position w:val="0"/>
          <w:shd w:val="clear" w:color="auto" w:fill="auto"/>
        </w:rPr>
        <w:t xml:space="preserve">Simon, </w:t>
      </w:r>
      <w:r>
        <w:rPr>
          <w:i/>
          <w:iCs/>
          <w:color w:val="000000"/>
          <w:spacing w:val="0"/>
          <w:w w:val="100"/>
          <w:position w:val="0"/>
          <w:shd w:val="clear" w:color="auto" w:fill="auto"/>
          <w:lang w:val="hr-HR" w:eastAsia="hr-HR" w:bidi="hr-HR"/>
        </w:rPr>
        <w:t>Entscheidung zum Judenlum,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19WJ, </w:t>
      </w:r>
      <w:r>
        <w:rPr>
          <w:color w:val="000000"/>
          <w:spacing w:val="0"/>
          <w:w w:val="100"/>
          <w:position w:val="0"/>
          <w:shd w:val="clear" w:color="auto" w:fill="auto"/>
          <w:lang w:val="hr-HR" w:eastAsia="hr-HR" w:bidi="hr-HR"/>
        </w:rPr>
        <w:t xml:space="preserve">II i d., 26 i d., 249 i d.; P. v. d. Ostcn-Sackcn, </w:t>
      </w:r>
      <w:r>
        <w:rPr>
          <w:color w:val="000000"/>
          <w:spacing w:val="0"/>
          <w:w w:val="100"/>
          <w:position w:val="0"/>
          <w:shd w:val="clear" w:color="auto" w:fill="auto"/>
        </w:rPr>
        <w:t xml:space="preserve">Hrsg., </w:t>
      </w:r>
      <w:r>
        <w:rPr>
          <w:i/>
          <w:iCs/>
          <w:color w:val="000000"/>
          <w:spacing w:val="0"/>
          <w:w w:val="100"/>
          <w:position w:val="0"/>
          <w:shd w:val="clear" w:color="auto" w:fill="auto"/>
          <w:lang w:val="hr-HR" w:eastAsia="hr-HR" w:bidi="hr-HR"/>
        </w:rPr>
        <w:t xml:space="preserve">Judcn </w:t>
      </w:r>
      <w:r>
        <w:rPr>
          <w:i/>
          <w:iCs/>
          <w:color w:val="000000"/>
          <w:spacing w:val="0"/>
          <w:w w:val="100"/>
          <w:position w:val="0"/>
          <w:shd w:val="clear" w:color="auto" w:fill="auto"/>
        </w:rPr>
        <w:t>in Deutschland,</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1980,69 j d., 191 i d.; H. H. Bcn-Sasscn (Hrsg.), </w:t>
      </w:r>
      <w:r>
        <w:rPr>
          <w:i/>
          <w:iCs/>
          <w:color w:val="000000"/>
          <w:spacing w:val="0"/>
          <w:w w:val="100"/>
          <w:position w:val="0"/>
          <w:shd w:val="clear" w:color="auto" w:fill="auto"/>
          <w:lang w:val="hr-HR" w:eastAsia="hr-HR" w:bidi="hr-HR"/>
        </w:rPr>
        <w:t>Geschichte des jiidischen Volkcs</w:t>
      </w:r>
      <w:r>
        <w:rPr>
          <w:color w:val="000000"/>
          <w:spacing w:val="0"/>
          <w:w w:val="100"/>
          <w:position w:val="0"/>
          <w:shd w:val="clear" w:color="auto" w:fill="auto"/>
          <w:lang w:val="hr-HR" w:eastAsia="hr-HR" w:bidi="hr-HR"/>
        </w:rPr>
        <w:t xml:space="preserve"> 3, 1980, 65 i d., 111 i d.» 137 i d.</w:t>
      </w:r>
    </w:p>
    <w:p>
      <w:pPr>
        <w:pStyle w:val="Style20"/>
        <w:keepNext w:val="0"/>
        <w:keepLines w:val="0"/>
        <w:widowControl w:val="0"/>
        <w:shd w:val="clear" w:color="auto" w:fill="auto"/>
        <w:tabs>
          <w:tab w:pos="2711" w:val="left"/>
        </w:tabs>
        <w:bidi w:val="0"/>
        <w:spacing w:before="0" w:after="120" w:line="192" w:lineRule="auto"/>
        <w:ind w:left="248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w:t>
        <w:tab/>
      </w:r>
      <w:r>
        <w:rPr>
          <w:rFonts w:ascii="Times New Roman" w:eastAsia="Times New Roman" w:hAnsi="Times New Roman" w:cs="Times New Roman"/>
          <w:smallCaps/>
          <w:color w:val="000000"/>
          <w:spacing w:val="0"/>
          <w:w w:val="100"/>
          <w:position w:val="0"/>
          <w:shd w:val="clear" w:color="auto" w:fill="auto"/>
          <w:lang w:val="hr-HR" w:eastAsia="hr-HR" w:bidi="hr-HR"/>
        </w:rPr>
        <w:t>vi-to-r</w:t>
      </w:r>
    </w:p>
    <w:p>
      <w:pPr>
        <w:pStyle w:val="Style63"/>
        <w:keepNext/>
        <w:keepLines/>
        <w:widowControl w:val="0"/>
        <w:numPr>
          <w:ilvl w:val="0"/>
          <w:numId w:val="495"/>
        </w:numPr>
        <w:shd w:val="clear" w:color="auto" w:fill="auto"/>
        <w:tabs>
          <w:tab w:pos="255" w:val="left"/>
        </w:tabs>
        <w:bidi w:val="0"/>
        <w:spacing w:before="0" w:line="223" w:lineRule="auto"/>
        <w:ind w:left="0" w:right="0" w:firstLine="0"/>
        <w:jc w:val="both"/>
      </w:pPr>
      <w:bookmarkStart w:id="322" w:name="bookmark32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22"/>
    </w:p>
    <w:p>
      <w:pPr>
        <w:pStyle w:val="Style20"/>
        <w:keepNext w:val="0"/>
        <w:keepLines w:val="0"/>
        <w:widowControl w:val="0"/>
        <w:numPr>
          <w:ilvl w:val="0"/>
          <w:numId w:val="499"/>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Raširenija je približna jezična uporaba se</w:t>
        <w:softHyphen/>
        <w:t>kularizacije u kojoj se tim pojmom ističe (epo</w:t>
        <w:softHyphen/>
        <w:t>halno) zbivanje u kojem se jedan (većinom kulturni) fenomen koji je bio u religioznoj po</w:t>
        <w:softHyphen/>
        <w:t>vezanosti oslobađa od te povezanosti i tako doživljava promjenu u svom značenju, odnos</w:t>
        <w:softHyphen/>
        <w:t>no u svom samorazumijevanju. Činjenica da se ta uporaba oblikovala u određenom kul</w:t>
        <w:softHyphen/>
        <w:t>turalnom kontekstu daje toj kategoriji ipak jasniji profil. Ona se svodi na opis pravno- -političkog čina, naime, izvlaščivanja i »posvje- tovljenja« svećeničkih dobara i vlasništava na početku XIX. stoljeća. U svakom slučaju tim se događajem zgusnula u neku ruku socijalna, kulturalna i duhovna promjena koja je već duže vremena trajala i sve se brže izvršavala, a izvori koje sežu u kasni srednji vijek (spor oko investitura). Tako s. ukazuje u užem smislu na razvoj što ga je poprimio odnos kršćanske vje</w:t>
        <w:softHyphen/>
        <w:t>re i njezinih institucionalnih oblika (Crkva) s jedne strane, a s druge strane odnos kršćanske vjere i ostalih područja društva, posebno od početka novoga doba. Da s. ne samo opisuje ove duhovno-povijesne i društvene promjene, nego ih i stavlja u okvir tumačenja, sačinjava posebnu problematiku ove kategorije. Sporno je naime kako treba pobliže tumačiti ovaj po</w:t>
        <w:softHyphen/>
        <w:t>vijesni razvoj pri čemu opseg tumačenja na koja se može naići seže od povijesti uruša- vanja sve do povijesti emancipacije. Tako po</w:t>
        <w:softHyphen/>
        <w:t>staje istodobno jasno da s primjenom toga pojma u većinu slučajeva ulazi i decidirana pristranost u sporu oko položaja kršćanstva, odnosno crkava u modemom društvu. U naj</w:t>
        <w:softHyphen/>
        <w:t>boljem slučaju mogu se iznijeti sljedeća zajed</w:t>
        <w:softHyphen/>
        <w:t>nička obilježja: »S jedne strane u pojmu i problemu sekularizacije krije se uvijek trenu</w:t>
        <w:softHyphen/>
        <w:t>tak razlike, prekida između vjerom i Crkvom obilježene i uređene kulture, između same po sebi razumljive vrijednosti religioznih pre</w:t>
        <w:softHyphen/>
        <w:t>dodžbi i pojave da one više nisu same po sebi razumljive. Prema tomu, govor o novovjekov</w:t>
        <w:softHyphen/>
        <w:t>nom procesu sekularizacije pretpostavlja svi</w:t>
        <w:softHyphen/>
        <w:t xml:space="preserve">jest o temeljnoj cczuri u odnosu vjere, Crkve i </w:t>
      </w:r>
      <w:r>
        <w:rPr>
          <w:rFonts w:ascii="Times New Roman" w:eastAsia="Times New Roman" w:hAnsi="Times New Roman" w:cs="Times New Roman"/>
          <w:color w:val="000000"/>
          <w:spacing w:val="0"/>
          <w:w w:val="100"/>
          <w:position w:val="0"/>
          <w:shd w:val="clear" w:color="auto" w:fill="auto"/>
          <w:lang w:val="hr-HR" w:eastAsia="hr-HR" w:bidi="hr-HR"/>
        </w:rPr>
        <w:t>društva. S druge strane - i u tome leži ambiva</w:t>
        <w:softHyphen/>
        <w:t>lentnost - u natuknici s. još se jednom stavlja u međusobni odnos kršćanstvo i moderna, unatoč svekolikom iskustvu razlike i diskonti- nuiteta kada se npr. pita o doprinosu kršćan</w:t>
        <w:softHyphen/>
        <w:t>stva u oblikovanju modernog svijeta ili o pri</w:t>
        <w:softHyphen/>
        <w:t>sutnosti onoga što je kršćansko u izmijenje</w:t>
        <w:softHyphen/>
        <w:t>nim uvjetima modernog društva u novom društvenom i duhovnom kontekstu (U. Ruh, 1982, 63).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Nesumnjivo je široka diskusija o sekularizaciji posvijestila središnje probleme koji proizlaze iz samorazumijevanja modernog društva i lju</w:t>
        <w:softHyphen/>
        <w:t>di koji u njemu žive. U svakom slučaju treba sumnjati da bi oni mogli uz pomoć kategorije sekularizacije doći do valjanog rješenja. U različitim znanstvenim disciplinama u kojima je godinama doživljavala visoku konjunkturu može se svakako zapaziti tendencija da se s. odbaci kao osnovni teoretski pojam.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Navest ćemo neke primjere za to:</w:t>
      </w:r>
    </w:p>
    <w:p>
      <w:pPr>
        <w:pStyle w:val="Style20"/>
        <w:keepNext w:val="0"/>
        <w:keepLines w:val="0"/>
        <w:widowControl w:val="0"/>
        <w:numPr>
          <w:ilvl w:val="0"/>
          <w:numId w:val="499"/>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religijskoj sociologiji obilježava se kao s. ona društvena promjena u tijeku koje se u društvu izgubilo značenje religije, a crkvenost se povukla. Drži se da su ovaj razvoj pro</w:t>
        <w:softHyphen/>
        <w:t>uzročili opći društveni procesi kao industri</w:t>
        <w:softHyphen/>
        <w:t>jalizacija, urbanizacija i širenje znanosti, a pri</w:t>
        <w:softHyphen/>
        <w:t>kazanje kao nepovratan proces koji se nastav</w:t>
        <w:softHyphen/>
        <w:t>lja. Ova tzv. teza o sekularizaciji u svakom je slučaju, zbog složenosti i proturječnosti u is</w:t>
        <w:softHyphen/>
        <w:t>kazima i iskustvima koja su u nju ušla, krajnje upitna i zato se jedva još primjenjuje. Umjesto toga daje se prednost društveno-teoretskoj perspektivi koja analizira promjenu koja se iz</w:t>
        <w:softHyphen/>
        <w:t>vršila na religijskom području kao reakcija na opći proces diferenciranja i osamostaljivanja područja društvenih funkcija te ih diferencira- nijc zapaža i tumači u njihovim uvjetima i po</w:t>
        <w:softHyphen/>
        <w:t>sljedicama.</w:t>
      </w:r>
    </w:p>
    <w:p>
      <w:pPr>
        <w:pStyle w:val="Style20"/>
        <w:keepNext w:val="0"/>
        <w:keepLines w:val="0"/>
        <w:widowControl w:val="0"/>
        <w:numPr>
          <w:ilvl w:val="0"/>
          <w:numId w:val="499"/>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 teza H. Blumcnberga da je s. »katego</w:t>
        <w:softHyphen/>
        <w:t>rija povijesne nelegitimnosti« koja je morala uz to trpjeti da se novo doba teološki osvoji i da joj se time ospori legitimnost, imala je u međuvremenu povijesno mjesto u okviru širo</w:t>
        <w:softHyphen/>
        <w:t>ko vođene povijesno-filozofske diskusije u ko</w:t>
        <w:softHyphen/>
        <w:t>joj se radilo o procjeni naknadnog djelovanja i primanja kršćanskih tradicionalnih sadržaja u novovjekovnoj povijesti duha.</w:t>
      </w:r>
    </w:p>
    <w:p>
      <w:pPr>
        <w:pStyle w:val="Style20"/>
        <w:keepNext w:val="0"/>
        <w:keepLines w:val="0"/>
        <w:widowControl w:val="0"/>
        <w:shd w:val="clear" w:color="auto" w:fill="auto"/>
        <w:bidi w:val="0"/>
        <w:spacing w:before="0" w:after="0" w:line="240" w:lineRule="auto"/>
        <w:ind w:left="0" w:right="0" w:firstLine="0"/>
        <w:jc w:val="both"/>
      </w:pPr>
      <w:r>
        <mc:AlternateContent>
          <mc:Choice Requires="wps">
            <w:drawing>
              <wp:anchor distT="0" distB="254000" distL="114300" distR="114300" simplePos="0" relativeHeight="125829425" behindDoc="0" locked="0" layoutInCell="1" allowOverlap="1">
                <wp:simplePos x="0" y="0"/>
                <wp:positionH relativeFrom="page">
                  <wp:posOffset>4013835</wp:posOffset>
                </wp:positionH>
                <wp:positionV relativeFrom="margin">
                  <wp:posOffset>6102350</wp:posOffset>
                </wp:positionV>
                <wp:extent cx="182880" cy="149225"/>
                <wp:wrapTopAndBottom/>
                <wp:docPr id="2845" name="Shape 2845"/>
                <a:graphic xmlns:a="http://schemas.openxmlformats.org/drawingml/2006/main">
                  <a:graphicData uri="http://schemas.microsoft.com/office/word/2010/wordprocessingShape">
                    <wps:wsp>
                      <wps:cNvSpPr txBox="1"/>
                      <wps:spPr>
                        <a:xfrm>
                          <a:ext cx="182880" cy="149225"/>
                        </a:xfrm>
                        <a:prstGeom prst="rect"/>
                        <a:noFill/>
                      </wps:spPr>
                      <wps:txbx>
                        <w:txbxContent>
                          <w:p>
                            <w:pPr>
                              <w:pStyle w:val="Style91"/>
                              <w:keepNext/>
                              <w:keepLines/>
                              <w:widowControl w:val="0"/>
                              <w:shd w:val="clear" w:color="auto" w:fill="auto"/>
                              <w:bidi w:val="0"/>
                              <w:spacing w:before="0" w:after="0" w:line="240" w:lineRule="auto"/>
                              <w:ind w:left="0" w:right="0" w:firstLine="0"/>
                              <w:jc w:val="left"/>
                            </w:pPr>
                            <w:bookmarkStart w:id="313" w:name="bookmark313"/>
                            <w:r>
                              <w:rPr>
                                <w:rFonts w:ascii="Times New Roman" w:eastAsia="Times New Roman" w:hAnsi="Times New Roman" w:cs="Times New Roman"/>
                                <w:color w:val="000000"/>
                                <w:spacing w:val="0"/>
                                <w:w w:val="100"/>
                                <w:position w:val="0"/>
                                <w:shd w:val="clear" w:color="auto" w:fill="auto"/>
                                <w:lang w:val="hr-HR" w:eastAsia="hr-HR" w:bidi="hr-HR"/>
                              </w:rPr>
                              <w:t>d-n</w:t>
                            </w:r>
                            <w:bookmarkEnd w:id="313"/>
                          </w:p>
                        </w:txbxContent>
                      </wps:txbx>
                      <wps:bodyPr wrap="none" lIns="0" tIns="0" rIns="0" bIns="0">
                        <a:noAutoFit/>
                      </wps:bodyPr>
                    </wps:wsp>
                  </a:graphicData>
                </a:graphic>
              </wp:anchor>
            </w:drawing>
          </mc:Choice>
          <mc:Fallback>
            <w:pict>
              <v:shape id="_x0000_s3871" type="#_x0000_t202" style="position:absolute;margin-left:316.05000000000001pt;margin-top:480.5pt;width:14.4pt;height:11.75pt;z-index:-125829328;mso-wrap-distance-left:9.pt;mso-wrap-distance-right:9.pt;mso-wrap-distance-bottom:20.pt;mso-position-horizontal-relative:page;mso-position-vertical-relative:margin" filled="f" stroked="f">
                <v:textbox inset="0,0,0,0">
                  <w:txbxContent>
                    <w:p>
                      <w:pPr>
                        <w:pStyle w:val="Style91"/>
                        <w:keepNext/>
                        <w:keepLines/>
                        <w:widowControl w:val="0"/>
                        <w:shd w:val="clear" w:color="auto" w:fill="auto"/>
                        <w:bidi w:val="0"/>
                        <w:spacing w:before="0" w:after="0" w:line="240" w:lineRule="auto"/>
                        <w:ind w:left="0" w:right="0" w:firstLine="0"/>
                        <w:jc w:val="left"/>
                      </w:pPr>
                      <w:bookmarkStart w:id="313" w:name="bookmark313"/>
                      <w:r>
                        <w:rPr>
                          <w:rFonts w:ascii="Times New Roman" w:eastAsia="Times New Roman" w:hAnsi="Times New Roman" w:cs="Times New Roman"/>
                          <w:color w:val="000000"/>
                          <w:spacing w:val="0"/>
                          <w:w w:val="100"/>
                          <w:position w:val="0"/>
                          <w:shd w:val="clear" w:color="auto" w:fill="auto"/>
                          <w:lang w:val="hr-HR" w:eastAsia="hr-HR" w:bidi="hr-HR"/>
                        </w:rPr>
                        <w:t>d-n</w:t>
                      </w:r>
                      <w:bookmarkEnd w:id="313"/>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Pritom se u svakom slučaju pokazala i prob</w:t>
        <w:softHyphen/>
        <w:t>lematika tako opsežnih pokušaja tumačenja da se novo doba, odnosno moderna diferenci- ranijc teoretski utemelji iz jednog jedinog na</w:t>
        <w:softHyphen/>
      </w:r>
      <w:r>
        <w:rPr>
          <w:rFonts w:ascii="Times New Roman" w:eastAsia="Times New Roman" w:hAnsi="Times New Roman" w:cs="Times New Roman"/>
          <w:color w:val="000000"/>
          <w:spacing w:val="0"/>
          <w:w w:val="100"/>
          <w:position w:val="0"/>
          <w:shd w:val="clear" w:color="auto" w:fill="auto"/>
          <w:lang w:val="hr-HR" w:eastAsia="hr-HR" w:bidi="hr-HR"/>
        </w:rPr>
        <w:t>čela. Jer, čimbenici koji su pridonijeli genezi onoga što vrijedi kao novovjekovno mišljenje teško se mogu svesti na zajednički nazivnik. Također se faktična prisutnost kršćanstva u novovjekovnoj povijesti pokazuje drugačije nego što bi bilo dopustivo da sc ono odredi kao stanovit (prije novoga doba) oblik pojav</w:t>
        <w:softHyphen/>
        <w:t>ljivanja.</w:t>
      </w:r>
    </w:p>
    <w:p>
      <w:pPr>
        <w:pStyle w:val="Style20"/>
        <w:keepNext w:val="0"/>
        <w:keepLines w:val="0"/>
        <w:widowControl w:val="0"/>
        <w:numPr>
          <w:ilvl w:val="0"/>
          <w:numId w:val="499"/>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Unutar crkveno-teološke diskusije katego</w:t>
        <w:softHyphen/>
        <w:t>rija sekularizacije na poseban način potiče na razmišljanje o sebi. S njim načelni problem odnosa kršćanstva i svijeta praktički ipak doživljava zaoštrenost s krajnje bogatim po</w:t>
        <w:softHyphen/>
        <w:t>sljedicama. Ipak je u crkvenoj svakodnevnoj praksi i odveć poznato iskustvo o umanjivanju značenja religije (svakako u njezinom uobi</w:t>
        <w:softHyphen/>
        <w:t>čajenom obliku javljanja). Nisu pojedinačni slučajevi ni pokušaji da na »moderan duh vre</w:t>
        <w:softHyphen/>
        <w:t>mena« reagiramo njegovim osuđivanjem kao na zlokoban »sekularizam« i da se od njega jasno omeđimo, odnosno svjesno usmjerava</w:t>
        <w:softHyphen/>
        <w:t>mo protiv njega. Ostali pak sekularizaciju ocjenjuju kao šansu: crkve se oslobađaju te</w:t>
        <w:softHyphen/>
        <w:t>reta pretijesne vezanosti uz »svjetovne stvari« i mogu se jače posvetiti svojim specifičnim za</w:t>
        <w:softHyphen/>
        <w:t>daćama.</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sustavnoj teološkoj refleksiji ima niz pola</w:t>
        <w:softHyphen/>
        <w:t>zišta koja se izričito bave problematikom koja proizlazi iz sekularizacije. Veliki utjecaj posti</w:t>
        <w:softHyphen/>
        <w:t>gla je teza da u samoj kršćanskoj vjeri obitava tendencija prema sekularizaciji i da je ona utoliko začetnik novovjekovnog procesa seku</w:t>
        <w:softHyphen/>
        <w:t>larizacije. »Svjetovnost svijeta kakva je nasta</w:t>
        <w:softHyphen/>
        <w:t>la u novovjekovnom procesu posvjetovljenja i kakva nas danas gleda u globalno zaoštrenom obliku nastala je u svojoj osnovi, dakako nc u svojim pojedinačnim povijesnim obilježjima, nc protiv kršćanstva nego putem kršćanstva: Ona je izvorno kršćanski događaj i time svje</w:t>
        <w:softHyphen/>
        <w:t xml:space="preserve">doči snagu ‘Kristova časa’ koja unutarpovi- jesno vlada u našoj svjetskoj situaciji«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B. Metz). Po vjeri u postanak, koja jc potvrđena i nadmašena u događaju Božjeg utjelovljenja u Isusu Kristu, Bog je radikalno i izvorno oslo</w:t>
        <w:softHyphen/>
        <w:t>bodio svijet u njegovoj vlastitosti. Dakako, ne treba se nekritički služiti takvim teološkim po</w:t>
        <w:softHyphen/>
        <w:t>tvrđivanjem procesa sekularizacije. Taj pro</w:t>
        <w:softHyphen/>
        <w:t>ces, tako se naglašava, povlači za sobom pre</w:t>
        <w:softHyphen/>
        <w:t>tjerivanja i izopačenja kao što se to odražava npr. u kobnoj težnji za samoostvarenjem. Za</w:t>
        <w:softHyphen/>
        <w:t>to je zadatak, koji proizlazi iz vjere, pobrinuti se za pravu sekularnost svijeta i održati bud</w:t>
        <w:softHyphen/>
      </w:r>
      <w:r>
        <w:rPr>
          <w:rFonts w:ascii="Times New Roman" w:eastAsia="Times New Roman" w:hAnsi="Times New Roman" w:cs="Times New Roman"/>
          <w:color w:val="000000"/>
          <w:spacing w:val="0"/>
          <w:w w:val="100"/>
          <w:position w:val="0"/>
          <w:shd w:val="clear" w:color="auto" w:fill="auto"/>
          <w:lang w:val="hr-HR" w:eastAsia="hr-HR" w:bidi="hr-HR"/>
        </w:rPr>
        <w:t>nim sjećanje na njezin izvor. U međuvremenu se protiv ovoga stava kritički primjećuje da se vjera, koja je zamišljena strogo nesvjetovno, izlaže opasnosti da postane privativno izoli</w:t>
        <w:softHyphen/>
        <w:t>rana i da tako neće više moći istaknuti svoju (društveno-) kritički-oslobadajuću snagu u sa</w:t>
        <w:softHyphen/>
        <w:t>dašnjim uvjetima.</w:t>
      </w:r>
    </w:p>
    <w:p>
      <w:pPr>
        <w:pStyle w:val="Style56"/>
        <w:keepNext w:val="0"/>
        <w:keepLines w:val="0"/>
        <w:widowControl w:val="0"/>
        <w:shd w:val="clear" w:color="auto" w:fill="auto"/>
        <w:tabs>
          <w:tab w:pos="2501" w:val="left"/>
        </w:tabs>
        <w:bidi w:val="0"/>
        <w:spacing w:before="0" w:after="220" w:line="240" w:lineRule="auto"/>
        <w:ind w:left="0" w:right="0" w:firstLine="0"/>
        <w:jc w:val="both"/>
      </w:pPr>
      <w:r>
        <w:rPr>
          <w:color w:val="000000"/>
          <w:spacing w:val="0"/>
          <w:w w:val="100"/>
          <w:position w:val="0"/>
          <w:shd w:val="clear" w:color="auto" w:fill="auto"/>
          <w:lang w:val="hr-HR" w:eastAsia="hr-HR" w:bidi="hr-HR"/>
        </w:rPr>
        <w:t xml:space="preserve">Lit.: U. Ruh, </w:t>
      </w:r>
      <w:r>
        <w:rPr>
          <w:i/>
          <w:iCs/>
          <w:color w:val="000000"/>
          <w:spacing w:val="0"/>
          <w:w w:val="100"/>
          <w:position w:val="0"/>
          <w:shd w:val="clear" w:color="auto" w:fill="auto"/>
          <w:lang w:val="hr-HR" w:eastAsia="hr-HR" w:bidi="hr-HR"/>
        </w:rPr>
        <w:t>Sdkularisalion als /nterpreiatiorukaiegorie,</w:t>
      </w:r>
      <w:r>
        <w:rPr>
          <w:color w:val="000000"/>
          <w:spacing w:val="0"/>
          <w:w w:val="100"/>
          <w:position w:val="0"/>
          <w:shd w:val="clear" w:color="auto" w:fill="auto"/>
          <w:lang w:val="hr-HR" w:eastAsia="hr-HR" w:bidi="hr-HR"/>
        </w:rPr>
        <w:t xml:space="preserve"> Fr 1980; isti, Sakularisation, u: F. Bocklc i dr. (Hrsg.), </w:t>
      </w:r>
      <w:r>
        <w:rPr>
          <w:i/>
          <w:iCs/>
          <w:color w:val="000000"/>
          <w:spacing w:val="0"/>
          <w:w w:val="100"/>
          <w:position w:val="0"/>
          <w:shd w:val="clear" w:color="auto" w:fill="auto"/>
          <w:lang w:val="hr-HR" w:eastAsia="hr-HR" w:bidi="hr-HR"/>
        </w:rPr>
        <w:t xml:space="preserve">Chriilli- </w:t>
      </w:r>
      <w:r>
        <w:rPr>
          <w:i/>
          <w:iCs/>
          <w:color w:val="000000"/>
          <w:spacing w:val="0"/>
          <w:w w:val="100"/>
          <w:position w:val="0"/>
          <w:shd w:val="clear" w:color="auto" w:fill="auto"/>
        </w:rPr>
        <w:t xml:space="preserve">cher </w:t>
      </w:r>
      <w:r>
        <w:rPr>
          <w:i/>
          <w:iCs/>
          <w:color w:val="000000"/>
          <w:spacing w:val="0"/>
          <w:w w:val="100"/>
          <w:position w:val="0"/>
          <w:shd w:val="clear" w:color="auto" w:fill="auto"/>
          <w:lang w:val="hr-HR" w:eastAsia="hr-HR" w:bidi="hr-HR"/>
        </w:rPr>
        <w:t xml:space="preserve">Glaube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modemer </w:t>
      </w:r>
      <w:r>
        <w:rPr>
          <w:i/>
          <w:iCs/>
          <w:color w:val="000000"/>
          <w:spacing w:val="0"/>
          <w:w w:val="100"/>
          <w:position w:val="0"/>
          <w:shd w:val="clear" w:color="auto" w:fill="auto"/>
        </w:rPr>
        <w:t>Gesellschaft,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Tcilbaud 18, Fr 1982, 59-100; II.-ll. </w:t>
      </w:r>
      <w:r>
        <w:rPr>
          <w:color w:val="000000"/>
          <w:spacing w:val="0"/>
          <w:w w:val="100"/>
          <w:position w:val="0"/>
          <w:shd w:val="clear" w:color="auto" w:fill="auto"/>
        </w:rPr>
        <w:t xml:space="preserve">Schrcy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Slikularisalton,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Darmstadt </w:t>
      </w:r>
      <w:r>
        <w:rPr>
          <w:color w:val="000000"/>
          <w:spacing w:val="0"/>
          <w:w w:val="100"/>
          <w:position w:val="0"/>
          <w:shd w:val="clear" w:color="auto" w:fill="auto"/>
          <w:lang w:val="hr-HR" w:eastAsia="hr-HR" w:bidi="hr-HR"/>
        </w:rPr>
        <w:t>1981.</w:t>
        <w:tab/>
        <w:t>N. ML-TIT</w:t>
      </w:r>
    </w:p>
    <w:p>
      <w:pPr>
        <w:pStyle w:val="Style63"/>
        <w:keepNext/>
        <w:keepLines/>
        <w:widowControl w:val="0"/>
        <w:numPr>
          <w:ilvl w:val="0"/>
          <w:numId w:val="495"/>
        </w:numPr>
        <w:shd w:val="clear" w:color="auto" w:fill="auto"/>
        <w:tabs>
          <w:tab w:pos="260" w:val="left"/>
        </w:tabs>
        <w:bidi w:val="0"/>
        <w:spacing w:before="0" w:after="80" w:line="223" w:lineRule="auto"/>
        <w:ind w:left="0" w:right="0" w:firstLine="0"/>
        <w:jc w:val="both"/>
      </w:pPr>
      <w:bookmarkStart w:id="323" w:name="bookmark323"/>
      <w:r>
        <w:rPr>
          <w:rFonts w:ascii="Times New Roman" w:eastAsia="Times New Roman" w:hAnsi="Times New Roman" w:cs="Times New Roman"/>
          <w:color w:val="000000"/>
          <w:spacing w:val="0"/>
          <w:w w:val="100"/>
          <w:position w:val="0"/>
          <w:shd w:val="clear" w:color="auto" w:fill="auto"/>
          <w:lang w:val="hr-HR" w:eastAsia="hr-HR" w:bidi="hr-HR"/>
        </w:rPr>
        <w:t>islamski</w:t>
      </w:r>
      <w:bookmarkEnd w:id="32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Prilikom održavanja jedne međunarodne kon</w:t>
        <w:softHyphen/>
        <w:t xml:space="preserve">ferencije o islamskome odgoju, koju je na Sveučilištu u Meki 1977. sazvao kralj </w:t>
      </w:r>
      <w:r>
        <w:rPr>
          <w:rFonts w:ascii="Times New Roman" w:eastAsia="Times New Roman" w:hAnsi="Times New Roman" w:cs="Times New Roman"/>
          <w:color w:val="000000"/>
          <w:spacing w:val="0"/>
          <w:w w:val="100"/>
          <w:position w:val="0"/>
          <w:shd w:val="clear" w:color="auto" w:fill="auto"/>
          <w:lang w:val="en-US" w:eastAsia="en-US" w:bidi="en-US"/>
        </w:rPr>
        <w:t>Abdula</w:t>
        <w:softHyphen/>
        <w:t xml:space="preserve">ziz, </w:t>
      </w:r>
      <w:r>
        <w:rPr>
          <w:rFonts w:ascii="Times New Roman" w:eastAsia="Times New Roman" w:hAnsi="Times New Roman" w:cs="Times New Roman"/>
          <w:color w:val="000000"/>
          <w:spacing w:val="0"/>
          <w:w w:val="100"/>
          <w:position w:val="0"/>
          <w:shd w:val="clear" w:color="auto" w:fill="auto"/>
          <w:lang w:val="hr-HR" w:eastAsia="hr-HR" w:bidi="hr-HR"/>
        </w:rPr>
        <w:t>sekulariziranje je ustvrđeno kao temeljna prijetnja islamskom odgoju. No, na toj su kon</w:t>
        <w:softHyphen/>
        <w:t>ferenciji glavnu riječ vodile konzervativne ule</w:t>
        <w:softHyphen/>
        <w:t>me koje su samorazumljivim smatrale da is</w:t>
        <w:softHyphen/>
        <w:t>lam nema ništa naučiti u središnjim sadrža</w:t>
        <w:softHyphen/>
        <w:t>jima ljudskoga znanja i ljudske mudrosti. Ti pismoznanci nemaju nikakvu predodžbu o to</w:t>
        <w:softHyphen/>
        <w:t>me da su se kršćanski intelektualci čitavo jed</w:t>
        <w:softHyphen/>
        <w:t xml:space="preserve">no stoljeće borili sa sličnim problemima i to ne potpuno bezuspješno </w:t>
      </w:r>
      <w:r>
        <w:rPr>
          <w:rFonts w:ascii="Times New Roman" w:eastAsia="Times New Roman" w:hAnsi="Times New Roman" w:cs="Times New Roman"/>
          <w:color w:val="000000"/>
          <w:spacing w:val="0"/>
          <w:w w:val="100"/>
          <w:position w:val="0"/>
          <w:shd w:val="clear" w:color="auto" w:fill="auto"/>
          <w:lang w:val="en-US" w:eastAsia="en-US" w:bidi="en-US"/>
        </w:rPr>
        <w:t xml:space="preserve">(Montgomery </w:t>
      </w:r>
      <w:r>
        <w:rPr>
          <w:rFonts w:ascii="Times New Roman" w:eastAsia="Times New Roman" w:hAnsi="Times New Roman" w:cs="Times New Roman"/>
          <w:color w:val="000000"/>
          <w:spacing w:val="0"/>
          <w:w w:val="100"/>
          <w:position w:val="0"/>
          <w:shd w:val="clear" w:color="auto" w:fill="auto"/>
          <w:lang w:val="hr-HR" w:eastAsia="hr-HR" w:bidi="hr-HR"/>
        </w:rPr>
        <w:t xml:space="preserve">W. </w:t>
      </w:r>
      <w:r>
        <w:rPr>
          <w:rFonts w:ascii="Times New Roman" w:eastAsia="Times New Roman" w:hAnsi="Times New Roman" w:cs="Times New Roman"/>
          <w:color w:val="000000"/>
          <w:spacing w:val="0"/>
          <w:w w:val="100"/>
          <w:position w:val="0"/>
          <w:shd w:val="clear" w:color="auto" w:fill="auto"/>
          <w:lang w:val="en-US" w:eastAsia="en-US" w:bidi="en-US"/>
        </w:rPr>
        <w:t xml:space="preserve">Watt, The contemporary political Relevance of the religion of Islam, u: </w:t>
      </w:r>
      <w:r>
        <w:rPr>
          <w:rFonts w:ascii="Times New Roman" w:eastAsia="Times New Roman" w:hAnsi="Times New Roman" w:cs="Times New Roman"/>
          <w:i/>
          <w:iCs/>
          <w:color w:val="000000"/>
          <w:spacing w:val="0"/>
          <w:w w:val="100"/>
          <w:position w:val="0"/>
          <w:shd w:val="clear" w:color="auto" w:fill="auto"/>
          <w:lang w:val="en-US" w:eastAsia="en-US" w:bidi="en-US"/>
        </w:rPr>
        <w:t>Scottish Journal of Religions, Studies</w:t>
      </w:r>
      <w:r>
        <w:rPr>
          <w:rFonts w:ascii="Times New Roman" w:eastAsia="Times New Roman" w:hAnsi="Times New Roman" w:cs="Times New Roman"/>
          <w:color w:val="000000"/>
          <w:spacing w:val="0"/>
          <w:w w:val="100"/>
          <w:position w:val="0"/>
          <w:shd w:val="clear" w:color="auto" w:fill="auto"/>
          <w:lang w:val="en-US" w:eastAsia="en-US" w:bidi="en-US"/>
        </w:rPr>
        <w:t xml:space="preserve"> I, 2, 94).</w:t>
      </w:r>
    </w:p>
    <w:p>
      <w:pPr>
        <w:pStyle w:val="Style20"/>
        <w:keepNext w:val="0"/>
        <w:keepLines w:val="0"/>
        <w:widowControl w:val="0"/>
        <w:shd w:val="clear" w:color="auto" w:fill="auto"/>
        <w:bidi w:val="0"/>
        <w:spacing w:before="0" w:after="0"/>
        <w:ind w:left="0" w:right="0" w:firstLine="0"/>
        <w:jc w:val="both"/>
        <w:sectPr>
          <w:headerReference w:type="default" r:id="rId1317"/>
          <w:footerReference w:type="default" r:id="rId1318"/>
          <w:headerReference w:type="even" r:id="rId1319"/>
          <w:footerReference w:type="even" r:id="rId1320"/>
          <w:headerReference w:type="first" r:id="rId1321"/>
          <w:footerReference w:type="first" r:id="rId1322"/>
          <w:footnotePr>
            <w:pos w:val="pageBottom"/>
            <w:numFmt w:val="decimal"/>
            <w:numRestart w:val="continuous"/>
            <w15:footnoteColumns w:val="1"/>
          </w:footnotePr>
          <w:pgSz w:w="6816" w:h="11006"/>
          <w:pgMar w:top="973" w:left="189" w:right="195" w:bottom="516" w:header="0" w:footer="3" w:gutter="0"/>
          <w:pgNumType w:start="437"/>
          <w:cols w:num="2" w:space="16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Konzervativni muslimani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nc </w:t>
      </w:r>
      <w:r>
        <w:rPr>
          <w:rFonts w:ascii="Times New Roman" w:eastAsia="Times New Roman" w:hAnsi="Times New Roman" w:cs="Times New Roman"/>
          <w:color w:val="000000"/>
          <w:spacing w:val="0"/>
          <w:w w:val="100"/>
          <w:position w:val="0"/>
          <w:shd w:val="clear" w:color="auto" w:fill="auto"/>
          <w:lang w:val="hr-HR" w:eastAsia="hr-HR" w:bidi="hr-HR"/>
        </w:rPr>
        <w:t>samo oni - polaze od vjerovanja da su kuranski iskazi ko</w:t>
        <w:softHyphen/>
        <w:t>načni i da su u njima utemeljeni principi bez</w:t>
        <w:softHyphen/>
        <w:t>vremeni. Sukladno tomu, po njihovu mišljenju sakralno se znanje ne može zamijeniti ljud</w:t>
        <w:softHyphen/>
        <w:t>skim znanjem. Drugačije formulirano: kada je prokušano, ljudsko znanje ne može biti pro</w:t>
        <w:softHyphen/>
        <w:t>tuslovno božanskoj mudrosti. Vođeni tom osnovnom idejom mnogi su učenjaci pokuša</w:t>
        <w:softHyphen/>
        <w:t>vali osvijetliti Kuran na temelju znanstvenih iskaza. Rezultat su neke studije, čija jc znan</w:t>
        <w:softHyphen/>
        <w:t>stvena vrijednost posve upitna (tipičan primjer takovih radova predstavlja kontroverzna knji</w:t>
        <w:softHyphen/>
        <w:t xml:space="preserve">ga Mauricca Bucaillca </w:t>
      </w:r>
      <w:r>
        <w:rPr>
          <w:rFonts w:ascii="Times New Roman" w:eastAsia="Times New Roman" w:hAnsi="Times New Roman" w:cs="Times New Roman"/>
          <w:i/>
          <w:iCs/>
          <w:color w:val="000000"/>
          <w:spacing w:val="0"/>
          <w:w w:val="100"/>
          <w:position w:val="0"/>
          <w:shd w:val="clear" w:color="auto" w:fill="auto"/>
          <w:lang w:val="en-US" w:eastAsia="en-US" w:bidi="en-US"/>
        </w:rPr>
        <w:t>The Bible, the Qur’an an science,</w:t>
      </w:r>
      <w:r>
        <w:rPr>
          <w:rFonts w:ascii="Times New Roman" w:eastAsia="Times New Roman" w:hAnsi="Times New Roman" w:cs="Times New Roman"/>
          <w:color w:val="000000"/>
          <w:spacing w:val="0"/>
          <w:w w:val="100"/>
          <w:position w:val="0"/>
          <w:shd w:val="clear" w:color="auto" w:fill="auto"/>
          <w:lang w:val="en-US" w:eastAsia="en-US" w:bidi="en-US"/>
        </w:rPr>
        <w:t xml:space="preserve"> Indianopolis 1978). </w:t>
      </w:r>
      <w:r>
        <w:rPr>
          <w:rFonts w:ascii="Times New Roman" w:eastAsia="Times New Roman" w:hAnsi="Times New Roman" w:cs="Times New Roman"/>
          <w:color w:val="000000"/>
          <w:spacing w:val="0"/>
          <w:w w:val="100"/>
          <w:position w:val="0"/>
          <w:shd w:val="clear" w:color="auto" w:fill="auto"/>
          <w:lang w:val="hr-HR" w:eastAsia="hr-HR" w:bidi="hr-HR"/>
        </w:rPr>
        <w:t>Čuju se i gla</w:t>
        <w:softHyphen/>
        <w:t>sovi koji prosvjeduju protiv toga da se Kuran promatra kao knjiga koja izlazi sa znanstve</w:t>
        <w:softHyphen/>
        <w:t>nim zahtjevima. Trend prefunkcioniranja Ku</w:t>
        <w:softHyphen/>
        <w:t>rana u »prethodni nebeski otisak znanstvenih spoznaja«, koji je porastao tijekom ponovno</w:t>
        <w:softHyphen/>
        <w:t>ga promišljanja o vlastitim religioznim vrijed</w:t>
        <w:softHyphen/>
        <w:t xml:space="preserve">nostima, vodi, između ostalog, ka grotesknim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tezama, teorijama i futurološkim razmišljanji</w:t>
        <w:softHyphen/>
        <w:t xml:space="preserve">ma. (Na veliku je pozornost naišla npr. teorija o tajnoj ulozi broja 99 u Kuranu i njegovu značenju za otkrivanje časa propasti svijeta, teorija koju je postavio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Khlalife, egipatski imam koji djeluje u Južnoj Americi.) Unatoč potpuno očitoj preuzetnosti silnoga znanstvenog i tehničkog napretka XX. stoljeća i unatoč uvidu u istaknutu ulogu čovjekova ra</w:t>
        <w:softHyphen/>
        <w:t>zuma u tom procesu, za ortodoksni je islam nezaobilazno to da na razum ne spada do</w:t>
        <w:softHyphen/>
        <w:t>vođenje u pitanje ili štoviše napuštanje valja</w:t>
        <w:softHyphen/>
        <w:t>nosti bilo kojega objavljenog principa ili či</w:t>
        <w:softHyphen/>
        <w:t xml:space="preserve">njenice. </w:t>
      </w:r>
      <w:r>
        <w:rPr>
          <w:rFonts w:ascii="Times New Roman" w:eastAsia="Times New Roman" w:hAnsi="Times New Roman" w:cs="Times New Roman"/>
          <w:color w:val="000000"/>
          <w:spacing w:val="0"/>
          <w:w w:val="100"/>
          <w:position w:val="0"/>
          <w:shd w:val="clear" w:color="auto" w:fill="auto"/>
          <w:lang w:val="en-US" w:eastAsia="en-US" w:bidi="en-US"/>
        </w:rPr>
        <w:t xml:space="preserve">»Revealed knowledge is superior to knowledge acquired by </w:t>
      </w:r>
      <w:r>
        <w:rPr>
          <w:rFonts w:ascii="Times New Roman" w:eastAsia="Times New Roman" w:hAnsi="Times New Roman" w:cs="Times New Roman"/>
          <w:i/>
          <w:iCs/>
          <w:color w:val="000000"/>
          <w:spacing w:val="0"/>
          <w:w w:val="100"/>
          <w:position w:val="0"/>
          <w:shd w:val="clear" w:color="auto" w:fill="auto"/>
          <w:lang w:val="en-US" w:eastAsia="en-US" w:bidi="en-US"/>
        </w:rPr>
        <w:t>'aql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(intelekt)« </w:t>
      </w:r>
      <w:r>
        <w:rPr>
          <w:rFonts w:ascii="Times New Roman" w:eastAsia="Times New Roman" w:hAnsi="Times New Roman" w:cs="Times New Roman"/>
          <w:color w:val="000000"/>
          <w:spacing w:val="0"/>
          <w:w w:val="100"/>
          <w:position w:val="0"/>
          <w:shd w:val="clear" w:color="auto" w:fill="auto"/>
          <w:lang w:val="en-US" w:eastAsia="en-US" w:bidi="en-US"/>
        </w:rPr>
        <w:t>(‘Ab</w:t>
        <w:softHyphen/>
        <w:t xml:space="preserve">dul-Rahman Salih Abdullah, </w:t>
      </w:r>
      <w:r>
        <w:rPr>
          <w:rFonts w:ascii="Times New Roman" w:eastAsia="Times New Roman" w:hAnsi="Times New Roman" w:cs="Times New Roman"/>
          <w:i/>
          <w:iCs/>
          <w:color w:val="000000"/>
          <w:spacing w:val="0"/>
          <w:w w:val="100"/>
          <w:position w:val="0"/>
          <w:shd w:val="clear" w:color="auto" w:fill="auto"/>
          <w:lang w:val="en-US" w:eastAsia="en-US" w:bidi="en-US"/>
        </w:rPr>
        <w:t>Educational Theory. A Qur’anic outlook,</w:t>
      </w:r>
      <w:r>
        <w:rPr>
          <w:rFonts w:ascii="Times New Roman" w:eastAsia="Times New Roman" w:hAnsi="Times New Roman" w:cs="Times New Roman"/>
          <w:color w:val="000000"/>
          <w:spacing w:val="0"/>
          <w:w w:val="100"/>
          <w:position w:val="0"/>
          <w:shd w:val="clear" w:color="auto" w:fill="auto"/>
          <w:lang w:val="en-US" w:eastAsia="en-US" w:bidi="en-US"/>
        </w:rPr>
        <w:t xml:space="preserve"> Mekka [oko 1980], 104. ‘Aql </w:t>
      </w:r>
      <w:r>
        <w:rPr>
          <w:rFonts w:ascii="Times New Roman" w:eastAsia="Times New Roman" w:hAnsi="Times New Roman" w:cs="Times New Roman"/>
          <w:color w:val="000000"/>
          <w:spacing w:val="0"/>
          <w:w w:val="100"/>
          <w:position w:val="0"/>
          <w:shd w:val="clear" w:color="auto" w:fill="auto"/>
          <w:lang w:val="hr-HR" w:eastAsia="hr-HR" w:bidi="hr-HR"/>
        </w:rPr>
        <w:t>arapski znači: razum, um).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Kako bi se udovoljilo toj dogmi, rigoristi su zahtijevali da se u javnoj nastavi ne slave ni</w:t>
        <w:softHyphen/>
        <w:t>kakva kulturno-historijska postignuća niti do</w:t>
        <w:softHyphen/>
        <w:t>gađaji koji ne poštuju sakralno znanje. Tako je npr. renesansa za njih suspektna. Oni je tu</w:t>
        <w:softHyphen/>
        <w:t xml:space="preserve">mače kao pad zapadnoga čovjeka u poganstvo </w:t>
      </w:r>
      <w:r>
        <w:rPr>
          <w:rFonts w:ascii="Times New Roman" w:eastAsia="Times New Roman" w:hAnsi="Times New Roman" w:cs="Times New Roman"/>
          <w:color w:val="000000"/>
          <w:spacing w:val="0"/>
          <w:w w:val="100"/>
          <w:position w:val="0"/>
          <w:shd w:val="clear" w:color="auto" w:fill="auto"/>
          <w:lang w:val="en-US" w:eastAsia="en-US" w:bidi="en-US"/>
        </w:rPr>
        <w:t xml:space="preserve">(Abdullah, </w:t>
      </w:r>
      <w:r>
        <w:rPr>
          <w:rFonts w:ascii="Times New Roman" w:eastAsia="Times New Roman" w:hAnsi="Times New Roman" w:cs="Times New Roman"/>
          <w:color w:val="000000"/>
          <w:spacing w:val="0"/>
          <w:w w:val="100"/>
          <w:position w:val="0"/>
          <w:shd w:val="clear" w:color="auto" w:fill="auto"/>
          <w:lang w:val="hr-HR" w:eastAsia="hr-HR" w:bidi="hr-HR"/>
        </w:rPr>
        <w:t>149).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nastavnom se konceptu fundamentalista pre</w:t>
        <w:softHyphen/>
        <w:t xml:space="preserve">judicira da sve prirodne znanosti moraju voditi Bogu zato što se prirodne pojave u Kuranu označuju kao Božji znameni </w:t>
      </w:r>
      <w:r>
        <w:rPr>
          <w:rFonts w:ascii="Times New Roman" w:eastAsia="Times New Roman" w:hAnsi="Times New Roman" w:cs="Times New Roman"/>
          <w:i/>
          <w:iCs/>
          <w:color w:val="000000"/>
          <w:spacing w:val="0"/>
          <w:w w:val="100"/>
          <w:position w:val="0"/>
          <w:shd w:val="clear" w:color="auto" w:fill="auto"/>
          <w:lang w:val="hr-HR" w:eastAsia="hr-HR" w:bidi="hr-HR"/>
        </w:rPr>
        <w:t>(ajat).</w:t>
      </w:r>
      <w:r>
        <w:rPr>
          <w:rFonts w:ascii="Times New Roman" w:eastAsia="Times New Roman" w:hAnsi="Times New Roman" w:cs="Times New Roman"/>
          <w:color w:val="000000"/>
          <w:spacing w:val="0"/>
          <w:w w:val="100"/>
          <w:position w:val="0"/>
          <w:shd w:val="clear" w:color="auto" w:fill="auto"/>
          <w:lang w:val="hr-HR" w:eastAsia="hr-HR" w:bidi="hr-HR"/>
        </w:rPr>
        <w:t xml:space="preserve"> Prema ku- ranskomu modelu, svako jedinstvo u poduči iz povijesti mora dati </w:t>
      </w:r>
      <w:r>
        <w:rPr>
          <w:rFonts w:ascii="Times New Roman" w:eastAsia="Times New Roman" w:hAnsi="Times New Roman" w:cs="Times New Roman"/>
          <w:i/>
          <w:iCs/>
          <w:color w:val="000000"/>
          <w:spacing w:val="0"/>
          <w:w w:val="100"/>
          <w:position w:val="0"/>
          <w:shd w:val="clear" w:color="auto" w:fill="auto"/>
          <w:lang w:val="hr-HR" w:eastAsia="hr-HR" w:bidi="hr-HR"/>
        </w:rPr>
        <w:t>ibru</w:t>
      </w:r>
      <w:r>
        <w:rPr>
          <w:rFonts w:ascii="Times New Roman" w:eastAsia="Times New Roman" w:hAnsi="Times New Roman" w:cs="Times New Roman"/>
          <w:color w:val="000000"/>
          <w:spacing w:val="0"/>
          <w:w w:val="100"/>
          <w:position w:val="0"/>
          <w:shd w:val="clear" w:color="auto" w:fill="auto"/>
          <w:lang w:val="hr-HR" w:eastAsia="hr-HR" w:bidi="hr-HR"/>
        </w:rPr>
        <w:t xml:space="preserve"> (moralnu pouku). Filo</w:t>
        <w:softHyphen/>
        <w:t xml:space="preserve">zofija je neprilična zato što širom otvara vrata čovjekovom razuzdanom svijetu predodžbi - </w:t>
      </w:r>
      <w:r>
        <w:rPr>
          <w:rFonts w:ascii="Times New Roman" w:eastAsia="Times New Roman" w:hAnsi="Times New Roman" w:cs="Times New Roman"/>
          <w:i/>
          <w:iCs/>
          <w:color w:val="000000"/>
          <w:spacing w:val="0"/>
          <w:w w:val="100"/>
          <w:position w:val="0"/>
          <w:shd w:val="clear" w:color="auto" w:fill="auto"/>
          <w:lang w:val="hr-HR" w:eastAsia="hr-HR" w:bidi="hr-HR"/>
        </w:rPr>
        <w:t>hawa.</w:t>
      </w:r>
      <w:r>
        <w:rPr>
          <w:rFonts w:ascii="Times New Roman" w:eastAsia="Times New Roman" w:hAnsi="Times New Roman" w:cs="Times New Roman"/>
          <w:color w:val="000000"/>
          <w:spacing w:val="0"/>
          <w:w w:val="100"/>
          <w:position w:val="0"/>
          <w:shd w:val="clear" w:color="auto" w:fill="auto"/>
          <w:lang w:val="hr-HR" w:eastAsia="hr-HR" w:bidi="hr-HR"/>
        </w:rPr>
        <w:t xml:space="preserve"> Ideologizirani islam fundamentalističko- ga kova u smislu zahtjeva za totalitetom religi</w:t>
        <w:softHyphen/>
        <w:t>oznoga zahtjeva, kojemu se po tom shvaćanju treba podčiniti, samorazumljivo odbacuje poli</w:t>
        <w:softHyphen/>
        <w:t>tičke praktike koje su povezane sa sekularizaci</w:t>
        <w:softHyphen/>
        <w:t>jom, primjerice demokraciju i slobodno očito</w:t>
        <w:softHyphen/>
        <w:t>vanje mišljenja. U njihovim očima jedino do</w:t>
        <w:softHyphen/>
        <w:t xml:space="preserve">pušteni mehanizam propitivanja vjernika jest </w:t>
      </w:r>
      <w:r>
        <w:rPr>
          <w:rFonts w:ascii="Times New Roman" w:eastAsia="Times New Roman" w:hAnsi="Times New Roman" w:cs="Times New Roman"/>
          <w:i/>
          <w:iCs/>
          <w:color w:val="000000"/>
          <w:spacing w:val="0"/>
          <w:w w:val="100"/>
          <w:position w:val="0"/>
          <w:shd w:val="clear" w:color="auto" w:fill="auto"/>
          <w:lang w:val="hr-HR" w:eastAsia="hr-HR" w:bidi="hr-HR"/>
        </w:rPr>
        <w:t>Sura</w:t>
      </w:r>
      <w:r>
        <w:rPr>
          <w:rFonts w:ascii="Times New Roman" w:eastAsia="Times New Roman" w:hAnsi="Times New Roman" w:cs="Times New Roman"/>
          <w:color w:val="000000"/>
          <w:spacing w:val="0"/>
          <w:w w:val="100"/>
          <w:position w:val="0"/>
          <w:shd w:val="clear" w:color="auto" w:fill="auto"/>
          <w:lang w:val="hr-HR" w:eastAsia="hr-HR" w:bidi="hr-HR"/>
        </w:rPr>
        <w:t xml:space="preserve"> (savjetovanje prije donošenja odluke) </w:t>
      </w:r>
      <w:r>
        <w:rPr>
          <w:rFonts w:ascii="Times New Roman" w:eastAsia="Times New Roman" w:hAnsi="Times New Roman" w:cs="Times New Roman"/>
          <w:color w:val="000000"/>
          <w:spacing w:val="0"/>
          <w:w w:val="100"/>
          <w:position w:val="0"/>
          <w:shd w:val="clear" w:color="auto" w:fill="auto"/>
          <w:lang w:val="en-US" w:eastAsia="en-US" w:bidi="en-US"/>
        </w:rPr>
        <w:t>(Ab</w:t>
        <w:softHyphen/>
        <w:t xml:space="preserve">dullah, </w:t>
      </w:r>
      <w:r>
        <w:rPr>
          <w:rFonts w:ascii="Times New Roman" w:eastAsia="Times New Roman" w:hAnsi="Times New Roman" w:cs="Times New Roman"/>
          <w:color w:val="000000"/>
          <w:spacing w:val="0"/>
          <w:w w:val="100"/>
          <w:position w:val="0"/>
          <w:shd w:val="clear" w:color="auto" w:fill="auto"/>
          <w:lang w:val="hr-HR" w:eastAsia="hr-HR" w:bidi="hr-HR"/>
        </w:rPr>
        <w:t xml:space="preserve">35). </w:t>
      </w:r>
      <w:r>
        <w:rPr>
          <w:rFonts w:ascii="Times New Roman" w:eastAsia="Times New Roman" w:hAnsi="Times New Roman" w:cs="Times New Roman"/>
          <w:color w:val="000000"/>
          <w:spacing w:val="0"/>
          <w:w w:val="100"/>
          <w:position w:val="0"/>
          <w:shd w:val="clear" w:color="auto" w:fill="auto"/>
          <w:lang w:val="en-US" w:eastAsia="en-US" w:bidi="en-US"/>
        </w:rPr>
        <w:t xml:space="preserve">»The system in Western democracy whererby the majority decides what is lawful and wat is not, can never be accetable in Islam, where the laws and framework of society are reveled by Allah and are unchangeable.« U </w:t>
      </w:r>
      <w:r>
        <w:rPr>
          <w:rFonts w:ascii="Times New Roman" w:eastAsia="Times New Roman" w:hAnsi="Times New Roman" w:cs="Times New Roman"/>
          <w:color w:val="000000"/>
          <w:spacing w:val="0"/>
          <w:w w:val="100"/>
          <w:position w:val="0"/>
          <w:shd w:val="clear" w:color="auto" w:fill="auto"/>
          <w:lang w:val="hr-HR" w:eastAsia="hr-HR" w:bidi="hr-HR"/>
        </w:rPr>
        <w:t>smislu predindustrijskoga načina razmišljanja nadvremeno se značenje pripisuje društvenim strukturama koje je oblikovala religija.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Nasuprot tom konceptu stoji otvorenost pre</w:t>
        <w:softHyphen/>
        <w:t xml:space="preserve">ma svijetu jednoga drugog, liberalnog islama, </w:t>
      </w:r>
      <w:r>
        <w:rPr>
          <w:rFonts w:ascii="Times New Roman" w:eastAsia="Times New Roman" w:hAnsi="Times New Roman" w:cs="Times New Roman"/>
          <w:color w:val="000000"/>
          <w:spacing w:val="0"/>
          <w:w w:val="100"/>
          <w:position w:val="0"/>
          <w:shd w:val="clear" w:color="auto" w:fill="auto"/>
          <w:lang w:val="hr-HR" w:eastAsia="hr-HR" w:bidi="hr-HR"/>
        </w:rPr>
        <w:t>koji polazi od kuranskoga postulata da je čo</w:t>
        <w:softHyphen/>
        <w:t>vjek Božji predstavnik na zemlji. Sukladno to</w:t>
        <w:softHyphen/>
        <w:t>mu smatra se da prvenstveno religiozno zna</w:t>
        <w:softHyphen/>
        <w:t>čenje imaju mobiliziranje ljudske inteligencije i kreativnosti. Pristaše takvoga shvaćanja vje</w:t>
        <w:softHyphen/>
        <w:t>re - mnogi koji se čvrsto drže principa razdva</w:t>
        <w:softHyphen/>
        <w:t xml:space="preserve">janja vjere od profanoga čina i djelovanja </w:t>
      </w:r>
      <w:r>
        <w:rPr>
          <w:rFonts w:ascii="Times New Roman" w:eastAsia="Times New Roman" w:hAnsi="Times New Roman" w:cs="Times New Roman"/>
          <w:i/>
          <w:iCs/>
          <w:color w:val="000000"/>
          <w:spacing w:val="0"/>
          <w:w w:val="100"/>
          <w:position w:val="0"/>
          <w:shd w:val="clear" w:color="auto" w:fill="auto"/>
          <w:lang w:val="en-US" w:eastAsia="en-US" w:bidi="en-US"/>
        </w:rPr>
        <w:t xml:space="preserve">(dunya) </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ne žele više poput svojih prethod</w:t>
        <w:softHyphen/>
        <w:t>nika razumjeti učenost kao sabrane mudrosti predih. Uvelike emancipirani, oni tragaju za novim perspektivama i postavljaju nova pita</w:t>
        <w:softHyphen/>
        <w:t>nja svijetu i povijesti. Za njih je vjera u auto</w:t>
        <w:softHyphen/>
        <w:t>ritet izgubila značenje. Jedan model sekulari- ziranja na državnoj razini danas čini Republika Turska. Ona je izgrađena na principu odvoje</w:t>
        <w:softHyphen/>
        <w:t xml:space="preserve">nosti religije od države </w:t>
      </w:r>
      <w:r>
        <w:rPr>
          <w:rFonts w:ascii="Times New Roman" w:eastAsia="Times New Roman" w:hAnsi="Times New Roman" w:cs="Times New Roman"/>
          <w:i/>
          <w:iCs/>
          <w:color w:val="000000"/>
          <w:spacing w:val="0"/>
          <w:w w:val="100"/>
          <w:position w:val="0"/>
          <w:shd w:val="clear" w:color="auto" w:fill="auto"/>
          <w:lang w:val="hr-HR" w:eastAsia="hr-HR" w:bidi="hr-HR"/>
        </w:rPr>
        <w:t>(laicizam).</w:t>
      </w:r>
      <w:r>
        <w:rPr>
          <w:rFonts w:ascii="Times New Roman" w:eastAsia="Times New Roman" w:hAnsi="Times New Roman" w:cs="Times New Roman"/>
          <w:color w:val="000000"/>
          <w:spacing w:val="0"/>
          <w:w w:val="100"/>
          <w:position w:val="0"/>
          <w:shd w:val="clear" w:color="auto" w:fill="auto"/>
          <w:lang w:val="hr-HR" w:eastAsia="hr-HR" w:bidi="hr-HR"/>
        </w:rPr>
        <w:t xml:space="preserve"> Njezin je stav prema životu najbolje formulirao njezin utemeljitelj </w:t>
      </w:r>
      <w:r>
        <w:rPr>
          <w:rFonts w:ascii="Times New Roman" w:eastAsia="Times New Roman" w:hAnsi="Times New Roman" w:cs="Times New Roman"/>
          <w:color w:val="000000"/>
          <w:spacing w:val="0"/>
          <w:w w:val="100"/>
          <w:position w:val="0"/>
          <w:shd w:val="clear" w:color="auto" w:fill="auto"/>
          <w:lang w:val="en-US" w:eastAsia="en-US" w:bidi="en-US"/>
        </w:rPr>
        <w:t xml:space="preserve">Kemal </w:t>
      </w:r>
      <w:r>
        <w:rPr>
          <w:rFonts w:ascii="Times New Roman" w:eastAsia="Times New Roman" w:hAnsi="Times New Roman" w:cs="Times New Roman"/>
          <w:color w:val="000000"/>
          <w:spacing w:val="0"/>
          <w:w w:val="100"/>
          <w:position w:val="0"/>
          <w:shd w:val="clear" w:color="auto" w:fill="auto"/>
          <w:lang w:val="hr-HR" w:eastAsia="hr-HR" w:bidi="hr-HR"/>
        </w:rPr>
        <w:t>Atatiirk (u. 1938): »Zna</w:t>
        <w:softHyphen/>
        <w:t>nost je najbolja čovjekova pratiteljica u živ</w:t>
        <w:softHyphen/>
        <w:t>otu«. Ta izreka stoji na ulaznom portalu Sve</w:t>
        <w:softHyphen/>
        <w:t>učilišta u Ankari kao poticaj mladeži. I u dru</w:t>
        <w:softHyphen/>
        <w:t>gim dijelovima islamskoga svijeta (u Indone</w:t>
        <w:softHyphen/>
        <w:t>ziji, Tunisu, Indiji, Alžiru) polagano se nastoji stvoriti klima koja stvara prostor sekulariza</w:t>
        <w:softHyphen/>
        <w:t>ciji. Za stvaranje islamski sekularne varijante zalažu se na Zapadu školovane, ali i pod snažnim utjecajem islama oblikovane osob</w:t>
        <w:softHyphen/>
        <w:t xml:space="preserve">nosti kao što su </w:t>
      </w:r>
      <w:r>
        <w:rPr>
          <w:rFonts w:ascii="Times New Roman" w:eastAsia="Times New Roman" w:hAnsi="Times New Roman" w:cs="Times New Roman"/>
          <w:color w:val="000000"/>
          <w:spacing w:val="0"/>
          <w:w w:val="100"/>
          <w:position w:val="0"/>
          <w:shd w:val="clear" w:color="auto" w:fill="auto"/>
          <w:lang w:val="en-US" w:eastAsia="en-US" w:bidi="en-US"/>
        </w:rPr>
        <w:t xml:space="preserve">Muhammad Taibi, </w:t>
      </w:r>
      <w:r>
        <w:rPr>
          <w:rFonts w:ascii="Times New Roman" w:eastAsia="Times New Roman" w:hAnsi="Times New Roman" w:cs="Times New Roman"/>
          <w:color w:val="000000"/>
          <w:spacing w:val="0"/>
          <w:w w:val="100"/>
          <w:position w:val="0"/>
          <w:shd w:val="clear" w:color="auto" w:fill="auto"/>
          <w:lang w:val="hr-HR" w:eastAsia="hr-HR" w:bidi="hr-HR"/>
        </w:rPr>
        <w:t xml:space="preserve">‘Ali Me- rad, </w:t>
      </w:r>
      <w:r>
        <w:rPr>
          <w:rFonts w:ascii="Times New Roman" w:eastAsia="Times New Roman" w:hAnsi="Times New Roman" w:cs="Times New Roman"/>
          <w:color w:val="000000"/>
          <w:spacing w:val="0"/>
          <w:w w:val="100"/>
          <w:position w:val="0"/>
          <w:shd w:val="clear" w:color="auto" w:fill="auto"/>
          <w:lang w:val="en-US" w:eastAsia="en-US" w:bidi="en-US"/>
        </w:rPr>
        <w:t xml:space="preserve">Bassam Tibi, Hasan </w:t>
      </w:r>
      <w:r>
        <w:rPr>
          <w:rFonts w:ascii="Times New Roman" w:eastAsia="Times New Roman" w:hAnsi="Times New Roman" w:cs="Times New Roman"/>
          <w:color w:val="000000"/>
          <w:spacing w:val="0"/>
          <w:w w:val="100"/>
          <w:position w:val="0"/>
          <w:shd w:val="clear" w:color="auto" w:fill="auto"/>
          <w:lang w:val="hr-HR" w:eastAsia="hr-HR" w:bidi="hr-HR"/>
        </w:rPr>
        <w:t xml:space="preserve">al-Hanafi, </w:t>
      </w:r>
      <w:r>
        <w:rPr>
          <w:rFonts w:ascii="Times New Roman" w:eastAsia="Times New Roman" w:hAnsi="Times New Roman" w:cs="Times New Roman"/>
          <w:color w:val="000000"/>
          <w:spacing w:val="0"/>
          <w:w w:val="100"/>
          <w:position w:val="0"/>
          <w:shd w:val="clear" w:color="auto" w:fill="auto"/>
          <w:lang w:val="en-US" w:eastAsia="en-US" w:bidi="en-US"/>
        </w:rPr>
        <w:t>Muham</w:t>
        <w:softHyphen/>
        <w:t xml:space="preserve">mad </w:t>
      </w:r>
      <w:r>
        <w:rPr>
          <w:rFonts w:ascii="Times New Roman" w:eastAsia="Times New Roman" w:hAnsi="Times New Roman" w:cs="Times New Roman"/>
          <w:color w:val="000000"/>
          <w:spacing w:val="0"/>
          <w:w w:val="100"/>
          <w:position w:val="0"/>
          <w:shd w:val="clear" w:color="auto" w:fill="auto"/>
          <w:lang w:val="hr-HR" w:eastAsia="hr-HR" w:bidi="hr-HR"/>
        </w:rPr>
        <w:t>Arkoun i dr.</w:t>
      </w:r>
    </w:p>
    <w:p>
      <w:pPr>
        <w:pStyle w:val="Style20"/>
        <w:keepNext w:val="0"/>
        <w:keepLines w:val="0"/>
        <w:widowControl w:val="0"/>
        <w:shd w:val="clear" w:color="auto" w:fill="auto"/>
        <w:bidi w:val="0"/>
        <w:spacing w:before="0" w:after="1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Dakle, i u islamskome se svijetu podižu gla</w:t>
        <w:softHyphen/>
        <w:t>sovi da se tradicija ne može zastupati u naše vrijeme, »makar se ona sasvim temeljito pre</w:t>
        <w:softHyphen/>
        <w:t>vodila u kategorije moderne svijesti«. Za reli</w:t>
        <w:softHyphen/>
        <w:t>gije karakteristično normativno mišljenje uto</w:t>
        <w:softHyphen/>
        <w:t>liko je važnije u području ortodoksnoga isla</w:t>
        <w:softHyphen/>
        <w:t>ma ukoliko se u njemu ne povlači nikakva jas</w:t>
        <w:softHyphen/>
        <w:t>na crta razdvajanja između sakralnoga i pro</w:t>
        <w:softHyphen/>
        <w:t>fanoga. Sakralna se mudrost također koristi za rješavanje profanih problema. To priječi slobodan razvoj misli; na svim se razinama može uočiti diktat povijesti. Stoga smo skloni vidjeti u sekularizaciji jednu šansu za buduć</w:t>
        <w:softHyphen/>
        <w:t>nost. S. ne znači areligioznost. To s njom po</w:t>
        <w:softHyphen/>
        <w:t>vezano puštanje i oslobađanje latentnih sila, koje drijemaju u masama vjernika, može imati ljekovit učinak ne samo za islam, već jednako tako i za sve druge religije.</w:t>
      </w:r>
    </w:p>
    <w:p>
      <w:pPr>
        <w:pStyle w:val="Style56"/>
        <w:keepNext w:val="0"/>
        <w:keepLines w:val="0"/>
        <w:widowControl w:val="0"/>
        <w:shd w:val="clear" w:color="auto" w:fill="auto"/>
        <w:bidi w:val="0"/>
        <w:spacing w:before="0" w:after="60" w:line="240" w:lineRule="auto"/>
        <w:ind w:left="0" w:right="0" w:firstLine="0"/>
        <w:jc w:val="both"/>
      </w:pPr>
      <w:r>
        <w:rPr>
          <w:color w:val="000000"/>
          <w:spacing w:val="0"/>
          <w:w w:val="100"/>
          <w:position w:val="0"/>
          <w:shd w:val="clear" w:color="auto" w:fill="auto"/>
          <w:lang w:val="hr-HR" w:eastAsia="hr-HR" w:bidi="hr-HR"/>
        </w:rPr>
        <w:t xml:space="preserve">Lit: </w:t>
      </w:r>
      <w:r>
        <w:rPr>
          <w:color w:val="000000"/>
          <w:spacing w:val="0"/>
          <w:w w:val="100"/>
          <w:position w:val="0"/>
          <w:shd w:val="clear" w:color="auto" w:fill="auto"/>
        </w:rPr>
        <w:t xml:space="preserve">Husain </w:t>
      </w:r>
      <w:r>
        <w:rPr>
          <w:color w:val="000000"/>
          <w:spacing w:val="0"/>
          <w:w w:val="100"/>
          <w:position w:val="0"/>
          <w:shd w:val="clear" w:color="auto" w:fill="auto"/>
          <w:lang w:val="hr-HR" w:eastAsia="hr-HR" w:bidi="hr-HR"/>
        </w:rPr>
        <w:t xml:space="preserve">S. </w:t>
      </w:r>
      <w:r>
        <w:rPr>
          <w:color w:val="000000"/>
          <w:spacing w:val="0"/>
          <w:w w:val="100"/>
          <w:position w:val="0"/>
          <w:shd w:val="clear" w:color="auto" w:fill="auto"/>
        </w:rPr>
        <w:t>Nasr, Religion and secularism: their mean</w:t>
        <w:softHyphen/>
        <w:t xml:space="preserve">ing and manifestation in Islamic history, u: </w:t>
      </w:r>
      <w:r>
        <w:rPr>
          <w:i/>
          <w:iCs/>
          <w:color w:val="000000"/>
          <w:spacing w:val="0"/>
          <w:w w:val="100"/>
          <w:position w:val="0"/>
          <w:shd w:val="clear" w:color="auto" w:fill="auto"/>
        </w:rPr>
        <w:t>The Islamic Quarterly</w:t>
      </w:r>
      <w:r>
        <w:rPr>
          <w:color w:val="000000"/>
          <w:spacing w:val="0"/>
          <w:w w:val="100"/>
          <w:position w:val="0"/>
          <w:shd w:val="clear" w:color="auto" w:fill="auto"/>
        </w:rPr>
        <w:t xml:space="preserve"> 6/1961,3/4,118-126; Hans Brackcr, T)cr Islam un Spannungsvcrhaltnis zwischcn Orthodoxic und Sakuiaris-</w:t>
      </w:r>
    </w:p>
    <w:p>
      <w:pPr>
        <w:pStyle w:val="Style56"/>
        <w:keepNext w:val="0"/>
        <w:keepLines w:val="0"/>
        <w:widowControl w:val="0"/>
        <w:shd w:val="clear" w:color="auto" w:fill="auto"/>
        <w:tabs>
          <w:tab w:pos="2544" w:val="left"/>
        </w:tabs>
        <w:bidi w:val="0"/>
        <w:spacing w:before="0" w:after="280" w:line="230" w:lineRule="auto"/>
        <w:ind w:left="0" w:right="0" w:firstLine="0"/>
        <w:jc w:val="both"/>
      </w:pPr>
      <w:r>
        <w:rPr>
          <w:color w:val="000000"/>
          <w:spacing w:val="0"/>
          <w:w w:val="100"/>
          <w:position w:val="0"/>
          <w:shd w:val="clear" w:color="auto" w:fill="auto"/>
        </w:rPr>
        <w:t xml:space="preserve">mus.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Ost-Probleme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 </w:t>
      </w:r>
      <w:r>
        <w:rPr>
          <w:color w:val="000000"/>
          <w:spacing w:val="0"/>
          <w:w w:val="100"/>
          <w:position w:val="0"/>
          <w:shd w:val="clear" w:color="auto" w:fill="auto"/>
        </w:rPr>
        <w:t xml:space="preserve">(1966) 14/15. </w:t>
      </w:r>
      <w:r>
        <w:rPr>
          <w:color w:val="000000"/>
          <w:spacing w:val="0"/>
          <w:w w:val="100"/>
          <w:position w:val="0"/>
          <w:shd w:val="clear" w:color="auto" w:fill="auto"/>
          <w:lang w:val="hr-HR" w:eastAsia="hr-HR" w:bidi="hr-HR"/>
        </w:rPr>
        <w:t xml:space="preserve">41JM25. </w:t>
      </w:r>
      <w:r>
        <w:rPr>
          <w:color w:val="000000"/>
          <w:spacing w:val="0"/>
          <w:w w:val="100"/>
          <w:position w:val="0"/>
          <w:shd w:val="clear" w:color="auto" w:fill="auto"/>
        </w:rPr>
        <w:t xml:space="preserve">Fazlur Rahman, </w:t>
      </w:r>
      <w:r>
        <w:rPr>
          <w:i/>
          <w:iCs/>
          <w:color w:val="000000"/>
          <w:spacing w:val="0"/>
          <w:w w:val="100"/>
          <w:position w:val="0"/>
          <w:shd w:val="clear" w:color="auto" w:fill="auto"/>
        </w:rPr>
        <w:t>Islam and modernity. Transformation o fan intel</w:t>
        <w:softHyphen/>
        <w:t>lectual tradition,</w:t>
      </w:r>
      <w:r>
        <w:rPr>
          <w:color w:val="000000"/>
          <w:spacing w:val="0"/>
          <w:w w:val="100"/>
          <w:position w:val="0"/>
          <w:shd w:val="clear" w:color="auto" w:fill="auto"/>
        </w:rPr>
        <w:t xml:space="preserve"> Chicago/London 1982.</w:t>
        <w:tab/>
        <w:t xml:space="preserve">S. </w:t>
      </w:r>
      <w:r>
        <w:rPr>
          <w:color w:val="000000"/>
          <w:spacing w:val="0"/>
          <w:w w:val="100"/>
          <w:position w:val="0"/>
          <w:shd w:val="clear" w:color="auto" w:fill="auto"/>
          <w:lang w:val="hr-HR" w:eastAsia="hr-HR" w:bidi="hr-HR"/>
        </w:rPr>
        <w:t>HAJ.1Ć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SIMBOL</w:t>
      </w:r>
    </w:p>
    <w:p>
      <w:pPr>
        <w:pStyle w:val="Style63"/>
        <w:keepNext/>
        <w:keepLines/>
        <w:widowControl w:val="0"/>
        <w:numPr>
          <w:ilvl w:val="0"/>
          <w:numId w:val="501"/>
        </w:numPr>
        <w:shd w:val="clear" w:color="auto" w:fill="auto"/>
        <w:tabs>
          <w:tab w:pos="250" w:val="left"/>
        </w:tabs>
        <w:bidi w:val="0"/>
        <w:spacing w:before="0" w:line="223" w:lineRule="auto"/>
        <w:ind w:left="0" w:right="0" w:firstLine="0"/>
        <w:jc w:val="both"/>
      </w:pPr>
      <w:bookmarkStart w:id="324" w:name="bookmark324"/>
      <w:r>
        <w:rPr>
          <w:rFonts w:ascii="Times New Roman" w:eastAsia="Times New Roman" w:hAnsi="Times New Roman" w:cs="Times New Roman"/>
          <w:color w:val="000000"/>
          <w:spacing w:val="0"/>
          <w:w w:val="100"/>
          <w:position w:val="0"/>
          <w:shd w:val="clear" w:color="auto" w:fill="auto"/>
          <w:lang w:val="hr-HR" w:eastAsia="hr-HR" w:bidi="hr-HR"/>
        </w:rPr>
        <w:t>židovski</w:t>
      </w:r>
      <w:bookmarkEnd w:id="324"/>
    </w:p>
    <w:p>
      <w:pPr>
        <w:pStyle w:val="Style20"/>
        <w:keepNext w:val="0"/>
        <w:keepLines w:val="0"/>
        <w:widowControl w:val="0"/>
        <w:numPr>
          <w:ilvl w:val="0"/>
          <w:numId w:val="503"/>
        </w:numPr>
        <w:shd w:val="clear" w:color="auto" w:fill="auto"/>
        <w:tabs>
          <w:tab w:pos="279"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»Nije najvažniji nauk, nego je djelo najvažni</w:t>
        <w:softHyphen/>
        <w:t>je.«</w:t>
      </w:r>
      <w:r>
        <w:rPr>
          <w:rFonts w:ascii="Times New Roman" w:eastAsia="Times New Roman" w:hAnsi="Times New Roman" w:cs="Times New Roman"/>
          <w:color w:val="000000"/>
          <w:spacing w:val="0"/>
          <w:w w:val="100"/>
          <w:position w:val="0"/>
          <w:shd w:val="clear" w:color="auto" w:fill="auto"/>
          <w:lang w:val="hr-HR" w:eastAsia="hr-HR" w:bidi="hr-HR"/>
        </w:rPr>
        <w:t xml:space="preserve"> Židovstvo je uvijek odbijalo sakramente u smislu bogoslužnih radnji kojima se Bog ve</w:t>
        <w:softHyphen/>
        <w:t>zuje i koji za ljude moraju biti obvezatni i neo</w:t>
        <w:softHyphen/>
        <w:t xml:space="preserve">tuđivi, kao što su krštenje i pričest. U milosna sredstva ulazi ispovijed - u teološkom jeziku kršćanske Crkve </w:t>
      </w:r>
      <w:r>
        <w:rPr>
          <w:rFonts w:ascii="Times New Roman" w:eastAsia="Times New Roman" w:hAnsi="Times New Roman" w:cs="Times New Roman"/>
          <w:i/>
          <w:iCs/>
          <w:color w:val="000000"/>
          <w:spacing w:val="0"/>
          <w:w w:val="100"/>
          <w:position w:val="0"/>
          <w:shd w:val="clear" w:color="auto" w:fill="auto"/>
          <w:lang w:val="en-US" w:eastAsia="en-US" w:bidi="en-US"/>
        </w:rPr>
        <w:t xml:space="preserve">symbolon </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koja u obvezat</w:t>
        <w:softHyphen/>
        <w:t>nom i određenom izrazu daje zajedničku vjer</w:t>
        <w:softHyphen/>
        <w:t>sku svojinu. Dogma i sakrament tijesno su povezani. U židovstvu se nije razvila jaka po</w:t>
        <w:softHyphen/>
        <w:t>treba za obvezatnom formulacijom ispovije</w:t>
        <w:softHyphen/>
        <w:t xml:space="preserve">danja vjere; i Majmonidovih »trinaest članaka vjere« na kraju njegovih komentara Mišnc na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 koji su prihvaćeni u molitveniku i recitiraju se kao pjesma </w:t>
      </w:r>
      <w:r>
        <w:rPr>
          <w:rFonts w:ascii="Times New Roman" w:eastAsia="Times New Roman" w:hAnsi="Times New Roman" w:cs="Times New Roman"/>
          <w:i/>
          <w:iCs/>
          <w:color w:val="000000"/>
          <w:spacing w:val="0"/>
          <w:w w:val="100"/>
          <w:position w:val="0"/>
          <w:shd w:val="clear" w:color="auto" w:fill="auto"/>
          <w:lang w:val="hr-HR" w:eastAsia="hr-HR" w:bidi="hr-HR"/>
        </w:rPr>
        <w:t>jigdal</w:t>
      </w:r>
      <w:r>
        <w:rPr>
          <w:rFonts w:ascii="Times New Roman" w:eastAsia="Times New Roman" w:hAnsi="Times New Roman" w:cs="Times New Roman"/>
          <w:color w:val="000000"/>
          <w:spacing w:val="0"/>
          <w:w w:val="100"/>
          <w:position w:val="0"/>
          <w:shd w:val="clear" w:color="auto" w:fill="auto"/>
          <w:lang w:val="hr-HR" w:eastAsia="hr-HR" w:bidi="hr-HR"/>
        </w:rPr>
        <w:t xml:space="preserve"> na početku ju</w:t>
        <w:softHyphen/>
        <w:t>tarnje molitve i u izvornom obliku izvode na</w:t>
        <w:softHyphen/>
        <w:t>kon završene molitve, služe prije kao predmet osobne pobožnosti nego kao vezivanje po- božnosti pojedinca na tradicijsku formulaciju onoga u što zajednički vjeruju i što zajednički priznaju. Židovska religija bez sakramenta mogla je praktički ostati bez dogme i dati ši</w:t>
        <w:softHyphen/>
        <w:t>rok prostor raznolikosti u duhovnoj borbi za tumačenje Tore, slobodi učitelja i individual</w:t>
        <w:softHyphen/>
        <w:t>nom ostvarenju. Umjesto za dogmatsku re</w:t>
        <w:softHyphen/>
        <w:t>strikciju i zatvorenost zajednice, razne religij</w:t>
        <w:softHyphen/>
        <w:t xml:space="preserve">ske struje u židovstvu nadmeću se i prepiru oko pravog ispunjenja Božje zapovijedi </w:t>
      </w:r>
      <w:r>
        <w:rPr>
          <w:rFonts w:ascii="Times New Roman" w:eastAsia="Times New Roman" w:hAnsi="Times New Roman" w:cs="Times New Roman"/>
          <w:i/>
          <w:iCs/>
          <w:color w:val="000000"/>
          <w:spacing w:val="0"/>
          <w:w w:val="100"/>
          <w:position w:val="0"/>
          <w:shd w:val="clear" w:color="auto" w:fill="auto"/>
          <w:lang w:val="hr-HR" w:eastAsia="hr-HR" w:bidi="hr-HR"/>
        </w:rPr>
        <w:t xml:space="preserve">-micve. </w:t>
      </w:r>
      <w:r>
        <w:rPr>
          <w:rFonts w:ascii="Times New Roman" w:eastAsia="Times New Roman" w:hAnsi="Times New Roman" w:cs="Times New Roman"/>
          <w:color w:val="000000"/>
          <w:spacing w:val="0"/>
          <w:w w:val="100"/>
          <w:position w:val="0"/>
          <w:shd w:val="clear" w:color="auto" w:fill="auto"/>
          <w:lang w:val="hr-HR" w:eastAsia="hr-HR" w:bidi="hr-HR"/>
        </w:rPr>
        <w:t>Naime, kao i prije, načelo iz Mišne izražava opće uvjerenje: »Nije najvažniji nauk, nego je djelo najvažnije« (Avot 1,17).</w:t>
      </w:r>
    </w:p>
    <w:p>
      <w:pPr>
        <w:pStyle w:val="Style20"/>
        <w:keepNext w:val="0"/>
        <w:keepLines w:val="0"/>
        <w:widowControl w:val="0"/>
        <w:numPr>
          <w:ilvl w:val="0"/>
          <w:numId w:val="503"/>
        </w:numPr>
        <w:shd w:val="clear" w:color="auto" w:fill="auto"/>
        <w:tabs>
          <w:tab w:pos="270" w:val="left"/>
        </w:tabs>
        <w:bidi w:val="0"/>
        <w:spacing w:before="0" w:after="0"/>
        <w:ind w:left="0" w:right="0" w:firstLine="0"/>
        <w:jc w:val="both"/>
        <w:sectPr>
          <w:headerReference w:type="default" r:id="rId1323"/>
          <w:footerReference w:type="default" r:id="rId1324"/>
          <w:headerReference w:type="even" r:id="rId1325"/>
          <w:footerReference w:type="even" r:id="rId1326"/>
          <w:headerReference w:type="first" r:id="rId1327"/>
          <w:footerReference w:type="first" r:id="rId1328"/>
          <w:footnotePr>
            <w:pos w:val="pageBottom"/>
            <w:numFmt w:val="decimal"/>
            <w:numRestart w:val="continuous"/>
            <w15:footnoteColumns w:val="1"/>
          </w:footnotePr>
          <w:pgSz w:w="6816" w:h="11006"/>
          <w:pgMar w:top="973" w:left="189" w:right="195" w:bottom="516" w:header="0" w:footer="3" w:gutter="0"/>
          <w:cols w:num="2" w:space="169"/>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»Gledanje vodi k sjećanju.«</w:t>
      </w:r>
      <w:r>
        <w:rPr>
          <w:rFonts w:ascii="Times New Roman" w:eastAsia="Times New Roman" w:hAnsi="Times New Roman" w:cs="Times New Roman"/>
          <w:color w:val="000000"/>
          <w:spacing w:val="0"/>
          <w:w w:val="100"/>
          <w:position w:val="0"/>
          <w:shd w:val="clear" w:color="auto" w:fill="auto"/>
          <w:lang w:val="hr-HR" w:eastAsia="hr-HR" w:bidi="hr-HR"/>
        </w:rPr>
        <w:t xml:space="preserve"> Bogoštovlje bez slike, koje se u starom Izraelu probilo unatoč otporima naravne religije u svojem okruženju, nastavilo se i u poslijebiblijskom židovstvu. No osuđivanje štovanja slika (Izl 20,3 i d.; 34,17; Pnz 5,8 i d.; 4,15-31; 27,15) nije isključilo svi</w:t>
        <w:softHyphen/>
        <w:t xml:space="preserve">jet slika. Njegovo </w:t>
      </w:r>
      <w:r>
        <w:rPr>
          <w:rFonts w:ascii="Times New Roman" w:eastAsia="Times New Roman" w:hAnsi="Times New Roman" w:cs="Times New Roman"/>
          <w:i/>
          <w:iCs/>
          <w:color w:val="000000"/>
          <w:spacing w:val="0"/>
          <w:w w:val="100"/>
          <w:position w:val="0"/>
          <w:shd w:val="clear" w:color="auto" w:fill="auto"/>
          <w:lang w:val="hr-HR" w:eastAsia="hr-HR" w:bidi="hr-HR"/>
        </w:rPr>
        <w:t>središte</w:t>
      </w:r>
      <w:r>
        <w:rPr>
          <w:rFonts w:ascii="Times New Roman" w:eastAsia="Times New Roman" w:hAnsi="Times New Roman" w:cs="Times New Roman"/>
          <w:color w:val="000000"/>
          <w:spacing w:val="0"/>
          <w:w w:val="100"/>
          <w:position w:val="0"/>
          <w:shd w:val="clear" w:color="auto" w:fill="auto"/>
          <w:lang w:val="hr-HR" w:eastAsia="hr-HR" w:bidi="hr-HR"/>
        </w:rPr>
        <w:t xml:space="preserve"> treba za židovsku zajednicu biti samo bez slika. Ono ostaje uto</w:t>
        <w:softHyphen/>
        <w:t>čištem izabranoga naroda (usp. Izl 20,2 i d.; Hoš 13,4; Iz 45,21; Ps 81,11 s Iz 44; Ps 115). Služba Bogu bez lika ne može se na bitnim mjestima nipošto odreći nekih predmeta i poja</w:t>
        <w:softHyphen/>
        <w:t xml:space="preserve">va kao ćutilnih znakova </w:t>
      </w:r>
      <w:r>
        <w:rPr>
          <w:rFonts w:ascii="Times New Roman" w:eastAsia="Times New Roman" w:hAnsi="Times New Roman" w:cs="Times New Roman"/>
          <w:i/>
          <w:iCs/>
          <w:color w:val="000000"/>
          <w:spacing w:val="0"/>
          <w:w w:val="100"/>
          <w:position w:val="0"/>
          <w:shd w:val="clear" w:color="auto" w:fill="auto"/>
          <w:lang w:val="en-US" w:eastAsia="en-US" w:bidi="en-US"/>
        </w:rPr>
        <w:t>(symbolon,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Mudr 16,6) kojima su biblijska i talmudska tradicija pri</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pisivale dalekosežno značenje: Tora određuje nošenje resa </w:t>
      </w:r>
      <w:r>
        <w:rPr>
          <w:rFonts w:ascii="Times New Roman" w:eastAsia="Times New Roman" w:hAnsi="Times New Roman" w:cs="Times New Roman"/>
          <w:i/>
          <w:iCs/>
          <w:color w:val="000000"/>
          <w:spacing w:val="0"/>
          <w:w w:val="100"/>
          <w:position w:val="0"/>
          <w:shd w:val="clear" w:color="auto" w:fill="auto"/>
          <w:lang w:val="hr-HR" w:eastAsia="hr-HR" w:bidi="hr-HR"/>
        </w:rPr>
        <w:t>(cicit,</w:t>
      </w:r>
      <w:r>
        <w:rPr>
          <w:rFonts w:ascii="Times New Roman" w:eastAsia="Times New Roman" w:hAnsi="Times New Roman" w:cs="Times New Roman"/>
          <w:color w:val="000000"/>
          <w:spacing w:val="0"/>
          <w:w w:val="100"/>
          <w:position w:val="0"/>
          <w:shd w:val="clear" w:color="auto" w:fill="auto"/>
          <w:lang w:val="hr-HR" w:eastAsia="hr-HR" w:bidi="hr-HR"/>
        </w:rPr>
        <w:t xml:space="preserve"> Br 15,38) na »skutovima njihovih haljina« te objašnjava njihovu funkci</w:t>
        <w:softHyphen/>
        <w:t>ju: »Imat ćete rese zato da vas pogled na njih sjeća svih NJEGOVIH zapovijedi, vršite ih« (redak 39). Učitelji židovstva smatrali su »s.« resa veoma važnim, pa su odlomak s tim pro</w:t>
        <w:softHyphen/>
        <w:t xml:space="preserve">pisom odabrali za završetak čitanja </w:t>
      </w:r>
      <w:r>
        <w:rPr>
          <w:rFonts w:ascii="Times New Roman" w:eastAsia="Times New Roman" w:hAnsi="Times New Roman" w:cs="Times New Roman"/>
          <w:i/>
          <w:iCs/>
          <w:color w:val="000000"/>
          <w:spacing w:val="0"/>
          <w:w w:val="100"/>
          <w:position w:val="0"/>
          <w:shd w:val="clear" w:color="auto" w:fill="auto"/>
          <w:lang w:val="hr-HR" w:eastAsia="hr-HR" w:bidi="hr-HR"/>
        </w:rPr>
        <w:t>Šema</w:t>
      </w:r>
      <w:r>
        <w:rPr>
          <w:rFonts w:ascii="Times New Roman" w:eastAsia="Times New Roman" w:hAnsi="Times New Roman" w:cs="Times New Roman"/>
          <w:color w:val="000000"/>
          <w:spacing w:val="0"/>
          <w:w w:val="100"/>
          <w:position w:val="0"/>
          <w:shd w:val="clear" w:color="auto" w:fill="auto"/>
          <w:lang w:val="hr-HR" w:eastAsia="hr-HR" w:bidi="hr-HR"/>
        </w:rPr>
        <w:t xml:space="preserve"> (Pnz 6,4-9; 11,13-21; Br 15,37-41) kao najstarijega i najtemeljitijeg dijela svakodnevne jutarnje i večernje molitve (b Berahot 12b): izvršenje propisa o </w:t>
      </w:r>
      <w:r>
        <w:rPr>
          <w:rFonts w:ascii="Times New Roman" w:eastAsia="Times New Roman" w:hAnsi="Times New Roman" w:cs="Times New Roman"/>
          <w:i/>
          <w:iCs/>
          <w:color w:val="000000"/>
          <w:spacing w:val="0"/>
          <w:w w:val="100"/>
          <w:position w:val="0"/>
          <w:shd w:val="clear" w:color="auto" w:fill="auto"/>
          <w:lang w:val="hr-HR" w:eastAsia="hr-HR" w:bidi="hr-HR"/>
        </w:rPr>
        <w:t>cicitu</w:t>
      </w:r>
      <w:r>
        <w:rPr>
          <w:rFonts w:ascii="Times New Roman" w:eastAsia="Times New Roman" w:hAnsi="Times New Roman" w:cs="Times New Roman"/>
          <w:color w:val="000000"/>
          <w:spacing w:val="0"/>
          <w:w w:val="100"/>
          <w:position w:val="0"/>
          <w:shd w:val="clear" w:color="auto" w:fill="auto"/>
          <w:lang w:val="hr-HR" w:eastAsia="hr-HR" w:bidi="hr-HR"/>
        </w:rPr>
        <w:t xml:space="preserve"> treba ljude stalno podsjećati na cilj židovske etike: »Budite sveti, jer svet sam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usp. 11,44; 20,7 i d. 26). Mudraci su podučavali o putu onamo: »Gledanje vodi k sjećanju, a sjećanje k djelu« (b Mcnahot 43b). Obećavali su da će to »sva</w:t>
        <w:softHyphen/>
        <w:t xml:space="preserve">komu tko poštuje propis o </w:t>
      </w:r>
      <w:r>
        <w:rPr>
          <w:rFonts w:ascii="Times New Roman" w:eastAsia="Times New Roman" w:hAnsi="Times New Roman" w:cs="Times New Roman"/>
          <w:i/>
          <w:iCs/>
          <w:color w:val="000000"/>
          <w:spacing w:val="0"/>
          <w:w w:val="100"/>
          <w:position w:val="0"/>
          <w:shd w:val="clear" w:color="auto" w:fill="auto"/>
          <w:lang w:val="hr-HR" w:eastAsia="hr-HR" w:bidi="hr-HR"/>
        </w:rPr>
        <w:t>cicitu,</w:t>
      </w:r>
      <w:r>
        <w:rPr>
          <w:rFonts w:ascii="Times New Roman" w:eastAsia="Times New Roman" w:hAnsi="Times New Roman" w:cs="Times New Roman"/>
          <w:color w:val="000000"/>
          <w:spacing w:val="0"/>
          <w:w w:val="100"/>
          <w:position w:val="0"/>
          <w:shd w:val="clear" w:color="auto" w:fill="auto"/>
          <w:lang w:val="hr-HR" w:eastAsia="hr-HR" w:bidi="hr-HR"/>
        </w:rPr>
        <w:t xml:space="preserve"> (Bog) pripi</w:t>
        <w:softHyphen/>
        <w:t xml:space="preserve">sati u zaslugu, kao da pozdravlja </w:t>
      </w:r>
      <w:r>
        <w:rPr>
          <w:rFonts w:ascii="Times New Roman" w:eastAsia="Times New Roman" w:hAnsi="Times New Roman" w:cs="Times New Roman"/>
          <w:i/>
          <w:iCs/>
          <w:color w:val="000000"/>
          <w:spacing w:val="0"/>
          <w:w w:val="100"/>
          <w:position w:val="0"/>
          <w:shd w:val="clear" w:color="auto" w:fill="auto"/>
          <w:lang w:val="hr-HR" w:eastAsia="hr-HR" w:bidi="hr-HR"/>
        </w:rPr>
        <w:t>šekinu</w:t>
      </w:r>
      <w:r>
        <w:rPr>
          <w:rFonts w:ascii="Times New Roman" w:eastAsia="Times New Roman" w:hAnsi="Times New Roman" w:cs="Times New Roman"/>
          <w:color w:val="000000"/>
          <w:spacing w:val="0"/>
          <w:w w:val="100"/>
          <w:position w:val="0"/>
          <w:shd w:val="clear" w:color="auto" w:fill="auto"/>
          <w:lang w:val="hr-HR" w:eastAsia="hr-HR" w:bidi="hr-HR"/>
        </w:rPr>
        <w:t xml:space="preserve"> (na</w:t>
        <w:softHyphen/>
        <w:t>zočnost Božju)« (Šifre Br 15,39, usp. j Bera</w:t>
        <w:softHyphen/>
        <w:t>hot 1,3a; b Sota 17a; Menahot 43b; Hulin 89a). Ako u samim simbolima i nema riječi i zaht</w:t>
        <w:softHyphen/>
        <w:t xml:space="preserve">jeva, njihovi motivi nisu uvijek transparentni. To se tiče i istaknutoga starog sedmokrakog svijećnjaka </w:t>
      </w:r>
      <w:r>
        <w:rPr>
          <w:rFonts w:ascii="Times New Roman" w:eastAsia="Times New Roman" w:hAnsi="Times New Roman" w:cs="Times New Roman"/>
          <w:i/>
          <w:iCs/>
          <w:color w:val="000000"/>
          <w:spacing w:val="0"/>
          <w:w w:val="100"/>
          <w:position w:val="0"/>
          <w:shd w:val="clear" w:color="auto" w:fill="auto"/>
          <w:lang w:val="hr-HR" w:eastAsia="hr-HR" w:bidi="hr-HR"/>
        </w:rPr>
        <w:t>(menora)</w:t>
      </w:r>
      <w:r>
        <w:rPr>
          <w:rFonts w:ascii="Times New Roman" w:eastAsia="Times New Roman" w:hAnsi="Times New Roman" w:cs="Times New Roman"/>
          <w:color w:val="000000"/>
          <w:spacing w:val="0"/>
          <w:w w:val="100"/>
          <w:position w:val="0"/>
          <w:shd w:val="clear" w:color="auto" w:fill="auto"/>
          <w:lang w:val="hr-HR" w:eastAsia="hr-HR" w:bidi="hr-HR"/>
        </w:rPr>
        <w:t xml:space="preserve"> (Izl 25,31 i d.; 37,17 i d.). U njemu su Filon Aleksandrijski </w:t>
      </w:r>
      <w:r>
        <w:rPr>
          <w:rFonts w:ascii="Times New Roman" w:eastAsia="Times New Roman" w:hAnsi="Times New Roman" w:cs="Times New Roman"/>
          <w:i/>
          <w:iCs/>
          <w:color w:val="000000"/>
          <w:spacing w:val="0"/>
          <w:w w:val="100"/>
          <w:position w:val="0"/>
          <w:shd w:val="clear" w:color="auto" w:fill="auto"/>
          <w:lang w:val="hr-HR" w:eastAsia="hr-HR" w:bidi="hr-HR"/>
        </w:rPr>
        <w:t>(De vita Mo- sis</w:t>
      </w:r>
      <w:r>
        <w:rPr>
          <w:rFonts w:ascii="Times New Roman" w:eastAsia="Times New Roman" w:hAnsi="Times New Roman" w:cs="Times New Roman"/>
          <w:color w:val="000000"/>
          <w:spacing w:val="0"/>
          <w:w w:val="100"/>
          <w:position w:val="0"/>
          <w:shd w:val="clear" w:color="auto" w:fill="auto"/>
          <w:lang w:val="hr-HR" w:eastAsia="hr-HR" w:bidi="hr-HR"/>
        </w:rPr>
        <w:t xml:space="preserve"> 3, § 9) i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(Antiquitates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judaicae </w:t>
      </w:r>
      <w:r>
        <w:rPr>
          <w:rFonts w:ascii="Times New Roman" w:eastAsia="Times New Roman" w:hAnsi="Times New Roman" w:cs="Times New Roman"/>
          <w:color w:val="000000"/>
          <w:spacing w:val="0"/>
          <w:w w:val="100"/>
          <w:position w:val="0"/>
          <w:shd w:val="clear" w:color="auto" w:fill="auto"/>
          <w:lang w:val="hr-HR" w:eastAsia="hr-HR" w:bidi="hr-HR"/>
        </w:rPr>
        <w:t>111,6,7) vidjeli s. sedam planeta. Doduše, to se objašnjenje nalazi i u Midrašu s još jednim, prema kojemu sedmokraki svijećnjak odgo</w:t>
        <w:softHyphen/>
        <w:t xml:space="preserve">vara sedam dana u tjednu (Bemidbar raba XV,8,2); ipak je prevladalo rabinsko gledište prema kojem Izrael u svijećnjaku, uglavnom u stalno gorućoj »zapadnoj« svjetiljci posjeduje zalog, znak Božje prisutnosti u svojoj sredini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24,3; b Sabat 22b; Mcnahot 86b). Učenjaci su čak simbolički objasnili savjesnu poslugu svijećnjaka: »Bog reče: Nije mi po</w:t>
        <w:softHyphen/>
        <w:t>trebno vaše svjetlo, nego vi meni morate svi</w:t>
        <w:softHyphen/>
        <w:t>jetliti kao što sam i ja vama svijetlio kako bih vas uzdignuo nad sve narode, pa su rekli: Vi</w:t>
        <w:softHyphen/>
        <w:t>dite kako Izraelci svijetle onome koji svijetli svima« (Bemdibar raba XV,8,2, usp. Šemot ra</w:t>
        <w:softHyphen/>
        <w:t>ba XXXVI,27,20). Dok su stari izvori ubrajali i ormarić za čuvanje Tore samo u posve funk</w:t>
        <w:softHyphen/>
        <w:t xml:space="preserve">cionalne dijelove namještaja u sinagogi («or- mar«, M Taanit 11,1; Megila 111,1, »kovčeg«, Tos. Jadajim 11,12), ne spominjući molitve pri vađenju </w:t>
      </w:r>
      <w:r>
        <w:rPr>
          <w:rFonts w:ascii="Times New Roman" w:eastAsia="Times New Roman" w:hAnsi="Times New Roman" w:cs="Times New Roman"/>
          <w:color w:val="000000"/>
          <w:spacing w:val="0"/>
          <w:w w:val="100"/>
          <w:position w:val="0"/>
          <w:shd w:val="clear" w:color="auto" w:fill="auto"/>
          <w:lang w:val="en-US" w:eastAsia="en-US" w:bidi="en-US"/>
        </w:rPr>
        <w:t xml:space="preserve">Tore </w:t>
      </w:r>
      <w:r>
        <w:rPr>
          <w:rFonts w:ascii="Times New Roman" w:eastAsia="Times New Roman" w:hAnsi="Times New Roman" w:cs="Times New Roman"/>
          <w:color w:val="000000"/>
          <w:spacing w:val="0"/>
          <w:w w:val="100"/>
          <w:position w:val="0"/>
          <w:shd w:val="clear" w:color="auto" w:fill="auto"/>
          <w:lang w:val="hr-HR" w:eastAsia="hr-HR" w:bidi="hr-HR"/>
        </w:rPr>
        <w:t>(M Joma VII,1; Sota VII,1) i šuteći o spremanju Tore, »uzimanje i spre</w:t>
        <w:softHyphen/>
        <w:t>manje Tore« oblikovali su se od srednjega vijeka kao svečane radnje (Sofcrim XIV,8-14).</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Umjesto ormarića javlja se »sveta škrinja« </w:t>
      </w:r>
      <w:r>
        <w:rPr>
          <w:rFonts w:ascii="Times New Roman" w:eastAsia="Times New Roman" w:hAnsi="Times New Roman" w:cs="Times New Roman"/>
          <w:i/>
          <w:iCs/>
          <w:color w:val="000000"/>
          <w:spacing w:val="0"/>
          <w:w w:val="100"/>
          <w:position w:val="0"/>
          <w:shd w:val="clear" w:color="auto" w:fill="auto"/>
          <w:lang w:val="hr-HR" w:eastAsia="hr-HR" w:bidi="hr-HR"/>
        </w:rPr>
        <w:t>(aron ha-kodei)</w:t>
      </w:r>
      <w:r>
        <w:rPr>
          <w:rFonts w:ascii="Times New Roman" w:eastAsia="Times New Roman" w:hAnsi="Times New Roman" w:cs="Times New Roman"/>
          <w:color w:val="000000"/>
          <w:spacing w:val="0"/>
          <w:w w:val="100"/>
          <w:position w:val="0"/>
          <w:shd w:val="clear" w:color="auto" w:fill="auto"/>
          <w:lang w:val="hr-HR" w:eastAsia="hr-HR" w:bidi="hr-HR"/>
        </w:rPr>
        <w:t xml:space="preserve"> koja, zajedno sa svitcima To</w:t>
        <w:softHyphen/>
        <w:t xml:space="preserve">re koji se u njoj čuvaju, upozorava na Božju stvarnu prisutnost u zajednici (Br 10,35 i d.). Iz blagdanske godine potječu simboli ovnova roga </w:t>
      </w:r>
      <w:r>
        <w:rPr>
          <w:rFonts w:ascii="Times New Roman" w:eastAsia="Times New Roman" w:hAnsi="Times New Roman" w:cs="Times New Roman"/>
          <w:i/>
          <w:iCs/>
          <w:color w:val="000000"/>
          <w:spacing w:val="0"/>
          <w:w w:val="100"/>
          <w:position w:val="0"/>
          <w:shd w:val="clear" w:color="auto" w:fill="auto"/>
          <w:lang w:val="hr-HR" w:eastAsia="hr-HR" w:bidi="hr-HR"/>
        </w:rPr>
        <w:t>(Sofar)</w:t>
      </w:r>
      <w:r>
        <w:rPr>
          <w:rFonts w:ascii="Times New Roman" w:eastAsia="Times New Roman" w:hAnsi="Times New Roman" w:cs="Times New Roman"/>
          <w:color w:val="000000"/>
          <w:spacing w:val="0"/>
          <w:w w:val="100"/>
          <w:position w:val="0"/>
          <w:shd w:val="clear" w:color="auto" w:fill="auto"/>
          <w:lang w:val="hr-HR" w:eastAsia="hr-HR" w:bidi="hr-HR"/>
        </w:rPr>
        <w:t xml:space="preserve"> u koji se puše na Novu godinu i kojim na »sudnji dan« Bog podsjeća na Abra- hamovu žrtvenu spremnost (Post 22,13; M Roš ha-šana 111,2-5; b 26b-27a), blagdanski stru</w:t>
        <w:softHyphen/>
        <w:t xml:space="preserve">čak </w:t>
      </w:r>
      <w:r>
        <w:rPr>
          <w:rFonts w:ascii="Times New Roman" w:eastAsia="Times New Roman" w:hAnsi="Times New Roman" w:cs="Times New Roman"/>
          <w:i/>
          <w:iCs/>
          <w:color w:val="000000"/>
          <w:spacing w:val="0"/>
          <w:w w:val="100"/>
          <w:position w:val="0"/>
          <w:shd w:val="clear" w:color="auto" w:fill="auto"/>
          <w:lang w:val="hr-HR" w:eastAsia="hr-HR" w:bidi="hr-HR"/>
        </w:rPr>
        <w:t>(lulav)</w:t>
      </w:r>
      <w:r>
        <w:rPr>
          <w:rFonts w:ascii="Times New Roman" w:eastAsia="Times New Roman" w:hAnsi="Times New Roman" w:cs="Times New Roman"/>
          <w:color w:val="000000"/>
          <w:spacing w:val="0"/>
          <w:w w:val="100"/>
          <w:position w:val="0"/>
          <w:shd w:val="clear" w:color="auto" w:fill="auto"/>
          <w:lang w:val="hr-HR" w:eastAsia="hr-HR" w:bidi="hr-HR"/>
        </w:rPr>
        <w:t xml:space="preserve"> na Blagdan sjenica, za koji postoje mnogobrojna tumačenja (Vajikra raba XXX, 23,40) te plod iz roda citrusa (eZrog) na Blag</w:t>
        <w:softHyphen/>
        <w:t>dan sjenica kao simbol Adamove jabuke (b Suka 34b; 46b; M III,4;IV,7; Bcrcšit raba XVI,2,9). U mnoštvu simbola na grobnim ka</w:t>
        <w:softHyphen/>
        <w:t>menima očituju se odnosi što su ih pokojnici održavali sa svojom okolinom.</w:t>
      </w:r>
    </w:p>
    <w:p>
      <w:pPr>
        <w:pStyle w:val="Style56"/>
        <w:keepNext w:val="0"/>
        <w:keepLines w:val="0"/>
        <w:widowControl w:val="0"/>
        <w:shd w:val="clear" w:color="auto" w:fill="auto"/>
        <w:tabs>
          <w:tab w:pos="2462"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E.L. </w:t>
      </w:r>
      <w:r>
        <w:rPr>
          <w:color w:val="000000"/>
          <w:spacing w:val="0"/>
          <w:w w:val="100"/>
          <w:position w:val="0"/>
          <w:shd w:val="clear" w:color="auto" w:fill="auto"/>
        </w:rPr>
        <w:t xml:space="preserve">Ehrlich, </w:t>
      </w:r>
      <w:r>
        <w:rPr>
          <w:i/>
          <w:iCs/>
          <w:color w:val="000000"/>
          <w:spacing w:val="0"/>
          <w:w w:val="100"/>
          <w:position w:val="0"/>
          <w:shd w:val="clear" w:color="auto" w:fill="auto"/>
        </w:rPr>
        <w:t xml:space="preserve">Kultsymbolik </w:t>
      </w:r>
      <w:r>
        <w:rPr>
          <w:i/>
          <w:iCs/>
          <w:color w:val="000000"/>
          <w:spacing w:val="0"/>
          <w:w w:val="100"/>
          <w:position w:val="0"/>
          <w:shd w:val="clear" w:color="auto" w:fill="auto"/>
          <w:lang w:val="hr-HR" w:eastAsia="hr-HR" w:bidi="hr-HR"/>
        </w:rPr>
        <w:t xml:space="preserve">im </w:t>
      </w:r>
      <w:r>
        <w:rPr>
          <w:i/>
          <w:iCs/>
          <w:color w:val="000000"/>
          <w:spacing w:val="0"/>
          <w:w w:val="100"/>
          <w:position w:val="0"/>
          <w:shd w:val="clear" w:color="auto" w:fill="auto"/>
        </w:rPr>
        <w:t xml:space="preserve">Allen </w:t>
      </w:r>
      <w:r>
        <w:rPr>
          <w:i/>
          <w:iCs/>
          <w:color w:val="000000"/>
          <w:spacing w:val="0"/>
          <w:w w:val="100"/>
          <w:position w:val="0"/>
          <w:shd w:val="clear" w:color="auto" w:fill="auto"/>
          <w:lang w:val="hr-HR" w:eastAsia="hr-HR" w:bidi="hr-HR"/>
        </w:rPr>
        <w:t>Testament und im nachbibtischen Judentum,</w:t>
      </w:r>
      <w:r>
        <w:rPr>
          <w:color w:val="000000"/>
          <w:spacing w:val="0"/>
          <w:w w:val="100"/>
          <w:position w:val="0"/>
          <w:shd w:val="clear" w:color="auto" w:fill="auto"/>
          <w:lang w:val="hr-HR" w:eastAsia="hr-HR" w:bidi="hr-HR"/>
        </w:rPr>
        <w:t xml:space="preserve"> 1959; E. R. </w:t>
      </w:r>
      <w:r>
        <w:rPr>
          <w:color w:val="000000"/>
          <w:spacing w:val="0"/>
          <w:w w:val="100"/>
          <w:position w:val="0"/>
          <w:shd w:val="clear" w:color="auto" w:fill="auto"/>
        </w:rPr>
        <w:t xml:space="preserve">Goodenough, </w:t>
      </w:r>
      <w:r>
        <w:rPr>
          <w:i/>
          <w:iCs/>
          <w:color w:val="000000"/>
          <w:spacing w:val="0"/>
          <w:w w:val="100"/>
          <w:position w:val="0"/>
          <w:shd w:val="clear" w:color="auto" w:fill="auto"/>
        </w:rPr>
        <w:t>Jewish Symbols in the Greco-Roman Period I-XII,</w:t>
      </w:r>
      <w:r>
        <w:rPr>
          <w:color w:val="000000"/>
          <w:spacing w:val="0"/>
          <w:w w:val="100"/>
          <w:position w:val="0"/>
          <w:shd w:val="clear" w:color="auto" w:fill="auto"/>
        </w:rPr>
        <w:t xml:space="preserve"> 1953-65; G. Scholcm, Das Davidschild, u: </w:t>
      </w:r>
      <w:r>
        <w:rPr>
          <w:i/>
          <w:iCs/>
          <w:color w:val="000000"/>
          <w:spacing w:val="0"/>
          <w:w w:val="100"/>
          <w:position w:val="0"/>
          <w:shd w:val="clear" w:color="auto" w:fill="auto"/>
        </w:rPr>
        <w:t>Judaica</w:t>
      </w:r>
      <w:r>
        <w:rPr>
          <w:color w:val="000000"/>
          <w:spacing w:val="0"/>
          <w:w w:val="100"/>
          <w:position w:val="0"/>
          <w:shd w:val="clear" w:color="auto" w:fill="auto"/>
        </w:rPr>
        <w:t xml:space="preserve"> /, 1963.75—1 IS; </w:t>
      </w:r>
      <w:r>
        <w:rPr>
          <w:color w:val="000000"/>
          <w:spacing w:val="0"/>
          <w:w w:val="100"/>
          <w:position w:val="0"/>
          <w:shd w:val="clear" w:color="auto" w:fill="auto"/>
          <w:lang w:val="hr-HR" w:eastAsia="hr-HR" w:bidi="hr-HR"/>
        </w:rPr>
        <w:t xml:space="preserve">isto. </w:t>
      </w:r>
      <w:r>
        <w:rPr>
          <w:i/>
          <w:iCs/>
          <w:color w:val="000000"/>
          <w:spacing w:val="0"/>
          <w:w w:val="100"/>
          <w:position w:val="0"/>
          <w:shd w:val="clear" w:color="auto" w:fill="auto"/>
          <w:lang w:val="hr-HR" w:eastAsia="hr-HR" w:bidi="hr-HR"/>
        </w:rPr>
        <w:t xml:space="preserve">Parben </w:t>
      </w:r>
      <w:r>
        <w:rPr>
          <w:i/>
          <w:iCs/>
          <w:color w:val="000000"/>
          <w:spacing w:val="0"/>
          <w:w w:val="100"/>
          <w:position w:val="0"/>
          <w:shd w:val="clear" w:color="auto" w:fill="auto"/>
        </w:rPr>
        <w:t xml:space="preserve">and ihre Symbolik in der jiidischen Uberlieferung und </w:t>
      </w:r>
      <w:r>
        <w:rPr>
          <w:i/>
          <w:iCs/>
          <w:color w:val="000000"/>
          <w:spacing w:val="0"/>
          <w:w w:val="100"/>
          <w:position w:val="0"/>
          <w:shd w:val="clear" w:color="auto" w:fill="auto"/>
          <w:vertAlign w:val="subscript"/>
        </w:rPr>
        <w:t>1</w:t>
      </w:r>
      <w:r>
        <w:rPr>
          <w:i/>
          <w:iCs/>
          <w:color w:val="000000"/>
          <w:spacing w:val="0"/>
          <w:w w:val="100"/>
          <w:position w:val="0"/>
          <w:shd w:val="clear" w:color="auto" w:fill="auto"/>
        </w:rPr>
        <w:t>\lyslik,</w:t>
      </w:r>
      <w:r>
        <w:rPr>
          <w:color w:val="000000"/>
          <w:spacing w:val="0"/>
          <w:w w:val="100"/>
          <w:position w:val="0"/>
          <w:shd w:val="clear" w:color="auto" w:fill="auto"/>
        </w:rPr>
        <w:t xml:space="preserve"> u: </w:t>
      </w:r>
      <w:r>
        <w:rPr>
          <w:i/>
          <w:iCs/>
          <w:color w:val="000000"/>
          <w:spacing w:val="0"/>
          <w:w w:val="100"/>
          <w:position w:val="0"/>
          <w:shd w:val="clear" w:color="auto" w:fill="auto"/>
        </w:rPr>
        <w:t>Judaica 3,</w:t>
      </w:r>
      <w:r>
        <w:rPr>
          <w:color w:val="000000"/>
          <w:spacing w:val="0"/>
          <w:w w:val="100"/>
          <w:position w:val="0"/>
          <w:shd w:val="clear" w:color="auto" w:fill="auto"/>
        </w:rPr>
        <w:t xml:space="preserve"> 1977, 98-151;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7.ur Kabbala und ihrer Symbolic,</w:t>
      </w:r>
      <w:r>
        <w:rPr>
          <w:color w:val="000000"/>
          <w:spacing w:val="0"/>
          <w:w w:val="100"/>
          <w:position w:val="0"/>
          <w:shd w:val="clear" w:color="auto" w:fill="auto"/>
        </w:rPr>
        <w:t xml:space="preserve"> </w:t>
      </w:r>
      <w:r>
        <w:rPr>
          <w:color w:val="000000"/>
          <w:spacing w:val="0"/>
          <w:w w:val="100"/>
          <w:position w:val="0"/>
          <w:shd w:val="clear" w:color="auto" w:fill="auto"/>
          <w:vertAlign w:val="superscript"/>
        </w:rPr>
        <w:footnoteReference w:id="20"/>
      </w:r>
      <w:r>
        <w:rPr>
          <w:color w:val="000000"/>
          <w:spacing w:val="0"/>
          <w:w w:val="100"/>
          <w:position w:val="0"/>
          <w:shd w:val="clear" w:color="auto" w:fill="auto"/>
        </w:rPr>
        <w:t xml:space="preserve">I977;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15, 9978, 568-78; 11. Shanks. </w:t>
      </w:r>
      <w:r>
        <w:rPr>
          <w:i/>
          <w:iCs/>
          <w:color w:val="000000"/>
          <w:spacing w:val="0"/>
          <w:w w:val="100"/>
          <w:position w:val="0"/>
          <w:shd w:val="clear" w:color="auto" w:fill="auto"/>
        </w:rPr>
        <w:t>Judaism in Stone. The Archeology of An</w:t>
        <w:softHyphen/>
        <w:t>cient Synagogues.</w:t>
      </w:r>
      <w:r>
        <w:rPr>
          <w:color w:val="000000"/>
          <w:spacing w:val="0"/>
          <w:w w:val="100"/>
          <w:position w:val="0"/>
          <w:shd w:val="clear" w:color="auto" w:fill="auto"/>
        </w:rPr>
        <w:t xml:space="preserve"> 1979; 1.. I. Ixvinc, cd.. </w:t>
      </w:r>
      <w:r>
        <w:rPr>
          <w:i/>
          <w:iCs/>
          <w:color w:val="000000"/>
          <w:spacing w:val="0"/>
          <w:w w:val="100"/>
          <w:position w:val="0"/>
          <w:shd w:val="clear" w:color="auto" w:fill="auto"/>
        </w:rPr>
        <w:t>Ancient Synago</w:t>
        <w:softHyphen/>
        <w:t>gues Revealed,</w:t>
      </w:r>
      <w:r>
        <w:rPr>
          <w:color w:val="000000"/>
          <w:spacing w:val="0"/>
          <w:w w:val="100"/>
          <w:position w:val="0"/>
          <w:shd w:val="clear" w:color="auto" w:fill="auto"/>
        </w:rPr>
        <w:t xml:space="preserve"> 1981; A. Levy, </w:t>
      </w:r>
      <w:r>
        <w:rPr>
          <w:i/>
          <w:iCs/>
          <w:color w:val="000000"/>
          <w:spacing w:val="0"/>
          <w:w w:val="100"/>
          <w:position w:val="0"/>
          <w:shd w:val="clear" w:color="auto" w:fill="auto"/>
        </w:rPr>
        <w:t>Jiidische Grabmalkunst in Osteuropa, o. J:,</w:t>
      </w:r>
      <w:r>
        <w:rPr>
          <w:color w:val="000000"/>
          <w:spacing w:val="0"/>
          <w:w w:val="100"/>
          <w:position w:val="0"/>
          <w:shd w:val="clear" w:color="auto" w:fill="auto"/>
        </w:rPr>
        <w:t xml:space="preserve"> J. Herman, </w:t>
      </w:r>
      <w:r>
        <w:rPr>
          <w:i/>
          <w:iCs/>
          <w:color w:val="000000"/>
          <w:spacing w:val="0"/>
          <w:w w:val="100"/>
          <w:position w:val="0"/>
          <w:shd w:val="clear" w:color="auto" w:fill="auto"/>
        </w:rPr>
        <w:t>Jewish Cemeteries in Bohemia and Moravia, oj.</w:t>
      </w:r>
      <w:r>
        <w:rPr>
          <w:color w:val="000000"/>
          <w:spacing w:val="0"/>
          <w:w w:val="100"/>
          <w:position w:val="0"/>
          <w:shd w:val="clear" w:color="auto" w:fill="auto"/>
        </w:rPr>
        <w:tab/>
        <w:t>17. VETrF.li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 ljudima« (Tit 3,4): »Uistinu, njegova se nevidljiva svojstva, njegova vječna moć i božan</w:t>
        <w:softHyphen/>
        <w:t>stvo, promatrana po njihovim djelima, opaža</w:t>
        <w:softHyphen/>
        <w:t>ju od postanka svijeta« (Rim 1,20). Tako krš</w:t>
        <w:softHyphen/>
        <w:t>ćanska teologija simbola ima korijen u učenju o postanku, ali postiže svoj puni razvitak u Kristovu utjelovljenju kao temeljnom posred</w:t>
        <w:softHyphen/>
        <w:t>niku objave. Za razliku od čistog znaka čija valjanost počiva na sporazumu, sve može biti s. u smislu indirektnog posvjedočenja Božje stvaralačke djelatnosti; pa ipak kršćanski pra- simbol je sam Krist kao »slika Božja« (2 Kor 4,4) i kao &gt;&gt;prvorodenac svakoga stvorenja« (Kol 1,15). Živeći prema Kristu, trebamo biti »preobraženi u istu sliku« (2 Kor 3,18; usp. 1 Kor 15,49; Rim 8,29; Kol 3,10).</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Iako su rani kršćani najprije preuzeli nepri</w:t>
        <w:softHyphen/>
        <w:t>jateljski stav koji su Židovi imali prema sli</w:t>
        <w:softHyphen/>
        <w:t>kama - jer ne može biti adekvatne slike jedi</w:t>
        <w:softHyphen/>
        <w:t>noga Boga - razvojem obreda nametnula se nužnost da se ne prikazuje samo sam Isus kao Dobri pastir i ribar ljudi nego i da se simbo</w:t>
        <w:softHyphen/>
        <w:t>lički prikriju i slikovito izraze temeljni sadržaji vjere - da li zbog držanja u tajnosti ili u prilog nepismenih u zajednici. Od katakombi do da</w:t>
        <w:softHyphen/>
        <w:t>našnjih nadgrobnih spomenika nameće se ovaj jezik simbola i on nije lišen teološke osno</w:t>
        <w:softHyphen/>
        <w:t>ve. Pa ipak, čak u istočnoj Crkvi koja je sklona slikama, bio je žestok spor oko slika i još u vrijeme reformacije značajnu su ulogu igrali ikonoborci. Dok je katoličkom kršćaninu lako ponovo naći načelo utjelovljenja u sakramen</w:t>
        <w:softHyphen/>
        <w:t>tima i primjenjivati ga na samu Crkvu, protes</w:t>
        <w:softHyphen/>
        <w:t>tanti su suzdržaniji kada je u pitanju priznavanje djelotvornosti simbola kao nužnih posrednika vjerskog ispunjavanja. Pa ipak, duhovna djelat</w:t>
        <w:softHyphen/>
        <w:t>nost simboliziranja odgovara tjelesnosti i po</w:t>
        <w:softHyphen/>
        <w:t>tječe iz tjelesnosti čovjekova postojanja; i mo</w:t>
        <w:softHyphen/>
        <w:t>derna dubinska psihologija pokazala je da produkcija i obrada simbola u snu i obredu ima nužnu ljekovitu funkciju, jer samo tako dolazimo do zapažanja temeljnih vrijednosti i osmišljenih sadržaja svoga života. Da bi ostali živi, simboli moraju posredovati iskustvo, a nji</w:t>
        <w:softHyphen/>
        <w:t>hova sadržina istine neprestano se obnavlja stvaralačkom snagom metafore i pripovijeda</w:t>
        <w:softHyphen/>
        <w:t>nja.</w:t>
      </w:r>
    </w:p>
    <w:p>
      <w:pPr>
        <w:pStyle w:val="Style56"/>
        <w:keepNext w:val="0"/>
        <w:keepLines w:val="0"/>
        <w:widowControl w:val="0"/>
        <w:shd w:val="clear" w:color="auto" w:fill="auto"/>
        <w:tabs>
          <w:tab w:pos="2640" w:val="left"/>
        </w:tabs>
        <w:bidi w:val="0"/>
        <w:spacing w:before="0" w:after="4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W, </w:t>
      </w:r>
      <w:r>
        <w:rPr>
          <w:color w:val="000000"/>
          <w:spacing w:val="0"/>
          <w:w w:val="100"/>
          <w:position w:val="0"/>
          <w:shd w:val="clear" w:color="auto" w:fill="auto"/>
        </w:rPr>
        <w:t xml:space="preserve">Heinen </w:t>
      </w:r>
      <w:r>
        <w:rPr>
          <w:color w:val="000000"/>
          <w:spacing w:val="0"/>
          <w:w w:val="100"/>
          <w:position w:val="0"/>
          <w:shd w:val="clear" w:color="auto" w:fill="auto"/>
          <w:lang w:val="hr-HR" w:eastAsia="hr-HR" w:bidi="hr-HR"/>
        </w:rPr>
        <w:t xml:space="preserve">(Hn»g.), </w:t>
      </w:r>
      <w:r>
        <w:rPr>
          <w:i/>
          <w:iCs/>
          <w:color w:val="000000"/>
          <w:spacing w:val="0"/>
          <w:w w:val="100"/>
          <w:position w:val="0"/>
          <w:shd w:val="clear" w:color="auto" w:fill="auto"/>
        </w:rPr>
        <w:t xml:space="preserve">Bild-Won-Symbol 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Theologie. </w:t>
      </w:r>
      <w:r>
        <w:rPr>
          <w:color w:val="000000"/>
          <w:spacing w:val="0"/>
          <w:w w:val="100"/>
          <w:position w:val="0"/>
          <w:shd w:val="clear" w:color="auto" w:fill="auto"/>
        </w:rPr>
        <w:t xml:space="preserve">Wurzburg </w:t>
      </w:r>
      <w:r>
        <w:rPr>
          <w:color w:val="000000"/>
          <w:spacing w:val="0"/>
          <w:w w:val="100"/>
          <w:position w:val="0"/>
          <w:shd w:val="clear" w:color="auto" w:fill="auto"/>
          <w:lang w:val="hr-HR" w:eastAsia="hr-HR" w:bidi="hr-HR"/>
        </w:rPr>
        <w:t xml:space="preserve">1969; C. G. </w:t>
      </w:r>
      <w:r>
        <w:rPr>
          <w:color w:val="000000"/>
          <w:spacing w:val="0"/>
          <w:w w:val="100"/>
          <w:position w:val="0"/>
          <w:shd w:val="clear" w:color="auto" w:fill="auto"/>
        </w:rPr>
        <w:t xml:space="preserve">Jung </w:t>
      </w:r>
      <w:r>
        <w:rPr>
          <w:color w:val="000000"/>
          <w:spacing w:val="0"/>
          <w:w w:val="100"/>
          <w:position w:val="0"/>
          <w:shd w:val="clear" w:color="auto" w:fill="auto"/>
          <w:lang w:val="hr-HR" w:eastAsia="hr-HR" w:bidi="hr-HR"/>
        </w:rPr>
        <w:t xml:space="preserve">i dr., </w:t>
      </w:r>
      <w:r>
        <w:rPr>
          <w:i/>
          <w:iCs/>
          <w:color w:val="000000"/>
          <w:spacing w:val="0"/>
          <w:w w:val="100"/>
          <w:position w:val="0"/>
          <w:shd w:val="clear" w:color="auto" w:fill="auto"/>
          <w:lang w:val="hr-HR" w:eastAsia="hr-HR" w:bidi="hr-HR"/>
        </w:rPr>
        <w:t xml:space="preserve">Der Menich und setne </w:t>
      </w:r>
      <w:r>
        <w:rPr>
          <w:i/>
          <w:iCs/>
          <w:color w:val="000000"/>
          <w:spacing w:val="0"/>
          <w:w w:val="100"/>
          <w:position w:val="0"/>
          <w:shd w:val="clear" w:color="auto" w:fill="auto"/>
        </w:rPr>
        <w:t>Symlxjle,</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1968; P. Ricocur/E. Jiingcl, </w:t>
      </w:r>
      <w:r>
        <w:rPr>
          <w:i/>
          <w:iCs/>
          <w:color w:val="000000"/>
          <w:spacing w:val="0"/>
          <w:w w:val="100"/>
          <w:position w:val="0"/>
          <w:shd w:val="clear" w:color="auto" w:fill="auto"/>
          <w:lang w:val="hr-HR" w:eastAsia="hr-HR" w:bidi="hr-HR"/>
        </w:rPr>
        <w:t>Meiapher. 7.&lt;tr Hertne- neulik religioser Sprache,</w:t>
      </w:r>
      <w:r>
        <w:rPr>
          <w:color w:val="000000"/>
          <w:spacing w:val="0"/>
          <w:w w:val="100"/>
          <w:position w:val="0"/>
          <w:shd w:val="clear" w:color="auto" w:fill="auto"/>
          <w:lang w:val="hr-HR" w:eastAsia="hr-HR" w:bidi="hr-HR"/>
        </w:rPr>
        <w:t xml:space="preserve"> Munchcn 1974.</w:t>
        <w:tab/>
      </w:r>
      <w:r>
        <w:rPr>
          <w:color w:val="000000"/>
          <w:spacing w:val="0"/>
          <w:w w:val="100"/>
          <w:position w:val="0"/>
          <w:shd w:val="clear" w:color="auto" w:fill="auto"/>
        </w:rPr>
        <w:t>J. MAY</w:t>
      </w:r>
    </w:p>
    <w:p>
      <w:pPr>
        <w:pStyle w:val="Style63"/>
        <w:keepNext/>
        <w:keepLines/>
        <w:widowControl w:val="0"/>
        <w:numPr>
          <w:ilvl w:val="0"/>
          <w:numId w:val="505"/>
        </w:numPr>
        <w:shd w:val="clear" w:color="auto" w:fill="auto"/>
        <w:tabs>
          <w:tab w:pos="265" w:val="left"/>
        </w:tabs>
        <w:bidi w:val="0"/>
        <w:spacing w:before="0"/>
        <w:ind w:left="0" w:right="0" w:firstLine="0"/>
        <w:jc w:val="both"/>
      </w:pPr>
      <w:bookmarkStart w:id="325" w:name="bookmark325"/>
      <w:r>
        <w:rPr>
          <w:rFonts w:ascii="Times New Roman" w:eastAsia="Times New Roman" w:hAnsi="Times New Roman" w:cs="Times New Roman"/>
          <w:color w:val="000000"/>
          <w:spacing w:val="0"/>
          <w:w w:val="100"/>
          <w:position w:val="0"/>
          <w:shd w:val="clear" w:color="auto" w:fill="auto"/>
          <w:lang w:val="hr-HR" w:eastAsia="hr-HR" w:bidi="hr-HR"/>
        </w:rPr>
        <w:t>islamski</w:t>
      </w:r>
      <w:bookmarkEnd w:id="325"/>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Jedan suvremeni mislitelj islama primjećuje: Kuran je središte kruga, »od kojega različiti teološki naučni sustavi polaze u nepodudar- nim linijama« </w:t>
      </w:r>
      <w:r>
        <w:rPr>
          <w:rFonts w:ascii="Times New Roman" w:eastAsia="Times New Roman" w:hAnsi="Times New Roman" w:cs="Times New Roman"/>
          <w:color w:val="000000"/>
          <w:spacing w:val="0"/>
          <w:w w:val="100"/>
          <w:position w:val="0"/>
          <w:shd w:val="clear" w:color="auto" w:fill="auto"/>
          <w:lang w:val="en-US" w:eastAsia="en-US" w:bidi="en-US"/>
        </w:rPr>
        <w:t xml:space="preserve">(‘Abdarrahman Badawi, </w:t>
      </w:r>
      <w:r>
        <w:rPr>
          <w:rFonts w:ascii="Times New Roman" w:eastAsia="Times New Roman" w:hAnsi="Times New Roman" w:cs="Times New Roman"/>
          <w:color w:val="000000"/>
          <w:spacing w:val="0"/>
          <w:w w:val="100"/>
          <w:position w:val="0"/>
          <w:shd w:val="clear" w:color="auto" w:fill="auto"/>
          <w:lang w:val="hr-HR" w:eastAsia="hr-HR" w:bidi="hr-HR"/>
        </w:rPr>
        <w:t xml:space="preserve">Pha- nomenologie des Islam, u: </w:t>
      </w:r>
      <w:r>
        <w:rPr>
          <w:rFonts w:ascii="Times New Roman" w:eastAsia="Times New Roman" w:hAnsi="Times New Roman" w:cs="Times New Roman"/>
          <w:i/>
          <w:iCs/>
          <w:color w:val="000000"/>
          <w:spacing w:val="0"/>
          <w:w w:val="100"/>
          <w:position w:val="0"/>
          <w:shd w:val="clear" w:color="auto" w:fill="auto"/>
          <w:lang w:val="hr-HR" w:eastAsia="hr-HR" w:bidi="hr-HR"/>
        </w:rPr>
        <w:t>Theologische Zeit- sehrift,</w:t>
      </w:r>
      <w:r>
        <w:rPr>
          <w:rFonts w:ascii="Times New Roman" w:eastAsia="Times New Roman" w:hAnsi="Times New Roman" w:cs="Times New Roman"/>
          <w:color w:val="000000"/>
          <w:spacing w:val="0"/>
          <w:w w:val="100"/>
          <w:position w:val="0"/>
          <w:shd w:val="clear" w:color="auto" w:fill="auto"/>
          <w:lang w:val="hr-HR" w:eastAsia="hr-HR" w:bidi="hr-HR"/>
        </w:rPr>
        <w:t xml:space="preserve"> 161,'3 [Tiibingen 1981], 163). Izvedivo hermeneutičko mnoštvo u znatnoj se mjeri može svesti na osebujnosti jezika Kurana. On je djelomice simbolički. Sam Kuran svraća po</w:t>
        <w:softHyphen/>
        <w:t xml:space="preserve">zornost na to da se mnogi od njegovih iskaza trebaju razumjeti kao usporedbe, metafore ili simboli </w:t>
      </w:r>
      <w:r>
        <w:rPr>
          <w:rFonts w:ascii="Times New Roman" w:eastAsia="Times New Roman" w:hAnsi="Times New Roman" w:cs="Times New Roman"/>
          <w:i/>
          <w:iCs/>
          <w:color w:val="000000"/>
          <w:spacing w:val="0"/>
          <w:w w:val="100"/>
          <w:position w:val="0"/>
          <w:shd w:val="clear" w:color="auto" w:fill="auto"/>
          <w:lang w:val="hr-HR" w:eastAsia="hr-HR" w:bidi="hr-HR"/>
        </w:rPr>
        <w:t>(al-mutashabihdl).</w:t>
      </w:r>
      <w:r>
        <w:rPr>
          <w:rFonts w:ascii="Times New Roman" w:eastAsia="Times New Roman" w:hAnsi="Times New Roman" w:cs="Times New Roman"/>
          <w:color w:val="000000"/>
          <w:spacing w:val="0"/>
          <w:w w:val="100"/>
          <w:position w:val="0"/>
          <w:shd w:val="clear" w:color="auto" w:fill="auto"/>
          <w:lang w:val="hr-HR" w:eastAsia="hr-HR" w:bidi="hr-HR"/>
        </w:rPr>
        <w:t xml:space="preserve"> Više sura započinje tajnovitim slovima, u kojima komentatori Ku</w:t>
        <w:softHyphen/>
        <w:t xml:space="preserve">rana vide različite simbole. </w:t>
      </w:r>
      <w:r>
        <w:rPr>
          <w:rFonts w:ascii="Times New Roman" w:eastAsia="Times New Roman" w:hAnsi="Times New Roman" w:cs="Times New Roman"/>
          <w:i/>
          <w:iCs/>
          <w:color w:val="000000"/>
          <w:spacing w:val="0"/>
          <w:w w:val="100"/>
          <w:position w:val="0"/>
          <w:shd w:val="clear" w:color="auto" w:fill="auto"/>
          <w:lang w:val="hr-HR" w:eastAsia="hr-HR" w:bidi="hr-HR"/>
        </w:rPr>
        <w:t>Ali Serijati</w:t>
      </w:r>
      <w:r>
        <w:rPr>
          <w:rFonts w:ascii="Times New Roman" w:eastAsia="Times New Roman" w:hAnsi="Times New Roman" w:cs="Times New Roman"/>
          <w:color w:val="000000"/>
          <w:spacing w:val="0"/>
          <w:w w:val="100"/>
          <w:position w:val="0"/>
          <w:shd w:val="clear" w:color="auto" w:fill="auto"/>
          <w:lang w:val="hr-HR" w:eastAsia="hr-HR" w:bidi="hr-HR"/>
        </w:rPr>
        <w:t xml:space="preserve"> (u. 1978) smatra da »je simbolički jezik vrijed</w:t>
        <w:softHyphen/>
        <w:t>nosno postojaniji od laičkoga svagdanjeg je</w:t>
        <w:softHyphen/>
        <w:t>zika koji je lišen svake misterioznosti«. »Reli</w:t>
        <w:softHyphen/>
        <w:t>gija ili pak smjer mišljenja, koji sve činjenice i značenjske sadržaje želi opisati laičkim jezi</w:t>
        <w:softHyphen/>
        <w:t>kom, ima manju šansu preživljavanja ili čak nadvremenoga djelovanja. Tomu je tako zato što se oslovljeno slušateljstvo sastoji od raz</w:t>
        <w:softHyphen/>
        <w:t>ličitih ljudi i staleža i zato što generacije i do</w:t>
        <w:softHyphen/>
        <w:t>ba, razine obrazovanosti, mentaliteti i karak</w:t>
        <w:softHyphen/>
        <w:t xml:space="preserve">teri, međusobno razdvajaju životni osjećaj i društvene realnosti« </w:t>
      </w:r>
      <w:r>
        <w:rPr>
          <w:rFonts w:ascii="Times New Roman" w:eastAsia="Times New Roman" w:hAnsi="Times New Roman" w:cs="Times New Roman"/>
          <w:color w:val="000000"/>
          <w:spacing w:val="0"/>
          <w:w w:val="100"/>
          <w:position w:val="0"/>
          <w:shd w:val="clear" w:color="auto" w:fill="auto"/>
          <w:lang w:val="en-US" w:eastAsia="en-US" w:bidi="en-US"/>
        </w:rPr>
        <w:t xml:space="preserve">(Badawi, </w:t>
      </w:r>
      <w:r>
        <w:rPr>
          <w:rFonts w:ascii="Times New Roman" w:eastAsia="Times New Roman" w:hAnsi="Times New Roman" w:cs="Times New Roman"/>
          <w:color w:val="000000"/>
          <w:spacing w:val="0"/>
          <w:w w:val="100"/>
          <w:position w:val="0"/>
          <w:shd w:val="clear" w:color="auto" w:fill="auto"/>
          <w:lang w:val="hr-HR" w:eastAsia="hr-HR" w:bidi="hr-HR"/>
        </w:rPr>
        <w:t>162).</w:t>
      </w:r>
    </w:p>
    <w:p>
      <w:pPr>
        <w:pStyle w:val="Style20"/>
        <w:keepNext w:val="0"/>
        <w:keepLines w:val="0"/>
        <w:widowControl w:val="0"/>
        <w:shd w:val="clear" w:color="auto" w:fill="auto"/>
        <w:bidi w:val="0"/>
        <w:spacing w:before="0" w:after="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Tijekom povijesti, simbolika kuranskoga jezika i različiti oblici egzegeze uvjetovali su višesloj</w:t>
        <w:softHyphen/>
        <w:t>nu sliku svjetskog islama. Stoga je promašeno govoriti o njemu kao o nekoj jednostavnoj ili čak monolitnoj religiji. Jedino u sunitskome islamu postoji niz osjenčenja. Ona počinje to</w:t>
        <w:softHyphen/>
        <w:t xml:space="preserve">lerantnim i širokogrudim shvaćanjem religije kod </w:t>
      </w:r>
      <w:r>
        <w:rPr>
          <w:rFonts w:ascii="Times New Roman" w:eastAsia="Times New Roman" w:hAnsi="Times New Roman" w:cs="Times New Roman"/>
          <w:i/>
          <w:iCs/>
          <w:color w:val="000000"/>
          <w:spacing w:val="0"/>
          <w:w w:val="100"/>
          <w:position w:val="0"/>
          <w:shd w:val="clear" w:color="auto" w:fill="auto"/>
          <w:lang w:val="hr-HR" w:eastAsia="hr-HR" w:bidi="hr-HR"/>
        </w:rPr>
        <w:t>murdžijita,</w:t>
      </w:r>
      <w:r>
        <w:rPr>
          <w:rFonts w:ascii="Times New Roman" w:eastAsia="Times New Roman" w:hAnsi="Times New Roman" w:cs="Times New Roman"/>
          <w:color w:val="000000"/>
          <w:spacing w:val="0"/>
          <w:w w:val="100"/>
          <w:position w:val="0"/>
          <w:shd w:val="clear" w:color="auto" w:fill="auto"/>
          <w:lang w:val="hr-HR" w:eastAsia="hr-HR" w:bidi="hr-HR"/>
        </w:rPr>
        <w:t xml:space="preserve"> koji su i nemuslimanskim vjer</w:t>
        <w:softHyphen/>
        <w:t>nicima priznavali udio u spasenju i Božjemu zadovoljstvu, a koja završavaju u uskogrud</w:t>
        <w:softHyphen/>
        <w:t xml:space="preserve">nom vjerovanju u slovo rigorista ekstremne vrste kakvi su hanbeliti. </w:t>
      </w:r>
      <w:r>
        <w:rPr>
          <w:rFonts w:ascii="Times New Roman" w:eastAsia="Times New Roman" w:hAnsi="Times New Roman" w:cs="Times New Roman"/>
          <w:i/>
          <w:iCs/>
          <w:color w:val="000000"/>
          <w:spacing w:val="0"/>
          <w:w w:val="100"/>
          <w:position w:val="0"/>
          <w:shd w:val="clear" w:color="auto" w:fill="auto"/>
          <w:lang w:val="hr-HR" w:eastAsia="hr-HR" w:bidi="hr-HR"/>
        </w:rPr>
        <w:t>Murdžijiti</w:t>
      </w:r>
      <w:r>
        <w:rPr>
          <w:rFonts w:ascii="Times New Roman" w:eastAsia="Times New Roman" w:hAnsi="Times New Roman" w:cs="Times New Roman"/>
          <w:color w:val="000000"/>
          <w:spacing w:val="0"/>
          <w:w w:val="100"/>
          <w:position w:val="0"/>
          <w:shd w:val="clear" w:color="auto" w:fill="auto"/>
          <w:lang w:val="hr-HR" w:eastAsia="hr-HR" w:bidi="hr-HR"/>
        </w:rPr>
        <w:t xml:space="preserve"> su jedna od najstarijih islamskih škola. Oni su zastupali uvjerenje da je samo u nadležnosti Boga su</w:t>
        <w:softHyphen/>
        <w:t>diti o etičkoj i religioznoj vrijednosti drugih ljudi. Borili su se protiv diskriminirajućega tretmana novoobraćenih i u svom su načinu razmišljanja išli tako daleko da su čisto i duboko, pa i neizrečeno religiozno uvjerenje smatrali indicijom pripadnosti islamu i time promicali nešto poput teze o »anonimnom muslimanu«. Ta je škola u međuvremenu ne</w:t>
        <w:softHyphen/>
        <w:t xml:space="preserve">stala </w:t>
      </w:r>
      <w:r>
        <w:rPr>
          <w:rFonts w:ascii="Times New Roman" w:eastAsia="Times New Roman" w:hAnsi="Times New Roman" w:cs="Times New Roman"/>
          <w:color w:val="000000"/>
          <w:spacing w:val="0"/>
          <w:w w:val="100"/>
          <w:position w:val="0"/>
          <w:shd w:val="clear" w:color="auto" w:fill="auto"/>
          <w:lang w:val="en-US" w:eastAsia="en-US" w:bidi="en-US"/>
        </w:rPr>
        <w:t xml:space="preserve">(J. Christoph Buergel/Franz Alleman, </w:t>
      </w:r>
      <w:r>
        <w:rPr>
          <w:rFonts w:ascii="Times New Roman" w:eastAsia="Times New Roman" w:hAnsi="Times New Roman" w:cs="Times New Roman"/>
          <w:i/>
          <w:iCs/>
          <w:color w:val="000000"/>
          <w:spacing w:val="0"/>
          <w:w w:val="100"/>
          <w:position w:val="0"/>
          <w:shd w:val="clear" w:color="auto" w:fill="auto"/>
          <w:lang w:val="en-US" w:eastAsia="en-US" w:bidi="en-US"/>
        </w:rPr>
        <w:t xml:space="preserve">Symbolic </w:t>
      </w:r>
      <w:r>
        <w:rPr>
          <w:rFonts w:ascii="Times New Roman" w:eastAsia="Times New Roman" w:hAnsi="Times New Roman" w:cs="Times New Roman"/>
          <w:i/>
          <w:iCs/>
          <w:color w:val="000000"/>
          <w:spacing w:val="0"/>
          <w:w w:val="100"/>
          <w:position w:val="0"/>
          <w:shd w:val="clear" w:color="auto" w:fill="auto"/>
          <w:lang w:val="hr-HR" w:eastAsia="hr-HR" w:bidi="hr-HR"/>
        </w:rPr>
        <w:t>des Islam. Tafelband,</w:t>
      </w:r>
      <w:r>
        <w:rPr>
          <w:rFonts w:ascii="Times New Roman" w:eastAsia="Times New Roman" w:hAnsi="Times New Roman" w:cs="Times New Roman"/>
          <w:color w:val="000000"/>
          <w:spacing w:val="0"/>
          <w:w w:val="100"/>
          <w:position w:val="0"/>
          <w:shd w:val="clear" w:color="auto" w:fill="auto"/>
          <w:lang w:val="hr-HR" w:eastAsia="hr-HR" w:bidi="hr-HR"/>
        </w:rPr>
        <w:t xml:space="preserve"> Rudi </w:t>
      </w:r>
      <w:r>
        <w:rPr>
          <w:rFonts w:ascii="Times New Roman" w:eastAsia="Times New Roman" w:hAnsi="Times New Roman" w:cs="Times New Roman"/>
          <w:color w:val="000000"/>
          <w:spacing w:val="0"/>
          <w:w w:val="100"/>
          <w:position w:val="0"/>
          <w:shd w:val="clear" w:color="auto" w:fill="auto"/>
          <w:lang w:val="en-US" w:eastAsia="en-US" w:bidi="en-US"/>
        </w:rPr>
        <w:t xml:space="preserve">Parct, </w:t>
      </w:r>
      <w:r>
        <w:rPr>
          <w:rFonts w:ascii="Times New Roman" w:eastAsia="Times New Roman" w:hAnsi="Times New Roman" w:cs="Times New Roman"/>
          <w:i/>
          <w:iCs/>
          <w:color w:val="000000"/>
          <w:spacing w:val="0"/>
          <w:w w:val="100"/>
          <w:position w:val="0"/>
          <w:shd w:val="clear" w:color="auto" w:fill="auto"/>
          <w:lang w:val="en-US" w:eastAsia="en-US" w:bidi="en-US"/>
        </w:rPr>
        <w:t xml:space="preserve">Symbolic </w:t>
      </w:r>
      <w:r>
        <w:rPr>
          <w:rFonts w:ascii="Times New Roman" w:eastAsia="Times New Roman" w:hAnsi="Times New Roman" w:cs="Times New Roman"/>
          <w:i/>
          <w:iCs/>
          <w:color w:val="000000"/>
          <w:spacing w:val="0"/>
          <w:w w:val="100"/>
          <w:position w:val="0"/>
          <w:shd w:val="clear" w:color="auto" w:fill="auto"/>
          <w:lang w:val="hr-HR" w:eastAsia="hr-HR" w:bidi="hr-HR"/>
        </w:rPr>
        <w:t>des Islam,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Stuttgart </w:t>
      </w:r>
      <w:r>
        <w:rPr>
          <w:rFonts w:ascii="Times New Roman" w:eastAsia="Times New Roman" w:hAnsi="Times New Roman" w:cs="Times New Roman"/>
          <w:color w:val="000000"/>
          <w:spacing w:val="0"/>
          <w:w w:val="100"/>
          <w:position w:val="0"/>
          <w:shd w:val="clear" w:color="auto" w:fill="auto"/>
          <w:lang w:val="hr-HR" w:eastAsia="hr-HR" w:bidi="hr-HR"/>
        </w:rPr>
        <w:t>1958).</w:t>
      </w:r>
    </w:p>
    <w:p>
      <w:pPr>
        <w:pStyle w:val="Style20"/>
        <w:keepNext w:val="0"/>
        <w:keepLines w:val="0"/>
        <w:widowControl w:val="0"/>
        <w:shd w:val="clear" w:color="auto" w:fill="auto"/>
        <w:tabs>
          <w:tab w:pos="2566" w:val="left"/>
        </w:tabs>
        <w:bidi w:val="0"/>
        <w:spacing w:before="0" w:after="3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Simboli su omiljeni jezik derviša i religioznih pjesnika. Jedan od najvećih u novije je vrije</w:t>
        <w:softHyphen/>
        <w:t xml:space="preserve">me bio </w:t>
      </w:r>
      <w:r>
        <w:rPr>
          <w:rFonts w:ascii="Times New Roman" w:eastAsia="Times New Roman" w:hAnsi="Times New Roman" w:cs="Times New Roman"/>
          <w:i/>
          <w:iCs/>
          <w:color w:val="000000"/>
          <w:spacing w:val="0"/>
          <w:w w:val="100"/>
          <w:position w:val="0"/>
          <w:shd w:val="clear" w:color="auto" w:fill="auto"/>
          <w:lang w:val="en-US" w:eastAsia="en-US" w:bidi="en-US"/>
        </w:rPr>
        <w:t>Muhammad Iqbal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(u. 1938). Simbolika je svetih tekstova išla na ruku stvaranju sekti. Jednu takvu sektu čine npr. </w:t>
      </w:r>
      <w:r>
        <w:rPr>
          <w:rFonts w:ascii="Times New Roman" w:eastAsia="Times New Roman" w:hAnsi="Times New Roman" w:cs="Times New Roman"/>
          <w:i/>
          <w:iCs/>
          <w:color w:val="000000"/>
          <w:spacing w:val="0"/>
          <w:w w:val="100"/>
          <w:position w:val="0"/>
          <w:shd w:val="clear" w:color="auto" w:fill="auto"/>
          <w:lang w:val="hr-HR" w:eastAsia="hr-HR" w:bidi="hr-HR"/>
        </w:rPr>
        <w:t>hurufije</w:t>
      </w:r>
      <w:r>
        <w:rPr>
          <w:rFonts w:ascii="Times New Roman" w:eastAsia="Times New Roman" w:hAnsi="Times New Roman" w:cs="Times New Roman"/>
          <w:color w:val="000000"/>
          <w:spacing w:val="0"/>
          <w:w w:val="100"/>
          <w:position w:val="0"/>
          <w:shd w:val="clear" w:color="auto" w:fill="auto"/>
          <w:lang w:val="hr-HR" w:eastAsia="hr-HR" w:bidi="hr-HR"/>
        </w:rPr>
        <w:t xml:space="preserve"> a nastala je krajem XIV. stoljeća. U njihovoj gnostič- ko-kabalističkoj slici svijeta veliku ulogu igra simbolika slova. Otuda ime </w:t>
      </w:r>
      <w:r>
        <w:rPr>
          <w:rFonts w:ascii="Times New Roman" w:eastAsia="Times New Roman" w:hAnsi="Times New Roman" w:cs="Times New Roman"/>
          <w:i/>
          <w:iCs/>
          <w:color w:val="000000"/>
          <w:spacing w:val="0"/>
          <w:w w:val="100"/>
          <w:position w:val="0"/>
          <w:shd w:val="clear" w:color="auto" w:fill="auto"/>
          <w:lang w:val="hr-HR" w:eastAsia="hr-HR" w:bidi="hr-HR"/>
        </w:rPr>
        <w:t>hurufi,</w:t>
      </w:r>
      <w:r>
        <w:rPr>
          <w:rFonts w:ascii="Times New Roman" w:eastAsia="Times New Roman" w:hAnsi="Times New Roman" w:cs="Times New Roman"/>
          <w:color w:val="000000"/>
          <w:spacing w:val="0"/>
          <w:w w:val="100"/>
          <w:position w:val="0"/>
          <w:shd w:val="clear" w:color="auto" w:fill="auto"/>
          <w:lang w:val="hr-HR" w:eastAsia="hr-HR" w:bidi="hr-HR"/>
        </w:rPr>
        <w:t xml:space="preserve"> što znači isto što i »tumačitelj slova«. Ta se sekta sma</w:t>
        <w:softHyphen/>
        <w:t>tra krivovjernom.</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bauć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SLAGANJE</w:t>
      </w:r>
    </w:p>
    <w:p>
      <w:pPr>
        <w:pStyle w:val="Style63"/>
        <w:keepNext/>
        <w:keepLines/>
        <w:widowControl w:val="0"/>
        <w:shd w:val="clear" w:color="auto" w:fill="auto"/>
        <w:bidi w:val="0"/>
        <w:spacing w:before="0"/>
        <w:ind w:left="0" w:right="0" w:firstLine="0"/>
        <w:jc w:val="both"/>
      </w:pPr>
      <w:bookmarkStart w:id="326" w:name="bookmark326"/>
      <w:r>
        <w:rPr>
          <w:rFonts w:ascii="Times New Roman" w:eastAsia="Times New Roman" w:hAnsi="Times New Roman" w:cs="Times New Roman"/>
          <w:color w:val="000000"/>
          <w:spacing w:val="0"/>
          <w:w w:val="100"/>
          <w:position w:val="0"/>
          <w:shd w:val="clear" w:color="auto" w:fill="auto"/>
          <w:lang w:val="hr-HR" w:eastAsia="hr-HR" w:bidi="hr-HR"/>
        </w:rPr>
        <w:t>islamski</w:t>
      </w:r>
      <w:bookmarkEnd w:id="32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(idžma) je treći izvor islamskoga nauka. Njegova se narav sastoji u tome da se priznati učenjaci jednoga doba, koji imaju sposobnost samostalnog donošenja odluka, </w:t>
      </w:r>
      <w:r>
        <w:rPr>
          <w:rFonts w:ascii="Times New Roman" w:eastAsia="Times New Roman" w:hAnsi="Times New Roman" w:cs="Times New Roman"/>
          <w:i/>
          <w:iCs/>
          <w:color w:val="000000"/>
          <w:spacing w:val="0"/>
          <w:w w:val="100"/>
          <w:position w:val="0"/>
          <w:shd w:val="clear" w:color="auto" w:fill="auto"/>
          <w:lang w:val="hr-HR" w:eastAsia="hr-HR" w:bidi="hr-HR"/>
        </w:rPr>
        <w:t>međusobno neovisno</w:t>
      </w:r>
      <w:r>
        <w:rPr>
          <w:rFonts w:ascii="Times New Roman" w:eastAsia="Times New Roman" w:hAnsi="Times New Roman" w:cs="Times New Roman"/>
          <w:color w:val="000000"/>
          <w:spacing w:val="0"/>
          <w:w w:val="100"/>
          <w:position w:val="0"/>
          <w:shd w:val="clear" w:color="auto" w:fill="auto"/>
          <w:lang w:val="hr-HR" w:eastAsia="hr-HR" w:bidi="hr-HR"/>
        </w:rPr>
        <w:t xml:space="preserve"> slože o nekom otvorenom vjerskom pitanju. Nasuprot tomu, nikakvoga pravnog učinka nema s. koje je postignuto koncilijar- nim savjetovanjima. Metoda argumentiranja, koja treba dovesti do konsenzusa, u prvom se redu oslanja na prva dva izvora nauka: na —&gt; Kuran i na </w:t>
      </w:r>
      <w:r>
        <w:rPr>
          <w:rFonts w:ascii="Times New Roman" w:eastAsia="Times New Roman" w:hAnsi="Times New Roman" w:cs="Times New Roman"/>
          <w:i/>
          <w:iCs/>
          <w:color w:val="000000"/>
          <w:spacing w:val="0"/>
          <w:w w:val="100"/>
          <w:position w:val="0"/>
          <w:shd w:val="clear" w:color="auto" w:fill="auto"/>
          <w:lang w:val="hr-HR" w:eastAsia="hr-HR" w:bidi="hr-HR"/>
        </w:rPr>
        <w:t>—&gt; sunu.</w:t>
      </w:r>
      <w:r>
        <w:rPr>
          <w:rFonts w:ascii="Times New Roman" w:eastAsia="Times New Roman" w:hAnsi="Times New Roman" w:cs="Times New Roman"/>
          <w:color w:val="000000"/>
          <w:spacing w:val="0"/>
          <w:w w:val="100"/>
          <w:position w:val="0"/>
          <w:shd w:val="clear" w:color="auto" w:fill="auto"/>
          <w:lang w:val="hr-HR" w:eastAsia="hr-HR" w:bidi="hr-HR"/>
        </w:rPr>
        <w:t xml:space="preserve"> Ona u daljnjem tijelu slijedi primat uma. S. se može artikulirati u riječi ili u pismu. I trajno prešutno odobra</w:t>
        <w:softHyphen/>
        <w:t>vanje ili suglasna praksa mogu praktično steći kvalitetu slaganja. Svoju legalnost s. crpi iz jedne izreke vjerovjesnika, po kojoj muslima</w:t>
        <w:softHyphen/>
        <w:t>ni nikada neće zapasti u neki, iz temelja po</w:t>
        <w:softHyphen/>
        <w:t>grešan sud.</w:t>
      </w:r>
    </w:p>
    <w:p>
      <w:pPr>
        <w:pStyle w:val="Style20"/>
        <w:keepNext w:val="0"/>
        <w:keepLines w:val="0"/>
        <w:widowControl w:val="0"/>
        <w:shd w:val="clear" w:color="auto" w:fill="auto"/>
        <w:tabs>
          <w:tab w:pos="2566" w:val="left"/>
        </w:tabs>
        <w:bidi w:val="0"/>
        <w:spacing w:before="0" w:after="2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Prešutnim slaganjem podnošljivi je status go</w:t>
        <w:softHyphen/>
        <w:t>tovo u cijelom islamskom svijetu dobilo štova</w:t>
        <w:softHyphen/>
        <w:t>nje svetaca, premda ga islam osuđuje. S. ne mora nužno važiti svugdje u islamskome svije</w:t>
        <w:softHyphen/>
        <w:t>tu. Njegova se pravosnažnost zgodimice pro</w:t>
        <w:softHyphen/>
        <w:t>teže na široka područja, u kojima svoj utjecaj imaju učenjaci određenih škola. Vahabiti, mo</w:t>
        <w:softHyphen/>
        <w:t>derna grana hanbelitske škole, pravno obve</w:t>
        <w:softHyphen/>
        <w:t>zatnim smatraju samo s. Muhamcdovih sljed</w:t>
        <w:softHyphen/>
        <w:t>benika.</w:t>
        <w:tab/>
        <w:t>S BAIJĆ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SLOBODA</w:t>
      </w:r>
    </w:p>
    <w:p>
      <w:pPr>
        <w:pStyle w:val="Style63"/>
        <w:keepNext/>
        <w:keepLines/>
        <w:widowControl w:val="0"/>
        <w:numPr>
          <w:ilvl w:val="0"/>
          <w:numId w:val="507"/>
        </w:numPr>
        <w:shd w:val="clear" w:color="auto" w:fill="auto"/>
        <w:tabs>
          <w:tab w:pos="250" w:val="left"/>
        </w:tabs>
        <w:bidi w:val="0"/>
        <w:spacing w:before="0"/>
        <w:ind w:left="0" w:right="0" w:firstLine="0"/>
        <w:jc w:val="both"/>
      </w:pPr>
      <w:bookmarkStart w:id="327" w:name="bookmark327"/>
      <w:r>
        <w:rPr>
          <w:rFonts w:ascii="Times New Roman" w:eastAsia="Times New Roman" w:hAnsi="Times New Roman" w:cs="Times New Roman"/>
          <w:color w:val="000000"/>
          <w:spacing w:val="0"/>
          <w:w w:val="100"/>
          <w:position w:val="0"/>
          <w:shd w:val="clear" w:color="auto" w:fill="auto"/>
          <w:lang w:val="hr-HR" w:eastAsia="hr-HR" w:bidi="hr-HR"/>
        </w:rPr>
        <w:t>židovski</w:t>
      </w:r>
      <w:bookmarkEnd w:id="327"/>
    </w:p>
    <w:p>
      <w:pPr>
        <w:pStyle w:val="Style20"/>
        <w:keepNext w:val="0"/>
        <w:keepLines w:val="0"/>
        <w:widowControl w:val="0"/>
        <w:shd w:val="clear" w:color="auto" w:fill="auto"/>
        <w:bidi w:val="0"/>
        <w:spacing w:before="0" w:after="0"/>
        <w:ind w:left="0" w:right="0" w:firstLine="0"/>
        <w:jc w:val="both"/>
        <w:sectPr>
          <w:headerReference w:type="default" r:id="rId1329"/>
          <w:footerReference w:type="default" r:id="rId1330"/>
          <w:headerReference w:type="even" r:id="rId1331"/>
          <w:footerReference w:type="even" r:id="rId1332"/>
          <w:headerReference w:type="first" r:id="rId1333"/>
          <w:footerReference w:type="first" r:id="rId1334"/>
          <w:footnotePr>
            <w:pos w:val="pageBottom"/>
            <w:numFmt w:val="decimal"/>
            <w:numRestart w:val="continuous"/>
            <w15:footnoteColumns w:val="1"/>
          </w:footnotePr>
          <w:pgSz w:w="6816" w:h="11006"/>
          <w:pgMar w:top="973" w:left="189" w:right="195" w:bottom="516" w:header="0" w:footer="3" w:gutter="0"/>
          <w:pgNumType w:start="437"/>
          <w:cols w:num="2" w:space="16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 se u hebrejskoj Bibliji ne javlja kao statična veličina; naprotiv, često se pojavljuje kao </w:t>
      </w:r>
      <w:r>
        <w:rPr>
          <w:rFonts w:ascii="Times New Roman" w:eastAsia="Times New Roman" w:hAnsi="Times New Roman" w:cs="Times New Roman"/>
          <w:i/>
          <w:iCs/>
          <w:color w:val="000000"/>
          <w:spacing w:val="0"/>
          <w:w w:val="100"/>
          <w:position w:val="0"/>
          <w:shd w:val="clear" w:color="auto" w:fill="auto"/>
          <w:lang w:val="hr-HR" w:eastAsia="hr-HR" w:bidi="hr-HR"/>
        </w:rPr>
        <w:t>pro</w:t>
        <w:softHyphen/>
        <w:t>ces</w:t>
      </w:r>
      <w:r>
        <w:rPr>
          <w:rFonts w:ascii="Times New Roman" w:eastAsia="Times New Roman" w:hAnsi="Times New Roman" w:cs="Times New Roman"/>
          <w:color w:val="000000"/>
          <w:spacing w:val="0"/>
          <w:w w:val="100"/>
          <w:position w:val="0"/>
          <w:shd w:val="clear" w:color="auto" w:fill="auto"/>
          <w:lang w:val="hr-HR" w:eastAsia="hr-HR" w:bidi="hr-HR"/>
        </w:rPr>
        <w:t xml:space="preserve"> koji se jezično ostvaruje na različite na</w:t>
        <w:softHyphen/>
        <w:t xml:space="preserve">čine. Pritom je bitno djelovanje dijaloga 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pregovorima Boga i Izraela. Obećanje Boga potlačenom narodu: »Zato sam sišao da ga izbavim iz šaka egipatskih i odvedeni ga u onu zemlju...« (Izl 3,8) odgovara nakon ispunje</w:t>
        <w:softHyphen/>
        <w:t>nja obećanja hvalom Bogu: »Zapjevajte MU, jer se slavom proslavio. Konja s konjanikom u more je survao« (15,21, usp. 15,1). I prozno izvješće u Izl 14 sadrži tu paralelu između poziva: »... vidjet ćete što će ON učiniti da vas danas spasi... Borit će se za vas« (14,13 i d.) i Izraclova ponašanja: »... narod se poboja NJEGA i povjerova MU« (14,31). Tako se narod drži između Božje upute za spas, koja prethodi najavi Saveza i obećanju da mu je Izrael »predraga svojina između svih naroda« i »Vi ste vidjeli što sam učinio Egipćanima; kako sam vas nosio na orlovskim krilima i k sebi vas doveo« (Izl 19,4-6) i Izraelovc sprem</w:t>
        <w:softHyphen/>
        <w:t>nosti na poslušnost: »Vršit ćemo sve što je ON naredio« (Izl 19,8, usp. 24,7). No, prije svega, to označava paralelno, čvrsto povezivanje Božjega oslobodilačkog djela s Izraelom : »JA sam Bog tvoj, koji sam te izveo iz zemlje egi</w:t>
        <w:softHyphen/>
        <w:t>patske, iz kuće ropstva« i Izraelove slobodne odluke da izvrši ono što mu je zapovijeđeno, »Dekalog« Izl 20,1-17. Naime, razgovor vo</w:t>
        <w:softHyphen/>
        <w:t xml:space="preserve">đen između »mene« zakonodavca i »tebe«, tj. Izraela koji je pozvan na </w:t>
      </w:r>
      <w:r>
        <w:rPr>
          <w:rFonts w:ascii="Times New Roman" w:eastAsia="Times New Roman" w:hAnsi="Times New Roman" w:cs="Times New Roman"/>
          <w:i/>
          <w:iCs/>
          <w:color w:val="000000"/>
          <w:spacing w:val="0"/>
          <w:w w:val="100"/>
          <w:position w:val="0"/>
          <w:shd w:val="clear" w:color="auto" w:fill="auto"/>
          <w:lang w:val="hr-HR" w:eastAsia="hr-HR" w:bidi="hr-HR"/>
        </w:rPr>
        <w:t>odgovornost</w:t>
      </w:r>
      <w:r>
        <w:rPr>
          <w:rFonts w:ascii="Times New Roman" w:eastAsia="Times New Roman" w:hAnsi="Times New Roman" w:cs="Times New Roman"/>
          <w:color w:val="000000"/>
          <w:spacing w:val="0"/>
          <w:w w:val="100"/>
          <w:position w:val="0"/>
          <w:shd w:val="clear" w:color="auto" w:fill="auto"/>
          <w:lang w:val="hr-HR" w:eastAsia="hr-HR" w:bidi="hr-HR"/>
        </w:rPr>
        <w:t xml:space="preserve"> u povi</w:t>
        <w:softHyphen/>
        <w:t>jesti pretpostavlja samoodređenje oslovljeni- ka u svim njegovim postupcima i djelovanju, njegov slobodni izbor da dobro, koje Bog hoće, hoće i on i čini ga te da zlo, koje Bog prezire, izbjegava u mišljenju i djelu: »... pred vas stavljam: život i smrt, blagoslov i proklet</w:t>
        <w:softHyphen/>
        <w:t>stvo. Život, dakle, biraj...« (Pnz 30,19). Jasno je rečeno da Bog ne želi ropsku poslušnost zbog straha od kazne, nego slobodnu po</w:t>
        <w:softHyphen/>
        <w:t>dređenost njegovoj volji koja se zbiva u lju</w:t>
        <w:softHyphen/>
        <w:t>bavi i odanosti njemu: »Zato ljubi NJEGA, Boga svoga, svim srcem svojim, svom dušom svojom i svom snagom svojom! Riječi ove što ti ih danas naređujem, neka ti se urežu u srce« (Pnz 6,5), »... ljubeći NJEGA, Boga svoga, slušajući njegov glas, prianjajući uz njega... Ta on je život tvoj, tvoj dugi vijek...« (30,20). Povijest ne pogađa čovjeka kao neopoziva sudbina; Biblija je opisuje kao realnu pokre</w:t>
        <w:softHyphen/>
        <w:t>tačku snagu uzajamnog odnosa slobodnoga Boga i čovjeka slobodnoga po svojoj volji. Prorok Jcremija vidio je kako lončar obraduje ilovaču na lončarskom kolu (Jr 18,1-12): dok se okretalo donje kolo, na gornjem su se obli</w:t>
        <w:softHyphen/>
      </w:r>
      <w:r>
        <w:rPr>
          <w:rFonts w:ascii="Times New Roman" w:eastAsia="Times New Roman" w:hAnsi="Times New Roman" w:cs="Times New Roman"/>
          <w:color w:val="000000"/>
          <w:spacing w:val="0"/>
          <w:w w:val="100"/>
          <w:position w:val="0"/>
          <w:shd w:val="clear" w:color="auto" w:fill="auto"/>
          <w:lang w:val="hr-HR" w:eastAsia="hr-HR" w:bidi="hr-HR"/>
        </w:rPr>
        <w:t>kovale posude. Uspjele su ostale, neuspjele su se bacale i iznova oblikovale. Lončarski rad stvarao je gledatelju objavitcljsku prispodobu: na isti način radi Stvoritelj na povijesnim oso</w:t>
        <w:softHyphen/>
        <w:t>bama i sudbinama naroda. No njegova stvo</w:t>
        <w:softHyphen/>
        <w:t>renja mogu po svojoj volji sama htjeti, sama činiti i postupati. Slobodnom voljom dotiču djela Stvoriteljeva; u slobodi svoje gradnje i uništenja on na to reagira. »Pokajat će se« za dobro koje im je namijenio ako se ljudi okre</w:t>
        <w:softHyphen/>
        <w:t>nu od njega (18,10); »pokajat će se« za zlo koje im je namijenio ako mu se obrate (18,8). U toj uzajamnosti djelovanja na obraćenje može odgovoriti smilovanje: »Ovako govori ON: Evo, spremam vam zlo (poput lončara) i snujem protiv vas osnove. Vratite se, dakle, svaki sa svoga zlog puta i popravite svoje pu</w:t>
        <w:softHyphen/>
        <w:t>tove i svoja djela!« (18,11). Tajna tog opho</w:t>
        <w:softHyphen/>
        <w:t>đenja Boga i čovjeka jest i izražava se u moći, stvorenoj u čovjeku, da uvijek može odabrati put. Budućnost nije utvrđena. Čovjek treba u povijesti postati Božji sugovornik, koji potpu</w:t>
        <w:softHyphen/>
        <w:t>no slobodno može doći k njemu, koji se, i kad najviše posrne, može vratiti k njemu (Jr 7,3; 26,13; 35,15; Hoš 14,2 i d.; Ez 18,30 i d.; JI 2,12 i d.; Jon 3,8 i d ). Čovjek s pravom isko</w:t>
        <w:softHyphen/>
        <w:t>rištava slobodu koju mu je dao Bog ako se njome koristi za ispunjenje Stvoriteljeve na</w:t>
        <w:softHyphen/>
        <w:t xml:space="preserve">mjere (Post 1,27,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bibilijskoj osnovi učitelji židovstva u svim razdobljima shvaćali su slobodu kao moralnu zadaću koju Bog ucjepljuje u život svakoga čovjeka kako bi je čovjek izvršio. Mudraci su poučavali dragovoljnu podređenost: »Ne bu</w:t>
        <w:softHyphen/>
        <w:t>dite poput slugu koji služe gospodaru s namje</w:t>
        <w:softHyphen/>
        <w:t>rom da dobiju nadnicu, već budite sluge koji služe gospodaru bez namjere da dobiju nad</w:t>
        <w:softHyphen/>
        <w:t>nicu« (M Avot 1,3). Ustrajali su na čovjekovoj samostalnosti: »Sve je u rukama Neba (= Bo</w:t>
        <w:softHyphen/>
        <w:t>ga), osim straha Božjeg« (b Bcrahot 33b; Me- gila 25a); ljudska s. postoji unatoč Božjem sveznanju: »Sve je predvidio (Bog) i dao slo</w:t>
        <w:softHyphen/>
        <w:t xml:space="preserve">bodu izbora </w:t>
      </w:r>
      <w:r>
        <w:rPr>
          <w:rFonts w:ascii="Times New Roman" w:eastAsia="Times New Roman" w:hAnsi="Times New Roman" w:cs="Times New Roman"/>
          <w:i/>
          <w:iCs/>
          <w:color w:val="000000"/>
          <w:spacing w:val="0"/>
          <w:w w:val="100"/>
          <w:position w:val="0"/>
          <w:shd w:val="clear" w:color="auto" w:fill="auto"/>
          <w:lang w:val="hr-HR" w:eastAsia="hr-HR" w:bidi="hr-HR"/>
        </w:rPr>
        <w:t>(harešul)«</w:t>
      </w:r>
      <w:r>
        <w:rPr>
          <w:rFonts w:ascii="Times New Roman" w:eastAsia="Times New Roman" w:hAnsi="Times New Roman" w:cs="Times New Roman"/>
          <w:color w:val="000000"/>
          <w:spacing w:val="0"/>
          <w:w w:val="100"/>
          <w:position w:val="0"/>
          <w:shd w:val="clear" w:color="auto" w:fill="auto"/>
          <w:lang w:val="hr-HR" w:eastAsia="hr-HR" w:bidi="hr-HR"/>
        </w:rPr>
        <w:t xml:space="preserve"> (M Avot 111,16). Taj je problem poslije komentirao Majmonid: »Sva</w:t>
        <w:softHyphen/>
        <w:t>ki je čovjek gospodar svojih djela i postupaka; ako je pošao dobrim putem i želi biti praved</w:t>
        <w:softHyphen/>
        <w:t>nikom, ima slobodu izbora, ako je pak pošao zlim putem i želi biti zlikovcem, i tada ima slo</w:t>
        <w:softHyphen/>
        <w:t>bodu izbora... Nemoj da ti padaju na um brb</w:t>
        <w:softHyphen/>
        <w:t>ljarije glupana medu poganima i budala medu Izraelcima da Bog sudi čovjeku prije njegova rođenja, da postupa pravedno ili nepravedno.</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Nije tomu tako... Nitko ga nc može prisiliti da mu određuje kojim će poći od ta dva puta, nego on sam odlučuje prema svojoj pameti kojim putem želi poći« (Misne Tora, Hilhot tešuva V,l-3). Rabini su oblikovali zadaću odgovorna čovjeka: »Tko je jak? Tko svladava svoj poriv« (M Avot IV, 1; usp.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19a; Berahot 5a; Hulin 44b). Srednjovjekovni religijski filozofi poučavali su »da je Bog čovjeku dao sposobnost da mu služi... da mu je dao slobodu volje u vlast i da mu je zapovje</w:t>
        <w:softHyphen/>
        <w:t xml:space="preserve">dio izabrati dobro« (Saadja, Emunot vedeot IV,2): »Čovjek u duši nalazi moć da među mogućim stvarima vrši i postupa zlo« (Jehuda </w:t>
      </w:r>
      <w:r>
        <w:rPr>
          <w:rFonts w:ascii="Times New Roman" w:eastAsia="Times New Roman" w:hAnsi="Times New Roman" w:cs="Times New Roman"/>
          <w:color w:val="000000"/>
          <w:spacing w:val="0"/>
          <w:w w:val="100"/>
          <w:position w:val="0"/>
          <w:shd w:val="clear" w:color="auto" w:fill="auto"/>
          <w:lang w:val="en-US" w:eastAsia="en-US" w:bidi="en-US"/>
        </w:rPr>
        <w:t xml:space="preserve">Halevi, </w:t>
      </w:r>
      <w:r>
        <w:rPr>
          <w:rFonts w:ascii="Times New Roman" w:eastAsia="Times New Roman" w:hAnsi="Times New Roman" w:cs="Times New Roman"/>
          <w:color w:val="000000"/>
          <w:spacing w:val="0"/>
          <w:w w:val="100"/>
          <w:position w:val="0"/>
          <w:shd w:val="clear" w:color="auto" w:fill="auto"/>
          <w:lang w:val="hr-HR" w:eastAsia="hr-HR" w:bidi="hr-HR"/>
        </w:rPr>
        <w:t>Kusari V,20); »Čovjekova djela pot</w:t>
        <w:softHyphen/>
        <w:t xml:space="preserve">puno su prepuštena njegovoj slobodnoj volji, on ih može izvršiti ili zanemariti« (Nahmanid, komentar Post 22,1); oni su se okrenuli protiv onih »koji niječu slobodu volje... ne samo sa stajališta židovstva, nego zato stoje to po sebi krivo i nemoralno«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Albo. Ikari 1,9). To znači: »O ćudorednoj volji čovjeka ovisi sud</w:t>
        <w:softHyphen/>
        <w:t xml:space="preserve">bina čovjeka« (E. </w:t>
      </w:r>
      <w:r>
        <w:rPr>
          <w:rFonts w:ascii="Times New Roman" w:eastAsia="Times New Roman" w:hAnsi="Times New Roman" w:cs="Times New Roman"/>
          <w:color w:val="000000"/>
          <w:spacing w:val="0"/>
          <w:w w:val="100"/>
          <w:position w:val="0"/>
          <w:shd w:val="clear" w:color="auto" w:fill="auto"/>
          <w:lang w:val="en-US" w:eastAsia="en-US" w:bidi="en-US"/>
        </w:rPr>
        <w:t xml:space="preserve">Auerbach, </w:t>
      </w:r>
      <w:r>
        <w:rPr>
          <w:rFonts w:ascii="Times New Roman" w:eastAsia="Times New Roman" w:hAnsi="Times New Roman" w:cs="Times New Roman"/>
          <w:i/>
          <w:iCs/>
          <w:color w:val="000000"/>
          <w:spacing w:val="0"/>
          <w:w w:val="100"/>
          <w:position w:val="0"/>
          <w:shd w:val="clear" w:color="auto" w:fill="auto"/>
          <w:lang w:val="hr-HR" w:eastAsia="hr-HR" w:bidi="hr-HR"/>
        </w:rPr>
        <w:t>Prophetie,</w:t>
      </w:r>
      <w:r>
        <w:rPr>
          <w:rFonts w:ascii="Times New Roman" w:eastAsia="Times New Roman" w:hAnsi="Times New Roman" w:cs="Times New Roman"/>
          <w:color w:val="000000"/>
          <w:spacing w:val="0"/>
          <w:w w:val="100"/>
          <w:position w:val="0"/>
          <w:shd w:val="clear" w:color="auto" w:fill="auto"/>
          <w:lang w:val="hr-HR" w:eastAsia="hr-HR" w:bidi="hr-HR"/>
        </w:rPr>
        <w:t xml:space="preserve"> 1920, 67); jer: »Za ono što traži, Bog daje i snagu« (S. R. Hirsch, </w:t>
      </w:r>
      <w:r>
        <w:rPr>
          <w:rFonts w:ascii="Times New Roman" w:eastAsia="Times New Roman" w:hAnsi="Times New Roman" w:cs="Times New Roman"/>
          <w:i/>
          <w:iCs/>
          <w:color w:val="000000"/>
          <w:spacing w:val="0"/>
          <w:w w:val="100"/>
          <w:position w:val="0"/>
          <w:shd w:val="clear" w:color="auto" w:fill="auto"/>
          <w:lang w:val="hr-HR" w:eastAsia="hr-HR" w:bidi="hr-HR"/>
        </w:rPr>
        <w:t>Choreb,</w:t>
      </w:r>
      <w:r>
        <w:rPr>
          <w:rFonts w:ascii="Times New Roman" w:eastAsia="Times New Roman" w:hAnsi="Times New Roman" w:cs="Times New Roman"/>
          <w:color w:val="000000"/>
          <w:spacing w:val="0"/>
          <w:w w:val="100"/>
          <w:position w:val="0"/>
          <w:shd w:val="clear" w:color="auto" w:fill="auto"/>
          <w:lang w:val="hr-HR" w:eastAsia="hr-HR" w:bidi="hr-HR"/>
        </w:rPr>
        <w:t xml:space="preserve"> 1837, pogl. 79, 519). Stoga riječ staraca nije izgubila značenje: »Nećeš naći nikoga uistinu slobodnoga (Bcn- Chorin) osim onoga koji se bavi izučavanjem Tore (talmud tora)« (M Avot VI,2).</w:t>
      </w:r>
    </w:p>
    <w:p>
      <w:pPr>
        <w:pStyle w:val="Style56"/>
        <w:keepNext w:val="0"/>
        <w:keepLines w:val="0"/>
        <w:widowControl w:val="0"/>
        <w:shd w:val="clear" w:color="auto" w:fill="auto"/>
        <w:tabs>
          <w:tab w:pos="2443" w:val="left"/>
        </w:tabs>
        <w:bidi w:val="0"/>
        <w:spacing w:before="0" w:after="32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 xml:space="preserve">Die Lehren </w:t>
      </w:r>
      <w:r>
        <w:rPr>
          <w:i/>
          <w:iCs/>
          <w:color w:val="000000"/>
          <w:spacing w:val="0"/>
          <w:w w:val="100"/>
          <w:position w:val="0"/>
          <w:shd w:val="clear" w:color="auto" w:fill="auto"/>
          <w:lang w:val="hr-HR" w:eastAsia="hr-HR" w:bidi="hr-HR"/>
        </w:rPr>
        <w:t>des Judeniums</w:t>
      </w:r>
      <w:r>
        <w:rPr>
          <w:color w:val="000000"/>
          <w:spacing w:val="0"/>
          <w:w w:val="100"/>
          <w:position w:val="0"/>
          <w:shd w:val="clear" w:color="auto" w:fill="auto"/>
          <w:lang w:val="hr-HR" w:eastAsia="hr-HR" w:bidi="hr-HR"/>
        </w:rPr>
        <w:t xml:space="preserve"> I, 1928, 68-79; E. E. </w:t>
      </w:r>
      <w:r>
        <w:rPr>
          <w:color w:val="000000"/>
          <w:spacing w:val="0"/>
          <w:w w:val="100"/>
          <w:position w:val="0"/>
          <w:shd w:val="clear" w:color="auto" w:fill="auto"/>
        </w:rPr>
        <w:t>Ur</w:t>
        <w:softHyphen/>
        <w:t xml:space="preserve">bach, </w:t>
      </w:r>
      <w:r>
        <w:rPr>
          <w:i/>
          <w:iCs/>
          <w:color w:val="000000"/>
          <w:spacing w:val="0"/>
          <w:w w:val="100"/>
          <w:position w:val="0"/>
          <w:shd w:val="clear" w:color="auto" w:fill="auto"/>
        </w:rPr>
        <w:t>The Sages,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1975,255 i d.; 421,482.</w:t>
        <w:tab/>
        <w:t xml:space="preserve">Đ. </w:t>
      </w:r>
      <w:r>
        <w:rPr>
          <w:color w:val="000000"/>
          <w:spacing w:val="0"/>
          <w:w w:val="100"/>
          <w:position w:val="0"/>
          <w:shd w:val="clear" w:color="auto" w:fill="auto"/>
        </w:rPr>
        <w:t>VLTiliR</w:t>
      </w:r>
    </w:p>
    <w:p>
      <w:pPr>
        <w:pStyle w:val="Style56"/>
        <w:keepNext w:val="0"/>
        <w:keepLines w:val="0"/>
        <w:widowControl w:val="0"/>
        <w:numPr>
          <w:ilvl w:val="0"/>
          <w:numId w:val="507"/>
        </w:numPr>
        <w:shd w:val="clear" w:color="auto" w:fill="auto"/>
        <w:tabs>
          <w:tab w:pos="260" w:val="left"/>
        </w:tabs>
        <w:bidi w:val="0"/>
        <w:spacing w:before="0" w:after="80" w:line="240" w:lineRule="auto"/>
        <w:ind w:left="0" w:right="0" w:firstLine="0"/>
        <w:jc w:val="both"/>
      </w:pP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je riječ koja kao i odgovarajući pridjev »slo</w:t>
        <w:softHyphen/>
        <w:t>bodan« ima različita opisna značenja koja se često samo neodređeno razlikuju jedna od drugih, a upotrebljava se u različitim konteks</w:t>
        <w:softHyphen/>
        <w:t>tima u vrlo pozitivno ocijenjenom smislu. Kao tipični uzorci mogu se međusobno razlikovali značenja koja slijede:</w:t>
      </w:r>
    </w:p>
    <w:p>
      <w:pPr>
        <w:pStyle w:val="Style20"/>
        <w:keepNext w:val="0"/>
        <w:keepLines w:val="0"/>
        <w:widowControl w:val="0"/>
        <w:numPr>
          <w:ilvl w:val="0"/>
          <w:numId w:val="509"/>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Vanjska i unutarnja s. djelovanja:</w:t>
      </w:r>
      <w:r>
        <w:rPr>
          <w:rFonts w:ascii="Times New Roman" w:eastAsia="Times New Roman" w:hAnsi="Times New Roman" w:cs="Times New Roman"/>
          <w:color w:val="000000"/>
          <w:spacing w:val="0"/>
          <w:w w:val="100"/>
          <w:position w:val="0"/>
          <w:shd w:val="clear" w:color="auto" w:fill="auto"/>
          <w:lang w:val="hr-HR" w:eastAsia="hr-HR" w:bidi="hr-HR"/>
        </w:rPr>
        <w:t xml:space="preserve"> Tko nije vezan, slobodno se kreće ovamo ili onamo; tko nc pati od neodoljive agorafobijc, ući će ili neće ući u neku veliku punu dvoranu. Pod slo</w:t>
        <w:softHyphen/>
        <w:t>bodom djelovanja razumijeva se prirodna ili institucionalna moć nekog čovjeka da postupi ovako ili onako. Institucionalna s. djelovanja predstavlja poseban slučaj vanjske slobode: Tko je neoženjen i ispunjava ostale uvjete, po zakonu je slobodan oženiti se ili ne; nasuprot tomu, oženjeni ne posjeduje ovu institucio</w:t>
        <w:softHyphen/>
      </w:r>
      <w:r>
        <w:rPr>
          <w:rFonts w:ascii="Times New Roman" w:eastAsia="Times New Roman" w:hAnsi="Times New Roman" w:cs="Times New Roman"/>
          <w:color w:val="000000"/>
          <w:spacing w:val="0"/>
          <w:w w:val="100"/>
          <w:position w:val="0"/>
          <w:shd w:val="clear" w:color="auto" w:fill="auto"/>
          <w:lang w:val="hr-HR" w:eastAsia="hr-HR" w:bidi="hr-HR"/>
        </w:rPr>
        <w:t>nalnu slobodu; on je jedino slobodan u pri</w:t>
        <w:softHyphen/>
        <w:t>rodnom neinstitucionalnom smislu sklopiti iz</w:t>
        <w:softHyphen/>
        <w:t>vanbračni odnos. Gotovo uvijek kad govorimo o bilo kakvoj slobodi, mislimo na ovaj oblik slobode djelovanja. S. izbora radnog mjesta, zvanja, mjesta stanovanja, supružnika, s. miš</w:t>
        <w:softHyphen/>
        <w:t>ljenja i tiska, s. političkog opredjeljenja, s. udruživanja, s. stranačkog djelovanja, vjerska s. - sve se one mogu okarakterizirati kao s. djelovanja. Slobode takve vrste mogu biti ogra</w:t>
        <w:softHyphen/>
        <w:t>ničene ili sasvim poništene unutarnjom ili vanjskom prisilom, kao i institucionalnim ured</w:t>
        <w:softHyphen/>
        <w:t>bama. Gotovo sve slobode djelovanja mogu se ocijeniti kao pozitivne u izvan-moralnom smislu. Zato se npr. psihoterapeut trudi uklo</w:t>
        <w:softHyphen/>
        <w:t>niti unutarnje prisile svoga pacijenta. Ako su slobode djelovanja ograničene ili poništene vanjskom prisilom ili institucionalnim ured</w:t>
        <w:softHyphen/>
        <w:t>bama, tada se to svaki put mora posebno opravdati. Moralna pravila ne ograničavaju slobodu djelovanja nego je pretpostavljaju, jer zahtijevaju da ne činimo drugačije, makar to možemo.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Prirodna s. djelovanja, u smislu koji je opisan, dopuštena je na jednak način i životinjama. Ako nekog psa stavimo na lanac, ograniča</w:t>
        <w:softHyphen/>
        <w:t>vamo njegovu slobodu kretanja. Već sama či</w:t>
        <w:softHyphen/>
        <w:t>njenica da životinjama dajemo slobodu dje</w:t>
        <w:softHyphen/>
        <w:t>lovanja, a pritom ih ne držimo moralno odgo</w:t>
        <w:softHyphen/>
        <w:t>vornima, pokazuje da sama s. djelovanja nije dostatan nego najviše nužan uvjet za moralnu odgovornost. Svaka s. djelovanja određena je brojnim čimbenicima; njezino aktiviranje kod čovjeka bitno ovisi i o tome da on upravo tako hoće, a ne drugačije. Ako treba postojati neki nedeterminirani oblik slobode koji daje temelj za moralnu odgovornost, morao bi se tražiti na području htijenja.</w:t>
      </w:r>
    </w:p>
    <w:p>
      <w:pPr>
        <w:pStyle w:val="Style20"/>
        <w:keepNext w:val="0"/>
        <w:keepLines w:val="0"/>
        <w:widowControl w:val="0"/>
        <w:numPr>
          <w:ilvl w:val="0"/>
          <w:numId w:val="509"/>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 prvenstvenog izbora:</w:t>
      </w:r>
      <w:r>
        <w:rPr>
          <w:rFonts w:ascii="Times New Roman" w:eastAsia="Times New Roman" w:hAnsi="Times New Roman" w:cs="Times New Roman"/>
          <w:color w:val="000000"/>
          <w:spacing w:val="0"/>
          <w:w w:val="100"/>
          <w:position w:val="0"/>
          <w:shd w:val="clear" w:color="auto" w:fill="auto"/>
          <w:lang w:val="hr-HR" w:eastAsia="hr-HR" w:bidi="hr-HR"/>
        </w:rPr>
        <w:t xml:space="preserve"> Ima Ii dakle situacija u kojima netko, u smislu da može htjeti ovako ili drugačije, kategorički sam određuje smjer svoje volje? Najprije se čini da ovdje moramo odgovoriti s jasnim ne. Jer, i ono što hoćemo, obično je determinirano i to ne samo svim onim čimbenicima koji u nama djeluju kao spontane (iracionalne) pokretačke sile nego i motivima koji mogu vrijediti kao (racionalne) procjene za izbor naših stavova i postupaka. Liječnik, koji pred očima ima samo zdravlje svog pacijenta, ne može pod inače istim okol</w:t>
        <w:softHyphen/>
        <w:t xml:space="preserve">nostima drugačije postupiti nego propisati mu onu terapiju koju drži najuspješnijom. Kad bi </w:t>
      </w:r>
      <w:r>
        <w:rPr>
          <w:rFonts w:ascii="Times New Roman" w:eastAsia="Times New Roman" w:hAnsi="Times New Roman" w:cs="Times New Roman"/>
          <w:color w:val="000000"/>
          <w:spacing w:val="0"/>
          <w:w w:val="100"/>
          <w:position w:val="0"/>
          <w:shd w:val="clear" w:color="auto" w:fill="auto"/>
          <w:lang w:val="en-US" w:eastAsia="en-US" w:bidi="en-US"/>
        </w:rPr>
        <w:t xml:space="preserve">on </w:t>
      </w:r>
      <w:r>
        <w:rPr>
          <w:rFonts w:ascii="Times New Roman" w:eastAsia="Times New Roman" w:hAnsi="Times New Roman" w:cs="Times New Roman"/>
          <w:color w:val="000000"/>
          <w:spacing w:val="0"/>
          <w:w w:val="100"/>
          <w:position w:val="0"/>
          <w:shd w:val="clear" w:color="auto" w:fill="auto"/>
          <w:lang w:val="hr-HR" w:eastAsia="hr-HR" w:bidi="hr-HR"/>
        </w:rPr>
        <w:t>- racionalnim prosuđivanjem - predložio neku drugu terapiju, tada bi sigurno uzimao u obzir barem još jedno drugačije procjenjiva</w:t>
        <w:softHyphen/>
        <w:t>nje nego što je zdravlje (npr. gledao bi na troškove). Prema tomu, s. prvenstvenog izbo</w:t>
        <w:softHyphen/>
        <w:t>ra nalazi se u čovjekovoj moći da racionalnim procjenama prosudi jesu li alternative za dje</w:t>
        <w:softHyphen/>
        <w:t>lovanje i zauzimanje stava bolje ili manje do</w:t>
        <w:softHyphen/>
        <w:t>bre, loše ili manje loše, pa da ih prema tomu izabere. Između alternativa za djelovanje i za</w:t>
        <w:softHyphen/>
        <w:t>uzimanja stava prihvaća se dakle komparati</w:t>
        <w:softHyphen/>
        <w:t>van odnos: dobro/bolje ili loše/lošije. Ovaj oblik slobode svojstven je čovjeku naspram ži</w:t>
        <w:softHyphen/>
        <w:t>votinje; on nije ništa manje determiniran, ra</w:t>
        <w:softHyphen/>
        <w:t>cionalno determiniran, svaki put po mjerilima vrijednosti na koje se oslanja. Detcrminira- nost izbora nije u tom slučaju uzrok djelova</w:t>
        <w:softHyphen/>
        <w:t>nja nego nužnost za finalno strukturiranje hti</w:t>
        <w:softHyphen/>
        <w:t>jenja. Svaki izbor, koji bi se s pravom mogao opravdati primjenom poredbenih ocjenjivač</w:t>
        <w:softHyphen/>
        <w:t>kih riječi, oslanja se na mjerilo koje je logično bilo prethodno prihvaćeno kod izbora i stoga je u navedenom smislu determinirani prven</w:t>
        <w:softHyphen/>
        <w:t>stveni izbor. S. prvenstvenog izbora sastoji se prema tomu u uvjetnom »moći htjeti druga</w:t>
        <w:softHyphen/>
        <w:t>čije«, tj. biratelj bi mogao i drugačije izabrati da se odlučio osloniti na neko drugo mjerilo. Takav je izbor slobodan ako njegov rezultat nije utvrđen odrednicama koje su uzrokovale djelovanje, ali je i determiniran, ako je njegov rezultat unutarnjom logikom htijenja ciljno- uzročno unaprijed utvrđen.</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prvenstvenog izbora također je visoka iz- vanmoralna vrijednost. Ona očigledno može biti ograničena ili poništena svim onim čimbe</w:t>
        <w:softHyphen/>
        <w:t>nicima koji priječe ili onemogućuju razborit sud. Tu se ubrajaju npr. nedostatna zrelost, neuroze, psihoze, zablude, nedostatak suos</w:t>
        <w:softHyphen/>
        <w:t>jećanja, oskudna mašta, sljepilo za vrijednosti i indoktrinacija. Nesumnjivo je jasno da izbori koje moramo svakodnevno činiti pripadaju tom tipu finalno determiniranoga prvenstve</w:t>
        <w:softHyphen/>
        <w:t>nog izbora. Činjenica da se pritom može raditi o moralnim problemima, ništa po sebi ne mi</w:t>
        <w:softHyphen/>
        <w:t>jenja na njihovu značaju; međusobno se od</w:t>
        <w:softHyphen/>
        <w:t>mjeravaju upravo samo moralno važni razlozi. Gotovo sve što se kaže u normativnoj etici, tiče se prvenstvenog izbora. Pitanje o isprav</w:t>
        <w:softHyphen/>
        <w:t>nome, dakle, u pravilu, pitanje o čovjekovu dobru i o najboljem mogućem načinu da se ono ostvari, nije ništa drugo nego pitanje o is</w:t>
        <w:softHyphen/>
        <w:t xml:space="preserve">pravnom prvenstvenom izboru. Cijena takvog </w:t>
      </w:r>
      <w:r>
        <w:rPr>
          <w:rFonts w:ascii="Times New Roman" w:eastAsia="Times New Roman" w:hAnsi="Times New Roman" w:cs="Times New Roman"/>
          <w:color w:val="000000"/>
          <w:spacing w:val="0"/>
          <w:w w:val="100"/>
          <w:position w:val="0"/>
          <w:shd w:val="clear" w:color="auto" w:fill="auto"/>
          <w:lang w:val="hr-HR" w:eastAsia="hr-HR" w:bidi="hr-HR"/>
        </w:rPr>
        <w:t>prvenstvenog biranja može biti vrlo visoka - ako se npr. radi o ljudskim životima - i onaj koji ih mora učiniti može biti u danim okol</w:t>
        <w:softHyphen/>
        <w:t>nostima time teško opterećen. Pa ipak, to niš</w:t>
        <w:softHyphen/>
        <w:t>ta ne mijenja na stvari da je pritom riječ o de</w:t>
        <w:softHyphen/>
        <w:t>terminiranim izborima u odnosu na onaj izbor kod kojega se još ne može u pravom smislu postaviti pitanje o moralnoj odgovornosti, o krivnji ili nc-krivnji.</w:t>
      </w:r>
    </w:p>
    <w:p>
      <w:pPr>
        <w:pStyle w:val="Style20"/>
        <w:keepNext w:val="0"/>
        <w:keepLines w:val="0"/>
        <w:widowControl w:val="0"/>
        <w:numPr>
          <w:ilvl w:val="0"/>
          <w:numId w:val="509"/>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w:t>
      </w:r>
      <w:r>
        <w:rPr>
          <w:rFonts w:ascii="Times New Roman" w:eastAsia="Times New Roman" w:hAnsi="Times New Roman" w:cs="Times New Roman"/>
          <w:i/>
          <w:iCs/>
          <w:color w:val="000000"/>
          <w:spacing w:val="0"/>
          <w:w w:val="100"/>
          <w:position w:val="0"/>
          <w:shd w:val="clear" w:color="auto" w:fill="auto"/>
          <w:lang w:val="hr-HR" w:eastAsia="hr-HR" w:bidi="hr-HR"/>
        </w:rPr>
        <w:t>odlučivanja:</w:t>
      </w:r>
      <w:r>
        <w:rPr>
          <w:rFonts w:ascii="Times New Roman" w:eastAsia="Times New Roman" w:hAnsi="Times New Roman" w:cs="Times New Roman"/>
          <w:color w:val="000000"/>
          <w:spacing w:val="0"/>
          <w:w w:val="100"/>
          <w:position w:val="0"/>
          <w:shd w:val="clear" w:color="auto" w:fill="auto"/>
          <w:lang w:val="hr-HR" w:eastAsia="hr-HR" w:bidi="hr-HR"/>
        </w:rPr>
        <w:t xml:space="preserve"> No, može li se zamisliti jedan jedini slučaj nedeterminiranog izbora između dvaju različitih stajališta ili načina djelovanja? Izbor kod različitih terapija određen je iz</w:t>
        <w:softHyphen/>
        <w:t>među ostaloga kriterijem najvećega mogućeg izgleda da neka terapija uspije. Ovaj se pak kriterij dade svesti na nadređeni kriterij liječ</w:t>
        <w:softHyphen/>
        <w:t>nikove brige o svojim pacijentima. Kada bismo na taj način mogli beskrajno dugo ići dalje ili kada bismo konačno stigli do jedinoga najvišega, kriterija, tada bi stvarno bio neza</w:t>
        <w:softHyphen/>
        <w:t>misliv nedeterminirani izbor. Ali to nije slučaj. Jer, npr. u osnovi liječnikove brige za svoje pacijente može ležati jedan od dvaju posljed</w:t>
        <w:softHyphen/>
        <w:t>njih suprotnih motiva: Liječnik misli na njiho</w:t>
        <w:softHyphen/>
        <w:t>vo zdravlje (ali i na sve drugo), misli samo na sebe (npr. da bi mogao primjereno dobro za</w:t>
        <w:softHyphen/>
        <w:t>raditi), tj. pokreće ga pristrani egoizam ili ne</w:t>
        <w:softHyphen/>
        <w:t>pristrana dobronamjernost prema pacijentima tj. nepristrani altruizam (vrijednosno formuli</w:t>
        <w:softHyphen/>
        <w:t>rano: iz sebičnosti ili iz nesebičnosti). Prema tomu, moralna praalternativa glasi: nepristra</w:t>
        <w:softHyphen/>
        <w:t>na ljubav (‘Ljubi bližnjega svoga kao samoga sebe.’) ili pristrani egoizam, u ćudorednom smislu dobro ili loše, moralno ili nemoralno. Pritom ne mislimo da je ćudoredno dobar čo</w:t>
        <w:softHyphen/>
        <w:t>vjek bolji od ćudoredno lošega ili da je nese</w:t>
        <w:softHyphen/>
        <w:t>bičnost viši moral naspram sebičnosti, nego smo uvjereni da je stav nepristranosti ili nese</w:t>
        <w:softHyphen/>
        <w:t>bične ljubavi jednostavno dobar, a egoizam, naprotiv, jednostavno loš. Nesebičnost i se</w:t>
        <w:softHyphen/>
        <w:t>bičnost shvaćaju se kao suprotna najviša mje</w:t>
        <w:softHyphen/>
        <w:t>rila svih prosuđivanja i postupanja. Dakle, ovisno o tome na koji se od ovih dvaju mjerila netko oslonio kod svojih prvenstvenih izbora, može doći do različitih načela po kojima po</w:t>
        <w:softHyphen/>
        <w:t>stupa. Prema tomu, kada bi u kategoričkom smislu uopće bilo slobodnog izbora s nedeter- miniranim rezultatom, tada bi mogla biti riječ samo o ćudorednoj temeljnoj odluci između obadviju praalternativa nesebičnosti ili sebič</w:t>
        <w:softHyphen/>
        <w:t xml:space="preserve">nosti. Kao sloboda odlučivanja mogla bi se označiti moć čovjeka da sam po sebi odredi </w:t>
      </w:r>
      <w:r>
        <w:rPr>
          <w:rFonts w:ascii="Times New Roman" w:eastAsia="Times New Roman" w:hAnsi="Times New Roman" w:cs="Times New Roman"/>
          <w:color w:val="000000"/>
          <w:spacing w:val="0"/>
          <w:w w:val="100"/>
          <w:position w:val="0"/>
          <w:shd w:val="clear" w:color="auto" w:fill="auto"/>
          <w:lang w:val="hr-HR" w:eastAsia="hr-HR" w:bidi="hr-HR"/>
        </w:rPr>
        <w:t>najviše mjerilo svakoga svog praktičnog pro</w:t>
        <w:softHyphen/>
        <w:t>suđivanja i postupanja kao nepristranost (ne</w:t>
        <w:softHyphen/>
        <w:t>pristranu ljubav) ili kao egoističnu pristranost. Na njoj bi se tada konačno temeljila sva ćudo</w:t>
        <w:softHyphen/>
        <w:t>redna odgovornost za naše mišljenje, postu</w:t>
        <w:softHyphen/>
        <w:t>panje i dopuštanjc. Filozofski spor oko slo</w:t>
        <w:softHyphen/>
        <w:t>bode volje i ćudoredne odgovornosti dade se svesti na ovo pitanje: Je li ili nije u našoj moći da sami određujemo najviše stajalište svoga htijenja i djelovanja kao nepristrane ljubavi ili pristranog egoizma?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Može li se dokazati i na koji način činjenič- nost te vrste slobode, neka ovdje ostane ne</w:t>
        <w:softHyphen/>
        <w:t>riješeno. U svakom slučaju ona će se morati pretpostaviti kada je u pitanju iskustvo ozbilj</w:t>
        <w:softHyphen/>
        <w:t>nog iskušenja. Poziv na obraćenje u SZ i NZ i zahtjev koji se stalno ponavlja da se ispuni za</w:t>
        <w:softHyphen/>
        <w:t>povijed ljubavi prema Bogu i bližnjemu, ra</w:t>
        <w:softHyphen/>
        <w:t>zumljivi su samo uz pretpostavku da je takva s. moguća. Ako je takva s. dana, tada može biti samo sasvim dana. Ona se ne da zamisliti kao ograničena u onom smislu kako mogu biti ograničene s. djelovanja i s. prvenstvenog izbora. Čak i kada su te slobode vrlo jako ogra</w:t>
        <w:softHyphen/>
        <w:t>ničene, još uvijek može biti slobode odlučiva</w:t>
        <w:softHyphen/>
        <w:t>nja; primjerice, i potpuno nepokretan čovjek, koji je lišen svih mogućnosti djelovanja, može biti u ćudorednom smislu dobar čo</w:t>
        <w:softHyphen/>
        <w:t>vjek.</w:t>
      </w:r>
    </w:p>
    <w:p>
      <w:pPr>
        <w:pStyle w:val="Style20"/>
        <w:keepNext w:val="0"/>
        <w:keepLines w:val="0"/>
        <w:widowControl w:val="0"/>
        <w:numPr>
          <w:ilvl w:val="0"/>
          <w:numId w:val="509"/>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 postojanosti:</w:t>
      </w:r>
      <w:r>
        <w:rPr>
          <w:rFonts w:ascii="Times New Roman" w:eastAsia="Times New Roman" w:hAnsi="Times New Roman" w:cs="Times New Roman"/>
          <w:color w:val="000000"/>
          <w:spacing w:val="0"/>
          <w:w w:val="100"/>
          <w:position w:val="0"/>
          <w:shd w:val="clear" w:color="auto" w:fill="auto"/>
          <w:lang w:val="hr-HR" w:eastAsia="hr-HR" w:bidi="hr-HR"/>
        </w:rPr>
        <w:t xml:space="preserve"> Premda se u NZ izričito ne govori o slobodi odlučivanja, ipak prije svega Pavao izričito govori (npr. Rim 8,21: »... u slobodi slave djece Božje«) o četvrtom obliku slobode koju treba razumjeti kao ispunjenje slobodne odluke. Smisao slobodnog odlučiva</w:t>
        <w:softHyphen/>
        <w:t>nja sastoji se u tome da iza sebe ostavimo neodlučnost i da se čvrsto držimo stajališta morala ili nesebične ljubavi, dakle, da postig</w:t>
        <w:softHyphen/>
        <w:t>nemo postojanost u ćudoredno dobrome, koja se po sebi više ne može poništiti, jer smo je slobodno htjeli. Pod slobodom postojanosti shvaća se prema tomu čovjekova moć da se unutarnjom konzistencijom, koju je slobodno htio, pridržava svoje odluke za ćudoredno do</w:t>
        <w:softHyphen/>
        <w:t>bro.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Postojanost u ćudoredno lošem označavamo kao ćudorednu krivnju. Ona također pred</w:t>
        <w:softHyphen/>
        <w:t>stavlja oblik nužne ili determinirane slobode. Njezina nužnost u svakom slučaju ne proizlazi iz vanjske ili unutarnje prisile nego iz slobod</w:t>
        <w:softHyphen/>
        <w:t>nog samoodređenja - zbog čega se ovaj oblik nužnosti prema zlu može također pokrivati ri</w:t>
        <w:softHyphen/>
      </w:r>
      <w:r>
        <w:rPr>
          <w:rFonts w:ascii="Times New Roman" w:eastAsia="Times New Roman" w:hAnsi="Times New Roman" w:cs="Times New Roman"/>
          <w:color w:val="000000"/>
          <w:spacing w:val="0"/>
          <w:w w:val="100"/>
          <w:position w:val="0"/>
          <w:shd w:val="clear" w:color="auto" w:fill="auto"/>
          <w:lang w:val="hr-HR" w:eastAsia="hr-HR" w:bidi="hr-HR"/>
        </w:rPr>
        <w:t>ječju »s.« koja se ovdje jednako tako primje</w:t>
        <w:softHyphen/>
        <w:t>njuje kao pozitivno ocijenjena riječ. Isus go</w:t>
        <w:softHyphen/>
        <w:t>vori o toj postojanosti kad kaže da dobro stab</w:t>
        <w:softHyphen/>
        <w:t>lo može donositi samo dobre plodove. Na temelju te unutarnje nužnosti Pavao može o slobodnima u Kristu istodobno reći da su Kris</w:t>
        <w:softHyphen/>
        <w:t>tovi sluge.</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Još nekoliko riječi o </w:t>
      </w:r>
      <w:r>
        <w:rPr>
          <w:rFonts w:ascii="Times New Roman" w:eastAsia="Times New Roman" w:hAnsi="Times New Roman" w:cs="Times New Roman"/>
          <w:i/>
          <w:iCs/>
          <w:color w:val="000000"/>
          <w:spacing w:val="0"/>
          <w:w w:val="100"/>
          <w:position w:val="0"/>
          <w:shd w:val="clear" w:color="auto" w:fill="auto"/>
          <w:lang w:val="hr-HR" w:eastAsia="hr-HR" w:bidi="hr-HR"/>
        </w:rPr>
        <w:t>strukturama</w:t>
      </w:r>
      <w:r>
        <w:rPr>
          <w:rFonts w:ascii="Times New Roman" w:eastAsia="Times New Roman" w:hAnsi="Times New Roman" w:cs="Times New Roman"/>
          <w:color w:val="000000"/>
          <w:spacing w:val="0"/>
          <w:w w:val="100"/>
          <w:position w:val="0"/>
          <w:shd w:val="clear" w:color="auto" w:fill="auto"/>
          <w:lang w:val="hr-HR" w:eastAsia="hr-HR" w:bidi="hr-HR"/>
        </w:rPr>
        <w:t xml:space="preserve"> slobode od</w:t>
        <w:softHyphen/>
        <w:t>lučivanja i postojanosti: Naše odlučivanje i iz toga proizašla slobodno usvojena postojanost odnose se na oba najviša razloga određivanja svekolikoga ćudorednog prosuđivanja i postu</w:t>
        <w:softHyphen/>
        <w:t>panja: na nesebičnu nepristranost i sebičan egoizam. Zato oni uvijek mogu biti samo pot</w:t>
        <w:softHyphen/>
        <w:t>puni ili obuhvatni u tom smislu da nitko ne može u svojoj temeljnoj postojanosti biti dje</w:t>
        <w:softHyphen/>
        <w:t>lomično nepristran i djelomično egoističan, djelomično dobar i djelomično loš. Ćudore</w:t>
        <w:softHyphen/>
        <w:t>dan zahtjev je, unatoč svojoj višestrukoj dife</w:t>
        <w:softHyphen/>
        <w:t>renciranosti u konkretnim pojedinačnim sa</w:t>
        <w:softHyphen/>
        <w:t>držajima, uvijek samo jedan: Tko iz moralne osvjedočenosti slijedi neku pojedinačnu zapo</w:t>
        <w:softHyphen/>
        <w:t>vijed, on hoće slijediti istodobno i sve ostale. Osim toga, kod slobodnog se odlučivanja radi o prihvaćanju, odnosno odbijanju nekoga kate</w:t>
        <w:softHyphen/>
        <w:t>goričkog zahtjeva: bezuvjetno se trebamo od</w:t>
        <w:softHyphen/>
        <w:t>lučiti za nesebičnost i protiv sebičnosti. Zato odlučivanje i iz njega proizašla postojanost mogu biti uvijek samo definitivno zamišljeni, jer je samo uvjetno prihvaćanje nekoga kate</w:t>
        <w:softHyphen/>
        <w:t>goričkog zahtjeva jednako njegovu odbijanju. No, kako je tada moguće da svaki moralno dobar čovjek nije uvijek dobar i svaki moralno loš čovjek nije uvijek loš? Kako tada još može biti nekog napretka u dobru i daljnjeg sroza</w:t>
        <w:softHyphen/>
        <w:t>vanja u zlu? Kako je tada moguće da onaj koji se odlučio za dobro može još biti u iskušenju, a krivac pozivan na obraćenje? Kako to da do</w:t>
        <w:softHyphen/>
        <w:t>bar tada ne čini samo dobro, a loš samo loše? Da bismo odgovorili na takva pitanja, mora</w:t>
        <w:softHyphen/>
        <w:t>mo prvo prihvatiti da ćudoredna odlučivanja i postojanost u njima, koja iz toga proizlazi, mogu biti različite egzistencijalne dubine i dru</w:t>
        <w:softHyphen/>
        <w:t>go, da izviru centralno ili periferno iz slobod</w:t>
        <w:softHyphen/>
        <w:t>nog Ja.</w:t>
      </w:r>
    </w:p>
    <w:p>
      <w:pPr>
        <w:pStyle w:val="Style20"/>
        <w:keepNext w:val="0"/>
        <w:keepLines w:val="0"/>
        <w:widowControl w:val="0"/>
        <w:shd w:val="clear" w:color="auto" w:fill="auto"/>
        <w:bidi w:val="0"/>
        <w:spacing w:before="0" w:after="6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metaforičkom načinu govora o različitoj eg</w:t>
        <w:softHyphen/>
        <w:t xml:space="preserve">zistencijalnoj dubini odlučivanja i postojanosti drži se da se mi kao slobodne osobe možemo, doduše, uvijek samo sasvim zalagati za dobro ili loše, ali ipak nc cjelokupno (totus, sed </w:t>
      </w:r>
      <w:r>
        <w:rPr>
          <w:rFonts w:ascii="Times New Roman" w:eastAsia="Times New Roman" w:hAnsi="Times New Roman" w:cs="Times New Roman"/>
          <w:color w:val="000000"/>
          <w:spacing w:val="0"/>
          <w:w w:val="100"/>
          <w:position w:val="0"/>
          <w:shd w:val="clear" w:color="auto" w:fill="auto"/>
          <w:lang w:val="en-US" w:eastAsia="en-US" w:bidi="en-US"/>
        </w:rPr>
        <w:t xml:space="preserve">non </w:t>
      </w:r>
      <w:r>
        <w:rPr>
          <w:rFonts w:ascii="Times New Roman" w:eastAsia="Times New Roman" w:hAnsi="Times New Roman" w:cs="Times New Roman"/>
          <w:color w:val="000000"/>
          <w:spacing w:val="0"/>
          <w:w w:val="100"/>
          <w:position w:val="0"/>
          <w:shd w:val="clear" w:color="auto" w:fill="auto"/>
          <w:lang w:val="hr-HR" w:eastAsia="hr-HR" w:bidi="hr-HR"/>
        </w:rPr>
        <w:t>totaliter). Odlučivanje i postojanost imaju raz</w:t>
        <w:softHyphen/>
      </w:r>
      <w:r>
        <w:rPr>
          <w:rFonts w:ascii="Times New Roman" w:eastAsia="Times New Roman" w:hAnsi="Times New Roman" w:cs="Times New Roman"/>
          <w:color w:val="000000"/>
          <w:spacing w:val="0"/>
          <w:w w:val="100"/>
          <w:position w:val="0"/>
          <w:shd w:val="clear" w:color="auto" w:fill="auto"/>
          <w:lang w:val="hr-HR" w:eastAsia="hr-HR" w:bidi="hr-HR"/>
        </w:rPr>
        <w:t>ličite stupnjeve dubine; tako se ntora svako ozbiljno iskušenje (koje se pozitivno mora ra</w:t>
        <w:softHyphen/>
        <w:t>zumjeti kao mogućnost provjeravanja) - ako se ono uopće treba doživjeti kao iskušenje - staviti egzistencijalno dublje nego što dopire dosadašnja postojanost. To što se misli pod osobno centralnim i perifernim odlučivanjem i postojanošću, najjasnije osjećamo kod feno</w:t>
        <w:softHyphen/>
        <w:t>mena slabosti volje ili kod ćudoredne nedo</w:t>
        <w:softHyphen/>
        <w:t>sljednosti: Kada načelno potvrđujemo ćudo</w:t>
        <w:softHyphen/>
        <w:t>redan stav, a ipak ga ne uvažimo. Katolička moralka govori o takvom pristajanju na nešto što se iz dna duše odbija kao o »lakom gri</w:t>
        <w:softHyphen/>
        <w:t>jehu«. Time hoće reći da se tu, doduše, radi o slobodnom pristajanju na krivo ponašanje i o krivom stavu, ali ne o takvom koji izlaže opas</w:t>
        <w:softHyphen/>
        <w:t>nosti moralnost čovjeka u cjelini - u potonjem slučaju govorila bi o »smrtnom grijehu« ili »teškoj ćudorednoj krivnji«. Takvo pristajanje nije zamišljeno ni kao konačno ni kao pot</w:t>
        <w:softHyphen/>
        <w:t>puno nego samo kao privremeno i bez prave privole. Očevidno se taj fenomen polovičnosti provlači kroz cijelo područje ćudorednosti: neki egoist može na nedosljedan način učiniti dobro. Za taj fenomen, koji je već odavno pri</w:t>
        <w:softHyphen/>
        <w:t>mijećen, nije se dosad ni u kršćanskoj moralci ni u etici razvilo nikakvo primjereno nazivlje. Tu bi se moglo govoriti o ćudorednosti u pri</w:t>
        <w:softHyphen/>
        <w:t>premnom smislu i tako je terminološki raz</w:t>
        <w:softHyphen/>
        <w:t>lučiti od ćudorednosti u punom i pravom smislu. Ćudorednost u pripremnom smislu bi</w:t>
        <w:softHyphen/>
        <w:t>la bi neka vrsta predstupnja ili oblik uvježba</w:t>
        <w:softHyphen/>
        <w:t>vanja ćudorednosti u punom smislu, kako u dobrome, tako i u lošemu. Tada bi ćudored</w:t>
        <w:softHyphen/>
        <w:t>nosti u pripremnom smislu, slikovito govoreći, odgovaralo slobodno stajalište, koje bi se mo</w:t>
        <w:softHyphen/>
        <w:t>glo, s obzirom na slobodnu jezgru osobe, lo</w:t>
        <w:softHyphen/>
        <w:t>kalizirati kao periferno, a ćudorednosti u pu</w:t>
        <w:softHyphen/>
        <w:t>nom smislu, kod koje se radi o konačnom i potpunom ostvarenju onoga do čega čovjeku treba biti stalo, odgovaralo bi stajalište koje proizlazi centralno iz slobodnog Ja.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B. </w:t>
      </w:r>
      <w:r>
        <w:rPr>
          <w:color w:val="000000"/>
          <w:spacing w:val="0"/>
          <w:w w:val="100"/>
          <w:position w:val="0"/>
          <w:shd w:val="clear" w:color="auto" w:fill="auto"/>
        </w:rPr>
        <w:t xml:space="preserve">Schulter, </w:t>
      </w:r>
      <w:r>
        <w:rPr>
          <w:i/>
          <w:iCs/>
          <w:color w:val="000000"/>
          <w:spacing w:val="0"/>
          <w:w w:val="100"/>
          <w:position w:val="0"/>
          <w:shd w:val="clear" w:color="auto" w:fill="auto"/>
          <w:lang w:val="hr-HR" w:eastAsia="hr-HR" w:bidi="hr-HR"/>
        </w:rPr>
        <w:t xml:space="preserve">Gcselz und </w:t>
      </w:r>
      <w:r>
        <w:rPr>
          <w:i/>
          <w:iCs/>
          <w:color w:val="000000"/>
          <w:spacing w:val="0"/>
          <w:w w:val="100"/>
          <w:position w:val="0"/>
          <w:shd w:val="clear" w:color="auto" w:fill="auto"/>
        </w:rPr>
        <w:t>Freiheit.</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Dii.sseldorf 1966; R </w:t>
      </w:r>
      <w:r>
        <w:rPr>
          <w:color w:val="000000"/>
          <w:spacing w:val="0"/>
          <w:w w:val="100"/>
          <w:position w:val="0"/>
          <w:shd w:val="clear" w:color="auto" w:fill="auto"/>
        </w:rPr>
        <w:t xml:space="preserve">Ginters (Hrsg.), </w:t>
      </w:r>
      <w:r>
        <w:rPr>
          <w:i/>
          <w:iCs/>
          <w:color w:val="000000"/>
          <w:spacing w:val="0"/>
          <w:w w:val="100"/>
          <w:position w:val="0"/>
          <w:shd w:val="clear" w:color="auto" w:fill="auto"/>
        </w:rPr>
        <w:t>Freiheii und Verantwonlichkeit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Dusseldorf </w:t>
      </w:r>
      <w:r>
        <w:rPr>
          <w:color w:val="000000"/>
          <w:spacing w:val="0"/>
          <w:w w:val="100"/>
          <w:position w:val="0"/>
          <w:shd w:val="clear" w:color="auto" w:fill="auto"/>
          <w:lang w:val="hr-HR" w:eastAsia="hr-HR" w:bidi="hr-HR"/>
        </w:rPr>
        <w:t xml:space="preserve">1977 </w:t>
      </w:r>
      <w:r>
        <w:rPr>
          <w:color w:val="000000"/>
          <w:spacing w:val="0"/>
          <w:w w:val="100"/>
          <w:position w:val="0"/>
          <w:shd w:val="clear" w:color="auto" w:fill="auto"/>
        </w:rPr>
        <w:t xml:space="preserve">(Tcxtsammlung); </w:t>
      </w:r>
      <w:r>
        <w:rPr>
          <w:color w:val="000000"/>
          <w:spacing w:val="0"/>
          <w:w w:val="100"/>
          <w:position w:val="0"/>
          <w:shd w:val="clear" w:color="auto" w:fill="auto"/>
          <w:lang w:val="hr-HR" w:eastAsia="hr-HR" w:bidi="hr-HR"/>
        </w:rPr>
        <w:t xml:space="preserve">U. Pothasl (Hrsg.). </w:t>
      </w:r>
      <w:r>
        <w:rPr>
          <w:i/>
          <w:iCs/>
          <w:color w:val="000000"/>
          <w:spacing w:val="0"/>
          <w:w w:val="100"/>
          <w:position w:val="0"/>
          <w:shd w:val="clear" w:color="auto" w:fill="auto"/>
          <w:lang w:val="hr-HR" w:eastAsia="hr-HR" w:bidi="hr-HR"/>
        </w:rPr>
        <w:t>Freies Hanđaln und Delerminismui,</w:t>
      </w:r>
      <w:r>
        <w:rPr>
          <w:color w:val="000000"/>
          <w:spacing w:val="0"/>
          <w:w w:val="100"/>
          <w:position w:val="0"/>
          <w:shd w:val="clear" w:color="auto" w:fill="auto"/>
          <w:lang w:val="hr-HR" w:eastAsia="hr-HR" w:bidi="hr-HR"/>
        </w:rPr>
        <w:t xml:space="preserve"> I-'rankfurt/M 197K </w:t>
      </w:r>
      <w:r>
        <w:rPr>
          <w:color w:val="000000"/>
          <w:spacing w:val="0"/>
          <w:w w:val="100"/>
          <w:position w:val="0"/>
          <w:shd w:val="clear" w:color="auto" w:fill="auto"/>
        </w:rPr>
        <w:t>(Tcxtsammlung).</w:t>
      </w:r>
    </w:p>
    <w:p>
      <w:pPr>
        <w:pStyle w:val="Style5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hr-HR" w:eastAsia="hr-HR" w:bidi="hr-HR"/>
        </w:rPr>
        <w:t xml:space="preserve">R. </w:t>
      </w:r>
      <w:r>
        <w:rPr>
          <w:color w:val="000000"/>
          <w:spacing w:val="0"/>
          <w:w w:val="100"/>
          <w:position w:val="0"/>
          <w:shd w:val="clear" w:color="auto" w:fill="auto"/>
        </w:rPr>
        <w:t>GINTERS</w:t>
      </w:r>
    </w:p>
    <w:p>
      <w:pPr>
        <w:pStyle w:val="Style63"/>
        <w:keepNext/>
        <w:keepLines/>
        <w:widowControl w:val="0"/>
        <w:numPr>
          <w:ilvl w:val="0"/>
          <w:numId w:val="507"/>
        </w:numPr>
        <w:shd w:val="clear" w:color="auto" w:fill="auto"/>
        <w:tabs>
          <w:tab w:pos="265" w:val="left"/>
        </w:tabs>
        <w:bidi w:val="0"/>
        <w:spacing w:before="0" w:after="100" w:line="223" w:lineRule="auto"/>
        <w:ind w:left="0" w:right="0" w:firstLine="0"/>
        <w:jc w:val="both"/>
      </w:pPr>
      <w:bookmarkStart w:id="328" w:name="bookmark328"/>
      <w:r>
        <w:rPr>
          <w:rFonts w:ascii="Times New Roman" w:eastAsia="Times New Roman" w:hAnsi="Times New Roman" w:cs="Times New Roman"/>
          <w:color w:val="000000"/>
          <w:spacing w:val="0"/>
          <w:w w:val="100"/>
          <w:position w:val="0"/>
          <w:shd w:val="clear" w:color="auto" w:fill="auto"/>
          <w:lang w:val="hr-HR" w:eastAsia="hr-HR" w:bidi="hr-HR"/>
        </w:rPr>
        <w:t>islamski</w:t>
      </w:r>
      <w:bookmarkEnd w:id="328"/>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Potpuno odgovorna s. čovjeka, prema kojoj se etički i religiozno može prosuditi njegov način djelovanja, i slobodan razvoj stvaralačkih mo</w:t>
        <w:softHyphen/>
        <w:t>ći čine pretpostavke svjesnoga religioznog ži</w:t>
        <w:softHyphen/>
        <w:t>vota. Budući da skolastička egzegeza Kurana polazi od pretpostavke da je Kuran suma svih istina u zemaljskim i nebeskim stvarima i da se sastoji od vječno važećih, Božjih iskaza, ona ometa razvoj slobodnih duhovnih moći. Sam Kuran, nasuprot tomu, nigdje ne ističe zahtjev da bude suma svih istina. Muhamedov primjer također nije dovoljan za pružanje odgovora na sva pitanja složenoga života. Ono što se iz ovoga primjera može polučiti za cjelokupnu budućnost jedino je duh kojim je nošena vje- rovjesnikova snaga i spremnost za djelovanje. Sam je Muhamed često iskreno priznavao da ne može biti nadležan za sva životna pitanja. Jedna od njegov izreka glasi: »Vi ćete u stva</w:t>
        <w:softHyphen/>
        <w:t>rima ovoga svijeta bolje odlučivati od mene; tako na vama leži stvarni sud!«</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Prilikom Islamsko-kršćanskoga seminara, koji je 1976. održan u Tripoliju, prominentni du</w:t>
        <w:softHyphen/>
        <w:t>hovni predstavnici islama potvrdili su da čo</w:t>
        <w:softHyphen/>
        <w:t>vjek prema islamskomu nauku ima potpunu slobodu djelovanja. Prema Kuranu čovjek je Božji predstavnik na zemlji. Da ga njegovo pre</w:t>
        <w:softHyphen/>
        <w:t>davanje sebe u Bogu - što je pravo značenje islama - oslobađa od svih drugih vrsta robo</w:t>
        <w:softHyphen/>
        <w:t>vanja i otuđenja. Da se on najbolje ozbiljuje u Bogu. Da je to zajednička jezgra židovskoga, kršćanskog i islamskog nauka. Na sličan način i druge objavljene religije teže ozbiljenju kra</w:t>
        <w:softHyphen/>
        <w:t>ljevstva Božjega. S. vjerovanja predstavlja za</w:t>
        <w:softHyphen/>
        <w:t>jamčeno pravo čovjeka. Kuran o tome kaže: »U vjeri nema prisiljavanja.« (2,256) i »Tko želi, treba vjerovati; tko ne želi, treba ostati u nevjeri« (17,29).</w:t>
      </w:r>
    </w:p>
    <w:p>
      <w:pPr>
        <w:pStyle w:val="Style20"/>
        <w:keepNext w:val="0"/>
        <w:keepLines w:val="0"/>
        <w:widowControl w:val="0"/>
        <w:shd w:val="clear" w:color="auto" w:fill="auto"/>
        <w:bidi w:val="0"/>
        <w:spacing w:before="0" w:after="0" w:line="254" w:lineRule="auto"/>
        <w:ind w:left="0" w:right="0" w:firstLine="0"/>
        <w:jc w:val="both"/>
        <w:sectPr>
          <w:headerReference w:type="default" r:id="rId1335"/>
          <w:footerReference w:type="default" r:id="rId1336"/>
          <w:headerReference w:type="even" r:id="rId1337"/>
          <w:footerReference w:type="even" r:id="rId1338"/>
          <w:footnotePr>
            <w:pos w:val="pageBottom"/>
            <w:numFmt w:val="decimal"/>
            <w:numRestart w:val="continuous"/>
            <w15:footnoteColumns w:val="1"/>
          </w:footnotePr>
          <w:type w:val="continuous"/>
          <w:pgSz w:w="6816" w:h="11006"/>
          <w:pgMar w:top="973" w:left="189" w:right="195" w:bottom="516" w:header="0" w:footer="3" w:gutter="0"/>
          <w:cols w:num="2" w:space="1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Poslušnost prema vlasti obvezna je sve dok ona ne povređuje više zapovijedi - naime one koje potječu od Boga. </w:t>
      </w:r>
      <w:r>
        <w:rPr>
          <w:rFonts w:ascii="Times New Roman" w:eastAsia="Times New Roman" w:hAnsi="Times New Roman" w:cs="Times New Roman"/>
          <w:i/>
          <w:iCs/>
          <w:color w:val="000000"/>
          <w:spacing w:val="0"/>
          <w:w w:val="100"/>
          <w:position w:val="0"/>
          <w:shd w:val="clear" w:color="auto" w:fill="auto"/>
          <w:lang w:val="hr-HR" w:eastAsia="hr-HR" w:bidi="hr-HR"/>
        </w:rPr>
        <w:t>»Nikakve poslušnosti stvorenju ako se griješi protiv Boga!« -</w:t>
      </w:r>
      <w:r>
        <w:rPr>
          <w:rFonts w:ascii="Times New Roman" w:eastAsia="Times New Roman" w:hAnsi="Times New Roman" w:cs="Times New Roman"/>
          <w:color w:val="000000"/>
          <w:spacing w:val="0"/>
          <w:w w:val="100"/>
          <w:position w:val="0"/>
          <w:shd w:val="clear" w:color="auto" w:fill="auto"/>
          <w:lang w:val="hr-HR" w:eastAsia="hr-HR" w:bidi="hr-HR"/>
        </w:rPr>
        <w:t xml:space="preserve"> tako glasi temeljni stav islamske etike. U teoriji društva postoje jasno otkriveni slobodni pros</w:t>
        <w:softHyphen/>
        <w:t>tori koji se čuvaju od države i vlade. Nepra</w:t>
        <w:softHyphen/>
        <w:t xml:space="preserve">vedna se država promatra kao jedna vrsta pljačkaške jazbine. V pobožnoj literaturi kao u Kneževskim zrcalima (nesihetnamc: nasihat- nSme) susreće se slikoviti prikaz ove misli: Aleksandar Veliki uhićuje jednoga pljačkaša i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pita ga zašto čini to grozno djelo. Uhićeni od</w:t>
        <w:softHyphen/>
        <w:t>govara: »Ja samo činim u malome ono što ti činiš u velikome«.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Kuranom propisani društveni obziri, među njima prije svega zapovijed poslušnosti prema roditeljima, ograničavaju individualnu slobo</w:t>
        <w:softHyphen/>
        <w:t>du vjernika i u promijenjenim društvenim okolnostima uzrokuju znatne napetosti i kon</w:t>
        <w:softHyphen/>
        <w:t>flikte. Otkako je sekularno društvo došlo do toga da zanemaruje biblijsku normu ponaša</w:t>
        <w:softHyphen/>
        <w:t>nja koja se reflektira u poštivanju starijih, po</w:t>
        <w:softHyphen/>
        <w:t xml:space="preserve">svuda su prisutne napetosti između </w:t>
      </w:r>
      <w:r>
        <w:rPr>
          <w:rFonts w:ascii="Times New Roman" w:eastAsia="Times New Roman" w:hAnsi="Times New Roman" w:cs="Times New Roman"/>
          <w:i/>
          <w:iCs/>
          <w:color w:val="000000"/>
          <w:spacing w:val="0"/>
          <w:w w:val="100"/>
          <w:position w:val="0"/>
          <w:shd w:val="clear" w:color="auto" w:fill="auto"/>
          <w:lang w:val="hr-HR" w:eastAsia="hr-HR" w:bidi="hr-HR"/>
        </w:rPr>
        <w:t>starih i mladih.</w:t>
      </w:r>
      <w:r>
        <w:rPr>
          <w:rFonts w:ascii="Times New Roman" w:eastAsia="Times New Roman" w:hAnsi="Times New Roman" w:cs="Times New Roman"/>
          <w:color w:val="000000"/>
          <w:spacing w:val="0"/>
          <w:w w:val="100"/>
          <w:position w:val="0"/>
          <w:shd w:val="clear" w:color="auto" w:fill="auto"/>
          <w:lang w:val="hr-HR" w:eastAsia="hr-HR" w:bidi="hr-HR"/>
        </w:rPr>
        <w:t xml:space="preserve"> Izvorno zatvoreno islamsko društvo osjeća ih naročito bolno.</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međuljudskoj razini osobna s. muslimana plaća u novije vrijeme danak zbog pervertira</w:t>
        <w:softHyphen/>
        <w:t>nih shvaćanja vjere. Duhovni nositelj tog shvaćanja vjere, islamski fundamentalizam, od sedamdesetih godina XX. stoljeća sve stav</w:t>
        <w:softHyphen/>
        <w:t>lja na to da se islamskomu svijetu nametne politički i ideološki određena praksa. Ta prak</w:t>
        <w:softHyphen/>
        <w:t xml:space="preserve">sa, koju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selefije </w:t>
      </w:r>
      <w:r>
        <w:rPr>
          <w:rFonts w:ascii="Times New Roman" w:eastAsia="Times New Roman" w:hAnsi="Times New Roman" w:cs="Times New Roman"/>
          <w:i/>
          <w:iCs/>
          <w:color w:val="000000"/>
          <w:spacing w:val="0"/>
          <w:w w:val="100"/>
          <w:position w:val="0"/>
          <w:shd w:val="clear" w:color="auto" w:fill="auto"/>
          <w:lang w:val="en-US" w:eastAsia="en-US" w:bidi="en-US"/>
        </w:rPr>
        <w:t>(salafiyya)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postavljaju kao ideal, dovodi muslimana u sekularnome svi</w:t>
        <w:softHyphen/>
        <w:t xml:space="preserve">jetu pred gotovo nesavladive teškoće.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Selefija </w:t>
      </w:r>
      <w:r>
        <w:rPr>
          <w:rFonts w:ascii="Times New Roman" w:eastAsia="Times New Roman" w:hAnsi="Times New Roman" w:cs="Times New Roman"/>
          <w:color w:val="000000"/>
          <w:spacing w:val="0"/>
          <w:w w:val="100"/>
          <w:position w:val="0"/>
          <w:shd w:val="clear" w:color="auto" w:fill="auto"/>
          <w:lang w:val="hr-HR" w:eastAsia="hr-HR" w:bidi="hr-HR"/>
        </w:rPr>
        <w:t>je duhovni pokret koji teži vraćanju izvorima. On se bori protiv nevjernika i povijesnih izro</w:t>
        <w:softHyphen/>
        <w:t>da u islamu, u izvjesnim je smjerovima otvo</w:t>
        <w:softHyphen/>
        <w:t>ren za modernost, no ipak odbacuje fleksibil</w:t>
        <w:softHyphen/>
        <w:t>niju egzegezu Kurana koja je usmjerena na duh islama.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Franz Kbnig, </w:t>
      </w:r>
      <w:r>
        <w:rPr>
          <w:i/>
          <w:iCs/>
          <w:color w:val="000000"/>
          <w:spacing w:val="0"/>
          <w:w w:val="100"/>
          <w:position w:val="0"/>
          <w:shd w:val="clear" w:color="auto" w:fill="auto"/>
          <w:lang w:val="hr-HR" w:eastAsia="hr-HR" w:bidi="hr-HR"/>
        </w:rPr>
        <w:t xml:space="preserve">Glaubf ist </w:t>
      </w:r>
      <w:r>
        <w:rPr>
          <w:i/>
          <w:iCs/>
          <w:color w:val="000000"/>
          <w:spacing w:val="0"/>
          <w:w w:val="100"/>
          <w:position w:val="0"/>
          <w:shd w:val="clear" w:color="auto" w:fill="auto"/>
        </w:rPr>
        <w:t>Freiheits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Munchcn 198!.</w:t>
      </w:r>
    </w:p>
    <w:p>
      <w:pPr>
        <w:pStyle w:val="Style56"/>
        <w:keepNext w:val="0"/>
        <w:keepLines w:val="0"/>
        <w:widowControl w:val="0"/>
        <w:shd w:val="clear" w:color="auto" w:fill="auto"/>
        <w:bidi w:val="0"/>
        <w:spacing w:before="0" w:after="260" w:line="233" w:lineRule="auto"/>
        <w:ind w:left="0" w:right="0" w:firstLine="0"/>
        <w:jc w:val="right"/>
      </w:pPr>
      <w:r>
        <w:rPr>
          <w:color w:val="000000"/>
          <w:spacing w:val="0"/>
          <w:w w:val="100"/>
          <w:position w:val="0"/>
          <w:shd w:val="clear" w:color="auto" w:fill="auto"/>
          <w:lang w:val="hr-HR" w:eastAsia="hr-HR" w:bidi="hr-HR"/>
        </w:rPr>
        <w:t>S.BAI.IĆ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SLUŽBA</w:t>
      </w:r>
    </w:p>
    <w:p>
      <w:pPr>
        <w:pStyle w:val="Style63"/>
        <w:keepNext/>
        <w:keepLines/>
        <w:widowControl w:val="0"/>
        <w:numPr>
          <w:ilvl w:val="0"/>
          <w:numId w:val="511"/>
        </w:numPr>
        <w:shd w:val="clear" w:color="auto" w:fill="auto"/>
        <w:tabs>
          <w:tab w:pos="241" w:val="left"/>
        </w:tabs>
        <w:bidi w:val="0"/>
        <w:spacing w:before="0" w:line="223" w:lineRule="auto"/>
        <w:ind w:left="0" w:right="0" w:firstLine="0"/>
        <w:jc w:val="both"/>
      </w:pPr>
      <w:bookmarkStart w:id="329" w:name="bookmark329"/>
      <w:r>
        <w:rPr>
          <w:rFonts w:ascii="Times New Roman" w:eastAsia="Times New Roman" w:hAnsi="Times New Roman" w:cs="Times New Roman"/>
          <w:color w:val="000000"/>
          <w:spacing w:val="0"/>
          <w:w w:val="100"/>
          <w:position w:val="0"/>
          <w:shd w:val="clear" w:color="auto" w:fill="auto"/>
          <w:lang w:val="hr-HR" w:eastAsia="hr-HR" w:bidi="hr-HR"/>
        </w:rPr>
        <w:t>židovski</w:t>
      </w:r>
      <w:bookmarkEnd w:id="32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Institucije religijskoga vodstva jesu: a) biblij</w:t>
        <w:softHyphen/>
        <w:t>sko svećenstvo i b) poslijebiblijski rabinat. Odatle potječe naziv »rabinsko židovstvo«. Od skupina, koje su odbijale rabinski autoritet, nastalo je nekoliko sekta.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w:t>
      </w:r>
      <w:r>
        <w:rPr>
          <w:rFonts w:ascii="Times New Roman" w:eastAsia="Times New Roman" w:hAnsi="Times New Roman" w:cs="Times New Roman"/>
          <w:color w:val="000000"/>
          <w:spacing w:val="0"/>
          <w:w w:val="100"/>
          <w:position w:val="0"/>
          <w:shd w:val="clear" w:color="auto" w:fill="auto"/>
          <w:lang w:val="hr-HR" w:eastAsia="hr-HR" w:bidi="hr-HR"/>
        </w:rPr>
        <w:t xml:space="preserve"> Svećenici, hebr. </w:t>
      </w:r>
      <w:r>
        <w:rPr>
          <w:rFonts w:ascii="Times New Roman" w:eastAsia="Times New Roman" w:hAnsi="Times New Roman" w:cs="Times New Roman"/>
          <w:i/>
          <w:iCs/>
          <w:color w:val="000000"/>
          <w:spacing w:val="0"/>
          <w:w w:val="100"/>
          <w:position w:val="0"/>
          <w:shd w:val="clear" w:color="auto" w:fill="auto"/>
          <w:lang w:val="hr-HR" w:eastAsia="hr-HR" w:bidi="hr-HR"/>
        </w:rPr>
        <w:t>kuhanim,</w:t>
      </w:r>
      <w:r>
        <w:rPr>
          <w:rFonts w:ascii="Times New Roman" w:eastAsia="Times New Roman" w:hAnsi="Times New Roman" w:cs="Times New Roman"/>
          <w:color w:val="000000"/>
          <w:spacing w:val="0"/>
          <w:w w:val="100"/>
          <w:position w:val="0"/>
          <w:shd w:val="clear" w:color="auto" w:fill="auto"/>
          <w:lang w:val="hr-HR" w:eastAsia="hr-HR" w:bidi="hr-HR"/>
        </w:rPr>
        <w:t xml:space="preserve"> jed. </w:t>
      </w:r>
      <w:r>
        <w:rPr>
          <w:rFonts w:ascii="Times New Roman" w:eastAsia="Times New Roman" w:hAnsi="Times New Roman" w:cs="Times New Roman"/>
          <w:i/>
          <w:iCs/>
          <w:color w:val="000000"/>
          <w:spacing w:val="0"/>
          <w:w w:val="100"/>
          <w:position w:val="0"/>
          <w:shd w:val="clear" w:color="auto" w:fill="auto"/>
          <w:lang w:val="hr-HR" w:eastAsia="hr-HR" w:bidi="hr-HR"/>
        </w:rPr>
        <w:t>kohen,</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 xml:space="preserve">tomci su </w:t>
      </w:r>
      <w:r>
        <w:rPr>
          <w:rFonts w:ascii="Times New Roman" w:eastAsia="Times New Roman" w:hAnsi="Times New Roman" w:cs="Times New Roman"/>
          <w:color w:val="000000"/>
          <w:spacing w:val="0"/>
          <w:w w:val="100"/>
          <w:position w:val="0"/>
          <w:shd w:val="clear" w:color="auto" w:fill="auto"/>
          <w:lang w:val="en-US" w:eastAsia="en-US" w:bidi="en-US"/>
        </w:rPr>
        <w:t xml:space="preserve">Arona </w:t>
      </w:r>
      <w:r>
        <w:rPr>
          <w:rFonts w:ascii="Times New Roman" w:eastAsia="Times New Roman" w:hAnsi="Times New Roman" w:cs="Times New Roman"/>
          <w:color w:val="000000"/>
          <w:spacing w:val="0"/>
          <w:w w:val="100"/>
          <w:position w:val="0"/>
          <w:shd w:val="clear" w:color="auto" w:fill="auto"/>
          <w:lang w:val="hr-HR" w:eastAsia="hr-HR" w:bidi="hr-HR"/>
        </w:rPr>
        <w:t>(Ahrona) iz Ievijeva pleme</w:t>
        <w:softHyphen/>
        <w:t>na. Aron je, prema Bibliji, bio Mojsijev brat. Za razliku od poganskih religija, službu su obav</w:t>
        <w:softHyphen/>
        <w:t>ljali samo muškarci. Oni su blagoslivljali sve</w:t>
        <w:softHyphen/>
        <w:t>ćeničkim, Aronovim blagoslovom (Br 6,23-27), poučavali narod (Mal 2,7), obavljali u turnu</w:t>
        <w:softHyphen/>
        <w:t>sima žrtvenu službu u jeruzalemskom hramu, odlučivali o zaraznim bolestima itd. Uzdrža</w:t>
        <w:softHyphen/>
        <w:t xml:space="preserve">vali su se desetinom (u naravi) i otkupninom </w:t>
      </w:r>
      <w:r>
        <w:rPr>
          <w:rFonts w:ascii="Times New Roman" w:eastAsia="Times New Roman" w:hAnsi="Times New Roman" w:cs="Times New Roman"/>
          <w:color w:val="000000"/>
          <w:spacing w:val="0"/>
          <w:w w:val="100"/>
          <w:position w:val="0"/>
          <w:shd w:val="clear" w:color="auto" w:fill="auto"/>
          <w:lang w:val="hr-HR" w:eastAsia="hr-HR" w:bidi="hr-HR"/>
        </w:rPr>
        <w:t>prvorodenaca u ljudi i životinja. Nisu bili zem</w:t>
        <w:softHyphen/>
        <w:t>ljoposjednici. Poput svih Židova, trebali su se ženiti, ali ne razvedenima niti obraćenicama. Morali su se držati strogih propisa obredne čistoće za službu u Hramu i nisu dolazili u do</w:t>
        <w:softHyphen/>
        <w:t xml:space="preserve">dir s mrtvima. Na vrhu svećeničke hijerarhije stajao je veliki svećenik. U početku je, poput </w:t>
      </w:r>
      <w:r>
        <w:rPr>
          <w:rFonts w:ascii="Times New Roman" w:eastAsia="Times New Roman" w:hAnsi="Times New Roman" w:cs="Times New Roman"/>
          <w:color w:val="000000"/>
          <w:spacing w:val="0"/>
          <w:w w:val="100"/>
          <w:position w:val="0"/>
          <w:shd w:val="clear" w:color="auto" w:fill="auto"/>
          <w:lang w:val="en-US" w:eastAsia="en-US" w:bidi="en-US"/>
        </w:rPr>
        <w:t xml:space="preserve">Arona, </w:t>
      </w:r>
      <w:r>
        <w:rPr>
          <w:rFonts w:ascii="Times New Roman" w:eastAsia="Times New Roman" w:hAnsi="Times New Roman" w:cs="Times New Roman"/>
          <w:color w:val="000000"/>
          <w:spacing w:val="0"/>
          <w:w w:val="100"/>
          <w:position w:val="0"/>
          <w:shd w:val="clear" w:color="auto" w:fill="auto"/>
          <w:lang w:val="hr-HR" w:eastAsia="hr-HR" w:bidi="hr-HR"/>
        </w:rPr>
        <w:t>bio pomazan uljem (Izl 30,22-33). Na bogoslužju je nosio osam odjevnih predmeta, opisanih u Bibliji, npr. mitru. Bio mu je za</w:t>
        <w:softHyphen/>
        <w:t xml:space="preserve">branjen i brak s udovicom. On sam ulazio je na Dan pomirbe u Svetinju nad svetinjama u Hramu i ondje izgovarao ime Božje. Nekoliko proroka bili su svećenici, npr. Jcrcmija, </w:t>
      </w:r>
      <w:r>
        <w:rPr>
          <w:rFonts w:ascii="Times New Roman" w:eastAsia="Times New Roman" w:hAnsi="Times New Roman" w:cs="Times New Roman"/>
          <w:color w:val="000000"/>
          <w:spacing w:val="0"/>
          <w:w w:val="100"/>
          <w:position w:val="0"/>
          <w:shd w:val="clear" w:color="auto" w:fill="auto"/>
          <w:lang w:val="en-US" w:eastAsia="en-US" w:bidi="en-US"/>
        </w:rPr>
        <w:t>Eze</w:t>
        <w:softHyphen/>
        <w:t>kiel.</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ortodoksnih Židova vrijede i danas propisi o braku i zakoni o čistoći za potomke sve</w:t>
        <w:softHyphen/>
        <w:t>ćenika. Prvi su pozvani na čitanje Knjige, na blagdane blagoslivljaju u svečanim obredima i otkupljuju prvorodence. Leviti su bili hramski službenici, glazbenici i psalmisti. U mjestima nisu imali zemljišne posjede. Zajedno s udovi</w:t>
        <w:softHyphen/>
        <w:t>cama, siročadi, siromasima i strancima imali su pravo na uzdržavanje od javne pomoći. Kao učitelj naroda u svim religijskim pitanji</w:t>
        <w:softHyphen/>
        <w:t>ma bili su prethodnici pismoznanaca. Ža čita</w:t>
        <w:softHyphen/>
        <w:t>nje Knjige i danas ih pozivaju kao druge. Peru ruke svećenicima prije svećeničkoga blagoslo</w:t>
        <w:softHyphen/>
        <w:t>va u sinagogi. Pripadnost svećenicima i levi- tima prenosi se s očeva na sinove, a pripad</w:t>
        <w:softHyphen/>
        <w:t>nost židovskom narodu nasljeđuje se inače preko majke. Nakon rušenja Hrama 70. pos. Kr. nestala je svećenička funkcija, a s njom i saduceji, njihova stranka.</w:t>
      </w:r>
    </w:p>
    <w:p>
      <w:pPr>
        <w:pStyle w:val="Style20"/>
        <w:keepNext w:val="0"/>
        <w:keepLines w:val="0"/>
        <w:widowControl w:val="0"/>
        <w:shd w:val="clear" w:color="auto" w:fill="auto"/>
        <w:bidi w:val="0"/>
        <w:spacing w:before="0" w:after="0"/>
        <w:ind w:left="0" w:right="0" w:firstLine="0"/>
        <w:jc w:val="both"/>
        <w:sectPr>
          <w:headerReference w:type="default" r:id="rId1339"/>
          <w:footerReference w:type="default" r:id="rId1340"/>
          <w:headerReference w:type="even" r:id="rId1341"/>
          <w:footerReference w:type="even" r:id="rId1342"/>
          <w:footnotePr>
            <w:pos w:val="pageBottom"/>
            <w:numFmt w:val="decimal"/>
            <w:numRestart w:val="continuous"/>
            <w15:footnoteColumns w:val="1"/>
          </w:footnotePr>
          <w:type w:val="continuous"/>
          <w:pgSz w:w="6816" w:h="11006"/>
          <w:pgMar w:top="973" w:left="189" w:right="195" w:bottom="516" w:header="0" w:footer="3" w:gutter="0"/>
          <w:cols w:num="2" w:space="169"/>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b)</w:t>
      </w:r>
      <w:r>
        <w:rPr>
          <w:rFonts w:ascii="Times New Roman" w:eastAsia="Times New Roman" w:hAnsi="Times New Roman" w:cs="Times New Roman"/>
          <w:color w:val="000000"/>
          <w:spacing w:val="0"/>
          <w:w w:val="100"/>
          <w:position w:val="0"/>
          <w:shd w:val="clear" w:color="auto" w:fill="auto"/>
          <w:lang w:val="hr-HR" w:eastAsia="hr-HR" w:bidi="hr-HR"/>
        </w:rPr>
        <w:t xml:space="preserve"> U doba drugoga Hrama rastao je ugled pis</w:t>
        <w:softHyphen/>
        <w:t>moznanaca koji, za razliku od svećenika, nisu bili ograničeni na nasljednu skupinu. Svaki Židov i svaki obraćenik mogao je biti učitelj u tumačenju Knjige i tako zastupati autoritet Tore. Prema predaji, smatralo se da slijed uči</w:t>
        <w:softHyphen/>
        <w:t>telja teče neprekidno od Mojsija preko pro</w:t>
        <w:softHyphen/>
        <w:t>roka. Počasni im je naslov bio rabi, hebr. »moj učitelj«. Predsjednik Velikoga vijeća bio je ra- ban, »naš učitelj«. Uslijedilo je zaredenje u tom tradicijskom lancu, koje je ukinuto u IV. stoljeću. Na njegovo mjesto došlo je učiteljsko ovlaštenje. Poslije je uveden opsežan diplom</w:t>
        <w:softHyphen/>
        <w:t>ski program za nositelje toga naslova. Rabini Talmuda nisu bili podvrgnuti hijerarhiji u pra</w:t>
        <w:softHyphen/>
        <w:t xml:space="preserve">vom smislu. Poglavari vodećih akademija u zemlji Izraelu i Babilonu bili su autonomni. Njihova mišljenja i razlike sadržane su u Tal-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mudu. Na toj osnovi nastali su u srednjem vijeku kodeksi židovskoga prava. Neki kasniji rabini (rabineri) imali su međunarodni ugled i smatrali su ih vrhunskim autoritetima. Rabini i zajednice neprestance su utjecali jedni na druge. Iz konsenzusa rađala se smjernica ži</w:t>
        <w:softHyphen/>
        <w:t>dovskoga života.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starom propisu veliko poznavanje To</w:t>
        <w:softHyphen/>
        <w:t xml:space="preserve">re ne smije biti »sjekira za rad«, zanimanje kako bi se zaradio kruh.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XIV. stoljeća pla</w:t>
        <w:softHyphen/>
        <w:t>ća je bila nepoznata. Rabini su bili liječnici, zemljoradnici, vinogradari, obrtnici, trgovci, radnici. Samo za sudsku djelatnost mogla se isplatiti nagrada za gubitak radnih sati. Tek poslije javila sc potreba za rabinima kojima bi vjerska s. bila glavna. U orijentalnim i španjol</w:t>
        <w:softHyphen/>
        <w:t xml:space="preserve">skim zajednicama njihova je titula bila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hakam, </w:t>
      </w:r>
      <w:r>
        <w:rPr>
          <w:rFonts w:ascii="Times New Roman" w:eastAsia="Times New Roman" w:hAnsi="Times New Roman" w:cs="Times New Roman"/>
          <w:color w:val="000000"/>
          <w:spacing w:val="0"/>
          <w:w w:val="100"/>
          <w:position w:val="0"/>
          <w:shd w:val="clear" w:color="auto" w:fill="auto"/>
          <w:lang w:val="hr-HR" w:eastAsia="hr-HR" w:bidi="hr-HR"/>
        </w:rPr>
        <w:t>tj. mudrac.</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nekim zemljama djelovao je rabin koji je bio odgovoran državi. Njega su u srednjovje</w:t>
        <w:softHyphen/>
        <w:t>kovnoj Njemačkoj nazivali »židovskim bisku</w:t>
        <w:softHyphen/>
        <w:t xml:space="preserve">pom«. U Velikoj Britaniji poznata jc ustanova nadrabina koji je po rangu jednak cantcrbu- </w:t>
      </w:r>
      <w:r>
        <w:rPr>
          <w:rFonts w:ascii="Times New Roman" w:eastAsia="Times New Roman" w:hAnsi="Times New Roman" w:cs="Times New Roman"/>
          <w:color w:val="000000"/>
          <w:spacing w:val="0"/>
          <w:w w:val="100"/>
          <w:position w:val="0"/>
          <w:shd w:val="clear" w:color="auto" w:fill="auto"/>
          <w:lang w:val="en-US" w:eastAsia="en-US" w:bidi="en-US"/>
        </w:rPr>
        <w:t xml:space="preserve">ryjskom </w:t>
      </w:r>
      <w:r>
        <w:rPr>
          <w:rFonts w:ascii="Times New Roman" w:eastAsia="Times New Roman" w:hAnsi="Times New Roman" w:cs="Times New Roman"/>
          <w:color w:val="000000"/>
          <w:spacing w:val="0"/>
          <w:w w:val="100"/>
          <w:position w:val="0"/>
          <w:shd w:val="clear" w:color="auto" w:fill="auto"/>
          <w:lang w:val="hr-HR" w:eastAsia="hr-HR" w:bidi="hr-HR"/>
        </w:rPr>
        <w:t>nadbiskupu. Britanska mandatna vlast uspostavila jc 1921. nadrabinat u Palestini s jednim aškenaskim i jednim sefardskim dosto</w:t>
        <w:softHyphen/>
        <w:t>janstvenikom. Sustav su zadržali u državi Iz</w:t>
        <w:softHyphen/>
        <w:t>raelu.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Rabini sc obrazuju na talmudskim visokim školama, hebr. </w:t>
      </w:r>
      <w:r>
        <w:rPr>
          <w:rFonts w:ascii="Times New Roman" w:eastAsia="Times New Roman" w:hAnsi="Times New Roman" w:cs="Times New Roman"/>
          <w:i/>
          <w:iCs/>
          <w:color w:val="000000"/>
          <w:spacing w:val="0"/>
          <w:w w:val="100"/>
          <w:position w:val="0"/>
          <w:shd w:val="clear" w:color="auto" w:fill="auto"/>
          <w:lang w:val="hr-HR" w:eastAsia="hr-HR" w:bidi="hr-HR"/>
        </w:rPr>
        <w:t>ješivot,</w:t>
      </w:r>
      <w:r>
        <w:rPr>
          <w:rFonts w:ascii="Times New Roman" w:eastAsia="Times New Roman" w:hAnsi="Times New Roman" w:cs="Times New Roman"/>
          <w:color w:val="000000"/>
          <w:spacing w:val="0"/>
          <w:w w:val="100"/>
          <w:position w:val="0"/>
          <w:shd w:val="clear" w:color="auto" w:fill="auto"/>
          <w:lang w:val="hr-HR" w:eastAsia="hr-HR" w:bidi="hr-HR"/>
        </w:rPr>
        <w:t xml:space="preserve"> ili na modernim židov- sko-teološkim fakultetima. Pripadaju raznim smjerovima - ortodoksnim, konzervativnim, liberalnim ili reformiranim. Ortodoksni pri</w:t>
        <w:softHyphen/>
        <w:t>znaju samo vlastito obrazovanje kao autorita</w:t>
        <w:softHyphen/>
        <w:t>tivno, ali su i oni podijeljeni na razne struje. Zadaća ortodoksnih rabina prije svega je re- ligijsko-pravno područje, dok moderni smje</w:t>
        <w:softHyphen/>
        <w:t>rovi potiču i dušobrižništvo i međuvjerski dija</w:t>
        <w:softHyphen/>
        <w:t>log. Važna svjedočanstva o obrazovanju rabi</w:t>
        <w:softHyphen/>
        <w:t>na na njemačkom jeziku sadržana su u godiš</w:t>
        <w:softHyphen/>
        <w:t>njacima Židovsko-teološkoga seminara u Bresslauu (1854-1937), ortodoksnoga Rabin- skog seminara u Berlinu (1873-1937), Učilišta (visoke škole) za židovsku znanost u Berlinu (1874-1938) i Zemaljske rabinske škole u Bu</w:t>
        <w:softHyphen/>
        <w:t>dimpešti (1878-1949).</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nekim je sinagogama uobičajena propovijed rabina, dok druge imaju studijske grupe. U Is</w:t>
        <w:softHyphen/>
        <w:t xml:space="preserve">točnoj Europi djeluje institucija </w:t>
      </w:r>
      <w:r>
        <w:rPr>
          <w:rFonts w:ascii="Times New Roman" w:eastAsia="Times New Roman" w:hAnsi="Times New Roman" w:cs="Times New Roman"/>
          <w:i/>
          <w:iCs/>
          <w:color w:val="000000"/>
          <w:spacing w:val="0"/>
          <w:w w:val="100"/>
          <w:position w:val="0"/>
          <w:shd w:val="clear" w:color="auto" w:fill="auto"/>
          <w:lang w:val="hr-HR" w:eastAsia="hr-HR" w:bidi="hr-HR"/>
        </w:rPr>
        <w:t>magida,</w:t>
      </w:r>
      <w:r>
        <w:rPr>
          <w:rFonts w:ascii="Times New Roman" w:eastAsia="Times New Roman" w:hAnsi="Times New Roman" w:cs="Times New Roman"/>
          <w:color w:val="000000"/>
          <w:spacing w:val="0"/>
          <w:w w:val="100"/>
          <w:position w:val="0"/>
          <w:shd w:val="clear" w:color="auto" w:fill="auto"/>
          <w:lang w:val="hr-HR" w:eastAsia="hr-HR" w:bidi="hr-HR"/>
        </w:rPr>
        <w:t xml:space="preserve"> darovi</w:t>
        <w:softHyphen/>
        <w:t>ta pučkog »propovjednika«. S rabinom ne tre</w:t>
        <w:softHyphen/>
        <w:t xml:space="preserve">ba brkati hasidskoga reba (jidi.š </w:t>
      </w:r>
      <w:r>
        <w:rPr>
          <w:rFonts w:ascii="Times New Roman" w:eastAsia="Times New Roman" w:hAnsi="Times New Roman" w:cs="Times New Roman"/>
          <w:i/>
          <w:iCs/>
          <w:color w:val="000000"/>
          <w:spacing w:val="0"/>
          <w:w w:val="100"/>
          <w:position w:val="0"/>
          <w:shd w:val="clear" w:color="auto" w:fill="auto"/>
          <w:lang w:val="hr-HR" w:eastAsia="hr-HR" w:bidi="hr-HR"/>
        </w:rPr>
        <w:t>rebbe),</w:t>
      </w:r>
      <w:r>
        <w:rPr>
          <w:rFonts w:ascii="Times New Roman" w:eastAsia="Times New Roman" w:hAnsi="Times New Roman" w:cs="Times New Roman"/>
          <w:color w:val="000000"/>
          <w:spacing w:val="0"/>
          <w:w w:val="100"/>
          <w:position w:val="0"/>
          <w:shd w:val="clear" w:color="auto" w:fill="auto"/>
          <w:lang w:val="hr-HR" w:eastAsia="hr-HR" w:bidi="hr-HR"/>
        </w:rPr>
        <w:t xml:space="preserve"> kariz</w:t>
        <w:softHyphen/>
        <w:t>matsku (—» Karizma) ličnost posebnoga stila.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Rabin je prije svega stručnjak u religijskom znanju i duhovni poglavar svoje zajednice. Nema posvete kojom bi bio posebno ovlašten za neke radnje osim za one iz židovskoga pra</w:t>
        <w:softHyphen/>
        <w:t>va (primanje obraćenika, razvod, nadzor ob</w:t>
        <w:softHyphen/>
        <w:t>rednih ustanova). No iz sentimentalnih raz</w:t>
        <w:softHyphen/>
        <w:t>loga polaže se važnost na njegovu suradnju u bogoslužju i na obredima posvete. Kao i ra</w:t>
        <w:softHyphen/>
        <w:t>bine, nosioce službe u sinagogi i bogoslužja zapošljava zajednica. Židovski odgoj i obra</w:t>
        <w:softHyphen/>
        <w:t>zovanje odraslih važna su područja rabinsko- ga djelovanja.</w:t>
      </w:r>
    </w:p>
    <w:p>
      <w:pPr>
        <w:pStyle w:val="Style56"/>
        <w:keepNext w:val="0"/>
        <w:keepLines w:val="0"/>
        <w:widowControl w:val="0"/>
        <w:shd w:val="clear" w:color="auto" w:fill="auto"/>
        <w:tabs>
          <w:tab w:pos="2021" w:val="left"/>
        </w:tabs>
        <w:bidi w:val="0"/>
        <w:spacing w:before="0" w:after="12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W. W. </w:t>
      </w:r>
      <w:r>
        <w:rPr>
          <w:color w:val="000000"/>
          <w:spacing w:val="0"/>
          <w:w w:val="100"/>
          <w:position w:val="0"/>
          <w:shd w:val="clear" w:color="auto" w:fill="auto"/>
        </w:rPr>
        <w:t xml:space="preserve">Baudissin, </w:t>
      </w:r>
      <w:r>
        <w:rPr>
          <w:i/>
          <w:iCs/>
          <w:color w:val="000000"/>
          <w:spacing w:val="0"/>
          <w:w w:val="100"/>
          <w:position w:val="0"/>
          <w:shd w:val="clear" w:color="auto" w:fill="auto"/>
        </w:rPr>
        <w:t xml:space="preserve">Die Geschichie des alien </w:t>
      </w:r>
      <w:r>
        <w:rPr>
          <w:i/>
          <w:iCs/>
          <w:color w:val="000000"/>
          <w:spacing w:val="0"/>
          <w:w w:val="100"/>
          <w:position w:val="0"/>
          <w:shd w:val="clear" w:color="auto" w:fill="auto"/>
          <w:lang w:val="hr-HR" w:eastAsia="hr-HR" w:bidi="hr-HR"/>
        </w:rPr>
        <w:t xml:space="preserve">Priesteriums, </w:t>
      </w:r>
      <w:r>
        <w:rPr>
          <w:color w:val="000000"/>
          <w:spacing w:val="0"/>
          <w:w w:val="100"/>
          <w:position w:val="0"/>
          <w:shd w:val="clear" w:color="auto" w:fill="auto"/>
        </w:rPr>
        <w:t xml:space="preserve">Leipzig </w:t>
      </w:r>
      <w:r>
        <w:rPr>
          <w:color w:val="000000"/>
          <w:spacing w:val="0"/>
          <w:w w:val="100"/>
          <w:position w:val="0"/>
          <w:shd w:val="clear" w:color="auto" w:fill="auto"/>
          <w:lang w:val="hr-HR" w:eastAsia="hr-HR" w:bidi="hr-HR"/>
        </w:rPr>
        <w:t xml:space="preserve">1899; </w:t>
      </w:r>
      <w:r>
        <w:rPr>
          <w:color w:val="000000"/>
          <w:spacing w:val="0"/>
          <w:w w:val="100"/>
          <w:position w:val="0"/>
          <w:shd w:val="clear" w:color="auto" w:fill="auto"/>
        </w:rPr>
        <w:t xml:space="preserve">A. </w:t>
      </w:r>
      <w:r>
        <w:rPr>
          <w:color w:val="000000"/>
          <w:spacing w:val="0"/>
          <w:w w:val="100"/>
          <w:position w:val="0"/>
          <w:shd w:val="clear" w:color="auto" w:fill="auto"/>
          <w:lang w:val="hr-HR" w:eastAsia="hr-HR" w:bidi="hr-HR"/>
        </w:rPr>
        <w:t xml:space="preserve">H. </w:t>
      </w:r>
      <w:r>
        <w:rPr>
          <w:color w:val="000000"/>
          <w:spacing w:val="0"/>
          <w:w w:val="100"/>
          <w:position w:val="0"/>
          <w:shd w:val="clear" w:color="auto" w:fill="auto"/>
        </w:rPr>
        <w:t xml:space="preserve">Gunncwcg, </w:t>
      </w:r>
      <w:r>
        <w:rPr>
          <w:i/>
          <w:iCs/>
          <w:color w:val="000000"/>
          <w:spacing w:val="0"/>
          <w:w w:val="100"/>
          <w:position w:val="0"/>
          <w:shd w:val="clear" w:color="auto" w:fill="auto"/>
          <w:lang w:val="hr-HR" w:eastAsia="hr-HR" w:bidi="hr-HR"/>
        </w:rPr>
        <w:t>i svilen und Priesler: Haupi- linien der Tradilionsbildung und Geschichie des israelisch- jiidischen Kulipersonals,</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Gottingen </w:t>
      </w:r>
      <w:r>
        <w:rPr>
          <w:color w:val="000000"/>
          <w:spacing w:val="0"/>
          <w:w w:val="100"/>
          <w:position w:val="0"/>
          <w:shd w:val="clear" w:color="auto" w:fill="auto"/>
          <w:lang w:val="hr-HR" w:eastAsia="hr-HR" w:bidi="hr-HR"/>
        </w:rPr>
        <w:t xml:space="preserve">1965; S. Huldhcim, </w:t>
      </w:r>
      <w:r>
        <w:rPr>
          <w:i/>
          <w:iCs/>
          <w:color w:val="000000"/>
          <w:spacing w:val="0"/>
          <w:w w:val="100"/>
          <w:position w:val="0"/>
          <w:shd w:val="clear" w:color="auto" w:fill="auto"/>
          <w:lang w:val="hr-HR" w:eastAsia="hr-HR" w:bidi="hr-HR"/>
        </w:rPr>
        <w:t xml:space="preserve">Uber </w:t>
      </w:r>
      <w:r>
        <w:rPr>
          <w:i/>
          <w:iCs/>
          <w:color w:val="000000"/>
          <w:spacing w:val="0"/>
          <w:w w:val="100"/>
          <w:position w:val="0"/>
          <w:shd w:val="clear" w:color="auto" w:fill="auto"/>
        </w:rPr>
        <w:t xml:space="preserve">die Autonomic </w:t>
      </w:r>
      <w:r>
        <w:rPr>
          <w:i/>
          <w:iCs/>
          <w:color w:val="000000"/>
          <w:spacing w:val="0"/>
          <w:w w:val="100"/>
          <w:position w:val="0"/>
          <w:shd w:val="clear" w:color="auto" w:fill="auto"/>
          <w:lang w:val="hr-HR" w:eastAsia="hr-HR" w:bidi="hr-HR"/>
        </w:rPr>
        <w:t xml:space="preserve">der Rabbinen und das Prinzip der jiidischen </w:t>
      </w:r>
      <w:r>
        <w:rPr>
          <w:i/>
          <w:iCs/>
          <w:color w:val="000000"/>
          <w:spacing w:val="0"/>
          <w:w w:val="100"/>
          <w:position w:val="0"/>
          <w:shd w:val="clear" w:color="auto" w:fill="auto"/>
        </w:rPr>
        <w:t>Ehe,</w:t>
      </w:r>
      <w:r>
        <w:rPr>
          <w:color w:val="000000"/>
          <w:spacing w:val="0"/>
          <w:w w:val="100"/>
          <w:position w:val="0"/>
          <w:shd w:val="clear" w:color="auto" w:fill="auto"/>
        </w:rPr>
        <w:t xml:space="preserve"> Schwerin </w:t>
      </w:r>
      <w:r>
        <w:rPr>
          <w:color w:val="000000"/>
          <w:spacing w:val="0"/>
          <w:w w:val="100"/>
          <w:position w:val="0"/>
          <w:shd w:val="clear" w:color="auto" w:fill="auto"/>
          <w:lang w:val="hr-HR" w:eastAsia="hr-HR" w:bidi="hr-HR"/>
        </w:rPr>
        <w:t xml:space="preserve">1843; </w:t>
      </w:r>
      <w:r>
        <w:rPr>
          <w:i/>
          <w:iCs/>
          <w:color w:val="000000"/>
          <w:spacing w:val="0"/>
          <w:w w:val="100"/>
          <w:position w:val="0"/>
          <w:shd w:val="clear" w:color="auto" w:fill="auto"/>
          <w:lang w:val="hr-HR" w:eastAsia="hr-HR" w:bidi="hr-HR"/>
        </w:rPr>
        <w:t xml:space="preserve">P. </w:t>
      </w:r>
      <w:r>
        <w:rPr>
          <w:i/>
          <w:iCs/>
          <w:color w:val="000000"/>
          <w:spacing w:val="0"/>
          <w:w w:val="100"/>
          <w:position w:val="0"/>
          <w:shd w:val="clear" w:color="auto" w:fill="auto"/>
        </w:rPr>
        <w:t xml:space="preserve">Lazarus </w:t>
      </w:r>
      <w:r>
        <w:rPr>
          <w:i/>
          <w:iCs/>
          <w:color w:val="000000"/>
          <w:spacing w:val="0"/>
          <w:w w:val="100"/>
          <w:position w:val="0"/>
          <w:shd w:val="clear" w:color="auto" w:fill="auto"/>
          <w:lang w:val="hr-HR" w:eastAsia="hr-HR" w:bidi="hr-HR"/>
        </w:rPr>
        <w:t xml:space="preserve">Gedenkbuch. Beitrbge zur </w:t>
      </w:r>
      <w:r>
        <w:rPr>
          <w:i/>
          <w:iCs/>
          <w:color w:val="000000"/>
          <w:spacing w:val="0"/>
          <w:w w:val="100"/>
          <w:position w:val="0"/>
          <w:shd w:val="clear" w:color="auto" w:fill="auto"/>
        </w:rPr>
        <w:t xml:space="preserve">Wiirdigung </w:t>
      </w:r>
      <w:r>
        <w:rPr>
          <w:i/>
          <w:iCs/>
          <w:color w:val="000000"/>
          <w:spacing w:val="0"/>
          <w:w w:val="100"/>
          <w:position w:val="0"/>
          <w:shd w:val="clear" w:color="auto" w:fill="auto"/>
          <w:lang w:val="hr-HR" w:eastAsia="hr-HR" w:bidi="hr-HR"/>
        </w:rPr>
        <w:t xml:space="preserve">der letsen </w:t>
      </w:r>
      <w:r>
        <w:rPr>
          <w:i/>
          <w:iCs/>
          <w:color w:val="000000"/>
          <w:spacing w:val="0"/>
          <w:w w:val="100"/>
          <w:position w:val="0"/>
          <w:shd w:val="clear" w:color="auto" w:fill="auto"/>
        </w:rPr>
        <w:t xml:space="preserve">Rabbinergeneration in Deutschland, </w:t>
      </w:r>
      <w:r>
        <w:rPr>
          <w:color w:val="000000"/>
          <w:spacing w:val="0"/>
          <w:w w:val="100"/>
          <w:position w:val="0"/>
          <w:shd w:val="clear" w:color="auto" w:fill="auto"/>
        </w:rPr>
        <w:t xml:space="preserve">Jerusalem </w:t>
      </w:r>
      <w:r>
        <w:rPr>
          <w:color w:val="000000"/>
          <w:spacing w:val="0"/>
          <w:w w:val="100"/>
          <w:position w:val="0"/>
          <w:shd w:val="clear" w:color="auto" w:fill="auto"/>
          <w:lang w:val="hr-HR" w:eastAsia="hr-HR" w:bidi="hr-HR"/>
        </w:rPr>
        <w:t xml:space="preserve">1961; R. L. </w:t>
      </w:r>
      <w:r>
        <w:rPr>
          <w:color w:val="000000"/>
          <w:spacing w:val="0"/>
          <w:w w:val="100"/>
          <w:position w:val="0"/>
          <w:shd w:val="clear" w:color="auto" w:fill="auto"/>
        </w:rPr>
        <w:t xml:space="preserve">Katz </w:t>
      </w:r>
      <w:r>
        <w:rPr>
          <w:color w:val="000000"/>
          <w:spacing w:val="0"/>
          <w:w w:val="100"/>
          <w:position w:val="0"/>
          <w:shd w:val="clear" w:color="auto" w:fill="auto"/>
          <w:lang w:val="hr-HR" w:eastAsia="hr-HR" w:bidi="hr-HR"/>
        </w:rPr>
        <w:t xml:space="preserve">(cd.), </w:t>
      </w:r>
      <w:r>
        <w:rPr>
          <w:i/>
          <w:iCs/>
          <w:color w:val="000000"/>
          <w:spacing w:val="0"/>
          <w:w w:val="100"/>
          <w:position w:val="0"/>
          <w:shd w:val="clear" w:color="auto" w:fill="auto"/>
        </w:rPr>
        <w:t xml:space="preserve">The Role of the Rabbi, </w:t>
      </w:r>
      <w:r>
        <w:rPr>
          <w:color w:val="000000"/>
          <w:spacing w:val="0"/>
          <w:w w:val="100"/>
          <w:position w:val="0"/>
          <w:shd w:val="clear" w:color="auto" w:fill="auto"/>
        </w:rPr>
        <w:t xml:space="preserve">Cincinnati 1976; G. S. Rosenthal (cd.), </w:t>
      </w:r>
      <w:r>
        <w:rPr>
          <w:i/>
          <w:iCs/>
          <w:color w:val="000000"/>
          <w:spacing w:val="0"/>
          <w:w w:val="100"/>
          <w:position w:val="0"/>
          <w:shd w:val="clear" w:color="auto" w:fill="auto"/>
        </w:rPr>
        <w:t>The American Rabbi,</w:t>
      </w:r>
      <w:r>
        <w:rPr>
          <w:color w:val="000000"/>
          <w:spacing w:val="0"/>
          <w:w w:val="100"/>
          <w:position w:val="0"/>
          <w:shd w:val="clear" w:color="auto" w:fill="auto"/>
        </w:rPr>
        <w:t xml:space="preserve"> New York 1977.</w:t>
        <w:tab/>
        <w:t xml:space="preserve">P. </w:t>
      </w:r>
      <w:r>
        <w:rPr>
          <w:rFonts w:ascii="Times New Roman" w:eastAsia="Times New Roman" w:hAnsi="Times New Roman" w:cs="Times New Roman"/>
          <w:smallCaps/>
          <w:color w:val="000000"/>
          <w:spacing w:val="0"/>
          <w:w w:val="100"/>
          <w:position w:val="0"/>
          <w:sz w:val="15"/>
          <w:szCs w:val="15"/>
          <w:shd w:val="clear" w:color="auto" w:fill="auto"/>
        </w:rPr>
        <w:t>Nave</w:t>
      </w:r>
      <w:r>
        <w:rPr>
          <w:color w:val="000000"/>
          <w:spacing w:val="0"/>
          <w:w w:val="100"/>
          <w:position w:val="0"/>
          <w:shd w:val="clear" w:color="auto" w:fill="auto"/>
        </w:rPr>
        <w:t xml:space="preserve"> I.LVINSON</w:t>
      </w:r>
    </w:p>
    <w:p>
      <w:pPr>
        <w:pStyle w:val="Style63"/>
        <w:keepNext/>
        <w:keepLines/>
        <w:widowControl w:val="0"/>
        <w:numPr>
          <w:ilvl w:val="0"/>
          <w:numId w:val="511"/>
        </w:numPr>
        <w:shd w:val="clear" w:color="auto" w:fill="auto"/>
        <w:tabs>
          <w:tab w:pos="255" w:val="left"/>
        </w:tabs>
        <w:bidi w:val="0"/>
        <w:spacing w:before="0" w:line="223" w:lineRule="auto"/>
        <w:ind w:left="0" w:right="0" w:firstLine="0"/>
        <w:jc w:val="both"/>
      </w:pPr>
      <w:bookmarkStart w:id="330" w:name="bookmark33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3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Moderno povijesno-egzegetsko istraživanje, nadilazeći granice konfesija, dovelo je do čvrstog slaganja u mišljenju da su se u ranoj Crkvi služenja i službe postupno oblikovale. Pojam same službe nije biblijski izraz koji bi na određen način označio funkcije povezane s pravima i obvezama. U zapisima Novoga za</w:t>
        <w:softHyphen/>
        <w:t>vjeta nalaze sc različite oznake - apostoli, proroci, učitelji, evanđelisti, pastiri, predstoj</w:t>
        <w:softHyphen/>
        <w:t>nici, starješine, voditelji, đakoni - za crkvene zadatke čija djelatnost i autoritet ostaju ne</w:t>
        <w:softHyphen/>
        <w:t>određeni u pojedinostima. Kao pojam koji po</w:t>
        <w:softHyphen/>
        <w:t>kriva sve ove funkcije nudi se još najprije izraz »služenje« (diakonia). Temelj i načelo svake pojedine crkvene službe je služenje i s. koju je Isus Krist živio i vršio. Svako ovlaštenje da se naviješta, da se slavi liturgija i da se vodi neka zajednica, ima polazište u njegovu poslanju i punomoći. »On ,dade’ jedne kao apostole, druge kao proroke, jedne kao evanđeliste, druge kao pastire i učitelje, da pripravi svete za djelo službe, za izgradnju Kristova Tijela« (Ef 4,11 i d.). Prema prvobitnom shvaćanju ovlaštenost da se služi naviještanjem i svje</w:t>
        <w:softHyphen/>
        <w:t xml:space="preserve">dočenjem, bila je upućena čitavoj zajednici vjernika. Pa ipak, već se na početku oblikuju određena ovlaštenja za posebno služenje. Na prvome mjestu stoji skupina »Dvanaestorice« (Mk 3,13 i d.) koja nakon uskrsnuća igra posebnu ulogu u nastajanju prvih zajednica </w:t>
      </w:r>
      <w:r>
        <w:rPr>
          <w:rFonts w:ascii="Times New Roman" w:eastAsia="Times New Roman" w:hAnsi="Times New Roman" w:cs="Times New Roman"/>
          <w:color w:val="000000"/>
          <w:spacing w:val="0"/>
          <w:w w:val="100"/>
          <w:position w:val="0"/>
          <w:shd w:val="clear" w:color="auto" w:fill="auto"/>
          <w:lang w:val="hr-HR" w:eastAsia="hr-HR" w:bidi="hr-HR"/>
        </w:rPr>
        <w:t>(—&gt; Apostol). Prvenstvena s. i polazna točka za razvitak crkvene službe je naviještanje po</w:t>
        <w:softHyphen/>
        <w:t>ruke koja je naređena apostolima (Mt 28, 16-20; Lk 24, 44-49) i koja se dalje širi po</w:t>
        <w:softHyphen/>
        <w:t xml:space="preserve">vezano s njima. Kršćanska zajednica, koja sve više raste, čini nužnima nove službe i funkcije. Za brigu o siromašnima, ali i za naviještanje, ovlašteni su »đakoni« (Dj 6,1-6); »starješine« </w:t>
      </w:r>
      <w:r>
        <w:rPr>
          <w:rFonts w:ascii="Times New Roman" w:eastAsia="Times New Roman" w:hAnsi="Times New Roman" w:cs="Times New Roman"/>
          <w:color w:val="000000"/>
          <w:spacing w:val="0"/>
          <w:w w:val="100"/>
          <w:position w:val="0"/>
          <w:shd w:val="clear" w:color="auto" w:fill="auto"/>
          <w:lang w:val="en-US" w:eastAsia="en-US" w:bidi="en-US"/>
        </w:rPr>
        <w:t xml:space="preserve">(presbyteroi) </w:t>
      </w:r>
      <w:r>
        <w:rPr>
          <w:rFonts w:ascii="Times New Roman" w:eastAsia="Times New Roman" w:hAnsi="Times New Roman" w:cs="Times New Roman"/>
          <w:color w:val="000000"/>
          <w:spacing w:val="0"/>
          <w:w w:val="100"/>
          <w:position w:val="0"/>
          <w:shd w:val="clear" w:color="auto" w:fill="auto"/>
          <w:lang w:val="hr-HR" w:eastAsia="hr-HR" w:bidi="hr-HR"/>
        </w:rPr>
        <w:t>su imenovani za vođenje zajed</w:t>
        <w:softHyphen/>
        <w:t>nica. U tom je razdoblju teško postaviti jasnu razliku između karizme i službe. Iz Pavlovih je poslanica jasno da su posebni milosni darovi - mudri savjeti, dar ozdravljanja, proricanje, poučavanje, tješenje, opominjanje, govor jezi</w:t>
        <w:softHyphen/>
        <w:t>ka i sposobnost razlikovanja duhova (1 Kor 12,4-11; Rim 12,6-13) - bili mnogobrojni i da su određivali život zajednice. U nekim suko</w:t>
        <w:softHyphen/>
        <w:t>bima, koje je Pavao imao s nekim nuspoja- vama karizmatičkih darova u svojim zajedni</w:t>
        <w:softHyphen/>
        <w:t>cama, nije riječ o suprotnosti »Duh protiv službe«. Pa i službe starješina, episkopa i đak</w:t>
        <w:softHyphen/>
        <w:t>ona također su pod djelovanjem Duha. Ov</w:t>
        <w:softHyphen/>
        <w:t>laštenje za crkvenu službu događa se u pravilu nakon molitve i izbora zajednice polaganjem ruku dok karizmatičke nadarenosti predstav</w:t>
        <w:softHyphen/>
        <w:t>ljaju slobodan dar Duha pojedincima i trebaju služiti izgrađivanju i jačanju zajednice. U pa</w:t>
        <w:softHyphen/>
        <w:t>stirskim poslanicama pokazuje se jasnije ob</w:t>
        <w:softHyphen/>
        <w:t>likovanje određenih crkvenih službi, kao što je s. episkopa i đakona, koje postavljuju odre</w:t>
        <w:softHyphen/>
        <w:t>đene zahtjeve na svoje nositelje (1 Tim 3,2-12; Tit 1,5-9). Polaganjem ruku prenose se na njih zadaće propovijedanja i vođenja zajed</w:t>
        <w:softHyphen/>
        <w:t>nice.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Karizmatičke službe i služenja povlače se više u pozadinu i više su na brizi predstojnika koji je odgovoran za jedinstvo i čistoću učenja. U postapostolsko doba posvjedočene su posvu</w:t>
        <w:softHyphen/>
        <w:t>da u kršćanskim zajednicama službe »prezbi</w:t>
        <w:softHyphen/>
        <w:t>tera« i »episkopa«. Nazire se razvoj posebnog staleža. U generaciji apostolskih učenika, što se može dokazati na početku II. stoljeća kod Ignacija Antiohijskoga, sve se jače oblikuje monarhijski episkopat. U III. stoljeću Cipri- jan Kartaški može ustvrdili: »Biskup opstoji po svojoj Crkvi, a Crkva po svom biskupu«, dok sveopća Crkva počiva na »mnoštvu me</w:t>
        <w:softHyphen/>
        <w:t>đusobno povezanih biskupa«. Oblikuju se po</w:t>
        <w:softHyphen/>
        <w:t>sebna biskupska sjedišta s osobitim ovlastima kao Jeruzalem, Antiohija, Alcksandrija, Cari</w:t>
        <w:softHyphen/>
        <w:t>grad i Rim, o čijem se posebnom karakteru rano svjedoči (Klement, Ignacije Antiohijski).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sukobima s krivovjerjima i raskolničkim tendencijama pojavljuju se biskupske sinode i koncili koji donose obvezujućc odluke o uče</w:t>
        <w:softHyphen/>
        <w:t>nju i odlučuju o disciplinskim stvarima. Razvi</w:t>
        <w:softHyphen/>
        <w:t>tak posebnog položaja rimskog biskupa, koji slijedeći posebne ovlasti apostola Petra pri</w:t>
        <w:softHyphen/>
        <w:t xml:space="preserve">svaja pravo na »cura </w:t>
      </w:r>
      <w:r>
        <w:rPr>
          <w:rFonts w:ascii="Times New Roman" w:eastAsia="Times New Roman" w:hAnsi="Times New Roman" w:cs="Times New Roman"/>
          <w:color w:val="000000"/>
          <w:spacing w:val="0"/>
          <w:w w:val="100"/>
          <w:position w:val="0"/>
          <w:shd w:val="clear" w:color="auto" w:fill="auto"/>
          <w:lang w:val="en-US" w:eastAsia="en-US" w:bidi="en-US"/>
        </w:rPr>
        <w:t xml:space="preserve">omnium </w:t>
      </w:r>
      <w:r>
        <w:rPr>
          <w:rFonts w:ascii="Times New Roman" w:eastAsia="Times New Roman" w:hAnsi="Times New Roman" w:cs="Times New Roman"/>
          <w:color w:val="000000"/>
          <w:spacing w:val="0"/>
          <w:w w:val="100"/>
          <w:position w:val="0"/>
          <w:shd w:val="clear" w:color="auto" w:fill="auto"/>
          <w:lang w:val="hr-HR" w:eastAsia="hr-HR" w:bidi="hr-HR"/>
        </w:rPr>
        <w:t>ecclcsiarum«, proteže se stoljećima. Iz »predsjedništva u sa</w:t>
        <w:softHyphen/>
        <w:t>vezu ljubavi« i »sluge slugu Božjih« izvodi rimski biskup, »patrijarh Zapada«, »papa Rim</w:t>
        <w:softHyphen/>
        <w:t>ske crkve«, pravo na funkciju vođenja cjelo</w:t>
        <w:softHyphen/>
        <w:t>kupne kršćanske Crkve (Bonifacijc VIII., 1308). Vrhunac razvoja papinskog položaja pred</w:t>
        <w:softHyphen/>
        <w:t>stavlja pravo na nezabludivost u pitanjima vjere i morala (Prvi vatikanski koncil 1870). Izjavama o biskupskom kolegiju na Drugom vatikanskom koncilu opozvana su neka pretje</w:t>
        <w:softHyphen/>
        <w:t>rivanja u poimanju papinstva.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(sustavno): U povijesti se oblikovao trobroj crkvene službe koji obuhvaća službu biskupa, svećenika i đakona. Dobivanje ovlaštenja za službu događa se izborom naroda (prvobitni oblik), a izvršava se polaganjem ruku jednog ili više biskupa (kod biskupskog posvećenja sudjeluju barem tri biskupa). Onaj koji je poz</w:t>
        <w:softHyphen/>
        <w:t>van u službu u Crkvi pripada »kleru« dok os</w:t>
        <w:softHyphen/>
        <w:t xml:space="preserve">tali vjernici kao »laici« imaju doduše udjela u »sveopćem svećeništvu«, ali </w:t>
      </w:r>
      <w:r>
        <w:rPr>
          <w:rFonts w:ascii="Times New Roman" w:eastAsia="Times New Roman" w:hAnsi="Times New Roman" w:cs="Times New Roman"/>
          <w:color w:val="000000"/>
          <w:spacing w:val="0"/>
          <w:w w:val="100"/>
          <w:position w:val="0"/>
          <w:shd w:val="clear" w:color="auto" w:fill="auto"/>
          <w:lang w:val="en-US" w:eastAsia="en-US" w:bidi="en-US"/>
        </w:rPr>
        <w:t xml:space="preserve">de facto </w:t>
      </w:r>
      <w:r>
        <w:rPr>
          <w:rFonts w:ascii="Times New Roman" w:eastAsia="Times New Roman" w:hAnsi="Times New Roman" w:cs="Times New Roman"/>
          <w:color w:val="000000"/>
          <w:spacing w:val="0"/>
          <w:w w:val="100"/>
          <w:position w:val="0"/>
          <w:shd w:val="clear" w:color="auto" w:fill="auto"/>
          <w:lang w:val="hr-HR" w:eastAsia="hr-HR" w:bidi="hr-HR"/>
        </w:rPr>
        <w:t>sve više dolaze u ovisnost o kleru. Od sveopćeg sve- ćeništva vjernika razlikuje sc posebna s. (po »biti«, a ne samo po »stupnju«, kako kaže katoličko učenje) koja »posvećenjem« (ordo) daje posebnu odgovornost i punomoć za služenje u naviještanju, dijeljenju sakramenata i vođenju zajednice. Punina crkvene službe je biskupska s. dok svećenici i đakoni obnašaju svoju službu u ovisnosti o nekom biskupu i po njegovu nalogu. Prema shvaćanju Katoličke i pravoslavne crkve prenošenje službe posveće</w:t>
        <w:softHyphen/>
        <w:t xml:space="preserve">njem nekog đakona, svećenika ili biskupa jest sakrament koji posvećenog zauvijek uzima u neku posebnu službu </w:t>
      </w:r>
      <w:r>
        <w:rPr>
          <w:rFonts w:ascii="Times New Roman" w:eastAsia="Times New Roman" w:hAnsi="Times New Roman" w:cs="Times New Roman"/>
          <w:color w:val="000000"/>
          <w:spacing w:val="0"/>
          <w:w w:val="100"/>
          <w:position w:val="0"/>
          <w:shd w:val="clear" w:color="auto" w:fill="auto"/>
          <w:lang w:val="en-US" w:eastAsia="en-US" w:bidi="en-US"/>
        </w:rPr>
        <w:t xml:space="preserve">(character </w:t>
      </w:r>
      <w:r>
        <w:rPr>
          <w:rFonts w:ascii="Times New Roman" w:eastAsia="Times New Roman" w:hAnsi="Times New Roman" w:cs="Times New Roman"/>
          <w:color w:val="000000"/>
          <w:spacing w:val="0"/>
          <w:w w:val="100"/>
          <w:position w:val="0"/>
          <w:shd w:val="clear" w:color="auto" w:fill="auto"/>
          <w:lang w:val="hr-HR" w:eastAsia="hr-HR" w:bidi="hr-HR"/>
        </w:rPr>
        <w:t>indelebilis). Tako posvećeni ima zauvijek udjela u službi, premda je vršenje određenih funkcija (juris</w:t>
        <w:softHyphen/>
        <w:t>dikcija) povezano s ovlaštenjem koje daje bis</w:t>
        <w:softHyphen/>
        <w:t>kup i stoga se ordo i jurisdikcija razlikuju kod crkvene službe.</w:t>
      </w:r>
    </w:p>
    <w:p>
      <w:pPr>
        <w:pStyle w:val="Style20"/>
        <w:keepNext w:val="0"/>
        <w:keepLines w:val="0"/>
        <w:widowControl w:val="0"/>
        <w:shd w:val="clear" w:color="auto" w:fill="auto"/>
        <w:bidi w:val="0"/>
        <w:spacing w:before="0" w:after="0"/>
        <w:ind w:left="0" w:right="0" w:firstLine="0"/>
        <w:jc w:val="both"/>
        <w:sectPr>
          <w:headerReference w:type="default" r:id="rId1343"/>
          <w:footerReference w:type="default" r:id="rId1344"/>
          <w:headerReference w:type="even" r:id="rId1345"/>
          <w:footerReference w:type="even" r:id="rId1346"/>
          <w:headerReference w:type="first" r:id="rId1347"/>
          <w:footerReference w:type="first" r:id="rId1348"/>
          <w:footnotePr>
            <w:pos w:val="pageBottom"/>
            <w:numFmt w:val="decimal"/>
            <w:numRestart w:val="continuous"/>
            <w15:footnoteColumns w:val="1"/>
          </w:footnotePr>
          <w:pgSz w:w="6816" w:h="11006"/>
          <w:pgMar w:top="973" w:left="189" w:right="195" w:bottom="516" w:header="0" w:footer="3" w:gutter="0"/>
          <w:pgNumType w:start="449"/>
          <w:cols w:num="2" w:space="16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Crkveni raskol rcformacijc donosi također i duboko razilaženje u shvaćanju crkvene službe, u ovlašćivanju za crkvenu službu i u njezinu obnašanju. Naglašavanjem »sveopćeg sveće- ništva vjernika« potiskuju se nuspojave kleri</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kalizma, a ističe se zajednički poziv Božjeg naroda na svetost i služenje (neprihvaćanje redovničkog staleža kao »staleža svetosti«). U većini protestantskih crkava napuštena je epi- skopalna tradicija apostolske sukcesije u pri</w:t>
        <w:softHyphen/>
        <w:t>log prezbiterijalne Crkve. U naporima da sc ponovno uspostavi jedinstvo kršćana, veliku ulogu igraju pitanja crkvene službe. Iako je za evangeličke i katoličke crkve bitna utemelje- nost crkvenog učenja i kršćanskog života u po</w:t>
        <w:softHyphen/>
        <w:t>vijesnom začetku, među konfesijama ne vlada jednodušnost u tome kakvi se zaključci za crkveno zajedništvo među crkvama izvlače iz novozavjetnog stava o biti crkvene službe. Do</w:t>
        <w:softHyphen/>
        <w:t>duše, nije još došlo do uzajamnog priznava</w:t>
        <w:softHyphen/>
        <w:t>nja, ali stvorila se suglasnost u temeljnim crta</w:t>
        <w:softHyphen/>
        <w:t>ma koja u budućnosti čini realističnom nadu u ujedinjenje.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 suglasnost obuhvaća točke koje slijede. S. u Crkvi počinje nalogom Isusa Krista cjelini vjernika pri čemu je ovlašenost za naviještanjc kao i za vođenje zajednice vezana uz odre</w:t>
        <w:softHyphen/>
        <w:t>đene osobe koje, pozvane od Duha Svetoga, Crkva ovlašćuje redenjem koje u pravilu iz</w:t>
        <w:softHyphen/>
        <w:t>vršavaju zaređeni nositelji službe molitvom i polaganjem ruku. Pritom se redenik obvezuje da će naviještati Božju riječ vjerno i u suglasju s vjerovanjem svoje Crkve. Za sve kršćanske crkve obvezna je apostolska sukcesija, tj. mo</w:t>
        <w:softHyphen/>
        <w:t>ra postojati trajna povezanost s porukom i služenjem apostola. Onaj koji je tako ovlašten u nekoj crkvenoj službi, na poseban je način i trajno uzet u službu, ali nije zato iznad ostalih kršćana. Za mnoge je teologe dostatna temelj</w:t>
        <w:softHyphen/>
        <w:t>na usuglašenost, pa već sada drže mogućim uzajamno priznavanje službi u crkvama. Osta</w:t>
        <w:softHyphen/>
        <w:t>li jače naglašavaju još postojeće razlike. Ove leže u poimanju apostolske sukcesije koja sc prema katoličkom učenju vidi u »neprekinu</w:t>
        <w:softHyphen/>
        <w:t>tom lancu biskupskih polaganja ruku«. Pita</w:t>
        <w:softHyphen/>
        <w:t>nje, u kolikoj mjeri treba redenje pribrojiti sakramentima, izgubilo je, naprotiv, mnogo na svojoj oštrini. Teško je prevladati razlike u shvaćanju položaja rimskog pape koji je za pravoslavlje i za protestante u svom sadaš</w:t>
        <w:softHyphen/>
        <w:t>njem obliku neprihvatljiv. No u ekumenskim dijalozima zadnjih godina i u tom je pitanju došlo do pomaka.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Prihvaćanje »Petrove službe« kao služenja je</w:t>
        <w:softHyphen/>
        <w:t xml:space="preserve">dinstvu kršćana javlja se barem kao mogući model razmišljanja kako bi se u tom pitanju stiglo dalje. Sporno je i pitanje u kolikoj mjeri </w:t>
      </w:r>
      <w:r>
        <w:rPr>
          <w:rFonts w:ascii="Times New Roman" w:eastAsia="Times New Roman" w:hAnsi="Times New Roman" w:cs="Times New Roman"/>
          <w:color w:val="000000"/>
          <w:spacing w:val="0"/>
          <w:w w:val="100"/>
          <w:position w:val="0"/>
          <w:shd w:val="clear" w:color="auto" w:fill="auto"/>
          <w:lang w:val="hr-HR" w:eastAsia="hr-HR" w:bidi="hr-HR"/>
        </w:rPr>
        <w:t>žene mogu biti posvećenjem ovlaštene za ne</w:t>
        <w:softHyphen/>
        <w:t>ku crkvenu službu, a u diskusiji je obično riječ o svećeničkoj službi. U mnogim protestant</w:t>
        <w:softHyphen/>
        <w:t>skim crkvama to je moguće dok Katolička i pravoslavna crkva to odbijaju, a razlog je tra</w:t>
        <w:softHyphen/>
        <w:t>dicija.</w:t>
      </w:r>
    </w:p>
    <w:p>
      <w:pPr>
        <w:pStyle w:val="Style56"/>
        <w:keepNext w:val="0"/>
        <w:keepLines w:val="0"/>
        <w:widowControl w:val="0"/>
        <w:shd w:val="clear" w:color="auto" w:fill="auto"/>
        <w:tabs>
          <w:tab w:pos="2496" w:val="left"/>
        </w:tabs>
        <w:bidi w:val="0"/>
        <w:spacing w:before="0" w:after="120" w:line="240" w:lineRule="auto"/>
        <w:ind w:left="0" w:right="0" w:firstLine="0"/>
        <w:jc w:val="both"/>
      </w:pPr>
      <w:r>
        <w:rPr>
          <w:color w:val="000000"/>
          <w:spacing w:val="0"/>
          <w:w w:val="100"/>
          <w:position w:val="0"/>
          <w:shd w:val="clear" w:color="auto" w:fill="auto"/>
        </w:rPr>
        <w:t xml:space="preserve">Lit.; H.W. Beyer, </w:t>
      </w:r>
      <w:r>
        <w:rPr>
          <w:color w:val="000000"/>
          <w:spacing w:val="0"/>
          <w:w w:val="100"/>
          <w:position w:val="0"/>
          <w:shd w:val="clear" w:color="auto" w:fill="auto"/>
          <w:lang w:val="hr-HR" w:eastAsia="hr-HR" w:bidi="hr-HR"/>
        </w:rPr>
        <w:t xml:space="preserve">natuknice: diakonco, </w:t>
      </w:r>
      <w:r>
        <w:rPr>
          <w:color w:val="000000"/>
          <w:spacing w:val="0"/>
          <w:w w:val="100"/>
          <w:position w:val="0"/>
          <w:shd w:val="clear" w:color="auto" w:fill="auto"/>
        </w:rPr>
        <w:t xml:space="preserve">diakonos, ThW </w:t>
      </w:r>
      <w:r>
        <w:rPr>
          <w:color w:val="000000"/>
          <w:spacing w:val="0"/>
          <w:w w:val="100"/>
          <w:position w:val="0"/>
          <w:shd w:val="clear" w:color="auto" w:fill="auto"/>
          <w:lang w:val="hr-HR" w:eastAsia="hr-HR" w:bidi="hr-HR"/>
        </w:rPr>
        <w:t xml:space="preserve">I] (1935), 81-93; isti, natuknica </w:t>
      </w:r>
      <w:r>
        <w:rPr>
          <w:color w:val="000000"/>
          <w:spacing w:val="0"/>
          <w:w w:val="100"/>
          <w:position w:val="0"/>
          <w:shd w:val="clear" w:color="auto" w:fill="auto"/>
        </w:rPr>
        <w:t xml:space="preserve">episkoppos, ThW </w:t>
      </w:r>
      <w:r>
        <w:rPr>
          <w:color w:val="000000"/>
          <w:spacing w:val="0"/>
          <w:w w:val="100"/>
          <w:position w:val="0"/>
          <w:shd w:val="clear" w:color="auto" w:fill="auto"/>
          <w:lang w:val="hr-HR" w:eastAsia="hr-HR" w:bidi="hr-HR"/>
        </w:rPr>
        <w:t xml:space="preserve">II, 604-617; G. Bornkamm, natuknice: </w:t>
      </w:r>
      <w:r>
        <w:rPr>
          <w:color w:val="000000"/>
          <w:spacing w:val="0"/>
          <w:w w:val="100"/>
          <w:position w:val="0"/>
          <w:shd w:val="clear" w:color="auto" w:fill="auto"/>
        </w:rPr>
        <w:t xml:space="preserve">presbys, prcsbyleros, </w:t>
      </w:r>
      <w:r>
        <w:rPr>
          <w:color w:val="000000"/>
          <w:spacing w:val="0"/>
          <w:w w:val="100"/>
          <w:position w:val="0"/>
          <w:shd w:val="clear" w:color="auto" w:fill="auto"/>
          <w:lang w:val="hr-HR" w:eastAsia="hr-HR" w:bidi="hr-HR"/>
        </w:rPr>
        <w:t xml:space="preserve">u; </w:t>
      </w:r>
      <w:r>
        <w:rPr>
          <w:color w:val="000000"/>
          <w:spacing w:val="0"/>
          <w:w w:val="100"/>
          <w:position w:val="0"/>
          <w:shd w:val="clear" w:color="auto" w:fill="auto"/>
        </w:rPr>
        <w:t xml:space="preserve">ThW </w:t>
      </w:r>
      <w:r>
        <w:rPr>
          <w:color w:val="000000"/>
          <w:spacing w:val="0"/>
          <w:w w:val="100"/>
          <w:position w:val="0"/>
          <w:shd w:val="clear" w:color="auto" w:fill="auto"/>
          <w:lang w:val="hr-HR" w:eastAsia="hr-HR" w:bidi="hr-HR"/>
        </w:rPr>
        <w:t xml:space="preserve">VI (1959), 849-863; E. </w:t>
      </w:r>
      <w:r>
        <w:rPr>
          <w:color w:val="000000"/>
          <w:spacing w:val="0"/>
          <w:w w:val="100"/>
          <w:position w:val="0"/>
          <w:shd w:val="clear" w:color="auto" w:fill="auto"/>
        </w:rPr>
        <w:t xml:space="preserve">Schweizer, </w:t>
      </w:r>
      <w:r>
        <w:rPr>
          <w:i/>
          <w:iCs/>
          <w:color w:val="000000"/>
          <w:spacing w:val="0"/>
          <w:w w:val="100"/>
          <w:position w:val="0"/>
          <w:shd w:val="clear" w:color="auto" w:fill="auto"/>
          <w:lang w:val="hr-HR" w:eastAsia="hr-HR" w:bidi="hr-HR"/>
        </w:rPr>
        <w:t xml:space="preserve">Gemeinde und Gemeinde- ordnung im </w:t>
      </w:r>
      <w:r>
        <w:rPr>
          <w:i/>
          <w:iCs/>
          <w:color w:val="000000"/>
          <w:spacing w:val="0"/>
          <w:w w:val="100"/>
          <w:position w:val="0"/>
          <w:shd w:val="clear" w:color="auto" w:fill="auto"/>
        </w:rPr>
        <w:t>Neuen Testament,</w:t>
      </w:r>
      <w:r>
        <w:rPr>
          <w:color w:val="000000"/>
          <w:spacing w:val="0"/>
          <w:w w:val="100"/>
          <w:position w:val="0"/>
          <w:shd w:val="clear" w:color="auto" w:fill="auto"/>
        </w:rPr>
        <w:t xml:space="preserve"> Zurich </w:t>
      </w:r>
      <w:r>
        <w:rPr>
          <w:color w:val="000000"/>
          <w:spacing w:val="0"/>
          <w:w w:val="100"/>
          <w:position w:val="0"/>
          <w:shd w:val="clear" w:color="auto" w:fill="auto"/>
          <w:lang w:val="hr-HR" w:eastAsia="hr-HR" w:bidi="hr-HR"/>
        </w:rPr>
        <w:t xml:space="preserve">1959; K. II. Schclklc, </w:t>
      </w:r>
      <w:r>
        <w:rPr>
          <w:i/>
          <w:iCs/>
          <w:color w:val="000000"/>
          <w:spacing w:val="0"/>
          <w:w w:val="100"/>
          <w:position w:val="0"/>
          <w:shd w:val="clear" w:color="auto" w:fill="auto"/>
          <w:lang w:val="hr-HR" w:eastAsia="hr-HR" w:bidi="hr-HR"/>
        </w:rPr>
        <w:t>Jiingerschaft und Apmtelamt,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1961; O. Scmmcl- roth, </w:t>
      </w:r>
      <w:r>
        <w:rPr>
          <w:i/>
          <w:iCs/>
          <w:color w:val="000000"/>
          <w:spacing w:val="0"/>
          <w:w w:val="100"/>
          <w:position w:val="0"/>
          <w:shd w:val="clear" w:color="auto" w:fill="auto"/>
          <w:lang w:val="hr-HR" w:eastAsia="hr-HR" w:bidi="hr-HR"/>
        </w:rPr>
        <w:t>Das geistliche Amt,</w:t>
      </w:r>
      <w:r>
        <w:rPr>
          <w:color w:val="000000"/>
          <w:spacing w:val="0"/>
          <w:w w:val="100"/>
          <w:position w:val="0"/>
          <w:shd w:val="clear" w:color="auto" w:fill="auto"/>
          <w:lang w:val="hr-HR" w:eastAsia="hr-HR" w:bidi="hr-HR"/>
        </w:rPr>
        <w:t xml:space="preserve"> Frankfurt 1958; K. Rahncr/J. </w:t>
      </w:r>
      <w:r>
        <w:rPr>
          <w:color w:val="000000"/>
          <w:spacing w:val="0"/>
          <w:w w:val="100"/>
          <w:position w:val="0"/>
          <w:shd w:val="clear" w:color="auto" w:fill="auto"/>
        </w:rPr>
        <w:t xml:space="preserve">Ratzinger, </w:t>
      </w:r>
      <w:r>
        <w:rPr>
          <w:i/>
          <w:iCs/>
          <w:color w:val="000000"/>
          <w:spacing w:val="0"/>
          <w:w w:val="100"/>
          <w:position w:val="0"/>
          <w:shd w:val="clear" w:color="auto" w:fill="auto"/>
          <w:lang w:val="hr-HR" w:eastAsia="hr-HR" w:bidi="hr-HR"/>
        </w:rPr>
        <w:t>Episkopai und Primat,</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1961; Arbcitsgc- mcinschaft bkumcnischcr Univcrsitatsinstitutc, </w:t>
      </w:r>
      <w:r>
        <w:rPr>
          <w:i/>
          <w:iCs/>
          <w:color w:val="000000"/>
          <w:spacing w:val="0"/>
          <w:w w:val="100"/>
          <w:position w:val="0"/>
          <w:shd w:val="clear" w:color="auto" w:fill="auto"/>
        </w:rPr>
        <w:t xml:space="preserve">Reform </w:t>
      </w:r>
      <w:r>
        <w:rPr>
          <w:i/>
          <w:iCs/>
          <w:color w:val="000000"/>
          <w:spacing w:val="0"/>
          <w:w w:val="100"/>
          <w:position w:val="0"/>
          <w:shd w:val="clear" w:color="auto" w:fill="auto"/>
          <w:lang w:val="hr-HR" w:eastAsia="hr-HR" w:bidi="hr-HR"/>
        </w:rPr>
        <w:t>und Anerkennung kirchlicher Amler,</w:t>
      </w:r>
      <w:r>
        <w:rPr>
          <w:color w:val="000000"/>
          <w:spacing w:val="0"/>
          <w:w w:val="100"/>
          <w:position w:val="0"/>
          <w:shd w:val="clear" w:color="auto" w:fill="auto"/>
          <w:lang w:val="hr-HR" w:eastAsia="hr-HR" w:bidi="hr-HR"/>
        </w:rPr>
        <w:t xml:space="preserve"> Munchcn 1973; B. </w:t>
      </w:r>
      <w:r>
        <w:rPr>
          <w:color w:val="000000"/>
          <w:spacing w:val="0"/>
          <w:w w:val="100"/>
          <w:position w:val="0"/>
          <w:shd w:val="clear" w:color="auto" w:fill="auto"/>
        </w:rPr>
        <w:t>Du</w:t>
        <w:softHyphen/>
        <w:t xml:space="preserve">puy, </w:t>
      </w:r>
      <w:r>
        <w:rPr>
          <w:color w:val="000000"/>
          <w:spacing w:val="0"/>
          <w:w w:val="100"/>
          <w:position w:val="0"/>
          <w:shd w:val="clear" w:color="auto" w:fill="auto"/>
          <w:lang w:val="hr-HR" w:eastAsia="hr-HR" w:bidi="hr-HR"/>
        </w:rPr>
        <w:t xml:space="preserve">Thcolugic dcr kirchlichen Amccr, u: </w:t>
      </w:r>
      <w:r>
        <w:rPr>
          <w:color w:val="000000"/>
          <w:spacing w:val="0"/>
          <w:w w:val="100"/>
          <w:position w:val="0"/>
          <w:shd w:val="clear" w:color="auto" w:fill="auto"/>
        </w:rPr>
        <w:t xml:space="preserve">MS </w:t>
      </w:r>
      <w:r>
        <w:rPr>
          <w:color w:val="000000"/>
          <w:spacing w:val="0"/>
          <w:w w:val="100"/>
          <w:position w:val="0"/>
          <w:shd w:val="clear" w:color="auto" w:fill="auto"/>
          <w:lang w:val="hr-HR" w:eastAsia="hr-HR" w:bidi="hr-HR"/>
        </w:rPr>
        <w:t xml:space="preserve">4,2, Einsic- dcln 1973, 488-523; H. </w:t>
      </w:r>
      <w:r>
        <w:rPr>
          <w:color w:val="000000"/>
          <w:spacing w:val="0"/>
          <w:w w:val="100"/>
          <w:position w:val="0"/>
          <w:shd w:val="clear" w:color="auto" w:fill="auto"/>
        </w:rPr>
        <w:t xml:space="preserve">Schutte, </w:t>
      </w:r>
      <w:r>
        <w:rPr>
          <w:i/>
          <w:iCs/>
          <w:color w:val="000000"/>
          <w:spacing w:val="0"/>
          <w:w w:val="100"/>
          <w:position w:val="0"/>
          <w:shd w:val="clear" w:color="auto" w:fill="auto"/>
        </w:rPr>
        <w:t xml:space="preserve">Amt, Ordinalion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Sukiession,</w:t>
      </w:r>
      <w:r>
        <w:rPr>
          <w:color w:val="000000"/>
          <w:spacing w:val="0"/>
          <w:w w:val="100"/>
          <w:position w:val="0"/>
          <w:shd w:val="clear" w:color="auto" w:fill="auto"/>
        </w:rPr>
        <w:t xml:space="preserve"> Dusseldorf </w:t>
      </w:r>
      <w:r>
        <w:rPr>
          <w:color w:val="000000"/>
          <w:spacing w:val="0"/>
          <w:w w:val="100"/>
          <w:position w:val="0"/>
          <w:shd w:val="clear" w:color="auto" w:fill="auto"/>
          <w:lang w:val="hr-HR" w:eastAsia="hr-HR" w:bidi="hr-HR"/>
        </w:rPr>
        <w:t xml:space="preserve">1974; </w:t>
      </w:r>
      <w:r>
        <w:rPr>
          <w:color w:val="000000"/>
          <w:spacing w:val="0"/>
          <w:w w:val="100"/>
          <w:position w:val="0"/>
          <w:shd w:val="clear" w:color="auto" w:fill="auto"/>
        </w:rPr>
        <w:t xml:space="preserve">J. Ratzinger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 xml:space="preserve">Dienst </w:t>
      </w:r>
      <w:r>
        <w:rPr>
          <w:i/>
          <w:iCs/>
          <w:color w:val="000000"/>
          <w:spacing w:val="0"/>
          <w:w w:val="100"/>
          <w:position w:val="0"/>
          <w:shd w:val="clear" w:color="auto" w:fill="auto"/>
        </w:rPr>
        <w:t xml:space="preserve">an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Einheit. Zum Wesen </w:t>
      </w:r>
      <w:r>
        <w:rPr>
          <w:i/>
          <w:iCs/>
          <w:color w:val="000000"/>
          <w:spacing w:val="0"/>
          <w:w w:val="100"/>
          <w:position w:val="0"/>
          <w:shd w:val="clear" w:color="auto" w:fill="auto"/>
          <w:lang w:val="hr-HR" w:eastAsia="hr-HR" w:bidi="hr-HR"/>
        </w:rPr>
        <w:t xml:space="preserve">und Auftrag des Petrusamia, </w:t>
      </w:r>
      <w:r>
        <w:rPr>
          <w:color w:val="000000"/>
          <w:spacing w:val="0"/>
          <w:w w:val="100"/>
          <w:position w:val="0"/>
          <w:shd w:val="clear" w:color="auto" w:fill="auto"/>
        </w:rPr>
        <w:t xml:space="preserve">Dusseldorf </w:t>
      </w:r>
      <w:r>
        <w:rPr>
          <w:color w:val="000000"/>
          <w:spacing w:val="0"/>
          <w:w w:val="100"/>
          <w:position w:val="0"/>
          <w:shd w:val="clear" w:color="auto" w:fill="auto"/>
          <w:lang w:val="hr-HR" w:eastAsia="hr-HR" w:bidi="hr-HR"/>
        </w:rPr>
        <w:t>1978.</w:t>
        <w:tab/>
        <w:t>G. liVERS</w:t>
      </w:r>
    </w:p>
    <w:p>
      <w:pPr>
        <w:pStyle w:val="Style63"/>
        <w:keepNext/>
        <w:keepLines/>
        <w:widowControl w:val="0"/>
        <w:numPr>
          <w:ilvl w:val="0"/>
          <w:numId w:val="511"/>
        </w:numPr>
        <w:shd w:val="clear" w:color="auto" w:fill="auto"/>
        <w:tabs>
          <w:tab w:pos="260" w:val="left"/>
        </w:tabs>
        <w:bidi w:val="0"/>
        <w:spacing w:before="0"/>
        <w:ind w:left="0" w:right="0" w:firstLine="0"/>
        <w:jc w:val="both"/>
      </w:pPr>
      <w:bookmarkStart w:id="331" w:name="bookmark331"/>
      <w:r>
        <w:rPr>
          <w:rFonts w:ascii="Times New Roman" w:eastAsia="Times New Roman" w:hAnsi="Times New Roman" w:cs="Times New Roman"/>
          <w:color w:val="000000"/>
          <w:spacing w:val="0"/>
          <w:w w:val="100"/>
          <w:position w:val="0"/>
          <w:shd w:val="clear" w:color="auto" w:fill="auto"/>
          <w:lang w:val="hr-HR" w:eastAsia="hr-HR" w:bidi="hr-HR"/>
        </w:rPr>
        <w:t>islamski</w:t>
      </w:r>
      <w:bookmarkEnd w:id="33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 ne poznaje nikakvu duhovničku hijerar</w:t>
        <w:softHyphen/>
        <w:t xml:space="preserve">hiju, premda ovisno o učenosti postoje </w:t>
      </w:r>
      <w:r>
        <w:rPr>
          <w:rFonts w:ascii="Times New Roman" w:eastAsia="Times New Roman" w:hAnsi="Times New Roman" w:cs="Times New Roman"/>
          <w:i/>
          <w:iCs/>
          <w:color w:val="000000"/>
          <w:spacing w:val="0"/>
          <w:w w:val="100"/>
          <w:position w:val="0"/>
          <w:shd w:val="clear" w:color="auto" w:fill="auto"/>
          <w:lang w:val="hr-HR" w:eastAsia="hr-HR" w:bidi="hr-HR"/>
        </w:rPr>
        <w:t>imami, kadije, muftije i muderisi.</w:t>
      </w:r>
      <w:r>
        <w:rPr>
          <w:rFonts w:ascii="Times New Roman" w:eastAsia="Times New Roman" w:hAnsi="Times New Roman" w:cs="Times New Roman"/>
          <w:color w:val="000000"/>
          <w:spacing w:val="0"/>
          <w:w w:val="100"/>
          <w:position w:val="0"/>
          <w:shd w:val="clear" w:color="auto" w:fill="auto"/>
          <w:lang w:val="hr-HR" w:eastAsia="hr-HR" w:bidi="hr-HR"/>
        </w:rPr>
        <w:t xml:space="preserve"> Oni nc raspolažu ni</w:t>
        <w:softHyphen/>
        <w:t>kakvim posebnim punomoćima koje bi ih uzdizale iznad drugih poziva. Njihova je uče</w:t>
        <w:softHyphen/>
        <w:t>nost jedina prednost koju im priznaje zajed</w:t>
        <w:softHyphen/>
        <w:t>nica. »Sa smrću jednog učenog ruši se čitav je</w:t>
        <w:softHyphen/>
        <w:t xml:space="preserve">dan svijet«; i »Na dan Suda upotrijebljeno mastilo učenjaka vagat čc koliko i prolivena krv mučenika«. Tako je govorio Muhamed. Ti učenjaci - </w:t>
      </w:r>
      <w:r>
        <w:rPr>
          <w:rFonts w:ascii="Times New Roman" w:eastAsia="Times New Roman" w:hAnsi="Times New Roman" w:cs="Times New Roman"/>
          <w:i/>
          <w:iCs/>
          <w:color w:val="000000"/>
          <w:spacing w:val="0"/>
          <w:w w:val="100"/>
          <w:position w:val="0"/>
          <w:shd w:val="clear" w:color="auto" w:fill="auto"/>
          <w:lang w:val="hr-HR" w:eastAsia="hr-HR" w:bidi="hr-HR"/>
        </w:rPr>
        <w:t>uleme</w:t>
      </w:r>
      <w:r>
        <w:rPr>
          <w:rFonts w:ascii="Times New Roman" w:eastAsia="Times New Roman" w:hAnsi="Times New Roman" w:cs="Times New Roman"/>
          <w:color w:val="000000"/>
          <w:spacing w:val="0"/>
          <w:w w:val="100"/>
          <w:position w:val="0"/>
          <w:shd w:val="clear" w:color="auto" w:fill="auto"/>
          <w:lang w:val="hr-HR" w:eastAsia="hr-HR" w:bidi="hr-HR"/>
        </w:rPr>
        <w:t xml:space="preserve"> - trebaju tumačiti zakone Kurana i tradicije te djelovati kao svjedoci jedinosti Boga i njegova zahtjeva za činjenje pravde ođ strane vjernika.</w:t>
      </w:r>
    </w:p>
    <w:p>
      <w:pPr>
        <w:pStyle w:val="Style20"/>
        <w:keepNext w:val="0"/>
        <w:keepLines w:val="0"/>
        <w:widowControl w:val="0"/>
        <w:shd w:val="clear" w:color="auto" w:fill="auto"/>
        <w:bidi w:val="0"/>
        <w:spacing w:before="0" w:after="0"/>
        <w:ind w:left="0" w:right="0" w:firstLine="0"/>
        <w:jc w:val="both"/>
        <w:sectPr>
          <w:headerReference w:type="default" r:id="rId1349"/>
          <w:footerReference w:type="default" r:id="rId1350"/>
          <w:headerReference w:type="even" r:id="rId1351"/>
          <w:footerReference w:type="even" r:id="rId1352"/>
          <w:footnotePr>
            <w:pos w:val="pageBottom"/>
            <w:numFmt w:val="decimal"/>
            <w:numRestart w:val="continuous"/>
            <w15:footnoteColumns w:val="1"/>
          </w:footnotePr>
          <w:pgSz w:w="6816" w:h="11006"/>
          <w:pgMar w:top="973" w:left="189" w:right="195" w:bottom="516" w:header="0" w:footer="3" w:gutter="0"/>
          <w:pgNumType w:start="447"/>
          <w:cols w:num="2" w:space="1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Izostajanje klera u islamu donosi sa sobom to da također nc postoji nikakva s. u crkvenome smislu. Sa službom svećenika može se u stano</w:t>
        <w:softHyphen/>
        <w:t xml:space="preserve">vitoj mjeri usporediti s. </w:t>
      </w:r>
      <w:r>
        <w:rPr>
          <w:rFonts w:ascii="Times New Roman" w:eastAsia="Times New Roman" w:hAnsi="Times New Roman" w:cs="Times New Roman"/>
          <w:i/>
          <w:iCs/>
          <w:color w:val="000000"/>
          <w:spacing w:val="0"/>
          <w:w w:val="100"/>
          <w:position w:val="0"/>
          <w:shd w:val="clear" w:color="auto" w:fill="auto"/>
          <w:lang w:val="hr-HR" w:eastAsia="hr-HR" w:bidi="hr-HR"/>
        </w:rPr>
        <w:t>imama.</w:t>
      </w:r>
      <w:r>
        <w:rPr>
          <w:rFonts w:ascii="Times New Roman" w:eastAsia="Times New Roman" w:hAnsi="Times New Roman" w:cs="Times New Roman"/>
          <w:color w:val="000000"/>
          <w:spacing w:val="0"/>
          <w:w w:val="100"/>
          <w:position w:val="0"/>
          <w:shd w:val="clear" w:color="auto" w:fill="auto"/>
          <w:lang w:val="hr-HR" w:eastAsia="hr-HR" w:bidi="hr-HR"/>
        </w:rPr>
        <w:t xml:space="preserve"> Imama ili </w:t>
      </w:r>
      <w:r>
        <w:rPr>
          <w:rFonts w:ascii="Times New Roman" w:eastAsia="Times New Roman" w:hAnsi="Times New Roman" w:cs="Times New Roman"/>
          <w:i/>
          <w:iCs/>
          <w:color w:val="000000"/>
          <w:spacing w:val="0"/>
          <w:w w:val="100"/>
          <w:position w:val="0"/>
          <w:shd w:val="clear" w:color="auto" w:fill="auto"/>
          <w:lang w:val="hr-HR" w:eastAsia="hr-HR" w:bidi="hr-HR"/>
        </w:rPr>
        <w:t>imamat</w:t>
      </w:r>
      <w:r>
        <w:rPr>
          <w:rFonts w:ascii="Times New Roman" w:eastAsia="Times New Roman" w:hAnsi="Times New Roman" w:cs="Times New Roman"/>
          <w:color w:val="000000"/>
          <w:spacing w:val="0"/>
          <w:w w:val="100"/>
          <w:position w:val="0"/>
          <w:shd w:val="clear" w:color="auto" w:fill="auto"/>
          <w:lang w:val="hr-HR" w:eastAsia="hr-HR" w:bidi="hr-HR"/>
        </w:rPr>
        <w:t xml:space="preserve"> u ovom je smislu s. predvodnika mo</w:t>
        <w:softHyphen/>
        <w:t>litve i eventualno također s. matičnoga službe</w:t>
        <w:softHyphen/>
        <w:t>nika unutar zajednice koja je izgrađena na te</w:t>
        <w:softHyphen/>
        <w:t>melju odnosa namještenika. Točno uzevši, imama je individualna funkcija predvodnika molitve koja se od slučaja do slučaja može ponavljati. Prema predodžbi rane ši’a imama je bila identična s kalifatom. Ona je kao naj</w:t>
        <w:softHyphen/>
        <w:t>viša religiozna i politička instancija trebala održavati djelotvornost vjerovjesnika na putu njegova nasljedovanja. Velike džamije imaju više imama koji sc međusobno izmjenjuju pri</w:t>
        <w:softHyphen/>
        <w:t xml:space="preserve">likom obavljanja službe ili bilo kako djeluju prema principu kolegijalnosti. Osim imama,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prividnoj službenoj hijerarhiji pripadaju i vje</w:t>
        <w:softHyphen/>
        <w:t xml:space="preserve">roučitelji i muftije ili - u šijitskom islamu - </w:t>
      </w:r>
      <w:r>
        <w:rPr>
          <w:rFonts w:ascii="Times New Roman" w:eastAsia="Times New Roman" w:hAnsi="Times New Roman" w:cs="Times New Roman"/>
          <w:i/>
          <w:iCs/>
          <w:color w:val="000000"/>
          <w:spacing w:val="0"/>
          <w:w w:val="100"/>
          <w:position w:val="0"/>
          <w:shd w:val="clear" w:color="auto" w:fill="auto"/>
          <w:lang w:val="hr-HR" w:eastAsia="hr-HR" w:bidi="hr-HR"/>
        </w:rPr>
        <w:t>mudžtehidi.</w:t>
      </w:r>
      <w:r>
        <w:rPr>
          <w:rFonts w:ascii="Times New Roman" w:eastAsia="Times New Roman" w:hAnsi="Times New Roman" w:cs="Times New Roman"/>
          <w:color w:val="000000"/>
          <w:spacing w:val="0"/>
          <w:w w:val="100"/>
          <w:position w:val="0"/>
          <w:shd w:val="clear" w:color="auto" w:fill="auto"/>
          <w:lang w:val="hr-HR" w:eastAsia="hr-HR" w:bidi="hr-HR"/>
        </w:rPr>
        <w:t xml:space="preserve"> Vjeroučitelj u elementarnom pod</w:t>
        <w:softHyphen/>
        <w:t xml:space="preserve">ručju poduke zovu se </w:t>
      </w:r>
      <w:r>
        <w:rPr>
          <w:rFonts w:ascii="Times New Roman" w:eastAsia="Times New Roman" w:hAnsi="Times New Roman" w:cs="Times New Roman"/>
          <w:i/>
          <w:iCs/>
          <w:color w:val="000000"/>
          <w:spacing w:val="0"/>
          <w:w w:val="100"/>
          <w:position w:val="0"/>
          <w:shd w:val="clear" w:color="auto" w:fill="auto"/>
          <w:lang w:val="hr-HR" w:eastAsia="hr-HR" w:bidi="hr-HR"/>
        </w:rPr>
        <w:t>mualimi,</w:t>
      </w:r>
      <w:r>
        <w:rPr>
          <w:rFonts w:ascii="Times New Roman" w:eastAsia="Times New Roman" w:hAnsi="Times New Roman" w:cs="Times New Roman"/>
          <w:color w:val="000000"/>
          <w:spacing w:val="0"/>
          <w:w w:val="100"/>
          <w:position w:val="0"/>
          <w:shd w:val="clear" w:color="auto" w:fill="auto"/>
          <w:lang w:val="hr-HR" w:eastAsia="hr-HR" w:bidi="hr-HR"/>
        </w:rPr>
        <w:t xml:space="preserve"> a u višim stupnjevima poduke muderisi. Muftije i mu- džtehidi su učitelji Zakona koji su ovlašteni donositi pravne odluke. U području šijitske vjeroispovijesti u njihovoj je nadležnosti i sa</w:t>
        <w:softHyphen/>
        <w:t xml:space="preserve">mostalno donošenje pravnih odluka </w:t>
      </w:r>
      <w:r>
        <w:rPr>
          <w:rFonts w:ascii="Times New Roman" w:eastAsia="Times New Roman" w:hAnsi="Times New Roman" w:cs="Times New Roman"/>
          <w:i/>
          <w:iCs/>
          <w:color w:val="000000"/>
          <w:spacing w:val="0"/>
          <w:w w:val="100"/>
          <w:position w:val="0"/>
          <w:shd w:val="clear" w:color="auto" w:fill="auto"/>
          <w:lang w:val="hr-HR" w:eastAsia="hr-HR" w:bidi="hr-HR"/>
        </w:rPr>
        <w:t>(idjti- had).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Kadije su više državni nego religijski organi koji tumače kanonsko pravo islama. Skupa s oba prethodno spomenuta tipa učitelja Zako</w:t>
        <w:softHyphen/>
        <w:t>na oni čine jednu vrstu suprotnosti kršćanskoj jurisdikcijskoj hijerarhiji. U zemljama prijaš</w:t>
        <w:softHyphen/>
        <w:t>njega Osmanskog Carstva svi se duhovnici na</w:t>
        <w:softHyphen/>
        <w:t xml:space="preserve">zivaju </w:t>
      </w:r>
      <w:r>
        <w:rPr>
          <w:rFonts w:ascii="Times New Roman" w:eastAsia="Times New Roman" w:hAnsi="Times New Roman" w:cs="Times New Roman"/>
          <w:i/>
          <w:iCs/>
          <w:color w:val="000000"/>
          <w:spacing w:val="0"/>
          <w:w w:val="100"/>
          <w:position w:val="0"/>
          <w:shd w:val="clear" w:color="auto" w:fill="auto"/>
          <w:lang w:val="hr-HR" w:eastAsia="hr-HR" w:bidi="hr-HR"/>
        </w:rPr>
        <w:t>kodie</w:t>
      </w:r>
      <w:r>
        <w:rPr>
          <w:rFonts w:ascii="Times New Roman" w:eastAsia="Times New Roman" w:hAnsi="Times New Roman" w:cs="Times New Roman"/>
          <w:color w:val="000000"/>
          <w:spacing w:val="0"/>
          <w:w w:val="100"/>
          <w:position w:val="0"/>
          <w:shd w:val="clear" w:color="auto" w:fill="auto"/>
          <w:lang w:val="hr-HR" w:eastAsia="hr-HR" w:bidi="hr-HR"/>
        </w:rPr>
        <w:t xml:space="preserve"> (od pcrz. </w:t>
      </w:r>
      <w:r>
        <w:rPr>
          <w:rFonts w:ascii="Times New Roman" w:eastAsia="Times New Roman" w:hAnsi="Times New Roman" w:cs="Times New Roman"/>
          <w:i/>
          <w:iCs/>
          <w:color w:val="000000"/>
          <w:spacing w:val="0"/>
          <w:w w:val="100"/>
          <w:position w:val="0"/>
          <w:shd w:val="clear" w:color="auto" w:fill="auto"/>
          <w:lang w:val="en-US" w:eastAsia="en-US" w:bidi="en-US"/>
        </w:rPr>
        <w:t>khwadja)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ili </w:t>
      </w:r>
      <w:r>
        <w:rPr>
          <w:rFonts w:ascii="Times New Roman" w:eastAsia="Times New Roman" w:hAnsi="Times New Roman" w:cs="Times New Roman"/>
          <w:i/>
          <w:iCs/>
          <w:color w:val="000000"/>
          <w:spacing w:val="0"/>
          <w:w w:val="100"/>
          <w:position w:val="0"/>
          <w:shd w:val="clear" w:color="auto" w:fill="auto"/>
          <w:lang w:val="hr-HR" w:eastAsia="hr-HR" w:bidi="hr-HR"/>
        </w:rPr>
        <w:t>mule</w:t>
      </w:r>
      <w:r>
        <w:rPr>
          <w:rFonts w:ascii="Times New Roman" w:eastAsia="Times New Roman" w:hAnsi="Times New Roman" w:cs="Times New Roman"/>
          <w:color w:val="000000"/>
          <w:spacing w:val="0"/>
          <w:w w:val="100"/>
          <w:position w:val="0"/>
          <w:shd w:val="clear" w:color="auto" w:fill="auto"/>
          <w:lang w:val="hr-HR" w:eastAsia="hr-HR" w:bidi="hr-HR"/>
        </w:rPr>
        <w:t xml:space="preserve"> (od </w:t>
      </w:r>
      <w:r>
        <w:rPr>
          <w:rFonts w:ascii="Times New Roman" w:eastAsia="Times New Roman" w:hAnsi="Times New Roman" w:cs="Times New Roman"/>
          <w:color w:val="000000"/>
          <w:spacing w:val="0"/>
          <w:w w:val="100"/>
          <w:position w:val="0"/>
          <w:shd w:val="clear" w:color="auto" w:fill="auto"/>
          <w:lang w:val="en-US" w:eastAsia="en-US" w:bidi="en-US"/>
        </w:rPr>
        <w:t xml:space="preserve">arap. Mawla). </w:t>
      </w:r>
      <w:r>
        <w:rPr>
          <w:rFonts w:ascii="Times New Roman" w:eastAsia="Times New Roman" w:hAnsi="Times New Roman" w:cs="Times New Roman"/>
          <w:color w:val="000000"/>
          <w:spacing w:val="0"/>
          <w:w w:val="100"/>
          <w:position w:val="0"/>
          <w:shd w:val="clear" w:color="auto" w:fill="auto"/>
          <w:lang w:val="hr-HR" w:eastAsia="hr-HR" w:bidi="hr-HR"/>
        </w:rPr>
        <w:t>Ova je zadnje spomenuta ozna</w:t>
        <w:softHyphen/>
        <w:t>ka bila titula vrhovnoga suca ili veleučene osobe. U arapskom se svijetu duhovnici naj</w:t>
        <w:softHyphen/>
        <w:t xml:space="preserve">češće nazivaju </w:t>
      </w:r>
      <w:r>
        <w:rPr>
          <w:rFonts w:ascii="Times New Roman" w:eastAsia="Times New Roman" w:hAnsi="Times New Roman" w:cs="Times New Roman"/>
          <w:i/>
          <w:iCs/>
          <w:color w:val="000000"/>
          <w:spacing w:val="0"/>
          <w:w w:val="100"/>
          <w:position w:val="0"/>
          <w:shd w:val="clear" w:color="auto" w:fill="auto"/>
          <w:lang w:val="en-US" w:eastAsia="en-US" w:bidi="en-US"/>
        </w:rPr>
        <w:t>shuytikh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(plural od </w:t>
      </w:r>
      <w:r>
        <w:rPr>
          <w:rFonts w:ascii="Times New Roman" w:eastAsia="Times New Roman" w:hAnsi="Times New Roman" w:cs="Times New Roman"/>
          <w:color w:val="000000"/>
          <w:spacing w:val="0"/>
          <w:w w:val="100"/>
          <w:position w:val="0"/>
          <w:shd w:val="clear" w:color="auto" w:fill="auto"/>
          <w:lang w:val="en-US" w:eastAsia="en-US" w:bidi="en-US"/>
        </w:rPr>
        <w:t xml:space="preserve">shaykh), </w:t>
      </w:r>
      <w:r>
        <w:rPr>
          <w:rFonts w:ascii="Times New Roman" w:eastAsia="Times New Roman" w:hAnsi="Times New Roman" w:cs="Times New Roman"/>
          <w:color w:val="000000"/>
          <w:spacing w:val="0"/>
          <w:w w:val="100"/>
          <w:position w:val="0"/>
          <w:shd w:val="clear" w:color="auto" w:fill="auto"/>
          <w:lang w:val="hr-HR" w:eastAsia="hr-HR" w:bidi="hr-HR"/>
        </w:rPr>
        <w:t>tj. prezbiter.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Pravnu postavku za oblikovanje neke institu</w:t>
        <w:softHyphen/>
        <w:t>cije koja nalikuje službenoj čini stih iz Ku</w:t>
        <w:softHyphen/>
        <w:t xml:space="preserve">rana: »Neka medu vama bude jedna skupina </w:t>
      </w:r>
      <w:r>
        <w:rPr>
          <w:rFonts w:ascii="Times New Roman" w:eastAsia="Times New Roman" w:hAnsi="Times New Roman" w:cs="Times New Roman"/>
          <w:i/>
          <w:iCs/>
          <w:color w:val="000000"/>
          <w:spacing w:val="0"/>
          <w:w w:val="100"/>
          <w:position w:val="0"/>
          <w:shd w:val="clear" w:color="auto" w:fill="auto"/>
          <w:lang w:val="hr-HR" w:eastAsia="hr-HR" w:bidi="hr-HR"/>
        </w:rPr>
        <w:t>(ljudi)</w:t>
      </w:r>
      <w:r>
        <w:rPr>
          <w:rFonts w:ascii="Times New Roman" w:eastAsia="Times New Roman" w:hAnsi="Times New Roman" w:cs="Times New Roman"/>
          <w:color w:val="000000"/>
          <w:spacing w:val="0"/>
          <w:w w:val="100"/>
          <w:position w:val="0"/>
          <w:shd w:val="clear" w:color="auto" w:fill="auto"/>
          <w:lang w:val="hr-HR" w:eastAsia="hr-HR" w:bidi="hr-HR"/>
        </w:rPr>
        <w:t xml:space="preserve"> koji će pozivati na dobro (u </w:t>
      </w:r>
      <w:r>
        <w:rPr>
          <w:rFonts w:ascii="Times New Roman" w:eastAsia="Times New Roman" w:hAnsi="Times New Roman" w:cs="Times New Roman"/>
          <w:i/>
          <w:iCs/>
          <w:color w:val="000000"/>
          <w:spacing w:val="0"/>
          <w:w w:val="100"/>
          <w:position w:val="0"/>
          <w:shd w:val="clear" w:color="auto" w:fill="auto"/>
          <w:lang w:val="hr-HR" w:eastAsia="hr-HR" w:bidi="hr-HR"/>
        </w:rPr>
        <w:t>vjeru),</w:t>
      </w:r>
      <w:r>
        <w:rPr>
          <w:rFonts w:ascii="Times New Roman" w:eastAsia="Times New Roman" w:hAnsi="Times New Roman" w:cs="Times New Roman"/>
          <w:color w:val="000000"/>
          <w:spacing w:val="0"/>
          <w:w w:val="100"/>
          <w:position w:val="0"/>
          <w:shd w:val="clear" w:color="auto" w:fill="auto"/>
          <w:lang w:val="hr-HR" w:eastAsia="hr-HR" w:bidi="hr-HR"/>
        </w:rPr>
        <w:t xml:space="preserve"> i naređivati lijepa a zabranjivati ružna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(djela)}« </w:t>
      </w:r>
      <w:r>
        <w:rPr>
          <w:rFonts w:ascii="Times New Roman" w:eastAsia="Times New Roman" w:hAnsi="Times New Roman" w:cs="Times New Roman"/>
          <w:color w:val="000000"/>
          <w:spacing w:val="0"/>
          <w:w w:val="100"/>
          <w:position w:val="0"/>
          <w:shd w:val="clear" w:color="auto" w:fill="auto"/>
          <w:lang w:val="hr-HR" w:eastAsia="hr-HR" w:bidi="hr-HR"/>
        </w:rPr>
        <w:t>(3,104). Od tih se nadglednika morala ne oče</w:t>
        <w:softHyphen/>
        <w:t>kuje nikakav životni angažman u katoličkom smislu. Zadaće tumačitelja Zakona sežu od jednostavnoga poučavanja pa do donošenja obvezatnih odluka o različitim pitanjima ži</w:t>
        <w:softHyphen/>
        <w:t>votne prakse koja se žele riješiti u smislu reli</w:t>
        <w:softHyphen/>
        <w:t>gioznih načela.</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lokalnoj je razini važna prije svega uloga džamijskoga imama. On je zapravo predstav</w:t>
        <w:softHyphen/>
        <w:t>nik zajednice. Stoga se njemu postavljaju sas</w:t>
        <w:softHyphen/>
        <w:t>vim određeni zahtjevi koji mu tek trebaju omogućiti preuzimanje službe. Najvažniji od tih zahtjeva su: 1. osobna pobožnost, 2. nepo- ročnost, 3. dostatna religijska znanja, 4. druš</w:t>
        <w:softHyphen/>
        <w:t xml:space="preserve">tveni ugled, 5. tjelesna priličnost (on ne smije biti npr. patuljastoga rasta) i 6. ugodan glas koji mu omogućuje milozvučno čitanje kuran- skih stihova. Kod djelatnosti imama jednako kao i kod obavljanja službe drugih službenika zajednice radi </w:t>
      </w:r>
      <w:r>
        <w:rPr>
          <w:rFonts w:ascii="Times New Roman" w:eastAsia="Times New Roman" w:hAnsi="Times New Roman" w:cs="Times New Roman"/>
          <w:color w:val="000000"/>
          <w:spacing w:val="0"/>
          <w:w w:val="100"/>
          <w:position w:val="0"/>
          <w:shd w:val="clear" w:color="auto" w:fill="auto"/>
          <w:lang w:val="en-US" w:eastAsia="en-US" w:bidi="en-US"/>
        </w:rPr>
        <w:t xml:space="preserve">sc </w:t>
      </w:r>
      <w:r>
        <w:rPr>
          <w:rFonts w:ascii="Times New Roman" w:eastAsia="Times New Roman" w:hAnsi="Times New Roman" w:cs="Times New Roman"/>
          <w:color w:val="000000"/>
          <w:spacing w:val="0"/>
          <w:w w:val="100"/>
          <w:position w:val="0"/>
          <w:shd w:val="clear" w:color="auto" w:fill="auto"/>
          <w:lang w:val="hr-HR" w:eastAsia="hr-HR" w:bidi="hr-HR"/>
        </w:rPr>
        <w:t xml:space="preserve">o </w:t>
      </w:r>
      <w:r>
        <w:rPr>
          <w:rFonts w:ascii="Times New Roman" w:eastAsia="Times New Roman" w:hAnsi="Times New Roman" w:cs="Times New Roman"/>
          <w:i/>
          <w:iCs/>
          <w:color w:val="000000"/>
          <w:spacing w:val="0"/>
          <w:w w:val="100"/>
          <w:position w:val="0"/>
          <w:shd w:val="clear" w:color="auto" w:fill="auto"/>
          <w:lang w:val="en-US" w:eastAsia="en-US" w:bidi="en-US"/>
        </w:rPr>
        <w:t>ministerium verbi.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Seku</w:t>
        <w:softHyphen/>
        <w:t>larne tendencije osjetno su napale socijalnu moć ‘ulama’. U nekim je zemljama potrebna upravo naročita građanska hrabrost za obav</w:t>
        <w:softHyphen/>
        <w:t xml:space="preserve">ljanje službe ‘ulama’ (kao recimo u Turskoj, Tunisu, Indoneziji, Siriji itd.). 1 u islamskoj </w:t>
      </w:r>
      <w:r>
        <w:rPr>
          <w:rFonts w:ascii="Times New Roman" w:eastAsia="Times New Roman" w:hAnsi="Times New Roman" w:cs="Times New Roman"/>
          <w:color w:val="000000"/>
          <w:spacing w:val="0"/>
          <w:w w:val="100"/>
          <w:position w:val="0"/>
          <w:shd w:val="clear" w:color="auto" w:fill="auto"/>
          <w:lang w:val="hr-HR" w:eastAsia="hr-HR" w:bidi="hr-HR"/>
        </w:rPr>
        <w:t>verziji s. zgodimice pati od pojava zloporabe, od neduhovnoga ritualizma njezinih nositelja i jednako tako od zloporabe u političke ili druge svrhe.</w:t>
      </w:r>
    </w:p>
    <w:p>
      <w:pPr>
        <w:pStyle w:val="Style56"/>
        <w:keepNext w:val="0"/>
        <w:keepLines w:val="0"/>
        <w:widowControl w:val="0"/>
        <w:shd w:val="clear" w:color="auto" w:fill="auto"/>
        <w:tabs>
          <w:tab w:pos="2549" w:val="left"/>
        </w:tabs>
        <w:bidi w:val="0"/>
        <w:spacing w:before="0" w:after="420" w:line="240" w:lineRule="auto"/>
        <w:ind w:left="0" w:right="0" w:firstLine="0"/>
        <w:jc w:val="both"/>
      </w:pPr>
      <w:r>
        <w:rPr>
          <w:color w:val="000000"/>
          <w:spacing w:val="0"/>
          <w:w w:val="100"/>
          <w:position w:val="0"/>
          <w:shd w:val="clear" w:color="auto" w:fill="auto"/>
          <w:lang w:val="hr-HR" w:eastAsia="hr-HR" w:bidi="hr-HR"/>
        </w:rPr>
        <w:t>Lit.: EP III, 1163-69.</w:t>
        <w:tab/>
        <w:t>S. BAL1Ć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SMRT</w:t>
      </w:r>
    </w:p>
    <w:p>
      <w:pPr>
        <w:pStyle w:val="Style63"/>
        <w:keepNext/>
        <w:keepLines/>
        <w:widowControl w:val="0"/>
        <w:numPr>
          <w:ilvl w:val="0"/>
          <w:numId w:val="513"/>
        </w:numPr>
        <w:shd w:val="clear" w:color="auto" w:fill="auto"/>
        <w:tabs>
          <w:tab w:pos="250" w:val="left"/>
        </w:tabs>
        <w:bidi w:val="0"/>
        <w:spacing w:before="0" w:line="223" w:lineRule="auto"/>
        <w:ind w:left="0" w:right="0" w:firstLine="0"/>
        <w:jc w:val="both"/>
      </w:pPr>
      <w:bookmarkStart w:id="332" w:name="bookmark332"/>
      <w:r>
        <w:rPr>
          <w:rFonts w:ascii="Times New Roman" w:eastAsia="Times New Roman" w:hAnsi="Times New Roman" w:cs="Times New Roman"/>
          <w:color w:val="000000"/>
          <w:spacing w:val="0"/>
          <w:w w:val="100"/>
          <w:position w:val="0"/>
          <w:shd w:val="clear" w:color="auto" w:fill="auto"/>
          <w:lang w:val="hr-HR" w:eastAsia="hr-HR" w:bidi="hr-HR"/>
        </w:rPr>
        <w:t>židovski</w:t>
      </w:r>
      <w:bookmarkEnd w:id="332"/>
    </w:p>
    <w:p>
      <w:pPr>
        <w:pStyle w:val="Style20"/>
        <w:keepNext w:val="0"/>
        <w:keepLines w:val="0"/>
        <w:widowControl w:val="0"/>
        <w:numPr>
          <w:ilvl w:val="0"/>
          <w:numId w:val="51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Gubitak odnosa.</w:t>
      </w:r>
      <w:r>
        <w:rPr>
          <w:rFonts w:ascii="Times New Roman" w:eastAsia="Times New Roman" w:hAnsi="Times New Roman" w:cs="Times New Roman"/>
          <w:color w:val="000000"/>
          <w:spacing w:val="0"/>
          <w:w w:val="100"/>
          <w:position w:val="0"/>
          <w:shd w:val="clear" w:color="auto" w:fill="auto"/>
          <w:lang w:val="hr-HR" w:eastAsia="hr-HR" w:bidi="hr-HR"/>
        </w:rPr>
        <w:t xml:space="preserve"> Prema hebrejskoj Bibliji najvažnije je obilježje ljudske egzistencije ži</w:t>
        <w:softHyphen/>
        <w:t>vot u uzajamnom odnosu - ponajprije s Bo</w:t>
        <w:softHyphen/>
        <w:t>gom (Ps 73,25). Božja hvala nedostižan je iz</w:t>
        <w:softHyphen/>
        <w:t>raz njegova života (Ps 42,6.12; 103). Čovjek je smrću odsječen od doživljavanja čudesnoga Božjeg djelovanja i hvale Božje (Ps 88,11-13; 115.17; Iz 38,18 i d.). Stoga s. za njega znači gubitak odnosa s Bogom. Na sličan način Židov je svako ugrožavanje svojega života u odnosu - npr. zbog bolesti (Iz 38,9 i d.) ili sužanjstva (Ez 37,11) - smatrao pojavom smrti. Jače ga je uznemirivao prodor smrti u život negoli činjenica da se mora umrijeti (Ps 18,5 i d.; 55,5; 116,3).</w:t>
      </w:r>
    </w:p>
    <w:p>
      <w:pPr>
        <w:pStyle w:val="Style20"/>
        <w:keepNext w:val="0"/>
        <w:keepLines w:val="0"/>
        <w:widowControl w:val="0"/>
        <w:numPr>
          <w:ilvl w:val="0"/>
          <w:numId w:val="515"/>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Prirodna cijena.</w:t>
      </w:r>
      <w:r>
        <w:rPr>
          <w:rFonts w:ascii="Times New Roman" w:eastAsia="Times New Roman" w:hAnsi="Times New Roman" w:cs="Times New Roman"/>
          <w:color w:val="000000"/>
          <w:spacing w:val="0"/>
          <w:w w:val="100"/>
          <w:position w:val="0"/>
          <w:shd w:val="clear" w:color="auto" w:fill="auto"/>
          <w:lang w:val="hr-HR" w:eastAsia="hr-HR" w:bidi="hr-HR"/>
        </w:rPr>
        <w:t xml:space="preserve"> Rabini su na razne načine ocjenjivali neizbježnost smrti. Jedno kasnije, neuobičajeno mišljenje, koje se nije moglo probiti, prepoznalo je u smrti kaznu za grijeh: »Nema smrti bez grijeha« (b Šabat 55a). Već je prvom čovjeku bila dosuđena s., jer je čak prekršio laganu zapovijed. »I Mojsije i Aron umrli su zbog grijeha«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55b). Djeca Izrac- lova imala su priliku da svladaju moć smrti kad su na Sinaju primili Toru; no, tu su priliku proigrali svojim grijehom sa zlatnim teletom (Mehilla, Ba-Hodeš 9; Šemot raba XXXII,1). Rijetke iznimke, pravi pravednici poput Ilije, nisu, prema predaji, umrli (Vajikra raba XXVII,4; Kohelet raba 111,15). U drugim slu</w:t>
        <w:softHyphen/>
        <w:t xml:space="preserve">čajevima pravednici su morali umrijeti samo zbog spletaka zmije u edenskom vrtu; ona je Adama navela na grijeh i time unijela s. u svijet </w:t>
      </w:r>
      <w:r>
        <w:rPr>
          <w:rFonts w:ascii="Times New Roman" w:eastAsia="Times New Roman" w:hAnsi="Times New Roman" w:cs="Times New Roman"/>
          <w:color w:val="000000"/>
          <w:spacing w:val="0"/>
          <w:w w:val="100"/>
          <w:position w:val="0"/>
          <w:shd w:val="clear" w:color="auto" w:fill="auto"/>
          <w:lang w:val="en-US" w:eastAsia="en-US" w:bidi="en-US"/>
        </w:rPr>
        <w:t xml:space="preserve">(Devarim </w:t>
      </w:r>
      <w:r>
        <w:rPr>
          <w:rFonts w:ascii="Times New Roman" w:eastAsia="Times New Roman" w:hAnsi="Times New Roman" w:cs="Times New Roman"/>
          <w:color w:val="000000"/>
          <w:spacing w:val="0"/>
          <w:w w:val="100"/>
          <w:position w:val="0"/>
          <w:shd w:val="clear" w:color="auto" w:fill="auto"/>
          <w:lang w:val="hr-HR" w:eastAsia="hr-HR" w:bidi="hr-HR"/>
        </w:rPr>
        <w:t>raba IX,9). »Adam je navu</w:t>
        <w:softHyphen/>
        <w:t>kao s. na sebe i svoje potomke« (Berešit raba XVI,16). Tu se ubraja i tekst: »Dobročinstvo spašava od smrti, ne samo od neprirodne nego i od smrti općenito« (b Šabat 156b).</w:t>
      </w:r>
    </w:p>
    <w:p>
      <w:pPr>
        <w:pStyle w:val="Style20"/>
        <w:keepNext w:val="0"/>
        <w:keepLines w:val="0"/>
        <w:widowControl w:val="0"/>
        <w:shd w:val="clear" w:color="auto" w:fill="auto"/>
        <w:bidi w:val="0"/>
        <w:spacing w:before="0" w:after="80"/>
        <w:ind w:left="0" w:right="0" w:firstLine="0"/>
        <w:jc w:val="both"/>
        <w:sectPr>
          <w:headerReference w:type="default" r:id="rId1353"/>
          <w:footerReference w:type="default" r:id="rId1354"/>
          <w:headerReference w:type="even" r:id="rId1355"/>
          <w:footerReference w:type="even" r:id="rId1356"/>
          <w:footnotePr>
            <w:pos w:val="pageBottom"/>
            <w:numFmt w:val="decimal"/>
            <w:numRestart w:val="continuous"/>
            <w15:footnoteColumns w:val="1"/>
          </w:footnotePr>
          <w:pgSz w:w="6816" w:h="11006"/>
          <w:pgMar w:top="973" w:left="189" w:right="195" w:bottom="516" w:header="0" w:footer="88" w:gutter="0"/>
          <w:pgNumType w:start="452"/>
          <w:cols w:num="2" w:space="1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Jedno drugo, starije gledište, stavlja težište na prirodnost smrti kao dijela strukture svijeta još od stvaranja. Ona je, prema tomu mišljenju.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odgovarajući kraj konačnog stvorenja i odre</w:t>
        <w:softHyphen/>
        <w:t>đena je od samog početka (Bcrešit raba XXX,8; Šemot raba 11,4). Jedna izreka izri</w:t>
        <w:softHyphen/>
        <w:t>čito ubraja s. u »stvorene stvari«, ali ona je »jača od svih njih« (b Bava batra 10a; usp. Tanhuma, Vajcšev 4). Prema Mišni, grijeh ubrzava samo s., ali je ne uzrokuje: »Rođeni su osuđeni na s., a umrli na oživljenje, živi da im se sudi kako bi se znalo, objavilo i spoznalo da je On Bog... i neka tvoj (zli) nagon ne stvori u tebi sigurnost da će ti grob biti uto</w:t>
        <w:softHyphen/>
        <w:t>čište; jer stvoren si protiv volje, protiv volje si rođen, protiv volje živiš, protiv volje umircš i protiv volje položit ćeš jednoga dana račun« (Avot IV,22).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Kodeksu Rabi Mcira (II. stoljeće) zapisana je, uz Post 1,31: »I vidje Bog sve što je učinio, i gle, </w:t>
      </w:r>
      <w:r>
        <w:rPr>
          <w:rFonts w:ascii="Times New Roman" w:eastAsia="Times New Roman" w:hAnsi="Times New Roman" w:cs="Times New Roman"/>
          <w:i/>
          <w:iCs/>
          <w:color w:val="000000"/>
          <w:spacing w:val="0"/>
          <w:w w:val="100"/>
          <w:position w:val="0"/>
          <w:shd w:val="clear" w:color="auto" w:fill="auto"/>
          <w:lang w:val="hr-HR" w:eastAsia="hr-HR" w:bidi="hr-HR"/>
        </w:rPr>
        <w:t>bijaše dobro«,</w:t>
      </w:r>
      <w:r>
        <w:rPr>
          <w:rFonts w:ascii="Times New Roman" w:eastAsia="Times New Roman" w:hAnsi="Times New Roman" w:cs="Times New Roman"/>
          <w:color w:val="000000"/>
          <w:spacing w:val="0"/>
          <w:w w:val="100"/>
          <w:position w:val="0"/>
          <w:shd w:val="clear" w:color="auto" w:fill="auto"/>
          <w:lang w:val="hr-HR" w:eastAsia="hr-HR" w:bidi="hr-HR"/>
        </w:rPr>
        <w:t xml:space="preserve"> rubna bilješka: »S. </w:t>
      </w:r>
      <w:r>
        <w:rPr>
          <w:rFonts w:ascii="Times New Roman" w:eastAsia="Times New Roman" w:hAnsi="Times New Roman" w:cs="Times New Roman"/>
          <w:i/>
          <w:iCs/>
          <w:color w:val="000000"/>
          <w:spacing w:val="0"/>
          <w:w w:val="100"/>
          <w:position w:val="0"/>
          <w:shd w:val="clear" w:color="auto" w:fill="auto"/>
          <w:lang w:val="hr-HR" w:eastAsia="hr-HR" w:bidi="hr-HR"/>
        </w:rPr>
        <w:t>je do</w:t>
        <w:softHyphen/>
        <w:t>bra«,</w:t>
      </w:r>
      <w:r>
        <w:rPr>
          <w:rFonts w:ascii="Times New Roman" w:eastAsia="Times New Roman" w:hAnsi="Times New Roman" w:cs="Times New Roman"/>
          <w:color w:val="000000"/>
          <w:spacing w:val="0"/>
          <w:w w:val="100"/>
          <w:position w:val="0"/>
          <w:shd w:val="clear" w:color="auto" w:fill="auto"/>
          <w:lang w:val="hr-HR" w:eastAsia="hr-HR" w:bidi="hr-HR"/>
        </w:rPr>
        <w:t xml:space="preserve"> a time je htio naznačiti: «... jer on se oprašta od ovoga prolaznog svijeta i odlazi u vječni svijet u kojem više nema grijeha« (Bc</w:t>
        <w:softHyphen/>
        <w:t xml:space="preserve">rešit raba IX,5). Majmonid je iz toga razvio gledište: S. se mora ocijeniti dobrom stoga što je ona sredstvo »stalnog života i kontinuitet pojedinca nastankom jednoga nakon odlaska drugoga« </w:t>
      </w:r>
      <w:r>
        <w:rPr>
          <w:rFonts w:ascii="Times New Roman" w:eastAsia="Times New Roman" w:hAnsi="Times New Roman" w:cs="Times New Roman"/>
          <w:i/>
          <w:iCs/>
          <w:color w:val="000000"/>
          <w:spacing w:val="0"/>
          <w:w w:val="100"/>
          <w:position w:val="0"/>
          <w:shd w:val="clear" w:color="auto" w:fill="auto"/>
          <w:lang w:val="hr-HR" w:eastAsia="hr-HR" w:bidi="hr-HR"/>
        </w:rPr>
        <w:t>(More nevuhim,</w:t>
      </w:r>
      <w:r>
        <w:rPr>
          <w:rFonts w:ascii="Times New Roman" w:eastAsia="Times New Roman" w:hAnsi="Times New Roman" w:cs="Times New Roman"/>
          <w:color w:val="000000"/>
          <w:spacing w:val="0"/>
          <w:w w:val="100"/>
          <w:position w:val="0"/>
          <w:shd w:val="clear" w:color="auto" w:fill="auto"/>
          <w:lang w:val="hr-HR" w:eastAsia="hr-HR" w:bidi="hr-HR"/>
        </w:rPr>
        <w:t xml:space="preserve"> 3,10). Prema tomu mišljenju s. je prirodna cijena koju pojedinac mora platiti za nastavak ljudskoga roda.</w:t>
      </w:r>
    </w:p>
    <w:p>
      <w:pPr>
        <w:pStyle w:val="Style20"/>
        <w:keepNext w:val="0"/>
        <w:keepLines w:val="0"/>
        <w:widowControl w:val="0"/>
        <w:numPr>
          <w:ilvl w:val="0"/>
          <w:numId w:val="515"/>
        </w:numPr>
        <w:shd w:val="clear" w:color="auto" w:fill="auto"/>
        <w:tabs>
          <w:tab w:pos="25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Ublažavanje straha.</w:t>
      </w:r>
      <w:r>
        <w:rPr>
          <w:rFonts w:ascii="Times New Roman" w:eastAsia="Times New Roman" w:hAnsi="Times New Roman" w:cs="Times New Roman"/>
          <w:color w:val="000000"/>
          <w:spacing w:val="0"/>
          <w:w w:val="100"/>
          <w:position w:val="0"/>
          <w:shd w:val="clear" w:color="auto" w:fill="auto"/>
          <w:lang w:val="hr-HR" w:eastAsia="hr-HR" w:bidi="hr-HR"/>
        </w:rPr>
        <w:t xml:space="preserve"> Strah od smrti ublaža</w:t>
        <w:softHyphen/>
        <w:t>vala je predodžba prema kojoj pojedinac na</w:t>
        <w:softHyphen/>
        <w:t>kon smrti nastavlja živjeti bez tijela (b Ke- tubot 103a; Berahot 18b). Jače je djelovalo povjerenje u Božju pravednost, prema kojoj ON nagrađuje pravednike, a bezbožnike kaž</w:t>
        <w:softHyphen/>
        <w:t>njava (b Šabat 152b—153a; Tanhuma, Vajikra 8). Konačno smanjiti strah od smrti mogla je tek nada u uskrsnuće mrtvih i »budući svijet«. Prianjanje uz živoga Boga (»Ja usmrćujem i oživljujem«, Pnz 32,39) svladava smrtnu ne</w:t>
        <w:softHyphen/>
        <w:t>volju s pouzdanjem da životnu povezanost s njim niti s. ne razdvaja (Ps 49,16; 63,4; 73,23 i d.), koja mora uzmaknuti pred konačnom vla</w:t>
        <w:softHyphen/>
        <w:t>davinom Božjom (Iz 26,19 i d.; Dn 12,2). Na</w:t>
        <w:softHyphen/>
        <w:t>glasak u kanonskoj liturgiji (Osamnaest bla</w:t>
        <w:softHyphen/>
        <w:t xml:space="preserve">goslova, II. blagoslov) i u Mišni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daje naslutiti nadu u »oživljavanje mrtvih« (M Berahot V,2) kao jednu od glavnih nauka rabinskoga židovstva. U modernom židovstvu </w:t>
      </w:r>
      <w:r>
        <w:rPr>
          <w:rFonts w:ascii="Times New Roman" w:eastAsia="Times New Roman" w:hAnsi="Times New Roman" w:cs="Times New Roman"/>
          <w:color w:val="000000"/>
          <w:spacing w:val="0"/>
          <w:w w:val="100"/>
          <w:position w:val="0"/>
          <w:shd w:val="clear" w:color="auto" w:fill="auto"/>
          <w:lang w:val="en-US" w:eastAsia="en-US" w:bidi="en-US"/>
        </w:rPr>
        <w:t xml:space="preserve">Franz Rosenzweig </w:t>
      </w:r>
      <w:r>
        <w:rPr>
          <w:rFonts w:ascii="Times New Roman" w:eastAsia="Times New Roman" w:hAnsi="Times New Roman" w:cs="Times New Roman"/>
          <w:color w:val="000000"/>
          <w:spacing w:val="0"/>
          <w:w w:val="100"/>
          <w:position w:val="0"/>
          <w:shd w:val="clear" w:color="auto" w:fill="auto"/>
          <w:lang w:val="hr-HR" w:eastAsia="hr-HR" w:bidi="hr-HR"/>
        </w:rPr>
        <w:t xml:space="preserve">povezuje svoje shvaćanje o smrti s opaskom, citiranom pod b), Rabi Meira na Post 1,31: »Vrlo (dobro)« ukazuje u Stvaranju na »nešto drukčije od života, koje </w:t>
      </w:r>
      <w:r>
        <w:rPr>
          <w:rFonts w:ascii="Times New Roman" w:eastAsia="Times New Roman" w:hAnsi="Times New Roman" w:cs="Times New Roman"/>
          <w:color w:val="000000"/>
          <w:spacing w:val="0"/>
          <w:w w:val="100"/>
          <w:position w:val="0"/>
          <w:shd w:val="clear" w:color="auto" w:fill="auto"/>
          <w:lang w:val="hr-HR" w:eastAsia="hr-HR" w:bidi="hr-HR"/>
        </w:rPr>
        <w:t>ipak pripada životu... i tek mu poslije života daje naslutiti ispunjenje...Stvorena s. stvo</w:t>
        <w:softHyphen/>
        <w:t>renja jest predznak objave nadnaravnoga ži</w:t>
        <w:softHyphen/>
        <w:t xml:space="preserve">vota«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Erlbsung,</w:t>
      </w:r>
      <w:r>
        <w:rPr>
          <w:rFonts w:ascii="Times New Roman" w:eastAsia="Times New Roman" w:hAnsi="Times New Roman" w:cs="Times New Roman"/>
          <w:color w:val="000000"/>
          <w:spacing w:val="0"/>
          <w:w w:val="100"/>
          <w:position w:val="0"/>
          <w:shd w:val="clear" w:color="auto" w:fill="auto"/>
          <w:lang w:val="hr-HR" w:eastAsia="hr-HR" w:bidi="hr-HR"/>
        </w:rPr>
        <w:t xml:space="preserve"> 1921, ''1976, 173).</w:t>
      </w:r>
    </w:p>
    <w:p>
      <w:pPr>
        <w:pStyle w:val="Style20"/>
        <w:keepNext w:val="0"/>
        <w:keepLines w:val="0"/>
        <w:widowControl w:val="0"/>
        <w:numPr>
          <w:ilvl w:val="0"/>
          <w:numId w:val="515"/>
        </w:numPr>
        <w:shd w:val="clear" w:color="auto" w:fill="auto"/>
        <w:tabs>
          <w:tab w:pos="274"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»Istinska ljubav prema bližnjemu«.</w:t>
      </w:r>
      <w:r>
        <w:rPr>
          <w:rFonts w:ascii="Times New Roman" w:eastAsia="Times New Roman" w:hAnsi="Times New Roman" w:cs="Times New Roman"/>
          <w:color w:val="000000"/>
          <w:spacing w:val="0"/>
          <w:w w:val="100"/>
          <w:position w:val="0"/>
          <w:shd w:val="clear" w:color="auto" w:fill="auto"/>
          <w:lang w:val="hr-HR" w:eastAsia="hr-HR" w:bidi="hr-HR"/>
        </w:rPr>
        <w:t xml:space="preserve"> Sve od</w:t>
        <w:softHyphen/>
        <w:t>redbe, koje upravljaju židovskim životom, jesu socijalne. Propisi o žalovanju upozoravaju na dobročinstvo prema ožalošćenoj rodbini i štite njihove osjećaje posebnim vremenom tugo</w:t>
        <w:softHyphen/>
        <w:t>vanja. Kako živima, tako i mrtvima tradicija priprema milosrđe: briga za pokojnika nije pre</w:t>
        <w:softHyphen/>
        <w:t>puštena nekom obrtu, nego se za njega brinu muškarci i žene u zajednici u dokaz ljubavi koju mu duguju. Već stara predaja opisuje je kao »istinsku ljubav prema bližnjemu« (Be- rešil raba 8 u vezi s Post 1,28), jer takva je lju</w:t>
        <w:softHyphen/>
        <w:t>bav nesebična.</w:t>
      </w:r>
    </w:p>
    <w:p>
      <w:pPr>
        <w:pStyle w:val="Style56"/>
        <w:keepNext w:val="0"/>
        <w:keepLines w:val="0"/>
        <w:widowControl w:val="0"/>
        <w:shd w:val="clear" w:color="auto" w:fill="auto"/>
        <w:tabs>
          <w:tab w:pos="2429"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Lit. E. E. </w:t>
      </w:r>
      <w:r>
        <w:rPr>
          <w:color w:val="000000"/>
          <w:spacing w:val="0"/>
          <w:w w:val="100"/>
          <w:position w:val="0"/>
          <w:shd w:val="clear" w:color="auto" w:fill="auto"/>
        </w:rPr>
        <w:t xml:space="preserve">Urbach. </w:t>
      </w:r>
      <w:r>
        <w:rPr>
          <w:i/>
          <w:iCs/>
          <w:color w:val="000000"/>
          <w:spacing w:val="0"/>
          <w:w w:val="100"/>
          <w:position w:val="0"/>
          <w:shd w:val="clear" w:color="auto" w:fill="auto"/>
        </w:rPr>
        <w:t>The Sages,</w:t>
      </w:r>
      <w:r>
        <w:rPr>
          <w:color w:val="000000"/>
          <w:spacing w:val="0"/>
          <w:w w:val="100"/>
          <w:position w:val="0"/>
          <w:shd w:val="clear" w:color="auto" w:fill="auto"/>
        </w:rPr>
        <w:t xml:space="preserve"> Jerusalem 1975. pogl. XV. 1.2.</w:t>
        <w:tab/>
        <w:t>D VETTER</w:t>
      </w:r>
    </w:p>
    <w:p>
      <w:pPr>
        <w:pStyle w:val="Style63"/>
        <w:keepNext/>
        <w:keepLines/>
        <w:widowControl w:val="0"/>
        <w:numPr>
          <w:ilvl w:val="0"/>
          <w:numId w:val="513"/>
        </w:numPr>
        <w:shd w:val="clear" w:color="auto" w:fill="auto"/>
        <w:tabs>
          <w:tab w:pos="255" w:val="left"/>
        </w:tabs>
        <w:bidi w:val="0"/>
        <w:spacing w:before="0" w:after="80" w:line="226" w:lineRule="auto"/>
        <w:ind w:left="0" w:right="0" w:firstLine="0"/>
        <w:jc w:val="both"/>
      </w:pPr>
      <w:bookmarkStart w:id="333" w:name="bookmark33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33"/>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Tolerancija nije središnji pojam protestantske teologije. Evangclički katekizam za odrasle ima u svom registru, stoje značajno, samo dva puta upisan taj pojam. Izgleda kao da se na toleranciju više kritički gleda čak kao na osta</w:t>
        <w:softHyphen/>
        <w:t>tak, primjerice, znanstveno religijskog relati</w:t>
        <w:softHyphen/>
        <w:t>vizma, otprilike u smislu ravnodušnosti ili lais- ser faire. Zahtjev za tolerantnim ponašanjem ima u sebi čak nešto ozloglašeno, kada je npr. u novinskim oglasima u kojima se traži part</w:t>
        <w:softHyphen/>
        <w:t>ner riječ o tolerantnom paru koji traži isto takav par. Danas je kod susreta religija teo</w:t>
        <w:softHyphen/>
        <w:t>loški češće riječ o dijalogu i partnerstvu nego o toleranciji.</w:t>
      </w:r>
    </w:p>
    <w:p>
      <w:pPr>
        <w:pStyle w:val="Style20"/>
        <w:keepNext w:val="0"/>
        <w:keepLines w:val="0"/>
        <w:widowControl w:val="0"/>
        <w:shd w:val="clear" w:color="auto" w:fill="auto"/>
        <w:bidi w:val="0"/>
        <w:spacing w:before="0" w:after="80" w:line="254" w:lineRule="auto"/>
        <w:ind w:left="0" w:right="0" w:firstLine="0"/>
        <w:jc w:val="both"/>
        <w:sectPr>
          <w:headerReference w:type="default" r:id="rId1357"/>
          <w:footerReference w:type="default" r:id="rId1358"/>
          <w:headerReference w:type="even" r:id="rId1359"/>
          <w:footerReference w:type="even" r:id="rId1360"/>
          <w:footnotePr>
            <w:pos w:val="pageBottom"/>
            <w:numFmt w:val="decimal"/>
            <w:numRestart w:val="continuous"/>
            <w15:footnoteColumns w:val="1"/>
          </w:footnotePr>
          <w:pgSz w:w="6816" w:h="11006"/>
          <w:pgMar w:top="973" w:left="189" w:right="195" w:bottom="516" w:header="0" w:footer="3" w:gutter="0"/>
          <w:pgNumType w:start="449"/>
          <w:cols w:num="2" w:space="1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Pojam tolerancije susreće se prvi put u za</w:t>
        <w:softHyphen/>
        <w:t>pisima XVI. stoljeća, ali još ipak razmjerno rijetko. Na njemačkom je najprije potvrđen kod Luthcra. U svom pismu od 12. lipnja 1541. (WA Br 9; 438 i d., 440 i d.) reformator primje</w:t>
        <w:softHyphen/>
        <w:t>njuje »tollerantz« u crkveno-političkom ozrač</w:t>
        <w:softHyphen/>
        <w:t>ju. Regensburški sabor pod predsjedanjem Kar</w:t>
        <w:softHyphen/>
        <w:t xml:space="preserve">la V. borio se nekoć za teološku </w:t>
      </w:r>
      <w:r>
        <w:rPr>
          <w:rFonts w:ascii="Times New Roman" w:eastAsia="Times New Roman" w:hAnsi="Times New Roman" w:cs="Times New Roman"/>
          <w:color w:val="000000"/>
          <w:spacing w:val="0"/>
          <w:w w:val="100"/>
          <w:position w:val="0"/>
          <w:shd w:val="clear" w:color="auto" w:fill="auto"/>
          <w:lang w:val="en-US" w:eastAsia="en-US" w:bidi="en-US"/>
        </w:rPr>
        <w:t xml:space="preserve">‘Concordia’ </w:t>
      </w:r>
      <w:r>
        <w:rPr>
          <w:rFonts w:ascii="Times New Roman" w:eastAsia="Times New Roman" w:hAnsi="Times New Roman" w:cs="Times New Roman"/>
          <w:color w:val="000000"/>
          <w:spacing w:val="0"/>
          <w:w w:val="100"/>
          <w:position w:val="0"/>
          <w:shd w:val="clear" w:color="auto" w:fill="auto"/>
          <w:lang w:val="hr-HR" w:eastAsia="hr-HR" w:bidi="hr-HR"/>
        </w:rPr>
        <w:t xml:space="preserve">protestanata i katolika. Jer su ipak neke točke ostale sporne, raspravljalo se o mogućnosti njihova toleriranja na određeni rok.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je ipak držao da takva »tollerantz« ne bi mogla škoditi. »Riječ i pojam nastaju u ranom no</w:t>
        <w:softHyphen/>
        <w:t>vovjekovnom polju napetosti između savjesti i vlasti, vjere i politieki-društvenog poretka kao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misao vodilja europske povijesti koja slijedi« </w:t>
      </w:r>
      <w:r>
        <w:rPr>
          <w:rFonts w:ascii="Times New Roman" w:eastAsia="Times New Roman" w:hAnsi="Times New Roman" w:cs="Times New Roman"/>
          <w:color w:val="000000"/>
          <w:spacing w:val="0"/>
          <w:w w:val="100"/>
          <w:position w:val="0"/>
          <w:shd w:val="clear" w:color="auto" w:fill="auto"/>
          <w:lang w:val="en-US" w:eastAsia="en-US" w:bidi="en-US"/>
        </w:rPr>
        <w:t xml:space="preserve">(Lutz, </w:t>
      </w:r>
      <w:r>
        <w:rPr>
          <w:rFonts w:ascii="Times New Roman" w:eastAsia="Times New Roman" w:hAnsi="Times New Roman" w:cs="Times New Roman"/>
          <w:color w:val="000000"/>
          <w:spacing w:val="0"/>
          <w:w w:val="100"/>
          <w:position w:val="0"/>
          <w:shd w:val="clear" w:color="auto" w:fill="auto"/>
          <w:lang w:val="hr-HR" w:eastAsia="hr-HR" w:bidi="hr-HR"/>
        </w:rPr>
        <w:t>X).</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Između ostaloga, toleranciju treba jasno razli</w:t>
        <w:softHyphen/>
        <w:t>kovati od latitudinarizma i indifcrcntizma. Pod latitudinarizmom se u XVII. stoljeću razumi</w:t>
        <w:softHyphen/>
        <w:t>jevao stav da se zapravo ne radi o teoretskim razlikama u učenju između religijskih zajed</w:t>
        <w:softHyphen/>
        <w:t>nica nego samo o bitnome i praktičnome. Pre</w:t>
        <w:softHyphen/>
        <w:t>neseno na današnju situaciju latitudinarizam je »stav koji svjesno podcjenjuje različitost re</w:t>
        <w:softHyphen/>
        <w:t>ligija, a ono zajedničko kao npr. strahopošto</w:t>
        <w:softHyphen/>
        <w:t>vanje pred Bogom, pred životom ili pred lju</w:t>
        <w:softHyphen/>
        <w:t>dima uzima kao bez daljnjega dano pa zato gleda optimistički na jedinstvo religija kao na nešto što ncotklonjivo dolazi ili se uz dobru volju može uspostaviti« (Mann, 33). Naprotiv, indiferentizam je skeptičan stav, neutralno shvaćanje vjerskih stvari, ali ni u kojem slu</w:t>
        <w:softHyphen/>
        <w:t>čaju religijski stav. On je najbolje izražen u izjavi 1-ricdricha Velikoga prema kojoj se sve religije moraju tolerirati kako bi tako u nje</w:t>
        <w:softHyphen/>
        <w:t>govu kraljevstvu »svatko bio na svoj način blažen«.</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Povjesničar II. R. Guggisbcrg karakterizira toleranciju na sljedeći način: »Čovjek je tole</w:t>
        <w:softHyphen/>
        <w:t>rantan kada trpi drugoga čovjeka koji se u svojim mišljenjima i pogledima, a možda i u svojim postupcima, razlikuje od njega. Neka vlast prakticira toleranciju kada dopušta da religijske manjine, koje se udaljavaju od službe</w:t>
        <w:softHyphen/>
        <w:t>nog bogoštovlja, žive u njezinoj državi. Kako daleko ide taj ‘pustiti neka žive’, tj. imamo li prema terminologiji Gustava Menschinga po</w:t>
        <w:softHyphen/>
        <w:t>sla sa ‘sadržajnom’ ili samo ‘formalnom tole</w:t>
        <w:softHyphen/>
        <w:t>rancijom’, prije svega ne igra nikakvu ulogu« (kod Lutza, 458). Na području susreta konfe</w:t>
        <w:softHyphen/>
        <w:t>sija i religija od velikog je značenja to važno razlikovanje između formalne i sadržajne tole</w:t>
        <w:softHyphen/>
        <w:t>rancije.</w:t>
      </w:r>
    </w:p>
    <w:p>
      <w:pPr>
        <w:pStyle w:val="Style20"/>
        <w:keepNext w:val="0"/>
        <w:keepLines w:val="0"/>
        <w:widowControl w:val="0"/>
        <w:shd w:val="clear" w:color="auto" w:fill="auto"/>
        <w:bidi w:val="0"/>
        <w:spacing w:before="0" w:after="2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Teološki se može doći do previše različitih re</w:t>
        <w:softHyphen/>
        <w:t xml:space="preserve">zultata već prema shvaćanju objave koja je u osnovi. </w:t>
      </w:r>
      <w:r>
        <w:rPr>
          <w:rFonts w:ascii="Times New Roman" w:eastAsia="Times New Roman" w:hAnsi="Times New Roman" w:cs="Times New Roman"/>
          <w:color w:val="000000"/>
          <w:spacing w:val="0"/>
          <w:w w:val="100"/>
          <w:position w:val="0"/>
          <w:shd w:val="clear" w:color="auto" w:fill="auto"/>
          <w:lang w:val="en-US" w:eastAsia="en-US" w:bidi="en-US"/>
        </w:rPr>
        <w:t xml:space="preserve">Rudolf </w:t>
      </w:r>
      <w:r>
        <w:rPr>
          <w:rFonts w:ascii="Times New Roman" w:eastAsia="Times New Roman" w:hAnsi="Times New Roman" w:cs="Times New Roman"/>
          <w:color w:val="000000"/>
          <w:spacing w:val="0"/>
          <w:w w:val="100"/>
          <w:position w:val="0"/>
          <w:shd w:val="clear" w:color="auto" w:fill="auto"/>
          <w:lang w:val="hr-HR" w:eastAsia="hr-HR" w:bidi="hr-HR"/>
        </w:rPr>
        <w:t xml:space="preserve">Bultmann i </w:t>
      </w:r>
      <w:r>
        <w:rPr>
          <w:rFonts w:ascii="Times New Roman" w:eastAsia="Times New Roman" w:hAnsi="Times New Roman" w:cs="Times New Roman"/>
          <w:color w:val="000000"/>
          <w:spacing w:val="0"/>
          <w:w w:val="100"/>
          <w:position w:val="0"/>
          <w:shd w:val="clear" w:color="auto" w:fill="auto"/>
          <w:lang w:val="en-US" w:eastAsia="en-US" w:bidi="en-US"/>
        </w:rPr>
        <w:t xml:space="preserve">Ernst Wolf </w:t>
      </w:r>
      <w:r>
        <w:rPr>
          <w:rFonts w:ascii="Times New Roman" w:eastAsia="Times New Roman" w:hAnsi="Times New Roman" w:cs="Times New Roman"/>
          <w:color w:val="000000"/>
          <w:spacing w:val="0"/>
          <w:w w:val="100"/>
          <w:position w:val="0"/>
          <w:shd w:val="clear" w:color="auto" w:fill="auto"/>
          <w:lang w:val="hr-HR" w:eastAsia="hr-HR" w:bidi="hr-HR"/>
        </w:rPr>
        <w:t>npr. isključuju s obzirom na objavu svaku toleran</w:t>
        <w:softHyphen/>
        <w:t>ciju na evangeličkom prostoru. Pritom je za evangeličko shvaćanje tolerancije osobito važno razlikovanje između opravdanja i po</w:t>
        <w:softHyphen/>
        <w:t>svećenja. »Opravdanje je nerazrješivo poveza</w:t>
        <w:softHyphen/>
        <w:t xml:space="preserve">no s netolerancijom, s netolerancijom objave koja čovjeka usmjerava </w:t>
      </w:r>
      <w:r>
        <w:rPr>
          <w:rFonts w:ascii="Times New Roman" w:eastAsia="Times New Roman" w:hAnsi="Times New Roman" w:cs="Times New Roman"/>
          <w:i/>
          <w:iCs/>
          <w:color w:val="000000"/>
          <w:spacing w:val="0"/>
          <w:w w:val="100"/>
          <w:position w:val="0"/>
          <w:shd w:val="clear" w:color="auto" w:fill="auto"/>
          <w:lang w:val="hr-HR" w:eastAsia="hr-HR" w:bidi="hr-HR"/>
        </w:rPr>
        <w:t>coram Deo</w:t>
      </w:r>
      <w:r>
        <w:rPr>
          <w:rFonts w:ascii="Times New Roman" w:eastAsia="Times New Roman" w:hAnsi="Times New Roman" w:cs="Times New Roman"/>
          <w:color w:val="000000"/>
          <w:spacing w:val="0"/>
          <w:w w:val="100"/>
          <w:position w:val="0"/>
          <w:shd w:val="clear" w:color="auto" w:fill="auto"/>
          <w:lang w:val="hr-HR" w:eastAsia="hr-HR" w:bidi="hr-HR"/>
        </w:rPr>
        <w:t xml:space="preserve"> i u tome spašava. Posvećenje, po evangeličkom shva</w:t>
        <w:softHyphen/>
        <w:t>ćanju, opisuje život opravdanog čovjeka kao Božjeg svjedoka i suradnika na ovome svijetu</w:t>
      </w:r>
    </w:p>
    <w:p>
      <w:pPr>
        <w:pStyle w:val="Style56"/>
        <w:keepNext w:val="0"/>
        <w:keepLines w:val="0"/>
        <w:widowControl w:val="0"/>
        <w:shd w:val="clear" w:color="auto" w:fill="auto"/>
        <w:bidi w:val="0"/>
        <w:spacing w:before="0" w:after="0" w:line="240" w:lineRule="auto"/>
        <w:ind w:left="0" w:right="0" w:firstLine="0"/>
        <w:jc w:val="both"/>
        <w:rPr>
          <w:sz w:val="13"/>
          <w:szCs w:val="13"/>
        </w:rPr>
      </w:pPr>
      <w:r>
        <w:rPr>
          <w:color w:val="000000"/>
          <w:spacing w:val="0"/>
          <w:w w:val="100"/>
          <w:position w:val="0"/>
          <w:sz w:val="13"/>
          <w:szCs w:val="13"/>
          <w:shd w:val="clear" w:color="auto" w:fill="auto"/>
          <w:lang w:val="hr-HR" w:eastAsia="hr-HR" w:bidi="hr-HR"/>
        </w:rPr>
        <w:t>45(1</w:t>
      </w:r>
    </w:p>
    <w:p>
      <w:pPr>
        <w:spacing w:lineRule="exact" w:line="1"/>
        <w:rPr>
          <w:sz w:val="2"/>
          <w:szCs w:val="2"/>
        </w:rPr>
      </w:pPr>
      <w:r>
        <w:br w:type="colum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Ovdje se upravo traži toleriranje netole</w:t>
        <w:softHyphen/>
        <w:t>rancije u objavi« (kod Lutza, 150). No i na evangeličkom su prostoru također zastupana i sasvim drugačija stajališta, posebno kada se polazi od predodžbe opće objave.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Religijski znanstvenik i slobodan evangelički kršćanin Gustav Mensching angažirano je za</w:t>
        <w:softHyphen/>
        <w:t>stupao četrdesetih godina XX. stoljeća ideju tolerancije i to u vrijeme kada je to bilo sas</w:t>
        <w:softHyphen/>
        <w:t xml:space="preserve">vim nepopularno (usp. </w:t>
      </w:r>
      <w:r>
        <w:rPr>
          <w:rFonts w:ascii="Times New Roman" w:eastAsia="Times New Roman" w:hAnsi="Times New Roman" w:cs="Times New Roman"/>
          <w:i/>
          <w:iCs/>
          <w:color w:val="000000"/>
          <w:spacing w:val="0"/>
          <w:w w:val="100"/>
          <w:position w:val="0"/>
          <w:shd w:val="clear" w:color="auto" w:fill="auto"/>
          <w:lang w:val="en-US" w:eastAsia="en-US" w:bidi="en-US"/>
        </w:rPr>
        <w:t xml:space="preserve">Toleranz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Wahrheit 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Religion,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1955; </w:t>
      </w:r>
      <w:r>
        <w:rPr>
          <w:rFonts w:ascii="Times New Roman" w:eastAsia="Times New Roman" w:hAnsi="Times New Roman" w:cs="Times New Roman"/>
          <w:i/>
          <w:iCs/>
          <w:color w:val="000000"/>
          <w:spacing w:val="0"/>
          <w:w w:val="100"/>
          <w:position w:val="0"/>
          <w:shd w:val="clear" w:color="auto" w:fill="auto"/>
          <w:lang w:val="en-US" w:eastAsia="en-US" w:bidi="en-US"/>
        </w:rPr>
        <w:t xml:space="preserve">Aufgaben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Mdglich- </w:t>
      </w:r>
      <w:r>
        <w:rPr>
          <w:rFonts w:ascii="Times New Roman" w:eastAsia="Times New Roman" w:hAnsi="Times New Roman" w:cs="Times New Roman"/>
          <w:i/>
          <w:iCs/>
          <w:color w:val="000000"/>
          <w:spacing w:val="0"/>
          <w:w w:val="100"/>
          <w:position w:val="0"/>
          <w:shd w:val="clear" w:color="auto" w:fill="auto"/>
          <w:lang w:val="hr-HR" w:eastAsia="hr-HR" w:bidi="hr-HR"/>
        </w:rPr>
        <w:t xml:space="preserve">keiten freien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Christentums 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Welt von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heute, </w:t>
      </w:r>
      <w:r>
        <w:rPr>
          <w:rFonts w:ascii="Times New Roman" w:eastAsia="Times New Roman" w:hAnsi="Times New Roman" w:cs="Times New Roman"/>
          <w:color w:val="000000"/>
          <w:spacing w:val="0"/>
          <w:w w:val="100"/>
          <w:position w:val="0"/>
          <w:shd w:val="clear" w:color="auto" w:fill="auto"/>
          <w:lang w:val="hr-HR" w:eastAsia="hr-HR" w:bidi="hr-HR"/>
        </w:rPr>
        <w:t>1959; i još mnoga druga djela). Kada je bila mjerodavna dijalektička teologija koja je krš</w:t>
        <w:softHyphen/>
        <w:t xml:space="preserve">ćansku </w:t>
      </w:r>
      <w:r>
        <w:rPr>
          <w:rFonts w:ascii="Times New Roman" w:eastAsia="Times New Roman" w:hAnsi="Times New Roman" w:cs="Times New Roman"/>
          <w:i/>
          <w:iCs/>
          <w:color w:val="000000"/>
          <w:spacing w:val="0"/>
          <w:w w:val="100"/>
          <w:position w:val="0"/>
          <w:shd w:val="clear" w:color="auto" w:fill="auto"/>
          <w:lang w:val="hr-HR" w:eastAsia="hr-HR" w:bidi="hr-HR"/>
        </w:rPr>
        <w:t>vjeru</w:t>
      </w:r>
      <w:r>
        <w:rPr>
          <w:rFonts w:ascii="Times New Roman" w:eastAsia="Times New Roman" w:hAnsi="Times New Roman" w:cs="Times New Roman"/>
          <w:color w:val="000000"/>
          <w:spacing w:val="0"/>
          <w:w w:val="100"/>
          <w:position w:val="0"/>
          <w:shd w:val="clear" w:color="auto" w:fill="auto"/>
          <w:lang w:val="hr-HR" w:eastAsia="hr-HR" w:bidi="hr-HR"/>
        </w:rPr>
        <w:t xml:space="preserve"> radikalno odijelila od svekolike ljudske </w:t>
      </w:r>
      <w:r>
        <w:rPr>
          <w:rFonts w:ascii="Times New Roman" w:eastAsia="Times New Roman" w:hAnsi="Times New Roman" w:cs="Times New Roman"/>
          <w:i/>
          <w:iCs/>
          <w:color w:val="000000"/>
          <w:spacing w:val="0"/>
          <w:w w:val="100"/>
          <w:position w:val="0"/>
          <w:shd w:val="clear" w:color="auto" w:fill="auto"/>
          <w:lang w:val="hr-HR" w:eastAsia="hr-HR" w:bidi="hr-HR"/>
        </w:rPr>
        <w:t>religije</w:t>
      </w:r>
      <w:r>
        <w:rPr>
          <w:rFonts w:ascii="Times New Roman" w:eastAsia="Times New Roman" w:hAnsi="Times New Roman" w:cs="Times New Roman"/>
          <w:color w:val="000000"/>
          <w:spacing w:val="0"/>
          <w:w w:val="100"/>
          <w:position w:val="0"/>
          <w:shd w:val="clear" w:color="auto" w:fill="auto"/>
          <w:lang w:val="hr-HR" w:eastAsia="hr-HR" w:bidi="hr-HR"/>
        </w:rPr>
        <w:t xml:space="preserve"> i zanijekala istinu (čak i dije</w:t>
        <w:softHyphen/>
        <w:t>love istine) izvan kršćanske vjere, Mensching je odlučno nastupio za »sadržajnu toleranci</w:t>
        <w:softHyphen/>
        <w:t>ju«. Ona je za njega bila »pozitivno prizna</w:t>
        <w:softHyphen/>
        <w:t>vanje tuđe religije kao prave i opravdane reli</w:t>
        <w:softHyphen/>
        <w:t>gijske mogućnosti susreta sa svetim«. Taj »stav najvišeg sudjelovanja« pretpostavlja »sučelja</w:t>
        <w:softHyphen/>
        <w:t>vanje i spoznaju, ali ne znači žrtvovanje vlasti</w:t>
        <w:softHyphen/>
        <w:t xml:space="preserve">toga religijskog uvjerenja« </w:t>
      </w:r>
      <w:r>
        <w:rPr>
          <w:rFonts w:ascii="Times New Roman" w:eastAsia="Times New Roman" w:hAnsi="Times New Roman" w:cs="Times New Roman"/>
          <w:i/>
          <w:iCs/>
          <w:color w:val="000000"/>
          <w:spacing w:val="0"/>
          <w:w w:val="100"/>
          <w:position w:val="0"/>
          <w:shd w:val="clear" w:color="auto" w:fill="auto"/>
          <w:lang w:val="hr-HR" w:eastAsia="hr-HR" w:bidi="hr-HR"/>
        </w:rPr>
        <w:t xml:space="preserve">(Toleranz und ■ </w:t>
      </w:r>
      <w:r>
        <w:rPr>
          <w:rFonts w:ascii="Times New Roman" w:eastAsia="Times New Roman" w:hAnsi="Times New Roman" w:cs="Times New Roman"/>
          <w:i/>
          <w:iCs/>
          <w:color w:val="000000"/>
          <w:spacing w:val="0"/>
          <w:w w:val="100"/>
          <w:position w:val="0"/>
          <w:shd w:val="clear" w:color="auto" w:fill="auto"/>
          <w:lang w:val="en-US" w:eastAsia="en-US" w:bidi="en-US"/>
        </w:rPr>
        <w:t>Wahrheit,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18). Mensching je svoj kršćansko- -evangelički zahtjev za tolerancijom objašnja</w:t>
        <w:softHyphen/>
        <w:t>vao tako što je (prema Heb 1,1) Bog »nekoć u mnogo navrata i na mnogo načina govorio oči</w:t>
        <w:softHyphen/>
        <w:t>ma« pa »religije predstavljaju tu mnogostru</w:t>
        <w:softHyphen/>
        <w:t>kost oblika Božjeg govorenja ljudima«. S dru</w:t>
        <w:softHyphen/>
        <w:t>ge je strane, zbog različitosti ljudi, ta množina religija nužna i razborita.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Danas </w:t>
      </w:r>
      <w:r>
        <w:rPr>
          <w:rFonts w:ascii="Times New Roman" w:eastAsia="Times New Roman" w:hAnsi="Times New Roman" w:cs="Times New Roman"/>
          <w:color w:val="000000"/>
          <w:spacing w:val="0"/>
          <w:w w:val="100"/>
          <w:position w:val="0"/>
          <w:shd w:val="clear" w:color="auto" w:fill="auto"/>
          <w:lang w:val="en-US" w:eastAsia="en-US" w:bidi="en-US"/>
        </w:rPr>
        <w:t xml:space="preserve">Ulrich Mann </w:t>
      </w:r>
      <w:r>
        <w:rPr>
          <w:rFonts w:ascii="Times New Roman" w:eastAsia="Times New Roman" w:hAnsi="Times New Roman" w:cs="Times New Roman"/>
          <w:color w:val="000000"/>
          <w:spacing w:val="0"/>
          <w:w w:val="100"/>
          <w:position w:val="0"/>
          <w:shd w:val="clear" w:color="auto" w:fill="auto"/>
          <w:lang w:val="hr-HR" w:eastAsia="hr-HR" w:bidi="hr-HR"/>
        </w:rPr>
        <w:t>zastupa u protestantizmu na sličan način misao o »materijalnoj toleran</w:t>
        <w:softHyphen/>
        <w:t>ciji«. »No, materijalna tolerancija računa s ti</w:t>
        <w:softHyphen/>
        <w:t>me da se Bog mogao spasenjski objaviti i u ostalim religijama. Reformatori su učili da je božanski zakon u svim religijama, da svaki čo</w:t>
        <w:softHyphen/>
        <w:t>vjek živi od Božje objave u kategoriji zakona. Ja idem korak dalje kada tvrdim: evanđelje može biti i u drugim religijama ... Evanđelje može biti i u budizmu.«</w:t>
      </w:r>
    </w:p>
    <w:p>
      <w:pPr>
        <w:pStyle w:val="Style20"/>
        <w:keepNext w:val="0"/>
        <w:keepLines w:val="0"/>
        <w:widowControl w:val="0"/>
        <w:shd w:val="clear" w:color="auto" w:fill="auto"/>
        <w:bidi w:val="0"/>
        <w:spacing w:before="0" w:after="0"/>
        <w:ind w:left="0" w:right="0" w:firstLine="0"/>
        <w:jc w:val="both"/>
        <w:sectPr>
          <w:headerReference w:type="default" r:id="rId1361"/>
          <w:footerReference w:type="default" r:id="rId1362"/>
          <w:headerReference w:type="even" r:id="rId1363"/>
          <w:footerReference w:type="even" r:id="rId1364"/>
          <w:footnotePr>
            <w:pos w:val="pageBottom"/>
            <w:numFmt w:val="decimal"/>
            <w:numRestart w:val="continuous"/>
            <w15:footnoteColumns w:val="1"/>
          </w:footnotePr>
          <w:pgSz w:w="6816" w:h="11006"/>
          <w:pgMar w:top="1039" w:left="204" w:right="214" w:bottom="141" w:header="0" w:footer="3" w:gutter="0"/>
          <w:pgNumType w:start="454"/>
          <w:cols w:num="2" w:space="16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Mračna povijest kršćanske netolerancije bila je često polemički prikazana. Ovdje treba upozoriti barem na neke kršćanske korijene tolerancije: Isus je, sjedne strane, primjer za sadržajnu toleranciju (usp. Mk 7,24 i d.; Mt 8,5 i d.; 11,21; 12,38 i d.; Iv 4,7 i d.; 4,46 i d.), jer saobraća s ljudima iz religijskih područja izvan izraelske pučke religije. Njegova je tole</w:t>
        <w:softHyphen/>
        <w:t>rancija »kerigmatička inkluzivnost«, tj. njego</w:t>
        <w:softHyphen/>
        <w:t xml:space="preserve">va poruka ima za cilj </w:t>
      </w:r>
      <w:r>
        <w:rPr>
          <w:rFonts w:ascii="Times New Roman" w:eastAsia="Times New Roman" w:hAnsi="Times New Roman" w:cs="Times New Roman"/>
          <w:i/>
          <w:iCs/>
          <w:color w:val="000000"/>
          <w:spacing w:val="0"/>
          <w:w w:val="100"/>
          <w:position w:val="0"/>
          <w:shd w:val="clear" w:color="auto" w:fill="auto"/>
          <w:lang w:val="hr-HR" w:eastAsia="hr-HR" w:bidi="hr-HR"/>
        </w:rPr>
        <w:t>sve</w:t>
      </w:r>
      <w:r>
        <w:rPr>
          <w:rFonts w:ascii="Times New Roman" w:eastAsia="Times New Roman" w:hAnsi="Times New Roman" w:cs="Times New Roman"/>
          <w:color w:val="000000"/>
          <w:spacing w:val="0"/>
          <w:w w:val="100"/>
          <w:position w:val="0"/>
          <w:shd w:val="clear" w:color="auto" w:fill="auto"/>
          <w:lang w:val="hr-HR" w:eastAsia="hr-HR" w:bidi="hr-HR"/>
        </w:rPr>
        <w:t xml:space="preserve"> ljude. S druge se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strane kod Isusa pokazuju elementi proroč</w:t>
        <w:softHyphen/>
        <w:t>kog »radikalizma« (Mensching) koji, među</w:t>
        <w:softHyphen/>
        <w:t>tim, nema nikakve veze s netolerancijom. Pri</w:t>
        <w:softHyphen/>
        <w:t>tom se radi o beskompromisnosti čovjekove poslušnosti Bogu, o odbacivanju mržnje, za</w:t>
        <w:softHyphen/>
        <w:t>visti, škrtosti, samouvjerenosti itd. Dok sred</w:t>
        <w:softHyphen/>
        <w:t>nji vijek sam po sebi nije stigao ni do kakve utcmcljcnosti za toleranciju, u novovjekov</w:t>
        <w:softHyphen/>
        <w:t>nom mišljenju o toleranciji treba osobito is</w:t>
        <w:softHyphen/>
        <w:t>taknuti doprinose humanizma, mistike, evan</w:t>
        <w:softHyphen/>
        <w:t>đeoskog radikalizma i konačno prosvjetitelj</w:t>
        <w:softHyphen/>
        <w:t>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 od XIII. stoljeća bili su prisutni doticaji sa stranim kulturama koji stvaraju polazišta za specifično kršćansko poimanje tolerancije (npr. kod Rogcra Bacona, Dantea, Rajmunda Lulla, Marsilija iz Padove itd.). Ona su bila jasnije razrađena u humanizmu XV. i XVI. stoljeća. Tako se npr. Marsilio Ficino divio različitim kulturama i religijama diljem svijeta. Veliki kar</w:t>
        <w:softHyphen/>
        <w:t xml:space="preserve">dinal Nikola Kuzanski zastupao je tolerantnu misao o jedinstvu koja je npr. našla svoj izraz u njegovoj izreci: »una religio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rituum varie- tate« (jedna religija u različitosti obreda). Te</w:t>
        <w:softHyphen/>
        <w:t>melj ove svjetske jedinstvene religije koju va</w:t>
        <w:softHyphen/>
        <w:t>lja stvoriti trebali bi biti ljubav i mir. Erazmo Rotterdamski zauzimao je stajalište protiv progona heretika i protiv vjerskih svađa svoga vremena, jer nisu u skladu s Božjom voljom. Unatoč tomu odobravao je krut postupak protiv anabaptista uz obrazloženje da ih treba suzbiti kao pobunjenike protiv državnog po</w:t>
        <w:softHyphen/>
        <w:t>retka. Ipak se sasvim negativno i netolerantno izražavao o Židovima prema kojima nipošto ne pokazuje spremnost na razumijevanje i po</w:t>
        <w:softHyphen/>
        <w:t>mirenje. Doprinos evangeličkog radikalizma (tzv. »lijevo krilo reformacije«) problemu to</w:t>
        <w:softHyphen/>
        <w:t xml:space="preserve">lerancije treba vidjeti u praktičnom trpljenju manjina. Glavni predstavnik bio je značajan </w:t>
      </w:r>
      <w:r>
        <w:rPr>
          <w:rFonts w:ascii="Times New Roman" w:eastAsia="Times New Roman" w:hAnsi="Times New Roman" w:cs="Times New Roman"/>
          <w:color w:val="000000"/>
          <w:spacing w:val="0"/>
          <w:w w:val="100"/>
          <w:position w:val="0"/>
          <w:shd w:val="clear" w:color="auto" w:fill="auto"/>
          <w:lang w:val="en-US" w:eastAsia="en-US" w:bidi="en-US"/>
        </w:rPr>
        <w:t xml:space="preserve">spiritualist Sebastian Franck. </w:t>
      </w:r>
      <w:r>
        <w:rPr>
          <w:rFonts w:ascii="Times New Roman" w:eastAsia="Times New Roman" w:hAnsi="Times New Roman" w:cs="Times New Roman"/>
          <w:color w:val="000000"/>
          <w:spacing w:val="0"/>
          <w:w w:val="100"/>
          <w:position w:val="0"/>
          <w:shd w:val="clear" w:color="auto" w:fill="auto"/>
          <w:lang w:val="hr-HR" w:eastAsia="hr-HR" w:bidi="hr-HR"/>
        </w:rPr>
        <w:t>Njegova ideja tolerancije nije tada imala nikakvu paralelu. Prema Franckovu shvaćanju samo Bog po</w:t>
        <w:softHyphen/>
        <w:t xml:space="preserve">znaje prave vjernike dok je ljudima nemoguće razlikovati tko je krivovjernik a tko nije. </w:t>
      </w:r>
      <w:r>
        <w:rPr>
          <w:rFonts w:ascii="Times New Roman" w:eastAsia="Times New Roman" w:hAnsi="Times New Roman" w:cs="Times New Roman"/>
          <w:color w:val="000000"/>
          <w:spacing w:val="0"/>
          <w:w w:val="100"/>
          <w:position w:val="0"/>
          <w:shd w:val="clear" w:color="auto" w:fill="auto"/>
          <w:lang w:val="en-US" w:eastAsia="en-US" w:bidi="en-US"/>
        </w:rPr>
        <w:t xml:space="preserve">Franck </w:t>
      </w:r>
      <w:r>
        <w:rPr>
          <w:rFonts w:ascii="Times New Roman" w:eastAsia="Times New Roman" w:hAnsi="Times New Roman" w:cs="Times New Roman"/>
          <w:color w:val="000000"/>
          <w:spacing w:val="0"/>
          <w:w w:val="100"/>
          <w:position w:val="0"/>
          <w:shd w:val="clear" w:color="auto" w:fill="auto"/>
          <w:lang w:val="hr-HR" w:eastAsia="hr-HR" w:bidi="hr-HR"/>
        </w:rPr>
        <w:t>zahtijeva univerzalnu toleranciju koja bi se protezala čak i na pobožne nekršćane, ali ipak ne i na njihove izvana zapisane religije.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prosvjetiteljstvu zahtjev za tolerancijom op</w:t>
        <w:softHyphen/>
        <w:t>ćenito dobiva priznanje. No, ona je uglavnom povezana s ravnodušnošću prema pitanju isti</w:t>
        <w:softHyphen/>
        <w:t>ne, jer je temelj prosvjetiteljske ideje o tole</w:t>
        <w:softHyphen/>
        <w:t xml:space="preserve">ranciji bila prirodna spoznaja Boga koja je </w:t>
      </w:r>
      <w:r>
        <w:rPr>
          <w:rFonts w:ascii="Times New Roman" w:eastAsia="Times New Roman" w:hAnsi="Times New Roman" w:cs="Times New Roman"/>
          <w:color w:val="000000"/>
          <w:spacing w:val="0"/>
          <w:w w:val="100"/>
          <w:position w:val="0"/>
          <w:shd w:val="clear" w:color="auto" w:fill="auto"/>
          <w:lang w:val="hr-HR" w:eastAsia="hr-HR" w:bidi="hr-HR"/>
        </w:rPr>
        <w:t>dana u razumu i koja se može promatrati kao općeobvezatna. Ako se nalazila u temelju po</w:t>
        <w:softHyphen/>
        <w:t>vijesnih religija, trebala se tolerirati za volju prirodne religije. No, ako su se pozitivne reli</w:t>
        <w:softHyphen/>
        <w:t>gije udaljile od nje, to je trebalo kritizirati. »U XVIII. i XIX. stoljeću prodrla je ideja tole</w:t>
        <w:softHyphen/>
        <w:t>rancije u obliku prava na opću slobodu religije i kulture iz anglosaksonskih zemalja ... u ustav SAD-a i većine europskih država. Najdjelo</w:t>
        <w:softHyphen/>
        <w:t>tvorniji poticaj proizašao je 1789. iz francuske narodne skupštine...; kao najbolje moguće po</w:t>
        <w:softHyphen/>
        <w:t>litičko ostvarenje tolerancije nastala je mo</w:t>
        <w:softHyphen/>
        <w:t>derna demokracija na temelju općih ljudskih prava i rastavljanja Crkve (odnosno religije) od države (usp. Povelja ljudskih prava od 1948)« (Schlcttc. kod Lutza 197).</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se mora zahtijevati najveća mjera sadržaj</w:t>
        <w:softHyphen/>
        <w:t>ne tolerancije prema židovstvu, jasno proiz</w:t>
        <w:softHyphen/>
        <w:t>lazi iz zajedničkoga korijena kao i iz iskustava stečenih holokaustom. No, kako je s islamom? Prema Ilorstu Biirkleu on se nalazi u »jedin</w:t>
        <w:softHyphen/>
        <w:t xml:space="preserve">stvenom odnosu prema kršćanskoj predaji«. Umjesto za </w:t>
      </w:r>
      <w:r>
        <w:rPr>
          <w:rFonts w:ascii="Times New Roman" w:eastAsia="Times New Roman" w:hAnsi="Times New Roman" w:cs="Times New Roman"/>
          <w:color w:val="000000"/>
          <w:spacing w:val="0"/>
          <w:w w:val="100"/>
          <w:position w:val="0"/>
          <w:shd w:val="clear" w:color="auto" w:fill="auto"/>
          <w:lang w:val="en-US" w:eastAsia="en-US" w:bidi="en-US"/>
        </w:rPr>
        <w:t xml:space="preserve">partnerskim </w:t>
      </w:r>
      <w:r>
        <w:rPr>
          <w:rFonts w:ascii="Times New Roman" w:eastAsia="Times New Roman" w:hAnsi="Times New Roman" w:cs="Times New Roman"/>
          <w:color w:val="000000"/>
          <w:spacing w:val="0"/>
          <w:w w:val="100"/>
          <w:position w:val="0"/>
          <w:shd w:val="clear" w:color="auto" w:fill="auto"/>
          <w:lang w:val="hr-HR" w:eastAsia="hr-HR" w:bidi="hr-HR"/>
        </w:rPr>
        <w:t>odnosom, bolje je ići za srodstvom i bratstvom. Sadržajna toleran</w:t>
        <w:softHyphen/>
        <w:t>cija prema islamu znači polaziti od toga da kršćani i muslimani štuju istoga Boga. Nadalje znači da dogmatske formule (npr. o Trojstvu ili Isusu kao Sinu Božjem) ne bi morale biti apsolutno razdvajajućc. Za to je nužno da se obje religije promišljanjem vraćaju svojim iz</w:t>
        <w:softHyphen/>
        <w:t>vorima (Biblija, Kuran).</w:t>
      </w:r>
    </w:p>
    <w:p>
      <w:pPr>
        <w:pStyle w:val="Style56"/>
        <w:keepNext w:val="0"/>
        <w:keepLines w:val="0"/>
        <w:widowControl w:val="0"/>
        <w:shd w:val="clear" w:color="auto" w:fill="auto"/>
        <w:tabs>
          <w:tab w:pos="2050" w:val="left"/>
        </w:tabs>
        <w:bidi w:val="0"/>
        <w:spacing w:before="0" w:after="220" w:line="240" w:lineRule="auto"/>
        <w:ind w:left="0" w:right="0" w:firstLine="0"/>
        <w:jc w:val="both"/>
        <w:rPr>
          <w:sz w:val="10"/>
          <w:szCs w:val="10"/>
        </w:rPr>
      </w:pPr>
      <w:r>
        <w:rPr>
          <w:color w:val="000000"/>
          <w:spacing w:val="0"/>
          <w:w w:val="100"/>
          <w:position w:val="0"/>
          <w:sz w:val="12"/>
          <w:szCs w:val="12"/>
          <w:shd w:val="clear" w:color="auto" w:fill="auto"/>
          <w:lang w:val="hr-HR" w:eastAsia="hr-HR" w:bidi="hr-HR"/>
        </w:rPr>
        <w:t xml:space="preserve">Lit.: G. Mensching. </w:t>
      </w:r>
      <w:r>
        <w:rPr>
          <w:i/>
          <w:iCs/>
          <w:color w:val="000000"/>
          <w:spacing w:val="0"/>
          <w:w w:val="100"/>
          <w:position w:val="0"/>
          <w:sz w:val="12"/>
          <w:szCs w:val="12"/>
          <w:shd w:val="clear" w:color="auto" w:fill="auto"/>
        </w:rPr>
        <w:t xml:space="preserve">Tolerant und Wtihrheii in </w:t>
      </w:r>
      <w:r>
        <w:rPr>
          <w:i/>
          <w:iCs/>
          <w:color w:val="000000"/>
          <w:spacing w:val="0"/>
          <w:w w:val="100"/>
          <w:position w:val="0"/>
          <w:sz w:val="12"/>
          <w:szCs w:val="12"/>
          <w:shd w:val="clear" w:color="auto" w:fill="auto"/>
          <w:lang w:val="hr-HR" w:eastAsia="hr-HR" w:bidi="hr-HR"/>
        </w:rPr>
        <w:t xml:space="preserve">da </w:t>
      </w:r>
      <w:r>
        <w:rPr>
          <w:i/>
          <w:iCs/>
          <w:color w:val="000000"/>
          <w:spacing w:val="0"/>
          <w:w w:val="100"/>
          <w:position w:val="0"/>
          <w:sz w:val="12"/>
          <w:szCs w:val="12"/>
          <w:shd w:val="clear" w:color="auto" w:fill="auto"/>
        </w:rPr>
        <w:t xml:space="preserve">Religion, </w:t>
      </w:r>
      <w:r>
        <w:rPr>
          <w:color w:val="000000"/>
          <w:spacing w:val="0"/>
          <w:w w:val="100"/>
          <w:position w:val="0"/>
          <w:sz w:val="12"/>
          <w:szCs w:val="12"/>
          <w:shd w:val="clear" w:color="auto" w:fill="auto"/>
        </w:rPr>
        <w:t xml:space="preserve">Heidelberg </w:t>
      </w:r>
      <w:r>
        <w:rPr>
          <w:color w:val="000000"/>
          <w:spacing w:val="0"/>
          <w:w w:val="100"/>
          <w:position w:val="0"/>
          <w:sz w:val="12"/>
          <w:szCs w:val="12"/>
          <w:shd w:val="clear" w:color="auto" w:fill="auto"/>
          <w:lang w:val="hr-HR" w:eastAsia="hr-HR" w:bidi="hr-HR"/>
        </w:rPr>
        <w:t xml:space="preserve">1955 </w:t>
      </w:r>
      <w:r>
        <w:rPr>
          <w:color w:val="000000"/>
          <w:spacing w:val="0"/>
          <w:w w:val="100"/>
          <w:position w:val="0"/>
          <w:sz w:val="12"/>
          <w:szCs w:val="12"/>
          <w:shd w:val="clear" w:color="auto" w:fill="auto"/>
        </w:rPr>
        <w:t xml:space="preserve">(als </w:t>
      </w:r>
      <w:r>
        <w:rPr>
          <w:color w:val="000000"/>
          <w:spacing w:val="0"/>
          <w:w w:val="100"/>
          <w:position w:val="0"/>
          <w:sz w:val="12"/>
          <w:szCs w:val="12"/>
          <w:shd w:val="clear" w:color="auto" w:fill="auto"/>
          <w:lang w:val="hr-HR" w:eastAsia="hr-HR" w:bidi="hr-HR"/>
        </w:rPr>
        <w:t xml:space="preserve">Sicbcnstcrn-'l'B, </w:t>
      </w:r>
      <w:r>
        <w:rPr>
          <w:color w:val="000000"/>
          <w:spacing w:val="0"/>
          <w:w w:val="100"/>
          <w:position w:val="0"/>
          <w:sz w:val="12"/>
          <w:szCs w:val="12"/>
          <w:shd w:val="clear" w:color="auto" w:fill="auto"/>
        </w:rPr>
        <w:t xml:space="preserve">Gutersloh </w:t>
      </w:r>
      <w:r>
        <w:rPr>
          <w:color w:val="000000"/>
          <w:spacing w:val="0"/>
          <w:w w:val="100"/>
          <w:position w:val="0"/>
          <w:sz w:val="12"/>
          <w:szCs w:val="12"/>
          <w:shd w:val="clear" w:color="auto" w:fill="auto"/>
          <w:lang w:val="hr-HR" w:eastAsia="hr-HR" w:bidi="hr-HR"/>
        </w:rPr>
        <w:t xml:space="preserve">1966); isti.. </w:t>
      </w:r>
      <w:r>
        <w:rPr>
          <w:i/>
          <w:iCs/>
          <w:color w:val="000000"/>
          <w:spacing w:val="0"/>
          <w:w w:val="100"/>
          <w:position w:val="0"/>
          <w:sz w:val="12"/>
          <w:szCs w:val="12"/>
          <w:shd w:val="clear" w:color="auto" w:fill="auto"/>
          <w:lang w:val="hr-HR" w:eastAsia="hr-HR" w:bidi="hr-HR"/>
        </w:rPr>
        <w:t xml:space="preserve">Da uffene </w:t>
      </w:r>
      <w:r>
        <w:rPr>
          <w:i/>
          <w:iCs/>
          <w:color w:val="000000"/>
          <w:spacing w:val="0"/>
          <w:w w:val="100"/>
          <w:position w:val="0"/>
          <w:sz w:val="12"/>
          <w:szCs w:val="12"/>
          <w:shd w:val="clear" w:color="auto" w:fill="auto"/>
        </w:rPr>
        <w:t>Tempel,</w:t>
      </w:r>
      <w:r>
        <w:rPr>
          <w:color w:val="000000"/>
          <w:spacing w:val="0"/>
          <w:w w:val="100"/>
          <w:position w:val="0"/>
          <w:sz w:val="12"/>
          <w:szCs w:val="12"/>
          <w:shd w:val="clear" w:color="auto" w:fill="auto"/>
        </w:rPr>
        <w:t xml:space="preserve"> Stuttgart </w:t>
      </w:r>
      <w:r>
        <w:rPr>
          <w:color w:val="000000"/>
          <w:spacing w:val="0"/>
          <w:w w:val="100"/>
          <w:position w:val="0"/>
          <w:sz w:val="12"/>
          <w:szCs w:val="12"/>
          <w:shd w:val="clear" w:color="auto" w:fill="auto"/>
          <w:lang w:val="hr-HR" w:eastAsia="hr-HR" w:bidi="hr-HR"/>
        </w:rPr>
        <w:t xml:space="preserve">1974; H. Lotz (Hisg.), </w:t>
      </w:r>
      <w:r>
        <w:rPr>
          <w:i/>
          <w:iCs/>
          <w:color w:val="000000"/>
          <w:spacing w:val="0"/>
          <w:w w:val="100"/>
          <w:position w:val="0"/>
          <w:sz w:val="12"/>
          <w:szCs w:val="12"/>
          <w:shd w:val="clear" w:color="auto" w:fill="auto"/>
          <w:lang w:val="hr-HR" w:eastAsia="hr-HR" w:bidi="hr-HR"/>
        </w:rPr>
        <w:t xml:space="preserve">Zur </w:t>
      </w:r>
      <w:r>
        <w:rPr>
          <w:i/>
          <w:iCs/>
          <w:color w:val="000000"/>
          <w:spacing w:val="0"/>
          <w:w w:val="100"/>
          <w:position w:val="0"/>
          <w:sz w:val="12"/>
          <w:szCs w:val="12"/>
          <w:shd w:val="clear" w:color="auto" w:fill="auto"/>
        </w:rPr>
        <w:t xml:space="preserve">Geschichie </w:t>
      </w:r>
      <w:r>
        <w:rPr>
          <w:i/>
          <w:iCs/>
          <w:color w:val="000000"/>
          <w:spacing w:val="0"/>
          <w:w w:val="100"/>
          <w:position w:val="0"/>
          <w:sz w:val="12"/>
          <w:szCs w:val="12"/>
          <w:shd w:val="clear" w:color="auto" w:fill="auto"/>
          <w:lang w:val="hr-HR" w:eastAsia="hr-HR" w:bidi="hr-HR"/>
        </w:rPr>
        <w:t xml:space="preserve">der </w:t>
      </w:r>
      <w:r>
        <w:rPr>
          <w:i/>
          <w:iCs/>
          <w:color w:val="000000"/>
          <w:spacing w:val="0"/>
          <w:w w:val="100"/>
          <w:position w:val="0"/>
          <w:sz w:val="12"/>
          <w:szCs w:val="12"/>
          <w:shd w:val="clear" w:color="auto" w:fill="auto"/>
        </w:rPr>
        <w:t xml:space="preserve">Tolerant </w:t>
      </w:r>
      <w:r>
        <w:rPr>
          <w:i/>
          <w:iCs/>
          <w:color w:val="000000"/>
          <w:spacing w:val="0"/>
          <w:w w:val="100"/>
          <w:position w:val="0"/>
          <w:sz w:val="12"/>
          <w:szCs w:val="12"/>
          <w:shd w:val="clear" w:color="auto" w:fill="auto"/>
          <w:lang w:val="hr-HR" w:eastAsia="hr-HR" w:bidi="hr-HR"/>
        </w:rPr>
        <w:t xml:space="preserve">und </w:t>
      </w:r>
      <w:r>
        <w:rPr>
          <w:i/>
          <w:iCs/>
          <w:color w:val="000000"/>
          <w:spacing w:val="0"/>
          <w:w w:val="100"/>
          <w:position w:val="0"/>
          <w:sz w:val="12"/>
          <w:szCs w:val="12"/>
          <w:shd w:val="clear" w:color="auto" w:fill="auto"/>
        </w:rPr>
        <w:t>Religionsfraheit,</w:t>
      </w:r>
      <w:r>
        <w:rPr>
          <w:color w:val="000000"/>
          <w:spacing w:val="0"/>
          <w:w w:val="100"/>
          <w:position w:val="0"/>
          <w:sz w:val="12"/>
          <w:szCs w:val="12"/>
          <w:shd w:val="clear" w:color="auto" w:fill="auto"/>
        </w:rPr>
        <w:t xml:space="preserve"> Darmstadt </w:t>
      </w:r>
      <w:r>
        <w:rPr>
          <w:color w:val="000000"/>
          <w:spacing w:val="0"/>
          <w:w w:val="100"/>
          <w:position w:val="0"/>
          <w:sz w:val="12"/>
          <w:szCs w:val="12"/>
          <w:shd w:val="clear" w:color="auto" w:fill="auto"/>
          <w:lang w:val="hr-HR" w:eastAsia="hr-HR" w:bidi="hr-HR"/>
        </w:rPr>
        <w:t xml:space="preserve">1977; U. Mann. Christcntum und Tolcranz, u: </w:t>
      </w:r>
      <w:r>
        <w:rPr>
          <w:i/>
          <w:iCs/>
          <w:color w:val="000000"/>
          <w:spacing w:val="0"/>
          <w:w w:val="100"/>
          <w:position w:val="0"/>
          <w:sz w:val="12"/>
          <w:szCs w:val="12"/>
          <w:shd w:val="clear" w:color="auto" w:fill="auto"/>
          <w:lang w:val="hr-HR" w:eastAsia="hr-HR" w:bidi="hr-HR"/>
        </w:rPr>
        <w:t>Loccumer Prolokolle</w:t>
      </w:r>
      <w:r>
        <w:rPr>
          <w:color w:val="000000"/>
          <w:spacing w:val="0"/>
          <w:w w:val="100"/>
          <w:position w:val="0"/>
          <w:sz w:val="12"/>
          <w:szCs w:val="12"/>
          <w:shd w:val="clear" w:color="auto" w:fill="auto"/>
          <w:lang w:val="hr-HR" w:eastAsia="hr-HR" w:bidi="hr-HR"/>
        </w:rPr>
        <w:t xml:space="preserve"> 7/1977, 33-63; T. Rcndtorft (Hrsg). </w:t>
      </w:r>
      <w:r>
        <w:rPr>
          <w:i/>
          <w:iCs/>
          <w:color w:val="000000"/>
          <w:spacing w:val="0"/>
          <w:w w:val="100"/>
          <w:position w:val="0"/>
          <w:sz w:val="12"/>
          <w:szCs w:val="12"/>
          <w:shd w:val="clear" w:color="auto" w:fill="auto"/>
          <w:lang w:val="hr-HR" w:eastAsia="hr-HR" w:bidi="hr-HR"/>
        </w:rPr>
        <w:t xml:space="preserve">Glaul* und </w:t>
      </w:r>
      <w:r>
        <w:rPr>
          <w:i/>
          <w:iCs/>
          <w:color w:val="000000"/>
          <w:spacing w:val="0"/>
          <w:w w:val="100"/>
          <w:position w:val="0"/>
          <w:sz w:val="12"/>
          <w:szCs w:val="12"/>
          <w:shd w:val="clear" w:color="auto" w:fill="auto"/>
        </w:rPr>
        <w:t xml:space="preserve">Tolerant. </w:t>
      </w:r>
      <w:r>
        <w:rPr>
          <w:i/>
          <w:iCs/>
          <w:color w:val="000000"/>
          <w:spacing w:val="0"/>
          <w:w w:val="100"/>
          <w:position w:val="0"/>
          <w:sz w:val="12"/>
          <w:szCs w:val="12"/>
          <w:shd w:val="clear" w:color="auto" w:fill="auto"/>
          <w:lang w:val="hr-HR" w:eastAsia="hr-HR" w:bidi="hr-HR"/>
        </w:rPr>
        <w:t>Daj iheologischc Erbe der Aufkidning,</w:t>
      </w:r>
      <w:r>
        <w:rPr>
          <w:color w:val="000000"/>
          <w:spacing w:val="0"/>
          <w:w w:val="100"/>
          <w:position w:val="0"/>
          <w:sz w:val="12"/>
          <w:szCs w:val="12"/>
          <w:shd w:val="clear" w:color="auto" w:fill="auto"/>
          <w:lang w:val="hr-HR" w:eastAsia="hr-HR" w:bidi="hr-HR"/>
        </w:rPr>
        <w:t xml:space="preserve"> </w:t>
      </w:r>
      <w:r>
        <w:rPr>
          <w:color w:val="000000"/>
          <w:spacing w:val="0"/>
          <w:w w:val="100"/>
          <w:position w:val="0"/>
          <w:sz w:val="12"/>
          <w:szCs w:val="12"/>
          <w:shd w:val="clear" w:color="auto" w:fill="auto"/>
        </w:rPr>
        <w:t xml:space="preserve">Gutersloh </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1982.</w:t>
        <w:tab/>
        <w:t xml:space="preserve">U. </w:t>
      </w:r>
      <w:r>
        <w:rPr>
          <w:rFonts w:ascii="Times New Roman" w:eastAsia="Times New Roman" w:hAnsi="Times New Roman" w:cs="Times New Roman"/>
          <w:b/>
          <w:bCs/>
          <w:color w:val="000000"/>
          <w:spacing w:val="0"/>
          <w:w w:val="100"/>
          <w:position w:val="0"/>
          <w:sz w:val="10"/>
          <w:szCs w:val="10"/>
          <w:shd w:val="clear" w:color="auto" w:fill="auto"/>
        </w:rPr>
        <w:t>IWOHUSCHKA</w:t>
      </w:r>
    </w:p>
    <w:p>
      <w:pPr>
        <w:pStyle w:val="Style56"/>
        <w:keepNext w:val="0"/>
        <w:keepLines w:val="0"/>
        <w:widowControl w:val="0"/>
        <w:numPr>
          <w:ilvl w:val="0"/>
          <w:numId w:val="513"/>
        </w:numPr>
        <w:shd w:val="clear" w:color="auto" w:fill="auto"/>
        <w:tabs>
          <w:tab w:pos="255" w:val="left"/>
        </w:tabs>
        <w:bidi w:val="0"/>
        <w:spacing w:before="0" w:after="80" w:line="240" w:lineRule="auto"/>
        <w:ind w:left="0" w:right="0" w:firstLine="0"/>
        <w:jc w:val="both"/>
      </w:pP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i uskrsnuće predstavljaju teme koje se često ponavljaju u mekaniskim surama. </w:t>
      </w:r>
      <w:r>
        <w:rPr>
          <w:rFonts w:ascii="Times New Roman" w:eastAsia="Times New Roman" w:hAnsi="Times New Roman" w:cs="Times New Roman"/>
          <w:i/>
          <w:iCs/>
          <w:color w:val="000000"/>
          <w:spacing w:val="0"/>
          <w:w w:val="100"/>
          <w:position w:val="0"/>
          <w:shd w:val="clear" w:color="auto" w:fill="auto"/>
          <w:lang w:val="hr-HR" w:eastAsia="hr-HR" w:bidi="hr-HR"/>
        </w:rPr>
        <w:t>»Svaka će duša iskusiti s.«.</w:t>
      </w:r>
      <w:r>
        <w:rPr>
          <w:rFonts w:ascii="Times New Roman" w:eastAsia="Times New Roman" w:hAnsi="Times New Roman" w:cs="Times New Roman"/>
          <w:color w:val="000000"/>
          <w:spacing w:val="0"/>
          <w:w w:val="100"/>
          <w:position w:val="0"/>
          <w:shd w:val="clear" w:color="auto" w:fill="auto"/>
          <w:lang w:val="hr-HR" w:eastAsia="hr-HR" w:bidi="hr-HR"/>
        </w:rPr>
        <w:t xml:space="preserve"> kaže se tamo na jednome mjestu. Iz toga bi se kuranskog iskaza moralo razabrati da je smrtno ne samo tijelo, nego i duša. Ali je upotrijebljenim izrazom (»duša«) ovdje moglo biti mišljeno i nešto drugo osim duše: čovjek, živo stvorenje ili čak (primjereno hebrejskoj riječi </w:t>
      </w:r>
      <w:r>
        <w:rPr>
          <w:rFonts w:ascii="Times New Roman" w:eastAsia="Times New Roman" w:hAnsi="Times New Roman" w:cs="Times New Roman"/>
          <w:i/>
          <w:iCs/>
          <w:color w:val="000000"/>
          <w:spacing w:val="0"/>
          <w:w w:val="100"/>
          <w:position w:val="0"/>
          <w:shd w:val="clear" w:color="auto" w:fill="auto"/>
          <w:lang w:val="hr-HR" w:eastAsia="hr-HR" w:bidi="hr-HR"/>
        </w:rPr>
        <w:t>nefeš)</w:t>
      </w:r>
      <w:r>
        <w:rPr>
          <w:rFonts w:ascii="Times New Roman" w:eastAsia="Times New Roman" w:hAnsi="Times New Roman" w:cs="Times New Roman"/>
          <w:color w:val="000000"/>
          <w:spacing w:val="0"/>
          <w:w w:val="100"/>
          <w:position w:val="0"/>
          <w:shd w:val="clear" w:color="auto" w:fill="auto"/>
          <w:lang w:val="hr-HR" w:eastAsia="hr-HR" w:bidi="hr-HR"/>
        </w:rPr>
        <w:t xml:space="preserve"> »tjelesna požuda«. Drugi stihovi iz Kurana impliciraju besmrtnost duše. »Duša nije po prirodi besmrtna; njezina egzis</w:t>
        <w:softHyphen/>
        <w:t xml:space="preserve">tencija ovisi o Božjoj volji«, zaključuje na </w:t>
      </w:r>
      <w:r>
        <w:rPr>
          <w:rFonts w:ascii="Times New Roman" w:eastAsia="Times New Roman" w:hAnsi="Times New Roman" w:cs="Times New Roman"/>
          <w:color w:val="000000"/>
          <w:spacing w:val="0"/>
          <w:w w:val="100"/>
          <w:position w:val="0"/>
          <w:shd w:val="clear" w:color="auto" w:fill="auto"/>
          <w:lang w:val="hr-HR" w:eastAsia="hr-HR" w:bidi="hr-HR"/>
        </w:rPr>
        <w:t xml:space="preserve">temelju cjelokupne slike u Kuranu A. S. </w:t>
      </w:r>
      <w:r>
        <w:rPr>
          <w:rFonts w:ascii="Times New Roman" w:eastAsia="Times New Roman" w:hAnsi="Times New Roman" w:cs="Times New Roman"/>
          <w:color w:val="000000"/>
          <w:spacing w:val="0"/>
          <w:w w:val="100"/>
          <w:position w:val="0"/>
          <w:shd w:val="clear" w:color="auto" w:fill="auto"/>
          <w:lang w:val="en-US" w:eastAsia="en-US" w:bidi="en-US"/>
        </w:rPr>
        <w:t>Trit</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ton</w:t>
      </w:r>
      <w:r>
        <w:rPr>
          <w:rFonts w:ascii="Times New Roman" w:eastAsia="Times New Roman" w:hAnsi="Times New Roman" w:cs="Times New Roman"/>
          <w:color w:val="000000"/>
          <w:spacing w:val="0"/>
          <w:w w:val="100"/>
          <w:position w:val="0"/>
          <w:shd w:val="clear" w:color="auto" w:fill="auto"/>
          <w:lang w:val="hr-HR" w:eastAsia="hr-HR" w:bidi="hr-HR"/>
        </w:rPr>
        <w:t xml:space="preserve"> (EP, Bd. I, 1092).</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 ne dijeli predodžbu dijalektičke teolo</w:t>
        <w:softHyphen/>
        <w:t>gije da je s. »kazna za grijeh«. S. gubi svoj za</w:t>
        <w:softHyphen/>
        <w:t>strašujući karakter u predanosti Bogu. Za</w:t>
        <w:softHyphen/>
        <w:t>ljubljeni mistici čak su čeznuli za njom zato što u njoj postižu rastvaranjc u Bogu (al-fanS’ fillah). U njihovom misaonom svijetu važno mjesto zauzima hadis: »Umrite prije nego vas preduhitri s.«, i on naznačuje koliko su oni težili da probiju stvoreno vrijeme »kako bi već u ovome životu iskusili vječnost«. Dakako, pravovjerni islam unatoč toj cjelokupnoj čežnji za smrću osuđuje svako nasilno skončavanje života zato što ono predstavlja nedopustivo miješanje u Božju nadležnost.</w:t>
      </w:r>
    </w:p>
    <w:p>
      <w:pPr>
        <w:pStyle w:val="Style20"/>
        <w:keepNext w:val="0"/>
        <w:keepLines w:val="0"/>
        <w:widowControl w:val="0"/>
        <w:shd w:val="clear" w:color="auto" w:fill="auto"/>
        <w:tabs>
          <w:tab w:pos="2582" w:val="left"/>
        </w:tabs>
        <w:bidi w:val="0"/>
        <w:spacing w:before="0" w:after="32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islamskoj mistici također živi misao da je s. jedan stupanj u procesu stalnoga rasta. Nju je u svojemu spisu </w:t>
      </w:r>
      <w:r>
        <w:rPr>
          <w:rFonts w:ascii="Times New Roman" w:eastAsia="Times New Roman" w:hAnsi="Times New Roman" w:cs="Times New Roman"/>
          <w:i/>
          <w:iCs/>
          <w:color w:val="000000"/>
          <w:spacing w:val="0"/>
          <w:w w:val="100"/>
          <w:position w:val="0"/>
          <w:shd w:val="clear" w:color="auto" w:fill="auto"/>
          <w:lang w:val="hr-HR" w:eastAsia="hr-HR" w:bidi="hr-HR"/>
        </w:rPr>
        <w:t xml:space="preserve">Kuran mistika (Mathnawi-yi </w:t>
      </w:r>
      <w:r>
        <w:rPr>
          <w:rFonts w:ascii="Times New Roman" w:eastAsia="Times New Roman" w:hAnsi="Times New Roman" w:cs="Times New Roman"/>
          <w:i/>
          <w:iCs/>
          <w:color w:val="000000"/>
          <w:spacing w:val="0"/>
          <w:w w:val="100"/>
          <w:position w:val="0"/>
          <w:shd w:val="clear" w:color="auto" w:fill="auto"/>
          <w:lang w:val="en-US" w:eastAsia="en-US" w:bidi="en-US"/>
        </w:rPr>
        <w:t>ma'nawl)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izrazio već Dželaledin Rumi (u. 1273): »Vidi! Umro sam kao kamen i rodio se kao biljka, umro sam kao biljka i nakon toga se rodio kao životinja; umro sam kao životinja i postao čovjekom. Čega onda da se bojim ako zbog umiranja nikada neću postati manjim? Opet, kada umrem kao čovjek, postat ću kri</w:t>
        <w:softHyphen/>
        <w:t>lom anđela, a kao anđeo opet ću morati biti žrtvovan; postat ću onim što nisam shvatio, dahom Božjim« (prijevod potječe od Friedri- eha Riickerta). U smislu islamskoga očekiva</w:t>
        <w:softHyphen/>
        <w:t xml:space="preserve">nja dobri ljudi i njihova djela po Kuranu su besmrtni, makar to skeptici i nevjernici i ne primjećivali (bal </w:t>
      </w:r>
      <w:r>
        <w:rPr>
          <w:rFonts w:ascii="Times New Roman" w:eastAsia="Times New Roman" w:hAnsi="Times New Roman" w:cs="Times New Roman"/>
          <w:color w:val="000000"/>
          <w:spacing w:val="0"/>
          <w:w w:val="100"/>
          <w:position w:val="0"/>
          <w:shd w:val="clear" w:color="auto" w:fill="auto"/>
          <w:lang w:val="en-US" w:eastAsia="en-US" w:bidi="en-US"/>
        </w:rPr>
        <w:t xml:space="preserve">ahya’un wa </w:t>
      </w:r>
      <w:r>
        <w:rPr>
          <w:rFonts w:ascii="Times New Roman" w:eastAsia="Times New Roman" w:hAnsi="Times New Roman" w:cs="Times New Roman"/>
          <w:color w:val="000000"/>
          <w:spacing w:val="0"/>
          <w:w w:val="100"/>
          <w:position w:val="0"/>
          <w:shd w:val="clear" w:color="auto" w:fill="auto"/>
          <w:lang w:val="hr-HR" w:eastAsia="hr-HR" w:bidi="hr-HR"/>
        </w:rPr>
        <w:t xml:space="preserve">lakin </w:t>
      </w:r>
      <w:r>
        <w:rPr>
          <w:rFonts w:ascii="Times New Roman" w:eastAsia="Times New Roman" w:hAnsi="Times New Roman" w:cs="Times New Roman"/>
          <w:color w:val="000000"/>
          <w:spacing w:val="0"/>
          <w:w w:val="100"/>
          <w:position w:val="0"/>
          <w:shd w:val="clear" w:color="auto" w:fill="auto"/>
          <w:lang w:val="en-US" w:eastAsia="en-US" w:bidi="en-US"/>
        </w:rPr>
        <w:t xml:space="preserve">la yash’u- </w:t>
      </w:r>
      <w:r>
        <w:rPr>
          <w:rFonts w:ascii="Times New Roman" w:eastAsia="Times New Roman" w:hAnsi="Times New Roman" w:cs="Times New Roman"/>
          <w:color w:val="000000"/>
          <w:spacing w:val="0"/>
          <w:w w:val="100"/>
          <w:position w:val="0"/>
          <w:shd w:val="clear" w:color="auto" w:fill="auto"/>
          <w:lang w:val="hr-HR" w:eastAsia="hr-HR" w:bidi="hr-HR"/>
        </w:rPr>
        <w:t>rOn).</w:t>
        <w:tab/>
        <w:t>s BAt.ić</w:t>
      </w:r>
    </w:p>
    <w:p>
      <w:pPr>
        <w:pStyle w:val="Style33"/>
        <w:keepNext w:val="0"/>
        <w:keepLines w:val="0"/>
        <w:widowControl w:val="0"/>
        <w:shd w:val="clear" w:color="auto" w:fill="auto"/>
        <w:bidi w:val="0"/>
        <w:spacing w:before="0" w:after="140" w:line="22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SOCIJALNI POREZ</w:t>
      </w:r>
    </w:p>
    <w:p>
      <w:pPr>
        <w:pStyle w:val="Style63"/>
        <w:keepNext/>
        <w:keepLines/>
        <w:widowControl w:val="0"/>
        <w:shd w:val="clear" w:color="auto" w:fill="auto"/>
        <w:bidi w:val="0"/>
        <w:spacing w:before="0" w:after="80" w:line="228" w:lineRule="auto"/>
        <w:ind w:left="0" w:right="0" w:firstLine="0"/>
        <w:jc w:val="both"/>
      </w:pPr>
      <w:bookmarkStart w:id="334" w:name="bookmark334"/>
      <w:r>
        <w:rPr>
          <w:rFonts w:ascii="Times New Roman" w:eastAsia="Times New Roman" w:hAnsi="Times New Roman" w:cs="Times New Roman"/>
          <w:color w:val="000000"/>
          <w:spacing w:val="0"/>
          <w:w w:val="100"/>
          <w:position w:val="0"/>
          <w:shd w:val="clear" w:color="auto" w:fill="auto"/>
          <w:lang w:val="hr-HR" w:eastAsia="hr-HR" w:bidi="hr-HR"/>
        </w:rPr>
        <w:t>islamski</w:t>
      </w:r>
      <w:bookmarkEnd w:id="33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Četvrta temeljna dužnost, koja zahtijeva kom</w:t>
        <w:softHyphen/>
        <w:t>pletan izvanjski opticaj islamske pobožnosti, jest godišnje davanje socijalnoga poreza. Duž</w:t>
        <w:softHyphen/>
        <w:t>nost davanja poreza odnosi se na svakoga vjernika, bilo muškarca ili ženu, čiji imutak premašuje izvjesne granice. Mjera, koja je od</w:t>
        <w:softHyphen/>
        <w:t xml:space="preserve">lučujuća za utemeljenje dužnosti, ne smije biti manje od 96 grama zlata ili 641 grama srebra. Taj vjerski porez (koji se s nepravom naziva i »milostinja«) u islamskoj se pravnoj znanosti naziva </w:t>
      </w:r>
      <w:r>
        <w:rPr>
          <w:rFonts w:ascii="Times New Roman" w:eastAsia="Times New Roman" w:hAnsi="Times New Roman" w:cs="Times New Roman"/>
          <w:i/>
          <w:iCs/>
          <w:color w:val="000000"/>
          <w:spacing w:val="0"/>
          <w:w w:val="100"/>
          <w:position w:val="0"/>
          <w:shd w:val="clear" w:color="auto" w:fill="auto"/>
          <w:lang w:val="hr-HR" w:eastAsia="hr-HR" w:bidi="hr-HR"/>
        </w:rPr>
        <w:t>zekat</w:t>
      </w:r>
      <w:r>
        <w:rPr>
          <w:rFonts w:ascii="Times New Roman" w:eastAsia="Times New Roman" w:hAnsi="Times New Roman" w:cs="Times New Roman"/>
          <w:color w:val="000000"/>
          <w:spacing w:val="0"/>
          <w:w w:val="100"/>
          <w:position w:val="0"/>
          <w:shd w:val="clear" w:color="auto" w:fill="auto"/>
          <w:lang w:val="hr-HR" w:eastAsia="hr-HR" w:bidi="hr-HR"/>
        </w:rPr>
        <w:t xml:space="preserve"> (hrvatski: »čistoća«). Visina soci</w:t>
        <w:softHyphen/>
        <w:t>jalnoga poreza za imutak iznosi 2,5% vrijed</w:t>
        <w:softHyphen/>
      </w:r>
      <w:r>
        <w:rPr>
          <w:rFonts w:ascii="Times New Roman" w:eastAsia="Times New Roman" w:hAnsi="Times New Roman" w:cs="Times New Roman"/>
          <w:color w:val="000000"/>
          <w:spacing w:val="0"/>
          <w:w w:val="100"/>
          <w:position w:val="0"/>
          <w:shd w:val="clear" w:color="auto" w:fill="auto"/>
          <w:lang w:val="hr-HR" w:eastAsia="hr-HR" w:bidi="hr-HR"/>
        </w:rPr>
        <w:t>nosti, a za poljoprivredne prinose 5%, od</w:t>
        <w:softHyphen/>
        <w:t xml:space="preserve">nosno 10% prirodnoga proizvoda. Doduše, davanje </w:t>
      </w:r>
      <w:r>
        <w:rPr>
          <w:rFonts w:ascii="Times New Roman" w:eastAsia="Times New Roman" w:hAnsi="Times New Roman" w:cs="Times New Roman"/>
          <w:i/>
          <w:iCs/>
          <w:color w:val="000000"/>
          <w:spacing w:val="0"/>
          <w:w w:val="100"/>
          <w:position w:val="0"/>
          <w:shd w:val="clear" w:color="auto" w:fill="auto"/>
          <w:lang w:val="hr-HR" w:eastAsia="hr-HR" w:bidi="hr-HR"/>
        </w:rPr>
        <w:t>zekata</w:t>
      </w:r>
      <w:r>
        <w:rPr>
          <w:rFonts w:ascii="Times New Roman" w:eastAsia="Times New Roman" w:hAnsi="Times New Roman" w:cs="Times New Roman"/>
          <w:color w:val="000000"/>
          <w:spacing w:val="0"/>
          <w:w w:val="100"/>
          <w:position w:val="0"/>
          <w:shd w:val="clear" w:color="auto" w:fill="auto"/>
          <w:lang w:val="hr-HR" w:eastAsia="hr-HR" w:bidi="hr-HR"/>
        </w:rPr>
        <w:t xml:space="preserve"> je čisto vjerski motivirano i sto</w:t>
        <w:softHyphen/>
        <w:t>ga dragovoljno, no zajednica ili država može ga u stanovitim okolnostima i utjerivati.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p. ubire se za vrijeme blagdanskoga mjese</w:t>
        <w:softHyphen/>
        <w:t>ca ili u novcu ili u naravninama. On pomaže ljudima koji ne raspolažu nikakvim sredstvi</w:t>
        <w:softHyphen/>
        <w:t>ma za uzdržavanje: robovima koji žele otku</w:t>
        <w:softHyphen/>
        <w:t>piti slobodu (u ranijim vremenima), dužnici</w:t>
        <w:softHyphen/>
        <w:t>ma koji su bez svoje krivnje dospjeli u nov</w:t>
        <w:softHyphen/>
        <w:t>čane teškoće, dragovoljnim borcima za vjeru ili za zavičaj, putnicima koji su ostali bez sred</w:t>
        <w:softHyphen/>
        <w:t>stava za život i siromašnim učenicima. Iz toga se fonda za siromašne potpora može pružiti svakom potrebitom, bilo muškarcu ili ženi, muslimanu, kršćaninu ili Židovu. S. p. se treba poglavito davati siromašnim srodnicima, no darovatelj ga ne može davati u korist svojega oca, svoje majke, svoje supruge, svoje djece ili unuka i djedova i baka. Prilikom određivanja visine godišnjega socijalnog prinosa treba uzeti u obzir ne samo prihod od trenutačne djelat</w:t>
        <w:softHyphen/>
        <w:t>nosti; kao podloga odmjeravanja visine pore</w:t>
        <w:softHyphen/>
        <w:t>za služi cjelokupni kapital koji premašuje po</w:t>
        <w:softHyphen/>
        <w:t>trebe kućanstva.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Svrha godišnjega socijalnog prinosa jest: 1. da se vjernik pokaže zahvalnim za dobra koja mu je poklonio Bog; 2. da se ublaže socijalne su</w:t>
        <w:softHyphen/>
        <w:t>protnosti i da se poboljša pravedna raspodjela dobara; 3. da se promiče darežljivost i ljubav među ljudima. Polazište islamskoga socijalnog mišljenja jest da Bog raspolaže pravima vlas</w:t>
        <w:softHyphen/>
        <w:t>ništva, suverenošću i moči. Rijeke, gotja, rud</w:t>
        <w:softHyphen/>
        <w:t>na bogatstva i prirodne sile stvoreni su na dobrobit svih ljudi. Islam osuđuje metode ne</w:t>
        <w:softHyphen/>
        <w:t>umjerenoga stjecanja novca i u slučaju gomi</w:t>
        <w:softHyphen/>
        <w:t>lanja kapitala u jednoj ruci zahtijeva podvrga</w:t>
        <w:softHyphen/>
        <w:t>vanje socijalnim dužnostima.</w:t>
      </w:r>
    </w:p>
    <w:p>
      <w:pPr>
        <w:pStyle w:val="Style20"/>
        <w:keepNext w:val="0"/>
        <w:keepLines w:val="0"/>
        <w:widowControl w:val="0"/>
        <w:shd w:val="clear" w:color="auto" w:fill="auto"/>
        <w:bidi w:val="0"/>
        <w:spacing w:before="0" w:after="60"/>
        <w:ind w:left="0" w:right="0" w:firstLine="0"/>
        <w:jc w:val="both"/>
        <w:sectPr>
          <w:headerReference w:type="default" r:id="rId1365"/>
          <w:footerReference w:type="default" r:id="rId1366"/>
          <w:headerReference w:type="even" r:id="rId1367"/>
          <w:footerReference w:type="even" r:id="rId1368"/>
          <w:headerReference w:type="first" r:id="rId1369"/>
          <w:footerReference w:type="first" r:id="rId1370"/>
          <w:footnotePr>
            <w:pos w:val="pageBottom"/>
            <w:numFmt w:val="decimal"/>
            <w:numRestart w:val="continuous"/>
            <w15:footnoteColumns w:val="1"/>
          </w:footnotePr>
          <w:pgSz w:w="6816" w:h="11006"/>
          <w:pgMar w:top="1000" w:left="194" w:right="196" w:bottom="459" w:header="0" w:footer="3" w:gutter="0"/>
          <w:cols w:num="2" w:space="17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Nezakonito stečeno bogatstvo važi kao zabra</w:t>
        <w:softHyphen/>
        <w:t>njeno (haram). Zabranjeno je lihvarenje. Na</w:t>
        <w:softHyphen/>
        <w:t>redne strogo naglašene zahtjeve islamskoga socijalnog morala predstavljaju točno vaganje i primjereno, tj. ne prekomjerno stjecanje do</w:t>
        <w:softHyphen/>
        <w:t>biti u trgovini. Trećina prihoda od rudnih i prirodnih bogatstava trebala bi pripasti drža</w:t>
        <w:softHyphen/>
        <w:t xml:space="preserve">vi. Lihvarenjem se smatraju različita kamata- rcnja. U vezi s uvođenjem </w:t>
      </w:r>
      <w:r>
        <w:rPr>
          <w:rFonts w:ascii="Times New Roman" w:eastAsia="Times New Roman" w:hAnsi="Times New Roman" w:cs="Times New Roman"/>
          <w:i/>
          <w:iCs/>
          <w:color w:val="000000"/>
          <w:spacing w:val="0"/>
          <w:w w:val="100"/>
          <w:position w:val="0"/>
          <w:shd w:val="clear" w:color="auto" w:fill="auto"/>
          <w:lang w:val="hr-HR" w:eastAsia="hr-HR" w:bidi="hr-HR"/>
        </w:rPr>
        <w:t>zekata</w:t>
      </w:r>
      <w:r>
        <w:rPr>
          <w:rFonts w:ascii="Times New Roman" w:eastAsia="Times New Roman" w:hAnsi="Times New Roman" w:cs="Times New Roman"/>
          <w:color w:val="000000"/>
          <w:spacing w:val="0"/>
          <w:w w:val="100"/>
          <w:position w:val="0"/>
          <w:shd w:val="clear" w:color="auto" w:fill="auto"/>
          <w:lang w:val="hr-HR" w:eastAsia="hr-HR" w:bidi="hr-HR"/>
        </w:rPr>
        <w:t xml:space="preserve"> u naše vri</w:t>
        <w:softHyphen/>
        <w:t>jeme za zajednicu nastaju izvjesni problemi kao što je npr. problem mjerenje visine stro</w:t>
        <w:softHyphen/>
        <w:t>jeva, tvorničkih hala i akcija, te problem utvr</w:t>
        <w:softHyphen/>
        <w:t xml:space="preserve">đivanja onih koji imaju pravo na pomoć. U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komunističkim državama davanje </w:t>
      </w:r>
      <w:r>
        <w:rPr>
          <w:rFonts w:ascii="Times New Roman" w:eastAsia="Times New Roman" w:hAnsi="Times New Roman" w:cs="Times New Roman"/>
          <w:i/>
          <w:iCs/>
          <w:color w:val="000000"/>
          <w:spacing w:val="0"/>
          <w:w w:val="100"/>
          <w:position w:val="0"/>
          <w:shd w:val="clear" w:color="auto" w:fill="auto"/>
          <w:lang w:val="hr-HR" w:eastAsia="hr-HR" w:bidi="hr-HR"/>
        </w:rPr>
        <w:t>zekata</w:t>
      </w:r>
      <w:r>
        <w:rPr>
          <w:rFonts w:ascii="Times New Roman" w:eastAsia="Times New Roman" w:hAnsi="Times New Roman" w:cs="Times New Roman"/>
          <w:color w:val="000000"/>
          <w:spacing w:val="0"/>
          <w:w w:val="100"/>
          <w:position w:val="0"/>
          <w:shd w:val="clear" w:color="auto" w:fill="auto"/>
          <w:lang w:val="hr-HR" w:eastAsia="hr-HR" w:bidi="hr-HR"/>
        </w:rPr>
        <w:t xml:space="preserve"> ko</w:t>
        <w:softHyphen/>
        <w:t>risti se za financiranje nužnih potreba lokal</w:t>
        <w:softHyphen/>
        <w:t>nih zajednica.</w:t>
      </w:r>
    </w:p>
    <w:p>
      <w:pPr>
        <w:pStyle w:val="Style56"/>
        <w:keepNext w:val="0"/>
        <w:keepLines w:val="0"/>
        <w:widowControl w:val="0"/>
        <w:shd w:val="clear" w:color="auto" w:fill="auto"/>
        <w:tabs>
          <w:tab w:pos="2587" w:val="left"/>
        </w:tabs>
        <w:bidi w:val="0"/>
        <w:spacing w:before="0" w:after="380" w:line="240" w:lineRule="auto"/>
        <w:ind w:left="0" w:right="0" w:firstLine="0"/>
        <w:jc w:val="both"/>
      </w:pPr>
      <w:r>
        <w:rPr>
          <w:color w:val="000000"/>
          <w:spacing w:val="0"/>
          <w:w w:val="100"/>
          <w:position w:val="0"/>
          <w:shd w:val="clear" w:color="auto" w:fill="auto"/>
        </w:rPr>
        <w:t xml:space="preserve">Lit.: Volker </w:t>
      </w:r>
      <w:r>
        <w:rPr>
          <w:color w:val="000000"/>
          <w:spacing w:val="0"/>
          <w:w w:val="100"/>
          <w:position w:val="0"/>
          <w:shd w:val="clear" w:color="auto" w:fill="auto"/>
          <w:lang w:val="hr-HR" w:eastAsia="hr-HR" w:bidi="hr-HR"/>
        </w:rPr>
        <w:t xml:space="preserve">Nicnhaus, </w:t>
      </w:r>
      <w:r>
        <w:rPr>
          <w:i/>
          <w:iCs/>
          <w:color w:val="000000"/>
          <w:spacing w:val="0"/>
          <w:w w:val="100"/>
          <w:position w:val="0"/>
          <w:shd w:val="clear" w:color="auto" w:fill="auto"/>
          <w:lang w:val="hr-HR" w:eastAsia="hr-HR" w:bidi="hr-HR"/>
        </w:rPr>
        <w:t xml:space="preserve">Islam und moderne </w:t>
      </w:r>
      <w:r>
        <w:rPr>
          <w:i/>
          <w:iCs/>
          <w:color w:val="000000"/>
          <w:spacing w:val="0"/>
          <w:w w:val="100"/>
          <w:position w:val="0"/>
          <w:shd w:val="clear" w:color="auto" w:fill="auto"/>
        </w:rPr>
        <w:t xml:space="preserve">Wirtschaft, </w:t>
      </w:r>
      <w:r>
        <w:rPr>
          <w:color w:val="000000"/>
          <w:spacing w:val="0"/>
          <w:w w:val="100"/>
          <w:position w:val="0"/>
          <w:shd w:val="clear" w:color="auto" w:fill="auto"/>
          <w:lang w:val="hr-HR" w:eastAsia="hr-HR" w:bidi="hr-HR"/>
        </w:rPr>
        <w:t>GrazAVicn/Koln 1982,185-203.</w:t>
        <w:tab/>
        <w:t>S. B/M.lć</w:t>
      </w:r>
    </w:p>
    <w:p>
      <w:pPr>
        <w:pStyle w:val="Style33"/>
        <w:keepNext w:val="0"/>
        <w:keepLines w:val="0"/>
        <w:widowControl w:val="0"/>
        <w:shd w:val="clear" w:color="auto" w:fill="auto"/>
        <w:bidi w:val="0"/>
        <w:spacing w:before="0" w:after="28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SOTONA -&gt; ZLO</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SPASENJE</w:t>
      </w:r>
    </w:p>
    <w:p>
      <w:pPr>
        <w:pStyle w:val="Style63"/>
        <w:keepNext/>
        <w:keepLines/>
        <w:widowControl w:val="0"/>
        <w:numPr>
          <w:ilvl w:val="0"/>
          <w:numId w:val="517"/>
        </w:numPr>
        <w:shd w:val="clear" w:color="auto" w:fill="auto"/>
        <w:tabs>
          <w:tab w:pos="250" w:val="left"/>
        </w:tabs>
        <w:bidi w:val="0"/>
        <w:spacing w:before="0"/>
        <w:ind w:left="0" w:right="0" w:firstLine="0"/>
        <w:jc w:val="both"/>
      </w:pPr>
      <w:bookmarkStart w:id="335" w:name="bookmark335"/>
      <w:r>
        <w:rPr>
          <w:rFonts w:ascii="Times New Roman" w:eastAsia="Times New Roman" w:hAnsi="Times New Roman" w:cs="Times New Roman"/>
          <w:color w:val="000000"/>
          <w:spacing w:val="0"/>
          <w:w w:val="100"/>
          <w:position w:val="0"/>
          <w:shd w:val="clear" w:color="auto" w:fill="auto"/>
          <w:lang w:val="hr-HR" w:eastAsia="hr-HR" w:bidi="hr-HR"/>
        </w:rPr>
        <w:t>židovski</w:t>
      </w:r>
      <w:bookmarkEnd w:id="335"/>
    </w:p>
    <w:p>
      <w:pPr>
        <w:pStyle w:val="Style20"/>
        <w:keepNext w:val="0"/>
        <w:keepLines w:val="0"/>
        <w:widowControl w:val="0"/>
        <w:numPr>
          <w:ilvl w:val="0"/>
          <w:numId w:val="519"/>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»Biraj život.«</w:t>
      </w:r>
      <w:r>
        <w:rPr>
          <w:rFonts w:ascii="Times New Roman" w:eastAsia="Times New Roman" w:hAnsi="Times New Roman" w:cs="Times New Roman"/>
          <w:color w:val="000000"/>
          <w:spacing w:val="0"/>
          <w:w w:val="100"/>
          <w:position w:val="0"/>
          <w:shd w:val="clear" w:color="auto" w:fill="auto"/>
          <w:lang w:val="hr-HR" w:eastAsia="hr-HR" w:bidi="hr-HR"/>
        </w:rPr>
        <w:t xml:space="preserve"> Prema židovskom shvaćanju, s. »je prikazano samo kao čudesno blago koje je Božja milost darovala čovjeku kako bi se time spasio i bio sretan. Ovdje je s. zadaća koju je Bog postavio čovjeku i koju on mora izvršiti«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Wesen des Judentums, </w:t>
      </w:r>
      <w:r>
        <w:rPr>
          <w:rFonts w:ascii="Times New Roman" w:eastAsia="Times New Roman" w:hAnsi="Times New Roman" w:cs="Times New Roman"/>
          <w:color w:val="000000"/>
          <w:spacing w:val="0"/>
          <w:w w:val="100"/>
          <w:position w:val="0"/>
          <w:shd w:val="clear" w:color="auto" w:fill="auto"/>
          <w:vertAlign w:val="superscript"/>
          <w:lang w:val="en-US" w:eastAsia="en-US" w:bidi="en-US"/>
        </w:rPr>
        <w:t>6</w:t>
      </w:r>
      <w:r>
        <w:rPr>
          <w:rFonts w:ascii="Times New Roman" w:eastAsia="Times New Roman" w:hAnsi="Times New Roman" w:cs="Times New Roman"/>
          <w:color w:val="000000"/>
          <w:spacing w:val="0"/>
          <w:w w:val="100"/>
          <w:position w:val="0"/>
          <w:shd w:val="clear" w:color="auto" w:fill="auto"/>
          <w:lang w:val="en-US" w:eastAsia="en-US" w:bidi="en-US"/>
        </w:rPr>
        <w:t xml:space="preserve">1960, 92). </w:t>
      </w:r>
      <w:r>
        <w:rPr>
          <w:rFonts w:ascii="Times New Roman" w:eastAsia="Times New Roman" w:hAnsi="Times New Roman" w:cs="Times New Roman"/>
          <w:color w:val="000000"/>
          <w:spacing w:val="0"/>
          <w:w w:val="100"/>
          <w:position w:val="0"/>
          <w:shd w:val="clear" w:color="auto" w:fill="auto"/>
          <w:lang w:val="hr-HR" w:eastAsia="hr-HR" w:bidi="hr-HR"/>
        </w:rPr>
        <w:t>Zahtjev što ga je Bog postavio Iz</w:t>
        <w:softHyphen/>
        <w:t>raelu uključuje ponudu spasenja: »... pred vas stavljam: život i smrt, blagoslov i prokletstvo. Život, dakle, biraj... da živiš ti i tvoje potom</w:t>
        <w:softHyphen/>
        <w:t xml:space="preserve">stvo« (Pnz 30,19). Izrael može i treba izabrati život i oblikovati ga prema Božjem naputku. Njegovo je s. u ispunjenju zadaće. Iz objave Tore kao objave Božje volje svojem narodu izrasla je dužnost svakoga vjernog Židova da živi s njom u skladu: »Raban Johanan ben Zakaj (I. stoljeće)... rekao je: Ako si naučio (inačica: primijenio) mnogo Tore, nemoj se time hvalili, jer si zato stvoren« (M Avot 11,8):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(III. stoljeće) rekao je: Čovjek je stvoren za rad... Stvorenje za rad s Torom. Evo što je Rava (u. 352) rekao: Sva su tijela primatelji; spas onome tko je počašćen biti primateljem Tore!«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99b). S. za pojedinca njegov je udio u izabranskom na</w:t>
        <w:softHyphen/>
        <w:t>logu svih zajedno: »Rabi je Tarfon (oko 100) rekao: Dan je kratak, a posao je velik; radnici su tromi, plaća velika, a gazda navaljuje... Nije tvoja dužnost da završiš posao; a nisi (ni) slobodan da se od njega izvučeš. Ako si na</w:t>
        <w:softHyphen/>
        <w:t>učio mnogo Tore, dat će ti se (Bog) velika plaća, i tvoj je gazda pouzdan i dat će ti plaću za tvoj posao; no, znaj, da će pravednici biti nagrađeni u budućem svijetu!« (M Avot 11,15 i d.; usp. b Mcnahot 99b). Ono što je svatko pred Bogom i što je Bog za njega, ne može se spoznati bez spasenjskoga Božjeg djela za Iz</w:t>
        <w:softHyphen/>
        <w:t>rael i naloga za rad i za odluku. Nema sigur</w:t>
        <w:softHyphen/>
        <w:t xml:space="preserve">nosti u Božju pomagačku blizinu bez dužnosti </w:t>
      </w:r>
      <w:r>
        <w:rPr>
          <w:rFonts w:ascii="Times New Roman" w:eastAsia="Times New Roman" w:hAnsi="Times New Roman" w:cs="Times New Roman"/>
          <w:i/>
          <w:iCs/>
          <w:color w:val="000000"/>
          <w:spacing w:val="0"/>
          <w:w w:val="100"/>
          <w:position w:val="0"/>
          <w:shd w:val="clear" w:color="auto" w:fill="auto"/>
          <w:lang w:val="hr-HR" w:eastAsia="hr-HR" w:bidi="hr-HR"/>
        </w:rPr>
        <w:t>(micva)</w:t>
      </w:r>
      <w:r>
        <w:rPr>
          <w:rFonts w:ascii="Times New Roman" w:eastAsia="Times New Roman" w:hAnsi="Times New Roman" w:cs="Times New Roman"/>
          <w:color w:val="000000"/>
          <w:spacing w:val="0"/>
          <w:w w:val="100"/>
          <w:position w:val="0"/>
          <w:shd w:val="clear" w:color="auto" w:fill="auto"/>
          <w:lang w:val="hr-HR" w:eastAsia="hr-HR" w:bidi="hr-HR"/>
        </w:rPr>
        <w:t xml:space="preserve"> kojom se ostvaruje Božja volja medu ljudima: »Pod tim uvjetom izveo sam vas iz zemlje egipatske da uzmete na se jaram zapo</w:t>
        <w:softHyphen/>
        <w:t>vijedi; jer tko se opredijeli za jaram zapovi</w:t>
        <w:softHyphen/>
        <w:t xml:space="preserve">jedi, taj se opredjeljuje za izlazak iz Egipta, a tko osporava jaram zapovijedi, taj osporava izlazak iz Egipta (i nema udjela u Savezu što ga je Bog sklopio s Izraelom na temelju onoga čina otkupljenja)«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11,45, slično 19,36; 22,33; 25,38). U tom otkupljenju Izraelu je pripalo s. i za naraštaje u najdaljoj buduć</w:t>
        <w:softHyphen/>
        <w:t>nosti; pojedinac ga ostvaruje u zahvalnici: »Zašto se izlazak iz Egipta spominje pri sva</w:t>
        <w:softHyphen/>
        <w:t>koj pojedinoj zapovijedi (npr. i u Br 15,41)?... Kad je Bog izbavio potomke svojega prijatelja Abrahama, nije ih izbavio kao djecu, već kao sluge, kako bi im, kad bi im izdavao zapo</w:t>
        <w:softHyphen/>
        <w:t>vijedi, a oni ga ne bi poslušali, mogao reći: Vi ste moji sluge! Kada su došli u pustinju, počeo im je izdavati nekoliko lakih i nekoliko teških zapovijedi... Tada su Izraelci stali prosvjedo</w:t>
        <w:softHyphen/>
        <w:t>vati; no on im je rekao: Vi ste moji sluge! Pod tim uvjetom sam vas i izbavio da vam zapo</w:t>
        <w:softHyphen/>
        <w:t xml:space="preserve">vijedam, a vi da izvršavate zapovijedi« (Šifre Br 15,41). U tom odnosu Boga prema svojem narodu židovski čovjek vidi svoju zadaću i u njoj s. Ono se nije zbilo niti steklo zauvijek, i svatko ga može dobiti birajući zapovijed i time život. </w:t>
      </w:r>
      <w:r>
        <w:rPr>
          <w:rFonts w:ascii="Times New Roman" w:eastAsia="Times New Roman" w:hAnsi="Times New Roman" w:cs="Times New Roman"/>
          <w:color w:val="000000"/>
          <w:spacing w:val="0"/>
          <w:w w:val="100"/>
          <w:position w:val="0"/>
          <w:shd w:val="clear" w:color="auto" w:fill="auto"/>
          <w:lang w:val="en-US" w:eastAsia="en-US" w:bidi="en-US"/>
        </w:rPr>
        <w:t xml:space="preserve">Leopold </w:t>
      </w:r>
      <w:r>
        <w:rPr>
          <w:rFonts w:ascii="Times New Roman" w:eastAsia="Times New Roman" w:hAnsi="Times New Roman" w:cs="Times New Roman"/>
          <w:color w:val="000000"/>
          <w:spacing w:val="0"/>
          <w:w w:val="100"/>
          <w:position w:val="0"/>
          <w:shd w:val="clear" w:color="auto" w:fill="auto"/>
          <w:lang w:val="hr-HR" w:eastAsia="hr-HR" w:bidi="hr-HR"/>
        </w:rPr>
        <w:t>Zunz (1794-1886), jedan od utemeljitelja znanosti o židovstvu, koji je po</w:t>
        <w:softHyphen/>
        <w:t>sredovao između ortodoksije i reformiranoga židovstva, formulirao je to ovako: »Samo su Bog i Izrael u neraskidivom savezu: onaj je otac, prijatelj, kralj, otkupitelj; ovaj je njegov narod, njegova djeca koju je oduvijek no</w:t>
        <w:softHyphen/>
        <w:t xml:space="preserve">sio...«; stoga je važno za svakog pojedinca da »spozna volju Božju i da je odrazi ćudorednim životom, da širenjem te spoznaje budi ljubav, učvršćuje slogu« </w:t>
      </w:r>
      <w:r>
        <w:rPr>
          <w:rFonts w:ascii="Times New Roman" w:eastAsia="Times New Roman" w:hAnsi="Times New Roman" w:cs="Times New Roman"/>
          <w:i/>
          <w:iCs/>
          <w:color w:val="000000"/>
          <w:spacing w:val="0"/>
          <w:w w:val="100"/>
          <w:position w:val="0"/>
          <w:shd w:val="clear" w:color="auto" w:fill="auto"/>
          <w:lang w:val="en-US" w:eastAsia="en-US" w:bidi="en-US"/>
        </w:rPr>
        <w:t>(Die synagogale Poesie des Mittelalters.</w:t>
      </w:r>
      <w:r>
        <w:rPr>
          <w:rFonts w:ascii="Times New Roman" w:eastAsia="Times New Roman" w:hAnsi="Times New Roman" w:cs="Times New Roman"/>
          <w:color w:val="000000"/>
          <w:spacing w:val="0"/>
          <w:w w:val="100"/>
          <w:position w:val="0"/>
          <w:shd w:val="clear" w:color="auto" w:fill="auto"/>
          <w:lang w:val="en-US" w:eastAsia="en-US" w:bidi="en-US"/>
        </w:rPr>
        <w:t xml:space="preserve"> 1855, 1920/1967, 6).</w:t>
      </w:r>
    </w:p>
    <w:p>
      <w:pPr>
        <w:pStyle w:val="Style20"/>
        <w:keepNext w:val="0"/>
        <w:keepLines w:val="0"/>
        <w:widowControl w:val="0"/>
        <w:numPr>
          <w:ilvl w:val="0"/>
          <w:numId w:val="519"/>
        </w:numPr>
        <w:shd w:val="clear" w:color="auto" w:fill="auto"/>
        <w:tabs>
          <w:tab w:pos="270"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»Jesi li se nadao spasenju?«</w:t>
      </w:r>
      <w:r>
        <w:rPr>
          <w:rFonts w:ascii="Times New Roman" w:eastAsia="Times New Roman" w:hAnsi="Times New Roman" w:cs="Times New Roman"/>
          <w:color w:val="000000"/>
          <w:spacing w:val="0"/>
          <w:w w:val="100"/>
          <w:position w:val="0"/>
          <w:shd w:val="clear" w:color="auto" w:fill="auto"/>
          <w:lang w:val="hr-HR" w:eastAsia="hr-HR" w:bidi="hr-HR"/>
        </w:rPr>
        <w:t xml:space="preserve"> Židovstvo ne poznaje ni dužnosnika kao upravitelja i prino- sitelja spasenjskih prinosa niti ima ustanova i sredstava kojima bi sc s. moglo steći; »svatko neka je sebi svećenik, sam svoj posrednik u odnosu s Bogom« </w:t>
      </w:r>
      <w:r>
        <w:rPr>
          <w:rFonts w:ascii="Times New Roman" w:eastAsia="Times New Roman" w:hAnsi="Times New Roman" w:cs="Times New Roman"/>
          <w:color w:val="000000"/>
          <w:spacing w:val="0"/>
          <w:w w:val="100"/>
          <w:position w:val="0"/>
          <w:shd w:val="clear" w:color="auto" w:fill="auto"/>
          <w:lang w:val="en-US" w:eastAsia="en-US" w:bidi="en-US"/>
        </w:rPr>
        <w:t xml:space="preserve">(A. Geiger,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Judentum 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seine Geschichte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1865, 55). U njemu su se rodili izrazi </w:t>
      </w:r>
      <w:r>
        <w:rPr>
          <w:rFonts w:ascii="Times New Roman" w:eastAsia="Times New Roman" w:hAnsi="Times New Roman" w:cs="Times New Roman"/>
          <w:i/>
          <w:iCs/>
          <w:color w:val="000000"/>
          <w:spacing w:val="0"/>
          <w:w w:val="100"/>
          <w:position w:val="0"/>
          <w:shd w:val="clear" w:color="auto" w:fill="auto"/>
          <w:lang w:val="hr-HR" w:eastAsia="hr-HR" w:bidi="hr-HR"/>
        </w:rPr>
        <w:t>cadik,</w:t>
      </w:r>
      <w:r>
        <w:rPr>
          <w:rFonts w:ascii="Times New Roman" w:eastAsia="Times New Roman" w:hAnsi="Times New Roman" w:cs="Times New Roman"/>
          <w:color w:val="000000"/>
          <w:spacing w:val="0"/>
          <w:w w:val="100"/>
          <w:position w:val="0"/>
          <w:shd w:val="clear" w:color="auto" w:fill="auto"/>
          <w:lang w:val="hr-HR" w:eastAsia="hr-HR" w:bidi="hr-HR"/>
        </w:rPr>
        <w:t xml:space="preserve"> »pravednik, pouzdan čovjek« i </w:t>
      </w:r>
      <w:r>
        <w:rPr>
          <w:rFonts w:ascii="Times New Roman" w:eastAsia="Times New Roman" w:hAnsi="Times New Roman" w:cs="Times New Roman"/>
          <w:i/>
          <w:iCs/>
          <w:color w:val="000000"/>
          <w:spacing w:val="0"/>
          <w:w w:val="100"/>
          <w:position w:val="0"/>
          <w:shd w:val="clear" w:color="auto" w:fill="auto"/>
          <w:lang w:val="hr-HR" w:eastAsia="hr-HR" w:bidi="hr-HR"/>
        </w:rPr>
        <w:t>hasid,</w:t>
      </w:r>
      <w:r>
        <w:rPr>
          <w:rFonts w:ascii="Times New Roman" w:eastAsia="Times New Roman" w:hAnsi="Times New Roman" w:cs="Times New Roman"/>
          <w:color w:val="000000"/>
          <w:spacing w:val="0"/>
          <w:w w:val="100"/>
          <w:position w:val="0"/>
          <w:shd w:val="clear" w:color="auto" w:fill="auto"/>
          <w:lang w:val="hr-HR" w:eastAsia="hr-HR" w:bidi="hr-HR"/>
        </w:rPr>
        <w:t xml:space="preserve"> »pobožnik, pun ljubavi« (b Berahot 7a; 18a i M Avot V,10 i d.), koji kao pobožnoga obilježavaju onoga tko ispunjava dužnost prema bližnjem. U jednoj talmudskoj </w:t>
      </w:r>
      <w:r>
        <w:rPr>
          <w:rFonts w:ascii="Times New Roman" w:eastAsia="Times New Roman" w:hAnsi="Times New Roman" w:cs="Times New Roman"/>
          <w:color w:val="000000"/>
          <w:spacing w:val="0"/>
          <w:w w:val="100"/>
          <w:position w:val="0"/>
          <w:shd w:val="clear" w:color="auto" w:fill="auto"/>
          <w:lang w:val="hr-HR" w:eastAsia="hr-HR" w:bidi="hr-HR"/>
        </w:rPr>
        <w:t xml:space="preserve">priči neki </w:t>
      </w:r>
      <w:r>
        <w:rPr>
          <w:rFonts w:ascii="Times New Roman" w:eastAsia="Times New Roman" w:hAnsi="Times New Roman" w:cs="Times New Roman"/>
          <w:color w:val="000000"/>
          <w:spacing w:val="0"/>
          <w:w w:val="100"/>
          <w:position w:val="0"/>
          <w:shd w:val="clear" w:color="auto" w:fill="auto"/>
          <w:lang w:val="en-US" w:eastAsia="en-US" w:bidi="en-US"/>
        </w:rPr>
        <w:t xml:space="preserve">Eleazar ben </w:t>
      </w:r>
      <w:r>
        <w:rPr>
          <w:rFonts w:ascii="Times New Roman" w:eastAsia="Times New Roman" w:hAnsi="Times New Roman" w:cs="Times New Roman"/>
          <w:color w:val="000000"/>
          <w:spacing w:val="0"/>
          <w:w w:val="100"/>
          <w:position w:val="0"/>
          <w:shd w:val="clear" w:color="auto" w:fill="auto"/>
          <w:lang w:val="hr-HR" w:eastAsia="hr-HR" w:bidi="hr-HR"/>
        </w:rPr>
        <w:t>Dordio kaje se zbog svojega dotadašnjeg načina života, pa on uzalud zaklinje brda i brežuljke, nebo i zem</w:t>
        <w:softHyphen/>
        <w:t>lju, sunce i mjesec, zvijezde i zvijezda: »Molite meni za milosrđe!« Zbog uvijek istog odbi</w:t>
        <w:softHyphen/>
        <w:t>janja: »Prije nego što molimo za tebe, želimo moliti za sebe«, postao je svjestan vlastite odgovornosti pred Bogom: »To ovisi isklju</w:t>
        <w:softHyphen/>
        <w:t xml:space="preserve">čivo o meni!« Voljan da se obrati, »on spusti glavu medu koljena i stade vikati tako glasno sve dok nije ispustio dušu. Tada odjekne glas s neba (‘kći glasa’, </w:t>
      </w:r>
      <w:r>
        <w:rPr>
          <w:rFonts w:ascii="Times New Roman" w:eastAsia="Times New Roman" w:hAnsi="Times New Roman" w:cs="Times New Roman"/>
          <w:i/>
          <w:iCs/>
          <w:color w:val="000000"/>
          <w:spacing w:val="0"/>
          <w:w w:val="100"/>
          <w:position w:val="0"/>
          <w:shd w:val="clear" w:color="auto" w:fill="auto"/>
          <w:lang w:val="hr-HR" w:eastAsia="hr-HR" w:bidi="hr-HR"/>
        </w:rPr>
        <w:t>bat kol)</w:t>
      </w:r>
      <w:r>
        <w:rPr>
          <w:rFonts w:ascii="Times New Roman" w:eastAsia="Times New Roman" w:hAnsi="Times New Roman" w:cs="Times New Roman"/>
          <w:color w:val="000000"/>
          <w:spacing w:val="0"/>
          <w:w w:val="100"/>
          <w:position w:val="0"/>
          <w:shd w:val="clear" w:color="auto" w:fill="auto"/>
          <w:lang w:val="hr-HR" w:eastAsia="hr-HR" w:bidi="hr-HR"/>
        </w:rPr>
        <w:t xml:space="preserve"> i reče: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ben </w:t>
      </w:r>
      <w:r>
        <w:rPr>
          <w:rFonts w:ascii="Times New Roman" w:eastAsia="Times New Roman" w:hAnsi="Times New Roman" w:cs="Times New Roman"/>
          <w:color w:val="000000"/>
          <w:spacing w:val="0"/>
          <w:w w:val="100"/>
          <w:position w:val="0"/>
          <w:shd w:val="clear" w:color="auto" w:fill="auto"/>
          <w:lang w:val="hr-HR" w:eastAsia="hr-HR" w:bidi="hr-HR"/>
        </w:rPr>
        <w:t xml:space="preserve">Dordio odreden je za život u budućem svijetu!«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17a). Odluka o spa</w:t>
        <w:softHyphen/>
        <w:t>senju ovisi o obraćenju. Mudraci su poučavali da je Bog s. od samoga početka predvidio u svojem spasenjskom planu. »Veliko je obra</w:t>
        <w:softHyphen/>
        <w:t>ćenje; naime, ono prethodi stvaranju svijeta« (Midraš Tehilim uz Ps 90,3, usp. Berešit raba 1,1,1). S obraćenjem čovjek se obnavlja, a s njim i svijet; na putu pripremljenom za njega prije stvaranja on uvijek izmiče smrti i doživ</w:t>
        <w:softHyphen/>
        <w:t>ljava preporod. Nova je godina dan obnove putem suda. Pojedinac opstaje u tome i ob</w:t>
        <w:softHyphen/>
        <w:t>navlja se samo ako iz dubine svojega bića spozna svoju krivnju, prizna je i od nje se očis</w:t>
        <w:softHyphen/>
        <w:t>ti (b Joma 86a-b). Pritom se židovski čovjek ponaša tako reći kao »ostatak Izraclov« (Iz 10,20 i d.; 11,11.16) koji čeka s. Među neobič</w:t>
        <w:softHyphen/>
        <w:t>nim pitanjima, koji će mu, prema predaji, jed</w:t>
        <w:softHyphen/>
        <w:t>nom postaviti sudac, jedno je usmjereno na dolazak Božje vlasti: »Jesi li se nadao spa</w:t>
        <w:softHyphen/>
        <w:t xml:space="preserve">senju </w:t>
      </w:r>
      <w:r>
        <w:rPr>
          <w:rFonts w:ascii="Times New Roman" w:eastAsia="Times New Roman" w:hAnsi="Times New Roman" w:cs="Times New Roman"/>
          <w:i/>
          <w:iCs/>
          <w:color w:val="000000"/>
          <w:spacing w:val="0"/>
          <w:w w:val="100"/>
          <w:position w:val="0"/>
          <w:shd w:val="clear" w:color="auto" w:fill="auto"/>
          <w:lang w:val="hr-HR" w:eastAsia="hr-HR" w:bidi="hr-HR"/>
        </w:rPr>
        <w:t>(ješua)'?«</w:t>
      </w:r>
      <w:r>
        <w:rPr>
          <w:rFonts w:ascii="Times New Roman" w:eastAsia="Times New Roman" w:hAnsi="Times New Roman" w:cs="Times New Roman"/>
          <w:color w:val="000000"/>
          <w:spacing w:val="0"/>
          <w:w w:val="100"/>
          <w:position w:val="0"/>
          <w:shd w:val="clear" w:color="auto" w:fill="auto"/>
          <w:lang w:val="hr-HR" w:eastAsia="hr-HR" w:bidi="hr-HR"/>
        </w:rPr>
        <w:t xml:space="preserve"> (b Sabat 31a). Ono objašnjava Židovu, koji je dobio nalog za život, da je poz</w:t>
        <w:softHyphen/>
        <w:t>van na s. (usp. b Berahot 56 b). Da on to može i proigrati, midraš slikovito prikazuje jednom prispodobom: »Jedan kralj pripremi gozbu, pozove goste, ali naloži da svatko mora nešto donijeti sa sobom na što će sjesti. Neki su donijeli pokrivače, neki madrace, neki puste</w:t>
        <w:softHyphen/>
        <w:t>ne deke, neki kamenje, a neki drvlje. Kralj sve to pregleda i reče: Neka svatko sjedne na ono što je donio. Oni koji su sjeli na drvlje i ka</w:t>
        <w:softHyphen/>
        <w:t>menje, negodovali su zbog kralja i rekli: Do</w:t>
        <w:softHyphen/>
        <w:t xml:space="preserve">likuje li jednom kralju da njegovi gosti sjede na drvlju i kamenju? Kad to ču kralj, obrati im se: Ne samo što drvljem i kamenjem oskvrnju- jete moju palaču u koju sam toliko uložio, nego se još usuđujete žaliti se na mene? Tu ste čast iskazali sami sebi. Tako će jednom i grešnici, kad budu osuđeni na pakao </w:t>
      </w:r>
      <w:r>
        <w:rPr>
          <w:rFonts w:ascii="Times New Roman" w:eastAsia="Times New Roman" w:hAnsi="Times New Roman" w:cs="Times New Roman"/>
          <w:i/>
          <w:iCs/>
          <w:color w:val="000000"/>
          <w:spacing w:val="0"/>
          <w:w w:val="100"/>
          <w:position w:val="0"/>
          <w:shd w:val="clear" w:color="auto" w:fill="auto"/>
          <w:lang w:val="hr-HR" w:eastAsia="hr-HR" w:bidi="hr-HR"/>
        </w:rPr>
        <w:t>(gehi- nom),</w:t>
      </w:r>
      <w:r>
        <w:rPr>
          <w:rFonts w:ascii="Times New Roman" w:eastAsia="Times New Roman" w:hAnsi="Times New Roman" w:cs="Times New Roman"/>
          <w:color w:val="000000"/>
          <w:spacing w:val="0"/>
          <w:w w:val="100"/>
          <w:position w:val="0"/>
          <w:shd w:val="clear" w:color="auto" w:fill="auto"/>
          <w:lang w:val="hr-HR" w:eastAsia="hr-HR" w:bidi="hr-HR"/>
        </w:rPr>
        <w:t xml:space="preserve"> mrmljati protiv Boga i reći: Gle, nadali </w:t>
      </w:r>
      <w:r>
        <w:rPr>
          <w:rFonts w:ascii="Times New Roman" w:eastAsia="Times New Roman" w:hAnsi="Times New Roman" w:cs="Times New Roman"/>
          <w:color w:val="000000"/>
          <w:spacing w:val="0"/>
          <w:w w:val="100"/>
          <w:position w:val="0"/>
          <w:shd w:val="clear" w:color="auto" w:fill="auto"/>
          <w:lang w:val="hr-HR" w:eastAsia="hr-HR" w:bidi="hr-HR"/>
        </w:rPr>
        <w:t xml:space="preserve">smo se Božjem spasenju </w:t>
      </w:r>
      <w:r>
        <w:rPr>
          <w:rFonts w:ascii="Times New Roman" w:eastAsia="Times New Roman" w:hAnsi="Times New Roman" w:cs="Times New Roman"/>
          <w:i/>
          <w:iCs/>
          <w:color w:val="000000"/>
          <w:spacing w:val="0"/>
          <w:w w:val="100"/>
          <w:position w:val="0"/>
          <w:shd w:val="clear" w:color="auto" w:fill="auto"/>
          <w:lang w:val="hr-HR" w:eastAsia="hr-HR" w:bidi="hr-HR"/>
        </w:rPr>
        <w:t>(ješua,</w:t>
      </w:r>
      <w:r>
        <w:rPr>
          <w:rFonts w:ascii="Times New Roman" w:eastAsia="Times New Roman" w:hAnsi="Times New Roman" w:cs="Times New Roman"/>
          <w:color w:val="000000"/>
          <w:spacing w:val="0"/>
          <w:w w:val="100"/>
          <w:position w:val="0"/>
          <w:shd w:val="clear" w:color="auto" w:fill="auto"/>
          <w:lang w:val="hr-HR" w:eastAsia="hr-HR" w:bidi="hr-HR"/>
        </w:rPr>
        <w:t xml:space="preserve"> ‘pomoć’) i ta</w:t>
        <w:softHyphen/>
        <w:t>ko trebamo proći? Tada će im Bog odgovoriti: Niste li bili u svijetu, u kojem ste živjeli, začet</w:t>
        <w:softHyphen/>
        <w:t>nici grupiranja i klevetanja i svih pokvare- nosti, začetnici razdora i nasilja? (Iz 50,11). Ili možda mislite da će vas to zadesiti od mene? Ne, vi ste to sebi sami priskrbili« (Kohelet 111,9).</w:t>
      </w:r>
    </w:p>
    <w:p>
      <w:pPr>
        <w:pStyle w:val="Style56"/>
        <w:keepNext w:val="0"/>
        <w:keepLines w:val="0"/>
        <w:widowControl w:val="0"/>
        <w:shd w:val="clear" w:color="auto" w:fill="auto"/>
        <w:tabs>
          <w:tab w:pos="2434" w:val="left"/>
        </w:tabs>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G.l' </w:t>
      </w:r>
      <w:r>
        <w:rPr>
          <w:color w:val="000000"/>
          <w:spacing w:val="0"/>
          <w:w w:val="100"/>
          <w:position w:val="0"/>
          <w:shd w:val="clear" w:color="auto" w:fill="auto"/>
        </w:rPr>
        <w:t xml:space="preserve">Moore, </w:t>
      </w:r>
      <w:r>
        <w:rPr>
          <w:i/>
          <w:iCs/>
          <w:color w:val="000000"/>
          <w:spacing w:val="0"/>
          <w:w w:val="100"/>
          <w:position w:val="0"/>
          <w:shd w:val="clear" w:color="auto" w:fill="auto"/>
        </w:rPr>
        <w:t>Judaism in the First Centuries of the Chris</w:t>
        <w:softHyphen/>
        <w:t>tian Era, The Age of the Tannaim,</w:t>
      </w:r>
      <w:r>
        <w:rPr>
          <w:color w:val="000000"/>
          <w:spacing w:val="0"/>
          <w:w w:val="100"/>
          <w:position w:val="0"/>
          <w:shd w:val="clear" w:color="auto" w:fill="auto"/>
        </w:rPr>
        <w:t xml:space="preserve"> Vol. 1. (J 927) 1962,507 t d , Vol. II, 1962, 287 i d., 377 i d.; </w:t>
      </w:r>
      <w:r>
        <w:rPr>
          <w:i/>
          <w:iCs/>
          <w:color w:val="000000"/>
          <w:spacing w:val="0"/>
          <w:w w:val="100"/>
          <w:position w:val="0"/>
          <w:shd w:val="clear" w:color="auto" w:fill="auto"/>
        </w:rPr>
        <w:t>Theologisches Worterbuch zum Neuen Testament</w:t>
      </w:r>
      <w:r>
        <w:rPr>
          <w:color w:val="000000"/>
          <w:spacing w:val="0"/>
          <w:w w:val="100"/>
          <w:position w:val="0"/>
          <w:shd w:val="clear" w:color="auto" w:fill="auto"/>
        </w:rPr>
        <w:t xml:space="preserve"> (bcgrundcl von G Kittel). VII (Hrsg. G Friedrich), 1964, 970-89; W. </w:t>
      </w:r>
      <w:r>
        <w:rPr>
          <w:rFonts w:ascii="Times New Roman" w:eastAsia="Times New Roman" w:hAnsi="Times New Roman" w:cs="Times New Roman"/>
          <w:smallCaps/>
          <w:color w:val="000000"/>
          <w:spacing w:val="0"/>
          <w:w w:val="100"/>
          <w:position w:val="0"/>
          <w:sz w:val="15"/>
          <w:szCs w:val="15"/>
          <w:shd w:val="clear" w:color="auto" w:fill="auto"/>
        </w:rPr>
        <w:t>DoumcI/H.</w:t>
      </w:r>
      <w:r>
        <w:rPr>
          <w:color w:val="000000"/>
          <w:spacing w:val="0"/>
          <w:w w:val="100"/>
          <w:position w:val="0"/>
          <w:shd w:val="clear" w:color="auto" w:fill="auto"/>
        </w:rPr>
        <w:t xml:space="preserve"> Gricssmann. </w:t>
      </w:r>
      <w:r>
        <w:rPr>
          <w:i/>
          <w:iCs/>
          <w:color w:val="000000"/>
          <w:spacing w:val="0"/>
          <w:w w:val="100"/>
          <w:position w:val="0"/>
          <w:shd w:val="clear" w:color="auto" w:fill="auto"/>
        </w:rPr>
        <w:t xml:space="preserve">Die Religion des Judentums im spaihettenislischen Zeilaller, </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1966. 196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R. R. Geis, Zur Rcligionsgcschichtc des nachbiblischcn Judentums, u: </w:t>
      </w:r>
      <w:r>
        <w:rPr>
          <w:i/>
          <w:iCs/>
          <w:color w:val="000000"/>
          <w:spacing w:val="0"/>
          <w:w w:val="100"/>
          <w:position w:val="0"/>
          <w:shd w:val="clear" w:color="auto" w:fill="auto"/>
        </w:rPr>
        <w:t>Gottes Minoritat,</w:t>
      </w:r>
      <w:r>
        <w:rPr>
          <w:color w:val="000000"/>
          <w:spacing w:val="0"/>
          <w:w w:val="100"/>
          <w:position w:val="0"/>
          <w:shd w:val="clear" w:color="auto" w:fill="auto"/>
        </w:rPr>
        <w:t xml:space="preserve"> 1971, 34-53, 36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J. Maier, </w:t>
      </w:r>
      <w:r>
        <w:rPr>
          <w:i/>
          <w:iCs/>
          <w:color w:val="000000"/>
          <w:spacing w:val="0"/>
          <w:w w:val="100"/>
          <w:position w:val="0"/>
          <w:shd w:val="clear" w:color="auto" w:fill="auto"/>
        </w:rPr>
        <w:t xml:space="preserve">Geschichie der judischen Religion, </w:t>
      </w:r>
      <w:r>
        <w:rPr>
          <w:color w:val="000000"/>
          <w:spacing w:val="0"/>
          <w:w w:val="100"/>
          <w:position w:val="0"/>
          <w:shd w:val="clear" w:color="auto" w:fill="auto"/>
        </w:rPr>
        <w:t>1972,159 id., 184 id</w:t>
        <w:tab/>
        <w:t>D. VUTTER</w:t>
      </w:r>
    </w:p>
    <w:p>
      <w:pPr>
        <w:pStyle w:val="Style63"/>
        <w:keepNext/>
        <w:keepLines/>
        <w:widowControl w:val="0"/>
        <w:numPr>
          <w:ilvl w:val="0"/>
          <w:numId w:val="517"/>
        </w:numPr>
        <w:shd w:val="clear" w:color="auto" w:fill="auto"/>
        <w:tabs>
          <w:tab w:pos="260" w:val="left"/>
        </w:tabs>
        <w:bidi w:val="0"/>
        <w:spacing w:before="0" w:after="120"/>
        <w:ind w:left="0" w:right="0" w:firstLine="0"/>
        <w:jc w:val="both"/>
      </w:pPr>
      <w:bookmarkStart w:id="336" w:name="bookmark33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3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je po kršćanskom shvaćanju središnji izraz za ispunjenje koje je ljudima i svijetu učinio i ponudio Bog. Za razumijevanje spasenja kon</w:t>
        <w:softHyphen/>
        <w:t>kretno su mjerodavne dvije perspektive: a) čo</w:t>
        <w:softHyphen/>
        <w:t>vjekovo iskustvo zla i nevolje koji čovjekovoj temeljnu težnju zaodijevaju u riječi kao što su sreća, blaženstvo, mir, radost, pomirenje, pra</w:t>
        <w:softHyphen/>
        <w:t>vednost, otkupljenje, oslobođenje, ispunjenje, svjetlo - ukratko s., b) iskustvo Boga, odnosno shvaćanje Boga koje se objavljuje čovjeku i svoj kršćanski izraz nalazi u govoru o Božjoj Trojedinosti u kojoj se Bog uza svu veličinu (moć) vidi kao ljubav koja se priopćava kao milost čovjeku u njegovoj nemoći. Opis krš</w:t>
        <w:softHyphen/>
        <w:t>ćanskog iskustva spasenja počinje iskustvima izraelskog naroda. Kršćansko iskustvo spase</w:t>
        <w:softHyphen/>
        <w:t>nja nalazi svoje utemeljenje u životu i smrti Is</w:t>
        <w:softHyphen/>
        <w:t>usa iz Nazareta i otuda se daljnjim procesom usvajanja i razumijevanja nastavlja u životu kršćana i kršćanskoj teologiji. Utoliko što se s. samo ohjavljuje kao ova apsolutna budućnost svijeta u svjetskoj povijesti, makar u krajnjoj crti transcendira povijest čovječanstva i svijeta kao njezina apsolutna budućnost, ova povijest kao povijest događaja spasenja, ponude spa</w:t>
        <w:softHyphen/>
        <w:t>senja te nalaženja i ostvarenja spasenja po</w:t>
        <w:softHyphen/>
        <w:t xml:space="preserve">staje </w:t>
      </w:r>
      <w:r>
        <w:rPr>
          <w:rFonts w:ascii="Times New Roman" w:eastAsia="Times New Roman" w:hAnsi="Times New Roman" w:cs="Times New Roman"/>
          <w:i/>
          <w:iCs/>
          <w:color w:val="000000"/>
          <w:spacing w:val="0"/>
          <w:w w:val="100"/>
          <w:position w:val="0"/>
          <w:shd w:val="clear" w:color="auto" w:fill="auto"/>
          <w:lang w:val="hr-HR" w:eastAsia="hr-HR" w:bidi="hr-HR"/>
        </w:rPr>
        <w:t>povijest spasenja</w:t>
      </w:r>
      <w:r>
        <w:rPr>
          <w:rFonts w:ascii="Times New Roman" w:eastAsia="Times New Roman" w:hAnsi="Times New Roman" w:cs="Times New Roman"/>
          <w:color w:val="000000"/>
          <w:spacing w:val="0"/>
          <w:w w:val="100"/>
          <w:position w:val="0"/>
          <w:shd w:val="clear" w:color="auto" w:fill="auto"/>
          <w:lang w:val="hr-HR" w:eastAsia="hr-HR" w:bidi="hr-HR"/>
        </w:rPr>
        <w:t xml:space="preserve"> koja sadrži čovjekovu istinu kao </w:t>
      </w:r>
      <w:r>
        <w:rPr>
          <w:rFonts w:ascii="Times New Roman" w:eastAsia="Times New Roman" w:hAnsi="Times New Roman" w:cs="Times New Roman"/>
          <w:i/>
          <w:iCs/>
          <w:color w:val="000000"/>
          <w:spacing w:val="0"/>
          <w:w w:val="100"/>
          <w:position w:val="0"/>
          <w:shd w:val="clear" w:color="auto" w:fill="auto"/>
          <w:lang w:val="hr-HR" w:eastAsia="hr-HR" w:bidi="hr-HR"/>
        </w:rPr>
        <w:t>spasenjsku istinu:</w:t>
      </w:r>
    </w:p>
    <w:p>
      <w:pPr>
        <w:pStyle w:val="Style20"/>
        <w:keepNext w:val="0"/>
        <w:keepLines w:val="0"/>
        <w:widowControl w:val="0"/>
        <w:shd w:val="clear" w:color="auto" w:fill="auto"/>
        <w:bidi w:val="0"/>
        <w:spacing w:before="0" w:after="0"/>
        <w:ind w:left="0" w:right="0" w:firstLine="0"/>
        <w:jc w:val="both"/>
        <w:sectPr>
          <w:headerReference w:type="default" r:id="rId1371"/>
          <w:footerReference w:type="default" r:id="rId1372"/>
          <w:headerReference w:type="even" r:id="rId1373"/>
          <w:footerReference w:type="even" r:id="rId1374"/>
          <w:headerReference w:type="first" r:id="rId1375"/>
          <w:footerReference w:type="first" r:id="rId1376"/>
          <w:footnotePr>
            <w:pos w:val="pageBottom"/>
            <w:numFmt w:val="decimal"/>
            <w:numRestart w:val="continuous"/>
            <w15:footnoteColumns w:val="1"/>
          </w:footnotePr>
          <w:pgSz w:w="6816" w:h="11006"/>
          <w:pgMar w:top="1000" w:left="194" w:right="196" w:bottom="459" w:header="0" w:footer="3" w:gutter="0"/>
          <w:pgNumType w:start="453"/>
          <w:cols w:num="2" w:space="174"/>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1. Starozavjetno:</w:t>
      </w:r>
      <w:r>
        <w:rPr>
          <w:rFonts w:ascii="Times New Roman" w:eastAsia="Times New Roman" w:hAnsi="Times New Roman" w:cs="Times New Roman"/>
          <w:color w:val="000000"/>
          <w:spacing w:val="0"/>
          <w:w w:val="100"/>
          <w:position w:val="0"/>
          <w:shd w:val="clear" w:color="auto" w:fill="auto"/>
          <w:lang w:val="hr-HR" w:eastAsia="hr-HR" w:bidi="hr-HR"/>
        </w:rPr>
        <w:t xml:space="preserve"> Grčki i latinski prijevodi, koji odgovaraju starozavjetnim pojmovima za s., govore o izbavljenju, pomoći, otkupljenju, oslobađanju, ozdravljenju. Oni pretpostavlja</w:t>
        <w:softHyphen/>
        <w:t xml:space="preserve">ju situacije u kojima se doživjela neka nevolja: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uzništvo, ropstvo, zlo, bolest, smrtni strah, Božja udaljenost. Središnja iskustva spasenja za izraelski narod su izlazak iz ropstva pod vlašću Egipćana i vrijeme progonstva. U iz</w:t>
        <w:softHyphen/>
        <w:t>lasku iz Egipta Izrael spoznaje svog Boga kao Boga koji oslobađa, koji spašava iz ropstva pod vlašću Egipćana. U vrijeme egzila vjerni Jahvi doživljavaju ga kao Boga koji i u bespo</w:t>
        <w:softHyphen/>
        <w:t>moćnosti progonstva stoji uz njih. U psalmi</w:t>
        <w:softHyphen/>
        <w:t>ma ljudi dozivaju Boga u svojoj nevolji. U Jo- bovoj knjizi on se ne povlači pred pitanjima nevinog patnika. Tada su konkretna iskustva spasenja sadržavala za narod obećanja budu</w:t>
        <w:softHyphen/>
        <w:t>ćeg spasenja. Ovo se već u SZ odnosilo kako na početak tako i na kraj utoliko što je Izrae- lov Bog postao poznat kao Stvoritelj neba i zemlje i sudac svih živih i mrtvih. Očekivanje spasenja koje dolazi postalo je u Isusovo vri</w:t>
        <w:softHyphen/>
        <w:t>jeme i intenzivnije i univerzalnije. S. se odnosi na čovjeka u njegovoj sveukupnosti (usp. besmrtnost duše, uskrsnuće tijela, mrtvih) i na cjelinu svijeta i povijesti (usp. apokaliptičko viđenje svršetka svijeta).</w:t>
      </w:r>
    </w:p>
    <w:p>
      <w:pPr>
        <w:pStyle w:val="Style20"/>
        <w:keepNext w:val="0"/>
        <w:keepLines w:val="0"/>
        <w:widowControl w:val="0"/>
        <w:numPr>
          <w:ilvl w:val="0"/>
          <w:numId w:val="501"/>
        </w:numPr>
        <w:shd w:val="clear" w:color="auto" w:fill="auto"/>
        <w:tabs>
          <w:tab w:pos="246"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Isusovskilkršćanski:</w:t>
      </w:r>
      <w:r>
        <w:rPr>
          <w:rFonts w:ascii="Times New Roman" w:eastAsia="Times New Roman" w:hAnsi="Times New Roman" w:cs="Times New Roman"/>
          <w:color w:val="000000"/>
          <w:spacing w:val="0"/>
          <w:w w:val="100"/>
          <w:position w:val="0"/>
          <w:shd w:val="clear" w:color="auto" w:fill="auto"/>
          <w:lang w:val="hr-HR" w:eastAsia="hr-HR" w:bidi="hr-HR"/>
        </w:rPr>
        <w:t xml:space="preserve"> U okviru očekivanja ži</w:t>
        <w:softHyphen/>
        <w:t>dovskog naroda Isus iz Nazareta nastupa kao Krist (Mesija) i prorok koji je u sebi sabrao crte Sina čovječjeg, Božjeg sluge i otkupitelja (njem, i Heiland). Proročki opis mesijanskog dolaska i djelovanja (usp. Iz 35,5; 61,1 i d.) prenosi se na Isusa: »... slijepi progledaju, hromi hodaju, gubavi se čiste, gluhi čuju, mrtvi ustaju, siromasima se propovijeda ra</w:t>
        <w:softHyphen/>
        <w:t>dosna vijest« (Lk 7, 22 i d.; usp. 4,18 i d.). Što je u Isusovu naviještanju i njegovim spasenj- skim znakovima (čudima) postalo nagovještaj kraljevstva Božjeg koje s njim dolazi kao s. ljudi, djelovalo je i dalje sve do danas kao te</w:t>
        <w:softHyphen/>
        <w:t>melj kršćanske vjere u smrt i uskrsnuće Isusa kao Prvorodenca od svih mrtvih. Tako se o njemu kaže: »... koji bi predan zbog naših grijeha i koji uskrsnu radi našeg opravdanja« (Rim 4,25). S., koje je Isus naviještao i ostvari</w:t>
        <w:softHyphen/>
        <w:t>vao, odnosi se na čovjeka u obadvjema kraj</w:t>
        <w:softHyphen/>
        <w:t>njim granicama njegove egzistencije: u smrti i u krivnji. Što se tiče smrti, on obećaju vječni život, što se tiče krivnje, odnosno grijeha, po</w:t>
        <w:softHyphen/>
        <w:t>mirenje s Bogom i zajedništvo u ljubavi.</w:t>
      </w:r>
    </w:p>
    <w:p>
      <w:pPr>
        <w:pStyle w:val="Style20"/>
        <w:keepNext w:val="0"/>
        <w:keepLines w:val="0"/>
        <w:widowControl w:val="0"/>
        <w:numPr>
          <w:ilvl w:val="0"/>
          <w:numId w:val="501"/>
        </w:numPr>
        <w:shd w:val="clear" w:color="auto" w:fill="auto"/>
        <w:tabs>
          <w:tab w:pos="236"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Teologija spasenja:</w:t>
      </w:r>
      <w:r>
        <w:rPr>
          <w:rFonts w:ascii="Times New Roman" w:eastAsia="Times New Roman" w:hAnsi="Times New Roman" w:cs="Times New Roman"/>
          <w:color w:val="000000"/>
          <w:spacing w:val="0"/>
          <w:w w:val="100"/>
          <w:position w:val="0"/>
          <w:shd w:val="clear" w:color="auto" w:fill="auto"/>
          <w:lang w:val="hr-HR" w:eastAsia="hr-HR" w:bidi="hr-HR"/>
        </w:rPr>
        <w:t xml:space="preserve"> Osvjetljavanje kršćan</w:t>
        <w:softHyphen/>
        <w:t>skog shvaćanja spasenja u povijesti teologije produbilo je sljedeće činjenice: a) Konačno s. je s. koje ostvaruje sam Bog, koje poziva čo</w:t>
        <w:softHyphen/>
        <w:t xml:space="preserve">vjeka i po njemu čitavo stvorenje u poredak </w:t>
      </w:r>
      <w:r>
        <w:rPr>
          <w:rFonts w:ascii="Times New Roman" w:eastAsia="Times New Roman" w:hAnsi="Times New Roman" w:cs="Times New Roman"/>
          <w:color w:val="000000"/>
          <w:spacing w:val="0"/>
          <w:w w:val="100"/>
          <w:position w:val="0"/>
          <w:shd w:val="clear" w:color="auto" w:fill="auto"/>
          <w:lang w:val="hr-HR" w:eastAsia="hr-HR" w:bidi="hr-HR"/>
        </w:rPr>
        <w:t>koji je Bog od početka htio, b) Utoliko što je odnos između Štvoritelja i stvorenja poreme</w:t>
        <w:softHyphen/>
        <w:t>ćen grijehom i njegovim popratnim pojavama, odnosno sasvim razoren, s. koje Bog ostvaruje shvaća se modificirano kao otkupljenje, tj. oslobađanje iz stanja otuđenosti od Boga. Kao bezuvjetan znak prevladavanja radikalnog otu</w:t>
        <w:softHyphen/>
        <w:t xml:space="preserve">đenja od Boga kršćanski je poznata nasilna, nepravedna Isusova smrt na križu. Utoliko što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Isus objava Božje biti kao samoočitovanje iz ljubavi (Očev Sin), kršćanski darovano s. nije ništa drugo nego sam Bog. c) Usidrcnost ko</w:t>
        <w:softHyphen/>
        <w:t xml:space="preserve">načnoga Božjeg spasenja </w:t>
      </w:r>
      <w:r>
        <w:rPr>
          <w:rFonts w:ascii="Times New Roman" w:eastAsia="Times New Roman" w:hAnsi="Times New Roman" w:cs="Times New Roman"/>
          <w:i/>
          <w:iCs/>
          <w:color w:val="000000"/>
          <w:spacing w:val="0"/>
          <w:w w:val="100"/>
          <w:position w:val="0"/>
          <w:shd w:val="clear" w:color="auto" w:fill="auto"/>
          <w:lang w:val="hr-HR" w:eastAsia="hr-HR" w:bidi="hr-HR"/>
        </w:rPr>
        <w:t>u</w:t>
      </w:r>
      <w:r>
        <w:rPr>
          <w:rFonts w:ascii="Times New Roman" w:eastAsia="Times New Roman" w:hAnsi="Times New Roman" w:cs="Times New Roman"/>
          <w:color w:val="000000"/>
          <w:spacing w:val="0"/>
          <w:w w:val="100"/>
          <w:position w:val="0"/>
          <w:shd w:val="clear" w:color="auto" w:fill="auto"/>
          <w:lang w:val="hr-HR" w:eastAsia="hr-HR" w:bidi="hr-HR"/>
        </w:rPr>
        <w:t xml:space="preserve"> povijesti (Božje utjelovljenje, smrt na križu, uskrsnuće tijela) usmjerava pogled na napete odnose koji se ne smiju zaboravljati u usvajanju Božje ponude spasenja u Isusu Kristu. Kristovo s. odnosi se na svakoga pojedinačno, ali ipak ne samo na pojedinca nego uvijek i na društveno biće pa time i na ljudsku zajednicu u cjelini.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Kristovo s. odnosi se na čovjeka i čovječanstvo u njihovoj apsolutnoj budućnosti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(pnostranost): </w:t>
      </w:r>
      <w:r>
        <w:rPr>
          <w:rFonts w:ascii="Times New Roman" w:eastAsia="Times New Roman" w:hAnsi="Times New Roman" w:cs="Times New Roman"/>
          <w:color w:val="000000"/>
          <w:spacing w:val="0"/>
          <w:w w:val="100"/>
          <w:position w:val="0"/>
          <w:shd w:val="clear" w:color="auto" w:fill="auto"/>
          <w:lang w:val="hr-HR" w:eastAsia="hr-HR" w:bidi="hr-HR"/>
        </w:rPr>
        <w:t>nada u apsolutno onostrano s. nalazi svoju po</w:t>
        <w:softHyphen/>
        <w:t xml:space="preserve">tvrdu ipak već u </w:t>
      </w:r>
      <w:r>
        <w:rPr>
          <w:rFonts w:ascii="Times New Roman" w:eastAsia="Times New Roman" w:hAnsi="Times New Roman" w:cs="Times New Roman"/>
          <w:i/>
          <w:iCs/>
          <w:color w:val="000000"/>
          <w:spacing w:val="0"/>
          <w:w w:val="100"/>
          <w:position w:val="0"/>
          <w:shd w:val="clear" w:color="auto" w:fill="auto"/>
          <w:lang w:val="hr-HR" w:eastAsia="hr-HR" w:bidi="hr-HR"/>
        </w:rPr>
        <w:t>ovostranom,</w:t>
      </w:r>
      <w:r>
        <w:rPr>
          <w:rFonts w:ascii="Times New Roman" w:eastAsia="Times New Roman" w:hAnsi="Times New Roman" w:cs="Times New Roman"/>
          <w:color w:val="000000"/>
          <w:spacing w:val="0"/>
          <w:w w:val="100"/>
          <w:position w:val="0"/>
          <w:shd w:val="clear" w:color="auto" w:fill="auto"/>
          <w:lang w:val="hr-HR" w:eastAsia="hr-HR" w:bidi="hr-HR"/>
        </w:rPr>
        <w:t xml:space="preserve"> u aktualiziranju spasenjskih znakova iz Isusova života svaki put ovdje i danas, u iscjeljivanjima oslobađa- jućim činima, zalaganju za pravdu, stvaranju mira, vjernosti, nesebičnoj solidarnosti, zala</w:t>
        <w:softHyphen/>
        <w:t>ganju za siromašne, potlačene, marginalizira</w:t>
        <w:softHyphen/>
        <w:t>ne, u ljubavi prema umirućima i mrtvima.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Kristovo s. ne odnosi se samo na čovječan</w:t>
        <w:softHyphen/>
        <w:t xml:space="preserve">stvo, odnosno nije samo </w:t>
      </w:r>
      <w:r>
        <w:rPr>
          <w:rFonts w:ascii="Times New Roman" w:eastAsia="Times New Roman" w:hAnsi="Times New Roman" w:cs="Times New Roman"/>
          <w:i/>
          <w:iCs/>
          <w:color w:val="000000"/>
          <w:spacing w:val="0"/>
          <w:w w:val="100"/>
          <w:position w:val="0"/>
          <w:shd w:val="clear" w:color="auto" w:fill="auto"/>
          <w:lang w:val="hr-HR" w:eastAsia="hr-HR" w:bidi="hr-HR"/>
        </w:rPr>
        <w:t>antropološko,</w:t>
      </w:r>
      <w:r>
        <w:rPr>
          <w:rFonts w:ascii="Times New Roman" w:eastAsia="Times New Roman" w:hAnsi="Times New Roman" w:cs="Times New Roman"/>
          <w:color w:val="000000"/>
          <w:spacing w:val="0"/>
          <w:w w:val="100"/>
          <w:position w:val="0"/>
          <w:shd w:val="clear" w:color="auto" w:fill="auto"/>
          <w:lang w:val="hr-HR" w:eastAsia="hr-HR" w:bidi="hr-HR"/>
        </w:rPr>
        <w:t xml:space="preserve"> nego i na cjelinu stvorenja koje uzdišući u porođaj</w:t>
        <w:softHyphen/>
        <w:t xml:space="preserve">nim mukama čeka posinjenje i slavu djece Božje (usp. Rim 8,19-32), odnosno istodobno je i </w:t>
      </w:r>
      <w:r>
        <w:rPr>
          <w:rFonts w:ascii="Times New Roman" w:eastAsia="Times New Roman" w:hAnsi="Times New Roman" w:cs="Times New Roman"/>
          <w:i/>
          <w:iCs/>
          <w:color w:val="000000"/>
          <w:spacing w:val="0"/>
          <w:w w:val="100"/>
          <w:position w:val="0"/>
          <w:shd w:val="clear" w:color="auto" w:fill="auto"/>
          <w:lang w:val="hr-HR" w:eastAsia="hr-HR" w:bidi="hr-HR"/>
        </w:rPr>
        <w:t>kozmološko.</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Temeljne činjenice teologije spasenja imaju dvije osnovne posljedice: a) Uvjerenje o ko</w:t>
        <w:softHyphen/>
        <w:t>načnom i obuhvatnom spasenju za kršćane je povod da već u svom zemaljskom životu rade na zdravom obliku svijeta koji ljude ispunjava čak i kada svekoliko zemaljsko stvaranje spa</w:t>
        <w:softHyphen/>
        <w:t>senja samo asimptotski upućuje na to da s. čovjek ne može stvoriti nego samo primiti. Zato se unutarsvjetske predodžbe o spasenju kao o sreći, slobodi i blagostanju nikada ne mogu zamijeniti ili izjednačiti s apsolutnim spasenjem koje transccndira svijet i povijest, b) S obzirom na mnoštvo postojećih religij</w:t>
        <w:softHyphen/>
        <w:t>skih i nereligijskih ponuda spasenja i smisla, kršćani se osjećaju ponukani da u konkuren</w:t>
        <w:softHyphen/>
        <w:t xml:space="preserve">ciju s ostalim predodžbama o spasenju unesu </w:t>
      </w:r>
      <w:r>
        <w:rPr>
          <w:rFonts w:ascii="Times New Roman" w:eastAsia="Times New Roman" w:hAnsi="Times New Roman" w:cs="Times New Roman"/>
          <w:color w:val="000000"/>
          <w:spacing w:val="0"/>
          <w:w w:val="100"/>
          <w:position w:val="0"/>
          <w:shd w:val="clear" w:color="auto" w:fill="auto"/>
          <w:lang w:val="hr-HR" w:eastAsia="hr-HR" w:bidi="hr-HR"/>
        </w:rPr>
        <w:t>svoju vlastitu predodžbu. To nije moguće uko</w:t>
        <w:softHyphen/>
        <w:t>liko se s. koje je Krist ostvario ne artikulira uzimajući u obzir ljude koji ga iz bilo kojih razloga nisu uvijek kadri ili spremni prihvatiti. Prema tomu, središnja tema teologije religija je usporedba razlićitih religijskih ponuda spa</w:t>
        <w:softHyphen/>
        <w:t>senja, a potvrdu za njih na kraju krajeva treba tražiti u životnoj praksi.</w:t>
      </w:r>
    </w:p>
    <w:p>
      <w:pPr>
        <w:pStyle w:val="Style56"/>
        <w:keepNext w:val="0"/>
        <w:keepLines w:val="0"/>
        <w:widowControl w:val="0"/>
        <w:shd w:val="clear" w:color="auto" w:fill="auto"/>
        <w:tabs>
          <w:tab w:pos="2141" w:val="left"/>
        </w:tabs>
        <w:bidi w:val="0"/>
        <w:spacing w:before="0" w:after="360" w:line="240" w:lineRule="auto"/>
        <w:ind w:left="0" w:right="0" w:firstLine="0"/>
        <w:jc w:val="both"/>
      </w:pPr>
      <w:r>
        <w:rPr>
          <w:color w:val="000000"/>
          <w:spacing w:val="0"/>
          <w:w w:val="100"/>
          <w:position w:val="0"/>
          <w:shd w:val="clear" w:color="auto" w:fill="auto"/>
          <w:lang w:val="hr-HR" w:eastAsia="hr-HR" w:bidi="hr-HR"/>
        </w:rPr>
        <w:t xml:space="preserve">Lit.: -&gt; Oslobođenje, -&gt; Otkupljenje, -&gt; Povijest spasa, u udarnim teološkim leksikonima; B. </w:t>
      </w:r>
      <w:r>
        <w:rPr>
          <w:color w:val="000000"/>
          <w:spacing w:val="0"/>
          <w:w w:val="100"/>
          <w:position w:val="0"/>
          <w:shd w:val="clear" w:color="auto" w:fill="auto"/>
        </w:rPr>
        <w:t xml:space="preserve">Wcltc. </w:t>
      </w:r>
      <w:r>
        <w:rPr>
          <w:i/>
          <w:iCs/>
          <w:color w:val="000000"/>
          <w:spacing w:val="0"/>
          <w:w w:val="100"/>
          <w:position w:val="0"/>
          <w:shd w:val="clear" w:color="auto" w:fill="auto"/>
          <w:lang w:val="hr-HR" w:eastAsia="hr-HR" w:bidi="hr-HR"/>
        </w:rPr>
        <w:t xml:space="preserve">Heilsverstdndnis,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1966.</w:t>
        <w:tab/>
      </w:r>
      <w:r>
        <w:rPr>
          <w:color w:val="000000"/>
          <w:spacing w:val="0"/>
          <w:w w:val="100"/>
          <w:position w:val="0"/>
          <w:shd w:val="clear" w:color="auto" w:fill="auto"/>
        </w:rPr>
        <w:t>11. WALDENFELS</w:t>
      </w:r>
    </w:p>
    <w:p>
      <w:pPr>
        <w:pStyle w:val="Style56"/>
        <w:keepNext w:val="0"/>
        <w:keepLines w:val="0"/>
        <w:widowControl w:val="0"/>
        <w:numPr>
          <w:ilvl w:val="0"/>
          <w:numId w:val="517"/>
        </w:numPr>
        <w:shd w:val="clear" w:color="auto" w:fill="auto"/>
        <w:tabs>
          <w:tab w:pos="260" w:val="left"/>
        </w:tabs>
        <w:bidi w:val="0"/>
        <w:spacing w:before="0" w:after="60" w:line="240" w:lineRule="auto"/>
        <w:ind w:left="0" w:right="0" w:firstLine="0"/>
        <w:jc w:val="both"/>
      </w:pP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islamu je s. nepoznato u uobičajenom teo</w:t>
        <w:softHyphen/>
        <w:t>loškom smislu. Budući da on nema predodžbu o istočnome grijehu, također ne postoji ni</w:t>
        <w:softHyphen/>
        <w:t>kakvo povijesno-spasenjsko djelovanje. Upra</w:t>
        <w:softHyphen/>
        <w:t>vo se zbog toga riječ s. najradije izbjegava u jeziku muslimanskih teologa. No i u nazivu ove religije ipak se krije značenje riječi s. Na</w:t>
        <w:softHyphen/>
        <w:t xml:space="preserve">ime, riječ </w:t>
      </w:r>
      <w:r>
        <w:rPr>
          <w:rFonts w:ascii="Times New Roman" w:eastAsia="Times New Roman" w:hAnsi="Times New Roman" w:cs="Times New Roman"/>
          <w:i/>
          <w:iCs/>
          <w:color w:val="000000"/>
          <w:spacing w:val="0"/>
          <w:w w:val="100"/>
          <w:position w:val="0"/>
          <w:shd w:val="clear" w:color="auto" w:fill="auto"/>
          <w:lang w:val="hr-HR" w:eastAsia="hr-HR" w:bidi="hr-HR"/>
        </w:rPr>
        <w:t>islam</w:t>
      </w:r>
      <w:r>
        <w:rPr>
          <w:rFonts w:ascii="Times New Roman" w:eastAsia="Times New Roman" w:hAnsi="Times New Roman" w:cs="Times New Roman"/>
          <w:color w:val="000000"/>
          <w:spacing w:val="0"/>
          <w:w w:val="100"/>
          <w:position w:val="0"/>
          <w:shd w:val="clear" w:color="auto" w:fill="auto"/>
          <w:lang w:val="hr-HR" w:eastAsia="hr-HR" w:bidi="hr-HR"/>
        </w:rPr>
        <w:t xml:space="preserve"> znači: s., izbavljenje i mir. Obje zadnje spomenute riječi upravo su one kojima muslimani označuju stanje čovjekove unutarnje nepovrijedenosti i njegove otkup- Ijenosti od patnje na sudnjemu danu. »Put spasenja« koji vodi k tomu jest život u znaku predanosti Bogu s neizostavnim dodatkom osobne volje za borbom kako bi se u vlasti</w:t>
        <w:softHyphen/>
        <w:t>tome životu isključila uloga nižih strasti. To je pravi smisao maksimalistički shvaćenoga isla</w:t>
        <w:softHyphen/>
        <w:t>ma (-» Džihad). Na toj se razini odigrava sa- mootkupljenje vjernika.</w:t>
      </w:r>
    </w:p>
    <w:p>
      <w:pPr>
        <w:pStyle w:val="Style20"/>
        <w:keepNext w:val="0"/>
        <w:keepLines w:val="0"/>
        <w:widowControl w:val="0"/>
        <w:shd w:val="clear" w:color="auto" w:fill="auto"/>
        <w:bidi w:val="0"/>
        <w:spacing w:before="0" w:after="6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Posebice sufije snažno naglašavaju samootkup- ljcnje s težištem na moralnome proćišćenju koje skončava s napuštanjem samoga sebe. Zahvaljujući njihovim praktikama i njihovim idejama nastaju dodatna susretišta s kršćan</w:t>
        <w:softHyphen/>
        <w:t>stvom, ali i s budizmom. »Cilj spasenja« u is</w:t>
        <w:softHyphen/>
        <w:t>lamu jest zrenje Boga ili barem njegovo zado</w:t>
        <w:softHyphen/>
        <w:t xml:space="preserve">voljstvo. Taj je cilj kod sufija još dalji: To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unio </w:t>
      </w:r>
      <w:r>
        <w:rPr>
          <w:rFonts w:ascii="Times New Roman" w:eastAsia="Times New Roman" w:hAnsi="Times New Roman" w:cs="Times New Roman"/>
          <w:i/>
          <w:iCs/>
          <w:color w:val="000000"/>
          <w:spacing w:val="0"/>
          <w:w w:val="100"/>
          <w:position w:val="0"/>
          <w:shd w:val="clear" w:color="auto" w:fill="auto"/>
          <w:lang w:val="en-US" w:eastAsia="en-US" w:bidi="en-US"/>
        </w:rPr>
        <w:t>mystica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(al-fana’ fillah).</w:t>
      </w:r>
    </w:p>
    <w:p>
      <w:pPr>
        <w:pStyle w:val="Style56"/>
        <w:keepNext w:val="0"/>
        <w:keepLines w:val="0"/>
        <w:widowControl w:val="0"/>
        <w:shd w:val="clear" w:color="auto" w:fill="auto"/>
        <w:tabs>
          <w:tab w:pos="2582" w:val="left"/>
        </w:tabs>
        <w:bidi w:val="0"/>
        <w:spacing w:before="0" w:after="60" w:line="240" w:lineRule="auto"/>
        <w:ind w:left="0" w:right="0" w:firstLine="0"/>
        <w:jc w:val="both"/>
        <w:rPr>
          <w:sz w:val="15"/>
          <w:szCs w:val="15"/>
        </w:rPr>
      </w:pPr>
      <w:r>
        <w:rPr>
          <w:color w:val="000000"/>
          <w:spacing w:val="0"/>
          <w:w w:val="100"/>
          <w:position w:val="0"/>
          <w:sz w:val="12"/>
          <w:szCs w:val="12"/>
          <w:shd w:val="clear" w:color="auto" w:fill="auto"/>
        </w:rPr>
        <w:t xml:space="preserve">Lit.: ‘AbdalqawwSd </w:t>
      </w:r>
      <w:r>
        <w:rPr>
          <w:color w:val="000000"/>
          <w:spacing w:val="0"/>
          <w:w w:val="100"/>
          <w:position w:val="0"/>
          <w:sz w:val="12"/>
          <w:szCs w:val="12"/>
          <w:shd w:val="clear" w:color="auto" w:fill="auto"/>
          <w:lang w:val="hr-HR" w:eastAsia="hr-HR" w:bidi="hr-HR"/>
        </w:rPr>
        <w:t xml:space="preserve">FalatOrT, Das l'chlcn des Aspckts dcr Ikilsgcschicbtc </w:t>
      </w:r>
      <w:r>
        <w:rPr>
          <w:color w:val="000000"/>
          <w:spacing w:val="0"/>
          <w:w w:val="100"/>
          <w:position w:val="0"/>
          <w:sz w:val="12"/>
          <w:szCs w:val="12"/>
          <w:shd w:val="clear" w:color="auto" w:fill="auto"/>
        </w:rPr>
        <w:t xml:space="preserve">in </w:t>
      </w:r>
      <w:r>
        <w:rPr>
          <w:color w:val="000000"/>
          <w:spacing w:val="0"/>
          <w:w w:val="100"/>
          <w:position w:val="0"/>
          <w:sz w:val="12"/>
          <w:szCs w:val="12"/>
          <w:shd w:val="clear" w:color="auto" w:fill="auto"/>
          <w:lang w:val="hr-HR" w:eastAsia="hr-HR" w:bidi="hr-HR"/>
        </w:rPr>
        <w:t xml:space="preserve">dcr islairmehcn Thcologic, u; </w:t>
      </w:r>
      <w:r>
        <w:rPr>
          <w:i/>
          <w:iCs/>
          <w:color w:val="000000"/>
          <w:spacing w:val="0"/>
          <w:w w:val="100"/>
          <w:position w:val="0"/>
          <w:sz w:val="12"/>
          <w:szCs w:val="12"/>
          <w:shd w:val="clear" w:color="auto" w:fill="auto"/>
          <w:lang w:val="hr-HR" w:eastAsia="hr-HR" w:bidi="hr-HR"/>
        </w:rPr>
        <w:t>Machte des Gulen tind Bosen.</w:t>
      </w:r>
      <w:r>
        <w:rPr>
          <w:color w:val="000000"/>
          <w:spacing w:val="0"/>
          <w:w w:val="100"/>
          <w:position w:val="0"/>
          <w:sz w:val="12"/>
          <w:szCs w:val="12"/>
          <w:shd w:val="clear" w:color="auto" w:fill="auto"/>
          <w:lang w:val="hr-HR" w:eastAsia="hr-HR" w:bidi="hr-HR"/>
        </w:rPr>
        <w:t xml:space="preserve"> 1977. 72-30; isti, Tod - Ocncht - Aufcrstchung </w:t>
      </w:r>
      <w:r>
        <w:rPr>
          <w:color w:val="000000"/>
          <w:spacing w:val="0"/>
          <w:w w:val="100"/>
          <w:position w:val="0"/>
          <w:sz w:val="12"/>
          <w:szCs w:val="12"/>
          <w:shd w:val="clear" w:color="auto" w:fill="auto"/>
        </w:rPr>
        <w:t xml:space="preserve">in </w:t>
      </w:r>
      <w:r>
        <w:rPr>
          <w:color w:val="000000"/>
          <w:spacing w:val="0"/>
          <w:w w:val="100"/>
          <w:position w:val="0"/>
          <w:sz w:val="12"/>
          <w:szCs w:val="12"/>
          <w:shd w:val="clear" w:color="auto" w:fill="auto"/>
          <w:lang w:val="hr-HR" w:eastAsia="hr-HR" w:bidi="hr-HR"/>
        </w:rPr>
        <w:t xml:space="preserve">koranischcr Sicht, u: </w:t>
      </w:r>
      <w:r>
        <w:rPr>
          <w:i/>
          <w:iCs/>
          <w:color w:val="000000"/>
          <w:spacing w:val="0"/>
          <w:w w:val="100"/>
          <w:position w:val="0"/>
          <w:sz w:val="12"/>
          <w:szCs w:val="12"/>
          <w:shd w:val="clear" w:color="auto" w:fill="auto"/>
          <w:lang w:val="hr-HR" w:eastAsia="hr-HR" w:bidi="hr-HR"/>
        </w:rPr>
        <w:t xml:space="preserve">Zukunfishoffnung und Heilsenvarmng </w:t>
      </w:r>
      <w:r>
        <w:rPr>
          <w:i/>
          <w:iCs/>
          <w:color w:val="000000"/>
          <w:spacing w:val="0"/>
          <w:w w:val="100"/>
          <w:position w:val="0"/>
          <w:sz w:val="12"/>
          <w:szCs w:val="12"/>
          <w:shd w:val="clear" w:color="auto" w:fill="auto"/>
        </w:rPr>
        <w:t xml:space="preserve">in den </w:t>
      </w:r>
      <w:r>
        <w:rPr>
          <w:i/>
          <w:iCs/>
          <w:color w:val="000000"/>
          <w:spacing w:val="0"/>
          <w:w w:val="100"/>
          <w:position w:val="0"/>
          <w:sz w:val="12"/>
          <w:szCs w:val="12"/>
          <w:shd w:val="clear" w:color="auto" w:fill="auto"/>
          <w:lang w:val="hr-HR" w:eastAsia="hr-HR" w:bidi="hr-HR"/>
        </w:rPr>
        <w:t xml:space="preserve">tnonotheistischen Religionen, </w:t>
      </w:r>
      <w:r>
        <w:rPr>
          <w:color w:val="000000"/>
          <w:spacing w:val="0"/>
          <w:w w:val="100"/>
          <w:position w:val="0"/>
          <w:sz w:val="12"/>
          <w:szCs w:val="12"/>
          <w:shd w:val="clear" w:color="auto" w:fill="auto"/>
          <w:lang w:val="hr-HR" w:eastAsia="hr-HR" w:bidi="hr-HR"/>
        </w:rPr>
        <w:t>Frcihurg 1983. 121-138,</w:t>
        <w:tab/>
      </w: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S.BaI.IĆ</w:t>
      </w:r>
    </w:p>
    <w:p>
      <w:pPr>
        <w:pStyle w:val="Style33"/>
        <w:keepNext w:val="0"/>
        <w:keepLines w:val="0"/>
        <w:widowControl w:val="0"/>
        <w:shd w:val="clear" w:color="auto" w:fill="auto"/>
        <w:bidi w:val="0"/>
        <w:spacing w:before="0" w:after="1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SPOLNOST</w:t>
      </w:r>
    </w:p>
    <w:p>
      <w:pPr>
        <w:pStyle w:val="Style56"/>
        <w:keepNext w:val="0"/>
        <w:keepLines w:val="0"/>
        <w:widowControl w:val="0"/>
        <w:numPr>
          <w:ilvl w:val="0"/>
          <w:numId w:val="521"/>
        </w:numPr>
        <w:shd w:val="clear" w:color="auto" w:fill="auto"/>
        <w:tabs>
          <w:tab w:pos="246" w:val="left"/>
        </w:tabs>
        <w:bidi w:val="0"/>
        <w:spacing w:before="0" w:after="60" w:line="240" w:lineRule="auto"/>
        <w:ind w:left="0" w:right="0" w:firstLine="0"/>
        <w:jc w:val="both"/>
      </w:pPr>
      <w:r>
        <w:rPr>
          <w:b/>
          <w:bCs/>
          <w:color w:val="000000"/>
          <w:spacing w:val="0"/>
          <w:w w:val="100"/>
          <w:position w:val="0"/>
          <w:shd w:val="clear" w:color="auto" w:fill="auto"/>
          <w:lang w:val="hr-HR" w:eastAsia="hr-HR" w:bidi="hr-HR"/>
        </w:rPr>
        <w:t>židovski</w:t>
      </w:r>
    </w:p>
    <w:p>
      <w:pPr>
        <w:pStyle w:val="Style20"/>
        <w:keepNext w:val="0"/>
        <w:keepLines w:val="0"/>
        <w:widowControl w:val="0"/>
        <w:numPr>
          <w:ilvl w:val="0"/>
          <w:numId w:val="523"/>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»Tako čega očistiti i posvetiti.«</w:t>
      </w:r>
      <w:r>
        <w:rPr>
          <w:rFonts w:ascii="Times New Roman" w:eastAsia="Times New Roman" w:hAnsi="Times New Roman" w:cs="Times New Roman"/>
          <w:color w:val="000000"/>
          <w:spacing w:val="0"/>
          <w:w w:val="100"/>
          <w:position w:val="0"/>
          <w:shd w:val="clear" w:color="auto" w:fill="auto"/>
          <w:lang w:val="hr-HR" w:eastAsia="hr-HR" w:bidi="hr-HR"/>
        </w:rPr>
        <w:t xml:space="preserve"> Prema biblij- sko-talmudskoj predaji pravi se ljudski život ostvaruje kao život na sliku Božju (Post 1,27; Ps 139; M Avot 111,15 i d.;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IV,5; Berešit raba XXII,4,6; b Joma 38b.39a). Poči</w:t>
        <w:softHyphen/>
        <w:t>nje u životu pojedinca, ali usavršava se u živo</w:t>
        <w:softHyphen/>
        <w:t>tu ljudske zajednice koja se treba graditi: »Vi ćete mi biti kraljevstvo svećenika, narod svet« (Izl 19,6). Volja Božja ima se ispuniti: »Posve- ćujte se da budete sveti. Ta JA sam Bog vaš. Držite moje zakone i vršite ih. JA vas posve</w:t>
        <w:softHyphen/>
        <w:t xml:space="preserve">ćujem«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20,7 i d.; usp. stih 26; 11,44; 19,2; Izl 22,31). Izrael može zadovoljiti zahtjev: »Ta ti si narod posvećen NJEMU, Bogu svomu« (Pnz 14,2) samo ponašanjem svojih pripad</w:t>
        <w:softHyphen/>
        <w:t xml:space="preserve">nika, voden načelom </w:t>
      </w:r>
      <w:r>
        <w:rPr>
          <w:rFonts w:ascii="Times New Roman" w:eastAsia="Times New Roman" w:hAnsi="Times New Roman" w:cs="Times New Roman"/>
          <w:i/>
          <w:iCs/>
          <w:color w:val="000000"/>
          <w:spacing w:val="0"/>
          <w:w w:val="100"/>
          <w:position w:val="0"/>
          <w:shd w:val="clear" w:color="auto" w:fill="auto"/>
          <w:lang w:val="hr-HR" w:eastAsia="hr-HR" w:bidi="hr-HR"/>
        </w:rPr>
        <w:t>čistoće:</w:t>
      </w:r>
      <w:r>
        <w:rPr>
          <w:rFonts w:ascii="Times New Roman" w:eastAsia="Times New Roman" w:hAnsi="Times New Roman" w:cs="Times New Roman"/>
          <w:color w:val="000000"/>
          <w:spacing w:val="0"/>
          <w:w w:val="100"/>
          <w:position w:val="0"/>
          <w:shd w:val="clear" w:color="auto" w:fill="auto"/>
          <w:lang w:val="hr-HR" w:eastAsia="hr-HR" w:bidi="hr-HR"/>
        </w:rPr>
        <w:t xml:space="preserve"> »Tako će ga očis</w:t>
        <w:softHyphen/>
        <w:t xml:space="preserve">titi od nečistoća sinova Izraclovih«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16,19; usp. Ez 36,23-25); to se odnosi na tjele</w:t>
        <w:softHyphen/>
        <w:t xml:space="preserve">snu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12,7; 13 i d. + 22,4,15 + 22,4; usp. 21,10 i d.), bogoslužnu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11,32; 17,15;</w:t>
      </w:r>
    </w:p>
    <w:p>
      <w:pPr>
        <w:pStyle w:val="Style20"/>
        <w:keepNext w:val="0"/>
        <w:keepLines w:val="0"/>
        <w:widowControl w:val="0"/>
        <w:numPr>
          <w:ilvl w:val="0"/>
          <w:numId w:val="525"/>
        </w:numPr>
        <w:shd w:val="clear" w:color="auto" w:fill="auto"/>
        <w:tabs>
          <w:tab w:pos="50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 22,4; Br 6,6-9; 19,11.14-16; Pnz 14,7-20) i ćudorednu čistoću (Jr 13,27; 33,8; Ps 51,3-9). Zahtjev za religijskom (tj. bogo- služnom) čistoćom tijesno se dodiruje sa zah</w:t>
        <w:softHyphen/>
        <w:t>tjevom za ćudorednom čistoćom (Pnz 14,1 i d.; 21,22 i d.; 23,11 i d.; 27,20-23). Zbog toga konteksta određene prekršaje, koji se, prema kasnijoj rabinskoj odluci, nipošto, ni u nevolji, nisu smjeli počiniti - idolopoklonstvo, uboj</w:t>
        <w:softHyphen/>
        <w:t>stvo, prekršaji morala - smatrali su prekrša</w:t>
        <w:softHyphen/>
        <w:t xml:space="preserve">jima koji onečišćuju zemlju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18,6-30; Pnz</w:t>
      </w:r>
    </w:p>
    <w:p>
      <w:pPr>
        <w:pStyle w:val="Style20"/>
        <w:keepNext w:val="0"/>
        <w:keepLines w:val="0"/>
        <w:widowControl w:val="0"/>
        <w:numPr>
          <w:ilvl w:val="0"/>
          <w:numId w:val="527"/>
        </w:numPr>
        <w:shd w:val="clear" w:color="auto" w:fill="auto"/>
        <w:tabs>
          <w:tab w:pos="49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 Ez 36,16-36).</w:t>
      </w:r>
    </w:p>
    <w:p>
      <w:pPr>
        <w:pStyle w:val="Style20"/>
        <w:keepNext w:val="0"/>
        <w:keepLines w:val="0"/>
        <w:widowControl w:val="0"/>
        <w:numPr>
          <w:ilvl w:val="0"/>
          <w:numId w:val="523"/>
        </w:numPr>
        <w:shd w:val="clear" w:color="auto" w:fill="auto"/>
        <w:tabs>
          <w:tab w:pos="270" w:val="left"/>
        </w:tabs>
        <w:bidi w:val="0"/>
        <w:spacing w:before="0" w:after="0"/>
        <w:ind w:left="0" w:right="0" w:firstLine="0"/>
        <w:jc w:val="both"/>
        <w:sectPr>
          <w:headerReference w:type="default" r:id="rId1377"/>
          <w:footerReference w:type="default" r:id="rId1378"/>
          <w:headerReference w:type="even" r:id="rId1379"/>
          <w:footerReference w:type="even" r:id="rId1380"/>
          <w:headerReference w:type="first" r:id="rId1381"/>
          <w:footerReference w:type="first" r:id="rId1382"/>
          <w:footnotePr>
            <w:pos w:val="pageBottom"/>
            <w:numFmt w:val="decimal"/>
            <w:numRestart w:val="continuous"/>
            <w15:footnoteColumns w:val="1"/>
          </w:footnotePr>
          <w:pgSz w:w="6816" w:h="11006"/>
          <w:pgMar w:top="1000" w:left="194" w:right="196" w:bottom="459" w:header="0" w:footer="3" w:gutter="0"/>
          <w:cols w:num="2" w:space="174"/>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»Mjesečno čišćenje«:</w:t>
      </w:r>
      <w:r>
        <w:rPr>
          <w:rFonts w:ascii="Times New Roman" w:eastAsia="Times New Roman" w:hAnsi="Times New Roman" w:cs="Times New Roman"/>
          <w:color w:val="000000"/>
          <w:spacing w:val="0"/>
          <w:w w:val="100"/>
          <w:position w:val="0"/>
          <w:shd w:val="clear" w:color="auto" w:fill="auto"/>
          <w:lang w:val="hr-HR" w:eastAsia="hr-HR" w:bidi="hr-HR"/>
        </w:rPr>
        <w:t xml:space="preserve"> Načelo čistoće kao po</w:t>
        <w:softHyphen/>
        <w:t>sljedica i kao preduvjet posvećenja nije ni u starom Izraelu niti u židovstvu vodilo k potpu</w:t>
        <w:softHyphen/>
        <w:t>noj askezi, ali je nedvojbeno vodilo do djelo</w:t>
        <w:softHyphen/>
        <w:t>mično asketskoga ponašanja u središnjim pod</w:t>
        <w:softHyphen/>
        <w:t>ručjima života, pa tako i u uzajamnim odno</w:t>
        <w:softHyphen/>
        <w:t>sima spolova. Biblijska spolna higijena dodje</w:t>
        <w:softHyphen/>
        <w:t xml:space="preserve">ljuje spolnom općenju najplemenitiju zadaću množenja (Post 1,28; 9,1), ali i zadovoljenje čulne strasti koja ne ovisi o svrsi razmnažanja (Izr 5,18 i d.;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2,8; 3,8) i erotsku radost muškarca i žene, koja spada u ljubavni odnos (usp. zbirku ljubavnih pjesama u Pjesmi nad pjesmama). Židovstvo obilježeno talmud</w:t>
        <w:softHyphen/>
        <w:t>skom i kasnijom rabinskom literaturom ne ži</w:t>
        <w:softHyphen/>
        <w:t>vi ni potpuno čulno niti potpuno spolno suzdržljivo (M Kerctot 1,1, usp. Makot 111,15).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 shvaća slobodu čovjeka pred Bogom kao mogućnost grcšnika za obraćenje; propi</w:t>
        <w:softHyphen/>
        <w:t xml:space="preserve">sana djelomična suzdržljivost, kao sredstvo za to, ograničava vrijeme za spolno ispunjenje ljubavi u braku i u isto vrijeme jamči uvijek novi početak ljubavne vezu između partnera. Seksualna apstinencija, koju propisuju zakoni čistoće, proteže se na vrijeme trajanja mje- scčnice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15,19-24; 18,19; 20,18) i na još sedam dana poslije toga (M </w:t>
      </w:r>
      <w:r>
        <w:rPr>
          <w:rFonts w:ascii="Times New Roman" w:eastAsia="Times New Roman" w:hAnsi="Times New Roman" w:cs="Times New Roman"/>
          <w:color w:val="000000"/>
          <w:spacing w:val="0"/>
          <w:w w:val="100"/>
          <w:position w:val="0"/>
          <w:shd w:val="clear" w:color="auto" w:fill="auto"/>
          <w:lang w:val="en-US" w:eastAsia="en-US" w:bidi="en-US"/>
        </w:rPr>
        <w:t xml:space="preserve">Nida </w:t>
      </w:r>
      <w:r>
        <w:rPr>
          <w:rFonts w:ascii="Times New Roman" w:eastAsia="Times New Roman" w:hAnsi="Times New Roman" w:cs="Times New Roman"/>
          <w:color w:val="000000"/>
          <w:spacing w:val="0"/>
          <w:w w:val="100"/>
          <w:position w:val="0"/>
          <w:shd w:val="clear" w:color="auto" w:fill="auto"/>
          <w:lang w:val="hr-HR" w:eastAsia="hr-HR" w:bidi="hr-HR"/>
        </w:rPr>
        <w:t>11,1-4; X,8; b 72b; 73a; Sulhan aruh, Jore dea 183) te na sedam, odnosno četrnaest dana nakon rođe</w:t>
        <w:softHyphen/>
        <w:t xml:space="preserve">nja dječaka, odnosno djevojčice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12,1-5; M Nida 111,1-7; IV.4-V.1; X,6 i d.). Vrijeme apstinencije završava tek uranjanjem u vodu </w:t>
      </w:r>
      <w:r>
        <w:rPr>
          <w:rFonts w:ascii="Times New Roman" w:eastAsia="Times New Roman" w:hAnsi="Times New Roman" w:cs="Times New Roman"/>
          <w:i/>
          <w:iCs/>
          <w:color w:val="000000"/>
          <w:spacing w:val="0"/>
          <w:w w:val="100"/>
          <w:position w:val="0"/>
          <w:shd w:val="clear" w:color="auto" w:fill="auto"/>
          <w:lang w:val="hr-HR" w:eastAsia="hr-HR" w:bidi="hr-HR"/>
        </w:rPr>
        <w:t>(tevila)</w:t>
      </w:r>
      <w:r>
        <w:rPr>
          <w:rFonts w:ascii="Times New Roman" w:eastAsia="Times New Roman" w:hAnsi="Times New Roman" w:cs="Times New Roman"/>
          <w:color w:val="000000"/>
          <w:spacing w:val="0"/>
          <w:w w:val="100"/>
          <w:position w:val="0"/>
          <w:shd w:val="clear" w:color="auto" w:fill="auto"/>
          <w:lang w:val="hr-HR" w:eastAsia="hr-HR" w:bidi="hr-HR"/>
        </w:rPr>
        <w:t xml:space="preserve"> u </w:t>
      </w:r>
      <w:r>
        <w:rPr>
          <w:rFonts w:ascii="Times New Roman" w:eastAsia="Times New Roman" w:hAnsi="Times New Roman" w:cs="Times New Roman"/>
          <w:i/>
          <w:iCs/>
          <w:color w:val="000000"/>
          <w:spacing w:val="0"/>
          <w:w w:val="100"/>
          <w:position w:val="0"/>
          <w:shd w:val="clear" w:color="auto" w:fill="auto"/>
          <w:lang w:val="hr-HR" w:eastAsia="hr-HR" w:bidi="hr-HR"/>
        </w:rPr>
        <w:t>mikvi;</w:t>
      </w:r>
      <w:r>
        <w:rPr>
          <w:rFonts w:ascii="Times New Roman" w:eastAsia="Times New Roman" w:hAnsi="Times New Roman" w:cs="Times New Roman"/>
          <w:color w:val="000000"/>
          <w:spacing w:val="0"/>
          <w:w w:val="100"/>
          <w:position w:val="0"/>
          <w:shd w:val="clear" w:color="auto" w:fill="auto"/>
          <w:lang w:val="hr-HR" w:eastAsia="hr-HR" w:bidi="hr-HR"/>
        </w:rPr>
        <w:t xml:space="preserve"> pritom žena mora cijelim, go</w:t>
        <w:softHyphen/>
        <w:t>lim tijelom uroniti u vodu i izgovoriti blago</w:t>
        <w:softHyphen/>
        <w:t>slov (M Mikvaot 1,7); nakon toga je »čista«, tj. ona se ponovno može aktivno latiti ljubavnog odnosa i spolno općiti. Značenje tih propisa za razmjerno suzdržljiv život Židova ne može se pročitati samo iz onih biblijskih dokumenata koji dokazuju da je čovjek u starom Izraelu bio upoznat s tim mjerama čistoće (Br 19,9. 13.20 i d.; 31,32); one proizlaze i iz načela Mišne o glavnim zadaćama židovske žene, ko</w:t>
        <w:softHyphen/>
        <w:t xml:space="preserve">ji spominje »mjesečno čišćenje« </w:t>
      </w:r>
      <w:r>
        <w:rPr>
          <w:rFonts w:ascii="Times New Roman" w:eastAsia="Times New Roman" w:hAnsi="Times New Roman" w:cs="Times New Roman"/>
          <w:i/>
          <w:iCs/>
          <w:color w:val="000000"/>
          <w:spacing w:val="0"/>
          <w:w w:val="100"/>
          <w:position w:val="0"/>
          <w:shd w:val="clear" w:color="auto" w:fill="auto"/>
          <w:lang w:val="hr-HR" w:eastAsia="hr-HR" w:bidi="hr-HR"/>
        </w:rPr>
        <w:t>(nida)</w:t>
      </w:r>
      <w:r>
        <w:rPr>
          <w:rFonts w:ascii="Times New Roman" w:eastAsia="Times New Roman" w:hAnsi="Times New Roman" w:cs="Times New Roman"/>
          <w:color w:val="000000"/>
          <w:spacing w:val="0"/>
          <w:w w:val="100"/>
          <w:position w:val="0"/>
          <w:shd w:val="clear" w:color="auto" w:fill="auto"/>
          <w:lang w:val="hr-HR" w:eastAsia="hr-HR" w:bidi="hr-HR"/>
        </w:rPr>
        <w:t xml:space="preserve"> prije predaje tijesta određenog za pečenje </w:t>
      </w:r>
      <w:r>
        <w:rPr>
          <w:rFonts w:ascii="Times New Roman" w:eastAsia="Times New Roman" w:hAnsi="Times New Roman" w:cs="Times New Roman"/>
          <w:i/>
          <w:iCs/>
          <w:color w:val="000000"/>
          <w:spacing w:val="0"/>
          <w:w w:val="100"/>
          <w:position w:val="0"/>
          <w:shd w:val="clear" w:color="auto" w:fill="auto"/>
          <w:lang w:val="hr-HR" w:eastAsia="hr-HR" w:bidi="hr-HR"/>
        </w:rPr>
        <w:t>(hala)</w:t>
      </w:r>
      <w:r>
        <w:rPr>
          <w:rFonts w:ascii="Times New Roman" w:eastAsia="Times New Roman" w:hAnsi="Times New Roman" w:cs="Times New Roman"/>
          <w:color w:val="000000"/>
          <w:spacing w:val="0"/>
          <w:w w:val="100"/>
          <w:position w:val="0"/>
          <w:shd w:val="clear" w:color="auto" w:fill="auto"/>
          <w:lang w:val="hr-HR" w:eastAsia="hr-HR" w:bidi="hr-HR"/>
        </w:rPr>
        <w:t xml:space="preserve"> i paljenja svijeća </w:t>
      </w:r>
      <w:r>
        <w:rPr>
          <w:rFonts w:ascii="Times New Roman" w:eastAsia="Times New Roman" w:hAnsi="Times New Roman" w:cs="Times New Roman"/>
          <w:i/>
          <w:iCs/>
          <w:color w:val="000000"/>
          <w:spacing w:val="0"/>
          <w:w w:val="100"/>
          <w:position w:val="0"/>
          <w:shd w:val="clear" w:color="auto" w:fill="auto"/>
          <w:lang w:val="hr-HR" w:eastAsia="hr-HR" w:bidi="hr-HR"/>
        </w:rPr>
        <w:t>(hadlakat ha-ner)</w:t>
      </w:r>
      <w:r>
        <w:rPr>
          <w:rFonts w:ascii="Times New Roman" w:eastAsia="Times New Roman" w:hAnsi="Times New Roman" w:cs="Times New Roman"/>
          <w:color w:val="000000"/>
          <w:spacing w:val="0"/>
          <w:w w:val="100"/>
          <w:position w:val="0"/>
          <w:shd w:val="clear" w:color="auto" w:fill="auto"/>
          <w:lang w:val="hr-HR" w:eastAsia="hr-HR" w:bidi="hr-HR"/>
        </w:rPr>
        <w:t xml:space="preserve"> u predve</w:t>
        <w:softHyphen/>
        <w:t>čerje dan prije šabata i blagdana (Šabat 11,6).</w:t>
      </w:r>
    </w:p>
    <w:p>
      <w:pPr>
        <w:pStyle w:val="Style20"/>
        <w:keepNext w:val="0"/>
        <w:keepLines w:val="0"/>
        <w:widowControl w:val="0"/>
        <w:numPr>
          <w:ilvl w:val="0"/>
          <w:numId w:val="523"/>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»Tko nema ženu, nije čovjek."</w:t>
      </w:r>
      <w:r>
        <w:rPr>
          <w:rFonts w:ascii="Times New Roman" w:eastAsia="Times New Roman" w:hAnsi="Times New Roman" w:cs="Times New Roman"/>
          <w:color w:val="000000"/>
          <w:spacing w:val="0"/>
          <w:w w:val="100"/>
          <w:position w:val="0"/>
          <w:shd w:val="clear" w:color="auto" w:fill="auto"/>
          <w:lang w:val="hr-HR" w:eastAsia="hr-HR" w:bidi="hr-HR"/>
        </w:rPr>
        <w:t xml:space="preserve"> Potpuna suzdržljivost ne smatra se ostvarenjem židov</w:t>
        <w:softHyphen/>
        <w:t>skoga života. Od mnogih stotina imenom po</w:t>
        <w:softHyphen/>
        <w:t xml:space="preserve">znatih učitelja iz doba Mišne i Talmuda samo je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bio neoženjen: Šimon ben Asaj (oko 110) naglašavao je obvezu množenja, a isto</w:t>
        <w:softHyphen/>
        <w:t xml:space="preserve">dobno je za sebe tražio beženstvo: »Tko se ne bavi množenjem, Biblija ga optužuje kao daje umanjio stvorenost na sliku (Božju)... (Post 9,6 i d.)«. Na prigovor kako »lijepo predaje, a sam se ne drži lijepoga«, odgovorio je: »Što da radim? Moja se duša drži Tore (tj. bavi se njome; tada ne ostaje vremena za brak); neka drugi održe svijet!« (Tos. </w:t>
      </w:r>
      <w:r>
        <w:rPr>
          <w:rFonts w:ascii="Times New Roman" w:eastAsia="Times New Roman" w:hAnsi="Times New Roman" w:cs="Times New Roman"/>
          <w:color w:val="000000"/>
          <w:spacing w:val="0"/>
          <w:w w:val="100"/>
          <w:position w:val="0"/>
          <w:shd w:val="clear" w:color="auto" w:fill="auto"/>
          <w:lang w:val="en-US" w:eastAsia="en-US" w:bidi="en-US"/>
        </w:rPr>
        <w:t xml:space="preserve">Jevamot </w:t>
      </w:r>
      <w:r>
        <w:rPr>
          <w:rFonts w:ascii="Times New Roman" w:eastAsia="Times New Roman" w:hAnsi="Times New Roman" w:cs="Times New Roman"/>
          <w:color w:val="000000"/>
          <w:spacing w:val="0"/>
          <w:w w:val="100"/>
          <w:position w:val="0"/>
          <w:shd w:val="clear" w:color="auto" w:fill="auto"/>
          <w:lang w:val="hr-HR" w:eastAsia="hr-HR" w:bidi="hr-HR"/>
        </w:rPr>
        <w:t>VIII,4; usp. b 63b; Berešit raba XXXIV,9,6). Iako je tradi</w:t>
        <w:softHyphen/>
        <w:t>cija gledala u njemu velikog učenjaka (b Ki- dušin 49b; Tos. III,9) i premda je on potaknuo i prihvaćanje Pjesme nad pjesmama i Propo</w:t>
        <w:softHyphen/>
        <w:t>vjednika u biblijski Kanon (M Jadajim 111,5), ben Asaj je kao asket ostao bez potomaka. Gledište izraženo u židovskom narodu pred</w:t>
        <w:softHyphen/>
        <w:t xml:space="preserve">stavljaju riječi poput onih Rabi Eleazara (oko </w:t>
      </w:r>
      <w:r>
        <w:rPr>
          <w:rFonts w:ascii="Times New Roman" w:eastAsia="Times New Roman" w:hAnsi="Times New Roman" w:cs="Times New Roman"/>
          <w:color w:val="000000"/>
          <w:spacing w:val="0"/>
          <w:w w:val="100"/>
          <w:position w:val="0"/>
          <w:shd w:val="clear" w:color="auto" w:fill="auto"/>
          <w:lang w:val="hr-HR" w:eastAsia="hr-HR" w:bidi="hr-HR"/>
        </w:rPr>
        <w:t>270): »Tko nema ženu, nije čovjek« (b Jeva</w:t>
        <w:softHyphen/>
        <w:t>mot 63a) ili Rabi Hije bar Gamde (III. stolje</w:t>
        <w:softHyphen/>
        <w:t>će): »(Tko ostane neoženjen), nije ni potpun čovjek« (Berešit raba XVII,2,18).</w:t>
      </w:r>
    </w:p>
    <w:p>
      <w:pPr>
        <w:pStyle w:val="Style20"/>
        <w:keepNext w:val="0"/>
        <w:keepLines w:val="0"/>
        <w:widowControl w:val="0"/>
        <w:numPr>
          <w:ilvl w:val="0"/>
          <w:numId w:val="523"/>
        </w:numPr>
        <w:shd w:val="clear" w:color="auto" w:fill="auto"/>
        <w:tabs>
          <w:tab w:pos="270"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»Nitko se ne smije suzdržavati od razmnaža</w:t>
        <w:softHyphen/>
        <w:t>nja."</w:t>
      </w:r>
      <w:r>
        <w:rPr>
          <w:rFonts w:ascii="Times New Roman" w:eastAsia="Times New Roman" w:hAnsi="Times New Roman" w:cs="Times New Roman"/>
          <w:color w:val="000000"/>
          <w:spacing w:val="0"/>
          <w:w w:val="100"/>
          <w:position w:val="0"/>
          <w:shd w:val="clear" w:color="auto" w:fill="auto"/>
          <w:lang w:val="hr-HR" w:eastAsia="hr-HR" w:bidi="hr-HR"/>
        </w:rPr>
        <w:t xml:space="preserve"> U biblijsko-talmudskom židovstvu čisto</w:t>
        <w:softHyphen/>
        <w:t>ća je temelj životnoga puta. Sveti Bog Izraela potiče svetost zajedničkoga života muškarca i žene i ne trpi povredu te dužnosti, kako jas</w:t>
        <w:softHyphen/>
        <w:t xml:space="preserve">no pokazuju seksualni propisi: oni isključuju brak između određenih rodbinskih stupnjeva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18,6—18;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58a; Jevamot 21a; j 11,3), spolno općenje sa ženom koja ima mje- sečnicu, osim s vlastitom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18,19; M Nida</w:t>
      </w:r>
    </w:p>
    <w:p>
      <w:pPr>
        <w:pStyle w:val="Style20"/>
        <w:keepNext w:val="0"/>
        <w:keepLines w:val="0"/>
        <w:widowControl w:val="0"/>
        <w:numPr>
          <w:ilvl w:val="0"/>
          <w:numId w:val="529"/>
        </w:numPr>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4; X,8), s tuđom ženom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18,20; 20,10; Izl 20,13; Pnz 5,17; 22,22-24;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74a; Kidušin 40b; Bava mecia 58b; So- ta 4b; Vajikra raba XXIII,18,3; XXXII,24,10), s istospolnim partnerom, s maloljetnim oso</w:t>
        <w:softHyphen/>
        <w:t xml:space="preserve">bama i sa životinjama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18,22 i d.; 20,13 i d.;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18,3; 20,13;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54a), izvanbračno spolno općenje (Pnz 23,18 i d.; 2 Sam 13,12 i d.; b Berahot 61a; M Avot 111,14;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74a; Jevamot 63b). Spolne od</w:t>
        <w:softHyphen/>
        <w:t xml:space="preserve">redbe zabranjuju obljubu na Dan pomirenja i prigodom nekih drugih postova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16,29 i d.; 23,27; Br 29,7; M Joma VIII,1; Taanit 1,6), daju ženi nakon silovanja posebnu zaštitu i pravo na odštetu (Pnz 22,29; b Ketubot 39b), odbacuju načelno zaštitu od začeća (Post 38,9): »Ako sc netko ne brine za razmnažanje, isto je kao da je prolio krv« (b Jevamot 63b), ali je ograničavaju: »No, ako ima djece, smije obustaviti razmnažanje, ali nc (zajednički ži</w:t>
        <w:softHyphen/>
        <w:t xml:space="preserve">vot ) sa ženom... I onaj tko ima mnogo djece, ne smije biti bez žene«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61b), jer sc sma</w:t>
        <w:softHyphen/>
        <w:t xml:space="preserve">tra, objašnjava Mišna, da je dužnost pravljenja djece ispunjena rođenjem sina i kćeri: »Nitko se ne smije suzdržavati od razmnažanja, osim ako već ima djece... Bet-Hilel kaže: jednog sina i jednu kćer« (M Jevamot VI,6). Biblijsku zapovijed osnivanja obitelji (Post 1,28) rabini dovode u vezu s muškim spolom; u tom smislu odlučuje halaha: »Muškarcu je razmnažanje dužnost, ali ne i ženi« </w:t>
      </w:r>
      <w:r>
        <w:rPr>
          <w:rFonts w:ascii="Times New Roman" w:eastAsia="Times New Roman" w:hAnsi="Times New Roman" w:cs="Times New Roman"/>
          <w:color w:val="000000"/>
          <w:spacing w:val="0"/>
          <w:w w:val="100"/>
          <w:position w:val="0"/>
          <w:shd w:val="clear" w:color="auto" w:fill="auto"/>
          <w:lang w:val="en-US" w:eastAsia="en-US" w:bidi="en-US"/>
        </w:rPr>
        <w:t xml:space="preserve">(ibid ). </w:t>
      </w:r>
      <w:r>
        <w:rPr>
          <w:rFonts w:ascii="Times New Roman" w:eastAsia="Times New Roman" w:hAnsi="Times New Roman" w:cs="Times New Roman"/>
          <w:color w:val="000000"/>
          <w:spacing w:val="0"/>
          <w:w w:val="100"/>
          <w:position w:val="0"/>
          <w:shd w:val="clear" w:color="auto" w:fill="auto"/>
          <w:lang w:val="hr-HR" w:eastAsia="hr-HR" w:bidi="hr-HR"/>
        </w:rPr>
        <w:t>Rasprave mu</w:t>
        <w:softHyphen/>
        <w:t xml:space="preserve">draca dovele su do toga da su bračnom paru prepustili oblikovanje spolnih susreta (b Ne- darim 20a-b;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58b; Šulhan aruh, Ebcn ha-ezer § primj.). Norma spolnog pona</w:t>
        <w:softHyphen/>
        <w:t xml:space="preserve">šanja božansko je upozorenje da se ne »oskvr- ne moje sveto ime«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2,7).</w:t>
      </w:r>
    </w:p>
    <w:p>
      <w:pPr>
        <w:pStyle w:val="Style56"/>
        <w:keepNext w:val="0"/>
        <w:keepLines w:val="0"/>
        <w:widowControl w:val="0"/>
        <w:shd w:val="clear" w:color="auto" w:fill="auto"/>
        <w:tabs>
          <w:tab w:pos="2453" w:val="left"/>
        </w:tabs>
        <w:bidi w:val="0"/>
        <w:spacing w:before="0" w:after="14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Kizzur Schulchati Aruch</w:t>
      </w:r>
      <w:r>
        <w:rPr>
          <w:color w:val="000000"/>
          <w:spacing w:val="0"/>
          <w:w w:val="100"/>
          <w:position w:val="0"/>
          <w:shd w:val="clear" w:color="auto" w:fill="auto"/>
        </w:rPr>
        <w:t xml:space="preserve"> (ubcrsctzt von S. Bamberger) H, 1969, Ka. 121-133,145-162, 171. 209. 213, 221; </w:t>
      </w:r>
      <w:r>
        <w:rPr>
          <w:i/>
          <w:iCs/>
          <w:color w:val="000000"/>
          <w:spacing w:val="0"/>
          <w:w w:val="100"/>
          <w:position w:val="0"/>
          <w:shd w:val="clear" w:color="auto" w:fill="auto"/>
        </w:rPr>
        <w:t>Encyclo</w:t>
        <w:softHyphen/>
        <w:t>paedia Judaica</w:t>
      </w:r>
      <w:r>
        <w:rPr>
          <w:color w:val="000000"/>
          <w:spacing w:val="0"/>
          <w:w w:val="100"/>
          <w:position w:val="0"/>
          <w:shd w:val="clear" w:color="auto" w:fill="auto"/>
        </w:rPr>
        <w:t xml:space="preserve"> 12, </w:t>
      </w:r>
      <w:r>
        <w:rPr>
          <w:color w:val="000000"/>
          <w:spacing w:val="0"/>
          <w:w w:val="100"/>
          <w:position w:val="0"/>
          <w:shd w:val="clear" w:color="auto" w:fill="auto"/>
          <w:vertAlign w:val="superscript"/>
        </w:rPr>
        <w:t>4</w:t>
      </w:r>
      <w:r>
        <w:rPr>
          <w:color w:val="000000"/>
          <w:spacing w:val="0"/>
          <w:w w:val="100"/>
          <w:position w:val="0"/>
          <w:shd w:val="clear" w:color="auto" w:fill="auto"/>
        </w:rPr>
        <w:t xml:space="preserve">1978, 1141—49; L. Hirsch, </w:t>
      </w:r>
      <w:r>
        <w:rPr>
          <w:i/>
          <w:iCs/>
          <w:color w:val="000000"/>
          <w:spacing w:val="0"/>
          <w:w w:val="100"/>
          <w:position w:val="0"/>
          <w:shd w:val="clear" w:color="auto" w:fill="auto"/>
        </w:rPr>
        <w:t>Jiidische Glaubenswelt,</w:t>
      </w:r>
      <w:r>
        <w:rPr>
          <w:color w:val="000000"/>
          <w:spacing w:val="0"/>
          <w:w w:val="100"/>
          <w:position w:val="0"/>
          <w:shd w:val="clear" w:color="auto" w:fill="auto"/>
        </w:rPr>
        <w:t xml:space="preserve"> 1978.48—55.</w:t>
        <w:tab/>
        <w:t>D. VETTER</w:t>
      </w:r>
    </w:p>
    <w:p>
      <w:pPr>
        <w:pStyle w:val="Style63"/>
        <w:keepNext/>
        <w:keepLines/>
        <w:widowControl w:val="0"/>
        <w:numPr>
          <w:ilvl w:val="0"/>
          <w:numId w:val="521"/>
        </w:numPr>
        <w:shd w:val="clear" w:color="auto" w:fill="auto"/>
        <w:tabs>
          <w:tab w:pos="255" w:val="left"/>
        </w:tabs>
        <w:bidi w:val="0"/>
        <w:spacing w:before="0" w:after="80"/>
        <w:ind w:left="0" w:right="0" w:firstLine="0"/>
        <w:jc w:val="both"/>
      </w:pPr>
      <w:bookmarkStart w:id="337" w:name="bookmark33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3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Izvješće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stvaranju i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padu u grijeh SZ (Post 2,4b-3,24) pokazuje duboko razmišljanje o ljudskoj seksualnosti. Bog nije odobrio čovje</w:t>
        <w:softHyphen/>
        <w:t>kovu samoću i zato mu daje ženu kao ravno</w:t>
        <w:softHyphen/>
        <w:t>pravnu partnericu. Zajednički život bez straha i stida jednoga pred drugim moguć je sve dok muškarac nije htio svoje zatajenje svaliti na svoju suputnicu i time na Boga koji mu je nju dao. Tim grijehom zajedništvo muškarca i že</w:t>
        <w:softHyphen/>
        <w:t>ne poprima crte zloporabe i stupnjevanja. Seksualnost se, dakle, ovdje shvaća kao obo</w:t>
        <w:softHyphen/>
        <w:t>gaćenje bitka koje je Bog htio, ali je čovjeko</w:t>
        <w:softHyphen/>
        <w:t>vim egoizmom postalo povredivo. Blagoslov u Post 1,28 ističe dva spola kao sredstvo plod</w:t>
        <w:softHyphen/>
        <w:t>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Jer SZ shvaća s. kao dar ljudima za zajed</w:t>
        <w:softHyphen/>
        <w:t>ništvo, a zakon koji kažnjava pokazuje brigu oko čuvanja zajedništva od zloporabe spol</w:t>
        <w:softHyphen/>
        <w:t xml:space="preserve">nosti: Onanov se grijeh (Post 38,8 i d.) mora zato tumačiti kao postupak protiv žene koji ugrožava život i kao otimačinu Božjeg prava na potomstvo u svom narodu. Zaštiti ženina položaja služe kazne za preljub, silovanje itd. (Pnz 22,13-29). Upozorenje na rodoskvrnućc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18,6-18) želi sačuvati uređen zajednički život porodice. Seksualnost, dakle, obvezuje čovjeka na odgovornost pred zajedništvom koje je iz nje nastalo.</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naglašava čovjekovu mogućnost da iskusi osobni susret putem seksualnosti koju je Bog darovao (usp. 1 Kor 6,12 i d.). Seksualnost sasvim prožima čovjeka i potpuno ga upućuje na međuljudski susret. Zato se odbacuje indi</w:t>
        <w:softHyphen/>
        <w:t>vidualna, monološka ili anonimna uporaba seksualnosti kao i opoziv konačnog obećanja koje omogućava seksualnost u braku.</w:t>
      </w:r>
    </w:p>
    <w:p>
      <w:pPr>
        <w:pStyle w:val="Style56"/>
        <w:keepNext w:val="0"/>
        <w:keepLines w:val="0"/>
        <w:widowControl w:val="0"/>
        <w:shd w:val="clear" w:color="auto" w:fill="auto"/>
        <w:tabs>
          <w:tab w:pos="2299" w:val="left"/>
        </w:tabs>
        <w:bidi w:val="0"/>
        <w:spacing w:before="0" w:after="140" w:line="240" w:lineRule="auto"/>
        <w:ind w:left="0" w:right="0" w:firstLine="0"/>
        <w:jc w:val="both"/>
        <w:rPr>
          <w:sz w:val="10"/>
          <w:szCs w:val="10"/>
        </w:rPr>
      </w:pPr>
      <w:r>
        <w:rPr>
          <w:color w:val="000000"/>
          <w:spacing w:val="0"/>
          <w:w w:val="100"/>
          <w:position w:val="0"/>
          <w:sz w:val="12"/>
          <w:szCs w:val="12"/>
          <w:shd w:val="clear" w:color="auto" w:fill="auto"/>
          <w:lang w:val="hr-HR" w:eastAsia="hr-HR" w:bidi="hr-HR"/>
        </w:rPr>
        <w:t xml:space="preserve">Lit.: Grabncr-Haidcr (1 </w:t>
      </w:r>
      <w:r>
        <w:rPr>
          <w:color w:val="000000"/>
          <w:spacing w:val="0"/>
          <w:w w:val="100"/>
          <w:position w:val="0"/>
          <w:sz w:val="12"/>
          <w:szCs w:val="12"/>
          <w:shd w:val="clear" w:color="auto" w:fill="auto"/>
        </w:rPr>
        <w:t xml:space="preserve">Irsfi.), </w:t>
      </w:r>
      <w:r>
        <w:rPr>
          <w:i/>
          <w:iCs/>
          <w:color w:val="000000"/>
          <w:spacing w:val="0"/>
          <w:w w:val="100"/>
          <w:position w:val="0"/>
          <w:sz w:val="12"/>
          <w:szCs w:val="12"/>
          <w:shd w:val="clear" w:color="auto" w:fill="auto"/>
        </w:rPr>
        <w:t>Praklisches Bibcllexikon,</w:t>
      </w:r>
      <w:r>
        <w:rPr>
          <w:color w:val="000000"/>
          <w:spacing w:val="0"/>
          <w:w w:val="100"/>
          <w:position w:val="0"/>
          <w:sz w:val="12"/>
          <w:szCs w:val="12"/>
          <w:shd w:val="clear" w:color="auto" w:fill="auto"/>
        </w:rPr>
        <w:t xml:space="preserve"> </w:t>
      </w:r>
      <w:r>
        <w:rPr>
          <w:color w:val="000000"/>
          <w:spacing w:val="0"/>
          <w:w w:val="100"/>
          <w:position w:val="0"/>
          <w:sz w:val="12"/>
          <w:szCs w:val="12"/>
          <w:shd w:val="clear" w:color="auto" w:fill="auto"/>
          <w:lang w:val="hr-HR" w:eastAsia="hr-HR" w:bidi="hr-HR"/>
        </w:rPr>
        <w:t xml:space="preserve">Frei- bur&amp;/Bascl/Wicn 1969; H. Haag (Hrsgj, </w:t>
      </w:r>
      <w:r>
        <w:rPr>
          <w:i/>
          <w:iCs/>
          <w:color w:val="000000"/>
          <w:spacing w:val="0"/>
          <w:w w:val="100"/>
          <w:position w:val="0"/>
          <w:sz w:val="12"/>
          <w:szCs w:val="12"/>
          <w:shd w:val="clear" w:color="auto" w:fill="auto"/>
          <w:lang w:val="hr-HR" w:eastAsia="hr-HR" w:bidi="hr-HR"/>
        </w:rPr>
        <w:t>Bibeileakon.</w:t>
      </w:r>
      <w:r>
        <w:rPr>
          <w:color w:val="000000"/>
          <w:spacing w:val="0"/>
          <w:w w:val="100"/>
          <w:position w:val="0"/>
          <w:sz w:val="12"/>
          <w:szCs w:val="12"/>
          <w:shd w:val="clear" w:color="auto" w:fill="auto"/>
          <w:lang w:val="hr-HR" w:eastAsia="hr-HR" w:bidi="hr-HR"/>
        </w:rPr>
        <w:t xml:space="preserve"> Ein- sicdcln;7.iirich/Kbln 1968.</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G. tilRSCHEK</w:t>
      </w:r>
    </w:p>
    <w:p>
      <w:pPr>
        <w:pStyle w:val="Style63"/>
        <w:keepNext/>
        <w:keepLines/>
        <w:widowControl w:val="0"/>
        <w:numPr>
          <w:ilvl w:val="0"/>
          <w:numId w:val="521"/>
        </w:numPr>
        <w:shd w:val="clear" w:color="auto" w:fill="auto"/>
        <w:tabs>
          <w:tab w:pos="255" w:val="left"/>
        </w:tabs>
        <w:bidi w:val="0"/>
        <w:spacing w:before="0" w:after="80"/>
        <w:ind w:left="0" w:right="0" w:firstLine="0"/>
        <w:jc w:val="both"/>
      </w:pPr>
      <w:bookmarkStart w:id="338" w:name="bookmark338"/>
      <w:r>
        <w:rPr>
          <w:rFonts w:ascii="Times New Roman" w:eastAsia="Times New Roman" w:hAnsi="Times New Roman" w:cs="Times New Roman"/>
          <w:color w:val="000000"/>
          <w:spacing w:val="0"/>
          <w:w w:val="100"/>
          <w:position w:val="0"/>
          <w:shd w:val="clear" w:color="auto" w:fill="auto"/>
          <w:lang w:val="hr-HR" w:eastAsia="hr-HR" w:bidi="hr-HR"/>
        </w:rPr>
        <w:t>islamski</w:t>
      </w:r>
      <w:bookmarkEnd w:id="338"/>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pripada u područje etike. No ona je tako</w:t>
        <w:softHyphen/>
        <w:t>đer predmet prava. Sve vrste seksualnih de</w:t>
        <w:softHyphen/>
        <w:t>likata podliježu kaznenim odredbama koje se strogo oslanjaju na staromojsijevske zakone. Neke su od tih odredbi (npr. kamenovanje zbog brakolomnih radnji) uzete iz tradicije;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one se uopće ne spominju u Kuranu. Islam inače ima prirodan odnos prema spolnosti. Brak kao legitiman oblik zajedničkoga života treba opravdati i s. Okolnosti koje trajno po</w:t>
        <w:softHyphen/>
        <w:t xml:space="preserve">tiskuju s. iz bračnoga života uvijek su razlog za sudsku </w:t>
      </w:r>
      <w:r>
        <w:rPr>
          <w:rFonts w:ascii="Times New Roman" w:eastAsia="Times New Roman" w:hAnsi="Times New Roman" w:cs="Times New Roman"/>
          <w:i/>
          <w:iCs/>
          <w:color w:val="000000"/>
          <w:spacing w:val="0"/>
          <w:w w:val="100"/>
          <w:position w:val="0"/>
          <w:shd w:val="clear" w:color="auto" w:fill="auto"/>
          <w:lang w:val="hr-HR" w:eastAsia="hr-HR" w:bidi="hr-HR"/>
        </w:rPr>
        <w:t>(qdđi)</w:t>
      </w:r>
      <w:r>
        <w:rPr>
          <w:rFonts w:ascii="Times New Roman" w:eastAsia="Times New Roman" w:hAnsi="Times New Roman" w:cs="Times New Roman"/>
          <w:color w:val="000000"/>
          <w:spacing w:val="0"/>
          <w:w w:val="100"/>
          <w:position w:val="0"/>
          <w:shd w:val="clear" w:color="auto" w:fill="auto"/>
          <w:lang w:val="hr-HR" w:eastAsia="hr-HR" w:bidi="hr-HR"/>
        </w:rPr>
        <w:t xml:space="preserve"> rastavu braka. Razdvajanje spolnosti od etike, koje se dogodilo u sekular</w:t>
        <w:softHyphen/>
        <w:t>nim društvima, u islamskoj se teologiji doživ</w:t>
        <w:softHyphen/>
        <w:t>ljava kao teška opačina. Za obične je vjernike karakteristično to što oni u odlučujućoj mjeri prosuđuju ćudorednost na temelju odnosa po</w:t>
        <w:softHyphen/>
        <w:t>jedinca i društva prema spolnosti.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Tworuschka, Scxualitit </w:t>
      </w:r>
      <w:r>
        <w:rPr>
          <w:color w:val="000000"/>
          <w:spacing w:val="0"/>
          <w:w w:val="100"/>
          <w:position w:val="0"/>
          <w:shd w:val="clear" w:color="auto" w:fill="auto"/>
          <w:lang w:val="hr-HR" w:eastAsia="hr-HR" w:bidi="hr-HR"/>
        </w:rPr>
        <w:t xml:space="preserve">im Islam, u: M. Klock- ncr/M. </w:t>
      </w:r>
      <w:r>
        <w:rPr>
          <w:color w:val="000000"/>
          <w:spacing w:val="0"/>
          <w:w w:val="100"/>
          <w:position w:val="0"/>
          <w:shd w:val="clear" w:color="auto" w:fill="auto"/>
        </w:rPr>
        <w:t xml:space="preserve">Tworuschka </w:t>
      </w:r>
      <w:r>
        <w:rPr>
          <w:color w:val="000000"/>
          <w:spacing w:val="0"/>
          <w:w w:val="100"/>
          <w:position w:val="0"/>
          <w:shd w:val="clear" w:color="auto" w:fill="auto"/>
          <w:lang w:val="hr-HR" w:eastAsia="hr-HR" w:bidi="hr-HR"/>
        </w:rPr>
        <w:t xml:space="preserve">(Hrs^.), </w:t>
      </w:r>
      <w:r>
        <w:rPr>
          <w:i/>
          <w:iCs/>
          <w:color w:val="000000"/>
          <w:spacing w:val="0"/>
          <w:w w:val="100"/>
          <w:position w:val="0"/>
          <w:shd w:val="clear" w:color="auto" w:fill="auto"/>
          <w:lang w:val="hr-HR" w:eastAsia="hr-HR" w:bidi="hr-HR"/>
        </w:rPr>
        <w:t>Semalildt,</w:t>
      </w:r>
      <w:r>
        <w:rPr>
          <w:color w:val="000000"/>
          <w:spacing w:val="0"/>
          <w:w w:val="100"/>
          <w:position w:val="0"/>
          <w:shd w:val="clear" w:color="auto" w:fill="auto"/>
          <w:lang w:val="hr-HR" w:eastAsia="hr-HR" w:bidi="hr-HR"/>
        </w:rPr>
        <w:t xml:space="preserve"> Miinchcn 1984.</w:t>
      </w:r>
    </w:p>
    <w:p>
      <w:pPr>
        <w:pStyle w:val="Style74"/>
        <w:keepNext w:val="0"/>
        <w:keepLines w:val="0"/>
        <w:widowControl w:val="0"/>
        <w:shd w:val="clear" w:color="auto" w:fill="auto"/>
        <w:bidi w:val="0"/>
        <w:spacing w:before="0" w:after="200" w:line="29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S.BAl.iĆ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STARI ZAVJET</w:t>
      </w:r>
    </w:p>
    <w:p>
      <w:pPr>
        <w:pStyle w:val="Style63"/>
        <w:keepNext/>
        <w:keepLines/>
        <w:widowControl w:val="0"/>
        <w:numPr>
          <w:ilvl w:val="0"/>
          <w:numId w:val="531"/>
        </w:numPr>
        <w:shd w:val="clear" w:color="auto" w:fill="auto"/>
        <w:tabs>
          <w:tab w:pos="255" w:val="left"/>
        </w:tabs>
        <w:bidi w:val="0"/>
        <w:spacing w:before="0" w:line="223" w:lineRule="auto"/>
        <w:ind w:left="0" w:right="0" w:firstLine="0"/>
        <w:jc w:val="both"/>
      </w:pPr>
      <w:bookmarkStart w:id="339" w:name="bookmark339"/>
      <w:r>
        <w:rPr>
          <w:rFonts w:ascii="Times New Roman" w:eastAsia="Times New Roman" w:hAnsi="Times New Roman" w:cs="Times New Roman"/>
          <w:color w:val="000000"/>
          <w:spacing w:val="0"/>
          <w:w w:val="100"/>
          <w:position w:val="0"/>
          <w:shd w:val="clear" w:color="auto" w:fill="auto"/>
          <w:lang w:val="hr-HR" w:eastAsia="hr-HR" w:bidi="hr-HR"/>
        </w:rPr>
        <w:t>židovski</w:t>
      </w:r>
      <w:bookmarkEnd w:id="339"/>
    </w:p>
    <w:p>
      <w:pPr>
        <w:pStyle w:val="Style20"/>
        <w:keepNext w:val="0"/>
        <w:keepLines w:val="0"/>
        <w:widowControl w:val="0"/>
        <w:shd w:val="clear" w:color="auto" w:fill="auto"/>
        <w:bidi w:val="0"/>
        <w:spacing w:before="0" w:after="100"/>
        <w:ind w:left="0" w:right="0" w:firstLine="0"/>
        <w:jc w:val="both"/>
        <w:sectPr>
          <w:headerReference w:type="default" r:id="rId1383"/>
          <w:footerReference w:type="default" r:id="rId1384"/>
          <w:headerReference w:type="even" r:id="rId1385"/>
          <w:footerReference w:type="even" r:id="rId1386"/>
          <w:headerReference w:type="first" r:id="rId1387"/>
          <w:footerReference w:type="first" r:id="rId1388"/>
          <w:footnotePr>
            <w:pos w:val="pageBottom"/>
            <w:numFmt w:val="decimal"/>
            <w:numRestart w:val="continuous"/>
            <w15:footnoteColumns w:val="1"/>
          </w:footnotePr>
          <w:pgSz w:w="6816" w:h="11006"/>
          <w:pgMar w:top="1000" w:left="194" w:right="196" w:bottom="459" w:header="0" w:footer="3" w:gutter="0"/>
          <w:pgNumType w:start="461"/>
          <w:cols w:num="2" w:space="17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Židovi odbijaju naziv koji se rabi od rane Crkve i potječe 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(2 Kor 3,14): grč. </w:t>
      </w:r>
      <w:r>
        <w:rPr>
          <w:rFonts w:ascii="Times New Roman" w:eastAsia="Times New Roman" w:hAnsi="Times New Roman" w:cs="Times New Roman"/>
          <w:i/>
          <w:iCs/>
          <w:color w:val="000000"/>
          <w:spacing w:val="0"/>
          <w:w w:val="100"/>
          <w:position w:val="0"/>
          <w:shd w:val="clear" w:color="auto" w:fill="auto"/>
          <w:lang w:val="en-US" w:eastAsia="en-US" w:bidi="en-US"/>
        </w:rPr>
        <w:t xml:space="preserve">he- </w:t>
      </w:r>
      <w:r>
        <w:rPr>
          <w:rFonts w:ascii="Times New Roman" w:eastAsia="Times New Roman" w:hAnsi="Times New Roman" w:cs="Times New Roman"/>
          <w:i/>
          <w:iCs/>
          <w:color w:val="000000"/>
          <w:spacing w:val="0"/>
          <w:w w:val="100"/>
          <w:position w:val="0"/>
          <w:shd w:val="clear" w:color="auto" w:fill="auto"/>
          <w:lang w:val="hr-HR" w:eastAsia="hr-HR" w:bidi="hr-HR"/>
        </w:rPr>
        <w:t>palaia diatheke,</w:t>
      </w:r>
      <w:r>
        <w:rPr>
          <w:rFonts w:ascii="Times New Roman" w:eastAsia="Times New Roman" w:hAnsi="Times New Roman" w:cs="Times New Roman"/>
          <w:color w:val="000000"/>
          <w:spacing w:val="0"/>
          <w:w w:val="100"/>
          <w:position w:val="0"/>
          <w:shd w:val="clear" w:color="auto" w:fill="auto"/>
          <w:lang w:val="hr-HR" w:eastAsia="hr-HR" w:bidi="hr-HR"/>
        </w:rPr>
        <w:t xml:space="preserve"> lat. Ue/us </w:t>
      </w:r>
      <w:r>
        <w:rPr>
          <w:rFonts w:ascii="Times New Roman" w:eastAsia="Times New Roman" w:hAnsi="Times New Roman" w:cs="Times New Roman"/>
          <w:i/>
          <w:iCs/>
          <w:color w:val="000000"/>
          <w:spacing w:val="0"/>
          <w:w w:val="100"/>
          <w:position w:val="0"/>
          <w:shd w:val="clear" w:color="auto" w:fill="auto"/>
          <w:lang w:val="en-US" w:eastAsia="en-US" w:bidi="en-US"/>
        </w:rPr>
        <w:t>Testamentum,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»Knji</w:t>
        <w:softHyphen/>
        <w:t>ge staroga Saveza« za zbirku izraelsko-židov- skih knjiga. Naime, on ističe suprotnost izme</w:t>
        <w:softHyphen/>
        <w:t>đu »staroga Saveza« koji je Bog sklopio s iza</w:t>
        <w:softHyphen/>
        <w:t>branim narodom na Sinaju (Izl 19; 24) i »no</w:t>
        <w:softHyphen/>
        <w:t xml:space="preserve">voga Saveza« u Isusu Kristu na koji upućuje Jr 31,31 prema starocrkvenoj egzegezi (I.k 22,22; 1 Kor 11,25) i time uključuje priznavanje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 </w:t>
      </w:r>
      <w:r>
        <w:rPr>
          <w:rFonts w:ascii="Times New Roman" w:eastAsia="Times New Roman" w:hAnsi="Times New Roman" w:cs="Times New Roman"/>
          <w:color w:val="000000"/>
          <w:spacing w:val="0"/>
          <w:w w:val="100"/>
          <w:position w:val="0"/>
          <w:shd w:val="clear" w:color="auto" w:fill="auto"/>
          <w:lang w:val="en-US" w:eastAsia="en-US" w:bidi="en-US"/>
        </w:rPr>
        <w:t xml:space="preserve">r/yebiblijske </w:t>
      </w:r>
      <w:r>
        <w:rPr>
          <w:rFonts w:ascii="Times New Roman" w:eastAsia="Times New Roman" w:hAnsi="Times New Roman" w:cs="Times New Roman"/>
          <w:color w:val="000000"/>
          <w:spacing w:val="0"/>
          <w:w w:val="100"/>
          <w:position w:val="0"/>
          <w:shd w:val="clear" w:color="auto" w:fill="auto"/>
          <w:lang w:val="hr-HR" w:eastAsia="hr-HR" w:bidi="hr-HR"/>
        </w:rPr>
        <w:t>objave djelovanja Boga i mesijan</w:t>
        <w:softHyphen/>
        <w:t>stva Isusa iz Nazareta. Kršćansko tumačenje doista je bilo prihvatilo ne samo židovsku Bib</w:t>
        <w:softHyphen/>
        <w:t>liju nego je i živi uzajamni odnos te Biblije i Novoga zavjeta pretvorilo ubrzo u krutu alter</w:t>
        <w:softHyphen/>
        <w:t xml:space="preserve">nativu. Kod Marciona pavlovska se dijalektika odnosa i distance raspala na »proturječja«; to shvaćanje »SZ« kao židovske knjige u kojoj se susreće samo Bog zakona, nastavilo je živjeti i u XX. stoljeću </w:t>
      </w:r>
      <w:r>
        <w:rPr>
          <w:rFonts w:ascii="Times New Roman" w:eastAsia="Times New Roman" w:hAnsi="Times New Roman" w:cs="Times New Roman"/>
          <w:color w:val="000000"/>
          <w:spacing w:val="0"/>
          <w:w w:val="100"/>
          <w:position w:val="0"/>
          <w:shd w:val="clear" w:color="auto" w:fill="auto"/>
          <w:lang w:val="en-US" w:eastAsia="en-US" w:bidi="en-US"/>
        </w:rPr>
        <w:t xml:space="preserve">(Emanuel </w:t>
      </w:r>
      <w:r>
        <w:rPr>
          <w:rFonts w:ascii="Times New Roman" w:eastAsia="Times New Roman" w:hAnsi="Times New Roman" w:cs="Times New Roman"/>
          <w:color w:val="000000"/>
          <w:spacing w:val="0"/>
          <w:w w:val="100"/>
          <w:position w:val="0"/>
          <w:shd w:val="clear" w:color="auto" w:fill="auto"/>
          <w:lang w:val="hr-HR" w:eastAsia="hr-HR" w:bidi="hr-HR"/>
        </w:rPr>
        <w:t xml:space="preserve">Hirsch,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Alte Testament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Predigt des Evangeliums, </w:t>
      </w:r>
      <w:r>
        <w:rPr>
          <w:rFonts w:ascii="Times New Roman" w:eastAsia="Times New Roman" w:hAnsi="Times New Roman" w:cs="Times New Roman"/>
          <w:color w:val="000000"/>
          <w:spacing w:val="0"/>
          <w:w w:val="100"/>
          <w:position w:val="0"/>
          <w:shd w:val="clear" w:color="auto" w:fill="auto"/>
          <w:lang w:val="en-US" w:eastAsia="en-US" w:bidi="en-US"/>
        </w:rPr>
        <w:t xml:space="preserve">1936). </w:t>
      </w:r>
      <w:r>
        <w:rPr>
          <w:rFonts w:ascii="Times New Roman" w:eastAsia="Times New Roman" w:hAnsi="Times New Roman" w:cs="Times New Roman"/>
          <w:color w:val="000000"/>
          <w:spacing w:val="0"/>
          <w:w w:val="100"/>
          <w:position w:val="0"/>
          <w:shd w:val="clear" w:color="auto" w:fill="auto"/>
          <w:lang w:val="hr-HR" w:eastAsia="hr-HR" w:bidi="hr-HR"/>
        </w:rPr>
        <w:t>Drugo shvaćanje odriče Židovima »S. z.« i tvrdi da je to isključivo kršćanska knjiga (I Klem 2,8 i d.; 4,1-13; 7,5-8,4 itd.); tek krš</w:t>
        <w:softHyphen/>
        <w:t>ćanska Crkva, kako se navodi, pravovaljano tumači »S. z.« koji su Zidovi uvijek krivo shva</w:t>
        <w:softHyphen/>
        <w:t>ćali (Bam 2,4 - pogl. 17), kao preuzeto na</w:t>
        <w:softHyphen/>
        <w:t xml:space="preserve">slijeđe Saveza koje su Židovi zauvijek izgubili </w:t>
      </w:r>
      <w:r>
        <w:rPr>
          <w:rFonts w:ascii="Times New Roman" w:eastAsia="Times New Roman" w:hAnsi="Times New Roman" w:cs="Times New Roman"/>
          <w:color w:val="000000"/>
          <w:spacing w:val="0"/>
          <w:w w:val="100"/>
          <w:position w:val="0"/>
          <w:shd w:val="clear" w:color="auto" w:fill="auto"/>
          <w:lang w:val="en-US" w:eastAsia="en-US" w:bidi="en-US"/>
        </w:rPr>
        <w:t xml:space="preserve">(Barn </w:t>
      </w:r>
      <w:r>
        <w:rPr>
          <w:rFonts w:ascii="Times New Roman" w:eastAsia="Times New Roman" w:hAnsi="Times New Roman" w:cs="Times New Roman"/>
          <w:color w:val="000000"/>
          <w:spacing w:val="0"/>
          <w:w w:val="100"/>
          <w:position w:val="0"/>
          <w:shd w:val="clear" w:color="auto" w:fill="auto"/>
          <w:lang w:val="hr-HR" w:eastAsia="hr-HR" w:bidi="hr-HR"/>
        </w:rPr>
        <w:t>4,6-8; 14); kršćani su se toliko naslušali Boga, odnosno Krista, kako im govori iz »Pis</w:t>
        <w:softHyphen/>
        <w:t>ma« u sadašnjost da im je iz svijesti potpuno nestala veza »Staroga zavjeta« sa židovskim narodom (II Klem 2,1; 6,8; 14,1 i d., usp. 15,3;</w:t>
      </w:r>
    </w:p>
    <w:p>
      <w:pPr>
        <w:pStyle w:val="Style20"/>
        <w:keepNext w:val="0"/>
        <w:keepLines w:val="0"/>
        <w:widowControl w:val="0"/>
        <w:shd w:val="clear" w:color="auto" w:fill="auto"/>
        <w:tabs>
          <w:tab w:pos="2453" w:val="left"/>
        </w:tabs>
        <w:bidi w:val="0"/>
        <w:spacing w:before="0" w:after="120"/>
        <w:ind w:left="0" w:right="0" w:firstLine="0"/>
        <w:jc w:val="both"/>
        <w:rPr>
          <w:sz w:val="10"/>
          <w:szCs w:val="10"/>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13,2; 17,4). I ponovno otkrivanje »Staroga zavjeta« za kršćansku, prije svega protestant</w:t>
        <w:softHyphen/>
        <w:t xml:space="preserve">sku teologiju razvija se u veliku širinu i dubinu s unaprijed stvorenim zaključkom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(Gerhard von </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Rad,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Martin Noth) </w:t>
      </w:r>
      <w:r>
        <w:rPr>
          <w:rFonts w:ascii="Times New Roman" w:eastAsia="Times New Roman" w:hAnsi="Times New Roman" w:cs="Times New Roman"/>
          <w:color w:val="000000"/>
          <w:spacing w:val="0"/>
          <w:w w:val="100"/>
          <w:position w:val="0"/>
          <w:sz w:val="15"/>
          <w:szCs w:val="15"/>
          <w:shd w:val="clear" w:color="auto" w:fill="auto"/>
          <w:lang w:val="hr-HR" w:eastAsia="hr-HR" w:bidi="hr-HR"/>
        </w:rPr>
        <w:t>da svi događaji o ko</w:t>
        <w:softHyphen/>
        <w:t>jima se u njemu izvješćuje i koji se najavljuju vode u Novi zavjet i ondje se ispunjavaju. Oni kršćani koji u »Holokaustu« prepoznaju pre</w:t>
        <w:softHyphen/>
        <w:t>kretnicu u povijesti odnosa crkve prema sina</w:t>
        <w:softHyphen/>
        <w:t>gogi i nastoje steći novi teološki odnos pre</w:t>
        <w:softHyphen/>
        <w:t>ma židovstvu, sjećaju se zajedničke hebrejske Biblije Židova i kršćana i upoznaju se s činje</w:t>
        <w:softHyphen/>
        <w:t>nicom o dvostrukoj kasnijoj povijesti u tal</w:t>
        <w:softHyphen/>
        <w:t>mudskoj literaturi i sinagogi s jedne strane te u Novom zavjetu i crkvi s druge strane: »S. z. i židovska tradicija koja se na njemu temelji ne smiju se suprotstaviti Novom zavjetu« (Smjer</w:t>
        <w:softHyphen/>
        <w:t>nice i upute za koncilsku deklaraciju »Nostra aetate«, članak 4; usp. Deklaraciju njemačkih biskupa o odnosu Crkve prema židovstvu, 1980). »Naziv Novi zavjet (ne smije) značiti obezvređivanje Staroga zavjeta« (Sinodalni zaključak Evangeličke crkve u Porajnju 1980, II. 1). »Novi« ne zamjenjuje »Stari« (zaključak Zemaljske sinode Evangeličke zemaljske crkve u Badenu, 1984, 2.). Umjesto o »Starom za</w:t>
        <w:softHyphen/>
        <w:t>vjetu« Židovi govore o TcNaK-u (Tcnah), vo- kaliziranoj kratici Tore (Post-Pnz), Ncviim (Proroci, raniji: Jš - 2 Kr, kasni: Iz, Jr, Ez, Knjiga o dvanaestorici proroka) i Ketuvim (tekstovi: Ps - Ljet). -&gt; Sveto pismo, Ka</w:t>
        <w:softHyphen/>
        <w:t>non.</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D. VIHTER</w:t>
      </w:r>
    </w:p>
    <w:p>
      <w:pPr>
        <w:pStyle w:val="Style63"/>
        <w:keepNext/>
        <w:keepLines/>
        <w:widowControl w:val="0"/>
        <w:numPr>
          <w:ilvl w:val="0"/>
          <w:numId w:val="531"/>
        </w:numPr>
        <w:shd w:val="clear" w:color="auto" w:fill="auto"/>
        <w:tabs>
          <w:tab w:pos="265" w:val="left"/>
        </w:tabs>
        <w:bidi w:val="0"/>
        <w:spacing w:before="0"/>
        <w:ind w:left="0" w:right="0" w:firstLine="0"/>
        <w:jc w:val="both"/>
      </w:pPr>
      <w:bookmarkStart w:id="340" w:name="bookmark34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4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z. ili stari Savez u kršćanskoj se teologiji shvaća u dvojakom smislu: jednom kao </w:t>
      </w:r>
      <w:r>
        <w:rPr>
          <w:rFonts w:ascii="Times New Roman" w:eastAsia="Times New Roman" w:hAnsi="Times New Roman" w:cs="Times New Roman"/>
          <w:i/>
          <w:iCs/>
          <w:color w:val="000000"/>
          <w:spacing w:val="0"/>
          <w:w w:val="100"/>
          <w:position w:val="0"/>
          <w:shd w:val="clear" w:color="auto" w:fill="auto"/>
          <w:lang w:val="hr-HR" w:eastAsia="hr-HR" w:bidi="hr-HR"/>
        </w:rPr>
        <w:t>povi- jesno-spasenjsko</w:t>
      </w:r>
      <w:r>
        <w:rPr>
          <w:rFonts w:ascii="Times New Roman" w:eastAsia="Times New Roman" w:hAnsi="Times New Roman" w:cs="Times New Roman"/>
          <w:color w:val="000000"/>
          <w:spacing w:val="0"/>
          <w:w w:val="100"/>
          <w:position w:val="0"/>
          <w:shd w:val="clear" w:color="auto" w:fill="auto"/>
          <w:lang w:val="hr-HR" w:eastAsia="hr-HR" w:bidi="hr-HR"/>
        </w:rPr>
        <w:t xml:space="preserve"> razdoblje koje počinje Božjim savezom s Abrahamom, vodi preko izlaska iz Egipta i sklapanja Saveza na Sinaju, obuhva</w:t>
        <w:softHyphen/>
        <w:t>ća naviještanje proroka, a Isusovom smrću i uskrsnućem završava u novom Savezu; drugi put kao zbirka židovskih.</w:t>
      </w:r>
      <w:r>
        <w:rPr>
          <w:rFonts w:ascii="Times New Roman" w:eastAsia="Times New Roman" w:hAnsi="Times New Roman" w:cs="Times New Roman"/>
          <w:i/>
          <w:iCs/>
          <w:color w:val="000000"/>
          <w:spacing w:val="0"/>
          <w:w w:val="100"/>
          <w:position w:val="0"/>
          <w:shd w:val="clear" w:color="auto" w:fill="auto"/>
          <w:lang w:val="hr-HR" w:eastAsia="hr-HR" w:bidi="hr-HR"/>
        </w:rPr>
        <w:t>vvelih zapisa.</w:t>
      </w:r>
      <w:r>
        <w:rPr>
          <w:rFonts w:ascii="Times New Roman" w:eastAsia="Times New Roman" w:hAnsi="Times New Roman" w:cs="Times New Roman"/>
          <w:color w:val="000000"/>
          <w:spacing w:val="0"/>
          <w:w w:val="100"/>
          <w:position w:val="0"/>
          <w:shd w:val="clear" w:color="auto" w:fill="auto"/>
          <w:lang w:val="hr-HR" w:eastAsia="hr-HR" w:bidi="hr-HR"/>
        </w:rPr>
        <w:t xml:space="preserve"> U ovom drugom smislu u Novom zavjetu nalaze se brojna upućivanja na »Pisma« (I Kor 15,3), na »Mojsijev zakon, Proroke i Psalme« (Lk 24,44). Sam Isus, prvi učenici i judeokršćani pod »Pismom« razumijevaju knjige Staroga zavjeta, što je samo po sebi sasvim razumljivo, pri čemu, u ono doba, točni opseg i pripad</w:t>
        <w:softHyphen/>
        <w:t>nost pojedinačnih navedenih Pisama kanonu Staroga zavjeta još nisu bili razlučeni. O tim je Pismima rečeno: »Svakoje pismo od Boga na</w:t>
        <w:softHyphen/>
      </w:r>
      <w:r>
        <w:rPr>
          <w:rFonts w:ascii="Times New Roman" w:eastAsia="Times New Roman" w:hAnsi="Times New Roman" w:cs="Times New Roman"/>
          <w:color w:val="000000"/>
          <w:spacing w:val="0"/>
          <w:w w:val="100"/>
          <w:position w:val="0"/>
          <w:shd w:val="clear" w:color="auto" w:fill="auto"/>
          <w:lang w:val="hr-HR" w:eastAsia="hr-HR" w:bidi="hr-HR"/>
        </w:rPr>
        <w:t>dahnuto i korisno za pouku, za karanje, za po</w:t>
        <w:softHyphen/>
        <w:t>pravljanje i odgajanje u pravednosti« (2 Tim 3,16). U novozavjetnim Pismima ulaže se na</w:t>
        <w:softHyphen/>
        <w:t>por da se starozavjetna mjesta u Pismima po</w:t>
        <w:softHyphen/>
        <w:t>kažu kao ispunjena u događaju Isusa. Kad je nastao vlastiti novozavjetni kanon, razlučuje se ono što se odnosi na »novi Savez« (Jer 31,31 i d.) i ostale iskaze Staroga zavjeta o Novom zavjetu.U činjenici da većina Židova nije prihvaćala Isusa, Pavao vidi kao neko po</w:t>
        <w:softHyphen/>
        <w:t>krivalo koje zastirc pogled Židova na razu</w:t>
        <w:softHyphen/>
        <w:t>mijevanje Pisma (2 Kor 3,13-16) i sprečava »ispravno shvaćanje«. Time je naznačen ras</w:t>
        <w:softHyphen/>
        <w:t>kid koji se zlokobno produbljuje tijekom crkve</w:t>
        <w:softHyphen/>
        <w:t xml:space="preserve">ne povijesti. </w:t>
      </w:r>
      <w:r>
        <w:rPr>
          <w:rFonts w:ascii="Times New Roman" w:eastAsia="Times New Roman" w:hAnsi="Times New Roman" w:cs="Times New Roman"/>
          <w:i/>
          <w:iCs/>
          <w:color w:val="000000"/>
          <w:spacing w:val="0"/>
          <w:w w:val="100"/>
          <w:position w:val="0"/>
          <w:shd w:val="clear" w:color="auto" w:fill="auto"/>
          <w:lang w:val="hr-HR" w:eastAsia="hr-HR" w:bidi="hr-HR"/>
        </w:rPr>
        <w:t>Oblikovanje kanona</w:t>
      </w:r>
      <w:r>
        <w:rPr>
          <w:rFonts w:ascii="Times New Roman" w:eastAsia="Times New Roman" w:hAnsi="Times New Roman" w:cs="Times New Roman"/>
          <w:color w:val="000000"/>
          <w:spacing w:val="0"/>
          <w:w w:val="100"/>
          <w:position w:val="0"/>
          <w:shd w:val="clear" w:color="auto" w:fill="auto"/>
          <w:lang w:val="hr-HR" w:eastAsia="hr-HR" w:bidi="hr-HR"/>
        </w:rPr>
        <w:t xml:space="preserve"> Staroga za</w:t>
        <w:softHyphen/>
        <w:t>vjeta, koje još nije bilo zaključeno u Isusovo doba, dovršeno je nakon razorcnja Hrama otprilike pri kraju I. stoljeća pr. Kr. u Jamniji (Jabne). Hebrejski -&gt; kanon (Tenah) razliku</w:t>
        <w:softHyphen/>
        <w:t>je se od grčko-Iatinskoga kanona koji polazi od Septuaginte i koji je prihvatio deuteroka- nonske (odnosno apokrifne) knjige kao što su Tobija, Judita, Mudre izreke, Isus Sirahov, Baruh i obje Knjige o Makabcjcima. Rcfor- macijski kanon slaže se po broju knjiga s he</w:t>
        <w:softHyphen/>
        <w:t>brejskim kanonom, a razlikuje se samo po re</w:t>
        <w:softHyphen/>
        <w:t>doslijedu knjiga.</w:t>
      </w:r>
    </w:p>
    <w:p>
      <w:pPr>
        <w:pStyle w:val="Style20"/>
        <w:keepNext w:val="0"/>
        <w:keepLines w:val="0"/>
        <w:widowControl w:val="0"/>
        <w:shd w:val="clear" w:color="auto" w:fill="auto"/>
        <w:bidi w:val="0"/>
        <w:spacing w:before="0" w:after="80"/>
        <w:ind w:left="0" w:right="0" w:firstLine="0"/>
        <w:jc w:val="both"/>
        <w:sectPr>
          <w:headerReference w:type="default" r:id="rId1389"/>
          <w:footerReference w:type="default" r:id="rId1390"/>
          <w:headerReference w:type="even" r:id="rId1391"/>
          <w:footerReference w:type="even" r:id="rId1392"/>
          <w:footnotePr>
            <w:pos w:val="pageBottom"/>
            <w:numFmt w:val="decimal"/>
            <w:numRestart w:val="continuous"/>
            <w15:footnoteColumns w:val="1"/>
          </w:footnotePr>
          <w:type w:val="continuous"/>
          <w:pgSz w:w="6816" w:h="11006"/>
          <w:pgMar w:top="1000" w:left="194" w:right="196" w:bottom="459" w:header="0" w:footer="31" w:gutter="0"/>
          <w:cols w:num="2" w:space="17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kršćanskoj se teologiji S. z. uvijek drži za svetu od Boga nadahnutu knjigu. Marcionov pokušaj u II. stoljeću da razlikuje »Boga Sta</w:t>
        <w:softHyphen/>
        <w:t>roga zavjeta« kao Boga osvete od »Boga No</w:t>
        <w:softHyphen/>
        <w:t>voga zavjeta« kao Boga ljubavi, Crkva je od</w:t>
        <w:softHyphen/>
        <w:t>bacila. Počam od crkvenih otaca, S. z. se obraduje u kršćanskoj egzegezi i koristi kao temelj da bi se dokazalo kako se proročka po</w:t>
        <w:softHyphen/>
        <w:t>ruka ispunila u Isusu i kako je etička poruka Staroga zavjeta nadmašena u Novom zavjetu. Pritom dolazi, pa i u najnovijoj prošlosti, do zloporabe koja izobličava i apologetički izvrće starozavjetne tekstove i tradicije. Daljnje po</w:t>
        <w:softHyphen/>
        <w:t>stojanje židovstva istodobno s kršćanstvom te činjenica da Židovi samostalno i dostatno upotrebljavaju Božju objavu, ili se ignorira ili se pobija kao sablazan. Tek u najnovije vri</w:t>
        <w:softHyphen/>
        <w:t>jeme ima nekih pokušaja u kršćanskoj egze</w:t>
        <w:softHyphen/>
        <w:t>gezi da se uzima na znanje obilje židovskih tradicija u izlaganju teksta Staroga zavjeta. To ide zajedno sa sve jačim pozivanjem na S. z. u kršćanskoj teologiji uslijed novoga kršćanskog promišljanja odnosa Crkve prema Židovima (novo promišljanje nakon događaja »holo</w:t>
        <w:softHyphen/>
        <w:t xml:space="preserve">kausta«). U kršćanskoj liturgiji Stari je zavjet </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uvijek imao stalno mjesto u čitanjima i molit</w:t>
        <w:softHyphen/>
        <w:t>vama (molitva psalama kao molitva Crkve i redovnika). U nedogled ide udio Staroga za</w:t>
        <w:softHyphen/>
        <w:t>vjeta u kršćanskoj umjetnosti, slikarstvu, ki</w:t>
        <w:softHyphen/>
        <w:t>parstvu i literaturi.</w:t>
      </w:r>
    </w:p>
    <w:p>
      <w:pPr>
        <w:pStyle w:val="Style56"/>
        <w:keepNext w:val="0"/>
        <w:keepLines w:val="0"/>
        <w:widowControl w:val="0"/>
        <w:shd w:val="clear" w:color="auto" w:fill="auto"/>
        <w:tabs>
          <w:tab w:pos="2520" w:val="left"/>
        </w:tabs>
        <w:bidi w:val="0"/>
        <w:spacing w:before="0" w:after="30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Noth, </w:t>
      </w:r>
      <w:r>
        <w:rPr>
          <w:i/>
          <w:iCs/>
          <w:color w:val="000000"/>
          <w:spacing w:val="0"/>
          <w:w w:val="100"/>
          <w:position w:val="0"/>
          <w:shd w:val="clear" w:color="auto" w:fill="auto"/>
        </w:rPr>
        <w:t xml:space="preserve">Gesammelte Studien zum Allen </w:t>
      </w:r>
      <w:r>
        <w:rPr>
          <w:i/>
          <w:iCs/>
          <w:color w:val="000000"/>
          <w:spacing w:val="0"/>
          <w:w w:val="100"/>
          <w:position w:val="0"/>
          <w:shd w:val="clear" w:color="auto" w:fill="auto"/>
          <w:lang w:val="hr-HR" w:eastAsia="hr-HR" w:bidi="hr-HR"/>
        </w:rPr>
        <w:t xml:space="preserve">Testament, </w:t>
      </w:r>
      <w:r>
        <w:rPr>
          <w:color w:val="000000"/>
          <w:spacing w:val="0"/>
          <w:w w:val="100"/>
          <w:position w:val="0"/>
          <w:shd w:val="clear" w:color="auto" w:fill="auto"/>
          <w:lang w:val="hr-HR" w:eastAsia="hr-HR" w:bidi="hr-HR"/>
        </w:rPr>
        <w:t xml:space="preserve">Munchen I960; </w:t>
      </w:r>
      <w:r>
        <w:rPr>
          <w:i/>
          <w:iCs/>
          <w:color w:val="000000"/>
          <w:spacing w:val="0"/>
          <w:w w:val="100"/>
          <w:position w:val="0"/>
          <w:shd w:val="clear" w:color="auto" w:fill="auto"/>
          <w:lang w:val="hr-HR" w:eastAsia="hr-HR" w:bidi="hr-HR"/>
        </w:rPr>
        <w:t>G.</w:t>
      </w:r>
      <w:r>
        <w:rPr>
          <w:color w:val="000000"/>
          <w:spacing w:val="0"/>
          <w:w w:val="100"/>
          <w:position w:val="0"/>
          <w:shd w:val="clear" w:color="auto" w:fill="auto"/>
          <w:lang w:val="hr-HR" w:eastAsia="hr-HR" w:bidi="hr-HR"/>
        </w:rPr>
        <w:t xml:space="preserve"> v, Rad, </w:t>
      </w:r>
      <w:r>
        <w:rPr>
          <w:i/>
          <w:iCs/>
          <w:color w:val="000000"/>
          <w:spacing w:val="0"/>
          <w:w w:val="100"/>
          <w:position w:val="0"/>
          <w:shd w:val="clear" w:color="auto" w:fill="auto"/>
        </w:rPr>
        <w:t xml:space="preserve">Theologie des Alien </w:t>
      </w:r>
      <w:r>
        <w:rPr>
          <w:i/>
          <w:iCs/>
          <w:color w:val="000000"/>
          <w:spacing w:val="0"/>
          <w:w w:val="100"/>
          <w:position w:val="0"/>
          <w:shd w:val="clear" w:color="auto" w:fill="auto"/>
          <w:lang w:val="hr-HR" w:eastAsia="hr-HR" w:bidi="hr-HR"/>
        </w:rPr>
        <w:t>Testamenta (2</w:t>
      </w:r>
      <w:r>
        <w:rPr>
          <w:color w:val="000000"/>
          <w:spacing w:val="0"/>
          <w:w w:val="100"/>
          <w:position w:val="0"/>
          <w:shd w:val="clear" w:color="auto" w:fill="auto"/>
          <w:lang w:val="hr-HR" w:eastAsia="hr-HR" w:bidi="hr-HR"/>
        </w:rPr>
        <w:t xml:space="preserve"> Bde.). Munchen 1960; K. H. </w:t>
      </w:r>
      <w:r>
        <w:rPr>
          <w:color w:val="000000"/>
          <w:spacing w:val="0"/>
          <w:w w:val="100"/>
          <w:position w:val="0"/>
          <w:shd w:val="clear" w:color="auto" w:fill="auto"/>
        </w:rPr>
        <w:t xml:space="preserve">Miskottc, </w:t>
      </w:r>
      <w:r>
        <w:rPr>
          <w:i/>
          <w:iCs/>
          <w:color w:val="000000"/>
          <w:spacing w:val="0"/>
          <w:w w:val="100"/>
          <w:position w:val="0"/>
          <w:shd w:val="clear" w:color="auto" w:fill="auto"/>
        </w:rPr>
        <w:t xml:space="preserve">Vom Sinn </w:t>
      </w:r>
      <w:r>
        <w:rPr>
          <w:i/>
          <w:iCs/>
          <w:color w:val="000000"/>
          <w:spacing w:val="0"/>
          <w:w w:val="100"/>
          <w:position w:val="0"/>
          <w:shd w:val="clear" w:color="auto" w:fill="auto"/>
          <w:lang w:val="hr-HR" w:eastAsia="hr-HR" w:bidi="hr-HR"/>
        </w:rPr>
        <w:t xml:space="preserve">da </w:t>
      </w:r>
      <w:r>
        <w:rPr>
          <w:i/>
          <w:iCs/>
          <w:color w:val="000000"/>
          <w:spacing w:val="0"/>
          <w:w w:val="100"/>
          <w:position w:val="0"/>
          <w:shd w:val="clear" w:color="auto" w:fill="auto"/>
        </w:rPr>
        <w:t>Al</w:t>
        <w:softHyphen/>
        <w:t xml:space="preserve">ien </w:t>
      </w:r>
      <w:r>
        <w:rPr>
          <w:i/>
          <w:iCs/>
          <w:color w:val="000000"/>
          <w:spacing w:val="0"/>
          <w:w w:val="100"/>
          <w:position w:val="0"/>
          <w:shd w:val="clear" w:color="auto" w:fill="auto"/>
          <w:lang w:val="hr-HR" w:eastAsia="hr-HR" w:bidi="hr-HR"/>
        </w:rPr>
        <w:t>Testamentes,</w:t>
      </w:r>
      <w:r>
        <w:rPr>
          <w:color w:val="000000"/>
          <w:spacing w:val="0"/>
          <w:w w:val="100"/>
          <w:position w:val="0"/>
          <w:shd w:val="clear" w:color="auto" w:fill="auto"/>
          <w:lang w:val="hr-HR" w:eastAsia="hr-HR" w:bidi="hr-HR"/>
        </w:rPr>
        <w:t xml:space="preserve"> Munchen 1963; H. </w:t>
      </w:r>
      <w:r>
        <w:rPr>
          <w:color w:val="000000"/>
          <w:spacing w:val="0"/>
          <w:w w:val="100"/>
          <w:position w:val="0"/>
          <w:shd w:val="clear" w:color="auto" w:fill="auto"/>
        </w:rPr>
        <w:t xml:space="preserve">W. Wolff. </w:t>
      </w:r>
      <w:r>
        <w:rPr>
          <w:i/>
          <w:iCs/>
          <w:color w:val="000000"/>
          <w:spacing w:val="0"/>
          <w:w w:val="100"/>
          <w:position w:val="0"/>
          <w:shd w:val="clear" w:color="auto" w:fill="auto"/>
          <w:lang w:val="hr-HR" w:eastAsia="hr-HR" w:bidi="hr-HR"/>
        </w:rPr>
        <w:t xml:space="preserve">Bibel. Das Alte </w:t>
      </w:r>
      <w:r>
        <w:rPr>
          <w:i/>
          <w:iCs/>
          <w:color w:val="000000"/>
          <w:spacing w:val="0"/>
          <w:w w:val="100"/>
          <w:position w:val="0"/>
          <w:shd w:val="clear" w:color="auto" w:fill="auto"/>
        </w:rPr>
        <w:t>Testament,</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1970.</w:t>
        <w:tab/>
        <w:t xml:space="preserve">G. </w:t>
      </w:r>
      <w:r>
        <w:rPr>
          <w:color w:val="000000"/>
          <w:spacing w:val="0"/>
          <w:w w:val="100"/>
          <w:position w:val="0"/>
          <w:shd w:val="clear" w:color="auto" w:fill="auto"/>
        </w:rPr>
        <w:t>EVERS</w:t>
      </w:r>
    </w:p>
    <w:p>
      <w:pPr>
        <w:pStyle w:val="Style63"/>
        <w:keepNext/>
        <w:keepLines/>
        <w:widowControl w:val="0"/>
        <w:numPr>
          <w:ilvl w:val="0"/>
          <w:numId w:val="531"/>
        </w:numPr>
        <w:shd w:val="clear" w:color="auto" w:fill="auto"/>
        <w:tabs>
          <w:tab w:pos="260" w:val="left"/>
        </w:tabs>
        <w:bidi w:val="0"/>
        <w:spacing w:before="0" w:after="120" w:line="223" w:lineRule="auto"/>
        <w:ind w:left="0" w:right="0" w:firstLine="0"/>
        <w:jc w:val="both"/>
      </w:pPr>
      <w:bookmarkStart w:id="341" w:name="bookmark341"/>
      <w:r>
        <w:rPr>
          <w:rFonts w:ascii="Times New Roman" w:eastAsia="Times New Roman" w:hAnsi="Times New Roman" w:cs="Times New Roman"/>
          <w:color w:val="000000"/>
          <w:spacing w:val="0"/>
          <w:w w:val="100"/>
          <w:position w:val="0"/>
          <w:shd w:val="clear" w:color="auto" w:fill="auto"/>
          <w:lang w:val="hr-HR" w:eastAsia="hr-HR" w:bidi="hr-HR"/>
        </w:rPr>
        <w:t>islamski</w:t>
      </w:r>
      <w:bookmarkEnd w:id="34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z. je poznat islamu pod nazivom Tevrat (To</w:t>
        <w:softHyphen/>
        <w:t xml:space="preserve">ra). Njime se označuje ukupnost židovskih svetih spisa, a pojavljuje se i kod Židova (v. Bachcr, </w:t>
      </w:r>
      <w:r>
        <w:rPr>
          <w:rFonts w:ascii="Times New Roman" w:eastAsia="Times New Roman" w:hAnsi="Times New Roman" w:cs="Times New Roman"/>
          <w:i/>
          <w:iCs/>
          <w:color w:val="000000"/>
          <w:spacing w:val="0"/>
          <w:w w:val="100"/>
          <w:position w:val="0"/>
          <w:shd w:val="clear" w:color="auto" w:fill="auto"/>
          <w:lang w:val="en-US" w:eastAsia="en-US" w:bidi="en-US"/>
        </w:rPr>
        <w:t xml:space="preserve">Exegetische Terminologie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197). Je</w:t>
        <w:softHyphen/>
        <w:t>dino psalmi nose ime Zebur.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Kuranu, iskrene sljedbenike Staroga zavjeta neće kod Boga zaobići njihova pra</w:t>
        <w:softHyphen/>
        <w:t>vedna nagrada (5,70). No »magarcu koji nosi knjige« (62,5) jednaki su oni koji nauke svetih knjiga ne izvršavaju s ćudorednom ozbilj</w:t>
        <w:softHyphen/>
        <w:t>nošću.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Mnoštvo propisa, koji su sadržani u Starom zavjetu, poticalo je muslimane na bavljenje pi</w:t>
        <w:softHyphen/>
        <w:t>tanjem, kako to da njihova nagrada kod Boga može biti veća od nagrade Židovima, ako ovi zadnji ipak trebaju ispunjavati previše dužnos</w:t>
        <w:softHyphen/>
        <w:t>ti. Teologija je na ovo pitanje odgovorila ar</w:t>
        <w:softHyphen/>
        <w:t>gumentom da su propisi koje je postavio Bog uvijek bili primjereni dotičnim vremenskim prilikama. Nijedan čovjek ne bi trebao preuzi</w:t>
        <w:softHyphen/>
        <w:t>mati više obveza nego što može preuzeti na sebe. Načelno priznat kao božanska objava, Novi zavjet se dovodi u sumnju u svojoj današnjoj verziji. Unatoč tomu, musliman ne smije smatrati pogrešnim njegov sadržaj. Iza</w:t>
        <w:softHyphen/>
        <w:t>zvan na zauzimanje stava, on naprotiv treba iznijeti misao: »Vjerujemo u Boga i u sve što je On objavio« (Bekare, 51). Mnogi navodi iz. Staroga zavjeta dospjeli su u islamski svijet putem usmene predaje. Prisutnost velikoga broja apokrifnih ili inače nepoznatih tekstova iz Staroga zavjeta u islamskoj tradiciji potak</w:t>
        <w:softHyphen/>
        <w:t xml:space="preserve">nulo je </w:t>
      </w:r>
      <w:r>
        <w:rPr>
          <w:rFonts w:ascii="Times New Roman" w:eastAsia="Times New Roman" w:hAnsi="Times New Roman" w:cs="Times New Roman"/>
          <w:color w:val="000000"/>
          <w:spacing w:val="0"/>
          <w:w w:val="100"/>
          <w:position w:val="0"/>
          <w:shd w:val="clear" w:color="auto" w:fill="auto"/>
          <w:lang w:val="en-US" w:eastAsia="en-US" w:bidi="en-US"/>
        </w:rPr>
        <w:t xml:space="preserve">Louisa </w:t>
      </w:r>
      <w:r>
        <w:rPr>
          <w:rFonts w:ascii="Times New Roman" w:eastAsia="Times New Roman" w:hAnsi="Times New Roman" w:cs="Times New Roman"/>
          <w:color w:val="000000"/>
          <w:spacing w:val="0"/>
          <w:w w:val="100"/>
          <w:position w:val="0"/>
          <w:shd w:val="clear" w:color="auto" w:fill="auto"/>
          <w:lang w:val="hr-HR" w:eastAsia="hr-HR" w:bidi="hr-HR"/>
        </w:rPr>
        <w:t>Cheikhoa na, u međuvremenu opovrgnutu tezu, da bi morala postojati jedna druga Tora koja ne glasi isto kao službena he</w:t>
        <w:softHyphen/>
        <w:t>brejska verzija Tore.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Mnogi su se islamski teolozi pozivali na sti</w:t>
        <w:softHyphen/>
        <w:t>hove iz Knjige postanka 16,9-12; 17,20 i 21,21, i iz Ponovljenoga zavjeta, kako bi doka</w:t>
        <w:softHyphen/>
      </w:r>
      <w:r>
        <w:rPr>
          <w:rFonts w:ascii="Times New Roman" w:eastAsia="Times New Roman" w:hAnsi="Times New Roman" w:cs="Times New Roman"/>
          <w:color w:val="000000"/>
          <w:spacing w:val="0"/>
          <w:w w:val="100"/>
          <w:position w:val="0"/>
          <w:shd w:val="clear" w:color="auto" w:fill="auto"/>
          <w:lang w:val="hr-HR" w:eastAsia="hr-HR" w:bidi="hr-HR"/>
        </w:rPr>
        <w:t>zali Muhamedovu proročku misiju. Na S. z. od</w:t>
        <w:softHyphen/>
        <w:t>nose se sljedeća mjesta u Kuranu: sure: 3,3.48.50.65.93; 5,43.44.46.110; 9.111 i 7,4.</w:t>
      </w:r>
    </w:p>
    <w:p>
      <w:pPr>
        <w:pStyle w:val="Style56"/>
        <w:keepNext w:val="0"/>
        <w:keepLines w:val="0"/>
        <w:widowControl w:val="0"/>
        <w:shd w:val="clear" w:color="auto" w:fill="auto"/>
        <w:tabs>
          <w:tab w:pos="2558" w:val="left"/>
        </w:tabs>
        <w:bidi w:val="0"/>
        <w:spacing w:before="0" w:after="280" w:line="240" w:lineRule="auto"/>
        <w:ind w:left="0" w:right="0" w:firstLine="0"/>
        <w:jc w:val="both"/>
      </w:pPr>
      <w:r>
        <w:rPr>
          <w:color w:val="000000"/>
          <w:spacing w:val="0"/>
          <w:w w:val="100"/>
          <w:position w:val="0"/>
          <w:shd w:val="clear" w:color="auto" w:fill="auto"/>
          <w:lang w:val="hr-HR" w:eastAsia="hr-HR" w:bidi="hr-HR"/>
        </w:rPr>
        <w:t>Lit.: EI.TaurJt.</w:t>
        <w:tab/>
        <w:t>S.BAL1Ć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STVARANJE</w:t>
      </w:r>
    </w:p>
    <w:p>
      <w:pPr>
        <w:pStyle w:val="Style63"/>
        <w:keepNext/>
        <w:keepLines/>
        <w:widowControl w:val="0"/>
        <w:numPr>
          <w:ilvl w:val="0"/>
          <w:numId w:val="533"/>
        </w:numPr>
        <w:shd w:val="clear" w:color="auto" w:fill="auto"/>
        <w:tabs>
          <w:tab w:pos="250" w:val="left"/>
        </w:tabs>
        <w:bidi w:val="0"/>
        <w:spacing w:before="0"/>
        <w:ind w:left="0" w:right="0" w:firstLine="0"/>
        <w:jc w:val="both"/>
      </w:pPr>
      <w:bookmarkStart w:id="342" w:name="bookmark342"/>
      <w:r>
        <w:rPr>
          <w:rFonts w:ascii="Times New Roman" w:eastAsia="Times New Roman" w:hAnsi="Times New Roman" w:cs="Times New Roman"/>
          <w:color w:val="000000"/>
          <w:spacing w:val="0"/>
          <w:w w:val="100"/>
          <w:position w:val="0"/>
          <w:shd w:val="clear" w:color="auto" w:fill="auto"/>
          <w:lang w:val="hr-HR" w:eastAsia="hr-HR" w:bidi="hr-HR"/>
        </w:rPr>
        <w:t>židovski</w:t>
      </w:r>
      <w:bookmarkEnd w:id="342"/>
    </w:p>
    <w:p>
      <w:pPr>
        <w:pStyle w:val="Style20"/>
        <w:keepNext w:val="0"/>
        <w:keepLines w:val="0"/>
        <w:widowControl w:val="0"/>
        <w:numPr>
          <w:ilvl w:val="0"/>
          <w:numId w:val="535"/>
        </w:numPr>
        <w:shd w:val="clear" w:color="auto" w:fill="auto"/>
        <w:tabs>
          <w:tab w:pos="284" w:val="left"/>
        </w:tabs>
        <w:bidi w:val="0"/>
        <w:spacing w:before="0" w:after="0"/>
        <w:ind w:left="0" w:right="0" w:firstLine="0"/>
        <w:jc w:val="both"/>
        <w:sectPr>
          <w:headerReference w:type="default" r:id="rId1393"/>
          <w:footerReference w:type="default" r:id="rId1394"/>
          <w:headerReference w:type="even" r:id="rId1395"/>
          <w:footerReference w:type="even" r:id="rId1396"/>
          <w:footnotePr>
            <w:pos w:val="pageBottom"/>
            <w:numFmt w:val="decimal"/>
            <w:numRestart w:val="continuous"/>
            <w15:footnoteColumns w:val="1"/>
          </w:footnotePr>
          <w:pgSz w:w="6816" w:h="11006"/>
          <w:pgMar w:top="1000" w:left="194" w:right="196" w:bottom="459" w:header="0" w:footer="3" w:gutter="0"/>
          <w:pgNumType w:start="460"/>
          <w:cols w:num="2" w:space="174"/>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»Suvišno u jednoj zemlji pripada cjelini za</w:t>
        <w:softHyphen/>
        <w:t>jedno s tim.«</w:t>
      </w:r>
      <w:r>
        <w:rPr>
          <w:rFonts w:ascii="Times New Roman" w:eastAsia="Times New Roman" w:hAnsi="Times New Roman" w:cs="Times New Roman"/>
          <w:color w:val="000000"/>
          <w:spacing w:val="0"/>
          <w:w w:val="100"/>
          <w:position w:val="0"/>
          <w:shd w:val="clear" w:color="auto" w:fill="auto"/>
          <w:lang w:val="hr-HR" w:eastAsia="hr-HR" w:bidi="hr-HR"/>
        </w:rPr>
        <w:t xml:space="preserve"> Obilje prirodnih, tj. stvorenih po</w:t>
        <w:softHyphen/>
        <w:t xml:space="preserve">java Izrael doživljava kao likove stvorene Božjom rukom, koji, uza svu raznolikost, ipak čine jedinstvenu cjelinu: »djelo </w:t>
      </w:r>
      <w:r>
        <w:rPr>
          <w:rFonts w:ascii="Times New Roman" w:eastAsia="Times New Roman" w:hAnsi="Times New Roman" w:cs="Times New Roman"/>
          <w:i/>
          <w:iCs/>
          <w:color w:val="000000"/>
          <w:spacing w:val="0"/>
          <w:w w:val="100"/>
          <w:position w:val="0"/>
          <w:shd w:val="clear" w:color="auto" w:fill="auto"/>
          <w:lang w:val="hr-HR" w:eastAsia="hr-HR" w:bidi="hr-HR"/>
        </w:rPr>
        <w:t>(maase)</w:t>
      </w:r>
      <w:r>
        <w:rPr>
          <w:rFonts w:ascii="Times New Roman" w:eastAsia="Times New Roman" w:hAnsi="Times New Roman" w:cs="Times New Roman"/>
          <w:color w:val="000000"/>
          <w:spacing w:val="0"/>
          <w:w w:val="100"/>
          <w:position w:val="0"/>
          <w:shd w:val="clear" w:color="auto" w:fill="auto"/>
          <w:lang w:val="hr-HR" w:eastAsia="hr-HR" w:bidi="hr-HR"/>
        </w:rPr>
        <w:t xml:space="preserve"> nje</w:t>
        <w:softHyphen/>
        <w:t xml:space="preserve">govih ruku« (Ps 19,2), »djelo prstiju tvojih« (Ps 8,4). Budući da se Stvoritelju pojedine stvari nude samo u kontekstu cijeloga života, on je stvarao na zemlji u smislu »svako prema svojoj vrsti« (Post 1,11.12.21.24.25). Stoga se rabini u svojoj jezičnoj uporabi, podučavajući s., koriste jedninom za svako djelo stvaranja </w:t>
      </w:r>
      <w:r>
        <w:rPr>
          <w:rFonts w:ascii="Times New Roman" w:eastAsia="Times New Roman" w:hAnsi="Times New Roman" w:cs="Times New Roman"/>
          <w:i/>
          <w:iCs/>
          <w:color w:val="000000"/>
          <w:spacing w:val="0"/>
          <w:w w:val="100"/>
          <w:position w:val="0"/>
          <w:shd w:val="clear" w:color="auto" w:fill="auto"/>
          <w:lang w:val="hr-HR" w:eastAsia="hr-HR" w:bidi="hr-HR"/>
        </w:rPr>
        <w:t>(maase berešit,</w:t>
      </w:r>
      <w:r>
        <w:rPr>
          <w:rFonts w:ascii="Times New Roman" w:eastAsia="Times New Roman" w:hAnsi="Times New Roman" w:cs="Times New Roman"/>
          <w:color w:val="000000"/>
          <w:spacing w:val="0"/>
          <w:w w:val="100"/>
          <w:position w:val="0"/>
          <w:shd w:val="clear" w:color="auto" w:fill="auto"/>
          <w:lang w:val="hr-HR" w:eastAsia="hr-HR" w:bidi="hr-HR"/>
        </w:rPr>
        <w:t xml:space="preserve"> Roš ha-šana 11a; Hulin 60a; usp. Šabat 88a;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3a) kao najkraćim izrazom za cjelokupno »djelo početka« </w:t>
      </w:r>
      <w:r>
        <w:rPr>
          <w:rFonts w:ascii="Times New Roman" w:eastAsia="Times New Roman" w:hAnsi="Times New Roman" w:cs="Times New Roman"/>
          <w:i/>
          <w:iCs/>
          <w:color w:val="000000"/>
          <w:spacing w:val="0"/>
          <w:w w:val="100"/>
          <w:position w:val="0"/>
          <w:shd w:val="clear" w:color="auto" w:fill="auto"/>
          <w:lang w:val="hr-HR" w:eastAsia="hr-HR" w:bidi="hr-HR"/>
        </w:rPr>
        <w:t>(ma</w:t>
        <w:softHyphen/>
        <w:t>ase berešit,</w:t>
      </w:r>
      <w:r>
        <w:rPr>
          <w:rFonts w:ascii="Times New Roman" w:eastAsia="Times New Roman" w:hAnsi="Times New Roman" w:cs="Times New Roman"/>
          <w:color w:val="000000"/>
          <w:spacing w:val="0"/>
          <w:w w:val="100"/>
          <w:position w:val="0"/>
          <w:shd w:val="clear" w:color="auto" w:fill="auto"/>
          <w:lang w:val="hr-HR" w:eastAsia="hr-HR" w:bidi="hr-HR"/>
        </w:rPr>
        <w:t xml:space="preserve"> M Hagiga 11,1; j II,1,77c). Bog, koji je »sve stvorio u svojem svijetu, osim laži, koju nije stvorio, i osim himbenosti, koju nije na</w:t>
        <w:softHyphen/>
        <w:t>činio« (Pesikta rabati 24 /125b/), proveo je s. svijeta prema prethodno sastavljenom planu (Berešit raba 11,1,3; 111,1,5), »ne mukom i na</w:t>
        <w:softHyphen/>
        <w:t xml:space="preserve">porom..., nego samo riječju«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111,1,3; usp. X,2,2). »Sve su stvari savršene (u svojem punom liku i krasoti)« i »iskvarilc su se« samo grijehom čovječjim: one će se tek u mesijan</w:t>
        <w:softHyphen/>
        <w:t>skom dobu »vratiti u svoje (prvobitno savrše</w:t>
        <w:softHyphen/>
        <w:t xml:space="preserve">no) stanje«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XII,2,4). Iako čovjek ne shvaća »poredak svijeta«, ipak ne smije po</w:t>
        <w:softHyphen/>
        <w:t>sumnjati u Stvoriteljevu milostivu vlast u svije</w:t>
        <w:softHyphen/>
        <w:t xml:space="preserve">tu: »Sve što vidiš, samo su vanjske granice puta Božjeg, a pred tim gromom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26,14), ako glasno zaori, ne može opstati ni jedno biće«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»Pa i stvari, koje smatraš suviš</w:t>
        <w:softHyphen/>
        <w:t>nim u ovom svijetu, dijelovi su svemira, npr. konoplja za pravljenje konopaca, gorka trava za začin vina, svi oni sastavni su dijelovi svi</w:t>
        <w:softHyphen/>
        <w:t xml:space="preserve">jeta«; na sličan način razlaže midraš u vezi s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 xml:space="preserve">V,8: »Suvišno u jednoj zemlji pripada cjelini zajedno s tim« (usp. Vajikra raba XXII,17,3; </w:t>
      </w:r>
      <w:r>
        <w:rPr>
          <w:rFonts w:ascii="Times New Roman" w:eastAsia="Times New Roman" w:hAnsi="Times New Roman" w:cs="Times New Roman"/>
          <w:color w:val="000000"/>
          <w:spacing w:val="0"/>
          <w:w w:val="100"/>
          <w:position w:val="0"/>
          <w:shd w:val="clear" w:color="auto" w:fill="auto"/>
          <w:lang w:val="en-US" w:eastAsia="en-US" w:bidi="en-US"/>
        </w:rPr>
        <w:t xml:space="preserve">Bemidbar </w:t>
      </w:r>
      <w:r>
        <w:rPr>
          <w:rFonts w:ascii="Times New Roman" w:eastAsia="Times New Roman" w:hAnsi="Times New Roman" w:cs="Times New Roman"/>
          <w:color w:val="000000"/>
          <w:spacing w:val="0"/>
          <w:w w:val="100"/>
          <w:position w:val="0"/>
          <w:shd w:val="clear" w:color="auto" w:fill="auto"/>
          <w:lang w:val="hr-HR" w:eastAsia="hr-HR" w:bidi="hr-HR"/>
        </w:rPr>
        <w:t>raba XVIII,16,35). Na</w:t>
        <w:softHyphen/>
        <w:t>ime: »Od svega što je Sveti, hvaljen bio, stvo</w:t>
        <w:softHyphen/>
        <w:t>rio u svojem svijetu, nije stvorio ništa nepo</w:t>
        <w:softHyphen/>
        <w:t xml:space="preserve">trebno. Stvorio je s jedne strane puža a s </w:t>
      </w:r>
    </w:p>
    <w:p>
      <w:pPr>
        <w:pStyle w:val="Style20"/>
        <w:keepNext w:val="0"/>
        <w:keepLines w:val="0"/>
        <w:widowControl w:val="0"/>
        <w:shd w:val="clear" w:color="auto" w:fill="auto"/>
        <w:tabs>
          <w:tab w:pos="28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druge ranu; muhu i osu; komarca i zmiju, zmiju i svrab; pauka i škorpiona« (b Šabat 77b).</w:t>
      </w:r>
    </w:p>
    <w:p>
      <w:pPr>
        <w:pStyle w:val="Style20"/>
        <w:keepNext w:val="0"/>
        <w:keepLines w:val="0"/>
        <w:widowControl w:val="0"/>
        <w:numPr>
          <w:ilvl w:val="0"/>
          <w:numId w:val="535"/>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i hvali Boga koji nosi svoj svijet.«</w:t>
      </w:r>
      <w:r>
        <w:rPr>
          <w:rFonts w:ascii="Times New Roman" w:eastAsia="Times New Roman" w:hAnsi="Times New Roman" w:cs="Times New Roman"/>
          <w:color w:val="000000"/>
          <w:spacing w:val="0"/>
          <w:w w:val="100"/>
          <w:position w:val="0"/>
          <w:shd w:val="clear" w:color="auto" w:fill="auto"/>
          <w:lang w:val="hr-HR" w:eastAsia="hr-HR" w:bidi="hr-HR"/>
        </w:rPr>
        <w:t xml:space="preserve"> Iz proučavanja i objašnjenja Post 1 i Ez 1 razvila se još u doba drugoga Hrama ezoterična disci</w:t>
        <w:softHyphen/>
        <w:t xml:space="preserve">plina koju su njegovali i farizejski krugovi. U predodžbama židovskih mistika tajni nauk o stvaranju svijeta </w:t>
      </w:r>
      <w:r>
        <w:rPr>
          <w:rFonts w:ascii="Times New Roman" w:eastAsia="Times New Roman" w:hAnsi="Times New Roman" w:cs="Times New Roman"/>
          <w:i/>
          <w:iCs/>
          <w:color w:val="000000"/>
          <w:spacing w:val="0"/>
          <w:w w:val="100"/>
          <w:position w:val="0"/>
          <w:shd w:val="clear" w:color="auto" w:fill="auto"/>
          <w:lang w:val="hr-HR" w:eastAsia="hr-HR" w:bidi="hr-HR"/>
        </w:rPr>
        <w:t>(maase berešit)</w:t>
      </w:r>
      <w:r>
        <w:rPr>
          <w:rFonts w:ascii="Times New Roman" w:eastAsia="Times New Roman" w:hAnsi="Times New Roman" w:cs="Times New Roman"/>
          <w:color w:val="000000"/>
          <w:spacing w:val="0"/>
          <w:w w:val="100"/>
          <w:position w:val="0"/>
          <w:shd w:val="clear" w:color="auto" w:fill="auto"/>
          <w:lang w:val="hr-HR" w:eastAsia="hr-HR" w:bidi="hr-HR"/>
        </w:rPr>
        <w:t xml:space="preserve"> postao je veoma značajan sloga što su oni mislili: tko poznaje put na kojem se zbilo s., doznat če i put povratka korijenima svega života. Dodu</w:t>
        <w:softHyphen/>
        <w:t>še, mudraci su bez suzdržavanja razmatrali u školama i u sinagogogama pitanja o nebesima i o tome što je na njima (b Hagiga 12b-13a; Berešit raba 1,1,1; VIII, 1,26); no smatrali su krajnje nepreporučljivim da javno govore o »još jednom nebu koje se nalazi iznad glava životinja (Ez 1,22), ... govoriti dalje nije ti dopušteno, jer se u Knjizi Sirahovoj (3,22) kaže: Ne istražuj ono što ti jc skriveno, trsi se duhom svojim oko onoga što li jc dano i ne bavi se pojavama otajstvenim. Promatraj ono što ti je dopušteno i ne bavi se tajnama« (b Hagiga 13a). Mišna je zabranjivala javne ras</w:t>
        <w:softHyphen/>
        <w:t>prave o teozofskim temama: »Neka se ne drži predavanje... o djelu stvaranja pred dvojicom, o kolima (Ez l;10) ni pred jednim, osim ako je mudrac koji je vlastitim razmišljanjem stekao uvid« (Hagiga 11,1; usp. Tos. 11,1.7; M Megila IV,10; Tos. IV,34). No, biblijsko svjedočenje o Stvoritelju svijeta na isti jc način načelo ži</w:t>
        <w:softHyphen/>
        <w:t>dovstva: »Bog jc stvorio i brine se; on je na</w:t>
        <w:softHyphen/>
        <w:t xml:space="preserve">činio i čuva« </w:t>
      </w:r>
      <w:r>
        <w:rPr>
          <w:rFonts w:ascii="Times New Roman" w:eastAsia="Times New Roman" w:hAnsi="Times New Roman" w:cs="Times New Roman"/>
          <w:color w:val="000000"/>
          <w:spacing w:val="0"/>
          <w:w w:val="100"/>
          <w:position w:val="0"/>
          <w:shd w:val="clear" w:color="auto" w:fill="auto"/>
          <w:lang w:val="en-US" w:eastAsia="en-US" w:bidi="en-US"/>
        </w:rPr>
        <w:t xml:space="preserve">(Tanhuma, </w:t>
      </w:r>
      <w:r>
        <w:rPr>
          <w:rFonts w:ascii="Times New Roman" w:eastAsia="Times New Roman" w:hAnsi="Times New Roman" w:cs="Times New Roman"/>
          <w:color w:val="000000"/>
          <w:spacing w:val="0"/>
          <w:w w:val="100"/>
          <w:position w:val="0"/>
          <w:shd w:val="clear" w:color="auto" w:fill="auto"/>
          <w:lang w:val="hr-HR" w:eastAsia="hr-HR" w:bidi="hr-HR"/>
        </w:rPr>
        <w:t xml:space="preserve">nakl. S.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Va- jera § 24). Pohvalu nalazimo i u midrašu: »Duša nosi tijelo, a Bog nosi svijet... (Iz 46,4), pa neka dođe duša koja nosi tijelo i hvali Boga koji nosi svoj svijet« (Vajikra raba IV,4,1, usp. Šemot raba XXXVI,27,20). Njega, koji »dan za danom obnavlja djelo početka« (b Hagiga 12b), održavajući svijet tako reći neprekidnim stvaranjem, slavi molitelj svakoga jutra s pr</w:t>
        <w:softHyphen/>
        <w:t xml:space="preserve">vom zrakom svjetlosti (I. blagoslov prije »Čuj, Izraele«). Dobročinitelj svemira susreće, pun skrbi, pojedinca: »Mnoge vlasi stvorio sam na čovjeku, i za svaku pojedinu vlas stvorio sam posebnu rupicu kako ne bi dvije vukle hranu iz </w:t>
      </w:r>
      <w:r>
        <w:rPr>
          <w:rFonts w:ascii="Times New Roman" w:eastAsia="Times New Roman" w:hAnsi="Times New Roman" w:cs="Times New Roman"/>
          <w:i/>
          <w:iCs/>
          <w:color w:val="000000"/>
          <w:spacing w:val="0"/>
          <w:w w:val="100"/>
          <w:position w:val="0"/>
          <w:shd w:val="clear" w:color="auto" w:fill="auto"/>
          <w:lang w:val="hr-HR" w:eastAsia="hr-HR" w:bidi="hr-HR"/>
        </w:rPr>
        <w:t>jedne</w:t>
      </w:r>
      <w:r>
        <w:rPr>
          <w:rFonts w:ascii="Times New Roman" w:eastAsia="Times New Roman" w:hAnsi="Times New Roman" w:cs="Times New Roman"/>
          <w:color w:val="000000"/>
          <w:spacing w:val="0"/>
          <w:w w:val="100"/>
          <w:position w:val="0"/>
          <w:shd w:val="clear" w:color="auto" w:fill="auto"/>
          <w:lang w:val="hr-HR" w:eastAsia="hr-HR" w:bidi="hr-HR"/>
        </w:rPr>
        <w:t xml:space="preserve"> rupice; jer kad bi dvije vukle hranu iz </w:t>
      </w:r>
      <w:r>
        <w:rPr>
          <w:rFonts w:ascii="Times New Roman" w:eastAsia="Times New Roman" w:hAnsi="Times New Roman" w:cs="Times New Roman"/>
          <w:i/>
          <w:iCs/>
          <w:color w:val="000000"/>
          <w:spacing w:val="0"/>
          <w:w w:val="100"/>
          <w:position w:val="0"/>
          <w:shd w:val="clear" w:color="auto" w:fill="auto"/>
          <w:lang w:val="hr-HR" w:eastAsia="hr-HR" w:bidi="hr-HR"/>
        </w:rPr>
        <w:t>jedne</w:t>
      </w:r>
      <w:r>
        <w:rPr>
          <w:rFonts w:ascii="Times New Roman" w:eastAsia="Times New Roman" w:hAnsi="Times New Roman" w:cs="Times New Roman"/>
          <w:color w:val="000000"/>
          <w:spacing w:val="0"/>
          <w:w w:val="100"/>
          <w:position w:val="0"/>
          <w:shd w:val="clear" w:color="auto" w:fill="auto"/>
          <w:lang w:val="hr-HR" w:eastAsia="hr-HR" w:bidi="hr-HR"/>
        </w:rPr>
        <w:t xml:space="preserve"> rupice, pomračile bi vid čovjekov. Ne brkam jednu rupicu s drugom« (b Bava batra 16a, usp. Tanhuma, nakl. S. Bubcr, Tasrija § 8).</w:t>
      </w:r>
    </w:p>
    <w:p>
      <w:pPr>
        <w:pStyle w:val="Style20"/>
        <w:keepNext w:val="0"/>
        <w:keepLines w:val="0"/>
        <w:widowControl w:val="0"/>
        <w:numPr>
          <w:ilvl w:val="0"/>
          <w:numId w:val="535"/>
        </w:numPr>
        <w:shd w:val="clear" w:color="auto" w:fill="auto"/>
        <w:tabs>
          <w:tab w:pos="25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istina samo za odnos Boga i svijeta.«</w:t>
      </w:r>
      <w:r>
        <w:rPr>
          <w:rFonts w:ascii="Times New Roman" w:eastAsia="Times New Roman" w:hAnsi="Times New Roman" w:cs="Times New Roman"/>
          <w:color w:val="000000"/>
          <w:spacing w:val="0"/>
          <w:w w:val="100"/>
          <w:position w:val="0"/>
          <w:shd w:val="clear" w:color="auto" w:fill="auto"/>
          <w:lang w:val="hr-HR" w:eastAsia="hr-HR" w:bidi="hr-HR"/>
        </w:rPr>
        <w:t xml:space="preserve"> Kao glavni pristup razumijevanju židovstva </w:t>
      </w:r>
      <w:r>
        <w:rPr>
          <w:rFonts w:ascii="Times New Roman" w:eastAsia="Times New Roman" w:hAnsi="Times New Roman" w:cs="Times New Roman"/>
          <w:color w:val="000000"/>
          <w:spacing w:val="0"/>
          <w:w w:val="100"/>
          <w:position w:val="0"/>
          <w:shd w:val="clear" w:color="auto" w:fill="auto"/>
          <w:lang w:val="en-US" w:eastAsia="en-US" w:bidi="en-US"/>
        </w:rPr>
        <w:t xml:space="preserve">Franz Rosenzweig </w:t>
      </w:r>
      <w:r>
        <w:rPr>
          <w:rFonts w:ascii="Times New Roman" w:eastAsia="Times New Roman" w:hAnsi="Times New Roman" w:cs="Times New Roman"/>
          <w:color w:val="000000"/>
          <w:spacing w:val="0"/>
          <w:w w:val="100"/>
          <w:position w:val="0"/>
          <w:shd w:val="clear" w:color="auto" w:fill="auto"/>
          <w:lang w:val="hr-HR" w:eastAsia="hr-HR" w:bidi="hr-HR"/>
        </w:rPr>
        <w:t>otkriva međusobnu pripadnost i međusobno zbližavanje Boga - svijeta - čo</w:t>
        <w:softHyphen/>
        <w:t>vjeka: »Tako je rečenica ‘Bog je stvorio svijet’ neograničena istina samo za odnos Boga i svi</w:t>
        <w:softHyphen/>
        <w:t>jeta«; samo za taj odnos vrijedio bi »oblik prošlosti te rečenice jednom zauvijek«; napro</w:t>
        <w:softHyphen/>
        <w:t>tiv, za svijet bi sve do njegova kraja mogla »još u potpunosti biti sadašnjost« »ono što jc za Boga prošlost i od pamtivijeka, doista ‘u po</w:t>
        <w:softHyphen/>
        <w:t>četku’«. »Traženi odnos svijeta prema Stvori</w:t>
        <w:softHyphen/>
        <w:t>telju nije podrazumijevao... svijet stvoren jed</w:t>
        <w:softHyphen/>
        <w:t>nom zauvijek nego stalno očitovanje stvore</w:t>
        <w:softHyphen/>
        <w:t xml:space="preserve">noga«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Erldsung,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/1921/1930/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1976, 132 i d.). Prema Martinu Buberu, čovjek na</w:t>
        <w:softHyphen/>
        <w:t>šega doba više ne poznaje »početak i cilj, zato što više ne želi znati za sredinu: a njoj bi se morao predati kako bi je mogao spoznati. S. i otkupljenje istinsko je samo od prisutnosti ob</w:t>
        <w:softHyphen/>
        <w:t>jave«. Biblija traži, kako on kaže, da bude pri</w:t>
        <w:softHyphen/>
        <w:t>znala »kao dokument istinske povijesti svije</w:t>
        <w:softHyphen/>
        <w:t>ta, tj. one koja u svijetu ima početak i cilj«; ona zahtijeva »od ljudske osobe da vlastiti ži</w:t>
        <w:softHyphen/>
        <w:t xml:space="preserve">vot umetne u tu istinsku povijest tako da ja u početku svijeta vidim svoj početak, a u njezinu cilju svoj cilj... S. je početak, otkupljenje jc cilj, a objava je... događanje koje se uvijek može razabrati« (Der </w:t>
      </w:r>
      <w:r>
        <w:rPr>
          <w:rFonts w:ascii="Times New Roman" w:eastAsia="Times New Roman" w:hAnsi="Times New Roman" w:cs="Times New Roman"/>
          <w:color w:val="000000"/>
          <w:spacing w:val="0"/>
          <w:w w:val="100"/>
          <w:position w:val="0"/>
          <w:shd w:val="clear" w:color="auto" w:fill="auto"/>
          <w:lang w:val="en-US" w:eastAsia="en-US" w:bidi="en-US"/>
        </w:rPr>
        <w:t xml:space="preserve">Mensch von </w:t>
      </w:r>
      <w:r>
        <w:rPr>
          <w:rFonts w:ascii="Times New Roman" w:eastAsia="Times New Roman" w:hAnsi="Times New Roman" w:cs="Times New Roman"/>
          <w:color w:val="000000"/>
          <w:spacing w:val="0"/>
          <w:w w:val="100"/>
          <w:position w:val="0"/>
          <w:shd w:val="clear" w:color="auto" w:fill="auto"/>
          <w:lang w:val="hr-HR" w:eastAsia="hr-HR" w:bidi="hr-HR"/>
        </w:rPr>
        <w:t xml:space="preserve">heule und </w:t>
      </w:r>
      <w:r>
        <w:rPr>
          <w:rFonts w:ascii="Times New Roman" w:eastAsia="Times New Roman" w:hAnsi="Times New Roman" w:cs="Times New Roman"/>
          <w:color w:val="000000"/>
          <w:spacing w:val="0"/>
          <w:w w:val="100"/>
          <w:position w:val="0"/>
          <w:shd w:val="clear" w:color="auto" w:fill="auto"/>
          <w:lang w:val="en-US" w:eastAsia="en-US" w:bidi="en-US"/>
        </w:rPr>
        <w:t xml:space="preserve">die </w:t>
      </w:r>
      <w:r>
        <w:rPr>
          <w:rFonts w:ascii="Times New Roman" w:eastAsia="Times New Roman" w:hAnsi="Times New Roman" w:cs="Times New Roman"/>
          <w:color w:val="000000"/>
          <w:spacing w:val="0"/>
          <w:w w:val="100"/>
          <w:position w:val="0"/>
          <w:shd w:val="clear" w:color="auto" w:fill="auto"/>
          <w:lang w:val="hr-HR" w:eastAsia="hr-HR" w:bidi="hr-HR"/>
        </w:rPr>
        <w:t xml:space="preserve">judisehe Bibel, 1926, u: M. Buber/F. </w:t>
      </w:r>
      <w:r>
        <w:rPr>
          <w:rFonts w:ascii="Times New Roman" w:eastAsia="Times New Roman" w:hAnsi="Times New Roman" w:cs="Times New Roman"/>
          <w:color w:val="000000"/>
          <w:spacing w:val="0"/>
          <w:w w:val="100"/>
          <w:position w:val="0"/>
          <w:shd w:val="clear" w:color="auto" w:fill="auto"/>
          <w:lang w:val="en-US" w:eastAsia="en-US" w:bidi="en-US"/>
        </w:rPr>
        <w:t>Ro</w:t>
        <w:softHyphen/>
        <w:t xml:space="preserve">senzweig,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Schrift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ihre Verdeutschung, </w:t>
      </w:r>
      <w:r>
        <w:rPr>
          <w:rFonts w:ascii="Times New Roman" w:eastAsia="Times New Roman" w:hAnsi="Times New Roman" w:cs="Times New Roman"/>
          <w:color w:val="000000"/>
          <w:spacing w:val="0"/>
          <w:w w:val="100"/>
          <w:position w:val="0"/>
          <w:shd w:val="clear" w:color="auto" w:fill="auto"/>
          <w:lang w:val="en-US" w:eastAsia="en-US" w:bidi="en-US"/>
        </w:rPr>
        <w:t>1936, 13-45, 22.20).</w:t>
      </w:r>
    </w:p>
    <w:p>
      <w:pPr>
        <w:pStyle w:val="Style56"/>
        <w:keepNext w:val="0"/>
        <w:keepLines w:val="0"/>
        <w:widowControl w:val="0"/>
        <w:shd w:val="clear" w:color="auto" w:fill="auto"/>
        <w:tabs>
          <w:tab w:pos="2453" w:val="left"/>
        </w:tabs>
        <w:bidi w:val="0"/>
        <w:spacing w:before="0" w:after="120" w:line="240" w:lineRule="auto"/>
        <w:ind w:left="0" w:right="0" w:firstLine="0"/>
        <w:jc w:val="both"/>
      </w:pPr>
      <w:r>
        <w:rPr>
          <w:color w:val="000000"/>
          <w:spacing w:val="0"/>
          <w:w w:val="100"/>
          <w:position w:val="0"/>
          <w:shd w:val="clear" w:color="auto" w:fill="auto"/>
        </w:rPr>
        <w:t xml:space="preserve">Lit.: G. F. Moore, </w:t>
      </w:r>
      <w:r>
        <w:rPr>
          <w:i/>
          <w:iCs/>
          <w:color w:val="000000"/>
          <w:spacing w:val="0"/>
          <w:w w:val="100"/>
          <w:position w:val="0"/>
          <w:shd w:val="clear" w:color="auto" w:fill="auto"/>
        </w:rPr>
        <w:t>Judaism in the Firt Centuries of the Chris</w:t>
        <w:softHyphen/>
        <w:t>tian Era. The Age of the Tannaim,</w:t>
      </w:r>
      <w:r>
        <w:rPr>
          <w:color w:val="000000"/>
          <w:spacing w:val="0"/>
          <w:w w:val="100"/>
          <w:position w:val="0"/>
          <w:shd w:val="clear" w:color="auto" w:fill="auto"/>
        </w:rPr>
        <w:t xml:space="preserve"> Vol. I, 1927, 1962, 364 i d., 380 i d„ 411 i d., 453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E. E. Urbach, </w:t>
      </w:r>
      <w:r>
        <w:rPr>
          <w:i/>
          <w:iCs/>
          <w:color w:val="000000"/>
          <w:spacing w:val="0"/>
          <w:w w:val="100"/>
          <w:position w:val="0"/>
          <w:shd w:val="clear" w:color="auto" w:fill="auto"/>
        </w:rPr>
        <w:t>The Sages, Their Concepts and Beliefs,</w:t>
      </w:r>
      <w:r>
        <w:rPr>
          <w:color w:val="000000"/>
          <w:spacing w:val="0"/>
          <w:w w:val="100"/>
          <w:position w:val="0"/>
          <w:shd w:val="clear" w:color="auto" w:fill="auto"/>
        </w:rPr>
        <w:t xml:space="preserve"> 1975, 184 i d., 214 i d.; </w:t>
      </w:r>
      <w:r>
        <w:rPr>
          <w:i/>
          <w:iCs/>
          <w:color w:val="000000"/>
          <w:spacing w:val="0"/>
          <w:w w:val="100"/>
          <w:position w:val="0"/>
          <w:shd w:val="clear" w:color="auto" w:fill="auto"/>
        </w:rPr>
        <w:t>Encyclopaedia Judaica 5,</w:t>
      </w:r>
      <w:r>
        <w:rPr>
          <w:color w:val="000000"/>
          <w:spacing w:val="0"/>
          <w:w w:val="100"/>
          <w:position w:val="0"/>
          <w:shd w:val="clear" w:color="auto" w:fill="auto"/>
        </w:rPr>
        <w:t xml:space="preserve"> *1978, 1059-71; P. </w:t>
      </w:r>
      <w:r>
        <w:rPr>
          <w:color w:val="000000"/>
          <w:spacing w:val="0"/>
          <w:w w:val="100"/>
          <w:position w:val="0"/>
          <w:shd w:val="clear" w:color="auto" w:fill="auto"/>
          <w:lang w:val="hr-HR" w:eastAsia="hr-HR" w:bidi="hr-HR"/>
        </w:rPr>
        <w:t xml:space="preserve">Navč </w:t>
      </w:r>
      <w:r>
        <w:rPr>
          <w:color w:val="000000"/>
          <w:spacing w:val="0"/>
          <w:w w:val="100"/>
          <w:position w:val="0"/>
          <w:shd w:val="clear" w:color="auto" w:fill="auto"/>
        </w:rPr>
        <w:t xml:space="preserve">Levinson, </w:t>
      </w:r>
      <w:r>
        <w:rPr>
          <w:i/>
          <w:iCs/>
          <w:color w:val="000000"/>
          <w:spacing w:val="0"/>
          <w:w w:val="100"/>
          <w:position w:val="0"/>
          <w:shd w:val="clear" w:color="auto" w:fill="auto"/>
        </w:rPr>
        <w:t>Einfuhjung in die rabbinischc Theologie,</w:t>
      </w:r>
      <w:r>
        <w:rPr>
          <w:color w:val="000000"/>
          <w:spacing w:val="0"/>
          <w:w w:val="100"/>
          <w:position w:val="0"/>
          <w:shd w:val="clear" w:color="auto" w:fill="auto"/>
        </w:rPr>
        <w:t xml:space="preserve"> 1982, 88 i d.</w:t>
        <w:tab/>
        <w:t>D. VETHsR</w:t>
      </w:r>
    </w:p>
    <w:p>
      <w:pPr>
        <w:pStyle w:val="Style63"/>
        <w:keepNext/>
        <w:keepLines/>
        <w:widowControl w:val="0"/>
        <w:numPr>
          <w:ilvl w:val="0"/>
          <w:numId w:val="533"/>
        </w:numPr>
        <w:shd w:val="clear" w:color="auto" w:fill="auto"/>
        <w:tabs>
          <w:tab w:pos="255" w:val="left"/>
        </w:tabs>
        <w:bidi w:val="0"/>
        <w:spacing w:before="0" w:line="223" w:lineRule="auto"/>
        <w:ind w:left="0" w:right="0" w:firstLine="0"/>
        <w:jc w:val="both"/>
      </w:pPr>
      <w:bookmarkStart w:id="343" w:name="bookmark34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43"/>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Iskaze u SZ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postupku stvaranja (Post 1,1-2, 4a; Post 2,4b-25; Ps 104;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38,1-40,2) treba tumačiti više kao posljedicu nego kao pret</w:t>
        <w:softHyphen/>
        <w:t>postavku vjere u Božje djelovanje u povijesti (Izl 20,2 itd.). Pripovijesti o stvaranju ne pri</w:t>
        <w:softHyphen/>
        <w:t>padaju najstarijim Izraelovim vjerskim iska</w:t>
        <w:softHyphen/>
        <w:t>zima. Božja djelatnost i tijek stvaranja izriču se pojmovima koji su slični terminologiji priča o stvaranju kod drugih naroda. Bog čini, ute</w:t>
        <w:softHyphen/>
        <w:t>meljuje, izgrađuje, oblikuje (= lončarevo da</w:t>
        <w:softHyphen/>
        <w:t xml:space="preserve">vanje oblika) i stvara (= hebr. </w:t>
      </w:r>
      <w:r>
        <w:rPr>
          <w:rFonts w:ascii="Times New Roman" w:eastAsia="Times New Roman" w:hAnsi="Times New Roman" w:cs="Times New Roman"/>
          <w:i/>
          <w:iCs/>
          <w:color w:val="000000"/>
          <w:spacing w:val="0"/>
          <w:w w:val="100"/>
          <w:position w:val="0"/>
          <w:shd w:val="clear" w:color="auto" w:fill="auto"/>
          <w:lang w:val="hr-HR" w:eastAsia="hr-HR" w:bidi="hr-HR"/>
        </w:rPr>
        <w:t>bara);</w:t>
      </w:r>
      <w:r>
        <w:rPr>
          <w:rFonts w:ascii="Times New Roman" w:eastAsia="Times New Roman" w:hAnsi="Times New Roman" w:cs="Times New Roman"/>
          <w:color w:val="000000"/>
          <w:spacing w:val="0"/>
          <w:w w:val="100"/>
          <w:position w:val="0"/>
          <w:shd w:val="clear" w:color="auto" w:fill="auto"/>
          <w:lang w:val="hr-HR" w:eastAsia="hr-HR" w:bidi="hr-HR"/>
        </w:rPr>
        <w:t xml:space="preserve"> to se od</w:t>
        <w:softHyphen/>
        <w:t>nosi samo na Božju a nikada na čovjekovu djelatnost i ne pretpostavlja neki prethodni</w:t>
        <w:br w:type="page"/>
      </w:r>
      <w:r>
        <w:rPr>
          <w:rFonts w:ascii="Times New Roman" w:eastAsia="Times New Roman" w:hAnsi="Times New Roman" w:cs="Times New Roman"/>
          <w:color w:val="000000"/>
          <w:spacing w:val="0"/>
          <w:w w:val="100"/>
          <w:position w:val="0"/>
          <w:shd w:val="clear" w:color="auto" w:fill="auto"/>
          <w:lang w:val="hr-HR" w:eastAsia="hr-HR" w:bidi="hr-HR"/>
        </w:rPr>
        <w:t xml:space="preserve">materijal. </w:t>
      </w:r>
      <w:r>
        <w:rPr>
          <w:rFonts w:ascii="Times New Roman" w:eastAsia="Times New Roman" w:hAnsi="Times New Roman" w:cs="Times New Roman"/>
          <w:color w:val="000000"/>
          <w:spacing w:val="0"/>
          <w:w w:val="100"/>
          <w:position w:val="0"/>
          <w:shd w:val="clear" w:color="auto" w:fill="auto"/>
          <w:lang w:val="en-US" w:eastAsia="en-US" w:bidi="en-US"/>
        </w:rPr>
        <w:t xml:space="preserve">No, </w:t>
      </w:r>
      <w:r>
        <w:rPr>
          <w:rFonts w:ascii="Times New Roman" w:eastAsia="Times New Roman" w:hAnsi="Times New Roman" w:cs="Times New Roman"/>
          <w:color w:val="000000"/>
          <w:spacing w:val="0"/>
          <w:w w:val="100"/>
          <w:position w:val="0"/>
          <w:shd w:val="clear" w:color="auto" w:fill="auto"/>
          <w:lang w:val="hr-HR" w:eastAsia="hr-HR" w:bidi="hr-HR"/>
        </w:rPr>
        <w:t>tek u helenističko doba to se jasno tumači kao creatio ex nihilo (2 Mak 7,28). Post l,l-2a načelno navodi: Čitav svijet bez ostatka zahvaljuje za svoj postanak slo</w:t>
        <w:softHyphen/>
        <w:t>bodnom i suverenom Božjem činu; svijet je dobar, on je tu zbog čovjeka.</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NZ je priznavanje Stvoriteljeva djelovanja utemeljeno na iskustvu Božjega spasenjskog djelovanja. Dok ostalo stvorenje čeka na svoje ispunjenje, čovjek doživljava novostvarajuću Božju stvoriteljsku moć (2 Kor 5,17) i u Kristu opravdan čovjek osposobljen je pročistiti svo</w:t>
        <w:softHyphen/>
        <w:t>ju zloporabu onoga što je stvoreno. U iznova stečenom odnosu prema svijetu po Kristu, čo</w:t>
        <w:softHyphen/>
        <w:t>vjek se oslobađa od idolatriziranja svijeta (Rim 1,18-25) i postaje sposoban za brižno postupanje s njime na što je već potaknut u Post 1,28. Kršćanska teologija stvaranja i odgovornosti prema stvorenom svijetu može uzeti sebi kao postulat 1 Kor 3,22 i d.: »Sve je vaše, a vi ste Kristovi, a Krist je Božji«.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U:. E. Fahlhusch </w:t>
      </w:r>
      <w:r>
        <w:rPr>
          <w:color w:val="000000"/>
          <w:spacing w:val="0"/>
          <w:w w:val="100"/>
          <w:position w:val="0"/>
          <w:shd w:val="clear" w:color="auto" w:fill="auto"/>
        </w:rPr>
        <w:t xml:space="preserve">(llrsg.), </w:t>
      </w:r>
      <w:r>
        <w:rPr>
          <w:i/>
          <w:iCs/>
          <w:color w:val="000000"/>
          <w:spacing w:val="0"/>
          <w:w w:val="100"/>
          <w:position w:val="0"/>
          <w:shd w:val="clear" w:color="auto" w:fill="auto"/>
        </w:rPr>
        <w:t xml:space="preserve">Tascherdexikon Religion </w:t>
      </w:r>
      <w:r>
        <w:rPr>
          <w:i/>
          <w:iCs/>
          <w:color w:val="000000"/>
          <w:spacing w:val="0"/>
          <w:w w:val="100"/>
          <w:position w:val="0"/>
          <w:shd w:val="clear" w:color="auto" w:fill="auto"/>
          <w:lang w:val="hr-HR" w:eastAsia="hr-HR" w:bidi="hr-HR"/>
        </w:rPr>
        <w:t>und Theologie,</w:t>
      </w:r>
      <w:r>
        <w:rPr>
          <w:color w:val="000000"/>
          <w:spacing w:val="0"/>
          <w:w w:val="100"/>
          <w:position w:val="0"/>
          <w:shd w:val="clear" w:color="auto" w:fill="auto"/>
          <w:lang w:val="hr-HR" w:eastAsia="hr-HR" w:bidi="hr-HR"/>
        </w:rPr>
        <w:t xml:space="preserve"> (4. prošireno i prerađeno izdanje), </w:t>
      </w:r>
      <w:r>
        <w:rPr>
          <w:color w:val="000000"/>
          <w:spacing w:val="0"/>
          <w:w w:val="100"/>
          <w:position w:val="0"/>
          <w:shd w:val="clear" w:color="auto" w:fill="auto"/>
        </w:rPr>
        <w:t xml:space="preserve">Gottingen </w:t>
      </w:r>
      <w:r>
        <w:rPr>
          <w:color w:val="000000"/>
          <w:spacing w:val="0"/>
          <w:w w:val="100"/>
          <w:position w:val="0"/>
          <w:shd w:val="clear" w:color="auto" w:fill="auto"/>
          <w:lang w:val="hr-HR" w:eastAsia="hr-HR" w:bidi="hr-HR"/>
        </w:rPr>
        <w:t xml:space="preserve">1983; J. lidfcr/K. </w:t>
      </w:r>
      <w:r>
        <w:rPr>
          <w:color w:val="000000"/>
          <w:spacing w:val="0"/>
          <w:w w:val="100"/>
          <w:position w:val="0"/>
          <w:shd w:val="clear" w:color="auto" w:fill="auto"/>
        </w:rPr>
        <w:t xml:space="preserve">Rahner, </w:t>
      </w:r>
      <w:r>
        <w:rPr>
          <w:i/>
          <w:iCs/>
          <w:color w:val="000000"/>
          <w:spacing w:val="0"/>
          <w:w w:val="100"/>
          <w:position w:val="0"/>
          <w:shd w:val="clear" w:color="auto" w:fill="auto"/>
        </w:rPr>
        <w:t xml:space="preserve">Ledkon </w:t>
      </w:r>
      <w:r>
        <w:rPr>
          <w:i/>
          <w:iCs/>
          <w:color w:val="000000"/>
          <w:spacing w:val="0"/>
          <w:w w:val="100"/>
          <w:position w:val="0"/>
          <w:shd w:val="clear" w:color="auto" w:fill="auto"/>
          <w:lang w:val="hr-HR" w:eastAsia="hr-HR" w:bidi="hr-HR"/>
        </w:rPr>
        <w:t>fur Theologie und Kirche,</w:t>
      </w:r>
      <w:r>
        <w:rPr>
          <w:color w:val="000000"/>
          <w:spacing w:val="0"/>
          <w:w w:val="100"/>
          <w:position w:val="0"/>
          <w:shd w:val="clear" w:color="auto" w:fill="auto"/>
          <w:lang w:val="hr-HR" w:eastAsia="hr-HR" w:bidi="hr-HR"/>
        </w:rPr>
        <w:t xml:space="preserve"> 13d. 9, Frcihurg 1964; </w:t>
      </w:r>
      <w:r>
        <w:rPr>
          <w:color w:val="000000"/>
          <w:spacing w:val="0"/>
          <w:w w:val="100"/>
          <w:position w:val="0"/>
          <w:shd w:val="clear" w:color="auto" w:fill="auto"/>
        </w:rPr>
        <w:t xml:space="preserve">A. Th. Khoury/G. Girschck, </w:t>
      </w:r>
      <w:r>
        <w:rPr>
          <w:i/>
          <w:iCs/>
          <w:color w:val="000000"/>
          <w:spacing w:val="0"/>
          <w:w w:val="100"/>
          <w:position w:val="0"/>
          <w:shd w:val="clear" w:color="auto" w:fill="auto"/>
        </w:rPr>
        <w:t xml:space="preserve">So niaclue Golt die Well. Schdpfungsmythen der Volker, </w:t>
      </w:r>
      <w:r>
        <w:rPr>
          <w:color w:val="000000"/>
          <w:spacing w:val="0"/>
          <w:w w:val="100"/>
          <w:position w:val="0"/>
          <w:shd w:val="clear" w:color="auto" w:fill="auto"/>
        </w:rPr>
        <w:t xml:space="preserve">Freiburg.'Bascl.AVicn 1985: K. Rahner, </w:t>
      </w:r>
      <w:r>
        <w:rPr>
          <w:i/>
          <w:iCs/>
          <w:color w:val="000000"/>
          <w:spacing w:val="0"/>
          <w:w w:val="100"/>
          <w:position w:val="0"/>
          <w:shd w:val="clear" w:color="auto" w:fill="auto"/>
        </w:rPr>
        <w:t>Herders Theologi- sches Taschenledkon,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Đd. </w:t>
      </w:r>
      <w:r>
        <w:rPr>
          <w:color w:val="000000"/>
          <w:spacing w:val="0"/>
          <w:w w:val="100"/>
          <w:position w:val="0"/>
          <w:shd w:val="clear" w:color="auto" w:fill="auto"/>
        </w:rPr>
        <w:t>6, I reiburg/Bascl/ Wien 1973.</w:t>
      </w:r>
    </w:p>
    <w:p>
      <w:pPr>
        <w:pStyle w:val="Style56"/>
        <w:keepNext w:val="0"/>
        <w:keepLines w:val="0"/>
        <w:widowControl w:val="0"/>
        <w:shd w:val="clear" w:color="auto" w:fill="auto"/>
        <w:bidi w:val="0"/>
        <w:spacing w:before="0" w:after="340" w:line="240" w:lineRule="auto"/>
        <w:ind w:left="0" w:right="0" w:firstLine="0"/>
        <w:jc w:val="right"/>
      </w:pPr>
      <w:r>
        <w:rPr>
          <w:b/>
          <w:bCs/>
          <w:color w:val="000000"/>
          <w:spacing w:val="0"/>
          <w:w w:val="100"/>
          <w:position w:val="0"/>
          <w:shd w:val="clear" w:color="auto" w:fill="auto"/>
        </w:rPr>
        <w:t>aiitscnttK</w:t>
      </w:r>
    </w:p>
    <w:p>
      <w:pPr>
        <w:pStyle w:val="Style56"/>
        <w:keepNext w:val="0"/>
        <w:keepLines w:val="0"/>
        <w:widowControl w:val="0"/>
        <w:shd w:val="clear" w:color="auto" w:fill="auto"/>
        <w:bidi w:val="0"/>
        <w:spacing w:before="0" w:after="140" w:line="240" w:lineRule="auto"/>
        <w:ind w:left="0" w:right="0" w:firstLine="0"/>
        <w:jc w:val="both"/>
      </w:pPr>
      <w:r>
        <w:rPr>
          <w:b/>
          <w:bCs/>
          <w:color w:val="000000"/>
          <w:spacing w:val="0"/>
          <w:w w:val="100"/>
          <w:position w:val="0"/>
          <w:shd w:val="clear" w:color="auto" w:fill="auto"/>
        </w:rPr>
        <w:t xml:space="preserve">3. </w:t>
      </w: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10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i/>
          <w:iCs/>
          <w:color w:val="000000"/>
          <w:spacing w:val="0"/>
          <w:w w:val="100"/>
          <w:position w:val="0"/>
          <w:shd w:val="clear" w:color="auto" w:fill="auto"/>
          <w:lang w:val="en-US" w:eastAsia="en-US" w:bidi="en-US"/>
        </w:rPr>
        <w:t>(al-khalq)</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nije u jeziku Kurana uvijek </w:t>
      </w:r>
      <w:r>
        <w:rPr>
          <w:rFonts w:ascii="Times New Roman" w:eastAsia="Times New Roman" w:hAnsi="Times New Roman" w:cs="Times New Roman"/>
          <w:i/>
          <w:iCs/>
          <w:color w:val="000000"/>
          <w:spacing w:val="0"/>
          <w:w w:val="100"/>
          <w:position w:val="0"/>
          <w:shd w:val="clear" w:color="auto" w:fill="auto"/>
          <w:lang w:val="en-US" w:eastAsia="en-US" w:bidi="en-US"/>
        </w:rPr>
        <w:t>crea</w:t>
        <w:softHyphen/>
        <w:t>tio ex nihilo.</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 razvojni se procesi sukladno •zakonu evolucije shvaćaju kao s. (usp. 23,12-14). Prema tomu, s. može biti samo promjena ra</w:t>
        <w:softHyphen/>
        <w:t>nijega stanja, trenutak dovršenja, a ne bez</w:t>
        <w:softHyphen/>
        <w:t xml:space="preserve">uvjetno promjena inicijala. Svakom takvom procesu u literarnom jeziku Kurana prethodi stvaralačka riječ »Neka bude« (arapski: </w:t>
      </w:r>
      <w:r>
        <w:rPr>
          <w:rFonts w:ascii="Times New Roman" w:eastAsia="Times New Roman" w:hAnsi="Times New Roman" w:cs="Times New Roman"/>
          <w:i/>
          <w:iCs/>
          <w:color w:val="000000"/>
          <w:spacing w:val="0"/>
          <w:w w:val="100"/>
          <w:position w:val="0"/>
          <w:shd w:val="clear" w:color="auto" w:fill="auto"/>
          <w:lang w:val="hr-HR" w:eastAsia="hr-HR" w:bidi="hr-HR"/>
        </w:rPr>
        <w:t xml:space="preserve">kun, </w:t>
      </w:r>
      <w:r>
        <w:rPr>
          <w:rFonts w:ascii="Times New Roman" w:eastAsia="Times New Roman" w:hAnsi="Times New Roman" w:cs="Times New Roman"/>
          <w:color w:val="000000"/>
          <w:spacing w:val="0"/>
          <w:w w:val="100"/>
          <w:position w:val="0"/>
          <w:shd w:val="clear" w:color="auto" w:fill="auto"/>
          <w:lang w:val="hr-HR" w:eastAsia="hr-HR" w:bidi="hr-HR"/>
        </w:rPr>
        <w:t xml:space="preserve">latinski: </w:t>
      </w:r>
      <w:r>
        <w:rPr>
          <w:rFonts w:ascii="Times New Roman" w:eastAsia="Times New Roman" w:hAnsi="Times New Roman" w:cs="Times New Roman"/>
          <w:i/>
          <w:iCs/>
          <w:color w:val="000000"/>
          <w:spacing w:val="0"/>
          <w:w w:val="100"/>
          <w:position w:val="0"/>
          <w:shd w:val="clear" w:color="auto" w:fill="auto"/>
          <w:lang w:val="en-US" w:eastAsia="en-US" w:bidi="en-US"/>
        </w:rPr>
        <w:t>fiat).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Božje stvaralačko djelovanje do</w:t>
        <w:softHyphen/>
        <w:t>gađa se neprestano. Taj je nauk tijesno pove</w:t>
        <w:softHyphen/>
        <w:t>zan s predodžbom o Božjoj svemoći. »Čovje</w:t>
        <w:softHyphen/>
        <w:t>kova se djela ponekad izravno pripisuju Bogu. Tako se o neprijateljima ubijenima kod Bedra kaže da ih nisu ubile strijele ili mačevi mus</w:t>
        <w:softHyphen/>
        <w:t>limana, već Bog (8,17). To se vjerojatno mora tumačiti tako da Bog djeluje kroz ljudske rad</w:t>
        <w:softHyphen/>
        <w:t>nje. No on se može miješati i u planove ne</w:t>
        <w:softHyphen/>
        <w:t xml:space="preserve">vjernika - 'Oni su kovali zavjere, ali zavjere kuje i Bog. On to znade najbolje’« (W. M.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i/>
          <w:iCs/>
          <w:color w:val="000000"/>
          <w:spacing w:val="0"/>
          <w:w w:val="100"/>
          <w:position w:val="0"/>
          <w:shd w:val="clear" w:color="auto" w:fill="auto"/>
          <w:lang w:val="hr-HR" w:eastAsia="hr-HR" w:bidi="hr-HR"/>
        </w:rPr>
        <w:t>Der Islam,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I, Stuttgart </w:t>
      </w:r>
      <w:r>
        <w:rPr>
          <w:rFonts w:ascii="Times New Roman" w:eastAsia="Times New Roman" w:hAnsi="Times New Roman" w:cs="Times New Roman"/>
          <w:color w:val="000000"/>
          <w:spacing w:val="0"/>
          <w:w w:val="100"/>
          <w:position w:val="0"/>
          <w:shd w:val="clear" w:color="auto" w:fill="auto"/>
          <w:lang w:val="hr-HR" w:eastAsia="hr-HR" w:bidi="hr-HR"/>
        </w:rPr>
        <w:t>1980, 216).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je jedan »običaj« </w:t>
      </w:r>
      <w:r>
        <w:rPr>
          <w:rFonts w:ascii="Times New Roman" w:eastAsia="Times New Roman" w:hAnsi="Times New Roman" w:cs="Times New Roman"/>
          <w:i/>
          <w:iCs/>
          <w:color w:val="000000"/>
          <w:spacing w:val="0"/>
          <w:w w:val="100"/>
          <w:position w:val="0"/>
          <w:shd w:val="clear" w:color="auto" w:fill="auto"/>
          <w:lang w:val="hr-HR" w:eastAsia="hr-HR" w:bidi="hr-HR"/>
        </w:rPr>
        <w:t>(sunna)</w:t>
      </w:r>
      <w:r>
        <w:rPr>
          <w:rFonts w:ascii="Times New Roman" w:eastAsia="Times New Roman" w:hAnsi="Times New Roman" w:cs="Times New Roman"/>
          <w:color w:val="000000"/>
          <w:spacing w:val="0"/>
          <w:w w:val="100"/>
          <w:position w:val="0"/>
          <w:shd w:val="clear" w:color="auto" w:fill="auto"/>
          <w:lang w:val="hr-HR" w:eastAsia="hr-HR" w:bidi="hr-HR"/>
        </w:rPr>
        <w:t xml:space="preserve"> koji je Bog zadao samome sebi i kod kojega nema nikakve po</w:t>
        <w:softHyphen/>
        <w:t>pravke ili iznimke. Kuransko naglašavanje ne</w:t>
        <w:softHyphen/>
        <w:t>promjenjivosti božanskih zakona i govori u prilog evolucijske teorije. Bog k tomu nije ve</w:t>
        <w:softHyphen/>
        <w:t>zan nikakvim zakonom i nikakvom dužnošću. O Božjoj volji ovisi sve što postoji, dobro ili zlo, korisno ili štetno. Tako u odnosu na tu volju ne postoji nikakva razlika između održa</w:t>
        <w:softHyphen/>
        <w:t>nja i propasti, smrti i života, jer Bog je neovi</w:t>
        <w:softHyphen/>
        <w:t>san o stvaranju. Vjernik oblikuje svoj život prema misli da je uklopljen u jednu veliku cje</w:t>
        <w:softHyphen/>
        <w:t>linu. Čovjek joj se uvijek može predavati, a da pritom ne izgubi svoju osobnost. Etička je dužnost muslimana da se zalaže za održanje ravnoteže u prirodi. Čovjek nije ovlašten mi</w:t>
        <w:softHyphen/>
        <w:t>jenjati stvoreno, čak ni u okviru ovlasti koje mu daje princip općega dobra (maslaha). Pri</w:t>
        <w:softHyphen/>
        <w:t>tom je najviša zapovijed poštivanje života.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veliko poštovanje, koje vjernik iskazuje božanskom planu stvaranja, znakovite su npr. namjerne greške koje su na svojim djelima pravili stari perzijski i turski slikari minijatura. Tako na njima često vidimo lijepu sliku čo</w:t>
        <w:softHyphen/>
        <w:t>vjeka s bilo kojim iskrivljenim detaljem. Um</w:t>
        <w:softHyphen/>
        <w:t>jetnik je time htio pokazali da mu ne pada na pamet recimo natjecati se s Bogom u Njego</w:t>
        <w:softHyphen/>
        <w:t>vom djelu stvaranja ili čak nadmašiti ljepotu Njegovih djela. Ta se islamska ekološka svijest izražava i u mudrosti umjerenosti. Svako ne</w:t>
        <w:softHyphen/>
        <w:t>potrebno uživanje smatra se rasipništvom (israf) i nedvosmisleno se odbacuje u Kuranu.</w:t>
      </w:r>
    </w:p>
    <w:p>
      <w:pPr>
        <w:pStyle w:val="Style74"/>
        <w:keepNext w:val="0"/>
        <w:keepLines w:val="0"/>
        <w:widowControl w:val="0"/>
        <w:shd w:val="clear" w:color="auto" w:fill="auto"/>
        <w:bidi w:val="0"/>
        <w:spacing w:before="0" w:after="32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BAI.IĆ</w:t>
      </w:r>
    </w:p>
    <w:p>
      <w:pPr>
        <w:pStyle w:val="Style56"/>
        <w:keepNext w:val="0"/>
        <w:keepLines w:val="0"/>
        <w:widowControl w:val="0"/>
        <w:shd w:val="clear" w:color="auto" w:fill="auto"/>
        <w:bidi w:val="0"/>
        <w:spacing w:before="0" w:after="180" w:line="240" w:lineRule="auto"/>
        <w:ind w:left="0" w:right="0" w:firstLine="0"/>
        <w:jc w:val="both"/>
      </w:pPr>
      <w:r>
        <w:rPr>
          <w:b/>
          <w:bCs/>
          <w:color w:val="000000"/>
          <w:spacing w:val="0"/>
          <w:w w:val="100"/>
          <w:position w:val="0"/>
          <w:shd w:val="clear" w:color="auto" w:fill="auto"/>
          <w:lang w:val="hr-HR" w:eastAsia="hr-HR" w:bidi="hr-HR"/>
        </w:rPr>
        <w:t>SUD</w:t>
      </w:r>
    </w:p>
    <w:p>
      <w:pPr>
        <w:pStyle w:val="Style56"/>
        <w:keepNext w:val="0"/>
        <w:keepLines w:val="0"/>
        <w:widowControl w:val="0"/>
        <w:numPr>
          <w:ilvl w:val="0"/>
          <w:numId w:val="537"/>
        </w:numPr>
        <w:shd w:val="clear" w:color="auto" w:fill="auto"/>
        <w:tabs>
          <w:tab w:pos="246" w:val="left"/>
        </w:tabs>
        <w:bidi w:val="0"/>
        <w:spacing w:before="0" w:after="80" w:line="240" w:lineRule="auto"/>
        <w:ind w:left="0" w:right="0" w:firstLine="0"/>
        <w:jc w:val="both"/>
      </w:pPr>
      <w:r>
        <w:rPr>
          <w:b/>
          <w:bCs/>
          <w:color w:val="000000"/>
          <w:spacing w:val="0"/>
          <w:w w:val="100"/>
          <w:position w:val="0"/>
          <w:shd w:val="clear" w:color="auto" w:fill="auto"/>
          <w:lang w:val="hr-HR" w:eastAsia="hr-HR" w:bidi="hr-HR"/>
        </w:rPr>
        <w:t>židovski</w:t>
      </w:r>
    </w:p>
    <w:p>
      <w:pPr>
        <w:pStyle w:val="Style20"/>
        <w:keepNext w:val="0"/>
        <w:keepLines w:val="0"/>
        <w:widowControl w:val="0"/>
        <w:numPr>
          <w:ilvl w:val="0"/>
          <w:numId w:val="539"/>
        </w:numPr>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»Čovjeku se sudi svaki dan«: Izrael se u svojoj povijesti susreo s Bogom kao sa »Su</w:t>
        <w:softHyphen/>
        <w:t>cem svega svijeta« (Post 18,25) »koji ne pri</w:t>
        <w:softHyphen/>
        <w:t>znaje ugled i nije podmitljiv« (Pnz 10,17), »koji istražuje srce i ispituje bubrege da bi dao svakom po njegovu vladanju, prema plodu ru</w:t>
        <w:softHyphen/>
        <w:t>ku njegovih« (Jr 17,10). Židovstvo slično na</w:t>
        <w:softHyphen/>
        <w:t>glašava odgovornost svakoga čovjeka pred Bogom; »jer čovjeku se sudi svaki dan«; još oštrije: »sudi se u svakom trenutku«, nauča</w:t>
        <w:softHyphen/>
        <w:t>vali su mudraci (h Roš ha-šana 16a) i opomi</w:t>
        <w:softHyphen/>
        <w:t>njali: »Znaj što je nad tobom: oko koje vidi, uho koje sluša, i to se pred njim piše (M Avot</w:t>
      </w:r>
    </w:p>
    <w:p>
      <w:pPr>
        <w:pStyle w:val="Style20"/>
        <w:keepNext w:val="0"/>
        <w:keepLines w:val="0"/>
        <w:widowControl w:val="0"/>
        <w:numPr>
          <w:ilvl w:val="0"/>
          <w:numId w:val="541"/>
        </w:numPr>
        <w:shd w:val="clear" w:color="auto" w:fill="auto"/>
        <w:tabs>
          <w:tab w:pos="284" w:val="left"/>
        </w:tabs>
        <w:bidi w:val="0"/>
        <w:spacing w:before="0" w:after="0"/>
        <w:ind w:left="0" w:right="0" w:firstLine="0"/>
        <w:jc w:val="both"/>
        <w:sectPr>
          <w:headerReference w:type="default" r:id="rId1397"/>
          <w:footerReference w:type="default" r:id="rId1398"/>
          <w:headerReference w:type="even" r:id="rId1399"/>
          <w:footerReference w:type="even" r:id="rId1400"/>
          <w:headerReference w:type="first" r:id="rId1401"/>
          <w:footerReference w:type="first" r:id="rId1402"/>
          <w:footnotePr>
            <w:pos w:val="pageBottom"/>
            <w:numFmt w:val="decimal"/>
            <w:numRestart w:val="continuous"/>
            <w15:footnoteColumns w:val="1"/>
          </w:footnotePr>
          <w:pgSz w:w="6816" w:h="11006"/>
          <w:pgMar w:top="1000" w:left="194" w:right="196" w:bottom="459" w:header="0" w:footer="3" w:gutter="0"/>
          <w:pgNumType w:start="465"/>
          <w:cols w:num="2" w:space="174"/>
          <w:noEndnote/>
          <w:titlePg/>
          <w:rtlGutter w:val="0"/>
          <w:docGrid w:linePitch="360"/>
        </w:sectPr>
      </w:pPr>
      <w:r>
        <mc:AlternateContent>
          <mc:Choice Requires="wps">
            <w:drawing>
              <wp:anchor distT="63500" distB="254000" distL="114300" distR="114300" simplePos="0" relativeHeight="125829427" behindDoc="0" locked="0" layoutInCell="1" allowOverlap="1">
                <wp:simplePos x="0" y="0"/>
                <wp:positionH relativeFrom="page">
                  <wp:posOffset>147320</wp:posOffset>
                </wp:positionH>
                <wp:positionV relativeFrom="margin">
                  <wp:posOffset>6126480</wp:posOffset>
                </wp:positionV>
                <wp:extent cx="189230" cy="109855"/>
                <wp:wrapTopAndBottom/>
                <wp:docPr id="3026" name="Shape 3026"/>
                <a:graphic xmlns:a="http://schemas.openxmlformats.org/drawingml/2006/main">
                  <a:graphicData uri="http://schemas.microsoft.com/office/word/2010/wordprocessingShape">
                    <wps:wsp>
                      <wps:cNvSpPr txBox="1"/>
                      <wps:spPr>
                        <a:xfrm>
                          <a:ext cx="18923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/1A0</w:t>
                            </w:r>
                          </w:p>
                        </w:txbxContent>
                      </wps:txbx>
                      <wps:bodyPr wrap="none" lIns="0" tIns="0" rIns="0" bIns="0">
                        <a:noAutoFit/>
                      </wps:bodyPr>
                    </wps:wsp>
                  </a:graphicData>
                </a:graphic>
              </wp:anchor>
            </w:drawing>
          </mc:Choice>
          <mc:Fallback>
            <w:pict>
              <v:shape id="_x0000_s4052" type="#_x0000_t202" style="position:absolute;margin-left:11.6pt;margin-top:482.39999999999998pt;width:14.9pt;height:8.6500000000000004pt;z-index:-125829326;mso-wrap-distance-left:9.pt;mso-wrap-distance-top:5.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/1A0</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10) u knjigu« (spomenicu, Mal 3,16). Sav </w:t>
      </w:r>
    </w:p>
    <w:p>
      <w:pPr>
        <w:pStyle w:val="Style20"/>
        <w:keepNext w:val="0"/>
        <w:keepLines w:val="0"/>
        <w:widowControl w:val="0"/>
        <w:shd w:val="clear" w:color="auto" w:fill="auto"/>
        <w:tabs>
          <w:tab w:pos="28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njegov život mora čovjeka podsjećati na s.: »Znaj odakle si došao, kamo ideš i kome ćeš se jednom opravdavati i položiti račun« (M Avot 111,1, usp. IV,22). Rabini su upravo kao pragrijeh prokleli mišljenje kako »nema suda i suca« (j M Sota 11,2). Bog koji vlada je Bog koji sudi.</w:t>
      </w:r>
    </w:p>
    <w:p>
      <w:pPr>
        <w:pStyle w:val="Style20"/>
        <w:keepNext w:val="0"/>
        <w:keepLines w:val="0"/>
        <w:widowControl w:val="0"/>
        <w:numPr>
          <w:ilvl w:val="0"/>
          <w:numId w:val="539"/>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»Posljednji s.«: U teškim i nevoljnim da</w:t>
        <w:softHyphen/>
        <w:t>nima apokaliptici su htjeli (Dn 9,24 i d.; IV Ezr 1/3/, 14; Mojsijevo uznesenje 1,18) »izra</w:t>
        <w:softHyphen/>
        <w:t xml:space="preserve">čunati kraj«, a mudraci su ih kritizirali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97b). Sagradili su fantastični svijet bu</w:t>
        <w:softHyphen/>
        <w:t>dućnosti i stvarali predodžbe o »sudnjem da</w:t>
        <w:softHyphen/>
        <w:t>nu« (IV Ezr 5/7/,87; 5/7/,31 i d.; etiop. Henok 90,17 i d.; 61,6-63,12). Na taj dan Bog sjedi medu nebeskim stvorenjima na prijestolju kao sudac svijeta (Dn 7,9 i d.). On je za praved</w:t>
        <w:softHyphen/>
        <w:t xml:space="preserve">nike dan opravdanja, mira i spasenja (Mal 3,20; etiop. Henok 1,8; 45,6), ali za zlikovce dan kazne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54,6; 62,11). Ljudi se dijele na tri kategorije: »Potpuni pravednici odmah su popisani za vječni život i zapečaćeni; pot</w:t>
        <w:softHyphen/>
        <w:t>puni bezbožnici... za čistilište....; srednji tonu u čistilište« na čišćenje »i ponovno uzlaze« (b Roš ha-šana 16b-17a, usp. Berahot 61b).</w:t>
      </w:r>
    </w:p>
    <w:p>
      <w:pPr>
        <w:pStyle w:val="Style20"/>
        <w:keepNext w:val="0"/>
        <w:keepLines w:val="0"/>
        <w:widowControl w:val="0"/>
        <w:numPr>
          <w:ilvl w:val="0"/>
          <w:numId w:val="539"/>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»Sudnji dan«: Opisi suda, koje poznaje i povijest mistike, nisu mogli trajno odrediti pra</w:t>
        <w:softHyphen/>
        <w:t>vac ideja. Nasuprot njima židovstvo se sjetilo svojega pravog religijskog vlasništva; ono je sraslo s Novom godinom i Danom pomirenja. To su jedini blagdani koji nisu povezani s od</w:t>
        <w:softHyphen/>
        <w:t>ređenim događajima u izraelskoj povijesti. Nji</w:t>
        <w:softHyphen/>
        <w:t>ma posvećena umetanja u molitvu Osamnaest blagoslova hvale Boga kao kralja svijeta i kao suca. Dan opravdanja pred Bogom najavljuje »sudnji dan« za sve narode: ispituju se i sudi im se u svako doba i moraju svojim djelima pred Bogom dokazati pokoravaju li se njego</w:t>
        <w:softHyphen/>
        <w:t xml:space="preserve">voj volji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2a-b; M Roš ha-šana 1,2; b 16a).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Općem priznavanju vlasti kralja svijeta pri</w:t>
        <w:softHyphen/>
        <w:t>družuje se i izabranost židovskoga naroda da bude »sluga Božji« medu narodima. Kako se Izrael u svojoj sveukupnosti podčinjava sa</w:t>
        <w:softHyphen/>
        <w:t>mom Bogu s posebnom neposrednošću, tako je na Novu godinu svaka »pojedina duša u Izraelu« osobno odgovorna pred »Kraljem ci</w:t>
        <w:softHyphen/>
        <w:t>jeloga svijeta«. Svake se godine s ponovnim dolaskom Nove godine primiče »posljednji dan« iz onostrane daljine i predočava u trenu</w:t>
        <w:softHyphen/>
        <w:t>tak pojedinoga ljudskog života. Na »sudnji dan« jasno će se očitovati Božja zapovijed u</w:t>
      </w:r>
    </w:p>
    <w:p>
      <w:pPr>
        <w:pStyle w:val="Style20"/>
        <w:keepNext w:val="0"/>
        <w:keepLines w:val="0"/>
        <w:widowControl w:val="0"/>
        <w:shd w:val="clear" w:color="auto" w:fill="auto"/>
        <w:tabs>
          <w:tab w:pos="2429" w:val="left"/>
        </w:tabs>
        <w:bidi w:val="0"/>
        <w:spacing w:before="0" w:after="1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svoj svojoj ozbiljnosti i time kao osobna život</w:t>
        <w:softHyphen/>
        <w:t xml:space="preserve">na zadaća. Svakomu se upisuje presuda za učinjeno (b Roš ha-šana 16b) za godinu što je prošla i za godinu koja dolazi i na kraju toga roka, nakon »deset pokajničkih dana«, pečati se na Dan pomirenja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»Sudnji dan« i Dan pomirenja spojeni su kako bi na početku godine upozorili čovjeka na njegovu odgovor</w:t>
        <w:softHyphen/>
        <w:t>nost pred Bogom, na traženje i davanje pomi</w:t>
        <w:softHyphen/>
        <w:t>renja. Oni oblikuju godinu u zastupnika ono- stranosti.</w:t>
        <w:tab/>
        <w:t xml:space="preserve">r&gt;. </w:t>
      </w:r>
      <w:r>
        <w:rPr>
          <w:rFonts w:ascii="Times New Roman" w:eastAsia="Times New Roman" w:hAnsi="Times New Roman" w:cs="Times New Roman"/>
          <w:smallCaps/>
          <w:color w:val="000000"/>
          <w:spacing w:val="0"/>
          <w:w w:val="100"/>
          <w:position w:val="0"/>
          <w:shd w:val="clear" w:color="auto" w:fill="auto"/>
          <w:lang w:val="hr-HR" w:eastAsia="hr-HR" w:bidi="hr-HR"/>
        </w:rPr>
        <w:t>vei’iur</w:t>
      </w:r>
    </w:p>
    <w:p>
      <w:pPr>
        <w:pStyle w:val="Style63"/>
        <w:keepNext/>
        <w:keepLines/>
        <w:widowControl w:val="0"/>
        <w:numPr>
          <w:ilvl w:val="0"/>
          <w:numId w:val="543"/>
        </w:numPr>
        <w:shd w:val="clear" w:color="auto" w:fill="auto"/>
        <w:tabs>
          <w:tab w:pos="260" w:val="left"/>
        </w:tabs>
        <w:bidi w:val="0"/>
        <w:spacing w:before="0" w:line="223" w:lineRule="auto"/>
        <w:ind w:left="0" w:right="0" w:firstLine="0"/>
        <w:jc w:val="both"/>
      </w:pPr>
      <w:bookmarkStart w:id="344" w:name="bookmark34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44"/>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ostalim religijama staroga Istoka Biblija di</w:t>
        <w:softHyphen/>
        <w:t>jeli vjeru u Boga kao suca. Misao o sudu igra u SZ istaknutu ulogu. Bog je neograničeni go</w:t>
        <w:softHyphen/>
        <w:t>spodar nad svijetom i čovjekom. Kao takav određuje pravo i pravila pravednosti. On ispi</w:t>
        <w:softHyphen/>
        <w:t>tuje »srce i bubrege« (Jer 11,20; 17,10) i zna tko je pravedan, a tko nepravedan. On vrši pravdu: Zli su kažnjeni, dobri pošteđeni (usp. Post 18,23 i d.). On uživa ugled kao borac za pravdu i kao osvetnik zbog nepravde (Post 16,5; 31,49; 1 Sam 24,16; Jr 11,20). Ta vjera u Boga kao suca manifestira se za SZ u konkret</w:t>
        <w:softHyphen/>
        <w:t>nom povijesnom iskustvu. Bog se sudeći mi</w:t>
        <w:softHyphen/>
        <w:t>ješa u povijest. Primjeri su za to: istjerivanje iz raja nakon istočnoga grijeha (Post 3,14-19), opći potop (Post 6,5 i d.), raspršenost nakon gradnje Babilonske kule (Post 11), propast Sodome i Gomorc (Post 18,16-19,28). U tom smislu i starozavjetni proroci shvaćaju Savez kojijc Bog sklopio s izraelskim narodom (usp. Izl 19,1-40,38) čija je povijest nalik Božjem kaznenom sudu zbog čestog nevjernog odvra</w:t>
        <w:softHyphen/>
        <w:t>ćanja od Boga (usp. Iz 1,2 i d.). Uvijek iznova proroci prijete opustošenjem i progonstvom kao konkretnim oblicima božanskog suda u povijesti.</w:t>
      </w:r>
    </w:p>
    <w:p>
      <w:pPr>
        <w:pStyle w:val="Style20"/>
        <w:keepNext w:val="0"/>
        <w:keepLines w:val="0"/>
        <w:widowControl w:val="0"/>
        <w:shd w:val="clear" w:color="auto" w:fill="auto"/>
        <w:bidi w:val="0"/>
        <w:spacing w:before="0" w:after="60"/>
        <w:ind w:left="0" w:right="0" w:firstLine="0"/>
        <w:jc w:val="both"/>
        <w:sectPr>
          <w:headerReference w:type="default" r:id="rId1403"/>
          <w:footerReference w:type="default" r:id="rId1404"/>
          <w:headerReference w:type="even" r:id="rId1405"/>
          <w:footerReference w:type="even" r:id="rId1406"/>
          <w:footnotePr>
            <w:pos w:val="pageBottom"/>
            <w:numFmt w:val="decimal"/>
            <w:numRestart w:val="continuous"/>
            <w15:footnoteColumns w:val="1"/>
          </w:footnotePr>
          <w:type w:val="continuous"/>
          <w:pgSz w:w="6816" w:h="11006"/>
          <w:pgMar w:top="1000" w:left="194" w:right="196" w:bottom="459" w:header="0" w:footer="31" w:gutter="0"/>
          <w:cols w:num="2" w:space="17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Uz ove Božje presude i kažnjavanja, koja se provlače kroz cijelu povijest, SZ od ranog do</w:t>
        <w:softHyphen/>
        <w:t xml:space="preserve">ba poznaje i konačni s., tzv. »dan Jahvin«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 18 i d.) kao sudnji dan koji je počam od Amosa snažan sastavni dio izraelskog očeki</w:t>
        <w:softHyphen/>
        <w:t>vanja budućnosti. Svi će narodi biti uključeni u taj s. popraćen kozmičkim strahotama, jer Bog je sudac čitave zemlje. On će okupiti narode u Dolini Jošafat (»Bog sudi«); tada će biti eshatološka žetva ili berba (JI 4,12 i d.): Danielova knjiga opisuje taj s. u zornim sli</w:t>
        <w:softHyphen/>
        <w:t>kama (Dn 7,9-12. 26), isto tako i Knjiga Mud</w:t>
        <w:softHyphen/>
        <w:t>rosti: Pravedni kao i nepravedni moraju po-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ložiti račun (Mudr 4,20-5,23), prvi će biti zaštićeni, a drugi kažnjeni (dosl. 4,15 i d.; usp.</w:t>
      </w:r>
    </w:p>
    <w:p>
      <w:pPr>
        <w:pStyle w:val="Style20"/>
        <w:keepNext w:val="0"/>
        <w:keepLines w:val="0"/>
        <w:widowControl w:val="0"/>
        <w:numPr>
          <w:ilvl w:val="0"/>
          <w:numId w:val="545"/>
        </w:numPr>
        <w:shd w:val="clear" w:color="auto" w:fill="auto"/>
        <w:tabs>
          <w:tab w:pos="399"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središtu predodžbe o sudu stoji u NZ očeki</w:t>
        <w:softHyphen/>
        <w:t xml:space="preserve">vanje sudnjega dana čiji je dan Bog odredio (Mt 10,5; 12,36; 2 Pt 2,9; 1 Iv 4,17). Obuhvatit će pojedinačno svakog čovjeka bez iznimke (Mt 11,20-24; 25,31-45; Lk 12,17-21; Rim 2,12-16) i imat će kozmičke dimenzije (Mk 13,24; Lk 21,25 i d.; 2 Pt 3,7-13). Presuda če vrijediti vječno (Heb 9,15; 2 Pt 1,11). Tipično za novozavjetnu misao o sudu leži u njezinoj </w:t>
      </w:r>
      <w:r>
        <w:rPr>
          <w:rFonts w:ascii="Times New Roman" w:eastAsia="Times New Roman" w:hAnsi="Times New Roman" w:cs="Times New Roman"/>
          <w:i/>
          <w:iCs/>
          <w:color w:val="000000"/>
          <w:spacing w:val="0"/>
          <w:w w:val="100"/>
          <w:position w:val="0"/>
          <w:shd w:val="clear" w:color="auto" w:fill="auto"/>
          <w:lang w:val="hr-HR" w:eastAsia="hr-HR" w:bidi="hr-HR"/>
        </w:rPr>
        <w:t>histološkoj</w:t>
      </w:r>
      <w:r>
        <w:rPr>
          <w:rFonts w:ascii="Times New Roman" w:eastAsia="Times New Roman" w:hAnsi="Times New Roman" w:cs="Times New Roman"/>
          <w:color w:val="000000"/>
          <w:spacing w:val="0"/>
          <w:w w:val="100"/>
          <w:position w:val="0"/>
          <w:shd w:val="clear" w:color="auto" w:fill="auto"/>
          <w:lang w:val="hr-HR" w:eastAsia="hr-HR" w:bidi="hr-HR"/>
        </w:rPr>
        <w:t xml:space="preserve"> usmjerenosti.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 Isus naviješta predstojeći s. (usp. Mt</w:t>
      </w:r>
    </w:p>
    <w:p>
      <w:pPr>
        <w:pStyle w:val="Style20"/>
        <w:keepNext w:val="0"/>
        <w:keepLines w:val="0"/>
        <w:widowControl w:val="0"/>
        <w:numPr>
          <w:ilvl w:val="0"/>
          <w:numId w:val="547"/>
        </w:numPr>
        <w:shd w:val="clear" w:color="auto" w:fill="auto"/>
        <w:tabs>
          <w:tab w:pos="399"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27; 10,28.33; 23,13-35; Mk 13 i dr.). Nje</w:t>
        <w:softHyphen/>
        <w:t>gove su prispodobe velikim dijelom prispo</w:t>
        <w:softHyphen/>
        <w:t>dobe o sudu (usp. Lk 16,1-8.19-31; Mt 22,11-13; 24,37-39; 25). Dan suda dolazi kao tat u noći (Mt 24,43-51), izračunavanje una</w:t>
        <w:softHyphen/>
        <w:t>prijed i određivanje dana nisu mogući (Lk 17,20 i d.). Zato Isus upozorava na budnost (Mk 13, 5. 9. 23. 33. 35. 39), na spremnost (Mt 24,44 = Lk 12,40; Mt 25,1—13) i na nužno unutarnje obraćenje: »Obratite se i vjerujte u radosnu vijest« (Mk 1,15).</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 je zahtjev za radikalnim obraćenjem spo</w:t>
        <w:softHyphen/>
        <w:t>jio s vjerom u novu poruku spasenja (Mk 1,15) i s odlukom za ili protiv svoje osobe. O tome kako se čovjek postavlja u odnosu na njega i na njegove zapovijedi ljubavi prema Bogu i bližnjem kao središnjem iskazu nje</w:t>
        <w:softHyphen/>
        <w:t>gove poruke, ovisi presuda na sudu (Mt 25,31-46; 18,23-35). Budući da se ta odluka zahtijeva već sada, i sudska odluka počinje već sada (Iv 5,25; 12,31): Tko ne vjeruje, već je osuđen (Iv 3, 18.36), a tko vjeruje, ne dolazi na s., nego je već prešao iz smrti u život (Iv 5,24). Posljednji s. koji dolazi dopustit će da se objavi ono razlučivanje koje se već sada is</w:t>
        <w:softHyphen/>
        <w:t>punjava u srcu pojedinog čovjeka njegovom odlukom za ili protiv Isusa Krista.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 nije samo navjestitelj suda, nije samo je</w:t>
        <w:softHyphen/>
        <w:t>dan od mnogih proroka suda (usp. Mk 14,62), on je istodobno i sudac (2 Tim 4,1; 1 Pt 1,5): Bog ga je postavio za suca (Iv 5,22; Dj 10,42 i d.; Rim 2,16). Kada se on bude pojavio na sudu (Mt 7,22 i d.; 13,41-43 i dr.), »dan Jah- vin« postat će sudnji dan (Mt 10,15; 1 Iv4,17), »dan Gospodnji« (1 Sol 5,2; 1 Kor 1,8; Heb 10,25). Pred njegovim sudom moraju se svi pojaviti (2 Kor 5,10). Kao sudac on je isto</w:t>
        <w:softHyphen/>
        <w:t xml:space="preserve">dobno i spasitelj. Jer, on nije došao »da sudi </w:t>
      </w:r>
      <w:r>
        <w:rPr>
          <w:rFonts w:ascii="Times New Roman" w:eastAsia="Times New Roman" w:hAnsi="Times New Roman" w:cs="Times New Roman"/>
          <w:color w:val="000000"/>
          <w:spacing w:val="0"/>
          <w:w w:val="100"/>
          <w:position w:val="0"/>
          <w:shd w:val="clear" w:color="auto" w:fill="auto"/>
          <w:lang w:val="hr-HR" w:eastAsia="hr-HR" w:bidi="hr-HR"/>
        </w:rPr>
        <w:t>svijet, nego da se svijet spasi po njemu« (Iv 3,17). 1 tko u njega vjeruje, bit će spašen.</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Vjera u konačni opći s. svim ljudima pripada sastavnom dijelu kršćanskog učenja. Ovaj s. pretpostavlja uskrsnuće jer obuhvaća sve ljude, žive i mrtve. Zato što uvodi konačno ispunjenje kojim se dovršava svijet i povijest, naziva se konačni ili posljednji s. O čovjekovu spasenju ili propasti odlučuje čovjekovo slo</w:t>
        <w:softHyphen/>
        <w:t>bodno prihvaćanje ili odbijanje Isusove poru</w:t>
        <w:softHyphen/>
        <w:t xml:space="preserve">ke u kojoj se nenadmašivo manifestira Božja ponuda spasenja svim ljudima, </w:t>
      </w:r>
      <w:r>
        <w:rPr>
          <w:rFonts w:ascii="Times New Roman" w:eastAsia="Times New Roman" w:hAnsi="Times New Roman" w:cs="Times New Roman"/>
          <w:i/>
          <w:iCs/>
          <w:color w:val="000000"/>
          <w:spacing w:val="0"/>
          <w:w w:val="100"/>
          <w:position w:val="0"/>
          <w:shd w:val="clear" w:color="auto" w:fill="auto"/>
          <w:lang w:val="hr-HR" w:eastAsia="hr-HR" w:bidi="hr-HR"/>
        </w:rPr>
        <w:t>—t</w:t>
      </w:r>
      <w:r>
        <w:rPr>
          <w:rFonts w:ascii="Times New Roman" w:eastAsia="Times New Roman" w:hAnsi="Times New Roman" w:cs="Times New Roman"/>
          <w:color w:val="000000"/>
          <w:spacing w:val="0"/>
          <w:w w:val="100"/>
          <w:position w:val="0"/>
          <w:shd w:val="clear" w:color="auto" w:fill="auto"/>
          <w:lang w:val="hr-HR" w:eastAsia="hr-HR" w:bidi="hr-HR"/>
        </w:rPr>
        <w:t xml:space="preserve"> Nebo, —&gt; Pakao.</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H. Haag (Hrsg.), </w:t>
      </w:r>
      <w:r>
        <w:rPr>
          <w:i/>
          <w:iCs/>
          <w:color w:val="000000"/>
          <w:spacing w:val="0"/>
          <w:w w:val="100"/>
          <w:position w:val="0"/>
          <w:shd w:val="clear" w:color="auto" w:fill="auto"/>
          <w:lang w:val="hr-HR" w:eastAsia="hr-HR" w:bidi="hr-HR"/>
        </w:rPr>
        <w:t>Bibetlejikon,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Zurich/Einsieddn/Kbln </w:t>
      </w:r>
      <w:r>
        <w:rPr>
          <w:color w:val="000000"/>
          <w:spacing w:val="0"/>
          <w:w w:val="100"/>
          <w:position w:val="0"/>
          <w:shd w:val="clear" w:color="auto" w:fill="auto"/>
          <w:lang w:val="hr-HR" w:eastAsia="hr-HR" w:bidi="hr-HR"/>
        </w:rPr>
        <w:t xml:space="preserve">’1983, 559-563; LThK, Bd. 4. 726-736; </w:t>
      </w:r>
      <w:r>
        <w:rPr>
          <w:color w:val="000000"/>
          <w:spacing w:val="0"/>
          <w:w w:val="100"/>
          <w:position w:val="0"/>
          <w:shd w:val="clear" w:color="auto" w:fill="auto"/>
        </w:rPr>
        <w:t xml:space="preserve">J Ratzinger, </w:t>
      </w:r>
      <w:r>
        <w:rPr>
          <w:i/>
          <w:iCs/>
          <w:color w:val="000000"/>
          <w:spacing w:val="0"/>
          <w:w w:val="100"/>
          <w:position w:val="0"/>
          <w:shd w:val="clear" w:color="auto" w:fill="auto"/>
          <w:lang w:val="hr-HR" w:eastAsia="hr-HR" w:bidi="hr-HR"/>
        </w:rPr>
        <w:t xml:space="preserve">Es- </w:t>
      </w:r>
      <w:r>
        <w:rPr>
          <w:i/>
          <w:iCs/>
          <w:color w:val="000000"/>
          <w:spacing w:val="0"/>
          <w:w w:val="100"/>
          <w:position w:val="0"/>
          <w:shd w:val="clear" w:color="auto" w:fill="auto"/>
        </w:rPr>
        <w:t xml:space="preserve">chatologie, Tod and ewiges </w:t>
      </w:r>
      <w:r>
        <w:rPr>
          <w:i/>
          <w:iCs/>
          <w:color w:val="000000"/>
          <w:spacing w:val="0"/>
          <w:w w:val="100"/>
          <w:position w:val="0"/>
          <w:shd w:val="clear" w:color="auto" w:fill="auto"/>
          <w:lang w:val="hr-HR" w:eastAsia="hr-HR" w:bidi="hr-HR"/>
        </w:rPr>
        <w:t xml:space="preserve">Leben </w:t>
      </w:r>
      <w:r>
        <w:rPr>
          <w:i/>
          <w:iCs/>
          <w:color w:val="000000"/>
          <w:spacing w:val="0"/>
          <w:w w:val="100"/>
          <w:position w:val="0"/>
          <w:shd w:val="clear" w:color="auto" w:fill="auto"/>
        </w:rPr>
        <w:t xml:space="preserve">(Kleine </w:t>
      </w:r>
      <w:r>
        <w:rPr>
          <w:i/>
          <w:iCs/>
          <w:color w:val="000000"/>
          <w:spacing w:val="0"/>
          <w:w w:val="100"/>
          <w:position w:val="0"/>
          <w:shd w:val="clear" w:color="auto" w:fill="auto"/>
          <w:lang w:val="hr-HR" w:eastAsia="hr-HR" w:bidi="hr-HR"/>
        </w:rPr>
        <w:t>katholuche Dog- malik,</w:t>
      </w:r>
      <w:r>
        <w:rPr>
          <w:color w:val="000000"/>
          <w:spacing w:val="0"/>
          <w:w w:val="100"/>
          <w:position w:val="0"/>
          <w:shd w:val="clear" w:color="auto" w:fill="auto"/>
          <w:lang w:val="hr-HR" w:eastAsia="hr-HR" w:bidi="hr-HR"/>
        </w:rPr>
        <w:t xml:space="preserve"> Bd. 9), </w:t>
      </w:r>
      <w:r>
        <w:rPr>
          <w:color w:val="000000"/>
          <w:spacing w:val="0"/>
          <w:w w:val="100"/>
          <w:position w:val="0"/>
          <w:shd w:val="clear" w:color="auto" w:fill="auto"/>
        </w:rPr>
        <w:t xml:space="preserve">Regensburg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1977, 168-171; 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Handbuch iheologischer Grundbegriffe,</w:t>
      </w:r>
      <w:r>
        <w:rPr>
          <w:color w:val="000000"/>
          <w:spacing w:val="0"/>
          <w:w w:val="100"/>
          <w:position w:val="0"/>
          <w:shd w:val="clear" w:color="auto" w:fill="auto"/>
          <w:lang w:val="hr-HR" w:eastAsia="hr-HR" w:bidi="hr-HR"/>
        </w:rPr>
        <w:t xml:space="preserve"> Bd 2 (dtv - </w:t>
      </w:r>
      <w:r>
        <w:rPr>
          <w:color w:val="000000"/>
          <w:spacing w:val="0"/>
          <w:w w:val="100"/>
          <w:position w:val="0"/>
          <w:shd w:val="clear" w:color="auto" w:fill="auto"/>
        </w:rPr>
        <w:t xml:space="preserve">wissen- </w:t>
      </w:r>
      <w:r>
        <w:rPr>
          <w:color w:val="000000"/>
          <w:spacing w:val="0"/>
          <w:w w:val="100"/>
          <w:position w:val="0"/>
          <w:shd w:val="clear" w:color="auto" w:fill="auto"/>
          <w:lang w:val="hr-HR" w:eastAsia="hr-HR" w:bidi="hr-HR"/>
        </w:rPr>
        <w:t>schaftlichc Rcihc4056), Munchen 1970, 112-120.</w:t>
      </w:r>
    </w:p>
    <w:p>
      <w:pPr>
        <w:pStyle w:val="Style56"/>
        <w:keepNext w:val="0"/>
        <w:keepLines w:val="0"/>
        <w:widowControl w:val="0"/>
        <w:shd w:val="clear" w:color="auto" w:fill="auto"/>
        <w:bidi w:val="0"/>
        <w:spacing w:before="0" w:after="120" w:line="240" w:lineRule="auto"/>
        <w:ind w:left="0" w:right="0" w:firstLine="0"/>
        <w:jc w:val="right"/>
      </w:pPr>
      <w:r>
        <w:rPr>
          <w:color w:val="000000"/>
          <w:spacing w:val="0"/>
          <w:w w:val="100"/>
          <w:position w:val="0"/>
          <w:shd w:val="clear" w:color="auto" w:fill="auto"/>
          <w:lang w:val="hr-HR" w:eastAsia="hr-HR" w:bidi="hr-HR"/>
        </w:rPr>
        <w:t>I.. HAGBMANN</w:t>
      </w:r>
    </w:p>
    <w:p>
      <w:pPr>
        <w:pStyle w:val="Style63"/>
        <w:keepNext/>
        <w:keepLines/>
        <w:widowControl w:val="0"/>
        <w:numPr>
          <w:ilvl w:val="0"/>
          <w:numId w:val="549"/>
        </w:numPr>
        <w:shd w:val="clear" w:color="auto" w:fill="auto"/>
        <w:tabs>
          <w:tab w:pos="260" w:val="left"/>
        </w:tabs>
        <w:bidi w:val="0"/>
        <w:spacing w:before="0" w:line="223" w:lineRule="auto"/>
        <w:ind w:left="0" w:right="0" w:firstLine="0"/>
        <w:jc w:val="both"/>
      </w:pPr>
      <w:bookmarkStart w:id="345" w:name="bookmark345"/>
      <w:r>
        <w:rPr>
          <w:rFonts w:ascii="Times New Roman" w:eastAsia="Times New Roman" w:hAnsi="Times New Roman" w:cs="Times New Roman"/>
          <w:color w:val="000000"/>
          <w:spacing w:val="0"/>
          <w:w w:val="100"/>
          <w:position w:val="0"/>
          <w:shd w:val="clear" w:color="auto" w:fill="auto"/>
          <w:lang w:val="hr-HR" w:eastAsia="hr-HR" w:bidi="hr-HR"/>
        </w:rPr>
        <w:t>islamski</w:t>
      </w:r>
      <w:bookmarkEnd w:id="34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 zamjetnom iscrpnošću Kuran opisuje esha- tološko događanje, čija je kruna sudnji dan. Mnogo toga u tim iskazima ima slikovit ka</w:t>
        <w:softHyphen/>
        <w:t>rakter. Unatoč tomu, u teološkoj se literaturi eshatološki slikoviti svijet često obraduje kao jezični ekvivalent opipljivoj zbilji. Tu susreće</w:t>
        <w:softHyphen/>
        <w:t xml:space="preserve">mo pojmove kao što su </w:t>
      </w:r>
      <w:r>
        <w:rPr>
          <w:rFonts w:ascii="Times New Roman" w:eastAsia="Times New Roman" w:hAnsi="Times New Roman" w:cs="Times New Roman"/>
          <w:i/>
          <w:iCs/>
          <w:color w:val="000000"/>
          <w:spacing w:val="0"/>
          <w:w w:val="100"/>
          <w:position w:val="0"/>
          <w:shd w:val="clear" w:color="auto" w:fill="auto"/>
          <w:lang w:val="hr-HR" w:eastAsia="hr-HR" w:bidi="hr-HR"/>
        </w:rPr>
        <w:t>mizan,</w:t>
      </w:r>
      <w:r>
        <w:rPr>
          <w:rFonts w:ascii="Times New Roman" w:eastAsia="Times New Roman" w:hAnsi="Times New Roman" w:cs="Times New Roman"/>
          <w:color w:val="000000"/>
          <w:spacing w:val="0"/>
          <w:w w:val="100"/>
          <w:position w:val="0"/>
          <w:shd w:val="clear" w:color="auto" w:fill="auto"/>
          <w:lang w:val="hr-HR" w:eastAsia="hr-HR" w:bidi="hr-HR"/>
        </w:rPr>
        <w:t xml:space="preserve"> vaga, na kojoj se čovjekova djela važu prema omjeru </w:t>
      </w:r>
      <w:r>
        <w:rPr>
          <w:rFonts w:ascii="Times New Roman" w:eastAsia="Times New Roman" w:hAnsi="Times New Roman" w:cs="Times New Roman"/>
          <w:i/>
          <w:iCs/>
          <w:color w:val="000000"/>
          <w:spacing w:val="0"/>
          <w:w w:val="100"/>
          <w:position w:val="0"/>
          <w:shd w:val="clear" w:color="auto" w:fill="auto"/>
          <w:lang w:val="hr-HR" w:eastAsia="hr-HR" w:bidi="hr-HR"/>
        </w:rPr>
        <w:t xml:space="preserve">dobrog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hr-HR" w:eastAsia="hr-HR" w:bidi="hr-HR"/>
        </w:rPr>
        <w:t>zlog, sirat,</w:t>
      </w:r>
      <w:r>
        <w:rPr>
          <w:rFonts w:ascii="Times New Roman" w:eastAsia="Times New Roman" w:hAnsi="Times New Roman" w:cs="Times New Roman"/>
          <w:color w:val="000000"/>
          <w:spacing w:val="0"/>
          <w:w w:val="100"/>
          <w:position w:val="0"/>
          <w:shd w:val="clear" w:color="auto" w:fill="auto"/>
          <w:lang w:val="hr-HR" w:eastAsia="hr-HR" w:bidi="hr-HR"/>
        </w:rPr>
        <w:t xml:space="preserve"> most preko paklenoga ponora, i </w:t>
      </w:r>
      <w:r>
        <w:rPr>
          <w:rFonts w:ascii="Times New Roman" w:eastAsia="Times New Roman" w:hAnsi="Times New Roman" w:cs="Times New Roman"/>
          <w:i/>
          <w:iCs/>
          <w:color w:val="000000"/>
          <w:spacing w:val="0"/>
          <w:w w:val="100"/>
          <w:position w:val="0"/>
          <w:shd w:val="clear" w:color="auto" w:fill="auto"/>
          <w:lang w:val="hr-HR" w:eastAsia="hr-HR" w:bidi="hr-HR"/>
        </w:rPr>
        <w:t>kitab,</w:t>
      </w:r>
      <w:r>
        <w:rPr>
          <w:rFonts w:ascii="Times New Roman" w:eastAsia="Times New Roman" w:hAnsi="Times New Roman" w:cs="Times New Roman"/>
          <w:color w:val="000000"/>
          <w:spacing w:val="0"/>
          <w:w w:val="100"/>
          <w:position w:val="0"/>
          <w:shd w:val="clear" w:color="auto" w:fill="auto"/>
          <w:lang w:val="hr-HR" w:eastAsia="hr-HR" w:bidi="hr-HR"/>
        </w:rPr>
        <w:t xml:space="preserve"> knjiga u kojoj su zapisana pokojnikova djela. Komu se ta knjiga dadne prije suda u desnu ruku, taj se može nadati da spada medu spašene (69,19 i d.). Sudnji dan se proteže u neizrecivoj dužini. Toga će dana Bog suditi o čovjekovim djelima. Onaj tko je zaslužio Nje</w:t>
        <w:softHyphen/>
        <w:t>govu milost bit će nagrađen rajem. Ali onaj tko se ogriješio o Božje zapovijedi pada u pro</w:t>
        <w:softHyphen/>
        <w:t>kletstvo, makar mu dobrostivi Bog i oprostio. Jedino Bog znade kada će doći sudnji dan. Sve će u ovome svijetu umrijeti ili propasti, no na onome svijetu sve što je bilo živo ponovno će se probuditi u novome životu. Povrh raja vjernici u vidu imaju Božje zadovoljstvo koje je veće od edenskih vrtova (9,72). »Oni koji čine dobročinstva imat će dobročinstva i više od toga« (10,26). Pod tim se treba podrazu</w:t>
        <w:softHyphen/>
        <w:t>mijevati zrenje Boga.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Opisi zadnjih stvari u Kuranu su dvoslojni: S jednima se oslovljava masa običnih vjernika; drugi oslovljavaju duhovno više postavljene ljude. Žive scene iz raja i pakla, koje se susre</w:t>
        <w:softHyphen/>
      </w:r>
      <w:r>
        <w:rPr>
          <w:rFonts w:ascii="Times New Roman" w:eastAsia="Times New Roman" w:hAnsi="Times New Roman" w:cs="Times New Roman"/>
          <w:color w:val="000000"/>
          <w:spacing w:val="0"/>
          <w:w w:val="100"/>
          <w:position w:val="0"/>
          <w:shd w:val="clear" w:color="auto" w:fill="auto"/>
          <w:lang w:val="hr-HR" w:eastAsia="hr-HR" w:bidi="hr-HR"/>
        </w:rPr>
        <w:t>ću medu lim opisima, mnogi vjernici shvaćaju doslovno, a mnogi simbolički. Kazna na ono</w:t>
        <w:softHyphen/>
        <w:t>me svijetu bit će jednoga dana ukinuta Božjom milošću (39,35; 11,108). Predodžbama o sudu iscrpno su se bavili islamska mistika i pjes</w:t>
        <w:softHyphen/>
        <w:t>ništvo. Izneseni su i zastupani slobodnjački, zapravo heretički nazori. I satirične aluzije o sadašnjosti susreću se ponekad u širokom spletu mita i fantazije. Tako perzijski pjesnik Sa’ib (u. 1687) uzdiše da »je najgora kazna još jednom morati vidjeti lica suvremenika«.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YOnus </w:t>
      </w:r>
      <w:r>
        <w:rPr>
          <w:rFonts w:ascii="Times New Roman" w:eastAsia="Times New Roman" w:hAnsi="Times New Roman" w:cs="Times New Roman"/>
          <w:color w:val="000000"/>
          <w:spacing w:val="0"/>
          <w:w w:val="100"/>
          <w:position w:val="0"/>
          <w:shd w:val="clear" w:color="auto" w:fill="auto"/>
          <w:lang w:val="hr-HR" w:eastAsia="hr-HR" w:bidi="hr-HR"/>
        </w:rPr>
        <w:t>Emrc, turski mistik iz XIV. stoljeća, raspravlja s Bogom: »Stvorio si vagu kako bi mjerio nedjela, - Tako me želiš baciti u oganj! - Vaga je za sitnoga trgovca, - Zlatar je treba, trgovac i ljekarnik! - Ti si onaj koji zna, Ti poznaješ moju situaciju - Zar Ti treba vaga da me provjeriš?«</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Prijetnja strahotama strašnoga suda uvijek je igrala veliku ulogu u propovijedi. Nasuprot njoj, vjernicima su uvijek predočavane pred</w:t>
        <w:softHyphen/>
        <w:t>nosti izbjegavanja lošega kraja činjenjem do</w:t>
        <w:softHyphen/>
        <w:t>brih djela ili kompenziranjem počinjenih zala činom dobročinstva. Kako bi mogao u stano</w:t>
        <w:softHyphen/>
        <w:t>vitoj mjeri bezbrižno očekivati sudnji dan, musliman se uvijek iznova podsjeća na to da je ovaj svijet, kako je kazao Muhamed, »žitni</w:t>
        <w:softHyphen/>
        <w:t>ca«. »Sto se na njemu posije, to će se na ono</w:t>
        <w:softHyphen/>
        <w:t>me svijetu požnjeti«.</w:t>
      </w:r>
    </w:p>
    <w:p>
      <w:pPr>
        <w:pStyle w:val="Style56"/>
        <w:keepNext w:val="0"/>
        <w:keepLines w:val="0"/>
        <w:widowControl w:val="0"/>
        <w:shd w:val="clear" w:color="auto" w:fill="auto"/>
        <w:tabs>
          <w:tab w:pos="2563" w:val="left"/>
        </w:tabs>
        <w:bidi w:val="0"/>
        <w:spacing w:before="0" w:after="460" w:line="240" w:lineRule="auto"/>
        <w:ind w:left="0" w:right="0" w:firstLine="0"/>
        <w:jc w:val="both"/>
      </w:pPr>
      <w:r>
        <w:rPr>
          <w:color w:val="000000"/>
          <w:spacing w:val="0"/>
          <w:w w:val="100"/>
          <w:position w:val="0"/>
          <w:shd w:val="clear" w:color="auto" w:fill="auto"/>
          <w:lang w:val="hr-HR" w:eastAsia="hr-HR" w:bidi="hr-HR"/>
        </w:rPr>
        <w:t xml:space="preserve">Lit.: Anncmaric </w:t>
      </w:r>
      <w:r>
        <w:rPr>
          <w:color w:val="000000"/>
          <w:spacing w:val="0"/>
          <w:w w:val="100"/>
          <w:position w:val="0"/>
          <w:shd w:val="clear" w:color="auto" w:fill="auto"/>
        </w:rPr>
        <w:t xml:space="preserve">Schimmel. </w:t>
      </w:r>
      <w:r>
        <w:rPr>
          <w:color w:val="000000"/>
          <w:spacing w:val="0"/>
          <w:w w:val="100"/>
          <w:position w:val="0"/>
          <w:shd w:val="clear" w:color="auto" w:fill="auto"/>
          <w:lang w:val="hr-HR" w:eastAsia="hr-HR" w:bidi="hr-HR"/>
        </w:rPr>
        <w:t xml:space="preserve">Schopfungsgtaubc und Gc- richlsgcdankc im </w:t>
      </w:r>
      <w:r>
        <w:rPr>
          <w:color w:val="000000"/>
          <w:spacing w:val="0"/>
          <w:w w:val="100"/>
          <w:position w:val="0"/>
          <w:shd w:val="clear" w:color="auto" w:fill="auto"/>
        </w:rPr>
        <w:t xml:space="preserve">Koran </w:t>
      </w:r>
      <w:r>
        <w:rPr>
          <w:color w:val="000000"/>
          <w:spacing w:val="0"/>
          <w:w w:val="100"/>
          <w:position w:val="0"/>
          <w:shd w:val="clear" w:color="auto" w:fill="auto"/>
          <w:lang w:val="hr-HR" w:eastAsia="hr-HR" w:bidi="hr-HR"/>
        </w:rPr>
        <w:t xml:space="preserve">und im mvstisch-poctischcr Dichtung, u: </w:t>
      </w:r>
      <w:r>
        <w:rPr>
          <w:i/>
          <w:iCs/>
          <w:color w:val="000000"/>
          <w:spacing w:val="0"/>
          <w:w w:val="100"/>
          <w:position w:val="0"/>
          <w:shd w:val="clear" w:color="auto" w:fill="auto"/>
          <w:lang w:val="hr-HR" w:eastAsia="hr-HR" w:bidi="hr-HR"/>
        </w:rPr>
        <w:t xml:space="preserve">Glauben </w:t>
      </w:r>
      <w:r>
        <w:rPr>
          <w:i/>
          <w:iCs/>
          <w:color w:val="000000"/>
          <w:spacing w:val="0"/>
          <w:w w:val="100"/>
          <w:position w:val="0"/>
          <w:shd w:val="clear" w:color="auto" w:fill="auto"/>
        </w:rPr>
        <w:t>an den einen Goll.</w:t>
      </w:r>
      <w:r>
        <w:rPr>
          <w:color w:val="000000"/>
          <w:spacing w:val="0"/>
          <w:w w:val="100"/>
          <w:position w:val="0"/>
          <w:shd w:val="clear" w:color="auto" w:fill="auto"/>
        </w:rPr>
        <w:t xml:space="preserve"> Frcihurg/Bascl/ Wien, 1975,203-237.</w:t>
        <w:tab/>
        <w:t xml:space="preserve">s. </w:t>
      </w:r>
      <w:r>
        <w:rPr>
          <w:color w:val="000000"/>
          <w:spacing w:val="0"/>
          <w:w w:val="100"/>
          <w:position w:val="0"/>
          <w:shd w:val="clear" w:color="auto" w:fill="auto"/>
          <w:lang w:val="hr-HR" w:eastAsia="hr-HR" w:bidi="hr-HR"/>
        </w:rPr>
        <w:t>HAI.IĆ</w:t>
      </w:r>
    </w:p>
    <w:p>
      <w:pPr>
        <w:pStyle w:val="Style91"/>
        <w:keepNext/>
        <w:keepLines/>
        <w:widowControl w:val="0"/>
        <w:shd w:val="clear" w:color="auto" w:fill="auto"/>
        <w:bidi w:val="0"/>
        <w:spacing w:before="0" w:after="260" w:line="240" w:lineRule="auto"/>
        <w:ind w:left="0" w:right="0" w:firstLine="0"/>
        <w:jc w:val="both"/>
      </w:pPr>
      <w:bookmarkStart w:id="346" w:name="bookmark346"/>
      <w:r>
        <w:rPr>
          <w:rFonts w:ascii="Times New Roman" w:eastAsia="Times New Roman" w:hAnsi="Times New Roman" w:cs="Times New Roman"/>
          <w:b/>
          <w:bCs/>
          <w:color w:val="000000"/>
          <w:spacing w:val="0"/>
          <w:w w:val="100"/>
          <w:position w:val="0"/>
          <w:shd w:val="clear" w:color="auto" w:fill="auto"/>
          <w:lang w:val="en-US" w:eastAsia="en-US" w:bidi="en-US"/>
        </w:rPr>
        <w:t xml:space="preserve">SUFIZAM -&gt; </w:t>
      </w:r>
      <w:r>
        <w:rPr>
          <w:rFonts w:ascii="Times New Roman" w:eastAsia="Times New Roman" w:hAnsi="Times New Roman" w:cs="Times New Roman"/>
          <w:color w:val="000000"/>
          <w:spacing w:val="0"/>
          <w:w w:val="100"/>
          <w:position w:val="0"/>
          <w:shd w:val="clear" w:color="auto" w:fill="auto"/>
          <w:lang w:val="hr-HR" w:eastAsia="hr-HR" w:bidi="hr-HR"/>
        </w:rPr>
        <w:t xml:space="preserve">MISTIKA </w:t>
      </w:r>
      <w:r>
        <w:rPr>
          <w:rFonts w:ascii="Times New Roman" w:eastAsia="Times New Roman" w:hAnsi="Times New Roman" w:cs="Times New Roman"/>
          <w:color w:val="000000"/>
          <w:spacing w:val="0"/>
          <w:w w:val="100"/>
          <w:position w:val="0"/>
          <w:shd w:val="clear" w:color="auto" w:fill="auto"/>
          <w:lang w:val="en-US" w:eastAsia="en-US" w:bidi="en-US"/>
        </w:rPr>
        <w:t xml:space="preserve">(3. </w:t>
      </w:r>
      <w:r>
        <w:rPr>
          <w:rFonts w:ascii="Times New Roman" w:eastAsia="Times New Roman" w:hAnsi="Times New Roman" w:cs="Times New Roman"/>
          <w:color w:val="000000"/>
          <w:spacing w:val="0"/>
          <w:w w:val="100"/>
          <w:position w:val="0"/>
          <w:shd w:val="clear" w:color="auto" w:fill="auto"/>
          <w:lang w:val="hr-HR" w:eastAsia="hr-HR" w:bidi="hr-HR"/>
        </w:rPr>
        <w:t>islamski)</w:t>
      </w:r>
      <w:bookmarkEnd w:id="346"/>
    </w:p>
    <w:p>
      <w:pPr>
        <w:pStyle w:val="Style33"/>
        <w:keepNext w:val="0"/>
        <w:keepLines w:val="0"/>
        <w:widowControl w:val="0"/>
        <w:shd w:val="clear" w:color="auto" w:fill="auto"/>
        <w:bidi w:val="0"/>
        <w:spacing w:before="0" w:after="120" w:line="240"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en-US" w:eastAsia="en-US" w:bidi="en-US"/>
        </w:rPr>
        <w:t>SUNA (SLNNA)</w:t>
      </w:r>
    </w:p>
    <w:p>
      <w:pPr>
        <w:pStyle w:val="Style63"/>
        <w:keepNext/>
        <w:keepLines/>
        <w:widowControl w:val="0"/>
        <w:shd w:val="clear" w:color="auto" w:fill="auto"/>
        <w:bidi w:val="0"/>
        <w:spacing w:before="0" w:line="240" w:lineRule="auto"/>
        <w:ind w:left="0" w:right="0" w:firstLine="0"/>
        <w:jc w:val="both"/>
      </w:pPr>
      <w:bookmarkStart w:id="347" w:name="bookmark347"/>
      <w:r>
        <w:rPr>
          <w:rFonts w:ascii="Times New Roman" w:eastAsia="Times New Roman" w:hAnsi="Times New Roman" w:cs="Times New Roman"/>
          <w:color w:val="000000"/>
          <w:spacing w:val="0"/>
          <w:w w:val="100"/>
          <w:position w:val="0"/>
          <w:shd w:val="clear" w:color="auto" w:fill="auto"/>
          <w:lang w:val="hr-HR" w:eastAsia="hr-HR" w:bidi="hr-HR"/>
        </w:rPr>
        <w:t>islamski</w:t>
      </w:r>
      <w:bookmarkEnd w:id="34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Izrazom </w:t>
      </w: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 xml:space="preserve">(turski: </w:t>
      </w:r>
      <w:r>
        <w:rPr>
          <w:rFonts w:ascii="Times New Roman" w:eastAsia="Times New Roman" w:hAnsi="Times New Roman" w:cs="Times New Roman"/>
          <w:i/>
          <w:iCs/>
          <w:color w:val="000000"/>
          <w:spacing w:val="0"/>
          <w:w w:val="100"/>
          <w:position w:val="0"/>
          <w:shd w:val="clear" w:color="auto" w:fill="auto"/>
          <w:lang w:val="en-US" w:eastAsia="en-US" w:bidi="en-US"/>
        </w:rPr>
        <w:t>siinnet),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koji znači isto što i </w:t>
      </w:r>
      <w:r>
        <w:rPr>
          <w:rFonts w:ascii="Times New Roman" w:eastAsia="Times New Roman" w:hAnsi="Times New Roman" w:cs="Times New Roman"/>
          <w:i/>
          <w:iCs/>
          <w:color w:val="000000"/>
          <w:spacing w:val="0"/>
          <w:w w:val="100"/>
          <w:position w:val="0"/>
          <w:shd w:val="clear" w:color="auto" w:fill="auto"/>
          <w:lang w:val="hr-HR" w:eastAsia="hr-HR" w:bidi="hr-HR"/>
        </w:rPr>
        <w:t>običaj, navika,</w:t>
      </w:r>
      <w:r>
        <w:rPr>
          <w:rFonts w:ascii="Times New Roman" w:eastAsia="Times New Roman" w:hAnsi="Times New Roman" w:cs="Times New Roman"/>
          <w:color w:val="000000"/>
          <w:spacing w:val="0"/>
          <w:w w:val="100"/>
          <w:position w:val="0"/>
          <w:shd w:val="clear" w:color="auto" w:fill="auto"/>
          <w:lang w:val="hr-HR" w:eastAsia="hr-HR" w:bidi="hr-HR"/>
        </w:rPr>
        <w:t xml:space="preserve"> označuje se -» tradicija kao drugi izvor islama. Ona se prema Kuranu od</w:t>
        <w:softHyphen/>
        <w:t>nosi kao komentar njegovih izvornih spisa. Najmjerodavnijim tumačem kuranske objave smatra se Muhamed, čiji je dio životne povi</w:t>
        <w:softHyphen/>
        <w:t>jesti predmet sune. Stoga je potrebno slijeđe</w:t>
        <w:softHyphen/>
        <w:t>nje njegova primjera. Njegove se upute sma</w:t>
        <w:softHyphen/>
        <w:t>traju dužnošću. U Kuranu se vjernicima uvi</w:t>
        <w:softHyphen/>
        <w:t>jek iznova stavlja na dušu da budu pokorni Bogu i njegovu poslaniku. Dakle, s. se u is</w:t>
        <w:softHyphen/>
      </w:r>
      <w:r>
        <w:rPr>
          <w:rFonts w:ascii="Times New Roman" w:eastAsia="Times New Roman" w:hAnsi="Times New Roman" w:cs="Times New Roman"/>
          <w:color w:val="000000"/>
          <w:spacing w:val="0"/>
          <w:w w:val="100"/>
          <w:position w:val="0"/>
          <w:shd w:val="clear" w:color="auto" w:fill="auto"/>
          <w:lang w:val="hr-HR" w:eastAsia="hr-HR" w:bidi="hr-HR"/>
        </w:rPr>
        <w:t>lamu može usporediti s evanđeljima u kršćan</w:t>
        <w:softHyphen/>
        <w:t>stvu, premda je primjer koji se ovdje treba slijediti čisto ljudski. No s. ima i jednu drugu dimenziju: U njoj se reflektira sva složenost arapsko-beduinske tradicije koja je svakako odjenuta u islamsko ruho. Stoga je sunom od</w:t>
        <w:softHyphen/>
        <w:t>ređeni životni put uvelike arapski put.</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Literarni korijeni sune predstavljaju -» </w:t>
      </w:r>
      <w:r>
        <w:rPr>
          <w:rFonts w:ascii="Times New Roman" w:eastAsia="Times New Roman" w:hAnsi="Times New Roman" w:cs="Times New Roman"/>
          <w:i/>
          <w:iCs/>
          <w:color w:val="000000"/>
          <w:spacing w:val="0"/>
          <w:w w:val="100"/>
          <w:position w:val="0"/>
          <w:shd w:val="clear" w:color="auto" w:fill="auto"/>
          <w:lang w:val="hr-HR" w:eastAsia="hr-HR" w:bidi="hr-HR"/>
        </w:rPr>
        <w:t>ha- dis(i)</w:t>
      </w:r>
      <w:r>
        <w:rPr>
          <w:rFonts w:ascii="Times New Roman" w:eastAsia="Times New Roman" w:hAnsi="Times New Roman" w:cs="Times New Roman"/>
          <w:color w:val="000000"/>
          <w:spacing w:val="0"/>
          <w:w w:val="100"/>
          <w:position w:val="0"/>
          <w:shd w:val="clear" w:color="auto" w:fill="auto"/>
          <w:lang w:val="hr-HR" w:eastAsia="hr-HR" w:bidi="hr-HR"/>
        </w:rPr>
        <w:t xml:space="preserve"> (kratka izvješća o Muhamedu ili o nje</w:t>
        <w:softHyphen/>
        <w:t>govim izrekama). S. je po svoj prilici u IX. stoljeću shvaćana kao »živa tradicija« koja se oblikovala unutar jedne škole. Danas se ta dva pojma višestruko miješaju, premda hadis svoje mjesto u nauku zauzima poglavito kao literarno svjedočanstvo predaje ili kao ukup</w:t>
        <w:softHyphen/>
        <w:t>nost takvih svjedočanstava. Kao o izvoru is</w:t>
        <w:softHyphen/>
        <w:t xml:space="preserve">lama govori se o suni, a ne o hadisu. S. može biti doduše teško posvjedočiva </w:t>
      </w:r>
      <w:r>
        <w:rPr>
          <w:rFonts w:ascii="Times New Roman" w:eastAsia="Times New Roman" w:hAnsi="Times New Roman" w:cs="Times New Roman"/>
          <w:color w:val="000000"/>
          <w:spacing w:val="0"/>
          <w:w w:val="100"/>
          <w:position w:val="0"/>
          <w:shd w:val="clear" w:color="auto" w:fill="auto"/>
          <w:lang w:val="en-US" w:eastAsia="en-US" w:bidi="en-US"/>
        </w:rPr>
        <w:t xml:space="preserve">(ghayr </w:t>
      </w:r>
      <w:r>
        <w:rPr>
          <w:rFonts w:ascii="Times New Roman" w:eastAsia="Times New Roman" w:hAnsi="Times New Roman" w:cs="Times New Roman"/>
          <w:color w:val="000000"/>
          <w:spacing w:val="0"/>
          <w:w w:val="100"/>
          <w:position w:val="0"/>
          <w:shd w:val="clear" w:color="auto" w:fill="auto"/>
          <w:lang w:val="hr-HR" w:eastAsia="hr-HR" w:bidi="hr-HR"/>
        </w:rPr>
        <w:t>mu’ak- kada), ali ona nikada nije pogrešna. Nasuprot tomu, postoji nepregledno mnoštvo hadisa. S. je čvrsto ugrađena u pravni i obredni sustav (šerijat) sunita. Ona je mjerodavna i za šijite, no oni je dijelom ipak shvaćaju drugačije.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Sunitsko shvaćanje islama neposredno se na- dovezuje na temeljni stav </w:t>
      </w:r>
      <w:r>
        <w:rPr>
          <w:rFonts w:ascii="Times New Roman" w:eastAsia="Times New Roman" w:hAnsi="Times New Roman" w:cs="Times New Roman"/>
          <w:i/>
          <w:iCs/>
          <w:color w:val="000000"/>
          <w:spacing w:val="0"/>
          <w:w w:val="100"/>
          <w:position w:val="0"/>
          <w:shd w:val="clear" w:color="auto" w:fill="auto"/>
          <w:lang w:val="hr-HR" w:eastAsia="hr-HR" w:bidi="hr-HR"/>
        </w:rPr>
        <w:t>ahl al-hađith.</w:t>
      </w:r>
      <w:r>
        <w:rPr>
          <w:rFonts w:ascii="Times New Roman" w:eastAsia="Times New Roman" w:hAnsi="Times New Roman" w:cs="Times New Roman"/>
          <w:color w:val="000000"/>
          <w:spacing w:val="0"/>
          <w:w w:val="100"/>
          <w:position w:val="0"/>
          <w:shd w:val="clear" w:color="auto" w:fill="auto"/>
          <w:lang w:val="hr-HR" w:eastAsia="hr-HR" w:bidi="hr-HR"/>
        </w:rPr>
        <w:t xml:space="preserve"> To su oni ljudi koji, za razliku od </w:t>
      </w:r>
      <w:r>
        <w:rPr>
          <w:rFonts w:ascii="Times New Roman" w:eastAsia="Times New Roman" w:hAnsi="Times New Roman" w:cs="Times New Roman"/>
          <w:i/>
          <w:iCs/>
          <w:color w:val="000000"/>
          <w:spacing w:val="0"/>
          <w:w w:val="100"/>
          <w:position w:val="0"/>
          <w:shd w:val="clear" w:color="auto" w:fill="auto"/>
          <w:lang w:val="hr-HR" w:eastAsia="hr-HR" w:bidi="hr-HR"/>
        </w:rPr>
        <w:t>ahl ar-ra'y</w:t>
      </w:r>
      <w:r>
        <w:rPr>
          <w:rFonts w:ascii="Times New Roman" w:eastAsia="Times New Roman" w:hAnsi="Times New Roman" w:cs="Times New Roman"/>
          <w:color w:val="000000"/>
          <w:spacing w:val="0"/>
          <w:w w:val="100"/>
          <w:position w:val="0"/>
          <w:shd w:val="clear" w:color="auto" w:fill="auto"/>
          <w:lang w:val="hr-HR" w:eastAsia="hr-HR" w:bidi="hr-HR"/>
        </w:rPr>
        <w:t xml:space="preserve"> (»pri</w:t>
        <w:softHyphen/>
        <w:t>staše slobodnoga mišljenja«), prvenstvo daju Muhamedovu primjeru ili nekoj drugoj pre</w:t>
        <w:softHyphen/>
        <w:t>daji iz prvoga razdoblja islama. Ta je strana zadala odlučujući smrtni udarac slobodoum</w:t>
        <w:softHyphen/>
        <w:t>nim teološkim školama murdžijita i ntutezili- ta. U sunitskim prodorima muteziliti su, ali i šijiti, vidjeli manipuliranje priprostim pukom fanima). Mutevekil (847-886), abasidski kalif koji je sunizam uzdigao do službenoga nauka, vidio je u tom postupku jedino sredstvo za ojačavanje svoje osobne moći. Pred lakovjer</w:t>
        <w:softHyphen/>
        <w:t>nim masama on je sebe proglasio »Božjom sjenom na zemlji«, ali je bio toliko neobrazo</w:t>
        <w:softHyphen/>
        <w:t xml:space="preserve">van da - prema svjedočenju suvremenika - nije bio u stanju razumjeti hvalospjeve koje je za njega pisao al-Buhutri </w:t>
      </w:r>
      <w:r>
        <w:rPr>
          <w:rFonts w:ascii="Times New Roman" w:eastAsia="Times New Roman" w:hAnsi="Times New Roman" w:cs="Times New Roman"/>
          <w:i/>
          <w:iCs/>
          <w:color w:val="000000"/>
          <w:spacing w:val="0"/>
          <w:w w:val="100"/>
          <w:position w:val="0"/>
          <w:shd w:val="clear" w:color="auto" w:fill="auto"/>
          <w:lang w:val="hr-HR" w:eastAsia="hr-HR" w:bidi="hr-HR"/>
        </w:rPr>
        <w:t>(Klassizismus und Kulturverfall,</w:t>
      </w:r>
      <w:r>
        <w:rPr>
          <w:rFonts w:ascii="Times New Roman" w:eastAsia="Times New Roman" w:hAnsi="Times New Roman" w:cs="Times New Roman"/>
          <w:color w:val="000000"/>
          <w:spacing w:val="0"/>
          <w:w w:val="100"/>
          <w:position w:val="0"/>
          <w:shd w:val="clear" w:color="auto" w:fill="auto"/>
          <w:lang w:val="hr-HR" w:eastAsia="hr-HR" w:bidi="hr-HR"/>
        </w:rPr>
        <w:t xml:space="preserve"> Frankfurt/M. 1960, 133).</w:t>
      </w:r>
    </w:p>
    <w:p>
      <w:pPr>
        <w:pStyle w:val="Style20"/>
        <w:keepNext w:val="0"/>
        <w:keepLines w:val="0"/>
        <w:widowControl w:val="0"/>
        <w:shd w:val="clear" w:color="auto" w:fill="auto"/>
        <w:bidi w:val="0"/>
        <w:spacing w:before="0" w:after="0"/>
        <w:ind w:left="0" w:right="0" w:firstLine="0"/>
        <w:jc w:val="both"/>
        <w:sectPr>
          <w:headerReference w:type="default" r:id="rId1407"/>
          <w:footerReference w:type="default" r:id="rId1408"/>
          <w:headerReference w:type="even" r:id="rId1409"/>
          <w:footerReference w:type="even" r:id="rId1410"/>
          <w:headerReference w:type="first" r:id="rId1411"/>
          <w:footerReference w:type="first" r:id="rId1412"/>
          <w:footnotePr>
            <w:pos w:val="pageBottom"/>
            <w:numFmt w:val="decimal"/>
            <w:numRestart w:val="continuous"/>
            <w15:footnoteColumns w:val="1"/>
          </w:footnotePr>
          <w:pgSz w:w="6816" w:h="11006"/>
          <w:pgMar w:top="1000" w:left="194" w:right="196" w:bottom="459" w:header="0" w:footer="3" w:gutter="0"/>
          <w:pgNumType w:start="464"/>
          <w:cols w:num="2" w:space="17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Abu Hanifi (u. 767) i njegovim učenicima na području pravne znanosti, kao i al-Ašariju (u. 935) u području dogmatike pripadaju zasluge za to što su u sunitskom islamu uvijek spaša</w:t>
        <w:softHyphen/>
        <w:t>vali nešto od slobodnoga mutezilitskog duha. Suniti se od šijita razlikuju uglavnom po svom realnom tumačenju principa legalnosti. Oni smatraju legalnim izbor prva četiri kalifa; ši</w:t>
        <w:softHyphen/>
        <w:t xml:space="preserve">jiti, nasuprot tomu, priznaju samo izbor čc-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tvrtoga kalifa Alije zato što je on bio izravni Muhamedov potomak. Po njihovom shvaća</w:t>
        <w:softHyphen/>
        <w:t>nju, pravo naslijeđa imaju samo članovi Mu- hamedove obitelji. Tako je to pravo s Alije, Muhamedova nećaka i zeta, u rastućoj mjeri prelazilo na njegove sinove i njegovo potom</w:t>
        <w:softHyphen/>
        <w:t>stvo (imame).</w:t>
      </w:r>
    </w:p>
    <w:p>
      <w:pPr>
        <w:pStyle w:val="Style20"/>
        <w:keepNext w:val="0"/>
        <w:keepLines w:val="0"/>
        <w:widowControl w:val="0"/>
        <w:shd w:val="clear" w:color="auto" w:fill="auto"/>
        <w:tabs>
          <w:tab w:pos="2568" w:val="left"/>
        </w:tabs>
        <w:bidi w:val="0"/>
        <w:spacing w:before="0" w:after="360"/>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Suniti smatraju sebe legitimnim predstavnici</w:t>
        <w:softHyphen/>
        <w:t>ma istinskoga islama. S., koja načelno nije ni u kakvoj suprotnosti s Kuranom, doista vodi k tomu da se muslimanske narodne mase uve</w:t>
        <w:softHyphen/>
        <w:t>like podvrgnu diktatu povijesti. Ona sprečava njihove autonomne odluke. Neovisno o tome, ona se tijekom današnjega takozvanog reis- lamiziranja uzdigla do povlaštene orijentacij- ske podloge. U tu svrhu služe različiti kon</w:t>
        <w:softHyphen/>
        <w:t xml:space="preserve">gresi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osiri isuni</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te nagradni natječaji na temu »Muhamed i njegov životni put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(sira)«.</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 Ali se, između ostaloga, čuju i drugačiji glasovi. »Or</w:t>
        <w:softHyphen/>
        <w:t>ganizacija za promicanje islama«, koja djeluje u Tripoliju (Libija), u novije se vrijeme zalaže za takvo shvaćanje islama, u kojemu se Mu</w:t>
        <w:softHyphen/>
        <w:t>hamedova uloga posve radikalno svodi na nje</w:t>
        <w:softHyphen/>
        <w:t>govu čisto-ljudsku dimenziju. To naravno ne</w:t>
        <w:softHyphen/>
        <w:t xml:space="preserve">će bezprigovorno prihvatiti ostali muslimani, posebice oni koji dolaze iz konzervativnoga tabora (usp. kratko izvješće »Kontroverse um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die </w:t>
      </w:r>
      <w:r>
        <w:rPr>
          <w:rFonts w:ascii="Times New Roman" w:eastAsia="Times New Roman" w:hAnsi="Times New Roman" w:cs="Times New Roman"/>
          <w:color w:val="000000"/>
          <w:spacing w:val="0"/>
          <w:w w:val="100"/>
          <w:position w:val="0"/>
          <w:sz w:val="15"/>
          <w:szCs w:val="15"/>
          <w:shd w:val="clear" w:color="auto" w:fill="auto"/>
          <w:lang w:val="hr-HR" w:eastAsia="hr-HR" w:bidi="hr-HR"/>
        </w:rPr>
        <w:t xml:space="preserve">Sunna«, u: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 xml:space="preserve">Islam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 xml:space="preserve">und </w:t>
      </w:r>
      <w:r>
        <w:rPr>
          <w:rFonts w:ascii="Times New Roman" w:eastAsia="Times New Roman" w:hAnsi="Times New Roman" w:cs="Times New Roman"/>
          <w:i/>
          <w:iCs/>
          <w:color w:val="000000"/>
          <w:spacing w:val="0"/>
          <w:w w:val="100"/>
          <w:position w:val="0"/>
          <w:sz w:val="15"/>
          <w:szCs w:val="15"/>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z w:val="15"/>
          <w:szCs w:val="15"/>
          <w:shd w:val="clear" w:color="auto" w:fill="auto"/>
          <w:lang w:val="en-US" w:eastAsia="en-US" w:bidi="en-US"/>
        </w:rPr>
        <w:t>Westen</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 [Wien </w:t>
      </w:r>
      <w:r>
        <w:rPr>
          <w:rFonts w:ascii="Times New Roman" w:eastAsia="Times New Roman" w:hAnsi="Times New Roman" w:cs="Times New Roman"/>
          <w:color w:val="000000"/>
          <w:spacing w:val="0"/>
          <w:w w:val="100"/>
          <w:position w:val="0"/>
          <w:sz w:val="15"/>
          <w:szCs w:val="15"/>
          <w:shd w:val="clear" w:color="auto" w:fill="auto"/>
          <w:lang w:val="hr-HR" w:eastAsia="hr-HR" w:bidi="hr-HR"/>
        </w:rPr>
        <w:t>1982] 3, 9).</w:t>
        <w:tab/>
      </w:r>
      <w:r>
        <w:rPr>
          <w:rFonts w:ascii="Arial" w:eastAsia="Arial" w:hAnsi="Arial" w:cs="Arial"/>
          <w:color w:val="000000"/>
          <w:spacing w:val="0"/>
          <w:w w:val="100"/>
          <w:position w:val="0"/>
          <w:sz w:val="12"/>
          <w:szCs w:val="12"/>
          <w:shd w:val="clear" w:color="auto" w:fill="auto"/>
          <w:lang w:val="hr-HR" w:eastAsia="hr-HR" w:bidi="hr-HR"/>
        </w:rPr>
        <w:t>s. BAI.IĆ</w:t>
      </w:r>
    </w:p>
    <w:p>
      <w:pPr>
        <w:pStyle w:val="Style33"/>
        <w:keepNext w:val="0"/>
        <w:keepLines w:val="0"/>
        <w:widowControl w:val="0"/>
        <w:shd w:val="clear" w:color="auto" w:fill="auto"/>
        <w:bidi w:val="0"/>
        <w:spacing w:before="0" w:after="280" w:line="221" w:lineRule="auto"/>
        <w:ind w:left="0" w:right="0" w:firstLine="0"/>
        <w:jc w:val="both"/>
        <w:rPr>
          <w:sz w:val="18"/>
          <w:szCs w:val="18"/>
        </w:rPr>
      </w:pP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SVEĆENIK </w:t>
      </w:r>
      <w:r>
        <w:rPr>
          <w:rFonts w:ascii="Times New Roman" w:eastAsia="Times New Roman" w:hAnsi="Times New Roman" w:cs="Times New Roman"/>
          <w:color w:val="000000"/>
          <w:spacing w:val="0"/>
          <w:w w:val="100"/>
          <w:position w:val="0"/>
          <w:sz w:val="18"/>
          <w:szCs w:val="18"/>
          <w:shd w:val="clear" w:color="auto" w:fill="auto"/>
          <w:lang w:val="hr-HR" w:eastAsia="hr-HR" w:bidi="hr-HR"/>
        </w:rPr>
        <w:t>SLUŽBA</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SVET</w:t>
      </w:r>
    </w:p>
    <w:p>
      <w:pPr>
        <w:pStyle w:val="Style63"/>
        <w:keepNext/>
        <w:keepLines/>
        <w:widowControl w:val="0"/>
        <w:numPr>
          <w:ilvl w:val="0"/>
          <w:numId w:val="551"/>
        </w:numPr>
        <w:shd w:val="clear" w:color="auto" w:fill="auto"/>
        <w:tabs>
          <w:tab w:pos="246" w:val="left"/>
        </w:tabs>
        <w:bidi w:val="0"/>
        <w:spacing w:before="0"/>
        <w:ind w:left="0" w:right="0" w:firstLine="0"/>
        <w:jc w:val="both"/>
      </w:pPr>
      <w:bookmarkStart w:id="348" w:name="bookmark348"/>
      <w:r>
        <w:rPr>
          <w:rFonts w:ascii="Times New Roman" w:eastAsia="Times New Roman" w:hAnsi="Times New Roman" w:cs="Times New Roman"/>
          <w:color w:val="000000"/>
          <w:spacing w:val="0"/>
          <w:w w:val="100"/>
          <w:position w:val="0"/>
          <w:shd w:val="clear" w:color="auto" w:fill="auto"/>
          <w:lang w:val="hr-HR" w:eastAsia="hr-HR" w:bidi="hr-HR"/>
        </w:rPr>
        <w:t>židovski</w:t>
      </w:r>
      <w:bookmarkEnd w:id="348"/>
    </w:p>
    <w:p>
      <w:pPr>
        <w:pStyle w:val="Style20"/>
        <w:keepNext w:val="0"/>
        <w:keepLines w:val="0"/>
        <w:widowControl w:val="0"/>
        <w:numPr>
          <w:ilvl w:val="0"/>
          <w:numId w:val="553"/>
        </w:numPr>
        <w:shd w:val="clear" w:color="auto" w:fill="auto"/>
        <w:tabs>
          <w:tab w:pos="265" w:val="left"/>
        </w:tabs>
        <w:bidi w:val="0"/>
        <w:spacing w:before="0" w:after="14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Biti odvojen - ne se kloniti:</w:t>
      </w:r>
      <w:r>
        <w:rPr>
          <w:rFonts w:ascii="Times New Roman" w:eastAsia="Times New Roman" w:hAnsi="Times New Roman" w:cs="Times New Roman"/>
          <w:color w:val="000000"/>
          <w:spacing w:val="0"/>
          <w:w w:val="100"/>
          <w:position w:val="0"/>
          <w:shd w:val="clear" w:color="auto" w:fill="auto"/>
          <w:lang w:val="hr-HR" w:eastAsia="hr-HR" w:bidi="hr-HR"/>
        </w:rPr>
        <w:t xml:space="preserve"> Jačina biblij</w:t>
        <w:softHyphen/>
        <w:t>skoga pojma svetosti izražava se prema rabin- skoj egzegezi (npr. Šifra 57b; 99d; b Bava me- cia 11 la) u dvojnosti koja se sastoji od odvoje</w:t>
        <w:softHyphen/>
        <w:t>nosti i povezanosti. Izrael je upravo u tome iskusio Boga kao vladara svijeta koji je, do</w:t>
        <w:softHyphen/>
        <w:t>duše, odvojen od svijeta, ali njegovo djelova</w:t>
        <w:softHyphen/>
        <w:t>nje zrači u svijetu: »S. s. s. ON nad Vojskama! Puna je sva zemlja Slave njegove!« (Iz 6,3); odvojen je, ali nije uskraćen svojem narodu: »Svetac posred tebe« (Hoš 11,9). Stoga je taj izraz prikladan i za konkretizaciju Božje zapo</w:t>
        <w:softHyphen/>
        <w:t>vijedi Izraelu (Izl 19,6): treba živjeti od Boga odabran kao »kraljevstvo svećenika«, ali se kao čovjek mora dokazati svojim djelima, tj.</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biti posvećen snagom Božjom kao »sveti na</w:t>
        <w:softHyphen/>
        <w:t>rod«. No samo kao narod, koji se dokazuje posvećujući se iznova Bogu svim svojim bićem i ponašanjem, Izrael ostvaruje svoje postav</w:t>
        <w:softHyphen/>
        <w:t>ljenje narodom kojega je posvetio Bog (Pnz 7,6; 14,2.21; 26,19; 28,9). Stoga se Izrael mora odvojiti (Br 23,9), ali se ne smije kloniti na</w:t>
        <w:softHyphen/>
        <w:t>roda, štoviše, mora svojim životom pozitivno utjecati na njih; on može ispuniti njegovu za</w:t>
        <w:softHyphen/>
        <w:t>povijed samo ako »svom svijetu« (Izl 19,5) prenese Božju volju. Samo zbog poslušnosti »u posvećenju NJEMU« (Izl 31,15) Izrael spoznaje da je Bog s onim što mu je najsvoj- stvenije, tj. sa svojom svetosti, ovdje za njega: »...da vas JA posvećujem (stih 13); i u tome se može primiti bujica snage Božje i ugledati se na Njega: »Dogodit će se: koji ostanu na Sio- nu i prežive u Jeruzalemu, zvat će se sveti!« (Iz 4,3). U Božjem posvećenju Izraela uko</w:t>
        <w:softHyphen/>
        <w:t>rijenjen je Izaijin važni naziv za Boga: »Svetac Izraelov« (Iz 5,19; 30,11 i d.15). Taj dogadaj obilježila je osnova riječi sa svojim dinamič</w:t>
        <w:softHyphen/>
        <w:t>nim izvedenicama: posvećenje, posvetiti, biti posvećen.</w:t>
      </w:r>
    </w:p>
    <w:p>
      <w:pPr>
        <w:pStyle w:val="Style20"/>
        <w:keepNext w:val="0"/>
        <w:keepLines w:val="0"/>
        <w:widowControl w:val="0"/>
        <w:numPr>
          <w:ilvl w:val="0"/>
          <w:numId w:val="553"/>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Odnos Bog - Izrael/čovjek:</w:t>
      </w:r>
      <w:r>
        <w:rPr>
          <w:rFonts w:ascii="Times New Roman" w:eastAsia="Times New Roman" w:hAnsi="Times New Roman" w:cs="Times New Roman"/>
          <w:color w:val="000000"/>
          <w:spacing w:val="0"/>
          <w:w w:val="100"/>
          <w:position w:val="0"/>
          <w:shd w:val="clear" w:color="auto" w:fill="auto"/>
          <w:lang w:val="hr-HR" w:eastAsia="hr-HR" w:bidi="hr-HR"/>
        </w:rPr>
        <w:t xml:space="preserve"> Elementarni bi</w:t>
        <w:softHyphen/>
        <w:t>blijski pojam odnosa pokazuje da Izrael smije Božjoj ruci pružiti djelo s posljedicama. Ta crta u odnosu Bog - Izrael/čovjek pooštrava zapovijed koja se ponavlja pet puta: »Sveti bu</w:t>
        <w:softHyphen/>
        <w:t xml:space="preserve">dite, jer sam s.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usp. 11,45; 20,26; «... budite, dakle, sveti, jer sam s. ja« 11,44; 20,7). To se obrazlaže Božjim po</w:t>
        <w:softHyphen/>
        <w:t>stojanjem i prisutnošću, i Izrael se poziva da svojim ponašanjem nasljeduje Boga. Pritom se očekuje od naroda da radi Božje svetosti postigne ljudsku svetost koja se od Božje razlikuje po prirodi. Time se ne misli na ljud</w:t>
        <w:softHyphen/>
        <w:t>sku osobinu nego na nepodijeljenu predanost volji Božjoj; ona mora poprimiti životni oblik čovjekova dopuštenog ostvarenja odnosa s Bo</w:t>
        <w:softHyphen/>
        <w:t>gom kao njegove najveće mogućnosti. Izrael treba u Božjem povijesnom naslijeđu posvje</w:t>
        <w:softHyphen/>
        <w:t>dočiti cijelom svijetu kako Stvoritelj želi da stvoreni čovjek djeluje na vlastitu odgovor</w:t>
        <w:softHyphen/>
        <w:t>nost i da svojim djelovanjem na zemlji nastav</w:t>
        <w:softHyphen/>
        <w:t>lja njegovo stvaralačko djelo. Ta temeljna za</w:t>
        <w:softHyphen/>
        <w:t>povijed pobudila je unutarnju borbu u Izraelu i u poslijebiblijskom židovstvu. Njegov cilj, svetost (posvećenost!), nepomućena je zajed</w:t>
        <w:softHyphen/>
        <w:t>nica s Bogom i istodobno nepomućena zajed</w:t>
        <w:softHyphen/>
        <w:t>nica s bližnjima; ljudska je zajednica, naime, mjesto na kojem se mora ispuniti Božja volja;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ona nastaje i trajna je samo ako se Bog ostva</w:t>
        <w:softHyphen/>
        <w:t>ruje medu ljudima. Stoga u židovstvu vjera i ćudoređe nisu dva međusobno odijeljena pod</w:t>
        <w:softHyphen/>
        <w:t>ručja. Sveti (posvećeni!) teži za tim da obuh</w:t>
        <w:softHyphen/>
        <w:t xml:space="preserve">vati cijeli ž.ivot i ispuni ga Božjom voljom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4a). No, sveti nije ideal; sav trud u židovstvu usmjerenje prema »kraljevstvu sve</w:t>
        <w:softHyphen/>
        <w:t>ćenika« i na »sveti narod« (Izl 19,6).</w:t>
      </w:r>
    </w:p>
    <w:p>
      <w:pPr>
        <w:pStyle w:val="Style20"/>
        <w:keepNext w:val="0"/>
        <w:keepLines w:val="0"/>
        <w:widowControl w:val="0"/>
        <w:numPr>
          <w:ilvl w:val="0"/>
          <w:numId w:val="553"/>
        </w:numPr>
        <w:shd w:val="clear" w:color="auto" w:fill="auto"/>
        <w:tabs>
          <w:tab w:pos="250"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»Svetost Božjega imena«:</w:t>
      </w:r>
      <w:r>
        <w:rPr>
          <w:rFonts w:ascii="Times New Roman" w:eastAsia="Times New Roman" w:hAnsi="Times New Roman" w:cs="Times New Roman"/>
          <w:color w:val="000000"/>
          <w:spacing w:val="0"/>
          <w:w w:val="100"/>
          <w:position w:val="0"/>
          <w:shd w:val="clear" w:color="auto" w:fill="auto"/>
          <w:lang w:val="hr-HR" w:eastAsia="hr-HR" w:bidi="hr-HR"/>
        </w:rPr>
        <w:t xml:space="preserve"> S. (posvećen) biva čovjek ako svojim djelom objavljuje Božje dje</w:t>
        <w:softHyphen/>
        <w:t>lo. Time se pokazuje kao Božja slika i prilika i priznaje Boga kao svetoga: »Neka budem pro</w:t>
        <w:softHyphen/>
        <w:t xml:space="preserve">glašen svetim među Izraelcima«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22,32, usp. Pnz 32,51; Ez 20,41; 36,23). Svoj jasni ob</w:t>
        <w:softHyphen/>
        <w:t>lik biblijski je pojam poprimio u važnom dijelu rabinske literature: »posvećenje Božje</w:t>
        <w:softHyphen/>
        <w:t xml:space="preserve">ga imena« </w:t>
      </w:r>
      <w:r>
        <w:rPr>
          <w:rFonts w:ascii="Times New Roman" w:eastAsia="Times New Roman" w:hAnsi="Times New Roman" w:cs="Times New Roman"/>
          <w:i/>
          <w:iCs/>
          <w:color w:val="000000"/>
          <w:spacing w:val="0"/>
          <w:w w:val="100"/>
          <w:position w:val="0"/>
          <w:shd w:val="clear" w:color="auto" w:fill="auto"/>
          <w:lang w:val="hr-HR" w:eastAsia="hr-HR" w:bidi="hr-HR"/>
        </w:rPr>
        <w:t>(kidaš ha-Šem).</w:t>
      </w:r>
      <w:r>
        <w:rPr>
          <w:rFonts w:ascii="Times New Roman" w:eastAsia="Times New Roman" w:hAnsi="Times New Roman" w:cs="Times New Roman"/>
          <w:color w:val="000000"/>
          <w:spacing w:val="0"/>
          <w:w w:val="100"/>
          <w:position w:val="0"/>
          <w:shd w:val="clear" w:color="auto" w:fill="auto"/>
          <w:lang w:val="hr-HR" w:eastAsia="hr-HR" w:bidi="hr-HR"/>
        </w:rPr>
        <w:t xml:space="preserve"> Ono se zbiva u svakoj čovječjoj odluci za dobro, u svakom ću</w:t>
        <w:softHyphen/>
        <w:t>dorednom činu, jer ono Boga ostvaruje i po</w:t>
        <w:softHyphen/>
        <w:t>tvrđuje u svijetu, jer je svijet mjesto posve</w:t>
        <w:softHyphen/>
        <w:t xml:space="preserve">ćenja na zemlji i priprema za Božju vlast (usp. Mehilta Izl 15,2;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»Josip je posvetio ime nebesko u potaji« kad se odupro zavođenju (Post 39,8), »Juda je javno posveći</w:t>
        <w:softHyphen/>
        <w:t xml:space="preserve">vao ime nebesko« (b Sota 10b; 36b) kad je priznao krivnju (Post 38,26; usp. Berešit raba </w:t>
      </w:r>
      <w:r>
        <w:rPr>
          <w:rFonts w:ascii="Times New Roman" w:eastAsia="Times New Roman" w:hAnsi="Times New Roman" w:cs="Times New Roman"/>
          <w:color w:val="000000"/>
          <w:spacing w:val="0"/>
          <w:w w:val="100"/>
          <w:position w:val="0"/>
          <w:shd w:val="clear" w:color="auto" w:fill="auto"/>
          <w:lang w:val="en-US" w:eastAsia="en-US" w:bidi="en-US"/>
        </w:rPr>
        <w:t xml:space="preserve">LXXXV). </w:t>
      </w:r>
      <w:r>
        <w:rPr>
          <w:rFonts w:ascii="Times New Roman" w:eastAsia="Times New Roman" w:hAnsi="Times New Roman" w:cs="Times New Roman"/>
          <w:color w:val="000000"/>
          <w:spacing w:val="0"/>
          <w:w w:val="100"/>
          <w:position w:val="0"/>
          <w:shd w:val="clear" w:color="auto" w:fill="auto"/>
          <w:lang w:val="hr-HR" w:eastAsia="hr-HR" w:bidi="hr-HR"/>
        </w:rPr>
        <w:t xml:space="preserve">Prema jednom drugom tumačenju, Bog je izveo Izraelce iz Egipta uz uvjet da se sami žrtvuju za posvećenje njegova imena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22,33). Svako uvjerenje koje se pro</w:t>
        <w:softHyphen/>
        <w:t xml:space="preserve">tivi Božjoj volji, svaki nepravedni čin »obeš- čašćuje Božje ime« </w:t>
      </w:r>
      <w:r>
        <w:rPr>
          <w:rFonts w:ascii="Times New Roman" w:eastAsia="Times New Roman" w:hAnsi="Times New Roman" w:cs="Times New Roman"/>
          <w:i/>
          <w:iCs/>
          <w:color w:val="000000"/>
          <w:spacing w:val="0"/>
          <w:w w:val="100"/>
          <w:position w:val="0"/>
          <w:shd w:val="clear" w:color="auto" w:fill="auto"/>
          <w:lang w:val="hr-HR" w:eastAsia="hr-HR" w:bidi="hr-HR"/>
        </w:rPr>
        <w:t>(hiltd ha-Sem):</w:t>
      </w:r>
      <w:r>
        <w:rPr>
          <w:rFonts w:ascii="Times New Roman" w:eastAsia="Times New Roman" w:hAnsi="Times New Roman" w:cs="Times New Roman"/>
          <w:color w:val="000000"/>
          <w:spacing w:val="0"/>
          <w:w w:val="100"/>
          <w:position w:val="0"/>
          <w:shd w:val="clear" w:color="auto" w:fill="auto"/>
          <w:lang w:val="hr-HR" w:eastAsia="hr-HR" w:bidi="hr-HR"/>
        </w:rPr>
        <w:t xml:space="preserve"> »Gore je opljačkati nežidova nego Zidova, jer se (uz prekršaj Tore) priključuje i obeščašćenjc ime</w:t>
        <w:softHyphen/>
        <w:t>na Božjeg« (Tos. Bava kama X,15). Sličan je sud mudraca: »Svi se grijesi opraštaju obra</w:t>
        <w:softHyphen/>
        <w:t>ćenjem, Danom pomirenja ili pročiščavajućom snagom patnje, samo ne obeščašćenjem Božje</w:t>
        <w:softHyphen/>
        <w:t>ga imena« (Mehilta Izl 18 i d., Jitro 7; b Joma 86a). Na taj način izraz »posvećenje imena Božjeg« prerasta u židovstvu u utjelovljenje čovjekove obveze pred Bogom.</w:t>
      </w:r>
    </w:p>
    <w:p>
      <w:pPr>
        <w:pStyle w:val="Style56"/>
        <w:keepNext w:val="0"/>
        <w:keepLines w:val="0"/>
        <w:widowControl w:val="0"/>
        <w:shd w:val="clear" w:color="auto" w:fill="auto"/>
        <w:tabs>
          <w:tab w:pos="2419" w:val="left"/>
        </w:tabs>
        <w:bidi w:val="0"/>
        <w:spacing w:before="0" w:after="20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ltl,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ly?8. 977—■86; E. E. Ur- </w:t>
      </w:r>
      <w:r>
        <w:rPr>
          <w:color w:val="000000"/>
          <w:spacing w:val="0"/>
          <w:w w:val="100"/>
          <w:position w:val="0"/>
          <w:shd w:val="clear" w:color="auto" w:fill="auto"/>
        </w:rPr>
        <w:t xml:space="preserve">biich, </w:t>
      </w:r>
      <w:r>
        <w:rPr>
          <w:i/>
          <w:iCs/>
          <w:color w:val="000000"/>
          <w:spacing w:val="0"/>
          <w:w w:val="100"/>
          <w:position w:val="0"/>
          <w:shd w:val="clear" w:color="auto" w:fill="auto"/>
        </w:rPr>
        <w:t>The Sages,</w:t>
      </w:r>
      <w:r>
        <w:rPr>
          <w:color w:val="000000"/>
          <w:spacing w:val="0"/>
          <w:w w:val="100"/>
          <w:position w:val="0"/>
          <w:shd w:val="clear" w:color="auto" w:fill="auto"/>
        </w:rPr>
        <w:t xml:space="preserve"> Jerusalem </w:t>
      </w:r>
      <w:r>
        <w:rPr>
          <w:color w:val="000000"/>
          <w:spacing w:val="0"/>
          <w:w w:val="100"/>
          <w:position w:val="0"/>
          <w:shd w:val="clear" w:color="auto" w:fill="auto"/>
          <w:lang w:val="hr-HR" w:eastAsia="hr-HR" w:bidi="hr-HR"/>
        </w:rPr>
        <w:t xml:space="preserve">1975, 352 i d.; P. Navć </w:t>
      </w:r>
      <w:r>
        <w:rPr>
          <w:color w:val="000000"/>
          <w:spacing w:val="0"/>
          <w:w w:val="100"/>
          <w:position w:val="0"/>
          <w:shd w:val="clear" w:color="auto" w:fill="auto"/>
        </w:rPr>
        <w:t xml:space="preserve">Levinson, </w:t>
      </w:r>
      <w:r>
        <w:rPr>
          <w:i/>
          <w:iCs/>
          <w:color w:val="000000"/>
          <w:spacing w:val="0"/>
          <w:w w:val="100"/>
          <w:position w:val="0"/>
          <w:shd w:val="clear" w:color="auto" w:fill="auto"/>
        </w:rPr>
        <w:t xml:space="preserve">Einfuhrung in die </w:t>
      </w:r>
      <w:r>
        <w:rPr>
          <w:i/>
          <w:iCs/>
          <w:color w:val="000000"/>
          <w:spacing w:val="0"/>
          <w:w w:val="100"/>
          <w:position w:val="0"/>
          <w:shd w:val="clear" w:color="auto" w:fill="auto"/>
          <w:lang w:val="hr-HR" w:eastAsia="hr-HR" w:bidi="hr-HR"/>
        </w:rPr>
        <w:t xml:space="preserve">rabbinische </w:t>
      </w:r>
      <w:r>
        <w:rPr>
          <w:i/>
          <w:iCs/>
          <w:color w:val="000000"/>
          <w:spacing w:val="0"/>
          <w:w w:val="100"/>
          <w:position w:val="0"/>
          <w:shd w:val="clear" w:color="auto" w:fill="auto"/>
        </w:rPr>
        <w:t>Theologie,</w:t>
      </w:r>
      <w:r>
        <w:rPr>
          <w:color w:val="000000"/>
          <w:spacing w:val="0"/>
          <w:w w:val="100"/>
          <w:position w:val="0"/>
          <w:shd w:val="clear" w:color="auto" w:fill="auto"/>
        </w:rPr>
        <w:t xml:space="preserve"> Darmstadt </w:t>
      </w:r>
      <w:r>
        <w:rPr>
          <w:color w:val="000000"/>
          <w:spacing w:val="0"/>
          <w:w w:val="100"/>
          <w:position w:val="0"/>
          <w:shd w:val="clear" w:color="auto" w:fill="auto"/>
          <w:lang w:val="hr-HR" w:eastAsia="hr-HR" w:bidi="hr-HR"/>
        </w:rPr>
        <w:t xml:space="preserve">1982. 34.37,43. 59 </w:t>
      </w:r>
      <w:r>
        <w:rPr>
          <w:color w:val="000000"/>
          <w:spacing w:val="0"/>
          <w:w w:val="100"/>
          <w:position w:val="0"/>
          <w:shd w:val="clear" w:color="auto" w:fill="auto"/>
        </w:rPr>
        <w:t>id.</w:t>
        <w:tab/>
      </w:r>
      <w:r>
        <w:rPr>
          <w:color w:val="000000"/>
          <w:spacing w:val="0"/>
          <w:w w:val="100"/>
          <w:position w:val="0"/>
          <w:shd w:val="clear" w:color="auto" w:fill="auto"/>
          <w:lang w:val="hr-HR" w:eastAsia="hr-HR" w:bidi="hr-HR"/>
        </w:rPr>
        <w:t>D .VETOiR</w:t>
      </w:r>
    </w:p>
    <w:p>
      <w:pPr>
        <w:pStyle w:val="Style63"/>
        <w:keepNext/>
        <w:keepLines/>
        <w:widowControl w:val="0"/>
        <w:numPr>
          <w:ilvl w:val="0"/>
          <w:numId w:val="551"/>
        </w:numPr>
        <w:shd w:val="clear" w:color="auto" w:fill="auto"/>
        <w:tabs>
          <w:tab w:pos="255" w:val="left"/>
        </w:tabs>
        <w:bidi w:val="0"/>
        <w:spacing w:before="0" w:line="223" w:lineRule="auto"/>
        <w:ind w:left="0" w:right="0" w:firstLine="0"/>
        <w:jc w:val="both"/>
      </w:pPr>
      <w:bookmarkStart w:id="349" w:name="bookmark34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4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Riječi »sveto«/»svetost« i njihove izvedenice pripadaju osnovnom rječniku kršćanske reli</w:t>
        <w:softHyphen/>
        <w:t xml:space="preserve">gije kao i ostalih religija, pa je </w:t>
      </w:r>
      <w:r>
        <w:rPr>
          <w:rFonts w:ascii="Times New Roman" w:eastAsia="Times New Roman" w:hAnsi="Times New Roman" w:cs="Times New Roman"/>
          <w:color w:val="000000"/>
          <w:spacing w:val="0"/>
          <w:w w:val="100"/>
          <w:position w:val="0"/>
          <w:shd w:val="clear" w:color="auto" w:fill="auto"/>
          <w:lang w:val="en-US" w:eastAsia="en-US" w:bidi="en-US"/>
        </w:rPr>
        <w:t xml:space="preserve">Nathan </w:t>
      </w:r>
      <w:r>
        <w:rPr>
          <w:rFonts w:ascii="Times New Roman" w:eastAsia="Times New Roman" w:hAnsi="Times New Roman" w:cs="Times New Roman"/>
          <w:color w:val="000000"/>
          <w:spacing w:val="0"/>
          <w:w w:val="100"/>
          <w:position w:val="0"/>
          <w:shd w:val="clear" w:color="auto" w:fill="auto"/>
          <w:lang w:val="hr-HR" w:eastAsia="hr-HR" w:bidi="hr-HR"/>
        </w:rPr>
        <w:t>Sdder- blom mogao formulirati: »Svetost je odluču</w:t>
        <w:softHyphen/>
      </w:r>
      <w:r>
        <w:rPr>
          <w:rFonts w:ascii="Times New Roman" w:eastAsia="Times New Roman" w:hAnsi="Times New Roman" w:cs="Times New Roman"/>
          <w:color w:val="000000"/>
          <w:spacing w:val="0"/>
          <w:w w:val="100"/>
          <w:position w:val="0"/>
          <w:shd w:val="clear" w:color="auto" w:fill="auto"/>
          <w:lang w:val="hr-HR" w:eastAsia="hr-HR" w:bidi="hr-HR"/>
        </w:rPr>
        <w:t>juća riječ u religiji; ona je čak još hitnija nego pojam Boga ... Nema prave religije koja ne bi razlikovala ‘sveto’ od ‘profanog’«. Protestant</w:t>
        <w:softHyphen/>
        <w:t xml:space="preserve">ski teolog </w:t>
      </w:r>
      <w:r>
        <w:rPr>
          <w:rFonts w:ascii="Times New Roman" w:eastAsia="Times New Roman" w:hAnsi="Times New Roman" w:cs="Times New Roman"/>
          <w:color w:val="000000"/>
          <w:spacing w:val="0"/>
          <w:w w:val="100"/>
          <w:position w:val="0"/>
          <w:shd w:val="clear" w:color="auto" w:fill="auto"/>
          <w:lang w:val="en-US" w:eastAsia="en-US" w:bidi="en-US"/>
        </w:rPr>
        <w:t xml:space="preserve">Rudolf Otto </w:t>
      </w:r>
      <w:r>
        <w:rPr>
          <w:rFonts w:ascii="Times New Roman" w:eastAsia="Times New Roman" w:hAnsi="Times New Roman" w:cs="Times New Roman"/>
          <w:color w:val="000000"/>
          <w:spacing w:val="0"/>
          <w:w w:val="100"/>
          <w:position w:val="0"/>
          <w:shd w:val="clear" w:color="auto" w:fill="auto"/>
          <w:lang w:val="hr-HR" w:eastAsia="hr-HR" w:bidi="hr-HR"/>
        </w:rPr>
        <w:t>(1869-1937) koji je sve</w:t>
        <w:softHyphen/>
        <w:t xml:space="preserve">to shvatio kao »apriornu kategoriju« i opisao je na temelju psihičkih reakcija u čovjeku kao </w:t>
      </w:r>
      <w:r>
        <w:rPr>
          <w:rFonts w:ascii="Times New Roman" w:eastAsia="Times New Roman" w:hAnsi="Times New Roman" w:cs="Times New Roman"/>
          <w:color w:val="000000"/>
          <w:spacing w:val="0"/>
          <w:w w:val="100"/>
          <w:position w:val="0"/>
          <w:shd w:val="clear" w:color="auto" w:fill="auto"/>
          <w:lang w:val="en-US" w:eastAsia="en-US" w:bidi="en-US"/>
        </w:rPr>
        <w:t xml:space="preserve">»mysterium </w:t>
      </w:r>
      <w:r>
        <w:rPr>
          <w:rFonts w:ascii="Times New Roman" w:eastAsia="Times New Roman" w:hAnsi="Times New Roman" w:cs="Times New Roman"/>
          <w:color w:val="000000"/>
          <w:spacing w:val="0"/>
          <w:w w:val="100"/>
          <w:position w:val="0"/>
          <w:shd w:val="clear" w:color="auto" w:fill="auto"/>
          <w:lang w:val="hr-HR" w:eastAsia="hr-HR" w:bidi="hr-HR"/>
        </w:rPr>
        <w:t xml:space="preserve">tremendum«, »fascinans« i »au- gustum«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Heilige. Uber das Irrationale 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Idee des </w:t>
      </w:r>
      <w:r>
        <w:rPr>
          <w:rFonts w:ascii="Times New Roman" w:eastAsia="Times New Roman" w:hAnsi="Times New Roman" w:cs="Times New Roman"/>
          <w:i/>
          <w:iCs/>
          <w:color w:val="000000"/>
          <w:spacing w:val="0"/>
          <w:w w:val="100"/>
          <w:position w:val="0"/>
          <w:shd w:val="clear" w:color="auto" w:fill="auto"/>
          <w:lang w:val="hr-HR" w:eastAsia="hr-HR" w:bidi="hr-HR"/>
        </w:rPr>
        <w:t xml:space="preserve">Cdttlichen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and </w:t>
      </w:r>
      <w:r>
        <w:rPr>
          <w:rFonts w:ascii="Times New Roman" w:eastAsia="Times New Roman" w:hAnsi="Times New Roman" w:cs="Times New Roman"/>
          <w:i/>
          <w:iCs/>
          <w:color w:val="000000"/>
          <w:spacing w:val="0"/>
          <w:w w:val="100"/>
          <w:position w:val="0"/>
          <w:shd w:val="clear" w:color="auto" w:fill="auto"/>
          <w:lang w:val="hr-HR" w:eastAsia="hr-HR" w:bidi="hr-HR"/>
        </w:rPr>
        <w:t xml:space="preserve">sein Verhdltnis </w:t>
      </w:r>
      <w:r>
        <w:rPr>
          <w:rFonts w:ascii="Times New Roman" w:eastAsia="Times New Roman" w:hAnsi="Times New Roman" w:cs="Times New Roman"/>
          <w:i/>
          <w:iCs/>
          <w:color w:val="000000"/>
          <w:spacing w:val="0"/>
          <w:w w:val="100"/>
          <w:position w:val="0"/>
          <w:shd w:val="clear" w:color="auto" w:fill="auto"/>
          <w:lang w:val="en-US" w:eastAsia="en-US" w:bidi="en-US"/>
        </w:rPr>
        <w:t xml:space="preserve">zum </w:t>
      </w:r>
      <w:r>
        <w:rPr>
          <w:rFonts w:ascii="Times New Roman" w:eastAsia="Times New Roman" w:hAnsi="Times New Roman" w:cs="Times New Roman"/>
          <w:i/>
          <w:iCs/>
          <w:color w:val="000000"/>
          <w:spacing w:val="0"/>
          <w:w w:val="100"/>
          <w:position w:val="0"/>
          <w:shd w:val="clear" w:color="auto" w:fill="auto"/>
          <w:lang w:val="hr-HR" w:eastAsia="hr-HR" w:bidi="hr-HR"/>
        </w:rPr>
        <w:t>Rationalen,</w:t>
      </w:r>
      <w:r>
        <w:rPr>
          <w:rFonts w:ascii="Times New Roman" w:eastAsia="Times New Roman" w:hAnsi="Times New Roman" w:cs="Times New Roman"/>
          <w:color w:val="000000"/>
          <w:spacing w:val="0"/>
          <w:w w:val="100"/>
          <w:position w:val="0"/>
          <w:shd w:val="clear" w:color="auto" w:fill="auto"/>
          <w:lang w:val="hr-HR" w:eastAsia="hr-HR" w:bidi="hr-HR"/>
        </w:rPr>
        <w:t xml:space="preserve"> 1917). O pojmu svetosti Ottovog obilježja od početka se oprečno diskutiralo.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Sveto (kadoš) je u SZ višeznačni pojam. Kada se govorilo o Jahvinoj svetosti, mislilo se na njegov žestok, nepredvidljiv, »posve drugi« karakter. Jahve je bezuvjetno slobodan gospo</w:t>
        <w:softHyphen/>
        <w:t xml:space="preserve">dar, posve uzvišen i nadmoćan i stoga ga se treba bojati. Ambivalentnost Jahvine svetosti pokazuje se u njegovoj spasotvornoj strani, jer on je također »dobri Bog koji je izabrao Izrael i smilovao mu se« (H. Ringgrcn,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Israelitische </w:t>
      </w:r>
      <w:r>
        <w:rPr>
          <w:rFonts w:ascii="Times New Roman" w:eastAsia="Times New Roman" w:hAnsi="Times New Roman" w:cs="Times New Roman"/>
          <w:i/>
          <w:iCs/>
          <w:color w:val="000000"/>
          <w:spacing w:val="0"/>
          <w:w w:val="100"/>
          <w:position w:val="0"/>
          <w:shd w:val="clear" w:color="auto" w:fill="auto"/>
          <w:lang w:val="en-US" w:eastAsia="en-US" w:bidi="en-US"/>
        </w:rPr>
        <w:t>Religion,</w:t>
      </w:r>
      <w:r>
        <w:rPr>
          <w:rFonts w:ascii="Times New Roman" w:eastAsia="Times New Roman" w:hAnsi="Times New Roman" w:cs="Times New Roman"/>
          <w:color w:val="000000"/>
          <w:spacing w:val="0"/>
          <w:w w:val="100"/>
          <w:position w:val="0"/>
          <w:shd w:val="clear" w:color="auto" w:fill="auto"/>
          <w:lang w:val="en-US" w:eastAsia="en-US" w:bidi="en-US"/>
        </w:rPr>
        <w:t xml:space="preserve"> Stuttgart </w:t>
      </w:r>
      <w:r>
        <w:rPr>
          <w:rFonts w:ascii="Times New Roman" w:eastAsia="Times New Roman" w:hAnsi="Times New Roman" w:cs="Times New Roman"/>
          <w:color w:val="000000"/>
          <w:spacing w:val="0"/>
          <w:w w:val="100"/>
          <w:position w:val="0"/>
          <w:shd w:val="clear" w:color="auto" w:fill="auto"/>
          <w:lang w:val="hr-HR" w:eastAsia="hr-HR" w:bidi="hr-HR"/>
        </w:rPr>
        <w:t>1963, 66). Sveto je iznad toga još ono što pripada Jahvinu području utjecaja (nebeska bića, Hram. Kovčeg, brdo Sion itd.). Osim toga s. znači isto tako »za ne</w:t>
        <w:softHyphen/>
        <w:t xml:space="preserve">koga slobodan, poseban, opredijeljen« </w:t>
      </w:r>
      <w:r>
        <w:rPr>
          <w:rFonts w:ascii="Times New Roman" w:eastAsia="Times New Roman" w:hAnsi="Times New Roman" w:cs="Times New Roman"/>
          <w:color w:val="000000"/>
          <w:spacing w:val="0"/>
          <w:w w:val="100"/>
          <w:position w:val="0"/>
          <w:shd w:val="clear" w:color="auto" w:fill="auto"/>
          <w:lang w:val="en-US" w:eastAsia="en-US" w:bidi="en-US"/>
        </w:rPr>
        <w:t xml:space="preserve">(Kohler, </w:t>
      </w:r>
      <w:r>
        <w:rPr>
          <w:rFonts w:ascii="Times New Roman" w:eastAsia="Times New Roman" w:hAnsi="Times New Roman" w:cs="Times New Roman"/>
          <w:color w:val="000000"/>
          <w:spacing w:val="0"/>
          <w:w w:val="100"/>
          <w:position w:val="0"/>
          <w:shd w:val="clear" w:color="auto" w:fill="auto"/>
          <w:lang w:val="hr-HR" w:eastAsia="hr-HR" w:bidi="hr-HR"/>
        </w:rPr>
        <w:t xml:space="preserve">34), npr.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21,6; Br 6,8; Pnz 7,6; Nch 8,9. Prije svega Izaija naziva Boga svetim ili »Sve</w:t>
        <w:softHyphen/>
        <w:t>cem Izraclovim« i pod time razumijeva nje</w:t>
        <w:softHyphen/>
        <w:t>govu uzvišenost u odnosu na koju postaje svjestan kao prorok vlastite ništavosti i greš- 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za Isusa je Bog unatoč svojoj blizini uzvišen i s. »Gospodar toga kraljevstva je ‘nebeski otac’. To nama, današnjim ljudima, zvuči me</w:t>
        <w:softHyphen/>
        <w:t>kano i često postaje gotovo ugodno, otprilike kao ‘dragi Bog’! No time krivo shvaćamo bib</w:t>
        <w:softHyphen/>
        <w:t xml:space="preserve">lijski smisao kako imenice tako i predikata. Taj ‘otac’ je </w:t>
      </w:r>
      <w:r>
        <w:rPr>
          <w:rFonts w:ascii="Times New Roman" w:eastAsia="Times New Roman" w:hAnsi="Times New Roman" w:cs="Times New Roman"/>
          <w:i/>
          <w:iCs/>
          <w:color w:val="000000"/>
          <w:spacing w:val="0"/>
          <w:w w:val="100"/>
          <w:position w:val="0"/>
          <w:shd w:val="clear" w:color="auto" w:fill="auto"/>
          <w:lang w:val="hr-HR" w:eastAsia="hr-HR" w:bidi="hr-HR"/>
        </w:rPr>
        <w:t>najprije svet-uzvišen kralj</w:t>
      </w:r>
      <w:r>
        <w:rPr>
          <w:rFonts w:ascii="Times New Roman" w:eastAsia="Times New Roman" w:hAnsi="Times New Roman" w:cs="Times New Roman"/>
          <w:color w:val="000000"/>
          <w:spacing w:val="0"/>
          <w:w w:val="100"/>
          <w:position w:val="0"/>
          <w:shd w:val="clear" w:color="auto" w:fill="auto"/>
          <w:lang w:val="hr-HR" w:eastAsia="hr-HR" w:bidi="hr-HR"/>
        </w:rPr>
        <w:t xml:space="preserve"> ovoga ‘kraljevstva’ ... Zato nakon oslovljavanja ‘Oče naš’ ubrzo slijede riječi: ‘sveti se ime tvoje’ koje nisu toliko molitva koliko plah uzvik iskazivanja vjernosti« (R. Otto,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Heilige, </w:t>
      </w:r>
      <w:r>
        <w:rPr>
          <w:rFonts w:ascii="Times New Roman" w:eastAsia="Times New Roman" w:hAnsi="Times New Roman" w:cs="Times New Roman"/>
          <w:color w:val="000000"/>
          <w:spacing w:val="0"/>
          <w:w w:val="100"/>
          <w:position w:val="0"/>
          <w:shd w:val="clear" w:color="auto" w:fill="auto"/>
          <w:lang w:val="hr-HR" w:eastAsia="hr-HR" w:bidi="hr-HR"/>
        </w:rPr>
        <w:t>103). Sveti Bog ne može se shvatiti nikakvom slikom. NZ svjedoči da ima netko tko je slika neshvatljivoga Boga: Isus Krist (2 Kor 4,4). Božja svetost obuhvaća čak odricanje i siro</w:t>
        <w:softHyphen/>
        <w:t>maštvo (Fil 2,7).</w:t>
      </w:r>
    </w:p>
    <w:p>
      <w:pPr>
        <w:pStyle w:val="Style20"/>
        <w:keepNext w:val="0"/>
        <w:keepLines w:val="0"/>
        <w:widowControl w:val="0"/>
        <w:shd w:val="clear" w:color="auto" w:fill="auto"/>
        <w:bidi w:val="0"/>
        <w:spacing w:before="0" w:after="0"/>
        <w:ind w:left="0" w:right="0" w:firstLine="0"/>
        <w:jc w:val="both"/>
        <w:sectPr>
          <w:headerReference w:type="default" r:id="rId1413"/>
          <w:footerReference w:type="default" r:id="rId1414"/>
          <w:headerReference w:type="even" r:id="rId1415"/>
          <w:footerReference w:type="even" r:id="rId1416"/>
          <w:headerReference w:type="first" r:id="rId1417"/>
          <w:footerReference w:type="first" r:id="rId1418"/>
          <w:footnotePr>
            <w:pos w:val="pageBottom"/>
            <w:numFmt w:val="decimal"/>
            <w:numRestart w:val="continuous"/>
            <w15:footnoteColumns w:val="1"/>
          </w:footnotePr>
          <w:pgSz w:w="6816" w:h="11006"/>
          <w:pgMar w:top="1000" w:left="194" w:right="196" w:bottom="459" w:header="0" w:footer="3" w:gutter="0"/>
          <w:cols w:num="2" w:space="17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Kršćani kao članovi Crkve shvaćaju se kao »Gospodinovo zajedništvo«. Pavao naziva svo</w:t>
        <w:softHyphen/>
        <w:t>ju braću u vjeri često »svetima« ili »ljubim</w:t>
        <w:softHyphen/>
        <w:t xml:space="preserve">cima Božjim ... pozvanima da budu sveti« (Rim 1,7; 1 Kor 1,2). Svetost ovdje ne znači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isto što i visoka moralna kvaliteta, nego se od</w:t>
        <w:softHyphen/>
        <w:t>nosi na činjenicu da dotični vjeruje i da je kršten (1 Kor 6,11). Kršćani vrijede kao sveti jer su povezani s Kristom i žive »dostojno po</w:t>
        <w:softHyphen/>
        <w:t>ziva kojim su pozvani« (Ef 4,1).</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Tijekom povijesti kršćanstva naslov se, napro</w:t>
        <w:softHyphen/>
        <w:t>tiv, sve više ograničavao na one osobe koje su se odlikovale istaknutom osobnom svetošću. Nastao je fenomen povijesno-religijski vrlo ra</w:t>
        <w:softHyphen/>
        <w:t xml:space="preserve">širenog </w:t>
      </w:r>
      <w:r>
        <w:rPr>
          <w:rFonts w:ascii="Times New Roman" w:eastAsia="Times New Roman" w:hAnsi="Times New Roman" w:cs="Times New Roman"/>
          <w:i/>
          <w:iCs/>
          <w:color w:val="000000"/>
          <w:spacing w:val="0"/>
          <w:w w:val="100"/>
          <w:position w:val="0"/>
          <w:shd w:val="clear" w:color="auto" w:fill="auto"/>
          <w:lang w:val="hr-HR" w:eastAsia="hr-HR" w:bidi="hr-HR"/>
        </w:rPr>
        <w:t>štovanja svetaca.</w:t>
      </w:r>
      <w:r>
        <w:rPr>
          <w:rFonts w:ascii="Times New Roman" w:eastAsia="Times New Roman" w:hAnsi="Times New Roman" w:cs="Times New Roman"/>
          <w:color w:val="000000"/>
          <w:spacing w:val="0"/>
          <w:w w:val="100"/>
          <w:position w:val="0"/>
          <w:shd w:val="clear" w:color="auto" w:fill="auto"/>
          <w:lang w:val="hr-HR" w:eastAsia="hr-HR" w:bidi="hr-HR"/>
        </w:rPr>
        <w:t xml:space="preserve"> Pod time se razumi</w:t>
        <w:softHyphen/>
        <w:t>jeva fenomen »neposrednog ili posrednog što</w:t>
        <w:softHyphen/>
        <w:t>vanja živih, umrlih ili mitskih ličnosti koje su se odlikovale osobnom ili općenitom svetoš</w:t>
        <w:softHyphen/>
        <w:t xml:space="preserve">ću« (G. Mensching, natuknica: Heiligenvere- </w:t>
      </w:r>
      <w:r>
        <w:rPr>
          <w:rFonts w:ascii="Times New Roman" w:eastAsia="Times New Roman" w:hAnsi="Times New Roman" w:cs="Times New Roman"/>
          <w:color w:val="000000"/>
          <w:spacing w:val="0"/>
          <w:w w:val="100"/>
          <w:position w:val="0"/>
          <w:shd w:val="clear" w:color="auto" w:fill="auto"/>
          <w:lang w:val="en-US" w:eastAsia="en-US" w:bidi="en-US"/>
        </w:rPr>
        <w:t xml:space="preserve">hrung. </w:t>
      </w:r>
      <w:r>
        <w:rPr>
          <w:rFonts w:ascii="Times New Roman" w:eastAsia="Times New Roman" w:hAnsi="Times New Roman" w:cs="Times New Roman"/>
          <w:color w:val="000000"/>
          <w:spacing w:val="0"/>
          <w:w w:val="100"/>
          <w:position w:val="0"/>
          <w:shd w:val="clear" w:color="auto" w:fill="auto"/>
          <w:lang w:val="hr-HR" w:eastAsia="hr-HR" w:bidi="hr-HR"/>
        </w:rPr>
        <w:t>I. Religionsgeschichtlich. U: RGG, III, 168). Najstarijim kršćanskim svecima pripa</w:t>
        <w:softHyphen/>
        <w:t xml:space="preserve">daju </w:t>
      </w:r>
      <w:r>
        <w:rPr>
          <w:rFonts w:ascii="Times New Roman" w:eastAsia="Times New Roman" w:hAnsi="Times New Roman" w:cs="Times New Roman"/>
          <w:i/>
          <w:iCs/>
          <w:color w:val="000000"/>
          <w:spacing w:val="0"/>
          <w:w w:val="100"/>
          <w:position w:val="0"/>
          <w:shd w:val="clear" w:color="auto" w:fill="auto"/>
          <w:lang w:val="hr-HR" w:eastAsia="hr-HR" w:bidi="hr-HR"/>
        </w:rPr>
        <w:t>mučenici</w:t>
      </w:r>
      <w:r>
        <w:rPr>
          <w:rFonts w:ascii="Times New Roman" w:eastAsia="Times New Roman" w:hAnsi="Times New Roman" w:cs="Times New Roman"/>
          <w:color w:val="000000"/>
          <w:spacing w:val="0"/>
          <w:w w:val="100"/>
          <w:position w:val="0"/>
          <w:shd w:val="clear" w:color="auto" w:fill="auto"/>
          <w:lang w:val="hr-HR" w:eastAsia="hr-HR" w:bidi="hr-HR"/>
        </w:rPr>
        <w:t xml:space="preserve"> koji su za svoje uvjerenje išli u smrt. Vjerovalo se da su oni neposredno prim</w:t>
        <w:softHyphen/>
        <w:t>ljeni u nebo i njihov se zagovor kod Boga držao djelotvornim. Štovanje mučenika brzo se proširilo u staroj Crkvi. Od V. stoljeća bili su štovani kao sveci confessorcs (poznavate</w:t>
        <w:softHyphen/>
        <w:t>lji), tj. takvi svjedoci vjere koji su doduše trpjeli za svoju vjeru, ali ipak nisu bili smaknuti, kao što su biskupi, crkveni oci i ostale svete osobe. Zbog sve većeg broja svetaca Crkva je uvela poseban postupak: proglašenje svetim (kano</w:t>
        <w:softHyphen/>
        <w:t>nizaciju) kojem prethodi proglašenje blaže</w:t>
        <w:softHyphen/>
        <w:t>nim. Prema katoličkom kanonskom pravu prvi jc put u IX. stoljeću provedeno proglašenje svetim kao »osobna papi pridržana, svečana i nepogrešiva izjava da je umrli (sluga Božji) s., tj. s Kristom vlada u nebu i smije svagdje biti crkveno štovan« (II. Barion, natuknica: Hei- ligsprechung. U: RGG, III, 176).</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Sveti uzimaju katkada pod svoju zaštitu (pa- trocinium) gradove, pokrajine, skupine istog zanimanja, staleže čak i životinje: Petar i Pa- vao zaštitnici su grada Rima, Luka i sveti </w:t>
      </w:r>
      <w:r>
        <w:rPr>
          <w:rFonts w:ascii="Times New Roman" w:eastAsia="Times New Roman" w:hAnsi="Times New Roman" w:cs="Times New Roman"/>
          <w:color w:val="000000"/>
          <w:spacing w:val="0"/>
          <w:w w:val="100"/>
          <w:position w:val="0"/>
          <w:shd w:val="clear" w:color="auto" w:fill="auto"/>
          <w:lang w:val="en-US" w:eastAsia="en-US" w:bidi="en-US"/>
        </w:rPr>
        <w:t>Kuz</w:t>
        <w:softHyphen/>
        <w:t xml:space="preserve">ma </w:t>
      </w:r>
      <w:r>
        <w:rPr>
          <w:rFonts w:ascii="Times New Roman" w:eastAsia="Times New Roman" w:hAnsi="Times New Roman" w:cs="Times New Roman"/>
          <w:color w:val="000000"/>
          <w:spacing w:val="0"/>
          <w:w w:val="100"/>
          <w:position w:val="0"/>
          <w:shd w:val="clear" w:color="auto" w:fill="auto"/>
          <w:lang w:val="hr-HR" w:eastAsia="hr-HR" w:bidi="hr-HR"/>
        </w:rPr>
        <w:t>i Damjan slove za zaštitnike liječnika; Bar</w:t>
        <w:softHyphen/>
        <w:t>bara je zaštitnica planinara itd. Važan sastav</w:t>
        <w:softHyphen/>
        <w:t>ni dio štovanja svetaca je blagdan sveca kao i svetačka legenda koja obavija živote svetaca. Pretpostavka da bi netko bio proglašen sve</w:t>
        <w:softHyphen/>
        <w:t>tim, njegov je teološki i moralno besprijeko</w:t>
        <w:softHyphen/>
        <w:t>ran život ili mučenička smrt. Osim toga morao je učiniti više čudesa (-&gt; Čudo). No, prije toga nije mu se smio dodijeliti javni kult. Različito je značenje svetaca u Crkvi i u pučkoj po- božnosti. Crkva vidi u svecima uzore, »mode</w:t>
        <w:softHyphen/>
        <w:t xml:space="preserve">le kršćanskog života«. Pa ipak, oni slove za </w:t>
      </w:r>
      <w:r>
        <w:rPr>
          <w:rFonts w:ascii="Times New Roman" w:eastAsia="Times New Roman" w:hAnsi="Times New Roman" w:cs="Times New Roman"/>
          <w:color w:val="000000"/>
          <w:spacing w:val="0"/>
          <w:w w:val="100"/>
          <w:position w:val="0"/>
          <w:shd w:val="clear" w:color="auto" w:fill="auto"/>
          <w:lang w:val="hr-HR" w:eastAsia="hr-HR" w:bidi="hr-HR"/>
        </w:rPr>
        <w:t>ljude s greškama i slabostima. U katoličkoj pučkoj pobožnosti gledaju se kao »pomagači u nevolji« i »uslišatelji molitve«. Drugi nicej- ski koncil (787) odlučio je da se sveci ne smiju zazivati niti im se smije upućivati molitva, ne</w:t>
        <w:softHyphen/>
        <w:t>go se smiju samo štovati. Kult svetaca kato</w:t>
        <w:softHyphen/>
        <w:t>ličke pučke pobožnosti predstavlja od IV. sto</w:t>
        <w:softHyphen/>
        <w:t>ljeća paganiziranje iskonskog štovanja sveta</w:t>
        <w:softHyphen/>
        <w:t>ca. U pučkom kultu svetaca i dalje živi stari politeistički kult bogova »u kršćanskoj odjeći« (F. Heiler). To npr. pokazuje povezanost ka</w:t>
        <w:softHyphen/>
        <w:t>toličkih svetaca s mjestima. Oni se ne nalaze samo na nebu nego stanuju u nekom konkret</w:t>
        <w:softHyphen/>
        <w:t>nom zemaljskom svetištu ili prirodnom objek</w:t>
        <w:softHyphen/>
        <w:t>tu. S tom lokalnom povezanošću vezana je praksa hodočašća. »Čudotvorna slika« u sve</w:t>
        <w:softHyphen/>
        <w:t>tištu ili kod kućne pobožnosti predstavlja stvar</w:t>
        <w:softHyphen/>
        <w:t>nu prisutnost nebeskog bića.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Širenjem kršćanstva olabavila jc tijesna pove</w:t>
        <w:softHyphen/>
        <w:t>zanost štovanja svetaca uz njihov grob. Črkve su se potrudile da dobiju u posjed relikvije koje su se zaključavale u oltar. Prema F. Hcil- eru, antiknim »posebnim bogovima« odgova</w:t>
        <w:softHyphen/>
        <w:t>raju »posebni sveci« i »zaštitnici« katoličkog puka.</w:t>
      </w:r>
    </w:p>
    <w:p>
      <w:pPr>
        <w:pStyle w:val="Style20"/>
        <w:keepNext w:val="0"/>
        <w:keepLines w:val="0"/>
        <w:widowControl w:val="0"/>
        <w:shd w:val="clear" w:color="auto" w:fill="auto"/>
        <w:bidi w:val="0"/>
        <w:spacing w:before="0" w:after="80" w:line="25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Protestantizam</w:t>
      </w:r>
      <w:r>
        <w:rPr>
          <w:rFonts w:ascii="Times New Roman" w:eastAsia="Times New Roman" w:hAnsi="Times New Roman" w:cs="Times New Roman"/>
          <w:color w:val="000000"/>
          <w:spacing w:val="0"/>
          <w:w w:val="100"/>
          <w:position w:val="0"/>
          <w:shd w:val="clear" w:color="auto" w:fill="auto"/>
          <w:lang w:val="hr-HR" w:eastAsia="hr-HR" w:bidi="hr-HR"/>
        </w:rPr>
        <w:t xml:space="preserve"> je priznao postojanje svetaca. Njima dolikuje »trojaka čast«: 1. »Da zahva</w:t>
        <w:softHyphen/>
        <w:t>limo Bogu što nam je po svecima predstavio primjere svoje milosti, što je dao učitelje u crkvama i ostale darove, a darove, jer su ve</w:t>
        <w:softHyphen/>
        <w:t>liki, treba visoko častiti te hvaliti same svece koji su trebali takvu milost kao što Krist u evanđelju hvali vjerne sluge.« 2. »Da na nji</w:t>
        <w:softHyphen/>
        <w:t>hovu primjeru jačamo svoju vjeru.« 3. »Da primjere njihove vjere, njihove ljubavi, njiho</w:t>
        <w:softHyphen/>
        <w:t xml:space="preserve">ve strpljivosti slijedimo, svatko prema svom pozivu« </w:t>
      </w:r>
      <w:r>
        <w:rPr>
          <w:rFonts w:ascii="Times New Roman" w:eastAsia="Times New Roman" w:hAnsi="Times New Roman" w:cs="Times New Roman"/>
          <w:color w:val="000000"/>
          <w:spacing w:val="0"/>
          <w:w w:val="100"/>
          <w:position w:val="0"/>
          <w:shd w:val="clear" w:color="auto" w:fill="auto"/>
          <w:lang w:val="en-US" w:eastAsia="en-US" w:bidi="en-US"/>
        </w:rPr>
        <w:t xml:space="preserve">(Apologie, Art. </w:t>
      </w:r>
      <w:r>
        <w:rPr>
          <w:rFonts w:ascii="Times New Roman" w:eastAsia="Times New Roman" w:hAnsi="Times New Roman" w:cs="Times New Roman"/>
          <w:color w:val="000000"/>
          <w:spacing w:val="0"/>
          <w:w w:val="100"/>
          <w:position w:val="0"/>
          <w:shd w:val="clear" w:color="auto" w:fill="auto"/>
          <w:lang w:val="hr-HR" w:eastAsia="hr-HR" w:bidi="hr-HR"/>
        </w:rPr>
        <w:t xml:space="preserve">IX, usp. ČA, </w:t>
      </w:r>
      <w:r>
        <w:rPr>
          <w:rFonts w:ascii="Times New Roman" w:eastAsia="Times New Roman" w:hAnsi="Times New Roman" w:cs="Times New Roman"/>
          <w:color w:val="000000"/>
          <w:spacing w:val="0"/>
          <w:w w:val="100"/>
          <w:position w:val="0"/>
          <w:shd w:val="clear" w:color="auto" w:fill="auto"/>
          <w:lang w:val="en-US" w:eastAsia="en-US" w:bidi="en-US"/>
        </w:rPr>
        <w:t xml:space="preserve">Art. </w:t>
      </w:r>
      <w:r>
        <w:rPr>
          <w:rFonts w:ascii="Times New Roman" w:eastAsia="Times New Roman" w:hAnsi="Times New Roman" w:cs="Times New Roman"/>
          <w:color w:val="000000"/>
          <w:spacing w:val="0"/>
          <w:w w:val="100"/>
          <w:position w:val="0"/>
          <w:shd w:val="clear" w:color="auto" w:fill="auto"/>
          <w:lang w:val="hr-HR" w:eastAsia="hr-HR" w:bidi="hr-HR"/>
        </w:rPr>
        <w:t>21). Sveci su, dakle, modeli kršćanskog života. No, njima ne pristoji kult u obliku darova, hodo</w:t>
        <w:softHyphen/>
        <w:t>čašća, crkava, oltara itd. Oni se ne smiju ni za</w:t>
        <w:softHyphen/>
        <w:t>zivati, jer jedino je Isus Krist onaj koji posre</w:t>
        <w:softHyphen/>
        <w:t>duje.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C. Colpc (Hrsg.j.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Diskussion um das ^Heitige*, </w:t>
      </w:r>
      <w:r>
        <w:rPr>
          <w:color w:val="000000"/>
          <w:spacing w:val="0"/>
          <w:w w:val="100"/>
          <w:position w:val="0"/>
          <w:shd w:val="clear" w:color="auto" w:fill="auto"/>
        </w:rPr>
        <w:t xml:space="preserve">Darmstadt </w:t>
      </w:r>
      <w:r>
        <w:rPr>
          <w:color w:val="000000"/>
          <w:spacing w:val="0"/>
          <w:w w:val="100"/>
          <w:position w:val="0"/>
          <w:shd w:val="clear" w:color="auto" w:fill="auto"/>
          <w:lang w:val="hr-HR" w:eastAsia="hr-HR" w:bidi="hr-HR"/>
        </w:rPr>
        <w:t xml:space="preserve">1977; M. N. Ebcrlz/F. </w:t>
      </w:r>
      <w:r>
        <w:rPr>
          <w:color w:val="000000"/>
          <w:spacing w:val="0"/>
          <w:w w:val="100"/>
          <w:position w:val="0"/>
          <w:shd w:val="clear" w:color="auto" w:fill="auto"/>
        </w:rPr>
        <w:t xml:space="preserve">Schultheis (Hrsg.), </w:t>
      </w:r>
      <w:r>
        <w:rPr>
          <w:i/>
          <w:iCs/>
          <w:color w:val="000000"/>
          <w:spacing w:val="0"/>
          <w:w w:val="100"/>
          <w:position w:val="0"/>
          <w:shd w:val="clear" w:color="auto" w:fill="auto"/>
          <w:lang w:val="hr-HR" w:eastAsia="hr-HR" w:bidi="hr-HR"/>
        </w:rPr>
        <w:t xml:space="preserve">Volks- frdmmigkeil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Europa,</w:t>
      </w:r>
      <w:r>
        <w:rPr>
          <w:color w:val="000000"/>
          <w:spacing w:val="0"/>
          <w:w w:val="100"/>
          <w:position w:val="0"/>
          <w:shd w:val="clear" w:color="auto" w:fill="auto"/>
          <w:lang w:val="hr-HR" w:eastAsia="hr-HR" w:bidi="hr-HR"/>
        </w:rPr>
        <w:t xml:space="preserve"> Milnchcn 1986; F. Heiler. </w:t>
      </w:r>
      <w:r>
        <w:rPr>
          <w:i/>
          <w:iCs/>
          <w:color w:val="000000"/>
          <w:spacing w:val="0"/>
          <w:w w:val="100"/>
          <w:position w:val="0"/>
          <w:shd w:val="clear" w:color="auto" w:fill="auto"/>
          <w:lang w:val="hr-HR" w:eastAsia="hr-HR" w:bidi="hr-HR"/>
        </w:rPr>
        <w:t xml:space="preserve">Der Ka- iholitismus. </w:t>
      </w:r>
      <w:r>
        <w:rPr>
          <w:i/>
          <w:iCs/>
          <w:color w:val="000000"/>
          <w:spacing w:val="0"/>
          <w:w w:val="100"/>
          <w:position w:val="0"/>
          <w:shd w:val="clear" w:color="auto" w:fill="auto"/>
        </w:rPr>
        <w:t>Seine Idee und seine Erscheinung,</w:t>
      </w:r>
      <w:r>
        <w:rPr>
          <w:color w:val="000000"/>
          <w:spacing w:val="0"/>
          <w:w w:val="100"/>
          <w:position w:val="0"/>
          <w:shd w:val="clear" w:color="auto" w:fill="auto"/>
        </w:rPr>
        <w:t xml:space="preserve"> Munchcn/ Basci 197(1 (= </w:t>
      </w:r>
      <w:r>
        <w:rPr>
          <w:color w:val="000000"/>
          <w:spacing w:val="0"/>
          <w:w w:val="100"/>
          <w:position w:val="0"/>
          <w:shd w:val="clear" w:color="auto" w:fill="auto"/>
          <w:lang w:val="hr-HR" w:eastAsia="hr-HR" w:bidi="hr-HR"/>
        </w:rPr>
        <w:t xml:space="preserve">nepromijenjeni pretisak izdanja iz 1923.); </w:t>
      </w:r>
      <w:r>
        <w:rPr>
          <w:color w:val="000000"/>
          <w:spacing w:val="0"/>
          <w:w w:val="100"/>
          <w:position w:val="0"/>
          <w:shd w:val="clear" w:color="auto" w:fill="auto"/>
        </w:rPr>
        <w:t xml:space="preserve">J. Kohler, </w:t>
      </w:r>
      <w:r>
        <w:rPr>
          <w:i/>
          <w:iCs/>
          <w:color w:val="000000"/>
          <w:spacing w:val="0"/>
          <w:w w:val="100"/>
          <w:position w:val="0"/>
          <w:shd w:val="clear" w:color="auto" w:fill="auto"/>
        </w:rPr>
        <w:t>Theologie des Allen Testament,</w:t>
      </w:r>
      <w:r>
        <w:rPr>
          <w:color w:val="000000"/>
          <w:spacing w:val="0"/>
          <w:w w:val="100"/>
          <w:position w:val="0"/>
          <w:shd w:val="clear" w:color="auto" w:fill="auto"/>
        </w:rPr>
        <w:t xml:space="preserve"> Tubingen 1936; L. Huttl, </w:t>
      </w:r>
      <w:r>
        <w:rPr>
          <w:i/>
          <w:iCs/>
          <w:color w:val="000000"/>
          <w:spacing w:val="0"/>
          <w:w w:val="100"/>
          <w:position w:val="0"/>
          <w:shd w:val="clear" w:color="auto" w:fill="auto"/>
        </w:rPr>
        <w:t>Marianische Walifahtten im suddeulsch-oslerreichi- sehen Raum,</w:t>
      </w:r>
      <w:r>
        <w:rPr>
          <w:color w:val="000000"/>
          <w:spacing w:val="0"/>
          <w:w w:val="100"/>
          <w:position w:val="0"/>
          <w:shd w:val="clear" w:color="auto" w:fill="auto"/>
        </w:rPr>
        <w:t xml:space="preserve"> KOIn/Wien 1985.</w:t>
      </w:r>
    </w:p>
    <w:p>
      <w:pPr>
        <w:pStyle w:val="Style74"/>
        <w:keepNext w:val="0"/>
        <w:keepLines w:val="0"/>
        <w:widowControl w:val="0"/>
        <w:shd w:val="clear" w:color="auto" w:fill="auto"/>
        <w:bidi w:val="0"/>
        <w:spacing w:before="0" w:after="0" w:line="283" w:lineRule="auto"/>
        <w:ind w:left="0" w:right="0" w:firstLine="0"/>
        <w:jc w:val="right"/>
        <w:sectPr>
          <w:headerReference w:type="default" r:id="rId1419"/>
          <w:footerReference w:type="default" r:id="rId1420"/>
          <w:headerReference w:type="even" r:id="rId1421"/>
          <w:footerReference w:type="even" r:id="rId1422"/>
          <w:footnotePr>
            <w:pos w:val="pageBottom"/>
            <w:numFmt w:val="decimal"/>
            <w:numRestart w:val="continuous"/>
            <w15:footnoteColumns w:val="1"/>
          </w:footnotePr>
          <w:type w:val="continuous"/>
          <w:pgSz w:w="6816" w:h="11006"/>
          <w:pgMar w:top="1000" w:left="194" w:right="196" w:bottom="459" w:header="0" w:footer="3" w:gutter="0"/>
          <w:cols w:num="2" w:space="174"/>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U. TWORUSCHKA</w:t>
      </w:r>
    </w:p>
    <w:p>
      <w:pPr>
        <w:pStyle w:val="Style33"/>
        <w:keepNext w:val="0"/>
        <w:keepLines w:val="0"/>
        <w:widowControl w:val="0"/>
        <w:shd w:val="clear" w:color="auto" w:fill="auto"/>
        <w:bidi w:val="0"/>
        <w:spacing w:before="0" w:after="1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SVETKOVINA (BLAGDAN)</w:t>
      </w:r>
    </w:p>
    <w:p>
      <w:pPr>
        <w:pStyle w:val="Style63"/>
        <w:keepNext/>
        <w:keepLines/>
        <w:widowControl w:val="0"/>
        <w:numPr>
          <w:ilvl w:val="0"/>
          <w:numId w:val="555"/>
        </w:numPr>
        <w:shd w:val="clear" w:color="auto" w:fill="auto"/>
        <w:tabs>
          <w:tab w:pos="250" w:val="left"/>
        </w:tabs>
        <w:bidi w:val="0"/>
        <w:spacing w:before="0"/>
        <w:ind w:left="0" w:right="0" w:firstLine="0"/>
        <w:jc w:val="both"/>
      </w:pPr>
      <w:bookmarkStart w:id="350" w:name="bookmark350"/>
      <w:r>
        <w:rPr>
          <w:rFonts w:ascii="Times New Roman" w:eastAsia="Times New Roman" w:hAnsi="Times New Roman" w:cs="Times New Roman"/>
          <w:color w:val="000000"/>
          <w:spacing w:val="0"/>
          <w:w w:val="100"/>
          <w:position w:val="0"/>
          <w:shd w:val="clear" w:color="auto" w:fill="auto"/>
          <w:lang w:val="hr-HR" w:eastAsia="hr-HR" w:bidi="hr-HR"/>
        </w:rPr>
        <w:t>židovski</w:t>
      </w:r>
      <w:bookmarkEnd w:id="350"/>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Blagdani u židovskoj godini upućuju na razne načine na smisao ljudskoga života. Njima se želi zaštititi život od toga da se ne raspadne na puke dane. Oni mu diktiraju vremena počinka kako bi čovjek ponovno postao svjestan stvar</w:t>
        <w:softHyphen/>
        <w:t>nosti i kako bi podređenoga i umornoga od rada, koji može slaviti i »odahnuti« (Izl 23,12, usp. 31,17), podsjetili na Stvoriteljev počinak. Sabat i blagdan »posvećuju« radni dan; oni prevladavaju izdvojenost svakodnevice, koju je uzrokovao čovjek, i s njom povezanu pod</w:t>
        <w:softHyphen/>
        <w:t>jelu života na područja »svijeta« i »religije« uvodeći djelovanje svetoga Boga u nepodije</w:t>
        <w:softHyphen/>
        <w:t>ljeni život. Cilj je obilja propisa, koji se od</w:t>
        <w:softHyphen/>
        <w:t>nose na šabat i blagdane, čuvanje i očvrsnuće čovjekova života, ali ne i njegovo ograniča</w:t>
        <w:softHyphen/>
        <w:t xml:space="preserve">vanje. Unutar zaštitne »ograde« (M Avot 1,1; III,14; Nida 3b) vlada Božji mir. U midrašu Bog kaže: »Misliš li da sam ti sabat dao možda na tvoju štetu? Ne, dao sam ti šabat za tvoje dobro« </w:t>
      </w:r>
      <w:r>
        <w:rPr>
          <w:rFonts w:ascii="Times New Roman" w:eastAsia="Times New Roman" w:hAnsi="Times New Roman" w:cs="Times New Roman"/>
          <w:color w:val="000000"/>
          <w:spacing w:val="0"/>
          <w:w w:val="100"/>
          <w:position w:val="0"/>
          <w:shd w:val="clear" w:color="auto" w:fill="auto"/>
          <w:lang w:val="en-US" w:eastAsia="en-US" w:bidi="en-US"/>
        </w:rPr>
        <w:t xml:space="preserve">(Devarim </w:t>
      </w:r>
      <w:r>
        <w:rPr>
          <w:rFonts w:ascii="Times New Roman" w:eastAsia="Times New Roman" w:hAnsi="Times New Roman" w:cs="Times New Roman"/>
          <w:color w:val="000000"/>
          <w:spacing w:val="0"/>
          <w:w w:val="100"/>
          <w:position w:val="0"/>
          <w:shd w:val="clear" w:color="auto" w:fill="auto"/>
          <w:lang w:val="hr-HR" w:eastAsia="hr-HR" w:bidi="hr-HR"/>
        </w:rPr>
        <w:t>raba III, Halaha is</w:t>
        <w:softHyphen/>
        <w:t xml:space="preserve">pred 7,12). Šabat (I. Elbogen,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jtidische Gottesdienst </w:t>
      </w:r>
      <w:r>
        <w:rPr>
          <w:rFonts w:ascii="Times New Roman" w:eastAsia="Times New Roman" w:hAnsi="Times New Roman" w:cs="Times New Roman"/>
          <w:i/>
          <w:iCs/>
          <w:color w:val="000000"/>
          <w:spacing w:val="0"/>
          <w:w w:val="100"/>
          <w:position w:val="0"/>
          <w:shd w:val="clear" w:color="auto" w:fill="auto"/>
          <w:lang w:val="en-US" w:eastAsia="en-US" w:bidi="en-US"/>
        </w:rPr>
        <w:t>in seiner geschichtlichen Entwick</w:t>
        <w:softHyphen/>
        <w:t>lung,</w:t>
      </w:r>
      <w:r>
        <w:rPr>
          <w:rFonts w:ascii="Times New Roman" w:eastAsia="Times New Roman" w:hAnsi="Times New Roman" w:cs="Times New Roman"/>
          <w:color w:val="000000"/>
          <w:spacing w:val="0"/>
          <w:w w:val="100"/>
          <w:position w:val="0"/>
          <w:shd w:val="clear" w:color="auto" w:fill="auto"/>
          <w:lang w:val="en-US" w:eastAsia="en-US" w:bidi="en-US"/>
        </w:rPr>
        <w:t xml:space="preserve"> ’1931/1967, 107-122) </w:t>
      </w:r>
      <w:r>
        <w:rPr>
          <w:rFonts w:ascii="Times New Roman" w:eastAsia="Times New Roman" w:hAnsi="Times New Roman" w:cs="Times New Roman"/>
          <w:color w:val="000000"/>
          <w:spacing w:val="0"/>
          <w:w w:val="100"/>
          <w:position w:val="0"/>
          <w:shd w:val="clear" w:color="auto" w:fill="auto"/>
          <w:lang w:val="hr-HR" w:eastAsia="hr-HR" w:bidi="hr-HR"/>
        </w:rPr>
        <w:t>donosi čovjeku sva</w:t>
        <w:softHyphen/>
        <w:t xml:space="preserve">koga tjedna »odijeljenost od svijeta u svijetu. Stoga je i zid njegovih propisa sagrađen tako visok kako u njegovo sveto okruženje ne bi dopro zvuk iz života svakodnevice« (L. Bacck,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Wesen </w:t>
      </w:r>
      <w:r>
        <w:rPr>
          <w:rFonts w:ascii="Times New Roman" w:eastAsia="Times New Roman" w:hAnsi="Times New Roman" w:cs="Times New Roman"/>
          <w:i/>
          <w:iCs/>
          <w:color w:val="000000"/>
          <w:spacing w:val="0"/>
          <w:w w:val="100"/>
          <w:position w:val="0"/>
          <w:shd w:val="clear" w:color="auto" w:fill="auto"/>
          <w:lang w:val="hr-HR" w:eastAsia="hr-HR" w:bidi="hr-HR"/>
        </w:rPr>
        <w:t>des Judentums,</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6</w:t>
      </w:r>
      <w:r>
        <w:rPr>
          <w:rFonts w:ascii="Times New Roman" w:eastAsia="Times New Roman" w:hAnsi="Times New Roman" w:cs="Times New Roman"/>
          <w:color w:val="000000"/>
          <w:spacing w:val="0"/>
          <w:w w:val="100"/>
          <w:position w:val="0"/>
          <w:shd w:val="clear" w:color="auto" w:fill="auto"/>
          <w:lang w:val="hr-HR" w:eastAsia="hr-HR" w:bidi="hr-HR"/>
        </w:rPr>
        <w:t>1960, 159) i tu se čovjek može oporaviti te crpsti duševni mir i snagu za obavljanje dužnosti u svakodnevnom životu. Mudraci objašnjavaju svetkovanje blag</w:t>
        <w:softHyphen/>
        <w:t xml:space="preserve">dana na temelju Pnz 16,8 i Br 29,35: »Rabi Je- hošua (oko 90) rekao je: Radost na blagdan ujedno je i zapovijed; jer u </w:t>
      </w:r>
      <w:r>
        <w:rPr>
          <w:rFonts w:ascii="Times New Roman" w:eastAsia="Times New Roman" w:hAnsi="Times New Roman" w:cs="Times New Roman"/>
          <w:i/>
          <w:iCs/>
          <w:color w:val="000000"/>
          <w:spacing w:val="0"/>
          <w:w w:val="100"/>
          <w:position w:val="0"/>
          <w:shd w:val="clear" w:color="auto" w:fill="auto"/>
          <w:lang w:val="hr-HR" w:eastAsia="hr-HR" w:bidi="hr-HR"/>
        </w:rPr>
        <w:t>Berajti</w:t>
      </w:r>
      <w:r>
        <w:rPr>
          <w:rFonts w:ascii="Times New Roman" w:eastAsia="Times New Roman" w:hAnsi="Times New Roman" w:cs="Times New Roman"/>
          <w:color w:val="000000"/>
          <w:spacing w:val="0"/>
          <w:w w:val="100"/>
          <w:position w:val="0"/>
          <w:shd w:val="clear" w:color="auto" w:fill="auto"/>
          <w:lang w:val="hr-HR" w:eastAsia="hr-HR" w:bidi="hr-HR"/>
        </w:rPr>
        <w:t xml:space="preserve"> (tanaitska tradicija koju nije preuzela Mišna) glasi ova</w:t>
        <w:softHyphen/>
        <w:t xml:space="preserve">ko: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(oko 90) rekao je: Jedina je dužnost čovjeka da na blagdan ili jede i pije ili sjedi i proučava (Toru). Rabi Jchošua je re</w:t>
        <w:softHyphen/>
        <w:t>kao: Dijeli ga tako da jedna polovica služi za jelo i piće, a druga za učilište« (B Pesahim 68b, usp. Šifre Pnz 16,8; j Šabat XV,15a). Šabatna tradicija (Šulhan aruh, Orah hajim § 242.249 i d. 257.260-62.269.271.274.287.289-9. 296-300.302) pomaže pronaći pravi pristup blagdanu: »Na dan moje svetosti, nazoveš li svečanost (šabat) milinom, a časnim dan MENI posvećen, častiš li ga odustajuć od puta, bav</w:t>
        <w:softHyphen/>
        <w:t xml:space="preserve">ljenja poslom i pregovaranja, tad ćeš u MENI </w:t>
      </w:r>
      <w:r>
        <w:rPr>
          <w:rFonts w:ascii="Times New Roman" w:eastAsia="Times New Roman" w:hAnsi="Times New Roman" w:cs="Times New Roman"/>
          <w:color w:val="000000"/>
          <w:spacing w:val="0"/>
          <w:w w:val="100"/>
          <w:position w:val="0"/>
          <w:shd w:val="clear" w:color="auto" w:fill="auto"/>
          <w:lang w:val="hr-HR" w:eastAsia="hr-HR" w:bidi="hr-HR"/>
        </w:rPr>
        <w:t>svoju milinu naći« (Iz 58,13 i d.). Šabat je blag</w:t>
        <w:softHyphen/>
        <w:t xml:space="preserve">dan »sjećanja na djelo u početku« (večernja molitva na šabat, </w:t>
      </w:r>
      <w:r>
        <w:rPr>
          <w:rFonts w:ascii="Times New Roman" w:eastAsia="Times New Roman" w:hAnsi="Times New Roman" w:cs="Times New Roman"/>
          <w:i/>
          <w:iCs/>
          <w:color w:val="000000"/>
          <w:spacing w:val="0"/>
          <w:w w:val="100"/>
          <w:position w:val="0"/>
          <w:shd w:val="clear" w:color="auto" w:fill="auto"/>
          <w:lang w:val="hr-HR" w:eastAsia="hr-HR" w:bidi="hr-HR"/>
        </w:rPr>
        <w:t>kiduš);</w:t>
      </w:r>
      <w:r>
        <w:rPr>
          <w:rFonts w:ascii="Times New Roman" w:eastAsia="Times New Roman" w:hAnsi="Times New Roman" w:cs="Times New Roman"/>
          <w:color w:val="000000"/>
          <w:spacing w:val="0"/>
          <w:w w:val="100"/>
          <w:position w:val="0"/>
          <w:shd w:val="clear" w:color="auto" w:fill="auto"/>
          <w:lang w:val="hr-HR" w:eastAsia="hr-HR" w:bidi="hr-HR"/>
        </w:rPr>
        <w:t xml:space="preserve"> on odražava stvar</w:t>
        <w:softHyphen/>
        <w:t>anje svijeta (Post 1,1-2,4a) svakoga sedmog dana u godišnjem krugu. On je i blagdan do</w:t>
        <w:softHyphen/>
        <w:t>vršenja djela, na koji zajednica u sadašnjosti gleda na svoje otkupljenje, štoviše - anticipi</w:t>
        <w:softHyphen/>
        <w:t>rajući ga - već sada kao otkupljena slavi Stvo</w:t>
        <w:softHyphen/>
        <w:t xml:space="preserve">ritelja i Otkupitelja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der Erlosung,</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 xml:space="preserve">1976, 344-49). Taj je odnos već uspostavila Mišna: »Na šabat su pjevali (Icviti u svetištu) ’Psalam za šabat’ (za dan subotnji, Ps 92). Psalam za budući svijet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(le-atid la-bo), </w:t>
      </w:r>
      <w:r>
        <w:rPr>
          <w:rFonts w:ascii="Times New Roman" w:eastAsia="Times New Roman" w:hAnsi="Times New Roman" w:cs="Times New Roman"/>
          <w:color w:val="000000"/>
          <w:spacing w:val="0"/>
          <w:w w:val="100"/>
          <w:position w:val="0"/>
          <w:shd w:val="clear" w:color="auto" w:fill="auto"/>
          <w:lang w:val="hr-HR" w:eastAsia="hr-HR" w:bidi="hr-HR"/>
        </w:rPr>
        <w:t xml:space="preserve">za dan, koji je u cijelosti sav šabat i mirovanje u vječnom životu </w:t>
      </w:r>
      <w:r>
        <w:rPr>
          <w:rFonts w:ascii="Times New Roman" w:eastAsia="Times New Roman" w:hAnsi="Times New Roman" w:cs="Times New Roman"/>
          <w:i/>
          <w:iCs/>
          <w:color w:val="000000"/>
          <w:spacing w:val="0"/>
          <w:w w:val="100"/>
          <w:position w:val="0"/>
          <w:shd w:val="clear" w:color="auto" w:fill="auto"/>
          <w:lang w:val="hr-HR" w:eastAsia="hr-HR" w:bidi="hr-HR"/>
        </w:rPr>
        <w:t>(ha-olamim)«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(Tamid </w:t>
      </w:r>
      <w:r>
        <w:rPr>
          <w:rFonts w:ascii="Times New Roman" w:eastAsia="Times New Roman" w:hAnsi="Times New Roman" w:cs="Times New Roman"/>
          <w:color w:val="000000"/>
          <w:spacing w:val="0"/>
          <w:w w:val="100"/>
          <w:position w:val="0"/>
          <w:shd w:val="clear" w:color="auto" w:fill="auto"/>
          <w:lang w:val="hr-HR" w:eastAsia="hr-HR" w:bidi="hr-HR"/>
        </w:rPr>
        <w:t xml:space="preserve">VII,4, usp. b Roš ha-šana 31a). Nakon šabata od blagdana koji se ponavljaju slijedi Blagdan mlađaka </w:t>
      </w:r>
      <w:r>
        <w:rPr>
          <w:rFonts w:ascii="Times New Roman" w:eastAsia="Times New Roman" w:hAnsi="Times New Roman" w:cs="Times New Roman"/>
          <w:i/>
          <w:iCs/>
          <w:color w:val="000000"/>
          <w:spacing w:val="0"/>
          <w:w w:val="100"/>
          <w:position w:val="0"/>
          <w:shd w:val="clear" w:color="auto" w:fill="auto"/>
          <w:lang w:val="hr-HR" w:eastAsia="hr-HR" w:bidi="hr-HR"/>
        </w:rPr>
        <w:t>(Roš ha-hodeš,</w:t>
      </w:r>
      <w:r>
        <w:rPr>
          <w:rFonts w:ascii="Times New Roman" w:eastAsia="Times New Roman" w:hAnsi="Times New Roman" w:cs="Times New Roman"/>
          <w:color w:val="000000"/>
          <w:spacing w:val="0"/>
          <w:w w:val="100"/>
          <w:position w:val="0"/>
          <w:shd w:val="clear" w:color="auto" w:fill="auto"/>
          <w:lang w:val="hr-HR" w:eastAsia="hr-HR" w:bidi="hr-HR"/>
        </w:rPr>
        <w:t xml:space="preserve"> I. Elbogen op. cit., 122-126). U predizagnaničko doba na taj su dan mirovali, kao na šabat, rad i poslovi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8,5). U dijaspori ustupio je mjesto sabatu, iz</w:t>
        <w:softHyphen/>
        <w:t>gubio svoj svečani karakter i sveo se na polu- blagdan na koji je bilo dopušteno obavljati poslove za uzdržavanje i zaštitu od štete (Šul</w:t>
        <w:softHyphen/>
        <w:t>han aruh, Orah hajim § 531-48). Međutim, ostaje njegova velika važnost za određivanje blagdana.</w:t>
      </w:r>
    </w:p>
    <w:p>
      <w:pPr>
        <w:pStyle w:val="Style20"/>
        <w:keepNext w:val="0"/>
        <w:keepLines w:val="0"/>
        <w:widowControl w:val="0"/>
        <w:shd w:val="clear" w:color="auto" w:fill="auto"/>
        <w:bidi w:val="0"/>
        <w:spacing w:before="0" w:after="2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Osim tjednoga šabata i mjesečnoga mlađaka, od starine razlikujemo tri hodočasnička blagda</w:t>
        <w:softHyphen/>
        <w:t xml:space="preserve">na </w:t>
      </w:r>
      <w:r>
        <w:rPr>
          <w:rFonts w:ascii="Times New Roman" w:eastAsia="Times New Roman" w:hAnsi="Times New Roman" w:cs="Times New Roman"/>
          <w:i/>
          <w:iCs/>
          <w:color w:val="000000"/>
          <w:spacing w:val="0"/>
          <w:w w:val="100"/>
          <w:position w:val="0"/>
          <w:shd w:val="clear" w:color="auto" w:fill="auto"/>
          <w:lang w:val="hr-HR" w:eastAsia="hr-HR" w:bidi="hr-HR"/>
        </w:rPr>
        <w:t>(Šaloš regalim,</w:t>
      </w:r>
      <w:r>
        <w:rPr>
          <w:rFonts w:ascii="Times New Roman" w:eastAsia="Times New Roman" w:hAnsi="Times New Roman" w:cs="Times New Roman"/>
          <w:color w:val="000000"/>
          <w:spacing w:val="0"/>
          <w:w w:val="100"/>
          <w:position w:val="0"/>
          <w:shd w:val="clear" w:color="auto" w:fill="auto"/>
          <w:lang w:val="hr-HR" w:eastAsia="hr-HR" w:bidi="hr-HR"/>
        </w:rPr>
        <w:t xml:space="preserve"> I. Elbogen, op. cit., 132-140) i oba ozbiljna blagdana </w:t>
      </w:r>
      <w:r>
        <w:rPr>
          <w:rFonts w:ascii="Times New Roman" w:eastAsia="Times New Roman" w:hAnsi="Times New Roman" w:cs="Times New Roman"/>
          <w:i/>
          <w:iCs/>
          <w:color w:val="000000"/>
          <w:spacing w:val="0"/>
          <w:w w:val="100"/>
          <w:position w:val="0"/>
          <w:shd w:val="clear" w:color="auto" w:fill="auto"/>
          <w:lang w:val="hr-HR" w:eastAsia="hr-HR" w:bidi="hr-HR"/>
        </w:rPr>
        <w:t>(jamim nora’im,</w:t>
      </w:r>
      <w:r>
        <w:rPr>
          <w:rFonts w:ascii="Times New Roman" w:eastAsia="Times New Roman" w:hAnsi="Times New Roman" w:cs="Times New Roman"/>
          <w:color w:val="000000"/>
          <w:spacing w:val="0"/>
          <w:w w:val="100"/>
          <w:position w:val="0"/>
          <w:shd w:val="clear" w:color="auto" w:fill="auto"/>
          <w:lang w:val="hr-HR" w:eastAsia="hr-HR" w:bidi="hr-HR"/>
        </w:rPr>
        <w:t xml:space="preserve"> »dani strahopoštovanja«, 1. Elbogen, op. cit., 140—154). Hodočasnički su blagdani dani radosti, koje smatraju srodnima, pa stoga ima sličnosti u li</w:t>
        <w:softHyphen/>
        <w:t xml:space="preserve">turgiji (E. </w:t>
      </w:r>
      <w:r>
        <w:rPr>
          <w:rFonts w:ascii="Times New Roman" w:eastAsia="Times New Roman" w:hAnsi="Times New Roman" w:cs="Times New Roman"/>
          <w:color w:val="000000"/>
          <w:spacing w:val="0"/>
          <w:w w:val="100"/>
          <w:position w:val="0"/>
          <w:shd w:val="clear" w:color="auto" w:fill="auto"/>
          <w:lang w:val="en-US" w:eastAsia="en-US" w:bidi="en-US"/>
        </w:rPr>
        <w:t xml:space="preserve">Munk,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Welt </w:t>
      </w:r>
      <w:r>
        <w:rPr>
          <w:rFonts w:ascii="Times New Roman" w:eastAsia="Times New Roman" w:hAnsi="Times New Roman" w:cs="Times New Roman"/>
          <w:i/>
          <w:iCs/>
          <w:color w:val="000000"/>
          <w:spacing w:val="0"/>
          <w:w w:val="100"/>
          <w:position w:val="0"/>
          <w:shd w:val="clear" w:color="auto" w:fill="auto"/>
          <w:lang w:val="hr-HR" w:eastAsia="hr-HR" w:bidi="hr-HR"/>
        </w:rPr>
        <w:t>der Gehete l!,</w:t>
      </w:r>
      <w:r>
        <w:rPr>
          <w:rFonts w:ascii="Times New Roman" w:eastAsia="Times New Roman" w:hAnsi="Times New Roman" w:cs="Times New Roman"/>
          <w:color w:val="000000"/>
          <w:spacing w:val="0"/>
          <w:w w:val="100"/>
          <w:position w:val="0"/>
          <w:shd w:val="clear" w:color="auto" w:fill="auto"/>
          <w:lang w:val="hr-HR" w:eastAsia="hr-HR" w:bidi="hr-HR"/>
        </w:rPr>
        <w:t xml:space="preserve"> 1975, 11-184, 292-319). Potječu od tri stara žetvena blagdana na koja se hodočastilo u svetište i pri</w:t>
        <w:softHyphen/>
        <w:t xml:space="preserve">nosilo prvine s polja (Izl 23,14-17; 34,18-23; Pnz 16,1-17; 2 Kr 23,21-23; usp. Ps 120-134): Pesah («Blagdan prijelaza«, Izl 12), blagdan oslobođenja iz Egipta, koji počinje 14. nišana i traje osam dana (samo sedam dana prema Izl 12,15; 34,18;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23,6; Br 28,17; Pnz 16,3). Bcs- kvasni kruhovi (macoz), koji se jedu na taj blagdan, trebalo je jesti kao »kruh nevoljnič- ki« (Pnz 16,3) i podsjetiti na egipatsko sužanj- stvo i žurbu izlaska iz Egipta (Izl 12,39); Ša- vuot («Blagdan sedmica«, Izl 34,22; Br 28,26;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23,15 i d.) slavi se od talmudskih vremena kao blagdan objave Božje na Sinaju i u glav</w:t>
        <w:softHyphen/>
        <w:t>nim se molitvama zove: »blagdan našega zako</w:t>
        <w:softHyphen/>
        <w:t xml:space="preserve">nodavstva« </w:t>
      </w:r>
      <w:r>
        <w:rPr>
          <w:rFonts w:ascii="Times New Roman" w:eastAsia="Times New Roman" w:hAnsi="Times New Roman" w:cs="Times New Roman"/>
          <w:i/>
          <w:iCs/>
          <w:color w:val="000000"/>
          <w:spacing w:val="0"/>
          <w:w w:val="100"/>
          <w:position w:val="0"/>
          <w:shd w:val="clear" w:color="auto" w:fill="auto"/>
          <w:lang w:val="hr-HR" w:eastAsia="hr-HR" w:bidi="hr-HR"/>
        </w:rPr>
        <w:t>(uman matan toratenu).</w:t>
      </w:r>
      <w:r>
        <w:rPr>
          <w:rFonts w:ascii="Times New Roman" w:eastAsia="Times New Roman" w:hAnsi="Times New Roman" w:cs="Times New Roman"/>
          <w:color w:val="000000"/>
          <w:spacing w:val="0"/>
          <w:w w:val="100"/>
          <w:position w:val="0"/>
          <w:shd w:val="clear" w:color="auto" w:fill="auto"/>
          <w:lang w:val="hr-HR" w:eastAsia="hr-HR" w:bidi="hr-HR"/>
        </w:rPr>
        <w:t xml:space="preserve"> To je spo-</w:t>
      </w:r>
    </w:p>
    <w:p>
      <w:pPr>
        <w:pStyle w:val="Style20"/>
        <w:keepNext w:val="0"/>
        <w:keepLines w:val="0"/>
        <w:widowControl w:val="0"/>
        <w:shd w:val="clear" w:color="auto" w:fill="auto"/>
        <w:bidi w:val="0"/>
        <w:spacing w:before="0" w:after="100"/>
        <w:ind w:left="0" w:right="0" w:firstLine="0"/>
        <w:jc w:val="right"/>
        <w:sectPr>
          <w:headerReference w:type="default" r:id="rId1423"/>
          <w:footerReference w:type="default" r:id="rId1424"/>
          <w:headerReference w:type="even" r:id="rId1425"/>
          <w:footerReference w:type="even" r:id="rId1426"/>
          <w:footnotePr>
            <w:pos w:val="pageBottom"/>
            <w:numFmt w:val="decimal"/>
            <w:numRestart w:val="continuous"/>
            <w15:footnoteColumns w:val="1"/>
          </w:footnotePr>
          <w:pgSz w:w="6816" w:h="11006"/>
          <w:pgMar w:top="892" w:left="194" w:right="201" w:bottom="226" w:header="0" w:footer="3" w:gutter="0"/>
          <w:pgNumType w:start="473"/>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4AQ</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mcn-dan proglašenja Izraelaca Božjim naro</w:t>
        <w:softHyphen/>
        <w:t xml:space="preserve">dom (Izl 19,4-8); Sukot (»Sjenice«, Pnz 16,13;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23,34; F.zr 3,4; Zah 14,16), u početku blagdan berbe (Izl 23,16; 34,22), posljednji i stoga najveći, najradosniji blagdan žetve (1 Kr 8,2;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23,39; Suci 21,19), povezan je s raz</w:t>
        <w:softHyphen/>
        <w:t>dobljem pustinjskoga života Izraelaca u sjeni</w:t>
        <w:softHyphen/>
        <w:t xml:space="preserve">cama ili kolibama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23,42 i d.) i naziva se »vremenom naše radosti«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(zeman simhatenu, </w:t>
      </w:r>
      <w:r>
        <w:rPr>
          <w:rFonts w:ascii="Times New Roman" w:eastAsia="Times New Roman" w:hAnsi="Times New Roman" w:cs="Times New Roman"/>
          <w:color w:val="000000"/>
          <w:spacing w:val="0"/>
          <w:w w:val="100"/>
          <w:position w:val="0"/>
          <w:shd w:val="clear" w:color="auto" w:fill="auto"/>
          <w:lang w:val="hr-HR" w:eastAsia="hr-HR" w:bidi="hr-HR"/>
        </w:rPr>
        <w:t>Pnz 16,14 i d.). Ta tri hodočasnička blagdana »čine zajedno sliku sudbine naroda kao no</w:t>
        <w:softHyphen/>
        <w:t xml:space="preserve">sitelja objave« (F. </w:t>
      </w:r>
      <w:r>
        <w:rPr>
          <w:rFonts w:ascii="Times New Roman" w:eastAsia="Times New Roman" w:hAnsi="Times New Roman" w:cs="Times New Roman"/>
          <w:color w:val="000000"/>
          <w:spacing w:val="0"/>
          <w:w w:val="100"/>
          <w:position w:val="0"/>
          <w:shd w:val="clear" w:color="auto" w:fill="auto"/>
          <w:lang w:val="en-US" w:eastAsia="en-US" w:bidi="en-US"/>
        </w:rPr>
        <w:t xml:space="preserve">Roscnzweig, </w:t>
      </w:r>
      <w:r>
        <w:rPr>
          <w:rFonts w:ascii="Times New Roman" w:eastAsia="Times New Roman" w:hAnsi="Times New Roman" w:cs="Times New Roman"/>
          <w:color w:val="000000"/>
          <w:spacing w:val="0"/>
          <w:w w:val="100"/>
          <w:position w:val="0"/>
          <w:shd w:val="clear" w:color="auto" w:fill="auto"/>
          <w:lang w:val="hr-HR" w:eastAsia="hr-HR" w:bidi="hr-HR"/>
        </w:rPr>
        <w:t>op.cit., 351). Posebni su blagdani »dani strahopoštovanja« koji počinju s blagdanom Roš ha-šana (»poče</w:t>
        <w:softHyphen/>
        <w:t xml:space="preserve">tak godine«, usp. Pnz 11,12; Izl 23,16; 34,22), »danom sjećanja« </w:t>
      </w:r>
      <w:r>
        <w:rPr>
          <w:rFonts w:ascii="Times New Roman" w:eastAsia="Times New Roman" w:hAnsi="Times New Roman" w:cs="Times New Roman"/>
          <w:i/>
          <w:iCs/>
          <w:color w:val="000000"/>
          <w:spacing w:val="0"/>
          <w:w w:val="100"/>
          <w:position w:val="0"/>
          <w:shd w:val="clear" w:color="auto" w:fill="auto"/>
          <w:lang w:val="hr-HR" w:eastAsia="hr-HR" w:bidi="hr-HR"/>
        </w:rPr>
        <w:t>(jom hazikaron)</w:t>
      </w:r>
      <w:r>
        <w:rPr>
          <w:rFonts w:ascii="Times New Roman" w:eastAsia="Times New Roman" w:hAnsi="Times New Roman" w:cs="Times New Roman"/>
          <w:color w:val="000000"/>
          <w:spacing w:val="0"/>
          <w:w w:val="100"/>
          <w:position w:val="0"/>
          <w:shd w:val="clear" w:color="auto" w:fill="auto"/>
          <w:lang w:val="hr-HR" w:eastAsia="hr-HR" w:bidi="hr-HR"/>
        </w:rPr>
        <w:t xml:space="preserve"> na Boga, Stvoritelja svega stvorenoga (b Roš ha-šana 27a), »danom suda« </w:t>
      </w:r>
      <w:r>
        <w:rPr>
          <w:rFonts w:ascii="Times New Roman" w:eastAsia="Times New Roman" w:hAnsi="Times New Roman" w:cs="Times New Roman"/>
          <w:i/>
          <w:iCs/>
          <w:color w:val="000000"/>
          <w:spacing w:val="0"/>
          <w:w w:val="100"/>
          <w:position w:val="0"/>
          <w:shd w:val="clear" w:color="auto" w:fill="auto"/>
          <w:lang w:val="hr-HR" w:eastAsia="hr-HR" w:bidi="hr-HR"/>
        </w:rPr>
        <w:t>(jom ha-dijn,</w:t>
      </w:r>
      <w:r>
        <w:rPr>
          <w:rFonts w:ascii="Times New Roman" w:eastAsia="Times New Roman" w:hAnsi="Times New Roman" w:cs="Times New Roman"/>
          <w:color w:val="000000"/>
          <w:spacing w:val="0"/>
          <w:w w:val="100"/>
          <w:position w:val="0"/>
          <w:shd w:val="clear" w:color="auto" w:fill="auto"/>
          <w:lang w:val="hr-HR" w:eastAsia="hr-HR" w:bidi="hr-HR"/>
        </w:rPr>
        <w:t xml:space="preserve"> j Roš ha- šana 1,3,57b), »danom trublji« </w:t>
      </w:r>
      <w:r>
        <w:rPr>
          <w:rFonts w:ascii="Times New Roman" w:eastAsia="Times New Roman" w:hAnsi="Times New Roman" w:cs="Times New Roman"/>
          <w:i/>
          <w:iCs/>
          <w:color w:val="000000"/>
          <w:spacing w:val="0"/>
          <w:w w:val="100"/>
          <w:position w:val="0"/>
          <w:shd w:val="clear" w:color="auto" w:fill="auto"/>
          <w:lang w:val="hr-HR" w:eastAsia="hr-HR" w:bidi="hr-HR"/>
        </w:rPr>
        <w:t>(jom terua,</w:t>
      </w:r>
      <w:r>
        <w:rPr>
          <w:rFonts w:ascii="Times New Roman" w:eastAsia="Times New Roman" w:hAnsi="Times New Roman" w:cs="Times New Roman"/>
          <w:color w:val="000000"/>
          <w:spacing w:val="0"/>
          <w:w w:val="100"/>
          <w:position w:val="0"/>
          <w:shd w:val="clear" w:color="auto" w:fill="auto"/>
          <w:lang w:val="hr-HR" w:eastAsia="hr-HR" w:bidi="hr-HR"/>
        </w:rPr>
        <w:t xml:space="preserve"> M Roš ha-šana IV,8 i d.; b 16a), a završavaju Jom kipurom («Dan pomirenja«, zapravo </w:t>
      </w:r>
      <w:r>
        <w:rPr>
          <w:rFonts w:ascii="Times New Roman" w:eastAsia="Times New Roman" w:hAnsi="Times New Roman" w:cs="Times New Roman"/>
          <w:i/>
          <w:iCs/>
          <w:color w:val="000000"/>
          <w:spacing w:val="0"/>
          <w:w w:val="100"/>
          <w:position w:val="0"/>
          <w:shd w:val="clear" w:color="auto" w:fill="auto"/>
          <w:lang w:val="hr-HR" w:eastAsia="hr-HR" w:bidi="hr-HR"/>
        </w:rPr>
        <w:t>jom ha-kipurim,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23,27 i d.; 25,9); ti dani suda i obraćenja - jedini na koje Židov kleči (F. Ro- </w:t>
      </w:r>
      <w:r>
        <w:rPr>
          <w:rFonts w:ascii="Times New Roman" w:eastAsia="Times New Roman" w:hAnsi="Times New Roman" w:cs="Times New Roman"/>
          <w:color w:val="000000"/>
          <w:spacing w:val="0"/>
          <w:w w:val="100"/>
          <w:position w:val="0"/>
          <w:shd w:val="clear" w:color="auto" w:fill="auto"/>
          <w:lang w:val="en-US" w:eastAsia="en-US" w:bidi="en-US"/>
        </w:rPr>
        <w:t xml:space="preserve">senzweig, </w:t>
      </w:r>
      <w:r>
        <w:rPr>
          <w:rFonts w:ascii="Times New Roman" w:eastAsia="Times New Roman" w:hAnsi="Times New Roman" w:cs="Times New Roman"/>
          <w:color w:val="000000"/>
          <w:spacing w:val="0"/>
          <w:w w:val="100"/>
          <w:position w:val="0"/>
          <w:shd w:val="clear" w:color="auto" w:fill="auto"/>
          <w:lang w:val="hr-HR" w:eastAsia="hr-HR" w:bidi="hr-HR"/>
        </w:rPr>
        <w:t>op.cit., 359 i d.) - podsjećaju ljude na odgovornost pred Bogom: »Čovjeku se su</w:t>
        <w:softHyphen/>
        <w:t>di na Novu godinu, a njegova se presuda pe</w:t>
        <w:softHyphen/>
        <w:t>čati na Dan pomirenja« (b Roš ha-šana 16a).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A. Chill, Thu </w:t>
      </w:r>
      <w:r>
        <w:rPr>
          <w:color w:val="000000"/>
          <w:spacing w:val="0"/>
          <w:w w:val="100"/>
          <w:position w:val="0"/>
          <w:shd w:val="clear" w:color="auto" w:fill="auto"/>
          <w:lang w:val="hr-HR" w:eastAsia="hr-HR" w:bidi="hr-HR"/>
        </w:rPr>
        <w:t xml:space="preserve">Minhagim. </w:t>
      </w:r>
      <w:r>
        <w:rPr>
          <w:i/>
          <w:iCs/>
          <w:color w:val="000000"/>
          <w:spacing w:val="0"/>
          <w:w w:val="100"/>
          <w:position w:val="0"/>
          <w:shd w:val="clear" w:color="auto" w:fill="auto"/>
        </w:rPr>
        <w:t>The Customs and Ceremonies of Judaism, Their Origins and Rationale,</w:t>
      </w:r>
      <w:r>
        <w:rPr>
          <w:color w:val="000000"/>
          <w:spacing w:val="0"/>
          <w:w w:val="100"/>
          <w:position w:val="0"/>
          <w:shd w:val="clear" w:color="auto" w:fill="auto"/>
        </w:rPr>
        <w:t xml:space="preserve"> 1979; R. R Geis. </w:t>
      </w:r>
      <w:r>
        <w:rPr>
          <w:i/>
          <w:iCs/>
          <w:color w:val="000000"/>
          <w:spacing w:val="0"/>
          <w:w w:val="100"/>
          <w:position w:val="0"/>
          <w:shd w:val="clear" w:color="auto" w:fill="auto"/>
        </w:rPr>
        <w:t>Vom unbekannten Judenium,</w:t>
      </w:r>
      <w:r>
        <w:rPr>
          <w:color w:val="000000"/>
          <w:spacing w:val="0"/>
          <w:w w:val="100"/>
          <w:position w:val="0"/>
          <w:shd w:val="clear" w:color="auto" w:fill="auto"/>
        </w:rPr>
        <w:t xml:space="preserve"> </w:t>
      </w:r>
      <w:r>
        <w:rPr>
          <w:color w:val="000000"/>
          <w:spacing w:val="0"/>
          <w:w w:val="100"/>
          <w:position w:val="0"/>
          <w:shd w:val="clear" w:color="auto" w:fill="auto"/>
          <w:vertAlign w:val="superscript"/>
        </w:rPr>
        <w:footnoteReference w:id="21"/>
      </w:r>
      <w:r>
        <w:rPr>
          <w:color w:val="000000"/>
          <w:spacing w:val="0"/>
          <w:w w:val="100"/>
          <w:position w:val="0"/>
          <w:shd w:val="clear" w:color="auto" w:fill="auto"/>
        </w:rPr>
        <w:t>1975, 30—60; P. P. Grune</w:t>
        <w:softHyphen/>
      </w:r>
      <w:r>
        <w:rPr>
          <w:color w:val="000000"/>
          <w:spacing w:val="0"/>
          <w:w w:val="100"/>
          <w:position w:val="0"/>
          <w:shd w:val="clear" w:color="auto" w:fill="auto"/>
          <w:lang w:val="hr-HR" w:eastAsia="hr-HR" w:bidi="hr-HR"/>
        </w:rPr>
      </w:r>
      <w:r>
        <w:rPr>
          <w:color w:val="000000"/>
          <w:spacing w:val="0"/>
          <w:w w:val="100"/>
          <w:position w:val="0"/>
          <w:shd w:val="clear" w:color="auto" w:fill="auto"/>
        </w:rPr>
        <w:t xml:space="preserve">wald, </w:t>
      </w:r>
      <w:r>
        <w:rPr>
          <w:i/>
          <w:iCs/>
          <w:color w:val="000000"/>
          <w:spacing w:val="0"/>
          <w:w w:val="100"/>
          <w:position w:val="0"/>
          <w:shd w:val="clear" w:color="auto" w:fill="auto"/>
        </w:rPr>
        <w:t>Im ewigen Kreis. Turn judischen Kaicnderjahr,</w:t>
      </w:r>
      <w:r>
        <w:rPr>
          <w:color w:val="000000"/>
          <w:spacing w:val="0"/>
          <w:w w:val="100"/>
          <w:position w:val="0"/>
          <w:shd w:val="clear" w:color="auto" w:fill="auto"/>
        </w:rPr>
        <w:t xml:space="preserve"> 1980; L. Hirsch. </w:t>
      </w:r>
      <w:r>
        <w:rPr>
          <w:i/>
          <w:iCs/>
          <w:color w:val="000000"/>
          <w:spacing w:val="0"/>
          <w:w w:val="100"/>
          <w:position w:val="0"/>
          <w:shd w:val="clear" w:color="auto" w:fill="auto"/>
        </w:rPr>
        <w:t>Jiidische Glaubenswelt</w:t>
      </w:r>
      <w:r>
        <w:rPr>
          <w:color w:val="000000"/>
          <w:spacing w:val="0"/>
          <w:w w:val="100"/>
          <w:position w:val="0"/>
          <w:shd w:val="clear" w:color="auto" w:fill="auto"/>
        </w:rPr>
        <w:t xml:space="preserve">, 1978,81-187; F. Thicbcrgcr (Hrsg ), </w:t>
      </w:r>
      <w:r>
        <w:rPr>
          <w:i/>
          <w:iCs/>
          <w:color w:val="000000"/>
          <w:spacing w:val="0"/>
          <w:w w:val="100"/>
          <w:position w:val="0"/>
          <w:shd w:val="clear" w:color="auto" w:fill="auto"/>
        </w:rPr>
        <w:t>Jiidisches Fest, jtidischer Brauch,</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1979.</w:t>
      </w:r>
    </w:p>
    <w:p>
      <w:pPr>
        <w:pStyle w:val="Style5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D. VETTER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njih, nastojimo biti svjesni njih na višem stup</w:t>
        <w:softHyphen/>
        <w:t>nju. Pritom vrijednosti razvijaju svoju moć stvaranja zajedništva. Jer, svečanost slavimo zajednički i ona jača zajedništvo. I, obrnuto, zajedništvo je uvijek okupljanje oko vrijed</w:t>
        <w:softHyphen/>
        <w:t>nosti, okupljanje koje kulminira u svečanosti« (J. A. Jungmann).</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Raznolikost svečanosti dade se svesti na dva osnovna tipa: na praoblik svečanosti i na sve</w:t>
        <w:softHyphen/>
        <w:t>čanost koja se periodički vraća. Praoblik je tamo gdje se radi o značajnom trenutnom do</w:t>
        <w:softHyphen/>
        <w:t>gađaju kao što su rođenje ili ženidba. No, s vremena na vrijeme dozivamo u svijest i neku stalno prisutnu vrijednost, npr. vrijednosti pri</w:t>
        <w:softHyphen/>
        <w:t>rodnog poretka, vrijednosti kulture i društve</w:t>
        <w:softHyphen/>
        <w:t>nog života. Tu se ubrajaju proslave Nove go</w:t>
        <w:softHyphen/>
        <w:t>dine, dani zahvalnosti i dani državnosti. Ako, dakle, želimo opisati svečanost, onda moramo istaći da ona znači prekid svakodnevnog posla i dopuštanjc veselja koje ljudi trebaju, da u prvi plan stavlja dublje slojeve života, tj. vrijed</w:t>
        <w:softHyphen/>
        <w:t>nosti ili ono što držimo za vrijednost, da u njoj odobravamo ono što jesmo, da slaveći u sa</w:t>
        <w:softHyphen/>
        <w:t>dašnjosti slavimo prošlost i budućnost, da ona izgrađuje zajedništvo, da je zajednički slavimo i da time jača zajedništvo (npr. zajedništvo obitelji na roditeljskoj godišnjici braka).</w:t>
      </w:r>
    </w:p>
    <w:p>
      <w:pPr>
        <w:pStyle w:val="Style20"/>
        <w:keepNext w:val="0"/>
        <w:keepLines w:val="0"/>
        <w:widowControl w:val="0"/>
        <w:shd w:val="clear" w:color="auto" w:fill="auto"/>
        <w:bidi w:val="0"/>
        <w:spacing w:before="0" w:after="0"/>
        <w:ind w:left="0" w:right="0" w:firstLine="0"/>
        <w:jc w:val="both"/>
        <w:sectPr>
          <w:headerReference w:type="default" r:id="rId1427"/>
          <w:footerReference w:type="default" r:id="rId1428"/>
          <w:headerReference w:type="even" r:id="rId1429"/>
          <w:footerReference w:type="even" r:id="rId1430"/>
          <w:footnotePr>
            <w:pos w:val="pageBottom"/>
            <w:numFmt w:val="decimal"/>
            <w:numRestart w:val="continuous"/>
            <w15:footnoteColumns w:val="1"/>
          </w:footnotePr>
          <w:pgSz w:w="6816" w:h="11006"/>
          <w:pgMar w:top="892" w:left="194" w:right="201" w:bottom="226" w:header="0" w:footer="3" w:gutter="0"/>
          <w:pgNumType w:start="470"/>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Sve to vrijedi i za kršćansku svečanost. Svi blagdani Crkve - osim otajstvenih blagdana kojima se slavi određeni vid nekog otajstva ili neki naslov kojim se priziva Krist, Marija ili neki svetac, slave se kao spomen-dani povi</w:t>
        <w:softHyphen/>
        <w:t>jesnih spasenjskih čina. Oni potvrđuju da je postojanje samo tada i tamo dobro, gdje se prošli čin spasenja - prvenstveno smrt i uskrs</w:t>
        <w:softHyphen/>
        <w:t>nuće Isusa Krista - osjeća kao nužan za spa</w:t>
        <w:softHyphen/>
        <w:t>senje svijeta. Ti spomen-dani najavljuju u Bo</w:t>
        <w:softHyphen/>
        <w:t>gu obećano oslobođenje. Stoga njihovo zajed</w:t>
        <w:softHyphen/>
        <w:t>ničko slavljenje utemeljuje slobodu i buduć</w:t>
        <w:softHyphen/>
        <w:t>nost. Pritom kalendarski utvrđen blagdan do</w:t>
        <w:softHyphen/>
        <w:t>ziva u svijest nesavršenost svijeta i čovjeka u povijesno raščlanjenom vremenu. »Datumski utvrđen, dakle ponavljan blagdan, govori o ugroženosti čovječanstva, o spasenju koje još nije konačno« (A. HauBling). Bog se obraća ljudima u povijesti. Prema tomu, za pojedine jc generacije spasenje sadašnjost dok se s po</w:t>
        <w:softHyphen/>
        <w:t>gledom na svršetak, koji još izostaje, slavi spo</w:t>
        <w:softHyphen/>
        <w:t>men na Božja djela spasenja koja su se jed</w:t>
        <w:softHyphen/>
        <w:t>nom dogodila. Crkva je obvezna prema tom spomenu (anamnezi) u svim dimenzijama čo</w:t>
        <w:softHyphen/>
        <w:t xml:space="preserve">vjekova bitka, dakle, u određenim prostorima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vremenima. Vrijeme je raščlanjeno slavlje</w:t>
        <w:softHyphen/>
        <w:t>njem sati i dana u faze spasenjske sadašnjosti. Godišnji se ciklus kalendarom blagdana i vre</w:t>
        <w:softHyphen/>
        <w:t>mena raščlanjuje u ono spasenjsko vrijeme koje se na kršćanskom prostoru naziva litur</w:t>
        <w:softHyphen/>
        <w:t>gijskom godinom ili crkvenom godinom (tako počam od reformacije).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Kršćani tako prekidaju svakodnevicu slaveći svečanost spasenjskih događaja, npr. rođenja Isusa Krista, u kojima vide ostvarena svoja vrijednosna očekivanja. U tom slavljenju upravo zbog nesavršenosti ovoga svijeta oni potvrđuju svoje postojanje, zahvaljuju i slave Boga zbog njegova obećanja da ćc ih spasiti i zbog njegovih spasenjskih postupaka prema svom narodu u ranijim vremenima, a istodob</w:t>
        <w:softHyphen/>
        <w:t>no ga mole za njegovu pomoć sada i u bu</w:t>
        <w:softHyphen/>
        <w:t>dućnosti. U tom se slavljenju okupljaju u za</w:t>
        <w:softHyphen/>
        <w:t>jedništvo Božjeg naroda. Stoga biti kršćanin znači otprilike isto što i okupljati se (Ekklc- sia) i vrlo je teško zamisliti kršćanski život bez tog rada na zajedništvu u liturgiji.</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Pritom život kršćanske zajednice nije određen »crkvenom godinom« nego nedjeljom, jer sva</w:t>
        <w:softHyphen/>
        <w:t>ki se tjedan na dan koji se naziva »danom Gospodnjim« slavi spomen Gospodinova uskrs</w:t>
        <w:softHyphen/>
        <w:t>nuća. Taj je dan prablagdan, temelj i srž čitave liturgijske godine. Konačno svi blagdani dobi</w:t>
        <w:softHyphen/>
        <w:t>vaju vrijednost od jednog događaja Krista, ko</w:t>
        <w:softHyphen/>
        <w:t>ji se razvija ili u povijesno-spasenjskim doga</w:t>
        <w:softHyphen/>
        <w:t>đajima iz Isusova života ili u spomen na Božje spasenjsko djelovanje u njegovim sljedbenici</w:t>
        <w:softHyphen/>
        <w:t>ma i svecima. Drugorazredno je pitanje kada počinje ta blagdanska godina. U sveopćoj Crkvi nije nikada bilo suglasnosti u tom pitanju. Ta</w:t>
        <w:softHyphen/>
        <w:t>ko je u srednjem vijeku počinjala čas na Uskrs, čas na Božić ili na blagdan Blagovijesti (25. ožujka). Samo su liturgijske knjige mo</w:t>
        <w:softHyphen/>
        <w:t>rale početi na određeni datum. U bizantskoj Crkvi otvaraju Gospodinovu godinu pripra</w:t>
        <w:softHyphen/>
        <w:t>vom Uskrsa, na Zapadu još danas došašćem. Crkvena godina, nazvana blagdanskom godi</w:t>
        <w:softHyphen/>
        <w:t>nom, ne suprotstavlja se u kršćanstvu građan</w:t>
        <w:softHyphen/>
        <w:t>skoj godini svojim vlastitim sakraliziranim go</w:t>
        <w:softHyphen/>
        <w:t>dišnjim tijekom koji na višoj razini naznačuje liturgija. To nije duhovna predstava Isusova života. Zato se radije govori o slavljenju spa</w:t>
        <w:softHyphen/>
        <w:t>senja u vremenu. Kao što stvarni okolni svijet svjedoči o spasenju i ispunjen je spasenjem putem sakramenata i sakramentala, vrijeme se slavljenjem raščlanjuje u faze Božje spa</w:t>
        <w:softHyphen/>
        <w:t>senjske sadašnjosti. Te su faze poput spasenj</w:t>
        <w:softHyphen/>
      </w:r>
      <w:r>
        <w:rPr>
          <w:rFonts w:ascii="Times New Roman" w:eastAsia="Times New Roman" w:hAnsi="Times New Roman" w:cs="Times New Roman"/>
          <w:color w:val="000000"/>
          <w:spacing w:val="0"/>
          <w:w w:val="100"/>
          <w:position w:val="0"/>
          <w:shd w:val="clear" w:color="auto" w:fill="auto"/>
          <w:lang w:val="hr-HR" w:eastAsia="hr-HR" w:bidi="hr-HR"/>
        </w:rPr>
        <w:t>skih znakova »otajstvo«, kao što je rana Crkva shvaćala taj pojam djelatne Gospodinove bli</w:t>
        <w:softHyphen/>
        <w:t>zine. Tijekom različitih slavljenja u godini ta se blizina doživljava zgusnutijc (npr. Uskrs) ili manje zgusnuto (radni dani).</w:t>
      </w:r>
    </w:p>
    <w:p>
      <w:pPr>
        <w:pStyle w:val="Style56"/>
        <w:keepNext w:val="0"/>
        <w:keepLines w:val="0"/>
        <w:widowControl w:val="0"/>
        <w:shd w:val="clear" w:color="auto" w:fill="auto"/>
        <w:tabs>
          <w:tab w:pos="2386" w:val="left"/>
        </w:tabs>
        <w:bidi w:val="0"/>
        <w:spacing w:before="0" w:after="220" w:line="240" w:lineRule="auto"/>
        <w:ind w:left="0" w:right="0" w:firstLine="0"/>
        <w:jc w:val="both"/>
      </w:pPr>
      <w:r>
        <w:rPr>
          <w:color w:val="000000"/>
          <w:spacing w:val="0"/>
          <w:w w:val="100"/>
          <w:position w:val="0"/>
          <w:shd w:val="clear" w:color="auto" w:fill="auto"/>
        </w:rPr>
        <w:t xml:space="preserve">Lil.: J. Pieper, </w:t>
      </w:r>
      <w:r>
        <w:rPr>
          <w:i/>
          <w:iCs/>
          <w:color w:val="000000"/>
          <w:spacing w:val="0"/>
          <w:w w:val="100"/>
          <w:position w:val="0"/>
          <w:shd w:val="clear" w:color="auto" w:fill="auto"/>
        </w:rPr>
        <w:t xml:space="preserve">Zustimmung </w:t>
      </w:r>
      <w:r>
        <w:rPr>
          <w:i/>
          <w:iCs/>
          <w:color w:val="000000"/>
          <w:spacing w:val="0"/>
          <w:w w:val="100"/>
          <w:position w:val="0"/>
          <w:shd w:val="clear" w:color="auto" w:fill="auto"/>
          <w:lang w:val="hr-HR" w:eastAsia="hr-HR" w:bidi="hr-HR"/>
        </w:rPr>
        <w:t xml:space="preserve">zur </w:t>
      </w:r>
      <w:r>
        <w:rPr>
          <w:i/>
          <w:iCs/>
          <w:color w:val="000000"/>
          <w:spacing w:val="0"/>
          <w:w w:val="100"/>
          <w:position w:val="0"/>
          <w:shd w:val="clear" w:color="auto" w:fill="auto"/>
        </w:rPr>
        <w:t xml:space="preserve">Welt, </w:t>
      </w:r>
      <w:r>
        <w:rPr>
          <w:i/>
          <w:iCs/>
          <w:color w:val="000000"/>
          <w:spacing w:val="0"/>
          <w:w w:val="100"/>
          <w:position w:val="0"/>
          <w:shd w:val="clear" w:color="auto" w:fill="auto"/>
          <w:lang w:val="hr-HR" w:eastAsia="hr-HR" w:bidi="hr-HR"/>
        </w:rPr>
        <w:t>Fine Theorie des Fes- tes,</w:t>
      </w:r>
      <w:r>
        <w:rPr>
          <w:color w:val="000000"/>
          <w:spacing w:val="0"/>
          <w:w w:val="100"/>
          <w:position w:val="0"/>
          <w:shd w:val="clear" w:color="auto" w:fill="auto"/>
          <w:lang w:val="hr-HR" w:eastAsia="hr-HR" w:bidi="hr-HR"/>
        </w:rPr>
        <w:t xml:space="preserve"> Munchcn 1963; 0. M. </w:t>
      </w:r>
      <w:r>
        <w:rPr>
          <w:color w:val="000000"/>
          <w:spacing w:val="0"/>
          <w:w w:val="100"/>
          <w:position w:val="0"/>
          <w:shd w:val="clear" w:color="auto" w:fill="auto"/>
        </w:rPr>
        <w:t xml:space="preserve">Martin, </w:t>
      </w:r>
      <w:r>
        <w:rPr>
          <w:i/>
          <w:iCs/>
          <w:color w:val="000000"/>
          <w:spacing w:val="0"/>
          <w:w w:val="100"/>
          <w:position w:val="0"/>
          <w:shd w:val="clear" w:color="auto" w:fill="auto"/>
        </w:rPr>
        <w:t xml:space="preserve">Fest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/iillag</w:t>
      </w:r>
      <w:r>
        <w:rPr>
          <w:color w:val="000000"/>
          <w:spacing w:val="0"/>
          <w:w w:val="100"/>
          <w:position w:val="0"/>
          <w:shd w:val="clear" w:color="auto" w:fill="auto"/>
        </w:rPr>
        <w:t xml:space="preserve"> (Urban- TB 604). Stuttgart 1973; W. Diirig, </w:t>
      </w:r>
      <w:r>
        <w:rPr>
          <w:i/>
          <w:iCs/>
          <w:color w:val="000000"/>
          <w:spacing w:val="0"/>
          <w:w w:val="100"/>
          <w:position w:val="0"/>
          <w:shd w:val="clear" w:color="auto" w:fill="auto"/>
        </w:rPr>
        <w:t>Das chrislliche Fest und seine Feier,</w:t>
      </w:r>
      <w:r>
        <w:rPr>
          <w:color w:val="000000"/>
          <w:spacing w:val="0"/>
          <w:w w:val="100"/>
          <w:position w:val="0"/>
          <w:shd w:val="clear" w:color="auto" w:fill="auto"/>
        </w:rPr>
        <w:t xml:space="preserve"> St. Oltilicn 1978; IL Auf dcr Maur, </w:t>
      </w:r>
      <w:r>
        <w:rPr>
          <w:i/>
          <w:iCs/>
          <w:color w:val="000000"/>
          <w:spacing w:val="0"/>
          <w:w w:val="100"/>
          <w:position w:val="0"/>
          <w:shd w:val="clear" w:color="auto" w:fill="auto"/>
        </w:rPr>
        <w:t>Feiern tm Rhythmus der Zeit</w:t>
      </w:r>
      <w:r>
        <w:rPr>
          <w:color w:val="000000"/>
          <w:spacing w:val="0"/>
          <w:w w:val="100"/>
          <w:position w:val="0"/>
          <w:shd w:val="clear" w:color="auto" w:fill="auto"/>
        </w:rPr>
        <w:t xml:space="preserve"> / </w:t>
      </w:r>
      <w:r>
        <w:rPr>
          <w:color w:val="000000"/>
          <w:spacing w:val="0"/>
          <w:w w:val="100"/>
          <w:position w:val="0"/>
          <w:shd w:val="clear" w:color="auto" w:fill="auto"/>
          <w:lang w:val="hr-HR" w:eastAsia="hr-HR" w:bidi="hr-HR"/>
        </w:rPr>
        <w:t xml:space="preserve">(GiHtcstJicnsl </w:t>
      </w:r>
      <w:r>
        <w:rPr>
          <w:color w:val="000000"/>
          <w:spacing w:val="0"/>
          <w:w w:val="100"/>
          <w:position w:val="0"/>
          <w:shd w:val="clear" w:color="auto" w:fill="auto"/>
        </w:rPr>
        <w:t>dcr Kirchc 5), Regens</w:t>
        <w:softHyphen/>
        <w:t>burg 1983, 211-223.</w:t>
        <w:tab/>
        <w:t>K. RICIITliR</w:t>
      </w:r>
    </w:p>
    <w:p>
      <w:pPr>
        <w:pStyle w:val="Style63"/>
        <w:keepNext/>
        <w:keepLines/>
        <w:widowControl w:val="0"/>
        <w:numPr>
          <w:ilvl w:val="0"/>
          <w:numId w:val="551"/>
        </w:numPr>
        <w:shd w:val="clear" w:color="auto" w:fill="auto"/>
        <w:tabs>
          <w:tab w:pos="260" w:val="left"/>
        </w:tabs>
        <w:bidi w:val="0"/>
        <w:spacing w:before="0" w:line="223" w:lineRule="auto"/>
        <w:ind w:left="0" w:right="0" w:firstLine="0"/>
        <w:jc w:val="both"/>
      </w:pPr>
      <w:bookmarkStart w:id="351" w:name="bookmark351"/>
      <w:r>
        <w:rPr>
          <w:rFonts w:ascii="Times New Roman" w:eastAsia="Times New Roman" w:hAnsi="Times New Roman" w:cs="Times New Roman"/>
          <w:color w:val="000000"/>
          <w:spacing w:val="0"/>
          <w:w w:val="100"/>
          <w:position w:val="0"/>
          <w:shd w:val="clear" w:color="auto" w:fill="auto"/>
          <w:lang w:val="hr-HR" w:eastAsia="hr-HR" w:bidi="hr-HR"/>
        </w:rPr>
        <w:t>islamski</w:t>
      </w:r>
      <w:bookmarkEnd w:id="351"/>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Autentični islam poznaje samo dvije svetkovi</w:t>
        <w:softHyphen/>
        <w:t xml:space="preserve">ne u godini: </w:t>
      </w:r>
      <w:r>
        <w:rPr>
          <w:rFonts w:ascii="Times New Roman" w:eastAsia="Times New Roman" w:hAnsi="Times New Roman" w:cs="Times New Roman"/>
          <w:i/>
          <w:iCs/>
          <w:color w:val="000000"/>
          <w:spacing w:val="0"/>
          <w:w w:val="100"/>
          <w:position w:val="0"/>
          <w:shd w:val="clear" w:color="auto" w:fill="auto"/>
          <w:lang w:val="en-US" w:eastAsia="en-US" w:bidi="en-US"/>
        </w:rPr>
        <w:t xml:space="preserve">id </w:t>
      </w:r>
      <w:r>
        <w:rPr>
          <w:rFonts w:ascii="Times New Roman" w:eastAsia="Times New Roman" w:hAnsi="Times New Roman" w:cs="Times New Roman"/>
          <w:i/>
          <w:iCs/>
          <w:color w:val="000000"/>
          <w:spacing w:val="0"/>
          <w:w w:val="100"/>
          <w:position w:val="0"/>
          <w:shd w:val="clear" w:color="auto" w:fill="auto"/>
          <w:lang w:val="hr-HR" w:eastAsia="hr-HR" w:bidi="hr-HR"/>
        </w:rPr>
        <w:t>(7d)</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 xml:space="preserve">Bajram </w:t>
      </w:r>
      <w:r>
        <w:rPr>
          <w:rFonts w:ascii="Times New Roman" w:eastAsia="Times New Roman" w:hAnsi="Times New Roman" w:cs="Times New Roman"/>
          <w:i/>
          <w:iCs/>
          <w:color w:val="000000"/>
          <w:spacing w:val="0"/>
          <w:w w:val="100"/>
          <w:position w:val="0"/>
          <w:shd w:val="clear" w:color="auto" w:fill="auto"/>
          <w:lang w:val="en-US" w:eastAsia="en-US" w:bidi="en-US"/>
        </w:rPr>
        <w:t>(Bayram).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One uvijek slijede nakon izvršenja jedne od dvaju najtežih individualnih religioznih dužnosti na</w:t>
        <w:softHyphen/>
        <w:t xml:space="preserve">kon posta i nakon godišnjeg okupljanja mc- kanskih hodočasnika na gori </w:t>
      </w:r>
      <w:r>
        <w:rPr>
          <w:rFonts w:ascii="Times New Roman" w:eastAsia="Times New Roman" w:hAnsi="Times New Roman" w:cs="Times New Roman"/>
          <w:color w:val="000000"/>
          <w:spacing w:val="0"/>
          <w:w w:val="100"/>
          <w:position w:val="0"/>
          <w:shd w:val="clear" w:color="auto" w:fill="auto"/>
          <w:lang w:val="en-US" w:eastAsia="en-US" w:bidi="en-US"/>
        </w:rPr>
        <w:t xml:space="preserve">Arafat ('Arafat) </w:t>
      </w:r>
      <w:r>
        <w:rPr>
          <w:rFonts w:ascii="Times New Roman" w:eastAsia="Times New Roman" w:hAnsi="Times New Roman" w:cs="Times New Roman"/>
          <w:color w:val="000000"/>
          <w:spacing w:val="0"/>
          <w:w w:val="100"/>
          <w:position w:val="0"/>
          <w:shd w:val="clear" w:color="auto" w:fill="auto"/>
          <w:lang w:val="hr-HR" w:eastAsia="hr-HR" w:bidi="hr-HR"/>
        </w:rPr>
        <w:t>10. zul-hidže (dhu 1-hidjdja) muslimanskoga kalendara. Svaka s. mora imati opravdani po</w:t>
        <w:softHyphen/>
        <w:t>vod. To je u prvome slučaju uspješan završe</w:t>
        <w:softHyphen/>
        <w:t>tak posta i namirenje društvenih poreza. U drugom slučaju to je održavanje međunarod</w:t>
        <w:softHyphen/>
        <w:t>nog skupa solidarnosti, kakav se održava pri</w:t>
        <w:softHyphen/>
        <w:t>likom hodočašća u Meku.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Prva s. koja traje tri dana arapski se zove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 xml:space="preserve">al-fitr (turski: Ramazan </w:t>
      </w:r>
      <w:r>
        <w:rPr>
          <w:rFonts w:ascii="Times New Roman" w:eastAsia="Times New Roman" w:hAnsi="Times New Roman" w:cs="Times New Roman"/>
          <w:color w:val="000000"/>
          <w:spacing w:val="0"/>
          <w:w w:val="100"/>
          <w:position w:val="0"/>
          <w:shd w:val="clear" w:color="auto" w:fill="auto"/>
          <w:lang w:val="en-US" w:eastAsia="en-US" w:bidi="en-US"/>
        </w:rPr>
        <w:t xml:space="preserve">Bayrami, </w:t>
      </w:r>
      <w:r>
        <w:rPr>
          <w:rFonts w:ascii="Times New Roman" w:eastAsia="Times New Roman" w:hAnsi="Times New Roman" w:cs="Times New Roman"/>
          <w:color w:val="000000"/>
          <w:spacing w:val="0"/>
          <w:w w:val="100"/>
          <w:position w:val="0"/>
          <w:shd w:val="clear" w:color="auto" w:fill="auto"/>
          <w:lang w:val="hr-HR" w:eastAsia="hr-HR" w:bidi="hr-HR"/>
        </w:rPr>
        <w:t xml:space="preserve">Ramazanski bajram). Druga s. koja traje četiri dana zove </w:t>
      </w:r>
      <w:r>
        <w:rPr>
          <w:rFonts w:ascii="Times New Roman" w:eastAsia="Times New Roman" w:hAnsi="Times New Roman" w:cs="Times New Roman"/>
          <w:color w:val="000000"/>
          <w:spacing w:val="0"/>
          <w:w w:val="100"/>
          <w:position w:val="0"/>
          <w:shd w:val="clear" w:color="auto" w:fill="auto"/>
          <w:lang w:val="en-US" w:eastAsia="en-US" w:bidi="en-US"/>
        </w:rPr>
        <w:t xml:space="preserve">sc ‘id </w:t>
      </w:r>
      <w:r>
        <w:rPr>
          <w:rFonts w:ascii="Times New Roman" w:eastAsia="Times New Roman" w:hAnsi="Times New Roman" w:cs="Times New Roman"/>
          <w:color w:val="000000"/>
          <w:spacing w:val="0"/>
          <w:w w:val="100"/>
          <w:position w:val="0"/>
          <w:shd w:val="clear" w:color="auto" w:fill="auto"/>
          <w:lang w:val="hr-HR" w:eastAsia="hr-HR" w:bidi="hr-HR"/>
        </w:rPr>
        <w:t xml:space="preserve">al-adha (turski: Kurban </w:t>
      </w:r>
      <w:r>
        <w:rPr>
          <w:rFonts w:ascii="Times New Roman" w:eastAsia="Times New Roman" w:hAnsi="Times New Roman" w:cs="Times New Roman"/>
          <w:color w:val="000000"/>
          <w:spacing w:val="0"/>
          <w:w w:val="100"/>
          <w:position w:val="0"/>
          <w:shd w:val="clear" w:color="auto" w:fill="auto"/>
          <w:lang w:val="en-US" w:eastAsia="en-US" w:bidi="en-US"/>
        </w:rPr>
        <w:t xml:space="preserve">Bayrami, </w:t>
      </w:r>
      <w:r>
        <w:rPr>
          <w:rFonts w:ascii="Times New Roman" w:eastAsia="Times New Roman" w:hAnsi="Times New Roman" w:cs="Times New Roman"/>
          <w:color w:val="000000"/>
          <w:spacing w:val="0"/>
          <w:w w:val="100"/>
          <w:position w:val="0"/>
          <w:shd w:val="clear" w:color="auto" w:fill="auto"/>
          <w:lang w:val="hr-HR" w:eastAsia="hr-HR" w:bidi="hr-HR"/>
        </w:rPr>
        <w:t>Kur- ban-bajram). Ovim je dvjema svetkovinama zajedničko blagdansko bogoslužje koje se obav</w:t>
        <w:softHyphen/>
        <w:t>lja u glavnoj džamiji ili na otvorenome mjestu za molitvu. Ono izvanjski nalikuje molitvi pet</w:t>
        <w:softHyphen/>
        <w:t>kom, ali su uvedena prateća višekratna skan</w:t>
        <w:softHyphen/>
        <w:t xml:space="preserve">diranja </w:t>
      </w:r>
      <w:r>
        <w:rPr>
          <w:rFonts w:ascii="Times New Roman" w:eastAsia="Times New Roman" w:hAnsi="Times New Roman" w:cs="Times New Roman"/>
          <w:i/>
          <w:iCs/>
          <w:color w:val="000000"/>
          <w:spacing w:val="0"/>
          <w:w w:val="100"/>
          <w:position w:val="0"/>
          <w:shd w:val="clear" w:color="auto" w:fill="auto"/>
          <w:lang w:val="hr-HR" w:eastAsia="hr-HR" w:bidi="hr-HR"/>
        </w:rPr>
        <w:t>tekbira (takbir = Allahu akbar</w:t>
      </w:r>
      <w:r>
        <w:rPr>
          <w:rFonts w:ascii="Times New Roman" w:eastAsia="Times New Roman" w:hAnsi="Times New Roman" w:cs="Times New Roman"/>
          <w:color w:val="000000"/>
          <w:spacing w:val="0"/>
          <w:w w:val="100"/>
          <w:position w:val="0"/>
          <w:shd w:val="clear" w:color="auto" w:fill="auto"/>
          <w:lang w:val="hr-HR" w:eastAsia="hr-HR" w:bidi="hr-HR"/>
        </w:rPr>
        <w:t xml:space="preserve"> [Alahu ckbcr] = Bog je veći od svega) i </w:t>
      </w:r>
      <w:r>
        <w:rPr>
          <w:rFonts w:ascii="Times New Roman" w:eastAsia="Times New Roman" w:hAnsi="Times New Roman" w:cs="Times New Roman"/>
          <w:i/>
          <w:iCs/>
          <w:color w:val="000000"/>
          <w:spacing w:val="0"/>
          <w:w w:val="100"/>
          <w:position w:val="0"/>
          <w:shd w:val="clear" w:color="auto" w:fill="auto"/>
          <w:lang w:val="hr-HR" w:eastAsia="hr-HR" w:bidi="hr-HR"/>
        </w:rPr>
        <w:t>hemdela (hamdala = Al-hamdu li’llah</w:t>
      </w:r>
      <w:r>
        <w:rPr>
          <w:rFonts w:ascii="Times New Roman" w:eastAsia="Times New Roman" w:hAnsi="Times New Roman" w:cs="Times New Roman"/>
          <w:color w:val="000000"/>
          <w:spacing w:val="0"/>
          <w:w w:val="100"/>
          <w:position w:val="0"/>
          <w:shd w:val="clear" w:color="auto" w:fill="auto"/>
          <w:lang w:val="hr-HR" w:eastAsia="hr-HR" w:bidi="hr-HR"/>
        </w:rPr>
        <w:t xml:space="preserve"> [El-hemdu li’lah] = Svatko duguje zahvalnost Bogu).</w:t>
      </w:r>
    </w:p>
    <w:p>
      <w:pPr>
        <w:pStyle w:val="Style20"/>
        <w:keepNext w:val="0"/>
        <w:keepLines w:val="0"/>
        <w:widowControl w:val="0"/>
        <w:shd w:val="clear" w:color="auto" w:fill="auto"/>
        <w:bidi w:val="0"/>
        <w:spacing w:before="0" w:after="0" w:line="254" w:lineRule="auto"/>
        <w:ind w:left="0" w:right="0" w:firstLine="0"/>
        <w:jc w:val="both"/>
        <w:sectPr>
          <w:headerReference w:type="default" r:id="rId1431"/>
          <w:footerReference w:type="default" r:id="rId1432"/>
          <w:headerReference w:type="even" r:id="rId1433"/>
          <w:footerReference w:type="even" r:id="rId1434"/>
          <w:footnotePr>
            <w:pos w:val="pageBottom"/>
            <w:numFmt w:val="decimal"/>
            <w:numRestart w:val="continuous"/>
            <w15:footnoteColumns w:val="1"/>
          </w:footnotePr>
          <w:pgSz w:w="6816" w:h="11006"/>
          <w:pgMar w:top="892" w:left="194" w:right="201" w:bottom="226" w:header="0" w:footer="3" w:gutter="0"/>
          <w:pgNumType w:start="475"/>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Muslimani oba spola oblače za Bajram blag</w:t>
        <w:softHyphen/>
        <w:t>dansko ruho, međusobno se daruju i posjeću</w:t>
        <w:softHyphen/>
        <w:t>ju. Darovima, koji ne smiju prekoračiti odre</w:t>
        <w:softHyphen/>
        <w:t>đenu mjeru skromnosti, obasipaju se pogla</w:t>
        <w:softHyphen/>
        <w:t>vito žene i djeca. U zgodimice uočljivim ko- mercijaliziranjima svetkovine može se vidjeti prilagodavanje blagdanu Božića. No javno mnijenje ipak potiskuje tu tendenciju. U sje</w:t>
        <w:softHyphen/>
        <w:t xml:space="preserve">ćanju na Abrahamovu žrtvu svetkovinom žrtvovanja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al-adha) postaje dodatno još i prinošenje životinjske žrtve (ovan, ovca, ka</w:t>
        <w:softHyphen/>
        <w:t xml:space="preserve">mila). Trećina ispečenoga mesa poklanja se siromašnima a trećina rodbini koja novčano </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nije u stanju da si priušti žrtvenu životinju. Zadnja se trećina ostavlja za vlastitu obitelj.</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Osim ova dva Bajrama slave se još i ove svet</w:t>
        <w:softHyphen/>
        <w:t xml:space="preserve">kovine: islamska Nova godina, rođendan vje- rovjesnika, dan </w:t>
      </w:r>
      <w:r>
        <w:rPr>
          <w:rFonts w:ascii="Times New Roman" w:eastAsia="Times New Roman" w:hAnsi="Times New Roman" w:cs="Times New Roman"/>
          <w:i/>
          <w:iCs/>
          <w:color w:val="000000"/>
          <w:spacing w:val="0"/>
          <w:w w:val="100"/>
          <w:position w:val="0"/>
          <w:shd w:val="clear" w:color="auto" w:fill="auto"/>
          <w:lang w:val="hr-HR" w:eastAsia="hr-HR" w:bidi="hr-HR"/>
        </w:rPr>
        <w:t>Ašure (‘ashura),</w:t>
      </w:r>
      <w:r>
        <w:rPr>
          <w:rFonts w:ascii="Times New Roman" w:eastAsia="Times New Roman" w:hAnsi="Times New Roman" w:cs="Times New Roman"/>
          <w:color w:val="000000"/>
          <w:spacing w:val="0"/>
          <w:w w:val="100"/>
          <w:position w:val="0"/>
          <w:shd w:val="clear" w:color="auto" w:fill="auto"/>
          <w:lang w:val="hr-HR" w:eastAsia="hr-HR" w:bidi="hr-HR"/>
        </w:rPr>
        <w:t xml:space="preserve"> tj. 10. muha- rema </w:t>
      </w:r>
      <w:r>
        <w:rPr>
          <w:rFonts w:ascii="Times New Roman" w:eastAsia="Times New Roman" w:hAnsi="Times New Roman" w:cs="Times New Roman"/>
          <w:color w:val="000000"/>
          <w:spacing w:val="0"/>
          <w:w w:val="100"/>
          <w:position w:val="0"/>
          <w:shd w:val="clear" w:color="auto" w:fill="auto"/>
          <w:lang w:val="en-US" w:eastAsia="en-US" w:bidi="en-US"/>
        </w:rPr>
        <w:t xml:space="preserve">(Muharram), </w:t>
      </w:r>
      <w:r>
        <w:rPr>
          <w:rFonts w:ascii="Times New Roman" w:eastAsia="Times New Roman" w:hAnsi="Times New Roman" w:cs="Times New Roman"/>
          <w:color w:val="000000"/>
          <w:spacing w:val="0"/>
          <w:w w:val="100"/>
          <w:position w:val="0"/>
          <w:shd w:val="clear" w:color="auto" w:fill="auto"/>
          <w:lang w:val="hr-HR" w:eastAsia="hr-HR" w:bidi="hr-HR"/>
        </w:rPr>
        <w:t xml:space="preserve">kada se dogodila pogibija Huseina </w:t>
      </w:r>
      <w:r>
        <w:rPr>
          <w:rFonts w:ascii="Times New Roman" w:eastAsia="Times New Roman" w:hAnsi="Times New Roman" w:cs="Times New Roman"/>
          <w:color w:val="000000"/>
          <w:spacing w:val="0"/>
          <w:w w:val="100"/>
          <w:position w:val="0"/>
          <w:shd w:val="clear" w:color="auto" w:fill="auto"/>
          <w:lang w:val="en-US" w:eastAsia="en-US" w:bidi="en-US"/>
        </w:rPr>
        <w:t xml:space="preserve">(Husayn), </w:t>
      </w:r>
      <w:r>
        <w:rPr>
          <w:rFonts w:ascii="Times New Roman" w:eastAsia="Times New Roman" w:hAnsi="Times New Roman" w:cs="Times New Roman"/>
          <w:color w:val="000000"/>
          <w:spacing w:val="0"/>
          <w:w w:val="100"/>
          <w:position w:val="0"/>
          <w:shd w:val="clear" w:color="auto" w:fill="auto"/>
          <w:lang w:val="hr-HR" w:eastAsia="hr-HR" w:bidi="hr-HR"/>
        </w:rPr>
        <w:t>drugoga unuka Muhame- dovog, i noć miradža (mi’rSdj), u kojoj se do</w:t>
        <w:softHyphen/>
        <w:t>godio Muhamedov vizionarski uzlazak na ne</w:t>
        <w:softHyphen/>
        <w:t>bo. Ovdje navedene svetkovine ipak su samo uvodi u onaj svijet. Neke od njih su protu</w:t>
        <w:softHyphen/>
        <w:t>rječne. Naročito je sporna s. Muhamcdova ro</w:t>
        <w:softHyphen/>
        <w:t>đendana, u kojoj hanbelitska pravna škola vidi božansko uzvisivanjc osobe vjerovjesnika i oštro se suprotstavlja tomu. U čisto pučke svetko</w:t>
        <w:softHyphen/>
        <w:t xml:space="preserve">vine spadaju slavljenje početka proljeća (nerv- </w:t>
      </w:r>
      <w:r>
        <w:rPr>
          <w:rFonts w:ascii="Times New Roman" w:eastAsia="Times New Roman" w:hAnsi="Times New Roman" w:cs="Times New Roman"/>
          <w:i/>
          <w:iCs/>
          <w:color w:val="000000"/>
          <w:spacing w:val="0"/>
          <w:w w:val="100"/>
          <w:position w:val="0"/>
          <w:shd w:val="clear" w:color="auto" w:fill="auto"/>
          <w:lang w:val="hr-HR" w:eastAsia="hr-HR" w:bidi="hr-HR"/>
        </w:rPr>
        <w:t>rilz)</w:t>
      </w:r>
      <w:r>
        <w:rPr>
          <w:rFonts w:ascii="Times New Roman" w:eastAsia="Times New Roman" w:hAnsi="Times New Roman" w:cs="Times New Roman"/>
          <w:color w:val="000000"/>
          <w:spacing w:val="0"/>
          <w:w w:val="100"/>
          <w:position w:val="0"/>
          <w:shd w:val="clear" w:color="auto" w:fill="auto"/>
          <w:lang w:val="hr-HR" w:eastAsia="hr-HR" w:bidi="hr-HR"/>
        </w:rPr>
        <w:t xml:space="preserve"> i obrezivanje dječaka. U prvoj je svetko</w:t>
        <w:softHyphen/>
        <w:t>vini sačuvan ostatak staroiranske svetkovine. To ima nekakve veze i s kršćanskim danom sv. Jurja. S. obrezivanja ima izvjesne dimenzije koje su bliske konfirmaciji.</w:t>
      </w:r>
    </w:p>
    <w:p>
      <w:pPr>
        <w:pStyle w:val="Style56"/>
        <w:keepNext w:val="0"/>
        <w:keepLines w:val="0"/>
        <w:widowControl w:val="0"/>
        <w:shd w:val="clear" w:color="auto" w:fill="auto"/>
        <w:tabs>
          <w:tab w:pos="2554" w:val="left"/>
        </w:tabs>
        <w:bidi w:val="0"/>
        <w:spacing w:before="0" w:after="340" w:line="240" w:lineRule="auto"/>
        <w:ind w:left="0" w:right="0" w:firstLine="0"/>
        <w:jc w:val="both"/>
      </w:pPr>
      <w:r>
        <w:rPr>
          <w:color w:val="000000"/>
          <w:spacing w:val="0"/>
          <w:w w:val="100"/>
          <w:position w:val="0"/>
          <w:shd w:val="clear" w:color="auto" w:fill="auto"/>
          <w:lang w:val="hr-HR" w:eastAsia="hr-HR" w:bidi="hr-HR"/>
        </w:rPr>
        <w:t xml:space="preserve">Lit: E. </w:t>
      </w:r>
      <w:r>
        <w:rPr>
          <w:color w:val="000000"/>
          <w:spacing w:val="0"/>
          <w:w w:val="100"/>
          <w:position w:val="0"/>
          <w:shd w:val="clear" w:color="auto" w:fill="auto"/>
        </w:rPr>
        <w:t xml:space="preserve">Miltwoch, </w:t>
      </w:r>
      <w:r>
        <w:rPr>
          <w:color w:val="000000"/>
          <w:spacing w:val="0"/>
          <w:w w:val="100"/>
          <w:position w:val="0"/>
          <w:shd w:val="clear" w:color="auto" w:fill="auto"/>
          <w:lang w:val="hr-HR" w:eastAsia="hr-HR" w:bidi="hr-HR"/>
        </w:rPr>
        <w:t xml:space="preserve">'hl, ‘kl »I-adliA </w:t>
      </w:r>
      <w:r>
        <w:rPr>
          <w:color w:val="000000"/>
          <w:spacing w:val="0"/>
          <w:w w:val="100"/>
          <w:position w:val="0"/>
          <w:shd w:val="clear" w:color="auto" w:fill="auto"/>
        </w:rPr>
        <w:t xml:space="preserve">und </w:t>
      </w:r>
      <w:r>
        <w:rPr>
          <w:color w:val="000000"/>
          <w:spacing w:val="0"/>
          <w:w w:val="100"/>
          <w:position w:val="0"/>
          <w:shd w:val="clear" w:color="auto" w:fill="auto"/>
          <w:lang w:val="hr-HR" w:eastAsia="hr-HR" w:bidi="hr-HR"/>
        </w:rPr>
        <w:t xml:space="preserve">‘W al-titr, u: EP, III, </w:t>
      </w:r>
      <w:r>
        <w:rPr>
          <w:color w:val="000000"/>
          <w:spacing w:val="0"/>
          <w:w w:val="100"/>
          <w:position w:val="0"/>
          <w:shd w:val="clear" w:color="auto" w:fill="auto"/>
        </w:rPr>
        <w:t>11XI7-1IXIB.</w:t>
        <w:tab/>
      </w:r>
      <w:r>
        <w:rPr>
          <w:color w:val="000000"/>
          <w:spacing w:val="0"/>
          <w:w w:val="100"/>
          <w:position w:val="0"/>
          <w:shd w:val="clear" w:color="auto" w:fill="auto"/>
          <w:lang w:val="hr-HR" w:eastAsia="hr-HR" w:bidi="hr-HR"/>
        </w:rPr>
        <w:t>S. HA1.IĆ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SVETO MJESTO</w:t>
      </w:r>
    </w:p>
    <w:p>
      <w:pPr>
        <w:pStyle w:val="Style63"/>
        <w:keepNext/>
        <w:keepLines/>
        <w:widowControl w:val="0"/>
        <w:numPr>
          <w:ilvl w:val="0"/>
          <w:numId w:val="557"/>
        </w:numPr>
        <w:shd w:val="clear" w:color="auto" w:fill="auto"/>
        <w:tabs>
          <w:tab w:pos="241" w:val="left"/>
        </w:tabs>
        <w:bidi w:val="0"/>
        <w:spacing w:before="0"/>
        <w:ind w:left="0" w:right="0" w:firstLine="0"/>
        <w:jc w:val="both"/>
      </w:pPr>
      <w:bookmarkStart w:id="352" w:name="bookmark352"/>
      <w:r>
        <w:rPr>
          <w:rFonts w:ascii="Times New Roman" w:eastAsia="Times New Roman" w:hAnsi="Times New Roman" w:cs="Times New Roman"/>
          <w:color w:val="000000"/>
          <w:spacing w:val="0"/>
          <w:w w:val="100"/>
          <w:position w:val="0"/>
          <w:shd w:val="clear" w:color="auto" w:fill="auto"/>
          <w:lang w:val="hr-HR" w:eastAsia="hr-HR" w:bidi="hr-HR"/>
        </w:rPr>
        <w:t>židovski</w:t>
      </w:r>
      <w:bookmarkEnd w:id="35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Tradicijska literatura uglavnom ne poznaje »sveta« mjesta. Mišna ocjenjuje »svetost« mjesta prema </w:t>
      </w:r>
      <w:r>
        <w:rPr>
          <w:rFonts w:ascii="Times New Roman" w:eastAsia="Times New Roman" w:hAnsi="Times New Roman" w:cs="Times New Roman"/>
          <w:i/>
          <w:iCs/>
          <w:color w:val="000000"/>
          <w:spacing w:val="0"/>
          <w:w w:val="100"/>
          <w:position w:val="0"/>
          <w:shd w:val="clear" w:color="auto" w:fill="auto"/>
          <w:lang w:val="hr-HR" w:eastAsia="hr-HR" w:bidi="hr-HR"/>
        </w:rPr>
        <w:t>propisima</w:t>
      </w:r>
      <w:r>
        <w:rPr>
          <w:rFonts w:ascii="Times New Roman" w:eastAsia="Times New Roman" w:hAnsi="Times New Roman" w:cs="Times New Roman"/>
          <w:color w:val="000000"/>
          <w:spacing w:val="0"/>
          <w:w w:val="100"/>
          <w:position w:val="0"/>
          <w:shd w:val="clear" w:color="auto" w:fill="auto"/>
          <w:lang w:val="hr-HR" w:eastAsia="hr-HR" w:bidi="hr-HR"/>
        </w:rPr>
        <w:t xml:space="preserve"> koji se na njih od</w:t>
        <w:softHyphen/>
        <w:t>nose: »Ima deset stupnjeva svetosti: zemlja Iz</w:t>
        <w:softHyphen/>
        <w:t>rael je sveta pred svim drugim zemljama. U čemu sc sastoji ta svetost? U tome što joj čo</w:t>
        <w:softHyphen/>
        <w:t xml:space="preserve">vjek može prinijeti </w:t>
      </w:r>
      <w:r>
        <w:rPr>
          <w:rFonts w:ascii="Times New Roman" w:eastAsia="Times New Roman" w:hAnsi="Times New Roman" w:cs="Times New Roman"/>
          <w:i/>
          <w:iCs/>
          <w:color w:val="000000"/>
          <w:spacing w:val="0"/>
          <w:w w:val="100"/>
          <w:position w:val="0"/>
          <w:shd w:val="clear" w:color="auto" w:fill="auto"/>
          <w:lang w:val="hr-HR" w:eastAsia="hr-HR" w:bidi="hr-HR"/>
        </w:rPr>
        <w:t>omer,</w:t>
      </w:r>
      <w:r>
        <w:rPr>
          <w:rFonts w:ascii="Times New Roman" w:eastAsia="Times New Roman" w:hAnsi="Times New Roman" w:cs="Times New Roman"/>
          <w:color w:val="000000"/>
          <w:spacing w:val="0"/>
          <w:w w:val="100"/>
          <w:position w:val="0"/>
          <w:shd w:val="clear" w:color="auto" w:fill="auto"/>
          <w:lang w:val="hr-HR" w:eastAsia="hr-HR" w:bidi="hr-HR"/>
        </w:rPr>
        <w:t xml:space="preserve"> tj. prvi snop svoje žetve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23,10), prvine od svakog ploda (Pnz 26,2) i dva kruha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23,17), a to ni u jednoj drugoj zemlji nije tako... Prostor unu</w:t>
        <w:softHyphen/>
        <w:t>tar zidina (Jeruzalema) još je svetiji jer se ondje lakše može jesti sveto i druga deseti</w:t>
        <w:softHyphen/>
        <w:t xml:space="preserve">na... Hram je još svetiji jer lamo ne smije nitko doći tko prije toga nije oprao ruke i noge. Svetinja nad svetinjama je svetija od njih (imenovanih prostorija), jer ondje može stupiti samo veliki svećenik na Dan pomirenja za vrijeme službe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 (Kelim 1,6.8 i d.; usp. Bemidbar raba VII,5,1). Usprkos otporu mudraca, među nežidovskim utjecajima puč</w:t>
        <w:softHyphen/>
        <w:t xml:space="preserve">ka je pobožnost našla u Erec Jisraelu mjesta dostojna štovanja, s kojima su bili povezani važni događaji u povijesti židovskoga naroda, a to je zapadni zid Hrama u Jeruzalemu, koji </w:t>
      </w:r>
      <w:r>
        <w:rPr>
          <w:rFonts w:ascii="Times New Roman" w:eastAsia="Times New Roman" w:hAnsi="Times New Roman" w:cs="Times New Roman"/>
          <w:color w:val="000000"/>
          <w:spacing w:val="0"/>
          <w:w w:val="100"/>
          <w:position w:val="0"/>
          <w:shd w:val="clear" w:color="auto" w:fill="auto"/>
          <w:lang w:val="hr-HR" w:eastAsia="hr-HR" w:bidi="hr-HR"/>
        </w:rPr>
        <w:t xml:space="preserve">je podigao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Veliki, pokraj kojega su, na</w:t>
        <w:softHyphen/>
        <w:t>vodno, grobovi biblijskih likova ili su ondje pokapani istaknuti rabini i pobožni ljudi od vremena Mišnc do danas. Najznačajniji je grob praotaca u Hcbronu. Kod Betlehema je Rahelin nadgrobni spomenik. Josip je poko</w:t>
        <w:softHyphen/>
        <w:t xml:space="preserve">pan u Šekemu, Ilija u Haifi. Na Sion hodo- časte pobožnici na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grob, na Maslin</w:t>
        <w:softHyphen/>
        <w:t>sku goru, jer je mnoga stoljeća služio kao po</w:t>
        <w:softHyphen/>
        <w:t xml:space="preserve">čivalište mrtvih zbog blizine Hrama ili najave »Dana Gospodnjega«, »jer noge </w:t>
      </w:r>
      <w:r>
        <w:rPr>
          <w:rFonts w:ascii="Times New Roman" w:eastAsia="Times New Roman" w:hAnsi="Times New Roman" w:cs="Times New Roman"/>
          <w:i/>
          <w:iCs/>
          <w:color w:val="000000"/>
          <w:spacing w:val="0"/>
          <w:w w:val="100"/>
          <w:position w:val="0"/>
          <w:shd w:val="clear" w:color="auto" w:fill="auto"/>
          <w:lang w:val="hr-HR" w:eastAsia="hr-HR" w:bidi="hr-HR"/>
        </w:rPr>
        <w:t>će</w:t>
      </w:r>
      <w:r>
        <w:rPr>
          <w:rFonts w:ascii="Times New Roman" w:eastAsia="Times New Roman" w:hAnsi="Times New Roman" w:cs="Times New Roman"/>
          <w:color w:val="000000"/>
          <w:spacing w:val="0"/>
          <w:w w:val="100"/>
          <w:position w:val="0"/>
          <w:shd w:val="clear" w:color="auto" w:fill="auto"/>
          <w:lang w:val="hr-HR" w:eastAsia="hr-HR" w:bidi="hr-HR"/>
        </w:rPr>
        <w:t xml:space="preserve"> mu, u dan onaj, stajati na gori Maslinskoj« (Zah 14,4), a »dan onaj« je dan uskrsnuća prema usmenoj predaji. U Galileji, u kojoj je živjela i poduča</w:t>
        <w:softHyphen/>
        <w:t xml:space="preserve">vala većina rabina iz talmudskoga razdoblja, posjećuju se mnogi grobovi: Šimona ben Jo- haja i Eleazara u Meronu, kabalista u Safedu, Akivc, Mcira, Johanana ben Zakaja, Eleazara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Hirkana, Majmonida u Tiberiji, Jude ha- Nasija te palestinskih i u dijaspori živućih Ži</w:t>
        <w:softHyphen/>
        <w:t>dova u nekropoli Bet Šearim od 111. stoljeća.</w:t>
      </w:r>
    </w:p>
    <w:p>
      <w:pPr>
        <w:pStyle w:val="Style20"/>
        <w:keepNext w:val="0"/>
        <w:keepLines w:val="0"/>
        <w:widowControl w:val="0"/>
        <w:shd w:val="clear" w:color="auto" w:fill="auto"/>
        <w:bidi w:val="0"/>
        <w:spacing w:before="0" w:after="120"/>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i&gt;. vnrn-u</w:t>
      </w:r>
    </w:p>
    <w:p>
      <w:pPr>
        <w:pStyle w:val="Style63"/>
        <w:keepNext/>
        <w:keepLines/>
        <w:widowControl w:val="0"/>
        <w:numPr>
          <w:ilvl w:val="0"/>
          <w:numId w:val="557"/>
        </w:numPr>
        <w:shd w:val="clear" w:color="auto" w:fill="auto"/>
        <w:tabs>
          <w:tab w:pos="255" w:val="left"/>
        </w:tabs>
        <w:bidi w:val="0"/>
        <w:spacing w:before="0" w:line="223" w:lineRule="auto"/>
        <w:ind w:left="0" w:right="0" w:firstLine="0"/>
        <w:jc w:val="both"/>
      </w:pPr>
      <w:bookmarkStart w:id="353" w:name="bookmark35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53"/>
    </w:p>
    <w:p>
      <w:pPr>
        <w:pStyle w:val="Style20"/>
        <w:keepNext w:val="0"/>
        <w:keepLines w:val="0"/>
        <w:widowControl w:val="0"/>
        <w:shd w:val="clear" w:color="auto" w:fill="auto"/>
        <w:bidi w:val="0"/>
        <w:spacing w:before="0" w:after="60"/>
        <w:ind w:left="0" w:right="0" w:firstLine="0"/>
        <w:jc w:val="both"/>
        <w:sectPr>
          <w:headerReference w:type="default" r:id="rId1435"/>
          <w:footerReference w:type="default" r:id="rId1436"/>
          <w:headerReference w:type="even" r:id="rId1437"/>
          <w:footerReference w:type="even" r:id="rId1438"/>
          <w:footnotePr>
            <w:pos w:val="pageBottom"/>
            <w:numFmt w:val="decimal"/>
            <w:numRestart w:val="continuous"/>
            <w15:footnoteColumns w:val="1"/>
          </w:footnotePr>
          <w:pgSz w:w="6816" w:h="11006"/>
          <w:pgMar w:top="892" w:left="194" w:right="201" w:bottom="226" w:header="0" w:footer="3" w:gutter="0"/>
          <w:pgNumType w:start="472"/>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Kršćanska zajednica nije kod svojih bogo- služnih skupova vezana uz određeno mjesto ili prostor. Otprilike 200 godina živjele su krš</w:t>
        <w:softHyphen/>
        <w:t>ćanske zajednice bez crkava. Hram i Božja kuća u novom Savezu je sam Krist (usp. Iv 2,13-22) u kojem »stanuje sva punina božan</w:t>
        <w:softHyphen/>
        <w:t>stva« (Kol 2,9). Tako se u širem smislu naziva hramom i od Krista posvećen Božji narod (npr. 1 Kor 3,16; 2 Kor 6,16; 1 Pt 2,5), jer je on sam Tijelo Kristovo i u njemu prebiva Duh Božji. Naspram tomu, kuća u kojoj sc skuplja zajednica igra podređenu ulogu. Pa ipak, usko</w:t>
        <w:softHyphen/>
        <w:t>ro su već i u kršćanstvu posebno poštivana određena mjesta, kao npr. grobovi mučenika ili mjesta Isusova života u Svetoj zemlji kamo se usmjeravaju hodočašća. Čim sc euharistija počela čuvati u svetohraništu crkava, u počet</w:t>
        <w:softHyphen/>
        <w:t>ku za pričešćivanje bolesnika, svetohranište vrijedi kao s. m. dostojno poštovanja i oboža</w:t>
        <w:softHyphen/>
        <w:t>vanja. No, u pravom sc smislu može govorili o svetom mjestu samo tamo gdje je Krist prisu</w:t>
        <w:softHyphen/>
        <w:t>tan u svojoj zajednici, na skupu koji sluša Božju riječ, koji zajednički moli, koji slavi spo</w:t>
        <w:softHyphen/>
        <w:t>men pashalnog otajstva i prima sakramente. Koliko god crkvene zgrade olakšavaju životno funkcioniranje zajednice, ipak je u načelu sva</w:t>
        <w:softHyphen/>
        <w:t xml:space="preserve">ko mjesto gdje se okuplja zajednica s. m. Tako svaki prostor, koji jamči dostojno slavljenje, </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može biti mjesto za euharistijsku gozbu i svaki prikladan stol može pritom poslužiti kao oltar. Samo je Isus Krist mjesto spasenjskog susreta čovjeka s Bogom. I današnja crkvena zgrada dobiva svoje dostojanstvo i svetost pri- sutnošću zajednice koju jc Bog posvetio i li</w:t>
        <w:softHyphen/>
        <w:t>turgije koja se u njoj slavi, a ne obrnuto.</w:t>
      </w:r>
    </w:p>
    <w:p>
      <w:pPr>
        <w:pStyle w:val="Style56"/>
        <w:keepNext w:val="0"/>
        <w:keepLines w:val="0"/>
        <w:widowControl w:val="0"/>
        <w:shd w:val="clear" w:color="auto" w:fill="auto"/>
        <w:tabs>
          <w:tab w:pos="2386" w:val="left"/>
        </w:tabs>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Eliadc, </w:t>
      </w:r>
      <w:r>
        <w:rPr>
          <w:i/>
          <w:iCs/>
          <w:color w:val="000000"/>
          <w:spacing w:val="0"/>
          <w:w w:val="100"/>
          <w:position w:val="0"/>
          <w:shd w:val="clear" w:color="auto" w:fill="auto"/>
        </w:rPr>
        <w:t>Die Religion und das Heilige,</w:t>
      </w:r>
      <w:r>
        <w:rPr>
          <w:color w:val="000000"/>
          <w:spacing w:val="0"/>
          <w:w w:val="100"/>
          <w:position w:val="0"/>
          <w:shd w:val="clear" w:color="auto" w:fill="auto"/>
        </w:rPr>
        <w:t xml:space="preserve"> Salzburg 1954, 415-437; A. Adam, </w:t>
      </w:r>
      <w:r>
        <w:rPr>
          <w:i/>
          <w:iCs/>
          <w:color w:val="000000"/>
          <w:spacing w:val="0"/>
          <w:w w:val="100"/>
          <w:position w:val="0"/>
          <w:shd w:val="clear" w:color="auto" w:fill="auto"/>
        </w:rPr>
        <w:t>Wo sich Goites Volk versammelt,</w:t>
      </w:r>
      <w:r>
        <w:rPr>
          <w:color w:val="000000"/>
          <w:spacing w:val="0"/>
          <w:w w:val="100"/>
          <w:position w:val="0"/>
          <w:shd w:val="clear" w:color="auto" w:fill="auto"/>
        </w:rPr>
        <w:t xml:space="preserve"> Frei</w:t>
        <w:softHyphen/>
        <w:t xml:space="preserve">burg 1984; H. B. Meyer, </w:t>
      </w:r>
      <w:r>
        <w:rPr>
          <w:i/>
          <w:iCs/>
          <w:color w:val="000000"/>
          <w:spacing w:val="0"/>
          <w:w w:val="100"/>
          <w:position w:val="0"/>
          <w:shd w:val="clear" w:color="auto" w:fill="auto"/>
        </w:rPr>
        <w:t>Was Kirchenbau bedeutei,</w:t>
      </w:r>
      <w:r>
        <w:rPr>
          <w:color w:val="000000"/>
          <w:spacing w:val="0"/>
          <w:w w:val="100"/>
          <w:position w:val="0"/>
          <w:shd w:val="clear" w:color="auto" w:fill="auto"/>
        </w:rPr>
        <w:t xml:space="preserve"> Freiburg 1984.</w:t>
        <w:tab/>
        <w:t>K. RICHTER</w:t>
      </w:r>
    </w:p>
    <w:p>
      <w:pPr>
        <w:pStyle w:val="Style63"/>
        <w:keepNext/>
        <w:keepLines/>
        <w:widowControl w:val="0"/>
        <w:numPr>
          <w:ilvl w:val="0"/>
          <w:numId w:val="557"/>
        </w:numPr>
        <w:shd w:val="clear" w:color="auto" w:fill="auto"/>
        <w:tabs>
          <w:tab w:pos="260" w:val="left"/>
        </w:tabs>
        <w:bidi w:val="0"/>
        <w:spacing w:before="0"/>
        <w:ind w:left="0" w:right="0" w:firstLine="0"/>
        <w:jc w:val="both"/>
      </w:pPr>
      <w:bookmarkStart w:id="354" w:name="bookmark354"/>
      <w:r>
        <w:rPr>
          <w:rFonts w:ascii="Times New Roman" w:eastAsia="Times New Roman" w:hAnsi="Times New Roman" w:cs="Times New Roman"/>
          <w:color w:val="000000"/>
          <w:spacing w:val="0"/>
          <w:w w:val="100"/>
          <w:position w:val="0"/>
          <w:shd w:val="clear" w:color="auto" w:fill="auto"/>
          <w:lang w:val="hr-HR" w:eastAsia="hr-HR" w:bidi="hr-HR"/>
        </w:rPr>
        <w:t>islamski</w:t>
      </w:r>
      <w:bookmarkEnd w:id="354"/>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Kada se u islamu govori o »svetom«, tada se nalaže najveći oprez. Naime, izvorni navještaj uopće ne poznaju takovrsnu kvalifikaciju. Ona sc tek kasnije uvriježila u predodžbenom svijetu muslimani. Njoj su se za razliku od sunitskoga ortodoksnog islama mnogo skloni</w:t>
        <w:softHyphen/>
        <w:t>jima pokazale šijitske skupine. U očima šijita, sveta su mjesta ne samo lokaliteti oko Kabe i džamija vjerovjesnika u Medini; njima se sma</w:t>
        <w:softHyphen/>
        <w:t>traju i mnoga druga sveta mjesta poput pozor</w:t>
        <w:softHyphen/>
        <w:t>nice tragedije u Kcrbali i džamija u Mešhadu i Kumu, dva sveta mjesta koja se svakako sma</w:t>
        <w:softHyphen/>
        <w:t xml:space="preserve">traju »svetim«. U izvornoj islamskoj jezičnoj uporabi - sve do Jeruzalema (arapski: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al-Quds </w:t>
      </w:r>
      <w:r>
        <w:rPr>
          <w:rFonts w:ascii="Times New Roman" w:eastAsia="Times New Roman" w:hAnsi="Times New Roman" w:cs="Times New Roman"/>
          <w:color w:val="000000"/>
          <w:spacing w:val="0"/>
          <w:w w:val="100"/>
          <w:position w:val="0"/>
          <w:shd w:val="clear" w:color="auto" w:fill="auto"/>
          <w:lang w:val="hr-HR" w:eastAsia="hr-HR" w:bidi="hr-HR"/>
        </w:rPr>
        <w:t>= »sveti grad«) - ne postoje nikakva sveta mjesta. Pučko jc vjerovanje, dakako, sklono »proglašavanju svetih mjesta« i to ne samo kod šijita. Uopće ne bi bio posve jednostavan sažeti prikaz svih osoba i mjesta kojima sc pri</w:t>
        <w:softHyphen/>
        <w:t>pisuje svetost. U natuknici poput ove možemo se mirno odreći njega zato što islam zabranju</w:t>
        <w:softHyphen/>
        <w:t>je štovanje svetaca u bilo kojem obliku, prem</w:t>
        <w:softHyphen/>
        <w:t>da ih sc u praksi višestruko dopušta.</w:t>
      </w:r>
    </w:p>
    <w:p>
      <w:pPr>
        <w:pStyle w:val="Style74"/>
        <w:keepNext w:val="0"/>
        <w:keepLines w:val="0"/>
        <w:widowControl w:val="0"/>
        <w:shd w:val="clear" w:color="auto" w:fill="auto"/>
        <w:bidi w:val="0"/>
        <w:spacing w:before="0" w:after="30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BAL1Ć</w:t>
      </w:r>
    </w:p>
    <w:p>
      <w:pPr>
        <w:pStyle w:val="Style33"/>
        <w:keepNext w:val="0"/>
        <w:keepLines w:val="0"/>
        <w:widowControl w:val="0"/>
        <w:shd w:val="clear" w:color="auto" w:fill="auto"/>
        <w:bidi w:val="0"/>
        <w:spacing w:before="0" w:after="16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SVETO PISMO</w:t>
      </w:r>
    </w:p>
    <w:p>
      <w:pPr>
        <w:pStyle w:val="Style63"/>
        <w:keepNext/>
        <w:keepLines/>
        <w:widowControl w:val="0"/>
        <w:numPr>
          <w:ilvl w:val="0"/>
          <w:numId w:val="559"/>
        </w:numPr>
        <w:shd w:val="clear" w:color="auto" w:fill="auto"/>
        <w:tabs>
          <w:tab w:pos="250" w:val="left"/>
        </w:tabs>
        <w:bidi w:val="0"/>
        <w:spacing w:before="0"/>
        <w:ind w:left="0" w:right="0" w:firstLine="0"/>
        <w:jc w:val="both"/>
      </w:pPr>
      <w:bookmarkStart w:id="355" w:name="bookmark355"/>
      <w:r>
        <w:rPr>
          <w:rFonts w:ascii="Times New Roman" w:eastAsia="Times New Roman" w:hAnsi="Times New Roman" w:cs="Times New Roman"/>
          <w:color w:val="000000"/>
          <w:spacing w:val="0"/>
          <w:w w:val="100"/>
          <w:position w:val="0"/>
          <w:shd w:val="clear" w:color="auto" w:fill="auto"/>
          <w:lang w:val="hr-HR" w:eastAsia="hr-HR" w:bidi="hr-HR"/>
        </w:rPr>
        <w:t>židovski</w:t>
      </w:r>
      <w:bookmarkEnd w:id="355"/>
    </w:p>
    <w:p>
      <w:pPr>
        <w:pStyle w:val="Style20"/>
        <w:keepNext w:val="0"/>
        <w:keepLines w:val="0"/>
        <w:widowControl w:val="0"/>
        <w:numPr>
          <w:ilvl w:val="0"/>
          <w:numId w:val="561"/>
        </w:numPr>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Nazivi:</w:t>
      </w:r>
      <w:r>
        <w:rPr>
          <w:rFonts w:ascii="Times New Roman" w:eastAsia="Times New Roman" w:hAnsi="Times New Roman" w:cs="Times New Roman"/>
          <w:color w:val="000000"/>
          <w:spacing w:val="0"/>
          <w:w w:val="100"/>
          <w:position w:val="0"/>
          <w:shd w:val="clear" w:color="auto" w:fill="auto"/>
          <w:lang w:val="hr-HR" w:eastAsia="hr-HR" w:bidi="hr-HR"/>
        </w:rPr>
        <w:t xml:space="preserve"> Naziv »sveti spisi« </w:t>
      </w:r>
      <w:r>
        <w:rPr>
          <w:rFonts w:ascii="Times New Roman" w:eastAsia="Times New Roman" w:hAnsi="Times New Roman" w:cs="Times New Roman"/>
          <w:i/>
          <w:iCs/>
          <w:color w:val="000000"/>
          <w:spacing w:val="0"/>
          <w:w w:val="100"/>
          <w:position w:val="0"/>
          <w:shd w:val="clear" w:color="auto" w:fill="auto"/>
          <w:lang w:val="hr-HR" w:eastAsia="hr-HR" w:bidi="hr-HR"/>
        </w:rPr>
        <w:t xml:space="preserve">(Kitvejha-kode.i) </w:t>
      </w:r>
      <w:r>
        <w:rPr>
          <w:rFonts w:ascii="Times New Roman" w:eastAsia="Times New Roman" w:hAnsi="Times New Roman" w:cs="Times New Roman"/>
          <w:color w:val="000000"/>
          <w:spacing w:val="0"/>
          <w:w w:val="100"/>
          <w:position w:val="0"/>
          <w:shd w:val="clear" w:color="auto" w:fill="auto"/>
          <w:lang w:val="hr-HR" w:eastAsia="hr-HR" w:bidi="hr-HR"/>
        </w:rPr>
        <w:t xml:space="preserve">ne potječe iz same hebrejske Biblije, nego od rabina, za trodijelni kanon (M Jadajim III,5; IV,6; Sabat XVI,1; Eruvin X,3; Bava batra 1,6;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X,6; b Sabat 16a; Eruvin 97b; 98a). Često ga nalazimo kod Filona Aleksandrij- skog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 Abrahamo 61; De Congressu Erudi- </w:t>
      </w:r>
      <w:r>
        <w:rPr>
          <w:rFonts w:ascii="Times New Roman" w:eastAsia="Times New Roman" w:hAnsi="Times New Roman" w:cs="Times New Roman"/>
          <w:i/>
          <w:iCs/>
          <w:color w:val="000000"/>
          <w:spacing w:val="0"/>
          <w:w w:val="100"/>
          <w:position w:val="0"/>
          <w:shd w:val="clear" w:color="auto" w:fill="auto"/>
          <w:lang w:val="en-US" w:eastAsia="en-US" w:bidi="en-US"/>
        </w:rPr>
        <w:t xml:space="preserve">tionis Gratia </w:t>
      </w:r>
      <w:r>
        <w:rPr>
          <w:rFonts w:ascii="Times New Roman" w:eastAsia="Times New Roman" w:hAnsi="Times New Roman" w:cs="Times New Roman"/>
          <w:i/>
          <w:iCs/>
          <w:color w:val="000000"/>
          <w:spacing w:val="0"/>
          <w:w w:val="100"/>
          <w:position w:val="0"/>
          <w:shd w:val="clear" w:color="auto" w:fill="auto"/>
          <w:lang w:val="hr-HR" w:eastAsia="hr-HR" w:bidi="hr-HR"/>
        </w:rPr>
        <w:t xml:space="preserve">34.90;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 </w:t>
      </w:r>
      <w:r>
        <w:rPr>
          <w:rFonts w:ascii="Times New Roman" w:eastAsia="Times New Roman" w:hAnsi="Times New Roman" w:cs="Times New Roman"/>
          <w:i/>
          <w:iCs/>
          <w:color w:val="000000"/>
          <w:spacing w:val="0"/>
          <w:w w:val="100"/>
          <w:position w:val="0"/>
          <w:shd w:val="clear" w:color="auto" w:fill="auto"/>
          <w:lang w:val="hr-HR" w:eastAsia="hr-HR" w:bidi="hr-HR"/>
        </w:rPr>
        <w:t>Decalogo 8.37),</w:t>
      </w:r>
      <w:r>
        <w:rPr>
          <w:rFonts w:ascii="Times New Roman" w:eastAsia="Times New Roman" w:hAnsi="Times New Roman" w:cs="Times New Roman"/>
          <w:color w:val="000000"/>
          <w:spacing w:val="0"/>
          <w:w w:val="100"/>
          <w:position w:val="0"/>
          <w:shd w:val="clear" w:color="auto" w:fill="auto"/>
          <w:lang w:val="hr-HR" w:eastAsia="hr-HR" w:bidi="hr-HR"/>
        </w:rPr>
        <w:t xml:space="preserve"> pa i drugdje u helenističkom židovstvu (usp. Rim </w:t>
      </w:r>
      <w:r>
        <w:rPr>
          <w:rFonts w:ascii="Times New Roman" w:eastAsia="Times New Roman" w:hAnsi="Times New Roman" w:cs="Times New Roman"/>
          <w:color w:val="000000"/>
          <w:spacing w:val="0"/>
          <w:w w:val="100"/>
          <w:position w:val="0"/>
          <w:shd w:val="clear" w:color="auto" w:fill="auto"/>
          <w:lang w:val="hr-HR" w:eastAsia="hr-HR" w:bidi="hr-HR"/>
        </w:rPr>
        <w:t xml:space="preserve">1,2), rjeđe kod Josipa Flavija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(Antiquitates </w:t>
      </w:r>
      <w:r>
        <w:rPr>
          <w:rFonts w:ascii="Times New Roman" w:eastAsia="Times New Roman" w:hAnsi="Times New Roman" w:cs="Times New Roman"/>
          <w:color w:val="000000"/>
          <w:spacing w:val="0"/>
          <w:w w:val="100"/>
          <w:position w:val="0"/>
          <w:shd w:val="clear" w:color="auto" w:fill="auto"/>
          <w:lang w:val="hr-HR" w:eastAsia="hr-HR" w:bidi="hr-HR"/>
        </w:rPr>
        <w:t xml:space="preserve">V,l,17, usp.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2.45).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Pojavljuje se i tradicionalni izraz »spisi« u množini </w:t>
      </w:r>
      <w:r>
        <w:rPr>
          <w:rFonts w:ascii="Times New Roman" w:eastAsia="Times New Roman" w:hAnsi="Times New Roman" w:cs="Times New Roman"/>
          <w:i/>
          <w:iCs/>
          <w:color w:val="000000"/>
          <w:spacing w:val="0"/>
          <w:w w:val="100"/>
          <w:position w:val="0"/>
          <w:shd w:val="clear" w:color="auto" w:fill="auto"/>
          <w:lang w:val="hr-HR" w:eastAsia="hr-HR" w:bidi="hr-HR"/>
        </w:rPr>
        <w:t>(ha-ketuvim,</w:t>
      </w:r>
      <w:r>
        <w:rPr>
          <w:rFonts w:ascii="Times New Roman" w:eastAsia="Times New Roman" w:hAnsi="Times New Roman" w:cs="Times New Roman"/>
          <w:color w:val="000000"/>
          <w:spacing w:val="0"/>
          <w:w w:val="100"/>
          <w:position w:val="0"/>
          <w:shd w:val="clear" w:color="auto" w:fill="auto"/>
          <w:lang w:val="hr-HR" w:eastAsia="hr-HR" w:bidi="hr-HR"/>
        </w:rPr>
        <w:t xml:space="preserve"> Šifre 1 Pnz 1,1) ili u jed</w:t>
        <w:softHyphen/>
        <w:t>nini za isticanje cjeline, »spis« (b Bava kama 97b; Testamenti dvanaestorice patrijarha 6, Zevulun 9,5). Premda se »Tori« priznaje ob</w:t>
        <w:softHyphen/>
        <w:t>vezna prednost u odnosu na druga dva dijela kanona, u razgovornom jeziku uobičajeni na</w:t>
        <w:softHyphen/>
        <w:t xml:space="preserve">ziv hebrejske Biblije »TaNaH« (Tanah), koji je nastao od početnih slova triju dijelova </w:t>
      </w:r>
      <w:r>
        <w:rPr>
          <w:rFonts w:ascii="Times New Roman" w:eastAsia="Times New Roman" w:hAnsi="Times New Roman" w:cs="Times New Roman"/>
          <w:i/>
          <w:iCs/>
          <w:color w:val="000000"/>
          <w:spacing w:val="0"/>
          <w:w w:val="100"/>
          <w:position w:val="0"/>
          <w:shd w:val="clear" w:color="auto" w:fill="auto"/>
          <w:lang w:val="hr-HR" w:eastAsia="hr-HR" w:bidi="hr-HR"/>
        </w:rPr>
        <w:t>(To</w:t>
        <w:softHyphen/>
        <w:t>ra</w:t>
      </w:r>
      <w:r>
        <w:rPr>
          <w:rFonts w:ascii="Times New Roman" w:eastAsia="Times New Roman" w:hAnsi="Times New Roman" w:cs="Times New Roman"/>
          <w:color w:val="000000"/>
          <w:spacing w:val="0"/>
          <w:w w:val="100"/>
          <w:position w:val="0"/>
          <w:shd w:val="clear" w:color="auto" w:fill="auto"/>
          <w:lang w:val="hr-HR" w:eastAsia="hr-HR" w:bidi="hr-HR"/>
        </w:rPr>
        <w:t xml:space="preserve"> »uputa, nauk«, </w:t>
      </w:r>
      <w:r>
        <w:rPr>
          <w:rFonts w:ascii="Times New Roman" w:eastAsia="Times New Roman" w:hAnsi="Times New Roman" w:cs="Times New Roman"/>
          <w:i/>
          <w:iCs/>
          <w:color w:val="000000"/>
          <w:spacing w:val="0"/>
          <w:w w:val="100"/>
          <w:position w:val="0"/>
          <w:shd w:val="clear" w:color="auto" w:fill="auto"/>
          <w:lang w:val="hr-HR" w:eastAsia="hr-HR" w:bidi="hr-HR"/>
        </w:rPr>
        <w:t>Nevi’im</w:t>
      </w:r>
      <w:r>
        <w:rPr>
          <w:rFonts w:ascii="Times New Roman" w:eastAsia="Times New Roman" w:hAnsi="Times New Roman" w:cs="Times New Roman"/>
          <w:color w:val="000000"/>
          <w:spacing w:val="0"/>
          <w:w w:val="100"/>
          <w:position w:val="0"/>
          <w:shd w:val="clear" w:color="auto" w:fill="auto"/>
          <w:lang w:val="hr-HR" w:eastAsia="hr-HR" w:bidi="hr-HR"/>
        </w:rPr>
        <w:t xml:space="preserve"> »/raniji i kasniji/ pro</w:t>
        <w:softHyphen/>
        <w:t xml:space="preserve">roci« i </w:t>
      </w:r>
      <w:r>
        <w:rPr>
          <w:rFonts w:ascii="Times New Roman" w:eastAsia="Times New Roman" w:hAnsi="Times New Roman" w:cs="Times New Roman"/>
          <w:i/>
          <w:iCs/>
          <w:color w:val="000000"/>
          <w:spacing w:val="0"/>
          <w:w w:val="100"/>
          <w:position w:val="0"/>
          <w:shd w:val="clear" w:color="auto" w:fill="auto"/>
          <w:lang w:val="hr-HR" w:eastAsia="hr-HR" w:bidi="hr-HR"/>
        </w:rPr>
        <w:t>Ketuvim</w:t>
      </w:r>
      <w:r>
        <w:rPr>
          <w:rFonts w:ascii="Times New Roman" w:eastAsia="Times New Roman" w:hAnsi="Times New Roman" w:cs="Times New Roman"/>
          <w:color w:val="000000"/>
          <w:spacing w:val="0"/>
          <w:w w:val="100"/>
          <w:position w:val="0"/>
          <w:shd w:val="clear" w:color="auto" w:fill="auto"/>
          <w:lang w:val="hr-HR" w:eastAsia="hr-HR" w:bidi="hr-HR"/>
        </w:rPr>
        <w:t xml:space="preserve"> »spisi«), odražava ravnomjernu uporabu njezina cijelog opsega: »Toru« (Pen- tateuh ili Petoknjižje) podijeljenu na dvadeset i četiri odlomka te - kao svršetak čitanja Tore - »Haftarot« </w:t>
      </w:r>
      <w:r>
        <w:rPr>
          <w:rFonts w:ascii="Times New Roman" w:eastAsia="Times New Roman" w:hAnsi="Times New Roman" w:cs="Times New Roman"/>
          <w:i/>
          <w:iCs/>
          <w:color w:val="000000"/>
          <w:spacing w:val="0"/>
          <w:w w:val="100"/>
          <w:position w:val="0"/>
          <w:shd w:val="clear" w:color="auto" w:fill="auto"/>
          <w:lang w:val="hr-HR" w:eastAsia="hr-HR" w:bidi="hr-HR"/>
        </w:rPr>
        <w:t>(hafiara</w:t>
      </w:r>
      <w:r>
        <w:rPr>
          <w:rFonts w:ascii="Times New Roman" w:eastAsia="Times New Roman" w:hAnsi="Times New Roman" w:cs="Times New Roman"/>
          <w:color w:val="000000"/>
          <w:spacing w:val="0"/>
          <w:w w:val="100"/>
          <w:position w:val="0"/>
          <w:shd w:val="clear" w:color="auto" w:fill="auto"/>
          <w:lang w:val="hr-HR" w:eastAsia="hr-HR" w:bidi="hr-HR"/>
        </w:rPr>
        <w:t xml:space="preserve"> »opraštanje«; M Pesahim X,8; Megila IV,1,3.5; usp. Moed katan III,7), tematski pridodane dodatne odlomke iz »Pro</w:t>
        <w:softHyphen/>
        <w:t>roka« (Jš - 2 Kr, Iz, Jr, Ez, Knjiga dvanaes</w:t>
        <w:softHyphen/>
        <w:t>torice proroka; usp. b Bava batra 14b) recitirali su u jednogodišnjem ciklusu u šabatnom bogo</w:t>
        <w:softHyphen/>
        <w:t>služju (M Megila III, 4-6; Sota VII,7; b Megila 31b); psalmi se ponavljaju u svakodnevnim molitvama i u molitvama na sabat i na blagda</w:t>
        <w:softHyphen/>
        <w:t>ne; ostali »spisi« susreću se prije svega u blag</w:t>
        <w:softHyphen/>
        <w:t xml:space="preserve">danskom bogoslužju (I. Elbogen,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jiidische </w:t>
      </w:r>
      <w:r>
        <w:rPr>
          <w:rFonts w:ascii="Times New Roman" w:eastAsia="Times New Roman" w:hAnsi="Times New Roman" w:cs="Times New Roman"/>
          <w:i/>
          <w:iCs/>
          <w:color w:val="000000"/>
          <w:spacing w:val="0"/>
          <w:w w:val="100"/>
          <w:position w:val="0"/>
          <w:shd w:val="clear" w:color="auto" w:fill="auto"/>
          <w:lang w:val="en-US" w:eastAsia="en-US" w:bidi="en-US"/>
        </w:rPr>
        <w:t>Gottesdienst in seiner geschichdichen Entwick</w:t>
        <w:softHyphen/>
        <w:t>lung,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T931/1967, 154-205).</w:t>
      </w:r>
    </w:p>
    <w:p>
      <w:pPr>
        <w:pStyle w:val="Style20"/>
        <w:keepNext w:val="0"/>
        <w:keepLines w:val="0"/>
        <w:widowControl w:val="0"/>
        <w:numPr>
          <w:ilvl w:val="0"/>
          <w:numId w:val="561"/>
        </w:numPr>
        <w:shd w:val="clear" w:color="auto" w:fill="auto"/>
        <w:tabs>
          <w:tab w:pos="270" w:val="left"/>
        </w:tabs>
        <w:bidi w:val="0"/>
        <w:spacing w:before="0" w:after="0"/>
        <w:ind w:left="0" w:right="0" w:firstLine="0"/>
        <w:jc w:val="both"/>
        <w:sectPr>
          <w:headerReference w:type="default" r:id="rId1439"/>
          <w:footerReference w:type="default" r:id="rId1440"/>
          <w:headerReference w:type="even" r:id="rId1441"/>
          <w:footerReference w:type="even" r:id="rId1442"/>
          <w:footnotePr>
            <w:pos w:val="pageBottom"/>
            <w:numFmt w:val="decimal"/>
            <w:numRestart w:val="continuous"/>
            <w15:footnoteColumns w:val="1"/>
          </w:footnotePr>
          <w:pgSz w:w="6816" w:h="11006"/>
          <w:pgMar w:top="892" w:left="194" w:right="201" w:bottom="226" w:header="0" w:footer="3" w:gutter="0"/>
          <w:pgNumType w:start="477"/>
          <w:cols w:num="2" w:space="191"/>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Vrijeme nastanka:</w:t>
      </w:r>
      <w:r>
        <w:rPr>
          <w:rFonts w:ascii="Times New Roman" w:eastAsia="Times New Roman" w:hAnsi="Times New Roman" w:cs="Times New Roman"/>
          <w:color w:val="000000"/>
          <w:spacing w:val="0"/>
          <w:w w:val="100"/>
          <w:position w:val="0"/>
          <w:shd w:val="clear" w:color="auto" w:fill="auto"/>
          <w:lang w:val="hr-HR" w:eastAsia="hr-HR" w:bidi="hr-HR"/>
        </w:rPr>
        <w:t xml:space="preserve"> Prema tradicijskoj litera</w:t>
        <w:softHyphen/>
        <w:t>turi »Tora« (Post 1,1 - Pnz 34,4) potječe od Mojsija (b Bava batra 14b.15a), a »(posljed</w:t>
        <w:softHyphen/>
        <w:t xml:space="preserve">njih) osam stihova Tore« i »njegova Knjiga« od Jošue (Pnz 34,5 - Jš 24,28;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Knjigu su, navodno, nakon njegove smrti dovršili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Aronov sin i njegov sin Pinhas (Jš 24,29-33;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15a).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je »napisao svoju knjigu Suci i Ruta«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14b; Suci-1 Sam 28,2), a »nastavili su je vidjelac Gad i prorok Natan«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15a: 1 Sam 28,3 - 2 Sam 24,25). Knjige o kraljevima napisao jc, navodno, prorok Jere- mija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»Ezekija i njegov kolegij napisali su Izaiju«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usp. Izr 25,1), jer je prorok bio ubijen pa nije mogao napisati svoju knjigu (Izaijino uzašašće 5,2; b </w:t>
      </w:r>
      <w:r>
        <w:rPr>
          <w:rFonts w:ascii="Times New Roman" w:eastAsia="Times New Roman" w:hAnsi="Times New Roman" w:cs="Times New Roman"/>
          <w:color w:val="000000"/>
          <w:spacing w:val="0"/>
          <w:w w:val="100"/>
          <w:position w:val="0"/>
          <w:shd w:val="clear" w:color="auto" w:fill="auto"/>
          <w:lang w:val="en-US" w:eastAsia="en-US" w:bidi="en-US"/>
        </w:rPr>
        <w:t xml:space="preserve">Jevamot </w:t>
      </w:r>
      <w:r>
        <w:rPr>
          <w:rFonts w:ascii="Times New Roman" w:eastAsia="Times New Roman" w:hAnsi="Times New Roman" w:cs="Times New Roman"/>
          <w:color w:val="000000"/>
          <w:spacing w:val="0"/>
          <w:w w:val="100"/>
          <w:position w:val="0"/>
          <w:shd w:val="clear" w:color="auto" w:fill="auto"/>
          <w:lang w:val="hr-HR" w:eastAsia="hr-HR" w:bidi="hr-HR"/>
        </w:rPr>
        <w:t xml:space="preserve">49b;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103b). »Jeremija je napisao svoju knji</w:t>
        <w:softHyphen/>
        <w:t xml:space="preserve">gu«, ali »ljudi Velikoga sabora napisali su Ezc- kiela, Dvanaestoricu« malih proroka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njima su (M Avot 1,1) pripisali knjige nastale »izvan zemlje« </w:t>
      </w:r>
      <w:r>
        <w:rPr>
          <w:rFonts w:ascii="Times New Roman" w:eastAsia="Times New Roman" w:hAnsi="Times New Roman" w:cs="Times New Roman"/>
          <w:i/>
          <w:iCs/>
          <w:color w:val="000000"/>
          <w:spacing w:val="0"/>
          <w:w w:val="100"/>
          <w:position w:val="0"/>
          <w:shd w:val="clear" w:color="auto" w:fill="auto"/>
          <w:lang w:val="hr-HR" w:eastAsia="hr-HR" w:bidi="hr-HR"/>
        </w:rPr>
        <w:t>(hucla-arec,</w:t>
      </w:r>
      <w:r>
        <w:rPr>
          <w:rFonts w:ascii="Times New Roman" w:eastAsia="Times New Roman" w:hAnsi="Times New Roman" w:cs="Times New Roman"/>
          <w:color w:val="000000"/>
          <w:spacing w:val="0"/>
          <w:w w:val="100"/>
          <w:position w:val="0"/>
          <w:shd w:val="clear" w:color="auto" w:fill="auto"/>
          <w:lang w:val="hr-HR" w:eastAsia="hr-HR" w:bidi="hr-HR"/>
        </w:rPr>
        <w:t xml:space="preserve"> M Šcviit VI,1; Ha</w:t>
        <w:softHyphen/>
        <w:t xml:space="preserve">la IV,8;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8a). »David je napisao Psal</w:t>
        <w:softHyphen/>
        <w:t>me«, ali jc preuzeo dijelove od deset ljudi (b</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Bava Batra 14b—15a); »Ezekija i njegov kole</w:t>
        <w:softHyphen/>
        <w:t>gij napisali su«, osim Izaije, i »Izreke, Pjesmu nad pjesmama i Kohelet«, »ljude Velikoga sa</w:t>
        <w:softHyphen/>
        <w:t xml:space="preserve">bora«, zatim </w:t>
      </w:r>
      <w:r>
        <w:rPr>
          <w:rFonts w:ascii="Times New Roman" w:eastAsia="Times New Roman" w:hAnsi="Times New Roman" w:cs="Times New Roman"/>
          <w:color w:val="000000"/>
          <w:spacing w:val="0"/>
          <w:w w:val="100"/>
          <w:position w:val="0"/>
          <w:shd w:val="clear" w:color="auto" w:fill="auto"/>
          <w:lang w:val="en-US" w:eastAsia="en-US" w:bidi="en-US"/>
        </w:rPr>
        <w:t xml:space="preserve">»Daniel </w:t>
      </w:r>
      <w:r>
        <w:rPr>
          <w:rFonts w:ascii="Times New Roman" w:eastAsia="Times New Roman" w:hAnsi="Times New Roman" w:cs="Times New Roman"/>
          <w:color w:val="000000"/>
          <w:spacing w:val="0"/>
          <w:w w:val="100"/>
          <w:position w:val="0"/>
          <w:shd w:val="clear" w:color="auto" w:fill="auto"/>
          <w:lang w:val="hr-HR" w:eastAsia="hr-HR" w:bidi="hr-HR"/>
        </w:rPr>
        <w:t xml:space="preserve">i uloga Estcre«, tužaljke su, navodno, potekle od samoga proroka Je- remije.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je napisao svoju knjigu« i ge</w:t>
        <w:softHyphen/>
        <w:t>nealogiju Ljetopisa sve do vlastite (to su mjes</w:t>
        <w:softHyphen/>
        <w:t xml:space="preserve">to komentatori različito objašnjavali), Nehc- mija je, navodno, to djelo (Ezr, Neh, Ljet) dovršio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15a). Knjigu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tradicija pripi</w:t>
        <w:softHyphen/>
        <w:t xml:space="preserve">suje Mojsiju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14b), jer je, prema Rabi Leviju </w:t>
      </w:r>
      <w:r>
        <w:rPr>
          <w:rFonts w:ascii="Times New Roman" w:eastAsia="Times New Roman" w:hAnsi="Times New Roman" w:cs="Times New Roman"/>
          <w:color w:val="000000"/>
          <w:spacing w:val="0"/>
          <w:w w:val="100"/>
          <w:position w:val="0"/>
          <w:shd w:val="clear" w:color="auto" w:fill="auto"/>
          <w:lang w:val="en-US" w:eastAsia="en-US" w:bidi="en-US"/>
        </w:rPr>
        <w:t xml:space="preserve">ben Lahmi, Job </w:t>
      </w:r>
      <w:r>
        <w:rPr>
          <w:rFonts w:ascii="Times New Roman" w:eastAsia="Times New Roman" w:hAnsi="Times New Roman" w:cs="Times New Roman"/>
          <w:color w:val="000000"/>
          <w:spacing w:val="0"/>
          <w:w w:val="100"/>
          <w:position w:val="0"/>
          <w:shd w:val="clear" w:color="auto" w:fill="auto"/>
          <w:lang w:val="hr-HR" w:eastAsia="hr-HR" w:bidi="hr-HR"/>
        </w:rPr>
        <w:t>»živio u Mojsijevo do</w:t>
        <w:softHyphen/>
        <w:t xml:space="preserve">ba«; no tradicija o tome čuva i druga mišljenja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15a.b). U vezi s rezultatima kritičke bib</w:t>
        <w:softHyphen/>
        <w:t xml:space="preserve">lijske znanosti usp. R. Rendtorff, </w:t>
      </w:r>
      <w:r>
        <w:rPr>
          <w:rFonts w:ascii="Times New Roman" w:eastAsia="Times New Roman" w:hAnsi="Times New Roman" w:cs="Times New Roman"/>
          <w:i/>
          <w:iCs/>
          <w:color w:val="000000"/>
          <w:spacing w:val="0"/>
          <w:w w:val="100"/>
          <w:position w:val="0"/>
          <w:shd w:val="clear" w:color="auto" w:fill="auto"/>
          <w:lang w:val="hr-HR" w:eastAsia="hr-HR" w:bidi="hr-HR"/>
        </w:rPr>
        <w:t>Das Alte Testament. Eine Einfuhrung,</w:t>
      </w:r>
      <w:r>
        <w:rPr>
          <w:rFonts w:ascii="Times New Roman" w:eastAsia="Times New Roman" w:hAnsi="Times New Roman" w:cs="Times New Roman"/>
          <w:color w:val="000000"/>
          <w:spacing w:val="0"/>
          <w:w w:val="100"/>
          <w:position w:val="0"/>
          <w:shd w:val="clear" w:color="auto" w:fill="auto"/>
          <w:lang w:val="hr-HR" w:eastAsia="hr-HR" w:bidi="hr-HR"/>
        </w:rPr>
        <w:t xml:space="preserve"> 1983, 137-302).</w:t>
      </w:r>
    </w:p>
    <w:p>
      <w:pPr>
        <w:pStyle w:val="Style20"/>
        <w:keepNext w:val="0"/>
        <w:keepLines w:val="0"/>
        <w:widowControl w:val="0"/>
        <w:numPr>
          <w:ilvl w:val="0"/>
          <w:numId w:val="561"/>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Jedinstvo:</w:t>
      </w:r>
      <w:r>
        <w:rPr>
          <w:rFonts w:ascii="Times New Roman" w:eastAsia="Times New Roman" w:hAnsi="Times New Roman" w:cs="Times New Roman"/>
          <w:color w:val="000000"/>
          <w:spacing w:val="0"/>
          <w:w w:val="100"/>
          <w:position w:val="0"/>
          <w:shd w:val="clear" w:color="auto" w:fill="auto"/>
          <w:lang w:val="hr-HR" w:eastAsia="hr-HR" w:bidi="hr-HR"/>
        </w:rPr>
        <w:t xml:space="preserve"> Naziv »sveti spisi« odnosi se na posebno mjesto Tore i Haftarota i na njihov značaj objave: njihove pojedine riječi i rečeni</w:t>
        <w:softHyphen/>
        <w:t xml:space="preserve">ce nisu puke pojedinosti iz prošlih vremena. Oni su važni kao dijelovi cjeline; svi su oni dijelovi puta Boga s Izraelom - od Abrahama do Mojsija, od Mojsija do Jeremije, od Jere- mije do autora knjige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Taj naziv izražava razumijevanje i prihvaćanje biblijskih spisa kao </w:t>
      </w:r>
      <w:r>
        <w:rPr>
          <w:rFonts w:ascii="Times New Roman" w:eastAsia="Times New Roman" w:hAnsi="Times New Roman" w:cs="Times New Roman"/>
          <w:i/>
          <w:iCs/>
          <w:color w:val="000000"/>
          <w:spacing w:val="0"/>
          <w:w w:val="100"/>
          <w:position w:val="0"/>
          <w:shd w:val="clear" w:color="auto" w:fill="auto"/>
          <w:lang w:val="hr-HR" w:eastAsia="hr-HR" w:bidi="hr-HR"/>
        </w:rPr>
        <w:t>jedne</w:t>
      </w:r>
      <w:r>
        <w:rPr>
          <w:rFonts w:ascii="Times New Roman" w:eastAsia="Times New Roman" w:hAnsi="Times New Roman" w:cs="Times New Roman"/>
          <w:color w:val="000000"/>
          <w:spacing w:val="0"/>
          <w:w w:val="100"/>
          <w:position w:val="0"/>
          <w:shd w:val="clear" w:color="auto" w:fill="auto"/>
          <w:lang w:val="hr-HR" w:eastAsia="hr-HR" w:bidi="hr-HR"/>
        </w:rPr>
        <w:t xml:space="preserve"> knjige, kao djelo »jednoga Duha«. Siglu »R«, koja se upotrebljava u znanosti o »SZ« dopunio je - za razliku od uporabe za konačnog redaktora - </w:t>
      </w:r>
      <w:r>
        <w:rPr>
          <w:rFonts w:ascii="Times New Roman" w:eastAsia="Times New Roman" w:hAnsi="Times New Roman" w:cs="Times New Roman"/>
          <w:color w:val="000000"/>
          <w:spacing w:val="0"/>
          <w:w w:val="100"/>
          <w:position w:val="0"/>
          <w:shd w:val="clear" w:color="auto" w:fill="auto"/>
          <w:lang w:val="en-US" w:eastAsia="en-US" w:bidi="en-US"/>
        </w:rPr>
        <w:t xml:space="preserve">Franz Rosenzweig </w:t>
      </w:r>
      <w:r>
        <w:rPr>
          <w:rFonts w:ascii="Times New Roman" w:eastAsia="Times New Roman" w:hAnsi="Times New Roman" w:cs="Times New Roman"/>
          <w:color w:val="000000"/>
          <w:spacing w:val="0"/>
          <w:w w:val="100"/>
          <w:position w:val="0"/>
          <w:shd w:val="clear" w:color="auto" w:fill="auto"/>
          <w:lang w:val="hr-HR" w:eastAsia="hr-HR" w:bidi="hr-HR"/>
        </w:rPr>
        <w:t>zna</w:t>
        <w:softHyphen/>
        <w:t xml:space="preserve">čenjem </w:t>
      </w:r>
      <w:r>
        <w:rPr>
          <w:rFonts w:ascii="Times New Roman" w:eastAsia="Times New Roman" w:hAnsi="Times New Roman" w:cs="Times New Roman"/>
          <w:i/>
          <w:iCs/>
          <w:color w:val="000000"/>
          <w:spacing w:val="0"/>
          <w:w w:val="100"/>
          <w:position w:val="0"/>
          <w:shd w:val="clear" w:color="auto" w:fill="auto"/>
          <w:lang w:val="hr-HR" w:eastAsia="hr-HR" w:bidi="hr-HR"/>
        </w:rPr>
        <w:t>rabenu</w:t>
      </w:r>
      <w:r>
        <w:rPr>
          <w:rFonts w:ascii="Times New Roman" w:eastAsia="Times New Roman" w:hAnsi="Times New Roman" w:cs="Times New Roman"/>
          <w:color w:val="000000"/>
          <w:spacing w:val="0"/>
          <w:w w:val="100"/>
          <w:position w:val="0"/>
          <w:shd w:val="clear" w:color="auto" w:fill="auto"/>
          <w:lang w:val="hr-HR" w:eastAsia="hr-HR" w:bidi="hr-HR"/>
        </w:rPr>
        <w:t xml:space="preserve"> (»naš učitelj«) </w:t>
      </w:r>
      <w:r>
        <w:rPr>
          <w:rFonts w:ascii="Times New Roman" w:eastAsia="Times New Roman" w:hAnsi="Times New Roman" w:cs="Times New Roman"/>
          <w:i/>
          <w:iCs/>
          <w:color w:val="000000"/>
          <w:spacing w:val="0"/>
          <w:w w:val="100"/>
          <w:position w:val="0"/>
          <w:shd w:val="clear" w:color="auto" w:fill="auto"/>
          <w:lang w:val="hr-HR" w:eastAsia="hr-HR" w:bidi="hr-HR"/>
        </w:rPr>
        <w:t>(Briefe,</w:t>
      </w:r>
      <w:r>
        <w:rPr>
          <w:rFonts w:ascii="Times New Roman" w:eastAsia="Times New Roman" w:hAnsi="Times New Roman" w:cs="Times New Roman"/>
          <w:color w:val="000000"/>
          <w:spacing w:val="0"/>
          <w:w w:val="100"/>
          <w:position w:val="0"/>
          <w:shd w:val="clear" w:color="auto" w:fill="auto"/>
          <w:lang w:val="hr-HR" w:eastAsia="hr-HR" w:bidi="hr-HR"/>
        </w:rPr>
        <w:t xml:space="preserve"> 1935, br. 488 = </w:t>
      </w:r>
      <w:r>
        <w:rPr>
          <w:rFonts w:ascii="Times New Roman" w:eastAsia="Times New Roman" w:hAnsi="Times New Roman" w:cs="Times New Roman"/>
          <w:i/>
          <w:iCs/>
          <w:color w:val="000000"/>
          <w:spacing w:val="0"/>
          <w:w w:val="100"/>
          <w:position w:val="0"/>
          <w:shd w:val="clear" w:color="auto" w:fill="auto"/>
          <w:lang w:val="hr-HR" w:eastAsia="hr-HR" w:bidi="hr-HR"/>
        </w:rPr>
        <w:t>Kleinere Schriften,</w:t>
      </w:r>
      <w:r>
        <w:rPr>
          <w:rFonts w:ascii="Times New Roman" w:eastAsia="Times New Roman" w:hAnsi="Times New Roman" w:cs="Times New Roman"/>
          <w:color w:val="000000"/>
          <w:spacing w:val="0"/>
          <w:w w:val="100"/>
          <w:position w:val="0"/>
          <w:shd w:val="clear" w:color="auto" w:fill="auto"/>
          <w:lang w:val="hr-HR" w:eastAsia="hr-HR" w:bidi="hr-HR"/>
        </w:rPr>
        <w:t xml:space="preserve"> 1937, 128 i d.). To </w:t>
      </w:r>
      <w:r>
        <w:rPr>
          <w:rFonts w:ascii="Times New Roman" w:eastAsia="Times New Roman" w:hAnsi="Times New Roman" w:cs="Times New Roman"/>
          <w:i/>
          <w:iCs/>
          <w:color w:val="000000"/>
          <w:spacing w:val="0"/>
          <w:w w:val="100"/>
          <w:position w:val="0"/>
          <w:shd w:val="clear" w:color="auto" w:fill="auto"/>
          <w:lang w:val="hr-HR" w:eastAsia="hr-HR" w:bidi="hr-HR"/>
        </w:rPr>
        <w:t>jedinstvo</w:t>
      </w:r>
      <w:r>
        <w:rPr>
          <w:rFonts w:ascii="Times New Roman" w:eastAsia="Times New Roman" w:hAnsi="Times New Roman" w:cs="Times New Roman"/>
          <w:color w:val="000000"/>
          <w:spacing w:val="0"/>
          <w:w w:val="100"/>
          <w:position w:val="0"/>
          <w:shd w:val="clear" w:color="auto" w:fill="auto"/>
          <w:lang w:val="hr-HR" w:eastAsia="hr-HR" w:bidi="hr-HR"/>
        </w:rPr>
        <w:t xml:space="preserve"> hebrejske Biblije, koja je židovstvu postala autoritetom u promjenjivim vremeni</w:t>
        <w:softHyphen/>
        <w:t>ma njegove povijesti, ne temelji se na misa</w:t>
        <w:softHyphen/>
        <w:t>onom, već na referencama nastalima ponav</w:t>
        <w:softHyphen/>
        <w:t>ljanjem glasova unutar jednog odlomka kao i između različitih odlomaka jedne knjige, što</w:t>
        <w:softHyphen/>
        <w:t>više, između biblijskih knjiga triju dijelova ka</w:t>
        <w:softHyphen/>
        <w:t>nona. Tu strukturu nalik na Bibliju, koja po</w:t>
        <w:softHyphen/>
        <w:t>moću osnove riječi nošene od mjesta do mjes</w:t>
        <w:softHyphen/>
        <w:t>ta otvara pogled na različite dijelove i odgo- netava značenje, otkrili su već mudraci tal</w:t>
        <w:softHyphen/>
        <w:t xml:space="preserve">mudskoga razdoblja (M Bava mecia 11,9; b 31a-b), poštovali srednjovjekovni pismoznanci (Raši, komentar Petoknjižja u vezi s Izl 22,25; Pnz 15,10; 22,1), </w:t>
      </w:r>
      <w:r>
        <w:rPr>
          <w:rFonts w:ascii="Times New Roman" w:eastAsia="Times New Roman" w:hAnsi="Times New Roman" w:cs="Times New Roman"/>
          <w:color w:val="000000"/>
          <w:spacing w:val="0"/>
          <w:w w:val="100"/>
          <w:position w:val="0"/>
          <w:shd w:val="clear" w:color="auto" w:fill="auto"/>
          <w:lang w:val="en-US" w:eastAsia="en-US" w:bidi="en-US"/>
        </w:rPr>
        <w:t xml:space="preserve">a Martin Buber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Franz Ro</w:t>
        <w:softHyphen/>
        <w:t xml:space="preserve">senzweig </w:t>
      </w:r>
      <w:r>
        <w:rPr>
          <w:rFonts w:ascii="Times New Roman" w:eastAsia="Times New Roman" w:hAnsi="Times New Roman" w:cs="Times New Roman"/>
          <w:color w:val="000000"/>
          <w:spacing w:val="0"/>
          <w:w w:val="100"/>
          <w:position w:val="0"/>
          <w:shd w:val="clear" w:color="auto" w:fill="auto"/>
          <w:lang w:val="hr-HR" w:eastAsia="hr-HR" w:bidi="hr-HR"/>
        </w:rPr>
        <w:t>naposljetku uzdigli na načelo svo</w:t>
        <w:softHyphen/>
        <w:t>jega prijevoda Staroga zavjeta na njemački je</w:t>
        <w:softHyphen/>
        <w:t>zik. - Neovisno o činjenici što povijesno-kri- tički način gledanja na hebrejsku Bibliju pre</w:t>
        <w:softHyphen/>
        <w:t>poznaje u njoj raznovrsnost - vremena, mjes</w:t>
        <w:softHyphen/>
        <w:t xml:space="preserve">ta, predaje i njezinih prenositelja, intencija </w:t>
      </w:r>
      <w:r>
        <w:rPr>
          <w:rFonts w:ascii="Times New Roman" w:eastAsia="Times New Roman" w:hAnsi="Times New Roman" w:cs="Times New Roman"/>
          <w:color w:val="000000"/>
          <w:spacing w:val="0"/>
          <w:w w:val="100"/>
          <w:position w:val="0"/>
          <w:shd w:val="clear" w:color="auto" w:fill="auto"/>
          <w:lang w:val="hr-HR" w:eastAsia="hr-HR" w:bidi="hr-HR"/>
        </w:rPr>
        <w:t>itd. - taj naziv, »sveti spisi« ne usmjerava po</w:t>
        <w:softHyphen/>
        <w:t xml:space="preserve">gled na Bibliju izvana, nego djeluje na njezine slušatelje i čitatelje povezujući ih u duhu s njezinim </w:t>
      </w:r>
      <w:r>
        <w:rPr>
          <w:rFonts w:ascii="Times New Roman" w:eastAsia="Times New Roman" w:hAnsi="Times New Roman" w:cs="Times New Roman"/>
          <w:i/>
          <w:iCs/>
          <w:color w:val="000000"/>
          <w:spacing w:val="0"/>
          <w:w w:val="100"/>
          <w:position w:val="0"/>
          <w:shd w:val="clear" w:color="auto" w:fill="auto"/>
          <w:lang w:val="hr-HR" w:eastAsia="hr-HR" w:bidi="hr-HR"/>
        </w:rPr>
        <w:t>jedinstvom.</w:t>
      </w:r>
      <w:r>
        <w:rPr>
          <w:rFonts w:ascii="Times New Roman" w:eastAsia="Times New Roman" w:hAnsi="Times New Roman" w:cs="Times New Roman"/>
          <w:color w:val="000000"/>
          <w:spacing w:val="0"/>
          <w:w w:val="100"/>
          <w:position w:val="0"/>
          <w:shd w:val="clear" w:color="auto" w:fill="auto"/>
          <w:lang w:val="hr-HR" w:eastAsia="hr-HR" w:bidi="hr-HR"/>
        </w:rPr>
        <w:t xml:space="preserve"> Oni ga prepoznavaju upravo iz sklada očitih proturječja, od kojih polazi znanstveno istraživanje Biblije, npr. kao jedinstvo »nauka« (Tore) o stvaranju iz višeslojnog prikaza, usmjerenog prema čovje</w:t>
        <w:softHyphen/>
        <w:t>ku, o stvaranju neba i zemlje (Post 1,1-2,4a) s onim koji počinje od stvaranja pojedinca (Post 2,4b i d.) ili kao jedinstvo »nauka« (Tore) o objavi od prepleta priča o Mojsijevu susretu s Bogom na brdu u oblaku dima (Izl 19) i polasku k »Šatoru prisutnosti« Božje (Izl 33,7-11; Br 11,24-31; Pnz 31,14a.) kao i o ob</w:t>
        <w:softHyphen/>
        <w:t>javi milostivih imena Božjih («trinaest Božjih atributa«, Izl 34,6 i d., usp. 33,12-23) i »prav</w:t>
        <w:softHyphen/>
        <w:t xml:space="preserve">nih propisa« (u »Knjizi Saveza«, Izl 20, 22-23,19). Tom jedinstvu biblijskoga »nauka« odgovara na strani slušatelja i čitatelja »svetih spisa« jedinstvo njihova sadašnjeg učenja s učenjem stoljećima duge predaje. - Kako je »svetim spisima« prethodila usmena predaja, uslijedila je ubrzo predaja kao drugi autoritet: »usmeni nauk« (M Avot 1,1; Josip FIavije,zln- </w:t>
      </w:r>
      <w:r>
        <w:rPr>
          <w:rFonts w:ascii="Times New Roman" w:eastAsia="Times New Roman" w:hAnsi="Times New Roman" w:cs="Times New Roman"/>
          <w:i/>
          <w:iCs/>
          <w:color w:val="000000"/>
          <w:spacing w:val="0"/>
          <w:w w:val="100"/>
          <w:position w:val="0"/>
          <w:shd w:val="clear" w:color="auto" w:fill="auto"/>
          <w:lang w:val="en-US" w:eastAsia="en-US" w:bidi="en-US"/>
        </w:rPr>
        <w:t>tiquitates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XIII, 10,6). Ona se bori za to da se »sveti spisi« prožmu »svim srcem«, »svom du</w:t>
        <w:softHyphen/>
        <w:t>šom« i »svom snagom«, da se protegnu na sve događaje u čovjekovu životu, da pomognu ostvarenju svih životnih prilika u skladu s vo</w:t>
        <w:softHyphen/>
        <w:t>ljom Božjom.</w:t>
      </w:r>
    </w:p>
    <w:p>
      <w:pPr>
        <w:pStyle w:val="Style20"/>
        <w:keepNext w:val="0"/>
        <w:keepLines w:val="0"/>
        <w:widowControl w:val="0"/>
        <w:numPr>
          <w:ilvl w:val="0"/>
          <w:numId w:val="561"/>
        </w:numPr>
        <w:shd w:val="clear" w:color="auto" w:fill="auto"/>
        <w:tabs>
          <w:tab w:pos="279" w:val="left"/>
        </w:tabs>
        <w:bidi w:val="0"/>
        <w:spacing w:before="0" w:after="0"/>
        <w:ind w:left="0" w:right="0" w:firstLine="0"/>
        <w:jc w:val="both"/>
        <w:sectPr>
          <w:headerReference w:type="default" r:id="rId1443"/>
          <w:footerReference w:type="default" r:id="rId1444"/>
          <w:headerReference w:type="even" r:id="rId1445"/>
          <w:footerReference w:type="even" r:id="rId1446"/>
          <w:footnotePr>
            <w:pos w:val="pageBottom"/>
            <w:numFmt w:val="decimal"/>
            <w:numRestart w:val="continuous"/>
            <w15:footnoteColumns w:val="1"/>
          </w:footnotePr>
          <w:pgSz w:w="6816" w:h="11006"/>
          <w:pgMar w:top="892" w:left="194" w:right="201" w:bottom="226" w:header="0" w:footer="3" w:gutter="0"/>
          <w:pgNumType w:start="474"/>
          <w:cols w:num="2" w:space="191"/>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»Glasno čitanje«:</w:t>
      </w:r>
      <w:r>
        <w:rPr>
          <w:rFonts w:ascii="Times New Roman" w:eastAsia="Times New Roman" w:hAnsi="Times New Roman" w:cs="Times New Roman"/>
          <w:color w:val="000000"/>
          <w:spacing w:val="0"/>
          <w:w w:val="100"/>
          <w:position w:val="0"/>
          <w:shd w:val="clear" w:color="auto" w:fill="auto"/>
          <w:lang w:val="hr-HR" w:eastAsia="hr-HR" w:bidi="hr-HR"/>
        </w:rPr>
        <w:t xml:space="preserve"> U starini »sveti spisi« či</w:t>
        <w:softHyphen/>
        <w:t>tali su se glasno. Kao pri čitanju Kurana, ta tradicija živi i danas u Zidova pri »učenju« i molitvi. U nazivu »Kuran« za dokument ob</w:t>
        <w:softHyphen/>
        <w:t xml:space="preserve">jave u islamu krije se arapska riječ za čitanje u smislu glasnog poziva. Ni hebrejski izrazi </w:t>
      </w:r>
      <w:r>
        <w:rPr>
          <w:rFonts w:ascii="Times New Roman" w:eastAsia="Times New Roman" w:hAnsi="Times New Roman" w:cs="Times New Roman"/>
          <w:i/>
          <w:iCs/>
          <w:color w:val="000000"/>
          <w:spacing w:val="0"/>
          <w:w w:val="100"/>
          <w:position w:val="0"/>
          <w:shd w:val="clear" w:color="auto" w:fill="auto"/>
          <w:lang w:val="hr-HR" w:eastAsia="hr-HR" w:bidi="hr-HR"/>
        </w:rPr>
        <w:t>»mikra«</w:t>
      </w:r>
      <w:r>
        <w:rPr>
          <w:rFonts w:ascii="Times New Roman" w:eastAsia="Times New Roman" w:hAnsi="Times New Roman" w:cs="Times New Roman"/>
          <w:color w:val="000000"/>
          <w:spacing w:val="0"/>
          <w:w w:val="100"/>
          <w:position w:val="0"/>
          <w:shd w:val="clear" w:color="auto" w:fill="auto"/>
          <w:lang w:val="hr-HR" w:eastAsia="hr-HR" w:bidi="hr-HR"/>
        </w:rPr>
        <w:t xml:space="preserve"> (M Bcrahot 11,1; usp. Mcgila 3a; Nc- darim 37b; M IV,3), </w:t>
      </w:r>
      <w:r>
        <w:rPr>
          <w:rFonts w:ascii="Times New Roman" w:eastAsia="Times New Roman" w:hAnsi="Times New Roman" w:cs="Times New Roman"/>
          <w:i/>
          <w:iCs/>
          <w:color w:val="000000"/>
          <w:spacing w:val="0"/>
          <w:w w:val="100"/>
          <w:position w:val="0"/>
          <w:shd w:val="clear" w:color="auto" w:fill="auto"/>
          <w:lang w:val="hr-HR" w:eastAsia="hr-HR" w:bidi="hr-HR"/>
        </w:rPr>
        <w:t>»kera«</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27a; 29b;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45b; 71a), </w:t>
      </w:r>
      <w:r>
        <w:rPr>
          <w:rFonts w:ascii="Times New Roman" w:eastAsia="Times New Roman" w:hAnsi="Times New Roman" w:cs="Times New Roman"/>
          <w:i/>
          <w:iCs/>
          <w:color w:val="000000"/>
          <w:spacing w:val="0"/>
          <w:w w:val="100"/>
          <w:position w:val="0"/>
          <w:shd w:val="clear" w:color="auto" w:fill="auto"/>
          <w:lang w:val="hr-HR" w:eastAsia="hr-HR" w:bidi="hr-HR"/>
        </w:rPr>
        <w:t>»keria«</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13b; Makot 18b; Megila 14a; M 1,4) ne daju upute za pisanje, kako bi se moglo naslutiti s obzirom na naziv »sveti spisi«; naprotiv, oni govore o »pozivu«, o </w:t>
      </w:r>
      <w:r>
        <w:rPr>
          <w:rFonts w:ascii="Times New Roman" w:eastAsia="Times New Roman" w:hAnsi="Times New Roman" w:cs="Times New Roman"/>
          <w:i/>
          <w:iCs/>
          <w:color w:val="000000"/>
          <w:spacing w:val="0"/>
          <w:w w:val="100"/>
          <w:position w:val="0"/>
          <w:shd w:val="clear" w:color="auto" w:fill="auto"/>
          <w:lang w:val="hr-HR" w:eastAsia="hr-HR" w:bidi="hr-HR"/>
        </w:rPr>
        <w:t>glasnom</w:t>
      </w:r>
      <w:r>
        <w:rPr>
          <w:rFonts w:ascii="Times New Roman" w:eastAsia="Times New Roman" w:hAnsi="Times New Roman" w:cs="Times New Roman"/>
          <w:color w:val="000000"/>
          <w:spacing w:val="0"/>
          <w:w w:val="100"/>
          <w:position w:val="0"/>
          <w:shd w:val="clear" w:color="auto" w:fill="auto"/>
          <w:lang w:val="hr-HR" w:eastAsia="hr-HR" w:bidi="hr-HR"/>
        </w:rPr>
        <w:t xml:space="preserve"> čitanju: »I či</w:t>
        <w:softHyphen/>
        <w:t>tahu iz knjige Božjeg zakona (Tore)« (Neh 8,8). Primjena tih izraza za »svete spise« po</w:t>
        <w:softHyphen/>
        <w:t>kazuje da je, doduše, literarnost povijesni do</w:t>
        <w:softHyphen/>
        <w:t xml:space="preserve">datak Bibliji, ali da se kasniji zapis Riječi koja se dogodila ponovno mora probiti do </w:t>
      </w:r>
      <w:r>
        <w:rPr>
          <w:rFonts w:ascii="Times New Roman" w:eastAsia="Times New Roman" w:hAnsi="Times New Roman" w:cs="Times New Roman"/>
          <w:i/>
          <w:iCs/>
          <w:color w:val="000000"/>
          <w:spacing w:val="0"/>
          <w:w w:val="100"/>
          <w:position w:val="0"/>
          <w:shd w:val="clear" w:color="auto" w:fill="auto"/>
          <w:lang w:val="hr-HR" w:eastAsia="hr-HR" w:bidi="hr-HR"/>
        </w:rPr>
        <w:t>Riječi koja se dogada.</w:t>
      </w:r>
      <w:r>
        <w:rPr>
          <w:rFonts w:ascii="Times New Roman" w:eastAsia="Times New Roman" w:hAnsi="Times New Roman" w:cs="Times New Roman"/>
          <w:color w:val="000000"/>
          <w:spacing w:val="0"/>
          <w:w w:val="100"/>
          <w:position w:val="0"/>
          <w:shd w:val="clear" w:color="auto" w:fill="auto"/>
          <w:lang w:val="hr-HR" w:eastAsia="hr-HR" w:bidi="hr-HR"/>
        </w:rPr>
        <w:t xml:space="preserve"> Uporaba »glasno čitanje« za Bibliju podsjeća na to da njezina Riječ, prem</w:t>
        <w:softHyphen/>
        <w:t>da je podčinjena pretvaranju u pismo, mora</w:t>
      </w:r>
    </w:p>
    <w:p>
      <w:pPr>
        <w:pStyle w:val="Style20"/>
        <w:keepNext w:val="0"/>
        <w:keepLines w:val="0"/>
        <w:widowControl w:val="0"/>
        <w:shd w:val="clear" w:color="auto" w:fill="auto"/>
        <w:tabs>
          <w:tab w:pos="2419" w:val="left"/>
        </w:tabs>
        <w:bidi w:val="0"/>
        <w:spacing w:before="0" w:after="2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biti trajno sačuvana u usmenom obliku ako je treba čuti i razumjeti kao glas koji vrijedi »da</w:t>
        <w:softHyphen/>
        <w:t>nas« (Ps 95,7).</w:t>
        <w:tab/>
        <w:t xml:space="preserve">i&gt;. </w:t>
      </w:r>
      <w:r>
        <w:rPr>
          <w:rFonts w:ascii="Times New Roman" w:eastAsia="Times New Roman" w:hAnsi="Times New Roman" w:cs="Times New Roman"/>
          <w:smallCaps/>
          <w:color w:val="000000"/>
          <w:spacing w:val="0"/>
          <w:w w:val="100"/>
          <w:position w:val="0"/>
          <w:shd w:val="clear" w:color="auto" w:fill="auto"/>
          <w:lang w:val="hr-HR" w:eastAsia="hr-HR" w:bidi="hr-HR"/>
        </w:rPr>
        <w:t>vhtiv.u</w:t>
      </w:r>
    </w:p>
    <w:p>
      <w:pPr>
        <w:pStyle w:val="Style63"/>
        <w:keepNext/>
        <w:keepLines/>
        <w:widowControl w:val="0"/>
        <w:numPr>
          <w:ilvl w:val="0"/>
          <w:numId w:val="559"/>
        </w:numPr>
        <w:shd w:val="clear" w:color="auto" w:fill="auto"/>
        <w:tabs>
          <w:tab w:pos="260" w:val="left"/>
        </w:tabs>
        <w:bidi w:val="0"/>
        <w:spacing w:before="0" w:line="223" w:lineRule="auto"/>
        <w:ind w:left="0" w:right="0" w:firstLine="0"/>
        <w:jc w:val="both"/>
      </w:pPr>
      <w:bookmarkStart w:id="356" w:name="bookmark356"/>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5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Opća povijest religija poznaje mnoštvo »sve</w:t>
        <w:softHyphen/>
        <w:t>tih pisama« pri čemu ovaj pojam u svakom slučaju obuhvaća različite tipove tekstova i primjenjuje se u užem i širem smislu. O Sve</w:t>
        <w:softHyphen/>
        <w:t>tom pismu u užem smislu govori se kada se kod dokumenta radi o najvišem stupnju au</w:t>
        <w:softHyphen/>
        <w:t>toriteta, o normativnom tekstu dotične reli</w:t>
        <w:softHyphen/>
        <w:t>gije. Iako u tom smislu mnoge religije posje</w:t>
        <w:softHyphen/>
        <w:t>duju S. p., time im unaprijed ne pripada isto mjesto što se tiče njihove vrijednosti. To ob</w:t>
        <w:softHyphen/>
        <w:t xml:space="preserve">jašnjava klasična usporedba koju je povukao </w:t>
      </w:r>
      <w:r>
        <w:rPr>
          <w:rFonts w:ascii="Times New Roman" w:eastAsia="Times New Roman" w:hAnsi="Times New Roman" w:cs="Times New Roman"/>
          <w:color w:val="000000"/>
          <w:spacing w:val="0"/>
          <w:w w:val="100"/>
          <w:position w:val="0"/>
          <w:shd w:val="clear" w:color="auto" w:fill="auto"/>
          <w:lang w:val="en-US" w:eastAsia="en-US" w:bidi="en-US"/>
        </w:rPr>
        <w:t xml:space="preserve">Nathan </w:t>
      </w:r>
      <w:r>
        <w:rPr>
          <w:rFonts w:ascii="Times New Roman" w:eastAsia="Times New Roman" w:hAnsi="Times New Roman" w:cs="Times New Roman"/>
          <w:color w:val="000000"/>
          <w:spacing w:val="0"/>
          <w:w w:val="100"/>
          <w:position w:val="0"/>
          <w:shd w:val="clear" w:color="auto" w:fill="auto"/>
          <w:lang w:val="hr-HR" w:eastAsia="hr-HR" w:bidi="hr-HR"/>
        </w:rPr>
        <w:t>Soderblom 1927.: »Sto je učenje za budizam i Kuran za islam, to je Kristova oso</w:t>
        <w:softHyphen/>
        <w:t xml:space="preserve">ba za kršćanstvo«. </w:t>
      </w:r>
      <w:r>
        <w:rPr>
          <w:rFonts w:ascii="Times New Roman" w:eastAsia="Times New Roman" w:hAnsi="Times New Roman" w:cs="Times New Roman"/>
          <w:color w:val="000000"/>
          <w:spacing w:val="0"/>
          <w:w w:val="100"/>
          <w:position w:val="0"/>
          <w:shd w:val="clear" w:color="auto" w:fill="auto"/>
          <w:lang w:val="en-US" w:eastAsia="en-US" w:bidi="en-US"/>
        </w:rPr>
        <w:t xml:space="preserve">Heinrich Frick </w:t>
      </w:r>
      <w:r>
        <w:rPr>
          <w:rFonts w:ascii="Times New Roman" w:eastAsia="Times New Roman" w:hAnsi="Times New Roman" w:cs="Times New Roman"/>
          <w:color w:val="000000"/>
          <w:spacing w:val="0"/>
          <w:w w:val="100"/>
          <w:position w:val="0"/>
          <w:shd w:val="clear" w:color="auto" w:fill="auto"/>
          <w:lang w:val="hr-HR" w:eastAsia="hr-HR" w:bidi="hr-HR"/>
        </w:rPr>
        <w:t>je dalje pro</w:t>
        <w:softHyphen/>
        <w:t xml:space="preserve">dubio tu misao u svom spisu: »Vcrglcichende </w:t>
      </w:r>
      <w:r>
        <w:rPr>
          <w:rFonts w:ascii="Times New Roman" w:eastAsia="Times New Roman" w:hAnsi="Times New Roman" w:cs="Times New Roman"/>
          <w:color w:val="000000"/>
          <w:spacing w:val="0"/>
          <w:w w:val="100"/>
          <w:position w:val="0"/>
          <w:shd w:val="clear" w:color="auto" w:fill="auto"/>
          <w:lang w:val="en-US" w:eastAsia="en-US" w:bidi="en-US"/>
        </w:rPr>
        <w:t xml:space="preserve">Religionswisscnschaft« </w:t>
      </w:r>
      <w:r>
        <w:rPr>
          <w:rFonts w:ascii="Times New Roman" w:eastAsia="Times New Roman" w:hAnsi="Times New Roman" w:cs="Times New Roman"/>
          <w:color w:val="000000"/>
          <w:spacing w:val="0"/>
          <w:w w:val="100"/>
          <w:position w:val="0"/>
          <w:shd w:val="clear" w:color="auto" w:fill="auto"/>
          <w:lang w:val="hr-HR" w:eastAsia="hr-HR" w:bidi="hr-HR"/>
        </w:rPr>
        <w:t>(1928) (djelomično tis</w:t>
        <w:softHyphen/>
        <w:t xml:space="preserve">kano u: U. </w:t>
      </w:r>
      <w:r>
        <w:rPr>
          <w:rFonts w:ascii="Times New Roman" w:eastAsia="Times New Roman" w:hAnsi="Times New Roman" w:cs="Times New Roman"/>
          <w:color w:val="000000"/>
          <w:spacing w:val="0"/>
          <w:w w:val="100"/>
          <w:position w:val="0"/>
          <w:shd w:val="clear" w:color="auto" w:fill="auto"/>
          <w:lang w:val="en-US" w:eastAsia="en-US" w:bidi="en-US"/>
        </w:rPr>
        <w:t xml:space="preserve">Tworuschka, </w:t>
      </w:r>
      <w:r>
        <w:rPr>
          <w:rFonts w:ascii="Times New Roman" w:eastAsia="Times New Roman" w:hAnsi="Times New Roman" w:cs="Times New Roman"/>
          <w:i/>
          <w:iCs/>
          <w:color w:val="000000"/>
          <w:spacing w:val="0"/>
          <w:w w:val="100"/>
          <w:position w:val="0"/>
          <w:shd w:val="clear" w:color="auto" w:fill="auto"/>
          <w:lang w:val="hr-HR" w:eastAsia="hr-HR" w:bidi="hr-HR"/>
        </w:rPr>
        <w:t xml:space="preserve">Methodische Zugiinge zu </w:t>
      </w:r>
      <w:r>
        <w:rPr>
          <w:rFonts w:ascii="Times New Roman" w:eastAsia="Times New Roman" w:hAnsi="Times New Roman" w:cs="Times New Roman"/>
          <w:i/>
          <w:iCs/>
          <w:color w:val="000000"/>
          <w:spacing w:val="0"/>
          <w:w w:val="100"/>
          <w:position w:val="0"/>
          <w:shd w:val="clear" w:color="auto" w:fill="auto"/>
          <w:lang w:val="en-US" w:eastAsia="en-US" w:bidi="en-US"/>
        </w:rPr>
        <w:t>den Weltreligionen,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Frankfurt/Miinchen 1982, 113-115). Pismo, koje npr. u islamu zajedno s Bogom sačinjava »životno središte« (Mcnsching) ove religije, predstavlja u kršćanstvu nešto što je na drugome mjestu. Kršćanstvo nije prven</w:t>
        <w:softHyphen/>
        <w:t xml:space="preserve">stveno </w:t>
      </w:r>
      <w:r>
        <w:rPr>
          <w:rFonts w:ascii="Times New Roman" w:eastAsia="Times New Roman" w:hAnsi="Times New Roman" w:cs="Times New Roman"/>
          <w:i/>
          <w:iCs/>
          <w:color w:val="000000"/>
          <w:spacing w:val="0"/>
          <w:w w:val="100"/>
          <w:position w:val="0"/>
          <w:shd w:val="clear" w:color="auto" w:fill="auto"/>
          <w:lang w:val="hr-HR" w:eastAsia="hr-HR" w:bidi="hr-HR"/>
        </w:rPr>
        <w:t>religija knjige.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novozavjetnu zajednicu tri su autoriteta obvezatna: »Pismo« dakle tzv. »SZ«, apostoli i Isus Krist kao konačni autoritet. Ove tri in</w:t>
        <w:softHyphen/>
        <w:t xml:space="preserve">stancije svjedoče Božju riječ, odnosno Krist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 </w:t>
      </w:r>
      <w:r>
        <w:rPr>
          <w:rFonts w:ascii="Times New Roman" w:eastAsia="Times New Roman" w:hAnsi="Times New Roman" w:cs="Times New Roman"/>
          <w:color w:val="000000"/>
          <w:spacing w:val="0"/>
          <w:w w:val="100"/>
          <w:position w:val="0"/>
          <w:shd w:val="clear" w:color="auto" w:fill="auto"/>
          <w:lang w:val="hr-HR" w:eastAsia="hr-HR" w:bidi="hr-HR"/>
        </w:rPr>
        <w:t>prema Iv 1,1 i d. Riječ sama. Ni kod SZ ni kod NZ ne radi se o jedinstvenim pismima. Oba zavjeta predstavljaju zbirke spisa krajnje raz</w:t>
        <w:softHyphen/>
        <w:t>ličite naravi. Dok je SZ već prethodio pra- kršćanstvu, tek oko 200. pos. Kr. može se govoriti o novozavjetnom kanonu (doslovce: trska, ravan štap; preneseno: zidarsko ravnalo, prut za mjerenje, pravilo, uputa) koji sadrži jezgru u koju se ubraja 21 spis. Tek u drugoj polovici IV. stoljeća utvrđen je opseg danas važećih 27 spisa.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Kao kod svih ostalih spisa u povijesti religija, tako je i za Bibliju prihvaćen božanski izvor. U svakom slučaju postoje različita shvaćanja. Prakršćanski pisci, npr. Pavao, gotovo stalno prisvajaju pravo na </w:t>
      </w:r>
      <w:r>
        <w:rPr>
          <w:rFonts w:ascii="Times New Roman" w:eastAsia="Times New Roman" w:hAnsi="Times New Roman" w:cs="Times New Roman"/>
          <w:i/>
          <w:iCs/>
          <w:color w:val="000000"/>
          <w:spacing w:val="0"/>
          <w:w w:val="100"/>
          <w:position w:val="0"/>
          <w:shd w:val="clear" w:color="auto" w:fill="auto"/>
          <w:lang w:val="hr-HR" w:eastAsia="hr-HR" w:bidi="hr-HR"/>
        </w:rPr>
        <w:t>nadahnuće</w:t>
      </w:r>
      <w:r>
        <w:rPr>
          <w:rFonts w:ascii="Times New Roman" w:eastAsia="Times New Roman" w:hAnsi="Times New Roman" w:cs="Times New Roman"/>
          <w:color w:val="000000"/>
          <w:spacing w:val="0"/>
          <w:w w:val="100"/>
          <w:position w:val="0"/>
          <w:shd w:val="clear" w:color="auto" w:fill="auto"/>
          <w:lang w:val="hr-HR" w:eastAsia="hr-HR" w:bidi="hr-HR"/>
        </w:rPr>
        <w:t xml:space="preserve"> (usp. Kor 7,40; 14, 37). I Apostolski sabor (Dj 15,28) i rimska zajednica prema I Clcm 63,2 svjesni su da pišu »u Duhu«. Sto se tiče Svetoga pisma, svaka se </w:t>
      </w:r>
      <w:r>
        <w:rPr>
          <w:rFonts w:ascii="Times New Roman" w:eastAsia="Times New Roman" w:hAnsi="Times New Roman" w:cs="Times New Roman"/>
          <w:color w:val="000000"/>
          <w:spacing w:val="0"/>
          <w:w w:val="100"/>
          <w:position w:val="0"/>
          <w:shd w:val="clear" w:color="auto" w:fill="auto"/>
          <w:lang w:val="hr-HR" w:eastAsia="hr-HR" w:bidi="hr-HR"/>
        </w:rPr>
        <w:t>pojedina riječ drži nadahnutom (2 Pt 1,20 i d.; 2 Tim 3,16 gdje se vjerojatnije misli »Božjim Duhom nadahnuto« za razliku od Vulgate: »scriptura divinatus inspirata«). Stara je Crkva raspravljala o nizu pojedinačnih pitanja koja pokazuju da je učenje o nadahnuću bilo »po</w:t>
        <w:softHyphen/>
        <w:t>glavito pučko«. »Je li Duh Sveti koji pomaže nadahnuću rezerviran samo za ljude davnog vremena ili djeluje također u sadašnjosti? Jesu li proroci i apostoli uvijek pod djelova</w:t>
        <w:softHyphen/>
        <w:t xml:space="preserve">njem Duha ili koji put mogu privatno napisati neku poslanicu, npr. Pavao poslanicu Filemo- nu?« </w:t>
      </w:r>
      <w:r>
        <w:rPr>
          <w:rFonts w:ascii="Times New Roman" w:eastAsia="Times New Roman" w:hAnsi="Times New Roman" w:cs="Times New Roman"/>
          <w:color w:val="000000"/>
          <w:spacing w:val="0"/>
          <w:w w:val="100"/>
          <w:position w:val="0"/>
          <w:shd w:val="clear" w:color="auto" w:fill="auto"/>
          <w:lang w:val="en-US" w:eastAsia="en-US" w:bidi="en-US"/>
        </w:rPr>
        <w:t xml:space="preserve">(J. Leipoldt/S. Morenz,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Heilige Schriften, </w:t>
      </w:r>
      <w:r>
        <w:rPr>
          <w:rFonts w:ascii="Times New Roman" w:eastAsia="Times New Roman" w:hAnsi="Times New Roman" w:cs="Times New Roman"/>
          <w:color w:val="000000"/>
          <w:spacing w:val="0"/>
          <w:w w:val="100"/>
          <w:position w:val="0"/>
          <w:shd w:val="clear" w:color="auto" w:fill="auto"/>
          <w:lang w:val="hr-HR" w:eastAsia="hr-HR" w:bidi="hr-HR"/>
        </w:rPr>
        <w:t>1953, 36).</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definirano </w:t>
      </w:r>
      <w:r>
        <w:rPr>
          <w:rFonts w:ascii="Times New Roman" w:eastAsia="Times New Roman" w:hAnsi="Times New Roman" w:cs="Times New Roman"/>
          <w:i/>
          <w:iCs/>
          <w:color w:val="000000"/>
          <w:spacing w:val="0"/>
          <w:w w:val="100"/>
          <w:position w:val="0"/>
          <w:shd w:val="clear" w:color="auto" w:fill="auto"/>
          <w:lang w:val="hr-HR" w:eastAsia="hr-HR" w:bidi="hr-HR"/>
        </w:rPr>
        <w:t>katoličko</w:t>
      </w:r>
      <w:r>
        <w:rPr>
          <w:rFonts w:ascii="Times New Roman" w:eastAsia="Times New Roman" w:hAnsi="Times New Roman" w:cs="Times New Roman"/>
          <w:color w:val="000000"/>
          <w:spacing w:val="0"/>
          <w:w w:val="100"/>
          <w:position w:val="0"/>
          <w:shd w:val="clear" w:color="auto" w:fill="auto"/>
          <w:lang w:val="hr-HR" w:eastAsia="hr-HR" w:bidi="hr-HR"/>
        </w:rPr>
        <w:t xml:space="preserve"> vjersko učenje ubraja se mišljenje da Ijudi-pisci Svetoga pisma stoje pod karizmatičkim Božjim utjecajem: »Božan</w:t>
        <w:softHyphen/>
        <w:t>ska objava koja je zapisana i koja stoji u Sve</w:t>
        <w:softHyphen/>
        <w:t>tom pismu napisana je dahom Duha Svetoga ... Za sastavljanje svetih knjiga Bog je izabrao ljude koje je trebao da oni, koristeći svoje spo</w:t>
        <w:softHyphen/>
        <w:t xml:space="preserve">sobnosti i snage, samo kao pravi pisci pismeno prenesu sve to što je on - djelotvorno u njima i po njima - htio napisati.« U pravovjernom </w:t>
      </w:r>
      <w:r>
        <w:rPr>
          <w:rFonts w:ascii="Times New Roman" w:eastAsia="Times New Roman" w:hAnsi="Times New Roman" w:cs="Times New Roman"/>
          <w:i/>
          <w:iCs/>
          <w:color w:val="000000"/>
          <w:spacing w:val="0"/>
          <w:w w:val="100"/>
          <w:position w:val="0"/>
          <w:shd w:val="clear" w:color="auto" w:fill="auto"/>
          <w:lang w:val="hr-HR" w:eastAsia="hr-HR" w:bidi="hr-HR"/>
        </w:rPr>
        <w:t>protestantskom</w:t>
      </w:r>
      <w:r>
        <w:rPr>
          <w:rFonts w:ascii="Times New Roman" w:eastAsia="Times New Roman" w:hAnsi="Times New Roman" w:cs="Times New Roman"/>
          <w:color w:val="000000"/>
          <w:spacing w:val="0"/>
          <w:w w:val="100"/>
          <w:position w:val="0"/>
          <w:shd w:val="clear" w:color="auto" w:fill="auto"/>
          <w:lang w:val="hr-HR" w:eastAsia="hr-HR" w:bidi="hr-HR"/>
        </w:rPr>
        <w:t xml:space="preserve"> učenju o Svetom pismu vrije</w:t>
        <w:softHyphen/>
        <w:t xml:space="preserve">dilo je temeljno načelo: »Scriptura </w:t>
      </w:r>
      <w:r>
        <w:rPr>
          <w:rFonts w:ascii="Times New Roman" w:eastAsia="Times New Roman" w:hAnsi="Times New Roman" w:cs="Times New Roman"/>
          <w:color w:val="000000"/>
          <w:spacing w:val="0"/>
          <w:w w:val="100"/>
          <w:position w:val="0"/>
          <w:shd w:val="clear" w:color="auto" w:fill="auto"/>
          <w:lang w:val="en-US" w:eastAsia="en-US" w:bidi="en-US"/>
        </w:rPr>
        <w:t xml:space="preserve">sacra </w:t>
      </w:r>
      <w:r>
        <w:rPr>
          <w:rFonts w:ascii="Times New Roman" w:eastAsia="Times New Roman" w:hAnsi="Times New Roman" w:cs="Times New Roman"/>
          <w:color w:val="000000"/>
          <w:spacing w:val="0"/>
          <w:w w:val="100"/>
          <w:position w:val="0"/>
          <w:shd w:val="clear" w:color="auto" w:fill="auto"/>
          <w:lang w:val="hr-HR" w:eastAsia="hr-HR" w:bidi="hr-HR"/>
        </w:rPr>
        <w:t xml:space="preserve">est </w:t>
      </w:r>
      <w:r>
        <w:rPr>
          <w:rFonts w:ascii="Times New Roman" w:eastAsia="Times New Roman" w:hAnsi="Times New Roman" w:cs="Times New Roman"/>
          <w:color w:val="000000"/>
          <w:spacing w:val="0"/>
          <w:w w:val="100"/>
          <w:position w:val="0"/>
          <w:shd w:val="clear" w:color="auto" w:fill="auto"/>
          <w:lang w:val="en-US" w:eastAsia="en-US" w:bidi="en-US"/>
        </w:rPr>
        <w:t xml:space="preserve">verbum </w:t>
      </w:r>
      <w:r>
        <w:rPr>
          <w:rFonts w:ascii="Times New Roman" w:eastAsia="Times New Roman" w:hAnsi="Times New Roman" w:cs="Times New Roman"/>
          <w:color w:val="000000"/>
          <w:spacing w:val="0"/>
          <w:w w:val="100"/>
          <w:position w:val="0"/>
          <w:shd w:val="clear" w:color="auto" w:fill="auto"/>
          <w:lang w:val="hr-HR" w:eastAsia="hr-HR" w:bidi="hr-HR"/>
        </w:rPr>
        <w:t xml:space="preserve">Dei« (L. </w:t>
      </w:r>
      <w:r>
        <w:rPr>
          <w:rFonts w:ascii="Times New Roman" w:eastAsia="Times New Roman" w:hAnsi="Times New Roman" w:cs="Times New Roman"/>
          <w:color w:val="000000"/>
          <w:spacing w:val="0"/>
          <w:w w:val="100"/>
          <w:position w:val="0"/>
          <w:shd w:val="clear" w:color="auto" w:fill="auto"/>
          <w:lang w:val="en-US" w:eastAsia="en-US" w:bidi="en-US"/>
        </w:rPr>
        <w:t xml:space="preserve">Hutter, J. Gerhard). </w:t>
      </w:r>
      <w:r>
        <w:rPr>
          <w:rFonts w:ascii="Times New Roman" w:eastAsia="Times New Roman" w:hAnsi="Times New Roman" w:cs="Times New Roman"/>
          <w:color w:val="000000"/>
          <w:spacing w:val="0"/>
          <w:w w:val="100"/>
          <w:position w:val="0"/>
          <w:shd w:val="clear" w:color="auto" w:fill="auto"/>
          <w:lang w:val="hr-HR" w:eastAsia="hr-HR" w:bidi="hr-HR"/>
        </w:rPr>
        <w:t xml:space="preserve">Bog je glavni pisac, a čovjek je samo alat u njegovoj ruci. Tu se oblikovalo učenje o </w:t>
      </w:r>
      <w:r>
        <w:rPr>
          <w:rFonts w:ascii="Times New Roman" w:eastAsia="Times New Roman" w:hAnsi="Times New Roman" w:cs="Times New Roman"/>
          <w:i/>
          <w:iCs/>
          <w:color w:val="000000"/>
          <w:spacing w:val="0"/>
          <w:w w:val="100"/>
          <w:position w:val="0"/>
          <w:shd w:val="clear" w:color="auto" w:fill="auto"/>
          <w:lang w:val="hr-HR" w:eastAsia="hr-HR" w:bidi="hr-HR"/>
        </w:rPr>
        <w:t>verbalnoj in</w:t>
        <w:softHyphen/>
        <w:t>spiraciji</w:t>
      </w:r>
      <w:r>
        <w:rPr>
          <w:rFonts w:ascii="Times New Roman" w:eastAsia="Times New Roman" w:hAnsi="Times New Roman" w:cs="Times New Roman"/>
          <w:color w:val="000000"/>
          <w:spacing w:val="0"/>
          <w:w w:val="100"/>
          <w:position w:val="0"/>
          <w:shd w:val="clear" w:color="auto" w:fill="auto"/>
          <w:lang w:val="hr-HR" w:eastAsia="hr-HR" w:bidi="hr-HR"/>
        </w:rPr>
        <w:t xml:space="preserve"> prema kojoj Bog ne samo da daje po</w:t>
        <w:softHyphen/>
        <w:t>ticaj osobama (personalna inspiracija) ili na</w:t>
        <w:softHyphen/>
        <w:t>dahnjuje sadržaj (sadržajna inspiracija), nego nadahnjuje i pojedinačne riječi, čak točke i naglaske na samoglasnicima hebrejskog teks</w:t>
        <w:softHyphen/>
        <w:t xml:space="preserve">ta. Prema </w:t>
      </w:r>
      <w:r>
        <w:rPr>
          <w:rFonts w:ascii="Times New Roman" w:eastAsia="Times New Roman" w:hAnsi="Times New Roman" w:cs="Times New Roman"/>
          <w:color w:val="000000"/>
          <w:spacing w:val="0"/>
          <w:w w:val="100"/>
          <w:position w:val="0"/>
          <w:shd w:val="clear" w:color="auto" w:fill="auto"/>
          <w:lang w:val="en-US" w:eastAsia="en-US" w:bidi="en-US"/>
        </w:rPr>
        <w:t xml:space="preserve">J. A. Quenstedtu </w:t>
      </w:r>
      <w:r>
        <w:rPr>
          <w:rFonts w:ascii="Times New Roman" w:eastAsia="Times New Roman" w:hAnsi="Times New Roman" w:cs="Times New Roman"/>
          <w:color w:val="000000"/>
          <w:spacing w:val="0"/>
          <w:w w:val="100"/>
          <w:position w:val="0"/>
          <w:shd w:val="clear" w:color="auto" w:fill="auto"/>
          <w:lang w:val="hr-HR" w:eastAsia="hr-HR" w:bidi="hr-HR"/>
        </w:rPr>
        <w:t>Pismo je »dicta- men« Duha Svetoga. Ljudi-pisci su »manus« (ruka), »calami« (pisaća pera) i »tabclliones« (pisaće ploče) Duha. Unatoč tomu naglašava se da oni nisu pisali »ne znajući« ili »nedobro- voljno« nego »voljno i znajući«. Učenje o ver</w:t>
        <w:softHyphen/>
        <w:t>balnoj inspiraciji kritizirali su kasnije mnogi teolozi. Prigovaralo se pritom da se nije do</w:t>
        <w:softHyphen/>
        <w:t>statno uzimalo u obzir piščevo čovještvo i da je Biblija tako u stanovitoj mjeri postala »pa</w:t>
        <w:softHyphen/>
        <w:t>pirnati papa«.</w:t>
      </w:r>
    </w:p>
    <w:p>
      <w:pPr>
        <w:pStyle w:val="Style20"/>
        <w:keepNext w:val="0"/>
        <w:keepLines w:val="0"/>
        <w:widowControl w:val="0"/>
        <w:shd w:val="clear" w:color="auto" w:fill="auto"/>
        <w:bidi w:val="0"/>
        <w:spacing w:before="0" w:after="0"/>
        <w:ind w:left="0" w:right="0" w:firstLine="0"/>
        <w:jc w:val="both"/>
        <w:sectPr>
          <w:headerReference w:type="default" r:id="rId1447"/>
          <w:footerReference w:type="default" r:id="rId1448"/>
          <w:headerReference w:type="even" r:id="rId1449"/>
          <w:footerReference w:type="even" r:id="rId1450"/>
          <w:footnotePr>
            <w:pos w:val="pageBottom"/>
            <w:numFmt w:val="decimal"/>
            <w:numRestart w:val="continuous"/>
            <w15:footnoteColumns w:val="1"/>
          </w:footnotePr>
          <w:pgSz w:w="6816" w:h="11006"/>
          <w:pgMar w:top="892" w:left="194" w:right="201" w:bottom="226" w:header="0" w:footer="3" w:gutter="0"/>
          <w:pgNumType w:start="479"/>
          <w:cols w:num="2" w:space="19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Odnos Biblije i crkvene tradicije vodio je me</w:t>
        <w:softHyphen/>
        <w:t>du religijama do različitog shvaćanja. Refor</w:t>
        <w:softHyphen/>
        <w:t>matori su, u želji da Pismo ne zaraste u tradi</w:t>
        <w:softHyphen/>
        <w:t xml:space="preserve">ciju, učinili valjanim načelo: </w:t>
      </w:r>
      <w:r>
        <w:rPr>
          <w:rFonts w:ascii="Times New Roman" w:eastAsia="Times New Roman" w:hAnsi="Times New Roman" w:cs="Times New Roman"/>
          <w:color w:val="000000"/>
          <w:spacing w:val="0"/>
          <w:w w:val="100"/>
          <w:position w:val="0"/>
          <w:shd w:val="clear" w:color="auto" w:fill="auto"/>
          <w:lang w:val="en-US" w:eastAsia="en-US" w:bidi="en-US"/>
        </w:rPr>
        <w:t xml:space="preserve">Sola </w:t>
      </w:r>
      <w:r>
        <w:rPr>
          <w:rFonts w:ascii="Times New Roman" w:eastAsia="Times New Roman" w:hAnsi="Times New Roman" w:cs="Times New Roman"/>
          <w:color w:val="000000"/>
          <w:spacing w:val="0"/>
          <w:w w:val="100"/>
          <w:position w:val="0"/>
          <w:shd w:val="clear" w:color="auto" w:fill="auto"/>
          <w:lang w:val="hr-HR" w:eastAsia="hr-HR" w:bidi="hr-HR"/>
        </w:rPr>
        <w:t xml:space="preserve">scriptura (Samo Pismo). </w:t>
      </w:r>
      <w:r>
        <w:rPr>
          <w:rFonts w:ascii="Times New Roman" w:eastAsia="Times New Roman" w:hAnsi="Times New Roman" w:cs="Times New Roman"/>
          <w:color w:val="000000"/>
          <w:spacing w:val="0"/>
          <w:w w:val="100"/>
          <w:position w:val="0"/>
          <w:shd w:val="clear" w:color="auto" w:fill="auto"/>
          <w:lang w:val="en-US" w:eastAsia="en-US" w:bidi="en-US"/>
        </w:rPr>
        <w:t xml:space="preserve">Time Luther </w:t>
      </w:r>
      <w:r>
        <w:rPr>
          <w:rFonts w:ascii="Times New Roman" w:eastAsia="Times New Roman" w:hAnsi="Times New Roman" w:cs="Times New Roman"/>
          <w:color w:val="000000"/>
          <w:spacing w:val="0"/>
          <w:w w:val="100"/>
          <w:position w:val="0"/>
          <w:shd w:val="clear" w:color="auto" w:fill="auto"/>
          <w:lang w:val="hr-HR" w:eastAsia="hr-HR" w:bidi="hr-HR"/>
        </w:rPr>
        <w:t xml:space="preserve">nije htio odbijati tradiciju već je samo na prikladan način staviti u odnos prema Pismu. Prava tradicija bila je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njega ono što odgovara Svetom pismu, a kriva tradicija, naprotiv, ono što mu protu- riječi. Rimokatolička tradicija na Drugom va</w:t>
        <w:softHyphen/>
        <w:t>tikanskom koncilu izričito je ponovno prihva</w:t>
        <w:softHyphen/>
        <w:t>tila tridentsko učenje prema kojem Pismo i tradicija trebaju biti prihvaćeni »pari pietatis affectu et reverentia«. Pokoncilski katolici</w:t>
        <w:softHyphen/>
        <w:t>zam poznaje uz dvije vjerske norme, Pismo i tradiciju, učiteljstvo kao treću veličinu.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razumijevanje Svetoga pisma (hermcncu- tika) razvijale su se tijekom vremena različite metode. Povijcsno-kritičko istraživanje koje se trudi pronaći izvorni smisao teksta, rezultat je novoga doba. Ono je danas upotpunjeno mnoštvom daljnjih metoda: strukturno-anali- tičkom, dubinsko psihološkom, egzistencijal</w:t>
        <w:softHyphen/>
        <w:t>nom, čak materijalističkom itd. U staroj Crkvi i u srednjem vijeku prevladavalo jc učenje o »višestrukom smislu Pisma«. Uz traganje za doslovnim smislom Pisma pokušavao sc pro</w:t>
        <w:softHyphen/>
        <w:t xml:space="preserve">naći smisao koji se skrivao iza toga. </w:t>
      </w:r>
      <w:r>
        <w:rPr>
          <w:rFonts w:ascii="Times New Roman" w:eastAsia="Times New Roman" w:hAnsi="Times New Roman" w:cs="Times New Roman"/>
          <w:color w:val="000000"/>
          <w:spacing w:val="0"/>
          <w:w w:val="100"/>
          <w:position w:val="0"/>
          <w:shd w:val="clear" w:color="auto" w:fill="auto"/>
          <w:lang w:val="en-US" w:eastAsia="en-US" w:bidi="en-US"/>
        </w:rPr>
        <w:t xml:space="preserve">Origen </w:t>
      </w:r>
      <w:r>
        <w:rPr>
          <w:rFonts w:ascii="Times New Roman" w:eastAsia="Times New Roman" w:hAnsi="Times New Roman" w:cs="Times New Roman"/>
          <w:color w:val="000000"/>
          <w:spacing w:val="0"/>
          <w:w w:val="100"/>
          <w:position w:val="0"/>
          <w:shd w:val="clear" w:color="auto" w:fill="auto"/>
          <w:lang w:val="hr-HR" w:eastAsia="hr-HR" w:bidi="hr-HR"/>
        </w:rPr>
        <w:t>je razvio teoriju da izlaganje doslovnog smisla mora dovesti do moralnog i konačno do du</w:t>
        <w:softHyphen/>
        <w:t xml:space="preserve">hovnog smisla.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je u priključku na 2 Kor 3 razlikovao između doslovnog i duhov</w:t>
        <w:softHyphen/>
        <w:t>nog tumačenja. U srednjem vijeku ta je me</w:t>
        <w:softHyphen/>
        <w:t>toda bila raširena sve do četverostrukog smis</w:t>
        <w:softHyphen/>
        <w:t xml:space="preserve">la Pisma.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jc kao »središte Pisma« na</w:t>
        <w:softHyphen/>
        <w:t>glašavao evanđelje Isusa Krista. Polazeći od te osnove mora se shvaćati sve ostalo. Nejasna mjesta u Pismu dadu se dobro shvatiti po nje</w:t>
        <w:softHyphen/>
        <w:t>govim jasnim mjestima.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natuknica: Bibcl, u: </w:t>
      </w:r>
      <w:r>
        <w:rPr>
          <w:i/>
          <w:iCs/>
          <w:color w:val="000000"/>
          <w:spacing w:val="0"/>
          <w:w w:val="100"/>
          <w:position w:val="0"/>
          <w:shd w:val="clear" w:color="auto" w:fill="auto"/>
        </w:rPr>
        <w:t xml:space="preserve">Theologische Realenzyklopddie </w:t>
      </w:r>
      <w:r>
        <w:rPr>
          <w:color w:val="000000"/>
          <w:spacing w:val="0"/>
          <w:w w:val="100"/>
          <w:position w:val="0"/>
          <w:shd w:val="clear" w:color="auto" w:fill="auto"/>
          <w:lang w:val="hr-HR" w:eastAsia="hr-HR" w:bidi="hr-HR"/>
        </w:rPr>
        <w:t xml:space="preserve">(TRE) </w:t>
      </w:r>
      <w:r>
        <w:rPr>
          <w:color w:val="000000"/>
          <w:spacing w:val="0"/>
          <w:w w:val="100"/>
          <w:position w:val="0"/>
          <w:shd w:val="clear" w:color="auto" w:fill="auto"/>
        </w:rPr>
        <w:t xml:space="preserve">von </w:t>
      </w:r>
      <w:r>
        <w:rPr>
          <w:color w:val="000000"/>
          <w:spacing w:val="0"/>
          <w:w w:val="100"/>
          <w:position w:val="0"/>
          <w:shd w:val="clear" w:color="auto" w:fill="auto"/>
          <w:lang w:val="hr-HR" w:eastAsia="hr-HR" w:bidi="hr-HR"/>
        </w:rPr>
        <w:t xml:space="preserve">G. Wankc/E. PliimachcrAV. Schnccmclcher/ll. Karpp, Bd. VI, Licfcrung </w:t>
      </w:r>
      <w:r>
        <w:rPr>
          <w:i/>
          <w:iCs/>
          <w:color w:val="000000"/>
          <w:spacing w:val="0"/>
          <w:w w:val="100"/>
          <w:position w:val="0"/>
          <w:shd w:val="clear" w:color="auto" w:fill="auto"/>
          <w:lang w:val="hr-HR" w:eastAsia="hr-HR" w:bidi="hr-HR"/>
        </w:rPr>
        <w:t>\!2\</w:t>
      </w:r>
      <w:r>
        <w:rPr>
          <w:color w:val="000000"/>
          <w:spacing w:val="0"/>
          <w:w w:val="100"/>
          <w:position w:val="0"/>
          <w:shd w:val="clear" w:color="auto" w:fill="auto"/>
          <w:lang w:val="hr-HR" w:eastAsia="hr-HR" w:bidi="hr-HR"/>
        </w:rPr>
        <w:t xml:space="preserve"> H. Karpp, </w:t>
      </w:r>
      <w:r>
        <w:rPr>
          <w:i/>
          <w:iCs/>
          <w:color w:val="000000"/>
          <w:spacing w:val="0"/>
          <w:w w:val="100"/>
          <w:position w:val="0"/>
          <w:shd w:val="clear" w:color="auto" w:fill="auto"/>
          <w:lang w:val="hr-HR" w:eastAsia="hr-HR" w:bidi="hr-HR"/>
        </w:rPr>
        <w:t>Vom Umgangder Kirche mit der Heiligcn Schrift,</w:t>
      </w:r>
      <w:r>
        <w:rPr>
          <w:color w:val="000000"/>
          <w:spacing w:val="0"/>
          <w:w w:val="100"/>
          <w:position w:val="0"/>
          <w:shd w:val="clear" w:color="auto" w:fill="auto"/>
          <w:lang w:val="hr-HR" w:eastAsia="hr-HR" w:bidi="hr-HR"/>
        </w:rPr>
        <w:t xml:space="preserve"> KblnAVicn 1983; A. H. J. </w:t>
      </w:r>
      <w:r>
        <w:rPr>
          <w:color w:val="000000"/>
          <w:spacing w:val="0"/>
          <w:w w:val="100"/>
          <w:position w:val="0"/>
          <w:shd w:val="clear" w:color="auto" w:fill="auto"/>
        </w:rPr>
        <w:t xml:space="preserve">Gunncwcg, </w:t>
      </w:r>
      <w:r>
        <w:rPr>
          <w:i/>
          <w:iCs/>
          <w:color w:val="000000"/>
          <w:spacing w:val="0"/>
          <w:w w:val="100"/>
          <w:position w:val="0"/>
          <w:shd w:val="clear" w:color="auto" w:fill="auto"/>
        </w:rPr>
        <w:t>Vom Verstehen des Alien Testament,</w:t>
      </w:r>
      <w:r>
        <w:rPr>
          <w:color w:val="000000"/>
          <w:spacing w:val="0"/>
          <w:w w:val="100"/>
          <w:position w:val="0"/>
          <w:shd w:val="clear" w:color="auto" w:fill="auto"/>
        </w:rPr>
        <w:t xml:space="preserve"> Gottingen </w:t>
      </w:r>
      <w:r>
        <w:rPr>
          <w:color w:val="000000"/>
          <w:spacing w:val="0"/>
          <w:w w:val="100"/>
          <w:position w:val="0"/>
          <w:shd w:val="clear" w:color="auto" w:fill="auto"/>
          <w:lang w:val="hr-HR" w:eastAsia="hr-HR" w:bidi="hr-HR"/>
        </w:rPr>
        <w:t xml:space="preserve">1977; </w:t>
      </w:r>
      <w:r>
        <w:rPr>
          <w:color w:val="000000"/>
          <w:spacing w:val="0"/>
          <w:w w:val="100"/>
          <w:position w:val="0"/>
          <w:shd w:val="clear" w:color="auto" w:fill="auto"/>
        </w:rPr>
        <w:t xml:space="preserve">W. Marxscn, </w:t>
      </w:r>
      <w:r>
        <w:rPr>
          <w:i/>
          <w:iCs/>
          <w:color w:val="000000"/>
          <w:spacing w:val="0"/>
          <w:w w:val="100"/>
          <w:position w:val="0"/>
          <w:shd w:val="clear" w:color="auto" w:fill="auto"/>
        </w:rPr>
        <w:t xml:space="preserve">Das </w:t>
      </w:r>
      <w:r>
        <w:rPr>
          <w:i/>
          <w:iCs/>
          <w:color w:val="000000"/>
          <w:spacing w:val="0"/>
          <w:w w:val="100"/>
          <w:position w:val="0"/>
          <w:shd w:val="clear" w:color="auto" w:fill="auto"/>
          <w:lang w:val="hr-HR" w:eastAsia="hr-HR" w:bidi="hr-HR"/>
        </w:rPr>
        <w:t xml:space="preserve">Neue Testament als Buch derKirche, </w:t>
      </w:r>
      <w:r>
        <w:rPr>
          <w:color w:val="000000"/>
          <w:spacing w:val="0"/>
          <w:w w:val="100"/>
          <w:position w:val="0"/>
          <w:shd w:val="clear" w:color="auto" w:fill="auto"/>
        </w:rPr>
        <w:t xml:space="preserve">Gutersloh </w:t>
      </w:r>
      <w:r>
        <w:rPr>
          <w:color w:val="000000"/>
          <w:spacing w:val="0"/>
          <w:w w:val="100"/>
          <w:position w:val="0"/>
          <w:shd w:val="clear" w:color="auto" w:fill="auto"/>
          <w:lang w:val="hr-HR" w:eastAsia="hr-HR" w:bidi="hr-HR"/>
        </w:rPr>
        <w:t xml:space="preserve">1966; F. </w:t>
      </w:r>
      <w:r>
        <w:rPr>
          <w:color w:val="000000"/>
          <w:spacing w:val="0"/>
          <w:w w:val="100"/>
          <w:position w:val="0"/>
          <w:shd w:val="clear" w:color="auto" w:fill="auto"/>
        </w:rPr>
        <w:t xml:space="preserve">Stolz, </w:t>
      </w:r>
      <w:r>
        <w:rPr>
          <w:i/>
          <w:iCs/>
          <w:color w:val="000000"/>
          <w:spacing w:val="0"/>
          <w:w w:val="100"/>
          <w:position w:val="0"/>
          <w:shd w:val="clear" w:color="auto" w:fill="auto"/>
        </w:rPr>
        <w:t>Christentum,</w:t>
      </w:r>
      <w:r>
        <w:rPr>
          <w:color w:val="000000"/>
          <w:spacing w:val="0"/>
          <w:w w:val="100"/>
          <w:position w:val="0"/>
          <w:shd w:val="clear" w:color="auto" w:fill="auto"/>
        </w:rPr>
        <w:t xml:space="preserve"> Gottingen </w:t>
      </w:r>
      <w:r>
        <w:rPr>
          <w:color w:val="000000"/>
          <w:spacing w:val="0"/>
          <w:w w:val="100"/>
          <w:position w:val="0"/>
          <w:shd w:val="clear" w:color="auto" w:fill="auto"/>
          <w:lang w:val="hr-HR" w:eastAsia="hr-HR" w:bidi="hr-HR"/>
        </w:rPr>
        <w:t>1985.</w:t>
      </w:r>
    </w:p>
    <w:p>
      <w:pPr>
        <w:pStyle w:val="Style74"/>
        <w:keepNext w:val="0"/>
        <w:keepLines w:val="0"/>
        <w:widowControl w:val="0"/>
        <w:shd w:val="clear" w:color="auto" w:fill="auto"/>
        <w:bidi w:val="0"/>
        <w:spacing w:before="0" w:after="0" w:line="408"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TWOKUSCHKA</w:t>
      </w:r>
    </w:p>
    <w:p>
      <w:pPr>
        <w:pStyle w:val="Style63"/>
        <w:keepNext/>
        <w:keepLines/>
        <w:widowControl w:val="0"/>
        <w:numPr>
          <w:ilvl w:val="0"/>
          <w:numId w:val="559"/>
        </w:numPr>
        <w:shd w:val="clear" w:color="auto" w:fill="auto"/>
        <w:tabs>
          <w:tab w:pos="265" w:val="left"/>
        </w:tabs>
        <w:bidi w:val="0"/>
        <w:spacing w:before="0" w:after="0" w:line="408" w:lineRule="auto"/>
        <w:ind w:left="0" w:right="0" w:firstLine="0"/>
        <w:jc w:val="both"/>
      </w:pPr>
      <w:bookmarkStart w:id="357" w:name="bookmark357"/>
      <w:r>
        <w:rPr>
          <w:rFonts w:ascii="Times New Roman" w:eastAsia="Times New Roman" w:hAnsi="Times New Roman" w:cs="Times New Roman"/>
          <w:color w:val="000000"/>
          <w:spacing w:val="0"/>
          <w:w w:val="100"/>
          <w:position w:val="0"/>
          <w:shd w:val="clear" w:color="auto" w:fill="auto"/>
          <w:lang w:val="hr-HR" w:eastAsia="hr-HR" w:bidi="hr-HR"/>
        </w:rPr>
        <w:t>islamski</w:t>
      </w:r>
      <w:bookmarkEnd w:id="357"/>
    </w:p>
    <w:p>
      <w:pPr>
        <w:pStyle w:val="Style20"/>
        <w:keepNext w:val="0"/>
        <w:keepLines w:val="0"/>
        <w:widowControl w:val="0"/>
        <w:shd w:val="clear" w:color="auto" w:fill="auto"/>
        <w:bidi w:val="0"/>
        <w:spacing w:before="0" w:after="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p. je predmet četvrtoga članka islamske vje</w:t>
        <w:softHyphen/>
        <w:t>roispovijesti. U islamskome shvaćanju vjere on je, sukladno tomu, božanska poruka jed</w:t>
        <w:softHyphen/>
        <w:t>nako kao i Kuran. To objašnjava zanimanje Kurana za Biblijom. Rani razvoj islamsko-krš- ćanskih kulturnih razvoja samo jc još više po</w:t>
        <w:softHyphen/>
        <w:t>većao to zanimanje. Činjenica da postoji više verzija Biblije potiče muslimane na sumnju u autentičnost Svetoga pisma. Ono je za njih obvezatno samo ukoliko se slaže s kuranskim iskazima. Unatoč tomu, ono je često koriš</w:t>
        <w:softHyphen/>
        <w:t>teno i navođeno kao izvor teoloških spoznaja.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Muhameda al-Gazalija (u. 1111) susreće</w:t>
        <w:softHyphen/>
        <w:t>mo S. p. u obliku različitih navoda iz apo</w:t>
        <w:softHyphen/>
        <w:t>krifne literature. Nasuprot njemu, Sveto su pismo sasvim dosljedno navodili At-Tabari (u. 923), al-Masudi (u. 956), al-Biruni (u. 1048) i Suhravardi (u. 1191). U njihovim se djelima nalaze čitava poglavlja iz Biblije. Tako su u is</w:t>
        <w:softHyphen/>
        <w:t>lamsku teološku literaturu ušli, između osta</w:t>
        <w:softHyphen/>
        <w:t>lih, sljedeći biblijski motivi: pripovijest o apos</w:t>
        <w:softHyphen/>
        <w:t>tolskom pozvanju, Josipove genealogije, mnoge novozavjetne legende koje su djelomice pro</w:t>
        <w:softHyphen/>
        <w:t>drle u »priče o prorocima« (Oisas al-anbiya), što su omiljene na cijelome Istoku, itd. U mis</w:t>
        <w:softHyphen/>
        <w:t xml:space="preserve">tičkim spisima i literaturi </w:t>
      </w:r>
      <w:r>
        <w:rPr>
          <w:rFonts w:ascii="Times New Roman" w:eastAsia="Times New Roman" w:hAnsi="Times New Roman" w:cs="Times New Roman"/>
          <w:color w:val="000000"/>
          <w:spacing w:val="0"/>
          <w:w w:val="100"/>
          <w:position w:val="0"/>
          <w:shd w:val="clear" w:color="auto" w:fill="auto"/>
          <w:lang w:val="en-US" w:eastAsia="en-US" w:bidi="en-US"/>
        </w:rPr>
        <w:t xml:space="preserve">ikhwSn </w:t>
      </w:r>
      <w:r>
        <w:rPr>
          <w:rFonts w:ascii="Times New Roman" w:eastAsia="Times New Roman" w:hAnsi="Times New Roman" w:cs="Times New Roman"/>
          <w:color w:val="000000"/>
          <w:spacing w:val="0"/>
          <w:w w:val="100"/>
          <w:position w:val="0"/>
          <w:shd w:val="clear" w:color="auto" w:fill="auto"/>
          <w:lang w:val="hr-HR" w:eastAsia="hr-HR" w:bidi="hr-HR"/>
        </w:rPr>
        <w:t>as-safa, jedne filozofsko-vjerske škole s političkom pozadi</w:t>
        <w:softHyphen/>
        <w:t xml:space="preserve">nom </w:t>
      </w:r>
      <w:r>
        <w:rPr>
          <w:rFonts w:ascii="Times New Roman" w:eastAsia="Times New Roman" w:hAnsi="Times New Roman" w:cs="Times New Roman"/>
          <w:color w:val="000000"/>
          <w:spacing w:val="0"/>
          <w:w w:val="100"/>
          <w:position w:val="0"/>
          <w:shd w:val="clear" w:color="auto" w:fill="auto"/>
          <w:lang w:val="en-US" w:eastAsia="en-US" w:bidi="en-US"/>
        </w:rPr>
        <w:t xml:space="preserve">(IX.-X. </w:t>
      </w:r>
      <w:r>
        <w:rPr>
          <w:rFonts w:ascii="Times New Roman" w:eastAsia="Times New Roman" w:hAnsi="Times New Roman" w:cs="Times New Roman"/>
          <w:color w:val="000000"/>
          <w:spacing w:val="0"/>
          <w:w w:val="100"/>
          <w:position w:val="0"/>
          <w:shd w:val="clear" w:color="auto" w:fill="auto"/>
          <w:lang w:val="hr-HR" w:eastAsia="hr-HR" w:bidi="hr-HR"/>
        </w:rPr>
        <w:t>stoljeće), često se susreću aluzije na Bibliju. Za XVII. stoljeće je potvrđeno po</w:t>
        <w:softHyphen/>
        <w:t>stojanje jedne sinkretičke zajednice u Turskoj koja jc štovala i Kuran i Bibliju.</w:t>
      </w:r>
    </w:p>
    <w:p>
      <w:pPr>
        <w:pStyle w:val="Style20"/>
        <w:keepNext w:val="0"/>
        <w:keepLines w:val="0"/>
        <w:widowControl w:val="0"/>
        <w:shd w:val="clear" w:color="auto" w:fill="auto"/>
        <w:tabs>
          <w:tab w:pos="2578" w:val="left"/>
        </w:tabs>
        <w:bidi w:val="0"/>
        <w:spacing w:before="0" w:after="280"/>
        <w:ind w:left="0" w:right="0" w:firstLine="0"/>
        <w:jc w:val="both"/>
        <w:rPr>
          <w:sz w:val="10"/>
          <w:szCs w:val="10"/>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Polazište islamske kritike Biblije jest pretpo</w:t>
        <w:softHyphen/>
        <w:t>stavka da su izvorni biblijski tekstovi izgublje</w:t>
        <w:softHyphen/>
        <w:t>ni još mnogo prije pojave Muhameda i da su mnoge riječi u svetim knjigama bile proizvolj</w:t>
        <w:softHyphen/>
        <w:t>no mijenjane. Tipičan predstavnik te kritike jest Ibn Tamiija (u. 1328) koji je kritici Biblije posvetio četiri svoja djela. Dakako da je nje</w:t>
        <w:softHyphen/>
        <w:t>govu radu nedostajao dublji uvid u historijske sveze. Taj je rad bio lišen i smisla za egzaktno istraživanje izvora. U tom su specijalnom području istraživanja suvremene metode po</w:t>
        <w:softHyphen/>
        <w:t>čele biti primjenjivane tek nakon istraživanja Džemala ad-Dina al-Afganija i Muhameda Abduha (XIX. stoljeće). Tako jc nedavno do</w:t>
        <w:softHyphen/>
        <w:t xml:space="preserve">cent na Bogoslovnom fakultetu u Ankari, Hik- met </w:t>
      </w:r>
      <w:r>
        <w:rPr>
          <w:rFonts w:ascii="Times New Roman" w:eastAsia="Times New Roman" w:hAnsi="Times New Roman" w:cs="Times New Roman"/>
          <w:color w:val="000000"/>
          <w:spacing w:val="0"/>
          <w:w w:val="100"/>
          <w:position w:val="0"/>
          <w:sz w:val="15"/>
          <w:szCs w:val="15"/>
          <w:shd w:val="clear" w:color="auto" w:fill="auto"/>
          <w:lang w:val="en-US" w:eastAsia="en-US" w:bidi="en-US"/>
        </w:rPr>
        <w:t xml:space="preserve">Tanyu, </w:t>
      </w:r>
      <w:r>
        <w:rPr>
          <w:rFonts w:ascii="Times New Roman" w:eastAsia="Times New Roman" w:hAnsi="Times New Roman" w:cs="Times New Roman"/>
          <w:color w:val="000000"/>
          <w:spacing w:val="0"/>
          <w:w w:val="100"/>
          <w:position w:val="0"/>
          <w:sz w:val="15"/>
          <w:szCs w:val="15"/>
          <w:shd w:val="clear" w:color="auto" w:fill="auto"/>
          <w:lang w:val="hr-HR" w:eastAsia="hr-HR" w:bidi="hr-HR"/>
        </w:rPr>
        <w:t>pokušao starozavjetnu Bibliju pod</w:t>
        <w:softHyphen/>
        <w:t>vrgnuti kritici pomoću čisto znanstvenih me</w:t>
        <w:softHyphen/>
        <w:t>toda.</w:t>
        <w:tab/>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S I1AI.IĆ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SVJEDOČANSTVO</w:t>
      </w:r>
    </w:p>
    <w:p>
      <w:pPr>
        <w:pStyle w:val="Style63"/>
        <w:keepNext/>
        <w:keepLines/>
        <w:widowControl w:val="0"/>
        <w:numPr>
          <w:ilvl w:val="0"/>
          <w:numId w:val="563"/>
        </w:numPr>
        <w:shd w:val="clear" w:color="auto" w:fill="auto"/>
        <w:tabs>
          <w:tab w:pos="246" w:val="left"/>
        </w:tabs>
        <w:bidi w:val="0"/>
        <w:spacing w:before="0"/>
        <w:ind w:left="0" w:right="0" w:firstLine="0"/>
        <w:jc w:val="both"/>
      </w:pPr>
      <w:bookmarkStart w:id="358" w:name="bookmark358"/>
      <w:r>
        <w:rPr>
          <w:rFonts w:ascii="Times New Roman" w:eastAsia="Times New Roman" w:hAnsi="Times New Roman" w:cs="Times New Roman"/>
          <w:color w:val="000000"/>
          <w:spacing w:val="0"/>
          <w:w w:val="100"/>
          <w:position w:val="0"/>
          <w:shd w:val="clear" w:color="auto" w:fill="auto"/>
          <w:lang w:val="hr-HR" w:eastAsia="hr-HR" w:bidi="hr-HR"/>
        </w:rPr>
        <w:t>židovski</w:t>
      </w:r>
      <w:bookmarkEnd w:id="358"/>
    </w:p>
    <w:p>
      <w:pPr>
        <w:pStyle w:val="Style20"/>
        <w:keepNext w:val="0"/>
        <w:keepLines w:val="0"/>
        <w:widowControl w:val="0"/>
        <w:numPr>
          <w:ilvl w:val="0"/>
          <w:numId w:val="56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»Na iskazu dvojice svjedoka.«</w:t>
      </w:r>
      <w:r>
        <w:rPr>
          <w:rFonts w:ascii="Times New Roman" w:eastAsia="Times New Roman" w:hAnsi="Times New Roman" w:cs="Times New Roman"/>
          <w:color w:val="000000"/>
          <w:spacing w:val="0"/>
          <w:w w:val="100"/>
          <w:position w:val="0"/>
          <w:shd w:val="clear" w:color="auto" w:fill="auto"/>
          <w:lang w:val="hr-HR" w:eastAsia="hr-HR" w:bidi="hr-HR"/>
        </w:rPr>
        <w:t xml:space="preserve"> Temeljno shvaćanje riječi »svjedok« stvorilo je židovsko procesno pravo (M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I—III); ono dodjeljuje svjedocima značajno mjesto: »Neka ne ustaje jedan jedini svjedok protiv čovje</w:t>
        <w:softHyphen/>
        <w:t>ka..., neka presuda počiva na iskazu dvojice ili trojice svjedoka« (Pnz 19,15). Točna pravi</w:t>
        <w:softHyphen/>
        <w:t>la za izvođenje dokaza ograničavala su pod</w:t>
        <w:softHyphen/>
        <w:t xml:space="preserve">ručje donošenja sudskih odluka: iskazi dvaju svjedoka smatraju se relevantnim dokazom u </w:t>
      </w:r>
      <w:r>
        <w:rPr>
          <w:rFonts w:ascii="Times New Roman" w:eastAsia="Times New Roman" w:hAnsi="Times New Roman" w:cs="Times New Roman"/>
          <w:color w:val="000000"/>
          <w:spacing w:val="0"/>
          <w:w w:val="100"/>
          <w:position w:val="0"/>
          <w:shd w:val="clear" w:color="auto" w:fill="auto"/>
          <w:lang w:val="hr-HR" w:eastAsia="hr-HR" w:bidi="hr-HR"/>
        </w:rPr>
        <w:t>građanskopravnom i kaznenopravnom izlaga</w:t>
        <w:softHyphen/>
        <w:t>nju činjenica. Dok u građanskoj parnici dužnost svjedočenja ima onaj, koji iz te dužnos</w:t>
        <w:softHyphen/>
        <w:t xml:space="preserve">ti izvodi potraživanje (b Bava kama 46b), u kaznenom postupku ne smiju se uzeti u obzir ni priznanje, ni isprave, ni prisega, ni dokazi; tu je za presudu dovoljan samo iskaz svjedoka (Pnz 17,6). Stoga se postavljaju visoki zahtjevi na kvalitetu svjedoka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24b i d.;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71a). Od svjedoka se traži nepristranost, dobar glas, poštovanje vjerskih propisa, a iz</w:t>
        <w:softHyphen/>
        <w:t>među stranaka u postupku, tuženika i tuženih, ne smije biti rodbinskih veza. Svjedok se is</w:t>
        <w:softHyphen/>
        <w:t>ključuje ako je več jednom dao lažni iskaz (b Bava kama 72b). Prema rabinskom pravu, svjedoci ne mogu biti ni oni koji su prekršili rabinsku zabranu (Majmonid, Mišne Tora, Hilhot edut X,3). Svjedoci su dužni odazvati se na poziv radi iskaza pred sudom. U nekim okolnostima može se od njih zatražiti prisega u vezi s pitanjem jesu Ii uopće u stanju dati is</w:t>
        <w:softHyphen/>
        <w:t xml:space="preserve">kaz kao svjedoci (M Šavuot; Makot; Edujot; Majmonid, Mišne Tora, Hilhot edut, 1,1 i d.; Hilhot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VI,5; XXXIV,3; Šulhan aruh, Hošcn ha-mišpat 28-38).</w:t>
      </w:r>
    </w:p>
    <w:p>
      <w:pPr>
        <w:pStyle w:val="Style20"/>
        <w:keepNext w:val="0"/>
        <w:keepLines w:val="0"/>
        <w:widowControl w:val="0"/>
        <w:numPr>
          <w:ilvl w:val="0"/>
          <w:numId w:val="565"/>
        </w:numPr>
        <w:shd w:val="clear" w:color="auto" w:fill="auto"/>
        <w:tabs>
          <w:tab w:pos="27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»Jer vi ste mi svjedoci.«</w:t>
      </w:r>
      <w:r>
        <w:rPr>
          <w:rFonts w:ascii="Times New Roman" w:eastAsia="Times New Roman" w:hAnsi="Times New Roman" w:cs="Times New Roman"/>
          <w:color w:val="000000"/>
          <w:spacing w:val="0"/>
          <w:w w:val="100"/>
          <w:position w:val="0"/>
          <w:shd w:val="clear" w:color="auto" w:fill="auto"/>
          <w:lang w:val="hr-HR" w:eastAsia="hr-HR" w:bidi="hr-HR"/>
        </w:rPr>
        <w:t xml:space="preserve"> Drugo glavno zna</w:t>
        <w:softHyphen/>
        <w:t>čenje riječi »svjedok« odnosi se na slugu Iz</w:t>
        <w:softHyphen/>
        <w:t>raela (Iz 43,10), Božjeg izabranika, koji iz</w:t>
        <w:softHyphen/>
        <w:t>vršenjem Božje volje u svojem životu svim narodima objavljuje Boga i priprema nacije na priznavanje Božje vlasti u svijetu: »Vi ste mi svjedoci - riječ je NJEGOVA - a ja sam Bog!« (43,12). U jednom starom midrašu kaže se s tim u vezi: »Ako ste vi moji svjedoci, ja sam Bog, a ako niste moji svjedoci, nisam Bog« (Pesikta de rav Kahana 102b). Bog će se prepoznati po svojim ljudskim svjedocima. Oni su odgovorni za to hoće li njihovi pos</w:t>
        <w:softHyphen/>
        <w:t xml:space="preserve">tupci pri svjedočenju narode približiti Bogu ili udaljiti Boga od svijeta i svijet od Boga (usp.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 tom smislu svaki Židov tre</w:t>
        <w:softHyphen/>
        <w:t xml:space="preserve">ba živjeti tako da »svjedoči« (Semot raba </w:t>
      </w:r>
      <w:r>
        <w:rPr>
          <w:rFonts w:ascii="Times New Roman" w:eastAsia="Times New Roman" w:hAnsi="Times New Roman" w:cs="Times New Roman"/>
          <w:color w:val="000000"/>
          <w:spacing w:val="0"/>
          <w:w w:val="100"/>
          <w:position w:val="0"/>
          <w:shd w:val="clear" w:color="auto" w:fill="auto"/>
          <w:lang w:val="en-US" w:eastAsia="en-US" w:bidi="en-US"/>
        </w:rPr>
        <w:t xml:space="preserve">XLI31.1 </w:t>
      </w:r>
      <w:r>
        <w:rPr>
          <w:rFonts w:ascii="Times New Roman" w:eastAsia="Times New Roman" w:hAnsi="Times New Roman" w:cs="Times New Roman"/>
          <w:color w:val="000000"/>
          <w:spacing w:val="0"/>
          <w:w w:val="100"/>
          <w:position w:val="0"/>
          <w:shd w:val="clear" w:color="auto" w:fill="auto"/>
          <w:lang w:val="hr-HR" w:eastAsia="hr-HR" w:bidi="hr-HR"/>
        </w:rPr>
        <w:t>i d.) poslušnim načinom života i neži- dove vodi k spoznaji i priznanju Abrahamova Boga. On svojim načinom života treba oba</w:t>
        <w:softHyphen/>
        <w:t>vještavati o Božjoj stvarnosti i snazi, koja čo</w:t>
        <w:softHyphen/>
        <w:t>vjeka »posvećuje« i odgaja da bude pripad</w:t>
        <w:softHyphen/>
        <w:t>nikom »svetoga naroda«; to mu je obvezno svjedočenje (usp. Mchilta Izl 15,2). Izrael i svaki pojedinac koji mu pripada dužan je biti u jedinoj službi jednoga jedinog Boga kao nje</w:t>
        <w:softHyphen/>
        <w:t xml:space="preserve">gov živi svjedok iz naraštaja u naraštaj. Jedno </w:t>
      </w:r>
      <w:r>
        <w:rPr>
          <w:rFonts w:ascii="Times New Roman" w:eastAsia="Times New Roman" w:hAnsi="Times New Roman" w:cs="Times New Roman"/>
          <w:color w:val="000000"/>
          <w:spacing w:val="0"/>
          <w:w w:val="100"/>
          <w:position w:val="0"/>
          <w:shd w:val="clear" w:color="auto" w:fill="auto"/>
          <w:lang w:val="hr-HR" w:eastAsia="hr-HR" w:bidi="hr-HR"/>
        </w:rPr>
        <w:t xml:space="preserve">i drugo hebrejsko slovo, na koje završava prva i posljednja riječ u </w:t>
      </w:r>
      <w:r>
        <w:rPr>
          <w:rFonts w:ascii="Times New Roman" w:eastAsia="Times New Roman" w:hAnsi="Times New Roman" w:cs="Times New Roman"/>
          <w:i/>
          <w:iCs/>
          <w:color w:val="000000"/>
          <w:spacing w:val="0"/>
          <w:w w:val="100"/>
          <w:position w:val="0"/>
          <w:shd w:val="clear" w:color="auto" w:fill="auto"/>
          <w:lang w:val="hr-HR" w:eastAsia="hr-HR" w:bidi="hr-HR"/>
        </w:rPr>
        <w:t>Šema Jisrael</w:t>
      </w:r>
      <w:r>
        <w:rPr>
          <w:rFonts w:ascii="Times New Roman" w:eastAsia="Times New Roman" w:hAnsi="Times New Roman" w:cs="Times New Roman"/>
          <w:color w:val="000000"/>
          <w:spacing w:val="0"/>
          <w:w w:val="100"/>
          <w:position w:val="0"/>
          <w:shd w:val="clear" w:color="auto" w:fill="auto"/>
          <w:lang w:val="hr-HR" w:eastAsia="hr-HR" w:bidi="hr-HR"/>
        </w:rPr>
        <w:t xml:space="preserve"> (Pnz 6,4), čine zajedno riječ »svjedok«; na taj način svako</w:t>
        <w:softHyphen/>
        <w:t>dnevno dvaput izgovoreno »Čuj, Izraele: ON, naš Bog, ON Jedini!« upozorava židovski na</w:t>
        <w:softHyphen/>
        <w:t>rod na njegovo poslanje da svom čovječanstvu bude svjedokom o jedinome Bogu. No Izrae- lovi svjedoci nisu usmjereni samo na narode svijeta. U prvo spomenutoj rečenici iz biblij</w:t>
        <w:softHyphen/>
        <w:t>skoga konteksta »Jer vi ste mi svjedoci« (Iz 43,10) mudraci nisu vidjeli nalog Izraelu da bude svjedokom pred svijetom, već odgovor na pitanje tko svjedoči pred Bogom o skri</w:t>
        <w:softHyphen/>
        <w:t>venim grijesima čovjeka ako se, možda, netko izvuče iz nevolje i boli zajednice; na tome mjes</w:t>
        <w:softHyphen/>
        <w:t>tu u Bibliji rabini su otkrili pouku (b Taanit 11a; usp. Hagiga 16a, ali ipak povezano s Iz 43,12): sam čovjek svojim životom i bićem svjedoči o sebi! Rabini su ovo svjedočenje protumačili kao znak Saveza Boga i njegova naroda.</w:t>
      </w:r>
    </w:p>
    <w:p>
      <w:pPr>
        <w:pStyle w:val="Style20"/>
        <w:keepNext w:val="0"/>
        <w:keepLines w:val="0"/>
        <w:widowControl w:val="0"/>
        <w:numPr>
          <w:ilvl w:val="0"/>
          <w:numId w:val="565"/>
        </w:numPr>
        <w:shd w:val="clear" w:color="auto" w:fill="auto"/>
        <w:tabs>
          <w:tab w:pos="26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»Blaženi oni koji čuvaju svjedočanstva nje</w:t>
        <w:softHyphen/>
        <w:t>gova.«</w:t>
      </w:r>
      <w:r>
        <w:rPr>
          <w:rFonts w:ascii="Times New Roman" w:eastAsia="Times New Roman" w:hAnsi="Times New Roman" w:cs="Times New Roman"/>
          <w:color w:val="000000"/>
          <w:spacing w:val="0"/>
          <w:w w:val="100"/>
          <w:position w:val="0"/>
          <w:shd w:val="clear" w:color="auto" w:fill="auto"/>
          <w:lang w:val="hr-HR" w:eastAsia="hr-HR" w:bidi="hr-HR"/>
        </w:rPr>
        <w:t xml:space="preserve"> Izraclovo iskustvo svjedočenja poveza</w:t>
        <w:softHyphen/>
        <w:t>no je s institucijama što ih je utemeljio Bog: one ograđuju i štite židovsku egzistenciju tako što kontinuirano svjedoče o Božjoj volji i vlas</w:t>
        <w:softHyphen/>
        <w:t>ti, npr. Sabatom i blagdanima u vezi sa zna</w:t>
        <w:softHyphen/>
        <w:t>čenjem Stvoriteljeva djelovanja na sve stvo</w:t>
        <w:softHyphen/>
        <w:t>reno, s pomoći Spasitelja i davatelja Tore Iz</w:t>
        <w:softHyphen/>
        <w:t>raelu, s obrezivanjem i resama na skutovima, koji Židove svakodnevno podsjećaju na to tko im je Bog i tko im hoće biti Bog i što oni imaju činiti za volju Njegovu: »Blaženi oni koji ču</w:t>
        <w:softHyphen/>
        <w:t>vaju svjedočanstva njegova« (Ps 119,2.22 i d.; usp. Pnz 4,45; 6,17.20).</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L. 0awk, </w:t>
      </w:r>
      <w:r>
        <w:rPr>
          <w:i/>
          <w:iCs/>
          <w:color w:val="000000"/>
          <w:spacing w:val="0"/>
          <w:w w:val="100"/>
          <w:position w:val="0"/>
          <w:shd w:val="clear" w:color="auto" w:fill="auto"/>
          <w:lang w:val="hr-HR" w:eastAsia="hr-HR" w:bidi="hr-HR"/>
        </w:rPr>
        <w:t>Das tfesen des Judenlumi,</w:t>
      </w:r>
      <w:r>
        <w:rPr>
          <w:color w:val="000000"/>
          <w:spacing w:val="0"/>
          <w:w w:val="100"/>
          <w:position w:val="0"/>
          <w:shd w:val="clear" w:color="auto" w:fill="auto"/>
          <w:lang w:val="hr-HR" w:eastAsia="hr-HR" w:bidi="hr-HR"/>
        </w:rPr>
        <w:t xml:space="preserve"> 1905, </w:t>
      </w:r>
      <w:r>
        <w:rPr>
          <w:color w:val="000000"/>
          <w:spacing w:val="0"/>
          <w:w w:val="100"/>
          <w:position w:val="0"/>
          <w:shd w:val="clear" w:color="auto" w:fill="auto"/>
          <w:vertAlign w:val="superscript"/>
          <w:lang w:val="hr-HR" w:eastAsia="hr-HR" w:bidi="hr-HR"/>
        </w:rPr>
        <w:t>ft</w:t>
      </w:r>
      <w:r>
        <w:rPr>
          <w:color w:val="000000"/>
          <w:spacing w:val="0"/>
          <w:w w:val="100"/>
          <w:position w:val="0"/>
          <w:shd w:val="clear" w:color="auto" w:fill="auto"/>
          <w:lang w:val="hr-HR" w:eastAsia="hr-HR" w:bidi="hr-HR"/>
        </w:rPr>
        <w:t xml:space="preserve">I966, 51, 92, 190, 243, 303 i d.; F. </w:t>
      </w:r>
      <w:r>
        <w:rPr>
          <w:color w:val="000000"/>
          <w:spacing w:val="0"/>
          <w:w w:val="100"/>
          <w:position w:val="0"/>
          <w:shd w:val="clear" w:color="auto" w:fill="auto"/>
        </w:rPr>
        <w:t xml:space="preserve">Roscnzwcig,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Stern </w:t>
      </w:r>
      <w:r>
        <w:rPr>
          <w:i/>
          <w:iCs/>
          <w:color w:val="000000"/>
          <w:spacing w:val="0"/>
          <w:w w:val="100"/>
          <w:position w:val="0"/>
          <w:shd w:val="clear" w:color="auto" w:fill="auto"/>
          <w:lang w:val="hr-HR" w:eastAsia="hr-HR" w:bidi="hr-HR"/>
        </w:rPr>
        <w:t>der Erlos- ung,</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(!92l) 1976, 379 i d.; E. </w:t>
      </w:r>
      <w:r>
        <w:rPr>
          <w:color w:val="000000"/>
          <w:spacing w:val="0"/>
          <w:w w:val="100"/>
          <w:position w:val="0"/>
          <w:shd w:val="clear" w:color="auto" w:fill="auto"/>
        </w:rPr>
        <w:t xml:space="preserve">Simon, </w:t>
      </w:r>
      <w:r>
        <w:rPr>
          <w:color w:val="000000"/>
          <w:spacing w:val="0"/>
          <w:w w:val="100"/>
          <w:position w:val="0"/>
          <w:shd w:val="clear" w:color="auto" w:fill="auto"/>
          <w:lang w:val="hr-HR" w:eastAsia="hr-HR" w:bidi="hr-HR"/>
        </w:rPr>
        <w:t xml:space="preserve">Das Zcugnis des Ju- dentums, u: </w:t>
      </w:r>
      <w:r>
        <w:rPr>
          <w:i/>
          <w:iCs/>
          <w:color w:val="000000"/>
          <w:spacing w:val="0"/>
          <w:w w:val="100"/>
          <w:position w:val="0"/>
          <w:shd w:val="clear" w:color="auto" w:fill="auto"/>
          <w:lang w:val="hr-HR" w:eastAsia="hr-HR" w:bidi="hr-HR"/>
        </w:rPr>
        <w:t>Entscheidung zum Juđentum,</w:t>
      </w:r>
      <w:r>
        <w:rPr>
          <w:color w:val="000000"/>
          <w:spacing w:val="0"/>
          <w:w w:val="100"/>
          <w:position w:val="0"/>
          <w:shd w:val="clear" w:color="auto" w:fill="auto"/>
          <w:lang w:val="hr-HR" w:eastAsia="hr-HR" w:bidi="hr-HR"/>
        </w:rPr>
        <w:t xml:space="preserve"> 1980, 100-121.</w:t>
      </w:r>
    </w:p>
    <w:p>
      <w:pPr>
        <w:pStyle w:val="Style74"/>
        <w:keepNext w:val="0"/>
        <w:keepLines w:val="0"/>
        <w:widowControl w:val="0"/>
        <w:shd w:val="clear" w:color="auto" w:fill="auto"/>
        <w:bidi w:val="0"/>
        <w:spacing w:before="0" w:after="6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D. VTTTER</w:t>
      </w:r>
    </w:p>
    <w:p>
      <w:pPr>
        <w:pStyle w:val="Style63"/>
        <w:keepNext/>
        <w:keepLines/>
        <w:widowControl w:val="0"/>
        <w:numPr>
          <w:ilvl w:val="0"/>
          <w:numId w:val="563"/>
        </w:numPr>
        <w:shd w:val="clear" w:color="auto" w:fill="auto"/>
        <w:tabs>
          <w:tab w:pos="260" w:val="left"/>
        </w:tabs>
        <w:bidi w:val="0"/>
        <w:spacing w:before="0"/>
        <w:ind w:left="0" w:right="0" w:firstLine="0"/>
        <w:jc w:val="both"/>
      </w:pPr>
      <w:bookmarkStart w:id="359" w:name="bookmark359"/>
      <w:r>
        <w:rPr>
          <w:rFonts w:ascii="Times New Roman" w:eastAsia="Times New Roman" w:hAnsi="Times New Roman" w:cs="Times New Roman"/>
          <w:color w:val="000000"/>
          <w:spacing w:val="0"/>
          <w:w w:val="100"/>
          <w:position w:val="0"/>
          <w:shd w:val="clear" w:color="auto" w:fill="auto"/>
          <w:lang w:val="hr-HR" w:eastAsia="hr-HR" w:bidi="hr-HR"/>
        </w:rPr>
        <w:t>kršćanstvo</w:t>
      </w:r>
      <w:bookmarkEnd w:id="359"/>
    </w:p>
    <w:p>
      <w:pPr>
        <w:pStyle w:val="Style20"/>
        <w:keepNext w:val="0"/>
        <w:keepLines w:val="0"/>
        <w:widowControl w:val="0"/>
        <w:shd w:val="clear" w:color="auto" w:fill="auto"/>
        <w:bidi w:val="0"/>
        <w:spacing w:before="0" w:after="0" w:line="240" w:lineRule="auto"/>
        <w:ind w:left="0" w:right="0" w:firstLine="0"/>
        <w:jc w:val="both"/>
        <w:sectPr>
          <w:headerReference w:type="default" r:id="rId1451"/>
          <w:footerReference w:type="default" r:id="rId1452"/>
          <w:headerReference w:type="even" r:id="rId1453"/>
          <w:footerReference w:type="even" r:id="rId1454"/>
          <w:headerReference w:type="first" r:id="rId1455"/>
          <w:footerReference w:type="first" r:id="rId1456"/>
          <w:footnotePr>
            <w:pos w:val="pageBottom"/>
            <w:numFmt w:val="decimal"/>
            <w:numRestart w:val="continuous"/>
            <w15:footnoteColumns w:val="1"/>
          </w:footnotePr>
          <w:pgSz w:w="6816" w:h="11006"/>
          <w:pgMar w:top="892" w:left="194" w:right="201" w:bottom="226" w:header="0" w:footer="3" w:gutter="0"/>
          <w:pgNumType w:start="476"/>
          <w:cols w:num="2" w:space="19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SZ ne pokazuje nikakav izražen religijski po</w:t>
        <w:softHyphen/>
        <w:t>jam svjedoka nego tim pojmom opisuje kat</w:t>
        <w:softHyphen/>
        <w:t>kada samo ulogu Izraela između Jahve i na</w:t>
        <w:softHyphen/>
        <w:t>roda (Iz 43,9.10.12; 44,8). Ovdje se Izrael oslovljava kao svjedok za pouzdanost, proroč</w:t>
        <w:softHyphen/>
        <w:t xml:space="preserve">ku snagu i isključivost svoga Boga. Nch 9,26 opisuje proročki sudski govor kao opominja- juće s. Osnovna riječ koju NZ upotrebljava za »svjedoka, svjedočiti, s.« je </w:t>
      </w:r>
      <w:r>
        <w:rPr>
          <w:rFonts w:ascii="Times New Roman" w:eastAsia="Times New Roman" w:hAnsi="Times New Roman" w:cs="Times New Roman"/>
          <w:color w:val="000000"/>
          <w:spacing w:val="0"/>
          <w:w w:val="100"/>
          <w:position w:val="0"/>
          <w:shd w:val="clear" w:color="auto" w:fill="auto"/>
          <w:lang w:val="en-US" w:eastAsia="en-US" w:bidi="en-US"/>
        </w:rPr>
        <w:t xml:space="preserve">martys </w:t>
      </w:r>
      <w:r>
        <w:rPr>
          <w:rFonts w:ascii="Times New Roman" w:eastAsia="Times New Roman" w:hAnsi="Times New Roman" w:cs="Times New Roman"/>
          <w:color w:val="000000"/>
          <w:spacing w:val="0"/>
          <w:w w:val="100"/>
          <w:position w:val="0"/>
          <w:shd w:val="clear" w:color="auto" w:fill="auto"/>
          <w:lang w:val="hr-HR" w:eastAsia="hr-HR" w:bidi="hr-HR"/>
        </w:rPr>
        <w:t>(—&gt; Muče- ništvo). Teološki pojam svjedočanstva poka</w:t>
        <w:softHyphen/>
        <w:t xml:space="preserve">zuje kod Luke upečatljivost koja je u sljede-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čem vremenu obilježila crkveno shvaćanje uskrsnog svjedočanstva i apostolskog vreme</w:t>
        <w:softHyphen/>
        <w:t>na. Isusova povijest i uskrsnuće sada su do</w:t>
        <w:softHyphen/>
        <w:t>stupni samo preko svjedočanstva, tj. preko vjerske poslušnosti svjedoka. Samo Dvanaes</w:t>
        <w:softHyphen/>
        <w:t>torica sasvim vrijede kao svjedoci Isusova uskrsnuća (Dj 1,22; 2,32; 3,15 itd.), dakle, kao svjedoci identiteta povijesnog Isusa s Kristom kojega su ponovo vidjeli. Oni su izričito legiti</w:t>
        <w:softHyphen/>
        <w:t>mirani, pozvani na s. i za to su obdareni Du</w:t>
        <w:softHyphen/>
        <w:t>hom Božjim (Lk 24, 48.49 itd.). S. poziva na vjeru u spasenjsku poruku (Dj 20,21; 22,18).</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Ivanovo evanđelje želi u svojoj cjelini biti s. (Iv 19,35; 21,24). Njegov autor vrijedi u otač- kom vremenu u najvećoj mjeri kao svjedok i učitelj koji razumije Kristovo otkupiteljsko djelo u okviru neprijateljskog svijeta. Čini se da se Isusov život razvija u jednom procesu u kojem se Isus i svijet suprotstavljaju (Iv 8,13-18; 9,39). Svjedoci saslušani pred sudom posreduju Očevu riječ objave. Tako pojam svjedočanstva pokazuje pravni karakter. Ivan, dakle, ne stavlja težište na naviještanje rados</w:t>
        <w:softHyphen/>
        <w:t>ne vijesti nego na svjedočenje istine o onome na što Isus polaže pravo: da je poslan od Oca govoriti istinu, da je put, istina i život, da se vratio Ocu itd. Ivanovo se pisanje ne može prvenstveno promatrati kao propagandni spis nego kao spis koji brani Krista i priznaje ga kao Otkupitelja i Sina Božjega.</w:t>
      </w:r>
    </w:p>
    <w:p>
      <w:pPr>
        <w:pStyle w:val="Style56"/>
        <w:keepNext w:val="0"/>
        <w:keepLines w:val="0"/>
        <w:widowControl w:val="0"/>
        <w:shd w:val="clear" w:color="auto" w:fill="auto"/>
        <w:tabs>
          <w:tab w:pos="2328" w:val="left"/>
        </w:tabs>
        <w:bidi w:val="0"/>
        <w:spacing w:before="0" w:after="240" w:line="240" w:lineRule="auto"/>
        <w:ind w:left="0" w:right="0" w:firstLine="0"/>
        <w:jc w:val="both"/>
      </w:pPr>
      <w:r>
        <w:rPr>
          <w:color w:val="000000"/>
          <w:spacing w:val="0"/>
          <w:w w:val="100"/>
          <w:position w:val="0"/>
          <w:shd w:val="clear" w:color="auto" w:fill="auto"/>
        </w:rPr>
        <w:t xml:space="preserve">Lit.: J. </w:t>
      </w:r>
      <w:r>
        <w:rPr>
          <w:color w:val="000000"/>
          <w:spacing w:val="0"/>
          <w:w w:val="100"/>
          <w:position w:val="0"/>
          <w:shd w:val="clear" w:color="auto" w:fill="auto"/>
          <w:lang w:val="hr-HR" w:eastAsia="hr-HR" w:bidi="hr-HR"/>
        </w:rPr>
        <w:t xml:space="preserve">B. </w:t>
      </w:r>
      <w:r>
        <w:rPr>
          <w:color w:val="000000"/>
          <w:spacing w:val="0"/>
          <w:w w:val="100"/>
          <w:position w:val="0"/>
          <w:shd w:val="clear" w:color="auto" w:fill="auto"/>
        </w:rPr>
        <w:t xml:space="preserve">Bauer (Hrsg.), </w:t>
      </w:r>
      <w:r>
        <w:rPr>
          <w:i/>
          <w:iCs/>
          <w:color w:val="000000"/>
          <w:spacing w:val="0"/>
          <w:w w:val="100"/>
          <w:position w:val="0"/>
          <w:shd w:val="clear" w:color="auto" w:fill="auto"/>
        </w:rPr>
        <w:t>Bibellheologischet Wonerbuch,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Bd. 2 Graz.AVictVKdln 1967; </w:t>
      </w:r>
      <w:r>
        <w:rPr>
          <w:color w:val="000000"/>
          <w:spacing w:val="0"/>
          <w:w w:val="100"/>
          <w:position w:val="0"/>
          <w:shd w:val="clear" w:color="auto" w:fill="auto"/>
        </w:rPr>
        <w:t xml:space="preserve">J. </w:t>
      </w:r>
      <w:r>
        <w:rPr>
          <w:color w:val="000000"/>
          <w:spacing w:val="0"/>
          <w:w w:val="100"/>
          <w:position w:val="0"/>
          <w:shd w:val="clear" w:color="auto" w:fill="auto"/>
          <w:lang w:val="hr-HR" w:eastAsia="hr-HR" w:bidi="hr-HR"/>
        </w:rPr>
        <w:t xml:space="preserve">H6fcr/K. Rahncr (Hr.sg.), </w:t>
      </w:r>
      <w:r>
        <w:rPr>
          <w:i/>
          <w:iCs/>
          <w:color w:val="000000"/>
          <w:spacing w:val="0"/>
          <w:w w:val="100"/>
          <w:position w:val="0"/>
          <w:shd w:val="clear" w:color="auto" w:fill="auto"/>
          <w:lang w:val="hr-HR" w:eastAsia="hr-HR" w:bidi="hr-HR"/>
        </w:rPr>
        <w:t xml:space="preserve">Lejd- kon </w:t>
      </w:r>
      <w:r>
        <w:rPr>
          <w:i/>
          <w:iCs/>
          <w:color w:val="000000"/>
          <w:spacing w:val="0"/>
          <w:w w:val="100"/>
          <w:position w:val="0"/>
          <w:shd w:val="clear" w:color="auto" w:fill="auto"/>
        </w:rPr>
        <w:t xml:space="preserve">fur </w:t>
      </w:r>
      <w:r>
        <w:rPr>
          <w:i/>
          <w:iCs/>
          <w:color w:val="000000"/>
          <w:spacing w:val="0"/>
          <w:w w:val="100"/>
          <w:position w:val="0"/>
          <w:shd w:val="clear" w:color="auto" w:fill="auto"/>
          <w:lang w:val="hr-HR" w:eastAsia="hr-HR" w:bidi="hr-HR"/>
        </w:rPr>
        <w:t>Theologie und Kirche,</w:t>
      </w:r>
      <w:r>
        <w:rPr>
          <w:color w:val="000000"/>
          <w:spacing w:val="0"/>
          <w:w w:val="100"/>
          <w:position w:val="0"/>
          <w:shd w:val="clear" w:color="auto" w:fill="auto"/>
          <w:lang w:val="hr-HR" w:eastAsia="hr-HR" w:bidi="hr-HR"/>
        </w:rPr>
        <w:t xml:space="preserve"> Bd. 10,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1965; 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lang w:val="hr-HR" w:eastAsia="hr-HR" w:bidi="hr-HR"/>
        </w:rPr>
        <w:t>Handbuch iheologischer Grundbegrijfe,</w:t>
      </w:r>
      <w:r>
        <w:rPr>
          <w:color w:val="000000"/>
          <w:spacing w:val="0"/>
          <w:w w:val="100"/>
          <w:position w:val="0"/>
          <w:shd w:val="clear" w:color="auto" w:fill="auto"/>
          <w:lang w:val="hr-HR" w:eastAsia="hr-HR" w:bidi="hr-HR"/>
        </w:rPr>
        <w:t xml:space="preserve"> Bd. 2, Miinchcn 1963.</w:t>
        <w:tab/>
        <w:t>G.GIRSCIIEK</w:t>
      </w:r>
    </w:p>
    <w:p>
      <w:pPr>
        <w:pStyle w:val="Style63"/>
        <w:keepNext/>
        <w:keepLines/>
        <w:widowControl w:val="0"/>
        <w:numPr>
          <w:ilvl w:val="0"/>
          <w:numId w:val="563"/>
        </w:numPr>
        <w:shd w:val="clear" w:color="auto" w:fill="auto"/>
        <w:tabs>
          <w:tab w:pos="260" w:val="left"/>
        </w:tabs>
        <w:bidi w:val="0"/>
        <w:spacing w:before="0" w:line="223" w:lineRule="auto"/>
        <w:ind w:left="0" w:right="0" w:firstLine="0"/>
        <w:jc w:val="both"/>
      </w:pPr>
      <w:bookmarkStart w:id="360" w:name="bookmark360"/>
      <w:r>
        <w:rPr>
          <w:rFonts w:ascii="Times New Roman" w:eastAsia="Times New Roman" w:hAnsi="Times New Roman" w:cs="Times New Roman"/>
          <w:color w:val="000000"/>
          <w:spacing w:val="0"/>
          <w:w w:val="100"/>
          <w:position w:val="0"/>
          <w:shd w:val="clear" w:color="auto" w:fill="auto"/>
          <w:lang w:val="hr-HR" w:eastAsia="hr-HR" w:bidi="hr-HR"/>
        </w:rPr>
        <w:t>islamski</w:t>
      </w:r>
      <w:bookmarkEnd w:id="360"/>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je prva islamska dužnost. Ta se dužnost sas</w:t>
        <w:softHyphen/>
        <w:t>toji u trajnoj spremnosti da se mišlju, riječju i djelom osobno svjedoči za Boga. Islamska vje</w:t>
        <w:softHyphen/>
        <w:t xml:space="preserve">roispovijest glasi: </w:t>
      </w:r>
      <w:r>
        <w:rPr>
          <w:rFonts w:ascii="Times New Roman" w:eastAsia="Times New Roman" w:hAnsi="Times New Roman" w:cs="Times New Roman"/>
          <w:i/>
          <w:iCs/>
          <w:color w:val="000000"/>
          <w:spacing w:val="0"/>
          <w:w w:val="100"/>
          <w:position w:val="0"/>
          <w:shd w:val="clear" w:color="auto" w:fill="auto"/>
          <w:lang w:val="hr-HR" w:eastAsia="hr-HR" w:bidi="hr-HR"/>
        </w:rPr>
        <w:t xml:space="preserve">»Svjedočim (potvrđujem) da </w:t>
      </w:r>
      <w:r>
        <w:rPr>
          <w:rFonts w:ascii="Times New Roman" w:eastAsia="Times New Roman" w:hAnsi="Times New Roman" w:cs="Times New Roman"/>
          <w:i/>
          <w:iCs/>
          <w:color w:val="000000"/>
          <w:spacing w:val="0"/>
          <w:w w:val="100"/>
          <w:position w:val="0"/>
          <w:shd w:val="clear" w:color="auto" w:fill="auto"/>
          <w:lang w:val="hr-HR" w:eastAsia="hr-HR" w:bidi="hr-HR"/>
        </w:rPr>
        <w:t>je Bog samo Jedan; svjedočim da je Muhamed njegov rob i njegov poslanik«.</w:t>
      </w:r>
      <w:r>
        <w:rPr>
          <w:rFonts w:ascii="Times New Roman" w:eastAsia="Times New Roman" w:hAnsi="Times New Roman" w:cs="Times New Roman"/>
          <w:color w:val="000000"/>
          <w:spacing w:val="0"/>
          <w:w w:val="100"/>
          <w:position w:val="0"/>
          <w:shd w:val="clear" w:color="auto" w:fill="auto"/>
          <w:lang w:val="hr-HR" w:eastAsia="hr-HR" w:bidi="hr-HR"/>
        </w:rPr>
        <w:t xml:space="preserve"> S drugim dijelom ispovijesti vjernik svjedoči da u Muhamedu vidi samo Božjega roba i poslanika. Ako bi muslimanu na um pala i najmanja pomisao da se moli Muhamedu, on bi time učinio otpad- ništvo od islama. Navedena ispovijest vjere </w:t>
      </w:r>
      <w:r>
        <w:rPr>
          <w:rFonts w:ascii="Times New Roman" w:eastAsia="Times New Roman" w:hAnsi="Times New Roman" w:cs="Times New Roman"/>
          <w:i/>
          <w:iCs/>
          <w:color w:val="000000"/>
          <w:spacing w:val="0"/>
          <w:w w:val="100"/>
          <w:position w:val="0"/>
          <w:shd w:val="clear" w:color="auto" w:fill="auto"/>
          <w:lang w:val="hr-HR" w:eastAsia="hr-HR" w:bidi="hr-HR"/>
        </w:rPr>
        <w:t>(kalimat ash-shahada)</w:t>
      </w:r>
      <w:r>
        <w:rPr>
          <w:rFonts w:ascii="Times New Roman" w:eastAsia="Times New Roman" w:hAnsi="Times New Roman" w:cs="Times New Roman"/>
          <w:color w:val="000000"/>
          <w:spacing w:val="0"/>
          <w:w w:val="100"/>
          <w:position w:val="0"/>
          <w:shd w:val="clear" w:color="auto" w:fill="auto"/>
          <w:lang w:val="hr-HR" w:eastAsia="hr-HR" w:bidi="hr-HR"/>
        </w:rPr>
        <w:t xml:space="preserve"> postala je islamskim sloganom u kasno doba Muhamcdova djelo</w:t>
        <w:softHyphen/>
        <w:t>vanja u Meki. Paralelno poučku da je Bog je</w:t>
        <w:softHyphen/>
        <w:t>dan, u Kuranu se neoprostivim grijehom pro- glašujc svako vjerovanje u više bogova. S tim svjesnim i iskrenim izricanjem vjere u jednoga Boga čovjek ulazi u islam. Za to nisu potrebne nikakve druge formalnosti i obredi. To voljno očitovanje danas trebaju potvrditi dva puno</w:t>
        <w:softHyphen/>
        <w:t>ljetna i duševno zdrava svjedoka. Pismena po</w:t>
        <w:softHyphen/>
        <w:t>tvrda koju daje imam ili starješinstvo pred</w:t>
        <w:softHyphen/>
        <w:t>stavlja samo prijedlog.</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Prvi je dio islamske vjeroispovijesti ili potvrde daleko važniji od drugoga. Muhamed je svoje</w:t>
        <w:softHyphen/>
        <w:t>dobno prihvaćao poganska arapska plemena kao muslimane čim su pristali uz Alaha kao jedinoga Boga. Bilo je dovoljno da izreknu te</w:t>
        <w:softHyphen/>
        <w:t>meljnu ispoviiest Bogu, Tijekom povijesti ob</w:t>
        <w:softHyphen/>
        <w:t>jave drugi je dio vjeroispovijesti dobio razli</w:t>
        <w:softHyphen/>
        <w:t>čita apostolska imena, ovisno o aktualnosti trenutačne objave. Budući da je izgovaranje vjeroispovijesti teorijski dostatno za stjecanje islamskog identiteta, u povijesti je bilo mnogo slučajeva površnog islamiziranja. Tako mnogi afrički muslimani izvješćuju da su se kao po</w:t>
        <w:softHyphen/>
        <w:t>božni vjernici zaputili na hodočašće u Meku, ali da su nakon povratka obavljali obrede vje</w:t>
        <w:softHyphen/>
        <w:t>re svojih pređih Afrikanaca. Ispovijedanje vje</w:t>
        <w:softHyphen/>
        <w:t xml:space="preserve">re kao verba'ni izraz svjedočenja sadržano je u svakom molitvenom zazivu </w:t>
      </w:r>
      <w:r>
        <w:rPr>
          <w:rFonts w:ascii="Times New Roman" w:eastAsia="Times New Roman" w:hAnsi="Times New Roman" w:cs="Times New Roman"/>
          <w:i/>
          <w:iCs/>
          <w:color w:val="000000"/>
          <w:spacing w:val="0"/>
          <w:w w:val="100"/>
          <w:position w:val="0"/>
          <w:shd w:val="clear" w:color="auto" w:fill="auto"/>
          <w:lang w:val="hr-HR" w:eastAsia="hr-HR" w:bidi="hr-HR"/>
        </w:rPr>
        <w:t>(adhdn).</w:t>
      </w:r>
      <w:r>
        <w:rPr>
          <w:rFonts w:ascii="Times New Roman" w:eastAsia="Times New Roman" w:hAnsi="Times New Roman" w:cs="Times New Roman"/>
          <w:color w:val="000000"/>
          <w:spacing w:val="0"/>
          <w:w w:val="100"/>
          <w:position w:val="0"/>
          <w:shd w:val="clear" w:color="auto" w:fill="auto"/>
          <w:lang w:val="hr-HR" w:eastAsia="hr-HR" w:bidi="hr-HR"/>
        </w:rPr>
        <w:t xml:space="preserve"> Njime se započinju i blagoslovi koji se u sjedećem položaju izri'u prilikom svake obvezne molit</w:t>
        <w:softHyphen/>
        <w:t>ve, davanje djetetu imena i vjenčanje.</w:t>
      </w:r>
    </w:p>
    <w:p>
      <w:pPr>
        <w:pStyle w:val="Style74"/>
        <w:keepNext w:val="0"/>
        <w:keepLines w:val="0"/>
        <w:widowControl w:val="0"/>
        <w:shd w:val="clear" w:color="auto" w:fill="auto"/>
        <w:bidi w:val="0"/>
        <w:spacing w:before="0" w:after="0" w:line="240" w:lineRule="auto"/>
        <w:ind w:left="0" w:right="0" w:firstLine="0"/>
        <w:jc w:val="right"/>
        <w:sectPr>
          <w:headerReference w:type="default" r:id="rId1457"/>
          <w:footerReference w:type="default" r:id="rId1458"/>
          <w:headerReference w:type="even" r:id="rId1459"/>
          <w:footerReference w:type="even" r:id="rId1460"/>
          <w:footnotePr>
            <w:pos w:val="pageBottom"/>
            <w:numFmt w:val="decimal"/>
            <w:numRestart w:val="continuous"/>
            <w15:footnoteColumns w:val="1"/>
          </w:footnotePr>
          <w:pgSz w:w="6816" w:h="11006"/>
          <w:pgMar w:top="892" w:left="194" w:right="201" w:bottom="226" w:header="0" w:footer="3" w:gutter="0"/>
          <w:pgNumType w:start="482"/>
          <w:cols w:num="2" w:space="191"/>
          <w:noEndnote/>
          <w:rtlGutter w:val="0"/>
          <w:docGrid w:linePitch="360"/>
        </w:sectPr>
      </w:pPr>
      <w:r>
        <mc:AlternateContent>
          <mc:Choice Requires="wps">
            <w:drawing>
              <wp:anchor distT="1308100" distB="254000" distL="114300" distR="114300" simplePos="0" relativeHeight="125829429" behindDoc="0" locked="0" layoutInCell="1" allowOverlap="1">
                <wp:simplePos x="0" y="0"/>
                <wp:positionH relativeFrom="page">
                  <wp:posOffset>156845</wp:posOffset>
                </wp:positionH>
                <wp:positionV relativeFrom="margin">
                  <wp:posOffset>6169025</wp:posOffset>
                </wp:positionV>
                <wp:extent cx="191770" cy="109855"/>
                <wp:wrapTopAndBottom/>
                <wp:docPr id="3149" name="Shape 3149"/>
                <a:graphic xmlns:a="http://schemas.openxmlformats.org/drawingml/2006/main">
                  <a:graphicData uri="http://schemas.microsoft.com/office/word/2010/wordprocessingShape">
                    <wps:wsp>
                      <wps:cNvSpPr txBox="1"/>
                      <wps:spPr>
                        <a:xfrm>
                          <a:ext cx="19177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4TR</w:t>
                            </w:r>
                          </w:p>
                        </w:txbxContent>
                      </wps:txbx>
                      <wps:bodyPr wrap="none" lIns="0" tIns="0" rIns="0" bIns="0">
                        <a:noAutoFit/>
                      </wps:bodyPr>
                    </wps:wsp>
                  </a:graphicData>
                </a:graphic>
              </wp:anchor>
            </w:drawing>
          </mc:Choice>
          <mc:Fallback>
            <w:pict>
              <v:shape id="_x0000_s4175" type="#_x0000_t202" style="position:absolute;margin-left:12.35pt;margin-top:485.75pt;width:15.1pt;height:8.6500000000000004pt;z-index:-125829324;mso-wrap-distance-left:9.pt;mso-wrap-distance-top:103.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4TR</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s. BAI.IĆ</w:t>
      </w:r>
    </w:p>
    <w:p>
      <w:pPr>
        <w:rPr>
          <w:sz w:val="2"/>
          <w:szCs w:val="2"/>
        </w:rPr>
        <w:sectPr>
          <w:footnotePr>
            <w:pos w:val="pageBottom"/>
            <w:numFmt w:val="decimal"/>
            <w:numRestart w:val="continuous"/>
            <w15:footnoteColumns w:val="1"/>
          </w:footnotePr>
          <w:type w:val="continuous"/>
          <w:pgSz w:w="6816" w:h="11006"/>
          <w:pgMar w:top="892" w:left="194" w:right="201" w:bottom="226" w:header="0" w:footer="3" w:gutter="0"/>
          <w:cols w:num="2" w:space="191"/>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63" w:after="63" w:line="240" w:lineRule="exact"/>
        <w:rPr>
          <w:sz w:val="19"/>
          <w:szCs w:val="19"/>
        </w:rPr>
      </w:pPr>
    </w:p>
    <w:p>
      <w:pPr>
        <w:widowControl w:val="0"/>
        <w:spacing w:line="1" w:lineRule="exact"/>
        <w:sectPr>
          <w:headerReference w:type="default" r:id="rId1461"/>
          <w:footerReference w:type="default" r:id="rId1462"/>
          <w:headerReference w:type="even" r:id="rId1463"/>
          <w:footerReference w:type="even" r:id="rId1464"/>
          <w:headerReference w:type="first" r:id="rId1465"/>
          <w:footerReference w:type="first" r:id="rId1466"/>
          <w:footnotePr>
            <w:pos w:val="pageBottom"/>
            <w:numFmt w:val="decimal"/>
            <w:numRestart w:val="continuous"/>
            <w15:footnoteColumns w:val="1"/>
          </w:footnotePr>
          <w:pgSz w:w="6816" w:h="11006"/>
          <w:pgMar w:top="1006" w:left="205" w:right="213" w:bottom="544" w:header="0" w:footer="3" w:gutter="0"/>
          <w:cols w:num="2" w:space="225"/>
          <w:noEndnote/>
          <w:titlePg/>
          <w:rtlGutter w:val="0"/>
          <w:docGrid w:linePitch="360"/>
        </w:sectPr>
      </w:pP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ŠU1ZAM (Ši’A)</w:t>
      </w:r>
    </w:p>
    <w:p>
      <w:pPr>
        <w:pStyle w:val="Style63"/>
        <w:keepNext/>
        <w:keepLines/>
        <w:widowControl w:val="0"/>
        <w:shd w:val="clear" w:color="auto" w:fill="auto"/>
        <w:bidi w:val="0"/>
        <w:spacing w:before="0"/>
        <w:ind w:left="0" w:right="0" w:firstLine="0"/>
        <w:jc w:val="both"/>
      </w:pPr>
      <w:bookmarkStart w:id="361" w:name="bookmark361"/>
      <w:r>
        <w:rPr>
          <w:rFonts w:ascii="Times New Roman" w:eastAsia="Times New Roman" w:hAnsi="Times New Roman" w:cs="Times New Roman"/>
          <w:color w:val="000000"/>
          <w:spacing w:val="0"/>
          <w:w w:val="100"/>
          <w:position w:val="0"/>
          <w:shd w:val="clear" w:color="auto" w:fill="auto"/>
          <w:lang w:val="hr-HR" w:eastAsia="hr-HR" w:bidi="hr-HR"/>
        </w:rPr>
        <w:t>islamski</w:t>
      </w:r>
      <w:bookmarkEnd w:id="36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šT’a (stranka) potječe iz Kurana.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w:t>
      </w:r>
      <w:r>
        <w:rPr>
          <w:rFonts w:ascii="Times New Roman" w:eastAsia="Times New Roman" w:hAnsi="Times New Roman" w:cs="Times New Roman"/>
          <w:color w:val="000000"/>
          <w:spacing w:val="0"/>
          <w:w w:val="100"/>
          <w:position w:val="0"/>
          <w:shd w:val="clear" w:color="auto" w:fill="auto"/>
          <w:lang w:val="hr-HR" w:eastAsia="hr-HR" w:bidi="hr-HR"/>
        </w:rPr>
        <w:t>se ubraja u Noinu ši’u (37/83: »Abraham pripada medu one koji idu njegovim (Noinim) putem«. Sukladno tomu, šijiti smatraju sebe onima koji -» Aliju (661), Muhamcdova zeta, slijede ne samo kao četvrtoga islamskoga ka</w:t>
        <w:softHyphen/>
        <w:t>lifa, nego i kao prvog imama. Po tome se razlikuju od svoje sunitskc braće po vjeri (veći</w:t>
        <w:softHyphen/>
        <w:t>na muslimana) koji u Abu Bekru (634), Ome- ru (644), Osmanu (656) i tek onda u Aliji (661) vide četiri pravovjerna kalifa proroka Muhameda.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Odnos ova dva glavna smjera u islamu nije međusobni odnos dvaju konfesija ili sekti. Svaki od njih poziva se na, islamski gledano, pravi stav muslimana nakon prorokove smrti, stoje izašlo na vidjelo prigodom pitanja o nje</w:t>
        <w:softHyphen/>
        <w:t>govu nasljedstvu i što je ubrzo dobilo poli</w:t>
        <w:softHyphen/>
        <w:t>tičke, a zatim i teološke dimenzije. Suprotno svojoj sunitskoj braći po vjeri, koja odluku o tome uglavnom prepuštaju umi ili jednoj gre</w:t>
        <w:softHyphen/>
        <w:t>miji (ahl al-hall wal-’aqd), vodeći stav šijitsko- ga uvjerenja glasi: Bog odlučuje a Muhamed naviješta o tome, tko je prorokov nasljednik. Po uvjerenju šijita, u tom je smislu Alija prvi pravovjerni imam muslimana a nakon njega to je onaj od njegova potomstva koji ispunjava pretpostavke za tu službu: najvišu duhovnu kvalifikaciju i odgovarajuću sposobnost za vo</w:t>
        <w:softHyphen/>
        <w:t>đenje.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 vodeći stav, koji je vezan za osobe i koji u sebi nosi klicu razdora, također je omogućio nastanak doista nepreglednih, brojnih šijitskih grupacija i podgrupacija (prema historičarima religije više od 70), od kojih su mnoge iščezle ili se stopile s drugim skupinama, čiji nauk ipak odzvanja kod preživjelih šijitskih grupa</w:t>
        <w:softHyphen/>
      </w:r>
      <w:r>
        <w:rPr>
          <w:rFonts w:ascii="Times New Roman" w:eastAsia="Times New Roman" w:hAnsi="Times New Roman" w:cs="Times New Roman"/>
          <w:color w:val="000000"/>
          <w:spacing w:val="0"/>
          <w:w w:val="100"/>
          <w:position w:val="0"/>
          <w:shd w:val="clear" w:color="auto" w:fill="auto"/>
          <w:lang w:val="hr-HR" w:eastAsia="hr-HR" w:bidi="hr-HR"/>
        </w:rPr>
        <w:t>cija. Posljedice toga su zbunjujuće informacije o šijizmu i silno miješanje onih, islamski gle</w:t>
        <w:softHyphen/>
        <w:t>dano, sasvim problematičnih nazora i prazno</w:t>
        <w:softHyphen/>
        <w:t>vjerja koji su se, ovisno o prilikama, oblikovali kao narodno vjerovanje, suprotno šijitsko-teo- loški pokazivim vodećim stavovima; to je pro</w:t>
        <w:softHyphen/>
        <w:t>blem koji opterećuje odnose i koji zbunjuje is</w:t>
        <w:softHyphen/>
        <w:t>traživače.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Vjeronazori nekih od šijita u povijesti i u da</w:t>
        <w:softHyphen/>
        <w:t>našnje vrijeme sežu od jednostavnog trezve</w:t>
        <w:softHyphen/>
        <w:t>nog poštovanja njihovih imama kao normal</w:t>
        <w:softHyphen/>
        <w:t>nih ljudi pa sve do obogotvorenja jednoga ili drugoga. Taj šaroliki stav prema osobi imama stalno je bio praćen fenomenima koji su kao motivi i tendencije za sobom povlačili uvijek nova cijepanja, naime sljedećim fenomenima: božanskom inspiracijom (ilham), antropozof- skim nazorima, unutarnjim posjedovanjem božanskoga svjetla, inkarnacijom božanskoga (hulul), spefanijom božanskoga u čovjeku, ne- umrlošću i daljnjim životom u skrivenosti, po</w:t>
        <w:softHyphen/>
        <w:t>novnom pojavom skrivenoga (vjera u mahdi- ja) ili ponovnom pojavom umrloga (radj’a - paruzija), mišlju o pasiji itd.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Posljedice takvih uvjerenja za sunite kolebale su se od blago liberalnoga pa sve do ekstrem</w:t>
        <w:softHyphen/>
        <w:t>no radikalnoga stava u pogledu priznavanja, odnosno odbacivanja prva tri kalifa. Sukladno tomu šijiti se mogu podijeliti na: ekstremiste (ghulat - »ullra-šijili«) i neekstremiste. U prve, koji na različite načine vjeruju u božanstvo uprisutnjeno u Aliji i čak u mnogima od nje</w:t>
        <w:softHyphen/>
        <w:t>govih potomaka i pristaša, spadaju i danas nu- scirijc u Siriji, al-alahi u Iranu i aš-šabaci u Iraku. Od onih drugih danas još uvijek posto</w:t>
        <w:softHyphen/>
        <w:t>je zaidili, ismailiti i imamiti (duodecimalni š.).</w:t>
      </w:r>
      <w:r>
        <w:br w:type="page"/>
      </w:r>
    </w:p>
    <w:p>
      <w:pPr>
        <w:pStyle w:val="Style49"/>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b w:val="0"/>
          <w:bCs w:val="0"/>
          <w:color w:val="000000"/>
          <w:spacing w:val="0"/>
          <w:w w:val="100"/>
          <w:position w:val="0"/>
          <w:sz w:val="13"/>
          <w:szCs w:val="13"/>
          <w:shd w:val="clear" w:color="auto" w:fill="auto"/>
          <w:lang w:val="hr-HR" w:eastAsia="hr-HR" w:bidi="hr-HR"/>
        </w:rPr>
        <w:t>ŠIJ1TSKI IMAMI</w:t>
      </w:r>
    </w:p>
    <w:p>
      <w:pPr>
        <w:pStyle w:val="Style49"/>
        <w:keepNext w:val="0"/>
        <w:keepLines w:val="0"/>
        <w:widowControl w:val="0"/>
        <w:shd w:val="clear" w:color="auto" w:fill="auto"/>
        <w:bidi w:val="0"/>
        <w:spacing w:before="0" w:after="0" w:line="240" w:lineRule="auto"/>
        <w:ind w:left="610" w:right="0" w:firstLine="0"/>
        <w:jc w:val="left"/>
        <w:rPr>
          <w:sz w:val="13"/>
          <w:szCs w:val="13"/>
        </w:rPr>
      </w:pPr>
      <w:r>
        <w:rPr>
          <w:rFonts w:ascii="Arial" w:eastAsia="Arial" w:hAnsi="Arial" w:cs="Arial"/>
          <w:b w:val="0"/>
          <w:bCs w:val="0"/>
          <w:color w:val="000000"/>
          <w:spacing w:val="0"/>
          <w:w w:val="100"/>
          <w:position w:val="0"/>
          <w:sz w:val="13"/>
          <w:szCs w:val="13"/>
          <w:shd w:val="clear" w:color="auto" w:fill="auto"/>
          <w:lang w:val="hr-HR" w:eastAsia="hr-HR" w:bidi="hr-HR"/>
        </w:rPr>
        <w:t>(uvijek se navodi datum smrti)</w:t>
      </w:r>
    </w:p>
    <w:tbl>
      <w:tblPr>
        <w:tblOverlap w:val="never"/>
        <w:jc w:val="center"/>
        <w:tblLayout w:type="fixed"/>
      </w:tblPr>
      <w:tblGrid>
        <w:gridCol w:w="907"/>
        <w:gridCol w:w="2006"/>
      </w:tblGrid>
      <w:tr>
        <w:trPr>
          <w:trHeight w:val="259"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tabs>
                <w:tab w:leader="hyphen" w:pos="901" w:val="left"/>
              </w:tabs>
              <w:bidi w:val="0"/>
              <w:spacing w:before="0" w:after="0" w:line="240" w:lineRule="auto"/>
              <w:ind w:left="0" w:right="0" w:firstLine="320"/>
              <w:jc w:val="both"/>
              <w:rPr>
                <w:sz w:val="13"/>
                <w:szCs w:val="13"/>
              </w:rPr>
            </w:pPr>
            <w:r>
              <w:rPr>
                <w:rFonts w:ascii="Arial" w:eastAsia="Arial" w:hAnsi="Arial" w:cs="Arial"/>
                <w:color w:val="000000"/>
                <w:spacing w:val="0"/>
                <w:w w:val="100"/>
                <w:position w:val="0"/>
                <w:sz w:val="13"/>
                <w:szCs w:val="13"/>
                <w:shd w:val="clear" w:color="auto" w:fill="auto"/>
                <w:lang w:val="hr-HR" w:eastAsia="hr-HR" w:bidi="hr-HR"/>
              </w:rPr>
              <w:t>1</w:t>
              <w:tab/>
            </w:r>
          </w:p>
        </w:tc>
        <w:tc>
          <w:tcPr>
            <w:tcBorders/>
            <w:shd w:val="clear" w:color="auto" w:fill="FFFFFF"/>
            <w:vAlign w:val="center"/>
          </w:tcPr>
          <w:p>
            <w:pPr>
              <w:pStyle w:val="Style7"/>
              <w:keepNext w:val="0"/>
              <w:keepLines w:val="0"/>
              <w:widowControl w:val="0"/>
              <w:shd w:val="clear" w:color="auto" w:fill="auto"/>
              <w:tabs>
                <w:tab w:leader="hyphen" w:pos="802" w:val="left"/>
              </w:tabs>
              <w:bidi w:val="0"/>
              <w:spacing w:before="0" w:after="0" w:line="120" w:lineRule="auto"/>
              <w:ind w:left="0" w:right="0" w:firstLine="0"/>
              <w:jc w:val="left"/>
              <w:rPr>
                <w:sz w:val="12"/>
                <w:szCs w:val="12"/>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 xml:space="preserve">Ali ibn Abu Talib (661) </w:t>
            </w:r>
            <w:r>
              <w:rPr>
                <w:rFonts w:ascii="Arial" w:eastAsia="Arial" w:hAnsi="Arial" w:cs="Arial"/>
                <w:color w:val="000000"/>
                <w:spacing w:val="0"/>
                <w:w w:val="100"/>
                <w:position w:val="0"/>
                <w:sz w:val="12"/>
                <w:szCs w:val="12"/>
                <w:shd w:val="clear" w:color="auto" w:fill="auto"/>
                <w:lang w:val="hr-HR" w:eastAsia="hr-HR" w:bidi="hr-HR"/>
              </w:rPr>
              <w:tab/>
              <w:t>.</w:t>
            </w:r>
          </w:p>
        </w:tc>
      </w:tr>
      <w:tr>
        <w:trPr>
          <w:trHeight w:val="691" w:hRule="exact"/>
        </w:trPr>
        <w:tc>
          <w:tcPr>
            <w:tcBorders>
              <w:top w:val="single" w:sz="4"/>
            </w:tcBorders>
            <w:shd w:val="clear" w:color="auto" w:fill="FFFFFF"/>
            <w:vAlign w:val="bottom"/>
          </w:tcPr>
          <w:p>
            <w:pPr>
              <w:pStyle w:val="Style7"/>
              <w:keepNext w:val="0"/>
              <w:keepLines w:val="0"/>
              <w:widowControl w:val="0"/>
              <w:shd w:val="clear" w:color="auto" w:fill="auto"/>
              <w:bidi w:val="0"/>
              <w:spacing w:before="0" w:after="0" w:line="240" w:lineRule="auto"/>
              <w:ind w:left="2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bidi w:val="0"/>
              <w:spacing w:before="0" w:after="320" w:line="23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 xml:space="preserve">2. </w:t>
            </w:r>
            <w:r>
              <w:rPr>
                <w:rFonts w:ascii="Times New Roman" w:eastAsia="Times New Roman" w:hAnsi="Times New Roman" w:cs="Times New Roman"/>
                <w:i/>
                <w:iCs/>
                <w:color w:val="000000"/>
                <w:spacing w:val="0"/>
                <w:w w:val="100"/>
                <w:position w:val="0"/>
                <w:sz w:val="13"/>
                <w:szCs w:val="13"/>
                <w:shd w:val="clear" w:color="auto" w:fill="auto"/>
                <w:lang w:val="en-US" w:eastAsia="en-US" w:bidi="en-US"/>
              </w:rPr>
              <w:t xml:space="preserve">Hasan </w:t>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(669)</w:t>
            </w:r>
          </w:p>
          <w:p>
            <w:pPr>
              <w:pStyle w:val="Style7"/>
              <w:keepNext w:val="0"/>
              <w:keepLines w:val="0"/>
              <w:widowControl w:val="0"/>
              <w:shd w:val="clear" w:color="auto" w:fill="auto"/>
              <w:tabs>
                <w:tab w:leader="hyphen" w:pos="901" w:val="left"/>
              </w:tabs>
              <w:bidi w:val="0"/>
              <w:spacing w:before="0" w:after="0" w:line="240" w:lineRule="auto"/>
              <w:ind w:left="0" w:right="0" w:firstLine="320"/>
              <w:jc w:val="both"/>
              <w:rPr>
                <w:sz w:val="13"/>
                <w:szCs w:val="13"/>
              </w:rPr>
            </w:pPr>
            <w:r>
              <w:rPr>
                <w:rFonts w:ascii="Arial" w:eastAsia="Arial" w:hAnsi="Arial" w:cs="Arial"/>
                <w:color w:val="000000"/>
                <w:spacing w:val="0"/>
                <w:w w:val="100"/>
                <w:position w:val="0"/>
                <w:sz w:val="13"/>
                <w:szCs w:val="13"/>
                <w:shd w:val="clear" w:color="auto" w:fill="auto"/>
                <w:lang w:val="hr-HR" w:eastAsia="hr-HR" w:bidi="hr-HR"/>
              </w:rPr>
              <w:t>i</w:t>
              <w:tab/>
            </w:r>
          </w:p>
        </w:tc>
        <w:tc>
          <w:tcPr>
            <w:tcBorders>
              <w:top w:val="single" w:sz="4"/>
            </w:tcBorders>
            <w:shd w:val="clear" w:color="auto" w:fill="FFFFFF"/>
            <w:vAlign w:val="center"/>
          </w:tcPr>
          <w:p>
            <w:pPr>
              <w:pStyle w:val="Style7"/>
              <w:keepNext w:val="0"/>
              <w:keepLines w:val="0"/>
              <w:widowControl w:val="0"/>
              <w:shd w:val="clear" w:color="auto" w:fill="auto"/>
              <w:bidi w:val="0"/>
              <w:spacing w:before="0" w:after="0" w:line="240"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numPr>
                <w:ilvl w:val="0"/>
                <w:numId w:val="567"/>
              </w:numPr>
              <w:shd w:val="clear" w:color="auto" w:fill="auto"/>
              <w:tabs>
                <w:tab w:pos="568" w:val="left"/>
              </w:tabs>
              <w:bidi w:val="0"/>
              <w:spacing w:before="0" w:after="0" w:line="230" w:lineRule="auto"/>
              <w:ind w:left="780" w:right="0" w:hanging="380"/>
              <w:jc w:val="lef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Husein</w:t>
            </w:r>
          </w:p>
          <w:p>
            <w:pPr>
              <w:pStyle w:val="Style7"/>
              <w:keepNext w:val="0"/>
              <w:keepLines w:val="0"/>
              <w:widowControl w:val="0"/>
              <w:shd w:val="clear" w:color="auto" w:fill="auto"/>
              <w:bidi w:val="0"/>
              <w:spacing w:before="0" w:after="0" w:line="240"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I</w:t>
            </w:r>
          </w:p>
          <w:p>
            <w:pPr>
              <w:pStyle w:val="Style7"/>
              <w:keepNext w:val="0"/>
              <w:keepLines w:val="0"/>
              <w:widowControl w:val="0"/>
              <w:numPr>
                <w:ilvl w:val="0"/>
                <w:numId w:val="567"/>
              </w:numPr>
              <w:shd w:val="clear" w:color="auto" w:fill="auto"/>
              <w:tabs>
                <w:tab w:pos="568" w:val="left"/>
              </w:tabs>
              <w:bidi w:val="0"/>
              <w:spacing w:before="0" w:after="0" w:line="230" w:lineRule="auto"/>
              <w:ind w:left="780" w:right="0" w:hanging="380"/>
              <w:jc w:val="lef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Zein al-Abidin (712! 13)</w:t>
            </w:r>
          </w:p>
        </w:tc>
      </w:tr>
      <w:tr>
        <w:trPr>
          <w:trHeight w:val="346" w:hRule="exact"/>
        </w:trPr>
        <w:tc>
          <w:tcPr>
            <w:tcBorders>
              <w:top w:val="single" w:sz="4"/>
            </w:tcBorders>
            <w:shd w:val="clear" w:color="auto" w:fill="FFFFFF"/>
            <w:vAlign w:val="bottom"/>
          </w:tcPr>
          <w:p>
            <w:pPr>
              <w:pStyle w:val="Style7"/>
              <w:keepNext w:val="0"/>
              <w:keepLines w:val="0"/>
              <w:widowControl w:val="0"/>
              <w:shd w:val="clear" w:color="auto" w:fill="auto"/>
              <w:bidi w:val="0"/>
              <w:spacing w:before="0" w:after="0" w:line="192" w:lineRule="auto"/>
              <w:ind w:left="2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bidi w:val="0"/>
              <w:spacing w:before="0" w:after="0" w:line="192" w:lineRule="auto"/>
              <w:ind w:left="2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Zaid (739) i</w:t>
            </w:r>
          </w:p>
        </w:tc>
        <w:tc>
          <w:tcPr>
            <w:tcBorders>
              <w:top w:val="single" w:sz="4"/>
            </w:tcBorders>
            <w:shd w:val="clear" w:color="auto" w:fill="FFFFFF"/>
            <w:vAlign w:val="center"/>
          </w:tcPr>
          <w:p>
            <w:pPr>
              <w:pStyle w:val="Style7"/>
              <w:keepNext w:val="0"/>
              <w:keepLines w:val="0"/>
              <w:widowControl w:val="0"/>
              <w:shd w:val="clear" w:color="auto" w:fill="auto"/>
              <w:bidi w:val="0"/>
              <w:spacing w:before="0" w:after="0" w:line="240"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bidi w:val="0"/>
              <w:spacing w:before="0" w:after="0" w:line="230" w:lineRule="auto"/>
              <w:ind w:left="780" w:right="0" w:hanging="38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 xml:space="preserve">5. </w:t>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Muhamed al-Bakr (731)</w:t>
            </w:r>
          </w:p>
        </w:tc>
      </w:tr>
      <w:tr>
        <w:trPr>
          <w:trHeight w:val="355" w:hRule="exact"/>
        </w:trPr>
        <w:tc>
          <w:tcPr>
            <w:tcBorders/>
            <w:shd w:val="clear" w:color="auto" w:fill="FFFFFF"/>
            <w:vAlign w:val="bottom"/>
          </w:tcPr>
          <w:p>
            <w:pPr>
              <w:pStyle w:val="Style7"/>
              <w:keepNext w:val="0"/>
              <w:keepLines w:val="0"/>
              <w:widowControl w:val="0"/>
              <w:shd w:val="clear" w:color="auto" w:fill="auto"/>
              <w:tabs>
                <w:tab w:leader="hyphen" w:pos="869" w:val="left"/>
              </w:tabs>
              <w:bidi w:val="0"/>
              <w:spacing w:before="0" w:after="0" w:line="221" w:lineRule="auto"/>
              <w:ind w:left="0" w:right="0" w:firstLine="3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 (zaiditi) |</w:t>
              <w:tab/>
            </w:r>
          </w:p>
        </w:tc>
        <w:tc>
          <w:tcPr>
            <w:tcBorders/>
            <w:shd w:val="clear" w:color="auto" w:fill="FFFFFF"/>
            <w:vAlign w:val="bottom"/>
          </w:tcPr>
          <w:p>
            <w:pPr>
              <w:pStyle w:val="Style7"/>
              <w:keepNext w:val="0"/>
              <w:keepLines w:val="0"/>
              <w:widowControl w:val="0"/>
              <w:shd w:val="clear" w:color="auto" w:fill="auto"/>
              <w:bidi w:val="0"/>
              <w:spacing w:before="0" w:after="0" w:line="216"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tabs>
                <w:tab w:leader="hyphen" w:pos="806" w:val="left"/>
              </w:tabs>
              <w:bidi w:val="0"/>
              <w:spacing w:before="0" w:after="0" w:line="216" w:lineRule="auto"/>
              <w:ind w:left="0" w:right="0" w:firstLine="40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 xml:space="preserve">6. </w:t>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 xml:space="preserve">Džafar al-Sadik (765) </w:t>
            </w:r>
            <w:r>
              <w:rPr>
                <w:rFonts w:ascii="Arial" w:eastAsia="Arial" w:hAnsi="Arial" w:cs="Arial"/>
                <w:color w:val="000000"/>
                <w:spacing w:val="0"/>
                <w:w w:val="100"/>
                <w:position w:val="0"/>
                <w:sz w:val="13"/>
                <w:szCs w:val="13"/>
                <w:shd w:val="clear" w:color="auto" w:fill="auto"/>
                <w:lang w:val="hr-HR" w:eastAsia="hr-HR" w:bidi="hr-HR"/>
              </w:rPr>
              <w:tab/>
              <w:t>1</w:t>
            </w:r>
          </w:p>
        </w:tc>
      </w:tr>
      <w:tr>
        <w:trPr>
          <w:trHeight w:val="341" w:hRule="exact"/>
        </w:trPr>
        <w:tc>
          <w:tcPr>
            <w:tcBorders>
              <w:top w:val="single" w:sz="4"/>
            </w:tcBorders>
            <w:shd w:val="clear" w:color="auto" w:fill="FFFFFF"/>
            <w:vAlign w:val="bottom"/>
          </w:tcPr>
          <w:p>
            <w:pPr>
              <w:pStyle w:val="Style7"/>
              <w:keepNext w:val="0"/>
              <w:keepLines w:val="0"/>
              <w:widowControl w:val="0"/>
              <w:shd w:val="clear" w:color="auto" w:fill="auto"/>
              <w:bidi w:val="0"/>
              <w:spacing w:before="0" w:after="0" w:line="202" w:lineRule="auto"/>
              <w:ind w:left="2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bidi w:val="0"/>
              <w:spacing w:before="0" w:after="0" w:line="202" w:lineRule="auto"/>
              <w:ind w:left="320" w:right="0" w:hanging="320"/>
              <w:jc w:val="lef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en-US" w:eastAsia="en-US" w:bidi="en-US"/>
              </w:rPr>
              <w:t xml:space="preserve">Ismail </w:t>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 xml:space="preserve">(760) </w:t>
            </w:r>
            <w:r>
              <w:rPr>
                <w:rFonts w:ascii="Arial" w:eastAsia="Arial" w:hAnsi="Arial" w:cs="Arial"/>
                <w:color w:val="000000"/>
                <w:spacing w:val="0"/>
                <w:w w:val="100"/>
                <w:position w:val="0"/>
                <w:sz w:val="13"/>
                <w:szCs w:val="13"/>
                <w:shd w:val="clear" w:color="auto" w:fill="auto"/>
                <w:lang w:val="hr-HR" w:eastAsia="hr-HR" w:bidi="hr-HR"/>
              </w:rPr>
              <w:t>i</w:t>
            </w:r>
          </w:p>
        </w:tc>
        <w:tc>
          <w:tcPr>
            <w:tcBorders>
              <w:top w:val="single" w:sz="4"/>
            </w:tcBorders>
            <w:shd w:val="clear" w:color="auto" w:fill="FFFFFF"/>
            <w:vAlign w:val="bottom"/>
          </w:tcPr>
          <w:p>
            <w:pPr>
              <w:pStyle w:val="Style7"/>
              <w:keepNext w:val="0"/>
              <w:keepLines w:val="0"/>
              <w:widowControl w:val="0"/>
              <w:shd w:val="clear" w:color="auto" w:fill="auto"/>
              <w:bidi w:val="0"/>
              <w:spacing w:before="0" w:after="0" w:line="209"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bidi w:val="0"/>
              <w:spacing w:before="0" w:after="0" w:line="209" w:lineRule="auto"/>
              <w:ind w:left="780" w:right="0" w:hanging="38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 xml:space="preserve">7. </w:t>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 xml:space="preserve">Musa al-Kazm (799) </w:t>
            </w:r>
            <w:r>
              <w:rPr>
                <w:rFonts w:ascii="Arial" w:eastAsia="Arial" w:hAnsi="Arial" w:cs="Arial"/>
                <w:color w:val="000000"/>
                <w:spacing w:val="0"/>
                <w:w w:val="100"/>
                <w:position w:val="0"/>
                <w:sz w:val="13"/>
                <w:szCs w:val="13"/>
                <w:shd w:val="clear" w:color="auto" w:fill="auto"/>
                <w:lang w:val="hr-HR" w:eastAsia="hr-HR" w:bidi="hr-HR"/>
              </w:rPr>
              <w:t>i</w:t>
            </w:r>
          </w:p>
        </w:tc>
      </w:tr>
      <w:tr>
        <w:trPr>
          <w:trHeight w:val="96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2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bidi w:val="0"/>
              <w:spacing w:before="0" w:after="0" w:line="23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(ismailiti)</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numPr>
                <w:ilvl w:val="0"/>
                <w:numId w:val="569"/>
              </w:numPr>
              <w:shd w:val="clear" w:color="auto" w:fill="auto"/>
              <w:tabs>
                <w:tab w:pos="558" w:val="left"/>
              </w:tabs>
              <w:bidi w:val="0"/>
              <w:spacing w:before="0" w:after="0" w:line="230" w:lineRule="auto"/>
              <w:ind w:left="780" w:right="0" w:hanging="380"/>
              <w:jc w:val="lef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Ali Rida (818)</w:t>
            </w:r>
          </w:p>
          <w:p>
            <w:pPr>
              <w:pStyle w:val="Style7"/>
              <w:keepNext w:val="0"/>
              <w:keepLines w:val="0"/>
              <w:widowControl w:val="0"/>
              <w:shd w:val="clear" w:color="auto" w:fill="auto"/>
              <w:bidi w:val="0"/>
              <w:spacing w:before="0" w:after="0" w:line="240"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numPr>
                <w:ilvl w:val="0"/>
                <w:numId w:val="569"/>
              </w:numPr>
              <w:shd w:val="clear" w:color="auto" w:fill="auto"/>
              <w:tabs>
                <w:tab w:pos="568" w:val="left"/>
              </w:tabs>
              <w:bidi w:val="0"/>
              <w:spacing w:before="0" w:after="0" w:line="230" w:lineRule="auto"/>
              <w:ind w:left="780" w:right="0" w:hanging="380"/>
              <w:jc w:val="left"/>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Muhamed al-Teki (830)</w:t>
            </w:r>
          </w:p>
          <w:p>
            <w:pPr>
              <w:pStyle w:val="Style7"/>
              <w:keepNext w:val="0"/>
              <w:keepLines w:val="0"/>
              <w:widowControl w:val="0"/>
              <w:shd w:val="clear" w:color="auto" w:fill="auto"/>
              <w:bidi w:val="0"/>
              <w:spacing w:before="0" w:after="0" w:line="240" w:lineRule="auto"/>
              <w:ind w:left="780" w:right="0" w:firstLine="2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p>
            <w:pPr>
              <w:pStyle w:val="Style7"/>
              <w:keepNext w:val="0"/>
              <w:keepLines w:val="0"/>
              <w:widowControl w:val="0"/>
              <w:shd w:val="clear" w:color="auto" w:fill="auto"/>
              <w:bidi w:val="0"/>
              <w:spacing w:before="0" w:after="0" w:line="23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 xml:space="preserve">10. </w:t>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Ali en-Neki (868)</w:t>
            </w:r>
          </w:p>
        </w:tc>
      </w:tr>
    </w:tbl>
    <w:p>
      <w:pPr>
        <w:pStyle w:val="Style49"/>
        <w:keepNext w:val="0"/>
        <w:keepLines w:val="0"/>
        <w:widowControl w:val="0"/>
        <w:shd w:val="clear" w:color="auto" w:fill="auto"/>
        <w:bidi w:val="0"/>
        <w:spacing w:before="0" w:after="0" w:line="269" w:lineRule="auto"/>
        <w:ind w:left="5" w:right="0" w:firstLine="0"/>
        <w:jc w:val="left"/>
        <w:rPr>
          <w:sz w:val="13"/>
          <w:szCs w:val="13"/>
        </w:rPr>
      </w:pPr>
      <w:r>
        <w:rPr>
          <w:rFonts w:ascii="Arial" w:eastAsia="Arial" w:hAnsi="Arial" w:cs="Arial"/>
          <w:b w:val="0"/>
          <w:bCs w:val="0"/>
          <w:color w:val="000000"/>
          <w:spacing w:val="0"/>
          <w:w w:val="100"/>
          <w:position w:val="0"/>
          <w:sz w:val="13"/>
          <w:szCs w:val="13"/>
          <w:shd w:val="clear" w:color="auto" w:fill="auto"/>
          <w:lang w:val="hr-HR" w:eastAsia="hr-HR" w:bidi="hr-HR"/>
        </w:rPr>
        <w:t xml:space="preserve">11 </w:t>
      </w:r>
      <w:r>
        <w:rPr>
          <w:rFonts w:ascii="Times New Roman" w:eastAsia="Times New Roman" w:hAnsi="Times New Roman" w:cs="Times New Roman"/>
          <w:b w:val="0"/>
          <w:bCs w:val="0"/>
          <w:i/>
          <w:iCs/>
          <w:color w:val="000000"/>
          <w:spacing w:val="0"/>
          <w:w w:val="100"/>
          <w:position w:val="0"/>
          <w:sz w:val="13"/>
          <w:szCs w:val="13"/>
          <w:shd w:val="clear" w:color="auto" w:fill="auto"/>
          <w:lang w:val="en-US" w:eastAsia="en-US" w:bidi="en-US"/>
        </w:rPr>
        <w:t xml:space="preserve">Hasan </w:t>
      </w:r>
      <w:r>
        <w:rPr>
          <w:rFonts w:ascii="Times New Roman" w:eastAsia="Times New Roman" w:hAnsi="Times New Roman" w:cs="Times New Roman"/>
          <w:b w:val="0"/>
          <w:bCs w:val="0"/>
          <w:i/>
          <w:iCs/>
          <w:color w:val="000000"/>
          <w:spacing w:val="0"/>
          <w:w w:val="100"/>
          <w:position w:val="0"/>
          <w:sz w:val="13"/>
          <w:szCs w:val="13"/>
          <w:shd w:val="clear" w:color="auto" w:fill="auto"/>
          <w:lang w:val="hr-HR" w:eastAsia="hr-HR" w:bidi="hr-HR"/>
        </w:rPr>
        <w:t>al-Askari (873174)</w:t>
      </w:r>
    </w:p>
    <w:p>
      <w:pPr>
        <w:pStyle w:val="Style49"/>
        <w:keepNext w:val="0"/>
        <w:keepLines w:val="0"/>
        <w:widowControl w:val="0"/>
        <w:shd w:val="clear" w:color="auto" w:fill="auto"/>
        <w:bidi w:val="0"/>
        <w:spacing w:before="0" w:after="0" w:line="240" w:lineRule="auto"/>
        <w:ind w:left="5" w:right="0" w:firstLine="0"/>
        <w:jc w:val="left"/>
        <w:rPr>
          <w:sz w:val="15"/>
          <w:szCs w:val="15"/>
        </w:rPr>
      </w:pPr>
      <w:r>
        <w:rPr>
          <w:rFonts w:ascii="Times New Roman" w:eastAsia="Times New Roman" w:hAnsi="Times New Roman" w:cs="Times New Roman"/>
          <w:b w:val="0"/>
          <w:bCs w:val="0"/>
          <w:color w:val="000000"/>
          <w:spacing w:val="0"/>
          <w:w w:val="100"/>
          <w:position w:val="0"/>
          <w:sz w:val="15"/>
          <w:szCs w:val="15"/>
          <w:shd w:val="clear" w:color="auto" w:fill="auto"/>
          <w:lang w:val="hr-HR" w:eastAsia="hr-HR" w:bidi="hr-HR"/>
        </w:rPr>
        <w:t>I</w:t>
      </w:r>
    </w:p>
    <w:p>
      <w:pPr>
        <w:pStyle w:val="Style49"/>
        <w:keepNext w:val="0"/>
        <w:keepLines w:val="0"/>
        <w:widowControl w:val="0"/>
        <w:shd w:val="clear" w:color="auto" w:fill="auto"/>
        <w:bidi w:val="0"/>
        <w:spacing w:before="0" w:after="0" w:line="271" w:lineRule="auto"/>
        <w:ind w:left="5" w:right="0" w:firstLine="0"/>
        <w:jc w:val="left"/>
        <w:rPr>
          <w:sz w:val="13"/>
          <w:szCs w:val="13"/>
        </w:rPr>
      </w:pPr>
      <w:r>
        <w:rPr>
          <w:rFonts w:ascii="Arial" w:eastAsia="Arial" w:hAnsi="Arial" w:cs="Arial"/>
          <w:b w:val="0"/>
          <w:bCs w:val="0"/>
          <w:color w:val="000000"/>
          <w:spacing w:val="0"/>
          <w:w w:val="100"/>
          <w:position w:val="0"/>
          <w:sz w:val="13"/>
          <w:szCs w:val="13"/>
          <w:shd w:val="clear" w:color="auto" w:fill="auto"/>
          <w:lang w:val="hr-HR" w:eastAsia="hr-HR" w:bidi="hr-HR"/>
        </w:rPr>
        <w:t xml:space="preserve">12. </w:t>
      </w:r>
      <w:r>
        <w:rPr>
          <w:rFonts w:ascii="Times New Roman" w:eastAsia="Times New Roman" w:hAnsi="Times New Roman" w:cs="Times New Roman"/>
          <w:b w:val="0"/>
          <w:bCs w:val="0"/>
          <w:i/>
          <w:iCs/>
          <w:color w:val="000000"/>
          <w:spacing w:val="0"/>
          <w:w w:val="100"/>
          <w:position w:val="0"/>
          <w:sz w:val="13"/>
          <w:szCs w:val="13"/>
          <w:shd w:val="clear" w:color="auto" w:fill="auto"/>
          <w:lang w:val="hr-HR" w:eastAsia="hr-HR" w:bidi="hr-HR"/>
        </w:rPr>
        <w:t xml:space="preserve">Muhamed al-Mahdi </w:t>
      </w:r>
      <w:r>
        <w:rPr>
          <w:rFonts w:ascii="Arial" w:eastAsia="Arial" w:hAnsi="Arial" w:cs="Arial"/>
          <w:b w:val="0"/>
          <w:bCs w:val="0"/>
          <w:color w:val="000000"/>
          <w:spacing w:val="0"/>
          <w:w w:val="100"/>
          <w:position w:val="0"/>
          <w:sz w:val="13"/>
          <w:szCs w:val="13"/>
          <w:shd w:val="clear" w:color="auto" w:fill="auto"/>
          <w:lang w:val="hr-HR" w:eastAsia="hr-HR" w:bidi="hr-HR"/>
        </w:rPr>
        <w:t>(874, nestao) (duodecimiti, imamiti)</w:t>
      </w:r>
    </w:p>
    <w:p>
      <w:pPr>
        <w:widowControl w:val="0"/>
        <w:spacing w:after="279" w:line="1" w:lineRule="exact"/>
      </w:pP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Dok su zaiditi (danas ih još uvijek ima u Je</w:t>
        <w:softHyphen/>
        <w:t>menu) po vjeronauku i pravnome nauku naj</w:t>
        <w:softHyphen/>
        <w:t>bliži sunitima, od njih su najekstremnije uda</w:t>
        <w:softHyphen/>
        <w:t>ljeni ismailiti (rasuti po Jemenu, Siriji, Iranu, Indiji, Afganistanu, Turkistanu, Africi itd.) sa svojim nadasve ezoteričnim i složenim svjeto</w:t>
        <w:softHyphen/>
        <w:t>nazorom. Većinu današnjih šijita čine imamiti (u Iranu, gdje je to državna religija, Iraku, Siriji, Libanonu, te kao manjina u Afganista</w:t>
        <w:softHyphen/>
        <w:t>nu, Saudijskoj Arabiji itd.).</w:t>
      </w:r>
    </w:p>
    <w:p>
      <w:pPr>
        <w:pStyle w:val="Style20"/>
        <w:keepNext w:val="0"/>
        <w:keepLines w:val="0"/>
        <w:widowControl w:val="0"/>
        <w:shd w:val="clear" w:color="auto" w:fill="auto"/>
        <w:bidi w:val="0"/>
        <w:spacing w:before="0" w:after="1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Imamiti odbacuju svako obogotvorenje ima</w:t>
        <w:softHyphen/>
        <w:t>ma te i njihovo štovanje koje ih uzdiže iznad Muhameda. No oni se ipak drže svojih imama kao religiozno-obvezatnih autoriteta. Kada se danas govori o šijitima, tada se primarno misli na njih, ne samo zbog događaja u Iranu. U vjeronauku se ti imamiti razlikuju od sunita po tome što se pored tri članka vjere (vje</w:t>
        <w:softHyphen/>
        <w:t>rovanje u Boga, proroštvo i povratak nakon smrti na strašnome sudu), koja su općenito obvezatna za sve muslimane, drže još dva članka koja su za sunite važne sastavnice is</w:t>
        <w:softHyphen/>
        <w:t>lamskoga nauka, ali koji se ne smatraju kri</w:t>
        <w:softHyphen/>
        <w:t>terijem vjere, naime imamata (vođenje ume) i Božje pravednosti (‘adi). Jednako kao i suniti, oni se u nauku o dužnosti prije svega drže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Kurana kao primarnoga, nepatvorenog, nepro</w:t>
        <w:softHyphen/>
        <w:t>mijenjenog i neokrnjenog izvora islamskoga nauka.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(Svjesno plasirana teza, da jc Kuran po šijiti</w:t>
        <w:softHyphen/>
        <w:t>ma nepotpun, svodi se na neznatan broj al- hbarita, nekritičkih tradicionalista, koji skupa sa sunitskim hasvitima, također nekritičkim tradicionalistima, iz apologetskih razloga po</w:t>
        <w:softHyphen/>
        <w:t>stavljaju tvrdnju da Kuranu nedostaju odre</w:t>
        <w:softHyphen/>
        <w:t>đene fraze ili čak sure koje podupiru njihove tendenciozne teze; to je teza koju izričito od</w:t>
        <w:softHyphen/>
        <w:t>bacuju pristaše idžtihada šijitskog i sunitskog smjera, dakle oko 97% učenjaka.)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Imamiti se također drže prorokove sune kao drugoga najvažnijeg izvora islamskoga nauka. Tu se oni od sunita razlikuju po tome što daju prvenstvo lancu predaja koje potječu od nji</w:t>
        <w:softHyphen/>
        <w:t>hovih imama kao od prorokove obitelji (Ahl al-Bait) koju štuju svi muslimani. Ti imamiti u potpunosti prihvaćaju sunitske predaje, koje su također ustvrđene na temelju kritičke me</w:t>
        <w:softHyphen/>
        <w:t>tode, i primjenjuju ih u moralnim i pravnim pitanjima, ako one nisu proturječne onim su</w:t>
        <w:softHyphen/>
        <w:t>nitskim predajama koje su potvrđene preko prorokove obitelji.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Time imamiti čine velike pravne škole (ma- džhb) nasuprot jednoj samostalnoj pravnoj školi koja se po 6. imamu Džafaru al-Sadiku (čijem krugu pripadaju i sunitski imami kao što su Abu Hanifa [767] i </w:t>
      </w:r>
      <w:r>
        <w:rPr>
          <w:rFonts w:ascii="Times New Roman" w:eastAsia="Times New Roman" w:hAnsi="Times New Roman" w:cs="Times New Roman"/>
          <w:color w:val="000000"/>
          <w:spacing w:val="0"/>
          <w:w w:val="100"/>
          <w:position w:val="0"/>
          <w:shd w:val="clear" w:color="auto" w:fill="auto"/>
          <w:lang w:val="en-US" w:eastAsia="en-US" w:bidi="en-US"/>
        </w:rPr>
        <w:t xml:space="preserve">Malik </w:t>
      </w:r>
      <w:r>
        <w:rPr>
          <w:rFonts w:ascii="Times New Roman" w:eastAsia="Times New Roman" w:hAnsi="Times New Roman" w:cs="Times New Roman"/>
          <w:color w:val="000000"/>
          <w:spacing w:val="0"/>
          <w:w w:val="100"/>
          <w:position w:val="0"/>
          <w:shd w:val="clear" w:color="auto" w:fill="auto"/>
          <w:lang w:val="hr-HR" w:eastAsia="hr-HR" w:bidi="hr-HR"/>
        </w:rPr>
        <w:t>Ibn Abas [795]) - naziva džafaritska škola. No, do danas ipak izostaje historijsko-kritički prikaz te tra</w:t>
        <w:softHyphen/>
        <w:t>dicije koji razdvaja čiste predaje iz prorokove obitelji od onih nečistih koje su im podmet</w:t>
        <w:softHyphen/>
        <w:t>nute. Njihovo držanje imamata kao članka vjere ima za posljedicu to da se oni u pitanju očekivanja mahdija, koje je također zajednič</w:t>
        <w:softHyphen/>
        <w:t>ko dobro u islamu, razlikuju od sunita po to</w:t>
        <w:softHyphen/>
        <w:t>me što očekivanim mahdijem smatraju odre</w:t>
        <w:softHyphen/>
        <w:t xml:space="preserve">đenu osobu, 12. imama, dok će po njihovoj sunitskoj braći po vjeri (usp. natuknicu: Imam Ibn Hanbal, </w:t>
      </w:r>
      <w:r>
        <w:rPr>
          <w:rFonts w:ascii="Times New Roman" w:eastAsia="Times New Roman" w:hAnsi="Times New Roman" w:cs="Times New Roman"/>
          <w:i/>
          <w:iCs/>
          <w:color w:val="000000"/>
          <w:spacing w:val="0"/>
          <w:w w:val="100"/>
          <w:position w:val="0"/>
          <w:shd w:val="clear" w:color="auto" w:fill="auto"/>
          <w:lang w:val="hr-HR" w:eastAsia="hr-HR" w:bidi="hr-HR"/>
        </w:rPr>
        <w:t>al-Musnad,</w:t>
      </w:r>
      <w:r>
        <w:rPr>
          <w:rFonts w:ascii="Times New Roman" w:eastAsia="Times New Roman" w:hAnsi="Times New Roman" w:cs="Times New Roman"/>
          <w:color w:val="000000"/>
          <w:spacing w:val="0"/>
          <w:w w:val="100"/>
          <w:position w:val="0"/>
          <w:shd w:val="clear" w:color="auto" w:fill="auto"/>
          <w:lang w:val="hr-HR" w:eastAsia="hr-HR" w:bidi="hr-HR"/>
        </w:rPr>
        <w:t xml:space="preserve"> sv. 3, 37) mahdi još uvijek biti neodređena osoba, ali svakako iz reda Muhamedova potomstva </w:t>
      </w:r>
      <w:r>
        <w:rPr>
          <w:rFonts w:ascii="Times New Roman" w:eastAsia="Times New Roman" w:hAnsi="Times New Roman" w:cs="Times New Roman"/>
          <w:color w:val="000000"/>
          <w:spacing w:val="0"/>
          <w:w w:val="100"/>
          <w:position w:val="0"/>
          <w:shd w:val="clear" w:color="auto" w:fill="auto"/>
          <w:lang w:val="en-US" w:eastAsia="en-US" w:bidi="en-US"/>
        </w:rPr>
        <w:t>(‘it</w:t>
      </w:r>
      <w:r>
        <w:rPr>
          <w:rFonts w:ascii="Times New Roman" w:eastAsia="Times New Roman" w:hAnsi="Times New Roman" w:cs="Times New Roman"/>
          <w:color w:val="000000"/>
          <w:spacing w:val="0"/>
          <w:w w:val="100"/>
          <w:position w:val="0"/>
          <w:shd w:val="clear" w:color="auto" w:fill="auto"/>
          <w:lang w:val="hr-HR" w:eastAsia="hr-HR" w:bidi="hr-HR"/>
        </w:rPr>
        <w:t>ra).</w:t>
      </w:r>
    </w:p>
    <w:p>
      <w:pPr>
        <w:pStyle w:val="Style20"/>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15:footnoteColumns w:val="1"/>
          </w:footnotePr>
          <w:type w:val="continuous"/>
          <w:pgSz w:w="6816" w:h="11006"/>
          <w:pgMar w:top="1006" w:left="205" w:right="213" w:bottom="544" w:header="0" w:footer="3" w:gutter="0"/>
          <w:cols w:num="2" w:space="225"/>
          <w:noEndnote/>
          <w:rtlGutter w:val="0"/>
          <w:docGrid w:linePitch="360"/>
        </w:sectPr>
      </w:pPr>
      <w:r>
        <mc:AlternateContent>
          <mc:Choice Requires="wps">
            <w:drawing>
              <wp:anchor distT="25400" distB="254000" distL="114300" distR="114300" simplePos="0" relativeHeight="125829431" behindDoc="0" locked="0" layoutInCell="1" allowOverlap="1">
                <wp:simplePos x="0" y="0"/>
                <wp:positionH relativeFrom="page">
                  <wp:posOffset>142240</wp:posOffset>
                </wp:positionH>
                <wp:positionV relativeFrom="margin">
                  <wp:posOffset>6099175</wp:posOffset>
                </wp:positionV>
                <wp:extent cx="191770" cy="133985"/>
                <wp:wrapTopAndBottom/>
                <wp:docPr id="3159" name="Shape 3159"/>
                <a:graphic xmlns:a="http://schemas.openxmlformats.org/drawingml/2006/main">
                  <a:graphicData uri="http://schemas.microsoft.com/office/word/2010/wordprocessingShape">
                    <wps:wsp>
                      <wps:cNvSpPr txBox="1"/>
                      <wps:spPr>
                        <a:xfrm>
                          <a:ext cx="1917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 fin</w:t>
                            </w:r>
                          </w:p>
                        </w:txbxContent>
                      </wps:txbx>
                      <wps:bodyPr wrap="none" lIns="0" tIns="0" rIns="0" bIns="0">
                        <a:noAutoFit/>
                      </wps:bodyPr>
                    </wps:wsp>
                  </a:graphicData>
                </a:graphic>
              </wp:anchor>
            </w:drawing>
          </mc:Choice>
          <mc:Fallback>
            <w:pict>
              <v:shape id="_x0000_s4185" type="#_x0000_t202" style="position:absolute;margin-left:11.199999999999999pt;margin-top:480.25pt;width:15.1pt;height:10.550000000000001pt;z-index:-125829322;mso-wrap-distance-left:9.pt;mso-wrap-distance-top:2.pt;mso-wrap-distance-right:9.pt;mso-wrap-distance-bottom:20.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 fin</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Suprotno zaidilima (u Jemenu) i ismailitima (Fatimidi u Egiptu [909-1171|), duodecimiti- ma se - s nekim manjim iznimkama - nikada nije posrećilo da pod vodstvom svojih imama ili njihovih predstavnika osnuju neku dugo</w:t>
        <w:softHyphen/>
        <w:t xml:space="preserve">trajniju državu. I u državi koju su osnovali i održali Safavidi (od 1501) u Iranu radi se prije o vladavini koju su šijiti samo vršili i koju su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učenjaci ponekad smatrali legitimnom. Ten</w:t>
        <w:softHyphen/>
        <w:t>dencija u Iranu polazi danas od toga da se takva država treba postupno realizirati; to je pothvat koji zbog neiskustva stvara svim do</w:t>
        <w:softHyphen/>
        <w:t>tičnima brige iznutra i izvana.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Šijiti su bili utoliko po volji drugim muslima</w:t>
        <w:softHyphen/>
        <w:t>nima ukoliko su njihovi imami bili Muhame- dovo potomstvo koje su štovali i drugi musli</w:t>
        <w:softHyphen/>
        <w:t xml:space="preserve">mani. No, to je s druge strane također bilo štetno zato što je opća simpatija prema pro- rokovoj obitelji davala vladajućim kalifima poticaj za proganjanje nje i njezinih pristaša. Posljedica je bila zapovijed skrivanja vjere </w:t>
      </w:r>
      <w:r>
        <w:rPr>
          <w:rFonts w:ascii="Times New Roman" w:eastAsia="Times New Roman" w:hAnsi="Times New Roman" w:cs="Times New Roman"/>
          <w:color w:val="000000"/>
          <w:spacing w:val="0"/>
          <w:w w:val="100"/>
          <w:position w:val="0"/>
          <w:shd w:val="clear" w:color="auto" w:fill="auto"/>
          <w:lang w:val="en-US" w:eastAsia="en-US" w:bidi="en-US"/>
        </w:rPr>
        <w:t xml:space="preserve">(taqiya) </w:t>
      </w:r>
      <w:r>
        <w:rPr>
          <w:rFonts w:ascii="Times New Roman" w:eastAsia="Times New Roman" w:hAnsi="Times New Roman" w:cs="Times New Roman"/>
          <w:color w:val="000000"/>
          <w:spacing w:val="0"/>
          <w:w w:val="100"/>
          <w:position w:val="0"/>
          <w:shd w:val="clear" w:color="auto" w:fill="auto"/>
          <w:lang w:val="hr-HR" w:eastAsia="hr-HR" w:bidi="hr-HR"/>
        </w:rPr>
        <w:t xml:space="preserve">koja je svakako važila samo tamo gdje je postojala opasnost po život. Ali, nasuprot tomu, tada je svugdje, pa i tamo gdje nije bilo </w:t>
      </w:r>
      <w:r>
        <w:rPr>
          <w:rFonts w:ascii="Times New Roman" w:eastAsia="Times New Roman" w:hAnsi="Times New Roman" w:cs="Times New Roman"/>
          <w:color w:val="000000"/>
          <w:spacing w:val="0"/>
          <w:w w:val="100"/>
          <w:position w:val="0"/>
          <w:shd w:val="clear" w:color="auto" w:fill="auto"/>
          <w:lang w:val="hr-HR" w:eastAsia="hr-HR" w:bidi="hr-HR"/>
        </w:rPr>
        <w:t>takvih proganjanja, postao plodan međusobni odnos učitelja i učenika između sunita i šijita prilikom izgradnje i prilikom daljnje provedbe općenitoga islamskog nauka o vjeri i dužnosti kao i prilikom izgradnje islamskih znanosti.</w:t>
      </w:r>
    </w:p>
    <w:p>
      <w:pPr>
        <w:pStyle w:val="Style56"/>
        <w:keepNext w:val="0"/>
        <w:keepLines w:val="0"/>
        <w:widowControl w:val="0"/>
        <w:shd w:val="clear" w:color="auto" w:fill="auto"/>
        <w:tabs>
          <w:tab w:pos="2323" w:val="left"/>
        </w:tabs>
        <w:bidi w:val="0"/>
        <w:spacing w:before="0" w:after="0" w:line="240" w:lineRule="auto"/>
        <w:ind w:left="0" w:right="0" w:firstLine="0"/>
        <w:jc w:val="both"/>
        <w:sectPr>
          <w:headerReference w:type="default" r:id="rId1467"/>
          <w:footerReference w:type="default" r:id="rId1468"/>
          <w:headerReference w:type="even" r:id="rId1469"/>
          <w:footerReference w:type="even" r:id="rId1470"/>
          <w:footnotePr>
            <w:pos w:val="pageBottom"/>
            <w:numFmt w:val="decimal"/>
            <w:numRestart w:val="continuous"/>
            <w15:footnoteColumns w:val="1"/>
          </w:footnotePr>
          <w:pgSz w:w="6816" w:h="11006"/>
          <w:pgMar w:top="1006" w:left="205" w:right="213" w:bottom="544" w:header="0" w:footer="3" w:gutter="0"/>
          <w:pgNumType w:start="481"/>
          <w:cols w:num="2" w:space="225"/>
          <w:noEndnote/>
          <w:rtlGutter w:val="0"/>
          <w:docGrid w:linePitch="360"/>
        </w:sectPr>
      </w:pPr>
      <w:r>
        <w:rPr>
          <w:color w:val="000000"/>
          <w:spacing w:val="0"/>
          <w:w w:val="100"/>
          <w:position w:val="0"/>
          <w:shd w:val="clear" w:color="auto" w:fill="auto"/>
          <w:lang w:val="hr-HR" w:eastAsia="hr-HR" w:bidi="hr-HR"/>
        </w:rPr>
        <w:t xml:space="preserve">Lit.: R. Strothmann. </w:t>
      </w:r>
      <w:r>
        <w:rPr>
          <w:i/>
          <w:iCs/>
          <w:color w:val="000000"/>
          <w:spacing w:val="0"/>
          <w:w w:val="100"/>
          <w:position w:val="0"/>
          <w:shd w:val="clear" w:color="auto" w:fill="auto"/>
          <w:lang w:val="hr-HR" w:eastAsia="hr-HR" w:bidi="hr-HR"/>
        </w:rPr>
        <w:t>Kultus der Zaidiien,</w:t>
      </w:r>
      <w:r>
        <w:rPr>
          <w:color w:val="000000"/>
          <w:spacing w:val="0"/>
          <w:w w:val="100"/>
          <w:position w:val="0"/>
          <w:shd w:val="clear" w:color="auto" w:fill="auto"/>
          <w:lang w:val="hr-HR" w:eastAsia="hr-HR" w:bidi="hr-HR"/>
        </w:rPr>
        <w:t xml:space="preserve"> Straflburg 1912; isti, </w:t>
      </w:r>
      <w:r>
        <w:rPr>
          <w:i/>
          <w:iCs/>
          <w:color w:val="000000"/>
          <w:spacing w:val="0"/>
          <w:w w:val="100"/>
          <w:position w:val="0"/>
          <w:shd w:val="clear" w:color="auto" w:fill="auto"/>
          <w:lang w:val="hr-HR" w:eastAsia="hr-HR" w:bidi="hr-HR"/>
        </w:rPr>
        <w:t>Dus Staatsrecht der Zaidilcn,</w:t>
      </w:r>
      <w:r>
        <w:rPr>
          <w:color w:val="000000"/>
          <w:spacing w:val="0"/>
          <w:w w:val="100"/>
          <w:position w:val="0"/>
          <w:shd w:val="clear" w:color="auto" w:fill="auto"/>
          <w:lang w:val="hr-HR" w:eastAsia="hr-HR" w:bidi="hr-HR"/>
        </w:rPr>
        <w:t xml:space="preserve"> SlraBburg 1912; isti.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Ztvoifer-Schia,</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Leipzig </w:t>
      </w:r>
      <w:r>
        <w:rPr>
          <w:color w:val="000000"/>
          <w:spacing w:val="0"/>
          <w:w w:val="100"/>
          <w:position w:val="0"/>
          <w:shd w:val="clear" w:color="auto" w:fill="auto"/>
          <w:lang w:val="hr-HR" w:eastAsia="hr-HR" w:bidi="hr-HR"/>
        </w:rPr>
        <w:t xml:space="preserve">1926; </w:t>
      </w:r>
      <w:r>
        <w:rPr>
          <w:color w:val="000000"/>
          <w:spacing w:val="0"/>
          <w:w w:val="100"/>
          <w:position w:val="0"/>
          <w:shd w:val="clear" w:color="auto" w:fill="auto"/>
        </w:rPr>
        <w:t xml:space="preserve">A. Falaturi, Die Zwolfcr- Schia aus dcr Sicht cincs Schiiten, u: </w:t>
      </w:r>
      <w:r>
        <w:rPr>
          <w:i/>
          <w:iCs/>
          <w:color w:val="000000"/>
          <w:spacing w:val="0"/>
          <w:w w:val="100"/>
          <w:position w:val="0"/>
          <w:shd w:val="clear" w:color="auto" w:fill="auto"/>
        </w:rPr>
        <w:t>Festschrift fiir W. Cas</w:t>
        <w:softHyphen/>
        <w:t>hel,</w:t>
      </w:r>
      <w:r>
        <w:rPr>
          <w:color w:val="000000"/>
          <w:spacing w:val="0"/>
          <w:w w:val="100"/>
          <w:position w:val="0"/>
          <w:shd w:val="clear" w:color="auto" w:fill="auto"/>
        </w:rPr>
        <w:t xml:space="preserve"> hrsg. von Erwin Graf, Leiden 1968; 62-95; </w:t>
      </w:r>
      <w:r>
        <w:rPr>
          <w:i/>
          <w:iCs/>
          <w:color w:val="000000"/>
          <w:spacing w:val="0"/>
          <w:w w:val="100"/>
          <w:position w:val="0"/>
          <w:shd w:val="clear" w:color="auto" w:fill="auto"/>
        </w:rPr>
        <w:t>Le Shl'isme Imdmiic</w:t>
      </w:r>
      <w:r>
        <w:rPr>
          <w:color w:val="000000"/>
          <w:spacing w:val="0"/>
          <w:w w:val="100"/>
          <w:position w:val="0"/>
          <w:shd w:val="clear" w:color="auto" w:fill="auto"/>
        </w:rPr>
        <w:t xml:space="preserve"> (Culloquc de Strasbourg 6-9 mai 1968), Paris 1970; B. Lewis, </w:t>
      </w:r>
      <w:r>
        <w:rPr>
          <w:i/>
          <w:iCs/>
          <w:color w:val="000000"/>
          <w:spacing w:val="0"/>
          <w:w w:val="100"/>
          <w:position w:val="0"/>
          <w:shd w:val="clear" w:color="auto" w:fill="auto"/>
        </w:rPr>
        <w:t>The Origins of fcmd'tlism,</w:t>
      </w:r>
      <w:r>
        <w:rPr>
          <w:color w:val="000000"/>
          <w:spacing w:val="0"/>
          <w:w w:val="100"/>
          <w:position w:val="0"/>
          <w:shd w:val="clear" w:color="auto" w:fill="auto"/>
        </w:rPr>
        <w:t xml:space="preserve"> Cambridge 1940; W Madelung, Das Imamat in dcr friihen ismailuischcn Lc- hre, u: </w:t>
      </w:r>
      <w:r>
        <w:rPr>
          <w:i/>
          <w:iCs/>
          <w:color w:val="000000"/>
          <w:spacing w:val="0"/>
          <w:w w:val="100"/>
          <w:position w:val="0"/>
          <w:shd w:val="clear" w:color="auto" w:fill="auto"/>
        </w:rPr>
        <w:t>Der Islam</w:t>
      </w:r>
      <w:r>
        <w:rPr>
          <w:color w:val="000000"/>
          <w:spacing w:val="0"/>
          <w:w w:val="100"/>
          <w:position w:val="0"/>
          <w:shd w:val="clear" w:color="auto" w:fill="auto"/>
        </w:rPr>
        <w:t xml:space="preserve"> 37 (1961), 43-135; 11. Laousi, </w:t>
      </w:r>
      <w:r>
        <w:rPr>
          <w:i/>
          <w:iCs/>
          <w:color w:val="000000"/>
          <w:spacing w:val="0"/>
          <w:w w:val="100"/>
          <w:position w:val="0"/>
          <w:shd w:val="clear" w:color="auto" w:fill="auto"/>
        </w:rPr>
        <w:t>Les schismes de I'lsiam,</w:t>
      </w:r>
      <w:r>
        <w:rPr>
          <w:color w:val="000000"/>
          <w:spacing w:val="0"/>
          <w:w w:val="100"/>
          <w:position w:val="0"/>
          <w:shd w:val="clear" w:color="auto" w:fill="auto"/>
        </w:rPr>
        <w:t xml:space="preserve"> Paris 1965; K. E. Muller, </w:t>
      </w:r>
      <w:r>
        <w:rPr>
          <w:i/>
          <w:iCs/>
          <w:color w:val="000000"/>
          <w:spacing w:val="0"/>
          <w:w w:val="100"/>
          <w:position w:val="0"/>
          <w:shd w:val="clear" w:color="auto" w:fill="auto"/>
        </w:rPr>
        <w:t>Kulturhisiori- sche Sludie zur Genese preudo-islamischcr Seklengebilde in Vorderasien,</w:t>
      </w:r>
      <w:r>
        <w:rPr>
          <w:color w:val="000000"/>
          <w:spacing w:val="0"/>
          <w:w w:val="100"/>
          <w:position w:val="0"/>
          <w:shd w:val="clear" w:color="auto" w:fill="auto"/>
        </w:rPr>
        <w:t xml:space="preserve"> Wiesbaden 1967.</w:t>
        <w:tab/>
        <w:t>A. FAIA IURI</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3" w:after="13" w:line="240" w:lineRule="exact"/>
        <w:rPr>
          <w:sz w:val="19"/>
          <w:szCs w:val="19"/>
        </w:rPr>
      </w:pPr>
    </w:p>
    <w:p>
      <w:pPr>
        <w:widowControl w:val="0"/>
        <w:spacing w:line="1" w:lineRule="exact"/>
        <w:sectPr>
          <w:headerReference w:type="default" r:id="rId1471"/>
          <w:footerReference w:type="default" r:id="rId1472"/>
          <w:headerReference w:type="even" r:id="rId1473"/>
          <w:footerReference w:type="even" r:id="rId1474"/>
          <w:headerReference w:type="first" r:id="rId1475"/>
          <w:footerReference w:type="first" r:id="rId1476"/>
          <w:footnotePr>
            <w:pos w:val="pageBottom"/>
            <w:numFmt w:val="decimal"/>
            <w:numRestart w:val="continuous"/>
            <w15:footnoteColumns w:val="1"/>
          </w:footnotePr>
          <w:pgSz w:w="6816" w:h="11006"/>
          <w:pgMar w:top="1006" w:left="180" w:right="185" w:bottom="526" w:header="0" w:footer="3" w:gutter="0"/>
          <w:cols w:num="2" w:space="175"/>
          <w:noEndnote/>
          <w:titlePg/>
          <w:rtlGutter w:val="0"/>
          <w:docGrid w:linePitch="360"/>
        </w:sectPr>
      </w:pP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TEOKRACIJA</w:t>
      </w:r>
    </w:p>
    <w:p>
      <w:pPr>
        <w:pStyle w:val="Style63"/>
        <w:keepNext/>
        <w:keepLines/>
        <w:widowControl w:val="0"/>
        <w:numPr>
          <w:ilvl w:val="0"/>
          <w:numId w:val="571"/>
        </w:numPr>
        <w:shd w:val="clear" w:color="auto" w:fill="auto"/>
        <w:tabs>
          <w:tab w:pos="250" w:val="left"/>
        </w:tabs>
        <w:bidi w:val="0"/>
        <w:spacing w:before="0"/>
        <w:ind w:left="0" w:right="0" w:firstLine="0"/>
        <w:jc w:val="both"/>
      </w:pPr>
      <w:bookmarkStart w:id="362" w:name="bookmark362"/>
      <w:r>
        <w:rPr>
          <w:rFonts w:ascii="Times New Roman" w:eastAsia="Times New Roman" w:hAnsi="Times New Roman" w:cs="Times New Roman"/>
          <w:color w:val="000000"/>
          <w:spacing w:val="0"/>
          <w:w w:val="100"/>
          <w:position w:val="0"/>
          <w:shd w:val="clear" w:color="auto" w:fill="auto"/>
          <w:lang w:val="hr-HR" w:eastAsia="hr-HR" w:bidi="hr-HR"/>
        </w:rPr>
        <w:t>židovski</w:t>
      </w:r>
      <w:bookmarkEnd w:id="362"/>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»Božji narod« i “Božja država«.</w:t>
      </w:r>
      <w:r>
        <w:rPr>
          <w:rFonts w:ascii="Times New Roman" w:eastAsia="Times New Roman" w:hAnsi="Times New Roman" w:cs="Times New Roman"/>
          <w:color w:val="000000"/>
          <w:spacing w:val="0"/>
          <w:w w:val="100"/>
          <w:position w:val="0"/>
          <w:shd w:val="clear" w:color="auto" w:fill="auto"/>
          <w:lang w:val="hr-HR" w:eastAsia="hr-HR" w:bidi="hr-HR"/>
        </w:rPr>
        <w:t xml:space="preserve"> Prema biblij</w:t>
        <w:softHyphen/>
        <w:t>skoj predaji Bog je pozvao Izrael na životni odnos (Izl 19,4-6; 24,7 i d.; 34,27), i Izrael ga je prihvatio (19,8; 24,3.7); taj odnos ima »teo- politički karakter« utoliko što »postavljanje cilja i puta ne polazi od nacije nego od Boga, i pritom ‘nije posrijedi religija’, nego Bog i na</w:t>
        <w:softHyphen/>
        <w:t>rod, pa se radi u političkom i socijalnom realiz</w:t>
        <w:softHyphen/>
        <w:t xml:space="preserve">mu o Božjem narodu, tako reći o preddržav- noj Božjoj državi«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en-US" w:eastAsia="en-US" w:bidi="en-US"/>
        </w:rPr>
        <w:t>Moses,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 xml:space="preserve">1966, 123.121.125). Taj životni odnos, u kojem se Bog sa svojim izabranim narodom udružuje u »teopoličko jedinstvo«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136), Izrael ost</w:t>
        <w:softHyphen/>
        <w:t xml:space="preserve">varuje samo ako se »sa svom svojom jezgrom i svim svojim funkcijama, s pravnim normama i ustanovama, s poretkom svojih unutarnjih i vanjskih veza«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126) kao »sveti narod« (Izl 19,6) preda Bogu. Izrael treba pripremiti Bogu temeljno ustrojstvo (20,1-17; Pnz 5,6-21) kao svojevrsnu zajednicu. Te »riječi Saveza, Dekalog«, koje je Mojsije zapisao »na ploče«, (Izl 34,28) stavljaju u vezu Božju vlast nad narodom (20,3-11) i unutarnju povezanost naroda (20,12-17) sjednom te istom stvarnoš</w:t>
        <w:softHyphen/>
        <w:t>ću koju stvara riječ: »JA sam Bog tvoj, koji sam te izveo iz zemlje egipatske, iz kuće rop</w:t>
        <w:softHyphen/>
        <w:t>stva« (20,2). No s nastankom izraelskoga kra</w:t>
        <w:softHyphen/>
        <w:t>ljevstva narod je bio izlagan sve većoj opas</w:t>
        <w:softHyphen/>
        <w:t>nosti da će se »teopolitički realizam« ranog razdoblja »preobraziti u kozmički neobvezat</w:t>
        <w:softHyphen/>
        <w:t xml:space="preserve">no i rasplinuti se«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op.cit. 188) i da je povijest kao puko političko područje ljudsko</w:t>
        <w:softHyphen/>
        <w:t>ga djelovanja oduzeta Božjoj vlasti. Samo u kritičkoj identifikaciji, koja također ima biblij</w:t>
        <w:softHyphen/>
        <w:t xml:space="preserve">ski oslonac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2,4 i d.; 3,1 i d.; 9,8; Pnz 7,6 i d ), židovski se narod mogao čvrsto držati sa- morazumljivosti izabranja Izraela u hebrej</w:t>
        <w:softHyphen/>
        <w:t xml:space="preserve">skoj Bibliji. Ovdje vrijedi stajalište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Bubera: »Židovstvo nije nacija u potpunosti.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Ono to i jest, ali i mnogo više, jer povrh toga posjeduje tu svoju karakterističnu povezanost s vjerskim poretkom.« Njegova ideja o »iza- branju ne znači nadmoć nego osjećaj pozva- nosti, ona ne polazi od uspoređivanja sebe s drugima nego od otvorene predanosti zada</w:t>
        <w:softHyphen/>
        <w:t>ći... Oblikovali su je proroci koji nisu odusta</w:t>
        <w:softHyphen/>
        <w:t xml:space="preserve">jali od opomene: Ako držite do izabranja i njime se hvalite umjesto da ga ostvarite, ako ga opredmećujete umjesto da ga slijedite kao zakon, izgubit ćete ga« (Nationalismus, 1921, u: </w:t>
      </w:r>
      <w:r>
        <w:rPr>
          <w:rFonts w:ascii="Times New Roman" w:eastAsia="Times New Roman" w:hAnsi="Times New Roman" w:cs="Times New Roman"/>
          <w:i/>
          <w:iCs/>
          <w:color w:val="000000"/>
          <w:spacing w:val="0"/>
          <w:w w:val="100"/>
          <w:position w:val="0"/>
          <w:shd w:val="clear" w:color="auto" w:fill="auto"/>
          <w:lang w:val="en-US" w:eastAsia="en-US" w:bidi="en-US"/>
        </w:rPr>
        <w:t>Ein Land and zwei Volker,</w:t>
      </w:r>
      <w:r>
        <w:rPr>
          <w:rFonts w:ascii="Times New Roman" w:eastAsia="Times New Roman" w:hAnsi="Times New Roman" w:cs="Times New Roman"/>
          <w:color w:val="000000"/>
          <w:spacing w:val="0"/>
          <w:w w:val="100"/>
          <w:position w:val="0"/>
          <w:shd w:val="clear" w:color="auto" w:fill="auto"/>
          <w:lang w:val="en-US" w:eastAsia="en-US" w:bidi="en-US"/>
        </w:rPr>
        <w:t xml:space="preserve"> P. R. Mendes</w:t>
        <w:softHyphen/>
        <w:t>-Flohr (Hrsg.), 1983, 70-83, 79-80).</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 xml:space="preserve">b) </w:t>
      </w:r>
      <w:r>
        <w:rPr>
          <w:rFonts w:ascii="Times New Roman" w:eastAsia="Times New Roman" w:hAnsi="Times New Roman" w:cs="Times New Roman"/>
          <w:i/>
          <w:iCs/>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 xml:space="preserve">Erec Jisraelu </w:t>
      </w:r>
      <w:r>
        <w:rPr>
          <w:rFonts w:ascii="Times New Roman" w:eastAsia="Times New Roman" w:hAnsi="Times New Roman" w:cs="Times New Roman"/>
          <w:i/>
          <w:iCs/>
          <w:color w:val="000000"/>
          <w:spacing w:val="0"/>
          <w:w w:val="100"/>
          <w:position w:val="0"/>
          <w:shd w:val="clear" w:color="auto" w:fill="auto"/>
          <w:lang w:val="hr-HR" w:eastAsia="hr-HR" w:bidi="hr-HR"/>
        </w:rPr>
        <w:t xml:space="preserve">rodio se židovski narod.« </w:t>
      </w:r>
      <w:r>
        <w:rPr>
          <w:rFonts w:ascii="Times New Roman" w:eastAsia="Times New Roman" w:hAnsi="Times New Roman" w:cs="Times New Roman"/>
          <w:color w:val="000000"/>
          <w:spacing w:val="0"/>
          <w:w w:val="100"/>
          <w:position w:val="0"/>
          <w:shd w:val="clear" w:color="auto" w:fill="auto"/>
          <w:lang w:val="hr-HR" w:eastAsia="hr-HR" w:bidi="hr-HR"/>
        </w:rPr>
        <w:t>Tim riječima počinje Deklaracija o nezavis</w:t>
        <w:softHyphen/>
        <w:t>nosti Države Izraela od 14.V.1948. Država Iz</w:t>
        <w:softHyphen/>
        <w:t>rael, utemeljena rezolucijom L'N-a od 29. XI. 1947, demokratska je, a ne teokratska država. No ona je stvorena i za židovski narod, koji od pamtivijeka živi po svojim zakonima i čija se Tora nipošto ne ograničava na dužnosti čo</w:t>
        <w:softHyphen/>
        <w:t>vjeka prema Bogu, nego uključuje i sve među</w:t>
        <w:softHyphen/>
        <w:t>sobne odnose čovjeka i bližnjega, pojedinca i zajednice i ne isključuje ni jedno područje ži</w:t>
        <w:softHyphen/>
        <w:t>vota kojim se ne bavi. Hebrejska Biblija i in- terpretativni, kontinuirani usmeni nauk kao i životni put (halaha) koji iz toga proizlazi ne poznaju, u skladu sa svojom prirodom, odvo</w:t>
        <w:softHyphen/>
        <w:t>jenost od židovskoga naroda i židovske reli</w:t>
        <w:softHyphen/>
        <w:t>gije, već znaju samo za elementarno jedinstvo religije i društva u Božjoj vlasti koja obuhvaća cijelu egzistenciju naroda. No u tome i jest problem Države Izrael: Postoji li židovstvo bez te predodžbe o sebi ukorijenjenoj u pre</w:t>
        <w:softHyphen/>
        <w:t>daji? Smije li postojati samo svjetovna židov</w:t>
        <w:softHyphen/>
        <w:t>ska država prema kojoj je židovski narod rav</w:t>
        <w:softHyphen/>
        <w:t>nodušan u predodžbi o svojoj sveukupnosti, koju je obilježila tradicija i vjernost Tori? Or- todoksija, koja se smatra obveznom prema predaji, traži da se Tora primjenjuje kao druš</w:t>
        <w:softHyphen/>
        <w:t xml:space="preserve">tveni nauk koji će davati smjernice za način života Židova u Izraelu. On, doduše, dopušta </w:t>
      </w:r>
      <w:r>
        <w:rPr>
          <w:rFonts w:ascii="Times New Roman" w:eastAsia="Times New Roman" w:hAnsi="Times New Roman" w:cs="Times New Roman"/>
          <w:color w:val="000000"/>
          <w:spacing w:val="0"/>
          <w:w w:val="100"/>
          <w:position w:val="0"/>
          <w:shd w:val="clear" w:color="auto" w:fill="auto"/>
          <w:lang w:val="hr-HR" w:eastAsia="hr-HR" w:bidi="hr-HR"/>
        </w:rPr>
        <w:t>da se posve osobne dužnosti, stečene odgo</w:t>
        <w:softHyphen/>
        <w:t>jem, uvjerenjem i dokazivanjem, prepuste sa</w:t>
        <w:softHyphen/>
        <w:t>vjesti i vjeri pojedinca, ali energično upozo</w:t>
        <w:softHyphen/>
        <w:t>rava na to da se priznaju zapovijedi koje se odnose na društvene propise - npr. vjenčanje i razvod, poštivanje sabata i blagdana u go</w:t>
        <w:softHyphen/>
        <w:t>spodarstvu - koji su potrebni cijeloj naciji zbog svoje valjanosti. Židovstvo vjerno Tori uvjereno je da se Božja suverenost priznaje samo u neprekidnom nastojanju da se život oblikuje u skladu s propisima o židovskom ži</w:t>
        <w:softHyphen/>
        <w:t>votnom putu prema Božjoj objavi. Stoga orto</w:t>
        <w:softHyphen/>
        <w:t>doksni krugovi teže za teokratskim oblikom života u Izraelu koji, prema njihovu mišljenju, jedini omogućava jedinstvo nacije i stvaranje socijalnih i sličnih normi ponašanja koje raz</w:t>
        <w:softHyphen/>
        <w:t>likuju Izrael od drugih naroda i jačaju vezu Židova u Erec Jisraelu i Židova »izvan zem</w:t>
        <w:softHyphen/>
        <w:t>lje« (u dijaspori).</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EE. Schcftclowitz, </w:t>
      </w:r>
      <w:r>
        <w:rPr>
          <w:i/>
          <w:iCs/>
          <w:color w:val="000000"/>
          <w:spacing w:val="0"/>
          <w:w w:val="100"/>
          <w:position w:val="0"/>
          <w:shd w:val="clear" w:color="auto" w:fill="auto"/>
        </w:rPr>
        <w:t xml:space="preserve">Das Religiose </w:t>
      </w:r>
      <w:r>
        <w:rPr>
          <w:i/>
          <w:iCs/>
          <w:color w:val="000000"/>
          <w:spacing w:val="0"/>
          <w:w w:val="100"/>
          <w:position w:val="0"/>
          <w:shd w:val="clear" w:color="auto" w:fill="auto"/>
          <w:lang w:val="hr-HR" w:eastAsia="hr-HR" w:bidi="hr-HR"/>
        </w:rPr>
        <w:t xml:space="preserve">Eherechs im </w:t>
      </w:r>
      <w:r>
        <w:rPr>
          <w:i/>
          <w:iCs/>
          <w:color w:val="000000"/>
          <w:spacing w:val="0"/>
          <w:w w:val="100"/>
          <w:position w:val="0"/>
          <w:shd w:val="clear" w:color="auto" w:fill="auto"/>
        </w:rPr>
        <w:t xml:space="preserve">Staat, </w:t>
      </w:r>
      <w:r>
        <w:rPr>
          <w:color w:val="000000"/>
          <w:spacing w:val="0"/>
          <w:w w:val="100"/>
          <w:position w:val="0"/>
          <w:shd w:val="clear" w:color="auto" w:fill="auto"/>
        </w:rPr>
        <w:t xml:space="preserve">1970;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Die religiose Lage in Israel, </w:t>
      </w:r>
      <w:r>
        <w:rPr>
          <w:color w:val="000000"/>
          <w:spacing w:val="0"/>
          <w:w w:val="100"/>
          <w:position w:val="0"/>
          <w:shd w:val="clear" w:color="auto" w:fill="auto"/>
          <w:lang w:val="hr-HR" w:eastAsia="hr-HR" w:bidi="hr-HR"/>
        </w:rPr>
        <w:t xml:space="preserve">u: </w:t>
      </w:r>
      <w:r>
        <w:rPr>
          <w:i/>
          <w:iCs/>
          <w:color w:val="000000"/>
          <w:spacing w:val="0"/>
          <w:w w:val="100"/>
          <w:position w:val="0"/>
          <w:shd w:val="clear" w:color="auto" w:fill="auto"/>
        </w:rPr>
        <w:t>Emuna</w:t>
      </w:r>
      <w:r>
        <w:rPr>
          <w:color w:val="000000"/>
          <w:spacing w:val="0"/>
          <w:w w:val="100"/>
          <w:position w:val="0"/>
          <w:shd w:val="clear" w:color="auto" w:fill="auto"/>
        </w:rPr>
        <w:t xml:space="preserve"> K 1970. 257-60, 1. S. Bcn-Mcir, Gcsctzgchung unJ judischc Relig</w:t>
        <w:softHyphen/>
        <w:t xml:space="preserve">ion &gt;n dor Sicht dcr Orthixloxcn, u: nav, dj., 261-63, </w:t>
      </w:r>
      <w:r>
        <w:rPr>
          <w:i/>
          <w:iCs/>
          <w:color w:val="000000"/>
          <w:spacing w:val="0"/>
          <w:w w:val="100"/>
          <w:position w:val="0"/>
          <w:shd w:val="clear" w:color="auto" w:fill="auto"/>
        </w:rPr>
        <w:t>Ency</w:t>
        <w:softHyphen/>
        <w:t>clopaedia Judaica</w:t>
      </w:r>
      <w:r>
        <w:rPr>
          <w:color w:val="000000"/>
          <w:spacing w:val="0"/>
          <w:w w:val="100"/>
          <w:position w:val="0"/>
          <w:shd w:val="clear" w:color="auto" w:fill="auto"/>
        </w:rPr>
        <w:t xml:space="preserve"> *1978, 2. 421-26; 9, 887-909.</w:t>
      </w:r>
    </w:p>
    <w:p>
      <w:pPr>
        <w:pStyle w:val="Style56"/>
        <w:keepNext w:val="0"/>
        <w:keepLines w:val="0"/>
        <w:widowControl w:val="0"/>
        <w:shd w:val="clear" w:color="auto" w:fill="auto"/>
        <w:bidi w:val="0"/>
        <w:spacing w:before="0" w:after="200" w:line="240" w:lineRule="auto"/>
        <w:ind w:left="0" w:right="0" w:firstLine="0"/>
        <w:jc w:val="right"/>
      </w:pPr>
      <w:r>
        <w:rPr>
          <w:color w:val="000000"/>
          <w:spacing w:val="0"/>
          <w:w w:val="100"/>
          <w:position w:val="0"/>
          <w:shd w:val="clear" w:color="auto" w:fill="auto"/>
        </w:rPr>
        <w:t>D. VET1T.R</w:t>
      </w:r>
    </w:p>
    <w:p>
      <w:pPr>
        <w:pStyle w:val="Style63"/>
        <w:keepNext/>
        <w:keepLines/>
        <w:widowControl w:val="0"/>
        <w:numPr>
          <w:ilvl w:val="0"/>
          <w:numId w:val="571"/>
        </w:numPr>
        <w:shd w:val="clear" w:color="auto" w:fill="auto"/>
        <w:tabs>
          <w:tab w:pos="260" w:val="left"/>
        </w:tabs>
        <w:bidi w:val="0"/>
        <w:spacing w:before="0" w:line="228" w:lineRule="auto"/>
        <w:ind w:left="0" w:right="0" w:firstLine="0"/>
        <w:jc w:val="both"/>
      </w:pPr>
      <w:bookmarkStart w:id="363" w:name="bookmark363"/>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63"/>
    </w:p>
    <w:p>
      <w:pPr>
        <w:pStyle w:val="Style20"/>
        <w:keepNext w:val="0"/>
        <w:keepLines w:val="0"/>
        <w:widowControl w:val="0"/>
        <w:shd w:val="clear" w:color="auto" w:fill="auto"/>
        <w:bidi w:val="0"/>
        <w:spacing w:before="0" w:after="14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 </w:t>
      </w:r>
      <w:r>
        <w:rPr>
          <w:rFonts w:ascii="Times New Roman" w:eastAsia="Times New Roman" w:hAnsi="Times New Roman" w:cs="Times New Roman"/>
          <w:color w:val="000000"/>
          <w:spacing w:val="0"/>
          <w:w w:val="100"/>
          <w:position w:val="0"/>
          <w:shd w:val="clear" w:color="auto" w:fill="auto"/>
          <w:lang w:val="hr-HR" w:eastAsia="hr-HR" w:bidi="hr-HR"/>
        </w:rPr>
        <w:t>je politička struktura u kojoj država i reli</w:t>
        <w:softHyphen/>
        <w:t>gija čine jedinstvo. Religija pritom stoji jed</w:t>
        <w:softHyphen/>
        <w:t>nako tako u službi države kao što država stoji u službi religije. Država jamči potpunu vla</w:t>
        <w:softHyphen/>
        <w:t>davinu religije, često proglašavane državnom religijom i neograničenu važnost religioznih institucija na svim područjima života. Na dru</w:t>
        <w:softHyphen/>
        <w:t>goj strani, religija pridonosi stabilnosti države, podupire državni autoritet i odobrava posto</w:t>
        <w:softHyphen/>
        <w:t>jeći poredak u ime božanskih zapovijedi i pro</w:t>
        <w:softHyphen/>
        <w:t>pisa. Povijest pokazuje da velike religije poka</w:t>
        <w:softHyphen/>
        <w:t>zuju tendenciju za promicanjem teokratskog poretka i da teže za položajem državne reli</w:t>
        <w:softHyphen/>
        <w:t>gije ili ga priželjkuju. Jer, ako religija uz vjer</w:t>
        <w:softHyphen/>
        <w:t>sko djelovanje sadrži društveni izraz, tada teži prožeti i odrediti ukupni život pojedinaca i ukupno područje društvenog života. No, to najsigurnije slijedi iz skladnog suživota države i religije. Kako je religija zainteresirana za to da se isključi svaka opasnost koja proizlazi iz napetosti i uzajamnog suzbijanja dviju sila u društvu, rado teži za vodećom ulogom u druš</w:t>
        <w:softHyphen/>
        <w:t>tvu pa čak i za kontroliranjem države da bi mogla oblikovati i voditi sveukupno društvo prema svojim pravilima.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povijesti kršćanstva ova se težnja najjasnije pokazala u srednjem vijeku u borbi Crkve s carem za vodeću ulogu u društvu i državi. Ra</w:t>
        <w:softHyphen/>
        <w:t>ni kršćani shvaćali su se kao Božji narod na hodočašću koji je u svijetu, ali nije od svijeta. Kada su u rano vrijeme kršćani još bili pod pritiskom neprijateljski raspoloženoga držav</w:t>
        <w:softHyphen/>
        <w:t>nog poretka i društva, naglasak su stavljali više na prolaznost ovoga svijeta čiji je svršetak svijetlio na horizontu njihova očekivanja sko- rog Spasiteljeva dolaska i na asketskoj pro</w:t>
        <w:softHyphen/>
        <w:t>mjeni života koji se okrenuo od svijeta, da hi prevladali neprijateljstvo i pokvarenost svijeta i da bi vjernike odalečili od prijetećih opas</w:t>
        <w:softHyphen/>
        <w:t>nosti. No, nužnost da i dalje žive u svijetu, vo</w:t>
        <w:softHyphen/>
        <w:t>dila je kršćane do razvoja takvog shvaćanja o kršćanskoj poruci koje je željelo preporučiti ne samo vanjski ili unutarnji bijeg kao sred</w:t>
        <w:softHyphen/>
        <w:t>stvo za svladavanje svijeta. Pojam Božjega kraljevstva u NZ nudio je za to prikladno po</w:t>
        <w:softHyphen/>
        <w:t>lazište. Naviještanjcm kršćanske poruke svijet treba biti preoblikovan u kraljevstvo Božje. Konstantinovska era omogućavala je prve ko</w:t>
        <w:softHyphen/>
        <w:t>rake do tog cilja. Nakon raspada antiknog svijeta željama Crkve suprotstavljale su se težnje svjetovne vlasti. Država i Crkva nasto</w:t>
        <w:softHyphen/>
        <w:t>jale su međusobno uspostaviti skladnu surad</w:t>
        <w:softHyphen/>
        <w:t>nju. Traženi sklad i jedinstvo praktički su se kolebali između dvaju oblika: Crkva bi morala biti u službi države - država bi se morala pod</w:t>
        <w:softHyphen/>
        <w:t>ložiti Crkvi.</w:t>
      </w:r>
    </w:p>
    <w:p>
      <w:pPr>
        <w:pStyle w:val="Style20"/>
        <w:keepNext w:val="0"/>
        <w:keepLines w:val="0"/>
        <w:widowControl w:val="0"/>
        <w:shd w:val="clear" w:color="auto" w:fill="auto"/>
        <w:bidi w:val="0"/>
        <w:spacing w:before="0" w:after="0"/>
        <w:ind w:left="0" w:right="0" w:firstLine="0"/>
        <w:jc w:val="both"/>
        <w:sectPr>
          <w:footnotePr>
            <w:pos w:val="pageBottom"/>
            <w:numFmt w:val="decimal"/>
            <w:numRestart w:val="continuous"/>
            <w15:footnoteColumns w:val="1"/>
          </w:footnotePr>
          <w:type w:val="continuous"/>
          <w:pgSz w:w="6816" w:h="11006"/>
          <w:pgMar w:top="1006" w:left="180" w:right="185" w:bottom="526" w:header="0" w:footer="3" w:gutter="0"/>
          <w:cols w:num="2" w:space="175"/>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ranom srednjem vijeku Crkva je nastupila kao jedina kulturna snaga i odgojiteljica novih naroda i kao snažan faktor poretka u držav</w:t>
        <w:softHyphen/>
        <w:t>nim institucijama. Stvorilo se skladno jedin</w:t>
        <w:softHyphen/>
        <w:t>stvo između religioznog vodstva i državne pre</w:t>
        <w:softHyphen/>
        <w:t>tenzije za vlašću. No, kada su se počela u Eu</w:t>
        <w:softHyphen/>
        <w:t>ropi oblikovati kršćanska kraljevstva, carevi su pokušavali krunjenjem od strane pape steći sakralno posvećenje. Tako je mogao nastati oblik teokracije u kojem je car predstavljao najvišu instanciju koja je Crkvu koristila kao svoju potporu, a nju je posebno zaštićivala. S papom Grgurom VII. došlo je u XI. stoljeću do prekretnice, pa je papa imao prevlast nad carem. Crkva ima zadaću, tako je argumenti</w:t>
        <w:softHyphen/>
        <w:t>rao papa, liječiti ranjeni svijet; zato mora papa vršiti vrhovnu vlast nad čitavim kršćanstvom; papa je, dakle, nadmoćan caru i sada treba određivati što služi dobru kršćanstva i kako kršćanstvo treba ispunjavati svoju svetu zada</w:t>
        <w:softHyphen/>
        <w:t>ću. Ove postavke koje su trebale okrenuti teo-</w:t>
      </w:r>
    </w:p>
    <w:p>
      <w:pPr>
        <w:pStyle w:val="Style85"/>
        <w:keepNext w:val="0"/>
        <w:keepLines w:val="0"/>
        <w:widowControl w:val="0"/>
        <w:pBdr>
          <w:bottom w:val="single" w:sz="4" w:space="0" w:color="auto"/>
        </w:pBdr>
        <w:shd w:val="clear" w:color="auto" w:fill="auto"/>
        <w:bidi w:val="0"/>
        <w:spacing w:before="0" w:after="0" w:line="240" w:lineRule="auto"/>
        <w:ind w:left="0" w:right="0" w:firstLine="0"/>
        <w:jc w:val="left"/>
        <w:sectPr>
          <w:headerReference w:type="default" r:id="rId1477"/>
          <w:footerReference w:type="default" r:id="rId1478"/>
          <w:headerReference w:type="even" r:id="rId1479"/>
          <w:footerReference w:type="even" r:id="rId1480"/>
          <w:headerReference w:type="first" r:id="rId1481"/>
          <w:footerReference w:type="first" r:id="rId1482"/>
          <w:footnotePr>
            <w:pos w:val="pageBottom"/>
            <w:numFmt w:val="decimal"/>
            <w:numRestart w:val="continuous"/>
            <w15:footnoteColumns w:val="1"/>
          </w:footnotePr>
          <w:pgSz w:w="6816" w:h="11006"/>
          <w:pgMar w:top="638" w:left="197" w:right="226" w:bottom="275" w:header="0" w:footer="3" w:gutter="0"/>
          <w:pgNumType w:start="488"/>
          <w:cols w:space="720"/>
          <w:noEndnote/>
          <w:titlePg/>
          <w:rtlGutter w:val="0"/>
          <w:docGrid w:linePitch="360"/>
        </w:sectPr>
      </w:pPr>
      <w:r>
        <w:rPr>
          <w:color w:val="000000"/>
          <w:spacing w:val="0"/>
          <w:w w:val="100"/>
          <w:position w:val="0"/>
          <w:shd w:val="clear" w:color="auto" w:fill="auto"/>
        </w:rPr>
        <w:t>teokracija/teoi.ogija</w:t>
      </w:r>
    </w:p>
    <w:p>
      <w:pPr>
        <w:widowControl w:val="0"/>
        <w:spacing w:line="76" w:lineRule="exact"/>
        <w:rPr>
          <w:sz w:val="6"/>
          <w:szCs w:val="6"/>
        </w:rPr>
      </w:pPr>
    </w:p>
    <w:p>
      <w:pPr>
        <w:widowControl w:val="0"/>
        <w:spacing w:line="1" w:lineRule="exact"/>
        <w:sectPr>
          <w:footnotePr>
            <w:pos w:val="pageBottom"/>
            <w:numFmt w:val="decimal"/>
            <w:numRestart w:val="continuous"/>
            <w15:footnoteColumns w:val="1"/>
          </w:footnotePr>
          <w:type w:val="continuous"/>
          <w:pgSz w:w="6816" w:h="11006"/>
          <w:pgMar w:top="835" w:left="0" w:right="0" w:bottom="278" w:header="0" w:footer="3" w:gutter="0"/>
          <w:cols w:space="720"/>
          <w:noEndnote/>
          <w:rtlGutter w:val="0"/>
          <w:docGrid w:linePitch="360"/>
        </w:sectPr>
      </w:pP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kraciju u korist pape vodile su do borbi za vlast između careva i papa i do heretičkih po</w:t>
        <w:softHyphen/>
        <w:t>kreta koji su prosvjedovali protiv svjetovnih pretenzija papa za vlašću i protiv posvjetov- Ijenja religije.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kasnom srednjem vijeku ove su borbe pro</w:t>
        <w:softHyphen/>
        <w:t>budile čežnju za skladnim suživotom Crkve i države. Religioznim crkvenim životom isklju</w:t>
        <w:softHyphen/>
        <w:t>čivo su vladali klerici. Crkva je razvijala svoje pretenzije za vlašću i širila svoju moć na raz</w:t>
        <w:softHyphen/>
        <w:t>ličita područja javnog života. Tako je kršćan</w:t>
        <w:softHyphen/>
        <w:t>ska religija postala snažno institucionalizirana pučka Crkva i zauzimala je prvo mjesto na ljestvici društvenih kontrolnih instancija. Pra</w:t>
        <w:softHyphen/>
        <w:t>vovjerje koje je Crkva utvrdila služilo je one</w:t>
        <w:softHyphen/>
        <w:t>mogućavanju zastranjujućih gledišta. Etičke norme koje je Crkva proglasila obvezatnima određivale su ponašanje pojedinaca i različitih skupina. Bogoštovlje i oblici pobožnosti veza</w:t>
        <w:softHyphen/>
        <w:t>ni uz Crkvu određivali su život na svim njego</w:t>
        <w:softHyphen/>
        <w:t>vim područjima. Oblici uprave i pravni pore</w:t>
        <w:softHyphen/>
        <w:t>dak pridonijeli su klerikalizaciji kršćanstva. Tako je izvršeno i održano kulturno jedinstvo srednjega vijeka. Kao pandan ovom kultur</w:t>
        <w:softHyphen/>
        <w:t>nom jedinstvu u srednjem vijeku bio je racio- nalistički duh gradova u feudalnom društvu. Taj je duh na kraju srednjega vijeka ponovo oživio u nastajućem humanizmu koji se oslo</w:t>
        <w:softHyphen/>
        <w:t>bodio crkvene prevlasti i koji je potvrdio sa</w:t>
        <w:softHyphen/>
        <w:t>mostalnost znanosti naspram crkvenoj kon</w:t>
        <w:softHyphen/>
        <w:t>troli i djelomično je nametnuo. Moderno plu</w:t>
        <w:softHyphen/>
        <w:t>ralističko društvo stoji na crti toga human</w:t>
        <w:softHyphen/>
        <w:t>izma i odreklo se svakog oblika teokracije.</w:t>
      </w:r>
    </w:p>
    <w:p>
      <w:pPr>
        <w:pStyle w:val="Style56"/>
        <w:keepNext w:val="0"/>
        <w:keepLines w:val="0"/>
        <w:widowControl w:val="0"/>
        <w:shd w:val="clear" w:color="auto" w:fill="auto"/>
        <w:tabs>
          <w:tab w:pos="2395" w:val="left"/>
        </w:tabs>
        <w:bidi w:val="0"/>
        <w:spacing w:before="0" w:after="18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F. </w:t>
      </w:r>
      <w:r>
        <w:rPr>
          <w:color w:val="000000"/>
          <w:spacing w:val="0"/>
          <w:w w:val="100"/>
          <w:position w:val="0"/>
          <w:shd w:val="clear" w:color="auto" w:fill="auto"/>
        </w:rPr>
        <w:t xml:space="preserve">Kempf. </w:t>
      </w:r>
      <w:r>
        <w:rPr>
          <w:i/>
          <w:iCs/>
          <w:color w:val="000000"/>
          <w:spacing w:val="0"/>
          <w:w w:val="100"/>
          <w:position w:val="0"/>
          <w:shd w:val="clear" w:color="auto" w:fill="auto"/>
          <w:lang w:val="hr-HR" w:eastAsia="hr-HR" w:bidi="hr-HR"/>
        </w:rPr>
        <w:t xml:space="preserve">Papstum und Kaisertum bei Innozenz III., </w:t>
      </w:r>
      <w:r>
        <w:rPr>
          <w:color w:val="000000"/>
          <w:spacing w:val="0"/>
          <w:w w:val="100"/>
          <w:position w:val="0"/>
          <w:shd w:val="clear" w:color="auto" w:fill="auto"/>
          <w:lang w:val="hr-HR" w:eastAsia="hr-HR" w:bidi="hr-HR"/>
        </w:rPr>
        <w:t xml:space="preserve">Rom 1954; W. Utlmann, </w:t>
      </w:r>
      <w:r>
        <w:rPr>
          <w:i/>
          <w:iCs/>
          <w:color w:val="000000"/>
          <w:spacing w:val="0"/>
          <w:w w:val="100"/>
          <w:position w:val="0"/>
          <w:shd w:val="clear" w:color="auto" w:fill="auto"/>
          <w:lang w:val="hr-HR" w:eastAsia="hr-HR" w:bidi="hr-HR"/>
        </w:rPr>
        <w:t xml:space="preserve">Geschichle des Papnums im </w:t>
      </w:r>
      <w:r>
        <w:rPr>
          <w:i/>
          <w:iCs/>
          <w:color w:val="000000"/>
          <w:spacing w:val="0"/>
          <w:w w:val="100"/>
          <w:position w:val="0"/>
          <w:shd w:val="clear" w:color="auto" w:fill="auto"/>
        </w:rPr>
        <w:t>Millet- alter,</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Berlin 1978.</w:t>
        <w:tab/>
      </w:r>
      <w:r>
        <w:rPr>
          <w:color w:val="000000"/>
          <w:spacing w:val="0"/>
          <w:w w:val="100"/>
          <w:position w:val="0"/>
          <w:shd w:val="clear" w:color="auto" w:fill="auto"/>
        </w:rPr>
        <w:t>A. KHOURY</w:t>
      </w:r>
    </w:p>
    <w:p>
      <w:pPr>
        <w:pStyle w:val="Style63"/>
        <w:keepNext/>
        <w:keepLines/>
        <w:widowControl w:val="0"/>
        <w:numPr>
          <w:ilvl w:val="0"/>
          <w:numId w:val="571"/>
        </w:numPr>
        <w:shd w:val="clear" w:color="auto" w:fill="auto"/>
        <w:tabs>
          <w:tab w:pos="265" w:val="left"/>
        </w:tabs>
        <w:bidi w:val="0"/>
        <w:spacing w:before="0"/>
        <w:ind w:left="0" w:right="0" w:firstLine="0"/>
        <w:jc w:val="both"/>
      </w:pPr>
      <w:bookmarkStart w:id="364" w:name="bookmark364"/>
      <w:r>
        <w:rPr>
          <w:rFonts w:ascii="Times New Roman" w:eastAsia="Times New Roman" w:hAnsi="Times New Roman" w:cs="Times New Roman"/>
          <w:color w:val="000000"/>
          <w:spacing w:val="0"/>
          <w:w w:val="100"/>
          <w:position w:val="0"/>
          <w:shd w:val="clear" w:color="auto" w:fill="auto"/>
          <w:lang w:val="hr-HR" w:eastAsia="hr-HR" w:bidi="hr-HR"/>
        </w:rPr>
        <w:t>islamski</w:t>
      </w:r>
      <w:bookmarkEnd w:id="364"/>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Nedostatak svećeničkoga staleža u islamu čini teorijski nemogućim osnivanje teokratske države. Islamu je nepoznat pojam </w:t>
      </w:r>
      <w:r>
        <w:rPr>
          <w:rFonts w:ascii="Times New Roman" w:eastAsia="Times New Roman" w:hAnsi="Times New Roman" w:cs="Times New Roman"/>
          <w:i/>
          <w:iCs/>
          <w:color w:val="000000"/>
          <w:spacing w:val="0"/>
          <w:w w:val="100"/>
          <w:position w:val="0"/>
          <w:shd w:val="clear" w:color="auto" w:fill="auto"/>
          <w:lang w:val="hr-HR" w:eastAsia="hr-HR" w:bidi="hr-HR"/>
        </w:rPr>
        <w:t xml:space="preserve">civitas Dei. </w:t>
      </w:r>
      <w:r>
        <w:rPr>
          <w:rFonts w:ascii="Times New Roman" w:eastAsia="Times New Roman" w:hAnsi="Times New Roman" w:cs="Times New Roman"/>
          <w:color w:val="000000"/>
          <w:spacing w:val="0"/>
          <w:w w:val="100"/>
          <w:position w:val="0"/>
          <w:shd w:val="clear" w:color="auto" w:fill="auto"/>
          <w:lang w:val="hr-HR" w:eastAsia="hr-HR" w:bidi="hr-HR"/>
        </w:rPr>
        <w:t>No mnogi istraživači ipak vide »teokracije« u onim islamskim državama, čiji vladari svoj au</w:t>
        <w:softHyphen/>
        <w:t>toritet crpe iz svojega »odnosa prema islam</w:t>
        <w:softHyphen/>
        <w:t>skom vjerskom pokretu«. Država izgrađena i rukovođena islamskim principima u zbilji je prije nomokracija zato što u njoj religiozni zakon uređuje sve javne odnose. Posebnost novoga vijeka predstavlja oblik vladavine u »Islamskoj Republici Iran«, državi koja je na</w:t>
        <w:softHyphen/>
        <w:t>stala 1979. Vlada je tamo pod utjecajem jedne konzervativne struje, čiji su predvodnici du</w:t>
        <w:softHyphen/>
      </w:r>
      <w:r>
        <w:rPr>
          <w:rFonts w:ascii="Times New Roman" w:eastAsia="Times New Roman" w:hAnsi="Times New Roman" w:cs="Times New Roman"/>
          <w:color w:val="000000"/>
          <w:spacing w:val="0"/>
          <w:w w:val="100"/>
          <w:position w:val="0"/>
          <w:shd w:val="clear" w:color="auto" w:fill="auto"/>
          <w:lang w:val="hr-HR" w:eastAsia="hr-HR" w:bidi="hr-HR"/>
        </w:rPr>
        <w:t>hovnici i koja nalikuje španjolskom nacional</w:t>
        <w:softHyphen/>
        <w:t xml:space="preserve">nom katoličanstvu (Dctlcv </w:t>
      </w:r>
      <w:r>
        <w:rPr>
          <w:rFonts w:ascii="Times New Roman" w:eastAsia="Times New Roman" w:hAnsi="Times New Roman" w:cs="Times New Roman"/>
          <w:color w:val="000000"/>
          <w:spacing w:val="0"/>
          <w:w w:val="100"/>
          <w:position w:val="0"/>
          <w:shd w:val="clear" w:color="auto" w:fill="auto"/>
          <w:lang w:val="en-US" w:eastAsia="en-US" w:bidi="en-US"/>
        </w:rPr>
        <w:t xml:space="preserve">Khalid, </w:t>
      </w:r>
      <w:r>
        <w:rPr>
          <w:rFonts w:ascii="Times New Roman" w:eastAsia="Times New Roman" w:hAnsi="Times New Roman" w:cs="Times New Roman"/>
          <w:i/>
          <w:iCs/>
          <w:color w:val="000000"/>
          <w:spacing w:val="0"/>
          <w:w w:val="100"/>
          <w:position w:val="0"/>
          <w:shd w:val="clear" w:color="auto" w:fill="auto"/>
          <w:lang w:val="hr-HR" w:eastAsia="hr-HR" w:bidi="hr-HR"/>
        </w:rPr>
        <w:t xml:space="preserve">Reislami- </w:t>
      </w:r>
      <w:r>
        <w:rPr>
          <w:rFonts w:ascii="Times New Roman" w:eastAsia="Times New Roman" w:hAnsi="Times New Roman" w:cs="Times New Roman"/>
          <w:i/>
          <w:iCs/>
          <w:color w:val="000000"/>
          <w:spacing w:val="0"/>
          <w:w w:val="100"/>
          <w:position w:val="0"/>
          <w:shd w:val="clear" w:color="auto" w:fill="auto"/>
          <w:lang w:val="en-US" w:eastAsia="en-US" w:bidi="en-US"/>
        </w:rPr>
        <w:t xml:space="preserve">siening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Entwicklungspolilik,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Koln 1982, 28 </w:t>
      </w:r>
      <w:r>
        <w:rPr>
          <w:rFonts w:ascii="Times New Roman" w:eastAsia="Times New Roman" w:hAnsi="Times New Roman" w:cs="Times New Roman"/>
          <w:color w:val="000000"/>
          <w:spacing w:val="0"/>
          <w:w w:val="100"/>
          <w:position w:val="0"/>
          <w:shd w:val="clear" w:color="auto" w:fill="auto"/>
          <w:lang w:val="en-US" w:eastAsia="en-US" w:bidi="en-US"/>
        </w:rPr>
        <w:t>id.).</w:t>
      </w:r>
    </w:p>
    <w:p>
      <w:pPr>
        <w:pStyle w:val="Style20"/>
        <w:keepNext w:val="0"/>
        <w:keepLines w:val="0"/>
        <w:widowControl w:val="0"/>
        <w:shd w:val="clear" w:color="auto" w:fill="auto"/>
        <w:tabs>
          <w:tab w:pos="2573" w:val="left"/>
        </w:tabs>
        <w:bidi w:val="0"/>
        <w:spacing w:before="0" w:after="3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Religiozno usmjerene države nešijitske veći</w:t>
        <w:softHyphen/>
        <w:t>ne, zahvaljujući snažnom utjecaju koji na njih običavaju vršiti »sunitske institucije«, pod čim se trebaju podrazumijevati pismoznanci, tako</w:t>
        <w:softHyphen/>
        <w:t>đer su često budile privid teokratskoga po</w:t>
        <w:softHyphen/>
        <w:t>retka. Suvremena politička literatura u Tur</w:t>
        <w:softHyphen/>
        <w:t xml:space="preserve">skoj to stanje izravno naziva »teokracijom«. U Republici Turskoj, koju je osnovao </w:t>
      </w:r>
      <w:r>
        <w:rPr>
          <w:rFonts w:ascii="Times New Roman" w:eastAsia="Times New Roman" w:hAnsi="Times New Roman" w:cs="Times New Roman"/>
          <w:color w:val="000000"/>
          <w:spacing w:val="0"/>
          <w:w w:val="100"/>
          <w:position w:val="0"/>
          <w:shd w:val="clear" w:color="auto" w:fill="auto"/>
          <w:lang w:val="en-US" w:eastAsia="en-US" w:bidi="en-US"/>
        </w:rPr>
        <w:t xml:space="preserve">Kemal </w:t>
      </w:r>
      <w:r>
        <w:rPr>
          <w:rFonts w:ascii="Times New Roman" w:eastAsia="Times New Roman" w:hAnsi="Times New Roman" w:cs="Times New Roman"/>
          <w:color w:val="000000"/>
          <w:spacing w:val="0"/>
          <w:w w:val="100"/>
          <w:position w:val="0"/>
          <w:shd w:val="clear" w:color="auto" w:fill="auto"/>
          <w:lang w:val="hr-HR" w:eastAsia="hr-HR" w:bidi="hr-HR"/>
        </w:rPr>
        <w:t>Atatiirk, islam je lišen svojega službenoga ka</w:t>
        <w:softHyphen/>
        <w:t>raktera i učinjen privatnom stvari građana. »Islam može i dalje služiti kao smjernica sa</w:t>
        <w:softHyphen/>
        <w:t xml:space="preserve">vjesti individualnoga svjetonazora«; ali on je izgubio ulogu kao temeljni zakon i podloga za legitimiranje socijalnoga, političkog i pravog sustava </w:t>
      </w:r>
      <w:r>
        <w:rPr>
          <w:rFonts w:ascii="Times New Roman" w:eastAsia="Times New Roman" w:hAnsi="Times New Roman" w:cs="Times New Roman"/>
          <w:color w:val="000000"/>
          <w:spacing w:val="0"/>
          <w:w w:val="100"/>
          <w:position w:val="0"/>
          <w:shd w:val="clear" w:color="auto" w:fill="auto"/>
          <w:lang w:val="en-US" w:eastAsia="en-US" w:bidi="en-US"/>
        </w:rPr>
        <w:t xml:space="preserve">(Kemal Yavuz,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Islam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Werken </w:t>
      </w:r>
      <w:r>
        <w:rPr>
          <w:rFonts w:ascii="Times New Roman" w:eastAsia="Times New Roman" w:hAnsi="Times New Roman" w:cs="Times New Roman"/>
          <w:i/>
          <w:iCs/>
          <w:color w:val="000000"/>
          <w:spacing w:val="0"/>
          <w:w w:val="100"/>
          <w:position w:val="0"/>
          <w:shd w:val="clear" w:color="auto" w:fill="auto"/>
          <w:lang w:val="hr-HR" w:eastAsia="hr-HR" w:bidi="hr-HR"/>
        </w:rPr>
        <w:t>modemer tiirkischer Schriftsteller,</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Freiburg </w:t>
      </w:r>
      <w:r>
        <w:rPr>
          <w:rFonts w:ascii="Times New Roman" w:eastAsia="Times New Roman" w:hAnsi="Times New Roman" w:cs="Times New Roman"/>
          <w:color w:val="000000"/>
          <w:spacing w:val="0"/>
          <w:w w:val="100"/>
          <w:position w:val="0"/>
          <w:shd w:val="clear" w:color="auto" w:fill="auto"/>
          <w:lang w:val="hr-HR" w:eastAsia="hr-HR" w:bidi="hr-HR"/>
        </w:rPr>
        <w:t>i. Br. 1974, 481).</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TEOLOGIJA</w:t>
      </w:r>
    </w:p>
    <w:p>
      <w:pPr>
        <w:pStyle w:val="Style63"/>
        <w:keepNext/>
        <w:keepLines/>
        <w:widowControl w:val="0"/>
        <w:numPr>
          <w:ilvl w:val="0"/>
          <w:numId w:val="573"/>
        </w:numPr>
        <w:shd w:val="clear" w:color="auto" w:fill="auto"/>
        <w:tabs>
          <w:tab w:pos="241" w:val="left"/>
        </w:tabs>
        <w:bidi w:val="0"/>
        <w:spacing w:before="0" w:line="223" w:lineRule="auto"/>
        <w:ind w:left="0" w:right="0" w:firstLine="0"/>
        <w:jc w:val="both"/>
      </w:pPr>
      <w:bookmarkStart w:id="365" w:name="bookmark365"/>
      <w:r>
        <w:rPr>
          <w:rFonts w:ascii="Times New Roman" w:eastAsia="Times New Roman" w:hAnsi="Times New Roman" w:cs="Times New Roman"/>
          <w:color w:val="000000"/>
          <w:spacing w:val="0"/>
          <w:w w:val="100"/>
          <w:position w:val="0"/>
          <w:shd w:val="clear" w:color="auto" w:fill="auto"/>
          <w:lang w:val="hr-HR" w:eastAsia="hr-HR" w:bidi="hr-HR"/>
        </w:rPr>
        <w:t>židovski</w:t>
      </w:r>
      <w:bookmarkEnd w:id="365"/>
    </w:p>
    <w:p>
      <w:pPr>
        <w:pStyle w:val="Style20"/>
        <w:keepNext w:val="0"/>
        <w:keepLines w:val="0"/>
        <w:widowControl w:val="0"/>
        <w:numPr>
          <w:ilvl w:val="0"/>
          <w:numId w:val="575"/>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»Danas, ako poslušate Njegov glas.«</w:t>
      </w:r>
      <w:r>
        <w:rPr>
          <w:rFonts w:ascii="Times New Roman" w:eastAsia="Times New Roman" w:hAnsi="Times New Roman" w:cs="Times New Roman"/>
          <w:color w:val="000000"/>
          <w:spacing w:val="0"/>
          <w:w w:val="100"/>
          <w:position w:val="0"/>
          <w:shd w:val="clear" w:color="auto" w:fill="auto"/>
          <w:lang w:val="hr-HR" w:eastAsia="hr-HR" w:bidi="hr-HR"/>
        </w:rPr>
        <w:t xml:space="preserve"> Židov</w:t>
        <w:softHyphen/>
        <w:t>stvo nije proizvelo sustavnu »židovsku teolo</w:t>
        <w:softHyphen/>
        <w:t>giju« koja bi bila nalik na zapadno-kr.šćansku i koja bi se s njom mogla usporediti. Sveobu</w:t>
        <w:softHyphen/>
        <w:t>hvatno bogatstvo životnih iskustava, a ne vjer</w:t>
        <w:softHyphen/>
        <w:t>ski sustav izraelsko-židovske teologije puni bi</w:t>
        <w:softHyphen/>
        <w:t>blijske i relevantne poslijebiblijske tradicije. One ne odvajaju »dobro« od »zla« umjetno, nego se slažu sa životom kakav jest i prihva</w:t>
        <w:softHyphen/>
        <w:t>ćaju pluralizam suprotnosti. Dok pokreću te</w:t>
        <w:softHyphen/>
        <w:t>mu o čovjekovoj stvarnosti, koja je proživljena i koja se može ponovno proživjeti, unutar par- tikularističke zajednice, ali odustajući od nc- uvjetovanih istina, tj. bez uzajamnih odnosa, stvaraju mogućnost izbora i poboljšavaju spo</w:t>
        <w:softHyphen/>
        <w:t>sobnost slušatelja za samoodgovornu odluku. Put bez sustavne teologije, umjesto onoga sa sintezama proturječnih iskustava o povjerenju i sumnji, spremnosti za predanu ljubav prema bližnjima i provale ubojite mržnje, ljudske ve</w:t>
        <w:softHyphen/>
        <w:t xml:space="preserve">ličine te malodušnosti i slabosti, sačuvao je židovstvo od opasnosti prekomjernoga dog- matiziranja i vlasti teološkoga staleža. Religija je ostala ukorijenjena u životu naroda: »S čime se može usporediti svaki onaj čija je mudrost veća od njegovih djela? Sa stablom koje ima </w:t>
      </w:r>
      <w:r>
        <w:rPr>
          <w:rFonts w:ascii="Times New Roman" w:eastAsia="Times New Roman" w:hAnsi="Times New Roman" w:cs="Times New Roman"/>
          <w:color w:val="000000"/>
          <w:spacing w:val="0"/>
          <w:w w:val="100"/>
          <w:position w:val="0"/>
          <w:shd w:val="clear" w:color="auto" w:fill="auto"/>
          <w:lang w:val="hr-HR" w:eastAsia="hr-HR" w:bidi="hr-HR"/>
        </w:rPr>
        <w:t>mnogo grana, a malo korijenja; digne se vje</w:t>
        <w:softHyphen/>
        <w:t>tar, iščupa ga i obori... (Jr 17,6). No s čime se može usporediti svaki onaj čija su djela veća od njegove mudrosti? Sa stablom koje ima malo grana, a mnogo korijenja, i kad bi se di</w:t>
        <w:softHyphen/>
        <w:t>gli svi vjetrovi ovoga svijeta i zapuhali na nje</w:t>
        <w:softHyphen/>
        <w:t>ga, ne bi ga mogli pomaknuti s mjesta... (Jr 17,8)« (M Avot 111,18).</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Čvrsta ljuska životnih pravila (halaha), koju su nastavljali oblikovati farizejsko-rabinski mudraci, okupila jc židovsku zajednicu uz poštovanje </w:t>
      </w:r>
      <w:r>
        <w:rPr>
          <w:rFonts w:ascii="Times New Roman" w:eastAsia="Times New Roman" w:hAnsi="Times New Roman" w:cs="Times New Roman"/>
          <w:color w:val="000000"/>
          <w:spacing w:val="0"/>
          <w:w w:val="100"/>
          <w:position w:val="0"/>
          <w:shd w:val="clear" w:color="auto" w:fill="auto"/>
          <w:lang w:val="en-US" w:eastAsia="en-US" w:bidi="en-US"/>
        </w:rPr>
        <w:t xml:space="preserve">'l ore </w:t>
      </w:r>
      <w:r>
        <w:rPr>
          <w:rFonts w:ascii="Times New Roman" w:eastAsia="Times New Roman" w:hAnsi="Times New Roman" w:cs="Times New Roman"/>
          <w:color w:val="000000"/>
          <w:spacing w:val="0"/>
          <w:w w:val="100"/>
          <w:position w:val="0"/>
          <w:shd w:val="clear" w:color="auto" w:fill="auto"/>
          <w:lang w:val="hr-HR" w:eastAsia="hr-HR" w:bidi="hr-HR"/>
        </w:rPr>
        <w:t>kao njezine životne zadaće i sačuvalo je od toga da je ne progutaju religije i kulture u njezinu okruženju te politički i voj</w:t>
        <w:softHyphen/>
        <w:t>no nadmoćni narodi. No taj spasilački rad uspio je samo s »narativnom teologijom« rabina (hagada); u tom bitnom jezičnom ostvarenju i obliku oni su prenosili doživljavanja stvarnosti u hebrejskoj Bibliji. Jedna predaja iz III. sto</w:t>
        <w:softHyphen/>
        <w:t>ljeća pos. Kr. osvjetljava primjerom rabinsku teologiju; ona se opire točnosti doktrine i dog</w:t>
        <w:softHyphen/>
        <w:t xml:space="preserve">me, jer joj na srcu ne leži dogma u koju treba vjerovati nego poziv na čovječje djelovanje u kojem Božje djelovanje može imati učinka: »Rabi Jošua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 xml:space="preserve">Levi našao je jednoga dana proroka Iliju kako stoji na ulazu u grob Rabi </w:t>
      </w:r>
      <w:r>
        <w:rPr>
          <w:rFonts w:ascii="Times New Roman" w:eastAsia="Times New Roman" w:hAnsi="Times New Roman" w:cs="Times New Roman"/>
          <w:color w:val="000000"/>
          <w:spacing w:val="0"/>
          <w:w w:val="100"/>
          <w:position w:val="0"/>
          <w:shd w:val="clear" w:color="auto" w:fill="auto"/>
          <w:lang w:val="en-US" w:eastAsia="en-US" w:bidi="en-US"/>
        </w:rPr>
        <w:t xml:space="preserve">Simona ben </w:t>
      </w:r>
      <w:r>
        <w:rPr>
          <w:rFonts w:ascii="Times New Roman" w:eastAsia="Times New Roman" w:hAnsi="Times New Roman" w:cs="Times New Roman"/>
          <w:color w:val="000000"/>
          <w:spacing w:val="0"/>
          <w:w w:val="100"/>
          <w:position w:val="0"/>
          <w:shd w:val="clear" w:color="auto" w:fill="auto"/>
          <w:lang w:val="hr-HR" w:eastAsia="hr-HR" w:bidi="hr-HR"/>
        </w:rPr>
        <w:t>Johaja...Tada upita proroka: ‘Kada će doći Mesija?’ Ilija odgovori: ‘Pa pitaj ga sam.’ Na to će Rabi Jošua: ‘A gdje boravi?’ ‘Pokraj vrata Rima.’ ‘A kako ću ga prepozna</w:t>
        <w:softHyphen/>
        <w:t>ti?’ ‘Sjedi medu jadnim bolesnicima, i dok svi drugi istodobno skidaju (zavoje s čireva) i po</w:t>
        <w:softHyphen/>
        <w:t>novno stavljaju, on svaki put skida samo jedan (zavoj) i pričvršćuje drugi, jer on kaže sebi: Možda će me (iznenada) zatrebati, pa neću biti bogalj.’ Zatim se Rabi Jošua uputi k nje</w:t>
        <w:softHyphen/>
        <w:t>mu (Mesiji) i pozdravi ga ovim riječima: ‘Mir s tobom, moj Gospodine i Učitelju.’ Na to će Mesija: ‘Mir s tobom, Levijcv sine.’ Rabi Jo</w:t>
        <w:softHyphen/>
        <w:t>šua upita: ‘Kada će se pojaviti moj Gospo</w:t>
        <w:softHyphen/>
        <w:t>din?’ Ovaj mu odgovori: ‘Danas.’ Zatim se vrati k proroku Iliji koji ga upita: ‘Onda, što ti je rekao?’ Na to Rabi Jošua: ‘Rekao je: Mir s tobom, Levijev sine.’ Ovaj mu reče: ‘Time je tebi i tvojem ocu obećao život u budućem svi</w:t>
        <w:softHyphen/>
        <w:t>jetu.’ Rabi Jošua nastavi: ‘No slagao mije, jer jc rekao: Danas ću se pojaviti, a ipak nije do</w:t>
        <w:softHyphen/>
        <w:t xml:space="preserve">šao.’ Prorok mu odgovori: ‘Htio ti je samo reći: Danas, ako poslušate Njegov glas’ (Ps 95,7)«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98a).</w:t>
      </w:r>
    </w:p>
    <w:p>
      <w:pPr>
        <w:pStyle w:val="Style20"/>
        <w:keepNext w:val="0"/>
        <w:keepLines w:val="0"/>
        <w:widowControl w:val="0"/>
        <w:numPr>
          <w:ilvl w:val="0"/>
          <w:numId w:val="57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tako i neuki čuvaju... riječi Tore.«</w:t>
      </w:r>
      <w:r>
        <w:rPr>
          <w:rFonts w:ascii="Times New Roman" w:eastAsia="Times New Roman" w:hAnsi="Times New Roman" w:cs="Times New Roman"/>
          <w:color w:val="000000"/>
          <w:spacing w:val="0"/>
          <w:w w:val="100"/>
          <w:position w:val="0"/>
          <w:shd w:val="clear" w:color="auto" w:fill="auto"/>
          <w:lang w:val="hr-HR" w:eastAsia="hr-HR" w:bidi="hr-HR"/>
        </w:rPr>
        <w:t xml:space="preserve"> Una</w:t>
        <w:softHyphen/>
        <w:t xml:space="preserve">toč nekim nastojanjima da se učenje i znanje </w:t>
      </w:r>
      <w:r>
        <w:rPr>
          <w:rFonts w:ascii="Times New Roman" w:eastAsia="Times New Roman" w:hAnsi="Times New Roman" w:cs="Times New Roman"/>
          <w:color w:val="000000"/>
          <w:spacing w:val="0"/>
          <w:w w:val="100"/>
          <w:position w:val="0"/>
          <w:shd w:val="clear" w:color="auto" w:fill="auto"/>
          <w:lang w:val="hr-HR" w:eastAsia="hr-HR" w:bidi="hr-HR"/>
        </w:rPr>
        <w:t>naglasi kao odlučujuće u religiji (M Avot 11,5; b Sabat 63a; M Dcmai 11,3; Šcviit V,9; Hagiga 11,7) i pod utjecajem Aristotelove filozofije razvije t., koja spoznaji pripisuje posebno zna</w:t>
        <w:softHyphen/>
        <w:t>čenje (usp. Majmonidov literarni opus), uvi</w:t>
        <w:softHyphen/>
        <w:t>jek se iznova probijalo prvenstvo praktične pobožnosti: »Kao što ljuska oraha čuva plod, tako i neuki u Izraelu čuvaju riječi Tore« (Šir ha-širim VI,11; usp. M Menahot XIII,U; b 110a; Šavuot 15a; M Avot 111,10.16; VI,5). S tim u vezi jedan se drugi učitelj židovstva kri</w:t>
        <w:softHyphen/>
        <w:t>tički izrazio protiv Majmonidova sustava: »To su gledište izmudrijali strani filozofi, a tomu su se, nažalost, priklonili i židovski mislioci i pritom nisu ozbiljno razmišljali kako time uniš</w:t>
        <w:softHyphen/>
        <w:t xml:space="preserve">tavaju osobitost religije« </w:t>
      </w:r>
      <w:r>
        <w:rPr>
          <w:rFonts w:ascii="Times New Roman" w:eastAsia="Times New Roman" w:hAnsi="Times New Roman" w:cs="Times New Roman"/>
          <w:color w:val="000000"/>
          <w:spacing w:val="0"/>
          <w:w w:val="100"/>
          <w:position w:val="0"/>
          <w:shd w:val="clear" w:color="auto" w:fill="auto"/>
          <w:lang w:val="en-US" w:eastAsia="en-US" w:bidi="en-US"/>
        </w:rPr>
        <w:t xml:space="preserve">(Hasdai Crescas, </w:t>
      </w:r>
      <w:r>
        <w:rPr>
          <w:rFonts w:ascii="Times New Roman" w:eastAsia="Times New Roman" w:hAnsi="Times New Roman" w:cs="Times New Roman"/>
          <w:i/>
          <w:iCs/>
          <w:color w:val="000000"/>
          <w:spacing w:val="0"/>
          <w:w w:val="100"/>
          <w:position w:val="0"/>
          <w:shd w:val="clear" w:color="auto" w:fill="auto"/>
          <w:lang w:val="en-US" w:eastAsia="en-US" w:bidi="en-US"/>
        </w:rPr>
        <w:t xml:space="preserve">Or </w:t>
      </w:r>
      <w:r>
        <w:rPr>
          <w:rFonts w:ascii="Times New Roman" w:eastAsia="Times New Roman" w:hAnsi="Times New Roman" w:cs="Times New Roman"/>
          <w:i/>
          <w:iCs/>
          <w:color w:val="000000"/>
          <w:spacing w:val="0"/>
          <w:w w:val="100"/>
          <w:position w:val="0"/>
          <w:shd w:val="clear" w:color="auto" w:fill="auto"/>
          <w:lang w:val="hr-HR" w:eastAsia="hr-HR" w:bidi="hr-HR"/>
        </w:rPr>
        <w:t>Adonaj</w:t>
      </w:r>
      <w:r>
        <w:rPr>
          <w:rFonts w:ascii="Times New Roman" w:eastAsia="Times New Roman" w:hAnsi="Times New Roman" w:cs="Times New Roman"/>
          <w:color w:val="000000"/>
          <w:spacing w:val="0"/>
          <w:w w:val="100"/>
          <w:position w:val="0"/>
          <w:shd w:val="clear" w:color="auto" w:fill="auto"/>
          <w:lang w:val="hr-HR" w:eastAsia="hr-HR" w:bidi="hr-HR"/>
        </w:rPr>
        <w:t xml:space="preserve"> /Svjetlo Gospodinovo/, 1410, 11,6,1).</w:t>
      </w:r>
    </w:p>
    <w:p>
      <w:pPr>
        <w:pStyle w:val="Style20"/>
        <w:keepNext w:val="0"/>
        <w:keepLines w:val="0"/>
        <w:widowControl w:val="0"/>
        <w:shd w:val="clear" w:color="auto" w:fill="auto"/>
        <w:bidi w:val="0"/>
        <w:spacing w:before="0" w:after="100"/>
        <w:ind w:left="0" w:right="0" w:firstLine="0"/>
        <w:jc w:val="both"/>
        <w:sectPr>
          <w:footnotePr>
            <w:pos w:val="pageBottom"/>
            <w:numFmt w:val="decimal"/>
            <w:numRestart w:val="continuous"/>
            <w15:footnoteColumns w:val="1"/>
          </w:footnotePr>
          <w:type w:val="continuous"/>
          <w:pgSz w:w="6816" w:h="11006"/>
          <w:pgMar w:top="835" w:left="194" w:right="199" w:bottom="278" w:header="0" w:footer="3" w:gutter="0"/>
          <w:cols w:num="2" w:space="19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Židovsko traženje i razmišljanje uvjetovano je prije egzistencijalno negoli teološki. To su pi</w:t>
        <w:softHyphen/>
        <w:t xml:space="preserve">tanja i odgovori Židova koji djeluju u tradiciji, a ne pitanja »židovske teologije«. Naime - u smislu Franza </w:t>
      </w:r>
      <w:r>
        <w:rPr>
          <w:rFonts w:ascii="Times New Roman" w:eastAsia="Times New Roman" w:hAnsi="Times New Roman" w:cs="Times New Roman"/>
          <w:color w:val="000000"/>
          <w:spacing w:val="0"/>
          <w:w w:val="100"/>
          <w:position w:val="0"/>
          <w:shd w:val="clear" w:color="auto" w:fill="auto"/>
          <w:lang w:val="en-US" w:eastAsia="en-US" w:bidi="en-US"/>
        </w:rPr>
        <w:t xml:space="preserve">Roscnzweiga </w:t>
      </w:r>
      <w:r>
        <w:rPr>
          <w:rFonts w:ascii="Times New Roman" w:eastAsia="Times New Roman" w:hAnsi="Times New Roman" w:cs="Times New Roman"/>
          <w:color w:val="000000"/>
          <w:spacing w:val="0"/>
          <w:w w:val="100"/>
          <w:position w:val="0"/>
          <w:shd w:val="clear" w:color="auto" w:fill="auto"/>
          <w:lang w:val="hr-HR" w:eastAsia="hr-HR" w:bidi="hr-HR"/>
        </w:rPr>
        <w:t xml:space="preserve">- »teolog mora biti više od teologa«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Erlosung, </w:t>
      </w:r>
      <w:r>
        <w:rPr>
          <w:rFonts w:ascii="Times New Roman" w:eastAsia="Times New Roman" w:hAnsi="Times New Roman" w:cs="Times New Roman"/>
          <w:color w:val="000000"/>
          <w:spacing w:val="0"/>
          <w:w w:val="100"/>
          <w:position w:val="0"/>
          <w:shd w:val="clear" w:color="auto" w:fill="auto"/>
          <w:lang w:val="hr-HR" w:eastAsia="hr-HR" w:bidi="hr-HR"/>
        </w:rPr>
        <w:t xml:space="preserve">1921,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1976, 329). Mudraci nisu, primjerice, formulirali pojam o stvoriteljskoj moći Božjoj, nego su pitali da li je Bog stvorio svijet iz pravednosti, a ne iz ljubavi, pa su rekli ovo: »Sveti, blagoslovljen bio, reče: Ako stvorim svijet milosrđem, vaši će se grijesi nagomilati; ako ga pak stvorim strogim zakonima, kako bi svijet opstao? Stoga ga stvaram strogim zako</w:t>
        <w:softHyphen/>
        <w:t>nima i milosrđem, pa neka opstane!« (Berešit raba XII,2,4). Takvu vrstu pitanja i odgovora sadrži »teološka dimenzija« židovstva. Ona se proteže na cijeli čovjekov život, ne ispušta ni jedno područje života, tijela, odnosa, društva itd. Život se jednostavno posvećuje prema bi- blijsko-židovskom shvaćanju. Stoga tradicija odobrava čovjeka i u njegovoj egzistenciji pu</w:t>
        <w:softHyphen/>
        <w:t>noj pogrešaka. Njezin jc cilj čovjek koji pri</w:t>
        <w:softHyphen/>
        <w:t>pada Bogu u svojem realnom povijesno-an- tropološkom ograničenju; on je i kao pojedi</w:t>
        <w:softHyphen/>
        <w:t>nac i kao zajednica, u kojoj njegova vjera po</w:t>
        <w:softHyphen/>
        <w:t xml:space="preserve">prima oblik i za čiju je povijest neposredno odgovoran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26,37;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 Šavuot 39a-b), jednako slabo obilježen teološ</w:t>
        <w:softHyphen/>
        <w:t xml:space="preserve">kim pojmom o istočnom grijehu (Avot Rabi Natana pogl. 17; Tanhuma Post 8,21; b Sabat 152b;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68a; Nida 30a; Bava mecia 107a); on ne niječe »profani« život, ali se trudi da ga oblikuje »svetim, tj. nasljedovanjem Božjeg djelovanja i postupaka u meduljud- </w:t>
      </w:r>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skim </w:t>
      </w:r>
      <w:r>
        <w:rPr>
          <w:rFonts w:ascii="Times New Roman" w:eastAsia="Times New Roman" w:hAnsi="Times New Roman" w:cs="Times New Roman"/>
          <w:color w:val="000000"/>
          <w:spacing w:val="0"/>
          <w:w w:val="100"/>
          <w:position w:val="0"/>
          <w:shd w:val="clear" w:color="auto" w:fill="auto"/>
          <w:lang w:val="hr-HR" w:eastAsia="hr-HR" w:bidi="hr-HR"/>
        </w:rPr>
        <w:t xml:space="preserve">odnosima« (b Sota 14a; Vajikra raba </w:t>
      </w:r>
      <w:r>
        <w:rPr>
          <w:rFonts w:ascii="Times New Roman" w:eastAsia="Times New Roman" w:hAnsi="Times New Roman" w:cs="Times New Roman"/>
          <w:color w:val="000000"/>
          <w:spacing w:val="0"/>
          <w:w w:val="100"/>
          <w:position w:val="0"/>
          <w:shd w:val="clear" w:color="auto" w:fill="auto"/>
          <w:lang w:val="en-US" w:eastAsia="en-US" w:bidi="en-US"/>
        </w:rPr>
        <w:t>XXIV.1</w:t>
      </w:r>
      <w:r>
        <w:rPr>
          <w:rFonts w:ascii="Times New Roman" w:eastAsia="Times New Roman" w:hAnsi="Times New Roman" w:cs="Times New Roman"/>
          <w:color w:val="000000"/>
          <w:spacing w:val="0"/>
          <w:w w:val="100"/>
          <w:position w:val="0"/>
          <w:shd w:val="clear" w:color="auto" w:fill="auto"/>
          <w:lang w:val="hr-HR" w:eastAsia="hr-HR" w:bidi="hr-HR"/>
        </w:rPr>
        <w:t>9,2; XXV,1923), »uglcdanjem na Kra</w:t>
        <w:softHyphen/>
        <w:t xml:space="preserve">lja«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prema načelu rava Josi</w:t>
        <w:softHyphen/>
        <w:t>pa (u. 333): »Čovjek treba uvijek učili o smis</w:t>
        <w:softHyphen/>
        <w:t>lu svojega Stvoritelja« (b Sota 5a). Čovjek se treba obratiti ondje gdje je zgriješio (M Joma VW,9), a svoju nadu u »budući svijet« (M Avot 11,16; b Bava batra 10b; Roš ha-šana 4a; Pesahim Sa; Berahot 28b) ne toliko uzdizati da zbog toga zanemari život u »ovom svijetu«: »Više vrijedi jedan sat u obraćenju i dobročin</w:t>
        <w:softHyphen/>
        <w:t xml:space="preserve">stvu negoli cijeli život u budućem svijetu« (M Avot IV, 17). Židov je svjestan posebnosti i svojstvenosti svoje zajednice (Izl 19,4-6); no njegov partikularizam ne sprečava ga nego mu omogućava da izvrši svoju zadaću u svijetu - »uređenje svijeta (tj. jačanje) za kraljevsku vlast Svesilnoga« (iz svakodnevne molitve </w:t>
      </w:r>
      <w:r>
        <w:rPr>
          <w:rFonts w:ascii="Times New Roman" w:eastAsia="Times New Roman" w:hAnsi="Times New Roman" w:cs="Times New Roman"/>
          <w:i/>
          <w:iCs/>
          <w:color w:val="000000"/>
          <w:spacing w:val="0"/>
          <w:w w:val="100"/>
          <w:position w:val="0"/>
          <w:shd w:val="clear" w:color="auto" w:fill="auto"/>
          <w:lang w:val="hr-HR" w:eastAsia="hr-HR" w:bidi="hr-HR"/>
        </w:rPr>
        <w:t>Alejnu).</w:t>
      </w:r>
    </w:p>
    <w:p>
      <w:pPr>
        <w:pStyle w:val="Style56"/>
        <w:keepNext w:val="0"/>
        <w:keepLines w:val="0"/>
        <w:widowControl w:val="0"/>
        <w:shd w:val="clear" w:color="auto" w:fill="auto"/>
        <w:tabs>
          <w:tab w:pos="2453" w:val="left"/>
        </w:tabs>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S Schcchtcr, </w:t>
      </w:r>
      <w:r>
        <w:rPr>
          <w:color w:val="000000"/>
          <w:spacing w:val="0"/>
          <w:w w:val="100"/>
          <w:position w:val="0"/>
          <w:shd w:val="clear" w:color="auto" w:fill="auto"/>
        </w:rPr>
        <w:t xml:space="preserve">Some </w:t>
      </w:r>
      <w:r>
        <w:rPr>
          <w:i/>
          <w:iCs/>
          <w:color w:val="000000"/>
          <w:spacing w:val="0"/>
          <w:w w:val="100"/>
          <w:position w:val="0"/>
          <w:shd w:val="clear" w:color="auto" w:fill="auto"/>
        </w:rPr>
        <w:t xml:space="preserve">Aspects of Rabbinic Theologie, </w:t>
      </w:r>
      <w:r>
        <w:rPr>
          <w:color w:val="000000"/>
          <w:spacing w:val="0"/>
          <w:w w:val="100"/>
          <w:position w:val="0"/>
          <w:shd w:val="clear" w:color="auto" w:fill="auto"/>
          <w:lang w:val="hr-HR" w:eastAsia="hr-HR" w:bidi="hr-HR"/>
        </w:rPr>
        <w:t xml:space="preserve">J909: L. Bacck, </w:t>
      </w:r>
      <w:r>
        <w:rPr>
          <w:i/>
          <w:iCs/>
          <w:color w:val="000000"/>
          <w:spacing w:val="0"/>
          <w:w w:val="100"/>
          <w:position w:val="0"/>
          <w:shd w:val="clear" w:color="auto" w:fill="auto"/>
          <w:lang w:val="hr-HR" w:eastAsia="hr-HR" w:bidi="hr-HR"/>
        </w:rPr>
        <w:t xml:space="preserve">Das </w:t>
      </w:r>
      <w:r>
        <w:rPr>
          <w:i/>
          <w:iCs/>
          <w:color w:val="000000"/>
          <w:spacing w:val="0"/>
          <w:w w:val="100"/>
          <w:position w:val="0"/>
          <w:shd w:val="clear" w:color="auto" w:fill="auto"/>
        </w:rPr>
        <w:t xml:space="preserve">Wesrn </w:t>
      </w:r>
      <w:r>
        <w:rPr>
          <w:i/>
          <w:iCs/>
          <w:color w:val="000000"/>
          <w:spacing w:val="0"/>
          <w:w w:val="100"/>
          <w:position w:val="0"/>
          <w:shd w:val="clear" w:color="auto" w:fill="auto"/>
          <w:lang w:val="hr-HR" w:eastAsia="hr-HR" w:bidi="hr-HR"/>
        </w:rPr>
        <w:t>des Judentunis.</w:t>
      </w:r>
      <w:r>
        <w:rPr>
          <w:color w:val="000000"/>
          <w:spacing w:val="0"/>
          <w:w w:val="100"/>
          <w:position w:val="0"/>
          <w:shd w:val="clear" w:color="auto" w:fill="auto"/>
          <w:lang w:val="hr-HR" w:eastAsia="hr-HR" w:bidi="hr-HR"/>
        </w:rPr>
        <w:t xml:space="preserve"> 1905, </w:t>
      </w:r>
      <w:r>
        <w:rPr>
          <w:color w:val="000000"/>
          <w:spacing w:val="0"/>
          <w:w w:val="100"/>
          <w:position w:val="0"/>
          <w:shd w:val="clear" w:color="auto" w:fill="auto"/>
          <w:vertAlign w:val="superscript"/>
          <w:lang w:val="hr-HR" w:eastAsia="hr-HR" w:bidi="hr-HR"/>
        </w:rPr>
        <w:t>f,</w:t>
      </w:r>
      <w:r>
        <w:rPr>
          <w:color w:val="000000"/>
          <w:spacing w:val="0"/>
          <w:w w:val="100"/>
          <w:position w:val="0"/>
          <w:shd w:val="clear" w:color="auto" w:fill="auto"/>
          <w:lang w:val="hr-HR" w:eastAsia="hr-HR" w:bidi="hr-HR"/>
        </w:rPr>
        <w:t xml:space="preserve">l966; A. J. Hcschcl. </w:t>
      </w:r>
      <w:r>
        <w:rPr>
          <w:i/>
          <w:iCs/>
          <w:color w:val="000000"/>
          <w:spacing w:val="0"/>
          <w:w w:val="100"/>
          <w:position w:val="0"/>
          <w:shd w:val="clear" w:color="auto" w:fill="auto"/>
          <w:lang w:val="hr-HR" w:eastAsia="hr-HR" w:bidi="hr-HR"/>
        </w:rPr>
        <w:t>Goli sucht den Menschen,</w:t>
      </w:r>
      <w:r>
        <w:rPr>
          <w:color w:val="000000"/>
          <w:spacing w:val="0"/>
          <w:w w:val="100"/>
          <w:position w:val="0"/>
          <w:shd w:val="clear" w:color="auto" w:fill="auto"/>
          <w:lang w:val="hr-HR" w:eastAsia="hr-HR" w:bidi="hr-HR"/>
        </w:rPr>
        <w:t xml:space="preserve"> (cngl. 1955.), 1980; L. </w:t>
      </w:r>
      <w:r>
        <w:rPr>
          <w:color w:val="000000"/>
          <w:spacing w:val="0"/>
          <w:w w:val="100"/>
          <w:position w:val="0"/>
          <w:shd w:val="clear" w:color="auto" w:fill="auto"/>
        </w:rPr>
        <w:t xml:space="preserve">Jacota, </w:t>
      </w:r>
      <w:r>
        <w:rPr>
          <w:i/>
          <w:iCs/>
          <w:color w:val="000000"/>
          <w:spacing w:val="0"/>
          <w:w w:val="100"/>
          <w:position w:val="0"/>
          <w:shd w:val="clear" w:color="auto" w:fill="auto"/>
        </w:rPr>
        <w:t>A Jewish Theology,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1973; Li. E. </w:t>
      </w:r>
      <w:r>
        <w:rPr>
          <w:color w:val="000000"/>
          <w:spacing w:val="0"/>
          <w:w w:val="100"/>
          <w:position w:val="0"/>
          <w:shd w:val="clear" w:color="auto" w:fill="auto"/>
        </w:rPr>
        <w:t xml:space="preserve">Urbach. </w:t>
      </w:r>
      <w:r>
        <w:rPr>
          <w:i/>
          <w:iCs/>
          <w:color w:val="000000"/>
          <w:spacing w:val="0"/>
          <w:w w:val="100"/>
          <w:position w:val="0"/>
          <w:shd w:val="clear" w:color="auto" w:fill="auto"/>
        </w:rPr>
        <w:t>The Sages. Their Concepts and Beliefs.</w:t>
      </w:r>
      <w:r>
        <w:rPr>
          <w:color w:val="000000"/>
          <w:spacing w:val="0"/>
          <w:w w:val="100"/>
          <w:position w:val="0"/>
          <w:shd w:val="clear" w:color="auto" w:fill="auto"/>
        </w:rPr>
        <w:t xml:space="preserve"> 1975; </w:t>
      </w:r>
      <w:r>
        <w:rPr>
          <w:i/>
          <w:iCs/>
          <w:color w:val="000000"/>
          <w:spacing w:val="0"/>
          <w:w w:val="100"/>
          <w:position w:val="0"/>
          <w:shd w:val="clear" w:color="auto" w:fill="auto"/>
        </w:rPr>
        <w:t xml:space="preserve">Encyclopaedia Judaica 15, </w:t>
      </w:r>
      <w:r>
        <w:rPr>
          <w:color w:val="000000"/>
          <w:spacing w:val="0"/>
          <w:w w:val="100"/>
          <w:position w:val="0"/>
          <w:shd w:val="clear" w:color="auto" w:fill="auto"/>
        </w:rPr>
        <w:t xml:space="preserve">*1978,1103-10; S. Bcn-Chorin, </w:t>
      </w:r>
      <w:r>
        <w:rPr>
          <w:i/>
          <w:iCs/>
          <w:color w:val="000000"/>
          <w:spacing w:val="0"/>
          <w:w w:val="100"/>
          <w:position w:val="0"/>
          <w:shd w:val="clear" w:color="auto" w:fill="auto"/>
        </w:rPr>
        <w:t>Judischer Glaube,</w:t>
      </w:r>
      <w:r>
        <w:rPr>
          <w:color w:val="000000"/>
          <w:spacing w:val="0"/>
          <w:w w:val="100"/>
          <w:position w:val="0"/>
          <w:shd w:val="clear" w:color="auto" w:fill="auto"/>
        </w:rPr>
        <w:t xml:space="preserve"> </w:t>
      </w:r>
      <w:r>
        <w:rPr>
          <w:color w:val="000000"/>
          <w:spacing w:val="0"/>
          <w:w w:val="100"/>
          <w:position w:val="0"/>
          <w:shd w:val="clear" w:color="auto" w:fill="auto"/>
          <w:vertAlign w:val="superscript"/>
        </w:rPr>
        <w:footnoteReference w:id="22"/>
      </w:r>
      <w:r>
        <w:rPr>
          <w:color w:val="000000"/>
          <w:spacing w:val="0"/>
          <w:w w:val="100"/>
          <w:position w:val="0"/>
          <w:shd w:val="clear" w:color="auto" w:fill="auto"/>
        </w:rPr>
        <w:t xml:space="preserve">1979; P. Navi lxvinson. </w:t>
      </w:r>
      <w:r>
        <w:rPr>
          <w:i/>
          <w:iCs/>
          <w:color w:val="000000"/>
          <w:spacing w:val="0"/>
          <w:w w:val="100"/>
          <w:position w:val="0"/>
          <w:shd w:val="clear" w:color="auto" w:fill="auto"/>
        </w:rPr>
        <w:t xml:space="preserve">Einfiihrung in die rabbinische Theologie, </w:t>
      </w:r>
      <w:r>
        <w:rPr>
          <w:color w:val="000000"/>
          <w:spacing w:val="0"/>
          <w:w w:val="100"/>
          <w:position w:val="0"/>
          <w:shd w:val="clear" w:color="auto" w:fill="auto"/>
        </w:rPr>
        <w:t>1982.</w:t>
        <w:tab/>
        <w:t>D. VETfER</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kati s kršćanskom religijskom znanošću uko</w:t>
        <w:softHyphen/>
        <w:t>liko se religijsko znanstveno bavljenje religi</w:t>
        <w:softHyphen/>
        <w:t>jama izričito suzdržava od davanja vrijednos</w:t>
        <w:softHyphen/>
        <w:t>nog suda koji prihvaća ili odbacuje odgovara</w:t>
        <w:softHyphen/>
        <w:t>juću religiju pa, prema tomu, religijski znan</w:t>
        <w:softHyphen/>
        <w:t>stvenik ne mora biti član religije kojom se treba baviti. Kršćanska t. se promišlja s tros</w:t>
        <w:softHyphen/>
        <w:t>trukog stanovišta: a) crkveno usmjerenog, b) koje se odnosi na vjeru, c) koje se odnosi na znanost.</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Crkvenost:</w:t>
      </w:r>
      <w:r>
        <w:rPr>
          <w:rFonts w:ascii="Times New Roman" w:eastAsia="Times New Roman" w:hAnsi="Times New Roman" w:cs="Times New Roman"/>
          <w:color w:val="000000"/>
          <w:spacing w:val="0"/>
          <w:w w:val="100"/>
          <w:position w:val="0"/>
          <w:shd w:val="clear" w:color="auto" w:fill="auto"/>
          <w:lang w:val="hr-HR" w:eastAsia="hr-HR" w:bidi="hr-HR"/>
        </w:rPr>
        <w:t xml:space="preserve"> T. kao znanost ne nastoji sama sebi pribaviti građu nego je pribavlja od kršćanske vjerničke zajednice. Teolog je prema tomu učitelj ili istraživač koji sant na temelju krš</w:t>
        <w:softHyphen/>
        <w:t>ćanske vjere nastoji oblikovati svoj život i pro</w:t>
        <w:softHyphen/>
        <w:t>mišlja kršćansku vjeru od njezina početka do vlastite povijesne situacije te je nastoji tako izraziti da se ona može razumjeti i živjeti u toj povijesnoj situaciji. Teolog se u svakom slu</w:t>
        <w:softHyphen/>
        <w:t>čaju, prema današnjem shvaćanju, ne treba jednostavno izjednačavati s navjestiteljem vje</w:t>
        <w:softHyphen/>
        <w:t>re. Dapače, povijest kršćanstva je u velikim likovima rimokatoličkoga, pravoslavnog i re- formacijskoga kršćanstva, makar na različit način, dovela do razlikovanja između auten</w:t>
        <w:softHyphen/>
        <w:t>tičnog naviještanja učenja i promišljanja o njemu, pa tako istodobno pruža temelj za mo</w:t>
        <w:softHyphen/>
        <w:t>guće sukobe između različitih instancija uče</w:t>
        <w:softHyphen/>
        <w:t>nja.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Vjerska znanost:</w:t>
      </w:r>
      <w:r>
        <w:rPr>
          <w:rFonts w:ascii="Times New Roman" w:eastAsia="Times New Roman" w:hAnsi="Times New Roman" w:cs="Times New Roman"/>
          <w:color w:val="000000"/>
          <w:spacing w:val="0"/>
          <w:w w:val="100"/>
          <w:position w:val="0"/>
          <w:shd w:val="clear" w:color="auto" w:fill="auto"/>
          <w:lang w:val="hr-HR" w:eastAsia="hr-HR" w:bidi="hr-HR"/>
        </w:rPr>
        <w:t xml:space="preserve"> Središnji sadržaj teologije je ono što je posebno u kršćanskoj poruci, što se kao općenito važeće želi prenijeti u dotične povijesne kontekste. Pritom se radi o Bogu o kojem kršćanstvo vjeruje da je on, daleki, po</w:t>
        <w:softHyphen/>
        <w:t>stao bliz u Isusu iz Nazareta tako da su Isusov lik, njegov život i smrt postali samopriopća- vanje toga Boga, koje objavljuje Božju bit i svodi se na toga samog Boga i to kao trajna, ovom svijetu za sva vremena neizbrisivo za</w:t>
        <w:softHyphen/>
        <w:t>pečaćena stvarnost. Božja stvarnost koja se u trostrukom pogledu priopćila ovomu svijetu kao temelj bez početka (= Otac), kao isto- bitno samopriopćavanje (= Sin) i opet u isto- bitnoj uzajamnoj razmjeni ljubavi (= Duh Sveti), tumači se u teologiji kao trostruki mis</w:t>
        <w:softHyphen/>
        <w:t>terij Božjeg Trojstva, utjelovljenja i njegove trajne milosno oslobađajuće spasenjske sadaš</w:t>
        <w:softHyphen/>
        <w:t>njosti u njegovu Duhu. No, središnju tajnu božanskog samopriopćavanja treba potom da</w:t>
        <w:softHyphen/>
        <w:t>lje slijediti u njezinim kozmičkim i antropo</w:t>
        <w:softHyphen/>
        <w:t xml:space="preserve">loškim pretpostavkama i posljedicama. U to </w:t>
      </w:r>
      <w:r>
        <w:rPr>
          <w:rFonts w:ascii="Times New Roman" w:eastAsia="Times New Roman" w:hAnsi="Times New Roman" w:cs="Times New Roman"/>
          <w:color w:val="000000"/>
          <w:spacing w:val="0"/>
          <w:w w:val="100"/>
          <w:position w:val="0"/>
          <w:shd w:val="clear" w:color="auto" w:fill="auto"/>
          <w:lang w:val="hr-HR" w:eastAsia="hr-HR" w:bidi="hr-HR"/>
        </w:rPr>
        <w:t>se ubrajaju pitanja o početku i cilju svijeta (učenje o stvaranju svijeta, eshatologija), o položaju čovjeka u svijetu i prema Bogu kao i ljudi međusobno (čovječanstvo, povijest, druš</w:t>
        <w:softHyphen/>
        <w:t>tvo), o činjeničnim povijesnim zbivanjima (krivnja, zlo, patnja danas i iskustvo pluraliz</w:t>
        <w:softHyphen/>
        <w:t>ma jezika, kultura i religija), o prevladavanju rascijepa između čežnje za spasenjem i zla (soteriologija). Ako je t. događajem Božjeg samopriopćavanja u Isusu iz Nazareta vezana uz neku početnu povijest, tada dotična sadaš</w:t>
        <w:softHyphen/>
        <w:t xml:space="preserve">njost </w:t>
      </w:r>
      <w:r>
        <w:rPr>
          <w:rFonts w:ascii="Times New Roman" w:eastAsia="Times New Roman" w:hAnsi="Times New Roman" w:cs="Times New Roman"/>
          <w:i/>
          <w:iCs/>
          <w:color w:val="000000"/>
          <w:spacing w:val="0"/>
          <w:w w:val="100"/>
          <w:position w:val="0"/>
          <w:shd w:val="clear" w:color="auto" w:fill="auto"/>
          <w:lang w:val="hr-HR" w:eastAsia="hr-HR" w:bidi="hr-HR"/>
        </w:rPr>
        <w:t>apologetski</w:t>
      </w:r>
      <w:r>
        <w:rPr>
          <w:rFonts w:ascii="Times New Roman" w:eastAsia="Times New Roman" w:hAnsi="Times New Roman" w:cs="Times New Roman"/>
          <w:color w:val="000000"/>
          <w:spacing w:val="0"/>
          <w:w w:val="100"/>
          <w:position w:val="0"/>
          <w:shd w:val="clear" w:color="auto" w:fill="auto"/>
          <w:lang w:val="hr-HR" w:eastAsia="hr-HR" w:bidi="hr-HR"/>
        </w:rPr>
        <w:t xml:space="preserve"> poziva na polaganje računa o utcmcljcnosti vjere i </w:t>
      </w:r>
      <w:r>
        <w:rPr>
          <w:rFonts w:ascii="Times New Roman" w:eastAsia="Times New Roman" w:hAnsi="Times New Roman" w:cs="Times New Roman"/>
          <w:i/>
          <w:iCs/>
          <w:color w:val="000000"/>
          <w:spacing w:val="0"/>
          <w:w w:val="100"/>
          <w:position w:val="0"/>
          <w:shd w:val="clear" w:color="auto" w:fill="auto"/>
          <w:lang w:val="hr-HR" w:eastAsia="hr-HR" w:bidi="hr-HR"/>
        </w:rPr>
        <w:t>dijaloški</w:t>
      </w:r>
      <w:r>
        <w:rPr>
          <w:rFonts w:ascii="Times New Roman" w:eastAsia="Times New Roman" w:hAnsi="Times New Roman" w:cs="Times New Roman"/>
          <w:color w:val="000000"/>
          <w:spacing w:val="0"/>
          <w:w w:val="100"/>
          <w:position w:val="0"/>
          <w:shd w:val="clear" w:color="auto" w:fill="auto"/>
          <w:lang w:val="hr-HR" w:eastAsia="hr-HR" w:bidi="hr-HR"/>
        </w:rPr>
        <w:t xml:space="preserve"> o razumijevanju vjere u dotičnoj situaciji koja se odnosi na pi</w:t>
        <w:softHyphen/>
        <w:t>tanja i probleme tog vremena.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Znanost.</w:t>
      </w:r>
      <w:r>
        <w:rPr>
          <w:rFonts w:ascii="Times New Roman" w:eastAsia="Times New Roman" w:hAnsi="Times New Roman" w:cs="Times New Roman"/>
          <w:color w:val="000000"/>
          <w:spacing w:val="0"/>
          <w:w w:val="100"/>
          <w:position w:val="0"/>
          <w:shd w:val="clear" w:color="auto" w:fill="auto"/>
          <w:lang w:val="hr-HR" w:eastAsia="hr-HR" w:bidi="hr-HR"/>
        </w:rPr>
        <w:t xml:space="preserve"> Kako čovjek u svom životu kao onaj koji zna teži za ispunjenjem svog smisla i sa</w:t>
        <w:softHyphen/>
        <w:t>moga sebe, ali znanje metodički utire sebi put u svim vremenima, mora i t. kao ljudska po</w:t>
        <w:softHyphen/>
        <w:t>nuda smisla sudjelovati u znanstveno-meto- dičkim pokušajima traganja za smislom. Uto</w:t>
        <w:softHyphen/>
        <w:t>liko što rezultati znanosti bitno pridonose ob</w:t>
        <w:softHyphen/>
        <w:t>likovanju duhovnog ozračja nekog vremena, t. u svojem uvijek novom artikuliranju ima udjela u znanstvenom radu jednog vremena. Dakako, t. se kao znanost mora uvijek iznova potvrđivati, stavljajući svoju znanstvenost na javnu raspravu. Pritom će uvijek kritički pri</w:t>
        <w:softHyphen/>
        <w:t>govarati zbog tutorstva određenih grana zna</w:t>
        <w:softHyphen/>
        <w:t>nosti, prije svega zbog svakoga znanstvenog monizma u metodama, kao što se dugo vre</w:t>
        <w:softHyphen/>
        <w:t>mena zapažalo u odnosu novovjekovne teolo</w:t>
        <w:softHyphen/>
        <w:t>gije i novovjekovno-klasičnih prirodnih zna</w:t>
        <w:softHyphen/>
        <w:t>nosti. Usmjerenost na pravila znanosti, ima</w:t>
        <w:softHyphen/>
        <w:t>nentno uvažavanje danas nužne interdiscipli</w:t>
        <w:softHyphen/>
        <w:t>narnosti kao i teološki pluralizam u metoda</w:t>
        <w:softHyphen/>
        <w:t>ma mogu se najjasnije prepoznati u raščlanje- nosti teologije u različite discipline.</w:t>
      </w:r>
    </w:p>
    <w:p>
      <w:pPr>
        <w:pStyle w:val="Style20"/>
        <w:keepNext w:val="0"/>
        <w:keepLines w:val="0"/>
        <w:widowControl w:val="0"/>
        <w:numPr>
          <w:ilvl w:val="0"/>
          <w:numId w:val="575"/>
        </w:numPr>
        <w:shd w:val="clear" w:color="auto" w:fill="auto"/>
        <w:tabs>
          <w:tab w:pos="25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Teološke discipline:</w:t>
      </w:r>
      <w:r>
        <w:rPr>
          <w:rFonts w:ascii="Times New Roman" w:eastAsia="Times New Roman" w:hAnsi="Times New Roman" w:cs="Times New Roman"/>
          <w:color w:val="000000"/>
          <w:spacing w:val="0"/>
          <w:w w:val="100"/>
          <w:position w:val="0"/>
          <w:shd w:val="clear" w:color="auto" w:fill="auto"/>
          <w:lang w:val="hr-HR" w:eastAsia="hr-HR" w:bidi="hr-HR"/>
        </w:rPr>
        <w:t xml:space="preserve"> U teologiji se na do</w:t>
        <w:softHyphen/>
        <w:t>tičnom raskrižju sadašnjosti, polazeći od ono</w:t>
        <w:softHyphen/>
        <w:t>ga što je samo po sebi razumljivo, susreće po</w:t>
        <w:softHyphen/>
        <w:t>vijesni i sustavan, na sadašnjost usmjeren - teoretski i na budućnost usmjeren - praktički interes. Ove četiri stvari dadu se u grubim crta</w:t>
        <w:softHyphen/>
        <w:t>ma ponovo prepoznati u četiri bloka povijes</w:t>
        <w:softHyphen/>
        <w:t>ne, sustavne, biblijske i praktičke teologije. Zbog posebnog mjesta koje u kršćanstvu pri</w:t>
        <w:softHyphen/>
        <w:t>pada Svetom pismu, bavljenje njime i pripa</w:t>
        <w:softHyphen/>
        <w:t>dajućim pomoćnim znanostima izdvojeno je iz povijesne teologije i obuhvaćeno je u vlasti</w:t>
        <w:softHyphen/>
        <w:t xml:space="preserve">tom području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»biblijske teologije«. Povijesna t. </w:t>
      </w:r>
      <w:r>
        <w:rPr>
          <w:rFonts w:ascii="Times New Roman" w:eastAsia="Times New Roman" w:hAnsi="Times New Roman" w:cs="Times New Roman"/>
          <w:color w:val="000000"/>
          <w:spacing w:val="0"/>
          <w:w w:val="100"/>
          <w:position w:val="0"/>
          <w:shd w:val="clear" w:color="auto" w:fill="auto"/>
          <w:lang w:val="hr-HR" w:eastAsia="hr-HR" w:bidi="hr-HR"/>
        </w:rPr>
        <w:t xml:space="preserve">posreduje razvoj crkvene povijesti u različitim </w:t>
      </w:r>
      <w:r>
        <w:rPr>
          <w:rFonts w:ascii="Times New Roman" w:eastAsia="Times New Roman" w:hAnsi="Times New Roman" w:cs="Times New Roman"/>
          <w:color w:val="000000"/>
          <w:spacing w:val="0"/>
          <w:w w:val="100"/>
          <w:position w:val="0"/>
          <w:shd w:val="clear" w:color="auto" w:fill="auto"/>
          <w:lang w:val="hr-HR" w:eastAsia="hr-HR" w:bidi="hr-HR"/>
        </w:rPr>
        <w:t>vremenskim odsječcima od pracrkvenog po</w:t>
        <w:softHyphen/>
        <w:t>četka preko otačkog vremena, zapadnoga srednjeg vijeka, reformacije i protureforma- cijc do curopsko-krščanskoga novog doba i moderne koja je obilježena novim oblikova</w:t>
        <w:softHyphen/>
        <w:t>njem Crkve između postkršćanski sekularizi- ranog društva i pluralizma religija u crkvama koje dolaze sa šest kontinenata s jasnim prem</w:t>
        <w:softHyphen/>
        <w:t>ještanjem težišta na južnu polutku. No, ona zatim kod odgovarajuće istaknutog zanimanja upravlja pogled na određena raščlanjena pro</w:t>
        <w:softHyphen/>
        <w:t>pitivanja kao što je povijest teologije i dogme, širenja vjere (misija/evangelizacija), odnosa Crkve i države. Ono što se povijesno priopća</w:t>
        <w:softHyphen/>
        <w:t xml:space="preserve">va u učenju, životu i bogoštovlju predstavljeno je u </w:t>
      </w:r>
      <w:r>
        <w:rPr>
          <w:rFonts w:ascii="Times New Roman" w:eastAsia="Times New Roman" w:hAnsi="Times New Roman" w:cs="Times New Roman"/>
          <w:i/>
          <w:iCs/>
          <w:color w:val="000000"/>
          <w:spacing w:val="0"/>
          <w:w w:val="100"/>
          <w:position w:val="0"/>
          <w:shd w:val="clear" w:color="auto" w:fill="auto"/>
          <w:lang w:val="hr-HR" w:eastAsia="hr-HR" w:bidi="hr-HR"/>
        </w:rPr>
        <w:t>sustavnoj teologiji,</w:t>
      </w:r>
      <w:r>
        <w:rPr>
          <w:rFonts w:ascii="Times New Roman" w:eastAsia="Times New Roman" w:hAnsi="Times New Roman" w:cs="Times New Roman"/>
          <w:color w:val="000000"/>
          <w:spacing w:val="0"/>
          <w:w w:val="100"/>
          <w:position w:val="0"/>
          <w:shd w:val="clear" w:color="auto" w:fill="auto"/>
          <w:lang w:val="hr-HR" w:eastAsia="hr-HR" w:bidi="hr-HR"/>
        </w:rPr>
        <w:t xml:space="preserve"> raspoređeno u »hije</w:t>
        <w:softHyphen/>
        <w:t>rarhiji istina« (dogmatika) i još se jednom promišlja i obrazlaže u tom procesu posre</w:t>
        <w:softHyphen/>
        <w:t>dovanja (fundamentalna t.) i tumači kao pro</w:t>
        <w:softHyphen/>
        <w:t xml:space="preserve">blem teorije i prakse u novom prakticiranju (moralka) i svojoj društvenoj djelotvornosti (kršćanski socijalni nauk). Time se sustavna t. nužno spušta do </w:t>
      </w:r>
      <w:r>
        <w:rPr>
          <w:rFonts w:ascii="Times New Roman" w:eastAsia="Times New Roman" w:hAnsi="Times New Roman" w:cs="Times New Roman"/>
          <w:i/>
          <w:iCs/>
          <w:color w:val="000000"/>
          <w:spacing w:val="0"/>
          <w:w w:val="100"/>
          <w:position w:val="0"/>
          <w:shd w:val="clear" w:color="auto" w:fill="auto"/>
          <w:lang w:val="hr-HR" w:eastAsia="hr-HR" w:bidi="hr-HR"/>
        </w:rPr>
        <w:t>praktičke</w:t>
      </w:r>
      <w:r>
        <w:rPr>
          <w:rFonts w:ascii="Times New Roman" w:eastAsia="Times New Roman" w:hAnsi="Times New Roman" w:cs="Times New Roman"/>
          <w:color w:val="000000"/>
          <w:spacing w:val="0"/>
          <w:w w:val="100"/>
          <w:position w:val="0"/>
          <w:shd w:val="clear" w:color="auto" w:fill="auto"/>
          <w:lang w:val="hr-HR" w:eastAsia="hr-HR" w:bidi="hr-HR"/>
        </w:rPr>
        <w:t xml:space="preserve"> teologije u kojoj se tematizira isto tako kozmički kao i životno- praktički posrednički proces zakona i evan</w:t>
        <w:softHyphen/>
        <w:t>đelja (Crkveno pravo), kršćanske poruke spa</w:t>
        <w:softHyphen/>
        <w:t>senja i spasenjske stvarnosti (liturgija, naviješ- tanje i propovijed, religijsko poučavanje i od</w:t>
        <w:softHyphen/>
        <w:t>goj, đakonske službe, kršćanska životna praksa u različitim životnim uvjetima). No, upravo u praktičkoj teologiji ne dolazi samo do izražaja otvaranje prema budućim vremenskim epo</w:t>
        <w:softHyphen/>
        <w:t>hama nego i prema kozmičkim područjima i suparničkim stavovima prema svijetu u religi</w:t>
        <w:softHyphen/>
        <w:t>jama, ideologijama i humanizmima.</w:t>
      </w:r>
    </w:p>
    <w:p>
      <w:pPr>
        <w:pStyle w:val="Style56"/>
        <w:keepNext w:val="0"/>
        <w:keepLines w:val="0"/>
        <w:widowControl w:val="0"/>
        <w:shd w:val="clear" w:color="auto" w:fill="auto"/>
        <w:tabs>
          <w:tab w:pos="2117" w:val="left"/>
        </w:tabs>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natuknica: Theologic, u: RGG VI, 754-782; LThK X, 62-71; SM IV, 860-374; P. </w:t>
      </w:r>
      <w:r>
        <w:rPr>
          <w:color w:val="000000"/>
          <w:spacing w:val="0"/>
          <w:w w:val="100"/>
          <w:position w:val="0"/>
          <w:shd w:val="clear" w:color="auto" w:fill="auto"/>
        </w:rPr>
        <w:t xml:space="preserve">Richer, </w:t>
      </w:r>
      <w:r>
        <w:rPr>
          <w:i/>
          <w:iCs/>
          <w:color w:val="000000"/>
          <w:spacing w:val="0"/>
          <w:w w:val="100"/>
          <w:position w:val="0"/>
          <w:shd w:val="clear" w:color="auto" w:fill="auto"/>
          <w:lang w:val="hr-HR" w:eastAsia="hr-HR" w:bidi="hr-HR"/>
        </w:rPr>
        <w:t>Theologie,</w:t>
      </w:r>
      <w:r>
        <w:rPr>
          <w:color w:val="000000"/>
          <w:spacing w:val="0"/>
          <w:w w:val="100"/>
          <w:position w:val="0"/>
          <w:shd w:val="clear" w:color="auto" w:fill="auto"/>
          <w:lang w:val="hr-HR" w:eastAsia="hr-HR" w:bidi="hr-HR"/>
        </w:rPr>
        <w:t xml:space="preserve"> Munchcn 1980; II. </w:t>
      </w:r>
      <w:r>
        <w:rPr>
          <w:color w:val="000000"/>
          <w:spacing w:val="0"/>
          <w:w w:val="100"/>
          <w:position w:val="0"/>
          <w:shd w:val="clear" w:color="auto" w:fill="auto"/>
        </w:rPr>
        <w:t xml:space="preserve">Waklcnfch, </w:t>
      </w:r>
      <w:r>
        <w:rPr>
          <w:i/>
          <w:iCs/>
          <w:color w:val="000000"/>
          <w:spacing w:val="0"/>
          <w:w w:val="100"/>
          <w:position w:val="0"/>
          <w:shd w:val="clear" w:color="auto" w:fill="auto"/>
        </w:rPr>
        <w:t xml:space="preserve">Ko/uexiueUe FundamerUaliheoJo^e. </w:t>
      </w:r>
      <w:r>
        <w:rPr>
          <w:color w:val="000000"/>
          <w:spacing w:val="0"/>
          <w:w w:val="100"/>
          <w:position w:val="0"/>
          <w:shd w:val="clear" w:color="auto" w:fill="auto"/>
        </w:rPr>
        <w:t xml:space="preserve">Paderborn </w:t>
      </w:r>
      <w:r>
        <w:rPr>
          <w:color w:val="000000"/>
          <w:spacing w:val="0"/>
          <w:w w:val="100"/>
          <w:position w:val="0"/>
          <w:shd w:val="clear" w:color="auto" w:fill="auto"/>
          <w:lang w:val="hr-HR" w:eastAsia="hr-HR" w:bidi="hr-HR"/>
        </w:rPr>
        <w:t>1985, T. I u. V.</w:t>
        <w:tab/>
      </w:r>
      <w:r>
        <w:rPr>
          <w:color w:val="000000"/>
          <w:spacing w:val="0"/>
          <w:w w:val="100"/>
          <w:position w:val="0"/>
          <w:shd w:val="clear" w:color="auto" w:fill="auto"/>
        </w:rPr>
        <w:t>II. WAI.DENFELS</w:t>
      </w:r>
    </w:p>
    <w:p>
      <w:pPr>
        <w:pStyle w:val="Style63"/>
        <w:keepNext/>
        <w:keepLines/>
        <w:widowControl w:val="0"/>
        <w:numPr>
          <w:ilvl w:val="0"/>
          <w:numId w:val="577"/>
        </w:numPr>
        <w:shd w:val="clear" w:color="auto" w:fill="auto"/>
        <w:tabs>
          <w:tab w:pos="255" w:val="left"/>
        </w:tabs>
        <w:bidi w:val="0"/>
        <w:spacing w:before="0"/>
        <w:ind w:left="0" w:right="0" w:firstLine="0"/>
        <w:jc w:val="both"/>
      </w:pPr>
      <w:bookmarkStart w:id="366" w:name="bookmark366"/>
      <w:r>
        <w:rPr>
          <w:rFonts w:ascii="Times New Roman" w:eastAsia="Times New Roman" w:hAnsi="Times New Roman" w:cs="Times New Roman"/>
          <w:color w:val="000000"/>
          <w:spacing w:val="0"/>
          <w:w w:val="100"/>
          <w:position w:val="0"/>
          <w:shd w:val="clear" w:color="auto" w:fill="auto"/>
          <w:lang w:val="hr-HR" w:eastAsia="hr-HR" w:bidi="hr-HR"/>
        </w:rPr>
        <w:t>islamski</w:t>
      </w:r>
      <w:bookmarkEnd w:id="366"/>
    </w:p>
    <w:p>
      <w:pPr>
        <w:pStyle w:val="Style20"/>
        <w:keepNext w:val="0"/>
        <w:keepLines w:val="0"/>
        <w:widowControl w:val="0"/>
        <w:shd w:val="clear" w:color="auto" w:fill="auto"/>
        <w:bidi w:val="0"/>
        <w:spacing w:before="0" w:after="0"/>
        <w:ind w:left="0" w:right="0" w:firstLine="0"/>
        <w:jc w:val="both"/>
        <w:sectPr>
          <w:headerReference w:type="default" r:id="rId1483"/>
          <w:footerReference w:type="default" r:id="rId1484"/>
          <w:headerReference w:type="even" r:id="rId1485"/>
          <w:footerReference w:type="even" r:id="rId1486"/>
          <w:headerReference w:type="first" r:id="rId1487"/>
          <w:footerReference w:type="first" r:id="rId1488"/>
          <w:footnotePr>
            <w:pos w:val="pageBottom"/>
            <w:numFmt w:val="decimal"/>
            <w:numRestart w:val="continuous"/>
            <w15:footnoteColumns w:val="1"/>
          </w:footnotePr>
          <w:pgSz w:w="6816" w:h="11006"/>
          <w:pgMar w:top="835" w:left="194" w:right="199" w:bottom="278" w:header="0" w:footer="3" w:gutter="0"/>
          <w:cols w:num="2" w:space="19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Islamska t. ne shvaća sebe kao protupol svje</w:t>
        <w:softHyphen/>
        <w:t xml:space="preserve">tovnim znanostima. Ona, za razliku od njih, nije omeđena kao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sacra </w:t>
      </w:r>
      <w:r>
        <w:rPr>
          <w:rFonts w:ascii="Times New Roman" w:eastAsia="Times New Roman" w:hAnsi="Times New Roman" w:cs="Times New Roman"/>
          <w:i/>
          <w:iCs/>
          <w:color w:val="000000"/>
          <w:spacing w:val="0"/>
          <w:w w:val="100"/>
          <w:position w:val="0"/>
          <w:shd w:val="clear" w:color="auto" w:fill="auto"/>
          <w:lang w:val="hr-HR" w:eastAsia="hr-HR" w:bidi="hr-HR"/>
        </w:rPr>
        <w:t>doctrina.</w:t>
      </w:r>
      <w:r>
        <w:rPr>
          <w:rFonts w:ascii="Times New Roman" w:eastAsia="Times New Roman" w:hAnsi="Times New Roman" w:cs="Times New Roman"/>
          <w:color w:val="000000"/>
          <w:spacing w:val="0"/>
          <w:w w:val="100"/>
          <w:position w:val="0"/>
          <w:shd w:val="clear" w:color="auto" w:fill="auto"/>
          <w:lang w:val="hr-HR" w:eastAsia="hr-HR" w:bidi="hr-HR"/>
        </w:rPr>
        <w:t xml:space="preserve"> U nju je pot</w:t>
        <w:softHyphen/>
        <w:t>puno integriran jedan dio humanističkih zna</w:t>
        <w:softHyphen/>
        <w:t>nosti, prije svega pravo sa svim svojim grana</w:t>
        <w:softHyphen/>
        <w:t>ma. Zapravo, može se kazati da je islamska t. velikim dijelom pravo. Njezini su teolozi u prvom redu pravni učenjaci. Prirodne znanos</w:t>
        <w:softHyphen/>
        <w:t>ti, a prije svih astronomija i matematika, tako</w:t>
        <w:softHyphen/>
        <w:t xml:space="preserve">đer su često uključene u teološka razmišljanja (npr. prilikom utvrđivanja vremena molitve ili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prilikom provedbe računalnih operacija u na</w:t>
        <w:softHyphen/>
        <w:t xml:space="preserve">sljednome pravu).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M. Lochmann smatra da su kršćanski teolozi u pravu zato što vjeruju u Isusa Krista i na određeni način u Boga (F. Buri/J. M. Lochmann/H. Ott, </w:t>
      </w:r>
      <w:r>
        <w:rPr>
          <w:rFonts w:ascii="Times New Roman" w:eastAsia="Times New Roman" w:hAnsi="Times New Roman" w:cs="Times New Roman"/>
          <w:i/>
          <w:iCs/>
          <w:color w:val="000000"/>
          <w:spacing w:val="0"/>
          <w:w w:val="100"/>
          <w:position w:val="0"/>
          <w:shd w:val="clear" w:color="auto" w:fill="auto"/>
          <w:lang w:val="hr-HR" w:eastAsia="hr-HR" w:bidi="hr-HR"/>
        </w:rPr>
        <w:t xml:space="preserve">Dogmatik im </w:t>
      </w:r>
      <w:r>
        <w:rPr>
          <w:rFonts w:ascii="Times New Roman" w:eastAsia="Times New Roman" w:hAnsi="Times New Roman" w:cs="Times New Roman"/>
          <w:i/>
          <w:iCs/>
          <w:color w:val="000000"/>
          <w:spacing w:val="0"/>
          <w:w w:val="100"/>
          <w:position w:val="0"/>
          <w:shd w:val="clear" w:color="auto" w:fill="auto"/>
          <w:lang w:val="en-US" w:eastAsia="en-US" w:bidi="en-US"/>
        </w:rPr>
        <w:t>Dialog,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Bd. 2, Giitcrsloh 1974, 13). Islamski korelat loj odredbi poziva teologa ne može postojali zato što se »govor o Bogu« može od</w:t>
        <w:softHyphen/>
        <w:t>nositi isključivo na Boga, na jedinoga i jedin</w:t>
        <w:softHyphen/>
        <w:t>catoga.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Gledano sa stajališta povijesti razvoja, poziv teologa u islamu su najprije obnašali obra</w:t>
        <w:softHyphen/>
        <w:t xml:space="preserve">zovani i uviđavni ljudi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(‘alim, </w:t>
      </w:r>
      <w:r>
        <w:rPr>
          <w:rFonts w:ascii="Times New Roman" w:eastAsia="Times New Roman" w:hAnsi="Times New Roman" w:cs="Times New Roman"/>
          <w:i/>
          <w:iCs/>
          <w:color w:val="000000"/>
          <w:spacing w:val="0"/>
          <w:w w:val="100"/>
          <w:position w:val="0"/>
          <w:shd w:val="clear" w:color="auto" w:fill="auto"/>
          <w:lang w:val="en-US" w:eastAsia="en-US" w:bidi="en-US"/>
        </w:rPr>
        <w:t>faqih).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Kasnije se taj alim ili fakih preobrazio u teologa (usp. natuknicu: </w:t>
      </w:r>
      <w:r>
        <w:rPr>
          <w:rFonts w:ascii="Times New Roman" w:eastAsia="Times New Roman" w:hAnsi="Times New Roman" w:cs="Times New Roman"/>
          <w:i/>
          <w:iCs/>
          <w:color w:val="000000"/>
          <w:spacing w:val="0"/>
          <w:w w:val="100"/>
          <w:position w:val="0"/>
          <w:shd w:val="clear" w:color="auto" w:fill="auto"/>
          <w:lang w:val="en-US" w:eastAsia="en-US" w:bidi="en-US"/>
        </w:rPr>
        <w:t>faqih,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HI, 123). Daljnji je razvoj učinio od njega pravnog učenjaka, a napo</w:t>
        <w:softHyphen/>
        <w:t>sljetku kazuistu. Muslimani, koji žive u seku- lariziranim društvima, danas su uvelike upu</w:t>
        <w:softHyphen/>
        <w:t>ćeni na teologiju u uobičajenom smislu riječi. Tipičan primjer log razvoja pruža Turska, u kojoj se najviša obrazovna ustanova za dotič</w:t>
        <w:softHyphen/>
        <w:t xml:space="preserve">ne vodeće učenjake islama ne zove kao ranije recimo </w:t>
      </w:r>
      <w:r>
        <w:rPr>
          <w:rFonts w:ascii="Times New Roman" w:eastAsia="Times New Roman" w:hAnsi="Times New Roman" w:cs="Times New Roman"/>
          <w:i/>
          <w:iCs/>
          <w:color w:val="000000"/>
          <w:spacing w:val="0"/>
          <w:w w:val="100"/>
          <w:position w:val="0"/>
          <w:shd w:val="clear" w:color="auto" w:fill="auto"/>
          <w:lang w:val="en-US" w:eastAsia="en-US" w:bidi="en-US"/>
        </w:rPr>
        <w:t>Kiilliyye-i sher’iyye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ili </w:t>
      </w:r>
      <w:r>
        <w:rPr>
          <w:rFonts w:ascii="Times New Roman" w:eastAsia="Times New Roman" w:hAnsi="Times New Roman" w:cs="Times New Roman"/>
          <w:i/>
          <w:iCs/>
          <w:color w:val="000000"/>
          <w:spacing w:val="0"/>
          <w:w w:val="100"/>
          <w:position w:val="0"/>
          <w:shd w:val="clear" w:color="auto" w:fill="auto"/>
          <w:lang w:val="en-US" w:eastAsia="en-US" w:bidi="en-US"/>
        </w:rPr>
        <w:t>medrese-i'aliye</w:t>
      </w:r>
      <w:r>
        <w:rPr>
          <w:rFonts w:ascii="Times New Roman" w:eastAsia="Times New Roman" w:hAnsi="Times New Roman" w:cs="Times New Roman"/>
          <w:i/>
          <w:iCs/>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već </w:t>
      </w:r>
      <w:r>
        <w:rPr>
          <w:rFonts w:ascii="Times New Roman" w:eastAsia="Times New Roman" w:hAnsi="Times New Roman" w:cs="Times New Roman"/>
          <w:i/>
          <w:iCs/>
          <w:color w:val="000000"/>
          <w:spacing w:val="0"/>
          <w:w w:val="100"/>
          <w:position w:val="0"/>
          <w:shd w:val="clear" w:color="auto" w:fill="auto"/>
          <w:lang w:val="en-US" w:eastAsia="en-US" w:bidi="en-US"/>
        </w:rPr>
        <w:t xml:space="preserve">Ildhiyat </w:t>
      </w:r>
      <w:r>
        <w:rPr>
          <w:rFonts w:ascii="Times New Roman" w:eastAsia="Times New Roman" w:hAnsi="Times New Roman" w:cs="Times New Roman"/>
          <w:i/>
          <w:iCs/>
          <w:color w:val="000000"/>
          <w:spacing w:val="0"/>
          <w:w w:val="100"/>
          <w:position w:val="0"/>
          <w:shd w:val="clear" w:color="auto" w:fill="auto"/>
          <w:lang w:val="hr-HR" w:eastAsia="hr-HR" w:bidi="hr-HR"/>
        </w:rPr>
        <w:t>Fakilltesi</w:t>
      </w:r>
      <w:r>
        <w:rPr>
          <w:rFonts w:ascii="Times New Roman" w:eastAsia="Times New Roman" w:hAnsi="Times New Roman" w:cs="Times New Roman"/>
          <w:color w:val="000000"/>
          <w:spacing w:val="0"/>
          <w:w w:val="100"/>
          <w:position w:val="0"/>
          <w:shd w:val="clear" w:color="auto" w:fill="auto"/>
          <w:lang w:val="hr-HR" w:eastAsia="hr-HR" w:bidi="hr-HR"/>
        </w:rPr>
        <w:t xml:space="preserve"> (Teološki fakultet).</w:t>
      </w:r>
    </w:p>
    <w:p>
      <w:pPr>
        <w:pStyle w:val="Style74"/>
        <w:keepNext w:val="0"/>
        <w:keepLines w:val="0"/>
        <w:widowControl w:val="0"/>
        <w:shd w:val="clear" w:color="auto" w:fill="auto"/>
        <w:bidi w:val="0"/>
        <w:spacing w:before="0" w:after="48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BAI.IĆ</w:t>
      </w:r>
    </w:p>
    <w:p>
      <w:pPr>
        <w:pStyle w:val="Style33"/>
        <w:keepNext w:val="0"/>
        <w:keepLines w:val="0"/>
        <w:widowControl w:val="0"/>
        <w:shd w:val="clear" w:color="auto" w:fill="auto"/>
        <w:bidi w:val="0"/>
        <w:spacing w:before="0" w:after="3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TIJELO ČOVJEK</w:t>
      </w:r>
    </w:p>
    <w:p>
      <w:pPr>
        <w:pStyle w:val="Style33"/>
        <w:keepNext w:val="0"/>
        <w:keepLines w:val="0"/>
        <w:widowControl w:val="0"/>
        <w:shd w:val="clear" w:color="auto" w:fill="auto"/>
        <w:bidi w:val="0"/>
        <w:spacing w:before="0" w:after="18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TOLERANCIJA</w:t>
      </w:r>
    </w:p>
    <w:p>
      <w:pPr>
        <w:pStyle w:val="Style63"/>
        <w:keepNext/>
        <w:keepLines/>
        <w:widowControl w:val="0"/>
        <w:numPr>
          <w:ilvl w:val="0"/>
          <w:numId w:val="579"/>
        </w:numPr>
        <w:shd w:val="clear" w:color="auto" w:fill="auto"/>
        <w:tabs>
          <w:tab w:pos="241" w:val="left"/>
        </w:tabs>
        <w:bidi w:val="0"/>
        <w:spacing w:before="0"/>
        <w:ind w:left="0" w:right="0" w:firstLine="0"/>
        <w:jc w:val="both"/>
      </w:pPr>
      <w:bookmarkStart w:id="367" w:name="bookmark367"/>
      <w:r>
        <w:rPr>
          <w:rFonts w:ascii="Times New Roman" w:eastAsia="Times New Roman" w:hAnsi="Times New Roman" w:cs="Times New Roman"/>
          <w:color w:val="000000"/>
          <w:spacing w:val="0"/>
          <w:w w:val="100"/>
          <w:position w:val="0"/>
          <w:shd w:val="clear" w:color="auto" w:fill="auto"/>
          <w:lang w:val="hr-HR" w:eastAsia="hr-HR" w:bidi="hr-HR"/>
        </w:rPr>
        <w:t>židovski</w:t>
      </w:r>
      <w:bookmarkEnd w:id="367"/>
    </w:p>
    <w:p>
      <w:pPr>
        <w:pStyle w:val="Style20"/>
        <w:keepNext w:val="0"/>
        <w:keepLines w:val="0"/>
        <w:widowControl w:val="0"/>
        <w:shd w:val="clear" w:color="auto" w:fill="auto"/>
        <w:bidi w:val="0"/>
        <w:spacing w:before="0" w:after="0"/>
        <w:ind w:left="0" w:right="0" w:firstLine="0"/>
        <w:jc w:val="both"/>
        <w:sectPr>
          <w:headerReference w:type="default" r:id="rId1489"/>
          <w:footerReference w:type="default" r:id="rId1490"/>
          <w:headerReference w:type="even" r:id="rId1491"/>
          <w:footerReference w:type="even" r:id="rId1492"/>
          <w:footnotePr>
            <w:pos w:val="pageBottom"/>
            <w:numFmt w:val="decimal"/>
            <w:numRestart w:val="continuous"/>
            <w15:footnoteColumns w:val="1"/>
          </w:footnotePr>
          <w:type w:val="continuous"/>
          <w:pgSz w:w="6816" w:h="11006"/>
          <w:pgMar w:top="835" w:left="194" w:right="199" w:bottom="278" w:header="0" w:footer="3" w:gutter="0"/>
          <w:cols w:num="2" w:space="194"/>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a) »JA, Bog tvoj, Bog sam ljubomoran.«</w:t>
      </w:r>
      <w:r>
        <w:rPr>
          <w:rFonts w:ascii="Times New Roman" w:eastAsia="Times New Roman" w:hAnsi="Times New Roman" w:cs="Times New Roman"/>
          <w:color w:val="000000"/>
          <w:spacing w:val="0"/>
          <w:w w:val="100"/>
          <w:position w:val="0"/>
          <w:shd w:val="clear" w:color="auto" w:fill="auto"/>
          <w:lang w:val="hr-HR" w:eastAsia="hr-HR" w:bidi="hr-HR"/>
        </w:rPr>
        <w:t xml:space="preserve"> Ap</w:t>
        <w:softHyphen/>
        <w:t>straktni pojam »izraelski monoteizam« ne po</w:t>
        <w:softHyphen/>
        <w:t>kazuje već krije biblijski osvjedočeni proces samoodređenja Boga (»Ja«) kao onoga koji izvodi i oslobađa apostrofirani Izrael i u tome »ti« (Izl 20,2-17; Pnz 5,6-18) oslovljava sva</w:t>
        <w:softHyphen/>
        <w:t>koga pojedinog pripadnika naroda kojemu se obraća. Izraelska povijest primjereno je obuh</w:t>
        <w:softHyphen/>
        <w:t>vaćena samo kao stalna borba zajednice koja se temelji na vlasti Jednoga Jedinog (Pnz 6,4—9; 11,13-21; Br 15,37-41) i u čijem se ži</w:t>
        <w:softHyphen/>
        <w:t xml:space="preserve">votu taj uzajamni odnos Boga Izraelova i Božjega naroda Izraela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26,12, usp. Jš 24,2.23 i d.; Suci 5,3.5.11; Jr 7,23; Ez 11,20; Zah 8,8) mora uvijek iznova aktualizirati: »Nemoj imati drugih bogova osim mene« (izl 20,3). Zahtjev Izraelova isključivoga štovateljskog odnosa prema Bogu povezan je sa zahtjevom </w:t>
      </w:r>
      <w:r>
        <w:rPr>
          <w:rFonts w:ascii="Times New Roman" w:eastAsia="Times New Roman" w:hAnsi="Times New Roman" w:cs="Times New Roman"/>
          <w:color w:val="000000"/>
          <w:spacing w:val="0"/>
          <w:w w:val="100"/>
          <w:position w:val="0"/>
          <w:shd w:val="clear" w:color="auto" w:fill="auto"/>
          <w:lang w:val="hr-HR" w:eastAsia="hr-HR" w:bidi="hr-HR"/>
        </w:rPr>
        <w:t>da se on prizna kao životna zajednica s »Lju</w:t>
        <w:softHyphen/>
        <w:t>bomornim«, koji razlikuje one koji ga mrze od onih koji ga ljube: »Jer JA, Bog tvoj, Bog sam ljubomoran, koji kažnjavam grijeh otaca - onih koji me mrze - na djeci do trećeg i če</w:t>
        <w:softHyphen/>
        <w:t>tvrtoga koljena, a iskazujem ljubav tisućama koji me ljube i vrše moje zapovijedi« (20,5 i d.; usp. Suci 5,31). Krivnja koja djeluje nadilazeći vlastite okvire postoji u idolopoklonslvu onih koji se time odriču potomstva Božjeg Izraela (Izl 20,4 i d.; 34,14; Pnz 6,12-15; Jš 24,16.19 i d.). Njima su suprotstavljeni oni koji ga »lju</w:t>
        <w:softHyphen/>
        <w:t xml:space="preserve">be« i koji su mu neograničeno vjerni (Pnz 4,4; 10,20; 11,22). Jedinom Bogu odgovara samo jedina ljubav prema njemu (Pnz 6,4 i d.), samo jedino bogoslužje (11,13, usp. 6,13; 10,12.20; Izl 3,12; 4,23). »Ljubomorni Bog« </w:t>
      </w:r>
      <w:r>
        <w:rPr>
          <w:rFonts w:ascii="Times New Roman" w:eastAsia="Times New Roman" w:hAnsi="Times New Roman" w:cs="Times New Roman"/>
          <w:i/>
          <w:iCs/>
          <w:color w:val="000000"/>
          <w:spacing w:val="0"/>
          <w:w w:val="100"/>
          <w:position w:val="0"/>
          <w:shd w:val="clear" w:color="auto" w:fill="auto"/>
          <w:lang w:val="hr-HR" w:eastAsia="hr-HR" w:bidi="hr-HR"/>
        </w:rPr>
        <w:t xml:space="preserve">ne trpi </w:t>
      </w:r>
      <w:r>
        <w:rPr>
          <w:rFonts w:ascii="Times New Roman" w:eastAsia="Times New Roman" w:hAnsi="Times New Roman" w:cs="Times New Roman"/>
          <w:color w:val="000000"/>
          <w:spacing w:val="0"/>
          <w:w w:val="100"/>
          <w:position w:val="0"/>
          <w:shd w:val="clear" w:color="auto" w:fill="auto"/>
          <w:lang w:val="hr-HR" w:eastAsia="hr-HR" w:bidi="hr-HR"/>
        </w:rPr>
        <w:t>službu tuđim bogovima (Izl 20,5; 34,14; Pnz 4,23 i d.; 6,14 i d.; Jš 24,19 i d.; Nah 1,2). Tole</w:t>
        <w:softHyphen/>
        <w:t>ranciju prema politcizmu »monoteizam« ka</w:t>
        <w:softHyphen/>
        <w:t xml:space="preserve">tegorički isključuje. Iskorjenjivanje idolopo- klonstva kao osporavanja njegova gospodstva i kao nevjere prema Jednom Jedinom (Izl 34,15-17;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19,4; Pnz 7,1-11; 32,17.21; Jš 24,2 i d.; Jr 2,11) pokazuje se kao neminovna potreba ljubavi Izraela prema Bogu (Pnz 6,5). Ta je sveta ljubomora potpuno krivo shvaćena kao netolerancija spram pripadnika druge vje</w:t>
        <w:softHyphen/>
        <w:t>re, kao fanatizam i mizantropija: »Nemoj pre</w:t>
        <w:softHyphen/>
        <w:t>zirati Edomca, jer je on brat tvoj. Ne preziri ni Egipćanina, jer si bio došljak u zemlji njego</w:t>
        <w:softHyphen/>
        <w:t>voj« (Pnz 23,8). »Monoteizam« i politeizam u međusobnoj su proturječnosti, kao što se uza</w:t>
        <w:softHyphen/>
        <w:t>jamno ne podnose bogoslužje i idolopoklon- stvo. U tom pitanju nema tolerancije, nema kolebanja, nema međusobnog priznavanja su</w:t>
        <w:softHyphen/>
        <w:t>protnosti, koje ih zahtijeva ili ograničava, jer Bog Toru nije povjerio anđelima nego Izraelu, jer se njegova volja ne treba ispuniti na nebu već na zemlji (Pnz 30,11 i d.,15 i d.; Šifre uz Pnz 32,8; u vezi s Izl 24,7 usp. b Sabat 88a), a to se može dogoditi samo ostvarenjem slič</w:t>
        <w:softHyphen/>
        <w:t>nosti s Bogom i »svetosti« jedinoga Boga. Me</w:t>
        <w:softHyphen/>
        <w:t>đutim, njegova netrpeljiva ljubomora nije usmjerena samo protiv službe nedjelotvornih idola; ona kažnjava i određene međuljudske prijestupe, koji su takvi da im je uskraćen i pravorijek: zajednicu koja u svojoj sredini to</w:t>
        <w:softHyphen/>
        <w:t>lerira nepravedne i nemilosrdne postupke pre</w:t>
        <w:softHyphen/>
        <w:t>ma svojim nemoćnim i najslabijim pripadni</w:t>
        <w:softHyphen/>
        <w:t xml:space="preserve">cima opustoši rat, a živo potomstvo pogođeno je smrću otaca; isključiva služba Bogu mora se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izraziti u pravednoj odanosti i brizi punoj lju</w:t>
        <w:softHyphen/>
        <w:t>bavi među ljudima (Izl 22,21-23,25 i 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 »Pravednici medu narodima.«</w:t>
      </w:r>
      <w:r>
        <w:rPr>
          <w:rFonts w:ascii="Times New Roman" w:eastAsia="Times New Roman" w:hAnsi="Times New Roman" w:cs="Times New Roman"/>
          <w:color w:val="000000"/>
          <w:spacing w:val="0"/>
          <w:w w:val="100"/>
          <w:position w:val="0"/>
          <w:shd w:val="clear" w:color="auto" w:fill="auto"/>
          <w:lang w:val="hr-HR" w:eastAsia="hr-HR" w:bidi="hr-HR"/>
        </w:rPr>
        <w:t xml:space="preserve"> Hebrejska Biblija izričito usađuje socijalnu odgovornost i za strance u odanosti jedinom Bogu i njegovoj zapovijedi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19,33 i d.; 25,35: Izl 22,20; Pnz 10,18; 14,29; 16,14; 24,17; 26,11 i d.) i dužnost prema strancima definira kao obveznu ljud</w:t>
        <w:softHyphen/>
        <w:t xml:space="preserve">sku dužnost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24,22; usp. 19,18 s 19,34; Br 15,15 i d.), pa stoga upozorava Izrael na la</w:t>
        <w:softHyphen/>
        <w:t>tentnu ili otvorenu opasnost od teoretske i praktične netolerancije prema vanjskom svijetu drukčijeg uvjerenja, svijetu u kojem bi Božji narod mogao jedino pravo na štovanje pret</w:t>
        <w:softHyphen/>
        <w:t>voriti u suprotnost. Židovski su učitelji upravo po strancu jasno prepoznali čovjeka, neovisno o njegovoj vjerskoj i nacionalnoj pripadnosti, kao pripadnika čovječanstva i vlastitom na</w:t>
        <w:softHyphen/>
        <w:t>rodu ucijepili u svijest, kao što svjedoče nji</w:t>
        <w:softHyphen/>
        <w:t>hova izlaganja o noahidskim zapovijedima. One su sadržane u sedam propisa koje je tre</w:t>
        <w:softHyphen/>
        <w:t xml:space="preserve">balo poštovati kao Božje zapovijedi i na koje se Noa obvezao nakon spasa poslije Potopa za sebe i svoje potomstvo (Post 9,1-7; Tos.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VIII,4.6; b 64b;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56b); njihovi izdanci susreću se u »pravednicima među narodima koji su sudionici budućeg svi</w:t>
        <w:softHyphen/>
        <w:t xml:space="preserve">jeta«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XIII,2) koji pod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gojim </w:t>
      </w:r>
      <w:r>
        <w:rPr>
          <w:rFonts w:ascii="Times New Roman" w:eastAsia="Times New Roman" w:hAnsi="Times New Roman" w:cs="Times New Roman"/>
          <w:color w:val="000000"/>
          <w:spacing w:val="0"/>
          <w:w w:val="100"/>
          <w:position w:val="0"/>
          <w:shd w:val="clear" w:color="auto" w:fill="auto"/>
          <w:lang w:val="hr-HR" w:eastAsia="hr-HR" w:bidi="hr-HR"/>
        </w:rPr>
        <w:t>ne zaboravljaju Boga (b 105a) i koje je Maj- ntonid u nauci o državi prihvatio kao »praved</w:t>
        <w:softHyphen/>
        <w:t>nike među narodima svijeta« (Misne Tora, Hilhot melahim VIII,11, usp. Hilhot tešuva 111,5; X,3; Hilhot edut XI,10). Pravno i poli</w:t>
        <w:softHyphen/>
        <w:t xml:space="preserve">tičko izjednačenje stranaca u zakonu Izraela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24,22; Br 15,15 i d.; 35,15; Ez 47,22) odgovara religijskom; ono se provodi po </w:t>
      </w:r>
      <w:r>
        <w:rPr>
          <w:rFonts w:ascii="Times New Roman" w:eastAsia="Times New Roman" w:hAnsi="Times New Roman" w:cs="Times New Roman"/>
          <w:i/>
          <w:iCs/>
          <w:color w:val="000000"/>
          <w:spacing w:val="0"/>
          <w:w w:val="100"/>
          <w:position w:val="0"/>
          <w:shd w:val="clear" w:color="auto" w:fill="auto"/>
          <w:lang w:val="hr-HR" w:eastAsia="hr-HR" w:bidi="hr-HR"/>
        </w:rPr>
        <w:t>na</w:t>
        <w:softHyphen/>
        <w:t>čelu tolerancije:</w:t>
      </w:r>
      <w:r>
        <w:rPr>
          <w:rFonts w:ascii="Times New Roman" w:eastAsia="Times New Roman" w:hAnsi="Times New Roman" w:cs="Times New Roman"/>
          <w:color w:val="000000"/>
          <w:spacing w:val="0"/>
          <w:w w:val="100"/>
          <w:position w:val="0"/>
          <w:shd w:val="clear" w:color="auto" w:fill="auto"/>
          <w:lang w:val="hr-HR" w:eastAsia="hr-HR" w:bidi="hr-HR"/>
        </w:rPr>
        <w:t xml:space="preserve"> Stranci/tuđinci koji žive u ži</w:t>
        <w:softHyphen/>
        <w:t>dovskom narodu nisu podvrgnuti ni obrezi- vanju niti su podložni zabrani jedenja uginule životinje (usp. Izl 22,30 s Pnz 14,21). 1 u Izraelu trpeljivost i ljudska sloboda spadaju zajedno, kako pokazuje primjer hebrejskoga roba (Izl 21,2-6): on se može odlučiti na slo</w:t>
        <w:softHyphen/>
        <w:t>bodu u sedmoj godini ili doživotno ostati sluga. Sloboda izbora jača njegovo dostojan</w:t>
        <w:softHyphen/>
        <w:t>stvo. Stranac sa svojim oblikovanjem u Noahi- da i u »pravednika«, odnosno »pobožnika« drugih naroda te izraelski rob predstavljaju nedvojbeno židovsko načelo tolerancije i slo</w:t>
        <w:softHyphen/>
        <w:t>bode savjesti. Ono je ukorijenjeno u Izraelovu strahopoštovanju i ljubavi prema jedinom Bo</w:t>
        <w:softHyphen/>
        <w:t xml:space="preserve">gu; jer od njega, Stvoritelja ljudi, nastaju i </w:t>
      </w:r>
      <w:r>
        <w:rPr>
          <w:rFonts w:ascii="Times New Roman" w:eastAsia="Times New Roman" w:hAnsi="Times New Roman" w:cs="Times New Roman"/>
          <w:color w:val="000000"/>
          <w:spacing w:val="0"/>
          <w:w w:val="100"/>
          <w:position w:val="0"/>
          <w:shd w:val="clear" w:color="auto" w:fill="auto"/>
          <w:lang w:val="hr-HR" w:eastAsia="hr-HR" w:bidi="hr-HR"/>
        </w:rPr>
        <w:t>stranac te rob kao bližnji. Gledište, koje je nastalo u židovskom narodu, o jednakosti Ži</w:t>
        <w:softHyphen/>
        <w:t>dova i nežidova pred Bogom otvara i pripad</w:t>
        <w:softHyphen/>
        <w:t>nicima drugih vjera mogućnost bogougodno</w:t>
        <w:softHyphen/>
        <w:t xml:space="preserve">ga života i, prema tomu, židovsko priznanje njegove pobožnosti: »Naš je običaj da vjerno čuvamo vlastito, ali ne da napadamo strano. Već radi imena Božjeg ne smijemo ismijavati niti blatiti bogove u koje vjeruju drugi narodi« (Josip Flavije,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11,33). Poziti</w:t>
        <w:softHyphen/>
        <w:t xml:space="preserve">van stav prema okolini izrazio je Mar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(II./III. stoljeće) zahtjevom da se Židov u op</w:t>
        <w:softHyphen/>
        <w:t>hođenju sa strancima treba odnositi isto tako čestito kao i s pripadnicima svojega naroda (b Hulin 94a). Posebnu važnost dobilo je nje</w:t>
        <w:softHyphen/>
        <w:t xml:space="preserve">govo načelo: državni zakon je zakon koji važi </w:t>
      </w:r>
      <w:r>
        <w:rPr>
          <w:rFonts w:ascii="Times New Roman" w:eastAsia="Times New Roman" w:hAnsi="Times New Roman" w:cs="Times New Roman"/>
          <w:i/>
          <w:iCs/>
          <w:color w:val="000000"/>
          <w:spacing w:val="0"/>
          <w:w w:val="100"/>
          <w:position w:val="0"/>
          <w:shd w:val="clear" w:color="auto" w:fill="auto"/>
          <w:lang w:val="hr-HR" w:eastAsia="hr-HR" w:bidi="hr-HR"/>
        </w:rPr>
        <w:t>{dina de-malhuta dina);</w:t>
      </w:r>
      <w:r>
        <w:rPr>
          <w:rFonts w:ascii="Times New Roman" w:eastAsia="Times New Roman" w:hAnsi="Times New Roman" w:cs="Times New Roman"/>
          <w:color w:val="000000"/>
          <w:spacing w:val="0"/>
          <w:w w:val="100"/>
          <w:position w:val="0"/>
          <w:shd w:val="clear" w:color="auto" w:fill="auto"/>
          <w:lang w:val="hr-HR" w:eastAsia="hr-HR" w:bidi="hr-HR"/>
        </w:rPr>
        <w:t xml:space="preserve"> on je stvorio duhovnu osnovu za opstanak Židova u dijaspori, jer svaki zakon dotične zemlje, prema njegovu mišljenju, za građanske sporove vrijedi kao pravno obvezatan i za Židove u skladu s njiho</w:t>
        <w:softHyphen/>
        <w:t xml:space="preserve">vim životnim pravilima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10b). Halaški kodeks, koji je do danas mjerodavan za orto</w:t>
        <w:softHyphen/>
        <w:t>doksno židovstvo, također nalaže da se poštu</w:t>
        <w:softHyphen/>
        <w:t>ju vjerska uvjerenja drugih ljudi, jer svi su ljudi pozvani da dođu k Bogu (usp. Šulhan aruh, Jore dea 148.178). Naoko kruti sustav židovskoga životnog puta (halaha) pokazuje se širokogrudnim upravo u tom načelnom pi</w:t>
        <w:softHyphen/>
        <w:t>tanju: on traži apsolutnu pravnu snagu samo za Izrael. Njegovi propisi štite i čuvaju židov</w:t>
        <w:softHyphen/>
        <w:t xml:space="preserve">ski narod, ali izvan svoje »ograde« (M Avot 1,1; b Berahot 4b) priznaju spas svima onima koji prihvaćaju univerzalne istine kao Božju objavu i da se u tom smislu dokazuju. Rabin Hija </w:t>
      </w:r>
      <w:r>
        <w:rPr>
          <w:rFonts w:ascii="Times New Roman" w:eastAsia="Times New Roman" w:hAnsi="Times New Roman" w:cs="Times New Roman"/>
          <w:color w:val="000000"/>
          <w:spacing w:val="0"/>
          <w:w w:val="100"/>
          <w:position w:val="0"/>
          <w:shd w:val="clear" w:color="auto" w:fill="auto"/>
          <w:lang w:val="en-US" w:eastAsia="en-US" w:bidi="en-US"/>
        </w:rPr>
        <w:t xml:space="preserve">bar Aba </w:t>
      </w:r>
      <w:r>
        <w:rPr>
          <w:rFonts w:ascii="Times New Roman" w:eastAsia="Times New Roman" w:hAnsi="Times New Roman" w:cs="Times New Roman"/>
          <w:color w:val="000000"/>
          <w:spacing w:val="0"/>
          <w:w w:val="100"/>
          <w:position w:val="0"/>
          <w:shd w:val="clear" w:color="auto" w:fill="auto"/>
          <w:lang w:val="hr-HR" w:eastAsia="hr-HR" w:bidi="hr-HR"/>
        </w:rPr>
        <w:t>(III. stoljeće) odrekao se čak re</w:t>
        <w:softHyphen/>
        <w:t>ligijske potvrde s obzirom na besprijekorno ponašanje; prema njemu, Bog kaže: »Napus</w:t>
        <w:softHyphen/>
        <w:t>tili su me; neću se na to obazirati ako se samo budu držali moje Tore... Budu li to činili, svjetlost Tore ponovno će mi ih približiti« (j Hagiga 1,76c).</w:t>
      </w:r>
    </w:p>
    <w:p>
      <w:pPr>
        <w:pStyle w:val="Style20"/>
        <w:keepNext w:val="0"/>
        <w:keepLines w:val="0"/>
        <w:widowControl w:val="0"/>
        <w:numPr>
          <w:ilvl w:val="0"/>
          <w:numId w:val="581"/>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da nitko ne treba ustrajati na svojem mišljenju.«</w:t>
      </w:r>
      <w:r>
        <w:rPr>
          <w:rFonts w:ascii="Times New Roman" w:eastAsia="Times New Roman" w:hAnsi="Times New Roman" w:cs="Times New Roman"/>
          <w:color w:val="000000"/>
          <w:spacing w:val="0"/>
          <w:w w:val="100"/>
          <w:position w:val="0"/>
          <w:shd w:val="clear" w:color="auto" w:fill="auto"/>
          <w:lang w:val="hr-HR" w:eastAsia="hr-HR" w:bidi="hr-HR"/>
        </w:rPr>
        <w:t xml:space="preserve"> T. obilježava pronalaženje istine u doba Talmuda i Misne, i taj se postupak odvi</w:t>
        <w:softHyphen/>
        <w:t>jao u raspravi o temeljnim religijskim proble</w:t>
        <w:softHyphen/>
        <w:t>mima i njihovoj primjeni. Šamajeva škola to</w:t>
        <w:softHyphen/>
        <w:t>lerirala je samo vlastitu doktrinu a prešućivala doktrinu Hiielove koja je od nje odstupala; stoga se u otvorenom sustavu halahe nije mo</w:t>
        <w:softHyphen/>
        <w:t>glo odlučivati prema njoj, premda su se pre</w:t>
        <w:softHyphen/>
        <w:t>dajom prenosile »ove ili one riječi živoga Bo</w:t>
        <w:softHyphen/>
      </w:r>
      <w:r>
        <w:rPr>
          <w:rFonts w:ascii="Times New Roman" w:eastAsia="Times New Roman" w:hAnsi="Times New Roman" w:cs="Times New Roman"/>
          <w:color w:val="000000"/>
          <w:spacing w:val="0"/>
          <w:w w:val="100"/>
          <w:position w:val="0"/>
          <w:shd w:val="clear" w:color="auto" w:fill="auto"/>
          <w:lang w:val="hr-HR" w:eastAsia="hr-HR" w:bidi="hr-HR"/>
        </w:rPr>
        <w:t>ga«. Prema Hilclovoj školi, odlučuje se prema halahi, »jer je podnošljiva i blaga te poučava vlastite riječi i riječi Šamajcvc škole; štoviše, ona spominje riječi Šamajeve škole prije vlas</w:t>
        <w:softHyphen/>
        <w:t xml:space="preserve">titih (Eruvin 13b). Redaktor Mišne Rabi Juda ha-Nasi uključio je u svoje šestodijclno djelo, koje je dovršio oko 200. pos. Kr., i jedan dio halaških i slobodnijih rasprava. Predaje, koje su »ostale izvan« Mišne </w:t>
      </w:r>
      <w:r>
        <w:rPr>
          <w:rFonts w:ascii="Times New Roman" w:eastAsia="Times New Roman" w:hAnsi="Times New Roman" w:cs="Times New Roman"/>
          <w:i/>
          <w:iCs/>
          <w:color w:val="000000"/>
          <w:spacing w:val="0"/>
          <w:w w:val="100"/>
          <w:position w:val="0"/>
          <w:shd w:val="clear" w:color="auto" w:fill="auto"/>
          <w:lang w:val="hr-HR" w:eastAsia="hr-HR" w:bidi="hr-HR"/>
        </w:rPr>
        <w:t>(berajtot),</w:t>
      </w:r>
      <w:r>
        <w:rPr>
          <w:rFonts w:ascii="Times New Roman" w:eastAsia="Times New Roman" w:hAnsi="Times New Roman" w:cs="Times New Roman"/>
          <w:color w:val="000000"/>
          <w:spacing w:val="0"/>
          <w:w w:val="100"/>
          <w:position w:val="0"/>
          <w:shd w:val="clear" w:color="auto" w:fill="auto"/>
          <w:lang w:val="hr-HR" w:eastAsia="hr-HR" w:bidi="hr-HR"/>
        </w:rPr>
        <w:t xml:space="preserve"> ušle su u velikom broju u opsežni dodatak Mišne (To- sefta) i važan su dopunski doprinos u talmud</w:t>
        <w:softHyphen/>
        <w:t xml:space="preserve">skoj raspravi. Ublažavanje već kodificirane halahe provelo se svjesno: »Kako bi se buduće rodove poučilo da nitko ne smije ustrajati na svojem mišljenju, jer ipak ni najveći učitelji nisu ustrajali na svojemu mišljenju!« (M Edu- jot 1,4). Iako su mudraci obvezno odlučivali o skupljenim raspravnim tekstovima poimence nabrojenih prenositelja tradicije (1,5), trebalo je sačuvati i mišljenja manjina: »Kako bi se, ako je sudu jasno mišljenje pojedinca, mogao na njega osloniti«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Ta dalekosežna slo</w:t>
        <w:softHyphen/>
        <w:t xml:space="preserve">boda savjesti i mišljenja obilježila je i učenje u tradicijskom židovstvu, koje je ocijenjeno kao istaknuta religijska dužnost (M Avot 11,5, usp. b Sabat 63a); naime, t., izražena u talmudskoj dijalektici, odredila je raspravu kao metodu i za proučavanje teksta </w:t>
      </w:r>
      <w:r>
        <w:rPr>
          <w:rFonts w:ascii="Times New Roman" w:eastAsia="Times New Roman" w:hAnsi="Times New Roman" w:cs="Times New Roman"/>
          <w:color w:val="000000"/>
          <w:spacing w:val="0"/>
          <w:w w:val="100"/>
          <w:position w:val="0"/>
          <w:shd w:val="clear" w:color="auto" w:fill="auto"/>
          <w:lang w:val="en-US" w:eastAsia="en-US" w:bidi="en-US"/>
        </w:rPr>
        <w:t xml:space="preserve">(J Pea </w:t>
      </w:r>
      <w:r>
        <w:rPr>
          <w:rFonts w:ascii="Times New Roman" w:eastAsia="Times New Roman" w:hAnsi="Times New Roman" w:cs="Times New Roman"/>
          <w:color w:val="000000"/>
          <w:spacing w:val="0"/>
          <w:w w:val="100"/>
          <w:position w:val="0"/>
          <w:shd w:val="clear" w:color="auto" w:fill="auto"/>
          <w:lang w:val="hr-HR" w:eastAsia="hr-HR" w:bidi="hr-HR"/>
        </w:rPr>
        <w:t xml:space="preserve">II, 17a) u kojoj Židov koji ući aktivno sudjeluje u procesu pronalaženja istine: »Moji oci ostavili su mi prostora kako bi me istaknuli. Iz toga slijedi, da se ‘mudri učenik’ </w:t>
      </w:r>
      <w:r>
        <w:rPr>
          <w:rFonts w:ascii="Times New Roman" w:eastAsia="Times New Roman" w:hAnsi="Times New Roman" w:cs="Times New Roman"/>
          <w:i/>
          <w:iCs/>
          <w:color w:val="000000"/>
          <w:spacing w:val="0"/>
          <w:w w:val="100"/>
          <w:position w:val="0"/>
          <w:shd w:val="clear" w:color="auto" w:fill="auto"/>
          <w:lang w:val="hr-HR" w:eastAsia="hr-HR" w:bidi="hr-HR"/>
        </w:rPr>
        <w:t>(talmid haham),</w:t>
      </w:r>
      <w:r>
        <w:rPr>
          <w:rFonts w:ascii="Times New Roman" w:eastAsia="Times New Roman" w:hAnsi="Times New Roman" w:cs="Times New Roman"/>
          <w:color w:val="000000"/>
          <w:spacing w:val="0"/>
          <w:w w:val="100"/>
          <w:position w:val="0"/>
          <w:shd w:val="clear" w:color="auto" w:fill="auto"/>
          <w:lang w:val="hr-HR" w:eastAsia="hr-HR" w:bidi="hr-HR"/>
        </w:rPr>
        <w:t xml:space="preserve"> koji pre</w:t>
        <w:softHyphen/>
        <w:t>daje o nekoj halaškoj odluci (koja je u suprot</w:t>
        <w:softHyphen/>
        <w:t>nosti s dotadašnjim običajem), ne smije odba</w:t>
        <w:softHyphen/>
        <w:t>citi (tj. potaknuti opoziv); drugi kažu: ne smije se zanemariti« (b Hulin 7a). Kad je u sred</w:t>
        <w:softHyphen/>
        <w:t>njem vijeku Majmonid sustav Mišne, otvoren prema budućnosti, zamijenio važećim zako</w:t>
        <w:softHyphen/>
        <w:t xml:space="preserve">nom u svojem opsežnom kodeksu </w:t>
      </w:r>
      <w:r>
        <w:rPr>
          <w:rFonts w:ascii="Times New Roman" w:eastAsia="Times New Roman" w:hAnsi="Times New Roman" w:cs="Times New Roman"/>
          <w:i/>
          <w:iCs/>
          <w:color w:val="000000"/>
          <w:spacing w:val="0"/>
          <w:w w:val="100"/>
          <w:position w:val="0"/>
          <w:shd w:val="clear" w:color="auto" w:fill="auto"/>
          <w:lang w:val="hr-HR" w:eastAsia="hr-HR" w:bidi="hr-HR"/>
        </w:rPr>
        <w:t>(Mišne To</w:t>
        <w:softHyphen/>
        <w:t>ra)</w:t>
      </w:r>
      <w:r>
        <w:rPr>
          <w:rFonts w:ascii="Times New Roman" w:eastAsia="Times New Roman" w:hAnsi="Times New Roman" w:cs="Times New Roman"/>
          <w:color w:val="000000"/>
          <w:spacing w:val="0"/>
          <w:w w:val="100"/>
          <w:position w:val="0"/>
          <w:shd w:val="clear" w:color="auto" w:fill="auto"/>
          <w:lang w:val="hr-HR" w:eastAsia="hr-HR" w:bidi="hr-HR"/>
        </w:rPr>
        <w:t xml:space="preserve"> i pitanje »antropomorfizma« - ima li Bog tijelo i čovječji lik - povukao iz slobodne rasprave i uskratio individualnoj odluci okva- lificiravši svako drukčije mišljenje »scktašc- njem«, njegov je prvi komentator na to dao kritičku primjedbu: »Zašto on naziva takva čovjeka otpadnikom? Koliko je većih i boljih od njega išlo putevima tih (antropomorfnih) misli, zato što su slijedili ono što su pročitali na nekima mjestima u Bibliji, ili još više ono što su vidjeli u riječima tekstova koji kvare spoznaje«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ben </w:t>
      </w:r>
      <w:r>
        <w:rPr>
          <w:rFonts w:ascii="Times New Roman" w:eastAsia="Times New Roman" w:hAnsi="Times New Roman" w:cs="Times New Roman"/>
          <w:color w:val="000000"/>
          <w:spacing w:val="0"/>
          <w:w w:val="100"/>
          <w:position w:val="0"/>
          <w:shd w:val="clear" w:color="auto" w:fill="auto"/>
          <w:lang w:val="hr-HR" w:eastAsia="hr-HR" w:bidi="hr-HR"/>
        </w:rPr>
        <w:t xml:space="preserve">David, XII. stoljeće, </w:t>
      </w:r>
      <w:r>
        <w:rPr>
          <w:rFonts w:ascii="Times New Roman" w:eastAsia="Times New Roman" w:hAnsi="Times New Roman" w:cs="Times New Roman"/>
          <w:color w:val="000000"/>
          <w:spacing w:val="0"/>
          <w:w w:val="100"/>
          <w:position w:val="0"/>
          <w:shd w:val="clear" w:color="auto" w:fill="auto"/>
          <w:lang w:val="hr-HR" w:eastAsia="hr-HR" w:bidi="hr-HR"/>
        </w:rPr>
        <w:t>u svojim »Prigovorima« /Hasagot/ na Hilhot Tešuva III,7).</w:t>
      </w:r>
    </w:p>
    <w:p>
      <w:pPr>
        <w:pStyle w:val="Style20"/>
        <w:keepNext w:val="0"/>
        <w:keepLines w:val="0"/>
        <w:widowControl w:val="0"/>
        <w:numPr>
          <w:ilvl w:val="0"/>
          <w:numId w:val="575"/>
        </w:numPr>
        <w:shd w:val="clear" w:color="auto" w:fill="auto"/>
        <w:tabs>
          <w:tab w:pos="274"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»Isključiva religija ne može biti prava.«</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Mo</w:t>
        <w:softHyphen/>
        <w:t xml:space="preserve">ses Mendelssohn </w:t>
      </w:r>
      <w:r>
        <w:rPr>
          <w:rFonts w:ascii="Times New Roman" w:eastAsia="Times New Roman" w:hAnsi="Times New Roman" w:cs="Times New Roman"/>
          <w:color w:val="000000"/>
          <w:spacing w:val="0"/>
          <w:w w:val="100"/>
          <w:position w:val="0"/>
          <w:shd w:val="clear" w:color="auto" w:fill="auto"/>
          <w:lang w:val="hr-HR" w:eastAsia="hr-HR" w:bidi="hr-HR"/>
        </w:rPr>
        <w:t>(1729-86), filozof židovsko</w:t>
        <w:softHyphen/>
        <w:t>ga prosvjetiteljstva, objasnio je svoje gledište o »toleranciji«, »razumijevanju« i »uzajamnom priznavanju« u židovsko-kršćanskoj raspravi s Johannom Casparom Lavaterom (1741-1801): »Budući da je Stvoritelj svim svojim ljudima namijenio vječno blaženstvo, isključiva religija ne može biti prava. Usuđujem se navesti ovu rečenicu kao kriterij istine u vjerskim stvari</w:t>
        <w:softHyphen/>
        <w:t xml:space="preserve">ma.« Težio je za tim da »svi ljudi prihvate istinu i izvršavaju je, istinu koju zajednički imaju </w:t>
      </w:r>
      <w:r>
        <w:rPr>
          <w:rFonts w:ascii="Times New Roman" w:eastAsia="Times New Roman" w:hAnsi="Times New Roman" w:cs="Times New Roman"/>
          <w:i/>
          <w:iCs/>
          <w:color w:val="000000"/>
          <w:spacing w:val="0"/>
          <w:w w:val="100"/>
          <w:position w:val="0"/>
          <w:shd w:val="clear" w:color="auto" w:fill="auto"/>
          <w:lang w:val="hr-HR" w:eastAsia="hr-HR" w:bidi="hr-HR"/>
        </w:rPr>
        <w:t>najbolji kršćani i najbolji Židovi«</w:t>
      </w:r>
      <w:r>
        <w:rPr>
          <w:rFonts w:ascii="Times New Roman" w:eastAsia="Times New Roman" w:hAnsi="Times New Roman" w:cs="Times New Roman"/>
          <w:color w:val="000000"/>
          <w:spacing w:val="0"/>
          <w:w w:val="100"/>
          <w:position w:val="0"/>
          <w:shd w:val="clear" w:color="auto" w:fill="auto"/>
          <w:lang w:val="hr-HR" w:eastAsia="hr-HR" w:bidi="hr-HR"/>
        </w:rPr>
        <w:t xml:space="preserve"> (Pisma iz godine 1770, usp.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H. </w:t>
      </w:r>
      <w:r>
        <w:rPr>
          <w:rFonts w:ascii="Times New Roman" w:eastAsia="Times New Roman" w:hAnsi="Times New Roman" w:cs="Times New Roman"/>
          <w:color w:val="000000"/>
          <w:spacing w:val="0"/>
          <w:w w:val="100"/>
          <w:position w:val="0"/>
          <w:shd w:val="clear" w:color="auto" w:fill="auto"/>
          <w:lang w:val="en-US" w:eastAsia="en-US" w:bidi="en-US"/>
        </w:rPr>
        <w:t xml:space="preserve">Schoeps, </w:t>
      </w:r>
      <w:r>
        <w:rPr>
          <w:rFonts w:ascii="Times New Roman" w:eastAsia="Times New Roman" w:hAnsi="Times New Roman" w:cs="Times New Roman"/>
          <w:i/>
          <w:iCs/>
          <w:color w:val="000000"/>
          <w:spacing w:val="0"/>
          <w:w w:val="100"/>
          <w:position w:val="0"/>
          <w:shd w:val="clear" w:color="auto" w:fill="auto"/>
          <w:lang w:val="en-US" w:eastAsia="en-US" w:bidi="en-US"/>
        </w:rPr>
        <w:t>Moses Men</w:t>
        <w:softHyphen/>
        <w:t>delssohn,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1979, 95). Doduše, </w:t>
      </w:r>
      <w:r>
        <w:rPr>
          <w:rFonts w:ascii="Times New Roman" w:eastAsia="Times New Roman" w:hAnsi="Times New Roman" w:cs="Times New Roman"/>
          <w:color w:val="000000"/>
          <w:spacing w:val="0"/>
          <w:w w:val="100"/>
          <w:position w:val="0"/>
          <w:shd w:val="clear" w:color="auto" w:fill="auto"/>
          <w:lang w:val="en-US" w:eastAsia="en-US" w:bidi="en-US"/>
        </w:rPr>
        <w:t xml:space="preserve">Mendelssohn </w:t>
      </w:r>
      <w:r>
        <w:rPr>
          <w:rFonts w:ascii="Times New Roman" w:eastAsia="Times New Roman" w:hAnsi="Times New Roman" w:cs="Times New Roman"/>
          <w:color w:val="000000"/>
          <w:spacing w:val="0"/>
          <w:w w:val="100"/>
          <w:position w:val="0"/>
          <w:shd w:val="clear" w:color="auto" w:fill="auto"/>
          <w:lang w:val="hr-HR" w:eastAsia="hr-HR" w:bidi="hr-HR"/>
        </w:rPr>
        <w:t>je bio »neosporno« uvjeren u »bit« vlastite reli</w:t>
        <w:softHyphen/>
        <w:t>gije i izričito priznao da se t. u praksi ne smije brkati s religijskom ravnodušnošću i da, što</w:t>
        <w:softHyphen/>
        <w:t>više, mora biti plod čvrstog uporišta: »Ne shvaćam što bi me moglo prikovati za religiju koju smatraju prestrogom, općenito prezre</w:t>
        <w:softHyphen/>
        <w:t>nom (kakva je židovska) kad u srcu ne bih bio uvjeren u njezinu istinu« (op. cit. 100 i d.); ipak je utemeljitelj moderne židovske orto- doksije nehotice u isto vrijeme utro put krštenom židovstvu na kojemu je tradicijski prenijeta povijest odnosa Bog-ćovjek pretvo</w:t>
        <w:softHyphen/>
        <w:t>rena u nauk o razumskoj spoznaji, a doživ</w:t>
        <w:softHyphen/>
        <w:t xml:space="preserve">ljena religija u etičko djelovanje. </w:t>
      </w:r>
      <w:r>
        <w:rPr>
          <w:rFonts w:ascii="Times New Roman" w:eastAsia="Times New Roman" w:hAnsi="Times New Roman" w:cs="Times New Roman"/>
          <w:color w:val="000000"/>
          <w:spacing w:val="0"/>
          <w:w w:val="100"/>
          <w:position w:val="0"/>
          <w:shd w:val="clear" w:color="auto" w:fill="auto"/>
          <w:lang w:val="en-US" w:eastAsia="en-US" w:bidi="en-US"/>
        </w:rPr>
        <w:t xml:space="preserve">Lessing </w:t>
      </w:r>
      <w:r>
        <w:rPr>
          <w:rFonts w:ascii="Times New Roman" w:eastAsia="Times New Roman" w:hAnsi="Times New Roman" w:cs="Times New Roman"/>
          <w:color w:val="000000"/>
          <w:spacing w:val="0"/>
          <w:w w:val="100"/>
          <w:position w:val="0"/>
          <w:shd w:val="clear" w:color="auto" w:fill="auto"/>
          <w:lang w:val="hr-HR" w:eastAsia="hr-HR" w:bidi="hr-HR"/>
        </w:rPr>
        <w:t>je mogao Nathanu u svojoj paraboli (3. čin, 7. prizor) prikazati tri prstena kao simbole triju monoteističkih vjera kao zamjenjive i jednako</w:t>
        <w:softHyphen/>
        <w:t>vrijedne samo stoga što se »pravi prsten vjero</w:t>
        <w:softHyphen/>
        <w:t>jatno izgubio«; no nikakav nadomjestak istine ne oslobađa snagu za toleranciju, koja ne sa</w:t>
        <w:softHyphen/>
        <w:t xml:space="preserve">mo da trpi »zadrtog Židova«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6. prizor) i njegove kršćanske i muslimanske dopune, ne</w:t>
        <w:softHyphen/>
        <w:t>go i zauzima mjesto za svakoga od njih. T. se pokazuje tamo gdje su ljudi na temelju vlas</w:t>
        <w:softHyphen/>
        <w:t>tite religijske tradicije »spremni i u stanju ži</w:t>
        <w:softHyphen/>
        <w:t>vjeti ako prijeđu iz središta vlastitog u zajed</w:t>
        <w:softHyphen/>
        <w:t xml:space="preserve">ničko« </w:t>
      </w:r>
      <w:r>
        <w:rPr>
          <w:rFonts w:ascii="Times New Roman" w:eastAsia="Times New Roman" w:hAnsi="Times New Roman" w:cs="Times New Roman"/>
          <w:color w:val="000000"/>
          <w:spacing w:val="0"/>
          <w:w w:val="100"/>
          <w:position w:val="0"/>
          <w:shd w:val="clear" w:color="auto" w:fill="auto"/>
          <w:lang w:val="en-US" w:eastAsia="en-US" w:bidi="en-US"/>
        </w:rPr>
        <w:t xml:space="preserve">(Ernst Simon, </w:t>
      </w:r>
      <w:r>
        <w:rPr>
          <w:rFonts w:ascii="Times New Roman" w:eastAsia="Times New Roman" w:hAnsi="Times New Roman" w:cs="Times New Roman"/>
          <w:i/>
          <w:iCs/>
          <w:color w:val="000000"/>
          <w:spacing w:val="0"/>
          <w:w w:val="100"/>
          <w:position w:val="0"/>
          <w:shd w:val="clear" w:color="auto" w:fill="auto"/>
          <w:lang w:val="hr-HR" w:eastAsia="hr-HR" w:bidi="hr-HR"/>
        </w:rPr>
        <w:t>Brucken,</w:t>
      </w:r>
      <w:r>
        <w:rPr>
          <w:rFonts w:ascii="Times New Roman" w:eastAsia="Times New Roman" w:hAnsi="Times New Roman" w:cs="Times New Roman"/>
          <w:color w:val="000000"/>
          <w:spacing w:val="0"/>
          <w:w w:val="100"/>
          <w:position w:val="0"/>
          <w:shd w:val="clear" w:color="auto" w:fill="auto"/>
          <w:lang w:val="hr-HR" w:eastAsia="hr-HR" w:bidi="hr-HR"/>
        </w:rPr>
        <w:t xml:space="preserve"> 1965, 459) i svladati jedno pokraj drugoga u korist jednog s drugim svjetskih religija. </w:t>
      </w:r>
      <w:r>
        <w:rPr>
          <w:rFonts w:ascii="Times New Roman" w:eastAsia="Times New Roman" w:hAnsi="Times New Roman" w:cs="Times New Roman"/>
          <w:color w:val="000000"/>
          <w:spacing w:val="0"/>
          <w:w w:val="100"/>
          <w:position w:val="0"/>
          <w:shd w:val="clear" w:color="auto" w:fill="auto"/>
          <w:lang w:val="en-US" w:eastAsia="en-US" w:bidi="en-US"/>
        </w:rPr>
        <w:t xml:space="preserve">Franz Rosenzweig </w:t>
      </w:r>
      <w:r>
        <w:rPr>
          <w:rFonts w:ascii="Times New Roman" w:eastAsia="Times New Roman" w:hAnsi="Times New Roman" w:cs="Times New Roman"/>
          <w:color w:val="000000"/>
          <w:spacing w:val="0"/>
          <w:w w:val="100"/>
          <w:position w:val="0"/>
          <w:shd w:val="clear" w:color="auto" w:fill="auto"/>
          <w:lang w:val="hr-HR" w:eastAsia="hr-HR" w:bidi="hr-HR"/>
        </w:rPr>
        <w:t xml:space="preserve">(1886-1929) vidio je u svojem filozofskom sustavu židovstvo i kršćanstvo kao dva gotovo potpuno jednakopravna puta istine u objavi </w:t>
      </w:r>
      <w:r>
        <w:rPr>
          <w:rFonts w:ascii="Times New Roman" w:eastAsia="Times New Roman" w:hAnsi="Times New Roman" w:cs="Times New Roman"/>
          <w:i/>
          <w:iCs/>
          <w:color w:val="000000"/>
          <w:spacing w:val="0"/>
          <w:w w:val="100"/>
          <w:position w:val="0"/>
          <w:shd w:val="clear" w:color="auto" w:fill="auto"/>
          <w:lang w:val="hr-HR" w:eastAsia="hr-HR" w:bidi="hr-HR"/>
        </w:rPr>
        <w:t>(DerStem der Erlosung,</w:t>
      </w:r>
      <w:r>
        <w:rPr>
          <w:rFonts w:ascii="Times New Roman" w:eastAsia="Times New Roman" w:hAnsi="Times New Roman" w:cs="Times New Roman"/>
          <w:color w:val="000000"/>
          <w:spacing w:val="0"/>
          <w:w w:val="100"/>
          <w:position w:val="0"/>
          <w:shd w:val="clear" w:color="auto" w:fill="auto"/>
          <w:lang w:val="hr-HR" w:eastAsia="hr-HR" w:bidi="hr-HR"/>
        </w:rPr>
        <w:t xml:space="preserve"> 1921); na osnovi, prije svega, Kor 15,28 i lv 14,6 ocrtao je svoj pogled na spasenjski plan Božji: »Slažemo se u tom </w:t>
      </w:r>
      <w:r>
        <w:rPr>
          <w:rFonts w:ascii="Times New Roman" w:eastAsia="Times New Roman" w:hAnsi="Times New Roman" w:cs="Times New Roman"/>
          <w:color w:val="000000"/>
          <w:spacing w:val="0"/>
          <w:w w:val="100"/>
          <w:position w:val="0"/>
          <w:shd w:val="clear" w:color="auto" w:fill="auto"/>
          <w:lang w:val="hr-HR" w:eastAsia="hr-HR" w:bidi="hr-HR"/>
        </w:rPr>
        <w:t xml:space="preserve">što Krist i njegova Crkva znače u svijetu: nitko ne dolazi k Ocu osim preko njega. Ne </w:t>
      </w:r>
      <w:r>
        <w:rPr>
          <w:rFonts w:ascii="Times New Roman" w:eastAsia="Times New Roman" w:hAnsi="Times New Roman" w:cs="Times New Roman"/>
          <w:i/>
          <w:iCs/>
          <w:color w:val="000000"/>
          <w:spacing w:val="0"/>
          <w:w w:val="100"/>
          <w:position w:val="0"/>
          <w:shd w:val="clear" w:color="auto" w:fill="auto"/>
          <w:lang w:val="hr-HR" w:eastAsia="hr-HR" w:bidi="hr-HR"/>
        </w:rPr>
        <w:t xml:space="preserve">dolazi </w:t>
      </w:r>
      <w:r>
        <w:rPr>
          <w:rFonts w:ascii="Times New Roman" w:eastAsia="Times New Roman" w:hAnsi="Times New Roman" w:cs="Times New Roman"/>
          <w:color w:val="000000"/>
          <w:spacing w:val="0"/>
          <w:w w:val="100"/>
          <w:position w:val="0"/>
          <w:shd w:val="clear" w:color="auto" w:fill="auto"/>
          <w:lang w:val="hr-HR" w:eastAsia="hr-HR" w:bidi="hr-HR"/>
        </w:rPr>
        <w:t xml:space="preserve">nitko k Ocu - ali je drukčije ako netko više ne mora dolaziti k Ocu jer već kod njega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jest... </w:t>
      </w:r>
      <w:r>
        <w:rPr>
          <w:rFonts w:ascii="Times New Roman" w:eastAsia="Times New Roman" w:hAnsi="Times New Roman" w:cs="Times New Roman"/>
          <w:color w:val="000000"/>
          <w:spacing w:val="0"/>
          <w:w w:val="100"/>
          <w:position w:val="0"/>
          <w:shd w:val="clear" w:color="auto" w:fill="auto"/>
          <w:lang w:val="hr-HR" w:eastAsia="hr-HR" w:bidi="hr-HR"/>
        </w:rPr>
        <w:t>Narod Izraela, kojega je izabrao njegov Otac, fiksira iznad svijeta i povijesti onu krajnju točku gdje će biti njegov Otac, laj isti, Jedan Jedini - 'Sve u Svemu’! Na toj točki gdje Krist prestaje biti Gospodar, Izrael prestaje biti iza</w:t>
        <w:softHyphen/>
        <w:t xml:space="preserve">bran; toga dana Bog gubi ime kojim ga zaziva samo Izrael; Bog tada više nije ‘njegov Bog’« (Rudolfu </w:t>
      </w:r>
      <w:r>
        <w:rPr>
          <w:rFonts w:ascii="Times New Roman" w:eastAsia="Times New Roman" w:hAnsi="Times New Roman" w:cs="Times New Roman"/>
          <w:color w:val="000000"/>
          <w:spacing w:val="0"/>
          <w:w w:val="100"/>
          <w:position w:val="0"/>
          <w:shd w:val="clear" w:color="auto" w:fill="auto"/>
          <w:lang w:val="en-US" w:eastAsia="en-US" w:bidi="en-US"/>
        </w:rPr>
        <w:t xml:space="preserve">Ehrenbergu 31.X.1913.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 xml:space="preserve">Pismima, </w:t>
      </w:r>
      <w:r>
        <w:rPr>
          <w:rFonts w:ascii="Times New Roman" w:eastAsia="Times New Roman" w:hAnsi="Times New Roman" w:cs="Times New Roman"/>
          <w:color w:val="000000"/>
          <w:spacing w:val="0"/>
          <w:w w:val="100"/>
          <w:position w:val="0"/>
          <w:shd w:val="clear" w:color="auto" w:fill="auto"/>
          <w:lang w:val="hr-HR" w:eastAsia="hr-HR" w:bidi="hr-HR"/>
        </w:rPr>
        <w:t xml:space="preserve">nakl. E.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color w:val="000000"/>
          <w:spacing w:val="0"/>
          <w:w w:val="100"/>
          <w:position w:val="0"/>
          <w:shd w:val="clear" w:color="auto" w:fill="auto"/>
          <w:lang w:val="hr-HR" w:eastAsia="hr-HR" w:bidi="hr-HR"/>
        </w:rPr>
        <w:t>1935, 73).</w:t>
      </w:r>
    </w:p>
    <w:p>
      <w:pPr>
        <w:pStyle w:val="Style56"/>
        <w:keepNext w:val="0"/>
        <w:keepLines w:val="0"/>
        <w:widowControl w:val="0"/>
        <w:shd w:val="clear" w:color="auto" w:fill="auto"/>
        <w:tabs>
          <w:tab w:pos="2453" w:val="left"/>
        </w:tabs>
        <w:bidi w:val="0"/>
        <w:spacing w:before="0" w:after="120" w:line="240" w:lineRule="auto"/>
        <w:ind w:left="0" w:right="0" w:firstLine="0"/>
        <w:jc w:val="both"/>
      </w:pPr>
      <w:r>
        <w:rPr>
          <w:color w:val="000000"/>
          <w:spacing w:val="0"/>
          <w:w w:val="100"/>
          <w:position w:val="0"/>
          <w:shd w:val="clear" w:color="auto" w:fill="auto"/>
        </w:rPr>
        <w:t xml:space="preserve">Lit.: J. Maier. </w:t>
      </w:r>
      <w:r>
        <w:rPr>
          <w:i/>
          <w:iCs/>
          <w:color w:val="000000"/>
          <w:spacing w:val="0"/>
          <w:w w:val="100"/>
          <w:position w:val="0"/>
          <w:shd w:val="clear" w:color="auto" w:fill="auto"/>
          <w:lang w:val="hr-HR" w:eastAsia="hr-HR" w:bidi="hr-HR"/>
        </w:rPr>
        <w:t xml:space="preserve">Geschichle der </w:t>
      </w:r>
      <w:r>
        <w:rPr>
          <w:i/>
          <w:iCs/>
          <w:color w:val="000000"/>
          <w:spacing w:val="0"/>
          <w:w w:val="100"/>
          <w:position w:val="0"/>
          <w:shd w:val="clear" w:color="auto" w:fill="auto"/>
        </w:rPr>
        <w:t>jiidischen Religion,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1972,378 i li., 396 i ii.. 534 i d.t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 6. 1162-64; II. 1332-42; M. </w:t>
      </w:r>
      <w:r>
        <w:rPr>
          <w:color w:val="000000"/>
          <w:spacing w:val="0"/>
          <w:w w:val="100"/>
          <w:position w:val="0"/>
          <w:shd w:val="clear" w:color="auto" w:fill="auto"/>
        </w:rPr>
        <w:t xml:space="preserve">Buber; </w:t>
      </w:r>
      <w:r>
        <w:rPr>
          <w:i/>
          <w:iCs/>
          <w:color w:val="000000"/>
          <w:spacing w:val="0"/>
          <w:w w:val="100"/>
          <w:position w:val="0"/>
          <w:shd w:val="clear" w:color="auto" w:fill="auto"/>
        </w:rPr>
        <w:t>Werke I.</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1962, </w:t>
      </w:r>
      <w:r>
        <w:rPr>
          <w:i/>
          <w:iCs/>
          <w:color w:val="000000"/>
          <w:spacing w:val="0"/>
          <w:w w:val="100"/>
          <w:position w:val="0"/>
          <w:shd w:val="clear" w:color="auto" w:fill="auto"/>
        </w:rPr>
        <w:t>Schriften zur Philosophic,</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Nachlese,</w:t>
      </w:r>
      <w:r>
        <w:rPr>
          <w:color w:val="000000"/>
          <w:spacing w:val="0"/>
          <w:w w:val="100"/>
          <w:position w:val="0"/>
          <w:shd w:val="clear" w:color="auto" w:fill="auto"/>
        </w:rPr>
        <w:t xml:space="preserve"> 1965, 73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d.,102 i d., 113 i d.; E. Sinton. </w:t>
      </w:r>
      <w:r>
        <w:rPr>
          <w:i/>
          <w:iCs/>
          <w:color w:val="000000"/>
          <w:spacing w:val="0"/>
          <w:w w:val="100"/>
          <w:position w:val="0"/>
          <w:shd w:val="clear" w:color="auto" w:fill="auto"/>
        </w:rPr>
        <w:t>Briicken,</w:t>
      </w:r>
      <w:r>
        <w:rPr>
          <w:color w:val="000000"/>
          <w:spacing w:val="0"/>
          <w:w w:val="100"/>
          <w:position w:val="0"/>
          <w:shd w:val="clear" w:color="auto" w:fill="auto"/>
        </w:rPr>
        <w:t xml:space="preserve"> 1965, 47 i d.. 213 i d.. 220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Enlscheidung zum Judenlum,</w:t>
      </w:r>
      <w:r>
        <w:rPr>
          <w:color w:val="000000"/>
          <w:spacing w:val="0"/>
          <w:w w:val="100"/>
          <w:position w:val="0"/>
          <w:shd w:val="clear" w:color="auto" w:fill="auto"/>
        </w:rPr>
        <w:t xml:space="preserve"> 1980, 33 i d., 75 i d., 122 i d.. 249 i d.</w:t>
        <w:tab/>
        <w:t>D. virritn</w:t>
      </w:r>
    </w:p>
    <w:p>
      <w:pPr>
        <w:pStyle w:val="Style63"/>
        <w:keepNext/>
        <w:keepLines/>
        <w:widowControl w:val="0"/>
        <w:numPr>
          <w:ilvl w:val="0"/>
          <w:numId w:val="579"/>
        </w:numPr>
        <w:shd w:val="clear" w:color="auto" w:fill="auto"/>
        <w:tabs>
          <w:tab w:pos="260" w:val="left"/>
        </w:tabs>
        <w:bidi w:val="0"/>
        <w:spacing w:before="0" w:line="223" w:lineRule="auto"/>
        <w:ind w:left="0" w:right="0" w:firstLine="0"/>
        <w:jc w:val="both"/>
      </w:pPr>
      <w:bookmarkStart w:id="368" w:name="bookmark36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68"/>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 </w:t>
      </w:r>
      <w:r>
        <w:rPr>
          <w:rFonts w:ascii="Times New Roman" w:eastAsia="Times New Roman" w:hAnsi="Times New Roman" w:cs="Times New Roman"/>
          <w:color w:val="000000"/>
          <w:spacing w:val="0"/>
          <w:w w:val="100"/>
          <w:position w:val="0"/>
          <w:shd w:val="clear" w:color="auto" w:fill="auto"/>
          <w:lang w:val="hr-HR" w:eastAsia="hr-HR" w:bidi="hr-HR"/>
        </w:rPr>
        <w:t>nije središnji pojam protestantske teolo</w:t>
        <w:softHyphen/>
        <w:t>gije. Evangclički katekizam za odrasle ima u svom registru, što je značajno, samo dva puta upisan taj pojam. Izgleda kao da se na tole</w:t>
        <w:softHyphen/>
        <w:t>ranciju više kritički gleda čak kao na ostatak, primjerice, znanstveno religijskog relativizma, otprilike u smislu ravnodušnosti ili laisser faire. Zahtjev za tolerantnim ponašanjem ima u sebi čak nešto ozloglašeno, kada je npr. u novinskim oglasima, u kojima se traži partner, riječ o tolerantnom paru koji traži isto takav par. Danas je kod susreta religija teološki češ</w:t>
        <w:softHyphen/>
        <w:t>će riječ o dijalogu i partnerstvu nego o tole</w:t>
        <w:softHyphen/>
        <w:t>ranciji.</w:t>
      </w:r>
    </w:p>
    <w:p>
      <w:pPr>
        <w:pStyle w:val="Style20"/>
        <w:keepNext w:val="0"/>
        <w:keepLines w:val="0"/>
        <w:widowControl w:val="0"/>
        <w:shd w:val="clear" w:color="auto" w:fill="auto"/>
        <w:bidi w:val="0"/>
        <w:spacing w:before="0" w:after="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tolerancije susreće se prvi put u zapisi</w:t>
        <w:softHyphen/>
        <w:t>ma XVI. stoljeća, ali još ipak razmjerno rijet</w:t>
        <w:softHyphen/>
        <w:t>ko. Na njemačkom je najprije potvrđen kod Luthcra. U svom pismu od 12. lipnja 1541. (WA Br 9; 438 i d., 440 i d.) reformator primje</w:t>
        <w:softHyphen/>
        <w:t xml:space="preserve">njuje »tollcrantz« u crkveno-političkom ozračju. Rcgcnsburški sabor pod predsjedanjem Karla V. borio se nekoć za teološku </w:t>
      </w:r>
      <w:r>
        <w:rPr>
          <w:rFonts w:ascii="Times New Roman" w:eastAsia="Times New Roman" w:hAnsi="Times New Roman" w:cs="Times New Roman"/>
          <w:color w:val="000000"/>
          <w:spacing w:val="0"/>
          <w:w w:val="100"/>
          <w:position w:val="0"/>
          <w:shd w:val="clear" w:color="auto" w:fill="auto"/>
          <w:lang w:val="en-US" w:eastAsia="en-US" w:bidi="en-US"/>
        </w:rPr>
        <w:t xml:space="preserve">‘Concordia’ </w:t>
      </w:r>
      <w:r>
        <w:rPr>
          <w:rFonts w:ascii="Times New Roman" w:eastAsia="Times New Roman" w:hAnsi="Times New Roman" w:cs="Times New Roman"/>
          <w:color w:val="000000"/>
          <w:spacing w:val="0"/>
          <w:w w:val="100"/>
          <w:position w:val="0"/>
          <w:shd w:val="clear" w:color="auto" w:fill="auto"/>
          <w:lang w:val="hr-HR" w:eastAsia="hr-HR" w:bidi="hr-HR"/>
        </w:rPr>
        <w:t xml:space="preserve">protestanata i katolika. Jer su ipak neke točke ostale sporne, raspravljalo se o mogućnosti njihova toleriranja na određeni rok. </w:t>
      </w:r>
      <w:r>
        <w:rPr>
          <w:rFonts w:ascii="Times New Roman" w:eastAsia="Times New Roman" w:hAnsi="Times New Roman" w:cs="Times New Roman"/>
          <w:color w:val="000000"/>
          <w:spacing w:val="0"/>
          <w:w w:val="100"/>
          <w:position w:val="0"/>
          <w:shd w:val="clear" w:color="auto" w:fill="auto"/>
          <w:lang w:val="en-US" w:eastAsia="en-US" w:bidi="en-US"/>
        </w:rPr>
        <w:t xml:space="preserve">Luther </w:t>
      </w:r>
      <w:r>
        <w:rPr>
          <w:rFonts w:ascii="Times New Roman" w:eastAsia="Times New Roman" w:hAnsi="Times New Roman" w:cs="Times New Roman"/>
          <w:color w:val="000000"/>
          <w:spacing w:val="0"/>
          <w:w w:val="100"/>
          <w:position w:val="0"/>
          <w:shd w:val="clear" w:color="auto" w:fill="auto"/>
          <w:lang w:val="hr-HR" w:eastAsia="hr-HR" w:bidi="hr-HR"/>
        </w:rPr>
        <w:t>je ipak držao da takva »tollerantz« ne bi mogla škoditi. »Riječ i pojam nastaju u ranom no</w:t>
        <w:softHyphen/>
        <w:t xml:space="preserve">vovjekovnom polju napetosti između savjesti i vlasti, vjere i politički-društvenog poretka kao misao vodilja europske povijesti koja slijedi« </w:t>
      </w:r>
      <w:r>
        <w:rPr>
          <w:rFonts w:ascii="Times New Roman" w:eastAsia="Times New Roman" w:hAnsi="Times New Roman" w:cs="Times New Roman"/>
          <w:color w:val="000000"/>
          <w:spacing w:val="0"/>
          <w:w w:val="100"/>
          <w:position w:val="0"/>
          <w:shd w:val="clear" w:color="auto" w:fill="auto"/>
          <w:lang w:val="en-US" w:eastAsia="en-US" w:bidi="en-US"/>
        </w:rPr>
        <w:t xml:space="preserve">(Lutz, </w:t>
      </w:r>
      <w:r>
        <w:rPr>
          <w:rFonts w:ascii="Times New Roman" w:eastAsia="Times New Roman" w:hAnsi="Times New Roman" w:cs="Times New Roman"/>
          <w:color w:val="000000"/>
          <w:spacing w:val="0"/>
          <w:w w:val="100"/>
          <w:position w:val="0"/>
          <w:shd w:val="clear" w:color="auto" w:fill="auto"/>
          <w:lang w:val="hr-HR" w:eastAsia="hr-HR" w:bidi="hr-HR"/>
        </w:rPr>
        <w:t>X).</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Između ostaloga, toleranciju treba jasno razli</w:t>
        <w:softHyphen/>
        <w:t>kovati od latitudinarizma i indiferentizma. Pod latitudinarizmom se u XVII. stoljeću razumi</w:t>
        <w:softHyphen/>
        <w:t>jevao stav da se zapravo ne radi o teoretskim razlikama u učenju između religijskih zajed</w:t>
        <w:softHyphen/>
        <w:t>nica nego samo o bitnome i praktičnome. Pre</w:t>
        <w:softHyphen/>
        <w:t>neseno na današnju situaciju latitudinarizam je »stav koji svjesno podcjenjuje različitost re</w:t>
        <w:softHyphen/>
        <w:t>ligija, a ono zajedničko kao npr. strahopošto</w:t>
        <w:softHyphen/>
        <w:t>vanje pred Bogom, pred životom ili pred lju</w:t>
        <w:softHyphen/>
        <w:t>dima uzima kao bez daljnjega dano pa zato gleda optimistički na jedinstvo religija kao na nešto što neotklonjivo dolazi ili se uz dobru volju može uspostaviti« (Mann, 33). Naprotiv, indiferentizam je skeptičan stav, neutralno shvaćanje vjerskih stvari, ali ni u kojem slu</w:t>
        <w:softHyphen/>
        <w:t>čaju religijski stav. On je najbolje izražen u izjavi Friedricha Velikoga prema kojoj se sve religije moraju tolerirati kako bi tako u nje</w:t>
        <w:softHyphen/>
        <w:t>govu kraljevstvu »svatko bio na svoj način blažen«.</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Povjesničar H. R. Guggisberg karakterizira toleranciju na sljedeći način: »Čovjek je tole</w:t>
        <w:softHyphen/>
        <w:t>rantan kada trpi drugoga čovjeka koji se u svojim mišljenjima i pogledima, a možda i u svojim postupcima, razlikuje od njega. Neka vlast prakticira toleranciju kada dopušta da religijske manjine, koje se udaljavaju od službenog bogoštovlja, žive u njezinoj državi. Kako daleko ide taj ‘pustiti neka žive’, tj. ima</w:t>
        <w:softHyphen/>
        <w:t>mo li prema terminologiji Gustava Mcnschinga posla sa ‘sadržajnom’ ili samo ‘formalnom to</w:t>
        <w:softHyphen/>
        <w:t>lerancijom’, prije svega ne igra nikakvu ulo</w:t>
        <w:softHyphen/>
        <w:t>gu« (kod Lutza, 458). Na području susreta konfesija i religija od velikog je značenja to važno razlikovanje između formalne i sadržaj</w:t>
        <w:softHyphen/>
        <w:t>ne tolerancije.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Teološki se može doći do previše različitih re</w:t>
        <w:softHyphen/>
        <w:t xml:space="preserve">zultata već prema shvaćanju objave koja je u osnovi. </w:t>
      </w:r>
      <w:r>
        <w:rPr>
          <w:rFonts w:ascii="Times New Roman" w:eastAsia="Times New Roman" w:hAnsi="Times New Roman" w:cs="Times New Roman"/>
          <w:color w:val="000000"/>
          <w:spacing w:val="0"/>
          <w:w w:val="100"/>
          <w:position w:val="0"/>
          <w:shd w:val="clear" w:color="auto" w:fill="auto"/>
          <w:lang w:val="en-US" w:eastAsia="en-US" w:bidi="en-US"/>
        </w:rPr>
        <w:t xml:space="preserve">Rudolf </w:t>
      </w:r>
      <w:r>
        <w:rPr>
          <w:rFonts w:ascii="Times New Roman" w:eastAsia="Times New Roman" w:hAnsi="Times New Roman" w:cs="Times New Roman"/>
          <w:color w:val="000000"/>
          <w:spacing w:val="0"/>
          <w:w w:val="100"/>
          <w:position w:val="0"/>
          <w:shd w:val="clear" w:color="auto" w:fill="auto"/>
          <w:lang w:val="hr-HR" w:eastAsia="hr-HR" w:bidi="hr-HR"/>
        </w:rPr>
        <w:t xml:space="preserve">Bultmann i </w:t>
      </w:r>
      <w:r>
        <w:rPr>
          <w:rFonts w:ascii="Times New Roman" w:eastAsia="Times New Roman" w:hAnsi="Times New Roman" w:cs="Times New Roman"/>
          <w:color w:val="000000"/>
          <w:spacing w:val="0"/>
          <w:w w:val="100"/>
          <w:position w:val="0"/>
          <w:shd w:val="clear" w:color="auto" w:fill="auto"/>
          <w:lang w:val="en-US" w:eastAsia="en-US" w:bidi="en-US"/>
        </w:rPr>
        <w:t xml:space="preserve">Ernst Wolf, </w:t>
      </w:r>
      <w:r>
        <w:rPr>
          <w:rFonts w:ascii="Times New Roman" w:eastAsia="Times New Roman" w:hAnsi="Times New Roman" w:cs="Times New Roman"/>
          <w:color w:val="000000"/>
          <w:spacing w:val="0"/>
          <w:w w:val="100"/>
          <w:position w:val="0"/>
          <w:shd w:val="clear" w:color="auto" w:fill="auto"/>
          <w:lang w:val="hr-HR" w:eastAsia="hr-HR" w:bidi="hr-HR"/>
        </w:rPr>
        <w:t>npr., isključuju s obzirom na objavu svaku toleran</w:t>
        <w:softHyphen/>
        <w:t>ciju na cvangcličkom prostoru. Pritom je za evangeličko shvaćanje tolerancije osobito važno razlikovanje između opravdanja i posvećenja. »Opravdanje je nerazrješivo povezano s ne</w:t>
        <w:softHyphen/>
        <w:t xml:space="preserve">tolerancijom, s netolerancijom objave koja čovjeka usmjerava </w:t>
      </w:r>
      <w:r>
        <w:rPr>
          <w:rFonts w:ascii="Times New Roman" w:eastAsia="Times New Roman" w:hAnsi="Times New Roman" w:cs="Times New Roman"/>
          <w:i/>
          <w:iCs/>
          <w:color w:val="000000"/>
          <w:spacing w:val="0"/>
          <w:w w:val="100"/>
          <w:position w:val="0"/>
          <w:shd w:val="clear" w:color="auto" w:fill="auto"/>
          <w:lang w:val="hr-HR" w:eastAsia="hr-HR" w:bidi="hr-HR"/>
        </w:rPr>
        <w:t>coram Deo</w:t>
      </w:r>
      <w:r>
        <w:rPr>
          <w:rFonts w:ascii="Times New Roman" w:eastAsia="Times New Roman" w:hAnsi="Times New Roman" w:cs="Times New Roman"/>
          <w:color w:val="000000"/>
          <w:spacing w:val="0"/>
          <w:w w:val="100"/>
          <w:position w:val="0"/>
          <w:shd w:val="clear" w:color="auto" w:fill="auto"/>
          <w:lang w:val="hr-HR" w:eastAsia="hr-HR" w:bidi="hr-HR"/>
        </w:rPr>
        <w:t xml:space="preserve"> i u tome spa</w:t>
        <w:softHyphen/>
        <w:t xml:space="preserve">šava. Posvećenje, po evangeličkom shvaćanju, opisuje život opravdanog čovjeka kao Božjeg svjedoka i suradnika na ovome svijetu ... Ovdje se upravo traži toleriranje netolerancije u objavi« (kod Lutza, 150). No i na evange- </w:t>
      </w:r>
      <w:r>
        <w:rPr>
          <w:rFonts w:ascii="Times New Roman" w:eastAsia="Times New Roman" w:hAnsi="Times New Roman" w:cs="Times New Roman"/>
          <w:color w:val="000000"/>
          <w:spacing w:val="0"/>
          <w:w w:val="100"/>
          <w:position w:val="0"/>
          <w:shd w:val="clear" w:color="auto" w:fill="auto"/>
          <w:lang w:val="hr-HR" w:eastAsia="hr-HR" w:bidi="hr-HR"/>
        </w:rPr>
        <w:t>ličkom su prostoru također zastupana i sasvim drugačija stajališta, posebno kada se polazi od predodžbe opće objave.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Religijski znanstvenik i slobodan evangelički kršćanin Gustav Mensching angažirano je za</w:t>
        <w:softHyphen/>
        <w:t>stupao četrdesetih godina XX. stoljeća ideju tolerancije i to u vrijeme kada je to bilo sas</w:t>
        <w:softHyphen/>
        <w:t xml:space="preserve">vim nepopularno (usp. </w:t>
      </w:r>
      <w:r>
        <w:rPr>
          <w:rFonts w:ascii="Times New Roman" w:eastAsia="Times New Roman" w:hAnsi="Times New Roman" w:cs="Times New Roman"/>
          <w:i/>
          <w:iCs/>
          <w:color w:val="000000"/>
          <w:spacing w:val="0"/>
          <w:w w:val="100"/>
          <w:position w:val="0"/>
          <w:shd w:val="clear" w:color="auto" w:fill="auto"/>
          <w:lang w:val="en-US" w:eastAsia="en-US" w:bidi="en-US"/>
        </w:rPr>
        <w:t xml:space="preserve">Toleranz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Wahrheit 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Religion,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1955; </w:t>
      </w:r>
      <w:r>
        <w:rPr>
          <w:rFonts w:ascii="Times New Roman" w:eastAsia="Times New Roman" w:hAnsi="Times New Roman" w:cs="Times New Roman"/>
          <w:i/>
          <w:iCs/>
          <w:color w:val="000000"/>
          <w:spacing w:val="0"/>
          <w:w w:val="100"/>
          <w:position w:val="0"/>
          <w:shd w:val="clear" w:color="auto" w:fill="auto"/>
          <w:lang w:val="en-US" w:eastAsia="en-US" w:bidi="en-US"/>
        </w:rPr>
        <w:t xml:space="preserve">Aufgaben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und </w:t>
      </w:r>
      <w:r>
        <w:rPr>
          <w:rFonts w:ascii="Times New Roman" w:eastAsia="Times New Roman" w:hAnsi="Times New Roman" w:cs="Times New Roman"/>
          <w:i/>
          <w:iCs/>
          <w:color w:val="000000"/>
          <w:spacing w:val="0"/>
          <w:w w:val="100"/>
          <w:position w:val="0"/>
          <w:shd w:val="clear" w:color="auto" w:fill="auto"/>
          <w:lang w:val="en-US" w:eastAsia="en-US" w:bidi="en-US"/>
        </w:rPr>
        <w:t xml:space="preserve">Moglich- keiten freien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Christentums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Welt von </w:t>
      </w:r>
      <w:r>
        <w:rPr>
          <w:rFonts w:ascii="Times New Roman" w:eastAsia="Times New Roman" w:hAnsi="Times New Roman" w:cs="Times New Roman"/>
          <w:i/>
          <w:iCs/>
          <w:color w:val="000000"/>
          <w:spacing w:val="0"/>
          <w:w w:val="100"/>
          <w:position w:val="0"/>
          <w:shd w:val="clear" w:color="auto" w:fill="auto"/>
          <w:lang w:val="hr-HR" w:eastAsia="hr-HR" w:bidi="hr-HR"/>
        </w:rPr>
        <w:t>heute,</w:t>
      </w:r>
      <w:r>
        <w:rPr>
          <w:rFonts w:ascii="Times New Roman" w:eastAsia="Times New Roman" w:hAnsi="Times New Roman" w:cs="Times New Roman"/>
          <w:color w:val="000000"/>
          <w:spacing w:val="0"/>
          <w:w w:val="100"/>
          <w:position w:val="0"/>
          <w:shd w:val="clear" w:color="auto" w:fill="auto"/>
          <w:lang w:val="hr-HR" w:eastAsia="hr-HR" w:bidi="hr-HR"/>
        </w:rPr>
        <w:t xml:space="preserve"> 1959; i još mnoga druga djela). Kada je bila mjerodavna dijalektička teologija koja je kršćansku </w:t>
      </w:r>
      <w:r>
        <w:rPr>
          <w:rFonts w:ascii="Times New Roman" w:eastAsia="Times New Roman" w:hAnsi="Times New Roman" w:cs="Times New Roman"/>
          <w:i/>
          <w:iCs/>
          <w:color w:val="000000"/>
          <w:spacing w:val="0"/>
          <w:w w:val="100"/>
          <w:position w:val="0"/>
          <w:shd w:val="clear" w:color="auto" w:fill="auto"/>
          <w:lang w:val="hr-HR" w:eastAsia="hr-HR" w:bidi="hr-HR"/>
        </w:rPr>
        <w:t>vjeru</w:t>
      </w:r>
      <w:r>
        <w:rPr>
          <w:rFonts w:ascii="Times New Roman" w:eastAsia="Times New Roman" w:hAnsi="Times New Roman" w:cs="Times New Roman"/>
          <w:color w:val="000000"/>
          <w:spacing w:val="0"/>
          <w:w w:val="100"/>
          <w:position w:val="0"/>
          <w:shd w:val="clear" w:color="auto" w:fill="auto"/>
          <w:lang w:val="hr-HR" w:eastAsia="hr-HR" w:bidi="hr-HR"/>
        </w:rPr>
        <w:t xml:space="preserve"> radikalno odijelila od sveko</w:t>
        <w:softHyphen/>
        <w:t xml:space="preserve">like ljudske </w:t>
      </w:r>
      <w:r>
        <w:rPr>
          <w:rFonts w:ascii="Times New Roman" w:eastAsia="Times New Roman" w:hAnsi="Times New Roman" w:cs="Times New Roman"/>
          <w:i/>
          <w:iCs/>
          <w:color w:val="000000"/>
          <w:spacing w:val="0"/>
          <w:w w:val="100"/>
          <w:position w:val="0"/>
          <w:shd w:val="clear" w:color="auto" w:fill="auto"/>
          <w:lang w:val="hr-HR" w:eastAsia="hr-HR" w:bidi="hr-HR"/>
        </w:rPr>
        <w:t>religije</w:t>
      </w:r>
      <w:r>
        <w:rPr>
          <w:rFonts w:ascii="Times New Roman" w:eastAsia="Times New Roman" w:hAnsi="Times New Roman" w:cs="Times New Roman"/>
          <w:color w:val="000000"/>
          <w:spacing w:val="0"/>
          <w:w w:val="100"/>
          <w:position w:val="0"/>
          <w:shd w:val="clear" w:color="auto" w:fill="auto"/>
          <w:lang w:val="hr-HR" w:eastAsia="hr-HR" w:bidi="hr-HR"/>
        </w:rPr>
        <w:t xml:space="preserve"> i zanijekala istinu (čak i dijelove istine) izvan kršćanske vjere, Mensching je odlučno nastupio za »sadržajnu toleranci</w:t>
        <w:softHyphen/>
        <w:t>ju«. Ona je za njega bila »pozitivno prizna</w:t>
        <w:softHyphen/>
        <w:t>vanje tuđe religije kao prave i opravdane reli</w:t>
        <w:softHyphen/>
        <w:t>gijske mogućnosti susreta sa svetim«. Taj »stav najvišeg sudjelovanja« pretpostavlja »su</w:t>
        <w:softHyphen/>
        <w:t xml:space="preserve">čeljavanje i spoznaju, ali ne znači žrtvovanje vlastitoga religijskog uvjerenja« </w:t>
      </w:r>
      <w:r>
        <w:rPr>
          <w:rFonts w:ascii="Times New Roman" w:eastAsia="Times New Roman" w:hAnsi="Times New Roman" w:cs="Times New Roman"/>
          <w:i/>
          <w:iCs/>
          <w:color w:val="000000"/>
          <w:spacing w:val="0"/>
          <w:w w:val="100"/>
          <w:position w:val="0"/>
          <w:shd w:val="clear" w:color="auto" w:fill="auto"/>
          <w:lang w:val="hr-HR" w:eastAsia="hr-HR" w:bidi="hr-HR"/>
        </w:rPr>
        <w:t xml:space="preserve">(Toleranz und </w:t>
      </w:r>
      <w:r>
        <w:rPr>
          <w:rFonts w:ascii="Times New Roman" w:eastAsia="Times New Roman" w:hAnsi="Times New Roman" w:cs="Times New Roman"/>
          <w:i/>
          <w:iCs/>
          <w:color w:val="000000"/>
          <w:spacing w:val="0"/>
          <w:w w:val="100"/>
          <w:position w:val="0"/>
          <w:shd w:val="clear" w:color="auto" w:fill="auto"/>
          <w:lang w:val="en-US" w:eastAsia="en-US" w:bidi="en-US"/>
        </w:rPr>
        <w:t>Wahrheit,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18). Mensching je svoj kršćansko- -evangclički zahtjev za tolerancijom objašnja</w:t>
        <w:softHyphen/>
        <w:t>vao tako što je (prema Heb 1, 1) Bog »nekoć u mnogo navrata i na mnogo načina govorio očima« pa »religije predstavljaju tu mnogo</w:t>
        <w:softHyphen/>
        <w:t>strukost oblika Božjega govorenja ljudima«. S druge je strane, zbog različitosti ljudi, ta množina religija nužna i razborita.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Danas </w:t>
      </w:r>
      <w:r>
        <w:rPr>
          <w:rFonts w:ascii="Times New Roman" w:eastAsia="Times New Roman" w:hAnsi="Times New Roman" w:cs="Times New Roman"/>
          <w:color w:val="000000"/>
          <w:spacing w:val="0"/>
          <w:w w:val="100"/>
          <w:position w:val="0"/>
          <w:shd w:val="clear" w:color="auto" w:fill="auto"/>
          <w:lang w:val="en-US" w:eastAsia="en-US" w:bidi="en-US"/>
        </w:rPr>
        <w:t xml:space="preserve">Ulrich Mann </w:t>
      </w:r>
      <w:r>
        <w:rPr>
          <w:rFonts w:ascii="Times New Roman" w:eastAsia="Times New Roman" w:hAnsi="Times New Roman" w:cs="Times New Roman"/>
          <w:color w:val="000000"/>
          <w:spacing w:val="0"/>
          <w:w w:val="100"/>
          <w:position w:val="0"/>
          <w:shd w:val="clear" w:color="auto" w:fill="auto"/>
          <w:lang w:val="hr-HR" w:eastAsia="hr-HR" w:bidi="hr-HR"/>
        </w:rPr>
        <w:t>zastupa u protestantizmu na sličan način misao o »materijalnoj toleran</w:t>
        <w:softHyphen/>
        <w:t>ciji«. »No, materijalna t. računa s time da se Bog mogao spasenjski objaviti i u ostalim reli</w:t>
        <w:softHyphen/>
        <w:t>gijama. Reformatori su učili da je božanski zakon u svim religijama, da svaki čovjek živi od Božje objave u kategoriji zakona. Ja idem korak dalje kada tvrdim: evanđelje može biti i u drugim religijama ... Evanđelje može biti i u budizmu.«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Mračna povijest kršćanske netolerancije bila je često polemički prikazana. Ovdje treba upozoriti barem na neke kršćanske korijene tolerancije: Isus je, s jedne strane, primjer za sadržajnu toleranciju (usp. Mk 7,24 i d.; Mt 8,5 i d.; 11,21; 12,38 i d.; Iv 4,7 i d.; 4,46 i d.), jer saobraća s ljudima iz religijskih područja izvan izraelske pučke religije. Njegova je t. »kerigmatička inkluzivnost«, tj. njegova poru</w:t>
        <w:softHyphen/>
        <w:t xml:space="preserve">ka ima za cilj </w:t>
      </w:r>
      <w:r>
        <w:rPr>
          <w:rFonts w:ascii="Times New Roman" w:eastAsia="Times New Roman" w:hAnsi="Times New Roman" w:cs="Times New Roman"/>
          <w:i/>
          <w:iCs/>
          <w:color w:val="000000"/>
          <w:spacing w:val="0"/>
          <w:w w:val="100"/>
          <w:position w:val="0"/>
          <w:shd w:val="clear" w:color="auto" w:fill="auto"/>
          <w:lang w:val="hr-HR" w:eastAsia="hr-HR" w:bidi="hr-HR"/>
        </w:rPr>
        <w:t>sve</w:t>
      </w:r>
      <w:r>
        <w:rPr>
          <w:rFonts w:ascii="Times New Roman" w:eastAsia="Times New Roman" w:hAnsi="Times New Roman" w:cs="Times New Roman"/>
          <w:color w:val="000000"/>
          <w:spacing w:val="0"/>
          <w:w w:val="100"/>
          <w:position w:val="0"/>
          <w:shd w:val="clear" w:color="auto" w:fill="auto"/>
          <w:lang w:val="hr-HR" w:eastAsia="hr-HR" w:bidi="hr-HR"/>
        </w:rPr>
        <w:t xml:space="preserve"> ljude. S druge se strane kod Isusa pokazuju elementi proročkog »radika</w:t>
        <w:softHyphen/>
        <w:t>lizma« (Mensching) koji, međutim, nema ni</w:t>
        <w:softHyphen/>
      </w:r>
      <w:r>
        <w:rPr>
          <w:rFonts w:ascii="Times New Roman" w:eastAsia="Times New Roman" w:hAnsi="Times New Roman" w:cs="Times New Roman"/>
          <w:color w:val="000000"/>
          <w:spacing w:val="0"/>
          <w:w w:val="100"/>
          <w:position w:val="0"/>
          <w:shd w:val="clear" w:color="auto" w:fill="auto"/>
          <w:lang w:val="hr-HR" w:eastAsia="hr-HR" w:bidi="hr-HR"/>
        </w:rPr>
        <w:t>kakve veze s netolerancijom. Pritom se radi o beskompromisnosti čovjekove poslušnosti Bo</w:t>
        <w:softHyphen/>
        <w:t>gu, o odbacivanju mržnje, zavisti, škrtosti, sa</w:t>
        <w:softHyphen/>
        <w:t>mouvjerenosti itd. Dok srednji vijek sam po sebi nije stigao ni do kakve utemeljenosti za toleranciju, u novovjekovnom mišljenju o to</w:t>
        <w:softHyphen/>
        <w:t>leranciji treba osobito istaknuti doprinose hu</w:t>
        <w:softHyphen/>
        <w:t>manizma, mistike, evanđeoskog radikalizma i konačno prosvjetiteljstva.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 od XIII. stoljeća bili su prisutni doticaji sa stranim kulturama koji stvaraju polazišta za specifično kršćansko poimanje tolerancije (npr. kod Rogera Bacona, Dantea, Rajmunda Lull- skoga, Marsilija iz Padove itd.). Ona su bila jasnije razrađena u humanizmu XV. i XVI. stoljeća. Tako se npr. Marsilio Ficino divio raz</w:t>
        <w:softHyphen/>
        <w:t xml:space="preserve">ličitim kulturama i religijama diljem svijeta. Veliki kardinal Nikola Kuzanski zastupao je tolerantnu misao o jedinstvu koja je npr. našla svoj izraz u njegovoj izreci: »una religio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ri- tuum varietate« (jedna religija u različitosti obreda). Temelj ove svjetske jedinstvene reli</w:t>
        <w:softHyphen/>
        <w:t>gije koju valja stvoriti trebali bi biti ljubav i mir. Erazmo Rotterdamski zauzimao je sta</w:t>
        <w:softHyphen/>
        <w:t>jalište protiv progona heretika i protiv vjer</w:t>
        <w:softHyphen/>
        <w:t>skih svađa svoga vremena, jer nisu u skladu s Božjom voljom. Unatoč tomu odobravao je krut postupak protiv anabaptista uz obrazlože</w:t>
        <w:softHyphen/>
        <w:t>nje da ih treba suzbiti kao pobunjenike protiv državnog poretka. Ipak se sasvim negativno i netolerantno izražavao o Židovima prema ko</w:t>
        <w:softHyphen/>
        <w:t>jima nipošto ne pokazuje spremnost na razu</w:t>
        <w:softHyphen/>
        <w:t xml:space="preserve">mijevanje i pomirenje. Doprinos evangeličkog radikalizma (tzv. »lijevo krilo rcformacije«) problemu tolerancije treba vidjeti u praktičnom trpljenju manjina. Glavni predstavnik bio je značajan </w:t>
      </w:r>
      <w:r>
        <w:rPr>
          <w:rFonts w:ascii="Times New Roman" w:eastAsia="Times New Roman" w:hAnsi="Times New Roman" w:cs="Times New Roman"/>
          <w:color w:val="000000"/>
          <w:spacing w:val="0"/>
          <w:w w:val="100"/>
          <w:position w:val="0"/>
          <w:shd w:val="clear" w:color="auto" w:fill="auto"/>
          <w:lang w:val="en-US" w:eastAsia="en-US" w:bidi="en-US"/>
        </w:rPr>
        <w:t xml:space="preserve">spiritualist Sebastian Franck. </w:t>
      </w:r>
      <w:r>
        <w:rPr>
          <w:rFonts w:ascii="Times New Roman" w:eastAsia="Times New Roman" w:hAnsi="Times New Roman" w:cs="Times New Roman"/>
          <w:color w:val="000000"/>
          <w:spacing w:val="0"/>
          <w:w w:val="100"/>
          <w:position w:val="0"/>
          <w:shd w:val="clear" w:color="auto" w:fill="auto"/>
          <w:lang w:val="hr-HR" w:eastAsia="hr-HR" w:bidi="hr-HR"/>
        </w:rPr>
        <w:t>Njego</w:t>
        <w:softHyphen/>
        <w:t>va ideja tolerancije nije tada imala nikakvu paralelu. Prema Franckovu shvaćanju samo Bog poznaje prave vjernike dok je ljudima ne</w:t>
        <w:softHyphen/>
        <w:t xml:space="preserve">moguće razlikovati tko je krivovjernik a tko nije. </w:t>
      </w:r>
      <w:r>
        <w:rPr>
          <w:rFonts w:ascii="Times New Roman" w:eastAsia="Times New Roman" w:hAnsi="Times New Roman" w:cs="Times New Roman"/>
          <w:color w:val="000000"/>
          <w:spacing w:val="0"/>
          <w:w w:val="100"/>
          <w:position w:val="0"/>
          <w:shd w:val="clear" w:color="auto" w:fill="auto"/>
          <w:lang w:val="en-US" w:eastAsia="en-US" w:bidi="en-US"/>
        </w:rPr>
        <w:t xml:space="preserve">Franck </w:t>
      </w:r>
      <w:r>
        <w:rPr>
          <w:rFonts w:ascii="Times New Roman" w:eastAsia="Times New Roman" w:hAnsi="Times New Roman" w:cs="Times New Roman"/>
          <w:color w:val="000000"/>
          <w:spacing w:val="0"/>
          <w:w w:val="100"/>
          <w:position w:val="0"/>
          <w:shd w:val="clear" w:color="auto" w:fill="auto"/>
          <w:lang w:val="hr-HR" w:eastAsia="hr-HR" w:bidi="hr-HR"/>
        </w:rPr>
        <w:t>zahtijeva univerzalnu toleranciju koja bi se protezala čak i na pobožne nekrš</w:t>
        <w:softHyphen/>
        <w:t>ćane, ali ipak ne i na njihove izvana zapisane religije.</w:t>
      </w:r>
    </w:p>
    <w:p>
      <w:pPr>
        <w:pStyle w:val="Style20"/>
        <w:keepNext w:val="0"/>
        <w:keepLines w:val="0"/>
        <w:widowControl w:val="0"/>
        <w:shd w:val="clear" w:color="auto" w:fill="auto"/>
        <w:bidi w:val="0"/>
        <w:spacing w:before="0" w:after="0"/>
        <w:ind w:left="0" w:right="0" w:firstLine="0"/>
        <w:jc w:val="both"/>
        <w:sectPr>
          <w:headerReference w:type="default" r:id="rId1493"/>
          <w:footerReference w:type="default" r:id="rId1494"/>
          <w:headerReference w:type="even" r:id="rId1495"/>
          <w:footerReference w:type="even" r:id="rId1496"/>
          <w:headerReference w:type="first" r:id="rId1497"/>
          <w:footerReference w:type="first" r:id="rId1498"/>
          <w:footnotePr>
            <w:pos w:val="pageBottom"/>
            <w:numFmt w:val="decimal"/>
            <w:numRestart w:val="continuous"/>
            <w15:footnoteColumns w:val="1"/>
          </w:footnotePr>
          <w:pgSz w:w="6816" w:h="11006"/>
          <w:pgMar w:top="835" w:left="194" w:right="199" w:bottom="278" w:header="0" w:footer="3" w:gutter="0"/>
          <w:pgNumType w:start="489"/>
          <w:cols w:num="2" w:space="194"/>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prosvjetiteljstvu zahtjev za tolerancijom op</w:t>
        <w:softHyphen/>
        <w:t>ćenito dobiva priznanje. No, ona je uglavnom povezana s ravnodušnošću prema pitanju is</w:t>
        <w:softHyphen/>
        <w:t>tine, jer je temelj prosvjetiteljske ideje o tole</w:t>
        <w:softHyphen/>
        <w:t>ranciji bila prirodna spoznaja Boga koja je da</w:t>
        <w:softHyphen/>
        <w:t>na u razumu i koja se može promatrati kao općeobvezatna. Ako se nalazila u temelju po</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vijesnih religija, trebala se tolerirati za volju prirodne religije. No, ako su se pozitivne reli</w:t>
        <w:softHyphen/>
        <w:t>gije udaljile od nje, to je trebalo kritizirati. »U XVIII. i XIX. stoljeću prodrla je ideja toleran</w:t>
        <w:softHyphen/>
        <w:t>cije u obliku prava na opću slobodu religije i kulture iz anglosaksonskih zemalja ... u ustav SAD-a i većine europskih država. Najdjelo</w:t>
        <w:softHyphen/>
        <w:t>tvorniji poticaj proizašao je 1789. iz francuske narodne skupštine ...; kao najbolje moguće politićko ostvarenje tolerancije nastala jc mo</w:t>
        <w:softHyphen/>
        <w:t>derna demokracija na temelju općih ljudskih prava i rastavljanja Crkve (odnosno religije) od države (usp. Povelja ljudskih prava od 1948)« (Schlelte, kod Lutza, 197).</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se mora zahtijevati najveća mjera sadržaj</w:t>
        <w:softHyphen/>
        <w:t>ne tolerancije prema židovstvu, jasno proiz</w:t>
        <w:softHyphen/>
        <w:t>lazi iz zajedničkoga korijena kao i iz iskustava stečenih holokaustom. No, kako je s isla</w:t>
        <w:softHyphen/>
        <w:t>mom? Prema Horstu Biirkleu on se nalazi u »jedinstvenom odnosu prema kršćanskoj pre</w:t>
        <w:softHyphen/>
        <w:t xml:space="preserve">daji«. Umjesto za </w:t>
      </w:r>
      <w:r>
        <w:rPr>
          <w:rFonts w:ascii="Times New Roman" w:eastAsia="Times New Roman" w:hAnsi="Times New Roman" w:cs="Times New Roman"/>
          <w:color w:val="000000"/>
          <w:spacing w:val="0"/>
          <w:w w:val="100"/>
          <w:position w:val="0"/>
          <w:shd w:val="clear" w:color="auto" w:fill="auto"/>
          <w:lang w:val="en-US" w:eastAsia="en-US" w:bidi="en-US"/>
        </w:rPr>
        <w:t xml:space="preserve">partnerskim </w:t>
      </w:r>
      <w:r>
        <w:rPr>
          <w:rFonts w:ascii="Times New Roman" w:eastAsia="Times New Roman" w:hAnsi="Times New Roman" w:cs="Times New Roman"/>
          <w:color w:val="000000"/>
          <w:spacing w:val="0"/>
          <w:w w:val="100"/>
          <w:position w:val="0"/>
          <w:shd w:val="clear" w:color="auto" w:fill="auto"/>
          <w:lang w:val="hr-HR" w:eastAsia="hr-HR" w:bidi="hr-HR"/>
        </w:rPr>
        <w:t>odnosom, bolje je ići za srodstvom i bratstvom. Sadržajna t. prema islamu znači polaziti od toga da kršćani i muslimani štuju istoga Boga. Nadalje znači da dogmatske formule (npr. o Trojstvu ili Isu</w:t>
        <w:softHyphen/>
        <w:t>su kao Sinu Božjem) ne bi morale biti apso</w:t>
        <w:softHyphen/>
        <w:t>lutno razdvajajuće. Za to je nužno da se obje religije promišljanjem vraćaju svojim izvorima (Biblija, Kuran).</w:t>
      </w:r>
    </w:p>
    <w:p>
      <w:pPr>
        <w:pStyle w:val="Style56"/>
        <w:keepNext w:val="0"/>
        <w:keepLines w:val="0"/>
        <w:widowControl w:val="0"/>
        <w:shd w:val="clear" w:color="auto" w:fill="auto"/>
        <w:tabs>
          <w:tab w:pos="2088" w:val="left"/>
        </w:tabs>
        <w:bidi w:val="0"/>
        <w:spacing w:before="0" w:after="180" w:line="240" w:lineRule="auto"/>
        <w:ind w:left="0" w:right="0" w:firstLine="0"/>
        <w:jc w:val="both"/>
      </w:pPr>
      <w:r>
        <w:rPr>
          <w:color w:val="000000"/>
          <w:spacing w:val="0"/>
          <w:w w:val="100"/>
          <w:position w:val="0"/>
          <w:shd w:val="clear" w:color="auto" w:fill="auto"/>
          <w:lang w:val="hr-HR" w:eastAsia="hr-HR" w:bidi="hr-HR"/>
        </w:rPr>
        <w:t xml:space="preserve">Lit.: G. Mcnsching, </w:t>
      </w:r>
      <w:r>
        <w:rPr>
          <w:i/>
          <w:iCs/>
          <w:color w:val="000000"/>
          <w:spacing w:val="0"/>
          <w:w w:val="100"/>
          <w:position w:val="0"/>
          <w:shd w:val="clear" w:color="auto" w:fill="auto"/>
        </w:rPr>
        <w:t xml:space="preserve">Tolerant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 xml:space="preserve">Wahrheit in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Religion, </w:t>
      </w:r>
      <w:r>
        <w:rPr>
          <w:color w:val="000000"/>
          <w:spacing w:val="0"/>
          <w:w w:val="100"/>
          <w:position w:val="0"/>
          <w:shd w:val="clear" w:color="auto" w:fill="auto"/>
        </w:rPr>
        <w:t xml:space="preserve">Heidelberg </w:t>
      </w:r>
      <w:r>
        <w:rPr>
          <w:color w:val="000000"/>
          <w:spacing w:val="0"/>
          <w:w w:val="100"/>
          <w:position w:val="0"/>
          <w:shd w:val="clear" w:color="auto" w:fill="auto"/>
          <w:lang w:val="hr-HR" w:eastAsia="hr-HR" w:bidi="hr-HR"/>
        </w:rPr>
        <w:t xml:space="preserve">1955 </w:t>
      </w:r>
      <w:r>
        <w:rPr>
          <w:color w:val="000000"/>
          <w:spacing w:val="0"/>
          <w:w w:val="100"/>
          <w:position w:val="0"/>
          <w:shd w:val="clear" w:color="auto" w:fill="auto"/>
        </w:rPr>
        <w:t xml:space="preserve">(als </w:t>
      </w:r>
      <w:r>
        <w:rPr>
          <w:color w:val="000000"/>
          <w:spacing w:val="0"/>
          <w:w w:val="100"/>
          <w:position w:val="0"/>
          <w:shd w:val="clear" w:color="auto" w:fill="auto"/>
          <w:lang w:val="hr-HR" w:eastAsia="hr-HR" w:bidi="hr-HR"/>
        </w:rPr>
        <w:t xml:space="preserve">Sicbcnstcrn-TB, </w:t>
      </w:r>
      <w:r>
        <w:rPr>
          <w:color w:val="000000"/>
          <w:spacing w:val="0"/>
          <w:w w:val="100"/>
          <w:position w:val="0"/>
          <w:shd w:val="clear" w:color="auto" w:fill="auto"/>
        </w:rPr>
        <w:t xml:space="preserve">Giilcrsluh </w:t>
      </w:r>
      <w:r>
        <w:rPr>
          <w:color w:val="000000"/>
          <w:spacing w:val="0"/>
          <w:w w:val="100"/>
          <w:position w:val="0"/>
          <w:shd w:val="clear" w:color="auto" w:fill="auto"/>
          <w:lang w:val="hr-HR" w:eastAsia="hr-HR" w:bidi="hr-HR"/>
        </w:rPr>
        <w:t xml:space="preserve">1966); isti.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offene Tempel,</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 xml:space="preserve">1974; H. </w:t>
      </w:r>
      <w:r>
        <w:rPr>
          <w:color w:val="000000"/>
          <w:spacing w:val="0"/>
          <w:w w:val="100"/>
          <w:position w:val="0"/>
          <w:shd w:val="clear" w:color="auto" w:fill="auto"/>
        </w:rPr>
        <w:t xml:space="preserve">Lutz (Hrsg.), </w:t>
      </w:r>
      <w:r>
        <w:rPr>
          <w:i/>
          <w:iCs/>
          <w:color w:val="000000"/>
          <w:spacing w:val="0"/>
          <w:w w:val="100"/>
          <w:position w:val="0"/>
          <w:shd w:val="clear" w:color="auto" w:fill="auto"/>
          <w:lang w:val="hr-HR" w:eastAsia="hr-HR" w:bidi="hr-HR"/>
        </w:rPr>
        <w:t xml:space="preserve">Zur </w:t>
      </w:r>
      <w:r>
        <w:rPr>
          <w:i/>
          <w:iCs/>
          <w:color w:val="000000"/>
          <w:spacing w:val="0"/>
          <w:w w:val="100"/>
          <w:position w:val="0"/>
          <w:shd w:val="clear" w:color="auto" w:fill="auto"/>
        </w:rPr>
        <w:t xml:space="preserve">Geschichte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 xml:space="preserve">Tolerant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Religionsfreiheit,</w:t>
      </w:r>
      <w:r>
        <w:rPr>
          <w:color w:val="000000"/>
          <w:spacing w:val="0"/>
          <w:w w:val="100"/>
          <w:position w:val="0"/>
          <w:shd w:val="clear" w:color="auto" w:fill="auto"/>
        </w:rPr>
        <w:t xml:space="preserve"> Darmstadt </w:t>
      </w:r>
      <w:r>
        <w:rPr>
          <w:color w:val="000000"/>
          <w:spacing w:val="0"/>
          <w:w w:val="100"/>
          <w:position w:val="0"/>
          <w:shd w:val="clear" w:color="auto" w:fill="auto"/>
          <w:lang w:val="hr-HR" w:eastAsia="hr-HR" w:bidi="hr-HR"/>
        </w:rPr>
        <w:t xml:space="preserve">1977; U. </w:t>
      </w:r>
      <w:r>
        <w:rPr>
          <w:color w:val="000000"/>
          <w:spacing w:val="0"/>
          <w:w w:val="100"/>
          <w:position w:val="0"/>
          <w:shd w:val="clear" w:color="auto" w:fill="auto"/>
        </w:rPr>
        <w:t xml:space="preserve">Mann. </w:t>
      </w:r>
      <w:r>
        <w:rPr>
          <w:color w:val="000000"/>
          <w:spacing w:val="0"/>
          <w:w w:val="100"/>
          <w:position w:val="0"/>
          <w:shd w:val="clear" w:color="auto" w:fill="auto"/>
          <w:lang w:val="hr-HR" w:eastAsia="hr-HR" w:bidi="hr-HR"/>
        </w:rPr>
        <w:t xml:space="preserve">ChristcnCum und Tolcranz, u: </w:t>
      </w:r>
      <w:r>
        <w:rPr>
          <w:i/>
          <w:iCs/>
          <w:color w:val="000000"/>
          <w:spacing w:val="0"/>
          <w:w w:val="100"/>
          <w:position w:val="0"/>
          <w:shd w:val="clear" w:color="auto" w:fill="auto"/>
          <w:lang w:val="hr-HR" w:eastAsia="hr-HR" w:bidi="hr-HR"/>
        </w:rPr>
        <w:t>Loccumer Protokoli*</w:t>
      </w:r>
      <w:r>
        <w:rPr>
          <w:color w:val="000000"/>
          <w:spacing w:val="0"/>
          <w:w w:val="100"/>
          <w:position w:val="0"/>
          <w:shd w:val="clear" w:color="auto" w:fill="auto"/>
          <w:lang w:val="hr-HR" w:eastAsia="hr-HR" w:bidi="hr-HR"/>
        </w:rPr>
        <w:t xml:space="preserve"> 7/1977, 33-63; T. Rendtorff (Hrsg.), </w:t>
      </w:r>
      <w:r>
        <w:rPr>
          <w:i/>
          <w:iCs/>
          <w:color w:val="000000"/>
          <w:spacing w:val="0"/>
          <w:w w:val="100"/>
          <w:position w:val="0"/>
          <w:shd w:val="clear" w:color="auto" w:fill="auto"/>
          <w:lang w:val="hr-HR" w:eastAsia="hr-HR" w:bidi="hr-HR"/>
        </w:rPr>
        <w:t xml:space="preserve">Glaube und </w:t>
      </w:r>
      <w:r>
        <w:rPr>
          <w:i/>
          <w:iCs/>
          <w:color w:val="000000"/>
          <w:spacing w:val="0"/>
          <w:w w:val="100"/>
          <w:position w:val="0"/>
          <w:shd w:val="clear" w:color="auto" w:fill="auto"/>
        </w:rPr>
        <w:t xml:space="preserve">Tolerant. Das iheologuche Erbe </w:t>
      </w:r>
      <w:r>
        <w:rPr>
          <w:i/>
          <w:iCs/>
          <w:color w:val="000000"/>
          <w:spacing w:val="0"/>
          <w:w w:val="100"/>
          <w:position w:val="0"/>
          <w:shd w:val="clear" w:color="auto" w:fill="auto"/>
          <w:lang w:val="hr-HR" w:eastAsia="hr-HR" w:bidi="hr-HR"/>
        </w:rPr>
        <w:t>der Aufkldrung,</w:t>
      </w:r>
      <w:r>
        <w:rPr>
          <w:color w:val="000000"/>
          <w:spacing w:val="0"/>
          <w:w w:val="100"/>
          <w:position w:val="0"/>
          <w:shd w:val="clear" w:color="auto" w:fill="auto"/>
          <w:lang w:val="hr-HR" w:eastAsia="hr-HR" w:bidi="hr-HR"/>
        </w:rPr>
        <w:t xml:space="preserve"> Giitcr.sloh 1982.</w:t>
        <w:tab/>
        <w:t xml:space="preserve">U. </w:t>
      </w:r>
      <w:r>
        <w:rPr>
          <w:color w:val="000000"/>
          <w:spacing w:val="0"/>
          <w:w w:val="100"/>
          <w:position w:val="0"/>
          <w:shd w:val="clear" w:color="auto" w:fill="auto"/>
        </w:rPr>
        <w:t>TW0RUSC11KA</w:t>
      </w:r>
    </w:p>
    <w:p>
      <w:pPr>
        <w:pStyle w:val="Style63"/>
        <w:keepNext/>
        <w:keepLines/>
        <w:widowControl w:val="0"/>
        <w:numPr>
          <w:ilvl w:val="0"/>
          <w:numId w:val="579"/>
        </w:numPr>
        <w:shd w:val="clear" w:color="auto" w:fill="auto"/>
        <w:tabs>
          <w:tab w:pos="260" w:val="left"/>
        </w:tabs>
        <w:bidi w:val="0"/>
        <w:spacing w:before="0" w:line="223" w:lineRule="auto"/>
        <w:ind w:left="0" w:right="0" w:firstLine="0"/>
        <w:jc w:val="both"/>
      </w:pPr>
      <w:bookmarkStart w:id="369" w:name="bookmark369"/>
      <w:r>
        <w:rPr>
          <w:rFonts w:ascii="Times New Roman" w:eastAsia="Times New Roman" w:hAnsi="Times New Roman" w:cs="Times New Roman"/>
          <w:color w:val="000000"/>
          <w:spacing w:val="0"/>
          <w:w w:val="100"/>
          <w:position w:val="0"/>
          <w:shd w:val="clear" w:color="auto" w:fill="auto"/>
          <w:lang w:val="hr-HR" w:eastAsia="hr-HR" w:bidi="hr-HR"/>
        </w:rPr>
        <w:t>islamski</w:t>
      </w:r>
      <w:bookmarkEnd w:id="369"/>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 vjeri nema prisiljavanjal«,</w:t>
      </w:r>
      <w:r>
        <w:rPr>
          <w:rFonts w:ascii="Times New Roman" w:eastAsia="Times New Roman" w:hAnsi="Times New Roman" w:cs="Times New Roman"/>
          <w:color w:val="000000"/>
          <w:spacing w:val="0"/>
          <w:w w:val="100"/>
          <w:position w:val="0"/>
          <w:shd w:val="clear" w:color="auto" w:fill="auto"/>
          <w:lang w:val="hr-HR" w:eastAsia="hr-HR" w:bidi="hr-HR"/>
        </w:rPr>
        <w:t xml:space="preserve"> glasi jedno te</w:t>
        <w:softHyphen/>
        <w:t>meljno kuransko načelo. Ono svoju primjenu nalazi posebice u pogledu Zidova i kršćana. Čak i u vremenima najbrutalnijih križarskih pohoda i inkvizicije monoteističke su vjerske zajednice u području vladavine islama uživale potpunu pravnu, sudsku i kulturnu autono</w:t>
        <w:softHyphen/>
        <w:t xml:space="preserve">miju. Iznimke su bile rijetke. U </w:t>
      </w:r>
      <w:r>
        <w:rPr>
          <w:rFonts w:ascii="Times New Roman" w:eastAsia="Times New Roman" w:hAnsi="Times New Roman" w:cs="Times New Roman"/>
          <w:i/>
          <w:iCs/>
          <w:color w:val="000000"/>
          <w:spacing w:val="0"/>
          <w:w w:val="100"/>
          <w:position w:val="0"/>
          <w:shd w:val="clear" w:color="auto" w:fill="auto"/>
          <w:lang w:val="hr-HR" w:eastAsia="hr-HR" w:bidi="hr-HR"/>
        </w:rPr>
        <w:t>Židovskome leksikonu</w:t>
      </w:r>
      <w:r>
        <w:rPr>
          <w:rFonts w:ascii="Times New Roman" w:eastAsia="Times New Roman" w:hAnsi="Times New Roman" w:cs="Times New Roman"/>
          <w:color w:val="000000"/>
          <w:spacing w:val="0"/>
          <w:w w:val="100"/>
          <w:position w:val="0"/>
          <w:shd w:val="clear" w:color="auto" w:fill="auto"/>
          <w:lang w:val="hr-HR" w:eastAsia="hr-HR" w:bidi="hr-HR"/>
        </w:rPr>
        <w:t xml:space="preserve"> (Berlin 1929) stoji: »Gotovo u čita</w:t>
        <w:softHyphen/>
        <w:t>vom španjolskom razdoblju islama Židovi su uživali veliku vjersku slobodu. Kada su se u Europi u XIV. i XV. stoljeću pojačali progoni Židova, bilo je opet židovskih kneževa koji su državnički razborito i širokogrudno otvorili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Židovima svoje zemlje«. Bilo je pokušaja da se t. koju je propovijedao Muhamed tumači kao izraz rezignacije. Ton središnjih kuran- skih iskaza o Židovima i kršćanima ipak go</w:t>
        <w:softHyphen/>
        <w:t>vori protiv takvoga tumačenja. Ovdje navo</w:t>
        <w:softHyphen/>
        <w:t>dimo dva takva iskaza: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»Nema straha niti će tugovati tko vjeruje u Boga, sudnji dan i radi dobra djela, pa bio on pravovjernik, Židov, poklonik zvijezda ili krš</w:t>
        <w:softHyphen/>
        <w:t>ćanin« (5,72). »Tko učini ružno djelo, zbog njega će biti kažnjen i neće sebi naći ni zaštit</w:t>
        <w:softHyphen/>
        <w:t xml:space="preserve">nika ni pomagača mimo Boga. Koji vjernik, bio on muško ili žensko, uradi dobro djelo ući će u dženet i neće mu se učiniti nepravda ni koliko trun. Tko jc bolji vjernik od onoga koji se preda Bogu, čini dobročinstva i slijedi čistu vjeru Ibrahimovu, a Bog jc Ibrahima učinio </w:t>
      </w:r>
      <w:r>
        <w:rPr>
          <w:rFonts w:ascii="Times New Roman" w:eastAsia="Times New Roman" w:hAnsi="Times New Roman" w:cs="Times New Roman"/>
          <w:i/>
          <w:iCs/>
          <w:color w:val="000000"/>
          <w:spacing w:val="0"/>
          <w:w w:val="100"/>
          <w:position w:val="0"/>
          <w:shd w:val="clear" w:color="auto" w:fill="auto"/>
          <w:lang w:val="hr-HR" w:eastAsia="hr-HR" w:bidi="hr-HR"/>
        </w:rPr>
        <w:t>{Svojim)</w:t>
      </w:r>
      <w:r>
        <w:rPr>
          <w:rFonts w:ascii="Times New Roman" w:eastAsia="Times New Roman" w:hAnsi="Times New Roman" w:cs="Times New Roman"/>
          <w:color w:val="000000"/>
          <w:spacing w:val="0"/>
          <w:w w:val="100"/>
          <w:position w:val="0"/>
          <w:shd w:val="clear" w:color="auto" w:fill="auto"/>
          <w:lang w:val="hr-HR" w:eastAsia="hr-HR" w:bidi="hr-HR"/>
        </w:rPr>
        <w:t xml:space="preserve"> prijateljem?!« (5,123-125).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unutarislamskome odnosu višestruko se do</w:t>
        <w:softHyphen/>
        <w:t>vodi u pitanje religiozni zahtjev za toleranci</w:t>
        <w:softHyphen/>
        <w:t>jom. Naime, načelo: »U vjeri nema prisilja</w:t>
        <w:softHyphen/>
        <w:t>vanja!«, želi se primijeniti samo na nemus- limane - i to isključivo na monoteiste. Ali ku- ransko obrazloženje vjerske slobode ukazuje na to da se religijskoj prisili ne smiju izložiti ne samo vjernici druge vjere, nego i svi otpad</w:t>
        <w:softHyphen/>
        <w:t>nici, grcšnici i zabludjeli. To začuđujuće tvrdo stajalište starih autoriteta prema otpalim čla</w:t>
        <w:softHyphen/>
        <w:t>novima zajednice može se dijelom objasniti onodobnom ulogom religije i njezinih institu</w:t>
        <w:softHyphen/>
        <w:t>cija. Tako je džamija bila tada istodobno Božja kuća i škola u kojoj je narod stjecao te</w:t>
        <w:softHyphen/>
        <w:t>meljna znanja o redu i kulturi. Namjerno i trajno propuštanje posjećivanja džamije zna</w:t>
        <w:softHyphen/>
        <w:t>čilo je ometanje procesa temeljnog obrazo</w:t>
        <w:softHyphen/>
        <w:t>vanja kojemu je društvo težilo. Baš kao što danas u svim civiliziranim državama postoji dužnost školovanja, tako je i tada u svijetu is</w:t>
        <w:softHyphen/>
        <w:t>lamske kulture postojala dužnost posjećivanja džamija.</w:t>
      </w:r>
    </w:p>
    <w:p>
      <w:pPr>
        <w:pStyle w:val="Style20"/>
        <w:keepNext w:val="0"/>
        <w:keepLines w:val="0"/>
        <w:widowControl w:val="0"/>
        <w:shd w:val="clear" w:color="auto" w:fill="auto"/>
        <w:bidi w:val="0"/>
        <w:spacing w:before="0" w:after="80"/>
        <w:ind w:left="0" w:right="0" w:firstLine="0"/>
        <w:jc w:val="both"/>
        <w:sectPr>
          <w:headerReference w:type="default" r:id="rId1499"/>
          <w:footerReference w:type="default" r:id="rId1500"/>
          <w:headerReference w:type="even" r:id="rId1501"/>
          <w:footerReference w:type="even" r:id="rId1502"/>
          <w:footnotePr>
            <w:pos w:val="pageBottom"/>
            <w:numFmt w:val="decimal"/>
            <w:numRestart w:val="continuous"/>
            <w15:footnoteColumns w:val="1"/>
          </w:footnotePr>
          <w:pgSz w:w="6816" w:h="11006"/>
          <w:pgMar w:top="835" w:left="194" w:right="199" w:bottom="278" w:header="0" w:footer="3" w:gutter="0"/>
          <w:pgNumType w:start="497"/>
          <w:cols w:num="2" w:space="194"/>
          <w:noEndnote/>
          <w:rtlGutter w:val="0"/>
          <w:docGrid w:linePitch="360"/>
        </w:sectPr>
      </w:pPr>
      <w:r>
        <mc:AlternateContent>
          <mc:Choice Requires="wps">
            <w:drawing>
              <wp:anchor distT="25400" distB="254000" distL="114300" distR="114300" simplePos="0" relativeHeight="125829433" behindDoc="0" locked="0" layoutInCell="1" allowOverlap="1">
                <wp:simplePos x="0" y="0"/>
                <wp:positionH relativeFrom="page">
                  <wp:posOffset>4009390</wp:posOffset>
                </wp:positionH>
                <wp:positionV relativeFrom="margin">
                  <wp:posOffset>6200140</wp:posOffset>
                </wp:positionV>
                <wp:extent cx="182880" cy="109855"/>
                <wp:wrapTopAndBottom/>
                <wp:docPr id="3229" name="Shape 3229"/>
                <a:graphic xmlns:a="http://schemas.openxmlformats.org/drawingml/2006/main">
                  <a:graphicData uri="http://schemas.microsoft.com/office/word/2010/wordprocessingShape">
                    <wps:wsp>
                      <wps:cNvSpPr txBox="1"/>
                      <wps:spPr>
                        <a:xfrm>
                          <a:ext cx="18288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rPr>
                              <w:t>am</w:t>
                            </w:r>
                          </w:p>
                        </w:txbxContent>
                      </wps:txbx>
                      <wps:bodyPr wrap="none" lIns="0" tIns="0" rIns="0" bIns="0">
                        <a:noAutoFit/>
                      </wps:bodyPr>
                    </wps:wsp>
                  </a:graphicData>
                </a:graphic>
              </wp:anchor>
            </w:drawing>
          </mc:Choice>
          <mc:Fallback>
            <w:pict>
              <v:shape id="_x0000_s4255" type="#_x0000_t202" style="position:absolute;margin-left:315.69999999999999pt;margin-top:488.19999999999999pt;width:14.4pt;height:8.6500000000000004pt;z-index:-125829320;mso-wrap-distance-left:9.pt;mso-wrap-distance-top:2.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rPr>
                        <w:t>am</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Islamska vjeroispovijest, koju je utvrdio Mu</w:t>
        <w:softHyphen/>
        <w:t>hamed, kao 3. članak sadrži vjerovanje u sve objavljene knjige. Pod tim se trebaju podrazu</w:t>
        <w:softHyphen/>
        <w:t>mijevati sveti spisi svih predislamskih proro</w:t>
        <w:softHyphen/>
        <w:t>ka. Ali navjestitelj islama nije govorio recimo o Buddhi ili o brahmanskim spisima. »Musli</w:t>
        <w:softHyphen/>
        <w:t>manima nije dakle dozvoljeno da bez daljnje</w:t>
        <w:softHyphen/>
        <w:t>ga priznaju božanski karakter primjerice hin</w:t>
        <w:softHyphen/>
        <w:t>duističkih Vcda; ali oni jednako tako ne mogu bez daljnjega odbaciti mogućnost da one iz</w:t>
        <w:softHyphen/>
        <w:t xml:space="preserve">vorno počivaju na božanskoj objavi - kako to tvrde brahmani - i da ih jc zadesila sudbina </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slična Mojsijevu Petoknjižju. Od mogućnosti da imamo proroke i objavljene knjige iz bilo kojega vremena nisu izuzeli ni Kina ni Grčka niti bilo koja druga zemlja« (M. Hamidullah, Der Islam, 97).</w:t>
      </w:r>
    </w:p>
    <w:p>
      <w:pPr>
        <w:pStyle w:val="Style56"/>
        <w:keepNext w:val="0"/>
        <w:keepLines w:val="0"/>
        <w:widowControl w:val="0"/>
        <w:shd w:val="clear" w:color="auto" w:fill="auto"/>
        <w:tabs>
          <w:tab w:pos="2568" w:val="left"/>
        </w:tabs>
        <w:bidi w:val="0"/>
        <w:spacing w:before="0" w:after="500" w:line="240" w:lineRule="auto"/>
        <w:ind w:left="0" w:right="0" w:firstLine="0"/>
        <w:jc w:val="both"/>
      </w:pPr>
      <w:r>
        <w:rPr>
          <w:color w:val="000000"/>
          <w:spacing w:val="0"/>
          <w:w w:val="100"/>
          <w:position w:val="0"/>
          <w:shd w:val="clear" w:color="auto" w:fill="auto"/>
        </w:rPr>
        <w:t xml:space="preserve">Lit.: Muhammad </w:t>
      </w:r>
      <w:r>
        <w:rPr>
          <w:color w:val="000000"/>
          <w:spacing w:val="0"/>
          <w:w w:val="100"/>
          <w:position w:val="0"/>
          <w:shd w:val="clear" w:color="auto" w:fill="auto"/>
          <w:lang w:val="hr-HR" w:eastAsia="hr-HR" w:bidi="hr-HR"/>
        </w:rPr>
        <w:t xml:space="preserve">Hamidullah,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Islam, Salmiyah,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oko 1976, 26, 97 i d.; </w:t>
      </w:r>
      <w:r>
        <w:rPr>
          <w:color w:val="000000"/>
          <w:spacing w:val="0"/>
          <w:w w:val="100"/>
          <w:position w:val="0"/>
          <w:shd w:val="clear" w:color="auto" w:fill="auto"/>
        </w:rPr>
        <w:t xml:space="preserve">Adel Theodor Khoury, </w:t>
      </w:r>
      <w:r>
        <w:rPr>
          <w:i/>
          <w:iCs/>
          <w:color w:val="000000"/>
          <w:spacing w:val="0"/>
          <w:w w:val="100"/>
          <w:position w:val="0"/>
          <w:shd w:val="clear" w:color="auto" w:fill="auto"/>
          <w:lang w:val="hr-HR" w:eastAsia="hr-HR" w:bidi="hr-HR"/>
        </w:rPr>
        <w:t xml:space="preserve">Toleranzim Islam, </w:t>
      </w:r>
      <w:r>
        <w:rPr>
          <w:color w:val="000000"/>
          <w:spacing w:val="0"/>
          <w:w w:val="100"/>
          <w:position w:val="0"/>
          <w:shd w:val="clear" w:color="auto" w:fill="auto"/>
          <w:lang w:val="hr-HR" w:eastAsia="hr-HR" w:bidi="hr-HR"/>
        </w:rPr>
        <w:t xml:space="preserve">Miinchcn/Mainz 1980, </w:t>
      </w:r>
      <w:r>
        <w:rPr>
          <w:color w:val="000000"/>
          <w:spacing w:val="0"/>
          <w:w w:val="100"/>
          <w:position w:val="0"/>
          <w:shd w:val="clear" w:color="auto" w:fill="auto"/>
        </w:rPr>
        <w:t xml:space="preserve">Altenberge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1986.</w:t>
        <w:tab/>
        <w:t>S. HA1.IĆ</w:t>
      </w:r>
    </w:p>
    <w:p>
      <w:pPr>
        <w:pStyle w:val="Style91"/>
        <w:keepNext/>
        <w:keepLines/>
        <w:widowControl w:val="0"/>
        <w:shd w:val="clear" w:color="auto" w:fill="auto"/>
        <w:bidi w:val="0"/>
        <w:spacing w:before="0" w:after="300" w:line="228" w:lineRule="auto"/>
        <w:ind w:left="0" w:right="0" w:firstLine="0"/>
        <w:jc w:val="both"/>
        <w:rPr>
          <w:sz w:val="18"/>
          <w:szCs w:val="18"/>
        </w:rPr>
      </w:pPr>
      <w:bookmarkStart w:id="370" w:name="bookmark370"/>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TORA </w:t>
      </w:r>
      <w:r>
        <w:rPr>
          <w:rFonts w:ascii="Times New Roman" w:eastAsia="Times New Roman" w:hAnsi="Times New Roman" w:cs="Times New Roman"/>
          <w:color w:val="000000"/>
          <w:spacing w:val="0"/>
          <w:w w:val="100"/>
          <w:position w:val="0"/>
          <w:sz w:val="18"/>
          <w:szCs w:val="18"/>
          <w:shd w:val="clear" w:color="auto" w:fill="auto"/>
          <w:lang w:val="hr-HR" w:eastAsia="hr-HR" w:bidi="hr-HR"/>
        </w:rPr>
        <w:t>SVETO PISMO, -&gt; MOJSIJE, -&gt; STARI ZAVJET</w:t>
      </w:r>
      <w:bookmarkEnd w:id="370"/>
    </w:p>
    <w:p>
      <w:pPr>
        <w:pStyle w:val="Style33"/>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TRADICIJA</w:t>
      </w:r>
    </w:p>
    <w:p>
      <w:pPr>
        <w:pStyle w:val="Style63"/>
        <w:keepNext/>
        <w:keepLines/>
        <w:widowControl w:val="0"/>
        <w:numPr>
          <w:ilvl w:val="0"/>
          <w:numId w:val="583"/>
        </w:numPr>
        <w:shd w:val="clear" w:color="auto" w:fill="auto"/>
        <w:tabs>
          <w:tab w:pos="246" w:val="left"/>
        </w:tabs>
        <w:bidi w:val="0"/>
        <w:spacing w:before="0" w:after="80" w:line="240" w:lineRule="auto"/>
        <w:ind w:left="0" w:right="0" w:firstLine="0"/>
        <w:jc w:val="both"/>
      </w:pPr>
      <w:bookmarkStart w:id="371" w:name="bookmark371"/>
      <w:r>
        <w:rPr>
          <w:rFonts w:ascii="Times New Roman" w:eastAsia="Times New Roman" w:hAnsi="Times New Roman" w:cs="Times New Roman"/>
          <w:color w:val="000000"/>
          <w:spacing w:val="0"/>
          <w:w w:val="100"/>
          <w:position w:val="0"/>
          <w:shd w:val="clear" w:color="auto" w:fill="auto"/>
          <w:lang w:val="hr-HR" w:eastAsia="hr-HR" w:bidi="hr-HR"/>
        </w:rPr>
        <w:t>židovski</w:t>
      </w:r>
      <w:bookmarkEnd w:id="37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w:t>
      </w:r>
      <w:r>
        <w:rPr>
          <w:rFonts w:ascii="Times New Roman" w:eastAsia="Times New Roman" w:hAnsi="Times New Roman" w:cs="Times New Roman"/>
          <w:color w:val="000000"/>
          <w:spacing w:val="0"/>
          <w:w w:val="100"/>
          <w:position w:val="0"/>
          <w:shd w:val="clear" w:color="auto" w:fill="auto"/>
          <w:lang w:val="hr-HR" w:eastAsia="hr-HR" w:bidi="hr-HR"/>
        </w:rPr>
        <w:t xml:space="preserve"> Temeljni vid značenja tradicije odnosi se na predaju pisane Tore, točnije, na prijevod pisanoga teksta Biblije, ponajprije Petoknjižja, očuvan i osiguran u svakoj pojedinosti hebrej</w:t>
        <w:softHyphen/>
        <w:t>skoga suglasničkog fundusa raznim mnemo</w:t>
        <w:softHyphen/>
        <w:t xml:space="preserve">tehničkim sredstvima i sustavnim pravilima. To razumijevanje točne tradicije </w:t>
      </w:r>
      <w:r>
        <w:rPr>
          <w:rFonts w:ascii="Times New Roman" w:eastAsia="Times New Roman" w:hAnsi="Times New Roman" w:cs="Times New Roman"/>
          <w:i/>
          <w:iCs/>
          <w:color w:val="000000"/>
          <w:spacing w:val="0"/>
          <w:w w:val="100"/>
          <w:position w:val="0"/>
          <w:shd w:val="clear" w:color="auto" w:fill="auto"/>
          <w:lang w:val="hr-HR" w:eastAsia="hr-HR" w:bidi="hr-HR"/>
        </w:rPr>
        <w:t>(masoret,</w:t>
      </w:r>
      <w:r>
        <w:rPr>
          <w:rFonts w:ascii="Times New Roman" w:eastAsia="Times New Roman" w:hAnsi="Times New Roman" w:cs="Times New Roman"/>
          <w:color w:val="000000"/>
          <w:spacing w:val="0"/>
          <w:w w:val="100"/>
          <w:position w:val="0"/>
          <w:shd w:val="clear" w:color="auto" w:fill="auto"/>
          <w:lang w:val="hr-HR" w:eastAsia="hr-HR" w:bidi="hr-HR"/>
        </w:rPr>
        <w:t xml:space="preserve"> u poslijetalmudskoj literaturi: </w:t>
      </w:r>
      <w:r>
        <w:rPr>
          <w:rFonts w:ascii="Times New Roman" w:eastAsia="Times New Roman" w:hAnsi="Times New Roman" w:cs="Times New Roman"/>
          <w:i/>
          <w:iCs/>
          <w:color w:val="000000"/>
          <w:spacing w:val="0"/>
          <w:w w:val="100"/>
          <w:position w:val="0"/>
          <w:shd w:val="clear" w:color="auto" w:fill="auto"/>
          <w:lang w:val="hr-HR" w:eastAsia="hr-HR" w:bidi="hr-HR"/>
        </w:rPr>
        <w:t>masora)</w:t>
      </w:r>
      <w:r>
        <w:rPr>
          <w:rFonts w:ascii="Times New Roman" w:eastAsia="Times New Roman" w:hAnsi="Times New Roman" w:cs="Times New Roman"/>
          <w:color w:val="000000"/>
          <w:spacing w:val="0"/>
          <w:w w:val="100"/>
          <w:position w:val="0"/>
          <w:shd w:val="clear" w:color="auto" w:fill="auto"/>
          <w:lang w:val="hr-HR" w:eastAsia="hr-HR" w:bidi="hr-HR"/>
        </w:rPr>
        <w:t xml:space="preserve"> biblij</w:t>
        <w:softHyphen/>
        <w:t xml:space="preserve">skoga teksta jasno proizlazi iz načela: </w:t>
      </w:r>
      <w:r>
        <w:rPr>
          <w:rFonts w:ascii="Times New Roman" w:eastAsia="Times New Roman" w:hAnsi="Times New Roman" w:cs="Times New Roman"/>
          <w:i/>
          <w:iCs/>
          <w:color w:val="000000"/>
          <w:spacing w:val="0"/>
          <w:w w:val="100"/>
          <w:position w:val="0"/>
          <w:shd w:val="clear" w:color="auto" w:fill="auto"/>
          <w:lang w:val="hr-HR" w:eastAsia="hr-HR" w:bidi="hr-HR"/>
        </w:rPr>
        <w:t>ješ'em la-masoret</w:t>
      </w:r>
      <w:r>
        <w:rPr>
          <w:rFonts w:ascii="Times New Roman" w:eastAsia="Times New Roman" w:hAnsi="Times New Roman" w:cs="Times New Roman"/>
          <w:color w:val="000000"/>
          <w:spacing w:val="0"/>
          <w:w w:val="100"/>
          <w:position w:val="0"/>
          <w:shd w:val="clear" w:color="auto" w:fill="auto"/>
          <w:lang w:val="hr-HR" w:eastAsia="hr-HR" w:bidi="hr-HR"/>
        </w:rPr>
        <w:t xml:space="preserve"> (doslovce: »t. ima majku«), tj. sa</w:t>
        <w:softHyphen/>
        <w:t>mo je predaja pisanoga slovčanog teksta ne</w:t>
        <w:softHyphen/>
        <w:t xml:space="preserve">pobitni autoritet (b Makot 7b;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4a; Suka 6b). Izjava Rabi Akive - »Predaja je ograda za Toru </w:t>
      </w:r>
      <w:r>
        <w:rPr>
          <w:rFonts w:ascii="Times New Roman" w:eastAsia="Times New Roman" w:hAnsi="Times New Roman" w:cs="Times New Roman"/>
          <w:i/>
          <w:iCs/>
          <w:color w:val="000000"/>
          <w:spacing w:val="0"/>
          <w:w w:val="100"/>
          <w:position w:val="0"/>
          <w:shd w:val="clear" w:color="auto" w:fill="auto"/>
          <w:lang w:val="hr-HR" w:eastAsia="hr-HR" w:bidi="hr-HR"/>
        </w:rPr>
        <w:t>(masoret sejag la-tora)«</w:t>
      </w:r>
      <w:r>
        <w:rPr>
          <w:rFonts w:ascii="Times New Roman" w:eastAsia="Times New Roman" w:hAnsi="Times New Roman" w:cs="Times New Roman"/>
          <w:color w:val="000000"/>
          <w:spacing w:val="0"/>
          <w:w w:val="100"/>
          <w:position w:val="0"/>
          <w:shd w:val="clear" w:color="auto" w:fill="auto"/>
          <w:lang w:val="hr-HR" w:eastAsia="hr-HR" w:bidi="hr-HR"/>
        </w:rPr>
        <w:t xml:space="preserve"> (M Avot 111,14) - izražava taj smisao: tradicijski prenesen suglasnički način pisanja štiti Toru od krivotvorenja; ta interpretacija poklapa se s Akibinim tumačenjem Pisma, kako ju je na</w:t>
        <w:softHyphen/>
        <w:t>zvao Rabi Jehuda uime Rava: »Iz svake poje</w:t>
        <w:softHyphen/>
        <w:t xml:space="preserve">dine kukice (iz Tore) on če izvesti gomile i gomile </w:t>
      </w:r>
      <w:r>
        <w:rPr>
          <w:rFonts w:ascii="Times New Roman" w:eastAsia="Times New Roman" w:hAnsi="Times New Roman" w:cs="Times New Roman"/>
          <w:i/>
          <w:iCs/>
          <w:color w:val="000000"/>
          <w:spacing w:val="0"/>
          <w:w w:val="100"/>
          <w:position w:val="0"/>
          <w:shd w:val="clear" w:color="auto" w:fill="auto"/>
          <w:lang w:val="hr-HR" w:eastAsia="hr-HR" w:bidi="hr-HR"/>
        </w:rPr>
        <w:t>halahol</w:t>
      </w:r>
      <w:r>
        <w:rPr>
          <w:rFonts w:ascii="Times New Roman" w:eastAsia="Times New Roman" w:hAnsi="Times New Roman" w:cs="Times New Roman"/>
          <w:color w:val="000000"/>
          <w:spacing w:val="0"/>
          <w:w w:val="100"/>
          <w:position w:val="0"/>
          <w:shd w:val="clear" w:color="auto" w:fill="auto"/>
          <w:lang w:val="hr-HR" w:eastAsia="hr-HR" w:bidi="hr-HR"/>
        </w:rPr>
        <w:t xml:space="preserve"> (odredbe)« (b Menahot 29b) kao onu zaštitnu »ogradu Tore«, čiju su grad</w:t>
        <w:softHyphen/>
        <w:t>nju tražili »muškarci Velikog sabora« u po</w:t>
        <w:softHyphen/>
        <w:t>četku razdoblja drugoga Hrama (M Avot 1,1). Rabini su polemizirali o tome bi li smjelo vri</w:t>
        <w:softHyphen/>
        <w:t>jedili samo načelo tradicijski prenesenoga su</w:t>
        <w:softHyphen/>
        <w:t>glasničkog teksta i, prema tomu, je li dopuš</w:t>
        <w:softHyphen/>
        <w:t>teno, pri tumačenju, suglasnike spajati i s vo</w:t>
        <w:softHyphen/>
        <w:t>kalima koji se razlikuju od onih što ih zah</w:t>
        <w:softHyphen/>
        <w:t>tijeva tradicijska varijanta, pa time daju druk</w:t>
        <w:softHyphen/>
        <w:t>čije značenje, ili se pak mora priznati suprot</w:t>
        <w:softHyphen/>
        <w:t xml:space="preserve">na teza: </w:t>
      </w:r>
      <w:r>
        <w:rPr>
          <w:rFonts w:ascii="Times New Roman" w:eastAsia="Times New Roman" w:hAnsi="Times New Roman" w:cs="Times New Roman"/>
          <w:i/>
          <w:iCs/>
          <w:color w:val="000000"/>
          <w:spacing w:val="0"/>
          <w:w w:val="100"/>
          <w:position w:val="0"/>
          <w:shd w:val="clear" w:color="auto" w:fill="auto"/>
          <w:lang w:val="hr-HR" w:eastAsia="hr-HR" w:bidi="hr-HR"/>
        </w:rPr>
        <w:t>ješ'em la-mikra</w:t>
      </w:r>
      <w:r>
        <w:rPr>
          <w:rFonts w:ascii="Times New Roman" w:eastAsia="Times New Roman" w:hAnsi="Times New Roman" w:cs="Times New Roman"/>
          <w:color w:val="000000"/>
          <w:spacing w:val="0"/>
          <w:w w:val="100"/>
          <w:position w:val="0"/>
          <w:shd w:val="clear" w:color="auto" w:fill="auto"/>
          <w:lang w:val="hr-HR" w:eastAsia="hr-HR" w:bidi="hr-HR"/>
        </w:rPr>
        <w:t xml:space="preserve"> (doslovce: »glasno či</w:t>
        <w:softHyphen/>
        <w:t xml:space="preserve">tanje ima majku«), tj. tradicijski prenesena varijanta s potvrđenim podrijetlom, premda </w:t>
      </w:r>
      <w:r>
        <w:rPr>
          <w:rFonts w:ascii="Times New Roman" w:eastAsia="Times New Roman" w:hAnsi="Times New Roman" w:cs="Times New Roman"/>
          <w:color w:val="000000"/>
          <w:spacing w:val="0"/>
          <w:w w:val="100"/>
          <w:position w:val="0"/>
          <w:shd w:val="clear" w:color="auto" w:fill="auto"/>
          <w:lang w:val="hr-HR" w:eastAsia="hr-HR" w:bidi="hr-HR"/>
        </w:rPr>
        <w:t xml:space="preserve">bi se slovčani tekst mogao i drukčije pročitati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4a-b; b Makot 8a; Pesahim 86b; Suka 6b; Kidušin 18b; Zevahim 37b; Behorot 34a; Keretot 17b). U tanaitske autoritete (čiji se nauk navodi u Mišni ili Barajti, od škola Ša- maja i Hilela do Jehude ha-Nasija, od I. do početka III. stoljeća pos. Kr.), koji se slažu s mjerilom »tradicijske verzije« kao čvrste pod</w:t>
        <w:softHyphen/>
        <w:t xml:space="preserve">loge, rabin Johanan ubraja: </w:t>
      </w:r>
      <w:r>
        <w:rPr>
          <w:rFonts w:ascii="Times New Roman" w:eastAsia="Times New Roman" w:hAnsi="Times New Roman" w:cs="Times New Roman"/>
          <w:color w:val="000000"/>
          <w:spacing w:val="0"/>
          <w:w w:val="100"/>
          <w:position w:val="0"/>
          <w:shd w:val="clear" w:color="auto" w:fill="auto"/>
          <w:lang w:val="en-US" w:eastAsia="en-US" w:bidi="en-US"/>
        </w:rPr>
        <w:t xml:space="preserve">Jehudu </w:t>
      </w:r>
      <w:r>
        <w:rPr>
          <w:rFonts w:ascii="Times New Roman" w:eastAsia="Times New Roman" w:hAnsi="Times New Roman" w:cs="Times New Roman"/>
          <w:color w:val="000000"/>
          <w:spacing w:val="0"/>
          <w:w w:val="100"/>
          <w:position w:val="0"/>
          <w:shd w:val="clear" w:color="auto" w:fill="auto"/>
          <w:lang w:val="hr-HR" w:eastAsia="hr-HR" w:bidi="hr-HR"/>
        </w:rPr>
        <w:t>I. (»ra</w:t>
        <w:softHyphen/>
        <w:t xml:space="preserve">bi«), Jehudu ben Roeza, učenjake Samajeve škole, </w:t>
      </w:r>
      <w:r>
        <w:rPr>
          <w:rFonts w:ascii="Times New Roman" w:eastAsia="Times New Roman" w:hAnsi="Times New Roman" w:cs="Times New Roman"/>
          <w:color w:val="000000"/>
          <w:spacing w:val="0"/>
          <w:w w:val="100"/>
          <w:position w:val="0"/>
          <w:shd w:val="clear" w:color="auto" w:fill="auto"/>
          <w:lang w:val="en-US" w:eastAsia="en-US" w:bidi="en-US"/>
        </w:rPr>
        <w:t xml:space="preserve">Simona ben </w:t>
      </w:r>
      <w:r>
        <w:rPr>
          <w:rFonts w:ascii="Times New Roman" w:eastAsia="Times New Roman" w:hAnsi="Times New Roman" w:cs="Times New Roman"/>
          <w:color w:val="000000"/>
          <w:spacing w:val="0"/>
          <w:w w:val="100"/>
          <w:position w:val="0"/>
          <w:shd w:val="clear" w:color="auto" w:fill="auto"/>
          <w:lang w:val="hr-HR" w:eastAsia="hr-HR" w:bidi="hr-HR"/>
        </w:rPr>
        <w:t xml:space="preserve">Johaja i </w:t>
      </w:r>
      <w:r>
        <w:rPr>
          <w:rFonts w:ascii="Times New Roman" w:eastAsia="Times New Roman" w:hAnsi="Times New Roman" w:cs="Times New Roman"/>
          <w:color w:val="000000"/>
          <w:spacing w:val="0"/>
          <w:w w:val="100"/>
          <w:position w:val="0"/>
          <w:shd w:val="clear" w:color="auto" w:fill="auto"/>
          <w:lang w:val="en-US" w:eastAsia="en-US" w:bidi="en-US"/>
        </w:rPr>
        <w:t xml:space="preserve">Akibu </w:t>
      </w:r>
      <w:r>
        <w:rPr>
          <w:rFonts w:ascii="Times New Roman" w:eastAsia="Times New Roman" w:hAnsi="Times New Roman" w:cs="Times New Roman"/>
          <w:color w:val="000000"/>
          <w:spacing w:val="0"/>
          <w:w w:val="100"/>
          <w:position w:val="0"/>
          <w:shd w:val="clear" w:color="auto" w:fill="auto"/>
          <w:lang w:val="hr-HR" w:eastAsia="hr-HR" w:bidi="hr-HR"/>
        </w:rPr>
        <w:t xml:space="preserve">(b </w:t>
      </w:r>
      <w:r>
        <w:rPr>
          <w:rFonts w:ascii="Times New Roman" w:eastAsia="Times New Roman" w:hAnsi="Times New Roman" w:cs="Times New Roman"/>
          <w:color w:val="000000"/>
          <w:spacing w:val="0"/>
          <w:w w:val="100"/>
          <w:position w:val="0"/>
          <w:shd w:val="clear" w:color="auto" w:fill="auto"/>
          <w:lang w:val="en-US" w:eastAsia="en-US" w:bidi="en-US"/>
        </w:rPr>
        <w:t>Sanhed</w:t>
        <w:softHyphen/>
        <w:t xml:space="preserve">rin </w:t>
      </w:r>
      <w:r>
        <w:rPr>
          <w:rFonts w:ascii="Times New Roman" w:eastAsia="Times New Roman" w:hAnsi="Times New Roman" w:cs="Times New Roman"/>
          <w:color w:val="000000"/>
          <w:spacing w:val="0"/>
          <w:w w:val="100"/>
          <w:position w:val="0"/>
          <w:shd w:val="clear" w:color="auto" w:fill="auto"/>
          <w:lang w:val="hr-HR" w:eastAsia="hr-HR" w:bidi="hr-HR"/>
        </w:rPr>
        <w:t xml:space="preserve">4a). Načelo tradicionalnog načina čitanja, koje se moglo oblikovati i kao »čitanje pis- moznanaca« </w:t>
      </w:r>
      <w:r>
        <w:rPr>
          <w:rFonts w:ascii="Times New Roman" w:eastAsia="Times New Roman" w:hAnsi="Times New Roman" w:cs="Times New Roman"/>
          <w:i/>
          <w:iCs/>
          <w:color w:val="000000"/>
          <w:spacing w:val="0"/>
          <w:w w:val="100"/>
          <w:position w:val="0"/>
          <w:shd w:val="clear" w:color="auto" w:fill="auto"/>
          <w:lang w:val="hr-HR" w:eastAsia="hr-HR" w:bidi="hr-HR"/>
        </w:rPr>
        <w:t>(mikra soferim),</w:t>
      </w:r>
      <w:r>
        <w:rPr>
          <w:rFonts w:ascii="Times New Roman" w:eastAsia="Times New Roman" w:hAnsi="Times New Roman" w:cs="Times New Roman"/>
          <w:color w:val="000000"/>
          <w:spacing w:val="0"/>
          <w:w w:val="100"/>
          <w:position w:val="0"/>
          <w:shd w:val="clear" w:color="auto" w:fill="auto"/>
          <w:lang w:val="hr-HR" w:eastAsia="hr-HR" w:bidi="hr-HR"/>
        </w:rPr>
        <w:t xml:space="preserve"> hagadist Jichak povezao je s »predajom Mojsija sa Sinaja« (b Ncdarim 37b).</w:t>
      </w:r>
    </w:p>
    <w:p>
      <w:pPr>
        <w:pStyle w:val="Style20"/>
        <w:keepNext w:val="0"/>
        <w:keepLines w:val="0"/>
        <w:widowControl w:val="0"/>
        <w:shd w:val="clear" w:color="auto" w:fill="auto"/>
        <w:bidi w:val="0"/>
        <w:spacing w:before="0" w:after="60"/>
        <w:ind w:left="0" w:right="0" w:firstLine="0"/>
        <w:jc w:val="both"/>
        <w:sectPr>
          <w:headerReference w:type="default" r:id="rId1503"/>
          <w:footerReference w:type="default" r:id="rId1504"/>
          <w:headerReference w:type="even" r:id="rId1505"/>
          <w:footerReference w:type="even" r:id="rId1506"/>
          <w:footnotePr>
            <w:pos w:val="pageBottom"/>
            <w:numFmt w:val="decimal"/>
            <w:numRestart w:val="continuous"/>
            <w15:footnoteColumns w:val="1"/>
          </w:footnotePr>
          <w:pgSz w:w="6816" w:h="11006"/>
          <w:pgMar w:top="835" w:left="194" w:right="199" w:bottom="278" w:header="0" w:footer="3" w:gutter="0"/>
          <w:pgNumType w:start="494"/>
          <w:cols w:num="2" w:space="194"/>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b)</w:t>
      </w:r>
      <w:r>
        <w:rPr>
          <w:rFonts w:ascii="Times New Roman" w:eastAsia="Times New Roman" w:hAnsi="Times New Roman" w:cs="Times New Roman"/>
          <w:color w:val="000000"/>
          <w:spacing w:val="0"/>
          <w:w w:val="100"/>
          <w:position w:val="0"/>
          <w:shd w:val="clear" w:color="auto" w:fill="auto"/>
          <w:lang w:val="hr-HR" w:eastAsia="hr-HR" w:bidi="hr-HR"/>
        </w:rPr>
        <w:t xml:space="preserve"> Drugo bitno područje primjene pojma tra</w:t>
        <w:softHyphen/>
        <w:t>dicije jesu predaje o sadržajima religijskih za</w:t>
        <w:softHyphen/>
        <w:t xml:space="preserve">kona. Termin koji ga označava susrećemo u vezi s jednim dvojbenim slučajem što su ga iznijeli pred rabina Gamliela: »Popeli su se u dvoranu od klesanoga kamena (dvorana za sjednice 71 člana Velikoga vijeća, tj. sinedrija) i stali postavljati pitanja. Tada reče pisar </w:t>
      </w:r>
      <w:r>
        <w:rPr>
          <w:rFonts w:ascii="Times New Roman" w:eastAsia="Times New Roman" w:hAnsi="Times New Roman" w:cs="Times New Roman"/>
          <w:color w:val="000000"/>
          <w:spacing w:val="0"/>
          <w:w w:val="100"/>
          <w:position w:val="0"/>
          <w:shd w:val="clear" w:color="auto" w:fill="auto"/>
          <w:lang w:val="en-US" w:eastAsia="en-US" w:bidi="en-US"/>
        </w:rPr>
        <w:t>Na</w:t>
        <w:softHyphen/>
        <w:t xml:space="preserve">hum: </w:t>
      </w:r>
      <w:r>
        <w:rPr>
          <w:rFonts w:ascii="Times New Roman" w:eastAsia="Times New Roman" w:hAnsi="Times New Roman" w:cs="Times New Roman"/>
          <w:color w:val="000000"/>
          <w:spacing w:val="0"/>
          <w:w w:val="100"/>
          <w:position w:val="0"/>
          <w:shd w:val="clear" w:color="auto" w:fill="auto"/>
          <w:lang w:val="hr-HR" w:eastAsia="hr-HR" w:bidi="hr-HR"/>
        </w:rPr>
        <w:t xml:space="preserve">Ja sam primio </w:t>
      </w:r>
      <w:r>
        <w:rPr>
          <w:rFonts w:ascii="Times New Roman" w:eastAsia="Times New Roman" w:hAnsi="Times New Roman" w:cs="Times New Roman"/>
          <w:i/>
          <w:iCs/>
          <w:color w:val="000000"/>
          <w:spacing w:val="0"/>
          <w:w w:val="100"/>
          <w:position w:val="0"/>
          <w:shd w:val="clear" w:color="auto" w:fill="auto"/>
          <w:lang w:val="hr-HR" w:eastAsia="hr-HR" w:bidi="hr-HR"/>
        </w:rPr>
        <w:t>(mekubal ani)</w:t>
      </w:r>
      <w:r>
        <w:rPr>
          <w:rFonts w:ascii="Times New Roman" w:eastAsia="Times New Roman" w:hAnsi="Times New Roman" w:cs="Times New Roman"/>
          <w:color w:val="000000"/>
          <w:spacing w:val="0"/>
          <w:w w:val="100"/>
          <w:position w:val="0"/>
          <w:shd w:val="clear" w:color="auto" w:fill="auto"/>
          <w:lang w:val="hr-HR" w:eastAsia="hr-HR" w:bidi="hr-HR"/>
        </w:rPr>
        <w:t xml:space="preserve"> od Rabi Meaše, koji je primio od svojega oca </w:t>
      </w:r>
      <w:r>
        <w:rPr>
          <w:rFonts w:ascii="Times New Roman" w:eastAsia="Times New Roman" w:hAnsi="Times New Roman" w:cs="Times New Roman"/>
          <w:i/>
          <w:iCs/>
          <w:color w:val="000000"/>
          <w:spacing w:val="0"/>
          <w:w w:val="100"/>
          <w:position w:val="0"/>
          <w:shd w:val="clear" w:color="auto" w:fill="auto"/>
          <w:lang w:val="hr-HR" w:eastAsia="hr-HR" w:bidi="hr-HR"/>
        </w:rPr>
        <w:t xml:space="preserve">(kibel), </w:t>
      </w:r>
      <w:r>
        <w:rPr>
          <w:rFonts w:ascii="Times New Roman" w:eastAsia="Times New Roman" w:hAnsi="Times New Roman" w:cs="Times New Roman"/>
          <w:color w:val="000000"/>
          <w:spacing w:val="0"/>
          <w:w w:val="100"/>
          <w:position w:val="0"/>
          <w:shd w:val="clear" w:color="auto" w:fill="auto"/>
          <w:lang w:val="hr-HR" w:eastAsia="hr-HR" w:bidi="hr-HR"/>
        </w:rPr>
        <w:t xml:space="preserve">koji je primio od parova </w:t>
      </w:r>
      <w:r>
        <w:rPr>
          <w:rFonts w:ascii="Times New Roman" w:eastAsia="Times New Roman" w:hAnsi="Times New Roman" w:cs="Times New Roman"/>
          <w:i/>
          <w:iCs/>
          <w:color w:val="000000"/>
          <w:spacing w:val="0"/>
          <w:w w:val="100"/>
          <w:position w:val="0"/>
          <w:shd w:val="clear" w:color="auto" w:fill="auto"/>
          <w:lang w:val="hr-HR" w:eastAsia="hr-HR" w:bidi="hr-HR"/>
        </w:rPr>
        <w:t>(zugot</w:t>
      </w:r>
      <w:r>
        <w:rPr>
          <w:rFonts w:ascii="Times New Roman" w:eastAsia="Times New Roman" w:hAnsi="Times New Roman" w:cs="Times New Roman"/>
          <w:color w:val="000000"/>
          <w:spacing w:val="0"/>
          <w:w w:val="100"/>
          <w:position w:val="0"/>
          <w:shd w:val="clear" w:color="auto" w:fill="auto"/>
          <w:lang w:val="hr-HR" w:eastAsia="hr-HR" w:bidi="hr-HR"/>
        </w:rPr>
        <w:t xml:space="preserve"> su ovdje uvijek po dva pismoznanca spomenuta poimence u M Avot 1,4.6.8.10.12 koji su u tradicijskom lancu 1,1 ‘slijedili muškarce Velikog sabora’), koji su ga primili od proroka: zakon Mojsijev sa Sinaja </w:t>
      </w:r>
      <w:r>
        <w:rPr>
          <w:rFonts w:ascii="Times New Roman" w:eastAsia="Times New Roman" w:hAnsi="Times New Roman" w:cs="Times New Roman"/>
          <w:i/>
          <w:iCs/>
          <w:color w:val="000000"/>
          <w:spacing w:val="0"/>
          <w:w w:val="100"/>
          <w:position w:val="0"/>
          <w:shd w:val="clear" w:color="auto" w:fill="auto"/>
          <w:lang w:val="hr-HR" w:eastAsia="hr-HR" w:bidi="hr-HR"/>
        </w:rPr>
        <w:t>(halaha le-Moše mi-Sinaj)«</w:t>
      </w:r>
      <w:r>
        <w:rPr>
          <w:rFonts w:ascii="Times New Roman" w:eastAsia="Times New Roman" w:hAnsi="Times New Roman" w:cs="Times New Roman"/>
          <w:color w:val="000000"/>
          <w:spacing w:val="0"/>
          <w:w w:val="100"/>
          <w:position w:val="0"/>
          <w:shd w:val="clear" w:color="auto" w:fill="auto"/>
          <w:lang w:val="hr-HR" w:eastAsia="hr-HR" w:bidi="hr-HR"/>
        </w:rPr>
        <w:t xml:space="preserve"> (M Pca 11,6; usp. Edujot VIII,7; Jadajim IV,3). Pod</w:t>
        <w:softHyphen/>
        <w:t>rijetlo termina »halaha Mojsija sa Sinaja« još je starije od njegove citirane primjene iz po</w:t>
        <w:softHyphen/>
        <w:t>sljednjih desetljeća prije pada Jeruzalema. Hi- lel je već upotrijebio (otprilike jedan naraštaj prije gore spomenutog Nahuma) pojam: »tu halahu sam čuo« s pretpostavkom da je sluša</w:t>
        <w:softHyphen/>
        <w:t xml:space="preserve">teljima poznat (b Pesahim 66a). »halahu« kao tradicijski preneseni zakon, propis - u tom smislu tu riječ_primjenjujc pripovijest Jehude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 xml:space="preserve">Tabaja i </w:t>
      </w:r>
      <w:r>
        <w:rPr>
          <w:rFonts w:ascii="Times New Roman" w:eastAsia="Times New Roman" w:hAnsi="Times New Roman" w:cs="Times New Roman"/>
          <w:color w:val="000000"/>
          <w:spacing w:val="0"/>
          <w:w w:val="100"/>
          <w:position w:val="0"/>
          <w:shd w:val="clear" w:color="auto" w:fill="auto"/>
          <w:lang w:val="en-US" w:eastAsia="en-US" w:bidi="en-US"/>
        </w:rPr>
        <w:t xml:space="preserve">Simona </w:t>
      </w:r>
      <w:r>
        <w:rPr>
          <w:rFonts w:ascii="Times New Roman" w:eastAsia="Times New Roman" w:hAnsi="Times New Roman" w:cs="Times New Roman"/>
          <w:color w:val="000000"/>
          <w:spacing w:val="0"/>
          <w:w w:val="100"/>
          <w:position w:val="0"/>
          <w:shd w:val="clear" w:color="auto" w:fill="auto"/>
          <w:lang w:val="hr-HR" w:eastAsia="hr-HR" w:bidi="hr-HR"/>
        </w:rPr>
        <w:t>ben Sctaha već 80. pr. Kr. (b Hagiga 16b) - prema riječima Rabi Akive, treba prihvatili bez prigovora, dok se teza koja se temelji na egzegetskoj derivaciji (»dijn« znači zaključak koji rezultira na te</w:t>
        <w:softHyphen/>
        <w:t xml:space="preserve">melju hermeneutičkog pravila) može pobiti (M Keritot III,9; usp. </w:t>
      </w:r>
      <w:r>
        <w:rPr>
          <w:rFonts w:ascii="Times New Roman" w:eastAsia="Times New Roman" w:hAnsi="Times New Roman" w:cs="Times New Roman"/>
          <w:color w:val="000000"/>
          <w:spacing w:val="0"/>
          <w:w w:val="100"/>
          <w:position w:val="0"/>
          <w:shd w:val="clear" w:color="auto" w:fill="auto"/>
          <w:lang w:val="en-US" w:eastAsia="en-US" w:bidi="en-US"/>
        </w:rPr>
        <w:t xml:space="preserve">Jevamot </w:t>
      </w:r>
      <w:r>
        <w:rPr>
          <w:rFonts w:ascii="Times New Roman" w:eastAsia="Times New Roman" w:hAnsi="Times New Roman" w:cs="Times New Roman"/>
          <w:color w:val="000000"/>
          <w:spacing w:val="0"/>
          <w:w w:val="100"/>
          <w:position w:val="0"/>
          <w:shd w:val="clear" w:color="auto" w:fill="auto"/>
          <w:lang w:val="hr-HR" w:eastAsia="hr-HR" w:bidi="hr-HR"/>
        </w:rPr>
        <w:t>VIII,3). Bu</w:t>
        <w:softHyphen/>
        <w:t>dući da zapovijedi i zabrane pisane Tore nisu donosile konkretne odredbe za svaki slučaj o tome kako treba vršiti volju Božju, ali se na</w:t>
        <w:softHyphen/>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rod obvezao da će činiti sve šio Tora nalaže (Neh 8-10), pisana je Tora trebala dopunsko točno objašnjenje koje daje smjernice za pravi način života, a to je halaha. Klica takvog tu</w:t>
        <w:softHyphen/>
        <w:t>mačenja propisa iz Tore već je u njoj samoj: »Poučavaj ih o zakonima i odredbama; svraćaj ih na put kojim moraju ići, upućuj ih na djela koja moraju vršiti« (Izl 18,20). Utvrđivanje halahe bila je nadasve važna zadaća za održa</w:t>
        <w:softHyphen/>
        <w:t xml:space="preserve">nje naroda i njegove vjernosti Bogu. Reforma koju je uveo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u razdoblju drugoga Urama naglašavala je odgovornost svakog pojedinca da poštuje Božju volju objavljenu u Tori. Ha</w:t>
        <w:softHyphen/>
        <w:t>laha ga je vodila da se drži te obveze i time provede pripadnost zajednici Izraela (Neh 10,29 i d.), jer daje odgovor na pitanje, koje se uvijek ponavlja, što Bog traži u određenim okolnostima. To objašnjenje nije prepušteno pojedincu, pa ni osobnomu mišljenju učenja</w:t>
        <w:softHyphen/>
        <w:t>ka; ono je u svako doba u povijesti bilo utvr</w:t>
        <w:softHyphen/>
        <w:t>đeno nakon savjetovanja s potvrđenim učite</w:t>
        <w:softHyphen/>
        <w:t xml:space="preserve">ljima najvišega religijskog zakonodavnog tijela (Veliki </w:t>
      </w:r>
      <w:r>
        <w:rPr>
          <w:rFonts w:ascii="Times New Roman" w:eastAsia="Times New Roman" w:hAnsi="Times New Roman" w:cs="Times New Roman"/>
          <w:i/>
          <w:iCs/>
          <w:color w:val="000000"/>
          <w:spacing w:val="0"/>
          <w:w w:val="100"/>
          <w:position w:val="0"/>
          <w:shd w:val="clear" w:color="auto" w:fill="auto"/>
          <w:lang w:val="hr-HR" w:eastAsia="hr-HR" w:bidi="hr-HR"/>
        </w:rPr>
        <w:t>bel din</w:t>
      </w:r>
      <w:r>
        <w:rPr>
          <w:rFonts w:ascii="Times New Roman" w:eastAsia="Times New Roman" w:hAnsi="Times New Roman" w:cs="Times New Roman"/>
          <w:color w:val="000000"/>
          <w:spacing w:val="0"/>
          <w:w w:val="100"/>
          <w:position w:val="0"/>
          <w:shd w:val="clear" w:color="auto" w:fill="auto"/>
          <w:lang w:val="hr-HR" w:eastAsia="hr-HR" w:bidi="hr-HR"/>
        </w:rPr>
        <w:t xml:space="preserve"> u Jeruzalemu, nakon 70. pos. Kr. skupštine učenjaka u Javncu, Uši, Ti- berijadi). Odluka je sazrela iz temeljitog pro</w:t>
        <w:softHyphen/>
        <w:t>učavanja pisane i usmene Tore kao konačni rezultat većinskoga glasa. Tako određena ha</w:t>
        <w:softHyphen/>
        <w:t>laha povezivala je sve Židove i mogla se opo</w:t>
        <w:softHyphen/>
        <w:t>zvati samo većinskom odlukom druge skupšti</w:t>
        <w:softHyphen/>
        <w:t>ne i proglasiti nevažećom, koja je, naravno, mudrošću i brojem morala nadmašiti pret</w:t>
        <w:softHyphen/>
        <w:t xml:space="preserve">hodnu (M Edujot 1,5). Ipak ni jedan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bel din </w:t>
      </w:r>
      <w:r>
        <w:rPr>
          <w:rFonts w:ascii="Times New Roman" w:eastAsia="Times New Roman" w:hAnsi="Times New Roman" w:cs="Times New Roman"/>
          <w:color w:val="000000"/>
          <w:spacing w:val="0"/>
          <w:w w:val="100"/>
          <w:position w:val="0"/>
          <w:shd w:val="clear" w:color="auto" w:fill="auto"/>
          <w:lang w:val="hr-HR" w:eastAsia="hr-HR" w:bidi="hr-HR"/>
        </w:rPr>
        <w:t xml:space="preserve">zajednice nije mogao donijeti propis ako ga većina nije mogla prihvatiti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36a; Bava batra 60b). Stoga je kao mjerilo čvrste forme tradicijski prenesen samo jedan propis (halaha) po kojem se mogla poštovati Božja volja i u Tori.</w:t>
      </w:r>
    </w:p>
    <w:p>
      <w:pPr>
        <w:pStyle w:val="Style56"/>
        <w:keepNext w:val="0"/>
        <w:keepLines w:val="0"/>
        <w:widowControl w:val="0"/>
        <w:shd w:val="clear" w:color="auto" w:fill="auto"/>
        <w:tabs>
          <w:tab w:pos="2448" w:val="left"/>
        </w:tabs>
        <w:bidi w:val="0"/>
        <w:spacing w:before="0" w:after="14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R. T. </w:t>
      </w:r>
      <w:r>
        <w:rPr>
          <w:color w:val="000000"/>
          <w:spacing w:val="0"/>
          <w:w w:val="100"/>
          <w:position w:val="0"/>
          <w:shd w:val="clear" w:color="auto" w:fill="auto"/>
        </w:rPr>
        <w:t xml:space="preserve">Herford, </w:t>
      </w:r>
      <w:r>
        <w:rPr>
          <w:i/>
          <w:iCs/>
          <w:color w:val="000000"/>
          <w:spacing w:val="0"/>
          <w:w w:val="100"/>
          <w:position w:val="0"/>
          <w:shd w:val="clear" w:color="auto" w:fill="auto"/>
        </w:rPr>
        <w:t>Die Pharisder,</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1928, 57-98; </w:t>
      </w:r>
      <w:r>
        <w:rPr>
          <w:color w:val="000000"/>
          <w:spacing w:val="0"/>
          <w:w w:val="100"/>
          <w:position w:val="0"/>
          <w:shd w:val="clear" w:color="auto" w:fill="auto"/>
        </w:rPr>
        <w:t xml:space="preserve">W. Bachcr, </w:t>
      </w:r>
      <w:r>
        <w:rPr>
          <w:i/>
          <w:iCs/>
          <w:color w:val="000000"/>
          <w:spacing w:val="0"/>
          <w:w w:val="100"/>
          <w:position w:val="0"/>
          <w:shd w:val="clear" w:color="auto" w:fill="auto"/>
        </w:rPr>
        <w:t xml:space="preserve">Die exegetisehe </w:t>
      </w:r>
      <w:r>
        <w:rPr>
          <w:i/>
          <w:iCs/>
          <w:color w:val="000000"/>
          <w:spacing w:val="0"/>
          <w:w w:val="100"/>
          <w:position w:val="0"/>
          <w:shd w:val="clear" w:color="auto" w:fill="auto"/>
          <w:lang w:val="hr-HR" w:eastAsia="hr-HR" w:bidi="hr-HR"/>
        </w:rPr>
        <w:t xml:space="preserve">Terminologe </w:t>
      </w:r>
      <w:r>
        <w:rPr>
          <w:i/>
          <w:iCs/>
          <w:color w:val="000000"/>
          <w:spacing w:val="0"/>
          <w:w w:val="100"/>
          <w:position w:val="0"/>
          <w:shd w:val="clear" w:color="auto" w:fill="auto"/>
        </w:rPr>
        <w:t xml:space="preserve">der jiidischen Traditionsliteru- </w:t>
      </w:r>
      <w:r>
        <w:rPr>
          <w:i/>
          <w:iCs/>
          <w:color w:val="000000"/>
          <w:spacing w:val="0"/>
          <w:w w:val="100"/>
          <w:position w:val="0"/>
          <w:shd w:val="clear" w:color="auto" w:fill="auto"/>
          <w:lang w:val="hr-HR" w:eastAsia="hr-HR" w:bidi="hr-HR"/>
        </w:rPr>
        <w:t>tur</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1,1899. Il, 1905; 1965, I: 42 i d., 106 i d , 165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II: 53 i d., 115. 185; H. L Strauk/P. Billcrbcck, </w:t>
      </w:r>
      <w:r>
        <w:rPr>
          <w:i/>
          <w:iCs/>
          <w:color w:val="000000"/>
          <w:spacing w:val="0"/>
          <w:w w:val="100"/>
          <w:position w:val="0"/>
          <w:shd w:val="clear" w:color="auto" w:fill="auto"/>
        </w:rPr>
        <w:t>kommentar zum Neuen Testament aus Talmud and Midrasch</w:t>
      </w:r>
      <w:r>
        <w:rPr>
          <w:color w:val="000000"/>
          <w:spacing w:val="0"/>
          <w:w w:val="100"/>
          <w:position w:val="0"/>
          <w:shd w:val="clear" w:color="auto" w:fill="auto"/>
        </w:rPr>
        <w:t xml:space="preserve"> I, 1928, </w:t>
      </w:r>
      <w:r>
        <w:rPr>
          <w:color w:val="000000"/>
          <w:spacing w:val="0"/>
          <w:w w:val="100"/>
          <w:position w:val="0"/>
          <w:shd w:val="clear" w:color="auto" w:fill="auto"/>
          <w:vertAlign w:val="superscript"/>
        </w:rPr>
        <w:t>7</w:t>
      </w:r>
      <w:r>
        <w:rPr>
          <w:color w:val="000000"/>
          <w:spacing w:val="0"/>
          <w:w w:val="100"/>
          <w:position w:val="0"/>
          <w:shd w:val="clear" w:color="auto" w:fill="auto"/>
        </w:rPr>
        <w:t xml:space="preserve">1978, 691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 I V/l, 1928,</w:t>
      </w:r>
      <w:r>
        <w:rPr>
          <w:color w:val="000000"/>
          <w:spacing w:val="0"/>
          <w:w w:val="100"/>
          <w:position w:val="0"/>
          <w:shd w:val="clear" w:color="auto" w:fill="auto"/>
          <w:vertAlign w:val="superscript"/>
        </w:rPr>
        <w:t>h</w:t>
      </w:r>
      <w:r>
        <w:rPr>
          <w:color w:val="000000"/>
          <w:spacing w:val="0"/>
          <w:w w:val="100"/>
          <w:position w:val="0"/>
          <w:shd w:val="clear" w:color="auto" w:fill="auto"/>
        </w:rPr>
        <w:t xml:space="preserve">!975, 344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d.</w:t>
        <w:tab/>
        <w:t>D. VETTER</w:t>
      </w:r>
    </w:p>
    <w:p>
      <w:pPr>
        <w:pStyle w:val="Style63"/>
        <w:keepNext/>
        <w:keepLines/>
        <w:widowControl w:val="0"/>
        <w:numPr>
          <w:ilvl w:val="0"/>
          <w:numId w:val="583"/>
        </w:numPr>
        <w:shd w:val="clear" w:color="auto" w:fill="auto"/>
        <w:tabs>
          <w:tab w:pos="260" w:val="left"/>
        </w:tabs>
        <w:bidi w:val="0"/>
        <w:spacing w:before="0"/>
        <w:ind w:left="0" w:right="0" w:firstLine="0"/>
        <w:jc w:val="both"/>
      </w:pPr>
      <w:bookmarkStart w:id="372" w:name="bookmark37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72"/>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Kršćanska vjera nema svoj temelj u moguć</w:t>
        <w:softHyphen/>
        <w:t>nostima ljudskog istraživanja i filozofiranja nego u Božjoj samoobjavi, u Božjem spasenj- skom djelovanju u Izraelovoj povijesti, oso</w:t>
        <w:softHyphen/>
        <w:t>bito u sudbini Isusa iz Nazareta. Isus Krist je po kršćanskom uvjerenju Božja potvrdna riječ za obećanja očima, njegov konačni »da« (2</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 1,19 i d.). Zato nakon Krista nema za Crkvu nikakve nove, za spasenje nužne objave nego samo još vjerna predaja tog izvora. Po</w:t>
        <w:softHyphen/>
        <w:t>vijesno neponovljivo Božje djelovanje jedan je zauvijek položen temelj (usp. Heb 9), norma za svu kasniju povijest vjere.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 se događa kao životno ispunjenje na svim područjima vjerske zajednice: u slavljenju bo</w:t>
        <w:softHyphen/>
        <w:t>goslužja i sakramenata, u katehezi i propo</w:t>
        <w:softHyphen/>
        <w:t>vijedi, u socijalnom i karitativnom djelovanju, u prenošenju služenja i službi. Ona se artiku</w:t>
        <w:softHyphen/>
        <w:t>lira u utvrđenim iskazima; Pavao je već primio i dalje predao zajednici u Korintu takve for</w:t>
        <w:softHyphen/>
        <w:t>mulacije o Posljednjoj večeri (1 Kor 11,23 i d.) i uskrsnuću (1 Kor 15,3 i 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Poseban položaj unutar prakršćanske tradici</w:t>
        <w:softHyphen/>
        <w:t>je zauzimaju spisi Isusovih apostola i nekih apostolovih učenika. Kao izvorno svjedočan</w:t>
        <w:softHyphen/>
        <w:t>stvo o Isusovu životu i učenju oni dobivaju tijekom prvih kršćanskih stoljeća kanonsku važnost (kanon = pravilo) i dolaze kao NZ uz Toru, proroke i hagiografe koji kao SZ pre</w:t>
        <w:softHyphen/>
        <w:t>daju očima velika Božja djela. Za njih vrijedi da su pod utjecajem Duha Božjega pisali (na</w:t>
        <w:softHyphen/>
        <w:t>dahnuto) i zato su pouzdani i istiniti. Otada Sveto pismo SZ i NZ stoji sučelice ostaloj - iz</w:t>
        <w:softHyphen/>
        <w:t>vorno nenapisanoj - tradiciji koja ipak i dalje služi ispravnom izlaganju Biblije.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Tijekom povijesti bili su u događanje tradicije preuzeti i poneki elementi koji ne potječu iz objave i apostolskog izvora nego iz različitih suvremenih i kulturalnih situacija. Prije svega te su tradicije oko kraja srednjega vijeka stu</w:t>
        <w:softHyphen/>
        <w:t>pile u prvi plan pa su prijetile zamagliti pravu poruku spasenja. Zato je poziv za reformom Crkve bio istodobno zahtjev za povratkom iz</w:t>
        <w:softHyphen/>
        <w:t>vorima. Reformacija u XVI. stoljeću progla</w:t>
        <w:softHyphen/>
        <w:t xml:space="preserve">šava načelo protiv različitih tradicija: samo Pismo </w:t>
      </w:r>
      <w:r>
        <w:rPr>
          <w:rFonts w:ascii="Times New Roman" w:eastAsia="Times New Roman" w:hAnsi="Times New Roman" w:cs="Times New Roman"/>
          <w:color w:val="000000"/>
          <w:spacing w:val="0"/>
          <w:w w:val="100"/>
          <w:position w:val="0"/>
          <w:shd w:val="clear" w:color="auto" w:fill="auto"/>
          <w:lang w:val="en-US" w:eastAsia="en-US" w:bidi="en-US"/>
        </w:rPr>
        <w:t xml:space="preserve">(sola </w:t>
      </w:r>
      <w:r>
        <w:rPr>
          <w:rFonts w:ascii="Times New Roman" w:eastAsia="Times New Roman" w:hAnsi="Times New Roman" w:cs="Times New Roman"/>
          <w:color w:val="000000"/>
          <w:spacing w:val="0"/>
          <w:w w:val="100"/>
          <w:position w:val="0"/>
          <w:shd w:val="clear" w:color="auto" w:fill="auto"/>
          <w:lang w:val="hr-HR" w:eastAsia="hr-HR" w:bidi="hr-HR"/>
        </w:rPr>
        <w:t>scriptura) jc norma vjere. Napro</w:t>
        <w:softHyphen/>
        <w:t>tiv, Tridcntski koncil od strane Rimokatoličke crkve naglašava tradiciju kao izvor vjere, ali istodobno ističe apostolsku tradiciju naspram ostalim čisto crkvenim tradicijama koje nema</w:t>
        <w:softHyphen/>
        <w:t>ju isto značenje i obvezatnost (DS 1501). Ta</w:t>
        <w:softHyphen/>
        <w:t>ko je odnos Pisma i tradicije za dugo vrijeme postalo konfesionalno prijeporno pitanje.</w:t>
      </w:r>
    </w:p>
    <w:p>
      <w:pPr>
        <w:pStyle w:val="Style20"/>
        <w:keepNext w:val="0"/>
        <w:keepLines w:val="0"/>
        <w:widowControl w:val="0"/>
        <w:shd w:val="clear" w:color="auto" w:fill="auto"/>
        <w:bidi w:val="0"/>
        <w:spacing w:before="0" w:after="0" w:line="240" w:lineRule="auto"/>
        <w:ind w:left="0" w:right="0" w:firstLine="0"/>
        <w:jc w:val="both"/>
        <w:sectPr>
          <w:headerReference w:type="default" r:id="rId1507"/>
          <w:footerReference w:type="default" r:id="rId1508"/>
          <w:headerReference w:type="even" r:id="rId1509"/>
          <w:footerReference w:type="even" r:id="rId1510"/>
          <w:footnotePr>
            <w:pos w:val="pageBottom"/>
            <w:numFmt w:val="decimal"/>
            <w:numRestart w:val="continuous"/>
            <w15:footnoteColumns w:val="1"/>
          </w:footnotePr>
          <w:pgSz w:w="6816" w:h="11006"/>
          <w:pgMar w:top="835" w:left="194" w:right="199" w:bottom="278" w:header="0" w:footer="3" w:gutter="0"/>
          <w:pgNumType w:start="499"/>
          <w:cols w:num="2" w:space="194"/>
          <w:noEndnote/>
          <w:rtlGutter w:val="0"/>
          <w:docGrid w:linePitch="360"/>
        </w:sectPr>
      </w:pPr>
      <w:r>
        <mc:AlternateContent>
          <mc:Choice Requires="wps">
            <w:drawing>
              <wp:anchor distT="50800" distB="254000" distL="114300" distR="114300" simplePos="0" relativeHeight="125829435" behindDoc="0" locked="0" layoutInCell="1" allowOverlap="1">
                <wp:simplePos x="0" y="0"/>
                <wp:positionH relativeFrom="page">
                  <wp:posOffset>4004310</wp:posOffset>
                </wp:positionH>
                <wp:positionV relativeFrom="margin">
                  <wp:posOffset>6212205</wp:posOffset>
                </wp:positionV>
                <wp:extent cx="189230" cy="109855"/>
                <wp:wrapTopAndBottom/>
                <wp:docPr id="3247" name="Shape 3247"/>
                <a:graphic xmlns:a="http://schemas.openxmlformats.org/drawingml/2006/main">
                  <a:graphicData uri="http://schemas.microsoft.com/office/word/2010/wordprocessingShape">
                    <wps:wsp>
                      <wps:cNvSpPr txBox="1"/>
                      <wps:spPr>
                        <a:xfrm>
                          <a:ext cx="18923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aoc</w:t>
                            </w:r>
                          </w:p>
                        </w:txbxContent>
                      </wps:txbx>
                      <wps:bodyPr wrap="none" lIns="0" tIns="0" rIns="0" bIns="0">
                        <a:noAutoFit/>
                      </wps:bodyPr>
                    </wps:wsp>
                  </a:graphicData>
                </a:graphic>
              </wp:anchor>
            </w:drawing>
          </mc:Choice>
          <mc:Fallback>
            <w:pict>
              <v:shape id="_x0000_s4273" type="#_x0000_t202" style="position:absolute;margin-left:315.30000000000001pt;margin-top:489.14999999999998pt;width:14.9pt;height:8.6500000000000004pt;z-index:-125829318;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aoc</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I ne manje važno povijesno-kritičko istraži</w:t>
        <w:softHyphen/>
        <w:t>vanje povijesti nastanka Biblije jasno je poka</w:t>
        <w:softHyphen/>
        <w:t>zalo u novije vrijeme da se Sveto pismo i apos</w:t>
        <w:softHyphen/>
        <w:t xml:space="preserve">tolska tradicija ne mogu promatrati nezavisno jedno od drugoga; oni ne stoje izolirano jedno naspram drugomu nego imaju udjela jedno u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drugome. Svjetska konferencija za vjeru i crkvene zakone u Montrealu (1963) i Dog</w:t>
        <w:softHyphen/>
        <w:t>matska konstitucija o božanskoj objavi Dru</w:t>
        <w:softHyphen/>
        <w:t>goga vatikanskoga koncila (1965) teološki su razradile to razumijevanje i tako pokazale put za prevladavanje spora.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 povijesti vjere i teologije proizlazi da t. nije »riječ suprotna životu« </w:t>
      </w:r>
      <w:r>
        <w:rPr>
          <w:rFonts w:ascii="Times New Roman" w:eastAsia="Times New Roman" w:hAnsi="Times New Roman" w:cs="Times New Roman"/>
          <w:color w:val="000000"/>
          <w:spacing w:val="0"/>
          <w:w w:val="100"/>
          <w:position w:val="0"/>
          <w:shd w:val="clear" w:color="auto" w:fill="auto"/>
          <w:lang w:val="en-US" w:eastAsia="en-US" w:bidi="en-US"/>
        </w:rPr>
        <w:t xml:space="preserve">(W. Kasper). </w:t>
      </w:r>
      <w:r>
        <w:rPr>
          <w:rFonts w:ascii="Times New Roman" w:eastAsia="Times New Roman" w:hAnsi="Times New Roman" w:cs="Times New Roman"/>
          <w:color w:val="000000"/>
          <w:spacing w:val="0"/>
          <w:w w:val="100"/>
          <w:position w:val="0"/>
          <w:shd w:val="clear" w:color="auto" w:fill="auto"/>
          <w:lang w:val="hr-HR" w:eastAsia="hr-HR" w:bidi="hr-HR"/>
        </w:rPr>
        <w:t>Ne radi se o mehaničkoj predaji krutih oblika i for</w:t>
        <w:softHyphen/>
        <w:t>mula nego o životnom procesu u kojem se radi o svjesnom usvajanju, brižnoj refleksiji i uprisutnjenom tumačenju predaje. Ovo zad</w:t>
        <w:softHyphen/>
        <w:t>nje ne treba voditi do čistog prilagodavanja dotičnom duhu vremena nego se mora uvijek iznova usmjeravati na izvorno svjedočenje ob</w:t>
        <w:softHyphen/>
        <w:t xml:space="preserve">jave. Taj izvor ima »oslobađajuću i kritičku snagu« (H. </w:t>
      </w:r>
      <w:r>
        <w:rPr>
          <w:rFonts w:ascii="Times New Roman" w:eastAsia="Times New Roman" w:hAnsi="Times New Roman" w:cs="Times New Roman"/>
          <w:color w:val="000000"/>
          <w:spacing w:val="0"/>
          <w:w w:val="100"/>
          <w:position w:val="0"/>
          <w:shd w:val="clear" w:color="auto" w:fill="auto"/>
          <w:lang w:val="en-US" w:eastAsia="en-US" w:bidi="en-US"/>
        </w:rPr>
        <w:t xml:space="preserve">Fries) </w:t>
      </w:r>
      <w:r>
        <w:rPr>
          <w:rFonts w:ascii="Times New Roman" w:eastAsia="Times New Roman" w:hAnsi="Times New Roman" w:cs="Times New Roman"/>
          <w:color w:val="000000"/>
          <w:spacing w:val="0"/>
          <w:w w:val="100"/>
          <w:position w:val="0"/>
          <w:shd w:val="clear" w:color="auto" w:fill="auto"/>
          <w:lang w:val="hr-HR" w:eastAsia="hr-HR" w:bidi="hr-HR"/>
        </w:rPr>
        <w:t>naspram svih kasnijih obli</w:t>
        <w:softHyphen/>
        <w:t>kovanja tradicije.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T. (predaja) osnovni je pojam kršćan</w:t>
        <w:softHyphen/>
        <w:t>ske teologije. Ona znači predavanje svjedo</w:t>
        <w:softHyphen/>
        <w:t>čanstva o povijesno jedinstvenoj objavi Boga koja je izvor i norma svake predaje. Shvaćena u punom smislu obuhvaća na prvome mjestu Sveto pismo SZ i NZ koje je samo rezultat procesa predaje, a zatim obuhvaća i apostol</w:t>
        <w:softHyphen/>
        <w:t>ske tradicije te kasnije tradicije koje su žive u Crkvi.</w:t>
      </w:r>
    </w:p>
    <w:p>
      <w:pPr>
        <w:pStyle w:val="Style56"/>
        <w:keepNext w:val="0"/>
        <w:keepLines w:val="0"/>
        <w:widowControl w:val="0"/>
        <w:shd w:val="clear" w:color="auto" w:fill="auto"/>
        <w:tabs>
          <w:tab w:pos="2294" w:val="left"/>
        </w:tabs>
        <w:bidi w:val="0"/>
        <w:spacing w:before="0" w:after="240" w:line="240" w:lineRule="auto"/>
        <w:ind w:left="0" w:right="0" w:firstLine="0"/>
        <w:jc w:val="both"/>
      </w:pPr>
      <w:r>
        <w:rPr>
          <w:color w:val="000000"/>
          <w:spacing w:val="0"/>
          <w:w w:val="100"/>
          <w:position w:val="0"/>
          <w:shd w:val="clear" w:color="auto" w:fill="auto"/>
          <w:lang w:val="hr-HR" w:eastAsia="hr-HR" w:bidi="hr-HR"/>
        </w:rPr>
        <w:t xml:space="preserve">Lit.: </w:t>
      </w:r>
      <w:r>
        <w:rPr>
          <w:color w:val="000000"/>
          <w:spacing w:val="0"/>
          <w:w w:val="100"/>
          <w:position w:val="0"/>
          <w:shd w:val="clear" w:color="auto" w:fill="auto"/>
        </w:rPr>
        <w:t xml:space="preserve">Konkordienformcl </w:t>
      </w:r>
      <w:r>
        <w:rPr>
          <w:color w:val="000000"/>
          <w:spacing w:val="0"/>
          <w:w w:val="100"/>
          <w:position w:val="0"/>
          <w:shd w:val="clear" w:color="auto" w:fill="auto"/>
          <w:lang w:val="hr-HR" w:eastAsia="hr-HR" w:bidi="hr-HR"/>
        </w:rPr>
        <w:t xml:space="preserve">(Von dem summarischcn Bcgriff, Rcgcl und Richtschnur...), u: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Bekenntnisscftriften der evangetisch-tuiherisehen </w:t>
      </w:r>
      <w:r>
        <w:rPr>
          <w:i/>
          <w:iCs/>
          <w:color w:val="000000"/>
          <w:spacing w:val="0"/>
          <w:w w:val="100"/>
          <w:position w:val="0"/>
          <w:shd w:val="clear" w:color="auto" w:fill="auto"/>
        </w:rPr>
        <w:t>Kirche,</w:t>
      </w:r>
      <w:r>
        <w:rPr>
          <w:color w:val="000000"/>
          <w:spacing w:val="0"/>
          <w:w w:val="100"/>
          <w:position w:val="0"/>
          <w:shd w:val="clear" w:color="auto" w:fill="auto"/>
        </w:rPr>
        <w:t xml:space="preserve"> Gottingen </w:t>
      </w:r>
      <w:r>
        <w:rPr>
          <w:color w:val="000000"/>
          <w:spacing w:val="0"/>
          <w:w w:val="100"/>
          <w:position w:val="0"/>
          <w:shd w:val="clear" w:color="auto" w:fill="auto"/>
          <w:vertAlign w:val="superscript"/>
          <w:lang w:val="hr-HR" w:eastAsia="hr-HR" w:bidi="hr-HR"/>
        </w:rPr>
        <w:t>ć</w:t>
      </w:r>
      <w:r>
        <w:rPr>
          <w:color w:val="000000"/>
          <w:spacing w:val="0"/>
          <w:w w:val="100"/>
          <w:position w:val="0"/>
          <w:shd w:val="clear" w:color="auto" w:fill="auto"/>
          <w:lang w:val="hr-HR" w:eastAsia="hr-HR" w:bidi="hr-HR"/>
        </w:rPr>
        <w:t xml:space="preserve">1967, 767-769, 833-839; </w:t>
      </w:r>
      <w:r>
        <w:rPr>
          <w:color w:val="000000"/>
          <w:spacing w:val="0"/>
          <w:w w:val="100"/>
          <w:position w:val="0"/>
          <w:shd w:val="clear" w:color="auto" w:fill="auto"/>
        </w:rPr>
        <w:t xml:space="preserve">Dogmatischc </w:t>
      </w:r>
      <w:r>
        <w:rPr>
          <w:color w:val="000000"/>
          <w:spacing w:val="0"/>
          <w:w w:val="100"/>
          <w:position w:val="0"/>
          <w:shd w:val="clear" w:color="auto" w:fill="auto"/>
          <w:lang w:val="hr-HR" w:eastAsia="hr-HR" w:bidi="hr-HR"/>
        </w:rPr>
        <w:t xml:space="preserve">Konstitution iiber </w:t>
      </w:r>
      <w:r>
        <w:rPr>
          <w:color w:val="000000"/>
          <w:spacing w:val="0"/>
          <w:w w:val="100"/>
          <w:position w:val="0"/>
          <w:shd w:val="clear" w:color="auto" w:fill="auto"/>
        </w:rPr>
        <w:t xml:space="preserve">die </w:t>
      </w:r>
      <w:r>
        <w:rPr>
          <w:color w:val="000000"/>
          <w:spacing w:val="0"/>
          <w:w w:val="100"/>
          <w:position w:val="0"/>
          <w:shd w:val="clear" w:color="auto" w:fill="auto"/>
          <w:lang w:val="hr-HR" w:eastAsia="hr-HR" w:bidi="hr-HR"/>
        </w:rPr>
        <w:t xml:space="preserve">gdttlichc Of- fenbarung »Dci Vcrbum«, u: </w:t>
      </w:r>
      <w:r>
        <w:rPr>
          <w:i/>
          <w:iCs/>
          <w:color w:val="000000"/>
          <w:spacing w:val="0"/>
          <w:w w:val="100"/>
          <w:position w:val="0"/>
          <w:shd w:val="clear" w:color="auto" w:fill="auto"/>
          <w:lang w:val="hr-HR" w:eastAsia="hr-HR" w:bidi="hr-HR"/>
        </w:rPr>
        <w:t>Lerikon fur Theologie und Kirche: Das 7.weite Valikanische Koridi,</w:t>
      </w:r>
      <w:r>
        <w:rPr>
          <w:color w:val="000000"/>
          <w:spacing w:val="0"/>
          <w:w w:val="100"/>
          <w:position w:val="0"/>
          <w:shd w:val="clear" w:color="auto" w:fill="auto"/>
          <w:lang w:val="hr-HR" w:eastAsia="hr-HR" w:bidi="hr-HR"/>
        </w:rPr>
        <w:t xml:space="preserve"> Tcil II, Fruihurg/ Bascl/Wicn 1967, 497-583; G. </w:t>
      </w:r>
      <w:r>
        <w:rPr>
          <w:color w:val="000000"/>
          <w:spacing w:val="0"/>
          <w:w w:val="100"/>
          <w:position w:val="0"/>
          <w:shd w:val="clear" w:color="auto" w:fill="auto"/>
        </w:rPr>
        <w:t xml:space="preserve">Ebeling, </w:t>
      </w:r>
      <w:r>
        <w:rPr>
          <w:i/>
          <w:iCs/>
          <w:color w:val="000000"/>
          <w:spacing w:val="0"/>
          <w:w w:val="100"/>
          <w:position w:val="0"/>
          <w:shd w:val="clear" w:color="auto" w:fill="auto"/>
        </w:rPr>
        <w:t xml:space="preserve">Gottes </w:t>
      </w:r>
      <w:r>
        <w:rPr>
          <w:i/>
          <w:iCs/>
          <w:color w:val="000000"/>
          <w:spacing w:val="0"/>
          <w:w w:val="100"/>
          <w:position w:val="0"/>
          <w:shd w:val="clear" w:color="auto" w:fill="auto"/>
          <w:lang w:val="hr-HR" w:eastAsia="hr-HR" w:bidi="hr-HR"/>
        </w:rPr>
        <w:t xml:space="preserve">und </w:t>
      </w:r>
      <w:r>
        <w:rPr>
          <w:i/>
          <w:iCs/>
          <w:color w:val="000000"/>
          <w:spacing w:val="0"/>
          <w:w w:val="100"/>
          <w:position w:val="0"/>
          <w:shd w:val="clear" w:color="auto" w:fill="auto"/>
        </w:rPr>
        <w:t>Tradition,</w:t>
      </w:r>
      <w:r>
        <w:rPr>
          <w:color w:val="000000"/>
          <w:spacing w:val="0"/>
          <w:w w:val="100"/>
          <w:position w:val="0"/>
          <w:shd w:val="clear" w:color="auto" w:fill="auto"/>
        </w:rPr>
        <w:t xml:space="preserve"> Gottingen 1964; P. Lcngsfcld, </w:t>
      </w:r>
      <w:r>
        <w:rPr>
          <w:i/>
          <w:iCs/>
          <w:color w:val="000000"/>
          <w:spacing w:val="0"/>
          <w:w w:val="100"/>
          <w:position w:val="0"/>
          <w:shd w:val="clear" w:color="auto" w:fill="auto"/>
        </w:rPr>
        <w:t>Ubtrlieferung, Tra</w:t>
        <w:softHyphen/>
        <w:t>dition und Schrift in der evangflischen und kaihoiischen Theologie der G egenwart,</w:t>
      </w:r>
      <w:r>
        <w:rPr>
          <w:color w:val="000000"/>
          <w:spacing w:val="0"/>
          <w:w w:val="100"/>
          <w:position w:val="0"/>
          <w:shd w:val="clear" w:color="auto" w:fill="auto"/>
        </w:rPr>
        <w:t xml:space="preserve"> Paderborn i960, - Usp. </w:t>
      </w:r>
      <w:r>
        <w:rPr>
          <w:color w:val="000000"/>
          <w:spacing w:val="0"/>
          <w:w w:val="100"/>
          <w:position w:val="0"/>
          <w:shd w:val="clear" w:color="auto" w:fill="auto"/>
          <w:lang w:val="hr-HR" w:eastAsia="hr-HR" w:bidi="hr-HR"/>
        </w:rPr>
        <w:t>priruč</w:t>
        <w:softHyphen/>
        <w:t xml:space="preserve">nike iz fundamentalne teologije: 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1985, 439-442; </w:t>
      </w:r>
      <w:r>
        <w:rPr>
          <w:color w:val="000000"/>
          <w:spacing w:val="0"/>
          <w:w w:val="100"/>
          <w:position w:val="0"/>
          <w:shd w:val="clear" w:color="auto" w:fill="auto"/>
        </w:rPr>
        <w:t xml:space="preserve">W. Joest, 1974, 148-174; P. Knaucr. </w:t>
      </w:r>
      <w:r>
        <w:rPr>
          <w:color w:val="000000"/>
          <w:spacing w:val="0"/>
          <w:w w:val="100"/>
          <w:position w:val="0"/>
          <w:shd w:val="clear" w:color="auto" w:fill="auto"/>
          <w:vertAlign w:val="superscript"/>
        </w:rPr>
        <w:t>$</w:t>
      </w:r>
      <w:r>
        <w:rPr>
          <w:color w:val="000000"/>
          <w:spacing w:val="0"/>
          <w:w w:val="100"/>
          <w:position w:val="0"/>
          <w:shd w:val="clear" w:color="auto" w:fill="auto"/>
        </w:rPr>
        <w:t>1986, 231-240; H. Waldenfcls, 1985,437-488.</w:t>
        <w:tab/>
        <w:t>f. insi-.NKOPF</w:t>
      </w:r>
    </w:p>
    <w:p>
      <w:pPr>
        <w:pStyle w:val="Style63"/>
        <w:keepNext/>
        <w:keepLines/>
        <w:widowControl w:val="0"/>
        <w:numPr>
          <w:ilvl w:val="0"/>
          <w:numId w:val="583"/>
        </w:numPr>
        <w:shd w:val="clear" w:color="auto" w:fill="auto"/>
        <w:tabs>
          <w:tab w:pos="265" w:val="left"/>
        </w:tabs>
        <w:bidi w:val="0"/>
        <w:spacing w:before="0" w:line="223" w:lineRule="auto"/>
        <w:ind w:left="0" w:right="0" w:firstLine="0"/>
        <w:jc w:val="both"/>
      </w:pPr>
      <w:bookmarkStart w:id="373" w:name="bookmark373"/>
      <w:r>
        <w:rPr>
          <w:rFonts w:ascii="Times New Roman" w:eastAsia="Times New Roman" w:hAnsi="Times New Roman" w:cs="Times New Roman"/>
          <w:color w:val="000000"/>
          <w:spacing w:val="0"/>
          <w:w w:val="100"/>
          <w:position w:val="0"/>
          <w:shd w:val="clear" w:color="auto" w:fill="auto"/>
          <w:lang w:val="hr-HR" w:eastAsia="hr-HR" w:bidi="hr-HR"/>
        </w:rPr>
        <w:t>islamski</w:t>
      </w:r>
      <w:bookmarkEnd w:id="37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Pod </w:t>
      </w:r>
      <w:r>
        <w:rPr>
          <w:rFonts w:ascii="Times New Roman" w:eastAsia="Times New Roman" w:hAnsi="Times New Roman" w:cs="Times New Roman"/>
          <w:color w:val="000000"/>
          <w:spacing w:val="0"/>
          <w:w w:val="100"/>
          <w:position w:val="0"/>
          <w:shd w:val="clear" w:color="auto" w:fill="auto"/>
          <w:lang w:val="hr-HR" w:eastAsia="hr-HR" w:bidi="hr-HR"/>
        </w:rPr>
        <w:t>tradicijom se u islamu podrazumijevaju nekuranske Muhamedove izjave kao i izvješća o njegovim djelima, ponašanju i prešutnim odobravanjima. Ova zadnja nužno uključuju arapsku svakodnevicu kakva se u Muhame- dovo doba odvijala u njegovom životnom oko</w:t>
        <w:softHyphen/>
        <w:t>lišu. Time je ta t. u svojoj fundamentalnoj po</w:t>
        <w:softHyphen/>
        <w:t>stavci arapska. Sukladno tomu, čisto islamskim mogli bi se smatrati samo oni od njezinih ele</w:t>
        <w:softHyphen/>
        <w:t>menata koji pripadaju Muhamcdovom vlasti</w:t>
        <w:softHyphen/>
        <w:t>tom načinu života ili koji su utemeljeni u nje</w:t>
        <w:softHyphen/>
        <w:t>govim verbalnim izjavama. Ukupnost islam</w:t>
        <w:softHyphen/>
      </w:r>
      <w:r>
        <w:rPr>
          <w:rFonts w:ascii="Times New Roman" w:eastAsia="Times New Roman" w:hAnsi="Times New Roman" w:cs="Times New Roman"/>
          <w:color w:val="000000"/>
          <w:spacing w:val="0"/>
          <w:w w:val="100"/>
          <w:position w:val="0"/>
          <w:shd w:val="clear" w:color="auto" w:fill="auto"/>
          <w:lang w:val="hr-HR" w:eastAsia="hr-HR" w:bidi="hr-HR"/>
        </w:rPr>
        <w:t>ske tradicije zove se —».runa (hrvatski: običaj). Usmeno iznesena ili zapisana pojedinačna iz</w:t>
        <w:softHyphen/>
        <w:t>vješća o vjerovjesniku i njegovoj osobnoj po</w:t>
        <w:softHyphen/>
        <w:t>vijesti, ali i izreke koje mu se pripisuju, nosile su naziv -»</w:t>
      </w:r>
      <w:r>
        <w:rPr>
          <w:rFonts w:ascii="Times New Roman" w:eastAsia="Times New Roman" w:hAnsi="Times New Roman" w:cs="Times New Roman"/>
          <w:i/>
          <w:iCs/>
          <w:color w:val="000000"/>
          <w:spacing w:val="0"/>
          <w:w w:val="100"/>
          <w:position w:val="0"/>
          <w:shd w:val="clear" w:color="auto" w:fill="auto"/>
          <w:lang w:val="hr-HR" w:eastAsia="hr-HR" w:bidi="hr-HR"/>
        </w:rPr>
        <w:t>hadis</w:t>
      </w:r>
      <w:r>
        <w:rPr>
          <w:rFonts w:ascii="Times New Roman" w:eastAsia="Times New Roman" w:hAnsi="Times New Roman" w:cs="Times New Roman"/>
          <w:color w:val="000000"/>
          <w:spacing w:val="0"/>
          <w:w w:val="100"/>
          <w:position w:val="0"/>
          <w:shd w:val="clear" w:color="auto" w:fill="auto"/>
          <w:lang w:val="hr-HR" w:eastAsia="hr-HR" w:bidi="hr-HR"/>
        </w:rPr>
        <w:t xml:space="preserve"> (događaj, zgoda).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Postoje čisti, dvojbeni, jednim jedinim svjedo</w:t>
        <w:softHyphen/>
        <w:t xml:space="preserve">kom preneseni i time nepouzdani, zatim slabi i nedvosmisleno apokrifni hadisi. Njihovom se kritikom bavi posebna znanost, T7m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al-hađith. </w:t>
      </w:r>
      <w:r>
        <w:rPr>
          <w:rFonts w:ascii="Times New Roman" w:eastAsia="Times New Roman" w:hAnsi="Times New Roman" w:cs="Times New Roman"/>
          <w:color w:val="000000"/>
          <w:spacing w:val="0"/>
          <w:w w:val="100"/>
          <w:position w:val="0"/>
          <w:shd w:val="clear" w:color="auto" w:fill="auto"/>
          <w:lang w:val="hr-HR" w:eastAsia="hr-HR" w:bidi="hr-HR"/>
        </w:rPr>
        <w:t>Islamski učenjaci nisu posvećivali nikakvu do</w:t>
        <w:softHyphen/>
        <w:t>statnu pozornost kritici teksta. To je područje do tada bilo rezervirano za zapadne učenjake. Glavno nastojanje sakupljača hadisa prve i druge generacije nakon Muhameda bilo je otkrivanje neprekidnog lanca predaje koju no</w:t>
        <w:softHyphen/>
        <w:t>si jedan hadis i provjeravanje pouzdanosti po</w:t>
        <w:softHyphen/>
        <w:t xml:space="preserve">jedinih prenositelja predaje. Primjenjujući te kriterije nastale su zbirke hadisa koje uživaju kanonski ugled. Dvije najvažnije od tih zbirki jesu </w:t>
      </w:r>
      <w:r>
        <w:rPr>
          <w:rFonts w:ascii="Times New Roman" w:eastAsia="Times New Roman" w:hAnsi="Times New Roman" w:cs="Times New Roman"/>
          <w:i/>
          <w:iCs/>
          <w:color w:val="000000"/>
          <w:spacing w:val="0"/>
          <w:w w:val="100"/>
          <w:position w:val="0"/>
          <w:shd w:val="clear" w:color="auto" w:fill="auto"/>
          <w:lang w:val="hr-HR" w:eastAsia="hr-HR" w:bidi="hr-HR"/>
        </w:rPr>
        <w:t>al-Buharijeva</w:t>
      </w:r>
      <w:r>
        <w:rPr>
          <w:rFonts w:ascii="Times New Roman" w:eastAsia="Times New Roman" w:hAnsi="Times New Roman" w:cs="Times New Roman"/>
          <w:color w:val="000000"/>
          <w:spacing w:val="0"/>
          <w:w w:val="100"/>
          <w:position w:val="0"/>
          <w:shd w:val="clear" w:color="auto" w:fill="auto"/>
          <w:lang w:val="hr-HR" w:eastAsia="hr-HR" w:bidi="hr-HR"/>
        </w:rPr>
        <w:t xml:space="preserve"> (u. 670) i </w:t>
      </w:r>
      <w:r>
        <w:rPr>
          <w:rFonts w:ascii="Times New Roman" w:eastAsia="Times New Roman" w:hAnsi="Times New Roman" w:cs="Times New Roman"/>
          <w:i/>
          <w:iCs/>
          <w:color w:val="000000"/>
          <w:spacing w:val="0"/>
          <w:w w:val="100"/>
          <w:position w:val="0"/>
          <w:shd w:val="clear" w:color="auto" w:fill="auto"/>
          <w:lang w:val="en-US" w:eastAsia="en-US" w:bidi="en-US"/>
        </w:rPr>
        <w:t>Muslimova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875). One su poznate pod zajedničkom ozna</w:t>
        <w:softHyphen/>
        <w:t xml:space="preserve">kom </w:t>
      </w:r>
      <w:r>
        <w:rPr>
          <w:rFonts w:ascii="Times New Roman" w:eastAsia="Times New Roman" w:hAnsi="Times New Roman" w:cs="Times New Roman"/>
          <w:i/>
          <w:iCs/>
          <w:color w:val="000000"/>
          <w:spacing w:val="0"/>
          <w:w w:val="100"/>
          <w:position w:val="0"/>
          <w:shd w:val="clear" w:color="auto" w:fill="auto"/>
          <w:lang w:val="en-US" w:eastAsia="en-US" w:bidi="en-US"/>
        </w:rPr>
        <w:t>Sahlhayn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(tj. »obje zbirke čistih hadisa«). Njihova je obvezatna vrijednost u praksi jed</w:t>
        <w:softHyphen/>
        <w:t>naka vrijednosti Kurana. Ekstremni tradicio</w:t>
        <w:softHyphen/>
        <w:t xml:space="preserve">nalisti </w:t>
      </w:r>
      <w:r>
        <w:rPr>
          <w:rFonts w:ascii="Times New Roman" w:eastAsia="Times New Roman" w:hAnsi="Times New Roman" w:cs="Times New Roman"/>
          <w:i/>
          <w:iCs/>
          <w:color w:val="000000"/>
          <w:spacing w:val="0"/>
          <w:w w:val="100"/>
          <w:position w:val="0"/>
          <w:shd w:val="clear" w:color="auto" w:fill="auto"/>
          <w:lang w:val="hr-HR" w:eastAsia="hr-HR" w:bidi="hr-HR"/>
        </w:rPr>
        <w:t>(ahl al-hađith')</w:t>
      </w:r>
      <w:r>
        <w:rPr>
          <w:rFonts w:ascii="Times New Roman" w:eastAsia="Times New Roman" w:hAnsi="Times New Roman" w:cs="Times New Roman"/>
          <w:color w:val="000000"/>
          <w:spacing w:val="0"/>
          <w:w w:val="100"/>
          <w:position w:val="0"/>
          <w:shd w:val="clear" w:color="auto" w:fill="auto"/>
          <w:lang w:val="hr-HR" w:eastAsia="hr-HR" w:bidi="hr-HR"/>
        </w:rPr>
        <w:t xml:space="preserve"> pripisuju </w:t>
      </w:r>
      <w:r>
        <w:rPr>
          <w:rFonts w:ascii="Times New Roman" w:eastAsia="Times New Roman" w:hAnsi="Times New Roman" w:cs="Times New Roman"/>
          <w:i/>
          <w:iCs/>
          <w:color w:val="000000"/>
          <w:spacing w:val="0"/>
          <w:w w:val="100"/>
          <w:position w:val="0"/>
          <w:shd w:val="clear" w:color="auto" w:fill="auto"/>
          <w:lang w:val="hr-HR" w:eastAsia="hr-HR" w:bidi="hr-HR"/>
        </w:rPr>
        <w:t>suni</w:t>
      </w:r>
      <w:r>
        <w:rPr>
          <w:rFonts w:ascii="Times New Roman" w:eastAsia="Times New Roman" w:hAnsi="Times New Roman" w:cs="Times New Roman"/>
          <w:color w:val="000000"/>
          <w:spacing w:val="0"/>
          <w:w w:val="100"/>
          <w:position w:val="0"/>
          <w:shd w:val="clear" w:color="auto" w:fill="auto"/>
          <w:lang w:val="hr-HR" w:eastAsia="hr-HR" w:bidi="hr-HR"/>
        </w:rPr>
        <w:t xml:space="preserve"> čak i teo</w:t>
        <w:softHyphen/>
        <w:t>rijski kvalitetu božanske inspiracije (wahy). Time se briše razlika između Kurana i tradi</w:t>
        <w:softHyphen/>
        <w:t>cije. Ovdje se javlja središnji problem razu</w:t>
        <w:softHyphen/>
        <w:t>mijevanja vjere, o kojemu uvelike ovisi sudbi</w:t>
        <w:softHyphen/>
        <w:t>na muslimanskog aggiornamenta. Naime, ne</w:t>
        <w:softHyphen/>
        <w:t>diferencirano pristajanje uz tradiciju znači pod</w:t>
        <w:softHyphen/>
        <w:t>vrći se diktatu povijesti i beduinsko-arapskom načinu života.</w:t>
      </w:r>
    </w:p>
    <w:p>
      <w:pPr>
        <w:pStyle w:val="Style20"/>
        <w:keepNext w:val="0"/>
        <w:keepLines w:val="0"/>
        <w:widowControl w:val="0"/>
        <w:shd w:val="clear" w:color="auto" w:fill="auto"/>
        <w:bidi w:val="0"/>
        <w:spacing w:before="0" w:after="0"/>
        <w:ind w:left="0" w:right="0" w:firstLine="0"/>
        <w:jc w:val="both"/>
        <w:sectPr>
          <w:headerReference w:type="default" r:id="rId1511"/>
          <w:footerReference w:type="default" r:id="rId1512"/>
          <w:headerReference w:type="even" r:id="rId1513"/>
          <w:footerReference w:type="even" r:id="rId1514"/>
          <w:footnotePr>
            <w:pos w:val="pageBottom"/>
            <w:numFmt w:val="decimal"/>
            <w:numRestart w:val="continuous"/>
            <w15:footnoteColumns w:val="1"/>
          </w:footnotePr>
          <w:pgSz w:w="6816" w:h="11006"/>
          <w:pgMar w:top="835" w:left="194" w:right="199" w:bottom="278" w:header="0" w:footer="3" w:gutter="0"/>
          <w:pgNumType w:start="496"/>
          <w:cols w:num="2" w:space="19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Kuranu se ne nalazi nikakav direktan od</w:t>
        <w:softHyphen/>
        <w:t xml:space="preserve">nos na </w:t>
      </w:r>
      <w:r>
        <w:rPr>
          <w:rFonts w:ascii="Times New Roman" w:eastAsia="Times New Roman" w:hAnsi="Times New Roman" w:cs="Times New Roman"/>
          <w:i/>
          <w:iCs/>
          <w:color w:val="000000"/>
          <w:spacing w:val="0"/>
          <w:w w:val="100"/>
          <w:position w:val="0"/>
          <w:shd w:val="clear" w:color="auto" w:fill="auto"/>
          <w:lang w:val="hr-HR" w:eastAsia="hr-HR" w:bidi="hr-HR"/>
        </w:rPr>
        <w:t>sunu.</w:t>
      </w:r>
      <w:r>
        <w:rPr>
          <w:rFonts w:ascii="Times New Roman" w:eastAsia="Times New Roman" w:hAnsi="Times New Roman" w:cs="Times New Roman"/>
          <w:color w:val="000000"/>
          <w:spacing w:val="0"/>
          <w:w w:val="100"/>
          <w:position w:val="0"/>
          <w:shd w:val="clear" w:color="auto" w:fill="auto"/>
          <w:lang w:val="hr-HR" w:eastAsia="hr-HR" w:bidi="hr-HR"/>
        </w:rPr>
        <w:t xml:space="preserve"> U njemu se u smislu tradicije ne spominju niti ona niti hadis. Kuran se, napro</w:t>
        <w:softHyphen/>
        <w:t>tiv, izričito očituje protiv pozivanja na pret</w:t>
        <w:softHyphen/>
        <w:t>hodnike i njihova djela, što je za sunu vrlo ka</w:t>
        <w:softHyphen/>
        <w:t>rakteristično. Fiksizam i arhaizam predstav</w:t>
        <w:softHyphen/>
        <w:t>ljaju za njega sile koje unaprijed onemoguća</w:t>
        <w:softHyphen/>
        <w:t>vaju živu vjeru. Teološka motivacija sune kao drugoga izvora islamskoga nauka leži u nekim stihovima iz Kurana u kojima se vjernici pozi</w:t>
        <w:softHyphen/>
        <w:t>vaju da iskažu poslušnost i poštovanje Božjem poslaniku. Kao konstitutivni motiv sune tako</w:t>
        <w:softHyphen/>
        <w:t>đer se koristi jedan stih koji Muhamed smatra »lijepim uzorom«. Povrh toga, Muhamed je u svom govoru hodočasnicima u Meki prigo</w:t>
        <w:softHyphen/>
        <w:t>dom svoga zadnjega hodočašća, tzv. »hodo</w:t>
        <w:softHyphen/>
        <w:t>čašća oproštaja«, ostavio oporuku da se nakon njegove smrti služe s dva sredstva za orijenta</w:t>
        <w:softHyphen/>
        <w:t xml:space="preserve">ciju: Kuranom i njegovim primjerom, kako bi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ostali sačuvani od zabluda. U novijem istraži</w:t>
        <w:softHyphen/>
        <w:t>vanju islama iskazana je sumnja da je Mu</w:t>
        <w:softHyphen/>
        <w:t>hamed prilikom svoga zadnjega hodočašća 10. godine hidžre pored Kurana preporučio po</w:t>
        <w:softHyphen/>
        <w:t xml:space="preserve">tomstvu i </w:t>
      </w:r>
      <w:r>
        <w:rPr>
          <w:rFonts w:ascii="Times New Roman" w:eastAsia="Times New Roman" w:hAnsi="Times New Roman" w:cs="Times New Roman"/>
          <w:i/>
          <w:iCs/>
          <w:color w:val="000000"/>
          <w:spacing w:val="0"/>
          <w:w w:val="100"/>
          <w:position w:val="0"/>
          <w:shd w:val="clear" w:color="auto" w:fill="auto"/>
          <w:lang w:val="hr-HR" w:eastAsia="hr-HR" w:bidi="hr-HR"/>
        </w:rPr>
        <w:t>sunu</w:t>
      </w:r>
      <w:r>
        <w:rPr>
          <w:rFonts w:ascii="Times New Roman" w:eastAsia="Times New Roman" w:hAnsi="Times New Roman" w:cs="Times New Roman"/>
          <w:color w:val="000000"/>
          <w:spacing w:val="0"/>
          <w:w w:val="100"/>
          <w:position w:val="0"/>
          <w:shd w:val="clear" w:color="auto" w:fill="auto"/>
          <w:lang w:val="hr-HR" w:eastAsia="hr-HR" w:bidi="hr-HR"/>
        </w:rPr>
        <w:t xml:space="preserve"> (tradiciju) kao najvišu smjerni</w:t>
        <w:softHyphen/>
        <w:t xml:space="preserve">cu islama (v. </w:t>
      </w:r>
      <w:r>
        <w:rPr>
          <w:rFonts w:ascii="Times New Roman" w:eastAsia="Times New Roman" w:hAnsi="Times New Roman" w:cs="Times New Roman"/>
          <w:color w:val="000000"/>
          <w:spacing w:val="0"/>
          <w:w w:val="100"/>
          <w:position w:val="0"/>
          <w:shd w:val="clear" w:color="auto" w:fill="auto"/>
          <w:lang w:val="en-US" w:eastAsia="en-US" w:bidi="en-US"/>
        </w:rPr>
        <w:t xml:space="preserve">Fazlur Rahman, </w:t>
      </w:r>
      <w:r>
        <w:rPr>
          <w:rFonts w:ascii="Times New Roman" w:eastAsia="Times New Roman" w:hAnsi="Times New Roman" w:cs="Times New Roman"/>
          <w:i/>
          <w:iCs/>
          <w:color w:val="000000"/>
          <w:spacing w:val="0"/>
          <w:w w:val="100"/>
          <w:position w:val="0"/>
          <w:shd w:val="clear" w:color="auto" w:fill="auto"/>
          <w:lang w:val="hr-HR" w:eastAsia="hr-HR" w:bidi="hr-HR"/>
        </w:rPr>
        <w:t>Islam,</w:t>
      </w:r>
      <w:r>
        <w:rPr>
          <w:rFonts w:ascii="Times New Roman" w:eastAsia="Times New Roman" w:hAnsi="Times New Roman" w:cs="Times New Roman"/>
          <w:color w:val="000000"/>
          <w:spacing w:val="0"/>
          <w:w w:val="100"/>
          <w:position w:val="0"/>
          <w:shd w:val="clear" w:color="auto" w:fill="auto"/>
          <w:lang w:val="hr-HR" w:eastAsia="hr-HR" w:bidi="hr-HR"/>
        </w:rPr>
        <w:t xml:space="preserve"> Istambul 1981, 52-83; isti,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Islam </w:t>
      </w:r>
      <w:r>
        <w:rPr>
          <w:rFonts w:ascii="Times New Roman" w:eastAsia="Times New Roman" w:hAnsi="Times New Roman" w:cs="Times New Roman"/>
          <w:i/>
          <w:iCs/>
          <w:color w:val="000000"/>
          <w:spacing w:val="0"/>
          <w:w w:val="100"/>
          <w:position w:val="0"/>
          <w:shd w:val="clear" w:color="auto" w:fill="auto"/>
          <w:lang w:val="en-US" w:eastAsia="en-US" w:bidi="en-US"/>
        </w:rPr>
        <w:t>and modernity,</w:t>
      </w:r>
      <w:r>
        <w:rPr>
          <w:rFonts w:ascii="Times New Roman" w:eastAsia="Times New Roman" w:hAnsi="Times New Roman" w:cs="Times New Roman"/>
          <w:color w:val="000000"/>
          <w:spacing w:val="0"/>
          <w:w w:val="100"/>
          <w:position w:val="0"/>
          <w:shd w:val="clear" w:color="auto" w:fill="auto"/>
          <w:lang w:val="en-US" w:eastAsia="en-US" w:bidi="en-US"/>
        </w:rPr>
        <w:t xml:space="preserve"> Chi- cago/London </w:t>
      </w:r>
      <w:r>
        <w:rPr>
          <w:rFonts w:ascii="Times New Roman" w:eastAsia="Times New Roman" w:hAnsi="Times New Roman" w:cs="Times New Roman"/>
          <w:color w:val="000000"/>
          <w:spacing w:val="0"/>
          <w:w w:val="100"/>
          <w:position w:val="0"/>
          <w:shd w:val="clear" w:color="auto" w:fill="auto"/>
          <w:lang w:val="hr-HR" w:eastAsia="hr-HR" w:bidi="hr-HR"/>
        </w:rPr>
        <w:t>1982). Europska je islamologija gotovo čitavo jedno stoljeće (od sredine XIX. do sredine XX. stoljeća) vjerovala da posje</w:t>
        <w:softHyphen/>
        <w:t>duje dokaze za nečistoću većine postojećih hadisa. Ona je pošla od pretpostavke da su al-Buhari i drugi sakupljači crpili svoj materi</w:t>
        <w:softHyphen/>
        <w:t xml:space="preserve">jal iz usmene predaje, no da je ona pokušana biti opjevana i krivotvorena. </w:t>
      </w:r>
      <w:r>
        <w:rPr>
          <w:rFonts w:ascii="Times New Roman" w:eastAsia="Times New Roman" w:hAnsi="Times New Roman" w:cs="Times New Roman"/>
          <w:color w:val="000000"/>
          <w:spacing w:val="0"/>
          <w:w w:val="100"/>
          <w:position w:val="0"/>
          <w:shd w:val="clear" w:color="auto" w:fill="auto"/>
          <w:lang w:val="en-US" w:eastAsia="en-US" w:bidi="en-US"/>
        </w:rPr>
        <w:t xml:space="preserve">Ignaz </w:t>
      </w:r>
      <w:r>
        <w:rPr>
          <w:rFonts w:ascii="Times New Roman" w:eastAsia="Times New Roman" w:hAnsi="Times New Roman" w:cs="Times New Roman"/>
          <w:color w:val="000000"/>
          <w:spacing w:val="0"/>
          <w:w w:val="100"/>
          <w:position w:val="0"/>
          <w:shd w:val="clear" w:color="auto" w:fill="auto"/>
          <w:lang w:val="hr-HR" w:eastAsia="hr-HR" w:bidi="hr-HR"/>
        </w:rPr>
        <w:t>Goldzihcr, protagonist ove teze, primjećuje: »Sada se ubrzo ispostavlja da je svako mišljenje, svaka strana, svaki predstavnik bilo kojega naučnog mišlje</w:t>
        <w:softHyphen/>
        <w:t>nja davao svojoj tvrdnji tu formu i da, suklad</w:t>
        <w:softHyphen/>
        <w:t xml:space="preserve">no tomu, najproturječnija učenja nose ruho te potvrde« (prema </w:t>
      </w:r>
      <w:r>
        <w:rPr>
          <w:rFonts w:ascii="Times New Roman" w:eastAsia="Times New Roman" w:hAnsi="Times New Roman" w:cs="Times New Roman"/>
          <w:color w:val="000000"/>
          <w:spacing w:val="0"/>
          <w:w w:val="100"/>
          <w:position w:val="0"/>
          <w:shd w:val="clear" w:color="auto" w:fill="auto"/>
          <w:lang w:val="en-US" w:eastAsia="en-US" w:bidi="en-US"/>
        </w:rPr>
        <w:t xml:space="preserve">Montgomery W. Watt/Alfrcd </w:t>
      </w:r>
      <w:r>
        <w:rPr>
          <w:rFonts w:ascii="Times New Roman" w:eastAsia="Times New Roman" w:hAnsi="Times New Roman" w:cs="Times New Roman"/>
          <w:color w:val="000000"/>
          <w:spacing w:val="0"/>
          <w:w w:val="100"/>
          <w:position w:val="0"/>
          <w:shd w:val="clear" w:color="auto" w:fill="auto"/>
          <w:lang w:val="hr-HR" w:eastAsia="hr-HR" w:bidi="hr-HR"/>
        </w:rPr>
        <w:t xml:space="preserve">T. </w:t>
      </w:r>
      <w:r>
        <w:rPr>
          <w:rFonts w:ascii="Times New Roman" w:eastAsia="Times New Roman" w:hAnsi="Times New Roman" w:cs="Times New Roman"/>
          <w:color w:val="000000"/>
          <w:spacing w:val="0"/>
          <w:w w:val="100"/>
          <w:position w:val="0"/>
          <w:shd w:val="clear" w:color="auto" w:fill="auto"/>
          <w:lang w:val="en-US" w:eastAsia="en-US" w:bidi="en-US"/>
        </w:rPr>
        <w:t xml:space="preserve">Welch, </w:t>
      </w:r>
      <w:r>
        <w:rPr>
          <w:rFonts w:ascii="Times New Roman" w:eastAsia="Times New Roman" w:hAnsi="Times New Roman" w:cs="Times New Roman"/>
          <w:i/>
          <w:iCs/>
          <w:color w:val="000000"/>
          <w:spacing w:val="0"/>
          <w:w w:val="100"/>
          <w:position w:val="0"/>
          <w:shd w:val="clear" w:color="auto" w:fill="auto"/>
          <w:lang w:val="hr-HR" w:eastAsia="hr-HR" w:bidi="hr-HR"/>
        </w:rPr>
        <w:t>Der Islam,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I, Stuttgart </w:t>
      </w:r>
      <w:r>
        <w:rPr>
          <w:rFonts w:ascii="Times New Roman" w:eastAsia="Times New Roman" w:hAnsi="Times New Roman" w:cs="Times New Roman"/>
          <w:color w:val="000000"/>
          <w:spacing w:val="0"/>
          <w:w w:val="100"/>
          <w:position w:val="0"/>
          <w:shd w:val="clear" w:color="auto" w:fill="auto"/>
          <w:lang w:val="hr-HR" w:eastAsia="hr-HR" w:bidi="hr-HR"/>
        </w:rPr>
        <w:t xml:space="preserve">1980, 237-8). </w:t>
      </w:r>
      <w:r>
        <w:rPr>
          <w:rFonts w:ascii="Times New Roman" w:eastAsia="Times New Roman" w:hAnsi="Times New Roman" w:cs="Times New Roman"/>
          <w:color w:val="000000"/>
          <w:spacing w:val="0"/>
          <w:w w:val="100"/>
          <w:position w:val="0"/>
          <w:shd w:val="clear" w:color="auto" w:fill="auto"/>
          <w:lang w:val="en-US" w:eastAsia="en-US" w:bidi="en-US"/>
        </w:rPr>
        <w:t xml:space="preserve">Fuat </w:t>
      </w:r>
      <w:r>
        <w:rPr>
          <w:rFonts w:ascii="Times New Roman" w:eastAsia="Times New Roman" w:hAnsi="Times New Roman" w:cs="Times New Roman"/>
          <w:color w:val="000000"/>
          <w:spacing w:val="0"/>
          <w:w w:val="100"/>
          <w:position w:val="0"/>
          <w:shd w:val="clear" w:color="auto" w:fill="auto"/>
          <w:lang w:val="hr-HR" w:eastAsia="hr-HR" w:bidi="hr-HR"/>
        </w:rPr>
        <w:t>Sezgin sa Sveučilišta u Frankfurtu, tada docent u Istambulu, pokazao je sredinom XX. stoljeća na temelju niza novopronađenih ru</w:t>
        <w:softHyphen/>
        <w:t>kopisa da su mnogo prije pojave al-Buharija postojale zabilješke hadisa, što inače upitne hadisc čini vjerojatnima. Time je ozbiljno uzdr</w:t>
        <w:softHyphen/>
        <w:t xml:space="preserve">mana teza o mračnim izvorima Ignaza Goldzi- hera, </w:t>
      </w:r>
      <w:r>
        <w:rPr>
          <w:rFonts w:ascii="Times New Roman" w:eastAsia="Times New Roman" w:hAnsi="Times New Roman" w:cs="Times New Roman"/>
          <w:color w:val="000000"/>
          <w:spacing w:val="0"/>
          <w:w w:val="100"/>
          <w:position w:val="0"/>
          <w:shd w:val="clear" w:color="auto" w:fill="auto"/>
          <w:lang w:val="en-US" w:eastAsia="en-US" w:bidi="en-US"/>
        </w:rPr>
        <w:t xml:space="preserve">Josefa </w:t>
      </w:r>
      <w:r>
        <w:rPr>
          <w:rFonts w:ascii="Times New Roman" w:eastAsia="Times New Roman" w:hAnsi="Times New Roman" w:cs="Times New Roman"/>
          <w:color w:val="000000"/>
          <w:spacing w:val="0"/>
          <w:w w:val="100"/>
          <w:position w:val="0"/>
          <w:shd w:val="clear" w:color="auto" w:fill="auto"/>
          <w:lang w:val="hr-HR" w:eastAsia="hr-HR" w:bidi="hr-HR"/>
        </w:rPr>
        <w:t xml:space="preserve">Schachta i drugih orijentalista. No i nakon toga se od strane znanosti mogla čuti kritika: »Ranom zapisanošću (...) ne jamči se čistoća«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238). Zapravo, bilo je i u islamu pojedinih naučnih autoriteta, kakav je utemeljitelj hanefitske pravne škole Abu Hanifa, koji su bili skeptični prema ogrom</w:t>
        <w:softHyphen/>
        <w:t>nomu materijalu hadisa. Abu Hanifa smatra da kao hadise važi ne više od 100 tradiranih izreka.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okviru tradicije neupitno se dalje prenose preuzete iskustvene vrijednosti. Krivo razum- Ijena t. i nekritički preuzeto kazuističko na</w:t>
        <w:softHyphen/>
        <w:t>slijede pravne znanosti često se koriste u mus</w:t>
        <w:softHyphen/>
        <w:t>limanskoj svakodnevici kako bi se izazvao pri</w:t>
        <w:softHyphen/>
        <w:t>vid legitimnosti. U tim se praktikama sigurno ne zrcali nikakva autentična islamska t. Po</w:t>
        <w:softHyphen/>
        <w:t>sredstvom tradicije čovjek postaje, doduše, svjestan samoga sebe kao povijesnoga subjek</w:t>
        <w:softHyphen/>
        <w:t>ta, no ona mu prirodno priječi put u razvoju njegovih vlastitih stvaralačkih moći. Kruto držanje tradicije vodi ostajanju u starim i nad- mašenim životnim formama.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Jednako kao što postoji odnos napetosti iz</w:t>
        <w:softHyphen/>
        <w:t>među znanosti i tradicije u najširem smislu, tako napetost opterećuje i odnos vjere i tradi</w:t>
        <w:softHyphen/>
        <w:t>cije. Ali je u islamu već u prvoj polovici VIII. stoljeća djelovala jedna teološka škola, mute- ziliti, koja je smatrala da se pozadinski može ispitati cjelokupna t., pa čak i Kuran kao ver</w:t>
        <w:softHyphen/>
        <w:t xml:space="preserve">balna božanska inspiracija. Njezina se metoda argumentiranja oslanjala na um. Na njih se opet snažnije poziva. Njezini zagovornici, koji se u Indiji zovu </w:t>
      </w:r>
      <w:r>
        <w:rPr>
          <w:rFonts w:ascii="Times New Roman" w:eastAsia="Times New Roman" w:hAnsi="Times New Roman" w:cs="Times New Roman"/>
          <w:i/>
          <w:iCs/>
          <w:color w:val="000000"/>
          <w:spacing w:val="0"/>
          <w:w w:val="100"/>
          <w:position w:val="0"/>
          <w:shd w:val="clear" w:color="auto" w:fill="auto"/>
          <w:lang w:val="hr-HR" w:eastAsia="hr-HR" w:bidi="hr-HR"/>
        </w:rPr>
        <w:t>neomuteziliti,</w:t>
      </w:r>
      <w:r>
        <w:rPr>
          <w:rFonts w:ascii="Times New Roman" w:eastAsia="Times New Roman" w:hAnsi="Times New Roman" w:cs="Times New Roman"/>
          <w:color w:val="000000"/>
          <w:spacing w:val="0"/>
          <w:w w:val="100"/>
          <w:position w:val="0"/>
          <w:shd w:val="clear" w:color="auto" w:fill="auto"/>
          <w:lang w:val="hr-HR" w:eastAsia="hr-HR" w:bidi="hr-HR"/>
        </w:rPr>
        <w:t xml:space="preserve"> stoje u oštroj su</w:t>
        <w:softHyphen/>
        <w:t>protnosti spram predstavnika restaurativnoga tradicionalizma koji daje ton unutar tzv. reis- lamiziranja.</w:t>
      </w:r>
    </w:p>
    <w:p>
      <w:pPr>
        <w:pStyle w:val="Style56"/>
        <w:keepNext w:val="0"/>
        <w:keepLines w:val="0"/>
        <w:widowControl w:val="0"/>
        <w:shd w:val="clear" w:color="auto" w:fill="auto"/>
        <w:tabs>
          <w:tab w:pos="2558" w:val="left"/>
        </w:tabs>
        <w:bidi w:val="0"/>
        <w:spacing w:before="0" w:after="280" w:line="240" w:lineRule="auto"/>
        <w:ind w:left="0" w:right="0" w:firstLine="0"/>
        <w:jc w:val="both"/>
      </w:pPr>
      <w:r>
        <w:rPr>
          <w:color w:val="000000"/>
          <w:spacing w:val="0"/>
          <w:w w:val="100"/>
          <w:position w:val="0"/>
          <w:shd w:val="clear" w:color="auto" w:fill="auto"/>
          <w:lang w:val="hr-HR" w:eastAsia="hr-HR" w:bidi="hr-HR"/>
        </w:rPr>
        <w:t xml:space="preserve">Lit.: Heriberl </w:t>
      </w:r>
      <w:r>
        <w:rPr>
          <w:color w:val="000000"/>
          <w:spacing w:val="0"/>
          <w:w w:val="100"/>
          <w:position w:val="0"/>
          <w:shd w:val="clear" w:color="auto" w:fill="auto"/>
        </w:rPr>
        <w:t xml:space="preserve">Busse, Tradition </w:t>
      </w:r>
      <w:r>
        <w:rPr>
          <w:color w:val="000000"/>
          <w:spacing w:val="0"/>
          <w:w w:val="100"/>
          <w:position w:val="0"/>
          <w:shd w:val="clear" w:color="auto" w:fill="auto"/>
          <w:lang w:val="hr-HR" w:eastAsia="hr-HR" w:bidi="hr-HR"/>
        </w:rPr>
        <w:t xml:space="preserve">untl Akkulturation im išla- mischcn .Modcrnismus (19./20. Jh.), u: </w:t>
      </w:r>
      <w:r>
        <w:rPr>
          <w:i/>
          <w:iCs/>
          <w:color w:val="000000"/>
          <w:spacing w:val="0"/>
          <w:w w:val="100"/>
          <w:position w:val="0"/>
          <w:shd w:val="clear" w:color="auto" w:fill="auto"/>
          <w:lang w:val="hr-HR" w:eastAsia="hr-HR" w:bidi="hr-HR"/>
        </w:rPr>
        <w:t>Saeculum</w:t>
      </w:r>
      <w:r>
        <w:rPr>
          <w:color w:val="000000"/>
          <w:spacing w:val="0"/>
          <w:w w:val="100"/>
          <w:position w:val="0"/>
          <w:shd w:val="clear" w:color="auto" w:fill="auto"/>
          <w:lang w:val="hr-HR" w:eastAsia="hr-HR" w:bidi="hr-HR"/>
        </w:rPr>
        <w:t xml:space="preserve"> 26 (1975). 2, 157-165); </w:t>
      </w:r>
      <w:r>
        <w:rPr>
          <w:color w:val="000000"/>
          <w:spacing w:val="0"/>
          <w:w w:val="100"/>
          <w:position w:val="0"/>
          <w:shd w:val="clear" w:color="auto" w:fill="auto"/>
        </w:rPr>
        <w:t xml:space="preserve">Husayn Ahmad Amin. The Role of lladiths attributed to the Propbet in the history od the Islamic </w:t>
      </w:r>
      <w:r>
        <w:rPr>
          <w:color w:val="000000"/>
          <w:spacing w:val="0"/>
          <w:w w:val="100"/>
          <w:position w:val="0"/>
          <w:shd w:val="clear" w:color="auto" w:fill="auto"/>
          <w:lang w:val="hr-HR" w:eastAsia="hr-HR" w:bidi="hr-HR"/>
        </w:rPr>
        <w:t xml:space="preserve">soci* </w:t>
      </w:r>
      <w:r>
        <w:rPr>
          <w:color w:val="000000"/>
          <w:spacing w:val="0"/>
          <w:w w:val="100"/>
          <w:position w:val="0"/>
          <w:shd w:val="clear" w:color="auto" w:fill="auto"/>
        </w:rPr>
        <w:t xml:space="preserve">ety, </w:t>
      </w:r>
      <w:r>
        <w:rPr>
          <w:color w:val="000000"/>
          <w:spacing w:val="0"/>
          <w:w w:val="100"/>
          <w:position w:val="0"/>
          <w:shd w:val="clear" w:color="auto" w:fill="auto"/>
          <w:lang w:val="hr-HR" w:eastAsia="hr-HR" w:bidi="hr-HR"/>
        </w:rPr>
        <w:t xml:space="preserve">u: isti, </w:t>
      </w:r>
      <w:r>
        <w:rPr>
          <w:i/>
          <w:iCs/>
          <w:color w:val="000000"/>
          <w:spacing w:val="0"/>
          <w:w w:val="100"/>
          <w:position w:val="0"/>
          <w:shd w:val="clear" w:color="auto" w:fill="auto"/>
        </w:rPr>
        <w:t>Guide of a sad Muslim to requisite conduct in the 20th century,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Kairo: Dar </w:t>
      </w:r>
      <w:r>
        <w:rPr>
          <w:color w:val="000000"/>
          <w:spacing w:val="0"/>
          <w:w w:val="100"/>
          <w:position w:val="0"/>
          <w:shd w:val="clear" w:color="auto" w:fill="auto"/>
        </w:rPr>
        <w:t xml:space="preserve">ash-ShurOq 1983. </w:t>
      </w:r>
      <w:r>
        <w:rPr>
          <w:color w:val="000000"/>
          <w:spacing w:val="0"/>
          <w:w w:val="100"/>
          <w:position w:val="0"/>
          <w:shd w:val="clear" w:color="auto" w:fill="auto"/>
          <w:lang w:val="hr-HR" w:eastAsia="hr-HR" w:bidi="hr-HR"/>
        </w:rPr>
        <w:t xml:space="preserve">Citirano prema engleskomu tekstu, objavljeno u </w:t>
      </w:r>
      <w:r>
        <w:rPr>
          <w:color w:val="000000"/>
          <w:spacing w:val="0"/>
          <w:w w:val="100"/>
          <w:position w:val="0"/>
          <w:shd w:val="clear" w:color="auto" w:fill="auto"/>
        </w:rPr>
        <w:t xml:space="preserve">Risalal </w:t>
      </w:r>
      <w:r>
        <w:rPr>
          <w:color w:val="000000"/>
          <w:spacing w:val="0"/>
          <w:w w:val="100"/>
          <w:position w:val="0"/>
          <w:shd w:val="clear" w:color="auto" w:fill="auto"/>
          <w:lang w:val="hr-HR" w:eastAsia="hr-HR" w:bidi="hr-HR"/>
        </w:rPr>
        <w:t xml:space="preserve">al-lihadu </w:t>
      </w:r>
      <w:r>
        <w:rPr>
          <w:color w:val="000000"/>
          <w:spacing w:val="0"/>
          <w:w w:val="100"/>
          <w:position w:val="0"/>
          <w:shd w:val="clear" w:color="auto" w:fill="auto"/>
        </w:rPr>
        <w:t xml:space="preserve">(Tripoli) </w:t>
      </w:r>
      <w:r>
        <w:rPr>
          <w:color w:val="000000"/>
          <w:spacing w:val="0"/>
          <w:w w:val="100"/>
          <w:position w:val="0"/>
          <w:shd w:val="clear" w:color="auto" w:fill="auto"/>
          <w:lang w:val="hr-HR" w:eastAsia="hr-HR" w:bidi="hr-HR"/>
        </w:rPr>
        <w:t xml:space="preserve">1986, 59-69. Djelo </w:t>
      </w:r>
      <w:r>
        <w:rPr>
          <w:i/>
          <w:iCs/>
          <w:color w:val="000000"/>
          <w:spacing w:val="0"/>
          <w:w w:val="100"/>
          <w:position w:val="0"/>
          <w:shd w:val="clear" w:color="auto" w:fill="auto"/>
          <w:lang w:val="hr-HR" w:eastAsia="hr-HR" w:bidi="hr-HR"/>
        </w:rPr>
        <w:t>je</w:t>
      </w:r>
      <w:r>
        <w:rPr>
          <w:color w:val="000000"/>
          <w:spacing w:val="0"/>
          <w:w w:val="100"/>
          <w:position w:val="0"/>
          <w:shd w:val="clear" w:color="auto" w:fill="auto"/>
          <w:lang w:val="hr-HR" w:eastAsia="hr-HR" w:bidi="hr-HR"/>
        </w:rPr>
        <w:t xml:space="preserve"> vjerojatno ohjavljeno na arapskom jeziku.</w:t>
        <w:tab/>
        <w:t>s. 13A1.1Ć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TROJSTVO</w:t>
      </w:r>
    </w:p>
    <w:p>
      <w:pPr>
        <w:pStyle w:val="Style63"/>
        <w:keepNext/>
        <w:keepLines/>
        <w:widowControl w:val="0"/>
        <w:numPr>
          <w:ilvl w:val="0"/>
          <w:numId w:val="585"/>
        </w:numPr>
        <w:shd w:val="clear" w:color="auto" w:fill="auto"/>
        <w:tabs>
          <w:tab w:pos="255" w:val="left"/>
        </w:tabs>
        <w:bidi w:val="0"/>
        <w:spacing w:before="0"/>
        <w:ind w:left="0" w:right="0" w:firstLine="0"/>
        <w:jc w:val="both"/>
      </w:pPr>
      <w:bookmarkStart w:id="374" w:name="bookmark374"/>
      <w:r>
        <w:rPr>
          <w:rFonts w:ascii="Times New Roman" w:eastAsia="Times New Roman" w:hAnsi="Times New Roman" w:cs="Times New Roman"/>
          <w:color w:val="000000"/>
          <w:spacing w:val="0"/>
          <w:w w:val="100"/>
          <w:position w:val="0"/>
          <w:shd w:val="clear" w:color="auto" w:fill="auto"/>
          <w:lang w:val="hr-HR" w:eastAsia="hr-HR" w:bidi="hr-HR"/>
        </w:rPr>
        <w:t>židovski</w:t>
      </w:r>
      <w:bookmarkEnd w:id="374"/>
    </w:p>
    <w:p>
      <w:pPr>
        <w:pStyle w:val="Style20"/>
        <w:keepNext w:val="0"/>
        <w:keepLines w:val="0"/>
        <w:widowControl w:val="0"/>
        <w:shd w:val="clear" w:color="auto" w:fill="auto"/>
        <w:bidi w:val="0"/>
        <w:spacing w:before="0" w:after="100"/>
        <w:ind w:left="0" w:right="0" w:firstLine="0"/>
        <w:jc w:val="both"/>
        <w:sectPr>
          <w:headerReference w:type="default" r:id="rId1515"/>
          <w:footerReference w:type="default" r:id="rId1516"/>
          <w:headerReference w:type="even" r:id="rId1517"/>
          <w:footerReference w:type="even" r:id="rId1518"/>
          <w:footnotePr>
            <w:pos w:val="pageBottom"/>
            <w:numFmt w:val="decimal"/>
            <w:numRestart w:val="continuous"/>
            <w15:footnoteColumns w:val="1"/>
          </w:footnotePr>
          <w:pgSz w:w="6816" w:h="11006"/>
          <w:pgMar w:top="835" w:left="194" w:right="199" w:bottom="278" w:header="0" w:footer="3" w:gutter="0"/>
          <w:pgNumType w:start="501"/>
          <w:cols w:num="2" w:space="194"/>
          <w:noEndnote/>
          <w:rtlGutter w:val="0"/>
          <w:docGrid w:linePitch="360"/>
        </w:sectPr>
      </w:pPr>
      <w:r>
        <mc:AlternateContent>
          <mc:Choice Requires="wps">
            <w:drawing>
              <wp:anchor distT="63500" distB="254000" distL="114300" distR="114300" simplePos="0" relativeHeight="125829437" behindDoc="0" locked="0" layoutInCell="1" allowOverlap="1">
                <wp:simplePos x="0" y="0"/>
                <wp:positionH relativeFrom="page">
                  <wp:posOffset>4007485</wp:posOffset>
                </wp:positionH>
                <wp:positionV relativeFrom="margin">
                  <wp:posOffset>6206490</wp:posOffset>
                </wp:positionV>
                <wp:extent cx="191770" cy="109855"/>
                <wp:wrapTopAndBottom/>
                <wp:docPr id="3265" name="Shape 3265"/>
                <a:graphic xmlns:a="http://schemas.openxmlformats.org/drawingml/2006/main">
                  <a:graphicData uri="http://schemas.microsoft.com/office/word/2010/wordprocessingShape">
                    <wps:wsp>
                      <wps:cNvSpPr txBox="1"/>
                      <wps:spPr>
                        <a:xfrm>
                          <a:ext cx="19177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shd w:val="clear" w:color="auto" w:fill="auto"/>
                                <w:lang w:val="hr-HR" w:eastAsia="hr-HR" w:bidi="hr-HR"/>
                              </w:rPr>
                              <w:t>/ot</w:t>
                            </w:r>
                          </w:p>
                        </w:txbxContent>
                      </wps:txbx>
                      <wps:bodyPr wrap="none" lIns="0" tIns="0" rIns="0" bIns="0">
                        <a:noAutoFit/>
                      </wps:bodyPr>
                    </wps:wsp>
                  </a:graphicData>
                </a:graphic>
              </wp:anchor>
            </w:drawing>
          </mc:Choice>
          <mc:Fallback>
            <w:pict>
              <v:shape id="_x0000_s4291" type="#_x0000_t202" style="position:absolute;margin-left:315.55000000000001pt;margin-top:488.69999999999999pt;width:15.1pt;height:8.6500000000000004pt;z-index:-125829316;mso-wrap-distance-left:9.pt;mso-wrap-distance-top:5.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shd w:val="clear" w:color="auto" w:fill="auto"/>
                          <w:lang w:val="hr-HR" w:eastAsia="hr-HR" w:bidi="hr-HR"/>
                        </w:rPr>
                        <w:t>/ot</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Proglašenje jedincatosti Boga obilježava ži</w:t>
        <w:softHyphen/>
        <w:t>dovstvo (b Hagiga 3a; Berahot 6a; j Berahot 1,3c,9). Ona se tradicionalno shvaća kao pot</w:t>
        <w:softHyphen/>
        <w:t>puna podčinjenost Božjoj volji, pri čijem je ostvarenju spremnost na djelo prije samog po</w:t>
        <w:softHyphen/>
        <w:t>sluha (Izl 24,7). Rabinsko tumačenje štovanja zlatnog teleta osvjetljava njihovo ocjenjivanje nauka o Trojstvu, a to je plural u njihovu pri</w:t>
        <w:softHyphen/>
        <w:t>znanju: »Ovo su tvoji bogovi, Izraele, koji su te izveli iz zemlje egipatske« (Izl 32,4) te na</w:t>
        <w:softHyphen/>
        <w:t xml:space="preserve">govještava da su pravo bogoslužje »povezali« </w:t>
      </w:r>
      <w:r>
        <w:rPr>
          <w:rFonts w:ascii="Times New Roman" w:eastAsia="Times New Roman" w:hAnsi="Times New Roman" w:cs="Times New Roman"/>
          <w:i/>
          <w:iCs/>
          <w:color w:val="000000"/>
          <w:spacing w:val="0"/>
          <w:w w:val="100"/>
          <w:position w:val="0"/>
          <w:shd w:val="clear" w:color="auto" w:fill="auto"/>
          <w:lang w:val="hr-HR" w:eastAsia="hr-HR" w:bidi="hr-HR"/>
        </w:rPr>
        <w:t>(šitef)</w:t>
      </w:r>
      <w:r>
        <w:rPr>
          <w:rFonts w:ascii="Times New Roman" w:eastAsia="Times New Roman" w:hAnsi="Times New Roman" w:cs="Times New Roman"/>
          <w:color w:val="000000"/>
          <w:spacing w:val="0"/>
          <w:w w:val="100"/>
          <w:position w:val="0"/>
          <w:shd w:val="clear" w:color="auto" w:fill="auto"/>
          <w:lang w:val="hr-HR" w:eastAsia="hr-HR" w:bidi="hr-HR"/>
        </w:rPr>
        <w:t xml:space="preserve"> s idolopoklonstvom, pa su stoga pošte</w:t>
        <w:softHyphen/>
        <w:t xml:space="preserve">đeni od propasti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63a). U očima mudraca nauk o Trojstvu, prema tomu, sužava priznanje jedincatosti Božje, ali - kao Izraclov prijestup - nije smrtni grijeh, jednak idolo- poklonstvu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74a), nije ukinuće čistoga mo- noteizma već »sudioništvo« </w:t>
      </w:r>
      <w:r>
        <w:rPr>
          <w:rFonts w:ascii="Times New Roman" w:eastAsia="Times New Roman" w:hAnsi="Times New Roman" w:cs="Times New Roman"/>
          <w:i/>
          <w:iCs/>
          <w:color w:val="000000"/>
          <w:spacing w:val="0"/>
          <w:w w:val="100"/>
          <w:position w:val="0"/>
          <w:shd w:val="clear" w:color="auto" w:fill="auto"/>
          <w:lang w:val="hr-HR" w:eastAsia="hr-HR" w:bidi="hr-HR"/>
        </w:rPr>
        <w:t>(šituf).</w:t>
      </w:r>
      <w:r>
        <w:rPr>
          <w:rFonts w:ascii="Times New Roman" w:eastAsia="Times New Roman" w:hAnsi="Times New Roman" w:cs="Times New Roman"/>
          <w:color w:val="000000"/>
          <w:spacing w:val="0"/>
          <w:w w:val="100"/>
          <w:position w:val="0"/>
          <w:shd w:val="clear" w:color="auto" w:fill="auto"/>
          <w:lang w:val="hr-HR" w:eastAsia="hr-HR" w:bidi="hr-HR"/>
        </w:rPr>
        <w:t xml:space="preserve"> Odlučno odbijanje vjere u T. trebalo bi ipak sačuvati štovanje jedinoga Boga: »Bog reče Izraelci</w:t>
        <w:softHyphen/>
        <w:t>ma: Ne trebate misliti da na nebesima ima mnogo bogova zato što vidite mnoga lica; znajte, ja sam Vječni, Jedini..., ‘ja sam Prvi’, tj. ja nemam oca, ‘ja sam Posljednji’, tj. ja ne</w:t>
        <w:softHyphen/>
        <w:t>mam brata, ‘i osim mene nema drugog boga’, tj. ja nemam sina« (Šemot raba XXIX,20,2;</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usp. </w:t>
      </w:r>
      <w:r>
        <w:rPr>
          <w:rFonts w:ascii="Times New Roman" w:eastAsia="Times New Roman" w:hAnsi="Times New Roman" w:cs="Times New Roman"/>
          <w:color w:val="000000"/>
          <w:spacing w:val="0"/>
          <w:w w:val="100"/>
          <w:position w:val="0"/>
          <w:shd w:val="clear" w:color="auto" w:fill="auto"/>
          <w:lang w:val="en-US" w:eastAsia="en-US" w:bidi="en-US"/>
        </w:rPr>
        <w:t xml:space="preserve">Kohclct </w:t>
      </w:r>
      <w:r>
        <w:rPr>
          <w:rFonts w:ascii="Times New Roman" w:eastAsia="Times New Roman" w:hAnsi="Times New Roman" w:cs="Times New Roman"/>
          <w:color w:val="000000"/>
          <w:spacing w:val="0"/>
          <w:w w:val="100"/>
          <w:position w:val="0"/>
          <w:shd w:val="clear" w:color="auto" w:fill="auto"/>
          <w:lang w:val="hr-HR" w:eastAsia="hr-HR" w:bidi="hr-HR"/>
        </w:rPr>
        <w:t>IV,8; Devarim raba 11,6,4). Sred</w:t>
        <w:softHyphen/>
        <w:t>njovjekovni filozofi religije upozorili su na proturječja i na logičku nemogućnost smješ</w:t>
        <w:softHyphen/>
        <w:t>tanja trojice i jednoga u jedno: »Sada prim</w:t>
        <w:softHyphen/>
        <w:t>jećujem da su se kršćani prevarili u tom po</w:t>
        <w:softHyphen/>
        <w:t>glavlju (T.), prihvaćajući u njemu (Bogu) jed</w:t>
        <w:softHyphen/>
        <w:t xml:space="preserve">no od različitoga, pa ih je to dovelo do toga da su od jednoga napravili trojicu« (Seadja, </w:t>
      </w:r>
      <w:r>
        <w:rPr>
          <w:rFonts w:ascii="Times New Roman" w:eastAsia="Times New Roman" w:hAnsi="Times New Roman" w:cs="Times New Roman"/>
          <w:i/>
          <w:iCs/>
          <w:color w:val="000000"/>
          <w:spacing w:val="0"/>
          <w:w w:val="100"/>
          <w:position w:val="0"/>
          <w:shd w:val="clear" w:color="auto" w:fill="auto"/>
          <w:lang w:val="hr-HR" w:eastAsia="hr-HR" w:bidi="hr-HR"/>
        </w:rPr>
        <w:t>Emunot ve-deot</w:t>
      </w:r>
      <w:r>
        <w:rPr>
          <w:rFonts w:ascii="Times New Roman" w:eastAsia="Times New Roman" w:hAnsi="Times New Roman" w:cs="Times New Roman"/>
          <w:color w:val="000000"/>
          <w:spacing w:val="0"/>
          <w:w w:val="100"/>
          <w:position w:val="0"/>
          <w:shd w:val="clear" w:color="auto" w:fill="auto"/>
          <w:lang w:val="hr-HR" w:eastAsia="hr-HR" w:bidi="hr-HR"/>
        </w:rPr>
        <w:t xml:space="preserve"> /Vjerovanja i mišljenja/ 11,5). »Ovdje (u nauku o Trojstvu) nema mjesta ra</w:t>
        <w:softHyphen/>
        <w:t xml:space="preserve">zumu« </w:t>
      </w:r>
      <w:r>
        <w:rPr>
          <w:rFonts w:ascii="Times New Roman" w:eastAsia="Times New Roman" w:hAnsi="Times New Roman" w:cs="Times New Roman"/>
          <w:color w:val="000000"/>
          <w:spacing w:val="0"/>
          <w:w w:val="100"/>
          <w:position w:val="0"/>
          <w:shd w:val="clear" w:color="auto" w:fill="auto"/>
          <w:lang w:val="en-US" w:eastAsia="en-US" w:bidi="en-US"/>
        </w:rPr>
        <w:t xml:space="preserve">(Jchuda Halevi, </w:t>
      </w:r>
      <w:r>
        <w:rPr>
          <w:rFonts w:ascii="Times New Roman" w:eastAsia="Times New Roman" w:hAnsi="Times New Roman" w:cs="Times New Roman"/>
          <w:i/>
          <w:iCs/>
          <w:color w:val="000000"/>
          <w:spacing w:val="0"/>
          <w:w w:val="100"/>
          <w:position w:val="0"/>
          <w:shd w:val="clear" w:color="auto" w:fill="auto"/>
          <w:lang w:val="hr-HR" w:eastAsia="hr-HR" w:bidi="hr-HR"/>
        </w:rPr>
        <w:t>Kuzari</w:t>
      </w:r>
      <w:r>
        <w:rPr>
          <w:rFonts w:ascii="Times New Roman" w:eastAsia="Times New Roman" w:hAnsi="Times New Roman" w:cs="Times New Roman"/>
          <w:color w:val="000000"/>
          <w:spacing w:val="0"/>
          <w:w w:val="100"/>
          <w:position w:val="0"/>
          <w:shd w:val="clear" w:color="auto" w:fill="auto"/>
          <w:lang w:val="hr-HR" w:eastAsia="hr-HR" w:bidi="hr-HR"/>
        </w:rPr>
        <w:t xml:space="preserve"> 1,5; usp. </w:t>
      </w:r>
      <w:r>
        <w:rPr>
          <w:rFonts w:ascii="Times New Roman" w:eastAsia="Times New Roman" w:hAnsi="Times New Roman" w:cs="Times New Roman"/>
          <w:color w:val="000000"/>
          <w:spacing w:val="0"/>
          <w:w w:val="100"/>
          <w:position w:val="0"/>
          <w:shd w:val="clear" w:color="auto" w:fill="auto"/>
          <w:lang w:val="en-US" w:eastAsia="en-US" w:bidi="en-US"/>
        </w:rPr>
        <w:t>Has</w:t>
        <w:softHyphen/>
        <w:t xml:space="preserve">dai Crescas, </w:t>
      </w:r>
      <w:r>
        <w:rPr>
          <w:rFonts w:ascii="Times New Roman" w:eastAsia="Times New Roman" w:hAnsi="Times New Roman" w:cs="Times New Roman"/>
          <w:i/>
          <w:iCs/>
          <w:color w:val="000000"/>
          <w:spacing w:val="0"/>
          <w:w w:val="100"/>
          <w:position w:val="0"/>
          <w:shd w:val="clear" w:color="auto" w:fill="auto"/>
          <w:lang w:val="hr-HR" w:eastAsia="hr-HR" w:bidi="hr-HR"/>
        </w:rPr>
        <w:t>Bitni ikre ha-nozrim</w:t>
      </w:r>
      <w:r>
        <w:rPr>
          <w:rFonts w:ascii="Times New Roman" w:eastAsia="Times New Roman" w:hAnsi="Times New Roman" w:cs="Times New Roman"/>
          <w:color w:val="000000"/>
          <w:spacing w:val="0"/>
          <w:w w:val="100"/>
          <w:position w:val="0"/>
          <w:shd w:val="clear" w:color="auto" w:fill="auto"/>
          <w:lang w:val="hr-HR" w:eastAsia="hr-HR" w:bidi="hr-HR"/>
        </w:rPr>
        <w:t xml:space="preserve"> 23). »Nauka o Trojstvu... nema u Tori« </w:t>
      </w:r>
      <w:r>
        <w:rPr>
          <w:rFonts w:ascii="Times New Roman" w:eastAsia="Times New Roman" w:hAnsi="Times New Roman" w:cs="Times New Roman"/>
          <w:color w:val="000000"/>
          <w:spacing w:val="0"/>
          <w:w w:val="100"/>
          <w:position w:val="0"/>
          <w:shd w:val="clear" w:color="auto" w:fill="auto"/>
          <w:lang w:val="en-US" w:eastAsia="en-US" w:bidi="en-US"/>
        </w:rPr>
        <w:t xml:space="preserve">(Josef </w:t>
      </w:r>
      <w:r>
        <w:rPr>
          <w:rFonts w:ascii="Times New Roman" w:eastAsia="Times New Roman" w:hAnsi="Times New Roman" w:cs="Times New Roman"/>
          <w:color w:val="000000"/>
          <w:spacing w:val="0"/>
          <w:w w:val="100"/>
          <w:position w:val="0"/>
          <w:shd w:val="clear" w:color="auto" w:fill="auto"/>
          <w:lang w:val="hr-HR" w:eastAsia="hr-HR" w:bidi="hr-HR"/>
        </w:rPr>
        <w:t xml:space="preserve">Albo, </w:t>
      </w:r>
      <w:r>
        <w:rPr>
          <w:rFonts w:ascii="Times New Roman" w:eastAsia="Times New Roman" w:hAnsi="Times New Roman" w:cs="Times New Roman"/>
          <w:i/>
          <w:iCs/>
          <w:color w:val="000000"/>
          <w:spacing w:val="0"/>
          <w:w w:val="100"/>
          <w:position w:val="0"/>
          <w:shd w:val="clear" w:color="auto" w:fill="auto"/>
          <w:lang w:val="hr-HR" w:eastAsia="hr-HR" w:bidi="hr-HR"/>
        </w:rPr>
        <w:t>Ika- rim</w:t>
      </w:r>
      <w:r>
        <w:rPr>
          <w:rFonts w:ascii="Times New Roman" w:eastAsia="Times New Roman" w:hAnsi="Times New Roman" w:cs="Times New Roman"/>
          <w:color w:val="000000"/>
          <w:spacing w:val="0"/>
          <w:w w:val="100"/>
          <w:position w:val="0"/>
          <w:shd w:val="clear" w:color="auto" w:fill="auto"/>
          <w:lang w:val="hr-HR" w:eastAsia="hr-HR" w:bidi="hr-HR"/>
        </w:rPr>
        <w:t xml:space="preserve"> 111,25 /Knjiga načela/).</w:t>
      </w:r>
    </w:p>
    <w:p>
      <w:pPr>
        <w:pStyle w:val="Style56"/>
        <w:keepNext w:val="0"/>
        <w:keepLines w:val="0"/>
        <w:widowControl w:val="0"/>
        <w:shd w:val="clear" w:color="auto" w:fill="auto"/>
        <w:tabs>
          <w:tab w:pos="2443" w:val="left"/>
        </w:tabs>
        <w:bidi w:val="0"/>
        <w:spacing w:before="0" w:after="140" w:line="240" w:lineRule="auto"/>
        <w:ind w:left="0" w:right="0" w:firstLine="0"/>
        <w:jc w:val="both"/>
      </w:pPr>
      <w:r>
        <w:rPr>
          <w:color w:val="000000"/>
          <w:spacing w:val="0"/>
          <w:w w:val="100"/>
          <w:position w:val="0"/>
          <w:shd w:val="clear" w:color="auto" w:fill="auto"/>
        </w:rPr>
        <w:t xml:space="preserve">Lit.; J. Bergmann, </w:t>
      </w:r>
      <w:r>
        <w:rPr>
          <w:i/>
          <w:iCs/>
          <w:color w:val="000000"/>
          <w:spacing w:val="0"/>
          <w:w w:val="100"/>
          <w:position w:val="0"/>
          <w:shd w:val="clear" w:color="auto" w:fill="auto"/>
          <w:lang w:val="hr-HR" w:eastAsia="hr-HR" w:bidi="hr-HR"/>
        </w:rPr>
        <w:t>Jiidische Apologeiik im neutestamentari- schen Zdialter,</w:t>
      </w:r>
      <w:r>
        <w:rPr>
          <w:color w:val="000000"/>
          <w:spacing w:val="0"/>
          <w:w w:val="100"/>
          <w:position w:val="0"/>
          <w:shd w:val="clear" w:color="auto" w:fill="auto"/>
          <w:lang w:val="hr-HR" w:eastAsia="hr-HR" w:bidi="hr-HR"/>
        </w:rPr>
        <w:t xml:space="preserve"> 190K; G. Scholcm,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jiidische </w:t>
      </w:r>
      <w:r>
        <w:rPr>
          <w:i/>
          <w:iCs/>
          <w:color w:val="000000"/>
          <w:spacing w:val="0"/>
          <w:w w:val="100"/>
          <w:position w:val="0"/>
          <w:shd w:val="clear" w:color="auto" w:fill="auto"/>
        </w:rPr>
        <w:t xml:space="preserve">Mystik in ihren </w:t>
      </w:r>
      <w:r>
        <w:rPr>
          <w:i/>
          <w:iCs/>
          <w:color w:val="000000"/>
          <w:spacing w:val="0"/>
          <w:w w:val="100"/>
          <w:position w:val="0"/>
          <w:shd w:val="clear" w:color="auto" w:fill="auto"/>
          <w:lang w:val="hr-HR" w:eastAsia="hr-HR" w:bidi="hr-HR"/>
        </w:rPr>
        <w:t>Haupislrdmungen,</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1957, 196. 336, 355; Sch. Bcn-Cho- rin, </w:t>
      </w:r>
      <w:r>
        <w:rPr>
          <w:i/>
          <w:iCs/>
          <w:color w:val="000000"/>
          <w:spacing w:val="0"/>
          <w:w w:val="100"/>
          <w:position w:val="0"/>
          <w:shd w:val="clear" w:color="auto" w:fill="auto"/>
        </w:rPr>
        <w:t>Judischer Glaube,</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1979, 55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P. LapideZJ. Molt- mann, </w:t>
      </w:r>
      <w:r>
        <w:rPr>
          <w:i/>
          <w:iCs/>
          <w:color w:val="000000"/>
          <w:spacing w:val="0"/>
          <w:w w:val="100"/>
          <w:position w:val="0"/>
          <w:shd w:val="clear" w:color="auto" w:fill="auto"/>
        </w:rPr>
        <w:t xml:space="preserve">Judischer Monoiheismus - christliche Triniiiuslehre, </w:t>
      </w:r>
      <w:r>
        <w:rPr>
          <w:color w:val="000000"/>
          <w:spacing w:val="0"/>
          <w:w w:val="100"/>
          <w:position w:val="0"/>
          <w:shd w:val="clear" w:color="auto" w:fill="auto"/>
        </w:rPr>
        <w:t>1979.</w:t>
        <w:tab/>
      </w:r>
      <w:r>
        <w:rPr>
          <w:color w:val="000000"/>
          <w:spacing w:val="0"/>
          <w:w w:val="100"/>
          <w:position w:val="0"/>
          <w:shd w:val="clear" w:color="auto" w:fill="auto"/>
          <w:lang w:val="hr-HR" w:eastAsia="hr-HR" w:bidi="hr-HR"/>
        </w:rPr>
        <w:t xml:space="preserve">Đ. </w:t>
      </w:r>
      <w:r>
        <w:rPr>
          <w:color w:val="000000"/>
          <w:spacing w:val="0"/>
          <w:w w:val="100"/>
          <w:position w:val="0"/>
          <w:shd w:val="clear" w:color="auto" w:fill="auto"/>
        </w:rPr>
        <w:t>VETTER</w:t>
      </w:r>
    </w:p>
    <w:p>
      <w:pPr>
        <w:pStyle w:val="Style63"/>
        <w:keepNext/>
        <w:keepLines/>
        <w:widowControl w:val="0"/>
        <w:numPr>
          <w:ilvl w:val="0"/>
          <w:numId w:val="585"/>
        </w:numPr>
        <w:shd w:val="clear" w:color="auto" w:fill="auto"/>
        <w:tabs>
          <w:tab w:pos="260" w:val="left"/>
        </w:tabs>
        <w:bidi w:val="0"/>
        <w:spacing w:before="0"/>
        <w:ind w:left="0" w:right="0" w:firstLine="0"/>
        <w:jc w:val="both"/>
      </w:pPr>
      <w:bookmarkStart w:id="375" w:name="bookmark37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7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Vjera u </w:t>
      </w:r>
      <w:r>
        <w:rPr>
          <w:rFonts w:ascii="Times New Roman" w:eastAsia="Times New Roman" w:hAnsi="Times New Roman" w:cs="Times New Roman"/>
          <w:color w:val="000000"/>
          <w:spacing w:val="0"/>
          <w:w w:val="100"/>
          <w:position w:val="0"/>
          <w:shd w:val="clear" w:color="auto" w:fill="auto"/>
          <w:lang w:val="en-US" w:eastAsia="en-US" w:bidi="en-US"/>
        </w:rPr>
        <w:t xml:space="preserve">trojedinoga </w:t>
      </w:r>
      <w:r>
        <w:rPr>
          <w:rFonts w:ascii="Times New Roman" w:eastAsia="Times New Roman" w:hAnsi="Times New Roman" w:cs="Times New Roman"/>
          <w:color w:val="000000"/>
          <w:spacing w:val="0"/>
          <w:w w:val="100"/>
          <w:position w:val="0"/>
          <w:shd w:val="clear" w:color="auto" w:fill="auto"/>
          <w:lang w:val="hr-HR" w:eastAsia="hr-HR" w:bidi="hr-HR"/>
        </w:rPr>
        <w:t>Boga sržno je vjerovanje kršćanstva. Svjetsko vijeće crkava u svojoj osnivačkoj izjavi vidi u trojstvenoj vjeri u Boga temeljnu istinu koja mnoge kršćanske zajed</w:t>
        <w:softHyphen/>
        <w:t>nice sabire zajedno u jedinstvo Crkve. U ime trojedinoga Boga daje se krštenje i tako sc obilježava i postavlja kršćaninov trinitami ži</w:t>
        <w:softHyphen/>
        <w:t>votni temelj. U skladu s time zvuči kršćanska molitva hvale: »Slava Ocu i Sinu i Duhu Sve</w:t>
        <w:softHyphen/>
        <w:t>tomu ...«. Tako u krštenju i slavljenju izraže</w:t>
        <w:softHyphen/>
        <w:t>no vjerovanje u Boga vjernički je odgovor na biblijsko djelovanje jednoga Boga objavom, koje sc izvršava u tri koraka: u stvaranju, ot</w:t>
        <w:softHyphen/>
        <w:t>kupljenju i posvećenju. Napetost koja se ovdje pokazuje između svete suzdržanosti i svete blizine jednoga Boga sadržaj je kršćanskoga trojstvenog misterija. SZ poznaje uzvišenost Boga nad svijetom koju bezuvjetno treba držati svetom (Iz 6,3); no, poznaje je zato što se sveta Božja drugačijost izražava u njegovoj potpuno neshvatljivoj ljubavi prema narodu koji nije svet (Hoš 11.9b). Jahvina svetost nije naglašena na teret njegove blizine Izraelu ne</w:t>
        <w:softHyphen/>
        <w:t>go je određena jasnom voljom da bude ima</w:t>
        <w:softHyphen/>
        <w:t>nentan. Bog je, unatoč svojoj uzvišenosti, tu usred svoga naroda tako što spašava i pomaže. SZ poznaje različite načine posredovanja koji povezuju Božju transcendenciju i njegovu bli</w:t>
        <w:softHyphen/>
        <w:t xml:space="preserve">zinu Izraelu: </w:t>
      </w:r>
      <w:r>
        <w:rPr>
          <w:rFonts w:ascii="Times New Roman" w:eastAsia="Times New Roman" w:hAnsi="Times New Roman" w:cs="Times New Roman"/>
          <w:i/>
          <w:iCs/>
          <w:color w:val="000000"/>
          <w:spacing w:val="0"/>
          <w:w w:val="100"/>
          <w:position w:val="0"/>
          <w:shd w:val="clear" w:color="auto" w:fill="auto"/>
          <w:lang w:val="hr-HR" w:eastAsia="hr-HR" w:bidi="hr-HR"/>
        </w:rPr>
        <w:t>ime Jahve</w:t>
      </w:r>
      <w:r>
        <w:rPr>
          <w:rFonts w:ascii="Times New Roman" w:eastAsia="Times New Roman" w:hAnsi="Times New Roman" w:cs="Times New Roman"/>
          <w:color w:val="000000"/>
          <w:spacing w:val="0"/>
          <w:w w:val="100"/>
          <w:position w:val="0"/>
          <w:shd w:val="clear" w:color="auto" w:fill="auto"/>
          <w:lang w:val="hr-HR" w:eastAsia="hr-HR" w:bidi="hr-HR"/>
        </w:rPr>
        <w:t xml:space="preserve"> je izraz njegove sa</w:t>
        <w:softHyphen/>
        <w:t xml:space="preserve">dašnjosti i zajedništva sa svojim narodom (Pnz 12,5; 14,24); </w:t>
      </w:r>
      <w:r>
        <w:rPr>
          <w:rFonts w:ascii="Times New Roman" w:eastAsia="Times New Roman" w:hAnsi="Times New Roman" w:cs="Times New Roman"/>
          <w:i/>
          <w:iCs/>
          <w:color w:val="000000"/>
          <w:spacing w:val="0"/>
          <w:w w:val="100"/>
          <w:position w:val="0"/>
          <w:shd w:val="clear" w:color="auto" w:fill="auto"/>
          <w:lang w:val="hr-HR" w:eastAsia="hr-HR" w:bidi="hr-HR"/>
        </w:rPr>
        <w:t>slava Jahvina</w:t>
      </w:r>
      <w:r>
        <w:rPr>
          <w:rFonts w:ascii="Times New Roman" w:eastAsia="Times New Roman" w:hAnsi="Times New Roman" w:cs="Times New Roman"/>
          <w:color w:val="000000"/>
          <w:spacing w:val="0"/>
          <w:w w:val="100"/>
          <w:position w:val="0"/>
          <w:shd w:val="clear" w:color="auto" w:fill="auto"/>
          <w:lang w:val="hr-HR" w:eastAsia="hr-HR" w:bidi="hr-HR"/>
        </w:rPr>
        <w:t xml:space="preserve"> je vidljiv izraz </w:t>
      </w:r>
      <w:r>
        <w:rPr>
          <w:rFonts w:ascii="Times New Roman" w:eastAsia="Times New Roman" w:hAnsi="Times New Roman" w:cs="Times New Roman"/>
          <w:color w:val="000000"/>
          <w:spacing w:val="0"/>
          <w:w w:val="100"/>
          <w:position w:val="0"/>
          <w:shd w:val="clear" w:color="auto" w:fill="auto"/>
          <w:lang w:val="hr-HR" w:eastAsia="hr-HR" w:bidi="hr-HR"/>
        </w:rPr>
        <w:t>njegove bitne suzdržanosti (Ez 1,26 i d.). Dalj</w:t>
        <w:softHyphen/>
        <w:t xml:space="preserve">nji su posrednički oblici: </w:t>
      </w:r>
      <w:r>
        <w:rPr>
          <w:rFonts w:ascii="Times New Roman" w:eastAsia="Times New Roman" w:hAnsi="Times New Roman" w:cs="Times New Roman"/>
          <w:i/>
          <w:iCs/>
          <w:color w:val="000000"/>
          <w:spacing w:val="0"/>
          <w:w w:val="100"/>
          <w:position w:val="0"/>
          <w:shd w:val="clear" w:color="auto" w:fill="auto"/>
          <w:lang w:val="hr-HR" w:eastAsia="hr-HR" w:bidi="hr-HR"/>
        </w:rPr>
        <w:t>Jahvin anđeo,</w:t>
      </w:r>
      <w:r>
        <w:rPr>
          <w:rFonts w:ascii="Times New Roman" w:eastAsia="Times New Roman" w:hAnsi="Times New Roman" w:cs="Times New Roman"/>
          <w:color w:val="000000"/>
          <w:spacing w:val="0"/>
          <w:w w:val="100"/>
          <w:position w:val="0"/>
          <w:shd w:val="clear" w:color="auto" w:fill="auto"/>
          <w:lang w:val="hr-HR" w:eastAsia="hr-HR" w:bidi="hr-HR"/>
        </w:rPr>
        <w:t xml:space="preserve"> nje</w:t>
        <w:softHyphen/>
        <w:t xml:space="preserve">gova </w:t>
      </w:r>
      <w:r>
        <w:rPr>
          <w:rFonts w:ascii="Times New Roman" w:eastAsia="Times New Roman" w:hAnsi="Times New Roman" w:cs="Times New Roman"/>
          <w:i/>
          <w:iCs/>
          <w:color w:val="000000"/>
          <w:spacing w:val="0"/>
          <w:w w:val="100"/>
          <w:position w:val="0"/>
          <w:shd w:val="clear" w:color="auto" w:fill="auto"/>
          <w:lang w:val="hr-HR" w:eastAsia="hr-HR" w:bidi="hr-HR"/>
        </w:rPr>
        <w:t>riječ,</w:t>
      </w:r>
      <w:r>
        <w:rPr>
          <w:rFonts w:ascii="Times New Roman" w:eastAsia="Times New Roman" w:hAnsi="Times New Roman" w:cs="Times New Roman"/>
          <w:color w:val="000000"/>
          <w:spacing w:val="0"/>
          <w:w w:val="100"/>
          <w:position w:val="0"/>
          <w:shd w:val="clear" w:color="auto" w:fill="auto"/>
          <w:lang w:val="hr-HR" w:eastAsia="hr-HR" w:bidi="hr-HR"/>
        </w:rPr>
        <w:t xml:space="preserve"> njegova </w:t>
      </w:r>
      <w:r>
        <w:rPr>
          <w:rFonts w:ascii="Times New Roman" w:eastAsia="Times New Roman" w:hAnsi="Times New Roman" w:cs="Times New Roman"/>
          <w:i/>
          <w:iCs/>
          <w:color w:val="000000"/>
          <w:spacing w:val="0"/>
          <w:w w:val="100"/>
          <w:position w:val="0"/>
          <w:shd w:val="clear" w:color="auto" w:fill="auto"/>
          <w:lang w:val="hr-HR" w:eastAsia="hr-HR" w:bidi="hr-HR"/>
        </w:rPr>
        <w:t>mudrost,</w:t>
      </w:r>
      <w:r>
        <w:rPr>
          <w:rFonts w:ascii="Times New Roman" w:eastAsia="Times New Roman" w:hAnsi="Times New Roman" w:cs="Times New Roman"/>
          <w:color w:val="000000"/>
          <w:spacing w:val="0"/>
          <w:w w:val="100"/>
          <w:position w:val="0"/>
          <w:shd w:val="clear" w:color="auto" w:fill="auto"/>
          <w:lang w:val="hr-HR" w:eastAsia="hr-HR" w:bidi="hr-HR"/>
        </w:rPr>
        <w:t xml:space="preserve"> njegov </w:t>
      </w:r>
      <w:r>
        <w:rPr>
          <w:rFonts w:ascii="Times New Roman" w:eastAsia="Times New Roman" w:hAnsi="Times New Roman" w:cs="Times New Roman"/>
          <w:i/>
          <w:iCs/>
          <w:color w:val="000000"/>
          <w:spacing w:val="0"/>
          <w:w w:val="100"/>
          <w:position w:val="0"/>
          <w:shd w:val="clear" w:color="auto" w:fill="auto"/>
          <w:lang w:val="hr-HR" w:eastAsia="hr-HR" w:bidi="hr-HR"/>
        </w:rPr>
        <w:t>duh</w:t>
      </w:r>
      <w:r>
        <w:rPr>
          <w:rFonts w:ascii="Times New Roman" w:eastAsia="Times New Roman" w:hAnsi="Times New Roman" w:cs="Times New Roman"/>
          <w:color w:val="000000"/>
          <w:spacing w:val="0"/>
          <w:w w:val="100"/>
          <w:position w:val="0"/>
          <w:shd w:val="clear" w:color="auto" w:fill="auto"/>
          <w:lang w:val="hr-HR" w:eastAsia="hr-HR" w:bidi="hr-HR"/>
        </w:rPr>
        <w:t xml:space="preserve"> i ko</w:t>
        <w:softHyphen/>
        <w:t xml:space="preserve">načno </w:t>
      </w:r>
      <w:r>
        <w:rPr>
          <w:rFonts w:ascii="Times New Roman" w:eastAsia="Times New Roman" w:hAnsi="Times New Roman" w:cs="Times New Roman"/>
          <w:i/>
          <w:iCs/>
          <w:color w:val="000000"/>
          <w:spacing w:val="0"/>
          <w:w w:val="100"/>
          <w:position w:val="0"/>
          <w:shd w:val="clear" w:color="auto" w:fill="auto"/>
          <w:lang w:val="hr-HR" w:eastAsia="hr-HR" w:bidi="hr-HR"/>
        </w:rPr>
        <w:t>zakon.</w:t>
      </w:r>
      <w:r>
        <w:rPr>
          <w:rFonts w:ascii="Times New Roman" w:eastAsia="Times New Roman" w:hAnsi="Times New Roman" w:cs="Times New Roman"/>
          <w:color w:val="000000"/>
          <w:spacing w:val="0"/>
          <w:w w:val="100"/>
          <w:position w:val="0"/>
          <w:shd w:val="clear" w:color="auto" w:fill="auto"/>
          <w:lang w:val="hr-HR" w:eastAsia="hr-HR" w:bidi="hr-HR"/>
        </w:rPr>
        <w:t xml:space="preserve"> Iako ovi posrednički članovi ni</w:t>
        <w:softHyphen/>
        <w:t>su sam Jahve, oni ga ipak uprisutnjuju u nje</w:t>
        <w:softHyphen/>
        <w:t>govu narodu kao brižnoga Boga koji ljubi.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crti sve jasnije Jahvine volje u SZ da bude imanentan treba također vidjeti i novozavjet- nu Božju sliku. Ovdje je Isus spona s Ocem kojega samo on objavljuje do krajnje vrijed</w:t>
        <w:softHyphen/>
        <w:t>nosti (usp. Mt 11,25-27). U nasljedovanju Is</w:t>
        <w:softHyphen/>
        <w:t>usa, koje nadilazi obdržavanje zakona, do</w:t>
        <w:softHyphen/>
        <w:t>gađa sc istinsko zajedništvo s Ocem (usp. Mk 10,17-22). Pritom Isus ne mijenja Božju bli</w:t>
        <w:softHyphen/>
        <w:t>zinu i neposrednost prema njegovu narodu. Dapače, on to izričito posreduje. On je u svo</w:t>
        <w:softHyphen/>
        <w:t>joj riječi, u svojim činima, čak u svojoj čitavoj osobi Božja blizina. Vjerovanje u uskrsnuće podcrtava da s osobom i poviješću raspetoga i proslavljenoga Isusa Božja potpora čovjeku dosiže svoj najjači i najviši oblik (usp. Heb 1,1 i d.). Zato jer hoće izložiti zašto Isusovo dje</w:t>
        <w:softHyphen/>
        <w:t>lovanje ima takvu snagu, Kol 2,9 izriče iz poslijcuskrsne perspektive: »Budući da u nje</w:t>
        <w:softHyphen/>
        <w:t>mu stanuje stvarno sva punina božanstva« (usp. također Kol 1,19). Bog djeluje svojim pomirujuće otkupljujućim postupcima samo (jedino) u Kristu. To poosobljenje posveću- juće Božje blizine u Isusu priznaje i Iv (14,9): »Tko je vidio mene, vidio je i Oca.« Slično su puni uzvišenosti i Ivanov Proslov (osobito 1, lb) i Tomino oslovljavanje Krista: »Gospodin moj i Bog moj!« (20,28). Upravo ovdje Isus postaje poznat ne samo kao najizvanjskije ostvarenje Božje blizine i djelovanja nego i kao istobitan s Bogom. Što se u Isusu i s Isu</w:t>
        <w:softHyphen/>
        <w:t>som događa, pripada samomu Bogu; dopire u njegovu najdublju nutrinu. Za NZ Isus je Bog u njegovoj posljednjoj povijesno posredova</w:t>
        <w:softHyphen/>
        <w:t>noj neposrednosti prema čovjeku. Pritom Božja transcendcncija nije zato poništena jer za NZ povijesnoj Isusovoj egzistenciji pretho</w:t>
        <w:softHyphen/>
        <w:t>di unutarbožanski odnos i očigledan je u Isu</w:t>
        <w:softHyphen/>
        <w:t>sovoj povijesti: Bog-</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(Iv 1,1 i d.) ili i Olac-Sin (usp. Heb 1,1 i d.).</w:t>
      </w:r>
    </w:p>
    <w:p>
      <w:pPr>
        <w:pStyle w:val="Style20"/>
        <w:keepNext w:val="0"/>
        <w:keepLines w:val="0"/>
        <w:widowControl w:val="0"/>
        <w:shd w:val="clear" w:color="auto" w:fill="auto"/>
        <w:bidi w:val="0"/>
        <w:spacing w:before="0" w:after="0"/>
        <w:ind w:left="0" w:right="0" w:firstLine="0"/>
        <w:jc w:val="both"/>
        <w:sectPr>
          <w:headerReference w:type="default" r:id="rId1519"/>
          <w:footerReference w:type="default" r:id="rId1520"/>
          <w:headerReference w:type="even" r:id="rId1521"/>
          <w:footerReference w:type="even" r:id="rId1522"/>
          <w:footnotePr>
            <w:pos w:val="pageBottom"/>
            <w:numFmt w:val="decimal"/>
            <w:numRestart w:val="continuous"/>
            <w15:footnoteColumns w:val="1"/>
          </w:footnotePr>
          <w:pgSz w:w="6816" w:h="11006"/>
          <w:pgMar w:top="835" w:left="194" w:right="199" w:bottom="278" w:header="0" w:footer="3" w:gutter="0"/>
          <w:pgNumType w:start="498"/>
          <w:cols w:num="2" w:space="19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Isusu pružena Božja neposrednost ne osta</w:t>
        <w:softHyphen/>
        <w:t>je skučena na ograničeno vrijeme njegova jav</w:t>
        <w:softHyphen/>
        <w:t>nog djelovanja nego eshatološkim darom Du</w:t>
        <w:softHyphen/>
        <w:t>ha Svetoga (usp. Iz 44,3; JI 3,1-5) postaje ne</w:t>
        <w:softHyphen/>
        <w:t>prestana stvarnost koja prožima čovjeka sva</w:t>
        <w:softHyphen/>
        <w:t>koga povijesnog trenutka (Rim 8, 11.14-17; Gal 4,6 i d). Duh Sveti ne da se izjednačiti ni s</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Ocem ni sa Sinom. On je Božja prisutnost u čovjeku koja nastavlja Isusovo otkupiteljsko djelo; čovjeka koji je podložan smrti zbog gri</w:t>
        <w:softHyphen/>
        <w:t>jeha posvećuje za vječni život (Rim 8,1); on okuplja mnoge u priznavanju Krista (1 Kor 12,3) i molitvi koja sjedinjuje (Gal 4,6). Duh Sveti je sam Bog u svojoj životvornoj samo- otvorenosti (usp. 1 Kor 2,11). Imenima Otac, Sin i Duh Sveti navedena su ona nezamjenjiva imena jednoga Boga koja kasnije promišljanje naziva osobom. To se događa zato što tri božanska imena ne predstavljaju zapravo je</w:t>
        <w:softHyphen/>
        <w:t>dan božanski proces nego osobnu stvarnost samoga Boga koja je zacrtana poviješću ob</w:t>
        <w:softHyphen/>
        <w:t>jave i koja se može dozvati u molitvi. Iz svijesti da su tri božanska imena zbroj božanskoga spasenjskog djelovanja, Pavao formulira troj- stveni blagoslov: »Milost Gospodina Isusa Kris</w:t>
        <w:softHyphen/>
        <w:t>ta, ljubav Boga (Oca) i zajedništvo Duha Sve</w:t>
        <w:softHyphen/>
        <w:t>toga neka budu sa svima vama!« (2 Kor 1.3, 13). Time kao sadržaj trojstvenog vjerovanja u Boga proizlazi da se jedan Bog u Isusu Kristu pokazao kao onaj koji je sve do noći patnje i smrti ljudima neposredno blizu i kao onaj koji sebe daruje pa je kao takav u Duhu Svetome trajno nazočan svome narodu.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Teologija stare Crkve vrlo brzo pokušava od</w:t>
        <w:softHyphen/>
        <w:t>rediti unutarnji odnos ovih triju naziva. Stro</w:t>
        <w:softHyphen/>
        <w:t>go razlučivanje od poganskog politeizma bila je zajednička pretpostavka sa židovstvom. Na</w:t>
        <w:softHyphen/>
        <w:t>dalje, trebalo se suprotstaviti onim ugrožava</w:t>
        <w:softHyphen/>
        <w:t>njima trostruke stvarnosti objave koja su bila sažeta pod višim pojmom modalizma. Ovi su se pokušaji objašnjavanja pridržavali tradici</w:t>
        <w:softHyphen/>
        <w:t>jom prenesenog vjerovanja u T. formalno ali ne i sadržajno; u Ocu, Sinu i Duhu vide samo načine pojavljivanja jednoga Boga. No tako se dostatno ozbiljno ne uzima stvarno značenje Trojstva u ekonomiji spasenja pa ono ostaje u osnovi samo prividno. Stvarno samopriopća- vanje Boga nije se učilo; on ostaje skriven iza svojih različitih očitovanja. Isto vrijedi i za raz</w:t>
        <w:softHyphen/>
        <w:t>ličite oblike metafizičkog subordinacionizma. Tako Arije (u. 336) ne uči ni o kakvom stvar</w:t>
        <w:softHyphen/>
        <w:t>nom samopriopćavanju jednoga Boga kada govori o Logosu kao »drugom« Bogu kojem je svojstvena umanjena transcendencija. Ako gledamo na oba nedostatna pracrkvena po</w:t>
        <w:softHyphen/>
        <w:t>kušaja objašnjenja, neminovan je zaključak da ekonomija spasenja samo tada može biti pri</w:t>
        <w:softHyphen/>
        <w:t xml:space="preserve">hvaćena u svojem punom stvarnom sadržaju ako joj odgovara unutarbožanski pandan kao </w:t>
      </w:r>
      <w:r>
        <w:rPr>
          <w:rFonts w:ascii="Times New Roman" w:eastAsia="Times New Roman" w:hAnsi="Times New Roman" w:cs="Times New Roman"/>
          <w:color w:val="000000"/>
          <w:spacing w:val="0"/>
          <w:w w:val="100"/>
          <w:position w:val="0"/>
          <w:shd w:val="clear" w:color="auto" w:fill="auto"/>
          <w:lang w:val="hr-HR" w:eastAsia="hr-HR" w:bidi="hr-HR"/>
        </w:rPr>
        <w:t>temelj omogućavanja. Tako oba ekumenska koncila: Nicejski (325) i Carigradski (381) na</w:t>
        <w:softHyphen/>
        <w:t xml:space="preserve">učavaju da je jedan Bog sam u sebi trojstven, a ne tek u svom djelovanju: vječni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i vječni Duh »iste su biti s Ocem« (DS 125.150). Time treba biti rečeno da jedan Bog nije Deus soli- tarius niti nepromjenljivo načelo koje u vječ</w:t>
        <w:softHyphen/>
        <w:t>noj nepomičnosti stoji iza svega što jest, nego da u njegovu bit pripadaju: odnos, predanje i ljubav; ova osobna svojstva vrijede mu neza</w:t>
        <w:softHyphen/>
        <w:t>visno od njegova odnosa prema svijetu.</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Drugačije bi se moralo govoriti o prirodnoj Božjoj emanaciji i time bi Bogu nedostajao taj moment osobne, slobodno davane ljubavi. Bog može za nas biti samo onda Bog koji ljubi ako on to i u sebi jest, ako je u njemu napetost iz</w:t>
        <w:softHyphen/>
        <w:t>vora i poslanja, tako da njegovo povijesno sa- mopriopćavanje ne znači nužno suzdržanost transccndcncijc.</w:t>
      </w:r>
    </w:p>
    <w:p>
      <w:pPr>
        <w:pStyle w:val="Style20"/>
        <w:keepNext w:val="0"/>
        <w:keepLines w:val="0"/>
        <w:widowControl w:val="0"/>
        <w:shd w:val="clear" w:color="auto" w:fill="auto"/>
        <w:bidi w:val="0"/>
        <w:spacing w:before="0" w:after="8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bi se misterij trojedinoga Boga, kako je is</w:t>
        <w:softHyphen/>
        <w:t xml:space="preserve">kazan u crkvenom nauku, približio ljudskoj sposobnosti predočavanja, upotrebljavale su se tijekom povijesti različite slike. Polazeći od toga da je čovjek Božja slika,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vidi u trostrukoj strukturi ljudskoga duševnog života analogije da bi izrazio Božju trojedinost; on razvija ternar: esse - nosse - vcllc (biti - spo</w:t>
        <w:softHyphen/>
        <w:t xml:space="preserve">znati - htjeti), </w:t>
      </w:r>
      <w:r>
        <w:rPr>
          <w:rFonts w:ascii="Times New Roman" w:eastAsia="Times New Roman" w:hAnsi="Times New Roman" w:cs="Times New Roman"/>
          <w:color w:val="000000"/>
          <w:spacing w:val="0"/>
          <w:w w:val="100"/>
          <w:position w:val="0"/>
          <w:shd w:val="clear" w:color="auto" w:fill="auto"/>
          <w:lang w:val="en-US" w:eastAsia="en-US" w:bidi="en-US"/>
        </w:rPr>
        <w:t xml:space="preserve">mens </w:t>
      </w:r>
      <w:r>
        <w:rPr>
          <w:rFonts w:ascii="Times New Roman" w:eastAsia="Times New Roman" w:hAnsi="Times New Roman" w:cs="Times New Roman"/>
          <w:color w:val="000000"/>
          <w:spacing w:val="0"/>
          <w:w w:val="100"/>
          <w:position w:val="0"/>
          <w:shd w:val="clear" w:color="auto" w:fill="auto"/>
          <w:lang w:val="hr-HR" w:eastAsia="hr-HR" w:bidi="hr-HR"/>
        </w:rPr>
        <w:t xml:space="preserve">- notitia - amor (duh - spoznaja sebe - ljubav prema sebi), memoria - intclligcntia - </w:t>
      </w:r>
      <w:r>
        <w:rPr>
          <w:rFonts w:ascii="Times New Roman" w:eastAsia="Times New Roman" w:hAnsi="Times New Roman" w:cs="Times New Roman"/>
          <w:color w:val="000000"/>
          <w:spacing w:val="0"/>
          <w:w w:val="100"/>
          <w:position w:val="0"/>
          <w:shd w:val="clear" w:color="auto" w:fill="auto"/>
          <w:lang w:val="en-US" w:eastAsia="en-US" w:bidi="en-US"/>
        </w:rPr>
        <w:t xml:space="preserve">voluntas </w:t>
      </w:r>
      <w:r>
        <w:rPr>
          <w:rFonts w:ascii="Times New Roman" w:eastAsia="Times New Roman" w:hAnsi="Times New Roman" w:cs="Times New Roman"/>
          <w:color w:val="000000"/>
          <w:spacing w:val="0"/>
          <w:w w:val="100"/>
          <w:position w:val="0"/>
          <w:shd w:val="clear" w:color="auto" w:fill="auto"/>
          <w:lang w:val="hr-HR" w:eastAsia="hr-HR" w:bidi="hr-HR"/>
        </w:rPr>
        <w:t>(pamćenje - um - volja). Ostale slike, koje se osobito upotreb</w:t>
        <w:softHyphen/>
        <w:t>ljavaju u istočnoj teologiji jesu: izvor, rijeka, more; korijen, grana, plod; sunce u svojoj svjetlosti i svojoj toplini. Za Augustina su ove i slične analogije kao i njegovi trojstveno-teo- loški pojmovi: odnos i osoba, sjenovite slike da se u pogledu misterija Trojstva ne bi dogo</w:t>
        <w:softHyphen/>
        <w:t>dilo da se ne kaže ništa; one su pomoć stvo</w:t>
        <w:softHyphen/>
        <w:t>rena u nuždi da u slavljenju i u naviještanju Boga ne bismo ostali nijemi.</w:t>
      </w:r>
    </w:p>
    <w:p>
      <w:pPr>
        <w:pStyle w:val="Style56"/>
        <w:keepNext w:val="0"/>
        <w:keepLines w:val="0"/>
        <w:widowControl w:val="0"/>
        <w:shd w:val="clear" w:color="auto" w:fill="auto"/>
        <w:tabs>
          <w:tab w:pos="2410" w:val="left"/>
        </w:tabs>
        <w:bidi w:val="0"/>
        <w:spacing w:before="0" w:after="30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W. Kaspcr. </w:t>
      </w:r>
      <w:r>
        <w:rPr>
          <w:i/>
          <w:iCs/>
          <w:color w:val="000000"/>
          <w:spacing w:val="0"/>
          <w:w w:val="100"/>
          <w:position w:val="0"/>
          <w:shd w:val="clear" w:color="auto" w:fill="auto"/>
          <w:lang w:val="hr-HR" w:eastAsia="hr-HR" w:bidi="hr-HR"/>
        </w:rPr>
        <w:t xml:space="preserve">Der Goti Jesu </w:t>
      </w:r>
      <w:r>
        <w:rPr>
          <w:i/>
          <w:iCs/>
          <w:color w:val="000000"/>
          <w:spacing w:val="0"/>
          <w:w w:val="100"/>
          <w:position w:val="0"/>
          <w:shd w:val="clear" w:color="auto" w:fill="auto"/>
        </w:rPr>
        <w:t>Christi,</w:t>
      </w:r>
      <w:r>
        <w:rPr>
          <w:color w:val="000000"/>
          <w:spacing w:val="0"/>
          <w:w w:val="100"/>
          <w:position w:val="0"/>
          <w:shd w:val="clear" w:color="auto" w:fill="auto"/>
        </w:rPr>
        <w:t xml:space="preserve"> Mainz </w:t>
      </w:r>
      <w:r>
        <w:rPr>
          <w:color w:val="000000"/>
          <w:spacing w:val="0"/>
          <w:w w:val="100"/>
          <w:position w:val="0"/>
          <w:shd w:val="clear" w:color="auto" w:fill="auto"/>
          <w:lang w:val="hr-HR" w:eastAsia="hr-HR" w:bidi="hr-HR"/>
        </w:rPr>
        <w:t xml:space="preserve">1982 (v. tamo literaturu); L. </w:t>
      </w:r>
      <w:r>
        <w:rPr>
          <w:color w:val="000000"/>
          <w:spacing w:val="0"/>
          <w:w w:val="100"/>
          <w:position w:val="0"/>
          <w:shd w:val="clear" w:color="auto" w:fill="auto"/>
        </w:rPr>
        <w:t xml:space="preserve">Schcffczyk, </w:t>
      </w:r>
      <w:r>
        <w:rPr>
          <w:i/>
          <w:iCs/>
          <w:color w:val="000000"/>
          <w:spacing w:val="0"/>
          <w:w w:val="100"/>
          <w:position w:val="0"/>
          <w:shd w:val="clear" w:color="auto" w:fill="auto"/>
          <w:lang w:val="hr-HR" w:eastAsia="hr-HR" w:bidi="hr-HR"/>
        </w:rPr>
        <w:t xml:space="preserve">Der eine und dreifaltige Goti, </w:t>
      </w:r>
      <w:r>
        <w:rPr>
          <w:color w:val="000000"/>
          <w:spacing w:val="0"/>
          <w:w w:val="100"/>
          <w:position w:val="0"/>
          <w:shd w:val="clear" w:color="auto" w:fill="auto"/>
          <w:lang w:val="hr-HR" w:eastAsia="hr-HR" w:bidi="hr-HR"/>
        </w:rPr>
        <w:t xml:space="preserve">Maitiz 1968; F. Courth. Das trinitansehe </w:t>
      </w:r>
      <w:r>
        <w:rPr>
          <w:color w:val="000000"/>
          <w:spacing w:val="0"/>
          <w:w w:val="100"/>
          <w:position w:val="0"/>
          <w:shd w:val="clear" w:color="auto" w:fill="auto"/>
        </w:rPr>
        <w:t xml:space="preserve">Goucsbckcnntnh </w:t>
      </w:r>
      <w:r>
        <w:rPr>
          <w:color w:val="000000"/>
          <w:spacing w:val="0"/>
          <w:w w:val="100"/>
          <w:position w:val="0"/>
          <w:shd w:val="clear" w:color="auto" w:fill="auto"/>
          <w:lang w:val="hr-HR" w:eastAsia="hr-HR" w:bidi="hr-HR"/>
        </w:rPr>
        <w:t xml:space="preserve">ah </w:t>
      </w:r>
      <w:r>
        <w:rPr>
          <w:color w:val="000000"/>
          <w:spacing w:val="0"/>
          <w:w w:val="100"/>
          <w:position w:val="0"/>
          <w:shd w:val="clear" w:color="auto" w:fill="auto"/>
        </w:rPr>
        <w:t xml:space="preserve">die Wcscnsausagc </w:t>
      </w:r>
      <w:r>
        <w:rPr>
          <w:color w:val="000000"/>
          <w:spacing w:val="0"/>
          <w:w w:val="100"/>
          <w:position w:val="0"/>
          <w:shd w:val="clear" w:color="auto" w:fill="auto"/>
          <w:lang w:val="hr-HR" w:eastAsia="hr-HR" w:bidi="hr-HR"/>
        </w:rPr>
        <w:t>des christlichcn Glaubcns, u; M'l”hZ 29(1978)1 - 19 (v. lit).</w:t>
        <w:tab/>
        <w:t>F. COURTH</w:t>
      </w:r>
    </w:p>
    <w:p>
      <w:pPr>
        <w:pStyle w:val="Style63"/>
        <w:keepNext/>
        <w:keepLines/>
        <w:widowControl w:val="0"/>
        <w:numPr>
          <w:ilvl w:val="0"/>
          <w:numId w:val="585"/>
        </w:numPr>
        <w:shd w:val="clear" w:color="auto" w:fill="auto"/>
        <w:tabs>
          <w:tab w:pos="255" w:val="left"/>
        </w:tabs>
        <w:bidi w:val="0"/>
        <w:spacing w:before="0" w:after="80" w:line="226" w:lineRule="auto"/>
        <w:ind w:left="0" w:right="0" w:firstLine="0"/>
        <w:jc w:val="both"/>
      </w:pPr>
      <w:bookmarkStart w:id="376" w:name="bookmark376"/>
      <w:r>
        <w:rPr>
          <w:rFonts w:ascii="Times New Roman" w:eastAsia="Times New Roman" w:hAnsi="Times New Roman" w:cs="Times New Roman"/>
          <w:color w:val="000000"/>
          <w:spacing w:val="0"/>
          <w:w w:val="100"/>
          <w:position w:val="0"/>
          <w:shd w:val="clear" w:color="auto" w:fill="auto"/>
          <w:lang w:val="hr-HR" w:eastAsia="hr-HR" w:bidi="hr-HR"/>
        </w:rPr>
        <w:t>islamski</w:t>
      </w:r>
      <w:bookmarkEnd w:id="376"/>
    </w:p>
    <w:p>
      <w:pPr>
        <w:pStyle w:val="Style20"/>
        <w:keepNext w:val="0"/>
        <w:keepLines w:val="0"/>
        <w:widowControl w:val="0"/>
        <w:shd w:val="clear" w:color="auto" w:fill="auto"/>
        <w:bidi w:val="0"/>
        <w:spacing w:before="0" w:after="0" w:line="240" w:lineRule="auto"/>
        <w:ind w:left="0" w:right="0" w:firstLine="0"/>
        <w:jc w:val="both"/>
        <w:sectPr>
          <w:headerReference w:type="default" r:id="rId1523"/>
          <w:footerReference w:type="default" r:id="rId1524"/>
          <w:headerReference w:type="even" r:id="rId1525"/>
          <w:footerReference w:type="even" r:id="rId1526"/>
          <w:footnotePr>
            <w:pos w:val="pageBottom"/>
            <w:numFmt w:val="decimal"/>
            <w:numRestart w:val="continuous"/>
            <w15:footnoteColumns w:val="1"/>
          </w:footnotePr>
          <w:pgSz w:w="6816" w:h="11006"/>
          <w:pgMar w:top="835" w:left="194" w:right="199" w:bottom="278" w:header="0" w:footer="3" w:gutter="0"/>
          <w:pgNumType w:start="503"/>
          <w:cols w:num="2" w:space="19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Islam oštro osuđuje nauk o Trojstvu zato što u tome vidi prijestup protiv monoteizma. Do</w:t>
        <w:softHyphen/>
        <w:t>duše, nemali broj muslimana krivo shvaća T. kao triteizam, no ipak su pravi islamski uče</w:t>
        <w:softHyphen/>
      </w:r>
    </w:p>
    <w:p>
      <w:pPr>
        <w:pStyle w:val="Style20"/>
        <w:keepNext w:val="0"/>
        <w:keepLines w:val="0"/>
        <w:widowControl w:val="0"/>
        <w:shd w:val="clear" w:color="auto" w:fill="auto"/>
        <w:bidi w:val="0"/>
        <w:spacing w:before="0" w:after="0" w:line="240" w:lineRule="auto"/>
        <w:ind w:left="0" w:right="0" w:firstLine="0"/>
        <w:jc w:val="both"/>
        <w:sectPr>
          <w:headerReference w:type="default" r:id="rId1527"/>
          <w:footerReference w:type="default" r:id="rId1528"/>
          <w:headerReference w:type="even" r:id="rId1529"/>
          <w:footerReference w:type="even" r:id="rId1530"/>
          <w:footnotePr>
            <w:pos w:val="pageBottom"/>
            <w:numFmt w:val="decimal"/>
            <w:numRestart w:val="continuous"/>
            <w15:footnoteColumns w:val="1"/>
          </w:footnotePr>
          <w:pgSz w:w="6816" w:h="11006"/>
          <w:pgMar w:top="835" w:left="194" w:right="199" w:bottom="278" w:header="0" w:footer="3" w:gutter="0"/>
          <w:pgNumType w:start="500"/>
          <w:cols w:num="2" w:space="19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njaci, pa i onih iz starijih vremena, načistu o tome, kakvo značenje T. ima u kršćanskoj teo</w:t>
        <w:softHyphen/>
        <w:t>logiji. Vođeni općenito prevladavajućim opredjeljenjem za jedincatost i jedinstvo Bo</w:t>
        <w:softHyphen/>
        <w:t>ga, oni se odlučno suprotstavljaju Trojstvu. Pritom se iznose teološki, ali i logički argu</w:t>
        <w:softHyphen/>
        <w:t xml:space="preserve">menti. Kako se to u pojedinostima događa, pokazuje jedan citat iz djela </w:t>
      </w:r>
      <w:r>
        <w:rPr>
          <w:rFonts w:ascii="Times New Roman" w:eastAsia="Times New Roman" w:hAnsi="Times New Roman" w:cs="Times New Roman"/>
          <w:i/>
          <w:iCs/>
          <w:color w:val="000000"/>
          <w:spacing w:val="0"/>
          <w:w w:val="100"/>
          <w:position w:val="0"/>
          <w:shd w:val="clear" w:color="auto" w:fill="auto"/>
          <w:lang w:val="hr-HR" w:eastAsia="hr-HR" w:bidi="hr-HR"/>
        </w:rPr>
        <w:t>al-Akhbar</w:t>
      </w:r>
      <w:r>
        <w:rPr>
          <w:rFonts w:ascii="Times New Roman" w:eastAsia="Times New Roman" w:hAnsi="Times New Roman" w:cs="Times New Roman"/>
          <w:color w:val="000000"/>
          <w:spacing w:val="0"/>
          <w:w w:val="100"/>
          <w:position w:val="0"/>
          <w:shd w:val="clear" w:color="auto" w:fill="auto"/>
          <w:lang w:val="hr-HR" w:eastAsia="hr-HR" w:bidi="hr-HR"/>
        </w:rPr>
        <w:t xml:space="preserve"> (Pro</w:t>
        <w:softHyphen/>
        <w:t xml:space="preserve">fane predaje) koje je napisao </w:t>
      </w:r>
      <w:r>
        <w:rPr>
          <w:rFonts w:ascii="Times New Roman" w:eastAsia="Times New Roman" w:hAnsi="Times New Roman" w:cs="Times New Roman"/>
          <w:color w:val="000000"/>
          <w:spacing w:val="0"/>
          <w:w w:val="100"/>
          <w:position w:val="0"/>
          <w:shd w:val="clear" w:color="auto" w:fill="auto"/>
          <w:lang w:val="en-US" w:eastAsia="en-US" w:bidi="en-US"/>
        </w:rPr>
        <w:t xml:space="preserve">‘Amr </w:t>
      </w:r>
      <w:r>
        <w:rPr>
          <w:rFonts w:ascii="Times New Roman" w:eastAsia="Times New Roman" w:hAnsi="Times New Roman" w:cs="Times New Roman"/>
          <w:color w:val="000000"/>
          <w:spacing w:val="0"/>
          <w:w w:val="100"/>
          <w:position w:val="0"/>
          <w:shd w:val="clear" w:color="auto" w:fill="auto"/>
          <w:lang w:val="hr-HR" w:eastAsia="hr-HR" w:bidi="hr-HR"/>
        </w:rPr>
        <w:t>ibn Bahr al-Djahiz (u. 869), predstavnik racionalističke teologije: »Kao što lampa treba ulje, fitilj i spremnik, tako je kod njih bit Boga trodijelna. Oni tvrde daje stvorenje postalo Stvoriteljem, da se sluga preobrazio u gospodara i da se jedno stvoreno biće pretvorilo u vječno posto</w:t>
        <w:softHyphen/>
        <w:t>jeće, ali da je potom bilo ubijeno i raspeto, da je nestalo i da je na njegovu glavu stavljena kruna od tmja; zatim da je nakon svoje smrti ponovno oživjelo. Ali ako je on dozvolio svo</w:t>
        <w:softHyphen/>
        <w:t xml:space="preserve">jim slugama da ga uhite i vežu, i ako im je dao vlast da ga ubiju, onda je to učinio samo zato </w:t>
      </w:r>
      <w:r>
        <w:rPr>
          <w:rFonts w:ascii="Times New Roman" w:eastAsia="Times New Roman" w:hAnsi="Times New Roman" w:cs="Times New Roman"/>
          <w:color w:val="000000"/>
          <w:spacing w:val="0"/>
          <w:w w:val="100"/>
          <w:position w:val="0"/>
          <w:shd w:val="clear" w:color="auto" w:fill="auto"/>
          <w:lang w:val="hr-HR" w:eastAsia="hr-HR" w:bidi="hr-HR"/>
        </w:rPr>
        <w:t>da bi podijelio patnju svojih sinova i učinio im prihvatljivim da mu postanu sličnim, da bi neznatnim smatrali svako zlo koje im se čini, da se ne hvale svojim djelima i da se trude učiniti što je više moguće za svojega Gospo</w:t>
        <w:softHyphen/>
        <w:t>dina. Njihovo je pokajanje veće od njihova grijeha«. Pod dojmom rastuće spremnosti za dijalog između kršćanstva i islama u zadnje se vrijeme zastupa nazor da Kuran ne odbacuje ortodoksni kršćanski nauk, već jednu od nje</w:t>
        <w:softHyphen/>
        <w:t xml:space="preserve">govih heretičkih interpretacija, naime tritei- zam. O tome engleski teolog i islamolog W. M. </w:t>
      </w:r>
      <w:r>
        <w:rPr>
          <w:rFonts w:ascii="Times New Roman" w:eastAsia="Times New Roman" w:hAnsi="Times New Roman" w:cs="Times New Roman"/>
          <w:color w:val="000000"/>
          <w:spacing w:val="0"/>
          <w:w w:val="100"/>
          <w:position w:val="0"/>
          <w:shd w:val="clear" w:color="auto" w:fill="auto"/>
          <w:lang w:val="en-US" w:eastAsia="en-US" w:bidi="en-US"/>
        </w:rPr>
        <w:t xml:space="preserve">Watt </w:t>
      </w:r>
      <w:r>
        <w:rPr>
          <w:rFonts w:ascii="Times New Roman" w:eastAsia="Times New Roman" w:hAnsi="Times New Roman" w:cs="Times New Roman"/>
          <w:color w:val="000000"/>
          <w:spacing w:val="0"/>
          <w:w w:val="100"/>
          <w:position w:val="0"/>
          <w:shd w:val="clear" w:color="auto" w:fill="auto"/>
          <w:lang w:val="hr-HR" w:eastAsia="hr-HR" w:bidi="hr-HR"/>
        </w:rPr>
        <w:t>daje objašnjenje: »U ortodoksnim vjeroispovijestima kršćani ispovijedaju svoju vjeru u jednoga jedinog Boga i službeno ospo</w:t>
        <w:softHyphen/>
        <w:t xml:space="preserve">ravaju da vjeruju u tri Boga. Drugim riječima: kršćani su monoteisti i nisu nikakvi triteisti. Sigurno da neki obični kršćani mogu zapasti u nešto poput zablude triteizma, no oni su kao triteisti heretici« (W. M. </w:t>
      </w:r>
      <w:r>
        <w:rPr>
          <w:rFonts w:ascii="Times New Roman" w:eastAsia="Times New Roman" w:hAnsi="Times New Roman" w:cs="Times New Roman"/>
          <w:color w:val="000000"/>
          <w:spacing w:val="0"/>
          <w:w w:val="100"/>
          <w:position w:val="0"/>
          <w:shd w:val="clear" w:color="auto" w:fill="auto"/>
          <w:lang w:val="en-US" w:eastAsia="en-US" w:bidi="en-US"/>
        </w:rPr>
        <w:t xml:space="preserve">Watt/A. </w:t>
      </w:r>
      <w:r>
        <w:rPr>
          <w:rFonts w:ascii="Times New Roman" w:eastAsia="Times New Roman" w:hAnsi="Times New Roman" w:cs="Times New Roman"/>
          <w:color w:val="000000"/>
          <w:spacing w:val="0"/>
          <w:w w:val="100"/>
          <w:position w:val="0"/>
          <w:shd w:val="clear" w:color="auto" w:fill="auto"/>
          <w:lang w:val="hr-HR" w:eastAsia="hr-HR" w:bidi="hr-HR"/>
        </w:rPr>
        <w:t xml:space="preserve">T. </w:t>
      </w:r>
      <w:r>
        <w:rPr>
          <w:rFonts w:ascii="Times New Roman" w:eastAsia="Times New Roman" w:hAnsi="Times New Roman" w:cs="Times New Roman"/>
          <w:color w:val="000000"/>
          <w:spacing w:val="0"/>
          <w:w w:val="100"/>
          <w:position w:val="0"/>
          <w:shd w:val="clear" w:color="auto" w:fill="auto"/>
          <w:lang w:val="en-US" w:eastAsia="en-US" w:bidi="en-US"/>
        </w:rPr>
        <w:t xml:space="preserve">Welch, </w:t>
      </w:r>
      <w:r>
        <w:rPr>
          <w:rFonts w:ascii="Times New Roman" w:eastAsia="Times New Roman" w:hAnsi="Times New Roman" w:cs="Times New Roman"/>
          <w:i/>
          <w:iCs/>
          <w:color w:val="000000"/>
          <w:spacing w:val="0"/>
          <w:w w:val="100"/>
          <w:position w:val="0"/>
          <w:shd w:val="clear" w:color="auto" w:fill="auto"/>
          <w:lang w:val="hr-HR" w:eastAsia="hr-HR" w:bidi="hr-HR"/>
        </w:rPr>
        <w:t>DerIslam,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I, Stuttgart </w:t>
      </w:r>
      <w:r>
        <w:rPr>
          <w:rFonts w:ascii="Times New Roman" w:eastAsia="Times New Roman" w:hAnsi="Times New Roman" w:cs="Times New Roman"/>
          <w:color w:val="000000"/>
          <w:spacing w:val="0"/>
          <w:w w:val="100"/>
          <w:position w:val="0"/>
          <w:shd w:val="clear" w:color="auto" w:fill="auto"/>
          <w:lang w:val="hr-HR" w:eastAsia="hr-HR" w:bidi="hr-HR"/>
        </w:rPr>
        <w:t xml:space="preserve">1980,126-7). s. </w:t>
      </w:r>
      <w:r>
        <w:rPr>
          <w:rFonts w:ascii="Times New Roman" w:eastAsia="Times New Roman" w:hAnsi="Times New Roman" w:cs="Times New Roman"/>
          <w:smallCaps/>
          <w:color w:val="000000"/>
          <w:spacing w:val="0"/>
          <w:w w:val="100"/>
          <w:position w:val="0"/>
          <w:shd w:val="clear" w:color="auto" w:fill="auto"/>
          <w:lang w:val="hr-HR" w:eastAsia="hr-HR" w:bidi="hr-HR"/>
        </w:rPr>
        <w:t>baijć</w:t>
      </w:r>
    </w:p>
    <w:p>
      <w:pPr>
        <w:rPr>
          <w:sz w:val="2"/>
          <w:szCs w:val="2"/>
        </w:rPr>
        <w:sectPr>
          <w:footnotePr>
            <w:pos w:val="pageBottom"/>
            <w:numFmt w:val="decimal"/>
            <w:numRestart w:val="continuous"/>
            <w15:footnoteColumns w:val="1"/>
          </w:footnotePr>
          <w:type w:val="continuous"/>
          <w:pgSz w:w="6816" w:h="11006"/>
          <w:pgMar w:top="835" w:left="194" w:right="199" w:bottom="278" w:header="0" w:footer="3" w:gutter="0"/>
          <w:cols w:num="2" w:space="194"/>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60" w:after="60" w:line="240" w:lineRule="exact"/>
        <w:rPr>
          <w:sz w:val="19"/>
          <w:szCs w:val="19"/>
        </w:rPr>
      </w:pPr>
    </w:p>
    <w:p>
      <w:pPr>
        <w:widowControl w:val="0"/>
        <w:spacing w:line="1" w:lineRule="exact"/>
        <w:sectPr>
          <w:headerReference w:type="default" r:id="rId1531"/>
          <w:footerReference w:type="default" r:id="rId1532"/>
          <w:headerReference w:type="even" r:id="rId1533"/>
          <w:footerReference w:type="even" r:id="rId1534"/>
          <w:footnotePr>
            <w:pos w:val="pageBottom"/>
            <w:numFmt w:val="decimal"/>
            <w:numRestart w:val="continuous"/>
            <w15:footnoteColumns w:val="1"/>
          </w:footnotePr>
          <w:pgSz w:w="6816" w:h="11006"/>
          <w:pgMar w:top="981" w:left="189" w:right="195" w:bottom="469" w:header="0" w:footer="3" w:gutter="0"/>
          <w:pgNumType w:start="505"/>
          <w:cols w:num="2" w:space="178"/>
          <w:noEndnote/>
          <w:rtlGutter w:val="0"/>
          <w:docGrid w:linePitch="360"/>
        </w:sectPr>
      </w:pP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UČITELJSTVO</w:t>
      </w:r>
    </w:p>
    <w:p>
      <w:pPr>
        <w:pStyle w:val="Style63"/>
        <w:keepNext/>
        <w:keepLines/>
        <w:widowControl w:val="0"/>
        <w:numPr>
          <w:ilvl w:val="0"/>
          <w:numId w:val="587"/>
        </w:numPr>
        <w:shd w:val="clear" w:color="auto" w:fill="auto"/>
        <w:tabs>
          <w:tab w:pos="246" w:val="left"/>
        </w:tabs>
        <w:bidi w:val="0"/>
        <w:spacing w:before="0"/>
        <w:ind w:left="0" w:right="0" w:firstLine="0"/>
        <w:jc w:val="both"/>
      </w:pPr>
      <w:bookmarkStart w:id="377" w:name="bookmark377"/>
      <w:r>
        <w:rPr>
          <w:rFonts w:ascii="Times New Roman" w:eastAsia="Times New Roman" w:hAnsi="Times New Roman" w:cs="Times New Roman"/>
          <w:color w:val="000000"/>
          <w:spacing w:val="0"/>
          <w:w w:val="100"/>
          <w:position w:val="0"/>
          <w:shd w:val="clear" w:color="auto" w:fill="auto"/>
          <w:lang w:val="hr-HR" w:eastAsia="hr-HR" w:bidi="hr-HR"/>
        </w:rPr>
        <w:t>židovski</w:t>
      </w:r>
      <w:bookmarkEnd w:id="377"/>
    </w:p>
    <w:p>
      <w:pPr>
        <w:pStyle w:val="Style20"/>
        <w:keepNext w:val="0"/>
        <w:keepLines w:val="0"/>
        <w:widowControl w:val="0"/>
        <w:numPr>
          <w:ilvl w:val="0"/>
          <w:numId w:val="589"/>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»Tko uči, a ne podučava, nema veče ništav</w:t>
        <w:softHyphen/>
        <w:t>nosti.«</w:t>
      </w:r>
      <w:r>
        <w:rPr>
          <w:rFonts w:ascii="Times New Roman" w:eastAsia="Times New Roman" w:hAnsi="Times New Roman" w:cs="Times New Roman"/>
          <w:color w:val="000000"/>
          <w:spacing w:val="0"/>
          <w:w w:val="100"/>
          <w:position w:val="0"/>
          <w:shd w:val="clear" w:color="auto" w:fill="auto"/>
          <w:lang w:val="hr-HR" w:eastAsia="hr-HR" w:bidi="hr-HR"/>
        </w:rPr>
        <w:t xml:space="preserve"> Na osnovi Božjega zahtjeva: «... vi ćete mi biti kraljevstvo svećenika, narod svet« (Izl 19,6) i traženja: »Sveti budite! Jer sam svet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usp. 11,44 i d.; 20,7.26), »držite moje zakone i vršite ih, JA vas posve</w:t>
        <w:softHyphen/>
        <w:t>ćujem« (20,8), židovski se narod uvijek sma</w:t>
        <w:softHyphen/>
        <w:t>trao zajednicom učitelja i učenika (Pnz 6,6-9;</w:t>
      </w:r>
    </w:p>
    <w:p>
      <w:pPr>
        <w:pStyle w:val="Style20"/>
        <w:keepNext w:val="0"/>
        <w:keepLines w:val="0"/>
        <w:widowControl w:val="0"/>
        <w:numPr>
          <w:ilvl w:val="0"/>
          <w:numId w:val="591"/>
        </w:numPr>
        <w:shd w:val="clear" w:color="auto" w:fill="auto"/>
        <w:tabs>
          <w:tab w:pos="318" w:val="left"/>
        </w:tabs>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 31,12 i d.; Neh 8,1 i d.; 2 Ljet 17,7-9) kako bi ispunio Božju volju: »Tko uči da bi primijenio znanje, pružit će mu se prilika da uči i podučava, da promatra i primjenjuje« (M Avot IV,5). Predajom sc prenijela izreka »lju</w:t>
        <w:softHyphen/>
        <w:t xml:space="preserve">di velike skupštine« (j Berahot II,4d; b Mcgila 17b; 2a; Baba Batra 15a): »Okupite mnoge učenike«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 llilel (30. pr. Kr. duhovni vođa židovstva, b Sabat 15a) upozorava: »Vo</w:t>
        <w:softHyphen/>
        <w:t xml:space="preserve">di ih (ljude) k Tori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1,12) i obrazlaže: »Neuki </w:t>
      </w:r>
      <w:r>
        <w:rPr>
          <w:rFonts w:ascii="Times New Roman" w:eastAsia="Times New Roman" w:hAnsi="Times New Roman" w:cs="Times New Roman"/>
          <w:i/>
          <w:iCs/>
          <w:color w:val="000000"/>
          <w:spacing w:val="0"/>
          <w:w w:val="100"/>
          <w:position w:val="0"/>
          <w:shd w:val="clear" w:color="auto" w:fill="auto"/>
          <w:lang w:val="en-US" w:eastAsia="en-US" w:bidi="en-US"/>
        </w:rPr>
        <w:t xml:space="preserve">(‘am </w:t>
      </w:r>
      <w:r>
        <w:rPr>
          <w:rFonts w:ascii="Times New Roman" w:eastAsia="Times New Roman" w:hAnsi="Times New Roman" w:cs="Times New Roman"/>
          <w:i/>
          <w:iCs/>
          <w:color w:val="000000"/>
          <w:spacing w:val="0"/>
          <w:w w:val="100"/>
          <w:position w:val="0"/>
          <w:shd w:val="clear" w:color="auto" w:fill="auto"/>
          <w:lang w:val="hr-HR" w:eastAsia="hr-HR" w:bidi="hr-HR"/>
        </w:rPr>
        <w:t>ha-žarec)</w:t>
      </w:r>
      <w:r>
        <w:rPr>
          <w:rFonts w:ascii="Times New Roman" w:eastAsia="Times New Roman" w:hAnsi="Times New Roman" w:cs="Times New Roman"/>
          <w:color w:val="000000"/>
          <w:spacing w:val="0"/>
          <w:w w:val="100"/>
          <w:position w:val="0"/>
          <w:shd w:val="clear" w:color="auto" w:fill="auto"/>
          <w:lang w:val="hr-HR" w:eastAsia="hr-HR" w:bidi="hr-HR"/>
        </w:rPr>
        <w:t xml:space="preserve"> nije pobožan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(hasid)«, </w:t>
      </w:r>
      <w:r>
        <w:rPr>
          <w:rFonts w:ascii="Times New Roman" w:eastAsia="Times New Roman" w:hAnsi="Times New Roman" w:cs="Times New Roman"/>
          <w:color w:val="000000"/>
          <w:spacing w:val="0"/>
          <w:w w:val="100"/>
          <w:position w:val="0"/>
          <w:shd w:val="clear" w:color="auto" w:fill="auto"/>
          <w:lang w:val="hr-HR" w:eastAsia="hr-HR" w:bidi="hr-HR"/>
        </w:rPr>
        <w:t>tj. bez znanja Tore nitko ne može ispuniti za</w:t>
        <w:softHyphen/>
        <w:t xml:space="preserve">povijedi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11,5; usp. b Šabat 63a), ali »mnogo Tore, mnogo života; mnogo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ješive </w:t>
      </w:r>
      <w:r>
        <w:rPr>
          <w:rFonts w:ascii="Times New Roman" w:eastAsia="Times New Roman" w:hAnsi="Times New Roman" w:cs="Times New Roman"/>
          <w:color w:val="000000"/>
          <w:spacing w:val="0"/>
          <w:w w:val="100"/>
          <w:position w:val="0"/>
          <w:shd w:val="clear" w:color="auto" w:fill="auto"/>
          <w:lang w:val="hr-HR" w:eastAsia="hr-HR" w:bidi="hr-HR"/>
        </w:rPr>
        <w:t xml:space="preserve">(hebr. sjedenje, sjednica), mnogo mudrosti« (M Avot 11,6). Šamaj, koji je s Hilclom činio posljednji od »pet parova«, koji su preuzeli tradiciju i nastavili je prenositi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1,12), poticao je na trajno učenje: »Neka tvoje pro</w:t>
        <w:softHyphen/>
        <w:t xml:space="preserve">učavanje Tore postane trajnim zanimanjem«, tj. nešto čvrsto određeno čime se čovjek ustrajno bavi i nikada ne propušta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1,15; usp. b Berahot 35b), te objašnjavajući dodao: »Govori malo, a čini mnogo« (M Avot 1,15; usp. b Bava mccia 87a). Jehuda ben Jehezkel citirao je Rava (Aba Ariha), pismoznanca prethodne generacije: »Ako netko uskrati uče</w:t>
        <w:softHyphen/>
        <w:t xml:space="preserve">niku nauk (halaha), isto je kao da mu je oteo naslijeđe njegovih otaca«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91b).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bar Nahman (III. stoljeće) ukazao je na plod učenja: »Riječi Tore uspoređuju se s</w:t>
      </w:r>
    </w:p>
    <w:p>
      <w:pPr>
        <w:pStyle w:val="Style20"/>
        <w:keepNext w:val="0"/>
        <w:keepLines w:val="0"/>
        <w:widowControl w:val="0"/>
        <w:shd w:val="clear" w:color="auto" w:fill="auto"/>
        <w:bidi w:val="0"/>
        <w:spacing w:before="0" w:after="0"/>
        <w:ind w:left="0" w:right="0" w:firstLine="0"/>
        <w:jc w:val="both"/>
        <w:sectPr>
          <w:footnotePr>
            <w:pos w:val="pageBottom"/>
            <w:numFmt w:val="decimal"/>
            <w:numRestart w:val="continuous"/>
            <w15:footnoteColumns w:val="1"/>
          </w:footnotePr>
          <w:type w:val="continuous"/>
          <w:pgSz w:w="6816" w:h="11006"/>
          <w:pgMar w:top="981" w:left="189" w:right="195" w:bottom="469" w:header="553" w:footer="41" w:gutter="0"/>
          <w:cols w:num="2" w:space="178"/>
          <w:noEndnote/>
          <w:rtlGutter w:val="0"/>
          <w:docGrid w:linePitch="360"/>
        </w:sectPr>
      </w:pPr>
      <w:r>
        <mc:AlternateContent>
          <mc:Choice Requires="wps">
            <w:drawing>
              <wp:anchor distT="50800" distB="254000" distL="114300" distR="114300" simplePos="0" relativeHeight="125829439" behindDoc="0" locked="0" layoutInCell="1" allowOverlap="1">
                <wp:simplePos x="0" y="0"/>
                <wp:positionH relativeFrom="page">
                  <wp:posOffset>4015740</wp:posOffset>
                </wp:positionH>
                <wp:positionV relativeFrom="margin">
                  <wp:posOffset>6144895</wp:posOffset>
                </wp:positionV>
                <wp:extent cx="173990" cy="109855"/>
                <wp:wrapTopAndBottom/>
                <wp:docPr id="3293" name="Shape 3293"/>
                <a:graphic xmlns:a="http://schemas.openxmlformats.org/drawingml/2006/main">
                  <a:graphicData uri="http://schemas.microsoft.com/office/word/2010/wordprocessingShape">
                    <wps:wsp>
                      <wps:cNvSpPr txBox="1"/>
                      <wps:spPr>
                        <a:xfrm>
                          <a:ext cx="17399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ent</w:t>
                            </w:r>
                          </w:p>
                        </w:txbxContent>
                      </wps:txbx>
                      <wps:bodyPr wrap="none" lIns="0" tIns="0" rIns="0" bIns="0">
                        <a:noAutoFit/>
                      </wps:bodyPr>
                    </wps:wsp>
                  </a:graphicData>
                </a:graphic>
              </wp:anchor>
            </w:drawing>
          </mc:Choice>
          <mc:Fallback>
            <w:pict>
              <v:shape id="_x0000_s4319" type="#_x0000_t202" style="position:absolute;margin-left:316.19999999999999pt;margin-top:483.85000000000002pt;width:13.699999999999999pt;height:8.6500000000000004pt;z-index:-125829314;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ent</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oružjem; kao što oružje čuva u borbi svojega gospodara, tako i riječi Tore čuvaju onoga tko joj se potpuno posveti« (Šir ha-širim raba 1,2); uimc svojeg učitelja Jonatana bar Eleazara re</w:t>
        <w:softHyphen/>
        <w:t xml:space="preserve">kao je: »Tko sina bližnjega svoga uči Toru, Pismo mu to pripisuje u zaslugu kao da ga je on napravio«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19b, usp. Bava me</w:t>
        <w:softHyphen/>
        <w:t xml:space="preserve">da 85a). Rabi </w:t>
      </w:r>
      <w:r>
        <w:rPr>
          <w:rFonts w:ascii="Times New Roman" w:eastAsia="Times New Roman" w:hAnsi="Times New Roman" w:cs="Times New Roman"/>
          <w:color w:val="000000"/>
          <w:spacing w:val="0"/>
          <w:w w:val="100"/>
          <w:position w:val="0"/>
          <w:shd w:val="clear" w:color="auto" w:fill="auto"/>
          <w:lang w:val="en-US" w:eastAsia="en-US" w:bidi="en-US"/>
        </w:rPr>
        <w:t xml:space="preserve">Aba bar Aba </w:t>
      </w:r>
      <w:r>
        <w:rPr>
          <w:rFonts w:ascii="Times New Roman" w:eastAsia="Times New Roman" w:hAnsi="Times New Roman" w:cs="Times New Roman"/>
          <w:color w:val="000000"/>
          <w:spacing w:val="0"/>
          <w:w w:val="100"/>
          <w:position w:val="0"/>
          <w:shd w:val="clear" w:color="auto" w:fill="auto"/>
          <w:lang w:val="hr-HR" w:eastAsia="hr-HR" w:bidi="hr-HR"/>
        </w:rPr>
        <w:t>(III. stoljeće) pre</w:t>
        <w:softHyphen/>
        <w:t>nosio je: »Tko uči, a ne podučava, nema veće ništavnosti« (Vajikra raba XXII,17,3; usp. iz</w:t>
        <w:softHyphen/>
        <w:t>reku Rabi Johanana b Roš ha-šana 23a). Važnost židovske učiteljsko-učeničke zajedni</w:t>
        <w:softHyphen/>
        <w:t>ce već su posvjedočili veliki židovsko-helenis- tički pisci; filozof Filon Aleksandrijski (oko 20. pr. Kr. do 50. pos. Kr.): Zidove su »tako</w:t>
        <w:softHyphen/>
        <w:t xml:space="preserve">reći od pelena podučavali roditelji i učitelji i odgojitelji još prije nastave o svetim zakonima i nepisanim običajima«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(Legatio ad Cajum § </w:t>
      </w:r>
      <w:r>
        <w:rPr>
          <w:rFonts w:ascii="Times New Roman" w:eastAsia="Times New Roman" w:hAnsi="Times New Roman" w:cs="Times New Roman"/>
          <w:color w:val="000000"/>
          <w:spacing w:val="0"/>
          <w:w w:val="100"/>
          <w:position w:val="0"/>
          <w:shd w:val="clear" w:color="auto" w:fill="auto"/>
          <w:lang w:val="hr-HR" w:eastAsia="hr-HR" w:bidi="hr-HR"/>
        </w:rPr>
        <w:t xml:space="preserve">16; usp. </w:t>
      </w:r>
      <w:r>
        <w:rPr>
          <w:rFonts w:ascii="Times New Roman" w:eastAsia="Times New Roman" w:hAnsi="Times New Roman" w:cs="Times New Roman"/>
          <w:i/>
          <w:iCs/>
          <w:color w:val="000000"/>
          <w:spacing w:val="0"/>
          <w:w w:val="100"/>
          <w:position w:val="0"/>
          <w:shd w:val="clear" w:color="auto" w:fill="auto"/>
          <w:lang w:val="hr-HR" w:eastAsia="hr-HR" w:bidi="hr-HR"/>
        </w:rPr>
        <w:t>De specialibus legibus II, de septenario; Vita Mosis II)</w:t>
      </w:r>
      <w:r>
        <w:rPr>
          <w:rFonts w:ascii="Times New Roman" w:eastAsia="Times New Roman" w:hAnsi="Times New Roman" w:cs="Times New Roman"/>
          <w:color w:val="000000"/>
          <w:spacing w:val="0"/>
          <w:w w:val="100"/>
          <w:position w:val="0"/>
          <w:shd w:val="clear" w:color="auto" w:fill="auto"/>
          <w:lang w:val="hr-HR" w:eastAsia="hr-HR" w:bidi="hr-HR"/>
        </w:rPr>
        <w:t xml:space="preserve"> i povjesničar Josip Flavije (oko 38. do nakon 100. pos. Kr.): »On (zakonoda</w:t>
        <w:softHyphen/>
        <w:t>vac) nije htio ni da dođe do razloga za ispriku kako se ne znaju propisi; ipak je od zakona učinio najljepše i najpotrebnije obrazovno sred</w:t>
        <w:softHyphen/>
        <w:t>stvo i nametnuo nam obvezu da ga ne slušamo jedanput, dvaput ili često, nego nas je svakoga šabata oslobodio od drugih djelatnosti kako bismo sc skupili da slušamo o zakonu i točno ga naučili... Kod nas sc može bilo koga ispita</w:t>
        <w:softHyphen/>
        <w:t>ti o zakonima, i on će napamet izgovoriti sve nji</w:t>
        <w:softHyphen/>
        <w:t>hove odredbe lakše od svojeg imena. Naime, budući da izučavamo zakone od buđenja svi</w:t>
        <w:softHyphen/>
        <w:t xml:space="preserve">jesti, oni su, tako reći, usađeni u naše duše. Stoga je kršenje zakona rijetko«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 nem</w:t>
      </w:r>
      <w:r>
        <w:rPr>
          <w:rFonts w:ascii="Times New Roman" w:eastAsia="Times New Roman" w:hAnsi="Times New Roman" w:cs="Times New Roman"/>
          <w:color w:val="000000"/>
          <w:spacing w:val="0"/>
          <w:w w:val="100"/>
          <w:position w:val="0"/>
          <w:shd w:val="clear" w:color="auto" w:fill="auto"/>
          <w:lang w:val="hr-HR" w:eastAsia="hr-HR" w:bidi="hr-HR"/>
        </w:rPr>
        <w:t xml:space="preserve"> 11,17,18). Srednjovjekovni učenjaci nas</w:t>
        <w:softHyphen/>
        <w:t xml:space="preserve">tavili su rad rabina. Majmonid (1135-1204) naglašava: »Svaki mudrac u Izraelu dužan je podučavati učenike, pa i one koji nisu njegova djeca... Svatko iz Izraela dužan je učiti Toru, mlad ili star, siromašan ili bogat... U Izraelu je bilo velikih učitelja, od kojih su neki bih drvosječe, neki vodonoše, neki oslijepljeni, 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ipak su se dan i noć bavili proučavanjem To</w:t>
        <w:softHyphen/>
        <w:t>re« (Misne Tora, Iiiihot lalmud tora 1,2.8.9).</w:t>
      </w:r>
    </w:p>
    <w:p>
      <w:pPr>
        <w:pStyle w:val="Style20"/>
        <w:keepNext w:val="0"/>
        <w:keepLines w:val="0"/>
        <w:widowControl w:val="0"/>
        <w:numPr>
          <w:ilvl w:val="0"/>
          <w:numId w:val="589"/>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»Pribavi sebi učitelja«:</w:t>
      </w:r>
      <w:r>
        <w:rPr>
          <w:rFonts w:ascii="Times New Roman" w:eastAsia="Times New Roman" w:hAnsi="Times New Roman" w:cs="Times New Roman"/>
          <w:color w:val="000000"/>
          <w:spacing w:val="0"/>
          <w:w w:val="100"/>
          <w:position w:val="0"/>
          <w:shd w:val="clear" w:color="auto" w:fill="auto"/>
          <w:lang w:val="hr-HR" w:eastAsia="hr-HR" w:bidi="hr-HR"/>
        </w:rPr>
        <w:t xml:space="preserve"> Raban Gamlicl II. iz Javnea (Jamnija) tražio je: »Pribavi sebi uči</w:t>
        <w:softHyphen/>
        <w:t>telja« (M Avot 1,16, usp. 1,6). Priča se da su dva izaslanika rimske vlade, pod izlikom da žele prijeći na židovstvo, izučili sav židovski nauk kod Gamlicla II.: »Čitali su Pismo i po</w:t>
        <w:softHyphen/>
        <w:t>navljali Mišnu (ovdje se misli, u najširem smislu, na sav usmeni nauk čije se tri disci</w:t>
        <w:softHyphen/>
        <w:t xml:space="preserve">pline nabrajaju): midraš, halahot i hagadot« (Šifre uz Pnz 33,3; usp. Bava kama 38a). Ovdje je istaknuto kako se nastava odvijala: </w:t>
      </w:r>
      <w:r>
        <w:rPr>
          <w:rFonts w:ascii="Times New Roman" w:eastAsia="Times New Roman" w:hAnsi="Times New Roman" w:cs="Times New Roman"/>
          <w:i/>
          <w:iCs/>
          <w:color w:val="000000"/>
          <w:spacing w:val="0"/>
          <w:w w:val="100"/>
          <w:position w:val="0"/>
          <w:shd w:val="clear" w:color="auto" w:fill="auto"/>
          <w:lang w:val="hr-HR" w:eastAsia="hr-HR" w:bidi="hr-HR"/>
        </w:rPr>
        <w:t>čitanjem i ponavljanjem (kara vešana)</w:t>
      </w:r>
      <w:r>
        <w:rPr>
          <w:rFonts w:ascii="Times New Roman" w:eastAsia="Times New Roman" w:hAnsi="Times New Roman" w:cs="Times New Roman"/>
          <w:color w:val="000000"/>
          <w:spacing w:val="0"/>
          <w:w w:val="100"/>
          <w:position w:val="0"/>
          <w:shd w:val="clear" w:color="auto" w:fill="auto"/>
          <w:lang w:val="hr-HR" w:eastAsia="hr-HR" w:bidi="hr-HR"/>
        </w:rPr>
        <w:t xml:space="preserve"> i na što se ona odnosila: na (glasno) čitanje Svetog pisma </w:t>
      </w:r>
      <w:r>
        <w:rPr>
          <w:rFonts w:ascii="Times New Roman" w:eastAsia="Times New Roman" w:hAnsi="Times New Roman" w:cs="Times New Roman"/>
          <w:i/>
          <w:iCs/>
          <w:color w:val="000000"/>
          <w:spacing w:val="0"/>
          <w:w w:val="100"/>
          <w:position w:val="0"/>
          <w:shd w:val="clear" w:color="auto" w:fill="auto"/>
          <w:lang w:val="hr-HR" w:eastAsia="hr-HR" w:bidi="hr-HR"/>
        </w:rPr>
        <w:t>(mikra)</w:t>
      </w:r>
      <w:r>
        <w:rPr>
          <w:rFonts w:ascii="Times New Roman" w:eastAsia="Times New Roman" w:hAnsi="Times New Roman" w:cs="Times New Roman"/>
          <w:color w:val="000000"/>
          <w:spacing w:val="0"/>
          <w:w w:val="100"/>
          <w:position w:val="0"/>
          <w:shd w:val="clear" w:color="auto" w:fill="auto"/>
          <w:lang w:val="hr-HR" w:eastAsia="hr-HR" w:bidi="hr-HR"/>
        </w:rPr>
        <w:t xml:space="preserve"> i ponavljanjem svladanoga, za</w:t>
        <w:softHyphen/>
        <w:t>pamćenoga gradiva usmene predaje, jer se podučavanje, učenje i zapamćivanje nenapisa</w:t>
        <w:softHyphen/>
        <w:t xml:space="preserve">noga didaktičkog materijala postizalo stalnim ponavljanjem i memoriranjem (M Avot 11,4; b Megila 28b.32a; Nida 73a; Bava mccia 44a). Osim toga, mudraci su u nazočnosti svojih učenika raspravljali o nastavku izobrazbe u učilištu </w:t>
      </w:r>
      <w:r>
        <w:rPr>
          <w:rFonts w:ascii="Times New Roman" w:eastAsia="Times New Roman" w:hAnsi="Times New Roman" w:cs="Times New Roman"/>
          <w:i/>
          <w:iCs/>
          <w:color w:val="000000"/>
          <w:spacing w:val="0"/>
          <w:w w:val="100"/>
          <w:position w:val="0"/>
          <w:shd w:val="clear" w:color="auto" w:fill="auto"/>
          <w:lang w:val="hr-HR" w:eastAsia="hr-HR" w:bidi="hr-HR"/>
        </w:rPr>
        <w:t>(bet ha-midraš, ješiva,</w:t>
      </w:r>
      <w:r>
        <w:rPr>
          <w:rFonts w:ascii="Times New Roman" w:eastAsia="Times New Roman" w:hAnsi="Times New Roman" w:cs="Times New Roman"/>
          <w:color w:val="000000"/>
          <w:spacing w:val="0"/>
          <w:w w:val="100"/>
          <w:position w:val="0"/>
          <w:shd w:val="clear" w:color="auto" w:fill="auto"/>
          <w:lang w:val="hr-HR" w:eastAsia="hr-HR" w:bidi="hr-HR"/>
        </w:rPr>
        <w:t xml:space="preserve"> Sir 51,23; b Jo- ma 35b; Šabat 127a), pretresali halaška pravi</w:t>
        <w:softHyphen/>
        <w:t>la (koja definiraju posebni židovski način ži</w:t>
        <w:softHyphen/>
        <w:t>vota) i egzegetski ih obrazlagali. U tom zna</w:t>
        <w:softHyphen/>
        <w:t>čenju »talmud« postaje naziv za znanost (M Avot IV, 13; b Bava mecia 33a.b). Razliku iz</w:t>
        <w:softHyphen/>
        <w:t>među nje i discipline nazvane »midraš« (b Ki- dušin 49a) sastoji se u tome da »midraš« po</w:t>
        <w:softHyphen/>
        <w:t>lazi od biblijskoga teksta i na to veže svoja tu</w:t>
        <w:softHyphen/>
        <w:t>mačenja, dok »talmud« polazi od halaških re</w:t>
        <w:softHyphen/>
        <w:t>čenica i biblijski ih obrazlaže. Učenik koji je trebao pouzdano prenijeti nauk svojeg uči</w:t>
        <w:softHyphen/>
        <w:t xml:space="preserve">telja (M Avot VI,6; Edujot 1,3; j Šabat I,3a; b Beča 28b) bio je u posebnom odnosu prema svojem učitelju: »Ako se otac odrekne časti koja mu dolikuje, to je odricanje valjano; no, ako se učitelj odrekne časti koja mu dolikuje, njegovo odricanje nije valjano«, tj. učenik mu ipak mora ukazati svu čast (b Kidušin 32a; usp.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110a). Majmonid je to prika</w:t>
        <w:softHyphen/>
        <w:t>zao ovako: »Baš kao što je čovjek dužan poš</w:t>
        <w:softHyphen/>
        <w:t>tovati oca i bojati ga se, tako je i dužan pošto</w:t>
        <w:softHyphen/>
        <w:t>vati učitelja više od oca i bojati ga se; jer nje</w:t>
        <w:softHyphen/>
        <w:t>gov ga otac uvodi u život ovoga svijeta, a nje</w:t>
        <w:softHyphen/>
        <w:t>gov ga učitelj, koji ga uči mudrosti, uvodi u život budućega svijeta« (op. cit. V,l). Od uči</w:t>
        <w:softHyphen/>
        <w:t>telja također se traži: »Neka ti čast tvojeg uče</w:t>
        <w:softHyphen/>
        <w:t xml:space="preserve">nika bude draga kao vlastita« (M Avot IV,12, usp. 11,10); i za njega vrijedi da »ti (Tora) nije </w:t>
      </w:r>
      <w:r>
        <w:rPr>
          <w:rFonts w:ascii="Times New Roman" w:eastAsia="Times New Roman" w:hAnsi="Times New Roman" w:cs="Times New Roman"/>
          <w:color w:val="000000"/>
          <w:spacing w:val="0"/>
          <w:w w:val="100"/>
          <w:position w:val="0"/>
          <w:shd w:val="clear" w:color="auto" w:fill="auto"/>
          <w:lang w:val="hr-HR" w:eastAsia="hr-HR" w:bidi="hr-HR"/>
        </w:rPr>
        <w:t xml:space="preserve">baština i neka ti sva tvoja djela budu radi imena nebeskoga« (= Božjega)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11,12).</w:t>
      </w:r>
    </w:p>
    <w:p>
      <w:pPr>
        <w:pStyle w:val="Style20"/>
        <w:keepNext w:val="0"/>
        <w:keepLines w:val="0"/>
        <w:widowControl w:val="0"/>
        <w:numPr>
          <w:ilvl w:val="0"/>
          <w:numId w:val="589"/>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»Volja za pripadnošću židovstvu ostaje od</w:t>
        <w:softHyphen/>
        <w:t>lučujuća.«</w:t>
      </w:r>
      <w:r>
        <w:rPr>
          <w:rFonts w:ascii="Times New Roman" w:eastAsia="Times New Roman" w:hAnsi="Times New Roman" w:cs="Times New Roman"/>
          <w:color w:val="000000"/>
          <w:spacing w:val="0"/>
          <w:w w:val="100"/>
          <w:position w:val="0"/>
          <w:shd w:val="clear" w:color="auto" w:fill="auto"/>
          <w:lang w:val="hr-HR" w:eastAsia="hr-HR" w:bidi="hr-HR"/>
        </w:rPr>
        <w:t xml:space="preserve"> Dok je Hram postojao, »na vrhov</w:t>
        <w:softHyphen/>
        <w:t xml:space="preserve">nom sudu u četverokutnoj dvorani, od kojega polazi nauk (Tora) za sav Izrael« (M </w:t>
      </w:r>
      <w:r>
        <w:rPr>
          <w:rFonts w:ascii="Times New Roman" w:eastAsia="Times New Roman" w:hAnsi="Times New Roman" w:cs="Times New Roman"/>
          <w:color w:val="000000"/>
          <w:spacing w:val="0"/>
          <w:w w:val="100"/>
          <w:position w:val="0"/>
          <w:shd w:val="clear" w:color="auto" w:fill="auto"/>
          <w:lang w:val="en-US" w:eastAsia="en-US" w:bidi="en-US"/>
        </w:rPr>
        <w:t>Sanhed</w:t>
        <w:softHyphen/>
        <w:t xml:space="preserve">rin </w:t>
      </w:r>
      <w:r>
        <w:rPr>
          <w:rFonts w:ascii="Times New Roman" w:eastAsia="Times New Roman" w:hAnsi="Times New Roman" w:cs="Times New Roman"/>
          <w:color w:val="000000"/>
          <w:spacing w:val="0"/>
          <w:w w:val="100"/>
          <w:position w:val="0"/>
          <w:shd w:val="clear" w:color="auto" w:fill="auto"/>
          <w:lang w:val="hr-HR" w:eastAsia="hr-HR" w:bidi="hr-HR"/>
        </w:rPr>
        <w:t>XI,2) donosila se konačna odluka o spor</w:t>
        <w:softHyphen/>
        <w:t>nom tumačenju nekog stiha u svetom spisu; ako već raniji sudovi nisu presudili i halaha već donijela odluku u presedanu, on nije mo</w:t>
        <w:softHyphen/>
        <w:t>gao potkrijepiti presudu na temelju predaje, nego je morao odlučiti pravilima tumačenja na osnovi dotičnog odlomka iz Tore (Majmo</w:t>
        <w:softHyphen/>
        <w:t xml:space="preserve">nid, </w:t>
      </w:r>
      <w:r>
        <w:rPr>
          <w:rFonts w:ascii="Times New Roman" w:eastAsia="Times New Roman" w:hAnsi="Times New Roman" w:cs="Times New Roman"/>
          <w:i/>
          <w:iCs/>
          <w:color w:val="000000"/>
          <w:spacing w:val="0"/>
          <w:w w:val="100"/>
          <w:position w:val="0"/>
          <w:shd w:val="clear" w:color="auto" w:fill="auto"/>
          <w:lang w:val="hr-HR" w:eastAsia="hr-HR" w:bidi="hr-HR"/>
        </w:rPr>
        <w:t>Misne Tora, Hilhot mamrim</w:t>
      </w:r>
      <w:r>
        <w:rPr>
          <w:rFonts w:ascii="Times New Roman" w:eastAsia="Times New Roman" w:hAnsi="Times New Roman" w:cs="Times New Roman"/>
          <w:color w:val="000000"/>
          <w:spacing w:val="0"/>
          <w:w w:val="100"/>
          <w:position w:val="0"/>
          <w:shd w:val="clear" w:color="auto" w:fill="auto"/>
          <w:lang w:val="hr-HR" w:eastAsia="hr-HR" w:bidi="hr-HR"/>
        </w:rPr>
        <w:t xml:space="preserve"> 1,4, usp. 11,1; Komentar Mišnc na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XI,2; Predgo</w:t>
        <w:softHyphen/>
        <w:t xml:space="preserve">vor </w:t>
      </w:r>
      <w:r>
        <w:rPr>
          <w:rFonts w:ascii="Times New Roman" w:eastAsia="Times New Roman" w:hAnsi="Times New Roman" w:cs="Times New Roman"/>
          <w:i/>
          <w:iCs/>
          <w:color w:val="000000"/>
          <w:spacing w:val="0"/>
          <w:w w:val="100"/>
          <w:position w:val="0"/>
          <w:shd w:val="clear" w:color="auto" w:fill="auto"/>
          <w:lang w:val="hr-HR" w:eastAsia="hr-HR" w:bidi="hr-HR"/>
        </w:rPr>
        <w:t xml:space="preserve">Misne </w:t>
      </w:r>
      <w:r>
        <w:rPr>
          <w:rFonts w:ascii="Times New Roman" w:eastAsia="Times New Roman" w:hAnsi="Times New Roman" w:cs="Times New Roman"/>
          <w:i/>
          <w:iCs/>
          <w:color w:val="000000"/>
          <w:spacing w:val="0"/>
          <w:w w:val="100"/>
          <w:position w:val="0"/>
          <w:shd w:val="clear" w:color="auto" w:fill="auto"/>
          <w:lang w:val="en-US" w:eastAsia="en-US" w:bidi="en-US"/>
        </w:rPr>
        <w:t>Tori'):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 odlomku iz Tore, koji se odnosi na predmetni slučaj, pregovara se ci</w:t>
        <w:softHyphen/>
        <w:t xml:space="preserve">jelu noć, i ako je posrijedi sumnja na ubojstvo, pregovara se o odlomku koji se tiče ubojice«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IX,1). Ako su dva člana suda došli do istoga gledišta, a njihovi dokazi potje</w:t>
        <w:softHyphen/>
        <w:t xml:space="preserve">ču od dvaju različitih stihova iz svetoga spisa, treba ih brojiti kao jedan glas, jer se jedan od njih zasigurno prevario u svojem dokaznom postupku; naime, prema rabinskom shvaćanju, svaki je stih za sebe svrha posebne podukc, pa se stoga jedna jedina poduka nc može uzeti iz dva stiha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34a; usp. M Šekalim 1,4). S razorenjem Hrama prestao jc postojati sinedrij (M </w:t>
      </w:r>
      <w:r>
        <w:rPr>
          <w:rFonts w:ascii="Times New Roman" w:eastAsia="Times New Roman" w:hAnsi="Times New Roman" w:cs="Times New Roman"/>
          <w:color w:val="000000"/>
          <w:spacing w:val="0"/>
          <w:w w:val="100"/>
          <w:position w:val="0"/>
          <w:shd w:val="clear" w:color="auto" w:fill="auto"/>
          <w:lang w:val="en-US" w:eastAsia="en-US" w:bidi="en-US"/>
        </w:rPr>
        <w:t xml:space="preserve">Sola </w:t>
      </w:r>
      <w:r>
        <w:rPr>
          <w:rFonts w:ascii="Times New Roman" w:eastAsia="Times New Roman" w:hAnsi="Times New Roman" w:cs="Times New Roman"/>
          <w:color w:val="000000"/>
          <w:spacing w:val="0"/>
          <w:w w:val="100"/>
          <w:position w:val="0"/>
          <w:shd w:val="clear" w:color="auto" w:fill="auto"/>
          <w:lang w:val="hr-HR" w:eastAsia="hr-HR" w:bidi="hr-HR"/>
        </w:rPr>
        <w:t>IX,11). Najprije se ta najviša ustanova, koja je djelovala i kao najviše tijelo ograničene samouprave, ponovno našla kao cjelina za nauk u Javneu, nakon Bar Kohbina rata u Uši, Bet Šearimu, Seforidi i Tiberijadi, pa jc djelovala s rimskim dopuštenjem. S uki</w:t>
        <w:softHyphen/>
        <w:t>nućem patrijarhata nakon smrti Gamaliela</w:t>
      </w:r>
    </w:p>
    <w:p>
      <w:pPr>
        <w:pStyle w:val="Style20"/>
        <w:keepNext w:val="0"/>
        <w:keepLines w:val="0"/>
        <w:widowControl w:val="0"/>
        <w:numPr>
          <w:ilvl w:val="0"/>
          <w:numId w:val="593"/>
        </w:numPr>
        <w:shd w:val="clear" w:color="auto" w:fill="auto"/>
        <w:tabs>
          <w:tab w:pos="346" w:val="left"/>
        </w:tabs>
        <w:bidi w:val="0"/>
        <w:spacing w:before="0" w:after="60"/>
        <w:ind w:left="0" w:right="0" w:firstLine="0"/>
        <w:jc w:val="both"/>
        <w:sectPr>
          <w:headerReference w:type="default" r:id="rId1535"/>
          <w:footerReference w:type="default" r:id="rId1536"/>
          <w:headerReference w:type="even" r:id="rId1537"/>
          <w:footerReference w:type="even" r:id="rId1538"/>
          <w:footnotePr>
            <w:pos w:val="pageBottom"/>
            <w:numFmt w:val="decimal"/>
            <w:numRestart w:val="continuous"/>
            <w15:footnoteColumns w:val="1"/>
          </w:footnotePr>
          <w:pgSz w:w="6816" w:h="11006"/>
          <w:pgMar w:top="981" w:left="189" w:right="195" w:bottom="469" w:header="0" w:footer="3" w:gutter="0"/>
          <w:pgNumType w:start="502"/>
          <w:cols w:num="2" w:space="17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425. pos. Kr. nestala jc važnost te usta</w:t>
        <w:softHyphen/>
        <w:t>nove. I u talmudskom razdoblju (I.-V. stolje</w:t>
        <w:softHyphen/>
        <w:t>će) i nakon njega nastavila je djelovati zako</w:t>
        <w:softHyphen/>
        <w:t>nita sila odlučivanja i pravosuđa u židovskom narodu preko pojedinih mudraca; oni su bili ovlašteni da sude i donose odluke na temelju svojih objašnjenja Tore. Budući da su od svo</w:t>
        <w:softHyphen/>
        <w:t xml:space="preserve">jih tumačenja izvodili »nove« </w:t>
      </w:r>
      <w:r>
        <w:rPr>
          <w:rFonts w:ascii="Times New Roman" w:eastAsia="Times New Roman" w:hAnsi="Times New Roman" w:cs="Times New Roman"/>
          <w:i/>
          <w:iCs/>
          <w:color w:val="000000"/>
          <w:spacing w:val="0"/>
          <w:w w:val="100"/>
          <w:position w:val="0"/>
          <w:shd w:val="clear" w:color="auto" w:fill="auto"/>
          <w:lang w:val="hr-HR" w:eastAsia="hr-HR" w:bidi="hr-HR"/>
        </w:rPr>
        <w:t>halahot,</w:t>
      </w:r>
      <w:r>
        <w:rPr>
          <w:rFonts w:ascii="Times New Roman" w:eastAsia="Times New Roman" w:hAnsi="Times New Roman" w:cs="Times New Roman"/>
          <w:color w:val="000000"/>
          <w:spacing w:val="0"/>
          <w:w w:val="100"/>
          <w:position w:val="0"/>
          <w:shd w:val="clear" w:color="auto" w:fill="auto"/>
          <w:lang w:val="hr-HR" w:eastAsia="hr-HR" w:bidi="hr-HR"/>
        </w:rPr>
        <w:t xml:space="preserve"> zvali su ih i »tumačima Tore« (b Pesahim 70b; M Teru- mot VI,6; Šavuot III,5). Prema rabinskom gle</w:t>
        <w:softHyphen/>
        <w:t xml:space="preserve">dištu, halaške su odluke učitelja bile valjane pred Bogom; s Torom su i njezino tumačenje i primjena bile stavljene u ruke Izraela (b Bava mecia 59b; usp. Berahot 52a; Hulin 44a); Bog jc, naime, priznao naredbe što ih jc Mojsije donio prema vlastitom nahođenju (b Šabat </w:t>
      </w:r>
    </w:p>
    <w:p>
      <w:pPr>
        <w:pStyle w:val="Style20"/>
        <w:keepNext w:val="0"/>
        <w:keepLines w:val="0"/>
        <w:widowControl w:val="0"/>
        <w:shd w:val="clear" w:color="auto" w:fill="auto"/>
        <w:tabs>
          <w:tab w:pos="346"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87a; Jevamot 62a). U svojoj dugoj povijesti židovski je narod samo ograničeno vrijeme u sincdriju - i donekle - na visokim školama Babilonije nakon arapskog osvajanja (»gaon- sko razdoblje«, od VII.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XI. stoljeća) imao jedinstvo učiteljskog autoriteta. Osim toga, nedostajalo je nadleštvo koje bi govorilo u ime cijelog Izraela i pozivalo sve Židove na poslušnost, nadležno tijelo koje bi bilo u sta</w:t>
        <w:softHyphen/>
        <w:t>nju vršiti didaktičku vlast. Tradicija koja obi</w:t>
        <w:softHyphen/>
        <w:t xml:space="preserve">lježava židovski životni put bila je povjerena </w:t>
      </w:r>
      <w:r>
        <w:rPr>
          <w:rFonts w:ascii="Times New Roman" w:eastAsia="Times New Roman" w:hAnsi="Times New Roman" w:cs="Times New Roman"/>
          <w:i/>
          <w:iCs/>
          <w:color w:val="000000"/>
          <w:spacing w:val="0"/>
          <w:w w:val="100"/>
          <w:position w:val="0"/>
          <w:shd w:val="clear" w:color="auto" w:fill="auto"/>
          <w:lang w:val="hr-HR" w:eastAsia="hr-HR" w:bidi="hr-HR"/>
        </w:rPr>
        <w:t>jednom učitelju</w:t>
      </w:r>
      <w:r>
        <w:rPr>
          <w:rFonts w:ascii="Times New Roman" w:eastAsia="Times New Roman" w:hAnsi="Times New Roman" w:cs="Times New Roman"/>
          <w:color w:val="000000"/>
          <w:spacing w:val="0"/>
          <w:w w:val="100"/>
          <w:position w:val="0"/>
          <w:shd w:val="clear" w:color="auto" w:fill="auto"/>
          <w:lang w:val="hr-HR" w:eastAsia="hr-HR" w:bidi="hr-HR"/>
        </w:rPr>
        <w:t xml:space="preserve"> radi zaštite i daljnjeg preno</w:t>
        <w:softHyphen/>
        <w:t>šenja. On je dobio slobodno ovlaštenje da pro</w:t>
        <w:softHyphen/>
        <w:t>vodi pravo učiteljevanja i odluke na temelju predaje i time je postao predstavnik žive ži</w:t>
        <w:softHyphen/>
        <w:t xml:space="preserve">dovske tradicije. Prema tomu, nikakvo u.: »Uvjerenje i volja za pripadnošću židovstvu ostaje ono pravo i odlučujuće«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Judentums,</w:t>
      </w:r>
      <w:r>
        <w:rPr>
          <w:rFonts w:ascii="Times New Roman" w:eastAsia="Times New Roman" w:hAnsi="Times New Roman" w:cs="Times New Roman"/>
          <w:color w:val="000000"/>
          <w:spacing w:val="0"/>
          <w:w w:val="100"/>
          <w:position w:val="0"/>
          <w:shd w:val="clear" w:color="auto" w:fill="auto"/>
          <w:lang w:val="en-US" w:eastAsia="en-US" w:bidi="en-US"/>
        </w:rPr>
        <w:t xml:space="preserve"> 1905,</w:t>
      </w:r>
      <w:r>
        <w:rPr>
          <w:rFonts w:ascii="Times New Roman" w:eastAsia="Times New Roman" w:hAnsi="Times New Roman" w:cs="Times New Roman"/>
          <w:color w:val="000000"/>
          <w:spacing w:val="0"/>
          <w:w w:val="100"/>
          <w:position w:val="0"/>
          <w:shd w:val="clear" w:color="auto" w:fill="auto"/>
          <w:vertAlign w:val="superscript"/>
          <w:lang w:val="en-US" w:eastAsia="en-US" w:bidi="en-US"/>
        </w:rPr>
        <w:t>6</w:t>
      </w:r>
      <w:r>
        <w:rPr>
          <w:rFonts w:ascii="Times New Roman" w:eastAsia="Times New Roman" w:hAnsi="Times New Roman" w:cs="Times New Roman"/>
          <w:color w:val="000000"/>
          <w:spacing w:val="0"/>
          <w:w w:val="100"/>
          <w:position w:val="0"/>
          <w:shd w:val="clear" w:color="auto" w:fill="auto"/>
          <w:lang w:val="en-US" w:eastAsia="en-US" w:bidi="en-US"/>
        </w:rPr>
        <w:t>1960, 7).</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 Boussci/H. Grossmann, </w:t>
      </w:r>
      <w:r>
        <w:rPr>
          <w:i/>
          <w:iCs/>
          <w:color w:val="000000"/>
          <w:spacing w:val="0"/>
          <w:w w:val="100"/>
          <w:position w:val="0"/>
          <w:shd w:val="clear" w:color="auto" w:fill="auto"/>
        </w:rPr>
        <w:t>Die Religion des Judentums im spatheflenistischen Zeitalter,</w:t>
      </w:r>
      <w:r>
        <w:rPr>
          <w:color w:val="000000"/>
          <w:spacing w:val="0"/>
          <w:w w:val="100"/>
          <w:position w:val="0"/>
          <w:shd w:val="clear" w:color="auto" w:fill="auto"/>
        </w:rPr>
        <w:t xml:space="preserve"> *1966,167 i d., 369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d.,429 i d.; W. Bacher. </w:t>
      </w:r>
      <w:r>
        <w:rPr>
          <w:i/>
          <w:iCs/>
          <w:color w:val="000000"/>
          <w:spacing w:val="0"/>
          <w:w w:val="100"/>
          <w:position w:val="0"/>
          <w:shd w:val="clear" w:color="auto" w:fill="auto"/>
        </w:rPr>
        <w:t>Die cxegetische Terminologie der jiidischen Tradirionsiiieratur</w:t>
      </w:r>
      <w:r>
        <w:rPr>
          <w:color w:val="000000"/>
          <w:spacing w:val="0"/>
          <w:w w:val="100"/>
          <w:position w:val="0"/>
          <w:shd w:val="clear" w:color="auto" w:fill="auto"/>
        </w:rPr>
        <w:t xml:space="preserve"> I/II, (1899/1905) 1965, 94 i d., 194 j d„ 199 i J.; isli, </w:t>
      </w:r>
      <w:r>
        <w:rPr>
          <w:i/>
          <w:iCs/>
          <w:color w:val="000000"/>
          <w:spacing w:val="0"/>
          <w:w w:val="100"/>
          <w:position w:val="0"/>
          <w:shd w:val="clear" w:color="auto" w:fill="auto"/>
        </w:rPr>
        <w:t>Traditionsliteratur in den Schulen Paliusinas and Babyionien,</w:t>
      </w:r>
      <w:r>
        <w:rPr>
          <w:color w:val="000000"/>
          <w:spacing w:val="0"/>
          <w:w w:val="100"/>
          <w:position w:val="0"/>
          <w:shd w:val="clear" w:color="auto" w:fill="auto"/>
        </w:rPr>
        <w:t xml:space="preserve"> (1914) 1966; Ch. AIbcck, </w:t>
      </w:r>
      <w:r>
        <w:rPr>
          <w:i/>
          <w:iCs/>
          <w:color w:val="000000"/>
          <w:spacing w:val="0"/>
          <w:w w:val="100"/>
          <w:position w:val="0"/>
          <w:shd w:val="clear" w:color="auto" w:fill="auto"/>
        </w:rPr>
        <w:t>Einfuhrung in die Mischna,</w:t>
      </w:r>
      <w:r>
        <w:rPr>
          <w:color w:val="000000"/>
          <w:spacing w:val="0"/>
          <w:w w:val="100"/>
          <w:position w:val="0"/>
          <w:shd w:val="clear" w:color="auto" w:fill="auto"/>
        </w:rPr>
        <w:t xml:space="preserve"> 1971, 56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N. N. Glatter, </w:t>
      </w:r>
      <w:r>
        <w:rPr>
          <w:i/>
          <w:iCs/>
          <w:color w:val="000000"/>
          <w:spacing w:val="0"/>
          <w:w w:val="100"/>
          <w:position w:val="0"/>
          <w:shd w:val="clear" w:color="auto" w:fill="auto"/>
        </w:rPr>
        <w:t>Geschichte der tai- mudischen Zeit,</w:t>
      </w:r>
      <w:r>
        <w:rPr>
          <w:color w:val="000000"/>
          <w:spacing w:val="0"/>
          <w:w w:val="100"/>
          <w:position w:val="0"/>
          <w:shd w:val="clear" w:color="auto" w:fill="auto"/>
        </w:rPr>
        <w:t xml:space="preserve"> *1981, 123 t d.; P. Schafer, </w:t>
      </w:r>
      <w:r>
        <w:rPr>
          <w:i/>
          <w:iCs/>
          <w:color w:val="000000"/>
          <w:spacing w:val="0"/>
          <w:w w:val="100"/>
          <w:position w:val="0"/>
          <w:shd w:val="clear" w:color="auto" w:fill="auto"/>
        </w:rPr>
        <w:t xml:space="preserve">Geschichte der Juden in der </w:t>
      </w:r>
      <w:r>
        <w:rPr>
          <w:i/>
          <w:iCs/>
          <w:color w:val="000000"/>
          <w:spacing w:val="0"/>
          <w:w w:val="100"/>
          <w:position w:val="0"/>
          <w:shd w:val="clear" w:color="auto" w:fill="auto"/>
          <w:lang w:val="hr-HR" w:eastAsia="hr-HR" w:bidi="hr-HR"/>
        </w:rPr>
        <w:t>Antike,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1983, 84 i d.. 147 i d., 177 i d.</w:t>
      </w:r>
    </w:p>
    <w:p>
      <w:pPr>
        <w:pStyle w:val="Style56"/>
        <w:keepNext w:val="0"/>
        <w:keepLines w:val="0"/>
        <w:widowControl w:val="0"/>
        <w:shd w:val="clear" w:color="auto" w:fill="auto"/>
        <w:bidi w:val="0"/>
        <w:spacing w:before="0" w:after="120" w:line="240" w:lineRule="auto"/>
        <w:ind w:left="0" w:right="0" w:firstLine="0"/>
        <w:jc w:val="right"/>
      </w:pPr>
      <w:r>
        <w:rPr>
          <w:color w:val="000000"/>
          <w:spacing w:val="0"/>
          <w:w w:val="100"/>
          <w:position w:val="0"/>
          <w:shd w:val="clear" w:color="auto" w:fill="auto"/>
        </w:rPr>
        <w:t>D. VETn-R</w:t>
      </w:r>
    </w:p>
    <w:p>
      <w:pPr>
        <w:pStyle w:val="Style63"/>
        <w:keepNext/>
        <w:keepLines/>
        <w:widowControl w:val="0"/>
        <w:numPr>
          <w:ilvl w:val="0"/>
          <w:numId w:val="573"/>
        </w:numPr>
        <w:shd w:val="clear" w:color="auto" w:fill="auto"/>
        <w:tabs>
          <w:tab w:pos="255" w:val="left"/>
        </w:tabs>
        <w:bidi w:val="0"/>
        <w:spacing w:before="0" w:line="223" w:lineRule="auto"/>
        <w:ind w:left="0" w:right="0" w:firstLine="0"/>
        <w:jc w:val="both"/>
      </w:pPr>
      <w:bookmarkStart w:id="378" w:name="bookmark37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78"/>
    </w:p>
    <w:p>
      <w:pPr>
        <w:pStyle w:val="Style20"/>
        <w:keepNext w:val="0"/>
        <w:keepLines w:val="0"/>
        <w:widowControl w:val="0"/>
        <w:numPr>
          <w:ilvl w:val="0"/>
          <w:numId w:val="595"/>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Učenje i u.:</w:t>
      </w:r>
      <w:r>
        <w:rPr>
          <w:rFonts w:ascii="Times New Roman" w:eastAsia="Times New Roman" w:hAnsi="Times New Roman" w:cs="Times New Roman"/>
          <w:color w:val="000000"/>
          <w:spacing w:val="0"/>
          <w:w w:val="100"/>
          <w:position w:val="0"/>
          <w:shd w:val="clear" w:color="auto" w:fill="auto"/>
          <w:lang w:val="hr-HR" w:eastAsia="hr-HR" w:bidi="hr-HR"/>
        </w:rPr>
        <w:t xml:space="preserve"> Religije su doduše prvenstveno ponude puta, putokazi i suputništva, ali uvijek zastupaju i neko učenje. U tom se smislu i o Isusu iz Nazareta kaže: »Sto je ovo? Nova i silna nauka!« (Mk 1,27; usp. 1,21 s i dr.). U onoj mjeri u kojoj se širenje Isusove poruke nastavljalo nakon njegove smrti, širenje Isu</w:t>
        <w:softHyphen/>
        <w:t>sova učenja (što je ujedno i učenje o Isusu) ubraja se u temeljna ispunjenja zajednice koja ga nasljeđuje, to je Crkva. Iako svaki vjernik na svoj način ima udjela u naviještanju kršćan</w:t>
        <w:softHyphen/>
        <w:t>skog učenja, ovdje se iz najrazličitijih motiva (razlike u razumijevanju, u prikazivanju i izla</w:t>
        <w:softHyphen/>
        <w:t>ganju učenja, u objašnjavanju novonastalih pi</w:t>
        <w:softHyphen/>
        <w:t>tanja kod prevođenja u druge sustave mišlje</w:t>
        <w:softHyphen/>
        <w:t>nja i učenja, nastupanje proturječnih interpre- tacijskih skupina, krivovjerja, raskola i dr.) postavlja pitanje o autentičnosti učenja i nje</w:t>
        <w:softHyphen/>
        <w:t>gova izlaganja. U povijesti kršćanstva ovo se pitanje povezuje s pitanjem učitcljstva. Budu</w:t>
        <w:softHyphen/>
        <w:t xml:space="preserve">ći da je Crkva u svojoj biti nužno nositeljica evanđeoske poruke, povijest učenja o učitelj- stvu povezuje se u velikoj mjeri s načinom </w:t>
      </w:r>
      <w:r>
        <w:rPr>
          <w:rFonts w:ascii="Times New Roman" w:eastAsia="Times New Roman" w:hAnsi="Times New Roman" w:cs="Times New Roman"/>
          <w:color w:val="000000"/>
          <w:spacing w:val="0"/>
          <w:w w:val="100"/>
          <w:position w:val="0"/>
          <w:shd w:val="clear" w:color="auto" w:fill="auto"/>
          <w:lang w:val="hr-HR" w:eastAsia="hr-HR" w:bidi="hr-HR"/>
        </w:rPr>
        <w:t xml:space="preserve">kako Crkva razumijeva samu sebe (usp.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Pritom treba obratiti pozornost na to da se razlike u tome kako Crkva razumijeva samu sebe i koje danas postoje između istoč</w:t>
        <w:softHyphen/>
        <w:t>nog pravoslavlja i zapadne crkvcnosti i još jed</w:t>
        <w:softHyphen/>
        <w:t>nom između reformacijskog i rimokatoličkoga kršćanstva najjače očituju u konkretnom odre</w:t>
        <w:softHyphen/>
        <w:t>đivanju autentičnog učenja, odnosno razumije</w:t>
        <w:softHyphen/>
        <w:t>vanja učitcljstva, njegovih nositelja i njegove ovlasti. No, kako je u. u rimokatoličkom krš</w:t>
        <w:softHyphen/>
        <w:t>ćanstvu našlo svoje najjasnije profiliranje, može se na njemu i najjasnije objasniti.</w:t>
      </w:r>
    </w:p>
    <w:p>
      <w:pPr>
        <w:pStyle w:val="Style20"/>
        <w:keepNext w:val="0"/>
        <w:keepLines w:val="0"/>
        <w:widowControl w:val="0"/>
        <w:numPr>
          <w:ilvl w:val="0"/>
          <w:numId w:val="595"/>
        </w:numPr>
        <w:shd w:val="clear" w:color="auto" w:fill="auto"/>
        <w:tabs>
          <w:tab w:pos="279"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Temelj učitcljstva'.</w:t>
      </w:r>
      <w:r>
        <w:rPr>
          <w:rFonts w:ascii="Times New Roman" w:eastAsia="Times New Roman" w:hAnsi="Times New Roman" w:cs="Times New Roman"/>
          <w:color w:val="000000"/>
          <w:spacing w:val="0"/>
          <w:w w:val="100"/>
          <w:position w:val="0"/>
          <w:shd w:val="clear" w:color="auto" w:fill="auto"/>
          <w:lang w:val="hr-HR" w:eastAsia="hr-HR" w:bidi="hr-HR"/>
        </w:rPr>
        <w:t xml:space="preserve"> Drugi vatikanski koncil je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Dei </w:t>
      </w:r>
      <w:r>
        <w:rPr>
          <w:rFonts w:ascii="Times New Roman" w:eastAsia="Times New Roman" w:hAnsi="Times New Roman" w:cs="Times New Roman"/>
          <w:i/>
          <w:iCs/>
          <w:color w:val="000000"/>
          <w:spacing w:val="0"/>
          <w:w w:val="100"/>
          <w:position w:val="0"/>
          <w:shd w:val="clear" w:color="auto" w:fill="auto"/>
          <w:lang w:val="hr-HR" w:eastAsia="hr-HR" w:bidi="hr-HR"/>
        </w:rPr>
        <w:t>Verbum,</w:t>
      </w:r>
      <w:r>
        <w:rPr>
          <w:rFonts w:ascii="Times New Roman" w:eastAsia="Times New Roman" w:hAnsi="Times New Roman" w:cs="Times New Roman"/>
          <w:color w:val="000000"/>
          <w:spacing w:val="0"/>
          <w:w w:val="100"/>
          <w:position w:val="0"/>
          <w:shd w:val="clear" w:color="auto" w:fill="auto"/>
          <w:lang w:val="hr-HR" w:eastAsia="hr-HR" w:bidi="hr-HR"/>
        </w:rPr>
        <w:t xml:space="preserve"> br. 10, u neku ruku povezao tri instancije: a) Sveto pismo, b) predaju, c) u. O ovome zadnjem se kaže da mu pripada za</w:t>
        <w:softHyphen/>
        <w:t>datak objašnjavati u ime Isusa Božju riječ tako da to obvezuje. No, pritom vrijedi: »To u., da</w:t>
        <w:softHyphen/>
        <w:t>kako, nije iznad riječi Božje, nego služi riječi Božjoj, učeći samo ono što je po predaji dano: time što - po božanskom nalogu i uz prisut</w:t>
        <w:softHyphen/>
        <w:t>nost Duha Svetoga - to odano sluša, kao sve</w:t>
        <w:softHyphen/>
        <w:t>tinju čuva i vjerno izlaže te iz ovog poklada vjere crpi sve ono što predlaže da se vjeruje kao od Boga objavljeno«. Osnova kršćanskog učenja je Božja riječ kako je izražena u Sve</w:t>
        <w:softHyphen/>
        <w:t xml:space="preserve">tom pismu i kako se predajom uvijek iznova izlaže i </w:t>
      </w:r>
      <w:r>
        <w:rPr>
          <w:rFonts w:ascii="Times New Roman" w:eastAsia="Times New Roman" w:hAnsi="Times New Roman" w:cs="Times New Roman"/>
          <w:color w:val="000000"/>
          <w:spacing w:val="0"/>
          <w:w w:val="100"/>
          <w:position w:val="0"/>
          <w:shd w:val="clear" w:color="auto" w:fill="auto"/>
          <w:lang w:val="en-US" w:eastAsia="en-US" w:bidi="en-US"/>
        </w:rPr>
        <w:t xml:space="preserve">uprisulnjuje. </w:t>
      </w:r>
      <w:r>
        <w:rPr>
          <w:rFonts w:ascii="Times New Roman" w:eastAsia="Times New Roman" w:hAnsi="Times New Roman" w:cs="Times New Roman"/>
          <w:color w:val="000000"/>
          <w:spacing w:val="0"/>
          <w:w w:val="100"/>
          <w:position w:val="0"/>
          <w:shd w:val="clear" w:color="auto" w:fill="auto"/>
          <w:lang w:val="hr-HR" w:eastAsia="hr-HR" w:bidi="hr-HR"/>
        </w:rPr>
        <w:t>S time je povezano uvje</w:t>
        <w:softHyphen/>
        <w:t>renje o trajnoj nazočnosti i djelotvornosti Isu</w:t>
        <w:softHyphen/>
        <w:t>sova duha u Crkvi. Kako je zajednički poklad kršćanskih crkava priznavanje unutarnjeg na</w:t>
        <w:softHyphen/>
        <w:t>čela koje održava Crkvu u životnom i učitelj</w:t>
        <w:softHyphen/>
        <w:t>skom nasljedovanju Isusa, razlika nastupa pri</w:t>
        <w:softHyphen/>
        <w:t>je svega tamo gdje je riječ o određivanju tko je nositelj autentičnog učiteljskog naviještanja i njegove djelatnosti.</w:t>
      </w:r>
    </w:p>
    <w:p>
      <w:pPr>
        <w:pStyle w:val="Style20"/>
        <w:keepNext w:val="0"/>
        <w:keepLines w:val="0"/>
        <w:widowControl w:val="0"/>
        <w:numPr>
          <w:ilvl w:val="0"/>
          <w:numId w:val="595"/>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Nositelji učiteljstva:</w:t>
      </w:r>
      <w:r>
        <w:rPr>
          <w:rFonts w:ascii="Times New Roman" w:eastAsia="Times New Roman" w:hAnsi="Times New Roman" w:cs="Times New Roman"/>
          <w:color w:val="000000"/>
          <w:spacing w:val="0"/>
          <w:w w:val="100"/>
          <w:position w:val="0"/>
          <w:shd w:val="clear" w:color="auto" w:fill="auto"/>
          <w:lang w:val="hr-HR" w:eastAsia="hr-HR" w:bidi="hr-HR"/>
        </w:rPr>
        <w:t xml:space="preserve"> Iako je najprije Crkva u cjelini zajedništvo naviještanja, ipak več u apo</w:t>
        <w:softHyphen/>
        <w:t>stolsko vrijeme s apostolima i uz apostole ima učitelja koji su od njih ili od zajednice opuno</w:t>
        <w:softHyphen/>
        <w:t>moćeni u Crkvi.</w:t>
      </w:r>
    </w:p>
    <w:p>
      <w:pPr>
        <w:pStyle w:val="Style20"/>
        <w:keepNext w:val="0"/>
        <w:keepLines w:val="0"/>
        <w:widowControl w:val="0"/>
        <w:shd w:val="clear" w:color="auto" w:fill="auto"/>
        <w:bidi w:val="0"/>
        <w:spacing w:before="0" w:after="0"/>
        <w:ind w:left="0" w:right="0" w:firstLine="0"/>
        <w:jc w:val="both"/>
        <w:sectPr>
          <w:headerReference w:type="default" r:id="rId1539"/>
          <w:footerReference w:type="default" r:id="rId1540"/>
          <w:headerReference w:type="even" r:id="rId1541"/>
          <w:footerReference w:type="even" r:id="rId1542"/>
          <w:footnotePr>
            <w:pos w:val="pageBottom"/>
            <w:numFmt w:val="decimal"/>
            <w:numRestart w:val="continuous"/>
            <w15:footnoteColumns w:val="1"/>
          </w:footnotePr>
          <w:pgSz w:w="6816" w:h="11006"/>
          <w:pgMar w:top="981" w:left="189" w:right="195" w:bottom="469" w:header="0" w:footer="41" w:gutter="0"/>
          <w:pgNumType w:start="507"/>
          <w:cols w:num="2" w:space="17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postapostolsko vrijeme jedan od temeljnih kriterija autentične ovlasti u učenju postaje vezanost unatrag s apostolskim svjedočan</w:t>
        <w:softHyphen/>
        <w:t>stvom, odnosno uključenost u lanac svjedoka koji potječe od apostola (apostolsko naslije</w:t>
        <w:softHyphen/>
        <w:t>đe). Mreža uzajamne uključenosti u ukupnu povezanost autentične predaje izvornoga Kris</w:t>
        <w:softHyphen/>
        <w:t>tova učenja kao Kristova događaja u kultu (euharistija) i životu odnosi se na zajednice, koje su nastale na najrazličitijim mjestima (mjesne crkve), ali i na predstavnike tih mjes</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nih crkava (biskupe). U odnosu na zajedniš</w:t>
        <w:softHyphen/>
        <w:t>tvo mjesnih crkava u univerzalnoj Crkvi kao i na zajedništvo njihovih predstavnika (biskup</w:t>
        <w:softHyphen/>
        <w:t>ski kolegij), bilo da su okupljeni na koncilu ili raštrkani na zemlji, Crkva od početka vrijedi kao »stup i uporište istine« (1 Tim 3, 15) i ne može otpasti od istine. U tom smislu od najra</w:t>
        <w:softHyphen/>
        <w:t>nijeg vremena pripada cjelini episkopata »ne- zabludiv« autoritet u učenju ako kao cjelina, u suglasnosti s izvornim svjedočanstvom, pred</w:t>
        <w:softHyphen/>
        <w:t>stavlja učenje kao apsolutno obvezatno za vje</w:t>
        <w:softHyphen/>
        <w:t>rovanje i obdržavanje. Prava razlika u određi</w:t>
        <w:softHyphen/>
        <w:t>vanju nositelja učiteljstva među kršćanskim crkvama jednom se tiče odnosa laika i klera, odnosno shvaćanja episkopata i predstojničke službe. Zatim se tiče ustrojstva episkopata utoliko što prema katoličkom shvaćanju, s obzi</w:t>
        <w:softHyphen/>
        <w:t>rom na apostolski kolegij i položaj Petra u njemu, unutar episkopata još jednom rimski biskup (papa) stoji naspram ostalog episko</w:t>
        <w:softHyphen/>
        <w:t>pata, pa rimskom biskupu prema crkvenom službenom naviještanju učenja Prvoga vatikan</w:t>
        <w:softHyphen/>
        <w:t>skoga koncila pripada jedino i u neku ruku izdvojeno od cjelokupnog episkopata autori</w:t>
        <w:softHyphen/>
        <w:t>tet da pod određenim uvjetima, koje je Koncil jasno opisao, naviješta autentično i nepogre</w:t>
        <w:softHyphen/>
        <w:t>šivo određeno učenje u pitanjima vjere i obi</w:t>
        <w:softHyphen/>
        <w:t>čaja kao obvezatno za cijelu Crkvu. U svakom se slučaju nakon Drugoga vatikanskoga kon</w:t>
        <w:softHyphen/>
        <w:t xml:space="preserve">cila (usp. </w:t>
      </w:r>
      <w:r>
        <w:rPr>
          <w:rFonts w:ascii="Times New Roman" w:eastAsia="Times New Roman" w:hAnsi="Times New Roman" w:cs="Times New Roman"/>
          <w:i/>
          <w:iCs/>
          <w:color w:val="000000"/>
          <w:spacing w:val="0"/>
          <w:w w:val="100"/>
          <w:position w:val="0"/>
          <w:shd w:val="clear" w:color="auto" w:fill="auto"/>
          <w:lang w:val="hr-HR" w:eastAsia="hr-HR" w:bidi="hr-HR"/>
        </w:rPr>
        <w:t xml:space="preserve">Lumen </w:t>
      </w:r>
      <w:r>
        <w:rPr>
          <w:rFonts w:ascii="Times New Roman" w:eastAsia="Times New Roman" w:hAnsi="Times New Roman" w:cs="Times New Roman"/>
          <w:i/>
          <w:iCs/>
          <w:color w:val="000000"/>
          <w:spacing w:val="0"/>
          <w:w w:val="100"/>
          <w:position w:val="0"/>
          <w:shd w:val="clear" w:color="auto" w:fill="auto"/>
          <w:lang w:val="en-US" w:eastAsia="en-US" w:bidi="en-US"/>
        </w:rPr>
        <w:t>gentium,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br. 24 i d.) na kato</w:t>
        <w:softHyphen/>
        <w:t>ličkoj strani može utvrditi da se uz sav očigle</w:t>
        <w:softHyphen/>
        <w:t>dan centralizam na slici Crkve kako se ona javlja, ipak na isti način javlja i naglašen ko- lcgijalno-sinodalni element. Stoga se, što je razumljivo, ne govori o dvostrukom nositelju najviše učiteljske vlasti nego samo o jednom nositelju najvišeg učiteljstva: o biskupskom ko</w:t>
        <w:softHyphen/>
        <w:t>legiju kao ovlaštenom nasljedniku apostolsko</w:t>
        <w:softHyphen/>
        <w:t>ga kolegija s papom i pod papom kao svojom glavom.</w:t>
      </w:r>
    </w:p>
    <w:p>
      <w:pPr>
        <w:pStyle w:val="Style20"/>
        <w:keepNext w:val="0"/>
        <w:keepLines w:val="0"/>
        <w:widowControl w:val="0"/>
        <w:numPr>
          <w:ilvl w:val="0"/>
          <w:numId w:val="595"/>
        </w:numPr>
        <w:shd w:val="clear" w:color="auto" w:fill="auto"/>
        <w:tabs>
          <w:tab w:pos="274"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Otvorena pitanja-.</w:t>
      </w:r>
      <w:r>
        <w:rPr>
          <w:rFonts w:ascii="Times New Roman" w:eastAsia="Times New Roman" w:hAnsi="Times New Roman" w:cs="Times New Roman"/>
          <w:color w:val="000000"/>
          <w:spacing w:val="0"/>
          <w:w w:val="100"/>
          <w:position w:val="0"/>
          <w:shd w:val="clear" w:color="auto" w:fill="auto"/>
          <w:lang w:val="hr-HR" w:eastAsia="hr-HR" w:bidi="hr-HR"/>
        </w:rPr>
        <w:t xml:space="preserve"> Pitanja o konkretnom vršenju učiteljstva nisu samo postavljena s ekumenskog područja nego i unutarerkveno. Ona se odnose na opseg službenog naviješ- tanja kao učenja, pogotovo na odnos objav</w:t>
        <w:softHyphen/>
        <w:t>ljene Božje riječi i spoznaja koje potječu iz čovjekova iskustvenog područja i iz uporabe razuma, zatim na proces refleksije koji se do</w:t>
        <w:softHyphen/>
        <w:t xml:space="preserve">gađa u teološkoj znanosti, odnosno na odnos nositelja učiteljstva i teologa koji nisu bez daljnjega nositelji učiteljstva, pa čak u većini nisu ni biskupi, konačno na napetost između </w:t>
      </w:r>
      <w:r>
        <w:rPr>
          <w:rFonts w:ascii="Times New Roman" w:eastAsia="Times New Roman" w:hAnsi="Times New Roman" w:cs="Times New Roman"/>
          <w:color w:val="000000"/>
          <w:spacing w:val="0"/>
          <w:w w:val="100"/>
          <w:position w:val="0"/>
          <w:shd w:val="clear" w:color="auto" w:fill="auto"/>
          <w:lang w:val="hr-HR" w:eastAsia="hr-HR" w:bidi="hr-HR"/>
        </w:rPr>
        <w:t>onoga kako je to jezično uređeno i onoga ka</w:t>
        <w:softHyphen/>
        <w:t>ko je tko sposoban govoriti kršćanskom puku. Kod naviještanja vjere treba uostalom pripa</w:t>
        <w:softHyphen/>
        <w:t>ziti jer nerijetko dva obzira međusobno kon</w:t>
        <w:softHyphen/>
        <w:t>kuriraju: vjernost izvoru, odnosno identičnost današnjih iskaza s onime što se izvorno mislilo i relevantnost naviještanja za dotičnu sadašn</w:t>
        <w:softHyphen/>
        <w:t>jost, odnosno razumljivost vjere za čovjeka iz drugog vremena s drugačijim načinom razmiš</w:t>
        <w:softHyphen/>
        <w:t>ljanja i drugačijim govorom. Utoliko što teo</w:t>
        <w:softHyphen/>
        <w:t xml:space="preserve">lozima u njihovoj refleksiji o učenju i njegovu prenošenju mora biti stalo do identičnosti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hr-HR" w:eastAsia="hr-HR" w:bidi="hr-HR"/>
        </w:rPr>
        <w:t>relevantnosti, morao bi im se upravo danas, pri neprestanom zalaganju da oba zahtjeva budu ispunjena u pluralističkom društvu i in- tcrkulkturalno obilježenom svijetu, priznati odgovarajući prostor slobode za njihove na</w:t>
        <w:softHyphen/>
        <w:t>pore. Osim toga morat će u. u pogledu nalaže</w:t>
        <w:softHyphen/>
        <w:t>nja istine, ako se istina dogmatski shvaća, u sve većoj mjeri poklanjati pozornost proce</w:t>
        <w:softHyphen/>
        <w:t>sima nalaženja istine u cjelini Crkve (usp. go</w:t>
        <w:softHyphen/>
        <w:t>vor o smislu vjere i o konsenzusu teologa i vjernika) i u svijetu. Pritom će se pokazati da je Crkva kao cjelina, dakle, u svim svojim no</w:t>
        <w:softHyphen/>
        <w:t>siteljima funkcija ta koja sama uči kao i ta koja podučava. Utoliko što je duh Crkve duh slobode, mora se i naviještanje kršćanskog učenja, pogotovo od strane onih koji su sprem</w:t>
        <w:softHyphen/>
        <w:t>ni služiti joj na poseban način, događati ne u tjeskobi nego u radosti i darovanoj slobodi; gdje to nije slučaj, prijetit će nijemost i muk.</w:t>
      </w:r>
    </w:p>
    <w:p>
      <w:pPr>
        <w:pStyle w:val="Style56"/>
        <w:keepNext w:val="0"/>
        <w:keepLines w:val="0"/>
        <w:widowControl w:val="0"/>
        <w:shd w:val="clear" w:color="auto" w:fill="auto"/>
        <w:tabs>
          <w:tab w:pos="2098" w:val="left"/>
        </w:tabs>
        <w:bidi w:val="0"/>
        <w:spacing w:before="0" w:after="180" w:line="240" w:lineRule="auto"/>
        <w:ind w:left="0" w:right="0" w:firstLine="0"/>
        <w:jc w:val="both"/>
      </w:pPr>
      <w:r>
        <w:rPr>
          <w:color w:val="000000"/>
          <w:spacing w:val="0"/>
          <w:w w:val="100"/>
          <w:position w:val="0"/>
          <w:shd w:val="clear" w:color="auto" w:fill="auto"/>
        </w:rPr>
        <w:t xml:space="preserve">Lit.: Karl Rahner, Lehramt. </w:t>
      </w:r>
      <w:r>
        <w:rPr>
          <w:color w:val="000000"/>
          <w:spacing w:val="0"/>
          <w:w w:val="100"/>
          <w:position w:val="0"/>
          <w:shd w:val="clear" w:color="auto" w:fill="auto"/>
          <w:lang w:val="hr-HR" w:eastAsia="hr-HR" w:bidi="hr-HR"/>
        </w:rPr>
        <w:t xml:space="preserve">u: LThK VI, 884-890; SM III, 177-193; W. Kem, </w:t>
      </w:r>
      <w:r>
        <w:rPr>
          <w:i/>
          <w:iCs/>
          <w:color w:val="000000"/>
          <w:spacing w:val="0"/>
          <w:w w:val="100"/>
          <w:position w:val="0"/>
          <w:shd w:val="clear" w:color="auto" w:fill="auto"/>
          <w:lang w:val="hr-HR" w:eastAsia="hr-HR" w:bidi="hr-HR"/>
        </w:rPr>
        <w:t>Theolo&amp;e und das Lehrami,</w:t>
      </w:r>
      <w:r>
        <w:rPr>
          <w:color w:val="000000"/>
          <w:spacing w:val="0"/>
          <w:w w:val="100"/>
          <w:position w:val="0"/>
          <w:shd w:val="clear" w:color="auto" w:fill="auto"/>
          <w:lang w:val="hr-HR" w:eastAsia="hr-HR" w:bidi="hr-HR"/>
        </w:rPr>
        <w:t xml:space="preserve"> Frcihurg 1982.</w:t>
        <w:tab/>
        <w:t xml:space="preserve">H. </w:t>
      </w:r>
      <w:r>
        <w:rPr>
          <w:color w:val="000000"/>
          <w:spacing w:val="0"/>
          <w:w w:val="100"/>
          <w:position w:val="0"/>
          <w:shd w:val="clear" w:color="auto" w:fill="auto"/>
        </w:rPr>
        <w:t>WALDENFELS</w:t>
      </w:r>
    </w:p>
    <w:p>
      <w:pPr>
        <w:pStyle w:val="Style63"/>
        <w:keepNext/>
        <w:keepLines/>
        <w:widowControl w:val="0"/>
        <w:numPr>
          <w:ilvl w:val="0"/>
          <w:numId w:val="573"/>
        </w:numPr>
        <w:shd w:val="clear" w:color="auto" w:fill="auto"/>
        <w:tabs>
          <w:tab w:pos="265" w:val="left"/>
        </w:tabs>
        <w:bidi w:val="0"/>
        <w:spacing w:before="0" w:line="223" w:lineRule="auto"/>
        <w:ind w:left="0" w:right="0" w:firstLine="0"/>
        <w:jc w:val="both"/>
      </w:pPr>
      <w:bookmarkStart w:id="379" w:name="bookmark379"/>
      <w:r>
        <w:rPr>
          <w:rFonts w:ascii="Times New Roman" w:eastAsia="Times New Roman" w:hAnsi="Times New Roman" w:cs="Times New Roman"/>
          <w:color w:val="000000"/>
          <w:spacing w:val="0"/>
          <w:w w:val="100"/>
          <w:position w:val="0"/>
          <w:shd w:val="clear" w:color="auto" w:fill="auto"/>
          <w:lang w:val="hr-HR" w:eastAsia="hr-HR" w:bidi="hr-HR"/>
        </w:rPr>
        <w:t>islamski</w:t>
      </w:r>
      <w:bookmarkEnd w:id="379"/>
    </w:p>
    <w:p>
      <w:pPr>
        <w:pStyle w:val="Style20"/>
        <w:keepNext w:val="0"/>
        <w:keepLines w:val="0"/>
        <w:widowControl w:val="0"/>
        <w:shd w:val="clear" w:color="auto" w:fill="auto"/>
        <w:bidi w:val="0"/>
        <w:spacing w:before="0" w:after="0"/>
        <w:ind w:left="0" w:right="0" w:firstLine="0"/>
        <w:jc w:val="both"/>
        <w:sectPr>
          <w:headerReference w:type="default" r:id="rId1543"/>
          <w:footerReference w:type="default" r:id="rId1544"/>
          <w:headerReference w:type="even" r:id="rId1545"/>
          <w:footerReference w:type="even" r:id="rId1546"/>
          <w:footnotePr>
            <w:pos w:val="pageBottom"/>
            <w:numFmt w:val="decimal"/>
            <w:numRestart w:val="continuous"/>
            <w15:footnoteColumns w:val="1"/>
          </w:footnotePr>
          <w:pgSz w:w="6816" w:h="11006"/>
          <w:pgMar w:top="981" w:left="189" w:right="195" w:bottom="469" w:header="0" w:footer="3" w:gutter="0"/>
          <w:pgNumType w:start="504"/>
          <w:cols w:num="2" w:space="17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Službeni vjeroučitelji javljaju se u povijesti is</w:t>
        <w:softHyphen/>
        <w:t>lamske kulture prvi put u Vili, stoljeću, u vri</w:t>
        <w:softHyphen/>
        <w:t>jeme Omejida. Tada je kalif osnovao prve javne škole (katatib). Ali je još u vrijeme Mu- hamedova djelovanja u Meki postojala vjer</w:t>
        <w:softHyphen/>
        <w:t>ska nastava koja je nalikovala školi. Ona je iz</w:t>
        <w:softHyphen/>
        <w:t>vođena u kući jednog od njegovih sljedbenika. Inače se vjerska poduka obavljala dobrovolj</w:t>
        <w:softHyphen/>
        <w:t>no u džamijama. Osobe koje su se smatrale pozvanim za to držale su tamo predavanja i propovijedi ili su vodile male debatne kružo</w:t>
        <w:softHyphen/>
        <w:t>ke. O Muhamedu se izvješćuje da je običavao oslobađati ratne zarobljenike koji su znali či</w:t>
        <w:softHyphen/>
        <w:t>tati i pisati, kada bi ovi naučili tomu izvjestan broj djece. Prve više školske ustanove nastale su početkom IX. stoljeća u Abasidskom Car</w:t>
        <w:softHyphen/>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stvu. U X. stoljeću njihovu su školsku djelat</w:t>
        <w:softHyphen/>
        <w:t>nost preuzele medrese (više teološke ustano</w:t>
        <w:softHyphen/>
        <w:t xml:space="preserve">ve). Paralelno s njihovom djelatnošću razvio se poziv </w:t>
      </w:r>
      <w:r>
        <w:rPr>
          <w:rFonts w:ascii="Times New Roman" w:eastAsia="Times New Roman" w:hAnsi="Times New Roman" w:cs="Times New Roman"/>
          <w:i/>
          <w:iCs/>
          <w:color w:val="000000"/>
          <w:spacing w:val="0"/>
          <w:w w:val="100"/>
          <w:position w:val="0"/>
          <w:shd w:val="clear" w:color="auto" w:fill="auto"/>
          <w:lang w:val="hr-HR" w:eastAsia="hr-HR" w:bidi="hr-HR"/>
        </w:rPr>
        <w:t>muderisa</w:t>
      </w:r>
      <w:r>
        <w:rPr>
          <w:rFonts w:ascii="Times New Roman" w:eastAsia="Times New Roman" w:hAnsi="Times New Roman" w:cs="Times New Roman"/>
          <w:color w:val="000000"/>
          <w:spacing w:val="0"/>
          <w:w w:val="100"/>
          <w:position w:val="0"/>
          <w:shd w:val="clear" w:color="auto" w:fill="auto"/>
          <w:lang w:val="hr-HR" w:eastAsia="hr-HR" w:bidi="hr-HR"/>
        </w:rPr>
        <w:t xml:space="preserve"> (nastavnika). U medresama su kao nastavničko osoblje djelovali i pomoćni učitelji. Ali nitko od tih službenika nije bio or</w:t>
        <w:softHyphen/>
        <w:t>gan organizacije koja bi nalikovala Crkvi. Nji</w:t>
        <w:softHyphen/>
        <w:t xml:space="preserve">hovi su nalogodavci bili ili država ili pobožna zaklada </w:t>
      </w:r>
      <w:r>
        <w:rPr>
          <w:rFonts w:ascii="Times New Roman" w:eastAsia="Times New Roman" w:hAnsi="Times New Roman" w:cs="Times New Roman"/>
          <w:i/>
          <w:iCs/>
          <w:color w:val="000000"/>
          <w:spacing w:val="0"/>
          <w:w w:val="100"/>
          <w:position w:val="0"/>
          <w:shd w:val="clear" w:color="auto" w:fill="auto"/>
          <w:lang w:val="hr-HR" w:eastAsia="hr-HR" w:bidi="hr-HR"/>
        </w:rPr>
        <w:t>(vakuf)</w:t>
      </w:r>
      <w:r>
        <w:rPr>
          <w:rFonts w:ascii="Times New Roman" w:eastAsia="Times New Roman" w:hAnsi="Times New Roman" w:cs="Times New Roman"/>
          <w:color w:val="000000"/>
          <w:spacing w:val="0"/>
          <w:w w:val="100"/>
          <w:position w:val="0"/>
          <w:shd w:val="clear" w:color="auto" w:fill="auto"/>
          <w:lang w:val="hr-HR" w:eastAsia="hr-HR" w:bidi="hr-HR"/>
        </w:rPr>
        <w:t xml:space="preserve"> (Cahid Baltaci, </w:t>
      </w:r>
      <w:r>
        <w:rPr>
          <w:rFonts w:ascii="Times New Roman" w:eastAsia="Times New Roman" w:hAnsi="Times New Roman" w:cs="Times New Roman"/>
          <w:i/>
          <w:iCs/>
          <w:color w:val="000000"/>
          <w:spacing w:val="0"/>
          <w:w w:val="100"/>
          <w:position w:val="0"/>
          <w:shd w:val="clear" w:color="auto" w:fill="auto"/>
          <w:lang w:val="hr-HR" w:eastAsia="hr-HR" w:bidi="hr-HR"/>
        </w:rPr>
        <w:t>15.-16. airlar- da Osmanli Medreseleri [Osmanske medrese u XV. i XVI. stoljeću],</w:t>
      </w:r>
      <w:r>
        <w:rPr>
          <w:rFonts w:ascii="Times New Roman" w:eastAsia="Times New Roman" w:hAnsi="Times New Roman" w:cs="Times New Roman"/>
          <w:color w:val="000000"/>
          <w:spacing w:val="0"/>
          <w:w w:val="100"/>
          <w:position w:val="0"/>
          <w:shd w:val="clear" w:color="auto" w:fill="auto"/>
          <w:lang w:val="hr-HR" w:eastAsia="hr-HR" w:bidi="hr-HR"/>
        </w:rPr>
        <w:t xml:space="preserve"> Istanbul 1976, 5 i d.).</w:t>
      </w:r>
    </w:p>
    <w:p>
      <w:pPr>
        <w:pStyle w:val="Style20"/>
        <w:keepNext w:val="0"/>
        <w:keepLines w:val="0"/>
        <w:widowControl w:val="0"/>
        <w:shd w:val="clear" w:color="auto" w:fill="auto"/>
        <w:tabs>
          <w:tab w:pos="2597" w:val="left"/>
        </w:tabs>
        <w:bidi w:val="0"/>
        <w:spacing w:before="0" w:after="2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izvjesnom smislu, nositelj je učiteljstva i </w:t>
      </w:r>
      <w:r>
        <w:rPr>
          <w:rFonts w:ascii="Times New Roman" w:eastAsia="Times New Roman" w:hAnsi="Times New Roman" w:cs="Times New Roman"/>
          <w:i/>
          <w:iCs/>
          <w:color w:val="000000"/>
          <w:spacing w:val="0"/>
          <w:w w:val="100"/>
          <w:position w:val="0"/>
          <w:shd w:val="clear" w:color="auto" w:fill="auto"/>
          <w:lang w:val="hr-HR" w:eastAsia="hr-HR" w:bidi="hr-HR"/>
        </w:rPr>
        <w:t>muftija.</w:t>
      </w:r>
      <w:r>
        <w:rPr>
          <w:rFonts w:ascii="Times New Roman" w:eastAsia="Times New Roman" w:hAnsi="Times New Roman" w:cs="Times New Roman"/>
          <w:color w:val="000000"/>
          <w:spacing w:val="0"/>
          <w:w w:val="100"/>
          <w:position w:val="0"/>
          <w:shd w:val="clear" w:color="auto" w:fill="auto"/>
          <w:lang w:val="hr-HR" w:eastAsia="hr-HR" w:bidi="hr-HR"/>
        </w:rPr>
        <w:t xml:space="preserve"> Na zahtjev nekog organa vlasti, neke osobe ili skupine on se očituje o pravnim i vjerskim pitanjima. Njegova je služba jednako malo sakralna kao i služba muderisa ili drugih djelatnika u vjerskom području. U nekoć osmanskim područjima islamski su se učitelji, uključujući i imame džamija, općenito zvali </w:t>
      </w:r>
      <w:r>
        <w:rPr>
          <w:rFonts w:ascii="Times New Roman" w:eastAsia="Times New Roman" w:hAnsi="Times New Roman" w:cs="Times New Roman"/>
          <w:i/>
          <w:iCs/>
          <w:color w:val="000000"/>
          <w:spacing w:val="0"/>
          <w:w w:val="100"/>
          <w:position w:val="0"/>
          <w:shd w:val="clear" w:color="auto" w:fill="auto"/>
          <w:lang w:val="hr-HR" w:eastAsia="hr-HR" w:bidi="hr-HR"/>
        </w:rPr>
        <w:t>hodže</w:t>
      </w:r>
      <w:r>
        <w:rPr>
          <w:rFonts w:ascii="Times New Roman" w:eastAsia="Times New Roman" w:hAnsi="Times New Roman" w:cs="Times New Roman"/>
          <w:color w:val="000000"/>
          <w:spacing w:val="0"/>
          <w:w w:val="100"/>
          <w:position w:val="0"/>
          <w:shd w:val="clear" w:color="auto" w:fill="auto"/>
          <w:lang w:val="hr-HR" w:eastAsia="hr-HR" w:bidi="hr-HR"/>
        </w:rPr>
        <w:t xml:space="preserve"> (izvorno: </w:t>
      </w:r>
      <w:r>
        <w:rPr>
          <w:rFonts w:ascii="Times New Roman" w:eastAsia="Times New Roman" w:hAnsi="Times New Roman" w:cs="Times New Roman"/>
          <w:color w:val="000000"/>
          <w:spacing w:val="0"/>
          <w:w w:val="100"/>
          <w:position w:val="0"/>
          <w:shd w:val="clear" w:color="auto" w:fill="auto"/>
          <w:lang w:val="en-US" w:eastAsia="en-US" w:bidi="en-US"/>
        </w:rPr>
        <w:t xml:space="preserve">khwadja, </w:t>
      </w:r>
      <w:r>
        <w:rPr>
          <w:rFonts w:ascii="Times New Roman" w:eastAsia="Times New Roman" w:hAnsi="Times New Roman" w:cs="Times New Roman"/>
          <w:color w:val="000000"/>
          <w:spacing w:val="0"/>
          <w:w w:val="100"/>
          <w:position w:val="0"/>
          <w:shd w:val="clear" w:color="auto" w:fill="auto"/>
          <w:lang w:val="hr-HR" w:eastAsia="hr-HR" w:bidi="hr-HR"/>
        </w:rPr>
        <w:t>zatim: khodja, da</w:t>
        <w:softHyphen/>
        <w:t>nas: hoca). Pojmu kršćanskoga službenika pri</w:t>
        <w:softHyphen/>
        <w:t xml:space="preserve">bližava se šijitsko shvaćanje </w:t>
      </w:r>
      <w:r>
        <w:rPr>
          <w:rFonts w:ascii="Times New Roman" w:eastAsia="Times New Roman" w:hAnsi="Times New Roman" w:cs="Times New Roman"/>
          <w:i/>
          <w:iCs/>
          <w:color w:val="000000"/>
          <w:spacing w:val="0"/>
          <w:w w:val="100"/>
          <w:position w:val="0"/>
          <w:shd w:val="clear" w:color="auto" w:fill="auto"/>
          <w:lang w:val="hr-HR" w:eastAsia="hr-HR" w:bidi="hr-HR"/>
        </w:rPr>
        <w:t>mudžtehida,</w:t>
      </w:r>
      <w:r>
        <w:rPr>
          <w:rFonts w:ascii="Times New Roman" w:eastAsia="Times New Roman" w:hAnsi="Times New Roman" w:cs="Times New Roman"/>
          <w:color w:val="000000"/>
          <w:spacing w:val="0"/>
          <w:w w:val="100"/>
          <w:position w:val="0"/>
          <w:shd w:val="clear" w:color="auto" w:fill="auto"/>
          <w:lang w:val="hr-HR" w:eastAsia="hr-HR" w:bidi="hr-HR"/>
        </w:rPr>
        <w:t xml:space="preserve"> tj. onih pismoznanaca koji su osposobljeni da putem samostalnog nalaženja istine donose odluke o vjerskim i religioznim pitanjima (djelatnost se mudžtehida zove </w:t>
      </w:r>
      <w:r>
        <w:rPr>
          <w:rFonts w:ascii="Times New Roman" w:eastAsia="Times New Roman" w:hAnsi="Times New Roman" w:cs="Times New Roman"/>
          <w:i/>
          <w:iCs/>
          <w:color w:val="000000"/>
          <w:spacing w:val="0"/>
          <w:w w:val="100"/>
          <w:position w:val="0"/>
          <w:shd w:val="clear" w:color="auto" w:fill="auto"/>
          <w:lang w:val="hr-HR" w:eastAsia="hr-HR" w:bidi="hr-HR"/>
        </w:rPr>
        <w:t>idžtihad</w:t>
      </w:r>
      <w:r>
        <w:rPr>
          <w:rFonts w:ascii="Times New Roman" w:eastAsia="Times New Roman" w:hAnsi="Times New Roman" w:cs="Times New Roman"/>
          <w:color w:val="000000"/>
          <w:spacing w:val="0"/>
          <w:w w:val="100"/>
          <w:position w:val="0"/>
          <w:shd w:val="clear" w:color="auto" w:fill="auto"/>
          <w:lang w:val="hr-HR" w:eastAsia="hr-HR" w:bidi="hr-HR"/>
        </w:rPr>
        <w:t xml:space="preserve"> = slo</w:t>
        <w:softHyphen/>
        <w:t>bodno produktivno iznalaženje prava), i aja- tolaha, onih učenjaka koji povrh toga imaju znatan osobni utjecaj u pobožnom pučanstvu. Učenost u religioznim disciplinama kvalificira za obavljanje nastavničke djelatnosti i za tu</w:t>
        <w:softHyphen/>
        <w:t>mačenje tradicije. Učenjaci (‘51im, množina ‘ulama) bdiju i nad poštovanjem vjerskoga zakona. U sunitskom islamu njihove odluke (fetve) u pravilu svakako vrijede ne samo za slučaj o kojemu trenutačno trebaju donijeti odluku, nego i za osobu, skupinu ili organ vlasti koji ga je predložio za iješavanje. Miš</w:t>
        <w:softHyphen/>
        <w:t>ljenja mudžtehida ipak prekoračuju taj okvir: Ona se u svom značenju približavaju pojmu mišljenja učiteljstva u crkvi.</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balić</w:t>
      </w:r>
    </w:p>
    <w:p>
      <w:pPr>
        <w:pStyle w:val="Style91"/>
        <w:keepNext/>
        <w:keepLines/>
        <w:widowControl w:val="0"/>
        <w:shd w:val="clear" w:color="auto" w:fill="auto"/>
        <w:bidi w:val="0"/>
        <w:spacing w:before="0" w:after="0" w:line="240" w:lineRule="auto"/>
        <w:ind w:left="0" w:right="0" w:firstLine="0"/>
        <w:jc w:val="both"/>
        <w:rPr>
          <w:sz w:val="18"/>
          <w:szCs w:val="18"/>
        </w:rPr>
      </w:pPr>
      <w:bookmarkStart w:id="380" w:name="bookmark380"/>
      <w:r>
        <w:rPr>
          <w:rFonts w:ascii="Times New Roman" w:eastAsia="Times New Roman" w:hAnsi="Times New Roman" w:cs="Times New Roman"/>
          <w:b/>
          <w:bCs/>
          <w:color w:val="000000"/>
          <w:spacing w:val="0"/>
          <w:w w:val="100"/>
          <w:position w:val="0"/>
          <w:sz w:val="17"/>
          <w:szCs w:val="17"/>
          <w:shd w:val="clear" w:color="auto" w:fill="auto"/>
          <w:lang w:val="hr-HR" w:eastAsia="hr-HR" w:bidi="hr-HR"/>
        </w:rPr>
        <w:t>UM -&gt;</w:t>
      </w:r>
      <w:r>
        <w:rPr>
          <w:rFonts w:ascii="Times New Roman" w:eastAsia="Times New Roman" w:hAnsi="Times New Roman" w:cs="Times New Roman"/>
          <w:color w:val="000000"/>
          <w:spacing w:val="0"/>
          <w:w w:val="100"/>
          <w:position w:val="0"/>
          <w:sz w:val="18"/>
          <w:szCs w:val="18"/>
          <w:shd w:val="clear" w:color="auto" w:fill="auto"/>
          <w:lang w:val="hr-HR" w:eastAsia="hr-HR" w:bidi="hr-HR"/>
        </w:rPr>
        <w:t xml:space="preserve"> RACIONALIZAM, -»</w:t>
      </w:r>
      <w:bookmarkEnd w:id="380"/>
    </w:p>
    <w:p>
      <w:pPr>
        <w:pStyle w:val="Style91"/>
        <w:keepNext/>
        <w:keepLines/>
        <w:widowControl w:val="0"/>
        <w:shd w:val="clear" w:color="auto" w:fill="auto"/>
        <w:bidi w:val="0"/>
        <w:spacing w:before="0" w:after="80" w:line="228" w:lineRule="auto"/>
        <w:ind w:left="0" w:right="0" w:firstLine="0"/>
        <w:jc w:val="both"/>
        <w:rPr>
          <w:sz w:val="18"/>
          <w:szCs w:val="18"/>
        </w:rPr>
      </w:pPr>
      <w:bookmarkStart w:id="381" w:name="bookmark381"/>
      <w:r>
        <w:rPr>
          <w:rFonts w:ascii="Times New Roman" w:eastAsia="Times New Roman" w:hAnsi="Times New Roman" w:cs="Times New Roman"/>
          <w:color w:val="000000"/>
          <w:spacing w:val="0"/>
          <w:w w:val="100"/>
          <w:position w:val="0"/>
          <w:sz w:val="18"/>
          <w:szCs w:val="18"/>
          <w:shd w:val="clear" w:color="auto" w:fill="auto"/>
          <w:lang w:val="hr-HR" w:eastAsia="hr-HR" w:bidi="hr-HR"/>
        </w:rPr>
        <w:t>PROSVJETITELJSTVO</w:t>
      </w:r>
      <w:bookmarkEnd w:id="381"/>
    </w:p>
    <w:p>
      <w:pPr>
        <w:pStyle w:val="Style91"/>
        <w:keepNext/>
        <w:keepLines/>
        <w:widowControl w:val="0"/>
        <w:shd w:val="clear" w:color="auto" w:fill="auto"/>
        <w:bidi w:val="0"/>
        <w:spacing w:before="0" w:after="160" w:line="240" w:lineRule="auto"/>
        <w:ind w:left="0" w:right="0" w:firstLine="0"/>
        <w:jc w:val="both"/>
        <w:rPr>
          <w:sz w:val="18"/>
          <w:szCs w:val="18"/>
        </w:rPr>
      </w:pPr>
      <w:bookmarkStart w:id="382" w:name="bookmark382"/>
      <w:r>
        <w:rPr>
          <w:rFonts w:ascii="Times New Roman" w:eastAsia="Times New Roman" w:hAnsi="Times New Roman" w:cs="Times New Roman"/>
          <w:b/>
          <w:bCs/>
          <w:color w:val="000000"/>
          <w:spacing w:val="0"/>
          <w:w w:val="100"/>
          <w:position w:val="0"/>
          <w:sz w:val="17"/>
          <w:szCs w:val="17"/>
          <w:shd w:val="clear" w:color="auto" w:fill="auto"/>
          <w:lang w:val="hr-HR" w:eastAsia="hr-HR" w:bidi="hr-HR"/>
        </w:rPr>
        <w:t xml:space="preserve">UMA -&gt; </w:t>
      </w:r>
      <w:r>
        <w:rPr>
          <w:rFonts w:ascii="Times New Roman" w:eastAsia="Times New Roman" w:hAnsi="Times New Roman" w:cs="Times New Roman"/>
          <w:color w:val="000000"/>
          <w:spacing w:val="0"/>
          <w:w w:val="100"/>
          <w:position w:val="0"/>
          <w:sz w:val="18"/>
          <w:szCs w:val="18"/>
          <w:shd w:val="clear" w:color="auto" w:fill="auto"/>
          <w:lang w:val="hr-HR" w:eastAsia="hr-HR" w:bidi="hr-HR"/>
        </w:rPr>
        <w:t>ZAJEDNICA (islamski)</w:t>
      </w:r>
      <w:bookmarkEnd w:id="382"/>
    </w:p>
    <w:p>
      <w:pPr>
        <w:pStyle w:val="Style33"/>
        <w:keepNext w:val="0"/>
        <w:keepLines w:val="0"/>
        <w:widowControl w:val="0"/>
        <w:shd w:val="clear" w:color="auto" w:fill="auto"/>
        <w:bidi w:val="0"/>
        <w:spacing w:before="0" w:after="8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UNIVERZALIZAM</w:t>
      </w:r>
    </w:p>
    <w:p>
      <w:pPr>
        <w:pStyle w:val="Style63"/>
        <w:keepNext/>
        <w:keepLines/>
        <w:widowControl w:val="0"/>
        <w:numPr>
          <w:ilvl w:val="0"/>
          <w:numId w:val="597"/>
        </w:numPr>
        <w:shd w:val="clear" w:color="auto" w:fill="auto"/>
        <w:tabs>
          <w:tab w:pos="246" w:val="left"/>
        </w:tabs>
        <w:bidi w:val="0"/>
        <w:spacing w:before="0" w:after="80" w:line="223" w:lineRule="auto"/>
        <w:ind w:left="0" w:right="0" w:firstLine="0"/>
        <w:jc w:val="both"/>
      </w:pPr>
      <w:bookmarkStart w:id="383" w:name="bookmark383"/>
      <w:r>
        <w:rPr>
          <w:rFonts w:ascii="Times New Roman" w:eastAsia="Times New Roman" w:hAnsi="Times New Roman" w:cs="Times New Roman"/>
          <w:color w:val="000000"/>
          <w:spacing w:val="0"/>
          <w:w w:val="100"/>
          <w:position w:val="0"/>
          <w:shd w:val="clear" w:color="auto" w:fill="auto"/>
          <w:lang w:val="hr-HR" w:eastAsia="hr-HR" w:bidi="hr-HR"/>
        </w:rPr>
        <w:t>židovski</w:t>
      </w:r>
      <w:bookmarkEnd w:id="383"/>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 Partikularizam kao potrebni preduvjet:</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sebno mjesto, koje je Izraelu dodijeljeno me</w:t>
        <w:softHyphen/>
      </w:r>
      <w:r>
        <w:rPr>
          <w:rFonts w:ascii="Times New Roman" w:eastAsia="Times New Roman" w:hAnsi="Times New Roman" w:cs="Times New Roman"/>
          <w:color w:val="000000"/>
          <w:spacing w:val="0"/>
          <w:w w:val="100"/>
          <w:position w:val="0"/>
          <w:shd w:val="clear" w:color="auto" w:fill="auto"/>
          <w:lang w:val="hr-HR" w:eastAsia="hr-HR" w:bidi="hr-HR"/>
        </w:rPr>
        <w:t>đu narodima, opravdava njegovu različitost i njegovu osobitost (Pnz 7,6.13; 1 Kr 8,53). Ono je njegovu životu dalo smisao u kojem se na</w:t>
        <w:softHyphen/>
        <w:t xml:space="preserve">šao, a to je Savez kao uzajamni odnos Boga i Izraela (Izl 19,4-8; 24,3). S uvidom u njegovu posebnost raslo je paralelno razumijevanje za granicu razdvajanja (Pnz 7,3 i d.). Tek svijest o izabranju probudila je Izraelovu religijsku snagu (7,6-11). Povijest je dala jasan dokaz: govori njegovih proroka mnogolika su razrada Izraelova izabranja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3,2; 9,7; Hoš 11,1; 12,10; 13,4 i d.; Jr 7; 14,8-19). Svoj snažni izraz našla je u razdobljima patnje, u kojima su mučenici radi »svetosti (Božjeg) imena« ostali vjerni židovstvu. U njima se obistinila prispodoba mudraca: kao što maslina daje svoje dragocjeno ulje kad je gnječite, tako i Izrael daje najbolje od sebe kad ga ugnjeta</w:t>
        <w:softHyphen/>
        <w:t>vate (Šemot raba XXXIV, 27,20). Svjesno is</w:t>
        <w:softHyphen/>
        <w:t>tinitosti svoje egzistencije, Saveza s Bogom, židovstvo je dobilo snagu da bude drukčije i volju da se razlikuje, da ne ostane pod doj</w:t>
        <w:softHyphen/>
        <w:t>mom nadmoći i uspjeha, kako je podučavao jedan od njegovih učitelja, prema kojem je Bog »pretražio sve dobre osobine kako bi ih dao Izraelu, ali nije (za njih) našao ništa osim siromaštva« (b Hagiga 9b). Izraelovo izabra- nje bilo je od samog početka oblikovano kao zahtjev ćudoredne osobitosti, a ne kao pogod</w:t>
        <w:softHyphen/>
        <w:t xml:space="preserve">nost (Izl 19,5;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20,26; Pnz 28,9; Iz 59,21). Njegova religijska egzistencija trebala je to ostvariti kao njegov poziv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svjetskoj povijesti: </w:t>
      </w:r>
      <w:r>
        <w:rPr>
          <w:rFonts w:ascii="Times New Roman" w:eastAsia="Times New Roman" w:hAnsi="Times New Roman" w:cs="Times New Roman"/>
          <w:color w:val="000000"/>
          <w:spacing w:val="0"/>
          <w:w w:val="100"/>
          <w:position w:val="0"/>
          <w:shd w:val="clear" w:color="auto" w:fill="auto"/>
          <w:lang w:val="hr-HR" w:eastAsia="hr-HR" w:bidi="hr-HR"/>
        </w:rPr>
        <w:t>»Ta je nacija (Izrael) obilježena trima osobi</w:t>
        <w:softHyphen/>
        <w:t>nama: milosrdna je, stidljiva i milostiva... (Sa</w:t>
        <w:softHyphen/>
        <w:t>mo) onaj tko ima te tri osobine, dostojan je priključenja toj naciji« (b Jabmut 79a). Bez svoje sigurnosti u izabranosl Izrael ne bi mo</w:t>
        <w:softHyphen/>
        <w:t xml:space="preserve">gao ispuniti svoju životnu dužnost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u povijesti: </w:t>
      </w:r>
      <w:r>
        <w:rPr>
          <w:rFonts w:ascii="Times New Roman" w:eastAsia="Times New Roman" w:hAnsi="Times New Roman" w:cs="Times New Roman"/>
          <w:color w:val="000000"/>
          <w:spacing w:val="0"/>
          <w:w w:val="100"/>
          <w:position w:val="0"/>
          <w:shd w:val="clear" w:color="auto" w:fill="auto"/>
          <w:lang w:val="hr-HR" w:eastAsia="hr-HR" w:bidi="hr-HR"/>
        </w:rPr>
        <w:t xml:space="preserve">»Tko se smiluje svojim bližnjima, sigurno je od djece našeg oca Abrahama, a tko se ne smiluje svojim bližnjima, sigurno nije od djece našeg oca Abrahama« (b Jom tov = Beča 32b). Tek njegova posebna egzistencija, koja ga dijeli od života susjednih naroda i stvara usmeni nauk kao »ogradu oko Tore« (M Avot 1,1) osposobila je Izrael za njegovu službu radi budućnosti čovječanstva. Stoga mu je zapovje- đena </w:t>
      </w:r>
      <w:r>
        <w:rPr>
          <w:rFonts w:ascii="Times New Roman" w:eastAsia="Times New Roman" w:hAnsi="Times New Roman" w:cs="Times New Roman"/>
          <w:i/>
          <w:iCs/>
          <w:color w:val="000000"/>
          <w:spacing w:val="0"/>
          <w:w w:val="100"/>
          <w:position w:val="0"/>
          <w:shd w:val="clear" w:color="auto" w:fill="auto"/>
          <w:lang w:val="hr-HR" w:eastAsia="hr-HR" w:bidi="hr-HR"/>
        </w:rPr>
        <w:t>»osobitostpoziva«,</w:t>
      </w:r>
      <w:r>
        <w:rPr>
          <w:rFonts w:ascii="Times New Roman" w:eastAsia="Times New Roman" w:hAnsi="Times New Roman" w:cs="Times New Roman"/>
          <w:color w:val="000000"/>
          <w:spacing w:val="0"/>
          <w:w w:val="100"/>
          <w:position w:val="0"/>
          <w:shd w:val="clear" w:color="auto" w:fill="auto"/>
          <w:lang w:val="hr-HR" w:eastAsia="hr-HR" w:bidi="hr-HR"/>
        </w:rPr>
        <w:t xml:space="preserve"> ali mu nije najavljena </w:t>
      </w:r>
      <w:r>
        <w:rPr>
          <w:rFonts w:ascii="Times New Roman" w:eastAsia="Times New Roman" w:hAnsi="Times New Roman" w:cs="Times New Roman"/>
          <w:i/>
          <w:iCs/>
          <w:color w:val="000000"/>
          <w:spacing w:val="0"/>
          <w:w w:val="100"/>
          <w:position w:val="0"/>
          <w:shd w:val="clear" w:color="auto" w:fill="auto"/>
          <w:lang w:val="hr-HR" w:eastAsia="hr-HR" w:bidi="hr-HR"/>
        </w:rPr>
        <w:t>»ekskluzivnost spasenja«</w:t>
      </w:r>
      <w:r>
        <w:rPr>
          <w:rFonts w:ascii="Times New Roman" w:eastAsia="Times New Roman" w:hAnsi="Times New Roman" w:cs="Times New Roman"/>
          <w:color w:val="000000"/>
          <w:spacing w:val="0"/>
          <w:w w:val="100"/>
          <w:position w:val="0"/>
          <w:shd w:val="clear" w:color="auto" w:fill="auto"/>
          <w:lang w:val="hr-HR" w:eastAsia="hr-HR" w:bidi="hr-HR"/>
        </w:rPr>
        <w:t xml:space="preserve">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en-US" w:eastAsia="en-US" w:bidi="en-US"/>
        </w:rPr>
        <w:t>Das Wesen des Judentums,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6. izdanje, 69).</w:t>
      </w:r>
    </w:p>
    <w:p>
      <w:pPr>
        <w:pStyle w:val="Style20"/>
        <w:keepNext w:val="0"/>
        <w:keepLines w:val="0"/>
        <w:widowControl w:val="0"/>
        <w:shd w:val="clear" w:color="auto" w:fill="auto"/>
        <w:bidi w:val="0"/>
        <w:spacing w:before="0" w:after="60"/>
        <w:ind w:left="0" w:right="0" w:firstLine="0"/>
        <w:jc w:val="both"/>
      </w:pPr>
      <w:r>
        <mc:AlternateContent>
          <mc:Choice Requires="wps">
            <w:drawing>
              <wp:anchor distT="38100" distB="254000" distL="114300" distR="114300" simplePos="0" relativeHeight="125829441" behindDoc="0" locked="0" layoutInCell="1" allowOverlap="1">
                <wp:simplePos x="0" y="0"/>
                <wp:positionH relativeFrom="page">
                  <wp:posOffset>4015740</wp:posOffset>
                </wp:positionH>
                <wp:positionV relativeFrom="margin">
                  <wp:posOffset>6129655</wp:posOffset>
                </wp:positionV>
                <wp:extent cx="186055" cy="133985"/>
                <wp:wrapTopAndBottom/>
                <wp:docPr id="3321" name="Shape 3321"/>
                <a:graphic xmlns:a="http://schemas.openxmlformats.org/drawingml/2006/main">
                  <a:graphicData uri="http://schemas.microsoft.com/office/word/2010/wordprocessingShape">
                    <wps:wsp>
                      <wps:cNvSpPr txBox="1"/>
                      <wps:spPr>
                        <a:xfrm>
                          <a:ext cx="186055"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&lt;;n&lt;;</w:t>
                            </w:r>
                          </w:p>
                        </w:txbxContent>
                      </wps:txbx>
                      <wps:bodyPr wrap="none" lIns="0" tIns="0" rIns="0" bIns="0">
                        <a:noAutoFit/>
                      </wps:bodyPr>
                    </wps:wsp>
                  </a:graphicData>
                </a:graphic>
              </wp:anchor>
            </w:drawing>
          </mc:Choice>
          <mc:Fallback>
            <w:pict>
              <v:shape id="_x0000_s4347" type="#_x0000_t202" style="position:absolute;margin-left:316.19999999999999pt;margin-top:482.64999999999998pt;width:14.65pt;height:10.550000000000001pt;z-index:-125829312;mso-wrap-distance-left:9.pt;mso-wrap-distance-top:3.pt;mso-wrap-distance-right:9.pt;mso-wrap-distance-bottom:20.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&lt;;n&lt;;</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b) Neizbježan raskol:</w:t>
      </w:r>
      <w:r>
        <w:rPr>
          <w:rFonts w:ascii="Times New Roman" w:eastAsia="Times New Roman" w:hAnsi="Times New Roman" w:cs="Times New Roman"/>
          <w:color w:val="000000"/>
          <w:spacing w:val="0"/>
          <w:w w:val="100"/>
          <w:position w:val="0"/>
          <w:shd w:val="clear" w:color="auto" w:fill="auto"/>
          <w:lang w:val="hr-HR" w:eastAsia="hr-HR" w:bidi="hr-HR"/>
        </w:rPr>
        <w:t xml:space="preserve"> Suprotnost između »pra</w:t>
        <w:softHyphen/>
        <w:t xml:space="preserve">vednika« i »bezbožnika« potisnula je svako </w:t>
      </w:r>
      <w:r>
        <w:rPr>
          <w:rFonts w:ascii="Times New Roman" w:eastAsia="Times New Roman" w:hAnsi="Times New Roman" w:cs="Times New Roman"/>
          <w:color w:val="000000"/>
          <w:spacing w:val="0"/>
          <w:w w:val="100"/>
          <w:position w:val="0"/>
          <w:shd w:val="clear" w:color="auto" w:fill="auto"/>
          <w:lang w:val="hr-HR" w:eastAsia="hr-HR" w:bidi="hr-HR"/>
        </w:rPr>
        <w:t xml:space="preserve">drugo razlučivanje: »Izraelac ili poganin - tko je učinio pravedno djelo. Bog će ga nagraditi« (Tana deve Elijahu 13; usp. j Pea 1,1;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XIII.2; </w:t>
      </w:r>
      <w:r>
        <w:rPr>
          <w:rFonts w:ascii="Times New Roman" w:eastAsia="Times New Roman" w:hAnsi="Times New Roman" w:cs="Times New Roman"/>
          <w:color w:val="000000"/>
          <w:spacing w:val="0"/>
          <w:w w:val="100"/>
          <w:position w:val="0"/>
          <w:shd w:val="clear" w:color="auto" w:fill="auto"/>
          <w:lang w:val="hr-HR" w:eastAsia="hr-HR" w:bidi="hr-HR"/>
        </w:rPr>
        <w:t xml:space="preserve">b 105a). U tom kontekstu prva molba u glavnoj molitvi dobiva značenje: »Ti darujcš ljudima spoznaju i učiš smrtnike razumu« (IV. blagoslov iz </w:t>
      </w:r>
      <w:r>
        <w:rPr>
          <w:rFonts w:ascii="Times New Roman" w:eastAsia="Times New Roman" w:hAnsi="Times New Roman" w:cs="Times New Roman"/>
          <w:i/>
          <w:iCs/>
          <w:color w:val="000000"/>
          <w:spacing w:val="0"/>
          <w:w w:val="100"/>
          <w:position w:val="0"/>
          <w:shd w:val="clear" w:color="auto" w:fill="auto"/>
          <w:lang w:val="hr-HR" w:eastAsia="hr-HR" w:bidi="hr-HR"/>
        </w:rPr>
        <w:t>Semone esre).</w:t>
      </w:r>
      <w:r>
        <w:rPr>
          <w:rFonts w:ascii="Times New Roman" w:eastAsia="Times New Roman" w:hAnsi="Times New Roman" w:cs="Times New Roman"/>
          <w:color w:val="000000"/>
          <w:spacing w:val="0"/>
          <w:w w:val="100"/>
          <w:position w:val="0"/>
          <w:shd w:val="clear" w:color="auto" w:fill="auto"/>
          <w:lang w:val="hr-HR" w:eastAsia="hr-HR" w:bidi="hr-HR"/>
        </w:rPr>
        <w:t xml:space="preserve"> Čo</w:t>
        <w:softHyphen/>
        <w:t>vjek, smrtnik, nežidov, ovdje je horizont. On oblikuje i završnu molbu pojedinca: Neka du</w:t>
        <w:softHyphen/>
        <w:t>ša šuti na proklinjanja i neka bude prah ... No u međuvremenu kroz cijeli molitveni ciklus provlače se molbe za povratak izgubljenoga u Božjem narodu. Taj raskorak uključuje dija</w:t>
        <w:softHyphen/>
        <w:t>lektički isprepletenu napetost između utopij</w:t>
        <w:softHyphen/>
        <w:t>skih i restaurativnih tendencija u biblijskom i talmudskom mesijanizmu. On je neizbježan, jer Božja se vlast u njegovoj mesijanskoj vlasti usavršava, pa stoga Božja riječ upućena čo</w:t>
        <w:softHyphen/>
        <w:t>vječanstvu nije ništa drugo osim riječi upuće</w:t>
        <w:softHyphen/>
        <w:t>ne izabranom narodu, a nada za čovječanstvo je nada za Izrael: »... da te plaše sva djela i da se sva stvorenja bace na koljena pred tebe, da svi čine Savez« (umetak u Osamnaest blago</w:t>
        <w:softHyphen/>
        <w:t>slova na Novu godinu i na Dan pomirenja). Izraelov partikularizam najtješnje je povezan s njegovim mesijanskim univerzalizmom. Put u jedinstvo čovječanstva počinje s Izraelovim izabranjem.</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I.it.: </w:t>
      </w:r>
      <w:r>
        <w:rPr>
          <w:b/>
          <w:bCs/>
          <w:i/>
          <w:iCs/>
          <w:color w:val="000000"/>
          <w:spacing w:val="0"/>
          <w:w w:val="100"/>
          <w:position w:val="0"/>
          <w:sz w:val="9"/>
          <w:szCs w:val="9"/>
          <w:shd w:val="clear" w:color="auto" w:fill="auto"/>
          <w:lang w:val="hr-HR" w:eastAsia="hr-HR" w:bidi="hr-HR"/>
        </w:rPr>
        <w:t>Judtirhes I^kon IV/2</w:t>
      </w:r>
      <w:r>
        <w:rPr>
          <w:color w:val="000000"/>
          <w:spacing w:val="0"/>
          <w:w w:val="100"/>
          <w:position w:val="0"/>
          <w:shd w:val="clear" w:color="auto" w:fill="auto"/>
          <w:lang w:val="hr-HR" w:eastAsia="hr-HR" w:bidi="hr-HR"/>
        </w:rPr>
        <w:t xml:space="preserve"> 1927.'19H2, 1114-16; J. Maicr/P. </w:t>
      </w:r>
      <w:r>
        <w:rPr>
          <w:color w:val="000000"/>
          <w:spacing w:val="0"/>
          <w:w w:val="100"/>
          <w:position w:val="0"/>
          <w:shd w:val="clear" w:color="auto" w:fill="auto"/>
        </w:rPr>
        <w:t xml:space="preserve">Schafer, </w:t>
      </w:r>
      <w:r>
        <w:rPr>
          <w:b/>
          <w:bCs/>
          <w:i/>
          <w:iCs/>
          <w:color w:val="000000"/>
          <w:spacing w:val="0"/>
          <w:w w:val="100"/>
          <w:position w:val="0"/>
          <w:sz w:val="9"/>
          <w:szCs w:val="9"/>
          <w:shd w:val="clear" w:color="auto" w:fill="auto"/>
        </w:rPr>
        <w:t xml:space="preserve">Kleines </w:t>
      </w:r>
      <w:r>
        <w:rPr>
          <w:b/>
          <w:bCs/>
          <w:i/>
          <w:iCs/>
          <w:color w:val="000000"/>
          <w:spacing w:val="0"/>
          <w:w w:val="100"/>
          <w:position w:val="0"/>
          <w:sz w:val="9"/>
          <w:szCs w:val="9"/>
          <w:shd w:val="clear" w:color="auto" w:fill="auto"/>
          <w:lang w:val="hr-HR" w:eastAsia="hr-HR" w:bidi="hr-HR"/>
        </w:rPr>
        <w:t xml:space="preserve">Lejukon </w:t>
      </w:r>
      <w:r>
        <w:rPr>
          <w:b/>
          <w:bCs/>
          <w:i/>
          <w:iCs/>
          <w:color w:val="000000"/>
          <w:spacing w:val="0"/>
          <w:w w:val="100"/>
          <w:position w:val="0"/>
          <w:sz w:val="9"/>
          <w:szCs w:val="9"/>
          <w:shd w:val="clear" w:color="auto" w:fill="auto"/>
        </w:rPr>
        <w:t xml:space="preserve">des </w:t>
      </w:r>
      <w:r>
        <w:rPr>
          <w:b/>
          <w:bCs/>
          <w:i/>
          <w:iCs/>
          <w:color w:val="000000"/>
          <w:spacing w:val="0"/>
          <w:w w:val="100"/>
          <w:position w:val="0"/>
          <w:sz w:val="9"/>
          <w:szCs w:val="9"/>
          <w:shd w:val="clear" w:color="auto" w:fill="auto"/>
          <w:lang w:val="hr-HR" w:eastAsia="hr-HR" w:bidi="hr-HR"/>
        </w:rPr>
        <w:t>Judentum,</w:t>
      </w:r>
      <w:r>
        <w:rPr>
          <w:color w:val="000000"/>
          <w:spacing w:val="0"/>
          <w:w w:val="100"/>
          <w:position w:val="0"/>
          <w:shd w:val="clear" w:color="auto" w:fill="auto"/>
          <w:lang w:val="hr-HR" w:eastAsia="hr-HR" w:bidi="hr-HR"/>
        </w:rPr>
        <w:t xml:space="preserve"> 1981, 232 i d.</w:t>
      </w:r>
    </w:p>
    <w:p>
      <w:pPr>
        <w:pStyle w:val="Style74"/>
        <w:keepNext w:val="0"/>
        <w:keepLines w:val="0"/>
        <w:widowControl w:val="0"/>
        <w:shd w:val="clear" w:color="auto" w:fill="auto"/>
        <w:bidi w:val="0"/>
        <w:spacing w:before="0" w:after="260" w:line="29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en-US" w:eastAsia="en-US" w:bidi="en-US"/>
        </w:rPr>
        <w:t>VETTER</w:t>
      </w:r>
    </w:p>
    <w:p>
      <w:pPr>
        <w:pStyle w:val="Style63"/>
        <w:keepNext/>
        <w:keepLines/>
        <w:widowControl w:val="0"/>
        <w:numPr>
          <w:ilvl w:val="0"/>
          <w:numId w:val="597"/>
        </w:numPr>
        <w:shd w:val="clear" w:color="auto" w:fill="auto"/>
        <w:tabs>
          <w:tab w:pos="255" w:val="left"/>
        </w:tabs>
        <w:bidi w:val="0"/>
        <w:spacing w:before="0" w:after="120" w:line="223" w:lineRule="auto"/>
        <w:ind w:left="0" w:right="0" w:firstLine="0"/>
        <w:jc w:val="both"/>
      </w:pPr>
      <w:bookmarkStart w:id="384" w:name="bookmark38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84"/>
    </w:p>
    <w:p>
      <w:pPr>
        <w:pStyle w:val="Style20"/>
        <w:keepNext w:val="0"/>
        <w:keepLines w:val="0"/>
        <w:widowControl w:val="0"/>
        <w:numPr>
          <w:ilvl w:val="0"/>
          <w:numId w:val="599"/>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etički u. on tvori suprotnost etičkom partikularizmu prema kojem npr. samo pri</w:t>
        <w:softHyphen/>
        <w:t>padnik vlastitog plemena, vlastite rase, vlasti</w:t>
        <w:softHyphen/>
        <w:t>tog naroda ili vlastite religijske zajednice vri</w:t>
        <w:softHyphen/>
        <w:t>jedi kao ravan meni, tj. kao nositelj ćudored</w:t>
        <w:softHyphen/>
        <w:t>nih prava i dužnosti. Prema etičkom univer</w:t>
        <w:softHyphen/>
        <w:t>zalizmu svi koji imaju ljudsko lice jednaki su u dostojanstvu svoje osobe, tj. ako su na isti na</w:t>
        <w:softHyphen/>
        <w:t>čin moralna bića. Možda se najvažniji udarni smjer Isusova ćudorednog naviještanja okreće protiv svakog etičkog partikularizma (usp. prispodobu o milosrdnom Samarijancu Lk 10,25-37). Iz jednake vrijednosti svih ljudi kao moralnih subjekata slijedi da svaki čovjek sam po sebi zaslužuje biti poštivan, pa se pre</w:t>
        <w:softHyphen/>
        <w:t>ma tomu treba s njim ćudoredno ispravno po</w:t>
        <w:softHyphen/>
        <w:t>stupati; ili drugačije, svaki ćudoredno ispra</w:t>
        <w:softHyphen/>
        <w:t>van sud načelno mora biti prihvatljiv za sva</w:t>
        <w:softHyphen/>
      </w:r>
      <w:r>
        <w:rPr>
          <w:rFonts w:ascii="Times New Roman" w:eastAsia="Times New Roman" w:hAnsi="Times New Roman" w:cs="Times New Roman"/>
          <w:color w:val="000000"/>
          <w:spacing w:val="0"/>
          <w:w w:val="100"/>
          <w:position w:val="0"/>
          <w:shd w:val="clear" w:color="auto" w:fill="auto"/>
          <w:lang w:val="hr-HR" w:eastAsia="hr-HR" w:bidi="hr-HR"/>
        </w:rPr>
        <w:t>koga čovjeka čak i kada mu to donosi op</w:t>
        <w:softHyphen/>
        <w:t>terećenja. No, iz jednake vrijednosti svih ljudi ne slijedi polaganje prava na jednaki postupak s njima. Među ljudima kojima pripada u jed</w:t>
        <w:softHyphen/>
        <w:t>nakoj mjeri osobno dostojanstvo ima ćudo</w:t>
        <w:softHyphen/>
        <w:t>redno značajnih razlika, što se općenito pri</w:t>
        <w:softHyphen/>
        <w:t>hvaća, koje ne samo dopuštaju nejednak pos</w:t>
        <w:softHyphen/>
        <w:t>tupak nego ga čak i zahtijevaju; pomislimo samo na razlike između djece i odraslih, zdra</w:t>
        <w:softHyphen/>
        <w:t>vih i bolesnih, zakonitih nositelja autoriteta i onih koji su podložni njihovu autoritetu.</w:t>
      </w:r>
    </w:p>
    <w:p>
      <w:pPr>
        <w:pStyle w:val="Style20"/>
        <w:keepNext w:val="0"/>
        <w:keepLines w:val="0"/>
        <w:widowControl w:val="0"/>
        <w:numPr>
          <w:ilvl w:val="0"/>
          <w:numId w:val="599"/>
        </w:numPr>
        <w:shd w:val="clear" w:color="auto" w:fill="auto"/>
        <w:tabs>
          <w:tab w:pos="260" w:val="left"/>
          <w:tab w:pos="2395" w:val="left"/>
        </w:tabs>
        <w:bidi w:val="0"/>
        <w:spacing w:before="0" w:after="1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spasenja kao takav predstavlja suprot</w:t>
        <w:softHyphen/>
        <w:t>nost partikularizmu spasenja prema kojem Bog ne pruža svim ljudima mogućnost (mi</w:t>
        <w:softHyphen/>
        <w:t>lost) da postignu nadnaravno spasenje, pa ih tako, dakle, isključuje prije njihove osobne krivnje. Da je Božja spasenjska volja univer</w:t>
        <w:softHyphen/>
        <w:t>zalna, može u svakom slučaju u Katoličkoj crkvi vrijediti kao sigurno učenje. Najizričitiji pisani tekst o tome nalazi se u 1 Tim 2,1-4: »Tako, prije svega, molim da se upravljaju prošnje, molitve, zazivi, zahvaljivanja za sve ljude, za kraljeve i za sve koji su na višem položaju, da mognemo provoditi tih i miran život u punoj pobožnosti i dostojanstvu. To je dobro i ugodno pred Bogom, Spasiteljem na</w:t>
        <w:softHyphen/>
        <w:t>šim, koji hoće da se svi ljudi spase i dođu do potpune spoznaje istine.« Božja spasenjska volja obuhvaća kao milosrdna spasenjska vo</w:t>
        <w:softHyphen/>
        <w:t>lja i grešnika u ponudi oproštenja krivnje pro</w:t>
        <w:softHyphen/>
        <w:t xml:space="preserve">tivno zasluzi. </w:t>
      </w:r>
      <w:r>
        <w:rPr>
          <w:rFonts w:ascii="Times New Roman" w:eastAsia="Times New Roman" w:hAnsi="Times New Roman" w:cs="Times New Roman"/>
          <w:i/>
          <w:iCs/>
          <w:color w:val="000000"/>
          <w:spacing w:val="0"/>
          <w:w w:val="100"/>
          <w:position w:val="0"/>
          <w:shd w:val="clear" w:color="auto" w:fill="auto"/>
          <w:lang w:val="hr-HR" w:eastAsia="hr-HR" w:bidi="hr-HR"/>
        </w:rPr>
        <w:t>Kako</w:t>
      </w:r>
      <w:r>
        <w:rPr>
          <w:rFonts w:ascii="Times New Roman" w:eastAsia="Times New Roman" w:hAnsi="Times New Roman" w:cs="Times New Roman"/>
          <w:color w:val="000000"/>
          <w:spacing w:val="0"/>
          <w:w w:val="100"/>
          <w:position w:val="0"/>
          <w:shd w:val="clear" w:color="auto" w:fill="auto"/>
          <w:lang w:val="hr-HR" w:eastAsia="hr-HR" w:bidi="hr-HR"/>
        </w:rPr>
        <w:t xml:space="preserve"> Božja spasenjska volja može biti ozbiljna i doći do cilja kod ljudi koji bez vlastite krivnje nemaju mogućnosti za izri</w:t>
        <w:softHyphen/>
        <w:t>čitu vjeru, pitanje je koje još nije dobilo jed</w:t>
        <w:softHyphen/>
        <w:t>nodušan odgovor.</w:t>
        <w:tab/>
        <w:t>n. oirrrERS</w:t>
      </w:r>
    </w:p>
    <w:p>
      <w:pPr>
        <w:pStyle w:val="Style63"/>
        <w:keepNext/>
        <w:keepLines/>
        <w:widowControl w:val="0"/>
        <w:numPr>
          <w:ilvl w:val="0"/>
          <w:numId w:val="597"/>
        </w:numPr>
        <w:shd w:val="clear" w:color="auto" w:fill="auto"/>
        <w:tabs>
          <w:tab w:pos="260" w:val="left"/>
        </w:tabs>
        <w:bidi w:val="0"/>
        <w:spacing w:before="0" w:line="223" w:lineRule="auto"/>
        <w:ind w:left="0" w:right="0" w:firstLine="0"/>
        <w:jc w:val="both"/>
      </w:pPr>
      <w:bookmarkStart w:id="385" w:name="bookmark385"/>
      <w:r>
        <w:rPr>
          <w:rFonts w:ascii="Times New Roman" w:eastAsia="Times New Roman" w:hAnsi="Times New Roman" w:cs="Times New Roman"/>
          <w:color w:val="000000"/>
          <w:spacing w:val="0"/>
          <w:w w:val="100"/>
          <w:position w:val="0"/>
          <w:shd w:val="clear" w:color="auto" w:fill="auto"/>
          <w:lang w:val="hr-HR" w:eastAsia="hr-HR" w:bidi="hr-HR"/>
        </w:rPr>
        <w:t>islamski</w:t>
      </w:r>
      <w:bookmarkEnd w:id="385"/>
    </w:p>
    <w:p>
      <w:pPr>
        <w:pStyle w:val="Style20"/>
        <w:keepNext w:val="0"/>
        <w:keepLines w:val="0"/>
        <w:widowControl w:val="0"/>
        <w:shd w:val="clear" w:color="auto" w:fill="auto"/>
        <w:bidi w:val="0"/>
        <w:spacing w:before="0" w:after="60"/>
        <w:ind w:left="0" w:right="0" w:firstLine="0"/>
        <w:jc w:val="both"/>
        <w:sectPr>
          <w:headerReference w:type="default" r:id="rId1547"/>
          <w:footerReference w:type="default" r:id="rId1548"/>
          <w:headerReference w:type="even" r:id="rId1549"/>
          <w:footerReference w:type="even" r:id="rId1550"/>
          <w:headerReference w:type="first" r:id="rId1551"/>
          <w:footerReference w:type="first" r:id="rId1552"/>
          <w:footnotePr>
            <w:pos w:val="pageBottom"/>
            <w:numFmt w:val="decimal"/>
            <w:numRestart w:val="continuous"/>
            <w15:footnoteColumns w:val="1"/>
          </w:footnotePr>
          <w:pgSz w:w="6816" w:h="11006"/>
          <w:pgMar w:top="981" w:left="189" w:right="195" w:bottom="469" w:header="0" w:footer="3" w:gutter="0"/>
          <w:pgNumType w:start="509"/>
          <w:cols w:num="2" w:space="178"/>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Islam je u svim svojim aspektima sveobuhva</w:t>
        <w:softHyphen/>
        <w:t>tan. Kao »religija koju je osnovao Bog«, kako on razumije samoga sebe, on važi za sve na</w:t>
        <w:softHyphen/>
        <w:t>rode i za sva vremena. U toj je vjeri živio već prvi samosvjesni čovjek, Adam. »Svako dijete dolazi na svijet s prirodnom sklonošću isla</w:t>
        <w:softHyphen/>
        <w:t>mu«, tvrdio je Muhamed. Time se željelo reći da svaki čovjek po prirodi vjeruje u jednoga Boga i da je stoga spreman predati mu se. Ta je predanost upravo islam. Posebno mjesto kod Boga nema ni neki narod niti neka osoba, čak ni zbog posebnih zasluga. Oni su Bogu blizu ili daleko ovisno o tome, jesu li oni po</w:t>
        <w:softHyphen/>
        <w:t>božni (/agtvđ) ili zaboravljaju Boga. To je ku- ranski kriterij za prosudbu ljudi. Prema Ku-</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ranu, svaka društveno i etički izdašna vjera u jednoga Boga osigurava udio u Božjemu za</w:t>
        <w:softHyphen/>
        <w:t>dovoljstvu ili - kršćanski rečeno - u spasenju (5,69).</w:t>
      </w:r>
    </w:p>
    <w:p>
      <w:pPr>
        <w:pStyle w:val="Style20"/>
        <w:keepNext w:val="0"/>
        <w:keepLines w:val="0"/>
        <w:widowControl w:val="0"/>
        <w:shd w:val="clear" w:color="auto" w:fill="auto"/>
        <w:tabs>
          <w:tab w:pos="2592" w:val="left"/>
        </w:tabs>
        <w:bidi w:val="0"/>
        <w:spacing w:before="0" w:after="50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Doduše, islam nije razvio nikakav nauk o spa</w:t>
        <w:softHyphen/>
        <w:t>senju, no on ipak želi raditi na spasenju duša. Unatoč svojoj isključivosti, on do izvjesnog stupnja dopušta »spasenjsku djelotvornost« i drugim objavljenim religijama. Povijest poka</w:t>
        <w:softHyphen/>
        <w:t>zuje da je uvijek bilo teologa koji nisu lako</w:t>
        <w:softHyphen/>
        <w:t>umno odbacivali pojedinačno-subjektivnu vje</w:t>
        <w:softHyphen/>
        <w:t>roispovijest. U izvjesnom su smislu čak po</w:t>
        <w:softHyphen/>
        <w:t>znati »anonimni muslimani«. U tom je smislu vrijedno spomena da islam ne poznaje nikak</w:t>
        <w:softHyphen/>
        <w:t>vo izopćenje iz zajednice. U. je naročito iz</w:t>
        <w:softHyphen/>
        <w:t>ražena crta u islamskoj —&gt; mistici. Njezin u. razara ne samo konfesionalne granice, nego također razgrađuje granice između čovjeka i Boga.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hai.ič</w:t>
      </w:r>
    </w:p>
    <w:p>
      <w:pPr>
        <w:pStyle w:val="Style33"/>
        <w:keepNext w:val="0"/>
        <w:keepLines w:val="0"/>
        <w:widowControl w:val="0"/>
        <w:shd w:val="clear" w:color="auto" w:fill="auto"/>
        <w:bidi w:val="0"/>
        <w:spacing w:before="0" w:after="22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USKRSNUĆE</w:t>
      </w:r>
    </w:p>
    <w:p>
      <w:pPr>
        <w:pStyle w:val="Style56"/>
        <w:keepNext w:val="0"/>
        <w:keepLines w:val="0"/>
        <w:widowControl w:val="0"/>
        <w:numPr>
          <w:ilvl w:val="0"/>
          <w:numId w:val="601"/>
        </w:numPr>
        <w:shd w:val="clear" w:color="auto" w:fill="auto"/>
        <w:tabs>
          <w:tab w:pos="241" w:val="left"/>
        </w:tabs>
        <w:bidi w:val="0"/>
        <w:spacing w:before="0" w:after="100" w:line="240" w:lineRule="auto"/>
        <w:ind w:left="0" w:right="0" w:firstLine="0"/>
        <w:jc w:val="both"/>
      </w:pPr>
      <w:r>
        <w:rPr>
          <w:b/>
          <w:bCs/>
          <w:color w:val="000000"/>
          <w:spacing w:val="0"/>
          <w:w w:val="100"/>
          <w:position w:val="0"/>
          <w:shd w:val="clear" w:color="auto" w:fill="auto"/>
          <w:lang w:val="hr-HR" w:eastAsia="hr-HR" w:bidi="hr-HR"/>
        </w:rPr>
        <w:t>židovski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hebr. </w:t>
      </w:r>
      <w:r>
        <w:rPr>
          <w:rFonts w:ascii="Times New Roman" w:eastAsia="Times New Roman" w:hAnsi="Times New Roman" w:cs="Times New Roman"/>
          <w:i/>
          <w:iCs/>
          <w:color w:val="000000"/>
          <w:spacing w:val="0"/>
          <w:w w:val="100"/>
          <w:position w:val="0"/>
          <w:shd w:val="clear" w:color="auto" w:fill="auto"/>
          <w:lang w:val="hr-HR" w:eastAsia="hr-HR" w:bidi="hr-HR"/>
        </w:rPr>
        <w:t>tehijat ha-metim,</w:t>
      </w:r>
      <w:r>
        <w:rPr>
          <w:rFonts w:ascii="Times New Roman" w:eastAsia="Times New Roman" w:hAnsi="Times New Roman" w:cs="Times New Roman"/>
          <w:color w:val="000000"/>
          <w:spacing w:val="0"/>
          <w:w w:val="100"/>
          <w:position w:val="0"/>
          <w:shd w:val="clear" w:color="auto" w:fill="auto"/>
          <w:lang w:val="hr-HR" w:eastAsia="hr-HR" w:bidi="hr-HR"/>
        </w:rPr>
        <w:t xml:space="preserve"> »oživljavanje mrt</w:t>
        <w:softHyphen/>
        <w:t>vih«. Rabinsko vjersko načelo koje se shvaća doslovce ili kao očuvanje osobe, tj. duše i du</w:t>
        <w:softHyphen/>
        <w:t xml:space="preserve">ha koji se vraćaju svom božanskom izvorištu (prapočetku). Oba shvaćanja nalazimo kod klasičnih i modernih teologa. U SZ često se javlja rašireno staroorijentalno vjerovanje u carstvo sjena kamo odlaze mrtvi, hebr. </w:t>
      </w:r>
      <w:r>
        <w:rPr>
          <w:rFonts w:ascii="Times New Roman" w:eastAsia="Times New Roman" w:hAnsi="Times New Roman" w:cs="Times New Roman"/>
          <w:i/>
          <w:iCs/>
          <w:color w:val="000000"/>
          <w:spacing w:val="0"/>
          <w:w w:val="100"/>
          <w:position w:val="0"/>
          <w:shd w:val="clear" w:color="auto" w:fill="auto"/>
          <w:lang w:val="hr-HR" w:eastAsia="hr-HR" w:bidi="hr-HR"/>
        </w:rPr>
        <w:t>.šeol</w:t>
      </w:r>
      <w:r>
        <w:rPr>
          <w:rFonts w:ascii="Times New Roman" w:eastAsia="Times New Roman" w:hAnsi="Times New Roman" w:cs="Times New Roman"/>
          <w:color w:val="000000"/>
          <w:spacing w:val="0"/>
          <w:w w:val="100"/>
          <w:position w:val="0"/>
          <w:shd w:val="clear" w:color="auto" w:fill="auto"/>
          <w:lang w:val="hr-HR" w:eastAsia="hr-HR" w:bidi="hr-HR"/>
        </w:rPr>
        <w:t xml:space="preserve"> (Iz 14,9 i d.; F.z 32,21 i d.). Neke su osobe, prema biblijskom izvješću, žive uznesene k Bogu: Henok, Ilija. Doduše, vjera u u. dokazana je najprije u Jobu (14,13 i d.; 19,25 i d.). U Ps 44 i 73 uzima se da zli odlaze u šeol, a duše česti</w:t>
        <w:softHyphen/>
        <w:t>tih uzlaze k Bogu. Vrlo je raširena bila vjera u u. čestitih Zidova pri dolasku —» Mesije kako bi sudjelovali u Izraelovu dobu blagodati, ta</w:t>
        <w:softHyphen/>
        <w:t>ko u Iz 26,19 (IV. stoljeće pr. Kr.). No Dn 12,1 i d. (oko 165. pr. Kr.) proširuje u. na zle koji se zatim na sudu osuđuju na vječnu sra</w:t>
        <w:softHyphen/>
        <w:t>motu dok dobri žive vječno.</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—&gt; apokaliptici se iscrpno obraduje u. kao gledište farizeja. Ono je bilo suprotno gledištu saduceja koji su to vjerovanje odbijali kao ne- biblijsko i zabranjivali drukčije tumačenje bib</w:t>
        <w:softHyphen/>
        <w:t>lijskih izvješća, npr. tumačenje uskrsnuća »ro</w:t>
        <w:softHyphen/>
        <w:t xml:space="preserve">som uskrsnuća« (prema Iz 26,19). Farizeji su </w:t>
      </w:r>
      <w:r>
        <w:rPr>
          <w:rFonts w:ascii="Times New Roman" w:eastAsia="Times New Roman" w:hAnsi="Times New Roman" w:cs="Times New Roman"/>
          <w:color w:val="000000"/>
          <w:spacing w:val="0"/>
          <w:w w:val="100"/>
          <w:position w:val="0"/>
          <w:shd w:val="clear" w:color="auto" w:fill="auto"/>
          <w:lang w:val="hr-HR" w:eastAsia="hr-HR" w:bidi="hr-HR"/>
        </w:rPr>
        <w:t>u. prihvatili u liturgiji: hvali se Bog, »koji oživ</w:t>
        <w:softHyphen/>
        <w:t>ljava mrtve«, »koji mrtvim tijelima svakoga dana vraća dušu« i spasitelj je u ovom i bu</w:t>
        <w:softHyphen/>
        <w:t xml:space="preserve">dućem svijetu. </w:t>
      </w:r>
      <w:r>
        <w:rPr>
          <w:rFonts w:ascii="Times New Roman" w:eastAsia="Times New Roman" w:hAnsi="Times New Roman" w:cs="Times New Roman"/>
          <w:i/>
          <w:iCs/>
          <w:color w:val="000000"/>
          <w:spacing w:val="0"/>
          <w:w w:val="100"/>
          <w:position w:val="0"/>
          <w:shd w:val="clear" w:color="auto" w:fill="auto"/>
          <w:lang w:val="hr-HR" w:eastAsia="hr-HR" w:bidi="hr-HR"/>
        </w:rPr>
        <w:t>Olam ha-ba,</w:t>
      </w:r>
      <w:r>
        <w:rPr>
          <w:rFonts w:ascii="Times New Roman" w:eastAsia="Times New Roman" w:hAnsi="Times New Roman" w:cs="Times New Roman"/>
          <w:color w:val="000000"/>
          <w:spacing w:val="0"/>
          <w:w w:val="100"/>
          <w:position w:val="0"/>
          <w:shd w:val="clear" w:color="auto" w:fill="auto"/>
          <w:lang w:val="hr-HR" w:eastAsia="hr-HR" w:bidi="hr-HR"/>
        </w:rPr>
        <w:t xml:space="preserve"> »budući svijet«, uobičajen je naziv zagrobnoga života duša (i tijela?). On se javlja uz Božju vlast na zemlji u mesijansko doba. Isus je dijelio to vjerovanje s farizejima i branio ga od saduceja. U rabin- skoj literaturi ima nekoliko mišljenja o tome tko ustaje iz mrtvih: Židovi, pobožni, muče</w:t>
        <w:softHyphen/>
        <w:t>nici, koji umiru u zemlji Izraelu, pa i oni koji umiru u inozemstvu. Slične razlike javljaju se u NZ (I.uka; Ivan; Dj; Otk). Samo u Jeru</w:t>
        <w:softHyphen/>
        <w:t>zalemu nicat će poput trave mrtvi (Ket 111b, prema Ps 72,16), koji su dospjeli pod zemlju u inozemstvu (i ondje uskrsnuti). Tko niječe u., isključen je iz njega (Sanh 90b). Raširena je bila prispodoba o zrnu pšenice (tamo, usp. 1 Kor 15,35 i d.). Pozivali su se na čudo uskrs</w:t>
        <w:softHyphen/>
        <w:t>nuća proroka Ilije, Elizeja i Ezekiela. Važan argument bili su Božja pravednost koja se još očekuje za pretrpljenu nepravdu te obećanje spasa u SZ. U tome sudjeluju i pobožni neži- dovi. Istodobno se često naglašava ovozemalj</w:t>
        <w:softHyphen/>
        <w:t>ski život u svojoj osmišljcnosti. U pučkom vje</w:t>
        <w:softHyphen/>
        <w:t>rovanju postoje živi opisi radosti uskrsnuća. Oni odražavaju čežnju obespravljenih za lje</w:t>
        <w:softHyphen/>
        <w:t>potom, jelom i pićem bez straha. Suprotno tomu, teolozi, posebice mistici, naglašavaju čisto duhovno blaženstvo: Vječnost nije mjes</w:t>
        <w:softHyphen/>
        <w:t>to nego stanje, neovisno o vremenu i mjestu; dobar čovjek ne dolazi na nebo, on postaje nebo živeći po Božjoj volji. - U. je Majmoni- dovo (XII. stoljeće) 13. temeljno načelo vjere, obvezno za sve Židove. On sam naglašava du</w:t>
        <w:softHyphen/>
        <w:t>hovni aspekt. Slijedi reformistički pokret, pa se umjesto o uskrsnuću govori o vječnom ži</w:t>
        <w:softHyphen/>
        <w:t>votu.</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K. </w:t>
      </w:r>
      <w:r>
        <w:rPr>
          <w:color w:val="000000"/>
          <w:spacing w:val="0"/>
          <w:w w:val="100"/>
          <w:position w:val="0"/>
          <w:shd w:val="clear" w:color="auto" w:fill="auto"/>
        </w:rPr>
        <w:t xml:space="preserve">Kohler. </w:t>
      </w:r>
      <w:r>
        <w:rPr>
          <w:i/>
          <w:iCs/>
          <w:color w:val="000000"/>
          <w:spacing w:val="0"/>
          <w:w w:val="100"/>
          <w:position w:val="0"/>
          <w:shd w:val="clear" w:color="auto" w:fill="auto"/>
          <w:lang w:val="hr-HR" w:eastAsia="hr-HR" w:bidi="hr-HR"/>
        </w:rPr>
        <w:t xml:space="preserve">Grundri/i </w:t>
      </w:r>
      <w:r>
        <w:rPr>
          <w:i/>
          <w:iCs/>
          <w:color w:val="000000"/>
          <w:spacing w:val="0"/>
          <w:w w:val="100"/>
          <w:position w:val="0"/>
          <w:shd w:val="clear" w:color="auto" w:fill="auto"/>
        </w:rPr>
        <w:t xml:space="preserve">elner systematischen </w:t>
      </w:r>
      <w:r>
        <w:rPr>
          <w:i/>
          <w:iCs/>
          <w:color w:val="000000"/>
          <w:spacing w:val="0"/>
          <w:w w:val="100"/>
          <w:position w:val="0"/>
          <w:shd w:val="clear" w:color="auto" w:fill="auto"/>
          <w:lang w:val="hr-HR" w:eastAsia="hr-HR" w:bidi="hr-HR"/>
        </w:rPr>
        <w:t>Theologie des Judentums auf geschichllieher Gntndlage,</w:t>
      </w:r>
      <w:r>
        <w:rPr>
          <w:color w:val="000000"/>
          <w:spacing w:val="0"/>
          <w:w w:val="100"/>
          <w:position w:val="0"/>
          <w:shd w:val="clear" w:color="auto" w:fill="auto"/>
          <w:lang w:val="hr-HR" w:eastAsia="hr-HR" w:bidi="hr-HR"/>
        </w:rPr>
        <w:t xml:space="preserve"> I-cipzig 1910; I.. </w:t>
      </w:r>
      <w:r>
        <w:rPr>
          <w:color w:val="000000"/>
          <w:spacing w:val="0"/>
          <w:w w:val="100"/>
          <w:position w:val="0"/>
          <w:shd w:val="clear" w:color="auto" w:fill="auto"/>
        </w:rPr>
        <w:t xml:space="preserve">Jacobs, </w:t>
      </w:r>
      <w:r>
        <w:rPr>
          <w:i/>
          <w:iCs/>
          <w:color w:val="000000"/>
          <w:spacing w:val="0"/>
          <w:w w:val="100"/>
          <w:position w:val="0"/>
          <w:shd w:val="clear" w:color="auto" w:fill="auto"/>
        </w:rPr>
        <w:t>A Jewish Theologiy.</w:t>
      </w:r>
      <w:r>
        <w:rPr>
          <w:color w:val="000000"/>
          <w:spacing w:val="0"/>
          <w:w w:val="100"/>
          <w:position w:val="0"/>
          <w:shd w:val="clear" w:color="auto" w:fill="auto"/>
        </w:rPr>
        <w:t xml:space="preserve"> London </w:t>
      </w:r>
      <w:r>
        <w:rPr>
          <w:color w:val="000000"/>
          <w:spacing w:val="0"/>
          <w:w w:val="100"/>
          <w:position w:val="0"/>
          <w:shd w:val="clear" w:color="auto" w:fill="auto"/>
          <w:lang w:val="hr-HR" w:eastAsia="hr-HR" w:bidi="hr-HR"/>
        </w:rPr>
        <w:t xml:space="preserve">1973; S. </w:t>
      </w:r>
      <w:r>
        <w:rPr>
          <w:color w:val="000000"/>
          <w:spacing w:val="0"/>
          <w:w w:val="100"/>
          <w:position w:val="0"/>
          <w:shd w:val="clear" w:color="auto" w:fill="auto"/>
        </w:rPr>
        <w:t xml:space="preserve">Bcn-Chorin, </w:t>
      </w:r>
      <w:r>
        <w:rPr>
          <w:i/>
          <w:iCs/>
          <w:color w:val="000000"/>
          <w:spacing w:val="0"/>
          <w:w w:val="100"/>
          <w:position w:val="0"/>
          <w:shd w:val="clear" w:color="auto" w:fill="auto"/>
        </w:rPr>
        <w:t>Judischer Gtaube,</w:t>
      </w:r>
      <w:r>
        <w:rPr>
          <w:color w:val="000000"/>
          <w:spacing w:val="0"/>
          <w:w w:val="100"/>
          <w:position w:val="0"/>
          <w:shd w:val="clear" w:color="auto" w:fill="auto"/>
        </w:rPr>
        <w:t xml:space="preserve"> Tubingen t976; P. Nave Levinson, </w:t>
      </w:r>
      <w:r>
        <w:rPr>
          <w:i/>
          <w:iCs/>
          <w:color w:val="000000"/>
          <w:spacing w:val="0"/>
          <w:w w:val="100"/>
          <w:position w:val="0"/>
          <w:shd w:val="clear" w:color="auto" w:fill="auto"/>
        </w:rPr>
        <w:t xml:space="preserve">F.infiihrung in die rabbinisrhe </w:t>
      </w:r>
      <w:r>
        <w:rPr>
          <w:i/>
          <w:iCs/>
          <w:color w:val="000000"/>
          <w:spacing w:val="0"/>
          <w:w w:val="100"/>
          <w:position w:val="0"/>
          <w:shd w:val="clear" w:color="auto" w:fill="auto"/>
          <w:lang w:val="hr-HR" w:eastAsia="hr-HR" w:bidi="hr-HR"/>
        </w:rPr>
        <w:t>Theologie,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Darmstadt 1982.</w:t>
      </w:r>
    </w:p>
    <w:p>
      <w:pPr>
        <w:pStyle w:val="Style74"/>
        <w:keepNext w:val="0"/>
        <w:keepLines w:val="0"/>
        <w:widowControl w:val="0"/>
        <w:shd w:val="clear" w:color="auto" w:fill="auto"/>
        <w:bidi w:val="0"/>
        <w:spacing w:before="0" w:after="30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P. NAVE LEVINSON</w:t>
      </w:r>
    </w:p>
    <w:p>
      <w:pPr>
        <w:pStyle w:val="Style56"/>
        <w:keepNext w:val="0"/>
        <w:keepLines w:val="0"/>
        <w:widowControl w:val="0"/>
        <w:numPr>
          <w:ilvl w:val="0"/>
          <w:numId w:val="601"/>
        </w:numPr>
        <w:shd w:val="clear" w:color="auto" w:fill="auto"/>
        <w:tabs>
          <w:tab w:pos="260" w:val="left"/>
        </w:tabs>
        <w:bidi w:val="0"/>
        <w:spacing w:before="0" w:after="80" w:line="240" w:lineRule="auto"/>
        <w:ind w:left="0" w:right="0" w:firstLine="0"/>
        <w:jc w:val="both"/>
      </w:pP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w:t>
      </w:r>
      <w:r>
        <w:rPr>
          <w:rFonts w:ascii="Times New Roman" w:eastAsia="Times New Roman" w:hAnsi="Times New Roman" w:cs="Times New Roman"/>
          <w:i/>
          <w:iCs/>
          <w:color w:val="000000"/>
          <w:spacing w:val="0"/>
          <w:w w:val="100"/>
          <w:position w:val="0"/>
          <w:shd w:val="clear" w:color="auto" w:fill="auto"/>
          <w:lang w:val="hr-HR" w:eastAsia="hr-HR" w:bidi="hr-HR"/>
        </w:rPr>
        <w:t xml:space="preserve">Kristološko </w:t>
      </w:r>
      <w:r>
        <w:rPr>
          <w:rFonts w:ascii="Times New Roman" w:eastAsia="Times New Roman" w:hAnsi="Times New Roman" w:cs="Times New Roman"/>
          <w:i/>
          <w:iCs/>
          <w:color w:val="000000"/>
          <w:spacing w:val="0"/>
          <w:w w:val="100"/>
          <w:position w:val="0"/>
          <w:shd w:val="clear" w:color="auto" w:fill="auto"/>
          <w:lang w:val="en-US" w:eastAsia="en-US" w:bidi="en-US"/>
        </w:rPr>
        <w:t>centriranje:</w:t>
      </w:r>
      <w:r>
        <w:rPr>
          <w:rFonts w:ascii="Times New Roman" w:eastAsia="Times New Roman" w:hAnsi="Times New Roman" w:cs="Times New Roman"/>
          <w:color w:val="000000"/>
          <w:spacing w:val="0"/>
          <w:w w:val="100"/>
          <w:position w:val="0"/>
          <w:shd w:val="clear" w:color="auto" w:fill="auto"/>
          <w:lang w:val="en-US" w:eastAsia="en-US" w:bidi="en-US"/>
        </w:rPr>
        <w:t xml:space="preserve"> Uskrisivanje </w:t>
      </w:r>
      <w:r>
        <w:rPr>
          <w:rFonts w:ascii="Times New Roman" w:eastAsia="Times New Roman" w:hAnsi="Times New Roman" w:cs="Times New Roman"/>
          <w:color w:val="000000"/>
          <w:spacing w:val="0"/>
          <w:w w:val="100"/>
          <w:position w:val="0"/>
          <w:shd w:val="clear" w:color="auto" w:fill="auto"/>
          <w:lang w:val="hr-HR" w:eastAsia="hr-HR" w:bidi="hr-HR"/>
        </w:rPr>
        <w:t>odnos</w:t>
        <w:softHyphen/>
        <w:t>no u. raspetog Isusa temeljno je uvjerenje no- vozavjetnog naviještanja i obilježava vjerski i životni izraz kršćanstva od najranijeg formi</w:t>
        <w:softHyphen/>
        <w:t>ranja zajednice. Kako Isusovo u. zajedno s nje</w:t>
        <w:softHyphen/>
        <w:t>govom smrću na križu, koja sve ljude uklju</w:t>
        <w:softHyphen/>
      </w:r>
      <w:r>
        <w:rPr>
          <w:rFonts w:ascii="Times New Roman" w:eastAsia="Times New Roman" w:hAnsi="Times New Roman" w:cs="Times New Roman"/>
          <w:color w:val="000000"/>
          <w:spacing w:val="0"/>
          <w:w w:val="100"/>
          <w:position w:val="0"/>
          <w:shd w:val="clear" w:color="auto" w:fill="auto"/>
          <w:lang w:val="hr-HR" w:eastAsia="hr-HR" w:bidi="hr-HR"/>
        </w:rPr>
        <w:t>čuje u njegovo spasiteljsko djelovanje, zauzi</w:t>
        <w:softHyphen/>
        <w:t>ma središte kršćanske vjere pa je tako njezin specifični teološki znak, trajna je elementarna zadaća kršćanske teologije primjereno teo</w:t>
        <w:softHyphen/>
        <w:t>loško razumijevanje prakršćanske poruke o Božjem činu uskrisivanja Isusa iz Nazarcta, osobito zato što su se povijesni temelj i teološka interpretacija kerigme uskrsnuća pro</w:t>
        <w:softHyphen/>
        <w:t>blematizirali još u rano vrijeme kršćanstva, ali pogotovo uporno od prosvjetiteljstva (H. S. Rcimarus). - Na vjeri u u. Isusa, »prvorođen- ca od mrtvih« (Kol 1,18; Otk 1,5) kao u povi</w:t>
        <w:softHyphen/>
        <w:t>jesni i eshatološki događaj, temelji se kršćan</w:t>
        <w:softHyphen/>
        <w:t>ska nada u opće u. mrtvih (usp. 1 Kor 15,12-22). Polazeći od te fundamentalne po</w:t>
        <w:softHyphen/>
        <w:t>vezanosti, teološki se odlučuje, hoće li se i na koji način ostati pri uskrsnuću mrtvih kao do</w:t>
        <w:softHyphen/>
        <w:t>gađaju koji je konačno dovršenje i ispunjenje smisla kako za osobnu životnu povijest tako i za čitavu povijest čovječanstva.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 </w:t>
      </w:r>
      <w:r>
        <w:rPr>
          <w:rFonts w:ascii="Times New Roman" w:eastAsia="Times New Roman" w:hAnsi="Times New Roman" w:cs="Times New Roman"/>
          <w:i/>
          <w:iCs/>
          <w:color w:val="000000"/>
          <w:spacing w:val="0"/>
          <w:w w:val="100"/>
          <w:position w:val="0"/>
          <w:shd w:val="clear" w:color="auto" w:fill="auto"/>
          <w:lang w:val="hr-HR" w:eastAsia="hr-HR" w:bidi="hr-HR"/>
        </w:rPr>
        <w:t>Svjedočanstvo Novoga zavjeta'.</w:t>
      </w:r>
      <w:r>
        <w:rPr>
          <w:rFonts w:ascii="Times New Roman" w:eastAsia="Times New Roman" w:hAnsi="Times New Roman" w:cs="Times New Roman"/>
          <w:color w:val="000000"/>
          <w:spacing w:val="0"/>
          <w:w w:val="100"/>
          <w:position w:val="0"/>
          <w:shd w:val="clear" w:color="auto" w:fill="auto"/>
          <w:lang w:val="hr-HR" w:eastAsia="hr-HR" w:bidi="hr-HR"/>
        </w:rPr>
        <w:t xml:space="preserve"> Mnogostru</w:t>
        <w:softHyphen/>
        <w:t>ke dijelom proturječne novozavjetne predaje, koje treba razlikovati po starosti, vrsti i termi</w:t>
        <w:softHyphen/>
        <w:t>nologiji, govore o Isusovu uskrisivanju/uskrs- nuću u izrazima koji imaju karakter obrazaca i u tzv. »uskrsnim izvješćima« evanđelja uz pri</w:t>
        <w:softHyphen/>
        <w:t>mjenu unaprijed danih predodžbenih obraza</w:t>
        <w:softHyphen/>
        <w:t>ca i u kontinuitetu sa starozavjetnom židov</w:t>
        <w:softHyphen/>
        <w:t>skom vjerskom i jezičnom poviješću; no utkali su se i elementi koji su preuzeti iz sociokul- turalnoga helenističkoga konteksta. Sve u sve</w:t>
        <w:softHyphen/>
        <w:t>mu radi se o svjedočenjima Kristovih vjernika čija su povijest tradicije, teološka intencija i relevantnost za to pitanje različito prosuđiva</w:t>
        <w:softHyphen/>
        <w:t>ne egzegetskim istraživanjem prema povijes</w:t>
        <w:softHyphen/>
        <w:t>no utvrdivom stanju stvari. U prikazu redosli</w:t>
        <w:softHyphen/>
        <w:t>jeda događanja kao i kruga osoba i lokalizira</w:t>
        <w:softHyphen/>
        <w:t>nja prvog iskustva učenika s Uskrslim, evan</w:t>
        <w:softHyphen/>
        <w:t>đelja se razilaze na temelju korištene tradicije i svoje vlastite teološke nakane. Zajedničko im je da ne nude protokolarna činjenična iz</w:t>
        <w:softHyphen/>
        <w:t>vješća o uskrsnim događajima i čak šute o od</w:t>
        <w:softHyphen/>
        <w:t>vijanju uskrsnuća (usp. nasuprot tomu apo</w:t>
        <w:softHyphen/>
        <w:t>krifno Petrovo evanđelje 28-57). Povijesno propitivanje dakle stiže neposredno samo do svjedočanstva Isusovih učenika koji vjeruju.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Najstariji i najvažniji izvor za Isusovo u., uz tradicijsko povijesni obzir, su tradicije obra</w:t>
        <w:softHyphen/>
        <w:t xml:space="preserve">zaca. One su »prve točke kristalizacije jednog u svemu fleksibilnog i promjenljivog procesa predaje« (P. </w:t>
      </w:r>
      <w:r>
        <w:rPr>
          <w:rFonts w:ascii="Times New Roman" w:eastAsia="Times New Roman" w:hAnsi="Times New Roman" w:cs="Times New Roman"/>
          <w:color w:val="000000"/>
          <w:spacing w:val="0"/>
          <w:w w:val="100"/>
          <w:position w:val="0"/>
          <w:shd w:val="clear" w:color="auto" w:fill="auto"/>
          <w:lang w:val="en-US" w:eastAsia="en-US" w:bidi="en-US"/>
        </w:rPr>
        <w:t xml:space="preserve">Hoffmann). </w:t>
      </w:r>
      <w:r>
        <w:rPr>
          <w:rFonts w:ascii="Times New Roman" w:eastAsia="Times New Roman" w:hAnsi="Times New Roman" w:cs="Times New Roman"/>
          <w:color w:val="000000"/>
          <w:spacing w:val="0"/>
          <w:w w:val="100"/>
          <w:position w:val="0"/>
          <w:shd w:val="clear" w:color="auto" w:fill="auto"/>
          <w:lang w:val="hr-HR" w:eastAsia="hr-HR" w:bidi="hr-HR"/>
        </w:rPr>
        <w:t xml:space="preserve">Razlikuju se jedno- člani, dvočlani i višečlani obrasci uskrsnuća </w:t>
      </w:r>
      <w:r>
        <w:rPr>
          <w:rFonts w:ascii="Times New Roman" w:eastAsia="Times New Roman" w:hAnsi="Times New Roman" w:cs="Times New Roman"/>
          <w:color w:val="000000"/>
          <w:spacing w:val="0"/>
          <w:w w:val="100"/>
          <w:position w:val="0"/>
          <w:shd w:val="clear" w:color="auto" w:fill="auto"/>
          <w:lang w:val="hr-HR" w:eastAsia="hr-HR" w:bidi="hr-HR"/>
        </w:rPr>
        <w:t>(npr. Rim 4,24; 10,9; 1 Sol 1,10; 4,14; Rim 8,24; 1 Kor 15,3-5). Kasniji stadij pred</w:t>
        <w:softHyphen/>
        <w:t>stavljaju uskrsna izvješća evanđelja koji imaju za sadržaj nalaženje praznoga groba i uka</w:t>
        <w:softHyphen/>
        <w:t>zanja Uskrsloga pred nekom skupinom (krug Dvanaestorice) ili pred pojedinim učenicima. Najstarije izvješće o praznom grobu daje Mk</w:t>
      </w:r>
    </w:p>
    <w:p>
      <w:pPr>
        <w:pStyle w:val="Style20"/>
        <w:keepNext w:val="0"/>
        <w:keepLines w:val="0"/>
        <w:widowControl w:val="0"/>
        <w:numPr>
          <w:ilvl w:val="0"/>
          <w:numId w:val="603"/>
        </w:numPr>
        <w:shd w:val="clear" w:color="auto" w:fill="auto"/>
        <w:tabs>
          <w:tab w:pos="486"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8 gdje je obrađena predmarkovska tradi</w:t>
        <w:softHyphen/>
        <w:t>cija o odlasku žena na grob. Predaja o na</w:t>
        <w:softHyphen/>
        <w:t>laženju praznoga groba modificira se po Mt, I.k, i Iv primjenom daljnjih motiva kako bi se uklonili povijesni i teološki problemi. Iz iz</w:t>
        <w:softHyphen/>
        <w:t>vješća se ne može dobiti nikakva informacija o događaju uskrsnuća. Njegova povijesna pret</w:t>
        <w:softHyphen/>
        <w:t>postavka (Marija iz Magdale [?] otkriva pra</w:t>
        <w:softHyphen/>
        <w:t xml:space="preserve">zan grob; P. </w:t>
      </w:r>
      <w:r>
        <w:rPr>
          <w:rFonts w:ascii="Times New Roman" w:eastAsia="Times New Roman" w:hAnsi="Times New Roman" w:cs="Times New Roman"/>
          <w:color w:val="000000"/>
          <w:spacing w:val="0"/>
          <w:w w:val="100"/>
          <w:position w:val="0"/>
          <w:shd w:val="clear" w:color="auto" w:fill="auto"/>
          <w:lang w:val="en-US" w:eastAsia="en-US" w:bidi="en-US"/>
        </w:rPr>
        <w:t xml:space="preserve">Benoit, </w:t>
      </w:r>
      <w:r>
        <w:rPr>
          <w:rFonts w:ascii="Times New Roman" w:eastAsia="Times New Roman" w:hAnsi="Times New Roman" w:cs="Times New Roman"/>
          <w:color w:val="000000"/>
          <w:spacing w:val="0"/>
          <w:w w:val="100"/>
          <w:position w:val="0"/>
          <w:shd w:val="clear" w:color="auto" w:fill="auto"/>
          <w:lang w:val="hr-HR" w:eastAsia="hr-HR" w:bidi="hr-HR"/>
        </w:rPr>
        <w:t>J. Jeremias) i »Sitz im Lc- ben« (obredna etiologija [?]; L. Schenke) su osporeni. Tijekom predaje sve više dramatizi</w:t>
        <w:softHyphen/>
        <w:t>rano i povezano s tradicijom ukazanja, izvješ</w:t>
        <w:softHyphen/>
        <w:t xml:space="preserve">će o grobu koji je nađen prazan u kontekstu antikne predodžbe o odnešenom mrtvacu (P. </w:t>
      </w:r>
      <w:r>
        <w:rPr>
          <w:rFonts w:ascii="Times New Roman" w:eastAsia="Times New Roman" w:hAnsi="Times New Roman" w:cs="Times New Roman"/>
          <w:color w:val="000000"/>
          <w:spacing w:val="0"/>
          <w:w w:val="100"/>
          <w:position w:val="0"/>
          <w:shd w:val="clear" w:color="auto" w:fill="auto"/>
          <w:lang w:val="en-US" w:eastAsia="en-US" w:bidi="en-US"/>
        </w:rPr>
        <w:t xml:space="preserve">Hoffmann) </w:t>
      </w:r>
      <w:r>
        <w:rPr>
          <w:rFonts w:ascii="Times New Roman" w:eastAsia="Times New Roman" w:hAnsi="Times New Roman" w:cs="Times New Roman"/>
          <w:color w:val="000000"/>
          <w:spacing w:val="0"/>
          <w:w w:val="100"/>
          <w:position w:val="0"/>
          <w:shd w:val="clear" w:color="auto" w:fill="auto"/>
          <w:lang w:val="hr-HR" w:eastAsia="hr-HR" w:bidi="hr-HR"/>
        </w:rPr>
        <w:t>i u literarnom obliku legende, predočava srž prakršćanskog iskustva i navi- ještanja uskrsnuća: Raspet i pokopan Isus iz Nazarcta ne pripada mrtvima; bio je Božjim činom uskrsnut (anđelova poruka koja na to ukazuje Mk 16,6; usp. Iv 20,14-17). Na te</w:t>
        <w:softHyphen/>
        <w:t>melju u njoj izražene vjere u Isusovo uskrs</w:t>
        <w:softHyphen/>
        <w:t>nuće koje se dogodilo, tradicija nc obraća po</w:t>
        <w:softHyphen/>
        <w:t>zornost na činjenični dokaz u modernom po</w:t>
        <w:softHyphen/>
        <w:t>vijesnom smislu; ona sama po sebi isto tako ne može prevladati nevjeru naspram Isusova prava na to da je po dostojanstvu Sin Božji. Ona ne pruža nikakvu potvrdu ni za to da je saznanje o ispražnjenom grobu probudilo vje</w:t>
        <w:softHyphen/>
        <w:t>ru u u. (izuzetak Iv 20,8); mnogo više služi unutar zajednice jačanju vjere u u. povezane sa znanjem o Isusovoj smrti na križu i pokopu o kojem izvješćuje tradicija Muke. Uostalom, otkrivanje praznoga groba izvan evanđelja u Novom zavjetu izgubilo je već svoje značenje za ispovijedanje vjere i naviještanje uskrsnu</w:t>
        <w:softHyphen/>
        <w:t>ća. S druge strane u evanđeljskom prihvaća</w:t>
        <w:softHyphen/>
        <w:t>nju te predaje potiskuje se apologetska reak</w:t>
        <w:softHyphen/>
        <w:t>cija na polemičke prigovore (Mt 27,62-66;</w:t>
      </w:r>
    </w:p>
    <w:p>
      <w:pPr>
        <w:pStyle w:val="Style20"/>
        <w:keepNext w:val="0"/>
        <w:keepLines w:val="0"/>
        <w:widowControl w:val="0"/>
        <w:numPr>
          <w:ilvl w:val="0"/>
          <w:numId w:val="605"/>
        </w:numPr>
        <w:shd w:val="clear" w:color="auto" w:fill="auto"/>
        <w:tabs>
          <w:tab w:pos="490"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4.11-15).</w:t>
      </w:r>
    </w:p>
    <w:p>
      <w:pPr>
        <w:pStyle w:val="Style20"/>
        <w:keepNext w:val="0"/>
        <w:keepLines w:val="0"/>
        <w:widowControl w:val="0"/>
        <w:shd w:val="clear" w:color="auto" w:fill="auto"/>
        <w:bidi w:val="0"/>
        <w:spacing w:before="0" w:after="0" w:line="257" w:lineRule="auto"/>
        <w:ind w:left="0" w:right="0" w:firstLine="0"/>
        <w:jc w:val="both"/>
        <w:sectPr>
          <w:headerReference w:type="default" r:id="rId1553"/>
          <w:footerReference w:type="default" r:id="rId1554"/>
          <w:headerReference w:type="even" r:id="rId1555"/>
          <w:footerReference w:type="even" r:id="rId1556"/>
          <w:headerReference w:type="first" r:id="rId1557"/>
          <w:footerReference w:type="first" r:id="rId1558"/>
          <w:footnotePr>
            <w:pos w:val="pageBottom"/>
            <w:numFmt w:val="decimal"/>
            <w:numRestart w:val="continuous"/>
            <w15:footnoteColumns w:val="1"/>
          </w:footnotePr>
          <w:pgSz w:w="6816" w:h="11006"/>
          <w:pgMar w:top="981" w:left="189" w:right="195" w:bottom="469" w:header="0" w:footer="3" w:gutter="0"/>
          <w:pgNumType w:start="507"/>
          <w:cols w:num="2" w:space="178"/>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Daljnja skupina uskrsnih tekstova, koju treba povijesno-tradicijski lučiti od izvješća o grobu i koja su se tek kasnije s njim povezala, za predmet ima ukazanja Uskrsloga pred jednim ili pred više učenika. Ti su tekstovi u evande-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ljima na različit način dotjerani. Pa ipak u ukazanjima pred skupinom odražava se zajed</w:t>
        <w:softHyphen/>
        <w:t>nička osnovna struktura: ukazanje Uskrsloga pred zbunjenim i uplašenim učenicima; Uskrsli sam o sebi izvješćuje, daje ovlaštenje i obećaje pomoć. Ukazanja pred pojedinim učenicima unesena su u literarni oblik poučne novele i treba ih, u priključku na teološki proces pro</w:t>
        <w:softHyphen/>
        <w:t>mišljanja, stupnjevati kao relativno kasne tvorbe makar mogu izostati elementi kasnije tradicije. Kataloški sastav ukazanja u Mk 16,9-20 naknadno je dodan Markovu evanđe</w:t>
        <w:softHyphen/>
        <w:t>lju kao svršetak (usp. Dodatak Iv 21). Žene, koje se prema starijim tradicijama spominju u pripovijedanjima (usp. Mk 16,9; Mt 28,9 i d.; Iv 20,14), povlače se natrag iza kruga Dva</w:t>
        <w:softHyphen/>
        <w:t>naestorice (Jedanaestorica) kao svjedokinje susreta s Uskrslim (usp. osobito Dj 1,22). Na</w:t>
        <w:softHyphen/>
        <w:t>suprot tomu kasniji gnostički zapisi evanđelja naglašavaju žene kao primateljice posebnih objava dok na drugoj strani radikalni palestin</w:t>
        <w:softHyphen/>
        <w:t>ski judeokršćanski krugovi potiskuju Petrovu ulogu. Drugačija je stara tradicija u 1 Kor 15, 5; ona potvrđuje istaknuto mjesto Petra i Dva</w:t>
        <w:softHyphen/>
        <w:t>naestorice u svezi s uskrsnim događajima. Pri</w:t>
        <w:softHyphen/>
        <w:t>ključen sastav predaje i njegovo proširenje pokazuju razvojne stupnjeve koji proširuju krug svjedoka, broj i vremenski raspon uka</w:t>
        <w:softHyphen/>
        <w:t xml:space="preserve">zanja </w:t>
      </w:r>
      <w:r>
        <w:rPr>
          <w:rFonts w:ascii="Times New Roman" w:eastAsia="Times New Roman" w:hAnsi="Times New Roman" w:cs="Times New Roman"/>
          <w:color w:val="000000"/>
          <w:spacing w:val="0"/>
          <w:w w:val="100"/>
          <w:position w:val="0"/>
          <w:shd w:val="clear" w:color="auto" w:fill="auto"/>
          <w:lang w:val="en-US" w:eastAsia="en-US" w:bidi="en-US"/>
        </w:rPr>
        <w:t xml:space="preserve">(do Pavla) </w:t>
      </w:r>
      <w:r>
        <w:rPr>
          <w:rFonts w:ascii="Times New Roman" w:eastAsia="Times New Roman" w:hAnsi="Times New Roman" w:cs="Times New Roman"/>
          <w:color w:val="000000"/>
          <w:spacing w:val="0"/>
          <w:w w:val="100"/>
          <w:position w:val="0"/>
          <w:shd w:val="clear" w:color="auto" w:fill="auto"/>
          <w:lang w:val="hr-HR" w:eastAsia="hr-HR" w:bidi="hr-HR"/>
        </w:rPr>
        <w:t>(usp. V. 6-8). Redakcijsku formiranje poklada predaje u Lukinu dvočla- nom djelu isto tako upućuje u pravcu um</w:t>
        <w:softHyphen/>
        <w:t>nožavanja ukazanja (usp. Lk 24,13-51; Dj 1,3. 4-8; Mk 16,9-14; Iv 20,11-29; 21,1-23). S druge strane, izvješća teže za tim da potkri</w:t>
        <w:softHyphen/>
        <w:t>jepe tjelesnu stvarnost Uskrsloga (usp. Lk 24, 39. 41 - 43; Iv 20, 20. 27), što se može shvatiti kao reakcija na doketizam koji uzima maha.</w:t>
      </w:r>
    </w:p>
    <w:p>
      <w:pPr>
        <w:pStyle w:val="Style20"/>
        <w:keepNext w:val="0"/>
        <w:keepLines w:val="0"/>
        <w:widowControl w:val="0"/>
        <w:shd w:val="clear" w:color="auto" w:fill="auto"/>
        <w:bidi w:val="0"/>
        <w:spacing w:before="0" w:after="0"/>
        <w:ind w:left="0" w:right="0" w:firstLine="0"/>
        <w:jc w:val="both"/>
        <w:sectPr>
          <w:headerReference w:type="default" r:id="rId1559"/>
          <w:footerReference w:type="default" r:id="rId1560"/>
          <w:headerReference w:type="even" r:id="rId1561"/>
          <w:footerReference w:type="even" r:id="rId1562"/>
          <w:footnotePr>
            <w:pos w:val="pageBottom"/>
            <w:numFmt w:val="decimal"/>
            <w:numRestart w:val="continuous"/>
            <w15:footnoteColumns w:val="1"/>
          </w:footnotePr>
          <w:pgSz w:w="6816" w:h="11006"/>
          <w:pgMar w:top="981" w:left="189" w:right="195" w:bottom="469" w:header="0" w:footer="41" w:gutter="0"/>
          <w:pgNumType w:start="513"/>
          <w:cols w:num="2" w:space="17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Ako se usporede opisi ukazanja, koji su re</w:t>
        <w:softHyphen/>
        <w:t>dakcijski oblikovani iz različitih predaja, nije moguće kontinuirano uskladiti slijed događa</w:t>
        <w:softHyphen/>
        <w:t>ja, pa zbog odstupanja u određivanju mjesta (galilejska i jeruzalemska tradicija) ostaje spomo lokaliziranje ukazanja ili vizionarskih iskustava. Prema svojoj temeljnoj nakani pri</w:t>
        <w:softHyphen/>
        <w:t>kazi nisu vodeni pitanjima o povijesnoj tak</w:t>
        <w:softHyphen/>
        <w:t>tičnosti događaja koja se pokreću od danas; no ipak, kao interpretacija neobičnog iskustva s Isusom nakon njegove smrti, upućuju na objektivan postuskrsni oslonac (W. Pannen- berg). Oni prije svega ciljaju na teološku izjavu o Isusu i o Bogu, svjedočeći u narativ</w:t>
        <w:softHyphen/>
        <w:t xml:space="preserve">nom obliku o zbunjenosti pred uskrsnućem </w:t>
      </w:r>
      <w:r>
        <w:rPr>
          <w:rFonts w:ascii="Times New Roman" w:eastAsia="Times New Roman" w:hAnsi="Times New Roman" w:cs="Times New Roman"/>
          <w:color w:val="000000"/>
          <w:spacing w:val="0"/>
          <w:w w:val="100"/>
          <w:position w:val="0"/>
          <w:shd w:val="clear" w:color="auto" w:fill="auto"/>
          <w:lang w:val="hr-HR" w:eastAsia="hr-HR" w:bidi="hr-HR"/>
        </w:rPr>
        <w:t>raspetoga Isusa i istodobno pomažući zajed</w:t>
        <w:softHyphen/>
        <w:t>nici da se snađe. Oblikovani tako da Uskrsli sam o sebi svjedoči, opisi ukazanja uključiva</w:t>
        <w:softHyphen/>
        <w:t>njem u ciklus Muke ističu u kontekstu uskrs</w:t>
        <w:softHyphen/>
        <w:t>nih tekstova jednom identičnost Uskrsloga s Raspetim (npr. Lk 24,13-35), a drugi put daju zajednici učenika nalog da misionare (npr. Mt 28,16-20) pri čemu se u Lk 24,36-49 i Dj 13-8 oba motiva kombiniraju. Konačno upućuju zajednicu na opraštanje grijeha i vjeru (Iv 20,23.29). U okviru redakcije i teologije ve</w:t>
        <w:softHyphen/>
        <w:t>likih evanđelja (Mt, Lk, Iv) uskrsni se tekstovi ističu svaki put specifičnim naglascima: Prema Mt vjera u Isusovo u. znači priznavanje nje</w:t>
        <w:softHyphen/>
        <w:t>gova svjetskoga gospodstva, trajne vrijednosti njegova naučavanja i njegove potpore učeni</w:t>
        <w:softHyphen/>
        <w:t>cima do kraja svijeta. (Crkva sastavljena od pogana odjeljuje se od Izraela.) Lukino dvo- člano djelo naglašava Isusovu nebesku tjeles</w:t>
        <w:softHyphen/>
        <w:t>nu egzistenciju i razlikuje u. od uzašašća (od</w:t>
        <w:softHyphen/>
        <w:t>lazak u nebo) pri čemu se svjedočanstvo uskr</w:t>
        <w:softHyphen/>
        <w:t>snuća tijekom promišljenog procesa tumače</w:t>
        <w:softHyphen/>
        <w:t>nja prevodi helenistički (pomisao da je tijelo odnešeno). Ali dok Lk 24 u. i uzašaće smješta u jedan dan i slijed događaja na uskrsnu ne</w:t>
        <w:softHyphen/>
        <w:t xml:space="preserve">djelju dovršava Isusov put u slavu, uzašašće prema Dj 1 (40 dana nakon uskrsnuća) otvara vladavinu proroka kojeg Izrael nije prihvatio, ali kojeg je Bog uzdigao kao </w:t>
      </w:r>
      <w:r>
        <w:rPr>
          <w:rFonts w:ascii="Times New Roman" w:eastAsia="Times New Roman" w:hAnsi="Times New Roman" w:cs="Times New Roman"/>
          <w:color w:val="000000"/>
          <w:spacing w:val="0"/>
          <w:w w:val="100"/>
          <w:position w:val="0"/>
          <w:shd w:val="clear" w:color="auto" w:fill="auto"/>
          <w:lang w:val="en-US" w:eastAsia="en-US" w:bidi="en-US"/>
        </w:rPr>
        <w:t xml:space="preserve">Kyriosa </w:t>
      </w:r>
      <w:r>
        <w:rPr>
          <w:rFonts w:ascii="Times New Roman" w:eastAsia="Times New Roman" w:hAnsi="Times New Roman" w:cs="Times New Roman"/>
          <w:color w:val="000000"/>
          <w:spacing w:val="0"/>
          <w:w w:val="100"/>
          <w:position w:val="0"/>
          <w:shd w:val="clear" w:color="auto" w:fill="auto"/>
          <w:lang w:val="hr-HR" w:eastAsia="hr-HR" w:bidi="hr-HR"/>
        </w:rPr>
        <w:t>sebi uz desnu stranu, slanje Duha i vrijeme Crkve ra</w:t>
        <w:softHyphen/>
        <w:t>širene diljem svijeta koja je djelovanjem Duha proizašla iz Jeruzalema. - Za Ivanovo evan</w:t>
        <w:softHyphen/>
        <w:t>đelje, čiji uskrsni tekst, s obzirom na redakciju i povijesnu tradiciju, postavlja višestruke pro</w:t>
        <w:softHyphen/>
        <w:t>bleme, značajno je da »uzdizanje« i »proslav- Ijenje« na križu promatra zajedno. Uz to u stanovitoj napetosti stoji događaj uskrsnuća nakon smrti. Razumijevanje tog događaja stav</w:t>
        <w:softHyphen/>
        <w:t>lja jasan naglasak na tjelesnu stvarnost Uskrs</w:t>
        <w:softHyphen/>
        <w:t>loga protiv mogućnosti da se podizanje na križ doketski krivo shvati. Unutar kristološke Ivanove koncepcije, u. Podignutoga na križ kao odlazak Ocu predstavlja dosljedno tomu suprotno kretanje od silaženja. Iz uskrsnuća kao odlaska gore proizlazi poslanje Parakleta, novo zajedništvo s Isusom i s Bogom kao i univerzalnost Isusova djela. Od Uskrsa se već ispunjava ponovni dolazak (14,18-20) za onoga koji Isusa ljubi i drži njegovu riječ (14,21.23). U postuskrsno i postapostolsko vrijeme, u ko</w:t>
        <w:softHyphen/>
        <w:t xml:space="preserve">jem nije moguće vidjeti Uskrsloga u tijelu,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vjera učenika oslanja se na svjedočanstvo prvih očevidaca (usp. 20,29).</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Središnje značenje kršćanske vjeroispovijesti da je Isus uskrišen, odnosno da je uskrsnuo, leži u priznavanju Boga koji čini spasenje i život i koji u povezanosti sa svojim započetim gospodstvom potvrđuje Isusovo poslanje i nje</w:t>
        <w:softHyphen/>
        <w:t>govo životno svjedočanstvo pa ga je postavio kao Sina sa svom vlašću (Rim 1,4). Time je Isusova relacija prema Bogu i interpretacija Boga s predznakom spascnjskoga Božjega gospodstva stupila na snagu kroz samoga Boga do trajne vrijednosti. Isusovo uskrisivanje u slavi očigledno pokazuje da su grijeh i smrt svladani. Ono je završni događaj, početno zbi</w:t>
        <w:softHyphen/>
        <w:t>vanje Novoga stvaranja u smjeru ispunjenja u Božjoj slavi. Kao onaj kojega je Bog uskrisio i k sebi uzdigao Isus je na silan način blizu; kako njegov Duh stanuje u vjernicima i kre</w:t>
        <w:softHyphen/>
        <w:t>tenima, oni su iz snage Duha oslobođeni za život i za pouzdano očekivanje vlastitog uskrs</w:t>
        <w:softHyphen/>
        <w:t>nuća punim udjelom u životu Uzdignutoga i samoga Boga. Gledajući na povijest kršćan</w:t>
        <w:softHyphen/>
        <w:t>stva, iskustvo Raspetoga kao onoga koji živi kod Boga, pokazuje se kao temeljna pretpo</w:t>
        <w:softHyphen/>
        <w:t>stavka kršćanske vjere i uopće kršćanske po</w:t>
        <w:softHyphen/>
        <w:t>ruke, okupljanja Isusovih učenika u kršćansku zajednicu i misionarskog svjedočenja o Isusu kao Božjem Kristu za Izrael i narode. Isusovo u. predstavlja prekretnicu od Isusa koji na- viješta (Isusa povijesti) do naviještanog Krista (Krista vjere); ono određuje teološki i esha- tološki horizont promišljenog prihvaćanja Isusa i tako s Isusom iz Nazarcta povezane kršćanske vjeroispovijesti do univerzalnosti spasenja tj. spasenjske budućnosti ljudi po Isusu Kristu u Božjem gospodstvu.</w:t>
      </w:r>
    </w:p>
    <w:p>
      <w:pPr>
        <w:pStyle w:val="Style20"/>
        <w:keepNext w:val="0"/>
        <w:keepLines w:val="0"/>
        <w:widowControl w:val="0"/>
        <w:numPr>
          <w:ilvl w:val="0"/>
          <w:numId w:val="607"/>
        </w:numPr>
        <w:shd w:val="clear" w:color="auto" w:fill="auto"/>
        <w:tabs>
          <w:tab w:pos="265" w:val="left"/>
        </w:tabs>
        <w:bidi w:val="0"/>
        <w:spacing w:before="0" w:after="0" w:line="25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 mrtvih:</w:t>
      </w:r>
      <w:r>
        <w:rPr>
          <w:rFonts w:ascii="Times New Roman" w:eastAsia="Times New Roman" w:hAnsi="Times New Roman" w:cs="Times New Roman"/>
          <w:color w:val="000000"/>
          <w:spacing w:val="0"/>
          <w:w w:val="100"/>
          <w:position w:val="0"/>
          <w:shd w:val="clear" w:color="auto" w:fill="auto"/>
          <w:lang w:val="hr-HR" w:eastAsia="hr-HR" w:bidi="hr-HR"/>
        </w:rPr>
        <w:t xml:space="preserve"> Kršćanska vjerska tradicija ne drži smrt bezazlenom. Ona sa svim ljudima i iz biblijske tradicije zna za moć i nemilosrd</w:t>
        <w:softHyphen/>
        <w:t>nost smrti; ljudska egzistencija je smrću ogra</w:t>
        <w:softHyphen/>
        <w:t>ničena egzistencija koja ni po sebi ni iz sebe nije stalna. Kršćanin zna da čovjek kao pojedi</w:t>
        <w:softHyphen/>
        <w:t>nac i sveukupno čovječanstvo ne mogu sami sebi dati besmrtnost. Kršćanski vjernik, nada</w:t>
        <w:softHyphen/>
        <w:t>jući se uskrsnuću mrtvih, posebno stoji u po</w:t>
        <w:softHyphen/>
        <w:t>vijesnoj i religijskoj povezanosti sa židovskim očekivanjem uskrsnuća (od II. stoljeća pr. Kr. osobito u apokaliptičkim i farizejskim krugo</w:t>
        <w:softHyphen/>
        <w:t>vima). Kršćanska vjera dakle sudjeluje u ži</w:t>
        <w:softHyphen/>
        <w:t xml:space="preserve">dovskom povjerenju u Božju stvaralačku moć </w:t>
      </w:r>
      <w:r>
        <w:rPr>
          <w:rFonts w:ascii="Times New Roman" w:eastAsia="Times New Roman" w:hAnsi="Times New Roman" w:cs="Times New Roman"/>
          <w:color w:val="000000"/>
          <w:spacing w:val="0"/>
          <w:w w:val="100"/>
          <w:position w:val="0"/>
          <w:shd w:val="clear" w:color="auto" w:fill="auto"/>
          <w:lang w:val="hr-HR" w:eastAsia="hr-HR" w:bidi="hr-HR"/>
        </w:rPr>
        <w:t>koja svladava smrt i u pravednost (usp. II. bla</w:t>
        <w:softHyphen/>
        <w:t>goslov u osamnaest prošnji). Pa ipak, speci</w:t>
        <w:softHyphen/>
        <w:t>fično je da je konačno u. mrtvih nerazrješivo povezano s Isusovim uskrsnućem. U. Raspe</w:t>
        <w:softHyphen/>
        <w:t>toga, koje je izveo Bog, jedino je »jamstvo i polazište« za u. mrtvih.</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teološkom promišljanju - slično helenistič</w:t>
        <w:softHyphen/>
        <w:t>kom židovstvu - grčko-platonistička ideja o besmrtnosti povezivala se s biblijskom nadom u u. do sinteze koja je do novoga doba odre</w:t>
        <w:softHyphen/>
        <w:t>đivala problematiku (dihotomija tijela i du- šc/duha). Egzcgctskom razradom biblijske tradicije produbljuje se u teologiji i naviješ- tanju kršćanska nada u u. mrtvih do nade (po</w:t>
        <w:softHyphen/>
        <w:t>tvrđene u Isusovu uskrsnuću kao Božjim či</w:t>
        <w:softHyphen/>
        <w:t>nom »za nas«) u spasenje čitavoga čovjeka čiji je osobni identitet u novom bitku uskrs</w:t>
        <w:softHyphen/>
        <w:t>nuća utemeljen na ljubavi, vjernosti i Božjoj stvaralačkoj životnoj snazi koja nepodijelje</w:t>
        <w:softHyphen/>
        <w:t>nom čovjeku na kraju povijesti (paruzija) i u zajedništvu sa svim ljudima suđenjem daje udio u njegovoj slavnoj sadašnjosti u budućem eonu. Da se objavi ta proslavljcnost uz »Sina Božjega«, čezne sve stvorenje jer tada će i ono bili oslobođeno od prolaznosti (Rim 8, 19-21). Prema tomu, individualni i društveni vid uskrsnuća mrtvih treba držati otvorenima za cjelokupnu povijesnu perspektivu i kozmo- loški horizont kršćanske nade a da se u tome ipak ne rasplinu.</w:t>
      </w:r>
    </w:p>
    <w:p>
      <w:pPr>
        <w:pStyle w:val="Style20"/>
        <w:keepNext w:val="0"/>
        <w:keepLines w:val="0"/>
        <w:widowControl w:val="0"/>
        <w:shd w:val="clear" w:color="auto" w:fill="auto"/>
        <w:bidi w:val="0"/>
        <w:spacing w:before="0" w:after="14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očekivanjem, koje je usmjereno prema bu</w:t>
        <w:softHyphen/>
        <w:t>dućnosti, povezuje se - već djelomično u no- vozavjetnom vremenu oduševljeno naglašeno - prezenlno-eshatološko uvjerenje da je vjer</w:t>
        <w:softHyphen/>
        <w:t>nik prijamom u Kristovu zajednicu krštenjem već početno uveden u uskrsni život i da nadživljava smrt time što je s Kristom. Snaga sadašnje uskrsne egzistencije, koja uključuje patnju i u njoj potvrđuje vjeru, jest Duh kojeg vjernik prima kao predujam budućeg ispunje</w:t>
        <w:softHyphen/>
        <w:t>nja u slavi Boga (Rim 5,3-5) koji će biti sve u svemu (1 Kor 15,28) i čija je živodajna ljubav jača od razorne moći smrti. Vjernik će po Du</w:t>
        <w:softHyphen/>
        <w:t>hu biti zahvaćen završnom poviješću Boga koji nam prilazi, a ta je povijest počela Isusom Kristom, u ispunjenje koje kršćanin daje ulog kad svjedoči nadu u u. mrtvih.</w:t>
      </w:r>
    </w:p>
    <w:p>
      <w:pPr>
        <w:pStyle w:val="Style56"/>
        <w:keepNext w:val="0"/>
        <w:keepLines w:val="0"/>
        <w:widowControl w:val="0"/>
        <w:shd w:val="clear" w:color="auto" w:fill="auto"/>
        <w:bidi w:val="0"/>
        <w:spacing w:before="0" w:after="80" w:line="240" w:lineRule="auto"/>
        <w:ind w:left="0" w:right="0" w:firstLine="0"/>
        <w:jc w:val="both"/>
        <w:sectPr>
          <w:headerReference w:type="default" r:id="rId1563"/>
          <w:footerReference w:type="default" r:id="rId1564"/>
          <w:headerReference w:type="even" r:id="rId1565"/>
          <w:footerReference w:type="even" r:id="rId1566"/>
          <w:footnotePr>
            <w:pos w:val="pageBottom"/>
            <w:numFmt w:val="decimal"/>
            <w:numRestart w:val="continuous"/>
            <w15:footnoteColumns w:val="1"/>
          </w:footnotePr>
          <w:pgSz w:w="6816" w:h="11006"/>
          <w:pgMar w:top="981" w:left="189" w:right="195" w:bottom="469" w:header="0" w:footer="3" w:gutter="0"/>
          <w:pgNumType w:start="510"/>
          <w:cols w:num="2" w:space="178"/>
          <w:noEndnote/>
          <w:rtlGutter w:val="0"/>
          <w:docGrid w:linePitch="360"/>
        </w:sectPr>
      </w:pPr>
      <w:r>
        <w:rPr>
          <w:color w:val="000000"/>
          <w:spacing w:val="0"/>
          <w:w w:val="100"/>
          <w:position w:val="0"/>
          <w:shd w:val="clear" w:color="auto" w:fill="auto"/>
        </w:rPr>
        <w:t xml:space="preserve">Lit.: J. </w:t>
      </w:r>
      <w:r>
        <w:rPr>
          <w:color w:val="000000"/>
          <w:spacing w:val="0"/>
          <w:w w:val="100"/>
          <w:position w:val="0"/>
          <w:shd w:val="clear" w:color="auto" w:fill="auto"/>
          <w:lang w:val="hr-HR" w:eastAsia="hr-HR" w:bidi="hr-HR"/>
        </w:rPr>
        <w:t xml:space="preserve">E. </w:t>
      </w:r>
      <w:r>
        <w:rPr>
          <w:color w:val="000000"/>
          <w:spacing w:val="0"/>
          <w:w w:val="100"/>
          <w:position w:val="0"/>
          <w:shd w:val="clear" w:color="auto" w:fill="auto"/>
        </w:rPr>
        <w:t xml:space="preserve">Alsup. </w:t>
      </w:r>
      <w:r>
        <w:rPr>
          <w:i/>
          <w:iCs/>
          <w:color w:val="000000"/>
          <w:spacing w:val="0"/>
          <w:w w:val="100"/>
          <w:position w:val="0"/>
          <w:shd w:val="clear" w:color="auto" w:fill="auto"/>
        </w:rPr>
        <w:t>The Post-Resurrection Appearance Stories of Gospel Tradition.</w:t>
      </w:r>
      <w:r>
        <w:rPr>
          <w:color w:val="000000"/>
          <w:spacing w:val="0"/>
          <w:w w:val="100"/>
          <w:position w:val="0"/>
          <w:shd w:val="clear" w:color="auto" w:fill="auto"/>
        </w:rPr>
        <w:t xml:space="preserve"> 1975; J. Becker, </w:t>
      </w:r>
      <w:r>
        <w:rPr>
          <w:i/>
          <w:iCs/>
          <w:color w:val="000000"/>
          <w:spacing w:val="0"/>
          <w:w w:val="100"/>
          <w:position w:val="0"/>
          <w:shd w:val="clear" w:color="auto" w:fill="auto"/>
        </w:rPr>
        <w:t>Auferstehung der Toten im Urchristentum,</w:t>
      </w:r>
      <w:r>
        <w:rPr>
          <w:color w:val="000000"/>
          <w:spacing w:val="0"/>
          <w:w w:val="100"/>
          <w:position w:val="0"/>
          <w:shd w:val="clear" w:color="auto" w:fill="auto"/>
        </w:rPr>
        <w:t xml:space="preserve"> 1976; K. Berger, </w:t>
      </w:r>
      <w:r>
        <w:rPr>
          <w:i/>
          <w:iCs/>
          <w:color w:val="000000"/>
          <w:spacing w:val="0"/>
          <w:w w:val="100"/>
          <w:position w:val="0"/>
          <w:shd w:val="clear" w:color="auto" w:fill="auto"/>
        </w:rPr>
        <w:t>Die Auferstehung des Propheten und die Erhohung des Menschensohnes.</w:t>
      </w:r>
      <w:r>
        <w:rPr>
          <w:color w:val="000000"/>
          <w:spacing w:val="0"/>
          <w:w w:val="100"/>
          <w:position w:val="0"/>
          <w:shd w:val="clear" w:color="auto" w:fill="auto"/>
        </w:rPr>
        <w:t xml:space="preserve"> 1976: J.</w:t>
      </w:r>
    </w:p>
    <w:p>
      <w:pPr>
        <w:pStyle w:val="Style56"/>
        <w:keepNext w:val="0"/>
        <w:keepLines w:val="0"/>
        <w:widowControl w:val="0"/>
        <w:shd w:val="clear" w:color="auto" w:fill="auto"/>
        <w:tabs>
          <w:tab w:pos="2347" w:val="left"/>
        </w:tabs>
        <w:bidi w:val="0"/>
        <w:spacing w:before="0" w:after="0" w:line="240" w:lineRule="auto"/>
        <w:ind w:left="0" w:right="0" w:firstLine="0"/>
        <w:jc w:val="both"/>
      </w:pPr>
      <w:r>
        <w:rPr>
          <w:color w:val="000000"/>
          <w:spacing w:val="0"/>
          <w:w w:val="100"/>
          <w:position w:val="0"/>
          <w:shd w:val="clear" w:color="auto" w:fill="auto"/>
        </w:rPr>
        <w:t xml:space="preserve">Blank. </w:t>
      </w:r>
      <w:r>
        <w:rPr>
          <w:i/>
          <w:iCs/>
          <w:color w:val="000000"/>
          <w:spacing w:val="0"/>
          <w:w w:val="100"/>
          <w:position w:val="0"/>
          <w:shd w:val="clear" w:color="auto" w:fill="auto"/>
        </w:rPr>
        <w:t>Paulus und Jesus,</w:t>
      </w:r>
      <w:r>
        <w:rPr>
          <w:color w:val="000000"/>
          <w:spacing w:val="0"/>
          <w:w w:val="100"/>
          <w:position w:val="0"/>
          <w:shd w:val="clear" w:color="auto" w:fill="auto"/>
        </w:rPr>
        <w:t xml:space="preserve"> 1968; 1. Brocr, </w:t>
      </w:r>
      <w:r>
        <w:rPr>
          <w:i/>
          <w:iCs/>
          <w:color w:val="000000"/>
          <w:spacing w:val="0"/>
          <w:w w:val="100"/>
          <w:position w:val="0"/>
          <w:shd w:val="clear" w:color="auto" w:fill="auto"/>
        </w:rPr>
        <w:t xml:space="preserve">Die Urgemeinde und das Grab </w:t>
      </w:r>
      <w:r>
        <w:rPr>
          <w:i/>
          <w:iCs/>
          <w:color w:val="000000"/>
          <w:spacing w:val="0"/>
          <w:w w:val="100"/>
          <w:position w:val="0"/>
          <w:shd w:val="clear" w:color="auto" w:fill="auto"/>
          <w:lang w:val="hr-HR" w:eastAsia="hr-HR" w:bidi="hr-HR"/>
        </w:rPr>
        <w:t>Jesu,</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1972; G. Grcshake, </w:t>
      </w:r>
      <w:r>
        <w:rPr>
          <w:i/>
          <w:iCs/>
          <w:color w:val="000000"/>
          <w:spacing w:val="0"/>
          <w:w w:val="100"/>
          <w:position w:val="0"/>
          <w:shd w:val="clear" w:color="auto" w:fill="auto"/>
        </w:rPr>
        <w:t>Auferstehung der To- ten,</w:t>
      </w:r>
      <w:r>
        <w:rPr>
          <w:color w:val="000000"/>
          <w:spacing w:val="0"/>
          <w:w w:val="100"/>
          <w:position w:val="0"/>
          <w:shd w:val="clear" w:color="auto" w:fill="auto"/>
        </w:rPr>
        <w:t xml:space="preserve"> 1969;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G. Ixihfink, </w:t>
      </w:r>
      <w:r>
        <w:rPr>
          <w:i/>
          <w:iCs/>
          <w:color w:val="000000"/>
          <w:spacing w:val="0"/>
          <w:w w:val="100"/>
          <w:position w:val="0"/>
          <w:shd w:val="clear" w:color="auto" w:fill="auto"/>
        </w:rPr>
        <w:t>Naherwartung - Auferstehung - Unsierblichkrit,</w:t>
      </w:r>
      <w:r>
        <w:rPr>
          <w:color w:val="000000"/>
          <w:spacing w:val="0"/>
          <w:w w:val="100"/>
          <w:position w:val="0"/>
          <w:shd w:val="clear" w:color="auto" w:fill="auto"/>
        </w:rPr>
        <w:t xml:space="preserve"> </w:t>
      </w:r>
      <w:r>
        <w:rPr>
          <w:color w:val="000000"/>
          <w:spacing w:val="0"/>
          <w:w w:val="100"/>
          <w:position w:val="0"/>
          <w:shd w:val="clear" w:color="auto" w:fill="auto"/>
          <w:vertAlign w:val="superscript"/>
        </w:rPr>
        <w:t>J</w:t>
      </w:r>
      <w:r>
        <w:rPr>
          <w:color w:val="000000"/>
          <w:spacing w:val="0"/>
          <w:w w:val="100"/>
          <w:position w:val="0"/>
          <w:shd w:val="clear" w:color="auto" w:fill="auto"/>
        </w:rPr>
        <w:t xml:space="preserve">1979; P. Hoffmann, </w:t>
      </w:r>
      <w:r>
        <w:rPr>
          <w:i/>
          <w:iCs/>
          <w:color w:val="000000"/>
          <w:spacing w:val="0"/>
          <w:w w:val="100"/>
          <w:position w:val="0"/>
          <w:shd w:val="clear" w:color="auto" w:fill="auto"/>
        </w:rPr>
        <w:t xml:space="preserve">Die Toten in Christus,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1969; J. Jcrcmias, </w:t>
      </w:r>
      <w:r>
        <w:rPr>
          <w:i/>
          <w:iCs/>
          <w:color w:val="000000"/>
          <w:spacing w:val="0"/>
          <w:w w:val="100"/>
          <w:position w:val="0"/>
          <w:shd w:val="clear" w:color="auto" w:fill="auto"/>
        </w:rPr>
        <w:t>Neutestamentliche Theoiogie</w:t>
      </w:r>
      <w:r>
        <w:rPr>
          <w:color w:val="000000"/>
          <w:spacing w:val="0"/>
          <w:w w:val="100"/>
          <w:position w:val="0"/>
          <w:shd w:val="clear" w:color="auto" w:fill="auto"/>
        </w:rPr>
        <w:t xml:space="preserve"> 1, 1971; W. Kasper, </w:t>
      </w:r>
      <w:r>
        <w:rPr>
          <w:i/>
          <w:iCs/>
          <w:color w:val="000000"/>
          <w:spacing w:val="0"/>
          <w:w w:val="100"/>
          <w:position w:val="0"/>
          <w:shd w:val="clear" w:color="auto" w:fill="auto"/>
        </w:rPr>
        <w:t>Jesus der Christus,</w:t>
      </w:r>
      <w:r>
        <w:rPr>
          <w:color w:val="000000"/>
          <w:spacing w:val="0"/>
          <w:w w:val="100"/>
          <w:position w:val="0"/>
          <w:shd w:val="clear" w:color="auto" w:fill="auto"/>
        </w:rPr>
        <w:t xml:space="preserve"> 1974; G. Kegel, </w:t>
      </w:r>
      <w:r>
        <w:rPr>
          <w:i/>
          <w:iCs/>
          <w:color w:val="000000"/>
          <w:spacing w:val="0"/>
          <w:w w:val="100"/>
          <w:position w:val="0"/>
          <w:shd w:val="clear" w:color="auto" w:fill="auto"/>
        </w:rPr>
        <w:t xml:space="preserve">Auferstehung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 Auferstehung der Toten,</w:t>
      </w:r>
      <w:r>
        <w:rPr>
          <w:color w:val="000000"/>
          <w:spacing w:val="0"/>
          <w:w w:val="100"/>
          <w:position w:val="0"/>
          <w:shd w:val="clear" w:color="auto" w:fill="auto"/>
        </w:rPr>
        <w:t xml:space="preserve"> 1976; B. Klappert, </w:t>
      </w:r>
      <w:r>
        <w:rPr>
          <w:i/>
          <w:iCs/>
          <w:color w:val="000000"/>
          <w:spacing w:val="0"/>
          <w:w w:val="100"/>
          <w:position w:val="0"/>
          <w:shd w:val="clear" w:color="auto" w:fill="auto"/>
        </w:rPr>
        <w:t>Diskussion um Kreuz und Auferstehung,</w:t>
      </w:r>
      <w:r>
        <w:rPr>
          <w:color w:val="000000"/>
          <w:spacing w:val="0"/>
          <w:w w:val="100"/>
          <w:position w:val="0"/>
          <w:shd w:val="clear" w:color="auto" w:fill="auto"/>
        </w:rPr>
        <w:t xml:space="preserve"> 1967; R. Kratz. </w:t>
      </w:r>
      <w:r>
        <w:rPr>
          <w:i/>
          <w:iCs/>
          <w:color w:val="000000"/>
          <w:spacing w:val="0"/>
          <w:w w:val="100"/>
          <w:position w:val="0"/>
          <w:shd w:val="clear" w:color="auto" w:fill="auto"/>
        </w:rPr>
        <w:t>Aufenveckung als Befreiung,</w:t>
      </w:r>
      <w:r>
        <w:rPr>
          <w:color w:val="000000"/>
          <w:spacing w:val="0"/>
          <w:w w:val="100"/>
          <w:position w:val="0"/>
          <w:shd w:val="clear" w:color="auto" w:fill="auto"/>
        </w:rPr>
        <w:t xml:space="preserve"> 1973; J. Kremer, </w:t>
      </w:r>
      <w:r>
        <w:rPr>
          <w:i/>
          <w:iCs/>
          <w:color w:val="000000"/>
          <w:spacing w:val="0"/>
          <w:w w:val="100"/>
          <w:position w:val="0"/>
          <w:shd w:val="clear" w:color="auto" w:fill="auto"/>
        </w:rPr>
        <w:t>Die Osterbotschaft der \ier Evangclien,</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1968;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Die Osterevangelien ~ Geschichten um Geschichre,</w:t>
      </w:r>
      <w:r>
        <w:rPr>
          <w:color w:val="000000"/>
          <w:spacing w:val="0"/>
          <w:w w:val="100"/>
          <w:position w:val="0"/>
          <w:shd w:val="clear" w:color="auto" w:fill="auto"/>
        </w:rPr>
        <w:t xml:space="preserve"> 1977; J. Lange, </w:t>
      </w:r>
      <w:r>
        <w:rPr>
          <w:i/>
          <w:iCs/>
          <w:color w:val="000000"/>
          <w:spacing w:val="0"/>
          <w:w w:val="100"/>
          <w:position w:val="0"/>
          <w:shd w:val="clear" w:color="auto" w:fill="auto"/>
        </w:rPr>
        <w:t>Das Erschetncn des Aufer- standenen im Evangetium Maitaus,</w:t>
      </w:r>
      <w:r>
        <w:rPr>
          <w:color w:val="000000"/>
          <w:spacing w:val="0"/>
          <w:w w:val="100"/>
          <w:position w:val="0"/>
          <w:shd w:val="clear" w:color="auto" w:fill="auto"/>
        </w:rPr>
        <w:t xml:space="preserve"> 1973; K. Lehmann, </w:t>
      </w:r>
      <w:r>
        <w:rPr>
          <w:i/>
          <w:iCs/>
          <w:color w:val="000000"/>
          <w:spacing w:val="0"/>
          <w:w w:val="100"/>
          <w:position w:val="0"/>
          <w:shd w:val="clear" w:color="auto" w:fill="auto"/>
        </w:rPr>
        <w:t>Auf- erweckt am dritten Tag nach der Schrifi,</w:t>
      </w:r>
      <w:r>
        <w:rPr>
          <w:color w:val="000000"/>
          <w:spacing w:val="0"/>
          <w:w w:val="100"/>
          <w:position w:val="0"/>
          <w:shd w:val="clear" w:color="auto" w:fill="auto"/>
        </w:rPr>
        <w:t xml:space="preserve"> 1968; G. Lohfink, </w:t>
      </w:r>
      <w:r>
        <w:rPr>
          <w:i/>
          <w:iCs/>
          <w:color w:val="000000"/>
          <w:spacing w:val="0"/>
          <w:w w:val="100"/>
          <w:position w:val="0"/>
          <w:shd w:val="clear" w:color="auto" w:fill="auto"/>
        </w:rPr>
        <w:t xml:space="preserve">Die Himtnelfahri </w:t>
      </w:r>
      <w:r>
        <w:rPr>
          <w:i/>
          <w:iCs/>
          <w:color w:val="000000"/>
          <w:spacing w:val="0"/>
          <w:w w:val="100"/>
          <w:position w:val="0"/>
          <w:shd w:val="clear" w:color="auto" w:fill="auto"/>
          <w:lang w:val="hr-HR" w:eastAsia="hr-HR" w:bidi="hr-HR"/>
        </w:rPr>
        <w:t>Jesu,</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1971; W. Marxscn, </w:t>
      </w:r>
      <w:r>
        <w:rPr>
          <w:i/>
          <w:iCs/>
          <w:color w:val="000000"/>
          <w:spacing w:val="0"/>
          <w:w w:val="100"/>
          <w:position w:val="0"/>
          <w:shd w:val="clear" w:color="auto" w:fill="auto"/>
        </w:rPr>
        <w:t xml:space="preserve">Die Auferstehung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von Nazareth,</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1978; </w:t>
      </w:r>
      <w:r>
        <w:rPr>
          <w:color w:val="000000"/>
          <w:spacing w:val="0"/>
          <w:w w:val="100"/>
          <w:position w:val="0"/>
          <w:shd w:val="clear" w:color="auto" w:fill="auto"/>
          <w:lang w:val="hr-HR" w:eastAsia="hr-HR" w:bidi="hr-HR"/>
        </w:rPr>
        <w:t xml:space="preserve">isti </w:t>
      </w:r>
      <w:r>
        <w:rPr>
          <w:color w:val="000000"/>
          <w:spacing w:val="0"/>
          <w:w w:val="100"/>
          <w:position w:val="0"/>
          <w:shd w:val="clear" w:color="auto" w:fill="auto"/>
        </w:rPr>
        <w:t xml:space="preserve">i dr., </w:t>
      </w:r>
      <w:r>
        <w:rPr>
          <w:i/>
          <w:iCs/>
          <w:color w:val="000000"/>
          <w:spacing w:val="0"/>
          <w:w w:val="100"/>
          <w:position w:val="0"/>
          <w:shd w:val="clear" w:color="auto" w:fill="auto"/>
        </w:rPr>
        <w:t>Die Bedeutung der Aufer- stehungsbotschaft fur den Glauben an Jesus Christus,</w:t>
      </w:r>
      <w:r>
        <w:rPr>
          <w:color w:val="000000"/>
          <w:spacing w:val="0"/>
          <w:w w:val="100"/>
          <w:position w:val="0"/>
          <w:shd w:val="clear" w:color="auto" w:fill="auto"/>
          <w:vertAlign w:val="superscript"/>
        </w:rPr>
        <w:footnoteReference w:id="23"/>
      </w:r>
      <w:r>
        <w:rPr>
          <w:color w:val="000000"/>
          <w:spacing w:val="0"/>
          <w:w w:val="100"/>
          <w:position w:val="0"/>
          <w:shd w:val="clear" w:color="auto" w:fill="auto"/>
          <w:vertAlign w:val="superscript"/>
        </w:rPr>
        <w:t xml:space="preserve"> </w:t>
      </w:r>
      <w:r>
        <w:rPr>
          <w:color w:val="000000"/>
          <w:spacing w:val="0"/>
          <w:w w:val="100"/>
          <w:position w:val="0"/>
          <w:shd w:val="clear" w:color="auto" w:fill="auto"/>
          <w:vertAlign w:val="superscript"/>
        </w:rPr>
        <w:footnoteReference w:id="24"/>
      </w:r>
      <w:r>
        <w:rPr>
          <w:color w:val="000000"/>
          <w:spacing w:val="0"/>
          <w:w w:val="100"/>
          <w:position w:val="0"/>
          <w:shd w:val="clear" w:color="auto" w:fill="auto"/>
        </w:rPr>
        <w:t xml:space="preserve">1967; W. Panncnbcrg, </w:t>
      </w:r>
      <w:r>
        <w:rPr>
          <w:i/>
          <w:iCs/>
          <w:color w:val="000000"/>
          <w:spacing w:val="0"/>
          <w:w w:val="100"/>
          <w:position w:val="0"/>
          <w:shd w:val="clear" w:color="auto" w:fill="auto"/>
        </w:rPr>
        <w:t>Grundzuge der Christotogie,</w:t>
      </w:r>
      <w:r>
        <w:rPr>
          <w:color w:val="000000"/>
          <w:spacing w:val="0"/>
          <w:w w:val="100"/>
          <w:position w:val="0"/>
          <w:shd w:val="clear" w:color="auto" w:fill="auto"/>
        </w:rPr>
        <w:t xml:space="preserve"> </w:t>
      </w:r>
      <w:r>
        <w:rPr>
          <w:color w:val="000000"/>
          <w:spacing w:val="0"/>
          <w:w w:val="100"/>
          <w:position w:val="0"/>
          <w:shd w:val="clear" w:color="auto" w:fill="auto"/>
          <w:vertAlign w:val="superscript"/>
        </w:rPr>
        <w:t>z</w:t>
      </w:r>
      <w:r>
        <w:rPr>
          <w:color w:val="000000"/>
          <w:spacing w:val="0"/>
          <w:w w:val="100"/>
          <w:position w:val="0"/>
          <w:shd w:val="clear" w:color="auto" w:fill="auto"/>
        </w:rPr>
        <w:t xml:space="preserve">1966; K. Rah« ncr, </w:t>
      </w:r>
      <w:r>
        <w:rPr>
          <w:i/>
          <w:iCs/>
          <w:color w:val="000000"/>
          <w:spacing w:val="0"/>
          <w:w w:val="100"/>
          <w:position w:val="0"/>
          <w:shd w:val="clear" w:color="auto" w:fill="auto"/>
        </w:rPr>
        <w:t>Grundkurs des Glaubens,</w:t>
      </w:r>
      <w:r>
        <w:rPr>
          <w:color w:val="000000"/>
          <w:spacing w:val="0"/>
          <w:w w:val="100"/>
          <w:position w:val="0"/>
          <w:shd w:val="clear" w:color="auto" w:fill="auto"/>
        </w:rPr>
        <w:t xml:space="preserve"> 1976; J. Ratzinger, </w:t>
      </w:r>
      <w:r>
        <w:rPr>
          <w:i/>
          <w:iCs/>
          <w:color w:val="000000"/>
          <w:spacing w:val="0"/>
          <w:w w:val="100"/>
          <w:position w:val="0"/>
          <w:shd w:val="clear" w:color="auto" w:fill="auto"/>
        </w:rPr>
        <w:t>Eschato- logie - Tod und ewiges Leben,</w:t>
      </w:r>
      <w:r>
        <w:rPr>
          <w:color w:val="000000"/>
          <w:spacing w:val="0"/>
          <w:w w:val="100"/>
          <w:position w:val="0"/>
          <w:shd w:val="clear" w:color="auto" w:fill="auto"/>
        </w:rPr>
        <w:t xml:space="preserve"> 1977; L. Sehcffzyk, </w:t>
      </w:r>
      <w:r>
        <w:rPr>
          <w:i/>
          <w:iCs/>
          <w:color w:val="000000"/>
          <w:spacing w:val="0"/>
          <w:w w:val="100"/>
          <w:position w:val="0"/>
          <w:shd w:val="clear" w:color="auto" w:fill="auto"/>
        </w:rPr>
        <w:t>Auferste- hung, Prinzip christlichen Glaubens,</w:t>
      </w:r>
      <w:r>
        <w:rPr>
          <w:color w:val="000000"/>
          <w:spacing w:val="0"/>
          <w:w w:val="100"/>
          <w:position w:val="0"/>
          <w:shd w:val="clear" w:color="auto" w:fill="auto"/>
        </w:rPr>
        <w:t xml:space="preserve"> 1976; L. Schenkc, </w:t>
      </w:r>
      <w:r>
        <w:rPr>
          <w:i/>
          <w:iCs/>
          <w:color w:val="000000"/>
          <w:spacing w:val="0"/>
          <w:w w:val="100"/>
          <w:position w:val="0"/>
          <w:shd w:val="clear" w:color="auto" w:fill="auto"/>
        </w:rPr>
        <w:t>Auf- erstehungsverkundigung und leeres Grab,</w:t>
      </w:r>
      <w:r>
        <w:rPr>
          <w:color w:val="000000"/>
          <w:spacing w:val="0"/>
          <w:w w:val="100"/>
          <w:position w:val="0"/>
          <w:shd w:val="clear" w:color="auto" w:fill="auto"/>
        </w:rPr>
        <w:t xml:space="preserve"> 1968; G. Schille, </w:t>
      </w:r>
      <w:r>
        <w:rPr>
          <w:i/>
          <w:iCs/>
          <w:color w:val="000000"/>
          <w:spacing w:val="0"/>
          <w:w w:val="100"/>
          <w:position w:val="0"/>
          <w:shd w:val="clear" w:color="auto" w:fill="auto"/>
        </w:rPr>
        <w:t>Ostcrglaube,</w:t>
      </w:r>
      <w:r>
        <w:rPr>
          <w:color w:val="000000"/>
          <w:spacing w:val="0"/>
          <w:w w:val="100"/>
          <w:position w:val="0"/>
          <w:shd w:val="clear" w:color="auto" w:fill="auto"/>
        </w:rPr>
        <w:t xml:space="preserve"> 1973; E. Schillcbccckx, </w:t>
      </w:r>
      <w:r>
        <w:rPr>
          <w:i/>
          <w:iCs/>
          <w:color w:val="000000"/>
          <w:spacing w:val="0"/>
          <w:w w:val="100"/>
          <w:position w:val="0"/>
          <w:shd w:val="clear" w:color="auto" w:fill="auto"/>
        </w:rPr>
        <w:t xml:space="preserve">Die Auferstehung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als Grund der Eriosung,</w:t>
      </w:r>
      <w:r>
        <w:rPr>
          <w:color w:val="000000"/>
          <w:spacing w:val="0"/>
          <w:w w:val="100"/>
          <w:position w:val="0"/>
          <w:shd w:val="clear" w:color="auto" w:fill="auto"/>
        </w:rPr>
        <w:t xml:space="preserve"> 1979; H. Schlicr, </w:t>
      </w:r>
      <w:r>
        <w:rPr>
          <w:i/>
          <w:iCs/>
          <w:color w:val="000000"/>
          <w:spacing w:val="0"/>
          <w:w w:val="100"/>
          <w:position w:val="0"/>
          <w:shd w:val="clear" w:color="auto" w:fill="auto"/>
        </w:rPr>
        <w:t>Ober die Auferste</w:t>
        <w:softHyphen/>
        <w:t xml:space="preserve">hung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Chnsti,</w:t>
      </w:r>
      <w:r>
        <w:rPr>
          <w:color w:val="000000"/>
          <w:spacing w:val="0"/>
          <w:w w:val="100"/>
          <w:position w:val="0"/>
          <w:shd w:val="clear" w:color="auto" w:fill="auto"/>
        </w:rPr>
        <w:t xml:space="preserve"> 1968; Ph. Scidcnstickcr, </w:t>
      </w:r>
      <w:r>
        <w:rPr>
          <w:i/>
          <w:iCs/>
          <w:color w:val="000000"/>
          <w:spacing w:val="0"/>
          <w:w w:val="100"/>
          <w:position w:val="0"/>
          <w:shd w:val="clear" w:color="auto" w:fill="auto"/>
        </w:rPr>
        <w:t xml:space="preserve">Die Auferstehung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in der Botschaft der Evangelisten,</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I968; W. </w:t>
      </w:r>
      <w:r>
        <w:rPr>
          <w:color w:val="000000"/>
          <w:spacing w:val="0"/>
          <w:w w:val="100"/>
          <w:position w:val="0"/>
          <w:shd w:val="clear" w:color="auto" w:fill="auto"/>
          <w:lang w:val="hr-HR" w:eastAsia="hr-HR" w:bidi="hr-HR"/>
        </w:rPr>
        <w:t xml:space="preserve">ITidsing, </w:t>
      </w:r>
      <w:r>
        <w:rPr>
          <w:i/>
          <w:iCs/>
          <w:color w:val="000000"/>
          <w:spacing w:val="0"/>
          <w:w w:val="100"/>
          <w:position w:val="0"/>
          <w:shd w:val="clear" w:color="auto" w:fill="auto"/>
        </w:rPr>
        <w:t xml:space="preserve">Die Erhohung und ^erherrlichung </w:t>
      </w:r>
      <w:r>
        <w:rPr>
          <w:i/>
          <w:iCs/>
          <w:color w:val="000000"/>
          <w:spacing w:val="0"/>
          <w:w w:val="100"/>
          <w:position w:val="0"/>
          <w:shd w:val="clear" w:color="auto" w:fill="auto"/>
          <w:lang w:val="hr-HR" w:eastAsia="hr-HR" w:bidi="hr-HR"/>
        </w:rPr>
        <w:t xml:space="preserve">Jesu </w:t>
      </w:r>
      <w:r>
        <w:rPr>
          <w:i/>
          <w:iCs/>
          <w:color w:val="000000"/>
          <w:spacing w:val="0"/>
          <w:w w:val="100"/>
          <w:position w:val="0"/>
          <w:shd w:val="clear" w:color="auto" w:fill="auto"/>
        </w:rPr>
        <w:t>im Johannesevange- Hum,</w:t>
      </w:r>
      <w:r>
        <w:rPr>
          <w:color w:val="000000"/>
          <w:spacing w:val="0"/>
          <w:w w:val="100"/>
          <w:position w:val="0"/>
          <w:shd w:val="clear" w:color="auto" w:fill="auto"/>
        </w:rPr>
        <w:t xml:space="preserve">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l970;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Die neutestamentlichen Theologien und Je</w:t>
        <w:softHyphen/>
        <w:t>sus Christus</w:t>
      </w:r>
      <w:r>
        <w:rPr>
          <w:color w:val="000000"/>
          <w:spacing w:val="0"/>
          <w:w w:val="100"/>
          <w:position w:val="0"/>
          <w:shd w:val="clear" w:color="auto" w:fill="auto"/>
        </w:rPr>
        <w:t xml:space="preserve"> 1, 1981; A. Vdgtle/R. Pcsch, </w:t>
      </w:r>
      <w:r>
        <w:rPr>
          <w:i/>
          <w:iCs/>
          <w:color w:val="000000"/>
          <w:spacing w:val="0"/>
          <w:w w:val="100"/>
          <w:position w:val="0"/>
          <w:shd w:val="clear" w:color="auto" w:fill="auto"/>
        </w:rPr>
        <w:t>We kam es zum Osiergfuuben?,</w:t>
      </w:r>
      <w:r>
        <w:rPr>
          <w:color w:val="000000"/>
          <w:spacing w:val="0"/>
          <w:w w:val="100"/>
          <w:position w:val="0"/>
          <w:shd w:val="clear" w:color="auto" w:fill="auto"/>
        </w:rPr>
        <w:t xml:space="preserve"> 1975; H. Vorgrimlcr, </w:t>
      </w:r>
      <w:r>
        <w:rPr>
          <w:i/>
          <w:iCs/>
          <w:color w:val="000000"/>
          <w:spacing w:val="0"/>
          <w:w w:val="100"/>
          <w:position w:val="0"/>
          <w:shd w:val="clear" w:color="auto" w:fill="auto"/>
        </w:rPr>
        <w:t>Der Tod im Denken und Leben des Christen,</w:t>
      </w:r>
      <w:r>
        <w:rPr>
          <w:color w:val="000000"/>
          <w:spacing w:val="0"/>
          <w:w w:val="100"/>
          <w:position w:val="0"/>
          <w:shd w:val="clear" w:color="auto" w:fill="auto"/>
        </w:rPr>
        <w:t xml:space="preserve"> 1978; (J. Wilckenx, </w:t>
      </w:r>
      <w:r>
        <w:rPr>
          <w:i/>
          <w:iCs/>
          <w:color w:val="000000"/>
          <w:spacing w:val="0"/>
          <w:w w:val="100"/>
          <w:position w:val="0"/>
          <w:shd w:val="clear" w:color="auto" w:fill="auto"/>
        </w:rPr>
        <w:t xml:space="preserve">Auferstehung,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1977; H.-W. Windcn, </w:t>
      </w:r>
      <w:r>
        <w:rPr>
          <w:i/>
          <w:iCs/>
          <w:color w:val="000000"/>
          <w:spacing w:val="0"/>
          <w:w w:val="100"/>
          <w:position w:val="0"/>
          <w:shd w:val="clear" w:color="auto" w:fill="auto"/>
        </w:rPr>
        <w:t>We kam und wie kommt es nun Os- lerglauben?,</w:t>
      </w:r>
      <w:r>
        <w:rPr>
          <w:color w:val="000000"/>
          <w:spacing w:val="0"/>
          <w:w w:val="100"/>
          <w:position w:val="0"/>
          <w:shd w:val="clear" w:color="auto" w:fill="auto"/>
        </w:rPr>
        <w:t xml:space="preserve"> 1982. - </w:t>
      </w:r>
      <w:r>
        <w:rPr>
          <w:i/>
          <w:iCs/>
          <w:color w:val="000000"/>
          <w:spacing w:val="0"/>
          <w:w w:val="100"/>
          <w:position w:val="0"/>
          <w:shd w:val="clear" w:color="auto" w:fill="auto"/>
        </w:rPr>
        <w:t>Concilium</w:t>
      </w:r>
      <w:r>
        <w:rPr>
          <w:color w:val="000000"/>
          <w:spacing w:val="0"/>
          <w:w w:val="100"/>
          <w:position w:val="0"/>
          <w:shd w:val="clear" w:color="auto" w:fill="auto"/>
        </w:rPr>
        <w:t xml:space="preserve"> 6 (1970), H. 12 </w:t>
      </w:r>
      <w:r>
        <w:rPr>
          <w:i/>
          <w:iCs/>
          <w:color w:val="000000"/>
          <w:spacing w:val="0"/>
          <w:w w:val="100"/>
          <w:position w:val="0"/>
          <w:shd w:val="clear" w:color="auto" w:fill="auto"/>
        </w:rPr>
        <w:t>(Unsierblich</w:t>
        <w:softHyphen/>
        <w:t>keit und Auferstehung)-.</w:t>
      </w:r>
      <w:r>
        <w:rPr>
          <w:color w:val="000000"/>
          <w:spacing w:val="0"/>
          <w:w w:val="100"/>
          <w:position w:val="0"/>
          <w:shd w:val="clear" w:color="auto" w:fill="auto"/>
        </w:rPr>
        <w:t xml:space="preserve"> 11 (1975), H. 5 </w:t>
      </w:r>
      <w:r>
        <w:rPr>
          <w:i/>
          <w:iCs/>
          <w:color w:val="000000"/>
          <w:spacing w:val="0"/>
          <w:w w:val="100"/>
          <w:position w:val="0"/>
          <w:shd w:val="clear" w:color="auto" w:fill="auto"/>
        </w:rPr>
        <w:t>(Das Unslerbiich- keitsverlangen).-L.</w:t>
      </w:r>
      <w:r>
        <w:rPr>
          <w:color w:val="000000"/>
          <w:spacing w:val="0"/>
          <w:w w:val="100"/>
          <w:position w:val="0"/>
          <w:shd w:val="clear" w:color="auto" w:fill="auto"/>
        </w:rPr>
        <w:t xml:space="preserve"> Coencn; ThBN’T I, 43-50; H. Conzcl- mann i dr.; RGG3I, 696-702; P. Hoffmann: TRE IV, 478-513; J. Kremer: EWNT I, 210-22 J, 889-910; K. Rah</w:t>
        <w:softHyphen/>
        <w:t>ner i dr.: SM I, 403-125; J. Schmid/J. Ratzinger: SM 1, 384-402.</w:t>
        <w:tab/>
        <w:t>H.-J HNDL'IS</w:t>
      </w:r>
    </w:p>
    <w:p>
      <w:pPr>
        <w:spacing w:lineRule="exact" w:line="1"/>
        <w:rPr>
          <w:sz w:val="2"/>
          <w:szCs w:val="2"/>
        </w:rPr>
      </w:pPr>
      <w:r>
        <w:br w:type="column"/>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proteže prije na ljudska tijela nego samo na ljudske duše. Kuran poznaje i medustanje ili razdvajalište između ovoga i onostranoga ži</w:t>
        <w:softHyphen/>
        <w:t xml:space="preserve">vota: </w:t>
      </w:r>
      <w:r>
        <w:rPr>
          <w:rFonts w:ascii="Times New Roman" w:eastAsia="Times New Roman" w:hAnsi="Times New Roman" w:cs="Times New Roman"/>
          <w:i/>
          <w:iCs/>
          <w:color w:val="000000"/>
          <w:spacing w:val="0"/>
          <w:w w:val="100"/>
          <w:position w:val="0"/>
          <w:shd w:val="clear" w:color="auto" w:fill="auto"/>
          <w:lang w:val="hr-HR" w:eastAsia="hr-HR" w:bidi="hr-HR"/>
        </w:rPr>
        <w:t>barzakh.</w:t>
      </w:r>
      <w:r>
        <w:rPr>
          <w:rFonts w:ascii="Times New Roman" w:eastAsia="Times New Roman" w:hAnsi="Times New Roman" w:cs="Times New Roman"/>
          <w:color w:val="000000"/>
          <w:spacing w:val="0"/>
          <w:w w:val="100"/>
          <w:position w:val="0"/>
          <w:shd w:val="clear" w:color="auto" w:fill="auto"/>
          <w:lang w:val="hr-HR" w:eastAsia="hr-HR" w:bidi="hr-HR"/>
        </w:rPr>
        <w:t xml:space="preserve"> Prilagođavajući se svijetu krš</w:t>
        <w:softHyphen/>
        <w:t xml:space="preserve">ćanskih predodžbi taj se pojam zgodimice prevodi kao </w:t>
      </w:r>
      <w:r>
        <w:rPr>
          <w:rFonts w:ascii="Times New Roman" w:eastAsia="Times New Roman" w:hAnsi="Times New Roman" w:cs="Times New Roman"/>
          <w:i/>
          <w:iCs/>
          <w:color w:val="000000"/>
          <w:spacing w:val="0"/>
          <w:w w:val="100"/>
          <w:position w:val="0"/>
          <w:shd w:val="clear" w:color="auto" w:fill="auto"/>
          <w:lang w:val="hr-HR" w:eastAsia="hr-HR" w:bidi="hr-HR"/>
        </w:rPr>
        <w:t>purgatorium,</w:t>
      </w:r>
      <w:r>
        <w:rPr>
          <w:rFonts w:ascii="Times New Roman" w:eastAsia="Times New Roman" w:hAnsi="Times New Roman" w:cs="Times New Roman"/>
          <w:color w:val="000000"/>
          <w:spacing w:val="0"/>
          <w:w w:val="100"/>
          <w:position w:val="0"/>
          <w:shd w:val="clear" w:color="auto" w:fill="auto"/>
          <w:lang w:val="hr-HR" w:eastAsia="hr-HR" w:bidi="hr-HR"/>
        </w:rPr>
        <w:t xml:space="preserve"> No on to nije. Ta riječ naprotiv znači </w:t>
      </w:r>
      <w:r>
        <w:rPr>
          <w:rFonts w:ascii="Times New Roman" w:eastAsia="Times New Roman" w:hAnsi="Times New Roman" w:cs="Times New Roman"/>
          <w:i/>
          <w:iCs/>
          <w:color w:val="000000"/>
          <w:spacing w:val="0"/>
          <w:w w:val="100"/>
          <w:position w:val="0"/>
          <w:shd w:val="clear" w:color="auto" w:fill="auto"/>
          <w:lang w:val="hr-HR" w:eastAsia="hr-HR" w:bidi="hr-HR"/>
        </w:rPr>
        <w:t>predvorje pakla -</w:t>
      </w:r>
      <w:r>
        <w:rPr>
          <w:rFonts w:ascii="Times New Roman" w:eastAsia="Times New Roman" w:hAnsi="Times New Roman" w:cs="Times New Roman"/>
          <w:color w:val="000000"/>
          <w:spacing w:val="0"/>
          <w:w w:val="100"/>
          <w:position w:val="0"/>
          <w:shd w:val="clear" w:color="auto" w:fill="auto"/>
          <w:lang w:val="hr-HR" w:eastAsia="hr-HR" w:bidi="hr-HR"/>
        </w:rPr>
        <w:t xml:space="preserve"> točnije granicu, zapreku, razdvajanje.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trenutku smrti duše dobrih ljudi s lakoćom napuštaju tijela u kojima prebivaju; ali duše loših ljudi čine to nasilno i bolno. U. slijedi nakon propasti svijeta. Predznaci su zajednič</w:t>
        <w:softHyphen/>
        <w:t xml:space="preserve">ki: kaotična stanja u svijetu, pojava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Dedžala </w:t>
      </w:r>
      <w:r>
        <w:rPr>
          <w:rFonts w:ascii="Times New Roman" w:eastAsia="Times New Roman" w:hAnsi="Times New Roman" w:cs="Times New Roman"/>
          <w:color w:val="000000"/>
          <w:spacing w:val="0"/>
          <w:w w:val="100"/>
          <w:position w:val="0"/>
          <w:shd w:val="clear" w:color="auto" w:fill="auto"/>
          <w:lang w:val="hr-HR" w:eastAsia="hr-HR" w:bidi="hr-HR"/>
        </w:rPr>
        <w:t xml:space="preserve">(Antikrista), </w:t>
      </w:r>
      <w:r>
        <w:rPr>
          <w:rFonts w:ascii="Times New Roman" w:eastAsia="Times New Roman" w:hAnsi="Times New Roman" w:cs="Times New Roman"/>
          <w:i/>
          <w:iCs/>
          <w:color w:val="000000"/>
          <w:spacing w:val="0"/>
          <w:w w:val="100"/>
          <w:position w:val="0"/>
          <w:shd w:val="clear" w:color="auto" w:fill="auto"/>
          <w:lang w:val="hr-HR" w:eastAsia="hr-HR" w:bidi="hr-HR"/>
        </w:rPr>
        <w:t>Dabbat al-arda</w:t>
      </w:r>
      <w:r>
        <w:rPr>
          <w:rFonts w:ascii="Times New Roman" w:eastAsia="Times New Roman" w:hAnsi="Times New Roman" w:cs="Times New Roman"/>
          <w:color w:val="000000"/>
          <w:spacing w:val="0"/>
          <w:w w:val="100"/>
          <w:position w:val="0"/>
          <w:shd w:val="clear" w:color="auto" w:fill="auto"/>
          <w:lang w:val="hr-HR" w:eastAsia="hr-HR" w:bidi="hr-HR"/>
        </w:rPr>
        <w:t xml:space="preserve"> (mitološkoga ču</w:t>
        <w:softHyphen/>
        <w:t>dovišta) i promjene u prirodi. Anđelu Israfilu dodijeljena je zadaća da svojom trubljom oglasi počinjujuću propast te da zatim s dru</w:t>
        <w:softHyphen/>
        <w:t>gim zvukom trublje nagovijesti u. Uskrsnuću je posvećeno sve, sve do ovoga i ostala četiri vrhovna anđela. Tomu je tako prema jednoj verziji.</w:t>
      </w:r>
    </w:p>
    <w:p>
      <w:pPr>
        <w:pStyle w:val="Style20"/>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drugoj verziji, vrhovni će se anđeo Is- rafil samo jednom umiješati u događanje po</w:t>
        <w:softHyphen/>
        <w:t>sljednjih dana, on će naime nagovijestiti u. Samo će se u. izvršiti kroz stvaranje novoga života: Ljudi će, takvi kakvi su stvoreni od Bo</w:t>
        <w:softHyphen/>
        <w:t>ga, ustati iz svojih grobova kako bi se onda sastali na mjestu strašnoga suda. Iz tradicije se nikako ne može jednoznačno razabrati, gdje će se to mjesto nalaziti. Prema nekim pis- moznancima radit će se o zemaljskom pod</w:t>
        <w:softHyphen/>
        <w:t>ručju; prema nekima drugima Bog će to mjesto tek stvoriti.</w:t>
      </w:r>
    </w:p>
    <w:p>
      <w:pPr>
        <w:pStyle w:val="Style56"/>
        <w:keepNext w:val="0"/>
        <w:keepLines w:val="0"/>
        <w:widowControl w:val="0"/>
        <w:shd w:val="clear" w:color="auto" w:fill="auto"/>
        <w:tabs>
          <w:tab w:pos="2549" w:val="left"/>
        </w:tabs>
        <w:bidi w:val="0"/>
        <w:spacing w:before="0" w:after="26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EP: ba'th.</w:t>
        <w:tab/>
        <w:t>S. BA1.IĆ</w:t>
      </w:r>
    </w:p>
    <w:p>
      <w:pPr>
        <w:pStyle w:val="Style63"/>
        <w:keepNext/>
        <w:keepLines/>
        <w:widowControl w:val="0"/>
        <w:shd w:val="clear" w:color="auto" w:fill="auto"/>
        <w:bidi w:val="0"/>
        <w:spacing w:before="0" w:after="40" w:line="240" w:lineRule="auto"/>
        <w:ind w:left="0" w:right="0" w:firstLine="0"/>
        <w:jc w:val="both"/>
        <w:rPr>
          <w:sz w:val="18"/>
          <w:szCs w:val="18"/>
        </w:rPr>
        <w:sectPr>
          <w:headerReference w:type="default" r:id="rId1567"/>
          <w:footerReference w:type="default" r:id="rId1568"/>
          <w:headerReference w:type="even" r:id="rId1569"/>
          <w:footerReference w:type="even" r:id="rId1570"/>
          <w:footnotePr>
            <w:pos w:val="pageBottom"/>
            <w:numFmt w:val="decimal"/>
            <w:numRestart w:val="continuous"/>
            <w15:footnoteColumns w:val="1"/>
          </w:footnotePr>
          <w:pgSz w:w="6816" w:h="11006"/>
          <w:pgMar w:top="981" w:left="189" w:right="195" w:bottom="469" w:header="0" w:footer="41" w:gutter="0"/>
          <w:pgNumType w:start="515"/>
          <w:cols w:num="2" w:space="178"/>
          <w:noEndnote/>
          <w:rtlGutter w:val="0"/>
          <w:docGrid w:linePitch="360"/>
        </w:sectPr>
      </w:pPr>
      <w:r>
        <mc:AlternateContent>
          <mc:Choice Requires="wps">
            <w:drawing>
              <wp:anchor distT="1828800" distB="254000" distL="114300" distR="114300" simplePos="0" relativeHeight="125829443" behindDoc="0" locked="0" layoutInCell="1" allowOverlap="1">
                <wp:simplePos x="0" y="0"/>
                <wp:positionH relativeFrom="page">
                  <wp:posOffset>4015740</wp:posOffset>
                </wp:positionH>
                <wp:positionV relativeFrom="margin">
                  <wp:posOffset>6144895</wp:posOffset>
                </wp:positionV>
                <wp:extent cx="173990" cy="109855"/>
                <wp:wrapTopAndBottom/>
                <wp:docPr id="3369" name="Shape 3369"/>
                <a:graphic xmlns:a="http://schemas.openxmlformats.org/drawingml/2006/main">
                  <a:graphicData uri="http://schemas.microsoft.com/office/word/2010/wordprocessingShape">
                    <wps:wsp>
                      <wps:cNvSpPr txBox="1"/>
                      <wps:spPr>
                        <a:xfrm>
                          <a:ext cx="17399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kn</w:t>
                            </w:r>
                          </w:p>
                        </w:txbxContent>
                      </wps:txbx>
                      <wps:bodyPr wrap="none" lIns="0" tIns="0" rIns="0" bIns="0">
                        <a:noAutoFit/>
                      </wps:bodyPr>
                    </wps:wsp>
                  </a:graphicData>
                </a:graphic>
              </wp:anchor>
            </w:drawing>
          </mc:Choice>
          <mc:Fallback>
            <w:pict>
              <v:shape id="_x0000_s4395" type="#_x0000_t202" style="position:absolute;margin-left:316.19999999999999pt;margin-top:483.85000000000002pt;width:13.699999999999999pt;height:8.6500000000000004pt;z-index:-125829310;mso-wrap-distance-left:9.pt;mso-wrap-distance-top:14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kn</w:t>
                      </w:r>
                    </w:p>
                  </w:txbxContent>
                </v:textbox>
                <w10:wrap type="topAndBottom" anchorx="page" anchory="margin"/>
              </v:shape>
            </w:pict>
          </mc:Fallback>
        </mc:AlternateContent>
      </w:r>
      <w:bookmarkStart w:id="386" w:name="bookmark386"/>
      <w:r>
        <w:rPr>
          <w:rFonts w:ascii="Times New Roman" w:eastAsia="Times New Roman" w:hAnsi="Times New Roman" w:cs="Times New Roman"/>
          <w:color w:val="000000"/>
          <w:spacing w:val="0"/>
          <w:w w:val="100"/>
          <w:position w:val="0"/>
          <w:sz w:val="17"/>
          <w:szCs w:val="17"/>
          <w:shd w:val="clear" w:color="auto" w:fill="auto"/>
          <w:lang w:val="hr-HR" w:eastAsia="hr-HR" w:bidi="hr-HR"/>
        </w:rPr>
        <w:t xml:space="preserve">UTOPIJA -&gt; </w:t>
      </w:r>
      <w:r>
        <w:rPr>
          <w:rFonts w:ascii="Times New Roman" w:eastAsia="Times New Roman" w:hAnsi="Times New Roman" w:cs="Times New Roman"/>
          <w:b w:val="0"/>
          <w:bCs w:val="0"/>
          <w:color w:val="000000"/>
          <w:spacing w:val="0"/>
          <w:w w:val="100"/>
          <w:position w:val="0"/>
          <w:sz w:val="18"/>
          <w:szCs w:val="18"/>
          <w:shd w:val="clear" w:color="auto" w:fill="auto"/>
          <w:lang w:val="hr-HR" w:eastAsia="hr-HR" w:bidi="hr-HR"/>
        </w:rPr>
        <w:t>BUDUĆNOST</w:t>
      </w:r>
      <w:bookmarkEnd w:id="386"/>
    </w:p>
    <w:p>
      <w:pPr>
        <w:rPr>
          <w:sz w:val="2"/>
          <w:szCs w:val="2"/>
        </w:rPr>
        <w:sectPr>
          <w:footnotePr>
            <w:pos w:val="pageBottom"/>
            <w:numFmt w:val="decimal"/>
            <w:numRestart w:val="continuous"/>
            <w15:footnoteColumns w:val="1"/>
          </w:footnotePr>
          <w:type w:val="continuous"/>
          <w:pgSz w:w="6816" w:h="11006"/>
          <w:pgMar w:top="981" w:left="189" w:right="195" w:bottom="469" w:header="0" w:footer="3" w:gutter="0"/>
          <w:cols w:num="2" w:space="178"/>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37" w:after="37" w:line="240" w:lineRule="exact"/>
        <w:rPr>
          <w:sz w:val="19"/>
          <w:szCs w:val="19"/>
        </w:rPr>
      </w:pPr>
    </w:p>
    <w:p>
      <w:pPr>
        <w:widowControl w:val="0"/>
        <w:spacing w:line="1" w:lineRule="exact"/>
        <w:sectPr>
          <w:headerReference w:type="default" r:id="rId1571"/>
          <w:footerReference w:type="default" r:id="rId1572"/>
          <w:headerReference w:type="even" r:id="rId1573"/>
          <w:footerReference w:type="even" r:id="rId1574"/>
          <w:headerReference w:type="first" r:id="rId1575"/>
          <w:footerReference w:type="first" r:id="rId1576"/>
          <w:footnotePr>
            <w:pos w:val="pageBottom"/>
            <w:numFmt w:val="decimal"/>
            <w:numRestart w:val="continuous"/>
            <w15:footnoteColumns w:val="1"/>
          </w:footnotePr>
          <w:pgSz w:w="6816" w:h="11006"/>
          <w:pgMar w:top="947" w:left="195" w:right="199" w:bottom="465" w:header="0" w:footer="3" w:gutter="0"/>
          <w:pgNumType w:start="512"/>
          <w:cols w:num="2" w:space="189"/>
          <w:noEndnote/>
          <w:titlePg/>
          <w:rtlGutter w:val="0"/>
          <w:docGrid w:linePitch="360"/>
        </w:sectPr>
      </w:pP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VJERA</w:t>
      </w:r>
    </w:p>
    <w:p>
      <w:pPr>
        <w:pStyle w:val="Style63"/>
        <w:keepNext/>
        <w:keepLines/>
        <w:widowControl w:val="0"/>
        <w:numPr>
          <w:ilvl w:val="0"/>
          <w:numId w:val="609"/>
        </w:numPr>
        <w:shd w:val="clear" w:color="auto" w:fill="auto"/>
        <w:tabs>
          <w:tab w:pos="241" w:val="left"/>
        </w:tabs>
        <w:bidi w:val="0"/>
        <w:spacing w:before="0"/>
        <w:ind w:left="0" w:right="0" w:firstLine="0"/>
        <w:jc w:val="left"/>
      </w:pPr>
      <w:bookmarkStart w:id="388" w:name="bookmark388"/>
      <w:r>
        <w:rPr>
          <w:rFonts w:ascii="Times New Roman" w:eastAsia="Times New Roman" w:hAnsi="Times New Roman" w:cs="Times New Roman"/>
          <w:color w:val="000000"/>
          <w:spacing w:val="0"/>
          <w:w w:val="100"/>
          <w:position w:val="0"/>
          <w:shd w:val="clear" w:color="auto" w:fill="auto"/>
          <w:lang w:val="hr-HR" w:eastAsia="hr-HR" w:bidi="hr-HR"/>
        </w:rPr>
        <w:t>židovski</w:t>
      </w:r>
      <w:bookmarkEnd w:id="388"/>
    </w:p>
    <w:p>
      <w:pPr>
        <w:pStyle w:val="Style20"/>
        <w:keepNext w:val="0"/>
        <w:keepLines w:val="0"/>
        <w:widowControl w:val="0"/>
        <w:numPr>
          <w:ilvl w:val="0"/>
          <w:numId w:val="611"/>
        </w:numPr>
        <w:shd w:val="clear" w:color="auto" w:fill="auto"/>
        <w:tabs>
          <w:tab w:pos="274" w:val="left"/>
        </w:tabs>
        <w:bidi w:val="0"/>
        <w:spacing w:before="0" w:after="10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»Držite moje zakone i moje naredbe«: V. - promatrana zasebno - nema u židovstvu sre</w:t>
        <w:softHyphen/>
        <w:t>dišnje značenje. Bit pobožnosti jest u izvrše</w:t>
        <w:softHyphen/>
        <w:t xml:space="preserve">nju Božje zapovijedi </w:t>
      </w:r>
      <w:r>
        <w:rPr>
          <w:rFonts w:ascii="Times New Roman" w:eastAsia="Times New Roman" w:hAnsi="Times New Roman" w:cs="Times New Roman"/>
          <w:i/>
          <w:iCs/>
          <w:color w:val="000000"/>
          <w:spacing w:val="0"/>
          <w:w w:val="100"/>
          <w:position w:val="0"/>
          <w:shd w:val="clear" w:color="auto" w:fill="auto"/>
          <w:lang w:val="en-US" w:eastAsia="en-US" w:bidi="en-US"/>
        </w:rPr>
        <w:t>(mieva,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M Avot IV, 11; b Hulin 141a); time je Bog dao čovjeku sadržaj njegova života: »Držite moje zakone i moje naredbe; tko ih vrši, u njima će naći život. JA sam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18,5). Tora nije nauk o vjeri već uputa što treba činiti (Pnz 5,1;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5,14 i d.; Jr 7,3-7; Ps 34,12-15; 37,27). Izrael je uvijek ostvarivao svoj odnos s Bogom kao događanje riječi i odgovora, a to je pretpo</w:t>
        <w:softHyphen/>
        <w:t>stavka da čovjek svoju postavljenost na zemlji shvaća ozbiljno (Post 1,26.28; 2,15-17). Time se upućuje na zahtjev koji je usmjeren na čo</w:t>
        <w:softHyphen/>
        <w:t xml:space="preserve">vjekovo djelovanje, koji obuhvaća sav život i sigurnost u svim pojedinostima. Naime, jedno njegovo geslo glasi: »Sveti budite, jer sam svet JA, Bog vaš«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usp. 11,44 i d.; 20,7,26). Putevi Božji jesu putevi koje čovjek treba tražiti i kojima treba ići. Budući da je najveća dužnost čovjekova vršiti Božju volju, nastao je posebni židovski životni put (hala- ha) kao objašnjenje koje vodi k njegovu ostva</w:t>
        <w:softHyphen/>
        <w:t>renju. On daje praktičnu osnovu potrebne razlike između pravde i nepravde. Samo time što će je čovjek primijeniti u načinu života či</w:t>
        <w:softHyphen/>
        <w:t>neći dobro a kloncći se zla (Pnz 6,5; 10,12; Jš 22,5; Mih 6,8), on priznaje Boga koji ljubi pravdu a mrzi nepravdu (Iz 61,8; Ps 33,5; 37,28), i služi mu svim srcem i svom dušom (Pnz 11,13; usp. Izl 20,5 i d.; Jš 24,15-27). Vezu s Bogom ne treba samo doživjeti nego i živjeti. Čovjek, koji je djelovao, zna da je bio i jest u Božjim rukama; njihovo jedinstvo uko</w:t>
        <w:softHyphen/>
        <w:t>rijenjeno je u uzajamnom događanju Boga i čovjeka (Pnz 26,13 i d.; Iz 33,14-16; Ez 18,5 i d.; Mi 6,6-8; Ps 15; 24,4-6).</w:t>
      </w:r>
    </w:p>
    <w:p>
      <w:pPr>
        <w:pStyle w:val="Style20"/>
        <w:keepNext w:val="0"/>
        <w:keepLines w:val="0"/>
        <w:widowControl w:val="0"/>
        <w:numPr>
          <w:ilvl w:val="0"/>
          <w:numId w:val="611"/>
        </w:numPr>
        <w:shd w:val="clear" w:color="auto" w:fill="auto"/>
        <w:tabs>
          <w:tab w:pos="279"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 prema većini djela«: Budući da se u židovsku pobožnost ubraja pridržavanje odre</w:t>
        <w:softHyphen/>
        <w:t xml:space="preserve">đenih propisa, tim zahtjevima može pravilno i potpuno udovoljiti samo onaj tko ih je naučio. Stoga je Hilel rekao: »Neupućeni </w:t>
      </w:r>
      <w:r>
        <w:rPr>
          <w:rFonts w:ascii="Times New Roman" w:eastAsia="Times New Roman" w:hAnsi="Times New Roman" w:cs="Times New Roman"/>
          <w:i/>
          <w:iCs/>
          <w:color w:val="000000"/>
          <w:spacing w:val="0"/>
          <w:w w:val="100"/>
          <w:position w:val="0"/>
          <w:shd w:val="clear" w:color="auto" w:fill="auto"/>
          <w:lang w:val="en-US" w:eastAsia="en-US" w:bidi="en-US"/>
        </w:rPr>
        <w:t xml:space="preserve">(am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ha-arec, </w:t>
      </w:r>
      <w:r>
        <w:rPr>
          <w:rFonts w:ascii="Times New Roman" w:eastAsia="Times New Roman" w:hAnsi="Times New Roman" w:cs="Times New Roman"/>
          <w:color w:val="000000"/>
          <w:spacing w:val="0"/>
          <w:w w:val="100"/>
          <w:position w:val="0"/>
          <w:shd w:val="clear" w:color="auto" w:fill="auto"/>
          <w:lang w:val="hr-HR" w:eastAsia="hr-HR" w:bidi="hr-HR"/>
        </w:rPr>
        <w:t>usp. Berahot 47b) nije pobožan« (M Avot II, 5, usp. b Šabat 63a). Time on neupućenome ne osporava pobožnost srca koju i farizeji vi</w:t>
        <w:softHyphen/>
        <w:t xml:space="preserve">soko cijene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20b); potpuno se pozitivno ocjenjuje naivna pobožnost neupu</w:t>
        <w:softHyphen/>
        <w:t xml:space="preserve">ćenoga: »Kao što kora čuva plod oraha, tako i neupućeni u Izraelu čuvaju riječi Tore« (Šir ha-širim VI,11). Isti krugovi obilježili su nauk o predavanju srca </w:t>
      </w:r>
      <w:r>
        <w:rPr>
          <w:rFonts w:ascii="Times New Roman" w:eastAsia="Times New Roman" w:hAnsi="Times New Roman" w:cs="Times New Roman"/>
          <w:i/>
          <w:iCs/>
          <w:color w:val="000000"/>
          <w:spacing w:val="0"/>
          <w:w w:val="100"/>
          <w:position w:val="0"/>
          <w:shd w:val="clear" w:color="auto" w:fill="auto"/>
          <w:lang w:val="hr-HR" w:eastAsia="hr-HR" w:bidi="hr-HR"/>
        </w:rPr>
        <w:t>(kavana),</w:t>
      </w:r>
      <w:r>
        <w:rPr>
          <w:rFonts w:ascii="Times New Roman" w:eastAsia="Times New Roman" w:hAnsi="Times New Roman" w:cs="Times New Roman"/>
          <w:color w:val="000000"/>
          <w:spacing w:val="0"/>
          <w:w w:val="100"/>
          <w:position w:val="0"/>
          <w:shd w:val="clear" w:color="auto" w:fill="auto"/>
          <w:lang w:val="hr-HR" w:eastAsia="hr-HR" w:bidi="hr-HR"/>
        </w:rPr>
        <w:t xml:space="preserve"> »svejedno je da li jedan mnogo, a drugi malo žrtvuje samo ako su mu pritom misli usmjerene prema nebu ( = Bogu)« (M Mcnahot XIII;11, usp. b 110a; Sa- vuot 15a). Unatoč tomu, intelektualistički je pravac, koji je rabinsko židovstvo svojom me</w:t>
        <w:softHyphen/>
        <w:t>todom tumačenja Tore i njezine primjene usmjerio na svakodnevni život, skrivao opas</w:t>
        <w:softHyphen/>
        <w:t>nost precjenjivanja elementa znanja u samoj religiji; to pokazuju opomene u Mišni kako onaj tko poštuje halaške propise (haber) treba postupati s neupućenima i suditi ih (Dcmaj</w:t>
      </w:r>
    </w:p>
    <w:p>
      <w:pPr>
        <w:pStyle w:val="Style20"/>
        <w:keepNext w:val="0"/>
        <w:keepLines w:val="0"/>
        <w:widowControl w:val="0"/>
        <w:numPr>
          <w:ilvl w:val="0"/>
          <w:numId w:val="613"/>
        </w:numPr>
        <w:shd w:val="clear" w:color="auto" w:fill="auto"/>
        <w:tabs>
          <w:tab w:pos="303"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 Seviit V,9; Hagiga 11,7). No tu se javlja prigovor zbog precjenjivanja vida poučavanja: »Tko zaboravi i riječ iz njegova nauka, Pismo će mu to uknjižiti (Pnz 4,9) kao da je proigrao svoj život... Moglo bi se sada pomisliti: ako mu je njegov nauk i postao težak (tj. nije ga mogao upamtiti, ako je to slučaj)... proigrao je život ako (pasivno i nehajno) sjedi i udalja</w:t>
        <w:softHyphen/>
        <w:t>va ga od srca« (M Avot III,9). Prigovor je oštriji: »Čija djela su veća od njegove mud</w:t>
        <w:softHyphen/>
        <w:t xml:space="preserve">rosti, njegova je mudrost postojana; no, ako je njegova mudrost veća od njegovih djela, ona nije postojana«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111,10) i dosiže vrhunac u formulaciji: »Sve prema većini djela« </w:t>
      </w:r>
      <w:r>
        <w:rPr>
          <w:rFonts w:ascii="Times New Roman" w:eastAsia="Times New Roman" w:hAnsi="Times New Roman" w:cs="Times New Roman"/>
          <w:color w:val="000000"/>
          <w:spacing w:val="0"/>
          <w:w w:val="100"/>
          <w:position w:val="0"/>
          <w:shd w:val="clear" w:color="auto" w:fill="auto"/>
          <w:lang w:val="en-US" w:eastAsia="en-US" w:bidi="en-US"/>
        </w:rPr>
        <w:t>(ibid.</w:t>
      </w:r>
    </w:p>
    <w:p>
      <w:pPr>
        <w:pStyle w:val="Style20"/>
        <w:keepNext w:val="0"/>
        <w:keepLines w:val="0"/>
        <w:widowControl w:val="0"/>
        <w:numPr>
          <w:ilvl w:val="0"/>
          <w:numId w:val="613"/>
        </w:numPr>
        <w:shd w:val="clear" w:color="auto" w:fill="auto"/>
        <w:tabs>
          <w:tab w:pos="346"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16). To se shvaćanje probilo, a prema njemu i stajalište da se svijetu sudi osim po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Božjem milosrđu i prema pravdi i da pritom većina dobrih ili zlih djela odlučuje o sudbini čovjeka (usp. Kohelet raba X,l; Kidušin 39b; Majmonid, Mišne Tora, Hilhot tešuva 111,1); usporedba je slikovito predočava: »S čime možemo usporediti onoga čija je mudrost veća od njegovih djela? S drvetom koje ima mnogo grana, a malo korijena; dode vjetar, iščupa ga iz korijena i sruši... No onoga, čija su djela veća od njegove mudrosti, s čime možemo njega usporediti? S drvetom koje ima malo grana, a mnogo korijena, pa kad bi došli i svi vjetrovi svijeta i zapuhali po njemu, ne bi ga mogli maknuti s mjesta«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111,18). Stoga ostaje mjerodavno: »Više nego što učiš, učini«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VI,5), »Ako se netko bavi samo Torom, isto je kao da on nema Boga« (b </w:t>
      </w:r>
      <w:r>
        <w:rPr>
          <w:rFonts w:ascii="Times New Roman" w:eastAsia="Times New Roman" w:hAnsi="Times New Roman" w:cs="Times New Roman"/>
          <w:color w:val="000000"/>
          <w:spacing w:val="0"/>
          <w:w w:val="100"/>
          <w:position w:val="0"/>
          <w:shd w:val="clear" w:color="auto" w:fill="auto"/>
          <w:lang w:val="en-US" w:eastAsia="en-US" w:bidi="en-US"/>
        </w:rPr>
        <w:t>Avo</w:t>
        <w:softHyphen/>
        <w:t xml:space="preserve">da </w:t>
      </w:r>
      <w:r>
        <w:rPr>
          <w:rFonts w:ascii="Times New Roman" w:eastAsia="Times New Roman" w:hAnsi="Times New Roman" w:cs="Times New Roman"/>
          <w:color w:val="000000"/>
          <w:spacing w:val="0"/>
          <w:w w:val="100"/>
          <w:position w:val="0"/>
          <w:shd w:val="clear" w:color="auto" w:fill="auto"/>
          <w:lang w:val="hr-HR" w:eastAsia="hr-HR" w:bidi="hr-HR"/>
        </w:rPr>
        <w:t>žara 17b, usp. Kidušin 40b; Bcrahot 7b; j Pesahim 111,7).</w:t>
      </w:r>
    </w:p>
    <w:p>
      <w:pPr>
        <w:pStyle w:val="Style20"/>
        <w:keepNext w:val="0"/>
        <w:keepLines w:val="0"/>
        <w:widowControl w:val="0"/>
        <w:numPr>
          <w:ilvl w:val="0"/>
          <w:numId w:val="611"/>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»Tko je on pred kim se čistite i tko je on tko vas čisti?« U židovstvu ipak nije posrijedi pu</w:t>
        <w:softHyphen/>
        <w:t>ka etička odluka; nijedno ispunjenje obveze nije vodilo u službu Božju bez vjere u Boga. On je uzrok, izvor života, ne samo dio: »Rabi Jošua ben Korha (oko 150) rekao je: Zašto stoji ‘Čuj, lzraele’ (Pnz 6,4-9) ispred (poglav</w:t>
        <w:softHyphen/>
        <w:t>lja 11,13-21) ‘Dogodit će se poslušate li (moje zapovijedi)?’ Kako bi se najprije preuzeo ja</w:t>
        <w:softHyphen/>
        <w:t>ram nebeskoga kraljevstva (= Božju vlast, tj. opredjeljenje za jednoga Boga) i tek nakon toga jaram zapovijedi (tj. obvezu življenja pre</w:t>
        <w:softHyphen/>
        <w:t>ma Božjim zapovijedima)« (M Berahot 11,2; usp. Mehilta lzl 15,1). Etika nije ograničena na zakone i propise; ona otkriva život čovjeka u njegovu odnosu prema Bogu: vezanost ži</w:t>
        <w:softHyphen/>
        <w:t>dovskoga života postaje njegova povezanost s Bogom. On daje čovjeku početak, što je ne</w:t>
        <w:softHyphen/>
        <w:t>shvatljivo. Čovjek ne može završiti, ali mora, prema volji Stvoritelja, početi; on može vjero</w:t>
        <w:softHyphen/>
        <w:t>vati samo ako čini ono što mora. O tome uči izreka Rabi Akive: »Spasi vas, lzraele! Tko je on pred kim se čistite i tko je on tko vas čisti? Vaš nebeski otac« (M Joma VII1,9). On ras</w:t>
        <w:softHyphen/>
        <w:t>vjetljava djelovanje čovjeka u njegovoj zbilji i istodobno u njegovoj ovisnosti o obraćanju Bogu; biblijska predaja gleda na vjeru i čin kao na jedinstvo: »Ti se dakle Bogu svojem vrati, čuvaj ljubav i pravednost i u Boga se svoga uzdaj svagda!« (Hoš 12,7; usp. Ps 37,3.34; 4,6; 25,21). Kako čovjek nije sam u onom što jest, tako nije sam ni u onom što čini.</w:t>
      </w:r>
    </w:p>
    <w:p>
      <w:pPr>
        <w:pStyle w:val="Style20"/>
        <w:keepNext w:val="0"/>
        <w:keepLines w:val="0"/>
        <w:widowControl w:val="0"/>
        <w:numPr>
          <w:ilvl w:val="0"/>
          <w:numId w:val="611"/>
        </w:numPr>
        <w:shd w:val="clear" w:color="auto" w:fill="auto"/>
        <w:tabs>
          <w:tab w:pos="274"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»Vjerovali su u ono što im je Mojsije za</w:t>
        <w:softHyphen/>
        <w:t>povjedio, dakle da djeluju«: V. ne nastaje ne</w:t>
        <w:softHyphen/>
        <w:t>očekivano i bez pripreme; prethode joj ču</w:t>
        <w:softHyphen/>
        <w:t>đenje i strahopoštovanje: »Osvjedoči se Izrael i o silnoj moći koju ON pokaza nad Egipćani- ma. Narod se poboja NJEGA i povjerova MU« (lzl 14,31). V. izrasla iz Izraelova doživljaja božanskoga »ti« u susretu s Bogom znači po</w:t>
        <w:softHyphen/>
        <w:t xml:space="preserve">uzdanje, povjerenje i vjernost: </w:t>
      </w:r>
      <w:r>
        <w:rPr>
          <w:rFonts w:ascii="Times New Roman" w:eastAsia="Times New Roman" w:hAnsi="Times New Roman" w:cs="Times New Roman"/>
          <w:i/>
          <w:iCs/>
          <w:color w:val="000000"/>
          <w:spacing w:val="0"/>
          <w:w w:val="100"/>
          <w:position w:val="0"/>
          <w:shd w:val="clear" w:color="auto" w:fill="auto"/>
          <w:lang w:val="hr-HR" w:eastAsia="hr-HR" w:bidi="hr-HR"/>
        </w:rPr>
        <w:t>emuna.</w:t>
      </w:r>
      <w:r>
        <w:rPr>
          <w:rFonts w:ascii="Times New Roman" w:eastAsia="Times New Roman" w:hAnsi="Times New Roman" w:cs="Times New Roman"/>
          <w:color w:val="000000"/>
          <w:spacing w:val="0"/>
          <w:w w:val="100"/>
          <w:position w:val="0"/>
          <w:shd w:val="clear" w:color="auto" w:fill="auto"/>
          <w:lang w:val="hr-HR" w:eastAsia="hr-HR" w:bidi="hr-HR"/>
        </w:rPr>
        <w:t xml:space="preserve"> Ona je pretpostavka pravednoga života (Ps 373; 119.30; Hab 2,4); ako je nema, pravda i socijalni red propadaju (Jr 5,1.3; 7,28; 9,2; Iz 59,4). Koliko je čvrsto ukorijenjena u uzajamnom odnosu Boga i njegova naroda, razabirc se u Midrašu: »Rabi (Jehuda ha-Nasi, 135-219, redaktor Mišne) dodaje: Bog je rekao: Povjerenje koje su mi ukazala djeca Izraelova zasigurno je vrijedno toga da sam im razdvojio more, da nisu Mojsiju rekli: Želimo se vratiti kako ne bismo slomili srce male djece i žena, nego su mi povjerovali i slijedili Mojsija« (Šcmot raba XXI, 14,16); objašnjenje lzl 15,1 glasi: »Rabi Nehemija je rekao: Izraelci su samo zbog svo</w:t>
        <w:softHyphen/>
        <w:t>jeg povjerenja imali sreću da na moru zapje</w:t>
        <w:softHyphen/>
        <w:t xml:space="preserve">vaju pjesmu... Rabi Jichak je rekao: Svi su vidjeli ono čudo koje se za njih dogodilo, nije li to u njima zacijelo probudilo povjerenje? Ne, rekao je rabin </w:t>
      </w:r>
      <w:r>
        <w:rPr>
          <w:rFonts w:ascii="Times New Roman" w:eastAsia="Times New Roman" w:hAnsi="Times New Roman" w:cs="Times New Roman"/>
          <w:color w:val="000000"/>
          <w:spacing w:val="0"/>
          <w:w w:val="100"/>
          <w:position w:val="0"/>
          <w:shd w:val="clear" w:color="auto" w:fill="auto"/>
          <w:lang w:val="en-US" w:eastAsia="en-US" w:bidi="en-US"/>
        </w:rPr>
        <w:t xml:space="preserve">Simeon </w:t>
      </w:r>
      <w:r>
        <w:rPr>
          <w:rFonts w:ascii="Times New Roman" w:eastAsia="Times New Roman" w:hAnsi="Times New Roman" w:cs="Times New Roman"/>
          <w:color w:val="000000"/>
          <w:spacing w:val="0"/>
          <w:w w:val="100"/>
          <w:position w:val="0"/>
          <w:shd w:val="clear" w:color="auto" w:fill="auto"/>
          <w:lang w:val="hr-HR" w:eastAsia="hr-HR" w:bidi="hr-HR"/>
        </w:rPr>
        <w:t>ben Aba, zbog po</w:t>
        <w:softHyphen/>
        <w:t xml:space="preserve">vjerenja što ga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dokazao Bogu (Post 15,6)...zbog te zasluge Izraelci su bili tako sretni da na moru zapjevaju pjesmu«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XXIII,15,1). Ovdje se izražava živa svi</w:t>
        <w:softHyphen/>
        <w:t>jest pripadnosti Jednome, koji od čovjeka može tražiti odluku: »Izraelci... povjerovali su onomu što im je Mojsije zapovjedio, dakle da djeluju« (Mehilta lzl 17,11); Mišna te riječi nadomješta ovim riječima: »Dali su srce nebe</w:t>
        <w:softHyphen/>
        <w:t>skom ocu u svojinu« (Roš ha-šana 111,8) i time stvorili vezu vjere (povjerenja) i vjerskog po</w:t>
        <w:softHyphen/>
        <w:t>sluha zapovjedničkom Bogu kako su to raz</w:t>
        <w:softHyphen/>
        <w:t>ložili mudraci u svojem nauku o kavani (»misli/odnosno srce usmjerili prema Bogu«, tj. u posluhu Božje riječi, M Menahot XIII,11; Bcrahot VI,1; b 17a; 30b) ili li-šmah (»za volju Božju činiti nešto«, M Avot 11,12; b Berahot 17a).</w:t>
      </w:r>
    </w:p>
    <w:p>
      <w:pPr>
        <w:pStyle w:val="Style56"/>
        <w:keepNext w:val="0"/>
        <w:keepLines w:val="0"/>
        <w:widowControl w:val="0"/>
        <w:shd w:val="clear" w:color="auto" w:fill="auto"/>
        <w:tabs>
          <w:tab w:pos="2414" w:val="left"/>
        </w:tabs>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L. </w:t>
      </w:r>
      <w:r>
        <w:rPr>
          <w:color w:val="000000"/>
          <w:spacing w:val="0"/>
          <w:w w:val="100"/>
          <w:position w:val="0"/>
          <w:shd w:val="clear" w:color="auto" w:fill="auto"/>
        </w:rPr>
        <w:t xml:space="preserve">Baeck, </w:t>
      </w:r>
      <w:r>
        <w:rPr>
          <w:i/>
          <w:iCs/>
          <w:color w:val="000000"/>
          <w:spacing w:val="0"/>
          <w:w w:val="100"/>
          <w:position w:val="0"/>
          <w:shd w:val="clear" w:color="auto" w:fill="auto"/>
        </w:rPr>
        <w:t>Das Wesen des Judentums,</w:t>
      </w:r>
      <w:r>
        <w:rPr>
          <w:color w:val="000000"/>
          <w:spacing w:val="0"/>
          <w:w w:val="100"/>
          <w:position w:val="0"/>
          <w:shd w:val="clear" w:color="auto" w:fill="auto"/>
        </w:rPr>
        <w:t xml:space="preserve"> 1905, </w:t>
      </w:r>
      <w:r>
        <w:rPr>
          <w:color w:val="000000"/>
          <w:spacing w:val="0"/>
          <w:w w:val="100"/>
          <w:position w:val="0"/>
          <w:shd w:val="clear" w:color="auto" w:fill="auto"/>
          <w:vertAlign w:val="superscript"/>
        </w:rPr>
        <w:t>6</w:t>
      </w:r>
      <w:r>
        <w:rPr>
          <w:color w:val="000000"/>
          <w:spacing w:val="0"/>
          <w:w w:val="100"/>
          <w:position w:val="0"/>
          <w:shd w:val="clear" w:color="auto" w:fill="auto"/>
        </w:rPr>
        <w:t xml:space="preserve">1960: M. Buber, </w:t>
      </w:r>
      <w:r>
        <w:rPr>
          <w:i/>
          <w:iCs/>
          <w:color w:val="000000"/>
          <w:spacing w:val="0"/>
          <w:w w:val="100"/>
          <w:position w:val="0"/>
          <w:shd w:val="clear" w:color="auto" w:fill="auto"/>
        </w:rPr>
        <w:t>Kampf um Israel. Reden und Sehriften 1921-32,</w:t>
      </w:r>
      <w:r>
        <w:rPr>
          <w:color w:val="000000"/>
          <w:spacing w:val="0"/>
          <w:w w:val="100"/>
          <w:position w:val="0"/>
          <w:shd w:val="clear" w:color="auto" w:fill="auto"/>
        </w:rPr>
        <w:t xml:space="preserve"> 1933, 29-49; </w:t>
      </w:r>
      <w:r>
        <w:rPr>
          <w:color w:val="000000"/>
          <w:spacing w:val="0"/>
          <w:w w:val="100"/>
          <w:position w:val="0"/>
          <w:shd w:val="clear" w:color="auto" w:fill="auto"/>
          <w:lang w:val="hr-HR" w:eastAsia="hr-HR" w:bidi="hr-HR"/>
        </w:rPr>
        <w:t>isti,</w:t>
      </w:r>
      <w:r>
        <w:rPr>
          <w:color w:val="000000"/>
          <w:spacing w:val="0"/>
          <w:w w:val="100"/>
          <w:position w:val="0"/>
          <w:shd w:val="clear" w:color="auto" w:fill="auto"/>
        </w:rPr>
        <w:t xml:space="preserve">ZwciGlaubcnsv/eisen.u: </w:t>
      </w:r>
      <w:r>
        <w:rPr>
          <w:i/>
          <w:iCs/>
          <w:color w:val="000000"/>
          <w:spacing w:val="0"/>
          <w:w w:val="100"/>
          <w:position w:val="0"/>
          <w:shd w:val="clear" w:color="auto" w:fill="auto"/>
        </w:rPr>
        <w:t>Werkel,</w:t>
      </w:r>
      <w:r>
        <w:rPr>
          <w:color w:val="000000"/>
          <w:spacing w:val="0"/>
          <w:w w:val="100"/>
          <w:position w:val="0"/>
          <w:shd w:val="clear" w:color="auto" w:fill="auto"/>
        </w:rPr>
        <w:t xml:space="preserve"> 1962.651-782: A. J. Hcschcl. </w:t>
      </w:r>
      <w:r>
        <w:rPr>
          <w:i/>
          <w:iCs/>
          <w:color w:val="000000"/>
          <w:spacing w:val="0"/>
          <w:w w:val="100"/>
          <w:position w:val="0"/>
          <w:shd w:val="clear" w:color="auto" w:fill="auto"/>
        </w:rPr>
        <w:t>Gott sucht den Mensehen,</w:t>
      </w:r>
      <w:r>
        <w:rPr>
          <w:color w:val="000000"/>
          <w:spacing w:val="0"/>
          <w:w w:val="100"/>
          <w:position w:val="0"/>
          <w:shd w:val="clear" w:color="auto" w:fill="auto"/>
        </w:rPr>
        <w:t xml:space="preserve"> 1980. 115 i &lt;1.. 191 i &lt;1., 226 </w:t>
      </w:r>
      <w:r>
        <w:rPr>
          <w:color w:val="000000"/>
          <w:spacing w:val="0"/>
          <w:w w:val="100"/>
          <w:position w:val="0"/>
          <w:shd w:val="clear" w:color="auto" w:fill="auto"/>
          <w:lang w:val="hr-HR" w:eastAsia="hr-HR" w:bidi="hr-HR"/>
        </w:rPr>
        <w:t xml:space="preserve">i </w:t>
      </w:r>
      <w:r>
        <w:rPr>
          <w:color w:val="000000"/>
          <w:spacing w:val="0"/>
          <w:w w:val="100"/>
          <w:position w:val="0"/>
          <w:shd w:val="clear" w:color="auto" w:fill="auto"/>
        </w:rPr>
        <w:t xml:space="preserve">d.; H. L. Strack/P. Billcrbeck, </w:t>
      </w:r>
      <w:r>
        <w:rPr>
          <w:i/>
          <w:iCs/>
          <w:color w:val="000000"/>
          <w:spacing w:val="0"/>
          <w:w w:val="100"/>
          <w:position w:val="0"/>
          <w:shd w:val="clear" w:color="auto" w:fill="auto"/>
        </w:rPr>
        <w:t>Kommentar sum Neuen Testament aus Talmud und Midrasch 111,</w:t>
      </w:r>
      <w:r>
        <w:rPr>
          <w:color w:val="000000"/>
          <w:spacing w:val="0"/>
          <w:w w:val="100"/>
          <w:position w:val="0"/>
          <w:shd w:val="clear" w:color="auto" w:fill="auto"/>
        </w:rPr>
        <w:t xml:space="preserve"> 1926? 1979, 187-201.</w:t>
        <w:tab/>
        <w:t>I5.VE7TER</w:t>
      </w:r>
    </w:p>
    <w:p>
      <w:pPr>
        <w:pStyle w:val="Style63"/>
        <w:keepNext/>
        <w:keepLines/>
        <w:widowControl w:val="0"/>
        <w:numPr>
          <w:ilvl w:val="0"/>
          <w:numId w:val="609"/>
        </w:numPr>
        <w:shd w:val="clear" w:color="auto" w:fill="auto"/>
        <w:tabs>
          <w:tab w:pos="255" w:val="left"/>
        </w:tabs>
        <w:bidi w:val="0"/>
        <w:spacing w:before="0" w:line="223" w:lineRule="auto"/>
        <w:ind w:left="0" w:right="0" w:firstLine="0"/>
        <w:jc w:val="both"/>
      </w:pPr>
      <w:bookmarkStart w:id="389" w:name="bookmark389"/>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8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Vjeru treba razlikovati od znanja, kratko re</w:t>
        <w:softHyphen/>
        <w:t xml:space="preserve">čeno: V. se svjedoči, a znanje dokazuje. (U novije vrijeme) čak i predstavnici marksizma- -lenjinizma, svjesnog ateizma, shvaćaju vjeru kao stvaralački čin svijesti </w:t>
      </w:r>
      <w:r>
        <w:rPr>
          <w:rFonts w:ascii="Times New Roman" w:eastAsia="Times New Roman" w:hAnsi="Times New Roman" w:cs="Times New Roman"/>
          <w:color w:val="000000"/>
          <w:spacing w:val="0"/>
          <w:w w:val="100"/>
          <w:position w:val="0"/>
          <w:shd w:val="clear" w:color="auto" w:fill="auto"/>
          <w:lang w:val="en-US" w:eastAsia="en-US" w:bidi="en-US"/>
        </w:rPr>
        <w:t xml:space="preserve">(W. </w:t>
      </w:r>
      <w:r>
        <w:rPr>
          <w:rFonts w:ascii="Times New Roman" w:eastAsia="Times New Roman" w:hAnsi="Times New Roman" w:cs="Times New Roman"/>
          <w:color w:val="000000"/>
          <w:spacing w:val="0"/>
          <w:w w:val="100"/>
          <w:position w:val="0"/>
          <w:shd w:val="clear" w:color="auto" w:fill="auto"/>
          <w:lang w:val="hr-HR" w:eastAsia="hr-HR" w:bidi="hr-HR"/>
        </w:rPr>
        <w:t>I. Schinkaruk). Dok se ova v. odnosi na prikrivene moguć</w:t>
        <w:softHyphen/>
        <w:t>nosti unutarsvjetske budućnosti, dotle se »fi</w:t>
        <w:softHyphen/>
        <w:t xml:space="preserve">lozofska v.« (K. </w:t>
      </w:r>
      <w:r>
        <w:rPr>
          <w:rFonts w:ascii="Times New Roman" w:eastAsia="Times New Roman" w:hAnsi="Times New Roman" w:cs="Times New Roman"/>
          <w:color w:val="000000"/>
          <w:spacing w:val="0"/>
          <w:w w:val="100"/>
          <w:position w:val="0"/>
          <w:shd w:val="clear" w:color="auto" w:fill="auto"/>
          <w:lang w:val="en-US" w:eastAsia="en-US" w:bidi="en-US"/>
        </w:rPr>
        <w:t xml:space="preserve">Jaspers) </w:t>
      </w:r>
      <w:r>
        <w:rPr>
          <w:rFonts w:ascii="Times New Roman" w:eastAsia="Times New Roman" w:hAnsi="Times New Roman" w:cs="Times New Roman"/>
          <w:color w:val="000000"/>
          <w:spacing w:val="0"/>
          <w:w w:val="100"/>
          <w:position w:val="0"/>
          <w:shd w:val="clear" w:color="auto" w:fill="auto"/>
          <w:lang w:val="hr-HR" w:eastAsia="hr-HR" w:bidi="hr-HR"/>
        </w:rPr>
        <w:t>ili razumska v. (I. Kant) usmjerava na Boga. U teologiji sadaš</w:t>
        <w:softHyphen/>
        <w:t xml:space="preserve">njosti vjeri se više no ikada pridaje središnje značenje. Filozofsko </w:t>
      </w:r>
      <w:r>
        <w:rPr>
          <w:rFonts w:ascii="Times New Roman" w:eastAsia="Times New Roman" w:hAnsi="Times New Roman" w:cs="Times New Roman"/>
          <w:color w:val="000000"/>
          <w:spacing w:val="0"/>
          <w:w w:val="100"/>
          <w:position w:val="0"/>
          <w:shd w:val="clear" w:color="auto" w:fill="auto"/>
          <w:lang w:val="en-US" w:eastAsia="en-US" w:bidi="en-US"/>
        </w:rPr>
        <w:t xml:space="preserve">(Jaspers, Marcel, Buber, Wust) </w:t>
      </w:r>
      <w:r>
        <w:rPr>
          <w:rFonts w:ascii="Times New Roman" w:eastAsia="Times New Roman" w:hAnsi="Times New Roman" w:cs="Times New Roman"/>
          <w:color w:val="000000"/>
          <w:spacing w:val="0"/>
          <w:w w:val="100"/>
          <w:position w:val="0"/>
          <w:shd w:val="clear" w:color="auto" w:fill="auto"/>
          <w:lang w:val="hr-HR" w:eastAsia="hr-HR" w:bidi="hr-HR"/>
        </w:rPr>
        <w:t>i teološko promišljanje djeluju zajedno u pokušaju da razrade vlastitu vrijednost i osobitost vjere i vjerske spoznaje (usp. M. Seckler). Svako je religiozno uvjerenje, kao u širem smislu v. u Boga, slobodna moralno značajna odluka.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Specifično </w:t>
      </w:r>
      <w:r>
        <w:rPr>
          <w:rFonts w:ascii="Times New Roman" w:eastAsia="Times New Roman" w:hAnsi="Times New Roman" w:cs="Times New Roman"/>
          <w:i/>
          <w:iCs/>
          <w:color w:val="000000"/>
          <w:spacing w:val="0"/>
          <w:w w:val="100"/>
          <w:position w:val="0"/>
          <w:shd w:val="clear" w:color="auto" w:fill="auto"/>
          <w:lang w:val="hr-HR" w:eastAsia="hr-HR" w:bidi="hr-HR"/>
        </w:rPr>
        <w:t>kršćanski oblik</w:t>
      </w:r>
      <w:r>
        <w:rPr>
          <w:rFonts w:ascii="Times New Roman" w:eastAsia="Times New Roman" w:hAnsi="Times New Roman" w:cs="Times New Roman"/>
          <w:color w:val="000000"/>
          <w:spacing w:val="0"/>
          <w:w w:val="100"/>
          <w:position w:val="0"/>
          <w:shd w:val="clear" w:color="auto" w:fill="auto"/>
          <w:lang w:val="hr-HR" w:eastAsia="hr-HR" w:bidi="hr-HR"/>
        </w:rPr>
        <w:t xml:space="preserve"> vjere oblikuje sc u NZ i znači čovjekovo radikalno preuzimanje vlastite odgovornosti prema Bogu koji se ob</w:t>
        <w:softHyphen/>
        <w:t>javljuje u povijesti. Iako se iz cjelokupnog držanja kršćanina prema Bogu v. ističe kao način spoznaje, ona ipak nije izolirani čin, ne</w:t>
        <w:softHyphen/>
        <w:t>go osobni odgovor Bogu koji poziva. V., pre</w:t>
        <w:softHyphen/>
        <w:t>ma tomu, obuhvaća u sebi držanje za istinito i osluškivanje, unutarnji pristanak i vanjsko pri</w:t>
        <w:softHyphen/>
        <w:t>znavanje, povjerenje u spasonosnoga Boga i nadu u konačno spasenje (usp. R. Schnackcn- burg).Vjeru omogućuje milost (Rim 8,29; 9,6 i d.) i ona se može razumjeti samo iz cjeline nadnaravnoga bogatog darivanja. Po kršćan</w:t>
        <w:softHyphen/>
        <w:t xml:space="preserve">skom shvaćanju v. je »osobno </w:t>
      </w:r>
      <w:r>
        <w:rPr>
          <w:rFonts w:ascii="Times New Roman" w:eastAsia="Times New Roman" w:hAnsi="Times New Roman" w:cs="Times New Roman"/>
          <w:i/>
          <w:iCs/>
          <w:color w:val="000000"/>
          <w:spacing w:val="0"/>
          <w:w w:val="100"/>
          <w:position w:val="0"/>
          <w:shd w:val="clear" w:color="auto" w:fill="auto"/>
          <w:lang w:val="hr-HR" w:eastAsia="hr-HR" w:bidi="hr-HR"/>
        </w:rPr>
        <w:t>slobodan</w:t>
      </w:r>
      <w:r>
        <w:rPr>
          <w:rFonts w:ascii="Times New Roman" w:eastAsia="Times New Roman" w:hAnsi="Times New Roman" w:cs="Times New Roman"/>
          <w:color w:val="000000"/>
          <w:spacing w:val="0"/>
          <w:w w:val="100"/>
          <w:position w:val="0"/>
          <w:shd w:val="clear" w:color="auto" w:fill="auto"/>
          <w:lang w:val="hr-HR" w:eastAsia="hr-HR" w:bidi="hr-HR"/>
        </w:rPr>
        <w:t xml:space="preserve"> pris</w:t>
        <w:softHyphen/>
        <w:t xml:space="preserve">tanak subjekta koji vjeruje«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na jedinstven Božji čin spasenja u Isusu Kristu. To osobno viđenje vjere razumijeva kod čo</w:t>
        <w:softHyphen/>
        <w:t>vjeka kao osobe udio intelekta i volje, pola</w:t>
        <w:softHyphen/>
        <w:t>zeći od totaliteta osobnog odgovora, a na Božjoj strani čin objave kao priopćavanje is</w:t>
        <w:softHyphen/>
        <w:t>tine ne izolira od njegove božanske inicijative koja vodi punini spasenja (visio bcatifica). Sve tajne vjere okupljaju sc oko Kristova otajstva i Trojstva, što znači da je v. kristološka i trini- tarna. No v. nema samo osobnu nego također i društvenu strukturu; Bog objave manifestira se u zajedništvu vjernika, u Crkvi (usp. J. Triitsch; M. Seckler).</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se shvaćanje vjere povijesno razvijalo. Na</w:t>
        <w:softHyphen/>
        <w:t xml:space="preserve">sljedovanje </w:t>
      </w:r>
      <w:r>
        <w:rPr>
          <w:rFonts w:ascii="Times New Roman" w:eastAsia="Times New Roman" w:hAnsi="Times New Roman" w:cs="Times New Roman"/>
          <w:i/>
          <w:iCs/>
          <w:color w:val="000000"/>
          <w:spacing w:val="0"/>
          <w:w w:val="100"/>
          <w:position w:val="0"/>
          <w:shd w:val="clear" w:color="auto" w:fill="auto"/>
          <w:lang w:val="hr-HR" w:eastAsia="hr-HR" w:bidi="hr-HR"/>
        </w:rPr>
        <w:t>učenika</w:t>
      </w:r>
      <w:r>
        <w:rPr>
          <w:rFonts w:ascii="Times New Roman" w:eastAsia="Times New Roman" w:hAnsi="Times New Roman" w:cs="Times New Roman"/>
          <w:color w:val="000000"/>
          <w:spacing w:val="0"/>
          <w:w w:val="100"/>
          <w:position w:val="0"/>
          <w:shd w:val="clear" w:color="auto" w:fill="auto"/>
          <w:lang w:val="hr-HR" w:eastAsia="hr-HR" w:bidi="hr-HR"/>
        </w:rPr>
        <w:t xml:space="preserve"> pretpostavlja vjeru i zah</w:t>
        <w:softHyphen/>
        <w:t xml:space="preserve">tijeva pristajanje uz Isusa. U odnosu na taj problem valja uzeti u obzir rezultate »učene </w:t>
      </w:r>
      <w:r>
        <w:rPr>
          <w:rFonts w:ascii="Times New Roman" w:eastAsia="Times New Roman" w:hAnsi="Times New Roman" w:cs="Times New Roman"/>
          <w:color w:val="000000"/>
          <w:spacing w:val="0"/>
          <w:w w:val="100"/>
          <w:position w:val="0"/>
          <w:shd w:val="clear" w:color="auto" w:fill="auto"/>
          <w:lang w:val="hr-HR" w:eastAsia="hr-HR" w:bidi="hr-HR"/>
        </w:rPr>
        <w:t xml:space="preserve">egzegeze«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Ovdje ćemo sc za</w:t>
        <w:softHyphen/>
        <w:t>držati samo na sržnim tezama: V. je osobna v. u Isusa (Iv 2,11; 3,16; 6,31; 7,13; Lk 12,8 par.). Isus je nositelj ali i sadržaj poruke o kraljev</w:t>
        <w:softHyphen/>
        <w:t xml:space="preserve">stvu Božjem koje je »nerazrješivo povezano s njegovom osobom«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Po svom sa- morazumijevanju Isus je već kao preduskrsni »poslanik koji u svojim riječima i djelima do</w:t>
        <w:softHyphen/>
        <w:t xml:space="preserve">ziva kraljevstvo Božje kakva ovdje prije nije bilo, a kakvo je ovdje </w:t>
      </w:r>
      <w:r>
        <w:rPr>
          <w:rFonts w:ascii="Times New Roman" w:eastAsia="Times New Roman" w:hAnsi="Times New Roman" w:cs="Times New Roman"/>
          <w:i/>
          <w:iCs/>
          <w:color w:val="000000"/>
          <w:spacing w:val="0"/>
          <w:w w:val="100"/>
          <w:position w:val="0"/>
          <w:shd w:val="clear" w:color="auto" w:fill="auto"/>
          <w:lang w:val="hr-HR" w:eastAsia="hr-HR" w:bidi="hr-HR"/>
        </w:rPr>
        <w:t>po</w:t>
      </w:r>
      <w:r>
        <w:rPr>
          <w:rFonts w:ascii="Times New Roman" w:eastAsia="Times New Roman" w:hAnsi="Times New Roman" w:cs="Times New Roman"/>
          <w:color w:val="000000"/>
          <w:spacing w:val="0"/>
          <w:w w:val="100"/>
          <w:position w:val="0"/>
          <w:shd w:val="clear" w:color="auto" w:fill="auto"/>
          <w:lang w:val="hr-HR" w:eastAsia="hr-HR" w:bidi="hr-HR"/>
        </w:rPr>
        <w:t xml:space="preserve"> njemu i </w:t>
      </w:r>
      <w:r>
        <w:rPr>
          <w:rFonts w:ascii="Times New Roman" w:eastAsia="Times New Roman" w:hAnsi="Times New Roman" w:cs="Times New Roman"/>
          <w:i/>
          <w:iCs/>
          <w:color w:val="000000"/>
          <w:spacing w:val="0"/>
          <w:w w:val="100"/>
          <w:position w:val="0"/>
          <w:shd w:val="clear" w:color="auto" w:fill="auto"/>
          <w:lang w:val="hr-HR" w:eastAsia="hr-HR" w:bidi="hr-HR"/>
        </w:rPr>
        <w:t>u</w:t>
      </w:r>
      <w:r>
        <w:rPr>
          <w:rFonts w:ascii="Times New Roman" w:eastAsia="Times New Roman" w:hAnsi="Times New Roman" w:cs="Times New Roman"/>
          <w:color w:val="000000"/>
          <w:spacing w:val="0"/>
          <w:w w:val="100"/>
          <w:position w:val="0"/>
          <w:shd w:val="clear" w:color="auto" w:fill="auto"/>
          <w:lang w:val="hr-HR" w:eastAsia="hr-HR" w:bidi="hr-HR"/>
        </w:rPr>
        <w:t xml:space="preserve"> njemu«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Isus do smrti zadržava jedinstveno pravo na identičnost svoje poruke sa svojom osobom. Isusova smrt na križu bila je uvijek kamen spoticanja. No Isusova sc smrt ne smi</w:t>
        <w:softHyphen/>
        <w:t>je ocjenjivati kao njegova propast (Iv 13,1; 15,13) nego kao njegova dosljedno održana ljubav, Božja ljubav prema nama ljudima. U križu Isusa Krista Božji je bezdan objavljen kao bezdan vječne ljubavi. No bez posvje- dočenog Isusova uskrsnuća (1 Kor 15,14; Gal 2,20) bila bi v. u njega »beznadno i neuteme</w:t>
        <w:softHyphen/>
        <w:t>ljeno držanje uz nekoga kojega više nema«, a nada u vlastito uskrsnuće (1 Kor 15,22) i »vječni život s Kristom (1 Sol 4,17) bila bi uzaludna« (L. Hagemann). Tek Isusovom smr</w:t>
        <w:softHyphen/>
        <w:t xml:space="preserve">ću i uskrsnućem povezanost njegove osobe i poruke dobiva svoju »krajnju radikalnost u sebi iza nas« (K. </w:t>
      </w:r>
      <w:r>
        <w:rPr>
          <w:rFonts w:ascii="Times New Roman" w:eastAsia="Times New Roman" w:hAnsi="Times New Roman" w:cs="Times New Roman"/>
          <w:color w:val="000000"/>
          <w:spacing w:val="0"/>
          <w:w w:val="100"/>
          <w:position w:val="0"/>
          <w:shd w:val="clear" w:color="auto" w:fill="auto"/>
          <w:lang w:val="en-US" w:eastAsia="en-US" w:bidi="en-US"/>
        </w:rPr>
        <w:t xml:space="preserve">Rahner). </w:t>
      </w:r>
      <w:r>
        <w:rPr>
          <w:rFonts w:ascii="Times New Roman" w:eastAsia="Times New Roman" w:hAnsi="Times New Roman" w:cs="Times New Roman"/>
          <w:color w:val="000000"/>
          <w:spacing w:val="0"/>
          <w:w w:val="100"/>
          <w:position w:val="0"/>
          <w:shd w:val="clear" w:color="auto" w:fill="auto"/>
          <w:lang w:val="hr-HR" w:eastAsia="hr-HR" w:bidi="hr-HR"/>
        </w:rPr>
        <w:t>S »Isusom je došao čas odluke: prihvaćanje ili odbijanje« (L. Ha</w:t>
        <w:softHyphen/>
        <w:t>gemann) presudni su za čovjekovo spasenje (Mk 3,38; Mt 19,28). Isusov sinovski odnos s Ocem značajan je za sve ljude, jer je to do</w:t>
        <w:softHyphen/>
        <w:t>duše jedinstven, ali za nas primjerni Božji od</w:t>
        <w:softHyphen/>
        <w:t>nos. Za kršćanina jc Isus Krist konačna Božja objava. Kao Sin Božji on je slika i prilika Oče</w:t>
        <w:softHyphen/>
        <w:t>va (2 Kor 4,4; Kol 1,15, Heb 1,3). Tko njega vidi, vidi Oca (Iv 14,9). Bog, kako ga Isus Krist objavljuje, nije tajna bez lica koja se pri</w:t>
        <w:softHyphen/>
        <w:t>kriva nego Bog milosrđa. Bog je ljubav (1 Iv 4,8).</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Pracrkvi</w:t>
      </w:r>
      <w:r>
        <w:rPr>
          <w:rFonts w:ascii="Times New Roman" w:eastAsia="Times New Roman" w:hAnsi="Times New Roman" w:cs="Times New Roman"/>
          <w:color w:val="000000"/>
          <w:spacing w:val="0"/>
          <w:w w:val="100"/>
          <w:position w:val="0"/>
          <w:shd w:val="clear" w:color="auto" w:fill="auto"/>
          <w:lang w:val="hr-HR" w:eastAsia="hr-HR" w:bidi="hr-HR"/>
        </w:rPr>
        <w:t xml:space="preserve"> jc prihvaćanje apostolskog propo</w:t>
        <w:softHyphen/>
        <w:t>vijedanja o Kristu i spasenju odlučan trenutak za vjeru. U priključku na NZ i apostolske oce ostaje se kod temeljnoga spasenjskog znače</w:t>
        <w:softHyphen/>
        <w:t xml:space="preserve">nja vjere. Teološka refleksija ne usmjerava se prvo na strukturu čina vjere nego na poruku vjere i njezine izvore. </w:t>
      </w:r>
      <w:r>
        <w:rPr>
          <w:rFonts w:ascii="Times New Roman" w:eastAsia="Times New Roman" w:hAnsi="Times New Roman" w:cs="Times New Roman"/>
          <w:i/>
          <w:iCs/>
          <w:color w:val="000000"/>
          <w:spacing w:val="0"/>
          <w:w w:val="100"/>
          <w:position w:val="0"/>
          <w:shd w:val="clear" w:color="auto" w:fill="auto"/>
          <w:lang w:val="en-US" w:eastAsia="en-US" w:bidi="en-US"/>
        </w:rPr>
        <w:t>Augustin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se poziva na razliku u fides </w:t>
      </w:r>
      <w:r>
        <w:rPr>
          <w:rFonts w:ascii="Times New Roman" w:eastAsia="Times New Roman" w:hAnsi="Times New Roman" w:cs="Times New Roman"/>
          <w:color w:val="000000"/>
          <w:spacing w:val="0"/>
          <w:w w:val="100"/>
          <w:position w:val="0"/>
          <w:shd w:val="clear" w:color="auto" w:fill="auto"/>
          <w:lang w:val="en-US" w:eastAsia="en-US" w:bidi="en-US"/>
        </w:rPr>
        <w:t xml:space="preserve">quae </w:t>
      </w:r>
      <w:r>
        <w:rPr>
          <w:rFonts w:ascii="Times New Roman" w:eastAsia="Times New Roman" w:hAnsi="Times New Roman" w:cs="Times New Roman"/>
          <w:color w:val="000000"/>
          <w:spacing w:val="0"/>
          <w:w w:val="100"/>
          <w:position w:val="0"/>
          <w:shd w:val="clear" w:color="auto" w:fill="auto"/>
          <w:lang w:val="hr-HR" w:eastAsia="hr-HR" w:bidi="hr-HR"/>
        </w:rPr>
        <w:t xml:space="preserve">creditur (v. u objektivnom smislu) i fides </w:t>
      </w:r>
      <w:r>
        <w:rPr>
          <w:rFonts w:ascii="Times New Roman" w:eastAsia="Times New Roman" w:hAnsi="Times New Roman" w:cs="Times New Roman"/>
          <w:color w:val="000000"/>
          <w:spacing w:val="0"/>
          <w:w w:val="100"/>
          <w:position w:val="0"/>
          <w:shd w:val="clear" w:color="auto" w:fill="auto"/>
          <w:lang w:val="en-US" w:eastAsia="en-US" w:bidi="en-US"/>
        </w:rPr>
        <w:t xml:space="preserve">qua </w:t>
      </w:r>
      <w:r>
        <w:rPr>
          <w:rFonts w:ascii="Times New Roman" w:eastAsia="Times New Roman" w:hAnsi="Times New Roman" w:cs="Times New Roman"/>
          <w:color w:val="000000"/>
          <w:spacing w:val="0"/>
          <w:w w:val="100"/>
          <w:position w:val="0"/>
          <w:shd w:val="clear" w:color="auto" w:fill="auto"/>
          <w:lang w:val="hr-HR" w:eastAsia="hr-HR" w:bidi="hr-HR"/>
        </w:rPr>
        <w:t>creditur (v. u subjektivnom smislu), ali još ne postizava nikakvu »psiho</w:t>
        <w:softHyphen/>
        <w:t xml:space="preserve">lošku i spekulativnu analizu čina vjere« (M. Seckler). </w:t>
      </w:r>
      <w:r>
        <w:rPr>
          <w:rFonts w:ascii="Times New Roman" w:eastAsia="Times New Roman" w:hAnsi="Times New Roman" w:cs="Times New Roman"/>
          <w:i/>
          <w:iCs/>
          <w:color w:val="000000"/>
          <w:spacing w:val="0"/>
          <w:w w:val="100"/>
          <w:position w:val="0"/>
          <w:shd w:val="clear" w:color="auto" w:fill="auto"/>
          <w:lang w:val="hr-HR" w:eastAsia="hr-HR" w:bidi="hr-HR"/>
        </w:rPr>
        <w:t>Skolastika</w:t>
      </w:r>
      <w:r>
        <w:rPr>
          <w:rFonts w:ascii="Times New Roman" w:eastAsia="Times New Roman" w:hAnsi="Times New Roman" w:cs="Times New Roman"/>
          <w:color w:val="000000"/>
          <w:spacing w:val="0"/>
          <w:w w:val="100"/>
          <w:position w:val="0"/>
          <w:shd w:val="clear" w:color="auto" w:fill="auto"/>
          <w:lang w:val="hr-HR" w:eastAsia="hr-HR" w:bidi="hr-HR"/>
        </w:rPr>
        <w:t xml:space="preserve"> postiže obrat u težnji da </w:t>
      </w:r>
      <w:r>
        <w:rPr>
          <w:rFonts w:ascii="Times New Roman" w:eastAsia="Times New Roman" w:hAnsi="Times New Roman" w:cs="Times New Roman"/>
          <w:color w:val="000000"/>
          <w:spacing w:val="0"/>
          <w:w w:val="100"/>
          <w:position w:val="0"/>
          <w:shd w:val="clear" w:color="auto" w:fill="auto"/>
          <w:lang w:val="hr-HR" w:eastAsia="hr-HR" w:bidi="hr-HR"/>
        </w:rPr>
        <w:t>rasvijetli sadržaj vjere razumskim razlozima. Sadržaj vjere nadmašujc znanje, ali ga ne do</w:t>
        <w:softHyphen/>
        <w:t>kida. V. ostaje »uzduž i poprijeko kroz sve sustave« milosno sudjelovanje u spoznavanju Boga; čovjek susreće u vjeri »više istinu nad- vremenskoga Duha nego svjedočanstvo Boga koji postupa povijesno«. Toma Akvinski iz</w:t>
        <w:softHyphen/>
        <w:t>građuje sintezu iz onoga što su razradili nje</w:t>
        <w:softHyphen/>
        <w:t xml:space="preserve">govi prethodnici. Za </w:t>
      </w:r>
      <w:r>
        <w:rPr>
          <w:rFonts w:ascii="Times New Roman" w:eastAsia="Times New Roman" w:hAnsi="Times New Roman" w:cs="Times New Roman"/>
          <w:i/>
          <w:iCs/>
          <w:color w:val="000000"/>
          <w:spacing w:val="0"/>
          <w:w w:val="100"/>
          <w:position w:val="0"/>
          <w:shd w:val="clear" w:color="auto" w:fill="auto"/>
          <w:lang w:val="hr-HR" w:eastAsia="hr-HR" w:bidi="hr-HR"/>
        </w:rPr>
        <w:t>Lulhera</w:t>
      </w:r>
      <w:r>
        <w:rPr>
          <w:rFonts w:ascii="Times New Roman" w:eastAsia="Times New Roman" w:hAnsi="Times New Roman" w:cs="Times New Roman"/>
          <w:color w:val="000000"/>
          <w:spacing w:val="0"/>
          <w:w w:val="100"/>
          <w:position w:val="0"/>
          <w:shd w:val="clear" w:color="auto" w:fill="auto"/>
          <w:lang w:val="hr-HR" w:eastAsia="hr-HR" w:bidi="hr-HR"/>
        </w:rPr>
        <w:t xml:space="preserve"> (rcformacija) v. je »bezuvjetno pouzdano predanje (fiducia) gnjevu i milosti neshvatljivoga Boga« (M. Seckler). U </w:t>
      </w:r>
      <w:r>
        <w:rPr>
          <w:rFonts w:ascii="Times New Roman" w:eastAsia="Times New Roman" w:hAnsi="Times New Roman" w:cs="Times New Roman"/>
          <w:i/>
          <w:iCs/>
          <w:color w:val="000000"/>
          <w:spacing w:val="0"/>
          <w:w w:val="100"/>
          <w:position w:val="0"/>
          <w:shd w:val="clear" w:color="auto" w:fill="auto"/>
          <w:lang w:val="hr-HR" w:eastAsia="hr-HR" w:bidi="hr-HR"/>
        </w:rPr>
        <w:t>novom dobu</w:t>
      </w:r>
      <w:r>
        <w:rPr>
          <w:rFonts w:ascii="Times New Roman" w:eastAsia="Times New Roman" w:hAnsi="Times New Roman" w:cs="Times New Roman"/>
          <w:color w:val="000000"/>
          <w:spacing w:val="0"/>
          <w:w w:val="100"/>
          <w:position w:val="0"/>
          <w:shd w:val="clear" w:color="auto" w:fill="auto"/>
          <w:lang w:val="hr-HR" w:eastAsia="hr-HR" w:bidi="hr-HR"/>
        </w:rPr>
        <w:t xml:space="preserve"> težište se premješta na pojedinca koji vjeruje. V. se javlja kao pri</w:t>
        <w:softHyphen/>
        <w:t xml:space="preserve">znanje </w:t>
      </w:r>
      <w:r>
        <w:rPr>
          <w:rFonts w:ascii="Times New Roman" w:eastAsia="Times New Roman" w:hAnsi="Times New Roman" w:cs="Times New Roman"/>
          <w:color w:val="000000"/>
          <w:spacing w:val="0"/>
          <w:w w:val="100"/>
          <w:position w:val="0"/>
          <w:shd w:val="clear" w:color="auto" w:fill="auto"/>
          <w:lang w:val="en-US" w:eastAsia="en-US" w:bidi="en-US"/>
        </w:rPr>
        <w:t xml:space="preserve">transcendentnog </w:t>
      </w:r>
      <w:r>
        <w:rPr>
          <w:rFonts w:ascii="Times New Roman" w:eastAsia="Times New Roman" w:hAnsi="Times New Roman" w:cs="Times New Roman"/>
          <w:color w:val="000000"/>
          <w:spacing w:val="0"/>
          <w:w w:val="100"/>
          <w:position w:val="0"/>
          <w:shd w:val="clear" w:color="auto" w:fill="auto"/>
          <w:lang w:val="hr-HR" w:eastAsia="hr-HR" w:bidi="hr-HR"/>
        </w:rPr>
        <w:t>osobnog Boga. Pre</w:t>
        <w:softHyphen/>
        <w:t>ma sadašnjem shvaćanju v. ima cjelovit, oso</w:t>
        <w:softHyphen/>
        <w:t xml:space="preserve">ban i jednostavan karakter. Pa ipak, teološka refleksija može istaknuti pojedinačne aspekte i posebno ih razraditi. To, primjerice, vrijedi za spomenutu razliku u fides </w:t>
      </w:r>
      <w:r>
        <w:rPr>
          <w:rFonts w:ascii="Times New Roman" w:eastAsia="Times New Roman" w:hAnsi="Times New Roman" w:cs="Times New Roman"/>
          <w:color w:val="000000"/>
          <w:spacing w:val="0"/>
          <w:w w:val="100"/>
          <w:position w:val="0"/>
          <w:shd w:val="clear" w:color="auto" w:fill="auto"/>
          <w:lang w:val="en-US" w:eastAsia="en-US" w:bidi="en-US"/>
        </w:rPr>
        <w:t xml:space="preserve">qua </w:t>
      </w:r>
      <w:r>
        <w:rPr>
          <w:rFonts w:ascii="Times New Roman" w:eastAsia="Times New Roman" w:hAnsi="Times New Roman" w:cs="Times New Roman"/>
          <w:color w:val="000000"/>
          <w:spacing w:val="0"/>
          <w:w w:val="100"/>
          <w:position w:val="0"/>
          <w:shd w:val="clear" w:color="auto" w:fill="auto"/>
          <w:lang w:val="hr-HR" w:eastAsia="hr-HR" w:bidi="hr-HR"/>
        </w:rPr>
        <w:t xml:space="preserve">crcditur i fi- des </w:t>
      </w:r>
      <w:r>
        <w:rPr>
          <w:rFonts w:ascii="Times New Roman" w:eastAsia="Times New Roman" w:hAnsi="Times New Roman" w:cs="Times New Roman"/>
          <w:color w:val="000000"/>
          <w:spacing w:val="0"/>
          <w:w w:val="100"/>
          <w:position w:val="0"/>
          <w:shd w:val="clear" w:color="auto" w:fill="auto"/>
          <w:lang w:val="en-US" w:eastAsia="en-US" w:bidi="en-US"/>
        </w:rPr>
        <w:t xml:space="preserve">quae </w:t>
      </w:r>
      <w:r>
        <w:rPr>
          <w:rFonts w:ascii="Times New Roman" w:eastAsia="Times New Roman" w:hAnsi="Times New Roman" w:cs="Times New Roman"/>
          <w:color w:val="000000"/>
          <w:spacing w:val="0"/>
          <w:w w:val="100"/>
          <w:position w:val="0"/>
          <w:shd w:val="clear" w:color="auto" w:fill="auto"/>
          <w:lang w:val="hr-HR" w:eastAsia="hr-HR" w:bidi="hr-HR"/>
        </w:rPr>
        <w:t>creditur. Kao dva aspekta vjere tre</w:t>
        <w:softHyphen/>
        <w:t>ba također razumjeti vjeru u ‘Ti’ i vjeru ‘da je’. Jer, v. kao totalno ‘da’ Isusu Kristu: »Vjeru</w:t>
        <w:softHyphen/>
        <w:t>jem u tebe« i »vjerujem tebi« je ‘da’ osobi i obuhvaća istodobno ono što je Krist objavio kao istinu. Slično vrijedi za naglašavanje oba</w:t>
        <w:softHyphen/>
        <w:t xml:space="preserve">dvaju aspekata: </w:t>
      </w:r>
      <w:r>
        <w:rPr>
          <w:rFonts w:ascii="Times New Roman" w:eastAsia="Times New Roman" w:hAnsi="Times New Roman" w:cs="Times New Roman"/>
          <w:color w:val="000000"/>
          <w:spacing w:val="0"/>
          <w:w w:val="100"/>
          <w:position w:val="0"/>
          <w:shd w:val="clear" w:color="auto" w:fill="auto"/>
          <w:lang w:val="en-US" w:eastAsia="en-US" w:bidi="en-US"/>
        </w:rPr>
        <w:t xml:space="preserve">Tides cxistcntialis </w:t>
      </w:r>
      <w:r>
        <w:rPr>
          <w:rFonts w:ascii="Times New Roman" w:eastAsia="Times New Roman" w:hAnsi="Times New Roman" w:cs="Times New Roman"/>
          <w:color w:val="000000"/>
          <w:spacing w:val="0"/>
          <w:w w:val="100"/>
          <w:position w:val="0"/>
          <w:shd w:val="clear" w:color="auto" w:fill="auto"/>
          <w:lang w:val="hr-HR" w:eastAsia="hr-HR" w:bidi="hr-HR"/>
        </w:rPr>
        <w:t>(egzistenci</w:t>
        <w:softHyphen/>
        <w:t>jalna v.) i fides historica (povijesno-spasenjski usmjerena v.) (M. Seckler). Ovdje treba u od</w:t>
        <w:softHyphen/>
        <w:t xml:space="preserve">nosu na vjersku spoznaju ukazati na odnos metafizičkog i povijesnog shvaćanja istine koji ne treba razumijevati antitetički </w:t>
      </w:r>
      <w:r>
        <w:rPr>
          <w:rFonts w:ascii="Times New Roman" w:eastAsia="Times New Roman" w:hAnsi="Times New Roman" w:cs="Times New Roman"/>
          <w:color w:val="000000"/>
          <w:spacing w:val="0"/>
          <w:w w:val="100"/>
          <w:position w:val="0"/>
          <w:shd w:val="clear" w:color="auto" w:fill="auto"/>
          <w:lang w:val="en-US" w:eastAsia="en-US" w:bidi="en-US"/>
        </w:rPr>
        <w:t xml:space="preserve">(W. Kasper). </w:t>
      </w:r>
      <w:r>
        <w:rPr>
          <w:rFonts w:ascii="Times New Roman" w:eastAsia="Times New Roman" w:hAnsi="Times New Roman" w:cs="Times New Roman"/>
          <w:color w:val="000000"/>
          <w:spacing w:val="0"/>
          <w:w w:val="100"/>
          <w:position w:val="0"/>
          <w:shd w:val="clear" w:color="auto" w:fill="auto"/>
          <w:lang w:val="hr-HR" w:eastAsia="hr-HR" w:bidi="hr-HR"/>
        </w:rPr>
        <w:t xml:space="preserve">Prije svega valja podsjetiti na veliko značenje iskustva i to doduše kao situacijske prethodne datosti i kao spoznajnog izvora religioznog iskustva (B. </w:t>
      </w:r>
      <w:r>
        <w:rPr>
          <w:rFonts w:ascii="Times New Roman" w:eastAsia="Times New Roman" w:hAnsi="Times New Roman" w:cs="Times New Roman"/>
          <w:color w:val="000000"/>
          <w:spacing w:val="0"/>
          <w:w w:val="100"/>
          <w:position w:val="0"/>
          <w:shd w:val="clear" w:color="auto" w:fill="auto"/>
          <w:lang w:val="en-US" w:eastAsia="en-US" w:bidi="en-US"/>
        </w:rPr>
        <w:t xml:space="preserve">Wclte; </w:t>
      </w:r>
      <w:r>
        <w:rPr>
          <w:rFonts w:ascii="Times New Roman" w:eastAsia="Times New Roman" w:hAnsi="Times New Roman" w:cs="Times New Roman"/>
          <w:color w:val="000000"/>
          <w:spacing w:val="0"/>
          <w:w w:val="100"/>
          <w:position w:val="0"/>
          <w:shd w:val="clear" w:color="auto" w:fill="auto"/>
          <w:lang w:val="hr-HR" w:eastAsia="hr-HR" w:bidi="hr-HR"/>
        </w:rPr>
        <w:t xml:space="preserve">R. </w:t>
      </w:r>
      <w:r>
        <w:rPr>
          <w:rFonts w:ascii="Times New Roman" w:eastAsia="Times New Roman" w:hAnsi="Times New Roman" w:cs="Times New Roman"/>
          <w:color w:val="000000"/>
          <w:spacing w:val="0"/>
          <w:w w:val="100"/>
          <w:position w:val="0"/>
          <w:shd w:val="clear" w:color="auto" w:fill="auto"/>
          <w:lang w:val="en-US" w:eastAsia="en-US" w:bidi="en-US"/>
        </w:rPr>
        <w:t xml:space="preserve">Schaeffler). </w:t>
      </w:r>
      <w:r>
        <w:rPr>
          <w:rFonts w:ascii="Times New Roman" w:eastAsia="Times New Roman" w:hAnsi="Times New Roman" w:cs="Times New Roman"/>
          <w:color w:val="000000"/>
          <w:spacing w:val="0"/>
          <w:w w:val="100"/>
          <w:position w:val="0"/>
          <w:shd w:val="clear" w:color="auto" w:fill="auto"/>
          <w:lang w:val="hr-HR" w:eastAsia="hr-HR" w:bidi="hr-HR"/>
        </w:rPr>
        <w:t>To između ostaloga znači da, primjereno cjelovitosti vje</w:t>
        <w:softHyphen/>
        <w:t>re, nisu priznate kao značajne samo spoznaje i odluke koje su prethodile vjeri - pracambula fidei irrationabilia - nego i pretpostavke koje se temelje na iracionalnome i na onome stoje uvjetovano doživljajem - praeambula fidei ir</w:t>
        <w:softHyphen/>
        <w:t>rationabilia (J. Kentenich). Ako je kršćanska etika utemeljena na Božjoj samoobjavi, v. stvara i osnovu za ćudorednu spoznaju. Ću</w:t>
        <w:softHyphen/>
        <w:t xml:space="preserve">doredne obveze kršćanina slijede iz njegova »biti u Kristu« (H. </w:t>
      </w:r>
      <w:r>
        <w:rPr>
          <w:rFonts w:ascii="Times New Roman" w:eastAsia="Times New Roman" w:hAnsi="Times New Roman" w:cs="Times New Roman"/>
          <w:color w:val="000000"/>
          <w:spacing w:val="0"/>
          <w:w w:val="100"/>
          <w:position w:val="0"/>
          <w:shd w:val="clear" w:color="auto" w:fill="auto"/>
          <w:lang w:val="en-US" w:eastAsia="en-US" w:bidi="en-US"/>
        </w:rPr>
        <w:t xml:space="preserve">Schuster), </w:t>
      </w:r>
      <w:r>
        <w:rPr>
          <w:rFonts w:ascii="Times New Roman" w:eastAsia="Times New Roman" w:hAnsi="Times New Roman" w:cs="Times New Roman"/>
          <w:color w:val="000000"/>
          <w:spacing w:val="0"/>
          <w:w w:val="100"/>
          <w:position w:val="0"/>
          <w:shd w:val="clear" w:color="auto" w:fill="auto"/>
          <w:lang w:val="hr-HR" w:eastAsia="hr-HR" w:bidi="hr-HR"/>
        </w:rPr>
        <w:t>o čemu on zna samo u vjeri. V. je s ufanjem i ljubavlju (1 Kor 13,13; 1 Sol 1,3 i dr.) - jedna od teoloških kre</w:t>
        <w:softHyphen/>
        <w:t xml:space="preserve">posti koje imaju cilj i motivaciju neposredno u Bogu. Snagom </w:t>
      </w:r>
      <w:r>
        <w:rPr>
          <w:rFonts w:ascii="Times New Roman" w:eastAsia="Times New Roman" w:hAnsi="Times New Roman" w:cs="Times New Roman"/>
          <w:i/>
          <w:iCs/>
          <w:color w:val="000000"/>
          <w:spacing w:val="0"/>
          <w:w w:val="100"/>
          <w:position w:val="0"/>
          <w:shd w:val="clear" w:color="auto" w:fill="auto"/>
          <w:lang w:val="hr-HR" w:eastAsia="hr-HR" w:bidi="hr-HR"/>
        </w:rPr>
        <w:t>kreposti</w:t>
      </w:r>
      <w:r>
        <w:rPr>
          <w:rFonts w:ascii="Times New Roman" w:eastAsia="Times New Roman" w:hAnsi="Times New Roman" w:cs="Times New Roman"/>
          <w:color w:val="000000"/>
          <w:spacing w:val="0"/>
          <w:w w:val="100"/>
          <w:position w:val="0"/>
          <w:shd w:val="clear" w:color="auto" w:fill="auto"/>
          <w:lang w:val="hr-HR" w:eastAsia="hr-HR" w:bidi="hr-HR"/>
        </w:rPr>
        <w:t xml:space="preserve"> vjere (habitus) čovjek je kadar ispunjavati čin vjere na način koji je iste prirode kao i njemu darovano sudjelo</w:t>
        <w:softHyphen/>
      </w:r>
      <w:r>
        <w:rPr>
          <w:rFonts w:ascii="Times New Roman" w:eastAsia="Times New Roman" w:hAnsi="Times New Roman" w:cs="Times New Roman"/>
          <w:color w:val="000000"/>
          <w:spacing w:val="0"/>
          <w:w w:val="100"/>
          <w:position w:val="0"/>
          <w:shd w:val="clear" w:color="auto" w:fill="auto"/>
          <w:lang w:val="hr-HR" w:eastAsia="hr-HR" w:bidi="hr-HR"/>
        </w:rPr>
        <w:t>vanje u božanskom životu. Kršćanin smije vje</w:t>
        <w:softHyphen/>
        <w:t>rom, ufanjem i ljubavlju stajati u živoj pove</w:t>
        <w:softHyphen/>
        <w:t>zanosti sa svetim Bogom. V. je među teo</w:t>
        <w:softHyphen/>
        <w:t>loškim krepostima ona koja postavlja temelj, a nc koja dovršava. Kao sve teološke kreposti tako sc i v. kao osobna sposobnost oslanja na razvoj. Sadržajno sc v. odnosi na »pažljivog i brižnog Boga« (Mt 6,25 i d.) (M. Seckler). »1 labitus fidei« (J. Kentenich) je u svom ori</w:t>
        <w:softHyphen/>
        <w:t>ginalnom obliku v. u providnost kako se otpri</w:t>
        <w:softHyphen/>
        <w:t>like razvijala kao doprinos spiritualnoj teolo</w:t>
        <w:softHyphen/>
        <w:t>giji. Vjerom u providnost kršćanin može život</w:t>
        <w:softHyphen/>
        <w:t>nog i povijesnog Boga u svijetu spoznati kao nekim »izrazitim nadnaravnim osjetom« (J. Kentenich), pri čemu se životna povijest po</w:t>
        <w:softHyphen/>
        <w:t>jedinog čovjeka kao i povijest čovječanstva shvaća kao povijest saveza. V. u providnost povezuje sc s predanjem iz ljubavi božanskom partneru u savezu. »Tako se ujedinjuju v. i lju</w:t>
        <w:softHyphen/>
        <w:t>bav u praoblik sveljudske otvorenosti i sprem</w:t>
        <w:softHyphen/>
        <w:t>nosti« (G. M. Boli) kao što to dolazi do iz</w:t>
        <w:softHyphen/>
        <w:t>ražaja na klasičan način u Bibliji (npr. kod Marije). Boga, koji vodi Savez, ljudski partner u Savezu doživljava kao Boga Oca kojem krš- teni u Kristu pristupaju puni povjerenja. Po</w:t>
        <w:softHyphen/>
        <w:t>lazeći od Boga smisao je životne povijesti po</w:t>
        <w:softHyphen/>
        <w:t>jedinca kao i povijesti čovječanstva povratak kući; polazeći od čovjeka to je povratak kući po Isusu Kristu, »u Duhu Svetom, k Ocu« (J. Kentenich).</w:t>
      </w:r>
    </w:p>
    <w:p>
      <w:pPr>
        <w:pStyle w:val="Style56"/>
        <w:keepNext w:val="0"/>
        <w:keepLines w:val="0"/>
        <w:widowControl w:val="0"/>
        <w:shd w:val="clear" w:color="auto" w:fill="auto"/>
        <w:tabs>
          <w:tab w:pos="2222" w:val="left"/>
        </w:tabs>
        <w:bidi w:val="0"/>
        <w:spacing w:before="0" w:after="260"/>
        <w:ind w:left="0" w:right="0" w:firstLine="0"/>
        <w:jc w:val="both"/>
      </w:pPr>
      <w:r>
        <w:rPr>
          <w:color w:val="000000"/>
          <w:spacing w:val="0"/>
          <w:w w:val="100"/>
          <w:position w:val="0"/>
          <w:shd w:val="clear" w:color="auto" w:fill="auto"/>
          <w:lang w:val="hr-HR" w:eastAsia="hr-HR" w:bidi="hr-HR"/>
        </w:rPr>
        <w:t xml:space="preserve">Lit.: M. Seckler, natuknica: Glaubc, u: </w:t>
      </w:r>
      <w:r>
        <w:rPr>
          <w:b/>
          <w:bCs/>
          <w:i/>
          <w:iCs/>
          <w:color w:val="000000"/>
          <w:spacing w:val="0"/>
          <w:w w:val="100"/>
          <w:position w:val="0"/>
          <w:sz w:val="9"/>
          <w:szCs w:val="9"/>
          <w:shd w:val="clear" w:color="auto" w:fill="auto"/>
          <w:lang w:val="hr-HR" w:eastAsia="hr-HR" w:bidi="hr-HR"/>
        </w:rPr>
        <w:t>llandburh iheolo- fpscher Grundbe&amp;iffe,</w:t>
      </w:r>
      <w:r>
        <w:rPr>
          <w:color w:val="000000"/>
          <w:spacing w:val="0"/>
          <w:w w:val="100"/>
          <w:position w:val="0"/>
          <w:shd w:val="clear" w:color="auto" w:fill="auto"/>
          <w:lang w:val="hr-HR" w:eastAsia="hr-HR" w:bidi="hr-HR"/>
        </w:rPr>
        <w:t xml:space="preserve"> H. </w:t>
      </w:r>
      <w:r>
        <w:rPr>
          <w:color w:val="000000"/>
          <w:spacing w:val="0"/>
          <w:w w:val="100"/>
          <w:position w:val="0"/>
          <w:shd w:val="clear" w:color="auto" w:fill="auto"/>
        </w:rPr>
        <w:t xml:space="preserve">Fries </w:t>
      </w:r>
      <w:r>
        <w:rPr>
          <w:color w:val="000000"/>
          <w:spacing w:val="0"/>
          <w:w w:val="100"/>
          <w:position w:val="0"/>
          <w:shd w:val="clear" w:color="auto" w:fill="auto"/>
          <w:lang w:val="hr-HR" w:eastAsia="hr-HR" w:bidi="hr-HR"/>
        </w:rPr>
        <w:t xml:space="preserve">(Hrsg), Bd. t. Mundlell 1962, 528-548; Dogmatischc Konstitution </w:t>
      </w:r>
      <w:r>
        <w:rPr>
          <w:color w:val="000000"/>
          <w:spacing w:val="0"/>
          <w:w w:val="100"/>
          <w:position w:val="0"/>
          <w:shd w:val="clear" w:color="auto" w:fill="auto"/>
        </w:rPr>
        <w:t xml:space="preserve">uber die </w:t>
      </w:r>
      <w:r>
        <w:rPr>
          <w:color w:val="000000"/>
          <w:spacing w:val="0"/>
          <w:w w:val="100"/>
          <w:position w:val="0"/>
          <w:shd w:val="clear" w:color="auto" w:fill="auto"/>
          <w:lang w:val="hr-HR" w:eastAsia="hr-HR" w:bidi="hr-HR"/>
        </w:rPr>
        <w:t xml:space="preserve">gtiltliclie Offcnbarung, u: </w:t>
      </w:r>
      <w:r>
        <w:rPr>
          <w:b/>
          <w:bCs/>
          <w:i/>
          <w:iCs/>
          <w:color w:val="000000"/>
          <w:spacing w:val="0"/>
          <w:w w:val="100"/>
          <w:position w:val="0"/>
          <w:sz w:val="9"/>
          <w:szCs w:val="9"/>
          <w:shd w:val="clear" w:color="auto" w:fill="auto"/>
        </w:rPr>
        <w:t xml:space="preserve">Das Zweile </w:t>
      </w:r>
      <w:r>
        <w:rPr>
          <w:b/>
          <w:bCs/>
          <w:i/>
          <w:iCs/>
          <w:color w:val="000000"/>
          <w:spacing w:val="0"/>
          <w:w w:val="100"/>
          <w:position w:val="0"/>
          <w:sz w:val="9"/>
          <w:szCs w:val="9"/>
          <w:shd w:val="clear" w:color="auto" w:fill="auto"/>
          <w:lang w:val="hr-HR" w:eastAsia="hr-HR" w:bidi="hr-HR"/>
        </w:rPr>
        <w:t>Valikanisehe Konzil,</w:t>
      </w:r>
      <w:r>
        <w:rPr>
          <w:color w:val="000000"/>
          <w:spacing w:val="0"/>
          <w:w w:val="100"/>
          <w:position w:val="0"/>
          <w:shd w:val="clear" w:color="auto" w:fill="auto"/>
          <w:lang w:val="hr-HR" w:eastAsia="hr-HR" w:bidi="hr-HR"/>
        </w:rPr>
        <w:t xml:space="preserve"> Tcil II, </w:t>
      </w:r>
      <w:r>
        <w:rPr>
          <w:color w:val="000000"/>
          <w:spacing w:val="0"/>
          <w:w w:val="100"/>
          <w:position w:val="0"/>
          <w:shd w:val="clear" w:color="auto" w:fill="auto"/>
        </w:rPr>
        <w:t xml:space="preserve">Freiburg </w:t>
      </w:r>
      <w:r>
        <w:rPr>
          <w:color w:val="000000"/>
          <w:spacing w:val="0"/>
          <w:w w:val="100"/>
          <w:position w:val="0"/>
          <w:shd w:val="clear" w:color="auto" w:fill="auto"/>
          <w:lang w:val="hr-HR" w:eastAsia="hr-HR" w:bidi="hr-HR"/>
        </w:rPr>
        <w:t xml:space="preserve">i dr. 1967, 497-583; R. Schnackcnburg-H. Schus- tcr/J. Trutsch, natuknica: Glaubc, u: </w:t>
      </w:r>
      <w:r>
        <w:rPr>
          <w:b/>
          <w:bCs/>
          <w:i/>
          <w:iCs/>
          <w:color w:val="000000"/>
          <w:spacing w:val="0"/>
          <w:w w:val="100"/>
          <w:position w:val="0"/>
          <w:sz w:val="9"/>
          <w:szCs w:val="9"/>
          <w:shd w:val="clear" w:color="auto" w:fill="auto"/>
        </w:rPr>
        <w:t xml:space="preserve">Eexikon fur Theologie </w:t>
      </w:r>
      <w:r>
        <w:rPr>
          <w:b/>
          <w:bCs/>
          <w:i/>
          <w:iCs/>
          <w:color w:val="000000"/>
          <w:spacing w:val="0"/>
          <w:w w:val="100"/>
          <w:position w:val="0"/>
          <w:sz w:val="9"/>
          <w:szCs w:val="9"/>
          <w:shd w:val="clear" w:color="auto" w:fill="auto"/>
          <w:lang w:val="hr-HR" w:eastAsia="hr-HR" w:bidi="hr-HR"/>
        </w:rPr>
        <w:t>und Kirche.</w:t>
      </w:r>
      <w:r>
        <w:rPr>
          <w:color w:val="000000"/>
          <w:spacing w:val="0"/>
          <w:w w:val="100"/>
          <w:position w:val="0"/>
          <w:shd w:val="clear" w:color="auto" w:fill="auto"/>
          <w:lang w:val="hr-HR" w:eastAsia="hr-HR" w:bidi="hr-HR"/>
        </w:rPr>
        <w:t xml:space="preserve"> 4. Bd., </w:t>
      </w:r>
      <w:r>
        <w:rPr>
          <w:color w:val="000000"/>
          <w:spacing w:val="0"/>
          <w:w w:val="100"/>
          <w:position w:val="0"/>
          <w:shd w:val="clear" w:color="auto" w:fill="auto"/>
        </w:rPr>
        <w:t xml:space="preserve">Freiburg </w:t>
      </w:r>
      <w:r>
        <w:rPr>
          <w:color w:val="000000"/>
          <w:spacing w:val="0"/>
          <w:w w:val="100"/>
          <w:position w:val="0"/>
          <w:shd w:val="clear" w:color="auto" w:fill="auto"/>
          <w:vertAlign w:val="superscript"/>
          <w:lang w:val="hr-HR" w:eastAsia="hr-HR" w:bidi="hr-HR"/>
        </w:rPr>
        <w:t>Z</w:t>
      </w:r>
      <w:r>
        <w:rPr>
          <w:color w:val="000000"/>
          <w:spacing w:val="0"/>
          <w:w w:val="100"/>
          <w:position w:val="0"/>
          <w:shd w:val="clear" w:color="auto" w:fill="auto"/>
          <w:lang w:val="hr-HR" w:eastAsia="hr-HR" w:bidi="hr-HR"/>
        </w:rPr>
        <w:t xml:space="preserve">I968, 913-931; </w:t>
      </w:r>
      <w:r>
        <w:rPr>
          <w:color w:val="000000"/>
          <w:spacing w:val="0"/>
          <w:w w:val="100"/>
          <w:position w:val="0"/>
          <w:shd w:val="clear" w:color="auto" w:fill="auto"/>
        </w:rPr>
        <w:t xml:space="preserve">W. Kasper. </w:t>
      </w:r>
      <w:r>
        <w:rPr>
          <w:b/>
          <w:bCs/>
          <w:i/>
          <w:iCs/>
          <w:color w:val="000000"/>
          <w:spacing w:val="0"/>
          <w:w w:val="100"/>
          <w:position w:val="0"/>
          <w:sz w:val="9"/>
          <w:szCs w:val="9"/>
          <w:shd w:val="clear" w:color="auto" w:fill="auto"/>
        </w:rPr>
        <w:t>Einfilhrung in den Glaiiben,</w:t>
      </w:r>
      <w:r>
        <w:rPr>
          <w:color w:val="000000"/>
          <w:spacing w:val="0"/>
          <w:w w:val="100"/>
          <w:position w:val="0"/>
          <w:shd w:val="clear" w:color="auto" w:fill="auto"/>
        </w:rPr>
        <w:t xml:space="preserve"> Mainz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1972; J. Kentenich. </w:t>
      </w:r>
      <w:r>
        <w:rPr>
          <w:color w:val="000000"/>
          <w:spacing w:val="0"/>
          <w:w w:val="100"/>
          <w:position w:val="0"/>
          <w:shd w:val="clear" w:color="auto" w:fill="auto"/>
        </w:rPr>
        <w:t xml:space="preserve">Schlussel </w:t>
      </w:r>
      <w:r>
        <w:rPr>
          <w:color w:val="000000"/>
          <w:spacing w:val="0"/>
          <w:w w:val="100"/>
          <w:position w:val="0"/>
          <w:shd w:val="clear" w:color="auto" w:fill="auto"/>
          <w:lang w:val="hr-HR" w:eastAsia="hr-HR" w:bidi="hr-HR"/>
        </w:rPr>
        <w:t xml:space="preserve">zum Vcrstandnis Schćnstatts, u: </w:t>
      </w:r>
      <w:r>
        <w:rPr>
          <w:b/>
          <w:bCs/>
          <w:i/>
          <w:iCs/>
          <w:color w:val="000000"/>
          <w:spacing w:val="0"/>
          <w:w w:val="100"/>
          <w:position w:val="0"/>
          <w:sz w:val="9"/>
          <w:szCs w:val="9"/>
          <w:shd w:val="clear" w:color="auto" w:fill="auto"/>
          <w:lang w:val="hr-HR" w:eastAsia="hr-HR" w:bidi="hr-HR"/>
        </w:rPr>
        <w:t>Tene</w:t>
      </w:r>
      <w:r>
        <w:rPr>
          <w:color w:val="000000"/>
          <w:spacing w:val="0"/>
          <w:w w:val="100"/>
          <w:position w:val="0"/>
          <w:shd w:val="clear" w:color="auto" w:fill="auto"/>
          <w:lang w:val="hr-HR" w:eastAsia="hr-HR" w:bidi="hr-HR"/>
        </w:rPr>
        <w:t xml:space="preserve"> zinn </w:t>
      </w:r>
      <w:r>
        <w:rPr>
          <w:b/>
          <w:bCs/>
          <w:i/>
          <w:iCs/>
          <w:color w:val="000000"/>
          <w:spacing w:val="0"/>
          <w:w w:val="100"/>
          <w:position w:val="0"/>
          <w:sz w:val="9"/>
          <w:szCs w:val="9"/>
          <w:shd w:val="clear" w:color="auto" w:fill="auto"/>
          <w:lang w:val="hr-HR" w:eastAsia="hr-HR" w:bidi="hr-HR"/>
        </w:rPr>
        <w:t>Ver- slandnis Schbnslalts,</w:t>
      </w:r>
      <w:r>
        <w:rPr>
          <w:color w:val="000000"/>
          <w:spacing w:val="0"/>
          <w:w w:val="100"/>
          <w:position w:val="0"/>
          <w:shd w:val="clear" w:color="auto" w:fill="auto"/>
          <w:lang w:val="hr-HR" w:eastAsia="hr-HR" w:bidi="hr-HR"/>
        </w:rPr>
        <w:t xml:space="preserve"> G. M. Boli (Hrsg.), </w:t>
      </w:r>
      <w:r>
        <w:rPr>
          <w:b/>
          <w:bCs/>
          <w:i/>
          <w:iCs/>
          <w:color w:val="000000"/>
          <w:spacing w:val="0"/>
          <w:w w:val="100"/>
          <w:position w:val="0"/>
          <w:sz w:val="9"/>
          <w:szCs w:val="9"/>
          <w:shd w:val="clear" w:color="auto" w:fill="auto"/>
          <w:lang w:val="hr-HR" w:eastAsia="hr-HR" w:bidi="hr-HR"/>
        </w:rPr>
        <w:t>Vullendar-Schdn- nali</w:t>
      </w:r>
      <w:r>
        <w:rPr>
          <w:color w:val="000000"/>
          <w:spacing w:val="0"/>
          <w:w w:val="100"/>
          <w:position w:val="0"/>
          <w:shd w:val="clear" w:color="auto" w:fill="auto"/>
          <w:lang w:val="hr-HR" w:eastAsia="hr-HR" w:bidi="hr-HR"/>
        </w:rPr>
        <w:t xml:space="preserve"> (1951) 1974. 148-228; K. </w:t>
      </w:r>
      <w:r>
        <w:rPr>
          <w:color w:val="000000"/>
          <w:spacing w:val="0"/>
          <w:w w:val="100"/>
          <w:position w:val="0"/>
          <w:shd w:val="clear" w:color="auto" w:fill="auto"/>
        </w:rPr>
        <w:t xml:space="preserve">Rahner, </w:t>
      </w:r>
      <w:r>
        <w:rPr>
          <w:b/>
          <w:bCs/>
          <w:i/>
          <w:iCs/>
          <w:color w:val="000000"/>
          <w:spacing w:val="0"/>
          <w:w w:val="100"/>
          <w:position w:val="0"/>
          <w:sz w:val="9"/>
          <w:szCs w:val="9"/>
          <w:shd w:val="clear" w:color="auto" w:fill="auto"/>
          <w:lang w:val="hr-HR" w:eastAsia="hr-HR" w:bidi="hr-HR"/>
        </w:rPr>
        <w:t xml:space="preserve">Grunđkurs des Ginu </w:t>
      </w:r>
      <w:r>
        <w:rPr>
          <w:b/>
          <w:bCs/>
          <w:i/>
          <w:iCs/>
          <w:color w:val="000000"/>
          <w:spacing w:val="0"/>
          <w:w w:val="100"/>
          <w:position w:val="0"/>
          <w:sz w:val="9"/>
          <w:szCs w:val="9"/>
          <w:shd w:val="clear" w:color="auto" w:fill="auto"/>
        </w:rPr>
        <w:t>bens. Einflihrung in den Begriff des Chrisleiilunu,</w:t>
      </w:r>
      <w:r>
        <w:rPr>
          <w:color w:val="000000"/>
          <w:spacing w:val="0"/>
          <w:w w:val="100"/>
          <w:position w:val="0"/>
          <w:shd w:val="clear" w:color="auto" w:fill="auto"/>
        </w:rPr>
        <w:t xml:space="preserve"> Freiburg **1977; B. Wcite, </w:t>
      </w:r>
      <w:r>
        <w:rPr>
          <w:b/>
          <w:bCs/>
          <w:i/>
          <w:iCs/>
          <w:color w:val="000000"/>
          <w:spacing w:val="0"/>
          <w:w w:val="100"/>
          <w:position w:val="0"/>
          <w:sz w:val="9"/>
          <w:szCs w:val="9"/>
          <w:shd w:val="clear" w:color="auto" w:fill="auto"/>
        </w:rPr>
        <w:t>Das l.irhl des Nichls. Von der Moglichkeil neuer religiose! Eifahrung,</w:t>
      </w:r>
      <w:r>
        <w:rPr>
          <w:color w:val="000000"/>
          <w:spacing w:val="0"/>
          <w:w w:val="100"/>
          <w:position w:val="0"/>
          <w:shd w:val="clear" w:color="auto" w:fill="auto"/>
        </w:rPr>
        <w:t xml:space="preserve"> Dusseldorf 1980; R. Schaeffler, </w:t>
      </w:r>
      <w:r>
        <w:rPr>
          <w:b/>
          <w:bCs/>
          <w:i/>
          <w:iCs/>
          <w:color w:val="000000"/>
          <w:spacing w:val="0"/>
          <w:w w:val="100"/>
          <w:position w:val="0"/>
          <w:sz w:val="9"/>
          <w:szCs w:val="9"/>
          <w:shd w:val="clear" w:color="auto" w:fill="auto"/>
        </w:rPr>
        <w:t>Fdhigkeil zur Eifahrung. Zur Iransrendenlalen Hernieneulik des Sprechens von Goll.</w:t>
      </w:r>
      <w:r>
        <w:rPr>
          <w:color w:val="000000"/>
          <w:spacing w:val="0"/>
          <w:w w:val="100"/>
          <w:position w:val="0"/>
          <w:shd w:val="clear" w:color="auto" w:fill="auto"/>
        </w:rPr>
        <w:t xml:space="preserve"> Freiburg i dr. 1982: L, Hagcntann, </w:t>
      </w:r>
      <w:r>
        <w:rPr>
          <w:b/>
          <w:bCs/>
          <w:i/>
          <w:iCs/>
          <w:color w:val="000000"/>
          <w:spacing w:val="0"/>
          <w:w w:val="100"/>
          <w:position w:val="0"/>
          <w:sz w:val="9"/>
          <w:szCs w:val="9"/>
          <w:shd w:val="clear" w:color="auto" w:fill="auto"/>
        </w:rPr>
        <w:t>Propheien - Zeugen des Glaubens. Koranische und bibtische Deulungen.</w:t>
      </w:r>
      <w:r>
        <w:rPr>
          <w:color w:val="000000"/>
          <w:spacing w:val="0"/>
          <w:w w:val="100"/>
          <w:position w:val="0"/>
          <w:shd w:val="clear" w:color="auto" w:fill="auto"/>
        </w:rPr>
        <w:t xml:space="preserve"> Graz 1985.</w:t>
        <w:tab/>
        <w:t>II SCHLOSSER</w:t>
      </w:r>
    </w:p>
    <w:p>
      <w:pPr>
        <w:pStyle w:val="Style63"/>
        <w:keepNext/>
        <w:keepLines/>
        <w:widowControl w:val="0"/>
        <w:numPr>
          <w:ilvl w:val="0"/>
          <w:numId w:val="609"/>
        </w:numPr>
        <w:shd w:val="clear" w:color="auto" w:fill="auto"/>
        <w:tabs>
          <w:tab w:pos="255" w:val="left"/>
        </w:tabs>
        <w:bidi w:val="0"/>
        <w:spacing w:before="0" w:line="223" w:lineRule="auto"/>
        <w:ind w:left="0" w:right="0" w:firstLine="0"/>
        <w:jc w:val="both"/>
      </w:pPr>
      <w:bookmarkStart w:id="390" w:name="bookmark390"/>
      <w:r>
        <w:rPr>
          <w:rFonts w:ascii="Times New Roman" w:eastAsia="Times New Roman" w:hAnsi="Times New Roman" w:cs="Times New Roman"/>
          <w:color w:val="000000"/>
          <w:spacing w:val="0"/>
          <w:w w:val="100"/>
          <w:position w:val="0"/>
          <w:shd w:val="clear" w:color="auto" w:fill="auto"/>
          <w:lang w:val="hr-HR" w:eastAsia="hr-HR" w:bidi="hr-HR"/>
        </w:rPr>
        <w:t>islamski</w:t>
      </w:r>
      <w:bookmarkEnd w:id="390"/>
    </w:p>
    <w:p>
      <w:pPr>
        <w:pStyle w:val="Style20"/>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 »islam« je arapskoga podrijetla i znači predanost (u Bogu), ali i mir i spas u Njemu. Etimologijski je s tom riječju povezan »mir« (selam: salam). Muslimani pod tim podrazu</w:t>
        <w:softHyphen/>
        <w:t>mijevaju prototip biblijske religije naprosto.</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 je prvi čovjek, Adam, bio njezin pripad</w:t>
        <w:softHyphen/>
        <w:t>nik, ali i njezin prorok. U proročkome doga</w:t>
        <w:softHyphen/>
        <w:t>đanju ta je religija ostala uvijek jedna te ista. Njezina se bit sastojala u predanosti u Bogu kao Stvoritelju, Uzdržavatelju i Sucu i u miru s Njim, sa samim sobom i s okolnim svijetom. I Mojsije i Isus bili su primatelji i navjestitelji islamske poruke. U očima muslimana, tj. ne</w:t>
        <w:softHyphen/>
        <w:t>koga tko predanost u Bogu čini vodećom miš</w:t>
        <w:softHyphen/>
        <w:t>lju u svojemu životu, oni su stoga islamski proroci isto koliko i Muhamed, posrednik zadnje varijante islamskoga svjetonazora.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je već prvi čovjek imao tu vezu s iz</w:t>
        <w:softHyphen/>
        <w:t>vorom - i tek" zapravo on on je prema Mu- hamedovu nauku bio neposredno voden od Boga. Upravo iz tog razloga islam odbacuje pojam istočnoga grijeha koji se zapravo svodi na Adamovo grešno ponašanje. Prorok ne gri</w:t>
        <w:softHyphen/>
        <w:t>ješi. Islam se dakle u tom razlikuje od kršćan</w:t>
        <w:softHyphen/>
        <w:t>stva. Ni razumijevanje objave nije jedinstvo u obje religije: Ona je za muslimane jednokrat</w:t>
        <w:softHyphen/>
        <w:t>ni nemotivirani vrhunski događaj, a za kršća</w:t>
        <w:softHyphen/>
        <w:t>ne, naprotiv, ona je prije proces djelovanja Duha Svetoga na povijesno događanje koje se stalno ponavlja.</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Naziv »islam« (islam) uzet jc iz Kurana, iz sveukupnosti objava što ih je primio Muha</w:t>
        <w:softHyphen/>
        <w:t>med (u. 632). On pruža temeljni sadržaj te re</w:t>
        <w:softHyphen/>
        <w:t>ligije. Za razliku od mnogih drugih religijskih sustava u ovoj oznaci izostaje svaki odnos na čovjeka. To je znakovito za islam koji prakti</w:t>
        <w:softHyphen/>
        <w:t>cira jednu naglašenu teocentriku. Na Zapadu uobičajene oznake »muhamedanstvo«, »mu- hamcđanac« itd., ne odgovaraju islamskomu samorazumijevanju. One su pogrešne i zato što se muslimani uopće ne mole Muhamedu. Postoji i drugo ime koje muslimani koriste za označavanje svoje vjere: iman (v., povjerenje na temelju vjerovanja). Ipak u zbilji taj pojam podrazumijeva vjeru kao čuvstvo. Kako bi bio prihvaćen kao musliman, čovjeku je dovoljno da bude mumin (onaj koji vjeruje). To je od</w:t>
        <w:softHyphen/>
        <w:t>lučujuće za sve medureligijske i društvene od</w:t>
        <w:softHyphen/>
        <w:t>nose. Tako često citirani kuranski princip o solidarnosti vjernika glasi: Vjernici su samo među sobom braća. Iman (v.) je zapravo samo jedan dio islama i to najvažniji. Islam se u svo</w:t>
        <w:softHyphen/>
        <w:t>joj cjelovitosti sastoji od tri dijela: a) vjerois</w:t>
        <w:softHyphen/>
        <w:t>povijesti, b) ispunjavanja religioznih dužnosti,</w:t>
      </w:r>
    </w:p>
    <w:p>
      <w:pPr>
        <w:pStyle w:val="Style20"/>
        <w:keepNext w:val="0"/>
        <w:keepLines w:val="0"/>
        <w:widowControl w:val="0"/>
        <w:numPr>
          <w:ilvl w:val="0"/>
          <w:numId w:val="615"/>
        </w:numPr>
        <w:shd w:val="clear" w:color="auto" w:fill="auto"/>
        <w:tabs>
          <w:tab w:pos="255"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poštovanja i izvršavanja islamskoga ćudo</w:t>
        <w:softHyphen/>
        <w:t>rednoga kodeksa.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Ispovijest:</w:t>
      </w:r>
      <w:r>
        <w:rPr>
          <w:rFonts w:ascii="Times New Roman" w:eastAsia="Times New Roman" w:hAnsi="Times New Roman" w:cs="Times New Roman"/>
          <w:color w:val="000000"/>
          <w:spacing w:val="0"/>
          <w:w w:val="100"/>
          <w:position w:val="0"/>
          <w:shd w:val="clear" w:color="auto" w:fill="auto"/>
          <w:lang w:val="hr-HR" w:eastAsia="hr-HR" w:bidi="hr-HR"/>
        </w:rPr>
        <w:t xml:space="preserve"> Vjeroispovijest obuhvaća šest sta</w:t>
        <w:softHyphen/>
        <w:t>vaka: (1) vjeru u jednoga Boga, (2) vjeru u anđele, (3) vjeru u objavu ili u sveta pisma, (4) vjeru u poslanika Božjega, (5) vjeru u uskr</w:t>
        <w:softHyphen/>
        <w:t>snuće nakon smrti i u sudnji dan i (6) vjeru u božansku predodređenost. Dok je prvih pet stavaka vjere zajedničko svim objavljenim re</w:t>
        <w:softHyphen/>
        <w:t>ligijama, šesti stavak odaje jednu islamsku osebujnost. Tom se stavku pripisuje takozvani orijentalni fatalizam. Taj je stavak vjere doista povezan s pitanjem o determinizmu i indeter- minizmu. Stoga se o tome više govori u na</w:t>
        <w:softHyphen/>
        <w:t>tuknici o —&gt; predestinaciji.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Ćudoredni kodeks:</w:t>
      </w:r>
      <w:r>
        <w:rPr>
          <w:rFonts w:ascii="Times New Roman" w:eastAsia="Times New Roman" w:hAnsi="Times New Roman" w:cs="Times New Roman"/>
          <w:color w:val="000000"/>
          <w:spacing w:val="0"/>
          <w:w w:val="100"/>
          <w:position w:val="0"/>
          <w:shd w:val="clear" w:color="auto" w:fill="auto"/>
          <w:lang w:val="hr-HR" w:eastAsia="hr-HR" w:bidi="hr-HR"/>
        </w:rPr>
        <w:t xml:space="preserve"> Religiozne se dužnosti di</w:t>
        <w:softHyphen/>
        <w:t>jele u dvije skupine: jedna uzima u obzir sferu čiste vjere, a druga društveno-političke i zdrav- stveno-političke aspekte, dakle društveno oz- biljcnjc islama. Taj treći dio islama, ćudoredni kodeks, jednako se tako dijeli u dvije skupine: jedna se oslanja na iman, na vjeru, a druga na islam, na društveno ozbiljenje islamskoga ži</w:t>
        <w:softHyphen/>
        <w:t>votnog poretka. U prvu skupinu običaja i pra</w:t>
        <w:softHyphen/>
        <w:t>vila ponašanja spadaju moralne upute općeni</w:t>
        <w:softHyphen/>
        <w:t>toga karaktera.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Zakonito regulirajući karakter imaju, nasuprot tomu, ona pravila ponašanja koja se odnose na islam, tj. na društveno-političke konzek- vencije vjeroispovijesti, kako ih jc prethodno doživio Muhamed. Pod njima se podrazumije</w:t>
        <w:softHyphen/>
        <w:t>vaju recimo zabrane igri na sreću, uživanja alkohola, konzumiranja krvi i svinjskoga me</w:t>
        <w:softHyphen/>
        <w:t>sa, prekomjernoga jela i pića kao i svakoga razvrata. Tomu pripadaju i propisi o svako</w:t>
        <w:softHyphen/>
        <w:t>dnevnom obavljanju toaleta, pranju zubi, ob</w:t>
        <w:softHyphen/>
        <w:t>vezatnom kompletnom tjednom kupanju, pra</w:t>
        <w:softHyphen/>
        <w:t>nju ruku prije i poslije jela i još mnogo toga. Povijesni nastanak posljednjega islamskog na</w:t>
        <w:softHyphen/>
        <w:t>vještaja pokazuje dvije međusobno jasno raz</w:t>
        <w:softHyphen/>
        <w:t>ličite faze: mekansku i medinsku. Prva se od</w:t>
        <w:softHyphen/>
        <w:t>nosi na učvršćivanje sadržaja vjere, imana; u drugoj se fazi islam artikulira kao projiciranje društvenih a naposljetku i političkih konzek- vcncija vjere.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$mail Balić, </w:t>
      </w:r>
      <w:r>
        <w:rPr>
          <w:i/>
          <w:iCs/>
          <w:color w:val="000000"/>
          <w:spacing w:val="0"/>
          <w:w w:val="100"/>
          <w:position w:val="0"/>
          <w:shd w:val="clear" w:color="auto" w:fill="auto"/>
          <w:lang w:val="hr-HR" w:eastAsia="hr-HR" w:bidi="hr-HR"/>
        </w:rPr>
        <w:t>Huf vom Miiuueii,</w:t>
      </w:r>
      <w:r>
        <w:rPr>
          <w:color w:val="000000"/>
          <w:spacing w:val="0"/>
          <w:w w:val="100"/>
          <w:position w:val="0"/>
          <w:shd w:val="clear" w:color="auto" w:fill="auto"/>
          <w:lang w:val="hr-HR" w:eastAsia="hr-HR" w:bidi="hr-HR"/>
        </w:rPr>
        <w:t xml:space="preserve"> Hamburg *1984; Hans Daibcr, </w:t>
      </w:r>
      <w:r>
        <w:rPr>
          <w:i/>
          <w:iCs/>
          <w:color w:val="000000"/>
          <w:spacing w:val="0"/>
          <w:w w:val="100"/>
          <w:position w:val="0"/>
          <w:shd w:val="clear" w:color="auto" w:fill="auto"/>
          <w:lang w:val="hr-HR" w:eastAsia="hr-HR" w:bidi="hr-HR"/>
        </w:rPr>
        <w:t xml:space="preserve">Goti, N'atur und menschlicher </w:t>
      </w:r>
      <w:r>
        <w:rPr>
          <w:i/>
          <w:iCs/>
          <w:color w:val="000000"/>
          <w:spacing w:val="0"/>
          <w:w w:val="100"/>
          <w:position w:val="0"/>
          <w:shd w:val="clear" w:color="auto" w:fill="auto"/>
        </w:rPr>
        <w:t xml:space="preserve">Wille </w:t>
      </w:r>
      <w:r>
        <w:rPr>
          <w:i/>
          <w:iCs/>
          <w:color w:val="000000"/>
          <w:spacing w:val="0"/>
          <w:w w:val="100"/>
          <w:position w:val="0"/>
          <w:shd w:val="clear" w:color="auto" w:fill="auto"/>
          <w:lang w:val="hr-HR" w:eastAsia="hr-HR" w:bidi="hr-HR"/>
        </w:rPr>
        <w:t>im fruhen išla- mischen Denken,</w:t>
      </w:r>
      <w:r>
        <w:rPr>
          <w:color w:val="000000"/>
          <w:spacing w:val="0"/>
          <w:w w:val="100"/>
          <w:position w:val="0"/>
          <w:shd w:val="clear" w:color="auto" w:fill="auto"/>
          <w:lang w:val="hr-HR" w:eastAsia="hr-HR" w:bidi="hr-HR"/>
        </w:rPr>
        <w:t xml:space="preserve"> Amsterdam 1978; </w:t>
      </w:r>
      <w:r>
        <w:rPr>
          <w:color w:val="000000"/>
          <w:spacing w:val="0"/>
          <w:w w:val="100"/>
          <w:position w:val="0"/>
          <w:shd w:val="clear" w:color="auto" w:fill="auto"/>
        </w:rPr>
        <w:t xml:space="preserve">Alfred von Kremer, </w:t>
      </w:r>
      <w:r>
        <w:rPr>
          <w:i/>
          <w:iCs/>
          <w:color w:val="000000"/>
          <w:spacing w:val="0"/>
          <w:w w:val="100"/>
          <w:position w:val="0"/>
          <w:shd w:val="clear" w:color="auto" w:fill="auto"/>
        </w:rPr>
        <w:t>Geschichte der hernchenden Ideen des Islams. Der Goitesbe- griff, die Prophetic und Staaisidee,</w:t>
      </w:r>
      <w:r>
        <w:rPr>
          <w:color w:val="000000"/>
          <w:spacing w:val="0"/>
          <w:w w:val="100"/>
          <w:position w:val="0"/>
          <w:shd w:val="clear" w:color="auto" w:fill="auto"/>
        </w:rPr>
        <w:t xml:space="preserve"> Hildesheim </w:t>
      </w:r>
      <w:r>
        <w:rPr>
          <w:color w:val="000000"/>
          <w:spacing w:val="0"/>
          <w:w w:val="100"/>
          <w:position w:val="0"/>
          <w:shd w:val="clear" w:color="auto" w:fill="auto"/>
          <w:lang w:val="hr-HR" w:eastAsia="hr-HR" w:bidi="hr-HR"/>
        </w:rPr>
        <w:t>(nepromije</w:t>
        <w:softHyphen/>
        <w:t xml:space="preserve">njeni fotomehanički pretisak </w:t>
      </w:r>
      <w:r>
        <w:rPr>
          <w:color w:val="000000"/>
          <w:spacing w:val="0"/>
          <w:w w:val="100"/>
          <w:position w:val="0"/>
          <w:shd w:val="clear" w:color="auto" w:fill="auto"/>
        </w:rPr>
        <w:t xml:space="preserve">1. izd ), Hildesheim </w:t>
      </w:r>
      <w:r>
        <w:rPr>
          <w:color w:val="000000"/>
          <w:spacing w:val="0"/>
          <w:w w:val="100"/>
          <w:position w:val="0"/>
          <w:shd w:val="clear" w:color="auto" w:fill="auto"/>
          <w:lang w:val="hr-HR" w:eastAsia="hr-HR" w:bidi="hr-HR"/>
        </w:rPr>
        <w:t>1961.</w:t>
      </w:r>
    </w:p>
    <w:p>
      <w:pPr>
        <w:pStyle w:val="Style56"/>
        <w:keepNext w:val="0"/>
        <w:keepLines w:val="0"/>
        <w:widowControl w:val="0"/>
        <w:shd w:val="clear" w:color="auto" w:fill="auto"/>
        <w:bidi w:val="0"/>
        <w:spacing w:before="0" w:after="0" w:line="240" w:lineRule="auto"/>
        <w:ind w:left="0" w:right="0" w:firstLine="0"/>
        <w:jc w:val="right"/>
        <w:sectPr>
          <w:footnotePr>
            <w:pos w:val="pageBottom"/>
            <w:numFmt w:val="decimal"/>
            <w:numRestart w:val="continuous"/>
            <w15:footnoteColumns w:val="1"/>
          </w:footnotePr>
          <w:type w:val="continuous"/>
          <w:pgSz w:w="6816" w:h="11006"/>
          <w:pgMar w:top="947" w:left="195" w:right="199" w:bottom="465" w:header="0" w:footer="3" w:gutter="0"/>
          <w:cols w:num="2" w:space="189"/>
          <w:noEndnote/>
          <w:rtlGutter w:val="0"/>
          <w:docGrid w:linePitch="360"/>
        </w:sectPr>
      </w:pPr>
      <w:r>
        <w:rPr>
          <w:color w:val="000000"/>
          <w:spacing w:val="0"/>
          <w:w w:val="100"/>
          <w:position w:val="0"/>
          <w:shd w:val="clear" w:color="auto" w:fill="auto"/>
          <w:lang w:val="hr-HR" w:eastAsia="hr-HR" w:bidi="hr-HR"/>
        </w:rPr>
        <w:t>s. BAI.IĆ</w:t>
      </w:r>
    </w:p>
    <w:p>
      <w:pPr>
        <w:pStyle w:val="Style1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rPr>
        <w:t>vjeroispovuest/ispovuedanje</w:t>
      </w:r>
    </w:p>
    <w:p>
      <w:pPr>
        <w:pStyle w:val="Style33"/>
        <w:keepNext w:val="0"/>
        <w:keepLines w:val="0"/>
        <w:widowControl w:val="0"/>
        <w:shd w:val="clear" w:color="auto" w:fill="auto"/>
        <w:bidi w:val="0"/>
        <w:spacing w:before="0" w:after="22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VJERE</w:t>
      </w:r>
    </w:p>
    <w:p>
      <w:pPr>
        <w:pStyle w:val="Style63"/>
        <w:keepNext/>
        <w:keepLines/>
        <w:widowControl w:val="0"/>
        <w:numPr>
          <w:ilvl w:val="0"/>
          <w:numId w:val="617"/>
        </w:numPr>
        <w:shd w:val="clear" w:color="auto" w:fill="auto"/>
        <w:tabs>
          <w:tab w:pos="255" w:val="left"/>
        </w:tabs>
        <w:bidi w:val="0"/>
        <w:spacing w:before="0" w:after="80"/>
        <w:ind w:left="0" w:right="0" w:firstLine="0"/>
        <w:jc w:val="left"/>
      </w:pPr>
      <w:bookmarkStart w:id="391" w:name="bookmark391"/>
      <w:r>
        <w:rPr>
          <w:rFonts w:ascii="Times New Roman" w:eastAsia="Times New Roman" w:hAnsi="Times New Roman" w:cs="Times New Roman"/>
          <w:color w:val="000000"/>
          <w:spacing w:val="0"/>
          <w:w w:val="100"/>
          <w:position w:val="0"/>
          <w:shd w:val="clear" w:color="auto" w:fill="auto"/>
          <w:lang w:val="hr-HR" w:eastAsia="hr-HR" w:bidi="hr-HR"/>
        </w:rPr>
        <w:t>židovski</w:t>
      </w:r>
      <w:bookmarkEnd w:id="391"/>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Božja je volja spojnica svih pripadnika židov</w:t>
        <w:softHyphen/>
        <w:t>skoga naroda: «... vi ćete mi biti kraljevstvo svećenika, narod svet«, a time i zahtjev da se zapovijed izvrši i održi obećanje lzraclovo: »Vršit ćemo sve što je ON naredio« (Izl 19,6.8, usp. 24,3). Revnost u služenju Bogu u svim područjima života (halaha), izražena u rabinskoj rečenici: »Sve prema većini djela« (M Avot III,16), gotovo ne ostavlja prostora za stvaranje dogmatike. Osim toga, od razo- renja drugoga Hrama 70. pos. Kr. i u poslije- talmudskom razdoblju nakon »epohe geoni- ma« (ravnatelja babilonskih rabinskih akade</w:t>
        <w:softHyphen/>
        <w:t xml:space="preserve">mija, </w:t>
      </w:r>
      <w:r>
        <w:rPr>
          <w:rFonts w:ascii="Times New Roman" w:eastAsia="Times New Roman" w:hAnsi="Times New Roman" w:cs="Times New Roman"/>
          <w:color w:val="000000"/>
          <w:spacing w:val="0"/>
          <w:w w:val="100"/>
          <w:position w:val="0"/>
          <w:shd w:val="clear" w:color="auto" w:fill="auto"/>
          <w:lang w:val="en-US" w:eastAsia="en-US" w:bidi="en-US"/>
        </w:rPr>
        <w:t xml:space="preserve">VII.-XI. </w:t>
      </w:r>
      <w:r>
        <w:rPr>
          <w:rFonts w:ascii="Times New Roman" w:eastAsia="Times New Roman" w:hAnsi="Times New Roman" w:cs="Times New Roman"/>
          <w:color w:val="000000"/>
          <w:spacing w:val="0"/>
          <w:w w:val="100"/>
          <w:position w:val="0"/>
          <w:shd w:val="clear" w:color="auto" w:fill="auto"/>
          <w:lang w:val="hr-HR" w:eastAsia="hr-HR" w:bidi="hr-HR"/>
        </w:rPr>
        <w:t>stoljeće) nedostajao je mjero</w:t>
        <w:softHyphen/>
        <w:t>davni autoritet koji bi mogao bili ovlašten da za židovski narod utvrdi dogmu kad bi se za to ukazala potreba i nužnost. Doduše, i u židov</w:t>
        <w:softHyphen/>
        <w:t>stvu su poznata načela prema kojima je poje</w:t>
        <w:softHyphen/>
        <w:t xml:space="preserve">dinac svjestan svojega podrijetla i pripadnosti i koja ga obavještavaju o drugim pripadnicima solidarne zajednice (»Svi Izraelićani jamče jedni za druge«,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 Šavuot 39a; Roš ha-šana 29a). Ovdje treba najprije spo</w:t>
        <w:softHyphen/>
        <w:t>menuti »Šema Jisrael«: »Čuj, Izraele! ON je Bog naš, ON je jedan! Zato ljubi NJEGA, Boga svoga, svim srcem svojim i svom snagom svojom« (Pnz 6,4 i d.), zatim riječ o »trinaest Božjih atributa«: »ON, ON, Bog milosrdan i milostiv, spor na srdžbu, bogat ljubavlju i vjer</w:t>
        <w:softHyphen/>
        <w:t>nošću, iskazuje milost tisućama, podnosi opa</w:t>
        <w:softHyphen/>
        <w:t xml:space="preserve">činu, grijeh i prijestup, ali krivca nekažnjena ne ostavlja« (Izl 34,6 i d., usp. b Roš ha-šana 17b) te hvalospjev serafa: »Svet! Svet! Svet ON nad vojskama! Puna je sva zemlja Slave njegove!« (Iz 6,3). Bilo je svakako pokušaja stvaranja čvrstih formula. U to se ubraja i ona negativno (!) oblikovana Mišna koja osporava »sudjelovanje u nadolazećem svijetu« onima koji niječu određene pouke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X,I). U srednjem vijeku neki su učitelji iz židovske sljedbe karaita postavili dogme pod islamskim utjecajem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(Judisches </w:t>
      </w:r>
      <w:r>
        <w:rPr>
          <w:rFonts w:ascii="Times New Roman" w:eastAsia="Times New Roman" w:hAnsi="Times New Roman" w:cs="Times New Roman"/>
          <w:i/>
          <w:iCs/>
          <w:color w:val="000000"/>
          <w:spacing w:val="0"/>
          <w:w w:val="100"/>
          <w:position w:val="0"/>
          <w:shd w:val="clear" w:color="auto" w:fill="auto"/>
          <w:lang w:val="en-US" w:eastAsia="en-US" w:bidi="en-US"/>
        </w:rPr>
        <w:t xml:space="preserve">Lexikon </w:t>
      </w:r>
      <w:r>
        <w:rPr>
          <w:rFonts w:ascii="Times New Roman" w:eastAsia="Times New Roman" w:hAnsi="Times New Roman" w:cs="Times New Roman"/>
          <w:i/>
          <w:iCs/>
          <w:color w:val="000000"/>
          <w:spacing w:val="0"/>
          <w:w w:val="100"/>
          <w:position w:val="0"/>
          <w:shd w:val="clear" w:color="auto" w:fill="auto"/>
          <w:lang w:val="hr-HR" w:eastAsia="hr-HR" w:bidi="hr-HR"/>
        </w:rPr>
        <w:t>III,</w:t>
      </w:r>
      <w:r>
        <w:rPr>
          <w:rFonts w:ascii="Times New Roman" w:eastAsia="Times New Roman" w:hAnsi="Times New Roman" w:cs="Times New Roman"/>
          <w:color w:val="000000"/>
          <w:spacing w:val="0"/>
          <w:w w:val="100"/>
          <w:position w:val="0"/>
          <w:shd w:val="clear" w:color="auto" w:fill="auto"/>
          <w:lang w:val="hr-HR" w:eastAsia="hr-HR" w:bidi="hr-HR"/>
        </w:rPr>
        <w:t xml:space="preserve"> 1927/82, 590-596). Srednjovjekovni su religijski filozofi tražili čvrst oblik poučavanja pod istim utjeca</w:t>
        <w:softHyphen/>
        <w:t xml:space="preserve">jem. Majmonidovih (XII. stoljeće) »trinaest temeljnih načela« </w:t>
      </w:r>
      <w:r>
        <w:rPr>
          <w:rFonts w:ascii="Times New Roman" w:eastAsia="Times New Roman" w:hAnsi="Times New Roman" w:cs="Times New Roman"/>
          <w:i/>
          <w:iCs/>
          <w:color w:val="000000"/>
          <w:spacing w:val="0"/>
          <w:w w:val="100"/>
          <w:position w:val="0"/>
          <w:shd w:val="clear" w:color="auto" w:fill="auto"/>
          <w:lang w:val="hr-HR" w:eastAsia="hr-HR" w:bidi="hr-HR"/>
        </w:rPr>
        <w:t>(šeloš esre ikarim,</w:t>
      </w:r>
      <w:r>
        <w:rPr>
          <w:rFonts w:ascii="Times New Roman" w:eastAsia="Times New Roman" w:hAnsi="Times New Roman" w:cs="Times New Roman"/>
          <w:color w:val="000000"/>
          <w:spacing w:val="0"/>
          <w:w w:val="100"/>
          <w:position w:val="0"/>
          <w:shd w:val="clear" w:color="auto" w:fill="auto"/>
          <w:lang w:val="hr-HR" w:eastAsia="hr-HR" w:bidi="hr-HR"/>
        </w:rPr>
        <w:t xml:space="preserve"> u dodat</w:t>
        <w:softHyphen/>
        <w:t xml:space="preserve">ku Komentara na Mišnu za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X,l) </w:t>
      </w:r>
      <w:r>
        <w:rPr>
          <w:rFonts w:ascii="Times New Roman" w:eastAsia="Times New Roman" w:hAnsi="Times New Roman" w:cs="Times New Roman"/>
          <w:color w:val="000000"/>
          <w:spacing w:val="0"/>
          <w:w w:val="100"/>
          <w:position w:val="0"/>
          <w:shd w:val="clear" w:color="auto" w:fill="auto"/>
          <w:lang w:val="hr-HR" w:eastAsia="hr-HR" w:bidi="hr-HR"/>
        </w:rPr>
        <w:t>odnose se na 1. Božje postojanje, 2. njegovo jedinstvo, 3. njegovu bestjelesnost, 4. njegovu vječnost, 5. dužnost štovanja samo njega, 6. proroke, 7. nadmoć Mojsija kao proroka nad svim drugim prorocima, 8. božansko podrijet</w:t>
        <w:softHyphen/>
        <w:t>lo Tore, 9. njezinu nepromjenljivost, 10. Božje sveznanje, 11. nagradu i kaznu, 12. dolazak Mesije, 13. uskrsnuće mrtvih. Ta temeljna na</w:t>
        <w:softHyphen/>
        <w:t>čela prihvaćena su kao vjeroispovijedni obra</w:t>
        <w:softHyphen/>
        <w:t>zac (»Vjerujem potpunom vjerom«) na svršet</w:t>
        <w:softHyphen/>
        <w:t>ku jutarnje molitve, te u pjesničkoj obradi u obliku »jigdala« (»Uzvišen je živi Bog i hva</w:t>
        <w:softHyphen/>
        <w:t>ljen«) pridodana molitveniku. Međutim, ta načela nisu nikada dostigla razinu dogme kao obveznog ispovijedanja, iskaza vjere, o koje</w:t>
        <w:softHyphen/>
        <w:t>mu bi ovisila pripadnost židovstvu. Budući da židovska pobožnost premješta svoje težište na spoznaju i ostvarenje Tore kao smjernice za život prema Božjoj volji, nije joj potrebno osi</w:t>
        <w:softHyphen/>
        <w:t xml:space="preserve">guranje člancima vjere. Stoga su Majmonido- ve temeljne istine više predmet osobne po- božnosti poput dva temeljna načela vjere, dakle načela o jednome Bogu, Bogu Izraela i o Božjem kraljevstvu na zemlji, a pritom je hi- man »Alejnu« (»Dužnost je naša da hvalimo Boga za sve«) uzet iz novogodišnje molitve i sastavni je dio dnevne molitve (na kraju </w:t>
      </w:r>
      <w:r>
        <w:rPr>
          <w:rFonts w:ascii="Times New Roman" w:eastAsia="Times New Roman" w:hAnsi="Times New Roman" w:cs="Times New Roman"/>
          <w:i/>
          <w:iCs/>
          <w:color w:val="000000"/>
          <w:spacing w:val="0"/>
          <w:w w:val="100"/>
          <w:position w:val="0"/>
          <w:shd w:val="clear" w:color="auto" w:fill="auto"/>
          <w:lang w:val="hr-HR" w:eastAsia="hr-HR" w:bidi="hr-HR"/>
        </w:rPr>
        <w:t>Min- hei</w:t>
      </w:r>
      <w:r>
        <w:rPr>
          <w:rFonts w:ascii="Times New Roman" w:eastAsia="Times New Roman" w:hAnsi="Times New Roman" w:cs="Times New Roman"/>
          <w:color w:val="000000"/>
          <w:spacing w:val="0"/>
          <w:w w:val="100"/>
          <w:position w:val="0"/>
          <w:shd w:val="clear" w:color="auto" w:fill="auto"/>
          <w:lang w:val="hr-HR" w:eastAsia="hr-HR" w:bidi="hr-HR"/>
        </w:rPr>
        <w:t xml:space="preserve"> poslijepodnevne molitve).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 S. Bcn-Chorin, </w:t>
      </w:r>
      <w:r>
        <w:rPr>
          <w:i/>
          <w:iCs/>
          <w:color w:val="000000"/>
          <w:spacing w:val="0"/>
          <w:w w:val="100"/>
          <w:position w:val="0"/>
          <w:shd w:val="clear" w:color="auto" w:fill="auto"/>
          <w:lang w:val="hr-HR" w:eastAsia="hr-HR" w:bidi="hr-HR"/>
        </w:rPr>
        <w:t>Jiidischer Glaube,</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1979; P. </w:t>
      </w:r>
      <w:r>
        <w:rPr>
          <w:color w:val="000000"/>
          <w:spacing w:val="0"/>
          <w:w w:val="100"/>
          <w:position w:val="0"/>
          <w:shd w:val="clear" w:color="auto" w:fill="auto"/>
        </w:rPr>
        <w:t xml:space="preserve">Nave </w:t>
      </w:r>
      <w:r>
        <w:rPr>
          <w:color w:val="000000"/>
          <w:spacing w:val="0"/>
          <w:w w:val="100"/>
          <w:position w:val="0"/>
          <w:shd w:val="clear" w:color="auto" w:fill="auto"/>
          <w:lang w:val="hr-HR" w:eastAsia="hr-HR" w:bidi="hr-HR"/>
        </w:rPr>
        <w:t xml:space="preserve">Ix- vinsun, </w:t>
      </w:r>
      <w:r>
        <w:rPr>
          <w:i/>
          <w:iCs/>
          <w:color w:val="000000"/>
          <w:spacing w:val="0"/>
          <w:w w:val="100"/>
          <w:position w:val="0"/>
          <w:shd w:val="clear" w:color="auto" w:fill="auto"/>
        </w:rPr>
        <w:t xml:space="preserve">Einfuhrung in die </w:t>
      </w:r>
      <w:r>
        <w:rPr>
          <w:i/>
          <w:iCs/>
          <w:color w:val="000000"/>
          <w:spacing w:val="0"/>
          <w:w w:val="100"/>
          <w:position w:val="0"/>
          <w:shd w:val="clear" w:color="auto" w:fill="auto"/>
          <w:lang w:val="hr-HR" w:eastAsia="hr-HR" w:bidi="hr-HR"/>
        </w:rPr>
        <w:t>rabbinische Theologie,</w:t>
      </w:r>
      <w:r>
        <w:rPr>
          <w:color w:val="000000"/>
          <w:spacing w:val="0"/>
          <w:w w:val="100"/>
          <w:position w:val="0"/>
          <w:shd w:val="clear" w:color="auto" w:fill="auto"/>
          <w:lang w:val="hr-HR" w:eastAsia="hr-HR" w:bidi="hr-HR"/>
        </w:rPr>
        <w:t xml:space="preserve"> 1982, 32 i d.</w:t>
      </w:r>
    </w:p>
    <w:p>
      <w:pPr>
        <w:pStyle w:val="Style74"/>
        <w:keepNext w:val="0"/>
        <w:keepLines w:val="0"/>
        <w:widowControl w:val="0"/>
        <w:shd w:val="clear" w:color="auto" w:fill="auto"/>
        <w:bidi w:val="0"/>
        <w:spacing w:before="0" w:after="80" w:line="29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D. VLTfLR</w:t>
      </w:r>
    </w:p>
    <w:p>
      <w:pPr>
        <w:pStyle w:val="Style63"/>
        <w:keepNext/>
        <w:keepLines/>
        <w:widowControl w:val="0"/>
        <w:numPr>
          <w:ilvl w:val="0"/>
          <w:numId w:val="617"/>
        </w:numPr>
        <w:shd w:val="clear" w:color="auto" w:fill="auto"/>
        <w:tabs>
          <w:tab w:pos="260" w:val="left"/>
        </w:tabs>
        <w:bidi w:val="0"/>
        <w:spacing w:before="0" w:after="80" w:line="223" w:lineRule="auto"/>
        <w:ind w:left="0" w:right="0" w:firstLine="0"/>
        <w:jc w:val="both"/>
      </w:pPr>
      <w:bookmarkStart w:id="392" w:name="bookmark392"/>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92"/>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većini religija nalaze se stereotipni obrasci kojima vjernici izražavaju svoje uvjerenje. U kršćanstvu takvi obrasci kojima se izražava is</w:t>
        <w:softHyphen/>
        <w:t>povijest vjere zauzimaju upadljivo središnje mjesto. Oni su se od početka samostalno raz</w:t>
        <w:softHyphen/>
        <w:t>vijali, paralelno s autoritativno utvrđenim dogmama i načelima vjerskog učenja. Već u NZ nalazi se mnogostrukost obrazaca koje treba stupnjevati kao ishodišne ili fragmen</w:t>
        <w:softHyphen/>
        <w:t xml:space="preserve">tarne ispovijesti vjere. Pavlova rečenica: »Ako ustima svojim priznaješ Isusa Gospodinom i srcem svojim vjeruješ da ga je Bog uskrisio od mrtvih, bit ćeš spašen« (Rim 10,9), pokazuje odmah tri tipa ispovijesti vjere: 1. ispovijest vjere u Isusa kao </w:t>
      </w:r>
      <w:r>
        <w:rPr>
          <w:rFonts w:ascii="Times New Roman" w:eastAsia="Times New Roman" w:hAnsi="Times New Roman" w:cs="Times New Roman"/>
          <w:i/>
          <w:iCs/>
          <w:color w:val="000000"/>
          <w:spacing w:val="0"/>
          <w:w w:val="100"/>
          <w:position w:val="0"/>
          <w:shd w:val="clear" w:color="auto" w:fill="auto"/>
          <w:lang w:val="hr-HR" w:eastAsia="hr-HR" w:bidi="hr-HR"/>
        </w:rPr>
        <w:t>Gospodina</w:t>
      </w:r>
      <w:r>
        <w:rPr>
          <w:rFonts w:ascii="Times New Roman" w:eastAsia="Times New Roman" w:hAnsi="Times New Roman" w:cs="Times New Roman"/>
          <w:color w:val="000000"/>
          <w:spacing w:val="0"/>
          <w:w w:val="100"/>
          <w:position w:val="0"/>
          <w:shd w:val="clear" w:color="auto" w:fill="auto"/>
          <w:lang w:val="hr-HR" w:eastAsia="hr-HR" w:bidi="hr-HR"/>
        </w:rPr>
        <w:t xml:space="preserve"> (usp. 1 Kor 12,3; Fil 2,6-11); 2. priznavanje - u svakom slučaju implicitno - njega kao </w:t>
      </w:r>
      <w:r>
        <w:rPr>
          <w:rFonts w:ascii="Times New Roman" w:eastAsia="Times New Roman" w:hAnsi="Times New Roman" w:cs="Times New Roman"/>
          <w:i/>
          <w:iCs/>
          <w:color w:val="000000"/>
          <w:spacing w:val="0"/>
          <w:w w:val="100"/>
          <w:position w:val="0"/>
          <w:shd w:val="clear" w:color="auto" w:fill="auto"/>
          <w:lang w:val="hr-HR" w:eastAsia="hr-HR" w:bidi="hr-HR"/>
        </w:rPr>
        <w:t>Sina Božjega</w:t>
      </w:r>
      <w:r>
        <w:rPr>
          <w:rFonts w:ascii="Times New Roman" w:eastAsia="Times New Roman" w:hAnsi="Times New Roman" w:cs="Times New Roman"/>
          <w:color w:val="000000"/>
          <w:spacing w:val="0"/>
          <w:w w:val="100"/>
          <w:position w:val="0"/>
          <w:shd w:val="clear" w:color="auto" w:fill="auto"/>
          <w:lang w:val="hr-HR" w:eastAsia="hr-HR" w:bidi="hr-HR"/>
        </w:rPr>
        <w:t xml:space="preserve"> (izričitijc Iv 11,27; Dj 8,37); 3. najcentralnijc i vjero</w:t>
        <w:softHyphen/>
        <w:t>jatno najizvornije novozavjetno vjerovanje 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Isusovo </w:t>
      </w:r>
      <w:r>
        <w:rPr>
          <w:rFonts w:ascii="Times New Roman" w:eastAsia="Times New Roman" w:hAnsi="Times New Roman" w:cs="Times New Roman"/>
          <w:i/>
          <w:iCs/>
          <w:color w:val="000000"/>
          <w:spacing w:val="0"/>
          <w:w w:val="100"/>
          <w:position w:val="0"/>
          <w:shd w:val="clear" w:color="auto" w:fill="auto"/>
          <w:lang w:val="hr-HR" w:eastAsia="hr-HR" w:bidi="hr-HR"/>
        </w:rPr>
        <w:t>uskrsnuće</w:t>
      </w:r>
      <w:r>
        <w:rPr>
          <w:rFonts w:ascii="Times New Roman" w:eastAsia="Times New Roman" w:hAnsi="Times New Roman" w:cs="Times New Roman"/>
          <w:color w:val="000000"/>
          <w:spacing w:val="0"/>
          <w:w w:val="100"/>
          <w:position w:val="0"/>
          <w:shd w:val="clear" w:color="auto" w:fill="auto"/>
          <w:lang w:val="hr-HR" w:eastAsia="hr-HR" w:bidi="hr-HR"/>
        </w:rPr>
        <w:t xml:space="preserve"> (usp. 1 Kor 15,3-5; R</w:t>
      </w:r>
      <w:r>
        <w:rPr>
          <w:rFonts w:ascii="Times New Roman" w:eastAsia="Times New Roman" w:hAnsi="Times New Roman" w:cs="Times New Roman"/>
          <w:color w:val="000000"/>
          <w:spacing w:val="0"/>
          <w:w w:val="100"/>
          <w:position w:val="0"/>
          <w:shd w:val="clear" w:color="auto" w:fill="auto"/>
          <w:vertAlign w:val="superscript"/>
          <w:lang w:val="hr-HR" w:eastAsia="hr-HR" w:bidi="hr-HR"/>
        </w:rPr>
        <w:t xml:space="preserve">|m </w:t>
      </w:r>
      <w:r>
        <w:rPr>
          <w:rFonts w:ascii="Times New Roman" w:eastAsia="Times New Roman" w:hAnsi="Times New Roman" w:cs="Times New Roman"/>
          <w:color w:val="000000"/>
          <w:spacing w:val="0"/>
          <w:w w:val="100"/>
          <w:position w:val="0"/>
          <w:shd w:val="clear" w:color="auto" w:fill="auto"/>
          <w:lang w:val="hr-HR" w:eastAsia="hr-HR" w:bidi="hr-HR"/>
        </w:rPr>
        <w:t>4,24; i Rim 8,11; 1 Kor 6,14; 2 Kor 4,14; 1 Sol 1,10). Ovi su obrasci doživjeli razvoje, npr. u Pavlovim poslanicama i na mjestima koja na</w:t>
        <w:softHyphen/>
        <w:t xml:space="preserve">govještaju Kristov </w:t>
      </w:r>
      <w:r>
        <w:rPr>
          <w:rFonts w:ascii="Times New Roman" w:eastAsia="Times New Roman" w:hAnsi="Times New Roman" w:cs="Times New Roman"/>
          <w:i/>
          <w:iCs/>
          <w:color w:val="000000"/>
          <w:spacing w:val="0"/>
          <w:w w:val="100"/>
          <w:position w:val="0"/>
          <w:shd w:val="clear" w:color="auto" w:fill="auto"/>
          <w:lang w:val="hr-HR" w:eastAsia="hr-HR" w:bidi="hr-HR"/>
        </w:rPr>
        <w:t>ponovni dolazak</w:t>
      </w:r>
      <w:r>
        <w:rPr>
          <w:rFonts w:ascii="Times New Roman" w:eastAsia="Times New Roman" w:hAnsi="Times New Roman" w:cs="Times New Roman"/>
          <w:color w:val="000000"/>
          <w:spacing w:val="0"/>
          <w:w w:val="100"/>
          <w:position w:val="0"/>
          <w:shd w:val="clear" w:color="auto" w:fill="auto"/>
          <w:lang w:val="hr-HR" w:eastAsia="hr-HR" w:bidi="hr-HR"/>
        </w:rPr>
        <w:t xml:space="preserve"> da sudi (usp. Rim 8,34; 1 Pt 3,18-22). Daljnji predmet ranokršćanskih ispovijesti vjere su tumačenja Isusove </w:t>
      </w:r>
      <w:r>
        <w:rPr>
          <w:rFonts w:ascii="Times New Roman" w:eastAsia="Times New Roman" w:hAnsi="Times New Roman" w:cs="Times New Roman"/>
          <w:i/>
          <w:iCs/>
          <w:color w:val="000000"/>
          <w:spacing w:val="0"/>
          <w:w w:val="100"/>
          <w:position w:val="0"/>
          <w:shd w:val="clear" w:color="auto" w:fill="auto"/>
          <w:lang w:val="hr-HR" w:eastAsia="hr-HR" w:bidi="hr-HR"/>
        </w:rPr>
        <w:t>smrti,</w:t>
      </w:r>
      <w:r>
        <w:rPr>
          <w:rFonts w:ascii="Times New Roman" w:eastAsia="Times New Roman" w:hAnsi="Times New Roman" w:cs="Times New Roman"/>
          <w:color w:val="000000"/>
          <w:spacing w:val="0"/>
          <w:w w:val="100"/>
          <w:position w:val="0"/>
          <w:shd w:val="clear" w:color="auto" w:fill="auto"/>
          <w:lang w:val="hr-HR" w:eastAsia="hr-HR" w:bidi="hr-HR"/>
        </w:rPr>
        <w:t xml:space="preserve"> »koji bi predan zbog naših gri</w:t>
        <w:softHyphen/>
        <w:t xml:space="preserve">jeha i koji uskrsnu radi našeg opravdanja« (Rim 4,25; usp. 5,6.8; Gal 1,4; 2,20). Konačno nalazimo vjerovanja u Isusa kao </w:t>
      </w:r>
      <w:r>
        <w:rPr>
          <w:rFonts w:ascii="Times New Roman" w:eastAsia="Times New Roman" w:hAnsi="Times New Roman" w:cs="Times New Roman"/>
          <w:i/>
          <w:iCs/>
          <w:color w:val="000000"/>
          <w:spacing w:val="0"/>
          <w:w w:val="100"/>
          <w:position w:val="0"/>
          <w:shd w:val="clear" w:color="auto" w:fill="auto"/>
          <w:lang w:val="hr-HR" w:eastAsia="hr-HR" w:bidi="hr-HR"/>
        </w:rPr>
        <w:t>Krista</w:t>
      </w:r>
      <w:r>
        <w:rPr>
          <w:rFonts w:ascii="Times New Roman" w:eastAsia="Times New Roman" w:hAnsi="Times New Roman" w:cs="Times New Roman"/>
          <w:color w:val="000000"/>
          <w:spacing w:val="0"/>
          <w:w w:val="100"/>
          <w:position w:val="0"/>
          <w:shd w:val="clear" w:color="auto" w:fill="auto"/>
          <w:lang w:val="hr-HR" w:eastAsia="hr-HR" w:bidi="hr-HR"/>
        </w:rPr>
        <w:t xml:space="preserve"> (usp. Mk 8,29; 14,61-62; Dj 2,36). Većina novoza- vjetnih ispovijesti vjere usmjerava se nepos</w:t>
        <w:softHyphen/>
        <w:t>redno na Isusovu osobu i na spasenje koje se od njega očekuje; različiti naslovi, koji mu se pridijevaju, pokušaji su da se izrazi njegovo spasenjsko značenje.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 ispovijest vjere u jednoga Boga (usp. 1 Tim 2,5) preuzet iz židovske sheme, isto se tako nalaze dvočlanc (usp. 1 Kor 8,6) kao i (također sadržane u židovstvu) tročlane ispo</w:t>
        <w:softHyphen/>
        <w:t>vijesti vjere u NZ (usp. Rim 8,9-11; 1 Kor 12,4-6; 2 Kor 13,13) koje u svakom slučaju još ne predstavljaju razrađenu teologiju Trojstva. Ove formulirane ispovijesti vjere imale su raz</w:t>
        <w:softHyphen/>
        <w:t xml:space="preserve">ličit »Sitz im Lcbcn« kao npr. propovijed i vjerska pouka od koje je najvažnije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krštenje </w:t>
      </w:r>
      <w:r>
        <w:rPr>
          <w:rFonts w:ascii="Times New Roman" w:eastAsia="Times New Roman" w:hAnsi="Times New Roman" w:cs="Times New Roman"/>
          <w:color w:val="000000"/>
          <w:spacing w:val="0"/>
          <w:w w:val="100"/>
          <w:position w:val="0"/>
          <w:shd w:val="clear" w:color="auto" w:fill="auto"/>
          <w:lang w:val="hr-HR" w:eastAsia="hr-HR" w:bidi="hr-HR"/>
        </w:rPr>
        <w:t>(usp. Ml 28,19; Ef 4,4-6). Po mjestima različit obred krštenja dobivao bi u pravilu isto tako interogativne kao i deklarativne obrasce, ove potonje u povezanosti s traditio ili predajom ispovijesti vjere po biskupu i njezinim rcdditio ili krštenikovim uzvraćanjem biskupu. Ovi ob</w:t>
        <w:softHyphen/>
        <w:t xml:space="preserve">rasci, iz kojih su se kasnije razvili </w:t>
      </w:r>
      <w:r>
        <w:rPr>
          <w:rFonts w:ascii="Times New Roman" w:eastAsia="Times New Roman" w:hAnsi="Times New Roman" w:cs="Times New Roman"/>
          <w:color w:val="000000"/>
          <w:spacing w:val="0"/>
          <w:w w:val="100"/>
          <w:position w:val="0"/>
          <w:shd w:val="clear" w:color="auto" w:fill="auto"/>
          <w:lang w:val="en-US" w:eastAsia="en-US" w:bidi="en-US"/>
        </w:rPr>
        <w:t xml:space="preserve">symbola </w:t>
      </w:r>
      <w:r>
        <w:rPr>
          <w:rFonts w:ascii="Times New Roman" w:eastAsia="Times New Roman" w:hAnsi="Times New Roman" w:cs="Times New Roman"/>
          <w:color w:val="000000"/>
          <w:spacing w:val="0"/>
          <w:w w:val="100"/>
          <w:position w:val="0"/>
          <w:shd w:val="clear" w:color="auto" w:fill="auto"/>
          <w:lang w:val="hr-HR" w:eastAsia="hr-HR" w:bidi="hr-HR"/>
        </w:rPr>
        <w:t>fi- dei, bili su do III. stoljeća tajni, jer krštenje nije bilo gola formalnost nego prijelaz bre</w:t>
        <w:softHyphen/>
        <w:t>menit rizikom u nov i javno zabranjen svijet religije, kao što svjedoči krsna kateheza Cirila Jeruzalemskoga (IV. stoljeće).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Ispovijesti vjere, primijenjene kod krštenja, bile su različite po mjestima i jedne uz druge ravnopravne. S vremenom je u svakom slučaju porastao autoritet ispovijesti vjere najvažnijih biskupskih sjedišta, prije svega one iz Rima (oko 150). Njihov se razvoj nipošto nije uvijek razvijao od jednostavnijih oblika prema slože</w:t>
        <w:softHyphen/>
        <w:t>nijim niti je isključivo imao kao povod odgo</w:t>
        <w:softHyphen/>
        <w:t>vor na hereze. Sve do ispovijesti vjerske zajed</w:t>
        <w:softHyphen/>
        <w:t>nice u Cezareji (oko 325) bilo je mnogostru</w:t>
        <w:softHyphen/>
        <w:t>kih formulacija jedne jedine vjere. Prvu tešku usjeklinu donio je Niccjski koncil (325). Što se dosad izricalo biblijski, sada se prvi put pre</w:t>
        <w:softHyphen/>
      </w:r>
      <w:r>
        <w:rPr>
          <w:rFonts w:ascii="Times New Roman" w:eastAsia="Times New Roman" w:hAnsi="Times New Roman" w:cs="Times New Roman"/>
          <w:color w:val="000000"/>
          <w:spacing w:val="0"/>
          <w:w w:val="100"/>
          <w:position w:val="0"/>
          <w:shd w:val="clear" w:color="auto" w:fill="auto"/>
          <w:lang w:val="hr-HR" w:eastAsia="hr-HR" w:bidi="hr-HR"/>
        </w:rPr>
        <w:t>ciziralo pojmovima grčke filozofije i prvi je put jedan ekumenski koncil formulirao vjero</w:t>
        <w:softHyphen/>
        <w:t xml:space="preserve">vanje koje bi trebalo vrijediti za čitavu Crkvu. To se nije dogodilo slučajno u priključku na </w:t>
      </w:r>
      <w:r>
        <w:rPr>
          <w:rFonts w:ascii="Times New Roman" w:eastAsia="Times New Roman" w:hAnsi="Times New Roman" w:cs="Times New Roman"/>
          <w:color w:val="000000"/>
          <w:spacing w:val="0"/>
          <w:w w:val="100"/>
          <w:position w:val="0"/>
          <w:shd w:val="clear" w:color="auto" w:fill="auto"/>
          <w:lang w:val="en-US" w:eastAsia="en-US" w:bidi="en-US"/>
        </w:rPr>
        <w:t xml:space="preserve">Konstantinov </w:t>
      </w:r>
      <w:r>
        <w:rPr>
          <w:rFonts w:ascii="Times New Roman" w:eastAsia="Times New Roman" w:hAnsi="Times New Roman" w:cs="Times New Roman"/>
          <w:color w:val="000000"/>
          <w:spacing w:val="0"/>
          <w:w w:val="100"/>
          <w:position w:val="0"/>
          <w:shd w:val="clear" w:color="auto" w:fill="auto"/>
          <w:lang w:val="hr-HR" w:eastAsia="hr-HR" w:bidi="hr-HR"/>
        </w:rPr>
        <w:t>dolazak na vlast i njegov prije</w:t>
        <w:softHyphen/>
        <w:t>laz na kršćansku vjeru koja je nadalje trebala biti jedinstveno obvezatna za cijelo carstvo. Ta se ispovijest vjere morala u svakom slučaju dalje razvijati od Prvoga carigradskoga kon</w:t>
        <w:softHyphen/>
        <w:t>cila (381), a tri daljnja ekumenska koncila (Efcz 431, Kalcedon 451, Drugi carigradski 553) bila su nužna da bi se razradila formuli</w:t>
        <w:softHyphen/>
        <w:t>ranja vjere koja se do danas drže obvezatnima u pravoslavnim crkvama Istoka i u crkvama reformacije na Zapadu zajedno s Rimokato</w:t>
        <w:softHyphen/>
        <w:t xml:space="preserve">ličkom crkvom. U VI. stoljeću pa sve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VIII. stoljeća razvijalo se, vjerojatno u južnoj Fran</w:t>
        <w:softHyphen/>
        <w:t>cuskoj, tzv. Apostolsko vjerovanje koje je pos</w:t>
        <w:softHyphen/>
        <w:t>tiglo veliku popularnost i autoritet - u svakom slučaju isključivo na Zapadu.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Danas mnogi kršćani osjećaju potrebu da se formuliraju tzv. sažeci vjere, dakle, da se for</w:t>
        <w:softHyphen/>
        <w:t>muliraju ispovijesti vjere, primjerene jeziku i vremenu, a u mladim crkvama ‘Trećega svi</w:t>
        <w:softHyphen/>
        <w:t>jeta’ izrastaju nove ispovijesti vjere iz situacija u kojima dolazi do oslobađanja od tlačenja i otuđenja, a one iznova svjedoče o ekumenskoj funkciji koju imaju ispovijesti vjere.</w:t>
      </w:r>
    </w:p>
    <w:p>
      <w:pPr>
        <w:pStyle w:val="Style56"/>
        <w:keepNext w:val="0"/>
        <w:keepLines w:val="0"/>
        <w:widowControl w:val="0"/>
        <w:shd w:val="clear" w:color="auto" w:fill="auto"/>
        <w:tabs>
          <w:tab w:pos="2616" w:val="left"/>
        </w:tabs>
        <w:bidi w:val="0"/>
        <w:spacing w:before="0" w:after="140" w:line="240" w:lineRule="auto"/>
        <w:ind w:left="0" w:right="0" w:firstLine="0"/>
        <w:jc w:val="both"/>
      </w:pPr>
      <w:r>
        <w:rPr>
          <w:color w:val="000000"/>
          <w:spacing w:val="0"/>
          <w:w w:val="100"/>
          <w:position w:val="0"/>
          <w:shd w:val="clear" w:color="auto" w:fill="auto"/>
        </w:rPr>
        <w:t xml:space="preserve">Lit.: J. </w:t>
      </w:r>
      <w:r>
        <w:rPr>
          <w:color w:val="000000"/>
          <w:spacing w:val="0"/>
          <w:w w:val="100"/>
          <w:position w:val="0"/>
          <w:shd w:val="clear" w:color="auto" w:fill="auto"/>
          <w:lang w:val="hr-HR" w:eastAsia="hr-HR" w:bidi="hr-HR"/>
        </w:rPr>
        <w:t xml:space="preserve">N. D </w:t>
      </w:r>
      <w:r>
        <w:rPr>
          <w:color w:val="000000"/>
          <w:spacing w:val="0"/>
          <w:w w:val="100"/>
          <w:position w:val="0"/>
          <w:shd w:val="clear" w:color="auto" w:fill="auto"/>
        </w:rPr>
        <w:t xml:space="preserve">Kelly, </w:t>
      </w:r>
      <w:r>
        <w:rPr>
          <w:i/>
          <w:iCs/>
          <w:color w:val="000000"/>
          <w:spacing w:val="0"/>
          <w:w w:val="100"/>
          <w:position w:val="0"/>
          <w:shd w:val="clear" w:color="auto" w:fill="auto"/>
          <w:lang w:val="hr-HR" w:eastAsia="hr-HR" w:bidi="hr-HR"/>
        </w:rPr>
        <w:t>Ahchrisllic.</w:t>
      </w:r>
      <w:r>
        <w:rPr>
          <w:i/>
          <w:iCs/>
          <w:color w:val="000000"/>
          <w:spacing w:val="0"/>
          <w:w w:val="100"/>
          <w:position w:val="0"/>
          <w:shd w:val="clear" w:color="auto" w:fill="auto"/>
        </w:rPr>
        <w:t xml:space="preserve">he </w:t>
      </w:r>
      <w:r>
        <w:rPr>
          <w:i/>
          <w:iCs/>
          <w:color w:val="000000"/>
          <w:spacing w:val="0"/>
          <w:w w:val="100"/>
          <w:position w:val="0"/>
          <w:shd w:val="clear" w:color="auto" w:fill="auto"/>
          <w:lang w:val="hr-HR" w:eastAsia="hr-HR" w:bidi="hr-HR"/>
        </w:rPr>
        <w:t xml:space="preserve">Gkiubensbekenninisse. Ge- </w:t>
      </w:r>
      <w:r>
        <w:rPr>
          <w:i/>
          <w:iCs/>
          <w:color w:val="000000"/>
          <w:spacing w:val="0"/>
          <w:w w:val="100"/>
          <w:position w:val="0"/>
          <w:shd w:val="clear" w:color="auto" w:fill="auto"/>
        </w:rPr>
        <w:t>schichte und Theologie,</w:t>
      </w:r>
      <w:r>
        <w:rPr>
          <w:color w:val="000000"/>
          <w:spacing w:val="0"/>
          <w:w w:val="100"/>
          <w:position w:val="0"/>
          <w:shd w:val="clear" w:color="auto" w:fill="auto"/>
        </w:rPr>
        <w:t xml:space="preserve"> Gottingen </w:t>
      </w:r>
      <w:r>
        <w:rPr>
          <w:color w:val="000000"/>
          <w:spacing w:val="0"/>
          <w:w w:val="100"/>
          <w:position w:val="0"/>
          <w:shd w:val="clear" w:color="auto" w:fill="auto"/>
          <w:lang w:val="hr-HR" w:eastAsia="hr-HR" w:bidi="hr-HR"/>
        </w:rPr>
        <w:t xml:space="preserve">1972; H. Frankcmollc, </w:t>
      </w:r>
      <w:r>
        <w:rPr>
          <w:i/>
          <w:iCs/>
          <w:color w:val="000000"/>
          <w:spacing w:val="0"/>
          <w:w w:val="100"/>
          <w:position w:val="0"/>
          <w:shd w:val="clear" w:color="auto" w:fill="auto"/>
          <w:lang w:val="hr-HR" w:eastAsia="hr-HR" w:bidi="hr-HR"/>
        </w:rPr>
        <w:t xml:space="preserve">Glaubensbekenninisse. Zur neutestamentlichen Begrundung </w:t>
      </w:r>
      <w:r>
        <w:rPr>
          <w:i/>
          <w:iCs/>
          <w:color w:val="000000"/>
          <w:spacing w:val="0"/>
          <w:w w:val="100"/>
          <w:position w:val="0"/>
          <w:shd w:val="clear" w:color="auto" w:fill="auto"/>
        </w:rPr>
        <w:t>unseres Credos,</w:t>
      </w:r>
      <w:r>
        <w:rPr>
          <w:color w:val="000000"/>
          <w:spacing w:val="0"/>
          <w:w w:val="100"/>
          <w:position w:val="0"/>
          <w:shd w:val="clear" w:color="auto" w:fill="auto"/>
        </w:rPr>
        <w:t xml:space="preserve"> Dusseldorf </w:t>
      </w:r>
      <w:r>
        <w:rPr>
          <w:color w:val="000000"/>
          <w:spacing w:val="0"/>
          <w:w w:val="100"/>
          <w:position w:val="0"/>
          <w:shd w:val="clear" w:color="auto" w:fill="auto"/>
          <w:lang w:val="hr-HR" w:eastAsia="hr-HR" w:bidi="hr-HR"/>
        </w:rPr>
        <w:t xml:space="preserve">1974; </w:t>
      </w:r>
      <w:r>
        <w:rPr>
          <w:color w:val="000000"/>
          <w:spacing w:val="0"/>
          <w:w w:val="100"/>
          <w:position w:val="0"/>
          <w:shd w:val="clear" w:color="auto" w:fill="auto"/>
        </w:rPr>
        <w:t xml:space="preserve">W. Cantwell Smith, </w:t>
      </w:r>
      <w:r>
        <w:rPr>
          <w:i/>
          <w:iCs/>
          <w:color w:val="000000"/>
          <w:spacing w:val="0"/>
          <w:w w:val="100"/>
          <w:position w:val="0"/>
          <w:shd w:val="clear" w:color="auto" w:fill="auto"/>
        </w:rPr>
        <w:t>/-aith and Belief,</w:t>
      </w:r>
      <w:r>
        <w:rPr>
          <w:color w:val="000000"/>
          <w:spacing w:val="0"/>
          <w:w w:val="100"/>
          <w:position w:val="0"/>
          <w:shd w:val="clear" w:color="auto" w:fill="auto"/>
        </w:rPr>
        <w:t xml:space="preserve"> Princeton 1979, 5. i 6. pogl.</w:t>
        <w:tab/>
        <w:t>J. MAY</w:t>
      </w:r>
    </w:p>
    <w:p>
      <w:pPr>
        <w:pStyle w:val="Style63"/>
        <w:keepNext/>
        <w:keepLines/>
        <w:widowControl w:val="0"/>
        <w:numPr>
          <w:ilvl w:val="0"/>
          <w:numId w:val="617"/>
        </w:numPr>
        <w:shd w:val="clear" w:color="auto" w:fill="auto"/>
        <w:tabs>
          <w:tab w:pos="260" w:val="left"/>
        </w:tabs>
        <w:bidi w:val="0"/>
        <w:spacing w:before="0" w:line="223" w:lineRule="auto"/>
        <w:ind w:left="0" w:right="0" w:firstLine="0"/>
        <w:jc w:val="both"/>
      </w:pPr>
      <w:bookmarkStart w:id="393" w:name="bookmark393"/>
      <w:r>
        <w:rPr>
          <w:rFonts w:ascii="Times New Roman" w:eastAsia="Times New Roman" w:hAnsi="Times New Roman" w:cs="Times New Roman"/>
          <w:color w:val="000000"/>
          <w:spacing w:val="0"/>
          <w:w w:val="100"/>
          <w:position w:val="0"/>
          <w:shd w:val="clear" w:color="auto" w:fill="auto"/>
          <w:lang w:val="hr-HR" w:eastAsia="hr-HR" w:bidi="hr-HR"/>
        </w:rPr>
        <w:t>islamski</w:t>
      </w:r>
      <w:bookmarkEnd w:id="393"/>
    </w:p>
    <w:p>
      <w:pPr>
        <w:pStyle w:val="Style20"/>
        <w:keepNext w:val="0"/>
        <w:keepLines w:val="0"/>
        <w:widowControl w:val="0"/>
        <w:shd w:val="clear" w:color="auto" w:fill="auto"/>
        <w:bidi w:val="0"/>
        <w:spacing w:before="0" w:after="60" w:line="240" w:lineRule="auto"/>
        <w:ind w:left="0" w:right="0" w:firstLine="0"/>
        <w:jc w:val="both"/>
        <w:sectPr>
          <w:headerReference w:type="default" r:id="rId1577"/>
          <w:footerReference w:type="default" r:id="rId1578"/>
          <w:headerReference w:type="even" r:id="rId1579"/>
          <w:footerReference w:type="even" r:id="rId1580"/>
          <w:headerReference w:type="first" r:id="rId1581"/>
          <w:footerReference w:type="first" r:id="rId1582"/>
          <w:footnotePr>
            <w:pos w:val="pageBottom"/>
            <w:numFmt w:val="decimal"/>
            <w:numRestart w:val="continuous"/>
            <w15:footnoteColumns w:val="1"/>
          </w:footnotePr>
          <w:pgSz w:w="6816" w:h="11006"/>
          <w:pgMar w:top="947" w:left="195" w:right="199" w:bottom="465" w:header="0" w:footer="3" w:gutter="0"/>
          <w:cols w:num="2" w:space="18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Izraženo riječima, islamsko i. v. glasi: »Nema boga osim Boga; Muhamed je rob i poslanik Božji«. Prvi dio ispovijesti čini neizostavni ele</w:t>
        <w:softHyphen/>
        <w:t>ment vjeroispovijesti svake varijante objavlje</w:t>
        <w:softHyphen/>
        <w:t>ne religije. Drugi je dio promjenjiv; u njemu uvijek figurira ime onoga Božjeg poslanika koji se za dotičnu objavu smatra odgovornim kao nositelj navještaja. Za ovu, po musliman</w:t>
        <w:softHyphen/>
        <w:t>skom shvaćanju posljednju varijantu jedinstve</w:t>
        <w:softHyphen/>
        <w:t>ne objavljene religije odgovornim se smatra Muhamed. Uključivanje Božjega poslanika u islamskoj vjeroispovijesti pokazuje se nužnim i zato što se samo tako od početka može jasno ocrtati njegova ljudska dimenzija. U islamskoj vjeroispovijesti Muhamed se izričito oslovlja</w:t>
        <w:softHyphen/>
        <w:t xml:space="preserve">va kao </w:t>
      </w:r>
      <w:r>
        <w:rPr>
          <w:rFonts w:ascii="Times New Roman" w:eastAsia="Times New Roman" w:hAnsi="Times New Roman" w:cs="Times New Roman"/>
          <w:i/>
          <w:iCs/>
          <w:color w:val="000000"/>
          <w:spacing w:val="0"/>
          <w:w w:val="100"/>
          <w:position w:val="0"/>
          <w:shd w:val="clear" w:color="auto" w:fill="auto"/>
          <w:lang w:val="hr-HR" w:eastAsia="hr-HR" w:bidi="hr-HR"/>
        </w:rPr>
        <w:t>rob</w:t>
      </w:r>
      <w:r>
        <w:rPr>
          <w:rFonts w:ascii="Times New Roman" w:eastAsia="Times New Roman" w:hAnsi="Times New Roman" w:cs="Times New Roman"/>
          <w:color w:val="000000"/>
          <w:spacing w:val="0"/>
          <w:w w:val="100"/>
          <w:position w:val="0"/>
          <w:shd w:val="clear" w:color="auto" w:fill="auto"/>
          <w:lang w:val="hr-HR" w:eastAsia="hr-HR" w:bidi="hr-HR"/>
        </w:rPr>
        <w:t xml:space="preserve"> ili kao </w:t>
      </w:r>
      <w:r>
        <w:rPr>
          <w:rFonts w:ascii="Times New Roman" w:eastAsia="Times New Roman" w:hAnsi="Times New Roman" w:cs="Times New Roman"/>
          <w:i/>
          <w:iCs/>
          <w:color w:val="000000"/>
          <w:spacing w:val="0"/>
          <w:w w:val="100"/>
          <w:position w:val="0"/>
          <w:shd w:val="clear" w:color="auto" w:fill="auto"/>
          <w:lang w:val="hr-HR" w:eastAsia="hr-HR" w:bidi="hr-HR"/>
        </w:rPr>
        <w:t>sluga</w:t>
      </w:r>
      <w:r>
        <w:rPr>
          <w:rFonts w:ascii="Times New Roman" w:eastAsia="Times New Roman" w:hAnsi="Times New Roman" w:cs="Times New Roman"/>
          <w:color w:val="000000"/>
          <w:spacing w:val="0"/>
          <w:w w:val="100"/>
          <w:position w:val="0"/>
          <w:shd w:val="clear" w:color="auto" w:fill="auto"/>
          <w:lang w:val="hr-HR" w:eastAsia="hr-HR" w:bidi="hr-HR"/>
        </w:rPr>
        <w:t xml:space="preserve"> Božji, kako nitko ne bi došao na pomisao da mu pripisuje recimo božanske ovlasti.</w:t>
      </w:r>
    </w:p>
    <w:p>
      <w:pPr>
        <w:pStyle w:val="Style20"/>
        <w:keepNext w:val="0"/>
        <w:keepLines w:val="0"/>
        <w:widowControl w:val="0"/>
        <w:shd w:val="clear" w:color="auto" w:fill="auto"/>
        <w:bidi w:val="0"/>
        <w:spacing w:before="0" w:after="3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prvom razdoblju islama Muhamed se zado</w:t>
        <w:softHyphen/>
        <w:t>voljio jednom ispoviješću Bogu kao bi obra</w:t>
        <w:softHyphen/>
        <w:t>ćenike priznao kao muslimane. S ispoviješću Alahu, Gospodaru svih ljudi, doista se ute</w:t>
        <w:softHyphen/>
        <w:t>meljuje pripadnost islamu u univerzalnom smislu. V. je srž svake religije. Ona je iz te</w:t>
        <w:softHyphen/>
        <w:t xml:space="preserve">melja ozbiljna stvar. U islamu se ona označuje riječju </w:t>
      </w:r>
      <w:r>
        <w:rPr>
          <w:rFonts w:ascii="Times New Roman" w:eastAsia="Times New Roman" w:hAnsi="Times New Roman" w:cs="Times New Roman"/>
          <w:i/>
          <w:iCs/>
          <w:color w:val="000000"/>
          <w:spacing w:val="0"/>
          <w:w w:val="100"/>
          <w:position w:val="0"/>
          <w:shd w:val="clear" w:color="auto" w:fill="auto"/>
          <w:lang w:val="hr-HR" w:eastAsia="hr-HR" w:bidi="hr-HR"/>
        </w:rPr>
        <w:t>aš-šehada (ash-shahada),</w:t>
      </w:r>
      <w:r>
        <w:rPr>
          <w:rFonts w:ascii="Times New Roman" w:eastAsia="Times New Roman" w:hAnsi="Times New Roman" w:cs="Times New Roman"/>
          <w:color w:val="000000"/>
          <w:spacing w:val="0"/>
          <w:w w:val="100"/>
          <w:position w:val="0"/>
          <w:shd w:val="clear" w:color="auto" w:fill="auto"/>
          <w:lang w:val="hr-HR" w:eastAsia="hr-HR" w:bidi="hr-HR"/>
        </w:rPr>
        <w:t xml:space="preserve"> što znači isto što i </w:t>
      </w:r>
      <w:r>
        <w:rPr>
          <w:rFonts w:ascii="Times New Roman" w:eastAsia="Times New Roman" w:hAnsi="Times New Roman" w:cs="Times New Roman"/>
          <w:i/>
          <w:iCs/>
          <w:color w:val="000000"/>
          <w:spacing w:val="0"/>
          <w:w w:val="100"/>
          <w:position w:val="0"/>
          <w:shd w:val="clear" w:color="auto" w:fill="auto"/>
          <w:lang w:val="hr-HR" w:eastAsia="hr-HR" w:bidi="hr-HR"/>
        </w:rPr>
        <w:t>iskaz svjedoka.</w:t>
      </w:r>
      <w:r>
        <w:rPr>
          <w:rFonts w:ascii="Times New Roman" w:eastAsia="Times New Roman" w:hAnsi="Times New Roman" w:cs="Times New Roman"/>
          <w:color w:val="000000"/>
          <w:spacing w:val="0"/>
          <w:w w:val="100"/>
          <w:position w:val="0"/>
          <w:shd w:val="clear" w:color="auto" w:fill="auto"/>
          <w:lang w:val="hr-HR" w:eastAsia="hr-HR" w:bidi="hr-HR"/>
        </w:rPr>
        <w:t xml:space="preserve"> Ozbiljnost svoje vjere is</w:t>
        <w:softHyphen/>
        <w:t xml:space="preserve">kren musliman između ostaloga potvrđuje i tako što se - kada je to nužno - bori za vjeru </w:t>
      </w:r>
      <w:r>
        <w:rPr>
          <w:rFonts w:ascii="Times New Roman" w:eastAsia="Times New Roman" w:hAnsi="Times New Roman" w:cs="Times New Roman"/>
          <w:i/>
          <w:iCs/>
          <w:color w:val="000000"/>
          <w:spacing w:val="0"/>
          <w:w w:val="100"/>
          <w:position w:val="0"/>
          <w:shd w:val="clear" w:color="auto" w:fill="auto"/>
          <w:lang w:val="hr-HR" w:eastAsia="hr-HR" w:bidi="hr-HR"/>
        </w:rPr>
        <w:t>(—&gt; džihad).</w:t>
      </w:r>
      <w:r>
        <w:rPr>
          <w:rFonts w:ascii="Times New Roman" w:eastAsia="Times New Roman" w:hAnsi="Times New Roman" w:cs="Times New Roman"/>
          <w:color w:val="000000"/>
          <w:spacing w:val="0"/>
          <w:w w:val="100"/>
          <w:position w:val="0"/>
          <w:shd w:val="clear" w:color="auto" w:fill="auto"/>
          <w:lang w:val="hr-HR" w:eastAsia="hr-HR" w:bidi="hr-HR"/>
        </w:rPr>
        <w:t xml:space="preserve"> Vjernik koji padne u takvoj borbi ili na bilo koji način izgubi život slovi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še- hid </w:t>
      </w:r>
      <w:r>
        <w:rPr>
          <w:rFonts w:ascii="Times New Roman" w:eastAsia="Times New Roman" w:hAnsi="Times New Roman" w:cs="Times New Roman"/>
          <w:i/>
          <w:iCs/>
          <w:color w:val="000000"/>
          <w:spacing w:val="0"/>
          <w:w w:val="100"/>
          <w:position w:val="0"/>
          <w:shd w:val="clear" w:color="auto" w:fill="auto"/>
          <w:lang w:val="en-US" w:eastAsia="en-US" w:bidi="en-US"/>
        </w:rPr>
        <w:t>(shahid:</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svjedok krvlju, -» mučenik). Sre</w:t>
        <w:softHyphen/>
        <w:t>dišnja se misao vjeroispovijesti dalje izvodi u mističnim krugovima. Tako mnogi sufije vje</w:t>
        <w:softHyphen/>
        <w:t>ruju da u svijetu zbiljski nitko drugi ne djeluje osim Boga. Oni još radikalniji smatraju: »Ne</w:t>
        <w:softHyphen/>
        <w:t>ma nikakvoga bića osim Boga«. Oni tada na</w:t>
        <w:softHyphen/>
        <w:t>puštaju svoju osobnost i sjedinjuju se s Bo</w:t>
        <w:softHyphen/>
        <w:t>gom. Za njih monoteizam znači »da se na stvari gleda okom ne-bitka«. Na području mističnog iskustva Bog je »jedina realnost, jedino biće; ono nebožansko stoji mu nasu</w:t>
        <w:softHyphen/>
        <w:t xml:space="preserve">prot kao privid bitku« </w:t>
      </w:r>
      <w:r>
        <w:rPr>
          <w:rFonts w:ascii="Times New Roman" w:eastAsia="Times New Roman" w:hAnsi="Times New Roman" w:cs="Times New Roman"/>
          <w:color w:val="000000"/>
          <w:spacing w:val="0"/>
          <w:w w:val="100"/>
          <w:position w:val="0"/>
          <w:shd w:val="clear" w:color="auto" w:fill="auto"/>
          <w:lang w:val="en-US" w:eastAsia="en-US" w:bidi="en-US"/>
        </w:rPr>
        <w:t xml:space="preserve">(Richard </w:t>
      </w:r>
      <w:r>
        <w:rPr>
          <w:rFonts w:ascii="Times New Roman" w:eastAsia="Times New Roman" w:hAnsi="Times New Roman" w:cs="Times New Roman"/>
          <w:color w:val="000000"/>
          <w:spacing w:val="0"/>
          <w:w w:val="100"/>
          <w:position w:val="0"/>
          <w:shd w:val="clear" w:color="auto" w:fill="auto"/>
          <w:lang w:val="hr-HR" w:eastAsia="hr-HR" w:bidi="hr-HR"/>
        </w:rPr>
        <w:t xml:space="preserve">Gramlich, </w:t>
      </w:r>
      <w:r>
        <w:rPr>
          <w:rFonts w:ascii="Times New Roman" w:eastAsia="Times New Roman" w:hAnsi="Times New Roman" w:cs="Times New Roman"/>
          <w:color w:val="000000"/>
          <w:spacing w:val="0"/>
          <w:w w:val="100"/>
          <w:position w:val="0"/>
          <w:shd w:val="clear" w:color="auto" w:fill="auto"/>
          <w:lang w:val="en-US" w:eastAsia="en-US" w:bidi="en-US"/>
        </w:rPr>
        <w:t xml:space="preserve">Mystische </w:t>
      </w:r>
      <w:r>
        <w:rPr>
          <w:rFonts w:ascii="Times New Roman" w:eastAsia="Times New Roman" w:hAnsi="Times New Roman" w:cs="Times New Roman"/>
          <w:color w:val="000000"/>
          <w:spacing w:val="0"/>
          <w:w w:val="100"/>
          <w:position w:val="0"/>
          <w:shd w:val="clear" w:color="auto" w:fill="auto"/>
          <w:lang w:val="hr-HR" w:eastAsia="hr-HR" w:bidi="hr-HR"/>
        </w:rPr>
        <w:t xml:space="preserve">Dimcnsionen des islamischen Mo- notheismus,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Glauben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an den einen Gott, </w:t>
      </w:r>
      <w:r>
        <w:rPr>
          <w:rFonts w:ascii="Times New Roman" w:eastAsia="Times New Roman" w:hAnsi="Times New Roman" w:cs="Times New Roman"/>
          <w:color w:val="000000"/>
          <w:spacing w:val="0"/>
          <w:w w:val="100"/>
          <w:position w:val="0"/>
          <w:shd w:val="clear" w:color="auto" w:fill="auto"/>
          <w:lang w:val="en-US" w:eastAsia="en-US" w:bidi="en-US"/>
        </w:rPr>
        <w:t xml:space="preserve">Freiburg/Basel/Wien 1975,197). s. </w:t>
      </w:r>
      <w:r>
        <w:rPr>
          <w:rFonts w:ascii="Times New Roman" w:eastAsia="Times New Roman" w:hAnsi="Times New Roman" w:cs="Times New Roman"/>
          <w:smallCaps/>
          <w:color w:val="000000"/>
          <w:spacing w:val="0"/>
          <w:w w:val="100"/>
          <w:position w:val="0"/>
          <w:shd w:val="clear" w:color="auto" w:fill="auto"/>
          <w:lang w:val="hr-HR" w:eastAsia="hr-HR" w:bidi="hr-HR"/>
        </w:rPr>
        <w:t>ualić</w:t>
      </w:r>
    </w:p>
    <w:p>
      <w:pPr>
        <w:pStyle w:val="Style33"/>
        <w:keepNext w:val="0"/>
        <w:keepLines w:val="0"/>
        <w:widowControl w:val="0"/>
        <w:shd w:val="clear" w:color="auto" w:fill="auto"/>
        <w:bidi w:val="0"/>
        <w:spacing w:before="0" w:after="18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VLASNIŠTVO</w:t>
      </w:r>
    </w:p>
    <w:p>
      <w:pPr>
        <w:pStyle w:val="Style63"/>
        <w:keepNext/>
        <w:keepLines/>
        <w:widowControl w:val="0"/>
        <w:numPr>
          <w:ilvl w:val="0"/>
          <w:numId w:val="619"/>
        </w:numPr>
        <w:shd w:val="clear" w:color="auto" w:fill="auto"/>
        <w:tabs>
          <w:tab w:pos="246" w:val="left"/>
        </w:tabs>
        <w:bidi w:val="0"/>
        <w:spacing w:before="0" w:after="100" w:line="223" w:lineRule="auto"/>
        <w:ind w:left="0" w:right="0" w:firstLine="0"/>
        <w:jc w:val="both"/>
      </w:pPr>
      <w:bookmarkStart w:id="394" w:name="bookmark394"/>
      <w:r>
        <w:rPr>
          <w:rFonts w:ascii="Times New Roman" w:eastAsia="Times New Roman" w:hAnsi="Times New Roman" w:cs="Times New Roman"/>
          <w:color w:val="000000"/>
          <w:spacing w:val="0"/>
          <w:w w:val="100"/>
          <w:position w:val="0"/>
          <w:shd w:val="clear" w:color="auto" w:fill="auto"/>
          <w:lang w:val="hr-HR" w:eastAsia="hr-HR" w:bidi="hr-HR"/>
        </w:rPr>
        <w:t>židovski</w:t>
      </w:r>
      <w:bookmarkEnd w:id="394"/>
    </w:p>
    <w:p>
      <w:pPr>
        <w:pStyle w:val="Style20"/>
        <w:keepNext w:val="0"/>
        <w:keepLines w:val="0"/>
        <w:widowControl w:val="0"/>
        <w:numPr>
          <w:ilvl w:val="0"/>
          <w:numId w:val="621"/>
        </w:numPr>
        <w:shd w:val="clear" w:color="auto" w:fill="auto"/>
        <w:tabs>
          <w:tab w:pos="270" w:val="left"/>
        </w:tabs>
        <w:bidi w:val="0"/>
        <w:spacing w:before="0" w:after="1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»Jer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ti daje snagu da stekneš bogatstvo.« </w:t>
      </w:r>
      <w:r>
        <w:rPr>
          <w:rFonts w:ascii="Times New Roman" w:eastAsia="Times New Roman" w:hAnsi="Times New Roman" w:cs="Times New Roman"/>
          <w:color w:val="000000"/>
          <w:spacing w:val="0"/>
          <w:w w:val="100"/>
          <w:position w:val="0"/>
          <w:shd w:val="clear" w:color="auto" w:fill="auto"/>
          <w:lang w:val="en-US" w:eastAsia="en-US" w:bidi="en-US"/>
        </w:rPr>
        <w:t xml:space="preserve">Abraham ibn Ezra </w:t>
      </w:r>
      <w:r>
        <w:rPr>
          <w:rFonts w:ascii="Times New Roman" w:eastAsia="Times New Roman" w:hAnsi="Times New Roman" w:cs="Times New Roman"/>
          <w:color w:val="000000"/>
          <w:spacing w:val="0"/>
          <w:w w:val="100"/>
          <w:position w:val="0"/>
          <w:shd w:val="clear" w:color="auto" w:fill="auto"/>
          <w:lang w:val="hr-HR" w:eastAsia="hr-HR" w:bidi="hr-HR"/>
        </w:rPr>
        <w:t>(u. 1167) izjavio je u svo</w:t>
        <w:softHyphen/>
        <w:t>jem komentaru Pentateuha za Pnz 8,18: »Sje</w:t>
        <w:softHyphen/>
        <w:t>titi se Boga kao izvora svog bogatstva mjera je opreza za ludost da sc uspjeh pripiše vlastitim snagama.« Time je označio važan kontekst u biblijskoj opomeni Izraela: nakon opisa obilja i plodnosti zemlje, bogatstva i vlasništva Iz</w:t>
        <w:softHyphen/>
        <w:t>raela (Pnz 8,7-9) ona čvrsto veže obećanje sa zahtjevom: »Jest ćeš i nasititi se, blagoslivljat ćeš NJEGA, svojega Boga, za dobru zemlju koju ti je dao« (Pnz 8,10). Upravo u povolj</w:t>
        <w:softHyphen/>
        <w:t>nim uvjetima Izraelova života ona otkriva is</w:t>
        <w:softHyphen/>
        <w:t>kušenje da u vlasništvu vidi uspjeh njegovih tjelesnih i duhovnih napora što ih je uložio u svoj rad i da tako Stvoritelju koji mu sve daje neće ostati vjeran: »1 pošto se najedeš i nasi- tiš, posagradiš lijepe kuće i zaposjedneš ih.</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 ti se krupna i sitna stoka namnoži, kad sc nakupiš srebra i zlata, i kad se sve tvoje na</w:t>
        <w:softHyphen/>
        <w:t>množi, tvoje bi se srce moglo uzoholiti, pa bi mogao zaboraviti NJEGA, svojega Boga... - mogao bi u svojem srcu reći: Moja snaga, jakost moje ruke namaknula mi jc ovo bogat</w:t>
        <w:softHyphen/>
        <w:t>stvo!« (Pnz 8,12-17); ona poziva pojedinca u narodu da se baš u vremenima sretnog posje</w:t>
        <w:softHyphen/>
        <w:t xml:space="preserve">dovanja odluči poći Božjim putovima: »Sjeti se NJEGA, svojega Boga, jer on ti daje snagu da stekneš bogatstvo« (Pnz 8,18). Nakon toga »v.«, znači »zaposjednuto«, tj. zaposjednuti dar za koji treba odgovarati: »Pogledaj zemlju kanaansku što ću jc dati Izraelcima u posjed« (kao zaposjednuto, </w:t>
      </w:r>
      <w:r>
        <w:rPr>
          <w:rFonts w:ascii="Times New Roman" w:eastAsia="Times New Roman" w:hAnsi="Times New Roman" w:cs="Times New Roman"/>
          <w:i/>
          <w:iCs/>
          <w:color w:val="000000"/>
          <w:spacing w:val="0"/>
          <w:w w:val="100"/>
          <w:position w:val="0"/>
          <w:shd w:val="clear" w:color="auto" w:fill="auto"/>
          <w:lang w:val="hr-HR" w:eastAsia="hr-HR" w:bidi="hr-HR"/>
        </w:rPr>
        <w:t>ahusa).</w:t>
      </w:r>
      <w:r>
        <w:rPr>
          <w:rFonts w:ascii="Times New Roman" w:eastAsia="Times New Roman" w:hAnsi="Times New Roman" w:cs="Times New Roman"/>
          <w:color w:val="000000"/>
          <w:spacing w:val="0"/>
          <w:w w:val="100"/>
          <w:position w:val="0"/>
          <w:shd w:val="clear" w:color="auto" w:fill="auto"/>
          <w:lang w:val="hr-HR" w:eastAsia="hr-HR" w:bidi="hr-HR"/>
        </w:rPr>
        <w:t xml:space="preserve"> Biblijski kontekst podcrtava to vezivanje »vlasništva« na Boga prema dvije strane - u vezi s vlašću Boga nad narodima na zemlji: »Ta moj je sav svijet« (Izl 19,5) i s njegovim vlasništvom zemlje kanaan- ske: »Jer zemlja pripada meni«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25,23). Razumijevanju vlasništva bitno pridonose dvi</w:t>
        <w:softHyphen/>
        <w:t xml:space="preserve">je riječi, kojima Bog sebi pripisuje »svijet/zem- lju«: </w:t>
      </w:r>
      <w:r>
        <w:rPr>
          <w:rFonts w:ascii="Times New Roman" w:eastAsia="Times New Roman" w:hAnsi="Times New Roman" w:cs="Times New Roman"/>
          <w:i/>
          <w:iCs/>
          <w:color w:val="000000"/>
          <w:spacing w:val="0"/>
          <w:w w:val="100"/>
          <w:position w:val="0"/>
          <w:shd w:val="clear" w:color="auto" w:fill="auto"/>
          <w:lang w:val="hr-HR" w:eastAsia="hr-HR" w:bidi="hr-HR"/>
        </w:rPr>
        <w:t>Svi</w:t>
      </w:r>
      <w:r>
        <w:rPr>
          <w:rFonts w:ascii="Times New Roman" w:eastAsia="Times New Roman" w:hAnsi="Times New Roman" w:cs="Times New Roman"/>
          <w:color w:val="000000"/>
          <w:spacing w:val="0"/>
          <w:w w:val="100"/>
          <w:position w:val="0"/>
          <w:shd w:val="clear" w:color="auto" w:fill="auto"/>
          <w:lang w:val="hr-HR" w:eastAsia="hr-HR" w:bidi="hr-HR"/>
        </w:rPr>
        <w:t xml:space="preserve"> ljudi su kao stvorenja jednog Stvo</w:t>
        <w:softHyphen/>
        <w:t>ritelja nalik jedni na druge i trebaju sudjelo</w:t>
        <w:softHyphen/>
        <w:t>vati u radnjama »pravednoga« Boga (Ps 119, 137.142).</w:t>
      </w:r>
    </w:p>
    <w:p>
      <w:pPr>
        <w:pStyle w:val="Style20"/>
        <w:keepNext w:val="0"/>
        <w:keepLines w:val="0"/>
        <w:widowControl w:val="0"/>
        <w:numPr>
          <w:ilvl w:val="0"/>
          <w:numId w:val="621"/>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 zatvaraj ruke prema svomu siromašnom bratu«:</w:t>
      </w:r>
      <w:r>
        <w:rPr>
          <w:rFonts w:ascii="Times New Roman" w:eastAsia="Times New Roman" w:hAnsi="Times New Roman" w:cs="Times New Roman"/>
          <w:color w:val="000000"/>
          <w:spacing w:val="0"/>
          <w:w w:val="100"/>
          <w:position w:val="0"/>
          <w:shd w:val="clear" w:color="auto" w:fill="auto"/>
          <w:lang w:val="hr-HR" w:eastAsia="hr-HR" w:bidi="hr-HR"/>
        </w:rPr>
        <w:t xml:space="preserve"> Međutim, posljedica socijalno uteme</w:t>
        <w:softHyphen/>
        <w:t xml:space="preserve">ljene »pravednosti« </w:t>
      </w:r>
      <w:r>
        <w:rPr>
          <w:rFonts w:ascii="Times New Roman" w:eastAsia="Times New Roman" w:hAnsi="Times New Roman" w:cs="Times New Roman"/>
          <w:i/>
          <w:iCs/>
          <w:color w:val="000000"/>
          <w:spacing w:val="0"/>
          <w:w w:val="100"/>
          <w:position w:val="0"/>
          <w:shd w:val="clear" w:color="auto" w:fill="auto"/>
          <w:lang w:val="hr-HR" w:eastAsia="hr-HR" w:bidi="hr-HR"/>
        </w:rPr>
        <w:t>(cedaka,</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19,36; Pnz 1,16,16,20; 1 Sam 12,3; Iz 5,16; 26,10) relativi- zacija je vlasništva: šabatna zapovijed, kojom se od svakog čovjeka traži da sc na dan mi</w:t>
        <w:softHyphen/>
        <w:t>rovanja svakoga tjedna sjeti Božjeg počinka (Izl 23,12, usp. 31,14—17), ograničava težnju za dobiti izrabljivanjem radne snage čovjeka i životinje; njegovo proširenje te zapovijedi na polja u odredbama o šabatnoj i jubilarnoj go</w:t>
        <w:softHyphen/>
        <w:t xml:space="preserve">dini za zemljoposjed, kojima se traži odusta- nak od plodova zemlje (Izl 23,10 i d.;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25,1-7.8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 xml:space="preserve">zatim u odredbama o godini oproštenja </w:t>
      </w:r>
      <w:r>
        <w:rPr>
          <w:rFonts w:ascii="Times New Roman" w:eastAsia="Times New Roman" w:hAnsi="Times New Roman" w:cs="Times New Roman"/>
          <w:i/>
          <w:iCs/>
          <w:color w:val="000000"/>
          <w:spacing w:val="0"/>
          <w:w w:val="100"/>
          <w:position w:val="0"/>
          <w:shd w:val="clear" w:color="auto" w:fill="auto"/>
          <w:lang w:val="hr-HR" w:eastAsia="hr-HR" w:bidi="hr-HR"/>
        </w:rPr>
        <w:t>(šemita)</w:t>
      </w:r>
      <w:r>
        <w:rPr>
          <w:rFonts w:ascii="Times New Roman" w:eastAsia="Times New Roman" w:hAnsi="Times New Roman" w:cs="Times New Roman"/>
          <w:color w:val="000000"/>
          <w:spacing w:val="0"/>
          <w:w w:val="100"/>
          <w:position w:val="0"/>
          <w:shd w:val="clear" w:color="auto" w:fill="auto"/>
          <w:lang w:val="hr-HR" w:eastAsia="hr-HR" w:bidi="hr-HR"/>
        </w:rPr>
        <w:t xml:space="preserve"> dugova (Pnz 15,1-11) te primjena broja sedam na godine služenja ro</w:t>
        <w:softHyphen/>
        <w:t>bova s njihovim pravom puštanja na slobodu (Izl 21,2 i d.; Pnz 15,12 i d.) ciljaju na ponovnu uspostavu prvobitno utemeljena socijalnog poretka; one ukidaju povlasticu vlasništva nad žetvom i novim naraštajem, ali i nad neslo</w:t>
        <w:softHyphen/>
        <w:t xml:space="preserve">bodnim čovjekom i njegovim radom. Prednost nema zaštita vlasništva već čovjeka, posebice socijalno slabijega: Dobrotvornost koju Bog traži od pojedinca prema potrebitim bližnjima naziva se od biblijskoga doba »ccdaka« (Dn </w:t>
      </w:r>
      <w:r>
        <w:rPr>
          <w:rFonts w:ascii="Times New Roman" w:eastAsia="Times New Roman" w:hAnsi="Times New Roman" w:cs="Times New Roman"/>
          <w:color w:val="000000"/>
          <w:spacing w:val="0"/>
          <w:w w:val="100"/>
          <w:position w:val="0"/>
          <w:shd w:val="clear" w:color="auto" w:fill="auto"/>
          <w:lang w:val="hr-HR" w:eastAsia="hr-HR" w:bidi="hr-HR"/>
        </w:rPr>
        <w:t>4,24; za Iz 32,17 usp. M Avot 11,7, b Bava ba- tra 9a). Pod »pravednošću« se stoga u židov</w:t>
        <w:softHyphen/>
        <w:t>stvu jednostavno razumije potpora nevoljni</w:t>
        <w:softHyphen/>
        <w:t>cima: »Nađe li se kod tebe kakav siromah... ne budi tvrda srca niti zatvaraj ruke prema svomu siromašnom bratu, nego mu širom ras</w:t>
        <w:softHyphen/>
        <w:t xml:space="preserve">tvori svoju ruku...« (Pnz 15,7 i d.; usp. Izl 22,25 i d.;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25,35 i d.; M Avot 1,5; Bava ba- tra lOa-b). »Pravednost« koja socijalno izjed</w:t>
        <w:softHyphen/>
        <w:t>načava provodi se prije svega predajom imo</w:t>
        <w:softHyphen/>
        <w:t>vine i imovinskih vrijednosti za dobro gospo</w:t>
        <w:softHyphen/>
        <w:t>darski slabih. To obvezno dobročinstvo ne ograničava samo v.; ono ograničava i pravo raspolaganja vlasništvom. To se odnosi na de</w:t>
        <w:softHyphen/>
        <w:t>setinu koja se svake tri godine mora, osim le- vitima, dati došljacima i siromašnima (Pnz 14,28 i d.; 26,12 i d.), na nekažnjenom na- sićcnju gladnoga (23,25), na propisanu obve</w:t>
        <w:softHyphen/>
        <w:t xml:space="preserve">zu svakog zemljoposjednika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19,9; 23,22; Pnz 24,19 i d.) da krajnji rub svojega polja ili voćnjaka prepusti siromašnima (M Pea 1,2; usp. Majmonid, Mišnc Tora, Hilhot matenot anijim 1,15; S; Šulhan aruh, Jorc dca § 332), na općenito zabranjeno činjenje materijalne štete (M Bava kama 91b, usp. Pnz 20,19). Osim toga, v. su presudno ograničavali zakon</w:t>
        <w:softHyphen/>
        <w:t>ski nasljedni red (Br 27,8 i d.; Pnz 21,15 i d.; b Bava batra 108b; 110a i d.) i obzir prema su</w:t>
        <w:softHyphen/>
        <w:t>sjedu (b Baba Batra II, 1 i d.), a povremeno zahtjevi javnosti, npr. za dozvolu prava pro</w:t>
        <w:softHyphen/>
        <w:t>laza (VI,5).</w:t>
      </w:r>
    </w:p>
    <w:p>
      <w:pPr>
        <w:pStyle w:val="Style20"/>
        <w:keepNext w:val="0"/>
        <w:keepLines w:val="0"/>
        <w:widowControl w:val="0"/>
        <w:numPr>
          <w:ilvl w:val="0"/>
          <w:numId w:val="621"/>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-Uzmi ili ću uzeti ja«:</w:t>
      </w:r>
      <w:r>
        <w:rPr>
          <w:rFonts w:ascii="Times New Roman" w:eastAsia="Times New Roman" w:hAnsi="Times New Roman" w:cs="Times New Roman"/>
          <w:color w:val="000000"/>
          <w:spacing w:val="0"/>
          <w:w w:val="100"/>
          <w:position w:val="0"/>
          <w:shd w:val="clear" w:color="auto" w:fill="auto"/>
          <w:lang w:val="hr-HR" w:eastAsia="hr-HR" w:bidi="hr-HR"/>
        </w:rPr>
        <w:t xml:space="preserve"> Mnoštvo propisa o vlasništvu trebalo je pomoći osigurati mir u zajednici. Prema židovskom pravu nekoliko osoba mogu zajednički posjedovati jednu stvar. Suvlasnici ne smiju jedni druge oštetiti u korištenju (M Bava batra 1,1 i d.), moraju u jednakim dijelovima snositi teret zajedničkog ulaganja (b Bava mecia 108a) i dijeliti plodove s drveća koje ima korijenje u oba posjeda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107a). Nasljednici se smatraju suvlasni</w:t>
        <w:softHyphen/>
        <w:t>cima prije podjele nasljedstva (b Bava batra 143b). I nakon podjele suvlasništva ostaju ne</w:t>
        <w:softHyphen/>
        <w:t xml:space="preserve">ka prava i dužnosti prijašnjih suvlasnika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13b). Ako se podjela ipak ne obavi na miran način, odlučuje se prema mjerilu: »Uzmi li ću uzeti ja«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13a) tako da jedan zadrži v., a drugi ga napusti uz primjerenu cijenu.</w:t>
      </w:r>
    </w:p>
    <w:p>
      <w:pPr>
        <w:pStyle w:val="Style20"/>
        <w:keepNext w:val="0"/>
        <w:keepLines w:val="0"/>
        <w:widowControl w:val="0"/>
        <w:numPr>
          <w:ilvl w:val="0"/>
          <w:numId w:val="621"/>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-Pripada njemu jer ga se vlasnik odrekao«: </w:t>
      </w:r>
      <w:r>
        <w:rPr>
          <w:rFonts w:ascii="Times New Roman" w:eastAsia="Times New Roman" w:hAnsi="Times New Roman" w:cs="Times New Roman"/>
          <w:color w:val="000000"/>
          <w:spacing w:val="0"/>
          <w:w w:val="100"/>
          <w:position w:val="0"/>
          <w:shd w:val="clear" w:color="auto" w:fill="auto"/>
          <w:lang w:val="hr-HR" w:eastAsia="hr-HR" w:bidi="hr-HR"/>
        </w:rPr>
        <w:t>Halaški propisi znaju za dva stjccajna akta: u prvobitnim propisima vlasnik postaje primar</w:t>
        <w:softHyphen/>
        <w:t>ni stjecatelj, npr. »Ako tko nade novac u bo</w:t>
        <w:softHyphen/>
      </w:r>
      <w:r>
        <w:rPr>
          <w:rFonts w:ascii="Times New Roman" w:eastAsia="Times New Roman" w:hAnsi="Times New Roman" w:cs="Times New Roman"/>
          <w:color w:val="000000"/>
          <w:spacing w:val="0"/>
          <w:w w:val="100"/>
          <w:position w:val="0"/>
          <w:shd w:val="clear" w:color="auto" w:fill="auto"/>
          <w:lang w:val="hr-HR" w:eastAsia="hr-HR" w:bidi="hr-HR"/>
        </w:rPr>
        <w:t>gomolji ili školi ili na bilo kojem drugom mjestu na kojem se skuplja mnoštvo, pripast će nalazniku jer ga se vlasnik odrekao« (b Ba</w:t>
        <w:softHyphen/>
        <w:t>va mecia 21b). Međutim, rabinsko građansko pravo ne dopušta »dosjelost«; štoviše, trogo</w:t>
        <w:softHyphen/>
        <w:t>dišnje v. obrazlaže samo pravna pretpostavka (b Bava batra 55a; 28a i d.; M 111,1 i d.). Ako izgubljenom predmetu nedostaje obilježje, smi</w:t>
        <w:softHyphen/>
        <w:t xml:space="preserve">je se prihvatiti odricanje primarnog vlasnika </w:t>
      </w:r>
      <w:r>
        <w:rPr>
          <w:rFonts w:ascii="Times New Roman" w:eastAsia="Times New Roman" w:hAnsi="Times New Roman" w:cs="Times New Roman"/>
          <w:i/>
          <w:iCs/>
          <w:color w:val="000000"/>
          <w:spacing w:val="0"/>
          <w:w w:val="100"/>
          <w:position w:val="0"/>
          <w:shd w:val="clear" w:color="auto" w:fill="auto"/>
          <w:lang w:val="hr-HR" w:eastAsia="hr-HR" w:bidi="hr-HR"/>
        </w:rPr>
        <w:t>(je'uš,</w:t>
      </w:r>
      <w:r>
        <w:rPr>
          <w:rFonts w:ascii="Times New Roman" w:eastAsia="Times New Roman" w:hAnsi="Times New Roman" w:cs="Times New Roman"/>
          <w:color w:val="000000"/>
          <w:spacing w:val="0"/>
          <w:w w:val="100"/>
          <w:position w:val="0"/>
          <w:shd w:val="clear" w:color="auto" w:fill="auto"/>
          <w:lang w:val="hr-HR" w:eastAsia="hr-HR" w:bidi="hr-HR"/>
        </w:rPr>
        <w:t xml:space="preserve"> »odricanje«), a nalaznik će prisvojiti stvar prema strogom pravu (M Bava mecia </w:t>
      </w:r>
      <w:r>
        <w:rPr>
          <w:rFonts w:ascii="Times New Roman" w:eastAsia="Times New Roman" w:hAnsi="Times New Roman" w:cs="Times New Roman"/>
          <w:color w:val="000000"/>
          <w:spacing w:val="0"/>
          <w:w w:val="100"/>
          <w:position w:val="0"/>
          <w:shd w:val="clear" w:color="auto" w:fill="auto"/>
          <w:lang w:val="en-US" w:eastAsia="en-US" w:bidi="en-US"/>
        </w:rPr>
        <w:t>I—</w:t>
      </w:r>
      <w:r>
        <w:rPr>
          <w:rFonts w:ascii="Times New Roman" w:eastAsia="Times New Roman" w:hAnsi="Times New Roman" w:cs="Times New Roman"/>
          <w:color w:val="000000"/>
          <w:spacing w:val="0"/>
          <w:w w:val="100"/>
          <w:position w:val="0"/>
          <w:shd w:val="clear" w:color="auto" w:fill="auto"/>
          <w:lang w:val="hr-HR" w:eastAsia="hr-HR" w:bidi="hr-HR"/>
        </w:rPr>
        <w:t xml:space="preserve">II). Ako se pak želi držati »unutar pravne linije« i djelovati s punim povjerenjem, mora nalaz i vratiti (b Bava kama 113b). Prilikom izvedene stečevine vlasnik će postati pravni sljednik posebnom odredbom </w:t>
      </w:r>
      <w:r>
        <w:rPr>
          <w:rFonts w:ascii="Times New Roman" w:eastAsia="Times New Roman" w:hAnsi="Times New Roman" w:cs="Times New Roman"/>
          <w:i/>
          <w:iCs/>
          <w:color w:val="000000"/>
          <w:spacing w:val="0"/>
          <w:w w:val="100"/>
          <w:position w:val="0"/>
          <w:shd w:val="clear" w:color="auto" w:fill="auto"/>
          <w:lang w:val="hr-HR" w:eastAsia="hr-HR" w:bidi="hr-HR"/>
        </w:rPr>
        <w:t>(kinjan,</w:t>
      </w:r>
      <w:r>
        <w:rPr>
          <w:rFonts w:ascii="Times New Roman" w:eastAsia="Times New Roman" w:hAnsi="Times New Roman" w:cs="Times New Roman"/>
          <w:color w:val="000000"/>
          <w:spacing w:val="0"/>
          <w:w w:val="100"/>
          <w:position w:val="0"/>
          <w:shd w:val="clear" w:color="auto" w:fill="auto"/>
          <w:lang w:val="hr-HR" w:eastAsia="hr-HR" w:bidi="hr-HR"/>
        </w:rPr>
        <w:t xml:space="preserve"> »stje</w:t>
        <w:softHyphen/>
        <w:t>canje prava«), npr. pri prijenosu zemljišta uz naplatu (b Bava mecia 77a.b).</w:t>
      </w:r>
    </w:p>
    <w:p>
      <w:pPr>
        <w:pStyle w:val="Style20"/>
        <w:keepNext w:val="0"/>
        <w:keepLines w:val="0"/>
        <w:widowControl w:val="0"/>
        <w:numPr>
          <w:ilvl w:val="0"/>
          <w:numId w:val="621"/>
        </w:numPr>
        <w:shd w:val="clear" w:color="auto" w:fill="auto"/>
        <w:tabs>
          <w:tab w:pos="255" w:val="left"/>
        </w:tabs>
        <w:bidi w:val="0"/>
        <w:spacing w:before="0" w:after="8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-Obveza je izraziti (izreći poučak) riječima svojeg učitelja.«</w:t>
      </w:r>
      <w:r>
        <w:rPr>
          <w:rFonts w:ascii="Times New Roman" w:eastAsia="Times New Roman" w:hAnsi="Times New Roman" w:cs="Times New Roman"/>
          <w:color w:val="000000"/>
          <w:spacing w:val="0"/>
          <w:w w:val="100"/>
          <w:position w:val="0"/>
          <w:shd w:val="clear" w:color="auto" w:fill="auto"/>
          <w:lang w:val="hr-HR" w:eastAsia="hr-HR" w:bidi="hr-HR"/>
        </w:rPr>
        <w:t xml:space="preserve"> Već kod učitelja Mišne poka</w:t>
        <w:softHyphen/>
        <w:t>zuje se težnja da se vlastito ime riječju predaje prenese na budući naraštaj. Utvrđena je reli</w:t>
        <w:softHyphen/>
        <w:t>gijska obveza prema kojoj se poučci rastuma- čeni predavanjima u rabinskim školama mo</w:t>
        <w:softHyphen/>
        <w:t>raju citirati uvijek u točnoj verziji i s imenom autora i onoga tko ih prenosi: »Obveza je iz</w:t>
        <w:softHyphen/>
        <w:t>raziti (izreći poučak) riječima svojeg učitelja« (M Edujot 1,3). Židovskom pravu najprije ne</w:t>
        <w:softHyphen/>
        <w:t>poznat pojam duhovnoga vlasništva dobio je sada svoj izraz: »Tko ne prenosi nauk s ime</w:t>
        <w:softHyphen/>
        <w:t xml:space="preserve">nom autora, krši zabranu spomenuti u Salo- monovim izrekama da se siromaha ne smije opljačkati« (Berajta u Jalkutu za Izr 22,22). Savjetovalo se da se kod prenošenja znanja predstavi osobno prisutnoga duhovnog autora (j Sabat 1,3a), a zabranjivalo se prenošenje strane riječi u vlastito ime ili s imenom drugog ili anonimnog autora (b Sukka 28a; Jevamot 96b; Sabataj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Meir ha-kohen, Sifte kohen, Jore dea § 242,24).</w:t>
      </w:r>
    </w:p>
    <w:p>
      <w:pPr>
        <w:pStyle w:val="Style56"/>
        <w:keepNext w:val="0"/>
        <w:keepLines w:val="0"/>
        <w:widowControl w:val="0"/>
        <w:shd w:val="clear" w:color="auto" w:fill="auto"/>
        <w:tabs>
          <w:tab w:pos="2443" w:val="left"/>
        </w:tabs>
        <w:bidi w:val="0"/>
        <w:spacing w:before="0" w:after="28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M. </w:t>
      </w:r>
      <w:r>
        <w:rPr>
          <w:color w:val="000000"/>
          <w:spacing w:val="0"/>
          <w:w w:val="100"/>
          <w:position w:val="0"/>
          <w:shd w:val="clear" w:color="auto" w:fill="auto"/>
        </w:rPr>
        <w:t xml:space="preserve">Bloch, </w:t>
      </w:r>
      <w:r>
        <w:rPr>
          <w:b/>
          <w:bCs/>
          <w:i/>
          <w:iCs/>
          <w:color w:val="000000"/>
          <w:spacing w:val="0"/>
          <w:w w:val="100"/>
          <w:position w:val="0"/>
          <w:sz w:val="9"/>
          <w:szCs w:val="9"/>
          <w:shd w:val="clear" w:color="auto" w:fill="auto"/>
        </w:rPr>
        <w:t xml:space="preserve">Das </w:t>
      </w:r>
      <w:r>
        <w:rPr>
          <w:b/>
          <w:bCs/>
          <w:i/>
          <w:iCs/>
          <w:color w:val="000000"/>
          <w:spacing w:val="0"/>
          <w:w w:val="100"/>
          <w:position w:val="0"/>
          <w:sz w:val="9"/>
          <w:szCs w:val="9"/>
          <w:shd w:val="clear" w:color="auto" w:fill="auto"/>
          <w:lang w:val="hr-HR" w:eastAsia="hr-HR" w:bidi="hr-HR"/>
        </w:rPr>
        <w:t>mosaisch-taltnudische Besilzrccht,</w:t>
      </w:r>
      <w:r>
        <w:rPr>
          <w:color w:val="000000"/>
          <w:spacing w:val="0"/>
          <w:w w:val="100"/>
          <w:position w:val="0"/>
          <w:shd w:val="clear" w:color="auto" w:fill="auto"/>
          <w:lang w:val="hr-HR" w:eastAsia="hr-HR" w:bidi="hr-HR"/>
        </w:rPr>
        <w:t xml:space="preserve"> 1897; </w:t>
      </w:r>
      <w:r>
        <w:rPr>
          <w:b/>
          <w:bCs/>
          <w:i/>
          <w:iCs/>
          <w:color w:val="000000"/>
          <w:spacing w:val="0"/>
          <w:w w:val="100"/>
          <w:position w:val="0"/>
          <w:sz w:val="9"/>
          <w:szCs w:val="9"/>
          <w:shd w:val="clear" w:color="auto" w:fill="auto"/>
          <w:lang w:val="hr-HR" w:eastAsia="hr-HR" w:bidi="hr-HR"/>
        </w:rPr>
        <w:t>Judisches Lejakon</w:t>
      </w:r>
      <w:r>
        <w:rPr>
          <w:color w:val="000000"/>
          <w:spacing w:val="0"/>
          <w:w w:val="100"/>
          <w:position w:val="0"/>
          <w:shd w:val="clear" w:color="auto" w:fill="auto"/>
          <w:lang w:val="hr-HR" w:eastAsia="hr-HR" w:bidi="hr-HR"/>
        </w:rPr>
        <w:t xml:space="preserve"> 2. 1927 (82) 300-308; 3, 703-710; C. G. MontcfiorcM. </w:t>
      </w:r>
      <w:r>
        <w:rPr>
          <w:color w:val="000000"/>
          <w:spacing w:val="0"/>
          <w:w w:val="100"/>
          <w:position w:val="0"/>
          <w:shd w:val="clear" w:color="auto" w:fill="auto"/>
        </w:rPr>
        <w:t xml:space="preserve">Loewe. </w:t>
      </w:r>
      <w:r>
        <w:rPr>
          <w:b/>
          <w:bCs/>
          <w:i/>
          <w:iCs/>
          <w:color w:val="000000"/>
          <w:spacing w:val="0"/>
          <w:w w:val="100"/>
          <w:position w:val="0"/>
          <w:sz w:val="9"/>
          <w:szCs w:val="9"/>
          <w:shd w:val="clear" w:color="auto" w:fill="auto"/>
        </w:rPr>
        <w:t>A Rabbinic Anthology,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1974. 304, 397, 458; S. Rcn-Chorin, </w:t>
      </w:r>
      <w:r>
        <w:rPr>
          <w:b/>
          <w:bCs/>
          <w:i/>
          <w:iCs/>
          <w:color w:val="000000"/>
          <w:spacing w:val="0"/>
          <w:w w:val="100"/>
          <w:position w:val="0"/>
          <w:sz w:val="9"/>
          <w:szCs w:val="9"/>
          <w:shd w:val="clear" w:color="auto" w:fill="auto"/>
        </w:rPr>
        <w:t xml:space="preserve">Die </w:t>
      </w:r>
      <w:r>
        <w:rPr>
          <w:b/>
          <w:bCs/>
          <w:i/>
          <w:iCs/>
          <w:color w:val="000000"/>
          <w:spacing w:val="0"/>
          <w:w w:val="100"/>
          <w:position w:val="0"/>
          <w:sz w:val="9"/>
          <w:szCs w:val="9"/>
          <w:shd w:val="clear" w:color="auto" w:fill="auto"/>
          <w:lang w:val="hr-HR" w:eastAsia="hr-HR" w:bidi="hr-HR"/>
        </w:rPr>
        <w:t>Tafeln des Bundes,</w:t>
      </w:r>
      <w:r>
        <w:rPr>
          <w:color w:val="000000"/>
          <w:spacing w:val="0"/>
          <w:w w:val="100"/>
          <w:position w:val="0"/>
          <w:shd w:val="clear" w:color="auto" w:fill="auto"/>
          <w:lang w:val="hr-HR" w:eastAsia="hr-HR" w:bidi="hr-HR"/>
        </w:rPr>
        <w:t xml:space="preserve"> 1979, 141-152; R. </w:t>
      </w:r>
      <w:r>
        <w:rPr>
          <w:color w:val="000000"/>
          <w:spacing w:val="0"/>
          <w:w w:val="100"/>
          <w:position w:val="0"/>
          <w:shd w:val="clear" w:color="auto" w:fill="auto"/>
        </w:rPr>
        <w:t xml:space="preserve">Gradwohl. </w:t>
      </w:r>
      <w:r>
        <w:rPr>
          <w:b/>
          <w:bCs/>
          <w:i/>
          <w:iCs/>
          <w:color w:val="000000"/>
          <w:spacing w:val="0"/>
          <w:w w:val="100"/>
          <w:position w:val="0"/>
          <w:sz w:val="9"/>
          <w:szCs w:val="9"/>
          <w:shd w:val="clear" w:color="auto" w:fill="auto"/>
          <w:lang w:val="hr-HR" w:eastAsia="hr-HR" w:bidi="hr-HR"/>
        </w:rPr>
        <w:t>Grundgesetze des Judcrttums,</w:t>
      </w:r>
      <w:r>
        <w:rPr>
          <w:color w:val="000000"/>
          <w:spacing w:val="0"/>
          <w:w w:val="100"/>
          <w:position w:val="0"/>
          <w:shd w:val="clear" w:color="auto" w:fill="auto"/>
          <w:lang w:val="hr-HR" w:eastAsia="hr-HR" w:bidi="hr-HR"/>
        </w:rPr>
        <w:t xml:space="preserve"> 1984, 92 </w:t>
      </w:r>
      <w:r>
        <w:rPr>
          <w:color w:val="000000"/>
          <w:spacing w:val="0"/>
          <w:w w:val="100"/>
          <w:position w:val="0"/>
          <w:shd w:val="clear" w:color="auto" w:fill="auto"/>
        </w:rPr>
        <w:t>id.</w:t>
        <w:tab/>
      </w:r>
      <w:r>
        <w:rPr>
          <w:color w:val="000000"/>
          <w:spacing w:val="0"/>
          <w:w w:val="100"/>
          <w:position w:val="0"/>
          <w:shd w:val="clear" w:color="auto" w:fill="auto"/>
          <w:lang w:val="hr-HR" w:eastAsia="hr-HR" w:bidi="hr-HR"/>
        </w:rPr>
        <w:t>Đ.VLTn-R</w:t>
      </w:r>
    </w:p>
    <w:p>
      <w:pPr>
        <w:pStyle w:val="Style63"/>
        <w:keepNext/>
        <w:keepLines/>
        <w:widowControl w:val="0"/>
        <w:numPr>
          <w:ilvl w:val="0"/>
          <w:numId w:val="619"/>
        </w:numPr>
        <w:shd w:val="clear" w:color="auto" w:fill="auto"/>
        <w:tabs>
          <w:tab w:pos="260" w:val="left"/>
        </w:tabs>
        <w:bidi w:val="0"/>
        <w:spacing w:before="0" w:after="80"/>
        <w:ind w:left="0" w:right="0" w:firstLine="0"/>
        <w:jc w:val="both"/>
      </w:pPr>
      <w:bookmarkStart w:id="395" w:name="bookmark39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95"/>
    </w:p>
    <w:p>
      <w:pPr>
        <w:pStyle w:val="Style20"/>
        <w:keepNext w:val="0"/>
        <w:keepLines w:val="0"/>
        <w:widowControl w:val="0"/>
        <w:shd w:val="clear" w:color="auto" w:fill="auto"/>
        <w:bidi w:val="0"/>
        <w:spacing w:before="0" w:after="0" w:line="240" w:lineRule="auto"/>
        <w:ind w:left="0" w:right="0" w:firstLine="0"/>
        <w:jc w:val="both"/>
        <w:sectPr>
          <w:headerReference w:type="default" r:id="rId1583"/>
          <w:footerReference w:type="default" r:id="rId1584"/>
          <w:headerReference w:type="even" r:id="rId1585"/>
          <w:footerReference w:type="even" r:id="rId1586"/>
          <w:headerReference w:type="first" r:id="rId1587"/>
          <w:footerReference w:type="first" r:id="rId1588"/>
          <w:footnotePr>
            <w:pos w:val="pageBottom"/>
            <w:numFmt w:val="decimal"/>
            <w:numRestart w:val="continuous"/>
            <w15:footnoteColumns w:val="1"/>
          </w:footnotePr>
          <w:pgSz w:w="6816" w:h="11006"/>
          <w:pgMar w:top="947" w:left="195" w:right="199" w:bottom="465" w:header="0" w:footer="3" w:gutter="0"/>
          <w:cols w:num="2" w:space="18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Ni Stari ni Novi zavjet precizno ne ocrtavaju pojam vlasništva niti u tančine donose učenje o uporabi i zloporabi vlasništva. Pa ipak, pret</w:t>
        <w:softHyphen/>
        <w:t xml:space="preserve">postavlja se pravično postojanje vlasništva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(Mt </w:t>
      </w:r>
      <w:r>
        <w:rPr>
          <w:rFonts w:ascii="Times New Roman" w:eastAsia="Times New Roman" w:hAnsi="Times New Roman" w:cs="Times New Roman"/>
          <w:color w:val="000000"/>
          <w:spacing w:val="0"/>
          <w:w w:val="100"/>
          <w:position w:val="0"/>
          <w:shd w:val="clear" w:color="auto" w:fill="auto"/>
          <w:lang w:val="hr-HR" w:eastAsia="hr-HR" w:bidi="hr-HR"/>
        </w:rPr>
        <w:t>20,15; 25,14 i d.) koje je pod zaštitom za</w:t>
        <w:softHyphen/>
        <w:t>kona koji kažnjava krađe (Izl 20,15; 20,17; Pnz 5, 19; itd.). Starozavjetni proroci osuđuju nepravičnu uporabu vlasništva (1 Kr 21 i d.; Iz</w:t>
      </w:r>
    </w:p>
    <w:p>
      <w:pPr>
        <w:pStyle w:val="Style20"/>
        <w:keepNext w:val="0"/>
        <w:keepLines w:val="0"/>
        <w:widowControl w:val="0"/>
        <w:numPr>
          <w:ilvl w:val="0"/>
          <w:numId w:val="623"/>
        </w:numPr>
        <w:shd w:val="clear" w:color="auto" w:fill="auto"/>
        <w:tabs>
          <w:tab w:pos="404"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d.; 3,14 i d.). Kao zakonski određeno re</w:t>
        <w:softHyphen/>
        <w:t xml:space="preserve">ligijsko i socijalno pravo vlasništva Stari zavjet spominje prinose za žrtvenik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27,30 i d.;</w:t>
      </w:r>
    </w:p>
    <w:p>
      <w:pPr>
        <w:pStyle w:val="Style20"/>
        <w:keepNext w:val="0"/>
        <w:keepLines w:val="0"/>
        <w:widowControl w:val="0"/>
        <w:numPr>
          <w:ilvl w:val="0"/>
          <w:numId w:val="625"/>
        </w:numPr>
        <w:shd w:val="clear" w:color="auto" w:fill="auto"/>
        <w:tabs>
          <w:tab w:pos="476" w:val="left"/>
        </w:tabs>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d.; Pnz 26,12 i d.), desetinu za gladne (Pnz 14,28), za siromašne (Pnz 14,28 i d.) i za instituciju šabatne godine, sedme godine ot</w:t>
        <w:softHyphen/>
        <w:t>puštanja dugova, na kraju koje vjerovnik treba oprostiti dug dužniku (Pnz 15,1 i d.).</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Novi zavjet smatra posjedovanje vlasništva pretpostavkom čestitog poslovanja i individu</w:t>
        <w:softHyphen/>
        <w:t>alne samostalnosti (1 Sol 4,11 i d.). Teološki je v. opravdano Božjom voljom kao čovjekovo odgovorno raspolaganje stvarima (prispodoba o povjerenom novcu Mt 25,14-30) koje treba primiti sa zahvalnošću, a posvećene su Božjom riječju i molitvom (1 Tim 4,4 i d.). Sam Isus načelno odbija nadležnost u pravnim pita</w:t>
        <w:softHyphen/>
        <w:t>njima: »Čovječe ... tko je mene postavio vama za suca ili djelioca?« (Lk 12,14), potvrđuje do</w:t>
        <w:softHyphen/>
        <w:t>duše zabranu krađe (Mk 10,19), ali nipošto ne dopušta da ga u ekonomskim stvarima uzi</w:t>
        <w:softHyphen/>
        <w:t>maju za autoritet. Jer, težište je njegova na- viještanja kraljevstvo Božje, spasenje u povi</w:t>
        <w:softHyphen/>
        <w:t>jesti. Odatle treba shvaćati s jedne strane nje</w:t>
        <w:softHyphen/>
        <w:t>govo upozorenje o zaprekama koje priječe ulazak u spasenje, a koje mogu biti posljedica posjedovanja i bogatstva (Mt 19,23 i d.; Mk 4,18 i d.; Lk 12,15 i d.), a s druge strane pro</w:t>
        <w:softHyphen/>
        <w:t>glašavanje siromašnih blaženima (Lk 6,20). U opasnosti da na zemaljskim dobrima izgubi svoje srce, čovjek se u iskušenjima i zamkama (1 Tim 6,9) treba pozivati na unutarnju ne- navezanost, priznavanje Božjega gospodstva, jamstvo i čuvanje slobode iz duha ljubavi (Lk 10,30 i d.; 12,33). Čini se da taj zahtjev dosiže svoj vrhunac u opisu nužnog uvjeta za poseb</w:t>
        <w:softHyphen/>
        <w:t>no nasljedovanje Isusa: »Tko se god između vas ne odreče svega svog imanja, ne može biti moj učenik« (Lk 14,33). Ova, kako se čini, lapidarna tvrdnja za egzegete je prijeporna. Na jednoj se strani ukazuje na to da Luku može karakterizirati »teologija siromaha«, a na drugoj se strani ukazuje na praktičnu stra</w:t>
        <w:softHyphen/>
        <w:t>nu nasljedovanja koju ne treba uzimati samo duhovno, u prenesenom smislu, nego i doslov</w:t>
        <w:softHyphen/>
        <w:t>ce, koja je od Isusova pratitelja iziskivala lo</w:t>
        <w:softHyphen/>
        <w:t>kalnu i materijalnu nezavisnost.</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zlatnom pravilu ne bi smjela biti sporna opravdanost privatnog vlasništva, nego bi se čak moralo pretpostavljati njegovo postojanje: Kršćanin se mora moći osloboditi od zemalj</w:t>
        <w:softHyphen/>
        <w:t>skih stvari (Gal 5,13 i d.) da s pomoću svojih dobara uzmogne činiti dobro (usp. Gal 6,9; 2 Kor 8,1 i d.; 1 Tim 6,17 i d.; itd.), što je vrije</w:t>
        <w:softHyphen/>
        <w:t xml:space="preserve">dilo i za zajednicu dobara u Pracrkvi (Dj 2,44 i d.; 4,34 d.; 5,3 i d.). Katolički socijalni nauk shvaća kao temelj vlasničkog prava činjenicu da je čovjek stvoren na sliku Božju (Post 1, 26) i da mu to dopušta sudjelovati u Božjoj vladavini nad svime: »Plodite se i množite i napunite zemlju, i sebi je podložite! Vladajte ribama u moru i pticama u zraku i svim živim stvorovima što puze po zemlji!« (Post 1,28 b). Iz ovoga se vidi podložnost stvorenog svijeta čovjekovim ciljevima. Pa ipak, čovjek pritom ima funkciju upravitelja (Lk 16,1 i d.), osobe povjerenja po nalogu Boga koji je posjednik čitave zemlje (usp. Izl 19,5;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25,23). - Kao orijentacijsku točku kako valja postupati s vlasništvom, treba spomenuti da su stvari na</w:t>
        <w:softHyphen/>
        <w:t>čelno dodijeljene svim ljudima nasuprot ne</w:t>
        <w:softHyphen/>
        <w:t>poništivoj ali, što je povijesno uvjetovano, promjenljivoj instituciji privatnog vlasništva koje treba stajati u službi općeg dobra, osob</w:t>
        <w:softHyphen/>
        <w:t>nog razvoja i socijalne pravde.</w:t>
      </w:r>
    </w:p>
    <w:p>
      <w:pPr>
        <w:pStyle w:val="Style56"/>
        <w:keepNext w:val="0"/>
        <w:keepLines w:val="0"/>
        <w:widowControl w:val="0"/>
        <w:shd w:val="clear" w:color="auto" w:fill="auto"/>
        <w:tabs>
          <w:tab w:pos="2304"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Lit.; H. </w:t>
      </w:r>
      <w:r>
        <w:rPr>
          <w:color w:val="000000"/>
          <w:spacing w:val="0"/>
          <w:w w:val="100"/>
          <w:position w:val="0"/>
          <w:shd w:val="clear" w:color="auto" w:fill="auto"/>
        </w:rPr>
        <w:t xml:space="preserve">Fries (Hrsg.), </w:t>
      </w:r>
      <w:r>
        <w:rPr>
          <w:i/>
          <w:iCs/>
          <w:color w:val="000000"/>
          <w:spacing w:val="0"/>
          <w:w w:val="100"/>
          <w:position w:val="0"/>
          <w:shd w:val="clear" w:color="auto" w:fill="auto"/>
          <w:lang w:val="hr-HR" w:eastAsia="hr-HR" w:bidi="hr-HR"/>
        </w:rPr>
        <w:t xml:space="preserve">Handimch iheologischtr </w:t>
      </w:r>
      <w:r>
        <w:rPr>
          <w:i/>
          <w:iCs/>
          <w:color w:val="000000"/>
          <w:spacing w:val="0"/>
          <w:w w:val="100"/>
          <w:position w:val="0"/>
          <w:shd w:val="clear" w:color="auto" w:fill="auto"/>
        </w:rPr>
        <w:t xml:space="preserve">Grundbeyiffe. </w:t>
      </w:r>
      <w:r>
        <w:rPr>
          <w:color w:val="000000"/>
          <w:spacing w:val="0"/>
          <w:w w:val="100"/>
          <w:position w:val="0"/>
          <w:shd w:val="clear" w:color="auto" w:fill="auto"/>
          <w:lang w:val="hr-HR" w:eastAsia="hr-HR" w:bidi="hr-HR"/>
        </w:rPr>
        <w:t xml:space="preserve">Munchcn 1962; </w:t>
      </w:r>
      <w:r>
        <w:rPr>
          <w:i/>
          <w:iCs/>
          <w:color w:val="000000"/>
          <w:spacing w:val="0"/>
          <w:w w:val="100"/>
          <w:position w:val="0"/>
          <w:shd w:val="clear" w:color="auto" w:fill="auto"/>
        </w:rPr>
        <w:t>Theologische Realenzyklopadie,</w:t>
      </w:r>
      <w:r>
        <w:rPr>
          <w:color w:val="000000"/>
          <w:spacing w:val="0"/>
          <w:w w:val="100"/>
          <w:position w:val="0"/>
          <w:shd w:val="clear" w:color="auto" w:fill="auto"/>
        </w:rPr>
        <w:t xml:space="preserve"> Berlin.' New York 1980; R. Schnackcnburg, </w:t>
      </w:r>
      <w:r>
        <w:rPr>
          <w:i/>
          <w:iCs/>
          <w:color w:val="000000"/>
          <w:spacing w:val="0"/>
          <w:w w:val="100"/>
          <w:position w:val="0"/>
          <w:shd w:val="clear" w:color="auto" w:fill="auto"/>
        </w:rPr>
        <w:t>Chrisiliche Eastern nach dem Neuen Testament,</w:t>
      </w:r>
      <w:r>
        <w:rPr>
          <w:color w:val="000000"/>
          <w:spacing w:val="0"/>
          <w:w w:val="100"/>
          <w:position w:val="0"/>
          <w:shd w:val="clear" w:color="auto" w:fill="auto"/>
        </w:rPr>
        <w:t xml:space="preserve"> Miinehcn 1967.</w:t>
        <w:tab/>
        <w:t>G. G1RSCHEK</w:t>
      </w:r>
    </w:p>
    <w:p>
      <w:pPr>
        <w:pStyle w:val="Style63"/>
        <w:keepNext/>
        <w:keepLines/>
        <w:widowControl w:val="0"/>
        <w:numPr>
          <w:ilvl w:val="0"/>
          <w:numId w:val="619"/>
        </w:numPr>
        <w:shd w:val="clear" w:color="auto" w:fill="auto"/>
        <w:tabs>
          <w:tab w:pos="260" w:val="left"/>
        </w:tabs>
        <w:bidi w:val="0"/>
        <w:spacing w:before="0" w:line="223" w:lineRule="auto"/>
        <w:ind w:left="0" w:right="0" w:firstLine="0"/>
        <w:jc w:val="both"/>
      </w:pPr>
      <w:bookmarkStart w:id="396" w:name="bookmark396"/>
      <w:r>
        <w:rPr>
          <w:rFonts w:ascii="Times New Roman" w:eastAsia="Times New Roman" w:hAnsi="Times New Roman" w:cs="Times New Roman"/>
          <w:color w:val="000000"/>
          <w:spacing w:val="0"/>
          <w:w w:val="100"/>
          <w:position w:val="0"/>
          <w:shd w:val="clear" w:color="auto" w:fill="auto"/>
          <w:lang w:val="hr-HR" w:eastAsia="hr-HR" w:bidi="hr-HR"/>
        </w:rPr>
        <w:t>islamski</w:t>
      </w:r>
      <w:bookmarkEnd w:id="396"/>
    </w:p>
    <w:p>
      <w:pPr>
        <w:pStyle w:val="Style20"/>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Polazište islamskoga socijalnog mišljenja jest to da pravo vlasništva, suverenost i moć leže u Božjim rukama. Jedini istinski vlasnik po Ku</w:t>
        <w:softHyphen/>
        <w:t xml:space="preserve">ranu je Bog: »I njemu </w:t>
      </w:r>
      <w:r>
        <w:rPr>
          <w:rFonts w:ascii="Times New Roman" w:eastAsia="Times New Roman" w:hAnsi="Times New Roman" w:cs="Times New Roman"/>
          <w:i/>
          <w:iCs/>
          <w:color w:val="000000"/>
          <w:spacing w:val="0"/>
          <w:w w:val="100"/>
          <w:position w:val="0"/>
          <w:shd w:val="clear" w:color="auto" w:fill="auto"/>
          <w:lang w:val="hr-HR" w:eastAsia="hr-HR" w:bidi="hr-HR"/>
        </w:rPr>
        <w:t>(pripada)</w:t>
      </w:r>
      <w:r>
        <w:rPr>
          <w:rFonts w:ascii="Times New Roman" w:eastAsia="Times New Roman" w:hAnsi="Times New Roman" w:cs="Times New Roman"/>
          <w:color w:val="000000"/>
          <w:spacing w:val="0"/>
          <w:w w:val="100"/>
          <w:position w:val="0"/>
          <w:shd w:val="clear" w:color="auto" w:fill="auto"/>
          <w:lang w:val="hr-HR" w:eastAsia="hr-HR" w:bidi="hr-HR"/>
        </w:rPr>
        <w:t xml:space="preserve"> što je na ne</w:t>
        <w:softHyphen/>
        <w:t>besima i zemlji« (21,19). Rijeke, planine, sva blaga i prirodne sile stvoreni su na dobrobit svih ljudi. Osuđuju se načini neumjerenoga stjecanja novca. Prilikom gomilanja kapitala u jednoj ruci nastaju socijalne obveze. Nezako</w:t>
        <w:softHyphen/>
        <w:t>nito stečeno bogatstvo smatra se sramotom (haram). Zabranjeno je lihvarenje. Točna rav</w:t>
        <w:softHyphen/>
        <w:t>noteža i primjereno, tj. umjereno stjecanje u trgovini predstavljaju naredne, strogo nagla</w:t>
        <w:softHyphen/>
        <w:t>šene zahtjeve islamskoga društvenog morala. Trećina prihoda od rudnika i prirodnih bogat</w:t>
        <w:softHyphen/>
        <w:t>stava pripada državi. Lihvarenjem se smatraju različite vrste posuđivanja novca s kamatama. No, treba praviti razliku između pojmova »lih</w:t>
        <w:softHyphen/>
        <w:t>varenje« i »kamata«.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doduše ima pravo raspolaganja i ko</w:t>
        <w:softHyphen/>
        <w:t>rištenja svojega vlasništva, no on ne treba sje</w:t>
        <w:softHyphen/>
        <w:t>diti na njemu, nego ga po mogućnosti ulagati u korist društva: »Oni koji dijele svoj imetak na Božjem putu sliče zrnu iz kojeg je niklo se</w:t>
        <w:softHyphen/>
        <w:t>dam klasova, a u svakom klasu stotinu zrna: Bog umnožava komu hoće. Bog je neizmje</w:t>
        <w:softHyphen/>
        <w:t xml:space="preserve">ran, zna sve« (2,261). »Oni koji dijele svoj imetak na Božjem putu, pa ne popraćuju ono što su udijelili prigovorom i uznemiravanjent, imaju nagradu kod svoga Gospodara.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(oni) </w:t>
      </w:r>
      <w:r>
        <w:rPr>
          <w:rFonts w:ascii="Times New Roman" w:eastAsia="Times New Roman" w:hAnsi="Times New Roman" w:cs="Times New Roman"/>
          <w:color w:val="000000"/>
          <w:spacing w:val="0"/>
          <w:w w:val="100"/>
          <w:position w:val="0"/>
          <w:shd w:val="clear" w:color="auto" w:fill="auto"/>
          <w:lang w:val="hr-HR" w:eastAsia="hr-HR" w:bidi="hr-HR"/>
        </w:rPr>
        <w:t>neće osjetiti straha niti će tugovati. Lijepa ri</w:t>
        <w:softHyphen/>
        <w:t xml:space="preserve">ječ i opraštanje </w:t>
      </w:r>
      <w:r>
        <w:rPr>
          <w:rFonts w:ascii="Times New Roman" w:eastAsia="Times New Roman" w:hAnsi="Times New Roman" w:cs="Times New Roman"/>
          <w:i/>
          <w:iCs/>
          <w:color w:val="000000"/>
          <w:spacing w:val="0"/>
          <w:w w:val="100"/>
          <w:position w:val="0"/>
          <w:shd w:val="clear" w:color="auto" w:fill="auto"/>
          <w:lang w:val="hr-HR" w:eastAsia="hr-HR" w:bidi="hr-HR"/>
        </w:rPr>
        <w:t>(grešaka)</w:t>
      </w:r>
      <w:r>
        <w:rPr>
          <w:rFonts w:ascii="Times New Roman" w:eastAsia="Times New Roman" w:hAnsi="Times New Roman" w:cs="Times New Roman"/>
          <w:color w:val="000000"/>
          <w:spacing w:val="0"/>
          <w:w w:val="100"/>
          <w:position w:val="0"/>
          <w:shd w:val="clear" w:color="auto" w:fill="auto"/>
          <w:lang w:val="hr-HR" w:eastAsia="hr-HR" w:bidi="hr-HR"/>
        </w:rPr>
        <w:t xml:space="preserve"> je bolje od milosti</w:t>
        <w:softHyphen/>
        <w:t>nje koju prati kinjenje« (2,262.263).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Islamska etika zahtijeva da se uživanje vlas</w:t>
        <w:softHyphen/>
        <w:t>ništva ne čini na izazovan način. Tako je npr. moralno nedopustivo isticati se rasipnošću ili čak luksuzom u nazočnosti ljudi koji mogu ži</w:t>
        <w:softHyphen/>
        <w:t>vjeti samo skromno. Tuđe v. treba se pošto</w:t>
        <w:softHyphen/>
        <w:t>vati više nego vlastito: »Ne približujte se imet</w:t>
        <w:softHyphen/>
        <w:t xml:space="preserve">ku siročeta, osim na najljepši način </w:t>
      </w:r>
      <w:r>
        <w:rPr>
          <w:rFonts w:ascii="Times New Roman" w:eastAsia="Times New Roman" w:hAnsi="Times New Roman" w:cs="Times New Roman"/>
          <w:i/>
          <w:iCs/>
          <w:color w:val="000000"/>
          <w:spacing w:val="0"/>
          <w:w w:val="100"/>
          <w:position w:val="0"/>
          <w:shd w:val="clear" w:color="auto" w:fill="auto"/>
          <w:lang w:val="hr-HR" w:eastAsia="hr-HR" w:bidi="hr-HR"/>
        </w:rPr>
        <w:t>(da ga unaprijedite),</w:t>
      </w:r>
      <w:r>
        <w:rPr>
          <w:rFonts w:ascii="Times New Roman" w:eastAsia="Times New Roman" w:hAnsi="Times New Roman" w:cs="Times New Roman"/>
          <w:color w:val="000000"/>
          <w:spacing w:val="0"/>
          <w:w w:val="100"/>
          <w:position w:val="0"/>
          <w:shd w:val="clear" w:color="auto" w:fill="auto"/>
          <w:lang w:val="hr-HR" w:eastAsia="hr-HR" w:bidi="hr-HR"/>
        </w:rPr>
        <w:t xml:space="preserve"> dok ne dostigne snagu </w:t>
      </w:r>
      <w:r>
        <w:rPr>
          <w:rFonts w:ascii="Times New Roman" w:eastAsia="Times New Roman" w:hAnsi="Times New Roman" w:cs="Times New Roman"/>
          <w:i/>
          <w:iCs/>
          <w:color w:val="000000"/>
          <w:spacing w:val="0"/>
          <w:w w:val="100"/>
          <w:position w:val="0"/>
          <w:shd w:val="clear" w:color="auto" w:fill="auto"/>
          <w:lang w:val="hr-HR" w:eastAsia="hr-HR" w:bidi="hr-HR"/>
        </w:rPr>
        <w:t>(dok se ne opaše snagom)</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1</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Zaista se odgovara za </w:t>
      </w:r>
      <w:r>
        <w:rPr>
          <w:rFonts w:ascii="Times New Roman" w:eastAsia="Times New Roman" w:hAnsi="Times New Roman" w:cs="Times New Roman"/>
          <w:i/>
          <w:iCs/>
          <w:color w:val="000000"/>
          <w:spacing w:val="0"/>
          <w:w w:val="100"/>
          <w:position w:val="0"/>
          <w:shd w:val="clear" w:color="auto" w:fill="auto"/>
          <w:lang w:val="hr-HR" w:eastAsia="hr-HR" w:bidi="hr-HR"/>
        </w:rPr>
        <w:t>(ispu</w:t>
        <w:softHyphen/>
        <w:t>njavanje)</w:t>
      </w:r>
      <w:r>
        <w:rPr>
          <w:rFonts w:ascii="Times New Roman" w:eastAsia="Times New Roman" w:hAnsi="Times New Roman" w:cs="Times New Roman"/>
          <w:color w:val="000000"/>
          <w:spacing w:val="0"/>
          <w:w w:val="100"/>
          <w:position w:val="0"/>
          <w:shd w:val="clear" w:color="auto" w:fill="auto"/>
          <w:lang w:val="hr-HR" w:eastAsia="hr-HR" w:bidi="hr-HR"/>
        </w:rPr>
        <w:t xml:space="preserve"> ugovora. Ispunjavajte mjeru kada mjerite i vagajte ispravnom vagom. To je naj</w:t>
        <w:softHyphen/>
        <w:t xml:space="preserve">bolje i </w:t>
      </w:r>
      <w:r>
        <w:rPr>
          <w:rFonts w:ascii="Times New Roman" w:eastAsia="Times New Roman" w:hAnsi="Times New Roman" w:cs="Times New Roman"/>
          <w:i/>
          <w:iCs/>
          <w:color w:val="000000"/>
          <w:spacing w:val="0"/>
          <w:w w:val="100"/>
          <w:position w:val="0"/>
          <w:shd w:val="clear" w:color="auto" w:fill="auto"/>
          <w:lang w:val="hr-HR" w:eastAsia="hr-HR" w:bidi="hr-HR"/>
        </w:rPr>
        <w:t>(ima)</w:t>
      </w:r>
      <w:r>
        <w:rPr>
          <w:rFonts w:ascii="Times New Roman" w:eastAsia="Times New Roman" w:hAnsi="Times New Roman" w:cs="Times New Roman"/>
          <w:color w:val="000000"/>
          <w:spacing w:val="0"/>
          <w:w w:val="100"/>
          <w:position w:val="0"/>
          <w:shd w:val="clear" w:color="auto" w:fill="auto"/>
          <w:lang w:val="hr-HR" w:eastAsia="hr-HR" w:bidi="hr-HR"/>
        </w:rPr>
        <w:t xml:space="preserve"> najljepšu posljedicu.« (17,34.35). »Čovjekov život i imutak trebaju vam biti sveti i nepovredivi«, govorio je Muhamed.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Kako bi se suprotstavio gospodarskom pod</w:t>
        <w:softHyphen/>
        <w:t>jarmljivanju većine od strane manjine, islam zabranjuje kamatarenje. Teži se gospodarstvu zasnovanom na partnerstvu. Dobici i gubici trebaju se pravedno raspodijeliti na oba po</w:t>
        <w:softHyphen/>
        <w:t xml:space="preserve">slovna partnera, kreditora i kreditiranoga. »Uzmi od njihovih imetaka milostinju kojom ćeš ih očistiti </w:t>
      </w:r>
      <w:r>
        <w:rPr>
          <w:rFonts w:ascii="Times New Roman" w:eastAsia="Times New Roman" w:hAnsi="Times New Roman" w:cs="Times New Roman"/>
          <w:i/>
          <w:iCs/>
          <w:color w:val="000000"/>
          <w:spacing w:val="0"/>
          <w:w w:val="100"/>
          <w:position w:val="0"/>
          <w:shd w:val="clear" w:color="auto" w:fill="auto"/>
          <w:lang w:val="hr-HR" w:eastAsia="hr-HR" w:bidi="hr-HR"/>
        </w:rPr>
        <w:t>(od grijeha)«</w:t>
      </w:r>
      <w:r>
        <w:rPr>
          <w:rFonts w:ascii="Times New Roman" w:eastAsia="Times New Roman" w:hAnsi="Times New Roman" w:cs="Times New Roman"/>
          <w:color w:val="000000"/>
          <w:spacing w:val="0"/>
          <w:w w:val="100"/>
          <w:position w:val="0"/>
          <w:shd w:val="clear" w:color="auto" w:fill="auto"/>
          <w:lang w:val="hr-HR" w:eastAsia="hr-HR" w:bidi="hr-HR"/>
        </w:rPr>
        <w:t xml:space="preserve"> (9,103). Taj kuran- ski poziv na vršenje socijalnoga pritiska na imućne dovodi danas do aktualiziranja islam</w:t>
        <w:softHyphen/>
        <w:t>skoga nauka o vlasništvu. Posebnu mjesnu vrijednost on ima u tzv. »islamskome socijaliz</w:t>
        <w:softHyphen/>
        <w:t>mu«. No taj socijalizam nije prihvaćen bez protivljenja. »Neki suvremenici«, žali se ‘Omar Baha’addin al-Amirl, sirijski mislitelj i pjesnik, »promatraju islamski društveni pore</w:t>
        <w:softHyphen/>
        <w:t>dak kao socijalistički ili čak komunistički. Na to su zavedeni nekim od njihovih osebujnosti. No u zbiljnosti je islamski socijalni nauk neo</w:t>
        <w:softHyphen/>
        <w:t>tuđivi dio islama.«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Kao Božji svjedok, zapravo kao »Vicarius Dci« </w:t>
      </w:r>
      <w:r>
        <w:rPr>
          <w:rFonts w:ascii="Times New Roman" w:eastAsia="Times New Roman" w:hAnsi="Times New Roman" w:cs="Times New Roman"/>
          <w:i/>
          <w:iCs/>
          <w:color w:val="000000"/>
          <w:spacing w:val="0"/>
          <w:w w:val="100"/>
          <w:position w:val="0"/>
          <w:shd w:val="clear" w:color="auto" w:fill="auto"/>
          <w:lang w:val="hr-HR" w:eastAsia="hr-HR" w:bidi="hr-HR"/>
        </w:rPr>
        <w:t>(khalifatallah),</w:t>
      </w:r>
      <w:r>
        <w:rPr>
          <w:rFonts w:ascii="Times New Roman" w:eastAsia="Times New Roman" w:hAnsi="Times New Roman" w:cs="Times New Roman"/>
          <w:color w:val="000000"/>
          <w:spacing w:val="0"/>
          <w:w w:val="100"/>
          <w:position w:val="0"/>
          <w:shd w:val="clear" w:color="auto" w:fill="auto"/>
          <w:lang w:val="hr-HR" w:eastAsia="hr-HR" w:bidi="hr-HR"/>
        </w:rPr>
        <w:t xml:space="preserve"> musliman se osjeća ob</w:t>
        <w:softHyphen/>
        <w:t>veznim samo prema Bogu. Učiniti sebe na bi</w:t>
        <w:softHyphen/>
        <w:t xml:space="preserve">lo koji način instrumentom nužnosti i preuzeti </w:t>
      </w:r>
      <w:r>
        <w:rPr>
          <w:rFonts w:ascii="Times New Roman" w:eastAsia="Times New Roman" w:hAnsi="Times New Roman" w:cs="Times New Roman"/>
          <w:color w:val="000000"/>
          <w:spacing w:val="0"/>
          <w:w w:val="100"/>
          <w:position w:val="0"/>
          <w:shd w:val="clear" w:color="auto" w:fill="auto"/>
          <w:lang w:val="hr-HR" w:eastAsia="hr-HR" w:bidi="hr-HR"/>
        </w:rPr>
        <w:t>na sebe moralne obveze koje nisu zasnovane u Bogu, to bi za njega značilo napuštanje is</w:t>
        <w:softHyphen/>
        <w:t>lama. S druge je strane točno daje Muhamed hvalio ona arapska plemena koja su u sušna vremena običavala u zajedničko spremište ostavljati svoju cjelokupnu mukotrpno sakup</w:t>
        <w:softHyphen/>
        <w:t>ljenu žetvu kako bi je ravnomjerno raspodije</w:t>
        <w:softHyphen/>
        <w:t>lili svima. »Ja sam jedan od njih«, govorio je, »oni mi pripadaju.« Jedan od njegovih povje</w:t>
        <w:softHyphen/>
        <w:t>renika, Abu Dharr, suprotstavio se gomilanju dobara i zahtijevao je njihovu podjelu siro</w:t>
        <w:softHyphen/>
        <w:t>mašnima. Svoj je postupak opravdavao kuran- skim argumentima. Za islam k tomu nije prih</w:t>
        <w:softHyphen/>
        <w:t>vatljiva osjetilno vidljiva, materijalna istina, kakvu u svom praktičnom djelovanju žele re</w:t>
        <w:softHyphen/>
        <w:t>cimo komunisti. Pozadina AbO Dharrova zah</w:t>
        <w:softHyphen/>
        <w:t>tjeva je religiozna i humanistička, a ne materi</w:t>
        <w:softHyphen/>
        <w:t>jalistička.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Tradicionalni </w:t>
      </w:r>
      <w:r>
        <w:rPr>
          <w:rFonts w:ascii="Times New Roman" w:eastAsia="Times New Roman" w:hAnsi="Times New Roman" w:cs="Times New Roman"/>
          <w:i/>
          <w:iCs/>
          <w:color w:val="000000"/>
          <w:spacing w:val="0"/>
          <w:w w:val="100"/>
          <w:position w:val="0"/>
          <w:shd w:val="clear" w:color="auto" w:fill="auto"/>
          <w:lang w:val="hr-HR" w:eastAsia="hr-HR" w:bidi="hr-HR"/>
        </w:rPr>
        <w:t>šerijat (shari'a:</w:t>
      </w:r>
      <w:r>
        <w:rPr>
          <w:rFonts w:ascii="Times New Roman" w:eastAsia="Times New Roman" w:hAnsi="Times New Roman" w:cs="Times New Roman"/>
          <w:color w:val="000000"/>
          <w:spacing w:val="0"/>
          <w:w w:val="100"/>
          <w:position w:val="0"/>
          <w:shd w:val="clear" w:color="auto" w:fill="auto"/>
          <w:lang w:val="hr-HR" w:eastAsia="hr-HR" w:bidi="hr-HR"/>
        </w:rPr>
        <w:t xml:space="preserve"> pravni sustav) nije u svom razumijevanju vlasništva lišen proturječnosti. Tako je on u svoj misaoni sus</w:t>
        <w:softHyphen/>
        <w:t>tav inkorporirao antičku predodžbu prava, prema kojoj su kao v. u obzir mogle doći ne samo stvarne vrijednosti, nego i ljudi i njihove sposobnosti (ropstvo). To se razumijevanje vlasništva ne može ni na koji način dovesti u suglasje s naukom daje čovjek Božji predstav</w:t>
        <w:softHyphen/>
        <w:t>nik na zemlji. U provedbi prava raspolaganja i korištenja musliman je na dvostruk način ve</w:t>
        <w:softHyphen/>
        <w:t>zan za religiozne zapovijedi: za zapovijed pra</w:t>
        <w:softHyphen/>
        <w:t>vednosti i - barem u unutarreligioznom pod</w:t>
        <w:softHyphen/>
        <w:t>ručju - za zapovijed bratstva. Ropstvo je bila silna zajednička čovjekova zabluda, u kojoj su sudjelovale i religije.</w:t>
      </w:r>
    </w:p>
    <w:p>
      <w:pPr>
        <w:pStyle w:val="Style56"/>
        <w:keepNext w:val="0"/>
        <w:keepLines w:val="0"/>
        <w:widowControl w:val="0"/>
        <w:shd w:val="clear" w:color="auto" w:fill="auto"/>
        <w:bidi w:val="0"/>
        <w:spacing w:before="0" w:after="0" w:line="226" w:lineRule="auto"/>
        <w:ind w:left="0" w:right="0" w:firstLine="0"/>
        <w:jc w:val="both"/>
        <w:rPr>
          <w:sz w:val="13"/>
          <w:szCs w:val="13"/>
        </w:rPr>
      </w:pPr>
      <w:r>
        <w:rPr>
          <w:color w:val="000000"/>
          <w:spacing w:val="0"/>
          <w:w w:val="100"/>
          <w:position w:val="0"/>
          <w:sz w:val="13"/>
          <w:szCs w:val="13"/>
          <w:shd w:val="clear" w:color="auto" w:fill="auto"/>
          <w:lang w:val="hr-HR" w:eastAsia="hr-HR" w:bidi="hr-HR"/>
        </w:rPr>
        <w:t xml:space="preserve">Lit.: </w:t>
      </w:r>
      <w:r>
        <w:rPr>
          <w:i/>
          <w:iCs/>
          <w:color w:val="000000"/>
          <w:spacing w:val="0"/>
          <w:w w:val="100"/>
          <w:position w:val="0"/>
          <w:sz w:val="12"/>
          <w:szCs w:val="12"/>
          <w:shd w:val="clear" w:color="auto" w:fill="auto"/>
          <w:lang w:val="hr-HR" w:eastAsia="hr-HR" w:bidi="hr-HR"/>
        </w:rPr>
        <w:t>Ai-Mudjtama' al-Islamt wa’l-layyardt al-mu’asira = is</w:t>
        <w:softHyphen/>
        <w:t>lamsko druilvo i suvremena strujanja,</w:t>
      </w:r>
      <w:r>
        <w:rPr>
          <w:color w:val="000000"/>
          <w:spacing w:val="0"/>
          <w:w w:val="100"/>
          <w:position w:val="0"/>
          <w:sz w:val="13"/>
          <w:szCs w:val="13"/>
          <w:shd w:val="clear" w:color="auto" w:fill="auto"/>
          <w:lang w:val="hr-HR" w:eastAsia="hr-HR" w:bidi="hr-HR"/>
        </w:rPr>
        <w:t xml:space="preserve"> </w:t>
      </w:r>
      <w:r>
        <w:rPr>
          <w:color w:val="000000"/>
          <w:spacing w:val="0"/>
          <w:w w:val="100"/>
          <w:position w:val="0"/>
          <w:sz w:val="13"/>
          <w:szCs w:val="13"/>
          <w:shd w:val="clear" w:color="auto" w:fill="auto"/>
        </w:rPr>
        <w:t xml:space="preserve">Beirut </w:t>
      </w:r>
      <w:r>
        <w:rPr>
          <w:color w:val="000000"/>
          <w:spacing w:val="0"/>
          <w:w w:val="100"/>
          <w:position w:val="0"/>
          <w:sz w:val="13"/>
          <w:szCs w:val="13"/>
          <w:shd w:val="clear" w:color="auto" w:fill="auto"/>
          <w:lang w:val="hr-HR" w:eastAsia="hr-HR" w:bidi="hr-HR"/>
        </w:rPr>
        <w:t>1968. 52-53.</w:t>
      </w:r>
    </w:p>
    <w:p>
      <w:pPr>
        <w:pStyle w:val="Style74"/>
        <w:keepNext w:val="0"/>
        <w:keepLines w:val="0"/>
        <w:widowControl w:val="0"/>
        <w:shd w:val="clear" w:color="auto" w:fill="auto"/>
        <w:bidi w:val="0"/>
        <w:spacing w:before="0" w:after="360"/>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BALIĆ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VRIJEME</w:t>
      </w:r>
    </w:p>
    <w:p>
      <w:pPr>
        <w:pStyle w:val="Style63"/>
        <w:keepNext/>
        <w:keepLines/>
        <w:widowControl w:val="0"/>
        <w:numPr>
          <w:ilvl w:val="0"/>
          <w:numId w:val="627"/>
        </w:numPr>
        <w:shd w:val="clear" w:color="auto" w:fill="auto"/>
        <w:tabs>
          <w:tab w:pos="246" w:val="left"/>
        </w:tabs>
        <w:bidi w:val="0"/>
        <w:spacing w:before="0" w:line="223" w:lineRule="auto"/>
        <w:ind w:left="0" w:right="0" w:firstLine="0"/>
        <w:jc w:val="both"/>
      </w:pPr>
      <w:bookmarkStart w:id="397" w:name="bookmark397"/>
      <w:r>
        <w:rPr>
          <w:rFonts w:ascii="Times New Roman" w:eastAsia="Times New Roman" w:hAnsi="Times New Roman" w:cs="Times New Roman"/>
          <w:color w:val="000000"/>
          <w:spacing w:val="0"/>
          <w:w w:val="100"/>
          <w:position w:val="0"/>
          <w:shd w:val="clear" w:color="auto" w:fill="auto"/>
          <w:lang w:val="hr-HR" w:eastAsia="hr-HR" w:bidi="hr-HR"/>
        </w:rPr>
        <w:t>židovski</w:t>
      </w:r>
      <w:bookmarkEnd w:id="397"/>
    </w:p>
    <w:p>
      <w:pPr>
        <w:pStyle w:val="Style20"/>
        <w:keepNext w:val="0"/>
        <w:keepLines w:val="0"/>
        <w:widowControl w:val="0"/>
        <w:numPr>
          <w:ilvl w:val="0"/>
          <w:numId w:val="629"/>
        </w:numPr>
        <w:shd w:val="clear" w:color="auto" w:fill="auto"/>
        <w:tabs>
          <w:tab w:pos="265" w:val="left"/>
        </w:tabs>
        <w:bidi w:val="0"/>
        <w:spacing w:before="0" w:after="0"/>
        <w:ind w:left="0" w:right="0" w:firstLine="0"/>
        <w:jc w:val="both"/>
        <w:sectPr>
          <w:headerReference w:type="default" r:id="rId1589"/>
          <w:footerReference w:type="default" r:id="rId1590"/>
          <w:headerReference w:type="even" r:id="rId1591"/>
          <w:footerReference w:type="even" r:id="rId1592"/>
          <w:headerReference w:type="first" r:id="rId1593"/>
          <w:footerReference w:type="first" r:id="rId1594"/>
          <w:footnotePr>
            <w:pos w:val="pageBottom"/>
            <w:numFmt w:val="decimal"/>
            <w:numRestart w:val="continuous"/>
            <w15:footnoteColumns w:val="1"/>
          </w:footnotePr>
          <w:pgSz w:w="6816" w:h="11006"/>
          <w:pgMar w:top="947" w:left="195" w:right="199" w:bottom="465" w:header="0" w:footer="3" w:gutter="0"/>
          <w:cols w:num="2" w:space="189"/>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»A sedmoga dana je počinak posvećen NJE</w:t>
        <w:softHyphen/>
        <w:t>MU, Bogu tvojemu.«</w:t>
      </w:r>
      <w:r>
        <w:rPr>
          <w:rFonts w:ascii="Times New Roman" w:eastAsia="Times New Roman" w:hAnsi="Times New Roman" w:cs="Times New Roman"/>
          <w:color w:val="000000"/>
          <w:spacing w:val="0"/>
          <w:w w:val="100"/>
          <w:position w:val="0"/>
          <w:shd w:val="clear" w:color="auto" w:fill="auto"/>
          <w:lang w:val="hr-HR" w:eastAsia="hr-HR" w:bidi="hr-HR"/>
        </w:rPr>
        <w:t xml:space="preserve"> Sabatna (subotna) zapo</w:t>
        <w:softHyphen/>
        <w:t>vijed i zapovijed poštovanja roditelja ne raz</w:t>
        <w:softHyphen/>
        <w:t>likuju se samo svojim pozitivnim oblikova</w:t>
        <w:softHyphen/>
        <w:t>njem od drugih rečenica u »Deset zapovijedi« (Izl 34,28); one same govore i o vremenu i ti</w:t>
        <w:softHyphen/>
        <w:t>me samo v. uključuju u Izraelov temeljni za</w:t>
        <w:softHyphen/>
        <w:t xml:space="preserve">kon. Šabatna zapovijed ubraja se u prvi dio Deset zapovijedi, koji život naroda temelji na vlasti Božjoj (20,3-11); ona raščlanjuje v. u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zatvoreni slijed tjedana u godini: »Sjeti se da svetkuješ dan subotnji. Šest dana radi i obav</w:t>
        <w:softHyphen/>
        <w:t>ljaj sav svoj posao. A sedmoga dana je poči</w:t>
        <w:softHyphen/>
        <w:t>nak posvećen NJEMU, Bogu tvojemu« (Izl 20,8-10). Šabat se vraća na stvaranje svijeta (redak 11); svetkovanjem svakoga sedmog da</w:t>
        <w:softHyphen/>
        <w:t>na šabat osigurava jednakomjernost godine. Druga verzija šabatne zapovijedi navodi druk</w:t>
        <w:softHyphen/>
        <w:t>čiji motiv od zapovijedi s početka stvaranja: »Šjeti sc da si i ti bio rob u zemlji egipatskoj i da te odande izbavio ON, Bog tvoj, rukom jakom i ispruženom mišicom. Zato ti je za</w:t>
        <w:softHyphen/>
        <w:t xml:space="preserve">povjedio ON, Bog tvoj, da držiš dan subotnji« (Pnz 5,15). Analogno tomu mudraci su tražili da se u svakom </w:t>
      </w:r>
      <w:r>
        <w:rPr>
          <w:rFonts w:ascii="Times New Roman" w:eastAsia="Times New Roman" w:hAnsi="Times New Roman" w:cs="Times New Roman"/>
          <w:i/>
          <w:iCs/>
          <w:color w:val="000000"/>
          <w:spacing w:val="0"/>
          <w:w w:val="100"/>
          <w:position w:val="0"/>
          <w:shd w:val="clear" w:color="auto" w:fill="auto"/>
          <w:lang w:val="hr-HR" w:eastAsia="hr-HR" w:bidi="hr-HR"/>
        </w:rPr>
        <w:t>Kidušu -</w:t>
      </w:r>
      <w:r>
        <w:rPr>
          <w:rFonts w:ascii="Times New Roman" w:eastAsia="Times New Roman" w:hAnsi="Times New Roman" w:cs="Times New Roman"/>
          <w:color w:val="000000"/>
          <w:spacing w:val="0"/>
          <w:w w:val="100"/>
          <w:position w:val="0"/>
          <w:shd w:val="clear" w:color="auto" w:fill="auto"/>
          <w:lang w:val="hr-HR" w:eastAsia="hr-HR" w:bidi="hr-HR"/>
        </w:rPr>
        <w:t xml:space="preserve"> molitvi veličanja nad čašom vina radi veličanja šabata i blagdana - spominje i oslobađanje iz sužanjstva: »Svet</w:t>
        <w:softHyphen/>
        <w:t>kovanjem toga dana čovjek se sjeća izlaska iz Egipta« (b Pcsahim 117b). Majmonid je (1135-1204) naglašavao dvostruki razlog ša</w:t>
        <w:softHyphen/>
        <w:t xml:space="preserve">bata </w:t>
      </w:r>
      <w:r>
        <w:rPr>
          <w:rFonts w:ascii="Times New Roman" w:eastAsia="Times New Roman" w:hAnsi="Times New Roman" w:cs="Times New Roman"/>
          <w:i/>
          <w:iCs/>
          <w:color w:val="000000"/>
          <w:spacing w:val="0"/>
          <w:w w:val="100"/>
          <w:position w:val="0"/>
          <w:shd w:val="clear" w:color="auto" w:fill="auto"/>
          <w:lang w:val="hr-HR" w:eastAsia="hr-HR" w:bidi="hr-HR"/>
        </w:rPr>
        <w:t>(More nevuhim</w:t>
      </w:r>
      <w:r>
        <w:rPr>
          <w:rFonts w:ascii="Times New Roman" w:eastAsia="Times New Roman" w:hAnsi="Times New Roman" w:cs="Times New Roman"/>
          <w:color w:val="000000"/>
          <w:spacing w:val="0"/>
          <w:w w:val="100"/>
          <w:position w:val="0"/>
          <w:shd w:val="clear" w:color="auto" w:fill="auto"/>
          <w:lang w:val="hr-HR" w:eastAsia="hr-HR" w:bidi="hr-HR"/>
        </w:rPr>
        <w:t xml:space="preserve"> /Vodič pokolebanima/, 11,31); no Nahmanid (1195-1270) prepoznao je vezu: »Šabat je spomenik izlasku iz Egipta, a izlazak iz Egipta spomenik je šabatu« (Ko</w:t>
        <w:softHyphen/>
        <w:t>mentar Petoknjižja u vezi s Pnz 5,15). Stvo</w:t>
        <w:softHyphen/>
        <w:t xml:space="preserve">ritelj svijeta je onaj kojega je Izrael u svojoj povijesti doživio kao izbavitelja iz Egipta i osloboditelja. Bog </w:t>
      </w:r>
      <w:r>
        <w:rPr>
          <w:rFonts w:ascii="Times New Roman" w:eastAsia="Times New Roman" w:hAnsi="Times New Roman" w:cs="Times New Roman"/>
          <w:i/>
          <w:iCs/>
          <w:color w:val="000000"/>
          <w:spacing w:val="0"/>
          <w:w w:val="100"/>
          <w:position w:val="0"/>
          <w:shd w:val="clear" w:color="auto" w:fill="auto"/>
          <w:lang w:val="hr-HR" w:eastAsia="hr-HR" w:bidi="hr-HR"/>
        </w:rPr>
        <w:t>u</w:t>
      </w:r>
      <w:r>
        <w:rPr>
          <w:rFonts w:ascii="Times New Roman" w:eastAsia="Times New Roman" w:hAnsi="Times New Roman" w:cs="Times New Roman"/>
          <w:color w:val="000000"/>
          <w:spacing w:val="0"/>
          <w:w w:val="100"/>
          <w:position w:val="0"/>
          <w:shd w:val="clear" w:color="auto" w:fill="auto"/>
          <w:lang w:val="hr-HR" w:eastAsia="hr-HR" w:bidi="hr-HR"/>
        </w:rPr>
        <w:t xml:space="preserve"> vremenu potvrđuje svo</w:t>
        <w:softHyphen/>
        <w:t>jim čudom Pesaha svoje čudesno djelo počet</w:t>
        <w:softHyphen/>
        <w:t>ka. Uvijek postojeće, neprekidno »sjećanje na dan počinka« doziva svakog tjedna iznova u svijest stvaranje svijeta i ujedno židovskoga naroda; to svetkovanje svakoga šabata sjeća</w:t>
        <w:softHyphen/>
        <w:t>nje je na »vrijeme našega oslobođenja« (usp. večernju molitvu za Pcsah s Kidušem). Na</w:t>
        <w:softHyphen/>
        <w:t>protiv, zapovijed poštovanja roditelja objaš</w:t>
        <w:softHyphen/>
        <w:t>njava odgovornost pojedinca za otvoreni slijed naraštaja u vremenskom trajanju: »da bi ti se produžili dani života na zemlji koju ti da ON, Bog tvoj« (Izl 0,12). Kontinuitet kako slijeda svetkovanja šabata tako slijeda tradicije u ge</w:t>
        <w:softHyphen/>
        <w:t>neracijskoj uzastopnosti osigurava vrijeme ži</w:t>
        <w:softHyphen/>
        <w:t>dovskoga naroda. On je održavao i razvijao svoju sposobnost sjećanja presudnih događaja iz prošlosti bez koje ne bi postojao. Njegovi učitelji borili su se za očuvanje židovskoga pamćenja protiv prirodnog i svjesnog zabo</w:t>
        <w:softHyphen/>
        <w:t>rava: »Kasnije patnje bacaju u zaborav ranije« (b Berahot 13a). U tome im je pomogao u židovski život ugrađeni običaj držanja poseb</w:t>
        <w:softHyphen/>
        <w:t>nih blagdana i praznika u židovskoj kalendar</w:t>
        <w:softHyphen/>
        <w:t xml:space="preserve">skoj godini, kojima Deset zapovijedi nisu dale </w:t>
      </w:r>
      <w:r>
        <w:rPr>
          <w:rFonts w:ascii="Times New Roman" w:eastAsia="Times New Roman" w:hAnsi="Times New Roman" w:cs="Times New Roman"/>
          <w:color w:val="000000"/>
          <w:spacing w:val="0"/>
          <w:w w:val="100"/>
          <w:position w:val="0"/>
          <w:shd w:val="clear" w:color="auto" w:fill="auto"/>
          <w:lang w:val="hr-HR" w:eastAsia="hr-HR" w:bidi="hr-HR"/>
        </w:rPr>
        <w:t>mjesto osim »dana počinka« koji je vrijedio za sva vremena; njihovo v. nije neovisno, nego je povezano s kretanjima Mjeseca i Sunca.</w:t>
      </w:r>
    </w:p>
    <w:p>
      <w:pPr>
        <w:pStyle w:val="Style20"/>
        <w:keepNext w:val="0"/>
        <w:keepLines w:val="0"/>
        <w:widowControl w:val="0"/>
        <w:numPr>
          <w:ilvl w:val="0"/>
          <w:numId w:val="629"/>
        </w:numPr>
        <w:shd w:val="clear" w:color="auto" w:fill="auto"/>
        <w:tabs>
          <w:tab w:pos="265" w:val="left"/>
        </w:tabs>
        <w:bidi w:val="0"/>
        <w:spacing w:before="0" w:after="60"/>
        <w:ind w:left="0" w:right="0" w:firstLine="0"/>
        <w:jc w:val="both"/>
        <w:sectPr>
          <w:headerReference w:type="default" r:id="rId1595"/>
          <w:footerReference w:type="default" r:id="rId1596"/>
          <w:headerReference w:type="even" r:id="rId1597"/>
          <w:footerReference w:type="even" r:id="rId1598"/>
          <w:footnotePr>
            <w:pos w:val="pageBottom"/>
            <w:numFmt w:val="decimal"/>
            <w:numRestart w:val="continuous"/>
            <w15:footnoteColumns w:val="1"/>
          </w:footnotePr>
          <w:pgSz w:w="6816" w:h="11006"/>
          <w:pgMar w:top="947" w:left="195" w:right="199" w:bottom="465" w:header="0" w:footer="37" w:gutter="0"/>
          <w:pgNumType w:start="527"/>
          <w:cols w:num="2" w:space="189"/>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»Deset dana (obraćenja).«</w:t>
      </w:r>
      <w:r>
        <w:rPr>
          <w:rFonts w:ascii="Times New Roman" w:eastAsia="Times New Roman" w:hAnsi="Times New Roman" w:cs="Times New Roman"/>
          <w:color w:val="000000"/>
          <w:spacing w:val="0"/>
          <w:w w:val="100"/>
          <w:position w:val="0"/>
          <w:shd w:val="clear" w:color="auto" w:fill="auto"/>
          <w:lang w:val="hr-HR" w:eastAsia="hr-HR" w:bidi="hr-HR"/>
        </w:rPr>
        <w:t xml:space="preserve"> Tradicija čuva is</w:t>
        <w:softHyphen/>
        <w:t>kustvo židovske zajednice od potrebe da razli</w:t>
        <w:softHyphen/>
        <w:t xml:space="preserve">kuje vremena. Prema predajnom židovskom životnom putu </w:t>
      </w:r>
      <w:r>
        <w:rPr>
          <w:rFonts w:ascii="Times New Roman" w:eastAsia="Times New Roman" w:hAnsi="Times New Roman" w:cs="Times New Roman"/>
          <w:i/>
          <w:iCs/>
          <w:color w:val="000000"/>
          <w:spacing w:val="0"/>
          <w:w w:val="100"/>
          <w:position w:val="0"/>
          <w:shd w:val="clear" w:color="auto" w:fill="auto"/>
          <w:lang w:val="hr-HR" w:eastAsia="hr-HR" w:bidi="hr-HR"/>
        </w:rPr>
        <w:t>(halaha)</w:t>
      </w:r>
      <w:r>
        <w:rPr>
          <w:rFonts w:ascii="Times New Roman" w:eastAsia="Times New Roman" w:hAnsi="Times New Roman" w:cs="Times New Roman"/>
          <w:color w:val="000000"/>
          <w:spacing w:val="0"/>
          <w:w w:val="100"/>
          <w:position w:val="0"/>
          <w:shd w:val="clear" w:color="auto" w:fill="auto"/>
          <w:lang w:val="hr-HR" w:eastAsia="hr-HR" w:bidi="hr-HR"/>
        </w:rPr>
        <w:t xml:space="preserve"> pojedinac ograničava svoje tjelesne potrebe prema određenim vre</w:t>
        <w:softHyphen/>
        <w:t xml:space="preserve">menima posta (M Joma VIII,1-6;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IV,6 i d.; 1,5; 11,8 i d.; 111,2.4) i »nečistoću« (Red Mišne Toharot) i time se pokorava Božjem gospodstvu do osobnih i intimnih egzistencij- skih područja i odnosa: »Ti si Bog moj! U tvo</w:t>
        <w:softHyphen/>
        <w:t>joj je ruci sudbina moja« (= moja vremena) (Ps 31,15 i d.). Podjela svakodnevnih molitvi na vremena ne odgovara samo značenju dnev</w:t>
        <w:softHyphen/>
        <w:t>nih i noćnih vremena za ljude; za njih je do</w:t>
        <w:softHyphen/>
        <w:t>voljno sučeljavanje jutarnje i večernje molitve. Odredba svakodnevne poslijepodnevne molit</w:t>
        <w:softHyphen/>
        <w:t>ve traži oštriju diferencijaciju koju, prema tra</w:t>
        <w:softHyphen/>
        <w:t xml:space="preserve">diciji, obrazlažu praoci: »Abraham je naredio da se moli jutarnja molitva«; pritom su mudraci objasnili Post 19,27 prema 106,30: «... pa </w:t>
      </w:r>
      <w:r>
        <w:rPr>
          <w:rFonts w:ascii="Times New Roman" w:eastAsia="Times New Roman" w:hAnsi="Times New Roman" w:cs="Times New Roman"/>
          <w:i/>
          <w:iCs/>
          <w:color w:val="000000"/>
          <w:spacing w:val="0"/>
          <w:w w:val="100"/>
          <w:position w:val="0"/>
          <w:shd w:val="clear" w:color="auto" w:fill="auto"/>
          <w:lang w:val="hr-HR" w:eastAsia="hr-HR" w:bidi="hr-HR"/>
        </w:rPr>
        <w:t>sta</w:t>
        <w:softHyphen/>
        <w:t>jati</w:t>
      </w:r>
      <w:r>
        <w:rPr>
          <w:rFonts w:ascii="Times New Roman" w:eastAsia="Times New Roman" w:hAnsi="Times New Roman" w:cs="Times New Roman"/>
          <w:color w:val="000000"/>
          <w:spacing w:val="0"/>
          <w:w w:val="100"/>
          <w:position w:val="0"/>
          <w:shd w:val="clear" w:color="auto" w:fill="auto"/>
          <w:lang w:val="hr-HR" w:eastAsia="hr-HR" w:bidi="hr-HR"/>
        </w:rPr>
        <w:t xml:space="preserve"> nije ništa drugo doli </w:t>
      </w:r>
      <w:r>
        <w:rPr>
          <w:rFonts w:ascii="Times New Roman" w:eastAsia="Times New Roman" w:hAnsi="Times New Roman" w:cs="Times New Roman"/>
          <w:i/>
          <w:iCs/>
          <w:color w:val="000000"/>
          <w:spacing w:val="0"/>
          <w:w w:val="100"/>
          <w:position w:val="0"/>
          <w:shd w:val="clear" w:color="auto" w:fill="auto"/>
          <w:lang w:val="hr-HR" w:eastAsia="hr-HR" w:bidi="hr-HR"/>
        </w:rPr>
        <w:t>molili«.</w:t>
      </w:r>
      <w:r>
        <w:rPr>
          <w:rFonts w:ascii="Times New Roman" w:eastAsia="Times New Roman" w:hAnsi="Times New Roman" w:cs="Times New Roman"/>
          <w:color w:val="000000"/>
          <w:spacing w:val="0"/>
          <w:w w:val="100"/>
          <w:position w:val="0"/>
          <w:shd w:val="clear" w:color="auto" w:fill="auto"/>
          <w:lang w:val="hr-HR" w:eastAsia="hr-HR" w:bidi="hr-HR"/>
        </w:rPr>
        <w:t xml:space="preserve"> »Jichak je naredio da se moli poslijepodnevna molitva«; ovdje se tumači sa Ps 102,1: » i </w:t>
      </w:r>
      <w:r>
        <w:rPr>
          <w:rFonts w:ascii="Times New Roman" w:eastAsia="Times New Roman" w:hAnsi="Times New Roman" w:cs="Times New Roman"/>
          <w:i/>
          <w:iCs/>
          <w:color w:val="000000"/>
          <w:spacing w:val="0"/>
          <w:w w:val="100"/>
          <w:position w:val="0"/>
          <w:shd w:val="clear" w:color="auto" w:fill="auto"/>
          <w:lang w:val="hr-HR" w:eastAsia="hr-HR" w:bidi="hr-HR"/>
        </w:rPr>
        <w:t>premišljali</w:t>
      </w:r>
      <w:r>
        <w:rPr>
          <w:rFonts w:ascii="Times New Roman" w:eastAsia="Times New Roman" w:hAnsi="Times New Roman" w:cs="Times New Roman"/>
          <w:color w:val="000000"/>
          <w:spacing w:val="0"/>
          <w:w w:val="100"/>
          <w:position w:val="0"/>
          <w:shd w:val="clear" w:color="auto" w:fill="auto"/>
          <w:lang w:val="hr-HR" w:eastAsia="hr-HR" w:bidi="hr-HR"/>
        </w:rPr>
        <w:t xml:space="preserve"> nije ništa drugo doli </w:t>
      </w:r>
      <w:r>
        <w:rPr>
          <w:rFonts w:ascii="Times New Roman" w:eastAsia="Times New Roman" w:hAnsi="Times New Roman" w:cs="Times New Roman"/>
          <w:i/>
          <w:iCs/>
          <w:color w:val="000000"/>
          <w:spacing w:val="0"/>
          <w:w w:val="100"/>
          <w:position w:val="0"/>
          <w:shd w:val="clear" w:color="auto" w:fill="auto"/>
          <w:lang w:val="hr-HR" w:eastAsia="hr-HR" w:bidi="hr-HR"/>
        </w:rPr>
        <w:t>moliti«.</w:t>
      </w:r>
      <w:r>
        <w:rPr>
          <w:rFonts w:ascii="Times New Roman" w:eastAsia="Times New Roman" w:hAnsi="Times New Roman" w:cs="Times New Roman"/>
          <w:color w:val="000000"/>
          <w:spacing w:val="0"/>
          <w:w w:val="100"/>
          <w:position w:val="0"/>
          <w:shd w:val="clear" w:color="auto" w:fill="auto"/>
          <w:lang w:val="hr-HR" w:eastAsia="hr-HR" w:bidi="hr-HR"/>
        </w:rPr>
        <w:t xml:space="preserve"> »Jakov je naredio da se moli večernja molitva«; za objašnjenje Post 28,11 uzima se Jr 7,16; »i </w:t>
      </w:r>
      <w:r>
        <w:rPr>
          <w:rFonts w:ascii="Times New Roman" w:eastAsia="Times New Roman" w:hAnsi="Times New Roman" w:cs="Times New Roman"/>
          <w:i/>
          <w:iCs/>
          <w:color w:val="000000"/>
          <w:spacing w:val="0"/>
          <w:w w:val="100"/>
          <w:position w:val="0"/>
          <w:shd w:val="clear" w:color="auto" w:fill="auto"/>
          <w:lang w:val="hr-HR" w:eastAsia="hr-HR" w:bidi="hr-HR"/>
        </w:rPr>
        <w:t>stići</w:t>
      </w:r>
      <w:r>
        <w:rPr>
          <w:rFonts w:ascii="Times New Roman" w:eastAsia="Times New Roman" w:hAnsi="Times New Roman" w:cs="Times New Roman"/>
          <w:color w:val="000000"/>
          <w:spacing w:val="0"/>
          <w:w w:val="100"/>
          <w:position w:val="0"/>
          <w:shd w:val="clear" w:color="auto" w:fill="auto"/>
          <w:lang w:val="hr-HR" w:eastAsia="hr-HR" w:bidi="hr-HR"/>
        </w:rPr>
        <w:t xml:space="preserve"> nije ništa drugo osim </w:t>
      </w:r>
      <w:r>
        <w:rPr>
          <w:rFonts w:ascii="Times New Roman" w:eastAsia="Times New Roman" w:hAnsi="Times New Roman" w:cs="Times New Roman"/>
          <w:i/>
          <w:iCs/>
          <w:color w:val="000000"/>
          <w:spacing w:val="0"/>
          <w:w w:val="100"/>
          <w:position w:val="0"/>
          <w:shd w:val="clear" w:color="auto" w:fill="auto"/>
          <w:lang w:val="hr-HR" w:eastAsia="hr-HR" w:bidi="hr-HR"/>
        </w:rPr>
        <w:t>moliti«</w:t>
      </w:r>
      <w:r>
        <w:rPr>
          <w:rFonts w:ascii="Times New Roman" w:eastAsia="Times New Roman" w:hAnsi="Times New Roman" w:cs="Times New Roman"/>
          <w:color w:val="000000"/>
          <w:spacing w:val="0"/>
          <w:w w:val="100"/>
          <w:position w:val="0"/>
          <w:shd w:val="clear" w:color="auto" w:fill="auto"/>
          <w:lang w:val="hr-HR" w:eastAsia="hr-HR" w:bidi="hr-HR"/>
        </w:rPr>
        <w:t xml:space="preserve"> (b Berahot 26b). </w:t>
      </w:r>
      <w:r>
        <w:rPr>
          <w:rFonts w:ascii="Times New Roman" w:eastAsia="Times New Roman" w:hAnsi="Times New Roman" w:cs="Times New Roman"/>
          <w:color w:val="000000"/>
          <w:spacing w:val="0"/>
          <w:w w:val="100"/>
          <w:position w:val="0"/>
          <w:shd w:val="clear" w:color="auto" w:fill="auto"/>
          <w:lang w:val="en-US" w:eastAsia="en-US" w:bidi="en-US"/>
        </w:rPr>
        <w:t xml:space="preserve">Zohar, </w:t>
      </w:r>
      <w:r>
        <w:rPr>
          <w:rFonts w:ascii="Times New Roman" w:eastAsia="Times New Roman" w:hAnsi="Times New Roman" w:cs="Times New Roman"/>
          <w:color w:val="000000"/>
          <w:spacing w:val="0"/>
          <w:w w:val="100"/>
          <w:position w:val="0"/>
          <w:shd w:val="clear" w:color="auto" w:fill="auto"/>
          <w:lang w:val="hr-HR" w:eastAsia="hr-HR" w:bidi="hr-HR"/>
        </w:rPr>
        <w:t>glavno djelo Kabaie sastavljeno kao midraš Peto</w:t>
        <w:softHyphen/>
        <w:t>knjižja, pokazuje prema sudbinama otaca da su oni u molitvi pronašli put k Bogu i time po</w:t>
        <w:softHyphen/>
        <w:t>tomstvu ostavili primjer kako se čovjek u raz</w:t>
        <w:softHyphen/>
        <w:t xml:space="preserve">ličitim vremenima života može približiti Bogu </w:t>
      </w:r>
      <w:r>
        <w:rPr>
          <w:rFonts w:ascii="Times New Roman" w:eastAsia="Times New Roman" w:hAnsi="Times New Roman" w:cs="Times New Roman"/>
          <w:i/>
          <w:iCs/>
          <w:color w:val="000000"/>
          <w:spacing w:val="0"/>
          <w:w w:val="100"/>
          <w:position w:val="0"/>
          <w:shd w:val="clear" w:color="auto" w:fill="auto"/>
          <w:lang w:val="hr-HR" w:eastAsia="hr-HR" w:bidi="hr-HR"/>
        </w:rPr>
        <w:t>(Sidra vajece,</w:t>
      </w:r>
      <w:r>
        <w:rPr>
          <w:rFonts w:ascii="Times New Roman" w:eastAsia="Times New Roman" w:hAnsi="Times New Roman" w:cs="Times New Roman"/>
          <w:color w:val="000000"/>
          <w:spacing w:val="0"/>
          <w:w w:val="100"/>
          <w:position w:val="0"/>
          <w:shd w:val="clear" w:color="auto" w:fill="auto"/>
          <w:lang w:val="hr-HR" w:eastAsia="hr-HR" w:bidi="hr-HR"/>
        </w:rPr>
        <w:t xml:space="preserve"> Post 28,10 i d.): Abrahamov ži</w:t>
        <w:softHyphen/>
        <w:t>vot treba shvatiti kao dar Božje ljubavi koju odražava jutarnja molitva. Jichakovi dani za</w:t>
        <w:softHyphen/>
        <w:t>vršavaju sljepoćom i samoćom; oni upozora</w:t>
        <w:softHyphen/>
        <w:t>vaju na vrijeme »strogog suda« kojemu je pri</w:t>
        <w:softHyphen/>
        <w:t>lagođena poslijepodnevna molitva u doba za</w:t>
        <w:softHyphen/>
        <w:t xml:space="preserve">laska sunca. »U Boga prodre« </w:t>
      </w:r>
      <w:r>
        <w:rPr>
          <w:rFonts w:ascii="Times New Roman" w:eastAsia="Times New Roman" w:hAnsi="Times New Roman" w:cs="Times New Roman"/>
          <w:i/>
          <w:iCs/>
          <w:color w:val="000000"/>
          <w:spacing w:val="0"/>
          <w:w w:val="100"/>
          <w:position w:val="0"/>
          <w:shd w:val="clear" w:color="auto" w:fill="auto"/>
          <w:lang w:val="hr-HR" w:eastAsia="hr-HR" w:bidi="hr-HR"/>
        </w:rPr>
        <w:t>(va-jifga bama- kom</w:t>
      </w:r>
      <w:r>
        <w:rPr>
          <w:rFonts w:ascii="Times New Roman" w:eastAsia="Times New Roman" w:hAnsi="Times New Roman" w:cs="Times New Roman"/>
          <w:color w:val="000000"/>
          <w:spacing w:val="0"/>
          <w:w w:val="100"/>
          <w:position w:val="0"/>
          <w:shd w:val="clear" w:color="auto" w:fill="auto"/>
          <w:lang w:val="hr-HR" w:eastAsia="hr-HR" w:bidi="hr-HR"/>
        </w:rPr>
        <w:t xml:space="preserve"> Post 28,11) Jakov moleći se za v. noći i susretne dobrostiva Boga. Noć u čovječjem životu je, prema tomu, v. »blagog suda«; ublažavanje suda Božjom ljubavlju rezultira Božjim milosrđem, na koje se odnosi večernja molitva. Budući da međusobni odnos Bog - čovjek obuhvaća cijelog čovjeka, v. ima važnu ulogu i u rabinskim tumačenjima. U njihovim komentarima na Iz 55,6 mudraci razmatraju pitanje vremena u kojima se Bog može naći i </w:t>
      </w:r>
    </w:p>
    <w:p>
      <w:pPr>
        <w:pStyle w:val="Style20"/>
        <w:keepNext w:val="0"/>
        <w:keepLines w:val="0"/>
        <w:widowControl w:val="0"/>
        <w:shd w:val="clear" w:color="auto" w:fill="auto"/>
        <w:tabs>
          <w:tab w:pos="265"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završavaju na »deset dana (obraćenja) od No</w:t>
        <w:softHyphen/>
        <w:t>ve godine do Dana pomirenja« (b Roš ha- šana 18a). Majmonid je podučavao da se »Bog u neka vremena vidi, a u druga ne vidi; da se u neka vremena čuje, a u druga nc čuje; da je u neka vremena dostižan, a u druga nije; da se može naći, a drugi put ne može; da je katkada blizu, a katkada nije« (Mišne Tora, Hilhot tešuva 11,6). Bog određuje vremena u kojima se pokazuje ljudima i ona u kojima od njih skriva svoje lice.</w:t>
      </w:r>
    </w:p>
    <w:p>
      <w:pPr>
        <w:pStyle w:val="Style56"/>
        <w:keepNext w:val="0"/>
        <w:keepLines w:val="0"/>
        <w:widowControl w:val="0"/>
        <w:shd w:val="clear" w:color="auto" w:fill="auto"/>
        <w:tabs>
          <w:tab w:pos="2429" w:val="left"/>
        </w:tabs>
        <w:bidi w:val="0"/>
        <w:spacing w:before="0" w:after="340" w:line="240" w:lineRule="auto"/>
        <w:ind w:left="0" w:right="0" w:firstLine="0"/>
        <w:jc w:val="both"/>
      </w:pPr>
      <w:r>
        <w:rPr>
          <w:color w:val="000000"/>
          <w:spacing w:val="0"/>
          <w:w w:val="100"/>
          <w:position w:val="0"/>
          <w:shd w:val="clear" w:color="auto" w:fill="auto"/>
        </w:rPr>
        <w:t xml:space="preserve">Liu: </w:t>
      </w:r>
      <w:r>
        <w:rPr>
          <w:i/>
          <w:iCs/>
          <w:color w:val="000000"/>
          <w:spacing w:val="0"/>
          <w:w w:val="100"/>
          <w:position w:val="0"/>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*1978, 5, 1374-88; 15, </w:t>
      </w:r>
      <w:r>
        <w:rPr>
          <w:color w:val="000000"/>
          <w:spacing w:val="0"/>
          <w:w w:val="100"/>
          <w:position w:val="0"/>
          <w:shd w:val="clear" w:color="auto" w:fill="auto"/>
        </w:rPr>
        <w:t>1</w:t>
      </w:r>
      <w:r>
        <w:rPr>
          <w:color w:val="000000"/>
          <w:spacing w:val="0"/>
          <w:w w:val="100"/>
          <w:position w:val="0"/>
          <w:shd w:val="clear" w:color="auto" w:fill="auto"/>
          <w:lang w:val="hr-HR" w:eastAsia="hr-HR" w:bidi="hr-HR"/>
        </w:rPr>
        <w:t xml:space="preserve">142 i d.; P. P. </w:t>
      </w:r>
      <w:r>
        <w:rPr>
          <w:color w:val="000000"/>
          <w:spacing w:val="0"/>
          <w:w w:val="100"/>
          <w:position w:val="0"/>
          <w:shd w:val="clear" w:color="auto" w:fill="auto"/>
        </w:rPr>
        <w:t xml:space="preserve">Gruncwald, </w:t>
      </w:r>
      <w:r>
        <w:rPr>
          <w:i/>
          <w:iCs/>
          <w:color w:val="000000"/>
          <w:spacing w:val="0"/>
          <w:w w:val="100"/>
          <w:position w:val="0"/>
          <w:shd w:val="clear" w:color="auto" w:fill="auto"/>
          <w:lang w:val="hr-HR" w:eastAsia="hr-HR" w:bidi="hr-HR"/>
        </w:rPr>
        <w:t xml:space="preserve">fm etvigen </w:t>
      </w:r>
      <w:r>
        <w:rPr>
          <w:i/>
          <w:iCs/>
          <w:color w:val="000000"/>
          <w:spacing w:val="0"/>
          <w:w w:val="100"/>
          <w:position w:val="0"/>
          <w:shd w:val="clear" w:color="auto" w:fill="auto"/>
        </w:rPr>
        <w:t xml:space="preserve">Kreis. </w:t>
      </w:r>
      <w:r>
        <w:rPr>
          <w:i/>
          <w:iCs/>
          <w:color w:val="000000"/>
          <w:spacing w:val="0"/>
          <w:w w:val="100"/>
          <w:position w:val="0"/>
          <w:shd w:val="clear" w:color="auto" w:fill="auto"/>
          <w:lang w:val="hr-HR" w:eastAsia="hr-HR" w:bidi="hr-HR"/>
        </w:rPr>
        <w:t>Zum judischen Kalender- jahr,</w:t>
      </w:r>
      <w:r>
        <w:rPr>
          <w:color w:val="000000"/>
          <w:spacing w:val="0"/>
          <w:w w:val="100"/>
          <w:position w:val="0"/>
          <w:shd w:val="clear" w:color="auto" w:fill="auto"/>
          <w:lang w:val="hr-HR" w:eastAsia="hr-HR" w:bidi="hr-HR"/>
        </w:rPr>
        <w:t xml:space="preserve"> 1980; A. J. Hcschel, </w:t>
      </w:r>
      <w:r>
        <w:rPr>
          <w:i/>
          <w:iCs/>
          <w:color w:val="000000"/>
          <w:spacing w:val="0"/>
          <w:w w:val="100"/>
          <w:position w:val="0"/>
          <w:shd w:val="clear" w:color="auto" w:fill="auto"/>
          <w:lang w:val="hr-HR" w:eastAsia="hr-HR" w:bidi="hr-HR"/>
        </w:rPr>
        <w:t>Goti sucht den Menschen,</w:t>
      </w:r>
      <w:r>
        <w:rPr>
          <w:color w:val="000000"/>
          <w:spacing w:val="0"/>
          <w:w w:val="100"/>
          <w:position w:val="0"/>
          <w:shd w:val="clear" w:color="auto" w:fill="auto"/>
          <w:lang w:val="hr-HR" w:eastAsia="hr-HR" w:bidi="hr-HR"/>
        </w:rPr>
        <w:t xml:space="preserve"> 1980,24 </w:t>
      </w:r>
      <w:r>
        <w:rPr>
          <w:color w:val="000000"/>
          <w:spacing w:val="0"/>
          <w:w w:val="100"/>
          <w:position w:val="0"/>
          <w:shd w:val="clear" w:color="auto" w:fill="auto"/>
        </w:rPr>
        <w:t xml:space="preserve">id., </w:t>
      </w:r>
      <w:r>
        <w:rPr>
          <w:color w:val="000000"/>
          <w:spacing w:val="0"/>
          <w:w w:val="100"/>
          <w:position w:val="0"/>
          <w:shd w:val="clear" w:color="auto" w:fill="auto"/>
          <w:lang w:val="hr-HR" w:eastAsia="hr-HR" w:bidi="hr-HR"/>
        </w:rPr>
        <w:t xml:space="preserve">99 </w:t>
      </w:r>
      <w:r>
        <w:rPr>
          <w:color w:val="000000"/>
          <w:spacing w:val="0"/>
          <w:w w:val="100"/>
          <w:position w:val="0"/>
          <w:shd w:val="clear" w:color="auto" w:fill="auto"/>
        </w:rPr>
        <w:t>id.</w:t>
        <w:tab/>
      </w:r>
      <w:r>
        <w:rPr>
          <w:color w:val="000000"/>
          <w:spacing w:val="0"/>
          <w:w w:val="100"/>
          <w:position w:val="0"/>
          <w:shd w:val="clear" w:color="auto" w:fill="auto"/>
          <w:lang w:val="hr-HR" w:eastAsia="hr-HR" w:bidi="hr-HR"/>
        </w:rPr>
        <w:t xml:space="preserve">D. </w:t>
      </w:r>
      <w:r>
        <w:rPr>
          <w:color w:val="000000"/>
          <w:spacing w:val="0"/>
          <w:w w:val="100"/>
          <w:position w:val="0"/>
          <w:shd w:val="clear" w:color="auto" w:fill="auto"/>
        </w:rPr>
        <w:t>VETTER</w:t>
      </w:r>
    </w:p>
    <w:p>
      <w:pPr>
        <w:pStyle w:val="Style63"/>
        <w:keepNext/>
        <w:keepLines/>
        <w:widowControl w:val="0"/>
        <w:numPr>
          <w:ilvl w:val="0"/>
          <w:numId w:val="627"/>
        </w:numPr>
        <w:shd w:val="clear" w:color="auto" w:fill="auto"/>
        <w:tabs>
          <w:tab w:pos="260" w:val="left"/>
        </w:tabs>
        <w:bidi w:val="0"/>
        <w:spacing w:before="0" w:after="120"/>
        <w:ind w:left="0" w:right="0" w:firstLine="0"/>
        <w:jc w:val="both"/>
      </w:pPr>
      <w:bookmarkStart w:id="398" w:name="bookmark39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39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čovjeka v. nije samo trajanje nekog do</w:t>
        <w:softHyphen/>
        <w:t>gađaja koje se može izmjeriti tehničkim meto</w:t>
        <w:softHyphen/>
        <w:t>dama nego kvaliteta doživljaja, jer sc isti do</w:t>
        <w:softHyphen/>
        <w:t>gađaj danju doživljava drugačije nego noću, drugačije ljeti nego zimi, drugačije u mladosti nego u starosti. I satovi dana imaju svoje raz</w:t>
        <w:softHyphen/>
        <w:t>ličito isijavanje, jer jutro stavlja čovjeka u dru</w:t>
        <w:softHyphen/>
        <w:t>gačiju situaciju nego večer. Zato se od starine razlikuje v. za kuk, posebno v. spasenja, npr. blagdani i manje spasenjski ispunjeno v., npr. radni dani. To također vrijedi i za kršćanske zajednice i njihova bogoslužna okupljanja ko</w:t>
        <w:softHyphen/>
        <w:t>ja su raščlanjena u različite sate i vremena (blagdani, kalendar). Za čovjeka vjernika čita</w:t>
        <w:softHyphen/>
        <w:t>vo v. leži u Božjoj ruci. Za njega je kvaliteta vremena obilježena Božjom blizinom koja se može iskusiti. Gdje je Krist, tu je »punina vre</w:t>
        <w:softHyphen/>
        <w:t>mena« (Gal 4,4) tu su »posljednja vremena« (1 Kor 10,11). U mitskom mišljenju pravo spasenjsko v. leži na početku, u događaju po</w:t>
        <w:softHyphen/>
        <w:t>stanka, tako da se taj početak mora ponovo uspostaviti. Za kršćansku zajednicu sadašnje je v. već ispunjeno spasenjem, jer je u Kristu već započelo kraljevstvo Božje, svršetak već djeluje u vremenu. Biblijsko razumijevanje vremena, koje leži u osnovi kršćanskog bo</w:t>
        <w:softHyphen/>
        <w:t>goštovlja, ne razlikuje vremenske etape, ni prošlost, ni sadašnjost, ni budućnost, jer proš</w:t>
        <w:softHyphen/>
        <w:t>lo nije nestalo, budućnost nije jako udaljena pa je sve djelotvorno u sadašnjosti. Stoga krš</w:t>
        <w:softHyphen/>
        <w:t>ćanska zajednica slavi Boga i zbog njegova spasenjskog djelovanja za svoj narod u proš</w:t>
        <w:softHyphen/>
        <w:t>losti koje je djelotvorno u sadašnjosti i za bu- dućnost.Tako sjećanje na spasenjsko djelova</w:t>
        <w:softHyphen/>
      </w:r>
      <w:r>
        <w:rPr>
          <w:rFonts w:ascii="Times New Roman" w:eastAsia="Times New Roman" w:hAnsi="Times New Roman" w:cs="Times New Roman"/>
          <w:color w:val="000000"/>
          <w:spacing w:val="0"/>
          <w:w w:val="100"/>
          <w:position w:val="0"/>
          <w:shd w:val="clear" w:color="auto" w:fill="auto"/>
          <w:lang w:val="hr-HR" w:eastAsia="hr-HR" w:bidi="hr-HR"/>
        </w:rPr>
        <w:t>nje stvara istinsku sadašnjost ako je v. povi- jesno-spasenjski određeno kao »već« i »još ne«.</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Iskustvo vremena, koje ima čovjek tehnicizi- ranog industrijskog društva, u svakom je slu</w:t>
        <w:softHyphen/>
        <w:t>čaju drugačije od iskustva ranijih generacija. Sve više se v. sastoji od jedinica istoga oblika tako da su često stavljene izvan snage uobiča</w:t>
        <w:softHyphen/>
        <w:t>jene vremenske strukture koje su kozmički obilježene godišnjim dobima, tradicionalnim blagdanima i blagdanskim vremenima. Tako se osobito može zapaziti osjetni gubitak zna</w:t>
        <w:softHyphen/>
        <w:t>čenja liturgijske godine s njezinim blagdanima i vremenima: slavljenje nedjelje »kao prvoga dana u tjednu« ugroženo je građanskim »vi</w:t>
        <w:softHyphen/>
        <w:t>kendom«, ostali blagdani u svom oblikovanju predstavljaju probleme u zajednicama, jer je veliki dio članova zajednice na putovanjima itd. Središnji sadržaj liturgijskog slavljenja je povijest spasenja koja je uvijek utvrđena spa- senjskim događajima koji su se dogodili ili su obećani. Taj okvirni odnos daje tijeku vreme</w:t>
        <w:softHyphen/>
        <w:t>na smisao i usmjerenje koje se nc može pre</w:t>
        <w:softHyphen/>
        <w:t>okrenuti i u koje se uključuju sve faze i do</w:t>
        <w:softHyphen/>
        <w:t>gađaji života kako pojedinaca tako zajednice i čovječanstva. Time oni dobivaju svoju kvali</w:t>
        <w:softHyphen/>
        <w:t>tetu iz susreta s Bogom po Kristu u zajed</w:t>
        <w:softHyphen/>
        <w:t>ništvu Duha Svetoga »dok ponovo ne dođe Gospodin«. Jer je vječni Bog nazočan u ovom vremenu, sve je nazočno što je on učinio i obećao. Budući da je Krist uzašao Bogu i sus</w:t>
        <w:softHyphen/>
        <w:t>reće nas u ovom vremenu, događa se upri- sutnjenost njegova spasenjskog djela u našem vremenu. Kako je Duh Sveti prostor susreta s Bogom, u njemu se događa Božja prisutnost u zajednici, u riječi i u sakramentu kao predu</w:t>
        <w:softHyphen/>
        <w:t>jam dokidanja vremena i povijesti u njihovu ispunjenju.</w:t>
      </w:r>
    </w:p>
    <w:p>
      <w:pPr>
        <w:pStyle w:val="Style56"/>
        <w:keepNext w:val="0"/>
        <w:keepLines w:val="0"/>
        <w:widowControl w:val="0"/>
        <w:shd w:val="clear" w:color="auto" w:fill="auto"/>
        <w:tabs>
          <w:tab w:pos="2400" w:val="left"/>
        </w:tabs>
        <w:bidi w:val="0"/>
        <w:spacing w:before="0" w:after="20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H. B. </w:t>
      </w:r>
      <w:r>
        <w:rPr>
          <w:color w:val="000000"/>
          <w:spacing w:val="0"/>
          <w:w w:val="100"/>
          <w:position w:val="0"/>
          <w:shd w:val="clear" w:color="auto" w:fill="auto"/>
        </w:rPr>
        <w:t xml:space="preserve">Meyer, </w:t>
      </w:r>
      <w:r>
        <w:rPr>
          <w:color w:val="000000"/>
          <w:spacing w:val="0"/>
          <w:w w:val="100"/>
          <w:position w:val="0"/>
          <w:shd w:val="clear" w:color="auto" w:fill="auto"/>
          <w:lang w:val="hr-HR" w:eastAsia="hr-HR" w:bidi="hr-HR"/>
        </w:rPr>
        <w:t xml:space="preserve">7xit und Gottcsdicnst, u: </w:t>
      </w:r>
      <w:r>
        <w:rPr>
          <w:i/>
          <w:iCs/>
          <w:color w:val="000000"/>
          <w:spacing w:val="0"/>
          <w:w w:val="100"/>
          <w:position w:val="0"/>
          <w:shd w:val="clear" w:color="auto" w:fill="auto"/>
          <w:lang w:val="hr-HR" w:eastAsia="hr-HR" w:bidi="hr-HR"/>
        </w:rPr>
        <w:t>Liturgisches Jahrbuch</w:t>
      </w:r>
      <w:r>
        <w:rPr>
          <w:color w:val="000000"/>
          <w:spacing w:val="0"/>
          <w:w w:val="100"/>
          <w:position w:val="0"/>
          <w:shd w:val="clear" w:color="auto" w:fill="auto"/>
          <w:lang w:val="hr-HR" w:eastAsia="hr-HR" w:bidi="hr-HR"/>
        </w:rPr>
        <w:t xml:space="preserve"> 31 (1981), 193-213; H. Auf dcr Maur, </w:t>
      </w:r>
      <w:r>
        <w:rPr>
          <w:i/>
          <w:iCs/>
          <w:color w:val="000000"/>
          <w:spacing w:val="0"/>
          <w:w w:val="100"/>
          <w:position w:val="0"/>
          <w:shd w:val="clear" w:color="auto" w:fill="auto"/>
          <w:lang w:val="hr-HR" w:eastAsia="hr-HR" w:bidi="hr-HR"/>
        </w:rPr>
        <w:t xml:space="preserve">Feiern im </w:t>
      </w:r>
      <w:r>
        <w:rPr>
          <w:i/>
          <w:iCs/>
          <w:color w:val="000000"/>
          <w:spacing w:val="0"/>
          <w:w w:val="100"/>
          <w:position w:val="0"/>
          <w:shd w:val="clear" w:color="auto" w:fill="auto"/>
        </w:rPr>
        <w:t xml:space="preserve">Rhythmus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Zeil</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I </w:t>
      </w:r>
      <w:r>
        <w:rPr>
          <w:i/>
          <w:iCs/>
          <w:color w:val="000000"/>
          <w:spacing w:val="0"/>
          <w:w w:val="100"/>
          <w:position w:val="0"/>
          <w:shd w:val="clear" w:color="auto" w:fill="auto"/>
          <w:lang w:val="hr-HR" w:eastAsia="hr-HR" w:bidi="hr-HR"/>
        </w:rPr>
        <w:t>(Goltesdiensi derKirche</w:t>
      </w:r>
      <w:r>
        <w:rPr>
          <w:color w:val="000000"/>
          <w:spacing w:val="0"/>
          <w:w w:val="100"/>
          <w:position w:val="0"/>
          <w:shd w:val="clear" w:color="auto" w:fill="auto"/>
          <w:lang w:val="hr-HR" w:eastAsia="hr-HR" w:bidi="hr-HR"/>
        </w:rPr>
        <w:t xml:space="preserve"> 5), </w:t>
      </w:r>
      <w:r>
        <w:rPr>
          <w:color w:val="000000"/>
          <w:spacing w:val="0"/>
          <w:w w:val="100"/>
          <w:position w:val="0"/>
          <w:shd w:val="clear" w:color="auto" w:fill="auto"/>
        </w:rPr>
        <w:t xml:space="preserve">Regensburg </w:t>
      </w:r>
      <w:r>
        <w:rPr>
          <w:color w:val="000000"/>
          <w:spacing w:val="0"/>
          <w:w w:val="100"/>
          <w:position w:val="0"/>
          <w:shd w:val="clear" w:color="auto" w:fill="auto"/>
          <w:lang w:val="hr-HR" w:eastAsia="hr-HR" w:bidi="hr-HR"/>
        </w:rPr>
        <w:t>1983,16-25.</w:t>
        <w:tab/>
        <w:t xml:space="preserve">K. </w:t>
      </w:r>
      <w:r>
        <w:rPr>
          <w:color w:val="000000"/>
          <w:spacing w:val="0"/>
          <w:w w:val="100"/>
          <w:position w:val="0"/>
          <w:shd w:val="clear" w:color="auto" w:fill="auto"/>
        </w:rPr>
        <w:t>RICHTER</w:t>
      </w:r>
    </w:p>
    <w:p>
      <w:pPr>
        <w:pStyle w:val="Style63"/>
        <w:keepNext/>
        <w:keepLines/>
        <w:widowControl w:val="0"/>
        <w:numPr>
          <w:ilvl w:val="0"/>
          <w:numId w:val="627"/>
        </w:numPr>
        <w:shd w:val="clear" w:color="auto" w:fill="auto"/>
        <w:tabs>
          <w:tab w:pos="260" w:val="left"/>
        </w:tabs>
        <w:bidi w:val="0"/>
        <w:spacing w:before="0"/>
        <w:ind w:left="0" w:right="0" w:firstLine="0"/>
        <w:jc w:val="both"/>
      </w:pPr>
      <w:bookmarkStart w:id="399" w:name="bookmark399"/>
      <w:r>
        <w:rPr>
          <w:rFonts w:ascii="Times New Roman" w:eastAsia="Times New Roman" w:hAnsi="Times New Roman" w:cs="Times New Roman"/>
          <w:color w:val="000000"/>
          <w:spacing w:val="0"/>
          <w:w w:val="100"/>
          <w:position w:val="0"/>
          <w:shd w:val="clear" w:color="auto" w:fill="auto"/>
          <w:lang w:val="hr-HR" w:eastAsia="hr-HR" w:bidi="hr-HR"/>
        </w:rPr>
        <w:t>islamski</w:t>
      </w:r>
      <w:bookmarkEnd w:id="399"/>
    </w:p>
    <w:p>
      <w:pPr>
        <w:pStyle w:val="Style20"/>
        <w:keepNext w:val="0"/>
        <w:keepLines w:val="0"/>
        <w:widowControl w:val="0"/>
        <w:shd w:val="clear" w:color="auto" w:fill="auto"/>
        <w:bidi w:val="0"/>
        <w:spacing w:before="0" w:after="80"/>
        <w:ind w:left="0" w:right="0" w:firstLine="0"/>
        <w:jc w:val="both"/>
        <w:sectPr>
          <w:headerReference w:type="default" r:id="rId1599"/>
          <w:footerReference w:type="default" r:id="rId1600"/>
          <w:headerReference w:type="even" r:id="rId1601"/>
          <w:footerReference w:type="even" r:id="rId1602"/>
          <w:footnotePr>
            <w:pos w:val="pageBottom"/>
            <w:numFmt w:val="decimal"/>
            <w:numRestart w:val="continuous"/>
            <w15:footnoteColumns w:val="1"/>
          </w:footnotePr>
          <w:pgSz w:w="6816" w:h="11006"/>
          <w:pgMar w:top="947" w:left="195" w:right="199" w:bottom="465" w:header="0" w:footer="3" w:gutter="0"/>
          <w:pgNumType w:start="524"/>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V. je jednodimenzionalni kontinuum prolaz</w:t>
        <w:softHyphen/>
        <w:t>nih stvari i događaja. Kao što se kaže u Kura</w:t>
        <w:softHyphen/>
        <w:t xml:space="preserve">nu, »ostaje samo lice tvojega Gospodara, Pre- uzvišenoga i Dobrostivoga«. Samo Bog traje između bespočetne i beskrajne vječnosti </w:t>
      </w:r>
      <w:r>
        <w:rPr>
          <w:rFonts w:ascii="Times New Roman" w:eastAsia="Times New Roman" w:hAnsi="Times New Roman" w:cs="Times New Roman"/>
          <w:i/>
          <w:iCs/>
          <w:color w:val="000000"/>
          <w:spacing w:val="0"/>
          <w:w w:val="100"/>
          <w:position w:val="0"/>
          <w:shd w:val="clear" w:color="auto" w:fill="auto"/>
          <w:lang w:val="hr-HR" w:eastAsia="hr-HR" w:bidi="hr-HR"/>
        </w:rPr>
        <w:t>(mi</w:t>
        <w:softHyphen/>
        <w:t>na al-azal ila’l-abad).</w:t>
      </w:r>
      <w:r>
        <w:rPr>
          <w:rFonts w:ascii="Times New Roman" w:eastAsia="Times New Roman" w:hAnsi="Times New Roman" w:cs="Times New Roman"/>
          <w:color w:val="000000"/>
          <w:spacing w:val="0"/>
          <w:w w:val="100"/>
          <w:position w:val="0"/>
          <w:shd w:val="clear" w:color="auto" w:fill="auto"/>
          <w:lang w:val="hr-HR" w:eastAsia="hr-HR" w:bidi="hr-HR"/>
        </w:rPr>
        <w:t xml:space="preserve"> Sve što pripada njegovu biću bezvremeno je i neprolazno. Nasuprot tomu, čovjek i priroda uvezani su u v.; to je </w:t>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jedna od najvećih čovjekovih slabosti (-» Smrt). U islamu se kao -» materijalizam doživljava ona filozofija koja pogonsku snagu vidi u prirodnome događanju. Pretjerano vred</w:t>
        <w:softHyphen/>
        <w:t xml:space="preserve">novanje vremena, koje su predislamski Arapi doživljavali kao </w:t>
      </w:r>
      <w:r>
        <w:rPr>
          <w:rFonts w:ascii="Times New Roman" w:eastAsia="Times New Roman" w:hAnsi="Times New Roman" w:cs="Times New Roman"/>
          <w:i/>
          <w:iCs/>
          <w:color w:val="000000"/>
          <w:spacing w:val="0"/>
          <w:w w:val="100"/>
          <w:position w:val="0"/>
          <w:shd w:val="clear" w:color="auto" w:fill="auto"/>
          <w:lang w:val="hr-HR" w:eastAsia="hr-HR" w:bidi="hr-HR"/>
        </w:rPr>
        <w:t>fatum,</w:t>
      </w:r>
      <w:r>
        <w:rPr>
          <w:rFonts w:ascii="Times New Roman" w:eastAsia="Times New Roman" w:hAnsi="Times New Roman" w:cs="Times New Roman"/>
          <w:color w:val="000000"/>
          <w:spacing w:val="0"/>
          <w:w w:val="100"/>
          <w:position w:val="0"/>
          <w:shd w:val="clear" w:color="auto" w:fill="auto"/>
          <w:lang w:val="hr-HR" w:eastAsia="hr-HR" w:bidi="hr-HR"/>
        </w:rPr>
        <w:t xml:space="preserve"> predstavljalo je u pr</w:t>
        <w:softHyphen/>
        <w:t>vom razdoblju islama granicu produbljivanju vjere. I stoga ih Kuran kori: »A oni vele: ‘Ima</w:t>
        <w:softHyphen/>
        <w:t xml:space="preserve">mo ovozemni život. </w:t>
      </w:r>
      <w:r>
        <w:rPr>
          <w:rFonts w:ascii="Times New Roman" w:eastAsia="Times New Roman" w:hAnsi="Times New Roman" w:cs="Times New Roman"/>
          <w:i/>
          <w:iCs/>
          <w:color w:val="000000"/>
          <w:spacing w:val="0"/>
          <w:w w:val="100"/>
          <w:position w:val="0"/>
          <w:shd w:val="clear" w:color="auto" w:fill="auto"/>
          <w:lang w:val="hr-HR" w:eastAsia="hr-HR" w:bidi="hr-HR"/>
        </w:rPr>
        <w:t>(Unjemu)</w:t>
      </w:r>
      <w:r>
        <w:rPr>
          <w:rFonts w:ascii="Times New Roman" w:eastAsia="Times New Roman" w:hAnsi="Times New Roman" w:cs="Times New Roman"/>
          <w:color w:val="000000"/>
          <w:spacing w:val="0"/>
          <w:w w:val="100"/>
          <w:position w:val="0"/>
          <w:shd w:val="clear" w:color="auto" w:fill="auto"/>
          <w:lang w:val="hr-HR" w:eastAsia="hr-HR" w:bidi="hr-HR"/>
        </w:rPr>
        <w:t xml:space="preserve"> umiremo i živi</w:t>
        <w:softHyphen/>
        <w:t xml:space="preserve">mo i samo v. </w:t>
      </w:r>
      <w:r>
        <w:rPr>
          <w:rFonts w:ascii="Times New Roman" w:eastAsia="Times New Roman" w:hAnsi="Times New Roman" w:cs="Times New Roman"/>
          <w:i/>
          <w:iCs/>
          <w:color w:val="000000"/>
          <w:spacing w:val="0"/>
          <w:w w:val="100"/>
          <w:position w:val="0"/>
          <w:shd w:val="clear" w:color="auto" w:fill="auto"/>
          <w:lang w:val="hr-HR" w:eastAsia="hr-HR" w:bidi="hr-HR"/>
        </w:rPr>
        <w:t>(tijek vremena)</w:t>
      </w:r>
      <w:r>
        <w:rPr>
          <w:rFonts w:ascii="Times New Roman" w:eastAsia="Times New Roman" w:hAnsi="Times New Roman" w:cs="Times New Roman"/>
          <w:color w:val="000000"/>
          <w:spacing w:val="0"/>
          <w:w w:val="100"/>
          <w:position w:val="0"/>
          <w:shd w:val="clear" w:color="auto" w:fill="auto"/>
          <w:lang w:val="hr-HR" w:eastAsia="hr-HR" w:bidi="hr-HR"/>
        </w:rPr>
        <w:t xml:space="preserve"> nas uništava </w:t>
      </w:r>
      <w:r>
        <w:rPr>
          <w:rFonts w:ascii="Times New Roman" w:eastAsia="Times New Roman" w:hAnsi="Times New Roman" w:cs="Times New Roman"/>
          <w:i/>
          <w:iCs/>
          <w:color w:val="000000"/>
          <w:spacing w:val="0"/>
          <w:w w:val="100"/>
          <w:position w:val="0"/>
          <w:shd w:val="clear" w:color="auto" w:fill="auto"/>
          <w:lang w:val="hr-HR" w:eastAsia="hr-HR" w:bidi="hr-HR"/>
        </w:rPr>
        <w:t>(usmrčuje)'«</w:t>
      </w:r>
      <w:r>
        <w:rPr>
          <w:rFonts w:ascii="Times New Roman" w:eastAsia="Times New Roman" w:hAnsi="Times New Roman" w:cs="Times New Roman"/>
          <w:color w:val="000000"/>
          <w:spacing w:val="0"/>
          <w:w w:val="100"/>
          <w:position w:val="0"/>
          <w:shd w:val="clear" w:color="auto" w:fill="auto"/>
          <w:lang w:val="hr-HR" w:eastAsia="hr-HR" w:bidi="hr-HR"/>
        </w:rPr>
        <w:t xml:space="preserve"> (45,24).</w:t>
      </w:r>
    </w:p>
    <w:p>
      <w:pPr>
        <w:pStyle w:val="Style56"/>
        <w:keepNext w:val="0"/>
        <w:keepLines w:val="0"/>
        <w:widowControl w:val="0"/>
        <w:shd w:val="clear" w:color="auto" w:fill="auto"/>
        <w:bidi w:val="0"/>
        <w:spacing w:before="0" w:after="340" w:line="240" w:lineRule="auto"/>
        <w:ind w:left="2520" w:right="0" w:hanging="2520"/>
        <w:jc w:val="both"/>
      </w:pPr>
      <w:r>
        <w:rPr>
          <w:color w:val="000000"/>
          <w:spacing w:val="0"/>
          <w:w w:val="100"/>
          <w:position w:val="0"/>
          <w:shd w:val="clear" w:color="auto" w:fill="auto"/>
        </w:rPr>
        <w:t>Lie.: lit</w:t>
      </w:r>
      <w:r>
        <w:rPr>
          <w:color w:val="000000"/>
          <w:spacing w:val="0"/>
          <w:w w:val="100"/>
          <w:position w:val="0"/>
          <w:shd w:val="clear" w:color="auto" w:fill="auto"/>
          <w:vertAlign w:val="superscript"/>
        </w:rPr>
        <w:t>2</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cngl. izd. 2/1965, 94/95 (natuknica: Dakhr). S BAIJĆ</w:t>
      </w:r>
    </w:p>
    <w:p>
      <w:pPr>
        <w:pStyle w:val="Style33"/>
        <w:keepNext w:val="0"/>
        <w:keepLines w:val="0"/>
        <w:widowControl w:val="0"/>
        <w:shd w:val="clear" w:color="auto" w:fill="auto"/>
        <w:bidi w:val="0"/>
        <w:spacing w:before="0" w:after="28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VRLINA/KREPOST</w:t>
      </w:r>
    </w:p>
    <w:p>
      <w:pPr>
        <w:pStyle w:val="Style63"/>
        <w:keepNext/>
        <w:keepLines/>
        <w:widowControl w:val="0"/>
        <w:numPr>
          <w:ilvl w:val="0"/>
          <w:numId w:val="631"/>
        </w:numPr>
        <w:shd w:val="clear" w:color="auto" w:fill="auto"/>
        <w:tabs>
          <w:tab w:pos="246" w:val="left"/>
        </w:tabs>
        <w:bidi w:val="0"/>
        <w:spacing w:before="0" w:after="120"/>
        <w:ind w:left="0" w:right="0" w:firstLine="0"/>
        <w:jc w:val="both"/>
      </w:pPr>
      <w:bookmarkStart w:id="400" w:name="bookmark400"/>
      <w:r>
        <w:rPr>
          <w:rFonts w:ascii="Times New Roman" w:eastAsia="Times New Roman" w:hAnsi="Times New Roman" w:cs="Times New Roman"/>
          <w:color w:val="000000"/>
          <w:spacing w:val="0"/>
          <w:w w:val="100"/>
          <w:position w:val="0"/>
          <w:shd w:val="clear" w:color="auto" w:fill="auto"/>
          <w:lang w:val="hr-HR" w:eastAsia="hr-HR" w:bidi="hr-HR"/>
        </w:rPr>
        <w:t>židovski</w:t>
      </w:r>
      <w:bookmarkEnd w:id="400"/>
    </w:p>
    <w:p>
      <w:pPr>
        <w:pStyle w:val="Style20"/>
        <w:keepNext w:val="0"/>
        <w:keepLines w:val="0"/>
        <w:widowControl w:val="0"/>
        <w:numPr>
          <w:ilvl w:val="0"/>
          <w:numId w:val="633"/>
        </w:numPr>
        <w:shd w:val="clear" w:color="auto" w:fill="auto"/>
        <w:tabs>
          <w:tab w:pos="284"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»Jer svih Deset zapovijedi... vode... prema... vrlinama.»</w:t>
      </w:r>
      <w:r>
        <w:rPr>
          <w:rFonts w:ascii="Times New Roman" w:eastAsia="Times New Roman" w:hAnsi="Times New Roman" w:cs="Times New Roman"/>
          <w:color w:val="000000"/>
          <w:spacing w:val="0"/>
          <w:w w:val="100"/>
          <w:position w:val="0"/>
          <w:shd w:val="clear" w:color="auto" w:fill="auto"/>
          <w:lang w:val="hr-HR" w:eastAsia="hr-HR" w:bidi="hr-HR"/>
        </w:rPr>
        <w:t xml:space="preserve"> Područja primjene grčkoga pojma </w:t>
      </w:r>
      <w:r>
        <w:rPr>
          <w:rFonts w:ascii="Times New Roman" w:eastAsia="Times New Roman" w:hAnsi="Times New Roman" w:cs="Times New Roman"/>
          <w:i/>
          <w:iCs/>
          <w:color w:val="000000"/>
          <w:spacing w:val="0"/>
          <w:w w:val="100"/>
          <w:position w:val="0"/>
          <w:shd w:val="clear" w:color="auto" w:fill="auto"/>
          <w:lang w:val="en-US" w:eastAsia="en-US" w:bidi="en-US"/>
        </w:rPr>
        <w:t>arete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(»odlika«) ne poklapaju se sa stvarnim iskustvima u hebrejskoj Bibliji; stoga ona ne poznaje posebnu riječ za »vrlinu«. U Septua- ginti su ipak razni izrazi iz hebrejske Biblije prevedeni kao »v.«, npr. pohvala Božjega djela (Izl 15,11; Iz 42,8.12; 43,21; 63,7) ili »ve</w:t>
        <w:softHyphen/>
        <w:t xml:space="preserve">ličanstvo« (Hab 3,3; Zah 6,7). Židovstvo je iskoristilo grčki pojam vrline (L. </w:t>
      </w:r>
      <w:r>
        <w:rPr>
          <w:rFonts w:ascii="Times New Roman" w:eastAsia="Times New Roman" w:hAnsi="Times New Roman" w:cs="Times New Roman"/>
          <w:color w:val="000000"/>
          <w:spacing w:val="0"/>
          <w:w w:val="100"/>
          <w:position w:val="0"/>
          <w:shd w:val="clear" w:color="auto" w:fill="auto"/>
          <w:lang w:val="en-US" w:eastAsia="en-US" w:bidi="en-US"/>
        </w:rPr>
        <w:t xml:space="preserve">Schmidt,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Ethik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alien Griechen I,</w:t>
      </w:r>
      <w:r>
        <w:rPr>
          <w:rFonts w:ascii="Times New Roman" w:eastAsia="Times New Roman" w:hAnsi="Times New Roman" w:cs="Times New Roman"/>
          <w:color w:val="000000"/>
          <w:spacing w:val="0"/>
          <w:w w:val="100"/>
          <w:position w:val="0"/>
          <w:shd w:val="clear" w:color="auto" w:fill="auto"/>
          <w:lang w:val="en-US" w:eastAsia="en-US" w:bidi="en-US"/>
        </w:rPr>
        <w:t xml:space="preserve"> 1882, 295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R. Eisler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 xml:space="preserve">K. Koretz (Hrsg.), </w:t>
      </w:r>
      <w:r>
        <w:rPr>
          <w:rFonts w:ascii="Times New Roman" w:eastAsia="Times New Roman" w:hAnsi="Times New Roman" w:cs="Times New Roman"/>
          <w:i/>
          <w:iCs/>
          <w:color w:val="000000"/>
          <w:spacing w:val="0"/>
          <w:w w:val="100"/>
          <w:position w:val="0"/>
          <w:shd w:val="clear" w:color="auto" w:fill="auto"/>
          <w:lang w:val="en-US" w:eastAsia="en-US" w:bidi="en-US"/>
        </w:rPr>
        <w:t>Worterbuch der philosophischen Begriffe III,</w:t>
      </w:r>
      <w:r>
        <w:rPr>
          <w:rFonts w:ascii="Times New Roman" w:eastAsia="Times New Roman" w:hAnsi="Times New Roman" w:cs="Times New Roman"/>
          <w:color w:val="000000"/>
          <w:spacing w:val="0"/>
          <w:w w:val="100"/>
          <w:position w:val="0"/>
          <w:shd w:val="clear" w:color="auto" w:fill="auto"/>
          <w:lang w:val="en-US" w:eastAsia="en-US" w:bidi="en-US"/>
        </w:rPr>
        <w:t xml:space="preserve"> 4, 1930, 274 i d.; Ulrich von Wilamowitz-Mocllendorf, </w:t>
      </w:r>
      <w:r>
        <w:rPr>
          <w:rFonts w:ascii="Times New Roman" w:eastAsia="Times New Roman" w:hAnsi="Times New Roman" w:cs="Times New Roman"/>
          <w:i/>
          <w:iCs/>
          <w:color w:val="000000"/>
          <w:spacing w:val="0"/>
          <w:w w:val="100"/>
          <w:position w:val="0"/>
          <w:shd w:val="clear" w:color="auto" w:fill="auto"/>
          <w:lang w:val="en-US" w:eastAsia="en-US" w:bidi="en-US"/>
        </w:rPr>
        <w:t xml:space="preserve">Platon, </w:t>
      </w:r>
      <w:r>
        <w:rPr>
          <w:rFonts w:ascii="Times New Roman" w:eastAsia="Times New Roman" w:hAnsi="Times New Roman" w:cs="Times New Roman"/>
          <w:color w:val="000000"/>
          <w:spacing w:val="0"/>
          <w:w w:val="100"/>
          <w:position w:val="0"/>
          <w:shd w:val="clear" w:color="auto" w:fill="auto"/>
          <w:lang w:val="en-US" w:eastAsia="en-US" w:bidi="en-US"/>
        </w:rPr>
        <w:t xml:space="preserve">■’1948, 34 i d„ 113 i d„ 213 i d., 310 i d.) za </w:t>
      </w:r>
      <w:r>
        <w:rPr>
          <w:rFonts w:ascii="Times New Roman" w:eastAsia="Times New Roman" w:hAnsi="Times New Roman" w:cs="Times New Roman"/>
          <w:color w:val="000000"/>
          <w:spacing w:val="0"/>
          <w:w w:val="100"/>
          <w:position w:val="0"/>
          <w:shd w:val="clear" w:color="auto" w:fill="auto"/>
          <w:lang w:val="hr-HR" w:eastAsia="hr-HR" w:bidi="hr-HR"/>
        </w:rPr>
        <w:t xml:space="preserve">svoje razračunavanje </w:t>
      </w: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helenističkim svijetom: približilo ga je uporabi »pravednosti« (Mudr 8,7; 4 Mak 13,24), koja inače samo s drugima, s ukupno četirima kardinalnim vrlinama, čini »cijelu vrlinu« (usp. U.v. Wilamowitz-Mo- ellcndorf, op.cit. 310) i opisalo tom riječju vjernost mučenika (2 Mak 6,31; 10,28; 4 Mak 7,22; 9, 8.18; 12,15), koji nisu bili samo svje</w:t>
        <w:softHyphen/>
        <w:t>doci nego su u svojem životu i smrti svjedočili i o Božjem djelovanju. Tu vezu čovjekove na</w:t>
        <w:softHyphen/>
        <w:t>klonosti prema Bogu i ljubavi Božje prema čovjeku, koja mu dopušta da bude sudioni</w:t>
        <w:softHyphen/>
        <w:t>kom u njegovoj »physis«, rastumačio je židov- sko-grčki filozof Filon Aleksandrijski (oko 20. pr. Kr. do 70. pas. Kr.). Na toj osnovi iznova je interpretirao vrline koje vrijede u stoičkoj etici. Time što je Bog sam »unatoč svim pri</w:t>
        <w:softHyphen/>
        <w:t xml:space="preserve">rodnim zakonima, čovjeku koji mu se približio </w:t>
      </w:r>
      <w:r>
        <w:rPr>
          <w:rFonts w:ascii="Times New Roman" w:eastAsia="Times New Roman" w:hAnsi="Times New Roman" w:cs="Times New Roman"/>
          <w:color w:val="000000"/>
          <w:spacing w:val="0"/>
          <w:w w:val="100"/>
          <w:position w:val="0"/>
          <w:shd w:val="clear" w:color="auto" w:fill="auto"/>
          <w:lang w:val="hr-HR" w:eastAsia="hr-HR" w:bidi="hr-HR"/>
        </w:rPr>
        <w:t xml:space="preserve">morao dati dio </w:t>
      </w:r>
      <w:r>
        <w:rPr>
          <w:rFonts w:ascii="Times New Roman" w:eastAsia="Times New Roman" w:hAnsi="Times New Roman" w:cs="Times New Roman"/>
          <w:i/>
          <w:iCs/>
          <w:color w:val="000000"/>
          <w:spacing w:val="0"/>
          <w:w w:val="100"/>
          <w:position w:val="0"/>
          <w:shd w:val="clear" w:color="auto" w:fill="auto"/>
          <w:lang w:val="hr-HR" w:eastAsia="hr-HR" w:bidi="hr-HR"/>
        </w:rPr>
        <w:t>physis-a</w:t>
      </w:r>
      <w:r>
        <w:rPr>
          <w:rFonts w:ascii="Times New Roman" w:eastAsia="Times New Roman" w:hAnsi="Times New Roman" w:cs="Times New Roman"/>
          <w:color w:val="000000"/>
          <w:spacing w:val="0"/>
          <w:w w:val="100"/>
          <w:position w:val="0"/>
          <w:shd w:val="clear" w:color="auto" w:fill="auto"/>
          <w:lang w:val="hr-HR" w:eastAsia="hr-HR" w:bidi="hr-HR"/>
        </w:rPr>
        <w:t xml:space="preserve"> rezerviranog samo za sebe«, »atribut iz kategorije vrline prenosi se u kategoriju dobra, pa sada čini božanski mi- losni dar koji onome što je s njim posuđeno daje status nalik na božanski« </w:t>
      </w:r>
      <w:r>
        <w:rPr>
          <w:rFonts w:ascii="Times New Roman" w:eastAsia="Times New Roman" w:hAnsi="Times New Roman" w:cs="Times New Roman"/>
          <w:color w:val="000000"/>
          <w:spacing w:val="0"/>
          <w:w w:val="100"/>
          <w:position w:val="0"/>
          <w:shd w:val="clear" w:color="auto" w:fill="auto"/>
          <w:lang w:val="en-US" w:eastAsia="en-US" w:bidi="en-US"/>
        </w:rPr>
        <w:t xml:space="preserve">(Y. Amir,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hellenistische </w:t>
      </w:r>
      <w:r>
        <w:rPr>
          <w:rFonts w:ascii="Times New Roman" w:eastAsia="Times New Roman" w:hAnsi="Times New Roman" w:cs="Times New Roman"/>
          <w:i/>
          <w:iCs/>
          <w:color w:val="000000"/>
          <w:spacing w:val="0"/>
          <w:w w:val="100"/>
          <w:position w:val="0"/>
          <w:shd w:val="clear" w:color="auto" w:fill="auto"/>
          <w:lang w:val="en-US" w:eastAsia="en-US" w:bidi="en-US"/>
        </w:rPr>
        <w:t>Gestalt des Judentums bei Philon von Alexandrien,</w:t>
      </w:r>
      <w:r>
        <w:rPr>
          <w:rFonts w:ascii="Times New Roman" w:eastAsia="Times New Roman" w:hAnsi="Times New Roman" w:cs="Times New Roman"/>
          <w:color w:val="000000"/>
          <w:spacing w:val="0"/>
          <w:w w:val="100"/>
          <w:position w:val="0"/>
          <w:shd w:val="clear" w:color="auto" w:fill="auto"/>
          <w:lang w:val="en-US" w:eastAsia="en-US" w:bidi="en-US"/>
        </w:rPr>
        <w:t xml:space="preserve"> 1983, 198). No time </w:t>
      </w:r>
      <w:r>
        <w:rPr>
          <w:rFonts w:ascii="Times New Roman" w:eastAsia="Times New Roman" w:hAnsi="Times New Roman" w:cs="Times New Roman"/>
          <w:color w:val="000000"/>
          <w:spacing w:val="0"/>
          <w:w w:val="100"/>
          <w:position w:val="0"/>
          <w:shd w:val="clear" w:color="auto" w:fill="auto"/>
          <w:lang w:val="hr-HR" w:eastAsia="hr-HR" w:bidi="hr-HR"/>
        </w:rPr>
        <w:t xml:space="preserve">što </w:t>
      </w:r>
      <w:r>
        <w:rPr>
          <w:rFonts w:ascii="Times New Roman" w:eastAsia="Times New Roman" w:hAnsi="Times New Roman" w:cs="Times New Roman"/>
          <w:color w:val="000000"/>
          <w:spacing w:val="0"/>
          <w:w w:val="100"/>
          <w:position w:val="0"/>
          <w:shd w:val="clear" w:color="auto" w:fill="auto"/>
          <w:lang w:val="en-US" w:eastAsia="en-US" w:bidi="en-US"/>
        </w:rPr>
        <w:t>je Fi</w:t>
        <w:softHyphen/>
        <w:t xml:space="preserve">lon </w:t>
      </w:r>
      <w:r>
        <w:rPr>
          <w:rFonts w:ascii="Times New Roman" w:eastAsia="Times New Roman" w:hAnsi="Times New Roman" w:cs="Times New Roman"/>
          <w:color w:val="000000"/>
          <w:spacing w:val="0"/>
          <w:w w:val="100"/>
          <w:position w:val="0"/>
          <w:shd w:val="clear" w:color="auto" w:fill="auto"/>
          <w:lang w:val="hr-HR" w:eastAsia="hr-HR" w:bidi="hr-HR"/>
        </w:rPr>
        <w:t>sa stoičkim obrisima prihvatio u svojoj etici uvjerenje da je za pravu čovjekovu sreću važno samo dobro, tj. v., sagradio je most od grčke etike i njezina sustava od četiri kardi</w:t>
        <w:softHyphen/>
        <w:t>nalne vrline (kreposti) do židovske predaje. Pritom je težio za religijskom istinom i nije svjesno tražio grčko-židovsku sintezu. Cilj je, kako je rekao, ukupnog zakonodavstva odga</w:t>
        <w:softHyphen/>
        <w:t>jati čovjeka za vrlinu i time ga dovesti do sa</w:t>
        <w:softHyphen/>
        <w:t xml:space="preserve">vršenstva i približiti ga Bogu: »Jer svih deset zapovijedi, svaka zasebno i sve zajedno, vode čovjeka k razumu, pravednosti, pobožnosti i cijelom koru drugih vrlina« (Filon, </w:t>
      </w:r>
      <w:r>
        <w:rPr>
          <w:rFonts w:ascii="Times New Roman" w:eastAsia="Times New Roman" w:hAnsi="Times New Roman" w:cs="Times New Roman"/>
          <w:i/>
          <w:iCs/>
          <w:color w:val="000000"/>
          <w:spacing w:val="0"/>
          <w:w w:val="100"/>
          <w:position w:val="0"/>
          <w:shd w:val="clear" w:color="auto" w:fill="auto"/>
          <w:lang w:val="hr-HR" w:eastAsia="hr-HR" w:bidi="hr-HR"/>
        </w:rPr>
        <w:t>De speci- alibus legibus</w:t>
      </w:r>
      <w:r>
        <w:rPr>
          <w:rFonts w:ascii="Times New Roman" w:eastAsia="Times New Roman" w:hAnsi="Times New Roman" w:cs="Times New Roman"/>
          <w:color w:val="000000"/>
          <w:spacing w:val="0"/>
          <w:w w:val="100"/>
          <w:position w:val="0"/>
          <w:shd w:val="clear" w:color="auto" w:fill="auto"/>
          <w:lang w:val="hr-HR" w:eastAsia="hr-HR" w:bidi="hr-HR"/>
        </w:rPr>
        <w:t xml:space="preserve"> IV, 134). Filon je i u Mojsiju vidio sve vrline koje zakonodavac treba imati »prema Božjoj uputi« </w:t>
      </w:r>
      <w:r>
        <w:rPr>
          <w:rFonts w:ascii="Times New Roman" w:eastAsia="Times New Roman" w:hAnsi="Times New Roman" w:cs="Times New Roman"/>
          <w:i/>
          <w:iCs/>
          <w:color w:val="000000"/>
          <w:spacing w:val="0"/>
          <w:w w:val="100"/>
          <w:position w:val="0"/>
          <w:shd w:val="clear" w:color="auto" w:fill="auto"/>
          <w:lang w:val="hr-HR" w:eastAsia="hr-HR" w:bidi="hr-HR"/>
        </w:rPr>
        <w:t>(De vita Mosis</w:t>
      </w:r>
      <w:r>
        <w:rPr>
          <w:rFonts w:ascii="Times New Roman" w:eastAsia="Times New Roman" w:hAnsi="Times New Roman" w:cs="Times New Roman"/>
          <w:color w:val="000000"/>
          <w:spacing w:val="0"/>
          <w:w w:val="100"/>
          <w:position w:val="0"/>
          <w:shd w:val="clear" w:color="auto" w:fill="auto"/>
          <w:lang w:val="hr-HR" w:eastAsia="hr-HR" w:bidi="hr-HR"/>
        </w:rPr>
        <w:t xml:space="preserve"> 11,11); samo stoga mogao je Izraelu i čovječanstvu dati zakone »koji ljudsku dušu ne bi mogli iz</w:t>
        <w:softHyphen/>
        <w:t xml:space="preserve">misliti bez božanskoga nadahnuća« </w:t>
      </w:r>
      <w:r>
        <w:rPr>
          <w:rFonts w:ascii="Times New Roman" w:eastAsia="Times New Roman" w:hAnsi="Times New Roman" w:cs="Times New Roman"/>
          <w:i/>
          <w:iCs/>
          <w:color w:val="000000"/>
          <w:spacing w:val="0"/>
          <w:w w:val="100"/>
          <w:position w:val="0"/>
          <w:shd w:val="clear" w:color="auto" w:fill="auto"/>
          <w:lang w:val="en-US" w:eastAsia="en-US" w:bidi="en-US"/>
        </w:rPr>
        <w:t xml:space="preserve">(Quod omnis probus liber </w:t>
      </w:r>
      <w:r>
        <w:rPr>
          <w:rFonts w:ascii="Times New Roman" w:eastAsia="Times New Roman" w:hAnsi="Times New Roman" w:cs="Times New Roman"/>
          <w:i/>
          <w:iCs/>
          <w:color w:val="000000"/>
          <w:spacing w:val="0"/>
          <w:w w:val="100"/>
          <w:position w:val="0"/>
          <w:shd w:val="clear" w:color="auto" w:fill="auto"/>
          <w:lang w:val="hr-HR" w:eastAsia="hr-HR" w:bidi="hr-HR"/>
        </w:rPr>
        <w:t>sit 80,</w:t>
      </w:r>
      <w:r>
        <w:rPr>
          <w:rFonts w:ascii="Times New Roman" w:eastAsia="Times New Roman" w:hAnsi="Times New Roman" w:cs="Times New Roman"/>
          <w:color w:val="000000"/>
          <w:spacing w:val="0"/>
          <w:w w:val="100"/>
          <w:position w:val="0"/>
          <w:shd w:val="clear" w:color="auto" w:fill="auto"/>
          <w:lang w:val="hr-HR" w:eastAsia="hr-HR" w:bidi="hr-HR"/>
        </w:rPr>
        <w:t xml:space="preserve"> s tim u vezi Y. Amir, op.cit. 41). Prema Filonovu gledištu, nežidovi prelaskom na židovstvo ne stječu prisno za</w:t>
        <w:softHyphen/>
        <w:t>jedništvo s Abrahamom, »ocem prozelita«, koje nije dano rođenim Židovima: »Sve one, čije su vrline jednake njegovim, Mojsijc rado prima«; one koji smatraju da je ispravno zaokrenuti prema pobožnosti, koji su odbili fantastične mitske priče i priključili se nepa</w:t>
        <w:softHyphen/>
        <w:t xml:space="preserve">tvorenoj istini, on »naziva prozelitima, jer su se priključili novoj, bogoljubnoj državi« </w:t>
      </w:r>
      <w:r>
        <w:rPr>
          <w:rFonts w:ascii="Times New Roman" w:eastAsia="Times New Roman" w:hAnsi="Times New Roman" w:cs="Times New Roman"/>
          <w:i/>
          <w:iCs/>
          <w:color w:val="000000"/>
          <w:spacing w:val="0"/>
          <w:w w:val="100"/>
          <w:position w:val="0"/>
          <w:shd w:val="clear" w:color="auto" w:fill="auto"/>
          <w:lang w:val="hr-HR" w:eastAsia="hr-HR" w:bidi="hr-HR"/>
        </w:rPr>
        <w:t>(De specialibus legibus</w:t>
      </w:r>
      <w:r>
        <w:rPr>
          <w:rFonts w:ascii="Times New Roman" w:eastAsia="Times New Roman" w:hAnsi="Times New Roman" w:cs="Times New Roman"/>
          <w:color w:val="000000"/>
          <w:spacing w:val="0"/>
          <w:w w:val="100"/>
          <w:position w:val="0"/>
          <w:shd w:val="clear" w:color="auto" w:fill="auto"/>
          <w:lang w:val="hr-HR" w:eastAsia="hr-HR" w:bidi="hr-HR"/>
        </w:rPr>
        <w:t xml:space="preserve"> 1,51/2). Na etiku kao bitnu crtu židovske religije upozorio je povjesničar Josip Flavije iz I. stoljeća u svojoj apologiji u kojoj je nastojao opovrgnuti klevete grčkih i rimskih pisaca židovskoga naroda: »Toga Bo</w:t>
        <w:softHyphen/>
        <w:t xml:space="preserve">ga moraju svi slušati, a u prakticiranju vrlina trebaju ga štovati; to je, naime, najplemenitije bogoslužje«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(Contra </w:t>
      </w:r>
      <w:r>
        <w:rPr>
          <w:rFonts w:ascii="Times New Roman" w:eastAsia="Times New Roman" w:hAnsi="Times New Roman" w:cs="Times New Roman"/>
          <w:i/>
          <w:iCs/>
          <w:color w:val="000000"/>
          <w:spacing w:val="0"/>
          <w:w w:val="100"/>
          <w:position w:val="0"/>
          <w:shd w:val="clear" w:color="auto" w:fill="auto"/>
          <w:lang w:val="hr-HR" w:eastAsia="hr-HR" w:bidi="hr-HR"/>
        </w:rPr>
        <w:t>Apionem</w:t>
      </w:r>
      <w:r>
        <w:rPr>
          <w:rFonts w:ascii="Times New Roman" w:eastAsia="Times New Roman" w:hAnsi="Times New Roman" w:cs="Times New Roman"/>
          <w:color w:val="000000"/>
          <w:spacing w:val="0"/>
          <w:w w:val="100"/>
          <w:position w:val="0"/>
          <w:shd w:val="clear" w:color="auto" w:fill="auto"/>
          <w:lang w:val="hr-HR" w:eastAsia="hr-HR" w:bidi="hr-HR"/>
        </w:rPr>
        <w:t xml:space="preserve"> 11,22).</w:t>
      </w:r>
    </w:p>
    <w:p>
      <w:pPr>
        <w:pStyle w:val="Style20"/>
        <w:keepNext w:val="0"/>
        <w:keepLines w:val="0"/>
        <w:widowControl w:val="0"/>
        <w:numPr>
          <w:ilvl w:val="0"/>
          <w:numId w:val="633"/>
        </w:numPr>
        <w:shd w:val="clear" w:color="auto" w:fill="auto"/>
        <w:tabs>
          <w:tab w:pos="270" w:val="left"/>
        </w:tabs>
        <w:bidi w:val="0"/>
        <w:spacing w:before="0" w:after="0" w:line="240" w:lineRule="auto"/>
        <w:ind w:left="0" w:right="0" w:firstLine="0"/>
        <w:jc w:val="both"/>
        <w:sectPr>
          <w:headerReference w:type="default" r:id="rId1603"/>
          <w:footerReference w:type="default" r:id="rId1604"/>
          <w:headerReference w:type="even" r:id="rId1605"/>
          <w:footerReference w:type="even" r:id="rId1606"/>
          <w:footnotePr>
            <w:pos w:val="pageBottom"/>
            <w:numFmt w:val="decimal"/>
            <w:numRestart w:val="continuous"/>
            <w15:footnoteColumns w:val="1"/>
          </w:footnotePr>
          <w:pgSz w:w="6816" w:h="11006"/>
          <w:pgMar w:top="947" w:left="195" w:right="199" w:bottom="465" w:header="0" w:footer="37" w:gutter="0"/>
          <w:pgNumType w:start="529"/>
          <w:cols w:num="2" w:space="189"/>
          <w:noEndnote/>
          <w:rtlGutter w:val="0"/>
          <w:docGrid w:linePitch="360"/>
        </w:sectPr>
      </w:pPr>
      <w:r>
        <mc:AlternateContent>
          <mc:Choice Requires="wps">
            <w:drawing>
              <wp:anchor distT="38100" distB="254000" distL="114300" distR="114300" simplePos="0" relativeHeight="125829445" behindDoc="0" locked="0" layoutInCell="1" allowOverlap="1">
                <wp:simplePos x="0" y="0"/>
                <wp:positionH relativeFrom="page">
                  <wp:posOffset>4014470</wp:posOffset>
                </wp:positionH>
                <wp:positionV relativeFrom="margin">
                  <wp:posOffset>6150610</wp:posOffset>
                </wp:positionV>
                <wp:extent cx="182880" cy="103505"/>
                <wp:wrapTopAndBottom/>
                <wp:docPr id="3450" name="Shape 3450"/>
                <a:graphic xmlns:a="http://schemas.openxmlformats.org/drawingml/2006/main">
                  <a:graphicData uri="http://schemas.microsoft.com/office/word/2010/wordprocessingShape">
                    <wps:wsp>
                      <wps:cNvSpPr txBox="1"/>
                      <wps:spPr>
                        <a:xfrm>
                          <a:ext cx="182880" cy="103505"/>
                        </a:xfrm>
                        <a:prstGeom prst="rect"/>
                        <a:noFill/>
                      </wps:spPr>
                      <wps:txbx>
                        <w:txbxContent>
                          <w:p>
                            <w:pPr>
                              <w:pStyle w:val="Style74"/>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i/>
                                <w:iCs/>
                                <w:color w:val="000000"/>
                                <w:spacing w:val="0"/>
                                <w:w w:val="100"/>
                                <w:position w:val="0"/>
                                <w:sz w:val="11"/>
                                <w:szCs w:val="11"/>
                                <w:shd w:val="clear" w:color="auto" w:fill="auto"/>
                                <w:lang w:val="hr-HR" w:eastAsia="hr-HR" w:bidi="hr-HR"/>
                              </w:rPr>
                              <w:t>C~fC</w:t>
                            </w:r>
                          </w:p>
                        </w:txbxContent>
                      </wps:txbx>
                      <wps:bodyPr wrap="none" lIns="0" tIns="0" rIns="0" bIns="0">
                        <a:noAutoFit/>
                      </wps:bodyPr>
                    </wps:wsp>
                  </a:graphicData>
                </a:graphic>
              </wp:anchor>
            </w:drawing>
          </mc:Choice>
          <mc:Fallback>
            <w:pict>
              <v:shape id="_x0000_s4476" type="#_x0000_t202" style="position:absolute;margin-left:316.10000000000002pt;margin-top:484.30000000000001pt;width:14.4pt;height:8.1500000000000004pt;z-index:-125829308;mso-wrap-distance-left:9.pt;mso-wrap-distance-top:3.pt;mso-wrap-distance-right:9.pt;mso-wrap-distance-bottom:20.pt;mso-position-horizontal-relative:page;mso-position-vertical-relative:margin" filled="f" stroked="f">
                <v:textbox inset="0,0,0,0">
                  <w:txbxContent>
                    <w:p>
                      <w:pPr>
                        <w:pStyle w:val="Style74"/>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i/>
                          <w:iCs/>
                          <w:color w:val="000000"/>
                          <w:spacing w:val="0"/>
                          <w:w w:val="100"/>
                          <w:position w:val="0"/>
                          <w:sz w:val="11"/>
                          <w:szCs w:val="11"/>
                          <w:shd w:val="clear" w:color="auto" w:fill="auto"/>
                          <w:lang w:val="hr-HR" w:eastAsia="hr-HR" w:bidi="hr-HR"/>
                        </w:rPr>
                        <w:t>C~fC</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 xml:space="preserve">»No Tora se stječe s četrdeset i osam stvari.« </w:t>
      </w:r>
      <w:r>
        <w:rPr>
          <w:rFonts w:ascii="Times New Roman" w:eastAsia="Times New Roman" w:hAnsi="Times New Roman" w:cs="Times New Roman"/>
          <w:color w:val="000000"/>
          <w:spacing w:val="0"/>
          <w:w w:val="100"/>
          <w:position w:val="0"/>
          <w:shd w:val="clear" w:color="auto" w:fill="auto"/>
          <w:lang w:val="hr-HR" w:eastAsia="hr-HR" w:bidi="hr-HR"/>
        </w:rPr>
        <w:t>U tradicijskoj literaturi nepoznat je posebni termin »v.«. »Mjera dobroga« služila je ra</w:t>
        <w:softHyphen/>
        <w:t>binima da bi upozorili na za njih važan kon</w:t>
        <w:softHyphen/>
        <w:t>tekst kako su Božji putevi oni koje čovjek tre</w:t>
        <w:softHyphen/>
        <w:t>ba tražiti: iskustvo da Bog mjeri dobro (spa</w:t>
        <w:softHyphen/>
        <w:t xml:space="preserve">senje) u bogatijoj mjeri nego što mjeri kaznu </w:t>
      </w:r>
    </w:p>
    <w:p>
      <w:pPr>
        <w:pStyle w:val="Style20"/>
        <w:keepNext w:val="0"/>
        <w:keepLines w:val="0"/>
        <w:widowControl w:val="0"/>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(zlo; usp. Šifre Br 5,15;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5,17), po</w:t>
        <w:softHyphen/>
        <w:t>staje istodobno načelo svega ljudskog djelova</w:t>
        <w:softHyphen/>
        <w:t xml:space="preserve">nja: »Valjda moraš reći da je mjera dobroga (dobrote) veća od mjere kazne«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100a-b; Joma 76a, usp. Mehilta uz Izl 16,14). Ako je kod Platona Sokrat raspravljao sa svo</w:t>
        <w:softHyphen/>
        <w:t>jim sugovornicima o tome kako se mogu po</w:t>
        <w:softHyphen/>
        <w:t xml:space="preserve">dučavati vrline (o tome U.v. </w:t>
      </w:r>
      <w:r>
        <w:rPr>
          <w:rFonts w:ascii="Times New Roman" w:eastAsia="Times New Roman" w:hAnsi="Times New Roman" w:cs="Times New Roman"/>
          <w:color w:val="000000"/>
          <w:spacing w:val="0"/>
          <w:w w:val="100"/>
          <w:position w:val="0"/>
          <w:shd w:val="clear" w:color="auto" w:fill="auto"/>
          <w:lang w:val="en-US" w:eastAsia="en-US" w:bidi="en-US"/>
        </w:rPr>
        <w:t xml:space="preserve">Wilamowitz- </w:t>
      </w:r>
      <w:r>
        <w:rPr>
          <w:rFonts w:ascii="Times New Roman" w:eastAsia="Times New Roman" w:hAnsi="Times New Roman" w:cs="Times New Roman"/>
          <w:color w:val="000000"/>
          <w:spacing w:val="0"/>
          <w:w w:val="100"/>
          <w:position w:val="0"/>
          <w:shd w:val="clear" w:color="auto" w:fill="auto"/>
          <w:lang w:val="hr-HR" w:eastAsia="hr-HR" w:bidi="hr-HR"/>
        </w:rPr>
        <w:t>Moellendorf, op.cit. 113 i d., 213 i d.), tako su i rabini smatrali da se Tora, nauk o djelu i od</w:t>
        <w:softHyphen/>
        <w:t xml:space="preserve">luci, može učiti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10,11), a svaku njezinu zapovijed kao zahtjev Božji koji pojedinac može shvatiti i usvojiti; on se mora samo tru</w:t>
        <w:softHyphen/>
        <w:t>diti da spozna Toru i da u njoj osjeti volju Božju kako bi mogao shvatiti da su Bogu od</w:t>
        <w:softHyphen/>
        <w:t>bojni grijeh i izopačenost, prema temeljnoj opomeni mudraca: »Drži se daleko od gnu</w:t>
        <w:softHyphen/>
        <w:t>sobe i onoga što je na nju slično« (b Hulin 44b; Hala rabati 111,17; Avot Rabi Natana pogl. II; Tos. Jcvamot IV,7). Put do Tore, ra</w:t>
        <w:softHyphen/>
        <w:t>zumijevanja Božje upute, može biti dug i težak; no čovjek koji se za njega odlučio i pri</w:t>
        <w:softHyphen/>
        <w:t>premio može kročiti na njega i svladati ga; njemu su mudraci htjeli u tome pomoći otva</w:t>
        <w:softHyphen/>
        <w:t>ranjem kataloga »vrlina« koje su koliko jedno</w:t>
        <w:softHyphen/>
        <w:t xml:space="preserve">stavno toliko i odlučno, naime, kao nešto što se može naučiti i ispuniti, označili samo kao »riječi, stvari« </w:t>
      </w:r>
      <w:r>
        <w:rPr>
          <w:rFonts w:ascii="Times New Roman" w:eastAsia="Times New Roman" w:hAnsi="Times New Roman" w:cs="Times New Roman"/>
          <w:i/>
          <w:iCs/>
          <w:color w:val="000000"/>
          <w:spacing w:val="0"/>
          <w:w w:val="100"/>
          <w:position w:val="0"/>
          <w:shd w:val="clear" w:color="auto" w:fill="auto"/>
          <w:lang w:val="hr-HR" w:eastAsia="hr-HR" w:bidi="hr-HR"/>
        </w:rPr>
        <w:t>(devarim):</w:t>
      </w:r>
      <w:r>
        <w:rPr>
          <w:rFonts w:ascii="Times New Roman" w:eastAsia="Times New Roman" w:hAnsi="Times New Roman" w:cs="Times New Roman"/>
          <w:color w:val="000000"/>
          <w:spacing w:val="0"/>
          <w:w w:val="100"/>
          <w:position w:val="0"/>
          <w:shd w:val="clear" w:color="auto" w:fill="auto"/>
          <w:lang w:val="hr-HR" w:eastAsia="hr-HR" w:bidi="hr-HR"/>
        </w:rPr>
        <w:t xml:space="preserve"> »No Tora se stječe s četrdeset i osam stvari« (M Avot VI,6). Obe</w:t>
        <w:softHyphen/>
        <w:t xml:space="preserve">ćanje je na svršetku toga popisa: »Velika je Tora; jer ona daje život onomu tko je slijedi, u ovom i u budućem svijetu«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VI,7). Evo nekoliko primjera »stvari« (»v.«) koje prepo</w:t>
        <w:softHyphen/>
        <w:t>ručuju rabini u vezi s nekim ortodoksnim ko</w:t>
        <w:softHyphen/>
        <w:t xml:space="preserve">mentarima: </w:t>
      </w:r>
      <w:r>
        <w:rPr>
          <w:rFonts w:ascii="Times New Roman" w:eastAsia="Times New Roman" w:hAnsi="Times New Roman" w:cs="Times New Roman"/>
          <w:i/>
          <w:iCs/>
          <w:color w:val="000000"/>
          <w:spacing w:val="0"/>
          <w:w w:val="100"/>
          <w:position w:val="0"/>
          <w:shd w:val="clear" w:color="auto" w:fill="auto"/>
          <w:lang w:val="hr-HR" w:eastAsia="hr-HR" w:bidi="hr-HR"/>
        </w:rPr>
        <w:t>»Učenje</w:t>
      </w:r>
      <w:r>
        <w:rPr>
          <w:rFonts w:ascii="Times New Roman" w:eastAsia="Times New Roman" w:hAnsi="Times New Roman" w:cs="Times New Roman"/>
          <w:color w:val="000000"/>
          <w:spacing w:val="0"/>
          <w:w w:val="100"/>
          <w:position w:val="0"/>
          <w:shd w:val="clear" w:color="auto" w:fill="auto"/>
          <w:lang w:val="hr-HR" w:eastAsia="hr-HR" w:bidi="hr-HR"/>
        </w:rPr>
        <w:t xml:space="preserve"> usmenom nastavom koja se ne može nadomjestiti učenjem iz knjiga. </w:t>
      </w:r>
      <w:r>
        <w:rPr>
          <w:rFonts w:ascii="Times New Roman" w:eastAsia="Times New Roman" w:hAnsi="Times New Roman" w:cs="Times New Roman"/>
          <w:i/>
          <w:iCs/>
          <w:color w:val="000000"/>
          <w:spacing w:val="0"/>
          <w:w w:val="100"/>
          <w:position w:val="0"/>
          <w:shd w:val="clear" w:color="auto" w:fill="auto"/>
          <w:lang w:val="hr-HR" w:eastAsia="hr-HR" w:bidi="hr-HR"/>
        </w:rPr>
        <w:t>l’ravilno slušanje:</w:t>
      </w:r>
      <w:r>
        <w:rPr>
          <w:rFonts w:ascii="Times New Roman" w:eastAsia="Times New Roman" w:hAnsi="Times New Roman" w:cs="Times New Roman"/>
          <w:color w:val="000000"/>
          <w:spacing w:val="0"/>
          <w:w w:val="100"/>
          <w:position w:val="0"/>
          <w:shd w:val="clear" w:color="auto" w:fill="auto"/>
          <w:lang w:val="hr-HR" w:eastAsia="hr-HR" w:bidi="hr-HR"/>
        </w:rPr>
        <w:t xml:space="preserve"> pažljivo slušanje učenika na učiteljevu predavanju.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Određeni izražaj usana, </w:t>
      </w:r>
      <w:r>
        <w:rPr>
          <w:rFonts w:ascii="Times New Roman" w:eastAsia="Times New Roman" w:hAnsi="Times New Roman" w:cs="Times New Roman"/>
          <w:color w:val="000000"/>
          <w:spacing w:val="0"/>
          <w:w w:val="100"/>
          <w:position w:val="0"/>
          <w:shd w:val="clear" w:color="auto" w:fill="auto"/>
          <w:lang w:val="hr-HR" w:eastAsia="hr-HR" w:bidi="hr-HR"/>
        </w:rPr>
        <w:t xml:space="preserve">tj. pamćenje naučenoga od riječi do riječi, i stoga je potrebno često ponavljanje. </w:t>
      </w:r>
      <w:r>
        <w:rPr>
          <w:rFonts w:ascii="Times New Roman" w:eastAsia="Times New Roman" w:hAnsi="Times New Roman" w:cs="Times New Roman"/>
          <w:i/>
          <w:iCs/>
          <w:color w:val="000000"/>
          <w:spacing w:val="0"/>
          <w:w w:val="100"/>
          <w:position w:val="0"/>
          <w:shd w:val="clear" w:color="auto" w:fill="auto"/>
          <w:lang w:val="hr-HR" w:eastAsia="hr-HR" w:bidi="hr-HR"/>
        </w:rPr>
        <w:t>Shvaća</w:t>
        <w:softHyphen/>
        <w:t>nje,</w:t>
      </w:r>
      <w:r>
        <w:rPr>
          <w:rFonts w:ascii="Times New Roman" w:eastAsia="Times New Roman" w:hAnsi="Times New Roman" w:cs="Times New Roman"/>
          <w:color w:val="000000"/>
          <w:spacing w:val="0"/>
          <w:w w:val="100"/>
          <w:position w:val="0"/>
          <w:shd w:val="clear" w:color="auto" w:fill="auto"/>
          <w:lang w:val="hr-HR" w:eastAsia="hr-HR" w:bidi="hr-HR"/>
        </w:rPr>
        <w:t xml:space="preserve"> tj. pravilno razumijevanje naučenoga, te </w:t>
      </w:r>
      <w:r>
        <w:rPr>
          <w:rFonts w:ascii="Times New Roman" w:eastAsia="Times New Roman" w:hAnsi="Times New Roman" w:cs="Times New Roman"/>
          <w:i/>
          <w:iCs/>
          <w:color w:val="000000"/>
          <w:spacing w:val="0"/>
          <w:w w:val="100"/>
          <w:position w:val="0"/>
          <w:shd w:val="clear" w:color="auto" w:fill="auto"/>
          <w:lang w:val="hr-HR" w:eastAsia="hr-HR" w:bidi="hr-HR"/>
        </w:rPr>
        <w:t>mudrost srca,</w:t>
      </w:r>
      <w:r>
        <w:rPr>
          <w:rFonts w:ascii="Times New Roman" w:eastAsia="Times New Roman" w:hAnsi="Times New Roman" w:cs="Times New Roman"/>
          <w:color w:val="000000"/>
          <w:spacing w:val="0"/>
          <w:w w:val="100"/>
          <w:position w:val="0"/>
          <w:shd w:val="clear" w:color="auto" w:fill="auto"/>
          <w:lang w:val="hr-HR" w:eastAsia="hr-HR" w:bidi="hr-HR"/>
        </w:rPr>
        <w:t xml:space="preserve"> tj. proradba naučenoga kako bi se naučeno gradivo ne samo pravilno razum</w:t>
        <w:softHyphen/>
        <w:t xml:space="preserve">jelo nego i moglo primijeniti na drugo... </w:t>
      </w:r>
      <w:r>
        <w:rPr>
          <w:rFonts w:ascii="Times New Roman" w:eastAsia="Times New Roman" w:hAnsi="Times New Roman" w:cs="Times New Roman"/>
          <w:i/>
          <w:iCs/>
          <w:color w:val="000000"/>
          <w:spacing w:val="0"/>
          <w:w w:val="100"/>
          <w:position w:val="0"/>
          <w:shd w:val="clear" w:color="auto" w:fill="auto"/>
          <w:lang w:val="hr-HR" w:eastAsia="hr-HR" w:bidi="hr-HR"/>
        </w:rPr>
        <w:t>Ra</w:t>
        <w:softHyphen/>
        <w:t>dost</w:t>
      </w:r>
      <w:r>
        <w:rPr>
          <w:rFonts w:ascii="Times New Roman" w:eastAsia="Times New Roman" w:hAnsi="Times New Roman" w:cs="Times New Roman"/>
          <w:color w:val="000000"/>
          <w:spacing w:val="0"/>
          <w:w w:val="100"/>
          <w:position w:val="0"/>
          <w:shd w:val="clear" w:color="auto" w:fill="auto"/>
          <w:lang w:val="hr-HR" w:eastAsia="hr-HR" w:bidi="hr-HR"/>
        </w:rPr>
        <w:t xml:space="preserve"> u učenju i u postignutim uspjesima... </w:t>
      </w:r>
      <w:r>
        <w:rPr>
          <w:rFonts w:ascii="Times New Roman" w:eastAsia="Times New Roman" w:hAnsi="Times New Roman" w:cs="Times New Roman"/>
          <w:i/>
          <w:iCs/>
          <w:color w:val="000000"/>
          <w:spacing w:val="0"/>
          <w:w w:val="100"/>
          <w:position w:val="0"/>
          <w:shd w:val="clear" w:color="auto" w:fill="auto"/>
          <w:lang w:val="hr-HR" w:eastAsia="hr-HR" w:bidi="hr-HR"/>
        </w:rPr>
        <w:t>Priključenje istomišljenicima,</w:t>
      </w:r>
      <w:r>
        <w:rPr>
          <w:rFonts w:ascii="Times New Roman" w:eastAsia="Times New Roman" w:hAnsi="Times New Roman" w:cs="Times New Roman"/>
          <w:color w:val="000000"/>
          <w:spacing w:val="0"/>
          <w:w w:val="100"/>
          <w:position w:val="0"/>
          <w:shd w:val="clear" w:color="auto" w:fill="auto"/>
          <w:lang w:val="hr-HR" w:eastAsia="hr-HR" w:bidi="hr-HR"/>
        </w:rPr>
        <w:t xml:space="preserve"> kojemu treba biti cilj razmjena misli o naučenom gradivu. </w:t>
      </w:r>
      <w:r>
        <w:rPr>
          <w:rFonts w:ascii="Times New Roman" w:eastAsia="Times New Roman" w:hAnsi="Times New Roman" w:cs="Times New Roman"/>
          <w:i/>
          <w:iCs/>
          <w:color w:val="000000"/>
          <w:spacing w:val="0"/>
          <w:w w:val="100"/>
          <w:position w:val="0"/>
          <w:shd w:val="clear" w:color="auto" w:fill="auto"/>
          <w:lang w:val="hr-HR" w:eastAsia="hr-HR" w:bidi="hr-HR"/>
        </w:rPr>
        <w:t>Uče</w:t>
        <w:softHyphen/>
        <w:t>ničke rasprave</w:t>
      </w:r>
      <w:r>
        <w:rPr>
          <w:rFonts w:ascii="Times New Roman" w:eastAsia="Times New Roman" w:hAnsi="Times New Roman" w:cs="Times New Roman"/>
          <w:color w:val="000000"/>
          <w:spacing w:val="0"/>
          <w:w w:val="100"/>
          <w:position w:val="0"/>
          <w:shd w:val="clear" w:color="auto" w:fill="auto"/>
          <w:lang w:val="hr-HR" w:eastAsia="hr-HR" w:bidi="hr-HR"/>
        </w:rPr>
        <w:t xml:space="preserve"> kojima se povećava znanje i razjašnjavaju pojmovi i sudovi. </w:t>
      </w:r>
      <w:r>
        <w:rPr>
          <w:rFonts w:ascii="Times New Roman" w:eastAsia="Times New Roman" w:hAnsi="Times New Roman" w:cs="Times New Roman"/>
          <w:i/>
          <w:iCs/>
          <w:color w:val="000000"/>
          <w:spacing w:val="0"/>
          <w:w w:val="100"/>
          <w:position w:val="0"/>
          <w:shd w:val="clear" w:color="auto" w:fill="auto"/>
          <w:lang w:val="hr-HR" w:eastAsia="hr-HR" w:bidi="hr-HR"/>
        </w:rPr>
        <w:t xml:space="preserve">Mirnoća duha, </w:t>
      </w:r>
      <w:r>
        <w:rPr>
          <w:rFonts w:ascii="Times New Roman" w:eastAsia="Times New Roman" w:hAnsi="Times New Roman" w:cs="Times New Roman"/>
          <w:color w:val="000000"/>
          <w:spacing w:val="0"/>
          <w:w w:val="100"/>
          <w:position w:val="0"/>
          <w:shd w:val="clear" w:color="auto" w:fill="auto"/>
          <w:lang w:val="hr-HR" w:eastAsia="hr-HR" w:bidi="hr-HR"/>
        </w:rPr>
        <w:t>koja upozorava na temeljitost u učenju i od</w:t>
        <w:softHyphen/>
        <w:t xml:space="preserve">vraća od brzoga, ali površnog učenja... </w:t>
      </w:r>
      <w:r>
        <w:rPr>
          <w:rFonts w:ascii="Times New Roman" w:eastAsia="Times New Roman" w:hAnsi="Times New Roman" w:cs="Times New Roman"/>
          <w:i/>
          <w:iCs/>
          <w:color w:val="000000"/>
          <w:spacing w:val="0"/>
          <w:w w:val="100"/>
          <w:position w:val="0"/>
          <w:shd w:val="clear" w:color="auto" w:fill="auto"/>
          <w:lang w:val="hr-HR" w:eastAsia="hr-HR" w:bidi="hr-HR"/>
        </w:rPr>
        <w:t>Strp</w:t>
        <w:softHyphen/>
        <w:t>ljivost</w:t>
      </w:r>
      <w:r>
        <w:rPr>
          <w:rFonts w:ascii="Times New Roman" w:eastAsia="Times New Roman" w:hAnsi="Times New Roman" w:cs="Times New Roman"/>
          <w:color w:val="000000"/>
          <w:spacing w:val="0"/>
          <w:w w:val="100"/>
          <w:position w:val="0"/>
          <w:shd w:val="clear" w:color="auto" w:fill="auto"/>
          <w:lang w:val="hr-HR" w:eastAsia="hr-HR" w:bidi="hr-HR"/>
        </w:rPr>
        <w:t xml:space="preserve"> bez srdžbe pri samom učenju te u op</w:t>
        <w:softHyphen/>
      </w:r>
      <w:r>
        <w:rPr>
          <w:rFonts w:ascii="Times New Roman" w:eastAsia="Times New Roman" w:hAnsi="Times New Roman" w:cs="Times New Roman"/>
          <w:color w:val="000000"/>
          <w:spacing w:val="0"/>
          <w:w w:val="100"/>
          <w:position w:val="0"/>
          <w:shd w:val="clear" w:color="auto" w:fill="auto"/>
          <w:lang w:val="hr-HR" w:eastAsia="hr-HR" w:bidi="hr-HR"/>
        </w:rPr>
        <w:t>hođenju s učiteljem, istomišljenicima i učeni</w:t>
        <w:softHyphen/>
        <w:t xml:space="preserve">cima uvjet je za koji se traži temeljitost u učenju. </w:t>
      </w:r>
      <w:r>
        <w:rPr>
          <w:rFonts w:ascii="Times New Roman" w:eastAsia="Times New Roman" w:hAnsi="Times New Roman" w:cs="Times New Roman"/>
          <w:i/>
          <w:iCs/>
          <w:color w:val="000000"/>
          <w:spacing w:val="0"/>
          <w:w w:val="100"/>
          <w:position w:val="0"/>
          <w:shd w:val="clear" w:color="auto" w:fill="auto"/>
          <w:lang w:val="hr-HR" w:eastAsia="hr-HR" w:bidi="hr-HR"/>
        </w:rPr>
        <w:t>Dobrota koja izvire iz srca,</w:t>
      </w:r>
      <w:r>
        <w:rPr>
          <w:rFonts w:ascii="Times New Roman" w:eastAsia="Times New Roman" w:hAnsi="Times New Roman" w:cs="Times New Roman"/>
          <w:color w:val="000000"/>
          <w:spacing w:val="0"/>
          <w:w w:val="100"/>
          <w:position w:val="0"/>
          <w:shd w:val="clear" w:color="auto" w:fill="auto"/>
          <w:lang w:val="hr-HR" w:eastAsia="hr-HR" w:bidi="hr-HR"/>
        </w:rPr>
        <w:t xml:space="preserve"> istaknuta v. koja rado priznaje i potiče duhovne prednosti drugih, pa stoga i bez zavisti prihvaća svačije pouke... </w:t>
      </w:r>
      <w:r>
        <w:rPr>
          <w:rFonts w:ascii="Times New Roman" w:eastAsia="Times New Roman" w:hAnsi="Times New Roman" w:cs="Times New Roman"/>
          <w:i/>
          <w:iCs/>
          <w:color w:val="000000"/>
          <w:spacing w:val="0"/>
          <w:w w:val="100"/>
          <w:position w:val="0"/>
          <w:shd w:val="clear" w:color="auto" w:fill="auto"/>
          <w:lang w:val="hr-HR" w:eastAsia="hr-HR" w:bidi="hr-HR"/>
        </w:rPr>
        <w:t>On nosi teret sa svojim drugom</w:t>
      </w:r>
      <w:r>
        <w:rPr>
          <w:rFonts w:ascii="Times New Roman" w:eastAsia="Times New Roman" w:hAnsi="Times New Roman" w:cs="Times New Roman"/>
          <w:color w:val="000000"/>
          <w:spacing w:val="0"/>
          <w:w w:val="100"/>
          <w:position w:val="0"/>
          <w:shd w:val="clear" w:color="auto" w:fill="auto"/>
          <w:lang w:val="hr-HR" w:eastAsia="hr-HR" w:bidi="hr-HR"/>
        </w:rPr>
        <w:t xml:space="preserve"> ko</w:t>
        <w:softHyphen/>
        <w:t>jemu pomaže riječju i djelom, poukom i po</w:t>
        <w:softHyphen/>
        <w:t xml:space="preserve">dučavanjem... </w:t>
      </w:r>
      <w:r>
        <w:rPr>
          <w:rFonts w:ascii="Times New Roman" w:eastAsia="Times New Roman" w:hAnsi="Times New Roman" w:cs="Times New Roman"/>
          <w:i/>
          <w:iCs/>
          <w:color w:val="000000"/>
          <w:spacing w:val="0"/>
          <w:w w:val="100"/>
          <w:position w:val="0"/>
          <w:shd w:val="clear" w:color="auto" w:fill="auto"/>
          <w:lang w:val="hr-HR" w:eastAsia="hr-HR" w:bidi="hr-HR"/>
        </w:rPr>
        <w:t>On ući kako bi podučavao, i uči kako bi se izvještio.</w:t>
      </w:r>
      <w:r>
        <w:rPr>
          <w:rFonts w:ascii="Times New Roman" w:eastAsia="Times New Roman" w:hAnsi="Times New Roman" w:cs="Times New Roman"/>
          <w:color w:val="000000"/>
          <w:spacing w:val="0"/>
          <w:w w:val="100"/>
          <w:position w:val="0"/>
          <w:shd w:val="clear" w:color="auto" w:fill="auto"/>
          <w:lang w:val="hr-HR" w:eastAsia="hr-HR" w:bidi="hr-HR"/>
        </w:rPr>
        <w:t xml:space="preserve"> Iako već posjeduje veliko znanje, on ga nastoji i proširiti, i radi sebe i kako bi mogao druge podučavati i postupati u skladu s onim što je naučio...« (Izreke otaca, prijevod na njemački i objašnjenja S. </w:t>
      </w:r>
      <w:r>
        <w:rPr>
          <w:rFonts w:ascii="Times New Roman" w:eastAsia="Times New Roman" w:hAnsi="Times New Roman" w:cs="Times New Roman"/>
          <w:color w:val="000000"/>
          <w:spacing w:val="0"/>
          <w:w w:val="100"/>
          <w:position w:val="0"/>
          <w:shd w:val="clear" w:color="auto" w:fill="auto"/>
          <w:lang w:val="en-US" w:eastAsia="en-US" w:bidi="en-US"/>
        </w:rPr>
        <w:t>Bam</w:t>
        <w:softHyphen/>
        <w:t xml:space="preserve">berger, </w:t>
      </w:r>
      <w:r>
        <w:rPr>
          <w:rFonts w:ascii="Times New Roman" w:eastAsia="Times New Roman" w:hAnsi="Times New Roman" w:cs="Times New Roman"/>
          <w:color w:val="000000"/>
          <w:spacing w:val="0"/>
          <w:w w:val="100"/>
          <w:position w:val="0"/>
          <w:shd w:val="clear" w:color="auto" w:fill="auto"/>
          <w:lang w:val="hr-HR" w:eastAsia="hr-HR" w:bidi="hr-HR"/>
        </w:rPr>
        <w:t xml:space="preserve">1981,134-38; usp. I. M. Bunim, </w:t>
      </w:r>
      <w:r>
        <w:rPr>
          <w:rFonts w:ascii="Times New Roman" w:eastAsia="Times New Roman" w:hAnsi="Times New Roman" w:cs="Times New Roman"/>
          <w:i/>
          <w:iCs/>
          <w:color w:val="000000"/>
          <w:spacing w:val="0"/>
          <w:w w:val="100"/>
          <w:position w:val="0"/>
          <w:shd w:val="clear" w:color="auto" w:fill="auto"/>
          <w:lang w:val="en-US" w:eastAsia="en-US" w:bidi="en-US"/>
        </w:rPr>
        <w:t xml:space="preserve">Ethics from Sinai </w:t>
      </w:r>
      <w:r>
        <w:rPr>
          <w:rFonts w:ascii="Times New Roman" w:eastAsia="Times New Roman" w:hAnsi="Times New Roman" w:cs="Times New Roman"/>
          <w:i/>
          <w:iCs/>
          <w:color w:val="000000"/>
          <w:spacing w:val="0"/>
          <w:w w:val="100"/>
          <w:position w:val="0"/>
          <w:shd w:val="clear" w:color="auto" w:fill="auto"/>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 xml:space="preserve"> 1966, 324-61). Palestinsko ži</w:t>
        <w:softHyphen/>
        <w:t>dovstvo sastavilo je za svoju misijsku djelat</w:t>
        <w:softHyphen/>
        <w:t xml:space="preserve">nost »Kataloge vrlina i poroka«, u kojima su zainteresirane nežidove poučili o židovskom putu koji vodi u život i poganskom putu u smrt (usp. G. KJein,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alteste christliche Ka- techismus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w:t>
      </w:r>
      <w:r>
        <w:rPr>
          <w:rFonts w:ascii="Times New Roman" w:eastAsia="Times New Roman" w:hAnsi="Times New Roman" w:cs="Times New Roman"/>
          <w:i/>
          <w:iCs/>
          <w:color w:val="000000"/>
          <w:spacing w:val="0"/>
          <w:w w:val="100"/>
          <w:position w:val="0"/>
          <w:shd w:val="clear" w:color="auto" w:fill="auto"/>
          <w:lang w:val="hr-HR" w:eastAsia="hr-HR" w:bidi="hr-HR"/>
        </w:rPr>
        <w:t>jiidische Propagandalitera- tur,</w:t>
      </w:r>
      <w:r>
        <w:rPr>
          <w:rFonts w:ascii="Times New Roman" w:eastAsia="Times New Roman" w:hAnsi="Times New Roman" w:cs="Times New Roman"/>
          <w:color w:val="000000"/>
          <w:spacing w:val="0"/>
          <w:w w:val="100"/>
          <w:position w:val="0"/>
          <w:shd w:val="clear" w:color="auto" w:fill="auto"/>
          <w:lang w:val="hr-HR" w:eastAsia="hr-HR" w:bidi="hr-HR"/>
        </w:rPr>
        <w:t xml:space="preserve"> 1909, 94 i d.). »Katalozi vrlina« obuhva</w:t>
        <w:softHyphen/>
        <w:t>ćaju židovsku etiku; njihova najkraća verzija potječe od Hilela (oko 30. pr. Kr. do 10. pos. Kr.): »Stoje tebi mrsko, ne čini ni bližnjemu. To je sva Tora, sve drugo je njezino tuma</w:t>
        <w:softHyphen/>
        <w:t>čenje. Idi tamo i uči« (b Sabat 31a).</w:t>
      </w:r>
    </w:p>
    <w:p>
      <w:pPr>
        <w:pStyle w:val="Style20"/>
        <w:keepNext w:val="0"/>
        <w:keepLines w:val="0"/>
        <w:widowControl w:val="0"/>
        <w:numPr>
          <w:ilvl w:val="0"/>
          <w:numId w:val="633"/>
        </w:numPr>
        <w:shd w:val="clear" w:color="auto" w:fill="auto"/>
        <w:tabs>
          <w:tab w:pos="255" w:val="left"/>
        </w:tabs>
        <w:bidi w:val="0"/>
        <w:spacing w:before="0" w:after="4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»Pobožnost je najveća među njima svima.« </w:t>
      </w:r>
      <w:r>
        <w:rPr>
          <w:rFonts w:ascii="Times New Roman" w:eastAsia="Times New Roman" w:hAnsi="Times New Roman" w:cs="Times New Roman"/>
          <w:color w:val="000000"/>
          <w:spacing w:val="0"/>
          <w:w w:val="100"/>
          <w:position w:val="0"/>
          <w:shd w:val="clear" w:color="auto" w:fill="auto"/>
          <w:lang w:val="hr-HR" w:eastAsia="hr-HR" w:bidi="hr-HR"/>
        </w:rPr>
        <w:t>Koliko je jako židovska literatura prožeta ću</w:t>
        <w:softHyphen/>
        <w:t xml:space="preserve">dorednim zahtjevima, toliko i upozorava na korijene svake etike; »v.« i ćudorednost ne mogu se odvojiti od štovanja Boga. Iako se »poniznost« </w:t>
      </w:r>
      <w:r>
        <w:rPr>
          <w:rFonts w:ascii="Times New Roman" w:eastAsia="Times New Roman" w:hAnsi="Times New Roman" w:cs="Times New Roman"/>
          <w:i/>
          <w:iCs/>
          <w:color w:val="000000"/>
          <w:spacing w:val="0"/>
          <w:w w:val="100"/>
          <w:position w:val="0"/>
          <w:shd w:val="clear" w:color="auto" w:fill="auto"/>
          <w:lang w:val="hr-HR" w:eastAsia="hr-HR" w:bidi="hr-HR"/>
        </w:rPr>
        <w:t>(anava)</w:t>
      </w:r>
      <w:r>
        <w:rPr>
          <w:rFonts w:ascii="Times New Roman" w:eastAsia="Times New Roman" w:hAnsi="Times New Roman" w:cs="Times New Roman"/>
          <w:color w:val="000000"/>
          <w:spacing w:val="0"/>
          <w:w w:val="100"/>
          <w:position w:val="0"/>
          <w:shd w:val="clear" w:color="auto" w:fill="auto"/>
          <w:lang w:val="hr-HR" w:eastAsia="hr-HR" w:bidi="hr-HR"/>
        </w:rPr>
        <w:t xml:space="preserve"> slavi kao najveća »v.« (b Arahin 16b;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20b), treba je shvatiti iz govornoga konteksta, pa ona nije u protu</w:t>
        <w:softHyphen/>
        <w:t xml:space="preserve">rječju s naukom rabina Pinhasa ben Jadra (oko 200): »Tora vodi strogosti </w:t>
      </w:r>
      <w:r>
        <w:rPr>
          <w:rFonts w:ascii="Times New Roman" w:eastAsia="Times New Roman" w:hAnsi="Times New Roman" w:cs="Times New Roman"/>
          <w:i/>
          <w:iCs/>
          <w:color w:val="000000"/>
          <w:spacing w:val="0"/>
          <w:w w:val="100"/>
          <w:position w:val="0"/>
          <w:shd w:val="clear" w:color="auto" w:fill="auto"/>
          <w:lang w:val="hr-HR" w:eastAsia="hr-HR" w:bidi="hr-HR"/>
        </w:rPr>
        <w:t>(zehirut),</w:t>
      </w:r>
      <w:r>
        <w:rPr>
          <w:rFonts w:ascii="Times New Roman" w:eastAsia="Times New Roman" w:hAnsi="Times New Roman" w:cs="Times New Roman"/>
          <w:color w:val="000000"/>
          <w:spacing w:val="0"/>
          <w:w w:val="100"/>
          <w:position w:val="0"/>
          <w:shd w:val="clear" w:color="auto" w:fill="auto"/>
          <w:lang w:val="hr-HR" w:eastAsia="hr-HR" w:bidi="hr-HR"/>
        </w:rPr>
        <w:t xml:space="preserve"> stro</w:t>
        <w:softHyphen/>
        <w:t xml:space="preserve">gost predanosti </w:t>
      </w:r>
      <w:r>
        <w:rPr>
          <w:rFonts w:ascii="Times New Roman" w:eastAsia="Times New Roman" w:hAnsi="Times New Roman" w:cs="Times New Roman"/>
          <w:i/>
          <w:iCs/>
          <w:color w:val="000000"/>
          <w:spacing w:val="0"/>
          <w:w w:val="100"/>
          <w:position w:val="0"/>
          <w:shd w:val="clear" w:color="auto" w:fill="auto"/>
          <w:lang w:val="hr-HR" w:eastAsia="hr-HR" w:bidi="hr-HR"/>
        </w:rPr>
        <w:t>(senzut),</w:t>
      </w:r>
      <w:r>
        <w:rPr>
          <w:rFonts w:ascii="Times New Roman" w:eastAsia="Times New Roman" w:hAnsi="Times New Roman" w:cs="Times New Roman"/>
          <w:color w:val="000000"/>
          <w:spacing w:val="0"/>
          <w:w w:val="100"/>
          <w:position w:val="0"/>
          <w:shd w:val="clear" w:color="auto" w:fill="auto"/>
          <w:lang w:val="hr-HR" w:eastAsia="hr-HR" w:bidi="hr-HR"/>
        </w:rPr>
        <w:t xml:space="preserve"> predanost vodi čis</w:t>
        <w:softHyphen/>
        <w:t xml:space="preserve">toći, čistoća odvajanju, odvajanje čestitosti, čestitost pobožnosti (dobrota, ljubav: </w:t>
      </w:r>
      <w:r>
        <w:rPr>
          <w:rFonts w:ascii="Times New Roman" w:eastAsia="Times New Roman" w:hAnsi="Times New Roman" w:cs="Times New Roman"/>
          <w:i/>
          <w:iCs/>
          <w:color w:val="000000"/>
          <w:spacing w:val="0"/>
          <w:w w:val="100"/>
          <w:position w:val="0"/>
          <w:shd w:val="clear" w:color="auto" w:fill="auto"/>
          <w:lang w:val="hr-HR" w:eastAsia="hr-HR" w:bidi="hr-HR"/>
        </w:rPr>
        <w:t>hasi- dut),</w:t>
      </w:r>
      <w:r>
        <w:rPr>
          <w:rFonts w:ascii="Times New Roman" w:eastAsia="Times New Roman" w:hAnsi="Times New Roman" w:cs="Times New Roman"/>
          <w:color w:val="000000"/>
          <w:spacing w:val="0"/>
          <w:w w:val="100"/>
          <w:position w:val="0"/>
          <w:shd w:val="clear" w:color="auto" w:fill="auto"/>
          <w:lang w:val="hr-HR" w:eastAsia="hr-HR" w:bidi="hr-HR"/>
        </w:rPr>
        <w:t xml:space="preserve"> pobožnost poniznosti, poniznost zazira</w:t>
        <w:softHyphen/>
        <w:t>nju od grijeha, zaziranje od grijeha vodi sveto</w:t>
        <w:softHyphen/>
        <w:t>sti, svetost božanskom nadahnuću, božansku nadahnuće oživljavanju mrtvih (moći za oživ</w:t>
        <w:softHyphen/>
        <w:t xml:space="preserve">ljavanje mrtvih). Pobožnost je najveća među njima svima«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žara 20b). Samo iz od</w:t>
        <w:softHyphen/>
        <w:t>nosa s Bogom raste snaga pripadnosti »pot</w:t>
        <w:softHyphen/>
        <w:t>lačenima koji ne tlače«, »koji slušaju omalo</w:t>
        <w:softHyphen/>
        <w:t xml:space="preserve">važavanje a ne uzvraćaju ga, koji iz ljubavi (prema Bogu) djeluju i raduju se patnji (kažnjavanju)« (b Šabat 88b;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36b), koji se u osobnom životu pretrpljenoj nepravdi ne </w:t>
      </w:r>
      <w:r>
        <w:rPr>
          <w:rFonts w:ascii="Times New Roman" w:eastAsia="Times New Roman" w:hAnsi="Times New Roman" w:cs="Times New Roman"/>
          <w:color w:val="000000"/>
          <w:spacing w:val="0"/>
          <w:w w:val="100"/>
          <w:position w:val="0"/>
          <w:shd w:val="clear" w:color="auto" w:fill="auto"/>
          <w:lang w:val="hr-HR" w:eastAsia="hr-HR" w:bidi="hr-HR"/>
        </w:rPr>
        <w:t>suprotstavljaju silom: »Tko je popustljiv (pre</w:t>
        <w:softHyphen/>
        <w:t>lazi svoje osobine = ne obazire se na svoju volju), prelazi mu se (tj. Bog mu prelazi) pre</w:t>
        <w:softHyphen/>
        <w:t>ko svih grijeha« (b Mcgila 28a; Joma 23a), koji se ubrajaju »u progonjene, a ne u progo</w:t>
        <w:softHyphen/>
        <w:t xml:space="preserve">nitelje« (b Bava kama 93a) i »osedlaju se« kad ih bližnji »nazovu magarcem«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92b). Oni koji svakoga dana ponavljaju cilj prema kojem idu: »Neka čovjek uvijek bude tajno bogobo</w:t>
        <w:softHyphen/>
        <w:t>jazan i neka prizna istinu i neka istinu izgovori u srcu«, ujutro mole: »Neka bude volja tvoja, Vječni, naš Bože i Bože naših otaca, da si nam dopustio da učimo tvoj nauk (Toru) i priklju</w:t>
        <w:softHyphen/>
        <w:t>čimo se tvojim zapovijedima. Ne dopusti da zapadnemo u grijeh, prijestup i zlodjelo... u napast...« Oni znaju za izvor svoje snage: »Ne oslanjajući se na iskazivanje svoje pobožnosti (dokazivanje), istresamo pred tebe svoje mo</w:t>
        <w:softHyphen/>
        <w:t>litve. Oslanjamo se na tvoje veliko milosrđe. Što smo mi, što je naš život, što je naša ljubav, što naša pobožnost, što naša pomoć, što naša snaga, što naša jakost, što da govorimo pred tobom, Vječni, naš Bože i Bože naših otaca!«</w:t>
      </w:r>
    </w:p>
    <w:p>
      <w:pPr>
        <w:pStyle w:val="Style74"/>
        <w:keepNext w:val="0"/>
        <w:keepLines w:val="0"/>
        <w:widowControl w:val="0"/>
        <w:shd w:val="clear" w:color="auto" w:fill="auto"/>
        <w:bidi w:val="0"/>
        <w:spacing w:before="0" w:after="26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0. VETIliR</w:t>
      </w:r>
    </w:p>
    <w:p>
      <w:pPr>
        <w:pStyle w:val="Style63"/>
        <w:keepNext/>
        <w:keepLines/>
        <w:widowControl w:val="0"/>
        <w:numPr>
          <w:ilvl w:val="0"/>
          <w:numId w:val="631"/>
        </w:numPr>
        <w:shd w:val="clear" w:color="auto" w:fill="auto"/>
        <w:tabs>
          <w:tab w:pos="260" w:val="left"/>
        </w:tabs>
        <w:bidi w:val="0"/>
        <w:spacing w:before="0" w:after="120" w:line="223" w:lineRule="auto"/>
        <w:ind w:left="0" w:right="0" w:firstLine="0"/>
        <w:jc w:val="both"/>
      </w:pPr>
      <w:bookmarkStart w:id="401" w:name="bookmark40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0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 je odlučnost ili temeljni stav koji proizlazi iz slobodne odluke za ono što je ćudoredno dobro, sa specifičnoga gledišta da se postupa ćudoredno ispravno. Primjerice, pravednost kao v. znači pozitivan ćudoredan stav da se svakomu dade njegovo. Porok kao suprotnost vrlini bila bi odlučnost koja proizlazi iz slo</w:t>
        <w:softHyphen/>
        <w:t>bodne odluke za ćudoredno loše, sa specifič</w:t>
        <w:softHyphen/>
        <w:t>noga gledišta da se čini ćudoredno pogrešno. Obično se govori o vrlini u množini, npr. o vrlinama pravednosti, vjernosti, milosrdnosti, poniznosti, strpljivosti itd. Svim ovim temelj</w:t>
        <w:softHyphen/>
        <w:t>nim stavovima zajedničko je da su proizašli iz slobodne odluke za ćudoredno dobro ili da im u osnovi leži ćudoredno dobra volja ili ću</w:t>
        <w:softHyphen/>
        <w:t>doredno dobro raspoloženje. Ta odlučnost usmjerena prema samom dobru koja je na djelu u svim pojedinačnim vrlinama mogla bi sc označiti kao v. u singularu. Dotična speci</w:t>
        <w:softHyphen/>
        <w:t>fičnost posebnih vrlina ne odnosi sc na ras</w:t>
        <w:softHyphen/>
        <w:t>položenje koje leži u osnovi nego samo na opće tipove ćudoredno ispravnog postupanja. Budući da je u svakom pogledu ćudoredno is</w:t>
        <w:softHyphen/>
        <w:t xml:space="preserve">pravno držati svoju riječ, odlučnost da se to čini, koja proizlazi iz moralnog raspoloženja, s </w:t>
      </w:r>
      <w:r>
        <w:rPr>
          <w:rFonts w:ascii="Times New Roman" w:eastAsia="Times New Roman" w:hAnsi="Times New Roman" w:cs="Times New Roman"/>
          <w:color w:val="000000"/>
          <w:spacing w:val="0"/>
          <w:w w:val="100"/>
          <w:position w:val="0"/>
          <w:shd w:val="clear" w:color="auto" w:fill="auto"/>
          <w:lang w:val="hr-HR" w:eastAsia="hr-HR" w:bidi="hr-HR"/>
        </w:rPr>
        <w:t>pravom se označava kao v. vjernosti u defini</w:t>
        <w:softHyphen/>
        <w:t>ranom smislu. Budući da je u svakom pogledu ćudoredno ispravno pomoći patnicima više nego što se to zakonom zahtijeva, s pravom nazivamo spremnost na to vrlinom milosrd</w:t>
        <w:softHyphen/>
        <w:t>nosti. Prema tomu, sve posebne vrline ozna</w:t>
        <w:softHyphen/>
        <w:t>čavaju posebne aspekte ćudoredno dobre vo</w:t>
        <w:softHyphen/>
        <w:t>lje ako je ona nužno usmjerena prema ćudo</w:t>
        <w:softHyphen/>
        <w:t>redno ispravnom postupanju na svim pojedi</w:t>
        <w:softHyphen/>
        <w:t>načnim životnim područjima. Znači li temelj</w:t>
        <w:softHyphen/>
        <w:t>no ćudoredno dobro raspoloženje ljubav iz čitavog srca i čitave duše kao u NZ, tada je bez daljnjega razumljivo da Pavao u 1 Kor 13 tumači ono što podrazumijeva pod ljubavlju nabrajanjem njezinih različitih aspekata uz pomoć tječnika vrlina: »Ljubav je strpljiva, ljubav je dobrostiva, ljubav ne zavidi, ne hvas</w:t>
        <w:softHyphen/>
        <w:t>ta se, ne oholi se. Nije nepristojna, ne traži svoje, ne razdražuje se, zaboravlja i prašta zlo.« Prema tomu, zato jer je svim pojedinim vrlinama zajedničko jedno ćudoredno temelj</w:t>
        <w:softHyphen/>
        <w:t>no raspoloženje, od antičkog se doba govori o solidarnosti svih vrlina. Upozorit ćemo još po</w:t>
        <w:softHyphen/>
        <w:t>sebno na tri stvari. Prvo, bogatstvo našeg rječ</w:t>
        <w:softHyphen/>
        <w:t>nika vrlina vodi između ostaloga do toga da se pojedinačne riječi za vrline u svom opisnom značenju često nejasno definirano razlučuju jedne od drugih; njihova značenja prelaze jed</w:t>
        <w:softHyphen/>
        <w:t>no u drugo ili se međusobno brišu. To se od</w:t>
        <w:softHyphen/>
        <w:t>nosi na riječi navedene za ljubav u Pjesmi nad pjesmama, ‘čežnja’ i ‘dobrota’.</w:t>
      </w:r>
    </w:p>
    <w:p>
      <w:pPr>
        <w:pStyle w:val="Style20"/>
        <w:keepNext w:val="0"/>
        <w:keepLines w:val="0"/>
        <w:widowControl w:val="0"/>
        <w:shd w:val="clear" w:color="auto" w:fill="auto"/>
        <w:bidi w:val="0"/>
        <w:spacing w:before="0" w:after="0"/>
        <w:ind w:left="0" w:right="0" w:firstLine="0"/>
        <w:jc w:val="both"/>
        <w:sectPr>
          <w:headerReference w:type="default" r:id="rId1607"/>
          <w:footerReference w:type="default" r:id="rId1608"/>
          <w:headerReference w:type="even" r:id="rId1609"/>
          <w:footerReference w:type="even" r:id="rId1610"/>
          <w:headerReference w:type="first" r:id="rId1611"/>
          <w:footerReference w:type="first" r:id="rId1612"/>
          <w:footnotePr>
            <w:pos w:val="pageBottom"/>
            <w:numFmt w:val="decimal"/>
            <w:numRestart w:val="continuous"/>
            <w15:footnoteColumns w:val="1"/>
          </w:footnotePr>
          <w:pgSz w:w="6816" w:h="11006"/>
          <w:pgMar w:top="947" w:left="195" w:right="199" w:bottom="465" w:header="0" w:footer="3" w:gutter="0"/>
          <w:pgNumType w:start="526"/>
          <w:cols w:num="2" w:space="18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Drugo, treba još jednom posebno istaknuti da sve riječi za vrlinu ako same ne označavaju ću</w:t>
        <w:softHyphen/>
        <w:t>doredni temeljni stav, tada samo navode opće tipove ćudoredno ispravnog ponašanja. Sta</w:t>
        <w:softHyphen/>
        <w:t>jati uz zadanu riječ je samo po svakom pravilu ćudoredno ispravno; pa ipak, ima situacija u kojima to može biti fundamentalno pogrešno (npr. stajanje uz zakletvu zadanu Hitleru). Ka</w:t>
        <w:softHyphen/>
        <w:t>ko je svim riječima za vrlinu svojstven vrlo jak emotivan element značenja, to može dovesti do toga da se nešto, primjerice, izdaje za ću</w:t>
        <w:softHyphen/>
        <w:t>dorednu vjernost (npr. krvnikova služba u kon</w:t>
        <w:softHyphen/>
        <w:t>centracijskom logoru) što nipošto ne zaslužuje taj naziv. Tek kada je određeno ponašanje po</w:t>
        <w:softHyphen/>
        <w:t>tvrda za ćudoredno opravdano držanje svoje riječi, zaslužuje naziv ‘vjernost’. Primjenjivanje tječnika vrlina i poroka vodi u kontekstu etič</w:t>
        <w:softHyphen/>
        <w:t>kog argumentiranja gotovo sigurno do iznu</w:t>
        <w:softHyphen/>
        <w:t>đenih sudova. Kao što njegova primjena može služiti ćudorednom ohrabrcnju i izgrađivanju, može isto tako služiti zavođenju.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Treće, u svakodnevnom se govoru brojna držanja nazivaju ‘vrlinama’, iako to u definira</w:t>
        <w:softHyphen/>
        <w:t>nom značenju nc zaslužuju, jer se kod njih radi o ćudoredno vrijednosno neutralnim drža</w:t>
        <w:softHyphen/>
        <w:t>njima koja svoj specifično ćudoredan vrijed</w:t>
        <w:softHyphen/>
        <w:t>nosni karakter postižu tek stavljanjem u službu bilo dobrom bilo lošom voljom. Te bi se vrline mogle označiti kao sekundarne vrline. U njih se ubrajaju tzv. građanske vrline kao ljubav prema redu, štedljivost, točnost, marljivost, samosvladavanje. Svetac isto tako kao i upro- pastitelj čovječanstva trebaju u velikoj mjeri samosvladavanje.</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O. E </w:t>
      </w:r>
      <w:r>
        <w:rPr>
          <w:color w:val="000000"/>
          <w:spacing w:val="0"/>
          <w:w w:val="100"/>
          <w:position w:val="0"/>
          <w:shd w:val="clear" w:color="auto" w:fill="auto"/>
        </w:rPr>
        <w:t xml:space="preserve">Bollnow, </w:t>
      </w:r>
      <w:r>
        <w:rPr>
          <w:i/>
          <w:iCs/>
          <w:color w:val="000000"/>
          <w:spacing w:val="0"/>
          <w:w w:val="100"/>
          <w:position w:val="0"/>
          <w:shd w:val="clear" w:color="auto" w:fill="auto"/>
        </w:rPr>
        <w:t xml:space="preserve">Wesen und Wandel der Tugenden, </w:t>
      </w:r>
      <w:r>
        <w:rPr>
          <w:color w:val="000000"/>
          <w:spacing w:val="0"/>
          <w:w w:val="100"/>
          <w:position w:val="0"/>
          <w:shd w:val="clear" w:color="auto" w:fill="auto"/>
        </w:rPr>
        <w:t xml:space="preserve">Frankfurt 1958; J. Pieper. </w:t>
      </w:r>
      <w:r>
        <w:rPr>
          <w:i/>
          <w:iCs/>
          <w:color w:val="000000"/>
          <w:spacing w:val="0"/>
          <w:w w:val="100"/>
          <w:position w:val="0"/>
          <w:shd w:val="clear" w:color="auto" w:fill="auto"/>
        </w:rPr>
        <w:t>Das Viergespann: Klugheii, Ge- rechtigfceit, Tapferkdt, Mafi.</w:t>
      </w:r>
      <w:r>
        <w:rPr>
          <w:color w:val="000000"/>
          <w:spacing w:val="0"/>
          <w:w w:val="100"/>
          <w:position w:val="0"/>
          <w:shd w:val="clear" w:color="auto" w:fill="auto"/>
        </w:rPr>
        <w:t xml:space="preserve"> Munchcn 1964; O- Betz (Hrsg.), </w:t>
      </w:r>
      <w:r>
        <w:rPr>
          <w:i/>
          <w:iCs/>
          <w:color w:val="000000"/>
          <w:spacing w:val="0"/>
          <w:w w:val="100"/>
          <w:position w:val="0"/>
          <w:shd w:val="clear" w:color="auto" w:fill="auto"/>
        </w:rPr>
        <w:t>Tugenden fid heute,</w:t>
      </w:r>
      <w:r>
        <w:rPr>
          <w:color w:val="000000"/>
          <w:spacing w:val="0"/>
          <w:w w:val="100"/>
          <w:position w:val="0"/>
          <w:shd w:val="clear" w:color="auto" w:fill="auto"/>
        </w:rPr>
        <w:t xml:space="preserve"> Miinchen 1973; B. Schuller, </w:t>
      </w:r>
      <w:r>
        <w:rPr>
          <w:i/>
          <w:iCs/>
          <w:color w:val="000000"/>
          <w:spacing w:val="0"/>
          <w:w w:val="100"/>
          <w:position w:val="0"/>
          <w:shd w:val="clear" w:color="auto" w:fill="auto"/>
        </w:rPr>
        <w:t>Die Be- griindung sittticher Urteile,</w:t>
      </w:r>
      <w:r>
        <w:rPr>
          <w:color w:val="000000"/>
          <w:spacing w:val="0"/>
          <w:w w:val="100"/>
          <w:position w:val="0"/>
          <w:shd w:val="clear" w:color="auto" w:fill="auto"/>
        </w:rPr>
        <w:t xml:space="preserve"> Dusseldorf </w:t>
      </w:r>
      <w:r>
        <w:rPr>
          <w:color w:val="000000"/>
          <w:spacing w:val="0"/>
          <w:w w:val="100"/>
          <w:position w:val="0"/>
          <w:shd w:val="clear" w:color="auto" w:fill="auto"/>
          <w:vertAlign w:val="superscript"/>
        </w:rPr>
        <w:t>2</w:t>
      </w:r>
      <w:r>
        <w:rPr>
          <w:color w:val="000000"/>
          <w:spacing w:val="0"/>
          <w:w w:val="100"/>
          <w:position w:val="0"/>
          <w:shd w:val="clear" w:color="auto" w:fill="auto"/>
        </w:rPr>
        <w:t>1980, 299-305.</w:t>
      </w:r>
    </w:p>
    <w:p>
      <w:pPr>
        <w:pStyle w:val="Style20"/>
        <w:keepNext w:val="0"/>
        <w:keepLines w:val="0"/>
        <w:widowControl w:val="0"/>
        <w:shd w:val="clear" w:color="auto" w:fill="auto"/>
        <w:bidi w:val="0"/>
        <w:spacing w:before="0" w:after="120" w:line="192" w:lineRule="auto"/>
        <w:ind w:left="0" w:right="0" w:firstLine="0"/>
        <w:jc w:val="right"/>
      </w:pPr>
      <w:r>
        <w:rPr>
          <w:rFonts w:ascii="Times New Roman" w:eastAsia="Times New Roman" w:hAnsi="Times New Roman" w:cs="Times New Roman"/>
          <w:b/>
          <w:bCs/>
          <w:color w:val="000000"/>
          <w:spacing w:val="0"/>
          <w:w w:val="100"/>
          <w:position w:val="0"/>
          <w:shd w:val="clear" w:color="auto" w:fill="auto"/>
          <w:lang w:val="en-US" w:eastAsia="en-US" w:bidi="en-US"/>
        </w:rPr>
        <w:t>R. GINTERS</w:t>
      </w:r>
    </w:p>
    <w:p>
      <w:pPr>
        <w:pStyle w:val="Style63"/>
        <w:keepNext/>
        <w:keepLines/>
        <w:widowControl w:val="0"/>
        <w:numPr>
          <w:ilvl w:val="0"/>
          <w:numId w:val="631"/>
        </w:numPr>
        <w:shd w:val="clear" w:color="auto" w:fill="auto"/>
        <w:tabs>
          <w:tab w:pos="255" w:val="left"/>
        </w:tabs>
        <w:bidi w:val="0"/>
        <w:spacing w:before="0" w:line="223" w:lineRule="auto"/>
        <w:ind w:left="0" w:right="0" w:firstLine="0"/>
        <w:jc w:val="both"/>
      </w:pPr>
      <w:bookmarkStart w:id="402" w:name="bookmark402"/>
      <w:r>
        <w:rPr>
          <w:rFonts w:ascii="Times New Roman" w:eastAsia="Times New Roman" w:hAnsi="Times New Roman" w:cs="Times New Roman"/>
          <w:color w:val="000000"/>
          <w:spacing w:val="0"/>
          <w:w w:val="100"/>
          <w:position w:val="0"/>
          <w:shd w:val="clear" w:color="auto" w:fill="auto"/>
          <w:lang w:val="hr-HR" w:eastAsia="hr-HR" w:bidi="hr-HR"/>
        </w:rPr>
        <w:t>islamski</w:t>
      </w:r>
      <w:bookmarkEnd w:id="40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»Onaj koji posjeduje najveću vrlinu jest onaj čiji je vjera najsnažnija«, glasi jedna Muha- medova izreka. Prema jednoj drugoj izreci, njegovo poslanje kao Božjega glasnika služi razvijanju vrlina. Dobrota, istinoljubivost, pravednost i darežljivost prema prijatelju i ne</w:t>
        <w:softHyphen/>
        <w:t xml:space="preserve">prijatelju stoje na vrhu ljestvice vrlina. Čistoća duše mora prethoditi cjelokupnom ponašanju vjernika. »Nije dobročinstvo </w:t>
      </w:r>
      <w:r>
        <w:rPr>
          <w:rFonts w:ascii="Times New Roman" w:eastAsia="Times New Roman" w:hAnsi="Times New Roman" w:cs="Times New Roman"/>
          <w:i/>
          <w:iCs/>
          <w:color w:val="000000"/>
          <w:spacing w:val="0"/>
          <w:w w:val="100"/>
          <w:position w:val="0"/>
          <w:shd w:val="clear" w:color="auto" w:fill="auto"/>
          <w:lang w:val="hr-HR" w:eastAsia="hr-HR" w:bidi="hr-HR"/>
        </w:rPr>
        <w:t>(u tome)</w:t>
      </w:r>
      <w:r>
        <w:rPr>
          <w:rFonts w:ascii="Times New Roman" w:eastAsia="Times New Roman" w:hAnsi="Times New Roman" w:cs="Times New Roman"/>
          <w:color w:val="000000"/>
          <w:spacing w:val="0"/>
          <w:w w:val="100"/>
          <w:position w:val="0"/>
          <w:shd w:val="clear" w:color="auto" w:fill="auto"/>
          <w:lang w:val="hr-HR" w:eastAsia="hr-HR" w:bidi="hr-HR"/>
        </w:rPr>
        <w:t xml:space="preserve"> da okre</w:t>
        <w:softHyphen/>
        <w:t>ćete svoje lice prema istoku ili zapadu; do</w:t>
        <w:softHyphen/>
        <w:t xml:space="preserve">bročinstvo </w:t>
      </w:r>
      <w:r>
        <w:rPr>
          <w:rFonts w:ascii="Times New Roman" w:eastAsia="Times New Roman" w:hAnsi="Times New Roman" w:cs="Times New Roman"/>
          <w:i/>
          <w:iCs/>
          <w:color w:val="000000"/>
          <w:spacing w:val="0"/>
          <w:w w:val="100"/>
          <w:position w:val="0"/>
          <w:shd w:val="clear" w:color="auto" w:fill="auto"/>
          <w:lang w:val="hr-HR" w:eastAsia="hr-HR" w:bidi="hr-HR"/>
        </w:rPr>
        <w:t>(čini i ide pravim putem)</w:t>
      </w:r>
      <w:r>
        <w:rPr>
          <w:rFonts w:ascii="Times New Roman" w:eastAsia="Times New Roman" w:hAnsi="Times New Roman" w:cs="Times New Roman"/>
          <w:color w:val="000000"/>
          <w:spacing w:val="0"/>
          <w:w w:val="100"/>
          <w:position w:val="0"/>
          <w:shd w:val="clear" w:color="auto" w:fill="auto"/>
          <w:lang w:val="hr-HR" w:eastAsia="hr-HR" w:bidi="hr-HR"/>
        </w:rPr>
        <w:t xml:space="preserve"> tko vjeruje Boga, sudnji dan, meleke, Knjigu i poslanike, koji dijeli imetak, koji mu je drag, rodbini, si</w:t>
        <w:softHyphen/>
        <w:t xml:space="preserve">ročadi, bijednicima, putniku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(bez sredstava), </w:t>
      </w:r>
      <w:r>
        <w:rPr>
          <w:rFonts w:ascii="Times New Roman" w:eastAsia="Times New Roman" w:hAnsi="Times New Roman" w:cs="Times New Roman"/>
          <w:color w:val="000000"/>
          <w:spacing w:val="0"/>
          <w:w w:val="100"/>
          <w:position w:val="0"/>
          <w:shd w:val="clear" w:color="auto" w:fill="auto"/>
          <w:lang w:val="hr-HR" w:eastAsia="hr-HR" w:bidi="hr-HR"/>
        </w:rPr>
        <w:t xml:space="preserve">prosjacima, za otkup robova, </w:t>
      </w:r>
      <w:r>
        <w:rPr>
          <w:rFonts w:ascii="Times New Roman" w:eastAsia="Times New Roman" w:hAnsi="Times New Roman" w:cs="Times New Roman"/>
          <w:i/>
          <w:iCs/>
          <w:color w:val="000000"/>
          <w:spacing w:val="0"/>
          <w:w w:val="100"/>
          <w:position w:val="0"/>
          <w:shd w:val="clear" w:color="auto" w:fill="auto"/>
          <w:lang w:val="hr-HR" w:eastAsia="hr-HR" w:bidi="hr-HR"/>
        </w:rPr>
        <w:t>(i onaj)</w:t>
      </w:r>
      <w:r>
        <w:rPr>
          <w:rFonts w:ascii="Times New Roman" w:eastAsia="Times New Roman" w:hAnsi="Times New Roman" w:cs="Times New Roman"/>
          <w:color w:val="000000"/>
          <w:spacing w:val="0"/>
          <w:w w:val="100"/>
          <w:position w:val="0"/>
          <w:shd w:val="clear" w:color="auto" w:fill="auto"/>
          <w:lang w:val="hr-HR" w:eastAsia="hr-HR" w:bidi="hr-HR"/>
        </w:rPr>
        <w:t xml:space="preserve"> koji kla</w:t>
        <w:softHyphen/>
        <w:t xml:space="preserve">nja namaz i daje zekat, </w:t>
      </w:r>
      <w:r>
        <w:rPr>
          <w:rFonts w:ascii="Times New Roman" w:eastAsia="Times New Roman" w:hAnsi="Times New Roman" w:cs="Times New Roman"/>
          <w:i/>
          <w:iCs/>
          <w:color w:val="000000"/>
          <w:spacing w:val="0"/>
          <w:w w:val="100"/>
          <w:position w:val="0"/>
          <w:shd w:val="clear" w:color="auto" w:fill="auto"/>
          <w:lang w:val="hr-HR" w:eastAsia="hr-HR" w:bidi="hr-HR"/>
        </w:rPr>
        <w:t>(oni)</w:t>
      </w:r>
      <w:r>
        <w:rPr>
          <w:rFonts w:ascii="Times New Roman" w:eastAsia="Times New Roman" w:hAnsi="Times New Roman" w:cs="Times New Roman"/>
          <w:color w:val="000000"/>
          <w:spacing w:val="0"/>
          <w:w w:val="100"/>
          <w:position w:val="0"/>
          <w:shd w:val="clear" w:color="auto" w:fill="auto"/>
          <w:lang w:val="hr-HR" w:eastAsia="hr-HR" w:bidi="hr-HR"/>
        </w:rPr>
        <w:t xml:space="preserve"> koji izvršavaju svoja obećanja, koji su strpljivi u nevolji, bo</w:t>
        <w:softHyphen/>
        <w:t xml:space="preserve">lesti i borbi </w:t>
      </w:r>
      <w:r>
        <w:rPr>
          <w:rFonts w:ascii="Times New Roman" w:eastAsia="Times New Roman" w:hAnsi="Times New Roman" w:cs="Times New Roman"/>
          <w:i/>
          <w:iCs/>
          <w:color w:val="000000"/>
          <w:spacing w:val="0"/>
          <w:w w:val="100"/>
          <w:position w:val="0"/>
          <w:shd w:val="clear" w:color="auto" w:fill="auto"/>
          <w:lang w:val="hr-HR" w:eastAsia="hr-HR" w:bidi="hr-HR"/>
        </w:rPr>
        <w:t>(s neprijateljem);</w:t>
      </w:r>
      <w:r>
        <w:rPr>
          <w:rFonts w:ascii="Times New Roman" w:eastAsia="Times New Roman" w:hAnsi="Times New Roman" w:cs="Times New Roman"/>
          <w:color w:val="000000"/>
          <w:spacing w:val="0"/>
          <w:w w:val="100"/>
          <w:position w:val="0"/>
          <w:shd w:val="clear" w:color="auto" w:fill="auto"/>
          <w:lang w:val="hr-HR" w:eastAsia="hr-HR" w:bidi="hr-HR"/>
        </w:rPr>
        <w:t xml:space="preserve"> to su oni koji su iskreni i to su oni koji su bogobojazni« (2,177).</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Poštivanje zabrana ima prvenstvo pred izvrša</w:t>
        <w:softHyphen/>
        <w:t>vanjem zapovijedi. Prema hadiskoj literaturi, ćudoređe još posebice obuhvaća sljedeće vrli</w:t>
        <w:softHyphen/>
        <w:t xml:space="preserve">ne: postojanost u vjeri, razboritu odlučnost </w:t>
      </w:r>
      <w:r>
        <w:rPr>
          <w:rFonts w:ascii="Times New Roman" w:eastAsia="Times New Roman" w:hAnsi="Times New Roman" w:cs="Times New Roman"/>
          <w:color w:val="000000"/>
          <w:spacing w:val="0"/>
          <w:w w:val="100"/>
          <w:position w:val="0"/>
          <w:shd w:val="clear" w:color="auto" w:fill="auto"/>
          <w:lang w:val="hr-HR" w:eastAsia="hr-HR" w:bidi="hr-HR"/>
        </w:rPr>
        <w:t>bez grubosti, vjeru poduprtu spoznajom, čežnju za umnažanjem znanja, blagost združenu s ljubavlju, mekoću združenu s dobrim karak</w:t>
        <w:softHyphen/>
        <w:t>terom, osjećaj za gospodarenje u dobrobiti, pouzdanje u nevolji, lišenost gramzivosti, pris</w:t>
        <w:softHyphen/>
        <w:t>tojno stjecanje imutka, dobrotu združenu s ustrajnošću, radni polet, odupiranje strastima i milosrđe prema slabijima. Musliman također ne smije učiniti nepravdu onomu koji je ne može trpjeti. On također ne griješi zbog volje</w:t>
        <w:softHyphen/>
        <w:t>ne osobe. On brižljivo čuva njemu povjerena dobra. On nije zavidan, nc vrijeđa, ne bježi, pristaje uz istinu, čak i kada se ne priziva za svjedoka. On nikomu ne nadijeva ružne na</w:t>
        <w:softHyphen/>
        <w:t>dimke, moli sa strahopoštovanjem, žuri se u mjesecu posta ramazanu na vrijeme dati soci</w:t>
        <w:softHyphen/>
        <w:t>jalni prinos. On čuva dostojanstvo prilikom teških udaraca sudbine, zahvaljuje Bogu u blagostanju i zadovoljan je s onim što mu pri</w:t>
        <w:softHyphen/>
        <w:t>pada. On ne poseže za tuđim dobrima; svla</w:t>
        <w:softHyphen/>
        <w:t>dava se u uzbuđenju. Štedljivost ga ne odvraća od dobrih djela. On saobraća s drugim lju</w:t>
        <w:softHyphen/>
        <w:t>dima kako bi naučio nešto od njih, razgovara sa svim ljudima kako bi nešto bolje razumio. Ne reagira grubo kada mu se učini nepravda, nego čeka dok mu ne pomogne dragi Bog. »Svjetovna dobra Bog je dao prijatelju i nepri</w:t>
        <w:softHyphen/>
        <w:t>jatelju; ali je plemeniti karakter poklonio sa</w:t>
        <w:softHyphen/>
        <w:t>mo onomu koji Njega ljubi.«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kvintesencija islamske društvene etike često se navodi misao iz jedne propovijedi ka</w:t>
        <w:softHyphen/>
        <w:t>lifa Alije: »Nijedan pojedinac nije izgubljen i nijednom narodu neće biti uskraćen uspjeh ako oni svoje temeljne misli i djela grade na pobožnosti i strahopoštovanju pred Bogom kao i na istini i pravednosti. Nc širite pomut</w:t>
        <w:softHyphen/>
        <w:t xml:space="preserve">nju i razdor medu ljudima; poštujte mir i red i pokušajte unapređivati prijateljstvo i jedinstvo! Usredotočite se na zatiranje vlastitih nedjela. Ne slavite nikoga osim Boga i ne osuđujte nikoga osim sebe samih« (Imam ‘Ali, </w:t>
      </w:r>
      <w:r>
        <w:rPr>
          <w:rFonts w:ascii="Times New Roman" w:eastAsia="Times New Roman" w:hAnsi="Times New Roman" w:cs="Times New Roman"/>
          <w:i/>
          <w:iCs/>
          <w:color w:val="000000"/>
          <w:spacing w:val="0"/>
          <w:w w:val="100"/>
          <w:position w:val="0"/>
          <w:shd w:val="clear" w:color="auto" w:fill="auto"/>
          <w:lang w:val="hr-HR" w:eastAsia="hr-HR" w:bidi="hr-HR"/>
        </w:rPr>
        <w:t>Nalidj al-balagha.</w:t>
      </w:r>
      <w:r>
        <w:rPr>
          <w:rFonts w:ascii="Times New Roman" w:eastAsia="Times New Roman" w:hAnsi="Times New Roman" w:cs="Times New Roman"/>
          <w:color w:val="000000"/>
          <w:spacing w:val="0"/>
          <w:w w:val="100"/>
          <w:position w:val="0"/>
          <w:shd w:val="clear" w:color="auto" w:fill="auto"/>
          <w:lang w:val="hr-HR" w:eastAsia="hr-HR" w:bidi="hr-HR"/>
        </w:rPr>
        <w:t xml:space="preserve"> Navedeno prema: Imam Ali,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 danke und </w:t>
      </w:r>
      <w:r>
        <w:rPr>
          <w:rFonts w:ascii="Times New Roman" w:eastAsia="Times New Roman" w:hAnsi="Times New Roman" w:cs="Times New Roman"/>
          <w:i/>
          <w:iCs/>
          <w:color w:val="000000"/>
          <w:spacing w:val="0"/>
          <w:w w:val="100"/>
          <w:position w:val="0"/>
          <w:shd w:val="clear" w:color="auto" w:fill="auto"/>
          <w:lang w:val="en-US" w:eastAsia="en-US" w:bidi="en-US"/>
        </w:rPr>
        <w:t>Wort,</w:t>
      </w:r>
      <w:r>
        <w:rPr>
          <w:rFonts w:ascii="Times New Roman" w:eastAsia="Times New Roman" w:hAnsi="Times New Roman" w:cs="Times New Roman"/>
          <w:color w:val="000000"/>
          <w:spacing w:val="0"/>
          <w:w w:val="100"/>
          <w:position w:val="0"/>
          <w:shd w:val="clear" w:color="auto" w:fill="auto"/>
          <w:lang w:val="en-US" w:eastAsia="en-US" w:bidi="en-US"/>
        </w:rPr>
        <w:t xml:space="preserve"> Teheran </w:t>
      </w:r>
      <w:r>
        <w:rPr>
          <w:rFonts w:ascii="Times New Roman" w:eastAsia="Times New Roman" w:hAnsi="Times New Roman" w:cs="Times New Roman"/>
          <w:color w:val="000000"/>
          <w:spacing w:val="0"/>
          <w:w w:val="100"/>
          <w:position w:val="0"/>
          <w:shd w:val="clear" w:color="auto" w:fill="auto"/>
          <w:lang w:val="hr-HR" w:eastAsia="hr-HR" w:bidi="hr-HR"/>
        </w:rPr>
        <w:t>oko 1978, 13).</w:t>
      </w:r>
    </w:p>
    <w:p>
      <w:pPr>
        <w:pStyle w:val="Style20"/>
        <w:keepNext w:val="0"/>
        <w:keepLines w:val="0"/>
        <w:widowControl w:val="0"/>
        <w:shd w:val="clear" w:color="auto" w:fill="auto"/>
        <w:bidi w:val="0"/>
        <w:spacing w:before="0" w:after="0"/>
        <w:ind w:left="0" w:right="0" w:firstLine="0"/>
        <w:jc w:val="right"/>
      </w:pPr>
      <w:r>
        <w:rPr>
          <w:rFonts w:ascii="Times New Roman" w:eastAsia="Times New Roman" w:hAnsi="Times New Roman" w:cs="Times New Roman"/>
          <w:b/>
          <w:bCs/>
          <w:color w:val="000000"/>
          <w:spacing w:val="0"/>
          <w:w w:val="100"/>
          <w:position w:val="0"/>
          <w:shd w:val="clear" w:color="auto" w:fill="auto"/>
          <w:lang w:val="hr-HR" w:eastAsia="hr-HR" w:bidi="hr-HR"/>
        </w:rPr>
        <w:t>S. BAIJĆ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ZAJEDNICA</w:t>
      </w:r>
    </w:p>
    <w:p>
      <w:pPr>
        <w:pStyle w:val="Style63"/>
        <w:keepNext/>
        <w:keepLines/>
        <w:widowControl w:val="0"/>
        <w:numPr>
          <w:ilvl w:val="0"/>
          <w:numId w:val="635"/>
        </w:numPr>
        <w:shd w:val="clear" w:color="auto" w:fill="auto"/>
        <w:tabs>
          <w:tab w:pos="246" w:val="left"/>
        </w:tabs>
        <w:bidi w:val="0"/>
        <w:spacing w:before="0" w:after="80"/>
        <w:ind w:left="0" w:right="0" w:firstLine="0"/>
        <w:jc w:val="both"/>
      </w:pPr>
      <w:bookmarkStart w:id="403" w:name="bookmark403"/>
      <w:r>
        <w:rPr>
          <w:rFonts w:ascii="Times New Roman" w:eastAsia="Times New Roman" w:hAnsi="Times New Roman" w:cs="Times New Roman"/>
          <w:color w:val="000000"/>
          <w:spacing w:val="0"/>
          <w:w w:val="100"/>
          <w:position w:val="0"/>
          <w:shd w:val="clear" w:color="auto" w:fill="auto"/>
          <w:lang w:val="hr-HR" w:eastAsia="hr-HR" w:bidi="hr-HR"/>
        </w:rPr>
        <w:t>židovski</w:t>
      </w:r>
      <w:bookmarkEnd w:id="403"/>
    </w:p>
    <w:p>
      <w:pPr>
        <w:pStyle w:val="Style20"/>
        <w:keepNext w:val="0"/>
        <w:keepLines w:val="0"/>
        <w:widowControl w:val="0"/>
        <w:numPr>
          <w:ilvl w:val="0"/>
          <w:numId w:val="637"/>
        </w:numPr>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Povezanost Dckaloga (»Deset riječi«, »De</w:t>
        <w:softHyphen/>
        <w:t xml:space="preserve">set zapovijedi Božjih« u Izl 34,28; 20,2-17) karakterizira pojedine zapovijedi i zabrane kao »načela života u zajednici pod Božjom vlašću«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en-US" w:eastAsia="en-US" w:bidi="en-US"/>
        </w:rPr>
        <w:t>Moses,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1966, str. 147). Cilj Dekaloga kao cjeline jest konsolidacija »zajednice pravilima zajednice« (str. 155). Premda se obraća pojedincu, misli na njega kao pripadnika izraelske zajednice. Njezin je postanak i opstanak samo u njezinu odnosu s Bogom od kojega potječe snaga ujedinjenja i koji u životu zajednice želi da ga konkretnim ostvarenjem svakoga čovjeka u Izraelu pri</w:t>
        <w:softHyphen/>
        <w:t>znaju kao vladara osloboditelja (Izl 19,4-6). Ako shvaćamo pojedina načela u cjelini te</w:t>
        <w:softHyphen/>
        <w:t>meljnih pravila (20,2-17), razabiremo zajed</w:t>
        <w:softHyphen/>
        <w:t>nicu čije postojanje nije izdvojeno na »reli</w:t>
        <w:softHyphen/>
        <w:t>gijska« i »etička« područja, štoviše, ona treba postojati kao religijsko-etička cjelina; jer reli</w:t>
        <w:softHyphen/>
        <w:t xml:space="preserve">gijsko (»vjera«) i etičko (djelo) samo su dvije strane istog odnosa prema Bogu. Svetost koja se tražila od Izraela i za kojom je on težio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11,44) može se ostvariti samo kao z. s Bogom i istodobno kao z, među ljudima: »Činiti dobro znači ispuniti svijet Bogom; Bo</w:t>
        <w:softHyphen/>
        <w:t xml:space="preserve">gu uistinu služiti znači uvući ga potpuno u život«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color w:val="000000"/>
          <w:spacing w:val="0"/>
          <w:w w:val="100"/>
          <w:position w:val="0"/>
          <w:shd w:val="clear" w:color="auto" w:fill="auto"/>
          <w:lang w:val="hr-HR" w:eastAsia="hr-HR" w:bidi="hr-HR"/>
        </w:rPr>
        <w:t xml:space="preserve">Dcr </w:t>
      </w:r>
      <w:r>
        <w:rPr>
          <w:rFonts w:ascii="Times New Roman" w:eastAsia="Times New Roman" w:hAnsi="Times New Roman" w:cs="Times New Roman"/>
          <w:color w:val="000000"/>
          <w:spacing w:val="0"/>
          <w:w w:val="100"/>
          <w:position w:val="0"/>
          <w:shd w:val="clear" w:color="auto" w:fill="auto"/>
          <w:lang w:val="en-US" w:eastAsia="en-US" w:bidi="en-US"/>
        </w:rPr>
        <w:t xml:space="preserve">heilige Weg,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Reden </w:t>
      </w:r>
      <w:r>
        <w:rPr>
          <w:rFonts w:ascii="Times New Roman" w:eastAsia="Times New Roman" w:hAnsi="Times New Roman" w:cs="Times New Roman"/>
          <w:i/>
          <w:iCs/>
          <w:color w:val="000000"/>
          <w:spacing w:val="0"/>
          <w:w w:val="100"/>
          <w:position w:val="0"/>
          <w:shd w:val="clear" w:color="auto" w:fill="auto"/>
          <w:lang w:val="hr-HR" w:eastAsia="hr-HR" w:bidi="hr-HR"/>
        </w:rPr>
        <w:t>iiber das Judenlum,</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1932, 143-97, 149). Iz to</w:t>
        <w:softHyphen/>
        <w:t>ga jasno proizlazi da z. židovskoga naroda ne nalazi ono što je povezuje u zajedničkim in</w:t>
        <w:softHyphen/>
        <w:t>teresima i osjećajima, nego u svojem odnosu s Bogom, koji treba povijesno aktualizirati, u is</w:t>
        <w:softHyphen/>
        <w:t>toj tradiciji i poslanju, u istoj sudbini. Svoju zadaću, za koju ju je Bog izabrao da bude: »...predraga svojina mimo sve narode... kra</w:t>
        <w:softHyphen/>
        <w:t>ljevstvo svećenika, narod svet« (Izl 19,5 i d.), ispunit će tek kad uspostavi pravedan pore</w:t>
        <w:softHyphen/>
        <w:t>dak, koji je Bog odredio, i time ostvari sa</w:t>
        <w:softHyphen/>
        <w:t xml:space="preserve">moga Boga u svijetu. Svojom posvećenošću, </w:t>
      </w:r>
      <w:r>
        <w:rPr>
          <w:rFonts w:ascii="Times New Roman" w:eastAsia="Times New Roman" w:hAnsi="Times New Roman" w:cs="Times New Roman"/>
          <w:color w:val="000000"/>
          <w:spacing w:val="0"/>
          <w:w w:val="100"/>
          <w:position w:val="0"/>
          <w:shd w:val="clear" w:color="auto" w:fill="auto"/>
          <w:lang w:val="hr-HR" w:eastAsia="hr-HR" w:bidi="hr-HR"/>
        </w:rPr>
        <w:t>putem prema Bogu, čovječanstvo treba pre</w:t>
        <w:softHyphen/>
        <w:t>poznati svoje pravo određenje, postati z. s ci</w:t>
        <w:softHyphen/>
        <w:t xml:space="preserve">jelim stvorenim svijetom, baš zato Što je ona taj stvoreni svijet (s tim u vezi M. Bubcr, Wic </w:t>
      </w:r>
      <w:r>
        <w:rPr>
          <w:rFonts w:ascii="Times New Roman" w:eastAsia="Times New Roman" w:hAnsi="Times New Roman" w:cs="Times New Roman"/>
          <w:color w:val="000000"/>
          <w:spacing w:val="0"/>
          <w:w w:val="100"/>
          <w:position w:val="0"/>
          <w:shd w:val="clear" w:color="auto" w:fill="auto"/>
          <w:lang w:val="en-US" w:eastAsia="en-US" w:bidi="en-US"/>
        </w:rPr>
        <w:t xml:space="preserve">kann Gemeinschaft werden?,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Kampf um </w:t>
      </w:r>
      <w:r>
        <w:rPr>
          <w:rFonts w:ascii="Times New Roman" w:eastAsia="Times New Roman" w:hAnsi="Times New Roman" w:cs="Times New Roman"/>
          <w:i/>
          <w:iCs/>
          <w:color w:val="000000"/>
          <w:spacing w:val="0"/>
          <w:w w:val="100"/>
          <w:position w:val="0"/>
          <w:shd w:val="clear" w:color="auto" w:fill="auto"/>
          <w:lang w:val="en-US" w:eastAsia="en-US" w:bidi="en-US"/>
        </w:rPr>
        <w:t>Israel. Reden und Schriften,</w:t>
      </w:r>
      <w:r>
        <w:rPr>
          <w:rFonts w:ascii="Times New Roman" w:eastAsia="Times New Roman" w:hAnsi="Times New Roman" w:cs="Times New Roman"/>
          <w:color w:val="000000"/>
          <w:spacing w:val="0"/>
          <w:w w:val="100"/>
          <w:position w:val="0"/>
          <w:shd w:val="clear" w:color="auto" w:fill="auto"/>
          <w:lang w:val="en-US" w:eastAsia="en-US" w:bidi="en-US"/>
        </w:rPr>
        <w:t xml:space="preserve"> 1921-32, 1933, 252-80).</w:t>
      </w:r>
    </w:p>
    <w:p>
      <w:pPr>
        <w:pStyle w:val="Style20"/>
        <w:keepNext w:val="0"/>
        <w:keepLines w:val="0"/>
        <w:widowControl w:val="0"/>
        <w:numPr>
          <w:ilvl w:val="0"/>
          <w:numId w:val="637"/>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povijesnoj realnosti pojedinci bivaju svjesni činjenice kako su nedostatno proživjeli židovsku zajednicu i njezin cilj. No, u svakom minjanu, posvuda na svijetu, kada se pred Bo</w:t>
        <w:softHyphen/>
        <w:t>gom skupi taj najmanji broj molitelja koji pri</w:t>
        <w:softHyphen/>
        <w:t>padaju jednoj zajednici, općini (Br 14,27; b Berahot 21b; Megila 23b; M IV,3; 1,3), i kada se ta desetorica zajedno obraćaju Bogu i za</w:t>
        <w:softHyphen/>
        <w:t>jednički jedan drugomu priopćuju riječ Božju, čežnja za zajednicom poprima životni oblik. Usvajanjem stila u prvom licu množine, u ko</w:t>
        <w:softHyphen/>
        <w:t>jem su oblikovane molitve, pojedinac jasno doziva u svijest i svoju egzistenciju ukorijenje</w:t>
        <w:softHyphen/>
        <w:t>nu u zajednici židovskoga naroda i svoje za</w:t>
        <w:softHyphen/>
        <w:t>uzimanje za nju pred Bogom. Pritom sluša Hilelovu opomenu: »Ne odvajaj se od zajed</w:t>
        <w:softHyphen/>
        <w:t xml:space="preserve">nice« (M Avot 11,4) koju su izricali i drugi učenjaci: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je rekao: Neka se čovjek ni</w:t>
        <w:softHyphen/>
        <w:t>kada ne isključi iz zajednice« (b Berahot 49b). Prema rabinskom učenju, z. treba biti zajed</w:t>
        <w:softHyphen/>
        <w:t xml:space="preserve">ništvo, za volju Božju, srodnih duša: »Svi koji se trude za zajednicu, neka se trude za nju za volju Neba (tj. Boga)« (M Avot 11,2), koje će čovjeku stvoriti </w:t>
      </w:r>
      <w:r>
        <w:rPr>
          <w:rFonts w:ascii="Times New Roman" w:eastAsia="Times New Roman" w:hAnsi="Times New Roman" w:cs="Times New Roman"/>
          <w:i/>
          <w:iCs/>
          <w:color w:val="000000"/>
          <w:spacing w:val="0"/>
          <w:w w:val="100"/>
          <w:position w:val="0"/>
          <w:shd w:val="clear" w:color="auto" w:fill="auto"/>
          <w:lang w:val="hr-HR" w:eastAsia="hr-HR" w:bidi="hr-HR"/>
        </w:rPr>
        <w:t>cedaku</w:t>
      </w:r>
      <w:r>
        <w:rPr>
          <w:rFonts w:ascii="Times New Roman" w:eastAsia="Times New Roman" w:hAnsi="Times New Roman" w:cs="Times New Roman"/>
          <w:color w:val="000000"/>
          <w:spacing w:val="0"/>
          <w:w w:val="100"/>
          <w:position w:val="0"/>
          <w:shd w:val="clear" w:color="auto" w:fill="auto"/>
          <w:lang w:val="hr-HR" w:eastAsia="hr-HR" w:bidi="hr-HR"/>
        </w:rPr>
        <w:t xml:space="preserve"> (»pravednost«, doka</w:t>
        <w:softHyphen/>
        <w:t>zivanje dobročinstvom): »On (Hilel) još kaže: Ako nisam za sebe (tj. ako ni za sebe ne stek- nem zasluge), tko je za mene? I ako sam samo za sebe (tj. ako samo za sebe, a ne za druge težim za savršenstvom), što sam ja? 1 ako ne sada, kada onda? (tj. možda li to poslije neće bili moguće; stoga nemoj odgodili dobro dje</w:t>
        <w:softHyphen/>
        <w:t xml:space="preserve">lo!)«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1,14).</w:t>
      </w:r>
    </w:p>
    <w:p>
      <w:pPr>
        <w:pStyle w:val="Style20"/>
        <w:keepNext w:val="0"/>
        <w:keepLines w:val="0"/>
        <w:widowControl w:val="0"/>
        <w:numPr>
          <w:ilvl w:val="0"/>
          <w:numId w:val="637"/>
        </w:numPr>
        <w:shd w:val="clear" w:color="auto" w:fill="auto"/>
        <w:tabs>
          <w:tab w:pos="270" w:val="left"/>
        </w:tabs>
        <w:bidi w:val="0"/>
        <w:spacing w:before="0" w:after="0" w:line="240" w:lineRule="auto"/>
        <w:ind w:left="0" w:right="0" w:firstLine="0"/>
        <w:jc w:val="both"/>
        <w:sectPr>
          <w:headerReference w:type="default" r:id="rId1613"/>
          <w:footerReference w:type="default" r:id="rId1614"/>
          <w:headerReference w:type="even" r:id="rId1615"/>
          <w:footerReference w:type="even" r:id="rId1616"/>
          <w:headerReference w:type="first" r:id="rId1617"/>
          <w:footerReference w:type="first" r:id="rId1618"/>
          <w:footnotePr>
            <w:pos w:val="pageBottom"/>
            <w:numFmt w:val="decimal"/>
            <w:numRestart w:val="continuous"/>
            <w15:footnoteColumns w:val="1"/>
          </w:footnotePr>
          <w:pgSz w:w="6816" w:h="11006"/>
          <w:pgMar w:top="947" w:left="195" w:right="199" w:bottom="465" w:header="0" w:footer="3" w:gutter="0"/>
          <w:cols w:num="2" w:space="18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talmudskoj literaturi stalno se citira stara rečenica radi obrazloženja socijalne odgovor</w:t>
        <w:softHyphen/>
        <w:t xml:space="preserve">nosti: »Svi Izraelci jamče jedan za drugoga« </w:t>
      </w:r>
    </w:p>
    <w:p>
      <w:pPr>
        <w:pStyle w:val="Style20"/>
        <w:keepNext w:val="0"/>
        <w:keepLines w:val="0"/>
        <w:widowControl w:val="0"/>
        <w:shd w:val="clear" w:color="auto" w:fill="auto"/>
        <w:tabs>
          <w:tab w:pos="270"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26,37, usp.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 Ša- vuot 39a: Roš ha-šana 29a; Šir ha-širim 1,3; Jalkut uz Izr 6,1). Stari tumači upotrebljavali su pravni izraz solidarno jamstvo (arebut) ka</w:t>
        <w:softHyphen/>
        <w:t>ko bi objasnili Izraelovo određenje za životni savez: zaključili su saveznički odnos o religij- sko-etičkom jedinstvu naroda (Izl 24,3 i d.), u kojem svi članovi žive više-manje kao solidar</w:t>
        <w:softHyphen/>
        <w:t>ni dužnici i svaki se pojedinac pred Bogom zauzima za drugoga i kao dužnik i kao jamac u dugovnoj obvezi: »Abraham, Izak i Jakov bili su jamci Izraela«, a »Naša djeca naši su jamci« pred Bogom, koji se predstavlja kao vjerovnik, koji traži odgovarajuće jamce za zaštitu svojega Saveza (homilijski midraš Tan- huma uz Post 44,18). Rabini su obrađivali za</w:t>
        <w:softHyphen/>
        <w:t xml:space="preserve">jedništvo kao solidarno jamstvo, posebice u dva aspekta: prema jednomu, zbog propusta jednoga jedinog čovjeka na odgovornost se poziva cijela z.; kako bi potkrijepili to gledište, tumače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26,37 na ovaj način: »Spotical ćete se jedan o drugoga«; »pojedinac zbog gri</w:t>
        <w:softHyphen/>
        <w:t>jeha svojega brata; to uči da su oni svi odgo</w:t>
        <w:softHyphen/>
        <w:t xml:space="preserve">vorni jedni za druge! - To jest, ako su jedan drugoga mogli zaštititi, a to su propustili«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27b); prema drugomu, pojedinac je obvezan sve pripadnike židovske zajednice odvraćati od propusta i uputiti ih na put Božji: »Tko mnoge (tj. cjelinu) vodi k pravednosti, neće zgriješiti (usp. Joma 87a); no, tko mnoge navede na grijeh, njemu se neće pružiti prilika za obraćenje« (M Avot V, 18). O učenjaku se kaže: »Sav teret zajednice leži na njemu. Ako on vidi da jedan nad drugim vrši nasilje ili krši zakon, a on se ne brani, bit će kažnjen« (Še- mot raba XXVII, 18,1). Zamisao o jamstvu održala je u židovstvu spremnost da se svim si</w:t>
        <w:softHyphen/>
        <w:t>lama skrbe za opće dobro i da ga revno čine za druge: »Rabi Jeremija je poučavao... Tko se bavi stvarima korisnim za sve, izvršio je re</w:t>
        <w:softHyphen/>
        <w:t>ligijsku zapovijed« (j Berahot V,l); »Tko na</w:t>
        <w:softHyphen/>
        <w:t xml:space="preserve">vede bližnjega da obavi bogougodnu radnju, Pismo će mu pripisati u dobro kao da ju je sam obavio«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99b); »Ako ne po</w:t>
        <w:softHyphen/>
        <w:t>slušate molbu naroda, odgovorni ste za nje</w:t>
        <w:softHyphen/>
        <w:t>gova zlodjela« (Debarim raba 1,1,13).</w:t>
      </w:r>
    </w:p>
    <w:p>
      <w:pPr>
        <w:pStyle w:val="Style20"/>
        <w:keepNext w:val="0"/>
        <w:keepLines w:val="0"/>
        <w:widowControl w:val="0"/>
        <w:numPr>
          <w:ilvl w:val="0"/>
          <w:numId w:val="637"/>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Stoga židovska z., koju njezina predaja po</w:t>
        <w:softHyphen/>
        <w:t>ziva na uzajamnu odgovornost, od davnih vre</w:t>
        <w:softHyphen/>
        <w:t>mena nije bratsku ljubav prema ljudima ni</w:t>
        <w:softHyphen/>
        <w:t xml:space="preserve">kada shvaćala samo kao privatnu obvezu nego i kao sveukupnu zadaću zajednice, pa zato ima dugu povijest socijalnih institucija: »Dvije </w:t>
      </w:r>
      <w:r>
        <w:rPr>
          <w:rFonts w:ascii="Times New Roman" w:eastAsia="Times New Roman" w:hAnsi="Times New Roman" w:cs="Times New Roman"/>
          <w:color w:val="000000"/>
          <w:spacing w:val="0"/>
          <w:w w:val="100"/>
          <w:position w:val="0"/>
          <w:shd w:val="clear" w:color="auto" w:fill="auto"/>
          <w:lang w:val="hr-HR" w:eastAsia="hr-HR" w:bidi="hr-HR"/>
        </w:rPr>
        <w:t>prostorije bile su u Hramu... U prostoriju šut</w:t>
        <w:softHyphen/>
        <w:t>ljivih tankoćutni su ljudi (u strahu od grijeha) ostavljali potajno darove, a od njih su se uz</w:t>
        <w:softHyphen/>
        <w:t>državali potrebiti... tajno. U prostoriju s ala</w:t>
        <w:softHyphen/>
        <w:t>tom ubacivao je svatko alat koji je htio poklo</w:t>
        <w:softHyphen/>
        <w:t>niti«; rizničari su prodavali onaj alat koji nisu mogli uporabiti za popravke u Hramu i dozna</w:t>
        <w:softHyphen/>
        <w:t>čivali »utržak prostoriji za hramsku riznicu« radi pomoći siromašnima (M Sekalim V,6); »U gradu u kojem nedostaje sljedećih deset stvari, ne smije stanovati ni jedan pismozna- nac:... javna blagajna za siromašne čije će pri</w:t>
        <w:softHyphen/>
        <w:t xml:space="preserve">loge ubirati dvojica (predstojnika) i trojica raspodjeljivati«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17b). »Svatko je morao za javne zadaće dati svoj doprinos: ako je netko imao tridesetodnevnu dozvolu borav</w:t>
        <w:softHyphen/>
        <w:t>ka, morao je davati za pučku prehranu; nakon tri mjeseca za sirotinjsku blagajnu, nakon šest mjeseci za odjeću (siromašnih), nakon devet mjeseci za pogreb (potrebitih), a nakon dva</w:t>
        <w:softHyphen/>
        <w:t xml:space="preserve">naest za sve socijalne ustanove u gradu« (b Bava batra 8a, usp. Majmonid, Mišne Tora, Hilhot matenot anijim IX, 12; </w:t>
      </w:r>
      <w:r>
        <w:rPr>
          <w:rFonts w:ascii="Times New Roman" w:eastAsia="Times New Roman" w:hAnsi="Times New Roman" w:cs="Times New Roman"/>
          <w:color w:val="000000"/>
          <w:spacing w:val="0"/>
          <w:w w:val="100"/>
          <w:position w:val="0"/>
          <w:shd w:val="clear" w:color="auto" w:fill="auto"/>
          <w:lang w:val="en-US" w:eastAsia="en-US" w:bidi="en-US"/>
        </w:rPr>
        <w:t xml:space="preserve">Josef Karo, </w:t>
      </w:r>
      <w:r>
        <w:rPr>
          <w:rFonts w:ascii="Times New Roman" w:eastAsia="Times New Roman" w:hAnsi="Times New Roman" w:cs="Times New Roman"/>
          <w:color w:val="000000"/>
          <w:spacing w:val="0"/>
          <w:w w:val="100"/>
          <w:position w:val="0"/>
          <w:shd w:val="clear" w:color="auto" w:fill="auto"/>
          <w:lang w:val="hr-HR" w:eastAsia="hr-HR" w:bidi="hr-HR"/>
        </w:rPr>
        <w:t>Sul- han aruh, Jore Dea 25b).</w:t>
      </w:r>
    </w:p>
    <w:p>
      <w:pPr>
        <w:pStyle w:val="Style20"/>
        <w:keepNext w:val="0"/>
        <w:keepLines w:val="0"/>
        <w:widowControl w:val="0"/>
        <w:numPr>
          <w:ilvl w:val="0"/>
          <w:numId w:val="637"/>
        </w:numPr>
        <w:shd w:val="clear" w:color="auto" w:fill="auto"/>
        <w:tabs>
          <w:tab w:pos="274"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Obveza židovske solidarnosti nije ograniče</w:t>
        <w:softHyphen/>
        <w:t xml:space="preserve">na na židovski narod: »Neka se hrani neži- dovska sirotinja sa sirotinjom Jisraela, neka se posjećuju nežidovski bolesnici s bolesnicima Jisraela i neka se nežidovski mrtvi pokapaju s mrtvima Jisraela, radi mira«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61a), pa i »ožalošćene Jisraela treba utješiti kao i neži- dovske ožalošćene«... »radi mira« (J Demaj IV,3). U nastojanjima za socijalni mir z. ži</w:t>
        <w:softHyphen/>
        <w:t>dovskoga naroda shvaća ozbiljno jednakost svih ljudi pred Bogom i poštovanje ljudskoga dostojanstva. U socijalnim djelatnostima ži</w:t>
        <w:softHyphen/>
        <w:t>dovske zajednice ljudi se pretvaraju u ljudske zajednice jednoga Stvoritelja.</w:t>
      </w:r>
    </w:p>
    <w:p>
      <w:pPr>
        <w:pStyle w:val="Style56"/>
        <w:keepNext w:val="0"/>
        <w:keepLines w:val="0"/>
        <w:widowControl w:val="0"/>
        <w:shd w:val="clear" w:color="auto" w:fill="auto"/>
        <w:tabs>
          <w:tab w:pos="2424" w:val="left"/>
        </w:tabs>
        <w:bidi w:val="0"/>
        <w:spacing w:before="0" w:after="280" w:line="240" w:lineRule="auto"/>
        <w:ind w:left="0" w:right="0" w:firstLine="0"/>
        <w:jc w:val="both"/>
      </w:pPr>
      <w:r>
        <w:rPr>
          <w:color w:val="000000"/>
          <w:spacing w:val="0"/>
          <w:w w:val="100"/>
          <w:position w:val="0"/>
          <w:shd w:val="clear" w:color="auto" w:fill="auto"/>
        </w:rPr>
        <w:t xml:space="preserve">Lit.: </w:t>
      </w:r>
      <w:r>
        <w:rPr>
          <w:b/>
          <w:bCs/>
          <w:i/>
          <w:iCs/>
          <w:color w:val="000000"/>
          <w:spacing w:val="0"/>
          <w:w w:val="100"/>
          <w:position w:val="0"/>
          <w:sz w:val="9"/>
          <w:szCs w:val="9"/>
          <w:shd w:val="clear" w:color="auto" w:fill="auto"/>
        </w:rPr>
        <w:t xml:space="preserve">Die </w:t>
      </w:r>
      <w:r>
        <w:rPr>
          <w:b/>
          <w:bCs/>
          <w:i/>
          <w:iCs/>
          <w:color w:val="000000"/>
          <w:spacing w:val="0"/>
          <w:w w:val="100"/>
          <w:position w:val="0"/>
          <w:sz w:val="9"/>
          <w:szCs w:val="9"/>
          <w:shd w:val="clear" w:color="auto" w:fill="auto"/>
          <w:lang w:val="hr-HR" w:eastAsia="hr-HR" w:bidi="hr-HR"/>
        </w:rPr>
        <w:t xml:space="preserve">Lehren </w:t>
      </w:r>
      <w:r>
        <w:rPr>
          <w:b/>
          <w:bCs/>
          <w:i/>
          <w:iCs/>
          <w:color w:val="000000"/>
          <w:spacing w:val="0"/>
          <w:w w:val="100"/>
          <w:position w:val="0"/>
          <w:sz w:val="9"/>
          <w:szCs w:val="9"/>
          <w:shd w:val="clear" w:color="auto" w:fill="auto"/>
        </w:rPr>
        <w:t xml:space="preserve">dec </w:t>
      </w:r>
      <w:r>
        <w:rPr>
          <w:b/>
          <w:bCs/>
          <w:i/>
          <w:iCs/>
          <w:color w:val="000000"/>
          <w:spacing w:val="0"/>
          <w:w w:val="100"/>
          <w:position w:val="0"/>
          <w:sz w:val="9"/>
          <w:szCs w:val="9"/>
          <w:shd w:val="clear" w:color="auto" w:fill="auto"/>
          <w:lang w:val="hr-HR" w:eastAsia="hr-HR" w:bidi="hr-HR"/>
        </w:rPr>
        <w:t>Juderuums 1,</w:t>
      </w:r>
      <w:r>
        <w:rPr>
          <w:color w:val="000000"/>
          <w:spacing w:val="0"/>
          <w:w w:val="100"/>
          <w:position w:val="0"/>
          <w:shd w:val="clear" w:color="auto" w:fill="auto"/>
          <w:lang w:val="hr-HR" w:eastAsia="hr-HR" w:bidi="hr-HR"/>
        </w:rPr>
        <w:t xml:space="preserve"> '1928, 411-16; 3, 1929, 233-63; </w:t>
      </w:r>
      <w:r>
        <w:rPr>
          <w:b/>
          <w:bCs/>
          <w:i/>
          <w:iCs/>
          <w:color w:val="000000"/>
          <w:spacing w:val="0"/>
          <w:w w:val="100"/>
          <w:position w:val="0"/>
          <w:sz w:val="9"/>
          <w:szCs w:val="9"/>
          <w:shd w:val="clear" w:color="auto" w:fill="auto"/>
          <w:lang w:val="hr-HR" w:eastAsia="hr-HR" w:bidi="hr-HR"/>
        </w:rPr>
        <w:t>Jiidisches Lenkon 1.</w:t>
      </w:r>
      <w:r>
        <w:rPr>
          <w:color w:val="000000"/>
          <w:spacing w:val="0"/>
          <w:w w:val="100"/>
          <w:position w:val="0"/>
          <w:shd w:val="clear" w:color="auto" w:fill="auto"/>
          <w:lang w:val="hr-HR" w:eastAsia="hr-HR" w:bidi="hr-HR"/>
        </w:rPr>
        <w:t xml:space="preserve"> 1927:82. 46.3-65; II, 959-1000; </w:t>
      </w:r>
      <w:r>
        <w:rPr>
          <w:b/>
          <w:bCs/>
          <w:i/>
          <w:iCs/>
          <w:color w:val="000000"/>
          <w:spacing w:val="0"/>
          <w:w w:val="100"/>
          <w:position w:val="0"/>
          <w:sz w:val="9"/>
          <w:szCs w:val="9"/>
          <w:shd w:val="clear" w:color="auto" w:fill="auto"/>
        </w:rPr>
        <w:t xml:space="preserve">Encyclopaedia Judaica </w:t>
      </w:r>
      <w:r>
        <w:rPr>
          <w:b/>
          <w:bCs/>
          <w:i/>
          <w:iCs/>
          <w:color w:val="000000"/>
          <w:spacing w:val="0"/>
          <w:w w:val="100"/>
          <w:position w:val="0"/>
          <w:sz w:val="9"/>
          <w:szCs w:val="9"/>
          <w:shd w:val="clear" w:color="auto" w:fill="auto"/>
          <w:lang w:val="hr-HR" w:eastAsia="hr-HR" w:bidi="hr-HR"/>
        </w:rPr>
        <w:t>5,</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1978,808-53; 893-96; C. G. Moli- </w:t>
      </w:r>
      <w:r>
        <w:rPr>
          <w:color w:val="000000"/>
          <w:spacing w:val="0"/>
          <w:w w:val="100"/>
          <w:position w:val="0"/>
          <w:shd w:val="clear" w:color="auto" w:fill="auto"/>
        </w:rPr>
        <w:t xml:space="preserve">tefiore/H. tnewe, </w:t>
      </w:r>
      <w:r>
        <w:rPr>
          <w:b/>
          <w:bCs/>
          <w:i/>
          <w:iCs/>
          <w:color w:val="000000"/>
          <w:spacing w:val="0"/>
          <w:w w:val="100"/>
          <w:position w:val="0"/>
          <w:sz w:val="9"/>
          <w:szCs w:val="9"/>
          <w:shd w:val="clear" w:color="auto" w:fill="auto"/>
        </w:rPr>
        <w:t>A Rabbinic Anthology,</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1974, 63.255 351; </w:t>
      </w:r>
      <w:r>
        <w:rPr>
          <w:color w:val="000000"/>
          <w:spacing w:val="0"/>
          <w:w w:val="100"/>
          <w:position w:val="0"/>
          <w:shd w:val="clear" w:color="auto" w:fill="auto"/>
        </w:rPr>
        <w:t xml:space="preserve">A. J. Hcschct, </w:t>
      </w:r>
      <w:r>
        <w:rPr>
          <w:b/>
          <w:bCs/>
          <w:i/>
          <w:iCs/>
          <w:color w:val="000000"/>
          <w:spacing w:val="0"/>
          <w:w w:val="100"/>
          <w:position w:val="0"/>
          <w:sz w:val="9"/>
          <w:szCs w:val="9"/>
          <w:shd w:val="clear" w:color="auto" w:fill="auto"/>
        </w:rPr>
        <w:t>Golt tiichl den Meme hen,</w:t>
      </w:r>
      <w:r>
        <w:rPr>
          <w:color w:val="000000"/>
          <w:spacing w:val="0"/>
          <w:w w:val="100"/>
          <w:position w:val="0"/>
          <w:shd w:val="clear" w:color="auto" w:fill="auto"/>
        </w:rPr>
        <w:t xml:space="preserve"> 1980, 318-27; P. Navi Levinson. </w:t>
      </w:r>
      <w:r>
        <w:rPr>
          <w:b/>
          <w:bCs/>
          <w:i/>
          <w:iCs/>
          <w:color w:val="000000"/>
          <w:spacing w:val="0"/>
          <w:w w:val="100"/>
          <w:position w:val="0"/>
          <w:sz w:val="9"/>
          <w:szCs w:val="9"/>
          <w:shd w:val="clear" w:color="auto" w:fill="auto"/>
        </w:rPr>
        <w:t xml:space="preserve">Einfiihrung in die rabbinische Theotogie, </w:t>
      </w:r>
      <w:r>
        <w:rPr>
          <w:color w:val="000000"/>
          <w:spacing w:val="0"/>
          <w:w w:val="100"/>
          <w:position w:val="0"/>
          <w:shd w:val="clear" w:color="auto" w:fill="auto"/>
        </w:rPr>
        <w:t>1982,70-74.</w:t>
        <w:tab/>
        <w:t>n VE3TER</w:t>
      </w:r>
    </w:p>
    <w:p>
      <w:pPr>
        <w:pStyle w:val="Style63"/>
        <w:keepNext/>
        <w:keepLines/>
        <w:widowControl w:val="0"/>
        <w:numPr>
          <w:ilvl w:val="0"/>
          <w:numId w:val="635"/>
        </w:numPr>
        <w:shd w:val="clear" w:color="auto" w:fill="auto"/>
        <w:tabs>
          <w:tab w:pos="260" w:val="left"/>
        </w:tabs>
        <w:bidi w:val="0"/>
        <w:spacing w:before="0" w:after="120" w:line="223" w:lineRule="auto"/>
        <w:ind w:left="0" w:right="0" w:firstLine="0"/>
        <w:jc w:val="both"/>
      </w:pPr>
      <w:bookmarkStart w:id="404" w:name="bookmark40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04"/>
    </w:p>
    <w:p>
      <w:pPr>
        <w:pStyle w:val="Style20"/>
        <w:keepNext w:val="0"/>
        <w:keepLines w:val="0"/>
        <w:widowControl w:val="0"/>
        <w:numPr>
          <w:ilvl w:val="0"/>
          <w:numId w:val="639"/>
        </w:numPr>
        <w:shd w:val="clear" w:color="auto" w:fill="auto"/>
        <w:tabs>
          <w:tab w:pos="265" w:val="left"/>
        </w:tabs>
        <w:bidi w:val="0"/>
        <w:spacing w:before="0" w:after="0"/>
        <w:ind w:left="0" w:right="0" w:firstLine="0"/>
        <w:jc w:val="both"/>
        <w:sectPr>
          <w:headerReference w:type="default" r:id="rId1619"/>
          <w:footerReference w:type="default" r:id="rId1620"/>
          <w:headerReference w:type="even" r:id="rId1621"/>
          <w:footerReference w:type="even" r:id="rId1622"/>
          <w:footnotePr>
            <w:pos w:val="pageBottom"/>
            <w:numFmt w:val="decimal"/>
            <w:numRestart w:val="continuous"/>
            <w15:footnoteColumns w:val="1"/>
          </w:footnotePr>
          <w:type w:val="continuous"/>
          <w:pgSz w:w="6816" w:h="11006"/>
          <w:pgMar w:top="947" w:left="195" w:right="199" w:bottom="465" w:header="0" w:footer="3" w:gutter="0"/>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Iako riječ zajedništvo u običnom govoru uživa neprekidnu popularnost, od svoje je no</w:t>
        <w:softHyphen/>
        <w:t>vije povijesti kao pojam opterećena tako iz</w:t>
        <w:softHyphen/>
        <w:t>vanrednom višeznačnošću, a istodobno i emo</w:t>
        <w:softHyphen/>
        <w:t>cionalnim nabojem, da se u kontekstu duhov</w:t>
        <w:softHyphen/>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 znanosti, a pogotovo društvenih znanosti, upotrebljava još samo vrlo suzdržano. U po</w:t>
        <w:softHyphen/>
        <w:t>sljednja dva stoljeća ovaj razvoj nije bio bez utjecaja na tijek ekleziologije. To se npr. po</w:t>
        <w:softHyphen/>
        <w:t>kazuje u činjenici da se Crkva preobražava kao ona društvena tvorevina u kojoj, za raz</w:t>
        <w:softHyphen/>
        <w:t>liku od okoline, doživljene kao otuđenje i bez- imenost, svoje ispunjenje nalazi romantična čežnja za stanjem u kojem su ljudi jedni s dru</w:t>
        <w:softHyphen/>
        <w:t>gima u bogatim zajedničkim odnosima. U unutarerkvenom kontekstu pojam zajedništva mora dosta često trpjeti kako bi se razlučili unutarnji sukobi i polarizacije. Zato teološka primjena te kategorije mora između ostaloga biti svjesna i ideoloških konotacija.</w:t>
      </w:r>
    </w:p>
    <w:p>
      <w:pPr>
        <w:pStyle w:val="Style20"/>
        <w:keepNext w:val="0"/>
        <w:keepLines w:val="0"/>
        <w:widowControl w:val="0"/>
        <w:numPr>
          <w:ilvl w:val="0"/>
          <w:numId w:val="639"/>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Najkasnije od Aristotela, naširoko u zapad</w:t>
        <w:softHyphen/>
        <w:t>noj filozofskoj tradiciji, neosporna je tvrdnja da čovjek kao pojedinačno biće ne može stići do samoga sebe. Pa ipak, jedno točnije shva</w:t>
        <w:softHyphen/>
        <w:t>ćanje odnosa između pojedinca i zajedništva uvijek je iznova zadavalo probleme. Osobito raspad tradicionalnoga društvenog poretka na početku novoga vijeka i zajedno s time obrat iz kozniocentričnosti u antropoccntričnost uveli su iskustvo subjektivnosti subjekta koje jc katkada stavljalo u pozadinu društveni zna</w:t>
        <w:softHyphen/>
        <w:t>čaj čovjekove egzistencije. Povijest teologije u novom vijeku dokazuje kako se teološka re</w:t>
        <w:softHyphen/>
        <w:t>fleksija teško muči kako bi sc uklopila u ovu novu polazišnu situaciju antropološkog samo- razumijevanja i kako ne bi samo ponavljala slike o čovjeku i društvene oblike koji su pre</w:t>
        <w:softHyphen/>
        <w:t>thodili novom vijeku. S time su dobrim dije</w:t>
        <w:softHyphen/>
        <w:t>lom povezane konfesionalne razlike. Nije slu</w:t>
        <w:softHyphen/>
        <w:t>čajno da protestantska tradicija visoko vred</w:t>
        <w:softHyphen/>
        <w:t>nuje načelo subjektivnosti, dok se u Rimoka</w:t>
        <w:softHyphen/>
        <w:t>toličkoj crkvi sve do Drugoga vatikanskoga koncila jednostrano naglašavalo institucional</w:t>
        <w:softHyphen/>
        <w:t>no stanovište.</w:t>
      </w:r>
    </w:p>
    <w:p>
      <w:pPr>
        <w:pStyle w:val="Style20"/>
        <w:keepNext w:val="0"/>
        <w:keepLines w:val="0"/>
        <w:widowControl w:val="0"/>
        <w:numPr>
          <w:ilvl w:val="0"/>
          <w:numId w:val="639"/>
        </w:numPr>
        <w:shd w:val="clear" w:color="auto" w:fill="auto"/>
        <w:tabs>
          <w:tab w:pos="27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 polazimo od analize temeljnog ustroj</w:t>
        <w:softHyphen/>
        <w:t>stva čovjekove egzistencije kao pozadinom, proizlazi sljedeća mogućnost teološkog odre</w:t>
        <w:softHyphen/>
        <w:t>đenja intersubjektivnosti: Dijaloški i herme- neutički usmjerena filozofska polazišta kao i sociološke teorije, prateći fenomenologiju i simbolički intcrakcionizam, naknadno su iz</w:t>
        <w:softHyphen/>
        <w:t>vršili kritiku monoloških shvaćanja stvarnosti te su istaknuli čovjekovu načelnu društvenu upućenost. Oni dopuštaju da se interakcija s drugima shvaća kao konstitutivna za nastanak vlastitog Ja. Tako se postavlja pitanje o ustroj</w:t>
        <w:softHyphen/>
        <w:t>stvu neke interakcije u kojoj sudjelovalelji je</w:t>
        <w:softHyphen/>
      </w:r>
      <w:r>
        <w:rPr>
          <w:rFonts w:ascii="Times New Roman" w:eastAsia="Times New Roman" w:hAnsi="Times New Roman" w:cs="Times New Roman"/>
          <w:color w:val="000000"/>
          <w:spacing w:val="0"/>
          <w:w w:val="100"/>
          <w:position w:val="0"/>
          <w:shd w:val="clear" w:color="auto" w:fill="auto"/>
          <w:lang w:val="hr-HR" w:eastAsia="hr-HR" w:bidi="hr-HR"/>
        </w:rPr>
        <w:t>dan drugomu omogućuju njegovo vlastito Ja. Očigledno se partneri moraju pritom tako po</w:t>
        <w:softHyphen/>
        <w:t>našati jedni prema drugima da se uzajamno priznaju u svojoj slobodi i konačnosti te da se ne zloupotrebljavaju u vlastite svrhe. Ovdje jc teološka refleksija utoliko od pomoći ukoliko pita o stvarnosti koja se u jednoj takvoj in</w:t>
        <w:softHyphen/>
        <w:t>terakciji, ako se ona radikalno izvršava, otvara i nju tek omogućuje. Ona pokazuje da se pri</w:t>
        <w:softHyphen/>
        <w:t>tom poseže za Bogom kao apsolutnom slobo</w:t>
        <w:softHyphen/>
        <w:t>dom i ljubavi i kojega se spoznaje kao onoga koji oslobađa konačnu slobodu. Temeljno us</w:t>
        <w:softHyphen/>
        <w:t>trojstvo ljudske egzistencije dobiva time dub</w:t>
        <w:softHyphen/>
        <w:t>lju utemeljenost i tumačenje: Konačni čovjek zna da ga je pozvao Bog koji omogućuje i nosi onaj način interakcije u kojem ne gubi nego dobiva svoju osobnu jedinstvenost. Kristolo- gija (Božje samopriopćavanje u drugome) i učenje o Trojstvu (Bog kao beskrajno rela</w:t>
        <w:softHyphen/>
        <w:t>cijsko bogatstvo ljubavi) teološki su razvoji te misli.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sažetak proizlazi da se teološki gledano čovjekova personalnost i socijalnost uzajamno uvjetuju i otvaraju: »Pravi čovjek nije pojedi</w:t>
        <w:softHyphen/>
        <w:t>nac zatvoren u sebe nego otvorena, relacijama bogata osoba; prava čovjekova subjektivnost je ... ‘Ja’ koje sebe prima i ostvaruje kroz Ti' u strogo uzajamnoj intersubjektivnosti. Još točnije: Tako kao što je Isus spoznavao Boga kao ljubav prema drugomu koji je stranac, si</w:t>
        <w:softHyphen/>
        <w:t>romah i grešnik, a sebe shvaćao polazeći od njega, tako se kršćanska egzistencija po svom duhu pokazuje u spremnosti i sposobnosti da se odredi polazeći od bližnjega, pa i nepri</w:t>
        <w:softHyphen/>
        <w:t xml:space="preserve">jatelja - i to naočigled svoje smrtnosti, svoje krivnje, svog neprijateljstva« (G. </w:t>
      </w:r>
      <w:r>
        <w:rPr>
          <w:rFonts w:ascii="Times New Roman" w:eastAsia="Times New Roman" w:hAnsi="Times New Roman" w:cs="Times New Roman"/>
          <w:color w:val="000000"/>
          <w:spacing w:val="0"/>
          <w:w w:val="100"/>
          <w:position w:val="0"/>
          <w:shd w:val="clear" w:color="auto" w:fill="auto"/>
          <w:lang w:val="en-US" w:eastAsia="en-US" w:bidi="en-US"/>
        </w:rPr>
        <w:t>Fuchs).</w:t>
      </w:r>
    </w:p>
    <w:p>
      <w:pPr>
        <w:pStyle w:val="Style20"/>
        <w:keepNext w:val="0"/>
        <w:keepLines w:val="0"/>
        <w:widowControl w:val="0"/>
        <w:numPr>
          <w:ilvl w:val="0"/>
          <w:numId w:val="639"/>
        </w:numPr>
        <w:shd w:val="clear" w:color="auto" w:fill="auto"/>
        <w:tabs>
          <w:tab w:pos="27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Crkva jc kao zajedništvo vjernika pozvana i ovlaštena znakovito ostvarivati tu vrstu među</w:t>
        <w:softHyphen/>
        <w:t xml:space="preserve">sobnog ophođenja (univerzalna solidarnost) i druge na to poticati. U formulaciji »općinstvo svetih« (lat. communio </w:t>
      </w:r>
      <w:r>
        <w:rPr>
          <w:rFonts w:ascii="Times New Roman" w:eastAsia="Times New Roman" w:hAnsi="Times New Roman" w:cs="Times New Roman"/>
          <w:color w:val="000000"/>
          <w:spacing w:val="0"/>
          <w:w w:val="100"/>
          <w:position w:val="0"/>
          <w:shd w:val="clear" w:color="auto" w:fill="auto"/>
          <w:lang w:val="en-US" w:eastAsia="en-US" w:bidi="en-US"/>
        </w:rPr>
        <w:t xml:space="preserve">sanctorum) </w:t>
      </w:r>
      <w:r>
        <w:rPr>
          <w:rFonts w:ascii="Times New Roman" w:eastAsia="Times New Roman" w:hAnsi="Times New Roman" w:cs="Times New Roman"/>
          <w:color w:val="000000"/>
          <w:spacing w:val="0"/>
          <w:w w:val="100"/>
          <w:position w:val="0"/>
          <w:shd w:val="clear" w:color="auto" w:fill="auto"/>
          <w:lang w:val="hr-HR" w:eastAsia="hr-HR" w:bidi="hr-HR"/>
        </w:rPr>
        <w:t>prihvaćen jc počam od V. stoljeća pojam zajedništva u Apostolsko vjerovanje. U ovom jc nazivu za</w:t>
        <w:softHyphen/>
        <w:t>držan odnos napetosti koji je za Crkvu konsti</w:t>
        <w:softHyphen/>
        <w:t>tutivan: na jednoj strani communio kao objek</w:t>
        <w:softHyphen/>
        <w:t>tivna prethodna datost (sudjelovanje u pret</w:t>
        <w:softHyphen/>
        <w:t>hodno danom »saneta«), a s druge strane sub</w:t>
        <w:softHyphen/>
        <w:t>jektivno ustrojstvo ove communio (»saneti« kao zajedništvo). Crkva živi kao zajedništvo vjer</w:t>
        <w:softHyphen/>
        <w:t>nika, a to je više od aktualnog skupa pobožnih pojedinaca; no ona nije anoniman kolektivni subjekt nego živi kao zajedništvo od pojedinih</w:t>
        <w:br w:type="page"/>
      </w:r>
      <w:r>
        <w:rPr>
          <w:rFonts w:ascii="Times New Roman" w:eastAsia="Times New Roman" w:hAnsi="Times New Roman" w:cs="Times New Roman"/>
          <w:color w:val="000000"/>
          <w:spacing w:val="0"/>
          <w:w w:val="100"/>
          <w:position w:val="0"/>
          <w:shd w:val="clear" w:color="auto" w:fill="auto"/>
          <w:lang w:val="hr-HR" w:eastAsia="hr-HR" w:bidi="hr-HR"/>
        </w:rPr>
        <w:t>vjernika. Ova višestrukost u jedinstvu dolazi do izražaja u koncilijarnoj strukturi Crkve. Ako se ona bude protegnula na mjesno ostva</w:t>
        <w:softHyphen/>
        <w:t>rivanje Crkve, to će značiti sudjelovanje svih karizmi u izgradnji zajednice. Izvor i temeljno zbivanje toga je bogoslužna z. kao konkretni koncilijami proces u kojem se »međusobno priopćavaju pluralnost mnogih darova i zajed</w:t>
        <w:softHyphen/>
        <w:t xml:space="preserve">ništvo Tijela Kristova, protuiječnost ljudskog shvaćanja i jedinstvo evanđelja« </w:t>
      </w:r>
      <w:r>
        <w:rPr>
          <w:rFonts w:ascii="Times New Roman" w:eastAsia="Times New Roman" w:hAnsi="Times New Roman" w:cs="Times New Roman"/>
          <w:color w:val="000000"/>
          <w:spacing w:val="0"/>
          <w:w w:val="100"/>
          <w:position w:val="0"/>
          <w:shd w:val="clear" w:color="auto" w:fill="auto"/>
          <w:lang w:val="en-US" w:eastAsia="en-US" w:bidi="en-US"/>
        </w:rPr>
        <w:t xml:space="preserve">(W. Huber). </w:t>
      </w:r>
      <w:r>
        <w:rPr>
          <w:rFonts w:ascii="Times New Roman" w:eastAsia="Times New Roman" w:hAnsi="Times New Roman" w:cs="Times New Roman"/>
          <w:color w:val="000000"/>
          <w:spacing w:val="0"/>
          <w:w w:val="100"/>
          <w:position w:val="0"/>
          <w:shd w:val="clear" w:color="auto" w:fill="auto"/>
          <w:lang w:val="hr-HR" w:eastAsia="hr-HR" w:bidi="hr-HR"/>
        </w:rPr>
        <w:t>Protegnuta na daljnje crkvene razine sve do ekumene ta višestrukost znači zajedništvo me</w:t>
        <w:softHyphen/>
        <w:t>đu zajednicama i crkvama, znači biti u univer</w:t>
        <w:softHyphen/>
        <w:t>zalnoj komunikaciji. Tako se Crkva ostvaruje kao živo zajedništvo ljudi koji se onkraj svih ograda rasa, klasa i jezika prihvaćaju kao Isu</w:t>
        <w:softHyphen/>
        <w:t>sovi prijatelji.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Analogno ustrojstvu ja-identiteta kod poje</w:t>
        <w:softHyphen/>
        <w:t>dinca, za Crkvu vrijedi to da ona ne može učvrstiti svoj identitet na pojedinim nepro</w:t>
        <w:softHyphen/>
        <w:t>mjenljivim obilježjima, nego da do njega do</w:t>
        <w:softHyphen/>
        <w:t>lazi samo ako neprestano prelazi svoje institu</w:t>
        <w:softHyphen/>
        <w:t>cionalne granice u smjeru drugih. Samo tako ispunjava ono za što je određena. U osvje</w:t>
        <w:softHyphen/>
        <w:t>dočenom skladu s Isusovim djelovanjem i Isu</w:t>
        <w:softHyphen/>
        <w:t>sovom mukom zajedništvo vjernika živi i trpi s ljudima, prakticirajući solidarnost, ne da bi je primilo kao probitak nego da bi je trošilo za</w:t>
        <w:softHyphen/>
        <w:t>jedno s od Boga ljubljenima, siromašnima i prikraćenima. Ona je »Crkva za druge« (D. Bonhoeffer) koja u interakciji s drugima puš</w:t>
        <w:softHyphen/>
        <w:t>ta daje se oni najdublje tiču i da sebe mijenja.</w:t>
      </w:r>
    </w:p>
    <w:p>
      <w:pPr>
        <w:pStyle w:val="Style20"/>
        <w:keepNext w:val="0"/>
        <w:keepLines w:val="0"/>
        <w:widowControl w:val="0"/>
        <w:numPr>
          <w:ilvl w:val="0"/>
          <w:numId w:val="639"/>
        </w:numPr>
        <w:shd w:val="clear" w:color="auto" w:fill="auto"/>
        <w:tabs>
          <w:tab w:pos="255"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svom realnom obliku Crkva pokazuje elemente svih oblika suživota ljudi od skupine do organizacije. Svođenje na samo jedan as</w:t>
        <w:softHyphen/>
        <w:t>pekt teško može odgovarati zahtjevima slože</w:t>
        <w:softHyphen/>
        <w:t>no strukturirane okoline. Pa ipak, prijeti opasnost da Crkva jednostavno kopira tamo provjerene strukturne obrasce. Nasuprot to</w:t>
        <w:softHyphen/>
        <w:t>mu, i dalje joj je naloženo da svaki put nade onaj društveni oblik koji čini vidljivim nešto od ozračja koje nastaje kad Bog ljude »poziva u zajedništvo sa svojim Sinom« (1 Kor 1,9).</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M. </w:t>
      </w:r>
      <w:r>
        <w:rPr>
          <w:color w:val="000000"/>
          <w:spacing w:val="0"/>
          <w:w w:val="100"/>
          <w:position w:val="0"/>
          <w:shd w:val="clear" w:color="auto" w:fill="auto"/>
        </w:rPr>
        <w:t xml:space="preserve">Riedel. Gesellschaft </w:t>
      </w:r>
      <w:r>
        <w:rPr>
          <w:color w:val="000000"/>
          <w:spacing w:val="0"/>
          <w:w w:val="100"/>
          <w:position w:val="0"/>
          <w:shd w:val="clear" w:color="auto" w:fill="auto"/>
          <w:lang w:val="hr-HR" w:eastAsia="hr-HR" w:bidi="hr-HR"/>
        </w:rPr>
        <w:t xml:space="preserve">- Gcmcmschaft, u: O. </w:t>
      </w:r>
      <w:r>
        <w:rPr>
          <w:color w:val="000000"/>
          <w:spacing w:val="0"/>
          <w:w w:val="100"/>
          <w:position w:val="0"/>
          <w:shd w:val="clear" w:color="auto" w:fill="auto"/>
        </w:rPr>
        <w:t xml:space="preserve">Brunner </w:t>
      </w:r>
      <w:r>
        <w:rPr>
          <w:color w:val="000000"/>
          <w:spacing w:val="0"/>
          <w:w w:val="100"/>
          <w:position w:val="0"/>
          <w:shd w:val="clear" w:color="auto" w:fill="auto"/>
          <w:lang w:val="hr-HR" w:eastAsia="hr-HR" w:bidi="hr-HR"/>
        </w:rPr>
        <w:t xml:space="preserve">u. a. (Hrsg.). </w:t>
      </w:r>
      <w:r>
        <w:rPr>
          <w:i/>
          <w:iCs/>
          <w:color w:val="000000"/>
          <w:spacing w:val="0"/>
          <w:w w:val="100"/>
          <w:position w:val="0"/>
          <w:shd w:val="clear" w:color="auto" w:fill="auto"/>
          <w:lang w:val="hr-HR" w:eastAsia="hr-HR" w:bidi="hr-HR"/>
        </w:rPr>
        <w:t>Geschichiliche Gru/idbegriffe,</w:t>
      </w:r>
      <w:r>
        <w:rPr>
          <w:color w:val="000000"/>
          <w:spacing w:val="0"/>
          <w:w w:val="100"/>
          <w:position w:val="0"/>
          <w:shd w:val="clear" w:color="auto" w:fill="auto"/>
          <w:lang w:val="hr-HR" w:eastAsia="hr-HR" w:bidi="hr-HR"/>
        </w:rPr>
        <w:t xml:space="preserve"> Bd. 2,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1974; H. Pcukcrt. </w:t>
      </w:r>
      <w:r>
        <w:rPr>
          <w:color w:val="000000"/>
          <w:spacing w:val="0"/>
          <w:w w:val="100"/>
          <w:position w:val="0"/>
          <w:shd w:val="clear" w:color="auto" w:fill="auto"/>
        </w:rPr>
        <w:t xml:space="preserve">Kommunikativc Freiheit und absolute </w:t>
      </w:r>
      <w:r>
        <w:rPr>
          <w:color w:val="000000"/>
          <w:spacing w:val="0"/>
          <w:w w:val="100"/>
          <w:position w:val="0"/>
          <w:shd w:val="clear" w:color="auto" w:fill="auto"/>
          <w:lang w:val="hr-HR" w:eastAsia="hr-HR" w:bidi="hr-HR"/>
        </w:rPr>
        <w:t xml:space="preserve">hcfrcicndc </w:t>
      </w:r>
      <w:r>
        <w:rPr>
          <w:color w:val="000000"/>
          <w:spacing w:val="0"/>
          <w:w w:val="100"/>
          <w:position w:val="0"/>
          <w:shd w:val="clear" w:color="auto" w:fill="auto"/>
        </w:rPr>
        <w:t xml:space="preserve">Freiheit, </w:t>
      </w:r>
      <w:r>
        <w:rPr>
          <w:color w:val="000000"/>
          <w:spacing w:val="0"/>
          <w:w w:val="100"/>
          <w:position w:val="0"/>
          <w:shd w:val="clear" w:color="auto" w:fill="auto"/>
          <w:lang w:val="hr-HR" w:eastAsia="hr-HR" w:bidi="hr-HR"/>
        </w:rPr>
        <w:t xml:space="preserve">u: H. Vorgritnlcr </w:t>
      </w:r>
      <w:r>
        <w:rPr>
          <w:color w:val="000000"/>
          <w:spacing w:val="0"/>
          <w:w w:val="100"/>
          <w:position w:val="0"/>
          <w:shd w:val="clear" w:color="auto" w:fill="auto"/>
        </w:rPr>
        <w:t xml:space="preserve">(Hrsg.), </w:t>
      </w:r>
      <w:r>
        <w:rPr>
          <w:i/>
          <w:iCs/>
          <w:color w:val="000000"/>
          <w:spacing w:val="0"/>
          <w:w w:val="100"/>
          <w:position w:val="0"/>
          <w:shd w:val="clear" w:color="auto" w:fill="auto"/>
        </w:rPr>
        <w:t xml:space="preserve">Wagrtis </w:t>
      </w:r>
      <w:r>
        <w:rPr>
          <w:i/>
          <w:iCs/>
          <w:color w:val="000000"/>
          <w:spacing w:val="0"/>
          <w:w w:val="100"/>
          <w:position w:val="0"/>
          <w:shd w:val="clear" w:color="auto" w:fill="auto"/>
          <w:lang w:val="hr-HR" w:eastAsia="hr-HR" w:bidi="hr-HR"/>
        </w:rPr>
        <w:t xml:space="preserve">Tht’ </w:t>
      </w:r>
      <w:r>
        <w:rPr>
          <w:i/>
          <w:iCs/>
          <w:color w:val="000000"/>
          <w:spacing w:val="0"/>
          <w:w w:val="100"/>
          <w:position w:val="0"/>
          <w:shd w:val="clear" w:color="auto" w:fill="auto"/>
        </w:rPr>
        <w:t>otogie,</w:t>
      </w:r>
      <w:r>
        <w:rPr>
          <w:color w:val="000000"/>
          <w:spacing w:val="0"/>
          <w:w w:val="100"/>
          <w:position w:val="0"/>
          <w:shd w:val="clear" w:color="auto" w:fill="auto"/>
        </w:rPr>
        <w:t xml:space="preserve"> Freiburg </w:t>
      </w:r>
      <w:r>
        <w:rPr>
          <w:color w:val="000000"/>
          <w:spacing w:val="0"/>
          <w:w w:val="100"/>
          <w:position w:val="0"/>
          <w:shd w:val="clear" w:color="auto" w:fill="auto"/>
          <w:lang w:val="hr-HR" w:eastAsia="hr-HR" w:bidi="hr-HR"/>
        </w:rPr>
        <w:t xml:space="preserve">1979. 274-283; G. </w:t>
      </w:r>
      <w:r>
        <w:rPr>
          <w:color w:val="000000"/>
          <w:spacing w:val="0"/>
          <w:w w:val="100"/>
          <w:position w:val="0"/>
          <w:shd w:val="clear" w:color="auto" w:fill="auto"/>
        </w:rPr>
        <w:t xml:space="preserve">Fuchs: Gott </w:t>
      </w:r>
      <w:r>
        <w:rPr>
          <w:color w:val="000000"/>
          <w:spacing w:val="0"/>
          <w:w w:val="100"/>
          <w:position w:val="0"/>
          <w:shd w:val="clear" w:color="auto" w:fill="auto"/>
          <w:lang w:val="hr-HR" w:eastAsia="hr-HR" w:bidi="hr-HR"/>
        </w:rPr>
        <w:t xml:space="preserve">ist Licbc. </w:t>
      </w:r>
      <w:r>
        <w:rPr>
          <w:color w:val="000000"/>
          <w:spacing w:val="0"/>
          <w:w w:val="100"/>
          <w:position w:val="0"/>
          <w:shd w:val="clear" w:color="auto" w:fill="auto"/>
        </w:rPr>
        <w:t xml:space="preserve">Die </w:t>
      </w:r>
      <w:r>
        <w:rPr>
          <w:color w:val="000000"/>
          <w:spacing w:val="0"/>
          <w:w w:val="100"/>
          <w:position w:val="0"/>
          <w:shd w:val="clear" w:color="auto" w:fill="auto"/>
          <w:lang w:val="hr-HR" w:eastAsia="hr-HR" w:bidi="hr-HR"/>
        </w:rPr>
        <w:t xml:space="preserve">Trinitatslehre als Inbcgriff christlicher Glaubcnscr- fahrung, u: rhs 24 (198t) 1-15; M. Kchl, Kirchc </w:t>
      </w:r>
      <w:r>
        <w:rPr>
          <w:color w:val="000000"/>
          <w:spacing w:val="0"/>
          <w:w w:val="100"/>
          <w:position w:val="0"/>
          <w:shd w:val="clear" w:color="auto" w:fill="auto"/>
        </w:rPr>
        <w:t xml:space="preserve">in </w:t>
      </w:r>
      <w:r>
        <w:rPr>
          <w:color w:val="000000"/>
          <w:spacing w:val="0"/>
          <w:w w:val="100"/>
          <w:position w:val="0"/>
          <w:shd w:val="clear" w:color="auto" w:fill="auto"/>
          <w:lang w:val="hr-HR" w:eastAsia="hr-HR" w:bidi="hr-HR"/>
        </w:rPr>
        <w:t xml:space="preserve">der Sorge um ihre tdcntilal otlcr Kirchc </w:t>
      </w:r>
      <w:r>
        <w:rPr>
          <w:color w:val="000000"/>
          <w:spacing w:val="0"/>
          <w:w w:val="100"/>
          <w:position w:val="0"/>
          <w:shd w:val="clear" w:color="auto" w:fill="auto"/>
        </w:rPr>
        <w:t xml:space="preserve">fur die </w:t>
      </w:r>
      <w:r>
        <w:rPr>
          <w:color w:val="000000"/>
          <w:spacing w:val="0"/>
          <w:w w:val="100"/>
          <w:position w:val="0"/>
          <w:shd w:val="clear" w:color="auto" w:fill="auto"/>
          <w:lang w:val="hr-HR" w:eastAsia="hr-HR" w:bidi="hr-HR"/>
        </w:rPr>
        <w:t xml:space="preserve">anderen?, u: 15 32 (1981) 57-65; </w:t>
      </w:r>
      <w:r>
        <w:rPr>
          <w:color w:val="000000"/>
          <w:spacing w:val="0"/>
          <w:w w:val="100"/>
          <w:position w:val="0"/>
          <w:shd w:val="clear" w:color="auto" w:fill="auto"/>
        </w:rPr>
        <w:t xml:space="preserve">W. Huber. </w:t>
      </w:r>
      <w:r>
        <w:rPr>
          <w:i/>
          <w:iCs/>
          <w:color w:val="000000"/>
          <w:spacing w:val="0"/>
          <w:w w:val="100"/>
          <w:position w:val="0"/>
          <w:shd w:val="clear" w:color="auto" w:fill="auto"/>
        </w:rPr>
        <w:t>Kirche,</w:t>
      </w:r>
      <w:r>
        <w:rPr>
          <w:color w:val="000000"/>
          <w:spacing w:val="0"/>
          <w:w w:val="100"/>
          <w:position w:val="0"/>
          <w:shd w:val="clear" w:color="auto" w:fill="auto"/>
        </w:rPr>
        <w:t xml:space="preserve"> Stuttgart </w:t>
      </w:r>
      <w:r>
        <w:rPr>
          <w:color w:val="000000"/>
          <w:spacing w:val="0"/>
          <w:w w:val="100"/>
          <w:position w:val="0"/>
          <w:shd w:val="clear" w:color="auto" w:fill="auto"/>
          <w:lang w:val="hr-HR" w:eastAsia="hr-HR" w:bidi="hr-HR"/>
        </w:rPr>
        <w:t>1979.</w:t>
      </w:r>
    </w:p>
    <w:p>
      <w:pPr>
        <w:pStyle w:val="Style74"/>
        <w:keepNext w:val="0"/>
        <w:keepLines w:val="0"/>
        <w:widowControl w:val="0"/>
        <w:shd w:val="clear" w:color="auto" w:fill="auto"/>
        <w:bidi w:val="0"/>
        <w:spacing w:before="0" w:after="0" w:line="283"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N. MK'ITE</w:t>
      </w:r>
    </w:p>
    <w:p>
      <w:pPr>
        <w:pStyle w:val="Style63"/>
        <w:keepNext/>
        <w:keepLines/>
        <w:widowControl w:val="0"/>
        <w:numPr>
          <w:ilvl w:val="0"/>
          <w:numId w:val="635"/>
        </w:numPr>
        <w:shd w:val="clear" w:color="auto" w:fill="auto"/>
        <w:tabs>
          <w:tab w:pos="265" w:val="left"/>
        </w:tabs>
        <w:bidi w:val="0"/>
        <w:spacing w:before="0"/>
        <w:ind w:left="0" w:right="0" w:firstLine="0"/>
        <w:jc w:val="both"/>
      </w:pPr>
      <w:bookmarkStart w:id="405" w:name="bookmark405"/>
      <w:r>
        <w:rPr>
          <w:rFonts w:ascii="Times New Roman" w:eastAsia="Times New Roman" w:hAnsi="Times New Roman" w:cs="Times New Roman"/>
          <w:color w:val="000000"/>
          <w:spacing w:val="0"/>
          <w:w w:val="100"/>
          <w:position w:val="0"/>
          <w:shd w:val="clear" w:color="auto" w:fill="auto"/>
          <w:lang w:val="hr-HR" w:eastAsia="hr-HR" w:bidi="hr-HR"/>
        </w:rPr>
        <w:t>islamski</w:t>
      </w:r>
      <w:bookmarkEnd w:id="40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Ono što musliman ima u vidu kao ideal druš</w:t>
        <w:softHyphen/>
        <w:t xml:space="preserve">tvene težnje nije toliko država koliko je to svjetska z. vjernika </w:t>
      </w:r>
      <w:r>
        <w:rPr>
          <w:rFonts w:ascii="Times New Roman" w:eastAsia="Times New Roman" w:hAnsi="Times New Roman" w:cs="Times New Roman"/>
          <w:i/>
          <w:iCs/>
          <w:color w:val="000000"/>
          <w:spacing w:val="0"/>
          <w:w w:val="100"/>
          <w:position w:val="0"/>
          <w:shd w:val="clear" w:color="auto" w:fill="auto"/>
          <w:lang w:val="hr-HR" w:eastAsia="hr-HR" w:bidi="hr-HR"/>
        </w:rPr>
        <w:t>(uma: umma).</w:t>
      </w:r>
      <w:r>
        <w:rPr>
          <w:rFonts w:ascii="Times New Roman" w:eastAsia="Times New Roman" w:hAnsi="Times New Roman" w:cs="Times New Roman"/>
          <w:color w:val="000000"/>
          <w:spacing w:val="0"/>
          <w:w w:val="100"/>
          <w:position w:val="0"/>
          <w:shd w:val="clear" w:color="auto" w:fill="auto"/>
          <w:lang w:val="hr-HR" w:eastAsia="hr-HR" w:bidi="hr-HR"/>
        </w:rPr>
        <w:t xml:space="preserve"> Vjera u jed</w:t>
        <w:softHyphen/>
        <w:t>noga Boga, Stvoritelja svih ljudi, Najmilosti- vijega, predstavlja ono duhovno i emocional</w:t>
        <w:softHyphen/>
        <w:t>no susretište i uporište, u kojemu se nalazi do</w:t>
        <w:softHyphen/>
        <w:t>voljno sigurnosti za međusobnu pravednost i za ozbiljenje društva bez nasilja. U tom se smislu smjera na bratstvo među vjernicima. Ali se i svi drugi ljudi promatraju kao nositelji prirodnih prava, kao primatelji posebne ljud</w:t>
        <w:softHyphen/>
        <w:t>ske časti i kao predstavnici Boga na zemlji. Tako sc u Kuranu kaže: »Mi smo Adamovoj djeci ukazali čast«. Najvažniji oblik islamske pobožnosti stavlja čovjeka u središte zemalj</w:t>
        <w:softHyphen/>
        <w:t>skoga htijenja vjerske zajednice.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Uma za muslimana znači više od puke religi</w:t>
        <w:softHyphen/>
        <w:t>ozne zajednice. U njoj je sadržan i jedan dio nacionalnosti. Nije nikakvo čudo što su se ne</w:t>
        <w:softHyphen/>
        <w:t>ki narodi na temelju svoje pripadnosti islamu oblikovali u nacije, premda ih isti jezik i isto podrijetlo povezuje sa susjedima. Kuran na</w:t>
        <w:softHyphen/>
        <w:t>učava da su svi ljudi međusobno braća. Da se ta misao ne odnosi na sve ljude, to svoj dobar razlog ima u tome da su oni koji poriču Boga lišeni one etičke podloge, na kojoj se jedino može izgraditi odnos istinskoga povjerenja a time i bratstvo: oni su naime lišeni predanosti Bogu kao vječnoj i obvezujućoj vrijednosti.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Jednakost ljudi bez obzira na rasu i naciju snažno je naglašeno u islamu. Otuda zahtjev za maksimalnom međunarodnom solidamoš- ću i spremnošću za pomoć. Pojam društve</w:t>
        <w:softHyphen/>
        <w:t>noga poretka u islamu izgleda otprilike ova</w:t>
        <w:softHyphen/>
        <w:t>ko: Svi su ljudi jednaki - Arapi kao i nearapi, muškarci kao i žene. Oni su stvoreni po jed</w:t>
        <w:softHyphen/>
        <w:t>nom te istom principu. U Kuranu sc kaže: »Mi smo vas učinili narodima i plemenima kako bi svatko poznavao svakoga. Najpleme</w:t>
        <w:softHyphen/>
        <w:t>nitiji među vama je onaj koji je u Božjim oči</w:t>
        <w:softHyphen/>
        <w:t>ma najpobožniji«. Drugim riječima: Svaki je čovjek plemenit, svatko ima svoje dostojan</w:t>
        <w:softHyphen/>
        <w:t>stvo; graduiranje slijedi po mjerilu čiste po</w:t>
        <w:softHyphen/>
        <w:t>božnosti.</w:t>
      </w:r>
    </w:p>
    <w:p>
      <w:pPr>
        <w:pStyle w:val="Style20"/>
        <w:keepNext w:val="0"/>
        <w:keepLines w:val="0"/>
        <w:widowControl w:val="0"/>
        <w:shd w:val="clear" w:color="auto" w:fill="auto"/>
        <w:bidi w:val="0"/>
        <w:spacing w:before="0" w:after="0"/>
        <w:ind w:left="0" w:right="0" w:firstLine="0"/>
        <w:jc w:val="both"/>
        <w:sectPr>
          <w:headerReference w:type="default" r:id="rId1623"/>
          <w:footerReference w:type="default" r:id="rId1624"/>
          <w:headerReference w:type="even" r:id="rId1625"/>
          <w:footerReference w:type="even" r:id="rId1626"/>
          <w:headerReference w:type="first" r:id="rId1627"/>
          <w:footerReference w:type="first" r:id="rId1628"/>
          <w:footnotePr>
            <w:pos w:val="pageBottom"/>
            <w:numFmt w:val="decimal"/>
            <w:numRestart w:val="continuous"/>
            <w15:footnoteColumns w:val="1"/>
          </w:footnotePr>
          <w:pgSz w:w="6816" w:h="11006"/>
          <w:pgMar w:top="947" w:left="195" w:right="199" w:bottom="465" w:header="0" w:footer="3" w:gutter="0"/>
          <w:pgNumType w:start="535"/>
          <w:cols w:num="2" w:space="189"/>
          <w:noEndnote/>
          <w:titlePg/>
          <w:rtlGutter w:val="0"/>
          <w:docGrid w:linePitch="360"/>
        </w:sectPr>
      </w:pPr>
      <w:r>
        <mc:AlternateContent>
          <mc:Choice Requires="wps">
            <w:drawing>
              <wp:anchor distT="139700" distB="254000" distL="114300" distR="114300" simplePos="0" relativeHeight="125829447" behindDoc="0" locked="0" layoutInCell="1" allowOverlap="1">
                <wp:simplePos x="0" y="0"/>
                <wp:positionH relativeFrom="page">
                  <wp:posOffset>142240</wp:posOffset>
                </wp:positionH>
                <wp:positionV relativeFrom="margin">
                  <wp:posOffset>6144895</wp:posOffset>
                </wp:positionV>
                <wp:extent cx="194945" cy="149225"/>
                <wp:wrapTopAndBottom/>
                <wp:docPr id="3495" name="Shape 3495"/>
                <a:graphic xmlns:a="http://schemas.openxmlformats.org/drawingml/2006/main">
                  <a:graphicData uri="http://schemas.microsoft.com/office/word/2010/wordprocessingShape">
                    <wps:wsp>
                      <wps:cNvSpPr txBox="1"/>
                      <wps:spPr>
                        <a:xfrm>
                          <a:ext cx="194945" cy="149225"/>
                        </a:xfrm>
                        <a:prstGeom prst="rect"/>
                        <a:noFill/>
                      </wps:spPr>
                      <wps:txbx>
                        <w:txbxContent>
                          <w:p>
                            <w:pPr>
                              <w:pStyle w:val="Style91"/>
                              <w:keepNext/>
                              <w:keepLines/>
                              <w:widowControl w:val="0"/>
                              <w:shd w:val="clear" w:color="auto" w:fill="auto"/>
                              <w:bidi w:val="0"/>
                              <w:spacing w:before="0" w:after="0" w:line="240" w:lineRule="auto"/>
                              <w:ind w:left="0" w:right="0" w:firstLine="0"/>
                              <w:jc w:val="left"/>
                            </w:pPr>
                            <w:bookmarkStart w:id="387" w:name="bookmark387"/>
                            <w:r>
                              <w:rPr>
                                <w:rFonts w:ascii="Times New Roman" w:eastAsia="Times New Roman" w:hAnsi="Times New Roman" w:cs="Times New Roman"/>
                                <w:color w:val="000000"/>
                                <w:spacing w:val="0"/>
                                <w:w w:val="100"/>
                                <w:position w:val="0"/>
                                <w:shd w:val="clear" w:color="auto" w:fill="auto"/>
                                <w:lang w:val="hr-HR" w:eastAsia="hr-HR" w:bidi="hr-HR"/>
                              </w:rPr>
                              <w:t>S3?.</w:t>
                            </w:r>
                            <w:bookmarkEnd w:id="387"/>
                          </w:p>
                        </w:txbxContent>
                      </wps:txbx>
                      <wps:bodyPr wrap="none" lIns="0" tIns="0" rIns="0" bIns="0">
                        <a:noAutoFit/>
                      </wps:bodyPr>
                    </wps:wsp>
                  </a:graphicData>
                </a:graphic>
              </wp:anchor>
            </w:drawing>
          </mc:Choice>
          <mc:Fallback>
            <w:pict>
              <v:shape id="_x0000_s4521" type="#_x0000_t202" style="position:absolute;margin-left:11.199999999999999pt;margin-top:483.85000000000002pt;width:15.35pt;height:11.75pt;z-index:-125829306;mso-wrap-distance-left:9.pt;mso-wrap-distance-top:11.pt;mso-wrap-distance-right:9.pt;mso-wrap-distance-bottom:20.pt;mso-position-horizontal-relative:page;mso-position-vertical-relative:margin" filled="f" stroked="f">
                <v:textbox inset="0,0,0,0">
                  <w:txbxContent>
                    <w:p>
                      <w:pPr>
                        <w:pStyle w:val="Style91"/>
                        <w:keepNext/>
                        <w:keepLines/>
                        <w:widowControl w:val="0"/>
                        <w:shd w:val="clear" w:color="auto" w:fill="auto"/>
                        <w:bidi w:val="0"/>
                        <w:spacing w:before="0" w:after="0" w:line="240" w:lineRule="auto"/>
                        <w:ind w:left="0" w:right="0" w:firstLine="0"/>
                        <w:jc w:val="left"/>
                      </w:pPr>
                      <w:bookmarkStart w:id="387" w:name="bookmark387"/>
                      <w:r>
                        <w:rPr>
                          <w:rFonts w:ascii="Times New Roman" w:eastAsia="Times New Roman" w:hAnsi="Times New Roman" w:cs="Times New Roman"/>
                          <w:color w:val="000000"/>
                          <w:spacing w:val="0"/>
                          <w:w w:val="100"/>
                          <w:position w:val="0"/>
                          <w:shd w:val="clear" w:color="auto" w:fill="auto"/>
                          <w:lang w:val="hr-HR" w:eastAsia="hr-HR" w:bidi="hr-HR"/>
                        </w:rPr>
                        <w:t>S3?.</w:t>
                      </w:r>
                      <w:bookmarkEnd w:id="387"/>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Bratstvo je u islamu izraz ljudskoga zajedniš</w:t>
        <w:softHyphen/>
        <w:t>tva. Ono ne smije ostati puka misaona tvor</w:t>
        <w:softHyphen/>
        <w:t>evina. Musliman teži da je učini oblikujućim elementom svoje društveno-praktične svako- dncvicc. Muhamed je govorio: »Kada dva čo</w:t>
        <w:softHyphen/>
        <w:t xml:space="preserve">vjeka jurnu jedan na drugoga mačem, tada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obojica odlaze u pakao: ubojica i ubijeni«. Ka</w:t>
        <w:softHyphen/>
        <w:t>da se prigovorilo: »To vrijedi za ubojicu, Božji poslaniče, ali kako i za ubijenoga?«, on je od</w:t>
        <w:softHyphen/>
        <w:t>govorio: »Zato što je i on imao namjeru da ubije drugoga«. Čovječnost vodi popustljivos</w:t>
        <w:softHyphen/>
        <w:t xml:space="preserve">ti, tolerantnosti i poštovanju tuđega stajališta. Upravo su te tri vrline one koje omogućavaju mirni slijed četiri različite pravne škole u su- nitskom islamu. </w:t>
      </w:r>
      <w:r>
        <w:rPr>
          <w:rFonts w:ascii="Times New Roman" w:eastAsia="Times New Roman" w:hAnsi="Times New Roman" w:cs="Times New Roman"/>
          <w:color w:val="000000"/>
          <w:spacing w:val="0"/>
          <w:w w:val="100"/>
          <w:position w:val="0"/>
          <w:shd w:val="clear" w:color="auto" w:fill="auto"/>
          <w:lang w:val="en-US" w:eastAsia="en-US" w:bidi="en-US"/>
        </w:rPr>
        <w:t xml:space="preserve">Roger Garaudy </w:t>
      </w:r>
      <w:r>
        <w:rPr>
          <w:rFonts w:ascii="Times New Roman" w:eastAsia="Times New Roman" w:hAnsi="Times New Roman" w:cs="Times New Roman"/>
          <w:color w:val="000000"/>
          <w:spacing w:val="0"/>
          <w:w w:val="100"/>
          <w:position w:val="0"/>
          <w:shd w:val="clear" w:color="auto" w:fill="auto"/>
          <w:lang w:val="hr-HR" w:eastAsia="hr-HR" w:bidi="hr-HR"/>
        </w:rPr>
        <w:t>vidi u među</w:t>
        <w:softHyphen/>
        <w:t>sobnoj snošljivosti islamskih pravnih škola primjer za budući odnos svjetskih religija.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unutarnje odnose u islamskoj zajednici ka</w:t>
        <w:softHyphen/>
        <w:t>rakteristične su živost religioznih veza i moć socijalne stege. Izvornoj zajednici ume pripa</w:t>
        <w:softHyphen/>
        <w:t>dali su izvorno i nemuslimani. Tako poredak zajednice u Medini, koji je skicirao Muha</w:t>
        <w:softHyphen/>
        <w:t>med, izričito ustvrduje da umi pripadaju i Ži</w:t>
        <w:softHyphen/>
        <w:t>dovi koji žive u gradu. Kasnije je ipak iskrista</w:t>
        <w:softHyphen/>
        <w:t>lizirana suprotnost prema sljedbenicima Bib</w:t>
        <w:softHyphen/>
        <w:t xml:space="preserve">lije </w:t>
      </w:r>
      <w:r>
        <w:rPr>
          <w:rFonts w:ascii="Times New Roman" w:eastAsia="Times New Roman" w:hAnsi="Times New Roman" w:cs="Times New Roman"/>
          <w:i/>
          <w:iCs/>
          <w:color w:val="000000"/>
          <w:spacing w:val="0"/>
          <w:w w:val="100"/>
          <w:position w:val="0"/>
          <w:shd w:val="clear" w:color="auto" w:fill="auto"/>
          <w:lang w:val="hr-HR" w:eastAsia="hr-HR" w:bidi="hr-HR"/>
        </w:rPr>
        <w:t>(ahl al-Kitab):</w:t>
      </w:r>
      <w:r>
        <w:rPr>
          <w:rFonts w:ascii="Times New Roman" w:eastAsia="Times New Roman" w:hAnsi="Times New Roman" w:cs="Times New Roman"/>
          <w:color w:val="000000"/>
          <w:spacing w:val="0"/>
          <w:w w:val="100"/>
          <w:position w:val="0"/>
          <w:shd w:val="clear" w:color="auto" w:fill="auto"/>
          <w:lang w:val="hr-HR" w:eastAsia="hr-HR" w:bidi="hr-HR"/>
        </w:rPr>
        <w:t xml:space="preserve"> Od tada nositelji i obliko- vatelji ume ostaju samo pristaše islama.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 xml:space="preserve">Lit.: natuknicu: </w:t>
      </w:r>
      <w:r>
        <w:rPr>
          <w:b/>
          <w:bCs/>
          <w:i/>
          <w:iCs/>
          <w:color w:val="000000"/>
          <w:spacing w:val="0"/>
          <w:w w:val="100"/>
          <w:position w:val="0"/>
          <w:sz w:val="9"/>
          <w:szCs w:val="9"/>
          <w:shd w:val="clear" w:color="auto" w:fill="auto"/>
          <w:lang w:val="hr-HR" w:eastAsia="hr-HR" w:bidi="hr-HR"/>
        </w:rPr>
        <w:t>Umma,</w:t>
      </w:r>
      <w:r>
        <w:rPr>
          <w:color w:val="000000"/>
          <w:spacing w:val="0"/>
          <w:w w:val="100"/>
          <w:position w:val="0"/>
          <w:shd w:val="clear" w:color="auto" w:fill="auto"/>
          <w:lang w:val="hr-HR" w:eastAsia="hr-HR" w:bidi="hr-HR"/>
        </w:rPr>
        <w:t xml:space="preserve"> u: HI, Lcidcn 1941, 762-764.</w:t>
      </w:r>
    </w:p>
    <w:p>
      <w:pPr>
        <w:pStyle w:val="Style74"/>
        <w:keepNext w:val="0"/>
        <w:keepLines w:val="0"/>
        <w:widowControl w:val="0"/>
        <w:shd w:val="clear" w:color="auto" w:fill="auto"/>
        <w:bidi w:val="0"/>
        <w:spacing w:before="0" w:after="34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S. HA1.1Ć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ZAKON</w:t>
      </w:r>
    </w:p>
    <w:p>
      <w:pPr>
        <w:pStyle w:val="Style63"/>
        <w:keepNext/>
        <w:keepLines/>
        <w:widowControl w:val="0"/>
        <w:numPr>
          <w:ilvl w:val="0"/>
          <w:numId w:val="641"/>
        </w:numPr>
        <w:shd w:val="clear" w:color="auto" w:fill="auto"/>
        <w:tabs>
          <w:tab w:pos="246" w:val="left"/>
        </w:tabs>
        <w:bidi w:val="0"/>
        <w:spacing w:before="0"/>
        <w:ind w:left="0" w:right="0" w:firstLine="0"/>
        <w:jc w:val="both"/>
      </w:pPr>
      <w:bookmarkStart w:id="406" w:name="bookmark406"/>
      <w:r>
        <w:rPr>
          <w:rFonts w:ascii="Times New Roman" w:eastAsia="Times New Roman" w:hAnsi="Times New Roman" w:cs="Times New Roman"/>
          <w:color w:val="000000"/>
          <w:spacing w:val="0"/>
          <w:w w:val="100"/>
          <w:position w:val="0"/>
          <w:shd w:val="clear" w:color="auto" w:fill="auto"/>
          <w:lang w:val="hr-HR" w:eastAsia="hr-HR" w:bidi="hr-HR"/>
        </w:rPr>
        <w:t>židovski</w:t>
      </w:r>
      <w:bookmarkEnd w:id="406"/>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Pravilnik života i putokaz: »Z.« je prijevod grčke riječi </w:t>
      </w:r>
      <w:r>
        <w:rPr>
          <w:rFonts w:ascii="Times New Roman" w:eastAsia="Times New Roman" w:hAnsi="Times New Roman" w:cs="Times New Roman"/>
          <w:i/>
          <w:iCs/>
          <w:color w:val="000000"/>
          <w:spacing w:val="0"/>
          <w:w w:val="100"/>
          <w:position w:val="0"/>
          <w:shd w:val="clear" w:color="auto" w:fill="auto"/>
          <w:lang w:val="hr-HR" w:eastAsia="hr-HR" w:bidi="hr-HR"/>
        </w:rPr>
        <w:t>nomos</w:t>
      </w:r>
      <w:r>
        <w:rPr>
          <w:rFonts w:ascii="Times New Roman" w:eastAsia="Times New Roman" w:hAnsi="Times New Roman" w:cs="Times New Roman"/>
          <w:color w:val="000000"/>
          <w:spacing w:val="0"/>
          <w:w w:val="100"/>
          <w:position w:val="0"/>
          <w:shd w:val="clear" w:color="auto" w:fill="auto"/>
          <w:lang w:val="hr-HR" w:eastAsia="hr-HR" w:bidi="hr-HR"/>
        </w:rPr>
        <w:t xml:space="preserve"> kojom je u Septuaginti pre</w:t>
        <w:softHyphen/>
        <w:t xml:space="preserve">veden taj izraz iz hebrejske Biblije: Tora, »uputa«, »z.«, »učenje« Božje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10,11), ali s tim pojmom ne susrećemo se samo u zahtje</w:t>
        <w:softHyphen/>
        <w:t>vima i propisima, nego i u narativnim i mu- drosnim dijelovima Biblije, koji u cijelosti čine životna pravila koja je Bog dao tek Izraelu. Stoga je taj izraz neprimjeren, pa se židovstvo lako može pogrešno protumačiti u pogrdnom smislu kao »puka religija zakona«. Na razu</w:t>
        <w:softHyphen/>
        <w:t>mijevanje Tore u židovstvu poslije progonstva odlučno su utjecale neke predodžbe: Tora je pravilnik života za vlastiti narod (Izl 19,5) koji je Bog izabrao i odredio ga za svoj Savez (Pnz 27,9 i d ), i putokaz kojim će ga Bog voditi si</w:t>
        <w:softHyphen/>
        <w:t>gurno i paziti da ne skrene s puta životnog sa</w:t>
        <w:softHyphen/>
        <w:t xml:space="preserve">veza (5,29 i d.). Mojsijc prenosi Božje zapo- vijeđene zakone i propise </w:t>
      </w:r>
      <w:r>
        <w:rPr>
          <w:rFonts w:ascii="Times New Roman" w:eastAsia="Times New Roman" w:hAnsi="Times New Roman" w:cs="Times New Roman"/>
          <w:i/>
          <w:iCs/>
          <w:color w:val="000000"/>
          <w:spacing w:val="0"/>
          <w:w w:val="100"/>
          <w:position w:val="0"/>
          <w:shd w:val="clear" w:color="auto" w:fill="auto"/>
          <w:lang w:val="hr-HR" w:eastAsia="hr-HR" w:bidi="hr-HR"/>
        </w:rPr>
        <w:t>(hukim</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mišpaiim </w:t>
      </w:r>
      <w:r>
        <w:rPr>
          <w:rFonts w:ascii="Times New Roman" w:eastAsia="Times New Roman" w:hAnsi="Times New Roman" w:cs="Times New Roman"/>
          <w:color w:val="000000"/>
          <w:spacing w:val="0"/>
          <w:w w:val="100"/>
          <w:position w:val="0"/>
          <w:shd w:val="clear" w:color="auto" w:fill="auto"/>
          <w:lang w:val="hr-HR" w:eastAsia="hr-HR" w:bidi="hr-HR"/>
        </w:rPr>
        <w:t>5,28 i d.; 6,1) s proročkom punomoći kao »ri</w:t>
        <w:softHyphen/>
        <w:t>ječi« Božje (18,15 i d.). Premda stoga u Tori djeluje proročka dinamika, ona je ipak za</w:t>
        <w:softHyphen/>
        <w:t>vršen spis (31,9), potkrijepljen Mojsijevim au</w:t>
        <w:softHyphen/>
        <w:t xml:space="preserve">toritetom, koji se čitao narodu i koji je temelj </w:t>
      </w:r>
      <w:r>
        <w:rPr>
          <w:rFonts w:ascii="Times New Roman" w:eastAsia="Times New Roman" w:hAnsi="Times New Roman" w:cs="Times New Roman"/>
          <w:color w:val="000000"/>
          <w:spacing w:val="0"/>
          <w:w w:val="100"/>
          <w:position w:val="0"/>
          <w:shd w:val="clear" w:color="auto" w:fill="auto"/>
          <w:lang w:val="hr-HR" w:eastAsia="hr-HR" w:bidi="hr-HR"/>
        </w:rPr>
        <w:t>slušanja, poučavanja, učenja i djelovanja (31,11 i d.; 6,6-20 i d.). Svesrdno prigrljena (6,6), Tora se može izvršiti (30,11 i d.). Rabini su proširili taj pojam razlikovanjem (Avot Rabi Natana B29; b Šabat 31a) »pisane« (biblijske) i »usmene« (izrasle iz tradicije) Tore, koja je naposljetku dokumentirana u talmudskoj lite</w:t>
        <w:softHyphen/>
        <w:t xml:space="preserve">raturi. Oni primjenjuju plural Torot (Post 26,5) na oba ogranka božanske objave, koje zajedno pripisuju Mojsijcvu primitku na brdu Sinaju (b Joma 28b, usp. M Avot 1,1), a svoje tumačenje dvostruke Tore opravdavaju riječju »pisati« i izričajem »kroz usta« u Izl 34,27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60b; Šemot raba XLVII,34,27).</w:t>
      </w:r>
    </w:p>
    <w:p>
      <w:pPr>
        <w:pStyle w:val="Style20"/>
        <w:keepNext w:val="0"/>
        <w:keepLines w:val="0"/>
        <w:widowControl w:val="0"/>
        <w:numPr>
          <w:ilvl w:val="0"/>
          <w:numId w:val="643"/>
        </w:numPr>
        <w:shd w:val="clear" w:color="auto" w:fill="auto"/>
        <w:tabs>
          <w:tab w:pos="274"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»Bog je stvorio svijet radi Tore«: Višcznač- nost Tore izveli su mudraci izjednačavajući je s božanskom mudrošću (Mišić Izr 8,22 i d.). Time je Tora postala sveobuhvatno načelo, prvo djelo prije stvaranja svijeta (Šifre Pnz § 37), prema Rabi Akivi alat »kojim je stvoren svijet« (M Avot III, 15, usp. Šifre Pnz § 48). Kao što umjetnik gleda u svoje crteže, »tako je gledao i Bog u Toru i stvorio svijet; Tora kaže: S ‘početkom', a time se podrazumijeva samo Tora, Bog je stvorio svijet« (Berešit raba 1,1,1); prema mišljenju jednoga drugog učitelja »Bog je stvorio svijet radi Tore«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XII,2,4). Svijet postoji samo zato stoje Izrael prihvatio Toru, jer »bih inače svijet ponovno pretvorio u pustoš i prazninu« (Šemot raba XLVII,34,27). Neobičan je odnos Boga pre</w:t>
        <w:softHyphen/>
        <w:t>ma Tori; ona ipak oplemenjuje Izraelov od</w:t>
        <w:softHyphen/>
        <w:t xml:space="preserve">nos prema Bogu: On ljubi Izrael samo radi Tore: »Da niste prihvatili moju Toru, ne bih vas poznavao niti bih vas udostojao pogledom i izdvojio među drugim narodima«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bez Tore Izrael je nalik na sve druge narode (Šifra 112c). Izrael je »lijep« tek ako se drži Tore (Šir ha-širim 1,15).</w:t>
      </w:r>
    </w:p>
    <w:p>
      <w:pPr>
        <w:pStyle w:val="Style20"/>
        <w:keepNext w:val="0"/>
        <w:keepLines w:val="0"/>
        <w:widowControl w:val="0"/>
        <w:numPr>
          <w:ilvl w:val="0"/>
          <w:numId w:val="643"/>
        </w:numPr>
        <w:shd w:val="clear" w:color="auto" w:fill="auto"/>
        <w:tabs>
          <w:tab w:pos="279" w:val="left"/>
        </w:tabs>
        <w:bidi w:val="0"/>
        <w:spacing w:before="0" w:after="0" w:line="240" w:lineRule="auto"/>
        <w:ind w:left="0" w:right="0" w:firstLine="0"/>
        <w:jc w:val="both"/>
        <w:sectPr>
          <w:headerReference w:type="default" r:id="rId1629"/>
          <w:footerReference w:type="default" r:id="rId1630"/>
          <w:headerReference w:type="even" r:id="rId1631"/>
          <w:footerReference w:type="even" r:id="rId1632"/>
          <w:footnotePr>
            <w:pos w:val="pageBottom"/>
            <w:numFmt w:val="decimal"/>
            <w:numRestart w:val="continuous"/>
            <w15:footnoteColumns w:val="1"/>
          </w:footnotePr>
          <w:type w:val="continuous"/>
          <w:pgSz w:w="6816" w:h="11006"/>
          <w:pgMar w:top="947" w:left="195" w:right="199" w:bottom="465" w:header="0" w:footer="37" w:gutter="0"/>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»Velika je Tora jer daje život«: Poučne do</w:t>
        <w:softHyphen/>
        <w:t>kumente o pobožnosti povezanoj s Torom u doba drugoga Hrama daju psalmi o Tori (1; 19B; 119). Oni pokazuju različite namjere To</w:t>
        <w:softHyphen/>
        <w:t>re i odnos ljudi prema njoj: Pobožnik koji se smatra sretnim uživa u Tori Božjoj, pa čitajući je danonoćno izgovara njezine riječi (1,1 i d.). Ona je utjelovljenje pouzdanosti (19,8; 119, 142) i najveće blago (19,11; 119,72). Oni ne</w:t>
        <w:softHyphen/>
        <w:t>prestance naglašavaju načine djelovanja Tore koji obnavljaju život - čuda koja iz nje pro</w:t>
        <w:softHyphen/>
        <w:t>izlaze i daju život, spašavaju ga, vode i održa</w:t>
        <w:softHyphen/>
        <w:t>vaju (19,9 i d.; 119,6.9.17.18 i d.. 27 i d.). Ta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Tora nije kruto mjerilo apsolutne, hladne vri</w:t>
        <w:softHyphen/>
        <w:t>jednosti, već je to stvaralačka moć koja daje život i koja se osjeća u neposrednom obra</w:t>
        <w:softHyphen/>
        <w:t>ćanju Boga čovjeku (119,72; »Z. usta tvojih«). Stoga je on ne može zaboraviti (119, 61.109. 153), čuva je svim srcem (119,34.44.55) i pri</w:t>
        <w:softHyphen/>
        <w:t>znaje: »...kako ljubim Z. tvoj« (119, 97.113), »Z. tvoj moja je naslada« (119, 77.174). Takvu uznositu radost uvijek obilježavaju početak i sredina svakog susreta s Torom. »Veća je To</w:t>
        <w:softHyphen/>
        <w:t>ra od svećenstva i kraljevstva« (M Avot VI,6). Ona nikada nije shvaćena kao svrha same se</w:t>
        <w:softHyphen/>
        <w:t xml:space="preserve">be, ali uvijek kao životna pomoć: »Velika je Tora; jer daje život onomu tko je poštuje«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VI,7). Rabinsko učenje da je šabat pre</w:t>
        <w:softHyphen/>
        <w:t xml:space="preserve">dan ljudima, a ne obratno (Mchilta uz Izl 31,13,14), odnosi se na cijelu Toru: Čovjek mora s pomoću nje živjeti, a ne umrijeti (na osnovi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18,5 b Joma 85b; usp. 2 Mak 5,19). Izrael ju jc iskusio kao svoj život: kao razlog svojeg opstanka i kao pravi život na ovom svijetu i kao razlog vječnoga života u budućem svijetu </w:t>
      </w:r>
      <w:r>
        <w:rPr>
          <w:rFonts w:ascii="Times New Roman" w:eastAsia="Times New Roman" w:hAnsi="Times New Roman" w:cs="Times New Roman"/>
          <w:color w:val="000000"/>
          <w:spacing w:val="0"/>
          <w:w w:val="100"/>
          <w:position w:val="0"/>
          <w:shd w:val="clear" w:color="auto" w:fill="auto"/>
          <w:lang w:val="en-US" w:eastAsia="en-US" w:bidi="en-US"/>
        </w:rPr>
        <w:t xml:space="preserve">(Bemidbar </w:t>
      </w:r>
      <w:r>
        <w:rPr>
          <w:rFonts w:ascii="Times New Roman" w:eastAsia="Times New Roman" w:hAnsi="Times New Roman" w:cs="Times New Roman"/>
          <w:color w:val="000000"/>
          <w:spacing w:val="0"/>
          <w:w w:val="100"/>
          <w:position w:val="0"/>
          <w:shd w:val="clear" w:color="auto" w:fill="auto"/>
          <w:lang w:val="hr-HR" w:eastAsia="hr-HR" w:bidi="hr-HR"/>
        </w:rPr>
        <w:t>raba XVII,15,2.38). S To</w:t>
        <w:softHyphen/>
        <w:t>rom je došla sloboda u svijet (Berešit raba Lili,21,7); »jer nećeš naći nikoga doista slo</w:t>
        <w:softHyphen/>
        <w:t>bodnog kao onoga tko se bavi izučavanjem Tore« (M Avot VI,2).</w:t>
      </w:r>
    </w:p>
    <w:p>
      <w:pPr>
        <w:pStyle w:val="Style56"/>
        <w:keepNext w:val="0"/>
        <w:keepLines w:val="0"/>
        <w:widowControl w:val="0"/>
        <w:shd w:val="clear" w:color="auto" w:fill="auto"/>
        <w:tabs>
          <w:tab w:pos="2405" w:val="left"/>
        </w:tabs>
        <w:bidi w:val="0"/>
        <w:spacing w:before="0" w:after="18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G. </w:t>
      </w:r>
      <w:r>
        <w:rPr>
          <w:color w:val="000000"/>
          <w:spacing w:val="0"/>
          <w:w w:val="100"/>
          <w:position w:val="0"/>
          <w:shd w:val="clear" w:color="auto" w:fill="auto"/>
        </w:rPr>
        <w:t xml:space="preserve">Stemberger, </w:t>
      </w:r>
      <w:r>
        <w:rPr>
          <w:i/>
          <w:iCs/>
          <w:color w:val="000000"/>
          <w:spacing w:val="0"/>
          <w:w w:val="100"/>
          <w:position w:val="0"/>
          <w:shd w:val="clear" w:color="auto" w:fill="auto"/>
        </w:rPr>
        <w:t xml:space="preserve">Das </w:t>
      </w:r>
      <w:r>
        <w:rPr>
          <w:i/>
          <w:iCs/>
          <w:color w:val="000000"/>
          <w:spacing w:val="0"/>
          <w:w w:val="100"/>
          <w:position w:val="0"/>
          <w:shd w:val="clear" w:color="auto" w:fill="auto"/>
          <w:lang w:val="hr-HR" w:eastAsia="hr-HR" w:bidi="hr-HR"/>
        </w:rPr>
        <w:t>klassische Judentum,</w:t>
      </w:r>
      <w:r>
        <w:rPr>
          <w:color w:val="000000"/>
          <w:spacing w:val="0"/>
          <w:w w:val="100"/>
          <w:position w:val="0"/>
          <w:shd w:val="clear" w:color="auto" w:fill="auto"/>
          <w:lang w:val="hr-HR" w:eastAsia="hr-HR" w:bidi="hr-HR"/>
        </w:rPr>
        <w:t xml:space="preserve"> Miiochcn 1979, 126 i &lt;L; L </w:t>
      </w:r>
      <w:r>
        <w:rPr>
          <w:color w:val="000000"/>
          <w:spacing w:val="0"/>
          <w:w w:val="100"/>
          <w:position w:val="0"/>
          <w:shd w:val="clear" w:color="auto" w:fill="auto"/>
        </w:rPr>
        <w:t xml:space="preserve">Prijs, </w:t>
      </w:r>
      <w:r>
        <w:rPr>
          <w:i/>
          <w:iCs/>
          <w:color w:val="000000"/>
          <w:spacing w:val="0"/>
          <w:w w:val="100"/>
          <w:position w:val="0"/>
          <w:shd w:val="clear" w:color="auto" w:fill="auto"/>
        </w:rPr>
        <w:t>Die judische Religion,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Miiochcn 1977, 21 i d.</w:t>
        <w:tab/>
        <w:t>Đ. VErn-R</w:t>
      </w:r>
    </w:p>
    <w:p>
      <w:pPr>
        <w:pStyle w:val="Style63"/>
        <w:keepNext/>
        <w:keepLines/>
        <w:widowControl w:val="0"/>
        <w:numPr>
          <w:ilvl w:val="0"/>
          <w:numId w:val="641"/>
        </w:numPr>
        <w:shd w:val="clear" w:color="auto" w:fill="auto"/>
        <w:tabs>
          <w:tab w:pos="255" w:val="left"/>
        </w:tabs>
        <w:bidi w:val="0"/>
        <w:spacing w:before="0"/>
        <w:ind w:left="0" w:right="0" w:firstLine="0"/>
        <w:jc w:val="both"/>
      </w:pPr>
      <w:bookmarkStart w:id="407" w:name="bookmark40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0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i u kršćanskoj teologiji pojam zakona nc pripada pretežito juridičkom području čo</w:t>
        <w:softHyphen/>
        <w:t>vjekova društvenog poretka. Slično kao u SZ i u ranom židovstvu radi se prije svega o upu</w:t>
        <w:softHyphen/>
        <w:t>tama koje vode do ispunjenog života s drugim ljudima i osobito u zajedništvu s Bogom. U novozavjetnoj jezičnoj uporabi pod zakonom se pretežito misli na Mojsijev z. kao sažetak zapovijedi i propisa koji su sadržani u Pcto- knjižju (npr. Mt 5,17 i d.; 22,36.40; Lk 10,26; Iv 1,17; Dj 15,5; Rim 5,20; 10,5; Gal 3,10). No riječ zakon može se također zajedno s izra</w:t>
        <w:softHyphen/>
        <w:t>zom »proroci« (npr. Iv 1,45; Dj 27,14; Rim 3,21) ili sama (npr. Iv 10,34; Rim 3,19) od</w:t>
        <w:softHyphen/>
        <w:t>nositi na čitavo Sveto pismo.</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Isusov</w:t>
      </w:r>
      <w:r>
        <w:rPr>
          <w:rFonts w:ascii="Times New Roman" w:eastAsia="Times New Roman" w:hAnsi="Times New Roman" w:cs="Times New Roman"/>
          <w:color w:val="000000"/>
          <w:spacing w:val="0"/>
          <w:w w:val="100"/>
          <w:position w:val="0"/>
          <w:shd w:val="clear" w:color="auto" w:fill="auto"/>
          <w:lang w:val="hr-HR" w:eastAsia="hr-HR" w:bidi="hr-HR"/>
        </w:rPr>
        <w:t xml:space="preserve"> stav prema Mojsijevu zakonu i tuma</w:t>
        <w:softHyphen/>
        <w:t>čenje toga zakona u ranom židovstvu teško je odrediti. Razlozi su u tome što samo ranoži- dovsko tumačenje Zakona nije dostatno is</w:t>
        <w:softHyphen/>
        <w:t xml:space="preserve">traženo i što izvori Isusove predaje još uvijek </w:t>
      </w:r>
      <w:r>
        <w:rPr>
          <w:rFonts w:ascii="Times New Roman" w:eastAsia="Times New Roman" w:hAnsi="Times New Roman" w:cs="Times New Roman"/>
          <w:color w:val="000000"/>
          <w:spacing w:val="0"/>
          <w:w w:val="100"/>
          <w:position w:val="0"/>
          <w:shd w:val="clear" w:color="auto" w:fill="auto"/>
          <w:lang w:val="hr-HR" w:eastAsia="hr-HR" w:bidi="hr-HR"/>
        </w:rPr>
        <w:t>sadrže gledište svojih autora iz pouskrsnog vremena i iz sve većeg udaljavanja od židov</w:t>
        <w:softHyphen/>
        <w:t>stva. Budući da su za odnos prema Zakonu različite novozavjetne tradicije i autori izvukli različite posljedice iz Isusova pribijanja na križ i uskrsnuća, nema u NZ jedinstvenog shva</w:t>
        <w:softHyphen/>
        <w:t>ćanja Zakona niti jedinstvenog prikaza Isu</w:t>
        <w:softHyphen/>
        <w:t>sova odnosa prema Zakonu.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Unatoč metodičkim teškoćama smije se reći da jc s porukom o blizini Božjega kraljevstva, koja je u središtu Isusova naviještanja (Mk 1, 15), bilo povezano relativiziranje ranožidov- skog shvaćanja Zakona. Isus nipošto nije iz</w:t>
        <w:softHyphen/>
        <w:t>javljivao da je Mojsijev z. nevaljan i zastario. No on jc kritizirao i na vrlo autoritativan na</w:t>
        <w:softHyphen/>
        <w:t>čin oslobađao od svih natruha izvorno izraže</w:t>
        <w:softHyphen/>
        <w:t>nu Božju volju u Zakonu (Mt 5 i d: »A ja vam kažem«). U takve riječi koje kritiziraju Z. i kult ubrajaju se npr. Isusove izjave o rastavi braka, o odmazdi i ljubavi prema neprijatelju (Mt 5,31 i d. 38 i d. 43 i d. par. Lk), o obrednoj čistoći (Mk 7,15), o svetkovanju subote (Mk 2,27 i d.), o usredotočenosti Zakona na dvo</w:t>
        <w:softHyphen/>
        <w:t>struku zapovijed ljubavi prema Bogu i prema bližnjemu (Mk 12,28-34) i o ograničenosti štovanja jeruzalemskoga hrama (Mk 14,58). Neki od ovih iskaza usko su povezani s od</w:t>
        <w:softHyphen/>
        <w:t>ređenim načinima Isusova ponašanja, npr. s njegovom bespogovornom potporom grešnika (osobito na gozbi Mk 2,15-17; Lk 15) i bo</w:t>
        <w:softHyphen/>
        <w:t>lesnika (izlječenja u subotu: Mk 3,1-6; Lk</w:t>
      </w:r>
    </w:p>
    <w:p>
      <w:pPr>
        <w:pStyle w:val="Style20"/>
        <w:keepNext w:val="0"/>
        <w:keepLines w:val="0"/>
        <w:widowControl w:val="0"/>
        <w:numPr>
          <w:ilvl w:val="0"/>
          <w:numId w:val="645"/>
        </w:numPr>
        <w:shd w:val="clear" w:color="auto" w:fill="auto"/>
        <w:tabs>
          <w:tab w:pos="553"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17; ozdravljenja gubavih: Mk 1,40, Lk 17,12) kao i npr. s proročkim znakovitim pos</w:t>
        <w:softHyphen/>
        <w:t>tupkom izgona trgovaca iz Hrama (Mk</w:t>
      </w:r>
    </w:p>
    <w:p>
      <w:pPr>
        <w:pStyle w:val="Style20"/>
        <w:keepNext w:val="0"/>
        <w:keepLines w:val="0"/>
        <w:widowControl w:val="0"/>
        <w:numPr>
          <w:ilvl w:val="0"/>
          <w:numId w:val="647"/>
        </w:numPr>
        <w:shd w:val="clear" w:color="auto" w:fill="auto"/>
        <w:tabs>
          <w:tab w:pos="558"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17). Koliko god je teško precizno shva</w:t>
        <w:softHyphen/>
        <w:t>titi Isusov odnos prema Zakonu, ipak Isusovo smaknuće koje jc provelo židovsko rukovod</w:t>
        <w:softHyphen/>
        <w:t>stvo pokazuje da je njegova kritika Zakona i kulture prema shvaćanju određenih krugova ranog židovstva prelazila okvire dopuštenoga i podnošljivoga.</w:t>
      </w:r>
    </w:p>
    <w:p>
      <w:pPr>
        <w:pStyle w:val="Style20"/>
        <w:keepNext w:val="0"/>
        <w:keepLines w:val="0"/>
        <w:widowControl w:val="0"/>
        <w:shd w:val="clear" w:color="auto" w:fill="auto"/>
        <w:bidi w:val="0"/>
        <w:spacing w:before="0" w:after="0"/>
        <w:ind w:left="0" w:right="0" w:firstLine="0"/>
        <w:jc w:val="both"/>
        <w:sectPr>
          <w:headerReference w:type="default" r:id="rId1633"/>
          <w:footerReference w:type="default" r:id="rId1634"/>
          <w:headerReference w:type="even" r:id="rId1635"/>
          <w:footerReference w:type="even" r:id="rId1636"/>
          <w:footnotePr>
            <w:pos w:val="pageBottom"/>
            <w:numFmt w:val="decimal"/>
            <w:numRestart w:val="continuous"/>
            <w15:footnoteColumns w:val="1"/>
          </w:footnotePr>
          <w:pgSz w:w="6816" w:h="11006"/>
          <w:pgMar w:top="947" w:left="195" w:right="199" w:bottom="465" w:header="0" w:footer="3" w:gutter="0"/>
          <w:pgNumType w:start="534"/>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prakršćanskim zajednicama</w:t>
      </w:r>
      <w:r>
        <w:rPr>
          <w:rFonts w:ascii="Times New Roman" w:eastAsia="Times New Roman" w:hAnsi="Times New Roman" w:cs="Times New Roman"/>
          <w:color w:val="000000"/>
          <w:spacing w:val="0"/>
          <w:w w:val="100"/>
          <w:position w:val="0"/>
          <w:shd w:val="clear" w:color="auto" w:fill="auto"/>
          <w:lang w:val="hr-HR" w:eastAsia="hr-HR" w:bidi="hr-HR"/>
        </w:rPr>
        <w:t xml:space="preserve"> pitanje o dalj</w:t>
        <w:softHyphen/>
        <w:t>njoj vrijednosti Mojsijeva zakona i njegova tu</w:t>
        <w:softHyphen/>
        <w:t>mačenja dobilo je različite odgovore. Dio je</w:t>
        <w:softHyphen/>
        <w:t>ruzalemske prazajednice usmjeravao se i dalje na neproblematičan način prema Zakonu i su</w:t>
        <w:softHyphen/>
        <w:t>djelovao je na obredu u Hramu (Dj 2,46; 3,1; 21,20). Drugi dio, »helenisti«, izvukli su iz Isu</w:t>
        <w:softHyphen/>
        <w:t>sova ponašanja kao i iz njegova smaknuća i svoje vjere u Uskrsnuloga dalekosežne kritič</w:t>
        <w:softHyphen/>
        <w:t>ke posljedice u odnosu na Z. Njihov vođa Stje</w:t>
        <w:softHyphen/>
        <w:t xml:space="preserve">pan bio jc zbog svoje kritike Zakona i Hrama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kamenovan (Dj 6 i d.). Njegovi su pristaše bili proganjani i bježali su iz Jeruzalema. Progo</w:t>
        <w:softHyphen/>
        <w:t>niteljima je pripadao Savao/Pavao. Činjenica da je kao Farizej bio gorljivi poklonik Zakona i da je kao takav progonio helenističke judeo- kršćane (Gal 1.13 i d.; Fil 3,5 i d.) isto tako baca svjetlo na njegov kritički stav prema Za</w:t>
        <w:softHyphen/>
        <w:t>konu. Od njih je razumljivo potekao i prvi poticaj da se pogani prihvate u zajednicu vjer</w:t>
        <w:softHyphen/>
        <w:t>nika, ali da se od njih ne zahtijeva obrezivanje i pridržavanje Zakona (Dj 11,20; Dj 15; Gal 2,22-24).</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Nakon što je </w:t>
      </w:r>
      <w:r>
        <w:rPr>
          <w:rFonts w:ascii="Times New Roman" w:eastAsia="Times New Roman" w:hAnsi="Times New Roman" w:cs="Times New Roman"/>
          <w:i/>
          <w:iCs/>
          <w:color w:val="000000"/>
          <w:spacing w:val="0"/>
          <w:w w:val="100"/>
          <w:position w:val="0"/>
          <w:shd w:val="clear" w:color="auto" w:fill="auto"/>
          <w:lang w:val="hr-HR" w:eastAsia="hr-HR" w:bidi="hr-HR"/>
        </w:rPr>
        <w:t>Pavao</w:t>
      </w:r>
      <w:r>
        <w:rPr>
          <w:rFonts w:ascii="Times New Roman" w:eastAsia="Times New Roman" w:hAnsi="Times New Roman" w:cs="Times New Roman"/>
          <w:color w:val="000000"/>
          <w:spacing w:val="0"/>
          <w:w w:val="100"/>
          <w:position w:val="0"/>
          <w:shd w:val="clear" w:color="auto" w:fill="auto"/>
          <w:lang w:val="hr-HR" w:eastAsia="hr-HR" w:bidi="hr-HR"/>
        </w:rPr>
        <w:t xml:space="preserve"> sam postao kršćanin, ba</w:t>
        <w:softHyphen/>
        <w:t>vio se i dalje, kao inače nijedan drugi pro- krščanski navjestitelj, problematikom Zakona i neumorno ju je unosio u svoja pisana svje</w:t>
        <w:softHyphen/>
        <w:t>dočanstva. Iako se njegove izjave ne mogu iz</w:t>
        <w:softHyphen/>
        <w:t>ravno svesti na jednu formulu, ipak je moguće utvrditi sljedeća težišta njegova shvaćanja Za</w:t>
        <w:softHyphen/>
        <w:t xml:space="preserve">kona: vjerska spoznaja da je Bog Isusa, koji je bio po Zakonu osuđen, uskrsnuo od mrtvih i postavio Gospodarom, vodi do uvjerenja da, ne vršenjem Zakona nego po Božjoj milosti djelatnom vjerom u Isusa Krista, svi ljudi stižu u životno zajedništvo s Bogom (Gal 2,16; 3,10-14; Rim 1,17; 3,20.24 i d.). Time Z. ne prestaje biti božansko utemeljenje (Rim 7,22; 9,4), ali kao </w:t>
      </w:r>
      <w:r>
        <w:rPr>
          <w:rFonts w:ascii="Times New Roman" w:eastAsia="Times New Roman" w:hAnsi="Times New Roman" w:cs="Times New Roman"/>
          <w:i/>
          <w:iCs/>
          <w:color w:val="000000"/>
          <w:spacing w:val="0"/>
          <w:w w:val="100"/>
          <w:position w:val="0"/>
          <w:shd w:val="clear" w:color="auto" w:fill="auto"/>
          <w:lang w:val="hr-HR" w:eastAsia="hr-HR" w:bidi="hr-HR"/>
        </w:rPr>
        <w:t>put spasenja</w:t>
      </w:r>
      <w:r>
        <w:rPr>
          <w:rFonts w:ascii="Times New Roman" w:eastAsia="Times New Roman" w:hAnsi="Times New Roman" w:cs="Times New Roman"/>
          <w:color w:val="000000"/>
          <w:spacing w:val="0"/>
          <w:w w:val="100"/>
          <w:position w:val="0"/>
          <w:shd w:val="clear" w:color="auto" w:fill="auto"/>
          <w:lang w:val="hr-HR" w:eastAsia="hr-HR" w:bidi="hr-HR"/>
        </w:rPr>
        <w:t xml:space="preserve"> stigao je po Kristu do kraja (Rim 10,4). No etičke upute nadalje zadržavaju vrijednost i za ostvarivanje života iz vjere u Krista, osobito zapovijed ljubavi (Gal 5,14; 6,2; Rim 13,8). Njihova vrijednost, međutim, utvrđuje se samo uz postojano uvažavanje otkupljenog života koji je najprije Bog po Kristu omogućio, a Duh Sveti daro</w:t>
        <w:softHyphen/>
        <w:t>vao.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Jakovljeva poslanica</w:t>
      </w:r>
      <w:r>
        <w:rPr>
          <w:rFonts w:ascii="Times New Roman" w:eastAsia="Times New Roman" w:hAnsi="Times New Roman" w:cs="Times New Roman"/>
          <w:color w:val="000000"/>
          <w:spacing w:val="0"/>
          <w:w w:val="100"/>
          <w:position w:val="0"/>
          <w:shd w:val="clear" w:color="auto" w:fill="auto"/>
          <w:lang w:val="hr-HR" w:eastAsia="hr-HR" w:bidi="hr-HR"/>
        </w:rPr>
        <w:t xml:space="preserve"> sukobljava sc s već krivo shvaćenim pavlovskim razumijevanjem Zako</w:t>
        <w:softHyphen/>
        <w:t>na. Kako je u njoj jače stavljen naglasak na vršenje djela (2), ipak vrijedi pripaziti da sc i to dogodi pod pretpostavkom spasenja koje je Bog učinio (1,18).</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Još u prakršćansko doba nejedinstveno riješe</w:t>
        <w:softHyphen/>
        <w:t>na problematika Zakona sa svojim različitim naglascima ima učinak tijekom cjelokupne povijesti teologije i povijesti pobožnosti u krš</w:t>
        <w:softHyphen/>
        <w:t>ćanstvu. Naročito od vremena reformacije po</w:t>
        <w:softHyphen/>
        <w:t>rasla je svijest o tom problemu zbog teškoće da se teološki odgovorno odredi odnos »Za</w:t>
        <w:softHyphen/>
        <w:t>kona i evanđelja«. Dok je Rimokatolička crkva često bila pod sumnjom da se drži pravednosti po Zakonu i djelima, a, obrnuto, protestant</w:t>
        <w:softHyphen/>
      </w:r>
      <w:r>
        <w:rPr>
          <w:rFonts w:ascii="Times New Roman" w:eastAsia="Times New Roman" w:hAnsi="Times New Roman" w:cs="Times New Roman"/>
          <w:color w:val="000000"/>
          <w:spacing w:val="0"/>
          <w:w w:val="100"/>
          <w:position w:val="0"/>
          <w:shd w:val="clear" w:color="auto" w:fill="auto"/>
          <w:lang w:val="hr-HR" w:eastAsia="hr-HR" w:bidi="hr-HR"/>
        </w:rPr>
        <w:t>skim se crkvama u tom pogledu prigovarao nedostatak, dotle sadašnji ekumenski napori vode do uzajamno plodnog razrađivanja tog problema.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Sažetak:</w:t>
      </w:r>
      <w:r>
        <w:rPr>
          <w:rFonts w:ascii="Times New Roman" w:eastAsia="Times New Roman" w:hAnsi="Times New Roman" w:cs="Times New Roman"/>
          <w:color w:val="000000"/>
          <w:spacing w:val="0"/>
          <w:w w:val="100"/>
          <w:position w:val="0"/>
          <w:shd w:val="clear" w:color="auto" w:fill="auto"/>
          <w:lang w:val="hr-HR" w:eastAsia="hr-HR" w:bidi="hr-HR"/>
        </w:rPr>
        <w:t xml:space="preserve"> Z. u biblijsko-kršćanskoj tradiciji pre</w:t>
        <w:softHyphen/>
        <w:t>težito znači životni naputak koji vodi zajed</w:t>
        <w:softHyphen/>
        <w:t>ništvu s Bogom. Isus nije stavio Mojsijev z. iz</w:t>
        <w:softHyphen/>
        <w:t>van snage. No njegovo naviještanjc kraljevstva Božjeg temeljito je mijenjalo vrijednosni po</w:t>
        <w:softHyphen/>
        <w:t>ložaj tog zakona kao i položaj što ga je imalo ranožidovsko tumačenje Zakona. Iz Isusova ponašanja, smaknuća i uskrsnuća u kršćanstvu su izvučene različite posljedice za shvaćanje Zakona. Osobito značenje i doseg ima pavlov- sko gledište da presudan put spasenja nije Z. nego Isus Krist.</w:t>
      </w:r>
    </w:p>
    <w:p>
      <w:pPr>
        <w:pStyle w:val="Style56"/>
        <w:keepNext w:val="0"/>
        <w:keepLines w:val="0"/>
        <w:widowControl w:val="0"/>
        <w:shd w:val="clear" w:color="auto" w:fill="auto"/>
        <w:tabs>
          <w:tab w:pos="2453" w:val="left"/>
        </w:tabs>
        <w:bidi w:val="0"/>
        <w:spacing w:before="0" w:after="320" w:line="240" w:lineRule="auto"/>
        <w:ind w:left="0" w:right="0" w:firstLine="0"/>
        <w:jc w:val="both"/>
      </w:pPr>
      <w:r>
        <w:rPr>
          <w:color w:val="000000"/>
          <w:spacing w:val="0"/>
          <w:w w:val="100"/>
          <w:position w:val="0"/>
          <w:shd w:val="clear" w:color="auto" w:fill="auto"/>
          <w:lang w:val="hr-HR" w:eastAsia="hr-HR" w:bidi="hr-HR"/>
        </w:rPr>
        <w:t xml:space="preserve">Lit.: K. Bcrgcr.AV. Molinski. natuknica: Gcsctz, u: </w:t>
      </w:r>
      <w:r>
        <w:rPr>
          <w:i/>
          <w:iCs/>
          <w:color w:val="000000"/>
          <w:spacing w:val="0"/>
          <w:w w:val="100"/>
          <w:position w:val="0"/>
          <w:shd w:val="clear" w:color="auto" w:fill="auto"/>
        </w:rPr>
        <w:t xml:space="preserve">Sacra- </w:t>
      </w:r>
      <w:r>
        <w:rPr>
          <w:i/>
          <w:iCs/>
          <w:color w:val="000000"/>
          <w:spacing w:val="0"/>
          <w:w w:val="100"/>
          <w:position w:val="0"/>
          <w:shd w:val="clear" w:color="auto" w:fill="auto"/>
          <w:lang w:val="hr-HR" w:eastAsia="hr-HR" w:bidi="hr-HR"/>
        </w:rPr>
        <w:t>menium mundi,</w:t>
      </w:r>
      <w:r>
        <w:rPr>
          <w:color w:val="000000"/>
          <w:spacing w:val="0"/>
          <w:w w:val="100"/>
          <w:position w:val="0"/>
          <w:shd w:val="clear" w:color="auto" w:fill="auto"/>
          <w:lang w:val="hr-HR" w:eastAsia="hr-HR" w:bidi="hr-HR"/>
        </w:rPr>
        <w:t xml:space="preserve"> Bd. 2, Freibur&amp;'BaselAVicn 1968,349-369; K. </w:t>
      </w:r>
      <w:r>
        <w:rPr>
          <w:color w:val="000000"/>
          <w:spacing w:val="0"/>
          <w:w w:val="100"/>
          <w:position w:val="0"/>
          <w:shd w:val="clear" w:color="auto" w:fill="auto"/>
        </w:rPr>
        <w:t xml:space="preserve">Berger,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Gesetsesauslegung Jesu. Ihr historischer Hin- lergrund im Judentum und im Alten Testament,</w:t>
      </w:r>
      <w:r>
        <w:rPr>
          <w:color w:val="000000"/>
          <w:spacing w:val="0"/>
          <w:w w:val="100"/>
          <w:position w:val="0"/>
          <w:shd w:val="clear" w:color="auto" w:fill="auto"/>
          <w:lang w:val="hr-HR" w:eastAsia="hr-HR" w:bidi="hr-HR"/>
        </w:rPr>
        <w:t xml:space="preserve"> Neu- </w:t>
      </w:r>
      <w:r>
        <w:rPr>
          <w:color w:val="000000"/>
          <w:spacing w:val="0"/>
          <w:w w:val="100"/>
          <w:position w:val="0"/>
          <w:shd w:val="clear" w:color="auto" w:fill="auto"/>
        </w:rPr>
        <w:t xml:space="preserve">kirchcn-Vluyn </w:t>
      </w:r>
      <w:r>
        <w:rPr>
          <w:color w:val="000000"/>
          <w:spacing w:val="0"/>
          <w:w w:val="100"/>
          <w:position w:val="0"/>
          <w:shd w:val="clear" w:color="auto" w:fill="auto"/>
          <w:lang w:val="hr-HR" w:eastAsia="hr-HR" w:bidi="hr-HR"/>
        </w:rPr>
        <w:t xml:space="preserve">1972; G. KJein/H. Mcrkcl/R. Mau/F. W. Graf, natuknica: Gcsctz III-VI, u: </w:t>
      </w:r>
      <w:r>
        <w:rPr>
          <w:i/>
          <w:iCs/>
          <w:color w:val="000000"/>
          <w:spacing w:val="0"/>
          <w:w w:val="100"/>
          <w:position w:val="0"/>
          <w:shd w:val="clear" w:color="auto" w:fill="auto"/>
        </w:rPr>
        <w:t xml:space="preserve">Theologische Realenzyklopadie, </w:t>
      </w:r>
      <w:r>
        <w:rPr>
          <w:color w:val="000000"/>
          <w:spacing w:val="0"/>
          <w:w w:val="100"/>
          <w:position w:val="0"/>
          <w:shd w:val="clear" w:color="auto" w:fill="auto"/>
          <w:lang w:val="hr-HR" w:eastAsia="hr-HR" w:bidi="hr-HR"/>
        </w:rPr>
        <w:t xml:space="preserve">Bd. 13, </w:t>
      </w:r>
      <w:r>
        <w:rPr>
          <w:color w:val="000000"/>
          <w:spacing w:val="0"/>
          <w:w w:val="100"/>
          <w:position w:val="0"/>
          <w:shd w:val="clear" w:color="auto" w:fill="auto"/>
        </w:rPr>
        <w:t xml:space="preserve">Bcrlin/Ncw York </w:t>
      </w:r>
      <w:r>
        <w:rPr>
          <w:color w:val="000000"/>
          <w:spacing w:val="0"/>
          <w:w w:val="100"/>
          <w:position w:val="0"/>
          <w:shd w:val="clear" w:color="auto" w:fill="auto"/>
          <w:lang w:val="hr-HR" w:eastAsia="hr-HR" w:bidi="hr-HR"/>
        </w:rPr>
        <w:t xml:space="preserve">1984, 58-126 (Lit.); R. Smcnd/U. Luz, </w:t>
      </w:r>
      <w:r>
        <w:rPr>
          <w:i/>
          <w:iCs/>
          <w:color w:val="000000"/>
          <w:spacing w:val="0"/>
          <w:w w:val="100"/>
          <w:position w:val="0"/>
          <w:shd w:val="clear" w:color="auto" w:fill="auto"/>
          <w:lang w:val="hr-HR" w:eastAsia="hr-HR" w:bidi="hr-HR"/>
        </w:rPr>
        <w:t>Gesets (Ribiische Konfrontationen</w:t>
      </w:r>
      <w:r>
        <w:rPr>
          <w:color w:val="000000"/>
          <w:spacing w:val="0"/>
          <w:w w:val="100"/>
          <w:position w:val="0"/>
          <w:shd w:val="clear" w:color="auto" w:fill="auto"/>
          <w:lang w:val="hr-HR" w:eastAsia="hr-HR" w:bidi="hr-HR"/>
        </w:rPr>
        <w:t xml:space="preserve">, Bd. 1015), </w:t>
      </w:r>
      <w:r>
        <w:rPr>
          <w:color w:val="000000"/>
          <w:spacing w:val="0"/>
          <w:w w:val="100"/>
          <w:position w:val="0"/>
          <w:shd w:val="clear" w:color="auto" w:fill="auto"/>
        </w:rPr>
        <w:t xml:space="preserve">Stutt* </w:t>
      </w:r>
      <w:r>
        <w:rPr>
          <w:color w:val="000000"/>
          <w:spacing w:val="0"/>
          <w:w w:val="100"/>
          <w:position w:val="0"/>
          <w:shd w:val="clear" w:color="auto" w:fill="auto"/>
          <w:lang w:val="hr-HR" w:eastAsia="hr-HR" w:bidi="hr-HR"/>
        </w:rPr>
        <w:t>gart/Berlin/Kdln'Mainz 1981.</w:t>
        <w:tab/>
      </w:r>
      <w:r>
        <w:rPr>
          <w:smallCaps/>
          <w:color w:val="000000"/>
          <w:spacing w:val="0"/>
          <w:w w:val="100"/>
          <w:position w:val="0"/>
          <w:shd w:val="clear" w:color="auto" w:fill="auto"/>
        </w:rPr>
        <w:t>a.</w:t>
      </w:r>
      <w:r>
        <w:rPr>
          <w:color w:val="000000"/>
          <w:spacing w:val="0"/>
          <w:w w:val="100"/>
          <w:position w:val="0"/>
          <w:shd w:val="clear" w:color="auto" w:fill="auto"/>
        </w:rPr>
        <w:t xml:space="preserve"> WEISER</w:t>
      </w:r>
    </w:p>
    <w:p>
      <w:pPr>
        <w:pStyle w:val="Style63"/>
        <w:keepNext/>
        <w:keepLines/>
        <w:widowControl w:val="0"/>
        <w:numPr>
          <w:ilvl w:val="0"/>
          <w:numId w:val="641"/>
        </w:numPr>
        <w:shd w:val="clear" w:color="auto" w:fill="auto"/>
        <w:tabs>
          <w:tab w:pos="260" w:val="left"/>
        </w:tabs>
        <w:bidi w:val="0"/>
        <w:spacing w:before="0" w:after="160"/>
        <w:ind w:left="0" w:right="0" w:firstLine="0"/>
        <w:jc w:val="both"/>
      </w:pPr>
      <w:bookmarkStart w:id="408" w:name="bookmark408"/>
      <w:r>
        <w:rPr>
          <w:rFonts w:ascii="Times New Roman" w:eastAsia="Times New Roman" w:hAnsi="Times New Roman" w:cs="Times New Roman"/>
          <w:color w:val="000000"/>
          <w:spacing w:val="0"/>
          <w:w w:val="100"/>
          <w:position w:val="0"/>
          <w:shd w:val="clear" w:color="auto" w:fill="auto"/>
          <w:lang w:val="hr-HR" w:eastAsia="hr-HR" w:bidi="hr-HR"/>
        </w:rPr>
        <w:t>islamski</w:t>
      </w:r>
      <w:bookmarkEnd w:id="408"/>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Islam se često definira kao životni put koji se podudara s arhaično shvaćenim zakonom - </w:t>
      </w:r>
      <w:r>
        <w:rPr>
          <w:rFonts w:ascii="Times New Roman" w:eastAsia="Times New Roman" w:hAnsi="Times New Roman" w:cs="Times New Roman"/>
          <w:i/>
          <w:iCs/>
          <w:color w:val="000000"/>
          <w:spacing w:val="0"/>
          <w:w w:val="100"/>
          <w:position w:val="0"/>
          <w:shd w:val="clear" w:color="auto" w:fill="auto"/>
          <w:lang w:val="hr-HR" w:eastAsia="hr-HR" w:bidi="hr-HR"/>
        </w:rPr>
        <w:t>šerijatom (shari'a).</w:t>
      </w:r>
      <w:r>
        <w:rPr>
          <w:rFonts w:ascii="Times New Roman" w:eastAsia="Times New Roman" w:hAnsi="Times New Roman" w:cs="Times New Roman"/>
          <w:color w:val="000000"/>
          <w:spacing w:val="0"/>
          <w:w w:val="100"/>
          <w:position w:val="0"/>
          <w:shd w:val="clear" w:color="auto" w:fill="auto"/>
          <w:lang w:val="hr-HR" w:eastAsia="hr-HR" w:bidi="hr-HR"/>
        </w:rPr>
        <w:t xml:space="preserve"> Pretvoreno u praksu, takvo shvaćanje islama znači život koji je zapleten u veliku mrežu propisa, zapovijedi, zabrana, preporuka i načina ponašanja - to je jedna šablona života koja odgovara društvenim prili</w:t>
        <w:softHyphen/>
        <w:t>kama u Arabiji iz VII. stoljeća. Ali u cjelokup</w:t>
        <w:softHyphen/>
        <w:t>noj građevini islamskoga nauka Z. je u zbilji rangiran na zadnjemu mjestu. Na vrhu je vjera sa svojih šest stavaka, zatim slijedi nauk o dužnostima; na njega se nadovezuje nauk o moralu. U moralnome uzdizanju svojih prista</w:t>
        <w:softHyphen/>
        <w:t>ša Muhamed je vidio glavnu zadaću svoje mi</w:t>
        <w:softHyphen/>
        <w:t>sije. Z. je odgovarao gorkim nužnostima no</w:t>
        <w:softHyphen/>
        <w:t>voga zajedničkog državnog života koji je nas</w:t>
        <w:softHyphen/>
        <w:t>tao u pustinji. Rođenje islama uslijedilo je u Meki opominjanjem, uzdrmavanjem savjesti, jačanjem vjere i oblikovanjem svijesti o odgo</w:t>
        <w:softHyphen/>
        <w:t>vornosti. Uz to su došla i kazneno-pravna raz</w:t>
        <w:softHyphen/>
        <w:t>mišljanja dvanaest godina kasnije u Medini.</w:t>
      </w:r>
    </w:p>
    <w:p>
      <w:pPr>
        <w:pStyle w:val="Style20"/>
        <w:keepNext w:val="0"/>
        <w:keepLines w:val="0"/>
        <w:widowControl w:val="0"/>
        <w:shd w:val="clear" w:color="auto" w:fill="auto"/>
        <w:bidi w:val="0"/>
        <w:spacing w:before="0" w:after="100"/>
        <w:ind w:left="0" w:right="0" w:firstLine="0"/>
        <w:jc w:val="both"/>
        <w:sectPr>
          <w:headerReference w:type="default" r:id="rId1637"/>
          <w:footerReference w:type="default" r:id="rId1638"/>
          <w:headerReference w:type="even" r:id="rId1639"/>
          <w:footerReference w:type="even" r:id="rId1640"/>
          <w:footnotePr>
            <w:pos w:val="pageBottom"/>
            <w:numFmt w:val="decimal"/>
            <w:numRestart w:val="continuous"/>
            <w15:footnoteColumns w:val="1"/>
          </w:footnotePr>
          <w:pgSz w:w="6816" w:h="11006"/>
          <w:pgMar w:top="947" w:left="195" w:right="199" w:bottom="465" w:header="0" w:footer="3" w:gutter="0"/>
          <w:pgNumType w:start="539"/>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Mnoge od starih odredbi šerijata smatraju se prevladanim. Čak je i u kratkome razdoblju života vjerovjesnika sam Kuran ukinuo neke zakonske odredbe iz Kurana. Već jc kalif</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Omer </w:t>
      </w:r>
      <w:r>
        <w:rPr>
          <w:rFonts w:ascii="Times New Roman" w:eastAsia="Times New Roman" w:hAnsi="Times New Roman" w:cs="Times New Roman"/>
          <w:color w:val="000000"/>
          <w:spacing w:val="0"/>
          <w:w w:val="100"/>
          <w:position w:val="0"/>
          <w:shd w:val="clear" w:color="auto" w:fill="auto"/>
          <w:lang w:val="hr-HR" w:eastAsia="hr-HR" w:bidi="hr-HR"/>
        </w:rPr>
        <w:t>njegovao fleksibilnije pravosuđe, l ako je on u određenoj historijskoj situaciji odbaci</w:t>
        <w:softHyphen/>
        <w:t>vao kaznu odsijecanja ruke koja je bila pred</w:t>
        <w:softHyphen/>
        <w:t>viđena za krađu. Islamska filozofija prava stoji na stajalištu da zlo počinjeno u svijetu u pu</w:t>
        <w:softHyphen/>
        <w:t>nom opsegu treba pogoditi počinitelja zato što se bezuvjetno moraju štititi interesi druš</w:t>
        <w:softHyphen/>
        <w:t>tva. Otuda prividna strogoća kazni koje su se ponekad doživljavale i kao barbarske. No kaz</w:t>
        <w:softHyphen/>
        <w:t>na je u pravilu služila kao primjer i nije izosta</w:t>
        <w:softHyphen/>
        <w:t>jao njezin opominjući učinak. Bio je to slučaj s odsijecanjem ruke prilikom teške krade. Sli</w:t>
        <w:softHyphen/>
        <w:t>čan zastrašujući učinak imaju smaknuće ože- njenih osoba zbog prijestupa protiv javnoga morala ili bičevanje zbog izvjesnih prijestupa protiv javnoga reda.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kazneno-pravnih odredbi u prvom raz</w:t>
        <w:softHyphen/>
        <w:t>doblju islama u potpunosti se radi o zakonima za iznimnu situaciju. Bilo je potrebno da se novoutcmcljena zajednica prevede preko svih litica samougrožavanja i da joj se puritanskom strogošću osigura mjesto u budućnosti. Uvjeti teškoga života u pustinji nisu također dozvo</w:t>
        <w:softHyphen/>
        <w:t>ljavali nikakve dugotrajne istražne procedure. U obzir nije moglo doći ni dugotrajno izdrža</w:t>
        <w:softHyphen/>
        <w:t>vanje kazne zato što je naprosto nedostajalo sredstava za podizanje kaznenih ustanova. Za nomada, koji ljubi slobodu i koji je uvijek u pokretu, dugogodišnji zatvor predstavljao je nepodnošljivu misao, zapravo pokapanje svih njegovih životnih nada. U tim je okolnostima manje zlo bilo bičevanje, čak i gubitak nekog uda.</w:t>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Kuranski z. ne temelji se na nepopustljivosti. Suprotno: On apelira na oštećene da budu ve</w:t>
        <w:softHyphen/>
        <w:t>likodušni i da praštaju. Poput Biblije i Kuran sadrži pravila i preporuke koje se odnose na historijsku situaciju. Ona stoga zadržavaju svoje mjesto samo kao dokumenti vremena. I u Kuranu se mnogo toga može ograničavati ili iznova objašnjavati.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Strogi kazneni propisi kuranskoga zakona smiju se primjenjivati samo u državi u kojoj je potpuno ispunjena socijalna pravednost. Ne</w:t>
        <w:softHyphen/>
        <w:t>pravedni gospodarski sustav nema nikakvo moralno pravo da strogo postupa sa siromaš</w:t>
        <w:softHyphen/>
        <w:t xml:space="preserve">nim prijestupnicima. Islam se ne ograničuje na Z.; on zahtijeva </w:t>
      </w:r>
      <w:r>
        <w:rPr>
          <w:rFonts w:ascii="Times New Roman" w:eastAsia="Times New Roman" w:hAnsi="Times New Roman" w:cs="Times New Roman"/>
          <w:color w:val="000000"/>
          <w:spacing w:val="0"/>
          <w:w w:val="100"/>
          <w:position w:val="0"/>
          <w:shd w:val="clear" w:color="auto" w:fill="auto"/>
          <w:lang w:val="en-US" w:eastAsia="en-US" w:bidi="en-US"/>
        </w:rPr>
        <w:t xml:space="preserve">tzv. </w:t>
      </w:r>
      <w:r>
        <w:rPr>
          <w:rFonts w:ascii="Times New Roman" w:eastAsia="Times New Roman" w:hAnsi="Times New Roman" w:cs="Times New Roman"/>
          <w:color w:val="000000"/>
          <w:spacing w:val="0"/>
          <w:w w:val="100"/>
          <w:position w:val="0"/>
          <w:shd w:val="clear" w:color="auto" w:fill="auto"/>
          <w:lang w:val="hr-HR" w:eastAsia="hr-HR" w:bidi="hr-HR"/>
        </w:rPr>
        <w:t xml:space="preserve">dijanu </w:t>
      </w:r>
      <w:r>
        <w:rPr>
          <w:rFonts w:ascii="Times New Roman" w:eastAsia="Times New Roman" w:hAnsi="Times New Roman" w:cs="Times New Roman"/>
          <w:color w:val="000000"/>
          <w:spacing w:val="0"/>
          <w:w w:val="100"/>
          <w:position w:val="0"/>
          <w:shd w:val="clear" w:color="auto" w:fill="auto"/>
          <w:lang w:val="en-US" w:eastAsia="en-US" w:bidi="en-US"/>
        </w:rPr>
        <w:t xml:space="preserve">(diyana), </w:t>
      </w:r>
      <w:r>
        <w:rPr>
          <w:rFonts w:ascii="Times New Roman" w:eastAsia="Times New Roman" w:hAnsi="Times New Roman" w:cs="Times New Roman"/>
          <w:color w:val="000000"/>
          <w:spacing w:val="0"/>
          <w:w w:val="100"/>
          <w:position w:val="0"/>
          <w:shd w:val="clear" w:color="auto" w:fill="auto"/>
          <w:lang w:val="hr-HR" w:eastAsia="hr-HR" w:bidi="hr-HR"/>
        </w:rPr>
        <w:t xml:space="preserve">tekvu </w:t>
      </w:r>
      <w:r>
        <w:rPr>
          <w:rFonts w:ascii="Times New Roman" w:eastAsia="Times New Roman" w:hAnsi="Times New Roman" w:cs="Times New Roman"/>
          <w:color w:val="000000"/>
          <w:spacing w:val="0"/>
          <w:w w:val="100"/>
          <w:position w:val="0"/>
          <w:shd w:val="clear" w:color="auto" w:fill="auto"/>
          <w:lang w:val="en-US" w:eastAsia="en-US" w:bidi="en-US"/>
        </w:rPr>
        <w:t xml:space="preserve">(takwa) </w:t>
      </w:r>
      <w:r>
        <w:rPr>
          <w:rFonts w:ascii="Times New Roman" w:eastAsia="Times New Roman" w:hAnsi="Times New Roman" w:cs="Times New Roman"/>
          <w:color w:val="000000"/>
          <w:spacing w:val="0"/>
          <w:w w:val="100"/>
          <w:position w:val="0"/>
          <w:shd w:val="clear" w:color="auto" w:fill="auto"/>
          <w:lang w:val="hr-HR" w:eastAsia="hr-HR" w:bidi="hr-HR"/>
        </w:rPr>
        <w:t xml:space="preserve">i tenezuh (tanazzuh), tj. pobožnost, poniznost i dobrotu srca. Čitave muslimanske zajednice i generacije žive bez medinskoga </w:t>
      </w:r>
      <w:r>
        <w:rPr>
          <w:rFonts w:ascii="Times New Roman" w:eastAsia="Times New Roman" w:hAnsi="Times New Roman" w:cs="Times New Roman"/>
          <w:color w:val="000000"/>
          <w:spacing w:val="0"/>
          <w:w w:val="100"/>
          <w:position w:val="0"/>
          <w:shd w:val="clear" w:color="auto" w:fill="auto"/>
          <w:lang w:val="hr-HR" w:eastAsia="hr-HR" w:bidi="hr-HR"/>
        </w:rPr>
        <w:t>gradskog prava, što čini prvobitni šerijat. Oni samo na temelju rekla-kazala poznaju stroge biblijske i semitske kaznene zakone. Unatoč tomu, nitko ne sumnja u njihovo musliman</w:t>
        <w:softHyphen/>
        <w:t>stvo.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Mutezilitski teolog i polihistor koji potječe iz Basre, al-Đahiz (al-Dj5hiz, u. 869), izričito je zastupao tezu da medinski z. nije mjerodavan za sadržaj vjere, 'lako on o tome piše: »Medi- njani, koji su išibali nekoga zbog blagog mirisa po vinu, zaslužuju jednaku kaznu zbog noše</w:t>
        <w:softHyphen/>
        <w:t>nja mješine za koju su tvrdili da je ona možebitno spremnik za vino. Tako bi netko tko ne odobrava njihovu metodu mogao pi</w:t>
        <w:softHyphen/>
        <w:t>tati: Zašto oni onda ne bičuju sve one koji inače sa sobom ne nose ništa osim istrumenta brakolomstva?« - »K tomu zapravo ni Medi- njani nisu odbacili svoju ljudsku narav«, nas</w:t>
        <w:softHyphen/>
        <w:t>tavlja on dalje svoje kritičke primjedbe, »kako bi prihvatili anđeoske vrline. Ako je istinito i pravedno sve što oni kažu, tada bi trebalo izbičevati sve koji posjećuju Ma’badovu, al- Gharidovu i kuće drugih glazbenika i pjevača. Zapravo tamo se navodno pije nabid (nabid, mošt datulje) koji su Medinjani smatrali vi</w:t>
        <w:softHyphen/>
        <w:t>nom. Tamo su na dnevnome redu i dozvoljene i dopustive pjesme. Pjevalo se uz pjesmu gla</w:t>
        <w:softHyphen/>
        <w:t xml:space="preserve">sova, uz svirku gitare, flaute, cimbala i drugih glazbenih instrumenata koji nisu ni zabranjeni niti nedozvoljeni« </w:t>
      </w:r>
      <w:r>
        <w:rPr>
          <w:rFonts w:ascii="Times New Roman" w:eastAsia="Times New Roman" w:hAnsi="Times New Roman" w:cs="Times New Roman"/>
          <w:color w:val="000000"/>
          <w:spacing w:val="0"/>
          <w:w w:val="100"/>
          <w:position w:val="0"/>
          <w:shd w:val="clear" w:color="auto" w:fill="auto"/>
          <w:lang w:val="en-US" w:eastAsia="en-US" w:bidi="en-US"/>
        </w:rPr>
        <w:t xml:space="preserve">(Charles </w:t>
      </w:r>
      <w:r>
        <w:rPr>
          <w:rFonts w:ascii="Times New Roman" w:eastAsia="Times New Roman" w:hAnsi="Times New Roman" w:cs="Times New Roman"/>
          <w:color w:val="000000"/>
          <w:spacing w:val="0"/>
          <w:w w:val="100"/>
          <w:position w:val="0"/>
          <w:shd w:val="clear" w:color="auto" w:fill="auto"/>
          <w:lang w:val="hr-HR" w:eastAsia="hr-HR" w:bidi="hr-HR"/>
        </w:rPr>
        <w:t xml:space="preserve">Pellat, </w:t>
      </w:r>
      <w:r>
        <w:rPr>
          <w:rFonts w:ascii="Times New Roman" w:eastAsia="Times New Roman" w:hAnsi="Times New Roman" w:cs="Times New Roman"/>
          <w:i/>
          <w:iCs/>
          <w:color w:val="000000"/>
          <w:spacing w:val="0"/>
          <w:w w:val="100"/>
          <w:position w:val="0"/>
          <w:shd w:val="clear" w:color="auto" w:fill="auto"/>
          <w:lang w:val="hr-HR" w:eastAsia="hr-HR" w:bidi="hr-HR"/>
        </w:rPr>
        <w:t xml:space="preserve">Arahische </w:t>
      </w:r>
      <w:r>
        <w:rPr>
          <w:rFonts w:ascii="Times New Roman" w:eastAsia="Times New Roman" w:hAnsi="Times New Roman" w:cs="Times New Roman"/>
          <w:i/>
          <w:iCs/>
          <w:color w:val="000000"/>
          <w:spacing w:val="0"/>
          <w:w w:val="100"/>
          <w:position w:val="0"/>
          <w:shd w:val="clear" w:color="auto" w:fill="auto"/>
          <w:lang w:val="en-US" w:eastAsia="en-US" w:bidi="en-US"/>
        </w:rPr>
        <w:t>Geisteswelt. Ausgewahlte und ubersetzte Texte von al-Djdhiz,</w:t>
      </w:r>
      <w:r>
        <w:rPr>
          <w:rFonts w:ascii="Times New Roman" w:eastAsia="Times New Roman" w:hAnsi="Times New Roman" w:cs="Times New Roman"/>
          <w:color w:val="000000"/>
          <w:spacing w:val="0"/>
          <w:w w:val="100"/>
          <w:position w:val="0"/>
          <w:shd w:val="clear" w:color="auto" w:fill="auto"/>
          <w:lang w:val="en-US" w:eastAsia="en-US" w:bidi="en-US"/>
        </w:rPr>
        <w:t xml:space="preserve"> Zurich 1967, 89).</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Medinska </w:t>
      </w:r>
      <w:r>
        <w:rPr>
          <w:rFonts w:ascii="Times New Roman" w:eastAsia="Times New Roman" w:hAnsi="Times New Roman" w:cs="Times New Roman"/>
          <w:color w:val="000000"/>
          <w:spacing w:val="0"/>
          <w:w w:val="100"/>
          <w:position w:val="0"/>
          <w:shd w:val="clear" w:color="auto" w:fill="auto"/>
          <w:lang w:val="hr-HR" w:eastAsia="hr-HR" w:bidi="hr-HR"/>
        </w:rPr>
        <w:t>država sa svojim arhaično shvaće</w:t>
        <w:softHyphen/>
        <w:t>nim zakonom bila je uostalom, po mišljenju mnogih muslimana, možda samo uvjetovana vremenom. Ona se uostalom nije nužno mo</w:t>
        <w:softHyphen/>
        <w:t>rala smatrati idealom koji se svugdje i uvijek morao oponašati.</w:t>
      </w:r>
    </w:p>
    <w:p>
      <w:pPr>
        <w:pStyle w:val="Style20"/>
        <w:keepNext w:val="0"/>
        <w:keepLines w:val="0"/>
        <w:widowControl w:val="0"/>
        <w:shd w:val="clear" w:color="auto" w:fill="auto"/>
        <w:bidi w:val="0"/>
        <w:spacing w:before="0" w:after="0" w:line="240" w:lineRule="auto"/>
        <w:ind w:left="0" w:right="0" w:firstLine="0"/>
        <w:jc w:val="both"/>
        <w:sectPr>
          <w:headerReference w:type="default" r:id="rId1641"/>
          <w:footerReference w:type="default" r:id="rId1642"/>
          <w:headerReference w:type="even" r:id="rId1643"/>
          <w:footerReference w:type="even" r:id="rId1644"/>
          <w:footnotePr>
            <w:pos w:val="pageBottom"/>
            <w:numFmt w:val="decimal"/>
            <w:numRestart w:val="continuous"/>
            <w15:footnoteColumns w:val="1"/>
          </w:footnotePr>
          <w:pgSz w:w="6816" w:h="11006"/>
          <w:pgMar w:top="947" w:left="195" w:right="199" w:bottom="465" w:header="0" w:footer="3" w:gutter="0"/>
          <w:pgNumType w:start="536"/>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medinskom prvom razdoblju islama vrsta kazni »bila je također velikim dijelom ista ona koju je već postavio Mojsijev z. Tako je kazna kamenovanja za brakolomstvo posuđena iz hebrejskoga zakona. Samo je i u tome arapska praksa bila mnogo blaža: Jer kamenovanje se trebalo izvršiti samo prema vlastitom, dobro</w:t>
        <w:softHyphen/>
        <w:t>voljnom, tri puta ponovljenom priznanju i pri</w:t>
        <w:softHyphen/>
        <w:t xml:space="preserve">tom se krivcu na put nisu postavljale nikakve prepreke ako se htio spasiti bijegom« (A. von </w:t>
      </w:r>
      <w:r>
        <w:rPr>
          <w:rFonts w:ascii="Times New Roman" w:eastAsia="Times New Roman" w:hAnsi="Times New Roman" w:cs="Times New Roman"/>
          <w:color w:val="000000"/>
          <w:spacing w:val="0"/>
          <w:w w:val="100"/>
          <w:position w:val="0"/>
          <w:shd w:val="clear" w:color="auto" w:fill="auto"/>
          <w:lang w:val="en-US" w:eastAsia="en-US" w:bidi="en-US"/>
        </w:rPr>
        <w:t xml:space="preserve">Kremer,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Culturgeschichte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des Orients </w:t>
      </w:r>
      <w:r>
        <w:rPr>
          <w:rFonts w:ascii="Times New Roman" w:eastAsia="Times New Roman" w:hAnsi="Times New Roman" w:cs="Times New Roman"/>
          <w:i/>
          <w:iCs/>
          <w:color w:val="000000"/>
          <w:spacing w:val="0"/>
          <w:w w:val="100"/>
          <w:position w:val="0"/>
          <w:shd w:val="clear" w:color="auto" w:fill="auto"/>
          <w:lang w:val="hr-HR" w:eastAsia="hr-HR" w:bidi="hr-HR"/>
        </w:rPr>
        <w:t xml:space="preserve">unterden </w:t>
      </w:r>
      <w:r>
        <w:rPr>
          <w:rFonts w:ascii="Times New Roman" w:eastAsia="Times New Roman" w:hAnsi="Times New Roman" w:cs="Times New Roman"/>
          <w:i/>
          <w:iCs/>
          <w:color w:val="000000"/>
          <w:spacing w:val="0"/>
          <w:w w:val="100"/>
          <w:position w:val="0"/>
          <w:shd w:val="clear" w:color="auto" w:fill="auto"/>
          <w:lang w:val="en-US" w:eastAsia="en-US" w:bidi="en-US"/>
        </w:rPr>
        <w:t>Chalifen,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II, 543). Kaznene odredbe islamsko</w:t>
        <w:softHyphen/>
        <w:t xml:space="preserve">ga zakona ne spadaju u područje pobožnosti. One imaju sasvim drugačiju mjesnu vrijednost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 moralnih uputa. Izvršavanje ovih zadnjih neizostavno je ako se želi postati savršenim vjernikom. Izvršenje kazne, nasuprot tomu, predstavlja jedino odgovor na gorku nevolju čovjekove situacije. U svojoj </w:t>
      </w:r>
      <w:r>
        <w:rPr>
          <w:rFonts w:ascii="Times New Roman" w:eastAsia="Times New Roman" w:hAnsi="Times New Roman" w:cs="Times New Roman"/>
          <w:i/>
          <w:iCs/>
          <w:color w:val="000000"/>
          <w:spacing w:val="0"/>
          <w:w w:val="100"/>
          <w:position w:val="0"/>
          <w:shd w:val="clear" w:color="auto" w:fill="auto"/>
          <w:lang w:val="hr-HR" w:eastAsia="hr-HR" w:bidi="hr-HR"/>
        </w:rPr>
        <w:t>Ethik der Religio- nen,</w:t>
      </w:r>
      <w:r>
        <w:rPr>
          <w:rFonts w:ascii="Times New Roman" w:eastAsia="Times New Roman" w:hAnsi="Times New Roman" w:cs="Times New Roman"/>
          <w:color w:val="000000"/>
          <w:spacing w:val="0"/>
          <w:w w:val="100"/>
          <w:position w:val="0"/>
          <w:shd w:val="clear" w:color="auto" w:fill="auto"/>
          <w:lang w:val="hr-HR" w:eastAsia="hr-HR" w:bidi="hr-HR"/>
        </w:rPr>
        <w:t xml:space="preserve"> jednom opsežnom priručniku, </w:t>
      </w:r>
      <w:r>
        <w:rPr>
          <w:rFonts w:ascii="Times New Roman" w:eastAsia="Times New Roman" w:hAnsi="Times New Roman" w:cs="Times New Roman"/>
          <w:color w:val="000000"/>
          <w:spacing w:val="0"/>
          <w:w w:val="100"/>
          <w:position w:val="0"/>
          <w:shd w:val="clear" w:color="auto" w:fill="auto"/>
          <w:lang w:val="en-US" w:eastAsia="en-US" w:bidi="en-US"/>
        </w:rPr>
        <w:t xml:space="preserve">Carl Heinz Ratschow </w:t>
      </w:r>
      <w:r>
        <w:rPr>
          <w:rFonts w:ascii="Times New Roman" w:eastAsia="Times New Roman" w:hAnsi="Times New Roman" w:cs="Times New Roman"/>
          <w:color w:val="000000"/>
          <w:spacing w:val="0"/>
          <w:w w:val="100"/>
          <w:position w:val="0"/>
          <w:shd w:val="clear" w:color="auto" w:fill="auto"/>
          <w:lang w:val="hr-HR" w:eastAsia="hr-HR" w:bidi="hr-HR"/>
        </w:rPr>
        <w:t>sasvim ispravno primjećuje da Z. u orijentalnim kulturama igra jedino slugansku i podređenu ulogu. On se najčešće ignorira. »Gdje se ne ignorira, on je često iritirajući i strani čimbenik u procesu prilagodavanja po</w:t>
        <w:softHyphen/>
        <w:t xml:space="preserve">trebama novoga društva i s njime povezanim predodžbama o svijetu. On se ne cijeni visoko kao </w:t>
      </w:r>
      <w:r>
        <w:rPr>
          <w:rFonts w:ascii="Times New Roman" w:eastAsia="Times New Roman" w:hAnsi="Times New Roman" w:cs="Times New Roman"/>
          <w:i/>
          <w:iCs/>
          <w:color w:val="000000"/>
          <w:spacing w:val="0"/>
          <w:w w:val="100"/>
          <w:position w:val="0"/>
          <w:shd w:val="clear" w:color="auto" w:fill="auto"/>
          <w:lang w:val="hr-HR" w:eastAsia="hr-HR" w:bidi="hr-HR"/>
        </w:rPr>
        <w:t>ius</w:t>
      </w:r>
      <w:r>
        <w:rPr>
          <w:rFonts w:ascii="Times New Roman" w:eastAsia="Times New Roman" w:hAnsi="Times New Roman" w:cs="Times New Roman"/>
          <w:color w:val="000000"/>
          <w:spacing w:val="0"/>
          <w:w w:val="100"/>
          <w:position w:val="0"/>
          <w:shd w:val="clear" w:color="auto" w:fill="auto"/>
          <w:lang w:val="hr-HR" w:eastAsia="hr-HR" w:bidi="hr-HR"/>
        </w:rPr>
        <w:t xml:space="preserve"> u svim svojim značenjima kod Rim</w:t>
        <w:softHyphen/>
        <w:t xml:space="preserve">ljana, </w:t>
      </w:r>
      <w:r>
        <w:rPr>
          <w:rFonts w:ascii="Times New Roman" w:eastAsia="Times New Roman" w:hAnsi="Times New Roman" w:cs="Times New Roman"/>
          <w:i/>
          <w:iCs/>
          <w:color w:val="000000"/>
          <w:spacing w:val="0"/>
          <w:w w:val="100"/>
          <w:position w:val="0"/>
          <w:shd w:val="clear" w:color="auto" w:fill="auto"/>
          <w:lang w:val="en-US" w:eastAsia="en-US" w:bidi="en-US"/>
        </w:rPr>
        <w:t>droit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kod Francuza i </w:t>
      </w:r>
      <w:r>
        <w:rPr>
          <w:rFonts w:ascii="Times New Roman" w:eastAsia="Times New Roman" w:hAnsi="Times New Roman" w:cs="Times New Roman"/>
          <w:i/>
          <w:iCs/>
          <w:color w:val="000000"/>
          <w:spacing w:val="0"/>
          <w:w w:val="100"/>
          <w:position w:val="0"/>
          <w:shd w:val="clear" w:color="auto" w:fill="auto"/>
          <w:lang w:val="en-US" w:eastAsia="en-US" w:bidi="en-US"/>
        </w:rPr>
        <w:t>law</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 anglosakson</w:t>
        <w:softHyphen/>
        <w:t>skim zemljama. Z. je instrument države. Drža</w:t>
        <w:softHyphen/>
        <w:t>va ne može naravno zapovijedali djelo i pro</w:t>
        <w:softHyphen/>
        <w:t xml:space="preserve">pust, kao što je zapovijedao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Hamurabi </w:t>
      </w:r>
      <w:r>
        <w:rPr>
          <w:rFonts w:ascii="Times New Roman" w:eastAsia="Times New Roman" w:hAnsi="Times New Roman" w:cs="Times New Roman"/>
          <w:i/>
          <w:iCs/>
          <w:color w:val="000000"/>
          <w:spacing w:val="0"/>
          <w:w w:val="100"/>
          <w:position w:val="0"/>
          <w:shd w:val="clear" w:color="auto" w:fill="auto"/>
          <w:lang w:val="en-US" w:eastAsia="en-US" w:bidi="en-US"/>
        </w:rPr>
        <w:t>{Ham</w:t>
        <w:softHyphen/>
        <w:t>murabi),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kao što je pridržavanje Tore zapo</w:t>
        <w:softHyphen/>
        <w:t xml:space="preserve">vijedao </w:t>
      </w:r>
      <w:r>
        <w:rPr>
          <w:rFonts w:ascii="Times New Roman" w:eastAsia="Times New Roman" w:hAnsi="Times New Roman" w:cs="Times New Roman"/>
          <w:i/>
          <w:iCs/>
          <w:color w:val="000000"/>
          <w:spacing w:val="0"/>
          <w:w w:val="100"/>
          <w:position w:val="0"/>
          <w:shd w:val="clear" w:color="auto" w:fill="auto"/>
          <w:lang w:val="hr-HR" w:eastAsia="hr-HR" w:bidi="hr-HR"/>
        </w:rPr>
        <w:t>Nehemija</w:t>
      </w:r>
      <w:r>
        <w:rPr>
          <w:rFonts w:ascii="Times New Roman" w:eastAsia="Times New Roman" w:hAnsi="Times New Roman" w:cs="Times New Roman"/>
          <w:color w:val="000000"/>
          <w:spacing w:val="0"/>
          <w:w w:val="100"/>
          <w:position w:val="0"/>
          <w:shd w:val="clear" w:color="auto" w:fill="auto"/>
          <w:lang w:val="hr-HR" w:eastAsia="hr-HR" w:bidi="hr-HR"/>
        </w:rPr>
        <w:t xml:space="preserve"> pa čak i Makabejci« (C. II. </w:t>
      </w:r>
      <w:r>
        <w:rPr>
          <w:rFonts w:ascii="Times New Roman" w:eastAsia="Times New Roman" w:hAnsi="Times New Roman" w:cs="Times New Roman"/>
          <w:color w:val="000000"/>
          <w:spacing w:val="0"/>
          <w:w w:val="100"/>
          <w:position w:val="0"/>
          <w:shd w:val="clear" w:color="auto" w:fill="auto"/>
          <w:lang w:val="en-US" w:eastAsia="en-US" w:bidi="en-US"/>
        </w:rPr>
        <w:t xml:space="preserve">Ratschow, </w:t>
      </w:r>
      <w:r>
        <w:rPr>
          <w:rFonts w:ascii="Times New Roman" w:eastAsia="Times New Roman" w:hAnsi="Times New Roman" w:cs="Times New Roman"/>
          <w:i/>
          <w:iCs/>
          <w:color w:val="000000"/>
          <w:spacing w:val="0"/>
          <w:w w:val="100"/>
          <w:position w:val="0"/>
          <w:shd w:val="clear" w:color="auto" w:fill="auto"/>
          <w:lang w:val="hr-HR" w:eastAsia="hr-HR" w:bidi="hr-HR"/>
        </w:rPr>
        <w:t>Ethik der Religionen,</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Stuttgart </w:t>
      </w:r>
      <w:r>
        <w:rPr>
          <w:rFonts w:ascii="Times New Roman" w:eastAsia="Times New Roman" w:hAnsi="Times New Roman" w:cs="Times New Roman"/>
          <w:color w:val="000000"/>
          <w:spacing w:val="0"/>
          <w:w w:val="100"/>
          <w:position w:val="0"/>
          <w:shd w:val="clear" w:color="auto" w:fill="auto"/>
          <w:lang w:val="hr-HR" w:eastAsia="hr-HR" w:bidi="hr-HR"/>
        </w:rPr>
        <w:t>1980, 502).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svojoj obradi prijestupa krađe i ponašanja vjernika prema otkrivenome lopovu Muha</w:t>
        <w:softHyphen/>
        <w:t>med al-Gazali (u. 1111), jedan od najugledni</w:t>
        <w:softHyphen/>
        <w:t>jih islamskih teologa, s nekoliko riječi spomi</w:t>
        <w:softHyphen/>
        <w:t xml:space="preserve">nje odsijecanje ruke (usp. njegovu knjigu </w:t>
      </w:r>
      <w:r>
        <w:rPr>
          <w:rFonts w:ascii="Times New Roman" w:eastAsia="Times New Roman" w:hAnsi="Times New Roman" w:cs="Times New Roman"/>
          <w:i/>
          <w:iCs/>
          <w:color w:val="000000"/>
          <w:spacing w:val="0"/>
          <w:w w:val="100"/>
          <w:position w:val="0"/>
          <w:shd w:val="clear" w:color="auto" w:fill="auto"/>
          <w:lang w:val="hr-HR" w:eastAsia="hr-HR" w:bidi="hr-HR"/>
        </w:rPr>
        <w:t>Ihyd ‘uliim ad-din.</w:t>
      </w:r>
      <w:r>
        <w:rPr>
          <w:rFonts w:ascii="Times New Roman" w:eastAsia="Times New Roman" w:hAnsi="Times New Roman" w:cs="Times New Roman"/>
          <w:color w:val="000000"/>
          <w:spacing w:val="0"/>
          <w:w w:val="100"/>
          <w:position w:val="0"/>
          <w:shd w:val="clear" w:color="auto" w:fill="auto"/>
          <w:lang w:val="hr-HR" w:eastAsia="hr-HR" w:bidi="hr-HR"/>
        </w:rPr>
        <w:t xml:space="preserve"> Preveo: </w:t>
      </w:r>
      <w:r>
        <w:rPr>
          <w:rFonts w:ascii="Times New Roman" w:eastAsia="Times New Roman" w:hAnsi="Times New Roman" w:cs="Times New Roman"/>
          <w:color w:val="000000"/>
          <w:spacing w:val="0"/>
          <w:w w:val="100"/>
          <w:position w:val="0"/>
          <w:shd w:val="clear" w:color="auto" w:fill="auto"/>
          <w:lang w:val="en-US" w:eastAsia="en-US" w:bidi="en-US"/>
        </w:rPr>
        <w:t xml:space="preserve">Hans Wehr, </w:t>
      </w:r>
      <w:r>
        <w:rPr>
          <w:rFonts w:ascii="Times New Roman" w:eastAsia="Times New Roman" w:hAnsi="Times New Roman" w:cs="Times New Roman"/>
          <w:color w:val="000000"/>
          <w:spacing w:val="0"/>
          <w:w w:val="100"/>
          <w:position w:val="0"/>
          <w:shd w:val="clear" w:color="auto" w:fill="auto"/>
          <w:lang w:val="hr-HR" w:eastAsia="hr-HR" w:bidi="hr-HR"/>
        </w:rPr>
        <w:t>Halle/Saale 1940, 86-91).</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Ezoterično i mistično usmjereni islam nikada nije ustrajavao na strogom kažnjavanju prijes</w:t>
        <w:softHyphen/>
        <w:t>tupnika. Mistika je bila u stanju da se zako</w:t>
        <w:softHyphen/>
        <w:t>nom »hrva za duhovnu vlast nad muslimani</w:t>
        <w:softHyphen/>
        <w:t>ma i u toj je borbi često puta ostala pobjed</w:t>
        <w:softHyphen/>
        <w:t xml:space="preserve">nik« (G. BcrgstraBcr, </w:t>
      </w:r>
      <w:r>
        <w:rPr>
          <w:rFonts w:ascii="Times New Roman" w:eastAsia="Times New Roman" w:hAnsi="Times New Roman" w:cs="Times New Roman"/>
          <w:i/>
          <w:iCs/>
          <w:color w:val="000000"/>
          <w:spacing w:val="0"/>
          <w:w w:val="100"/>
          <w:position w:val="0"/>
          <w:shd w:val="clear" w:color="auto" w:fill="auto"/>
          <w:lang w:val="hr-HR" w:eastAsia="hr-HR" w:bidi="hr-HR"/>
        </w:rPr>
        <w:t>Grundziige des islami- schen Rechts,</w:t>
      </w:r>
      <w:r>
        <w:rPr>
          <w:rFonts w:ascii="Times New Roman" w:eastAsia="Times New Roman" w:hAnsi="Times New Roman" w:cs="Times New Roman"/>
          <w:color w:val="000000"/>
          <w:spacing w:val="0"/>
          <w:w w:val="100"/>
          <w:position w:val="0"/>
          <w:shd w:val="clear" w:color="auto" w:fill="auto"/>
          <w:lang w:val="hr-HR" w:eastAsia="hr-HR" w:bidi="hr-HR"/>
        </w:rPr>
        <w:t xml:space="preserve"> 1). Propisi koji trebaju regulirati život vjernika predstavljaju pomoćna sredstva koja trebaju olakšavati umno uključivanje u društvo i uspostaviti zdrav odnos između Stvoritelja i stvorenja. Oni nisu samima sebi svrha niti je Bog upućen na njih. U Kuranu se svakako kaže: »Bog je odveć bogat da bi po- trebovao čovječanstvo«.</w:t>
      </w:r>
    </w:p>
    <w:p>
      <w:pPr>
        <w:pStyle w:val="Style56"/>
        <w:keepNext w:val="0"/>
        <w:keepLines w:val="0"/>
        <w:widowControl w:val="0"/>
        <w:shd w:val="clear" w:color="auto" w:fill="auto"/>
        <w:tabs>
          <w:tab w:pos="2573" w:val="left"/>
        </w:tabs>
        <w:bidi w:val="0"/>
        <w:spacing w:before="0" w:after="40" w:line="240" w:lineRule="auto"/>
        <w:ind w:left="0" w:right="0" w:firstLine="0"/>
        <w:jc w:val="both"/>
      </w:pPr>
      <w:r>
        <w:rPr>
          <w:color w:val="000000"/>
          <w:spacing w:val="0"/>
          <w:w w:val="100"/>
          <w:position w:val="0"/>
          <w:shd w:val="clear" w:color="auto" w:fill="auto"/>
        </w:rPr>
        <w:t xml:space="preserve">Lit.: Said Ramadan, </w:t>
      </w:r>
      <w:r>
        <w:rPr>
          <w:i/>
          <w:iCs/>
          <w:color w:val="000000"/>
          <w:spacing w:val="0"/>
          <w:w w:val="100"/>
          <w:position w:val="0"/>
          <w:shd w:val="clear" w:color="auto" w:fill="auto"/>
        </w:rPr>
        <w:t>Das islamische Rechl,</w:t>
      </w:r>
      <w:r>
        <w:rPr>
          <w:color w:val="000000"/>
          <w:spacing w:val="0"/>
          <w:w w:val="100"/>
          <w:position w:val="0"/>
          <w:shd w:val="clear" w:color="auto" w:fill="auto"/>
        </w:rPr>
        <w:t xml:space="preserve"> Wiesbaden </w:t>
      </w:r>
      <w:r>
        <w:rPr>
          <w:color w:val="000000"/>
          <w:spacing w:val="0"/>
          <w:w w:val="100"/>
          <w:position w:val="0"/>
          <w:shd w:val="clear" w:color="auto" w:fill="auto"/>
          <w:lang w:val="hr-HR" w:eastAsia="hr-HR" w:bidi="hr-HR"/>
        </w:rPr>
        <w:t xml:space="preserve">1980; </w:t>
      </w:r>
      <w:r>
        <w:rPr>
          <w:color w:val="000000"/>
          <w:spacing w:val="0"/>
          <w:w w:val="100"/>
          <w:position w:val="0"/>
          <w:shd w:val="clear" w:color="auto" w:fill="auto"/>
        </w:rPr>
        <w:t xml:space="preserve">W. </w:t>
      </w:r>
      <w:r>
        <w:rPr>
          <w:color w:val="000000"/>
          <w:spacing w:val="0"/>
          <w:w w:val="100"/>
          <w:position w:val="0"/>
          <w:shd w:val="clear" w:color="auto" w:fill="auto"/>
          <w:lang w:val="hr-HR" w:eastAsia="hr-HR" w:bidi="hr-HR"/>
        </w:rPr>
        <w:t xml:space="preserve">C. </w:t>
      </w:r>
      <w:r>
        <w:rPr>
          <w:color w:val="000000"/>
          <w:spacing w:val="0"/>
          <w:w w:val="100"/>
          <w:position w:val="0"/>
          <w:shd w:val="clear" w:color="auto" w:fill="auto"/>
        </w:rPr>
        <w:t xml:space="preserve">Smith, </w:t>
      </w:r>
      <w:r>
        <w:rPr>
          <w:color w:val="000000"/>
          <w:spacing w:val="0"/>
          <w:w w:val="100"/>
          <w:position w:val="0"/>
          <w:shd w:val="clear" w:color="auto" w:fill="auto"/>
          <w:lang w:val="hr-HR" w:eastAsia="hr-HR" w:bidi="hr-HR"/>
        </w:rPr>
        <w:t xml:space="preserve">Tlte </w:t>
      </w:r>
      <w:r>
        <w:rPr>
          <w:color w:val="000000"/>
          <w:spacing w:val="0"/>
          <w:w w:val="100"/>
          <w:position w:val="0"/>
          <w:shd w:val="clear" w:color="auto" w:fill="auto"/>
        </w:rPr>
        <w:t xml:space="preserve">Concept of Shart’a among some Mutakallimun. U: </w:t>
      </w:r>
      <w:r>
        <w:rPr>
          <w:i/>
          <w:iCs/>
          <w:color w:val="000000"/>
          <w:spacing w:val="0"/>
          <w:w w:val="100"/>
          <w:position w:val="0"/>
          <w:shd w:val="clear" w:color="auto" w:fill="auto"/>
        </w:rPr>
        <w:t>Arabich und Islamic Studies in honor of Hamilton A. R. Gibb,</w:t>
      </w:r>
      <w:r>
        <w:rPr>
          <w:color w:val="000000"/>
          <w:spacing w:val="0"/>
          <w:w w:val="100"/>
          <w:position w:val="0"/>
          <w:shd w:val="clear" w:color="auto" w:fill="auto"/>
        </w:rPr>
        <w:t xml:space="preserve"> Leiden 1965; S. </w:t>
      </w:r>
      <w:r>
        <w:rPr>
          <w:color w:val="000000"/>
          <w:spacing w:val="0"/>
          <w:w w:val="100"/>
          <w:position w:val="0"/>
          <w:shd w:val="clear" w:color="auto" w:fill="auto"/>
          <w:lang w:val="hr-HR" w:eastAsia="hr-HR" w:bidi="hr-HR"/>
        </w:rPr>
        <w:t xml:space="preserve">Đalić, </w:t>
      </w:r>
      <w:r>
        <w:rPr>
          <w:i/>
          <w:iCs/>
          <w:color w:val="000000"/>
          <w:spacing w:val="0"/>
          <w:w w:val="100"/>
          <w:position w:val="0"/>
          <w:shd w:val="clear" w:color="auto" w:fill="auto"/>
        </w:rPr>
        <w:t xml:space="preserve">Ruf vom </w:t>
      </w:r>
      <w:r>
        <w:rPr>
          <w:i/>
          <w:iCs/>
          <w:color w:val="000000"/>
          <w:spacing w:val="0"/>
          <w:w w:val="100"/>
          <w:position w:val="0"/>
          <w:shd w:val="clear" w:color="auto" w:fill="auto"/>
          <w:lang w:val="hr-HR" w:eastAsia="hr-HR" w:bidi="hr-HR"/>
        </w:rPr>
        <w:t>Mina</w:t>
        <w:softHyphen/>
        <w:t>reti,</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Hamburg 1984, 178-192.</w:t>
        <w:tab/>
        <w:t>S. BALIC</w:t>
      </w:r>
    </w:p>
    <w:p>
      <w:pPr>
        <w:pStyle w:val="Style33"/>
        <w:keepNext w:val="0"/>
        <w:keepLines w:val="0"/>
        <w:widowControl w:val="0"/>
        <w:shd w:val="clear" w:color="auto" w:fill="auto"/>
        <w:bidi w:val="0"/>
        <w:spacing w:before="0" w:after="28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ZAKONI PREHRANE</w:t>
      </w:r>
    </w:p>
    <w:p>
      <w:pPr>
        <w:pStyle w:val="Style63"/>
        <w:keepNext/>
        <w:keepLines/>
        <w:widowControl w:val="0"/>
        <w:numPr>
          <w:ilvl w:val="0"/>
          <w:numId w:val="649"/>
        </w:numPr>
        <w:shd w:val="clear" w:color="auto" w:fill="auto"/>
        <w:tabs>
          <w:tab w:pos="246" w:val="left"/>
        </w:tabs>
        <w:bidi w:val="0"/>
        <w:spacing w:before="0"/>
        <w:ind w:left="0" w:right="0" w:firstLine="0"/>
        <w:jc w:val="both"/>
      </w:pPr>
      <w:bookmarkStart w:id="409" w:name="bookmark409"/>
      <w:r>
        <w:rPr>
          <w:rFonts w:ascii="Times New Roman" w:eastAsia="Times New Roman" w:hAnsi="Times New Roman" w:cs="Times New Roman"/>
          <w:color w:val="000000"/>
          <w:spacing w:val="0"/>
          <w:w w:val="100"/>
          <w:position w:val="0"/>
          <w:shd w:val="clear" w:color="auto" w:fill="auto"/>
          <w:lang w:val="hr-HR" w:eastAsia="hr-HR" w:bidi="hr-HR"/>
        </w:rPr>
        <w:t>židovski</w:t>
      </w:r>
      <w:bookmarkEnd w:id="409"/>
    </w:p>
    <w:p>
      <w:pPr>
        <w:pStyle w:val="Style20"/>
        <w:keepNext w:val="0"/>
        <w:keepLines w:val="0"/>
        <w:widowControl w:val="0"/>
        <w:numPr>
          <w:ilvl w:val="0"/>
          <w:numId w:val="651"/>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i/>
          <w:iCs/>
          <w:color w:val="000000"/>
          <w:spacing w:val="0"/>
          <w:w w:val="100"/>
          <w:position w:val="0"/>
          <w:shd w:val="clear" w:color="auto" w:fill="auto"/>
          <w:lang w:val="en-US" w:eastAsia="en-US" w:bidi="en-US"/>
        </w:rPr>
        <w:t xml:space="preserve">.. da </w:t>
      </w:r>
      <w:r>
        <w:rPr>
          <w:rFonts w:ascii="Times New Roman" w:eastAsia="Times New Roman" w:hAnsi="Times New Roman" w:cs="Times New Roman"/>
          <w:i/>
          <w:iCs/>
          <w:color w:val="000000"/>
          <w:spacing w:val="0"/>
          <w:w w:val="100"/>
          <w:position w:val="0"/>
          <w:shd w:val="clear" w:color="auto" w:fill="auto"/>
          <w:lang w:val="hr-HR" w:eastAsia="hr-HR" w:bidi="hr-HR"/>
        </w:rPr>
        <w:t>se razlikuje nečistoća od čistoće.«</w:t>
      </w:r>
      <w:r>
        <w:rPr>
          <w:rFonts w:ascii="Times New Roman" w:eastAsia="Times New Roman" w:hAnsi="Times New Roman" w:cs="Times New Roman"/>
          <w:color w:val="000000"/>
          <w:spacing w:val="0"/>
          <w:w w:val="100"/>
          <w:position w:val="0"/>
          <w:shd w:val="clear" w:color="auto" w:fill="auto"/>
          <w:lang w:val="hr-HR" w:eastAsia="hr-HR" w:bidi="hr-HR"/>
        </w:rPr>
        <w:t xml:space="preserve"> Na</w:t>
        <w:softHyphen/>
        <w:t xml:space="preserve">čelo čistoće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16,19; Ez 36,23-25), koje je kao posljedica i kao preduvjet posvećenosti (Izl 19,6; 22,31;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i d.; 19,2; 20,7 i d., 26; Pnz 14,2) razvilo u židovskom narodu raz</w:t>
        <w:softHyphen/>
        <w:t>mjerno asketsku praksu u svim važnim sfe</w:t>
        <w:softHyphen/>
        <w:t>rama života (gospodarstvo, društvo i država), obuhvaća u obiteljskom životu stroge propise i u spolnosti (vidi ondje) i u prehrani: »To je odredba koja se odnosi na ptice i sva živa bića što se u vodi kreću i na sve stvorove koji po zemlji gmižu. Svrha joj je da se razlikuje nečis</w:t>
        <w:softHyphen/>
        <w:t xml:space="preserve">toća </w:t>
      </w:r>
      <w:r>
        <w:rPr>
          <w:rFonts w:ascii="Times New Roman" w:eastAsia="Times New Roman" w:hAnsi="Times New Roman" w:cs="Times New Roman"/>
          <w:i/>
          <w:iCs/>
          <w:color w:val="000000"/>
          <w:spacing w:val="0"/>
          <w:w w:val="100"/>
          <w:position w:val="0"/>
          <w:shd w:val="clear" w:color="auto" w:fill="auto"/>
          <w:lang w:val="hr-HR" w:eastAsia="hr-HR" w:bidi="hr-HR"/>
        </w:rPr>
        <w:t>(tuma)</w:t>
      </w:r>
      <w:r>
        <w:rPr>
          <w:rFonts w:ascii="Times New Roman" w:eastAsia="Times New Roman" w:hAnsi="Times New Roman" w:cs="Times New Roman"/>
          <w:color w:val="000000"/>
          <w:spacing w:val="0"/>
          <w:w w:val="100"/>
          <w:position w:val="0"/>
          <w:shd w:val="clear" w:color="auto" w:fill="auto"/>
          <w:lang w:val="hr-HR" w:eastAsia="hr-HR" w:bidi="hr-HR"/>
        </w:rPr>
        <w:t xml:space="preserve"> od čistoće </w:t>
      </w:r>
      <w:r>
        <w:rPr>
          <w:rFonts w:ascii="Times New Roman" w:eastAsia="Times New Roman" w:hAnsi="Times New Roman" w:cs="Times New Roman"/>
          <w:i/>
          <w:iCs/>
          <w:color w:val="000000"/>
          <w:spacing w:val="0"/>
          <w:w w:val="100"/>
          <w:position w:val="0"/>
          <w:shd w:val="clear" w:color="auto" w:fill="auto"/>
          <w:lang w:val="hr-HR" w:eastAsia="hr-HR" w:bidi="hr-HR"/>
        </w:rPr>
        <w:t>{lahora),</w:t>
      </w:r>
      <w:r>
        <w:rPr>
          <w:rFonts w:ascii="Times New Roman" w:eastAsia="Times New Roman" w:hAnsi="Times New Roman" w:cs="Times New Roman"/>
          <w:color w:val="000000"/>
          <w:spacing w:val="0"/>
          <w:w w:val="100"/>
          <w:position w:val="0"/>
          <w:shd w:val="clear" w:color="auto" w:fill="auto"/>
          <w:lang w:val="hr-HR" w:eastAsia="hr-HR" w:bidi="hr-HR"/>
        </w:rPr>
        <w:t xml:space="preserve"> životinja koja se može jesti od životinje koja se ne smije jesti«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11,46 i d.). Razlikovanje nečistoga, nejestivoga i čistoga, jestivoga, povezuje »ovu odredbu« s upozorenjem Izraelcima: »Nemoj</w:t>
        <w:softHyphen/>
        <w:t>te sami sebe poganiti njima (nečistim, nejes</w:t>
        <w:softHyphen/>
        <w:t>tivim životinjama) da i vi zbog njih ne posta</w:t>
        <w:softHyphen/>
        <w:t xml:space="preserve">nete nečisti« (redak 43), jer ih ona odvodi od Božjeg zahtjeva: »Ta JA sam Bog vaš! Pos- većujte se da sveti budete, jer JA sam svet« (redak 44, usp. stih 45). </w:t>
      </w:r>
      <w:r>
        <w:rPr>
          <w:rFonts w:ascii="Times New Roman" w:eastAsia="Times New Roman" w:hAnsi="Times New Roman" w:cs="Times New Roman"/>
          <w:color w:val="000000"/>
          <w:spacing w:val="0"/>
          <w:w w:val="100"/>
          <w:position w:val="0"/>
          <w:shd w:val="clear" w:color="auto" w:fill="auto"/>
          <w:lang w:val="en-US" w:eastAsia="en-US" w:bidi="en-US"/>
        </w:rPr>
        <w:t xml:space="preserve">Ernst Simon </w:t>
      </w:r>
      <w:r>
        <w:rPr>
          <w:rFonts w:ascii="Times New Roman" w:eastAsia="Times New Roman" w:hAnsi="Times New Roman" w:cs="Times New Roman"/>
          <w:color w:val="000000"/>
          <w:spacing w:val="0"/>
          <w:w w:val="100"/>
          <w:position w:val="0"/>
          <w:shd w:val="clear" w:color="auto" w:fill="auto"/>
          <w:lang w:val="hr-HR" w:eastAsia="hr-HR" w:bidi="hr-HR"/>
        </w:rPr>
        <w:t>izlaže svoj sud o djelomičnom susprezanju od jela: »Mi Zidovi ne jedemo sve što je jestivo, a ni sve što je vjerojatno ukusno ili možda korisno za zdravlje. Ne jedemo uvijek kad se može jesti. Imamo dane posta. Post je čovjekova po</w:t>
        <w:softHyphen/>
        <w:t>vlastica. Životinja ne može postiti, niti se živo</w:t>
        <w:softHyphen/>
        <w:t>tinja ne može prejesti ako je čovjek na to ne prisili. Post je dobrovoljno i privremeno pov</w:t>
        <w:softHyphen/>
        <w:t>lačenje iz svijeta; čovjek se povuče, stekne od</w:t>
        <w:softHyphen/>
        <w:t>mak od samoga sebe i od bližnjih. Njegove se tjelesne potrebe ograničavaju i time jačaju, barem privremeno, njegove duhovne i moral</w:t>
        <w:softHyphen/>
        <w:t xml:space="preserve">ne mogućnosti« (Totalitat und Antitotalitaris- mus </w:t>
      </w:r>
      <w:r>
        <w:rPr>
          <w:rFonts w:ascii="Times New Roman" w:eastAsia="Times New Roman" w:hAnsi="Times New Roman" w:cs="Times New Roman"/>
          <w:color w:val="000000"/>
          <w:spacing w:val="0"/>
          <w:w w:val="100"/>
          <w:position w:val="0"/>
          <w:shd w:val="clear" w:color="auto" w:fill="auto"/>
          <w:lang w:val="en-US" w:eastAsia="en-US" w:bidi="en-US"/>
        </w:rPr>
        <w:t xml:space="preserve">als Wesensziige </w:t>
      </w:r>
      <w:r>
        <w:rPr>
          <w:rFonts w:ascii="Times New Roman" w:eastAsia="Times New Roman" w:hAnsi="Times New Roman" w:cs="Times New Roman"/>
          <w:color w:val="000000"/>
          <w:spacing w:val="0"/>
          <w:w w:val="100"/>
          <w:position w:val="0"/>
          <w:shd w:val="clear" w:color="auto" w:fill="auto"/>
          <w:lang w:val="hr-HR" w:eastAsia="hr-HR" w:bidi="hr-HR"/>
        </w:rPr>
        <w:t xml:space="preserve">des uberlieferten Juden- tums,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Entscheidung zum Judenlum. </w:t>
      </w:r>
      <w:r>
        <w:rPr>
          <w:rFonts w:ascii="Times New Roman" w:eastAsia="Times New Roman" w:hAnsi="Times New Roman" w:cs="Times New Roman"/>
          <w:i/>
          <w:iCs/>
          <w:color w:val="000000"/>
          <w:spacing w:val="0"/>
          <w:w w:val="100"/>
          <w:position w:val="0"/>
          <w:shd w:val="clear" w:color="auto" w:fill="auto"/>
          <w:lang w:val="en-US" w:eastAsia="en-US" w:bidi="en-US"/>
        </w:rPr>
        <w:t xml:space="preserve">Essays </w:t>
      </w:r>
      <w:r>
        <w:rPr>
          <w:rFonts w:ascii="Times New Roman" w:eastAsia="Times New Roman" w:hAnsi="Times New Roman" w:cs="Times New Roman"/>
          <w:i/>
          <w:iCs/>
          <w:color w:val="000000"/>
          <w:spacing w:val="0"/>
          <w:w w:val="100"/>
          <w:position w:val="0"/>
          <w:shd w:val="clear" w:color="auto" w:fill="auto"/>
          <w:lang w:val="hr-HR" w:eastAsia="hr-HR" w:bidi="hr-HR"/>
        </w:rPr>
        <w:t>und Vortrage,</w:t>
      </w:r>
      <w:r>
        <w:rPr>
          <w:rFonts w:ascii="Times New Roman" w:eastAsia="Times New Roman" w:hAnsi="Times New Roman" w:cs="Times New Roman"/>
          <w:color w:val="000000"/>
          <w:spacing w:val="0"/>
          <w:w w:val="100"/>
          <w:position w:val="0"/>
          <w:shd w:val="clear" w:color="auto" w:fill="auto"/>
          <w:lang w:val="hr-HR" w:eastAsia="hr-HR" w:bidi="hr-HR"/>
        </w:rPr>
        <w:t xml:space="preserve"> 1980, 33-74, 42 i d.).</w:t>
      </w:r>
    </w:p>
    <w:p>
      <w:pPr>
        <w:pStyle w:val="Style20"/>
        <w:keepNext w:val="0"/>
        <w:keepLines w:val="0"/>
        <w:widowControl w:val="0"/>
        <w:numPr>
          <w:ilvl w:val="0"/>
          <w:numId w:val="651"/>
        </w:numPr>
        <w:shd w:val="clear" w:color="auto" w:fill="auto"/>
        <w:tabs>
          <w:tab w:pos="265" w:val="left"/>
        </w:tabs>
        <w:bidi w:val="0"/>
        <w:spacing w:before="0" w:after="0"/>
        <w:ind w:left="0" w:right="0" w:firstLine="0"/>
        <w:jc w:val="both"/>
        <w:sectPr>
          <w:headerReference w:type="default" r:id="rId1645"/>
          <w:footerReference w:type="default" r:id="rId1646"/>
          <w:headerReference w:type="even" r:id="rId1647"/>
          <w:footerReference w:type="even" r:id="rId1648"/>
          <w:footnotePr>
            <w:pos w:val="pageBottom"/>
            <w:numFmt w:val="decimal"/>
            <w:numRestart w:val="continuous"/>
            <w15:footnoteColumns w:val="1"/>
          </w:footnotePr>
          <w:pgSz w:w="6816" w:h="11006"/>
          <w:pgMar w:top="947" w:left="195" w:right="199" w:bottom="465" w:header="0" w:footer="37" w:gutter="0"/>
          <w:pgNumType w:start="541"/>
          <w:cols w:num="2" w:space="189"/>
          <w:noEndnote/>
          <w:rtlGutter w:val="0"/>
          <w:docGrid w:linePitch="360"/>
        </w:sectPr>
      </w:pPr>
      <w:r>
        <mc:AlternateContent>
          <mc:Choice Requires="wps">
            <w:drawing>
              <wp:anchor distT="50800" distB="254000" distL="114300" distR="114300" simplePos="0" relativeHeight="125829449" behindDoc="0" locked="0" layoutInCell="1" allowOverlap="1">
                <wp:simplePos x="0" y="0"/>
                <wp:positionH relativeFrom="page">
                  <wp:posOffset>4010025</wp:posOffset>
                </wp:positionH>
                <wp:positionV relativeFrom="margin">
                  <wp:posOffset>6163310</wp:posOffset>
                </wp:positionV>
                <wp:extent cx="189230" cy="109855"/>
                <wp:wrapTopAndBottom/>
                <wp:docPr id="3539" name="Shape 3539"/>
                <a:graphic xmlns:a="http://schemas.openxmlformats.org/drawingml/2006/main">
                  <a:graphicData uri="http://schemas.microsoft.com/office/word/2010/wordprocessingShape">
                    <wps:wsp>
                      <wps:cNvSpPr txBox="1"/>
                      <wps:spPr>
                        <a:xfrm>
                          <a:ext cx="189230"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S37</w:t>
                            </w:r>
                          </w:p>
                        </w:txbxContent>
                      </wps:txbx>
                      <wps:bodyPr wrap="none" lIns="0" tIns="0" rIns="0" bIns="0">
                        <a:noAutoFit/>
                      </wps:bodyPr>
                    </wps:wsp>
                  </a:graphicData>
                </a:graphic>
              </wp:anchor>
            </w:drawing>
          </mc:Choice>
          <mc:Fallback>
            <w:pict>
              <v:shape id="_x0000_s4565" type="#_x0000_t202" style="position:absolute;margin-left:315.75pt;margin-top:485.30000000000001pt;width:14.9pt;height:8.6500000000000004pt;z-index:-125829304;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hr-HR" w:eastAsia="hr-HR" w:bidi="hr-HR"/>
                        </w:rPr>
                        <w:t>S37</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»Ovo su životinje koje smijete jesti.«</w:t>
      </w:r>
      <w:r>
        <w:rPr>
          <w:rFonts w:ascii="Times New Roman" w:eastAsia="Times New Roman" w:hAnsi="Times New Roman" w:cs="Times New Roman"/>
          <w:color w:val="000000"/>
          <w:spacing w:val="0"/>
          <w:w w:val="100"/>
          <w:position w:val="0"/>
          <w:shd w:val="clear" w:color="auto" w:fill="auto"/>
          <w:lang w:val="hr-HR" w:eastAsia="hr-HR" w:bidi="hr-HR"/>
        </w:rPr>
        <w:t xml:space="preserve"> Biblijsko nizanje odredbi o </w:t>
      </w:r>
      <w:r>
        <w:rPr>
          <w:rFonts w:ascii="Times New Roman" w:eastAsia="Times New Roman" w:hAnsi="Times New Roman" w:cs="Times New Roman"/>
          <w:i/>
          <w:iCs/>
          <w:color w:val="000000"/>
          <w:spacing w:val="0"/>
          <w:w w:val="100"/>
          <w:position w:val="0"/>
          <w:shd w:val="clear" w:color="auto" w:fill="auto"/>
          <w:lang w:val="hr-HR" w:eastAsia="hr-HR" w:bidi="hr-HR"/>
        </w:rPr>
        <w:t>korbanu</w:t>
      </w:r>
      <w:r>
        <w:rPr>
          <w:rFonts w:ascii="Times New Roman" w:eastAsia="Times New Roman" w:hAnsi="Times New Roman" w:cs="Times New Roman"/>
          <w:color w:val="000000"/>
          <w:spacing w:val="0"/>
          <w:w w:val="100"/>
          <w:position w:val="0"/>
          <w:shd w:val="clear" w:color="auto" w:fill="auto"/>
          <w:lang w:val="hr-HR" w:eastAsia="hr-HR" w:bidi="hr-HR"/>
        </w:rPr>
        <w:t xml:space="preserve"> (izraz koji se opće</w:t>
        <w:softHyphen/>
        <w:t>nito prevodi sa »žrtva«, »žrtveni dar«, »pri</w:t>
        <w:softHyphen/>
        <w:t xml:space="preserve">nos«) i o životinjama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1 - 10 i 11) koje se mogu jesti upozorava na to da jedenje do</w:t>
        <w:softHyphen/>
        <w:t>puštenih životinja mora odgovarati svim pro</w:t>
        <w:softHyphen/>
        <w:t xml:space="preserve">pisima za </w:t>
      </w:r>
      <w:r>
        <w:rPr>
          <w:rFonts w:ascii="Times New Roman" w:eastAsia="Times New Roman" w:hAnsi="Times New Roman" w:cs="Times New Roman"/>
          <w:i/>
          <w:iCs/>
          <w:color w:val="000000"/>
          <w:spacing w:val="0"/>
          <w:w w:val="100"/>
          <w:position w:val="0"/>
          <w:shd w:val="clear" w:color="auto" w:fill="auto"/>
          <w:lang w:val="hr-HR" w:eastAsia="hr-HR" w:bidi="hr-HR"/>
        </w:rPr>
        <w:t>korban</w:t>
      </w:r>
      <w:r>
        <w:rPr>
          <w:rFonts w:ascii="Times New Roman" w:eastAsia="Times New Roman" w:hAnsi="Times New Roman" w:cs="Times New Roman"/>
          <w:color w:val="000000"/>
          <w:spacing w:val="0"/>
          <w:w w:val="100"/>
          <w:position w:val="0"/>
          <w:shd w:val="clear" w:color="auto" w:fill="auto"/>
          <w:lang w:val="hr-HR" w:eastAsia="hr-HR" w:bidi="hr-HR"/>
        </w:rPr>
        <w:t xml:space="preserve"> kojima se Izrael za posto</w:t>
        <w:softHyphen/>
        <w:t>janja Hrama nastojao približiti Bogu. Prema tom izjednačenju, Židovi trebaju smatrati svo</w:t>
        <w:softHyphen/>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ju hranu »prinosom« </w:t>
      </w:r>
      <w:r>
        <w:rPr>
          <w:rFonts w:ascii="Times New Roman" w:eastAsia="Times New Roman" w:hAnsi="Times New Roman" w:cs="Times New Roman"/>
          <w:i/>
          <w:iCs/>
          <w:color w:val="000000"/>
          <w:spacing w:val="0"/>
          <w:w w:val="100"/>
          <w:position w:val="0"/>
          <w:shd w:val="clear" w:color="auto" w:fill="auto"/>
          <w:lang w:val="hr-HR" w:eastAsia="hr-HR" w:bidi="hr-HR"/>
        </w:rPr>
        <w:t>(korban),</w:t>
      </w:r>
      <w:r>
        <w:rPr>
          <w:rFonts w:ascii="Times New Roman" w:eastAsia="Times New Roman" w:hAnsi="Times New Roman" w:cs="Times New Roman"/>
          <w:color w:val="000000"/>
          <w:spacing w:val="0"/>
          <w:w w:val="100"/>
          <w:position w:val="0"/>
          <w:shd w:val="clear" w:color="auto" w:fill="auto"/>
          <w:lang w:val="hr-HR" w:eastAsia="hr-HR" w:bidi="hr-HR"/>
        </w:rPr>
        <w:t xml:space="preserve"> svoj stol »žrtve</w:t>
        <w:softHyphen/>
        <w:t xml:space="preserve">nikom« </w:t>
      </w:r>
      <w:r>
        <w:rPr>
          <w:rFonts w:ascii="Times New Roman" w:eastAsia="Times New Roman" w:hAnsi="Times New Roman" w:cs="Times New Roman"/>
          <w:i/>
          <w:iCs/>
          <w:color w:val="000000"/>
          <w:spacing w:val="0"/>
          <w:w w:val="100"/>
          <w:position w:val="0"/>
          <w:shd w:val="clear" w:color="auto" w:fill="auto"/>
          <w:lang w:val="hr-HR" w:eastAsia="hr-HR" w:bidi="hr-HR"/>
        </w:rPr>
        <w:t>(misbeah,</w:t>
      </w:r>
      <w:r>
        <w:rPr>
          <w:rFonts w:ascii="Times New Roman" w:eastAsia="Times New Roman" w:hAnsi="Times New Roman" w:cs="Times New Roman"/>
          <w:color w:val="000000"/>
          <w:spacing w:val="0"/>
          <w:w w:val="100"/>
          <w:position w:val="0"/>
          <w:shd w:val="clear" w:color="auto" w:fill="auto"/>
          <w:lang w:val="hr-HR" w:eastAsia="hr-HR" w:bidi="hr-HR"/>
        </w:rPr>
        <w:t xml:space="preserve"> »klaonica« prema Buberu i </w:t>
      </w:r>
      <w:r>
        <w:rPr>
          <w:rFonts w:ascii="Times New Roman" w:eastAsia="Times New Roman" w:hAnsi="Times New Roman" w:cs="Times New Roman"/>
          <w:color w:val="000000"/>
          <w:spacing w:val="0"/>
          <w:w w:val="100"/>
          <w:position w:val="0"/>
          <w:shd w:val="clear" w:color="auto" w:fill="auto"/>
          <w:lang w:val="en-US" w:eastAsia="en-US" w:bidi="en-US"/>
        </w:rPr>
        <w:t xml:space="preserve">Roscnzwcigu) </w:t>
      </w:r>
      <w:r>
        <w:rPr>
          <w:rFonts w:ascii="Times New Roman" w:eastAsia="Times New Roman" w:hAnsi="Times New Roman" w:cs="Times New Roman"/>
          <w:color w:val="000000"/>
          <w:spacing w:val="0"/>
          <w:w w:val="100"/>
          <w:position w:val="0"/>
          <w:shd w:val="clear" w:color="auto" w:fill="auto"/>
          <w:lang w:val="hr-HR" w:eastAsia="hr-HR" w:bidi="hr-HR"/>
        </w:rPr>
        <w:t>i svoje obroke posvećivati kao bogoslužnu radnju. Moraju se držati istih od</w:t>
        <w:softHyphen/>
        <w:t>redbi glede potpune besprijekornosti, odredbi što ih je već zahtijevalo hramsko bogoslužje, pri izboru, klanju i pripravi životinja za jelo kako bi se i pri svakodnevnoj prehrani prizna</w:t>
        <w:softHyphen/>
        <w:t>vala vlast jednoga jedinog Boga. Prehrambeni propisi iskorištavali su se kao sredstvo za iz</w:t>
        <w:softHyphen/>
        <w:t>vršenje zadaće: »'I’a ti si narod posvećen NJE</w:t>
        <w:softHyphen/>
        <w:t>MU, Bogu svomu« (Pnz 14,2). To je i smisao zapovijedi: »Ovo su životinje koje smijete jesti između svih četveronožaca na zemlji« (Iz-v 11,2, usp. Pnz 14.4). »Čistima«, i time jesti</w:t>
        <w:softHyphen/>
        <w:t>vima, smatraju se među sisavcima samo preži</w:t>
        <w:softHyphen/>
        <w:t xml:space="preserve">vači razdvojenih papaka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11,4; Pnz 14,4-6), od riba samo one koje imaju ljuske i peraje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11,9; Pnz 14,9), neke vrste ptica (ali ne one koje se nedvojbeno mogu identifi</w:t>
        <w:softHyphen/>
        <w:t>cirati, Pnz 14,11.20), a od kukaca samo ska</w:t>
        <w:softHyphen/>
        <w:t xml:space="preserve">kavci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11,22). Sve druge životinje isključe</w:t>
        <w:softHyphen/>
        <w:t>ne su iz prehrane: dvopapkari koji nisu preži</w:t>
        <w:softHyphen/>
        <w:t xml:space="preserve">vači: deva, svizac, zec, svinja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11,4-8, Pnz 14,7 i d.), određene vrste ptica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11,13-19; Pnz 14,11-18), ribe bez peraja i ljusaka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11,10-12; Pnz 14,10), insekti (osim skakavaca,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11,20), niži kralježnjaci, vodozemci, gma</w:t>
        <w:softHyphen/>
        <w:t xml:space="preserve">zovi i mekušci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11,20-31.41 i d.; Pnz 14,19). Uživanjem nedopuštenoga izražava se čovjekovo odbijanje da se dobrovoljno podčini Bogu: »Nemojte sami sebe poganiti njima da i vi zbog njih ne postanete nečisti« (I-ev 11,43). Zabrana jedenja strvina i rastrganih životinja (Izl 22,30; Pnz 14,21) povezana je sa zabra</w:t>
        <w:softHyphen/>
        <w:t xml:space="preserve">nom uživanja krvi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3,17; 7,26; 17,10 i d.; Post 9,4; M Toharot 1,1-4).</w:t>
      </w:r>
    </w:p>
    <w:p>
      <w:pPr>
        <w:pStyle w:val="Style20"/>
        <w:keepNext w:val="0"/>
        <w:keepLines w:val="0"/>
        <w:widowControl w:val="0"/>
        <w:numPr>
          <w:ilvl w:val="0"/>
          <w:numId w:val="651"/>
        </w:numPr>
        <w:shd w:val="clear" w:color="auto" w:fill="auto"/>
        <w:tabs>
          <w:tab w:pos="246"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 možeš zaklati... kako sam ti naredio.« </w:t>
      </w:r>
      <w:r>
        <w:rPr>
          <w:rFonts w:ascii="Times New Roman" w:eastAsia="Times New Roman" w:hAnsi="Times New Roman" w:cs="Times New Roman"/>
          <w:color w:val="000000"/>
          <w:spacing w:val="0"/>
          <w:w w:val="100"/>
          <w:position w:val="0"/>
          <w:shd w:val="clear" w:color="auto" w:fill="auto"/>
          <w:lang w:val="hr-HR" w:eastAsia="hr-HR" w:bidi="hr-HR"/>
        </w:rPr>
        <w:t>Sisavce i ptice dopuštene za hranu treba za</w:t>
        <w:softHyphen/>
        <w:t xml:space="preserve">klati po propisu. Zapovijed </w:t>
      </w:r>
      <w:r>
        <w:rPr>
          <w:rFonts w:ascii="Times New Roman" w:eastAsia="Times New Roman" w:hAnsi="Times New Roman" w:cs="Times New Roman"/>
          <w:i/>
          <w:iCs/>
          <w:color w:val="000000"/>
          <w:spacing w:val="0"/>
          <w:w w:val="100"/>
          <w:position w:val="0"/>
          <w:shd w:val="clear" w:color="auto" w:fill="auto"/>
          <w:lang w:val="hr-HR" w:eastAsia="hr-HR" w:bidi="hr-HR"/>
        </w:rPr>
        <w:t>šehite</w:t>
      </w:r>
      <w:r>
        <w:rPr>
          <w:rFonts w:ascii="Times New Roman" w:eastAsia="Times New Roman" w:hAnsi="Times New Roman" w:cs="Times New Roman"/>
          <w:color w:val="000000"/>
          <w:spacing w:val="0"/>
          <w:w w:val="100"/>
          <w:position w:val="0"/>
          <w:shd w:val="clear" w:color="auto" w:fill="auto"/>
          <w:lang w:val="hr-HR" w:eastAsia="hr-HR" w:bidi="hr-HR"/>
        </w:rPr>
        <w:t xml:space="preserve"> potječe iz one biblijske predaje koja, doduše, izbor mjesta pušta na volju, ali spominje postupak klanja: »Ti kažeš: Jeo bih meso... Bude li mjesto koje ON, Bog tvoj, odabere da u njemu svoje ime smjesti, onda možeš zaklati... kako sam ti već naredio« (Pnz 12,20 i d.). Propisano zaklati životinju može svaki Židov koji poznaje od</w:t>
        <w:softHyphen/>
        <w:t xml:space="preserve">redbe za klanje i koji ga zna pravilno obaviti (M Hulin 1,1 i d.), i to treba dokazati (b 12a). Teoretsku i praktičnu osposobljenost mesara </w:t>
      </w:r>
      <w:r>
        <w:rPr>
          <w:rFonts w:ascii="Times New Roman" w:eastAsia="Times New Roman" w:hAnsi="Times New Roman" w:cs="Times New Roman"/>
          <w:i/>
          <w:iCs/>
          <w:color w:val="000000"/>
          <w:spacing w:val="0"/>
          <w:w w:val="100"/>
          <w:position w:val="0"/>
          <w:shd w:val="clear" w:color="auto" w:fill="auto"/>
          <w:lang w:val="hr-HR" w:eastAsia="hr-HR" w:bidi="hr-HR"/>
        </w:rPr>
        <w:t>(šohet)</w:t>
      </w:r>
      <w:r>
        <w:rPr>
          <w:rFonts w:ascii="Times New Roman" w:eastAsia="Times New Roman" w:hAnsi="Times New Roman" w:cs="Times New Roman"/>
          <w:color w:val="000000"/>
          <w:spacing w:val="0"/>
          <w:w w:val="100"/>
          <w:position w:val="0"/>
          <w:shd w:val="clear" w:color="auto" w:fill="auto"/>
          <w:lang w:val="hr-HR" w:eastAsia="hr-HR" w:bidi="hr-HR"/>
        </w:rPr>
        <w:t xml:space="preserve"> i povjerenje dokazuje rabinski certifi</w:t>
        <w:softHyphen/>
        <w:t xml:space="preserve">kat </w:t>
      </w:r>
      <w:r>
        <w:rPr>
          <w:rFonts w:ascii="Times New Roman" w:eastAsia="Times New Roman" w:hAnsi="Times New Roman" w:cs="Times New Roman"/>
          <w:i/>
          <w:iCs/>
          <w:color w:val="000000"/>
          <w:spacing w:val="0"/>
          <w:w w:val="100"/>
          <w:position w:val="0"/>
          <w:shd w:val="clear" w:color="auto" w:fill="auto"/>
          <w:lang w:val="hr-HR" w:eastAsia="hr-HR" w:bidi="hr-HR"/>
        </w:rPr>
        <w:t>(kaljala).</w:t>
      </w:r>
      <w:r>
        <w:rPr>
          <w:rFonts w:ascii="Times New Roman" w:eastAsia="Times New Roman" w:hAnsi="Times New Roman" w:cs="Times New Roman"/>
          <w:color w:val="000000"/>
          <w:spacing w:val="0"/>
          <w:w w:val="100"/>
          <w:position w:val="0"/>
          <w:shd w:val="clear" w:color="auto" w:fill="auto"/>
          <w:lang w:val="hr-HR" w:eastAsia="hr-HR" w:bidi="hr-HR"/>
        </w:rPr>
        <w:t xml:space="preserve"> Nakon klanja </w:t>
      </w:r>
      <w:r>
        <w:rPr>
          <w:rFonts w:ascii="Times New Roman" w:eastAsia="Times New Roman" w:hAnsi="Times New Roman" w:cs="Times New Roman"/>
          <w:i/>
          <w:iCs/>
          <w:color w:val="000000"/>
          <w:spacing w:val="0"/>
          <w:w w:val="100"/>
          <w:position w:val="0"/>
          <w:shd w:val="clear" w:color="auto" w:fill="auto"/>
          <w:lang w:val="hr-HR" w:eastAsia="hr-HR" w:bidi="hr-HR"/>
        </w:rPr>
        <w:t>šohet</w:t>
      </w:r>
      <w:r>
        <w:rPr>
          <w:rFonts w:ascii="Times New Roman" w:eastAsia="Times New Roman" w:hAnsi="Times New Roman" w:cs="Times New Roman"/>
          <w:color w:val="000000"/>
          <w:spacing w:val="0"/>
          <w:w w:val="100"/>
          <w:position w:val="0"/>
          <w:shd w:val="clear" w:color="auto" w:fill="auto"/>
          <w:lang w:val="hr-HR" w:eastAsia="hr-HR" w:bidi="hr-HR"/>
        </w:rPr>
        <w:t xml:space="preserve"> pregledava </w:t>
      </w:r>
      <w:r>
        <w:rPr>
          <w:rFonts w:ascii="Times New Roman" w:eastAsia="Times New Roman" w:hAnsi="Times New Roman" w:cs="Times New Roman"/>
          <w:color w:val="000000"/>
          <w:spacing w:val="0"/>
          <w:w w:val="100"/>
          <w:position w:val="0"/>
          <w:shd w:val="clear" w:color="auto" w:fill="auto"/>
          <w:lang w:val="hr-HR" w:eastAsia="hr-HR" w:bidi="hr-HR"/>
        </w:rPr>
        <w:t>rez na vratu, nož i unutarnje organe. Obredno zaklane i pregledane životinje nazivaju se, kao sve ostale namirnice u skladu s obrednim zah</w:t>
        <w:softHyphen/>
        <w:t xml:space="preserve">tjevima, </w:t>
      </w:r>
      <w:r>
        <w:rPr>
          <w:rFonts w:ascii="Times New Roman" w:eastAsia="Times New Roman" w:hAnsi="Times New Roman" w:cs="Times New Roman"/>
          <w:i/>
          <w:iCs/>
          <w:color w:val="000000"/>
          <w:spacing w:val="0"/>
          <w:w w:val="100"/>
          <w:position w:val="0"/>
          <w:shd w:val="clear" w:color="auto" w:fill="auto"/>
          <w:lang w:val="hr-HR" w:eastAsia="hr-HR" w:bidi="hr-HR"/>
        </w:rPr>
        <w:t>hekšer</w:t>
      </w:r>
      <w:r>
        <w:rPr>
          <w:rFonts w:ascii="Times New Roman" w:eastAsia="Times New Roman" w:hAnsi="Times New Roman" w:cs="Times New Roman"/>
          <w:color w:val="000000"/>
          <w:spacing w:val="0"/>
          <w:w w:val="100"/>
          <w:position w:val="0"/>
          <w:shd w:val="clear" w:color="auto" w:fill="auto"/>
          <w:lang w:val="hr-HR" w:eastAsia="hr-HR" w:bidi="hr-HR"/>
        </w:rPr>
        <w:t xml:space="preserve"> od </w:t>
      </w:r>
      <w:r>
        <w:rPr>
          <w:rFonts w:ascii="Times New Roman" w:eastAsia="Times New Roman" w:hAnsi="Times New Roman" w:cs="Times New Roman"/>
          <w:i/>
          <w:iCs/>
          <w:color w:val="000000"/>
          <w:spacing w:val="0"/>
          <w:w w:val="100"/>
          <w:position w:val="0"/>
          <w:shd w:val="clear" w:color="auto" w:fill="auto"/>
          <w:lang w:val="hr-HR" w:eastAsia="hr-HR" w:bidi="hr-HR"/>
        </w:rPr>
        <w:t>kašer</w:t>
      </w:r>
      <w:r>
        <w:rPr>
          <w:rFonts w:ascii="Times New Roman" w:eastAsia="Times New Roman" w:hAnsi="Times New Roman" w:cs="Times New Roman"/>
          <w:color w:val="000000"/>
          <w:spacing w:val="0"/>
          <w:w w:val="100"/>
          <w:position w:val="0"/>
          <w:shd w:val="clear" w:color="auto" w:fill="auto"/>
          <w:lang w:val="hr-HR" w:eastAsia="hr-HR" w:bidi="hr-HR"/>
        </w:rPr>
        <w:t xml:space="preserve"> (aškenaski izgovor </w:t>
      </w:r>
      <w:r>
        <w:rPr>
          <w:rFonts w:ascii="Times New Roman" w:eastAsia="Times New Roman" w:hAnsi="Times New Roman" w:cs="Times New Roman"/>
          <w:i/>
          <w:iCs/>
          <w:color w:val="000000"/>
          <w:spacing w:val="0"/>
          <w:w w:val="100"/>
          <w:position w:val="0"/>
          <w:shd w:val="clear" w:color="auto" w:fill="auto"/>
          <w:lang w:val="hr-HR" w:eastAsia="hr-HR" w:bidi="hr-HR"/>
        </w:rPr>
        <w:t>košer.</w:t>
      </w:r>
      <w:r>
        <w:rPr>
          <w:rFonts w:ascii="Times New Roman" w:eastAsia="Times New Roman" w:hAnsi="Times New Roman" w:cs="Times New Roman"/>
          <w:color w:val="000000"/>
          <w:spacing w:val="0"/>
          <w:w w:val="100"/>
          <w:position w:val="0"/>
          <w:shd w:val="clear" w:color="auto" w:fill="auto"/>
          <w:lang w:val="hr-HR" w:eastAsia="hr-HR" w:bidi="hr-HR"/>
        </w:rPr>
        <w:t xml:space="preserve"> tj. podobne za jelo, usp. Šulhan aruh, Jore dea 1-28). Obredno klanje sastoji se od reza na vratu, koji kod sisavaca prolazi kroz dušnik i jednjak, kod ptica kroz jedan od njih; na taj način treba prerezati i vratne žile (M Hulin 1,4; 11,1.3; b 30b.9a;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7,2). Vrat treba prerezati jednim rezom, bez prekida, oštrim, glatkim nožem bez škrbotina (b Hulin 9a; Šulhan aruh, Jore dea 6-10).</w:t>
      </w:r>
    </w:p>
    <w:p>
      <w:pPr>
        <w:pStyle w:val="Style20"/>
        <w:keepNext w:val="0"/>
        <w:keepLines w:val="0"/>
        <w:widowControl w:val="0"/>
        <w:numPr>
          <w:ilvl w:val="0"/>
          <w:numId w:val="651"/>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»Ne smijete jesti kn-.«</w:t>
      </w:r>
      <w:r>
        <w:rPr>
          <w:rFonts w:ascii="Times New Roman" w:eastAsia="Times New Roman" w:hAnsi="Times New Roman" w:cs="Times New Roman"/>
          <w:color w:val="000000"/>
          <w:spacing w:val="0"/>
          <w:w w:val="100"/>
          <w:position w:val="0"/>
          <w:shd w:val="clear" w:color="auto" w:fill="auto"/>
          <w:lang w:val="hr-HR" w:eastAsia="hr-HR" w:bidi="hr-HR"/>
        </w:rPr>
        <w:t xml:space="preserve"> Zabrana uživanja krvi - »Neka ovo bude zakon za sva vremena svim vašim naraštajima u kojem god mjestu budete boravili: nipošto ne smijete jesti ni loja ni krvi«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3,17) - odnosi se na »čiste« i »ne</w:t>
        <w:softHyphen/>
        <w:t>čiste« (tj. nedopuštene za jelo) domaće životi</w:t>
        <w:softHyphen/>
        <w:t xml:space="preserve">nje. divljač i perad (7,26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»Zabrana krvi jc stroža (od zabrane loja) nego zabrana koja se odnosi na stoku, divljač i perad, na čiste i ne</w:t>
        <w:softHyphen/>
        <w:t>čiste životinje (usp. M Keretot 1,1), no zabra</w:t>
        <w:softHyphen/>
        <w:t xml:space="preserve">na loja odnosi se samo na čistu stoku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7,25)« (M Hulin VIII,6). Prema rabinskom tumačenju, od općeg pravila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7,26) »izu</w:t>
        <w:softHyphen/>
        <w:t>zima se krv dvonožaca (= ljudi), jer pritom nema lagane nečistoće, krv gmazova, jer pri</w:t>
        <w:softHyphen/>
        <w:t xml:space="preserve">tom nema teške nečistoće, krv u jajima, jer ona nisu meso, krv skakavaca i riba, jer jc (na njima) sve dopušteno (usp. b Keretot 93b)«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7,26). Zabrana uživanja krvi ob</w:t>
        <w:softHyphen/>
        <w:t>razlaže se predodžbom: »Jer je život živoga bića u krvi«; krv je namijenjena samo za po</w:t>
        <w:softHyphen/>
        <w:t>mirenje s Bogom (u hramskom bogoslužju): »Tu krv ja sam vama dao na žrtveniku da njo</w:t>
        <w:softHyphen/>
        <w:t xml:space="preserve">me obavljate obred pomirenja za svoje živote. Jer krv jc što ispašta za život«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17,11; usp. Post 9,4; Pnz 12,23; 1 Sam 14,32 i d.). Slično utvrđuju učenjaci: »Kod svih njih (posvećenih = žrtvenih životinja i profanih = običnih živo</w:t>
        <w:softHyphen/>
        <w:t xml:space="preserve">tinja za klanje) čovjek postaje kriv samo zbog krvi u životu« (Šifra uz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17,10 i d.; usp. b Keretot 94a). Oni su objasnili da samo krv stoke, divljači i peradi podliježe zabrani uži</w:t>
        <w:softHyphen/>
        <w:t>vanja krvi koja je životinji oduzeta obrednim i običnim klanjem, trganjem vratnih žila ili puš</w:t>
        <w:softHyphen/>
        <w:t>tanjem krvi; no, budući da samo istjecanjem te krvi izlazi i život (duša) te životinje, zaklju</w:t>
        <w:softHyphen/>
        <w:t xml:space="preserve">čili su da krv, koja je ostala u slezeni, u srcu i u bubrezima ili u udu zaklane životinje nije »krv života (duše)«, pa neće biti kriv onaj koji je </w:t>
      </w:r>
      <w:r>
        <w:rPr>
          <w:rFonts w:ascii="Times New Roman" w:eastAsia="Times New Roman" w:hAnsi="Times New Roman" w:cs="Times New Roman"/>
          <w:color w:val="000000"/>
          <w:spacing w:val="0"/>
          <w:w w:val="100"/>
          <w:position w:val="0"/>
          <w:shd w:val="clear" w:color="auto" w:fill="auto"/>
          <w:lang w:val="hr-HR" w:eastAsia="hr-HR" w:bidi="hr-HR"/>
        </w:rPr>
        <w:t>uživa (M Keretot V.l; Tos. 11,17 i d.). Kako bi ti komadi životinja postali podobni za jelo, potrebna je posebna i brižljiva obrada radi is</w:t>
        <w:softHyphen/>
        <w:t>tjecanja krvi, poglavito soljenjem i močenjem (M Hulin VIII,3, usp. b 109b.113a; Pesahim 74b; Keretot 94a).</w:t>
      </w:r>
    </w:p>
    <w:p>
      <w:pPr>
        <w:pStyle w:val="Style20"/>
        <w:keepNext w:val="0"/>
        <w:keepLines w:val="0"/>
        <w:widowControl w:val="0"/>
        <w:numPr>
          <w:ilvl w:val="0"/>
          <w:numId w:val="651"/>
        </w:numPr>
        <w:shd w:val="clear" w:color="auto" w:fill="auto"/>
        <w:tabs>
          <w:tab w:pos="25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»Ne kuhaj kozleta u mlijeku njegove majke.« </w:t>
      </w:r>
      <w:r>
        <w:rPr>
          <w:rFonts w:ascii="Times New Roman" w:eastAsia="Times New Roman" w:hAnsi="Times New Roman" w:cs="Times New Roman"/>
          <w:color w:val="000000"/>
          <w:spacing w:val="0"/>
          <w:w w:val="100"/>
          <w:position w:val="0"/>
          <w:shd w:val="clear" w:color="auto" w:fill="auto"/>
          <w:lang w:val="hr-HR" w:eastAsia="hr-HR" w:bidi="hr-HR"/>
        </w:rPr>
        <w:t>Na temelju triput ponovljena propisa: »Ne kuhaj kozleta u mlijeku njegove majke« (Izl 23,19; 34,26; Pnz 14,21) Misna zabranjuje da se meso sa sirom iznosi na stol i zajedno jede (M Ilulin V11I.1). No, nije zabranjeno doni</w:t>
        <w:softHyphen/>
        <w:t xml:space="preserve">jeti sir i meso jedno po jedno i pojesti jedno nakon drugoga (b 104b). Opće pravilo glasi: Rav 1 lizda (u. 309) kaže: »Tko je jeo meso, ne smije (nakon toga) jesti sir; tko je jeo sir, smije nakon toga jesti meso«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105a). Tri ponavljanja zabrane u Tori pokazuju, prema predaji, i trostruku zabranu - kuhanja mesa u mlijeku, zajedno skuhano jesti i to upotrijebiti za nešto drugo (M Hulin Vili,4; b 115b; 113b). Isključena mješavina mesa i mlijeka zahtijeva odjeljivanje i zasebno čišćenje po</w:t>
        <w:softHyphen/>
        <w:t>sebnih »mesnih« i »mliječnih« lonaca, tanjura i pribora za jelo; za »neutralna« jela, poput riba, jaja itd. rabi se, osim toga, neutralni, sva</w:t>
        <w:softHyphen/>
        <w:t>kodnevni pribor.</w:t>
      </w:r>
    </w:p>
    <w:p>
      <w:pPr>
        <w:pStyle w:val="Style20"/>
        <w:keepNext w:val="0"/>
        <w:keepLines w:val="0"/>
        <w:widowControl w:val="0"/>
        <w:numPr>
          <w:ilvl w:val="0"/>
          <w:numId w:val="651"/>
        </w:numPr>
        <w:shd w:val="clear" w:color="auto" w:fill="auto"/>
        <w:tabs>
          <w:tab w:pos="255"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»...ponizile svoju dušu (postite).«</w:t>
      </w:r>
      <w:r>
        <w:rPr>
          <w:rFonts w:ascii="Times New Roman" w:eastAsia="Times New Roman" w:hAnsi="Times New Roman" w:cs="Times New Roman"/>
          <w:color w:val="000000"/>
          <w:spacing w:val="0"/>
          <w:w w:val="100"/>
          <w:position w:val="0"/>
          <w:shd w:val="clear" w:color="auto" w:fill="auto"/>
          <w:lang w:val="hr-HR" w:eastAsia="hr-HR" w:bidi="hr-HR"/>
        </w:rPr>
        <w:t xml:space="preserve"> Prehram</w:t>
        <w:softHyphen/>
        <w:t>beni propisi nadopunjeni su vremenski pove</w:t>
        <w:softHyphen/>
        <w:t>zanim prehrambenim zabranama: glede plodo</w:t>
        <w:softHyphen/>
        <w:t xml:space="preserve">va voćaka tijekom tri godine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19,23-25), kvasnog jela na Pesah (Izl 12,15.17-19; M Pe</w:t>
        <w:softHyphen/>
        <w:t>sahim 1,1; 11,1-4; 111,3), jela i pića na dane posta, tc na Dan pomirenja: »Ovaj zakon ne</w:t>
        <w:softHyphen/>
        <w:t xml:space="preserve">ka za vas trajno vrijedi. U sedmom mjesecu, deseti dan toga mjeseca, postite (»ponizite dušu«)«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16,29; M Joma VIII,1) i u dru</w:t>
        <w:softHyphen/>
        <w:t>gim prigodama (Zali 7,3 i d.; 8,19; b Roš ha- šana 18b; Pesahim 54b; M Taanit 1,3-7). Do</w:t>
        <w:softHyphen/>
        <w:t>datni prehrambeni propisi odnose se na šabat, na neke blagdane, npr., na Novu godinu, Pu</w:t>
        <w:softHyphen/>
        <w:t>rini i Pesah te na prvi obrok žalobnika nakon ukopa rođaka.</w:t>
      </w:r>
    </w:p>
    <w:p>
      <w:pPr>
        <w:pStyle w:val="Style56"/>
        <w:keepNext w:val="0"/>
        <w:keepLines w:val="0"/>
        <w:widowControl w:val="0"/>
        <w:shd w:val="clear" w:color="auto" w:fill="auto"/>
        <w:tabs>
          <w:tab w:pos="2467" w:val="left"/>
        </w:tabs>
        <w:bidi w:val="0"/>
        <w:spacing w:before="0" w:after="40" w:line="266" w:lineRule="auto"/>
        <w:ind w:left="0" w:right="0" w:firstLine="0"/>
        <w:jc w:val="both"/>
      </w:pPr>
      <w:r>
        <w:rPr>
          <w:color w:val="000000"/>
          <w:spacing w:val="0"/>
          <w:w w:val="100"/>
          <w:position w:val="0"/>
          <w:shd w:val="clear" w:color="auto" w:fill="auto"/>
          <w:lang w:val="hr-HR" w:eastAsia="hr-HR" w:bidi="hr-HR"/>
        </w:rPr>
        <w:t>[</w:t>
      </w:r>
      <w:r>
        <w:rPr>
          <w:color w:val="000000"/>
          <w:spacing w:val="0"/>
          <w:w w:val="100"/>
          <w:position w:val="0"/>
          <w:shd w:val="clear" w:color="auto" w:fill="auto"/>
        </w:rPr>
        <w:t xml:space="preserve">.it.; </w:t>
      </w:r>
      <w:r>
        <w:rPr>
          <w:b/>
          <w:bCs/>
          <w:i/>
          <w:iCs/>
          <w:color w:val="000000"/>
          <w:spacing w:val="0"/>
          <w:w w:val="100"/>
          <w:position w:val="0"/>
          <w:sz w:val="9"/>
          <w:szCs w:val="9"/>
          <w:shd w:val="clear" w:color="auto" w:fill="auto"/>
        </w:rPr>
        <w:t>Kiiznr Schulchan Aruch</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(ubcrsctzl </w:t>
      </w:r>
      <w:r>
        <w:rPr>
          <w:color w:val="000000"/>
          <w:spacing w:val="0"/>
          <w:w w:val="100"/>
          <w:position w:val="0"/>
          <w:shd w:val="clear" w:color="auto" w:fill="auto"/>
        </w:rPr>
        <w:t xml:space="preserve">von </w:t>
      </w:r>
      <w:r>
        <w:rPr>
          <w:color w:val="000000"/>
          <w:spacing w:val="0"/>
          <w:w w:val="100"/>
          <w:position w:val="0"/>
          <w:shd w:val="clear" w:color="auto" w:fill="auto"/>
          <w:lang w:val="hr-HR" w:eastAsia="hr-HR" w:bidi="hr-HR"/>
        </w:rPr>
        <w:t xml:space="preserve">S. </w:t>
      </w:r>
      <w:r>
        <w:rPr>
          <w:color w:val="000000"/>
          <w:spacing w:val="0"/>
          <w:w w:val="100"/>
          <w:position w:val="0"/>
          <w:shd w:val="clear" w:color="auto" w:fill="auto"/>
        </w:rPr>
        <w:t xml:space="preserve">Bamberger), </w:t>
      </w:r>
      <w:r>
        <w:rPr>
          <w:color w:val="000000"/>
          <w:spacing w:val="0"/>
          <w:w w:val="100"/>
          <w:position w:val="0"/>
          <w:shd w:val="clear" w:color="auto" w:fill="auto"/>
          <w:lang w:val="hr-HR" w:eastAsia="hr-HR" w:bidi="hr-HR"/>
        </w:rPr>
        <w:t xml:space="preserve">1, 1969, Kap. 35—61: F. </w:t>
      </w:r>
      <w:r>
        <w:rPr>
          <w:color w:val="000000"/>
          <w:spacing w:val="0"/>
          <w:w w:val="100"/>
          <w:position w:val="0"/>
          <w:shd w:val="clear" w:color="auto" w:fill="auto"/>
        </w:rPr>
        <w:t xml:space="preserve">lluebccgec </w:t>
      </w:r>
      <w:r>
        <w:rPr>
          <w:color w:val="000000"/>
          <w:spacing w:val="0"/>
          <w:w w:val="100"/>
          <w:position w:val="0"/>
          <w:shd w:val="clear" w:color="auto" w:fill="auto"/>
          <w:lang w:val="hr-HR" w:eastAsia="hr-HR" w:bidi="hr-HR"/>
        </w:rPr>
        <w:t xml:space="preserve">(Hrsg ), /u&lt;/n&lt;*hes Frst. </w:t>
      </w:r>
      <w:r>
        <w:rPr>
          <w:b/>
          <w:bCs/>
          <w:i/>
          <w:iCs/>
          <w:color w:val="000000"/>
          <w:spacing w:val="0"/>
          <w:w w:val="100"/>
          <w:position w:val="0"/>
          <w:sz w:val="9"/>
          <w:szCs w:val="9"/>
          <w:shd w:val="clear" w:color="auto" w:fill="auto"/>
        </w:rPr>
        <w:t xml:space="preserve">Jwlischer </w:t>
      </w:r>
      <w:r>
        <w:rPr>
          <w:b/>
          <w:bCs/>
          <w:i/>
          <w:iCs/>
          <w:color w:val="000000"/>
          <w:spacing w:val="0"/>
          <w:w w:val="100"/>
          <w:position w:val="0"/>
          <w:sz w:val="9"/>
          <w:szCs w:val="9"/>
          <w:shd w:val="clear" w:color="auto" w:fill="auto"/>
          <w:lang w:val="hr-HR" w:eastAsia="hr-HR" w:bidi="hr-HR"/>
        </w:rPr>
        <w:t>iirauch,</w:t>
      </w:r>
      <w:r>
        <w:rPr>
          <w:color w:val="000000"/>
          <w:spacing w:val="0"/>
          <w:w w:val="100"/>
          <w:position w:val="0"/>
          <w:shd w:val="clear" w:color="auto" w:fill="auto"/>
          <w:lang w:val="hr-HR" w:eastAsia="hr-HR" w:bidi="hr-HR"/>
        </w:rPr>
        <w:t xml:space="preserve"> 1937.1967/1979. 17 i d„ A. Gcrcchtcr, </w:t>
      </w:r>
      <w:r>
        <w:rPr>
          <w:b/>
          <w:bCs/>
          <w:i/>
          <w:iCs/>
          <w:color w:val="000000"/>
          <w:spacing w:val="0"/>
          <w:w w:val="100"/>
          <w:position w:val="0"/>
          <w:sz w:val="9"/>
          <w:szCs w:val="9"/>
          <w:shd w:val="clear" w:color="auto" w:fill="auto"/>
        </w:rPr>
        <w:t xml:space="preserve">Die </w:t>
      </w:r>
      <w:r>
        <w:rPr>
          <w:b/>
          <w:bCs/>
          <w:i/>
          <w:iCs/>
          <w:color w:val="000000"/>
          <w:spacing w:val="0"/>
          <w:w w:val="100"/>
          <w:position w:val="0"/>
          <w:sz w:val="9"/>
          <w:szCs w:val="9"/>
          <w:shd w:val="clear" w:color="auto" w:fill="auto"/>
          <w:lang w:val="hr-HR" w:eastAsia="hr-HR" w:bidi="hr-HR"/>
        </w:rPr>
        <w:t xml:space="preserve">Bfde'.mtng der Gebote im </w:t>
      </w:r>
      <w:r>
        <w:rPr>
          <w:b/>
          <w:bCs/>
          <w:i/>
          <w:iCs/>
          <w:color w:val="000000"/>
          <w:spacing w:val="0"/>
          <w:w w:val="100"/>
          <w:position w:val="0"/>
          <w:sz w:val="9"/>
          <w:szCs w:val="9"/>
          <w:shd w:val="clear" w:color="auto" w:fill="auto"/>
        </w:rPr>
        <w:t>Jwlemum,</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1929/1983, 107-120; R </w:t>
      </w:r>
      <w:r>
        <w:rPr>
          <w:color w:val="000000"/>
          <w:spacing w:val="0"/>
          <w:w w:val="100"/>
          <w:position w:val="0"/>
          <w:shd w:val="clear" w:color="auto" w:fill="auto"/>
        </w:rPr>
        <w:t xml:space="preserve">Gradwolil, </w:t>
      </w:r>
      <w:r>
        <w:rPr>
          <w:b/>
          <w:bCs/>
          <w:i/>
          <w:iCs/>
          <w:color w:val="000000"/>
          <w:spacing w:val="0"/>
          <w:w w:val="100"/>
          <w:position w:val="0"/>
          <w:sz w:val="9"/>
          <w:szCs w:val="9"/>
          <w:shd w:val="clear" w:color="auto" w:fill="auto"/>
          <w:lang w:val="hr-HR" w:eastAsia="hr-HR" w:bidi="hr-HR"/>
        </w:rPr>
        <w:t>Gntndgcsetze des Judenlums,</w:t>
      </w:r>
      <w:r>
        <w:rPr>
          <w:color w:val="000000"/>
          <w:spacing w:val="0"/>
          <w:w w:val="100"/>
          <w:position w:val="0"/>
          <w:shd w:val="clear" w:color="auto" w:fill="auto"/>
          <w:lang w:val="hr-HR" w:eastAsia="hr-HR" w:bidi="hr-HR"/>
        </w:rPr>
        <w:t xml:space="preserve"> '1984, 60-64; H.l. </w:t>
      </w:r>
      <w:r>
        <w:rPr>
          <w:color w:val="000000"/>
          <w:spacing w:val="0"/>
          <w:w w:val="100"/>
          <w:position w:val="0"/>
          <w:shd w:val="clear" w:color="auto" w:fill="auto"/>
        </w:rPr>
        <w:t xml:space="preserve">Gruncwald, </w:t>
      </w:r>
      <w:r>
        <w:rPr>
          <w:b/>
          <w:bCs/>
          <w:i/>
          <w:iCs/>
          <w:color w:val="000000"/>
          <w:spacing w:val="0"/>
          <w:w w:val="100"/>
          <w:position w:val="0"/>
          <w:sz w:val="9"/>
          <w:szCs w:val="9"/>
          <w:shd w:val="clear" w:color="auto" w:fill="auto"/>
        </w:rPr>
        <w:t>Die I.ehre Israels,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1970, 128-132; </w:t>
      </w:r>
      <w:r>
        <w:rPr>
          <w:color w:val="000000"/>
          <w:spacing w:val="0"/>
          <w:w w:val="100"/>
          <w:position w:val="0"/>
          <w:shd w:val="clear" w:color="auto" w:fill="auto"/>
        </w:rPr>
        <w:t xml:space="preserve">I.. </w:t>
      </w:r>
      <w:r>
        <w:rPr>
          <w:color w:val="000000"/>
          <w:spacing w:val="0"/>
          <w:w w:val="100"/>
          <w:position w:val="0"/>
          <w:shd w:val="clear" w:color="auto" w:fill="auto"/>
          <w:lang w:val="hr-HR" w:eastAsia="hr-HR" w:bidi="hr-HR"/>
        </w:rPr>
        <w:t xml:space="preserve">Hirscb, </w:t>
      </w:r>
      <w:r>
        <w:rPr>
          <w:b/>
          <w:bCs/>
          <w:i/>
          <w:iCs/>
          <w:color w:val="000000"/>
          <w:spacing w:val="0"/>
          <w:w w:val="100"/>
          <w:position w:val="0"/>
          <w:sz w:val="9"/>
          <w:szCs w:val="9"/>
          <w:shd w:val="clear" w:color="auto" w:fill="auto"/>
        </w:rPr>
        <w:t xml:space="preserve">Judmche </w:t>
      </w:r>
      <w:r>
        <w:rPr>
          <w:b/>
          <w:bCs/>
          <w:i/>
          <w:iCs/>
          <w:color w:val="000000"/>
          <w:spacing w:val="0"/>
          <w:w w:val="100"/>
          <w:position w:val="0"/>
          <w:sz w:val="9"/>
          <w:szCs w:val="9"/>
          <w:shd w:val="clear" w:color="auto" w:fill="auto"/>
        </w:rPr>
        <w:t>Glaubensw.lt</w:t>
      </w:r>
      <w:r>
        <w:rPr>
          <w:b/>
          <w:bCs/>
          <w:i/>
          <w:iCs/>
          <w:color w:val="000000"/>
          <w:spacing w:val="0"/>
          <w:w w:val="100"/>
          <w:position w:val="0"/>
          <w:sz w:val="9"/>
          <w:szCs w:val="9"/>
          <w:shd w:val="clear" w:color="auto" w:fill="auto"/>
        </w:rPr>
        <w:t>,</w:t>
      </w:r>
      <w:r>
        <w:rPr>
          <w:color w:val="000000"/>
          <w:spacing w:val="0"/>
          <w:w w:val="100"/>
          <w:position w:val="0"/>
          <w:shd w:val="clear" w:color="auto" w:fill="auto"/>
        </w:rPr>
        <w:t xml:space="preserve"> 1978, 58-72.</w:t>
        <w:tab/>
        <w:t>I). VUTIliR</w:t>
      </w:r>
    </w:p>
    <w:p>
      <w:pPr>
        <w:pStyle w:val="Style56"/>
        <w:keepNext w:val="0"/>
        <w:keepLines w:val="0"/>
        <w:widowControl w:val="0"/>
        <w:numPr>
          <w:ilvl w:val="0"/>
          <w:numId w:val="649"/>
        </w:numPr>
        <w:shd w:val="clear" w:color="auto" w:fill="auto"/>
        <w:tabs>
          <w:tab w:pos="250" w:val="left"/>
        </w:tabs>
        <w:bidi w:val="0"/>
        <w:spacing w:before="0" w:after="60" w:line="240" w:lineRule="auto"/>
        <w:ind w:left="0" w:right="0" w:firstLine="0"/>
        <w:jc w:val="both"/>
      </w:pP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Starozavjetni zakoni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hrani počivaju na raz</w:t>
        <w:softHyphen/>
        <w:t xml:space="preserve">likovanju između čistog i nečistog te na obrani od služenja kumirima. &gt; Krv vrijedi kao duša (Post 9,4; Pnz 12,23) ili kao sjedište duše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17,11); postoji strah da se kod blagovanja krvi svoja duša pomiješa s tuđom opasnom dušom ili se krv promatra kao sredstvo okajanja (Lov 17,11; usp. 17,13; Pnz 12,16.24). Zabrana bla</w:t>
        <w:softHyphen/>
        <w:t xml:space="preserve">govanja krvi (Post 9,4;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19,26; 1 Sam 14,32-35) prijeti najstrožim kaznama </w:t>
      </w:r>
      <w:r>
        <w:rPr>
          <w:rFonts w:ascii="Times New Roman" w:eastAsia="Times New Roman" w:hAnsi="Times New Roman" w:cs="Times New Roman"/>
          <w:color w:val="000000"/>
          <w:spacing w:val="0"/>
          <w:w w:val="100"/>
          <w:position w:val="0"/>
          <w:shd w:val="clear" w:color="auto" w:fill="auto"/>
          <w:lang w:val="en-US" w:eastAsia="en-US" w:bidi="en-US"/>
        </w:rPr>
        <w:t>(Lev</w:t>
      </w:r>
    </w:p>
    <w:p>
      <w:pPr>
        <w:pStyle w:val="Style20"/>
        <w:keepNext w:val="0"/>
        <w:keepLines w:val="0"/>
        <w:widowControl w:val="0"/>
        <w:numPr>
          <w:ilvl w:val="0"/>
          <w:numId w:val="653"/>
        </w:numPr>
        <w:shd w:val="clear" w:color="auto" w:fill="auto"/>
        <w:tabs>
          <w:tab w:pos="721"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Na toj se pozadini razumije i za</w:t>
        <w:softHyphen/>
        <w:t>brana da se blaguje ili dotiče (isto) meso ugi</w:t>
        <w:softHyphen/>
        <w:t xml:space="preserve">nule ili rastrgane životinje krv koje nije istekla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11,39 i d.; 17,15). Izl 21,28 zabranjuje blagovanje mesa nekoga goveda koje je ubilo čovjeka, </w:t>
      </w:r>
      <w:r>
        <w:rPr>
          <w:rFonts w:ascii="Times New Roman" w:eastAsia="Times New Roman" w:hAnsi="Times New Roman" w:cs="Times New Roman"/>
          <w:color w:val="000000"/>
          <w:spacing w:val="0"/>
          <w:w w:val="100"/>
          <w:position w:val="0"/>
          <w:shd w:val="clear" w:color="auto" w:fill="auto"/>
          <w:lang w:val="en-US" w:eastAsia="en-US" w:bidi="en-US"/>
        </w:rPr>
        <w:t xml:space="preserve">a Lev </w:t>
      </w:r>
      <w:r>
        <w:rPr>
          <w:rFonts w:ascii="Times New Roman" w:eastAsia="Times New Roman" w:hAnsi="Times New Roman" w:cs="Times New Roman"/>
          <w:color w:val="000000"/>
          <w:spacing w:val="0"/>
          <w:w w:val="100"/>
          <w:position w:val="0"/>
          <w:shd w:val="clear" w:color="auto" w:fill="auto"/>
          <w:lang w:val="hr-HR" w:eastAsia="hr-HR" w:bidi="hr-HR"/>
        </w:rPr>
        <w:t>11 i Pnz. 14,3-9 zabranjuju bla</w:t>
        <w:softHyphen/>
        <w:t xml:space="preserve">govanje mesa svih nečistih životinja. Ostale zabrane odnose se na loj žrtvenih životinja, goveda, ovce i koze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7,22 i d.), loj uginulih ili razderanih životinja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7,24) i na plodove voćaka tijekom prvih triju godina koje su u četvrtoj godini posvećene Bogu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19.23-25). Jela su onečišćena lešinom koja leži u kući (Br</w:t>
      </w:r>
    </w:p>
    <w:p>
      <w:pPr>
        <w:pStyle w:val="Style20"/>
        <w:keepNext w:val="0"/>
        <w:keepLines w:val="0"/>
        <w:widowControl w:val="0"/>
        <w:numPr>
          <w:ilvl w:val="0"/>
          <w:numId w:val="655"/>
        </w:numPr>
        <w:shd w:val="clear" w:color="auto" w:fill="auto"/>
        <w:tabs>
          <w:tab w:pos="726" w:val="left"/>
        </w:tabs>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 također važe za nečista jela ako su proizvedena u tuđim tj. nečistim zemljama - prije svega od nežidova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7,17). U novo- zavjetnom vremenu Isus odbija razliku izme</w:t>
        <w:softHyphen/>
        <w:t>đu čistoga i nečistoga, jer samo srce može čo</w:t>
        <w:softHyphen/>
        <w:t>vjeka učiniti nečistim (Mk 7,14 i d.). Pa ipak, u prijelaznoj fazi apostolsko pismo iz Jeru</w:t>
        <w:softHyphen/>
        <w:t>zalema zabranjuje kršćanskim obraćenicima s poganstva iz Antiohije, Sirije i Cilicije, iz ob</w:t>
        <w:softHyphen/>
        <w:t>zira prema judeokršćanima. uživanje mesa koje je žrtvovano idolima te krvi i udavljenih životinja (Dj 15,28 i d.). Kasnije se Pavao go</w:t>
        <w:softHyphen/>
        <w:t>tovo ne obazire na ova pravila (1 Kor 8; Gal 4,9; Kol 2.21).</w:t>
      </w:r>
    </w:p>
    <w:p>
      <w:pPr>
        <w:pStyle w:val="Style56"/>
        <w:keepNext w:val="0"/>
        <w:keepLines w:val="0"/>
        <w:widowControl w:val="0"/>
        <w:shd w:val="clear" w:color="auto" w:fill="auto"/>
        <w:tabs>
          <w:tab w:pos="2285" w:val="left"/>
        </w:tabs>
        <w:bidi w:val="0"/>
        <w:spacing w:before="0" w:after="160" w:line="240" w:lineRule="auto"/>
        <w:ind w:left="0" w:right="0" w:firstLine="0"/>
        <w:jc w:val="both"/>
      </w:pPr>
      <w:r>
        <w:rPr>
          <w:color w:val="000000"/>
          <w:spacing w:val="0"/>
          <w:w w:val="100"/>
          <w:position w:val="0"/>
          <w:shd w:val="clear" w:color="auto" w:fill="auto"/>
          <w:lang w:val="hr-HR" w:eastAsia="hr-HR" w:bidi="hr-HR"/>
        </w:rPr>
        <w:t xml:space="preserve">Lili A Grabncrlhidcr (lirsg,), </w:t>
      </w:r>
      <w:r>
        <w:rPr>
          <w:b/>
          <w:bCs/>
          <w:i/>
          <w:iCs/>
          <w:color w:val="000000"/>
          <w:spacing w:val="0"/>
          <w:w w:val="100"/>
          <w:position w:val="0"/>
          <w:sz w:val="9"/>
          <w:szCs w:val="9"/>
          <w:shd w:val="clear" w:color="auto" w:fill="auto"/>
          <w:lang w:val="hr-HR" w:eastAsia="hr-HR" w:bidi="hr-HR"/>
        </w:rPr>
        <w:t xml:space="preserve">Praktisches </w:t>
      </w:r>
      <w:r>
        <w:rPr>
          <w:b/>
          <w:bCs/>
          <w:i/>
          <w:iCs/>
          <w:color w:val="000000"/>
          <w:spacing w:val="0"/>
          <w:w w:val="100"/>
          <w:position w:val="0"/>
          <w:sz w:val="9"/>
          <w:szCs w:val="9"/>
          <w:shd w:val="clear" w:color="auto" w:fill="auto"/>
        </w:rPr>
        <w:t xml:space="preserve">Bibellexikon. </w:t>
      </w:r>
      <w:r>
        <w:rPr>
          <w:color w:val="000000"/>
          <w:spacing w:val="0"/>
          <w:w w:val="100"/>
          <w:position w:val="0"/>
          <w:shd w:val="clear" w:color="auto" w:fill="auto"/>
        </w:rPr>
        <w:t xml:space="preserve">Frcibur^'Ba.scL'Wjcr, </w:t>
      </w:r>
      <w:r>
        <w:rPr>
          <w:color w:val="000000"/>
          <w:spacing w:val="0"/>
          <w:w w:val="100"/>
          <w:position w:val="0"/>
          <w:shd w:val="clear" w:color="auto" w:fill="auto"/>
          <w:lang w:val="hr-HR" w:eastAsia="hr-HR" w:bidi="hr-HR"/>
        </w:rPr>
        <w:t xml:space="preserve">1969; H. </w:t>
      </w:r>
      <w:r>
        <w:rPr>
          <w:color w:val="000000"/>
          <w:spacing w:val="0"/>
          <w:w w:val="100"/>
          <w:position w:val="0"/>
          <w:shd w:val="clear" w:color="auto" w:fill="auto"/>
        </w:rPr>
        <w:t xml:space="preserve">Haag (Hrsg.), </w:t>
      </w:r>
      <w:r>
        <w:rPr>
          <w:b/>
          <w:bCs/>
          <w:i/>
          <w:iCs/>
          <w:color w:val="000000"/>
          <w:spacing w:val="0"/>
          <w:w w:val="100"/>
          <w:position w:val="0"/>
          <w:sz w:val="9"/>
          <w:szCs w:val="9"/>
          <w:shd w:val="clear" w:color="auto" w:fill="auto"/>
        </w:rPr>
        <w:t xml:space="preserve">Bibelladkon, </w:t>
      </w:r>
      <w:r>
        <w:rPr>
          <w:color w:val="000000"/>
          <w:spacing w:val="0"/>
          <w:w w:val="100"/>
          <w:position w:val="0"/>
          <w:shd w:val="clear" w:color="auto" w:fill="auto"/>
          <w:lang w:val="hr-HR" w:eastAsia="hr-HR" w:bidi="hr-HR"/>
        </w:rPr>
        <w:t>EinMcđcIn/Zurich-Kdln '1982.</w:t>
        <w:tab/>
        <w:t>G.GIRSUl&amp;K</w:t>
      </w:r>
    </w:p>
    <w:p>
      <w:pPr>
        <w:pStyle w:val="Style56"/>
        <w:keepNext w:val="0"/>
        <w:keepLines w:val="0"/>
        <w:widowControl w:val="0"/>
        <w:numPr>
          <w:ilvl w:val="0"/>
          <w:numId w:val="649"/>
        </w:numPr>
        <w:shd w:val="clear" w:color="auto" w:fill="auto"/>
        <w:tabs>
          <w:tab w:pos="260" w:val="left"/>
        </w:tabs>
        <w:bidi w:val="0"/>
        <w:spacing w:before="0" w:after="60" w:line="240" w:lineRule="auto"/>
        <w:ind w:left="0" w:right="0" w:firstLine="0"/>
        <w:jc w:val="both"/>
      </w:pPr>
      <w:r>
        <w:rPr>
          <w:b/>
          <w:bCs/>
          <w:color w:val="000000"/>
          <w:spacing w:val="0"/>
          <w:w w:val="100"/>
          <w:position w:val="0"/>
          <w:shd w:val="clear" w:color="auto" w:fill="auto"/>
          <w:lang w:val="hr-HR" w:eastAsia="hr-HR" w:bidi="hr-HR"/>
        </w:rPr>
        <w:t>islamski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 p. u islamu usko se oslanjaju na mojsijevski kodeks. Dozvoljena jela zovu se u pravilu </w:t>
      </w:r>
      <w:r>
        <w:rPr>
          <w:rFonts w:ascii="Times New Roman" w:eastAsia="Times New Roman" w:hAnsi="Times New Roman" w:cs="Times New Roman"/>
          <w:color w:val="000000"/>
          <w:spacing w:val="0"/>
          <w:w w:val="100"/>
          <w:position w:val="0"/>
          <w:shd w:val="clear" w:color="auto" w:fill="auto"/>
          <w:lang w:val="en-US" w:eastAsia="en-US" w:bidi="en-US"/>
        </w:rPr>
        <w:t>ha</w:t>
        <w:softHyphen/>
        <w:t xml:space="preserve">lal </w:t>
      </w:r>
      <w:r>
        <w:rPr>
          <w:rFonts w:ascii="Times New Roman" w:eastAsia="Times New Roman" w:hAnsi="Times New Roman" w:cs="Times New Roman"/>
          <w:color w:val="000000"/>
          <w:spacing w:val="0"/>
          <w:w w:val="100"/>
          <w:position w:val="0"/>
          <w:shd w:val="clear" w:color="auto" w:fill="auto"/>
          <w:lang w:val="hr-HR" w:eastAsia="hr-HR" w:bidi="hr-HR"/>
        </w:rPr>
        <w:t>(dozvoljeno), a zabranjena haram (nedo</w:t>
        <w:softHyphen/>
        <w:t>zvoljeno). Zabrana može biti apsolutna ili re</w:t>
        <w:softHyphen/>
        <w:t>lativna. Apsolutno je zabranjeno npr. uživanje svinjskoga mesa i alkohola. Relativno su za</w:t>
        <w:softHyphen/>
        <w:t>branjena ukradena ili protupravno stečena je</w:t>
        <w:softHyphen/>
        <w:t xml:space="preserve">la. Ako jelo nije stečeno pravedno, ono onda automatski potpada pod zabranu, bez. obzira </w:t>
      </w:r>
      <w:r>
        <w:rPr>
          <w:rFonts w:ascii="Times New Roman" w:eastAsia="Times New Roman" w:hAnsi="Times New Roman" w:cs="Times New Roman"/>
          <w:color w:val="000000"/>
          <w:spacing w:val="0"/>
          <w:w w:val="100"/>
          <w:position w:val="0"/>
          <w:shd w:val="clear" w:color="auto" w:fill="auto"/>
          <w:lang w:val="hr-HR" w:eastAsia="hr-HR" w:bidi="hr-HR"/>
        </w:rPr>
        <w:t>na njegovo supstancijalno svojstvo. U eks</w:t>
        <w:softHyphen/>
        <w:t>tremnim situacijama nevolje čovjek biva oslo</w:t>
        <w:softHyphen/>
        <w:t>bođen zakona prehrane. Takva je situacija ka</w:t>
        <w:softHyphen/>
        <w:t>da je čovjekov život u opasnosti. U takvom sc slučaju ne nalaže pokora za prekoračivanje zakona.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Uživanje krvi je zabranjeno, ali je, nasuprot tomu, dozvoljena transfuzija krvi. Vladaju različita mišljenja o tome, je li presađivanje organa dozvoljeno ili nije. Ni u najvećoj nuždi nije dopušteno jesti ljudsko meso; stoga su mnogi učenjaci skloni smatrati zabranjenim presađivanje ljudskih organa. Grešnik je onaj tko umire zbog štrajka glađu. Dakle, sam je štrajk glađu dopušten do izvjesne razumne granice. Odbijanje uzimanja lijekova u starijoj sc tradiciji nije smatralo grijehom. Suvremeni su učenjaci svakako drugačijega mišljenja. Oni zastupaju nazor da je život neotuđiva vri</w:t>
        <w:softHyphen/>
        <w:t>jednost koja sc treba čuvati u svim okolnos</w:t>
        <w:softHyphen/>
        <w:t>tima.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treba jesti jedino kako bi umirio svoju glad i pritom mora umjereno uživati božanske milosti. Ncumjcrenost lako prelazi u prežde- ravanje. Ono sc u Kuranu oštro osuđuje. Je</w:t>
        <w:softHyphen/>
        <w:t>dino prije izlaska Sunca u ramazanu, kratko prije dnevnoga posta, i u nazočnosti gosta bla</w:t>
        <w:softHyphen/>
        <w:t>goslovljenoga dobrim tekom smije se za jednu jotu prekoračiti mjera kako se gost zbog pre</w:t>
        <w:softHyphen/>
        <w:t>ranoga napuštanja stola ne bi onesvijestio. Brojna jela na stolu važe kao rasipništvo (is- raf) i vjerski su neprihvatljiva.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Supstancijalno zabranjena jela dijele se u šest skupina: 1. </w:t>
      </w:r>
      <w:r>
        <w:rPr>
          <w:rFonts w:ascii="Times New Roman" w:eastAsia="Times New Roman" w:hAnsi="Times New Roman" w:cs="Times New Roman"/>
          <w:i/>
          <w:iCs/>
          <w:color w:val="000000"/>
          <w:spacing w:val="0"/>
          <w:w w:val="100"/>
          <w:position w:val="0"/>
          <w:shd w:val="clear" w:color="auto" w:fill="auto"/>
          <w:lang w:val="hr-HR" w:eastAsia="hr-HR" w:bidi="hr-HR"/>
        </w:rPr>
        <w:t>jela</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sredstva uživanja, čijim se uzimanjem zamagljuje čovjekova svijest.</w:t>
      </w:r>
      <w:r>
        <w:rPr>
          <w:rFonts w:ascii="Times New Roman" w:eastAsia="Times New Roman" w:hAnsi="Times New Roman" w:cs="Times New Roman"/>
          <w:color w:val="000000"/>
          <w:spacing w:val="0"/>
          <w:w w:val="100"/>
          <w:position w:val="0"/>
          <w:shd w:val="clear" w:color="auto" w:fill="auto"/>
          <w:lang w:val="hr-HR" w:eastAsia="hr-HR" w:bidi="hr-HR"/>
        </w:rPr>
        <w:t xml:space="preserve"> Ovdje prvo mjesto zauzima alkohol. Sve što opija zabranjeno je i u manjim količinama. Alkohol po svojim fizikalnim svojstvima važi kao ob</w:t>
        <w:softHyphen/>
        <w:t>redno nečist. Tako se npr. molitva ne obavlja u odjeći koja je poprskana vinom ili općenito alkoholom. Nedvojbeno je protivljenje upo</w:t>
        <w:softHyphen/>
        <w:t>trebi alkohola u kemijskoj industriji. S hlaplje- njem alkohola prestaje njegova obredna nečis</w:t>
        <w:softHyphen/>
        <w:t>toća. Supstancijalna promjena, recimo pretva</w:t>
        <w:softHyphen/>
        <w:t>ranje vina u ocat, uzrokuje ukidanje zabrane.</w:t>
      </w:r>
    </w:p>
    <w:p>
      <w:pPr>
        <w:pStyle w:val="Style20"/>
        <w:keepNext w:val="0"/>
        <w:keepLines w:val="0"/>
        <w:widowControl w:val="0"/>
        <w:numPr>
          <w:ilvl w:val="0"/>
          <w:numId w:val="657"/>
        </w:numPr>
        <w:shd w:val="clear" w:color="auto" w:fill="auto"/>
        <w:tabs>
          <w:tab w:pos="236"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Opojne droge,</w:t>
      </w:r>
      <w:r>
        <w:rPr>
          <w:rFonts w:ascii="Times New Roman" w:eastAsia="Times New Roman" w:hAnsi="Times New Roman" w:cs="Times New Roman"/>
          <w:color w:val="000000"/>
          <w:spacing w:val="0"/>
          <w:w w:val="100"/>
          <w:position w:val="0"/>
          <w:shd w:val="clear" w:color="auto" w:fill="auto"/>
          <w:lang w:val="hr-HR" w:eastAsia="hr-HR" w:bidi="hr-HR"/>
        </w:rPr>
        <w:t xml:space="preserve"> koje po sebi nisu nečiste, ali su ipak zabranjene. Njihova je upotreba doz</w:t>
        <w:softHyphen/>
        <w:t>voljena samo u medicini. Za njih ne vrijedi zakon: »Sve što opija uzeto u većim količi</w:t>
        <w:softHyphen/>
        <w:t>nama, zabranjeno je i u manjim količinama«.</w:t>
      </w:r>
    </w:p>
    <w:p>
      <w:pPr>
        <w:pStyle w:val="Style20"/>
        <w:keepNext w:val="0"/>
        <w:keepLines w:val="0"/>
        <w:widowControl w:val="0"/>
        <w:numPr>
          <w:ilvl w:val="0"/>
          <w:numId w:val="657"/>
        </w:numPr>
        <w:shd w:val="clear" w:color="auto" w:fill="auto"/>
        <w:tabs>
          <w:tab w:pos="25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Obredno nečista jela i pića bez opojnog učin</w:t>
        <w:softHyphen/>
        <w:t>ka.</w:t>
      </w:r>
      <w:r>
        <w:rPr>
          <w:rFonts w:ascii="Times New Roman" w:eastAsia="Times New Roman" w:hAnsi="Times New Roman" w:cs="Times New Roman"/>
          <w:color w:val="000000"/>
          <w:spacing w:val="0"/>
          <w:w w:val="100"/>
          <w:position w:val="0"/>
          <w:shd w:val="clear" w:color="auto" w:fill="auto"/>
          <w:lang w:val="hr-HR" w:eastAsia="hr-HR" w:bidi="hr-HR"/>
        </w:rPr>
        <w:t xml:space="preserve"> Ovdje spadaju svinjsko meso, svinjska </w:t>
      </w:r>
      <w:r>
        <w:rPr>
          <w:rFonts w:ascii="Times New Roman" w:eastAsia="Times New Roman" w:hAnsi="Times New Roman" w:cs="Times New Roman"/>
          <w:color w:val="000000"/>
          <w:spacing w:val="0"/>
          <w:w w:val="100"/>
          <w:position w:val="0"/>
          <w:shd w:val="clear" w:color="auto" w:fill="auto"/>
          <w:lang w:val="hr-HR" w:eastAsia="hr-HR" w:bidi="hr-HR"/>
        </w:rPr>
        <w:t>mast, meso nečistih životinja, krv, mokraća i korištena voda. Nametanje prehrambenih propisa nije samo vjerski utemeljeno. Pritom ulogu igraju i medicinski, ćudoredni i estetski zakoni. U islamu nisu prihvaćeni svi mojsi- jevski z. p. Tako suprotno mojsijevskomu na</w:t>
        <w:softHyphen/>
        <w:t>uku obredno se čistim smatraju kamila, zec i manje ptice. U kategoriju čistih životinja za</w:t>
        <w:softHyphen/>
        <w:t>tim spadaju svi preživari s rascijepljenim pap</w:t>
        <w:softHyphen/>
        <w:t>cima. Konjsko meso i meso domaćega ma</w:t>
        <w:softHyphen/>
        <w:t>garca nije rado viđeno na jelovniku; ono je makruh (vjerski nepoželjno). Isto važi i za ma</w:t>
        <w:softHyphen/>
        <w:t>gareće mlijeko. Nasuprot tomu, zabranjeno je meso divljega magarca. S iznimkom riba koje jedu ljude, npr. morskog psa, sve su ribe čiste, pa i one koje nemaju nikakve krljušti ili pe</w:t>
        <w:softHyphen/>
        <w:t>raje, i prema tomu neupitne za uživanje.</w:t>
      </w:r>
    </w:p>
    <w:p>
      <w:pPr>
        <w:pStyle w:val="Style20"/>
        <w:keepNext w:val="0"/>
        <w:keepLines w:val="0"/>
        <w:widowControl w:val="0"/>
        <w:numPr>
          <w:ilvl w:val="0"/>
          <w:numId w:val="657"/>
        </w:numPr>
        <w:shd w:val="clear" w:color="auto" w:fill="auto"/>
        <w:tabs>
          <w:tab w:pos="250"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Štetne tvari</w:t>
      </w:r>
      <w:r>
        <w:rPr>
          <w:rFonts w:ascii="Times New Roman" w:eastAsia="Times New Roman" w:hAnsi="Times New Roman" w:cs="Times New Roman"/>
          <w:color w:val="000000"/>
          <w:spacing w:val="0"/>
          <w:w w:val="100"/>
          <w:position w:val="0"/>
          <w:shd w:val="clear" w:color="auto" w:fill="auto"/>
          <w:lang w:val="hr-HR" w:eastAsia="hr-HR" w:bidi="hr-HR"/>
        </w:rPr>
        <w:t xml:space="preserve"> koje ljudi i životinje bez dalj</w:t>
        <w:softHyphen/>
        <w:t xml:space="preserve">njega izbjegavaju. 5. </w:t>
      </w:r>
      <w:r>
        <w:rPr>
          <w:rFonts w:ascii="Times New Roman" w:eastAsia="Times New Roman" w:hAnsi="Times New Roman" w:cs="Times New Roman"/>
          <w:i/>
          <w:iCs/>
          <w:color w:val="000000"/>
          <w:spacing w:val="0"/>
          <w:w w:val="100"/>
          <w:position w:val="0"/>
          <w:shd w:val="clear" w:color="auto" w:fill="auto"/>
          <w:lang w:val="hr-HR" w:eastAsia="hr-HR" w:bidi="hr-HR"/>
        </w:rPr>
        <w:t>Čista, ali neuobičajena je</w:t>
        <w:softHyphen/>
        <w:t>la,</w:t>
      </w:r>
      <w:r>
        <w:rPr>
          <w:rFonts w:ascii="Times New Roman" w:eastAsia="Times New Roman" w:hAnsi="Times New Roman" w:cs="Times New Roman"/>
          <w:color w:val="000000"/>
          <w:spacing w:val="0"/>
          <w:w w:val="100"/>
          <w:position w:val="0"/>
          <w:shd w:val="clear" w:color="auto" w:fill="auto"/>
          <w:lang w:val="hr-HR" w:eastAsia="hr-HR" w:bidi="hr-HR"/>
        </w:rPr>
        <w:t xml:space="preserve"> prema kojima čovjek osjeća prirodnu od</w:t>
        <w:softHyphen/>
        <w:t xml:space="preserve">vratnost, kao što su npr. zmije, kukci, žabe i kornjače. Stav prema tim jelima višestruko ovisi o pojedincu. 6. </w:t>
      </w:r>
      <w:r>
        <w:rPr>
          <w:rFonts w:ascii="Times New Roman" w:eastAsia="Times New Roman" w:hAnsi="Times New Roman" w:cs="Times New Roman"/>
          <w:i/>
          <w:iCs/>
          <w:color w:val="000000"/>
          <w:spacing w:val="0"/>
          <w:w w:val="100"/>
          <w:position w:val="0"/>
          <w:shd w:val="clear" w:color="auto" w:fill="auto"/>
          <w:lang w:val="hr-HR" w:eastAsia="hr-HR" w:bidi="hr-HR"/>
        </w:rPr>
        <w:t>Živežne namirnice koje na bilo koji način predstavljaju opasnost</w:t>
      </w:r>
      <w:r>
        <w:rPr>
          <w:rFonts w:ascii="Times New Roman" w:eastAsia="Times New Roman" w:hAnsi="Times New Roman" w:cs="Times New Roman"/>
          <w:color w:val="000000"/>
          <w:spacing w:val="0"/>
          <w:w w:val="100"/>
          <w:position w:val="0"/>
          <w:shd w:val="clear" w:color="auto" w:fill="auto"/>
          <w:lang w:val="hr-HR" w:eastAsia="hr-HR" w:bidi="hr-HR"/>
        </w:rPr>
        <w:t xml:space="preserve"> za život ili zdravlje (pokvarene ili zatrovane namirni</w:t>
        <w:softHyphen/>
        <w:t xml:space="preserve">ce). 7. </w:t>
      </w:r>
      <w:r>
        <w:rPr>
          <w:rFonts w:ascii="Times New Roman" w:eastAsia="Times New Roman" w:hAnsi="Times New Roman" w:cs="Times New Roman"/>
          <w:i/>
          <w:iCs/>
          <w:color w:val="000000"/>
          <w:spacing w:val="0"/>
          <w:w w:val="100"/>
          <w:position w:val="0"/>
          <w:shd w:val="clear" w:color="auto" w:fill="auto"/>
          <w:lang w:val="hr-HR" w:eastAsia="hr-HR" w:bidi="hr-HR"/>
        </w:rPr>
        <w:t>Meso ubijenih, zadavljenih ili utopljenih životinja,</w:t>
      </w:r>
      <w:r>
        <w:rPr>
          <w:rFonts w:ascii="Times New Roman" w:eastAsia="Times New Roman" w:hAnsi="Times New Roman" w:cs="Times New Roman"/>
          <w:color w:val="000000"/>
          <w:spacing w:val="0"/>
          <w:w w:val="100"/>
          <w:position w:val="0"/>
          <w:shd w:val="clear" w:color="auto" w:fill="auto"/>
          <w:lang w:val="hr-HR" w:eastAsia="hr-HR" w:bidi="hr-HR"/>
        </w:rPr>
        <w:t xml:space="preserve"> uključujući uginule ribe i uginulo mlado krava i ovaca koje se ugušilo prilikom rođenja. Prilikom klanja, u principu se treba pustiti krv. Ribe i skakavci ne kolju se. Ovdje otpada i zahtjev za puštanjem krvi.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stanovitim okolnostima zabranjene su: 1. </w:t>
      </w:r>
      <w:r>
        <w:rPr>
          <w:rFonts w:ascii="Times New Roman" w:eastAsia="Times New Roman" w:hAnsi="Times New Roman" w:cs="Times New Roman"/>
          <w:i/>
          <w:iCs/>
          <w:color w:val="000000"/>
          <w:spacing w:val="0"/>
          <w:w w:val="100"/>
          <w:position w:val="0"/>
          <w:shd w:val="clear" w:color="auto" w:fill="auto"/>
          <w:lang w:val="hr-HR" w:eastAsia="hr-HR" w:bidi="hr-HR"/>
        </w:rPr>
        <w:t>Sve protupravno stečene namirnice i životinje.</w:t>
      </w:r>
      <w:r>
        <w:rPr>
          <w:rFonts w:ascii="Times New Roman" w:eastAsia="Times New Roman" w:hAnsi="Times New Roman" w:cs="Times New Roman"/>
          <w:color w:val="000000"/>
          <w:spacing w:val="0"/>
          <w:w w:val="100"/>
          <w:position w:val="0"/>
          <w:shd w:val="clear" w:color="auto" w:fill="auto"/>
          <w:lang w:val="hr-HR" w:eastAsia="hr-HR" w:bidi="hr-HR"/>
        </w:rPr>
        <w:t xml:space="preserve"> 2. </w:t>
      </w:r>
      <w:r>
        <w:rPr>
          <w:rFonts w:ascii="Times New Roman" w:eastAsia="Times New Roman" w:hAnsi="Times New Roman" w:cs="Times New Roman"/>
          <w:i/>
          <w:iCs/>
          <w:color w:val="000000"/>
          <w:spacing w:val="0"/>
          <w:w w:val="100"/>
          <w:position w:val="0"/>
          <w:shd w:val="clear" w:color="auto" w:fill="auto"/>
          <w:lang w:val="hr-HR" w:eastAsia="hr-HR" w:bidi="hr-HR"/>
        </w:rPr>
        <w:t>Je</w:t>
        <w:softHyphen/>
        <w:t>la koja su u bilo kakvom odnosu s poganskim kultom.</w:t>
      </w:r>
      <w:r>
        <w:rPr>
          <w:rFonts w:ascii="Times New Roman" w:eastAsia="Times New Roman" w:hAnsi="Times New Roman" w:cs="Times New Roman"/>
          <w:color w:val="000000"/>
          <w:spacing w:val="0"/>
          <w:w w:val="100"/>
          <w:position w:val="0"/>
          <w:shd w:val="clear" w:color="auto" w:fill="auto"/>
          <w:lang w:val="hr-HR" w:eastAsia="hr-HR" w:bidi="hr-HR"/>
        </w:rPr>
        <w:t xml:space="preserve"> Ta je zabrana zajednička židovstvu, ra</w:t>
        <w:softHyphen/>
        <w:t>nom kršćanstvu i islamu. Kršćanima je u sred</w:t>
        <w:softHyphen/>
        <w:t>njem vijeku čak bilo zabranjeno objedovati skupa sa Zidovima i muslimanima. Rđavim se čak smatralo i kupanje sa Zidovima. Zabranu objedovanja s poganima rabinska literatura objašnjava na sljedeći način: »Rđav je kruh pogana i njihovo ulje zbog njihova vina, nji</w:t>
        <w:softHyphen/>
        <w:t>hovo vino zbog njihovih kćeri, njihove kćeri zbog neimenivog nečega«. Islamu je strana ta strogost u ophođenju s ljudima druge vjere. Islam izričito proglašuje dozvoljenim sva do</w:t>
        <w:softHyphen/>
        <w:t xml:space="preserve">bra jela </w:t>
      </w:r>
      <w:r>
        <w:rPr>
          <w:rFonts w:ascii="Times New Roman" w:eastAsia="Times New Roman" w:hAnsi="Times New Roman" w:cs="Times New Roman"/>
          <w:i/>
          <w:iCs/>
          <w:color w:val="000000"/>
          <w:spacing w:val="0"/>
          <w:w w:val="100"/>
          <w:position w:val="0"/>
          <w:shd w:val="clear" w:color="auto" w:fill="auto"/>
          <w:lang w:val="hr-HR" w:eastAsia="hr-HR" w:bidi="hr-HR"/>
        </w:rPr>
        <w:t>(at-tayyibat)</w:t>
      </w:r>
      <w:r>
        <w:rPr>
          <w:rFonts w:ascii="Times New Roman" w:eastAsia="Times New Roman" w:hAnsi="Times New Roman" w:cs="Times New Roman"/>
          <w:color w:val="000000"/>
          <w:spacing w:val="0"/>
          <w:w w:val="100"/>
          <w:position w:val="0"/>
          <w:shd w:val="clear" w:color="auto" w:fill="auto"/>
          <w:lang w:val="hr-HR" w:eastAsia="hr-HR" w:bidi="hr-HR"/>
        </w:rPr>
        <w:t xml:space="preserve"> koja su spravili Židovi i kršćani. Muhamed nije imao ništa protiv za</w:t>
        <w:softHyphen/>
        <w:t>jedničkog objedovanja sa Židovima i kršćani</w:t>
        <w:softHyphen/>
        <w:t>ma i zajedničkoga korištenja džamije od stra</w:t>
        <w:softHyphen/>
        <w:t>ne vjernika sve tri religije.</w:t>
      </w:r>
    </w:p>
    <w:p>
      <w:pPr>
        <w:pStyle w:val="Style20"/>
        <w:keepNext w:val="0"/>
        <w:keepLines w:val="0"/>
        <w:widowControl w:val="0"/>
        <w:numPr>
          <w:ilvl w:val="0"/>
          <w:numId w:val="659"/>
        </w:numPr>
        <w:shd w:val="clear" w:color="auto" w:fill="auto"/>
        <w:tabs>
          <w:tab w:pos="241" w:val="left"/>
        </w:tabs>
        <w:bidi w:val="0"/>
        <w:spacing w:before="0" w:after="0" w:line="240" w:lineRule="auto"/>
        <w:ind w:left="0" w:right="0" w:firstLine="0"/>
        <w:jc w:val="both"/>
        <w:sectPr>
          <w:headerReference w:type="default" r:id="rId1649"/>
          <w:footerReference w:type="default" r:id="rId1650"/>
          <w:headerReference w:type="even" r:id="rId1651"/>
          <w:footerReference w:type="even" r:id="rId1652"/>
          <w:footnotePr>
            <w:pos w:val="pageBottom"/>
            <w:numFmt w:val="decimal"/>
            <w:numRestart w:val="continuous"/>
            <w15:footnoteColumns w:val="1"/>
          </w:footnotePr>
          <w:pgSz w:w="6816" w:h="11006"/>
          <w:pgMar w:top="947" w:left="195" w:right="199" w:bottom="465" w:header="0" w:footer="3" w:gutter="0"/>
          <w:pgNumType w:start="538"/>
          <w:cols w:num="2" w:space="189"/>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 xml:space="preserve">Meso životinja koje nisu obredno zaklane. </w:t>
      </w:r>
      <w:r>
        <w:rPr>
          <w:rFonts w:ascii="Times New Roman" w:eastAsia="Times New Roman" w:hAnsi="Times New Roman" w:cs="Times New Roman"/>
          <w:color w:val="000000"/>
          <w:spacing w:val="0"/>
          <w:w w:val="100"/>
          <w:position w:val="0"/>
          <w:shd w:val="clear" w:color="auto" w:fill="auto"/>
          <w:lang w:val="hr-HR" w:eastAsia="hr-HR" w:bidi="hr-HR"/>
        </w:rPr>
        <w:t>Pravno je valjano i klanje koje su obavili i Ži</w:t>
        <w:softHyphen/>
      </w:r>
    </w:p>
    <w:p>
      <w:pPr>
        <w:pStyle w:val="Style20"/>
        <w:keepNext w:val="0"/>
        <w:keepLines w:val="0"/>
        <w:widowControl w:val="0"/>
        <w:shd w:val="clear" w:color="auto" w:fill="auto"/>
        <w:tabs>
          <w:tab w:pos="241"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dovi ili kršćani, ako je ono obavljeno uza zazi</w:t>
        <w:softHyphen/>
        <w:t>vanje Božjeg imena. Pritom je svejedno, je li onaj koji je zaklao životinju bio muškarac, že</w:t>
        <w:softHyphen/>
        <w:t>na ili eunuh. Klanje gotovo u potpunosti od</w:t>
        <w:softHyphen/>
        <w:t>govara prakršćanskoj praksi, kao što je to opi</w:t>
        <w:softHyphen/>
        <w:t>sano recimo u Kanonskom zakoniku Barhe- braeusa (u. 1286). Zazivanje Božjeg imena može se izvršiti i neposredno prije objedova- nja. Zahvaljujući tomu je vjerski nedvojbeno i meso koje je kupljeno recimo na europskoj tržnici. Omamljivanje je stoke za klanje clek- tro-šokovima dozvoljeno pod pretpostavkom da životinja nije time ubijena. Dozvoljenim se smatra i divljač koju u lovu donese lovački pas i koja je nakon zazivanja Božjeg imena ubi</w:t>
        <w:softHyphen/>
        <w:t>jena ugrizom.</w:t>
      </w:r>
    </w:p>
    <w:p>
      <w:pPr>
        <w:pStyle w:val="Style20"/>
        <w:keepNext w:val="0"/>
        <w:keepLines w:val="0"/>
        <w:widowControl w:val="0"/>
        <w:shd w:val="clear" w:color="auto" w:fill="auto"/>
        <w:tabs>
          <w:tab w:pos="2592" w:val="left"/>
        </w:tabs>
        <w:bidi w:val="0"/>
        <w:spacing w:before="0" w:after="240" w:line="259"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Žive životinje, poput zečeva i ptica koje je do</w:t>
        <w:softHyphen/>
        <w:t>nio pas, moraju se obredno zaklati kako bi nji</w:t>
        <w:softHyphen/>
        <w:t>hovo meso bilo dozvoljeno. Božje se ime tre</w:t>
        <w:softHyphen/>
        <w:t>ba zazvati i kod riba. Divljač koju je pas za</w:t>
        <w:softHyphen/>
        <w:t>davio smatra se mrtvom; to meso nije dozvo</w:t>
        <w:softHyphen/>
        <w:t>ljeno. Pod zabranu ne potpadaju ribe koje su ulovljene pomoću lijekova, namjerno izazva</w:t>
        <w:softHyphen/>
        <w:t>nim potresima ili pomoću mreže. Grijehom se smatra čak i dodirivanje nečiste životinje ili proizvoda koji su napravljeni od njezine kože ili njezina mesa. Sumnjive su i namirnice koje su došle u doticaj s gadljivim životinja. Prije ponovne upotrebe temeljito se pere sve po</w:t>
        <w:softHyphen/>
        <w:t xml:space="preserve">suđe koje je došlo u doticaj s nečistim jelima. </w:t>
      </w:r>
      <w:r>
        <w:rPr>
          <w:rFonts w:ascii="Arial" w:eastAsia="Arial" w:hAnsi="Arial" w:cs="Arial"/>
          <w:color w:val="000000"/>
          <w:spacing w:val="0"/>
          <w:w w:val="100"/>
          <w:position w:val="0"/>
          <w:sz w:val="12"/>
          <w:szCs w:val="12"/>
          <w:shd w:val="clear" w:color="auto" w:fill="auto"/>
          <w:lang w:val="en-US" w:eastAsia="en-US" w:bidi="en-US"/>
        </w:rPr>
        <w:t xml:space="preserve">Lit.: Zeyncl’abidin </w:t>
      </w:r>
      <w:r>
        <w:rPr>
          <w:rFonts w:ascii="Arial" w:eastAsia="Arial" w:hAnsi="Arial" w:cs="Arial"/>
          <w:color w:val="000000"/>
          <w:spacing w:val="0"/>
          <w:w w:val="100"/>
          <w:position w:val="0"/>
          <w:sz w:val="12"/>
          <w:szCs w:val="12"/>
          <w:shd w:val="clear" w:color="auto" w:fill="auto"/>
          <w:lang w:val="hr-HR" w:eastAsia="hr-HR" w:bidi="hr-HR"/>
        </w:rPr>
        <w:t xml:space="preserve">Isik, </w:t>
      </w:r>
      <w:r>
        <w:rPr>
          <w:rFonts w:ascii="Arial" w:eastAsia="Arial" w:hAnsi="Arial" w:cs="Arial"/>
          <w:i/>
          <w:iCs/>
          <w:color w:val="000000"/>
          <w:spacing w:val="0"/>
          <w:w w:val="100"/>
          <w:position w:val="0"/>
          <w:sz w:val="12"/>
          <w:szCs w:val="12"/>
          <w:shd w:val="clear" w:color="auto" w:fill="auto"/>
          <w:lang w:val="hr-HR" w:eastAsia="hr-HR" w:bidi="hr-HR"/>
        </w:rPr>
        <w:t xml:space="preserve">Tam Rmihal Seadst-i </w:t>
      </w:r>
      <w:r>
        <w:rPr>
          <w:rFonts w:ascii="Arial" w:eastAsia="Arial" w:hAnsi="Arial" w:cs="Arial"/>
          <w:i/>
          <w:iCs/>
          <w:color w:val="000000"/>
          <w:spacing w:val="0"/>
          <w:w w:val="100"/>
          <w:position w:val="0"/>
          <w:sz w:val="12"/>
          <w:szCs w:val="12"/>
          <w:shd w:val="clear" w:color="auto" w:fill="auto"/>
          <w:lang w:val="en-US" w:eastAsia="en-US" w:bidi="en-US"/>
        </w:rPr>
        <w:t>ebediyye,</w:t>
      </w:r>
      <w:r>
        <w:rPr>
          <w:rFonts w:ascii="Arial" w:eastAsia="Arial" w:hAnsi="Arial" w:cs="Arial"/>
          <w:color w:val="000000"/>
          <w:spacing w:val="0"/>
          <w:w w:val="100"/>
          <w:position w:val="0"/>
          <w:sz w:val="12"/>
          <w:szCs w:val="12"/>
          <w:shd w:val="clear" w:color="auto" w:fill="auto"/>
          <w:lang w:val="en-US" w:eastAsia="en-US" w:bidi="en-US"/>
        </w:rPr>
        <w:t xml:space="preserve"> </w:t>
      </w:r>
      <w:r>
        <w:rPr>
          <w:rFonts w:ascii="Arial" w:eastAsia="Arial" w:hAnsi="Arial" w:cs="Arial"/>
          <w:color w:val="000000"/>
          <w:spacing w:val="0"/>
          <w:w w:val="100"/>
          <w:position w:val="0"/>
          <w:sz w:val="12"/>
          <w:szCs w:val="12"/>
          <w:shd w:val="clear" w:color="auto" w:fill="auto"/>
          <w:lang w:val="hr-HR" w:eastAsia="hr-HR" w:bidi="hr-HR"/>
        </w:rPr>
        <w:t>Is</w:t>
        <w:softHyphen/>
        <w:t xml:space="preserve">tanbul 1965; </w:t>
      </w:r>
      <w:r>
        <w:rPr>
          <w:rFonts w:ascii="Arial" w:eastAsia="Arial" w:hAnsi="Arial" w:cs="Arial"/>
          <w:color w:val="000000"/>
          <w:spacing w:val="0"/>
          <w:w w:val="100"/>
          <w:position w:val="0"/>
          <w:sz w:val="12"/>
          <w:szCs w:val="12"/>
          <w:shd w:val="clear" w:color="auto" w:fill="auto"/>
          <w:lang w:val="en-US" w:eastAsia="en-US" w:bidi="en-US"/>
        </w:rPr>
        <w:t xml:space="preserve">Hans-Heinrich Reckcwcg, </w:t>
      </w:r>
      <w:r>
        <w:rPr>
          <w:rFonts w:ascii="Arial" w:eastAsia="Arial" w:hAnsi="Arial" w:cs="Arial"/>
          <w:i/>
          <w:iCs/>
          <w:color w:val="000000"/>
          <w:spacing w:val="0"/>
          <w:w w:val="100"/>
          <w:position w:val="0"/>
          <w:sz w:val="12"/>
          <w:szCs w:val="12"/>
          <w:shd w:val="clear" w:color="auto" w:fill="auto"/>
          <w:lang w:val="en-US" w:eastAsia="en-US" w:bidi="en-US"/>
        </w:rPr>
        <w:t>Schwinfleisch und Gesundheit. AllgemeinverslandJicher Vortrag,</w:t>
      </w:r>
      <w:r>
        <w:rPr>
          <w:rFonts w:ascii="Arial" w:eastAsia="Arial" w:hAnsi="Arial" w:cs="Arial"/>
          <w:color w:val="000000"/>
          <w:spacing w:val="0"/>
          <w:w w:val="100"/>
          <w:position w:val="0"/>
          <w:sz w:val="12"/>
          <w:szCs w:val="12"/>
          <w:shd w:val="clear" w:color="auto" w:fill="auto"/>
          <w:lang w:val="en-US" w:eastAsia="en-US" w:bidi="en-US"/>
        </w:rPr>
        <w:t xml:space="preserve"> Baden-Baden 1977.</w:t>
        <w:tab/>
        <w:t xml:space="preserve">S. </w:t>
      </w:r>
      <w:r>
        <w:rPr>
          <w:rFonts w:ascii="Arial" w:eastAsia="Arial" w:hAnsi="Arial" w:cs="Arial"/>
          <w:color w:val="000000"/>
          <w:spacing w:val="0"/>
          <w:w w:val="100"/>
          <w:position w:val="0"/>
          <w:sz w:val="12"/>
          <w:szCs w:val="12"/>
          <w:shd w:val="clear" w:color="auto" w:fill="auto"/>
          <w:lang w:val="hr-HR" w:eastAsia="hr-HR" w:bidi="hr-HR"/>
        </w:rPr>
        <w:t>BAUĆ</w:t>
      </w:r>
    </w:p>
    <w:p>
      <w:pPr>
        <w:pStyle w:val="Style33"/>
        <w:keepNext w:val="0"/>
        <w:keepLines w:val="0"/>
        <w:widowControl w:val="0"/>
        <w:shd w:val="clear" w:color="auto" w:fill="auto"/>
        <w:bidi w:val="0"/>
        <w:spacing w:before="0" w:after="140" w:line="218"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ZAPOVIJED</w:t>
      </w:r>
    </w:p>
    <w:p>
      <w:pPr>
        <w:pStyle w:val="Style63"/>
        <w:keepNext/>
        <w:keepLines/>
        <w:widowControl w:val="0"/>
        <w:shd w:val="clear" w:color="auto" w:fill="auto"/>
        <w:bidi w:val="0"/>
        <w:spacing w:before="0" w:line="218" w:lineRule="auto"/>
        <w:ind w:left="0" w:right="0" w:firstLine="0"/>
        <w:jc w:val="both"/>
      </w:pPr>
      <w:bookmarkStart w:id="410" w:name="bookmark410"/>
      <w:r>
        <w:rPr>
          <w:rFonts w:ascii="Times New Roman" w:eastAsia="Times New Roman" w:hAnsi="Times New Roman" w:cs="Times New Roman"/>
          <w:color w:val="000000"/>
          <w:spacing w:val="0"/>
          <w:w w:val="100"/>
          <w:position w:val="0"/>
          <w:shd w:val="clear" w:color="auto" w:fill="auto"/>
          <w:lang w:val="en-US" w:eastAsia="en-US" w:bidi="en-US"/>
        </w:rPr>
        <w:t xml:space="preserve">1. </w:t>
      </w:r>
      <w:r>
        <w:rPr>
          <w:rFonts w:ascii="Times New Roman" w:eastAsia="Times New Roman" w:hAnsi="Times New Roman" w:cs="Times New Roman"/>
          <w:color w:val="000000"/>
          <w:spacing w:val="0"/>
          <w:w w:val="100"/>
          <w:position w:val="0"/>
          <w:shd w:val="clear" w:color="auto" w:fill="auto"/>
          <w:lang w:val="hr-HR" w:eastAsia="hr-HR" w:bidi="hr-HR"/>
        </w:rPr>
        <w:t>židovski</w:t>
      </w:r>
      <w:bookmarkEnd w:id="410"/>
    </w:p>
    <w:p>
      <w:pPr>
        <w:pStyle w:val="Style20"/>
        <w:keepNext w:val="0"/>
        <w:keepLines w:val="0"/>
        <w:widowControl w:val="0"/>
        <w:shd w:val="clear" w:color="auto" w:fill="auto"/>
        <w:bidi w:val="0"/>
        <w:spacing w:before="0" w:after="10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a) »Lijep </w:t>
      </w:r>
      <w:r>
        <w:rPr>
          <w:rFonts w:ascii="Times New Roman" w:eastAsia="Times New Roman" w:hAnsi="Times New Roman" w:cs="Times New Roman"/>
          <w:i/>
          <w:iCs/>
          <w:color w:val="000000"/>
          <w:spacing w:val="0"/>
          <w:w w:val="100"/>
          <w:position w:val="0"/>
          <w:shd w:val="clear" w:color="auto" w:fill="auto"/>
          <w:lang w:val="en-US" w:eastAsia="en-US" w:bidi="en-US"/>
        </w:rPr>
        <w:t xml:space="preserve">si </w:t>
      </w:r>
      <w:r>
        <w:rPr>
          <w:rFonts w:ascii="Times New Roman" w:eastAsia="Times New Roman" w:hAnsi="Times New Roman" w:cs="Times New Roman"/>
          <w:i/>
          <w:iCs/>
          <w:color w:val="000000"/>
          <w:spacing w:val="0"/>
          <w:w w:val="100"/>
          <w:position w:val="0"/>
          <w:shd w:val="clear" w:color="auto" w:fill="auto"/>
          <w:lang w:val="hr-HR" w:eastAsia="hr-HR" w:bidi="hr-HR"/>
        </w:rPr>
        <w:t>jer poštuješ zapovijedi«:</w:t>
      </w:r>
      <w:r>
        <w:rPr>
          <w:rFonts w:ascii="Times New Roman" w:eastAsia="Times New Roman" w:hAnsi="Times New Roman" w:cs="Times New Roman"/>
          <w:color w:val="000000"/>
          <w:spacing w:val="0"/>
          <w:w w:val="100"/>
          <w:position w:val="0"/>
          <w:shd w:val="clear" w:color="auto" w:fill="auto"/>
          <w:lang w:val="hr-HR" w:eastAsia="hr-HR" w:bidi="hr-HR"/>
        </w:rPr>
        <w:t xml:space="preserve"> Pet puta ponavlja se oštar nalog: »Sveti budite, jer svet sam JA, vaš Bog«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11,44 i d.; 20, 7.26). Od Izraela se očekuje i vjeruje mu se da će se zarad’ svetosti Božje izboriti za ljudsku svetost koja je po prirodi drukčija od svetosti Božje. Proučavanje i provedba zapovijedi iz Tore čine slavu, ljepotu i sreću naroda. Što više zapovijedi, život će biti svetiji i ljepši: »Lijep si jer se držiš vjerskih propisa, lijep si jer činiš dobra djela, lijep si jer slušaš zapo</w:t>
        <w:softHyphen/>
        <w:t>vijedi, lijep si jer poštuješ zabrane...lijep si zbog dobrih djela, lijep si na ovome svijetu i lijep si na onome svijetu« (Šir ha-širim 1,15).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Rabini su hvalili Boga koji je Izraelce »okružio zapovijedima« (b Menahot 43b). Sveprisut</w:t>
        <w:softHyphen/>
        <w:t>nost zapovijedi oni ne smatraju teretom i mu</w:t>
        <w:softHyphen/>
        <w:t>kom nego povlasticom i, na određeni način, zaštitom koja čovjeka posvuda podsjeća na njegovu dužnost prema Bogu i bližnjima: »Nitko neka ne kaže: Ne nosi mi se mješovita tkanina i ne jede mi se svinjetina. Pa, ja bih to htio, a što da radim? Moj otac na nebu zabra</w:t>
        <w:softHyphen/>
        <w:t xml:space="preserve">nio mije« (Šifra Kedošim 11 za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 i d.). Božja načela i propise (prema Pnz 4,8: </w:t>
      </w:r>
      <w:r>
        <w:rPr>
          <w:rFonts w:ascii="Times New Roman" w:eastAsia="Times New Roman" w:hAnsi="Times New Roman" w:cs="Times New Roman"/>
          <w:i/>
          <w:iCs/>
          <w:color w:val="000000"/>
          <w:spacing w:val="0"/>
          <w:w w:val="100"/>
          <w:position w:val="0"/>
          <w:shd w:val="clear" w:color="auto" w:fill="auto"/>
          <w:lang w:val="hr-HR" w:eastAsia="hr-HR" w:bidi="hr-HR"/>
        </w:rPr>
        <w:t xml:space="preserve">Itukim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hr-HR" w:eastAsia="hr-HR" w:bidi="hr-HR"/>
        </w:rPr>
        <w:t>mišpatim)</w:t>
      </w:r>
      <w:r>
        <w:rPr>
          <w:rFonts w:ascii="Times New Roman" w:eastAsia="Times New Roman" w:hAnsi="Times New Roman" w:cs="Times New Roman"/>
          <w:color w:val="000000"/>
          <w:spacing w:val="0"/>
          <w:w w:val="100"/>
          <w:position w:val="0"/>
          <w:shd w:val="clear" w:color="auto" w:fill="auto"/>
          <w:lang w:val="hr-HR" w:eastAsia="hr-HR" w:bidi="hr-HR"/>
        </w:rPr>
        <w:t xml:space="preserve"> Majmonid je podijelio na one čiji uzrok je ljudima nerazumljiv </w:t>
      </w:r>
      <w:r>
        <w:rPr>
          <w:rFonts w:ascii="Times New Roman" w:eastAsia="Times New Roman" w:hAnsi="Times New Roman" w:cs="Times New Roman"/>
          <w:i/>
          <w:iCs/>
          <w:color w:val="000000"/>
          <w:spacing w:val="0"/>
          <w:w w:val="100"/>
          <w:position w:val="0"/>
          <w:shd w:val="clear" w:color="auto" w:fill="auto"/>
          <w:lang w:val="hr-HR" w:eastAsia="hr-HR" w:bidi="hr-HR"/>
        </w:rPr>
        <w:t>(hukim)</w:t>
      </w:r>
      <w:r>
        <w:rPr>
          <w:rFonts w:ascii="Times New Roman" w:eastAsia="Times New Roman" w:hAnsi="Times New Roman" w:cs="Times New Roman"/>
          <w:color w:val="000000"/>
          <w:spacing w:val="0"/>
          <w:w w:val="100"/>
          <w:position w:val="0"/>
          <w:shd w:val="clear" w:color="auto" w:fill="auto"/>
          <w:lang w:val="hr-HR" w:eastAsia="hr-HR" w:bidi="hr-HR"/>
        </w:rPr>
        <w:t xml:space="preserve"> i na one čija im je korist jasna </w:t>
      </w:r>
      <w:r>
        <w:rPr>
          <w:rFonts w:ascii="Times New Roman" w:eastAsia="Times New Roman" w:hAnsi="Times New Roman" w:cs="Times New Roman"/>
          <w:i/>
          <w:iCs/>
          <w:color w:val="000000"/>
          <w:spacing w:val="0"/>
          <w:w w:val="100"/>
          <w:position w:val="0"/>
          <w:shd w:val="clear" w:color="auto" w:fill="auto"/>
          <w:lang w:val="hr-HR" w:eastAsia="hr-HR" w:bidi="hr-HR"/>
        </w:rPr>
        <w:t>(mišpatim.</w:t>
      </w:r>
      <w:r>
        <w:rPr>
          <w:rFonts w:ascii="Times New Roman" w:eastAsia="Times New Roman" w:hAnsi="Times New Roman" w:cs="Times New Roman"/>
          <w:color w:val="000000"/>
          <w:spacing w:val="0"/>
          <w:w w:val="100"/>
          <w:position w:val="0"/>
          <w:shd w:val="clear" w:color="auto" w:fill="auto"/>
          <w:lang w:val="hr-HR" w:eastAsia="hr-HR" w:bidi="hr-HR"/>
        </w:rPr>
        <w:t xml:space="preserve"> More ne- vuhim III,26). Smisao mnogobrojnih biblijskih propisa čini pristupačnim jedna hagadska iz</w:t>
        <w:softHyphen/>
        <w:t>reka (III. stoljeće): »Mojsiju je objavljeno 613 propisa, 365 zabrana, što odgovara danima Sunčeve godine i 248 zapovijedi što odgovara čovjekovim udovima« (b Makot 23b). Para</w:t>
        <w:softHyphen/>
        <w:t>lele slova prema brojevima objašnjene su ova</w:t>
        <w:softHyphen/>
        <w:t>ko: »Molim te, izvršavaj sa mnom ovu z.« (Pe- sikta 101a; Tanhuma Ki teče 2 za Pnz 21,10). Nadmoć zabrana nad zapovijedima izražava temeljno razumijevanje međuljudskog ponaša</w:t>
        <w:softHyphen/>
        <w:t xml:space="preserve">nja u starom Izraelu i u židovstvu: onim što ne smiju činiti ljudi uče o moralnom činu. Svi putovi prema dobru počinju odvraćanjem od zla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28,28).</w:t>
      </w:r>
    </w:p>
    <w:p>
      <w:pPr>
        <w:pStyle w:val="Style20"/>
        <w:keepNext w:val="0"/>
        <w:keepLines w:val="0"/>
        <w:widowControl w:val="0"/>
        <w:shd w:val="clear" w:color="auto" w:fill="auto"/>
        <w:bidi w:val="0"/>
        <w:spacing w:before="0" w:after="0"/>
        <w:ind w:left="0" w:right="0" w:firstLine="0"/>
        <w:jc w:val="both"/>
        <w:sectPr>
          <w:headerReference w:type="default" r:id="rId1653"/>
          <w:footerReference w:type="default" r:id="rId1654"/>
          <w:headerReference w:type="even" r:id="rId1655"/>
          <w:footerReference w:type="even" r:id="rId1656"/>
          <w:footnotePr>
            <w:pos w:val="pageBottom"/>
            <w:numFmt w:val="decimal"/>
            <w:numRestart w:val="continuous"/>
            <w15:footnoteColumns w:val="1"/>
          </w:footnotePr>
          <w:pgSz w:w="6816" w:h="11006"/>
          <w:pgMar w:top="947" w:left="195" w:right="199" w:bottom="465" w:header="0" w:footer="37" w:gutter="0"/>
          <w:pgNumType w:start="545"/>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Tradicija sa svojim često bitnim odredbama o vršenju zapovijedi i o njihovu proširenju radi osiguranja savjesnog poštivanja zapovijedi (»Ograda oko Tore« M Avot 1,1) tek je omo</w:t>
        <w:softHyphen/>
        <w:t>gućila ostvarenje mnogih biblijskih naputaka. Već u početku rabinskog razdoblja (I. stolje</w:t>
        <w:softHyphen/>
        <w:t>će) velik dio »usmene Tore« smatrao se od davnine poznatom predajom (j Pea 11,4,17a). Određeni broj vjerskih propisa nema, doduše, oslonca u dokazu iz Svetog pisma, ali je na te</w:t>
        <w:softHyphen/>
        <w:t>melju stare primjene (b Hulin 42a) stavljen uz bok nepobitno biblijskih propisa kao »Mojsi- jeva halaha od Sinaja« (M Pea 11,6; Edujot VIII,7; Jadajim IV,3). Rabini nisu potiskivali svoje znanje zbog povijesnog rasta usmene To</w:t>
        <w:softHyphen/>
        <w:t xml:space="preserve">re (b Menahot 29b). Međutim, to nije ugrozilo povezanost pismene i usmene Tore; doduše, ugrozilo ga je nedostatno proučavanje, a to se i uvidjelo. »Kad se povećao broj Šamajevih i lli- lelovih učenika i kad im nisu služili onako kako se dolikuje, namnožili su se sporovi u Izraelu, pa su nastale dvije </w:t>
      </w:r>
      <w:r>
        <w:rPr>
          <w:rFonts w:ascii="Times New Roman" w:eastAsia="Times New Roman" w:hAnsi="Times New Roman" w:cs="Times New Roman"/>
          <w:i/>
          <w:iCs/>
          <w:color w:val="000000"/>
          <w:spacing w:val="0"/>
          <w:w w:val="100"/>
          <w:position w:val="0"/>
          <w:shd w:val="clear" w:color="auto" w:fill="auto"/>
          <w:lang w:val="hr-HR" w:eastAsia="hr-HR" w:bidi="hr-HR"/>
        </w:rPr>
        <w:t>Toro!«</w:t>
      </w:r>
      <w:r>
        <w:rPr>
          <w:rFonts w:ascii="Times New Roman" w:eastAsia="Times New Roman" w:hAnsi="Times New Roman" w:cs="Times New Roman"/>
          <w:color w:val="000000"/>
          <w:spacing w:val="0"/>
          <w:w w:val="100"/>
          <w:position w:val="0"/>
          <w:shd w:val="clear" w:color="auto" w:fill="auto"/>
          <w:lang w:val="hr-HR" w:eastAsia="hr-HR" w:bidi="hr-HR"/>
        </w:rPr>
        <w:t xml:space="preserve"> (Tosefta Sota XIV,9), ali je Rabi </w:t>
      </w: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 xml:space="preserve">II. (I./II. stoljeće) uvijek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naglašavao njihovu jedinstvenost: »Samo onaj tko sve to poštuje, živjet će, ali ne i onaj tko jednu od njih ne poštuje«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81a), kao i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iz </w:t>
      </w:r>
      <w:r>
        <w:rPr>
          <w:rFonts w:ascii="Times New Roman" w:eastAsia="Times New Roman" w:hAnsi="Times New Roman" w:cs="Times New Roman"/>
          <w:color w:val="000000"/>
          <w:spacing w:val="0"/>
          <w:w w:val="100"/>
          <w:position w:val="0"/>
          <w:shd w:val="clear" w:color="auto" w:fill="auto"/>
          <w:lang w:val="en-US" w:eastAsia="en-US" w:bidi="en-US"/>
        </w:rPr>
        <w:t xml:space="preserve">Modiina </w:t>
      </w:r>
      <w:r>
        <w:rPr>
          <w:rFonts w:ascii="Times New Roman" w:eastAsia="Times New Roman" w:hAnsi="Times New Roman" w:cs="Times New Roman"/>
          <w:color w:val="000000"/>
          <w:spacing w:val="0"/>
          <w:w w:val="100"/>
          <w:position w:val="0"/>
          <w:shd w:val="clear" w:color="auto" w:fill="auto"/>
          <w:lang w:val="hr-HR" w:eastAsia="hr-HR" w:bidi="hr-HR"/>
        </w:rPr>
        <w:t>(II. stoljeće): »Reče jedan, preuzimam na sebe cjelokupnu Toru osim te jedne stvari... Reče jedan: Ci</w:t>
        <w:softHyphen/>
        <w:t>jela Tora potječe iz usta Božjih, samo je ovu riječ izustio Mojsije, pa iz njegovih usta potje</w:t>
        <w:softHyphen/>
        <w:t>če: '... prozreo je riječ Gospodinovu’ (Br 15,31)« (Šifre Numeri § 112); to naglašava i Mišna: »Tko ispuni samo jednu z., upisat će mu se u dobro; život će mu se produljiti i naslijedit će zemlju. No, tko ne ispuni z., neće mu se upisati u dobro; život mu se neće pro</w:t>
        <w:softHyphen/>
        <w:t>duljiti i neće naslijediti zemlju. Tko je upućen u riječ Pisma, Mišnu i način života, neće tako brzo zgriješiti... No, tko nije upućen ni u riječ Pisma, ni u Mišnu ni u način života, ne spada u kulturni svijet« (Kidušin 1,10).</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h) »Samo ako netko usmjeri srce prema nebu.« </w:t>
      </w:r>
      <w:r>
        <w:rPr>
          <w:rFonts w:ascii="Times New Roman" w:eastAsia="Times New Roman" w:hAnsi="Times New Roman" w:cs="Times New Roman"/>
          <w:color w:val="000000"/>
          <w:spacing w:val="0"/>
          <w:w w:val="100"/>
          <w:position w:val="0"/>
          <w:shd w:val="clear" w:color="auto" w:fill="auto"/>
          <w:lang w:val="hr-HR" w:eastAsia="hr-HR" w:bidi="hr-HR"/>
        </w:rPr>
        <w:t>Za ispunjenje zapovijedi važno je kakva se lju</w:t>
        <w:softHyphen/>
        <w:t>bav prema Bogu traži. Nije dovoljno samo lju</w:t>
        <w:softHyphen/>
        <w:t>biti Boga; z. glasi: »Zato ljubi NJEGA, Boga svoga, svim srcem svojim, svom dušom svojom i svom snagom svojom« (Pnz 6,5); nije dovolj</w:t>
        <w:softHyphen/>
        <w:t>no samo služiti Bogu, važno je »služiti mu svim srcem svojim i svom dušom svojom« (11,13). Prema tomu, krilatica rabinske škole u Jamniji (hebr. Javne), glasila je: »Jedan čini mnogo, drugi malo - samo ako netko usmjeri srce prema nebu« (b Berahot 17a). Rabi Meir (II. stoljeće) tumačio je Pnz 6,6: »Riječi ove što ti ih danas naređujem, neka ti se urežu u srce« u ovom smislu: »Sve ovisi o snazi srca« (b Megila 20a). To rabinsko shvaćanje »ka</w:t>
        <w:softHyphen/>
        <w:t>vane« - usmjerenosti prema Bogu - znači jed- nodušnost cijeloga čovjeka sa zapovijedi. Iz</w:t>
        <w:softHyphen/>
        <w:t>vršitelj nije važan, već onaj tko je svoje srce naveo na rad usmjeren prema Bogu i kojega je taj rad posvetio. Bog ne gleda na »praved</w:t>
        <w:softHyphen/>
        <w:t xml:space="preserve">nost« koja se temelji na »djelovanju Zakona«; »Sveti, hvaljen bio, hoće radije srce« (b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106b). Tko ne posluša taj zahtjev, gri</w:t>
        <w:softHyphen/>
        <w:t xml:space="preserve">ješi. Mudraci su tu igru zamišljanja grijeha smatrali »štetnijom od samoga grijeha« (b Jo- ma 29a). Stoga je Rabi </w:t>
      </w: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II. objasnio: »Neka nijedan učenik, čija unutarnja strana ne odgovara vanjskoj, ne ulazi u učilište« (b Berahot 28a); naime, sve učenje treba čovjeka pripremiti da svoje srce otvori glasu božan</w:t>
        <w:softHyphen/>
        <w:t xml:space="preserve">skoga učitelja. Rabi </w:t>
      </w:r>
      <w:r>
        <w:rPr>
          <w:rFonts w:ascii="Times New Roman" w:eastAsia="Times New Roman" w:hAnsi="Times New Roman" w:cs="Times New Roman"/>
          <w:color w:val="000000"/>
          <w:spacing w:val="0"/>
          <w:w w:val="100"/>
          <w:position w:val="0"/>
          <w:shd w:val="clear" w:color="auto" w:fill="auto"/>
          <w:lang w:val="en-US" w:eastAsia="en-US" w:bidi="en-US"/>
        </w:rPr>
        <w:t xml:space="preserve">ben Josef </w:t>
      </w:r>
      <w:r>
        <w:rPr>
          <w:rFonts w:ascii="Times New Roman" w:eastAsia="Times New Roman" w:hAnsi="Times New Roman" w:cs="Times New Roman"/>
          <w:color w:val="000000"/>
          <w:spacing w:val="0"/>
          <w:w w:val="100"/>
          <w:position w:val="0"/>
          <w:shd w:val="clear" w:color="auto" w:fill="auto"/>
          <w:lang w:val="hr-HR" w:eastAsia="hr-HR" w:bidi="hr-HR"/>
        </w:rPr>
        <w:t>(III./IV. sto</w:t>
        <w:softHyphen/>
        <w:t xml:space="preserve">ljeće) razvio je iz toga temeljno načelo: »Pis- </w:t>
      </w:r>
      <w:r>
        <w:rPr>
          <w:rFonts w:ascii="Times New Roman" w:eastAsia="Times New Roman" w:hAnsi="Times New Roman" w:cs="Times New Roman"/>
          <w:color w:val="000000"/>
          <w:spacing w:val="0"/>
          <w:w w:val="100"/>
          <w:position w:val="0"/>
          <w:shd w:val="clear" w:color="auto" w:fill="auto"/>
          <w:lang w:val="hr-HR" w:eastAsia="hr-HR" w:bidi="hr-HR"/>
        </w:rPr>
        <w:t xml:space="preserve">moznanac čija unutarnja strana nije jednaka vanjskoj nije pismoznanac« (b Joma 72b); srce bez određena usmjerenja ne može nikoga istinski učiti Tori; on ne može povesti prema </w:t>
      </w:r>
      <w:r>
        <w:rPr>
          <w:rFonts w:ascii="Times New Roman" w:eastAsia="Times New Roman" w:hAnsi="Times New Roman" w:cs="Times New Roman"/>
          <w:i/>
          <w:iCs/>
          <w:color w:val="000000"/>
          <w:spacing w:val="0"/>
          <w:w w:val="100"/>
          <w:position w:val="0"/>
          <w:shd w:val="clear" w:color="auto" w:fill="auto"/>
          <w:lang w:val="hr-HR" w:eastAsia="hr-HR" w:bidi="hr-HR"/>
        </w:rPr>
        <w:t>kavani.</w:t>
      </w:r>
      <w:r>
        <w:rPr>
          <w:rFonts w:ascii="Times New Roman" w:eastAsia="Times New Roman" w:hAnsi="Times New Roman" w:cs="Times New Roman"/>
          <w:color w:val="000000"/>
          <w:spacing w:val="0"/>
          <w:w w:val="100"/>
          <w:position w:val="0"/>
          <w:shd w:val="clear" w:color="auto" w:fill="auto"/>
          <w:lang w:val="hr-HR" w:eastAsia="hr-HR" w:bidi="hr-HR"/>
        </w:rPr>
        <w:t xml:space="preserve"> Tijesno povezan s tim naukom jedan je drbgi nauk koji ide još dalje i koji - prema izlaganjima o pravom načinu djelovanja (11,1) i dobrom putu (11,9) - tom riječju obuhvaća Mišnu: »Sva tvoja djela neka budu zarad’ Bo</w:t>
        <w:softHyphen/>
        <w:t xml:space="preserve">ga« (Avot 11,12, usp. Berahot 63a; Kidušin 82a). Nauk »zarad’ njega« </w:t>
      </w:r>
      <w:r>
        <w:rPr>
          <w:rFonts w:ascii="Times New Roman" w:eastAsia="Times New Roman" w:hAnsi="Times New Roman" w:cs="Times New Roman"/>
          <w:i/>
          <w:iCs/>
          <w:color w:val="000000"/>
          <w:spacing w:val="0"/>
          <w:w w:val="100"/>
          <w:position w:val="0"/>
          <w:shd w:val="clear" w:color="auto" w:fill="auto"/>
          <w:lang w:val="hr-HR" w:eastAsia="hr-HR" w:bidi="hr-HR"/>
        </w:rPr>
        <w:t>(li-šmah)</w:t>
      </w:r>
      <w:r>
        <w:rPr>
          <w:rFonts w:ascii="Times New Roman" w:eastAsia="Times New Roman" w:hAnsi="Times New Roman" w:cs="Times New Roman"/>
          <w:color w:val="000000"/>
          <w:spacing w:val="0"/>
          <w:w w:val="100"/>
          <w:position w:val="0"/>
          <w:shd w:val="clear" w:color="auto" w:fill="auto"/>
          <w:lang w:val="hr-HR" w:eastAsia="hr-HR" w:bidi="hr-HR"/>
        </w:rPr>
        <w:t xml:space="preserve"> vodi k is</w:t>
        <w:softHyphen/>
        <w:t>punjenju zapovijedi iz ljubavi prema Bogu ko</w:t>
        <w:softHyphen/>
        <w:t>ji ih daje. Zapovijedi daju život samo onome (Pnz 8,1) tko ih sluša za volju onoga koji iz</w:t>
        <w:softHyphen/>
        <w:t>daje zapovijedi. »Tko se bavi Torom samo ra</w:t>
        <w:softHyphen/>
        <w:t>di nje same, za njega je ona mikstura života... No, tko se Torom ne bavi radi nje same, za njega je ona mikstura smrti« (b Taanit 7a). Stoga iz istih riječi iz Tore proizlazi dvostruko djelovanje: one »oživljavaju« onoga tko se njome bavi »radi nje same«, ali »ubijaju« ono</w:t>
        <w:softHyphen/>
        <w:t>ga tko se njome »ne bavi radi nje same« (Šifre uz Pnz 32,2). Rabini nisu svoj nauk shvaćali statički; oni su znali da čovjek ne može odluči</w:t>
        <w:softHyphen/>
        <w:t>vati o svom djelovanju »za volju Božju«, već da o njegovoj volji ovisi hoće li učiti Toru i držati se njezinih zapovijedi; stoga su mu pre</w:t>
        <w:softHyphen/>
        <w:t>poručili da počne učiti i djelovati, pa i onda kad mu to »za njegovu volju« još nije razlog nego tek smjer, kako je Rabi Safra (IV. stolje</w:t>
        <w:softHyphen/>
        <w:t>će) molio za svoje učenike »koji se bave tvo</w:t>
        <w:softHyphen/>
        <w:t>jom Torom, bilo da to čine radi samih sebe, bilo da to ne čine radi nje same. No svi koji se njome ne bave radi nje same, neka se, budi volja tvoja, bave njome radi nje same« (b Be</w:t>
        <w:softHyphen/>
        <w:t>rahot 17a). Mudraci su bili uvjereni da će na pravi cilj ispunjenja zapovijedi stići onaj tko se ozbiljno bavi Torom i slijedi je prema svojoj mogućnosti.</w:t>
      </w:r>
    </w:p>
    <w:p>
      <w:pPr>
        <w:pStyle w:val="Style56"/>
        <w:keepNext w:val="0"/>
        <w:keepLines w:val="0"/>
        <w:widowControl w:val="0"/>
        <w:shd w:val="clear" w:color="auto" w:fill="auto"/>
        <w:tabs>
          <w:tab w:pos="2414" w:val="left"/>
        </w:tabs>
        <w:bidi w:val="0"/>
        <w:spacing w:before="0" w:after="140" w:line="240" w:lineRule="auto"/>
        <w:ind w:left="0" w:right="0" w:firstLine="0"/>
        <w:jc w:val="both"/>
      </w:pPr>
      <w:r>
        <w:rPr>
          <w:color w:val="000000"/>
          <w:spacing w:val="0"/>
          <w:w w:val="100"/>
          <w:position w:val="0"/>
          <w:shd w:val="clear" w:color="auto" w:fill="auto"/>
          <w:lang w:val="hr-HR" w:eastAsia="hr-HR" w:bidi="hr-HR"/>
        </w:rPr>
        <w:t xml:space="preserve">Lit.: C.G. Montcfiorc/H. U)cwc, </w:t>
      </w:r>
      <w:r>
        <w:rPr>
          <w:i/>
          <w:iCs/>
          <w:color w:val="000000"/>
          <w:spacing w:val="0"/>
          <w:w w:val="100"/>
          <w:position w:val="0"/>
          <w:shd w:val="clear" w:color="auto" w:fill="auto"/>
        </w:rPr>
        <w:t xml:space="preserve">A Rabbinic Anthology, </w:t>
      </w:r>
      <w:r>
        <w:rPr>
          <w:color w:val="000000"/>
          <w:spacing w:val="0"/>
          <w:w w:val="100"/>
          <w:position w:val="0"/>
          <w:shd w:val="clear" w:color="auto" w:fill="auto"/>
          <w:lang w:val="hr-HR" w:eastAsia="hr-HR" w:bidi="hr-HR"/>
        </w:rPr>
        <w:t>1974.</w:t>
        <w:tab/>
      </w:r>
      <w:r>
        <w:rPr>
          <w:color w:val="000000"/>
          <w:spacing w:val="0"/>
          <w:w w:val="100"/>
          <w:position w:val="0"/>
          <w:shd w:val="clear" w:color="auto" w:fill="auto"/>
        </w:rPr>
        <w:t>I). VETTER</w:t>
      </w:r>
    </w:p>
    <w:p>
      <w:pPr>
        <w:pStyle w:val="Style63"/>
        <w:keepNext/>
        <w:keepLines/>
        <w:widowControl w:val="0"/>
        <w:numPr>
          <w:ilvl w:val="0"/>
          <w:numId w:val="661"/>
        </w:numPr>
        <w:shd w:val="clear" w:color="auto" w:fill="auto"/>
        <w:tabs>
          <w:tab w:pos="255" w:val="left"/>
        </w:tabs>
        <w:bidi w:val="0"/>
        <w:spacing w:before="0"/>
        <w:ind w:left="0" w:right="0" w:firstLine="0"/>
        <w:jc w:val="both"/>
      </w:pPr>
      <w:bookmarkStart w:id="411" w:name="bookmark411"/>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11"/>
    </w:p>
    <w:p>
      <w:pPr>
        <w:pStyle w:val="Style20"/>
        <w:keepNext w:val="0"/>
        <w:keepLines w:val="0"/>
        <w:widowControl w:val="0"/>
        <w:shd w:val="clear" w:color="auto" w:fill="auto"/>
        <w:bidi w:val="0"/>
        <w:spacing w:before="0" w:after="0"/>
        <w:ind w:left="0" w:right="0" w:firstLine="0"/>
        <w:jc w:val="both"/>
        <w:sectPr>
          <w:headerReference w:type="default" r:id="rId1657"/>
          <w:footerReference w:type="default" r:id="rId1658"/>
          <w:headerReference w:type="even" r:id="rId1659"/>
          <w:footerReference w:type="even" r:id="rId1660"/>
          <w:footnotePr>
            <w:pos w:val="pageBottom"/>
            <w:numFmt w:val="decimal"/>
            <w:numRestart w:val="continuous"/>
            <w15:footnoteColumns w:val="1"/>
          </w:footnotePr>
          <w:pgSz w:w="6816" w:h="11006"/>
          <w:pgMar w:top="947" w:left="195" w:right="199" w:bottom="465" w:header="0" w:footer="3" w:gutter="0"/>
          <w:pgNumType w:start="542"/>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To </w:t>
      </w:r>
      <w:r>
        <w:rPr>
          <w:rFonts w:ascii="Times New Roman" w:eastAsia="Times New Roman" w:hAnsi="Times New Roman" w:cs="Times New Roman"/>
          <w:color w:val="000000"/>
          <w:spacing w:val="0"/>
          <w:w w:val="100"/>
          <w:position w:val="0"/>
          <w:shd w:val="clear" w:color="auto" w:fill="auto"/>
          <w:lang w:val="hr-HR" w:eastAsia="hr-HR" w:bidi="hr-HR"/>
        </w:rPr>
        <w:t>je zahtjev koji je na bilo koji način, izričito ili ncizričito, povezan s autoritetom. Pritom se može raditi o čovjekovu autoritetu (pojedi</w:t>
        <w:softHyphen/>
        <w:t>načne osobe, Crkva, država) ili o Božjem au</w:t>
        <w:softHyphen/>
        <w:t xml:space="preserve">toritetu. Ako autoritet uzimamo kao osnovu za vrijednost nekog zahtjeva, tada govorimo o pozitivizmu (od </w:t>
      </w:r>
      <w:r>
        <w:rPr>
          <w:rFonts w:ascii="Times New Roman" w:eastAsia="Times New Roman" w:hAnsi="Times New Roman" w:cs="Times New Roman"/>
          <w:i/>
          <w:iCs/>
          <w:color w:val="000000"/>
          <w:spacing w:val="0"/>
          <w:w w:val="100"/>
          <w:position w:val="0"/>
          <w:shd w:val="clear" w:color="auto" w:fill="auto"/>
          <w:lang w:val="hr-HR" w:eastAsia="hr-HR" w:bidi="hr-HR"/>
        </w:rPr>
        <w:t>positio</w:t>
      </w:r>
      <w:r>
        <w:rPr>
          <w:rFonts w:ascii="Times New Roman" w:eastAsia="Times New Roman" w:hAnsi="Times New Roman" w:cs="Times New Roman"/>
          <w:color w:val="000000"/>
          <w:spacing w:val="0"/>
          <w:w w:val="100"/>
          <w:position w:val="0"/>
          <w:shd w:val="clear" w:color="auto" w:fill="auto"/>
          <w:lang w:val="hr-HR" w:eastAsia="hr-HR" w:bidi="hr-HR"/>
        </w:rPr>
        <w:t xml:space="preserve"> = [voljno] postavlja</w:t>
        <w:softHyphen/>
        <w:t>nje), npr. u obliku pravnog pozitivizma (ob</w:t>
        <w:softHyphen/>
        <w:t xml:space="preserve">vezno pravo je ono koje zahtijeva nadležni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državni autoritet i obvezno je zato jer ga on zahtijeva) ili u obliku teonomskoga moralnog pozitivizma (moralno je obvezujuće ono što je Bog naredio i jer je Bog naredio). Možda ne uvijek u praksi, ali u kršćanskoj filozofiji i teo</w:t>
        <w:softHyphen/>
        <w:t>logiji ipak je uvijek bio odbacivan antropo- nomski pozitivizam (usp. Dj 5,29: »Treba se više pokoravati Bogu nego ljudima«). Ljudske zapovijedi shvaćaju se kao sadržajna specifici</w:t>
        <w:softHyphen/>
        <w:t>ranja Božje zapovijedi i samo kao takve obve</w:t>
        <w:softHyphen/>
        <w:t>zuju savjest. Tako sc pitanje na temelju čega je z. moralno obvezujuća svodi na tzv. Eutifro- novu dilemu koju je Platon u svom dijalogu »Eutifron« klasično formulirao: je li nešto moralno obvezuje zato što Bog to hoće ili Bog to hoće zato što to moralno obvezuje? Ako prvu mogućnost držimo točnom, tada mora</w:t>
        <w:softHyphen/>
        <w:t>mo prihvatiti izražavanje Božje volje kao samo po sebi obvezujuće. U tom slučaju nedo</w:t>
        <w:softHyphen/>
        <w:t>staje nezavisno mjerilo s kojim bi se dao mje</w:t>
        <w:softHyphen/>
        <w:t>riti sam božanski autoritet, pa je zato besmis</w:t>
        <w:softHyphen/>
        <w:t>leno slaviti Boga u moralnom smislu kao do</w:t>
        <w:softHyphen/>
        <w:t>broga, pravednoga, blagoga itd. Moralni sc pojmovi ne bi mogli primjenjivati na Boga jer ‘moralno dobar’ i ‘ispravan’ ne bi značilo ništa drugo nego ‘ono što je Bog htio’. Ako drugu mogućnost držimo točnom, tada potvrđujemo datost moralnih vrijednosnih mjerila koja lo</w:t>
        <w:softHyphen/>
        <w:t>gično vrijede nezavisno od svakog pa i božan</w:t>
        <w:softHyphen/>
        <w:t>skog autoriteta, dakle u tom smislu potvrđu</w:t>
        <w:softHyphen/>
        <w:t>jemo autonomiju moralnoga. Tada se na lo</w:t>
        <w:softHyphen/>
        <w:t>gičku povezanost Božje volje koja zapovijeda ono što je moralno i moralnog zahtjeva gleda ovako: Budući da se Bog može zamisliti u mo</w:t>
        <w:softHyphen/>
        <w:t>ralnom smislu samo kao savršeno dobar, Bog može htjeti samo ono što je moralno dobro i ispravno. Kada teist govori o 'Božjim zapo</w:t>
        <w:softHyphen/>
        <w:t>vijedima’, on hoće istaknuti da je autonoman moralni zahtjev ili obveza kao takva istodob</w:t>
        <w:softHyphen/>
        <w:t>no poziv osobnoga Boga. Sveukupna kršćan</w:t>
        <w:softHyphen/>
        <w:t>ska tradicija od srednjega vijeka zastupa tako shvaćenu autonomiju ćudorednoga.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Problem nastaje zbog jedinstva moralnoga i velikog broja zapovijedi. Sve formulirane po</w:t>
        <w:softHyphen/>
        <w:t>jedinačne zapovijedi imaju istu logičku struk</w:t>
        <w:softHyphen/>
        <w:t>turu: one uvijek sadrže isti temeljni moralni zahtjev i primaju potom svoj specifičan sa</w:t>
        <w:softHyphen/>
        <w:t>držajni umetak svaki put različitim izvanću- dorednim procjenama i - kod normi postu</w:t>
        <w:softHyphen/>
        <w:t>panja - različitim prosudbama činjenica. Pot</w:t>
        <w:softHyphen/>
        <w:t>punu izgradnju ćudorednog prosuđivanja (za</w:t>
        <w:softHyphen/>
        <w:t xml:space="preserve">povijedi) kako da se postupi, objasnit ćemo na </w:t>
      </w:r>
      <w:r>
        <w:rPr>
          <w:rFonts w:ascii="Times New Roman" w:eastAsia="Times New Roman" w:hAnsi="Times New Roman" w:cs="Times New Roman"/>
          <w:color w:val="000000"/>
          <w:spacing w:val="0"/>
          <w:w w:val="100"/>
          <w:position w:val="0"/>
          <w:shd w:val="clear" w:color="auto" w:fill="auto"/>
          <w:lang w:val="hr-HR" w:eastAsia="hr-HR" w:bidi="hr-HR"/>
        </w:rPr>
        <w:t>primjeru zabrane da se dijete odbaci: a) te</w:t>
        <w:softHyphen/>
        <w:t>meljno moralno pravilo: misli, prosuđuj i dje</w:t>
        <w:softHyphen/>
        <w:t>luj (ljubi) nepristrano! b) Izvanmoralni vrijed</w:t>
        <w:softHyphen/>
        <w:t>nosni sud: i dijete posjeduje osobno dostojan</w:t>
        <w:softHyphen/>
        <w:t>stvo. Smrt jc fundamentalna nevolja, c) Cista procjena činjenice: odbacivanje djeteta vodi po pravilu u njegovu smrt. Dok temeljna ću</w:t>
        <w:softHyphen/>
        <w:t>doredna norma ulazi nepromijenjena u svaki pojedinačni ćudoredni zahtjev, dotle su izvan- ćudoredna vrijednosna prosuđivanja i čista vrijednosna prosuđivanja činjenica ovisna o situaciji, pa su zato i promjenljiva. Tek po ću</w:t>
        <w:softHyphen/>
        <w:t>dorednoj temeljnoj zapovijedi svaka pojedi</w:t>
        <w:softHyphen/>
        <w:t>načna moralna z. poprima svoj kategorički za</w:t>
        <w:softHyphen/>
        <w:t>povjedni značaj čime se razlikuje od zapovi</w:t>
        <w:softHyphen/>
        <w:t>jedi druge vrste. Prema tomu, jedinstvo ćudo</w:t>
        <w:softHyphen/>
        <w:t>rednoga izgrađuje se po onoj temeljnoj zapo</w:t>
        <w:softHyphen/>
        <w:t>vijedi da nepristrano ljubimo (usp. Mt 22,40). U mnoštvu pojedinačnih sadržaja uvijek se zahtijeva samo jedno, o čemu je bezuvjetno riječ, a to je nesebična ljubav.</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Ćudoredni zakon u svom logički izvornom ob</w:t>
        <w:softHyphen/>
        <w:t>liku ne suočava čovjeka najprije s izvanjskim formuliranim pravilima nego s unutarnjim ne</w:t>
        <w:softHyphen/>
        <w:t>posredno praktičnim glasom savjesti koji ni</w:t>
        <w:softHyphen/>
        <w:t>pošto ne treba uvijek shvaćati u jezičnom smislu. Ako se ne obaziremo na navode po</w:t>
        <w:softHyphen/>
        <w:t>jedinačnih sadržaja, tada jc glas savjesti naj- razgovjetniji kada se ćudoredna z. suočava s čovjekom, ne samo u obliku poticaja da nešto učini, nego i u obliku presude kojom ga osu</w:t>
        <w:softHyphen/>
        <w:t>đuje i hrabrenja kojim ga tješi. S onime koji jc još neodlučan suočava se potičući ga da sc od</w:t>
        <w:softHyphen/>
        <w:t>luči za ćudoredno dobro protiv ćudoredno lošega, za nesebičnu ljubav protiv sebičnog egoizma (zahtjevna savjest); s moralno lošim (grešnikom) suočava se kao osudivanje, a ako mu je još (milošću, a ne vlastitom zaslugom) dana mogućnost za dobro, tada kao poziv na obraćenje (nemirna savjest); s moralno dobrim (opravdanim) suočava sc konačno kao odo</w:t>
        <w:softHyphen/>
        <w:t>bravanje, a ako ga provjeravanje postojanosti može dovesti u napast, tada kao opomena koja ga upozorava ili kao ohrabrenjc koje ga tješi (čista savjest).</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B. </w:t>
      </w:r>
      <w:r>
        <w:rPr>
          <w:color w:val="000000"/>
          <w:spacing w:val="0"/>
          <w:w w:val="100"/>
          <w:position w:val="0"/>
          <w:shd w:val="clear" w:color="auto" w:fill="auto"/>
        </w:rPr>
        <w:t xml:space="preserve">Schuller, </w:t>
      </w:r>
      <w:r>
        <w:rPr>
          <w:i/>
          <w:iCs/>
          <w:color w:val="000000"/>
          <w:spacing w:val="0"/>
          <w:w w:val="100"/>
          <w:position w:val="0"/>
          <w:shd w:val="clear" w:color="auto" w:fill="auto"/>
        </w:rPr>
        <w:t>Gesetz und Freiheit,</w:t>
      </w:r>
      <w:r>
        <w:rPr>
          <w:color w:val="000000"/>
          <w:spacing w:val="0"/>
          <w:w w:val="100"/>
          <w:position w:val="0"/>
          <w:shd w:val="clear" w:color="auto" w:fill="auto"/>
        </w:rPr>
        <w:t xml:space="preserve"> Dusseldorf </w:t>
      </w:r>
      <w:r>
        <w:rPr>
          <w:color w:val="000000"/>
          <w:spacing w:val="0"/>
          <w:w w:val="100"/>
          <w:position w:val="0"/>
          <w:shd w:val="clear" w:color="auto" w:fill="auto"/>
          <w:lang w:val="hr-HR" w:eastAsia="hr-HR" w:bidi="hr-HR"/>
        </w:rPr>
        <w:t>1966.</w:t>
      </w:r>
    </w:p>
    <w:p>
      <w:pPr>
        <w:pStyle w:val="Style56"/>
        <w:keepNext w:val="0"/>
        <w:keepLines w:val="0"/>
        <w:widowControl w:val="0"/>
        <w:shd w:val="clear" w:color="auto" w:fill="auto"/>
        <w:bidi w:val="0"/>
        <w:spacing w:before="0" w:after="0" w:line="444" w:lineRule="auto"/>
        <w:ind w:left="0" w:right="0" w:firstLine="0"/>
        <w:jc w:val="right"/>
      </w:pPr>
      <w:r>
        <w:rPr>
          <w:color w:val="000000"/>
          <w:spacing w:val="0"/>
          <w:w w:val="100"/>
          <w:position w:val="0"/>
          <w:shd w:val="clear" w:color="auto" w:fill="auto"/>
          <w:lang w:val="hr-HR" w:eastAsia="hr-HR" w:bidi="hr-HR"/>
        </w:rPr>
        <w:t xml:space="preserve">R. </w:t>
      </w:r>
      <w:r>
        <w:rPr>
          <w:color w:val="000000"/>
          <w:spacing w:val="0"/>
          <w:w w:val="100"/>
          <w:position w:val="0"/>
          <w:shd w:val="clear" w:color="auto" w:fill="auto"/>
        </w:rPr>
        <w:t>GINTERS</w:t>
      </w:r>
    </w:p>
    <w:p>
      <w:pPr>
        <w:pStyle w:val="Style63"/>
        <w:keepNext/>
        <w:keepLines/>
        <w:widowControl w:val="0"/>
        <w:numPr>
          <w:ilvl w:val="0"/>
          <w:numId w:val="661"/>
        </w:numPr>
        <w:shd w:val="clear" w:color="auto" w:fill="auto"/>
        <w:tabs>
          <w:tab w:pos="265" w:val="left"/>
        </w:tabs>
        <w:bidi w:val="0"/>
        <w:spacing w:before="0" w:after="0" w:line="444" w:lineRule="auto"/>
        <w:ind w:left="0" w:right="0" w:firstLine="0"/>
        <w:jc w:val="both"/>
      </w:pPr>
      <w:bookmarkStart w:id="412" w:name="bookmark412"/>
      <w:r>
        <w:rPr>
          <w:rFonts w:ascii="Times New Roman" w:eastAsia="Times New Roman" w:hAnsi="Times New Roman" w:cs="Times New Roman"/>
          <w:color w:val="000000"/>
          <w:spacing w:val="0"/>
          <w:w w:val="100"/>
          <w:position w:val="0"/>
          <w:shd w:val="clear" w:color="auto" w:fill="auto"/>
          <w:lang w:val="hr-HR" w:eastAsia="hr-HR" w:bidi="hr-HR"/>
        </w:rPr>
        <w:t>islamski</w:t>
      </w:r>
      <w:bookmarkEnd w:id="412"/>
    </w:p>
    <w:p>
      <w:pPr>
        <w:pStyle w:val="Style20"/>
        <w:keepNext w:val="0"/>
        <w:keepLines w:val="0"/>
        <w:widowControl w:val="0"/>
        <w:shd w:val="clear" w:color="auto" w:fill="auto"/>
        <w:bidi w:val="0"/>
        <w:spacing w:before="0" w:after="0" w:line="240" w:lineRule="auto"/>
        <w:ind w:left="0" w:right="0" w:firstLine="0"/>
        <w:jc w:val="both"/>
        <w:sectPr>
          <w:headerReference w:type="default" r:id="rId1661"/>
          <w:footerReference w:type="default" r:id="rId1662"/>
          <w:headerReference w:type="even" r:id="rId1663"/>
          <w:footerReference w:type="even" r:id="rId1664"/>
          <w:footnotePr>
            <w:pos w:val="pageBottom"/>
            <w:numFmt w:val="decimal"/>
            <w:numRestart w:val="continuous"/>
            <w15:footnoteColumns w:val="1"/>
          </w:footnotePr>
          <w:pgSz w:w="6816" w:h="11006"/>
          <w:pgMar w:top="947" w:left="195" w:right="199" w:bottom="465" w:header="0" w:footer="37" w:gutter="0"/>
          <w:pgNumType w:start="547"/>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Religiozne dužnosti u islamu dijele se na dvije skupine: na jednu koja proizlazi iz vjerovanja u Boga i na drugu koja se odnosi na prava po</w:t>
        <w:softHyphen/>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jedinca na individualnu sreću u duševnom, so</w:t>
        <w:softHyphen/>
        <w:t>cijalnom i tjelesnom pogledu. S ispunjenjem prve skupine dužnosti zadovoljavaju se zah</w:t>
        <w:softHyphen/>
        <w:t xml:space="preserve">tjevi </w:t>
      </w:r>
      <w:r>
        <w:rPr>
          <w:rFonts w:ascii="Times New Roman" w:eastAsia="Times New Roman" w:hAnsi="Times New Roman" w:cs="Times New Roman"/>
          <w:i/>
          <w:iCs/>
          <w:color w:val="000000"/>
          <w:spacing w:val="0"/>
          <w:w w:val="100"/>
          <w:position w:val="0"/>
          <w:shd w:val="clear" w:color="auto" w:fill="auto"/>
          <w:lang w:val="hr-HR" w:eastAsia="hr-HR" w:bidi="hr-HR"/>
        </w:rPr>
        <w:t>imana (tman),</w:t>
      </w:r>
      <w:r>
        <w:rPr>
          <w:rFonts w:ascii="Times New Roman" w:eastAsia="Times New Roman" w:hAnsi="Times New Roman" w:cs="Times New Roman"/>
          <w:color w:val="000000"/>
          <w:spacing w:val="0"/>
          <w:w w:val="100"/>
          <w:position w:val="0"/>
          <w:shd w:val="clear" w:color="auto" w:fill="auto"/>
          <w:lang w:val="hr-HR" w:eastAsia="hr-HR" w:bidi="hr-HR"/>
        </w:rPr>
        <w:t xml:space="preserve"> čiste vjere, a sa drugom zahtjevi </w:t>
      </w:r>
      <w:r>
        <w:rPr>
          <w:rFonts w:ascii="Times New Roman" w:eastAsia="Times New Roman" w:hAnsi="Times New Roman" w:cs="Times New Roman"/>
          <w:i/>
          <w:iCs/>
          <w:color w:val="000000"/>
          <w:spacing w:val="0"/>
          <w:w w:val="100"/>
          <w:position w:val="0"/>
          <w:shd w:val="clear" w:color="auto" w:fill="auto"/>
          <w:lang w:val="hr-HR" w:eastAsia="hr-HR" w:bidi="hr-HR"/>
        </w:rPr>
        <w:t>islama (islam),</w:t>
      </w:r>
      <w:r>
        <w:rPr>
          <w:rFonts w:ascii="Times New Roman" w:eastAsia="Times New Roman" w:hAnsi="Times New Roman" w:cs="Times New Roman"/>
          <w:color w:val="000000"/>
          <w:spacing w:val="0"/>
          <w:w w:val="100"/>
          <w:position w:val="0"/>
          <w:shd w:val="clear" w:color="auto" w:fill="auto"/>
          <w:lang w:val="hr-HR" w:eastAsia="hr-HR" w:bidi="hr-HR"/>
        </w:rPr>
        <w:t xml:space="preserve"> tj. humanoga i socijal</w:t>
        <w:softHyphen/>
        <w:t>nog ozbiljenja religije. U prvu skupinu religi</w:t>
        <w:softHyphen/>
        <w:t>oznih dužnosti spadaju moralne upute opće</w:t>
        <w:softHyphen/>
        <w:t>nitoga karaktera kao što su 10 zapovijedi i zahtjevi za pravednošću, ljubavlju, toleranci</w:t>
        <w:softHyphen/>
        <w:t xml:space="preserve">jom, strpljenjem, blagošću itd. Ovdje </w:t>
      </w:r>
      <w:r>
        <w:rPr>
          <w:rFonts w:ascii="Times New Roman" w:eastAsia="Times New Roman" w:hAnsi="Times New Roman" w:cs="Times New Roman"/>
          <w:color w:val="000000"/>
          <w:spacing w:val="0"/>
          <w:w w:val="100"/>
          <w:position w:val="0"/>
          <w:shd w:val="clear" w:color="auto" w:fill="auto"/>
          <w:lang w:val="en-US" w:eastAsia="en-US" w:bidi="en-US"/>
        </w:rPr>
        <w:t xml:space="preserve">expressis verbis </w:t>
      </w:r>
      <w:r>
        <w:rPr>
          <w:rFonts w:ascii="Times New Roman" w:eastAsia="Times New Roman" w:hAnsi="Times New Roman" w:cs="Times New Roman"/>
          <w:color w:val="000000"/>
          <w:spacing w:val="0"/>
          <w:w w:val="100"/>
          <w:position w:val="0"/>
          <w:shd w:val="clear" w:color="auto" w:fill="auto"/>
          <w:lang w:val="hr-HR" w:eastAsia="hr-HR" w:bidi="hr-HR"/>
        </w:rPr>
        <w:t>navodimo neke od njih: »Radi za ovaj svijet kao da želiš živjeti vječno. Radi za onaj svijet kao da sutra moraš umrijeti«. »Najprije veži kamilu, pa se tek onda uzdaj u Boga.« »Tko se brine za usamljenu udovicu ili za bes</w:t>
        <w:softHyphen/>
        <w:t>kućnika, taj se može usporediti s borcem na bojišnici ili s onim koji posti.« »Mudrost je iz</w:t>
        <w:softHyphen/>
        <w:t>gubljeno blago muslimana: ona ga treba uzeti, ma gdje ga našao!« »Razmišljanje je jedna vrsta pobožnosti.« »Najbolji su vladari oni ko</w:t>
        <w:softHyphen/>
        <w:t xml:space="preserve">jih se vidi pred vratima vjeroučitelja, a najgori su nasuprot tomu oni vjeroučitelji kojih se vidi pred vratima vladara.« »Čovjek koji je strpljiv i prašta nositelj je snažnoga duha« (40,44). »U vjeri nema prisiljavanja« (2,256). »Tko čini pravdu, čini to za svoju vlastitu dušu, tko čini nepravdu, čini to protiv nje« (46,16). To je kodeks običaja </w:t>
      </w:r>
      <w:r>
        <w:rPr>
          <w:rFonts w:ascii="Times New Roman" w:eastAsia="Times New Roman" w:hAnsi="Times New Roman" w:cs="Times New Roman"/>
          <w:i/>
          <w:iCs/>
          <w:color w:val="000000"/>
          <w:spacing w:val="0"/>
          <w:w w:val="100"/>
          <w:position w:val="0"/>
          <w:shd w:val="clear" w:color="auto" w:fill="auto"/>
          <w:lang w:val="hr-HR" w:eastAsia="hr-HR" w:bidi="hr-HR"/>
        </w:rPr>
        <w:t>imana,</w:t>
      </w:r>
      <w:r>
        <w:rPr>
          <w:rFonts w:ascii="Times New Roman" w:eastAsia="Times New Roman" w:hAnsi="Times New Roman" w:cs="Times New Roman"/>
          <w:color w:val="000000"/>
          <w:spacing w:val="0"/>
          <w:w w:val="100"/>
          <w:position w:val="0"/>
          <w:shd w:val="clear" w:color="auto" w:fill="auto"/>
          <w:lang w:val="hr-HR" w:eastAsia="hr-HR" w:bidi="hr-HR"/>
        </w:rPr>
        <w:t xml:space="preserve"> čiste vjere, slobodne odluke.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Nasuprot tomu, zakonski-regulativan karak</w:t>
        <w:softHyphen/>
        <w:t>ter imaju ona pravila ponašanja koja sačinja</w:t>
        <w:softHyphen/>
        <w:t xml:space="preserve">vaju </w:t>
      </w:r>
      <w:r>
        <w:rPr>
          <w:rFonts w:ascii="Times New Roman" w:eastAsia="Times New Roman" w:hAnsi="Times New Roman" w:cs="Times New Roman"/>
          <w:i/>
          <w:iCs/>
          <w:color w:val="000000"/>
          <w:spacing w:val="0"/>
          <w:w w:val="100"/>
          <w:position w:val="0"/>
          <w:shd w:val="clear" w:color="auto" w:fill="auto"/>
          <w:lang w:val="hr-HR" w:eastAsia="hr-HR" w:bidi="hr-HR"/>
        </w:rPr>
        <w:t>islam,</w:t>
      </w:r>
      <w:r>
        <w:rPr>
          <w:rFonts w:ascii="Times New Roman" w:eastAsia="Times New Roman" w:hAnsi="Times New Roman" w:cs="Times New Roman"/>
          <w:color w:val="000000"/>
          <w:spacing w:val="0"/>
          <w:w w:val="100"/>
          <w:position w:val="0"/>
          <w:shd w:val="clear" w:color="auto" w:fill="auto"/>
          <w:lang w:val="hr-HR" w:eastAsia="hr-HR" w:bidi="hr-HR"/>
        </w:rPr>
        <w:t xml:space="preserve"> tj. društveno-političke konzekven- cije vjeroispovijesti, kako ih je prvi doživio Mu</w:t>
        <w:softHyphen/>
        <w:t>hamed. Ovdje se susreću zabrane igara na sre</w:t>
        <w:softHyphen/>
        <w:t>ću, uživanje alkohola, konzumiranje krvi i svinjskoga mesa, prekomjernoga jela i pića kao i svakoga razvrata. Tu spadaju i propisi svakodnevnog obavljanja toaleta, pranja zubi, obvezatno tjedno cjelovito kupanje, potpuno pranje tijela nakon svakoga spolnog općenja, pranje ruku prije i poslije svakoga jela i još mnogo toga.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Premda islam nije formalno preuzeo nijednu od dvije, u Tori sadržane verzije Dckaloga, Deset zapovijedi Božjih i u islamu važe kao nezaobilazni ćudoredni zahtjevi. Postavljanje najvažnijih pravila ponašanja na način Deka- loga ne figurira u islamskoj katehezi, premda također nije nedostajalo pokušaja da se islam</w:t>
        <w:softHyphen/>
        <w:t>ska etika prikaže u sublimiranom i sustavnom obliku. Bogatstvo nijansi ljudskoga ponašanja, važnost intencije i iz toga proistječućc teškoće</w:t>
      </w:r>
    </w:p>
    <w:p>
      <w:pPr>
        <w:pStyle w:val="Style20"/>
        <w:keepNext w:val="0"/>
        <w:keepLines w:val="0"/>
        <w:widowControl w:val="0"/>
        <w:shd w:val="clear" w:color="auto" w:fill="auto"/>
        <w:tabs>
          <w:tab w:pos="2491" w:val="left"/>
        </w:tabs>
        <w:bidi w:val="0"/>
        <w:spacing w:before="0" w:after="32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graduiranja predstavljaju važnije uzroke zašto kao općenito važeća nije prihvaćena nijedna skala ćudorednih vrijednosti koju su predla</w:t>
        <w:softHyphen/>
        <w:t>gali teolozi. Svjesno podcjenjivanje vjere i na</w:t>
        <w:softHyphen/>
        <w:t>mjerno nepoštivanje Božjih zapovijedi povlače za sobom otpadništvo od islama. Takav ot</w:t>
        <w:softHyphen/>
        <w:t>padnik prestaje biti musliman sve dok se iskre</w:t>
        <w:softHyphen/>
        <w:t>no ne pokaje zbog svojih djela.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balić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ZAVJET</w:t>
      </w:r>
    </w:p>
    <w:p>
      <w:pPr>
        <w:pStyle w:val="Style63"/>
        <w:keepNext/>
        <w:keepLines/>
        <w:widowControl w:val="0"/>
        <w:shd w:val="clear" w:color="auto" w:fill="auto"/>
        <w:bidi w:val="0"/>
        <w:spacing w:before="0" w:line="223" w:lineRule="auto"/>
        <w:ind w:left="0" w:right="0" w:firstLine="0"/>
        <w:jc w:val="both"/>
      </w:pPr>
      <w:bookmarkStart w:id="413" w:name="bookmark413"/>
      <w:r>
        <w:rPr>
          <w:rFonts w:ascii="Times New Roman" w:eastAsia="Times New Roman" w:hAnsi="Times New Roman" w:cs="Times New Roman"/>
          <w:color w:val="000000"/>
          <w:spacing w:val="0"/>
          <w:w w:val="100"/>
          <w:position w:val="0"/>
          <w:shd w:val="clear" w:color="auto" w:fill="auto"/>
          <w:lang w:val="hr-HR" w:eastAsia="hr-HR" w:bidi="hr-HR"/>
        </w:rPr>
        <w:t>1. židovski</w:t>
      </w:r>
      <w:bookmarkEnd w:id="413"/>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Biblijske odredbe o zavjetu (neder, posebice Br 6,1-21; 30,2-17) obrađene su potanko u Mišni i Talmudu u posebnom traktatu pod nazivom »Nedarim« te u komentarima </w:t>
      </w:r>
      <w:r>
        <w:rPr>
          <w:rFonts w:ascii="Times New Roman" w:eastAsia="Times New Roman" w:hAnsi="Times New Roman" w:cs="Times New Roman"/>
          <w:color w:val="000000"/>
          <w:spacing w:val="0"/>
          <w:w w:val="100"/>
          <w:position w:val="0"/>
          <w:shd w:val="clear" w:color="auto" w:fill="auto"/>
          <w:lang w:val="en-US" w:eastAsia="en-US" w:bidi="en-US"/>
        </w:rPr>
        <w:t>deci</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zora</w:t>
      </w:r>
      <w:r>
        <w:rPr>
          <w:rFonts w:ascii="Times New Roman" w:eastAsia="Times New Roman" w:hAnsi="Times New Roman" w:cs="Times New Roman"/>
          <w:color w:val="000000"/>
          <w:spacing w:val="0"/>
          <w:w w:val="100"/>
          <w:position w:val="0"/>
          <w:shd w:val="clear" w:color="auto" w:fill="auto"/>
          <w:lang w:val="hr-HR" w:eastAsia="hr-HR" w:bidi="hr-HR"/>
        </w:rPr>
        <w:t xml:space="preserve"> (»Poskim«). Prema njima je, pored opće važećih propisa, dopuštena osobna obveza pojedinca. No ona za njega postaje z. pa time poprima religijsko-zakonski karakter, ako je pojedinac oblikuje na odgovarajući način (M Nedarim </w:t>
      </w:r>
      <w:r>
        <w:rPr>
          <w:rFonts w:ascii="Times New Roman" w:eastAsia="Times New Roman" w:hAnsi="Times New Roman" w:cs="Times New Roman"/>
          <w:color w:val="000000"/>
          <w:spacing w:val="0"/>
          <w:w w:val="100"/>
          <w:position w:val="0"/>
          <w:shd w:val="clear" w:color="auto" w:fill="auto"/>
          <w:lang w:val="en-US" w:eastAsia="en-US" w:bidi="en-US"/>
        </w:rPr>
        <w:t>I—</w:t>
      </w:r>
      <w:r>
        <w:rPr>
          <w:rFonts w:ascii="Times New Roman" w:eastAsia="Times New Roman" w:hAnsi="Times New Roman" w:cs="Times New Roman"/>
          <w:color w:val="000000"/>
          <w:spacing w:val="0"/>
          <w:w w:val="100"/>
          <w:position w:val="0"/>
          <w:shd w:val="clear" w:color="auto" w:fill="auto"/>
          <w:lang w:val="hr-HR" w:eastAsia="hr-HR" w:bidi="hr-HR"/>
        </w:rPr>
        <w:t xml:space="preserve">II). Rabi Meir (oko 150) citira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5,4 i kaže: »Bolje od ovoga (zavjetovati se) i onoga (ne izvršiti z.) jest da se uopće ne zavjetuješ«, dok njegov suvremenik Rabi Jc- huda smatra: »Bolje od ovoga (ne izvršiti z.) i onoga (ne zavjetovati se uopće) jest zavjeto</w:t>
        <w:softHyphen/>
        <w:t>vati se i održati z. (Šifre Pnz 23,23,§26,5; b Hulin 2a; Tosefta 11,17; b Nedarim 9a). Bu</w:t>
        <w:softHyphen/>
        <w:t>dući da zavjetnik poziva Boga za svjedoka, Bog bdije i nad održanjem obećanja: »Tko iz</w:t>
        <w:softHyphen/>
        <w:t>vrši svoj z., taj treba ... očekivati nagradu (Ps 76,12)... No, tko se zavjetuje i odgodi ispunje</w:t>
        <w:softHyphen/>
        <w:t>nje zavjeta, sam sebi navlači smrt (Pnz 23,21)« (Vajikra raba XXXVII, 27,2). Stoga tradicio</w:t>
        <w:softHyphen/>
        <w:t>nalna literatura ne prepoznaje u toj posebnoj religijskoj obvezi željeni cilj: »Ako netko daje z., isto je kao da podiže visok žrtvenik, i ako ga izvrši, isto je kao da na nj prinosi žrtvu« (b Jabmut 109b). »Ako ga (z.) čovjek i održi, bio bi grešnik« (b Nedarim 22a; usp. 77b). Drago</w:t>
        <w:softHyphen/>
        <w:t>voljno preuzeta obveza priznaje se samo za potporu moralnoga ponašanja: »Zavjeti su ograda za suzdržanost« (M Avot 111,14). Me</w:t>
        <w:softHyphen/>
        <w:t>đutim, rabini su zavjetniku otvorili i moguć</w:t>
        <w:softHyphen/>
        <w:t xml:space="preserve">nost da obrazloži opoziv svojega zavjeta (M Nedarim IX,4) ili da potraži sredstva kako bi otklonio najstrože uvjete zavjeta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IV,7.8).</w:t>
      </w:r>
    </w:p>
    <w:p>
      <w:pPr>
        <w:pStyle w:val="Style56"/>
        <w:keepNext w:val="0"/>
        <w:keepLines w:val="0"/>
        <w:widowControl w:val="0"/>
        <w:shd w:val="clear" w:color="auto" w:fill="auto"/>
        <w:tabs>
          <w:tab w:pos="2491" w:val="left"/>
        </w:tabs>
        <w:bidi w:val="0"/>
        <w:spacing w:before="0" w:after="100"/>
        <w:ind w:left="0" w:right="0" w:firstLine="0"/>
        <w:jc w:val="both"/>
        <w:sectPr>
          <w:headerReference w:type="default" r:id="rId1665"/>
          <w:footerReference w:type="default" r:id="rId1666"/>
          <w:headerReference w:type="even" r:id="rId1667"/>
          <w:footerReference w:type="even" r:id="rId1668"/>
          <w:footnotePr>
            <w:pos w:val="pageBottom"/>
            <w:numFmt w:val="decimal"/>
            <w:numRestart w:val="continuous"/>
            <w15:footnoteColumns w:val="1"/>
          </w:footnotePr>
          <w:pgSz w:w="6816" w:h="11006"/>
          <w:pgMar w:top="947" w:left="195" w:right="199" w:bottom="465" w:header="0" w:footer="3" w:gutter="0"/>
          <w:pgNumType w:start="544"/>
          <w:cols w:num="2" w:space="189"/>
          <w:noEndnote/>
          <w:rtlGutter w:val="0"/>
          <w:docGrid w:linePitch="360"/>
        </w:sectPr>
      </w:pPr>
      <w:r>
        <w:rPr>
          <w:color w:val="000000"/>
          <w:spacing w:val="0"/>
          <w:w w:val="100"/>
          <w:position w:val="0"/>
          <w:shd w:val="clear" w:color="auto" w:fill="auto"/>
          <w:lang w:val="hr-HR" w:eastAsia="hr-HR" w:bidi="hr-HR"/>
        </w:rPr>
        <w:t xml:space="preserve">Lit.: </w:t>
      </w:r>
      <w:r>
        <w:rPr>
          <w:b/>
          <w:bCs/>
          <w:i/>
          <w:iCs/>
          <w:color w:val="000000"/>
          <w:spacing w:val="0"/>
          <w:w w:val="100"/>
          <w:position w:val="0"/>
          <w:sz w:val="9"/>
          <w:szCs w:val="9"/>
          <w:shd w:val="clear" w:color="auto" w:fill="auto"/>
          <w:lang w:val="hr-HR" w:eastAsia="hr-HR" w:bidi="hr-HR"/>
        </w:rPr>
        <w:t>Judisches Ledkon</w:t>
      </w:r>
      <w:r>
        <w:rPr>
          <w:color w:val="000000"/>
          <w:spacing w:val="0"/>
          <w:w w:val="100"/>
          <w:position w:val="0"/>
          <w:shd w:val="clear" w:color="auto" w:fill="auto"/>
          <w:lang w:val="hr-HR" w:eastAsia="hr-HR" w:bidi="hr-HR"/>
        </w:rPr>
        <w:t xml:space="preserve"> IV/1, 1 (1927) 1982, 443-46; </w:t>
      </w:r>
      <w:r>
        <w:rPr>
          <w:b/>
          <w:bCs/>
          <w:i/>
          <w:iCs/>
          <w:color w:val="000000"/>
          <w:spacing w:val="0"/>
          <w:w w:val="100"/>
          <w:position w:val="0"/>
          <w:sz w:val="9"/>
          <w:szCs w:val="9"/>
          <w:shd w:val="clear" w:color="auto" w:fill="auto"/>
        </w:rPr>
        <w:t>F.ncy- clopedia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16, *1978.227 i d.</w:t>
        <w:tab/>
        <w:t>D. VETFER</w:t>
      </w:r>
    </w:p>
    <w:p>
      <w:pPr>
        <w:pStyle w:val="Style63"/>
        <w:keepNext/>
        <w:keepLines/>
        <w:widowControl w:val="0"/>
        <w:numPr>
          <w:ilvl w:val="0"/>
          <w:numId w:val="663"/>
        </w:numPr>
        <w:shd w:val="clear" w:color="auto" w:fill="auto"/>
        <w:tabs>
          <w:tab w:pos="260" w:val="left"/>
        </w:tabs>
        <w:bidi w:val="0"/>
        <w:spacing w:before="0" w:after="40"/>
        <w:ind w:left="0" w:right="0" w:firstLine="0"/>
        <w:jc w:val="both"/>
      </w:pPr>
      <w:bookmarkStart w:id="414" w:name="bookmark414"/>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14"/>
    </w:p>
    <w:p>
      <w:pPr>
        <w:pStyle w:val="Style20"/>
        <w:keepNext w:val="0"/>
        <w:keepLines w:val="0"/>
        <w:widowControl w:val="0"/>
        <w:shd w:val="clear" w:color="auto" w:fill="auto"/>
        <w:bidi w:val="0"/>
        <w:spacing w:before="0" w:after="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Tipološki treba razlikovati pozitivne i ‘nega</w:t>
        <w:softHyphen/>
        <w:t>tivne’ zavjete. Pozitivni zavjeti su obećanja da</w:t>
        <w:softHyphen/>
        <w:t>na Bogu u teškim životnim situacijama da ćemo u slučaju njegove pomoći učiniti neko određeno djelo na njegovu slavu; oni dakle pokazuju uvjetni karakter (usp. Post 28,20; Br 21,2; Suci 11,30 i d.; 1 Sam 1,11). ‘Negativne’ zavjete, odnosno zavjete odricanja uglavnom činimo bez uvjeta; uskraćujemo, naime, sebi nešto na slavu Božju da bismo osigurali Božju naklonost (usp. 1 Sam 14,24; Br 30). Čini se mogućim da magične nakane ugroze relig</w:t>
        <w:softHyphen/>
        <w:t>ioznost onoga koji čini z.</w:t>
      </w:r>
    </w:p>
    <w:p>
      <w:pPr>
        <w:pStyle w:val="Style20"/>
        <w:keepNext w:val="0"/>
        <w:keepLines w:val="0"/>
        <w:widowControl w:val="0"/>
        <w:shd w:val="clear" w:color="auto" w:fill="auto"/>
        <w:bidi w:val="0"/>
        <w:spacing w:before="0" w:after="4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Izraelu je polaganje zavjeta vjerojatno bila stara, raširena praksa koja je uvijek imala za objekt obredne radnje kao što su žrtve i post, a očigledno bi uvijek uslijedila spontano. SZ, naime, ne ukazuje ni na kakav propis o načinu polaganja zavjeta osim iznimno kad je u pi</w:t>
        <w:softHyphen/>
        <w:t>tanju određivanje mjesta (Pnz 12,5 i d. 17 i d.). U z. se svakako ubraja dijeljenje dobro</w:t>
        <w:softHyphen/>
        <w:t xml:space="preserve">voljnih darova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7,16; Br 15,3; Pnz 12,16. 17; itd.). Zakon i proroci upozoravaju zbog zloporaba na izopačenost zavjetne prakse, na</w:t>
        <w:softHyphen/>
        <w:t xml:space="preserve">ime, na prenaglo polaganje zavjeta (Pnz 22,28-29; Br 30,3; itd.), na manje vrijedne ili nečiste darove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22,21—23; Mal 1,14; Pnz 22,19). Kod žena je učestalost zavjeta često prelazila mjeru pa se to sprečavalo zakon</w:t>
        <w:softHyphen/>
        <w:t>skom odredbom po kojoj otac ili muž moraju dati svoj pristanak (Br 30,4—17). Česti zavjeti, umanjivanje njihova obvezujućeg značaja, što im je oduzimalo religijsku vrijednost, doveli su do toga da su zakoni i proroci imali kritički stav koji je išao za ograničavanjem zavjetne prakse koju NZ ipak ne ukida (usp. Dj 18,18; 21,24). Isus se izjašnjava samo protiv zlora- bećih kazuističkih primjena (Mt 15,5 i d.; Mk 7,9-13).</w:t>
      </w:r>
    </w:p>
    <w:p>
      <w:pPr>
        <w:pStyle w:val="Style56"/>
        <w:keepNext w:val="0"/>
        <w:keepLines w:val="0"/>
        <w:widowControl w:val="0"/>
        <w:shd w:val="clear" w:color="auto" w:fill="auto"/>
        <w:tabs>
          <w:tab w:pos="2309"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Lit.: A, Grabncr-Haidcr (Hrsg.), </w:t>
      </w:r>
      <w:r>
        <w:rPr>
          <w:i/>
          <w:iCs/>
          <w:color w:val="000000"/>
          <w:spacing w:val="0"/>
          <w:w w:val="100"/>
          <w:position w:val="0"/>
          <w:shd w:val="clear" w:color="auto" w:fill="auto"/>
          <w:lang w:val="hr-HR" w:eastAsia="hr-HR" w:bidi="hr-HR"/>
        </w:rPr>
        <w:t xml:space="preserve">fraklisches Bibcllaukon, </w:t>
      </w:r>
      <w:r>
        <w:rPr>
          <w:color w:val="000000"/>
          <w:spacing w:val="0"/>
          <w:w w:val="100"/>
          <w:position w:val="0"/>
          <w:shd w:val="clear" w:color="auto" w:fill="auto"/>
          <w:lang w:val="hr-HR" w:eastAsia="hr-HR" w:bidi="hr-HR"/>
        </w:rPr>
        <w:t xml:space="preserve">Frcihurg/Dascl?Wicn 1969: H. </w:t>
      </w:r>
      <w:r>
        <w:rPr>
          <w:color w:val="000000"/>
          <w:spacing w:val="0"/>
          <w:w w:val="100"/>
          <w:position w:val="0"/>
          <w:shd w:val="clear" w:color="auto" w:fill="auto"/>
        </w:rPr>
        <w:t xml:space="preserve">Haag (Hrsg.), </w:t>
      </w:r>
      <w:r>
        <w:rPr>
          <w:i/>
          <w:iCs/>
          <w:color w:val="000000"/>
          <w:spacing w:val="0"/>
          <w:w w:val="100"/>
          <w:position w:val="0"/>
          <w:shd w:val="clear" w:color="auto" w:fill="auto"/>
          <w:lang w:val="hr-HR" w:eastAsia="hr-HR" w:bidi="hr-HR"/>
        </w:rPr>
        <w:t xml:space="preserve">Bibtd-Lejdkon, </w:t>
      </w:r>
      <w:r>
        <w:rPr>
          <w:color w:val="000000"/>
          <w:spacing w:val="0"/>
          <w:w w:val="100"/>
          <w:position w:val="0"/>
          <w:shd w:val="clear" w:color="auto" w:fill="auto"/>
          <w:lang w:val="hr-HR" w:eastAsia="hr-HR" w:bidi="hr-HR"/>
        </w:rPr>
        <w:t>Einsicddn/Zurich/Kolo 1968.</w:t>
        <w:tab/>
        <w:t>(.«. UIRSCHBK</w:t>
      </w:r>
    </w:p>
    <w:p>
      <w:pPr>
        <w:pStyle w:val="Style63"/>
        <w:keepNext/>
        <w:keepLines/>
        <w:widowControl w:val="0"/>
        <w:numPr>
          <w:ilvl w:val="0"/>
          <w:numId w:val="663"/>
        </w:numPr>
        <w:shd w:val="clear" w:color="auto" w:fill="auto"/>
        <w:tabs>
          <w:tab w:pos="265" w:val="left"/>
        </w:tabs>
        <w:bidi w:val="0"/>
        <w:spacing w:before="0" w:after="40"/>
        <w:ind w:left="0" w:right="0" w:firstLine="0"/>
        <w:jc w:val="both"/>
      </w:pPr>
      <w:bookmarkStart w:id="415" w:name="bookmark415"/>
      <w:r>
        <w:rPr>
          <w:rFonts w:ascii="Times New Roman" w:eastAsia="Times New Roman" w:hAnsi="Times New Roman" w:cs="Times New Roman"/>
          <w:color w:val="000000"/>
          <w:spacing w:val="0"/>
          <w:w w:val="100"/>
          <w:position w:val="0"/>
          <w:shd w:val="clear" w:color="auto" w:fill="auto"/>
          <w:lang w:val="hr-HR" w:eastAsia="hr-HR" w:bidi="hr-HR"/>
        </w:rPr>
        <w:t>islamski</w:t>
      </w:r>
      <w:bookmarkEnd w:id="415"/>
    </w:p>
    <w:p>
      <w:pPr>
        <w:pStyle w:val="Style20"/>
        <w:keepNext w:val="0"/>
        <w:keepLines w:val="0"/>
        <w:widowControl w:val="0"/>
        <w:shd w:val="clear" w:color="auto" w:fill="auto"/>
        <w:bidi w:val="0"/>
        <w:spacing w:before="0" w:after="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Uvjetovan svojim staroarapskim shvaćanjem z. je u islamu povezan s pojmom posvećenja. Kako bi se postigao neki cilj ili kako bi se iska</w:t>
        <w:softHyphen/>
        <w:t>zala zahvalnost za postignuti očekivani cilj, vjernik se zavjetuje na prinošenje neke žrtve. Ona se može prinijeti u životinjama, u materi</w:t>
        <w:softHyphen/>
        <w:t>jalnim dobrima ili pak osobnim odricanjem.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 druge vrste leži u temelju stanja povlačenja u osamu </w:t>
      </w:r>
      <w:r>
        <w:rPr>
          <w:rFonts w:ascii="Times New Roman" w:eastAsia="Times New Roman" w:hAnsi="Times New Roman" w:cs="Times New Roman"/>
          <w:i/>
          <w:iCs/>
          <w:color w:val="000000"/>
          <w:spacing w:val="0"/>
          <w:w w:val="100"/>
          <w:position w:val="0"/>
          <w:shd w:val="clear" w:color="auto" w:fill="auto"/>
          <w:lang w:val="hr-HR" w:eastAsia="hr-HR" w:bidi="hr-HR"/>
        </w:rPr>
        <w:t>(itikaf: i’iikaf)</w:t>
      </w:r>
      <w:r>
        <w:rPr>
          <w:rFonts w:ascii="Times New Roman" w:eastAsia="Times New Roman" w:hAnsi="Times New Roman" w:cs="Times New Roman"/>
          <w:color w:val="000000"/>
          <w:spacing w:val="0"/>
          <w:w w:val="100"/>
          <w:position w:val="0"/>
          <w:shd w:val="clear" w:color="auto" w:fill="auto"/>
          <w:lang w:val="hr-HR" w:eastAsia="hr-HR" w:bidi="hr-HR"/>
        </w:rPr>
        <w:t xml:space="preserve"> koje se obavlja posljed</w:t>
        <w:softHyphen/>
        <w:t>njih deset dana mjeseca ramazana. U svim slučajevima je poduzeto posvećivanje uprav</w:t>
        <w:softHyphen/>
        <w:t>ljeno na Boga. Posvećivanje žrtve djeluje na onoga koji se zavjetuje. To se, između osta</w:t>
        <w:softHyphen/>
        <w:t>loga, vidi iz običaja hodočasnika u Meku koji, kao što je poznato, za vrijeme obreda hodo</w:t>
        <w:softHyphen/>
        <w:t>čašća prinose kao žrtvu životinju i odsijecaju si kosu. Z. je, naime, prvobitno imao karakter osobnoga posvećivanja. Onoga koji se zavje</w:t>
        <w:softHyphen/>
        <w:t>tuje to je na bilo koji način dovodilo i dovodi u vezu s Bogom. Z. graniči s posvetom, ali nema nikakve pravne posljedice. On se k to</w:t>
        <w:softHyphen/>
        <w:t xml:space="preserve">mu u nauku o kultu i u pravu </w:t>
      </w:r>
      <w:r>
        <w:rPr>
          <w:rFonts w:ascii="Times New Roman" w:eastAsia="Times New Roman" w:hAnsi="Times New Roman" w:cs="Times New Roman"/>
          <w:i/>
          <w:iCs/>
          <w:color w:val="000000"/>
          <w:spacing w:val="0"/>
          <w:w w:val="100"/>
          <w:position w:val="0"/>
          <w:shd w:val="clear" w:color="auto" w:fill="auto"/>
          <w:lang w:val="hr-HR" w:eastAsia="hr-HR" w:bidi="hr-HR"/>
        </w:rPr>
        <w:t>(Jikh: fiqh)</w:t>
      </w:r>
      <w:r>
        <w:rPr>
          <w:rFonts w:ascii="Times New Roman" w:eastAsia="Times New Roman" w:hAnsi="Times New Roman" w:cs="Times New Roman"/>
          <w:color w:val="000000"/>
          <w:spacing w:val="0"/>
          <w:w w:val="100"/>
          <w:position w:val="0"/>
          <w:shd w:val="clear" w:color="auto" w:fill="auto"/>
          <w:lang w:val="hr-HR" w:eastAsia="hr-HR" w:bidi="hr-HR"/>
        </w:rPr>
        <w:t xml:space="preserve"> obra</w:t>
        <w:softHyphen/>
        <w:t>duje skupa s prisegom.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 se može zamijeniti drugom zavjetnom rad</w:t>
        <w:softHyphen/>
        <w:t>njom. Ali, načelno, islam u zavjetu vidi bes- koristan pothvat zato što on ne može utjecati na Boga u njegovu djelovanju. Uvijek su bili rado viđeni tzv. zavjeti pobožnosti. Oni su za</w:t>
        <w:softHyphen/>
        <w:t>pravo usmjereni na to da se pobožnim činom stekne zasluga. Nasuprot tomu, pravni učenja</w:t>
        <w:softHyphen/>
        <w:t>ci odvraćaju od uvjetovanih zavjeta pod prise</w:t>
        <w:softHyphen/>
        <w:t>gom. To su zavjeti koji smjeraju na poticanje ili sprečavanje nekoga događaja ili pak osnažu</w:t>
        <w:softHyphen/>
        <w:t>ju neku namjeru.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Sadržaj zavjeta ne smije biti nikakav grijeh niti ispunjenje neke po sebi čvrste osobne od</w:t>
        <w:softHyphen/>
        <w:t>luke. Religioznu relevantnost ima samo z. pu</w:t>
        <w:softHyphen/>
        <w:t>noljetne osobe koja je u potpunom posjedu svih svojih duhovnih moći. Iznuđeni z. nije va</w:t>
        <w:softHyphen/>
        <w:t>ljan. Pod utjecajem Zapada u islamskome su se svijetu tu i tamo udomaćile vrste zavjeta koje su strane islamu. Takav se z. krije iza takozvanoga zakan/a-objeda, kojim se poku</w:t>
        <w:softHyphen/>
        <w:t>šava »izmiriti sa svim vidljivim i nevidljivim si</w:t>
        <w:softHyphen/>
        <w:t xml:space="preserve">lama« </w:t>
      </w:r>
      <w:r>
        <w:rPr>
          <w:rFonts w:ascii="Times New Roman" w:eastAsia="Times New Roman" w:hAnsi="Times New Roman" w:cs="Times New Roman"/>
          <w:color w:val="000000"/>
          <w:spacing w:val="0"/>
          <w:w w:val="100"/>
          <w:position w:val="0"/>
          <w:shd w:val="clear" w:color="auto" w:fill="auto"/>
          <w:lang w:val="en-US" w:eastAsia="en-US" w:bidi="en-US"/>
        </w:rPr>
        <w:t xml:space="preserve">(Kerim Yavuz,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Islam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Werken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modemer tiirkisclier </w:t>
      </w:r>
      <w:r>
        <w:rPr>
          <w:rFonts w:ascii="Times New Roman" w:eastAsia="Times New Roman" w:hAnsi="Times New Roman" w:cs="Times New Roman"/>
          <w:i/>
          <w:iCs/>
          <w:color w:val="000000"/>
          <w:spacing w:val="0"/>
          <w:w w:val="100"/>
          <w:position w:val="0"/>
          <w:shd w:val="clear" w:color="auto" w:fill="auto"/>
          <w:lang w:val="en-US" w:eastAsia="en-US" w:bidi="en-US"/>
        </w:rPr>
        <w:t>Schriftsteller,</w:t>
      </w:r>
      <w:r>
        <w:rPr>
          <w:rFonts w:ascii="Times New Roman" w:eastAsia="Times New Roman" w:hAnsi="Times New Roman" w:cs="Times New Roman"/>
          <w:color w:val="000000"/>
          <w:spacing w:val="0"/>
          <w:w w:val="100"/>
          <w:position w:val="0"/>
          <w:shd w:val="clear" w:color="auto" w:fill="auto"/>
          <w:lang w:val="en-US" w:eastAsia="en-US" w:bidi="en-US"/>
        </w:rPr>
        <w:t xml:space="preserve"> Freiburg </w:t>
      </w:r>
      <w:r>
        <w:rPr>
          <w:rFonts w:ascii="Times New Roman" w:eastAsia="Times New Roman" w:hAnsi="Times New Roman" w:cs="Times New Roman"/>
          <w:color w:val="000000"/>
          <w:spacing w:val="0"/>
          <w:w w:val="100"/>
          <w:position w:val="0"/>
          <w:shd w:val="clear" w:color="auto" w:fill="auto"/>
          <w:lang w:val="hr-HR" w:eastAsia="hr-HR" w:bidi="hr-HR"/>
        </w:rPr>
        <w:t>i. Br. 1974, 181-182).</w:t>
      </w:r>
    </w:p>
    <w:p>
      <w:pPr>
        <w:pStyle w:val="Style56"/>
        <w:keepNext w:val="0"/>
        <w:keepLines w:val="0"/>
        <w:widowControl w:val="0"/>
        <w:shd w:val="clear" w:color="auto" w:fill="auto"/>
        <w:tabs>
          <w:tab w:pos="2544" w:val="left"/>
        </w:tabs>
        <w:bidi w:val="0"/>
        <w:spacing w:before="0" w:after="340" w:line="240" w:lineRule="auto"/>
        <w:ind w:left="0" w:right="0" w:firstLine="0"/>
        <w:jc w:val="both"/>
      </w:pPr>
      <w:r>
        <w:rPr>
          <w:color w:val="000000"/>
          <w:spacing w:val="0"/>
          <w:w w:val="100"/>
          <w:position w:val="0"/>
          <w:shd w:val="clear" w:color="auto" w:fill="auto"/>
          <w:lang w:val="hr-HR" w:eastAsia="hr-HR" w:bidi="hr-HR"/>
        </w:rPr>
        <w:t xml:space="preserve">Lit.: natuknica: </w:t>
      </w:r>
      <w:r>
        <w:rPr>
          <w:i/>
          <w:iCs/>
          <w:color w:val="000000"/>
          <w:spacing w:val="0"/>
          <w:w w:val="100"/>
          <w:position w:val="0"/>
          <w:shd w:val="clear" w:color="auto" w:fill="auto"/>
        </w:rPr>
        <w:t>Nadhr,</w:t>
      </w:r>
      <w:r>
        <w:rPr>
          <w:color w:val="000000"/>
          <w:spacing w:val="0"/>
          <w:w w:val="100"/>
          <w:position w:val="0"/>
          <w:shd w:val="clear" w:color="auto" w:fill="auto"/>
        </w:rPr>
        <w:t xml:space="preserve"> HI, Ixidcn </w:t>
      </w:r>
      <w:r>
        <w:rPr>
          <w:color w:val="000000"/>
          <w:spacing w:val="0"/>
          <w:w w:val="100"/>
          <w:position w:val="0"/>
          <w:shd w:val="clear" w:color="auto" w:fill="auto"/>
          <w:lang w:val="hr-HR" w:eastAsia="hr-HR" w:bidi="hr-HR"/>
        </w:rPr>
        <w:t xml:space="preserve">1941, 564-565: Anncn- </w:t>
      </w:r>
      <w:r>
        <w:rPr>
          <w:color w:val="000000"/>
          <w:spacing w:val="0"/>
          <w:w w:val="100"/>
          <w:position w:val="0"/>
          <w:shd w:val="clear" w:color="auto" w:fill="auto"/>
        </w:rPr>
        <w:t xml:space="preserve">marie Schimmel, </w:t>
      </w:r>
      <w:r>
        <w:rPr>
          <w:color w:val="000000"/>
          <w:spacing w:val="0"/>
          <w:w w:val="100"/>
          <w:position w:val="0"/>
          <w:shd w:val="clear" w:color="auto" w:fill="auto"/>
          <w:lang w:val="hr-HR" w:eastAsia="hr-HR" w:bidi="hr-HR"/>
        </w:rPr>
        <w:t xml:space="preserve">Gclubdc im lurkischcn Volksglaubcn. u: </w:t>
      </w:r>
      <w:r>
        <w:rPr>
          <w:i/>
          <w:iCs/>
          <w:color w:val="000000"/>
          <w:spacing w:val="0"/>
          <w:w w:val="100"/>
          <w:position w:val="0"/>
          <w:shd w:val="clear" w:color="auto" w:fill="auto"/>
        </w:rPr>
        <w:t xml:space="preserve">Well </w:t>
      </w:r>
      <w:r>
        <w:rPr>
          <w:i/>
          <w:iCs/>
          <w:color w:val="000000"/>
          <w:spacing w:val="0"/>
          <w:w w:val="100"/>
          <w:position w:val="0"/>
          <w:shd w:val="clear" w:color="auto" w:fill="auto"/>
          <w:lang w:val="hr-HR" w:eastAsia="hr-HR" w:bidi="hr-HR"/>
        </w:rPr>
        <w:t>des Islam,</w:t>
      </w:r>
      <w:r>
        <w:rPr>
          <w:color w:val="000000"/>
          <w:spacing w:val="0"/>
          <w:w w:val="100"/>
          <w:position w:val="0"/>
          <w:shd w:val="clear" w:color="auto" w:fill="auto"/>
          <w:lang w:val="hr-HR" w:eastAsia="hr-HR" w:bidi="hr-HR"/>
        </w:rPr>
        <w:t xml:space="preserve"> N. S. VI (1959-61), 71-90.</w:t>
        <w:tab/>
        <w:t>S. BAUĆ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ZEMLJA</w:t>
      </w:r>
    </w:p>
    <w:p>
      <w:pPr>
        <w:pStyle w:val="Style63"/>
        <w:keepNext/>
        <w:keepLines/>
        <w:widowControl w:val="0"/>
        <w:shd w:val="clear" w:color="auto" w:fill="auto"/>
        <w:bidi w:val="0"/>
        <w:spacing w:before="0" w:line="223" w:lineRule="auto"/>
        <w:ind w:left="0" w:right="0" w:firstLine="0"/>
        <w:jc w:val="both"/>
      </w:pPr>
      <w:bookmarkStart w:id="416" w:name="bookmark416"/>
      <w:r>
        <w:rPr>
          <w:rFonts w:ascii="Times New Roman" w:eastAsia="Times New Roman" w:hAnsi="Times New Roman" w:cs="Times New Roman"/>
          <w:color w:val="000000"/>
          <w:spacing w:val="0"/>
          <w:w w:val="100"/>
          <w:position w:val="0"/>
          <w:shd w:val="clear" w:color="auto" w:fill="auto"/>
          <w:lang w:val="hr-HR" w:eastAsia="hr-HR" w:bidi="hr-HR"/>
        </w:rPr>
        <w:t>1. židovski</w:t>
      </w:r>
      <w:bookmarkEnd w:id="416"/>
    </w:p>
    <w:p>
      <w:pPr>
        <w:pStyle w:val="Style20"/>
        <w:keepNext w:val="0"/>
        <w:keepLines w:val="0"/>
        <w:widowControl w:val="0"/>
        <w:shd w:val="clear" w:color="auto" w:fill="auto"/>
        <w:bidi w:val="0"/>
        <w:spacing w:before="0" w:after="0" w:line="240" w:lineRule="auto"/>
        <w:ind w:left="0" w:right="0" w:firstLine="0"/>
        <w:jc w:val="both"/>
        <w:sectPr>
          <w:headerReference w:type="default" r:id="rId1669"/>
          <w:footerReference w:type="default" r:id="rId1670"/>
          <w:headerReference w:type="even" r:id="rId1671"/>
          <w:footerReference w:type="even" r:id="rId1672"/>
          <w:footnotePr>
            <w:pos w:val="pageBottom"/>
            <w:numFmt w:val="decimal"/>
            <w:numRestart w:val="continuous"/>
            <w15:footnoteColumns w:val="1"/>
          </w:footnotePr>
          <w:pgSz w:w="6816" w:h="11006"/>
          <w:pgMar w:top="947" w:left="195" w:right="199" w:bottom="465" w:header="0" w:footer="37" w:gutter="0"/>
          <w:pgNumType w:start="549"/>
          <w:cols w:num="2" w:space="189"/>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a) »Prapovezanost naroda i zemlje«:</w:t>
      </w:r>
      <w:r>
        <w:rPr>
          <w:rFonts w:ascii="Times New Roman" w:eastAsia="Times New Roman" w:hAnsi="Times New Roman" w:cs="Times New Roman"/>
          <w:color w:val="000000"/>
          <w:spacing w:val="0"/>
          <w:w w:val="100"/>
          <w:position w:val="0"/>
          <w:shd w:val="clear" w:color="auto" w:fill="auto"/>
          <w:lang w:val="hr-HR" w:eastAsia="hr-HR" w:bidi="hr-HR"/>
        </w:rPr>
        <w:t xml:space="preserve"> Svojstvc- nost Izraclova odnosa prema svojoj zemlji sas</w:t>
        <w:softHyphen/>
        <w:t xml:space="preserve">toji se u tome da se on ne može odvojiti od svojeg odnosa prema Bogu. U živi uzajamni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odnos Boga i njegova naroda, koji mu je »po</w:t>
        <w:softHyphen/>
        <w:t>sebna svojina« (lzl 19,5), čvrsto je upletena »z.« »u kojoj vi (‘sinovi Izraela’, stih 2.9) ži</w:t>
        <w:softHyphen/>
        <w:t xml:space="preserve">vite, usred koje ja boravim, jer JA prebivam medu sinovima Izraelovim« (Br 35,34). Z., narod i Bog pripadaju jedni drugima, pa Iz- raelov opak čin onečišćuje zemlju: »U zemlju vinograda i maslinika ja vas dovedoh da se hranite plodom i dobrotom njezinom. Ali tek što udoste, zemlju moju oskvrnuste, i baštinu moju u gnusobu pretvoriste« (Jr 2,7;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18,25.27 i d.), i Božji sud neće zadesiti samo narod nego isto toliko i zemlju: »Neće li, ako je učinite nečistom, z. ispljuvati i vas kako je ispljuvala narod koji je bio prije vas?«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18,28; usp. 20,22). Proročka poruka poslije- sužanjskoj židovskoj zajednici u Jeruzalemu opisuje odnos Boga i nje (zajednice) slikama zarućništva i braka: u sadašnjosti nalik je ostavljenoj i odbačenoj ženi (Iz 60,15); no ponovno okretanje Boga k njoj bit će poput novih zaruka, odnosno novog vjenčanja s tom ženom (62,4). Iz te rečenice ne odzvanja samo osobna blizina u tom odnosu Bog - narod, nego i znatna tijesna povezanost zajednice ko</w:t>
        <w:softHyphen/>
        <w:t>joj se Bog obraća i zemlje, i ta tijesnost ne dopušta osamostaljenje ni jednog ni drugog: »Neće te više zvati Ostavljenom ni zemlju tvo</w:t>
        <w:softHyphen/>
        <w:t>ju Opustošenom, nego će te zvati Moja mili</w:t>
        <w:softHyphen/>
        <w:t>na, a zemlju tvoju Udata!« Židovski je narod sačuvao tu sliku tijekom povijesti svoje dijas</w:t>
        <w:softHyphen/>
        <w:t xml:space="preserve">pore. Na pozadini te slike mogu se čuli riječi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Bubera koji odnos židovskoga naro</w:t>
        <w:softHyphen/>
        <w:t>da prema svojoj zemlji nije shvatio kao »’povi</w:t>
        <w:softHyphen/>
        <w:t>jesno pravo’... zbog kojega se narodi svađa</w:t>
        <w:softHyphen/>
        <w:t>ju«, nego je, umjesto toga, naglasio »našu pra- povezanost s tom zemljom«: »Ako ima nade na Zapadu u potpuno shvaćanje ljudskoga ži</w:t>
        <w:softHyphen/>
        <w:t>vota, tada živi... ta vjera u budućnost onoga što je nekoć počelo i bilo prekinuto svršetkom židovske države. Nada tisućljeća u egzilu, iz</w:t>
        <w:softHyphen/>
        <w:t xml:space="preserve">govorena ili neizgovorena, usmjerena je na novi početak ostvarivanja te pradavne vjere, te prapovezanosti naroda i zemlje u gradnji istinske zajednice« (1929. u P. R. Mendes-Flohr </w:t>
      </w:r>
      <w:r>
        <w:rPr>
          <w:rFonts w:ascii="Times New Roman" w:eastAsia="Times New Roman" w:hAnsi="Times New Roman" w:cs="Times New Roman"/>
          <w:color w:val="000000"/>
          <w:spacing w:val="0"/>
          <w:w w:val="100"/>
          <w:position w:val="0"/>
          <w:shd w:val="clear" w:color="auto" w:fill="auto"/>
          <w:lang w:val="en-US" w:eastAsia="en-US" w:bidi="en-US"/>
        </w:rPr>
        <w:t xml:space="preserve">(Hrsg.), </w:t>
      </w:r>
      <w:r>
        <w:rPr>
          <w:rFonts w:ascii="Times New Roman" w:eastAsia="Times New Roman" w:hAnsi="Times New Roman" w:cs="Times New Roman"/>
          <w:i/>
          <w:iCs/>
          <w:color w:val="000000"/>
          <w:spacing w:val="0"/>
          <w:w w:val="100"/>
          <w:position w:val="0"/>
          <w:shd w:val="clear" w:color="auto" w:fill="auto"/>
          <w:lang w:val="en-US" w:eastAsia="en-US" w:bidi="en-US"/>
        </w:rPr>
        <w:t xml:space="preserve">Martin Buber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en-US" w:eastAsia="en-US" w:bidi="en-US"/>
        </w:rPr>
        <w:t>ein Land und zwei Volker,</w:t>
      </w:r>
      <w:r>
        <w:rPr>
          <w:rFonts w:ascii="Times New Roman" w:eastAsia="Times New Roman" w:hAnsi="Times New Roman" w:cs="Times New Roman"/>
          <w:color w:val="000000"/>
          <w:spacing w:val="0"/>
          <w:w w:val="100"/>
          <w:position w:val="0"/>
          <w:shd w:val="clear" w:color="auto" w:fill="auto"/>
          <w:lang w:val="en-US" w:eastAsia="en-US" w:bidi="en-US"/>
        </w:rPr>
        <w:t xml:space="preserve"> 1983, 116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»Kako bismo tu po</w:t>
        <w:softHyphen/>
        <w:t>budu (ponovno uspostaviti kontakt s prado</w:t>
        <w:softHyphen/>
        <w:t xml:space="preserve">movinom i njime nakon tisućljeća komadanja s njom ponovno srasti u živo narodno tijelo) ispravno razumjeli, moramo sebi predočiti da Židovi, htjeli to oni prihvatiti ili ne htjeli, nisu </w:t>
      </w:r>
      <w:r>
        <w:rPr>
          <w:rFonts w:ascii="Times New Roman" w:eastAsia="Times New Roman" w:hAnsi="Times New Roman" w:cs="Times New Roman"/>
          <w:color w:val="000000"/>
          <w:spacing w:val="0"/>
          <w:w w:val="100"/>
          <w:position w:val="0"/>
          <w:shd w:val="clear" w:color="auto" w:fill="auto"/>
          <w:lang w:val="hr-HR" w:eastAsia="hr-HR" w:bidi="hr-HR"/>
        </w:rPr>
        <w:t>narod poput svih naroda, nego nešto jedin</w:t>
        <w:softHyphen/>
        <w:t>stveno i neusporedivo, naime, zajednica u ko</w:t>
        <w:softHyphen/>
        <w:t>joj su se od davnine neodvojivo stopili obi</w:t>
        <w:softHyphen/>
        <w:t>lježje naroda i vjera. 1 ta se vjera ponovno od svojega početka povezala s tom zemljom kao s nečim u što je sam Gospodar svijeta poslao taj narod kako bi tu zemlju doveo do savršenstva, a jedno i drugo radi začetka Božjega kraljev</w:t>
        <w:softHyphen/>
        <w:t>stva na zemlji« (1947, op. cit., 257). Andrć Neher zorno predočava svoju apstraktnu for</w:t>
        <w:softHyphen/>
        <w:t>mulaciju »da jc z. prostor i vrijeme Izraela« usporedbom: »Židovsko ne dijeli ni tijelo od duše niti dušu od tijela. Izrael i njegova z. u is</w:t>
        <w:softHyphen/>
        <w:t>tom su međusobnom odnosu kao tijelo i duša. Može se reći da je z. tijelo duše Izraela i da je Izrael duša tijela Izrael«. Prema Neheru, židovski se narod tijekom svoje višestoljetne dijaspore osjećao »osakaćenim, odvojenim od svojega tijela, od svojega prostora, a istodob</w:t>
        <w:softHyphen/>
        <w:t>no... da jc to samo privremeno stanje i da će jednoga dana biti zaštićen novim združiva</w:t>
        <w:softHyphen/>
        <w:t xml:space="preserve">njem« </w:t>
      </w:r>
      <w:r>
        <w:rPr>
          <w:rFonts w:ascii="Times New Roman" w:eastAsia="Times New Roman" w:hAnsi="Times New Roman" w:cs="Times New Roman"/>
          <w:color w:val="000000"/>
          <w:spacing w:val="0"/>
          <w:w w:val="100"/>
          <w:position w:val="0"/>
          <w:shd w:val="clear" w:color="auto" w:fill="auto"/>
          <w:lang w:val="en-US" w:eastAsia="en-US" w:bidi="en-US"/>
        </w:rPr>
        <w:t xml:space="preserve">(Die Ilaltung Israels </w:t>
      </w:r>
      <w:r>
        <w:rPr>
          <w:rFonts w:ascii="Times New Roman" w:eastAsia="Times New Roman" w:hAnsi="Times New Roman" w:cs="Times New Roman"/>
          <w:color w:val="000000"/>
          <w:spacing w:val="0"/>
          <w:w w:val="100"/>
          <w:position w:val="0"/>
          <w:shd w:val="clear" w:color="auto" w:fill="auto"/>
          <w:lang w:val="hr-HR" w:eastAsia="hr-HR" w:bidi="hr-HR"/>
        </w:rPr>
        <w:t xml:space="preserve">gegeniibcr Slaat, </w:t>
      </w:r>
      <w:r>
        <w:rPr>
          <w:rFonts w:ascii="Times New Roman" w:eastAsia="Times New Roman" w:hAnsi="Times New Roman" w:cs="Times New Roman"/>
          <w:color w:val="000000"/>
          <w:spacing w:val="0"/>
          <w:w w:val="100"/>
          <w:position w:val="0"/>
          <w:shd w:val="clear" w:color="auto" w:fill="auto"/>
          <w:lang w:val="en-US" w:eastAsia="en-US" w:bidi="en-US"/>
        </w:rPr>
        <w:t xml:space="preserve">Land </w:t>
      </w:r>
      <w:r>
        <w:rPr>
          <w:rFonts w:ascii="Times New Roman" w:eastAsia="Times New Roman" w:hAnsi="Times New Roman" w:cs="Times New Roman"/>
          <w:color w:val="000000"/>
          <w:spacing w:val="0"/>
          <w:w w:val="100"/>
          <w:position w:val="0"/>
          <w:shd w:val="clear" w:color="auto" w:fill="auto"/>
          <w:lang w:val="hr-HR" w:eastAsia="hr-HR" w:bidi="hr-HR"/>
        </w:rPr>
        <w:t xml:space="preserve">und Volk, 1974,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Freiburger Rundbrief </w:t>
      </w:r>
      <w:r>
        <w:rPr>
          <w:rFonts w:ascii="Times New Roman" w:eastAsia="Times New Roman" w:hAnsi="Times New Roman" w:cs="Times New Roman"/>
          <w:color w:val="000000"/>
          <w:spacing w:val="0"/>
          <w:w w:val="100"/>
          <w:position w:val="0"/>
          <w:shd w:val="clear" w:color="auto" w:fill="auto"/>
          <w:lang w:val="hr-HR" w:eastAsia="hr-HR" w:bidi="hr-HR"/>
        </w:rPr>
        <w:t>XXVIII, 1976, 56-59,57).</w:t>
      </w:r>
    </w:p>
    <w:p>
      <w:pPr>
        <w:pStyle w:val="Style20"/>
        <w:keepNext w:val="0"/>
        <w:keepLines w:val="0"/>
        <w:widowControl w:val="0"/>
        <w:shd w:val="clear" w:color="auto" w:fill="auto"/>
        <w:bidi w:val="0"/>
        <w:spacing w:before="0" w:after="0"/>
        <w:ind w:left="0" w:right="0" w:firstLine="0"/>
        <w:jc w:val="both"/>
        <w:sectPr>
          <w:headerReference w:type="default" r:id="rId1673"/>
          <w:footerReference w:type="default" r:id="rId1674"/>
          <w:headerReference w:type="even" r:id="rId1675"/>
          <w:footerReference w:type="even" r:id="rId1676"/>
          <w:footnotePr>
            <w:pos w:val="pageBottom"/>
            <w:numFmt w:val="decimal"/>
            <w:numRestart w:val="continuous"/>
            <w15:footnoteColumns w:val="1"/>
          </w:footnotePr>
          <w:pgSz w:w="6816" w:h="11006"/>
          <w:pgMar w:top="947" w:left="195" w:right="199" w:bottom="465" w:header="0" w:footer="3" w:gutter="0"/>
          <w:pgNumType w:start="546"/>
          <w:cols w:num="2" w:space="18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toj konkretizaciji misli na »zemlju« nastav</w:t>
        <w:softHyphen/>
        <w:t>lja se utjecaj povijesne objave. O takvoj je ri</w:t>
        <w:softHyphen/>
        <w:t>ječ u sadržaju pripovijesti o praocima, ne o pseudopovijesnom opravdanju prava na Ka</w:t>
        <w:softHyphen/>
        <w:t>naan. S pretpovijesnim životom osoba već su čvrsto povezani elementi već bitni za povijest naroda: doživljaji zvuka (Post 16,11; 21,17; usp. Izl 3,7; 6,5; Pnz 26,7), slika (Post 16,13 i d„ usp. Izl 3,7.9; Pnz 26,7), ukazanja (Post 12,7; 17,1; 18,1; usp. Izl 3,2.16; 4,1.5; 16,10), silaska (Post 28,12; usp. Izl 3,8; 19,18.20), a ponajprije izlaska, pratnje i dolaska na odre</w:t>
        <w:softHyphen/>
        <w:t>dište (Post 15,7; 12,1.5; usp. Izl 3,8.10 i d.; 20,2; Pnz 6,21; 26,8), susreta na putu s Bogom i bivanja u njegovoj prisutnosti (Post 21,20.22; 26,3,24. 28; 28,15.20; 31,3.5; 35,3, usp. Izl 3,12; Još 1,5.9.17; 6,27), u ekvivalentima riječi i nji</w:t>
        <w:softHyphen/>
        <w:t>hove međupovezanosti s plemenskim pripo</w:t>
        <w:softHyphen/>
        <w:t>vijestima i narodnom povijesti. I u obećanju zemlje može se raspoznati da povijesna obja</w:t>
        <w:softHyphen/>
        <w:t>va pojedincu anticipira povijesnu objavu Izra</w:t>
        <w:softHyphen/>
        <w:t xml:space="preserve">elu: </w:t>
      </w:r>
      <w:r>
        <w:rPr>
          <w:rFonts w:ascii="Times New Roman" w:eastAsia="Times New Roman" w:hAnsi="Times New Roman" w:cs="Times New Roman"/>
          <w:color w:val="000000"/>
          <w:spacing w:val="0"/>
          <w:w w:val="100"/>
          <w:position w:val="0"/>
          <w:shd w:val="clear" w:color="auto" w:fill="auto"/>
          <w:lang w:val="en-US" w:eastAsia="en-US" w:bidi="en-US"/>
        </w:rPr>
        <w:t xml:space="preserve">Abram </w:t>
      </w:r>
      <w:r>
        <w:rPr>
          <w:rFonts w:ascii="Times New Roman" w:eastAsia="Times New Roman" w:hAnsi="Times New Roman" w:cs="Times New Roman"/>
          <w:color w:val="000000"/>
          <w:spacing w:val="0"/>
          <w:w w:val="100"/>
          <w:position w:val="0"/>
          <w:shd w:val="clear" w:color="auto" w:fill="auto"/>
          <w:lang w:val="hr-HR" w:eastAsia="hr-HR" w:bidi="hr-HR"/>
        </w:rPr>
        <w:t xml:space="preserve">prođe »zemljom kanaanskom«... »i zazva IMH« (Post 12,8; 13,4; 21,33), isto učini i Izak (26,25), tj. oni su proglasili (u ovom smislu M. Buber/F.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color w:val="000000"/>
          <w:spacing w:val="0"/>
          <w:w w:val="100"/>
          <w:position w:val="0"/>
          <w:shd w:val="clear" w:color="auto" w:fill="auto"/>
          <w:lang w:val="hr-HR" w:eastAsia="hr-HR" w:bidi="hr-HR"/>
        </w:rPr>
        <w:t>s pra</w:t>
        <w:softHyphen/>
        <w:t xml:space="preserve">vom su shvatili hebrejski izričaj u skladu s Izl 33,19, usp. U. </w:t>
      </w:r>
      <w:r>
        <w:rPr>
          <w:rFonts w:ascii="Times New Roman" w:eastAsia="Times New Roman" w:hAnsi="Times New Roman" w:cs="Times New Roman"/>
          <w:color w:val="000000"/>
          <w:spacing w:val="0"/>
          <w:w w:val="100"/>
          <w:position w:val="0"/>
          <w:shd w:val="clear" w:color="auto" w:fill="auto"/>
          <w:lang w:val="en-US" w:eastAsia="en-US" w:bidi="en-US"/>
        </w:rPr>
        <w:t xml:space="preserve">Cassuto, </w:t>
      </w:r>
      <w:r>
        <w:rPr>
          <w:rFonts w:ascii="Times New Roman" w:eastAsia="Times New Roman" w:hAnsi="Times New Roman" w:cs="Times New Roman"/>
          <w:i/>
          <w:iCs/>
          <w:color w:val="000000"/>
          <w:spacing w:val="0"/>
          <w:w w:val="100"/>
          <w:position w:val="0"/>
          <w:shd w:val="clear" w:color="auto" w:fill="auto"/>
          <w:lang w:val="en-US" w:eastAsia="en-US" w:bidi="en-US"/>
        </w:rPr>
        <w:t>A Commentary on the Book of Genesis</w:t>
      </w:r>
      <w:r>
        <w:rPr>
          <w:rFonts w:ascii="Times New Roman" w:eastAsia="Times New Roman" w:hAnsi="Times New Roman" w:cs="Times New Roman"/>
          <w:color w:val="000000"/>
          <w:spacing w:val="0"/>
          <w:w w:val="100"/>
          <w:position w:val="0"/>
          <w:shd w:val="clear" w:color="auto" w:fill="auto"/>
          <w:lang w:val="en-US" w:eastAsia="en-US" w:bidi="en-US"/>
        </w:rPr>
        <w:t xml:space="preserve"> II, 1974, 332, 364) </w:t>
      </w:r>
      <w:r>
        <w:rPr>
          <w:rFonts w:ascii="Times New Roman" w:eastAsia="Times New Roman" w:hAnsi="Times New Roman" w:cs="Times New Roman"/>
          <w:color w:val="000000"/>
          <w:spacing w:val="0"/>
          <w:w w:val="100"/>
          <w:position w:val="0"/>
          <w:shd w:val="clear" w:color="auto" w:fill="auto"/>
          <w:lang w:val="hr-HR" w:eastAsia="hr-HR" w:bidi="hr-HR"/>
        </w:rPr>
        <w:t xml:space="preserve">pravog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vlasnika zemlje i pozvali sve stanovnike da ga štuju (usp. Berešit raba XXXIX,12,8; komen</w:t>
        <w:softHyphen/>
        <w:t>tari s tim u vezi Ibn Ezre i Nahmanida). Bog je u točno određenom kontekstu obećao da će njima i njihovim potomcima kao zajednici svojih slugu »dati tu zemlju da je naslijede« (Post 15,7, usp. stih 18; 12,7; 13,15.17; 17,8; 24,7; 26,3 i d.; 28,4.13; 35,12; 48,4; 50,24). Težište je na objavi Abramu; ona podsjeća na obećanje zemlje dano Izaku i Jakovu (26,3; 28,4). Već i Post 15 čvrsto povezuje povijest praotaca s poviješću potomaka u narodu Iz- raelovu, s važnim, neposrednim pozivanjem na potlačenost u tuđoj zemlji (Post 15,13, usp. Izl 1,11 i d.; Pnz 26,6) i na sretan izlazak (stih 14) na koji upućuje početak Deset zapovijedi (Izl 20,2; Pnz 5,6), čvrsto povezujući i ele</w:t>
        <w:softHyphen/>
        <w:t>mente izvođenja iz sužanjstva i davanja zemlje (stih 7). To je kraj izvješća o praocima s ri</w:t>
        <w:softHyphen/>
        <w:t>ječju Josipa upućenoj njegovoj braći: »Ja umi</w:t>
        <w:softHyphen/>
        <w:t>rem, ali će se Bog sjetiti vas i odvesti vas iz ove zemlje u zemlju što ju je pod zakletvom obe</w:t>
        <w:softHyphen/>
        <w:t>ćao Abrahamu, Izaku i Jakovu« (Post 50,24), povezane u jasnom paralelnom kontekstu s početkom povijesti naroda, obećanjem da će Bog izvesti narod i da će im dati zemlju, da će ga »izvesti iz te zemlje u dobru i prostranu zemlju - u zemlju kojom teče med i mlijeko, u postojbinu Kanaanaca...« (Izl 3,8, usp. stih 17); tako se davanjem kanaanske zemlje Izraelu koji izlazi iz egipatskog egzila ispunjava obe</w:t>
        <w:softHyphen/>
        <w:t>ćanje zemlje očima. To obećanje potkrijep</w:t>
        <w:softHyphen/>
        <w:t>ljeno zakletvom (već u Post /15,8;/ 24,7; 26,3; 50,24, usp. Izl 6,8, naglašeno u Pnz 1,8.35; 4,31; 6,10.18.23; 7,12; 11,9.21; 26,15; 28,11) daje naslutiti tešku ugroženost davanja od</w:t>
        <w:softHyphen/>
        <w:t>nosno posjedovanja zemlje. Izraelov »dola</w:t>
        <w:softHyphen/>
        <w:t>zak«, »ulazak« u zemlju da je »primi u bašti</w:t>
        <w:softHyphen/>
        <w:t>nu« (Post 1,8.21; 3,18.20; 4,1.5.14.22.26) ni</w:t>
        <w:softHyphen/>
        <w:t xml:space="preserve">kada nije stavio u sjenu </w:t>
      </w:r>
      <w:r>
        <w:rPr>
          <w:rFonts w:ascii="Times New Roman" w:eastAsia="Times New Roman" w:hAnsi="Times New Roman" w:cs="Times New Roman"/>
          <w:i/>
          <w:iCs/>
          <w:color w:val="000000"/>
          <w:spacing w:val="0"/>
          <w:w w:val="100"/>
          <w:position w:val="0"/>
          <w:shd w:val="clear" w:color="auto" w:fill="auto"/>
          <w:lang w:val="hr-HR" w:eastAsia="hr-HR" w:bidi="hr-HR"/>
        </w:rPr>
        <w:t>dar</w:t>
      </w:r>
      <w:r>
        <w:rPr>
          <w:rFonts w:ascii="Times New Roman" w:eastAsia="Times New Roman" w:hAnsi="Times New Roman" w:cs="Times New Roman"/>
          <w:color w:val="000000"/>
          <w:spacing w:val="0"/>
          <w:w w:val="100"/>
          <w:position w:val="0"/>
          <w:shd w:val="clear" w:color="auto" w:fill="auto"/>
          <w:lang w:val="hr-HR" w:eastAsia="hr-HR" w:bidi="hr-HR"/>
        </w:rPr>
        <w:t xml:space="preserve"> zemlje (1,8.25.35; 2,29; 3,20; 4,1.38; 6,10; 9,6; 11,17.31; 12,1; 15,7; 16,20; 18,14; 26,3; 31,7), Ono obilježava i pohvalu »dobre zemlje« (1,25; 3,25; 4,21 i d.; 6,18) i začudni uzvik: »Z. kojom teče med i mlijeko!« (6,3; 11,9; 26,9.15; 27,3; 31,20). Stil upornoga, upečatljivog ponavljanja u toj teo</w:t>
        <w:softHyphen/>
        <w:t>loški najpromišljcnijoj knjizi hebrejske Biblije nedvosmisleno održava u Izraelu svijest kako je zemlju primio iz ruku svojega Boga i, s ob</w:t>
        <w:softHyphen/>
        <w:t>zirom na svoj odnos s Bogom, ne smije tražiti posjedovanje zemlje. Izraelov jedinstven od</w:t>
        <w:softHyphen/>
        <w:t>nos prema svojoj zemlji izražava drevno na</w:t>
        <w:softHyphen/>
      </w:r>
    </w:p>
    <w:p>
      <w:pPr>
        <w:pStyle w:val="Style20"/>
        <w:keepNext w:val="0"/>
        <w:keepLines w:val="0"/>
        <w:widowControl w:val="0"/>
        <w:shd w:val="clear" w:color="auto" w:fill="auto"/>
        <w:bidi w:val="0"/>
        <w:spacing w:before="0" w:after="0"/>
        <w:ind w:left="0" w:right="0" w:firstLine="0"/>
        <w:jc w:val="both"/>
        <w:sectPr>
          <w:headerReference w:type="default" r:id="rId1677"/>
          <w:footerReference w:type="default" r:id="rId1678"/>
          <w:headerReference w:type="even" r:id="rId1679"/>
          <w:footerReference w:type="even" r:id="rId1680"/>
          <w:footnotePr>
            <w:pos w:val="pageBottom"/>
            <w:numFmt w:val="decimal"/>
            <w:numRestart w:val="continuous"/>
            <w15:footnoteColumns w:val="1"/>
          </w:footnotePr>
          <w:pgSz w:w="6816" w:h="11006"/>
          <w:pgMar w:top="947" w:left="195" w:right="199" w:bottom="465" w:header="0" w:footer="37" w:gutter="0"/>
          <w:pgNumType w:start="551"/>
          <w:cols w:num="2" w:space="189"/>
          <w:noEndnote/>
          <w:rtlGutter w:val="0"/>
          <w:docGrid w:linePitch="360"/>
        </w:sectPr>
      </w:pPr>
      <w:r>
        <mc:AlternateContent>
          <mc:Choice Requires="wps">
            <w:drawing>
              <wp:anchor distT="50800" distB="254000" distL="114300" distR="114300" simplePos="0" relativeHeight="125829451" behindDoc="0" locked="0" layoutInCell="1" allowOverlap="1">
                <wp:simplePos x="0" y="0"/>
                <wp:positionH relativeFrom="page">
                  <wp:posOffset>4020820</wp:posOffset>
                </wp:positionH>
                <wp:positionV relativeFrom="margin">
                  <wp:posOffset>6144895</wp:posOffset>
                </wp:positionV>
                <wp:extent cx="186055" cy="109855"/>
                <wp:wrapTopAndBottom/>
                <wp:docPr id="3605" name="Shape 3605"/>
                <a:graphic xmlns:a="http://schemas.openxmlformats.org/drawingml/2006/main">
                  <a:graphicData uri="http://schemas.microsoft.com/office/word/2010/wordprocessingShape">
                    <wps:wsp>
                      <wps:cNvSpPr txBox="1"/>
                      <wps:spPr>
                        <a:xfrm>
                          <a:ext cx="186055" cy="10985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C/i'T</w:t>
                            </w:r>
                          </w:p>
                        </w:txbxContent>
                      </wps:txbx>
                      <wps:bodyPr wrap="none" lIns="0" tIns="0" rIns="0" bIns="0">
                        <a:noAutoFit/>
                      </wps:bodyPr>
                    </wps:wsp>
                  </a:graphicData>
                </a:graphic>
              </wp:anchor>
            </w:drawing>
          </mc:Choice>
          <mc:Fallback>
            <w:pict>
              <v:shape id="_x0000_s4631" type="#_x0000_t202" style="position:absolute;margin-left:316.60000000000002pt;margin-top:483.85000000000002pt;width:14.65pt;height:8.6500000000000004pt;z-index:-125829302;mso-wrap-distance-left:9.pt;mso-wrap-distance-top:4.pt;mso-wrap-distance-right:9.pt;mso-wrap-distance-bottom:20.pt;mso-position-horizontal-relative:page;mso-position-vertical-relative:margin" filled="f" stroked="f">
                <v:textbox inset="0,0,0,0">
                  <w:txbxContent>
                    <w:p>
                      <w:pPr>
                        <w:pStyle w:val="Style5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C/i'T</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čelo koje se javlja u vidu Božjeg obraćanja: «... jer z. pripada meni, dok ste vi same stranci i gosti kod mene«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25,23). Ako Bog u »orlovskoj izreci« (Izl 19,4-6) pripisuje sebi vlast nad zemljom naroda: »... ta moj je sav svijet« (stih 5), tada to vrijedi - u rečenici u vezi sa strancima i gostima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25,23) - i za vlasništvo nad kanaanskom zemljom, kojom će se Izraelci prehranili kao njegovi »gosti i stranci«, no u kojoj jedan drugoga ne smije is</w:t>
        <w:softHyphen/>
        <w:t>tisnuti posjedovnim pravom i trajno osiroma</w:t>
        <w:softHyphen/>
        <w:t xml:space="preserve">šiti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25,2-7; Izl 23,10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Pnz 15,1-11). U povijesnom pamćenju naroda duboko je uko</w:t>
        <w:softHyphen/>
        <w:t>rijenjeno znanje o Kanaanu kao Božjoj zemlji: ona je »NJEGOVO vlasništvo« (1 Sam 26,19; 2 Sam 14.16; Jr 2,7; 16,18; 50,11; Ps 68,10; 79,1) ili »NJEGOVA« z. (Iz 14,2; 2 Ljet 7,20; Hoš 9,3); na sličan način javlja se rijetko »z. Izraelova« (Erec Jisrael) kao naziv cijele zem</w:t>
        <w:softHyphen/>
        <w:t>lje (1 Sam 13,19; Izl 40,2; 47,18; 1 Ljet 22,2; 2 I.jel 2,16; 34,7; u vezi sa Sjevernim Izraelom 1 Kr 5,2.4; 6,23; Ez 27,17; 2 Ljet 30,25). U rije</w:t>
        <w:softHyphen/>
        <w:t>čima o »tlu Izraclovu« (»zemlji Izraelovoj«), koje se javljaju samo u Knjizi proroka Eze- kiela (7,2; 11,17, ukupno sedamnaest puta), odjekuje sjećanje na zemlju (oranicu) »koju ti da ON, tvoj Bog« (Izl 20,12; usp. Pnz 4,40; 5,16; 11,9). Posebni odnos Boga prema Izraelu dokazuju mjesta na kojima se paralelno upo</w:t>
        <w:softHyphen/>
        <w:t>trebljavaju »njegov narod« i »njegova svojina« (Pnz 32,9, JI 2,17; 4,2) odnosno »njegova z.« (Ez 36,20; JI 2,18). Pnz razlaže tu predodžbu razmatranjem »dobre (plodne) zemlje« »koju ti Bog daje u baštinu« (4,21.38; 12,9;19,10; 20,16; 21,33; 24,4; 25,19; usp, Ps 135,12). Bog ne određuje dar zemlje izdvojenim činom; on je uvrštava u odnos s Izraelom. To se posebno izražava u čvrstoj povezanosti darivanja zem</w:t>
        <w:softHyphen/>
        <w:t>lje i posluha naroda; »...držite sve zapovijedi što vam ih danas naređujem da ... uzmete u posjed zemlju... da dugo živite u zemlji za koju se zakleo ON očima vašim da će je dati njima i njihovu potomstvu« (Pnz 11,8 i d.; usp. 12,1; 17,14 i d.; 18,9; 19,1 i d.; 26,1 i d.). Bog hoće (za Izrael) »da ti dobro bude i da se do- mogneš dobre zemlje za koju se ON zakleo tvojim očima«, ali istodobno traži od njega: »Čini što je pravo i dobro u NJEGOVIM oči</w:t>
        <w:softHyphen/>
        <w:t>ma« (Pnz 6,18). Veza je neraskidiva (8,1; 11,8 i d.18-21; 16,20; 19,8 i d.; 28,11-14), jer Izrae</w:t>
        <w:softHyphen/>
        <w:t>lov dug život »u zemlji za koju se zakleo ON očima vašim da će je dati njima...« ne može sc</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odvojiti od »... ljubeći NJEGA, Boga svoga, slušajući njegov glas, prianjajući uz njega« (30,20). Ako Izrael, koristeći se dobivenom slobodom odlučivanja: »Biraj život« (30,19), odabere put protiv onoga koji mu nudi život, vrijedi: »Ali, ako se srce tvoje odvrati i ne poslušaš... ja vam danas izjavljujem da ćete zaista propasti, nećete dugo živjeti na zemlji...« (30.18; 4,26;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18,24 i d.; Br 35,34; Jr 2,7; 3,2).</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Teškom krivnjom Izrael je prouzročio gubitak zemlje. U jednom tumačenju povijesti u »ra</w:t>
        <w:softHyphen/>
        <w:t>nijim prorocima« objašnjeno je sužanjstvo kao kazna za otpadništvo (2 Kr 17,23; 18,11 i d., 25,21). No Bog ostaje vlasnikom zemlje; nje</w:t>
        <w:softHyphen/>
        <w:t>gov sud nije posljednja riječ upućena Izraelu. Jeremija, koji mora najaviti Božje kazneno djelovanje, smije očajnicima u opsjednutom Jeruzalemu objaviti: »Jer ovako govori ON nad vojskama, Bog Izraelov: Još će se u ovoj zemlji kupovati i kuće i njive i vinogradi!« (32,15). Ta se riječ, doduše, razlikuje od obe</w:t>
        <w:softHyphen/>
        <w:t>ćanja da će zemlju »baštiniti«, ona ipak iz</w:t>
        <w:softHyphen/>
        <w:t xml:space="preserve">ražava »naume mira, a ne nesreće« (29,11).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otkriva kako će Bog pokazati svoju svetost i stvoriti poslušan narod i Izraelu, vraćenom kući, pomoći da se njegova z. iz</w:t>
        <w:softHyphen/>
        <w:t>nova oplodi (36,23 i d.), »tada će se reći: ‘Evo zemlje što bijaše pusta, a postade kao vrt edenski’« (stih 35). Oba proroka bude nadu u povratak »u zemlju koju očima vašim dadoh u baštinu« (Jr 3,18, usp. 24,6; 30,3); »i nastanit ćete se u zemlji koju dadoh vašim očima« (Ez 36,28; usp. 20,42; 34,13). S oduševljenom ra</w:t>
        <w:softHyphen/>
        <w:t>došću neimenovani tješitelj usmjerava pogled prognanika na predstojeći povratak kući (Iz 40-55). Narod i z. Božja ponovno će biti spo</w:t>
        <w:softHyphen/>
        <w:t>jeni: »I dat ću im srce da me poznaju da sam to JA, da budu narod moj. a ja Bog njihov, jer će se oni svim srcem svojim opet k meni obra</w:t>
        <w:softHyphen/>
        <w:t xml:space="preserve">titi« (Jr 24,7, usp. 31,33; Ez 11,19 i d.; 14,11; 36,26-28). Izrael, čudeći se, doživljava obrat svoje sudbine: »Kad ON vraćaše sužnjeve sionske, bilo nam je ko da snivamo« (Ps 126). </w:t>
      </w:r>
      <w:r>
        <w:rPr>
          <w:rFonts w:ascii="Times New Roman" w:eastAsia="Times New Roman" w:hAnsi="Times New Roman" w:cs="Times New Roman"/>
          <w:i/>
          <w:iCs/>
          <w:color w:val="000000"/>
          <w:spacing w:val="0"/>
          <w:w w:val="100"/>
          <w:position w:val="0"/>
          <w:shd w:val="clear" w:color="auto" w:fill="auto"/>
          <w:lang w:val="hr-HR" w:eastAsia="hr-HR" w:bidi="hr-HR"/>
        </w:rPr>
        <w:t>b) »Izrael« i »izvan zemlje«:</w:t>
      </w:r>
      <w:r>
        <w:rPr>
          <w:rFonts w:ascii="Times New Roman" w:eastAsia="Times New Roman" w:hAnsi="Times New Roman" w:cs="Times New Roman"/>
          <w:color w:val="000000"/>
          <w:spacing w:val="0"/>
          <w:w w:val="100"/>
          <w:position w:val="0"/>
          <w:shd w:val="clear" w:color="auto" w:fill="auto"/>
          <w:lang w:val="hr-HR" w:eastAsia="hr-HR" w:bidi="hr-HR"/>
        </w:rPr>
        <w:t xml:space="preserve"> 7.a židovski narod nakon razorenja drugoga Hrama povijest lz- raelova odnosa prema zemlji sačuvala je važnost jer je to povijest odnosa naroda pre</w:t>
        <w:softHyphen/>
        <w:t>ma Bogu. U talmudsko doba poučavali su mu</w:t>
        <w:softHyphen/>
        <w:t xml:space="preserve">draci da je ustrajni ostanak u zemlji sveta dužnost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76b; Bava batra 91a; Semot raba Lll,39.32). Odredbe pisane i usmene To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re, koje su čvrsto povezane s tlom Izraela, a izvan njegova područja nemaju nikakvu ili imaju samo ograničenu važnost, prisiljavaju na razlikovanje, u Mišni i u kasnijoj rabinskoj literaturi, Ercc Jisraela i »izvan zemlje« </w:t>
      </w:r>
      <w:r>
        <w:rPr>
          <w:rFonts w:ascii="Times New Roman" w:eastAsia="Times New Roman" w:hAnsi="Times New Roman" w:cs="Times New Roman"/>
          <w:i/>
          <w:iCs/>
          <w:color w:val="000000"/>
          <w:spacing w:val="0"/>
          <w:w w:val="100"/>
          <w:position w:val="0"/>
          <w:shd w:val="clear" w:color="auto" w:fill="auto"/>
          <w:lang w:val="hr-HR" w:eastAsia="hr-HR" w:bidi="hr-HR"/>
        </w:rPr>
        <w:t>(huclal la-arec)</w:t>
      </w:r>
      <w:r>
        <w:rPr>
          <w:rFonts w:ascii="Times New Roman" w:eastAsia="Times New Roman" w:hAnsi="Times New Roman" w:cs="Times New Roman"/>
          <w:color w:val="000000"/>
          <w:spacing w:val="0"/>
          <w:w w:val="100"/>
          <w:position w:val="0"/>
          <w:shd w:val="clear" w:color="auto" w:fill="auto"/>
          <w:lang w:val="hr-HR" w:eastAsia="hr-HR" w:bidi="hr-HR"/>
        </w:rPr>
        <w:t xml:space="preserve"> (Ševiit VI,1; Hala IV,8; Tos. Ševiit IV,6-11 i Terumot 11,12; j Ševiit VI,1;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 xml:space="preserve">8a; Majmonid, </w:t>
      </w:r>
      <w:r>
        <w:rPr>
          <w:rFonts w:ascii="Times New Roman" w:eastAsia="Times New Roman" w:hAnsi="Times New Roman" w:cs="Times New Roman"/>
          <w:i/>
          <w:iCs/>
          <w:color w:val="000000"/>
          <w:spacing w:val="0"/>
          <w:w w:val="100"/>
          <w:position w:val="0"/>
          <w:shd w:val="clear" w:color="auto" w:fill="auto"/>
          <w:lang w:val="hr-HR" w:eastAsia="hr-HR" w:bidi="hr-HR"/>
        </w:rPr>
        <w:t>Misne Tora,</w:t>
      </w:r>
      <w:r>
        <w:rPr>
          <w:rFonts w:ascii="Times New Roman" w:eastAsia="Times New Roman" w:hAnsi="Times New Roman" w:cs="Times New Roman"/>
          <w:color w:val="000000"/>
          <w:spacing w:val="0"/>
          <w:w w:val="100"/>
          <w:position w:val="0"/>
          <w:shd w:val="clear" w:color="auto" w:fill="auto"/>
          <w:lang w:val="hr-HR" w:eastAsia="hr-HR" w:bidi="hr-HR"/>
        </w:rPr>
        <w:t xml:space="preserve"> Hilhot teru</w:t>
        <w:softHyphen/>
        <w:t xml:space="preserve">mot 1,2-9 i Hilhot šemita 1V.26-28). Učenjaci su strogo upozoravali »da ni zasluge predaka </w:t>
      </w:r>
      <w:r>
        <w:rPr>
          <w:rFonts w:ascii="Times New Roman" w:eastAsia="Times New Roman" w:hAnsi="Times New Roman" w:cs="Times New Roman"/>
          <w:i/>
          <w:iCs/>
          <w:color w:val="000000"/>
          <w:spacing w:val="0"/>
          <w:w w:val="100"/>
          <w:position w:val="0"/>
          <w:shd w:val="clear" w:color="auto" w:fill="auto"/>
          <w:lang w:val="hr-HR" w:eastAsia="hr-HR" w:bidi="hr-HR"/>
        </w:rPr>
        <w:t>(zekut avot,</w:t>
      </w:r>
      <w:r>
        <w:rPr>
          <w:rFonts w:ascii="Times New Roman" w:eastAsia="Times New Roman" w:hAnsi="Times New Roman" w:cs="Times New Roman"/>
          <w:color w:val="000000"/>
          <w:spacing w:val="0"/>
          <w:w w:val="100"/>
          <w:position w:val="0"/>
          <w:shd w:val="clear" w:color="auto" w:fill="auto"/>
          <w:lang w:val="hr-HR" w:eastAsia="hr-HR" w:bidi="hr-HR"/>
        </w:rPr>
        <w:t xml:space="preserve"> usp. b Šabat 30a; Berahot 27b) ne pomažu nikome tko se iz Izraela odseli u ino</w:t>
        <w:softHyphen/>
        <w:t xml:space="preserve">zemstvo«, osim ako vlada velika skupoća ili »ako se ne može ništa kupiti« (b Bava batra 91a). Prema uzoru na rodonačelnikc Jakova i Josipa (Post 49,29 i d.; 50,25) mnogi su Židovi u dijaspori odlučili da njihove kosti poslije smrti počivaju u Ercc Jisraelu. Doduše, Juda ha-Nasi (II. stoljeće) pitao je: »Što će pomoći pokojniku, kad je dušu ispustio u inozemstvu, da bude pokopan u izraelskoj zemlji?«, ali je rabin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odgovorio: »Budući da se po</w:t>
        <w:softHyphen/>
        <w:t>kojnik ukapa u izraelskoj zemlji, Bog će mu oprostiti krivnju (Pnz 32,43)« (Bcrcšit raba XCVI,47,29). Iz toga tumačenja razvilo se mišljenje: »Tko je pokopan u izraelskoj zem</w:t>
        <w:softHyphen/>
        <w:t xml:space="preserve">lji, kao da je pokopan pod oltarom« (b Kc- tubot lila). Rabin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 xml:space="preserve">čak je zastupao - unatoč dogmatskoj formulaciji Mišne: »Sav Izrael ima udjela u budućem svijetu«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X,l) - mišljenje: »Mrtvi izvan zemlje neće uskrsnuti«. Rabi Ila i Abajc ublažili su to gledište pretpostavkom da će kosti pokojnika putovati podzemnim putcvima u Ercc Jisrael i ondje sudjelovati u oživljavanju mrtvih (b Ke- tubot 11a). Mudraci su ipak smatrali pravim ciljem svakoga Židova, koji nije izblijedio ni tijekom cijeloga srednjeg vijeka, a ni poslije: »Bolje je prebivati u pustinji židovske zemlje negoli na trgovima inozemstva« (Bcrcšit raba XXXIX,12,1). »Neka se prebiva uvijek u iz</w:t>
        <w:softHyphen/>
        <w:t>raelskoj zemlji, pa i u gradu u kojem je većin</w:t>
        <w:softHyphen/>
        <w:t>sko nežidovsko stanovništvo i neka se ne pre</w:t>
        <w:softHyphen/>
        <w:t>biva izvan zemlje, pa ni u gradu u kojem je većinsko stanovništvo izraclitsko. Tko, naime, prebiva u izraelskoj zemlji, osjeća se kao da ima Boga, a tko prebiva izvan zemlje, osjeća se kao da nema Boga« (b Ketubot 110b). Sa</w:t>
        <w:softHyphen/>
        <w:t xml:space="preserve">mo iz određenih razloga ograničavala se u srednjem vijeku obveza naseljavanja u Erec Jisraelu: putovanja opasna za život i zdravlje te činjenica što se zbog političkih prilika ne </w:t>
      </w:r>
      <w:r>
        <w:rPr>
          <w:rFonts w:ascii="Times New Roman" w:eastAsia="Times New Roman" w:hAnsi="Times New Roman" w:cs="Times New Roman"/>
          <w:color w:val="000000"/>
          <w:spacing w:val="0"/>
          <w:w w:val="100"/>
          <w:position w:val="0"/>
          <w:shd w:val="clear" w:color="auto" w:fill="auto"/>
          <w:lang w:val="hr-HR" w:eastAsia="hr-HR" w:bidi="hr-HR"/>
        </w:rPr>
        <w:t>mogu poštovati propisi, oslobađali su od te obveze (Tos. Ketubot 110b). Sve do sadaš</w:t>
        <w:softHyphen/>
        <w:t xml:space="preserve">njosti ipak vrijedi načelo, koje je formulirao Midraš iz II./III. stoljeća za </w:t>
      </w:r>
      <w:r>
        <w:rPr>
          <w:rFonts w:ascii="Times New Roman" w:eastAsia="Times New Roman" w:hAnsi="Times New Roman" w:cs="Times New Roman"/>
          <w:i/>
          <w:iCs/>
          <w:color w:val="000000"/>
          <w:spacing w:val="0"/>
          <w:w w:val="100"/>
          <w:position w:val="0"/>
          <w:shd w:val="clear" w:color="auto" w:fill="auto"/>
          <w:lang w:val="hr-HR" w:eastAsia="hr-HR" w:bidi="hr-HR"/>
        </w:rPr>
        <w:t>galut</w:t>
      </w:r>
      <w:r>
        <w:rPr>
          <w:rFonts w:ascii="Times New Roman" w:eastAsia="Times New Roman" w:hAnsi="Times New Roman" w:cs="Times New Roman"/>
          <w:color w:val="000000"/>
          <w:spacing w:val="0"/>
          <w:w w:val="100"/>
          <w:position w:val="0"/>
          <w:shd w:val="clear" w:color="auto" w:fill="auto"/>
          <w:lang w:val="hr-HR" w:eastAsia="hr-HR" w:bidi="hr-HR"/>
        </w:rPr>
        <w:t xml:space="preserve"> (dijasporu) da Židovi koji žive u zemlji imaju pravo prvenstva na potporu (Haluka prema 2 Ljet 35,5: »skupina/odjel« odnosno »raspodjela«) (Šifre Pnz 15,7).</w:t>
      </w:r>
    </w:p>
    <w:p>
      <w:pPr>
        <w:pStyle w:val="Style20"/>
        <w:keepNext w:val="0"/>
        <w:keepLines w:val="0"/>
        <w:widowControl w:val="0"/>
        <w:shd w:val="clear" w:color="auto" w:fill="auto"/>
        <w:bidi w:val="0"/>
        <w:spacing w:before="0" w:after="12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Istaknuto značenje za židovski narod ima za</w:t>
        <w:softHyphen/>
        <w:t>povijed u Br 33,53: »Zaposjednite zemlju i u njoj se nastanite, jer sam vam je predao da je zaposjednete«. Borba za pravo razumijevanje stvorila je razna tumačenja: 1. To je Božje obećanje koje će se održati u mesijanskoj Božjoj vladavini bez aktivnog sudjelovanja lju</w:t>
        <w:softHyphen/>
        <w:t>di. 2. Raši (XI. stoljeće) savjetovao je Žido</w:t>
        <w:softHyphen/>
        <w:t>vima da zauzmu zemlju prije negoli se u njoj nastane, jer neće biti mirnog susjedstva s prastanovnicima (Kanaancima). 3. Nahmanid (XIII. stoljeće) isticao je obvezu židovskoga naroda da protjeraju prastanovništvo, da pre</w:t>
        <w:softHyphen/>
        <w:t>bivaju u zemlji i da zemlju obrađuju. Odabi</w:t>
        <w:softHyphen/>
        <w:t>rom druge zemlje Židovi bi prekršili zapovi</w:t>
        <w:softHyphen/>
        <w:t>jed. Ta je odredba služila kao osnova svim rabinskim propisima koji su izričito tražili iz</w:t>
        <w:softHyphen/>
        <w:t xml:space="preserve">gradnju Erec Jisraela. 4. Majmonid </w:t>
      </w:r>
      <w:r>
        <w:rPr>
          <w:rFonts w:ascii="Times New Roman" w:eastAsia="Times New Roman" w:hAnsi="Times New Roman" w:cs="Times New Roman"/>
          <w:color w:val="000000"/>
          <w:spacing w:val="0"/>
          <w:w w:val="100"/>
          <w:position w:val="0"/>
          <w:shd w:val="clear" w:color="auto" w:fill="auto"/>
          <w:lang w:val="en-US" w:eastAsia="en-US" w:bidi="en-US"/>
        </w:rPr>
        <w:t xml:space="preserve">(XII./XIII. </w:t>
      </w:r>
      <w:r>
        <w:rPr>
          <w:rFonts w:ascii="Times New Roman" w:eastAsia="Times New Roman" w:hAnsi="Times New Roman" w:cs="Times New Roman"/>
          <w:color w:val="000000"/>
          <w:spacing w:val="0"/>
          <w:w w:val="100"/>
          <w:position w:val="0"/>
          <w:shd w:val="clear" w:color="auto" w:fill="auto"/>
          <w:lang w:val="hr-HR" w:eastAsia="hr-HR" w:bidi="hr-HR"/>
        </w:rPr>
        <w:t>stoljeće), koji tu zapovijed nije priznavao, utječe do danas na mišljenje Židova u dijaspo</w:t>
        <w:softHyphen/>
        <w:t>ri. Oni traže za sebe pravo da i nakon uteme</w:t>
        <w:softHyphen/>
        <w:t>ljenja Države Izrael 14. svibnja 1948. i dalje žive »izvan zemlje« jer tradicija izvješćuje o trima Božjim prisegama: »Prvo, da se Izrael zajednički ne smije iseliti, drugo, da se Izrael ne buni protiv svjetovnih naroda i treće, da svjetovni narodi previše... ne zasužnjuju Iz</w:t>
        <w:softHyphen/>
        <w:t>rael« (b Ketubot lila). Zabrana da se Erec Jisrael ponovno osvoji (vojnom) silom ne do</w:t>
        <w:softHyphen/>
        <w:t>pušta nikakav napad, ali onima koji žive u zemlji ne i pravo na obrambeni rat. No pošti</w:t>
        <w:softHyphen/>
        <w:t xml:space="preserve">vanjem one odredbe, koja isključuje dozvolu naseljavanja u zemlji, darovanje ili prodaju zemlje nežidovima u Erec Jisraclu, ne smije se ugroziti ni jedan ljudski život (M Joma VIII,6; b 84b.85b). </w:t>
      </w:r>
      <w:r>
        <w:rPr>
          <w:rFonts w:ascii="Times New Roman" w:eastAsia="Times New Roman" w:hAnsi="Times New Roman" w:cs="Times New Roman"/>
          <w:i/>
          <w:iCs/>
          <w:color w:val="000000"/>
          <w:spacing w:val="0"/>
          <w:w w:val="100"/>
          <w:position w:val="0"/>
          <w:shd w:val="clear" w:color="auto" w:fill="auto"/>
          <w:lang w:val="hr-HR" w:eastAsia="hr-HR" w:bidi="hr-HR"/>
        </w:rPr>
        <w:t>Haluka jišuvi</w:t>
      </w:r>
      <w:r>
        <w:rPr>
          <w:rFonts w:ascii="Times New Roman" w:eastAsia="Times New Roman" w:hAnsi="Times New Roman" w:cs="Times New Roman"/>
          <w:color w:val="000000"/>
          <w:spacing w:val="0"/>
          <w:w w:val="100"/>
          <w:position w:val="0"/>
          <w:shd w:val="clear" w:color="auto" w:fill="auto"/>
          <w:lang w:val="hr-HR" w:eastAsia="hr-HR" w:bidi="hr-HR"/>
        </w:rPr>
        <w:t xml:space="preserve"> (novčana potpora židovskoga stanovništva u zemlji), liturgija i tradicija povezuju židovski narod »izvan zem</w:t>
        <w:softHyphen/>
        <w:t>lje« s Erec Jisraelom.</w:t>
      </w:r>
    </w:p>
    <w:p>
      <w:pPr>
        <w:pStyle w:val="Style56"/>
        <w:keepNext w:val="0"/>
        <w:keepLines w:val="0"/>
        <w:widowControl w:val="0"/>
        <w:shd w:val="clear" w:color="auto" w:fill="auto"/>
        <w:bidi w:val="0"/>
        <w:spacing w:before="0" w:after="0" w:line="271" w:lineRule="auto"/>
        <w:ind w:left="0" w:right="0" w:firstLine="0"/>
        <w:jc w:val="both"/>
      </w:pPr>
      <w:r>
        <w:rPr>
          <w:color w:val="000000"/>
          <w:spacing w:val="0"/>
          <w:w w:val="100"/>
          <w:position w:val="0"/>
          <w:shd w:val="clear" w:color="auto" w:fill="auto"/>
        </w:rPr>
        <w:t xml:space="preserve">Lit..: W.P. </w:t>
      </w:r>
      <w:r>
        <w:rPr>
          <w:color w:val="000000"/>
          <w:spacing w:val="0"/>
          <w:w w:val="100"/>
          <w:position w:val="0"/>
          <w:shd w:val="clear" w:color="auto" w:fill="auto"/>
          <w:lang w:val="hr-HR" w:eastAsia="hr-HR" w:bidi="hr-HR"/>
        </w:rPr>
        <w:t>Eckcn/N.P. Lcvinson/M. Stohr</w:t>
      </w:r>
      <w:r>
        <w:rPr>
          <w:b/>
          <w:bCs/>
          <w:i/>
          <w:iCs/>
          <w:color w:val="000000"/>
          <w:spacing w:val="0"/>
          <w:w w:val="100"/>
          <w:position w:val="0"/>
          <w:sz w:val="9"/>
          <w:szCs w:val="9"/>
          <w:shd w:val="clear" w:color="auto" w:fill="auto"/>
          <w:lang w:val="hr-HR" w:eastAsia="hr-HR" w:bidi="hr-HR"/>
        </w:rPr>
        <w:t xml:space="preserve">,Jiidisches Volk - gtiobles </w:t>
      </w:r>
      <w:r>
        <w:rPr>
          <w:b/>
          <w:bCs/>
          <w:i/>
          <w:iCs/>
          <w:color w:val="000000"/>
          <w:spacing w:val="0"/>
          <w:w w:val="100"/>
          <w:position w:val="0"/>
          <w:sz w:val="9"/>
          <w:szCs w:val="9"/>
          <w:shd w:val="clear" w:color="auto" w:fill="auto"/>
        </w:rPr>
        <w:t>Land,</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1970; </w:t>
      </w:r>
      <w:r>
        <w:rPr>
          <w:color w:val="000000"/>
          <w:spacing w:val="0"/>
          <w:w w:val="100"/>
          <w:position w:val="0"/>
          <w:shd w:val="clear" w:color="auto" w:fill="auto"/>
        </w:rPr>
        <w:t xml:space="preserve">E.-W. Marquart, </w:t>
      </w:r>
      <w:r>
        <w:rPr>
          <w:b/>
          <w:bCs/>
          <w:i/>
          <w:iCs/>
          <w:color w:val="000000"/>
          <w:spacing w:val="0"/>
          <w:w w:val="100"/>
          <w:position w:val="0"/>
          <w:sz w:val="9"/>
          <w:szCs w:val="9"/>
          <w:shd w:val="clear" w:color="auto" w:fill="auto"/>
        </w:rPr>
        <w:t xml:space="preserve">Die </w:t>
      </w:r>
      <w:r>
        <w:rPr>
          <w:b/>
          <w:bCs/>
          <w:i/>
          <w:iCs/>
          <w:color w:val="000000"/>
          <w:spacing w:val="0"/>
          <w:w w:val="100"/>
          <w:position w:val="0"/>
          <w:sz w:val="9"/>
          <w:szCs w:val="9"/>
          <w:shd w:val="clear" w:color="auto" w:fill="auto"/>
          <w:lang w:val="hr-HR" w:eastAsia="hr-HR" w:bidi="hr-HR"/>
        </w:rPr>
        <w:t xml:space="preserve">Juden und ihr </w:t>
      </w:r>
      <w:r>
        <w:rPr>
          <w:b/>
          <w:bCs/>
          <w:i/>
          <w:iCs/>
          <w:color w:val="000000"/>
          <w:spacing w:val="0"/>
          <w:w w:val="100"/>
          <w:position w:val="0"/>
          <w:sz w:val="9"/>
          <w:szCs w:val="9"/>
          <w:shd w:val="clear" w:color="auto" w:fill="auto"/>
        </w:rPr>
        <w:t>Land,</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1975: R. Rcndtorft, </w:t>
      </w:r>
      <w:r>
        <w:rPr>
          <w:b/>
          <w:bCs/>
          <w:i/>
          <w:iCs/>
          <w:color w:val="000000"/>
          <w:spacing w:val="0"/>
          <w:w w:val="100"/>
          <w:position w:val="0"/>
          <w:sz w:val="9"/>
          <w:szCs w:val="9"/>
          <w:shd w:val="clear" w:color="auto" w:fill="auto"/>
          <w:lang w:val="hr-HR" w:eastAsia="hr-HR" w:bidi="hr-HR"/>
        </w:rPr>
        <w:t xml:space="preserve">Israti und </w:t>
      </w:r>
      <w:r>
        <w:rPr>
          <w:b/>
          <w:bCs/>
          <w:i/>
          <w:iCs/>
          <w:color w:val="000000"/>
          <w:spacing w:val="0"/>
          <w:w w:val="100"/>
          <w:position w:val="0"/>
          <w:sz w:val="9"/>
          <w:szCs w:val="9"/>
          <w:shd w:val="clear" w:color="auto" w:fill="auto"/>
        </w:rPr>
        <w:t>spin Land,</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1975; </w:t>
      </w:r>
      <w:r>
        <w:rPr>
          <w:b/>
          <w:bCs/>
          <w:i/>
          <w:iCs/>
          <w:color w:val="000000"/>
          <w:spacing w:val="0"/>
          <w:w w:val="100"/>
          <w:position w:val="0"/>
          <w:sz w:val="9"/>
          <w:szCs w:val="9"/>
          <w:shd w:val="clear" w:color="auto" w:fill="auto"/>
          <w:lang w:val="hr-HR" w:eastAsia="hr-HR" w:bidi="hr-HR"/>
        </w:rPr>
        <w:t xml:space="preserve">C. </w:t>
      </w:r>
      <w:r>
        <w:rPr>
          <w:color w:val="000000"/>
          <w:spacing w:val="0"/>
          <w:w w:val="100"/>
          <w:position w:val="0"/>
          <w:shd w:val="clear" w:color="auto" w:fill="auto"/>
        </w:rPr>
        <w:t xml:space="preserve">Wcstcrmann. Die </w:t>
      </w:r>
      <w:r>
        <w:rPr>
          <w:color w:val="000000"/>
          <w:spacing w:val="0"/>
          <w:w w:val="100"/>
          <w:position w:val="0"/>
          <w:shd w:val="clear" w:color="auto" w:fill="auto"/>
          <w:lang w:val="hr-HR" w:eastAsia="hr-HR" w:bidi="hr-HR"/>
        </w:rPr>
        <w:t xml:space="preserve">LandvcrhciBungcti im </w:t>
      </w:r>
      <w:r>
        <w:rPr>
          <w:color w:val="000000"/>
          <w:spacing w:val="0"/>
          <w:w w:val="100"/>
          <w:position w:val="0"/>
          <w:shd w:val="clear" w:color="auto" w:fill="auto"/>
        </w:rPr>
        <w:t xml:space="preserve">Allen </w:t>
      </w:r>
      <w:r>
        <w:rPr>
          <w:color w:val="000000"/>
          <w:spacing w:val="0"/>
          <w:w w:val="100"/>
          <w:position w:val="0"/>
          <w:shd w:val="clear" w:color="auto" w:fill="auto"/>
          <w:lang w:val="hr-HR" w:eastAsia="hr-HR" w:bidi="hr-HR"/>
        </w:rPr>
        <w:t xml:space="preserve">Testament </w:t>
      </w:r>
      <w:r>
        <w:rPr>
          <w:color w:val="000000"/>
          <w:spacing w:val="0"/>
          <w:w w:val="100"/>
          <w:position w:val="0"/>
          <w:shd w:val="clear" w:color="auto" w:fill="auto"/>
          <w:lang w:val="hr-HR" w:eastAsia="hr-HR" w:bidi="hr-HR"/>
        </w:rPr>
        <w:t xml:space="preserve">und ihrc Bcdcutung </w:t>
      </w:r>
      <w:r>
        <w:rPr>
          <w:color w:val="000000"/>
          <w:spacing w:val="0"/>
          <w:w w:val="100"/>
          <w:position w:val="0"/>
          <w:shd w:val="clear" w:color="auto" w:fill="auto"/>
        </w:rPr>
        <w:t xml:space="preserve">fiir die Gcgenwart. </w:t>
      </w:r>
      <w:r>
        <w:rPr>
          <w:color w:val="000000"/>
          <w:spacing w:val="0"/>
          <w:w w:val="100"/>
          <w:position w:val="0"/>
          <w:shd w:val="clear" w:color="auto" w:fill="auto"/>
          <w:lang w:val="hr-HR" w:eastAsia="hr-HR" w:bidi="hr-HR"/>
        </w:rPr>
        <w:t xml:space="preserve">u: </w:t>
      </w:r>
      <w:r>
        <w:rPr>
          <w:b/>
          <w:bCs/>
          <w:i/>
          <w:iCs/>
          <w:color w:val="000000"/>
          <w:spacing w:val="0"/>
          <w:w w:val="100"/>
          <w:position w:val="0"/>
          <w:sz w:val="9"/>
          <w:szCs w:val="9"/>
          <w:shd w:val="clear" w:color="auto" w:fill="auto"/>
          <w:lang w:val="hr-HR" w:eastAsia="hr-HR" w:bidi="hr-HR"/>
        </w:rPr>
        <w:t xml:space="preserve">Una </w:t>
      </w:r>
      <w:r>
        <w:rPr>
          <w:b/>
          <w:bCs/>
          <w:i/>
          <w:iCs/>
          <w:color w:val="000000"/>
          <w:spacing w:val="0"/>
          <w:w w:val="100"/>
          <w:position w:val="0"/>
          <w:sz w:val="9"/>
          <w:szCs w:val="9"/>
          <w:shd w:val="clear" w:color="auto" w:fill="auto"/>
        </w:rPr>
        <w:t xml:space="preserve">Sanaa </w:t>
      </w:r>
      <w:r>
        <w:rPr>
          <w:b/>
          <w:bCs/>
          <w:i/>
          <w:iCs/>
          <w:color w:val="000000"/>
          <w:spacing w:val="0"/>
          <w:w w:val="100"/>
          <w:position w:val="0"/>
          <w:sz w:val="9"/>
          <w:szCs w:val="9"/>
          <w:shd w:val="clear" w:color="auto" w:fill="auto"/>
          <w:lang w:val="hr-HR" w:eastAsia="hr-HR" w:bidi="hr-HR"/>
        </w:rPr>
        <w:t xml:space="preserve">38, </w:t>
      </w:r>
      <w:r>
        <w:rPr>
          <w:color w:val="000000"/>
          <w:spacing w:val="0"/>
          <w:w w:val="100"/>
          <w:position w:val="0"/>
          <w:shd w:val="clear" w:color="auto" w:fill="auto"/>
          <w:lang w:val="hr-HR" w:eastAsia="hr-HR" w:bidi="hr-HR"/>
        </w:rPr>
        <w:t xml:space="preserve">19R3. 91-98; E. </w:t>
      </w:r>
      <w:r>
        <w:rPr>
          <w:color w:val="000000"/>
          <w:spacing w:val="0"/>
          <w:w w:val="100"/>
          <w:position w:val="0"/>
          <w:shd w:val="clear" w:color="auto" w:fill="auto"/>
        </w:rPr>
        <w:t xml:space="preserve">Rothschild. </w:t>
      </w:r>
      <w:r>
        <w:rPr>
          <w:b/>
          <w:bCs/>
          <w:i/>
          <w:iCs/>
          <w:color w:val="000000"/>
          <w:spacing w:val="0"/>
          <w:w w:val="100"/>
          <w:position w:val="0"/>
          <w:sz w:val="9"/>
          <w:szCs w:val="9"/>
          <w:shd w:val="clear" w:color="auto" w:fill="auto"/>
        </w:rPr>
        <w:t xml:space="preserve">Die </w:t>
      </w:r>
      <w:r>
        <w:rPr>
          <w:b/>
          <w:bCs/>
          <w:i/>
          <w:iCs/>
          <w:color w:val="000000"/>
          <w:spacing w:val="0"/>
          <w:w w:val="100"/>
          <w:position w:val="0"/>
          <w:sz w:val="9"/>
          <w:szCs w:val="9"/>
          <w:shd w:val="clear" w:color="auto" w:fill="auto"/>
          <w:lang w:val="hr-HR" w:eastAsia="hr-HR" w:bidi="hr-HR"/>
        </w:rPr>
        <w:t xml:space="preserve">Juden und dar </w:t>
      </w:r>
      <w:r>
        <w:rPr>
          <w:b/>
          <w:bCs/>
          <w:i/>
          <w:iCs/>
          <w:color w:val="000000"/>
          <w:spacing w:val="0"/>
          <w:w w:val="100"/>
          <w:position w:val="0"/>
          <w:sz w:val="9"/>
          <w:szCs w:val="9"/>
          <w:shd w:val="clear" w:color="auto" w:fill="auto"/>
        </w:rPr>
        <w:t xml:space="preserve">Heilige Land, </w:t>
      </w:r>
      <w:r>
        <w:rPr>
          <w:color w:val="000000"/>
          <w:spacing w:val="0"/>
          <w:w w:val="100"/>
          <w:position w:val="0"/>
          <w:shd w:val="clear" w:color="auto" w:fill="auto"/>
          <w:lang w:val="hr-HR" w:eastAsia="hr-HR" w:bidi="hr-HR"/>
        </w:rPr>
        <w:t xml:space="preserve">1968; M. </w:t>
      </w:r>
      <w:r>
        <w:rPr>
          <w:color w:val="000000"/>
          <w:spacing w:val="0"/>
          <w:w w:val="100"/>
          <w:position w:val="0"/>
          <w:shd w:val="clear" w:color="auto" w:fill="auto"/>
        </w:rPr>
        <w:t xml:space="preserve">Buber, </w:t>
      </w:r>
      <w:r>
        <w:rPr>
          <w:b/>
          <w:bCs/>
          <w:i/>
          <w:iCs/>
          <w:color w:val="000000"/>
          <w:spacing w:val="0"/>
          <w:w w:val="100"/>
          <w:position w:val="0"/>
          <w:sz w:val="9"/>
          <w:szCs w:val="9"/>
          <w:shd w:val="clear" w:color="auto" w:fill="auto"/>
        </w:rPr>
        <w:t>Moses,</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-'1966. 205-216; isti, </w:t>
      </w:r>
      <w:r>
        <w:rPr>
          <w:b/>
          <w:bCs/>
          <w:i/>
          <w:iCs/>
          <w:color w:val="000000"/>
          <w:spacing w:val="0"/>
          <w:w w:val="100"/>
          <w:position w:val="0"/>
          <w:sz w:val="9"/>
          <w:szCs w:val="9"/>
          <w:shd w:val="clear" w:color="auto" w:fill="auto"/>
          <w:lang w:val="hr-HR" w:eastAsia="hr-HR" w:bidi="hr-HR"/>
        </w:rPr>
        <w:t>/srati und Palaslinu,</w:t>
      </w:r>
      <w:r>
        <w:rPr>
          <w:color w:val="000000"/>
          <w:spacing w:val="0"/>
          <w:w w:val="100"/>
          <w:position w:val="0"/>
          <w:shd w:val="clear" w:color="auto" w:fill="auto"/>
          <w:lang w:val="hr-HR" w:eastAsia="hr-HR" w:bidi="hr-HR"/>
        </w:rPr>
        <w:t xml:space="preserve"> 1950/1968; </w:t>
      </w:r>
      <w:r>
        <w:rPr>
          <w:b/>
          <w:bCs/>
          <w:i/>
          <w:iCs/>
          <w:color w:val="000000"/>
          <w:spacing w:val="0"/>
          <w:w w:val="100"/>
          <w:position w:val="0"/>
          <w:sz w:val="9"/>
          <w:szCs w:val="9"/>
          <w:shd w:val="clear" w:color="auto" w:fill="auto"/>
          <w:lang w:val="hr-HR" w:eastAsia="hr-HR" w:bidi="hr-HR"/>
        </w:rPr>
        <w:t>Jiidisches Laikon IVU,</w:t>
      </w:r>
      <w:r>
        <w:rPr>
          <w:color w:val="000000"/>
          <w:spacing w:val="0"/>
          <w:w w:val="100"/>
          <w:position w:val="0"/>
          <w:shd w:val="clear" w:color="auto" w:fill="auto"/>
          <w:lang w:val="hr-HR" w:eastAsia="hr-HR" w:bidi="hr-HR"/>
        </w:rPr>
        <w:t xml:space="preserve"> I927&lt;I982, 654-746; </w:t>
      </w:r>
      <w:r>
        <w:rPr>
          <w:b/>
          <w:bCs/>
          <w:i/>
          <w:iCs/>
          <w:color w:val="000000"/>
          <w:spacing w:val="0"/>
          <w:w w:val="100"/>
          <w:position w:val="0"/>
          <w:sz w:val="9"/>
          <w:szCs w:val="9"/>
          <w:shd w:val="clear" w:color="auto" w:fill="auto"/>
        </w:rPr>
        <w:t>Encyclopaedia Judaica</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9,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1978, 106-1045.</w:t>
      </w:r>
    </w:p>
    <w:p>
      <w:pPr>
        <w:pStyle w:val="Style56"/>
        <w:keepNext w:val="0"/>
        <w:keepLines w:val="0"/>
        <w:widowControl w:val="0"/>
        <w:shd w:val="clear" w:color="auto" w:fill="auto"/>
        <w:bidi w:val="0"/>
        <w:spacing w:before="0" w:after="140" w:line="240" w:lineRule="auto"/>
        <w:ind w:left="0" w:right="0" w:firstLine="0"/>
        <w:jc w:val="right"/>
      </w:pPr>
      <w:r>
        <w:rPr>
          <w:color w:val="000000"/>
          <w:spacing w:val="0"/>
          <w:w w:val="100"/>
          <w:position w:val="0"/>
          <w:shd w:val="clear" w:color="auto" w:fill="auto"/>
          <w:lang w:val="hr-HR" w:eastAsia="hr-HR" w:bidi="hr-HR"/>
        </w:rPr>
        <w:t>t&gt;. vi:rn-a&lt;</w:t>
      </w:r>
    </w:p>
    <w:p>
      <w:pPr>
        <w:pStyle w:val="Style63"/>
        <w:keepNext/>
        <w:keepLines/>
        <w:widowControl w:val="0"/>
        <w:numPr>
          <w:ilvl w:val="0"/>
          <w:numId w:val="665"/>
        </w:numPr>
        <w:shd w:val="clear" w:color="auto" w:fill="auto"/>
        <w:tabs>
          <w:tab w:pos="260" w:val="left"/>
        </w:tabs>
        <w:bidi w:val="0"/>
        <w:spacing w:before="0"/>
        <w:ind w:left="0" w:right="0" w:firstLine="0"/>
        <w:jc w:val="both"/>
      </w:pPr>
      <w:bookmarkStart w:id="417" w:name="bookmark417"/>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17"/>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Sveta z. nema neposrednu spasenjsku važnost u kršćanstvu. Spasenje slijedi na temelju vjere u Isusa Krista (usp. Iv 2,11; 3,16; 7,13), u nje</w:t>
        <w:softHyphen/>
        <w:t xml:space="preserve">govo djelo spasenja: njegovu muku, njegovu smrt i njegovo uskrsnuće (usp. 1 Kor 15,2-4; 1 Sol 1,10; Rim 4,24-25). Nositelj spasenja je nov, </w:t>
      </w:r>
      <w:r>
        <w:rPr>
          <w:rFonts w:ascii="Times New Roman" w:eastAsia="Times New Roman" w:hAnsi="Times New Roman" w:cs="Times New Roman"/>
          <w:i/>
          <w:iCs/>
          <w:color w:val="000000"/>
          <w:spacing w:val="0"/>
          <w:w w:val="100"/>
          <w:position w:val="0"/>
          <w:shd w:val="clear" w:color="auto" w:fill="auto"/>
          <w:lang w:val="hr-HR" w:eastAsia="hr-HR" w:bidi="hr-HR"/>
        </w:rPr>
        <w:t>univerzalan</w:t>
      </w:r>
      <w:r>
        <w:rPr>
          <w:rFonts w:ascii="Times New Roman" w:eastAsia="Times New Roman" w:hAnsi="Times New Roman" w:cs="Times New Roman"/>
          <w:color w:val="000000"/>
          <w:spacing w:val="0"/>
          <w:w w:val="100"/>
          <w:position w:val="0"/>
          <w:shd w:val="clear" w:color="auto" w:fill="auto"/>
          <w:lang w:val="hr-HR" w:eastAsia="hr-HR" w:bidi="hr-HR"/>
        </w:rPr>
        <w:t xml:space="preserve"> Božji narod, Crkva. Zato su pojedinačan izabrani narod kao nositelj spa</w:t>
        <w:softHyphen/>
        <w:t>senja i uzimanje zemlje kao sredstva za ispu</w:t>
        <w:softHyphen/>
        <w:t>njenje Božjih obećanja izlišni za postizavanje spasenja (usp. Dj 15,1-35: Koncil u Jeruza</w:t>
        <w:softHyphen/>
        <w:t>lemu). Kristovo je spasenje ponuđeno i da</w:t>
        <w:softHyphen/>
        <w:t>rovano neposredno svim ljudima bez etničke i bez geografske povezanosti. Tako je za krš</w:t>
        <w:softHyphen/>
        <w:t>ćane Sveta z. još samo skup svetih mjesta od značenja, koja su povezana s Božjim činima u povijesti spasenja i prije svega sa životom i djelovanjem, smrću i uskrsnućem Kristovim. Sveta z. posjeduje zato posebnu, istaknutu kvalitetu unutar ostalih hodočasničkih mjesta i u posebnoj je mjeri prikladna da omogući djelotvorno sjećanje na Krista kao i živo pri</w:t>
        <w:softHyphen/>
        <w:t>hvaćanje njegove poruke pa i spasonosno po</w:t>
        <w:softHyphen/>
        <w:t>novno aktualiziranje njegova spasenjskog djela.</w:t>
      </w:r>
    </w:p>
    <w:p>
      <w:pPr>
        <w:pStyle w:val="Style74"/>
        <w:keepNext w:val="0"/>
        <w:keepLines w:val="0"/>
        <w:widowControl w:val="0"/>
        <w:shd w:val="clear" w:color="auto" w:fill="auto"/>
        <w:bidi w:val="0"/>
        <w:spacing w:before="0" w:after="14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A.C11OURY</w:t>
      </w:r>
    </w:p>
    <w:p>
      <w:pPr>
        <w:pStyle w:val="Style63"/>
        <w:keepNext/>
        <w:keepLines/>
        <w:widowControl w:val="0"/>
        <w:numPr>
          <w:ilvl w:val="0"/>
          <w:numId w:val="665"/>
        </w:numPr>
        <w:shd w:val="clear" w:color="auto" w:fill="auto"/>
        <w:tabs>
          <w:tab w:pos="260" w:val="left"/>
        </w:tabs>
        <w:bidi w:val="0"/>
        <w:spacing w:before="0"/>
        <w:ind w:left="0" w:right="0" w:firstLine="0"/>
        <w:jc w:val="both"/>
      </w:pPr>
      <w:bookmarkStart w:id="418" w:name="bookmark418"/>
      <w:r>
        <w:rPr>
          <w:rFonts w:ascii="Times New Roman" w:eastAsia="Times New Roman" w:hAnsi="Times New Roman" w:cs="Times New Roman"/>
          <w:color w:val="000000"/>
          <w:spacing w:val="0"/>
          <w:w w:val="100"/>
          <w:position w:val="0"/>
          <w:shd w:val="clear" w:color="auto" w:fill="auto"/>
          <w:lang w:val="hr-HR" w:eastAsia="hr-HR" w:bidi="hr-HR"/>
        </w:rPr>
        <w:t>islamski</w:t>
      </w:r>
      <w:bookmarkEnd w:id="418"/>
    </w:p>
    <w:p>
      <w:pPr>
        <w:pStyle w:val="Style20"/>
        <w:keepNext w:val="0"/>
        <w:keepLines w:val="0"/>
        <w:widowControl w:val="0"/>
        <w:shd w:val="clear" w:color="auto" w:fill="auto"/>
        <w:bidi w:val="0"/>
        <w:spacing w:before="0" w:after="0"/>
        <w:ind w:left="0" w:right="0" w:firstLine="0"/>
        <w:jc w:val="both"/>
        <w:sectPr>
          <w:headerReference w:type="default" r:id="rId1681"/>
          <w:footerReference w:type="default" r:id="rId1682"/>
          <w:headerReference w:type="even" r:id="rId1683"/>
          <w:footerReference w:type="even" r:id="rId1684"/>
          <w:headerReference w:type="first" r:id="rId1685"/>
          <w:footerReference w:type="first" r:id="rId1686"/>
          <w:footnotePr>
            <w:pos w:val="pageBottom"/>
            <w:numFmt w:val="decimal"/>
            <w:numRestart w:val="continuous"/>
            <w15:footnoteColumns w:val="1"/>
          </w:footnotePr>
          <w:pgSz w:w="6816" w:h="11006"/>
          <w:pgMar w:top="947" w:left="195" w:right="199" w:bottom="465" w:header="0" w:footer="3" w:gutter="0"/>
          <w:pgNumType w:start="548"/>
          <w:cols w:num="2" w:space="18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Predodžba o »obećanoj zemlji« mogla je vla</w:t>
        <w:softHyphen/>
        <w:t>dati Muhamedovom okolinom. Živa je biblij</w:t>
        <w:softHyphen/>
        <w:t>ska tradicija neupitno prihvaćena u islamu. Bio je to slučaj i s emocionalnim predujmom koji »ljudi Knjige« prinose Svetoj zemlji. Islam sudjeluje u tome. Prvi je smjer molitve na zna</w:t>
        <w:softHyphen/>
        <w:t>kovit način bio Jeruzalem. Središte toga grada - trg ispred Hrama - bilo je okosnica oko koje su kružili pobožni osjećaji: on je u izvjesnoj mjeri bio Kaba prvoga razdoblja islama. Pri</w:t>
        <w:softHyphen/>
        <w:t>likom ispunjavanja svojega poslanja Muha</w:t>
        <w:softHyphen/>
        <w:t>med je običavao najprije polaziti od posto</w:t>
        <w:softHyphen/>
        <w:t>jećih činjenica. Bila je to metodika njegova navještaja. Svakom od njegovih koraka u te</w:t>
        <w:softHyphen/>
        <w:t xml:space="preserve">melju je trebao ležati prethodni razboriti sud. Ta se racionalna jezgra može u potpunosti osjetiti u Kuranu. Promjene u okolini mogle su postati poticajima nove objave. U nekim od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svojih iskaza Kuran je dakle vezan za povijest. To vrlo jednoznačno pokazuje povijest raz</w:t>
        <w:softHyphen/>
        <w:t xml:space="preserve">voja zabrane vina, nastanak preporuke o </w:t>
      </w:r>
      <w:r>
        <w:rPr>
          <w:rFonts w:ascii="Times New Roman" w:eastAsia="Times New Roman" w:hAnsi="Times New Roman" w:cs="Times New Roman"/>
          <w:i/>
          <w:iCs/>
          <w:color w:val="000000"/>
          <w:spacing w:val="0"/>
          <w:w w:val="100"/>
          <w:position w:val="0"/>
          <w:shd w:val="clear" w:color="auto" w:fill="auto"/>
          <w:lang w:val="en-US" w:eastAsia="en-US" w:bidi="en-US"/>
        </w:rPr>
        <w:t>New Look</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za žene koje izlaze na ulicu, pretpovijest stroge osude klevetničkoga nasrtanja na časne žene i naposljetku promjena smjera molitve od Jeruzalema prema Meki. No svi se ti zah</w:t>
        <w:softHyphen/>
        <w:t>vati s mjerom uklapaju u opći koncept islama koji je od prvoga početka nadahnuo Muha</w:t>
        <w:softHyphen/>
        <w:t>meda. Za duh toga koncepta bile su to samo male rubne pojave. »Tko želi izaći na ocean, taj ne isplovljava iz malih zaljeva«. Ova se preslojavanja ne smiju dramatizirati, kako to čine mnogi islamski istraživači.</w:t>
      </w:r>
    </w:p>
    <w:p>
      <w:pPr>
        <w:pStyle w:val="Style20"/>
        <w:keepNext w:val="0"/>
        <w:keepLines w:val="0"/>
        <w:widowControl w:val="0"/>
        <w:shd w:val="clear" w:color="auto" w:fill="auto"/>
        <w:tabs>
          <w:tab w:pos="2477" w:val="left"/>
        </w:tabs>
        <w:bidi w:val="0"/>
        <w:spacing w:before="0" w:after="2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 jc bila samo jedna epizoda u povijesti is</w:t>
        <w:softHyphen/>
        <w:t xml:space="preserve">lama koji u principu ne pravi nikakve razlike u prosudbi zemalja. Za taj je stav znakovita ku- ranska deviza: »Božji su i Istok i Zapad«, što jc </w:t>
      </w:r>
      <w:r>
        <w:rPr>
          <w:rFonts w:ascii="Times New Roman" w:eastAsia="Times New Roman" w:hAnsi="Times New Roman" w:cs="Times New Roman"/>
          <w:color w:val="000000"/>
          <w:spacing w:val="0"/>
          <w:w w:val="100"/>
          <w:position w:val="0"/>
          <w:shd w:val="clear" w:color="auto" w:fill="auto"/>
          <w:lang w:val="en-US" w:eastAsia="en-US" w:bidi="en-US"/>
        </w:rPr>
        <w:t xml:space="preserve">Goethe </w:t>
      </w:r>
      <w:r>
        <w:rPr>
          <w:rFonts w:ascii="Times New Roman" w:eastAsia="Times New Roman" w:hAnsi="Times New Roman" w:cs="Times New Roman"/>
          <w:color w:val="000000"/>
          <w:spacing w:val="0"/>
          <w:w w:val="100"/>
          <w:position w:val="0"/>
          <w:shd w:val="clear" w:color="auto" w:fill="auto"/>
          <w:lang w:val="hr-HR" w:eastAsia="hr-HR" w:bidi="hr-HR"/>
        </w:rPr>
        <w:t>učinio motom svojega Zapadno-is- točnog divana.</w:t>
        <w:tab/>
        <w:t xml:space="preserve">s. </w:t>
      </w:r>
      <w:r>
        <w:rPr>
          <w:rFonts w:ascii="Times New Roman" w:eastAsia="Times New Roman" w:hAnsi="Times New Roman" w:cs="Times New Roman"/>
          <w:smallCaps/>
          <w:color w:val="000000"/>
          <w:spacing w:val="0"/>
          <w:w w:val="100"/>
          <w:position w:val="0"/>
          <w:shd w:val="clear" w:color="auto" w:fill="auto"/>
          <w:lang w:val="hr-HR" w:eastAsia="hr-HR" w:bidi="hr-HR"/>
        </w:rPr>
        <w:t>baijć</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ZLO</w:t>
      </w:r>
    </w:p>
    <w:p>
      <w:pPr>
        <w:pStyle w:val="Style63"/>
        <w:keepNext/>
        <w:keepLines/>
        <w:widowControl w:val="0"/>
        <w:shd w:val="clear" w:color="auto" w:fill="auto"/>
        <w:bidi w:val="0"/>
        <w:spacing w:before="0"/>
        <w:ind w:left="0" w:right="0" w:firstLine="0"/>
        <w:jc w:val="both"/>
      </w:pPr>
      <w:bookmarkStart w:id="419" w:name="bookmark419"/>
      <w:r>
        <w:rPr>
          <w:rFonts w:ascii="Times New Roman" w:eastAsia="Times New Roman" w:hAnsi="Times New Roman" w:cs="Times New Roman"/>
          <w:color w:val="000000"/>
          <w:spacing w:val="0"/>
          <w:w w:val="100"/>
          <w:position w:val="0"/>
          <w:shd w:val="clear" w:color="auto" w:fill="auto"/>
          <w:lang w:val="hr-HR" w:eastAsia="hr-HR" w:bidi="hr-HR"/>
        </w:rPr>
        <w:t>1. židovski</w:t>
      </w:r>
      <w:bookmarkEnd w:id="419"/>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Židovska religija uči o apsolutnom jedinstvu Stvoritelja kojemu se ne suprotstavlja nijedna druga, zla sila kao u naucima o dvjema silama u nekim religijama. Čovjek je iskusio da z. postoji. Na pitanje zašto postoji, različito se odgovara ili se ne odgovara. Naglašava se nauk o dva nagona i moć čovjekova odluči</w:t>
        <w:softHyphen/>
        <w:t>vanja. Zli, Sotona, kao personifikacija straha, nalazi se kao predodžba u legendi i pučkom vjerovanju bez dogmatskoga značenja.</w:t>
      </w:r>
    </w:p>
    <w:p>
      <w:pPr>
        <w:pStyle w:val="Style20"/>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hebrejskoj Bibliji </w:t>
      </w:r>
      <w:r>
        <w:rPr>
          <w:rFonts w:ascii="Times New Roman" w:eastAsia="Times New Roman" w:hAnsi="Times New Roman" w:cs="Times New Roman"/>
          <w:color w:val="000000"/>
          <w:spacing w:val="0"/>
          <w:w w:val="100"/>
          <w:position w:val="0"/>
          <w:shd w:val="clear" w:color="auto" w:fill="auto"/>
          <w:lang w:val="en-US" w:eastAsia="en-US" w:bidi="en-US"/>
        </w:rPr>
        <w:t xml:space="preserve">Satan </w:t>
      </w:r>
      <w:r>
        <w:rPr>
          <w:rFonts w:ascii="Times New Roman" w:eastAsia="Times New Roman" w:hAnsi="Times New Roman" w:cs="Times New Roman"/>
          <w:color w:val="000000"/>
          <w:spacing w:val="0"/>
          <w:w w:val="100"/>
          <w:position w:val="0"/>
          <w:shd w:val="clear" w:color="auto" w:fill="auto"/>
          <w:lang w:val="hr-HR" w:eastAsia="hr-HR" w:bidi="hr-HR"/>
        </w:rPr>
        <w:t>je zemaljski protiv</w:t>
        <w:softHyphen/>
        <w:t>nik, neprijatelj, tužitelj na sudu. S pojavom iscrpnog učenja o anđelima i demonima pod perzijskim utjecajem on je član nebeskoga dvorskog stožera i tužitelj ljudi. Vlastitu moć ne posjeduje. Knjiga o Jobu obrađuje, ne</w:t>
        <w:softHyphen/>
        <w:t xml:space="preserve">ovisno o njegovu liku, pitanje zla i ističe dva gledišta: budući da je Bog dobar, z. je kazna za grijeh (mišljenje prijatelja); Božji putevi čovjeku su neshvatljivi (završno poglavlje). Knjiga o Danielu govori opširno o zlu, </w:t>
      </w:r>
      <w:r>
        <w:rPr>
          <w:rFonts w:ascii="Times New Roman" w:eastAsia="Times New Roman" w:hAnsi="Times New Roman" w:cs="Times New Roman"/>
          <w:color w:val="000000"/>
          <w:spacing w:val="0"/>
          <w:w w:val="100"/>
          <w:position w:val="0"/>
          <w:shd w:val="clear" w:color="auto" w:fill="auto"/>
          <w:lang w:val="en-US" w:eastAsia="en-US" w:bidi="en-US"/>
        </w:rPr>
        <w:t xml:space="preserve">Satan </w:t>
      </w:r>
      <w:r>
        <w:rPr>
          <w:rFonts w:ascii="Times New Roman" w:eastAsia="Times New Roman" w:hAnsi="Times New Roman" w:cs="Times New Roman"/>
          <w:color w:val="000000"/>
          <w:spacing w:val="0"/>
          <w:w w:val="100"/>
          <w:position w:val="0"/>
          <w:shd w:val="clear" w:color="auto" w:fill="auto"/>
          <w:lang w:val="hr-HR" w:eastAsia="hr-HR" w:bidi="hr-HR"/>
        </w:rPr>
        <w:t>nije imenovan. Kao tužitelj na nebu nastupa u Zah 3. Njegov grčki oblik, kategor, nalazimo u apokrifima, NZ i Midrašu. U pučkom vjero</w:t>
        <w:softHyphen/>
        <w:t>vanju u legendi naziva se i Asmodej ili Sa- ma’el. Zbog krivog tumačenja Iz 14,12 on po</w:t>
        <w:softHyphen/>
        <w:t>staje palim anđelom Luciferom, protivnikom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Boga, vladarom demona, koji jc identičan s anđelom smrti i zlim nagonom. Na Dan po</w:t>
        <w:softHyphen/>
        <w:t>mirbe, na koji se svake godine sudi ljudima, on nema moć. Mesija će ga konačno pobijedi</w:t>
        <w:softHyphen/>
        <w:t>ti. Njemu podložan pakao sa svojim mučitelji</w:t>
        <w:softHyphen/>
        <w:t>ma dužan je poštovati šabatski mir. Osim za malobrojne neljude, koji ostaju u paklu, bora</w:t>
        <w:softHyphen/>
        <w:t xml:space="preserve">vak ondje traje do godinu dana. Svakodnevna molitva </w:t>
      </w:r>
      <w:r>
        <w:rPr>
          <w:rFonts w:ascii="Times New Roman" w:eastAsia="Times New Roman" w:hAnsi="Times New Roman" w:cs="Times New Roman"/>
          <w:i/>
          <w:iCs/>
          <w:color w:val="000000"/>
          <w:spacing w:val="0"/>
          <w:w w:val="100"/>
          <w:position w:val="0"/>
          <w:shd w:val="clear" w:color="auto" w:fill="auto"/>
          <w:lang w:val="hr-HR" w:eastAsia="hr-HR" w:bidi="hr-HR"/>
        </w:rPr>
        <w:t>kadila</w:t>
      </w:r>
      <w:r>
        <w:rPr>
          <w:rFonts w:ascii="Times New Roman" w:eastAsia="Times New Roman" w:hAnsi="Times New Roman" w:cs="Times New Roman"/>
          <w:color w:val="000000"/>
          <w:spacing w:val="0"/>
          <w:w w:val="100"/>
          <w:position w:val="0"/>
          <w:shd w:val="clear" w:color="auto" w:fill="auto"/>
          <w:lang w:val="hr-HR" w:eastAsia="hr-HR" w:bidi="hr-HR"/>
        </w:rPr>
        <w:t xml:space="preserve"> u to vrijeme treba rodbinu oslo</w:t>
        <w:softHyphen/>
        <w:t>boditi od toga.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 oblici vjerovanja, važan odušak strah, pod glavnim su utjecajem kabale zapadnih i ori</w:t>
        <w:softHyphen/>
        <w:t>jentalnih Židova. Meditacijama, prizivanjima i amuletima navodno se svladava z. u njego</w:t>
        <w:softHyphen/>
        <w:t>vim mnogim oblicima. To je »ljuštura« u kojoj su zarobljene Božje »iskre«. Čovjekova je za</w:t>
        <w:softHyphen/>
        <w:t xml:space="preserve">daća suradnja na oslobađanju iskara. </w:t>
      </w:r>
      <w:r>
        <w:rPr>
          <w:rFonts w:ascii="Times New Roman" w:eastAsia="Times New Roman" w:hAnsi="Times New Roman" w:cs="Times New Roman"/>
          <w:i/>
          <w:iCs/>
          <w:color w:val="000000"/>
          <w:spacing w:val="0"/>
          <w:w w:val="100"/>
          <w:position w:val="0"/>
          <w:shd w:val="clear" w:color="auto" w:fill="auto"/>
          <w:lang w:val="hr-HR" w:eastAsia="hr-HR" w:bidi="hr-HR"/>
        </w:rPr>
        <w:t>-&gt; Mis</w:t>
        <w:softHyphen/>
        <w:t>tika.</w:t>
      </w:r>
      <w:r>
        <w:rPr>
          <w:rFonts w:ascii="Times New Roman" w:eastAsia="Times New Roman" w:hAnsi="Times New Roman" w:cs="Times New Roman"/>
          <w:color w:val="000000"/>
          <w:spacing w:val="0"/>
          <w:w w:val="100"/>
          <w:position w:val="0"/>
          <w:shd w:val="clear" w:color="auto" w:fill="auto"/>
          <w:lang w:val="hr-HR" w:eastAsia="hr-HR" w:bidi="hr-HR"/>
        </w:rPr>
        <w:t xml:space="preserve"> Nasuprot tom praznovjerju racionalistič- ki Židovi naglašavaju učenje o dvama nago</w:t>
        <w:softHyphen/>
        <w:t xml:space="preserve">nima: Čovjek je dobar i zao. No, zli nagon, hebr. </w:t>
      </w:r>
      <w:r>
        <w:rPr>
          <w:rFonts w:ascii="Times New Roman" w:eastAsia="Times New Roman" w:hAnsi="Times New Roman" w:cs="Times New Roman"/>
          <w:i/>
          <w:iCs/>
          <w:color w:val="000000"/>
          <w:spacing w:val="0"/>
          <w:w w:val="100"/>
          <w:position w:val="0"/>
          <w:shd w:val="clear" w:color="auto" w:fill="auto"/>
          <w:lang w:val="hr-HR" w:eastAsia="hr-HR" w:bidi="hr-HR"/>
        </w:rPr>
        <w:t>jecer ha-ra,</w:t>
      </w:r>
      <w:r>
        <w:rPr>
          <w:rFonts w:ascii="Times New Roman" w:eastAsia="Times New Roman" w:hAnsi="Times New Roman" w:cs="Times New Roman"/>
          <w:color w:val="000000"/>
          <w:spacing w:val="0"/>
          <w:w w:val="100"/>
          <w:position w:val="0"/>
          <w:shd w:val="clear" w:color="auto" w:fill="auto"/>
          <w:lang w:val="hr-HR" w:eastAsia="hr-HR" w:bidi="hr-HR"/>
        </w:rPr>
        <w:t xml:space="preserve"> znači i aktivni život sa svim svojim potrebnim impulsima. Stoga majstori (tumači) Talmuda objašnjavaju Božju ljubav »svim svojim srcem« kao ljubav s jednim i drugim nagonom. Kao protuotrov zlu nagonu Bog je stvorio Toru, svoj nauk, i dao je lju</w:t>
        <w:softHyphen/>
        <w:t>dima.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 srednjega vijeka mnogobrojni filozofi drže da je z. samo odsutnost dobroga. Majmonid naglašava da sam čovjek uzrokuje mnogo zla. Zadaća odgoja karaktera jest u tome da se nauči drukčije djelovati. </w:t>
      </w:r>
      <w:r>
        <w:rPr>
          <w:rFonts w:ascii="Times New Roman" w:eastAsia="Times New Roman" w:hAnsi="Times New Roman" w:cs="Times New Roman"/>
          <w:color w:val="000000"/>
          <w:spacing w:val="0"/>
          <w:w w:val="100"/>
          <w:position w:val="0"/>
          <w:shd w:val="clear" w:color="auto" w:fill="auto"/>
          <w:lang w:val="en-US" w:eastAsia="en-US" w:bidi="en-US"/>
        </w:rPr>
        <w:t xml:space="preserve">Hermann Cohen </w:t>
      </w:r>
      <w:r>
        <w:rPr>
          <w:rFonts w:ascii="Times New Roman" w:eastAsia="Times New Roman" w:hAnsi="Times New Roman" w:cs="Times New Roman"/>
          <w:color w:val="000000"/>
          <w:spacing w:val="0"/>
          <w:w w:val="100"/>
          <w:position w:val="0"/>
          <w:shd w:val="clear" w:color="auto" w:fill="auto"/>
          <w:lang w:val="hr-HR" w:eastAsia="hr-HR" w:bidi="hr-HR"/>
        </w:rPr>
        <w:t>po</w:t>
        <w:softHyphen/>
        <w:t>novno je preuzeo tu misao. Pesimističnije su</w:t>
        <w:softHyphen/>
        <w:t xml:space="preserve">de neki mislioci nakon </w:t>
      </w:r>
      <w:r>
        <w:rPr>
          <w:rFonts w:ascii="Times New Roman" w:eastAsia="Times New Roman" w:hAnsi="Times New Roman" w:cs="Times New Roman"/>
          <w:color w:val="000000"/>
          <w:spacing w:val="0"/>
          <w:w w:val="100"/>
          <w:position w:val="0"/>
          <w:shd w:val="clear" w:color="auto" w:fill="auto"/>
          <w:lang w:val="en-US" w:eastAsia="en-US" w:bidi="en-US"/>
        </w:rPr>
        <w:t xml:space="preserve">Auschwitza. </w:t>
      </w:r>
      <w:r>
        <w:rPr>
          <w:rFonts w:ascii="Times New Roman" w:eastAsia="Times New Roman" w:hAnsi="Times New Roman" w:cs="Times New Roman"/>
          <w:color w:val="000000"/>
          <w:spacing w:val="0"/>
          <w:w w:val="100"/>
          <w:position w:val="0"/>
          <w:shd w:val="clear" w:color="auto" w:fill="auto"/>
          <w:lang w:val="hr-HR" w:eastAsia="hr-HR" w:bidi="hr-HR"/>
        </w:rPr>
        <w:t>Drugi u tom događanju zloga vide obvezu ljudske soli</w:t>
        <w:softHyphen/>
        <w:t>darnosti. Prebacivanje zlog na izvanzemalj</w:t>
        <w:softHyphen/>
        <w:t>skoga »žrtvenog jarca« mnogi smatraju štet</w:t>
        <w:softHyphen/>
        <w:t>nim.</w:t>
      </w:r>
    </w:p>
    <w:p>
      <w:pPr>
        <w:pStyle w:val="Style116"/>
        <w:keepNext w:val="0"/>
        <w:keepLines w:val="0"/>
        <w:widowControl w:val="0"/>
        <w:shd w:val="clear" w:color="auto" w:fill="auto"/>
        <w:tabs>
          <w:tab w:pos="2016" w:val="left"/>
        </w:tabs>
        <w:bidi w:val="0"/>
        <w:spacing w:before="0"/>
        <w:ind w:left="0" w:right="0" w:firstLine="0"/>
        <w:jc w:val="both"/>
        <w:rPr>
          <w:sz w:val="12"/>
          <w:szCs w:val="12"/>
        </w:rPr>
      </w:pPr>
      <w:r>
        <w:rPr>
          <w:b w:val="0"/>
          <w:bCs w:val="0"/>
          <w:i w:val="0"/>
          <w:iCs w:val="0"/>
          <w:color w:val="000000"/>
          <w:spacing w:val="0"/>
          <w:w w:val="100"/>
          <w:position w:val="0"/>
          <w:sz w:val="12"/>
          <w:szCs w:val="12"/>
          <w:shd w:val="clear" w:color="auto" w:fill="auto"/>
        </w:rPr>
        <w:t xml:space="preserve">Lit.: A. Kohut, </w:t>
      </w:r>
      <w:r>
        <w:rPr>
          <w:color w:val="000000"/>
          <w:spacing w:val="0"/>
          <w:w w:val="100"/>
          <w:position w:val="0"/>
          <w:sz w:val="9"/>
          <w:szCs w:val="9"/>
          <w:shd w:val="clear" w:color="auto" w:fill="auto"/>
        </w:rPr>
        <w:t>Uber die judische Angelogie und Damunulogie in ihrer Abhiingigkeii von Parsistnus,</w:t>
      </w:r>
      <w:r>
        <w:rPr>
          <w:b w:val="0"/>
          <w:bCs w:val="0"/>
          <w:i w:val="0"/>
          <w:iCs w:val="0"/>
          <w:color w:val="000000"/>
          <w:spacing w:val="0"/>
          <w:w w:val="100"/>
          <w:position w:val="0"/>
          <w:sz w:val="12"/>
          <w:szCs w:val="12"/>
          <w:shd w:val="clear" w:color="auto" w:fill="auto"/>
        </w:rPr>
        <w:t xml:space="preserve"> Ixipzig 1866; W. Luc- ken. </w:t>
      </w:r>
      <w:r>
        <w:rPr>
          <w:color w:val="000000"/>
          <w:spacing w:val="0"/>
          <w:w w:val="100"/>
          <w:position w:val="0"/>
          <w:sz w:val="9"/>
          <w:szCs w:val="9"/>
          <w:shd w:val="clear" w:color="auto" w:fill="auto"/>
        </w:rPr>
        <w:t>Michael. DarsteUung und Vergleichung der judischen und der morgtnlandisch-christlichen Tradition,</w:t>
      </w:r>
      <w:r>
        <w:rPr>
          <w:b w:val="0"/>
          <w:bCs w:val="0"/>
          <w:i w:val="0"/>
          <w:iCs w:val="0"/>
          <w:color w:val="000000"/>
          <w:spacing w:val="0"/>
          <w:w w:val="100"/>
          <w:position w:val="0"/>
          <w:sz w:val="12"/>
          <w:szCs w:val="12"/>
          <w:shd w:val="clear" w:color="auto" w:fill="auto"/>
        </w:rPr>
        <w:t xml:space="preserve"> Gottingen 1898; M- Friedlander, </w:t>
      </w:r>
      <w:r>
        <w:rPr>
          <w:color w:val="000000"/>
          <w:spacing w:val="0"/>
          <w:w w:val="100"/>
          <w:position w:val="0"/>
          <w:sz w:val="9"/>
          <w:szCs w:val="9"/>
          <w:shd w:val="clear" w:color="auto" w:fill="auto"/>
        </w:rPr>
        <w:t>Der Antichrist in den vorchrisllichcn judischen Quellen,</w:t>
      </w:r>
      <w:r>
        <w:rPr>
          <w:b w:val="0"/>
          <w:bCs w:val="0"/>
          <w:i w:val="0"/>
          <w:iCs w:val="0"/>
          <w:color w:val="000000"/>
          <w:spacing w:val="0"/>
          <w:w w:val="100"/>
          <w:position w:val="0"/>
          <w:sz w:val="12"/>
          <w:szCs w:val="12"/>
          <w:shd w:val="clear" w:color="auto" w:fill="auto"/>
        </w:rPr>
        <w:t xml:space="preserve"> Gottingen 1901; A. Wun.schc, </w:t>
      </w:r>
      <w:r>
        <w:rPr>
          <w:color w:val="000000"/>
          <w:spacing w:val="0"/>
          <w:w w:val="100"/>
          <w:position w:val="0"/>
          <w:sz w:val="9"/>
          <w:szCs w:val="9"/>
          <w:shd w:val="clear" w:color="auto" w:fill="auto"/>
        </w:rPr>
        <w:t>Der Sa- genkrtis vom geprcllien Teufel,</w:t>
      </w:r>
      <w:r>
        <w:rPr>
          <w:b w:val="0"/>
          <w:bCs w:val="0"/>
          <w:i w:val="0"/>
          <w:iCs w:val="0"/>
          <w:color w:val="000000"/>
          <w:spacing w:val="0"/>
          <w:w w:val="100"/>
          <w:position w:val="0"/>
          <w:sz w:val="12"/>
          <w:szCs w:val="12"/>
          <w:shd w:val="clear" w:color="auto" w:fill="auto"/>
        </w:rPr>
        <w:t xml:space="preserve"> Leipzig 1905, 125 i d.; M. J. bin Gorion, </w:t>
      </w:r>
      <w:r>
        <w:rPr>
          <w:color w:val="000000"/>
          <w:spacing w:val="0"/>
          <w:w w:val="100"/>
          <w:position w:val="0"/>
          <w:sz w:val="9"/>
          <w:szCs w:val="9"/>
          <w:shd w:val="clear" w:color="auto" w:fill="auto"/>
        </w:rPr>
        <w:t xml:space="preserve">Die Sagen der Juden, </w:t>
      </w:r>
      <w:r>
        <w:rPr>
          <w:color w:val="000000"/>
          <w:spacing w:val="0"/>
          <w:w w:val="100"/>
          <w:position w:val="0"/>
          <w:sz w:val="9"/>
          <w:szCs w:val="9"/>
          <w:shd w:val="clear" w:color="auto" w:fill="auto"/>
          <w:lang w:val="hr-HR" w:eastAsia="hr-HR" w:bidi="hr-HR"/>
        </w:rPr>
        <w:t xml:space="preserve">Ud. </w:t>
      </w:r>
      <w:r>
        <w:rPr>
          <w:color w:val="000000"/>
          <w:spacing w:val="0"/>
          <w:w w:val="100"/>
          <w:position w:val="0"/>
          <w:sz w:val="9"/>
          <w:szCs w:val="9"/>
          <w:shd w:val="clear" w:color="auto" w:fill="auto"/>
        </w:rPr>
        <w:t xml:space="preserve">I: Von der Urzeit, </w:t>
      </w:r>
      <w:r>
        <w:rPr>
          <w:b w:val="0"/>
          <w:bCs w:val="0"/>
          <w:i w:val="0"/>
          <w:iCs w:val="0"/>
          <w:color w:val="000000"/>
          <w:spacing w:val="0"/>
          <w:w w:val="100"/>
          <w:position w:val="0"/>
          <w:sz w:val="12"/>
          <w:szCs w:val="12"/>
          <w:shd w:val="clear" w:color="auto" w:fill="auto"/>
        </w:rPr>
        <w:t xml:space="preserve">Frankfurt a.M. 1913, ’1962; H. Jason, </w:t>
      </w:r>
      <w:r>
        <w:rPr>
          <w:color w:val="000000"/>
          <w:spacing w:val="0"/>
          <w:w w:val="100"/>
          <w:position w:val="0"/>
          <w:sz w:val="9"/>
          <w:szCs w:val="9"/>
          <w:shd w:val="clear" w:color="auto" w:fill="auto"/>
        </w:rPr>
        <w:t xml:space="preserve">Marchen aus Israel, </w:t>
      </w:r>
      <w:r>
        <w:rPr>
          <w:b w:val="0"/>
          <w:bCs w:val="0"/>
          <w:i w:val="0"/>
          <w:iCs w:val="0"/>
          <w:color w:val="000000"/>
          <w:spacing w:val="0"/>
          <w:w w:val="100"/>
          <w:position w:val="0"/>
          <w:sz w:val="12"/>
          <w:szCs w:val="12"/>
          <w:shd w:val="clear" w:color="auto" w:fill="auto"/>
        </w:rPr>
        <w:t xml:space="preserve">Dusseldorf 1976; P. Schafer, </w:t>
      </w:r>
      <w:r>
        <w:rPr>
          <w:color w:val="000000"/>
          <w:spacing w:val="0"/>
          <w:w w:val="100"/>
          <w:position w:val="0"/>
          <w:sz w:val="9"/>
          <w:szCs w:val="9"/>
          <w:shd w:val="clear" w:color="auto" w:fill="auto"/>
        </w:rPr>
        <w:t>Hivalitat zwischen F.ngebt und Mcnschen, Untersuchungen zu rabbinischen Engclvorslellun- gen,</w:t>
      </w:r>
      <w:r>
        <w:rPr>
          <w:b w:val="0"/>
          <w:bCs w:val="0"/>
          <w:i w:val="0"/>
          <w:iCs w:val="0"/>
          <w:color w:val="000000"/>
          <w:spacing w:val="0"/>
          <w:w w:val="100"/>
          <w:position w:val="0"/>
          <w:sz w:val="12"/>
          <w:szCs w:val="12"/>
          <w:shd w:val="clear" w:color="auto" w:fill="auto"/>
        </w:rPr>
        <w:t xml:space="preserve"> Berlin 1975.</w:t>
        <w:tab/>
        <w:t>f. NAVF. LEVINSON</w:t>
      </w:r>
    </w:p>
    <w:p>
      <w:pPr>
        <w:pStyle w:val="Style63"/>
        <w:keepNext/>
        <w:keepLines/>
        <w:widowControl w:val="0"/>
        <w:numPr>
          <w:ilvl w:val="0"/>
          <w:numId w:val="667"/>
        </w:numPr>
        <w:shd w:val="clear" w:color="auto" w:fill="auto"/>
        <w:tabs>
          <w:tab w:pos="260" w:val="left"/>
        </w:tabs>
        <w:bidi w:val="0"/>
        <w:spacing w:before="0" w:after="80"/>
        <w:ind w:left="0" w:right="0" w:firstLine="0"/>
        <w:jc w:val="both"/>
      </w:pPr>
      <w:bookmarkStart w:id="420" w:name="bookmark420"/>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20"/>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Kao nevolja, koju je čovjek doživio ili koje se plaši, z. predstavlja temeljno stanje ljudske </w:t>
      </w:r>
      <w:r>
        <w:rPr>
          <w:rFonts w:ascii="Times New Roman" w:eastAsia="Times New Roman" w:hAnsi="Times New Roman" w:cs="Times New Roman"/>
          <w:color w:val="000000"/>
          <w:spacing w:val="0"/>
          <w:w w:val="100"/>
          <w:position w:val="0"/>
          <w:shd w:val="clear" w:color="auto" w:fill="auto"/>
          <w:lang w:val="hr-HR" w:eastAsia="hr-HR" w:bidi="hr-HR"/>
        </w:rPr>
        <w:t>egzistencije. Čovjeka u svijetu ne susreću sa</w:t>
        <w:softHyphen/>
        <w:t>mo tuga i nevolja, što se pokazuje u kozmič</w:t>
        <w:softHyphen/>
        <w:t>kim i prirodnim događanjima, nego i z. kao čin koji je čovjek sam svjesno htio pa je zato za njega i odgovoran. Pitanja o podrijetlu i smis</w:t>
        <w:softHyphen/>
        <w:t>lu zla ubrajaju se u temeljna pitanja ljudske egzistencije i prije svega vjere u dobroga Boga koji je stvorio svijet i upravlja njime u svojoj providnosti te ga spasiteljskim djelovanjem vodi do ispunjenja. Objava Staroga i Novoga zavjeta bavi se pitanjem zla, ali ipak ne daje jednoznačan i konačan odgovor. Temeljna je izjava biblijske poruke da Bog, Stvoritelj i Go</w:t>
        <w:softHyphen/>
        <w:t>spodar, ima u svojoj ruci čitav svijet i sve po</w:t>
        <w:softHyphen/>
        <w:t>jave, uključujući z., i da nema duhovne sile koja bi mu bila ravnopravna ili u suparništvu s njime. Božja stvarnost je tako velika i za čo</w:t>
        <w:softHyphen/>
        <w:t>vjeka neshvatljiva da u sebi sjedinjuje oba suprotstavljena aspekta ljubavi i gnjeva (mys- terium tremendum et fascinosum). Razliko</w:t>
        <w:softHyphen/>
        <w:t>vanje dobra i zla pokazuje se kao božanska povlastica (Post 3,5). Čovjekov pokušaj da je prisvoji, pobuna je protiv Boga (Post 3,22 i d.). Da je uzrok zla i patnje samo u odgovor</w:t>
        <w:softHyphen/>
        <w:t>nosti čovjeka i u njegovu grešnom zatajivanju, odbacuje se u Jobovoj knjizi koja povezuje z. s Božjom nedokučivošću. Prihvaćanje zlih du</w:t>
        <w:softHyphen/>
        <w:t xml:space="preserve">hova, kao što su Sotona (Zah 3,1;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1-2) i đavao, ubraja se u sliku svijeta koja je služila objavi kao okvir čija točnost time nije postala sadržajna izjava. Istjerivanje zloduha, nastup Sotone kao napasnika (Mk 1,12 i d.), kao ne</w:t>
        <w:softHyphen/>
        <w:t>prijatelja (Mk 4,14 i d.), te ponizivanje Isusa s Belzcbulom (Mk 3,22 i d.), sve to ne želi na pitanje o podrijetlu zla dati kao odgovor pos</w:t>
        <w:softHyphen/>
        <w:t>tojanje duhovno osobnoga zla. Poruka je No</w:t>
        <w:softHyphen/>
        <w:t>voga zavjeta da je u Isusovoj smrti i uskrsnuću slomljena moć zla i da je kraljevstvo Božje već početno prisutno medu nama.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filozofskoj spekulaciji skolastike z. je shva</w:t>
        <w:softHyphen/>
        <w:t>ćeno kao stvarnost nižega reda, zapravo kao nedostatak bitka opterećenog dugovima i zato lišenog vlastite bivstvene moći. Time se jed</w:t>
        <w:softHyphen/>
        <w:t xml:space="preserve">noznačno odbija metafizički dualizam, ali nije se dao odgovor na ostala goruća pitanja. S druge strane, glede </w:t>
      </w:r>
      <w:r>
        <w:rPr>
          <w:rFonts w:ascii="Times New Roman" w:eastAsia="Times New Roman" w:hAnsi="Times New Roman" w:cs="Times New Roman"/>
          <w:color w:val="000000"/>
          <w:spacing w:val="0"/>
          <w:w w:val="100"/>
          <w:position w:val="0"/>
          <w:shd w:val="clear" w:color="auto" w:fill="auto"/>
          <w:lang w:val="en-US" w:eastAsia="en-US" w:bidi="en-US"/>
        </w:rPr>
        <w:t xml:space="preserve">»mystcrium iniquitatis« </w:t>
      </w:r>
      <w:r>
        <w:rPr>
          <w:rFonts w:ascii="Times New Roman" w:eastAsia="Times New Roman" w:hAnsi="Times New Roman" w:cs="Times New Roman"/>
          <w:color w:val="000000"/>
          <w:spacing w:val="0"/>
          <w:w w:val="100"/>
          <w:position w:val="0"/>
          <w:shd w:val="clear" w:color="auto" w:fill="auto"/>
          <w:lang w:val="hr-HR" w:eastAsia="hr-HR" w:bidi="hr-HR"/>
        </w:rPr>
        <w:t>ostaje i dalje pitanje: Ako Bog nije začetnik zla, ne svodi li se konačno moć zla u svijetu na nesavršenost čovjeka i čak na njegovu zlom ograničenu volju i djelatnost. U povijesti krš</w:t>
        <w:softHyphen/>
        <w:t xml:space="preserve">ćanskih crkava vjera u z., Sotonu i đavla, kao pokušaj da se objasni stvarnost zla, često jc </w:t>
      </w:r>
      <w:r>
        <w:rPr>
          <w:rFonts w:ascii="Times New Roman" w:eastAsia="Times New Roman" w:hAnsi="Times New Roman" w:cs="Times New Roman"/>
          <w:color w:val="000000"/>
          <w:spacing w:val="0"/>
          <w:w w:val="100"/>
          <w:position w:val="0"/>
          <w:shd w:val="clear" w:color="auto" w:fill="auto"/>
          <w:lang w:val="hr-HR" w:eastAsia="hr-HR" w:bidi="hr-HR"/>
        </w:rPr>
        <w:t>igrala zlokobnu ulogu (vjerovanje u vještice, opsjednutost, egzorcizmi, praznovjerje). Pa i kad se negira đavolja egzistencija kao duhov</w:t>
        <w:softHyphen/>
        <w:t>no osobna stvarnost, povijesno djelovanje tog vjerovanja u đavla ostaje snažno sve do naših dana. Što se tiče stvarnosti zla u ne tako dav</w:t>
        <w:softHyphen/>
        <w:t>nim povijesnim događajima (u ime mnogih drugih spomenimo holokaust), pitanje o pod</w:t>
        <w:softHyphen/>
        <w:t>rijetlu i još više o smislu zla ostaje izazov za vjeru na koji kršćanin, ukazujući na Isusovu smrt i uskrsnuće, daje vjerski odgovor čija jc vidljiva komponenta križ u našem iskustve</w:t>
        <w:softHyphen/>
        <w:t>nom svijetu, a čiji je drugi dio nada »unatoč svemu«, koja nadilazi svijet našeg iskustva.</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Lil.: </w:t>
      </w:r>
      <w:r>
        <w:rPr>
          <w:color w:val="000000"/>
          <w:spacing w:val="0"/>
          <w:w w:val="100"/>
          <w:position w:val="0"/>
          <w:shd w:val="clear" w:color="auto" w:fill="auto"/>
          <w:lang w:val="hr-HR" w:eastAsia="hr-HR" w:bidi="hr-HR"/>
        </w:rPr>
        <w:t xml:space="preserve">Li. von Pctcr.sdorff, </w:t>
      </w:r>
      <w:r>
        <w:rPr>
          <w:i/>
          <w:iCs/>
          <w:color w:val="000000"/>
          <w:spacing w:val="0"/>
          <w:w w:val="100"/>
          <w:position w:val="0"/>
          <w:shd w:val="clear" w:color="auto" w:fill="auto"/>
          <w:lang w:val="hr-HR" w:eastAsia="hr-HR" w:bidi="hr-HR"/>
        </w:rPr>
        <w:t>Ddmonologie. 2</w:t>
      </w:r>
      <w:r>
        <w:rPr>
          <w:color w:val="000000"/>
          <w:spacing w:val="0"/>
          <w:w w:val="100"/>
          <w:position w:val="0"/>
          <w:shd w:val="clear" w:color="auto" w:fill="auto"/>
          <w:lang w:val="hr-HR" w:eastAsia="hr-HR" w:bidi="hr-HR"/>
        </w:rPr>
        <w:t xml:space="preserve"> Bdc., Munchcn 1956/57; P. </w:t>
      </w:r>
      <w:r>
        <w:rPr>
          <w:color w:val="000000"/>
          <w:spacing w:val="0"/>
          <w:w w:val="100"/>
          <w:position w:val="0"/>
          <w:shd w:val="clear" w:color="auto" w:fill="auto"/>
        </w:rPr>
        <w:t xml:space="preserve">Tillich. Das </w:t>
      </w:r>
      <w:r>
        <w:rPr>
          <w:color w:val="000000"/>
          <w:spacing w:val="0"/>
          <w:w w:val="100"/>
          <w:position w:val="0"/>
          <w:shd w:val="clear" w:color="auto" w:fill="auto"/>
          <w:lang w:val="hr-HR" w:eastAsia="hr-HR" w:bidi="hr-HR"/>
        </w:rPr>
        <w:t xml:space="preserve">Dimonischc, u: </w:t>
      </w:r>
      <w:r>
        <w:rPr>
          <w:i/>
          <w:iCs/>
          <w:color w:val="000000"/>
          <w:spacing w:val="0"/>
          <w:w w:val="100"/>
          <w:position w:val="0"/>
          <w:shd w:val="clear" w:color="auto" w:fill="auto"/>
          <w:lang w:val="hr-HR" w:eastAsia="hr-HR" w:bidi="hr-HR"/>
        </w:rPr>
        <w:t xml:space="preserve">Gesammclie </w:t>
      </w:r>
      <w:r>
        <w:rPr>
          <w:i/>
          <w:iCs/>
          <w:color w:val="000000"/>
          <w:spacing w:val="0"/>
          <w:w w:val="100"/>
          <w:position w:val="0"/>
          <w:shd w:val="clear" w:color="auto" w:fill="auto"/>
        </w:rPr>
        <w:t xml:space="preserve">Werke </w:t>
      </w:r>
      <w:r>
        <w:rPr>
          <w:color w:val="000000"/>
          <w:spacing w:val="0"/>
          <w:w w:val="100"/>
          <w:position w:val="0"/>
          <w:shd w:val="clear" w:color="auto" w:fill="auto"/>
          <w:lang w:val="hr-HR" w:eastAsia="hr-HR" w:bidi="hr-HR"/>
        </w:rPr>
        <w:t xml:space="preserve">VI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 xml:space="preserve">1963,42-71; U. </w:t>
      </w:r>
      <w:r>
        <w:rPr>
          <w:color w:val="000000"/>
          <w:spacing w:val="0"/>
          <w:w w:val="100"/>
          <w:position w:val="0"/>
          <w:shd w:val="clear" w:color="auto" w:fill="auto"/>
        </w:rPr>
        <w:t xml:space="preserve">Weltc. </w:t>
      </w:r>
      <w:r>
        <w:rPr>
          <w:i/>
          <w:iCs/>
          <w:color w:val="000000"/>
          <w:spacing w:val="0"/>
          <w:w w:val="100"/>
          <w:position w:val="0"/>
          <w:shd w:val="clear" w:color="auto" w:fill="auto"/>
        </w:rPr>
        <w:t>Uber das Bose,</w:t>
      </w:r>
      <w:r>
        <w:rPr>
          <w:color w:val="000000"/>
          <w:spacing w:val="0"/>
          <w:w w:val="100"/>
          <w:position w:val="0"/>
          <w:shd w:val="clear" w:color="auto" w:fill="auto"/>
        </w:rPr>
        <w:t xml:space="preserve"> Freiburg 1969; G. Altftcr/E. Anders. </w:t>
      </w:r>
      <w:r>
        <w:rPr>
          <w:i/>
          <w:iCs/>
          <w:color w:val="000000"/>
          <w:spacing w:val="0"/>
          <w:w w:val="100"/>
          <w:position w:val="0"/>
          <w:shd w:val="clear" w:color="auto" w:fill="auto"/>
        </w:rPr>
        <w:t>Die Surule - da.\ Bose - die Schuld.</w:t>
      </w:r>
      <w:r>
        <w:rPr>
          <w:color w:val="000000"/>
          <w:spacing w:val="0"/>
          <w:w w:val="100"/>
          <w:position w:val="0"/>
          <w:shd w:val="clear" w:color="auto" w:fill="auto"/>
        </w:rPr>
        <w:t xml:space="preserve"> Stuttgart 1971; H. Haag, </w:t>
      </w:r>
      <w:r>
        <w:rPr>
          <w:i/>
          <w:iCs/>
          <w:color w:val="000000"/>
          <w:spacing w:val="0"/>
          <w:w w:val="100"/>
          <w:position w:val="0"/>
          <w:shd w:val="clear" w:color="auto" w:fill="auto"/>
        </w:rPr>
        <w:t>Teufelsglaube,</w:t>
      </w:r>
      <w:r>
        <w:rPr>
          <w:color w:val="000000"/>
          <w:spacing w:val="0"/>
          <w:w w:val="100"/>
          <w:position w:val="0"/>
          <w:shd w:val="clear" w:color="auto" w:fill="auto"/>
        </w:rPr>
        <w:t xml:space="preserve"> Tubingen 1974; H. M. </w:t>
      </w:r>
      <w:r>
        <w:rPr>
          <w:i/>
          <w:iCs/>
          <w:color w:val="000000"/>
          <w:spacing w:val="0"/>
          <w:w w:val="100"/>
          <w:position w:val="0"/>
          <w:shd w:val="clear" w:color="auto" w:fill="auto"/>
        </w:rPr>
        <w:t>Der emanzipiene Teufel,</w:t>
      </w:r>
      <w:r>
        <w:rPr>
          <w:color w:val="000000"/>
          <w:spacing w:val="0"/>
          <w:w w:val="100"/>
          <w:position w:val="0"/>
          <w:shd w:val="clear" w:color="auto" w:fill="auto"/>
        </w:rPr>
        <w:t xml:space="preserve"> Munchcn 1974.</w:t>
      </w:r>
    </w:p>
    <w:p>
      <w:pPr>
        <w:pStyle w:val="Style74"/>
        <w:keepNext w:val="0"/>
        <w:keepLines w:val="0"/>
        <w:widowControl w:val="0"/>
        <w:shd w:val="clear" w:color="auto" w:fill="auto"/>
        <w:bidi w:val="0"/>
        <w:spacing w:before="0" w:line="286"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G EVERS</w:t>
      </w:r>
    </w:p>
    <w:p>
      <w:pPr>
        <w:pStyle w:val="Style63"/>
        <w:keepNext/>
        <w:keepLines/>
        <w:widowControl w:val="0"/>
        <w:numPr>
          <w:ilvl w:val="0"/>
          <w:numId w:val="667"/>
        </w:numPr>
        <w:shd w:val="clear" w:color="auto" w:fill="auto"/>
        <w:tabs>
          <w:tab w:pos="260" w:val="left"/>
        </w:tabs>
        <w:bidi w:val="0"/>
        <w:spacing w:before="0"/>
        <w:ind w:left="0" w:right="0" w:firstLine="0"/>
        <w:jc w:val="both"/>
      </w:pPr>
      <w:bookmarkStart w:id="421" w:name="bookmark421"/>
      <w:r>
        <w:rPr>
          <w:rFonts w:ascii="Times New Roman" w:eastAsia="Times New Roman" w:hAnsi="Times New Roman" w:cs="Times New Roman"/>
          <w:color w:val="000000"/>
          <w:spacing w:val="0"/>
          <w:w w:val="100"/>
          <w:position w:val="0"/>
          <w:shd w:val="clear" w:color="auto" w:fill="auto"/>
          <w:lang w:val="hr-HR" w:eastAsia="hr-HR" w:bidi="hr-HR"/>
        </w:rPr>
        <w:t>islamski</w:t>
      </w:r>
      <w:bookmarkEnd w:id="42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Shvaćanje zla u islamu ovisno je o nepromje</w:t>
        <w:softHyphen/>
        <w:t>njivim moralnim smjernicama koje su ustvr- đene u Kuranu ili tradiciji. Metafizičko jc z. posljedica zbiljskoga ili hipostaziranoga zla u čovjekovu srcu. Kriterij za uvrštavanje nekoga čina, neke riječi ili neke misli u kategoriju zla, jest namjera. Sukladno jednomu stihu iz Ku</w:t>
        <w:softHyphen/>
        <w:t>rana od Boga je sve što je dobro. Z. je, napro</w:t>
        <w:softHyphen/>
        <w:t>tiv, posljedica čovjekova pogrešnoga ponaša</w:t>
        <w:softHyphen/>
        <w:t>nja. Presudno jc bolje učiniti izbjegavanje zla niti vodiljom djelovanja nego težiti dobru bez obzira na to, šteti li ono nekomu. Dakle, prva zapovijed ne dopustiti događanje zla. Mjerilo dobra i zla u dvojbenim je slučajevima savjest. »Grijeh je sve što u srcu uzrokuje nastanak osjećaja nemira«, govorio je Muhamed.</w:t>
      </w:r>
    </w:p>
    <w:p>
      <w:pPr>
        <w:pStyle w:val="Style20"/>
        <w:keepNext w:val="0"/>
        <w:keepLines w:val="0"/>
        <w:widowControl w:val="0"/>
        <w:shd w:val="clear" w:color="auto" w:fill="auto"/>
        <w:bidi w:val="0"/>
        <w:spacing w:before="0" w:after="0"/>
        <w:ind w:left="0" w:right="0" w:firstLine="0"/>
        <w:jc w:val="both"/>
        <w:sectPr>
          <w:headerReference w:type="default" r:id="rId1687"/>
          <w:footerReference w:type="default" r:id="rId1688"/>
          <w:headerReference w:type="even" r:id="rId1689"/>
          <w:footerReference w:type="even" r:id="rId1690"/>
          <w:headerReference w:type="first" r:id="rId1691"/>
          <w:footerReference w:type="first" r:id="rId1692"/>
          <w:footnotePr>
            <w:pos w:val="pageBottom"/>
            <w:numFmt w:val="decimal"/>
            <w:numRestart w:val="continuous"/>
            <w15:footnoteColumns w:val="1"/>
          </w:footnotePr>
          <w:pgSz w:w="6816" w:h="11006"/>
          <w:pgMar w:top="947" w:left="195" w:right="199" w:bottom="465" w:header="0" w:footer="3" w:gutter="0"/>
          <w:cols w:num="2" w:space="18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Prema tom, islamskom moralnom kodeksu, u najgore grijehe spadaju: mnogoboštvo, splet</w:t>
        <w:softHyphen/>
        <w:t>ke, ubojstvo, vraćanje, pobuna protiv rodite</w:t>
        <w:softHyphen/>
        <w:t>lja, krivokletstvo, neodgojenost, krađa, ne- vjerstvo, prisvajanje mudračkih sposobnosti, nepravednost, tiranija, dezertiranje, kleveta</w:t>
        <w:softHyphen/>
        <w:t>nje časnih žena, laž, proklinjanje i homosek</w:t>
        <w:softHyphen/>
        <w:t>sualnost. »Alah zaista naređuje pravednost, dobročinstvo i potpomaganje rodbine, a za</w:t>
        <w:softHyphen/>
        <w:t xml:space="preserve">branjuje bestidnost, odvratnost djela i nasilje« (16,90). »A onima koji su radili rđava djela kazna je odgovarajuća </w:t>
      </w:r>
      <w:r>
        <w:rPr>
          <w:rFonts w:ascii="Times New Roman" w:eastAsia="Times New Roman" w:hAnsi="Times New Roman" w:cs="Times New Roman"/>
          <w:i/>
          <w:iCs/>
          <w:color w:val="000000"/>
          <w:spacing w:val="0"/>
          <w:w w:val="100"/>
          <w:position w:val="0"/>
          <w:shd w:val="clear" w:color="auto" w:fill="auto"/>
          <w:lang w:val="hr-HR" w:eastAsia="hr-HR" w:bidi="hr-HR"/>
        </w:rPr>
        <w:t>(za svako zlo djelo)</w:t>
      </w:r>
      <w:r>
        <w:rPr>
          <w:rFonts w:ascii="Times New Roman" w:eastAsia="Times New Roman" w:hAnsi="Times New Roman" w:cs="Times New Roman"/>
          <w:color w:val="000000"/>
          <w:spacing w:val="0"/>
          <w:w w:val="100"/>
          <w:position w:val="0"/>
          <w:shd w:val="clear" w:color="auto" w:fill="auto"/>
          <w:lang w:val="hr-HR" w:eastAsia="hr-HR" w:bidi="hr-HR"/>
        </w:rPr>
        <w:t xml:space="preserve"> i njih će prekriti poniženje. Oni neće imati </w:t>
      </w:r>
      <w:r>
        <w:rPr>
          <w:rFonts w:ascii="Times New Roman" w:eastAsia="Times New Roman" w:hAnsi="Times New Roman" w:cs="Times New Roman"/>
          <w:i/>
          <w:iCs/>
          <w:color w:val="000000"/>
          <w:spacing w:val="0"/>
          <w:w w:val="100"/>
          <w:position w:val="0"/>
          <w:shd w:val="clear" w:color="auto" w:fill="auto"/>
          <w:lang w:val="hr-HR" w:eastAsia="hr-HR" w:bidi="hr-HR"/>
        </w:rPr>
        <w:t>(nikoga da ih zaštiti)</w:t>
      </w:r>
      <w:r>
        <w:rPr>
          <w:rFonts w:ascii="Times New Roman" w:eastAsia="Times New Roman" w:hAnsi="Times New Roman" w:cs="Times New Roman"/>
          <w:color w:val="000000"/>
          <w:spacing w:val="0"/>
          <w:w w:val="100"/>
          <w:position w:val="0"/>
          <w:shd w:val="clear" w:color="auto" w:fill="auto"/>
          <w:lang w:val="hr-HR" w:eastAsia="hr-HR" w:bidi="hr-HR"/>
        </w:rPr>
        <w:t xml:space="preserve"> od Boga.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(Pričinja! će se)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da su njihova lica prekrivena komadima crne noći« (10,28).</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»Tko uradi dobro djelo pripada mu deseto- rostruka nagrada, a tko uradi rdavo djelo bit će kažnjen prema </w:t>
      </w:r>
      <w:r>
        <w:rPr>
          <w:rFonts w:ascii="Times New Roman" w:eastAsia="Times New Roman" w:hAnsi="Times New Roman" w:cs="Times New Roman"/>
          <w:i/>
          <w:iCs/>
          <w:color w:val="000000"/>
          <w:spacing w:val="0"/>
          <w:w w:val="100"/>
          <w:position w:val="0"/>
          <w:shd w:val="clear" w:color="auto" w:fill="auto"/>
          <w:lang w:val="hr-HR" w:eastAsia="hr-HR" w:bidi="hr-HR"/>
        </w:rPr>
        <w:t>(veličini)</w:t>
      </w:r>
      <w:r>
        <w:rPr>
          <w:rFonts w:ascii="Times New Roman" w:eastAsia="Times New Roman" w:hAnsi="Times New Roman" w:cs="Times New Roman"/>
          <w:color w:val="000000"/>
          <w:spacing w:val="0"/>
          <w:w w:val="100"/>
          <w:position w:val="0"/>
          <w:shd w:val="clear" w:color="auto" w:fill="auto"/>
          <w:lang w:val="hr-HR" w:eastAsia="hr-HR" w:bidi="hr-HR"/>
        </w:rPr>
        <w:t xml:space="preserve"> grijeha, i njima se neće učiniti nikakvo nasilje </w:t>
      </w:r>
      <w:r>
        <w:rPr>
          <w:rFonts w:ascii="Times New Roman" w:eastAsia="Times New Roman" w:hAnsi="Times New Roman" w:cs="Times New Roman"/>
          <w:i/>
          <w:iCs/>
          <w:color w:val="000000"/>
          <w:spacing w:val="0"/>
          <w:w w:val="100"/>
          <w:position w:val="0"/>
          <w:shd w:val="clear" w:color="auto" w:fill="auto"/>
          <w:lang w:val="hr-HR" w:eastAsia="hr-HR" w:bidi="hr-HR"/>
        </w:rPr>
        <w:t>(nepravda)«</w:t>
      </w:r>
      <w:r>
        <w:rPr>
          <w:rFonts w:ascii="Times New Roman" w:eastAsia="Times New Roman" w:hAnsi="Times New Roman" w:cs="Times New Roman"/>
          <w:color w:val="000000"/>
          <w:spacing w:val="0"/>
          <w:w w:val="100"/>
          <w:position w:val="0"/>
          <w:shd w:val="clear" w:color="auto" w:fill="auto"/>
          <w:lang w:val="hr-HR" w:eastAsia="hr-HR" w:bidi="hr-HR"/>
        </w:rPr>
        <w:t xml:space="preserve"> (6, 160). Čovjeku naviknutom na z. zla se djela čine normalnim, štoviše lijepim: »Njima je šej- tan [Sotona] prikazao lijepim njihova djela, te ih je odvratio od pravog puta, a oni su bili u mogućnosti da </w:t>
      </w:r>
      <w:r>
        <w:rPr>
          <w:rFonts w:ascii="Times New Roman" w:eastAsia="Times New Roman" w:hAnsi="Times New Roman" w:cs="Times New Roman"/>
          <w:i/>
          <w:iCs/>
          <w:color w:val="000000"/>
          <w:spacing w:val="0"/>
          <w:w w:val="100"/>
          <w:position w:val="0"/>
          <w:shd w:val="clear" w:color="auto" w:fill="auto"/>
          <w:lang w:val="hr-HR" w:eastAsia="hr-HR" w:bidi="hr-HR"/>
        </w:rPr>
        <w:t>(to)</w:t>
      </w:r>
      <w:r>
        <w:rPr>
          <w:rFonts w:ascii="Times New Roman" w:eastAsia="Times New Roman" w:hAnsi="Times New Roman" w:cs="Times New Roman"/>
          <w:color w:val="000000"/>
          <w:spacing w:val="0"/>
          <w:w w:val="100"/>
          <w:position w:val="0"/>
          <w:shd w:val="clear" w:color="auto" w:fill="auto"/>
          <w:lang w:val="hr-HR" w:eastAsia="hr-HR" w:bidi="hr-HR"/>
        </w:rPr>
        <w:t xml:space="preserve"> vide« (29,38). Takvomu se čovjeku savjetuje da čita Kuran i da se moli [da obavlja namazj: »Uči Knjigu koja ti je ob</w:t>
        <w:softHyphen/>
        <w:t>javljena i obavljaj namaz! Zaista namaz spre</w:t>
        <w:softHyphen/>
        <w:t xml:space="preserve">čava </w:t>
      </w:r>
      <w:r>
        <w:rPr>
          <w:rFonts w:ascii="Times New Roman" w:eastAsia="Times New Roman" w:hAnsi="Times New Roman" w:cs="Times New Roman"/>
          <w:i/>
          <w:iCs/>
          <w:color w:val="000000"/>
          <w:spacing w:val="0"/>
          <w:w w:val="100"/>
          <w:position w:val="0"/>
          <w:shd w:val="clear" w:color="auto" w:fill="auto"/>
          <w:lang w:val="hr-HR" w:eastAsia="hr-HR" w:bidi="hr-HR"/>
        </w:rPr>
        <w:t>(radili)</w:t>
      </w:r>
      <w:r>
        <w:rPr>
          <w:rFonts w:ascii="Times New Roman" w:eastAsia="Times New Roman" w:hAnsi="Times New Roman" w:cs="Times New Roman"/>
          <w:color w:val="000000"/>
          <w:spacing w:val="0"/>
          <w:w w:val="100"/>
          <w:position w:val="0"/>
          <w:shd w:val="clear" w:color="auto" w:fill="auto"/>
          <w:lang w:val="hr-HR" w:eastAsia="hr-HR" w:bidi="hr-HR"/>
        </w:rPr>
        <w:t xml:space="preserve"> sramotna i pokuđena </w:t>
      </w:r>
      <w:r>
        <w:rPr>
          <w:rFonts w:ascii="Times New Roman" w:eastAsia="Times New Roman" w:hAnsi="Times New Roman" w:cs="Times New Roman"/>
          <w:i/>
          <w:iCs/>
          <w:color w:val="000000"/>
          <w:spacing w:val="0"/>
          <w:w w:val="100"/>
          <w:position w:val="0"/>
          <w:shd w:val="clear" w:color="auto" w:fill="auto"/>
          <w:lang w:val="hr-HR" w:eastAsia="hr-HR" w:bidi="hr-HR"/>
        </w:rPr>
        <w:t>(djela).</w:t>
      </w:r>
      <w:r>
        <w:rPr>
          <w:rFonts w:ascii="Times New Roman" w:eastAsia="Times New Roman" w:hAnsi="Times New Roman" w:cs="Times New Roman"/>
          <w:color w:val="000000"/>
          <w:spacing w:val="0"/>
          <w:w w:val="100"/>
          <w:position w:val="0"/>
          <w:shd w:val="clear" w:color="auto" w:fill="auto"/>
          <w:lang w:val="hr-HR" w:eastAsia="hr-HR" w:bidi="hr-HR"/>
        </w:rPr>
        <w:t xml:space="preserve"> A sjećanje na Boga je najveća </w:t>
      </w:r>
      <w:r>
        <w:rPr>
          <w:rFonts w:ascii="Times New Roman" w:eastAsia="Times New Roman" w:hAnsi="Times New Roman" w:cs="Times New Roman"/>
          <w:i/>
          <w:iCs/>
          <w:color w:val="000000"/>
          <w:spacing w:val="0"/>
          <w:w w:val="100"/>
          <w:position w:val="0"/>
          <w:shd w:val="clear" w:color="auto" w:fill="auto"/>
          <w:lang w:val="hr-HR" w:eastAsia="hr-HR" w:bidi="hr-HR"/>
        </w:rPr>
        <w:t>(pobožnost).</w:t>
      </w:r>
      <w:r>
        <w:rPr>
          <w:rFonts w:ascii="Times New Roman" w:eastAsia="Times New Roman" w:hAnsi="Times New Roman" w:cs="Times New Roman"/>
          <w:color w:val="000000"/>
          <w:spacing w:val="0"/>
          <w:w w:val="100"/>
          <w:position w:val="0"/>
          <w:shd w:val="clear" w:color="auto" w:fill="auto"/>
          <w:lang w:val="hr-HR" w:eastAsia="hr-HR" w:bidi="hr-HR"/>
        </w:rPr>
        <w:t xml:space="preserve"> Bog zna što vi radite« (29,45).</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islamu se promiče kršćanska vrlina vraća</w:t>
        <w:softHyphen/>
        <w:t>nja zla dobrim: Muhamed je govorio: »Održa</w:t>
        <w:softHyphen/>
      </w:r>
      <w:r>
        <w:rPr>
          <w:rFonts w:ascii="Times New Roman" w:eastAsia="Times New Roman" w:hAnsi="Times New Roman" w:cs="Times New Roman"/>
          <w:color w:val="000000"/>
          <w:spacing w:val="0"/>
          <w:w w:val="100"/>
          <w:position w:val="0"/>
          <w:shd w:val="clear" w:color="auto" w:fill="auto"/>
          <w:lang w:val="hr-HR" w:eastAsia="hr-HR" w:bidi="hr-HR"/>
        </w:rPr>
        <w:t>vaj vezu s onim koji je prekida s tobom; daj onomu koji ti uskraćuje; oprosti onomu koji ti čini nepravdu!« Al-Gazali je u svoj teološki koncept ugradio čitave pasaže iz. Biblije, a me</w:t>
        <w:softHyphen/>
        <w:t>đu njima i jedan koji zrcali kršćanski stav prema zlu: »Čuli ste da vam je rečeno: ‘Oko za oko, zub za zub.’ A ja vam kažem: Ne opiri- te se zlotvoru! Naprotiv, udari li te tko po des</w:t>
        <w:softHyphen/>
        <w:t>nom obrazu, okreni mu i drugi! Tko bi te htio tužiti da se domogne tvoje košulje, podaj mu i ogrtač! Ako te tko prisili da ideš s njim jednu milju, hajde dvije!« (Mt 5,38-41; navedeno kod H. Rittcra, 321).</w:t>
      </w:r>
    </w:p>
    <w:p>
      <w:pPr>
        <w:pStyle w:val="Style56"/>
        <w:keepNext w:val="0"/>
        <w:keepLines w:val="0"/>
        <w:widowControl w:val="0"/>
        <w:shd w:val="clear" w:color="auto" w:fill="auto"/>
        <w:tabs>
          <w:tab w:pos="2568" w:val="left"/>
        </w:tabs>
        <w:bidi w:val="0"/>
        <w:spacing w:before="0" w:after="0" w:line="240" w:lineRule="auto"/>
        <w:ind w:left="0" w:right="0" w:firstLine="0"/>
        <w:jc w:val="both"/>
        <w:sectPr>
          <w:headerReference w:type="default" r:id="rId1693"/>
          <w:footerReference w:type="default" r:id="rId1694"/>
          <w:headerReference w:type="even" r:id="rId1695"/>
          <w:footerReference w:type="even" r:id="rId1696"/>
          <w:footnotePr>
            <w:pos w:val="pageBottom"/>
            <w:numFmt w:val="decimal"/>
            <w:numRestart w:val="continuous"/>
            <w15:footnoteColumns w:val="1"/>
          </w:footnotePr>
          <w:type w:val="continuous"/>
          <w:pgSz w:w="6816" w:h="11006"/>
          <w:pgMar w:top="947" w:left="195" w:right="199" w:bottom="465" w:header="0" w:footer="3" w:gutter="0"/>
          <w:cols w:num="2" w:space="189"/>
          <w:noEndnote/>
          <w:rtlGutter w:val="0"/>
          <w:docGrid w:linePitch="360"/>
        </w:sectPr>
      </w:pPr>
      <w:r>
        <w:rPr>
          <w:color w:val="000000"/>
          <w:spacing w:val="0"/>
          <w:w w:val="100"/>
          <w:position w:val="0"/>
          <w:shd w:val="clear" w:color="auto" w:fill="auto"/>
        </w:rPr>
        <w:t xml:space="preserve">Lit.: </w:t>
      </w:r>
      <w:r>
        <w:rPr>
          <w:b/>
          <w:bCs/>
          <w:i/>
          <w:iCs/>
          <w:color w:val="000000"/>
          <w:spacing w:val="0"/>
          <w:w w:val="100"/>
          <w:position w:val="0"/>
          <w:sz w:val="9"/>
          <w:szCs w:val="9"/>
          <w:shd w:val="clear" w:color="auto" w:fill="auto"/>
          <w:lang w:val="hr-HR" w:eastAsia="hr-HR" w:bidi="hr-HR"/>
        </w:rPr>
        <w:t xml:space="preserve">Der </w:t>
      </w:r>
      <w:r>
        <w:rPr>
          <w:b/>
          <w:bCs/>
          <w:i/>
          <w:iCs/>
          <w:color w:val="000000"/>
          <w:spacing w:val="0"/>
          <w:w w:val="100"/>
          <w:position w:val="0"/>
          <w:sz w:val="9"/>
          <w:szCs w:val="9"/>
          <w:shd w:val="clear" w:color="auto" w:fill="auto"/>
        </w:rPr>
        <w:t>Koran.</w:t>
      </w:r>
      <w:r>
        <w:rPr>
          <w:color w:val="000000"/>
          <w:spacing w:val="0"/>
          <w:w w:val="100"/>
          <w:position w:val="0"/>
          <w:shd w:val="clear" w:color="auto" w:fill="auto"/>
        </w:rPr>
        <w:t xml:space="preserve"> </w:t>
      </w:r>
      <w:r>
        <w:rPr>
          <w:color w:val="000000"/>
          <w:spacing w:val="0"/>
          <w:w w:val="100"/>
          <w:position w:val="0"/>
          <w:shd w:val="clear" w:color="auto" w:fill="auto"/>
          <w:lang w:val="hr-HR" w:eastAsia="hr-HR" w:bidi="hr-HR"/>
        </w:rPr>
        <w:t xml:space="preserve">Ohcrsctzt von Rudi </w:t>
      </w:r>
      <w:r>
        <w:rPr>
          <w:color w:val="000000"/>
          <w:spacing w:val="0"/>
          <w:w w:val="100"/>
          <w:position w:val="0"/>
          <w:shd w:val="clear" w:color="auto" w:fill="auto"/>
        </w:rPr>
        <w:t xml:space="preserve">Parot. Stuttgart </w:t>
      </w:r>
      <w:r>
        <w:rPr>
          <w:color w:val="000000"/>
          <w:spacing w:val="0"/>
          <w:w w:val="100"/>
          <w:position w:val="0"/>
          <w:shd w:val="clear" w:color="auto" w:fill="auto"/>
          <w:lang w:val="hr-HR" w:eastAsia="hr-HR" w:bidi="hr-HR"/>
        </w:rPr>
        <w:t xml:space="preserve">1966; </w:t>
      </w:r>
      <w:r>
        <w:rPr>
          <w:color w:val="000000"/>
          <w:spacing w:val="0"/>
          <w:w w:val="100"/>
          <w:position w:val="0"/>
          <w:shd w:val="clear" w:color="auto" w:fill="auto"/>
        </w:rPr>
        <w:t xml:space="preserve">Helmut Ritter, </w:t>
      </w:r>
      <w:r>
        <w:rPr>
          <w:color w:val="000000"/>
          <w:spacing w:val="0"/>
          <w:w w:val="100"/>
          <w:position w:val="0"/>
          <w:shd w:val="clear" w:color="auto" w:fill="auto"/>
          <w:lang w:val="hr-HR" w:eastAsia="hr-HR" w:bidi="hr-HR"/>
        </w:rPr>
        <w:t xml:space="preserve">Dar </w:t>
      </w:r>
      <w:r>
        <w:rPr>
          <w:b/>
          <w:bCs/>
          <w:i/>
          <w:iCs/>
          <w:color w:val="000000"/>
          <w:spacing w:val="0"/>
          <w:w w:val="100"/>
          <w:position w:val="0"/>
          <w:sz w:val="9"/>
          <w:szCs w:val="9"/>
          <w:shd w:val="clear" w:color="auto" w:fill="auto"/>
        </w:rPr>
        <w:t xml:space="preserve">Meer </w:t>
      </w:r>
      <w:r>
        <w:rPr>
          <w:b/>
          <w:bCs/>
          <w:i/>
          <w:iCs/>
          <w:color w:val="000000"/>
          <w:spacing w:val="0"/>
          <w:w w:val="100"/>
          <w:position w:val="0"/>
          <w:sz w:val="9"/>
          <w:szCs w:val="9"/>
          <w:shd w:val="clear" w:color="auto" w:fill="auto"/>
          <w:lang w:val="hr-HR" w:eastAsia="hr-HR" w:bidi="hr-HR"/>
        </w:rPr>
        <w:t xml:space="preserve">der </w:t>
      </w:r>
      <w:r>
        <w:rPr>
          <w:b/>
          <w:bCs/>
          <w:i/>
          <w:iCs/>
          <w:color w:val="000000"/>
          <w:spacing w:val="0"/>
          <w:w w:val="100"/>
          <w:position w:val="0"/>
          <w:sz w:val="9"/>
          <w:szCs w:val="9"/>
          <w:shd w:val="clear" w:color="auto" w:fill="auto"/>
        </w:rPr>
        <w:t>Seele,</w:t>
      </w:r>
      <w:r>
        <w:rPr>
          <w:color w:val="000000"/>
          <w:spacing w:val="0"/>
          <w:w w:val="100"/>
          <w:position w:val="0"/>
          <w:shd w:val="clear" w:color="auto" w:fill="auto"/>
        </w:rPr>
        <w:t xml:space="preserve"> Leiden </w:t>
      </w:r>
      <w:r>
        <w:rPr>
          <w:color w:val="000000"/>
          <w:spacing w:val="0"/>
          <w:w w:val="100"/>
          <w:position w:val="0"/>
          <w:shd w:val="clear" w:color="auto" w:fill="auto"/>
          <w:lang w:val="hr-HR" w:eastAsia="hr-HR" w:bidi="hr-HR"/>
        </w:rPr>
        <w:t xml:space="preserve">1955; S. </w:t>
      </w:r>
      <w:r>
        <w:rPr>
          <w:color w:val="000000"/>
          <w:spacing w:val="0"/>
          <w:w w:val="100"/>
          <w:position w:val="0"/>
          <w:shd w:val="clear" w:color="auto" w:fill="auto"/>
        </w:rPr>
        <w:t xml:space="preserve">Port- mann, </w:t>
      </w:r>
      <w:r>
        <w:rPr>
          <w:b/>
          <w:bCs/>
          <w:i/>
          <w:iCs/>
          <w:color w:val="000000"/>
          <w:spacing w:val="0"/>
          <w:w w:val="100"/>
          <w:position w:val="0"/>
          <w:sz w:val="9"/>
          <w:szCs w:val="9"/>
          <w:shd w:val="clear" w:color="auto" w:fill="auto"/>
        </w:rPr>
        <w:t>Das Bose, die Ohnmacht der Vernunfi.</w:t>
      </w:r>
      <w:r>
        <w:rPr>
          <w:color w:val="000000"/>
          <w:spacing w:val="0"/>
          <w:w w:val="100"/>
          <w:position w:val="0"/>
          <w:shd w:val="clear" w:color="auto" w:fill="auto"/>
        </w:rPr>
        <w:t xml:space="preserve"> Meisenheim J966; G. Mcasching, Gut und Base irn Islam, u: </w:t>
      </w:r>
      <w:r>
        <w:rPr>
          <w:b/>
          <w:bCs/>
          <w:i/>
          <w:iCs/>
          <w:color w:val="000000"/>
          <w:spacing w:val="0"/>
          <w:w w:val="100"/>
          <w:position w:val="0"/>
          <w:sz w:val="9"/>
          <w:szCs w:val="9"/>
          <w:shd w:val="clear" w:color="auto" w:fill="auto"/>
        </w:rPr>
        <w:t>Die Aus- wahl</w:t>
      </w:r>
      <w:r>
        <w:rPr>
          <w:color w:val="000000"/>
          <w:spacing w:val="0"/>
          <w:w w:val="100"/>
          <w:position w:val="0"/>
          <w:shd w:val="clear" w:color="auto" w:fill="auto"/>
        </w:rPr>
        <w:t xml:space="preserve"> 4, 1942, 6-10.</w:t>
        <w:tab/>
        <w:t xml:space="preserve">S. </w:t>
      </w:r>
      <w:r>
        <w:rPr>
          <w:color w:val="000000"/>
          <w:spacing w:val="0"/>
          <w:w w:val="100"/>
          <w:position w:val="0"/>
          <w:shd w:val="clear" w:color="auto" w:fill="auto"/>
          <w:lang w:val="hr-HR" w:eastAsia="hr-HR" w:bidi="hr-HR"/>
        </w:rPr>
        <w:t>BAI.IĆ</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0" w:after="40" w:line="240" w:lineRule="exact"/>
        <w:rPr>
          <w:sz w:val="19"/>
          <w:szCs w:val="19"/>
        </w:rPr>
      </w:pPr>
    </w:p>
    <w:p>
      <w:pPr>
        <w:widowControl w:val="0"/>
        <w:spacing w:line="1" w:lineRule="exact"/>
        <w:sectPr>
          <w:headerReference w:type="default" r:id="rId1697"/>
          <w:footerReference w:type="default" r:id="rId1698"/>
          <w:headerReference w:type="even" r:id="rId1699"/>
          <w:footerReference w:type="even" r:id="rId1700"/>
          <w:headerReference w:type="first" r:id="rId1701"/>
          <w:footerReference w:type="first" r:id="rId1702"/>
          <w:footnotePr>
            <w:pos w:val="pageBottom"/>
            <w:numFmt w:val="decimal"/>
            <w:numRestart w:val="continuous"/>
            <w15:footnoteColumns w:val="1"/>
          </w:footnotePr>
          <w:pgSz w:w="6816" w:h="11006"/>
          <w:pgMar w:top="965" w:left="194" w:right="199" w:bottom="537" w:header="0" w:footer="3" w:gutter="0"/>
          <w:cols w:num="2" w:space="188"/>
          <w:noEndnote/>
          <w:titlePg/>
          <w:rtlGutter w:val="0"/>
          <w:docGrid w:linePitch="360"/>
        </w:sectPr>
      </w:pP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ŽENA</w:t>
      </w:r>
    </w:p>
    <w:p>
      <w:pPr>
        <w:pStyle w:val="Style63"/>
        <w:keepNext/>
        <w:keepLines/>
        <w:widowControl w:val="0"/>
        <w:shd w:val="clear" w:color="auto" w:fill="auto"/>
        <w:bidi w:val="0"/>
        <w:spacing w:before="0"/>
        <w:ind w:left="0" w:right="0" w:firstLine="0"/>
        <w:jc w:val="left"/>
      </w:pPr>
      <w:bookmarkStart w:id="422" w:name="bookmark422"/>
      <w:r>
        <w:rPr>
          <w:rFonts w:ascii="Times New Roman" w:eastAsia="Times New Roman" w:hAnsi="Times New Roman" w:cs="Times New Roman"/>
          <w:color w:val="000000"/>
          <w:spacing w:val="0"/>
          <w:w w:val="100"/>
          <w:position w:val="0"/>
          <w:shd w:val="clear" w:color="auto" w:fill="auto"/>
          <w:lang w:val="hr-HR" w:eastAsia="hr-HR" w:bidi="hr-HR"/>
        </w:rPr>
        <w:t>1. židovski</w:t>
      </w:r>
      <w:bookmarkEnd w:id="422"/>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Povijesni i kulturni opstanak Židova temelji se na vjeri u jednoga Boga, na zajednici i od</w:t>
        <w:softHyphen/>
        <w:t xml:space="preserve">govornom partnerstvu muža i žene. Zajedno se nazivaju čovjekom stvorenim na sliku Božju (Post 1,27). Ona je njemu </w:t>
      </w:r>
      <w:r>
        <w:rPr>
          <w:rFonts w:ascii="Times New Roman" w:eastAsia="Times New Roman" w:hAnsi="Times New Roman" w:cs="Times New Roman"/>
          <w:i/>
          <w:iCs/>
          <w:color w:val="000000"/>
          <w:spacing w:val="0"/>
          <w:w w:val="100"/>
          <w:position w:val="0"/>
          <w:shd w:val="clear" w:color="auto" w:fill="auto"/>
          <w:lang w:val="hr-HR" w:eastAsia="hr-HR" w:bidi="hr-HR"/>
        </w:rPr>
        <w:t>ezer,</w:t>
      </w:r>
      <w:r>
        <w:rPr>
          <w:rFonts w:ascii="Times New Roman" w:eastAsia="Times New Roman" w:hAnsi="Times New Roman" w:cs="Times New Roman"/>
          <w:color w:val="000000"/>
          <w:spacing w:val="0"/>
          <w:w w:val="100"/>
          <w:position w:val="0"/>
          <w:shd w:val="clear" w:color="auto" w:fill="auto"/>
          <w:lang w:val="hr-HR" w:eastAsia="hr-HR" w:bidi="hr-HR"/>
        </w:rPr>
        <w:t xml:space="preserve"> hebr. pomoćnik (Post 2,18). On će se zbog nje ra</w:t>
        <w:softHyphen/>
        <w:t>stati od svojih roditelja (Post 2,24). Bog na</w:t>
        <w:softHyphen/>
        <w:t>ređuje Abrahamu da sluša sve što mu kaže Sara (Post 21,12). Taje matrijarhalna crta po</w:t>
        <w:softHyphen/>
        <w:t>tvrđena drugim biblijskim izjavama. Sin ili muž katkada se »stječu«, »unajmljuju« (Post 4,1; 30,16). Ž. bez djece daje svoju sluškinju mužu kako bi došla barem do posvojčadi (Post 16,2; 30,4-13; redak 18). Od gotovo 50 biblijskih imena možda polovina otpada na ženska. U skladu s matrijarhatom Izak se bez pitanja ženi Rebekom, ali je njezin pristanak potreban (Post 24,57-58). Jakov je 14 godina služio za Rahelu (Post 29,20-30). U egipat</w:t>
        <w:softHyphen/>
        <w:t>skom sužanjstvu dvije se babice suprotstav</w:t>
        <w:softHyphen/>
        <w:t>ljaju naredbi faraona da ubiju svu mušku no- vorođenčad (Izl 1,15-19). Time su se održali Židovi (redak 20). I Mirjani spašava svojega malog brata Mojsija (Izl 2,1-10). S njim i s bratom Aronom djeluje zajedno kao proro</w:t>
        <w:softHyphen/>
        <w:t>čica. S pjesmom zahvalnicom na Trščanom (Crvenom) moru ona vodi ženski zbor (Izl 15,20-21). Drugi prototip aktivne savjetnice jc proročica Dcbora (Suci 4-5). Primjer sa</w:t>
        <w:softHyphen/>
        <w:t xml:space="preserve">mosvjesnih zemljoposjednica pet je Selofha- dovih kćeri (Br 27,1-11) i žena iz Šunama (2 Kr 4,1-13). Mnogobrojnim prozclićankama primjer je bila Ruta (usp. Knjigu o Ruti), pra- baka kralja Davida. Mnoge su bile spremne žrtvovati život kako bi spasile zajednicu od progonitelja, primjerice, kraljica Estera (usp. Knjigu o Esteri). Pokraj one koja apsolutno ljubi u Pjesmi nad pjesmama stoji majka kao učiteljica mudrosti (Izr 1,8 i d.; 4,1; 31,1-9) te </w:t>
      </w:r>
      <w:r>
        <w:rPr>
          <w:rFonts w:ascii="Times New Roman" w:eastAsia="Times New Roman" w:hAnsi="Times New Roman" w:cs="Times New Roman"/>
          <w:color w:val="000000"/>
          <w:spacing w:val="0"/>
          <w:w w:val="100"/>
          <w:position w:val="0"/>
          <w:shd w:val="clear" w:color="auto" w:fill="auto"/>
          <w:lang w:val="hr-HR" w:eastAsia="hr-HR" w:bidi="hr-HR"/>
        </w:rPr>
        <w:t>energična, vrsna u poslovima i dobroćudna kućanica (31,10-31). Unatoč spolnoj domina</w:t>
        <w:softHyphen/>
        <w:t xml:space="preserve">ciji muža (Post 3,16) poštuju se u jednakoj mjeri oba roditelja (Deset zapovijedi: Izl 20,12) i drži se do njih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 Izl 21,15; 17). Sabatni počinak nije muška povlastica, on vrijedi i za kćer i za sluškinju (Deset zapo</w:t>
        <w:softHyphen/>
        <w:t xml:space="preserve">vijedi: Izl 20,10). Zbog bioloških činjenica Biblija jamči ženi dodatni odmor za vrijeme mjesečnice i poslije nje, na porođaju i poslije njega: u to vrijeme nije dopušteno spolno općenje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15,19 i d.; 12,2-8). Zabrana jc iz zdravstvenih razloga pozitivno utjecala. Zbog toga su žene koje su tradicionalno živjele ima</w:t>
        <w:softHyphen/>
        <w:t xml:space="preserve">le slobodu samoodređenja. Time se ž., osim propisima o poštovanju, uspjela sačuvati od degradacije na seksualni objekt. —&gt; </w:t>
      </w:r>
      <w:r>
        <w:rPr>
          <w:rFonts w:ascii="Times New Roman" w:eastAsia="Times New Roman" w:hAnsi="Times New Roman" w:cs="Times New Roman"/>
          <w:i/>
          <w:iCs/>
          <w:color w:val="000000"/>
          <w:spacing w:val="0"/>
          <w:w w:val="100"/>
          <w:position w:val="0"/>
          <w:shd w:val="clear" w:color="auto" w:fill="auto"/>
          <w:lang w:val="hr-HR" w:eastAsia="hr-HR" w:bidi="hr-HR"/>
        </w:rPr>
        <w:t xml:space="preserve">Spolnost. </w:t>
      </w:r>
      <w:r>
        <w:rPr>
          <w:rFonts w:ascii="Times New Roman" w:eastAsia="Times New Roman" w:hAnsi="Times New Roman" w:cs="Times New Roman"/>
          <w:color w:val="000000"/>
          <w:spacing w:val="0"/>
          <w:w w:val="100"/>
          <w:position w:val="0"/>
          <w:shd w:val="clear" w:color="auto" w:fill="auto"/>
          <w:lang w:val="hr-HR" w:eastAsia="hr-HR" w:bidi="hr-HR"/>
        </w:rPr>
        <w:t>U Bibliji i poslijebiblijskoj literaturi žene su opisane realistički kao i muškarci. Ni jedni ni drugi nisu idealizirani iznad ljudskih mjerila, a ni obožavani niti štovani. Nalazimo kritičke primjedbe na ženske osobine poput znatiželje i bolesne brbljavosti. S obzirom na tradicijske razgovore talmudskih tumača sa ženama ra</w:t>
        <w:softHyphen/>
        <w:t>zumljivo je zašto se upozorava na »preko</w:t>
        <w:softHyphen/>
        <w:t>mjerno pričanje sa ženama« (Izreke otaca, 1,5) Međutim, to nije zabrana.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Religijske dužnosti žena proizlaze iz Biblije, Talmuda i kodeksa židovskoga prava. Kao pripadnice naroda Saveza dužne su poštivati vjerske sadržaje, etičke zapovijedi i propise židovskoga načina života (usp. Jš 8,35). Pro</w:t>
        <w:softHyphen/>
        <w:t>pisi o jelu, koji daju obilježje kući, posebice su i pretežito u njezinoj odgovornosti. U biblij</w:t>
        <w:softHyphen/>
        <w:t>sko vrijeme žene često prate svoje muževe na hodočašća, premda im to nije bila obveza (Izl 23,17; 1 Sam 1,3 i d.). Baš kao i muškarci, pri ponovnom uspostavljanju kultne čistoće pri</w:t>
        <w:softHyphen/>
        <w:t xml:space="preserve">nosile su hramske žrtve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12,1-8). I muš</w:t>
        <w:softHyphen/>
        <w:t>karci i žene također su bili obvezni prinositi žrtve okajnice za grijehe (Br 5,4-10). Isto se odnosi na nazirejski zavjet, tj. zavjet suzdrža</w:t>
        <w:softHyphen/>
      </w:r>
      <w:r>
        <w:rPr>
          <w:rFonts w:ascii="Times New Roman" w:eastAsia="Times New Roman" w:hAnsi="Times New Roman" w:cs="Times New Roman"/>
          <w:color w:val="000000"/>
          <w:spacing w:val="0"/>
          <w:w w:val="100"/>
          <w:position w:val="0"/>
          <w:shd w:val="clear" w:color="auto" w:fill="auto"/>
          <w:lang w:val="hr-HR" w:eastAsia="hr-HR" w:bidi="hr-HR"/>
        </w:rPr>
        <w:t>vanja, na određeno vrijeme (Br 6). Na narod</w:t>
        <w:softHyphen/>
        <w:t>nom zboru radi nove obveze na Božji nauk svake sedme godine sudjeluju žene i djeca (Pnz 31,10-13).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Međutim, ni biblijsko ni rabinsko židovstvo ne poznaju žene kao svećenice u bogoslužju. U tome se židovstvo prije svega razgraničavalo od poganskih kultova zvijezda i plodnosti sa svećenicama i hramskom prostitucijom. To vi</w:t>
        <w:softHyphen/>
        <w:t>je se naglašavala funkcija kuće sa ženom kao svećenicom. Za nju su farizeji uveli posveće</w:t>
        <w:softHyphen/>
        <w:t>nje sabata paljenjem svijeća i blagoslovom. Druga važna dužnost je simbolična žrtva pa</w:t>
        <w:softHyphen/>
        <w:t xml:space="preserve">ljenica od tijesta za kruh, zvan </w:t>
      </w:r>
      <w:r>
        <w:rPr>
          <w:rFonts w:ascii="Times New Roman" w:eastAsia="Times New Roman" w:hAnsi="Times New Roman" w:cs="Times New Roman"/>
          <w:i/>
          <w:iCs/>
          <w:color w:val="000000"/>
          <w:spacing w:val="0"/>
          <w:w w:val="100"/>
          <w:position w:val="0"/>
          <w:shd w:val="clear" w:color="auto" w:fill="auto"/>
          <w:lang w:val="hr-HR" w:eastAsia="hr-HR" w:bidi="hr-HR"/>
        </w:rPr>
        <w:t>hala.</w:t>
      </w:r>
      <w:r>
        <w:rPr>
          <w:rFonts w:ascii="Times New Roman" w:eastAsia="Times New Roman" w:hAnsi="Times New Roman" w:cs="Times New Roman"/>
          <w:color w:val="000000"/>
          <w:spacing w:val="0"/>
          <w:w w:val="100"/>
          <w:position w:val="0"/>
          <w:shd w:val="clear" w:color="auto" w:fill="auto"/>
          <w:lang w:val="hr-HR" w:eastAsia="hr-HR" w:bidi="hr-HR"/>
        </w:rPr>
        <w:t xml:space="preserve"> Od ra- zorcnja Hrama to je u Židova jedina propi</w:t>
        <w:softHyphen/>
        <w:t>sana žrtva paljenica.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Međutim, žene su oslobođene propisa pove</w:t>
        <w:softHyphen/>
        <w:t>zanih s određenim dobom dana ili godine. Ta</w:t>
        <w:softHyphen/>
        <w:t>ko one ne moraju sudjelovati u molitvama za</w:t>
        <w:softHyphen/>
        <w:t>jednice ako imaju obveze prema djeci, starci</w:t>
        <w:softHyphen/>
        <w:t>ma i bolesnicima. Moliti se ionako može sva</w:t>
        <w:softHyphen/>
        <w:t>gdje. IJ kršćanskom kulturnom krugu postoja</w:t>
        <w:softHyphen/>
        <w:t>le su u srednjem vijeku ženske sinagoge uz. muške, u kojima je uglavnom rabinova ž. vodi</w:t>
        <w:softHyphen/>
        <w:t>la molitvu na jeziku zemlje. U muslimanskom kulturnom krugu izgubilo se u velikoj mjeri sudjelovanje u molitvi zajednice, jer nije bilo uobičajeno ni u muslimanskoj većini. Tijekom mnogih stoljeća ženska galerija postaje sve važnija u zapadnoj sinagogalnoj gradnji. Pre</w:t>
        <w:softHyphen/>
        <w:t>ma tradiciji, muškarci i dječaci čine najmanju zajednicu od deset sudionika na javnoj mo</w:t>
        <w:softHyphen/>
        <w:t>litvi. Danas ima i nekoliko ortodoksnih žen</w:t>
        <w:softHyphen/>
        <w:t>skih zajednica, ali i obredne ravnopravnosti u mješovitoj zajednici, npr. u pozivu na čitanje Pisma odnosno njegovoj izvedbi u tradicional</w:t>
        <w:softHyphen/>
        <w:t>nom govornom pjevanju, u predmolitvi, tj. vo</w:t>
        <w:softHyphen/>
        <w:t>đenju bogoslužja te ženskom pjevanju solo i zborno. To se od XIX. stoljeća korak po ko</w:t>
        <w:softHyphen/>
        <w:t>rak uvodi u neortodoksnim pravcima. Od 1974. do 1986. tomu se priključuje ordinacija s više od 100 ženskih rabina i njihovo djelova</w:t>
        <w:softHyphen/>
        <w:t>nje u zajednicama zapadnoga svijeta.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židovstvo ne poznaje redovničke redove, nema specijaliziranih ženskih skupina koje bi možda u srednjem vijeku njegovale učenost i mistiku kao središnji sadržaj života. Zaposlenu ženu stoga uvijek nalazimo u kon</w:t>
        <w:softHyphen/>
        <w:t>tekstu obitelji. Klasična su zanimanja bila u novčarskom poslovanju, trgovini, povezana i s dugim putovanjima, u upravljanju novcem za</w:t>
        <w:softHyphen/>
        <w:t>jednice, u karitativnim društvima, sudjelova</w:t>
        <w:softHyphen/>
      </w:r>
      <w:r>
        <w:rPr>
          <w:rFonts w:ascii="Times New Roman" w:eastAsia="Times New Roman" w:hAnsi="Times New Roman" w:cs="Times New Roman"/>
          <w:color w:val="000000"/>
          <w:spacing w:val="0"/>
          <w:w w:val="100"/>
          <w:position w:val="0"/>
          <w:shd w:val="clear" w:color="auto" w:fill="auto"/>
          <w:lang w:val="hr-HR" w:eastAsia="hr-HR" w:bidi="hr-HR"/>
        </w:rPr>
        <w:t>nju u slaganju i tiskanju hebrejskih djela. Od nastanka modernih ženskih pokreta u XIX. stoljeću sve su se više organizirale i židovske žene. Neke su skupine povezane s religijskim pokretima. Budući da to nije u suprotnosti s religijskom tradicijom, takve skupine čine da</w:t>
        <w:softHyphen/>
        <w:t xml:space="preserve">nas socijalnu, financijsku i humanitarnu snagu u zajednicama i u izgradnji Države Izraela. Tako je organizacija </w:t>
      </w:r>
      <w:r>
        <w:rPr>
          <w:rFonts w:ascii="Times New Roman" w:eastAsia="Times New Roman" w:hAnsi="Times New Roman" w:cs="Times New Roman"/>
          <w:i/>
          <w:iCs/>
          <w:color w:val="000000"/>
          <w:spacing w:val="0"/>
          <w:w w:val="100"/>
          <w:position w:val="0"/>
          <w:shd w:val="clear" w:color="auto" w:fill="auto"/>
          <w:lang w:val="hr-HR" w:eastAsia="hr-HR" w:bidi="hr-HR"/>
        </w:rPr>
        <w:t>Hadassah</w:t>
      </w:r>
      <w:r>
        <w:rPr>
          <w:rFonts w:ascii="Times New Roman" w:eastAsia="Times New Roman" w:hAnsi="Times New Roman" w:cs="Times New Roman"/>
          <w:color w:val="000000"/>
          <w:spacing w:val="0"/>
          <w:w w:val="100"/>
          <w:position w:val="0"/>
          <w:shd w:val="clear" w:color="auto" w:fill="auto"/>
          <w:lang w:val="hr-HR" w:eastAsia="hr-HR" w:bidi="hr-HR"/>
        </w:rPr>
        <w:t xml:space="preserve"> utemeljila bol</w:t>
        <w:softHyphen/>
        <w:t xml:space="preserve">nice, škole za medicinske sestre i jeruzalemski Medicinski fakultet. </w:t>
      </w:r>
      <w:r>
        <w:rPr>
          <w:rFonts w:ascii="Times New Roman" w:eastAsia="Times New Roman" w:hAnsi="Times New Roman" w:cs="Times New Roman"/>
          <w:i/>
          <w:iCs/>
          <w:color w:val="000000"/>
          <w:spacing w:val="0"/>
          <w:w w:val="100"/>
          <w:position w:val="0"/>
          <w:shd w:val="clear" w:color="auto" w:fill="auto"/>
          <w:lang w:val="hr-HR" w:eastAsia="hr-HR" w:bidi="hr-HR"/>
        </w:rPr>
        <w:t>Wizo</w:t>
      </w:r>
      <w:r>
        <w:rPr>
          <w:rFonts w:ascii="Times New Roman" w:eastAsia="Times New Roman" w:hAnsi="Times New Roman" w:cs="Times New Roman"/>
          <w:color w:val="000000"/>
          <w:spacing w:val="0"/>
          <w:w w:val="100"/>
          <w:position w:val="0"/>
          <w:shd w:val="clear" w:color="auto" w:fill="auto"/>
          <w:lang w:val="hr-HR" w:eastAsia="hr-HR" w:bidi="hr-HR"/>
        </w:rPr>
        <w:t xml:space="preserve"> uzdržava dječje vrti</w:t>
        <w:softHyphen/>
        <w:t>će i skrbi za školovanje. Visoke škole i stu</w:t>
        <w:softHyphen/>
        <w:t>dente religijskih pokreta mnogih zemalja u velikoj mjeri financiraju prilozi skupljeni u akci</w:t>
        <w:softHyphen/>
        <w:t>jama ženskih skupina.</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ortodoksnom i u religijski liberalnom ži</w:t>
        <w:softHyphen/>
        <w:t>dovstvu veliki prostor daje se već dugo izo</w:t>
        <w:softHyphen/>
        <w:t>brazbi djevojaka i žena iz Biblije i drugih reli</w:t>
        <w:softHyphen/>
        <w:t>gijskih predmeta. Samo se na taj način može pripremiti budući opstanak židovskih zajed</w:t>
        <w:softHyphen/>
        <w:t>nica, i to zbog toga što je židovstvo religija obitelji, a broj Zidova smanjuje se zbog uniš</w:t>
        <w:softHyphen/>
        <w:t>tenja, progona, miješanih brakova i religijske ravnodušnosti. U religijskom pravu ipak još ima zapostavljanja žena: ona ne može biti svjedok niti sudac na sudu rabinata; razvod ovisi o dobroj volji muža i o mnogo čemu dru</w:t>
        <w:softHyphen/>
        <w:t xml:space="preserve">gome. -o </w:t>
      </w:r>
      <w:r>
        <w:rPr>
          <w:rFonts w:ascii="Times New Roman" w:eastAsia="Times New Roman" w:hAnsi="Times New Roman" w:cs="Times New Roman"/>
          <w:i/>
          <w:iCs/>
          <w:color w:val="000000"/>
          <w:spacing w:val="0"/>
          <w:w w:val="100"/>
          <w:position w:val="0"/>
          <w:shd w:val="clear" w:color="auto" w:fill="auto"/>
          <w:lang w:val="hr-HR" w:eastAsia="hr-HR" w:bidi="hr-HR"/>
        </w:rPr>
        <w:t>Obitelj.</w:t>
      </w:r>
      <w:r>
        <w:rPr>
          <w:rFonts w:ascii="Times New Roman" w:eastAsia="Times New Roman" w:hAnsi="Times New Roman" w:cs="Times New Roman"/>
          <w:color w:val="000000"/>
          <w:spacing w:val="0"/>
          <w:w w:val="100"/>
          <w:position w:val="0"/>
          <w:shd w:val="clear" w:color="auto" w:fill="auto"/>
          <w:lang w:val="hr-HR" w:eastAsia="hr-HR" w:bidi="hr-HR"/>
        </w:rPr>
        <w:t xml:space="preserve"> Međutim, i muž je zapostav</w:t>
        <w:softHyphen/>
        <w:t>ljen, jer se religijski status djece određuje pre</w:t>
        <w:softHyphen/>
        <w:t>ma majci. Stoga djeca židovskog oca nisu po</w:t>
        <w:softHyphen/>
        <w:t xml:space="preserve">svuda Zidovi, ako je majka nežidovka; njima je potrebno </w:t>
      </w:r>
      <w:r>
        <w:rPr>
          <w:rFonts w:ascii="Times New Roman" w:eastAsia="Times New Roman" w:hAnsi="Times New Roman" w:cs="Times New Roman"/>
          <w:i/>
          <w:iCs/>
          <w:color w:val="000000"/>
          <w:spacing w:val="0"/>
          <w:w w:val="100"/>
          <w:position w:val="0"/>
          <w:shd w:val="clear" w:color="auto" w:fill="auto"/>
          <w:lang w:val="hr-HR" w:eastAsia="hr-HR" w:bidi="hr-HR"/>
        </w:rPr>
        <w:t>&gt; obraćenje.</w:t>
      </w:r>
    </w:p>
    <w:p>
      <w:pPr>
        <w:pStyle w:val="Style56"/>
        <w:keepNext w:val="0"/>
        <w:keepLines w:val="0"/>
        <w:widowControl w:val="0"/>
        <w:shd w:val="clear" w:color="auto" w:fill="auto"/>
        <w:tabs>
          <w:tab w:pos="2026" w:val="left"/>
        </w:tabs>
        <w:bidi w:val="0"/>
        <w:spacing w:before="0" w:after="320" w:line="240" w:lineRule="auto"/>
        <w:ind w:left="0" w:right="0" w:firstLine="0"/>
        <w:jc w:val="both"/>
      </w:pPr>
      <w:r>
        <w:rPr>
          <w:color w:val="000000"/>
          <w:spacing w:val="0"/>
          <w:w w:val="100"/>
          <w:position w:val="0"/>
          <w:shd w:val="clear" w:color="auto" w:fill="auto"/>
          <w:lang w:val="hr-HR" w:eastAsia="hr-HR" w:bidi="hr-HR"/>
        </w:rPr>
        <w:t xml:space="preserve">Lit.: 1. </w:t>
      </w:r>
      <w:r>
        <w:rPr>
          <w:color w:val="000000"/>
          <w:spacing w:val="0"/>
          <w:w w:val="100"/>
          <w:position w:val="0"/>
          <w:shd w:val="clear" w:color="auto" w:fill="auto"/>
        </w:rPr>
        <w:t xml:space="preserve">Abrahams. </w:t>
      </w:r>
      <w:r>
        <w:rPr>
          <w:i/>
          <w:iCs/>
          <w:color w:val="000000"/>
          <w:spacing w:val="0"/>
          <w:w w:val="100"/>
          <w:position w:val="0"/>
          <w:shd w:val="clear" w:color="auto" w:fill="auto"/>
        </w:rPr>
        <w:t xml:space="preserve">Jewish </w:t>
      </w:r>
      <w:r>
        <w:rPr>
          <w:i/>
          <w:iCs/>
          <w:color w:val="000000"/>
          <w:spacing w:val="0"/>
          <w:w w:val="100"/>
          <w:position w:val="0"/>
          <w:shd w:val="clear" w:color="auto" w:fill="auto"/>
          <w:lang w:val="hr-HR" w:eastAsia="hr-HR" w:bidi="hr-HR"/>
        </w:rPr>
        <w:t xml:space="preserve">Lije </w:t>
      </w:r>
      <w:r>
        <w:rPr>
          <w:i/>
          <w:iCs/>
          <w:color w:val="000000"/>
          <w:spacing w:val="0"/>
          <w:w w:val="100"/>
          <w:position w:val="0"/>
          <w:shd w:val="clear" w:color="auto" w:fill="auto"/>
        </w:rPr>
        <w:t>in the Middle Ages (Index: Women/.</w:t>
      </w:r>
      <w:r>
        <w:rPr>
          <w:color w:val="000000"/>
          <w:spacing w:val="0"/>
          <w:w w:val="100"/>
          <w:position w:val="0"/>
          <w:shd w:val="clear" w:color="auto" w:fill="auto"/>
        </w:rPr>
        <w:t xml:space="preserve"> Cambridge 1896, EB New York 1969; Nahida Ruth (.azarcs, </w:t>
      </w:r>
      <w:r>
        <w:rPr>
          <w:i/>
          <w:iCs/>
          <w:color w:val="000000"/>
          <w:spacing w:val="0"/>
          <w:w w:val="100"/>
          <w:position w:val="0"/>
          <w:shd w:val="clear" w:color="auto" w:fill="auto"/>
        </w:rPr>
        <w:t>Das judisehe Weib,</w:t>
      </w:r>
      <w:r>
        <w:rPr>
          <w:color w:val="000000"/>
          <w:spacing w:val="0"/>
          <w:w w:val="100"/>
          <w:position w:val="0"/>
          <w:shd w:val="clear" w:color="auto" w:fill="auto"/>
        </w:rPr>
        <w:t xml:space="preserve"> Berlin 1896; </w:t>
      </w:r>
      <w:r>
        <w:rPr>
          <w:color w:val="000000"/>
          <w:spacing w:val="0"/>
          <w:w w:val="100"/>
          <w:position w:val="0"/>
          <w:shd w:val="clear" w:color="auto" w:fill="auto"/>
          <w:lang w:val="hr-HR" w:eastAsia="hr-HR" w:bidi="hr-HR"/>
        </w:rPr>
        <w:t xml:space="preserve">isti, </w:t>
      </w:r>
      <w:r>
        <w:rPr>
          <w:i/>
          <w:iCs/>
          <w:color w:val="000000"/>
          <w:spacing w:val="0"/>
          <w:w w:val="100"/>
          <w:position w:val="0"/>
          <w:shd w:val="clear" w:color="auto" w:fill="auto"/>
        </w:rPr>
        <w:t>Das judische Haus,</w:t>
      </w:r>
      <w:r>
        <w:rPr>
          <w:color w:val="000000"/>
          <w:spacing w:val="0"/>
          <w:w w:val="100"/>
          <w:position w:val="0"/>
          <w:shd w:val="clear" w:color="auto" w:fill="auto"/>
        </w:rPr>
        <w:t xml:space="preserve"> Berlin 189b; Gluckel von Hanicln. </w:t>
      </w:r>
      <w:r>
        <w:rPr>
          <w:i/>
          <w:iCs/>
          <w:color w:val="000000"/>
          <w:spacing w:val="0"/>
          <w:w w:val="100"/>
          <w:position w:val="0"/>
          <w:shd w:val="clear" w:color="auto" w:fill="auto"/>
        </w:rPr>
        <w:t>Denkwtir- digkeiten,</w:t>
      </w:r>
      <w:r>
        <w:rPr>
          <w:color w:val="000000"/>
          <w:spacing w:val="0"/>
          <w:w w:val="100"/>
          <w:position w:val="0"/>
          <w:shd w:val="clear" w:color="auto" w:fill="auto"/>
        </w:rPr>
        <w:t xml:space="preserve"> Aus dem Jixlisch-Dcutschen ubersetzt von A. Fctlchcnfcld, Berlin 1913, Nachdruck der 4. Aufl., Darm</w:t>
        <w:softHyphen/>
        <w:t xml:space="preserve">stadt 1979 </w:t>
      </w:r>
      <w:r>
        <w:rPr>
          <w:i/>
          <w:iCs/>
          <w:color w:val="000000"/>
          <w:spacing w:val="0"/>
          <w:w w:val="100"/>
          <w:position w:val="0"/>
          <w:shd w:val="clear" w:color="auto" w:fill="auto"/>
        </w:rPr>
        <w:t>(Memoiren einer Frau des</w:t>
      </w:r>
      <w:r>
        <w:rPr>
          <w:color w:val="000000"/>
          <w:spacing w:val="0"/>
          <w:w w:val="100"/>
          <w:position w:val="0"/>
          <w:shd w:val="clear" w:color="auto" w:fill="auto"/>
        </w:rPr>
        <w:t xml:space="preserve"> 2 7 </w:t>
      </w:r>
      <w:r>
        <w:rPr>
          <w:i/>
          <w:iCs/>
          <w:color w:val="000000"/>
          <w:spacing w:val="0"/>
          <w:w w:val="100"/>
          <w:position w:val="0"/>
          <w:shd w:val="clear" w:color="auto" w:fill="auto"/>
        </w:rPr>
        <w:t xml:space="preserve">Jahrhunderts): [,. </w:t>
      </w:r>
      <w:r>
        <w:rPr>
          <w:color w:val="000000"/>
          <w:spacing w:val="0"/>
          <w:w w:val="100"/>
          <w:position w:val="0"/>
          <w:shd w:val="clear" w:color="auto" w:fill="auto"/>
        </w:rPr>
        <w:t xml:space="preserve">Jung (Hrsg.). </w:t>
      </w:r>
      <w:r>
        <w:rPr>
          <w:i/>
          <w:iCs/>
          <w:color w:val="000000"/>
          <w:spacing w:val="0"/>
          <w:w w:val="100"/>
          <w:position w:val="0"/>
          <w:shd w:val="clear" w:color="auto" w:fill="auto"/>
        </w:rPr>
        <w:t>The Jewish Woman, Union of Orhtodox Jewish Congregations,</w:t>
      </w:r>
      <w:r>
        <w:rPr>
          <w:color w:val="000000"/>
          <w:spacing w:val="0"/>
          <w:w w:val="100"/>
          <w:position w:val="0"/>
          <w:shd w:val="clear" w:color="auto" w:fill="auto"/>
        </w:rPr>
        <w:t xml:space="preserve"> New York 1934 {2G Bcitragc uber Ixbcn, Wirkco und Status judischer Frauen); F. im Judcntum, Bcihcft dcr Zcitschrift F.muna. Frankfurt 1975; M. Wallach-Fallcr, </w:t>
      </w:r>
      <w:r>
        <w:rPr>
          <w:i/>
          <w:iCs/>
          <w:color w:val="000000"/>
          <w:spacing w:val="0"/>
          <w:w w:val="100"/>
          <w:position w:val="0"/>
          <w:shd w:val="clear" w:color="auto" w:fill="auto"/>
        </w:rPr>
        <w:t>Die Stellung der F Judaica.</w:t>
      </w:r>
      <w:r>
        <w:rPr>
          <w:color w:val="000000"/>
          <w:spacing w:val="0"/>
          <w:w w:val="100"/>
          <w:position w:val="0"/>
          <w:shd w:val="clear" w:color="auto" w:fill="auto"/>
        </w:rPr>
        <w:t xml:space="preserve"> 1985. P. Navi Levinson. Die Ordination van Frauen als Rabbiner, u; ZRGG 1987.</w:t>
        <w:tab/>
        <w:t>P NAVEI.LVJNSON</w:t>
      </w:r>
    </w:p>
    <w:p>
      <w:pPr>
        <w:pStyle w:val="Style56"/>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hd w:val="clear" w:color="auto" w:fill="auto"/>
        </w:rPr>
        <w:t xml:space="preserve">2. </w:t>
      </w:r>
      <w:r>
        <w:rPr>
          <w:b/>
          <w:bCs/>
          <w:color w:val="000000"/>
          <w:spacing w:val="0"/>
          <w:w w:val="100"/>
          <w:position w:val="0"/>
          <w:shd w:val="clear" w:color="auto" w:fill="auto"/>
          <w:lang w:val="hr-HR" w:eastAsia="hr-HR" w:bidi="hr-HR"/>
        </w:rPr>
        <w:t>kršćanski</w:t>
      </w:r>
    </w:p>
    <w:p>
      <w:pPr>
        <w:pStyle w:val="Style20"/>
        <w:keepNext w:val="0"/>
        <w:keepLines w:val="0"/>
        <w:widowControl w:val="0"/>
        <w:shd w:val="clear" w:color="auto" w:fill="auto"/>
        <w:bidi w:val="0"/>
        <w:spacing w:before="0" w:after="0"/>
        <w:ind w:left="0" w:right="0" w:firstLine="0"/>
        <w:jc w:val="both"/>
        <w:sectPr>
          <w:footnotePr>
            <w:pos w:val="pageBottom"/>
            <w:numFmt w:val="decimal"/>
            <w:numRestart w:val="continuous"/>
            <w15:footnoteColumns w:val="1"/>
          </w:footnotePr>
          <w:type w:val="continuous"/>
          <w:pgSz w:w="6816" w:h="11006"/>
          <w:pgMar w:top="965" w:left="194" w:right="199" w:bottom="537" w:header="0" w:footer="3" w:gutter="0"/>
          <w:cols w:num="2" w:space="18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Muškarac i ž. zajedno predstavljaju čovjeka. Nema čovjeka po sebi. On uvijek postoji kao muškarac ili kao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bez obzira na bolesne po</w:t>
        <w:softHyphen/>
        <w:t>jave koje se javljaju. Teško je i gotovo nemo</w:t>
        <w:softHyphen/>
        <w:t>guće točno opisati položaj žene, jer je konkre</w:t>
        <w:softHyphen/>
        <w:t xml:space="preserve">tan položaj svaki put bio odreden, i još uvijek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jest, tako mnogim čimbenicima, da je činje</w:t>
        <w:softHyphen/>
        <w:t>nični ženin položaj u dobru i zlu gotovo uvijek znatno odstupao od zakonski uređenoga prav</w:t>
        <w:softHyphen/>
        <w:t>nog položaja.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Antika:</w:t>
      </w:r>
      <w:r>
        <w:rPr>
          <w:rFonts w:ascii="Times New Roman" w:eastAsia="Times New Roman" w:hAnsi="Times New Roman" w:cs="Times New Roman"/>
          <w:color w:val="000000"/>
          <w:spacing w:val="0"/>
          <w:w w:val="100"/>
          <w:position w:val="0"/>
          <w:shd w:val="clear" w:color="auto" w:fill="auto"/>
          <w:lang w:val="hr-HR" w:eastAsia="hr-HR" w:bidi="hr-HR"/>
        </w:rPr>
        <w:t xml:space="preserve"> Ako se ne obaziremo na teoriju o maj</w:t>
        <w:softHyphen/>
        <w:t>činskom pravu u prapovijesti, koja dosad nije dokazana, ž. je, dokle sežu izvori bez. obzira na izuzetke, imala u maloj mjeri individualnu ulogu samosvojne osobe. Kao supruga, kuća</w:t>
        <w:softHyphen/>
        <w:t>nica i prije svega majka djece (najradije si</w:t>
        <w:softHyphen/>
        <w:t>nova) uživala je svakako ugled, ali bila je pod zakonitom vlašću muža koji je s njom raspola</w:t>
        <w:softHyphen/>
        <w:t>gao i tu se mogu prepoznati nijanse ovisno o vremenu i mjestu. Naspram istočnjačke po- ligamije grčka je ž. imala u monogamnom braku nesumnjivo bolji položaj, ali i ona je morala trpjeti priležništvo i pomiriti se s time da su samo hetere imale stanoviti pristup du</w:t>
        <w:softHyphen/>
        <w:t xml:space="preserve">hovnoj naobrazbi. I u čuvenom germanskom braku, koji je </w:t>
      </w:r>
      <w:r>
        <w:rPr>
          <w:rFonts w:ascii="Times New Roman" w:eastAsia="Times New Roman" w:hAnsi="Times New Roman" w:cs="Times New Roman"/>
          <w:color w:val="000000"/>
          <w:spacing w:val="0"/>
          <w:w w:val="100"/>
          <w:position w:val="0"/>
          <w:shd w:val="clear" w:color="auto" w:fill="auto"/>
          <w:lang w:val="en-US" w:eastAsia="en-US" w:bidi="en-US"/>
        </w:rPr>
        <w:t xml:space="preserve">Tacit </w:t>
      </w:r>
      <w:r>
        <w:rPr>
          <w:rFonts w:ascii="Times New Roman" w:eastAsia="Times New Roman" w:hAnsi="Times New Roman" w:cs="Times New Roman"/>
          <w:color w:val="000000"/>
          <w:spacing w:val="0"/>
          <w:w w:val="100"/>
          <w:position w:val="0"/>
          <w:shd w:val="clear" w:color="auto" w:fill="auto"/>
          <w:lang w:val="hr-HR" w:eastAsia="hr-HR" w:bidi="hr-HR"/>
        </w:rPr>
        <w:t>tako veličao, ž. je bila kat' i sinovi, kćeri i služinčad doživotno pod muže- vim starateljstvom.</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Židovstvo:</w:t>
      </w:r>
      <w:r>
        <w:rPr>
          <w:rFonts w:ascii="Times New Roman" w:eastAsia="Times New Roman" w:hAnsi="Times New Roman" w:cs="Times New Roman"/>
          <w:color w:val="000000"/>
          <w:spacing w:val="0"/>
          <w:w w:val="100"/>
          <w:position w:val="0"/>
          <w:shd w:val="clear" w:color="auto" w:fill="auto"/>
          <w:lang w:val="hr-HR" w:eastAsia="hr-HR" w:bidi="hr-HR"/>
        </w:rPr>
        <w:t xml:space="preserve"> Osobito je teško opisati položaj že</w:t>
        <w:softHyphen/>
        <w:t>ne u židovstvu jer SZ sadrži uz pozitivne izja</w:t>
        <w:softHyphen/>
        <w:t>ve na središnjem mjestu i odgovarajući broj negativnih iskaza o ženi. Jahvističko Izvješće o stvaranju koje potječe iz IX. stoljeća pr. Kr. (Post 2,18-25), kao i točno pola tisućljeća kasnije napisano svećeničko Izvješće (Post 1.26-28), polaze od stanovite ravnopravnosti spolova. U običaju, pravu i kultu, međutim, položaj žene kao ravnopravne partnerice bio je pomućen poligamijom i jednostranom mo</w:t>
        <w:softHyphen/>
        <w:t>gućnošću rastave braka, koju je imao samo muž. Nije za to bilo nužno da ž. počini bra</w:t>
        <w:softHyphen/>
        <w:t>kolomstvo; dostatno je bilo da supružnik ne nalazi »milosti« odnosno da »na njoj otkrije što ružno« (Pnz 24,1).</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Doduše, ž. je za razliku od ropkinje imala pravo na bračnu vjernost i privatni imetak; imala je čak uvjetno pravo na baštinu (Br 27,1-11), što nije bio slučaj u izraelskoj oko</w:t>
        <w:softHyphen/>
        <w:t>lini. S druge strane, morala se u hramu i kas</w:t>
        <w:softHyphen/>
        <w:t>nije u sinagogi zadržavati na mjestima koja su bila posebno za nju određena. Imala je uma</w:t>
        <w:softHyphen/>
        <w:t>njenu mogućnost zavjetovanja kao i obveze na molitvu i nije morala proučavati Toru kao muškarac, ali u najboljem slučaju to joj je do</w:t>
        <w:softHyphen/>
        <w:t>pušteno; pred sudom jc njezino svjedočenje vrijedilo kao pola muškarčeva.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djelomično negativno vrednovanje žene u židovstvu odgovoran bi mogao biti i njezin po</w:t>
        <w:softHyphen/>
      </w:r>
      <w:r>
        <w:rPr>
          <w:rFonts w:ascii="Times New Roman" w:eastAsia="Times New Roman" w:hAnsi="Times New Roman" w:cs="Times New Roman"/>
          <w:color w:val="000000"/>
          <w:spacing w:val="0"/>
          <w:w w:val="100"/>
          <w:position w:val="0"/>
          <w:shd w:val="clear" w:color="auto" w:fill="auto"/>
          <w:lang w:val="hr-HR" w:eastAsia="hr-HR" w:bidi="hr-HR"/>
        </w:rPr>
        <w:t>ložaj u pogansko-kanaanskoj okolini. U svim tadašnjim kulturama ž. je igrala središnju ulo</w:t>
        <w:softHyphen/>
        <w:t>gu u okviru hramske prostitucije i orgija plod</w:t>
        <w:softHyphen/>
        <w:t>nosti tako da Izrael, kojem jc »sve to bilo groz</w:t>
        <w:softHyphen/>
        <w:t>no«, nije vidio druge mogućnosti kako da se od toga ogradi nego da ženu strogo isključi iz službe Božje. Neovisno o Izvješću o stvaranju, u SZ nalaze se izreke o ženi koje odražavaju visoko moralno veličanje (npr. Izr 31.10- 31); ali uz to i takve koje ju izričito omalovažavaju (Izr 5,3; 27,15; 6,26). »Neka je slavljen jer me nije učinio ženom«, molio jc pobožni Židov u Bcrakhotu 7,18. S druge strane, u petak na</w:t>
        <w:softHyphen/>
        <w:t>večer kao pripravu za sabat otac obitelji bi či</w:t>
        <w:softHyphen/>
        <w:t>tao: »Tko će naći ženu vrsnu? Više vrijedi ona nego biserje. Muževljevo se srce uzda u nju, i blagom neće oskudijevati« (Izr 31,10). Do</w:t>
        <w:softHyphen/>
        <w:t>nekle kao nadopuna ovim općenitim pozitiv</w:t>
        <w:softHyphen/>
        <w:t>nim izjavama u SZ nalazi se značajan popis uzornih žena počam od pramajki Sare, Re- beke, Rahele, Lee, preko odvažnih babica u Egiptu koje su se suprotstavile faraonovoj za</w:t>
        <w:softHyphen/>
        <w:t xml:space="preserve">povijedi, sve do Hane, majke sedmorice ma- kabejske braće koji su podnijeli mučeništvo pod </w:t>
      </w:r>
      <w:r>
        <w:rPr>
          <w:rFonts w:ascii="Times New Roman" w:eastAsia="Times New Roman" w:hAnsi="Times New Roman" w:cs="Times New Roman"/>
          <w:color w:val="000000"/>
          <w:spacing w:val="0"/>
          <w:w w:val="100"/>
          <w:position w:val="0"/>
          <w:shd w:val="clear" w:color="auto" w:fill="auto"/>
          <w:lang w:val="en-US" w:eastAsia="en-US" w:bidi="en-US"/>
        </w:rPr>
        <w:t xml:space="preserve">Antiohom </w:t>
      </w:r>
      <w:r>
        <w:rPr>
          <w:rFonts w:ascii="Times New Roman" w:eastAsia="Times New Roman" w:hAnsi="Times New Roman" w:cs="Times New Roman"/>
          <w:color w:val="000000"/>
          <w:spacing w:val="0"/>
          <w:w w:val="100"/>
          <w:position w:val="0"/>
          <w:shd w:val="clear" w:color="auto" w:fill="auto"/>
          <w:lang w:val="hr-HR" w:eastAsia="hr-HR" w:bidi="hr-HR"/>
        </w:rPr>
        <w:t>IV. Ukazujući na priče o Abrahamovoj laži, Iz.akovoj slabosti i Davi- dovu brakolomstvu. Pinchas Lapide objašnja</w:t>
        <w:softHyphen/>
        <w:t>va tu »uravnoteženost« opisivanja time što »Biblija nije knjiga uljepšavanja niti veličanja junaka nego knjiga čitavog života koja često surovim realizmom opisuje isto tako svijetle kao i tamne strane«.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Kršćanstvo:</w:t>
      </w:r>
      <w:r>
        <w:rPr>
          <w:rFonts w:ascii="Times New Roman" w:eastAsia="Times New Roman" w:hAnsi="Times New Roman" w:cs="Times New Roman"/>
          <w:color w:val="000000"/>
          <w:spacing w:val="0"/>
          <w:w w:val="100"/>
          <w:position w:val="0"/>
          <w:shd w:val="clear" w:color="auto" w:fill="auto"/>
          <w:lang w:val="hr-HR" w:eastAsia="hr-HR" w:bidi="hr-HR"/>
        </w:rPr>
        <w:t xml:space="preserve"> U odgovoru na pitanje jc li ili nije kršćanstvo poboljšalo položaj žene, mišljenja se dijele. Pritom oni koji daju negativan odgo</w:t>
        <w:softHyphen/>
        <w:t>vor ukazuju na jasno diskriminirajuće izjave u NZ i na one koje su preuzete iz židovstva i koje su se donedavno u svima održale, a danas još u Rimokatoličkoj crkvi, uobičajenim is</w:t>
        <w:softHyphen/>
        <w:t>ključenjem žene iz svećeničke službe. - Pred</w:t>
        <w:softHyphen/>
        <w:t>stavnici pozitivnog odgovora ukazuju na Isu</w:t>
        <w:softHyphen/>
        <w:t>sove pozitivne izjave kao i na njegovo pri</w:t>
        <w:softHyphen/>
        <w:t>rodno ponašanje prema ženama i na činjenicu da se emancipacija žena, unatoč sumnji i otporu nositelja crkvenih službi, ipak ispunila upravo u Europi i Sjevernoj Americi koje su jasno obilježene kršćanstvom.</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Jednoznačan odgovor, koji bi uzimao u obzir sve čimbenike, ovdje nije moguć jer sam NZ nije jedinstven u predodžbi o ulozi žene u Crkvi i društvu. To nije čudno jer NZ nije sus</w:t>
        <w:softHyphen/>
        <w:t>tavni udžbenik samo jednog autora nego zbir</w:t>
        <w:softHyphen/>
      </w:r>
      <w:r>
        <w:rPr>
          <w:rFonts w:ascii="Times New Roman" w:eastAsia="Times New Roman" w:hAnsi="Times New Roman" w:cs="Times New Roman"/>
          <w:color w:val="000000"/>
          <w:spacing w:val="0"/>
          <w:w w:val="100"/>
          <w:position w:val="0"/>
          <w:shd w:val="clear" w:color="auto" w:fill="auto"/>
          <w:lang w:val="hr-HR" w:eastAsia="hr-HR" w:bidi="hr-HR"/>
        </w:rPr>
        <w:t>ka vjerskih svjedočanstava različitih autora. Uz ranije spomenuta vjerska svjedočanstva NZ sadrži niz višc-manjc konkretnih uputa za sva- kodncvicu pa je u NZ dodatno ušlo mnoštvo izjava koje su uvjetovane onim vremenom. Stoga u 1 Kor 11,5 naglašen zahtjev da ž. treba u erkvi nositi veo na glavi i šutjeti, ne može više ni u kojem slučaju imali danas op</w:t>
        <w:softHyphen/>
        <w:t>ćenitu vrijednost. Svakako vrijedi za sva vre</w:t>
        <w:softHyphen/>
        <w:t>mena, makar to Crkva u cijelosti nije dostatno poštivala ni ostvarivala, u Poslanici Galaća- nima izraženo poništavanje razlika u Kristu: »Nema tu više ni Zidova ni Grka; nema više ni roba ni slobodnjaka; nema više ni muškog ni ženskog, jer ste svi samo jedan u Kristu Isusu« (Gal 3,28). Pa ipak, kršćani nisu uložili spo</w:t>
        <w:softHyphen/>
        <w:t>mena vrijedne napore da promijene društve</w:t>
        <w:softHyphen/>
        <w:t>ne uvjete u smislu spomenute izjave. Ostajalo se pri ropstvu i podređenom položaju žene. Samo se ostvarila ravnopravnost Židova i po</w:t>
        <w:softHyphen/>
        <w:t>ganina u unutarerkvenom prostoru. No za to nisu bile potrebne nikakve promjene društve</w:t>
        <w:softHyphen/>
        <w:t>nih struktura.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Srednji je vijek donio bolji položaj za određe</w:t>
        <w:softHyphen/>
        <w:t>ne skupine žena. Gdje god su se one odrekle braka i obitelji i stupile u neki red kao Bogu posvećene djevice, pružale su im se prave šan</w:t>
        <w:softHyphen/>
        <w:t>se za samoostvarenjc i društveni uspon. Tako su poglavarice samostana, koji su bili neovisni o državi, imale npr. vladarska prava. Također žene, zvane begine, koje nisu bile vezane za</w:t>
        <w:softHyphen/>
        <w:t>vjetom, a živjele su u zajednicama nalik samo</w:t>
        <w:softHyphen/>
        <w:t>stanima, imale su stanovite slobode. Pa ipak, ova jc mogućnost, ne samo za navedene žene nego i za žene općenito, bila plaćena obez</w:t>
        <w:softHyphen/>
        <w:t>vrjeđivanjem ženine majčinske uloge, odnos</w:t>
        <w:softHyphen/>
        <w:t>no braka. Štovanje Marije, koje sve više dolazi u prvi plan, a istodobno i jednostrano isticanje njezina djevičanstva učinili su više no što tre</w:t>
        <w:softHyphen/>
        <w:t>ba. - Progoni vještica sa svim svojim straho</w:t>
        <w:softHyphen/>
        <w:t>tama, za koje su jednako odgovorne država i Crkva, odveć je složeno zbivanje pa se ovdje ne bi moglo istražiti. Ono u ocjenjivanju žene nesumnjivo predstavlja jednu od najnižih to</w:t>
        <w:softHyphen/>
        <w:t>čaka uopće.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Tek je novo vrijeme donijelo preokret. Etički individualizam i gospodarsko-politički libera</w:t>
        <w:softHyphen/>
        <w:t>lizam zajedno s proglašavanjem ljudskih pra</w:t>
        <w:softHyphen/>
        <w:t>va doveli su do promijenjenog shvaćanja. Ropstvo je ukinuto. Modemi ženski pokret, napajan iz različitih duhovnih izvora i u svo</w:t>
        <w:softHyphen/>
        <w:t xml:space="preserve">jim ciljevima ne u svemu jedinstven, doveo je </w:t>
      </w:r>
      <w:r>
        <w:rPr>
          <w:rFonts w:ascii="Times New Roman" w:eastAsia="Times New Roman" w:hAnsi="Times New Roman" w:cs="Times New Roman"/>
          <w:color w:val="000000"/>
          <w:spacing w:val="0"/>
          <w:w w:val="100"/>
          <w:position w:val="0"/>
          <w:shd w:val="clear" w:color="auto" w:fill="auto"/>
          <w:lang w:val="hr-HR" w:eastAsia="hr-HR" w:bidi="hr-HR"/>
        </w:rPr>
        <w:t>do općeg obrata u mišljenju unutar društva i potom - uz vremensko odgađanje - i u Crkvi. Zato se razvio nesklad između položaja žene u društvu i položaja žene u crkvama koji sc do danas nije izravnao. Prvo izdanje Leksikona za teologiju i Crkvu iz godine 1930-38 dobilo je samo natuknicu »ž.«. Muškarci, koji su iz</w:t>
        <w:softHyphen/>
        <w:t>dali to uzomo katoličko djelo, držali su da</w:t>
        <w:softHyphen/>
        <w:t>kako sebe neupitnima.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Ivan XXIII. u svojoj enciklici »Pacem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ter- ris« prvi je put službeno upozorio na nejednak položaj spolova. Kao tri najznačajnija znaka vremena naveo je: emancipaciju radnika, težnje zemalja u razvoju i sudjelovanje žena u javnom životu. Drugi vatikanski koncil, koji jc on sazvao, još se izričitije izrazio o tome u svo</w:t>
        <w:softHyphen/>
        <w:t>joj pastoralnoj konstituciji, nazvanoj po počet</w:t>
        <w:softHyphen/>
        <w:t>nim riječima »Gaudium et spes« (GS). »Žene zahtijevaju pravnu i stvarnu ravnopravnost s muškarcima gdje ona još nije postignuta. Sva</w:t>
        <w:softHyphen/>
        <w:t>ka diskriminacija u temeljnim pravima osobe na društvenom ili kulturnom polju, ili zbog spola, rase ... mora se prevladati i ukloniti jer se protivi Božjoj nakani« (GS 29). Oba doku</w:t>
        <w:softHyphen/>
        <w:t>menta ograničavaju se više-manjc na položaj žene u društvu. Njezin položaj unutar Crkve tumači Dekret o apostolatu laika (Čl. 9) gdje se kaže: »Budući da u naše dane žene sve više i više aktivno sudjeluju u cjelokupnom druš</w:t>
        <w:softHyphen/>
        <w:t>tvenom životu, veoma je važno da sc proširi njihovo sudjelovanje i na raznovrsnim pod</w:t>
        <w:softHyphen/>
        <w:t>ručjima apostolata Crkve«. Ohrabren ovim koncilskim izjavama Treći svjetski kongres za apostolat laika, koji je zasjedao u Rimu 1967, izjavio jc u jednoj rezoluciji: »Ž. treba na te</w:t>
        <w:softHyphen/>
        <w:t>melju krštenja i Gal 3,28 (v. g.) kao i na te</w:t>
        <w:softHyphen/>
        <w:t>melju društvene ravnopravnosti po kojoj se već u većini zemalja razvija položaj žene, do</w:t>
        <w:softHyphen/>
        <w:t>biti u Crkvi svoja puna prava i odgovornosti kao kršćanka«.</w:t>
      </w:r>
    </w:p>
    <w:p>
      <w:pPr>
        <w:pStyle w:val="Style20"/>
        <w:keepNext w:val="0"/>
        <w:keepLines w:val="0"/>
        <w:widowControl w:val="0"/>
        <w:shd w:val="clear" w:color="auto" w:fill="auto"/>
        <w:bidi w:val="0"/>
        <w:spacing w:before="0" w:after="80"/>
        <w:ind w:left="0" w:right="0" w:firstLine="0"/>
        <w:jc w:val="both"/>
        <w:sectPr>
          <w:headerReference w:type="default" r:id="rId1703"/>
          <w:footerReference w:type="default" r:id="rId1704"/>
          <w:headerReference w:type="even" r:id="rId1705"/>
          <w:footerReference w:type="even" r:id="rId1706"/>
          <w:headerReference w:type="first" r:id="rId1707"/>
          <w:footerReference w:type="first" r:id="rId1708"/>
          <w:footnotePr>
            <w:pos w:val="pageBottom"/>
            <w:numFmt w:val="decimal"/>
            <w:numRestart w:val="continuous"/>
            <w15:footnoteColumns w:val="1"/>
          </w:footnotePr>
          <w:pgSz w:w="6816" w:h="11006"/>
          <w:pgMar w:top="965" w:left="194" w:right="199" w:bottom="537" w:header="0" w:footer="3" w:gutter="0"/>
          <w:cols w:num="2" w:space="188"/>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Puna ravnopravnost žena unutar Rimokato</w:t>
        <w:softHyphen/>
        <w:t>ličke crkve ncotklonjivo bi značila pripuštanje svim službama, uključujući i svećeničku službu. No od toga smo ipak još jako daleko; papa ih ne bi rado vidio ni kao ministranticc. Neke su crkve ipak već učinile jedan korak i time su, prema vlastitim izjavama, stekle pozitivna is</w:t>
        <w:softHyphen/>
        <w:t>kustva. Tu se Katolička crkva drži vrlo suz</w:t>
        <w:softHyphen/>
        <w:t>držano. Za to se teško mogu naći valjani i uvjerljivi dogmatski razlozi. Razlozi leže ne</w:t>
        <w:softHyphen/>
        <w:t>gdje drugdje. Gotovo dvije tisuće godina duga povijest, u kojoj su tu službu neprestano i is</w:t>
        <w:softHyphen/>
      </w:r>
    </w:p>
    <w:p>
      <w:pPr>
        <w:pStyle w:val="Style20"/>
        <w:keepNext w:val="0"/>
        <w:keepLines w:val="0"/>
        <w:widowControl w:val="0"/>
        <w:shd w:val="clear" w:color="auto" w:fill="auto"/>
        <w:bidi w:val="0"/>
        <w:spacing w:before="0" w:after="8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ključivo obnašali muškarci koji su je i obilježi</w:t>
        <w:softHyphen/>
        <w:t>li, znači još zasad snažnu psihičku zapreku. Bit ćc potrebni dugotrajni napori da se pro</w:t>
        <w:softHyphen/>
        <w:t>mijene načini razmišljanja i ponašanja vjerni</w:t>
        <w:softHyphen/>
        <w:t>ka, pa možda i određena obilježja same sveće</w:t>
        <w:softHyphen/>
        <w:t>ničke službe, da bi Katolička crkva ženi prizna</w:t>
        <w:softHyphen/>
        <w:t>la puno sudjelovanje u svećeničkoj službi.</w:t>
      </w:r>
    </w:p>
    <w:p>
      <w:pPr>
        <w:pStyle w:val="Style56"/>
        <w:keepNext w:val="0"/>
        <w:keepLines w:val="0"/>
        <w:widowControl w:val="0"/>
        <w:shd w:val="clear" w:color="auto" w:fill="auto"/>
        <w:tabs>
          <w:tab w:pos="2510" w:val="left"/>
        </w:tabs>
        <w:bidi w:val="0"/>
        <w:spacing w:before="0" w:after="300" w:line="240" w:lineRule="auto"/>
        <w:ind w:left="0" w:right="0" w:firstLine="0"/>
        <w:jc w:val="both"/>
      </w:pPr>
      <w:r>
        <w:rPr>
          <w:color w:val="000000"/>
          <w:spacing w:val="0"/>
          <w:w w:val="100"/>
          <w:position w:val="0"/>
          <w:shd w:val="clear" w:color="auto" w:fill="auto"/>
        </w:rPr>
        <w:t xml:space="preserve">Lit.: </w:t>
      </w:r>
      <w:r>
        <w:rPr>
          <w:color w:val="000000"/>
          <w:spacing w:val="0"/>
          <w:w w:val="100"/>
          <w:position w:val="0"/>
          <w:shd w:val="clear" w:color="auto" w:fill="auto"/>
          <w:lang w:val="hr-HR" w:eastAsia="hr-HR" w:bidi="hr-HR"/>
        </w:rPr>
        <w:t xml:space="preserve">E. </w:t>
      </w:r>
      <w:r>
        <w:rPr>
          <w:color w:val="000000"/>
          <w:spacing w:val="0"/>
          <w:w w:val="100"/>
          <w:position w:val="0"/>
          <w:shd w:val="clear" w:color="auto" w:fill="auto"/>
        </w:rPr>
        <w:t xml:space="preserve">Haag, </w:t>
      </w:r>
      <w:r>
        <w:rPr>
          <w:i/>
          <w:iCs/>
          <w:color w:val="000000"/>
          <w:spacing w:val="0"/>
          <w:w w:val="100"/>
          <w:position w:val="0"/>
          <w:shd w:val="clear" w:color="auto" w:fill="auto"/>
          <w:lang w:val="hr-HR" w:eastAsia="hr-HR" w:bidi="hr-HR"/>
        </w:rPr>
        <w:t xml:space="preserve">Der </w:t>
      </w:r>
      <w:r>
        <w:rPr>
          <w:i/>
          <w:iCs/>
          <w:color w:val="000000"/>
          <w:spacing w:val="0"/>
          <w:w w:val="100"/>
          <w:position w:val="0"/>
          <w:shd w:val="clear" w:color="auto" w:fill="auto"/>
        </w:rPr>
        <w:t>Mensch am Anfang,</w:t>
      </w:r>
      <w:r>
        <w:rPr>
          <w:color w:val="000000"/>
          <w:spacing w:val="0"/>
          <w:w w:val="100"/>
          <w:position w:val="0"/>
          <w:shd w:val="clear" w:color="auto" w:fill="auto"/>
        </w:rPr>
        <w:t xml:space="preserve"> Trier 1970, 43-50; 127-133; 175-177; V. Hochgrcbc/M. Pillers (Hrsg.). </w:t>
      </w:r>
      <w:r>
        <w:rPr>
          <w:i/>
          <w:iCs/>
          <w:color w:val="000000"/>
          <w:spacing w:val="0"/>
          <w:w w:val="100"/>
          <w:position w:val="0"/>
          <w:shd w:val="clear" w:color="auto" w:fill="auto"/>
        </w:rPr>
        <w:t>Geteilter Schmerz der Unterdruckung,</w:t>
      </w:r>
      <w:r>
        <w:rPr>
          <w:color w:val="000000"/>
          <w:spacing w:val="0"/>
          <w:w w:val="100"/>
          <w:position w:val="0"/>
          <w:shd w:val="clear" w:color="auto" w:fill="auto"/>
        </w:rPr>
        <w:t xml:space="preserve"> Stuttgart 1984; A. Hufnagcl, Die Bcwcrtung dcr Frau bei </w:t>
      </w:r>
      <w:r>
        <w:rPr>
          <w:color w:val="000000"/>
          <w:spacing w:val="0"/>
          <w:w w:val="100"/>
          <w:position w:val="0"/>
          <w:shd w:val="clear" w:color="auto" w:fill="auto"/>
          <w:lang w:val="hr-HR" w:eastAsia="hr-HR" w:bidi="hr-HR"/>
        </w:rPr>
        <w:t xml:space="preserve">lliomas </w:t>
      </w:r>
      <w:r>
        <w:rPr>
          <w:color w:val="000000"/>
          <w:spacing w:val="0"/>
          <w:w w:val="100"/>
          <w:position w:val="0"/>
          <w:shd w:val="clear" w:color="auto" w:fill="auto"/>
        </w:rPr>
        <w:t xml:space="preserve">von Aquin, u: </w:t>
      </w:r>
      <w:r>
        <w:rPr>
          <w:i/>
          <w:iCs/>
          <w:color w:val="000000"/>
          <w:spacing w:val="0"/>
          <w:w w:val="100"/>
          <w:position w:val="0"/>
          <w:shd w:val="clear" w:color="auto" w:fill="auto"/>
        </w:rPr>
        <w:t>Theoto- gische Quartalschnft</w:t>
      </w:r>
      <w:r>
        <w:rPr>
          <w:color w:val="000000"/>
          <w:spacing w:val="0"/>
          <w:w w:val="100"/>
          <w:position w:val="0"/>
          <w:shd w:val="clear" w:color="auto" w:fill="auto"/>
        </w:rPr>
        <w:t xml:space="preserve"> 2 (1976), 133-147; H. Konigcr, </w:t>
      </w:r>
      <w:r>
        <w:rPr>
          <w:i/>
          <w:iCs/>
          <w:color w:val="000000"/>
          <w:spacing w:val="0"/>
          <w:w w:val="100"/>
          <w:position w:val="0"/>
          <w:shd w:val="clear" w:color="auto" w:fill="auto"/>
        </w:rPr>
        <w:t>Gestalt und Welt der Frau bei Tacitus,</w:t>
      </w:r>
      <w:r>
        <w:rPr>
          <w:color w:val="000000"/>
          <w:spacing w:val="0"/>
          <w:w w:val="100"/>
          <w:position w:val="0"/>
          <w:shd w:val="clear" w:color="auto" w:fill="auto"/>
        </w:rPr>
        <w:t xml:space="preserve"> dis., F.rlangctVNurnbcrg 1966; A. Kuhn/J. Riiscn (Hrsg.), </w:t>
      </w:r>
      <w:r>
        <w:rPr>
          <w:i/>
          <w:iCs/>
          <w:color w:val="000000"/>
          <w:spacing w:val="0"/>
          <w:w w:val="100"/>
          <w:position w:val="0"/>
          <w:shd w:val="clear" w:color="auto" w:fill="auto"/>
        </w:rPr>
        <w:t xml:space="preserve">Frauen in der Geschichte </w:t>
      </w:r>
      <w:r>
        <w:rPr>
          <w:i/>
          <w:iCs/>
          <w:color w:val="000000"/>
          <w:spacing w:val="0"/>
          <w:w w:val="100"/>
          <w:position w:val="0"/>
          <w:shd w:val="clear" w:color="auto" w:fill="auto"/>
          <w:lang w:val="hr-HR" w:eastAsia="hr-HR" w:bidi="hr-HR"/>
        </w:rPr>
        <w:t>IH,</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Diisscldorf 1983; G. v. Rad, </w:t>
      </w:r>
      <w:r>
        <w:rPr>
          <w:i/>
          <w:iCs/>
          <w:color w:val="000000"/>
          <w:spacing w:val="0"/>
          <w:w w:val="100"/>
          <w:position w:val="0"/>
          <w:shd w:val="clear" w:color="auto" w:fill="auto"/>
        </w:rPr>
        <w:t>Theologie. des Alien Testa</w:t>
        <w:softHyphen/>
        <w:t>ments,</w:t>
      </w:r>
      <w:r>
        <w:rPr>
          <w:color w:val="000000"/>
          <w:spacing w:val="0"/>
          <w:w w:val="100"/>
          <w:position w:val="0"/>
          <w:shd w:val="clear" w:color="auto" w:fill="auto"/>
        </w:rPr>
        <w:t xml:space="preserve"> Rd. 1, Munchcn </w:t>
      </w:r>
      <w:r>
        <w:rPr>
          <w:color w:val="000000"/>
          <w:spacing w:val="0"/>
          <w:w w:val="100"/>
          <w:position w:val="0"/>
          <w:shd w:val="clear" w:color="auto" w:fill="auto"/>
          <w:vertAlign w:val="superscript"/>
        </w:rPr>
        <w:t>6</w:t>
      </w:r>
      <w:r>
        <w:rPr>
          <w:color w:val="000000"/>
          <w:spacing w:val="0"/>
          <w:w w:val="100"/>
          <w:position w:val="0"/>
          <w:shd w:val="clear" w:color="auto" w:fill="auto"/>
        </w:rPr>
        <w:t xml:space="preserve">1969, 40-44; I. Raming, </w:t>
      </w:r>
      <w:r>
        <w:rPr>
          <w:i/>
          <w:iCs/>
          <w:color w:val="000000"/>
          <w:spacing w:val="0"/>
          <w:w w:val="100"/>
          <w:position w:val="0"/>
          <w:shd w:val="clear" w:color="auto" w:fill="auto"/>
        </w:rPr>
        <w:t>Der Aus- schlufl der Frau vom priesteriichen Anu - gotlgewollie Tradi</w:t>
        <w:softHyphen/>
        <w:t>tion oder Diskriminierung.</w:t>
      </w:r>
      <w:r>
        <w:rPr>
          <w:color w:val="000000"/>
          <w:spacing w:val="0"/>
          <w:w w:val="100"/>
          <w:position w:val="0"/>
          <w:shd w:val="clear" w:color="auto" w:fill="auto"/>
        </w:rPr>
        <w:t xml:space="preserve"> Koln 1972; K. H. Schclklc, </w:t>
      </w:r>
      <w:r>
        <w:rPr>
          <w:i/>
          <w:iCs/>
          <w:color w:val="000000"/>
          <w:spacing w:val="0"/>
          <w:w w:val="100"/>
          <w:position w:val="0"/>
          <w:shd w:val="clear" w:color="auto" w:fill="auto"/>
        </w:rPr>
        <w:t>The- oloffe des Neuen Testaments,</w:t>
      </w:r>
      <w:r>
        <w:rPr>
          <w:color w:val="000000"/>
          <w:spacing w:val="0"/>
          <w:w w:val="100"/>
          <w:position w:val="0"/>
          <w:shd w:val="clear" w:color="auto" w:fill="auto"/>
        </w:rPr>
        <w:t xml:space="preserve"> Bd. I, Dusseldorf 1968, 101-106; </w:t>
      </w:r>
      <w:r>
        <w:rPr>
          <w:color w:val="000000"/>
          <w:spacing w:val="0"/>
          <w:w w:val="100"/>
          <w:position w:val="0"/>
          <w:shd w:val="clear" w:color="auto" w:fill="auto"/>
          <w:lang w:val="hr-HR" w:eastAsia="hr-HR" w:bidi="hr-HR"/>
        </w:rPr>
        <w:t xml:space="preserve">isto, </w:t>
      </w:r>
      <w:r>
        <w:rPr>
          <w:color w:val="000000"/>
          <w:spacing w:val="0"/>
          <w:w w:val="100"/>
          <w:position w:val="0"/>
          <w:shd w:val="clear" w:color="auto" w:fill="auto"/>
        </w:rPr>
        <w:t xml:space="preserve">Bd. IV, Dusseldorf </w:t>
      </w:r>
      <w:r>
        <w:rPr>
          <w:color w:val="000000"/>
          <w:spacing w:val="0"/>
          <w:w w:val="100"/>
          <w:position w:val="0"/>
          <w:shd w:val="clear" w:color="auto" w:fill="auto"/>
          <w:vertAlign w:val="superscript"/>
        </w:rPr>
        <w:t>2</w:t>
      </w:r>
      <w:r>
        <w:rPr>
          <w:color w:val="000000"/>
          <w:spacing w:val="0"/>
          <w:w w:val="100"/>
          <w:position w:val="0"/>
          <w:shd w:val="clear" w:color="auto" w:fill="auto"/>
        </w:rPr>
        <w:t xml:space="preserve">1976, 83-89, Frauen in der Glaubcnsvcrmittlung, Gabriele Miller i dr., u: </w:t>
      </w:r>
      <w:r>
        <w:rPr>
          <w:i/>
          <w:iCs/>
          <w:color w:val="000000"/>
          <w:spacing w:val="0"/>
          <w:w w:val="100"/>
          <w:position w:val="0"/>
          <w:shd w:val="clear" w:color="auto" w:fill="auto"/>
        </w:rPr>
        <w:t>Kateche- tische Blatter,</w:t>
      </w:r>
      <w:r>
        <w:rPr>
          <w:color w:val="000000"/>
          <w:spacing w:val="0"/>
          <w:w w:val="100"/>
          <w:position w:val="0"/>
          <w:shd w:val="clear" w:color="auto" w:fill="auto"/>
        </w:rPr>
        <w:t xml:space="preserve"> 12/1985.</w:t>
        <w:tab/>
        <w:t>K. Wt-BF.R</w:t>
      </w:r>
    </w:p>
    <w:p>
      <w:pPr>
        <w:pStyle w:val="Style63"/>
        <w:keepNext/>
        <w:keepLines/>
        <w:widowControl w:val="0"/>
        <w:numPr>
          <w:ilvl w:val="0"/>
          <w:numId w:val="669"/>
        </w:numPr>
        <w:shd w:val="clear" w:color="auto" w:fill="auto"/>
        <w:tabs>
          <w:tab w:pos="255" w:val="left"/>
        </w:tabs>
        <w:bidi w:val="0"/>
        <w:spacing w:before="0" w:after="80"/>
        <w:ind w:left="0" w:right="0" w:firstLine="0"/>
        <w:jc w:val="both"/>
      </w:pPr>
      <w:bookmarkStart w:id="423" w:name="bookmark423"/>
      <w:r>
        <w:rPr>
          <w:rFonts w:ascii="Times New Roman" w:eastAsia="Times New Roman" w:hAnsi="Times New Roman" w:cs="Times New Roman"/>
          <w:color w:val="000000"/>
          <w:spacing w:val="0"/>
          <w:w w:val="100"/>
          <w:position w:val="0"/>
          <w:shd w:val="clear" w:color="auto" w:fill="auto"/>
          <w:lang w:val="hr-HR" w:eastAsia="hr-HR" w:bidi="hr-HR"/>
        </w:rPr>
        <w:t>islamski</w:t>
      </w:r>
      <w:bookmarkEnd w:id="423"/>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 postoji nikakva mogućnost odgajanja jed</w:t>
        <w:softHyphen/>
        <w:t xml:space="preserve">noga naroda sve dok je u njemu rašireno mno- goženstvo.« Ova razborita tvrdnja ne potječe - kako bi se moglo pretpostaviti - iz pera neke europske poznavatcljke ženskih prava, nego od velikoga islamskog rcformacijskog teologa </w:t>
      </w:r>
      <w:r>
        <w:rPr>
          <w:rFonts w:ascii="Times New Roman" w:eastAsia="Times New Roman" w:hAnsi="Times New Roman" w:cs="Times New Roman"/>
          <w:color w:val="000000"/>
          <w:spacing w:val="0"/>
          <w:w w:val="100"/>
          <w:position w:val="0"/>
          <w:shd w:val="clear" w:color="auto" w:fill="auto"/>
          <w:lang w:val="en-US" w:eastAsia="en-US" w:bidi="en-US"/>
        </w:rPr>
        <w:t xml:space="preserve">Sayyida </w:t>
      </w:r>
      <w:r>
        <w:rPr>
          <w:rFonts w:ascii="Times New Roman" w:eastAsia="Times New Roman" w:hAnsi="Times New Roman" w:cs="Times New Roman"/>
          <w:color w:val="000000"/>
          <w:spacing w:val="0"/>
          <w:w w:val="100"/>
          <w:position w:val="0"/>
          <w:shd w:val="clear" w:color="auto" w:fill="auto"/>
          <w:lang w:val="hr-HR" w:eastAsia="hr-HR" w:bidi="hr-HR"/>
        </w:rPr>
        <w:t xml:space="preserve">Muhammada ‘Abduha (1849-1905), velikoga muftije Egipta i šejha sveučilišta Al- Azhar u Kairu, »katedre islama«. ‘Abduhov glasoviti učenik, </w:t>
      </w:r>
      <w:r>
        <w:rPr>
          <w:rFonts w:ascii="Times New Roman" w:eastAsia="Times New Roman" w:hAnsi="Times New Roman" w:cs="Times New Roman"/>
          <w:color w:val="000000"/>
          <w:spacing w:val="0"/>
          <w:w w:val="100"/>
          <w:position w:val="0"/>
          <w:shd w:val="clear" w:color="auto" w:fill="auto"/>
          <w:lang w:val="en-US" w:eastAsia="en-US" w:bidi="en-US"/>
        </w:rPr>
        <w:t xml:space="preserve">Muhammad Rashid </w:t>
      </w:r>
      <w:r>
        <w:rPr>
          <w:rFonts w:ascii="Times New Roman" w:eastAsia="Times New Roman" w:hAnsi="Times New Roman" w:cs="Times New Roman"/>
          <w:color w:val="000000"/>
          <w:spacing w:val="0"/>
          <w:w w:val="100"/>
          <w:position w:val="0"/>
          <w:shd w:val="clear" w:color="auto" w:fill="auto"/>
          <w:lang w:val="hr-HR" w:eastAsia="hr-HR" w:bidi="hr-HR"/>
        </w:rPr>
        <w:t>Rida (1865-1935), otišao je u tom pitanju čak još jedan korak dalje od svojeg učitelja kada je kazao: »Mnogoženstvo proturječi osnovnom prirodnom pravilu u braku, naime pravilu da čovjek ima jednu jedinu ženu prema kojoj se kao suprug odnosi tako kako se ona odnosi prema njemu«.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Oba ova navoda izravno vođe u srž problema, pred kojim stoji muslimansko pravosuđe s ob</w:t>
        <w:softHyphen/>
        <w:t>zirom na socijalnu strukturu koja se brzo mijenja u islamskome svijetu: pred proble</w:t>
        <w:softHyphen/>
        <w:t>mom novog ustroja obiteljskoga prava koje u svojoj supstanciji još uvijek nalikuje srednjo</w:t>
        <w:softHyphen/>
        <w:t>vjekovnom i građansko-pravnog izjednačava</w:t>
        <w:softHyphen/>
        <w:t>nja žene s muškarcem. Izjave ova dva uvažena mislitelja čine međutim također jasnim to da je islamska teologija vrlo dobro uočila taj pri- tišćući problem, da ona nije neučinkovita i da je bez preuzimanja od drugih društvenih sus</w:t>
        <w:softHyphen/>
        <w:t xml:space="preserve">tava u stanju nastaviti veliko reformacijsko </w:t>
      </w:r>
      <w:r>
        <w:rPr>
          <w:rFonts w:ascii="Times New Roman" w:eastAsia="Times New Roman" w:hAnsi="Times New Roman" w:cs="Times New Roman"/>
          <w:color w:val="000000"/>
          <w:spacing w:val="0"/>
          <w:w w:val="100"/>
          <w:position w:val="0"/>
          <w:shd w:val="clear" w:color="auto" w:fill="auto"/>
          <w:lang w:val="hr-HR" w:eastAsia="hr-HR" w:bidi="hr-HR"/>
        </w:rPr>
        <w:t>djelo »oslobađanja žene iz okova patrijarhal</w:t>
        <w:softHyphen/>
        <w:t>noga skrbništva« koje je prije 1400 godina za</w:t>
        <w:softHyphen/>
        <w:t>počeo prorok Muhamed, ali koje njegovi nas</w:t>
        <w:softHyphen/>
        <w:t>tavljači nikada nisu dovršili.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Odnos između islama i žene je višeslojan i nije ništa manje složen s obzirom na predrasude koje općenito vladaju u zapadnim društvima o islamu. Da bi se to moglo pojasniti barem u stanovitoj mjeri, mora se učiniti proboj do na</w:t>
        <w:softHyphen/>
        <w:t xml:space="preserve">čela muslimanskoga razumijevanja svijeta - </w:t>
      </w:r>
      <w:r>
        <w:rPr>
          <w:rFonts w:ascii="Times New Roman" w:eastAsia="Times New Roman" w:hAnsi="Times New Roman" w:cs="Times New Roman"/>
          <w:i/>
          <w:iCs/>
          <w:color w:val="000000"/>
          <w:spacing w:val="0"/>
          <w:w w:val="100"/>
          <w:position w:val="0"/>
          <w:shd w:val="clear" w:color="auto" w:fill="auto"/>
          <w:lang w:val="hr-HR" w:eastAsia="hr-HR" w:bidi="hr-HR"/>
        </w:rPr>
        <w:t xml:space="preserve">al islam đin </w:t>
      </w:r>
      <w:r>
        <w:rPr>
          <w:rFonts w:ascii="Times New Roman" w:eastAsia="Times New Roman" w:hAnsi="Times New Roman" w:cs="Times New Roman"/>
          <w:i/>
          <w:iCs/>
          <w:color w:val="000000"/>
          <w:spacing w:val="0"/>
          <w:w w:val="100"/>
          <w:position w:val="0"/>
          <w:shd w:val="clear" w:color="auto" w:fill="auto"/>
          <w:lang w:val="en-US" w:eastAsia="en-US" w:bidi="en-US"/>
        </w:rPr>
        <w:t>wa dawla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(islam je religija i društvo). Samo na taj način može poći za rukom da se bez predrasuda razumljivim učine pojedini as</w:t>
        <w:softHyphen/>
        <w:t>pekti ovoga kruga problema i jednako tako napori muslimanskih rcformacijskih teologa i pravnika koji bi nužne promjene htjeli u skla</w:t>
        <w:softHyphen/>
        <w:t>du s Kuranom izvršiti kao »islamske refor</w:t>
        <w:softHyphen/>
        <w:t>me«.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Stoga najprije treba ustvrditi položaj žene kao člana muslimanske zajednice i uzeti u obzir is</w:t>
        <w:softHyphen/>
        <w:t>kaze iz Kurana koji je zapravo primarna zbilja islama i prvotna norma zakona. Potom se tre</w:t>
        <w:softHyphen/>
        <w:t>ba osvijetliti pravna praksa šerijata i napo</w:t>
        <w:softHyphen/>
        <w:t>sljetku stvarno stanje. Samo će tako biti mo</w:t>
        <w:softHyphen/>
        <w:t>guće koliko prikazati nedoumicu islamskoga prava o ženama toliko i pokazati neka upo</w:t>
        <w:softHyphen/>
        <w:t>rišta moguće reforme. Zatim se radi o tome da se napravi stroga razlika između onoga što je određeno, što je rečeno i što je pod utjeca</w:t>
        <w:softHyphen/>
        <w:t>jem religije i nauka o ćudoređu, i onoga što je pored njih poniklo iz predislamskoga doba i tradicija koje su apsorbirane u islam i što je kasnije deklarirano kao islamsko misaono blago.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član zajednice vjernika ž. je potpuno rav</w:t>
        <w:softHyphen/>
        <w:t xml:space="preserve">nopravna s muškarcem. U suri EI-Mumteha- ne (AI-Mumtahana) nedvosmisleno se kaže (60,12): »O poslaniće, kada ti dođu vjernice da ti se obvežu da neće Bogu pripisivati ništa (druga), da neće krasti, da neće činiti blud, da neće ubijati svoju djecu i da neće lagati vršeći potvoru s onim što je između njihovih ruku i nogu </w:t>
      </w:r>
      <w:r>
        <w:rPr>
          <w:rFonts w:ascii="Times New Roman" w:eastAsia="Times New Roman" w:hAnsi="Times New Roman" w:cs="Times New Roman"/>
          <w:i/>
          <w:iCs/>
          <w:color w:val="000000"/>
          <w:spacing w:val="0"/>
          <w:w w:val="100"/>
          <w:position w:val="0"/>
          <w:shd w:val="clear" w:color="auto" w:fill="auto"/>
          <w:lang w:val="hr-HR" w:eastAsia="hr-HR" w:bidi="hr-HR"/>
        </w:rPr>
        <w:t>(što je u njihovim maternicama)</w:t>
      </w:r>
      <w:r>
        <w:rPr>
          <w:rFonts w:ascii="Times New Roman" w:eastAsia="Times New Roman" w:hAnsi="Times New Roman" w:cs="Times New Roman"/>
          <w:color w:val="000000"/>
          <w:spacing w:val="0"/>
          <w:w w:val="100"/>
          <w:position w:val="0"/>
          <w:shd w:val="clear" w:color="auto" w:fill="auto"/>
          <w:lang w:val="hr-HR" w:eastAsia="hr-HR" w:bidi="hr-HR"/>
        </w:rPr>
        <w:t xml:space="preserve"> i da ti neće biti nepokorne u odanosti Bogu (u </w:t>
      </w:r>
      <w:r>
        <w:rPr>
          <w:rFonts w:ascii="Times New Roman" w:eastAsia="Times New Roman" w:hAnsi="Times New Roman" w:cs="Times New Roman"/>
          <w:i/>
          <w:iCs/>
          <w:color w:val="000000"/>
          <w:spacing w:val="0"/>
          <w:w w:val="100"/>
          <w:position w:val="0"/>
          <w:shd w:val="clear" w:color="auto" w:fill="auto"/>
          <w:lang w:val="hr-HR" w:eastAsia="hr-HR" w:bidi="hr-HR"/>
        </w:rPr>
        <w:t>vrše</w:t>
        <w:softHyphen/>
        <w:t>nju vjerskih propisa),</w:t>
      </w:r>
      <w:r>
        <w:rPr>
          <w:rFonts w:ascii="Times New Roman" w:eastAsia="Times New Roman" w:hAnsi="Times New Roman" w:cs="Times New Roman"/>
          <w:color w:val="000000"/>
          <w:spacing w:val="0"/>
          <w:w w:val="100"/>
          <w:position w:val="0"/>
          <w:shd w:val="clear" w:color="auto" w:fill="auto"/>
          <w:lang w:val="hr-HR" w:eastAsia="hr-HR" w:bidi="hr-HR"/>
        </w:rPr>
        <w:t xml:space="preserve"> primi njihovu obvezu i moli Boga da im oprosti«.</w:t>
      </w:r>
    </w:p>
    <w:p>
      <w:pPr>
        <w:pStyle w:val="Style20"/>
        <w:keepNext w:val="0"/>
        <w:keepLines w:val="0"/>
        <w:widowControl w:val="0"/>
        <w:shd w:val="clear" w:color="auto" w:fill="auto"/>
        <w:bidi w:val="0"/>
        <w:spacing w:before="0" w:after="0" w:line="240" w:lineRule="auto"/>
        <w:ind w:left="0" w:right="0" w:firstLine="0"/>
        <w:jc w:val="both"/>
        <w:sectPr>
          <w:headerReference w:type="default" r:id="rId1709"/>
          <w:footerReference w:type="default" r:id="rId1710"/>
          <w:headerReference w:type="even" r:id="rId1711"/>
          <w:footerReference w:type="even" r:id="rId1712"/>
          <w:footnotePr>
            <w:pos w:val="pageBottom"/>
            <w:numFmt w:val="decimal"/>
            <w:numRestart w:val="continuous"/>
            <w15:footnoteColumns w:val="1"/>
          </w:footnotePr>
          <w:pgSz w:w="6816" w:h="11006"/>
          <w:pgMar w:top="965" w:left="194" w:right="199" w:bottom="537" w:header="0" w:footer="109" w:gutter="0"/>
          <w:pgNumType w:start="561"/>
          <w:cols w:num="2" w:space="18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Prihvaćanje za spas se ograničuje, čak i u području koje je podređeno eshatologiji. Ta</w:t>
        <w:softHyphen/>
        <w:t xml:space="preserve">ko se u surama Ali </w:t>
      </w:r>
      <w:r>
        <w:rPr>
          <w:rFonts w:ascii="Times New Roman" w:eastAsia="Times New Roman" w:hAnsi="Times New Roman" w:cs="Times New Roman"/>
          <w:color w:val="000000"/>
          <w:spacing w:val="0"/>
          <w:w w:val="100"/>
          <w:position w:val="0"/>
          <w:shd w:val="clear" w:color="auto" w:fill="auto"/>
          <w:lang w:val="en-US" w:eastAsia="en-US" w:bidi="en-US"/>
        </w:rPr>
        <w:t xml:space="preserve">Imran </w:t>
      </w:r>
      <w:r>
        <w:rPr>
          <w:rFonts w:ascii="Times New Roman" w:eastAsia="Times New Roman" w:hAnsi="Times New Roman" w:cs="Times New Roman"/>
          <w:color w:val="000000"/>
          <w:spacing w:val="0"/>
          <w:w w:val="100"/>
          <w:position w:val="0"/>
          <w:shd w:val="clear" w:color="auto" w:fill="auto"/>
          <w:lang w:val="hr-HR" w:eastAsia="hr-HR" w:bidi="hr-HR"/>
        </w:rPr>
        <w:t xml:space="preserve">(Al TmrSn; vidi 3), En-Nisa (Al-Nisa’; vidi 4), El-Hadid (Al- Hadld; vidi 57) i Et-Tevbe (Al-Tawba; vidi 9) kaže: »Ja neću uništiti djelo nijednog vašeg </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radnika, muškarca ili žene...« (3,195); »Koji vjernik, bio on muško ili žensko, uradi dobro djelo ući će u dženet i neće mu se učiniti niti nepravda koliko trun« (4,124). - »Onoga da</w:t>
        <w:softHyphen/>
        <w:t xml:space="preserve">na kada budeš vidio kako ide pred vjernicima i vjemicama i s njihovih desnih strana njihovo svjetlo (a </w:t>
      </w:r>
      <w:r>
        <w:rPr>
          <w:rFonts w:ascii="Times New Roman" w:eastAsia="Times New Roman" w:hAnsi="Times New Roman" w:cs="Times New Roman"/>
          <w:i/>
          <w:iCs/>
          <w:color w:val="000000"/>
          <w:spacing w:val="0"/>
          <w:w w:val="100"/>
          <w:position w:val="0"/>
          <w:shd w:val="clear" w:color="auto" w:fill="auto"/>
          <w:lang w:val="hr-HR" w:eastAsia="hr-HR" w:bidi="hr-HR"/>
        </w:rPr>
        <w:t>dovikuje im se):</w:t>
      </w:r>
      <w:r>
        <w:rPr>
          <w:rFonts w:ascii="Times New Roman" w:eastAsia="Times New Roman" w:hAnsi="Times New Roman" w:cs="Times New Roman"/>
          <w:color w:val="000000"/>
          <w:spacing w:val="0"/>
          <w:w w:val="100"/>
          <w:position w:val="0"/>
          <w:shd w:val="clear" w:color="auto" w:fill="auto"/>
          <w:lang w:val="hr-HR" w:eastAsia="hr-HR" w:bidi="hr-HR"/>
        </w:rPr>
        <w:t xml:space="preserve"> ‘Sretne da su vam danas dženetske </w:t>
      </w:r>
      <w:r>
        <w:rPr>
          <w:rFonts w:ascii="Times New Roman" w:eastAsia="Times New Roman" w:hAnsi="Times New Roman" w:cs="Times New Roman"/>
          <w:i/>
          <w:iCs/>
          <w:color w:val="000000"/>
          <w:spacing w:val="0"/>
          <w:w w:val="100"/>
          <w:position w:val="0"/>
          <w:shd w:val="clear" w:color="auto" w:fill="auto"/>
          <w:lang w:val="hr-HR" w:eastAsia="hr-HR" w:bidi="hr-HR"/>
        </w:rPr>
        <w:t>(bašče),</w:t>
      </w:r>
      <w:r>
        <w:rPr>
          <w:rFonts w:ascii="Times New Roman" w:eastAsia="Times New Roman" w:hAnsi="Times New Roman" w:cs="Times New Roman"/>
          <w:color w:val="000000"/>
          <w:spacing w:val="0"/>
          <w:w w:val="100"/>
          <w:position w:val="0"/>
          <w:shd w:val="clear" w:color="auto" w:fill="auto"/>
          <w:lang w:val="hr-HR" w:eastAsia="hr-HR" w:bidi="hr-HR"/>
        </w:rPr>
        <w:t xml:space="preserve"> ispod kojih teku rije</w:t>
        <w:softHyphen/>
        <w:t xml:space="preserve">ke, u kojima </w:t>
      </w:r>
      <w:r>
        <w:rPr>
          <w:rFonts w:ascii="Times New Roman" w:eastAsia="Times New Roman" w:hAnsi="Times New Roman" w:cs="Times New Roman"/>
          <w:i/>
          <w:iCs/>
          <w:color w:val="000000"/>
          <w:spacing w:val="0"/>
          <w:w w:val="100"/>
          <w:position w:val="0"/>
          <w:shd w:val="clear" w:color="auto" w:fill="auto"/>
          <w:lang w:val="hr-HR" w:eastAsia="hr-HR" w:bidi="hr-HR"/>
        </w:rPr>
        <w:t>(baščama)</w:t>
      </w:r>
      <w:r>
        <w:rPr>
          <w:rFonts w:ascii="Times New Roman" w:eastAsia="Times New Roman" w:hAnsi="Times New Roman" w:cs="Times New Roman"/>
          <w:color w:val="000000"/>
          <w:spacing w:val="0"/>
          <w:w w:val="100"/>
          <w:position w:val="0"/>
          <w:shd w:val="clear" w:color="auto" w:fill="auto"/>
          <w:lang w:val="hr-HR" w:eastAsia="hr-HR" w:bidi="hr-HR"/>
        </w:rPr>
        <w:t xml:space="preserve"> ćete vi vječno ostati!’ To je najveće blaženstvo...« (57,12). - »Bog je obećao vjernicima i vjcrnicama dženet ispod kojih teku rijeke, u kojima </w:t>
      </w:r>
      <w:r>
        <w:rPr>
          <w:rFonts w:ascii="Times New Roman" w:eastAsia="Times New Roman" w:hAnsi="Times New Roman" w:cs="Times New Roman"/>
          <w:i/>
          <w:iCs/>
          <w:color w:val="000000"/>
          <w:spacing w:val="0"/>
          <w:w w:val="100"/>
          <w:position w:val="0"/>
          <w:shd w:val="clear" w:color="auto" w:fill="auto"/>
          <w:lang w:val="hr-HR" w:eastAsia="hr-HR" w:bidi="hr-HR"/>
        </w:rPr>
        <w:t>(dženetskim vrto</w:t>
        <w:softHyphen/>
        <w:t>vima)</w:t>
      </w:r>
      <w:r>
        <w:rPr>
          <w:rFonts w:ascii="Times New Roman" w:eastAsia="Times New Roman" w:hAnsi="Times New Roman" w:cs="Times New Roman"/>
          <w:color w:val="000000"/>
          <w:spacing w:val="0"/>
          <w:w w:val="100"/>
          <w:position w:val="0"/>
          <w:shd w:val="clear" w:color="auto" w:fill="auto"/>
          <w:lang w:val="hr-HR" w:eastAsia="hr-HR" w:bidi="hr-HR"/>
        </w:rPr>
        <w:t xml:space="preserve"> će oni vječno boraviti...« (9,73).</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 je nesporno presudno poboljšao položaj žene u Arabiji. U tome su danas stručnjaci je</w:t>
        <w:softHyphen/>
        <w:t>dinstveni - pa i europski. Ali unatoč potpunoj religioznoj i moralnoj jednakoj vrijednosti, ž. je usprkos i ovdje poduzetim poboljšanjima podređena muškarcu, pri čemu se prikraćiva- njc ublažava barem time što jedino ž. raspo</w:t>
        <w:softHyphen/>
        <w:t>laže svojim imutkom, dok muž treba izvršavati cjelokupnu dužnost uzdržavanja.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Običaji, kao npr. nošenje vela i zaključavanje </w:t>
      </w:r>
      <w:r>
        <w:rPr>
          <w:rFonts w:ascii="Times New Roman" w:eastAsia="Times New Roman" w:hAnsi="Times New Roman" w:cs="Times New Roman"/>
          <w:i/>
          <w:iCs/>
          <w:color w:val="000000"/>
          <w:spacing w:val="0"/>
          <w:w w:val="100"/>
          <w:position w:val="0"/>
          <w:shd w:val="clear" w:color="auto" w:fill="auto"/>
          <w:lang w:val="hr-HR" w:eastAsia="hr-HR" w:bidi="hr-HR"/>
        </w:rPr>
        <w:t>(haram),</w:t>
      </w:r>
      <w:r>
        <w:rPr>
          <w:rFonts w:ascii="Times New Roman" w:eastAsia="Times New Roman" w:hAnsi="Times New Roman" w:cs="Times New Roman"/>
          <w:color w:val="000000"/>
          <w:spacing w:val="0"/>
          <w:w w:val="100"/>
          <w:position w:val="0"/>
          <w:shd w:val="clear" w:color="auto" w:fill="auto"/>
          <w:lang w:val="hr-HR" w:eastAsia="hr-HR" w:bidi="hr-HR"/>
        </w:rPr>
        <w:t xml:space="preserve"> samo su djelomice sankcionirani u islamskome pravu i često su oprečni medu različitim pravnim školama. Ali njihovo je iz</w:t>
        <w:softHyphen/>
        <w:t>vršavanje jednako kao i stvarni položaj i vred</w:t>
        <w:softHyphen/>
        <w:t>novanje žene manje različit od pozitivno-prav- nih propisa nego od povijcsno-kulturne po</w:t>
        <w:softHyphen/>
        <w:t>zadine koja je ovisno o zemlji različita i za ženu često nepovoljnija.</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primjer mogla bi poslužiti u Kuranu do</w:t>
        <w:softHyphen/>
        <w:t>zvoljena poligamija koja islamsko žensko pra</w:t>
        <w:softHyphen/>
        <w:t>vo najhitnije razlikuje od zapadnih pravnih sustava. U suri En-Nisa o tome se kaže (vidi 4.3.4,129): »Ako se bojite da nećete biti pra</w:t>
        <w:softHyphen/>
        <w:t xml:space="preserve">vedni prema siročadi, vjenčavajte žene koje vam se sviđaju po dvije, po tri i po četiri, a ako se budete plašili da </w:t>
      </w:r>
      <w:r>
        <w:rPr>
          <w:rFonts w:ascii="Times New Roman" w:eastAsia="Times New Roman" w:hAnsi="Times New Roman" w:cs="Times New Roman"/>
          <w:i/>
          <w:iCs/>
          <w:color w:val="000000"/>
          <w:spacing w:val="0"/>
          <w:w w:val="100"/>
          <w:position w:val="0"/>
          <w:shd w:val="clear" w:color="auto" w:fill="auto"/>
          <w:lang w:val="hr-HR" w:eastAsia="hr-HR" w:bidi="hr-HR"/>
        </w:rPr>
        <w:t>(im)</w:t>
      </w:r>
      <w:r>
        <w:rPr>
          <w:rFonts w:ascii="Times New Roman" w:eastAsia="Times New Roman" w:hAnsi="Times New Roman" w:cs="Times New Roman"/>
          <w:color w:val="000000"/>
          <w:spacing w:val="0"/>
          <w:w w:val="100"/>
          <w:position w:val="0"/>
          <w:shd w:val="clear" w:color="auto" w:fill="auto"/>
          <w:lang w:val="hr-HR" w:eastAsia="hr-HR" w:bidi="hr-HR"/>
        </w:rPr>
        <w:t xml:space="preserve"> nećete biti pravedni, </w:t>
      </w:r>
      <w:r>
        <w:rPr>
          <w:rFonts w:ascii="Times New Roman" w:eastAsia="Times New Roman" w:hAnsi="Times New Roman" w:cs="Times New Roman"/>
          <w:i/>
          <w:iCs/>
          <w:color w:val="000000"/>
          <w:spacing w:val="0"/>
          <w:w w:val="100"/>
          <w:position w:val="0"/>
          <w:shd w:val="clear" w:color="auto" w:fill="auto"/>
          <w:lang w:val="hr-HR" w:eastAsia="hr-HR" w:bidi="hr-HR"/>
        </w:rPr>
        <w:t>(tada vjenčavajte samo)</w:t>
      </w:r>
      <w:r>
        <w:rPr>
          <w:rFonts w:ascii="Times New Roman" w:eastAsia="Times New Roman" w:hAnsi="Times New Roman" w:cs="Times New Roman"/>
          <w:color w:val="000000"/>
          <w:spacing w:val="0"/>
          <w:w w:val="100"/>
          <w:position w:val="0"/>
          <w:shd w:val="clear" w:color="auto" w:fill="auto"/>
          <w:lang w:val="hr-HR" w:eastAsia="hr-HR" w:bidi="hr-HR"/>
        </w:rPr>
        <w:t xml:space="preserve"> jednu...«; »Vi niste u stanju pravedno postupati među ženama. Za</w:t>
        <w:softHyphen/>
        <w:t xml:space="preserve">to ne budite potpuno skloni </w:t>
      </w:r>
      <w:r>
        <w:rPr>
          <w:rFonts w:ascii="Times New Roman" w:eastAsia="Times New Roman" w:hAnsi="Times New Roman" w:cs="Times New Roman"/>
          <w:i/>
          <w:iCs/>
          <w:color w:val="000000"/>
          <w:spacing w:val="0"/>
          <w:w w:val="100"/>
          <w:position w:val="0"/>
          <w:shd w:val="clear" w:color="auto" w:fill="auto"/>
          <w:lang w:val="hr-HR" w:eastAsia="hr-HR" w:bidi="hr-HR"/>
        </w:rPr>
        <w:t>(jednoj od svojih žena),</w:t>
      </w:r>
      <w:r>
        <w:rPr>
          <w:rFonts w:ascii="Times New Roman" w:eastAsia="Times New Roman" w:hAnsi="Times New Roman" w:cs="Times New Roman"/>
          <w:color w:val="000000"/>
          <w:spacing w:val="0"/>
          <w:w w:val="100"/>
          <w:position w:val="0"/>
          <w:shd w:val="clear" w:color="auto" w:fill="auto"/>
          <w:lang w:val="hr-HR" w:eastAsia="hr-HR" w:bidi="hr-HR"/>
        </w:rPr>
        <w:t xml:space="preserve"> a da ostavite zanemarenu </w:t>
      </w:r>
      <w:r>
        <w:rPr>
          <w:rFonts w:ascii="Times New Roman" w:eastAsia="Times New Roman" w:hAnsi="Times New Roman" w:cs="Times New Roman"/>
          <w:i/>
          <w:iCs/>
          <w:color w:val="000000"/>
          <w:spacing w:val="0"/>
          <w:w w:val="100"/>
          <w:position w:val="0"/>
          <w:shd w:val="clear" w:color="auto" w:fill="auto"/>
          <w:lang w:val="hr-HR" w:eastAsia="hr-HR" w:bidi="hr-HR"/>
        </w:rPr>
        <w:t>(drugu svoju ženu)«.</w:t>
      </w:r>
      <w:r>
        <w:rPr>
          <w:rFonts w:ascii="Times New Roman" w:eastAsia="Times New Roman" w:hAnsi="Times New Roman" w:cs="Times New Roman"/>
          <w:color w:val="000000"/>
          <w:spacing w:val="0"/>
          <w:w w:val="100"/>
          <w:position w:val="0"/>
          <w:shd w:val="clear" w:color="auto" w:fill="auto"/>
          <w:lang w:val="hr-HR" w:eastAsia="hr-HR" w:bidi="hr-HR"/>
        </w:rPr>
        <w:t xml:space="preserve"> Jasno je da ovdje izrečena dopustivost poligamije nije nikakva stvar samovolje, nego da ona treba biti iznimka. K tomu se ne može i ne smije previdjeti da je ovaj odsječak iz Ku</w:t>
        <w:softHyphen/>
        <w:t>rana morao stoljećima biti zadržan kao zgo</w:t>
        <w:softHyphen/>
        <w:t>dan alibi i da je postao jednim, premda tako</w:t>
        <w:softHyphen/>
        <w:t>đer dragocjenim običajnim pravom feudalno ustrojenoga, patrijarhalnog društva.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Ipak sc može ustvrditi; Kuran dozvoljava po- ligamiju, ali je ograničuje. On je povrh toga ograničuje ne samo što se tiče broja žena, ne</w:t>
        <w:softHyphen/>
        <w:t>go i sa zahtjevima koje veže za iznimku. Tako se glava obitelji mora brinuti za to da sve nje</w:t>
        <w:softHyphen/>
        <w:t>gove supruge dobiju jednako korektne život</w:t>
        <w:softHyphen/>
        <w:t>ne uvjete i jednaku naklonost. Ti su zahtjevi praktično ispunjivi. Marokanski političar i muslimanski učenjak "Allal as-FasTjc jednom samokritično primijetio: »Dopuštanjc poliga</w:t>
        <w:softHyphen/>
        <w:t>mije vezano je za uvjet jednakosti i praved</w:t>
        <w:softHyphen/>
        <w:t>nosti koji se danas praktično ne može ispuniti. Stoga je krajnje vrijeme za njegovo ukidanje, posebice zato što ta ustanova našim neprija</w:t>
        <w:softHyphen/>
        <w:t>teljima također često služi kao paravan za na- padanjc islama«. Kao što je uvodno spome</w:t>
        <w:softHyphen/>
        <w:t xml:space="preserve">nuto, ta teza nije nova. </w:t>
      </w:r>
      <w:r>
        <w:rPr>
          <w:rFonts w:ascii="Times New Roman" w:eastAsia="Times New Roman" w:hAnsi="Times New Roman" w:cs="Times New Roman"/>
          <w:color w:val="000000"/>
          <w:spacing w:val="0"/>
          <w:w w:val="100"/>
          <w:position w:val="0"/>
          <w:shd w:val="clear" w:color="auto" w:fill="auto"/>
          <w:lang w:val="en-US" w:eastAsia="en-US" w:bidi="en-US"/>
        </w:rPr>
        <w:t xml:space="preserve">Muhammad </w:t>
      </w:r>
      <w:r>
        <w:rPr>
          <w:rFonts w:ascii="Times New Roman" w:eastAsia="Times New Roman" w:hAnsi="Times New Roman" w:cs="Times New Roman"/>
          <w:color w:val="000000"/>
          <w:spacing w:val="0"/>
          <w:w w:val="100"/>
          <w:position w:val="0"/>
          <w:shd w:val="clear" w:color="auto" w:fill="auto"/>
          <w:lang w:val="hr-HR" w:eastAsia="hr-HR" w:bidi="hr-HR"/>
        </w:rPr>
        <w:t>‘Abduh čak polazi od toga da upitni odsječak Kurana u En-Nisi ne samo podvrgava poligamiju ne</w:t>
        <w:softHyphen/>
        <w:t>kom izvanjskom ograničenju, nego da bi se iz poretka teksta naprotiv moglo zaključiti kako u njemu sadržani »neispunjivi uvjeti predstav</w:t>
        <w:softHyphen/>
        <w:t>ljaju u neku ruku zabranu mnogoženstva«.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Poligamija sc danas sve rjeđe susreće, ona je shvaćena u izumiranju i kao institucija jedva da još uživa neki ugled. Ona se još uvijek sus</w:t>
        <w:softHyphen/>
        <w:t>reće u društvima feudalnoga tipa koja sc više ili manje odlikuju nomadskim životom. Prem</w:t>
        <w:softHyphen/>
        <w:t>da nije izravno zabranjena - s iznimkom Tur</w:t>
        <w:softHyphen/>
        <w:t>ske, Tunisa i Sirije -, ona se ipak gotovo u pot</w:t>
        <w:softHyphen/>
        <w:t>punosti napušta. Poznata muslimanska prav</w:t>
        <w:softHyphen/>
        <w:t xml:space="preserve">nica s područja ženskoga prava Zain </w:t>
      </w:r>
      <w:r>
        <w:rPr>
          <w:rFonts w:ascii="Times New Roman" w:eastAsia="Times New Roman" w:hAnsi="Times New Roman" w:cs="Times New Roman"/>
          <w:color w:val="000000"/>
          <w:spacing w:val="0"/>
          <w:w w:val="100"/>
          <w:position w:val="0"/>
          <w:shd w:val="clear" w:color="auto" w:fill="auto"/>
          <w:lang w:val="en-US" w:eastAsia="en-US" w:bidi="en-US"/>
        </w:rPr>
        <w:t xml:space="preserve">Fateh </w:t>
      </w:r>
      <w:r>
        <w:rPr>
          <w:rFonts w:ascii="Times New Roman" w:eastAsia="Times New Roman" w:hAnsi="Times New Roman" w:cs="Times New Roman"/>
          <w:color w:val="000000"/>
          <w:spacing w:val="0"/>
          <w:w w:val="100"/>
          <w:position w:val="0"/>
          <w:shd w:val="clear" w:color="auto" w:fill="auto"/>
          <w:lang w:val="hr-HR" w:eastAsia="hr-HR" w:bidi="hr-HR"/>
        </w:rPr>
        <w:t>ukazuje uostalom na to da bi se svaka ž. mog</w:t>
        <w:softHyphen/>
        <w:t>la zaštiti od mnogoženstva pomoću odgovara</w:t>
        <w:softHyphen/>
        <w:t>juće klauzule u bračnome ugovoru. Budući da se povrh toga nijedna ž. ne može prisiliti na brak, čitav taj kompleks bez daljnjega ovisi o njezinoj suglasnosti.</w:t>
      </w:r>
    </w:p>
    <w:p>
      <w:pPr>
        <w:pStyle w:val="Style20"/>
        <w:keepNext w:val="0"/>
        <w:keepLines w:val="0"/>
        <w:widowControl w:val="0"/>
        <w:shd w:val="clear" w:color="auto" w:fill="auto"/>
        <w:bidi w:val="0"/>
        <w:spacing w:before="0" w:after="0"/>
        <w:ind w:left="0" w:right="0" w:firstLine="0"/>
        <w:jc w:val="both"/>
        <w:sectPr>
          <w:headerReference w:type="default" r:id="rId1713"/>
          <w:footerReference w:type="default" r:id="rId1714"/>
          <w:headerReference w:type="even" r:id="rId1715"/>
          <w:footerReference w:type="even" r:id="rId1716"/>
          <w:footnotePr>
            <w:pos w:val="pageBottom"/>
            <w:numFmt w:val="decimal"/>
            <w:numRestart w:val="continuous"/>
            <w15:footnoteColumns w:val="1"/>
          </w:footnotePr>
          <w:pgSz w:w="6816" w:h="11006"/>
          <w:pgMar w:top="965" w:left="194" w:right="199" w:bottom="537" w:header="0" w:footer="3" w:gutter="0"/>
          <w:pgNumType w:start="558"/>
          <w:cols w:num="2" w:space="18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mnogim islamskim zemljama ta je dužnost suglasnosti u međuvremenu zakonski uteme</w:t>
        <w:softHyphen/>
        <w:t>ljena. U drugim regijama ipak je još uvijek tako da žene ne koriste postojeće zakonske mogućnosti i u praksi sc ne očituju o tome, slažu li se ili ne slažu s mnogoženstvom. Odlu</w:t>
        <w:softHyphen/>
        <w:t>ku o tome one »velikodušno« prepuštaju svo</w:t>
        <w:softHyphen/>
        <w:t>jim roditeljima, odnosno mužu. Zain Fatch kaže: »Važno je da svaka ž. poznaje svoja pra</w:t>
        <w:softHyphen/>
        <w:t xml:space="preserve">va koja su joj zajamčena Kuranom, jer onaj tko ne poznaje svoja prava i dužnosti, ne može ih ni koristiti. Izučavanje, interpretacija i ukazivanje na ta prava kao i njihovo ispravno korištenje predstavljaju, dakle, svakako zadaću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muslimanskih žena kao što je njihovo uvaža</w:t>
        <w:softHyphen/>
        <w:t>vanje zadaća muškaraca«.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pojašnjenje onoga stoje ovdje kazano htio bih navesti citat iz jednoga pravnog mišljenja koje je na zahtjev muslimanske zajednice u Austriji 18. prosinca 1972. pripravio vladin ured za religijska pitanja Republike Turske. U njemu se kaže: »Podloga bračno-pravnih odnosa između muškarca i žene prema islam</w:t>
        <w:softHyphen/>
        <w:t>skomu nauku je brak s jednom ženom. Po- ligamna sklapanja braka ne oslanjaju se ni na kakve zapovijedi koje bi se možda trebale iz</w:t>
        <w:softHyphen/>
        <w:t>vršavati. Ovdje, naprotiv, postoji dozvola ili oslobađanje od norme koje je ograničeno za iznimne slučajeve. Kako bi musliman dobio takvu dozvolu on mora dokazati da je u stanju pravedno postupati sa suprugama. Budući da je ispunjenje te pretpostavke teško, Kuran časni je preporučio da se muškarci zadovolje jednom ženom (Sura ‘Žene’, 3).</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Sukladno tom načelu, u slučaju ncispunjava- nja zapovijedi pravednosti nije više dopustiv brak s više žena. Časni Božji poslanik Mu</w:t>
        <w:softHyphen/>
        <w:t>hamed je opominjao: ‘Ako čovjek ima dvije žene, od kojih jednoj daje prednost, on će on</w:t>
        <w:softHyphen/>
        <w:t>da na dan strašnoga suda uskrsnuti s jedne strane osakaćen.’ Naši pravni učenjaci nauča</w:t>
        <w:softHyphen/>
        <w:t>vaju da čovjek koji ostaje u braku s jednom ženom kako je ne bi učinio bolesnom nedvoj</w:t>
        <w:softHyphen/>
        <w:t>beno čini bogougodno djelo. Oni su jasno rek</w:t>
        <w:softHyphen/>
        <w:t>li da je za muslimana bolje i korisnije da nika</w:t>
        <w:softHyphen/>
        <w:t>ko ne koristi postojeću dozvolu za mnogožen- stvo nego daje zahtijeva. Baš zato se u gotovo 99% muslimanskoj Turskoj i u nekim drugim islamskim zemljama prakticira jednoženstvo - uz uvažavanje spomenutoga momenta«.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ženu je posebice diskriminirajuća praksa razvoda. Doduše, prorok Muhamed je razjas</w:t>
        <w:softHyphen/>
        <w:t>nio da se »od dozvoljenih stvari najviše treba gnušati rastave od Boga« - u stvari, religiozno gledano, brak je sveti savez koji postavlja vi</w:t>
        <w:softHyphen/>
        <w:t>soke moralne zahtjeve -, no to se u pravu iz</w:t>
        <w:softHyphen/>
        <w:t xml:space="preserve">ražava krajnje nepotpuno zato što je bračni ugovor normalan gradansko-pravni ugovor, tako da se brak, pravno gledano, sklapa bez sudjelovanja nadređene instancije, zapravo na temelju ponude i prihvaćanja uz nazočnost dva svjedoka. Svršetak braka nastupa: I. </w:t>
      </w:r>
      <w:r>
        <w:rPr>
          <w:rFonts w:ascii="Times New Roman" w:eastAsia="Times New Roman" w:hAnsi="Times New Roman" w:cs="Times New Roman"/>
          <w:i/>
          <w:iCs/>
          <w:color w:val="000000"/>
          <w:spacing w:val="0"/>
          <w:w w:val="100"/>
          <w:position w:val="0"/>
          <w:shd w:val="clear" w:color="auto" w:fill="auto"/>
          <w:lang w:val="hr-HR" w:eastAsia="hr-HR" w:bidi="hr-HR"/>
        </w:rPr>
        <w:t>nužno'.</w:t>
      </w:r>
      <w:r>
        <w:rPr>
          <w:rFonts w:ascii="Times New Roman" w:eastAsia="Times New Roman" w:hAnsi="Times New Roman" w:cs="Times New Roman"/>
          <w:color w:val="000000"/>
          <w:spacing w:val="0"/>
          <w:w w:val="100"/>
          <w:position w:val="0"/>
          <w:shd w:val="clear" w:color="auto" w:fill="auto"/>
          <w:lang w:val="hr-HR" w:eastAsia="hr-HR" w:bidi="hr-HR"/>
        </w:rPr>
        <w:t xml:space="preserve"> 1. zbog smrti, 2. zbog otpadništva supružnika od islama; II. u slučaju </w:t>
      </w:r>
      <w:r>
        <w:rPr>
          <w:rFonts w:ascii="Times New Roman" w:eastAsia="Times New Roman" w:hAnsi="Times New Roman" w:cs="Times New Roman"/>
          <w:i/>
          <w:iCs/>
          <w:color w:val="000000"/>
          <w:spacing w:val="0"/>
          <w:w w:val="100"/>
          <w:position w:val="0"/>
          <w:shd w:val="clear" w:color="auto" w:fill="auto"/>
          <w:lang w:val="hr-HR" w:eastAsia="hr-HR" w:bidi="hr-HR"/>
        </w:rPr>
        <w:t>pogrešnih</w:t>
      </w:r>
      <w:r>
        <w:rPr>
          <w:rFonts w:ascii="Times New Roman" w:eastAsia="Times New Roman" w:hAnsi="Times New Roman" w:cs="Times New Roman"/>
          <w:color w:val="000000"/>
          <w:spacing w:val="0"/>
          <w:w w:val="100"/>
          <w:position w:val="0"/>
          <w:shd w:val="clear" w:color="auto" w:fill="auto"/>
          <w:lang w:val="hr-HR" w:eastAsia="hr-HR" w:bidi="hr-HR"/>
        </w:rPr>
        <w:t xml:space="preserve"> brakova jedno</w:t>
        <w:softHyphen/>
        <w:t>stavnim otkazivanjem ili sudskim ukidanjem;</w:t>
      </w:r>
    </w:p>
    <w:p>
      <w:pPr>
        <w:pStyle w:val="Style20"/>
        <w:keepNext w:val="0"/>
        <w:keepLines w:val="0"/>
        <w:widowControl w:val="0"/>
        <w:numPr>
          <w:ilvl w:val="0"/>
          <w:numId w:val="671"/>
        </w:numPr>
        <w:shd w:val="clear" w:color="auto" w:fill="auto"/>
        <w:tabs>
          <w:tab w:pos="337"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zbog </w:t>
      </w:r>
      <w:r>
        <w:rPr>
          <w:rFonts w:ascii="Times New Roman" w:eastAsia="Times New Roman" w:hAnsi="Times New Roman" w:cs="Times New Roman"/>
          <w:i/>
          <w:iCs/>
          <w:color w:val="000000"/>
          <w:spacing w:val="0"/>
          <w:w w:val="100"/>
          <w:position w:val="0"/>
          <w:shd w:val="clear" w:color="auto" w:fill="auto"/>
          <w:lang w:val="hr-HR" w:eastAsia="hr-HR" w:bidi="hr-HR"/>
        </w:rPr>
        <w:t>sudskoga</w:t>
      </w:r>
      <w:r>
        <w:rPr>
          <w:rFonts w:ascii="Times New Roman" w:eastAsia="Times New Roman" w:hAnsi="Times New Roman" w:cs="Times New Roman"/>
          <w:color w:val="000000"/>
          <w:spacing w:val="0"/>
          <w:w w:val="100"/>
          <w:position w:val="0"/>
          <w:shd w:val="clear" w:color="auto" w:fill="auto"/>
          <w:lang w:val="hr-HR" w:eastAsia="hr-HR" w:bidi="hr-HR"/>
        </w:rPr>
        <w:t xml:space="preserve"> ukinuća na zahtjev žene </w:t>
      </w:r>
      <w:r>
        <w:rPr>
          <w:rFonts w:ascii="Times New Roman" w:eastAsia="Times New Roman" w:hAnsi="Times New Roman" w:cs="Times New Roman"/>
          <w:color w:val="000000"/>
          <w:spacing w:val="0"/>
          <w:w w:val="100"/>
          <w:position w:val="0"/>
          <w:shd w:val="clear" w:color="auto" w:fill="auto"/>
          <w:lang w:val="hr-HR" w:eastAsia="hr-HR" w:bidi="hr-HR"/>
        </w:rPr>
        <w:t>kada se muž 1. ne pojavljuje dulje od godinu dana, 2. kada se ogrješuje o svoju dužnost uz</w:t>
        <w:softHyphen/>
        <w:t>državanja, 3. kada je osuđen na dugogodišnju zatvorsku kaznu, 4. ako je impotentan, duhov</w:t>
        <w:softHyphen/>
        <w:t>no bolestan ili kada je obolio od gube, neke teške spolne bolesti i kada je 5. okrutan pre</w:t>
        <w:softHyphen/>
        <w:t>ma svojoj ženi. Pri tom se mora primijetiti da se pravne škole u tome razilaze. Ukidanje bra</w:t>
        <w:softHyphen/>
        <w:t>ka može također uslijediti kada se suprug za- kune da je njegova ž. počinila brakolomstvo; zakune li se supruga da to nije počinila, sudac rastavlja brak. Rastava se braka može jednako tako učiniti i sporazumno i u slučaju jedno</w:t>
        <w:softHyphen/>
        <w:t xml:space="preserve">stranoga nevjerstva supruga </w:t>
      </w:r>
      <w:r>
        <w:rPr>
          <w:rFonts w:ascii="Times New Roman" w:eastAsia="Times New Roman" w:hAnsi="Times New Roman" w:cs="Times New Roman"/>
          <w:i/>
          <w:iCs/>
          <w:color w:val="000000"/>
          <w:spacing w:val="0"/>
          <w:w w:val="100"/>
          <w:position w:val="0"/>
          <w:shd w:val="clear" w:color="auto" w:fill="auto"/>
          <w:lang w:val="hr-HR" w:eastAsia="hr-HR" w:bidi="hr-HR"/>
        </w:rPr>
        <w:t>(letak: talac/).</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Doduše, islam nastoji ograničiti vršenje telaka i kao pretpostavku zahtijeva snažnu međusob</w:t>
        <w:softHyphen/>
        <w:t>nu odbojnost, razborito djelovanje i odricanje od toga da se nevjerstvo koristi kao sredstvo pritiska, no ogrješenja o te norme važe samo kao grijesi i ne umanjuju gradansko-pravnu valjanost, tako da se u konačnici nevjerstvo može izreći uvijek i štoviše bez navođenja raz</w:t>
        <w:softHyphen/>
        <w:t>loga. U novije se vrijeme barem u Iraku ne</w:t>
        <w:softHyphen/>
        <w:t>vjerstvo mora obrazložiti pred redovnim su</w:t>
        <w:softHyphen/>
        <w:t>dom. Tada sudac odlučuje, je li ono pravno učinkovito. Narednu je novinu u području is</w:t>
        <w:softHyphen/>
        <w:t xml:space="preserve">lamskoga obiteljskog prava sa sobom donijelo prakticiranje </w:t>
      </w:r>
      <w:r>
        <w:rPr>
          <w:rFonts w:ascii="Times New Roman" w:eastAsia="Times New Roman" w:hAnsi="Times New Roman" w:cs="Times New Roman"/>
          <w:i/>
          <w:iCs/>
          <w:color w:val="000000"/>
          <w:spacing w:val="0"/>
          <w:w w:val="100"/>
          <w:position w:val="0"/>
          <w:shd w:val="clear" w:color="auto" w:fill="auto"/>
          <w:lang w:val="hr-HR" w:eastAsia="hr-HR" w:bidi="hr-HR"/>
        </w:rPr>
        <w:t>tefvida (tafcvld).</w:t>
      </w:r>
      <w:r>
        <w:rPr>
          <w:rFonts w:ascii="Times New Roman" w:eastAsia="Times New Roman" w:hAnsi="Times New Roman" w:cs="Times New Roman"/>
          <w:color w:val="000000"/>
          <w:spacing w:val="0"/>
          <w:w w:val="100"/>
          <w:position w:val="0"/>
          <w:shd w:val="clear" w:color="auto" w:fill="auto"/>
          <w:lang w:val="hr-HR" w:eastAsia="hr-HR" w:bidi="hr-HR"/>
        </w:rPr>
        <w:t xml:space="preserve"> Tefvid označuje čin kojim suprug opunomoćuje svoju suprugu da uvijek može iskazati svoje vlastito nevjer</w:t>
        <w:softHyphen/>
        <w:t>stvo i da time može zahtijevati rastavu braka. S tom interpretacijom na temelju pravnih tek</w:t>
        <w:softHyphen/>
        <w:t>stova, koja je razvijena u zadnje vrijeme, ženi se jamči ista mogućnost rastave braka koja je ranije bila jedino u nadležnosti muža. Prihva</w:t>
        <w:softHyphen/>
        <w:t>ćanje takve klauzule u bračnome ugovoru da</w:t>
        <w:softHyphen/>
        <w:t>nas se uvelike koristi posebice u naprednim krugovima.</w:t>
      </w:r>
    </w:p>
    <w:p>
      <w:pPr>
        <w:pStyle w:val="Style20"/>
        <w:keepNext w:val="0"/>
        <w:keepLines w:val="0"/>
        <w:widowControl w:val="0"/>
        <w:shd w:val="clear" w:color="auto" w:fill="auto"/>
        <w:bidi w:val="0"/>
        <w:spacing w:before="0" w:after="0"/>
        <w:ind w:left="0" w:right="0" w:firstLine="0"/>
        <w:jc w:val="both"/>
        <w:sectPr>
          <w:headerReference w:type="default" r:id="rId1717"/>
          <w:footerReference w:type="default" r:id="rId1718"/>
          <w:headerReference w:type="even" r:id="rId1719"/>
          <w:footerReference w:type="even" r:id="rId1720"/>
          <w:footnotePr>
            <w:pos w:val="pageBottom"/>
            <w:numFmt w:val="decimal"/>
            <w:numRestart w:val="continuous"/>
            <w15:footnoteColumns w:val="1"/>
          </w:footnotePr>
          <w:pgSz w:w="6816" w:h="11006"/>
          <w:pgMar w:top="965" w:left="194" w:right="199" w:bottom="537" w:header="0" w:footer="109" w:gutter="0"/>
          <w:pgNumType w:start="563"/>
          <w:cols w:num="2" w:space="18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Pokreti za ostvarenje ženskih prava, koji su nastali početkom islamske renesanse krajem XIX. stoljeća, prije svega u Egiptu a kasnije i u Magrcbu, u to su se vrijeme prvenstveno bo</w:t>
        <w:softHyphen/>
        <w:t>rili za skončavanje starateljstva nad ženama, za njihovu sposobnost samorazvoja i za ko</w:t>
        <w:softHyphen/>
        <w:t xml:space="preserve">načno ukidanje prisile nošenja vela koja još uvijek postoji u nekim zemljama. Starateljstvo nađ ženama ne oslanja se toliko na kuranske zakone, nego se pritom radi o pravorijeku koji su uvele neke pravne škole, a koji je učvršćen čisto izvanislamskim običajima i navikama. Takav je npr. slučaj s ozloglašenim </w:t>
      </w:r>
      <w:r>
        <w:rPr>
          <w:rFonts w:ascii="Times New Roman" w:eastAsia="Times New Roman" w:hAnsi="Times New Roman" w:cs="Times New Roman"/>
          <w:i/>
          <w:iCs/>
          <w:color w:val="000000"/>
          <w:spacing w:val="0"/>
          <w:w w:val="100"/>
          <w:position w:val="0"/>
          <w:shd w:val="clear" w:color="auto" w:fill="auto"/>
          <w:lang w:val="hr-HR" w:eastAsia="hr-HR" w:bidi="hr-HR"/>
        </w:rPr>
        <w:t>džebarit- skini</w:t>
      </w:r>
      <w:r>
        <w:rPr>
          <w:rFonts w:ascii="Times New Roman" w:eastAsia="Times New Roman" w:hAnsi="Times New Roman" w:cs="Times New Roman"/>
          <w:color w:val="000000"/>
          <w:spacing w:val="0"/>
          <w:w w:val="100"/>
          <w:position w:val="0"/>
          <w:shd w:val="clear" w:color="auto" w:fill="auto"/>
          <w:lang w:val="hr-HR" w:eastAsia="hr-HR" w:bidi="hr-HR"/>
        </w:rPr>
        <w:t xml:space="preserve"> pravom koji na oca ili skrbnika prenosi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sve punomoći prilikom udaje kćeri, zapravo mu ćak dozvoljava da je uda protiv njezine volje. To nije izvorno sadržano u </w:t>
      </w:r>
      <w:r>
        <w:rPr>
          <w:rFonts w:ascii="Times New Roman" w:eastAsia="Times New Roman" w:hAnsi="Times New Roman" w:cs="Times New Roman"/>
          <w:i/>
          <w:iCs/>
          <w:color w:val="000000"/>
          <w:spacing w:val="0"/>
          <w:w w:val="100"/>
          <w:position w:val="0"/>
          <w:shd w:val="clear" w:color="auto" w:fill="auto"/>
          <w:lang w:val="hr-HR" w:eastAsia="hr-HR" w:bidi="hr-HR"/>
        </w:rPr>
        <w:t>fikhu</w:t>
      </w:r>
      <w:r>
        <w:rPr>
          <w:rFonts w:ascii="Times New Roman" w:eastAsia="Times New Roman" w:hAnsi="Times New Roman" w:cs="Times New Roman"/>
          <w:color w:val="000000"/>
          <w:spacing w:val="0"/>
          <w:w w:val="100"/>
          <w:position w:val="0"/>
          <w:shd w:val="clear" w:color="auto" w:fill="auto"/>
          <w:lang w:val="hr-HR" w:eastAsia="hr-HR" w:bidi="hr-HR"/>
        </w:rPr>
        <w:t xml:space="preserve"> (ku- ranska pravna znanost). Moderno bi zakono</w:t>
        <w:softHyphen/>
        <w:t>davstvo bez daljnjega moglo zajamćiti ženama pravo slobodnog izbora, posebice zato što to zahtijeva Kuran. U tradicionalnom musliman</w:t>
        <w:softHyphen/>
        <w:t>skom društvu ulogu igra samo muškarac - ba</w:t>
        <w:softHyphen/>
        <w:t xml:space="preserve">rem izvanjski. Izolirana u ženskoj odaji, ž. - osim u određenim prigodama - dolazi u dodir samo s pripadnicama svojega spola. Iz toga se razvio običaj da ženu pred sudbenim stolom </w:t>
      </w:r>
      <w:r>
        <w:rPr>
          <w:rFonts w:ascii="Times New Roman" w:eastAsia="Times New Roman" w:hAnsi="Times New Roman" w:cs="Times New Roman"/>
          <w:i/>
          <w:iCs/>
          <w:color w:val="000000"/>
          <w:spacing w:val="0"/>
          <w:w w:val="100"/>
          <w:position w:val="0"/>
          <w:shd w:val="clear" w:color="auto" w:fill="auto"/>
          <w:lang w:val="hr-HR" w:eastAsia="hr-HR" w:bidi="hr-HR"/>
        </w:rPr>
        <w:t>kadije (qađi)</w:t>
      </w:r>
      <w:r>
        <w:rPr>
          <w:rFonts w:ascii="Times New Roman" w:eastAsia="Times New Roman" w:hAnsi="Times New Roman" w:cs="Times New Roman"/>
          <w:color w:val="000000"/>
          <w:spacing w:val="0"/>
          <w:w w:val="100"/>
          <w:position w:val="0"/>
          <w:shd w:val="clear" w:color="auto" w:fill="auto"/>
          <w:lang w:val="hr-HR" w:eastAsia="hr-HR" w:bidi="hr-HR"/>
        </w:rPr>
        <w:t xml:space="preserve"> uvijek zastupa </w:t>
      </w:r>
      <w:r>
        <w:rPr>
          <w:rFonts w:ascii="Times New Roman" w:eastAsia="Times New Roman" w:hAnsi="Times New Roman" w:cs="Times New Roman"/>
          <w:i/>
          <w:iCs/>
          <w:color w:val="000000"/>
          <w:spacing w:val="0"/>
          <w:w w:val="100"/>
          <w:position w:val="0"/>
          <w:shd w:val="clear" w:color="auto" w:fill="auto"/>
          <w:lang w:val="en-US" w:eastAsia="en-US" w:bidi="en-US"/>
        </w:rPr>
        <w:t>vekil (wakil'j,</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»po- slovodni starješina«, bilo da se radi o rastavi braka, o sklapanju braka ili o nekom drugom procesu. Današnjoj ženi to naravno otežava zadržavanje prava slobodnog izbora. Ipak se može zamijetiti da se vremenom, sve dok pot</w:t>
        <w:softHyphen/>
        <w:t>puno ne nestanu, obično brišu takva pravila koja su zasnovana samo na starim običajima i koja su kao takva pravno potvrđena; najprije u gradskim područjima a kasnije, premda bes</w:t>
        <w:softHyphen/>
        <w:t>krajno sporije, i u seoskom društvu. U jednom odsječku Kuran propisuje prorokovim žena</w:t>
        <w:softHyphen/>
        <w:t>ma pokrivanje »zbog čuvanja dostojanstva«. No pritom se ne govori o pokrivanju lica. Da</w:t>
        <w:softHyphen/>
        <w:t>nas se u masovnim medijima uvijek iznova na</w:t>
        <w:softHyphen/>
        <w:t>bacuje i raspravlja pitanje o pokrivanju lica. Većina modernih muslimanskih žena preko tiska, radija, narodnoga kazališta i filma, po</w:t>
        <w:softHyphen/>
        <w:t>ziva ženski dio stanovništva da slobodnije su</w:t>
        <w:softHyphen/>
        <w:t>djeluje u društvenome životu. A odbacivanje vela već važi kao znak početne slobode. Mus</w:t>
        <w:softHyphen/>
        <w:t>limanska ž. osjeća se štoviše pozvanom da po</w:t>
        <w:softHyphen/>
        <w:t>stane svjesna svoje uloge kao supruge i majke u kući, da više ne strahuje od učenja i obav</w:t>
        <w:softHyphen/>
        <w:t>ljanja nekoga poziva i da sudjeluje u državnoj politici. Naravno, u tim se okolnostima sve više učvršćuje načelo ravnopravne izobrazbe za ženu i muškarca. Više nisu nikakva rijet</w:t>
        <w:softHyphen/>
        <w:t>kost žene kao odvjetnice, sutkinje, liječnice, učiteljice, njegovateljice, tvorničke radnice i uredske namještenice. U Egiptu, Sudanu, Ira</w:t>
        <w:softHyphen/>
        <w:t>ku i Siriji žene obnašaju ministarske dužnosti, one su državne tajnice i diplomatkinje. Tek je 1976. po prvi puta u povijesti islamskoga svi</w:t>
        <w:softHyphen/>
        <w:t>jeta jedna ž. imenovana profesoricom islam</w:t>
        <w:softHyphen/>
        <w:t>skoga prava i čak je dobila poziv na katedru Sveučilišta El-Ashar (Al-Azhar), svjetskoga središta islama. Nasuprot tomu, svakako da se kao napredak manje može označiti uzimanje žena u vojnu službu.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obzirom na sasvim pozitivne razvojne ten</w:t>
        <w:softHyphen/>
        <w:t>dencije, koje su usmjerene na historijske uzore, ne bi se trebalo zapasti u iluziju da bi musli</w:t>
        <w:softHyphen/>
        <w:t>manske žene težile emancipaciji po europ</w:t>
        <w:softHyphen/>
        <w:t>skom ili sjevernoameričkom uzoru. Zastupa</w:t>
        <w:softHyphen/>
        <w:t xml:space="preserve">jući pripadnice svojega spola Zain </w:t>
      </w:r>
      <w:r>
        <w:rPr>
          <w:rFonts w:ascii="Times New Roman" w:eastAsia="Times New Roman" w:hAnsi="Times New Roman" w:cs="Times New Roman"/>
          <w:color w:val="000000"/>
          <w:spacing w:val="0"/>
          <w:w w:val="100"/>
          <w:position w:val="0"/>
          <w:shd w:val="clear" w:color="auto" w:fill="auto"/>
          <w:lang w:val="en-US" w:eastAsia="en-US" w:bidi="en-US"/>
        </w:rPr>
        <w:t xml:space="preserve">Fetch </w:t>
      </w:r>
      <w:r>
        <w:rPr>
          <w:rFonts w:ascii="Times New Roman" w:eastAsia="Times New Roman" w:hAnsi="Times New Roman" w:cs="Times New Roman"/>
          <w:color w:val="000000"/>
          <w:spacing w:val="0"/>
          <w:w w:val="100"/>
          <w:position w:val="0"/>
          <w:shd w:val="clear" w:color="auto" w:fill="auto"/>
          <w:lang w:val="hr-HR" w:eastAsia="hr-HR" w:bidi="hr-HR"/>
        </w:rPr>
        <w:t>je objasnila da muslimanska ž. u »borbi za rav</w:t>
        <w:softHyphen/>
        <w:t>nopravnost po zapadnome uzoru ne bi mogla vidjeti nikakvu životnu zadaću«.</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Najveća prepreka na putu do te »ravnoprav</w:t>
        <w:softHyphen/>
        <w:t>nosti uz razdvojene zadaće« po općim je za</w:t>
        <w:softHyphen/>
        <w:t>pažanjima institucija velike obitelji, u kojoj su se na islamskom Istoku konzervirali zadnji ostaci staroga matrijarhata. Otuda dolazi naj</w:t>
        <w:softHyphen/>
        <w:t>žešći otpor svim novinama. Starija generacija žena, koja živi u velikim obiteljima i koja u svakom emancipacijskom napretku vidi odba</w:t>
        <w:softHyphen/>
        <w:t>civanje religioznih običaja, strahuje od uništa</w:t>
        <w:softHyphen/>
        <w:t>vanja vlastite utvrde i na krivi način polazi od toga da se time istovremeno dovode u opas</w:t>
        <w:softHyphen/>
        <w:t>nost svete vrijednosti islama. Pravo oslobo</w:t>
        <w:softHyphen/>
        <w:t>đenje muslimanske žene, u kojemu borci za emancipaciju vide daljnju provedbu proroko</w:t>
        <w:softHyphen/>
        <w:t>va djela reformacije, sigurno če doživjeti tek obrazovana generacija novih naraštaja. S ras</w:t>
        <w:softHyphen/>
        <w:t>tućim industrijaliziranjem i otvaranjem islam</w:t>
        <w:softHyphen/>
        <w:t>skih naroda vjerojatno će se samo od sebe riješiti i odgonetnuti pitanje ravnopravnosti. I ovdje treba imati strpljenja; po jednoj staroj arapskoj izreci, strpljenje ćc na kraju uvijek biti nagrađeno ružama.</w:t>
      </w:r>
    </w:p>
    <w:p>
      <w:pPr>
        <w:pStyle w:val="Style56"/>
        <w:keepNext w:val="0"/>
        <w:keepLines w:val="0"/>
        <w:widowControl w:val="0"/>
        <w:shd w:val="clear" w:color="auto" w:fill="auto"/>
        <w:tabs>
          <w:tab w:pos="2126" w:val="left"/>
        </w:tabs>
        <w:bidi w:val="0"/>
        <w:spacing w:before="0" w:after="260" w:line="240" w:lineRule="auto"/>
        <w:ind w:left="0" w:right="0" w:firstLine="0"/>
        <w:jc w:val="both"/>
      </w:pPr>
      <w:r>
        <w:rPr>
          <w:color w:val="000000"/>
          <w:spacing w:val="0"/>
          <w:w w:val="100"/>
          <w:position w:val="0"/>
          <w:shd w:val="clear" w:color="auto" w:fill="auto"/>
          <w:lang w:val="hr-HR" w:eastAsia="hr-HR" w:bidi="hr-HR"/>
        </w:rPr>
        <w:t xml:space="preserve">IJt.: Abdcbvahab </w:t>
      </w:r>
      <w:r>
        <w:rPr>
          <w:color w:val="000000"/>
          <w:spacing w:val="0"/>
          <w:w w:val="100"/>
          <w:position w:val="0"/>
          <w:shd w:val="clear" w:color="auto" w:fill="auto"/>
        </w:rPr>
        <w:t xml:space="preserve">Bouhdiba, Die </w:t>
      </w:r>
      <w:r>
        <w:rPr>
          <w:color w:val="000000"/>
          <w:spacing w:val="0"/>
          <w:w w:val="100"/>
          <w:position w:val="0"/>
          <w:shd w:val="clear" w:color="auto" w:fill="auto"/>
          <w:lang w:val="hr-HR" w:eastAsia="hr-HR" w:bidi="hr-HR"/>
        </w:rPr>
        <w:t>Stcllung dcr Frau jm Is</w:t>
        <w:softHyphen/>
        <w:t xml:space="preserve">lam. u: R. </w:t>
      </w:r>
      <w:r>
        <w:rPr>
          <w:color w:val="000000"/>
          <w:spacing w:val="0"/>
          <w:w w:val="100"/>
          <w:position w:val="0"/>
          <w:shd w:val="clear" w:color="auto" w:fill="auto"/>
        </w:rPr>
        <w:t xml:space="preserve">Kurzhrock </w:t>
      </w:r>
      <w:r>
        <w:rPr>
          <w:color w:val="000000"/>
          <w:spacing w:val="0"/>
          <w:w w:val="100"/>
          <w:position w:val="0"/>
          <w:shd w:val="clear" w:color="auto" w:fill="auto"/>
          <w:lang w:val="hr-HR" w:eastAsia="hr-HR" w:bidi="hr-HR"/>
        </w:rPr>
        <w:t xml:space="preserve">(Hr.sg.), </w:t>
      </w:r>
      <w:r>
        <w:rPr>
          <w:i/>
          <w:iCs/>
          <w:color w:val="000000"/>
          <w:spacing w:val="0"/>
          <w:w w:val="100"/>
          <w:position w:val="0"/>
          <w:shd w:val="clear" w:color="auto" w:fill="auto"/>
        </w:rPr>
        <w:t xml:space="preserve">Die Institution </w:t>
      </w:r>
      <w:r>
        <w:rPr>
          <w:i/>
          <w:iCs/>
          <w:color w:val="000000"/>
          <w:spacing w:val="0"/>
          <w:w w:val="100"/>
          <w:position w:val="0"/>
          <w:shd w:val="clear" w:color="auto" w:fill="auto"/>
          <w:lang w:val="hr-HR" w:eastAsia="hr-HR" w:bidi="hr-HR"/>
        </w:rPr>
        <w:t>derEhe,</w:t>
      </w:r>
      <w:r>
        <w:rPr>
          <w:color w:val="000000"/>
          <w:spacing w:val="0"/>
          <w:w w:val="100"/>
          <w:position w:val="0"/>
          <w:shd w:val="clear" w:color="auto" w:fill="auto"/>
          <w:lang w:val="hr-HR" w:eastAsia="hr-HR" w:bidi="hr-HR"/>
        </w:rPr>
        <w:t xml:space="preserve"> Berlin 1979; </w:t>
      </w:r>
      <w:r>
        <w:rPr>
          <w:color w:val="000000"/>
          <w:spacing w:val="0"/>
          <w:w w:val="100"/>
          <w:position w:val="0"/>
          <w:shd w:val="clear" w:color="auto" w:fill="auto"/>
        </w:rPr>
        <w:t xml:space="preserve">Friedrich </w:t>
      </w:r>
      <w:r>
        <w:rPr>
          <w:color w:val="000000"/>
          <w:spacing w:val="0"/>
          <w:w w:val="100"/>
          <w:position w:val="0"/>
          <w:shd w:val="clear" w:color="auto" w:fill="auto"/>
          <w:lang w:val="hr-HR" w:eastAsia="hr-HR" w:bidi="hr-HR"/>
        </w:rPr>
        <w:t xml:space="preserve">Hcilcr, </w:t>
      </w:r>
      <w:r>
        <w:rPr>
          <w:i/>
          <w:iCs/>
          <w:color w:val="000000"/>
          <w:spacing w:val="0"/>
          <w:w w:val="100"/>
          <w:position w:val="0"/>
          <w:shd w:val="clear" w:color="auto" w:fill="auto"/>
        </w:rPr>
        <w:t>Die Frau</w:t>
      </w:r>
      <w:r>
        <w:rPr>
          <w:color w:val="000000"/>
          <w:spacing w:val="0"/>
          <w:w w:val="100"/>
          <w:position w:val="0"/>
          <w:shd w:val="clear" w:color="auto" w:fill="auto"/>
        </w:rPr>
        <w:t xml:space="preserve"> in </w:t>
      </w:r>
      <w:r>
        <w:rPr>
          <w:i/>
          <w:iCs/>
          <w:color w:val="000000"/>
          <w:spacing w:val="0"/>
          <w:w w:val="100"/>
          <w:position w:val="0"/>
          <w:shd w:val="clear" w:color="auto" w:fill="auto"/>
        </w:rPr>
        <w:t xml:space="preserve">den </w:t>
      </w:r>
      <w:r>
        <w:rPr>
          <w:i/>
          <w:iCs/>
          <w:color w:val="000000"/>
          <w:spacing w:val="0"/>
          <w:w w:val="100"/>
          <w:position w:val="0"/>
          <w:shd w:val="clear" w:color="auto" w:fill="auto"/>
          <w:lang w:val="hr-HR" w:eastAsia="hr-HR" w:bidi="hr-HR"/>
        </w:rPr>
        <w:t>Religionen der Menschheit,</w:t>
      </w:r>
      <w:r>
        <w:rPr>
          <w:color w:val="000000"/>
          <w:spacing w:val="0"/>
          <w:w w:val="100"/>
          <w:position w:val="0"/>
          <w:shd w:val="clear" w:color="auto" w:fill="auto"/>
          <w:lang w:val="hr-HR" w:eastAsia="hr-HR" w:bidi="hr-HR"/>
        </w:rPr>
        <w:t xml:space="preserve"> Berlin 1977; Naila </w:t>
      </w:r>
      <w:r>
        <w:rPr>
          <w:color w:val="000000"/>
          <w:spacing w:val="0"/>
          <w:w w:val="100"/>
          <w:position w:val="0"/>
          <w:shd w:val="clear" w:color="auto" w:fill="auto"/>
        </w:rPr>
        <w:t xml:space="preserve">Minai, </w:t>
      </w:r>
      <w:r>
        <w:rPr>
          <w:i/>
          <w:iCs/>
          <w:color w:val="000000"/>
          <w:spacing w:val="0"/>
          <w:w w:val="100"/>
          <w:position w:val="0"/>
          <w:shd w:val="clear" w:color="auto" w:fill="auto"/>
        </w:rPr>
        <w:t>Women in Mam. Tradition and Transition in the Middle East,</w:t>
      </w:r>
      <w:r>
        <w:rPr>
          <w:color w:val="000000"/>
          <w:spacing w:val="0"/>
          <w:w w:val="100"/>
          <w:position w:val="0"/>
          <w:shd w:val="clear" w:color="auto" w:fill="auto"/>
        </w:rPr>
        <w:t xml:space="preserve"> New York 1981; Rudi Parct, </w:t>
      </w:r>
      <w:r>
        <w:rPr>
          <w:i/>
          <w:iCs/>
          <w:color w:val="000000"/>
          <w:spacing w:val="0"/>
          <w:w w:val="100"/>
          <w:position w:val="0"/>
          <w:shd w:val="clear" w:color="auto" w:fill="auto"/>
        </w:rPr>
        <w:t>Zur Frauenfrage in der arabisch-islami- schen Welt,</w:t>
      </w:r>
      <w:r>
        <w:rPr>
          <w:color w:val="000000"/>
          <w:spacing w:val="0"/>
          <w:w w:val="100"/>
          <w:position w:val="0"/>
          <w:shd w:val="clear" w:color="auto" w:fill="auto"/>
        </w:rPr>
        <w:t xml:space="preserve"> Berlin 1934; Rita Ricplhubcr,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Stcllung </w:t>
      </w:r>
      <w:r>
        <w:rPr>
          <w:i/>
          <w:iCs/>
          <w:color w:val="000000"/>
          <w:spacing w:val="0"/>
          <w:w w:val="100"/>
          <w:position w:val="0"/>
          <w:shd w:val="clear" w:color="auto" w:fill="auto"/>
        </w:rPr>
        <w:t>der Frau in den neuiestamentlichen Schriften und im Koran,</w:t>
      </w:r>
      <w:r>
        <w:rPr>
          <w:color w:val="000000"/>
          <w:spacing w:val="0"/>
          <w:w w:val="100"/>
          <w:position w:val="0"/>
          <w:shd w:val="clear" w:color="auto" w:fill="auto"/>
        </w:rPr>
        <w:t xml:space="preserve"> Al</w:t>
        <w:softHyphen/>
        <w:t>tenberge 1986.</w:t>
        <w:tab/>
        <w:t>M.S.ABDULLAH</w:t>
      </w:r>
    </w:p>
    <w:p>
      <w:pPr>
        <w:pStyle w:val="Style33"/>
        <w:keepNext w:val="0"/>
        <w:keepLines w:val="0"/>
        <w:widowControl w:val="0"/>
        <w:shd w:val="clear" w:color="auto" w:fill="auto"/>
        <w:bidi w:val="0"/>
        <w:spacing w:before="0" w:after="140" w:line="221"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ŽIDOVSTVO</w:t>
      </w:r>
    </w:p>
    <w:p>
      <w:pPr>
        <w:pStyle w:val="Style63"/>
        <w:keepNext/>
        <w:keepLines/>
        <w:widowControl w:val="0"/>
        <w:shd w:val="clear" w:color="auto" w:fill="auto"/>
        <w:bidi w:val="0"/>
        <w:spacing w:before="0"/>
        <w:ind w:left="0" w:right="0" w:firstLine="0"/>
        <w:jc w:val="both"/>
      </w:pPr>
      <w:bookmarkStart w:id="424" w:name="bookmark424"/>
      <w:r>
        <w:rPr>
          <w:rFonts w:ascii="Times New Roman" w:eastAsia="Times New Roman" w:hAnsi="Times New Roman" w:cs="Times New Roman"/>
          <w:color w:val="000000"/>
          <w:spacing w:val="0"/>
          <w:w w:val="100"/>
          <w:position w:val="0"/>
          <w:shd w:val="clear" w:color="auto" w:fill="auto"/>
          <w:lang w:val="en-US" w:eastAsia="en-US" w:bidi="en-US"/>
        </w:rPr>
        <w:t xml:space="preserve">1. </w:t>
      </w:r>
      <w:r>
        <w:rPr>
          <w:rFonts w:ascii="Times New Roman" w:eastAsia="Times New Roman" w:hAnsi="Times New Roman" w:cs="Times New Roman"/>
          <w:color w:val="000000"/>
          <w:spacing w:val="0"/>
          <w:w w:val="100"/>
          <w:position w:val="0"/>
          <w:shd w:val="clear" w:color="auto" w:fill="auto"/>
          <w:lang w:val="hr-HR" w:eastAsia="hr-HR" w:bidi="hr-HR"/>
        </w:rPr>
        <w:t>židovski</w:t>
      </w:r>
      <w:bookmarkEnd w:id="424"/>
    </w:p>
    <w:p>
      <w:pPr>
        <w:pStyle w:val="Style20"/>
        <w:keepNext w:val="0"/>
        <w:keepLines w:val="0"/>
        <w:widowControl w:val="0"/>
        <w:numPr>
          <w:ilvl w:val="0"/>
          <w:numId w:val="673"/>
        </w:numPr>
        <w:shd w:val="clear" w:color="auto" w:fill="auto"/>
        <w:tabs>
          <w:tab w:pos="265"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Židovski narod </w:t>
      </w:r>
      <w:r>
        <w:rPr>
          <w:rFonts w:ascii="Times New Roman" w:eastAsia="Times New Roman" w:hAnsi="Times New Roman" w:cs="Times New Roman"/>
          <w:i/>
          <w:iCs/>
          <w:color w:val="000000"/>
          <w:spacing w:val="0"/>
          <w:w w:val="100"/>
          <w:position w:val="0"/>
          <w:shd w:val="clear" w:color="auto" w:fill="auto"/>
          <w:lang w:val="en-US" w:eastAsia="en-US" w:bidi="en-US"/>
        </w:rPr>
        <w:t xml:space="preserve">- </w:t>
      </w:r>
      <w:r>
        <w:rPr>
          <w:rFonts w:ascii="Times New Roman" w:eastAsia="Times New Roman" w:hAnsi="Times New Roman" w:cs="Times New Roman"/>
          <w:i/>
          <w:iCs/>
          <w:color w:val="000000"/>
          <w:spacing w:val="0"/>
          <w:w w:val="100"/>
          <w:position w:val="0"/>
          <w:shd w:val="clear" w:color="auto" w:fill="auto"/>
          <w:lang w:val="hr-HR" w:eastAsia="hr-HR" w:bidi="hr-HR"/>
        </w:rPr>
        <w:t>zajednica Židova:</w:t>
      </w:r>
      <w:r>
        <w:rPr>
          <w:rFonts w:ascii="Times New Roman" w:eastAsia="Times New Roman" w:hAnsi="Times New Roman" w:cs="Times New Roman"/>
          <w:color w:val="000000"/>
          <w:spacing w:val="0"/>
          <w:w w:val="100"/>
          <w:position w:val="0"/>
          <w:shd w:val="clear" w:color="auto" w:fill="auto"/>
          <w:lang w:val="hr-HR" w:eastAsia="hr-HR" w:bidi="hr-HR"/>
        </w:rPr>
        <w:t xml:space="preserve"> Rabini su u židovskoj zajednici vidjeli cjelinu. Zajed</w:t>
        <w:softHyphen/>
        <w:t>ničku odgovornost, zajedničku sudbinu i srod</w:t>
        <w:softHyphen/>
        <w:t xml:space="preserve">stvo svih njezinih pripadnika obuhvatili su imenom »zajednica Izraela«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(kelal Jisrael). </w:t>
      </w:r>
      <w:r>
        <w:rPr>
          <w:rFonts w:ascii="Times New Roman" w:eastAsia="Times New Roman" w:hAnsi="Times New Roman" w:cs="Times New Roman"/>
          <w:color w:val="000000"/>
          <w:spacing w:val="0"/>
          <w:w w:val="100"/>
          <w:position w:val="0"/>
          <w:shd w:val="clear" w:color="auto" w:fill="auto"/>
          <w:lang w:val="hr-HR" w:eastAsia="hr-HR" w:bidi="hr-HR"/>
        </w:rPr>
        <w:t>Ona pokazuje »jedinstvo«, ne samo kao druš</w:t>
        <w:softHyphen/>
        <w:t xml:space="preserve">tvenu realnost, nego i u svojem povijesnom i duhovnom aspektu. Napokon, prema sudu mudraca, </w:t>
      </w:r>
      <w:r>
        <w:rPr>
          <w:rFonts w:ascii="Times New Roman" w:eastAsia="Times New Roman" w:hAnsi="Times New Roman" w:cs="Times New Roman"/>
          <w:i/>
          <w:iCs/>
          <w:color w:val="000000"/>
          <w:spacing w:val="0"/>
          <w:w w:val="100"/>
          <w:position w:val="0"/>
          <w:shd w:val="clear" w:color="auto" w:fill="auto"/>
          <w:lang w:val="hr-HR" w:eastAsia="hr-HR" w:bidi="hr-HR"/>
        </w:rPr>
        <w:t>svi</w:t>
      </w:r>
      <w:r>
        <w:rPr>
          <w:rFonts w:ascii="Times New Roman" w:eastAsia="Times New Roman" w:hAnsi="Times New Roman" w:cs="Times New Roman"/>
          <w:color w:val="000000"/>
          <w:spacing w:val="0"/>
          <w:w w:val="100"/>
          <w:position w:val="0"/>
          <w:shd w:val="clear" w:color="auto" w:fill="auto"/>
          <w:lang w:val="hr-HR" w:eastAsia="hr-HR" w:bidi="hr-HR"/>
        </w:rPr>
        <w:t xml:space="preserve"> naraštaji židovstva, uključujući </w:t>
      </w:r>
      <w:r>
        <w:rPr>
          <w:rFonts w:ascii="Times New Roman" w:eastAsia="Times New Roman" w:hAnsi="Times New Roman" w:cs="Times New Roman"/>
          <w:color w:val="000000"/>
          <w:spacing w:val="0"/>
          <w:w w:val="100"/>
          <w:position w:val="0"/>
          <w:shd w:val="clear" w:color="auto" w:fill="auto"/>
          <w:lang w:val="hr-HR" w:eastAsia="hr-HR" w:bidi="hr-HR"/>
        </w:rPr>
        <w:t>prozelitc, stoje na Sinaju sa sudioništvom u obvezama iz Saveza s Bogom (b Šavuot 39a), kao što će i pravednici svih naraštaja u vrije</w:t>
        <w:softHyphen/>
        <w:t xml:space="preserve">me oživljavanja mrtvih ponovno biti sjedinjeni za mesijanske vladavine Božje (usp. Majmo- nid, Komentar Misne,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X,l). Na sli</w:t>
        <w:softHyphen/>
        <w:t xml:space="preserve">čan način rabini su objasnili »cjelinu Izraela« i kao solidarnog dužnika: »Svi Izraelci jamče jedan za drugoga« (Šifra I.ev 26,37; usp.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27b; Savuot 39a; Roš ha-šana 29a; Jalkut uz Izr 6,1: Šir ha-širim 1,3; Rašijev komentar Pentateuha na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26,37) i zahtije</w:t>
        <w:softHyphen/>
        <w:t>vali su ukor grešnika, zato što je za njihove prekršaje ipak odgovorna cijela zajednica. Trezniji smisao za realnost i osjećaj solidar</w:t>
        <w:softHyphen/>
        <w:t>nosti stapaju se u midraškom prikazu židov</w:t>
        <w:softHyphen/>
        <w:t xml:space="preserve">ske zajednice: »plod raskošna stabla« - to su Izraelci. Kao što </w:t>
      </w:r>
      <w:r>
        <w:rPr>
          <w:rFonts w:ascii="Times New Roman" w:eastAsia="Times New Roman" w:hAnsi="Times New Roman" w:cs="Times New Roman"/>
          <w:i/>
          <w:iCs/>
          <w:color w:val="000000"/>
          <w:spacing w:val="0"/>
          <w:w w:val="100"/>
          <w:position w:val="0"/>
          <w:shd w:val="clear" w:color="auto" w:fill="auto"/>
          <w:lang w:val="hr-HR" w:eastAsia="hr-HR" w:bidi="hr-HR"/>
        </w:rPr>
        <w:t>etrog</w:t>
      </w:r>
      <w:r>
        <w:rPr>
          <w:rFonts w:ascii="Times New Roman" w:eastAsia="Times New Roman" w:hAnsi="Times New Roman" w:cs="Times New Roman"/>
          <w:color w:val="000000"/>
          <w:spacing w:val="0"/>
          <w:w w:val="100"/>
          <w:position w:val="0"/>
          <w:shd w:val="clear" w:color="auto" w:fill="auto"/>
          <w:lang w:val="hr-HR" w:eastAsia="hr-HR" w:bidi="hr-HR"/>
        </w:rPr>
        <w:t xml:space="preserve"> (limeta, jedna od četiri vrste biljaka za svečani svežanj na Blagdan sjenica) ima okus i miris, tako i medu Izrael</w:t>
        <w:softHyphen/>
        <w:t>cima ima onih koji znanje Tore povezuju s do</w:t>
        <w:softHyphen/>
        <w:t>brim djelima. »Grančice palme« - to su Iz</w:t>
        <w:softHyphen/>
        <w:t>raelci. Kao što datulja ima okus, a nema mi</w:t>
        <w:softHyphen/>
        <w:t>risa, tako i među Izraelcima ima onih koji po</w:t>
        <w:softHyphen/>
        <w:t xml:space="preserve">sjeduju znanje Tore, ali ne i dobra djela. »I grane mesnata lišća« - to su Izraelci. Kao što mirta ima miris, ali nema okusa, tako i medu Izraelcima ima onih koji čine dobra djela, ali nemaju znanja o Tori. »Vrbe« - to su Izraelci. Kao što vrba nema ni okusa ni mirisa, tako i medu Izraelcima ima onih koji ne pokazuju ni znanje o Tori niti čine dobra djela. Pa, što Bog radi s njima? Je Ii ih možda ubija? Ne! Bog je govorio: »Povežite ih sve u svežanj, pa će jedni griješiti, drugi se kajati (jedno će se s drugim izjednačiti). Budete li to učinili, pustit ću vas k dobru« (Vajikra raba XXX,23,40). Ta predodžba o »cjelini Izraela« i njegovoj nepodijeljenoj sudbini konkretna je verzija »zajednice Izraela« </w:t>
      </w:r>
      <w:r>
        <w:rPr>
          <w:rFonts w:ascii="Times New Roman" w:eastAsia="Times New Roman" w:hAnsi="Times New Roman" w:cs="Times New Roman"/>
          <w:i/>
          <w:iCs/>
          <w:color w:val="000000"/>
          <w:spacing w:val="0"/>
          <w:w w:val="100"/>
          <w:position w:val="0"/>
          <w:shd w:val="clear" w:color="auto" w:fill="auto"/>
          <w:lang w:val="hr-HR" w:eastAsia="hr-HR" w:bidi="hr-HR"/>
        </w:rPr>
        <w:t>(kneset Jisrael),</w:t>
      </w:r>
      <w:r>
        <w:rPr>
          <w:rFonts w:ascii="Times New Roman" w:eastAsia="Times New Roman" w:hAnsi="Times New Roman" w:cs="Times New Roman"/>
          <w:color w:val="000000"/>
          <w:spacing w:val="0"/>
          <w:w w:val="100"/>
          <w:position w:val="0"/>
          <w:shd w:val="clear" w:color="auto" w:fill="auto"/>
          <w:lang w:val="hr-HR" w:eastAsia="hr-HR" w:bidi="hr-HR"/>
        </w:rPr>
        <w:t xml:space="preserve"> hagadski pojam koji se često susreće u Midrašu kao personifikacija vjernog Izraela koji se opisuje u razgovoru s Bogom (Tanhuma, ki tisa 18, uz Izl 30,11 i d.), kao Božja zaručnica (Šir ha- širim 1,4) i kao majka svakog Židova kojemu je Bog istodobno i otac (b Berahot 35b). Za razliku od ideje koja povezuje »zajednicu Iz</w:t>
        <w:softHyphen/>
        <w:t xml:space="preserve">raela« s duhovnim bićem i mističnom prasli- kom (Eha rabati, Uvod pismoznanaca, R. Jichak 3; </w:t>
      </w:r>
      <w:r>
        <w:rPr>
          <w:rFonts w:ascii="Times New Roman" w:eastAsia="Times New Roman" w:hAnsi="Times New Roman" w:cs="Times New Roman"/>
          <w:color w:val="000000"/>
          <w:spacing w:val="0"/>
          <w:w w:val="100"/>
          <w:position w:val="0"/>
          <w:shd w:val="clear" w:color="auto" w:fill="auto"/>
          <w:lang w:val="en-US" w:eastAsia="en-US" w:bidi="en-US"/>
        </w:rPr>
        <w:t xml:space="preserve">Zohar, Lev </w:t>
      </w:r>
      <w:r>
        <w:rPr>
          <w:rFonts w:ascii="Times New Roman" w:eastAsia="Times New Roman" w:hAnsi="Times New Roman" w:cs="Times New Roman"/>
          <w:color w:val="000000"/>
          <w:spacing w:val="0"/>
          <w:w w:val="100"/>
          <w:position w:val="0"/>
          <w:shd w:val="clear" w:color="auto" w:fill="auto"/>
          <w:lang w:val="hr-HR" w:eastAsia="hr-HR" w:bidi="hr-HR"/>
        </w:rPr>
        <w:t xml:space="preserve">93b; usp. G. Scholem,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jtidisclie </w:t>
      </w:r>
      <w:r>
        <w:rPr>
          <w:rFonts w:ascii="Times New Roman" w:eastAsia="Times New Roman" w:hAnsi="Times New Roman" w:cs="Times New Roman"/>
          <w:i/>
          <w:iCs/>
          <w:color w:val="000000"/>
          <w:spacing w:val="0"/>
          <w:w w:val="100"/>
          <w:position w:val="0"/>
          <w:shd w:val="clear" w:color="auto" w:fill="auto"/>
          <w:lang w:val="en-US" w:eastAsia="en-US" w:bidi="en-US"/>
        </w:rPr>
        <w:t xml:space="preserve">Mystik in ihren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Hauptstrbmungen, </w:t>
      </w:r>
      <w:r>
        <w:rPr>
          <w:rFonts w:ascii="Times New Roman" w:eastAsia="Times New Roman" w:hAnsi="Times New Roman" w:cs="Times New Roman"/>
          <w:color w:val="000000"/>
          <w:spacing w:val="0"/>
          <w:w w:val="100"/>
          <w:position w:val="0"/>
          <w:shd w:val="clear" w:color="auto" w:fill="auto"/>
          <w:lang w:val="hr-HR" w:eastAsia="hr-HR" w:bidi="hr-HR"/>
        </w:rPr>
        <w:t xml:space="preserve">1957, 232), posebna svijest o zajedništvu u </w:t>
      </w:r>
      <w:r>
        <w:rPr>
          <w:rFonts w:ascii="Times New Roman" w:eastAsia="Times New Roman" w:hAnsi="Times New Roman" w:cs="Times New Roman"/>
          <w:color w:val="000000"/>
          <w:spacing w:val="0"/>
          <w:w w:val="100"/>
          <w:position w:val="0"/>
          <w:shd w:val="clear" w:color="auto" w:fill="auto"/>
          <w:lang w:val="hr-HR" w:eastAsia="hr-HR" w:bidi="hr-HR"/>
        </w:rPr>
        <w:t xml:space="preserve">židovstvu u izrazu »zajednica Izraela« (usp. S. Schlechter, </w:t>
      </w:r>
      <w:r>
        <w:rPr>
          <w:rFonts w:ascii="Times New Roman" w:eastAsia="Times New Roman" w:hAnsi="Times New Roman" w:cs="Times New Roman"/>
          <w:i/>
          <w:iCs/>
          <w:color w:val="000000"/>
          <w:spacing w:val="0"/>
          <w:w w:val="100"/>
          <w:position w:val="0"/>
          <w:shd w:val="clear" w:color="auto" w:fill="auto"/>
          <w:lang w:val="en-US" w:eastAsia="en-US" w:bidi="en-US"/>
        </w:rPr>
        <w:t>Studies in Judaism 1,</w:t>
      </w:r>
      <w:r>
        <w:rPr>
          <w:rFonts w:ascii="Times New Roman" w:eastAsia="Times New Roman" w:hAnsi="Times New Roman" w:cs="Times New Roman"/>
          <w:color w:val="000000"/>
          <w:spacing w:val="0"/>
          <w:w w:val="100"/>
          <w:position w:val="0"/>
          <w:shd w:val="clear" w:color="auto" w:fill="auto"/>
          <w:lang w:val="en-US" w:eastAsia="en-US" w:bidi="en-US"/>
        </w:rPr>
        <w:t xml:space="preserve">1896, XVIII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održava na životu zajedničko podrijetlo, predaju i povijest i obrazlaže traženo solidar</w:t>
        <w:softHyphen/>
        <w:t xml:space="preserve">no jamstvo </w:t>
      </w:r>
      <w:r>
        <w:rPr>
          <w:rFonts w:ascii="Times New Roman" w:eastAsia="Times New Roman" w:hAnsi="Times New Roman" w:cs="Times New Roman"/>
          <w:i/>
          <w:iCs/>
          <w:color w:val="000000"/>
          <w:spacing w:val="0"/>
          <w:w w:val="100"/>
          <w:position w:val="0"/>
          <w:shd w:val="clear" w:color="auto" w:fill="auto"/>
          <w:lang w:val="hr-HR" w:eastAsia="hr-HR" w:bidi="hr-HR"/>
        </w:rPr>
        <w:t>(arevut)</w:t>
      </w:r>
      <w:r>
        <w:rPr>
          <w:rFonts w:ascii="Times New Roman" w:eastAsia="Times New Roman" w:hAnsi="Times New Roman" w:cs="Times New Roman"/>
          <w:color w:val="000000"/>
          <w:spacing w:val="0"/>
          <w:w w:val="100"/>
          <w:position w:val="0"/>
          <w:shd w:val="clear" w:color="auto" w:fill="auto"/>
          <w:lang w:val="hr-HR" w:eastAsia="hr-HR" w:bidi="hr-HR"/>
        </w:rPr>
        <w:t xml:space="preserve"> u teškim vremenima: »Ako se zajednica nade u boli, ne smije se reći: Idem kući jesti i piti, i mir s tobom, moja dušo... Naprotiv, čovjek mora sudjelovati u boli zajednice...(poput Mojsija prema Izl 17,12): Izrael je u nevolji, pa i ja hoću s njima podijeliti nevolju. Tko sudjeluje u boli zajed</w:t>
        <w:softHyphen/>
        <w:t>nice, mora gledati utjehu zajednice« (b Taanit 11a).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Kontinuitet (povijesni, religijski, teološki) s »Izraelom« i time predodžba o sebi kao o Božjem narodu (Izl 19,6) nisu u židovstvu ni</w:t>
        <w:softHyphen/>
        <w:t>kada pali u zaborav unatoč višestoljetnom gu</w:t>
        <w:softHyphen/>
        <w:t>bitku samostalnoga nacionalnog života. Za to su se pobrinuli proučavanje Biblije i tradicij</w:t>
        <w:softHyphen/>
        <w:t>ske literature, bogoslužno čitanje Pisma i mo</w:t>
        <w:softHyphen/>
        <w:t>litveni red. Židov se 9. ava, na dan godišnjeg posta, ne podsjeća samo na razoreni Hram nego izražava, osim tuge za njim, i nadu u brzu obnovu; štoviše, u njegovim se dnevnim, redovitim molitvama ponavlja i molba za skupljanje »odbačenika svojega naroda Izrae</w:t>
        <w:softHyphen/>
        <w:t>la« »sa sva četiri kraja zemlje«, za obnovu Je</w:t>
        <w:softHyphen/>
        <w:t xml:space="preserve">ruzalema i Hrama te za dolazak Mesije »brzo za naših dana«; osim toga, ista molba ponavlja se i u mnogim drugim molitvama, u onima koje pojedinac umjesto zajedničke molitve ili dodatno izgovara sam, npr. molitvu za stolom. Bogoslužje navečer pred blagdan Pesaha </w:t>
      </w:r>
      <w:r>
        <w:rPr>
          <w:rFonts w:ascii="Times New Roman" w:eastAsia="Times New Roman" w:hAnsi="Times New Roman" w:cs="Times New Roman"/>
          <w:color w:val="000000"/>
          <w:spacing w:val="0"/>
          <w:w w:val="100"/>
          <w:position w:val="0"/>
          <w:shd w:val="clear" w:color="auto" w:fill="auto"/>
          <w:lang w:val="en-US" w:eastAsia="en-US" w:bidi="en-US"/>
        </w:rPr>
        <w:t>(se</w:t>
        <w:softHyphen/>
        <w:t xml:space="preserve">der) </w:t>
      </w:r>
      <w:r>
        <w:rPr>
          <w:rFonts w:ascii="Times New Roman" w:eastAsia="Times New Roman" w:hAnsi="Times New Roman" w:cs="Times New Roman"/>
          <w:color w:val="000000"/>
          <w:spacing w:val="0"/>
          <w:w w:val="100"/>
          <w:position w:val="0"/>
          <w:shd w:val="clear" w:color="auto" w:fill="auto"/>
          <w:lang w:val="hr-HR" w:eastAsia="hr-HR" w:bidi="hr-HR"/>
        </w:rPr>
        <w:t>predočava pričom, tumačenjem, pjes</w:t>
        <w:softHyphen/>
        <w:t>mom i molitvom početak povijesti naroda, potlačenost i izlazak iz sužanjstva i time ume</w:t>
        <w:softHyphen/>
        <w:t xml:space="preserve">će sudionike u karike generacijskoga lanca: »Kad bismo svi i bili mudri, razboriti i iskusni muškarci, ipak bi nam ostala obveza ispričati povijest izlaska iz Egipta; i tko o tome najviše priča, vrijedan jc hvale.« Naime: »U svakom rodu i razdoblju svatko jc dužan sebi predočiti činjenicu tako kao daje i sam izišao iz Egipta« (M. </w:t>
      </w:r>
      <w:r>
        <w:rPr>
          <w:rFonts w:ascii="Times New Roman" w:eastAsia="Times New Roman" w:hAnsi="Times New Roman" w:cs="Times New Roman"/>
          <w:color w:val="000000"/>
          <w:spacing w:val="0"/>
          <w:w w:val="100"/>
          <w:position w:val="0"/>
          <w:shd w:val="clear" w:color="auto" w:fill="auto"/>
          <w:lang w:val="en-US" w:eastAsia="en-US" w:bidi="en-US"/>
        </w:rPr>
        <w:t xml:space="preserve">Lehmann, </w:t>
      </w:r>
      <w:r>
        <w:rPr>
          <w:rFonts w:ascii="Times New Roman" w:eastAsia="Times New Roman" w:hAnsi="Times New Roman" w:cs="Times New Roman"/>
          <w:i/>
          <w:iCs/>
          <w:color w:val="000000"/>
          <w:spacing w:val="0"/>
          <w:w w:val="100"/>
          <w:position w:val="0"/>
          <w:shd w:val="clear" w:color="auto" w:fill="auto"/>
          <w:lang w:val="hr-HR" w:eastAsia="hr-HR" w:bidi="hr-HR"/>
        </w:rPr>
        <w:t>llagada šel Pesah,</w:t>
      </w:r>
      <w:r>
        <w:rPr>
          <w:rFonts w:ascii="Times New Roman" w:eastAsia="Times New Roman" w:hAnsi="Times New Roman" w:cs="Times New Roman"/>
          <w:color w:val="000000"/>
          <w:spacing w:val="0"/>
          <w:w w:val="100"/>
          <w:position w:val="0"/>
          <w:shd w:val="clear" w:color="auto" w:fill="auto"/>
          <w:lang w:val="hr-HR" w:eastAsia="hr-HR" w:bidi="hr-HR"/>
        </w:rPr>
        <w:t xml:space="preserve"> 1962, 16, v. 124).</w:t>
      </w:r>
    </w:p>
    <w:p>
      <w:pPr>
        <w:pStyle w:val="Style20"/>
        <w:keepNext w:val="0"/>
        <w:keepLines w:val="0"/>
        <w:widowControl w:val="0"/>
        <w:shd w:val="clear" w:color="auto" w:fill="auto"/>
        <w:bidi w:val="0"/>
        <w:spacing w:before="0" w:after="0" w:line="240" w:lineRule="auto"/>
        <w:ind w:left="0" w:right="0" w:firstLine="0"/>
        <w:jc w:val="both"/>
        <w:sectPr>
          <w:headerReference w:type="default" r:id="rId1721"/>
          <w:footerReference w:type="default" r:id="rId1722"/>
          <w:headerReference w:type="even" r:id="rId1723"/>
          <w:footerReference w:type="even" r:id="rId1724"/>
          <w:headerReference w:type="first" r:id="rId1725"/>
          <w:footerReference w:type="first" r:id="rId1726"/>
          <w:footnotePr>
            <w:pos w:val="pageBottom"/>
            <w:numFmt w:val="decimal"/>
            <w:numRestart w:val="continuous"/>
            <w15:footnoteColumns w:val="1"/>
          </w:footnotePr>
          <w:pgSz w:w="6816" w:h="11006"/>
          <w:pgMar w:top="965" w:left="194" w:right="199" w:bottom="537" w:header="0" w:footer="3" w:gutter="0"/>
          <w:pgNumType w:start="560"/>
          <w:cols w:num="2" w:space="188"/>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Dosadašnji prikazi dokumentiraju predodžbu koju ž. ima o sebi, prema kojoj se povijest Izraela nastavlja u svojoj povijesti. Oni po</w:t>
        <w:softHyphen/>
        <w:t xml:space="preserve">sebno upozoravaju na to da suverenost nije jedini kriterij za opstanak židovskoga naroda i njegove povijesti (usp. R. Rendtorff, Das »Ende« der Gcschichte </w:t>
      </w:r>
      <w:r>
        <w:rPr>
          <w:rFonts w:ascii="Times New Roman" w:eastAsia="Times New Roman" w:hAnsi="Times New Roman" w:cs="Times New Roman"/>
          <w:color w:val="000000"/>
          <w:spacing w:val="0"/>
          <w:w w:val="100"/>
          <w:position w:val="0"/>
          <w:shd w:val="clear" w:color="auto" w:fill="auto"/>
          <w:lang w:val="en-US" w:eastAsia="en-US" w:bidi="en-US"/>
        </w:rPr>
        <w:t xml:space="preserve">Israels,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Gesammelte</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Studien zum Allen Testament,</w:t>
      </w:r>
      <w:r>
        <w:rPr>
          <w:rFonts w:ascii="Times New Roman" w:eastAsia="Times New Roman" w:hAnsi="Times New Roman" w:cs="Times New Roman"/>
          <w:color w:val="000000"/>
          <w:spacing w:val="0"/>
          <w:w w:val="100"/>
          <w:position w:val="0"/>
          <w:shd w:val="clear" w:color="auto" w:fill="auto"/>
          <w:lang w:val="en-US" w:eastAsia="en-US" w:bidi="en-US"/>
        </w:rPr>
        <w:t xml:space="preserve"> 1975, 267-276). </w:t>
      </w:r>
      <w:r>
        <w:rPr>
          <w:rFonts w:ascii="Times New Roman" w:eastAsia="Times New Roman" w:hAnsi="Times New Roman" w:cs="Times New Roman"/>
          <w:color w:val="000000"/>
          <w:spacing w:val="0"/>
          <w:w w:val="100"/>
          <w:position w:val="0"/>
          <w:shd w:val="clear" w:color="auto" w:fill="auto"/>
          <w:lang w:val="hr-HR" w:eastAsia="hr-HR" w:bidi="hr-HR"/>
        </w:rPr>
        <w:t xml:space="preserve">»Narod Izraelov« i »židovski narod« sinonimi su (usp. H. Ben-Sasson (Hrsg.),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des jiidischen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Volkes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1978, 227 i d.); oni pri</w:t>
        <w:softHyphen/>
        <w:t>tom misle na istu zajednicu u njezinu povijes</w:t>
        <w:softHyphen/>
        <w:t xml:space="preserve">nom kontekstu. Ta zajednica gleda u sebi </w:t>
      </w:r>
      <w:r>
        <w:rPr>
          <w:rFonts w:ascii="Times New Roman" w:eastAsia="Times New Roman" w:hAnsi="Times New Roman" w:cs="Times New Roman"/>
          <w:i/>
          <w:iCs/>
          <w:color w:val="000000"/>
          <w:spacing w:val="0"/>
          <w:w w:val="100"/>
          <w:position w:val="0"/>
          <w:shd w:val="clear" w:color="auto" w:fill="auto"/>
          <w:lang w:val="hr-HR" w:eastAsia="hr-HR" w:bidi="hr-HR"/>
        </w:rPr>
        <w:t>narod</w:t>
      </w:r>
      <w:r>
        <w:rPr>
          <w:rFonts w:ascii="Times New Roman" w:eastAsia="Times New Roman" w:hAnsi="Times New Roman" w:cs="Times New Roman"/>
          <w:color w:val="000000"/>
          <w:spacing w:val="0"/>
          <w:w w:val="100"/>
          <w:position w:val="0"/>
          <w:shd w:val="clear" w:color="auto" w:fill="auto"/>
          <w:lang w:val="hr-HR" w:eastAsia="hr-HR" w:bidi="hr-HR"/>
        </w:rPr>
        <w:t xml:space="preserve"> u velikom vremenskom razdoblju u ko</w:t>
        <w:softHyphen/>
        <w:t>jem je ž. poprimilo svoj i danas postojeći lik, od povratka Zidova iz babilonskoga sužanj- stva i novog početka nacionalnoga života u vlastitoj zemlji u posljednjoj trećini VI. sto</w:t>
        <w:softHyphen/>
        <w:t xml:space="preserve">ljeća pr. Kr. (S. Safrai,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Das judisehe Volk im Zeitalter </w:t>
      </w:r>
      <w:r>
        <w:rPr>
          <w:rFonts w:ascii="Times New Roman" w:eastAsia="Times New Roman" w:hAnsi="Times New Roman" w:cs="Times New Roman"/>
          <w:i/>
          <w:iCs/>
          <w:color w:val="000000"/>
          <w:spacing w:val="0"/>
          <w:w w:val="100"/>
          <w:position w:val="0"/>
          <w:shd w:val="clear" w:color="auto" w:fill="auto"/>
          <w:lang w:val="en-US" w:eastAsia="en-US" w:bidi="en-US"/>
        </w:rPr>
        <w:t>des zweiten Tempels,</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1980, 1 i d.), od</w:t>
        <w:softHyphen/>
        <w:t xml:space="preserve">nosno od razlaza s helenizmom, izazvanog makedonskim osvajanjem zemlje potkraj IV. stoljeća pr. Kr. (P. </w:t>
      </w:r>
      <w:r>
        <w:rPr>
          <w:rFonts w:ascii="Times New Roman" w:eastAsia="Times New Roman" w:hAnsi="Times New Roman" w:cs="Times New Roman"/>
          <w:color w:val="000000"/>
          <w:spacing w:val="0"/>
          <w:w w:val="100"/>
          <w:position w:val="0"/>
          <w:shd w:val="clear" w:color="auto" w:fill="auto"/>
          <w:lang w:val="en-US" w:eastAsia="en-US" w:bidi="en-US"/>
        </w:rPr>
        <w:t xml:space="preserve">Schafer,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derju- den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w:t>
      </w:r>
      <w:r>
        <w:rPr>
          <w:rFonts w:ascii="Times New Roman" w:eastAsia="Times New Roman" w:hAnsi="Times New Roman" w:cs="Times New Roman"/>
          <w:i/>
          <w:iCs/>
          <w:color w:val="000000"/>
          <w:spacing w:val="0"/>
          <w:w w:val="100"/>
          <w:position w:val="0"/>
          <w:shd w:val="clear" w:color="auto" w:fill="auto"/>
          <w:lang w:val="hr-HR" w:eastAsia="hr-HR" w:bidi="hr-HR"/>
        </w:rPr>
        <w:t>der Antike,</w:t>
      </w:r>
      <w:r>
        <w:rPr>
          <w:rFonts w:ascii="Times New Roman" w:eastAsia="Times New Roman" w:hAnsi="Times New Roman" w:cs="Times New Roman"/>
          <w:color w:val="000000"/>
          <w:spacing w:val="0"/>
          <w:w w:val="100"/>
          <w:position w:val="0"/>
          <w:shd w:val="clear" w:color="auto" w:fill="auto"/>
          <w:lang w:val="hr-HR" w:eastAsia="hr-HR" w:bidi="hr-HR"/>
        </w:rPr>
        <w:t xml:space="preserve"> 1983,17 i d.) sve do pobjede islama početkom VI. stoljeća pos. Kr. Iden</w:t>
        <w:softHyphen/>
        <w:t xml:space="preserve">titet židovstva kao židovskoga naroda ostaje istinski povezan sa životom u zemlji koju mu je bio obećao Bog, u </w:t>
      </w:r>
      <w:r>
        <w:rPr>
          <w:rFonts w:ascii="Times New Roman" w:eastAsia="Times New Roman" w:hAnsi="Times New Roman" w:cs="Times New Roman"/>
          <w:i/>
          <w:iCs/>
          <w:color w:val="000000"/>
          <w:spacing w:val="0"/>
          <w:w w:val="100"/>
          <w:position w:val="0"/>
          <w:shd w:val="clear" w:color="auto" w:fill="auto"/>
          <w:lang w:val="hr-HR" w:eastAsia="hr-HR" w:bidi="hr-HR"/>
        </w:rPr>
        <w:t>Erec Jisraelu</w:t>
      </w:r>
      <w:r>
        <w:rPr>
          <w:rFonts w:ascii="Times New Roman" w:eastAsia="Times New Roman" w:hAnsi="Times New Roman" w:cs="Times New Roman"/>
          <w:color w:val="000000"/>
          <w:spacing w:val="0"/>
          <w:w w:val="100"/>
          <w:position w:val="0"/>
          <w:shd w:val="clear" w:color="auto" w:fill="auto"/>
          <w:lang w:val="hr-HR" w:eastAsia="hr-HR" w:bidi="hr-HR"/>
        </w:rPr>
        <w:t xml:space="preserve"> (A. Neher, </w:t>
      </w:r>
      <w:r>
        <w:rPr>
          <w:rFonts w:ascii="Times New Roman" w:eastAsia="Times New Roman" w:hAnsi="Times New Roman" w:cs="Times New Roman"/>
          <w:color w:val="000000"/>
          <w:spacing w:val="0"/>
          <w:w w:val="100"/>
          <w:position w:val="0"/>
          <w:shd w:val="clear" w:color="auto" w:fill="auto"/>
          <w:lang w:val="en-US" w:eastAsia="en-US" w:bidi="en-US"/>
        </w:rPr>
        <w:t xml:space="preserve">Die </w:t>
      </w:r>
      <w:r>
        <w:rPr>
          <w:rFonts w:ascii="Times New Roman" w:eastAsia="Times New Roman" w:hAnsi="Times New Roman" w:cs="Times New Roman"/>
          <w:color w:val="000000"/>
          <w:spacing w:val="0"/>
          <w:w w:val="100"/>
          <w:position w:val="0"/>
          <w:shd w:val="clear" w:color="auto" w:fill="auto"/>
          <w:lang w:val="hr-HR" w:eastAsia="hr-HR" w:bidi="hr-HR"/>
        </w:rPr>
        <w:t xml:space="preserve">Haltung </w:t>
      </w:r>
      <w:r>
        <w:rPr>
          <w:rFonts w:ascii="Times New Roman" w:eastAsia="Times New Roman" w:hAnsi="Times New Roman" w:cs="Times New Roman"/>
          <w:color w:val="000000"/>
          <w:spacing w:val="0"/>
          <w:w w:val="100"/>
          <w:position w:val="0"/>
          <w:shd w:val="clear" w:color="auto" w:fill="auto"/>
          <w:lang w:val="en-US" w:eastAsia="en-US" w:bidi="en-US"/>
        </w:rPr>
        <w:t xml:space="preserve">Israels gegeniiber Staat, Land und Volk,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Concilium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10. Jg., Heft 10, 1974 </w:t>
      </w:r>
      <w:r>
        <w:rPr>
          <w:rFonts w:ascii="Times New Roman" w:eastAsia="Times New Roman" w:hAnsi="Times New Roman" w:cs="Times New Roman"/>
          <w:i/>
          <w:iCs/>
          <w:color w:val="000000"/>
          <w:spacing w:val="0"/>
          <w:w w:val="100"/>
          <w:position w:val="0"/>
          <w:shd w:val="clear" w:color="auto" w:fill="auto"/>
          <w:lang w:val="hr-HR" w:eastAsia="hr-HR" w:bidi="hr-HR"/>
        </w:rPr>
        <w:t xml:space="preserve">= Freiburger </w:t>
      </w:r>
      <w:r>
        <w:rPr>
          <w:rFonts w:ascii="Times New Roman" w:eastAsia="Times New Roman" w:hAnsi="Times New Roman" w:cs="Times New Roman"/>
          <w:i/>
          <w:iCs/>
          <w:color w:val="000000"/>
          <w:spacing w:val="0"/>
          <w:w w:val="100"/>
          <w:position w:val="0"/>
          <w:shd w:val="clear" w:color="auto" w:fill="auto"/>
          <w:lang w:val="en-US" w:eastAsia="en-US" w:bidi="en-US"/>
        </w:rPr>
        <w:t>Rundbrief</w:t>
      </w:r>
      <w:r>
        <w:rPr>
          <w:rFonts w:ascii="Times New Roman" w:eastAsia="Times New Roman" w:hAnsi="Times New Roman" w:cs="Times New Roman"/>
          <w:color w:val="000000"/>
          <w:spacing w:val="0"/>
          <w:w w:val="100"/>
          <w:position w:val="0"/>
          <w:shd w:val="clear" w:color="auto" w:fill="auto"/>
          <w:lang w:val="en-US" w:eastAsia="en-US" w:bidi="en-US"/>
        </w:rPr>
        <w:t xml:space="preserve"> XXV111,</w:t>
      </w:r>
      <w:r>
        <w:rPr>
          <w:rFonts w:ascii="Times New Roman" w:eastAsia="Times New Roman" w:hAnsi="Times New Roman" w:cs="Times New Roman"/>
          <w:color w:val="000000"/>
          <w:spacing w:val="0"/>
          <w:w w:val="100"/>
          <w:position w:val="0"/>
          <w:shd w:val="clear" w:color="auto" w:fill="auto"/>
          <w:lang w:val="hr-HR" w:eastAsia="hr-HR" w:bidi="hr-HR"/>
        </w:rPr>
        <w:t xml:space="preserve">1976,56-59). Premda su prošla stoljeća bez. vlastite države nakon razorenja drugoga Hrama 70. pos. Kr., drugi elementi nacionalnoga života zadržali su svoju vrijednost u talmudskom razdoblju (doba učitelja Misne, tanaita. od </w:t>
      </w:r>
      <w:r>
        <w:rPr>
          <w:rFonts w:ascii="Times New Roman" w:eastAsia="Times New Roman" w:hAnsi="Times New Roman" w:cs="Times New Roman"/>
          <w:color w:val="000000"/>
          <w:spacing w:val="0"/>
          <w:w w:val="100"/>
          <w:position w:val="0"/>
          <w:shd w:val="clear" w:color="auto" w:fill="auto"/>
          <w:lang w:val="en-US" w:eastAsia="en-US" w:bidi="en-US"/>
        </w:rPr>
        <w:t xml:space="preserve">I. </w:t>
      </w:r>
      <w:r>
        <w:rPr>
          <w:rFonts w:ascii="Times New Roman" w:eastAsia="Times New Roman" w:hAnsi="Times New Roman" w:cs="Times New Roman"/>
          <w:color w:val="000000"/>
          <w:spacing w:val="0"/>
          <w:w w:val="100"/>
          <w:position w:val="0"/>
          <w:shd w:val="clear" w:color="auto" w:fill="auto"/>
          <w:lang w:val="hr-HR" w:eastAsia="hr-HR" w:bidi="hr-HR"/>
        </w:rPr>
        <w:t>do 111. sto</w:t>
        <w:softHyphen/>
        <w:t xml:space="preserve">ljeća. te učitelja Gentare, zapisnika rasprava o Misni, amora, od III.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V. stoljeća). Većina stanovništva u Erec Jisraelu sastojala se od Židova, uključujući Samarijance. Kao sitni se</w:t>
        <w:softHyphen/>
        <w:t>ljaci obrađivali su najveći dio zemlje do počet</w:t>
        <w:softHyphen/>
        <w:t xml:space="preserve">ka IV. stoljeća i bavili se mnogim obrtima. Nacionalna vlast, patrijarhat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V. stoljeća i sinedrij do nekog vremena u VII. stoljeću, vo</w:t>
        <w:softHyphen/>
        <w:t>dili su i zastupali narod u Erec Israelu i u di</w:t>
        <w:softHyphen/>
        <w:t xml:space="preserve">jaspori kao najviši vjerski autoritet, vrhovni sud i veliko učilište (H. </w:t>
      </w:r>
      <w:r>
        <w:rPr>
          <w:rFonts w:ascii="Times New Roman" w:eastAsia="Times New Roman" w:hAnsi="Times New Roman" w:cs="Times New Roman"/>
          <w:color w:val="000000"/>
          <w:spacing w:val="0"/>
          <w:w w:val="100"/>
          <w:position w:val="0"/>
          <w:shd w:val="clear" w:color="auto" w:fill="auto"/>
          <w:lang w:val="en-US" w:eastAsia="en-US" w:bidi="en-US"/>
        </w:rPr>
        <w:t xml:space="preserve">Zucker, </w:t>
      </w:r>
      <w:r>
        <w:rPr>
          <w:rFonts w:ascii="Times New Roman" w:eastAsia="Times New Roman" w:hAnsi="Times New Roman" w:cs="Times New Roman"/>
          <w:i/>
          <w:iCs/>
          <w:color w:val="000000"/>
          <w:spacing w:val="0"/>
          <w:w w:val="100"/>
          <w:position w:val="0"/>
          <w:shd w:val="clear" w:color="auto" w:fill="auto"/>
          <w:lang w:val="hr-HR" w:eastAsia="hr-HR" w:bidi="hr-HR"/>
        </w:rPr>
        <w:t>Studien zur jiidischen Selbstvenvallung im Altertum,</w:t>
      </w:r>
      <w:r>
        <w:rPr>
          <w:rFonts w:ascii="Times New Roman" w:eastAsia="Times New Roman" w:hAnsi="Times New Roman" w:cs="Times New Roman"/>
          <w:color w:val="000000"/>
          <w:spacing w:val="0"/>
          <w:w w:val="100"/>
          <w:position w:val="0"/>
          <w:shd w:val="clear" w:color="auto" w:fill="auto"/>
          <w:lang w:val="hr-HR" w:eastAsia="hr-HR" w:bidi="hr-HR"/>
        </w:rPr>
        <w:t xml:space="preserve"> 1936, 126 i d.); ovdje su suci i učitelji Tore dobivali punomoći, (licencije), donosile halaške od</w:t>
        <w:softHyphen/>
        <w:t xml:space="preserve">luke i reforme, studirali budući učenjaci i pis- moznanci iz zemlje i dijaspore </w:t>
      </w:r>
      <w:r>
        <w:rPr>
          <w:rFonts w:ascii="Times New Roman" w:eastAsia="Times New Roman" w:hAnsi="Times New Roman" w:cs="Times New Roman"/>
          <w:i/>
          <w:iCs/>
          <w:color w:val="000000"/>
          <w:spacing w:val="0"/>
          <w:w w:val="100"/>
          <w:position w:val="0"/>
          <w:shd w:val="clear" w:color="auto" w:fill="auto"/>
          <w:lang w:val="hr-HR" w:eastAsia="hr-HR" w:bidi="hr-HR"/>
        </w:rPr>
        <w:t>(galuta).</w:t>
      </w:r>
      <w:r>
        <w:rPr>
          <w:rFonts w:ascii="Times New Roman" w:eastAsia="Times New Roman" w:hAnsi="Times New Roman" w:cs="Times New Roman"/>
          <w:color w:val="000000"/>
          <w:spacing w:val="0"/>
          <w:w w:val="100"/>
          <w:position w:val="0"/>
          <w:shd w:val="clear" w:color="auto" w:fill="auto"/>
          <w:lang w:val="hr-HR" w:eastAsia="hr-HR" w:bidi="hr-HR"/>
        </w:rPr>
        <w:t xml:space="preserve"> U ime patrijarha </w:t>
      </w:r>
      <w:r>
        <w:rPr>
          <w:rFonts w:ascii="Times New Roman" w:eastAsia="Times New Roman" w:hAnsi="Times New Roman" w:cs="Times New Roman"/>
          <w:i/>
          <w:iCs/>
          <w:color w:val="000000"/>
          <w:spacing w:val="0"/>
          <w:w w:val="100"/>
          <w:position w:val="0"/>
          <w:shd w:val="clear" w:color="auto" w:fill="auto"/>
          <w:lang w:val="hr-HR" w:eastAsia="hr-HR" w:bidi="hr-HR"/>
        </w:rPr>
        <w:t>(naši)</w:t>
      </w:r>
      <w:r>
        <w:rPr>
          <w:rFonts w:ascii="Times New Roman" w:eastAsia="Times New Roman" w:hAnsi="Times New Roman" w:cs="Times New Roman"/>
          <w:color w:val="000000"/>
          <w:spacing w:val="0"/>
          <w:w w:val="100"/>
          <w:position w:val="0"/>
          <w:shd w:val="clear" w:color="auto" w:fill="auto"/>
          <w:lang w:val="hr-HR" w:eastAsia="hr-HR" w:bidi="hr-HR"/>
        </w:rPr>
        <w:t xml:space="preserve"> i sinedrija izaslanici su nad</w:t>
        <w:softHyphen/>
        <w:t>gledali općine, postavljali i otpuštali svoje predstojnike i čak ubirali poreze, uz odobre</w:t>
        <w:softHyphen/>
        <w:t xml:space="preserve">nje rimske vlasti - i u Erec Jisraelu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ugalutu - </w:t>
      </w:r>
      <w:r>
        <w:rPr>
          <w:rFonts w:ascii="Times New Roman" w:eastAsia="Times New Roman" w:hAnsi="Times New Roman" w:cs="Times New Roman"/>
          <w:color w:val="000000"/>
          <w:spacing w:val="0"/>
          <w:w w:val="100"/>
          <w:position w:val="0"/>
          <w:shd w:val="clear" w:color="auto" w:fill="auto"/>
          <w:lang w:val="hr-HR" w:eastAsia="hr-HR" w:bidi="hr-HR"/>
        </w:rPr>
        <w:t>radi financijskog uzdržavanja nacionalnih službi. Različite mjere - održavanje zemlje u židovskom vlasništvu, zaštita obiteljskog na</w:t>
        <w:softHyphen/>
      </w:r>
      <w:r>
        <w:rPr>
          <w:rFonts w:ascii="Times New Roman" w:eastAsia="Times New Roman" w:hAnsi="Times New Roman" w:cs="Times New Roman"/>
          <w:color w:val="000000"/>
          <w:spacing w:val="0"/>
          <w:w w:val="100"/>
          <w:position w:val="0"/>
          <w:shd w:val="clear" w:color="auto" w:fill="auto"/>
          <w:lang w:val="hr-HR" w:eastAsia="hr-HR" w:bidi="hr-HR"/>
        </w:rPr>
        <w:t>sljedstva sitnih seljaka, poticanje povratka i naseljavanja u Erec Jisraelu, provođenje jav</w:t>
        <w:softHyphen/>
        <w:t>nog i društvenog načina života u skladu s To</w:t>
        <w:softHyphen/>
        <w:t>rom i izlaganjem pismoznanaca - izražavale su se nacionalnopolitički kao odbijanje tuđin</w:t>
        <w:softHyphen/>
        <w:t>ske vlasti i njezina ekonomskoga i socijalnog poretka i neprestance poticale nove pokušaje ustanaka sve do negdje u III. stoljeće radi po</w:t>
        <w:softHyphen/>
        <w:t>novnog stjecanja nacionalne slobode. Zahva</w:t>
        <w:softHyphen/>
        <w:t xml:space="preserve">ljujući ciljanim propisima mudraca i njihovoj politici naseljavanja i povratka Židovi su kao narod živjeli u vlastitoj zemlji sve do arapske okupacije (Š. Safrai, op. cit., 120-153; H. H. Ben-Sasson, op. cit., 377 i d.; P. </w:t>
      </w:r>
      <w:r>
        <w:rPr>
          <w:rFonts w:ascii="Times New Roman" w:eastAsia="Times New Roman" w:hAnsi="Times New Roman" w:cs="Times New Roman"/>
          <w:color w:val="000000"/>
          <w:spacing w:val="0"/>
          <w:w w:val="100"/>
          <w:position w:val="0"/>
          <w:shd w:val="clear" w:color="auto" w:fill="auto"/>
          <w:lang w:val="en-US" w:eastAsia="en-US" w:bidi="en-US"/>
        </w:rPr>
        <w:t xml:space="preserve">Schafer, </w:t>
      </w:r>
      <w:r>
        <w:rPr>
          <w:rFonts w:ascii="Times New Roman" w:eastAsia="Times New Roman" w:hAnsi="Times New Roman" w:cs="Times New Roman"/>
          <w:color w:val="000000"/>
          <w:spacing w:val="0"/>
          <w:w w:val="100"/>
          <w:position w:val="0"/>
          <w:shd w:val="clear" w:color="auto" w:fill="auto"/>
          <w:lang w:val="hr-HR" w:eastAsia="hr-HR" w:bidi="hr-HR"/>
        </w:rPr>
        <w:t>op. cit., 145-210).</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nakon 638. pos. Kr. u zemlji su nastavile živje</w:t>
        <w:softHyphen/>
        <w:t>ti manje židovske etničke skupine sve do prvih povrataka Židova u drugoj polovini XIX. sto</w:t>
        <w:softHyphen/>
        <w:t>ljeća. Molitve, nauci i halaške odredbe održa</w:t>
        <w:softHyphen/>
        <w:t>vali su žive veze s Erec Jisraelom i u povijesti židovstva u dijaspori te poticali svijest o pri</w:t>
        <w:softHyphen/>
        <w:t>padnosti židovskom narodu kojeg je domo</w:t>
        <w:softHyphen/>
        <w:t>vina Erec Jisracl i čiji temeljni zakon (Tora) nije uvjetovan državom kojoj je on prethodio prema biblijskom izvješću. Nasuprot židov</w:t>
        <w:softHyphen/>
        <w:t>skoj predodžbi o sebi, koja se temelji na za</w:t>
        <w:softHyphen/>
        <w:t>jedničkom podrijetlu iz jedne zemlje, zajed</w:t>
        <w:softHyphen/>
        <w:t>ničkoj predaji te na zajedničkoj odgovornosti za dnigoga, zatajile su moderne nacionalno- -državne kategorije. To pokazuje i činjenica što je Država Izrael, proglašena 1948. postala integrirajućim sastavnim dijelom židovstva, jer se mnogi Židovi izvan Erec Jisraela s njim identificiraju, ali izraelski većinski narod nije nipošto jednak židovskom narodu raspršenom po svijetu, u koji se na temelju opisanih oso</w:t>
        <w:softHyphen/>
        <w:t xml:space="preserve">bina solidarne zajednice ubrajaju i građani drugih država. Iako se pojedinci i udruženja poput židovskih razmimoilaze u mišljenjima o značenju Države Izrael i njezine funkcije za ž., ipak se Država Izrael i židovski narod više ne mogu odijeliti jedno od drugoga (H. H. Ben- Sasson (Hrsg.), </w:t>
      </w:r>
      <w:r>
        <w:rPr>
          <w:rFonts w:ascii="Times New Roman" w:eastAsia="Times New Roman" w:hAnsi="Times New Roman" w:cs="Times New Roman"/>
          <w:i/>
          <w:iCs/>
          <w:color w:val="000000"/>
          <w:spacing w:val="0"/>
          <w:w w:val="100"/>
          <w:position w:val="0"/>
          <w:shd w:val="clear" w:color="auto" w:fill="auto"/>
          <w:lang w:val="hr-HR" w:eastAsia="hr-HR" w:bidi="hr-HR"/>
        </w:rPr>
        <w:t>Geschichte des jiidischen Volkes, III,</w:t>
      </w:r>
      <w:r>
        <w:rPr>
          <w:rFonts w:ascii="Times New Roman" w:eastAsia="Times New Roman" w:hAnsi="Times New Roman" w:cs="Times New Roman"/>
          <w:color w:val="000000"/>
          <w:spacing w:val="0"/>
          <w:w w:val="100"/>
          <w:position w:val="0"/>
          <w:shd w:val="clear" w:color="auto" w:fill="auto"/>
          <w:lang w:val="hr-HR" w:eastAsia="hr-HR" w:bidi="hr-HR"/>
        </w:rPr>
        <w:t xml:space="preserve"> 1980, 420 -62: </w:t>
      </w:r>
      <w:r>
        <w:rPr>
          <w:rFonts w:ascii="Times New Roman" w:eastAsia="Times New Roman" w:hAnsi="Times New Roman" w:cs="Times New Roman"/>
          <w:color w:val="000000"/>
          <w:spacing w:val="0"/>
          <w:w w:val="100"/>
          <w:position w:val="0"/>
          <w:shd w:val="clear" w:color="auto" w:fill="auto"/>
          <w:lang w:val="en-US" w:eastAsia="en-US" w:bidi="en-US"/>
        </w:rPr>
        <w:t xml:space="preserve">Aba Eban,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Dies is! </w:t>
      </w:r>
      <w:r>
        <w:rPr>
          <w:rFonts w:ascii="Times New Roman" w:eastAsia="Times New Roman" w:hAnsi="Times New Roman" w:cs="Times New Roman"/>
          <w:i/>
          <w:iCs/>
          <w:color w:val="000000"/>
          <w:spacing w:val="0"/>
          <w:w w:val="100"/>
          <w:position w:val="0"/>
          <w:shd w:val="clear" w:color="auto" w:fill="auto"/>
          <w:lang w:val="hr-HR" w:eastAsia="hr-HR" w:bidi="hr-HR"/>
        </w:rPr>
        <w:t>mein Volk,</w:t>
      </w:r>
      <w:r>
        <w:rPr>
          <w:rFonts w:ascii="Times New Roman" w:eastAsia="Times New Roman" w:hAnsi="Times New Roman" w:cs="Times New Roman"/>
          <w:color w:val="000000"/>
          <w:spacing w:val="0"/>
          <w:w w:val="100"/>
          <w:position w:val="0"/>
          <w:shd w:val="clear" w:color="auto" w:fill="auto"/>
          <w:lang w:val="hr-HR" w:eastAsia="hr-HR" w:bidi="hr-HR"/>
        </w:rPr>
        <w:t xml:space="preserve"> 1970, 381 i d., 422 i d.).</w:t>
      </w:r>
    </w:p>
    <w:p>
      <w:pPr>
        <w:pStyle w:val="Style20"/>
        <w:keepNext w:val="0"/>
        <w:keepLines w:val="0"/>
        <w:widowControl w:val="0"/>
        <w:numPr>
          <w:ilvl w:val="0"/>
          <w:numId w:val="673"/>
        </w:numPr>
        <w:shd w:val="clear" w:color="auto" w:fill="auto"/>
        <w:tabs>
          <w:tab w:pos="260" w:val="left"/>
        </w:tabs>
        <w:bidi w:val="0"/>
        <w:spacing w:before="0" w:after="0"/>
        <w:ind w:left="0" w:right="0" w:firstLine="0"/>
        <w:jc w:val="both"/>
        <w:sectPr>
          <w:headerReference w:type="default" r:id="rId1727"/>
          <w:footerReference w:type="default" r:id="rId1728"/>
          <w:headerReference w:type="even" r:id="rId1729"/>
          <w:footerReference w:type="even" r:id="rId1730"/>
          <w:footnotePr>
            <w:pos w:val="pageBottom"/>
            <w:numFmt w:val="decimal"/>
            <w:numRestart w:val="continuous"/>
            <w15:footnoteColumns w:val="1"/>
          </w:footnotePr>
          <w:type w:val="continuous"/>
          <w:pgSz w:w="6816" w:h="11006"/>
          <w:pgMar w:top="965" w:left="194" w:right="199" w:bottom="537" w:header="0" w:footer="3" w:gutter="0"/>
          <w:cols w:num="2" w:space="188"/>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Prariječ i komentar.</w:t>
      </w:r>
      <w:r>
        <w:rPr>
          <w:rFonts w:ascii="Times New Roman" w:eastAsia="Times New Roman" w:hAnsi="Times New Roman" w:cs="Times New Roman"/>
          <w:color w:val="000000"/>
          <w:spacing w:val="0"/>
          <w:w w:val="100"/>
          <w:position w:val="0"/>
          <w:shd w:val="clear" w:color="auto" w:fill="auto"/>
          <w:lang w:val="hr-HR" w:eastAsia="hr-HR" w:bidi="hr-HR"/>
        </w:rPr>
        <w:t xml:space="preserve"> Ž. kao cjelina više je od predodžbe o pojedinom Židovu (usp. H. J. </w:t>
      </w:r>
      <w:r>
        <w:rPr>
          <w:rFonts w:ascii="Times New Roman" w:eastAsia="Times New Roman" w:hAnsi="Times New Roman" w:cs="Times New Roman"/>
          <w:color w:val="000000"/>
          <w:spacing w:val="0"/>
          <w:w w:val="100"/>
          <w:position w:val="0"/>
          <w:shd w:val="clear" w:color="auto" w:fill="auto"/>
          <w:lang w:val="en-US" w:eastAsia="en-US" w:bidi="en-US"/>
        </w:rPr>
        <w:t xml:space="preserve">Schulz </w:t>
      </w:r>
      <w:r>
        <w:rPr>
          <w:rFonts w:ascii="Times New Roman" w:eastAsia="Times New Roman" w:hAnsi="Times New Roman" w:cs="Times New Roman"/>
          <w:color w:val="000000"/>
          <w:spacing w:val="0"/>
          <w:w w:val="100"/>
          <w:position w:val="0"/>
          <w:shd w:val="clear" w:color="auto" w:fill="auto"/>
          <w:lang w:val="hr-HR" w:eastAsia="hr-HR" w:bidi="hr-HR"/>
        </w:rPr>
        <w:t xml:space="preserve">(Hrsg.), </w:t>
      </w:r>
      <w:r>
        <w:rPr>
          <w:rFonts w:ascii="Times New Roman" w:eastAsia="Times New Roman" w:hAnsi="Times New Roman" w:cs="Times New Roman"/>
          <w:i/>
          <w:iCs/>
          <w:color w:val="000000"/>
          <w:spacing w:val="0"/>
          <w:w w:val="100"/>
          <w:position w:val="0"/>
          <w:shd w:val="clear" w:color="auto" w:fill="auto"/>
          <w:lang w:val="hr-HR" w:eastAsia="hr-HR" w:bidi="hr-HR"/>
        </w:rPr>
        <w:t>Mein Judentum,</w:t>
      </w:r>
      <w:r>
        <w:rPr>
          <w:rFonts w:ascii="Times New Roman" w:eastAsia="Times New Roman" w:hAnsi="Times New Roman" w:cs="Times New Roman"/>
          <w:color w:val="000000"/>
          <w:spacing w:val="0"/>
          <w:w w:val="100"/>
          <w:position w:val="0"/>
          <w:shd w:val="clear" w:color="auto" w:fill="auto"/>
          <w:lang w:val="hr-HR" w:eastAsia="hr-HR" w:bidi="hr-HR"/>
        </w:rPr>
        <w:t xml:space="preserve"> 1978; I. Flei- chauer/H. </w:t>
      </w:r>
      <w:r>
        <w:rPr>
          <w:rFonts w:ascii="Times New Roman" w:eastAsia="Times New Roman" w:hAnsi="Times New Roman" w:cs="Times New Roman"/>
          <w:color w:val="000000"/>
          <w:spacing w:val="0"/>
          <w:w w:val="100"/>
          <w:position w:val="0"/>
          <w:shd w:val="clear" w:color="auto" w:fill="auto"/>
          <w:lang w:val="en-US" w:eastAsia="en-US" w:bidi="en-US"/>
        </w:rPr>
        <w:t xml:space="preserve">Klein, </w:t>
      </w:r>
      <w:r>
        <w:rPr>
          <w:rFonts w:ascii="Times New Roman" w:eastAsia="Times New Roman" w:hAnsi="Times New Roman" w:cs="Times New Roman"/>
          <w:i/>
          <w:iCs/>
          <w:color w:val="000000"/>
          <w:spacing w:val="0"/>
          <w:w w:val="100"/>
          <w:position w:val="0"/>
          <w:shd w:val="clear" w:color="auto" w:fill="auto"/>
          <w:lang w:val="en-US" w:eastAsia="en-US" w:bidi="en-US"/>
        </w:rPr>
        <w:t xml:space="preserve">Uber 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judisehe </w:t>
      </w:r>
      <w:r>
        <w:rPr>
          <w:rFonts w:ascii="Times New Roman" w:eastAsia="Times New Roman" w:hAnsi="Times New Roman" w:cs="Times New Roman"/>
          <w:i/>
          <w:iCs/>
          <w:color w:val="000000"/>
          <w:spacing w:val="0"/>
          <w:w w:val="100"/>
          <w:position w:val="0"/>
          <w:shd w:val="clear" w:color="auto" w:fill="auto"/>
          <w:lang w:val="en-US" w:eastAsia="en-US" w:bidi="en-US"/>
        </w:rPr>
        <w:t xml:space="preserve">Identitdt, </w:t>
      </w:r>
      <w:r>
        <w:rPr>
          <w:rFonts w:ascii="Times New Roman" w:eastAsia="Times New Roman" w:hAnsi="Times New Roman" w:cs="Times New Roman"/>
          <w:color w:val="000000"/>
          <w:spacing w:val="0"/>
          <w:w w:val="100"/>
          <w:position w:val="0"/>
          <w:shd w:val="clear" w:color="auto" w:fill="auto"/>
          <w:lang w:val="hr-HR" w:eastAsia="hr-HR" w:bidi="hr-HR"/>
        </w:rPr>
        <w:t>1978). Židovski narod u svojoj sveukupnosti bio je i jest življi od zauvijek utvrđenoga, po</w:t>
        <w:softHyphen/>
        <w:t xml:space="preserve">vijesno i teološki odredivog fenomena. Njc- </w:t>
      </w:r>
    </w:p>
    <w:p>
      <w:pPr>
        <w:pStyle w:val="Style20"/>
        <w:keepNext w:val="0"/>
        <w:keepLines w:val="0"/>
        <w:widowControl w:val="0"/>
        <w:shd w:val="clear" w:color="auto" w:fill="auto"/>
        <w:tabs>
          <w:tab w:pos="260"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gov </w:t>
      </w:r>
      <w:r>
        <w:rPr>
          <w:rFonts w:ascii="Times New Roman" w:eastAsia="Times New Roman" w:hAnsi="Times New Roman" w:cs="Times New Roman"/>
          <w:color w:val="000000"/>
          <w:spacing w:val="0"/>
          <w:w w:val="100"/>
          <w:position w:val="0"/>
          <w:shd w:val="clear" w:color="auto" w:fill="auto"/>
          <w:lang w:val="hr-HR" w:eastAsia="hr-HR" w:bidi="hr-HR"/>
        </w:rPr>
        <w:t>rabinsko-talmudski udio djelovao je vje</w:t>
        <w:softHyphen/>
        <w:t>rojatno kao najjača, ali u njegovoj povijesti svakako najdulja snaga koja ga obilježava. I fi</w:t>
        <w:softHyphen/>
        <w:t>lozofija religije i mistika ostale su uvijek po</w:t>
        <w:softHyphen/>
        <w:t>vezane na poseban način s rabinskim djelom. Ni novovjeko kritičko ž. ne može ostvariti svo</w:t>
        <w:softHyphen/>
        <w:t xml:space="preserve">je </w:t>
      </w:r>
      <w:r>
        <w:rPr>
          <w:rFonts w:ascii="Times New Roman" w:eastAsia="Times New Roman" w:hAnsi="Times New Roman" w:cs="Times New Roman"/>
          <w:i/>
          <w:iCs/>
          <w:color w:val="000000"/>
          <w:spacing w:val="0"/>
          <w:w w:val="100"/>
          <w:position w:val="0"/>
          <w:shd w:val="clear" w:color="auto" w:fill="auto"/>
          <w:lang w:val="hr-HR" w:eastAsia="hr-HR" w:bidi="hr-HR"/>
        </w:rPr>
        <w:t>da</w:t>
      </w:r>
      <w:r>
        <w:rPr>
          <w:rFonts w:ascii="Times New Roman" w:eastAsia="Times New Roman" w:hAnsi="Times New Roman" w:cs="Times New Roman"/>
          <w:color w:val="000000"/>
          <w:spacing w:val="0"/>
          <w:w w:val="100"/>
          <w:position w:val="0"/>
          <w:shd w:val="clear" w:color="auto" w:fill="auto"/>
          <w:lang w:val="hr-HR" w:eastAsia="hr-HR" w:bidi="hr-HR"/>
        </w:rPr>
        <w:t xml:space="preserve"> prema svijetu bez prihvaćanja povijesti židovskoga naroda niti se pri činu davanja prednosti ili biranja povezanih s predajom ne može jednostavno vratiti na hebrejsku Bibliju koja se odijelila od komentara mudraca ži</w:t>
        <w:softHyphen/>
        <w:t xml:space="preserve">dovskoga naroda, a da je pritom ne svede na </w:t>
      </w:r>
      <w:r>
        <w:rPr>
          <w:rFonts w:ascii="Times New Roman" w:eastAsia="Times New Roman" w:hAnsi="Times New Roman" w:cs="Times New Roman"/>
          <w:i/>
          <w:iCs/>
          <w:color w:val="000000"/>
          <w:spacing w:val="0"/>
          <w:w w:val="100"/>
          <w:position w:val="0"/>
          <w:shd w:val="clear" w:color="auto" w:fill="auto"/>
          <w:lang w:val="hr-HR" w:eastAsia="hr-HR" w:bidi="hr-HR"/>
        </w:rPr>
        <w:t>"Stan</w:t>
      </w:r>
      <w:r>
        <w:rPr>
          <w:rFonts w:ascii="Times New Roman" w:eastAsia="Times New Roman" w:hAnsi="Times New Roman" w:cs="Times New Roman"/>
          <w:color w:val="000000"/>
          <w:spacing w:val="0"/>
          <w:w w:val="100"/>
          <w:position w:val="0"/>
          <w:shd w:val="clear" w:color="auto" w:fill="auto"/>
          <w:lang w:val="hr-HR" w:eastAsia="hr-HR" w:bidi="hr-HR"/>
        </w:rPr>
        <w:t xml:space="preserve"> zavjet«. Rabinsko ž. u svoj širini svojega razvitka od farizeja (R. T. </w:t>
      </w:r>
      <w:r>
        <w:rPr>
          <w:rFonts w:ascii="Times New Roman" w:eastAsia="Times New Roman" w:hAnsi="Times New Roman" w:cs="Times New Roman"/>
          <w:color w:val="000000"/>
          <w:spacing w:val="0"/>
          <w:w w:val="100"/>
          <w:position w:val="0"/>
          <w:shd w:val="clear" w:color="auto" w:fill="auto"/>
          <w:lang w:val="en-US" w:eastAsia="en-US" w:bidi="en-US"/>
        </w:rPr>
        <w:t xml:space="preserve">Herford, </w:t>
      </w:r>
      <w:r>
        <w:rPr>
          <w:rFonts w:ascii="Times New Roman" w:eastAsia="Times New Roman" w:hAnsi="Times New Roman" w:cs="Times New Roman"/>
          <w:i/>
          <w:iCs/>
          <w:color w:val="000000"/>
          <w:spacing w:val="0"/>
          <w:w w:val="100"/>
          <w:position w:val="0"/>
          <w:shd w:val="clear" w:color="auto" w:fill="auto"/>
          <w:lang w:val="hr-HR" w:eastAsia="hr-HR" w:bidi="hr-HR"/>
        </w:rPr>
        <w:t xml:space="preserve">Pharisder, </w:t>
      </w:r>
      <w:r>
        <w:rPr>
          <w:rFonts w:ascii="Times New Roman" w:eastAsia="Times New Roman" w:hAnsi="Times New Roman" w:cs="Times New Roman"/>
          <w:color w:val="000000"/>
          <w:spacing w:val="0"/>
          <w:w w:val="100"/>
          <w:position w:val="0"/>
          <w:shd w:val="clear" w:color="auto" w:fill="auto"/>
          <w:lang w:val="hr-HR" w:eastAsia="hr-HR" w:bidi="hr-HR"/>
        </w:rPr>
        <w:t>1928,</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 xml:space="preserve">1961; L. </w:t>
      </w:r>
      <w:r>
        <w:rPr>
          <w:rFonts w:ascii="Times New Roman" w:eastAsia="Times New Roman" w:hAnsi="Times New Roman" w:cs="Times New Roman"/>
          <w:color w:val="000000"/>
          <w:spacing w:val="0"/>
          <w:w w:val="100"/>
          <w:position w:val="0"/>
          <w:shd w:val="clear" w:color="auto" w:fill="auto"/>
          <w:lang w:val="en-US" w:eastAsia="en-US" w:bidi="en-US"/>
        </w:rPr>
        <w:t xml:space="preserve">Baeck, </w:t>
      </w:r>
      <w:r>
        <w:rPr>
          <w:rFonts w:ascii="Times New Roman" w:eastAsia="Times New Roman" w:hAnsi="Times New Roman" w:cs="Times New Roman"/>
          <w:i/>
          <w:iCs/>
          <w:color w:val="000000"/>
          <w:spacing w:val="0"/>
          <w:w w:val="100"/>
          <w:position w:val="0"/>
          <w:shd w:val="clear" w:color="auto" w:fill="auto"/>
          <w:lang w:val="hr-HR" w:eastAsia="hr-HR" w:bidi="hr-HR"/>
        </w:rPr>
        <w:t>Pharisder,</w:t>
      </w:r>
      <w:r>
        <w:rPr>
          <w:rFonts w:ascii="Times New Roman" w:eastAsia="Times New Roman" w:hAnsi="Times New Roman" w:cs="Times New Roman"/>
          <w:color w:val="000000"/>
          <w:spacing w:val="0"/>
          <w:w w:val="100"/>
          <w:position w:val="0"/>
          <w:shd w:val="clear" w:color="auto" w:fill="auto"/>
          <w:lang w:val="hr-HR" w:eastAsia="hr-HR" w:bidi="hr-HR"/>
        </w:rPr>
        <w:t xml:space="preserve"> 1927; C. </w:t>
      </w:r>
      <w:r>
        <w:rPr>
          <w:rFonts w:ascii="Times New Roman" w:eastAsia="Times New Roman" w:hAnsi="Times New Roman" w:cs="Times New Roman"/>
          <w:color w:val="000000"/>
          <w:spacing w:val="0"/>
          <w:w w:val="100"/>
          <w:position w:val="0"/>
          <w:shd w:val="clear" w:color="auto" w:fill="auto"/>
          <w:lang w:val="en-US" w:eastAsia="en-US" w:bidi="en-US"/>
        </w:rPr>
        <w:t>Tho</w:t>
        <w:softHyphen/>
        <w:t xml:space="preserve">ma, </w:t>
      </w:r>
      <w:r>
        <w:rPr>
          <w:rFonts w:ascii="Times New Roman" w:eastAsia="Times New Roman" w:hAnsi="Times New Roman" w:cs="Times New Roman"/>
          <w:i/>
          <w:iCs/>
          <w:color w:val="000000"/>
          <w:spacing w:val="0"/>
          <w:w w:val="100"/>
          <w:position w:val="0"/>
          <w:shd w:val="clear" w:color="auto" w:fill="auto"/>
          <w:lang w:val="hr-HR" w:eastAsia="hr-HR" w:bidi="hr-HR"/>
        </w:rPr>
        <w:t>Chrislliche Theologie des Judentums,</w:t>
      </w:r>
      <w:r>
        <w:rPr>
          <w:rFonts w:ascii="Times New Roman" w:eastAsia="Times New Roman" w:hAnsi="Times New Roman" w:cs="Times New Roman"/>
          <w:color w:val="000000"/>
          <w:spacing w:val="0"/>
          <w:w w:val="100"/>
          <w:position w:val="0"/>
          <w:shd w:val="clear" w:color="auto" w:fill="auto"/>
          <w:lang w:val="hr-HR" w:eastAsia="hr-HR" w:bidi="hr-HR"/>
        </w:rPr>
        <w:t xml:space="preserve"> 1978, 96-99) preko tanaita </w:t>
      </w:r>
      <w:r>
        <w:rPr>
          <w:rFonts w:ascii="Times New Roman" w:eastAsia="Times New Roman" w:hAnsi="Times New Roman" w:cs="Times New Roman"/>
          <w:color w:val="000000"/>
          <w:spacing w:val="0"/>
          <w:w w:val="100"/>
          <w:position w:val="0"/>
          <w:shd w:val="clear" w:color="auto" w:fill="auto"/>
          <w:lang w:val="en-US" w:eastAsia="en-US" w:bidi="en-US"/>
        </w:rPr>
        <w:t xml:space="preserve">do </w:t>
      </w:r>
      <w:r>
        <w:rPr>
          <w:rFonts w:ascii="Times New Roman" w:eastAsia="Times New Roman" w:hAnsi="Times New Roman" w:cs="Times New Roman"/>
          <w:color w:val="000000"/>
          <w:spacing w:val="0"/>
          <w:w w:val="100"/>
          <w:position w:val="0"/>
          <w:shd w:val="clear" w:color="auto" w:fill="auto"/>
          <w:lang w:val="hr-HR" w:eastAsia="hr-HR" w:bidi="hr-HR"/>
        </w:rPr>
        <w:t xml:space="preserve">amoreja (W. Bachcr, </w:t>
      </w:r>
      <w:r>
        <w:rPr>
          <w:rFonts w:ascii="Times New Roman" w:eastAsia="Times New Roman" w:hAnsi="Times New Roman" w:cs="Times New Roman"/>
          <w:i/>
          <w:iCs/>
          <w:color w:val="000000"/>
          <w:spacing w:val="0"/>
          <w:w w:val="100"/>
          <w:position w:val="0"/>
          <w:shd w:val="clear" w:color="auto" w:fill="auto"/>
          <w:lang w:val="en-US" w:eastAsia="en-US" w:bidi="en-US"/>
        </w:rPr>
        <w:t xml:space="preserve">Tradition and </w:t>
      </w:r>
      <w:r>
        <w:rPr>
          <w:rFonts w:ascii="Times New Roman" w:eastAsia="Times New Roman" w:hAnsi="Times New Roman" w:cs="Times New Roman"/>
          <w:i/>
          <w:iCs/>
          <w:color w:val="000000"/>
          <w:spacing w:val="0"/>
          <w:w w:val="100"/>
          <w:position w:val="0"/>
          <w:shd w:val="clear" w:color="auto" w:fill="auto"/>
          <w:lang w:val="hr-HR" w:eastAsia="hr-HR" w:bidi="hr-HR"/>
        </w:rPr>
        <w:t xml:space="preserve">Tradenten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den </w:t>
      </w:r>
      <w:r>
        <w:rPr>
          <w:rFonts w:ascii="Times New Roman" w:eastAsia="Times New Roman" w:hAnsi="Times New Roman" w:cs="Times New Roman"/>
          <w:i/>
          <w:iCs/>
          <w:color w:val="000000"/>
          <w:spacing w:val="0"/>
          <w:w w:val="100"/>
          <w:position w:val="0"/>
          <w:shd w:val="clear" w:color="auto" w:fill="auto"/>
          <w:lang w:val="hr-HR" w:eastAsia="hr-HR" w:bidi="hr-HR"/>
        </w:rPr>
        <w:t xml:space="preserve">Schulen Palds- tinas und </w:t>
      </w:r>
      <w:r>
        <w:rPr>
          <w:rFonts w:ascii="Times New Roman" w:eastAsia="Times New Roman" w:hAnsi="Times New Roman" w:cs="Times New Roman"/>
          <w:i/>
          <w:iCs/>
          <w:color w:val="000000"/>
          <w:spacing w:val="0"/>
          <w:w w:val="100"/>
          <w:position w:val="0"/>
          <w:shd w:val="clear" w:color="auto" w:fill="auto"/>
          <w:lang w:val="en-US" w:eastAsia="en-US" w:bidi="en-US"/>
        </w:rPr>
        <w:t>Babyloniens,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1914, 1966, 47 i d., 94 i d.; N. N. Glatzer, </w:t>
      </w:r>
      <w:r>
        <w:rPr>
          <w:rFonts w:ascii="Times New Roman" w:eastAsia="Times New Roman" w:hAnsi="Times New Roman" w:cs="Times New Roman"/>
          <w:i/>
          <w:iCs/>
          <w:color w:val="000000"/>
          <w:spacing w:val="0"/>
          <w:w w:val="100"/>
          <w:position w:val="0"/>
          <w:shd w:val="clear" w:color="auto" w:fill="auto"/>
          <w:lang w:val="hr-HR" w:eastAsia="hr-HR" w:bidi="hr-HR"/>
        </w:rPr>
        <w:t>Geschichte der talmudischen Zeit,</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1981, 123 i d.) omogućilo je židovskom narodu pristup izvorima i tek otvorilo moguć</w:t>
        <w:softHyphen/>
        <w:t>nost za određena pitanja.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Kodificirana kao sveti spis (sveto pismo) (b Berahot 5a; </w:t>
      </w:r>
      <w:r>
        <w:rPr>
          <w:rFonts w:ascii="Times New Roman" w:eastAsia="Times New Roman" w:hAnsi="Times New Roman" w:cs="Times New Roman"/>
          <w:i/>
          <w:iCs/>
          <w:color w:val="000000"/>
          <w:spacing w:val="0"/>
          <w:w w:val="100"/>
          <w:position w:val="0"/>
          <w:shd w:val="clear" w:color="auto" w:fill="auto"/>
          <w:lang w:val="hr-HR" w:eastAsia="hr-HR" w:bidi="hr-HR"/>
        </w:rPr>
        <w:t>hamiša humše tora,</w:t>
      </w:r>
      <w:r>
        <w:rPr>
          <w:rFonts w:ascii="Times New Roman" w:eastAsia="Times New Roman" w:hAnsi="Times New Roman" w:cs="Times New Roman"/>
          <w:color w:val="000000"/>
          <w:spacing w:val="0"/>
          <w:w w:val="100"/>
          <w:position w:val="0"/>
          <w:shd w:val="clear" w:color="auto" w:fill="auto"/>
          <w:lang w:val="hr-HR" w:eastAsia="hr-HR" w:bidi="hr-HR"/>
        </w:rPr>
        <w:t xml:space="preserve"> »pet petina Tore«; Pentateuh) u vlastitoj predodžbi mu</w:t>
        <w:softHyphen/>
        <w:t xml:space="preserve">draca (i u predkritičkoj tradiciji barem do Spi- noze), Tora je u svojem slovnom inventaru nepromjenjiv dokument (Pnz 31,9: b Bava ba- tra 14b- 15a;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60a) o sklapanju Saveza iz</w:t>
        <w:softHyphen/>
        <w:t>među Boga i njegova naroda. Osim pripovi</w:t>
        <w:softHyphen/>
        <w:t>jesti i ćudorednih propisa univerzalne vrijed</w:t>
        <w:softHyphen/>
        <w:t>nosti, ona obuhvaća mnogobrojne odredbe koje se mogu poštovati samo u Erec Jisraclu, i tim elementima predaje prelazi svoje vremen</w:t>
        <w:softHyphen/>
        <w:t>ske granice zahvaćajući budućnost u nacional</w:t>
        <w:softHyphen/>
        <w:t>nom i univerzalnom smislu; naime, u temelj</w:t>
        <w:softHyphen/>
        <w:t>nom zakonu za izabrani narod razabire se nacrt osnovnog poretka zajedničkoga života naroda u miru i pravdi čak ako je taj univer</w:t>
        <w:softHyphen/>
        <w:t>zalni pogled na budućnost zajednice naroda isprepleten nacionalnom perspektivom židov</w:t>
        <w:softHyphen/>
        <w:t>skoga naroda stalnim ponavljanjem sjećanja na izlazak iz Egipta i šabatnim propisima. Time Tora uključuje i obuhvaća sve buduće objave. Već trodijelni kanon hebrejske Biblije (Tanah) prenosi druženje i interpretativni razgovor u povijesti Izraela s prariječju Božje objave Mojsiju, a time i uvijek neuspjeli, ali uvijek i obnavljani pokušaj Izraela da kao na</w:t>
        <w:softHyphen/>
        <w:t>cionalni nositelj te univerzalne zadaće prolazi kroz povijest.</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Kontinuirana unutarbiblijska interpretacija To</w:t>
        <w:softHyphen/>
        <w:t>re nastavlja se dosljedno u tradicijskoj litera</w:t>
        <w:softHyphen/>
        <w:t xml:space="preserve">turi: »Sveto pismo i Mišna,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i Hagada, pa i ono što će jednoga dana oštroumni uče</w:t>
        <w:softHyphen/>
        <w:t xml:space="preserve">nik obrazložiti pred svojim učiteljem, Mojsiju je odavno objavljeno na Sinaju« (j </w:t>
      </w:r>
      <w:r>
        <w:rPr>
          <w:rFonts w:ascii="Times New Roman" w:eastAsia="Times New Roman" w:hAnsi="Times New Roman" w:cs="Times New Roman"/>
          <w:color w:val="000000"/>
          <w:spacing w:val="0"/>
          <w:w w:val="100"/>
          <w:position w:val="0"/>
          <w:shd w:val="clear" w:color="auto" w:fill="auto"/>
          <w:lang w:val="en-US" w:eastAsia="en-US" w:bidi="en-US"/>
        </w:rPr>
        <w:t xml:space="preserve">Pea </w:t>
      </w:r>
      <w:r>
        <w:rPr>
          <w:rFonts w:ascii="Times New Roman" w:eastAsia="Times New Roman" w:hAnsi="Times New Roman" w:cs="Times New Roman"/>
          <w:color w:val="000000"/>
          <w:spacing w:val="0"/>
          <w:w w:val="100"/>
          <w:position w:val="0"/>
          <w:shd w:val="clear" w:color="auto" w:fill="auto"/>
          <w:lang w:val="hr-HR" w:eastAsia="hr-HR" w:bidi="hr-HR"/>
        </w:rPr>
        <w:t>II, 17a). Prema shvaćanju stvorenom u talmud</w:t>
        <w:softHyphen/>
        <w:t xml:space="preserve">skom razvitku židovstva (o tome H. L. </w:t>
      </w:r>
      <w:r>
        <w:rPr>
          <w:rFonts w:ascii="Times New Roman" w:eastAsia="Times New Roman" w:hAnsi="Times New Roman" w:cs="Times New Roman"/>
          <w:color w:val="000000"/>
          <w:spacing w:val="0"/>
          <w:w w:val="100"/>
          <w:position w:val="0"/>
          <w:shd w:val="clear" w:color="auto" w:fill="auto"/>
          <w:lang w:val="en-US" w:eastAsia="en-US" w:bidi="en-US"/>
        </w:rPr>
        <w:t xml:space="preserve">Strack,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Einleitung </w:t>
      </w:r>
      <w:r>
        <w:rPr>
          <w:rFonts w:ascii="Times New Roman" w:eastAsia="Times New Roman" w:hAnsi="Times New Roman" w:cs="Times New Roman"/>
          <w:i/>
          <w:iCs/>
          <w:color w:val="000000"/>
          <w:spacing w:val="0"/>
          <w:w w:val="100"/>
          <w:position w:val="0"/>
          <w:shd w:val="clear" w:color="auto" w:fill="auto"/>
          <w:lang w:val="en-US" w:eastAsia="en-US" w:bidi="en-US"/>
        </w:rPr>
        <w:t xml:space="preserve">in Talmud </w:t>
      </w:r>
      <w:r>
        <w:rPr>
          <w:rFonts w:ascii="Times New Roman" w:eastAsia="Times New Roman" w:hAnsi="Times New Roman" w:cs="Times New Roman"/>
          <w:i/>
          <w:iCs/>
          <w:color w:val="000000"/>
          <w:spacing w:val="0"/>
          <w:w w:val="100"/>
          <w:position w:val="0"/>
          <w:shd w:val="clear" w:color="auto" w:fill="auto"/>
          <w:lang w:val="hr-HR" w:eastAsia="hr-HR" w:bidi="hr-HR"/>
        </w:rPr>
        <w:t>und Midrasch,</w:t>
      </w:r>
      <w:r>
        <w:rPr>
          <w:rFonts w:ascii="Times New Roman" w:eastAsia="Times New Roman" w:hAnsi="Times New Roman" w:cs="Times New Roman"/>
          <w:color w:val="000000"/>
          <w:spacing w:val="0"/>
          <w:w w:val="100"/>
          <w:position w:val="0"/>
          <w:shd w:val="clear" w:color="auto" w:fill="auto"/>
          <w:lang w:val="hr-HR" w:eastAsia="hr-HR" w:bidi="hr-HR"/>
        </w:rPr>
        <w:t xml:space="preserve"> ''1976; G. </w:t>
      </w:r>
      <w:r>
        <w:rPr>
          <w:rFonts w:ascii="Times New Roman" w:eastAsia="Times New Roman" w:hAnsi="Times New Roman" w:cs="Times New Roman"/>
          <w:color w:val="000000"/>
          <w:spacing w:val="0"/>
          <w:w w:val="100"/>
          <w:position w:val="0"/>
          <w:shd w:val="clear" w:color="auto" w:fill="auto"/>
          <w:lang w:val="en-US" w:eastAsia="en-US" w:bidi="en-US"/>
        </w:rPr>
        <w:t xml:space="preserve">Stemberger,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t>
      </w:r>
      <w:r>
        <w:rPr>
          <w:rFonts w:ascii="Times New Roman" w:eastAsia="Times New Roman" w:hAnsi="Times New Roman" w:cs="Times New Roman"/>
          <w:i/>
          <w:iCs/>
          <w:color w:val="000000"/>
          <w:spacing w:val="0"/>
          <w:w w:val="100"/>
          <w:position w:val="0"/>
          <w:shd w:val="clear" w:color="auto" w:fill="auto"/>
          <w:lang w:val="hr-HR" w:eastAsia="hr-HR" w:bidi="hr-HR"/>
        </w:rPr>
        <w:t>klassische Judentum,</w:t>
      </w:r>
      <w:r>
        <w:rPr>
          <w:rFonts w:ascii="Times New Roman" w:eastAsia="Times New Roman" w:hAnsi="Times New Roman" w:cs="Times New Roman"/>
          <w:color w:val="000000"/>
          <w:spacing w:val="0"/>
          <w:w w:val="100"/>
          <w:position w:val="0"/>
          <w:shd w:val="clear" w:color="auto" w:fill="auto"/>
          <w:lang w:val="hr-HR" w:eastAsia="hr-HR" w:bidi="hr-HR"/>
        </w:rPr>
        <w:t xml:space="preserve"> 1979; isti, </w:t>
      </w:r>
      <w:r>
        <w:rPr>
          <w:rFonts w:ascii="Times New Roman" w:eastAsia="Times New Roman" w:hAnsi="Times New Roman" w:cs="Times New Roman"/>
          <w:i/>
          <w:iCs/>
          <w:color w:val="000000"/>
          <w:spacing w:val="0"/>
          <w:w w:val="100"/>
          <w:position w:val="0"/>
          <w:shd w:val="clear" w:color="auto" w:fill="auto"/>
          <w:lang w:val="hr-HR" w:eastAsia="hr-HR" w:bidi="hr-HR"/>
        </w:rPr>
        <w:t>Geschichte der jtidischen Literatur.</w:t>
      </w:r>
      <w:r>
        <w:rPr>
          <w:rFonts w:ascii="Times New Roman" w:eastAsia="Times New Roman" w:hAnsi="Times New Roman" w:cs="Times New Roman"/>
          <w:color w:val="000000"/>
          <w:spacing w:val="0"/>
          <w:w w:val="100"/>
          <w:position w:val="0"/>
          <w:shd w:val="clear" w:color="auto" w:fill="auto"/>
          <w:lang w:val="hr-HR" w:eastAsia="hr-HR" w:bidi="hr-HR"/>
        </w:rPr>
        <w:t xml:space="preserve"> 1977, 66 i d.) i objava i predaja potvrđuju Toru kao nauk o oblikovanju života (usp. G. Scholem, </w:t>
      </w:r>
      <w:r>
        <w:rPr>
          <w:rFonts w:ascii="Times New Roman" w:eastAsia="Times New Roman" w:hAnsi="Times New Roman" w:cs="Times New Roman"/>
          <w:color w:val="000000"/>
          <w:spacing w:val="0"/>
          <w:w w:val="100"/>
          <w:position w:val="0"/>
          <w:shd w:val="clear" w:color="auto" w:fill="auto"/>
          <w:lang w:val="en-US" w:eastAsia="en-US" w:bidi="en-US"/>
        </w:rPr>
        <w:t xml:space="preserve">Offenbarung </w:t>
      </w:r>
      <w:r>
        <w:rPr>
          <w:rFonts w:ascii="Times New Roman" w:eastAsia="Times New Roman" w:hAnsi="Times New Roman" w:cs="Times New Roman"/>
          <w:color w:val="000000"/>
          <w:spacing w:val="0"/>
          <w:w w:val="100"/>
          <w:position w:val="0"/>
          <w:shd w:val="clear" w:color="auto" w:fill="auto"/>
          <w:lang w:val="hr-HR" w:eastAsia="hr-HR" w:bidi="hr-HR"/>
        </w:rPr>
        <w:t xml:space="preserve">und </w:t>
      </w:r>
      <w:r>
        <w:rPr>
          <w:rFonts w:ascii="Times New Roman" w:eastAsia="Times New Roman" w:hAnsi="Times New Roman" w:cs="Times New Roman"/>
          <w:color w:val="000000"/>
          <w:spacing w:val="0"/>
          <w:w w:val="100"/>
          <w:position w:val="0"/>
          <w:shd w:val="clear" w:color="auto" w:fill="auto"/>
          <w:lang w:val="en-US" w:eastAsia="en-US" w:bidi="en-US"/>
        </w:rPr>
        <w:t xml:space="preserve">Tradition als religiose </w:t>
      </w:r>
      <w:r>
        <w:rPr>
          <w:rFonts w:ascii="Times New Roman" w:eastAsia="Times New Roman" w:hAnsi="Times New Roman" w:cs="Times New Roman"/>
          <w:color w:val="000000"/>
          <w:spacing w:val="0"/>
          <w:w w:val="100"/>
          <w:position w:val="0"/>
          <w:shd w:val="clear" w:color="auto" w:fill="auto"/>
          <w:lang w:val="hr-HR" w:eastAsia="hr-HR" w:bidi="hr-HR"/>
        </w:rPr>
        <w:t xml:space="preserve">Kate- gorien im Judentum, u: </w:t>
      </w:r>
      <w:r>
        <w:rPr>
          <w:rFonts w:ascii="Times New Roman" w:eastAsia="Times New Roman" w:hAnsi="Times New Roman" w:cs="Times New Roman"/>
          <w:i/>
          <w:iCs/>
          <w:color w:val="000000"/>
          <w:spacing w:val="0"/>
          <w:w w:val="100"/>
          <w:position w:val="0"/>
          <w:shd w:val="clear" w:color="auto" w:fill="auto"/>
          <w:lang w:val="hr-HR" w:eastAsia="hr-HR" w:bidi="hr-HR"/>
        </w:rPr>
        <w:t>L'ber einige Grundbe- griffe des Judentums,</w:t>
      </w:r>
      <w:r>
        <w:rPr>
          <w:rFonts w:ascii="Times New Roman" w:eastAsia="Times New Roman" w:hAnsi="Times New Roman" w:cs="Times New Roman"/>
          <w:color w:val="000000"/>
          <w:spacing w:val="0"/>
          <w:w w:val="100"/>
          <w:position w:val="0"/>
          <w:shd w:val="clear" w:color="auto" w:fill="auto"/>
          <w:lang w:val="hr-HR" w:eastAsia="hr-HR" w:bidi="hr-HR"/>
        </w:rPr>
        <w:t xml:space="preserve"> 1970, 90-120). Tu je na</w:t>
        <w:softHyphen/>
        <w:t xml:space="preserve">stalo razlikovanje objave (na osnovi plurala </w:t>
      </w:r>
      <w:r>
        <w:rPr>
          <w:rFonts w:ascii="Times New Roman" w:eastAsia="Times New Roman" w:hAnsi="Times New Roman" w:cs="Times New Roman"/>
          <w:i/>
          <w:iCs/>
          <w:color w:val="000000"/>
          <w:spacing w:val="0"/>
          <w:w w:val="100"/>
          <w:position w:val="0"/>
          <w:shd w:val="clear" w:color="auto" w:fill="auto"/>
          <w:lang w:val="hr-HR" w:eastAsia="hr-HR" w:bidi="hr-HR"/>
        </w:rPr>
        <w:t>torot,</w:t>
      </w:r>
      <w:r>
        <w:rPr>
          <w:rFonts w:ascii="Times New Roman" w:eastAsia="Times New Roman" w:hAnsi="Times New Roman" w:cs="Times New Roman"/>
          <w:color w:val="000000"/>
          <w:spacing w:val="0"/>
          <w:w w:val="100"/>
          <w:position w:val="0"/>
          <w:shd w:val="clear" w:color="auto" w:fill="auto"/>
          <w:lang w:val="hr-HR" w:eastAsia="hr-HR" w:bidi="hr-HR"/>
        </w:rPr>
        <w:t xml:space="preserve"> npr. Post 26,5) kao »pisane Tore« (f«&gt;- </w:t>
      </w:r>
      <w:r>
        <w:rPr>
          <w:rFonts w:ascii="Times New Roman" w:eastAsia="Times New Roman" w:hAnsi="Times New Roman" w:cs="Times New Roman"/>
          <w:i/>
          <w:iCs/>
          <w:color w:val="000000"/>
          <w:spacing w:val="0"/>
          <w:w w:val="100"/>
          <w:position w:val="0"/>
          <w:shd w:val="clear" w:color="auto" w:fill="auto"/>
          <w:lang w:val="hr-HR" w:eastAsia="hr-HR" w:bidi="hr-HR"/>
        </w:rPr>
        <w:t>bi-ketav,</w:t>
      </w:r>
      <w:r>
        <w:rPr>
          <w:rFonts w:ascii="Times New Roman" w:eastAsia="Times New Roman" w:hAnsi="Times New Roman" w:cs="Times New Roman"/>
          <w:color w:val="000000"/>
          <w:spacing w:val="0"/>
          <w:w w:val="100"/>
          <w:position w:val="0"/>
          <w:shd w:val="clear" w:color="auto" w:fill="auto"/>
          <w:lang w:val="hr-HR" w:eastAsia="hr-HR" w:bidi="hr-HR"/>
        </w:rPr>
        <w:t xml:space="preserve"> prema lzl 34,27: »Zapiši«), koja do</w:t>
        <w:softHyphen/>
        <w:t xml:space="preserve">lazi do izražaja u Pctoknjižju, i predaje kao »usmene Tore« </w:t>
      </w:r>
      <w:r>
        <w:rPr>
          <w:rFonts w:ascii="Times New Roman" w:eastAsia="Times New Roman" w:hAnsi="Times New Roman" w:cs="Times New Roman"/>
          <w:i/>
          <w:iCs/>
          <w:color w:val="000000"/>
          <w:spacing w:val="0"/>
          <w:w w:val="100"/>
          <w:position w:val="0"/>
          <w:shd w:val="clear" w:color="auto" w:fill="auto"/>
          <w:lang w:val="hr-HR" w:eastAsia="hr-HR" w:bidi="hr-HR"/>
        </w:rPr>
        <w:t>(še-be-al-pe,</w:t>
      </w:r>
      <w:r>
        <w:rPr>
          <w:rFonts w:ascii="Times New Roman" w:eastAsia="Times New Roman" w:hAnsi="Times New Roman" w:cs="Times New Roman"/>
          <w:color w:val="000000"/>
          <w:spacing w:val="0"/>
          <w:w w:val="100"/>
          <w:position w:val="0"/>
          <w:shd w:val="clear" w:color="auto" w:fill="auto"/>
          <w:lang w:val="hr-HR" w:eastAsia="hr-HR" w:bidi="hr-HR"/>
        </w:rPr>
        <w:t xml:space="preserve"> prema 34,27 do</w:t>
        <w:softHyphen/>
        <w:t xml:space="preserve">slovce: »riječi koje su na ustima«; usp. b </w:t>
      </w:r>
      <w:r>
        <w:rPr>
          <w:rFonts w:ascii="Times New Roman" w:eastAsia="Times New Roman" w:hAnsi="Times New Roman" w:cs="Times New Roman"/>
          <w:color w:val="000000"/>
          <w:spacing w:val="0"/>
          <w:w w:val="100"/>
          <w:position w:val="0"/>
          <w:shd w:val="clear" w:color="auto" w:fill="auto"/>
          <w:lang w:val="en-US" w:eastAsia="en-US" w:bidi="en-US"/>
        </w:rPr>
        <w:t xml:space="preserve">Gitin </w:t>
      </w:r>
      <w:r>
        <w:rPr>
          <w:rFonts w:ascii="Times New Roman" w:eastAsia="Times New Roman" w:hAnsi="Times New Roman" w:cs="Times New Roman"/>
          <w:color w:val="000000"/>
          <w:spacing w:val="0"/>
          <w:w w:val="100"/>
          <w:position w:val="0"/>
          <w:shd w:val="clear" w:color="auto" w:fill="auto"/>
          <w:lang w:val="hr-HR" w:eastAsia="hr-HR" w:bidi="hr-HR"/>
        </w:rPr>
        <w:t>60b; Šabat 31a). Iz toga je nastala »Halaha Mojsija sa Sinaja« (M Pea 11,6; Edujot V1I1.7; Jadajim IV,3; b Kidušin 38b) tijekom usme</w:t>
        <w:softHyphen/>
        <w:t>nog prijenosa s jedne generacije na drugu kontinuirano tumačeći mogućnosti primjene i ispunjenja objave u »pisanoj Tori« za povi</w:t>
        <w:softHyphen/>
        <w:t>jesno vrijeme; naime, objavljenoj riječi Božjoj, koja se iskristalizirala u biblijskim odredba</w:t>
        <w:softHyphen/>
        <w:t>ma, potreban je komentar predaje kako bi se mogla ispunjavati svakoga dana u svojoj dvos</w:t>
        <w:softHyphen/>
        <w:t>trukoj funkciji: prvo, treba dati odredbe za iz</w:t>
        <w:softHyphen/>
        <w:t xml:space="preserve">vršenje »šesto i trinaest propisa« koje je Moj- sije primio (b Makot 23b-24a) </w:t>
      </w:r>
      <w:r>
        <w:rPr>
          <w:rFonts w:ascii="Times New Roman" w:eastAsia="Times New Roman" w:hAnsi="Times New Roman" w:cs="Times New Roman"/>
          <w:i/>
          <w:iCs/>
          <w:color w:val="000000"/>
          <w:spacing w:val="0"/>
          <w:w w:val="100"/>
          <w:position w:val="0"/>
          <w:shd w:val="clear" w:color="auto" w:fill="auto"/>
          <w:lang w:val="hr-HR" w:eastAsia="hr-HR" w:bidi="hr-HR"/>
        </w:rPr>
        <w:t>(mi-de-ra- banan,</w:t>
      </w:r>
      <w:r>
        <w:rPr>
          <w:rFonts w:ascii="Times New Roman" w:eastAsia="Times New Roman" w:hAnsi="Times New Roman" w:cs="Times New Roman"/>
          <w:color w:val="000000"/>
          <w:spacing w:val="0"/>
          <w:w w:val="100"/>
          <w:position w:val="0"/>
          <w:shd w:val="clear" w:color="auto" w:fill="auto"/>
          <w:lang w:val="hr-HR" w:eastAsia="hr-HR" w:bidi="hr-HR"/>
        </w:rPr>
        <w:t xml:space="preserve"> »od naših učitelja«, za razliku od </w:t>
      </w:r>
      <w:r>
        <w:rPr>
          <w:rFonts w:ascii="Times New Roman" w:eastAsia="Times New Roman" w:hAnsi="Times New Roman" w:cs="Times New Roman"/>
          <w:i/>
          <w:iCs/>
          <w:color w:val="000000"/>
          <w:spacing w:val="0"/>
          <w:w w:val="100"/>
          <w:position w:val="0"/>
          <w:shd w:val="clear" w:color="auto" w:fill="auto"/>
          <w:lang w:val="hr-HR" w:eastAsia="hr-HR" w:bidi="hr-HR"/>
        </w:rPr>
        <w:t>mi- de-ora/ta,</w:t>
      </w:r>
      <w:r>
        <w:rPr>
          <w:rFonts w:ascii="Times New Roman" w:eastAsia="Times New Roman" w:hAnsi="Times New Roman" w:cs="Times New Roman"/>
          <w:color w:val="000000"/>
          <w:spacing w:val="0"/>
          <w:w w:val="100"/>
          <w:position w:val="0"/>
          <w:shd w:val="clear" w:color="auto" w:fill="auto"/>
          <w:lang w:val="hr-HR" w:eastAsia="hr-HR" w:bidi="hr-HR"/>
        </w:rPr>
        <w:t xml:space="preserve"> b Pesahim 10a; Suka 44a; usp. Eru- vin 23a); drugo, treba ih tako zaštititi da ih se ne prekrši, da 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18,30 djeluju kao »ograda Tore« </w:t>
      </w:r>
      <w:r>
        <w:rPr>
          <w:rFonts w:ascii="Times New Roman" w:eastAsia="Times New Roman" w:hAnsi="Times New Roman" w:cs="Times New Roman"/>
          <w:i/>
          <w:iCs/>
          <w:color w:val="000000"/>
          <w:spacing w:val="0"/>
          <w:w w:val="100"/>
          <w:position w:val="0"/>
          <w:shd w:val="clear" w:color="auto" w:fill="auto"/>
          <w:lang w:val="hr-HR" w:eastAsia="hr-HR" w:bidi="hr-HR"/>
        </w:rPr>
        <w:t>(sejag la-tora,</w:t>
      </w:r>
      <w:r>
        <w:rPr>
          <w:rFonts w:ascii="Times New Roman" w:eastAsia="Times New Roman" w:hAnsi="Times New Roman" w:cs="Times New Roman"/>
          <w:color w:val="000000"/>
          <w:spacing w:val="0"/>
          <w:w w:val="100"/>
          <w:position w:val="0"/>
          <w:shd w:val="clear" w:color="auto" w:fill="auto"/>
          <w:lang w:val="hr-HR" w:eastAsia="hr-HR" w:bidi="hr-HR"/>
        </w:rPr>
        <w:t xml:space="preserve"> M Avot 1,1) (usp. b Berahot 4b). Nakon toga mudraci su utvrdili odnos »pisane« i »usmene« Tore tako da Božja objava, doduše, odzvanja u glasu sa Sinaja, ali da se, kako bi se ostvarila u svojem neposrednom značenju, razumije tek u glasu u kojem je jasno artikuliran smisao.</w:t>
      </w:r>
    </w:p>
    <w:p>
      <w:pPr>
        <w:pStyle w:val="Style20"/>
        <w:keepNext w:val="0"/>
        <w:keepLines w:val="0"/>
        <w:widowControl w:val="0"/>
        <w:shd w:val="clear" w:color="auto" w:fill="auto"/>
        <w:bidi w:val="0"/>
        <w:spacing w:before="0" w:after="0" w:line="257" w:lineRule="auto"/>
        <w:ind w:left="0" w:right="0" w:firstLine="0"/>
        <w:jc w:val="both"/>
        <w:sectPr>
          <w:headerReference w:type="default" r:id="rId1731"/>
          <w:footerReference w:type="default" r:id="rId1732"/>
          <w:headerReference w:type="even" r:id="rId1733"/>
          <w:footerReference w:type="even" r:id="rId1734"/>
          <w:footnotePr>
            <w:pos w:val="pageBottom"/>
            <w:numFmt w:val="decimal"/>
            <w:numRestart w:val="continuous"/>
            <w15:footnoteColumns w:val="1"/>
          </w:footnotePr>
          <w:pgSz w:w="6816" w:h="11006"/>
          <w:pgMar w:top="965" w:left="194" w:right="199" w:bottom="537" w:header="0" w:footer="109" w:gutter="0"/>
          <w:pgNumType w:start="567"/>
          <w:cols w:num="2" w:space="18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Rabi Johanan nije to objasnio analitičkom in</w:t>
        <w:softHyphen/>
        <w:t>terpretacijom, već prije vezom nastalom pjes- ničko-stvaralačkom hermeneutikom od pro</w:t>
        <w:softHyphen/>
        <w:t xml:space="preserve">tumačive prariječi iz Izraelovc prošlosti do raznovrsnosti u razvitku njezina pravog smisla </w:t>
      </w:r>
    </w:p>
    <w:p>
      <w:pPr>
        <w:pStyle w:val="Style20"/>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sadašnjost židovskoga naroda: »Glas je iz</w:t>
        <w:softHyphen/>
        <w:t>govoren i podijelio se na sedamdeset glasova prema sedamdeset jezika«, »dajući... Izrael</w:t>
        <w:softHyphen/>
        <w:t>cima život«, kako je dodao rabin Tanhuma: »Dođi i vidi kako se glas priopćio svakom Iz</w:t>
        <w:softHyphen/>
        <w:t>raelcu prema njegovoj sposobnosti, starcima prema snazi, mladićima prema snazi, djeci prema snazi...« (Šemot raba V,4,27). Time je označen okvir za tvrdnju o jedinstvenom pod</w:t>
        <w:softHyphen/>
        <w:t>rijetlu »pisane« i »usmene« Tore iz Božje ob</w:t>
        <w:softHyphen/>
        <w:t>jave Mojsiju na Sinaju (M Avot 1,1; usp. Pca 11,6; Edujot Vili,7; Jadajim IV,3; b Kidušin 38b); u njoj je sveobuhvatno značenje, prem</w:t>
        <w:softHyphen/>
        <w:t>da rabini, znajući za taj problem, nisu prešut</w:t>
        <w:softHyphen/>
        <w:t>jeli njezinu teološku fikciju (b Menahot 29b): načelo objave nije se protivilo znanju mudra</w:t>
        <w:softHyphen/>
        <w:t>ca u vezi s kasnijim nastankom »usmene To</w:t>
        <w:softHyphen/>
        <w:t>re«; stoga su se njihove odluke dosljedno pre</w:t>
        <w:softHyphen/>
        <w:t xml:space="preserve">nosile predajom u ime svojih autora (b Suka 28a). Rabinska literatura naglašava jedinstvo Tore neovisno o tome odakle potječu pojedini elementi (M Kidušin 1,10; b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81a uz Izl 18,6) i smatra kako je može ugroziti samo nedostatno proučavanje (Tos. Sota XIV,9).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Promatrati povijest židovstva sa stajališta ko</w:t>
        <w:softHyphen/>
        <w:t xml:space="preserve">mentara na Tanah (hebrejsku Bibliju) (s tim u vezi u nastavku jedne teze B. Uffcnhcime- ra/G. Biemcra, Das Judcntum fur den Reli- gionsunterricht kennenlernen, u: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Freiburger </w:t>
      </w:r>
      <w:r>
        <w:rPr>
          <w:rFonts w:ascii="Times New Roman" w:eastAsia="Times New Roman" w:hAnsi="Times New Roman" w:cs="Times New Roman"/>
          <w:i/>
          <w:iCs/>
          <w:color w:val="000000"/>
          <w:spacing w:val="0"/>
          <w:w w:val="100"/>
          <w:position w:val="0"/>
          <w:shd w:val="clear" w:color="auto" w:fill="auto"/>
          <w:lang w:val="en-US" w:eastAsia="en-US" w:bidi="en-US"/>
        </w:rPr>
        <w:t>Rundbriefu</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XXX, 1978, 38-40,39) značilo bi, nakon razdoblja tumačenja, koje nam odraža</w:t>
        <w:softHyphen/>
        <w:t xml:space="preserve">va redakcija Misne, i monologa koji se vodio i kao razgraničenje od pneumatički-ekstatične egzegeze </w:t>
      </w:r>
      <w:r>
        <w:rPr>
          <w:rFonts w:ascii="Times New Roman" w:eastAsia="Times New Roman" w:hAnsi="Times New Roman" w:cs="Times New Roman"/>
          <w:color w:val="000000"/>
          <w:spacing w:val="0"/>
          <w:w w:val="100"/>
          <w:position w:val="0"/>
          <w:shd w:val="clear" w:color="auto" w:fill="auto"/>
          <w:lang w:val="en-US" w:eastAsia="en-US" w:bidi="en-US"/>
        </w:rPr>
        <w:t xml:space="preserve">(W. Bousset/H. Grossmann, </w:t>
      </w:r>
      <w:r>
        <w:rPr>
          <w:rFonts w:ascii="Times New Roman" w:eastAsia="Times New Roman" w:hAnsi="Times New Roman" w:cs="Times New Roman"/>
          <w:i/>
          <w:iCs/>
          <w:color w:val="000000"/>
          <w:spacing w:val="0"/>
          <w:w w:val="100"/>
          <w:position w:val="0"/>
          <w:shd w:val="clear" w:color="auto" w:fill="auto"/>
          <w:lang w:val="en-US" w:eastAsia="en-US" w:bidi="en-US"/>
        </w:rPr>
        <w:t>Die Re</w:t>
        <w:softHyphen/>
        <w:t xml:space="preserve">ligion des </w:t>
      </w:r>
      <w:r>
        <w:rPr>
          <w:rFonts w:ascii="Times New Roman" w:eastAsia="Times New Roman" w:hAnsi="Times New Roman" w:cs="Times New Roman"/>
          <w:i/>
          <w:iCs/>
          <w:color w:val="000000"/>
          <w:spacing w:val="0"/>
          <w:w w:val="100"/>
          <w:position w:val="0"/>
          <w:shd w:val="clear" w:color="auto" w:fill="auto"/>
          <w:lang w:val="hr-HR" w:eastAsia="hr-HR" w:bidi="hr-HR"/>
        </w:rPr>
        <w:t>Judentums im spiithellenistischen Zeitaller,</w:t>
      </w:r>
      <w:r>
        <w:rPr>
          <w:rFonts w:ascii="Times New Roman" w:eastAsia="Times New Roman" w:hAnsi="Times New Roman" w:cs="Times New Roman"/>
          <w:color w:val="000000"/>
          <w:spacing w:val="0"/>
          <w:w w:val="100"/>
          <w:position w:val="0"/>
          <w:shd w:val="clear" w:color="auto" w:fill="auto"/>
          <w:lang w:val="hr-HR" w:eastAsia="hr-HR" w:bidi="hr-HR"/>
        </w:rPr>
        <w:t xml:space="preserve"> ■’1966. 395 i d., 449 i d.), i čija je zbirka sačinjena u Gemari (G. </w:t>
      </w:r>
      <w:r>
        <w:rPr>
          <w:rFonts w:ascii="Times New Roman" w:eastAsia="Times New Roman" w:hAnsi="Times New Roman" w:cs="Times New Roman"/>
          <w:color w:val="000000"/>
          <w:spacing w:val="0"/>
          <w:w w:val="100"/>
          <w:position w:val="0"/>
          <w:shd w:val="clear" w:color="auto" w:fill="auto"/>
          <w:lang w:val="en-US" w:eastAsia="en-US" w:bidi="en-US"/>
        </w:rPr>
        <w:t xml:space="preserve">Stemberger,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Talmud,</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1982), prepoznati daljnje stadije interpretacije: u filozofski orijentiranom reli</w:t>
        <w:softHyphen/>
        <w:t xml:space="preserve">gijskom mišljenju, prije svega Majmonidovu, ali i u susretu s islamskom skolastikom (J. </w:t>
      </w:r>
      <w:r>
        <w:rPr>
          <w:rFonts w:ascii="Times New Roman" w:eastAsia="Times New Roman" w:hAnsi="Times New Roman" w:cs="Times New Roman"/>
          <w:color w:val="000000"/>
          <w:spacing w:val="0"/>
          <w:w w:val="100"/>
          <w:position w:val="0"/>
          <w:shd w:val="clear" w:color="auto" w:fill="auto"/>
          <w:lang w:val="en-US" w:eastAsia="en-US" w:bidi="en-US"/>
        </w:rPr>
        <w:t xml:space="preserve">Maier,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Geschichte der jiidischen </w:t>
      </w:r>
      <w:r>
        <w:rPr>
          <w:rFonts w:ascii="Times New Roman" w:eastAsia="Times New Roman" w:hAnsi="Times New Roman" w:cs="Times New Roman"/>
          <w:i/>
          <w:iCs/>
          <w:color w:val="000000"/>
          <w:spacing w:val="0"/>
          <w:w w:val="100"/>
          <w:position w:val="0"/>
          <w:shd w:val="clear" w:color="auto" w:fill="auto"/>
          <w:lang w:val="en-US" w:eastAsia="en-US" w:bidi="en-US"/>
        </w:rPr>
        <w:t xml:space="preserve">Religion, </w:t>
      </w:r>
      <w:r>
        <w:rPr>
          <w:rFonts w:ascii="Times New Roman" w:eastAsia="Times New Roman" w:hAnsi="Times New Roman" w:cs="Times New Roman"/>
          <w:color w:val="000000"/>
          <w:spacing w:val="0"/>
          <w:w w:val="100"/>
          <w:position w:val="0"/>
          <w:shd w:val="clear" w:color="auto" w:fill="auto"/>
          <w:lang w:val="hr-HR" w:eastAsia="hr-HR" w:bidi="hr-HR"/>
        </w:rPr>
        <w:t xml:space="preserve">1972, 263 i d., 352 i d.; R. R. Geis, </w:t>
      </w:r>
      <w:r>
        <w:rPr>
          <w:rFonts w:ascii="Times New Roman" w:eastAsia="Times New Roman" w:hAnsi="Times New Roman" w:cs="Times New Roman"/>
          <w:i/>
          <w:iCs/>
          <w:color w:val="000000"/>
          <w:spacing w:val="0"/>
          <w:w w:val="100"/>
          <w:position w:val="0"/>
          <w:shd w:val="clear" w:color="auto" w:fill="auto"/>
          <w:lang w:val="hr-HR" w:eastAsia="hr-HR" w:bidi="hr-HR"/>
        </w:rPr>
        <w:t>Goltes Mi- norirdt,</w:t>
      </w:r>
      <w:r>
        <w:rPr>
          <w:rFonts w:ascii="Times New Roman" w:eastAsia="Times New Roman" w:hAnsi="Times New Roman" w:cs="Times New Roman"/>
          <w:color w:val="000000"/>
          <w:spacing w:val="0"/>
          <w:w w:val="100"/>
          <w:position w:val="0"/>
          <w:shd w:val="clear" w:color="auto" w:fill="auto"/>
          <w:lang w:val="hr-HR" w:eastAsia="hr-HR" w:bidi="hr-HR"/>
        </w:rPr>
        <w:t xml:space="preserve"> 1971, 44), u mističkoj struji (G. </w:t>
      </w:r>
      <w:r>
        <w:rPr>
          <w:rFonts w:ascii="Times New Roman" w:eastAsia="Times New Roman" w:hAnsi="Times New Roman" w:cs="Times New Roman"/>
          <w:color w:val="000000"/>
          <w:spacing w:val="0"/>
          <w:w w:val="100"/>
          <w:position w:val="0"/>
          <w:shd w:val="clear" w:color="auto" w:fill="auto"/>
          <w:lang w:val="en-US" w:eastAsia="en-US" w:bidi="en-US"/>
        </w:rPr>
        <w:t xml:space="preserve">Seholem,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jiidische Mystik in </w:t>
      </w:r>
      <w:r>
        <w:rPr>
          <w:rFonts w:ascii="Times New Roman" w:eastAsia="Times New Roman" w:hAnsi="Times New Roman" w:cs="Times New Roman"/>
          <w:i/>
          <w:iCs/>
          <w:color w:val="000000"/>
          <w:spacing w:val="0"/>
          <w:w w:val="100"/>
          <w:position w:val="0"/>
          <w:shd w:val="clear" w:color="auto" w:fill="auto"/>
          <w:lang w:val="hr-HR" w:eastAsia="hr-HR" w:bidi="hr-HR"/>
        </w:rPr>
        <w:t>ihren Haupt- strbmungcn,</w:t>
      </w:r>
      <w:r>
        <w:rPr>
          <w:rFonts w:ascii="Times New Roman" w:eastAsia="Times New Roman" w:hAnsi="Times New Roman" w:cs="Times New Roman"/>
          <w:color w:val="000000"/>
          <w:spacing w:val="0"/>
          <w:w w:val="100"/>
          <w:position w:val="0"/>
          <w:shd w:val="clear" w:color="auto" w:fill="auto"/>
          <w:lang w:val="hr-HR" w:eastAsia="hr-HR" w:bidi="hr-HR"/>
        </w:rPr>
        <w:t xml:space="preserve"> 1957, posebice 267 i d.), u religij</w:t>
        <w:softHyphen/>
        <w:t xml:space="preserve">skim težnjama </w:t>
      </w:r>
      <w:r>
        <w:rPr>
          <w:rFonts w:ascii="Times New Roman" w:eastAsia="Times New Roman" w:hAnsi="Times New Roman" w:cs="Times New Roman"/>
          <w:color w:val="000000"/>
          <w:spacing w:val="0"/>
          <w:w w:val="100"/>
          <w:position w:val="0"/>
          <w:shd w:val="clear" w:color="auto" w:fill="auto"/>
          <w:lang w:val="en-US" w:eastAsia="en-US" w:bidi="en-US"/>
        </w:rPr>
        <w:t xml:space="preserve">XIX./XX.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w:t>
      </w:r>
      <w:r>
        <w:rPr>
          <w:rFonts w:ascii="Times New Roman" w:eastAsia="Times New Roman" w:hAnsi="Times New Roman" w:cs="Times New Roman"/>
          <w:color w:val="000000"/>
          <w:spacing w:val="0"/>
          <w:w w:val="100"/>
          <w:position w:val="0"/>
          <w:shd w:val="clear" w:color="auto" w:fill="auto"/>
          <w:lang w:val="en-US" w:eastAsia="en-US" w:bidi="en-US"/>
        </w:rPr>
        <w:t xml:space="preserve">(J. Maier, op. </w:t>
      </w:r>
      <w:r>
        <w:rPr>
          <w:rFonts w:ascii="Times New Roman" w:eastAsia="Times New Roman" w:hAnsi="Times New Roman" w:cs="Times New Roman"/>
          <w:color w:val="000000"/>
          <w:spacing w:val="0"/>
          <w:w w:val="100"/>
          <w:position w:val="0"/>
          <w:shd w:val="clear" w:color="auto" w:fill="auto"/>
          <w:lang w:val="hr-HR" w:eastAsia="hr-HR" w:bidi="hr-HR"/>
        </w:rPr>
        <w:t xml:space="preserve">cit., 539 i d.; M. </w:t>
      </w:r>
      <w:r>
        <w:rPr>
          <w:rFonts w:ascii="Times New Roman" w:eastAsia="Times New Roman" w:hAnsi="Times New Roman" w:cs="Times New Roman"/>
          <w:color w:val="000000"/>
          <w:spacing w:val="0"/>
          <w:w w:val="100"/>
          <w:position w:val="0"/>
          <w:shd w:val="clear" w:color="auto" w:fill="auto"/>
          <w:lang w:val="en-US" w:eastAsia="en-US" w:bidi="en-US"/>
        </w:rPr>
        <w:t xml:space="preserve">Buber,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Jiidische Bewegung </w:t>
      </w:r>
      <w:r>
        <w:rPr>
          <w:rFonts w:ascii="Times New Roman" w:eastAsia="Times New Roman" w:hAnsi="Times New Roman" w:cs="Times New Roman"/>
          <w:color w:val="000000"/>
          <w:spacing w:val="0"/>
          <w:w w:val="100"/>
          <w:position w:val="0"/>
          <w:shd w:val="clear" w:color="auto" w:fill="auto"/>
          <w:lang w:val="en-US" w:eastAsia="en-US" w:bidi="en-US"/>
        </w:rPr>
        <w:t xml:space="preserve">I, 1916; II, 1920; </w:t>
      </w:r>
      <w:r>
        <w:rPr>
          <w:rFonts w:ascii="Times New Roman" w:eastAsia="Times New Roman" w:hAnsi="Times New Roman" w:cs="Times New Roman"/>
          <w:color w:val="000000"/>
          <w:spacing w:val="0"/>
          <w:w w:val="100"/>
          <w:position w:val="0"/>
          <w:shd w:val="clear" w:color="auto" w:fill="auto"/>
          <w:lang w:val="hr-HR" w:eastAsia="hr-HR" w:bidi="hr-HR"/>
        </w:rPr>
        <w:t xml:space="preserve">isti, </w:t>
      </w:r>
      <w:r>
        <w:rPr>
          <w:rFonts w:ascii="Times New Roman" w:eastAsia="Times New Roman" w:hAnsi="Times New Roman" w:cs="Times New Roman"/>
          <w:i/>
          <w:iCs/>
          <w:color w:val="000000"/>
          <w:spacing w:val="0"/>
          <w:w w:val="100"/>
          <w:position w:val="0"/>
          <w:shd w:val="clear" w:color="auto" w:fill="auto"/>
          <w:lang w:val="en-US" w:eastAsia="en-US" w:bidi="en-US"/>
        </w:rPr>
        <w:t>Drei Reden uber das Ju- dentum,</w:t>
      </w:r>
      <w:r>
        <w:rPr>
          <w:rFonts w:ascii="Times New Roman" w:eastAsia="Times New Roman" w:hAnsi="Times New Roman" w:cs="Times New Roman"/>
          <w:color w:val="000000"/>
          <w:spacing w:val="0"/>
          <w:w w:val="100"/>
          <w:position w:val="0"/>
          <w:shd w:val="clear" w:color="auto" w:fill="auto"/>
          <w:lang w:val="en-US" w:eastAsia="en-US" w:bidi="en-US"/>
        </w:rPr>
        <w:t xml:space="preserve"> 1911; </w:t>
      </w:r>
      <w:r>
        <w:rPr>
          <w:rFonts w:ascii="Times New Roman" w:eastAsia="Times New Roman" w:hAnsi="Times New Roman" w:cs="Times New Roman"/>
          <w:color w:val="000000"/>
          <w:spacing w:val="0"/>
          <w:w w:val="100"/>
          <w:position w:val="0"/>
          <w:shd w:val="clear" w:color="auto" w:fill="auto"/>
          <w:lang w:val="hr-HR" w:eastAsia="hr-HR" w:bidi="hr-HR"/>
        </w:rPr>
        <w:t xml:space="preserve">isti, </w:t>
      </w:r>
      <w:r>
        <w:rPr>
          <w:rFonts w:ascii="Times New Roman" w:eastAsia="Times New Roman" w:hAnsi="Times New Roman" w:cs="Times New Roman"/>
          <w:i/>
          <w:iCs/>
          <w:color w:val="000000"/>
          <w:spacing w:val="0"/>
          <w:w w:val="100"/>
          <w:position w:val="0"/>
          <w:shd w:val="clear" w:color="auto" w:fill="auto"/>
          <w:lang w:val="en-US" w:eastAsia="en-US" w:bidi="en-US"/>
        </w:rPr>
        <w:t>Der Jude und sein Juden- tum,</w:t>
      </w:r>
      <w:r>
        <w:rPr>
          <w:rFonts w:ascii="Times New Roman" w:eastAsia="Times New Roman" w:hAnsi="Times New Roman" w:cs="Times New Roman"/>
          <w:color w:val="000000"/>
          <w:spacing w:val="0"/>
          <w:w w:val="100"/>
          <w:position w:val="0"/>
          <w:shd w:val="clear" w:color="auto" w:fill="auto"/>
          <w:lang w:val="en-US" w:eastAsia="en-US" w:bidi="en-US"/>
        </w:rPr>
        <w:t xml:space="preserve"> 1963; G. Seholem, Martin Bubers Auf- fassung des Judentums, u: </w:t>
      </w:r>
      <w:r>
        <w:rPr>
          <w:rFonts w:ascii="Times New Roman" w:eastAsia="Times New Roman" w:hAnsi="Times New Roman" w:cs="Times New Roman"/>
          <w:i/>
          <w:iCs/>
          <w:color w:val="000000"/>
          <w:spacing w:val="0"/>
          <w:w w:val="100"/>
          <w:position w:val="0"/>
          <w:shd w:val="clear" w:color="auto" w:fill="auto"/>
          <w:lang w:val="en-US" w:eastAsia="en-US" w:bidi="en-US"/>
        </w:rPr>
        <w:t>Judaica 2,</w:t>
      </w:r>
      <w:r>
        <w:rPr>
          <w:rFonts w:ascii="Times New Roman" w:eastAsia="Times New Roman" w:hAnsi="Times New Roman" w:cs="Times New Roman"/>
          <w:color w:val="000000"/>
          <w:spacing w:val="0"/>
          <w:w w:val="100"/>
          <w:position w:val="0"/>
          <w:shd w:val="clear" w:color="auto" w:fill="auto"/>
          <w:lang w:val="en-US" w:eastAsia="en-US" w:bidi="en-US"/>
        </w:rPr>
        <w:t xml:space="preserve"> 1977, </w:t>
      </w:r>
      <w:r>
        <w:rPr>
          <w:rFonts w:ascii="Times New Roman" w:eastAsia="Times New Roman" w:hAnsi="Times New Roman" w:cs="Times New Roman"/>
          <w:color w:val="000000"/>
          <w:spacing w:val="0"/>
          <w:w w:val="100"/>
          <w:position w:val="0"/>
          <w:shd w:val="clear" w:color="auto" w:fill="auto"/>
          <w:lang w:val="en-US" w:eastAsia="en-US" w:bidi="en-US"/>
        </w:rPr>
        <w:t xml:space="preserve">133-192; L. Baeck,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Wesen des Judentums, </w:t>
      </w:r>
      <w:r>
        <w:rPr>
          <w:rFonts w:ascii="Times New Roman" w:eastAsia="Times New Roman" w:hAnsi="Times New Roman" w:cs="Times New Roman"/>
          <w:color w:val="000000"/>
          <w:spacing w:val="0"/>
          <w:w w:val="100"/>
          <w:position w:val="0"/>
          <w:shd w:val="clear" w:color="auto" w:fill="auto"/>
          <w:lang w:val="en-US" w:eastAsia="en-US" w:bidi="en-US"/>
        </w:rPr>
        <w:t>1905,</w:t>
      </w:r>
      <w:r>
        <w:rPr>
          <w:rFonts w:ascii="Times New Roman" w:eastAsia="Times New Roman" w:hAnsi="Times New Roman" w:cs="Times New Roman"/>
          <w:color w:val="000000"/>
          <w:spacing w:val="0"/>
          <w:w w:val="100"/>
          <w:position w:val="0"/>
          <w:shd w:val="clear" w:color="auto" w:fill="auto"/>
          <w:vertAlign w:val="superscript"/>
          <w:lang w:val="en-US" w:eastAsia="en-US" w:bidi="en-US"/>
        </w:rPr>
        <w:t>6</w:t>
      </w:r>
      <w:r>
        <w:rPr>
          <w:rFonts w:ascii="Times New Roman" w:eastAsia="Times New Roman" w:hAnsi="Times New Roman" w:cs="Times New Roman"/>
          <w:color w:val="000000"/>
          <w:spacing w:val="0"/>
          <w:w w:val="100"/>
          <w:position w:val="0"/>
          <w:shd w:val="clear" w:color="auto" w:fill="auto"/>
          <w:lang w:val="en-US" w:eastAsia="en-US" w:bidi="en-US"/>
        </w:rPr>
        <w:t xml:space="preserve">1960; M. M. Kaplan, </w:t>
      </w:r>
      <w:r>
        <w:rPr>
          <w:rFonts w:ascii="Times New Roman" w:eastAsia="Times New Roman" w:hAnsi="Times New Roman" w:cs="Times New Roman"/>
          <w:i/>
          <w:iCs/>
          <w:color w:val="000000"/>
          <w:spacing w:val="0"/>
          <w:w w:val="100"/>
          <w:position w:val="0"/>
          <w:shd w:val="clear" w:color="auto" w:fill="auto"/>
          <w:lang w:val="en-US" w:eastAsia="en-US" w:bidi="en-US"/>
        </w:rPr>
        <w:t>Questions Jews Ask: Reconstructionist Answers,</w:t>
      </w:r>
      <w:r>
        <w:rPr>
          <w:rFonts w:ascii="Times New Roman" w:eastAsia="Times New Roman" w:hAnsi="Times New Roman" w:cs="Times New Roman"/>
          <w:color w:val="000000"/>
          <w:spacing w:val="0"/>
          <w:w w:val="100"/>
          <w:position w:val="0"/>
          <w:shd w:val="clear" w:color="auto" w:fill="auto"/>
          <w:lang w:val="en-US" w:eastAsia="en-US" w:bidi="en-US"/>
        </w:rPr>
        <w:t xml:space="preserve"> 1956), </w:t>
      </w:r>
      <w:r>
        <w:rPr>
          <w:rFonts w:ascii="Times New Roman" w:eastAsia="Times New Roman" w:hAnsi="Times New Roman" w:cs="Times New Roman"/>
          <w:color w:val="000000"/>
          <w:spacing w:val="0"/>
          <w:w w:val="100"/>
          <w:position w:val="0"/>
          <w:shd w:val="clear" w:color="auto" w:fill="auto"/>
          <w:lang w:val="hr-HR" w:eastAsia="hr-HR" w:bidi="hr-HR"/>
        </w:rPr>
        <w:t>u utjecaju ži</w:t>
        <w:softHyphen/>
        <w:t>voga svjetovnoga hebrejskog jezika u XX. sto</w:t>
        <w:softHyphen/>
        <w:t xml:space="preserve">ljeću (F. </w:t>
      </w:r>
      <w:r>
        <w:rPr>
          <w:rFonts w:ascii="Times New Roman" w:eastAsia="Times New Roman" w:hAnsi="Times New Roman" w:cs="Times New Roman"/>
          <w:color w:val="000000"/>
          <w:spacing w:val="0"/>
          <w:w w:val="100"/>
          <w:position w:val="0"/>
          <w:shd w:val="clear" w:color="auto" w:fill="auto"/>
          <w:lang w:val="en-US" w:eastAsia="en-US" w:bidi="en-US"/>
        </w:rPr>
        <w:t xml:space="preserve">Rosenzweig, </w:t>
      </w:r>
      <w:r>
        <w:rPr>
          <w:rFonts w:ascii="Times New Roman" w:eastAsia="Times New Roman" w:hAnsi="Times New Roman" w:cs="Times New Roman"/>
          <w:color w:val="000000"/>
          <w:spacing w:val="0"/>
          <w:w w:val="100"/>
          <w:position w:val="0"/>
          <w:shd w:val="clear" w:color="auto" w:fill="auto"/>
          <w:lang w:val="hr-HR" w:eastAsia="hr-HR" w:bidi="hr-HR"/>
        </w:rPr>
        <w:t xml:space="preserve">Neuhebraisch?, u: </w:t>
      </w:r>
      <w:r>
        <w:rPr>
          <w:rFonts w:ascii="Times New Roman" w:eastAsia="Times New Roman" w:hAnsi="Times New Roman" w:cs="Times New Roman"/>
          <w:i/>
          <w:iCs/>
          <w:color w:val="000000"/>
          <w:spacing w:val="0"/>
          <w:w w:val="100"/>
          <w:position w:val="0"/>
          <w:shd w:val="clear" w:color="auto" w:fill="auto"/>
          <w:lang w:val="hr-HR" w:eastAsia="hr-HR" w:bidi="hr-HR"/>
        </w:rPr>
        <w:t>Klei- nere Schriften,</w:t>
      </w:r>
      <w:r>
        <w:rPr>
          <w:rFonts w:ascii="Times New Roman" w:eastAsia="Times New Roman" w:hAnsi="Times New Roman" w:cs="Times New Roman"/>
          <w:color w:val="000000"/>
          <w:spacing w:val="0"/>
          <w:w w:val="100"/>
          <w:position w:val="0"/>
          <w:shd w:val="clear" w:color="auto" w:fill="auto"/>
          <w:lang w:val="hr-HR" w:eastAsia="hr-HR" w:bidi="hr-HR"/>
        </w:rPr>
        <w:t xml:space="preserve"> 1937, 220-27; E. </w:t>
      </w:r>
      <w:r>
        <w:rPr>
          <w:rFonts w:ascii="Times New Roman" w:eastAsia="Times New Roman" w:hAnsi="Times New Roman" w:cs="Times New Roman"/>
          <w:color w:val="000000"/>
          <w:spacing w:val="0"/>
          <w:w w:val="100"/>
          <w:position w:val="0"/>
          <w:shd w:val="clear" w:color="auto" w:fill="auto"/>
          <w:lang w:val="en-US" w:eastAsia="en-US" w:bidi="en-US"/>
        </w:rPr>
        <w:t xml:space="preserve">Simon, </w:t>
      </w:r>
      <w:r>
        <w:rPr>
          <w:rFonts w:ascii="Times New Roman" w:eastAsia="Times New Roman" w:hAnsi="Times New Roman" w:cs="Times New Roman"/>
          <w:color w:val="000000"/>
          <w:spacing w:val="0"/>
          <w:w w:val="100"/>
          <w:position w:val="0"/>
          <w:shd w:val="clear" w:color="auto" w:fill="auto"/>
          <w:lang w:val="hr-HR" w:eastAsia="hr-HR" w:bidi="hr-HR"/>
        </w:rPr>
        <w:t xml:space="preserve">Jugcnd und </w:t>
      </w:r>
      <w:r>
        <w:rPr>
          <w:rFonts w:ascii="Times New Roman" w:eastAsia="Times New Roman" w:hAnsi="Times New Roman" w:cs="Times New Roman"/>
          <w:color w:val="000000"/>
          <w:spacing w:val="0"/>
          <w:w w:val="100"/>
          <w:position w:val="0"/>
          <w:shd w:val="clear" w:color="auto" w:fill="auto"/>
          <w:lang w:val="en-US" w:eastAsia="en-US" w:bidi="en-US"/>
        </w:rPr>
        <w:t xml:space="preserve">Religion in Israel,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Briicken,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1965, 340-47; </w:t>
      </w:r>
      <w:r>
        <w:rPr>
          <w:rFonts w:ascii="Times New Roman" w:eastAsia="Times New Roman" w:hAnsi="Times New Roman" w:cs="Times New Roman"/>
          <w:i/>
          <w:iCs/>
          <w:color w:val="000000"/>
          <w:spacing w:val="0"/>
          <w:w w:val="100"/>
          <w:position w:val="0"/>
          <w:shd w:val="clear" w:color="auto" w:fill="auto"/>
          <w:lang w:val="en-US" w:eastAsia="en-US" w:bidi="en-US"/>
        </w:rPr>
        <w:t>Encyclopaedia Judaica</w:t>
      </w:r>
      <w:r>
        <w:rPr>
          <w:rFonts w:ascii="Times New Roman" w:eastAsia="Times New Roman" w:hAnsi="Times New Roman" w:cs="Times New Roman"/>
          <w:color w:val="000000"/>
          <w:spacing w:val="0"/>
          <w:w w:val="100"/>
          <w:position w:val="0"/>
          <w:shd w:val="clear" w:color="auto" w:fill="auto"/>
          <w:lang w:val="en-US" w:eastAsia="en-US" w:bidi="en-US"/>
        </w:rPr>
        <w:t xml:space="preserve"> 8,</w:t>
      </w:r>
      <w:r>
        <w:rPr>
          <w:rFonts w:ascii="Times New Roman" w:eastAsia="Times New Roman" w:hAnsi="Times New Roman" w:cs="Times New Roman"/>
          <w:color w:val="000000"/>
          <w:spacing w:val="0"/>
          <w:w w:val="100"/>
          <w:position w:val="0"/>
          <w:shd w:val="clear" w:color="auto" w:fill="auto"/>
          <w:vertAlign w:val="superscript"/>
          <w:lang w:val="en-US" w:eastAsia="en-US" w:bidi="en-US"/>
        </w:rPr>
        <w:t>4</w:t>
      </w:r>
      <w:r>
        <w:rPr>
          <w:rFonts w:ascii="Times New Roman" w:eastAsia="Times New Roman" w:hAnsi="Times New Roman" w:cs="Times New Roman"/>
          <w:color w:val="000000"/>
          <w:spacing w:val="0"/>
          <w:w w:val="100"/>
          <w:position w:val="0"/>
          <w:shd w:val="clear" w:color="auto" w:fill="auto"/>
          <w:lang w:val="en-US" w:eastAsia="en-US" w:bidi="en-US"/>
        </w:rPr>
        <w:t>1978, 188-214).</w:t>
      </w:r>
    </w:p>
    <w:p>
      <w:pPr>
        <w:pStyle w:val="Style20"/>
        <w:keepNext w:val="0"/>
        <w:keepLines w:val="0"/>
        <w:widowControl w:val="0"/>
        <w:numPr>
          <w:ilvl w:val="0"/>
          <w:numId w:val="673"/>
        </w:numPr>
        <w:shd w:val="clear" w:color="auto" w:fill="auto"/>
        <w:tabs>
          <w:tab w:pos="265" w:val="left"/>
        </w:tabs>
        <w:bidi w:val="0"/>
        <w:spacing w:before="0" w:after="0"/>
        <w:ind w:left="0" w:right="0" w:firstLine="0"/>
        <w:jc w:val="both"/>
        <w:sectPr>
          <w:headerReference w:type="default" r:id="rId1735"/>
          <w:footerReference w:type="default" r:id="rId1736"/>
          <w:headerReference w:type="even" r:id="rId1737"/>
          <w:footerReference w:type="even" r:id="rId1738"/>
          <w:footnotePr>
            <w:pos w:val="pageBottom"/>
            <w:numFmt w:val="decimal"/>
            <w:numRestart w:val="continuous"/>
            <w15:footnoteColumns w:val="1"/>
          </w:footnotePr>
          <w:pgSz w:w="6816" w:h="11006"/>
          <w:pgMar w:top="965" w:left="194" w:right="199" w:bottom="537" w:header="0" w:footer="3" w:gutter="0"/>
          <w:pgNumType w:start="564"/>
          <w:cols w:num="2" w:space="188"/>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 xml:space="preserve">Židovski životni </w:t>
      </w:r>
      <w:r>
        <w:rPr>
          <w:rFonts w:ascii="Times New Roman" w:eastAsia="Times New Roman" w:hAnsi="Times New Roman" w:cs="Times New Roman"/>
          <w:i/>
          <w:iCs/>
          <w:color w:val="000000"/>
          <w:spacing w:val="0"/>
          <w:w w:val="100"/>
          <w:position w:val="0"/>
          <w:shd w:val="clear" w:color="auto" w:fill="auto"/>
          <w:lang w:val="en-US" w:eastAsia="en-US" w:bidi="en-US"/>
        </w:rPr>
        <w:t xml:space="preserve">put </w:t>
      </w:r>
      <w:r>
        <w:rPr>
          <w:rFonts w:ascii="Times New Roman" w:eastAsia="Times New Roman" w:hAnsi="Times New Roman" w:cs="Times New Roman"/>
          <w:i/>
          <w:iCs/>
          <w:color w:val="000000"/>
          <w:spacing w:val="0"/>
          <w:w w:val="100"/>
          <w:position w:val="0"/>
          <w:shd w:val="clear" w:color="auto" w:fill="auto"/>
          <w:lang w:val="hr-HR" w:eastAsia="hr-HR" w:bidi="hr-HR"/>
        </w:rPr>
        <w:t>i njegov smisao:</w:t>
      </w:r>
      <w:r>
        <w:rPr>
          <w:rFonts w:ascii="Times New Roman" w:eastAsia="Times New Roman" w:hAnsi="Times New Roman" w:cs="Times New Roman"/>
          <w:color w:val="000000"/>
          <w:spacing w:val="0"/>
          <w:w w:val="100"/>
          <w:position w:val="0"/>
          <w:shd w:val="clear" w:color="auto" w:fill="auto"/>
          <w:lang w:val="hr-HR" w:eastAsia="hr-HR" w:bidi="hr-HR"/>
        </w:rPr>
        <w:t xml:space="preserve"> Njegov komentar uz Bibliju kvalitativno razlikuje židovski narod od svih modernih nacija, ali i od svih drugih religija. Halaha, specifičan židovski životni put (»vjerski zakonik«) obu</w:t>
        <w:softHyphen/>
        <w:t>hvaća, oblikuje i obilježava - potpuno u smis</w:t>
        <w:softHyphen/>
        <w:t>lu životnoga pravilnika utemeljenoga na »pi</w:t>
        <w:softHyphen/>
        <w:t xml:space="preserve">sanoj Tori«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18,5) - židovski život. To se može naslutiti u temeljnim tradicijskim pogle</w:t>
        <w:softHyphen/>
        <w:t xml:space="preserve">dima (s tim u vezi E. </w:t>
      </w:r>
      <w:r>
        <w:rPr>
          <w:rFonts w:ascii="Times New Roman" w:eastAsia="Times New Roman" w:hAnsi="Times New Roman" w:cs="Times New Roman"/>
          <w:color w:val="000000"/>
          <w:spacing w:val="0"/>
          <w:w w:val="100"/>
          <w:position w:val="0"/>
          <w:shd w:val="clear" w:color="auto" w:fill="auto"/>
          <w:lang w:val="en-US" w:eastAsia="en-US" w:bidi="en-US"/>
        </w:rPr>
        <w:t xml:space="preserve">Simon, </w:t>
      </w:r>
      <w:r>
        <w:rPr>
          <w:rFonts w:ascii="Times New Roman" w:eastAsia="Times New Roman" w:hAnsi="Times New Roman" w:cs="Times New Roman"/>
          <w:color w:val="000000"/>
          <w:spacing w:val="0"/>
          <w:w w:val="100"/>
          <w:position w:val="0"/>
          <w:shd w:val="clear" w:color="auto" w:fill="auto"/>
          <w:lang w:val="hr-HR" w:eastAsia="hr-HR" w:bidi="hr-HR"/>
        </w:rPr>
        <w:t xml:space="preserve">Totalitat und An- titotalitarismus </w:t>
      </w:r>
      <w:r>
        <w:rPr>
          <w:rFonts w:ascii="Times New Roman" w:eastAsia="Times New Roman" w:hAnsi="Times New Roman" w:cs="Times New Roman"/>
          <w:color w:val="000000"/>
          <w:spacing w:val="0"/>
          <w:w w:val="100"/>
          <w:position w:val="0"/>
          <w:shd w:val="clear" w:color="auto" w:fill="auto"/>
          <w:lang w:val="en-US" w:eastAsia="en-US" w:bidi="en-US"/>
        </w:rPr>
        <w:t xml:space="preserve">als Wcsensziige des </w:t>
      </w:r>
      <w:r>
        <w:rPr>
          <w:rFonts w:ascii="Times New Roman" w:eastAsia="Times New Roman" w:hAnsi="Times New Roman" w:cs="Times New Roman"/>
          <w:color w:val="000000"/>
          <w:spacing w:val="0"/>
          <w:w w:val="100"/>
          <w:position w:val="0"/>
          <w:shd w:val="clear" w:color="auto" w:fill="auto"/>
          <w:lang w:val="hr-HR" w:eastAsia="hr-HR" w:bidi="hr-HR"/>
        </w:rPr>
        <w:t xml:space="preserve">iiber- licfcrtcn Judentums, u: </w:t>
      </w:r>
      <w:r>
        <w:rPr>
          <w:rFonts w:ascii="Times New Roman" w:eastAsia="Times New Roman" w:hAnsi="Times New Roman" w:cs="Times New Roman"/>
          <w:i/>
          <w:iCs/>
          <w:color w:val="000000"/>
          <w:spacing w:val="0"/>
          <w:w w:val="100"/>
          <w:position w:val="0"/>
          <w:shd w:val="clear" w:color="auto" w:fill="auto"/>
          <w:lang w:val="hr-HR" w:eastAsia="hr-HR" w:bidi="hr-HR"/>
        </w:rPr>
        <w:t>Entscheidung zum Ju- dentum,</w:t>
      </w:r>
      <w:r>
        <w:rPr>
          <w:rFonts w:ascii="Times New Roman" w:eastAsia="Times New Roman" w:hAnsi="Times New Roman" w:cs="Times New Roman"/>
          <w:color w:val="000000"/>
          <w:spacing w:val="0"/>
          <w:w w:val="100"/>
          <w:position w:val="0"/>
          <w:shd w:val="clear" w:color="auto" w:fill="auto"/>
          <w:lang w:val="hr-HR" w:eastAsia="hr-HR" w:bidi="hr-HR"/>
        </w:rPr>
        <w:t xml:space="preserve"> 1980, 33-73; isti,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Volk der Vber- </w:t>
      </w:r>
      <w:r>
        <w:rPr>
          <w:rFonts w:ascii="Times New Roman" w:eastAsia="Times New Roman" w:hAnsi="Times New Roman" w:cs="Times New Roman"/>
          <w:i/>
          <w:iCs/>
          <w:color w:val="000000"/>
          <w:spacing w:val="0"/>
          <w:w w:val="100"/>
          <w:position w:val="0"/>
          <w:shd w:val="clear" w:color="auto" w:fill="auto"/>
          <w:lang w:val="en-US" w:eastAsia="en-US" w:bidi="en-US"/>
        </w:rPr>
        <w:t>lieferung,</w:t>
      </w:r>
      <w:r>
        <w:rPr>
          <w:rFonts w:ascii="Times New Roman" w:eastAsia="Times New Roman" w:hAnsi="Times New Roman" w:cs="Times New Roman"/>
          <w:color w:val="000000"/>
          <w:spacing w:val="0"/>
          <w:w w:val="100"/>
          <w:position w:val="0"/>
          <w:shd w:val="clear" w:color="auto" w:fill="auto"/>
          <w:lang w:val="en-US" w:eastAsia="en-US" w:bidi="en-US"/>
        </w:rPr>
        <w:t xml:space="preserve"> ibid., </w:t>
      </w:r>
      <w:r>
        <w:rPr>
          <w:rFonts w:ascii="Times New Roman" w:eastAsia="Times New Roman" w:hAnsi="Times New Roman" w:cs="Times New Roman"/>
          <w:color w:val="000000"/>
          <w:spacing w:val="0"/>
          <w:w w:val="100"/>
          <w:position w:val="0"/>
          <w:shd w:val="clear" w:color="auto" w:fill="auto"/>
          <w:lang w:val="hr-HR" w:eastAsia="hr-HR" w:bidi="hr-HR"/>
        </w:rPr>
        <w:t>75-99): parcijalna askeza označava stav prema stvaranju; ne isključuje asketski neko područje života - središnja ha- laška područja primjene su prehrana, spolni život, gospodarstvo, društvo i država - niti ne</w:t>
        <w:softHyphen/>
        <w:t xml:space="preserve">ko područje antiaskctski ne prepušta samom sebi. Halaha traži neograničeno predavanje židovskoga naroda svojim pravilima, ali to ne traži od drugih naroda; njezini »pravednici« dokazuju se tako što poštuju »sedam noahid- skih zapovijedi« (b </w:t>
      </w:r>
      <w:r>
        <w:rPr>
          <w:rFonts w:ascii="Times New Roman" w:eastAsia="Times New Roman" w:hAnsi="Times New Roman" w:cs="Times New Roman"/>
          <w:color w:val="000000"/>
          <w:spacing w:val="0"/>
          <w:w w:val="100"/>
          <w:position w:val="0"/>
          <w:shd w:val="clear" w:color="auto" w:fill="auto"/>
          <w:lang w:val="en-US" w:eastAsia="en-US" w:bidi="en-US"/>
        </w:rPr>
        <w:t xml:space="preserve">Avoda </w:t>
      </w:r>
      <w:r>
        <w:rPr>
          <w:rFonts w:ascii="Times New Roman" w:eastAsia="Times New Roman" w:hAnsi="Times New Roman" w:cs="Times New Roman"/>
          <w:color w:val="000000"/>
          <w:spacing w:val="0"/>
          <w:w w:val="100"/>
          <w:position w:val="0"/>
          <w:shd w:val="clear" w:color="auto" w:fill="auto"/>
          <w:lang w:val="hr-HR" w:eastAsia="hr-HR" w:bidi="hr-HR"/>
        </w:rPr>
        <w:t xml:space="preserve">žara 64b; </w:t>
      </w:r>
      <w:r>
        <w:rPr>
          <w:rFonts w:ascii="Times New Roman" w:eastAsia="Times New Roman" w:hAnsi="Times New Roman" w:cs="Times New Roman"/>
          <w:color w:val="000000"/>
          <w:spacing w:val="0"/>
          <w:w w:val="100"/>
          <w:position w:val="0"/>
          <w:shd w:val="clear" w:color="auto" w:fill="auto"/>
          <w:lang w:val="en-US" w:eastAsia="en-US" w:bidi="en-US"/>
        </w:rPr>
        <w:t>San</w:t>
        <w:softHyphen/>
        <w:t xml:space="preserve">hedrin </w:t>
      </w:r>
      <w:r>
        <w:rPr>
          <w:rFonts w:ascii="Times New Roman" w:eastAsia="Times New Roman" w:hAnsi="Times New Roman" w:cs="Times New Roman"/>
          <w:color w:val="000000"/>
          <w:spacing w:val="0"/>
          <w:w w:val="100"/>
          <w:position w:val="0"/>
          <w:shd w:val="clear" w:color="auto" w:fill="auto"/>
          <w:lang w:val="hr-HR" w:eastAsia="hr-HR" w:bidi="hr-HR"/>
        </w:rPr>
        <w:t xml:space="preserve">56b) kao zahtjev koji im je postavio Bog (Tos.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xml:space="preserve">XIII,2; Majmonid, </w:t>
      </w:r>
      <w:r>
        <w:rPr>
          <w:rFonts w:ascii="Times New Roman" w:eastAsia="Times New Roman" w:hAnsi="Times New Roman" w:cs="Times New Roman"/>
          <w:i/>
          <w:iCs/>
          <w:color w:val="000000"/>
          <w:spacing w:val="0"/>
          <w:w w:val="100"/>
          <w:position w:val="0"/>
          <w:shd w:val="clear" w:color="auto" w:fill="auto"/>
          <w:lang w:val="hr-HR" w:eastAsia="hr-HR" w:bidi="hr-HR"/>
        </w:rPr>
        <w:t>Mii- ne Tora, Melahim</w:t>
      </w:r>
      <w:r>
        <w:rPr>
          <w:rFonts w:ascii="Times New Roman" w:eastAsia="Times New Roman" w:hAnsi="Times New Roman" w:cs="Times New Roman"/>
          <w:color w:val="000000"/>
          <w:spacing w:val="0"/>
          <w:w w:val="100"/>
          <w:position w:val="0"/>
          <w:shd w:val="clear" w:color="auto" w:fill="auto"/>
          <w:lang w:val="hr-HR" w:eastAsia="hr-HR" w:bidi="hr-HR"/>
        </w:rPr>
        <w:t xml:space="preserve"> VIII,11). I tu je židovski živ</w:t>
        <w:softHyphen/>
        <w:t>otni put djelomice suzdržan, pa se razmjerno lako može odreći aktivne propagande i otežati prijelaz na ž. (Jabmut 47a-b; Menahot 44a). Skučenost prema unutra i širina prema van uvjetuju jedna drugu. Tradicijskom židovstvu pomaže njegova neutopijska mesijanska nada da će uspjeti procijeniti neotkupljcni svijet i pokušati utjecati na njega. Z. nije moglo drukčije iznova potvrditi zapovijed izabranja vlastita naroda u svakom naraštaju i vremenu i promisliti o njezinim posljedicama - kao što su naučavale riječi proroka i mudraca, filo</w:t>
        <w:softHyphen/>
        <w:t>zofa, historičara i književnika koji su mu po</w:t>
        <w:softHyphen/>
        <w:t xml:space="preserve">novno oduzeli sigurnost - već samo u gorljivoj i ujedno strogoj samokritičnoj identifikaciji. Prema mišljenju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 xml:space="preserve">Bubera, to znači da se »Izrael, koji jc i nacija i religija i nije ni </w:t>
      </w:r>
    </w:p>
    <w:p>
      <w:pPr>
        <w:pStyle w:val="Style20"/>
        <w:keepNext w:val="0"/>
        <w:keepLines w:val="0"/>
        <w:widowControl w:val="0"/>
        <w:shd w:val="clear" w:color="auto" w:fill="auto"/>
        <w:tabs>
          <w:tab w:pos="265"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 od loga i koji je izložen svim iskušenji</w:t>
        <w:softHyphen/>
        <w:t>ma nacija i religija«, nikada ne smije »osjećati obdarenim« i da »mora propasti ako želi op</w:t>
        <w:softHyphen/>
        <w:t xml:space="preserve">stati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kao politička tvorevina. Egzistirati može - i to je... paradoks židovske povijesne stvarnosti - samo ako </w:t>
      </w:r>
      <w:r>
        <w:rPr>
          <w:rFonts w:ascii="Times New Roman" w:eastAsia="Times New Roman" w:hAnsi="Times New Roman" w:cs="Times New Roman"/>
          <w:i/>
          <w:iCs/>
          <w:color w:val="000000"/>
          <w:spacing w:val="0"/>
          <w:w w:val="100"/>
          <w:position w:val="0"/>
          <w:shd w:val="clear" w:color="auto" w:fill="auto"/>
          <w:lang w:val="hr-HR" w:eastAsia="hr-HR" w:bidi="hr-HR"/>
        </w:rPr>
        <w:t>ustraje na svojem pozivu jedinosti:</w:t>
      </w:r>
      <w:r>
        <w:rPr>
          <w:rFonts w:ascii="Times New Roman" w:eastAsia="Times New Roman" w:hAnsi="Times New Roman" w:cs="Times New Roman"/>
          <w:color w:val="000000"/>
          <w:spacing w:val="0"/>
          <w:w w:val="100"/>
          <w:position w:val="0"/>
          <w:shd w:val="clear" w:color="auto" w:fill="auto"/>
          <w:lang w:val="hr-HR" w:eastAsia="hr-HR" w:bidi="hr-HR"/>
        </w:rPr>
        <w:t xml:space="preserve"> ostvarenje Božje riječi izgovorene u Savezu«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Stunde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F.rkenntnis. </w:t>
      </w:r>
      <w:r>
        <w:rPr>
          <w:rFonts w:ascii="Times New Roman" w:eastAsia="Times New Roman" w:hAnsi="Times New Roman" w:cs="Times New Roman"/>
          <w:i/>
          <w:iCs/>
          <w:color w:val="000000"/>
          <w:spacing w:val="0"/>
          <w:w w:val="100"/>
          <w:position w:val="0"/>
          <w:shd w:val="clear" w:color="auto" w:fill="auto"/>
          <w:lang w:val="en-US" w:eastAsia="en-US" w:bidi="en-US"/>
        </w:rPr>
        <w:t>Re</w:t>
        <w:softHyphen/>
        <w:t xml:space="preserve">den </w:t>
      </w:r>
      <w:r>
        <w:rPr>
          <w:rFonts w:ascii="Times New Roman" w:eastAsia="Times New Roman" w:hAnsi="Times New Roman" w:cs="Times New Roman"/>
          <w:i/>
          <w:iCs/>
          <w:color w:val="000000"/>
          <w:spacing w:val="0"/>
          <w:w w:val="100"/>
          <w:position w:val="0"/>
          <w:shd w:val="clear" w:color="auto" w:fill="auto"/>
          <w:lang w:val="hr-HR" w:eastAsia="hr-HR" w:bidi="hr-HR"/>
        </w:rPr>
        <w:t>und Aufsatze 1933-35,</w:t>
      </w:r>
      <w:r>
        <w:rPr>
          <w:rFonts w:ascii="Times New Roman" w:eastAsia="Times New Roman" w:hAnsi="Times New Roman" w:cs="Times New Roman"/>
          <w:color w:val="000000"/>
          <w:spacing w:val="0"/>
          <w:w w:val="100"/>
          <w:position w:val="0"/>
          <w:shd w:val="clear" w:color="auto" w:fill="auto"/>
          <w:lang w:val="hr-HR" w:eastAsia="hr-HR" w:bidi="hr-HR"/>
        </w:rPr>
        <w:t xml:space="preserve"> 1936, 157.45; usp. isti,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Kampf um </w:t>
      </w:r>
      <w:r>
        <w:rPr>
          <w:rFonts w:ascii="Times New Roman" w:eastAsia="Times New Roman" w:hAnsi="Times New Roman" w:cs="Times New Roman"/>
          <w:i/>
          <w:iCs/>
          <w:color w:val="000000"/>
          <w:spacing w:val="0"/>
          <w:w w:val="100"/>
          <w:position w:val="0"/>
          <w:shd w:val="clear" w:color="auto" w:fill="auto"/>
          <w:lang w:val="en-US" w:eastAsia="en-US" w:bidi="en-US"/>
        </w:rPr>
        <w:t xml:space="preserve">Israel. Reden </w:t>
      </w:r>
      <w:r>
        <w:rPr>
          <w:rFonts w:ascii="Times New Roman" w:eastAsia="Times New Roman" w:hAnsi="Times New Roman" w:cs="Times New Roman"/>
          <w:i/>
          <w:iCs/>
          <w:color w:val="000000"/>
          <w:spacing w:val="0"/>
          <w:w w:val="100"/>
          <w:position w:val="0"/>
          <w:shd w:val="clear" w:color="auto" w:fill="auto"/>
          <w:lang w:val="hr-HR" w:eastAsia="hr-HR" w:bidi="hr-HR"/>
        </w:rPr>
        <w:t>und Schriften 1921-32,</w:t>
      </w:r>
      <w:r>
        <w:rPr>
          <w:rFonts w:ascii="Times New Roman" w:eastAsia="Times New Roman" w:hAnsi="Times New Roman" w:cs="Times New Roman"/>
          <w:color w:val="000000"/>
          <w:spacing w:val="0"/>
          <w:w w:val="100"/>
          <w:position w:val="0"/>
          <w:shd w:val="clear" w:color="auto" w:fill="auto"/>
          <w:lang w:val="hr-HR" w:eastAsia="hr-HR" w:bidi="hr-HR"/>
        </w:rPr>
        <w:t xml:space="preserve"> 1933, 21 i d„ 225 i d.).</w:t>
      </w:r>
    </w:p>
    <w:p>
      <w:pPr>
        <w:pStyle w:val="Style20"/>
        <w:keepNext w:val="0"/>
        <w:keepLines w:val="0"/>
        <w:widowControl w:val="0"/>
        <w:shd w:val="clear" w:color="auto" w:fill="auto"/>
        <w:bidi w:val="0"/>
        <w:spacing w:before="0" w:after="80" w:line="25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Još prije negoli je Izrael čuo u Deset zapo</w:t>
        <w:softHyphen/>
        <w:t>vijedi (Izl 20,1-17; Pnz 5,6-21) što treba uči</w:t>
        <w:softHyphen/>
        <w:t>niti, doznao je što treba biti: posvećeni narod (Izl 19,6). Međutim, djela posvećenja može iz</w:t>
        <w:softHyphen/>
        <w:t xml:space="preserve">vršiti samo ako u sebi prihvati svetost koja proizlazi iz Božjih djela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18,5). Pre</w:t>
        <w:softHyphen/>
        <w:t>ma tomu, ostvaritelj se mora naviknuti da bu</w:t>
        <w:softHyphen/>
        <w:t xml:space="preserve">de jedno s onim što mora činiti. Stoga drugi aspekt »usmene Tore«, </w:t>
      </w:r>
      <w:r>
        <w:rPr>
          <w:rFonts w:ascii="Times New Roman" w:eastAsia="Times New Roman" w:hAnsi="Times New Roman" w:cs="Times New Roman"/>
          <w:i/>
          <w:iCs/>
          <w:color w:val="000000"/>
          <w:spacing w:val="0"/>
          <w:w w:val="100"/>
          <w:position w:val="0"/>
          <w:shd w:val="clear" w:color="auto" w:fill="auto"/>
          <w:lang w:val="hr-HR" w:eastAsia="hr-HR" w:bidi="hr-HR"/>
        </w:rPr>
        <w:t>pripovijedna</w:t>
      </w:r>
      <w:r>
        <w:rPr>
          <w:rFonts w:ascii="Times New Roman" w:eastAsia="Times New Roman" w:hAnsi="Times New Roman" w:cs="Times New Roman"/>
          <w:color w:val="000000"/>
          <w:spacing w:val="0"/>
          <w:w w:val="100"/>
          <w:position w:val="0"/>
          <w:shd w:val="clear" w:color="auto" w:fill="auto"/>
          <w:lang w:val="hr-HR" w:eastAsia="hr-HR" w:bidi="hr-HR"/>
        </w:rPr>
        <w:t xml:space="preserve"> predaja (Hagada, usp. Sota 7b; Bcrahot l()a; Sabat 30b) koja »želi privući ljudsko srce« (b Joma 75a) nadopunjuje čvrsti sustav propisa u život</w:t>
        <w:softHyphen/>
        <w:t>nome hodu (halaha) određujući mu mjeru i granicu. Ako to propisuje djelovanje, pod</w:t>
        <w:softHyphen/>
        <w:t>sjeća na smisao svega ispunjenja: »Tko se na</w:t>
        <w:softHyphen/>
        <w:t xml:space="preserve">ziva glupim pobočnikom? Onaj tko kaže, ako se utopi žena, kako je nedolično gledati je i spasiti« (b Sota 21b). Hagada (L. </w:t>
      </w:r>
      <w:r>
        <w:rPr>
          <w:rFonts w:ascii="Times New Roman" w:eastAsia="Times New Roman" w:hAnsi="Times New Roman" w:cs="Times New Roman"/>
          <w:color w:val="000000"/>
          <w:spacing w:val="0"/>
          <w:w w:val="100"/>
          <w:position w:val="0"/>
          <w:shd w:val="clear" w:color="auto" w:fill="auto"/>
          <w:lang w:val="en-US" w:eastAsia="en-US" w:bidi="en-US"/>
        </w:rPr>
        <w:t xml:space="preserve">Zunz,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gottesdienstlichen Vortriige der Juden,</w:t>
      </w:r>
      <w:r>
        <w:rPr>
          <w:rFonts w:ascii="Times New Roman" w:eastAsia="Times New Roman" w:hAnsi="Times New Roman" w:cs="Times New Roman"/>
          <w:color w:val="000000"/>
          <w:spacing w:val="0"/>
          <w:w w:val="100"/>
          <w:position w:val="0"/>
          <w:shd w:val="clear" w:color="auto" w:fill="auto"/>
          <w:lang w:val="hr-HR" w:eastAsia="hr-HR" w:bidi="hr-HR"/>
        </w:rPr>
        <w:t xml:space="preserve"> 1832; W. </w:t>
      </w:r>
      <w:r>
        <w:rPr>
          <w:rFonts w:ascii="Times New Roman" w:eastAsia="Times New Roman" w:hAnsi="Times New Roman" w:cs="Times New Roman"/>
          <w:color w:val="000000"/>
          <w:spacing w:val="0"/>
          <w:w w:val="100"/>
          <w:position w:val="0"/>
          <w:shd w:val="clear" w:color="auto" w:fill="auto"/>
          <w:lang w:val="en-US" w:eastAsia="en-US" w:bidi="en-US"/>
        </w:rPr>
        <w:t xml:space="preserve">Bacher,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Agada der Tannaiten,</w:t>
      </w:r>
      <w:r>
        <w:rPr>
          <w:rFonts w:ascii="Times New Roman" w:eastAsia="Times New Roman" w:hAnsi="Times New Roman" w:cs="Times New Roman"/>
          <w:color w:val="000000"/>
          <w:spacing w:val="0"/>
          <w:w w:val="100"/>
          <w:position w:val="0"/>
          <w:shd w:val="clear" w:color="auto" w:fill="auto"/>
          <w:lang w:val="hr-HR" w:eastAsia="hr-HR" w:bidi="hr-HR"/>
        </w:rPr>
        <w:t xml:space="preserve"> 1884 i d.; isti,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Agada der paldstinensischen Amoriier, </w:t>
      </w:r>
      <w:r>
        <w:rPr>
          <w:rFonts w:ascii="Times New Roman" w:eastAsia="Times New Roman" w:hAnsi="Times New Roman" w:cs="Times New Roman"/>
          <w:color w:val="000000"/>
          <w:spacing w:val="0"/>
          <w:w w:val="100"/>
          <w:position w:val="0"/>
          <w:shd w:val="clear" w:color="auto" w:fill="auto"/>
          <w:lang w:val="hr-HR" w:eastAsia="hr-HR" w:bidi="hr-HR"/>
        </w:rPr>
        <w:t xml:space="preserve">1892 i d.; C. N. </w:t>
      </w:r>
      <w:r>
        <w:rPr>
          <w:rFonts w:ascii="Times New Roman" w:eastAsia="Times New Roman" w:hAnsi="Times New Roman" w:cs="Times New Roman"/>
          <w:color w:val="000000"/>
          <w:spacing w:val="0"/>
          <w:w w:val="100"/>
          <w:position w:val="0"/>
          <w:shd w:val="clear" w:color="auto" w:fill="auto"/>
          <w:lang w:val="en-US" w:eastAsia="en-US" w:bidi="en-US"/>
        </w:rPr>
        <w:t xml:space="preserve">Bialik, </w:t>
      </w:r>
      <w:r>
        <w:rPr>
          <w:rFonts w:ascii="Times New Roman" w:eastAsia="Times New Roman" w:hAnsi="Times New Roman" w:cs="Times New Roman"/>
          <w:color w:val="000000"/>
          <w:spacing w:val="0"/>
          <w:w w:val="100"/>
          <w:position w:val="0"/>
          <w:shd w:val="clear" w:color="auto" w:fill="auto"/>
          <w:lang w:val="hr-HR" w:eastAsia="hr-HR" w:bidi="hr-HR"/>
        </w:rPr>
        <w:t xml:space="preserve">Halacha und Aggada, u: </w:t>
      </w:r>
      <w:r>
        <w:rPr>
          <w:rFonts w:ascii="Times New Roman" w:eastAsia="Times New Roman" w:hAnsi="Times New Roman" w:cs="Times New Roman"/>
          <w:i/>
          <w:iCs/>
          <w:color w:val="000000"/>
          <w:spacing w:val="0"/>
          <w:w w:val="100"/>
          <w:position w:val="0"/>
          <w:shd w:val="clear" w:color="auto" w:fill="auto"/>
          <w:lang w:val="en-US" w:eastAsia="en-US" w:bidi="en-US"/>
        </w:rPr>
        <w:t>Essays,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1925,82-107) usmjerena je na preo</w:t>
        <w:softHyphen/>
        <w:t>brazbu izvršitelja: »Svejedno je čini li čovjek mnogo ili malo, samo ako mu je srce usmjere</w:t>
        <w:softHyphen/>
        <w:t xml:space="preserve">no prema nebu« (b Berahot 17a), a on za tim teži: »Sve što radiš za volju je Božju« (M Avot 11,12). Uzajamna povezanost Halahe i Haga- de u talmudskoj literaturi čuva tradicijsko ž. od zakonske religije kao i od religijske prolife- racije (A. J. Heschcl,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Cod in Search of Man, </w:t>
      </w:r>
      <w:r>
        <w:rPr>
          <w:rFonts w:ascii="Times New Roman" w:eastAsia="Times New Roman" w:hAnsi="Times New Roman" w:cs="Times New Roman"/>
          <w:color w:val="000000"/>
          <w:spacing w:val="0"/>
          <w:w w:val="100"/>
          <w:position w:val="0"/>
          <w:shd w:val="clear" w:color="auto" w:fill="auto"/>
          <w:lang w:val="en-US" w:eastAsia="en-US" w:bidi="en-US"/>
        </w:rPr>
        <w:t xml:space="preserve">1980, 250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d.).</w:t>
      </w:r>
    </w:p>
    <w:p>
      <w:pPr>
        <w:pStyle w:val="Style116"/>
        <w:keepNext w:val="0"/>
        <w:keepLines w:val="0"/>
        <w:widowControl w:val="0"/>
        <w:shd w:val="clear" w:color="auto" w:fill="auto"/>
        <w:tabs>
          <w:tab w:pos="2390" w:val="left"/>
        </w:tabs>
        <w:bidi w:val="0"/>
        <w:spacing w:before="0" w:after="200" w:line="288" w:lineRule="auto"/>
        <w:ind w:left="0" w:right="0" w:firstLine="0"/>
        <w:jc w:val="both"/>
        <w:rPr>
          <w:sz w:val="12"/>
          <w:szCs w:val="12"/>
        </w:rPr>
      </w:pPr>
      <w:r>
        <w:rPr>
          <w:b w:val="0"/>
          <w:bCs w:val="0"/>
          <w:i w:val="0"/>
          <w:iCs w:val="0"/>
          <w:color w:val="000000"/>
          <w:spacing w:val="0"/>
          <w:w w:val="100"/>
          <w:position w:val="0"/>
          <w:sz w:val="12"/>
          <w:szCs w:val="12"/>
          <w:shd w:val="clear" w:color="auto" w:fill="auto"/>
        </w:rPr>
        <w:t xml:space="preserve">I Ji.: E. I.. Ehrlich i dr.. </w:t>
      </w:r>
      <w:r>
        <w:rPr>
          <w:color w:val="000000"/>
          <w:spacing w:val="0"/>
          <w:w w:val="100"/>
          <w:position w:val="0"/>
          <w:sz w:val="9"/>
          <w:szCs w:val="9"/>
          <w:shd w:val="clear" w:color="auto" w:fill="auto"/>
        </w:rPr>
        <w:t>Retigidse Stromungen im Judemum heute,</w:t>
      </w:r>
      <w:r>
        <w:rPr>
          <w:b w:val="0"/>
          <w:bCs w:val="0"/>
          <w:i w:val="0"/>
          <w:iCs w:val="0"/>
          <w:color w:val="000000"/>
          <w:spacing w:val="0"/>
          <w:w w:val="100"/>
          <w:position w:val="0"/>
          <w:sz w:val="12"/>
          <w:szCs w:val="12"/>
          <w:shd w:val="clear" w:color="auto" w:fill="auto"/>
        </w:rPr>
        <w:t xml:space="preserve"> 1973; W Zuidcniu, </w:t>
      </w:r>
      <w:r>
        <w:rPr>
          <w:color w:val="000000"/>
          <w:spacing w:val="0"/>
          <w:w w:val="100"/>
          <w:position w:val="0"/>
          <w:sz w:val="9"/>
          <w:szCs w:val="9"/>
          <w:shd w:val="clear" w:color="auto" w:fill="auto"/>
        </w:rPr>
        <w:t>Goties Panner. Begegnung mil dem Judemum,</w:t>
      </w:r>
      <w:r>
        <w:rPr>
          <w:b w:val="0"/>
          <w:bCs w:val="0"/>
          <w:i w:val="0"/>
          <w:iCs w:val="0"/>
          <w:color w:val="000000"/>
          <w:spacing w:val="0"/>
          <w:w w:val="100"/>
          <w:position w:val="0"/>
          <w:sz w:val="12"/>
          <w:szCs w:val="12"/>
          <w:shd w:val="clear" w:color="auto" w:fill="auto"/>
        </w:rPr>
        <w:t xml:space="preserve"> 1983; G. Hommcl, </w:t>
      </w:r>
      <w:r>
        <w:rPr>
          <w:color w:val="000000"/>
          <w:spacing w:val="0"/>
          <w:w w:val="100"/>
          <w:position w:val="0"/>
          <w:sz w:val="9"/>
          <w:szCs w:val="9"/>
          <w:shd w:val="clear" w:color="auto" w:fill="auto"/>
        </w:rPr>
        <w:t>Ersier Slick aufs Juden- turn,</w:t>
      </w:r>
      <w:r>
        <w:rPr>
          <w:b w:val="0"/>
          <w:bCs w:val="0"/>
          <w:i w:val="0"/>
          <w:iCs w:val="0"/>
          <w:color w:val="000000"/>
          <w:spacing w:val="0"/>
          <w:w w:val="100"/>
          <w:position w:val="0"/>
          <w:sz w:val="12"/>
          <w:szCs w:val="12"/>
          <w:shd w:val="clear" w:color="auto" w:fill="auto"/>
        </w:rPr>
        <w:t xml:space="preserve"> 1981.</w:t>
        <w:tab/>
      </w:r>
      <w:r>
        <w:rPr>
          <w:b w:val="0"/>
          <w:bCs w:val="0"/>
          <w:i w:val="0"/>
          <w:iCs w:val="0"/>
          <w:color w:val="000000"/>
          <w:spacing w:val="0"/>
          <w:w w:val="100"/>
          <w:position w:val="0"/>
          <w:sz w:val="12"/>
          <w:szCs w:val="12"/>
          <w:shd w:val="clear" w:color="auto" w:fill="auto"/>
          <w:lang w:val="hr-HR" w:eastAsia="hr-HR" w:bidi="hr-HR"/>
        </w:rPr>
        <w:t xml:space="preserve">Đ. </w:t>
      </w:r>
      <w:r>
        <w:rPr>
          <w:b w:val="0"/>
          <w:bCs w:val="0"/>
          <w:i w:val="0"/>
          <w:iCs w:val="0"/>
          <w:color w:val="000000"/>
          <w:spacing w:val="0"/>
          <w:w w:val="100"/>
          <w:position w:val="0"/>
          <w:sz w:val="12"/>
          <w:szCs w:val="12"/>
          <w:shd w:val="clear" w:color="auto" w:fill="auto"/>
        </w:rPr>
        <w:t>VE1TF.R</w:t>
      </w:r>
    </w:p>
    <w:p>
      <w:pPr>
        <w:pStyle w:val="Style63"/>
        <w:keepNext/>
        <w:keepLines/>
        <w:widowControl w:val="0"/>
        <w:numPr>
          <w:ilvl w:val="0"/>
          <w:numId w:val="675"/>
        </w:numPr>
        <w:shd w:val="clear" w:color="auto" w:fill="auto"/>
        <w:tabs>
          <w:tab w:pos="260" w:val="left"/>
        </w:tabs>
        <w:bidi w:val="0"/>
        <w:spacing w:before="0" w:after="80" w:line="226" w:lineRule="auto"/>
        <w:ind w:left="0" w:right="0" w:firstLine="0"/>
        <w:jc w:val="both"/>
      </w:pPr>
      <w:bookmarkStart w:id="425" w:name="bookmark425"/>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25"/>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 xml:space="preserve">pavlovskim </w:t>
      </w:r>
      <w:r>
        <w:rPr>
          <w:rFonts w:ascii="Times New Roman" w:eastAsia="Times New Roman" w:hAnsi="Times New Roman" w:cs="Times New Roman"/>
          <w:color w:val="000000"/>
          <w:spacing w:val="0"/>
          <w:w w:val="100"/>
          <w:position w:val="0"/>
          <w:shd w:val="clear" w:color="auto" w:fill="auto"/>
          <w:lang w:val="hr-HR" w:eastAsia="hr-HR" w:bidi="hr-HR"/>
        </w:rPr>
        <w:t xml:space="preserve">spisima i u Ivanovu evanđelju </w:t>
      </w:r>
      <w:r>
        <w:rPr>
          <w:rFonts w:ascii="Times New Roman" w:eastAsia="Times New Roman" w:hAnsi="Times New Roman" w:cs="Times New Roman"/>
          <w:i/>
          <w:iCs/>
          <w:color w:val="000000"/>
          <w:spacing w:val="0"/>
          <w:w w:val="100"/>
          <w:position w:val="0"/>
          <w:shd w:val="clear" w:color="auto" w:fill="auto"/>
          <w:lang w:val="hr-HR" w:eastAsia="hr-HR" w:bidi="hr-HR"/>
        </w:rPr>
        <w:t>riječ</w:t>
      </w:r>
      <w:r>
        <w:rPr>
          <w:rFonts w:ascii="Times New Roman" w:eastAsia="Times New Roman" w:hAnsi="Times New Roman" w:cs="Times New Roman"/>
          <w:color w:val="000000"/>
          <w:spacing w:val="0"/>
          <w:w w:val="100"/>
          <w:position w:val="0"/>
          <w:shd w:val="clear" w:color="auto" w:fill="auto"/>
          <w:lang w:val="hr-HR" w:eastAsia="hr-HR" w:bidi="hr-HR"/>
        </w:rPr>
        <w:t xml:space="preserve"> »Židov« ima poseban teološki smisao i </w:t>
      </w:r>
      <w:r>
        <w:rPr>
          <w:rFonts w:ascii="Times New Roman" w:eastAsia="Times New Roman" w:hAnsi="Times New Roman" w:cs="Times New Roman"/>
          <w:color w:val="000000"/>
          <w:spacing w:val="0"/>
          <w:w w:val="100"/>
          <w:position w:val="0"/>
          <w:shd w:val="clear" w:color="auto" w:fill="auto"/>
          <w:lang w:val="hr-HR" w:eastAsia="hr-HR" w:bidi="hr-HR"/>
        </w:rPr>
        <w:t>postaje tip. Tko se drži Mojsijeva zakona i od</w:t>
        <w:softHyphen/>
        <w:t xml:space="preserve">bija evanđelje, za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je Židov što je isto</w:t>
        <w:softHyphen/>
        <w:t>dobno ipak počasni naziv na temelju pred</w:t>
        <w:softHyphen/>
        <w:t>nosti koju su Židovi imali pred Grcima (naro</w:t>
        <w:softHyphen/>
        <w:t>dima). Jer, Bog je Židovima dao posebne mi- losne darove u zakonu i obrezanju. No, krš</w:t>
        <w:softHyphen/>
        <w:t>ćanin je iznutra Židov (Rim 2,17-29; Fil 3,2) i on je pravi obrezanik. Unatoč jednakosti Ži</w:t>
        <w:softHyphen/>
        <w:t>dova i Grka među grešnicima (Rim 3,9) i u milosti (Gal 3,28), Pavao naglašava prednost Židova: Kazna, nagrada, tjeskoba i slava naj</w:t>
        <w:softHyphen/>
        <w:t>prije je dodijeljena Židovima, a zatim Grcima (Rim 2,9 i d.): Ivanovo evanđelje primjenjuje oznaku »Židov« gotovo posvuda polemički. Židovi su slovili kao prototip nevjere i pro</w:t>
        <w:softHyphen/>
        <w:t>tivljenja Isusu (usp. npr. Iv 2,18-20; 6,41; 10,31 itd.). Među Zidovima se ipak nije shva</w:t>
        <w:softHyphen/>
        <w:t>ćalo povijesno ž., nego se svijet držao za ne</w:t>
        <w:softHyphen/>
        <w:t>prijateljski prema Bogu. Pa ipak, egzegetsko istraživanje prednosti u Ivanovu evanđelju na</w:t>
        <w:softHyphen/>
        <w:t xml:space="preserve">stojalo je ponuditi razlog za navodno biblijski utemeljeno neprijateljstvo prema Židovima. Sinoptici primjenjuju pojam Židova općenito u više neutralnom držanju, a katkada (Mt 28,15; Mk 7,3) </w:t>
      </w:r>
      <w:r>
        <w:rPr>
          <w:rFonts w:ascii="Times New Roman" w:eastAsia="Times New Roman" w:hAnsi="Times New Roman" w:cs="Times New Roman"/>
          <w:i/>
          <w:iCs/>
          <w:color w:val="000000"/>
          <w:spacing w:val="0"/>
          <w:w w:val="100"/>
          <w:position w:val="0"/>
          <w:shd w:val="clear" w:color="auto" w:fill="auto"/>
          <w:lang w:val="hr-HR" w:eastAsia="hr-HR" w:bidi="hr-HR"/>
        </w:rPr>
        <w:t>je</w:t>
      </w:r>
      <w:r>
        <w:rPr>
          <w:rFonts w:ascii="Times New Roman" w:eastAsia="Times New Roman" w:hAnsi="Times New Roman" w:cs="Times New Roman"/>
          <w:color w:val="000000"/>
          <w:spacing w:val="0"/>
          <w:w w:val="100"/>
          <w:position w:val="0"/>
          <w:shd w:val="clear" w:color="auto" w:fill="auto"/>
          <w:lang w:val="hr-HR" w:eastAsia="hr-HR" w:bidi="hr-HR"/>
        </w:rPr>
        <w:t xml:space="preserve"> jezična uporaba ivanovski obojena.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 do modernog doba mogao bi se odnos kršćanstva prema židovstvu s pravom označiti kao mračno poglavlje kršćanskog neznanja i nesnošljivosti (-&gt; Antisemitizam) - uz izuzet</w:t>
        <w:softHyphen/>
        <w:t>ke. G. Mensching dolazi do zaključka: «... uop</w:t>
        <w:softHyphen/>
        <w:t>će sve što je učinjeno Židovima od strane na</w:t>
        <w:softHyphen/>
        <w:t>cističkog režima već su u srednjem vijeku uvježbavali crkveni inkvizicijski procesi ...«. Kršćansko neprijateljstvo prema Židovima pokazalo se u uništavanju židovskih knjiga ti</w:t>
        <w:softHyphen/>
        <w:t>jekom križarskih ratova i epidemije kuge, u pogromima i katehezi preziranja Židova. Sve je to moglo pridonijeti u pripremanju plod</w:t>
        <w:softHyphen/>
        <w:t>noga tla za moderni antisemitizam koji je imao svoj vrhunac u masovnom smaknuću, kako se procjenjuje, 5 milijuna Židova tije</w:t>
        <w:softHyphen/>
        <w:t>kom njemačkog nacizma.</w:t>
      </w:r>
    </w:p>
    <w:p>
      <w:pPr>
        <w:pStyle w:val="Style20"/>
        <w:keepNext w:val="0"/>
        <w:keepLines w:val="0"/>
        <w:widowControl w:val="0"/>
        <w:shd w:val="clear" w:color="auto" w:fill="auto"/>
        <w:bidi w:val="0"/>
        <w:spacing w:before="0" w:after="0"/>
        <w:ind w:left="0" w:right="0" w:firstLine="0"/>
        <w:jc w:val="both"/>
        <w:sectPr>
          <w:headerReference w:type="default" r:id="rId1739"/>
          <w:footerReference w:type="default" r:id="rId1740"/>
          <w:headerReference w:type="even" r:id="rId1741"/>
          <w:footerReference w:type="even" r:id="rId1742"/>
          <w:footnotePr>
            <w:pos w:val="pageBottom"/>
            <w:numFmt w:val="decimal"/>
            <w:numRestart w:val="continuous"/>
            <w15:footnoteColumns w:val="1"/>
          </w:footnotePr>
          <w:pgSz w:w="6816" w:h="11006"/>
          <w:pgMar w:top="965" w:left="194" w:right="199" w:bottom="537" w:header="0" w:footer="109" w:gutter="0"/>
          <w:pgNumType w:start="569"/>
          <w:cols w:num="2" w:space="18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Značajan, služben početak novog promišljanja predstavlja Izjava o Židovima </w:t>
      </w:r>
      <w:r>
        <w:rPr>
          <w:rFonts w:ascii="Times New Roman" w:eastAsia="Times New Roman" w:hAnsi="Times New Roman" w:cs="Times New Roman"/>
          <w:color w:val="000000"/>
          <w:spacing w:val="0"/>
          <w:w w:val="100"/>
          <w:position w:val="0"/>
          <w:shd w:val="clear" w:color="auto" w:fill="auto"/>
          <w:lang w:val="en-US" w:eastAsia="en-US" w:bidi="en-US"/>
        </w:rPr>
        <w:t xml:space="preserve">Nostra </w:t>
      </w:r>
      <w:r>
        <w:rPr>
          <w:rFonts w:ascii="Times New Roman" w:eastAsia="Times New Roman" w:hAnsi="Times New Roman" w:cs="Times New Roman"/>
          <w:color w:val="000000"/>
          <w:spacing w:val="0"/>
          <w:w w:val="100"/>
          <w:position w:val="0"/>
          <w:shd w:val="clear" w:color="auto" w:fill="auto"/>
          <w:lang w:val="hr-HR" w:eastAsia="hr-HR" w:bidi="hr-HR"/>
        </w:rPr>
        <w:t>aetate, br. 4) koju je 1965. prihvatio Drugi vatikanski koncil u kojoj se kaže: »Crkva osuđuje sve progone protiv bilo kojih ljudi, sjećajući se za</w:t>
        <w:softHyphen/>
        <w:t>jedničke baštine sa Židovima, potaknuta re</w:t>
        <w:softHyphen/>
        <w:t>ligioznom evanđeoskom ljubavlju a ne poli</w:t>
        <w:softHyphen/>
        <w:t>tičkim motivima, žali mržnju, progone, oči</w:t>
        <w:softHyphen/>
        <w:t xml:space="preserve">tovanja antisemitizma kojima su u bilo koje </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vrijeme i s bilo koje strane Židovi bili pogo</w:t>
        <w:softHyphen/>
        <w:t>đeni.«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Isto tako Koncil ukazuje na nezakonitost za</w:t>
        <w:softHyphen/>
        <w:t>ključaka koji navodno proizlaze iz Svetoga pisma, a koji Židove prikazuju kao od Boga odbačene i proklete. Naprotiv, »Sveti koncil želi gajiti i preporučiti međusobno poznava</w:t>
        <w:softHyphen/>
        <w:t>nje i poštivanje jednih i drugih, koje se zado</w:t>
        <w:softHyphen/>
        <w:t>biva osobito biblijskim i teološkim studijem i bratskim razgovorima«.</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Njemački se biskupi 1980. vrlo opširno izraža</w:t>
        <w:softHyphen/>
        <w:t>vaju u svojoj deklaraciji »O odnosu Crkve prema Židovima«. Deklaracija naglašava ži</w:t>
        <w:softHyphen/>
        <w:t>dovsko podrijetlo Isusa iz Nazareta i ukazuje na prihvaćanje Isusova židovstva od strane da</w:t>
        <w:softHyphen/>
        <w:t>našnjih židovskih autora. Utvrđivanje »Izrae- love duhovne baštine za Crkvu« temelji se na pripadnosti Izraelova Svetog pisma pisam- skom kanonu kršćanstva, na svjedočenju mo- notcizma u SZ, njegovu učenju o stvaranju (-» Stvaranje) i antropologiji, na nastavku i is</w:t>
        <w:softHyphen/>
        <w:t>punjenju ideje Saveza (-» Savez) u Isusu Kris</w:t>
        <w:softHyphen/>
        <w:t>tu, na Isusovu pristajanju uz starozavjetni Dekalog (-&gt; Zapovijed), na očekivanju -&gt; me</w:t>
        <w:softHyphen/>
        <w:t>sije koji se prema kršćanskom uvjerenju poja</w:t>
        <w:softHyphen/>
        <w:t>vio u Isusu Kristu, na kršćanskom preuzima</w:t>
        <w:softHyphen/>
        <w:t>nju židovskih molitava i na temeljnom Izrae- lovu stavu pred Bogom (strah pred Bogom, poslušnost, spoznaja Boga, obraćenje, »sjeća</w:t>
        <w:softHyphen/>
        <w:t>nje«, ljubav, povjerenje, svetost, slavljenje Bo</w:t>
        <w:softHyphen/>
        <w:t>ga i njegovih spasenjskih djela), na sjećanju na božansko spasenjsko djelovanje na Izrael, u velikim blagdanima kršćanske crkvene godine i posebno u euharistiji (-» Sakrament), ko</w:t>
        <w:softHyphen/>
        <w:t>načno na zajedničkoj tematici konačnog spa</w:t>
        <w:softHyphen/>
        <w:t>senja u židovskoj i kršćanskoj -» eshatologiji. Kao osnovne izjave NZ i Crkve o odnosu Crkve i židovstva najprije se navode kritičke Isusove izjave (npr. Mt 23,37 i d.; Iv 8,44), iz</w:t>
        <w:softHyphen/>
        <w:t>jave apostola l’avla (npr. Rim 10,19; 11,8) i Djela apostolskih (npr. Dj 13,15) pokazane u svojoj povijesnoj povezanosti i suprotstavljene mnogim pozitivnim novozavjetnim izjavama (Iv 4,22; Rim 3,1 i d.; 9,4 i d.; itd.). Zatim nje</w:t>
        <w:softHyphen/>
        <w:t>mački biskupi ukazuju na deklaraciju »Nostra aetate« Drugoga vatikanskoga koncila (v. g.) i na papinske i koncilske posljedice u budućnos</w:t>
        <w:softHyphen/>
        <w:t xml:space="preserve">ti. (Rimske »Smjernice i upute« prihvatile su koncilsku Deklaraciju; Pavao VI. ustanovio je »Komisiju za religijske odnose sa židovstvom« 1974., nagovor Ivana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II. za predstavnike židovskih organizacija u kojem je istaknuo </w:t>
      </w:r>
      <w:r>
        <w:rPr>
          <w:rFonts w:ascii="Times New Roman" w:eastAsia="Times New Roman" w:hAnsi="Times New Roman" w:cs="Times New Roman"/>
          <w:color w:val="000000"/>
          <w:spacing w:val="0"/>
          <w:w w:val="100"/>
          <w:position w:val="0"/>
          <w:shd w:val="clear" w:color="auto" w:fill="auto"/>
          <w:lang w:val="hr-HR" w:eastAsia="hr-HR" w:bidi="hr-HR"/>
        </w:rPr>
        <w:t>duhovnu povezanost naroda novoga Saveza s Izraelovim plemenom uz poticaj na bratski di</w:t>
        <w:softHyphen/>
        <w:t>jalog, plodonosnu suradnju i prevladavanje svake vrste predrasuda i diskriminacije židov</w:t>
        <w:softHyphen/>
        <w:t xml:space="preserve">skog naroda; sjećanje Ivana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II. prigo</w:t>
        <w:softHyphen/>
        <w:t xml:space="preserve">dom njegova posjeta </w:t>
      </w:r>
      <w:r>
        <w:rPr>
          <w:rFonts w:ascii="Times New Roman" w:eastAsia="Times New Roman" w:hAnsi="Times New Roman" w:cs="Times New Roman"/>
          <w:color w:val="000000"/>
          <w:spacing w:val="0"/>
          <w:w w:val="100"/>
          <w:position w:val="0"/>
          <w:shd w:val="clear" w:color="auto" w:fill="auto"/>
          <w:lang w:val="en-US" w:eastAsia="en-US" w:bidi="en-US"/>
        </w:rPr>
        <w:t xml:space="preserve">Auschwitzu </w:t>
      </w:r>
      <w:r>
        <w:rPr>
          <w:rFonts w:ascii="Times New Roman" w:eastAsia="Times New Roman" w:hAnsi="Times New Roman" w:cs="Times New Roman"/>
          <w:color w:val="000000"/>
          <w:spacing w:val="0"/>
          <w:w w:val="100"/>
          <w:position w:val="0"/>
          <w:shd w:val="clear" w:color="auto" w:fill="auto"/>
          <w:lang w:val="hr-HR" w:eastAsia="hr-HR" w:bidi="hr-HR"/>
        </w:rPr>
        <w:t>na Abraha- ma kao »oca naše vjere«; zaključak Opće bis</w:t>
        <w:softHyphen/>
        <w:t>kupske sinode Savezne Republike Njemačke o »Našoj nadi« (IV 2) koji se izražava »za novi odnos prema vjerskoj povijesti židovskog na</w:t>
        <w:softHyphen/>
        <w:t>roda«; impulsi francuske biskupske Komisije za odnos prema židovstvu 1973; radni doku</w:t>
        <w:softHyphen/>
        <w:t>ment dijaloškoga kruga »Židovi i kršćani«, Sre</w:t>
        <w:softHyphen/>
        <w:t>dišnjeg odbora njemačkih katolika »Teološka težišta židovsko-kršćanskog dijaloga« 1979.)</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Deklaracija njemačkih biskupa navodi dalje kao pretpostavke dijaloga sa Židovima pozna</w:t>
        <w:softHyphen/>
        <w:t>vanje vjerskih razlika u istini i vjerodostojnos</w:t>
        <w:softHyphen/>
        <w:t>ti: 1. Isus je za kršćane obećani Mesija. Da</w:t>
        <w:softHyphen/>
        <w:t>kako, po Isusu iz Nazareta još se nisu ispunila sva obećanja - obuhvatila pravda, mir diljem svijeta, svladavanje smrti - starozavjetnih pro</w:t>
        <w:softHyphen/>
        <w:t>roka. Kršćanin mora imati razumijevanja ako Židovi zbog toga ne mogu vidjeti u Isusu ono</w:t>
        <w:softHyphen/>
        <w:t>ga koji je obećan. 2. Kršćanska vjera vidi i naviješta u raspetom i uskrslom Isusu Kristu ne samo obećanog Mesiju nego i istobitnog Sina Božjega. Mnogim Židovima to se čini u apsolutnom proturječju sa strogim ntonoteiz- mom, pa i kao blasfemija. Za ovo mora imati razumijevanje kršćanin za kojega je vjerova</w:t>
        <w:softHyphen/>
        <w:t>nje u trojedinoga Boga uzvisivanje Božjeg je</w:t>
        <w:softHyphen/>
        <w:t xml:space="preserve">dinstva i znači vjersko otajstvo kojem se treba moliti. 3. Kršćanin prema učenju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 Apo</w:t>
        <w:softHyphen/>
        <w:t>stolskoga koncila nije više poput Židova obve</w:t>
        <w:softHyphen/>
        <w:t>zan na život po uputama Tore; on je štoviše vezan uz »Kristov zakon« (Gal 6,2) koji ima svoj vrhunac u zapovijedi ljubavi u kojoj za</w:t>
        <w:softHyphen/>
        <w:t>kon nalazi svoje ispunjenje (usp. Gal 5,14; Rim 13,8-10). - O ovim vjerskim razlikama moralo bi se otvoreno govoriti u kršćan- sko-židovskom dijalogu.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pretpostavka za novo promišljanje židov</w:t>
        <w:softHyphen/>
        <w:t>stva potrebno je prepoznavanje krivih prosu</w:t>
        <w:softHyphen/>
        <w:t>đivanja i krivih stavova u Crkvi. I. Izraz »Ži</w:t>
        <w:softHyphen/>
        <w:t>dovi« u Ivanovu evanđelju nerijetko je vodio do teološkog antijudaizma. No, kada na toj riječi leži negativan naglasak, evanđelist misli na svijet koji ne želi ništa znati o Bogu i Kristu (v. g.). 2. Slično se krivo shvaćao izraz »fari</w:t>
        <w:softHyphen/>
        <w:t xml:space="preserve">zej«. Jer. farizeji su se s velikom ozbiljnošću brinuli za Božju stvar. Zato današnja egze- </w:t>
      </w:r>
      <w:r>
        <w:rPr>
          <w:rFonts w:ascii="Times New Roman" w:eastAsia="Times New Roman" w:hAnsi="Times New Roman" w:cs="Times New Roman"/>
          <w:color w:val="000000"/>
          <w:spacing w:val="0"/>
          <w:w w:val="100"/>
          <w:position w:val="0"/>
          <w:shd w:val="clear" w:color="auto" w:fill="auto"/>
          <w:lang w:val="hr-HR" w:eastAsia="hr-HR" w:bidi="hr-HR"/>
        </w:rPr>
        <w:t>geza, katehez.a i homiletika moraju govoriti o njima na pravedan način. 3. Za ispravno pro</w:t>
        <w:softHyphen/>
        <w:t>suđivanje života pobožnog Židova kršćanin mora znati: Židov ne osjeća Toru kao teret nego kao milost, život prema uputama Tore, ne kao »skupljanje zasluga« ili kao »postig</w:t>
        <w:softHyphen/>
        <w:t>nuće« koje vodi slavi pred Bogom, kako mno</w:t>
        <w:softHyphen/>
        <w:t>gi kršćani misle. Naprotiv, židovsko razumije</w:t>
        <w:softHyphen/>
        <w:t>vanje zakona sadrži tri osnovna elementa: po</w:t>
        <w:softHyphen/>
        <w:t>vjerenje, ostvarivanje u djelima te posvećiva</w:t>
        <w:softHyphen/>
        <w:t>nje svakodnevice. 4. Židovi ne bi smjeli biti označeni kao narod »ubojica Boga«. Drugi va</w:t>
        <w:softHyphen/>
        <w:t>tikanski koncil uči da se događaji Isusove mu</w:t>
        <w:softHyphen/>
        <w:t>ke ne mogu stavljati na teret svim Židovima bez razlike koji su tada živjeli niti današnjim Židovima. Kršćani, naprotiv, trebaju misliti na svoje vlastite grijehe. - Spasenjsko značenje Izraela i Božje obećanje spasenja Izraelu ostaju i dalje. 5. Još uvijek postojeći »anti</w:t>
        <w:softHyphen/>
        <w:t>semitizam« morao bi se zamijeniti dijalogom nošenim uzajamnom ljubavlju i razumijeva</w:t>
        <w:softHyphen/>
        <w:t>njem. Antisemitizam se ne usmjerava samo protiv poruke Isusa Krista, nego konačno pro</w:t>
        <w:softHyphen/>
        <w:t xml:space="preserve">tiv njega samoga, </w:t>
      </w:r>
      <w:r>
        <w:rPr>
          <w:rFonts w:ascii="Times New Roman" w:eastAsia="Times New Roman" w:hAnsi="Times New Roman" w:cs="Times New Roman"/>
          <w:i/>
          <w:iCs/>
          <w:color w:val="000000"/>
          <w:spacing w:val="0"/>
          <w:w w:val="100"/>
          <w:position w:val="0"/>
          <w:shd w:val="clear" w:color="auto" w:fill="auto"/>
          <w:lang w:val="hr-HR" w:eastAsia="hr-HR" w:bidi="hr-HR"/>
        </w:rPr>
        <w:t>b.</w:t>
      </w:r>
      <w:r>
        <w:rPr>
          <w:rFonts w:ascii="Times New Roman" w:eastAsia="Times New Roman" w:hAnsi="Times New Roman" w:cs="Times New Roman"/>
          <w:color w:val="000000"/>
          <w:spacing w:val="0"/>
          <w:w w:val="100"/>
          <w:position w:val="0"/>
          <w:shd w:val="clear" w:color="auto" w:fill="auto"/>
          <w:lang w:val="hr-HR" w:eastAsia="hr-HR" w:bidi="hr-HR"/>
        </w:rPr>
        <w:t xml:space="preserve"> Prema pozivu liturgije na Veliki petak, molitva za Židove kojima je Go</w:t>
        <w:softHyphen/>
        <w:t>spodin Bog najprije govorio kao i za milijune ubijenih Židova tijekom povijesti i molba za oprost pripada kršćaninovoj dužnosti iz lju</w:t>
        <w:softHyphen/>
        <w:t>bavi. U Njemačkoj imamo poseban razlog moliti Boga za oprost i svoju židovsku braću. Njemačka Deklaracija kao posebnu zadaću Židova i kršćana naglašava: 1. Ostvarivanje božanske volje u svijetu; 2. Protest protiv mnogostruke ugroženosti slobode; protest u prilog prave ljudskosti i ljudskih prava, ljubavi i zajedništva; protest protiv svjetskih i povi</w:t>
        <w:softHyphen/>
        <w:t>jesnih laži koje se sve više šire; protest protiv fašizma, rasizma, komunizma i kapitalizma. - Židovsko-kršćanska religija je zato anti-»opi- jum« za narod; 3. Zalaganje za ostvarenje poj</w:t>
        <w:softHyphen/>
        <w:t>ma »šalom« koji znači »mir«, »radost«, »slo</w:t>
        <w:softHyphen/>
        <w:t>bodu«, »pomirenje«, »zajedništvo«, »sklad«, »pravdu«, »istinu«, »komunikaciju«, »ljud</w:t>
        <w:softHyphen/>
        <w:t>skost« (—&gt; Mir).</w:t>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Nadalje, Deklaracija podcrtava zajedničko uvjerenje Židova i kršćana da čovjek po sebi ne može dovesti svijet do -» spasenja, nego da to može samo Bog koji daruje »novo nebo i novu zemlju« na koje zajedno čekaju Židovi i kršćani (Iz 65,17; 66,22; Otk 21,1). Zajednička zadaća Židova i kršćana je javno svjedočenje vjere u uskrsnuće i život svijeta koji dolazi - u </w:t>
      </w:r>
      <w:r>
        <w:rPr>
          <w:rFonts w:ascii="Times New Roman" w:eastAsia="Times New Roman" w:hAnsi="Times New Roman" w:cs="Times New Roman"/>
          <w:color w:val="000000"/>
          <w:spacing w:val="0"/>
          <w:w w:val="100"/>
          <w:position w:val="0"/>
          <w:shd w:val="clear" w:color="auto" w:fill="auto"/>
          <w:lang w:val="hr-HR" w:eastAsia="hr-HR" w:bidi="hr-HR"/>
        </w:rPr>
        <w:t>cilj svekolike povijesti i povijesti spasenja: Bog sve u svemu (1 Kor 15,28). Polazeći od poticaja Drugoga vatikanskoga koncila do Deklaracije njemačkih biskupa pokušavalo se i pokušava se na mnogostrukim medureligij- skitn i crkvenim razinama pretočiti u praksu zahtjev za bratskim dijalogom između kršćan</w:t>
        <w:softHyphen/>
        <w:t>stva i židovstva u uzajamnom poznavanju i međusobnom razumijevanju.</w:t>
      </w:r>
    </w:p>
    <w:p>
      <w:pPr>
        <w:pStyle w:val="Style56"/>
        <w:keepNext w:val="0"/>
        <w:keepLines w:val="0"/>
        <w:widowControl w:val="0"/>
        <w:shd w:val="clear" w:color="auto" w:fill="auto"/>
        <w:tabs>
          <w:tab w:pos="2309" w:val="left"/>
        </w:tabs>
        <w:bidi w:val="0"/>
        <w:spacing w:before="0" w:after="120" w:line="240" w:lineRule="auto"/>
        <w:ind w:left="0" w:right="0" w:firstLine="0"/>
        <w:jc w:val="both"/>
      </w:pPr>
      <w:r>
        <w:rPr>
          <w:color w:val="000000"/>
          <w:spacing w:val="0"/>
          <w:w w:val="100"/>
          <w:position w:val="0"/>
          <w:shd w:val="clear" w:color="auto" w:fill="auto"/>
          <w:lang w:val="hr-HR" w:eastAsia="hr-HR" w:bidi="hr-HR"/>
        </w:rPr>
        <w:t xml:space="preserve">Li i.: H. </w:t>
      </w:r>
      <w:r>
        <w:rPr>
          <w:color w:val="000000"/>
          <w:spacing w:val="0"/>
          <w:w w:val="100"/>
          <w:position w:val="0"/>
          <w:shd w:val="clear" w:color="auto" w:fill="auto"/>
        </w:rPr>
        <w:t xml:space="preserve">Chadwick,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Kirihe </w:t>
      </w:r>
      <w:r>
        <w:rPr>
          <w:i/>
          <w:iCs/>
          <w:color w:val="000000"/>
          <w:spacing w:val="0"/>
          <w:w w:val="100"/>
          <w:position w:val="0"/>
          <w:shd w:val="clear" w:color="auto" w:fill="auto"/>
        </w:rPr>
        <w:t xml:space="preserve">in </w:t>
      </w:r>
      <w:r>
        <w:rPr>
          <w:i/>
          <w:iCs/>
          <w:color w:val="000000"/>
          <w:spacing w:val="0"/>
          <w:w w:val="100"/>
          <w:position w:val="0"/>
          <w:shd w:val="clear" w:color="auto" w:fill="auto"/>
          <w:lang w:val="hr-HR" w:eastAsia="hr-HR" w:bidi="hr-HR"/>
        </w:rPr>
        <w:t xml:space="preserve">der antiken </w:t>
      </w:r>
      <w:r>
        <w:rPr>
          <w:i/>
          <w:iCs/>
          <w:color w:val="000000"/>
          <w:spacing w:val="0"/>
          <w:w w:val="100"/>
          <w:position w:val="0"/>
          <w:shd w:val="clear" w:color="auto" w:fill="auto"/>
        </w:rPr>
        <w:t xml:space="preserve">Welt, </w:t>
      </w:r>
      <w:r>
        <w:rPr>
          <w:smallCaps/>
          <w:color w:val="000000"/>
          <w:spacing w:val="0"/>
          <w:w w:val="100"/>
          <w:position w:val="0"/>
          <w:shd w:val="clear" w:color="auto" w:fill="auto"/>
        </w:rPr>
        <w:t xml:space="preserve">BctImv'Ncw </w:t>
      </w:r>
      <w:r>
        <w:rPr>
          <w:color w:val="000000"/>
          <w:spacing w:val="0"/>
          <w:w w:val="100"/>
          <w:position w:val="0"/>
          <w:shd w:val="clear" w:color="auto" w:fill="auto"/>
        </w:rPr>
        <w:t xml:space="preserve">York </w:t>
      </w:r>
      <w:r>
        <w:rPr>
          <w:color w:val="000000"/>
          <w:spacing w:val="0"/>
          <w:w w:val="100"/>
          <w:position w:val="0"/>
          <w:shd w:val="clear" w:color="auto" w:fill="auto"/>
          <w:lang w:val="hr-HR" w:eastAsia="hr-HR" w:bidi="hr-HR"/>
        </w:rPr>
        <w:t xml:space="preserve">1972; </w:t>
      </w:r>
      <w:r>
        <w:rPr>
          <w:color w:val="000000"/>
          <w:spacing w:val="0"/>
          <w:w w:val="100"/>
          <w:position w:val="0"/>
          <w:shd w:val="clear" w:color="auto" w:fill="auto"/>
        </w:rPr>
        <w:t xml:space="preserve">Georges G. Corm, </w:t>
      </w:r>
      <w:r>
        <w:rPr>
          <w:i/>
          <w:iCs/>
          <w:color w:val="000000"/>
          <w:spacing w:val="0"/>
          <w:w w:val="100"/>
          <w:position w:val="0"/>
          <w:shd w:val="clear" w:color="auto" w:fill="auto"/>
        </w:rPr>
        <w:t>Contribution</w:t>
      </w:r>
      <w:r>
        <w:rPr>
          <w:color w:val="000000"/>
          <w:spacing w:val="0"/>
          <w:w w:val="100"/>
          <w:position w:val="0"/>
          <w:shd w:val="clear" w:color="auto" w:fill="auto"/>
        </w:rPr>
        <w:t xml:space="preserve"> -3 </w:t>
      </w:r>
      <w:r>
        <w:rPr>
          <w:i/>
          <w:iCs/>
          <w:color w:val="000000"/>
          <w:spacing w:val="0"/>
          <w:w w:val="100"/>
          <w:position w:val="0"/>
          <w:shd w:val="clear" w:color="auto" w:fill="auto"/>
        </w:rPr>
        <w:t>I'etude des xocitiis multi-confessionnelles.</w:t>
      </w:r>
      <w:r>
        <w:rPr>
          <w:color w:val="000000"/>
          <w:spacing w:val="0"/>
          <w:w w:val="100"/>
          <w:position w:val="0"/>
          <w:shd w:val="clear" w:color="auto" w:fill="auto"/>
        </w:rPr>
        <w:t xml:space="preserve"> Laris 1971 </w:t>
      </w:r>
      <w:r>
        <w:rPr>
          <w:color w:val="000000"/>
          <w:spacing w:val="0"/>
          <w:w w:val="100"/>
          <w:position w:val="0"/>
          <w:shd w:val="clear" w:color="auto" w:fill="auto"/>
          <w:lang w:val="hr-HR" w:eastAsia="hr-HR" w:bidi="hr-HR"/>
        </w:rPr>
        <w:t xml:space="preserve">(na temu: »Crkva i židovstvo u srednjem vijeku«, ocijenio: A. </w:t>
      </w:r>
      <w:r>
        <w:rPr>
          <w:color w:val="000000"/>
          <w:spacing w:val="0"/>
          <w:w w:val="100"/>
          <w:position w:val="0"/>
          <w:shd w:val="clear" w:color="auto" w:fill="auto"/>
        </w:rPr>
        <w:t xml:space="preserve">Th. Khoury. </w:t>
      </w:r>
      <w:r>
        <w:rPr>
          <w:i/>
          <w:iCs/>
          <w:color w:val="000000"/>
          <w:spacing w:val="0"/>
          <w:w w:val="100"/>
          <w:position w:val="0"/>
          <w:shd w:val="clear" w:color="auto" w:fill="auto"/>
          <w:lang w:val="hr-HR" w:eastAsia="hr-HR" w:bidi="hr-HR"/>
        </w:rPr>
        <w:t>Toleranz im Islam,</w:t>
      </w:r>
      <w:r>
        <w:rPr>
          <w:color w:val="000000"/>
          <w:spacing w:val="0"/>
          <w:w w:val="100"/>
          <w:position w:val="0"/>
          <w:shd w:val="clear" w:color="auto" w:fill="auto"/>
          <w:lang w:val="hr-HR" w:eastAsia="hr-HR" w:bidi="hr-HR"/>
        </w:rPr>
        <w:t xml:space="preserve"> Munchcn/Mainž 1980, posebice 12 2: »Dic Bczichungen der Christcnhcil zu den Nicht-Christcn« 4); H. Haag (Hrsg.), </w:t>
      </w:r>
      <w:r>
        <w:rPr>
          <w:i/>
          <w:iCs/>
          <w:color w:val="000000"/>
          <w:spacing w:val="0"/>
          <w:w w:val="100"/>
          <w:position w:val="0"/>
          <w:shd w:val="clear" w:color="auto" w:fill="auto"/>
          <w:lang w:val="hr-HR" w:eastAsia="hr-HR" w:bidi="hr-HR"/>
        </w:rPr>
        <w:t>RtM-lsjakon,</w:t>
      </w:r>
      <w:r>
        <w:rPr>
          <w:color w:val="000000"/>
          <w:spacing w:val="0"/>
          <w:w w:val="100"/>
          <w:position w:val="0"/>
          <w:shd w:val="clear" w:color="auto" w:fill="auto"/>
          <w:lang w:val="hr-HR" w:eastAsia="hr-HR" w:bidi="hr-HR"/>
        </w:rPr>
        <w:t xml:space="preserve"> Einsicdcln?'Zurich/Kdln 1979, B. Martin/E. Schuhn,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Juden </w:t>
      </w:r>
      <w:r>
        <w:rPr>
          <w:i/>
          <w:iCs/>
          <w:color w:val="000000"/>
          <w:spacing w:val="0"/>
          <w:w w:val="100"/>
          <w:position w:val="0"/>
          <w:shd w:val="clear" w:color="auto" w:fill="auto"/>
        </w:rPr>
        <w:t xml:space="preserve">ais Minderheit in </w:t>
      </w:r>
      <w:r>
        <w:rPr>
          <w:i/>
          <w:iCs/>
          <w:color w:val="000000"/>
          <w:spacing w:val="0"/>
          <w:w w:val="100"/>
          <w:position w:val="0"/>
          <w:shd w:val="clear" w:color="auto" w:fill="auto"/>
          <w:lang w:val="hr-HR" w:eastAsia="hr-HR" w:bidi="hr-HR"/>
        </w:rPr>
        <w:t>der Geschichte.</w:t>
      </w:r>
      <w:r>
        <w:rPr>
          <w:color w:val="000000"/>
          <w:spacing w:val="0"/>
          <w:w w:val="100"/>
          <w:position w:val="0"/>
          <w:shd w:val="clear" w:color="auto" w:fill="auto"/>
          <w:lang w:val="hr-HR" w:eastAsia="hr-HR" w:bidi="hr-HR"/>
        </w:rPr>
        <w:t xml:space="preserve"> Munchcn </w:t>
      </w:r>
      <w:r>
        <w:rPr>
          <w:color w:val="000000"/>
          <w:spacing w:val="0"/>
          <w:w w:val="100"/>
          <w:position w:val="0"/>
          <w:shd w:val="clear" w:color="auto" w:fill="auto"/>
          <w:vertAlign w:val="superscript"/>
          <w:lang w:val="hr-HR" w:eastAsia="hr-HR" w:bidi="hr-HR"/>
        </w:rPr>
        <w:t>2</w:t>
      </w:r>
      <w:r>
        <w:rPr>
          <w:color w:val="000000"/>
          <w:spacing w:val="0"/>
          <w:w w:val="100"/>
          <w:position w:val="0"/>
          <w:shd w:val="clear" w:color="auto" w:fill="auto"/>
          <w:lang w:val="hr-HR" w:eastAsia="hr-HR" w:bidi="hr-HR"/>
        </w:rPr>
        <w:t xml:space="preserve">1982. G. Mensching, </w:t>
      </w:r>
      <w:r>
        <w:rPr>
          <w:i/>
          <w:iCs/>
          <w:color w:val="000000"/>
          <w:spacing w:val="0"/>
          <w:w w:val="100"/>
          <w:position w:val="0"/>
          <w:shd w:val="clear" w:color="auto" w:fill="auto"/>
          <w:lang w:val="hr-HR" w:eastAsia="hr-HR" w:bidi="hr-HR"/>
        </w:rPr>
        <w:t xml:space="preserve">Der offene </w:t>
      </w:r>
      <w:r>
        <w:rPr>
          <w:i/>
          <w:iCs/>
          <w:color w:val="000000"/>
          <w:spacing w:val="0"/>
          <w:w w:val="100"/>
          <w:position w:val="0"/>
          <w:shd w:val="clear" w:color="auto" w:fill="auto"/>
        </w:rPr>
        <w:t xml:space="preserve">Tempel. Die Weltreligionen </w:t>
      </w:r>
      <w:r>
        <w:rPr>
          <w:i/>
          <w:iCs/>
          <w:color w:val="000000"/>
          <w:spacing w:val="0"/>
          <w:w w:val="100"/>
          <w:position w:val="0"/>
          <w:shd w:val="clear" w:color="auto" w:fill="auto"/>
          <w:lang w:val="hr-HR" w:eastAsia="hr-HR" w:bidi="hr-HR"/>
        </w:rPr>
        <w:t>im Gesprach miteinander.</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Stutt</w:t>
        <w:softHyphen/>
        <w:t xml:space="preserve">gart </w:t>
      </w:r>
      <w:r>
        <w:rPr>
          <w:color w:val="000000"/>
          <w:spacing w:val="0"/>
          <w:w w:val="100"/>
          <w:position w:val="0"/>
          <w:shd w:val="clear" w:color="auto" w:fill="auto"/>
          <w:lang w:val="hr-HR" w:eastAsia="hr-HR" w:bidi="hr-HR"/>
        </w:rPr>
        <w:t xml:space="preserve">1974; K. Rahncr/H. </w:t>
      </w:r>
      <w:r>
        <w:rPr>
          <w:color w:val="000000"/>
          <w:spacing w:val="0"/>
          <w:w w:val="100"/>
          <w:position w:val="0"/>
          <w:shd w:val="clear" w:color="auto" w:fill="auto"/>
        </w:rPr>
        <w:t xml:space="preserve">Vorgrimkr. </w:t>
      </w:r>
      <w:r>
        <w:rPr>
          <w:i/>
          <w:iCs/>
          <w:color w:val="000000"/>
          <w:spacing w:val="0"/>
          <w:w w:val="100"/>
          <w:position w:val="0"/>
          <w:shd w:val="clear" w:color="auto" w:fill="auto"/>
        </w:rPr>
        <w:t xml:space="preserve">Kleines </w:t>
      </w:r>
      <w:r>
        <w:rPr>
          <w:i/>
          <w:iCs/>
          <w:color w:val="000000"/>
          <w:spacing w:val="0"/>
          <w:w w:val="100"/>
          <w:position w:val="0"/>
          <w:shd w:val="clear" w:color="auto" w:fill="auto"/>
          <w:lang w:val="hr-HR" w:eastAsia="hr-HR" w:bidi="hr-HR"/>
        </w:rPr>
        <w:t>Konzilskom- pendtum.</w:t>
      </w:r>
      <w:r>
        <w:rPr>
          <w:color w:val="000000"/>
          <w:spacing w:val="0"/>
          <w:w w:val="100"/>
          <w:position w:val="0"/>
          <w:shd w:val="clear" w:color="auto" w:fill="auto"/>
          <w:lang w:val="hr-HR" w:eastAsia="hr-HR" w:bidi="hr-HR"/>
        </w:rPr>
        <w:t xml:space="preserve"> b’rciburg'Bascl.AVicti 1966 i d.: </w:t>
      </w:r>
      <w:r>
        <w:rPr>
          <w:color w:val="000000"/>
          <w:spacing w:val="0"/>
          <w:w w:val="100"/>
          <w:position w:val="0"/>
          <w:shd w:val="clear" w:color="auto" w:fill="auto"/>
        </w:rPr>
        <w:t xml:space="preserve">J. Schonefeld, </w:t>
      </w:r>
      <w:r>
        <w:rPr>
          <w:color w:val="000000"/>
          <w:spacing w:val="0"/>
          <w:w w:val="100"/>
          <w:position w:val="0"/>
          <w:shd w:val="clear" w:color="auto" w:fill="auto"/>
          <w:lang w:val="hr-HR" w:eastAsia="hr-HR" w:bidi="hr-HR"/>
        </w:rPr>
        <w:t xml:space="preserve">Ju- dentum und Chri.stcntum, u: E. Fahihusch (Hrsg.), </w:t>
      </w:r>
      <w:r>
        <w:rPr>
          <w:i/>
          <w:iCs/>
          <w:color w:val="000000"/>
          <w:spacing w:val="0"/>
          <w:w w:val="100"/>
          <w:position w:val="0"/>
          <w:shd w:val="clear" w:color="auto" w:fill="auto"/>
          <w:lang w:val="hr-HR" w:eastAsia="hr-HR" w:bidi="hr-HR"/>
        </w:rPr>
        <w:t xml:space="preserve">Ta </w:t>
      </w:r>
      <w:r>
        <w:rPr>
          <w:i/>
          <w:iCs/>
          <w:color w:val="000000"/>
          <w:spacing w:val="0"/>
          <w:w w:val="100"/>
          <w:position w:val="0"/>
          <w:shd w:val="clear" w:color="auto" w:fill="auto"/>
        </w:rPr>
        <w:t xml:space="preserve">schenladkon Religion </w:t>
      </w:r>
      <w:r>
        <w:rPr>
          <w:i/>
          <w:iCs/>
          <w:color w:val="000000"/>
          <w:spacing w:val="0"/>
          <w:w w:val="100"/>
          <w:position w:val="0"/>
          <w:shd w:val="clear" w:color="auto" w:fill="auto"/>
          <w:lang w:val="hr-HR" w:eastAsia="hr-HR" w:bidi="hr-HR"/>
        </w:rPr>
        <w:t>und Theologje,</w:t>
      </w:r>
      <w:r>
        <w:rPr>
          <w:color w:val="000000"/>
          <w:spacing w:val="0"/>
          <w:w w:val="100"/>
          <w:position w:val="0"/>
          <w:shd w:val="clear" w:color="auto" w:fill="auto"/>
          <w:lang w:val="hr-HR" w:eastAsia="hr-HR" w:bidi="hr-HR"/>
        </w:rPr>
        <w:t xml:space="preserve"> Bd. 3. </w:t>
      </w:r>
      <w:r>
        <w:rPr>
          <w:color w:val="000000"/>
          <w:spacing w:val="0"/>
          <w:w w:val="100"/>
          <w:position w:val="0"/>
          <w:shd w:val="clear" w:color="auto" w:fill="auto"/>
        </w:rPr>
        <w:t xml:space="preserve">Gottingen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 xml:space="preserve">1983, 16-20. Sakretariat der Dcutschcn BKchofskonferenz (Hrsg.), </w:t>
      </w:r>
      <w:r>
        <w:rPr>
          <w:i/>
          <w:iCs/>
          <w:color w:val="000000"/>
          <w:spacing w:val="0"/>
          <w:w w:val="100"/>
          <w:position w:val="0"/>
          <w:shd w:val="clear" w:color="auto" w:fill="auto"/>
        </w:rPr>
        <w:t xml:space="preserve">Erkldrung uber </w:t>
      </w:r>
      <w:r>
        <w:rPr>
          <w:i/>
          <w:iCs/>
          <w:color w:val="000000"/>
          <w:spacing w:val="0"/>
          <w:w w:val="100"/>
          <w:position w:val="0"/>
          <w:shd w:val="clear" w:color="auto" w:fill="auto"/>
          <w:lang w:val="hr-HR" w:eastAsia="hr-HR" w:bidi="hr-HR"/>
        </w:rPr>
        <w:t>das Verhaltnis der Kirche zum Ju- dentum.</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rPr>
        <w:t xml:space="preserve">Bonn </w:t>
      </w:r>
      <w:r>
        <w:rPr>
          <w:color w:val="000000"/>
          <w:spacing w:val="0"/>
          <w:w w:val="100"/>
          <w:position w:val="0"/>
          <w:shd w:val="clear" w:color="auto" w:fill="auto"/>
          <w:lang w:val="hr-HR" w:eastAsia="hr-HR" w:bidi="hr-HR"/>
        </w:rPr>
        <w:t xml:space="preserve">1980 (= </w:t>
      </w:r>
      <w:r>
        <w:rPr>
          <w:i/>
          <w:iCs/>
          <w:color w:val="000000"/>
          <w:spacing w:val="0"/>
          <w:w w:val="100"/>
          <w:position w:val="0"/>
          <w:shd w:val="clear" w:color="auto" w:fill="auto"/>
          <w:lang w:val="hr-HR" w:eastAsia="hr-HR" w:bidi="hr-HR"/>
        </w:rPr>
        <w:t>Hirtenschreiben der deutschen Bi- schofelZ).</w:t>
      </w:r>
      <w:r>
        <w:rPr>
          <w:color w:val="000000"/>
          <w:spacing w:val="0"/>
          <w:w w:val="100"/>
          <w:position w:val="0"/>
          <w:shd w:val="clear" w:color="auto" w:fill="auto"/>
          <w:lang w:val="hr-HR" w:eastAsia="hr-HR" w:bidi="hr-HR"/>
        </w:rPr>
        <w:tab/>
        <w:t>(i-CHRSClil-K</w:t>
      </w:r>
    </w:p>
    <w:p>
      <w:pPr>
        <w:pStyle w:val="Style63"/>
        <w:keepNext/>
        <w:keepLines/>
        <w:widowControl w:val="0"/>
        <w:numPr>
          <w:ilvl w:val="0"/>
          <w:numId w:val="675"/>
        </w:numPr>
        <w:shd w:val="clear" w:color="auto" w:fill="auto"/>
        <w:tabs>
          <w:tab w:pos="260" w:val="left"/>
        </w:tabs>
        <w:bidi w:val="0"/>
        <w:spacing w:before="0" w:line="228" w:lineRule="auto"/>
        <w:ind w:left="0" w:right="0" w:firstLine="0"/>
        <w:jc w:val="both"/>
      </w:pPr>
      <w:bookmarkStart w:id="426" w:name="bookmark426"/>
      <w:r>
        <w:rPr>
          <w:rFonts w:ascii="Times New Roman" w:eastAsia="Times New Roman" w:hAnsi="Times New Roman" w:cs="Times New Roman"/>
          <w:color w:val="000000"/>
          <w:spacing w:val="0"/>
          <w:w w:val="100"/>
          <w:position w:val="0"/>
          <w:shd w:val="clear" w:color="auto" w:fill="auto"/>
          <w:lang w:val="hr-HR" w:eastAsia="hr-HR" w:bidi="hr-HR"/>
        </w:rPr>
        <w:t>islamski</w:t>
      </w:r>
      <w:bookmarkEnd w:id="426"/>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Univerzalistički shvaćen islam u svoj prvotni bitni sadržaj uključuje i duhovno naslijeđe ži</w:t>
        <w:softHyphen/>
        <w:t>dovstva. No, on ipak razumije sebe kao po</w:t>
        <w:softHyphen/>
        <w:t>ruku koja se provlači kroz cjelokupnu povijest i koja je jedinstvena u svojim bitnim iskazima. Historijski islam, koji po Muhamedovoj pre</w:t>
        <w:softHyphen/>
        <w:t>dodžbi predstavlja revidiranu formu židovstva i kršćanstva, svojim halaškim karakterom ne</w:t>
        <w:softHyphen/>
        <w:t>porecivo odaje duhovnu srodnost sa židov</w:t>
        <w:softHyphen/>
        <w:t>stvom. Muhamedova je propovijed u Meki u potpunosti zvučala kao poznati poziv starih biblijskih proroka, kojima je Muhamed uosta</w:t>
        <w:softHyphen/>
        <w:t>lom iskazivao veliko poštovanje.</w:t>
      </w:r>
    </w:p>
    <w:p>
      <w:pPr>
        <w:pStyle w:val="Style20"/>
        <w:keepNext w:val="0"/>
        <w:keepLines w:val="0"/>
        <w:widowControl w:val="0"/>
        <w:shd w:val="clear" w:color="auto" w:fill="auto"/>
        <w:bidi w:val="0"/>
        <w:spacing w:before="0" w:after="0" w:line="25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 u prvim godinama nakon preseljenja prve zajednice iz Meke u Medinu Židovi su doživ</w:t>
        <w:softHyphen/>
        <w:t>ljavani gotovo kao vlastiti ljudi. Oni su u sva</w:t>
        <w:softHyphen/>
        <w:t xml:space="preserve">kom slučaju činili jedan integrirajući dio </w:t>
      </w:r>
      <w:r>
        <w:rPr>
          <w:rFonts w:ascii="Times New Roman" w:eastAsia="Times New Roman" w:hAnsi="Times New Roman" w:cs="Times New Roman"/>
          <w:i/>
          <w:iCs/>
          <w:color w:val="000000"/>
          <w:spacing w:val="0"/>
          <w:w w:val="100"/>
          <w:position w:val="0"/>
          <w:shd w:val="clear" w:color="auto" w:fill="auto"/>
          <w:lang w:val="hr-HR" w:eastAsia="hr-HR" w:bidi="hr-HR"/>
        </w:rPr>
        <w:t xml:space="preserve">ume </w:t>
      </w:r>
      <w:r>
        <w:rPr>
          <w:rFonts w:ascii="Times New Roman" w:eastAsia="Times New Roman" w:hAnsi="Times New Roman" w:cs="Times New Roman"/>
          <w:color w:val="000000"/>
          <w:spacing w:val="0"/>
          <w:w w:val="100"/>
          <w:position w:val="0"/>
          <w:shd w:val="clear" w:color="auto" w:fill="auto"/>
          <w:lang w:val="hr-HR" w:eastAsia="hr-HR" w:bidi="hr-HR"/>
        </w:rPr>
        <w:t>- cjelokupne zajednice. Do mućenja početno dobroga međusobnog odnosa doveli su tek po</w:t>
        <w:softHyphen/>
        <w:t>jačani zahtjev za mogućnošću izopćenja Žido</w:t>
        <w:softHyphen/>
        <w:t>va i proturječnost u njihovom vjerskom i druš- tvcno-političkom ponašanju, što je bio poticaj za oštru kuransku kritiku. Kasnije je došlo do otvorenoga prekida. Ratni sukobi i iseljavanja doveli su naposljetku do iščezavanja židovsko</w:t>
        <w:softHyphen/>
        <w:t>ga stanovništva u Medini i oko nje. Ti su do</w:t>
        <w:softHyphen/>
      </w:r>
      <w:r>
        <w:rPr>
          <w:rFonts w:ascii="Times New Roman" w:eastAsia="Times New Roman" w:hAnsi="Times New Roman" w:cs="Times New Roman"/>
          <w:color w:val="000000"/>
          <w:spacing w:val="0"/>
          <w:w w:val="100"/>
          <w:position w:val="0"/>
          <w:shd w:val="clear" w:color="auto" w:fill="auto"/>
          <w:lang w:val="hr-HR" w:eastAsia="hr-HR" w:bidi="hr-HR"/>
        </w:rPr>
        <w:t>gađaji ostavili bolni žalac u povijesti islam- sko-židovskih odnosa.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Kuran općenito govori pozitivno o židovstvu. Odgovarajući pasaži za Židove s naklonošću upotrebljavaju ime Bene </w:t>
      </w:r>
      <w:r>
        <w:rPr>
          <w:rFonts w:ascii="Times New Roman" w:eastAsia="Times New Roman" w:hAnsi="Times New Roman" w:cs="Times New Roman"/>
          <w:color w:val="000000"/>
          <w:spacing w:val="0"/>
          <w:w w:val="100"/>
          <w:position w:val="0"/>
          <w:shd w:val="clear" w:color="auto" w:fill="auto"/>
          <w:lang w:val="en-US" w:eastAsia="en-US" w:bidi="en-US"/>
        </w:rPr>
        <w:t xml:space="preserve">Israel </w:t>
      </w:r>
      <w:r>
        <w:rPr>
          <w:rFonts w:ascii="Times New Roman" w:eastAsia="Times New Roman" w:hAnsi="Times New Roman" w:cs="Times New Roman"/>
          <w:color w:val="000000"/>
          <w:spacing w:val="0"/>
          <w:w w:val="100"/>
          <w:position w:val="0"/>
          <w:shd w:val="clear" w:color="auto" w:fill="auto"/>
          <w:lang w:val="hr-HR" w:eastAsia="hr-HR" w:bidi="hr-HR"/>
        </w:rPr>
        <w:t>(Sinovi Izrae- lovi). Ali Židovi kao »posjednici Knjige« (ahl</w:t>
      </w:r>
    </w:p>
    <w:p>
      <w:pPr>
        <w:pStyle w:val="Style20"/>
        <w:keepNext w:val="0"/>
        <w:keepLines w:val="0"/>
        <w:widowControl w:val="0"/>
        <w:numPr>
          <w:ilvl w:val="0"/>
          <w:numId w:val="677"/>
        </w:numPr>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-Kitab) i inače uživaju povlašteno mjesto među neislamskim religijama. Svakako da u Kuranu ima i iskaza koji očituju izričitu dis- tanciranost od židovstva. Oni su uzrokovani neposrednom konfrontacijom s medinskim Židovima. Sukladno tomu, oni imaju situacij- ski i vremenski uvjetovanu vrijednost. Nije, dakle, primjereno uopćavati njihove sadržaje ili ih čak protezati na sva razdoblja. U stvari, tijekom povijesti Židovi i muslimani su se do</w:t>
        <w:softHyphen/>
        <w:t>bro razumijevali, neovisno o nekim iznimka</w:t>
        <w:softHyphen/>
        <w:t>ma. Forme uzorne koegzistencije oblikovale su se na obostranu korist naročito u Abasid- skom Carstvu, u maurskog Španjolskoj i u Per</w:t>
        <w:softHyphen/>
        <w:t>ziji. Nakon protjerivanja Židova iz Španjolske prije svega su osmanski sultani bili ti koji su im prijateljski otvorili vrata islamskoga svije</w:t>
        <w:softHyphen/>
        <w:t>ta. Za vrijeme vezirovanja Mehmed-paše So</w:t>
        <w:softHyphen/>
        <w:t>kolovića, vezira Sulejmana Velikog, u područ</w:t>
        <w:softHyphen/>
        <w:t>ju oko liberijskoga jezera u Palestini nastale su neke židovske naseobine, prve te vrste nakon izgnanstva.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Arapsko je poganstvo uplelo prvu zajednicu u borbu na život i smrt. Čini se da je iz te per</w:t>
        <w:softHyphen/>
        <w:t>spektive razumljiv zahtjev Kurana upućen ta</w:t>
        <w:softHyphen/>
        <w:t>dašnjim muslimanima da povedu totalni rat protiv tih neprijatelja, koji su poput njih svi redom bili Arapi (sura Et-Tcvbc, 34). Ne</w:t>
        <w:softHyphen/>
        <w:t>izbježna je borba ciljala na ukidanje idolopo- klonstva ranije poganskih Arapa u islamsko</w:t>
        <w:softHyphen/>
        <w:t>me društvu. Suprotno tom unulararapskom sukobu prema židovstvu i kršćanstvu bila je predviđena trajna koegzistencija. U tradicio</w:t>
        <w:softHyphen/>
        <w:t>nalnom državno-pravnom konceptu islama ta se koegzistencija svakako shvaća kao ugovor</w:t>
        <w:softHyphen/>
        <w:t>ni odnos, unutar kojega se nemuslimani mo</w:t>
        <w:softHyphen/>
        <w:t>raju zadovoljiti statusom »štićenika«. Postav</w:t>
        <w:softHyphen/>
        <w:t>ljen u nastali srednjovjekovni svjetonazor, taj se koncept odlikuje velikodušnošću i relativ</w:t>
        <w:softHyphen/>
        <w:t>nom tolerantnošću; današnje shvaćanje svijeta sa svojim humanim dimenzijama svakako mu mora dati manje laskav izgled.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Jedna, u situaciji konfrontacije nastala opo</w:t>
        <w:softHyphen/>
        <w:t xml:space="preserve">mena iz Kurana, da se Židovi i kršćani ne smiju uzimati za prijatelje (5,56), oslabljuje se i ograničuje jednim drugim stihom iz Kurana, </w:t>
      </w:r>
      <w:r>
        <w:rPr>
          <w:rFonts w:ascii="Times New Roman" w:eastAsia="Times New Roman" w:hAnsi="Times New Roman" w:cs="Times New Roman"/>
          <w:color w:val="000000"/>
          <w:spacing w:val="0"/>
          <w:w w:val="100"/>
          <w:position w:val="0"/>
          <w:shd w:val="clear" w:color="auto" w:fill="auto"/>
          <w:lang w:val="hr-HR" w:eastAsia="hr-HR" w:bidi="hr-HR"/>
        </w:rPr>
        <w:t>ona se zapravo efektivno ukida ako nema ni</w:t>
        <w:softHyphen/>
        <w:t>kakve konfrontacije. »A svakako ćeš uočiti da su najbliži prijatelji pravovjernima oni koji kažu: ‘Mi smo kršćani’« (5,85). Zatim: »Nema straha niti će tugovati tko vjeruje u Boga, sudnji dan i radi dobra djela, pa bio on pravo</w:t>
        <w:softHyphen/>
        <w:t>vjernik, poklonik zvijezda ili kršćanin« (5,72). Ta vjerojatno od Muhameda odobrena auten</w:t>
        <w:softHyphen/>
        <w:t xml:space="preserve">tična forma zaštitničkog odnosa našla je svoj izraz u jednom ugovoru s kršćanima, naime u Nedšranskom ugovoru iz 631: »Ovaj ugovor jamči kršćanima zaštitu </w:t>
      </w:r>
      <w:r>
        <w:rPr>
          <w:rFonts w:ascii="Times New Roman" w:eastAsia="Times New Roman" w:hAnsi="Times New Roman" w:cs="Times New Roman"/>
          <w:i/>
          <w:iCs/>
          <w:color w:val="000000"/>
          <w:spacing w:val="0"/>
          <w:w w:val="100"/>
          <w:position w:val="0"/>
          <w:shd w:val="clear" w:color="auto" w:fill="auto"/>
          <w:lang w:val="hr-HR" w:eastAsia="hr-HR" w:bidi="hr-HR"/>
        </w:rPr>
        <w:t>ume</w:t>
      </w:r>
      <w:r>
        <w:rPr>
          <w:rFonts w:ascii="Times New Roman" w:eastAsia="Times New Roman" w:hAnsi="Times New Roman" w:cs="Times New Roman"/>
          <w:color w:val="000000"/>
          <w:spacing w:val="0"/>
          <w:w w:val="100"/>
          <w:position w:val="0"/>
          <w:shd w:val="clear" w:color="auto" w:fill="auto"/>
          <w:lang w:val="hr-HR" w:eastAsia="hr-HR" w:bidi="hr-HR"/>
        </w:rPr>
        <w:t xml:space="preserve"> od plaćanja jed</w:t>
        <w:softHyphen/>
        <w:t>nokratne pristojbe ili blagoga poreza. On ta</w:t>
        <w:softHyphen/>
        <w:t>kođer potvrđuje da neće biti nikakvih poniža- vanja kršćana koji su pod zaštitom. Također neće biti nikakvog ograničavanja obavljanja vjerskih obreda«. Nema nikakvoga vojnog za</w:t>
        <w:softHyphen/>
        <w:t xml:space="preserve">posjedanja, te ostaje crkvena hijerarhija (usp. </w:t>
      </w:r>
      <w:r>
        <w:rPr>
          <w:rFonts w:ascii="Times New Roman" w:eastAsia="Times New Roman" w:hAnsi="Times New Roman" w:cs="Times New Roman"/>
          <w:color w:val="000000"/>
          <w:spacing w:val="0"/>
          <w:w w:val="100"/>
          <w:position w:val="0"/>
          <w:shd w:val="clear" w:color="auto" w:fill="auto"/>
          <w:lang w:val="en-US" w:eastAsia="en-US" w:bidi="en-US"/>
        </w:rPr>
        <w:t xml:space="preserve">Pierre Rondot,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Islam </w:t>
      </w:r>
      <w:r>
        <w:rPr>
          <w:rFonts w:ascii="Times New Roman" w:eastAsia="Times New Roman" w:hAnsi="Times New Roman" w:cs="Times New Roman"/>
          <w:i/>
          <w:iCs/>
          <w:color w:val="000000"/>
          <w:spacing w:val="0"/>
          <w:w w:val="100"/>
          <w:position w:val="0"/>
          <w:shd w:val="clear" w:color="auto" w:fill="auto"/>
          <w:lang w:val="en-US" w:eastAsia="en-US" w:bidi="en-US"/>
        </w:rPr>
        <w:t xml:space="preserve">und 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Mohamme- daner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von </w:t>
      </w:r>
      <w:r>
        <w:rPr>
          <w:rFonts w:ascii="Times New Roman" w:eastAsia="Times New Roman" w:hAnsi="Times New Roman" w:cs="Times New Roman"/>
          <w:i/>
          <w:iCs/>
          <w:color w:val="000000"/>
          <w:spacing w:val="0"/>
          <w:w w:val="100"/>
          <w:position w:val="0"/>
          <w:shd w:val="clear" w:color="auto" w:fill="auto"/>
          <w:lang w:val="hr-HR" w:eastAsia="hr-HR" w:bidi="hr-HR"/>
        </w:rPr>
        <w:t>heute,</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Stuttgart </w:t>
      </w:r>
      <w:r>
        <w:rPr>
          <w:rFonts w:ascii="Times New Roman" w:eastAsia="Times New Roman" w:hAnsi="Times New Roman" w:cs="Times New Roman"/>
          <w:color w:val="000000"/>
          <w:spacing w:val="0"/>
          <w:w w:val="100"/>
          <w:position w:val="0"/>
          <w:shd w:val="clear" w:color="auto" w:fill="auto"/>
          <w:lang w:val="hr-HR" w:eastAsia="hr-HR" w:bidi="hr-HR"/>
        </w:rPr>
        <w:t>1963, 194-5).</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Politički motivirane pravne (fikh) odredbe učinile su kasnije instituciju »štićenika« uve</w:t>
        <w:softHyphen/>
        <w:t>like sredstvom degradiranja. Rondot primje</w:t>
        <w:softHyphen/>
        <w:t>ćuje: »Tek danas moderna država nastoji su</w:t>
        <w:softHyphen/>
        <w:t>protstaviti se tom zastarjelom diskriminiranju; ona može ukinuti zakone, ali navike mnogo teže« (Rondot, 197). S utemeljenjem izrael</w:t>
        <w:softHyphen/>
        <w:t>ske države na tlu Palestine 1948. odnos islama prema židovstvu doživio je znatno pogoršanje. Bez utjecaja na islamski svijet nije moglo osta</w:t>
        <w:softHyphen/>
        <w:t>ti ni to što je nakon osnivanja te države uslije</w:t>
        <w:softHyphen/>
        <w:t>dila povreda nacionalnih, gospodarskih i poli</w:t>
        <w:softHyphen/>
        <w:t>tičkih prava jedinstvenoga palestinskog stanov</w:t>
        <w:softHyphen/>
        <w:t>ništva većinske islamske vjeroispovijesti, i pro</w:t>
        <w:softHyphen/>
        <w:t>mijenjeni pravni status svetih mjesta u Jeru</w:t>
        <w:softHyphen/>
        <w:t>zalemu.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 je snažno utjecalo na način razmišljanja i ponašanja muslimana. Izvjesni starožidovski zakoni tradicionalno se preuzimaju u punom opsegu. Tu npr. spada kazna kamenovanja zbog brakolomstva koje su posvjedočila barem tri svjedoka, kazna koja je usidrena u starijem šerijatskom pravu. Takav se način kažnjavanja u Kuranu nigdje ne nagovještava kao zahtjev. 1 u svakodnevnom ponašanju muslimana može se ustvrditi odjek židovskih običaja, recimo nošenje vela na glavi prilikom molitve, ljulja</w:t>
        <w:softHyphen/>
        <w:t>nje tamo-amo prilikom čitanja Kurana, isklju</w:t>
        <w:softHyphen/>
        <w:t>čivanje žene iz bogoslužnih radnji i tomu si.</w:t>
      </w:r>
    </w:p>
    <w:p>
      <w:pPr>
        <w:pStyle w:val="Style20"/>
        <w:keepNext w:val="0"/>
        <w:keepLines w:val="0"/>
        <w:widowControl w:val="0"/>
        <w:shd w:val="clear" w:color="auto" w:fill="auto"/>
        <w:bidi w:val="0"/>
        <w:spacing w:before="0" w:after="60"/>
        <w:ind w:left="0" w:right="0" w:firstLine="0"/>
        <w:jc w:val="both"/>
        <w:sectPr>
          <w:headerReference w:type="default" r:id="rId1743"/>
          <w:footerReference w:type="default" r:id="rId1744"/>
          <w:headerReference w:type="even" r:id="rId1745"/>
          <w:footerReference w:type="even" r:id="rId1746"/>
          <w:footnotePr>
            <w:pos w:val="pageBottom"/>
            <w:numFmt w:val="decimal"/>
            <w:numRestart w:val="continuous"/>
            <w15:footnoteColumns w:val="1"/>
          </w:footnotePr>
          <w:pgSz w:w="6816" w:h="11006"/>
          <w:pgMar w:top="965" w:left="194" w:right="199" w:bottom="537" w:header="0" w:footer="3" w:gutter="0"/>
          <w:pgNumType w:start="566"/>
          <w:cols w:num="2" w:space="188"/>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egzegezi kuranskih pripovijesti o prorocima pojedini komentatori obilato koriste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i druge židovske predaje, kao što je to npr. či</w:t>
        <w:softHyphen/>
      </w:r>
    </w:p>
    <w:p>
      <w:pPr>
        <w:pStyle w:val="Style20"/>
        <w:keepNext w:val="0"/>
        <w:keepLines w:val="0"/>
        <w:widowControl w:val="0"/>
        <w:shd w:val="clear" w:color="auto" w:fill="auto"/>
        <w:bidi w:val="0"/>
        <w:spacing w:before="0" w:after="6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nio at-Tabarl. U tradiciji sc može ustvrditi utjecaj rabinske literature. S druge je strane i islamska teologija utjecala na rabinsku litera</w:t>
        <w:softHyphen/>
        <w:t>turu. To sc posebice može primijetiti na od</w:t>
        <w:softHyphen/>
        <w:t>jeku u židovstvu nekih djela koje je napisao al-Gazali. Židovi su bili najvažniji posredova- telji arapsko-islamske kulture u Europi. Gla</w:t>
        <w:softHyphen/>
        <w:t>sovita prevoditeljska škola iz Toleda uglav</w:t>
        <w:softHyphen/>
        <w:t>nom je počivala na njima.</w:t>
      </w:r>
    </w:p>
    <w:p>
      <w:pPr>
        <w:pStyle w:val="Style56"/>
        <w:keepNext w:val="0"/>
        <w:keepLines w:val="0"/>
        <w:widowControl w:val="0"/>
        <w:shd w:val="clear" w:color="auto" w:fill="auto"/>
        <w:tabs>
          <w:tab w:pos="2568" w:val="left"/>
        </w:tabs>
        <w:bidi w:val="0"/>
        <w:spacing w:before="0" w:after="360" w:line="240" w:lineRule="auto"/>
        <w:ind w:left="0" w:right="0" w:firstLine="0"/>
        <w:jc w:val="both"/>
      </w:pPr>
      <w:r>
        <w:rPr>
          <w:color w:val="000000"/>
          <w:spacing w:val="0"/>
          <w:w w:val="100"/>
          <w:position w:val="0"/>
          <w:shd w:val="clear" w:color="auto" w:fill="auto"/>
          <w:lang w:val="hr-HR" w:eastAsia="hr-HR" w:bidi="hr-HR"/>
        </w:rPr>
        <w:t xml:space="preserve">Ut.: Pierrc Rondot, </w:t>
      </w:r>
      <w:r>
        <w:rPr>
          <w:i/>
          <w:iCs/>
          <w:color w:val="000000"/>
          <w:spacing w:val="0"/>
          <w:w w:val="100"/>
          <w:position w:val="0"/>
          <w:shd w:val="clear" w:color="auto" w:fill="auto"/>
          <w:lang w:val="hr-HR" w:eastAsia="hr-HR" w:bidi="hr-HR"/>
        </w:rPr>
        <w:t xml:space="preserve">Der Islam </w:t>
      </w:r>
      <w:r>
        <w:rPr>
          <w:i/>
          <w:iCs/>
          <w:color w:val="000000"/>
          <w:spacing w:val="0"/>
          <w:w w:val="100"/>
          <w:position w:val="0"/>
          <w:shd w:val="clear" w:color="auto" w:fill="auto"/>
        </w:rPr>
        <w:t xml:space="preserve">und die </w:t>
      </w:r>
      <w:r>
        <w:rPr>
          <w:i/>
          <w:iCs/>
          <w:color w:val="000000"/>
          <w:spacing w:val="0"/>
          <w:w w:val="100"/>
          <w:position w:val="0"/>
          <w:shd w:val="clear" w:color="auto" w:fill="auto"/>
          <w:lang w:val="hr-HR" w:eastAsia="hr-HR" w:bidi="hr-HR"/>
        </w:rPr>
        <w:t xml:space="preserve">Mohammedaner von heute. </w:t>
      </w:r>
      <w:r>
        <w:rPr>
          <w:i/>
          <w:iCs/>
          <w:color w:val="000000"/>
          <w:spacing w:val="0"/>
          <w:w w:val="100"/>
          <w:position w:val="0"/>
          <w:shd w:val="clear" w:color="auto" w:fill="auto"/>
        </w:rPr>
        <w:t xml:space="preserve">Die </w:t>
      </w:r>
      <w:r>
        <w:rPr>
          <w:i/>
          <w:iCs/>
          <w:color w:val="000000"/>
          <w:spacing w:val="0"/>
          <w:w w:val="100"/>
          <w:position w:val="0"/>
          <w:shd w:val="clear" w:color="auto" w:fill="auto"/>
          <w:lang w:val="hr-HR" w:eastAsia="hr-HR" w:bidi="hr-HR"/>
        </w:rPr>
        <w:t xml:space="preserve">isiamische Gemeinschafi: geslern - heule - </w:t>
      </w:r>
      <w:r>
        <w:rPr>
          <w:i/>
          <w:iCs/>
          <w:color w:val="000000"/>
          <w:spacing w:val="0"/>
          <w:w w:val="100"/>
          <w:position w:val="0"/>
          <w:shd w:val="clear" w:color="auto" w:fill="auto"/>
        </w:rPr>
        <w:t xml:space="preserve">morgen, </w:t>
      </w:r>
      <w:r>
        <w:rPr>
          <w:color w:val="000000"/>
          <w:spacing w:val="0"/>
          <w:w w:val="100"/>
          <w:position w:val="0"/>
          <w:shd w:val="clear" w:color="auto" w:fill="auto"/>
        </w:rPr>
        <w:t xml:space="preserve">Stuttgart </w:t>
      </w:r>
      <w:r>
        <w:rPr>
          <w:color w:val="000000"/>
          <w:spacing w:val="0"/>
          <w:w w:val="100"/>
          <w:position w:val="0"/>
          <w:shd w:val="clear" w:color="auto" w:fill="auto"/>
          <w:lang w:val="hr-HR" w:eastAsia="hr-HR" w:bidi="hr-HR"/>
        </w:rPr>
        <w:t>1963.</w:t>
        <w:tab/>
        <w:t>S. BALIĆ</w:t>
      </w:r>
    </w:p>
    <w:p>
      <w:pPr>
        <w:pStyle w:val="Style33"/>
        <w:keepNext w:val="0"/>
        <w:keepLines w:val="0"/>
        <w:widowControl w:val="0"/>
        <w:shd w:val="clear" w:color="auto" w:fill="auto"/>
        <w:bidi w:val="0"/>
        <w:spacing w:before="0" w:after="140" w:line="223"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ŽRTVA</w:t>
      </w:r>
    </w:p>
    <w:p>
      <w:pPr>
        <w:pStyle w:val="Style63"/>
        <w:keepNext/>
        <w:keepLines/>
        <w:widowControl w:val="0"/>
        <w:numPr>
          <w:ilvl w:val="0"/>
          <w:numId w:val="679"/>
        </w:numPr>
        <w:shd w:val="clear" w:color="auto" w:fill="auto"/>
        <w:tabs>
          <w:tab w:pos="246" w:val="left"/>
        </w:tabs>
        <w:bidi w:val="0"/>
        <w:spacing w:before="0" w:line="223" w:lineRule="auto"/>
        <w:ind w:left="0" w:right="0" w:firstLine="0"/>
        <w:jc w:val="both"/>
      </w:pPr>
      <w:bookmarkStart w:id="427" w:name="bookmark427"/>
      <w:r>
        <w:rPr>
          <w:rFonts w:ascii="Times New Roman" w:eastAsia="Times New Roman" w:hAnsi="Times New Roman" w:cs="Times New Roman"/>
          <w:color w:val="000000"/>
          <w:spacing w:val="0"/>
          <w:w w:val="100"/>
          <w:position w:val="0"/>
          <w:shd w:val="clear" w:color="auto" w:fill="auto"/>
          <w:lang w:val="hr-HR" w:eastAsia="hr-HR" w:bidi="hr-HR"/>
        </w:rPr>
        <w:t>židovski</w:t>
      </w:r>
      <w:bookmarkEnd w:id="427"/>
    </w:p>
    <w:p>
      <w:pPr>
        <w:pStyle w:val="Style20"/>
        <w:keepNext w:val="0"/>
        <w:keepLines w:val="0"/>
        <w:widowControl w:val="0"/>
        <w:numPr>
          <w:ilvl w:val="0"/>
          <w:numId w:val="681"/>
        </w:numPr>
        <w:shd w:val="clear" w:color="auto" w:fill="auto"/>
        <w:tabs>
          <w:tab w:pos="27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»Koga sebi izabere, dopustit će mu da se pri</w:t>
        <w:softHyphen/>
        <w:t>bližio:</w:t>
      </w:r>
      <w:r>
        <w:rPr>
          <w:rFonts w:ascii="Times New Roman" w:eastAsia="Times New Roman" w:hAnsi="Times New Roman" w:cs="Times New Roman"/>
          <w:color w:val="000000"/>
          <w:spacing w:val="0"/>
          <w:w w:val="100"/>
          <w:position w:val="0"/>
          <w:shd w:val="clear" w:color="auto" w:fill="auto"/>
          <w:lang w:val="hr-HR" w:eastAsia="hr-HR" w:bidi="hr-HR"/>
        </w:rPr>
        <w:t xml:space="preserve"> Većina pojmova o žrtvi u hebrejskoj Bi</w:t>
        <w:softHyphen/>
        <w:t xml:space="preserve">bliji označava odnos čovjeka koji Bogu prinosi žrtvu i time nešto što se među njima događa. Izraz »korban«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6,13; 9,7.15), koji obu</w:t>
        <w:softHyphen/>
        <w:t>hvaća mnoge aspekte, izvedenica je od gla</w:t>
        <w:softHyphen/>
        <w:t>gola koji znači »približiti (sc)« (Post 20,4; Izl 14,20), koji se s imenicom kao ciljnom veliči</w:t>
        <w:softHyphen/>
        <w:t xml:space="preserve">nom može promijeniti u kauzativni oblik sa značenjem »približiti, prinijeti prinos« i si.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1,2; 2,1.4.12; 7,14; 17,4 itd. u prijevodu na njemački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 xml:space="preserve">Bubera i Franza Ro- </w:t>
      </w:r>
      <w:r>
        <w:rPr>
          <w:rFonts w:ascii="Times New Roman" w:eastAsia="Times New Roman" w:hAnsi="Times New Roman" w:cs="Times New Roman"/>
          <w:color w:val="000000"/>
          <w:spacing w:val="0"/>
          <w:w w:val="100"/>
          <w:position w:val="0"/>
          <w:shd w:val="clear" w:color="auto" w:fill="auto"/>
          <w:lang w:val="en-US" w:eastAsia="en-US" w:bidi="en-US"/>
        </w:rPr>
        <w:t xml:space="preserve">senzweiga, </w:t>
      </w:r>
      <w:r>
        <w:rPr>
          <w:rFonts w:ascii="Times New Roman" w:eastAsia="Times New Roman" w:hAnsi="Times New Roman" w:cs="Times New Roman"/>
          <w:color w:val="000000"/>
          <w:spacing w:val="0"/>
          <w:w w:val="100"/>
          <w:position w:val="0"/>
          <w:shd w:val="clear" w:color="auto" w:fill="auto"/>
          <w:lang w:val="hr-HR" w:eastAsia="hr-HR" w:bidi="hr-HR"/>
        </w:rPr>
        <w:t xml:space="preserve">usp. Dodatak prvom svesku: </w:t>
      </w:r>
      <w:r>
        <w:rPr>
          <w:rFonts w:ascii="Times New Roman" w:eastAsia="Times New Roman" w:hAnsi="Times New Roman" w:cs="Times New Roman"/>
          <w:i/>
          <w:iCs/>
          <w:color w:val="000000"/>
          <w:spacing w:val="0"/>
          <w:w w:val="100"/>
          <w:position w:val="0"/>
          <w:shd w:val="clear" w:color="auto" w:fill="auto"/>
          <w:lang w:val="en-US" w:eastAsia="en-US" w:bidi="en-US"/>
        </w:rPr>
        <w:t xml:space="preserve">Die </w:t>
      </w:r>
      <w:r>
        <w:rPr>
          <w:rFonts w:ascii="Times New Roman" w:eastAsia="Times New Roman" w:hAnsi="Times New Roman" w:cs="Times New Roman"/>
          <w:i/>
          <w:iCs/>
          <w:color w:val="000000"/>
          <w:spacing w:val="0"/>
          <w:w w:val="100"/>
          <w:position w:val="0"/>
          <w:shd w:val="clear" w:color="auto" w:fill="auto"/>
          <w:lang w:val="hr-HR" w:eastAsia="hr-HR" w:bidi="hr-HR"/>
        </w:rPr>
        <w:t xml:space="preserve">funf </w:t>
      </w:r>
      <w:r>
        <w:rPr>
          <w:rFonts w:ascii="Times New Roman" w:eastAsia="Times New Roman" w:hAnsi="Times New Roman" w:cs="Times New Roman"/>
          <w:i/>
          <w:iCs/>
          <w:color w:val="000000"/>
          <w:spacing w:val="0"/>
          <w:w w:val="100"/>
          <w:position w:val="0"/>
          <w:shd w:val="clear" w:color="auto" w:fill="auto"/>
          <w:lang w:val="en-US" w:eastAsia="en-US" w:bidi="en-US"/>
        </w:rPr>
        <w:t xml:space="preserve">Bucher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Weisung,</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’1976, 19 i d.). Smi</w:t>
        <w:softHyphen/>
        <w:t>sao žrtve sastoji sc stoga u tome da se njome čovjek približava Bogu; ž. znači bliženje, pri</w:t>
        <w:softHyphen/>
        <w:t>bližavanje. Na tu predodžbu jasno podsjeća priča o Korahu i svoj njegovoj družini (Br 16,7): »Sutra će ON pokazati tko je njegov, i tko je posvećen i komu dopušta da mu se pri</w:t>
        <w:softHyphen/>
        <w:t>bliži. Koga sebi izabere, dopustit će mu da sc približi« (redak 5).</w:t>
      </w:r>
    </w:p>
    <w:p>
      <w:pPr>
        <w:pStyle w:val="Style20"/>
        <w:keepNext w:val="0"/>
        <w:keepLines w:val="0"/>
        <w:widowControl w:val="0"/>
        <w:numPr>
          <w:ilvl w:val="0"/>
          <w:numId w:val="681"/>
        </w:numPr>
        <w:shd w:val="clear" w:color="auto" w:fill="auto"/>
        <w:tabs>
          <w:tab w:pos="265"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»Da mu za njegovo ispaštanje bude prim</w:t>
        <w:softHyphen/>
        <w:t>ljena«: Z.tt</w:t>
      </w:r>
      <w:r>
        <w:rPr>
          <w:rFonts w:ascii="Times New Roman" w:eastAsia="Times New Roman" w:hAnsi="Times New Roman" w:cs="Times New Roman"/>
          <w:color w:val="000000"/>
          <w:spacing w:val="0"/>
          <w:w w:val="100"/>
          <w:position w:val="0"/>
          <w:shd w:val="clear" w:color="auto" w:fill="auto"/>
          <w:lang w:val="hr-HR" w:eastAsia="hr-HR" w:bidi="hr-HR"/>
        </w:rPr>
        <w:t xml:space="preserve"> hramskoga bogoslužja svakodnevno su se prinosile žrtve, za velikoga svećenika »trajna žrtva prinosnica« </w:t>
      </w:r>
      <w:r>
        <w:rPr>
          <w:rFonts w:ascii="Times New Roman" w:eastAsia="Times New Roman" w:hAnsi="Times New Roman" w:cs="Times New Roman"/>
          <w:i/>
          <w:iCs/>
          <w:color w:val="000000"/>
          <w:spacing w:val="0"/>
          <w:w w:val="100"/>
          <w:position w:val="0"/>
          <w:shd w:val="clear" w:color="auto" w:fill="auto"/>
          <w:lang w:val="hr-HR" w:eastAsia="hr-HR" w:bidi="hr-HR"/>
        </w:rPr>
        <w:t>(minha tamid,</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6,12-16; Izl 29,38 i d.; Br 28,3 i d.; M Joma</w:t>
      </w:r>
    </w:p>
    <w:p>
      <w:pPr>
        <w:pStyle w:val="Style20"/>
        <w:keepNext w:val="0"/>
        <w:keepLines w:val="0"/>
        <w:widowControl w:val="0"/>
        <w:numPr>
          <w:ilvl w:val="0"/>
          <w:numId w:val="683"/>
        </w:numPr>
        <w:shd w:val="clear" w:color="auto" w:fill="auto"/>
        <w:tabs>
          <w:tab w:pos="284" w:val="left"/>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3-5; Tos. 1,13; M Tamid 111,1; VII.3), za narod »trajne žrtve paljenice« </w:t>
      </w:r>
      <w:r>
        <w:rPr>
          <w:rFonts w:ascii="Times New Roman" w:eastAsia="Times New Roman" w:hAnsi="Times New Roman" w:cs="Times New Roman"/>
          <w:i/>
          <w:iCs/>
          <w:color w:val="000000"/>
          <w:spacing w:val="0"/>
          <w:w w:val="100"/>
          <w:position w:val="0"/>
          <w:shd w:val="clear" w:color="auto" w:fill="auto"/>
          <w:lang w:val="hr-HR" w:eastAsia="hr-HR" w:bidi="hr-HR"/>
        </w:rPr>
        <w:t>(‘olah tamid,</w:t>
      </w:r>
      <w:r>
        <w:rPr>
          <w:rFonts w:ascii="Times New Roman" w:eastAsia="Times New Roman" w:hAnsi="Times New Roman" w:cs="Times New Roman"/>
          <w:color w:val="000000"/>
          <w:spacing w:val="0"/>
          <w:w w:val="100"/>
          <w:position w:val="0"/>
          <w:shd w:val="clear" w:color="auto" w:fill="auto"/>
          <w:lang w:val="hr-HR" w:eastAsia="hr-HR" w:bidi="hr-HR"/>
        </w:rPr>
        <w:t xml:space="preserve"> Izl 29,38-42; Br 28.3-8; u rabinskoj jezičnoj upo</w:t>
        <w:softHyphen/>
        <w:t xml:space="preserve">rabi jednostavno </w:t>
      </w:r>
      <w:r>
        <w:rPr>
          <w:rFonts w:ascii="Times New Roman" w:eastAsia="Times New Roman" w:hAnsi="Times New Roman" w:cs="Times New Roman"/>
          <w:i/>
          <w:iCs/>
          <w:color w:val="000000"/>
          <w:spacing w:val="0"/>
          <w:w w:val="100"/>
          <w:position w:val="0"/>
          <w:shd w:val="clear" w:color="auto" w:fill="auto"/>
          <w:lang w:val="hr-HR" w:eastAsia="hr-HR" w:bidi="hr-HR"/>
        </w:rPr>
        <w:t>lha-1 tamid,</w:t>
      </w:r>
      <w:r>
        <w:rPr>
          <w:rFonts w:ascii="Times New Roman" w:eastAsia="Times New Roman" w:hAnsi="Times New Roman" w:cs="Times New Roman"/>
          <w:color w:val="000000"/>
          <w:spacing w:val="0"/>
          <w:w w:val="100"/>
          <w:position w:val="0"/>
          <w:shd w:val="clear" w:color="auto" w:fill="auto"/>
          <w:lang w:val="hr-HR" w:eastAsia="hr-HR" w:bidi="hr-HR"/>
        </w:rPr>
        <w:t xml:space="preserve"> »stalna«, M Pe- sahim V,1.3.5 i d.; Joma 11,5; VII,3; Taanit IV,6). Paljenice (podizanice), u koje su se ubrajale žrtve zajednice </w:t>
      </w:r>
      <w:r>
        <w:rPr>
          <w:rFonts w:ascii="Times New Roman" w:eastAsia="Times New Roman" w:hAnsi="Times New Roman" w:cs="Times New Roman"/>
          <w:i/>
          <w:iCs/>
          <w:color w:val="000000"/>
          <w:spacing w:val="0"/>
          <w:w w:val="100"/>
          <w:position w:val="0"/>
          <w:shd w:val="clear" w:color="auto" w:fill="auto"/>
          <w:lang w:val="hr-HR" w:eastAsia="hr-HR" w:bidi="hr-HR"/>
        </w:rPr>
        <w:t>tamid,</w:t>
      </w:r>
      <w:r>
        <w:rPr>
          <w:rFonts w:ascii="Times New Roman" w:eastAsia="Times New Roman" w:hAnsi="Times New Roman" w:cs="Times New Roman"/>
          <w:color w:val="000000"/>
          <w:spacing w:val="0"/>
          <w:w w:val="100"/>
          <w:position w:val="0"/>
          <w:shd w:val="clear" w:color="auto" w:fill="auto"/>
          <w:lang w:val="hr-HR" w:eastAsia="hr-HR" w:bidi="hr-HR"/>
        </w:rPr>
        <w:t xml:space="preserve"> posjedovale su okajničku (= pomirbenu) moć: »Neka stavi </w:t>
      </w:r>
      <w:r>
        <w:rPr>
          <w:rFonts w:ascii="Times New Roman" w:eastAsia="Times New Roman" w:hAnsi="Times New Roman" w:cs="Times New Roman"/>
          <w:color w:val="000000"/>
          <w:spacing w:val="0"/>
          <w:w w:val="100"/>
          <w:position w:val="0"/>
          <w:shd w:val="clear" w:color="auto" w:fill="auto"/>
          <w:lang w:val="hr-HR" w:eastAsia="hr-HR" w:bidi="hr-HR"/>
        </w:rPr>
        <w:t xml:space="preserve">svoju ruku na glavu žrtve paljenice da mu za njegovo ispaštanje bude primljena«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1,4; 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1,5; 42,8). Prema rabinskom shva</w:t>
        <w:softHyphen/>
        <w:t xml:space="preserve">ćanju okajavali su grijehe misli: »Rabi </w:t>
      </w:r>
      <w:r>
        <w:rPr>
          <w:rFonts w:ascii="Times New Roman" w:eastAsia="Times New Roman" w:hAnsi="Times New Roman" w:cs="Times New Roman"/>
          <w:color w:val="000000"/>
          <w:spacing w:val="0"/>
          <w:w w:val="100"/>
          <w:position w:val="0"/>
          <w:shd w:val="clear" w:color="auto" w:fill="auto"/>
          <w:lang w:val="en-US" w:eastAsia="en-US" w:bidi="en-US"/>
        </w:rPr>
        <w:t xml:space="preserve">Simon ben </w:t>
      </w:r>
      <w:r>
        <w:rPr>
          <w:rFonts w:ascii="Times New Roman" w:eastAsia="Times New Roman" w:hAnsi="Times New Roman" w:cs="Times New Roman"/>
          <w:color w:val="000000"/>
          <w:spacing w:val="0"/>
          <w:w w:val="100"/>
          <w:position w:val="0"/>
          <w:shd w:val="clear" w:color="auto" w:fill="auto"/>
          <w:lang w:val="hr-HR" w:eastAsia="hr-HR" w:bidi="hr-HR"/>
        </w:rPr>
        <w:t>Johaj (oko 150) rekao je: Ž. paljenica pri</w:t>
        <w:softHyphen/>
        <w:t xml:space="preserve">nosi se samo zbog grešnih misli u srcu« (Va- jikra raba VII,6,9); »Ž. paljenica je ispaštanje zbog zlih misli u srcu« (j Joma VIII,45b; usp. Šavuot 1,33b; Tanhuma 140b). No i žrtvama prinosnicama mudraci su pripisivali okajničku moć: »Rabini su rekli: Sve žrtve okajnice Bog je pokazao našem ocu Abrahamu (Post 15,9 i d.), osim desetine cfc. Rabi Šimon ben Johaj je rekao: I desetinu cfc Bog jc pokazao našem ocu Abrahamu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2,8 s Post 15,10: sva</w:t>
        <w:softHyphen/>
        <w:t xml:space="preserve">ki put »ove«)« (Vajikra raba 111,2,1; usp. Bc- rešit raba XLIV,15,10). Rabi Šimon Abraha- movu pouku ne dokazuje iz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5,11 nego iz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2,8, pa to pokazuje da on svakoj žrtvi pa</w:t>
        <w:softHyphen/>
        <w:t>ljenici pripisuje moć okajavanja. Škola Rabi Jišmacla (u. oko 135) poučava zašto miomi- risni kad okajava klevetanje: »Neka dođe to što je skriveno prineseno (tj., miomirisni kad u Svetinji nad svetinjama) i neka to okaje u skrivenom događaju« (b Joma 44a; Zevahim 88b). Tradicija nam je sačuvala izreku Rabi Jošue ben Levija (oko 250): »Za dvije stvari nema okajavanja žrtvom, ali ga ima, doduše, s druge strane. To su prolijevanje krvi i kleveta; prolijevanje krvi teletom kojemu je slomljen vrat, a kleveta miomirisnim kadom« (b Zeva</w:t>
        <w:softHyphen/>
        <w:t xml:space="preserve">him 88b; Arahin 11a). U vezi sa žrtvama okaj- nicama mora se uzeti u obzir ograničenje: »Grijesi jednog čovjeka prema drugomu ne okajavaju se Danom pomirenja sve dotle dok se ne izvrši obred pomirenja« (M Joma VIII,9, usp. Šifra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16,30).</w:t>
      </w:r>
    </w:p>
    <w:p>
      <w:pPr>
        <w:pStyle w:val="Style20"/>
        <w:keepNext w:val="0"/>
        <w:keepLines w:val="0"/>
        <w:widowControl w:val="0"/>
        <w:numPr>
          <w:ilvl w:val="0"/>
          <w:numId w:val="681"/>
        </w:numPr>
        <w:shd w:val="clear" w:color="auto" w:fill="auto"/>
        <w:tabs>
          <w:tab w:pos="260" w:val="left"/>
        </w:tabs>
        <w:bidi w:val="0"/>
        <w:spacing w:before="0" w:after="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pa stoga on pušta da ga on riječima po</w:t>
        <w:softHyphen/>
        <w:t>miri«:</w:t>
      </w:r>
      <w:r>
        <w:rPr>
          <w:rFonts w:ascii="Times New Roman" w:eastAsia="Times New Roman" w:hAnsi="Times New Roman" w:cs="Times New Roman"/>
          <w:color w:val="000000"/>
          <w:spacing w:val="0"/>
          <w:w w:val="100"/>
          <w:position w:val="0"/>
          <w:shd w:val="clear" w:color="auto" w:fill="auto"/>
          <w:lang w:val="hr-HR" w:eastAsia="hr-HR" w:bidi="hr-HR"/>
        </w:rPr>
        <w:t xml:space="preserve"> Premda su se u doba postojanja Hrama svakodnevno prinosile žrtve za grijehe, ipak ih nisu smatrali dostatnima ako nisu bile pove</w:t>
        <w:softHyphen/>
        <w:t>zane s unutarnjom spremnošću i činom obra</w:t>
        <w:softHyphen/>
        <w:t xml:space="preserve">ćenja </w:t>
      </w:r>
      <w:r>
        <w:rPr>
          <w:rFonts w:ascii="Times New Roman" w:eastAsia="Times New Roman" w:hAnsi="Times New Roman" w:cs="Times New Roman"/>
          <w:i/>
          <w:iCs/>
          <w:color w:val="000000"/>
          <w:spacing w:val="0"/>
          <w:w w:val="100"/>
          <w:position w:val="0"/>
          <w:shd w:val="clear" w:color="auto" w:fill="auto"/>
          <w:lang w:val="hr-HR" w:eastAsia="hr-HR" w:bidi="hr-HR"/>
        </w:rPr>
        <w:t>(tešuva</w:t>
      </w:r>
      <w:r>
        <w:rPr>
          <w:rFonts w:ascii="Times New Roman" w:eastAsia="Times New Roman" w:hAnsi="Times New Roman" w:cs="Times New Roman"/>
          <w:color w:val="000000"/>
          <w:spacing w:val="0"/>
          <w:w w:val="100"/>
          <w:position w:val="0"/>
          <w:shd w:val="clear" w:color="auto" w:fill="auto"/>
          <w:lang w:val="hr-HR" w:eastAsia="hr-HR" w:bidi="hr-HR"/>
        </w:rPr>
        <w:t xml:space="preserve"> = pokajanje). Takvo stajalište nisu samo tražili već izraelski proroci (Hoš 6,1 i d.; 10,12;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4 i d.; Iz 1,10-17; 3,1 i d.; 5,1-7; Jr 7,1 i d.; 18,11; 26,13); i mudraci farizejsko- -rabinske tradicije bili su ispunjeni tom spo</w:t>
        <w:softHyphen/>
        <w:t>znajom i naglašavali visoku vrijednost obraće</w:t>
        <w:softHyphen/>
        <w:t>nja (b Joma 86a-b) dok su starom žrtvenom sustavu pripisivali tek malo značenje. Židov</w:t>
        <w:softHyphen/>
        <w:t>stvo s farizejskim pečatom nije bilo nikada, ni u razdoblju drugoga Hrama, svećenička reli</w:t>
        <w:softHyphen/>
      </w:r>
      <w:r>
        <w:rPr>
          <w:rFonts w:ascii="Times New Roman" w:eastAsia="Times New Roman" w:hAnsi="Times New Roman" w:cs="Times New Roman"/>
          <w:color w:val="000000"/>
          <w:spacing w:val="0"/>
          <w:w w:val="100"/>
          <w:position w:val="0"/>
          <w:shd w:val="clear" w:color="auto" w:fill="auto"/>
          <w:lang w:val="hr-HR" w:eastAsia="hr-HR" w:bidi="hr-HR"/>
        </w:rPr>
        <w:t>gija ni religija koja se temeljila na žrtvovanju. Svećenički rad nije smio slabiti ljudsku samo</w:t>
        <w:softHyphen/>
        <w:t>stalnost; onaj tko priznaje svoj grijeh, mora ga okajati ako se prinošenjem žrtve želi približiti Bogu. Naime, do pomirenja ne dolazi sveće</w:t>
        <w:softHyphen/>
        <w:t xml:space="preserve">nički provedenim okajavanjem, već </w:t>
      </w:r>
      <w:r>
        <w:rPr>
          <w:rFonts w:ascii="Times New Roman" w:eastAsia="Times New Roman" w:hAnsi="Times New Roman" w:cs="Times New Roman"/>
          <w:i/>
          <w:iCs/>
          <w:color w:val="000000"/>
          <w:spacing w:val="0"/>
          <w:w w:val="100"/>
          <w:position w:val="0"/>
          <w:shd w:val="clear" w:color="auto" w:fill="auto"/>
          <w:lang w:val="hr-HR" w:eastAsia="hr-HR" w:bidi="hr-HR"/>
        </w:rPr>
        <w:t>neposred</w:t>
        <w:softHyphen/>
        <w:t>no</w:t>
      </w:r>
      <w:r>
        <w:rPr>
          <w:rFonts w:ascii="Times New Roman" w:eastAsia="Times New Roman" w:hAnsi="Times New Roman" w:cs="Times New Roman"/>
          <w:color w:val="000000"/>
          <w:spacing w:val="0"/>
          <w:w w:val="100"/>
          <w:position w:val="0"/>
          <w:shd w:val="clear" w:color="auto" w:fill="auto"/>
          <w:lang w:val="hr-HR" w:eastAsia="hr-HR" w:bidi="hr-HR"/>
        </w:rPr>
        <w:t xml:space="preserve"> u suodnosu čovjeka s Bogom i Boga s čo</w:t>
        <w:softHyphen/>
        <w:t xml:space="preserve">vjekom i nedjeljivo je od samoočišćenja za kojim teži čovjek u priz.nanju svojega grijeha. Raban </w:t>
      </w: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 xml:space="preserve">II. (oko 90) molio je za oproštenje Rabi Jošuu ben Hananju zbog uvrede riječima: »Ponizujem se pred tobom, oprosti mi« (b Bcrahot 28a; usp. j III, 7d; j </w:t>
      </w:r>
      <w:r>
        <w:rPr>
          <w:rFonts w:ascii="Times New Roman" w:eastAsia="Times New Roman" w:hAnsi="Times New Roman" w:cs="Times New Roman"/>
          <w:color w:val="000000"/>
          <w:spacing w:val="0"/>
          <w:w w:val="100"/>
          <w:position w:val="0"/>
          <w:shd w:val="clear" w:color="auto" w:fill="auto"/>
          <w:lang w:val="en-US" w:eastAsia="en-US" w:bidi="en-US"/>
        </w:rPr>
        <w:t xml:space="preserve">Taanit </w:t>
      </w:r>
      <w:r>
        <w:rPr>
          <w:rFonts w:ascii="Times New Roman" w:eastAsia="Times New Roman" w:hAnsi="Times New Roman" w:cs="Times New Roman"/>
          <w:color w:val="000000"/>
          <w:spacing w:val="0"/>
          <w:w w:val="100"/>
          <w:position w:val="0"/>
          <w:shd w:val="clear" w:color="auto" w:fill="auto"/>
          <w:lang w:val="hr-HR" w:eastAsia="hr-HR" w:bidi="hr-HR"/>
        </w:rPr>
        <w:t>IV, 67d). Šmuel (u. 254) kaže: »Tko se ogriješio o bližnjega svoga, treba mu reći: Po</w:t>
        <w:softHyphen/>
        <w:t>griješio sam prema tebi. Ako to onaj prihvati, dobro je; ako pak ne prihvati, neka dovede (druge) ljude i neka se s njim pomiri u njiho</w:t>
        <w:softHyphen/>
        <w:t xml:space="preserve">voj nazočnosti«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Joma VIII,45; usp. b 87a: Berahot 31b; Roš ha-šana 17b). Na pitanje: »Kako se može dokazati da će onaj koji se (obraća) biti tako cijenjen kao da je hodočas- tio uzlazeći u Jeruzalem i ondje sagradio Hram, podigao oltar i primio žrtve propisane u Tori?«, Midraš je odgovorio sa Ps 51,19: »Ž. Bogu duh je raskajan« (Vajikra raba VII,6,9; usp.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111,2,1). Nakon razorenja Hrama »žrtve« imaju još samo povijesno značenje; te</w:t>
        <w:softHyphen/>
        <w:t>meljno ponašanje prema njima ostalo je ne</w:t>
        <w:softHyphen/>
        <w:t>promijenjeno. Ono dolazi do izražaja u doku</w:t>
        <w:softHyphen/>
        <w:t>mentiranoj tradiciji Rabi Jichaka (oko 300): »Dođi i vidi kako je drukčije ponašanje Sve</w:t>
        <w:softHyphen/>
        <w:t>toga, blagoslovljen bio, od ponašanja jednoga (čovjeka) od mesa i krvi. Jedan (čovjek) od mesa i krvi ponaša se ovako: ako jedan čovjek uvrijedi drugoga riječima, dvojbeno je da li će se s njim pomiriti, dvojbeno je da li će se po</w:t>
        <w:softHyphen/>
        <w:t xml:space="preserve">miriti pukim riječima; no Sveti, blagoslovljen bio, postupa drukčije: ako je čovjek u potaji počinio prekršaj, pomirit će se s njim riječima, kako je to zapisano: ‘Uzmite sa sobom riječi; NJEMU se vratite!’ (Hoš 14,3). I više od toga, on prepoznaje dobro, kako je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zapisano: ... ‘i dobrohotno primi’, i više od toga, Pismo će mu također uzeti u obzir kao da je žrtvovao junce, kako je zapisano: *... da ti prinesemo plod svojih usana!’ A ako možda želiš reći: ‘Pl</w:t>
        <w:softHyphen/>
        <w:t>odovi dužnosti’. Pismo kaže (redak 5) s pou</w:t>
        <w:softHyphen/>
        <w:t>kom: ‘Iscijclit ću ih od njihova otpada, od svega ću ih srca ljubiti’« (b Joma 86b).</w:t>
      </w:r>
    </w:p>
    <w:p>
      <w:pPr>
        <w:pStyle w:val="Style20"/>
        <w:keepNext w:val="0"/>
        <w:keepLines w:val="0"/>
        <w:widowControl w:val="0"/>
        <w:numPr>
          <w:ilvl w:val="0"/>
          <w:numId w:val="681"/>
        </w:numPr>
        <w:shd w:val="clear" w:color="auto" w:fill="auto"/>
        <w:tabs>
          <w:tab w:pos="274" w:val="left"/>
        </w:tabs>
        <w:bidi w:val="0"/>
        <w:spacing w:before="0" w:after="60"/>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»Veća je molitva od žrtve«:</w:t>
      </w:r>
      <w:r>
        <w:rPr>
          <w:rFonts w:ascii="Times New Roman" w:eastAsia="Times New Roman" w:hAnsi="Times New Roman" w:cs="Times New Roman"/>
          <w:color w:val="000000"/>
          <w:spacing w:val="0"/>
          <w:w w:val="100"/>
          <w:position w:val="0"/>
          <w:shd w:val="clear" w:color="auto" w:fill="auto"/>
          <w:lang w:val="hr-HR" w:eastAsia="hr-HR" w:bidi="hr-HR"/>
        </w:rPr>
        <w:t xml:space="preserve"> Mišna obrađuje žrtvene propise vrlo opširno, premda je u me</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đuvremenu razoreni drugi Hram već odavno pripremio kraj žrtvenom obredu u Izraelu, jer prikazuju dio onoga što je zapovjedila Tora. No oni su kritički proučavani i prosljeđivani. Rabi </w:t>
      </w: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(oko 270) prosudio je na teme</w:t>
        <w:softHyphen/>
        <w:t>lju Iz 1,11: »Što će mi mnoštvo žrtava vaših?«, »Veća je molitva od žrtve« (b Berahot 32b). Taj je učitelj otkrio, gledajući unatrag, i prije</w:t>
        <w:softHyphen/>
        <w:t>laz »žrtava« s »približavanja« na pregradne zi</w:t>
        <w:softHyphen/>
        <w:t>dove i smjelo formulirao: »Od dana otkako je razoreno svetište, probijen je željezni zid izme</w:t>
        <w:softHyphen/>
        <w:t xml:space="preserve">đu Izraela i njegova oca na nebesima« </w:t>
      </w:r>
      <w:r>
        <w:rPr>
          <w:rFonts w:ascii="Times New Roman" w:eastAsia="Times New Roman" w:hAnsi="Times New Roman" w:cs="Times New Roman"/>
          <w:color w:val="000000"/>
          <w:spacing w:val="0"/>
          <w:w w:val="100"/>
          <w:position w:val="0"/>
          <w:shd w:val="clear" w:color="auto" w:fill="auto"/>
          <w:lang w:val="en-US" w:eastAsia="en-US" w:bidi="en-US"/>
        </w:rPr>
        <w:t xml:space="preserve">(ibid.; </w:t>
      </w:r>
      <w:r>
        <w:rPr>
          <w:rFonts w:ascii="Times New Roman" w:eastAsia="Times New Roman" w:hAnsi="Times New Roman" w:cs="Times New Roman"/>
          <w:color w:val="000000"/>
          <w:spacing w:val="0"/>
          <w:w w:val="100"/>
          <w:position w:val="0"/>
          <w:shd w:val="clear" w:color="auto" w:fill="auto"/>
          <w:lang w:val="hr-HR" w:eastAsia="hr-HR" w:bidi="hr-HR"/>
        </w:rPr>
        <w:t xml:space="preserve">usp. H. L. Strack/P. Billerbeck,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Kommentar zum Neuen Testament aus </w:t>
      </w:r>
      <w:r>
        <w:rPr>
          <w:rFonts w:ascii="Times New Roman" w:eastAsia="Times New Roman" w:hAnsi="Times New Roman" w:cs="Times New Roman"/>
          <w:i/>
          <w:iCs/>
          <w:color w:val="000000"/>
          <w:spacing w:val="0"/>
          <w:w w:val="100"/>
          <w:position w:val="0"/>
          <w:shd w:val="clear" w:color="auto" w:fill="auto"/>
          <w:lang w:val="en-US" w:eastAsia="en-US" w:bidi="en-US"/>
        </w:rPr>
        <w:t>Talmud und Mid</w:t>
        <w:softHyphen/>
      </w:r>
      <w:r>
        <w:rPr>
          <w:rFonts w:ascii="Times New Roman" w:eastAsia="Times New Roman" w:hAnsi="Times New Roman" w:cs="Times New Roman"/>
          <w:i/>
          <w:iCs/>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rasch,</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 1926,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7</w:t>
      </w:r>
      <w:r>
        <w:rPr>
          <w:rFonts w:ascii="Times New Roman" w:eastAsia="Times New Roman" w:hAnsi="Times New Roman" w:cs="Times New Roman"/>
          <w:color w:val="000000"/>
          <w:spacing w:val="0"/>
          <w:w w:val="100"/>
          <w:position w:val="0"/>
          <w:shd w:val="clear" w:color="auto" w:fill="auto"/>
          <w:lang w:val="hr-HR" w:eastAsia="hr-HR" w:bidi="hr-HR"/>
        </w:rPr>
        <w:t>1978, 456: ovdje je talmudski tekst krivotvoren i u nastavku na Ez 4,3 či</w:t>
        <w:softHyphen/>
        <w:t xml:space="preserve">tamo: »... uzmi gvozden bedem kao pregradu između...«). »Židovski Bog« želi, prema Ro- </w:t>
      </w:r>
      <w:r>
        <w:rPr>
          <w:rFonts w:ascii="Times New Roman" w:eastAsia="Times New Roman" w:hAnsi="Times New Roman" w:cs="Times New Roman"/>
          <w:color w:val="000000"/>
          <w:spacing w:val="0"/>
          <w:w w:val="100"/>
          <w:position w:val="0"/>
          <w:shd w:val="clear" w:color="auto" w:fill="auto"/>
          <w:lang w:val="en-US" w:eastAsia="en-US" w:bidi="en-US"/>
        </w:rPr>
        <w:t xml:space="preserve">senzweigovoj </w:t>
      </w:r>
      <w:r>
        <w:rPr>
          <w:rFonts w:ascii="Times New Roman" w:eastAsia="Times New Roman" w:hAnsi="Times New Roman" w:cs="Times New Roman"/>
          <w:color w:val="000000"/>
          <w:spacing w:val="0"/>
          <w:w w:val="100"/>
          <w:position w:val="0"/>
          <w:shd w:val="clear" w:color="auto" w:fill="auto"/>
          <w:lang w:val="hr-HR" w:eastAsia="hr-HR" w:bidi="hr-HR"/>
        </w:rPr>
        <w:t>veličanstvenoj razradi biblijsko-ži- dovskih govora o Bogu i čovjeku »da mu služi *s drhtanjem’, a veseli se kad njegova djeca svladaju strah od njegovih čudesnih znakova. Kad Pismo govori o njegovoj ‘uzvišenosti’, ubrzo će u sljedećim redcima govoriti već o njegovoj ‘poniznosti’. On zahtijeva vidljive znake prinošenja žrtve njegovu imenu i upu</w:t>
        <w:softHyphen/>
        <w:t>ćenih mu molitvi te trapljenja pred njim; a u istom dahu gotovo prezire jedno i drugo i želi samo da ga se štuje anonimnim djelima lju</w:t>
        <w:softHyphen/>
        <w:t xml:space="preserve">bavi prema bližnjem i pravednosti, iz kojih nitko ne razabirc da su se dogodila radi njega i s tajnim žarom srca«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Stem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derErlosung, </w:t>
      </w:r>
      <w:r>
        <w:rPr>
          <w:rFonts w:ascii="Times New Roman" w:eastAsia="Times New Roman" w:hAnsi="Times New Roman" w:cs="Times New Roman"/>
          <w:color w:val="000000"/>
          <w:spacing w:val="0"/>
          <w:w w:val="100"/>
          <w:position w:val="0"/>
          <w:shd w:val="clear" w:color="auto" w:fill="auto"/>
          <w:lang w:val="hr-HR" w:eastAsia="hr-HR" w:bidi="hr-HR"/>
        </w:rPr>
        <w:t>*1921, 1976,340).</w:t>
      </w:r>
    </w:p>
    <w:p>
      <w:pPr>
        <w:pStyle w:val="Style56"/>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rPr>
        <w:t xml:space="preserve">Lit.: </w:t>
      </w:r>
      <w:r>
        <w:rPr>
          <w:i/>
          <w:iCs/>
          <w:color w:val="000000"/>
          <w:spacing w:val="0"/>
          <w:w w:val="100"/>
          <w:position w:val="0"/>
          <w:shd w:val="clear" w:color="auto" w:fill="auto"/>
        </w:rPr>
        <w:t xml:space="preserve">Encyclopaedia Judaica </w:t>
      </w:r>
      <w:r>
        <w:rPr>
          <w:i/>
          <w:iCs/>
          <w:color w:val="000000"/>
          <w:spacing w:val="0"/>
          <w:w w:val="100"/>
          <w:position w:val="0"/>
          <w:shd w:val="clear" w:color="auto" w:fill="auto"/>
          <w:lang w:val="hr-HR" w:eastAsia="hr-HR" w:bidi="hr-HR"/>
        </w:rPr>
        <w:t>14,</w:t>
      </w:r>
      <w:r>
        <w:rPr>
          <w:color w:val="000000"/>
          <w:spacing w:val="0"/>
          <w:w w:val="100"/>
          <w:position w:val="0"/>
          <w:shd w:val="clear" w:color="auto" w:fill="auto"/>
          <w:lang w:val="hr-HR" w:eastAsia="hr-HR" w:bidi="hr-HR"/>
        </w:rPr>
        <w:t xml:space="preserve"> </w:t>
      </w:r>
      <w:r>
        <w:rPr>
          <w:color w:val="000000"/>
          <w:spacing w:val="0"/>
          <w:w w:val="100"/>
          <w:position w:val="0"/>
          <w:shd w:val="clear" w:color="auto" w:fill="auto"/>
          <w:vertAlign w:val="superscript"/>
          <w:lang w:val="hr-HR" w:eastAsia="hr-HR" w:bidi="hr-HR"/>
        </w:rPr>
        <w:t>4</w:t>
      </w:r>
      <w:r>
        <w:rPr>
          <w:color w:val="000000"/>
          <w:spacing w:val="0"/>
          <w:w w:val="100"/>
          <w:position w:val="0"/>
          <w:shd w:val="clear" w:color="auto" w:fill="auto"/>
          <w:lang w:val="hr-HR" w:eastAsia="hr-HR" w:bidi="hr-HR"/>
        </w:rPr>
        <w:t>1978, 599-616.</w:t>
      </w:r>
    </w:p>
    <w:p>
      <w:pPr>
        <w:pStyle w:val="Style56"/>
        <w:keepNext w:val="0"/>
        <w:keepLines w:val="0"/>
        <w:widowControl w:val="0"/>
        <w:shd w:val="clear" w:color="auto" w:fill="auto"/>
        <w:bidi w:val="0"/>
        <w:spacing w:before="0" w:after="120" w:line="240" w:lineRule="auto"/>
        <w:ind w:left="0" w:right="140" w:firstLine="0"/>
        <w:jc w:val="right"/>
      </w:pPr>
      <w:r>
        <w:rPr>
          <w:color w:val="000000"/>
          <w:spacing w:val="0"/>
          <w:w w:val="100"/>
          <w:position w:val="0"/>
          <w:shd w:val="clear" w:color="auto" w:fill="auto"/>
          <w:lang w:val="hr-HR" w:eastAsia="hr-HR" w:bidi="hr-HR"/>
        </w:rPr>
        <w:t>Đ VEITUR</w:t>
      </w:r>
    </w:p>
    <w:p>
      <w:pPr>
        <w:pStyle w:val="Style63"/>
        <w:keepNext/>
        <w:keepLines/>
        <w:widowControl w:val="0"/>
        <w:numPr>
          <w:ilvl w:val="0"/>
          <w:numId w:val="685"/>
        </w:numPr>
        <w:shd w:val="clear" w:color="auto" w:fill="auto"/>
        <w:tabs>
          <w:tab w:pos="255" w:val="left"/>
        </w:tabs>
        <w:bidi w:val="0"/>
        <w:spacing w:before="0" w:line="223" w:lineRule="auto"/>
        <w:ind w:left="0" w:right="0" w:firstLine="0"/>
        <w:jc w:val="both"/>
      </w:pPr>
      <w:bookmarkStart w:id="428" w:name="bookmark428"/>
      <w:r>
        <w:rPr>
          <w:rFonts w:ascii="Times New Roman" w:eastAsia="Times New Roman" w:hAnsi="Times New Roman" w:cs="Times New Roman"/>
          <w:color w:val="000000"/>
          <w:spacing w:val="0"/>
          <w:w w:val="100"/>
          <w:position w:val="0"/>
          <w:shd w:val="clear" w:color="auto" w:fill="auto"/>
          <w:lang w:val="hr-HR" w:eastAsia="hr-HR" w:bidi="hr-HR"/>
        </w:rPr>
        <w:t>kršćanski</w:t>
      </w:r>
      <w:bookmarkEnd w:id="428"/>
    </w:p>
    <w:p>
      <w:pPr>
        <w:pStyle w:val="Style20"/>
        <w:keepNext w:val="0"/>
        <w:keepLines w:val="0"/>
        <w:widowControl w:val="0"/>
        <w:shd w:val="clear" w:color="auto" w:fill="auto"/>
        <w:bidi w:val="0"/>
        <w:spacing w:before="0" w:after="100"/>
        <w:ind w:left="0" w:right="0" w:firstLine="0"/>
        <w:jc w:val="both"/>
        <w:sectPr>
          <w:headerReference w:type="default" r:id="rId1747"/>
          <w:footerReference w:type="default" r:id="rId1748"/>
          <w:headerReference w:type="even" r:id="rId1749"/>
          <w:footerReference w:type="even" r:id="rId1750"/>
          <w:headerReference w:type="first" r:id="rId1751"/>
          <w:footerReference w:type="first" r:id="rId1752"/>
          <w:footnotePr>
            <w:pos w:val="pageBottom"/>
            <w:numFmt w:val="decimal"/>
            <w:numRestart w:val="continuous"/>
            <w15:footnoteColumns w:val="1"/>
          </w:footnotePr>
          <w:pgSz w:w="6816" w:h="11006"/>
          <w:pgMar w:top="965" w:left="194" w:right="199" w:bottom="537" w:header="0" w:footer="3" w:gutter="0"/>
          <w:cols w:num="2" w:space="188"/>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 je znakovit izraz predanja božanstvu o ko</w:t>
        <w:softHyphen/>
        <w:t>jem čovjek zna da ovisi i koje milosrdno pri</w:t>
        <w:softHyphen/>
        <w:t>hvaća čovjeka. Religiozno je važna prisutnost pravog unutarnjeg predanja koje se može iz</w:t>
        <w:softHyphen/>
        <w:t>raziti u različitim oblicima. U NZ termin ž. igra podređenu ulogu. On podliježe sličnim kriterijima kao kult, što se ostvaruje približa</w:t>
        <w:softHyphen/>
        <w:t>vanjem Božjega kraljevstva koje je započelo u Isusu Kristu. Isusovo djelo, njegovo predanje Ocu tako je obuhvatno da ga ni pojam žrtve ne može dostatno izraziti. Stoga se Isusovo predanje mnogostruko označava: kao otkup (Mk 10,45), kao borba i pobjeda (Otk 19), kao služba (Lk 22,27; Mk 10,45), kao poslušnost i uzdignućc (Fil 2,5-11; Iv 12,32), kao pod-</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Jožno.st Ocu (I Kor 15,28), kao posvećenje (Iv 17,19), kao pashalno janje (1 Kor 5,7; 1 l’t 1,19; Otk 5,8). Podsjeća se doduše na motiv žrtve (Gal 2,20; Ef 5,2), ali tek u Poslanici He- brejima taj motiv tumači Isusov život, smrt i proslavljenost: od trenutka utjelovljenja (Heb 10,5-9) Krist daje svoj život Ocu, pa ipak pot</w:t>
        <w:softHyphen/>
        <w:t>puno valjani izraz ovog predanja događa se u Muci (10,26-28); tako je Krist naš veliki sve</w:t>
        <w:softHyphen/>
        <w:t>ćenik koji moli za nas uz Božje prijestolje. Kršćanin je u to Kristovo žrtveno predanje uključen krštenjem (Heb 10,10; Rim 6,13; 1 Pt 2,21). Čitavo Kristovo tijelo, Crkva, mora is</w:t>
        <w:softHyphen/>
        <w:t>punjavati ono što je Krist već za mnoge ispu</w:t>
        <w:softHyphen/>
        <w:t>nio. Ta kršćaninova ž. ostvaruje se čitavim nje</w:t>
        <w:softHyphen/>
        <w:t>govim životom, a ne izoliranim obrednim čini- ma. Praktički se to događa u bratskoj ljubavi (Rim 12,2; Ef 5,2; Heb 13,13-16) i u hvaljenju Božjih spasenjskih djela (Heb 13,15; 1 Pt 2,9), prije svega u liturgiji.</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Konstitutivni znak za naše sudjelovanje u Kristovoj žrtvi je euharistijska gozba koja se zato i označava kao misna ž. Isus naviješta u riječima tumačenja na Posljednjoj večeri svoju smrt kao događaj žrtve riječima »za mnoge«: »krv Saveza«. Kada zajednica po Isusovu na</w:t>
        <w:softHyphen/>
        <w:t>logu slavi njemu na spomen Gospodinovu večeru, naviješta se Kristova smrt i uskrsnuće (1 Kor 11,26), uprisutnjujc se u zajednici nje</w:t>
        <w:softHyphen/>
        <w:t>govo žrtveno predanje. Tko jede i pije od kru</w:t>
        <w:softHyphen/>
        <w:t>ha i vina koji predstavljaju njegovo tijelo i krv, učlanjuje se u Kristovu žrtvu koja zajednici postaje vidljiva u obliku večere. Stoga kršćan</w:t>
        <w:softHyphen/>
        <w:t>ska zajednica naziva Gospodnju večeru u ra</w:t>
        <w:softHyphen/>
        <w:t>nokršćanskom crkvenom zakonodavstvu Di- dahe također i žrtvom. No pritom valja upam</w:t>
        <w:softHyphen/>
        <w:t>titi: ne prinosi se nova ž., nego jedinstvena i nenadmašiva Kristova ž. uprisutnjujc se spo</w:t>
        <w:softHyphen/>
        <w:t>menom u euharistiji. Vjernici mogu samo pustiti da im se daruje predanje na križu i za sebe ispuniti ono što je Krist već jednom za</w:t>
        <w:softHyphen/>
        <w:t>uvijek učinio. I samo je utoliko Gospodnja ve</w:t>
        <w:softHyphen/>
        <w:t>čera žrtvena večera. Kruh i vino nisu dakle žrtveni darovi Bogu nego oni pokazuju našu spremnost za bratsko zajedništvo i okupljanje u kojem Krist kao istinski svećenik okreće nama svoje predanje Ocu. Stoga pričest, su</w:t>
        <w:softHyphen/>
      </w:r>
    </w:p>
    <w:p>
      <w:pPr>
        <w:pStyle w:val="Style20"/>
        <w:keepNext w:val="0"/>
        <w:keepLines w:val="0"/>
        <w:widowControl w:val="0"/>
        <w:shd w:val="clear" w:color="auto" w:fill="auto"/>
        <w:tabs>
          <w:tab w:pos="2390" w:val="left"/>
        </w:tabs>
        <w:bidi w:val="0"/>
        <w:spacing w:before="0" w:after="120" w:line="262" w:lineRule="auto"/>
        <w:ind w:left="0" w:right="0" w:firstLine="0"/>
        <w:jc w:val="both"/>
        <w:rPr>
          <w:sz w:val="12"/>
          <w:szCs w:val="12"/>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djelovanje na Večeri, nužno pripada euharis- tijskoj gozbi pod svojim vidom žrtve. No, ta pričest, to zajedništvo s Kristom i u žrtvi ne smije se ograničiti na liturgijsko slavlje nego se mora uvijek iznova vježbati u svakodnev</w:t>
        <w:softHyphen/>
        <w:t>nom životu u ljubavi prema bližnjima, u na</w:t>
        <w:softHyphen/>
        <w:t>sljedovanju Krista i također u patnji, dakle, u ispijanju njegova kaleža (Mk 10,38). Tako krštenikov život nema samo pojedinačne ele</w:t>
        <w:softHyphen/>
        <w:t xml:space="preserve">mente u liturgiji koji se odnose na žrtvu nego mora biti u svojoj cijelosti uključen u Kristovo žrtveno predanje i nasljedovanje Kristove žrtve. </w:t>
      </w:r>
      <w:r>
        <w:rPr>
          <w:rFonts w:ascii="Arial" w:eastAsia="Arial" w:hAnsi="Arial" w:cs="Arial"/>
          <w:color w:val="000000"/>
          <w:spacing w:val="0"/>
          <w:w w:val="100"/>
          <w:position w:val="0"/>
          <w:sz w:val="12"/>
          <w:szCs w:val="12"/>
          <w:shd w:val="clear" w:color="auto" w:fill="auto"/>
          <w:lang w:val="hr-HR" w:eastAsia="hr-HR" w:bidi="hr-HR"/>
        </w:rPr>
        <w:t xml:space="preserve">I.it: Gcmcinsamc rom.- kathzcvgl.-luth. Kommission, </w:t>
      </w:r>
      <w:r>
        <w:rPr>
          <w:rFonts w:ascii="Arial" w:eastAsia="Arial" w:hAnsi="Arial" w:cs="Arial"/>
          <w:b/>
          <w:bCs/>
          <w:i/>
          <w:iCs/>
          <w:color w:val="000000"/>
          <w:spacing w:val="0"/>
          <w:w w:val="100"/>
          <w:position w:val="0"/>
          <w:sz w:val="9"/>
          <w:szCs w:val="9"/>
          <w:shd w:val="clear" w:color="auto" w:fill="auto"/>
          <w:lang w:val="hr-HR" w:eastAsia="hr-HR" w:bidi="hr-HR"/>
        </w:rPr>
        <w:t>Das Herrenmahl,</w:t>
      </w:r>
      <w:r>
        <w:rPr>
          <w:rFonts w:ascii="Arial" w:eastAsia="Arial" w:hAnsi="Arial" w:cs="Arial"/>
          <w:color w:val="000000"/>
          <w:spacing w:val="0"/>
          <w:w w:val="100"/>
          <w:position w:val="0"/>
          <w:sz w:val="12"/>
          <w:szCs w:val="12"/>
          <w:shd w:val="clear" w:color="auto" w:fill="auto"/>
          <w:lang w:val="hr-HR" w:eastAsia="hr-HR" w:bidi="hr-HR"/>
        </w:rPr>
        <w:t xml:space="preserve"> PadcrbornFrankfurt </w:t>
      </w:r>
      <w:r>
        <w:rPr>
          <w:rFonts w:ascii="Arial" w:eastAsia="Arial" w:hAnsi="Arial" w:cs="Arial"/>
          <w:color w:val="000000"/>
          <w:spacing w:val="0"/>
          <w:w w:val="100"/>
          <w:position w:val="0"/>
          <w:sz w:val="12"/>
          <w:szCs w:val="12"/>
          <w:shd w:val="clear" w:color="auto" w:fill="auto"/>
          <w:vertAlign w:val="superscript"/>
          <w:lang w:val="hr-HR" w:eastAsia="hr-HR" w:bidi="hr-HR"/>
        </w:rPr>
        <w:t>H</w:t>
      </w:r>
      <w:r>
        <w:rPr>
          <w:rFonts w:ascii="Arial" w:eastAsia="Arial" w:hAnsi="Arial" w:cs="Arial"/>
          <w:color w:val="000000"/>
          <w:spacing w:val="0"/>
          <w:w w:val="100"/>
          <w:position w:val="0"/>
          <w:sz w:val="12"/>
          <w:szCs w:val="12"/>
          <w:shd w:val="clear" w:color="auto" w:fill="auto"/>
          <w:lang w:val="hr-HR" w:eastAsia="hr-HR" w:bidi="hr-HR"/>
        </w:rPr>
        <w:t xml:space="preserve">1982. 35-39; K. I.ch- mann/E. Schlink (Hrsg.J, </w:t>
      </w:r>
      <w:r>
        <w:rPr>
          <w:rFonts w:ascii="Arial" w:eastAsia="Arial" w:hAnsi="Arial" w:cs="Arial"/>
          <w:b/>
          <w:bCs/>
          <w:i/>
          <w:iCs/>
          <w:color w:val="000000"/>
          <w:spacing w:val="0"/>
          <w:w w:val="100"/>
          <w:position w:val="0"/>
          <w:sz w:val="9"/>
          <w:szCs w:val="9"/>
          <w:shd w:val="clear" w:color="auto" w:fill="auto"/>
          <w:lang w:val="hr-HR" w:eastAsia="hr-HR" w:bidi="hr-HR"/>
        </w:rPr>
        <w:t xml:space="preserve">Opfer Jesu </w:t>
      </w:r>
      <w:r>
        <w:rPr>
          <w:rFonts w:ascii="Arial" w:eastAsia="Arial" w:hAnsi="Arial" w:cs="Arial"/>
          <w:b/>
          <w:bCs/>
          <w:i/>
          <w:iCs/>
          <w:color w:val="000000"/>
          <w:spacing w:val="0"/>
          <w:w w:val="100"/>
          <w:position w:val="0"/>
          <w:sz w:val="9"/>
          <w:szCs w:val="9"/>
          <w:shd w:val="clear" w:color="auto" w:fill="auto"/>
          <w:lang w:val="en-US" w:eastAsia="en-US" w:bidi="en-US"/>
        </w:rPr>
        <w:t xml:space="preserve">Christi und seine Cienenwari in </w:t>
      </w:r>
      <w:r>
        <w:rPr>
          <w:rFonts w:ascii="Arial" w:eastAsia="Arial" w:hAnsi="Arial" w:cs="Arial"/>
          <w:b/>
          <w:bCs/>
          <w:i/>
          <w:iCs/>
          <w:color w:val="000000"/>
          <w:spacing w:val="0"/>
          <w:w w:val="100"/>
          <w:position w:val="0"/>
          <w:sz w:val="9"/>
          <w:szCs w:val="9"/>
          <w:shd w:val="clear" w:color="auto" w:fill="auto"/>
          <w:lang w:val="hr-HR" w:eastAsia="hr-HR" w:bidi="hr-HR"/>
        </w:rPr>
        <w:t xml:space="preserve">der Kirehe </w:t>
      </w:r>
      <w:r>
        <w:rPr>
          <w:rFonts w:ascii="Arial" w:eastAsia="Arial" w:hAnsi="Arial" w:cs="Arial"/>
          <w:b/>
          <w:bCs/>
          <w:i/>
          <w:iCs/>
          <w:color w:val="000000"/>
          <w:spacing w:val="0"/>
          <w:w w:val="100"/>
          <w:position w:val="0"/>
          <w:sz w:val="9"/>
          <w:szCs w:val="9"/>
          <w:shd w:val="clear" w:color="auto" w:fill="auto"/>
          <w:lang w:val="en-US" w:eastAsia="en-US" w:bidi="en-US"/>
        </w:rPr>
        <w:t xml:space="preserve">(Dialog </w:t>
      </w:r>
      <w:r>
        <w:rPr>
          <w:rFonts w:ascii="Arial" w:eastAsia="Arial" w:hAnsi="Arial" w:cs="Arial"/>
          <w:b/>
          <w:bCs/>
          <w:i/>
          <w:iCs/>
          <w:color w:val="000000"/>
          <w:spacing w:val="0"/>
          <w:w w:val="100"/>
          <w:position w:val="0"/>
          <w:sz w:val="9"/>
          <w:szCs w:val="9"/>
          <w:shd w:val="clear" w:color="auto" w:fill="auto"/>
          <w:lang w:val="hr-HR" w:eastAsia="hr-HR" w:bidi="hr-HR"/>
        </w:rPr>
        <w:t xml:space="preserve">der </w:t>
      </w:r>
      <w:r>
        <w:rPr>
          <w:rFonts w:ascii="Arial" w:eastAsia="Arial" w:hAnsi="Arial" w:cs="Arial"/>
          <w:b/>
          <w:bCs/>
          <w:i/>
          <w:iCs/>
          <w:color w:val="000000"/>
          <w:spacing w:val="0"/>
          <w:w w:val="100"/>
          <w:position w:val="0"/>
          <w:sz w:val="9"/>
          <w:szCs w:val="9"/>
          <w:shd w:val="clear" w:color="auto" w:fill="auto"/>
          <w:lang w:val="en-US" w:eastAsia="en-US" w:bidi="en-US"/>
        </w:rPr>
        <w:t>Kirchen</w:t>
      </w:r>
      <w:r>
        <w:rPr>
          <w:rFonts w:ascii="Arial" w:eastAsia="Arial" w:hAnsi="Arial" w:cs="Arial"/>
          <w:color w:val="000000"/>
          <w:spacing w:val="0"/>
          <w:w w:val="100"/>
          <w:position w:val="0"/>
          <w:sz w:val="12"/>
          <w:szCs w:val="12"/>
          <w:shd w:val="clear" w:color="auto" w:fill="auto"/>
          <w:lang w:val="en-US" w:eastAsia="en-US" w:bidi="en-US"/>
        </w:rPr>
        <w:t xml:space="preserve"> </w:t>
      </w:r>
      <w:r>
        <w:rPr>
          <w:rFonts w:ascii="Arial" w:eastAsia="Arial" w:hAnsi="Arial" w:cs="Arial"/>
          <w:color w:val="000000"/>
          <w:spacing w:val="0"/>
          <w:w w:val="100"/>
          <w:position w:val="0"/>
          <w:sz w:val="12"/>
          <w:szCs w:val="12"/>
          <w:shd w:val="clear" w:color="auto" w:fill="auto"/>
          <w:lang w:val="hr-HR" w:eastAsia="hr-HR" w:bidi="hr-HR"/>
        </w:rPr>
        <w:t xml:space="preserve">3), </w:t>
      </w:r>
      <w:r>
        <w:rPr>
          <w:rFonts w:ascii="Arial" w:eastAsia="Arial" w:hAnsi="Arial" w:cs="Arial"/>
          <w:color w:val="000000"/>
          <w:spacing w:val="0"/>
          <w:w w:val="100"/>
          <w:position w:val="0"/>
          <w:sz w:val="12"/>
          <w:szCs w:val="12"/>
          <w:shd w:val="clear" w:color="auto" w:fill="auto"/>
          <w:lang w:val="en-US" w:eastAsia="en-US" w:bidi="en-US"/>
        </w:rPr>
        <w:t xml:space="preserve">Frei* </w:t>
      </w:r>
      <w:r>
        <w:rPr>
          <w:rFonts w:ascii="Arial" w:eastAsia="Arial" w:hAnsi="Arial" w:cs="Arial"/>
          <w:color w:val="000000"/>
          <w:spacing w:val="0"/>
          <w:w w:val="100"/>
          <w:position w:val="0"/>
          <w:sz w:val="12"/>
          <w:szCs w:val="12"/>
          <w:shd w:val="clear" w:color="auto" w:fill="auto"/>
          <w:lang w:val="hr-HR" w:eastAsia="hr-HR" w:bidi="hr-HR"/>
        </w:rPr>
        <w:t>burg/Gbtlingcn 1983.</w:t>
        <w:tab/>
        <w:t>K. RICH'iUR</w:t>
      </w:r>
    </w:p>
    <w:p>
      <w:pPr>
        <w:pStyle w:val="Style63"/>
        <w:keepNext/>
        <w:keepLines/>
        <w:widowControl w:val="0"/>
        <w:numPr>
          <w:ilvl w:val="0"/>
          <w:numId w:val="685"/>
        </w:numPr>
        <w:shd w:val="clear" w:color="auto" w:fill="auto"/>
        <w:tabs>
          <w:tab w:pos="260" w:val="left"/>
        </w:tabs>
        <w:bidi w:val="0"/>
        <w:spacing w:before="0" w:line="223" w:lineRule="auto"/>
        <w:ind w:left="0" w:right="0" w:firstLine="0"/>
        <w:jc w:val="both"/>
      </w:pPr>
      <w:bookmarkStart w:id="429" w:name="bookmark429"/>
      <w:r>
        <w:rPr>
          <w:rFonts w:ascii="Times New Roman" w:eastAsia="Times New Roman" w:hAnsi="Times New Roman" w:cs="Times New Roman"/>
          <w:color w:val="000000"/>
          <w:spacing w:val="0"/>
          <w:w w:val="100"/>
          <w:position w:val="0"/>
          <w:shd w:val="clear" w:color="auto" w:fill="auto"/>
          <w:lang w:val="hr-HR" w:eastAsia="hr-HR" w:bidi="hr-HR"/>
        </w:rPr>
        <w:t>islamski</w:t>
      </w:r>
      <w:bookmarkEnd w:id="42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 islam najtipičnija ž. jest ž. životinje koju prilikom hodočašća u Meku godišnje prinose hodočasnici kao i domaći vjernici. U Kuranu se ta ž. zove </w:t>
      </w:r>
      <w:r>
        <w:rPr>
          <w:rFonts w:ascii="Times New Roman" w:eastAsia="Times New Roman" w:hAnsi="Times New Roman" w:cs="Times New Roman"/>
          <w:i/>
          <w:iCs/>
          <w:color w:val="000000"/>
          <w:spacing w:val="0"/>
          <w:w w:val="100"/>
          <w:position w:val="0"/>
          <w:shd w:val="clear" w:color="auto" w:fill="auto"/>
          <w:lang w:val="hr-HR" w:eastAsia="hr-HR" w:bidi="hr-HR"/>
        </w:rPr>
        <w:t>kurban</w:t>
      </w:r>
      <w:r>
        <w:rPr>
          <w:rFonts w:ascii="Times New Roman" w:eastAsia="Times New Roman" w:hAnsi="Times New Roman" w:cs="Times New Roman"/>
          <w:color w:val="000000"/>
          <w:spacing w:val="0"/>
          <w:w w:val="100"/>
          <w:position w:val="0"/>
          <w:shd w:val="clear" w:color="auto" w:fill="auto"/>
          <w:lang w:val="hr-HR" w:eastAsia="hr-HR" w:bidi="hr-HR"/>
        </w:rPr>
        <w:t xml:space="preserve"> (od hebr. </w:t>
      </w:r>
      <w:r>
        <w:rPr>
          <w:rFonts w:ascii="Times New Roman" w:eastAsia="Times New Roman" w:hAnsi="Times New Roman" w:cs="Times New Roman"/>
          <w:i/>
          <w:iCs/>
          <w:color w:val="000000"/>
          <w:spacing w:val="0"/>
          <w:w w:val="100"/>
          <w:position w:val="0"/>
          <w:shd w:val="clear" w:color="auto" w:fill="auto"/>
          <w:lang w:val="hr-HR" w:eastAsia="hr-HR" w:bidi="hr-HR"/>
        </w:rPr>
        <w:t>qorb/in).</w:t>
      </w:r>
      <w:r>
        <w:rPr>
          <w:rFonts w:ascii="Times New Roman" w:eastAsia="Times New Roman" w:hAnsi="Times New Roman" w:cs="Times New Roman"/>
          <w:color w:val="000000"/>
          <w:spacing w:val="0"/>
          <w:w w:val="100"/>
          <w:position w:val="0"/>
          <w:shd w:val="clear" w:color="auto" w:fill="auto"/>
          <w:lang w:val="hr-HR" w:eastAsia="hr-HR" w:bidi="hr-HR"/>
        </w:rPr>
        <w:t xml:space="preserve"> Ta riječ sadrži značenje približavanja (Bogu). Premda ne po značenju, ali svakako po smislu, kur</w:t>
        <w:softHyphen/>
        <w:t>banu je bliska ž. smrti iz ljubavi prema vjeri (—&gt; Mučeništvo). Nakon spriječenoga Abra- hamova žrtvovanja Izaka, odnosno Ismaila, u tome se vidi najviši oblik samožrtvovanja. Mu</w:t>
        <w:softHyphen/>
        <w:t>hamed je navodno kazao: »Obilježje te (naime islamske zajednice) leži u tome što je njezin kurban njezina krv«, tj. što krv njezinih muče</w:t>
        <w:softHyphen/>
        <w:t>nika zamjenjuje obrednu žrtvu.</w:t>
      </w: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Klanje žrtvenih životinja 10. zul-hidže, prvoga dana žrtvenoga ili hodočasničkoga posta, svo</w:t>
        <w:softHyphen/>
        <w:t>di se na staroarapske običaje. Tom običaju u temelju ne leži nikakav striktni vjerski propis. On ima evocirajući i društveni aspekt. Naime, u toj se žrtvi vidi ponavljanje spremnosti na žrtvu patrijarha Abrahama. Trećina mesa žrtvo</w:t>
        <w:softHyphen/>
        <w:t>vane životinje dijeli se oskudnima a druga tre</w:t>
        <w:softHyphen/>
        <w:t>ćina slabije imućnoj rodbini. Ostatak služi za vlastiti konzum. U narodu živi običaj da se prilikom sretnog obrata u opasnoj situaciji ili prilikom ispunjavanja nekoga zahtjeva zahval</w:t>
        <w:softHyphen/>
        <w:t>nost Bogu iskazuje prinošenjem žrtve.</w:t>
      </w:r>
    </w:p>
    <w:p>
      <w:pPr>
        <w:pStyle w:val="Style56"/>
        <w:keepNext w:val="0"/>
        <w:keepLines w:val="0"/>
        <w:widowControl w:val="0"/>
        <w:shd w:val="clear" w:color="auto" w:fill="auto"/>
        <w:bidi w:val="0"/>
        <w:spacing w:before="0" w:after="40" w:line="240" w:lineRule="auto"/>
        <w:ind w:left="0" w:right="0" w:firstLine="0"/>
        <w:jc w:val="right"/>
        <w:sectPr>
          <w:headerReference w:type="default" r:id="rId1753"/>
          <w:footerReference w:type="default" r:id="rId1754"/>
          <w:headerReference w:type="even" r:id="rId1755"/>
          <w:footerReference w:type="even" r:id="rId1756"/>
          <w:footnotePr>
            <w:pos w:val="pageBottom"/>
            <w:numFmt w:val="decimal"/>
            <w:numRestart w:val="continuous"/>
            <w15:footnoteColumns w:val="1"/>
          </w:footnotePr>
          <w:pgSz w:w="6816" w:h="11006"/>
          <w:pgMar w:top="965" w:left="194" w:right="199" w:bottom="537" w:header="0" w:footer="109" w:gutter="0"/>
          <w:pgNumType w:start="575"/>
          <w:cols w:num="2" w:space="188"/>
          <w:noEndnote/>
          <w:rtlGutter w:val="0"/>
          <w:docGrid w:linePitch="360"/>
        </w:sectPr>
      </w:pPr>
      <w:r>
        <w:rPr>
          <w:color w:val="000000"/>
          <w:spacing w:val="0"/>
          <w:w w:val="100"/>
          <w:position w:val="0"/>
          <w:shd w:val="clear" w:color="auto" w:fill="auto"/>
          <w:lang w:val="hr-HR" w:eastAsia="hr-HR" w:bidi="hr-HR"/>
        </w:rPr>
        <w:t>s. HAt.tć:</w:t>
      </w:r>
    </w:p>
    <w:p>
      <w:pPr>
        <w:pStyle w:val="Style46"/>
        <w:keepNext/>
        <w:keepLines/>
        <w:widowControl w:val="0"/>
        <w:shd w:val="clear" w:color="auto" w:fill="auto"/>
        <w:bidi w:val="0"/>
        <w:spacing w:before="0" w:after="320" w:line="240" w:lineRule="auto"/>
        <w:ind w:left="1200" w:right="0" w:firstLine="0"/>
        <w:jc w:val="left"/>
        <w:rPr>
          <w:sz w:val="22"/>
          <w:szCs w:val="22"/>
        </w:rPr>
      </w:pPr>
      <w:bookmarkStart w:id="430" w:name="bookmark430"/>
      <w:r>
        <w:rPr>
          <w:rFonts w:ascii="Times New Roman" w:eastAsia="Times New Roman" w:hAnsi="Times New Roman" w:cs="Times New Roman"/>
          <w:color w:val="000000"/>
          <w:spacing w:val="0"/>
          <w:w w:val="100"/>
          <w:position w:val="0"/>
          <w:sz w:val="22"/>
          <w:szCs w:val="22"/>
          <w:shd w:val="clear" w:color="auto" w:fill="auto"/>
          <w:lang w:val="hr-HR" w:eastAsia="hr-HR" w:bidi="hr-HR"/>
        </w:rPr>
        <w:t>SlNOPTIČKA KRONOLOŠKA TABLICA</w:t>
      </w:r>
      <w:bookmarkEnd w:id="430"/>
    </w:p>
    <w:tbl>
      <w:tblPr>
        <w:tblOverlap w:val="never"/>
        <w:jc w:val="center"/>
        <w:tblLayout w:type="fixed"/>
      </w:tblPr>
      <w:tblGrid>
        <w:gridCol w:w="898"/>
        <w:gridCol w:w="1258"/>
        <w:gridCol w:w="2102"/>
        <w:gridCol w:w="1454"/>
      </w:tblGrid>
      <w:tr>
        <w:trPr>
          <w:trHeight w:val="274" w:hRule="exact"/>
        </w:trPr>
        <w:tc>
          <w:tcPr>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1.</w:t>
            </w:r>
          </w:p>
        </w:tc>
        <w:tc>
          <w:tcPr>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c>
        <w:tc>
          <w:tcPr>
            <w:tcBorders>
              <w:left w:val="single" w:sz="4"/>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2. kršćanstvo</w:t>
            </w:r>
          </w:p>
        </w:tc>
        <w:tc>
          <w:tcPr>
            <w:tcBorders>
              <w:left w:val="single" w:sz="4"/>
            </w:tcBorders>
            <w:shd w:val="clear" w:color="auto" w:fill="FFFFFF"/>
            <w:vAlign w:val="center"/>
          </w:tcPr>
          <w:p>
            <w:pPr>
              <w:pStyle w:val="Style7"/>
              <w:keepNext w:val="0"/>
              <w:keepLines w:val="0"/>
              <w:widowControl w:val="0"/>
              <w:shd w:val="clear" w:color="auto" w:fill="auto"/>
              <w:bidi w:val="0"/>
              <w:spacing w:before="0" w:after="0" w:line="240" w:lineRule="auto"/>
              <w:ind w:left="0" w:right="16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3. islam</w:t>
            </w:r>
          </w:p>
        </w:tc>
      </w:tr>
      <w:tr>
        <w:trPr>
          <w:trHeight w:val="254" w:hRule="exact"/>
        </w:trPr>
        <w:tc>
          <w:tcPr>
            <w:gridSpan w:val="2"/>
            <w:tcBorders>
              <w:top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Doba hebrejske Biblije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677" w:hRule="exact"/>
        </w:trPr>
        <w:tc>
          <w:tcPr>
            <w:tcBorders/>
            <w:shd w:val="clear" w:color="auto" w:fill="FFFFFF"/>
            <w:vAlign w:val="top"/>
          </w:tcPr>
          <w:p>
            <w:pPr>
              <w:pStyle w:val="Style7"/>
              <w:keepNext w:val="0"/>
              <w:keepLines w:val="0"/>
              <w:widowControl w:val="0"/>
              <w:shd w:val="clear" w:color="auto" w:fill="auto"/>
              <w:bidi w:val="0"/>
              <w:spacing w:before="0" w:after="4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 Kr.</w:t>
            </w:r>
          </w:p>
          <w:p>
            <w:pPr>
              <w:pStyle w:val="Style7"/>
              <w:keepNext w:val="0"/>
              <w:keepLines w:val="0"/>
              <w:widowControl w:val="0"/>
              <w:shd w:val="clear" w:color="auto" w:fill="auto"/>
              <w:bidi w:val="0"/>
              <w:spacing w:before="0" w:after="0" w:line="240" w:lineRule="auto"/>
              <w:ind w:left="0" w:right="0" w:firstLine="0"/>
              <w:jc w:val="right"/>
              <w:rPr>
                <w:sz w:val="12"/>
                <w:szCs w:val="12"/>
              </w:rPr>
            </w:pPr>
            <w:r>
              <w:rPr>
                <w:rFonts w:ascii="Arial" w:eastAsia="Arial" w:hAnsi="Arial" w:cs="Arial"/>
                <w:color w:val="000000"/>
                <w:spacing w:val="0"/>
                <w:w w:val="100"/>
                <w:position w:val="0"/>
                <w:sz w:val="12"/>
                <w:szCs w:val="12"/>
                <w:shd w:val="clear" w:color="auto" w:fill="auto"/>
                <w:lang w:val="hr-HR" w:eastAsia="hr-HR" w:bidi="hr-HR"/>
              </w:rPr>
              <w:t>oko 1991.-1310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Patrijarsi: </w:t>
            </w:r>
            <w:r>
              <w:rPr>
                <w:rFonts w:ascii="Arial" w:eastAsia="Arial" w:hAnsi="Arial" w:cs="Arial"/>
                <w:color w:val="000000"/>
                <w:spacing w:val="0"/>
                <w:w w:val="100"/>
                <w:position w:val="0"/>
                <w:sz w:val="12"/>
                <w:szCs w:val="12"/>
                <w:shd w:val="clear" w:color="auto" w:fill="auto"/>
                <w:lang w:val="en-US" w:eastAsia="en-US" w:bidi="en-US"/>
              </w:rPr>
              <w:t xml:space="preserve">Abraham, </w:t>
            </w:r>
            <w:r>
              <w:rPr>
                <w:rFonts w:ascii="Arial" w:eastAsia="Arial" w:hAnsi="Arial" w:cs="Arial"/>
                <w:color w:val="000000"/>
                <w:spacing w:val="0"/>
                <w:w w:val="100"/>
                <w:position w:val="0"/>
                <w:sz w:val="12"/>
                <w:szCs w:val="12"/>
                <w:shd w:val="clear" w:color="auto" w:fill="auto"/>
                <w:lang w:val="hr-HR" w:eastAsia="hr-HR" w:bidi="hr-HR"/>
              </w:rPr>
              <w:t>Izak, Jakov; sulanjstvo u Egiptu</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3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1280.</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Izlazak, Objava na Sinaju: Mojsijc</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2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1250.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zemlje Kanaana, Jošua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7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right"/>
              <w:rPr>
                <w:sz w:val="12"/>
                <w:szCs w:val="12"/>
              </w:rPr>
            </w:pPr>
            <w:r>
              <w:rPr>
                <w:rFonts w:ascii="Arial" w:eastAsia="Arial" w:hAnsi="Arial" w:cs="Arial"/>
                <w:color w:val="000000"/>
                <w:spacing w:val="0"/>
                <w:w w:val="100"/>
                <w:position w:val="0"/>
                <w:sz w:val="12"/>
                <w:szCs w:val="12"/>
                <w:shd w:val="clear" w:color="auto" w:fill="auto"/>
                <w:lang w:val="hr-HR" w:eastAsia="hr-HR" w:bidi="hr-HR"/>
              </w:rPr>
              <w:t>oko 1200.-1020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Suci: Dcbora (oko 1125.), </w:t>
            </w:r>
            <w:r>
              <w:rPr>
                <w:rFonts w:ascii="Arial" w:eastAsia="Arial" w:hAnsi="Arial" w:cs="Arial"/>
                <w:color w:val="000000"/>
                <w:spacing w:val="0"/>
                <w:w w:val="100"/>
                <w:position w:val="0"/>
                <w:sz w:val="12"/>
                <w:szCs w:val="12"/>
                <w:shd w:val="clear" w:color="auto" w:fill="auto"/>
                <w:lang w:val="en-US" w:eastAsia="en-US" w:bidi="en-US"/>
              </w:rPr>
              <w:t xml:space="preserve">Gideon </w:t>
            </w:r>
            <w:r>
              <w:rPr>
                <w:rFonts w:ascii="Arial" w:eastAsia="Arial" w:hAnsi="Arial" w:cs="Arial"/>
                <w:color w:val="000000"/>
                <w:spacing w:val="0"/>
                <w:w w:val="100"/>
                <w:position w:val="0"/>
                <w:sz w:val="12"/>
                <w:szCs w:val="12"/>
                <w:shd w:val="clear" w:color="auto" w:fill="auto"/>
                <w:lang w:val="hr-HR" w:eastAsia="hr-HR" w:bidi="hr-HR"/>
              </w:rPr>
              <w:t xml:space="preserve">(oko 1100.) </w:t>
            </w:r>
            <w:r>
              <w:rPr>
                <w:rFonts w:ascii="Arial" w:eastAsia="Arial" w:hAnsi="Arial" w:cs="Arial"/>
                <w:color w:val="000000"/>
                <w:spacing w:val="0"/>
                <w:w w:val="100"/>
                <w:position w:val="0"/>
                <w:sz w:val="12"/>
                <w:szCs w:val="12"/>
                <w:shd w:val="clear" w:color="auto" w:fill="auto"/>
                <w:lang w:val="en-US" w:eastAsia="en-US" w:bidi="en-US"/>
              </w:rPr>
              <w:t>Samuel</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8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right"/>
              <w:rPr>
                <w:sz w:val="12"/>
                <w:szCs w:val="12"/>
              </w:rPr>
            </w:pPr>
            <w:r>
              <w:rPr>
                <w:rFonts w:ascii="Arial" w:eastAsia="Arial" w:hAnsi="Arial" w:cs="Arial"/>
                <w:color w:val="000000"/>
                <w:spacing w:val="0"/>
                <w:w w:val="100"/>
                <w:position w:val="0"/>
                <w:sz w:val="12"/>
                <w:szCs w:val="12"/>
                <w:shd w:val="clear" w:color="auto" w:fill="auto"/>
                <w:lang w:val="hr-HR" w:eastAsia="hr-HR" w:bidi="hr-HR"/>
              </w:rPr>
              <w:t>oko 1020.-1004</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Ujedinjenje Izraela u kraljevstvo: </w:t>
            </w:r>
            <w:r>
              <w:rPr>
                <w:rFonts w:ascii="Arial" w:eastAsia="Arial" w:hAnsi="Arial" w:cs="Arial"/>
                <w:color w:val="000000"/>
                <w:spacing w:val="0"/>
                <w:w w:val="100"/>
                <w:position w:val="0"/>
                <w:sz w:val="12"/>
                <w:szCs w:val="12"/>
                <w:shd w:val="clear" w:color="auto" w:fill="auto"/>
                <w:lang w:val="en-US" w:eastAsia="en-US" w:bidi="en-US"/>
              </w:rPr>
              <w:t xml:space="preserve">Saul; </w:t>
            </w:r>
            <w:r>
              <w:rPr>
                <w:rFonts w:ascii="Arial" w:eastAsia="Arial" w:hAnsi="Arial" w:cs="Arial"/>
                <w:color w:val="000000"/>
                <w:spacing w:val="0"/>
                <w:w w:val="100"/>
                <w:position w:val="0"/>
                <w:sz w:val="12"/>
                <w:szCs w:val="12"/>
                <w:shd w:val="clear" w:color="auto" w:fill="auto"/>
                <w:lang w:val="hr-HR" w:eastAsia="hr-HR" w:bidi="hr-HR"/>
              </w:rPr>
              <w:t>počeci proroka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6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IOO4.-965.</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Jeruzalem - nacionalno i religijsko središte: David</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768"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965.-928.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Doba Salumunovc vlasti, hram u Jeruzalemu </w:t>
            </w:r>
            <w:r>
              <w:rPr>
                <w:rFonts w:ascii="Arial" w:eastAsia="Arial" w:hAnsi="Arial" w:cs="Arial"/>
                <w:i/>
                <w:iCs/>
                <w:color w:val="000000"/>
                <w:spacing w:val="0"/>
                <w:w w:val="100"/>
                <w:position w:val="0"/>
                <w:sz w:val="12"/>
                <w:szCs w:val="12"/>
                <w:shd w:val="clear" w:color="auto" w:fill="auto"/>
                <w:lang w:val="hr-HR" w:eastAsia="hr-HR" w:bidi="hr-HR"/>
              </w:rPr>
              <w:t>početak razdoblja prvoga Hrama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2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928.</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Podjela kraljevstva na Izrael i Judu</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8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740.-586.</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»Veliki« proroci u Jeruzalemu: Izaija, Jcrcmija, </w:t>
            </w:r>
            <w:r>
              <w:rPr>
                <w:rFonts w:ascii="Arial" w:eastAsia="Arial" w:hAnsi="Arial" w:cs="Arial"/>
                <w:color w:val="000000"/>
                <w:spacing w:val="0"/>
                <w:w w:val="100"/>
                <w:position w:val="0"/>
                <w:sz w:val="12"/>
                <w:szCs w:val="12"/>
                <w:shd w:val="clear" w:color="auto" w:fill="auto"/>
                <w:lang w:val="en-US" w:eastAsia="en-US" w:bidi="en-US"/>
              </w:rPr>
              <w:t>Ezekiel</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3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721.</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Svršetak kraljevstva</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Izraela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176" w:hRule="exact"/>
        </w:trPr>
        <w:tc>
          <w:tcPr>
            <w:tcBorders/>
            <w:shd w:val="clear" w:color="auto" w:fill="FFFFFF"/>
            <w:vAlign w:val="top"/>
          </w:tcPr>
          <w:p>
            <w:pPr>
              <w:pStyle w:val="Style7"/>
              <w:keepNext w:val="0"/>
              <w:keepLines w:val="0"/>
              <w:widowControl w:val="0"/>
              <w:shd w:val="clear" w:color="auto" w:fill="auto"/>
              <w:bidi w:val="0"/>
              <w:spacing w:before="14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586.</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Asirsko progonstvo. Razorcnjc Jeruzalema i Hrama. Svršetak kraljevstva Jude. </w:t>
            </w:r>
            <w:r>
              <w:rPr>
                <w:rFonts w:ascii="Arial" w:eastAsia="Arial" w:hAnsi="Arial" w:cs="Arial"/>
                <w:i/>
                <w:iCs/>
                <w:color w:val="000000"/>
                <w:spacing w:val="0"/>
                <w:w w:val="100"/>
                <w:position w:val="0"/>
                <w:sz w:val="12"/>
                <w:szCs w:val="12"/>
                <w:shd w:val="clear" w:color="auto" w:fill="auto"/>
                <w:lang w:val="hr-HR" w:eastAsia="hr-HR" w:bidi="hr-HR"/>
              </w:rPr>
              <w:t xml:space="preserve">Babilonsko progonstvo: </w:t>
            </w:r>
            <w:r>
              <w:rPr>
                <w:rFonts w:ascii="Arial" w:eastAsia="Arial" w:hAnsi="Arial" w:cs="Arial"/>
                <w:color w:val="000000"/>
                <w:spacing w:val="0"/>
                <w:w w:val="100"/>
                <w:position w:val="0"/>
                <w:sz w:val="12"/>
                <w:szCs w:val="12"/>
                <w:shd w:val="clear" w:color="auto" w:fill="auto"/>
                <w:lang w:val="hr-HR" w:eastAsia="hr-HR" w:bidi="hr-HR"/>
              </w:rPr>
              <w:t xml:space="preserve">ondje u VI. </w:t>
            </w:r>
            <w:r>
              <w:rPr>
                <w:rFonts w:ascii="Arial" w:eastAsia="Arial" w:hAnsi="Arial" w:cs="Arial"/>
                <w:color w:val="000000"/>
                <w:spacing w:val="0"/>
                <w:w w:val="100"/>
                <w:position w:val="0"/>
                <w:sz w:val="12"/>
                <w:szCs w:val="12"/>
                <w:shd w:val="clear" w:color="auto" w:fill="auto"/>
                <w:lang w:val="en-US" w:eastAsia="en-US" w:bidi="en-US"/>
              </w:rPr>
              <w:t xml:space="preserve">st. </w:t>
            </w:r>
            <w:r>
              <w:rPr>
                <w:rFonts w:ascii="Arial" w:eastAsia="Arial" w:hAnsi="Arial" w:cs="Arial"/>
                <w:i/>
                <w:iCs/>
                <w:color w:val="000000"/>
                <w:spacing w:val="0"/>
                <w:w w:val="100"/>
                <w:position w:val="0"/>
                <w:sz w:val="12"/>
                <w:szCs w:val="12"/>
                <w:shd w:val="clear" w:color="auto" w:fill="auto"/>
                <w:lang w:val="hr-HR" w:eastAsia="hr-HR" w:bidi="hr-HR"/>
              </w:rPr>
              <w:t>Stvaranje kanona Petoknjižja kao Tore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4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538.</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Prvi povratak Židova iz progonstva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61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520.-515.</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Gradnja hrama u Jeruzalemu; </w:t>
            </w:r>
            <w:r>
              <w:rPr>
                <w:rFonts w:ascii="Arial" w:eastAsia="Arial" w:hAnsi="Arial" w:cs="Arial"/>
                <w:i/>
                <w:iCs/>
                <w:color w:val="000000"/>
                <w:spacing w:val="0"/>
                <w:w w:val="100"/>
                <w:position w:val="0"/>
                <w:sz w:val="12"/>
                <w:szCs w:val="12"/>
                <w:shd w:val="clear" w:color="auto" w:fill="auto"/>
                <w:lang w:val="hr-HR" w:eastAsia="hr-HR" w:bidi="hr-HR"/>
              </w:rPr>
              <w:t>početak razdoblja drugoga Hrama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619"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458.?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Drugi povratak iz progonstva. </w:t>
            </w:r>
            <w:r>
              <w:rPr>
                <w:rFonts w:ascii="Arial" w:eastAsia="Arial" w:hAnsi="Arial" w:cs="Arial"/>
                <w:color w:val="000000"/>
                <w:spacing w:val="0"/>
                <w:w w:val="100"/>
                <w:position w:val="0"/>
                <w:sz w:val="12"/>
                <w:szCs w:val="12"/>
                <w:shd w:val="clear" w:color="auto" w:fill="auto"/>
                <w:lang w:val="en-US" w:eastAsia="en-US" w:bidi="en-US"/>
              </w:rPr>
              <w:t xml:space="preserve">Ezra, </w:t>
            </w:r>
            <w:r>
              <w:rPr>
                <w:rFonts w:ascii="Arial" w:eastAsia="Arial" w:hAnsi="Arial" w:cs="Arial"/>
                <w:color w:val="000000"/>
                <w:spacing w:val="0"/>
                <w:w w:val="100"/>
                <w:position w:val="0"/>
                <w:sz w:val="12"/>
                <w:szCs w:val="12"/>
                <w:shd w:val="clear" w:color="auto" w:fill="auto"/>
                <w:lang w:val="hr-HR" w:eastAsia="hr-HR" w:bidi="hr-HR"/>
              </w:rPr>
              <w:t>prvi pismoznanci (soferim)</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7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IV. </w:t>
            </w:r>
            <w:r>
              <w:rPr>
                <w:rFonts w:ascii="Arial" w:eastAsia="Arial" w:hAnsi="Arial" w:cs="Arial"/>
                <w:color w:val="000000"/>
                <w:spacing w:val="0"/>
                <w:w w:val="100"/>
                <w:position w:val="0"/>
                <w:sz w:val="12"/>
                <w:szCs w:val="12"/>
                <w:shd w:val="clear" w:color="auto" w:fill="auto"/>
                <w:lang w:val="en-US" w:eastAsia="en-US" w:bidi="en-US"/>
              </w:rPr>
              <w:t>st.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Stvaranje kanona 2. dijela Biblije Ncviim (Proroci)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79"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332.</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Aleksandar osvaja</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Ercc Jisrael</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bl>
    <w:p>
      <w:pPr>
        <w:sectPr>
          <w:headerReference w:type="default" r:id="rId1757"/>
          <w:footerReference w:type="default" r:id="rId1758"/>
          <w:headerReference w:type="even" r:id="rId1759"/>
          <w:footerReference w:type="even" r:id="rId1760"/>
          <w:footnotePr>
            <w:pos w:val="pageBottom"/>
            <w:numFmt w:val="decimal"/>
            <w:numRestart w:val="continuous"/>
            <w15:footnoteColumns w:val="1"/>
          </w:footnotePr>
          <w:pgSz w:w="5846" w:h="11002"/>
          <w:pgMar w:top="1115" w:left="113" w:right="22" w:bottom="493" w:header="687" w:footer="65" w:gutter="0"/>
          <w:pgNumType w:start="577"/>
          <w:cols w:space="720"/>
          <w:noEndnote/>
          <w:rtlGutter w:val="0"/>
          <w:docGrid w:linePitch="360"/>
        </w:sectPr>
      </w:pPr>
    </w:p>
    <w:tbl>
      <w:tblPr>
        <w:tblOverlap w:val="never"/>
        <w:jc w:val="left"/>
        <w:tblLayout w:type="fixed"/>
      </w:tblPr>
      <w:tblGrid>
        <w:gridCol w:w="797"/>
        <w:gridCol w:w="1253"/>
      </w:tblGrid>
      <w:tr>
        <w:trPr>
          <w:trHeight w:val="168" w:hRule="exact"/>
        </w:trPr>
        <w:tc>
          <w:tcPr>
            <w:gridSpan w:val="2"/>
            <w:tcBorders>
              <w:top w:val="single" w:sz="4"/>
              <w:righ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Predrabinsko doba</w:t>
            </w:r>
          </w:p>
        </w:tc>
      </w:tr>
      <w:tr>
        <w:trPr>
          <w:trHeight w:val="45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 Kr. oko 301. 162.</w:t>
            </w:r>
          </w:p>
        </w:tc>
        <w:tc>
          <w:tcPr>
            <w:tcBorders>
              <w:righ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Vladavina Ptolcmcjaca</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odn. Sclcukida. U</w:t>
            </w:r>
          </w:p>
        </w:tc>
      </w:tr>
      <w:tr>
        <w:trPr>
          <w:trHeight w:val="696" w:hRule="exact"/>
        </w:trPr>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Egiptu sredinom </w:t>
            </w:r>
            <w:r>
              <w:rPr>
                <w:rFonts w:ascii="Arial" w:eastAsia="Arial" w:hAnsi="Arial" w:cs="Arial"/>
                <w:color w:val="000000"/>
                <w:spacing w:val="0"/>
                <w:w w:val="100"/>
                <w:position w:val="0"/>
                <w:sz w:val="12"/>
                <w:szCs w:val="12"/>
                <w:shd w:val="clear" w:color="auto" w:fill="auto"/>
                <w:lang w:val="en-US" w:eastAsia="en-US" w:bidi="en-US"/>
              </w:rPr>
              <w:t xml:space="preserve">III. st </w:t>
            </w:r>
            <w:r>
              <w:rPr>
                <w:rFonts w:ascii="Arial" w:eastAsia="Arial" w:hAnsi="Arial" w:cs="Arial"/>
                <w:color w:val="000000"/>
                <w:spacing w:val="0"/>
                <w:w w:val="100"/>
                <w:position w:val="0"/>
                <w:sz w:val="12"/>
                <w:szCs w:val="12"/>
                <w:shd w:val="clear" w:color="auto" w:fill="auto"/>
                <w:lang w:val="hr-HR" w:eastAsia="hr-HR" w:bidi="hr-HR"/>
              </w:rPr>
              <w:t>prijevod Peloknjižju na grčki: Septuaginta Knjiga Ben Straha oko 170</w:t>
            </w:r>
          </w:p>
        </w:tc>
      </w:tr>
      <w:tr>
        <w:trPr>
          <w:trHeight w:val="1291" w:hRule="exact"/>
        </w:trPr>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i/>
                <w:iCs/>
                <w:color w:val="000000"/>
                <w:spacing w:val="0"/>
                <w:w w:val="100"/>
                <w:position w:val="0"/>
                <w:sz w:val="12"/>
                <w:szCs w:val="12"/>
                <w:shd w:val="clear" w:color="auto" w:fill="auto"/>
                <w:lang w:val="hr-HR" w:eastAsia="hr-HR" w:bidi="hr-HR"/>
              </w:rPr>
              <w:t>Soferim:</w:t>
            </w:r>
            <w:r>
              <w:rPr>
                <w:rFonts w:ascii="Arial" w:eastAsia="Arial" w:hAnsi="Arial" w:cs="Arial"/>
                <w:color w:val="000000"/>
                <w:spacing w:val="0"/>
                <w:w w:val="100"/>
                <w:position w:val="0"/>
                <w:sz w:val="12"/>
                <w:szCs w:val="12"/>
                <w:shd w:val="clear" w:color="auto" w:fill="auto"/>
                <w:lang w:val="hr-HR" w:eastAsia="hr-HR" w:bidi="hr-HR"/>
              </w:rPr>
              <w:t xml:space="preserve"> preteče tanaita </w:t>
            </w:r>
            <w:r>
              <w:rPr>
                <w:rFonts w:ascii="Arial" w:eastAsia="Arial" w:hAnsi="Arial" w:cs="Arial"/>
                <w:i/>
                <w:iCs/>
                <w:color w:val="000000"/>
                <w:spacing w:val="0"/>
                <w:w w:val="100"/>
                <w:position w:val="0"/>
                <w:sz w:val="12"/>
                <w:szCs w:val="12"/>
                <w:shd w:val="clear" w:color="auto" w:fill="auto"/>
                <w:lang w:val="hr-HR" w:eastAsia="hr-HR" w:bidi="hr-HR"/>
              </w:rPr>
              <w:t xml:space="preserve">larizej: </w:t>
            </w:r>
            <w:r>
              <w:rPr>
                <w:rFonts w:ascii="Arial" w:eastAsia="Arial" w:hAnsi="Arial" w:cs="Arial"/>
                <w:color w:val="000000"/>
                <w:spacing w:val="0"/>
                <w:w w:val="100"/>
                <w:position w:val="0"/>
                <w:sz w:val="12"/>
                <w:szCs w:val="12"/>
                <w:shd w:val="clear" w:color="auto" w:fill="auto"/>
                <w:lang w:val="hr-HR" w:eastAsia="hr-HR" w:bidi="hr-HR"/>
              </w:rPr>
              <w:t>razvili predodžbu o »»usmenoj Tori«, jedan od osnivača Hilel, oko 20. pr. i lu. pos. Kr., Naši (patrijarh} u Jeruzalemu</w:t>
            </w:r>
          </w:p>
        </w:tc>
      </w:tr>
      <w:tr>
        <w:trPr>
          <w:trHeight w:val="48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167.</w:t>
            </w:r>
          </w:p>
        </w:tc>
        <w:tc>
          <w:tcPr>
            <w:tcBorders>
              <w:righ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Sclcukidi oskvrnjuju Hram. Ustanak Makabcjacu</w:t>
            </w:r>
          </w:p>
        </w:tc>
      </w:tr>
      <w:tr>
        <w:trPr>
          <w:trHeight w:val="33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164.</w:t>
            </w:r>
          </w:p>
        </w:tc>
        <w:tc>
          <w:tcPr>
            <w:tcBorders>
              <w:righ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Posvećenje Hrama</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4. XII.</w:t>
            </w:r>
          </w:p>
        </w:tc>
      </w:tr>
      <w:tr>
        <w:trPr>
          <w:trHeight w:val="48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141.-63.</w:t>
            </w:r>
          </w:p>
        </w:tc>
        <w:tc>
          <w:tcPr>
            <w:tcBorders>
              <w:righ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Nezavisna židovska država Makabejaca;' llasmoncjaca</w:t>
            </w:r>
          </w:p>
        </w:tc>
      </w:tr>
      <w:tr>
        <w:trPr>
          <w:trHeight w:val="163"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63.</w:t>
            </w:r>
          </w:p>
        </w:tc>
        <w:tc>
          <w:tcPr>
            <w:tcBorders>
              <w:righ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Palestina p.v-1 rimskom</w:t>
            </w:r>
          </w:p>
        </w:tc>
      </w:tr>
    </w:tbl>
    <w:p>
      <w:pPr>
        <w:pStyle w:val="Style49"/>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b w:val="0"/>
          <w:bCs w:val="0"/>
          <w:color w:val="000000"/>
          <w:spacing w:val="0"/>
          <w:w w:val="100"/>
          <w:position w:val="0"/>
          <w:sz w:val="12"/>
          <w:szCs w:val="12"/>
          <w:shd w:val="clear" w:color="auto" w:fill="auto"/>
          <w:lang w:val="hr-HR" w:eastAsia="hr-HR" w:bidi="hr-HR"/>
        </w:rPr>
        <w:t xml:space="preserve">vlašću; Pilon </w:t>
      </w:r>
      <w:r>
        <w:rPr>
          <w:rFonts w:ascii="Arial" w:eastAsia="Arial" w:hAnsi="Arial" w:cs="Arial"/>
          <w:b w:val="0"/>
          <w:bCs w:val="0"/>
          <w:color w:val="000000"/>
          <w:spacing w:val="0"/>
          <w:w w:val="100"/>
          <w:position w:val="0"/>
          <w:sz w:val="12"/>
          <w:szCs w:val="12"/>
          <w:shd w:val="clear" w:color="auto" w:fill="auto"/>
          <w:lang w:val="en-US" w:eastAsia="en-US" w:bidi="en-US"/>
        </w:rPr>
        <w:t>Aleksandr</w:t>
      </w:r>
      <w:r>
        <w:rPr>
          <w:rFonts w:ascii="Arial" w:eastAsia="Arial" w:hAnsi="Arial" w:cs="Arial"/>
          <w:b w:val="0"/>
          <w:bCs w:val="0"/>
          <w:color w:val="000000"/>
          <w:spacing w:val="0"/>
          <w:w w:val="100"/>
          <w:position w:val="0"/>
          <w:sz w:val="12"/>
          <w:szCs w:val="12"/>
          <w:shd w:val="clear" w:color="auto" w:fill="auto"/>
          <w:lang w:val="hr-HR" w:eastAsia="hr-HR" w:bidi="hr-HR"/>
        </w:rPr>
        <w:t>tjski</w:t>
      </w:r>
    </w:p>
    <w:p>
      <w:pPr>
        <w:pStyle w:val="Style49"/>
        <w:keepNext w:val="0"/>
        <w:keepLines w:val="0"/>
        <w:widowControl w:val="0"/>
        <w:shd w:val="clear" w:color="auto" w:fill="auto"/>
        <w:bidi w:val="0"/>
        <w:spacing w:before="0" w:after="0" w:line="240" w:lineRule="auto"/>
        <w:ind w:left="0" w:right="0" w:firstLine="0"/>
        <w:jc w:val="both"/>
        <w:rPr>
          <w:sz w:val="12"/>
          <w:szCs w:val="12"/>
        </w:rPr>
        <w:sectPr>
          <w:headerReference w:type="default" r:id="rId1761"/>
          <w:footerReference w:type="default" r:id="rId1762"/>
          <w:headerReference w:type="even" r:id="rId1763"/>
          <w:footerReference w:type="even" r:id="rId1764"/>
          <w:footnotePr>
            <w:pos w:val="pageBottom"/>
            <w:numFmt w:val="decimal"/>
            <w:numRestart w:val="continuous"/>
            <w15:footnoteColumns w:val="1"/>
          </w:footnotePr>
          <w:pgSz w:w="5846" w:h="11002"/>
          <w:pgMar w:top="1115" w:left="113" w:right="22" w:bottom="493" w:header="0" w:footer="3" w:gutter="0"/>
          <w:pgNumType w:start="574"/>
          <w:cols w:space="720"/>
          <w:noEndnote/>
          <w:rtlGutter w:val="0"/>
          <w:docGrid w:linePitch="360"/>
        </w:sectPr>
      </w:pPr>
      <w:r>
        <w:rPr>
          <w:rFonts w:ascii="Arial" w:eastAsia="Arial" w:hAnsi="Arial" w:cs="Arial"/>
          <w:b w:val="0"/>
          <w:bCs w:val="0"/>
          <w:color w:val="000000"/>
          <w:spacing w:val="0"/>
          <w:w w:val="100"/>
          <w:position w:val="0"/>
          <w:sz w:val="12"/>
          <w:szCs w:val="12"/>
          <w:shd w:val="clear" w:color="auto" w:fill="auto"/>
          <w:lang w:val="hr-HR" w:eastAsia="hr-HR" w:bidi="hr-HR"/>
        </w:rPr>
        <w:t>(oko 20. pr. do 50. pos. Kr.)</w:t>
      </w:r>
    </w:p>
    <w:p>
      <w:pPr>
        <w:widowControl w:val="0"/>
        <w:spacing w:line="99" w:lineRule="exact"/>
        <w:rPr>
          <w:sz w:val="8"/>
          <w:szCs w:val="8"/>
        </w:rPr>
      </w:pPr>
    </w:p>
    <w:p>
      <w:pPr>
        <w:widowControl w:val="0"/>
        <w:spacing w:line="1" w:lineRule="exact"/>
        <w:sectPr>
          <w:footnotePr>
            <w:pos w:val="pageBottom"/>
            <w:numFmt w:val="decimal"/>
            <w:numRestart w:val="continuous"/>
            <w15:footnoteColumns w:val="1"/>
          </w:footnotePr>
          <w:type w:val="continuous"/>
          <w:pgSz w:w="5846" w:h="11002"/>
          <w:pgMar w:top="1247" w:left="0" w:right="0" w:bottom="465" w:header="0" w:footer="3" w:gutter="0"/>
          <w:cols w:space="720"/>
          <w:noEndnote/>
          <w:rtlGutter w:val="0"/>
          <w:docGrid w:linePitch="360"/>
        </w:sectPr>
      </w:pPr>
    </w:p>
    <w:p>
      <w:pPr>
        <w:pStyle w:val="Style56"/>
        <w:keepNext w:val="0"/>
        <w:keepLines w:val="0"/>
        <w:framePr w:w="1200" w:h="197" w:wrap="none" w:vAnchor="text" w:hAnchor="page" w:x="210" w:y="2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Rabinsko razdoblje</w:t>
      </w:r>
    </w:p>
    <w:p>
      <w:pPr>
        <w:pStyle w:val="Style56"/>
        <w:keepNext w:val="0"/>
        <w:keepLines w:val="0"/>
        <w:framePr w:w="869" w:h="394" w:wrap="none" w:vAnchor="text" w:hAnchor="page" w:x="2317" w:y="78"/>
        <w:widowControl w:val="0"/>
        <w:shd w:val="clear" w:color="auto" w:fill="auto"/>
        <w:bidi w:val="0"/>
        <w:spacing w:before="0" w:after="0" w:line="334" w:lineRule="auto"/>
        <w:ind w:left="0" w:right="0" w:firstLine="0"/>
        <w:jc w:val="both"/>
      </w:pPr>
      <w:r>
        <w:rPr>
          <w:color w:val="000000"/>
          <w:spacing w:val="0"/>
          <w:w w:val="100"/>
          <w:position w:val="0"/>
          <w:shd w:val="clear" w:color="auto" w:fill="auto"/>
          <w:lang w:val="hr-HR" w:eastAsia="hr-HR" w:bidi="hr-HR"/>
        </w:rPr>
        <w:t>oko 7-.b. pr. Kr do</w:t>
      </w:r>
    </w:p>
    <w:p>
      <w:pPr>
        <w:widowControl w:val="0"/>
        <w:spacing w:after="469" w:line="1" w:lineRule="exact"/>
      </w:pPr>
    </w:p>
    <w:p>
      <w:pPr>
        <w:widowControl w:val="0"/>
        <w:spacing w:line="1" w:lineRule="exact"/>
        <w:sectPr>
          <w:footnotePr>
            <w:pos w:val="pageBottom"/>
            <w:numFmt w:val="decimal"/>
            <w:numRestart w:val="continuous"/>
            <w15:footnoteColumns w:val="1"/>
          </w:footnotePr>
          <w:type w:val="continuous"/>
          <w:pgSz w:w="5846" w:h="11002"/>
          <w:pgMar w:top="1247" w:left="106" w:right="29" w:bottom="465" w:header="0" w:footer="3" w:gutter="0"/>
          <w:cols w:space="720"/>
          <w:noEndnote/>
          <w:rtlGutter w:val="0"/>
          <w:docGrid w:linePitch="360"/>
        </w:sectPr>
      </w:pPr>
    </w:p>
    <w:tbl>
      <w:tblPr>
        <w:tblOverlap w:val="never"/>
        <w:jc w:val="center"/>
        <w:tblLayout w:type="fixed"/>
      </w:tblPr>
      <w:tblGrid>
        <w:gridCol w:w="782"/>
        <w:gridCol w:w="1339"/>
      </w:tblGrid>
      <w:tr>
        <w:trPr>
          <w:trHeight w:val="312" w:hRule="exact"/>
        </w:trPr>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30.</w:t>
            </w:r>
          </w:p>
        </w:tc>
        <w:tc>
          <w:tcPr>
            <w:tcBorders>
              <w:right w:val="single" w:sz="4"/>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pos. Kr. Isus iz</w:t>
            </w:r>
          </w:p>
          <w:p>
            <w:pPr>
              <w:pStyle w:val="Style7"/>
              <w:keepNext w:val="0"/>
              <w:keepLines w:val="0"/>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Nazarela</w:t>
            </w:r>
          </w:p>
        </w:tc>
      </w:tr>
      <w:tr>
        <w:trPr>
          <w:trHeight w:val="202" w:hRule="exact"/>
        </w:trPr>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27.</w:t>
            </w:r>
          </w:p>
        </w:tc>
        <w:tc>
          <w:tcPr>
            <w:tcBorders>
              <w:right w:val="single" w:sz="4"/>
            </w:tcBorders>
            <w:shd w:val="clear" w:color="auto" w:fill="FFFFFF"/>
            <w:vAlign w:val="bottom"/>
          </w:tcPr>
          <w:p>
            <w:pPr>
              <w:pStyle w:val="Style7"/>
              <w:keepNext w:val="0"/>
              <w:keepLines w:val="0"/>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Nastup Ivana Krstitelja</w:t>
            </w:r>
          </w:p>
        </w:tc>
      </w:tr>
      <w:tr>
        <w:trPr>
          <w:trHeight w:val="202" w:hRule="exact"/>
        </w:trPr>
        <w:tc>
          <w:tcPr>
            <w:tcBorders>
              <w:left w:val="single" w:sz="4"/>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28.</w:t>
            </w:r>
          </w:p>
        </w:tc>
        <w:tc>
          <w:tcPr>
            <w:tcBorders>
              <w:right w:val="single" w:sz="4"/>
            </w:tcBorders>
            <w:shd w:val="clear" w:color="auto" w:fill="FFFFFF"/>
            <w:vAlign w:val="center"/>
          </w:tcPr>
          <w:p>
            <w:pPr>
              <w:pStyle w:val="Style7"/>
              <w:keepNext w:val="0"/>
              <w:keepLines w:val="0"/>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Isusov nastup</w:t>
            </w:r>
          </w:p>
        </w:tc>
      </w:tr>
      <w:tr>
        <w:trPr>
          <w:trHeight w:val="461" w:hRule="exact"/>
        </w:trPr>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cd oko 32.</w:t>
            </w:r>
          </w:p>
        </w:tc>
        <w:tc>
          <w:tcPr>
            <w:tcBorders>
              <w:right w:val="single" w:sz="4"/>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Djelovanje i mi.sijska putovanja apostola </w:t>
            </w:r>
            <w:r>
              <w:rPr>
                <w:rFonts w:ascii="Arial" w:eastAsia="Arial" w:hAnsi="Arial" w:cs="Arial"/>
                <w:color w:val="000000"/>
                <w:spacing w:val="0"/>
                <w:w w:val="100"/>
                <w:position w:val="0"/>
                <w:sz w:val="12"/>
                <w:szCs w:val="12"/>
                <w:shd w:val="clear" w:color="auto" w:fill="auto"/>
                <w:lang w:val="en-US" w:eastAsia="en-US" w:bidi="en-US"/>
              </w:rPr>
              <w:t>Pavla</w:t>
            </w:r>
          </w:p>
        </w:tc>
      </w:tr>
      <w:tr>
        <w:trPr>
          <w:trHeight w:val="336" w:hRule="exact"/>
        </w:trPr>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48 ;49.</w:t>
            </w:r>
          </w:p>
        </w:tc>
        <w:tc>
          <w:tcPr>
            <w:tcBorders>
              <w:right w:val="single" w:sz="4"/>
            </w:tcBorders>
            <w:shd w:val="clear" w:color="auto" w:fill="FFFFFF"/>
            <w:vAlign w:val="top"/>
          </w:tcPr>
          <w:p>
            <w:pPr>
              <w:pStyle w:val="Style7"/>
              <w:keepNext w:val="0"/>
              <w:keepLines w:val="0"/>
              <w:widowControl w:val="0"/>
              <w:shd w:val="clear" w:color="auto" w:fill="auto"/>
              <w:bidi w:val="0"/>
              <w:spacing w:before="0" w:after="0" w:line="240" w:lineRule="auto"/>
              <w:ind w:left="16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•»Apostolski koncil« u Jeruzalemu</w:t>
            </w:r>
          </w:p>
        </w:tc>
      </w:tr>
      <w:tr>
        <w:trPr>
          <w:trHeight w:val="197" w:hRule="exact"/>
        </w:trPr>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64.-67.</w:t>
            </w:r>
          </w:p>
        </w:tc>
        <w:tc>
          <w:tcPr>
            <w:tcBorders>
              <w:right w:val="single" w:sz="4"/>
            </w:tcBorders>
            <w:shd w:val="clear" w:color="auto" w:fill="FFFFFF"/>
            <w:vAlign w:val="bottom"/>
          </w:tcPr>
          <w:p>
            <w:pPr>
              <w:pStyle w:val="Style7"/>
              <w:keepNext w:val="0"/>
              <w:keepLines w:val="0"/>
              <w:widowControl w:val="0"/>
              <w:shd w:val="clear" w:color="auto" w:fill="auto"/>
              <w:bidi w:val="0"/>
              <w:spacing w:before="0" w:after="0" w:line="240" w:lineRule="auto"/>
              <w:ind w:left="16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Mučcnišlvo apostola</w:t>
            </w:r>
          </w:p>
        </w:tc>
      </w:tr>
    </w:tbl>
    <w:p>
      <w:pPr>
        <w:pStyle w:val="Style49"/>
        <w:keepNext w:val="0"/>
        <w:keepLines w:val="0"/>
        <w:widowControl w:val="0"/>
        <w:shd w:val="clear" w:color="auto" w:fill="auto"/>
        <w:bidi w:val="0"/>
        <w:spacing w:before="0" w:after="0" w:line="240" w:lineRule="auto"/>
        <w:ind w:left="931" w:right="0" w:firstLine="0"/>
        <w:jc w:val="left"/>
        <w:rPr>
          <w:sz w:val="12"/>
          <w:szCs w:val="12"/>
        </w:rPr>
        <w:sectPr>
          <w:footnotePr>
            <w:pos w:val="pageBottom"/>
            <w:numFmt w:val="decimal"/>
            <w:numRestart w:val="continuous"/>
            <w15:footnoteColumns w:val="1"/>
          </w:footnotePr>
          <w:type w:val="continuous"/>
          <w:pgSz w:w="5846" w:h="11002"/>
          <w:pgMar w:top="1286" w:left="2294" w:right="1430" w:bottom="729" w:header="0" w:footer="3" w:gutter="0"/>
          <w:cols w:space="720"/>
          <w:noEndnote/>
          <w:rtlGutter w:val="0"/>
          <w:docGrid w:linePitch="360"/>
        </w:sectPr>
      </w:pPr>
      <w:r>
        <w:rPr>
          <w:rFonts w:ascii="Arial" w:eastAsia="Arial" w:hAnsi="Arial" w:cs="Arial"/>
          <w:b w:val="0"/>
          <w:bCs w:val="0"/>
          <w:color w:val="000000"/>
          <w:spacing w:val="0"/>
          <w:w w:val="100"/>
          <w:position w:val="0"/>
          <w:sz w:val="12"/>
          <w:szCs w:val="12"/>
          <w:shd w:val="clear" w:color="auto" w:fill="auto"/>
          <w:lang w:val="hr-HR" w:eastAsia="hr-HR" w:bidi="hr-HR"/>
        </w:rPr>
        <w:t xml:space="preserve">Petra i </w:t>
      </w:r>
      <w:r>
        <w:rPr>
          <w:rFonts w:ascii="Arial" w:eastAsia="Arial" w:hAnsi="Arial" w:cs="Arial"/>
          <w:b w:val="0"/>
          <w:bCs w:val="0"/>
          <w:color w:val="000000"/>
          <w:spacing w:val="0"/>
          <w:w w:val="100"/>
          <w:position w:val="0"/>
          <w:sz w:val="12"/>
          <w:szCs w:val="12"/>
          <w:shd w:val="clear" w:color="auto" w:fill="auto"/>
          <w:lang w:val="en-US" w:eastAsia="en-US" w:bidi="en-US"/>
        </w:rPr>
        <w:t xml:space="preserve">Pavla </w:t>
      </w:r>
      <w:r>
        <w:rPr>
          <w:rFonts w:ascii="Arial" w:eastAsia="Arial" w:hAnsi="Arial" w:cs="Arial"/>
          <w:b w:val="0"/>
          <w:bCs w:val="0"/>
          <w:color w:val="000000"/>
          <w:spacing w:val="0"/>
          <w:w w:val="100"/>
          <w:position w:val="0"/>
          <w:sz w:val="12"/>
          <w:szCs w:val="12"/>
          <w:shd w:val="clear" w:color="auto" w:fill="auto"/>
          <w:lang w:val="hr-HR" w:eastAsia="hr-HR" w:bidi="hr-HR"/>
        </w:rPr>
        <w:t>u Rimu</w:t>
      </w:r>
    </w:p>
    <w:p>
      <w:pPr>
        <w:pStyle w:val="Style49"/>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val="0"/>
          <w:bCs w:val="0"/>
          <w:color w:val="000000"/>
          <w:spacing w:val="0"/>
          <w:w w:val="100"/>
          <w:position w:val="0"/>
          <w:sz w:val="12"/>
          <w:szCs w:val="12"/>
          <w:shd w:val="clear" w:color="auto" w:fill="auto"/>
          <w:lang w:val="hr-HR" w:eastAsia="hr-HR" w:bidi="hr-HR"/>
        </w:rPr>
        <w:t>pos. Kr.</w:t>
      </w:r>
    </w:p>
    <w:tbl>
      <w:tblPr>
        <w:tblOverlap w:val="never"/>
        <w:jc w:val="center"/>
        <w:tblLayout w:type="fixed"/>
      </w:tblPr>
      <w:tblGrid>
        <w:gridCol w:w="782"/>
        <w:gridCol w:w="1229"/>
      </w:tblGrid>
      <w:tr>
        <w:trPr>
          <w:trHeight w:val="437"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66.-74.</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Ustanak protiv Rimljana. 1. židovski rat</w:t>
            </w:r>
          </w:p>
        </w:tc>
      </w:tr>
      <w:tr>
        <w:trPr>
          <w:trHeight w:val="34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Pad Jeruzalema, razorcnjc Hrama</w:t>
            </w:r>
          </w:p>
        </w:tc>
      </w:tr>
      <w:tr>
        <w:trPr>
          <w:trHeight w:val="85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oku 70.-200.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140" w:right="0" w:firstLine="0"/>
              <w:jc w:val="left"/>
              <w:rPr>
                <w:sz w:val="12"/>
                <w:szCs w:val="12"/>
              </w:rPr>
            </w:pPr>
            <w:r>
              <w:rPr>
                <w:rFonts w:ascii="Arial" w:eastAsia="Arial" w:hAnsi="Arial" w:cs="Arial"/>
                <w:i/>
                <w:iCs/>
                <w:color w:val="000000"/>
                <w:spacing w:val="0"/>
                <w:w w:val="100"/>
                <w:position w:val="0"/>
                <w:sz w:val="12"/>
                <w:szCs w:val="12"/>
                <w:shd w:val="clear" w:color="auto" w:fill="auto"/>
                <w:lang w:val="hr-HR" w:eastAsia="hr-HR" w:bidi="hr-HR"/>
              </w:rPr>
              <w:t>Doba Misne.</w:t>
            </w:r>
            <w:r>
              <w:rPr>
                <w:rFonts w:ascii="Arial" w:eastAsia="Arial" w:hAnsi="Arial" w:cs="Arial"/>
                <w:color w:val="000000"/>
                <w:spacing w:val="0"/>
                <w:w w:val="100"/>
                <w:position w:val="0"/>
                <w:sz w:val="12"/>
                <w:szCs w:val="12"/>
                <w:shd w:val="clear" w:color="auto" w:fill="auto"/>
                <w:lang w:val="hr-HR" w:eastAsia="hr-HR" w:bidi="hr-HR"/>
              </w:rPr>
              <w:t xml:space="preserve"> Njihovi pismoz.nanci: </w:t>
            </w:r>
            <w:r>
              <w:rPr>
                <w:rFonts w:ascii="Arial" w:eastAsia="Arial" w:hAnsi="Arial" w:cs="Arial"/>
                <w:i/>
                <w:iCs/>
                <w:color w:val="000000"/>
                <w:spacing w:val="0"/>
                <w:w w:val="100"/>
                <w:position w:val="0"/>
                <w:sz w:val="12"/>
                <w:szCs w:val="12"/>
                <w:shd w:val="clear" w:color="auto" w:fill="auto"/>
                <w:lang w:val="hr-HR" w:eastAsia="hr-HR" w:bidi="hr-HR"/>
              </w:rPr>
              <w:t xml:space="preserve">lanaili. </w:t>
            </w:r>
            <w:r>
              <w:rPr>
                <w:rFonts w:ascii="Arial" w:eastAsia="Arial" w:hAnsi="Arial" w:cs="Arial"/>
                <w:color w:val="000000"/>
                <w:spacing w:val="0"/>
                <w:w w:val="100"/>
                <w:position w:val="0"/>
                <w:sz w:val="12"/>
                <w:szCs w:val="12"/>
                <w:shd w:val="clear" w:color="auto" w:fill="auto"/>
                <w:lang w:val="hr-HR" w:eastAsia="hr-HR" w:bidi="hr-HR"/>
              </w:rPr>
              <w:t>početak Hilclovc i šamajeve škole; Misna sadrži njihov nauk</w:t>
            </w:r>
          </w:p>
        </w:tc>
      </w:tr>
    </w:tbl>
    <w:p>
      <w:pPr>
        <w:sectPr>
          <w:footnotePr>
            <w:pos w:val="pageBottom"/>
            <w:numFmt w:val="decimal"/>
            <w:numRestart w:val="continuous"/>
            <w15:footnoteColumns w:val="1"/>
          </w:footnotePr>
          <w:type w:val="continuous"/>
          <w:pgSz w:w="5846" w:h="11002"/>
          <w:pgMar w:top="1286" w:left="202" w:right="3629" w:bottom="729" w:header="0" w:footer="3" w:gutter="0"/>
          <w:cols w:space="720"/>
          <w:noEndnote/>
          <w:rtlGutter w:val="0"/>
          <w:docGrid w:linePitch="360"/>
        </w:sectPr>
      </w:pPr>
    </w:p>
    <w:tbl>
      <w:tblPr>
        <w:tblOverlap w:val="never"/>
        <w:jc w:val="left"/>
        <w:tblLayout w:type="fixed"/>
      </w:tblPr>
      <w:tblGrid>
        <w:gridCol w:w="816"/>
        <w:gridCol w:w="1258"/>
      </w:tblGrid>
      <w:tr>
        <w:trPr>
          <w:trHeight w:val="451" w:hRule="exact"/>
        </w:trPr>
        <w:tc>
          <w:tcPr>
            <w:tcBorders>
              <w:top w:val="single" w:sz="4"/>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70.-135.</w:t>
            </w:r>
          </w:p>
        </w:tc>
        <w:tc>
          <w:tcPr>
            <w:tcBorders>
              <w:top w:val="single" w:sz="4"/>
              <w:right w:val="single" w:sz="4"/>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Javne (Jamnija): Centar rab židovstva: Johanan ben Za kaj</w:t>
            </w:r>
          </w:p>
        </w:tc>
      </w:tr>
      <w:tr>
        <w:trPr>
          <w:trHeight w:val="461" w:hRule="exact"/>
        </w:trPr>
        <w:tc>
          <w:tcPr>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132.-135</w:t>
            </w:r>
          </w:p>
        </w:tc>
        <w:tc>
          <w:tcPr>
            <w:tcBorders>
              <w:right w:val="single" w:sz="4"/>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Ustanak Bar Kohbe. Smaknuće Rabi Akivc 135.</w:t>
            </w:r>
          </w:p>
        </w:tc>
      </w:tr>
      <w:tr>
        <w:trPr>
          <w:trHeight w:val="475" w:hRule="exact"/>
        </w:trPr>
        <w:tc>
          <w:tcPr>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11. St</w:t>
            </w:r>
          </w:p>
        </w:tc>
        <w:tc>
          <w:tcPr>
            <w:tcBorders>
              <w:right w:val="single" w:sz="4"/>
            </w:tcBorders>
            <w:shd w:val="clear" w:color="auto" w:fill="FFFFFF"/>
            <w:vAlign w:val="bottom"/>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Stvaranje kanona</w:t>
            </w:r>
          </w:p>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3. dijela Biblije; Kctuvim (Spisi)</w:t>
            </w:r>
          </w:p>
        </w:tc>
      </w:tr>
      <w:tr>
        <w:trPr>
          <w:trHeight w:val="470" w:hRule="exact"/>
        </w:trPr>
        <w:tc>
          <w:tcPr>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210.</w:t>
            </w:r>
          </w:p>
        </w:tc>
        <w:tc>
          <w:tcPr>
            <w:tcBorders>
              <w:right w:val="single" w:sz="4"/>
            </w:tcBorders>
            <w:shd w:val="clear" w:color="auto" w:fill="FFFFFF"/>
            <w:vAlign w:val="bottom"/>
          </w:tcPr>
          <w:p>
            <w:pPr>
              <w:pStyle w:val="Style7"/>
              <w:keepNext w:val="0"/>
              <w:keepLines w:val="0"/>
              <w:framePr w:w="2074" w:h="8184" w:wrap="none" w:hAnchor="page" w:x="179" w:y="16"/>
              <w:widowControl w:val="0"/>
              <w:shd w:val="clear" w:color="auto" w:fill="auto"/>
              <w:bidi w:val="0"/>
              <w:spacing w:before="0" w:after="0" w:line="266" w:lineRule="auto"/>
              <w:ind w:left="0" w:right="0" w:firstLine="0"/>
              <w:jc w:val="left"/>
              <w:rPr>
                <w:sz w:val="12"/>
                <w:szCs w:val="12"/>
              </w:rPr>
            </w:pPr>
            <w:r>
              <w:rPr>
                <w:rFonts w:ascii="Arial" w:eastAsia="Arial" w:hAnsi="Arial" w:cs="Arial"/>
                <w:b/>
                <w:bCs/>
                <w:i/>
                <w:iCs/>
                <w:color w:val="000000"/>
                <w:spacing w:val="0"/>
                <w:w w:val="100"/>
                <w:position w:val="0"/>
                <w:sz w:val="9"/>
                <w:szCs w:val="9"/>
                <w:shd w:val="clear" w:color="auto" w:fill="auto"/>
                <w:lang w:val="hr-HR" w:eastAsia="hr-HR" w:bidi="hr-HR"/>
              </w:rPr>
              <w:t xml:space="preserve">Redakcija Misne </w:t>
            </w:r>
            <w:r>
              <w:rPr>
                <w:rFonts w:ascii="Arial" w:eastAsia="Arial" w:hAnsi="Arial" w:cs="Arial"/>
                <w:color w:val="000000"/>
                <w:spacing w:val="0"/>
                <w:w w:val="100"/>
                <w:position w:val="0"/>
                <w:sz w:val="12"/>
                <w:szCs w:val="12"/>
                <w:shd w:val="clear" w:color="auto" w:fill="auto"/>
                <w:lang w:val="hr-HR" w:eastAsia="hr-HR" w:bidi="hr-HR"/>
              </w:rPr>
              <w:t>Redaktor Jchuda</w:t>
            </w:r>
          </w:p>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ha-Nasi</w:t>
            </w:r>
          </w:p>
        </w:tc>
      </w:tr>
      <w:tr>
        <w:trPr>
          <w:trHeight w:val="1944" w:hRule="exact"/>
        </w:trPr>
        <w:tc>
          <w:tcPr>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2(X).-600.</w:t>
            </w:r>
          </w:p>
        </w:tc>
        <w:tc>
          <w:tcPr>
            <w:tcBorders>
              <w:right w:val="single" w:sz="4"/>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ind w:left="0" w:right="0" w:firstLine="0"/>
              <w:jc w:val="left"/>
              <w:rPr>
                <w:sz w:val="12"/>
                <w:szCs w:val="12"/>
              </w:rPr>
            </w:pPr>
            <w:r>
              <w:rPr>
                <w:rFonts w:ascii="Arial" w:eastAsia="Arial" w:hAnsi="Arial" w:cs="Arial"/>
                <w:b/>
                <w:bCs/>
                <w:i/>
                <w:iCs/>
                <w:color w:val="000000"/>
                <w:spacing w:val="0"/>
                <w:w w:val="100"/>
                <w:position w:val="0"/>
                <w:sz w:val="9"/>
                <w:szCs w:val="9"/>
                <w:shd w:val="clear" w:color="auto" w:fill="auto"/>
                <w:lang w:val="hr-HR" w:eastAsia="hr-HR" w:bidi="hr-HR"/>
              </w:rPr>
              <w:t xml:space="preserve">Talmudsko doba. </w:t>
            </w:r>
            <w:r>
              <w:rPr>
                <w:rFonts w:ascii="Arial" w:eastAsia="Arial" w:hAnsi="Arial" w:cs="Arial"/>
                <w:color w:val="000000"/>
                <w:spacing w:val="0"/>
                <w:w w:val="100"/>
                <w:position w:val="0"/>
                <w:sz w:val="12"/>
                <w:szCs w:val="12"/>
                <w:shd w:val="clear" w:color="auto" w:fill="auto"/>
                <w:lang w:val="hr-HR" w:eastAsia="hr-HR" w:bidi="hr-HR"/>
              </w:rPr>
              <w:t xml:space="preserve">Njihovi učenjaci </w:t>
            </w:r>
            <w:r>
              <w:rPr>
                <w:rFonts w:ascii="Arial" w:eastAsia="Arial" w:hAnsi="Arial" w:cs="Arial"/>
                <w:b/>
                <w:bCs/>
                <w:i/>
                <w:iCs/>
                <w:color w:val="000000"/>
                <w:spacing w:val="0"/>
                <w:w w:val="100"/>
                <w:position w:val="0"/>
                <w:sz w:val="9"/>
                <w:szCs w:val="9"/>
                <w:shd w:val="clear" w:color="auto" w:fill="auto"/>
                <w:lang w:val="hr-HR" w:eastAsia="hr-HR" w:bidi="hr-HR"/>
              </w:rPr>
              <w:t xml:space="preserve">amore: Gemara </w:t>
            </w:r>
            <w:r>
              <w:rPr>
                <w:rFonts w:ascii="Arial" w:eastAsia="Arial" w:hAnsi="Arial" w:cs="Arial"/>
                <w:color w:val="000000"/>
                <w:spacing w:val="0"/>
                <w:w w:val="100"/>
                <w:position w:val="0"/>
                <w:sz w:val="12"/>
                <w:szCs w:val="12"/>
                <w:shd w:val="clear" w:color="auto" w:fill="auto"/>
                <w:lang w:val="hr-HR" w:eastAsia="hr-HR" w:bidi="hr-HR"/>
              </w:rPr>
              <w:t xml:space="preserve">sadrži njihove rasprave i objašnjenja. Misna i Gemara daju </w:t>
            </w:r>
            <w:r>
              <w:rPr>
                <w:rFonts w:ascii="Arial" w:eastAsia="Arial" w:hAnsi="Arial" w:cs="Arial"/>
                <w:color w:val="000000"/>
                <w:spacing w:val="0"/>
                <w:w w:val="100"/>
                <w:position w:val="0"/>
                <w:sz w:val="12"/>
                <w:szCs w:val="12"/>
                <w:shd w:val="clear" w:color="auto" w:fill="auto"/>
                <w:lang w:val="en-US" w:eastAsia="en-US" w:bidi="en-US"/>
              </w:rPr>
              <w:t>Talmud</w:t>
            </w:r>
          </w:p>
        </w:tc>
      </w:tr>
      <w:tr>
        <w:trPr>
          <w:trHeight w:val="1522" w:hRule="exact"/>
        </w:trPr>
        <w:tc>
          <w:tcPr>
            <w:tcBorders/>
            <w:shd w:val="clear" w:color="auto" w:fill="FFFFFF"/>
            <w:vAlign w:val="center"/>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39(1.</w:t>
            </w:r>
          </w:p>
        </w:tc>
        <w:tc>
          <w:tcPr>
            <w:tcBorders>
              <w:right w:val="single" w:sz="4"/>
            </w:tcBorders>
            <w:shd w:val="clear" w:color="auto" w:fill="FFFFFF"/>
            <w:vAlign w:val="bottom"/>
          </w:tcPr>
          <w:p>
            <w:pPr>
              <w:pStyle w:val="Style7"/>
              <w:keepNext w:val="0"/>
              <w:keepLines w:val="0"/>
              <w:framePr w:w="2074" w:h="8184" w:wrap="none" w:hAnchor="page" w:x="179" w:y="16"/>
              <w:widowControl w:val="0"/>
              <w:shd w:val="clear" w:color="auto" w:fill="auto"/>
              <w:bidi w:val="0"/>
              <w:spacing w:before="0" w:after="0" w:line="257" w:lineRule="auto"/>
              <w:ind w:left="0" w:right="0" w:firstLine="0"/>
              <w:jc w:val="left"/>
              <w:rPr>
                <w:sz w:val="12"/>
                <w:szCs w:val="12"/>
              </w:rPr>
            </w:pPr>
            <w:r>
              <w:rPr>
                <w:rFonts w:ascii="Arial" w:eastAsia="Arial" w:hAnsi="Arial" w:cs="Arial"/>
                <w:b/>
                <w:bCs/>
                <w:i/>
                <w:iCs/>
                <w:color w:val="000000"/>
                <w:spacing w:val="0"/>
                <w:w w:val="100"/>
                <w:position w:val="0"/>
                <w:sz w:val="9"/>
                <w:szCs w:val="9"/>
                <w:shd w:val="clear" w:color="auto" w:fill="auto"/>
                <w:lang w:val="hr-HR" w:eastAsia="hr-HR" w:bidi="hr-HR"/>
              </w:rPr>
              <w:t xml:space="preserve">Jeruzalemski </w:t>
            </w:r>
            <w:r>
              <w:rPr>
                <w:rFonts w:ascii="Arial" w:eastAsia="Arial" w:hAnsi="Arial" w:cs="Arial"/>
                <w:b/>
                <w:bCs/>
                <w:i/>
                <w:iCs/>
                <w:color w:val="000000"/>
                <w:spacing w:val="0"/>
                <w:w w:val="100"/>
                <w:position w:val="0"/>
                <w:sz w:val="9"/>
                <w:szCs w:val="9"/>
                <w:shd w:val="clear" w:color="auto" w:fill="auto"/>
                <w:lang w:val="en-US" w:eastAsia="en-US" w:bidi="en-US"/>
              </w:rPr>
              <w:t xml:space="preserve">Talmud: </w:t>
            </w:r>
            <w:r>
              <w:rPr>
                <w:rFonts w:ascii="Arial" w:eastAsia="Arial" w:hAnsi="Arial" w:cs="Arial"/>
                <w:color w:val="000000"/>
                <w:spacing w:val="0"/>
                <w:w w:val="100"/>
                <w:position w:val="0"/>
                <w:sz w:val="12"/>
                <w:szCs w:val="12"/>
                <w:shd w:val="clear" w:color="auto" w:fill="auto"/>
                <w:lang w:val="hr-HR" w:eastAsia="hr-HR" w:bidi="hr-HR"/>
              </w:rPr>
              <w:t>zbirka tradicijskog materijala u školama Tibenjadc. Cczarcjc i Seforide</w:t>
            </w:r>
          </w:p>
        </w:tc>
      </w:tr>
      <w:tr>
        <w:trPr>
          <w:trHeight w:val="1248" w:hRule="exact"/>
        </w:trPr>
        <w:tc>
          <w:tcPr>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425.</w:t>
            </w:r>
          </w:p>
        </w:tc>
        <w:tc>
          <w:tcPr>
            <w:tcBorders>
              <w:right w:val="single" w:sz="4"/>
            </w:tcBorders>
            <w:shd w:val="clear" w:color="auto" w:fill="FFFFFF"/>
            <w:vAlign w:val="top"/>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Konac patrijarhata. Vrhovno tijelo žiđ. samouprave </w:t>
            </w:r>
            <w:r>
              <w:rPr>
                <w:rFonts w:ascii="Arial" w:eastAsia="Arial" w:hAnsi="Arial" w:cs="Arial"/>
                <w:color w:val="000000"/>
                <w:spacing w:val="0"/>
                <w:w w:val="100"/>
                <w:position w:val="0"/>
                <w:sz w:val="12"/>
                <w:szCs w:val="12"/>
                <w:shd w:val="clear" w:color="auto" w:fill="auto"/>
                <w:lang w:val="en-US" w:eastAsia="en-US" w:bidi="en-US"/>
              </w:rPr>
              <w:t xml:space="preserve">(Sanhedrin, </w:t>
            </w:r>
            <w:r>
              <w:rPr>
                <w:rFonts w:ascii="Arial" w:eastAsia="Arial" w:hAnsi="Arial" w:cs="Arial"/>
                <w:color w:val="000000"/>
                <w:spacing w:val="0"/>
                <w:w w:val="100"/>
                <w:position w:val="0"/>
                <w:sz w:val="12"/>
                <w:szCs w:val="12"/>
                <w:shd w:val="clear" w:color="auto" w:fill="auto"/>
                <w:lang w:val="hr-HR" w:eastAsia="hr-HR" w:bidi="hr-HR"/>
              </w:rPr>
              <w:t>stnedtij)</w:t>
            </w:r>
          </w:p>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gubi značenje</w:t>
            </w:r>
          </w:p>
        </w:tc>
      </w:tr>
      <w:tr>
        <w:trPr>
          <w:trHeight w:val="1613" w:hRule="exact"/>
        </w:trPr>
        <w:tc>
          <w:tcPr>
            <w:tcBorders/>
            <w:shd w:val="clear" w:color="auto" w:fill="FFFFFF"/>
            <w:vAlign w:val="center"/>
          </w:tcPr>
          <w:p>
            <w:pPr>
              <w:pStyle w:val="Style7"/>
              <w:keepNext w:val="0"/>
              <w:keepLines w:val="0"/>
              <w:framePr w:w="2074" w:h="8184" w:wrap="none" w:hAnchor="page" w:x="179" w:y="16"/>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499.</w:t>
            </w:r>
          </w:p>
        </w:tc>
        <w:tc>
          <w:tcPr>
            <w:tcBorders>
              <w:right w:val="single" w:sz="4"/>
            </w:tcBorders>
            <w:shd w:val="clear" w:color="auto" w:fill="FFFFFF"/>
            <w:vAlign w:val="bottom"/>
          </w:tcPr>
          <w:p>
            <w:pPr>
              <w:pStyle w:val="Style7"/>
              <w:keepNext w:val="0"/>
              <w:keepLines w:val="0"/>
              <w:framePr w:w="2074" w:h="8184" w:wrap="none" w:hAnchor="page" w:x="179" w:y="16"/>
              <w:widowControl w:val="0"/>
              <w:shd w:val="clear" w:color="auto" w:fill="auto"/>
              <w:bidi w:val="0"/>
              <w:spacing w:before="0" w:after="0" w:line="262" w:lineRule="auto"/>
              <w:ind w:left="0" w:right="0" w:firstLine="0"/>
              <w:jc w:val="left"/>
              <w:rPr>
                <w:sz w:val="12"/>
                <w:szCs w:val="12"/>
              </w:rPr>
            </w:pPr>
            <w:r>
              <w:rPr>
                <w:rFonts w:ascii="Arial" w:eastAsia="Arial" w:hAnsi="Arial" w:cs="Arial"/>
                <w:b/>
                <w:bCs/>
                <w:i/>
                <w:iCs/>
                <w:color w:val="000000"/>
                <w:spacing w:val="0"/>
                <w:w w:val="100"/>
                <w:position w:val="0"/>
                <w:sz w:val="9"/>
                <w:szCs w:val="9"/>
                <w:shd w:val="clear" w:color="auto" w:fill="auto"/>
                <w:lang w:val="hr-HR" w:eastAsia="hr-HR" w:bidi="hr-HR"/>
              </w:rPr>
              <w:t xml:space="preserve">Babilonski </w:t>
            </w:r>
            <w:r>
              <w:rPr>
                <w:rFonts w:ascii="Arial" w:eastAsia="Arial" w:hAnsi="Arial" w:cs="Arial"/>
                <w:b/>
                <w:bCs/>
                <w:i/>
                <w:iCs/>
                <w:color w:val="000000"/>
                <w:spacing w:val="0"/>
                <w:w w:val="100"/>
                <w:position w:val="0"/>
                <w:sz w:val="9"/>
                <w:szCs w:val="9"/>
                <w:shd w:val="clear" w:color="auto" w:fill="auto"/>
                <w:lang w:val="en-US" w:eastAsia="en-US" w:bidi="en-US"/>
              </w:rPr>
              <w:t xml:space="preserve">Talmud: </w:t>
            </w:r>
            <w:r>
              <w:rPr>
                <w:rFonts w:ascii="Arial" w:eastAsia="Arial" w:hAnsi="Arial" w:cs="Arial"/>
                <w:b/>
                <w:bCs/>
                <w:i/>
                <w:iCs/>
                <w:color w:val="000000"/>
                <w:spacing w:val="0"/>
                <w:w w:val="100"/>
                <w:position w:val="0"/>
                <w:sz w:val="9"/>
                <w:szCs w:val="9"/>
                <w:shd w:val="clear" w:color="auto" w:fill="auto"/>
                <w:lang w:val="hr-HR" w:eastAsia="hr-HR" w:bidi="hr-HR"/>
              </w:rPr>
              <w:t>Sabore</w:t>
            </w:r>
            <w:r>
              <w:rPr>
                <w:rFonts w:ascii="Arial" w:eastAsia="Arial" w:hAnsi="Arial" w:cs="Arial"/>
                <w:color w:val="000000"/>
                <w:spacing w:val="0"/>
                <w:w w:val="100"/>
                <w:position w:val="0"/>
                <w:sz w:val="12"/>
                <w:szCs w:val="12"/>
                <w:shd w:val="clear" w:color="auto" w:fill="auto"/>
                <w:lang w:val="hr-HR" w:eastAsia="hr-HR" w:bidi="hr-HR"/>
              </w:rPr>
              <w:t xml:space="preserve"> (nasljednici amora) razvijaju i tradicijski prenose, uspoređuju tekstove i dovršavaju redakciju u školama Nehardejc. Pumbedite i Sure</w:t>
            </w:r>
          </w:p>
        </w:tc>
      </w:tr>
    </w:tbl>
    <w:p>
      <w:pPr>
        <w:framePr w:w="2074" w:h="8184" w:wrap="none" w:hAnchor="page" w:x="179" w:y="16"/>
        <w:widowControl w:val="0"/>
        <w:spacing w:line="1" w:lineRule="exact"/>
      </w:pPr>
    </w:p>
    <w:tbl>
      <w:tblPr>
        <w:tblOverlap w:val="never"/>
        <w:jc w:val="left"/>
        <w:tblLayout w:type="fixed"/>
      </w:tblPr>
      <w:tblGrid>
        <w:gridCol w:w="787"/>
        <w:gridCol w:w="1325"/>
      </w:tblGrid>
      <w:tr>
        <w:trPr>
          <w:trHeight w:val="187" w:hRule="exact"/>
        </w:trPr>
        <w:tc>
          <w:tcPr>
            <w:gridSpan w:val="2"/>
            <w:tcBorders>
              <w:left w:val="single" w:sz="4"/>
              <w:righ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2.</w:t>
            </w:r>
            <w:r>
              <w:rPr>
                <w:rFonts w:ascii="Arial" w:eastAsia="Arial" w:hAnsi="Arial" w:cs="Arial"/>
                <w:color w:val="000000"/>
                <w:spacing w:val="0"/>
                <w:w w:val="100"/>
                <w:position w:val="0"/>
                <w:sz w:val="13"/>
                <w:szCs w:val="13"/>
                <w:shd w:val="clear" w:color="auto" w:fill="auto"/>
                <w:lang w:val="hr-HR" w:eastAsia="hr-HR" w:bidi="hr-HR"/>
              </w:rPr>
              <w:t xml:space="preserve"> kršćanstvo</w:t>
            </w:r>
          </w:p>
        </w:tc>
      </w:tr>
      <w:tr>
        <w:trPr>
          <w:trHeight w:val="2179" w:hRule="exact"/>
        </w:trPr>
        <w:tc>
          <w:tcPr>
            <w:tcBorders>
              <w:top w:val="single" w:sz="4"/>
              <w:lef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320" w:after="80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100.</w:t>
            </w:r>
          </w:p>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1.53.</w:t>
            </w:r>
          </w:p>
        </w:tc>
        <w:tc>
          <w:tcPr>
            <w:tcBorders>
              <w:top w:val="single" w:sz="4"/>
              <w:righ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340" w:after="680" w:line="226"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Smrt evanđelista Ivana</w:t>
            </w:r>
          </w:p>
          <w:p>
            <w:pPr>
              <w:pStyle w:val="Style7"/>
              <w:keepNext w:val="0"/>
              <w:keepLines w:val="0"/>
              <w:framePr w:w="2112" w:h="7282" w:wrap="none" w:hAnchor="page" w:x="2286" w:y="-224"/>
              <w:widowControl w:val="0"/>
              <w:shd w:val="clear" w:color="auto" w:fill="auto"/>
              <w:bidi w:val="0"/>
              <w:spacing w:before="0" w:after="0" w:line="226"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Svršetak nastajanja NZ</w:t>
            </w:r>
          </w:p>
        </w:tc>
      </w:tr>
      <w:tr>
        <w:trPr>
          <w:trHeight w:val="922" w:hRule="exact"/>
        </w:trPr>
        <w:tc>
          <w:tcPr>
            <w:tcBorders>
              <w:left w:val="single" w:sz="4"/>
            </w:tcBorders>
            <w:shd w:val="clear" w:color="auto" w:fill="FFFFFF"/>
            <w:vAlign w:val="bottom"/>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Ul./lV. si.</w:t>
            </w:r>
          </w:p>
        </w:tc>
        <w:tc>
          <w:tcPr>
            <w:tcBorders>
              <w:right w:val="single" w:sz="4"/>
            </w:tcBorders>
            <w:shd w:val="clear" w:color="auto" w:fill="FFFFFF"/>
            <w:vAlign w:val="bottom"/>
          </w:tcPr>
          <w:p>
            <w:pPr>
              <w:pStyle w:val="Style7"/>
              <w:keepNext w:val="0"/>
              <w:keepLines w:val="0"/>
              <w:framePr w:w="2112" w:h="7282" w:wrap="none" w:hAnchor="page" w:x="2286" w:y="-224"/>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Veliki progoni kršćana</w:t>
            </w:r>
          </w:p>
        </w:tc>
      </w:tr>
      <w:tr>
        <w:trPr>
          <w:trHeight w:val="619" w:hRule="exact"/>
        </w:trPr>
        <w:tc>
          <w:tcPr>
            <w:tcBorders>
              <w:lef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313.</w:t>
            </w:r>
          </w:p>
        </w:tc>
        <w:tc>
          <w:tcPr>
            <w:tcBorders>
              <w:right w:val="single" w:sz="4"/>
            </w:tcBorders>
            <w:shd w:val="clear" w:color="auto" w:fill="FFFFFF"/>
            <w:vAlign w:val="bottom"/>
          </w:tcPr>
          <w:p>
            <w:pPr>
              <w:pStyle w:val="Style7"/>
              <w:keepNext w:val="0"/>
              <w:keepLines w:val="0"/>
              <w:framePr w:w="2112" w:h="7282" w:wrap="none" w:hAnchor="page" w:x="2286" w:y="-224"/>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Milanski edikr cara Konstantina; kršćanstvo dopuštena religija</w:t>
            </w:r>
          </w:p>
        </w:tc>
      </w:tr>
      <w:tr>
        <w:trPr>
          <w:trHeight w:val="336" w:hRule="exact"/>
        </w:trPr>
        <w:tc>
          <w:tcPr>
            <w:tcBorders>
              <w:lef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325</w:t>
            </w:r>
          </w:p>
        </w:tc>
        <w:tc>
          <w:tcPr>
            <w:tcBorders>
              <w:righ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14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Prvi ekumenski koncil u Niccji</w:t>
            </w:r>
          </w:p>
        </w:tc>
      </w:tr>
      <w:tr>
        <w:trPr>
          <w:trHeight w:val="475" w:hRule="exact"/>
        </w:trPr>
        <w:tc>
          <w:tcPr>
            <w:tcBorders>
              <w:lef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380.</w:t>
            </w:r>
          </w:p>
        </w:tc>
        <w:tc>
          <w:tcPr>
            <w:tcBorders>
              <w:righ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F.dikt cara </w:t>
            </w:r>
            <w:r>
              <w:rPr>
                <w:rFonts w:ascii="Arial" w:eastAsia="Arial" w:hAnsi="Arial" w:cs="Arial"/>
                <w:color w:val="000000"/>
                <w:spacing w:val="0"/>
                <w:w w:val="100"/>
                <w:position w:val="0"/>
                <w:sz w:val="12"/>
                <w:szCs w:val="12"/>
                <w:shd w:val="clear" w:color="auto" w:fill="auto"/>
                <w:lang w:val="en-US" w:eastAsia="en-US" w:bidi="en-US"/>
              </w:rPr>
              <w:t xml:space="preserve">Tcixlozija: </w:t>
            </w:r>
            <w:r>
              <w:rPr>
                <w:rFonts w:ascii="Arial" w:eastAsia="Arial" w:hAnsi="Arial" w:cs="Arial"/>
                <w:color w:val="000000"/>
                <w:spacing w:val="0"/>
                <w:w w:val="100"/>
                <w:position w:val="0"/>
                <w:sz w:val="12"/>
                <w:szCs w:val="12"/>
                <w:shd w:val="clear" w:color="auto" w:fill="auto"/>
                <w:lang w:val="hr-HR" w:eastAsia="hr-HR" w:bidi="hr-HR"/>
              </w:rPr>
              <w:t>kršćanstvo državna religija</w:t>
            </w:r>
          </w:p>
        </w:tc>
      </w:tr>
      <w:tr>
        <w:trPr>
          <w:trHeight w:val="850" w:hRule="exact"/>
        </w:trPr>
        <w:tc>
          <w:tcPr>
            <w:tcBorders>
              <w:lef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354.-430.</w:t>
            </w:r>
          </w:p>
        </w:tc>
        <w:tc>
          <w:tcPr>
            <w:tcBorders>
              <w:righ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?\ugustin</w:t>
            </w:r>
          </w:p>
        </w:tc>
      </w:tr>
      <w:tr>
        <w:trPr>
          <w:trHeight w:val="1267" w:hRule="exact"/>
        </w:trPr>
        <w:tc>
          <w:tcPr>
            <w:tcBorders>
              <w:left w:val="single" w:sz="4"/>
            </w:tcBorders>
            <w:shd w:val="clear" w:color="auto" w:fill="FFFFFF"/>
            <w:vAlign w:val="center"/>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451</w:t>
            </w:r>
          </w:p>
        </w:tc>
        <w:tc>
          <w:tcPr>
            <w:tcBorders>
              <w:right w:val="single" w:sz="4"/>
            </w:tcBorders>
            <w:shd w:val="clear" w:color="auto" w:fill="FFFFFF"/>
            <w:vAlign w:val="bottom"/>
          </w:tcPr>
          <w:p>
            <w:pPr>
              <w:pStyle w:val="Style7"/>
              <w:keepNext w:val="0"/>
              <w:keepLines w:val="0"/>
              <w:framePr w:w="2112" w:h="7282" w:wrap="none" w:hAnchor="page" w:x="2286" w:y="-224"/>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Četvrti ekumenski koncil u Kaleedonu. Krist prav: Bog i pravi čovjek</w:t>
            </w:r>
          </w:p>
        </w:tc>
      </w:tr>
      <w:tr>
        <w:trPr>
          <w:trHeight w:val="446" w:hRule="exact"/>
        </w:trPr>
        <w:tc>
          <w:tcPr>
            <w:tcBorders>
              <w:left w:val="single" w:sz="4"/>
            </w:tcBorders>
            <w:shd w:val="clear" w:color="auto" w:fill="FFFFFF"/>
            <w:vAlign w:val="top"/>
          </w:tcPr>
          <w:p>
            <w:pPr>
              <w:pStyle w:val="Style7"/>
              <w:keepNext w:val="0"/>
              <w:keepLines w:val="0"/>
              <w:framePr w:w="2112" w:h="7282" w:wrap="none" w:hAnchor="page" w:x="2286" w:y="-224"/>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480.-547.</w:t>
            </w:r>
          </w:p>
        </w:tc>
        <w:tc>
          <w:tcPr>
            <w:tcBorders>
              <w:right w:val="single" w:sz="4"/>
            </w:tcBorders>
            <w:shd w:val="clear" w:color="auto" w:fill="FFFFFF"/>
            <w:vAlign w:val="bottom"/>
          </w:tcPr>
          <w:p>
            <w:pPr>
              <w:pStyle w:val="Style7"/>
              <w:keepNext w:val="0"/>
              <w:keepLines w:val="0"/>
              <w:framePr w:w="2112" w:h="7282" w:wrap="none" w:hAnchor="page" w:x="2286" w:y="-224"/>
              <w:widowControl w:val="0"/>
              <w:shd w:val="clear" w:color="auto" w:fill="auto"/>
              <w:bidi w:val="0"/>
              <w:spacing w:before="0" w:after="0" w:line="240" w:lineRule="auto"/>
              <w:ind w:left="14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Benedikt Nursijski, utemeljitelj zapadnog</w:t>
            </w:r>
          </w:p>
          <w:p>
            <w:pPr>
              <w:pStyle w:val="Style7"/>
              <w:keepNext w:val="0"/>
              <w:keepLines w:val="0"/>
              <w:framePr w:w="2112" w:h="7282" w:wrap="none" w:hAnchor="page" w:x="2286" w:y="-224"/>
              <w:widowControl w:val="0"/>
              <w:shd w:val="clear" w:color="auto" w:fill="auto"/>
              <w:bidi w:val="0"/>
              <w:spacing w:before="0" w:after="0" w:line="240" w:lineRule="auto"/>
              <w:ind w:left="1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mona.štva</w:t>
            </w:r>
          </w:p>
        </w:tc>
      </w:tr>
    </w:tbl>
    <w:p>
      <w:pPr>
        <w:framePr w:w="2112" w:h="7282" w:wrap="none" w:hAnchor="page" w:x="2286" w:y="-224"/>
        <w:widowControl w:val="0"/>
        <w:spacing w:line="1" w:lineRule="exact"/>
      </w:pPr>
    </w:p>
    <w:p>
      <w:pPr>
        <w:pStyle w:val="Style56"/>
        <w:keepNext w:val="0"/>
        <w:keepLines w:val="0"/>
        <w:framePr w:w="528" w:h="187" w:wrap="none" w:hAnchor="page" w:x="5180" w:y="-229"/>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3. islam</w:t>
      </w:r>
    </w:p>
    <w:p>
      <w:pPr>
        <w:pStyle w:val="Style56"/>
        <w:keepNext w:val="0"/>
        <w:keepLines w:val="0"/>
        <w:framePr w:w="816" w:h="197" w:wrap="none" w:hAnchor="page" w:x="174" w:y="844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Srednji vijek</w:t>
      </w:r>
    </w:p>
    <w:p>
      <w:pPr>
        <w:pStyle w:val="Style56"/>
        <w:keepNext w:val="0"/>
        <w:keepLines w:val="0"/>
        <w:framePr w:w="485" w:h="365" w:wrap="none" w:hAnchor="page" w:x="4393" w:y="8383"/>
        <w:widowControl w:val="0"/>
        <w:shd w:val="clear" w:color="auto" w:fill="auto"/>
        <w:bidi w:val="0"/>
        <w:spacing w:before="0" w:after="40" w:line="240" w:lineRule="auto"/>
        <w:ind w:left="0" w:right="0" w:firstLine="0"/>
        <w:jc w:val="left"/>
      </w:pPr>
      <w:r>
        <w:rPr>
          <w:color w:val="000000"/>
          <w:spacing w:val="0"/>
          <w:w w:val="100"/>
          <w:position w:val="0"/>
          <w:shd w:val="clear" w:color="auto" w:fill="auto"/>
          <w:lang w:val="hr-HR" w:eastAsia="hr-HR" w:bidi="hr-HR"/>
        </w:rPr>
        <w:t>pr Kr</w:t>
      </w:r>
    </w:p>
    <w:p>
      <w:pPr>
        <w:pStyle w:val="Style56"/>
        <w:keepNext w:val="0"/>
        <w:keepLines w:val="0"/>
        <w:framePr w:w="485" w:h="365" w:wrap="none" w:hAnchor="page" w:x="4393" w:y="83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oko 57(1.</w:t>
      </w:r>
    </w:p>
    <w:p>
      <w:pPr>
        <w:pStyle w:val="Style56"/>
        <w:keepNext w:val="0"/>
        <w:keepLines w:val="0"/>
        <w:framePr w:w="485" w:h="173" w:wrap="none" w:hAnchor="page" w:x="4398" w:y="89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oko 610.</w:t>
      </w:r>
    </w:p>
    <w:p>
      <w:pPr>
        <w:pStyle w:val="Style56"/>
        <w:keepNext w:val="0"/>
        <w:keepLines w:val="0"/>
        <w:framePr w:w="1171" w:h="528" w:wrap="none" w:hAnchor="page" w:x="5305" w:y="8579"/>
        <w:widowControl w:val="0"/>
        <w:shd w:val="clear" w:color="auto" w:fill="auto"/>
        <w:bidi w:val="0"/>
        <w:spacing w:before="0" w:after="40" w:line="240" w:lineRule="auto"/>
        <w:ind w:left="0" w:right="0" w:firstLine="0"/>
        <w:jc w:val="both"/>
      </w:pPr>
      <w:r>
        <w:rPr>
          <w:color w:val="000000"/>
          <w:spacing w:val="0"/>
          <w:w w:val="100"/>
          <w:position w:val="0"/>
          <w:shd w:val="clear" w:color="auto" w:fill="auto"/>
          <w:lang w:val="hr-HR" w:eastAsia="hr-HR" w:bidi="hr-HR"/>
        </w:rPr>
        <w:t>Mtiharr.cdovo rođenje u Meki</w:t>
      </w:r>
    </w:p>
    <w:p>
      <w:pPr>
        <w:pStyle w:val="Style56"/>
        <w:keepNext w:val="0"/>
        <w:keepLines w:val="0"/>
        <w:framePr w:w="1171" w:h="528" w:wrap="none" w:hAnchor="page" w:x="5305" w:y="8579"/>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Doživljaj pozvanja</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65" w:line="1" w:lineRule="exact"/>
      </w:pPr>
    </w:p>
    <w:p>
      <w:pPr>
        <w:widowControl w:val="0"/>
        <w:spacing w:line="1" w:lineRule="exact"/>
        <w:sectPr>
          <w:headerReference w:type="default" r:id="rId1765"/>
          <w:footerReference w:type="default" r:id="rId1766"/>
          <w:headerReference w:type="even" r:id="rId1767"/>
          <w:footerReference w:type="even" r:id="rId1768"/>
          <w:footnotePr>
            <w:pos w:val="pageBottom"/>
            <w:numFmt w:val="decimal"/>
            <w:numRestart w:val="continuous"/>
            <w15:footnoteColumns w:val="1"/>
          </w:footnotePr>
          <w:pgSz w:w="6706" w:h="11078"/>
          <w:pgMar w:top="1346" w:left="173" w:right="202" w:bottom="627" w:header="0" w:footer="199" w:gutter="0"/>
          <w:pgNumType w:start="579"/>
          <w:cols w:space="720"/>
          <w:noEndnote/>
          <w:rtlGutter w:val="0"/>
          <w:docGrid w:linePitch="360"/>
        </w:sectPr>
      </w:pPr>
    </w:p>
    <w:tbl>
      <w:tblPr>
        <w:tblOverlap w:val="never"/>
        <w:jc w:val="center"/>
        <w:tblLayout w:type="fixed"/>
      </w:tblPr>
      <w:tblGrid>
        <w:gridCol w:w="2093"/>
        <w:gridCol w:w="451"/>
        <w:gridCol w:w="1690"/>
        <w:gridCol w:w="691"/>
        <w:gridCol w:w="1459"/>
      </w:tblGrid>
      <w:tr>
        <w:trPr>
          <w:trHeight w:val="269"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1. židovstvo</w:t>
            </w:r>
          </w:p>
        </w:tc>
        <w:tc>
          <w:tcPr>
            <w:gridSpan w:val="2"/>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2. kršćanstvo</w:t>
            </w:r>
          </w:p>
        </w:tc>
        <w:tc>
          <w:tcPr>
            <w:gridSpan w:val="2"/>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3. islam</w:t>
            </w:r>
          </w:p>
        </w:tc>
      </w:tr>
      <w:tr>
        <w:trPr>
          <w:trHeight w:val="226" w:hRule="exact"/>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oko 613.</w:t>
            </w:r>
          </w:p>
        </w:tc>
        <w:tc>
          <w:tcPr>
            <w:tcBorders>
              <w:top w:val="single" w:sz="4"/>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Početak jasnih istupa</w:t>
            </w:r>
          </w:p>
        </w:tc>
      </w:tr>
      <w:tr>
        <w:trPr>
          <w:trHeight w:val="163" w:hRule="exact"/>
        </w:trPr>
        <w:tc>
          <w:tcPr>
            <w:tcBorders/>
            <w:shd w:val="clear" w:color="auto" w:fill="FFFFFF"/>
            <w:vAlign w:val="bottom"/>
          </w:tcPr>
          <w:p>
            <w:pPr>
              <w:pStyle w:val="Style7"/>
              <w:keepNext w:val="0"/>
              <w:keepLines w:val="0"/>
              <w:widowControl w:val="0"/>
              <w:shd w:val="clear" w:color="auto" w:fill="auto"/>
              <w:tabs>
                <w:tab w:pos="902"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589 -1040.</w:t>
              <w:tab/>
            </w:r>
            <w:r>
              <w:rPr>
                <w:rFonts w:ascii="Arial" w:eastAsia="Arial" w:hAnsi="Arial" w:cs="Arial"/>
                <w:i/>
                <w:iCs/>
                <w:color w:val="000000"/>
                <w:spacing w:val="0"/>
                <w:w w:val="100"/>
                <w:position w:val="0"/>
                <w:sz w:val="12"/>
                <w:szCs w:val="12"/>
                <w:shd w:val="clear" w:color="auto" w:fill="auto"/>
                <w:lang w:val="hr-HR" w:eastAsia="hr-HR" w:bidi="hr-HR"/>
              </w:rPr>
              <w:t>Gaonsko razdoblje.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622.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Prelazak u Medinu</w:t>
            </w:r>
          </w:p>
        </w:tc>
      </w:tr>
      <w:tr>
        <w:trPr>
          <w:trHeight w:val="149"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i/>
                <w:iCs/>
                <w:color w:val="000000"/>
                <w:spacing w:val="0"/>
                <w:w w:val="100"/>
                <w:position w:val="0"/>
                <w:sz w:val="12"/>
                <w:szCs w:val="12"/>
                <w:shd w:val="clear" w:color="auto" w:fill="auto"/>
                <w:lang w:val="hr-HR" w:eastAsia="hr-HR" w:bidi="hr-HR"/>
              </w:rPr>
              <w:t>Gaoni:</w:t>
            </w:r>
            <w:r>
              <w:rPr>
                <w:rFonts w:ascii="Arial" w:eastAsia="Arial" w:hAnsi="Arial" w:cs="Arial"/>
                <w:color w:val="000000"/>
                <w:spacing w:val="0"/>
                <w:w w:val="100"/>
                <w:position w:val="0"/>
                <w:sz w:val="12"/>
                <w:szCs w:val="12"/>
                <w:shd w:val="clear" w:color="auto" w:fill="auto"/>
                <w:lang w:val="hr-HR" w:eastAsia="hr-HR" w:bidi="hr-HR"/>
              </w:rPr>
              <w:t xml:space="preserve"> nadstojnici</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(hidžra). početak</w:t>
            </w:r>
          </w:p>
        </w:tc>
      </w:tr>
      <w:tr>
        <w:trPr>
          <w:trHeight w:val="139"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rabitiskih (kola,</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islamskoga računanja</w:t>
            </w:r>
          </w:p>
        </w:tc>
      </w:tr>
      <w:tr>
        <w:trPr>
          <w:trHeight w:val="144"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pos u Babiloniji,</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vremena</w:t>
            </w:r>
          </w:p>
        </w:tc>
      </w:tr>
      <w:tr>
        <w:trPr>
          <w:trHeight w:val="20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ugled u dijaspori</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624.</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Bitka kod Badra</w:t>
            </w:r>
          </w:p>
        </w:tc>
      </w:tr>
      <w:tr>
        <w:trPr>
          <w:trHeight w:val="192"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627.</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Bitka kod Uhuda</w:t>
            </w:r>
          </w:p>
        </w:tc>
      </w:tr>
      <w:tr>
        <w:trPr>
          <w:trHeight w:val="346"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627.</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Opsada Medine, -bitka za grob«</w:t>
            </w:r>
          </w:p>
        </w:tc>
      </w:tr>
      <w:tr>
        <w:trPr>
          <w:trHeight w:val="480"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628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Pohod na Meku, ugovor kod al-Hudaaybiya</w:t>
            </w:r>
          </w:p>
        </w:tc>
      </w:tr>
      <w:tr>
        <w:trPr>
          <w:trHeight w:val="331"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630.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Osvajanje Meke. Bitka kod </w:t>
            </w:r>
            <w:r>
              <w:rPr>
                <w:rFonts w:ascii="Arial" w:eastAsia="Arial" w:hAnsi="Arial" w:cs="Arial"/>
                <w:color w:val="000000"/>
                <w:spacing w:val="0"/>
                <w:w w:val="100"/>
                <w:position w:val="0"/>
                <w:sz w:val="12"/>
                <w:szCs w:val="12"/>
                <w:shd w:val="clear" w:color="auto" w:fill="auto"/>
                <w:lang w:val="en-US" w:eastAsia="en-US" w:bidi="en-US"/>
              </w:rPr>
              <w:t>Hunayna</w:t>
            </w:r>
          </w:p>
        </w:tc>
      </w:tr>
      <w:tr>
        <w:trPr>
          <w:trHeight w:val="336"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632.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Muhamedova smrt 8. lipnja</w:t>
            </w:r>
          </w:p>
        </w:tc>
      </w:tr>
      <w:tr>
        <w:trPr>
          <w:trHeight w:val="139"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632.-634.</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Kalif Abu Bekr</w:t>
            </w:r>
          </w:p>
        </w:tc>
      </w:tr>
      <w:tr>
        <w:trPr>
          <w:trHeight w:val="235"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638. Arapi osvajaju Jeruzalem</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634.-644.</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Kalif Omer</w:t>
            </w:r>
          </w:p>
        </w:tc>
      </w:tr>
      <w:tr>
        <w:trPr>
          <w:trHeight w:val="206"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661.-750.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Dinastija Omejida</w:t>
            </w:r>
          </w:p>
        </w:tc>
      </w:tr>
      <w:tr>
        <w:trPr>
          <w:trHeight w:val="317"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665.-698.</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sjeverne Afrike</w:t>
            </w:r>
          </w:p>
        </w:tc>
      </w:tr>
      <w:tr>
        <w:trPr>
          <w:trHeight w:val="629"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680.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Bitka kod Kerbele, smrt Huseina. Alijinoga sina 10. listopada</w:t>
            </w:r>
          </w:p>
        </w:tc>
      </w:tr>
      <w:tr>
        <w:trPr>
          <w:trHeight w:val="197"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711.-732.</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Španjolske</w:t>
            </w:r>
          </w:p>
        </w:tc>
      </w:tr>
      <w:tr>
        <w:trPr>
          <w:trHeight w:val="341"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750.-1258.</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Dinastija Ahasida u Bagdadu</w:t>
            </w:r>
          </w:p>
        </w:tc>
      </w:tr>
      <w:tr>
        <w:trPr>
          <w:trHeight w:val="610"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754.</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8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Pipinova darovnica: počeci crkvene države</w:t>
            </w:r>
          </w:p>
        </w:tc>
        <w:tc>
          <w:tcPr>
            <w:tcBorders>
              <w:left w:val="single" w:sz="4"/>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756.-1031.</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Vladavina dinastije Omejida u Španjolskoj</w:t>
            </w:r>
          </w:p>
        </w:tc>
      </w:tr>
      <w:tr>
        <w:trPr>
          <w:trHeight w:val="307"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765.</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Smrt pravnoga učenjaka </w:t>
            </w:r>
            <w:r>
              <w:rPr>
                <w:rFonts w:ascii="Arial" w:eastAsia="Arial" w:hAnsi="Arial" w:cs="Arial"/>
                <w:color w:val="000000"/>
                <w:spacing w:val="0"/>
                <w:w w:val="100"/>
                <w:position w:val="0"/>
                <w:sz w:val="12"/>
                <w:szCs w:val="12"/>
                <w:shd w:val="clear" w:color="auto" w:fill="auto"/>
                <w:lang w:val="en-US" w:eastAsia="en-US" w:bidi="en-US"/>
              </w:rPr>
              <w:t xml:space="preserve">Malika </w:t>
            </w:r>
            <w:r>
              <w:rPr>
                <w:rFonts w:ascii="Arial" w:eastAsia="Arial" w:hAnsi="Arial" w:cs="Arial"/>
                <w:color w:val="000000"/>
                <w:spacing w:val="0"/>
                <w:w w:val="100"/>
                <w:position w:val="0"/>
                <w:sz w:val="12"/>
                <w:szCs w:val="12"/>
                <w:shd w:val="clear" w:color="auto" w:fill="auto"/>
                <w:lang w:val="hr-HR" w:eastAsia="hr-HR" w:bidi="hr-HR"/>
              </w:rPr>
              <w:t>ibn</w:t>
            </w:r>
          </w:p>
        </w:tc>
      </w:tr>
      <w:tr>
        <w:trPr>
          <w:trHeight w:val="154"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Anasa</w:t>
            </w:r>
          </w:p>
        </w:tc>
      </w:tr>
      <w:tr>
        <w:trPr>
          <w:trHeight w:val="322"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795.</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Smrt pravnoga učenjaka Abu Hanife</w:t>
            </w:r>
          </w:p>
        </w:tc>
      </w:tr>
      <w:tr>
        <w:trPr>
          <w:trHeight w:val="782"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800.</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4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Krunjenje Karla Velikog za cara i počeci svetoga Rimskog Carstva</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820.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Smrt pravnoga</w:t>
            </w:r>
          </w:p>
          <w:p>
            <w:pPr>
              <w:pStyle w:val="Style7"/>
              <w:keepNext w:val="0"/>
              <w:keepLines w:val="0"/>
              <w:widowControl w:val="0"/>
              <w:shd w:val="clear" w:color="auto" w:fill="auto"/>
              <w:bidi w:val="0"/>
              <w:spacing w:before="0" w:after="0" w:line="233"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učenjaka al-Safija</w:t>
            </w:r>
          </w:p>
        </w:tc>
      </w:tr>
      <w:tr>
        <w:trPr>
          <w:trHeight w:val="192"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823.</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Krete</w:t>
            </w:r>
          </w:p>
        </w:tc>
      </w:tr>
      <w:tr>
        <w:trPr>
          <w:trHeight w:val="336"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827.</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Sardinije i Sicilije</w:t>
            </w:r>
          </w:p>
        </w:tc>
      </w:tr>
      <w:tr>
        <w:trPr>
          <w:trHeight w:val="187"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850.</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Korzike</w:t>
            </w:r>
          </w:p>
        </w:tc>
      </w:tr>
      <w:tr>
        <w:trPr>
          <w:trHeight w:val="168"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855.</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Smrt teologa Ahmeda</w:t>
            </w:r>
          </w:p>
        </w:tc>
      </w:tr>
      <w:tr>
        <w:trPr>
          <w:trHeight w:val="187" w:hRule="exact"/>
        </w:trPr>
        <w:tc>
          <w:tcPr>
            <w:tcBorders/>
            <w:shd w:val="clear" w:color="auto" w:fill="FFFFFF"/>
            <w:vAlign w:val="bottom"/>
          </w:tcPr>
          <w:p>
            <w:pPr>
              <w:pStyle w:val="Style7"/>
              <w:keepNext w:val="0"/>
              <w:keepLines w:val="0"/>
              <w:widowControl w:val="0"/>
              <w:shd w:val="clear" w:color="auto" w:fill="auto"/>
              <w:tabs>
                <w:tab w:pos="907"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882.-942.</w:t>
              <w:tab/>
              <w:t>Scadja Gaon: vodeći</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ibna Hanbala</w:t>
            </w:r>
          </w:p>
        </w:tc>
      </w:tr>
      <w:tr>
        <w:trPr>
          <w:trHeight w:val="149"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učenjak babil.</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902.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Đalcara</w:t>
            </w:r>
          </w:p>
        </w:tc>
      </w:tr>
      <w:tr>
        <w:trPr>
          <w:trHeight w:val="182"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židovstva</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922.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Smaknuće mistika</w:t>
            </w:r>
          </w:p>
        </w:tc>
      </w:tr>
      <w:tr>
        <w:trPr>
          <w:trHeight w:val="168" w:hRule="exact"/>
        </w:trPr>
        <w:tc>
          <w:tcPr>
            <w:tcBorders/>
            <w:shd w:val="clear" w:color="auto" w:fill="FFFFFF"/>
            <w:vAlign w:val="top"/>
          </w:tcPr>
          <w:p>
            <w:pPr>
              <w:pStyle w:val="Style7"/>
              <w:keepNext w:val="0"/>
              <w:keepLines w:val="0"/>
              <w:widowControl w:val="0"/>
              <w:shd w:val="clear" w:color="auto" w:fill="auto"/>
              <w:tabs>
                <w:tab w:pos="907"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VII.-X. </w:t>
            </w:r>
            <w:r>
              <w:rPr>
                <w:rFonts w:ascii="Arial" w:eastAsia="Arial" w:hAnsi="Arial" w:cs="Arial"/>
                <w:color w:val="000000"/>
                <w:spacing w:val="0"/>
                <w:w w:val="100"/>
                <w:position w:val="0"/>
                <w:sz w:val="12"/>
                <w:szCs w:val="12"/>
                <w:shd w:val="clear" w:color="auto" w:fill="auto"/>
                <w:lang w:val="hr-HR" w:eastAsia="hr-HR" w:bidi="hr-HR"/>
              </w:rPr>
              <w:t>si.</w:t>
              <w:tab/>
              <w:t>Masora: pravila</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al-Haladža u Bagdadu</w:t>
            </w:r>
          </w:p>
        </w:tc>
      </w:tr>
      <w:tr>
        <w:trPr>
          <w:trHeight w:val="245"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izgovora u hebrejskim</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val="restart"/>
            <w:tcBorders>
              <w:left w:val="single" w:sz="4"/>
            </w:tcBorders>
            <w:shd w:val="clear" w:color="auto" w:fill="FFFFFF"/>
            <w:vAlign w:val="center"/>
          </w:tcPr>
          <w:p>
            <w:pPr>
              <w:pStyle w:val="Style7"/>
              <w:keepNext w:val="0"/>
              <w:keepLines w:val="0"/>
              <w:widowControl w:val="0"/>
              <w:shd w:val="clear" w:color="auto" w:fill="auto"/>
              <w:bidi w:val="0"/>
              <w:spacing w:before="0" w:after="4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935.</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1001.</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Smrt teologa al-Atanja</w:t>
            </w:r>
          </w:p>
        </w:tc>
      </w:tr>
      <w:tr>
        <w:trPr>
          <w:trHeight w:val="139" w:hRule="exact"/>
        </w:trPr>
        <w:tc>
          <w:tcPr>
            <w:vMerge w:val="restart"/>
            <w:tcBorders/>
            <w:shd w:val="clear" w:color="auto" w:fill="FFFFFF"/>
            <w:vAlign w:val="top"/>
          </w:tcPr>
          <w:p>
            <w:pPr>
              <w:pStyle w:val="Style7"/>
              <w:keepNext w:val="0"/>
              <w:keepLines w:val="0"/>
              <w:widowControl w:val="0"/>
              <w:shd w:val="clear" w:color="auto" w:fill="auto"/>
              <w:bidi w:val="0"/>
              <w:spacing w:before="0" w:after="0" w:line="240" w:lineRule="auto"/>
              <w:ind w:left="98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tekstovima Biblije</w:t>
            </w:r>
          </w:p>
        </w:tc>
        <w:tc>
          <w:tcPr>
            <w:vMerge w:val="restart"/>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w:t>
            </w:r>
          </w:p>
        </w:tc>
        <w:tc>
          <w:tcPr>
            <w:vMerge w:val="restart"/>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c>
          <w:tcPr>
            <w:vMerge w:val="restart"/>
            <w:tcBorders/>
            <w:shd w:val="clear" w:color="auto" w:fill="FFFFFF"/>
            <w:vAlign w:val="top"/>
          </w:tcPr>
          <w:p>
            <w:pPr>
              <w:pStyle w:val="Style7"/>
              <w:keepNext w:val="0"/>
              <w:keepLines w:val="0"/>
              <w:widowControl w:val="0"/>
              <w:shd w:val="clear" w:color="auto" w:fill="auto"/>
              <w:bidi w:val="0"/>
              <w:spacing w:before="0" w:after="0" w:line="240" w:lineRule="auto"/>
              <w:ind w:left="22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Indije isd strane Ganzavida</w:t>
            </w:r>
          </w:p>
        </w:tc>
      </w:tr>
      <w:tr>
        <w:trPr>
          <w:trHeight w:val="274" w:hRule="exact"/>
        </w:trPr>
        <w:tc>
          <w:tcPr>
            <w:vMerge/>
            <w:tcBorders/>
            <w:shd w:val="clear" w:color="auto" w:fill="FFFFFF"/>
            <w:vAlign w:val="top"/>
          </w:tcPr>
          <w:p>
            <w:pPr/>
          </w:p>
        </w:tc>
        <w:tc>
          <w:tcPr>
            <w:vMerge/>
            <w:tcBorders>
              <w:left w:val="single" w:sz="4"/>
            </w:tcBorders>
            <w:shd w:val="clear" w:color="auto" w:fill="FFFFFF"/>
            <w:vAlign w:val="bottom"/>
          </w:tcPr>
          <w:p>
            <w:pPr/>
          </w:p>
        </w:tc>
        <w:tc>
          <w:tcPr>
            <w:vMerge/>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vMerge/>
            <w:tcBorders/>
            <w:shd w:val="clear" w:color="auto" w:fill="FFFFFF"/>
            <w:vAlign w:val="top"/>
          </w:tcPr>
          <w:p>
            <w:pPr/>
          </w:p>
        </w:tc>
      </w:tr>
    </w:tbl>
    <w:p>
      <w:pPr>
        <w:widowControl w:val="0"/>
        <w:spacing w:line="1" w:lineRule="exact"/>
      </w:pPr>
      <w:r>
        <w:br w:type="page"/>
      </w:r>
    </w:p>
    <w:tbl>
      <w:tblPr>
        <w:tblOverlap w:val="never"/>
        <w:jc w:val="center"/>
        <w:tblLayout w:type="fixed"/>
      </w:tblPr>
      <w:tblGrid>
        <w:gridCol w:w="854"/>
        <w:gridCol w:w="1238"/>
        <w:gridCol w:w="2136"/>
        <w:gridCol w:w="715"/>
        <w:gridCol w:w="1450"/>
      </w:tblGrid>
      <w:tr>
        <w:trPr>
          <w:trHeight w:val="269" w:hRule="exact"/>
        </w:trPr>
        <w:tc>
          <w:tcPr>
            <w:gridSpan w:val="2"/>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1. židovstvo</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2.</w:t>
            </w:r>
            <w:r>
              <w:rPr>
                <w:rFonts w:ascii="Arial" w:eastAsia="Arial" w:hAnsi="Arial" w:cs="Arial"/>
                <w:color w:val="000000"/>
                <w:spacing w:val="0"/>
                <w:w w:val="100"/>
                <w:position w:val="0"/>
                <w:sz w:val="13"/>
                <w:szCs w:val="13"/>
                <w:shd w:val="clear" w:color="auto" w:fill="auto"/>
                <w:lang w:val="hr-HR" w:eastAsia="hr-HR" w:bidi="hr-HR"/>
              </w:rPr>
              <w:t xml:space="preserve"> kršćanstvo</w:t>
            </w:r>
          </w:p>
        </w:tc>
        <w:tc>
          <w:tcPr>
            <w:gridSpan w:val="2"/>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3. islam</w:t>
            </w:r>
          </w:p>
        </w:tc>
      </w:tr>
      <w:tr>
        <w:trPr>
          <w:trHeight w:val="206" w:hRule="exact"/>
        </w:trPr>
        <w:tc>
          <w:tcPr>
            <w:tcBorders>
              <w:top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900.-1400.</w:t>
            </w:r>
          </w:p>
        </w:tc>
        <w:tc>
          <w:tcPr>
            <w:tcBorders>
              <w:top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Razdoblje </w:t>
            </w:r>
            <w:r>
              <w:rPr>
                <w:rFonts w:ascii="Arial" w:eastAsia="Arial" w:hAnsi="Arial" w:cs="Arial"/>
                <w:i/>
                <w:iCs/>
                <w:color w:val="000000"/>
                <w:spacing w:val="0"/>
                <w:w w:val="100"/>
                <w:position w:val="0"/>
                <w:sz w:val="12"/>
                <w:szCs w:val="12"/>
                <w:shd w:val="clear" w:color="auto" w:fill="auto"/>
                <w:lang w:val="hr-HR" w:eastAsia="hr-HR" w:bidi="hr-HR"/>
              </w:rPr>
              <w:t>religijskih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1037.</w:t>
            </w:r>
          </w:p>
        </w:tc>
        <w:tc>
          <w:tcPr>
            <w:tcBorders>
              <w:top w:val="single" w:sz="4"/>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Smrt filozofa i liječnika</w:t>
            </w:r>
          </w:p>
        </w:tc>
      </w:tr>
      <w:tr>
        <w:trPr>
          <w:trHeight w:val="55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i/>
                <w:iCs/>
                <w:color w:val="000000"/>
                <w:spacing w:val="0"/>
                <w:w w:val="100"/>
                <w:position w:val="0"/>
                <w:sz w:val="12"/>
                <w:szCs w:val="12"/>
                <w:shd w:val="clear" w:color="auto" w:fill="auto"/>
                <w:lang w:val="hr-HR" w:eastAsia="hr-HR" w:bidi="hr-HR"/>
              </w:rPr>
              <w:t>filozofa,</w:t>
            </w:r>
            <w:r>
              <w:rPr>
                <w:rFonts w:ascii="Arial" w:eastAsia="Arial" w:hAnsi="Arial" w:cs="Arial"/>
                <w:color w:val="000000"/>
                <w:spacing w:val="0"/>
                <w:w w:val="100"/>
                <w:position w:val="0"/>
                <w:sz w:val="12"/>
                <w:szCs w:val="12"/>
                <w:shd w:val="clear" w:color="auto" w:fill="auto"/>
                <w:lang w:val="hr-HR" w:eastAsia="hr-HR" w:bidi="hr-HR"/>
              </w:rPr>
              <w:t xml:space="preserve"> tumača i pjesnika</w:t>
            </w:r>
          </w:p>
        </w:tc>
        <w:tc>
          <w:tcPr>
            <w:tcBorders>
              <w:left w:val="single" w:sz="4"/>
            </w:tcBorders>
            <w:shd w:val="clear" w:color="auto" w:fill="FFFFFF"/>
            <w:vAlign w:val="bottom"/>
          </w:tcPr>
          <w:p>
            <w:pPr>
              <w:pStyle w:val="Style7"/>
              <w:keepNext w:val="0"/>
              <w:keepLines w:val="0"/>
              <w:widowControl w:val="0"/>
              <w:shd w:val="clear" w:color="auto" w:fill="auto"/>
              <w:tabs>
                <w:tab w:pos="89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1054.</w:t>
              <w:tab/>
              <w:t>Konačni raskol između</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Avicene (Ibn Sina)</w:t>
            </w:r>
          </w:p>
        </w:tc>
      </w:tr>
      <w:tr>
        <w:trPr>
          <w:trHeight w:val="302"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istočne i zapadne Crkve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8"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tabs>
                <w:tab w:pos="907"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1077.-1122.</w:t>
              <w:tab/>
              <w:t>Borba za investitoru:</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49"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spor oko slobode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1" w:hRule="exact"/>
        </w:trPr>
        <w:tc>
          <w:tcPr>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1086.</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Križari masakriraju</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Zidove u Porajnju</w:t>
            </w: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Crkve i države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97"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XI. si.</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španjolska: Šclomo</w:t>
            </w:r>
          </w:p>
        </w:tc>
        <w:tc>
          <w:tcPr>
            <w:tcBorders>
              <w:left w:val="single" w:sz="4"/>
            </w:tcBorders>
            <w:shd w:val="clear" w:color="auto" w:fill="FFFFFF"/>
            <w:vAlign w:val="top"/>
          </w:tcPr>
          <w:p>
            <w:pPr>
              <w:pStyle w:val="Style7"/>
              <w:keepNext w:val="0"/>
              <w:keepLines w:val="0"/>
              <w:widowControl w:val="0"/>
              <w:shd w:val="clear" w:color="auto" w:fill="auto"/>
              <w:tabs>
                <w:tab w:pos="89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1096.-1270.</w:t>
              <w:tab/>
              <w:t>Križarski ratovi</w:t>
            </w: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1096.-1270.</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Križarski pohodi</w:t>
            </w:r>
          </w:p>
        </w:tc>
      </w:tr>
      <w:tr>
        <w:trPr>
          <w:trHeight w:val="13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ibn Gabirol,</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1099</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Zauzimanje</w:t>
            </w:r>
          </w:p>
        </w:tc>
      </w:tr>
      <w:tr>
        <w:trPr>
          <w:trHeight w:val="134"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Đahja ibn Pakuda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Jeruzalema od strane</w:t>
            </w:r>
          </w:p>
        </w:tc>
      </w:tr>
      <w:tr>
        <w:trPr>
          <w:trHeight w:val="197"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XI.—XII. St.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Francuska: Raši;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križara</w:t>
            </w:r>
          </w:p>
        </w:tc>
      </w:tr>
      <w:tr>
        <w:trPr>
          <w:trHeight w:val="15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Španjolska: Moše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lili.</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Smrt teologa al-Gaza!ip</w:t>
            </w:r>
          </w:p>
        </w:tc>
      </w:tr>
      <w:tr>
        <w:trPr>
          <w:trHeight w:val="163"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ibn Esra, Jchuda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1187.</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Saladinovo ponovno</w:t>
            </w:r>
          </w:p>
        </w:tc>
      </w:tr>
      <w:tr>
        <w:trPr>
          <w:trHeight w:val="475" w:hRule="exact"/>
        </w:trPr>
        <w:tc>
          <w:tcPr>
            <w:vMerge w:val="restart"/>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XII.-XIII. st.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Halevi, Abraham </w:t>
            </w:r>
            <w:r>
              <w:rPr>
                <w:rFonts w:ascii="Arial" w:eastAsia="Arial" w:hAnsi="Arial" w:cs="Arial"/>
                <w:color w:val="000000"/>
                <w:spacing w:val="0"/>
                <w:w w:val="100"/>
                <w:position w:val="0"/>
                <w:sz w:val="12"/>
                <w:szCs w:val="12"/>
                <w:shd w:val="clear" w:color="auto" w:fill="auto"/>
                <w:lang w:val="hr-HR" w:eastAsia="hr-HR" w:bidi="hr-HR"/>
              </w:rPr>
              <w:t xml:space="preserve">ibn Esra, </w:t>
            </w:r>
            <w:r>
              <w:rPr>
                <w:rFonts w:ascii="Arial" w:eastAsia="Arial" w:hAnsi="Arial" w:cs="Arial"/>
                <w:color w:val="000000"/>
                <w:spacing w:val="0"/>
                <w:w w:val="100"/>
                <w:position w:val="0"/>
                <w:sz w:val="12"/>
                <w:szCs w:val="12"/>
                <w:shd w:val="clear" w:color="auto" w:fill="auto"/>
                <w:lang w:val="en-US" w:eastAsia="en-US" w:bidi="en-US"/>
              </w:rPr>
              <w:t xml:space="preserve">Abraham </w:t>
            </w:r>
            <w:r>
              <w:rPr>
                <w:rFonts w:ascii="Arial" w:eastAsia="Arial" w:hAnsi="Arial" w:cs="Arial"/>
                <w:color w:val="000000"/>
                <w:spacing w:val="0"/>
                <w:w w:val="100"/>
                <w:position w:val="0"/>
                <w:sz w:val="12"/>
                <w:szCs w:val="12"/>
                <w:shd w:val="clear" w:color="auto" w:fill="auto"/>
                <w:lang w:val="hr-HR" w:eastAsia="hr-HR" w:bidi="hr-HR"/>
              </w:rPr>
              <w:t>ibn Daud, Majmonid</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1198.</w:t>
            </w:r>
          </w:p>
        </w:tc>
        <w:tc>
          <w:tcPr>
            <w:vMerge w:val="restart"/>
            <w:tcBorders/>
            <w:shd w:val="clear" w:color="auto" w:fill="FFFFFF"/>
            <w:vAlign w:val="top"/>
          </w:tcPr>
          <w:p>
            <w:pPr>
              <w:pStyle w:val="Style7"/>
              <w:keepNext w:val="0"/>
              <w:keepLines w:val="0"/>
              <w:widowControl w:val="0"/>
              <w:shd w:val="clear" w:color="auto" w:fill="auto"/>
              <w:bidi w:val="0"/>
              <w:spacing w:before="0" w:after="0" w:line="293"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Jeruzalema Smrt filozofa Averoesa (Ibn Rušd)</w:t>
            </w:r>
          </w:p>
        </w:tc>
      </w:tr>
      <w:tr>
        <w:trPr>
          <w:trHeight w:val="86" w:hRule="exact"/>
        </w:trPr>
        <w:tc>
          <w:tcPr>
            <w:vMerge/>
            <w:tcBorders/>
            <w:shd w:val="clear" w:color="auto" w:fill="FFFFFF"/>
            <w:vAlign w:val="bottom"/>
          </w:tcPr>
          <w:p>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Hasdai </w:t>
            </w:r>
            <w:r>
              <w:rPr>
                <w:rFonts w:ascii="Arial" w:eastAsia="Arial" w:hAnsi="Arial" w:cs="Arial"/>
                <w:color w:val="000000"/>
                <w:spacing w:val="0"/>
                <w:w w:val="100"/>
                <w:position w:val="0"/>
                <w:sz w:val="12"/>
                <w:szCs w:val="12"/>
                <w:shd w:val="clear" w:color="auto" w:fill="auto"/>
                <w:lang w:val="hr-HR" w:eastAsia="hr-HR" w:bidi="hr-HR"/>
              </w:rPr>
              <w:t>AŠkcnaz:</w:t>
            </w: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1206.</w:t>
            </w:r>
          </w:p>
        </w:tc>
        <w:tc>
          <w:tcPr>
            <w:vMerge/>
            <w:tcBorders/>
            <w:shd w:val="clear" w:color="auto" w:fill="FFFFFF"/>
            <w:vAlign w:val="top"/>
          </w:tcPr>
          <w:p>
            <w:pPr/>
          </w:p>
        </w:tc>
      </w:tr>
      <w:tr>
        <w:trPr>
          <w:trHeight w:val="168" w:hRule="exact"/>
        </w:trPr>
        <w:tc>
          <w:tcPr>
            <w:vMerge/>
            <w:tcBorders/>
            <w:shd w:val="clear" w:color="auto" w:fill="FFFFFF"/>
            <w:vAlign w:val="bottom"/>
          </w:tcPr>
          <w:p>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basidizam u</w:t>
            </w: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Sultanat u Dclhiju</w:t>
            </w:r>
          </w:p>
        </w:tc>
      </w:tr>
      <w:tr>
        <w:trPr>
          <w:trHeight w:val="595"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Njemačkoj </w:t>
            </w:r>
            <w:r>
              <w:rPr>
                <w:rFonts w:ascii="Arial" w:eastAsia="Arial" w:hAnsi="Arial" w:cs="Arial"/>
                <w:color w:val="000000"/>
                <w:spacing w:val="0"/>
                <w:w w:val="100"/>
                <w:position w:val="0"/>
                <w:sz w:val="12"/>
                <w:szCs w:val="12"/>
                <w:shd w:val="clear" w:color="auto" w:fill="auto"/>
                <w:lang w:val="en-US" w:eastAsia="en-US" w:bidi="en-US"/>
              </w:rPr>
              <w:t xml:space="preserve">(Regensburg, Speyer, Worms, Mainz) </w:t>
            </w:r>
            <w:r>
              <w:rPr>
                <w:rFonts w:ascii="Arial" w:eastAsia="Arial" w:hAnsi="Arial" w:cs="Arial"/>
                <w:color w:val="000000"/>
                <w:spacing w:val="0"/>
                <w:w w:val="100"/>
                <w:position w:val="0"/>
                <w:sz w:val="12"/>
                <w:szCs w:val="12"/>
                <w:shd w:val="clear" w:color="auto" w:fill="auto"/>
                <w:lang w:val="hr-HR" w:eastAsia="hr-HR" w:bidi="hr-HR"/>
              </w:rPr>
              <w:t>i Francuskoj</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8"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1215.</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četvrti luteranski</w:t>
            </w:r>
          </w:p>
        </w:tc>
        <w:tc>
          <w:tcPr>
            <w:tcBorders>
              <w:left w:val="single" w:sz="4"/>
            </w:tcBorders>
            <w:shd w:val="clear" w:color="auto" w:fill="FFFFFF"/>
            <w:vAlign w:val="bottom"/>
          </w:tcPr>
          <w:p>
            <w:pPr>
              <w:pStyle w:val="Style7"/>
              <w:keepNext w:val="0"/>
              <w:keepLines w:val="0"/>
              <w:widowControl w:val="0"/>
              <w:shd w:val="clear" w:color="auto" w:fill="auto"/>
              <w:tabs>
                <w:tab w:pos="89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1215.</w:t>
              <w:tab/>
              <w:t>Četvrti lateransJa</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44"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koncil uvodi</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koncil: vrhunac</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3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Židovki znak</w:t>
            </w: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razvitka papinske moći</w:t>
            </w:r>
          </w:p>
        </w:tc>
        <w:tc>
          <w:tcPr>
            <w:tcBorders>
              <w:left w:val="single" w:sz="4"/>
            </w:tcBorders>
            <w:shd w:val="clear" w:color="auto" w:fill="FFFFFF"/>
            <w:vAlign w:val="top"/>
          </w:tcPr>
          <w:p>
            <w:pPr>
              <w:pStyle w:val="Style7"/>
              <w:keepNext w:val="0"/>
              <w:keepLines w:val="0"/>
              <w:widowControl w:val="0"/>
              <w:shd w:val="clear" w:color="auto" w:fill="auto"/>
              <w:bidi w:val="0"/>
              <w:spacing w:before="8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1220.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Početak invazije Mongola u istočnim islamskim područjima</w:t>
            </w:r>
          </w:p>
        </w:tc>
      </w:tr>
      <w:tr>
        <w:trPr>
          <w:trHeight w:val="336"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1240.</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Smrt mistika Ibn</w:t>
            </w:r>
          </w:p>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Arabija</w:t>
            </w:r>
          </w:p>
        </w:tc>
      </w:tr>
      <w:tr>
        <w:trPr>
          <w:trHeight w:val="446"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1258.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Osvajanje Bagdada od strane Mongola, kraj vladavine Abaslda</w:t>
            </w:r>
          </w:p>
        </w:tc>
      </w:tr>
      <w:tr>
        <w:trPr>
          <w:trHeight w:val="182"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tabs>
                <w:tab w:pos="88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1274.</w:t>
              <w:tab/>
              <w:t>Smrt'lome Akvinskog</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1273.</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Smrt mistika Dželala</w:t>
            </w:r>
          </w:p>
        </w:tc>
      </w:tr>
      <w:tr>
        <w:trPr>
          <w:trHeight w:val="542" w:hRule="exact"/>
        </w:trPr>
        <w:tc>
          <w:tcPr>
            <w:vMerge w:val="restart"/>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1290.-1657.</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tabs>
                <w:tab w:pos="1157" w:val="right"/>
                <w:tab w:pos="1190" w:val="left"/>
              </w:tabs>
              <w:bidi w:val="0"/>
              <w:spacing w:before="0" w:after="4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1274.</w:t>
              <w:tab/>
              <w:t>Smrt</w:t>
              <w:tab/>
            </w:r>
            <w:r>
              <w:rPr>
                <w:rFonts w:ascii="Arial" w:eastAsia="Arial" w:hAnsi="Arial" w:cs="Arial"/>
                <w:color w:val="000000"/>
                <w:spacing w:val="0"/>
                <w:w w:val="100"/>
                <w:position w:val="0"/>
                <w:sz w:val="12"/>
                <w:szCs w:val="12"/>
                <w:shd w:val="clear" w:color="auto" w:fill="auto"/>
                <w:lang w:val="en-US" w:eastAsia="en-US" w:bidi="en-US"/>
              </w:rPr>
              <w:t>Bonaventure</w:t>
            </w:r>
          </w:p>
          <w:p>
            <w:pPr>
              <w:pStyle w:val="Style7"/>
              <w:keepNext w:val="0"/>
              <w:keepLines w:val="0"/>
              <w:widowControl w:val="0"/>
              <w:shd w:val="clear" w:color="auto" w:fill="auto"/>
              <w:tabs>
                <w:tab w:pos="1157" w:val="right"/>
                <w:tab w:pos="1190" w:val="left"/>
              </w:tabs>
              <w:bidi w:val="0"/>
              <w:spacing w:before="0" w:after="4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1280.</w:t>
              <w:tab/>
              <w:t>Smrt</w:t>
              <w:tab/>
            </w:r>
            <w:r>
              <w:rPr>
                <w:rFonts w:ascii="Arial" w:eastAsia="Arial" w:hAnsi="Arial" w:cs="Arial"/>
                <w:color w:val="000000"/>
                <w:spacing w:val="0"/>
                <w:w w:val="100"/>
                <w:position w:val="0"/>
                <w:sz w:val="12"/>
                <w:szCs w:val="12"/>
                <w:shd w:val="clear" w:color="auto" w:fill="auto"/>
                <w:lang w:val="en-US" w:eastAsia="en-US" w:bidi="en-US"/>
              </w:rPr>
              <w:t xml:space="preserve">Alberta </w:t>
            </w:r>
            <w:r>
              <w:rPr>
                <w:rFonts w:ascii="Arial" w:eastAsia="Arial" w:hAnsi="Arial" w:cs="Arial"/>
                <w:color w:val="000000"/>
                <w:spacing w:val="0"/>
                <w:w w:val="100"/>
                <w:position w:val="0"/>
                <w:sz w:val="12"/>
                <w:szCs w:val="12"/>
                <w:shd w:val="clear" w:color="auto" w:fill="auto"/>
                <w:lang w:val="hr-HR" w:eastAsia="hr-HR" w:bidi="hr-HR"/>
              </w:rPr>
              <w:t>Velikog</w:t>
            </w:r>
          </w:p>
          <w:p>
            <w:pPr>
              <w:pStyle w:val="Style7"/>
              <w:keepNext w:val="0"/>
              <w:keepLines w:val="0"/>
              <w:widowControl w:val="0"/>
              <w:shd w:val="clear" w:color="auto" w:fill="auto"/>
              <w:tabs>
                <w:tab w:pos="1152" w:val="right"/>
                <w:tab w:pos="1186" w:val="left"/>
              </w:tabs>
              <w:bidi w:val="0"/>
              <w:spacing w:before="0" w:after="4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1308.</w:t>
              <w:tab/>
              <w:t>Smrt</w:t>
              <w:tab/>
              <w:t>Dunsa Skota</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al-Din al-Rumija</w:t>
            </w:r>
          </w:p>
        </w:tc>
      </w:tr>
      <w:tr>
        <w:trPr>
          <w:trHeight w:val="163" w:hRule="exact"/>
        </w:trPr>
        <w:tc>
          <w:tcPr>
            <w:vMerge/>
            <w:tcBorders/>
            <w:shd w:val="clear" w:color="auto" w:fill="FFFFFF"/>
            <w:vAlign w:val="bottom"/>
          </w:tcPr>
          <w:p>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Protjerivanje Židova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1301.</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Osman </w:t>
            </w:r>
            <w:r>
              <w:rPr>
                <w:rFonts w:ascii="Arial" w:eastAsia="Arial" w:hAnsi="Arial" w:cs="Arial"/>
                <w:color w:val="000000"/>
                <w:spacing w:val="0"/>
                <w:w w:val="100"/>
                <w:position w:val="0"/>
                <w:sz w:val="12"/>
                <w:szCs w:val="12"/>
                <w:shd w:val="clear" w:color="auto" w:fill="auto"/>
                <w:lang w:val="hr-HR" w:eastAsia="hr-HR" w:bidi="hr-HR"/>
              </w:rPr>
              <w:t>I. osniva</w:t>
            </w:r>
          </w:p>
        </w:tc>
      </w:tr>
      <w:tr>
        <w:trPr>
          <w:trHeight w:val="158"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iz Engleske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Osmansko Carstvu</w:t>
            </w:r>
          </w:p>
        </w:tc>
      </w:tr>
      <w:tr>
        <w:trPr>
          <w:trHeight w:val="30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XII -XIV. </w:t>
            </w:r>
            <w:r>
              <w:rPr>
                <w:rFonts w:ascii="Arial" w:eastAsia="Arial" w:hAnsi="Arial" w:cs="Arial"/>
                <w:color w:val="000000"/>
                <w:spacing w:val="0"/>
                <w:w w:val="100"/>
                <w:position w:val="0"/>
                <w:sz w:val="12"/>
                <w:szCs w:val="12"/>
                <w:shd w:val="clear" w:color="auto" w:fill="auto"/>
                <w:lang w:val="en-US" w:eastAsia="en-US" w:bidi="en-US"/>
              </w:rPr>
              <w:t>st.</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i/>
                <w:iCs/>
                <w:color w:val="000000"/>
                <w:spacing w:val="0"/>
                <w:w w:val="100"/>
                <w:position w:val="0"/>
                <w:sz w:val="12"/>
                <w:szCs w:val="12"/>
                <w:shd w:val="clear" w:color="auto" w:fill="auto"/>
                <w:lang w:val="hr-HR" w:eastAsia="hr-HR" w:bidi="hr-HR"/>
              </w:rPr>
              <w:t>Tosafor.</w:t>
            </w:r>
            <w:r>
              <w:rPr>
                <w:rFonts w:ascii="Arial" w:eastAsia="Arial" w:hAnsi="Arial" w:cs="Arial"/>
                <w:color w:val="000000"/>
                <w:spacing w:val="0"/>
                <w:w w:val="100"/>
                <w:position w:val="0"/>
                <w:sz w:val="12"/>
                <w:szCs w:val="12"/>
                <w:shd w:val="clear" w:color="auto" w:fill="auto"/>
                <w:lang w:val="hr-HR" w:eastAsia="hr-HR" w:bidi="hr-HR"/>
              </w:rPr>
              <w:t xml:space="preserve"> Zbirke tumačenja i</w:t>
            </w:r>
          </w:p>
        </w:tc>
        <w:tc>
          <w:tcPr>
            <w:tcBorders>
              <w:left w:val="single" w:sz="4"/>
            </w:tcBorders>
            <w:shd w:val="clear" w:color="auto" w:fill="FFFFFF"/>
            <w:vAlign w:val="bottom"/>
          </w:tcPr>
          <w:p>
            <w:pPr>
              <w:pStyle w:val="Style7"/>
              <w:keepNext w:val="0"/>
              <w:keepLines w:val="0"/>
              <w:widowControl w:val="0"/>
              <w:shd w:val="clear" w:color="auto" w:fill="auto"/>
              <w:tabs>
                <w:tab w:pos="893"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1309.-1377.</w:t>
              <w:tab/>
              <w:t>»Bahilonsko</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4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dodataka na rane</w:t>
            </w: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sužanjstvo« papa u</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93"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talmudske komentare, pos. na</w:t>
            </w: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Avignonu</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1328.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Smrt pravnoga</w:t>
            </w:r>
          </w:p>
        </w:tc>
      </w:tr>
      <w:tr>
        <w:trPr>
          <w:trHeight w:val="16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Rašijev komentar</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20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učenjaka Ibn Tajmija</w:t>
            </w:r>
          </w:p>
        </w:tc>
      </w:tr>
      <w:tr>
        <w:trPr>
          <w:trHeight w:val="878"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XII.-XIII. </w:t>
            </w:r>
            <w:r>
              <w:rPr>
                <w:rFonts w:ascii="Arial" w:eastAsia="Arial" w:hAnsi="Arial" w:cs="Arial"/>
                <w:color w:val="000000"/>
                <w:spacing w:val="0"/>
                <w:w w:val="100"/>
                <w:position w:val="0"/>
                <w:sz w:val="12"/>
                <w:szCs w:val="12"/>
                <w:shd w:val="clear" w:color="auto" w:fill="auto"/>
                <w:lang w:val="hr-HR" w:eastAsia="hr-HR" w:bidi="hr-HR"/>
              </w:rPr>
              <w:t>si.</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španjolska i Erec Jisrucl: Nahmanid. Kabala: židovska mistika; njezino glavno djelo: </w:t>
            </w:r>
            <w:r>
              <w:rPr>
                <w:rFonts w:ascii="Arial" w:eastAsia="Arial" w:hAnsi="Arial" w:cs="Arial"/>
                <w:i/>
                <w:iCs/>
                <w:color w:val="000000"/>
                <w:spacing w:val="0"/>
                <w:w w:val="100"/>
                <w:position w:val="0"/>
                <w:sz w:val="12"/>
                <w:szCs w:val="12"/>
                <w:shd w:val="clear" w:color="auto" w:fill="auto"/>
                <w:lang w:val="en-US" w:eastAsia="en-US" w:bidi="en-US"/>
              </w:rPr>
              <w:t xml:space="preserve">Zohar, </w:t>
            </w:r>
            <w:r>
              <w:rPr>
                <w:rFonts w:ascii="Arial" w:eastAsia="Arial" w:hAnsi="Arial" w:cs="Arial"/>
                <w:color w:val="000000"/>
                <w:spacing w:val="0"/>
                <w:w w:val="100"/>
                <w:position w:val="0"/>
                <w:sz w:val="12"/>
                <w:szCs w:val="12"/>
                <w:shd w:val="clear" w:color="auto" w:fill="auto"/>
                <w:lang w:val="hr-HR" w:eastAsia="hr-HR" w:bidi="hr-HR"/>
              </w:rPr>
              <w:t>dovršeno 1286.</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8"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1348.-1350.</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Crna smrt;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88"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krvoprolića u španjolskoj.</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0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Francuskoj,</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sectPr>
          <w:headerReference w:type="default" r:id="rId1769"/>
          <w:footerReference w:type="default" r:id="rId1770"/>
          <w:headerReference w:type="even" r:id="rId1771"/>
          <w:footerReference w:type="even" r:id="rId1772"/>
          <w:headerReference w:type="first" r:id="rId1773"/>
          <w:footerReference w:type="first" r:id="rId1774"/>
          <w:footnotePr>
            <w:pos w:val="pageBottom"/>
            <w:numFmt w:val="decimal"/>
            <w:numRestart w:val="continuous"/>
            <w15:footnoteColumns w:val="1"/>
          </w:footnotePr>
          <w:pgSz w:w="6706" w:h="11078"/>
          <w:pgMar w:top="1019" w:left="148" w:right="165" w:bottom="618" w:header="0" w:footer="3" w:gutter="0"/>
          <w:pgNumType w:start="576"/>
          <w:cols w:space="720"/>
          <w:noEndnote/>
          <w:titlePg/>
          <w:rtlGutter w:val="0"/>
          <w:docGrid w:linePitch="360"/>
        </w:sectPr>
      </w:pPr>
    </w:p>
    <w:tbl>
      <w:tblPr>
        <w:tblOverlap w:val="never"/>
        <w:jc w:val="left"/>
        <w:tblLayout w:type="fixed"/>
      </w:tblPr>
      <w:tblGrid>
        <w:gridCol w:w="677"/>
        <w:gridCol w:w="1387"/>
        <w:gridCol w:w="2141"/>
        <w:gridCol w:w="725"/>
      </w:tblGrid>
      <w:tr>
        <w:trPr>
          <w:trHeight w:val="240" w:hRule="exact"/>
        </w:trPr>
        <w:tc>
          <w:tcPr>
            <w:gridSpan w:val="2"/>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1. židovstvo</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2. kršćanstvo</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634" w:hRule="exact"/>
        </w:trPr>
        <w:tc>
          <w:tcPr>
            <w:tcBorders>
              <w:top w:val="single" w:sz="4"/>
            </w:tcBorders>
            <w:shd w:val="clear" w:color="auto" w:fill="FFFFFF"/>
            <w:vAlign w:val="top"/>
          </w:tcPr>
          <w:p>
            <w:pPr>
              <w:framePr w:w="4930" w:h="9442" w:wrap="none" w:hAnchor="page" w:x="207" w:y="112"/>
              <w:widowControl w:val="0"/>
              <w:rPr>
                <w:sz w:val="10"/>
                <w:szCs w:val="10"/>
              </w:rPr>
            </w:pPr>
          </w:p>
        </w:tc>
        <w:tc>
          <w:tcPr>
            <w:tcBorders>
              <w:top w:val="single" w:sz="4"/>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Njemačkoj, Austriji. Useljavanje u Pojjsku-Litvu iz Njemačke</w:t>
            </w:r>
          </w:p>
        </w:tc>
        <w:tc>
          <w:tcPr>
            <w:tcBorders>
              <w:top w:val="single" w:sz="4"/>
              <w:left w:val="single" w:sz="4"/>
            </w:tcBorders>
            <w:shd w:val="clear" w:color="auto" w:fill="FFFFFF"/>
            <w:vAlign w:val="top"/>
          </w:tcPr>
          <w:p>
            <w:pPr>
              <w:framePr w:w="4930" w:h="9442" w:wrap="none" w:hAnchor="page" w:x="207" w:y="112"/>
              <w:widowControl w:val="0"/>
              <w:rPr>
                <w:sz w:val="10"/>
                <w:szCs w:val="10"/>
              </w:rPr>
            </w:pPr>
          </w:p>
        </w:tc>
        <w:tc>
          <w:tcPr>
            <w:tcBorders>
              <w:top w:val="single" w:sz="4"/>
              <w:left w:val="single" w:sz="4"/>
            </w:tcBorders>
            <w:shd w:val="clear" w:color="auto" w:fill="FFFFFF"/>
            <w:vAlign w:val="top"/>
          </w:tcPr>
          <w:p>
            <w:pPr>
              <w:framePr w:w="4930" w:h="9442" w:wrap="none" w:hAnchor="page" w:x="207" w:y="112"/>
              <w:widowControl w:val="0"/>
              <w:rPr>
                <w:sz w:val="10"/>
                <w:szCs w:val="10"/>
              </w:rPr>
            </w:pPr>
          </w:p>
        </w:tc>
      </w:tr>
      <w:tr>
        <w:trPr>
          <w:trHeight w:val="331"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X1V.-XV. </w:t>
            </w:r>
            <w:r>
              <w:rPr>
                <w:rFonts w:ascii="Arial" w:eastAsia="Arial" w:hAnsi="Arial" w:cs="Arial"/>
                <w:color w:val="000000"/>
                <w:spacing w:val="0"/>
                <w:w w:val="100"/>
                <w:position w:val="0"/>
                <w:sz w:val="12"/>
                <w:szCs w:val="12"/>
                <w:shd w:val="clear" w:color="auto" w:fill="auto"/>
                <w:lang w:val="hr-HR" w:eastAsia="hr-HR" w:bidi="hr-HR"/>
              </w:rPr>
              <w:t>s</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 španjolska: </w:t>
            </w:r>
            <w:r>
              <w:rPr>
                <w:rFonts w:ascii="Arial" w:eastAsia="Arial" w:hAnsi="Arial" w:cs="Arial"/>
                <w:color w:val="000000"/>
                <w:spacing w:val="0"/>
                <w:w w:val="100"/>
                <w:position w:val="0"/>
                <w:sz w:val="12"/>
                <w:szCs w:val="12"/>
                <w:shd w:val="clear" w:color="auto" w:fill="auto"/>
                <w:lang w:val="en-US" w:eastAsia="en-US" w:bidi="en-US"/>
              </w:rPr>
              <w:t>Hasdai</w:t>
            </w:r>
          </w:p>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Crescas, Josef </w:t>
            </w:r>
            <w:r>
              <w:rPr>
                <w:rFonts w:ascii="Arial" w:eastAsia="Arial" w:hAnsi="Arial" w:cs="Arial"/>
                <w:color w:val="000000"/>
                <w:spacing w:val="0"/>
                <w:w w:val="100"/>
                <w:position w:val="0"/>
                <w:sz w:val="12"/>
                <w:szCs w:val="12"/>
                <w:shd w:val="clear" w:color="auto" w:fill="auto"/>
                <w:lang w:val="hr-HR" w:eastAsia="hr-HR" w:bidi="hr-HR"/>
              </w:rPr>
              <w:t>Albo</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tabs>
                <w:tab w:pos="88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1378.-1417.</w:t>
              <w:tab/>
              <w:t>Zapadni raskol</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1357.</w:t>
            </w:r>
          </w:p>
        </w:tc>
      </w:tr>
      <w:tr>
        <w:trPr>
          <w:trHeight w:val="475"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XV. </w:t>
            </w:r>
            <w:r>
              <w:rPr>
                <w:rFonts w:ascii="Arial" w:eastAsia="Arial" w:hAnsi="Arial" w:cs="Arial"/>
                <w:color w:val="000000"/>
                <w:spacing w:val="0"/>
                <w:w w:val="100"/>
                <w:position w:val="0"/>
                <w:sz w:val="12"/>
                <w:szCs w:val="12"/>
                <w:shd w:val="clear" w:color="auto" w:fill="auto"/>
                <w:lang w:val="en-US" w:eastAsia="en-US" w:bidi="en-US"/>
              </w:rPr>
              <w:t>st.</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Početak hebr. tiskarstva. Raši tiskan 1475.</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tabs>
                <w:tab w:pos="88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1483.-1546.</w:t>
              <w:tab/>
            </w:r>
            <w:r>
              <w:rPr>
                <w:rFonts w:ascii="Arial" w:eastAsia="Arial" w:hAnsi="Arial" w:cs="Arial"/>
                <w:color w:val="000000"/>
                <w:spacing w:val="0"/>
                <w:w w:val="100"/>
                <w:position w:val="0"/>
                <w:sz w:val="12"/>
                <w:szCs w:val="12"/>
                <w:shd w:val="clear" w:color="auto" w:fill="auto"/>
                <w:lang w:val="en-US" w:eastAsia="en-US" w:bidi="en-US"/>
              </w:rPr>
              <w:t>Martin Luther</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4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1389.</w:t>
            </w:r>
          </w:p>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1406.</w:t>
            </w:r>
          </w:p>
        </w:tc>
      </w:tr>
      <w:tr>
        <w:trPr>
          <w:trHeight w:val="326"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1492.</w:t>
            </w:r>
          </w:p>
        </w:tc>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Protjerivanje iz španjolske,</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center"/>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1453.</w:t>
            </w:r>
          </w:p>
        </w:tc>
      </w:tr>
      <w:tr>
        <w:trPr>
          <w:trHeight w:val="245"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primanje u Otomanskom</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78"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Carstvu</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1492.</w:t>
            </w:r>
          </w:p>
        </w:tc>
      </w:tr>
      <w:tr>
        <w:trPr>
          <w:trHeight w:val="610"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1496.,'1497.</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Protjerivanje iz Portugala, primanje u Otomanskom Carstvu</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1500.</w:t>
            </w:r>
          </w:p>
        </w:tc>
      </w:tr>
      <w:tr>
        <w:trPr>
          <w:trHeight w:val="600"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XV.-XVI.s</w:t>
            </w:r>
          </w:p>
        </w:tc>
        <w:tc>
          <w:tcPr>
            <w:tcBorders/>
            <w:shd w:val="clear" w:color="auto" w:fill="FFFFFF"/>
            <w:vAlign w:val="bottom"/>
          </w:tcPr>
          <w:p>
            <w:pPr>
              <w:pStyle w:val="Style7"/>
              <w:keepNext w:val="0"/>
              <w:keepLines w:val="0"/>
              <w:framePr w:w="4930" w:h="9442" w:wrap="none" w:hAnchor="page" w:x="207" w:y="112"/>
              <w:widowControl w:val="0"/>
              <w:shd w:val="clear" w:color="auto" w:fill="auto"/>
              <w:tabs>
                <w:tab w:pos="254"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w:t>
              <w:tab/>
              <w:t>Italija: Isak</w:t>
            </w:r>
          </w:p>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Abravanel. potpuna tiskarska izdanja Talmuda 1520723.,</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tabs>
                <w:tab w:pos="893"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1517.</w:t>
              <w:tab/>
              <w:t>Spor oko oprosta i</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1517.</w:t>
            </w:r>
          </w:p>
        </w:tc>
      </w:tr>
      <w:tr>
        <w:trPr>
          <w:trHeight w:val="139"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i/>
                <w:iCs/>
                <w:color w:val="000000"/>
                <w:spacing w:val="0"/>
                <w:w w:val="100"/>
                <w:position w:val="0"/>
                <w:sz w:val="12"/>
                <w:szCs w:val="12"/>
                <w:shd w:val="clear" w:color="auto" w:fill="auto"/>
                <w:lang w:val="en-US" w:eastAsia="en-US" w:bidi="en-US"/>
              </w:rPr>
              <w:t>Zohar</w:t>
            </w:r>
            <w:r>
              <w:rPr>
                <w:rFonts w:ascii="Arial" w:eastAsia="Arial" w:hAnsi="Arial" w:cs="Arial"/>
                <w:color w:val="000000"/>
                <w:spacing w:val="0"/>
                <w:w w:val="100"/>
                <w:position w:val="0"/>
                <w:sz w:val="12"/>
                <w:szCs w:val="12"/>
                <w:shd w:val="clear" w:color="auto" w:fill="auto"/>
                <w:lang w:val="en-US" w:eastAsia="en-US" w:bidi="en-US"/>
              </w:rPr>
              <w:t xml:space="preserve"> </w:t>
            </w:r>
            <w:r>
              <w:rPr>
                <w:rFonts w:ascii="Arial" w:eastAsia="Arial" w:hAnsi="Arial" w:cs="Arial"/>
                <w:color w:val="000000"/>
                <w:spacing w:val="0"/>
                <w:w w:val="100"/>
                <w:position w:val="0"/>
                <w:sz w:val="12"/>
                <w:szCs w:val="12"/>
                <w:shd w:val="clear" w:color="auto" w:fill="auto"/>
                <w:lang w:val="hr-HR" w:eastAsia="hr-HR" w:bidi="hr-HR"/>
              </w:rPr>
              <w:t>tiskan</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početak rcformacijc</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63"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1558./60.</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both"/>
              <w:rPr>
                <w:sz w:val="12"/>
                <w:szCs w:val="12"/>
              </w:rPr>
            </w:pPr>
            <w:r>
              <w:rPr>
                <w:rFonts w:ascii="Arial" w:eastAsia="Arial" w:hAnsi="Arial" w:cs="Arial"/>
                <w:color w:val="000000"/>
                <w:spacing w:val="0"/>
                <w:w w:val="100"/>
                <w:position w:val="0"/>
                <w:sz w:val="12"/>
                <w:szCs w:val="12"/>
                <w:shd w:val="clear" w:color="auto" w:fill="auto"/>
                <w:lang w:val="en-US" w:eastAsia="en-US" w:bidi="en-US"/>
              </w:rPr>
              <w:t>(Martin Luther)</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68" w:hRule="exact"/>
        </w:trPr>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1550+1516</w:t>
            </w:r>
          </w:p>
        </w:tc>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Prvi Zidovi (maram)</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tabs>
                <w:tab w:pos="893"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1520.</w:t>
              <w:tab/>
              <w:t>Lutherov izgon</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1520.-1566.</w:t>
            </w:r>
          </w:p>
        </w:tc>
      </w:tr>
      <w:tr>
        <w:trPr>
          <w:trHeight w:val="336"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u Americi. Geto u Mlecima</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tabs>
                <w:tab w:pos="89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1522.</w:t>
              <w:tab/>
              <w:t>Rcformacija u</w:t>
            </w:r>
          </w:p>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Zurichu (Zwingli)</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326"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1516.-1918.</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ind w:left="26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Turska vlast nad Erec Jisraclom</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tabs>
                <w:tab w:pos="893"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en-US" w:eastAsia="en-US" w:bidi="en-US"/>
              </w:rPr>
              <w:t>1529.</w:t>
              <w:tab/>
            </w:r>
            <w:r>
              <w:rPr>
                <w:rFonts w:ascii="Arial" w:eastAsia="Arial" w:hAnsi="Arial" w:cs="Arial"/>
                <w:color w:val="000000"/>
                <w:spacing w:val="0"/>
                <w:w w:val="100"/>
                <w:position w:val="0"/>
                <w:sz w:val="12"/>
                <w:szCs w:val="12"/>
                <w:shd w:val="clear" w:color="auto" w:fill="auto"/>
                <w:lang w:val="hr-HR" w:eastAsia="hr-HR" w:bidi="hr-HR"/>
              </w:rPr>
              <w:t>»Marburtki religijski</w:t>
            </w:r>
          </w:p>
          <w:p>
            <w:pPr>
              <w:pStyle w:val="Style7"/>
              <w:keepNext w:val="0"/>
              <w:keepLines w:val="0"/>
              <w:framePr w:w="4930" w:h="9442" w:wrap="none" w:hAnchor="page" w:x="207" w:y="112"/>
              <w:widowControl w:val="0"/>
              <w:shd w:val="clear" w:color="auto" w:fill="auto"/>
              <w:bidi w:val="0"/>
              <w:spacing w:before="0" w:after="0" w:line="240" w:lineRule="auto"/>
              <w:ind w:left="92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dijalog« između</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446"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l.uthcra i </w:t>
            </w:r>
            <w:r>
              <w:rPr>
                <w:rFonts w:ascii="Arial" w:eastAsia="Arial" w:hAnsi="Arial" w:cs="Arial"/>
                <w:color w:val="000000"/>
                <w:spacing w:val="0"/>
                <w:w w:val="100"/>
                <w:position w:val="0"/>
                <w:sz w:val="12"/>
                <w:szCs w:val="12"/>
                <w:shd w:val="clear" w:color="auto" w:fill="auto"/>
                <w:lang w:val="en-US" w:eastAsia="en-US" w:bidi="en-US"/>
              </w:rPr>
              <w:t xml:space="preserve">Zwnglija </w:t>
            </w:r>
            <w:r>
              <w:rPr>
                <w:rFonts w:ascii="Arial" w:eastAsia="Arial" w:hAnsi="Arial" w:cs="Arial"/>
                <w:color w:val="000000"/>
                <w:spacing w:val="0"/>
                <w:w w:val="100"/>
                <w:position w:val="0"/>
                <w:sz w:val="12"/>
                <w:szCs w:val="12"/>
                <w:shd w:val="clear" w:color="auto" w:fill="auto"/>
                <w:lang w:val="hr-HR" w:eastAsia="hr-HR" w:bidi="hr-HR"/>
              </w:rPr>
              <w:t>bez usuglašcnusli u shvaćanju Posljednje</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44"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večere</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379"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tabs>
                <w:tab w:pos="854" w:val="left"/>
              </w:tabs>
              <w:bidi w:val="0"/>
              <w:spacing w:before="0" w:after="4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1532.</w:t>
              <w:tab/>
              <w:t>Nurnbcrškt vjerski mir</w:t>
            </w:r>
          </w:p>
          <w:p>
            <w:pPr>
              <w:pStyle w:val="Style7"/>
              <w:keepNext w:val="0"/>
              <w:keepLines w:val="0"/>
              <w:framePr w:w="4930" w:h="9442" w:wrap="none" w:hAnchor="page" w:x="207" w:y="112"/>
              <w:widowControl w:val="0"/>
              <w:shd w:val="clear" w:color="auto" w:fill="auto"/>
              <w:tabs>
                <w:tab w:pos="854"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1536.-1564.</w:t>
              <w:tab/>
              <w:t>Rcformacija u Ženevj</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1534.</w:t>
            </w:r>
          </w:p>
        </w:tc>
      </w:tr>
      <w:tr>
        <w:trPr>
          <w:trHeight w:val="168"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15.38.</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Ponovnu uvođenje</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(Calvin)</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49"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talmud. ordinacije</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tabs>
                <w:tab w:pos="893"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1555.</w:t>
              <w:tab/>
              <w:t>Augshurški vjerski</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58"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u Safedu </w:t>
            </w:r>
            <w:r>
              <w:rPr>
                <w:rFonts w:ascii="Arial" w:eastAsia="Arial" w:hAnsi="Arial" w:cs="Arial"/>
                <w:i/>
                <w:iCs/>
                <w:color w:val="000000"/>
                <w:spacing w:val="0"/>
                <w:w w:val="100"/>
                <w:position w:val="0"/>
                <w:sz w:val="12"/>
                <w:szCs w:val="12"/>
                <w:shd w:val="clear" w:color="auto" w:fill="auto"/>
                <w:lang w:val="hr-HR" w:eastAsia="hr-HR" w:bidi="hr-HR"/>
              </w:rPr>
              <w:t>(semiha)</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mir: pravno</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39" w:hRule="exact"/>
        </w:trPr>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1555.</w:t>
            </w:r>
          </w:p>
        </w:tc>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Papa Pavao IV.</w:t>
            </w:r>
          </w:p>
        </w:tc>
        <w:tc>
          <w:tcPr>
            <w:tcBorders>
              <w:left w:val="single" w:sz="4"/>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priznavanje vjerskog</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78"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nalaže getoizaciju</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raskola u Njemačkoj</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44"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Židova</w:t>
            </w: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tabs>
                <w:tab w:pos="883"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1545.-1563</w:t>
              <w:tab/>
              <w:t>Tridentski koncil:</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523"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1564.</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Josef Karo: </w:t>
            </w:r>
            <w:r>
              <w:rPr>
                <w:rFonts w:ascii="Arial" w:eastAsia="Arial" w:hAnsi="Arial" w:cs="Arial"/>
                <w:i/>
                <w:iCs/>
                <w:color w:val="000000"/>
                <w:spacing w:val="0"/>
                <w:w w:val="100"/>
                <w:position w:val="0"/>
                <w:sz w:val="12"/>
                <w:szCs w:val="12"/>
                <w:shd w:val="clear" w:color="auto" w:fill="auto"/>
                <w:lang w:val="hr-HR" w:eastAsia="hr-HR" w:bidi="hr-HR"/>
              </w:rPr>
              <w:t>šulhan aruh</w:t>
            </w:r>
            <w:r>
              <w:rPr>
                <w:rFonts w:ascii="Arial" w:eastAsia="Arial" w:hAnsi="Arial" w:cs="Arial"/>
                <w:color w:val="000000"/>
                <w:spacing w:val="0"/>
                <w:w w:val="100"/>
                <w:position w:val="0"/>
                <w:sz w:val="12"/>
                <w:szCs w:val="12"/>
                <w:shd w:val="clear" w:color="auto" w:fill="auto"/>
                <w:lang w:val="hr-HR" w:eastAsia="hr-HR" w:bidi="hr-HR"/>
              </w:rPr>
              <w:t xml:space="preserve"> mjerodavni kodeks</w:t>
            </w:r>
          </w:p>
        </w:tc>
        <w:tc>
          <w:tcPr>
            <w:vMerge w:val="restart"/>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92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razlučivanje od reformacije. Proturcformacija Katoličke crkve</w:t>
            </w: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101" w:hRule="exact"/>
        </w:trPr>
        <w:tc>
          <w:tcPr>
            <w:vMerge w:val="restart"/>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1569.-1571.</w:t>
            </w:r>
          </w:p>
        </w:tc>
        <w:tc>
          <w:tcPr>
            <w:vMerge w:val="restart"/>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both"/>
              <w:rPr>
                <w:sz w:val="12"/>
                <w:szCs w:val="12"/>
              </w:rPr>
            </w:pPr>
            <w:r>
              <w:rPr>
                <w:rFonts w:ascii="Arial" w:eastAsia="Arial" w:hAnsi="Arial" w:cs="Arial"/>
                <w:i/>
                <w:iCs/>
                <w:color w:val="000000"/>
                <w:spacing w:val="0"/>
                <w:w w:val="100"/>
                <w:position w:val="0"/>
                <w:sz w:val="12"/>
                <w:szCs w:val="12"/>
                <w:shd w:val="clear" w:color="auto" w:fill="auto"/>
                <w:lang w:val="hr-HR" w:eastAsia="hr-HR" w:bidi="hr-HR"/>
              </w:rPr>
              <w:t>Mapa</w:t>
            </w:r>
            <w:r>
              <w:rPr>
                <w:rFonts w:ascii="Arial" w:eastAsia="Arial" w:hAnsi="Arial" w:cs="Arial"/>
                <w:color w:val="000000"/>
                <w:spacing w:val="0"/>
                <w:w w:val="100"/>
                <w:position w:val="0"/>
                <w:sz w:val="12"/>
                <w:szCs w:val="12"/>
                <w:shd w:val="clear" w:color="auto" w:fill="auto"/>
                <w:lang w:val="hr-HR" w:eastAsia="hr-HR" w:bidi="hr-HR"/>
              </w:rPr>
              <w:t xml:space="preserve"> Moše Iscrlcsa utječe na aškenasko priznanje</w:t>
            </w:r>
          </w:p>
        </w:tc>
        <w:tc>
          <w:tcPr>
            <w:vMerge/>
            <w:tcBorders>
              <w:left w:val="single" w:sz="4"/>
            </w:tcBorders>
            <w:shd w:val="clear" w:color="auto" w:fill="FFFFFF"/>
            <w:vAlign w:val="top"/>
          </w:tcPr>
          <w:p>
            <w:pPr>
              <w:framePr w:w="4930" w:h="9442" w:wrap="none" w:hAnchor="page" w:x="207" w:y="112"/>
            </w:pPr>
          </w:p>
        </w:tc>
        <w:tc>
          <w:tcPr>
            <w:vMerge w:val="restart"/>
            <w:tcBorders>
              <w:left w:val="single" w:sz="4"/>
            </w:tcBorders>
            <w:shd w:val="clear" w:color="auto" w:fill="FFFFFF"/>
            <w:vAlign w:val="center"/>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1556.-1707</w:t>
            </w:r>
          </w:p>
        </w:tc>
      </w:tr>
      <w:tr>
        <w:trPr>
          <w:trHeight w:val="173" w:hRule="exact"/>
        </w:trPr>
        <w:tc>
          <w:tcPr>
            <w:vMerge/>
            <w:tcBorders/>
            <w:shd w:val="clear" w:color="auto" w:fill="FFFFFF"/>
            <w:vAlign w:val="top"/>
          </w:tcPr>
          <w:p>
            <w:pPr>
              <w:framePr w:w="4930" w:h="9442" w:wrap="none" w:hAnchor="page" w:x="207" w:y="112"/>
            </w:pPr>
          </w:p>
        </w:tc>
        <w:tc>
          <w:tcPr>
            <w:vMerge/>
            <w:tcBorders/>
            <w:shd w:val="clear" w:color="auto" w:fill="FFFFFF"/>
            <w:vAlign w:val="top"/>
          </w:tcPr>
          <w:p>
            <w:pPr>
              <w:framePr w:w="4930" w:h="9442" w:wrap="none" w:hAnchor="page" w:x="207" w:y="112"/>
            </w:pPr>
          </w:p>
        </w:tc>
        <w:tc>
          <w:tcPr>
            <w:vMerge w:val="restart"/>
            <w:tcBorders>
              <w:left w:val="single" w:sz="4"/>
            </w:tcBorders>
            <w:shd w:val="clear" w:color="auto" w:fill="FFFFFF"/>
            <w:vAlign w:val="top"/>
          </w:tcPr>
          <w:p>
            <w:pPr>
              <w:framePr w:w="4930" w:h="9442" w:wrap="none" w:hAnchor="page" w:x="207" w:y="112"/>
              <w:widowControl w:val="0"/>
              <w:rPr>
                <w:sz w:val="10"/>
                <w:szCs w:val="10"/>
              </w:rPr>
            </w:pPr>
          </w:p>
        </w:tc>
        <w:tc>
          <w:tcPr>
            <w:vMerge/>
            <w:tcBorders>
              <w:left w:val="single" w:sz="4"/>
            </w:tcBorders>
            <w:shd w:val="clear" w:color="auto" w:fill="FFFFFF"/>
            <w:vAlign w:val="center"/>
          </w:tcPr>
          <w:p>
            <w:pPr>
              <w:framePr w:w="4930" w:h="9442" w:wrap="none" w:hAnchor="page" w:x="207" w:y="112"/>
            </w:pPr>
          </w:p>
        </w:tc>
      </w:tr>
      <w:tr>
        <w:trPr>
          <w:trHeight w:val="158" w:hRule="exact"/>
        </w:trPr>
        <w:tc>
          <w:tcPr>
            <w:vMerge/>
            <w:tcBorders/>
            <w:shd w:val="clear" w:color="auto" w:fill="FFFFFF"/>
            <w:vAlign w:val="top"/>
          </w:tcPr>
          <w:p>
            <w:pPr>
              <w:framePr w:w="4930" w:h="9442" w:wrap="none" w:hAnchor="page" w:x="207" w:y="112"/>
            </w:pPr>
          </w:p>
        </w:tc>
        <w:tc>
          <w:tcPr>
            <w:vMerge/>
            <w:tcBorders/>
            <w:shd w:val="clear" w:color="auto" w:fill="FFFFFF"/>
            <w:vAlign w:val="top"/>
          </w:tcPr>
          <w:p>
            <w:pPr>
              <w:framePr w:w="4930" w:h="9442" w:wrap="none" w:hAnchor="page" w:x="207" w:y="112"/>
            </w:pPr>
          </w:p>
        </w:tc>
        <w:tc>
          <w:tcPr>
            <w:vMerge/>
            <w:tcBorders>
              <w:left w:val="single" w:sz="4"/>
            </w:tcBorders>
            <w:shd w:val="clear" w:color="auto" w:fill="FFFFFF"/>
            <w:vAlign w:val="top"/>
          </w:tcPr>
          <w:p>
            <w:pPr>
              <w:framePr w:w="4930" w:h="9442" w:wrap="none" w:hAnchor="page" w:x="207" w:y="112"/>
            </w:pP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466"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1569.-1572.</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Isaak Luria: </w:t>
            </w:r>
            <w:r>
              <w:rPr>
                <w:rFonts w:ascii="Arial" w:eastAsia="Arial" w:hAnsi="Arial" w:cs="Arial"/>
                <w:color w:val="000000"/>
                <w:spacing w:val="0"/>
                <w:w w:val="100"/>
                <w:position w:val="0"/>
                <w:sz w:val="12"/>
                <w:szCs w:val="12"/>
                <w:shd w:val="clear" w:color="auto" w:fill="auto"/>
                <w:lang w:val="hr-HR" w:eastAsia="hr-HR" w:bidi="hr-HR"/>
              </w:rPr>
              <w:t>poglavar kahal. škole u Safedu</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317"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1500.-1700.</w:t>
            </w:r>
          </w:p>
        </w:tc>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Mesijanski pokreti, Šabataj Cevi</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166«.</w:t>
            </w:r>
          </w:p>
        </w:tc>
      </w:tr>
      <w:tr>
        <w:trPr>
          <w:trHeight w:val="226" w:hRule="exact"/>
        </w:trPr>
        <w:tc>
          <w:tcPr>
            <w:tcBorders/>
            <w:shd w:val="clear" w:color="auto" w:fill="FFFFFF"/>
            <w:vAlign w:val="top"/>
          </w:tcPr>
          <w:p>
            <w:pPr>
              <w:framePr w:w="4930" w:h="9442" w:wrap="none" w:hAnchor="page" w:x="207" w:y="112"/>
              <w:widowControl w:val="0"/>
              <w:rPr>
                <w:sz w:val="10"/>
                <w:szCs w:val="10"/>
              </w:rPr>
            </w:pP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1626.-1676.</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293" w:hRule="exact"/>
        </w:trPr>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Prijelazno</w:t>
            </w:r>
          </w:p>
        </w:tc>
        <w:tc>
          <w:tcPr>
            <w:tcBorders/>
            <w:shd w:val="clear" w:color="auto" w:fill="FFFFFF"/>
            <w:vAlign w:val="bottom"/>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razdoblje</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framePr w:w="4930" w:h="9442" w:wrap="none" w:hAnchor="page" w:x="207" w:y="112"/>
              <w:widowControl w:val="0"/>
              <w:rPr>
                <w:sz w:val="10"/>
                <w:szCs w:val="10"/>
              </w:rPr>
            </w:pPr>
          </w:p>
        </w:tc>
      </w:tr>
      <w:tr>
        <w:trPr>
          <w:trHeight w:val="509" w:hRule="exact"/>
        </w:trPr>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1685.</w:t>
            </w:r>
          </w:p>
        </w:tc>
        <w:tc>
          <w:tcPr>
            <w:tcBorders/>
            <w:shd w:val="clear" w:color="auto" w:fill="FFFFFF"/>
            <w:vAlign w:val="top"/>
          </w:tcPr>
          <w:p>
            <w:pPr>
              <w:pStyle w:val="Style7"/>
              <w:keepNext w:val="0"/>
              <w:keepLines w:val="0"/>
              <w:framePr w:w="4930" w:h="9442" w:wrap="none" w:hAnchor="page" w:x="207" w:y="112"/>
              <w:widowControl w:val="0"/>
              <w:shd w:val="clear" w:color="auto" w:fill="auto"/>
              <w:bidi w:val="0"/>
              <w:spacing w:before="0" w:after="0" w:line="240" w:lineRule="auto"/>
              <w:ind w:left="2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Židovi u Engleskoj dobivaju vjersku slobodu</w:t>
            </w:r>
          </w:p>
        </w:tc>
        <w:tc>
          <w:tcPr>
            <w:tcBorders>
              <w:left w:val="single" w:sz="4"/>
            </w:tcBorders>
            <w:shd w:val="clear" w:color="auto" w:fill="FFFFFF"/>
            <w:vAlign w:val="top"/>
          </w:tcPr>
          <w:p>
            <w:pPr>
              <w:framePr w:w="4930" w:h="9442" w:wrap="none" w:hAnchor="page" w:x="207" w:y="112"/>
              <w:widowControl w:val="0"/>
              <w:rPr>
                <w:sz w:val="10"/>
                <w:szCs w:val="10"/>
              </w:rPr>
            </w:pPr>
          </w:p>
        </w:tc>
        <w:tc>
          <w:tcPr>
            <w:tcBorders>
              <w:left w:val="single" w:sz="4"/>
            </w:tcBorders>
            <w:shd w:val="clear" w:color="auto" w:fill="FFFFFF"/>
            <w:vAlign w:val="top"/>
          </w:tcPr>
          <w:p>
            <w:pPr>
              <w:framePr w:w="4930" w:h="9442" w:wrap="none" w:hAnchor="page" w:x="207" w:y="112"/>
              <w:widowControl w:val="0"/>
              <w:rPr>
                <w:sz w:val="10"/>
                <w:szCs w:val="10"/>
              </w:rPr>
            </w:pPr>
          </w:p>
        </w:tc>
      </w:tr>
    </w:tbl>
    <w:p>
      <w:pPr>
        <w:framePr w:w="4930" w:h="9442" w:wrap="none" w:hAnchor="page" w:x="207" w:y="112"/>
        <w:widowControl w:val="0"/>
        <w:spacing w:line="1" w:lineRule="exact"/>
      </w:pPr>
    </w:p>
    <w:p>
      <w:pPr>
        <w:pStyle w:val="Style56"/>
        <w:keepNext w:val="0"/>
        <w:keepLines w:val="0"/>
        <w:framePr w:w="518" w:h="187" w:wrap="none" w:hAnchor="page" w:x="5219" w:y="165"/>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3. islam</w:t>
      </w:r>
    </w:p>
    <w:p>
      <w:pPr>
        <w:pStyle w:val="Style56"/>
        <w:keepNext w:val="0"/>
        <w:keepLines w:val="0"/>
        <w:framePr w:w="1200" w:h="4066" w:wrap="none" w:hAnchor="page" w:x="5310" w:y="991"/>
        <w:widowControl w:val="0"/>
        <w:shd w:val="clear" w:color="auto" w:fill="auto"/>
        <w:bidi w:val="0"/>
        <w:spacing w:before="0" w:after="0" w:line="293" w:lineRule="auto"/>
        <w:ind w:left="0" w:right="0" w:firstLine="0"/>
        <w:jc w:val="left"/>
      </w:pPr>
      <w:r>
        <w:rPr>
          <w:color w:val="000000"/>
          <w:spacing w:val="0"/>
          <w:w w:val="100"/>
          <w:position w:val="0"/>
          <w:shd w:val="clear" w:color="auto" w:fill="auto"/>
          <w:lang w:val="hr-HR" w:eastAsia="hr-HR" w:bidi="hr-HR"/>
        </w:rPr>
        <w:t>Prodor Osmanlija u Europu Smrt pjesnika Hafiza Smrt filozofa povijesti Ibn Halduna</w:t>
      </w:r>
    </w:p>
    <w:p>
      <w:pPr>
        <w:pStyle w:val="Style56"/>
        <w:keepNext w:val="0"/>
        <w:keepLines w:val="0"/>
        <w:framePr w:w="1200" w:h="4066" w:wrap="none" w:hAnchor="page" w:x="5310" w:y="991"/>
        <w:widowControl w:val="0"/>
        <w:shd w:val="clear" w:color="auto" w:fill="auto"/>
        <w:bidi w:val="0"/>
        <w:spacing w:before="0" w:after="0" w:line="262" w:lineRule="auto"/>
        <w:ind w:left="0" w:right="0" w:firstLine="0"/>
        <w:jc w:val="left"/>
      </w:pPr>
      <w:r>
        <w:rPr>
          <w:color w:val="000000"/>
          <w:spacing w:val="0"/>
          <w:w w:val="100"/>
          <w:position w:val="0"/>
          <w:shd w:val="clear" w:color="auto" w:fill="auto"/>
          <w:lang w:val="hr-HR" w:eastAsia="hr-HR" w:bidi="hr-HR"/>
        </w:rPr>
        <w:t xml:space="preserve">Osvajanje Konstanlinopolja od strane Osmanlija Pad Granadc. zadnjega muslimanskoga carstva u Španjolskoj Šah </w:t>
      </w:r>
      <w:r>
        <w:rPr>
          <w:color w:val="000000"/>
          <w:spacing w:val="0"/>
          <w:w w:val="100"/>
          <w:position w:val="0"/>
          <w:shd w:val="clear" w:color="auto" w:fill="auto"/>
        </w:rPr>
        <w:t xml:space="preserve">Ismail </w:t>
      </w:r>
      <w:r>
        <w:rPr>
          <w:color w:val="000000"/>
          <w:spacing w:val="0"/>
          <w:w w:val="100"/>
          <w:position w:val="0"/>
          <w:shd w:val="clear" w:color="auto" w:fill="auto"/>
          <w:lang w:val="hr-HR" w:eastAsia="hr-HR" w:bidi="hr-HR"/>
        </w:rPr>
        <w:t>osvaja Iran i uvodi duodccimalni šijizam kao državnu religiju</w:t>
      </w:r>
    </w:p>
    <w:p>
      <w:pPr>
        <w:pStyle w:val="Style56"/>
        <w:keepNext w:val="0"/>
        <w:keepLines w:val="0"/>
        <w:framePr w:w="1200" w:h="4066" w:wrap="none" w:hAnchor="page" w:x="5310" w:y="991"/>
        <w:widowControl w:val="0"/>
        <w:shd w:val="clear" w:color="auto" w:fill="auto"/>
        <w:bidi w:val="0"/>
        <w:spacing w:before="0" w:after="180" w:line="240" w:lineRule="auto"/>
        <w:ind w:left="0" w:right="0" w:firstLine="0"/>
        <w:jc w:val="both"/>
      </w:pPr>
      <w:r>
        <w:rPr>
          <w:color w:val="000000"/>
          <w:spacing w:val="0"/>
          <w:w w:val="100"/>
          <w:position w:val="0"/>
          <w:shd w:val="clear" w:color="auto" w:fill="auto"/>
          <w:lang w:val="hr-HR" w:eastAsia="hr-HR" w:bidi="hr-HR"/>
        </w:rPr>
        <w:t>Osmansko osvajanje Sirije i Egipta</w:t>
      </w:r>
    </w:p>
    <w:p>
      <w:pPr>
        <w:pStyle w:val="Style56"/>
        <w:keepNext w:val="0"/>
        <w:keepLines w:val="0"/>
        <w:framePr w:w="1200" w:h="4066" w:wrap="none" w:hAnchor="page" w:x="5310" w:y="991"/>
        <w:widowControl w:val="0"/>
        <w:shd w:val="clear" w:color="auto" w:fill="auto"/>
        <w:bidi w:val="0"/>
        <w:spacing w:before="0" w:after="100" w:line="240" w:lineRule="auto"/>
        <w:ind w:left="0" w:right="0" w:firstLine="0"/>
        <w:jc w:val="left"/>
      </w:pPr>
      <w:r>
        <w:rPr>
          <w:color w:val="000000"/>
          <w:spacing w:val="0"/>
          <w:w w:val="100"/>
          <w:position w:val="0"/>
          <w:shd w:val="clear" w:color="auto" w:fill="auto"/>
          <w:lang w:val="hr-HR" w:eastAsia="hr-HR" w:bidi="hr-HR"/>
        </w:rPr>
        <w:t>Osmansko Carstvo doživljava pod Sulejnianom Veličanstvenim najveću ekspanziju (1526. prva ojisada Beča)</w:t>
      </w:r>
    </w:p>
    <w:p>
      <w:pPr>
        <w:pStyle w:val="Style56"/>
        <w:keepNext w:val="0"/>
        <w:keepLines w:val="0"/>
        <w:framePr w:w="864" w:h="187" w:wrap="none" w:hAnchor="page" w:x="5315" w:y="548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Osvajanje Iraka</w:t>
      </w:r>
    </w:p>
    <w:p>
      <w:pPr>
        <w:pStyle w:val="Style56"/>
        <w:keepNext w:val="0"/>
        <w:keepLines w:val="0"/>
        <w:framePr w:w="1090" w:h="322" w:wrap="none" w:hAnchor="page" w:x="5310" w:y="7375"/>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Procvat mogulskoga carstva u Indiji</w:t>
      </w:r>
    </w:p>
    <w:p>
      <w:pPr>
        <w:pStyle w:val="Style56"/>
        <w:keepNext w:val="0"/>
        <w:keepLines w:val="0"/>
        <w:framePr w:w="854" w:h="326" w:wrap="none" w:hAnchor="page" w:x="5315" w:y="823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hr-HR" w:eastAsia="hr-HR" w:bidi="hr-HR"/>
        </w:rPr>
        <w:t>Osmanlijc gube Ugarsku</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41" w:line="1" w:lineRule="exact"/>
      </w:pPr>
    </w:p>
    <w:p>
      <w:pPr>
        <w:widowControl w:val="0"/>
        <w:spacing w:line="1" w:lineRule="exact"/>
        <w:sectPr>
          <w:footnotePr>
            <w:pos w:val="pageBottom"/>
            <w:numFmt w:val="decimal"/>
            <w:numRestart w:val="continuous"/>
            <w15:footnoteColumns w:val="1"/>
          </w:footnotePr>
          <w:pgSz w:w="6706" w:h="11078"/>
          <w:pgMar w:top="782" w:left="206" w:right="196" w:bottom="600" w:header="0" w:footer="3" w:gutter="0"/>
          <w:cols w:space="720"/>
          <w:noEndnote/>
          <w:rtlGutter w:val="0"/>
          <w:docGrid w:linePitch="360"/>
        </w:sectPr>
      </w:pPr>
    </w:p>
    <w:tbl>
      <w:tblPr>
        <w:tblOverlap w:val="never"/>
        <w:jc w:val="center"/>
        <w:tblLayout w:type="fixed"/>
      </w:tblPr>
      <w:tblGrid>
        <w:gridCol w:w="922"/>
        <w:gridCol w:w="1157"/>
        <w:gridCol w:w="2136"/>
        <w:gridCol w:w="566"/>
        <w:gridCol w:w="1598"/>
      </w:tblGrid>
      <w:tr>
        <w:trPr>
          <w:trHeight w:val="269" w:hRule="exact"/>
        </w:trPr>
        <w:tc>
          <w:tcPr>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1. i</w:t>
            </w:r>
          </w:p>
        </w:tc>
        <w:tc>
          <w:tcPr>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both"/>
              <w:rPr>
                <w:sz w:val="13"/>
                <w:szCs w:val="13"/>
              </w:rPr>
            </w:pPr>
            <w:r>
              <w:rPr>
                <w:rFonts w:ascii="Arial" w:eastAsia="Arial" w:hAnsi="Arial" w:cs="Arial"/>
                <w:color w:val="000000"/>
                <w:spacing w:val="0"/>
                <w:w w:val="100"/>
                <w:position w:val="0"/>
                <w:sz w:val="13"/>
                <w:szCs w:val="13"/>
                <w:shd w:val="clear" w:color="auto" w:fill="auto"/>
                <w:lang w:val="hr-HR" w:eastAsia="hr-HR" w:bidi="hr-HR"/>
              </w:rPr>
              <w:t>dovstvo</w:t>
            </w:r>
          </w:p>
        </w:tc>
        <w:tc>
          <w:tcPr>
            <w:tcBorders>
              <w:left w:val="single" w:sz="4"/>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2. kršćanstvo</w:t>
            </w:r>
          </w:p>
        </w:tc>
        <w:tc>
          <w:tcPr>
            <w:gridSpan w:val="2"/>
            <w:tcBorders>
              <w:left w:val="single" w:sz="4"/>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3"/>
                <w:szCs w:val="13"/>
                <w:shd w:val="clear" w:color="auto" w:fill="auto"/>
                <w:lang w:val="hr-HR" w:eastAsia="hr-HR" w:bidi="hr-HR"/>
              </w:rPr>
              <w:t>3. islam</w:t>
            </w:r>
          </w:p>
        </w:tc>
      </w:tr>
      <w:tr>
        <w:trPr>
          <w:trHeight w:val="504" w:hRule="exact"/>
        </w:trPr>
        <w:tc>
          <w:tcPr>
            <w:tcBorders>
              <w:top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1750.</w:t>
            </w:r>
          </w:p>
        </w:tc>
        <w:tc>
          <w:tcPr>
            <w:tcBorders>
              <w:top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U Pruskoj strogo Zakonodavstvo</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protiv Židova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58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XVIII. M.</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Hasidizam: nanxlm </w:t>
            </w:r>
            <w:r>
              <w:rPr>
                <w:rFonts w:ascii="Arial" w:eastAsia="Arial" w:hAnsi="Arial" w:cs="Arial"/>
                <w:color w:val="000000"/>
                <w:spacing w:val="0"/>
                <w:w w:val="100"/>
                <w:position w:val="0"/>
                <w:sz w:val="12"/>
                <w:szCs w:val="12"/>
                <w:shd w:val="clear" w:color="auto" w:fill="auto"/>
                <w:lang w:val="hr-HR" w:eastAsia="hr-HR" w:bidi="hr-HR"/>
              </w:rPr>
              <w:t>preporod u Istočnoj Europi, utemeljitelj: Baal Sem Tov</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730"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(Jisracl ben Eleazar) </w:t>
            </w:r>
            <w:r>
              <w:rPr>
                <w:rFonts w:ascii="Arial" w:eastAsia="Arial" w:hAnsi="Arial" w:cs="Arial"/>
                <w:color w:val="000000"/>
                <w:spacing w:val="0"/>
                <w:w w:val="100"/>
                <w:position w:val="0"/>
                <w:sz w:val="12"/>
                <w:szCs w:val="12"/>
                <w:shd w:val="clear" w:color="auto" w:fill="auto"/>
                <w:lang w:val="hr-HR" w:eastAsia="hr-HR" w:bidi="hr-HR"/>
              </w:rPr>
              <w:t>Italija: Moše Hajim Luzzatto priprema novovjeku hebr- litcraturu</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17"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1781.</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»O građanskom polx&gt;ljšanju Zidova«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5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C.W. </w:t>
            </w:r>
            <w:r>
              <w:rPr>
                <w:rFonts w:ascii="Arial" w:eastAsia="Arial" w:hAnsi="Arial" w:cs="Arial"/>
                <w:color w:val="000000"/>
                <w:spacing w:val="0"/>
                <w:w w:val="100"/>
                <w:position w:val="0"/>
                <w:sz w:val="12"/>
                <w:szCs w:val="12"/>
                <w:shd w:val="clear" w:color="auto" w:fill="auto"/>
                <w:lang w:val="hr-HR" w:eastAsia="hr-HR" w:bidi="hr-HR"/>
              </w:rPr>
              <w:t>von Dohma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686"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1782.</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Patent u toleranciji Josipa II. Njemačka: </w:t>
            </w:r>
            <w:r>
              <w:rPr>
                <w:rFonts w:ascii="Arial" w:eastAsia="Arial" w:hAnsi="Arial" w:cs="Arial"/>
                <w:color w:val="000000"/>
                <w:spacing w:val="0"/>
                <w:w w:val="100"/>
                <w:position w:val="0"/>
                <w:sz w:val="12"/>
                <w:szCs w:val="12"/>
                <w:shd w:val="clear" w:color="auto" w:fill="auto"/>
                <w:lang w:val="en-US" w:eastAsia="en-US" w:bidi="en-US"/>
              </w:rPr>
              <w:t xml:space="preserve">Moses Mendelssohn </w:t>
            </w:r>
            <w:r>
              <w:rPr>
                <w:rFonts w:ascii="Arial" w:eastAsia="Arial" w:hAnsi="Arial" w:cs="Arial"/>
                <w:color w:val="000000"/>
                <w:spacing w:val="0"/>
                <w:w w:val="100"/>
                <w:position w:val="0"/>
                <w:sz w:val="12"/>
                <w:szCs w:val="12"/>
                <w:shd w:val="clear" w:color="auto" w:fill="auto"/>
                <w:lang w:val="hr-HR" w:eastAsia="hr-HR" w:bidi="hr-HR"/>
              </w:rPr>
              <w:t>1729.-1786.</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98"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hr-HR" w:eastAsia="hr-HR" w:bidi="hr-HR"/>
              </w:rPr>
              <w:t>Emancipacija</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27"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179]</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Francuska: puna</w:t>
            </w:r>
          </w:p>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građanska prava za Zidove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1798.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6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Osvajanje Egipta </w:t>
            </w:r>
            <w:r>
              <w:rPr>
                <w:rFonts w:ascii="Arial" w:eastAsia="Arial" w:hAnsi="Arial" w:cs="Arial"/>
                <w:color w:val="000000"/>
                <w:spacing w:val="0"/>
                <w:w w:val="100"/>
                <w:position w:val="0"/>
                <w:sz w:val="12"/>
                <w:szCs w:val="12"/>
                <w:shd w:val="clear" w:color="auto" w:fill="auto"/>
                <w:lang w:val="en-US" w:eastAsia="en-US" w:bidi="en-US"/>
              </w:rPr>
              <w:t xml:space="preserve">oil </w:t>
            </w:r>
            <w:r>
              <w:rPr>
                <w:rFonts w:ascii="Arial" w:eastAsia="Arial" w:hAnsi="Arial" w:cs="Arial"/>
                <w:color w:val="000000"/>
                <w:spacing w:val="0"/>
                <w:w w:val="100"/>
                <w:position w:val="0"/>
                <w:sz w:val="12"/>
                <w:szCs w:val="12"/>
                <w:shd w:val="clear" w:color="auto" w:fill="auto"/>
                <w:lang w:val="hr-HR" w:eastAsia="hr-HR" w:bidi="hr-HR"/>
              </w:rPr>
              <w:t>strane Napolcona</w:t>
            </w:r>
          </w:p>
        </w:tc>
      </w:tr>
      <w:tr>
        <w:trPr>
          <w:trHeight w:val="26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1830.</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36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Francuska invazija u Alžiru</w:t>
            </w:r>
          </w:p>
        </w:tc>
      </w:tr>
      <w:tr>
        <w:trPr>
          <w:trHeight w:val="442"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1835</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Rusija i Poljska: opresivni ustav za Židove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51"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1848.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Njemačka: emancipacija. Društvo za kulturu</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74"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 znanost Židovstva</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1819.</w:t>
            </w:r>
          </w:p>
        </w:tc>
        <w:tc>
          <w:tcPr>
            <w:tcBorders>
              <w:left w:val="single" w:sz="4"/>
            </w:tcBorders>
            <w:shd w:val="clear" w:color="auto" w:fill="FFFFFF"/>
            <w:vAlign w:val="bottom"/>
          </w:tcPr>
          <w:p>
            <w:pPr>
              <w:pStyle w:val="Style7"/>
              <w:keepNext w:val="0"/>
              <w:keepLines w:val="0"/>
              <w:widowControl w:val="0"/>
              <w:shd w:val="clear" w:color="auto" w:fill="auto"/>
              <w:tabs>
                <w:tab w:pos="89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1854.</w:t>
              <w:tab/>
              <w:t>Dogma o Bezgrešnom</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8" w:hRule="exact"/>
        </w:trPr>
        <w:tc>
          <w:tcPr>
            <w:vMerge w:val="restart"/>
            <w:tcBorders/>
            <w:shd w:val="clear" w:color="auto" w:fill="FFFFFF"/>
            <w:vAlign w:val="center"/>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1862.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Moses Hess: </w:t>
            </w:r>
            <w:r>
              <w:rPr>
                <w:rFonts w:ascii="Arial" w:eastAsia="Arial" w:hAnsi="Arial" w:cs="Arial"/>
                <w:color w:val="000000"/>
                <w:spacing w:val="0"/>
                <w:w w:val="100"/>
                <w:position w:val="0"/>
                <w:sz w:val="12"/>
                <w:szCs w:val="12"/>
                <w:shd w:val="clear" w:color="auto" w:fill="auto"/>
                <w:lang w:val="hr-HR" w:eastAsia="hr-HR" w:bidi="hr-HR"/>
              </w:rPr>
              <w:t>»Rim i</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9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Marijinu žačeću</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1858</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6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lz Indije prognan zadnji</w:t>
            </w:r>
          </w:p>
        </w:tc>
      </w:tr>
      <w:tr>
        <w:trPr>
          <w:trHeight w:val="173" w:hRule="exact"/>
        </w:trPr>
        <w:tc>
          <w:tcPr>
            <w:vMerge/>
            <w:tcBorders/>
            <w:shd w:val="clear" w:color="auto" w:fill="FFFFFF"/>
            <w:vAlign w:val="center"/>
          </w:tcPr>
          <w:p>
            <w:pP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Jeruzalem« -</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36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islamski sultan</w:t>
            </w:r>
          </w:p>
        </w:tc>
      </w:tr>
      <w:tr>
        <w:trPr>
          <w:trHeight w:val="518"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nac.-drž. rješenje</w:t>
            </w:r>
          </w:p>
          <w:p>
            <w:pPr>
              <w:pStyle w:val="Style7"/>
              <w:keepNext w:val="0"/>
              <w:keepLines w:val="0"/>
              <w:widowControl w:val="0"/>
              <w:shd w:val="clear" w:color="auto" w:fill="auto"/>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židovskoga pitanja u Palestini</w:t>
            </w:r>
          </w:p>
        </w:tc>
        <w:tc>
          <w:tcPr>
            <w:tcBorders>
              <w:left w:val="single" w:sz="4"/>
            </w:tcBorders>
            <w:shd w:val="clear" w:color="auto" w:fill="FFFFFF"/>
            <w:vAlign w:val="bottom"/>
          </w:tcPr>
          <w:p>
            <w:pPr>
              <w:pStyle w:val="Style7"/>
              <w:keepNext w:val="0"/>
              <w:keepLines w:val="0"/>
              <w:widowControl w:val="0"/>
              <w:shd w:val="clear" w:color="auto" w:fill="auto"/>
              <w:tabs>
                <w:tab w:pos="89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1869.-1870.</w:t>
              <w:tab/>
              <w:t>Prvi vatikanski koncil:</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12"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papin primat i nepogrešivost</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tabs>
                <w:tab w:pos="893"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1872.-1878.</w:t>
              <w:tab/>
              <w:t>»Kulturkampf«</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859"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između države i Katoličke crkve u Pruskoj i Njemačkom Carstvu; potiskivanje Crkve iz tradicionalnih zadaća</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82"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7"/>
              <w:keepNext w:val="0"/>
              <w:keepLines w:val="0"/>
              <w:widowControl w:val="0"/>
              <w:shd w:val="clear" w:color="auto" w:fill="auto"/>
              <w:tabs>
                <w:tab w:pos="888" w:val="left"/>
              </w:tabs>
              <w:bidi w:val="0"/>
              <w:spacing w:before="0" w:after="0" w:line="240" w:lineRule="auto"/>
              <w:ind w:left="0" w:right="0" w:firstLine="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1875.</w:t>
              <w:tab/>
              <w:t>Osnivanje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4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Rcfurmaeijskoga</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1882.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Leon Pinsker:</w:t>
            </w:r>
          </w:p>
        </w:tc>
        <w:tc>
          <w:tcPr>
            <w:tcBorders>
              <w:left w:val="single" w:sz="4"/>
            </w:tcBorders>
            <w:shd w:val="clear" w:color="auto" w:fill="FFFFFF"/>
            <w:vAlign w:val="top"/>
          </w:tcPr>
          <w:p>
            <w:pPr>
              <w:pStyle w:val="Style7"/>
              <w:keepNext w:val="0"/>
              <w:keepLines w:val="0"/>
              <w:widowControl w:val="0"/>
              <w:shd w:val="clear" w:color="auto" w:fill="auto"/>
              <w:bidi w:val="0"/>
              <w:spacing w:before="0" w:after="0" w:line="240" w:lineRule="auto"/>
              <w:ind w:left="94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svjetskog saveza</w:t>
            </w:r>
          </w:p>
        </w:tc>
        <w:tc>
          <w:tcPr>
            <w:tcBorders>
              <w:left w:val="single" w:sz="4"/>
            </w:tcBorders>
            <w:shd w:val="clear" w:color="auto" w:fill="FFFFFF"/>
            <w:vAlign w:val="bottom"/>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1882.</w:t>
            </w:r>
          </w:p>
        </w:tc>
        <w:tc>
          <w:tcPr>
            <w:tcBorders/>
            <w:shd w:val="clear" w:color="auto" w:fill="FFFFFF"/>
            <w:vAlign w:val="bottom"/>
          </w:tcPr>
          <w:p>
            <w:pPr>
              <w:pStyle w:val="Style7"/>
              <w:keepNext w:val="0"/>
              <w:keepLines w:val="0"/>
              <w:widowControl w:val="0"/>
              <w:shd w:val="clear" w:color="auto" w:fill="auto"/>
              <w:bidi w:val="0"/>
              <w:spacing w:before="0" w:after="0" w:line="240" w:lineRule="auto"/>
              <w:ind w:left="36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Velika Britanija</w:t>
            </w:r>
          </w:p>
        </w:tc>
      </w:tr>
      <w:tr>
        <w:trPr>
          <w:trHeight w:val="168"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»auto-cmanci panja«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7"/>
              <w:keepNext w:val="0"/>
              <w:keepLines w:val="0"/>
              <w:widowControl w:val="0"/>
              <w:shd w:val="clear" w:color="auto" w:fill="auto"/>
              <w:bidi w:val="0"/>
              <w:spacing w:before="0" w:after="0" w:line="240" w:lineRule="auto"/>
              <w:ind w:left="360" w:right="0" w:firstLine="20"/>
              <w:jc w:val="both"/>
              <w:rPr>
                <w:sz w:val="12"/>
                <w:szCs w:val="12"/>
              </w:rPr>
            </w:pPr>
            <w:r>
              <w:rPr>
                <w:rFonts w:ascii="Arial" w:eastAsia="Arial" w:hAnsi="Arial" w:cs="Arial"/>
                <w:color w:val="000000"/>
                <w:spacing w:val="0"/>
                <w:w w:val="100"/>
                <w:position w:val="0"/>
                <w:sz w:val="12"/>
                <w:szCs w:val="12"/>
                <w:shd w:val="clear" w:color="auto" w:fill="auto"/>
                <w:lang w:val="hr-HR" w:eastAsia="hr-HR" w:bidi="hr-HR"/>
              </w:rPr>
              <w:t>zaposjeda Egipat</w:t>
            </w:r>
          </w:p>
        </w:tc>
      </w:tr>
      <w:tr>
        <w:trPr>
          <w:trHeight w:val="600"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XIX. </w:t>
            </w:r>
            <w:r>
              <w:rPr>
                <w:rFonts w:ascii="Arial" w:eastAsia="Arial" w:hAnsi="Arial" w:cs="Arial"/>
                <w:color w:val="000000"/>
                <w:spacing w:val="0"/>
                <w:w w:val="100"/>
                <w:position w:val="0"/>
                <w:sz w:val="12"/>
                <w:szCs w:val="12"/>
                <w:shd w:val="clear" w:color="auto" w:fill="auto"/>
                <w:lang w:val="en-US" w:eastAsia="en-US" w:bidi="en-US"/>
              </w:rPr>
              <w:t>st.</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Leopold </w:t>
            </w:r>
            <w:r>
              <w:rPr>
                <w:rFonts w:ascii="Arial" w:eastAsia="Arial" w:hAnsi="Arial" w:cs="Arial"/>
                <w:color w:val="000000"/>
                <w:spacing w:val="0"/>
                <w:w w:val="100"/>
                <w:position w:val="0"/>
                <w:sz w:val="12"/>
                <w:szCs w:val="12"/>
                <w:shd w:val="clear" w:color="auto" w:fill="auto"/>
                <w:lang w:val="hr-HR" w:eastAsia="hr-HR" w:bidi="hr-HR"/>
              </w:rPr>
              <w:t>Zunz - jedan od utemeljitelja znanosti o židovstvu</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14" w:hRule="exact"/>
        </w:trPr>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1885.</w:t>
            </w:r>
          </w:p>
        </w:tc>
        <w:tc>
          <w:tcPr>
            <w:tcBorders/>
            <w:shd w:val="clear" w:color="auto" w:fill="FFFFFF"/>
            <w:vAlign w:val="top"/>
          </w:tcPr>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Pittsburgh Platform:</w:t>
            </w:r>
          </w:p>
          <w:p>
            <w:pPr>
              <w:pStyle w:val="Style7"/>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program reformira</w:t>
              <w:softHyphen/>
            </w:r>
          </w:p>
          <w:p>
            <w:pPr>
              <w:pStyle w:val="Style7"/>
              <w:keepNext w:val="0"/>
              <w:keepLines w:val="0"/>
              <w:widowControl w:val="0"/>
              <w:shd w:val="clear" w:color="auto" w:fill="auto"/>
              <w:bidi w:val="0"/>
              <w:spacing w:before="0" w:after="0" w:line="233"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noga židovstva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6706" w:h="11078"/>
          <w:pgMar w:top="878" w:left="134" w:right="192" w:bottom="782" w:header="0" w:footer="3" w:gutter="0"/>
          <w:cols w:space="720"/>
          <w:noEndnote/>
          <w:rtlGutter w:val="0"/>
          <w:docGrid w:linePitch="360"/>
        </w:sectPr>
      </w:pPr>
    </w:p>
    <w:p>
      <w:pPr>
        <w:widowControl w:val="0"/>
        <w:spacing w:line="119" w:lineRule="exact"/>
        <w:rPr>
          <w:sz w:val="10"/>
          <w:szCs w:val="10"/>
        </w:rPr>
      </w:pPr>
    </w:p>
    <w:p>
      <w:pPr>
        <w:widowControl w:val="0"/>
        <w:spacing w:line="1" w:lineRule="exact"/>
        <w:sectPr>
          <w:headerReference w:type="default" r:id="rId1775"/>
          <w:footerReference w:type="default" r:id="rId1776"/>
          <w:headerReference w:type="even" r:id="rId1777"/>
          <w:footerReference w:type="even" r:id="rId1778"/>
          <w:footnotePr>
            <w:pos w:val="pageBottom"/>
            <w:numFmt w:val="decimal"/>
            <w:numRestart w:val="continuous"/>
            <w15:footnoteColumns w:val="1"/>
          </w:footnotePr>
          <w:pgSz w:w="6706" w:h="11078"/>
          <w:pgMar w:top="789" w:left="202" w:right="178" w:bottom="597" w:header="0" w:footer="3" w:gutter="0"/>
          <w:cols w:space="720"/>
          <w:noEndnote/>
          <w:rtlGutter w:val="0"/>
          <w:docGrid w:linePitch="360"/>
        </w:sectPr>
      </w:pPr>
    </w:p>
    <w:p>
      <w:pPr>
        <w:pStyle w:val="Style56"/>
        <w:keepNext w:val="0"/>
        <w:keepLines w:val="0"/>
        <w:framePr w:w="744" w:h="187" w:wrap="none" w:vAnchor="text" w:hAnchor="page" w:x="860" w:y="2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1. židovstvo</w:t>
      </w:r>
    </w:p>
    <w:p>
      <w:pPr>
        <w:pStyle w:val="Style56"/>
        <w:keepNext w:val="0"/>
        <w:keepLines w:val="0"/>
        <w:framePr w:w="835" w:h="187" w:wrap="none" w:vAnchor="text" w:hAnchor="page" w:x="2910" w:y="2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2. kršćanstvo</w:t>
      </w:r>
    </w:p>
    <w:p>
      <w:pPr>
        <w:pStyle w:val="Style56"/>
        <w:keepNext w:val="0"/>
        <w:keepLines w:val="0"/>
        <w:framePr w:w="523" w:h="187" w:wrap="none" w:vAnchor="text" w:hAnchor="page" w:x="5204" w:y="2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hr-HR" w:eastAsia="hr-HR" w:bidi="hr-HR"/>
        </w:rPr>
        <w:t>3. islam</w:t>
      </w:r>
    </w:p>
    <w:tbl>
      <w:tblPr>
        <w:tblOverlap w:val="never"/>
        <w:jc w:val="left"/>
        <w:tblLayout w:type="fixed"/>
      </w:tblPr>
      <w:tblGrid>
        <w:gridCol w:w="778"/>
        <w:gridCol w:w="1238"/>
      </w:tblGrid>
      <w:tr>
        <w:trPr>
          <w:trHeight w:val="466" w:hRule="exact"/>
        </w:trPr>
        <w:tc>
          <w:tcPr>
            <w:tcBorders>
              <w:top w:val="single" w:sz="4"/>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1893.</w:t>
            </w:r>
          </w:p>
        </w:tc>
        <w:tc>
          <w:tcPr>
            <w:tcBorders>
              <w:top w:val="single" w:sz="4"/>
              <w:right w:val="single" w:sz="4"/>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14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Središnja udruga njemačkih državljana Židovske vjere</w:t>
            </w:r>
          </w:p>
        </w:tc>
      </w:tr>
      <w:tr>
        <w:trPr>
          <w:trHeight w:val="600" w:hRule="exact"/>
        </w:trPr>
        <w:tc>
          <w:tcPr>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XIX </w:t>
            </w:r>
            <w:r>
              <w:rPr>
                <w:rFonts w:ascii="Arial" w:eastAsia="Arial" w:hAnsi="Arial" w:cs="Arial"/>
                <w:color w:val="000000"/>
                <w:spacing w:val="0"/>
                <w:w w:val="100"/>
                <w:position w:val="0"/>
                <w:sz w:val="12"/>
                <w:szCs w:val="12"/>
                <w:shd w:val="clear" w:color="auto" w:fill="auto"/>
                <w:lang w:val="en-US" w:eastAsia="en-US" w:bidi="en-US"/>
              </w:rPr>
              <w:t>st.</w:t>
            </w:r>
          </w:p>
        </w:tc>
        <w:tc>
          <w:tcPr>
            <w:tcBorders>
              <w:right w:val="single" w:sz="4"/>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140" w:right="0" w:firstLine="2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Samson Raphael </w:t>
            </w:r>
            <w:r>
              <w:rPr>
                <w:rFonts w:ascii="Arial" w:eastAsia="Arial" w:hAnsi="Arial" w:cs="Arial"/>
                <w:color w:val="000000"/>
                <w:spacing w:val="0"/>
                <w:w w:val="100"/>
                <w:position w:val="0"/>
                <w:sz w:val="12"/>
                <w:szCs w:val="12"/>
                <w:shd w:val="clear" w:color="auto" w:fill="auto"/>
                <w:lang w:val="hr-HR" w:eastAsia="hr-HR" w:bidi="hr-HR"/>
              </w:rPr>
              <w:t>Htrsclr utemeljitelj ncoortodoksnog židovstva</w:t>
            </w:r>
          </w:p>
        </w:tc>
      </w:tr>
      <w:tr>
        <w:trPr>
          <w:trHeight w:val="614" w:hRule="exact"/>
        </w:trPr>
        <w:tc>
          <w:tcPr>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1894.</w:t>
            </w:r>
          </w:p>
        </w:tc>
        <w:tc>
          <w:tcPr>
            <w:tcBorders>
              <w:right w:val="single" w:sz="4"/>
            </w:tcBorders>
            <w:shd w:val="clear" w:color="auto" w:fill="FFFFFF"/>
            <w:vAlign w:val="bottom"/>
          </w:tcPr>
          <w:p>
            <w:pPr>
              <w:pStyle w:val="Style7"/>
              <w:keepNext w:val="0"/>
              <w:keepLines w:val="0"/>
              <w:framePr w:w="2016" w:h="3725" w:vSpace="221" w:wrap="none" w:vAnchor="text" w:hAnchor="page" w:x="212" w:y="255"/>
              <w:widowControl w:val="0"/>
              <w:shd w:val="clear" w:color="auto" w:fill="auto"/>
              <w:bidi w:val="0"/>
              <w:spacing w:before="0" w:after="0" w:line="240" w:lineRule="auto"/>
              <w:ind w:left="140" w:right="0" w:firstLine="20"/>
              <w:jc w:val="left"/>
              <w:rPr>
                <w:sz w:val="12"/>
                <w:szCs w:val="12"/>
              </w:rPr>
            </w:pPr>
            <w:r>
              <w:rPr>
                <w:rFonts w:ascii="Arial" w:eastAsia="Arial" w:hAnsi="Arial" w:cs="Arial"/>
                <w:color w:val="000000"/>
                <w:spacing w:val="0"/>
                <w:w w:val="100"/>
                <w:position w:val="0"/>
                <w:sz w:val="12"/>
                <w:szCs w:val="12"/>
                <w:shd w:val="clear" w:color="auto" w:fill="auto"/>
                <w:lang w:val="en-US" w:eastAsia="en-US" w:bidi="en-US"/>
              </w:rPr>
              <w:t xml:space="preserve">Dreyfusova </w:t>
            </w:r>
            <w:r>
              <w:rPr>
                <w:rFonts w:ascii="Arial" w:eastAsia="Arial" w:hAnsi="Arial" w:cs="Arial"/>
                <w:color w:val="000000"/>
                <w:spacing w:val="0"/>
                <w:w w:val="100"/>
                <w:position w:val="0"/>
                <w:sz w:val="12"/>
                <w:szCs w:val="12"/>
                <w:shd w:val="clear" w:color="auto" w:fill="auto"/>
                <w:lang w:val="hr-HR" w:eastAsia="hr-HR" w:bidi="hr-HR"/>
              </w:rPr>
              <w:t xml:space="preserve">afera. </w:t>
            </w:r>
            <w:r>
              <w:rPr>
                <w:rFonts w:ascii="Arial" w:eastAsia="Arial" w:hAnsi="Arial" w:cs="Arial"/>
                <w:color w:val="000000"/>
                <w:spacing w:val="0"/>
                <w:w w:val="100"/>
                <w:position w:val="0"/>
                <w:sz w:val="12"/>
                <w:szCs w:val="12"/>
                <w:shd w:val="clear" w:color="auto" w:fill="auto"/>
                <w:lang w:val="en-US" w:eastAsia="en-US" w:bidi="en-US"/>
              </w:rPr>
              <w:t xml:space="preserve">Theodor Herzl: </w:t>
            </w:r>
            <w:r>
              <w:rPr>
                <w:rFonts w:ascii="Arial" w:eastAsia="Arial" w:hAnsi="Arial" w:cs="Arial"/>
                <w:color w:val="000000"/>
                <w:spacing w:val="0"/>
                <w:w w:val="100"/>
                <w:position w:val="0"/>
                <w:sz w:val="12"/>
                <w:szCs w:val="12"/>
                <w:shd w:val="clear" w:color="auto" w:fill="auto"/>
                <w:lang w:val="hr-HR" w:eastAsia="hr-HR" w:bidi="hr-HR"/>
              </w:rPr>
              <w:t>»Židovska država«, 1896.</w:t>
            </w:r>
          </w:p>
        </w:tc>
      </w:tr>
      <w:tr>
        <w:trPr>
          <w:trHeight w:val="480" w:hRule="exact"/>
        </w:trPr>
        <w:tc>
          <w:tcPr>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1922.</w:t>
            </w:r>
          </w:p>
        </w:tc>
        <w:tc>
          <w:tcPr>
            <w:tcBorders>
              <w:right w:val="single" w:sz="4"/>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14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Ahad ha-am u Palestini: </w:t>
            </w:r>
            <w:r>
              <w:rPr>
                <w:rFonts w:ascii="Arial" w:eastAsia="Arial" w:hAnsi="Arial" w:cs="Arial"/>
                <w:i/>
                <w:iCs/>
                <w:color w:val="000000"/>
                <w:spacing w:val="0"/>
                <w:w w:val="100"/>
                <w:position w:val="0"/>
                <w:sz w:val="12"/>
                <w:szCs w:val="12"/>
                <w:shd w:val="clear" w:color="auto" w:fill="auto"/>
                <w:lang w:val="hr-HR" w:eastAsia="hr-HR" w:bidi="hr-HR"/>
              </w:rPr>
              <w:t xml:space="preserve">Hibui citm. </w:t>
            </w:r>
            <w:r>
              <w:rPr>
                <w:rFonts w:ascii="Arial" w:eastAsia="Arial" w:hAnsi="Arial" w:cs="Arial"/>
                <w:color w:val="000000"/>
                <w:spacing w:val="0"/>
                <w:w w:val="100"/>
                <w:position w:val="0"/>
                <w:sz w:val="12"/>
                <w:szCs w:val="12"/>
                <w:shd w:val="clear" w:color="auto" w:fill="auto"/>
                <w:lang w:val="hr-HR" w:eastAsia="hr-HR" w:bidi="hr-HR"/>
              </w:rPr>
              <w:t>Kulturni cionizam</w:t>
            </w:r>
          </w:p>
        </w:tc>
      </w:tr>
      <w:tr>
        <w:trPr>
          <w:trHeight w:val="605" w:hRule="exact"/>
        </w:trPr>
        <w:tc>
          <w:tcPr>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1924.</w:t>
            </w:r>
          </w:p>
        </w:tc>
        <w:tc>
          <w:tcPr>
            <w:tcBorders>
              <w:right w:val="single" w:sz="4"/>
            </w:tcBorders>
            <w:shd w:val="clear" w:color="auto" w:fill="FFFFFF"/>
            <w:vAlign w:val="bottom"/>
          </w:tcPr>
          <w:p>
            <w:pPr>
              <w:pStyle w:val="Style7"/>
              <w:keepNext w:val="0"/>
              <w:keepLines w:val="0"/>
              <w:framePr w:w="2016" w:h="3725" w:vSpace="221" w:wrap="none" w:vAnchor="text" w:hAnchor="page" w:x="212" w:y="255"/>
              <w:widowControl w:val="0"/>
              <w:shd w:val="clear" w:color="auto" w:fill="auto"/>
              <w:bidi w:val="0"/>
              <w:spacing w:before="0" w:after="0" w:line="240" w:lineRule="auto"/>
              <w:ind w:left="14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Hajim Nahman Btalik u Palestini. Klasici novovjeke hebr. literature</w:t>
            </w:r>
          </w:p>
        </w:tc>
      </w:tr>
      <w:tr>
        <w:trPr>
          <w:trHeight w:val="490" w:hRule="exact"/>
        </w:trPr>
        <w:tc>
          <w:tcPr>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1933.-1939.</w:t>
            </w:r>
          </w:p>
        </w:tc>
        <w:tc>
          <w:tcPr>
            <w:tcBorders>
              <w:right w:val="single" w:sz="4"/>
            </w:tcBorders>
            <w:shd w:val="clear" w:color="auto" w:fill="FFFFFF"/>
            <w:vAlign w:val="bottom"/>
          </w:tcPr>
          <w:p>
            <w:pPr>
              <w:pStyle w:val="Style7"/>
              <w:keepNext w:val="0"/>
              <w:keepLines w:val="0"/>
              <w:framePr w:w="2016" w:h="3725" w:vSpace="221" w:wrap="none" w:vAnchor="text" w:hAnchor="page" w:x="212" w:y="255"/>
              <w:widowControl w:val="0"/>
              <w:shd w:val="clear" w:color="auto" w:fill="auto"/>
              <w:bidi w:val="0"/>
              <w:spacing w:before="0" w:after="0" w:line="240" w:lineRule="auto"/>
              <w:ind w:left="14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Peta </w:t>
            </w:r>
            <w:r>
              <w:rPr>
                <w:rFonts w:ascii="Arial" w:eastAsia="Arial" w:hAnsi="Arial" w:cs="Arial"/>
                <w:i/>
                <w:iCs/>
                <w:color w:val="000000"/>
                <w:spacing w:val="0"/>
                <w:w w:val="100"/>
                <w:position w:val="0"/>
                <w:sz w:val="12"/>
                <w:szCs w:val="12"/>
                <w:shd w:val="clear" w:color="auto" w:fill="auto"/>
                <w:lang w:val="hr-HR" w:eastAsia="hr-HR" w:bidi="hr-HR"/>
              </w:rPr>
              <w:t>alija</w:t>
            </w:r>
            <w:r>
              <w:rPr>
                <w:rFonts w:ascii="Arial" w:eastAsia="Arial" w:hAnsi="Arial" w:cs="Arial"/>
                <w:color w:val="000000"/>
                <w:spacing w:val="0"/>
                <w:w w:val="100"/>
                <w:position w:val="0"/>
                <w:sz w:val="12"/>
                <w:szCs w:val="12"/>
                <w:shd w:val="clear" w:color="auto" w:fill="auto"/>
                <w:lang w:val="hr-HR" w:eastAsia="hr-HR" w:bidi="hr-HR"/>
              </w:rPr>
              <w:t xml:space="preserve"> u Ercc Jisracl iz Njemačke (Prva </w:t>
            </w:r>
            <w:r>
              <w:rPr>
                <w:rFonts w:ascii="Arial" w:eastAsia="Arial" w:hAnsi="Arial" w:cs="Arial"/>
                <w:i/>
                <w:iCs/>
                <w:color w:val="000000"/>
                <w:spacing w:val="0"/>
                <w:w w:val="100"/>
                <w:position w:val="0"/>
                <w:sz w:val="12"/>
                <w:szCs w:val="12"/>
                <w:shd w:val="clear" w:color="auto" w:fill="auto"/>
                <w:lang w:val="hr-HR" w:eastAsia="hr-HR" w:bidi="hr-HR"/>
              </w:rPr>
              <w:t>aiija</w:t>
            </w:r>
            <w:r>
              <w:rPr>
                <w:rFonts w:ascii="Arial" w:eastAsia="Arial" w:hAnsi="Arial" w:cs="Arial"/>
                <w:color w:val="000000"/>
                <w:spacing w:val="0"/>
                <w:w w:val="100"/>
                <w:position w:val="0"/>
                <w:sz w:val="12"/>
                <w:szCs w:val="12"/>
                <w:shd w:val="clear" w:color="auto" w:fill="auto"/>
                <w:lang w:val="hr-HR" w:eastAsia="hr-HR" w:bidi="hr-HR"/>
              </w:rPr>
              <w:t xml:space="preserve"> 1882.)</w:t>
            </w:r>
          </w:p>
        </w:tc>
      </w:tr>
      <w:tr>
        <w:trPr>
          <w:trHeight w:val="470" w:hRule="exact"/>
        </w:trPr>
        <w:tc>
          <w:tcPr>
            <w:tcBorders/>
            <w:shd w:val="clear" w:color="auto" w:fill="FFFFFF"/>
            <w:vAlign w:val="top"/>
          </w:tcPr>
          <w:p>
            <w:pPr>
              <w:pStyle w:val="Style7"/>
              <w:keepNext w:val="0"/>
              <w:keepLines w:val="0"/>
              <w:framePr w:w="2016" w:h="3725" w:vSpace="221" w:wrap="none" w:vAnchor="text" w:hAnchor="page" w:x="212" w:y="255"/>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1941. i dalje</w:t>
            </w:r>
          </w:p>
        </w:tc>
        <w:tc>
          <w:tcPr>
            <w:tcBorders>
              <w:right w:val="single" w:sz="4"/>
            </w:tcBorders>
            <w:shd w:val="clear" w:color="auto" w:fill="FFFFFF"/>
            <w:vAlign w:val="bottom"/>
          </w:tcPr>
          <w:p>
            <w:pPr>
              <w:pStyle w:val="Style7"/>
              <w:keepNext w:val="0"/>
              <w:keepLines w:val="0"/>
              <w:framePr w:w="2016" w:h="3725" w:vSpace="221" w:wrap="none" w:vAnchor="text" w:hAnchor="page" w:x="212" w:y="255"/>
              <w:widowControl w:val="0"/>
              <w:shd w:val="clear" w:color="auto" w:fill="auto"/>
              <w:bidi w:val="0"/>
              <w:spacing w:before="0" w:after="0" w:line="240" w:lineRule="auto"/>
              <w:ind w:left="140" w:right="0" w:firstLine="2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Logori smrti. Njemačka 1943. proglašena</w:t>
            </w:r>
          </w:p>
        </w:tc>
      </w:tr>
    </w:tbl>
    <w:p>
      <w:pPr>
        <w:framePr w:w="2016" w:h="3725" w:vSpace="221" w:wrap="none" w:vAnchor="text" w:hAnchor="page" w:x="212" w:y="255"/>
        <w:widowControl w:val="0"/>
        <w:spacing w:line="1" w:lineRule="exact"/>
      </w:pPr>
    </w:p>
    <w:p>
      <w:pPr>
        <w:pStyle w:val="Style49"/>
        <w:keepNext w:val="0"/>
        <w:keepLines w:val="0"/>
        <w:framePr w:w="1963" w:h="269" w:wrap="none" w:vAnchor="text" w:hAnchor="page" w:x="226" w:y="3932"/>
        <w:widowControl w:val="0"/>
        <w:shd w:val="clear" w:color="auto" w:fill="auto"/>
        <w:bidi w:val="0"/>
        <w:spacing w:before="0" w:after="0" w:line="240" w:lineRule="auto"/>
        <w:ind w:left="920" w:right="220" w:firstLine="0"/>
        <w:jc w:val="left"/>
        <w:rPr>
          <w:sz w:val="12"/>
          <w:szCs w:val="12"/>
        </w:rPr>
      </w:pPr>
      <w:r>
        <w:rPr>
          <w:rFonts w:ascii="Arial" w:eastAsia="Arial" w:hAnsi="Arial" w:cs="Arial"/>
          <w:b w:val="0"/>
          <w:bCs w:val="0"/>
          <w:color w:val="000000"/>
          <w:spacing w:val="0"/>
          <w:w w:val="100"/>
          <w:position w:val="0"/>
          <w:sz w:val="12"/>
          <w:szCs w:val="12"/>
          <w:shd w:val="clear" w:color="auto" w:fill="auto"/>
          <w:lang w:val="hr-HR" w:eastAsia="hr-HR" w:bidi="hr-HR"/>
        </w:rPr>
        <w:t>»očišćenom od Židova«</w:t>
      </w:r>
    </w:p>
    <w:p>
      <w:pPr>
        <w:pStyle w:val="Style56"/>
        <w:keepNext w:val="0"/>
        <w:keepLines w:val="0"/>
        <w:framePr w:w="1963" w:h="1070" w:wrap="none" w:vAnchor="text" w:hAnchor="page" w:x="227" w:y="4446"/>
        <w:widowControl w:val="0"/>
        <w:shd w:val="clear" w:color="auto" w:fill="auto"/>
        <w:bidi w:val="0"/>
        <w:spacing w:before="0" w:after="60" w:line="228" w:lineRule="auto"/>
        <w:ind w:left="0" w:right="0" w:firstLine="0"/>
        <w:jc w:val="left"/>
        <w:rPr>
          <w:sz w:val="13"/>
          <w:szCs w:val="13"/>
        </w:rPr>
      </w:pPr>
      <w:r>
        <w:rPr>
          <w:color w:val="000000"/>
          <w:spacing w:val="0"/>
          <w:w w:val="100"/>
          <w:position w:val="0"/>
          <w:sz w:val="13"/>
          <w:szCs w:val="13"/>
          <w:shd w:val="clear" w:color="auto" w:fill="auto"/>
          <w:lang w:val="hr-HR" w:eastAsia="hr-HR" w:bidi="hr-HR"/>
        </w:rPr>
        <w:t>Suvremeno židovstvo</w:t>
      </w:r>
    </w:p>
    <w:p>
      <w:pPr>
        <w:pStyle w:val="Style56"/>
        <w:keepNext w:val="0"/>
        <w:keepLines w:val="0"/>
        <w:framePr w:w="1963" w:h="1070" w:wrap="none" w:vAnchor="text" w:hAnchor="page" w:x="227" w:y="4446"/>
        <w:widowControl w:val="0"/>
        <w:shd w:val="clear" w:color="auto" w:fill="auto"/>
        <w:tabs>
          <w:tab w:pos="898" w:val="left"/>
        </w:tabs>
        <w:bidi w:val="0"/>
        <w:spacing w:before="0" w:after="0" w:line="240" w:lineRule="auto"/>
        <w:ind w:left="0" w:right="0" w:firstLine="0"/>
        <w:jc w:val="both"/>
      </w:pPr>
      <w:r>
        <w:rPr>
          <w:color w:val="000000"/>
          <w:spacing w:val="0"/>
          <w:w w:val="100"/>
          <w:position w:val="0"/>
          <w:shd w:val="clear" w:color="auto" w:fill="auto"/>
          <w:lang w:val="hr-HR" w:eastAsia="hr-HR" w:bidi="hr-HR"/>
        </w:rPr>
        <w:t>1948.</w:t>
        <w:tab/>
        <w:t>Proglašenju Države</w:t>
      </w:r>
    </w:p>
    <w:p>
      <w:pPr>
        <w:pStyle w:val="Style56"/>
        <w:keepNext w:val="0"/>
        <w:keepLines w:val="0"/>
        <w:framePr w:w="1963" w:h="1070" w:wrap="none" w:vAnchor="text" w:hAnchor="page" w:x="227" w:y="4446"/>
        <w:widowControl w:val="0"/>
        <w:shd w:val="clear" w:color="auto" w:fill="auto"/>
        <w:bidi w:val="0"/>
        <w:spacing w:before="0" w:after="0" w:line="240" w:lineRule="auto"/>
        <w:ind w:left="920" w:right="0" w:firstLine="0"/>
        <w:jc w:val="both"/>
      </w:pPr>
      <w:r>
        <w:rPr>
          <w:color w:val="000000"/>
          <w:spacing w:val="0"/>
          <w:w w:val="100"/>
          <w:position w:val="0"/>
          <w:shd w:val="clear" w:color="auto" w:fill="auto"/>
          <w:lang w:val="hr-HR" w:eastAsia="hr-HR" w:bidi="hr-HR"/>
        </w:rPr>
        <w:t>Izrael. Ovdje kao građani u drugim državama svijeta</w:t>
      </w:r>
    </w:p>
    <w:p>
      <w:pPr>
        <w:pStyle w:val="Style56"/>
        <w:keepNext w:val="0"/>
        <w:keepLines w:val="0"/>
        <w:framePr w:w="1963" w:h="1070" w:wrap="none" w:vAnchor="text" w:hAnchor="page" w:x="227" w:y="4446"/>
        <w:widowControl w:val="0"/>
        <w:shd w:val="clear" w:color="auto" w:fill="auto"/>
        <w:bidi w:val="0"/>
        <w:spacing w:before="0" w:after="0" w:line="240" w:lineRule="auto"/>
        <w:ind w:left="920" w:right="0" w:firstLine="0"/>
        <w:jc w:val="both"/>
      </w:pPr>
      <w:r>
        <w:rPr>
          <w:color w:val="000000"/>
          <w:spacing w:val="0"/>
          <w:w w:val="100"/>
          <w:position w:val="0"/>
          <w:shd w:val="clear" w:color="auto" w:fill="auto"/>
          <w:lang w:val="hr-HR" w:eastAsia="hr-HR" w:bidi="hr-HR"/>
        </w:rPr>
        <w:t>žive Židovi raznih usmjerenja</w:t>
      </w:r>
    </w:p>
    <w:p>
      <w:pPr>
        <w:pStyle w:val="Style74"/>
        <w:keepNext w:val="0"/>
        <w:keepLines w:val="0"/>
        <w:framePr w:w="1954" w:h="389" w:wrap="none" w:vAnchor="text" w:hAnchor="page" w:x="255" w:y="8084"/>
        <w:widowControl w:val="0"/>
        <w:shd w:val="clear" w:color="auto" w:fill="auto"/>
        <w:bidi w:val="0"/>
        <w:spacing w:before="0" w:after="0" w:line="23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(Kronološka tablica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Lexicon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dex Juden- </w:t>
      </w:r>
      <w:r>
        <w:rPr>
          <w:rFonts w:ascii="Times New Roman" w:eastAsia="Times New Roman" w:hAnsi="Times New Roman" w:cs="Times New Roman"/>
          <w:color w:val="000000"/>
          <w:spacing w:val="0"/>
          <w:w w:val="100"/>
          <w:position w:val="0"/>
          <w:shd w:val="clear" w:color="auto" w:fill="auto"/>
          <w:lang w:val="hr-HR" w:eastAsia="hr-HR" w:bidi="hr-HR"/>
        </w:rPr>
        <w:t xml:space="preserve">fu/nr/Leksikon židovstva/, 1971. 239a.. </w:t>
      </w:r>
      <w:r>
        <w:rPr>
          <w:rFonts w:ascii="Times New Roman" w:eastAsia="Times New Roman" w:hAnsi="Times New Roman" w:cs="Times New Roman"/>
          <w:i/>
          <w:iCs/>
          <w:color w:val="000000"/>
          <w:spacing w:val="0"/>
          <w:w w:val="100"/>
          <w:position w:val="0"/>
          <w:shd w:val="clear" w:color="auto" w:fill="auto"/>
          <w:lang w:val="en-US" w:eastAsia="en-US" w:bidi="en-US"/>
        </w:rPr>
        <w:t>En</w:t>
        <w:softHyphen/>
        <w:t xml:space="preserve">cyclopaedia </w:t>
      </w:r>
      <w:r>
        <w:rPr>
          <w:rFonts w:ascii="Times New Roman" w:eastAsia="Times New Roman" w:hAnsi="Times New Roman" w:cs="Times New Roman"/>
          <w:i/>
          <w:iCs/>
          <w:color w:val="000000"/>
          <w:spacing w:val="0"/>
          <w:w w:val="100"/>
          <w:position w:val="0"/>
          <w:shd w:val="clear" w:color="auto" w:fill="auto"/>
          <w:lang w:val="hr-HR" w:eastAsia="hr-HR" w:bidi="hr-HR"/>
        </w:rPr>
        <w:t>/udaica, 6.</w:t>
      </w:r>
      <w:r>
        <w:rPr>
          <w:rFonts w:ascii="Times New Roman" w:eastAsia="Times New Roman" w:hAnsi="Times New Roman" w:cs="Times New Roman"/>
          <w:color w:val="000000"/>
          <w:spacing w:val="0"/>
          <w:w w:val="100"/>
          <w:position w:val="0"/>
          <w:shd w:val="clear" w:color="auto" w:fill="auto"/>
          <w:lang w:val="hr-HR" w:eastAsia="hr-HR" w:bidi="hr-HR"/>
        </w:rPr>
        <w:t xml:space="preserve"> *1978. poslije 766)</w:t>
      </w:r>
    </w:p>
    <w:p>
      <w:pPr>
        <w:pStyle w:val="Style56"/>
        <w:keepNext w:val="0"/>
        <w:keepLines w:val="0"/>
        <w:framePr w:w="302" w:h="173" w:wrap="none" w:vAnchor="text" w:hAnchor="page" w:x="2276" w:y="295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1927.</w:t>
      </w:r>
    </w:p>
    <w:p>
      <w:pPr>
        <w:pStyle w:val="Style56"/>
        <w:keepNext w:val="0"/>
        <w:keepLines w:val="0"/>
        <w:framePr w:w="1051" w:h="595" w:wrap="none" w:vAnchor="text" w:hAnchor="page" w:x="3174" w:y="295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 xml:space="preserve">Prva svjetska konferencija »Faith </w:t>
      </w:r>
      <w:r>
        <w:rPr>
          <w:color w:val="000000"/>
          <w:spacing w:val="0"/>
          <w:w w:val="100"/>
          <w:position w:val="0"/>
          <w:shd w:val="clear" w:color="auto" w:fill="auto"/>
        </w:rPr>
        <w:t xml:space="preserve">and Order* </w:t>
      </w:r>
      <w:r>
        <w:rPr>
          <w:color w:val="000000"/>
          <w:spacing w:val="0"/>
          <w:w w:val="100"/>
          <w:position w:val="0"/>
          <w:shd w:val="clear" w:color="auto" w:fill="auto"/>
          <w:lang w:val="hr-HR" w:eastAsia="hr-HR" w:bidi="hr-HR"/>
        </w:rPr>
        <w:t>u Lausanni</w:t>
      </w:r>
    </w:p>
    <w:tbl>
      <w:tblPr>
        <w:tblOverlap w:val="never"/>
        <w:jc w:val="left"/>
        <w:tblLayout w:type="fixed"/>
      </w:tblPr>
      <w:tblGrid>
        <w:gridCol w:w="758"/>
        <w:gridCol w:w="1330"/>
      </w:tblGrid>
      <w:tr>
        <w:trPr>
          <w:trHeight w:val="466" w:hRule="exact"/>
        </w:trPr>
        <w:tc>
          <w:tcPr>
            <w:tcBorders>
              <w:lef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1947.</w:t>
            </w:r>
          </w:p>
        </w:tc>
        <w:tc>
          <w:tcPr>
            <w:tcBorders>
              <w:righ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Osnivanje Luthcranskoga svjetskog saveza</w:t>
            </w:r>
          </w:p>
        </w:tc>
      </w:tr>
      <w:tr>
        <w:trPr>
          <w:trHeight w:val="466" w:hRule="exact"/>
        </w:trPr>
        <w:tc>
          <w:tcPr>
            <w:tcBorders>
              <w:lef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1948.</w:t>
            </w:r>
          </w:p>
        </w:tc>
        <w:tc>
          <w:tcPr>
            <w:tcBorders>
              <w:righ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Prva skupština Ekumenskog vijeća</w:t>
            </w:r>
          </w:p>
          <w:p>
            <w:pPr>
              <w:pStyle w:val="Style7"/>
              <w:keepNext w:val="0"/>
              <w:keepLines w:val="0"/>
              <w:framePr w:w="2088" w:h="2194" w:wrap="none" w:vAnchor="text" w:hAnchor="page" w:x="2276" w:y="4158"/>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crkava u Amsterdamu</w:t>
            </w:r>
          </w:p>
        </w:tc>
      </w:tr>
      <w:tr>
        <w:trPr>
          <w:trHeight w:val="485" w:hRule="exact"/>
        </w:trPr>
        <w:tc>
          <w:tcPr>
            <w:tcBorders>
              <w:lef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1950.</w:t>
            </w:r>
          </w:p>
        </w:tc>
        <w:tc>
          <w:tcPr>
            <w:tcBorders>
              <w:right w:val="single" w:sz="4"/>
            </w:tcBorders>
            <w:shd w:val="clear" w:color="auto" w:fill="FFFFFF"/>
            <w:vAlign w:val="bottom"/>
          </w:tcPr>
          <w:p>
            <w:pPr>
              <w:pStyle w:val="Style7"/>
              <w:keepNext w:val="0"/>
              <w:keepLines w:val="0"/>
              <w:framePr w:w="2088" w:h="2194" w:wrap="none" w:vAnchor="text" w:hAnchor="page" w:x="2276" w:y="4158"/>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Dogma o Marijinu Uznesenju (Assumptio Mariac)</w:t>
            </w:r>
          </w:p>
        </w:tc>
      </w:tr>
      <w:tr>
        <w:trPr>
          <w:trHeight w:val="466" w:hRule="exact"/>
        </w:trPr>
        <w:tc>
          <w:tcPr>
            <w:tcBorders>
              <w:lef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1961.</w:t>
            </w:r>
          </w:p>
        </w:tc>
        <w:tc>
          <w:tcPr>
            <w:tcBorders>
              <w:righ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Prva Panortodoksna</w:t>
            </w:r>
          </w:p>
          <w:p>
            <w:pPr>
              <w:pStyle w:val="Style7"/>
              <w:keepNext w:val="0"/>
              <w:keepLines w:val="0"/>
              <w:framePr w:w="2088" w:h="2194" w:wrap="none" w:vAnchor="text" w:hAnchor="page" w:x="2276" w:y="4158"/>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 xml:space="preserve">konferencija na </w:t>
            </w:r>
            <w:r>
              <w:rPr>
                <w:rFonts w:ascii="Arial" w:eastAsia="Arial" w:hAnsi="Arial" w:cs="Arial"/>
                <w:color w:val="000000"/>
                <w:spacing w:val="0"/>
                <w:w w:val="100"/>
                <w:position w:val="0"/>
                <w:sz w:val="12"/>
                <w:szCs w:val="12"/>
                <w:shd w:val="clear" w:color="auto" w:fill="auto"/>
                <w:lang w:val="en-US" w:eastAsia="en-US" w:bidi="en-US"/>
              </w:rPr>
              <w:t>Rodo.su</w:t>
            </w:r>
          </w:p>
        </w:tc>
      </w:tr>
      <w:tr>
        <w:trPr>
          <w:trHeight w:val="312" w:hRule="exact"/>
        </w:trPr>
        <w:tc>
          <w:tcPr>
            <w:tcBorders>
              <w:left w:val="single" w:sz="4"/>
            </w:tcBorders>
            <w:shd w:val="clear" w:color="auto" w:fill="FFFFFF"/>
            <w:vAlign w:val="top"/>
          </w:tcPr>
          <w:p>
            <w:pPr>
              <w:pStyle w:val="Style7"/>
              <w:keepNext w:val="0"/>
              <w:keepLines w:val="0"/>
              <w:framePr w:w="2088" w:h="2194" w:wrap="none" w:vAnchor="text" w:hAnchor="page" w:x="2276" w:y="4158"/>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1962.-1965.</w:t>
            </w:r>
          </w:p>
        </w:tc>
        <w:tc>
          <w:tcPr>
            <w:tcBorders>
              <w:right w:val="single" w:sz="4"/>
            </w:tcBorders>
            <w:shd w:val="clear" w:color="auto" w:fill="FFFFFF"/>
            <w:vAlign w:val="bottom"/>
          </w:tcPr>
          <w:p>
            <w:pPr>
              <w:pStyle w:val="Style7"/>
              <w:keepNext w:val="0"/>
              <w:keepLines w:val="0"/>
              <w:framePr w:w="2088" w:h="2194" w:wrap="none" w:vAnchor="text" w:hAnchor="page" w:x="2276" w:y="4158"/>
              <w:widowControl w:val="0"/>
              <w:shd w:val="clear" w:color="auto" w:fill="auto"/>
              <w:bidi w:val="0"/>
              <w:spacing w:before="0" w:after="0" w:line="240" w:lineRule="auto"/>
              <w:ind w:left="16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Drugi vatikanski koncil</w:t>
            </w:r>
          </w:p>
        </w:tc>
      </w:tr>
    </w:tbl>
    <w:p>
      <w:pPr>
        <w:framePr w:w="2088" w:h="2194" w:wrap="none" w:vAnchor="text" w:hAnchor="page" w:x="2276" w:y="4158"/>
        <w:widowControl w:val="0"/>
        <w:spacing w:line="1" w:lineRule="exact"/>
      </w:pPr>
    </w:p>
    <w:p>
      <w:pPr>
        <w:pStyle w:val="Style74"/>
        <w:keepNext w:val="0"/>
        <w:keepLines w:val="0"/>
        <w:framePr w:w="2059" w:h="389" w:wrap="none" w:vAnchor="text" w:hAnchor="page" w:x="2300" w:y="8089"/>
        <w:widowControl w:val="0"/>
        <w:shd w:val="clear" w:color="auto" w:fill="auto"/>
        <w:bidi w:val="0"/>
        <w:spacing w:before="0" w:after="0" w:line="22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(Usporedna kronološka tablica u: li. Brunncr- Traul (Hrsg.j Dre </w:t>
      </w:r>
      <w:r>
        <w:rPr>
          <w:rFonts w:ascii="Times New Roman" w:eastAsia="Times New Roman" w:hAnsi="Times New Roman" w:cs="Times New Roman"/>
          <w:i/>
          <w:iCs/>
          <w:color w:val="000000"/>
          <w:spacing w:val="0"/>
          <w:w w:val="100"/>
          <w:position w:val="0"/>
          <w:shd w:val="clear" w:color="auto" w:fill="auto"/>
          <w:lang w:val="hr-HR" w:eastAsia="hr-HR" w:bidi="hr-HR"/>
        </w:rPr>
        <w:t xml:space="preserve">ftlitf grafitu </w:t>
      </w:r>
      <w:r>
        <w:rPr>
          <w:rFonts w:ascii="Times New Roman" w:eastAsia="Times New Roman" w:hAnsi="Times New Roman" w:cs="Times New Roman"/>
          <w:i/>
          <w:iCs/>
          <w:color w:val="000000"/>
          <w:spacing w:val="0"/>
          <w:w w:val="100"/>
          <w:position w:val="0"/>
          <w:shd w:val="clear" w:color="auto" w:fill="auto"/>
          <w:lang w:val="en-US" w:eastAsia="en-US" w:bidi="en-US"/>
        </w:rPr>
        <w:t>Wclirriigioneii.</w:t>
      </w:r>
    </w:p>
    <w:p>
      <w:pPr>
        <w:pStyle w:val="Style74"/>
        <w:keepNext w:val="0"/>
        <w:keepLines w:val="0"/>
        <w:framePr w:w="2059" w:h="389" w:wrap="none" w:vAnchor="text" w:hAnchor="page" w:x="2300" w:y="8089"/>
        <w:widowControl w:val="0"/>
        <w:shd w:val="clear" w:color="auto" w:fill="auto"/>
        <w:bidi w:val="0"/>
        <w:spacing w:before="0" w:after="0" w:line="221"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Hwdctlxk-lxrei </w:t>
      </w:r>
      <w:r>
        <w:rPr>
          <w:rFonts w:ascii="Times New Roman" w:eastAsia="Times New Roman" w:hAnsi="Times New Roman" w:cs="Times New Roman"/>
          <w:color w:val="000000"/>
          <w:spacing w:val="0"/>
          <w:w w:val="100"/>
          <w:position w:val="0"/>
          <w:shd w:val="clear" w:color="auto" w:fill="auto"/>
          <w:lang w:val="hr-HR" w:eastAsia="hr-HR" w:bidi="hr-HR"/>
        </w:rPr>
        <w:t xml:space="preserve">488, </w:t>
      </w:r>
      <w:r>
        <w:rPr>
          <w:rFonts w:ascii="Times New Roman" w:eastAsia="Times New Roman" w:hAnsi="Times New Roman" w:cs="Times New Roman"/>
          <w:color w:val="000000"/>
          <w:spacing w:val="0"/>
          <w:w w:val="100"/>
          <w:position w:val="0"/>
          <w:shd w:val="clear" w:color="auto" w:fill="auto"/>
          <w:lang w:val="en-US" w:eastAsia="en-US" w:bidi="en-US"/>
        </w:rPr>
        <w:t xml:space="preserve">Fretburg </w:t>
      </w:r>
      <w:r>
        <w:rPr>
          <w:rFonts w:ascii="Times New Roman" w:eastAsia="Times New Roman" w:hAnsi="Times New Roman" w:cs="Times New Roman"/>
          <w:color w:val="000000"/>
          <w:spacing w:val="0"/>
          <w:w w:val="100"/>
          <w:position w:val="0"/>
          <w:shd w:val="clear" w:color="auto" w:fill="auto"/>
          <w:lang w:val="hr-HR" w:eastAsia="hr-HR" w:bidi="hr-HR"/>
        </w:rPr>
        <w:t>“1986, 133-135)</w:t>
      </w:r>
    </w:p>
    <w:p>
      <w:pPr>
        <w:pStyle w:val="Style56"/>
        <w:keepNext w:val="0"/>
        <w:keepLines w:val="0"/>
        <w:framePr w:w="634" w:h="1118" w:wrap="none" w:vAnchor="text" w:hAnchor="page" w:x="4417" w:y="1796"/>
        <w:widowControl w:val="0"/>
        <w:shd w:val="clear" w:color="auto" w:fill="auto"/>
        <w:bidi w:val="0"/>
        <w:spacing w:before="0" w:after="480" w:line="240" w:lineRule="auto"/>
        <w:ind w:left="0" w:right="0" w:firstLine="0"/>
        <w:jc w:val="left"/>
      </w:pPr>
      <w:r>
        <w:rPr>
          <w:color w:val="000000"/>
          <w:spacing w:val="0"/>
          <w:w w:val="100"/>
          <w:position w:val="0"/>
          <w:shd w:val="clear" w:color="auto" w:fill="auto"/>
          <w:lang w:val="hr-HR" w:eastAsia="hr-HR" w:bidi="hr-HR"/>
        </w:rPr>
        <w:t>1905.</w:t>
      </w:r>
    </w:p>
    <w:p>
      <w:pPr>
        <w:pStyle w:val="Style56"/>
        <w:keepNext w:val="0"/>
        <w:keepLines w:val="0"/>
        <w:framePr w:w="634" w:h="1118" w:wrap="none" w:vAnchor="text" w:hAnchor="page" w:x="4417" w:y="1796"/>
        <w:widowControl w:val="0"/>
        <w:shd w:val="clear" w:color="auto" w:fill="auto"/>
        <w:bidi w:val="0"/>
        <w:spacing w:before="0" w:after="180" w:line="240" w:lineRule="auto"/>
        <w:ind w:left="0" w:right="0" w:firstLine="0"/>
        <w:jc w:val="left"/>
      </w:pPr>
      <w:r>
        <w:rPr>
          <w:color w:val="000000"/>
          <w:spacing w:val="0"/>
          <w:w w:val="100"/>
          <w:position w:val="0"/>
          <w:shd w:val="clear" w:color="auto" w:fill="auto"/>
          <w:lang w:val="hr-HR" w:eastAsia="hr-HR" w:bidi="hr-HR"/>
        </w:rPr>
        <w:t>1923.</w:t>
      </w:r>
    </w:p>
    <w:p>
      <w:pPr>
        <w:pStyle w:val="Style56"/>
        <w:keepNext w:val="0"/>
        <w:keepLines w:val="0"/>
        <w:framePr w:w="634" w:h="1118" w:wrap="none" w:vAnchor="text" w:hAnchor="page" w:x="4417" w:y="179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1923.-1938.</w:t>
      </w:r>
    </w:p>
    <w:p>
      <w:pPr>
        <w:pStyle w:val="Style56"/>
        <w:keepNext w:val="0"/>
        <w:keepLines w:val="0"/>
        <w:framePr w:w="1214" w:h="1411" w:wrap="none" w:vAnchor="text" w:hAnchor="page" w:x="5315" w:y="1796"/>
        <w:widowControl w:val="0"/>
        <w:shd w:val="clear" w:color="auto" w:fill="auto"/>
        <w:bidi w:val="0"/>
        <w:spacing w:before="0" w:after="40" w:line="240" w:lineRule="auto"/>
        <w:ind w:left="0" w:right="0" w:firstLine="0"/>
        <w:jc w:val="left"/>
      </w:pPr>
      <w:r>
        <w:rPr>
          <w:color w:val="000000"/>
          <w:spacing w:val="0"/>
          <w:w w:val="100"/>
          <w:position w:val="0"/>
          <w:shd w:val="clear" w:color="auto" w:fill="auto"/>
          <w:lang w:val="hr-HR" w:eastAsia="hr-HR" w:bidi="hr-HR"/>
        </w:rPr>
        <w:t>Smrt cgipatskuga reformacijskoga teologa Muhammada ‘Abduha</w:t>
      </w:r>
    </w:p>
    <w:p>
      <w:pPr>
        <w:pStyle w:val="Style56"/>
        <w:keepNext w:val="0"/>
        <w:keepLines w:val="0"/>
        <w:framePr w:w="1214" w:h="1411" w:wrap="none" w:vAnchor="text" w:hAnchor="page" w:x="5315" w:y="1796"/>
        <w:widowControl w:val="0"/>
        <w:shd w:val="clear" w:color="auto" w:fill="auto"/>
        <w:bidi w:val="0"/>
        <w:spacing w:before="0" w:after="40" w:line="240" w:lineRule="auto"/>
        <w:ind w:left="0" w:right="0" w:firstLine="0"/>
        <w:jc w:val="both"/>
      </w:pPr>
      <w:r>
        <w:rPr>
          <w:color w:val="000000"/>
          <w:spacing w:val="0"/>
          <w:w w:val="100"/>
          <w:position w:val="0"/>
          <w:shd w:val="clear" w:color="auto" w:fill="auto"/>
          <w:lang w:val="hr-HR" w:eastAsia="hr-HR" w:bidi="hr-HR"/>
        </w:rPr>
        <w:t>Ukidanje Osmanskoga sultanata</w:t>
      </w:r>
    </w:p>
    <w:p>
      <w:pPr>
        <w:pStyle w:val="Style56"/>
        <w:keepNext w:val="0"/>
        <w:keepLines w:val="0"/>
        <w:framePr w:w="1214" w:h="1411" w:wrap="none" w:vAnchor="text" w:hAnchor="page" w:x="5315" w:y="1796"/>
        <w:widowControl w:val="0"/>
        <w:shd w:val="clear" w:color="auto" w:fill="auto"/>
        <w:bidi w:val="0"/>
        <w:spacing w:before="0" w:after="40" w:line="240" w:lineRule="auto"/>
        <w:ind w:left="0" w:right="0" w:firstLine="0"/>
        <w:jc w:val="left"/>
      </w:pPr>
      <w:r>
        <w:rPr>
          <w:color w:val="000000"/>
          <w:spacing w:val="0"/>
          <w:w w:val="100"/>
          <w:position w:val="0"/>
          <w:shd w:val="clear" w:color="auto" w:fill="auto"/>
        </w:rPr>
        <w:t xml:space="preserve">Mustafa Kemal Ataturk </w:t>
      </w:r>
      <w:r>
        <w:rPr>
          <w:color w:val="000000"/>
          <w:spacing w:val="0"/>
          <w:w w:val="100"/>
          <w:position w:val="0"/>
          <w:shd w:val="clear" w:color="auto" w:fill="auto"/>
          <w:lang w:val="hr-HR" w:eastAsia="hr-HR" w:bidi="hr-HR"/>
        </w:rPr>
        <w:t>predsjednik Turske, rcformacijski pokret</w:t>
      </w:r>
    </w:p>
    <w:p>
      <w:pPr>
        <w:pStyle w:val="Style56"/>
        <w:keepNext w:val="0"/>
        <w:keepLines w:val="0"/>
        <w:framePr w:w="2098" w:h="331" w:wrap="none" w:vAnchor="text" w:hAnchor="page" w:x="4417" w:y="3414"/>
        <w:widowControl w:val="0"/>
        <w:shd w:val="clear" w:color="auto" w:fill="auto"/>
        <w:tabs>
          <w:tab w:pos="898" w:val="left"/>
        </w:tabs>
        <w:bidi w:val="0"/>
        <w:spacing w:before="0" w:after="0" w:line="240" w:lineRule="auto"/>
        <w:ind w:left="0" w:right="0" w:firstLine="0"/>
        <w:jc w:val="both"/>
      </w:pPr>
      <w:r>
        <w:rPr>
          <w:color w:val="000000"/>
          <w:spacing w:val="0"/>
          <w:w w:val="100"/>
          <w:position w:val="0"/>
          <w:shd w:val="clear" w:color="auto" w:fill="auto"/>
          <w:lang w:val="hr-HR" w:eastAsia="hr-HR" w:bidi="hr-HR"/>
        </w:rPr>
        <w:t>1939.</w:t>
        <w:tab/>
        <w:t>Smrt pjesnika i filozofa</w:t>
      </w:r>
    </w:p>
    <w:p>
      <w:pPr>
        <w:pStyle w:val="Style56"/>
        <w:keepNext w:val="0"/>
        <w:keepLines w:val="0"/>
        <w:framePr w:w="2098" w:h="331" w:wrap="none" w:vAnchor="text" w:hAnchor="page" w:x="4417" w:y="3414"/>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hr-HR" w:eastAsia="hr-HR" w:bidi="hr-HR"/>
        </w:rPr>
        <w:t xml:space="preserve">Muhammada </w:t>
      </w:r>
      <w:r>
        <w:rPr>
          <w:color w:val="000000"/>
          <w:spacing w:val="0"/>
          <w:w w:val="100"/>
          <w:position w:val="0"/>
          <w:shd w:val="clear" w:color="auto" w:fill="auto"/>
        </w:rPr>
        <w:t>Iqbala</w:t>
      </w:r>
    </w:p>
    <w:p>
      <w:pPr>
        <w:pStyle w:val="Style56"/>
        <w:keepNext w:val="0"/>
        <w:keepLines w:val="0"/>
        <w:framePr w:w="302" w:h="648" w:wrap="none" w:vAnchor="text" w:hAnchor="page" w:x="4422" w:y="6068"/>
        <w:widowControl w:val="0"/>
        <w:shd w:val="clear" w:color="auto" w:fill="auto"/>
        <w:bidi w:val="0"/>
        <w:spacing w:before="0" w:after="340" w:line="240" w:lineRule="auto"/>
        <w:ind w:left="0" w:right="0" w:firstLine="0"/>
        <w:jc w:val="left"/>
      </w:pPr>
      <w:r>
        <w:rPr>
          <w:color w:val="000000"/>
          <w:spacing w:val="0"/>
          <w:w w:val="100"/>
          <w:position w:val="0"/>
          <w:shd w:val="clear" w:color="auto" w:fill="auto"/>
          <w:lang w:val="hr-HR" w:eastAsia="hr-HR" w:bidi="hr-HR"/>
        </w:rPr>
        <w:t>1969.</w:t>
      </w:r>
    </w:p>
    <w:p>
      <w:pPr>
        <w:pStyle w:val="Style56"/>
        <w:keepNext w:val="0"/>
        <w:keepLines w:val="0"/>
        <w:framePr w:w="302" w:h="648" w:wrap="none" w:vAnchor="text" w:hAnchor="page" w:x="4422" w:y="606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1979</w:t>
      </w:r>
    </w:p>
    <w:p>
      <w:pPr>
        <w:pStyle w:val="Style56"/>
        <w:keepNext w:val="0"/>
        <w:keepLines w:val="0"/>
        <w:framePr w:w="1118" w:h="941" w:wrap="none" w:vAnchor="text" w:hAnchor="page" w:x="5319" w:y="6073"/>
        <w:widowControl w:val="0"/>
        <w:shd w:val="clear" w:color="auto" w:fill="auto"/>
        <w:bidi w:val="0"/>
        <w:spacing w:before="0" w:after="0" w:line="262" w:lineRule="auto"/>
        <w:ind w:left="0" w:right="0" w:firstLine="0"/>
        <w:jc w:val="left"/>
      </w:pPr>
      <w:r>
        <w:rPr>
          <w:color w:val="000000"/>
          <w:spacing w:val="0"/>
          <w:w w:val="100"/>
          <w:position w:val="0"/>
          <w:shd w:val="clear" w:color="auto" w:fill="auto"/>
          <w:lang w:val="hr-HR" w:eastAsia="hr-HR" w:bidi="hr-HR"/>
        </w:rPr>
        <w:t>Prva islamska konferencija na vrhu u Rabatu/Maroko Ajatolah Homcint proglašava Islamsku Rcpuhhku Iran</w:t>
      </w:r>
    </w:p>
    <w:p>
      <w:pPr>
        <w:pStyle w:val="Style74"/>
        <w:keepNext w:val="0"/>
        <w:keepLines w:val="0"/>
        <w:framePr w:w="2059" w:h="384" w:wrap="none" w:vAnchor="text" w:hAnchor="page" w:x="4441" w:y="8089"/>
        <w:widowControl w:val="0"/>
        <w:shd w:val="clear" w:color="auto" w:fill="auto"/>
        <w:bidi w:val="0"/>
        <w:spacing w:before="0" w:after="0" w:line="23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(Vremenska tablica preuzeta je iz: W. M. </w:t>
      </w:r>
      <w:r>
        <w:rPr>
          <w:rFonts w:ascii="Times New Roman" w:eastAsia="Times New Roman" w:hAnsi="Times New Roman" w:cs="Times New Roman"/>
          <w:color w:val="000000"/>
          <w:spacing w:val="0"/>
          <w:w w:val="100"/>
          <w:position w:val="0"/>
          <w:shd w:val="clear" w:color="auto" w:fill="auto"/>
          <w:lang w:val="en-US" w:eastAsia="en-US" w:bidi="en-US"/>
        </w:rPr>
        <w:t xml:space="preserve">Wall/ </w:t>
      </w:r>
      <w:r>
        <w:rPr>
          <w:rFonts w:ascii="Times New Roman" w:eastAsia="Times New Roman" w:hAnsi="Times New Roman" w:cs="Times New Roman"/>
          <w:color w:val="000000"/>
          <w:spacing w:val="0"/>
          <w:w w:val="100"/>
          <w:position w:val="0"/>
          <w:shd w:val="clear" w:color="auto" w:fill="auto"/>
          <w:lang w:val="hr-HR" w:eastAsia="hr-HR" w:bidi="hr-HR"/>
        </w:rPr>
        <w:t xml:space="preserve">A. T. </w:t>
      </w:r>
      <w:r>
        <w:rPr>
          <w:rFonts w:ascii="Times New Roman" w:eastAsia="Times New Roman" w:hAnsi="Times New Roman" w:cs="Times New Roman"/>
          <w:color w:val="000000"/>
          <w:spacing w:val="0"/>
          <w:w w:val="100"/>
          <w:position w:val="0"/>
          <w:shd w:val="clear" w:color="auto" w:fill="auto"/>
          <w:lang w:val="en-US" w:eastAsia="en-US" w:bidi="en-US"/>
        </w:rPr>
        <w:t xml:space="preserve">Welch, Dw </w:t>
      </w:r>
      <w:r>
        <w:rPr>
          <w:rFonts w:ascii="Times New Roman" w:eastAsia="Times New Roman" w:hAnsi="Times New Roman" w:cs="Times New Roman"/>
          <w:i/>
          <w:iCs/>
          <w:color w:val="000000"/>
          <w:spacing w:val="0"/>
          <w:w w:val="100"/>
          <w:position w:val="0"/>
          <w:shd w:val="clear" w:color="auto" w:fill="auto"/>
          <w:lang w:val="en-US" w:eastAsia="en-US" w:bidi="en-US"/>
        </w:rPr>
        <w:t>ffiam I.</w:t>
      </w:r>
      <w:r>
        <w:rPr>
          <w:rFonts w:ascii="Times New Roman" w:eastAsia="Times New Roman" w:hAnsi="Times New Roman" w:cs="Times New Roman"/>
          <w:color w:val="000000"/>
          <w:spacing w:val="0"/>
          <w:w w:val="100"/>
          <w:position w:val="0"/>
          <w:shd w:val="clear" w:color="auto" w:fill="auto"/>
          <w:lang w:val="en-US" w:eastAsia="en-US" w:bidi="en-US"/>
        </w:rPr>
        <w:t xml:space="preserve"> Stuttgart</w:t>
      </w:r>
    </w:p>
    <w:p>
      <w:pPr>
        <w:pStyle w:val="Style74"/>
        <w:keepNext w:val="0"/>
        <w:keepLines w:val="0"/>
        <w:framePr w:w="2059" w:h="384" w:wrap="none" w:vAnchor="text" w:hAnchor="page" w:x="4441" w:y="8089"/>
        <w:widowControl w:val="0"/>
        <w:shd w:val="clear" w:color="auto" w:fill="auto"/>
        <w:bidi w:val="0"/>
        <w:spacing w:before="0" w:after="0" w:line="23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198G. 13 i d.)</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6" w:line="1" w:lineRule="exact"/>
      </w:pPr>
    </w:p>
    <w:p>
      <w:pPr>
        <w:widowControl w:val="0"/>
        <w:spacing w:line="1" w:lineRule="exact"/>
        <w:sectPr>
          <w:footnotePr>
            <w:pos w:val="pageBottom"/>
            <w:numFmt w:val="decimal"/>
            <w:numRestart w:val="continuous"/>
            <w15:footnoteColumns w:val="1"/>
          </w:footnotePr>
          <w:type w:val="continuous"/>
          <w:pgSz w:w="6706" w:h="11078"/>
          <w:pgMar w:top="789" w:left="202" w:right="178" w:bottom="597" w:header="0" w:footer="3" w:gutter="0"/>
          <w:cols w:space="720"/>
          <w:noEndnote/>
          <w:rtlGutter w:val="0"/>
          <w:docGrid w:linePitch="360"/>
        </w:sectPr>
      </w:pPr>
    </w:p>
    <w:p>
      <w:pPr>
        <w:pStyle w:val="Style7"/>
        <w:keepNext w:val="0"/>
        <w:keepLines w:val="0"/>
        <w:widowControl w:val="0"/>
        <w:shd w:val="clear" w:color="auto" w:fill="auto"/>
        <w:bidi w:val="0"/>
        <w:spacing w:before="0" w:after="0" w:line="240" w:lineRule="auto"/>
        <w:ind w:left="0" w:right="0" w:firstLine="0"/>
        <w:jc w:val="center"/>
        <w:rPr>
          <w:sz w:val="26"/>
          <w:szCs w:val="26"/>
        </w:rPr>
        <w:sectPr>
          <w:headerReference w:type="default" r:id="rId1779"/>
          <w:footerReference w:type="default" r:id="rId1780"/>
          <w:headerReference w:type="even" r:id="rId1781"/>
          <w:footerReference w:type="even" r:id="rId1782"/>
          <w:headerReference w:type="first" r:id="rId1783"/>
          <w:footerReference w:type="first" r:id="rId1784"/>
          <w:footnotePr>
            <w:pos w:val="pageBottom"/>
            <w:numFmt w:val="decimal"/>
            <w:numRestart w:val="continuous"/>
            <w15:footnoteColumns w:val="1"/>
          </w:footnotePr>
          <w:pgSz w:w="6706" w:h="11078"/>
          <w:pgMar w:top="950" w:left="139" w:right="158" w:bottom="500" w:header="0" w:footer="3" w:gutter="0"/>
          <w:cols w:space="720"/>
          <w:noEndnote/>
          <w:titlePg/>
          <w:rtlGutter w:val="0"/>
          <w:docGrid w:linePitch="360"/>
        </w:sectPr>
      </w:pPr>
      <w:r>
        <w:rPr>
          <w:rFonts w:ascii="Times New Roman" w:eastAsia="Times New Roman" w:hAnsi="Times New Roman" w:cs="Times New Roman"/>
          <w:smallCaps/>
          <w:color w:val="000000"/>
          <w:spacing w:val="0"/>
          <w:w w:val="100"/>
          <w:position w:val="0"/>
          <w:sz w:val="26"/>
          <w:szCs w:val="26"/>
          <w:shd w:val="clear" w:color="auto" w:fill="auto"/>
          <w:lang w:val="hr-HR" w:eastAsia="hr-HR" w:bidi="hr-HR"/>
        </w:rPr>
        <w:t>Popis natuknica</w:t>
      </w:r>
    </w:p>
    <w:p>
      <w:pPr>
        <w:widowControl w:val="0"/>
        <w:spacing w:line="240" w:lineRule="exact"/>
        <w:rPr>
          <w:sz w:val="19"/>
          <w:szCs w:val="19"/>
        </w:rPr>
      </w:pPr>
    </w:p>
    <w:p>
      <w:pPr>
        <w:widowControl w:val="0"/>
        <w:spacing w:before="99" w:after="99" w:line="240" w:lineRule="exact"/>
        <w:rPr>
          <w:sz w:val="19"/>
          <w:szCs w:val="19"/>
        </w:rPr>
      </w:pPr>
    </w:p>
    <w:p>
      <w:pPr>
        <w:widowControl w:val="0"/>
        <w:spacing w:line="1" w:lineRule="exact"/>
        <w:sectPr>
          <w:footnotePr>
            <w:pos w:val="pageBottom"/>
            <w:numFmt w:val="decimal"/>
            <w:numRestart w:val="continuous"/>
            <w15:footnoteColumns w:val="1"/>
          </w:footnotePr>
          <w:type w:val="continuous"/>
          <w:pgSz w:w="6706" w:h="11078"/>
          <w:pgMar w:top="952" w:left="0" w:right="0" w:bottom="700" w:header="0" w:footer="3" w:gutter="0"/>
          <w:cols w:space="720"/>
          <w:noEndnote/>
          <w:rtlGutter w:val="0"/>
          <w:docGrid w:linePitch="360"/>
        </w:sectPr>
      </w:pP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Abraham</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Alah -&gt; Bog</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Alija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Anđeo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Antisemitizam</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Antropomorfizam -&gt; Slika, Bog</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Apokaliptika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Apokrifi —» Kanon</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Apologetika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Apostol</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Askeza</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Ateizam</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Besmrtnost -&gt; Duša, —&gt; Uskrsnuće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Biblija -» Sveto pismo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Biskup —&gt; Služba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Blagdan</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Bog</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Bogoslužje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Brak Obitelj</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Budućnost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Cionizam</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Crkva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Čistilištc Eshatologija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Čistoća (očišćenje)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Čovjek</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Čudo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Dekalog Zapovijed</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Demoni —&gt; Zlo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Dijakonija Ljubav prema bližnjemu, -»</w:t>
      </w:r>
    </w:p>
    <w:p>
      <w:pPr>
        <w:pStyle w:val="Style20"/>
        <w:keepNext w:val="0"/>
        <w:keepLines w:val="0"/>
        <w:widowControl w:val="0"/>
        <w:shd w:val="clear" w:color="auto" w:fill="auto"/>
        <w:bidi w:val="0"/>
        <w:spacing w:before="0" w:after="0" w:line="240" w:lineRule="auto"/>
        <w:ind w:left="3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Dobročinstvo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Dijalog</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Dijaspora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Dobro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Dobročinstvo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Dogma —&gt; Učiteljstvo, —&gt; Vjeroispovijest Država (nauk o državi)</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Duhovnost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Duša</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Dušobrižništvo</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Džin</w:t>
      </w:r>
    </w:p>
    <w:p>
      <w:pPr>
        <w:pStyle w:val="Style20"/>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Đavao —» Zlo</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Egzegeza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Ekstaza Mistika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Ekumena (ekumenizam)</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Eshatologija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Etika -&gt; Moral</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Euharistija Sakrament</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Evanđelje Isus Krist, Novi zavjet,</w:t>
      </w:r>
    </w:p>
    <w:p>
      <w:pPr>
        <w:pStyle w:val="Style20"/>
        <w:keepNext w:val="0"/>
        <w:keepLines w:val="0"/>
        <w:widowControl w:val="0"/>
        <w:shd w:val="clear" w:color="auto" w:fill="auto"/>
        <w:bidi w:val="0"/>
        <w:spacing w:before="0" w:after="160" w:line="254" w:lineRule="auto"/>
        <w:ind w:left="2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Sveto pismo</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Fatima</w:t>
      </w:r>
    </w:p>
    <w:p>
      <w:pPr>
        <w:pStyle w:val="Style20"/>
        <w:keepNext w:val="0"/>
        <w:keepLines w:val="0"/>
        <w:widowControl w:val="0"/>
        <w:shd w:val="clear" w:color="auto" w:fill="auto"/>
        <w:bidi w:val="0"/>
        <w:spacing w:before="0" w:after="16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Filozofija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Anđeo</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Gnoza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Gostoljublje</w:t>
      </w:r>
    </w:p>
    <w:p>
      <w:pPr>
        <w:pStyle w:val="Style20"/>
        <w:keepNext w:val="0"/>
        <w:keepLines w:val="0"/>
        <w:widowControl w:val="0"/>
        <w:shd w:val="clear" w:color="auto" w:fill="auto"/>
        <w:bidi w:val="0"/>
        <w:spacing w:before="0" w:after="1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Grijeh</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Hadis</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Hasidizam —» Mistika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Hereza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Hidžra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Hijerarhija -&gt; Služba, -» Crkva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Hodočašće</w:t>
      </w:r>
    </w:p>
    <w:p>
      <w:pPr>
        <w:pStyle w:val="Style20"/>
        <w:keepNext w:val="0"/>
        <w:keepLines w:val="0"/>
        <w:widowControl w:val="0"/>
        <w:shd w:val="clear" w:color="auto" w:fill="auto"/>
        <w:bidi w:val="0"/>
        <w:spacing w:before="0" w:after="1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Hram</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Idolopoklonstvo -&gt; Bog, Kult,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Poganstvo Idžma Suglasnost</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Inicijacija </w:t>
      </w:r>
      <w:r>
        <w:rPr>
          <w:rFonts w:ascii="Times New Roman" w:eastAsia="Times New Roman" w:hAnsi="Times New Roman" w:cs="Times New Roman"/>
          <w:color w:val="000000"/>
          <w:spacing w:val="0"/>
          <w:w w:val="100"/>
          <w:position w:val="0"/>
          <w:shd w:val="clear" w:color="auto" w:fill="auto"/>
          <w:lang w:val="en-US" w:eastAsia="en-US" w:bidi="en-US"/>
        </w:rPr>
        <w:t>(Initiation)</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Inkarnacija -&gt; Isus Krist</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Islam</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Ispovijedanje vjere</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Istina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Istočni grijeh -» Grijeh, Pragrijeh</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Isus Krist</w:t>
      </w:r>
    </w:p>
    <w:p>
      <w:pPr>
        <w:pStyle w:val="Style20"/>
        <w:keepNext w:val="0"/>
        <w:keepLines w:val="0"/>
        <w:widowControl w:val="0"/>
        <w:shd w:val="clear" w:color="auto" w:fill="auto"/>
        <w:bidi w:val="0"/>
        <w:spacing w:before="0" w:after="16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Izabranje</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Jedinstvo</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Jeruzalem</w:t>
      </w:r>
    </w:p>
    <w:p>
      <w:pPr>
        <w:pStyle w:val="Style20"/>
        <w:keepNext w:val="0"/>
        <w:keepLines w:val="0"/>
        <w:widowControl w:val="0"/>
        <w:shd w:val="clear" w:color="auto" w:fill="auto"/>
        <w:bidi w:val="0"/>
        <w:spacing w:before="0" w:after="16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Jišmael</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Kaba Sveta mjesta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Kajanje Pokora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Kalam -&gt; Teologija, Apologetika</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Kalendar</w:t>
      </w:r>
    </w:p>
    <w:p>
      <w:pPr>
        <w:pStyle w:val="Style20"/>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Kalif</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Kanon</w:t>
      </w:r>
    </w:p>
    <w:p>
      <w:pPr>
        <w:pStyle w:val="Style20"/>
        <w:keepNext w:val="0"/>
        <w:keepLines w:val="0"/>
        <w:widowControl w:val="0"/>
        <w:shd w:val="clear" w:color="auto" w:fill="auto"/>
        <w:bidi w:val="0"/>
        <w:spacing w:before="0" w:after="16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Karitas -&gt; Ljubav prema bližnjemu</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Karizma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Koncil</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Konfesije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Konsenzus -» Suglasnost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Kraljevstvo Božje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Kristologija -&gt; Isus Krist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Kršćanstvo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Krštenje -» Sakrament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Krv</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Kult</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Kuran</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Laik</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Liturgija —&gt; Kult</w:t>
      </w:r>
    </w:p>
    <w:p>
      <w:pPr>
        <w:pStyle w:val="Style20"/>
        <w:keepNext w:val="0"/>
        <w:keepLines w:val="0"/>
        <w:widowControl w:val="0"/>
        <w:shd w:val="clear" w:color="auto" w:fill="auto"/>
        <w:bidi w:val="0"/>
        <w:spacing w:before="0" w:after="0" w:line="25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Ljubav</w:t>
      </w:r>
    </w:p>
    <w:p>
      <w:pPr>
        <w:pStyle w:val="Style20"/>
        <w:keepNext w:val="0"/>
        <w:keepLines w:val="0"/>
        <w:widowControl w:val="0"/>
        <w:shd w:val="clear" w:color="auto" w:fill="auto"/>
        <w:bidi w:val="0"/>
        <w:spacing w:before="0" w:after="16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Ljubav prema bližnjemu Ljudska prava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Mahdi </w:t>
      </w:r>
      <w:r>
        <w:rPr>
          <w:rFonts w:ascii="Times New Roman" w:eastAsia="Times New Roman" w:hAnsi="Times New Roman" w:cs="Times New Roman"/>
          <w:color w:val="000000"/>
          <w:spacing w:val="0"/>
          <w:w w:val="100"/>
          <w:position w:val="0"/>
          <w:shd w:val="clear" w:color="auto" w:fill="auto"/>
          <w:lang w:val="hr-HR" w:eastAsia="hr-HR" w:bidi="hr-HR"/>
        </w:rPr>
        <w:t xml:space="preserve">-» Šija,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Eshatologija, -&gt; Mesija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Marija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Materijalizam</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Meditacija —&gt; Mistika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Milost</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Milostinja —&gt; Socijalni porez,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Dobročinstvo Mir</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Mistika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Mojsije, Moše, Musa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Molitva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Monoteizam</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Moral</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Mučeništvo</w:t>
      </w:r>
    </w:p>
    <w:p>
      <w:pPr>
        <w:pStyle w:val="Style20"/>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Muftija -&gt; Služba Muhamed</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Nada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Nadahnuće/Inspiracija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Narod Božji</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Nasilje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Nebo</w:t>
      </w:r>
    </w:p>
    <w:p>
      <w:pPr>
        <w:pStyle w:val="Style20"/>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Novi zavjet</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Obećanje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Obitelj</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Objava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Obraćenje -» Pokora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Obrezanje -&gt; Inicijacija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Odgoj —&gt; Religijska pedagogija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Odjeća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Okoliš -» Priroda (ekologija)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Odgovornost za svijet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Opravdanje</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Ortodoksija</w:t>
      </w:r>
    </w:p>
    <w:p>
      <w:pPr>
        <w:pStyle w:val="Style20"/>
        <w:keepNext w:val="0"/>
        <w:keepLines w:val="0"/>
        <w:widowControl w:val="0"/>
        <w:shd w:val="clear" w:color="auto" w:fill="auto"/>
        <w:bidi w:val="0"/>
        <w:spacing w:before="0" w:after="160" w:line="240" w:lineRule="auto"/>
        <w:ind w:left="0" w:right="660" w:firstLine="0"/>
        <w:jc w:val="left"/>
      </w:pPr>
      <w:r>
        <w:rPr>
          <w:rFonts w:ascii="Times New Roman" w:eastAsia="Times New Roman" w:hAnsi="Times New Roman" w:cs="Times New Roman"/>
          <w:color w:val="000000"/>
          <w:spacing w:val="0"/>
          <w:w w:val="100"/>
          <w:position w:val="0"/>
          <w:shd w:val="clear" w:color="auto" w:fill="auto"/>
          <w:lang w:val="hr-HR" w:eastAsia="hr-HR" w:bidi="hr-HR"/>
        </w:rPr>
        <w:t>Oslobođenje -&gt; Otkupljenje Otkupljenje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Pakao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Papa —&gt; Učiteljstvo, —&gt; Služba, —&gt; Crkva Pastoralna teologija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Dušobrižništvo Patnja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Pismo -&gt; Sveto pismo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Pogani</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Pokora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Poslanje -&gt; Prorok</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Povijest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Povijest spasenja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Pravednost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Pravo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Pravo čovjeka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Pravoslavne crkve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Praznovjerje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Predestinacija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Predodređenost —&gt; Predestinacija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Prehrambeni propisi</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Priroda (ekologija)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Profan —&gt; Sakralan</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Prorok</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Prosvjetiteljstvo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Providnost</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Prozelitizam —» Misija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Rabini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Služba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Racionalizam</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Računanje vremena —&gt; Kalendar</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Rad</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Raj —&gt; Nebo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Rat</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Razum -» Racionalizam -&gt; Prosvjetiteljstvo Religija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Religijska pedagogija</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Riječ Božja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Sakralan</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Sakrament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Satan </w:t>
      </w:r>
      <w:r>
        <w:rPr>
          <w:rFonts w:ascii="Times New Roman" w:eastAsia="Times New Roman" w:hAnsi="Times New Roman" w:cs="Times New Roman"/>
          <w:color w:val="000000"/>
          <w:spacing w:val="0"/>
          <w:w w:val="100"/>
          <w:position w:val="0"/>
          <w:shd w:val="clear" w:color="auto" w:fill="auto"/>
          <w:lang w:val="hr-HR" w:eastAsia="hr-HR" w:bidi="hr-HR"/>
        </w:rPr>
        <w:t>Zlo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Savez</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Seksualnost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Sekularizacija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Simbol</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Slika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Sloboda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Služba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Smrt</w:t>
      </w:r>
    </w:p>
    <w:p>
      <w:pPr>
        <w:pStyle w:val="Style20"/>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15:footnoteColumns w:val="1"/>
          </w:footnotePr>
          <w:type w:val="continuous"/>
          <w:pgSz w:w="6706" w:h="11078"/>
          <w:pgMar w:top="952" w:left="143" w:right="155" w:bottom="700" w:header="0" w:footer="3" w:gutter="0"/>
          <w:cols w:num="2" w:space="203"/>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Socijalni porez</w:t>
      </w:r>
    </w:p>
    <w:p>
      <w:pPr>
        <w:widowControl w:val="0"/>
        <w:spacing w:line="1" w:lineRule="exact"/>
      </w:pPr>
      <w:r>
        <mc:AlternateContent>
          <mc:Choice Requires="wps">
            <w:drawing>
              <wp:anchor distT="12700" distB="254000" distL="101600" distR="101600" simplePos="0" relativeHeight="125829453" behindDoc="0" locked="0" layoutInCell="1" allowOverlap="1">
                <wp:simplePos x="0" y="0"/>
                <wp:positionH relativeFrom="page">
                  <wp:posOffset>102235</wp:posOffset>
                </wp:positionH>
                <wp:positionV relativeFrom="paragraph">
                  <wp:posOffset>1892935</wp:posOffset>
                </wp:positionV>
                <wp:extent cx="1929130" cy="804545"/>
                <wp:wrapTopAndBottom/>
                <wp:docPr id="3835" name="Shape 3835"/>
                <a:graphic xmlns:a="http://schemas.openxmlformats.org/drawingml/2006/main">
                  <a:graphicData uri="http://schemas.microsoft.com/office/word/2010/wordprocessingShape">
                    <wps:wsp>
                      <wps:cNvSpPr txBox="1"/>
                      <wps:spPr>
                        <a:xfrm>
                          <a:ext cx="1929130" cy="80454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Teokracija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Teologija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Tijelo —&gt; Čovjek</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Tolerancija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Tora -&gt; Sveto pismo, -&gt; Mojsijc, -&gt; Stari zavjet Tradicija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Trojstvo</w:t>
                            </w:r>
                          </w:p>
                        </w:txbxContent>
                      </wps:txbx>
                      <wps:bodyPr lIns="0" tIns="0" rIns="0" bIns="0">
                        <a:noAutoFit/>
                      </wps:bodyPr>
                    </wps:wsp>
                  </a:graphicData>
                </a:graphic>
              </wp:anchor>
            </w:drawing>
          </mc:Choice>
          <mc:Fallback>
            <w:pict>
              <v:shape id="_x0000_s4861" type="#_x0000_t202" style="position:absolute;margin-left:8.0500000000000007pt;margin-top:149.05000000000001pt;width:151.90000000000001pt;height:63.350000000000001pt;z-index:-125829300;mso-wrap-distance-left:8.pt;mso-wrap-distance-top:1.pt;mso-wrap-distance-right:8.pt;mso-wrap-distance-bottom:20.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Teokracija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Teologija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Tijelo —&gt; Čovjek</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Tolerancija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Tora -&gt; Sveto pismo, -&gt; Mojsijc, -&gt; Stari zavjet Tradicija</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Trojstvo</w:t>
                      </w:r>
                    </w:p>
                  </w:txbxContent>
                </v:textbox>
                <w10:wrap type="topAndBottom" anchorx="page"/>
              </v:shape>
            </w:pict>
          </mc:Fallback>
        </mc:AlternateConten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Spasenje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Spolnost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Spolnost —&gt; Seksualnost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Stari zavjet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Stvaranje</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Sud</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Sufizam —&gt; Mistika (islamski)</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Suglasnost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Suna</w:t>
      </w:r>
    </w:p>
    <w:p>
      <w:pPr>
        <w:pStyle w:val="Style20"/>
        <w:keepNext w:val="0"/>
        <w:keepLines w:val="0"/>
        <w:widowControl w:val="0"/>
        <w:shd w:val="clear" w:color="auto" w:fill="auto"/>
        <w:bidi w:val="0"/>
        <w:spacing w:before="0" w:after="0" w:line="233"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Svećenik -» Služba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Sveta mjesta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Sveto pismo</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Svjedočanstvo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Šija</w:t>
      </w:r>
    </w:p>
    <w:p>
      <w:pPr>
        <w:pStyle w:val="Style20"/>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Trojedinstvo Trojstvo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Učiteljstvo</w:t>
      </w:r>
    </w:p>
    <w:p>
      <w:pPr>
        <w:pStyle w:val="Style20"/>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Uma -» Zajednica (islamski) Univerzalizam</w:t>
      </w:r>
    </w:p>
    <w:p>
      <w:pPr>
        <w:pStyle w:val="Style20"/>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Uskrsnuće Utopija -&gt; Budućnost</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Vjera</w:t>
      </w:r>
    </w:p>
    <w:p>
      <w:pPr>
        <w:pStyle w:val="Style20"/>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Vjeroispovijest Vlasništvo Vrijeme Vrlina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Zajednica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Zakon Zapovijed Zavjet</w:t>
      </w:r>
    </w:p>
    <w:p>
      <w:pPr>
        <w:pStyle w:val="Style20"/>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Zemlja, Sveta zemlja Zlo</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Žena</w:t>
      </w:r>
    </w:p>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Židovstvo</w:t>
      </w:r>
    </w:p>
    <w:p>
      <w:pPr>
        <w:pStyle w:val="Style20"/>
        <w:keepNext w:val="0"/>
        <w:keepLines w:val="0"/>
        <w:widowControl w:val="0"/>
        <w:shd w:val="clear" w:color="auto" w:fill="auto"/>
        <w:bidi w:val="0"/>
        <w:spacing w:before="0" w:after="160" w:line="240" w:lineRule="auto"/>
        <w:ind w:left="0" w:right="0" w:firstLine="0"/>
        <w:jc w:val="left"/>
        <w:sectPr>
          <w:headerReference w:type="default" r:id="rId1785"/>
          <w:footerReference w:type="default" r:id="rId1786"/>
          <w:headerReference w:type="even" r:id="rId1787"/>
          <w:footerReference w:type="even" r:id="rId1788"/>
          <w:footnotePr>
            <w:pos w:val="pageBottom"/>
            <w:numFmt w:val="decimal"/>
            <w:numRestart w:val="continuous"/>
            <w15:footnoteColumns w:val="1"/>
          </w:footnotePr>
          <w:pgSz w:w="6706" w:h="11078"/>
          <w:pgMar w:top="1008" w:left="161" w:right="1265" w:bottom="1008" w:header="0" w:footer="3" w:gutter="0"/>
          <w:cols w:num="2" w:space="126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Žrtva</w:t>
      </w:r>
    </w:p>
    <w:p>
      <w:pPr>
        <w:pStyle w:val="Style46"/>
        <w:keepNext/>
        <w:keepLines/>
        <w:widowControl w:val="0"/>
        <w:shd w:val="clear" w:color="auto" w:fill="auto"/>
        <w:bidi w:val="0"/>
        <w:spacing w:before="0" w:after="0" w:line="295" w:lineRule="auto"/>
        <w:ind w:left="0" w:right="0" w:firstLine="0"/>
        <w:jc w:val="center"/>
        <w:rPr>
          <w:sz w:val="20"/>
          <w:szCs w:val="20"/>
        </w:rPr>
      </w:pPr>
      <w:bookmarkStart w:id="431" w:name="bookmark431"/>
      <w:r>
        <w:rPr>
          <w:rFonts w:ascii="Times New Roman" w:eastAsia="Times New Roman" w:hAnsi="Times New Roman" w:cs="Times New Roman"/>
          <w:color w:val="000000"/>
          <w:spacing w:val="0"/>
          <w:w w:val="100"/>
          <w:position w:val="0"/>
          <w:sz w:val="17"/>
          <w:szCs w:val="17"/>
          <w:shd w:val="clear" w:color="auto" w:fill="auto"/>
          <w:lang w:val="hr-HR" w:eastAsia="hr-HR" w:bidi="hr-HR"/>
        </w:rPr>
        <w:t>LEKSIKON</w:t>
        <w:br/>
      </w:r>
      <w:r>
        <w:rPr>
          <w:rFonts w:ascii="Times New Roman" w:eastAsia="Times New Roman" w:hAnsi="Times New Roman" w:cs="Times New Roman"/>
          <w:color w:val="000000"/>
          <w:spacing w:val="0"/>
          <w:w w:val="100"/>
          <w:position w:val="0"/>
          <w:sz w:val="22"/>
          <w:szCs w:val="22"/>
          <w:shd w:val="clear" w:color="auto" w:fill="auto"/>
          <w:lang w:val="hr-HR" w:eastAsia="hr-HR" w:bidi="hr-HR"/>
        </w:rPr>
        <w:t>TEMELJNIH RELIGIJSKIH POJMOVA</w:t>
        <w:br/>
      </w:r>
      <w:r>
        <w:rPr>
          <w:rFonts w:ascii="Times New Roman" w:eastAsia="Times New Roman" w:hAnsi="Times New Roman" w:cs="Times New Roman"/>
          <w:color w:val="000000"/>
          <w:spacing w:val="0"/>
          <w:w w:val="100"/>
          <w:position w:val="0"/>
          <w:sz w:val="20"/>
          <w:szCs w:val="20"/>
          <w:shd w:val="clear" w:color="auto" w:fill="auto"/>
          <w:lang w:val="hr-HR" w:eastAsia="hr-HR" w:bidi="hr-HR"/>
        </w:rPr>
        <w:t>ŽIDOVSTVO</w:t>
      </w:r>
      <w:bookmarkEnd w:id="431"/>
    </w:p>
    <w:p>
      <w:pPr>
        <w:pStyle w:val="Style114"/>
        <w:keepNext w:val="0"/>
        <w:keepLines w:val="0"/>
        <w:widowControl w:val="0"/>
        <w:shd w:val="clear" w:color="auto" w:fill="auto"/>
        <w:bidi w:val="0"/>
        <w:spacing w:before="0" w:after="0" w:line="290" w:lineRule="auto"/>
        <w:ind w:left="0" w:right="0" w:firstLine="0"/>
        <w:jc w:val="center"/>
        <w:rPr>
          <w:sz w:val="20"/>
          <w:szCs w:val="20"/>
        </w:rPr>
      </w:pPr>
      <w:r>
        <w:rPr>
          <w:rFonts w:ascii="Times New Roman" w:eastAsia="Times New Roman" w:hAnsi="Times New Roman" w:cs="Times New Roman"/>
          <w:smallCaps w:val="0"/>
          <w:color w:val="000000"/>
          <w:spacing w:val="0"/>
          <w:w w:val="100"/>
          <w:position w:val="0"/>
          <w:sz w:val="20"/>
          <w:szCs w:val="20"/>
          <w:shd w:val="clear" w:color="auto" w:fill="auto"/>
          <w:lang w:val="hr-HR" w:eastAsia="hr-HR" w:bidi="hr-HR"/>
        </w:rPr>
        <w:t>KRŠĆANSTVO</w:t>
      </w:r>
    </w:p>
    <w:p>
      <w:pPr>
        <w:pStyle w:val="Style114"/>
        <w:keepNext w:val="0"/>
        <w:keepLines w:val="0"/>
        <w:widowControl w:val="0"/>
        <w:shd w:val="clear" w:color="auto" w:fill="auto"/>
        <w:bidi w:val="0"/>
        <w:spacing w:before="0" w:after="260" w:line="264"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Isijvm</w:t>
      </w:r>
    </w:p>
    <w:p>
      <w:pPr>
        <w:pStyle w:val="Style24"/>
        <w:keepNext/>
        <w:keepLines/>
        <w:widowControl w:val="0"/>
        <w:shd w:val="clear" w:color="auto" w:fill="auto"/>
        <w:bidi w:val="0"/>
        <w:spacing w:before="0" w:after="0"/>
        <w:ind w:left="0" w:right="0" w:firstLine="0"/>
        <w:jc w:val="center"/>
      </w:pPr>
      <w:bookmarkStart w:id="432" w:name="bookmark432"/>
      <w:r>
        <w:rPr>
          <w:rFonts w:ascii="Times New Roman" w:eastAsia="Times New Roman" w:hAnsi="Times New Roman" w:cs="Times New Roman"/>
          <w:color w:val="000000"/>
          <w:spacing w:val="0"/>
          <w:w w:val="100"/>
          <w:position w:val="0"/>
          <w:shd w:val="clear" w:color="auto" w:fill="auto"/>
          <w:lang w:val="hr-HR" w:eastAsia="hr-HR" w:bidi="hr-HR"/>
        </w:rPr>
        <w:t>Nakladnici</w:t>
      </w:r>
      <w:bookmarkEnd w:id="432"/>
    </w:p>
    <w:p>
      <w:pPr>
        <w:pStyle w:val="Style3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SVJETSKA KONFERENCIJA RELIGIJA ZA MIR - ZAGREB</w:t>
      </w:r>
    </w:p>
    <w:p>
      <w:pPr>
        <w:pStyle w:val="Style33"/>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i</w:t>
      </w:r>
    </w:p>
    <w:p>
      <w:pPr>
        <w:pStyle w:val="Style33"/>
        <w:keepNext w:val="0"/>
        <w:keepLines w:val="0"/>
        <w:widowControl w:val="0"/>
        <w:shd w:val="clear" w:color="auto" w:fill="auto"/>
        <w:bidi w:val="0"/>
        <w:spacing w:before="0" w:after="20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PROMETE!</w:t>
      </w:r>
    </w:p>
    <w:p>
      <w:pPr>
        <w:pStyle w:val="Style24"/>
        <w:keepNext/>
        <w:keepLines/>
        <w:widowControl w:val="0"/>
        <w:shd w:val="clear" w:color="auto" w:fill="auto"/>
        <w:bidi w:val="0"/>
        <w:spacing w:before="0" w:after="0"/>
        <w:ind w:left="0" w:right="0" w:firstLine="0"/>
        <w:jc w:val="center"/>
      </w:pPr>
      <w:bookmarkStart w:id="433" w:name="bookmark433"/>
      <w:r>
        <w:rPr>
          <w:rFonts w:ascii="Times New Roman" w:eastAsia="Times New Roman" w:hAnsi="Times New Roman" w:cs="Times New Roman"/>
          <w:color w:val="000000"/>
          <w:spacing w:val="0"/>
          <w:w w:val="100"/>
          <w:position w:val="0"/>
          <w:shd w:val="clear" w:color="auto" w:fill="auto"/>
          <w:lang w:val="hr-HR" w:eastAsia="hr-HR" w:bidi="hr-HR"/>
        </w:rPr>
        <w:t>Za nakladnike</w:t>
      </w:r>
      <w:bookmarkEnd w:id="433"/>
    </w:p>
    <w:p>
      <w:pPr>
        <w:pStyle w:val="Style33"/>
        <w:keepNext w:val="0"/>
        <w:keepLines w:val="0"/>
        <w:widowControl w:val="0"/>
        <w:shd w:val="clear" w:color="auto" w:fill="auto"/>
        <w:bidi w:val="0"/>
        <w:spacing w:before="0" w:after="14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Dr. MLADEN KARADJOLE</w:t>
        <w:br/>
        <w:t>BOŽO RUDEŽ</w:t>
      </w:r>
    </w:p>
    <w:p>
      <w:pPr>
        <w:pStyle w:val="Style24"/>
        <w:keepNext/>
        <w:keepLines/>
        <w:widowControl w:val="0"/>
        <w:shd w:val="clear" w:color="auto" w:fill="auto"/>
        <w:bidi w:val="0"/>
        <w:spacing w:before="0" w:after="0"/>
        <w:ind w:left="0" w:right="0" w:firstLine="0"/>
        <w:jc w:val="center"/>
      </w:pPr>
      <w:bookmarkStart w:id="434" w:name="bookmark434"/>
      <w:r>
        <w:rPr>
          <w:rFonts w:ascii="Times New Roman" w:eastAsia="Times New Roman" w:hAnsi="Times New Roman" w:cs="Times New Roman"/>
          <w:color w:val="000000"/>
          <w:spacing w:val="0"/>
          <w:w w:val="100"/>
          <w:position w:val="0"/>
          <w:shd w:val="clear" w:color="auto" w:fill="auto"/>
          <w:lang w:val="hr-HR" w:eastAsia="hr-HR" w:bidi="hr-HR"/>
        </w:rPr>
        <w:t>Izvršni nakladnik</w:t>
      </w:r>
      <w:bookmarkEnd w:id="434"/>
    </w:p>
    <w:p>
      <w:pPr>
        <w:pStyle w:val="Style33"/>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PROMETE!</w:t>
        <w:br/>
        <w:t>Zagreb, Kaptol 25</w:t>
      </w:r>
    </w:p>
    <w:p>
      <w:pPr>
        <w:pStyle w:val="Style33"/>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 xml:space="preserve">tcl./fax: </w:t>
      </w:r>
      <w:r>
        <w:rPr>
          <w:rFonts w:ascii="Times New Roman" w:eastAsia="Times New Roman" w:hAnsi="Times New Roman" w:cs="Times New Roman"/>
          <w:color w:val="000000"/>
          <w:spacing w:val="0"/>
          <w:w w:val="100"/>
          <w:position w:val="0"/>
          <w:shd w:val="clear" w:color="auto" w:fill="auto"/>
          <w:lang w:val="hr-HR" w:eastAsia="hr-HR" w:bidi="hr-HR"/>
        </w:rPr>
        <w:t>01 4810 190</w:t>
      </w:r>
    </w:p>
    <w:p>
      <w:pPr>
        <w:pStyle w:val="Style33"/>
        <w:keepNext w:val="0"/>
        <w:keepLines w:val="0"/>
        <w:widowControl w:val="0"/>
        <w:shd w:val="clear" w:color="auto" w:fill="auto"/>
        <w:bidi w:val="0"/>
        <w:spacing w:before="0" w:after="380" w:line="233" w:lineRule="auto"/>
        <w:ind w:left="0" w:right="0" w:firstLine="0"/>
        <w:jc w:val="center"/>
      </w:pPr>
      <w:r>
        <w:fldChar w:fldCharType="begin"/>
      </w:r>
      <w:r>
        <w:rPr/>
        <w:instrText> HYPERLINK "http://www.prometej.net" </w:instrText>
      </w:r>
      <w:r>
        <w:fldChar w:fldCharType="separate"/>
      </w:r>
      <w:r>
        <w:rPr>
          <w:rFonts w:ascii="Times New Roman" w:eastAsia="Times New Roman" w:hAnsi="Times New Roman" w:cs="Times New Roman"/>
          <w:color w:val="000000"/>
          <w:spacing w:val="0"/>
          <w:w w:val="100"/>
          <w:position w:val="0"/>
          <w:shd w:val="clear" w:color="auto" w:fill="auto"/>
          <w:lang w:val="hr-HR" w:eastAsia="hr-HR" w:bidi="hr-HR"/>
        </w:rPr>
        <w:t>www.</w:t>
      </w:r>
      <w:r>
        <w:rPr>
          <w:rFonts w:ascii="Times New Roman" w:eastAsia="Times New Roman" w:hAnsi="Times New Roman" w:cs="Times New Roman"/>
          <w:color w:val="000000"/>
          <w:spacing w:val="0"/>
          <w:w w:val="100"/>
          <w:position w:val="0"/>
          <w:shd w:val="clear" w:color="auto" w:fill="auto"/>
          <w:lang w:val="en-US" w:eastAsia="en-US" w:bidi="en-US"/>
        </w:rPr>
        <w:t>prometej.net</w:t>
      </w:r>
      <w:r>
        <w:fldChar w:fldCharType="end"/>
      </w:r>
      <w:r>
        <w:rPr>
          <w:rFonts w:ascii="Times New Roman" w:eastAsia="Times New Roman" w:hAnsi="Times New Roman" w:cs="Times New Roman"/>
          <w:color w:val="000000"/>
          <w:spacing w:val="0"/>
          <w:w w:val="100"/>
          <w:position w:val="0"/>
          <w:shd w:val="clear" w:color="auto" w:fill="auto"/>
          <w:lang w:val="en-US" w:eastAsia="en-US" w:bidi="en-US"/>
        </w:rPr>
        <w:br/>
        <w:t xml:space="preserve">e-mail: </w:t>
      </w:r>
      <w:r>
        <w:fldChar w:fldCharType="begin"/>
      </w:r>
      <w:r>
        <w:rPr/>
        <w:instrText> HYPERLINK "mailto:prometej@zg.htnet.hr" </w:instrText>
      </w:r>
      <w:r>
        <w:fldChar w:fldCharType="separate"/>
      </w:r>
      <w:r>
        <w:rPr>
          <w:rFonts w:ascii="Times New Roman" w:eastAsia="Times New Roman" w:hAnsi="Times New Roman" w:cs="Times New Roman"/>
          <w:color w:val="000000"/>
          <w:spacing w:val="0"/>
          <w:w w:val="100"/>
          <w:position w:val="0"/>
          <w:shd w:val="clear" w:color="auto" w:fill="auto"/>
          <w:lang w:val="en-US" w:eastAsia="en-US" w:bidi="en-US"/>
        </w:rPr>
        <w:t>prometej@zg.htnet.hr</w:t>
      </w:r>
      <w:r>
        <w:fldChar w:fldCharType="end"/>
      </w:r>
    </w:p>
    <w:p>
      <w:pPr>
        <w:pStyle w:val="Style24"/>
        <w:keepNext/>
        <w:keepLines/>
        <w:widowControl w:val="0"/>
        <w:shd w:val="clear" w:color="auto" w:fill="auto"/>
        <w:bidi w:val="0"/>
        <w:spacing w:before="0" w:after="0" w:line="295" w:lineRule="auto"/>
        <w:ind w:left="0" w:right="0" w:firstLine="0"/>
        <w:jc w:val="center"/>
      </w:pPr>
      <w:bookmarkStart w:id="435" w:name="bookmark435"/>
      <w:r>
        <w:rPr>
          <w:rFonts w:ascii="Times New Roman" w:eastAsia="Times New Roman" w:hAnsi="Times New Roman" w:cs="Times New Roman"/>
          <w:color w:val="000000"/>
          <w:spacing w:val="0"/>
          <w:w w:val="100"/>
          <w:position w:val="0"/>
          <w:shd w:val="clear" w:color="auto" w:fill="auto"/>
          <w:lang w:val="hr-HR" w:eastAsia="hr-HR" w:bidi="hr-HR"/>
        </w:rPr>
        <w:t>Dizajn nastavnice</w:t>
      </w:r>
      <w:bookmarkEnd w:id="435"/>
    </w:p>
    <w:p>
      <w:pPr>
        <w:pStyle w:val="Style33"/>
        <w:keepNext w:val="0"/>
        <w:keepLines w:val="0"/>
        <w:widowControl w:val="0"/>
        <w:shd w:val="clear" w:color="auto" w:fill="auto"/>
        <w:bidi w:val="0"/>
        <w:spacing w:before="0" w:after="100" w:line="295"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ANA POJATINA</w:t>
      </w:r>
    </w:p>
    <w:p>
      <w:pPr>
        <w:pStyle w:val="Style24"/>
        <w:keepNext/>
        <w:keepLines/>
        <w:widowControl w:val="0"/>
        <w:shd w:val="clear" w:color="auto" w:fill="auto"/>
        <w:bidi w:val="0"/>
        <w:spacing w:before="0" w:after="0" w:line="300" w:lineRule="auto"/>
        <w:ind w:left="0" w:right="0" w:firstLine="0"/>
        <w:jc w:val="center"/>
      </w:pPr>
      <w:bookmarkStart w:id="436" w:name="bookmark436"/>
      <w:r>
        <w:rPr>
          <w:rFonts w:ascii="Times New Roman" w:eastAsia="Times New Roman" w:hAnsi="Times New Roman" w:cs="Times New Roman"/>
          <w:color w:val="000000"/>
          <w:spacing w:val="0"/>
          <w:w w:val="100"/>
          <w:position w:val="0"/>
          <w:shd w:val="clear" w:color="auto" w:fill="auto"/>
          <w:lang w:val="hr-HR" w:eastAsia="hr-HR" w:bidi="hr-HR"/>
        </w:rPr>
        <w:t>Kompjutorski slog</w:t>
      </w:r>
      <w:bookmarkEnd w:id="436"/>
    </w:p>
    <w:p>
      <w:pPr>
        <w:pStyle w:val="Style33"/>
        <w:keepNext w:val="0"/>
        <w:keepLines w:val="0"/>
        <w:widowControl w:val="0"/>
        <w:shd w:val="clear" w:color="auto" w:fill="auto"/>
        <w:bidi w:val="0"/>
        <w:spacing w:before="0" w:after="100" w:line="30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STJEPAN OCVIRK</w:t>
      </w:r>
    </w:p>
    <w:p>
      <w:pPr>
        <w:pStyle w:val="Style24"/>
        <w:keepNext/>
        <w:keepLines/>
        <w:widowControl w:val="0"/>
        <w:shd w:val="clear" w:color="auto" w:fill="auto"/>
        <w:bidi w:val="0"/>
        <w:spacing w:before="0" w:after="0" w:line="290" w:lineRule="auto"/>
        <w:ind w:left="0" w:right="0" w:firstLine="0"/>
        <w:jc w:val="center"/>
      </w:pPr>
      <w:bookmarkStart w:id="437" w:name="bookmark437"/>
      <w:r>
        <w:rPr>
          <w:rFonts w:ascii="Times New Roman" w:eastAsia="Times New Roman" w:hAnsi="Times New Roman" w:cs="Times New Roman"/>
          <w:color w:val="000000"/>
          <w:spacing w:val="0"/>
          <w:w w:val="100"/>
          <w:position w:val="0"/>
          <w:shd w:val="clear" w:color="auto" w:fill="auto"/>
          <w:lang w:val="hr-HR" w:eastAsia="hr-HR" w:bidi="hr-HR"/>
        </w:rPr>
        <w:t>Tisak</w:t>
      </w:r>
      <w:bookmarkEnd w:id="437"/>
    </w:p>
    <w:p>
      <w:pPr>
        <w:pStyle w:val="Style33"/>
        <w:keepNext w:val="0"/>
        <w:keepLines w:val="0"/>
        <w:widowControl w:val="0"/>
        <w:shd w:val="clear" w:color="auto" w:fill="auto"/>
        <w:bidi w:val="0"/>
        <w:spacing w:before="0" w:after="380" w:line="290"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 xml:space="preserve">PARVUS </w:t>
      </w:r>
      <w:r>
        <w:rPr>
          <w:rFonts w:ascii="Times New Roman" w:eastAsia="Times New Roman" w:hAnsi="Times New Roman" w:cs="Times New Roman"/>
          <w:color w:val="000000"/>
          <w:spacing w:val="0"/>
          <w:w w:val="100"/>
          <w:position w:val="0"/>
          <w:shd w:val="clear" w:color="auto" w:fill="auto"/>
          <w:lang w:val="hr-HR" w:eastAsia="hr-HR" w:bidi="hr-HR"/>
        </w:rPr>
        <w:t>d.o.o., ZAGREB</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32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CIP - Katalogizacija u publikaciji</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00" w:line="233" w:lineRule="auto"/>
        <w:ind w:left="32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Nacionalna i sveučilišna knjižnica - Zagreb</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33" w:lineRule="auto"/>
        <w:ind w:left="32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UDK 2(03)</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33" w:lineRule="auto"/>
        <w:ind w:left="320" w:right="420"/>
        <w:jc w:val="both"/>
      </w:pPr>
      <w:r>
        <w:rPr>
          <w:rFonts w:ascii="Times New Roman" w:eastAsia="Times New Roman" w:hAnsi="Times New Roman" w:cs="Times New Roman"/>
          <w:color w:val="000000"/>
          <w:spacing w:val="0"/>
          <w:w w:val="100"/>
          <w:position w:val="0"/>
          <w:shd w:val="clear" w:color="auto" w:fill="auto"/>
          <w:lang w:val="hr-HR" w:eastAsia="hr-HR" w:bidi="hr-HR"/>
        </w:rPr>
        <w:t>LEKSIKON temeljnih religijskih pojmova ; židov</w:t>
        <w:softHyphen/>
        <w:t xml:space="preserve">stvo, kršćanstvo, islam </w:t>
      </w:r>
      <w:r>
        <w:rPr>
          <w:rFonts w:ascii="Times New Roman" w:eastAsia="Times New Roman" w:hAnsi="Times New Roman" w:cs="Times New Roman"/>
          <w:i/>
          <w:iCs/>
          <w:color w:val="000000"/>
          <w:spacing w:val="0"/>
          <w:w w:val="100"/>
          <w:position w:val="0"/>
          <w:shd w:val="clear" w:color="auto" w:fill="auto"/>
          <w:lang w:val="hr-HR" w:eastAsia="hr-HR" w:bidi="hr-HR"/>
        </w:rPr>
        <w:t>f</w:t>
      </w:r>
      <w:r>
        <w:rPr>
          <w:rFonts w:ascii="Times New Roman" w:eastAsia="Times New Roman" w:hAnsi="Times New Roman" w:cs="Times New Roman"/>
          <w:color w:val="000000"/>
          <w:spacing w:val="0"/>
          <w:w w:val="100"/>
          <w:position w:val="0"/>
          <w:shd w:val="clear" w:color="auto" w:fill="auto"/>
          <w:lang w:val="hr-HR" w:eastAsia="hr-HR" w:bidi="hr-HR"/>
        </w:rPr>
        <w:t xml:space="preserve"> preveli s njemačkog Ncdcljka Paravić... &lt;et al.&gt;. - Zagreb : Svjetska konferencija re</w:t>
        <w:softHyphen/>
        <w:t>ligija za mir: Protnctcj, 2005,</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33" w:lineRule="auto"/>
        <w:ind w:left="32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Prijevod djela: Leaikon religioeser Grundbegriffe.</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33" w:lineRule="auto"/>
        <w:ind w:left="320" w:right="0" w:firstLine="2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ISBN 953-6460-22-X </w:t>
      </w:r>
      <w:r>
        <w:rPr>
          <w:rFonts w:ascii="Times New Roman" w:eastAsia="Times New Roman" w:hAnsi="Times New Roman" w:cs="Times New Roman"/>
          <w:color w:val="000000"/>
          <w:spacing w:val="0"/>
          <w:w w:val="100"/>
          <w:position w:val="0"/>
          <w:shd w:val="clear" w:color="auto" w:fill="auto"/>
          <w:lang w:val="hr-HR" w:eastAsia="hr-HR" w:bidi="hr-HR"/>
        </w:rPr>
        <w:t>(Prometcj)</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48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 Judaizam - Leksikon</w:t>
      </w:r>
    </w:p>
    <w:p>
      <w:pPr>
        <w:pStyle w:val="Style33"/>
        <w:keepNext w:val="0"/>
        <w:keepLines w:val="0"/>
        <w:widowControl w:val="0"/>
        <w:numPr>
          <w:ilvl w:val="0"/>
          <w:numId w:val="687"/>
        </w:numPr>
        <w:pBdr>
          <w:top w:val="single" w:sz="4" w:space="0" w:color="auto"/>
          <w:left w:val="single" w:sz="4" w:space="0" w:color="auto"/>
          <w:bottom w:val="single" w:sz="4" w:space="0" w:color="auto"/>
          <w:right w:val="single" w:sz="4" w:space="0" w:color="auto"/>
        </w:pBdr>
        <w:shd w:val="clear" w:color="auto" w:fill="auto"/>
        <w:tabs>
          <w:tab w:pos="774" w:val="left"/>
        </w:tabs>
        <w:bidi w:val="0"/>
        <w:spacing w:before="0" w:after="0" w:line="233" w:lineRule="auto"/>
        <w:ind w:left="42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Kršćanstvo - Leksikon</w:t>
      </w:r>
    </w:p>
    <w:p>
      <w:pPr>
        <w:pStyle w:val="Style33"/>
        <w:keepNext w:val="0"/>
        <w:keepLines w:val="0"/>
        <w:widowControl w:val="0"/>
        <w:numPr>
          <w:ilvl w:val="0"/>
          <w:numId w:val="687"/>
        </w:numPr>
        <w:pBdr>
          <w:top w:val="single" w:sz="4" w:space="0" w:color="auto"/>
          <w:left w:val="single" w:sz="4" w:space="0" w:color="auto"/>
          <w:bottom w:val="single" w:sz="4" w:space="0" w:color="auto"/>
          <w:right w:val="single" w:sz="4" w:space="0" w:color="auto"/>
        </w:pBdr>
        <w:shd w:val="clear" w:color="auto" w:fill="auto"/>
        <w:tabs>
          <w:tab w:pos="751" w:val="left"/>
        </w:tabs>
        <w:bidi w:val="0"/>
        <w:spacing w:before="0" w:after="380" w:line="233" w:lineRule="auto"/>
        <w:ind w:left="32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Islam ~ Leksikon</w:t>
      </w:r>
    </w:p>
    <w:p>
      <w:pPr>
        <w:pStyle w:val="Style33"/>
        <w:keepNext w:val="0"/>
        <w:keepLines w:val="0"/>
        <w:widowControl w:val="0"/>
        <w:shd w:val="clear" w:color="auto" w:fill="auto"/>
        <w:bidi w:val="0"/>
        <w:spacing w:before="0" w:after="100" w:line="240" w:lineRule="auto"/>
        <w:ind w:left="0" w:right="0" w:firstLine="0"/>
        <w:jc w:val="center"/>
        <w:sectPr>
          <w:headerReference w:type="default" r:id="rId1789"/>
          <w:footerReference w:type="default" r:id="rId1790"/>
          <w:headerReference w:type="even" r:id="rId1791"/>
          <w:footerReference w:type="even" r:id="rId1792"/>
          <w:footnotePr>
            <w:pos w:val="pageBottom"/>
            <w:numFmt w:val="decimal"/>
            <w:numRestart w:val="continuous"/>
            <w15:footnoteColumns w:val="1"/>
          </w:footnotePr>
          <w:pgSz w:w="7430" w:h="11221"/>
          <w:pgMar w:top="178" w:left="1406" w:right="1387" w:bottom="44" w:header="0" w:footer="3" w:gutter="0"/>
          <w:pgNumType w:start="588"/>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ISBN 953-6460-22-X</w:t>
      </w:r>
    </w:p>
    <w:p>
      <w:pPr>
        <w:pStyle w:val="Style129"/>
        <w:keepNext w:val="0"/>
        <w:keepLines w:val="0"/>
        <w:widowControl w:val="0"/>
        <w:shd w:val="clear" w:color="auto" w:fill="auto"/>
        <w:bidi w:val="0"/>
        <w:spacing w:before="0" w:after="0" w:line="240" w:lineRule="auto"/>
        <w:ind w:left="158" w:right="0" w:firstLine="0"/>
        <w:jc w:val="left"/>
      </w:pPr>
      <w:r>
        <w:rPr>
          <w:rFonts w:ascii="Times New Roman" w:eastAsia="Times New Roman" w:hAnsi="Times New Roman" w:cs="Times New Roman"/>
          <w:color w:val="000000"/>
          <w:spacing w:val="0"/>
          <w:w w:val="100"/>
          <w:position w:val="0"/>
          <w:shd w:val="clear" w:color="auto" w:fill="auto"/>
        </w:rPr>
        <w:t>ISBN 953-6460-22-X</w:t>
      </w:r>
    </w:p>
    <w:p>
      <w:pPr>
        <w:widowControl w:val="0"/>
        <w:jc w:val="center"/>
        <w:rPr>
          <w:sz w:val="2"/>
          <w:szCs w:val="2"/>
        </w:rPr>
        <w:sectPr>
          <w:headerReference w:type="default" r:id="rId1793"/>
          <w:footerReference w:type="default" r:id="rId1794"/>
          <w:headerReference w:type="even" r:id="rId1795"/>
          <w:footerReference w:type="even" r:id="rId1796"/>
          <w:footnotePr>
            <w:pos w:val="pageBottom"/>
            <w:numFmt w:val="decimal"/>
            <w:numRestart w:val="continuous"/>
            <w15:footnoteColumns w:val="1"/>
          </w:footnotePr>
          <w:pgSz w:w="8400" w:h="11900"/>
          <w:pgMar w:top="9719" w:left="3214" w:right="3450" w:bottom="641" w:header="9291" w:footer="213" w:gutter="0"/>
          <w:pgNumType w:start="590"/>
          <w:cols w:space="720"/>
          <w:noEndnote/>
          <w:rtlGutter w:val="0"/>
          <w:docGrid w:linePitch="360"/>
        </w:sectPr>
      </w:pPr>
      <w:r>
        <w:drawing>
          <wp:inline>
            <wp:extent cx="1066800" cy="707390"/>
            <wp:docPr id="3847" name="Picutre 3847"/>
            <a:graphic xmlns:a="http://schemas.openxmlformats.org/drawingml/2006/main">
              <a:graphicData uri="http://schemas.openxmlformats.org/drawingml/2006/picture">
                <pic:pic xmlns:pic="http://schemas.openxmlformats.org/drawingml/2006/picture">
                  <pic:nvPicPr>
                    <pic:cNvPr id="3847" name="Picture 3847"/>
                    <pic:cNvPicPr/>
                  </pic:nvPicPr>
                  <pic:blipFill>
                    <a:blip r:embed="rId1797"/>
                    <a:stretch/>
                  </pic:blipFill>
                  <pic:spPr>
                    <a:xfrm>
                      <a:ext cx="1066800" cy="707390"/>
                    </a:xfrm>
                    <a:prstGeom prst="rect"/>
                  </pic:spPr>
                </pic:pic>
              </a:graphicData>
            </a:graphic>
          </wp:inline>
        </w:drawing>
      </w:r>
    </w:p>
    <w:p>
      <w:pPr>
        <w:pStyle w:val="Style7"/>
        <w:keepNext w:val="0"/>
        <w:keepLines w:val="0"/>
        <w:widowControl w:val="0"/>
        <w:shd w:val="clear" w:color="auto" w:fill="auto"/>
        <w:bidi w:val="0"/>
        <w:spacing w:before="0" w:after="1460" w:line="240" w:lineRule="auto"/>
        <w:ind w:left="0" w:right="0" w:firstLine="0"/>
        <w:jc w:val="left"/>
        <w:rPr>
          <w:sz w:val="34"/>
          <w:szCs w:val="34"/>
        </w:rPr>
      </w:pPr>
      <w:r>
        <w:rPr>
          <w:rFonts w:ascii="Times New Roman" w:eastAsia="Times New Roman" w:hAnsi="Times New Roman" w:cs="Times New Roman"/>
          <w:color w:val="775F37"/>
          <w:spacing w:val="0"/>
          <w:w w:val="100"/>
          <w:position w:val="0"/>
          <w:sz w:val="34"/>
          <w:szCs w:val="34"/>
          <w:shd w:val="clear" w:color="auto" w:fill="auto"/>
          <w:lang w:val="hr-HR" w:eastAsia="hr-HR" w:bidi="hr-HR"/>
        </w:rPr>
        <w:t>ŽIDOVSTVO</w:t>
      </w:r>
    </w:p>
    <w:p>
      <w:pPr>
        <w:pStyle w:val="Style7"/>
        <w:keepNext w:val="0"/>
        <w:keepLines w:val="0"/>
        <w:widowControl w:val="0"/>
        <w:shd w:val="clear" w:color="auto" w:fill="auto"/>
        <w:bidi w:val="0"/>
        <w:spacing w:before="0" w:after="146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hr-HR" w:eastAsia="hr-HR" w:bidi="hr-HR"/>
        </w:rPr>
        <w:t>KRŠĆANSTVO</w:t>
      </w:r>
    </w:p>
    <w:p>
      <w:pPr>
        <w:pStyle w:val="Style7"/>
        <w:keepNext w:val="0"/>
        <w:keepLines w:val="0"/>
        <w:widowControl w:val="0"/>
        <w:shd w:val="clear" w:color="auto" w:fill="auto"/>
        <w:bidi w:val="0"/>
        <w:spacing w:before="0" w:after="0" w:line="240" w:lineRule="auto"/>
        <w:ind w:left="0" w:right="0" w:firstLine="0"/>
        <w:jc w:val="center"/>
        <w:rPr>
          <w:sz w:val="34"/>
          <w:szCs w:val="34"/>
        </w:rPr>
      </w:pPr>
      <w:r>
        <w:rPr>
          <w:rFonts w:ascii="Times New Roman" w:eastAsia="Times New Roman" w:hAnsi="Times New Roman" w:cs="Times New Roman"/>
          <w:color w:val="486644"/>
          <w:spacing w:val="0"/>
          <w:w w:val="100"/>
          <w:position w:val="0"/>
          <w:sz w:val="34"/>
          <w:szCs w:val="34"/>
          <w:shd w:val="clear" w:color="auto" w:fill="auto"/>
          <w:lang w:val="hr-HR" w:eastAsia="hr-HR" w:bidi="hr-HR"/>
        </w:rPr>
        <w:t>ISLAM</w:t>
      </w:r>
    </w:p>
    <w:sectPr>
      <w:footnotePr>
        <w:pos w:val="pageBottom"/>
        <w:numFmt w:val="decimal"/>
        <w:numRestart w:val="continuous"/>
        <w15:footnoteColumns w:val="1"/>
      </w:footnotePr>
      <w:pgSz w:w="2753" w:h="12539"/>
      <w:pgMar w:top="4478" w:left="203" w:right="131" w:bottom="3692" w:header="4050" w:footer="3264"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4099560</wp:posOffset>
              </wp:positionH>
              <wp:positionV relativeFrom="page">
                <wp:posOffset>6793865</wp:posOffset>
              </wp:positionV>
              <wp:extent cx="88265" cy="82550"/>
              <wp:wrapNone/>
              <wp:docPr id="9" name="Shape 9"/>
              <a:graphic xmlns:a="http://schemas.openxmlformats.org/drawingml/2006/main">
                <a:graphicData uri="http://schemas.microsoft.com/office/word/2010/wordprocessingShape">
                  <wps:wsp>
                    <wps:cNvSpPr txBox="1"/>
                    <wps:spPr>
                      <a:xfrm>
                        <a:ext cx="88265"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35" type="#_x0000_t202" style="position:absolute;margin-left:322.80000000000001pt;margin-top:534.95000000000005pt;width:6.9500000000000002pt;height:6.5pt;z-index:-18874406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394970</wp:posOffset>
              </wp:positionH>
              <wp:positionV relativeFrom="page">
                <wp:posOffset>6758940</wp:posOffset>
              </wp:positionV>
              <wp:extent cx="48895" cy="79375"/>
              <wp:wrapNone/>
              <wp:docPr id="14" name="Shape 14"/>
              <a:graphic xmlns:a="http://schemas.openxmlformats.org/drawingml/2006/main">
                <a:graphicData uri="http://schemas.microsoft.com/office/word/2010/wordprocessingShape">
                  <wps:wsp>
                    <wps:cNvSpPr txBox="1"/>
                    <wps:spPr>
                      <a:xfrm>
                        <a:ext cx="4889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40" type="#_x0000_t202" style="position:absolute;margin-left:31.100000000000001pt;margin-top:532.20000000000005pt;width:3.8500000000000001pt;height:6.25pt;z-index:-18874405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7" behindDoc="1" locked="0" layoutInCell="1" allowOverlap="1">
              <wp:simplePos x="0" y="0"/>
              <wp:positionH relativeFrom="page">
                <wp:posOffset>4099560</wp:posOffset>
              </wp:positionH>
              <wp:positionV relativeFrom="page">
                <wp:posOffset>6793865</wp:posOffset>
              </wp:positionV>
              <wp:extent cx="88265" cy="82550"/>
              <wp:wrapNone/>
              <wp:docPr id="16" name="Shape 16"/>
              <a:graphic xmlns:a="http://schemas.openxmlformats.org/drawingml/2006/main">
                <a:graphicData uri="http://schemas.microsoft.com/office/word/2010/wordprocessingShape">
                  <wps:wsp>
                    <wps:cNvSpPr txBox="1"/>
                    <wps:spPr>
                      <a:xfrm>
                        <a:ext cx="88265"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42" type="#_x0000_t202" style="position:absolute;margin-left:322.80000000000001pt;margin-top:534.95000000000005pt;width:6.9500000000000002pt;height:6.5pt;z-index:-18874405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9" behindDoc="1" locked="0" layoutInCell="1" allowOverlap="1">
              <wp:simplePos x="0" y="0"/>
              <wp:positionH relativeFrom="page">
                <wp:posOffset>4099560</wp:posOffset>
              </wp:positionH>
              <wp:positionV relativeFrom="page">
                <wp:posOffset>6793865</wp:posOffset>
              </wp:positionV>
              <wp:extent cx="88265" cy="82550"/>
              <wp:wrapNone/>
              <wp:docPr id="18" name="Shape 18"/>
              <a:graphic xmlns:a="http://schemas.openxmlformats.org/drawingml/2006/main">
                <a:graphicData uri="http://schemas.microsoft.com/office/word/2010/wordprocessingShape">
                  <wps:wsp>
                    <wps:cNvSpPr txBox="1"/>
                    <wps:spPr>
                      <a:xfrm>
                        <a:ext cx="88265"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44" type="#_x0000_t202" style="position:absolute;margin-left:322.80000000000001pt;margin-top:534.95000000000005pt;width:6.9500000000000002pt;height:6.5pt;z-index:-18874405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375285</wp:posOffset>
              </wp:positionH>
              <wp:positionV relativeFrom="page">
                <wp:posOffset>6753225</wp:posOffset>
              </wp:positionV>
              <wp:extent cx="45720" cy="79375"/>
              <wp:wrapNone/>
              <wp:docPr id="23" name="Shape 23"/>
              <a:graphic xmlns:a="http://schemas.openxmlformats.org/drawingml/2006/main">
                <a:graphicData uri="http://schemas.microsoft.com/office/word/2010/wordprocessingShape">
                  <wps:wsp>
                    <wps:cNvSpPr txBox="1"/>
                    <wps:spPr>
                      <a:xfrm>
                        <a:ext cx="4572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b/>
                                <w:bCs/>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49" type="#_x0000_t202" style="position:absolute;margin-left:29.550000000000001pt;margin-top:531.75pt;width:3.6000000000000001pt;height:6.25pt;z-index:-18874405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b/>
                          <w:bCs/>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4302760</wp:posOffset>
              </wp:positionH>
              <wp:positionV relativeFrom="page">
                <wp:posOffset>6762115</wp:posOffset>
              </wp:positionV>
              <wp:extent cx="82550" cy="82550"/>
              <wp:wrapNone/>
              <wp:docPr id="28" name="Shape 28"/>
              <a:graphic xmlns:a="http://schemas.openxmlformats.org/drawingml/2006/main">
                <a:graphicData uri="http://schemas.microsoft.com/office/word/2010/wordprocessingShape">
                  <wps:wsp>
                    <wps:cNvSpPr txBox="1"/>
                    <wps:spPr>
                      <a:xfrm>
                        <a:ext cx="82550"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54" type="#_x0000_t202" style="position:absolute;margin-left:338.80000000000001pt;margin-top:532.45000000000005pt;width:6.5pt;height:6.5pt;z-index:-18874404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1" behindDoc="1" locked="0" layoutInCell="1" allowOverlap="1">
              <wp:simplePos x="0" y="0"/>
              <wp:positionH relativeFrom="page">
                <wp:posOffset>399415</wp:posOffset>
              </wp:positionH>
              <wp:positionV relativeFrom="page">
                <wp:posOffset>6797040</wp:posOffset>
              </wp:positionV>
              <wp:extent cx="94615" cy="82550"/>
              <wp:wrapNone/>
              <wp:docPr id="33" name="Shape 33"/>
              <a:graphic xmlns:a="http://schemas.openxmlformats.org/drawingml/2006/main">
                <a:graphicData uri="http://schemas.microsoft.com/office/word/2010/wordprocessingShape">
                  <wps:wsp>
                    <wps:cNvSpPr txBox="1"/>
                    <wps:spPr>
                      <a:xfrm>
                        <a:ext cx="94615"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59" type="#_x0000_t202" style="position:absolute;margin-left:31.449999999999999pt;margin-top:535.20000000000005pt;width:7.4500000000000002pt;height:6.5pt;z-index:-18874404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4099560</wp:posOffset>
              </wp:positionH>
              <wp:positionV relativeFrom="page">
                <wp:posOffset>6793865</wp:posOffset>
              </wp:positionV>
              <wp:extent cx="88265" cy="82550"/>
              <wp:wrapNone/>
              <wp:docPr id="35" name="Shape 35"/>
              <a:graphic xmlns:a="http://schemas.openxmlformats.org/drawingml/2006/main">
                <a:graphicData uri="http://schemas.microsoft.com/office/word/2010/wordprocessingShape">
                  <wps:wsp>
                    <wps:cNvSpPr txBox="1"/>
                    <wps:spPr>
                      <a:xfrm>
                        <a:ext cx="88265"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61" type="#_x0000_t202" style="position:absolute;margin-left:322.80000000000001pt;margin-top:534.95000000000005pt;width:6.9500000000000002pt;height:6.5pt;z-index:-18874404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189230</wp:posOffset>
              </wp:positionH>
              <wp:positionV relativeFrom="page">
                <wp:posOffset>6850380</wp:posOffset>
              </wp:positionV>
              <wp:extent cx="91440" cy="76200"/>
              <wp:wrapNone/>
              <wp:docPr id="40" name="Shape 40"/>
              <a:graphic xmlns:a="http://schemas.openxmlformats.org/drawingml/2006/main">
                <a:graphicData uri="http://schemas.microsoft.com/office/word/2010/wordprocessingShape">
                  <wps:wsp>
                    <wps:cNvSpPr txBox="1"/>
                    <wps:spPr>
                      <a:xfrm>
                        <a:ext cx="91440"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66" type="#_x0000_t202" style="position:absolute;margin-left:14.9pt;margin-top:539.39999999999998pt;width:7.2000000000000002pt;height:6.pt;z-index:-18874403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4086860</wp:posOffset>
              </wp:positionH>
              <wp:positionV relativeFrom="page">
                <wp:posOffset>6784975</wp:posOffset>
              </wp:positionV>
              <wp:extent cx="94615" cy="79375"/>
              <wp:wrapNone/>
              <wp:docPr id="45" name="Shape 45"/>
              <a:graphic xmlns:a="http://schemas.openxmlformats.org/drawingml/2006/main">
                <a:graphicData uri="http://schemas.microsoft.com/office/word/2010/wordprocessingShape">
                  <wps:wsp>
                    <wps:cNvSpPr txBox="1"/>
                    <wps:spPr>
                      <a:xfrm>
                        <a:ext cx="9461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71" type="#_x0000_t202" style="position:absolute;margin-left:321.80000000000001pt;margin-top:534.25pt;width:7.4500000000000002pt;height:6.25pt;z-index:-18874403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4086860</wp:posOffset>
              </wp:positionH>
              <wp:positionV relativeFrom="page">
                <wp:posOffset>6784975</wp:posOffset>
              </wp:positionV>
              <wp:extent cx="94615" cy="79375"/>
              <wp:wrapNone/>
              <wp:docPr id="50" name="Shape 50"/>
              <a:graphic xmlns:a="http://schemas.openxmlformats.org/drawingml/2006/main">
                <a:graphicData uri="http://schemas.microsoft.com/office/word/2010/wordprocessingShape">
                  <wps:wsp>
                    <wps:cNvSpPr txBox="1"/>
                    <wps:spPr>
                      <a:xfrm>
                        <a:ext cx="9461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76" type="#_x0000_t202" style="position:absolute;margin-left:321.80000000000001pt;margin-top:534.25pt;width:7.4500000000000002pt;height:6.25pt;z-index:-18874402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9" behindDoc="1" locked="0" layoutInCell="1" allowOverlap="1">
              <wp:simplePos x="0" y="0"/>
              <wp:positionH relativeFrom="page">
                <wp:posOffset>171450</wp:posOffset>
              </wp:positionH>
              <wp:positionV relativeFrom="page">
                <wp:posOffset>6784975</wp:posOffset>
              </wp:positionV>
              <wp:extent cx="91440" cy="79375"/>
              <wp:wrapNone/>
              <wp:docPr id="55" name="Shape 55"/>
              <a:graphic xmlns:a="http://schemas.openxmlformats.org/drawingml/2006/main">
                <a:graphicData uri="http://schemas.microsoft.com/office/word/2010/wordprocessingShape">
                  <wps:wsp>
                    <wps:cNvSpPr txBox="1"/>
                    <wps:spPr>
                      <a:xfrm>
                        <a:ext cx="9144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81" type="#_x0000_t202" style="position:absolute;margin-left:13.5pt;margin-top:534.25pt;width:7.2000000000000002pt;height:6.25pt;z-index:-18874402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3" behindDoc="1" locked="0" layoutInCell="1" allowOverlap="1">
              <wp:simplePos x="0" y="0"/>
              <wp:positionH relativeFrom="page">
                <wp:posOffset>188595</wp:posOffset>
              </wp:positionH>
              <wp:positionV relativeFrom="page">
                <wp:posOffset>6788150</wp:posOffset>
              </wp:positionV>
              <wp:extent cx="85090" cy="60960"/>
              <wp:wrapNone/>
              <wp:docPr id="60" name="Shape 60"/>
              <a:graphic xmlns:a="http://schemas.openxmlformats.org/drawingml/2006/main">
                <a:graphicData uri="http://schemas.microsoft.com/office/word/2010/wordprocessingShape">
                  <wps:wsp>
                    <wps:cNvSpPr txBox="1"/>
                    <wps:spPr>
                      <a:xfrm>
                        <a:ext cx="8509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1R</w:t>
                          </w:r>
                        </w:p>
                      </w:txbxContent>
                    </wps:txbx>
                    <wps:bodyPr wrap="none" lIns="0" tIns="0" rIns="0" bIns="0">
                      <a:spAutoFit/>
                    </wps:bodyPr>
                  </wps:wsp>
                </a:graphicData>
              </a:graphic>
            </wp:anchor>
          </w:drawing>
        </mc:Choice>
        <mc:Fallback>
          <w:pict>
            <v:shape id="_x0000_s1086" type="#_x0000_t202" style="position:absolute;margin-left:14.85pt;margin-top:534.5pt;width:6.7000000000000002pt;height:4.7999999999999998pt;z-index:-18874402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1R</w:t>
                    </w:r>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7" behindDoc="1" locked="0" layoutInCell="1" allowOverlap="1">
              <wp:simplePos x="0" y="0"/>
              <wp:positionH relativeFrom="page">
                <wp:posOffset>188595</wp:posOffset>
              </wp:positionH>
              <wp:positionV relativeFrom="page">
                <wp:posOffset>6788150</wp:posOffset>
              </wp:positionV>
              <wp:extent cx="85090" cy="60960"/>
              <wp:wrapNone/>
              <wp:docPr id="65" name="Shape 65"/>
              <a:graphic xmlns:a="http://schemas.openxmlformats.org/drawingml/2006/main">
                <a:graphicData uri="http://schemas.microsoft.com/office/word/2010/wordprocessingShape">
                  <wps:wsp>
                    <wps:cNvSpPr txBox="1"/>
                    <wps:spPr>
                      <a:xfrm>
                        <a:ext cx="8509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1R</w:t>
                          </w:r>
                        </w:p>
                      </w:txbxContent>
                    </wps:txbx>
                    <wps:bodyPr wrap="none" lIns="0" tIns="0" rIns="0" bIns="0">
                      <a:spAutoFit/>
                    </wps:bodyPr>
                  </wps:wsp>
                </a:graphicData>
              </a:graphic>
            </wp:anchor>
          </w:drawing>
        </mc:Choice>
        <mc:Fallback>
          <w:pict>
            <v:shape id="_x0000_s1091" type="#_x0000_t202" style="position:absolute;margin-left:14.85pt;margin-top:534.5pt;width:6.7000000000000002pt;height:4.7999999999999998pt;z-index:-18874401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1R</w:t>
                    </w:r>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1" behindDoc="1" locked="0" layoutInCell="1" allowOverlap="1">
              <wp:simplePos x="0" y="0"/>
              <wp:positionH relativeFrom="page">
                <wp:posOffset>4093210</wp:posOffset>
              </wp:positionH>
              <wp:positionV relativeFrom="page">
                <wp:posOffset>6784975</wp:posOffset>
              </wp:positionV>
              <wp:extent cx="91440" cy="79375"/>
              <wp:wrapNone/>
              <wp:docPr id="70" name="Shape 70"/>
              <a:graphic xmlns:a="http://schemas.openxmlformats.org/drawingml/2006/main">
                <a:graphicData uri="http://schemas.microsoft.com/office/word/2010/wordprocessingShape">
                  <wps:wsp>
                    <wps:cNvSpPr txBox="1"/>
                    <wps:spPr>
                      <a:xfrm>
                        <a:ext cx="9144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b/>
                                <w:bCs/>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096" type="#_x0000_t202" style="position:absolute;margin-left:322.30000000000001pt;margin-top:534.25pt;width:7.2000000000000002pt;height:6.25pt;z-index:-18874401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b/>
                          <w:bCs/>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5" behindDoc="1" locked="0" layoutInCell="1" allowOverlap="1">
              <wp:simplePos x="0" y="0"/>
              <wp:positionH relativeFrom="page">
                <wp:posOffset>4093210</wp:posOffset>
              </wp:positionH>
              <wp:positionV relativeFrom="page">
                <wp:posOffset>6784975</wp:posOffset>
              </wp:positionV>
              <wp:extent cx="91440" cy="79375"/>
              <wp:wrapNone/>
              <wp:docPr id="75" name="Shape 75"/>
              <a:graphic xmlns:a="http://schemas.openxmlformats.org/drawingml/2006/main">
                <a:graphicData uri="http://schemas.microsoft.com/office/word/2010/wordprocessingShape">
                  <wps:wsp>
                    <wps:cNvSpPr txBox="1"/>
                    <wps:spPr>
                      <a:xfrm>
                        <a:ext cx="9144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b/>
                                <w:bCs/>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01" type="#_x0000_t202" style="position:absolute;margin-left:322.30000000000001pt;margin-top:534.25pt;width:7.2000000000000002pt;height:6.25pt;z-index:-18874400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b/>
                          <w:bCs/>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7" behindDoc="1" locked="0" layoutInCell="1" allowOverlap="1">
              <wp:simplePos x="0" y="0"/>
              <wp:positionH relativeFrom="page">
                <wp:posOffset>4083685</wp:posOffset>
              </wp:positionH>
              <wp:positionV relativeFrom="page">
                <wp:posOffset>6791325</wp:posOffset>
              </wp:positionV>
              <wp:extent cx="82550" cy="54610"/>
              <wp:wrapNone/>
              <wp:docPr id="77" name="Shape 77"/>
              <a:graphic xmlns:a="http://schemas.openxmlformats.org/drawingml/2006/main">
                <a:graphicData uri="http://schemas.microsoft.com/office/word/2010/wordprocessingShape">
                  <wps:wsp>
                    <wps:cNvSpPr txBox="1"/>
                    <wps:spPr>
                      <a:xfrm>
                        <a:ext cx="82550" cy="546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w:t>
                          </w:r>
                        </w:p>
                      </w:txbxContent>
                    </wps:txbx>
                    <wps:bodyPr wrap="none" lIns="0" tIns="0" rIns="0" bIns="0">
                      <a:spAutoFit/>
                    </wps:bodyPr>
                  </wps:wsp>
                </a:graphicData>
              </a:graphic>
            </wp:anchor>
          </w:drawing>
        </mc:Choice>
        <mc:Fallback>
          <w:pict>
            <v:shape id="_x0000_s1103" type="#_x0000_t202" style="position:absolute;margin-left:321.55000000000001pt;margin-top:534.75pt;width:6.5pt;height:4.2999999999999998pt;z-index:-18874400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w:t>
                    </w:r>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9" behindDoc="1" locked="0" layoutInCell="1" allowOverlap="1">
              <wp:simplePos x="0" y="0"/>
              <wp:positionH relativeFrom="page">
                <wp:posOffset>4083685</wp:posOffset>
              </wp:positionH>
              <wp:positionV relativeFrom="page">
                <wp:posOffset>6791325</wp:posOffset>
              </wp:positionV>
              <wp:extent cx="82550" cy="54610"/>
              <wp:wrapNone/>
              <wp:docPr id="79" name="Shape 79"/>
              <a:graphic xmlns:a="http://schemas.openxmlformats.org/drawingml/2006/main">
                <a:graphicData uri="http://schemas.microsoft.com/office/word/2010/wordprocessingShape">
                  <wps:wsp>
                    <wps:cNvSpPr txBox="1"/>
                    <wps:spPr>
                      <a:xfrm>
                        <a:ext cx="82550" cy="546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w:t>
                          </w:r>
                        </w:p>
                      </w:txbxContent>
                    </wps:txbx>
                    <wps:bodyPr wrap="none" lIns="0" tIns="0" rIns="0" bIns="0">
                      <a:spAutoFit/>
                    </wps:bodyPr>
                  </wps:wsp>
                </a:graphicData>
              </a:graphic>
            </wp:anchor>
          </w:drawing>
        </mc:Choice>
        <mc:Fallback>
          <w:pict>
            <v:shape id="_x0000_s1105" type="#_x0000_t202" style="position:absolute;margin-left:321.55000000000001pt;margin-top:534.75pt;width:6.5pt;height:4.2999999999999998pt;z-index:-18874400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?1</w:t>
                    </w:r>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5" behindDoc="1" locked="0" layoutInCell="1" allowOverlap="1">
              <wp:simplePos x="0" y="0"/>
              <wp:positionH relativeFrom="page">
                <wp:posOffset>150495</wp:posOffset>
              </wp:positionH>
              <wp:positionV relativeFrom="page">
                <wp:posOffset>6766560</wp:posOffset>
              </wp:positionV>
              <wp:extent cx="128270" cy="103505"/>
              <wp:wrapNone/>
              <wp:docPr id="87" name="Shape 87"/>
              <a:graphic xmlns:a="http://schemas.openxmlformats.org/drawingml/2006/main">
                <a:graphicData uri="http://schemas.microsoft.com/office/word/2010/wordprocessingShape">
                  <wps:wsp>
                    <wps:cNvSpPr txBox="1"/>
                    <wps:spPr>
                      <a:xfrm>
                        <a:ext cx="128270" cy="103505"/>
                      </a:xfrm>
                      <a:prstGeom prst="rect"/>
                      <a:noFill/>
                    </wps:spPr>
                    <wps:txbx>
                      <w:txbxContent>
                        <w:p>
                          <w:pPr>
                            <w:widowControl w:val="0"/>
                          </w:pPr>
                        </w:p>
                      </w:txbxContent>
                    </wps:txbx>
                    <wps:bodyPr wrap="none" lIns="0" tIns="0" rIns="0" bIns="0">
                      <a:spAutoFit/>
                    </wps:bodyPr>
                  </wps:wsp>
                </a:graphicData>
              </a:graphic>
            </wp:anchor>
          </w:drawing>
        </mc:Choice>
        <mc:Fallback>
          <w:pict>
            <v:shape id="_x0000_s1113" type="#_x0000_t202" style="position:absolute;margin-left:11.85pt;margin-top:532.79999999999995pt;width:10.1pt;height:8.1500000000000004pt;z-index:-188743998;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150495</wp:posOffset>
              </wp:positionH>
              <wp:positionV relativeFrom="page">
                <wp:posOffset>6766560</wp:posOffset>
              </wp:positionV>
              <wp:extent cx="128270" cy="103505"/>
              <wp:wrapNone/>
              <wp:docPr id="92" name="Shape 92"/>
              <a:graphic xmlns:a="http://schemas.openxmlformats.org/drawingml/2006/main">
                <a:graphicData uri="http://schemas.microsoft.com/office/word/2010/wordprocessingShape">
                  <wps:wsp>
                    <wps:cNvSpPr txBox="1"/>
                    <wps:spPr>
                      <a:xfrm>
                        <a:ext cx="128270" cy="103505"/>
                      </a:xfrm>
                      <a:prstGeom prst="rect"/>
                      <a:noFill/>
                    </wps:spPr>
                    <wps:txbx>
                      <w:txbxContent>
                        <w:p>
                          <w:pPr>
                            <w:widowControl w:val="0"/>
                          </w:pPr>
                        </w:p>
                      </w:txbxContent>
                    </wps:txbx>
                    <wps:bodyPr wrap="none" lIns="0" tIns="0" rIns="0" bIns="0">
                      <a:spAutoFit/>
                    </wps:bodyPr>
                  </wps:wsp>
                </a:graphicData>
              </a:graphic>
            </wp:anchor>
          </w:drawing>
        </mc:Choice>
        <mc:Fallback>
          <w:pict>
            <v:shape id="_x0000_s1118" type="#_x0000_t202" style="position:absolute;margin-left:11.85pt;margin-top:532.79999999999995pt;width:10.1pt;height:8.1500000000000004pt;z-index:-188743994;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3" behindDoc="1" locked="0" layoutInCell="1" allowOverlap="1">
              <wp:simplePos x="0" y="0"/>
              <wp:positionH relativeFrom="page">
                <wp:posOffset>167005</wp:posOffset>
              </wp:positionH>
              <wp:positionV relativeFrom="page">
                <wp:posOffset>6778625</wp:posOffset>
              </wp:positionV>
              <wp:extent cx="97790" cy="79375"/>
              <wp:wrapNone/>
              <wp:docPr id="97" name="Shape 97"/>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23" type="#_x0000_t202" style="position:absolute;margin-left:13.15pt;margin-top:533.75pt;width:7.7000000000000002pt;height:6.25pt;z-index:-18874399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167005</wp:posOffset>
              </wp:positionH>
              <wp:positionV relativeFrom="page">
                <wp:posOffset>6778625</wp:posOffset>
              </wp:positionV>
              <wp:extent cx="97790" cy="79375"/>
              <wp:wrapNone/>
              <wp:docPr id="102" name="Shape 102"/>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28" type="#_x0000_t202" style="position:absolute;margin-left:13.15pt;margin-top:533.75pt;width:7.7000000000000002pt;height:6.25pt;z-index:-18874398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4085590</wp:posOffset>
              </wp:positionH>
              <wp:positionV relativeFrom="page">
                <wp:posOffset>6791325</wp:posOffset>
              </wp:positionV>
              <wp:extent cx="97790" cy="79375"/>
              <wp:wrapNone/>
              <wp:docPr id="107" name="Shape 107"/>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33" type="#_x0000_t202" style="position:absolute;margin-left:321.69999999999999pt;margin-top:534.75pt;width:7.7000000000000002pt;height:6.25pt;z-index:-18874398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167005</wp:posOffset>
              </wp:positionH>
              <wp:positionV relativeFrom="page">
                <wp:posOffset>6778625</wp:posOffset>
              </wp:positionV>
              <wp:extent cx="97790" cy="79375"/>
              <wp:wrapNone/>
              <wp:docPr id="118" name="Shape 118"/>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44" type="#_x0000_t202" style="position:absolute;margin-left:13.15pt;margin-top:533.75pt;width:7.7000000000000002pt;height:6.25pt;z-index:-18874397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167005</wp:posOffset>
              </wp:positionH>
              <wp:positionV relativeFrom="page">
                <wp:posOffset>6778625</wp:posOffset>
              </wp:positionV>
              <wp:extent cx="97790" cy="79375"/>
              <wp:wrapNone/>
              <wp:docPr id="123" name="Shape 123"/>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49" type="#_x0000_t202" style="position:absolute;margin-left:13.15pt;margin-top:533.75pt;width:7.7000000000000002pt;height:6.25pt;z-index:-18874397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7" behindDoc="1" locked="0" layoutInCell="1" allowOverlap="1">
              <wp:simplePos x="0" y="0"/>
              <wp:positionH relativeFrom="page">
                <wp:posOffset>4076065</wp:posOffset>
              </wp:positionH>
              <wp:positionV relativeFrom="page">
                <wp:posOffset>6784975</wp:posOffset>
              </wp:positionV>
              <wp:extent cx="106680" cy="67310"/>
              <wp:wrapNone/>
              <wp:docPr id="128" name="Shape 128"/>
              <a:graphic xmlns:a="http://schemas.openxmlformats.org/drawingml/2006/main">
                <a:graphicData uri="http://schemas.microsoft.com/office/word/2010/wordprocessingShape">
                  <wps:wsp>
                    <wps:cNvSpPr txBox="1"/>
                    <wps:spPr>
                      <a:xfrm>
                        <a:ext cx="106680"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77</w:t>
                          </w:r>
                        </w:p>
                      </w:txbxContent>
                    </wps:txbx>
                    <wps:bodyPr wrap="none" lIns="0" tIns="0" rIns="0" bIns="0">
                      <a:spAutoFit/>
                    </wps:bodyPr>
                  </wps:wsp>
                </a:graphicData>
              </a:graphic>
            </wp:anchor>
          </w:drawing>
        </mc:Choice>
        <mc:Fallback>
          <w:pict>
            <v:shape id="_x0000_s1154" type="#_x0000_t202" style="position:absolute;margin-left:320.94999999999999pt;margin-top:534.25pt;width:8.4000000000000004pt;height:5.2999999999999998pt;z-index:-18874396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77</w:t>
                    </w:r>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1" behindDoc="1" locked="0" layoutInCell="1" allowOverlap="1">
              <wp:simplePos x="0" y="0"/>
              <wp:positionH relativeFrom="page">
                <wp:posOffset>4076065</wp:posOffset>
              </wp:positionH>
              <wp:positionV relativeFrom="page">
                <wp:posOffset>6784975</wp:posOffset>
              </wp:positionV>
              <wp:extent cx="106680" cy="67310"/>
              <wp:wrapNone/>
              <wp:docPr id="133" name="Shape 133"/>
              <a:graphic xmlns:a="http://schemas.openxmlformats.org/drawingml/2006/main">
                <a:graphicData uri="http://schemas.microsoft.com/office/word/2010/wordprocessingShape">
                  <wps:wsp>
                    <wps:cNvSpPr txBox="1"/>
                    <wps:spPr>
                      <a:xfrm>
                        <a:ext cx="106680"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77</w:t>
                          </w:r>
                        </w:p>
                      </w:txbxContent>
                    </wps:txbx>
                    <wps:bodyPr wrap="none" lIns="0" tIns="0" rIns="0" bIns="0">
                      <a:spAutoFit/>
                    </wps:bodyPr>
                  </wps:wsp>
                </a:graphicData>
              </a:graphic>
            </wp:anchor>
          </w:drawing>
        </mc:Choice>
        <mc:Fallback>
          <w:pict>
            <v:shape id="_x0000_s1159" type="#_x0000_t202" style="position:absolute;margin-left:320.94999999999999pt;margin-top:534.25pt;width:8.4000000000000004pt;height:5.2999999999999998pt;z-index:-18874396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shd w:val="clear" w:color="auto" w:fill="auto"/>
                        <w:lang w:val="hr-HR" w:eastAsia="hr-HR" w:bidi="hr-HR"/>
                      </w:rPr>
                      <w:t>77</w:t>
                    </w:r>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5" behindDoc="1" locked="0" layoutInCell="1" allowOverlap="1">
              <wp:simplePos x="0" y="0"/>
              <wp:positionH relativeFrom="page">
                <wp:posOffset>167005</wp:posOffset>
              </wp:positionH>
              <wp:positionV relativeFrom="page">
                <wp:posOffset>6778625</wp:posOffset>
              </wp:positionV>
              <wp:extent cx="97790" cy="79375"/>
              <wp:wrapNone/>
              <wp:docPr id="138" name="Shape 138"/>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64" type="#_x0000_t202" style="position:absolute;margin-left:13.15pt;margin-top:533.75pt;width:7.7000000000000002pt;height:6.25pt;z-index:-18874395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167005</wp:posOffset>
              </wp:positionH>
              <wp:positionV relativeFrom="page">
                <wp:posOffset>6778625</wp:posOffset>
              </wp:positionV>
              <wp:extent cx="97790" cy="79375"/>
              <wp:wrapNone/>
              <wp:docPr id="143" name="Shape 143"/>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169" type="#_x0000_t202" style="position:absolute;margin-left:13.15pt;margin-top:533.75pt;width:7.7000000000000002pt;height:6.25pt;z-index:-18874395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4081145</wp:posOffset>
              </wp:positionH>
              <wp:positionV relativeFrom="page">
                <wp:posOffset>6884035</wp:posOffset>
              </wp:positionV>
              <wp:extent cx="97790" cy="85090"/>
              <wp:wrapNone/>
              <wp:docPr id="160" name="Shape 160"/>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86" type="#_x0000_t202" style="position:absolute;margin-left:321.35000000000002pt;margin-top:542.04999999999995pt;width:7.7000000000000002pt;height:6.7000000000000002pt;z-index:-18874394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4081145</wp:posOffset>
              </wp:positionH>
              <wp:positionV relativeFrom="page">
                <wp:posOffset>6884035</wp:posOffset>
              </wp:positionV>
              <wp:extent cx="97790" cy="85090"/>
              <wp:wrapNone/>
              <wp:docPr id="165" name="Shape 165"/>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91" type="#_x0000_t202" style="position:absolute;margin-left:321.35000000000002pt;margin-top:542.04999999999995pt;width:7.7000000000000002pt;height:6.7000000000000002pt;z-index:-18874393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4083050</wp:posOffset>
              </wp:positionH>
              <wp:positionV relativeFrom="page">
                <wp:posOffset>6774180</wp:posOffset>
              </wp:positionV>
              <wp:extent cx="103505" cy="54610"/>
              <wp:wrapNone/>
              <wp:docPr id="167" name="Shape 167"/>
              <a:graphic xmlns:a="http://schemas.openxmlformats.org/drawingml/2006/main">
                <a:graphicData uri="http://schemas.microsoft.com/office/word/2010/wordprocessingShape">
                  <wps:wsp>
                    <wps:cNvSpPr txBox="1"/>
                    <wps:spPr>
                      <a:xfrm>
                        <a:ext cx="103505" cy="546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w:t>
                          </w:r>
                        </w:p>
                      </w:txbxContent>
                    </wps:txbx>
                    <wps:bodyPr wrap="none" lIns="0" tIns="0" rIns="0" bIns="0">
                      <a:spAutoFit/>
                    </wps:bodyPr>
                  </wps:wsp>
                </a:graphicData>
              </a:graphic>
            </wp:anchor>
          </w:drawing>
        </mc:Choice>
        <mc:Fallback>
          <w:pict>
            <v:shape id="_x0000_s1193" type="#_x0000_t202" style="position:absolute;margin-left:321.5pt;margin-top:533.39999999999998pt;width:8.1500000000000004pt;height:4.2999999999999998pt;z-index:-18874393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w:t>
                    </w:r>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4083050</wp:posOffset>
              </wp:positionH>
              <wp:positionV relativeFrom="page">
                <wp:posOffset>6774180</wp:posOffset>
              </wp:positionV>
              <wp:extent cx="103505" cy="54610"/>
              <wp:wrapNone/>
              <wp:docPr id="169" name="Shape 169"/>
              <a:graphic xmlns:a="http://schemas.openxmlformats.org/drawingml/2006/main">
                <a:graphicData uri="http://schemas.microsoft.com/office/word/2010/wordprocessingShape">
                  <wps:wsp>
                    <wps:cNvSpPr txBox="1"/>
                    <wps:spPr>
                      <a:xfrm>
                        <a:ext cx="103505" cy="546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w:t>
                          </w:r>
                        </w:p>
                      </w:txbxContent>
                    </wps:txbx>
                    <wps:bodyPr wrap="none" lIns="0" tIns="0" rIns="0" bIns="0">
                      <a:spAutoFit/>
                    </wps:bodyPr>
                  </wps:wsp>
                </a:graphicData>
              </a:graphic>
            </wp:anchor>
          </w:drawing>
        </mc:Choice>
        <mc:Fallback>
          <w:pict>
            <v:shape id="_x0000_s1195" type="#_x0000_t202" style="position:absolute;margin-left:321.5pt;margin-top:533.39999999999998pt;width:8.1500000000000004pt;height:4.2999999999999998pt;z-index:-18874393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w:t>
                    </w:r>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4085590</wp:posOffset>
              </wp:positionH>
              <wp:positionV relativeFrom="page">
                <wp:posOffset>6758940</wp:posOffset>
              </wp:positionV>
              <wp:extent cx="97790" cy="79375"/>
              <wp:wrapNone/>
              <wp:docPr id="174" name="Shape 174"/>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00" type="#_x0000_t202" style="position:absolute;margin-left:321.69999999999999pt;margin-top:532.20000000000005pt;width:7.7000000000000002pt;height:6.25pt;z-index:-18874393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7" behindDoc="1" locked="0" layoutInCell="1" allowOverlap="1">
              <wp:simplePos x="0" y="0"/>
              <wp:positionH relativeFrom="page">
                <wp:posOffset>4085590</wp:posOffset>
              </wp:positionH>
              <wp:positionV relativeFrom="page">
                <wp:posOffset>6758940</wp:posOffset>
              </wp:positionV>
              <wp:extent cx="97790" cy="79375"/>
              <wp:wrapNone/>
              <wp:docPr id="179" name="Shape 179"/>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05" type="#_x0000_t202" style="position:absolute;margin-left:321.69999999999999pt;margin-top:532.20000000000005pt;width:7.7000000000000002pt;height:6.25pt;z-index:-18874392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1" behindDoc="1" locked="0" layoutInCell="1" allowOverlap="1">
              <wp:simplePos x="0" y="0"/>
              <wp:positionH relativeFrom="page">
                <wp:posOffset>179705</wp:posOffset>
              </wp:positionH>
              <wp:positionV relativeFrom="page">
                <wp:posOffset>6771640</wp:posOffset>
              </wp:positionV>
              <wp:extent cx="97790" cy="85090"/>
              <wp:wrapNone/>
              <wp:docPr id="184" name="Shape 184"/>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10" type="#_x0000_t202" style="position:absolute;margin-left:14.15pt;margin-top:533.20000000000005pt;width:7.7000000000000002pt;height:6.7000000000000002pt;z-index:-18874392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5" behindDoc="1" locked="0" layoutInCell="1" allowOverlap="1">
              <wp:simplePos x="0" y="0"/>
              <wp:positionH relativeFrom="page">
                <wp:posOffset>4084320</wp:posOffset>
              </wp:positionH>
              <wp:positionV relativeFrom="page">
                <wp:posOffset>6756400</wp:posOffset>
              </wp:positionV>
              <wp:extent cx="94615" cy="82550"/>
              <wp:wrapNone/>
              <wp:docPr id="189" name="Shape 189"/>
              <a:graphic xmlns:a="http://schemas.openxmlformats.org/drawingml/2006/main">
                <a:graphicData uri="http://schemas.microsoft.com/office/word/2010/wordprocessingShape">
                  <wps:wsp>
                    <wps:cNvSpPr txBox="1"/>
                    <wps:spPr>
                      <a:xfrm>
                        <a:ext cx="94615"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15" type="#_x0000_t202" style="position:absolute;margin-left:321.60000000000002pt;margin-top:532.pt;width:7.4500000000000002pt;height:6.5pt;z-index:-18874391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9" behindDoc="1" locked="0" layoutInCell="1" allowOverlap="1">
              <wp:simplePos x="0" y="0"/>
              <wp:positionH relativeFrom="page">
                <wp:posOffset>4084320</wp:posOffset>
              </wp:positionH>
              <wp:positionV relativeFrom="page">
                <wp:posOffset>6756400</wp:posOffset>
              </wp:positionV>
              <wp:extent cx="94615" cy="82550"/>
              <wp:wrapNone/>
              <wp:docPr id="194" name="Shape 194"/>
              <a:graphic xmlns:a="http://schemas.openxmlformats.org/drawingml/2006/main">
                <a:graphicData uri="http://schemas.microsoft.com/office/word/2010/wordprocessingShape">
                  <wps:wsp>
                    <wps:cNvSpPr txBox="1"/>
                    <wps:spPr>
                      <a:xfrm>
                        <a:ext cx="94615"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20" type="#_x0000_t202" style="position:absolute;margin-left:321.60000000000002pt;margin-top:532.pt;width:7.4500000000000002pt;height:6.5pt;z-index:-18874391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3" behindDoc="1" locked="0" layoutInCell="1" allowOverlap="1">
              <wp:simplePos x="0" y="0"/>
              <wp:positionH relativeFrom="page">
                <wp:posOffset>168910</wp:posOffset>
              </wp:positionH>
              <wp:positionV relativeFrom="page">
                <wp:posOffset>6743700</wp:posOffset>
              </wp:positionV>
              <wp:extent cx="100330" cy="85090"/>
              <wp:wrapNone/>
              <wp:docPr id="199" name="Shape 199"/>
              <a:graphic xmlns:a="http://schemas.openxmlformats.org/drawingml/2006/main">
                <a:graphicData uri="http://schemas.microsoft.com/office/word/2010/wordprocessingShape">
                  <wps:wsp>
                    <wps:cNvSpPr txBox="1"/>
                    <wps:spPr>
                      <a:xfrm>
                        <a:ext cx="10033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25" type="#_x0000_t202" style="position:absolute;margin-left:13.300000000000001pt;margin-top:531.pt;width:7.9000000000000004pt;height:6.7000000000000002pt;z-index:-18874391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7" behindDoc="1" locked="0" layoutInCell="1" allowOverlap="1">
              <wp:simplePos x="0" y="0"/>
              <wp:positionH relativeFrom="page">
                <wp:posOffset>4079875</wp:posOffset>
              </wp:positionH>
              <wp:positionV relativeFrom="page">
                <wp:posOffset>6758940</wp:posOffset>
              </wp:positionV>
              <wp:extent cx="100330" cy="82550"/>
              <wp:wrapNone/>
              <wp:docPr id="204" name="Shape 204"/>
              <a:graphic xmlns:a="http://schemas.openxmlformats.org/drawingml/2006/main">
                <a:graphicData uri="http://schemas.microsoft.com/office/word/2010/wordprocessingShape">
                  <wps:wsp>
                    <wps:cNvSpPr txBox="1"/>
                    <wps:spPr>
                      <a:xfrm>
                        <a:ext cx="100330"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30" type="#_x0000_t202" style="position:absolute;margin-left:321.25pt;margin-top:532.20000000000005pt;width:7.9000000000000004pt;height:6.5pt;z-index:-18874390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1" behindDoc="1" locked="0" layoutInCell="1" allowOverlap="1">
              <wp:simplePos x="0" y="0"/>
              <wp:positionH relativeFrom="page">
                <wp:posOffset>4079875</wp:posOffset>
              </wp:positionH>
              <wp:positionV relativeFrom="page">
                <wp:posOffset>6758940</wp:posOffset>
              </wp:positionV>
              <wp:extent cx="100330" cy="82550"/>
              <wp:wrapNone/>
              <wp:docPr id="209" name="Shape 209"/>
              <a:graphic xmlns:a="http://schemas.openxmlformats.org/drawingml/2006/main">
                <a:graphicData uri="http://schemas.microsoft.com/office/word/2010/wordprocessingShape">
                  <wps:wsp>
                    <wps:cNvSpPr txBox="1"/>
                    <wps:spPr>
                      <a:xfrm>
                        <a:ext cx="100330" cy="8255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35" type="#_x0000_t202" style="position:absolute;margin-left:321.25pt;margin-top:532.20000000000005pt;width:7.9000000000000004pt;height:6.5pt;z-index:-18874390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5" behindDoc="1" locked="0" layoutInCell="1" allowOverlap="1">
              <wp:simplePos x="0" y="0"/>
              <wp:positionH relativeFrom="page">
                <wp:posOffset>161290</wp:posOffset>
              </wp:positionH>
              <wp:positionV relativeFrom="page">
                <wp:posOffset>6746875</wp:posOffset>
              </wp:positionV>
              <wp:extent cx="106680" cy="79375"/>
              <wp:wrapNone/>
              <wp:docPr id="214" name="Shape 214"/>
              <a:graphic xmlns:a="http://schemas.openxmlformats.org/drawingml/2006/main">
                <a:graphicData uri="http://schemas.microsoft.com/office/word/2010/wordprocessingShape">
                  <wps:wsp>
                    <wps:cNvSpPr txBox="1"/>
                    <wps:spPr>
                      <a:xfrm>
                        <a:ext cx="10668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40" type="#_x0000_t202" style="position:absolute;margin-left:12.699999999999999pt;margin-top:531.25pt;width:8.4000000000000004pt;height:6.25pt;z-index:-18874389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9" behindDoc="1" locked="0" layoutInCell="1" allowOverlap="1">
              <wp:simplePos x="0" y="0"/>
              <wp:positionH relativeFrom="page">
                <wp:posOffset>167640</wp:posOffset>
              </wp:positionH>
              <wp:positionV relativeFrom="page">
                <wp:posOffset>6780530</wp:posOffset>
              </wp:positionV>
              <wp:extent cx="103505" cy="76200"/>
              <wp:wrapNone/>
              <wp:docPr id="219" name="Shape 219"/>
              <a:graphic xmlns:a="http://schemas.openxmlformats.org/drawingml/2006/main">
                <a:graphicData uri="http://schemas.microsoft.com/office/word/2010/wordprocessingShape">
                  <wps:wsp>
                    <wps:cNvSpPr txBox="1"/>
                    <wps:spPr>
                      <a:xfrm>
                        <a:ext cx="103505"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45" type="#_x0000_t202" style="position:absolute;margin-left:13.199999999999999pt;margin-top:533.89999999999998pt;width:8.1500000000000004pt;height:6.pt;z-index:-18874389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3" behindDoc="1" locked="0" layoutInCell="1" allowOverlap="1">
              <wp:simplePos x="0" y="0"/>
              <wp:positionH relativeFrom="page">
                <wp:posOffset>167640</wp:posOffset>
              </wp:positionH>
              <wp:positionV relativeFrom="page">
                <wp:posOffset>6780530</wp:posOffset>
              </wp:positionV>
              <wp:extent cx="103505" cy="76200"/>
              <wp:wrapNone/>
              <wp:docPr id="224" name="Shape 224"/>
              <a:graphic xmlns:a="http://schemas.openxmlformats.org/drawingml/2006/main">
                <a:graphicData uri="http://schemas.microsoft.com/office/word/2010/wordprocessingShape">
                  <wps:wsp>
                    <wps:cNvSpPr txBox="1"/>
                    <wps:spPr>
                      <a:xfrm>
                        <a:ext cx="103505"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50" type="#_x0000_t202" style="position:absolute;margin-left:13.199999999999999pt;margin-top:533.89999999999998pt;width:8.1500000000000004pt;height:6.pt;z-index:-18874389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7" behindDoc="1" locked="0" layoutInCell="1" allowOverlap="1">
              <wp:simplePos x="0" y="0"/>
              <wp:positionH relativeFrom="page">
                <wp:posOffset>4083050</wp:posOffset>
              </wp:positionH>
              <wp:positionV relativeFrom="page">
                <wp:posOffset>6792595</wp:posOffset>
              </wp:positionV>
              <wp:extent cx="100330" cy="64135"/>
              <wp:wrapNone/>
              <wp:docPr id="229" name="Shape 229"/>
              <a:graphic xmlns:a="http://schemas.openxmlformats.org/drawingml/2006/main">
                <a:graphicData uri="http://schemas.microsoft.com/office/word/2010/wordprocessingShape">
                  <wps:wsp>
                    <wps:cNvSpPr txBox="1"/>
                    <wps:spPr>
                      <a:xfrm>
                        <a:ext cx="100330"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43</w:t>
                          </w:r>
                        </w:p>
                      </w:txbxContent>
                    </wps:txbx>
                    <wps:bodyPr wrap="none" lIns="0" tIns="0" rIns="0" bIns="0">
                      <a:spAutoFit/>
                    </wps:bodyPr>
                  </wps:wsp>
                </a:graphicData>
              </a:graphic>
            </wp:anchor>
          </w:drawing>
        </mc:Choice>
        <mc:Fallback>
          <w:pict>
            <v:shape id="_x0000_s1255" type="#_x0000_t202" style="position:absolute;margin-left:321.5pt;margin-top:534.85000000000002pt;width:7.9000000000000004pt;height:5.0499999999999998pt;z-index:-18874388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43</w:t>
                    </w:r>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1" behindDoc="1" locked="0" layoutInCell="1" allowOverlap="1">
              <wp:simplePos x="0" y="0"/>
              <wp:positionH relativeFrom="page">
                <wp:posOffset>4083050</wp:posOffset>
              </wp:positionH>
              <wp:positionV relativeFrom="page">
                <wp:posOffset>6792595</wp:posOffset>
              </wp:positionV>
              <wp:extent cx="100330" cy="64135"/>
              <wp:wrapNone/>
              <wp:docPr id="234" name="Shape 234"/>
              <a:graphic xmlns:a="http://schemas.openxmlformats.org/drawingml/2006/main">
                <a:graphicData uri="http://schemas.microsoft.com/office/word/2010/wordprocessingShape">
                  <wps:wsp>
                    <wps:cNvSpPr txBox="1"/>
                    <wps:spPr>
                      <a:xfrm>
                        <a:ext cx="100330"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43</w:t>
                          </w:r>
                        </w:p>
                      </w:txbxContent>
                    </wps:txbx>
                    <wps:bodyPr wrap="none" lIns="0" tIns="0" rIns="0" bIns="0">
                      <a:spAutoFit/>
                    </wps:bodyPr>
                  </wps:wsp>
                </a:graphicData>
              </a:graphic>
            </wp:anchor>
          </w:drawing>
        </mc:Choice>
        <mc:Fallback>
          <w:pict>
            <v:shape id="_x0000_s1260" type="#_x0000_t202" style="position:absolute;margin-left:321.5pt;margin-top:534.85000000000002pt;width:7.9000000000000004pt;height:5.0499999999999998pt;z-index:-18874388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43</w:t>
                    </w:r>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9" behindDoc="1" locked="0" layoutInCell="1" allowOverlap="1">
              <wp:simplePos x="0" y="0"/>
              <wp:positionH relativeFrom="page">
                <wp:posOffset>158750</wp:posOffset>
              </wp:positionH>
              <wp:positionV relativeFrom="page">
                <wp:posOffset>6786880</wp:posOffset>
              </wp:positionV>
              <wp:extent cx="103505" cy="79375"/>
              <wp:wrapNone/>
              <wp:docPr id="245" name="Shape 245"/>
              <a:graphic xmlns:a="http://schemas.openxmlformats.org/drawingml/2006/main">
                <a:graphicData uri="http://schemas.microsoft.com/office/word/2010/wordprocessingShape">
                  <wps:wsp>
                    <wps:cNvSpPr txBox="1"/>
                    <wps:spPr>
                      <a:xfrm>
                        <a:ext cx="1035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71" type="#_x0000_t202" style="position:absolute;margin-left:12.5pt;margin-top:534.39999999999998pt;width:8.1500000000000004pt;height:6.25pt;z-index:-18874387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3" behindDoc="1" locked="0" layoutInCell="1" allowOverlap="1">
              <wp:simplePos x="0" y="0"/>
              <wp:positionH relativeFrom="page">
                <wp:posOffset>158750</wp:posOffset>
              </wp:positionH>
              <wp:positionV relativeFrom="page">
                <wp:posOffset>6786880</wp:posOffset>
              </wp:positionV>
              <wp:extent cx="103505" cy="79375"/>
              <wp:wrapNone/>
              <wp:docPr id="250" name="Shape 250"/>
              <a:graphic xmlns:a="http://schemas.openxmlformats.org/drawingml/2006/main">
                <a:graphicData uri="http://schemas.microsoft.com/office/word/2010/wordprocessingShape">
                  <wps:wsp>
                    <wps:cNvSpPr txBox="1"/>
                    <wps:spPr>
                      <a:xfrm>
                        <a:ext cx="1035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76" type="#_x0000_t202" style="position:absolute;margin-left:12.5pt;margin-top:534.39999999999998pt;width:8.1500000000000004pt;height:6.25pt;z-index:-18874387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7" behindDoc="1" locked="0" layoutInCell="1" allowOverlap="1">
              <wp:simplePos x="0" y="0"/>
              <wp:positionH relativeFrom="page">
                <wp:posOffset>4079875</wp:posOffset>
              </wp:positionH>
              <wp:positionV relativeFrom="page">
                <wp:posOffset>6774815</wp:posOffset>
              </wp:positionV>
              <wp:extent cx="100330" cy="54610"/>
              <wp:wrapNone/>
              <wp:docPr id="255" name="Shape 255"/>
              <a:graphic xmlns:a="http://schemas.openxmlformats.org/drawingml/2006/main">
                <a:graphicData uri="http://schemas.microsoft.com/office/word/2010/wordprocessingShape">
                  <wps:wsp>
                    <wps:cNvSpPr txBox="1"/>
                    <wps:spPr>
                      <a:xfrm>
                        <a:ext cx="10033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fldSimple w:instr=" PAGE \* MERGEFORMAT ">
                            <w:r>
                              <w:rPr>
                                <w:rFonts w:ascii="Times New Roman" w:eastAsia="Times New Roman" w:hAnsi="Times New Roman" w:cs="Times New Roman"/>
                                <w:b/>
                                <w:bCs/>
                                <w:color w:val="000000"/>
                                <w:spacing w:val="0"/>
                                <w:w w:val="100"/>
                                <w:position w:val="0"/>
                                <w:sz w:val="10"/>
                                <w:szCs w:val="1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81" type="#_x0000_t202" style="position:absolute;margin-left:321.25pt;margin-top:533.45000000000005pt;width:7.9000000000000004pt;height:4.2999999999999998pt;z-index:-18874386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fldSimple w:instr=" PAGE \* MERGEFORMAT ">
                      <w:r>
                        <w:rPr>
                          <w:rFonts w:ascii="Times New Roman" w:eastAsia="Times New Roman" w:hAnsi="Times New Roman" w:cs="Times New Roman"/>
                          <w:b/>
                          <w:bCs/>
                          <w:color w:val="000000"/>
                          <w:spacing w:val="0"/>
                          <w:w w:val="100"/>
                          <w:position w:val="0"/>
                          <w:sz w:val="10"/>
                          <w:szCs w:val="10"/>
                          <w:shd w:val="clear" w:color="auto" w:fill="auto"/>
                          <w:lang w:val="hr-HR" w:eastAsia="hr-HR" w:bidi="hr-HR"/>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1" behindDoc="1" locked="0" layoutInCell="1" allowOverlap="1">
              <wp:simplePos x="0" y="0"/>
              <wp:positionH relativeFrom="page">
                <wp:posOffset>160020</wp:posOffset>
              </wp:positionH>
              <wp:positionV relativeFrom="page">
                <wp:posOffset>6798945</wp:posOffset>
              </wp:positionV>
              <wp:extent cx="103505" cy="82550"/>
              <wp:wrapNone/>
              <wp:docPr id="260" name="Shape 260"/>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86" type="#_x0000_t202" style="position:absolute;margin-left:12.6pt;margin-top:535.35000000000002pt;width:8.1500000000000004pt;height:6.5pt;z-index:-18874386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5" behindDoc="1" locked="0" layoutInCell="1" allowOverlap="1">
              <wp:simplePos x="0" y="0"/>
              <wp:positionH relativeFrom="page">
                <wp:posOffset>160020</wp:posOffset>
              </wp:positionH>
              <wp:positionV relativeFrom="page">
                <wp:posOffset>6798945</wp:posOffset>
              </wp:positionV>
              <wp:extent cx="103505" cy="82550"/>
              <wp:wrapNone/>
              <wp:docPr id="265" name="Shape 265"/>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91" type="#_x0000_t202" style="position:absolute;margin-left:12.6pt;margin-top:535.35000000000002pt;width:8.1500000000000004pt;height:6.5pt;z-index:-18874385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9" behindDoc="1" locked="0" layoutInCell="1" allowOverlap="1">
              <wp:simplePos x="0" y="0"/>
              <wp:positionH relativeFrom="page">
                <wp:posOffset>4078605</wp:posOffset>
              </wp:positionH>
              <wp:positionV relativeFrom="page">
                <wp:posOffset>6774815</wp:posOffset>
              </wp:positionV>
              <wp:extent cx="103505" cy="82550"/>
              <wp:wrapNone/>
              <wp:docPr id="270" name="Shape 270"/>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296" type="#_x0000_t202" style="position:absolute;margin-left:321.14999999999998pt;margin-top:533.45000000000005pt;width:8.1500000000000004pt;height:6.5pt;z-index:-18874385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7" behindDoc="1" locked="0" layoutInCell="1" allowOverlap="1">
              <wp:simplePos x="0" y="0"/>
              <wp:positionH relativeFrom="page">
                <wp:posOffset>4079875</wp:posOffset>
              </wp:positionH>
              <wp:positionV relativeFrom="page">
                <wp:posOffset>6768465</wp:posOffset>
              </wp:positionV>
              <wp:extent cx="97790" cy="82550"/>
              <wp:wrapNone/>
              <wp:docPr id="281" name="Shape 281"/>
              <a:graphic xmlns:a="http://schemas.openxmlformats.org/drawingml/2006/main">
                <a:graphicData uri="http://schemas.microsoft.com/office/word/2010/wordprocessingShape">
                  <wps:wsp>
                    <wps:cNvSpPr txBox="1"/>
                    <wps:spPr>
                      <a:xfrm>
                        <a:ext cx="977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07" type="#_x0000_t202" style="position:absolute;margin-left:321.25pt;margin-top:532.95000000000005pt;width:7.7000000000000002pt;height:6.5pt;z-index:-18874384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1" behindDoc="1" locked="0" layoutInCell="1" allowOverlap="1">
              <wp:simplePos x="0" y="0"/>
              <wp:positionH relativeFrom="page">
                <wp:posOffset>4079875</wp:posOffset>
              </wp:positionH>
              <wp:positionV relativeFrom="page">
                <wp:posOffset>6768465</wp:posOffset>
              </wp:positionV>
              <wp:extent cx="97790" cy="82550"/>
              <wp:wrapNone/>
              <wp:docPr id="286" name="Shape 286"/>
              <a:graphic xmlns:a="http://schemas.openxmlformats.org/drawingml/2006/main">
                <a:graphicData uri="http://schemas.microsoft.com/office/word/2010/wordprocessingShape">
                  <wps:wsp>
                    <wps:cNvSpPr txBox="1"/>
                    <wps:spPr>
                      <a:xfrm>
                        <a:ext cx="977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12" type="#_x0000_t202" style="position:absolute;margin-left:321.25pt;margin-top:532.95000000000005pt;width:7.7000000000000002pt;height:6.5pt;z-index:-18874384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5" behindDoc="1" locked="0" layoutInCell="1" allowOverlap="1">
              <wp:simplePos x="0" y="0"/>
              <wp:positionH relativeFrom="page">
                <wp:posOffset>164465</wp:posOffset>
              </wp:positionH>
              <wp:positionV relativeFrom="page">
                <wp:posOffset>6781165</wp:posOffset>
              </wp:positionV>
              <wp:extent cx="103505" cy="82550"/>
              <wp:wrapNone/>
              <wp:docPr id="291" name="Shape 291"/>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17" type="#_x0000_t202" style="position:absolute;margin-left:12.949999999999999pt;margin-top:533.95000000000005pt;width:8.1500000000000004pt;height:6.5pt;z-index:-18874383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9" behindDoc="1" locked="0" layoutInCell="1" allowOverlap="1">
              <wp:simplePos x="0" y="0"/>
              <wp:positionH relativeFrom="page">
                <wp:posOffset>4083050</wp:posOffset>
              </wp:positionH>
              <wp:positionV relativeFrom="page">
                <wp:posOffset>6774815</wp:posOffset>
              </wp:positionV>
              <wp:extent cx="97790" cy="82550"/>
              <wp:wrapNone/>
              <wp:docPr id="296" name="Shape 296"/>
              <a:graphic xmlns:a="http://schemas.openxmlformats.org/drawingml/2006/main">
                <a:graphicData uri="http://schemas.microsoft.com/office/word/2010/wordprocessingShape">
                  <wps:wsp>
                    <wps:cNvSpPr txBox="1"/>
                    <wps:spPr>
                      <a:xfrm>
                        <a:ext cx="977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22" type="#_x0000_t202" style="position:absolute;margin-left:321.5pt;margin-top:533.45000000000005pt;width:7.7000000000000002pt;height:6.5pt;z-index:-18874383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3" behindDoc="1" locked="0" layoutInCell="1" allowOverlap="1">
              <wp:simplePos x="0" y="0"/>
              <wp:positionH relativeFrom="page">
                <wp:posOffset>4083050</wp:posOffset>
              </wp:positionH>
              <wp:positionV relativeFrom="page">
                <wp:posOffset>6774815</wp:posOffset>
              </wp:positionV>
              <wp:extent cx="97790" cy="82550"/>
              <wp:wrapNone/>
              <wp:docPr id="301" name="Shape 301"/>
              <a:graphic xmlns:a="http://schemas.openxmlformats.org/drawingml/2006/main">
                <a:graphicData uri="http://schemas.microsoft.com/office/word/2010/wordprocessingShape">
                  <wps:wsp>
                    <wps:cNvSpPr txBox="1"/>
                    <wps:spPr>
                      <a:xfrm>
                        <a:ext cx="977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27" type="#_x0000_t202" style="position:absolute;margin-left:321.5pt;margin-top:533.45000000000005pt;width:7.7000000000000002pt;height:6.5pt;z-index:-18874383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7" behindDoc="1" locked="0" layoutInCell="1" allowOverlap="1">
              <wp:simplePos x="0" y="0"/>
              <wp:positionH relativeFrom="page">
                <wp:posOffset>172085</wp:posOffset>
              </wp:positionH>
              <wp:positionV relativeFrom="page">
                <wp:posOffset>6756400</wp:posOffset>
              </wp:positionV>
              <wp:extent cx="100330" cy="82550"/>
              <wp:wrapNone/>
              <wp:docPr id="306" name="Shape 306"/>
              <a:graphic xmlns:a="http://schemas.openxmlformats.org/drawingml/2006/main">
                <a:graphicData uri="http://schemas.microsoft.com/office/word/2010/wordprocessingShape">
                  <wps:wsp>
                    <wps:cNvSpPr txBox="1"/>
                    <wps:spPr>
                      <a:xfrm>
                        <a:ext cx="1003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32" type="#_x0000_t202" style="position:absolute;margin-left:13.550000000000001pt;margin-top:532.pt;width:7.9000000000000004pt;height:6.5pt;z-index:-18874382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1" behindDoc="1" locked="0" layoutInCell="1" allowOverlap="1">
              <wp:simplePos x="0" y="0"/>
              <wp:positionH relativeFrom="page">
                <wp:posOffset>4083050</wp:posOffset>
              </wp:positionH>
              <wp:positionV relativeFrom="page">
                <wp:posOffset>6765925</wp:posOffset>
              </wp:positionV>
              <wp:extent cx="100330" cy="79375"/>
              <wp:wrapNone/>
              <wp:docPr id="311" name="Shape 311"/>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37" type="#_x0000_t202" style="position:absolute;margin-left:321.5pt;margin-top:532.75pt;width:7.9000000000000004pt;height:6.25pt;z-index:-18874382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5" behindDoc="1" locked="0" layoutInCell="1" allowOverlap="1">
              <wp:simplePos x="0" y="0"/>
              <wp:positionH relativeFrom="page">
                <wp:posOffset>4083050</wp:posOffset>
              </wp:positionH>
              <wp:positionV relativeFrom="page">
                <wp:posOffset>6765925</wp:posOffset>
              </wp:positionV>
              <wp:extent cx="100330" cy="79375"/>
              <wp:wrapNone/>
              <wp:docPr id="316" name="Shape 316"/>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42" type="#_x0000_t202" style="position:absolute;margin-left:321.5pt;margin-top:532.75pt;width:7.9000000000000004pt;height:6.25pt;z-index:-18874381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9" behindDoc="1" locked="0" layoutInCell="1" allowOverlap="1">
              <wp:simplePos x="0" y="0"/>
              <wp:positionH relativeFrom="page">
                <wp:posOffset>170815</wp:posOffset>
              </wp:positionH>
              <wp:positionV relativeFrom="page">
                <wp:posOffset>6759575</wp:posOffset>
              </wp:positionV>
              <wp:extent cx="100330" cy="79375"/>
              <wp:wrapNone/>
              <wp:docPr id="321" name="Shape 321"/>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47" type="#_x0000_t202" style="position:absolute;margin-left:13.449999999999999pt;margin-top:532.25pt;width:7.9000000000000004pt;height:6.25pt;z-index:-18874381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3" behindDoc="1" locked="0" layoutInCell="1" allowOverlap="1">
              <wp:simplePos x="0" y="0"/>
              <wp:positionH relativeFrom="page">
                <wp:posOffset>4079875</wp:posOffset>
              </wp:positionH>
              <wp:positionV relativeFrom="page">
                <wp:posOffset>6771640</wp:posOffset>
              </wp:positionV>
              <wp:extent cx="97790" cy="79375"/>
              <wp:wrapNone/>
              <wp:docPr id="326" name="Shape 326"/>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52" type="#_x0000_t202" style="position:absolute;margin-left:321.25pt;margin-top:533.20000000000005pt;width:7.7000000000000002pt;height:6.25pt;z-index:-18874381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7" behindDoc="1" locked="0" layoutInCell="1" allowOverlap="1">
              <wp:simplePos x="0" y="0"/>
              <wp:positionH relativeFrom="page">
                <wp:posOffset>4079875</wp:posOffset>
              </wp:positionH>
              <wp:positionV relativeFrom="page">
                <wp:posOffset>6771640</wp:posOffset>
              </wp:positionV>
              <wp:extent cx="97790" cy="79375"/>
              <wp:wrapNone/>
              <wp:docPr id="331" name="Shape 331"/>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57" type="#_x0000_t202" style="position:absolute;margin-left:321.25pt;margin-top:533.20000000000005pt;width:7.7000000000000002pt;height:6.25pt;z-index:-18874380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b/>
                          <w:bCs/>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1" behindDoc="1" locked="0" layoutInCell="1" allowOverlap="1">
              <wp:simplePos x="0" y="0"/>
              <wp:positionH relativeFrom="page">
                <wp:posOffset>166370</wp:posOffset>
              </wp:positionH>
              <wp:positionV relativeFrom="page">
                <wp:posOffset>6762750</wp:posOffset>
              </wp:positionV>
              <wp:extent cx="100330" cy="79375"/>
              <wp:wrapNone/>
              <wp:docPr id="336" name="Shape 336"/>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62" type="#_x0000_t202" style="position:absolute;margin-left:13.1pt;margin-top:532.5pt;width:7.9000000000000004pt;height:6.25pt;z-index:-18874380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5" behindDoc="1" locked="0" layoutInCell="1" allowOverlap="1">
              <wp:simplePos x="0" y="0"/>
              <wp:positionH relativeFrom="page">
                <wp:posOffset>172085</wp:posOffset>
              </wp:positionH>
              <wp:positionV relativeFrom="page">
                <wp:posOffset>6759575</wp:posOffset>
              </wp:positionV>
              <wp:extent cx="100330" cy="82550"/>
              <wp:wrapNone/>
              <wp:docPr id="341" name="Shape 341"/>
              <a:graphic xmlns:a="http://schemas.openxmlformats.org/drawingml/2006/main">
                <a:graphicData uri="http://schemas.microsoft.com/office/word/2010/wordprocessingShape">
                  <wps:wsp>
                    <wps:cNvSpPr txBox="1"/>
                    <wps:spPr>
                      <a:xfrm>
                        <a:ext cx="1003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67" type="#_x0000_t202" style="position:absolute;margin-left:13.550000000000001pt;margin-top:532.25pt;width:7.9000000000000004pt;height:6.5pt;z-index:-18874379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9" behindDoc="1" locked="0" layoutInCell="1" allowOverlap="1">
              <wp:simplePos x="0" y="0"/>
              <wp:positionH relativeFrom="page">
                <wp:posOffset>172085</wp:posOffset>
              </wp:positionH>
              <wp:positionV relativeFrom="page">
                <wp:posOffset>6759575</wp:posOffset>
              </wp:positionV>
              <wp:extent cx="100330" cy="82550"/>
              <wp:wrapNone/>
              <wp:docPr id="346" name="Shape 346"/>
              <a:graphic xmlns:a="http://schemas.openxmlformats.org/drawingml/2006/main">
                <a:graphicData uri="http://schemas.microsoft.com/office/word/2010/wordprocessingShape">
                  <wps:wsp>
                    <wps:cNvSpPr txBox="1"/>
                    <wps:spPr>
                      <a:xfrm>
                        <a:ext cx="1003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72" type="#_x0000_t202" style="position:absolute;margin-left:13.550000000000001pt;margin-top:532.25pt;width:7.9000000000000004pt;height:6.5pt;z-index:-18874379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3" behindDoc="1" locked="0" layoutInCell="1" allowOverlap="1">
              <wp:simplePos x="0" y="0"/>
              <wp:positionH relativeFrom="page">
                <wp:posOffset>4075430</wp:posOffset>
              </wp:positionH>
              <wp:positionV relativeFrom="page">
                <wp:posOffset>6808470</wp:posOffset>
              </wp:positionV>
              <wp:extent cx="100330" cy="67310"/>
              <wp:wrapNone/>
              <wp:docPr id="351" name="Shape 351"/>
              <a:graphic xmlns:a="http://schemas.openxmlformats.org/drawingml/2006/main">
                <a:graphicData uri="http://schemas.microsoft.com/office/word/2010/wordprocessingShape">
                  <wps:wsp>
                    <wps:cNvSpPr txBox="1"/>
                    <wps:spPr>
                      <a:xfrm>
                        <a:ext cx="1003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77" type="#_x0000_t202" style="position:absolute;margin-left:320.89999999999998pt;margin-top:536.10000000000002pt;width:7.9000000000000004pt;height:5.2999999999999998pt;z-index:-18874379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7" behindDoc="1" locked="0" layoutInCell="1" allowOverlap="1">
              <wp:simplePos x="0" y="0"/>
              <wp:positionH relativeFrom="page">
                <wp:posOffset>4075430</wp:posOffset>
              </wp:positionH>
              <wp:positionV relativeFrom="page">
                <wp:posOffset>6808470</wp:posOffset>
              </wp:positionV>
              <wp:extent cx="100330" cy="67310"/>
              <wp:wrapNone/>
              <wp:docPr id="356" name="Shape 356"/>
              <a:graphic xmlns:a="http://schemas.openxmlformats.org/drawingml/2006/main">
                <a:graphicData uri="http://schemas.microsoft.com/office/word/2010/wordprocessingShape">
                  <wps:wsp>
                    <wps:cNvSpPr txBox="1"/>
                    <wps:spPr>
                      <a:xfrm>
                        <a:ext cx="1003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82" type="#_x0000_t202" style="position:absolute;margin-left:320.89999999999998pt;margin-top:536.10000000000002pt;width:7.9000000000000004pt;height:5.2999999999999998pt;z-index:-18874378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1" behindDoc="1" locked="0" layoutInCell="1" allowOverlap="1">
              <wp:simplePos x="0" y="0"/>
              <wp:positionH relativeFrom="page">
                <wp:posOffset>164465</wp:posOffset>
              </wp:positionH>
              <wp:positionV relativeFrom="page">
                <wp:posOffset>6814185</wp:posOffset>
              </wp:positionV>
              <wp:extent cx="103505" cy="67310"/>
              <wp:wrapNone/>
              <wp:docPr id="361" name="Shape 361"/>
              <a:graphic xmlns:a="http://schemas.openxmlformats.org/drawingml/2006/main">
                <a:graphicData uri="http://schemas.microsoft.com/office/word/2010/wordprocessingShape">
                  <wps:wsp>
                    <wps:cNvSpPr txBox="1"/>
                    <wps:spPr>
                      <a:xfrm>
                        <a:ext cx="10350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87" type="#_x0000_t202" style="position:absolute;margin-left:12.949999999999999pt;margin-top:536.54999999999995pt;width:8.1500000000000004pt;height:5.2999999999999998pt;z-index:-18874378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5" behindDoc="1" locked="0" layoutInCell="1" allowOverlap="1">
              <wp:simplePos x="0" y="0"/>
              <wp:positionH relativeFrom="page">
                <wp:posOffset>4081145</wp:posOffset>
              </wp:positionH>
              <wp:positionV relativeFrom="page">
                <wp:posOffset>6771640</wp:posOffset>
              </wp:positionV>
              <wp:extent cx="97790" cy="67310"/>
              <wp:wrapNone/>
              <wp:docPr id="366" name="Shape 366"/>
              <a:graphic xmlns:a="http://schemas.openxmlformats.org/drawingml/2006/main">
                <a:graphicData uri="http://schemas.microsoft.com/office/word/2010/wordprocessingShape">
                  <wps:wsp>
                    <wps:cNvSpPr txBox="1"/>
                    <wps:spPr>
                      <a:xfrm>
                        <a:ext cx="977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92" type="#_x0000_t202" style="position:absolute;margin-left:321.35000000000002pt;margin-top:533.20000000000005pt;width:7.7000000000000002pt;height:5.2999999999999998pt;z-index:-18874377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9" behindDoc="1" locked="0" layoutInCell="1" allowOverlap="1">
              <wp:simplePos x="0" y="0"/>
              <wp:positionH relativeFrom="page">
                <wp:posOffset>4081145</wp:posOffset>
              </wp:positionH>
              <wp:positionV relativeFrom="page">
                <wp:posOffset>6771640</wp:posOffset>
              </wp:positionV>
              <wp:extent cx="97790" cy="67310"/>
              <wp:wrapNone/>
              <wp:docPr id="371" name="Shape 371"/>
              <a:graphic xmlns:a="http://schemas.openxmlformats.org/drawingml/2006/main">
                <a:graphicData uri="http://schemas.microsoft.com/office/word/2010/wordprocessingShape">
                  <wps:wsp>
                    <wps:cNvSpPr txBox="1"/>
                    <wps:spPr>
                      <a:xfrm>
                        <a:ext cx="977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397" type="#_x0000_t202" style="position:absolute;margin-left:321.35000000000002pt;margin-top:533.20000000000005pt;width:7.7000000000000002pt;height:5.2999999999999998pt;z-index:-18874377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3" behindDoc="1" locked="0" layoutInCell="1" allowOverlap="1">
              <wp:simplePos x="0" y="0"/>
              <wp:positionH relativeFrom="page">
                <wp:posOffset>173990</wp:posOffset>
              </wp:positionH>
              <wp:positionV relativeFrom="page">
                <wp:posOffset>6796405</wp:posOffset>
              </wp:positionV>
              <wp:extent cx="100330" cy="79375"/>
              <wp:wrapNone/>
              <wp:docPr id="376" name="Shape 376"/>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02" type="#_x0000_t202" style="position:absolute;margin-left:13.699999999999999pt;margin-top:535.14999999999998pt;width:7.9000000000000004pt;height:6.25pt;z-index:-18874377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7" behindDoc="1" locked="0" layoutInCell="1" allowOverlap="1">
              <wp:simplePos x="0" y="0"/>
              <wp:positionH relativeFrom="page">
                <wp:posOffset>4065905</wp:posOffset>
              </wp:positionH>
              <wp:positionV relativeFrom="page">
                <wp:posOffset>6793230</wp:posOffset>
              </wp:positionV>
              <wp:extent cx="100330" cy="79375"/>
              <wp:wrapNone/>
              <wp:docPr id="381" name="Shape 381"/>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07" type="#_x0000_t202" style="position:absolute;margin-left:320.14999999999998pt;margin-top:534.89999999999998pt;width:7.9000000000000004pt;height:6.25pt;z-index:-18874376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1" behindDoc="1" locked="0" layoutInCell="1" allowOverlap="1">
              <wp:simplePos x="0" y="0"/>
              <wp:positionH relativeFrom="page">
                <wp:posOffset>4065905</wp:posOffset>
              </wp:positionH>
              <wp:positionV relativeFrom="page">
                <wp:posOffset>6793230</wp:posOffset>
              </wp:positionV>
              <wp:extent cx="100330" cy="79375"/>
              <wp:wrapNone/>
              <wp:docPr id="386" name="Shape 386"/>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12" type="#_x0000_t202" style="position:absolute;margin-left:320.14999999999998pt;margin-top:534.89999999999998pt;width:7.9000000000000004pt;height:6.25pt;z-index:-18874376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5" behindDoc="1" locked="0" layoutInCell="1" allowOverlap="1">
              <wp:simplePos x="0" y="0"/>
              <wp:positionH relativeFrom="page">
                <wp:posOffset>163195</wp:posOffset>
              </wp:positionH>
              <wp:positionV relativeFrom="page">
                <wp:posOffset>6802120</wp:posOffset>
              </wp:positionV>
              <wp:extent cx="103505" cy="60960"/>
              <wp:wrapNone/>
              <wp:docPr id="391" name="Shape 391"/>
              <a:graphic xmlns:a="http://schemas.openxmlformats.org/drawingml/2006/main">
                <a:graphicData uri="http://schemas.microsoft.com/office/word/2010/wordprocessingShape">
                  <wps:wsp>
                    <wps:cNvSpPr txBox="1"/>
                    <wps:spPr>
                      <a:xfrm>
                        <a:ext cx="10350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17" type="#_x0000_t202" style="position:absolute;margin-left:12.85pt;margin-top:535.60000000000002pt;width:8.1500000000000004pt;height:4.7999999999999998pt;z-index:-18874375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9" behindDoc="1" locked="0" layoutInCell="1" allowOverlap="1">
              <wp:simplePos x="0" y="0"/>
              <wp:positionH relativeFrom="page">
                <wp:posOffset>169545</wp:posOffset>
              </wp:positionH>
              <wp:positionV relativeFrom="page">
                <wp:posOffset>6802120</wp:posOffset>
              </wp:positionV>
              <wp:extent cx="100330" cy="76200"/>
              <wp:wrapNone/>
              <wp:docPr id="396" name="Shape 396"/>
              <a:graphic xmlns:a="http://schemas.openxmlformats.org/drawingml/2006/main">
                <a:graphicData uri="http://schemas.microsoft.com/office/word/2010/wordprocessingShape">
                  <wps:wsp>
                    <wps:cNvSpPr txBox="1"/>
                    <wps:spPr>
                      <a:xfrm>
                        <a:ext cx="10033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22" type="#_x0000_t202" style="position:absolute;margin-left:13.35pt;margin-top:535.60000000000002pt;width:7.9000000000000004pt;height:6.pt;z-index:-18874375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3" behindDoc="1" locked="0" layoutInCell="1" allowOverlap="1">
              <wp:simplePos x="0" y="0"/>
              <wp:positionH relativeFrom="page">
                <wp:posOffset>169545</wp:posOffset>
              </wp:positionH>
              <wp:positionV relativeFrom="page">
                <wp:posOffset>6802120</wp:posOffset>
              </wp:positionV>
              <wp:extent cx="100330" cy="76200"/>
              <wp:wrapNone/>
              <wp:docPr id="401" name="Shape 401"/>
              <a:graphic xmlns:a="http://schemas.openxmlformats.org/drawingml/2006/main">
                <a:graphicData uri="http://schemas.microsoft.com/office/word/2010/wordprocessingShape">
                  <wps:wsp>
                    <wps:cNvSpPr txBox="1"/>
                    <wps:spPr>
                      <a:xfrm>
                        <a:ext cx="10033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27" type="#_x0000_t202" style="position:absolute;margin-left:13.35pt;margin-top:535.60000000000002pt;width:7.9000000000000004pt;height:6.pt;z-index:-18874375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1" behindDoc="1" locked="0" layoutInCell="1" allowOverlap="1">
              <wp:simplePos x="0" y="0"/>
              <wp:positionH relativeFrom="page">
                <wp:posOffset>4078605</wp:posOffset>
              </wp:positionH>
              <wp:positionV relativeFrom="page">
                <wp:posOffset>6777990</wp:posOffset>
              </wp:positionV>
              <wp:extent cx="94615" cy="79375"/>
              <wp:wrapNone/>
              <wp:docPr id="412" name="Shape 412"/>
              <a:graphic xmlns:a="http://schemas.openxmlformats.org/drawingml/2006/main">
                <a:graphicData uri="http://schemas.microsoft.com/office/word/2010/wordprocessingShape">
                  <wps:wsp>
                    <wps:cNvSpPr txBox="1"/>
                    <wps:spPr>
                      <a:xfrm>
                        <a:ext cx="9461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38" type="#_x0000_t202" style="position:absolute;margin-left:321.14999999999998pt;margin-top:533.70000000000005pt;width:7.4500000000000002pt;height:6.25pt;z-index:-18874374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5" behindDoc="1" locked="0" layoutInCell="1" allowOverlap="1">
              <wp:simplePos x="0" y="0"/>
              <wp:positionH relativeFrom="page">
                <wp:posOffset>169545</wp:posOffset>
              </wp:positionH>
              <wp:positionV relativeFrom="page">
                <wp:posOffset>6802120</wp:posOffset>
              </wp:positionV>
              <wp:extent cx="100330" cy="76200"/>
              <wp:wrapNone/>
              <wp:docPr id="417" name="Shape 417"/>
              <a:graphic xmlns:a="http://schemas.openxmlformats.org/drawingml/2006/main">
                <a:graphicData uri="http://schemas.microsoft.com/office/word/2010/wordprocessingShape">
                  <wps:wsp>
                    <wps:cNvSpPr txBox="1"/>
                    <wps:spPr>
                      <a:xfrm>
                        <a:ext cx="10033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43" type="#_x0000_t202" style="position:absolute;margin-left:13.35pt;margin-top:535.60000000000002pt;width:7.9000000000000004pt;height:6.pt;z-index:-18874373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9" behindDoc="1" locked="0" layoutInCell="1" allowOverlap="1">
              <wp:simplePos x="0" y="0"/>
              <wp:positionH relativeFrom="page">
                <wp:posOffset>4081145</wp:posOffset>
              </wp:positionH>
              <wp:positionV relativeFrom="page">
                <wp:posOffset>6808470</wp:posOffset>
              </wp:positionV>
              <wp:extent cx="97790" cy="67310"/>
              <wp:wrapNone/>
              <wp:docPr id="422" name="Shape 422"/>
              <a:graphic xmlns:a="http://schemas.openxmlformats.org/drawingml/2006/main">
                <a:graphicData uri="http://schemas.microsoft.com/office/word/2010/wordprocessingShape">
                  <wps:wsp>
                    <wps:cNvSpPr txBox="1"/>
                    <wps:spPr>
                      <a:xfrm>
                        <a:ext cx="977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w:t>
                          </w:r>
                        </w:p>
                      </w:txbxContent>
                    </wps:txbx>
                    <wps:bodyPr wrap="none" lIns="0" tIns="0" rIns="0" bIns="0">
                      <a:spAutoFit/>
                    </wps:bodyPr>
                  </wps:wsp>
                </a:graphicData>
              </a:graphic>
            </wp:anchor>
          </w:drawing>
        </mc:Choice>
        <mc:Fallback>
          <w:pict>
            <v:shape id="_x0000_s1448" type="#_x0000_t202" style="position:absolute;margin-left:321.35000000000002pt;margin-top:536.10000000000002pt;width:7.7000000000000002pt;height:5.2999999999999998pt;z-index:-18874373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w:t>
                    </w:r>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3" behindDoc="1" locked="0" layoutInCell="1" allowOverlap="1">
              <wp:simplePos x="0" y="0"/>
              <wp:positionH relativeFrom="page">
                <wp:posOffset>4081145</wp:posOffset>
              </wp:positionH>
              <wp:positionV relativeFrom="page">
                <wp:posOffset>6808470</wp:posOffset>
              </wp:positionV>
              <wp:extent cx="97790" cy="67310"/>
              <wp:wrapNone/>
              <wp:docPr id="427" name="Shape 427"/>
              <a:graphic xmlns:a="http://schemas.openxmlformats.org/drawingml/2006/main">
                <a:graphicData uri="http://schemas.microsoft.com/office/word/2010/wordprocessingShape">
                  <wps:wsp>
                    <wps:cNvSpPr txBox="1"/>
                    <wps:spPr>
                      <a:xfrm>
                        <a:ext cx="977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w:t>
                          </w:r>
                        </w:p>
                      </w:txbxContent>
                    </wps:txbx>
                    <wps:bodyPr wrap="none" lIns="0" tIns="0" rIns="0" bIns="0">
                      <a:spAutoFit/>
                    </wps:bodyPr>
                  </wps:wsp>
                </a:graphicData>
              </a:graphic>
            </wp:anchor>
          </w:drawing>
        </mc:Choice>
        <mc:Fallback>
          <w:pict>
            <v:shape id="_x0000_s1453" type="#_x0000_t202" style="position:absolute;margin-left:321.35000000000002pt;margin-top:536.10000000000002pt;width:7.7000000000000002pt;height:5.2999999999999998pt;z-index:-18874373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w:t>
                    </w:r>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7" behindDoc="1" locked="0" layoutInCell="1" allowOverlap="1">
              <wp:simplePos x="0" y="0"/>
              <wp:positionH relativeFrom="page">
                <wp:posOffset>4087495</wp:posOffset>
              </wp:positionH>
              <wp:positionV relativeFrom="page">
                <wp:posOffset>6771640</wp:posOffset>
              </wp:positionV>
              <wp:extent cx="97790" cy="82550"/>
              <wp:wrapNone/>
              <wp:docPr id="432" name="Shape 432"/>
              <a:graphic xmlns:a="http://schemas.openxmlformats.org/drawingml/2006/main">
                <a:graphicData uri="http://schemas.microsoft.com/office/word/2010/wordprocessingShape">
                  <wps:wsp>
                    <wps:cNvSpPr txBox="1"/>
                    <wps:spPr>
                      <a:xfrm>
                        <a:ext cx="977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58" type="#_x0000_t202" style="position:absolute;margin-left:321.85000000000002pt;margin-top:533.20000000000005pt;width:7.7000000000000002pt;height:6.5pt;z-index:-18874372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1" behindDoc="1" locked="0" layoutInCell="1" allowOverlap="1">
              <wp:simplePos x="0" y="0"/>
              <wp:positionH relativeFrom="page">
                <wp:posOffset>4087495</wp:posOffset>
              </wp:positionH>
              <wp:positionV relativeFrom="page">
                <wp:posOffset>6771640</wp:posOffset>
              </wp:positionV>
              <wp:extent cx="97790" cy="82550"/>
              <wp:wrapNone/>
              <wp:docPr id="437" name="Shape 437"/>
              <a:graphic xmlns:a="http://schemas.openxmlformats.org/drawingml/2006/main">
                <a:graphicData uri="http://schemas.microsoft.com/office/word/2010/wordprocessingShape">
                  <wps:wsp>
                    <wps:cNvSpPr txBox="1"/>
                    <wps:spPr>
                      <a:xfrm>
                        <a:ext cx="977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63" type="#_x0000_t202" style="position:absolute;margin-left:321.85000000000002pt;margin-top:533.20000000000005pt;width:7.7000000000000002pt;height:6.5pt;z-index:-18874372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5" behindDoc="1" locked="0" layoutInCell="1" allowOverlap="1">
              <wp:simplePos x="0" y="0"/>
              <wp:positionH relativeFrom="page">
                <wp:posOffset>169545</wp:posOffset>
              </wp:positionH>
              <wp:positionV relativeFrom="page">
                <wp:posOffset>6802120</wp:posOffset>
              </wp:positionV>
              <wp:extent cx="100330" cy="76200"/>
              <wp:wrapNone/>
              <wp:docPr id="442" name="Shape 442"/>
              <a:graphic xmlns:a="http://schemas.openxmlformats.org/drawingml/2006/main">
                <a:graphicData uri="http://schemas.microsoft.com/office/word/2010/wordprocessingShape">
                  <wps:wsp>
                    <wps:cNvSpPr txBox="1"/>
                    <wps:spPr>
                      <a:xfrm>
                        <a:ext cx="10033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68" type="#_x0000_t202" style="position:absolute;margin-left:13.35pt;margin-top:535.60000000000002pt;width:7.9000000000000004pt;height:6.pt;z-index:-18874371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9" behindDoc="1" locked="0" layoutInCell="1" allowOverlap="1">
              <wp:simplePos x="0" y="0"/>
              <wp:positionH relativeFrom="page">
                <wp:posOffset>4083050</wp:posOffset>
              </wp:positionH>
              <wp:positionV relativeFrom="page">
                <wp:posOffset>6811645</wp:posOffset>
              </wp:positionV>
              <wp:extent cx="103505" cy="60960"/>
              <wp:wrapNone/>
              <wp:docPr id="447" name="Shape 447"/>
              <a:graphic xmlns:a="http://schemas.openxmlformats.org/drawingml/2006/main">
                <a:graphicData uri="http://schemas.microsoft.com/office/word/2010/wordprocessingShape">
                  <wps:wsp>
                    <wps:cNvSpPr txBox="1"/>
                    <wps:spPr>
                      <a:xfrm>
                        <a:ext cx="10350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73" type="#_x0000_t202" style="position:absolute;margin-left:321.5pt;margin-top:536.35000000000002pt;width:8.1500000000000004pt;height:4.7999999999999998pt;z-index:-18874371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3" behindDoc="1" locked="0" layoutInCell="1" allowOverlap="1">
              <wp:simplePos x="0" y="0"/>
              <wp:positionH relativeFrom="page">
                <wp:posOffset>4083050</wp:posOffset>
              </wp:positionH>
              <wp:positionV relativeFrom="page">
                <wp:posOffset>6811645</wp:posOffset>
              </wp:positionV>
              <wp:extent cx="103505" cy="60960"/>
              <wp:wrapNone/>
              <wp:docPr id="452" name="Shape 452"/>
              <a:graphic xmlns:a="http://schemas.openxmlformats.org/drawingml/2006/main">
                <a:graphicData uri="http://schemas.microsoft.com/office/word/2010/wordprocessingShape">
                  <wps:wsp>
                    <wps:cNvSpPr txBox="1"/>
                    <wps:spPr>
                      <a:xfrm>
                        <a:ext cx="10350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78" type="#_x0000_t202" style="position:absolute;margin-left:321.5pt;margin-top:536.35000000000002pt;width:8.1500000000000004pt;height:4.7999999999999998pt;z-index:-18874371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7" behindDoc="1" locked="0" layoutInCell="1" allowOverlap="1">
              <wp:simplePos x="0" y="0"/>
              <wp:positionH relativeFrom="page">
                <wp:posOffset>166370</wp:posOffset>
              </wp:positionH>
              <wp:positionV relativeFrom="page">
                <wp:posOffset>6783705</wp:posOffset>
              </wp:positionV>
              <wp:extent cx="103505" cy="85090"/>
              <wp:wrapNone/>
              <wp:docPr id="457" name="Shape 457"/>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83" type="#_x0000_t202" style="position:absolute;margin-left:13.1pt;margin-top:534.14999999999998pt;width:8.1500000000000004pt;height:6.7000000000000002pt;z-index:-18874370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1" behindDoc="1" locked="0" layoutInCell="1" allowOverlap="1">
              <wp:simplePos x="0" y="0"/>
              <wp:positionH relativeFrom="page">
                <wp:posOffset>169545</wp:posOffset>
              </wp:positionH>
              <wp:positionV relativeFrom="page">
                <wp:posOffset>6802120</wp:posOffset>
              </wp:positionV>
              <wp:extent cx="103505" cy="57785"/>
              <wp:wrapNone/>
              <wp:docPr id="462" name="Shape 462"/>
              <a:graphic xmlns:a="http://schemas.openxmlformats.org/drawingml/2006/main">
                <a:graphicData uri="http://schemas.microsoft.com/office/word/2010/wordprocessingShape">
                  <wps:wsp>
                    <wps:cNvSpPr txBox="1"/>
                    <wps:spPr>
                      <a:xfrm>
                        <a:ext cx="10350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w:t>
                          </w:r>
                        </w:p>
                      </w:txbxContent>
                    </wps:txbx>
                    <wps:bodyPr wrap="none" lIns="0" tIns="0" rIns="0" bIns="0">
                      <a:spAutoFit/>
                    </wps:bodyPr>
                  </wps:wsp>
                </a:graphicData>
              </a:graphic>
            </wp:anchor>
          </w:drawing>
        </mc:Choice>
        <mc:Fallback>
          <w:pict>
            <v:shape id="_x0000_s1488" type="#_x0000_t202" style="position:absolute;margin-left:13.35pt;margin-top:535.60000000000002pt;width:8.1500000000000004pt;height:4.5499999999999998pt;z-index:-18874370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w:t>
                    </w:r>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5" behindDoc="1" locked="0" layoutInCell="1" allowOverlap="1">
              <wp:simplePos x="0" y="0"/>
              <wp:positionH relativeFrom="page">
                <wp:posOffset>169545</wp:posOffset>
              </wp:positionH>
              <wp:positionV relativeFrom="page">
                <wp:posOffset>6802120</wp:posOffset>
              </wp:positionV>
              <wp:extent cx="103505" cy="57785"/>
              <wp:wrapNone/>
              <wp:docPr id="467" name="Shape 467"/>
              <a:graphic xmlns:a="http://schemas.openxmlformats.org/drawingml/2006/main">
                <a:graphicData uri="http://schemas.microsoft.com/office/word/2010/wordprocessingShape">
                  <wps:wsp>
                    <wps:cNvSpPr txBox="1"/>
                    <wps:spPr>
                      <a:xfrm>
                        <a:ext cx="10350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w:t>
                          </w:r>
                        </w:p>
                      </w:txbxContent>
                    </wps:txbx>
                    <wps:bodyPr wrap="none" lIns="0" tIns="0" rIns="0" bIns="0">
                      <a:spAutoFit/>
                    </wps:bodyPr>
                  </wps:wsp>
                </a:graphicData>
              </a:graphic>
            </wp:anchor>
          </w:drawing>
        </mc:Choice>
        <mc:Fallback>
          <w:pict>
            <v:shape id="_x0000_s1493" type="#_x0000_t202" style="position:absolute;margin-left:13.35pt;margin-top:535.60000000000002pt;width:8.1500000000000004pt;height:4.5499999999999998pt;z-index:-18874369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w:t>
                    </w:r>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9" behindDoc="1" locked="0" layoutInCell="1" allowOverlap="1">
              <wp:simplePos x="0" y="0"/>
              <wp:positionH relativeFrom="page">
                <wp:posOffset>169545</wp:posOffset>
              </wp:positionH>
              <wp:positionV relativeFrom="page">
                <wp:posOffset>6793230</wp:posOffset>
              </wp:positionV>
              <wp:extent cx="103505" cy="82550"/>
              <wp:wrapNone/>
              <wp:docPr id="472" name="Shape 472"/>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498" type="#_x0000_t202" style="position:absolute;margin-left:13.35pt;margin-top:534.89999999999998pt;width:8.1500000000000004pt;height:6.5pt;z-index:-18874369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3" behindDoc="1" locked="0" layoutInCell="1" allowOverlap="1">
              <wp:simplePos x="0" y="0"/>
              <wp:positionH relativeFrom="page">
                <wp:posOffset>169545</wp:posOffset>
              </wp:positionH>
              <wp:positionV relativeFrom="page">
                <wp:posOffset>6793230</wp:posOffset>
              </wp:positionV>
              <wp:extent cx="103505" cy="82550"/>
              <wp:wrapNone/>
              <wp:docPr id="477" name="Shape 477"/>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03" type="#_x0000_t202" style="position:absolute;margin-left:13.35pt;margin-top:534.89999999999998pt;width:8.1500000000000004pt;height:6.5pt;z-index:-18874369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7" behindDoc="1" locked="0" layoutInCell="1" allowOverlap="1">
              <wp:simplePos x="0" y="0"/>
              <wp:positionH relativeFrom="page">
                <wp:posOffset>4081145</wp:posOffset>
              </wp:positionH>
              <wp:positionV relativeFrom="page">
                <wp:posOffset>6805295</wp:posOffset>
              </wp:positionV>
              <wp:extent cx="100330" cy="79375"/>
              <wp:wrapNone/>
              <wp:docPr id="482" name="Shape 482"/>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08" type="#_x0000_t202" style="position:absolute;margin-left:321.35000000000002pt;margin-top:535.85000000000002pt;width:7.9000000000000004pt;height:6.25pt;z-index:-18874368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1" behindDoc="1" locked="0" layoutInCell="1" allowOverlap="1">
              <wp:simplePos x="0" y="0"/>
              <wp:positionH relativeFrom="page">
                <wp:posOffset>4096385</wp:posOffset>
              </wp:positionH>
              <wp:positionV relativeFrom="page">
                <wp:posOffset>6771640</wp:posOffset>
              </wp:positionV>
              <wp:extent cx="94615" cy="82550"/>
              <wp:wrapNone/>
              <wp:docPr id="487" name="Shape 487"/>
              <a:graphic xmlns:a="http://schemas.openxmlformats.org/drawingml/2006/main">
                <a:graphicData uri="http://schemas.microsoft.com/office/word/2010/wordprocessingShape">
                  <wps:wsp>
                    <wps:cNvSpPr txBox="1"/>
                    <wps:spPr>
                      <a:xfrm>
                        <a:ext cx="9461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13" type="#_x0000_t202" style="position:absolute;margin-left:322.55000000000001pt;margin-top:533.20000000000005pt;width:7.4500000000000002pt;height:6.5pt;z-index:-18874368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5" behindDoc="1" locked="0" layoutInCell="1" allowOverlap="1">
              <wp:simplePos x="0" y="0"/>
              <wp:positionH relativeFrom="page">
                <wp:posOffset>4096385</wp:posOffset>
              </wp:positionH>
              <wp:positionV relativeFrom="page">
                <wp:posOffset>6771640</wp:posOffset>
              </wp:positionV>
              <wp:extent cx="94615" cy="82550"/>
              <wp:wrapNone/>
              <wp:docPr id="492" name="Shape 492"/>
              <a:graphic xmlns:a="http://schemas.openxmlformats.org/drawingml/2006/main">
                <a:graphicData uri="http://schemas.microsoft.com/office/word/2010/wordprocessingShape">
                  <wps:wsp>
                    <wps:cNvSpPr txBox="1"/>
                    <wps:spPr>
                      <a:xfrm>
                        <a:ext cx="9461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18" type="#_x0000_t202" style="position:absolute;margin-left:322.55000000000001pt;margin-top:533.20000000000005pt;width:7.4500000000000002pt;height:6.5pt;z-index:-18874367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3" behindDoc="1" locked="0" layoutInCell="1" allowOverlap="1">
              <wp:simplePos x="0" y="0"/>
              <wp:positionH relativeFrom="page">
                <wp:posOffset>170815</wp:posOffset>
              </wp:positionH>
              <wp:positionV relativeFrom="page">
                <wp:posOffset>6759575</wp:posOffset>
              </wp:positionV>
              <wp:extent cx="103505" cy="85090"/>
              <wp:wrapNone/>
              <wp:docPr id="505" name="Shape 505"/>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31" type="#_x0000_t202" style="position:absolute;margin-left:13.449999999999999pt;margin-top:532.25pt;width:8.1500000000000004pt;height:6.7000000000000002pt;z-index:-18874367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7" behindDoc="1" locked="0" layoutInCell="1" allowOverlap="1">
              <wp:simplePos x="0" y="0"/>
              <wp:positionH relativeFrom="page">
                <wp:posOffset>170815</wp:posOffset>
              </wp:positionH>
              <wp:positionV relativeFrom="page">
                <wp:posOffset>6759575</wp:posOffset>
              </wp:positionV>
              <wp:extent cx="103505" cy="85090"/>
              <wp:wrapNone/>
              <wp:docPr id="510" name="Shape 510"/>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36" type="#_x0000_t202" style="position:absolute;margin-left:13.449999999999999pt;margin-top:532.25pt;width:8.1500000000000004pt;height:6.7000000000000002pt;z-index:-18874366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9" behindDoc="1" locked="0" layoutInCell="1" allowOverlap="1">
              <wp:simplePos x="0" y="0"/>
              <wp:positionH relativeFrom="page">
                <wp:posOffset>4079875</wp:posOffset>
              </wp:positionH>
              <wp:positionV relativeFrom="page">
                <wp:posOffset>6796405</wp:posOffset>
              </wp:positionV>
              <wp:extent cx="97790" cy="82550"/>
              <wp:wrapNone/>
              <wp:docPr id="512" name="Shape 512"/>
              <a:graphic xmlns:a="http://schemas.openxmlformats.org/drawingml/2006/main">
                <a:graphicData uri="http://schemas.microsoft.com/office/word/2010/wordprocessingShape">
                  <wps:wsp>
                    <wps:cNvSpPr txBox="1"/>
                    <wps:spPr>
                      <a:xfrm>
                        <a:ext cx="977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38" type="#_x0000_t202" style="position:absolute;margin-left:321.25pt;margin-top:535.14999999999998pt;width:7.7000000000000002pt;height:6.5pt;z-index:-18874366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7" behindDoc="1" locked="0" layoutInCell="1" allowOverlap="1">
              <wp:simplePos x="0" y="0"/>
              <wp:positionH relativeFrom="page">
                <wp:posOffset>4079875</wp:posOffset>
              </wp:positionH>
              <wp:positionV relativeFrom="page">
                <wp:posOffset>6817360</wp:posOffset>
              </wp:positionV>
              <wp:extent cx="94615" cy="33655"/>
              <wp:wrapNone/>
              <wp:docPr id="523" name="Shape 523"/>
              <a:graphic xmlns:a="http://schemas.openxmlformats.org/drawingml/2006/main">
                <a:graphicData uri="http://schemas.microsoft.com/office/word/2010/wordprocessingShape">
                  <wps:wsp>
                    <wps:cNvSpPr txBox="1"/>
                    <wps:spPr>
                      <a:xfrm>
                        <a:ext cx="94615" cy="3365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hr-HR" w:eastAsia="hr-HR" w:bidi="hr-HR"/>
                            </w:rPr>
                            <w:t>ar</w:t>
                          </w:r>
                        </w:p>
                      </w:txbxContent>
                    </wps:txbx>
                    <wps:bodyPr wrap="none" lIns="0" tIns="0" rIns="0" bIns="0">
                      <a:spAutoFit/>
                    </wps:bodyPr>
                  </wps:wsp>
                </a:graphicData>
              </a:graphic>
            </wp:anchor>
          </w:drawing>
        </mc:Choice>
        <mc:Fallback>
          <w:pict>
            <v:shape id="_x0000_s1549" type="#_x0000_t202" style="position:absolute;margin-left:321.25pt;margin-top:536.79999999999995pt;width:7.4500000000000002pt;height:2.6499999999999999pt;z-index:-18874365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hr-HR" w:eastAsia="hr-HR" w:bidi="hr-HR"/>
                      </w:rPr>
                      <w:t>ar</w:t>
                    </w:r>
                  </w:p>
                </w:txbxContent>
              </v:textbox>
              <w10:wrap anchorx="page" anchory="page"/>
            </v:shape>
          </w:pict>
        </mc:Fallback>
      </mc:AlternateContent>
    </w: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1" behindDoc="1" locked="0" layoutInCell="1" allowOverlap="1">
              <wp:simplePos x="0" y="0"/>
              <wp:positionH relativeFrom="page">
                <wp:posOffset>161925</wp:posOffset>
              </wp:positionH>
              <wp:positionV relativeFrom="page">
                <wp:posOffset>6790055</wp:posOffset>
              </wp:positionV>
              <wp:extent cx="103505" cy="82550"/>
              <wp:wrapNone/>
              <wp:docPr id="528" name="Shape 528"/>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54" type="#_x0000_t202" style="position:absolute;margin-left:12.75pt;margin-top:534.64999999999998pt;width:8.1500000000000004pt;height:6.5pt;z-index:-18874365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5" behindDoc="1" locked="0" layoutInCell="1" allowOverlap="1">
              <wp:simplePos x="0" y="0"/>
              <wp:positionH relativeFrom="page">
                <wp:posOffset>161925</wp:posOffset>
              </wp:positionH>
              <wp:positionV relativeFrom="page">
                <wp:posOffset>6790055</wp:posOffset>
              </wp:positionV>
              <wp:extent cx="103505" cy="82550"/>
              <wp:wrapNone/>
              <wp:docPr id="533" name="Shape 533"/>
              <a:graphic xmlns:a="http://schemas.openxmlformats.org/drawingml/2006/main">
                <a:graphicData uri="http://schemas.microsoft.com/office/word/2010/wordprocessingShape">
                  <wps:wsp>
                    <wps:cNvSpPr txBox="1"/>
                    <wps:spPr>
                      <a:xfrm>
                        <a:ext cx="1035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59" type="#_x0000_t202" style="position:absolute;margin-left:12.75pt;margin-top:534.64999999999998pt;width:8.1500000000000004pt;height:6.5pt;z-index:-18874364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9" behindDoc="1" locked="0" layoutInCell="1" allowOverlap="1">
              <wp:simplePos x="0" y="0"/>
              <wp:positionH relativeFrom="page">
                <wp:posOffset>4072255</wp:posOffset>
              </wp:positionH>
              <wp:positionV relativeFrom="page">
                <wp:posOffset>6774815</wp:posOffset>
              </wp:positionV>
              <wp:extent cx="103505" cy="85090"/>
              <wp:wrapNone/>
              <wp:docPr id="538" name="Shape 538"/>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64" type="#_x0000_t202" style="position:absolute;margin-left:320.64999999999998pt;margin-top:533.45000000000005pt;width:8.1500000000000004pt;height:6.7000000000000002pt;z-index:-18874364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3" behindDoc="1" locked="0" layoutInCell="1" allowOverlap="1">
              <wp:simplePos x="0" y="0"/>
              <wp:positionH relativeFrom="page">
                <wp:posOffset>4083050</wp:posOffset>
              </wp:positionH>
              <wp:positionV relativeFrom="page">
                <wp:posOffset>6759575</wp:posOffset>
              </wp:positionV>
              <wp:extent cx="100330" cy="69850"/>
              <wp:wrapNone/>
              <wp:docPr id="543" name="Shape 543"/>
              <a:graphic xmlns:a="http://schemas.openxmlformats.org/drawingml/2006/main">
                <a:graphicData uri="http://schemas.microsoft.com/office/word/2010/wordprocessingShape">
                  <wps:wsp>
                    <wps:cNvSpPr txBox="1"/>
                    <wps:spPr>
                      <a:xfrm>
                        <a:ext cx="10033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69" type="#_x0000_t202" style="position:absolute;margin-left:321.5pt;margin-top:532.25pt;width:7.9000000000000004pt;height:5.5pt;z-index:-18874364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7" behindDoc="1" locked="0" layoutInCell="1" allowOverlap="1">
              <wp:simplePos x="0" y="0"/>
              <wp:positionH relativeFrom="page">
                <wp:posOffset>4083050</wp:posOffset>
              </wp:positionH>
              <wp:positionV relativeFrom="page">
                <wp:posOffset>6759575</wp:posOffset>
              </wp:positionV>
              <wp:extent cx="100330" cy="69850"/>
              <wp:wrapNone/>
              <wp:docPr id="548" name="Shape 548"/>
              <a:graphic xmlns:a="http://schemas.openxmlformats.org/drawingml/2006/main">
                <a:graphicData uri="http://schemas.microsoft.com/office/word/2010/wordprocessingShape">
                  <wps:wsp>
                    <wps:cNvSpPr txBox="1"/>
                    <wps:spPr>
                      <a:xfrm>
                        <a:ext cx="10033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74" type="#_x0000_t202" style="position:absolute;margin-left:321.5pt;margin-top:532.25pt;width:7.9000000000000004pt;height:5.5pt;z-index:-18874363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1" behindDoc="1" locked="0" layoutInCell="1" allowOverlap="1">
              <wp:simplePos x="0" y="0"/>
              <wp:positionH relativeFrom="page">
                <wp:posOffset>4081145</wp:posOffset>
              </wp:positionH>
              <wp:positionV relativeFrom="page">
                <wp:posOffset>6796405</wp:posOffset>
              </wp:positionV>
              <wp:extent cx="79375" cy="73025"/>
              <wp:wrapNone/>
              <wp:docPr id="553" name="Shape 553"/>
              <a:graphic xmlns:a="http://schemas.openxmlformats.org/drawingml/2006/main">
                <a:graphicData uri="http://schemas.microsoft.com/office/word/2010/wordprocessingShape">
                  <wps:wsp>
                    <wps:cNvSpPr txBox="1"/>
                    <wps:spPr>
                      <a:xfrm>
                        <a:ext cx="793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79" type="#_x0000_t202" style="position:absolute;margin-left:321.35000000000002pt;margin-top:535.14999999999998pt;width:6.25pt;height:5.75pt;z-index:-18874363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5" behindDoc="1" locked="0" layoutInCell="1" allowOverlap="1">
              <wp:simplePos x="0" y="0"/>
              <wp:positionH relativeFrom="page">
                <wp:posOffset>4081145</wp:posOffset>
              </wp:positionH>
              <wp:positionV relativeFrom="page">
                <wp:posOffset>6796405</wp:posOffset>
              </wp:positionV>
              <wp:extent cx="79375" cy="73025"/>
              <wp:wrapNone/>
              <wp:docPr id="558" name="Shape 558"/>
              <a:graphic xmlns:a="http://schemas.openxmlformats.org/drawingml/2006/main">
                <a:graphicData uri="http://schemas.microsoft.com/office/word/2010/wordprocessingShape">
                  <wps:wsp>
                    <wps:cNvSpPr txBox="1"/>
                    <wps:spPr>
                      <a:xfrm>
                        <a:ext cx="793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84" type="#_x0000_t202" style="position:absolute;margin-left:321.35000000000002pt;margin-top:535.14999999999998pt;width:6.25pt;height:5.75pt;z-index:-18874362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7" behindDoc="1" locked="0" layoutInCell="1" allowOverlap="1">
              <wp:simplePos x="0" y="0"/>
              <wp:positionH relativeFrom="page">
                <wp:posOffset>167640</wp:posOffset>
              </wp:positionH>
              <wp:positionV relativeFrom="page">
                <wp:posOffset>6793230</wp:posOffset>
              </wp:positionV>
              <wp:extent cx="100330" cy="79375"/>
              <wp:wrapNone/>
              <wp:docPr id="560" name="Shape 560"/>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86" type="#_x0000_t202" style="position:absolute;margin-left:13.199999999999999pt;margin-top:534.89999999999998pt;width:7.9000000000000004pt;height:6.25pt;z-index:-18874362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1" behindDoc="1" locked="0" layoutInCell="1" allowOverlap="1">
              <wp:simplePos x="0" y="0"/>
              <wp:positionH relativeFrom="page">
                <wp:posOffset>4085590</wp:posOffset>
              </wp:positionH>
              <wp:positionV relativeFrom="page">
                <wp:posOffset>6783705</wp:posOffset>
              </wp:positionV>
              <wp:extent cx="103505" cy="79375"/>
              <wp:wrapNone/>
              <wp:docPr id="565" name="Shape 565"/>
              <a:graphic xmlns:a="http://schemas.openxmlformats.org/drawingml/2006/main">
                <a:graphicData uri="http://schemas.microsoft.com/office/word/2010/wordprocessingShape">
                  <wps:wsp>
                    <wps:cNvSpPr txBox="1"/>
                    <wps:spPr>
                      <a:xfrm>
                        <a:ext cx="1035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91" type="#_x0000_t202" style="position:absolute;margin-left:321.69999999999999pt;margin-top:534.14999999999998pt;width:8.1500000000000004pt;height:6.25pt;z-index:-18874362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5" behindDoc="1" locked="0" layoutInCell="1" allowOverlap="1">
              <wp:simplePos x="0" y="0"/>
              <wp:positionH relativeFrom="page">
                <wp:posOffset>4085590</wp:posOffset>
              </wp:positionH>
              <wp:positionV relativeFrom="page">
                <wp:posOffset>6783705</wp:posOffset>
              </wp:positionV>
              <wp:extent cx="103505" cy="79375"/>
              <wp:wrapNone/>
              <wp:docPr id="570" name="Shape 570"/>
              <a:graphic xmlns:a="http://schemas.openxmlformats.org/drawingml/2006/main">
                <a:graphicData uri="http://schemas.microsoft.com/office/word/2010/wordprocessingShape">
                  <wps:wsp>
                    <wps:cNvSpPr txBox="1"/>
                    <wps:spPr>
                      <a:xfrm>
                        <a:ext cx="1035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596" type="#_x0000_t202" style="position:absolute;margin-left:321.69999999999999pt;margin-top:534.14999999999998pt;width:8.1500000000000004pt;height:6.25pt;z-index:-18874361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9" behindDoc="1" locked="0" layoutInCell="1" allowOverlap="1">
              <wp:simplePos x="0" y="0"/>
              <wp:positionH relativeFrom="page">
                <wp:posOffset>167640</wp:posOffset>
              </wp:positionH>
              <wp:positionV relativeFrom="page">
                <wp:posOffset>6796405</wp:posOffset>
              </wp:positionV>
              <wp:extent cx="100330" cy="82550"/>
              <wp:wrapNone/>
              <wp:docPr id="575" name="Shape 575"/>
              <a:graphic xmlns:a="http://schemas.openxmlformats.org/drawingml/2006/main">
                <a:graphicData uri="http://schemas.microsoft.com/office/word/2010/wordprocessingShape">
                  <wps:wsp>
                    <wps:cNvSpPr txBox="1"/>
                    <wps:spPr>
                      <a:xfrm>
                        <a:ext cx="1003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01" type="#_x0000_t202" style="position:absolute;margin-left:13.199999999999999pt;margin-top:535.14999999999998pt;width:7.9000000000000004pt;height:6.5pt;z-index:-18874361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3" behindDoc="1" locked="0" layoutInCell="1" allowOverlap="1">
              <wp:simplePos x="0" y="0"/>
              <wp:positionH relativeFrom="page">
                <wp:posOffset>165735</wp:posOffset>
              </wp:positionH>
              <wp:positionV relativeFrom="page">
                <wp:posOffset>6777990</wp:posOffset>
              </wp:positionV>
              <wp:extent cx="100330" cy="79375"/>
              <wp:wrapNone/>
              <wp:docPr id="580" name="Shape 580"/>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06" type="#_x0000_t202" style="position:absolute;margin-left:13.050000000000001pt;margin-top:533.70000000000005pt;width:7.9000000000000004pt;height:6.25pt;z-index:-18874361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7" behindDoc="1" locked="0" layoutInCell="1" allowOverlap="1">
              <wp:simplePos x="0" y="0"/>
              <wp:positionH relativeFrom="page">
                <wp:posOffset>165735</wp:posOffset>
              </wp:positionH>
              <wp:positionV relativeFrom="page">
                <wp:posOffset>6777990</wp:posOffset>
              </wp:positionV>
              <wp:extent cx="100330" cy="79375"/>
              <wp:wrapNone/>
              <wp:docPr id="585" name="Shape 585"/>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11" type="#_x0000_t202" style="position:absolute;margin-left:13.050000000000001pt;margin-top:533.70000000000005pt;width:7.9000000000000004pt;height:6.25pt;z-index:-18874360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1" behindDoc="1" locked="0" layoutInCell="1" allowOverlap="1">
              <wp:simplePos x="0" y="0"/>
              <wp:positionH relativeFrom="page">
                <wp:posOffset>4084320</wp:posOffset>
              </wp:positionH>
              <wp:positionV relativeFrom="page">
                <wp:posOffset>6798945</wp:posOffset>
              </wp:positionV>
              <wp:extent cx="100330" cy="54610"/>
              <wp:wrapNone/>
              <wp:docPr id="590" name="Shape 590"/>
              <a:graphic xmlns:a="http://schemas.openxmlformats.org/drawingml/2006/main">
                <a:graphicData uri="http://schemas.microsoft.com/office/word/2010/wordprocessingShape">
                  <wps:wsp>
                    <wps:cNvSpPr txBox="1"/>
                    <wps:spPr>
                      <a:xfrm>
                        <a:ext cx="10033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o&lt;</w:t>
                          </w:r>
                        </w:p>
                      </w:txbxContent>
                    </wps:txbx>
                    <wps:bodyPr wrap="none" lIns="0" tIns="0" rIns="0" bIns="0">
                      <a:spAutoFit/>
                    </wps:bodyPr>
                  </wps:wsp>
                </a:graphicData>
              </a:graphic>
            </wp:anchor>
          </w:drawing>
        </mc:Choice>
        <mc:Fallback>
          <w:pict>
            <v:shape id="_x0000_s1616" type="#_x0000_t202" style="position:absolute;margin-left:321.60000000000002pt;margin-top:535.35000000000002pt;width:7.9000000000000004pt;height:4.2999999999999998pt;z-index:-18874360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o&lt;</w:t>
                    </w:r>
                  </w:p>
                </w:txbxContent>
              </v:textbox>
              <w10:wrap anchorx="page" anchory="page"/>
            </v:shape>
          </w:pict>
        </mc:Fallback>
      </mc:AlternateContent>
    </w: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5" behindDoc="1" locked="0" layoutInCell="1" allowOverlap="1">
              <wp:simplePos x="0" y="0"/>
              <wp:positionH relativeFrom="page">
                <wp:posOffset>4084320</wp:posOffset>
              </wp:positionH>
              <wp:positionV relativeFrom="page">
                <wp:posOffset>6798945</wp:posOffset>
              </wp:positionV>
              <wp:extent cx="100330" cy="54610"/>
              <wp:wrapNone/>
              <wp:docPr id="595" name="Shape 595"/>
              <a:graphic xmlns:a="http://schemas.openxmlformats.org/drawingml/2006/main">
                <a:graphicData uri="http://schemas.microsoft.com/office/word/2010/wordprocessingShape">
                  <wps:wsp>
                    <wps:cNvSpPr txBox="1"/>
                    <wps:spPr>
                      <a:xfrm>
                        <a:ext cx="10033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o&lt;</w:t>
                          </w:r>
                        </w:p>
                      </w:txbxContent>
                    </wps:txbx>
                    <wps:bodyPr wrap="none" lIns="0" tIns="0" rIns="0" bIns="0">
                      <a:spAutoFit/>
                    </wps:bodyPr>
                  </wps:wsp>
                </a:graphicData>
              </a:graphic>
            </wp:anchor>
          </w:drawing>
        </mc:Choice>
        <mc:Fallback>
          <w:pict>
            <v:shape id="_x0000_s1621" type="#_x0000_t202" style="position:absolute;margin-left:321.60000000000002pt;margin-top:535.35000000000002pt;width:7.9000000000000004pt;height:4.2999999999999998pt;z-index:-18874359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o&lt;</w:t>
                    </w:r>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9" behindDoc="1" locked="0" layoutInCell="1" allowOverlap="1">
              <wp:simplePos x="0" y="0"/>
              <wp:positionH relativeFrom="page">
                <wp:posOffset>4084320</wp:posOffset>
              </wp:positionH>
              <wp:positionV relativeFrom="page">
                <wp:posOffset>6781165</wp:posOffset>
              </wp:positionV>
              <wp:extent cx="100330" cy="85090"/>
              <wp:wrapNone/>
              <wp:docPr id="600" name="Shape 600"/>
              <a:graphic xmlns:a="http://schemas.openxmlformats.org/drawingml/2006/main">
                <a:graphicData uri="http://schemas.microsoft.com/office/word/2010/wordprocessingShape">
                  <wps:wsp>
                    <wps:cNvSpPr txBox="1"/>
                    <wps:spPr>
                      <a:xfrm>
                        <a:ext cx="10033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26" type="#_x0000_t202" style="position:absolute;margin-left:321.60000000000002pt;margin-top:533.95000000000005pt;width:7.9000000000000004pt;height:6.7000000000000002pt;z-index:-18874359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3" behindDoc="1" locked="0" layoutInCell="1" allowOverlap="1">
              <wp:simplePos x="0" y="0"/>
              <wp:positionH relativeFrom="page">
                <wp:posOffset>4084320</wp:posOffset>
              </wp:positionH>
              <wp:positionV relativeFrom="page">
                <wp:posOffset>6781165</wp:posOffset>
              </wp:positionV>
              <wp:extent cx="100330" cy="85090"/>
              <wp:wrapNone/>
              <wp:docPr id="605" name="Shape 605"/>
              <a:graphic xmlns:a="http://schemas.openxmlformats.org/drawingml/2006/main">
                <a:graphicData uri="http://schemas.microsoft.com/office/word/2010/wordprocessingShape">
                  <wps:wsp>
                    <wps:cNvSpPr txBox="1"/>
                    <wps:spPr>
                      <a:xfrm>
                        <a:ext cx="10033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31" type="#_x0000_t202" style="position:absolute;margin-left:321.60000000000002pt;margin-top:533.95000000000005pt;width:7.9000000000000004pt;height:6.7000000000000002pt;z-index:-18874359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7" behindDoc="1" locked="0" layoutInCell="1" allowOverlap="1">
              <wp:simplePos x="0" y="0"/>
              <wp:positionH relativeFrom="page">
                <wp:posOffset>164465</wp:posOffset>
              </wp:positionH>
              <wp:positionV relativeFrom="page">
                <wp:posOffset>6771640</wp:posOffset>
              </wp:positionV>
              <wp:extent cx="103505" cy="79375"/>
              <wp:wrapNone/>
              <wp:docPr id="610" name="Shape 610"/>
              <a:graphic xmlns:a="http://schemas.openxmlformats.org/drawingml/2006/main">
                <a:graphicData uri="http://schemas.microsoft.com/office/word/2010/wordprocessingShape">
                  <wps:wsp>
                    <wps:cNvSpPr txBox="1"/>
                    <wps:spPr>
                      <a:xfrm>
                        <a:ext cx="1035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36" type="#_x0000_t202" style="position:absolute;margin-left:12.949999999999999pt;margin-top:533.20000000000005pt;width:8.1500000000000004pt;height:6.25pt;z-index:-18874358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9" behindDoc="1" locked="0" layoutInCell="1" allowOverlap="1">
              <wp:simplePos x="0" y="0"/>
              <wp:positionH relativeFrom="page">
                <wp:posOffset>4077970</wp:posOffset>
              </wp:positionH>
              <wp:positionV relativeFrom="page">
                <wp:posOffset>6781165</wp:posOffset>
              </wp:positionV>
              <wp:extent cx="100330" cy="79375"/>
              <wp:wrapNone/>
              <wp:docPr id="612" name="Shape 612"/>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38" type="#_x0000_t202" style="position:absolute;margin-left:321.10000000000002pt;margin-top:533.95000000000005pt;width:7.9000000000000004pt;height:6.25pt;z-index:-18874358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1" behindDoc="1" locked="0" layoutInCell="1" allowOverlap="1">
              <wp:simplePos x="0" y="0"/>
              <wp:positionH relativeFrom="page">
                <wp:posOffset>4077970</wp:posOffset>
              </wp:positionH>
              <wp:positionV relativeFrom="page">
                <wp:posOffset>6781165</wp:posOffset>
              </wp:positionV>
              <wp:extent cx="100330" cy="79375"/>
              <wp:wrapNone/>
              <wp:docPr id="614" name="Shape 614"/>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40" type="#_x0000_t202" style="position:absolute;margin-left:321.10000000000002pt;margin-top:533.95000000000005pt;width:7.9000000000000004pt;height:6.25pt;z-index:-18874358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5" behindDoc="1" locked="0" layoutInCell="1" allowOverlap="1">
              <wp:simplePos x="0" y="0"/>
              <wp:positionH relativeFrom="page">
                <wp:posOffset>178435</wp:posOffset>
              </wp:positionH>
              <wp:positionV relativeFrom="page">
                <wp:posOffset>6774815</wp:posOffset>
              </wp:positionV>
              <wp:extent cx="100330" cy="79375"/>
              <wp:wrapNone/>
              <wp:docPr id="619" name="Shape 619"/>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45" type="#_x0000_t202" style="position:absolute;margin-left:14.050000000000001pt;margin-top:533.45000000000005pt;width:7.9000000000000004pt;height:6.25pt;z-index:-18874357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9" behindDoc="1" locked="0" layoutInCell="1" allowOverlap="1">
              <wp:simplePos x="0" y="0"/>
              <wp:positionH relativeFrom="page">
                <wp:posOffset>164465</wp:posOffset>
              </wp:positionH>
              <wp:positionV relativeFrom="page">
                <wp:posOffset>6777990</wp:posOffset>
              </wp:positionV>
              <wp:extent cx="149225" cy="79375"/>
              <wp:wrapNone/>
              <wp:docPr id="624" name="Shape 624"/>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50" type="#_x0000_t202" style="position:absolute;margin-left:12.949999999999999pt;margin-top:533.70000000000005pt;width:11.75pt;height:6.25pt;z-index:-18874357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3" behindDoc="1" locked="0" layoutInCell="1" allowOverlap="1">
              <wp:simplePos x="0" y="0"/>
              <wp:positionH relativeFrom="page">
                <wp:posOffset>164465</wp:posOffset>
              </wp:positionH>
              <wp:positionV relativeFrom="page">
                <wp:posOffset>6777990</wp:posOffset>
              </wp:positionV>
              <wp:extent cx="149225" cy="79375"/>
              <wp:wrapNone/>
              <wp:docPr id="629" name="Shape 629"/>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55" type="#_x0000_t202" style="position:absolute;margin-left:12.949999999999999pt;margin-top:533.70000000000005pt;width:11.75pt;height:6.25pt;z-index:-18874357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3" behindDoc="1" locked="0" layoutInCell="1" allowOverlap="1">
              <wp:simplePos x="0" y="0"/>
              <wp:positionH relativeFrom="page">
                <wp:posOffset>173355</wp:posOffset>
              </wp:positionH>
              <wp:positionV relativeFrom="page">
                <wp:posOffset>6774815</wp:posOffset>
              </wp:positionV>
              <wp:extent cx="143510" cy="82550"/>
              <wp:wrapNone/>
              <wp:docPr id="645" name="Shape 645"/>
              <a:graphic xmlns:a="http://schemas.openxmlformats.org/drawingml/2006/main">
                <a:graphicData uri="http://schemas.microsoft.com/office/word/2010/wordprocessingShape">
                  <wps:wsp>
                    <wps:cNvSpPr txBox="1"/>
                    <wps:spPr>
                      <a:xfrm>
                        <a:ext cx="14351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71" type="#_x0000_t202" style="position:absolute;margin-left:13.65pt;margin-top:533.45000000000005pt;width:11.300000000000001pt;height:6.5pt;z-index:-18874356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7" behindDoc="1" locked="0" layoutInCell="1" allowOverlap="1">
              <wp:simplePos x="0" y="0"/>
              <wp:positionH relativeFrom="page">
                <wp:posOffset>173355</wp:posOffset>
              </wp:positionH>
              <wp:positionV relativeFrom="page">
                <wp:posOffset>6774815</wp:posOffset>
              </wp:positionV>
              <wp:extent cx="143510" cy="82550"/>
              <wp:wrapNone/>
              <wp:docPr id="650" name="Shape 650"/>
              <a:graphic xmlns:a="http://schemas.openxmlformats.org/drawingml/2006/main">
                <a:graphicData uri="http://schemas.microsoft.com/office/word/2010/wordprocessingShape">
                  <wps:wsp>
                    <wps:cNvSpPr txBox="1"/>
                    <wps:spPr>
                      <a:xfrm>
                        <a:ext cx="14351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76" type="#_x0000_t202" style="position:absolute;margin-left:13.65pt;margin-top:533.45000000000005pt;width:11.300000000000001pt;height:6.5pt;z-index:-18874355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1" behindDoc="1" locked="0" layoutInCell="1" allowOverlap="1">
              <wp:simplePos x="0" y="0"/>
              <wp:positionH relativeFrom="page">
                <wp:posOffset>4029075</wp:posOffset>
              </wp:positionH>
              <wp:positionV relativeFrom="page">
                <wp:posOffset>6793230</wp:posOffset>
              </wp:positionV>
              <wp:extent cx="149225" cy="82550"/>
              <wp:wrapNone/>
              <wp:docPr id="655" name="Shape 655"/>
              <a:graphic xmlns:a="http://schemas.openxmlformats.org/drawingml/2006/main">
                <a:graphicData uri="http://schemas.microsoft.com/office/word/2010/wordprocessingShape">
                  <wps:wsp>
                    <wps:cNvSpPr txBox="1"/>
                    <wps:spPr>
                      <a:xfrm>
                        <a:ext cx="149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81" type="#_x0000_t202" style="position:absolute;margin-left:317.25pt;margin-top:534.89999999999998pt;width:11.75pt;height:6.5pt;z-index:-18874355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5" behindDoc="1" locked="0" layoutInCell="1" allowOverlap="1">
              <wp:simplePos x="0" y="0"/>
              <wp:positionH relativeFrom="page">
                <wp:posOffset>182880</wp:posOffset>
              </wp:positionH>
              <wp:positionV relativeFrom="page">
                <wp:posOffset>6793230</wp:posOffset>
              </wp:positionV>
              <wp:extent cx="149225" cy="73025"/>
              <wp:wrapNone/>
              <wp:docPr id="660" name="Shape 660"/>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86" type="#_x0000_t202" style="position:absolute;margin-left:14.4pt;margin-top:534.89999999999998pt;width:11.75pt;height:5.75pt;z-index:-18874354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9" behindDoc="1" locked="0" layoutInCell="1" allowOverlap="1">
              <wp:simplePos x="0" y="0"/>
              <wp:positionH relativeFrom="page">
                <wp:posOffset>182880</wp:posOffset>
              </wp:positionH>
              <wp:positionV relativeFrom="page">
                <wp:posOffset>6793230</wp:posOffset>
              </wp:positionV>
              <wp:extent cx="149225" cy="73025"/>
              <wp:wrapNone/>
              <wp:docPr id="665" name="Shape 665"/>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91" type="#_x0000_t202" style="position:absolute;margin-left:14.4pt;margin-top:534.89999999999998pt;width:11.75pt;height:5.75pt;z-index:-18874354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3" behindDoc="1" locked="0" layoutInCell="1" allowOverlap="1">
              <wp:simplePos x="0" y="0"/>
              <wp:positionH relativeFrom="page">
                <wp:posOffset>4034155</wp:posOffset>
              </wp:positionH>
              <wp:positionV relativeFrom="page">
                <wp:posOffset>6774815</wp:posOffset>
              </wp:positionV>
              <wp:extent cx="149225" cy="85090"/>
              <wp:wrapNone/>
              <wp:docPr id="670" name="Shape 670"/>
              <a:graphic xmlns:a="http://schemas.openxmlformats.org/drawingml/2006/main">
                <a:graphicData uri="http://schemas.microsoft.com/office/word/2010/wordprocessingShape">
                  <wps:wsp>
                    <wps:cNvSpPr txBox="1"/>
                    <wps:spPr>
                      <a:xfrm>
                        <a:ext cx="14922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696" type="#_x0000_t202" style="position:absolute;margin-left:317.64999999999998pt;margin-top:533.45000000000005pt;width:11.75pt;height:6.7000000000000002pt;z-index:-18874354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7" behindDoc="1" locked="0" layoutInCell="1" allowOverlap="1">
              <wp:simplePos x="0" y="0"/>
              <wp:positionH relativeFrom="page">
                <wp:posOffset>4030980</wp:posOffset>
              </wp:positionH>
              <wp:positionV relativeFrom="page">
                <wp:posOffset>6817360</wp:posOffset>
              </wp:positionV>
              <wp:extent cx="149225" cy="54610"/>
              <wp:wrapNone/>
              <wp:docPr id="675" name="Shape 675"/>
              <a:graphic xmlns:a="http://schemas.openxmlformats.org/drawingml/2006/main">
                <a:graphicData uri="http://schemas.microsoft.com/office/word/2010/wordprocessingShape">
                  <wps:wsp>
                    <wps:cNvSpPr txBox="1"/>
                    <wps:spPr>
                      <a:xfrm>
                        <a:ext cx="149225"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01" type="#_x0000_t202" style="position:absolute;margin-left:317.39999999999998pt;margin-top:536.79999999999995pt;width:11.75pt;height:4.2999999999999998pt;z-index:-18874353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1" behindDoc="1" locked="0" layoutInCell="1" allowOverlap="1">
              <wp:simplePos x="0" y="0"/>
              <wp:positionH relativeFrom="page">
                <wp:posOffset>4030980</wp:posOffset>
              </wp:positionH>
              <wp:positionV relativeFrom="page">
                <wp:posOffset>6817360</wp:posOffset>
              </wp:positionV>
              <wp:extent cx="149225" cy="54610"/>
              <wp:wrapNone/>
              <wp:docPr id="680" name="Shape 680"/>
              <a:graphic xmlns:a="http://schemas.openxmlformats.org/drawingml/2006/main">
                <a:graphicData uri="http://schemas.microsoft.com/office/word/2010/wordprocessingShape">
                  <wps:wsp>
                    <wps:cNvSpPr txBox="1"/>
                    <wps:spPr>
                      <a:xfrm>
                        <a:ext cx="149225"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06" type="#_x0000_t202" style="position:absolute;margin-left:317.39999999999998pt;margin-top:536.79999999999995pt;width:11.75pt;height:4.2999999999999998pt;z-index:-18874353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9" behindDoc="1" locked="0" layoutInCell="1" allowOverlap="1">
              <wp:simplePos x="0" y="0"/>
              <wp:positionH relativeFrom="page">
                <wp:posOffset>173355</wp:posOffset>
              </wp:positionH>
              <wp:positionV relativeFrom="page">
                <wp:posOffset>6767830</wp:posOffset>
              </wp:positionV>
              <wp:extent cx="146050" cy="79375"/>
              <wp:wrapNone/>
              <wp:docPr id="691" name="Shape 691"/>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17" type="#_x0000_t202" style="position:absolute;margin-left:13.65pt;margin-top:532.89999999999998pt;width:11.5pt;height:6.25pt;z-index:-18874352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3" behindDoc="1" locked="0" layoutInCell="1" allowOverlap="1">
              <wp:simplePos x="0" y="0"/>
              <wp:positionH relativeFrom="page">
                <wp:posOffset>173355</wp:posOffset>
              </wp:positionH>
              <wp:positionV relativeFrom="page">
                <wp:posOffset>6767830</wp:posOffset>
              </wp:positionV>
              <wp:extent cx="146050" cy="79375"/>
              <wp:wrapNone/>
              <wp:docPr id="696" name="Shape 696"/>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22" type="#_x0000_t202" style="position:absolute;margin-left:13.65pt;margin-top:532.89999999999998pt;width:11.5pt;height:6.25pt;z-index:-18874352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7" behindDoc="1" locked="0" layoutInCell="1" allowOverlap="1">
              <wp:simplePos x="0" y="0"/>
              <wp:positionH relativeFrom="page">
                <wp:posOffset>4038600</wp:posOffset>
              </wp:positionH>
              <wp:positionV relativeFrom="page">
                <wp:posOffset>6786245</wp:posOffset>
              </wp:positionV>
              <wp:extent cx="149225" cy="79375"/>
              <wp:wrapNone/>
              <wp:docPr id="701" name="Shape 701"/>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27" type="#_x0000_t202" style="position:absolute;margin-left:318.pt;margin-top:534.35000000000002pt;width:11.75pt;height:6.25pt;z-index:-18874351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1" behindDoc="1" locked="0" layoutInCell="1" allowOverlap="1">
              <wp:simplePos x="0" y="0"/>
              <wp:positionH relativeFrom="page">
                <wp:posOffset>176530</wp:posOffset>
              </wp:positionH>
              <wp:positionV relativeFrom="page">
                <wp:posOffset>6767830</wp:posOffset>
              </wp:positionV>
              <wp:extent cx="152400" cy="76200"/>
              <wp:wrapNone/>
              <wp:docPr id="706" name="Shape 706"/>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32" type="#_x0000_t202" style="position:absolute;margin-left:13.9pt;margin-top:532.89999999999998pt;width:12.pt;height:6.pt;z-index:-18874351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5" behindDoc="1" locked="0" layoutInCell="1" allowOverlap="1">
              <wp:simplePos x="0" y="0"/>
              <wp:positionH relativeFrom="page">
                <wp:posOffset>176530</wp:posOffset>
              </wp:positionH>
              <wp:positionV relativeFrom="page">
                <wp:posOffset>6767830</wp:posOffset>
              </wp:positionV>
              <wp:extent cx="152400" cy="76200"/>
              <wp:wrapNone/>
              <wp:docPr id="711" name="Shape 711"/>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37" type="#_x0000_t202" style="position:absolute;margin-left:13.9pt;margin-top:532.89999999999998pt;width:12.pt;height:6.pt;z-index:-18874350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9" behindDoc="1" locked="0" layoutInCell="1" allowOverlap="1">
              <wp:simplePos x="0" y="0"/>
              <wp:positionH relativeFrom="page">
                <wp:posOffset>4038600</wp:posOffset>
              </wp:positionH>
              <wp:positionV relativeFrom="page">
                <wp:posOffset>6771005</wp:posOffset>
              </wp:positionV>
              <wp:extent cx="137160" cy="79375"/>
              <wp:wrapNone/>
              <wp:docPr id="716" name="Shape 716"/>
              <a:graphic xmlns:a="http://schemas.openxmlformats.org/drawingml/2006/main">
                <a:graphicData uri="http://schemas.microsoft.com/office/word/2010/wordprocessingShape">
                  <wps:wsp>
                    <wps:cNvSpPr txBox="1"/>
                    <wps:spPr>
                      <a:xfrm>
                        <a:ext cx="13716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42" type="#_x0000_t202" style="position:absolute;margin-left:318.pt;margin-top:533.14999999999998pt;width:10.800000000000001pt;height:6.25pt;z-index:-18874350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3" behindDoc="1" locked="0" layoutInCell="1" allowOverlap="1">
              <wp:simplePos x="0" y="0"/>
              <wp:positionH relativeFrom="page">
                <wp:posOffset>4035425</wp:posOffset>
              </wp:positionH>
              <wp:positionV relativeFrom="page">
                <wp:posOffset>6783070</wp:posOffset>
              </wp:positionV>
              <wp:extent cx="146050" cy="76200"/>
              <wp:wrapNone/>
              <wp:docPr id="721" name="Shape 721"/>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47" type="#_x0000_t202" style="position:absolute;margin-left:317.75pt;margin-top:534.10000000000002pt;width:11.5pt;height:6.pt;z-index:-18874350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7" behindDoc="1" locked="0" layoutInCell="1" allowOverlap="1">
              <wp:simplePos x="0" y="0"/>
              <wp:positionH relativeFrom="page">
                <wp:posOffset>4035425</wp:posOffset>
              </wp:positionH>
              <wp:positionV relativeFrom="page">
                <wp:posOffset>6783070</wp:posOffset>
              </wp:positionV>
              <wp:extent cx="146050" cy="76200"/>
              <wp:wrapNone/>
              <wp:docPr id="726" name="Shape 726"/>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52" type="#_x0000_t202" style="position:absolute;margin-left:317.75pt;margin-top:534.10000000000002pt;width:11.5pt;height:6.pt;z-index:-18874349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1" behindDoc="1" locked="0" layoutInCell="1" allowOverlap="1">
              <wp:simplePos x="0" y="0"/>
              <wp:positionH relativeFrom="page">
                <wp:posOffset>4036695</wp:posOffset>
              </wp:positionH>
              <wp:positionV relativeFrom="page">
                <wp:posOffset>6770370</wp:posOffset>
              </wp:positionV>
              <wp:extent cx="143510" cy="67310"/>
              <wp:wrapNone/>
              <wp:docPr id="731" name="Shape 731"/>
              <a:graphic xmlns:a="http://schemas.openxmlformats.org/drawingml/2006/main">
                <a:graphicData uri="http://schemas.microsoft.com/office/word/2010/wordprocessingShape">
                  <wps:wsp>
                    <wps:cNvSpPr txBox="1"/>
                    <wps:spPr>
                      <a:xfrm>
                        <a:ext cx="1435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57" type="#_x0000_t202" style="position:absolute;margin-left:317.85000000000002pt;margin-top:533.10000000000002pt;width:11.300000000000001pt;height:5.2999999999999998pt;z-index:-18874349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5" behindDoc="1" locked="0" layoutInCell="1" allowOverlap="1">
              <wp:simplePos x="0" y="0"/>
              <wp:positionH relativeFrom="page">
                <wp:posOffset>4036695</wp:posOffset>
              </wp:positionH>
              <wp:positionV relativeFrom="page">
                <wp:posOffset>6770370</wp:posOffset>
              </wp:positionV>
              <wp:extent cx="143510" cy="67310"/>
              <wp:wrapNone/>
              <wp:docPr id="736" name="Shape 736"/>
              <a:graphic xmlns:a="http://schemas.openxmlformats.org/drawingml/2006/main">
                <a:graphicData uri="http://schemas.microsoft.com/office/word/2010/wordprocessingShape">
                  <wps:wsp>
                    <wps:cNvSpPr txBox="1"/>
                    <wps:spPr>
                      <a:xfrm>
                        <a:ext cx="1435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62" type="#_x0000_t202" style="position:absolute;margin-left:317.85000000000002pt;margin-top:533.10000000000002pt;width:11.300000000000001pt;height:5.2999999999999998pt;z-index:-18874348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7" behindDoc="1" locked="0" layoutInCell="1" allowOverlap="1">
              <wp:simplePos x="0" y="0"/>
              <wp:positionH relativeFrom="page">
                <wp:posOffset>172085</wp:posOffset>
              </wp:positionH>
              <wp:positionV relativeFrom="page">
                <wp:posOffset>6788150</wp:posOffset>
              </wp:positionV>
              <wp:extent cx="143510" cy="76200"/>
              <wp:wrapNone/>
              <wp:docPr id="738" name="Shape 738"/>
              <a:graphic xmlns:a="http://schemas.openxmlformats.org/drawingml/2006/main">
                <a:graphicData uri="http://schemas.microsoft.com/office/word/2010/wordprocessingShape">
                  <wps:wsp>
                    <wps:cNvSpPr txBox="1"/>
                    <wps:spPr>
                      <a:xfrm>
                        <a:ext cx="14351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64" type="#_x0000_t202" style="position:absolute;margin-left:13.550000000000001pt;margin-top:534.5pt;width:11.300000000000001pt;height:6.pt;z-index:-18874348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1" behindDoc="1" locked="0" layoutInCell="1" allowOverlap="1">
              <wp:simplePos x="0" y="0"/>
              <wp:positionH relativeFrom="page">
                <wp:posOffset>173355</wp:posOffset>
              </wp:positionH>
              <wp:positionV relativeFrom="page">
                <wp:posOffset>6765925</wp:posOffset>
              </wp:positionV>
              <wp:extent cx="146050" cy="82550"/>
              <wp:wrapNone/>
              <wp:docPr id="743" name="Shape 743"/>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69" type="#_x0000_t202" style="position:absolute;margin-left:13.65pt;margin-top:532.75pt;width:11.5pt;height:6.5pt;z-index:-18874348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5" behindDoc="1" locked="0" layoutInCell="1" allowOverlap="1">
              <wp:simplePos x="0" y="0"/>
              <wp:positionH relativeFrom="page">
                <wp:posOffset>173355</wp:posOffset>
              </wp:positionH>
              <wp:positionV relativeFrom="page">
                <wp:posOffset>6765925</wp:posOffset>
              </wp:positionV>
              <wp:extent cx="146050" cy="82550"/>
              <wp:wrapNone/>
              <wp:docPr id="748" name="Shape 748"/>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74" type="#_x0000_t202" style="position:absolute;margin-left:13.65pt;margin-top:532.75pt;width:11.5pt;height:6.5pt;z-index:-18874347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5" behindDoc="1" locked="0" layoutInCell="1" allowOverlap="1">
              <wp:simplePos x="0" y="0"/>
              <wp:positionH relativeFrom="page">
                <wp:posOffset>4033520</wp:posOffset>
              </wp:positionH>
              <wp:positionV relativeFrom="page">
                <wp:posOffset>6770370</wp:posOffset>
              </wp:positionV>
              <wp:extent cx="149225" cy="79375"/>
              <wp:wrapNone/>
              <wp:docPr id="764" name="Shape 764"/>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90" type="#_x0000_t202" style="position:absolute;margin-left:317.60000000000002pt;margin-top:533.10000000000002pt;width:11.75pt;height:6.25pt;z-index:-18874346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9" behindDoc="1" locked="0" layoutInCell="1" allowOverlap="1">
              <wp:simplePos x="0" y="0"/>
              <wp:positionH relativeFrom="page">
                <wp:posOffset>180975</wp:posOffset>
              </wp:positionH>
              <wp:positionV relativeFrom="page">
                <wp:posOffset>6764020</wp:posOffset>
              </wp:positionV>
              <wp:extent cx="149225" cy="82550"/>
              <wp:wrapNone/>
              <wp:docPr id="769" name="Shape 769"/>
              <a:graphic xmlns:a="http://schemas.openxmlformats.org/drawingml/2006/main">
                <a:graphicData uri="http://schemas.microsoft.com/office/word/2010/wordprocessingShape">
                  <wps:wsp>
                    <wps:cNvSpPr txBox="1"/>
                    <wps:spPr>
                      <a:xfrm>
                        <a:ext cx="149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795" type="#_x0000_t202" style="position:absolute;margin-left:14.25pt;margin-top:532.60000000000002pt;width:11.75pt;height:6.5pt;z-index:-18874346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3" behindDoc="1" locked="0" layoutInCell="1" allowOverlap="1">
              <wp:simplePos x="0" y="0"/>
              <wp:positionH relativeFrom="page">
                <wp:posOffset>180975</wp:posOffset>
              </wp:positionH>
              <wp:positionV relativeFrom="page">
                <wp:posOffset>6762750</wp:posOffset>
              </wp:positionV>
              <wp:extent cx="149225" cy="82550"/>
              <wp:wrapNone/>
              <wp:docPr id="774" name="Shape 774"/>
              <a:graphic xmlns:a="http://schemas.openxmlformats.org/drawingml/2006/main">
                <a:graphicData uri="http://schemas.microsoft.com/office/word/2010/wordprocessingShape">
                  <wps:wsp>
                    <wps:cNvSpPr txBox="1"/>
                    <wps:spPr>
                      <a:xfrm>
                        <a:ext cx="149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00" type="#_x0000_t202" style="position:absolute;margin-left:14.25pt;margin-top:532.5pt;width:11.75pt;height:6.5pt;z-index:-18874346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7" behindDoc="1" locked="0" layoutInCell="1" allowOverlap="1">
              <wp:simplePos x="0" y="0"/>
              <wp:positionH relativeFrom="page">
                <wp:posOffset>180975</wp:posOffset>
              </wp:positionH>
              <wp:positionV relativeFrom="page">
                <wp:posOffset>6762750</wp:posOffset>
              </wp:positionV>
              <wp:extent cx="149225" cy="82550"/>
              <wp:wrapNone/>
              <wp:docPr id="779" name="Shape 779"/>
              <a:graphic xmlns:a="http://schemas.openxmlformats.org/drawingml/2006/main">
                <a:graphicData uri="http://schemas.microsoft.com/office/word/2010/wordprocessingShape">
                  <wps:wsp>
                    <wps:cNvSpPr txBox="1"/>
                    <wps:spPr>
                      <a:xfrm>
                        <a:ext cx="149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05" type="#_x0000_t202" style="position:absolute;margin-left:14.25pt;margin-top:532.5pt;width:11.75pt;height:6.5pt;z-index:-18874345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5" behindDoc="1" locked="0" layoutInCell="1" allowOverlap="1">
              <wp:simplePos x="0" y="0"/>
              <wp:positionH relativeFrom="page">
                <wp:posOffset>4035425</wp:posOffset>
              </wp:positionH>
              <wp:positionV relativeFrom="page">
                <wp:posOffset>6765925</wp:posOffset>
              </wp:positionV>
              <wp:extent cx="146050" cy="82550"/>
              <wp:wrapNone/>
              <wp:docPr id="792" name="Shape 792"/>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18" type="#_x0000_t202" style="position:absolute;margin-left:317.75pt;margin-top:532.75pt;width:11.5pt;height:6.5pt;z-index:-18874344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9" behindDoc="1" locked="0" layoutInCell="1" allowOverlap="1">
              <wp:simplePos x="0" y="0"/>
              <wp:positionH relativeFrom="page">
                <wp:posOffset>4035425</wp:posOffset>
              </wp:positionH>
              <wp:positionV relativeFrom="page">
                <wp:posOffset>6765925</wp:posOffset>
              </wp:positionV>
              <wp:extent cx="146050" cy="82550"/>
              <wp:wrapNone/>
              <wp:docPr id="797" name="Shape 797"/>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23" type="#_x0000_t202" style="position:absolute;margin-left:317.75pt;margin-top:532.75pt;width:11.5pt;height:6.5pt;z-index:-18874344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3" behindDoc="1" locked="0" layoutInCell="1" allowOverlap="1">
              <wp:simplePos x="0" y="0"/>
              <wp:positionH relativeFrom="page">
                <wp:posOffset>179705</wp:posOffset>
              </wp:positionH>
              <wp:positionV relativeFrom="page">
                <wp:posOffset>6764020</wp:posOffset>
              </wp:positionV>
              <wp:extent cx="146050" cy="79375"/>
              <wp:wrapNone/>
              <wp:docPr id="802" name="Shape 802"/>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28" type="#_x0000_t202" style="position:absolute;margin-left:14.15pt;margin-top:532.60000000000002pt;width:11.5pt;height:6.25pt;z-index:-18874344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7" behindDoc="1" locked="0" layoutInCell="1" allowOverlap="1">
              <wp:simplePos x="0" y="0"/>
              <wp:positionH relativeFrom="page">
                <wp:posOffset>4056380</wp:posOffset>
              </wp:positionH>
              <wp:positionV relativeFrom="page">
                <wp:posOffset>6767195</wp:posOffset>
              </wp:positionV>
              <wp:extent cx="146050" cy="73025"/>
              <wp:wrapNone/>
              <wp:docPr id="807" name="Shape 807"/>
              <a:graphic xmlns:a="http://schemas.openxmlformats.org/drawingml/2006/main">
                <a:graphicData uri="http://schemas.microsoft.com/office/word/2010/wordprocessingShape">
                  <wps:wsp>
                    <wps:cNvSpPr txBox="1"/>
                    <wps:spPr>
                      <a:xfrm>
                        <a:ext cx="14605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33" type="#_x0000_t202" style="position:absolute;margin-left:319.39999999999998pt;margin-top:532.85000000000002pt;width:11.5pt;height:5.75pt;z-index:-18874343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1" behindDoc="1" locked="0" layoutInCell="1" allowOverlap="1">
              <wp:simplePos x="0" y="0"/>
              <wp:positionH relativeFrom="page">
                <wp:posOffset>4056380</wp:posOffset>
              </wp:positionH>
              <wp:positionV relativeFrom="page">
                <wp:posOffset>6767195</wp:posOffset>
              </wp:positionV>
              <wp:extent cx="146050" cy="73025"/>
              <wp:wrapNone/>
              <wp:docPr id="812" name="Shape 812"/>
              <a:graphic xmlns:a="http://schemas.openxmlformats.org/drawingml/2006/main">
                <a:graphicData uri="http://schemas.microsoft.com/office/word/2010/wordprocessingShape">
                  <wps:wsp>
                    <wps:cNvSpPr txBox="1"/>
                    <wps:spPr>
                      <a:xfrm>
                        <a:ext cx="14605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38" type="#_x0000_t202" style="position:absolute;margin-left:319.39999999999998pt;margin-top:532.85000000000002pt;width:11.5pt;height:5.75pt;z-index:-18874343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5" behindDoc="1" locked="0" layoutInCell="1" allowOverlap="1">
              <wp:simplePos x="0" y="0"/>
              <wp:positionH relativeFrom="page">
                <wp:posOffset>168910</wp:posOffset>
              </wp:positionH>
              <wp:positionV relativeFrom="page">
                <wp:posOffset>6762750</wp:posOffset>
              </wp:positionV>
              <wp:extent cx="146050" cy="82550"/>
              <wp:wrapNone/>
              <wp:docPr id="817" name="Shape 817"/>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43" type="#_x0000_t202" style="position:absolute;margin-left:13.300000000000001pt;margin-top:532.5pt;width:11.5pt;height:6.5pt;z-index:-18874342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7" behindDoc="1" locked="0" layoutInCell="1" allowOverlap="1">
              <wp:simplePos x="0" y="0"/>
              <wp:positionH relativeFrom="page">
                <wp:posOffset>179705</wp:posOffset>
              </wp:positionH>
              <wp:positionV relativeFrom="page">
                <wp:posOffset>6763385</wp:posOffset>
              </wp:positionV>
              <wp:extent cx="149225" cy="82550"/>
              <wp:wrapNone/>
              <wp:docPr id="819" name="Shape 819"/>
              <a:graphic xmlns:a="http://schemas.openxmlformats.org/drawingml/2006/main">
                <a:graphicData uri="http://schemas.microsoft.com/office/word/2010/wordprocessingShape">
                  <wps:wsp>
                    <wps:cNvSpPr txBox="1"/>
                    <wps:spPr>
                      <a:xfrm>
                        <a:ext cx="149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45" type="#_x0000_t202" style="position:absolute;margin-left:14.15pt;margin-top:532.54999999999995pt;width:11.75pt;height:6.5pt;z-index:-18874342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9" behindDoc="1" locked="0" layoutInCell="1" allowOverlap="1">
              <wp:simplePos x="0" y="0"/>
              <wp:positionH relativeFrom="page">
                <wp:posOffset>179705</wp:posOffset>
              </wp:positionH>
              <wp:positionV relativeFrom="page">
                <wp:posOffset>6763385</wp:posOffset>
              </wp:positionV>
              <wp:extent cx="149225" cy="82550"/>
              <wp:wrapNone/>
              <wp:docPr id="821" name="Shape 821"/>
              <a:graphic xmlns:a="http://schemas.openxmlformats.org/drawingml/2006/main">
                <a:graphicData uri="http://schemas.microsoft.com/office/word/2010/wordprocessingShape">
                  <wps:wsp>
                    <wps:cNvSpPr txBox="1"/>
                    <wps:spPr>
                      <a:xfrm>
                        <a:ext cx="149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47" type="#_x0000_t202" style="position:absolute;margin-left:14.15pt;margin-top:532.54999999999995pt;width:11.75pt;height:6.5pt;z-index:-18874342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2" behindDoc="1" locked="0" layoutInCell="1" allowOverlap="1">
              <wp:simplePos x="0" y="0"/>
              <wp:positionH relativeFrom="page">
                <wp:posOffset>4036060</wp:posOffset>
              </wp:positionH>
              <wp:positionV relativeFrom="page">
                <wp:posOffset>6803390</wp:posOffset>
              </wp:positionV>
              <wp:extent cx="149225" cy="33655"/>
              <wp:wrapNone/>
              <wp:docPr id="825" name="Shape 825"/>
              <a:graphic xmlns:a="http://schemas.openxmlformats.org/drawingml/2006/main">
                <a:graphicData uri="http://schemas.microsoft.com/office/word/2010/wordprocessingShape">
                  <wps:wsp>
                    <wps:cNvSpPr txBox="1"/>
                    <wps:spPr>
                      <a:xfrm>
                        <a:ext cx="149225" cy="3365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i </w:t>
                          </w: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in</w:t>
                          </w:r>
                        </w:p>
                      </w:txbxContent>
                    </wps:txbx>
                    <wps:bodyPr wrap="none" lIns="0" tIns="0" rIns="0" bIns="0">
                      <a:spAutoFit/>
                    </wps:bodyPr>
                  </wps:wsp>
                </a:graphicData>
              </a:graphic>
            </wp:anchor>
          </w:drawing>
        </mc:Choice>
        <mc:Fallback>
          <w:pict>
            <v:shape id="_x0000_s1851" type="#_x0000_t202" style="position:absolute;margin-left:317.80000000000001pt;margin-top:535.70000000000005pt;width:11.75pt;height:2.6499999999999999pt;z-index:-1887434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i </w:t>
                    </w: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in</w:t>
                    </w:r>
                  </w:p>
                </w:txbxContent>
              </v:textbox>
              <w10:wrap anchorx="page" anchory="page"/>
            </v:shape>
          </w:pict>
        </mc:Fallback>
      </mc:AlternateContent>
    </w: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4" behindDoc="1" locked="0" layoutInCell="1" allowOverlap="1">
              <wp:simplePos x="0" y="0"/>
              <wp:positionH relativeFrom="page">
                <wp:posOffset>4036060</wp:posOffset>
              </wp:positionH>
              <wp:positionV relativeFrom="page">
                <wp:posOffset>6803390</wp:posOffset>
              </wp:positionV>
              <wp:extent cx="149225" cy="33655"/>
              <wp:wrapNone/>
              <wp:docPr id="827" name="Shape 827"/>
              <a:graphic xmlns:a="http://schemas.openxmlformats.org/drawingml/2006/main">
                <a:graphicData uri="http://schemas.microsoft.com/office/word/2010/wordprocessingShape">
                  <wps:wsp>
                    <wps:cNvSpPr txBox="1"/>
                    <wps:spPr>
                      <a:xfrm>
                        <a:ext cx="149225" cy="3365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i </w:t>
                          </w: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in</w:t>
                          </w:r>
                        </w:p>
                      </w:txbxContent>
                    </wps:txbx>
                    <wps:bodyPr wrap="none" lIns="0" tIns="0" rIns="0" bIns="0">
                      <a:spAutoFit/>
                    </wps:bodyPr>
                  </wps:wsp>
                </a:graphicData>
              </a:graphic>
            </wp:anchor>
          </w:drawing>
        </mc:Choice>
        <mc:Fallback>
          <w:pict>
            <v:shape id="_x0000_s1853" type="#_x0000_t202" style="position:absolute;margin-left:317.80000000000001pt;margin-top:535.70000000000005pt;width:11.75pt;height:2.6499999999999999pt;z-index:-1887434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i </w:t>
                    </w: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in</w:t>
                    </w:r>
                  </w:p>
                </w:txbxContent>
              </v:textbox>
              <w10:wrap anchorx="page" anchory="page"/>
            </v:shape>
          </w:pict>
        </mc:Fallback>
      </mc:AlternateContent>
    </w: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8" behindDoc="1" locked="0" layoutInCell="1" allowOverlap="1">
              <wp:simplePos x="0" y="0"/>
              <wp:positionH relativeFrom="page">
                <wp:posOffset>4049395</wp:posOffset>
              </wp:positionH>
              <wp:positionV relativeFrom="page">
                <wp:posOffset>6803390</wp:posOffset>
              </wp:positionV>
              <wp:extent cx="125095" cy="73025"/>
              <wp:wrapNone/>
              <wp:docPr id="832" name="Shape 832"/>
              <a:graphic xmlns:a="http://schemas.openxmlformats.org/drawingml/2006/main">
                <a:graphicData uri="http://schemas.microsoft.com/office/word/2010/wordprocessingShape">
                  <wps:wsp>
                    <wps:cNvSpPr txBox="1"/>
                    <wps:spPr>
                      <a:xfrm>
                        <a:ext cx="12509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58" type="#_x0000_t202" style="position:absolute;margin-left:318.85000000000002pt;margin-top:535.70000000000005pt;width:9.8499999999999996pt;height:5.75pt;z-index:-1887434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en-US" w:eastAsia="en-US" w:bidi="en-US"/>
                        </w:rPr>
                        <w:t>#</w:t>
                      </w:r>
                    </w:fldSimple>
                  </w:p>
                </w:txbxContent>
              </v:textbox>
              <w10:wrap anchorx="page" anchory="page"/>
            </v:shape>
          </w:pict>
        </mc:Fallback>
      </mc:AlternateContent>
    </w: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2" behindDoc="1" locked="0" layoutInCell="1" allowOverlap="1">
              <wp:simplePos x="0" y="0"/>
              <wp:positionH relativeFrom="page">
                <wp:posOffset>183515</wp:posOffset>
              </wp:positionH>
              <wp:positionV relativeFrom="page">
                <wp:posOffset>6794500</wp:posOffset>
              </wp:positionV>
              <wp:extent cx="146050" cy="82550"/>
              <wp:wrapNone/>
              <wp:docPr id="837" name="Shape 837"/>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63" type="#_x0000_t202" style="position:absolute;margin-left:14.449999999999999pt;margin-top:535.pt;width:11.5pt;height:6.5pt;z-index:-1887434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0" behindDoc="1" locked="0" layoutInCell="1" allowOverlap="1">
              <wp:simplePos x="0" y="0"/>
              <wp:positionH relativeFrom="page">
                <wp:posOffset>4037330</wp:posOffset>
              </wp:positionH>
              <wp:positionV relativeFrom="page">
                <wp:posOffset>6803390</wp:posOffset>
              </wp:positionV>
              <wp:extent cx="152400" cy="76200"/>
              <wp:wrapNone/>
              <wp:docPr id="848" name="Shape 848"/>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1.«</w:t>
                          </w:r>
                        </w:p>
                      </w:txbxContent>
                    </wps:txbx>
                    <wps:bodyPr wrap="none" lIns="0" tIns="0" rIns="0" bIns="0">
                      <a:spAutoFit/>
                    </wps:bodyPr>
                  </wps:wsp>
                </a:graphicData>
              </a:graphic>
            </wp:anchor>
          </w:drawing>
        </mc:Choice>
        <mc:Fallback>
          <w:pict>
            <v:shape id="_x0000_s1874" type="#_x0000_t202" style="position:absolute;margin-left:317.89999999999998pt;margin-top:535.70000000000005pt;width:12.pt;height:6.pt;z-index:-1887434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1.«</w:t>
                    </w:r>
                  </w:p>
                </w:txbxContent>
              </v:textbox>
              <w10:wrap anchorx="page" anchory="page"/>
            </v:shape>
          </w:pict>
        </mc:Fallback>
      </mc:AlternateContent>
    </w: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4" behindDoc="1" locked="0" layoutInCell="1" allowOverlap="1">
              <wp:simplePos x="0" y="0"/>
              <wp:positionH relativeFrom="page">
                <wp:posOffset>4046855</wp:posOffset>
              </wp:positionH>
              <wp:positionV relativeFrom="page">
                <wp:posOffset>6803390</wp:posOffset>
              </wp:positionV>
              <wp:extent cx="140335" cy="67310"/>
              <wp:wrapNone/>
              <wp:docPr id="853" name="Shape 853"/>
              <a:graphic xmlns:a="http://schemas.openxmlformats.org/drawingml/2006/main">
                <a:graphicData uri="http://schemas.microsoft.com/office/word/2010/wordprocessingShape">
                  <wps:wsp>
                    <wps:cNvSpPr txBox="1"/>
                    <wps:spPr>
                      <a:xfrm>
                        <a:ext cx="140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1 35</w:t>
                          </w:r>
                        </w:p>
                      </w:txbxContent>
                    </wps:txbx>
                    <wps:bodyPr wrap="none" lIns="0" tIns="0" rIns="0" bIns="0">
                      <a:spAutoFit/>
                    </wps:bodyPr>
                  </wps:wsp>
                </a:graphicData>
              </a:graphic>
            </wp:anchor>
          </w:drawing>
        </mc:Choice>
        <mc:Fallback>
          <w:pict>
            <v:shape id="_x0000_s1879" type="#_x0000_t202" style="position:absolute;margin-left:318.64999999999998pt;margin-top:535.70000000000005pt;width:11.050000000000001pt;height:5.2999999999999998pt;z-index:-1887433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1 35</w:t>
                    </w:r>
                  </w:p>
                </w:txbxContent>
              </v:textbox>
              <w10:wrap anchorx="page" anchory="page"/>
            </v:shape>
          </w:pict>
        </mc:Fallback>
      </mc:AlternateContent>
    </w: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8" behindDoc="1" locked="0" layoutInCell="1" allowOverlap="1">
              <wp:simplePos x="0" y="0"/>
              <wp:positionH relativeFrom="page">
                <wp:posOffset>4046855</wp:posOffset>
              </wp:positionH>
              <wp:positionV relativeFrom="page">
                <wp:posOffset>6803390</wp:posOffset>
              </wp:positionV>
              <wp:extent cx="140335" cy="67310"/>
              <wp:wrapNone/>
              <wp:docPr id="858" name="Shape 858"/>
              <a:graphic xmlns:a="http://schemas.openxmlformats.org/drawingml/2006/main">
                <a:graphicData uri="http://schemas.microsoft.com/office/word/2010/wordprocessingShape">
                  <wps:wsp>
                    <wps:cNvSpPr txBox="1"/>
                    <wps:spPr>
                      <a:xfrm>
                        <a:ext cx="140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1 35</w:t>
                          </w:r>
                        </w:p>
                      </w:txbxContent>
                    </wps:txbx>
                    <wps:bodyPr wrap="none" lIns="0" tIns="0" rIns="0" bIns="0">
                      <a:spAutoFit/>
                    </wps:bodyPr>
                  </wps:wsp>
                </a:graphicData>
              </a:graphic>
            </wp:anchor>
          </w:drawing>
        </mc:Choice>
        <mc:Fallback>
          <w:pict>
            <v:shape id="_x0000_s1884" type="#_x0000_t202" style="position:absolute;margin-left:318.64999999999998pt;margin-top:535.70000000000005pt;width:11.050000000000001pt;height:5.2999999999999998pt;z-index:-1887433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1 35</w:t>
                    </w:r>
                  </w:p>
                </w:txbxContent>
              </v:textbox>
              <w10:wrap anchorx="page" anchory="page"/>
            </v:shape>
          </w:pict>
        </mc:Fallback>
      </mc:AlternateContent>
    </w: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2" behindDoc="1" locked="0" layoutInCell="1" allowOverlap="1">
              <wp:simplePos x="0" y="0"/>
              <wp:positionH relativeFrom="page">
                <wp:posOffset>4036695</wp:posOffset>
              </wp:positionH>
              <wp:positionV relativeFrom="page">
                <wp:posOffset>6762115</wp:posOffset>
              </wp:positionV>
              <wp:extent cx="149225" cy="73025"/>
              <wp:wrapNone/>
              <wp:docPr id="863" name="Shape 863"/>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89" type="#_x0000_t202" style="position:absolute;margin-left:317.85000000000002pt;margin-top:532.45000000000005pt;width:11.75pt;height:5.75pt;z-index:-1887433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6" behindDoc="1" locked="0" layoutInCell="1" allowOverlap="1">
              <wp:simplePos x="0" y="0"/>
              <wp:positionH relativeFrom="page">
                <wp:posOffset>4036695</wp:posOffset>
              </wp:positionH>
              <wp:positionV relativeFrom="page">
                <wp:posOffset>6762115</wp:posOffset>
              </wp:positionV>
              <wp:extent cx="149225" cy="73025"/>
              <wp:wrapNone/>
              <wp:docPr id="868" name="Shape 868"/>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94" type="#_x0000_t202" style="position:absolute;margin-left:317.85000000000002pt;margin-top:532.45000000000005pt;width:11.75pt;height:5.75pt;z-index:-1887433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8" behindDoc="1" locked="0" layoutInCell="1" allowOverlap="1">
              <wp:simplePos x="0" y="0"/>
              <wp:positionH relativeFrom="page">
                <wp:posOffset>186055</wp:posOffset>
              </wp:positionH>
              <wp:positionV relativeFrom="page">
                <wp:posOffset>6780530</wp:posOffset>
              </wp:positionV>
              <wp:extent cx="146050" cy="79375"/>
              <wp:wrapNone/>
              <wp:docPr id="870" name="Shape 870"/>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896" type="#_x0000_t202" style="position:absolute;margin-left:14.65pt;margin-top:533.89999999999998pt;width:11.5pt;height:6.25pt;z-index:-1887433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2" behindDoc="1" locked="0" layoutInCell="1" allowOverlap="1">
              <wp:simplePos x="0" y="0"/>
              <wp:positionH relativeFrom="page">
                <wp:posOffset>170180</wp:posOffset>
              </wp:positionH>
              <wp:positionV relativeFrom="page">
                <wp:posOffset>6762115</wp:posOffset>
              </wp:positionV>
              <wp:extent cx="146050" cy="79375"/>
              <wp:wrapNone/>
              <wp:docPr id="875" name="Shape 875"/>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01" type="#_x0000_t202" style="position:absolute;margin-left:13.4pt;margin-top:532.45000000000005pt;width:11.5pt;height:6.25pt;z-index:-1887433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6" behindDoc="1" locked="0" layoutInCell="1" allowOverlap="1">
              <wp:simplePos x="0" y="0"/>
              <wp:positionH relativeFrom="page">
                <wp:posOffset>170180</wp:posOffset>
              </wp:positionH>
              <wp:positionV relativeFrom="page">
                <wp:posOffset>6762115</wp:posOffset>
              </wp:positionV>
              <wp:extent cx="146050" cy="79375"/>
              <wp:wrapNone/>
              <wp:docPr id="880" name="Shape 880"/>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06" type="#_x0000_t202" style="position:absolute;margin-left:13.4pt;margin-top:532.45000000000005pt;width:11.5pt;height:6.25pt;z-index:-1887433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0" behindDoc="1" locked="0" layoutInCell="1" allowOverlap="1">
              <wp:simplePos x="0" y="0"/>
              <wp:positionH relativeFrom="page">
                <wp:posOffset>4039235</wp:posOffset>
              </wp:positionH>
              <wp:positionV relativeFrom="page">
                <wp:posOffset>6767830</wp:posOffset>
              </wp:positionV>
              <wp:extent cx="146050" cy="54610"/>
              <wp:wrapNone/>
              <wp:docPr id="885" name="Shape 885"/>
              <a:graphic xmlns:a="http://schemas.openxmlformats.org/drawingml/2006/main">
                <a:graphicData uri="http://schemas.microsoft.com/office/word/2010/wordprocessingShape">
                  <wps:wsp>
                    <wps:cNvSpPr txBox="1"/>
                    <wps:spPr>
                      <a:xfrm>
                        <a:ext cx="1460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i zo</w:t>
                          </w:r>
                        </w:p>
                      </w:txbxContent>
                    </wps:txbx>
                    <wps:bodyPr wrap="none" lIns="0" tIns="0" rIns="0" bIns="0">
                      <a:spAutoFit/>
                    </wps:bodyPr>
                  </wps:wsp>
                </a:graphicData>
              </a:graphic>
            </wp:anchor>
          </w:drawing>
        </mc:Choice>
        <mc:Fallback>
          <w:pict>
            <v:shape id="_x0000_s1911" type="#_x0000_t202" style="position:absolute;margin-left:318.05000000000001pt;margin-top:532.89999999999998pt;width:11.5pt;height:4.2999999999999998pt;z-index:-1887433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i zo</w:t>
                    </w:r>
                  </w:p>
                </w:txbxContent>
              </v:textbox>
              <w10:wrap anchorx="page" anchory="page"/>
            </v:shape>
          </w:pict>
        </mc:Fallback>
      </mc:AlternateContent>
    </w: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4" behindDoc="1" locked="0" layoutInCell="1" allowOverlap="1">
              <wp:simplePos x="0" y="0"/>
              <wp:positionH relativeFrom="page">
                <wp:posOffset>4039235</wp:posOffset>
              </wp:positionH>
              <wp:positionV relativeFrom="page">
                <wp:posOffset>6767830</wp:posOffset>
              </wp:positionV>
              <wp:extent cx="146050" cy="54610"/>
              <wp:wrapNone/>
              <wp:docPr id="890" name="Shape 890"/>
              <a:graphic xmlns:a="http://schemas.openxmlformats.org/drawingml/2006/main">
                <a:graphicData uri="http://schemas.microsoft.com/office/word/2010/wordprocessingShape">
                  <wps:wsp>
                    <wps:cNvSpPr txBox="1"/>
                    <wps:spPr>
                      <a:xfrm>
                        <a:ext cx="1460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i zo</w:t>
                          </w:r>
                        </w:p>
                      </w:txbxContent>
                    </wps:txbx>
                    <wps:bodyPr wrap="none" lIns="0" tIns="0" rIns="0" bIns="0">
                      <a:spAutoFit/>
                    </wps:bodyPr>
                  </wps:wsp>
                </a:graphicData>
              </a:graphic>
            </wp:anchor>
          </w:drawing>
        </mc:Choice>
        <mc:Fallback>
          <w:pict>
            <v:shape id="_x0000_s1916" type="#_x0000_t202" style="position:absolute;margin-left:318.05000000000001pt;margin-top:532.89999999999998pt;width:11.5pt;height:4.2999999999999998pt;z-index:-1887433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i zo</w:t>
                    </w:r>
                  </w:p>
                </w:txbxContent>
              </v:textbox>
              <w10:wrap anchorx="page" anchory="page"/>
            </v:shape>
          </w:pict>
        </mc:Fallback>
      </mc:AlternateContent>
    </w: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8" behindDoc="1" locked="0" layoutInCell="1" allowOverlap="1">
              <wp:simplePos x="0" y="0"/>
              <wp:positionH relativeFrom="page">
                <wp:posOffset>170180</wp:posOffset>
              </wp:positionH>
              <wp:positionV relativeFrom="page">
                <wp:posOffset>6762115</wp:posOffset>
              </wp:positionV>
              <wp:extent cx="146050" cy="79375"/>
              <wp:wrapNone/>
              <wp:docPr id="895" name="Shape 895"/>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21" type="#_x0000_t202" style="position:absolute;margin-left:13.4pt;margin-top:532.45000000000005pt;width:11.5pt;height:6.25pt;z-index:-1887433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2" behindDoc="1" locked="0" layoutInCell="1" allowOverlap="1">
              <wp:simplePos x="0" y="0"/>
              <wp:positionH relativeFrom="page">
                <wp:posOffset>170180</wp:posOffset>
              </wp:positionH>
              <wp:positionV relativeFrom="page">
                <wp:posOffset>6762115</wp:posOffset>
              </wp:positionV>
              <wp:extent cx="146050" cy="79375"/>
              <wp:wrapNone/>
              <wp:docPr id="900" name="Shape 900"/>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26" type="#_x0000_t202" style="position:absolute;margin-left:13.4pt;margin-top:532.45000000000005pt;width:11.5pt;height:6.25pt;z-index:-1887433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0" behindDoc="1" locked="0" layoutInCell="1" allowOverlap="1">
              <wp:simplePos x="0" y="0"/>
              <wp:positionH relativeFrom="page">
                <wp:posOffset>4037965</wp:posOffset>
              </wp:positionH>
              <wp:positionV relativeFrom="page">
                <wp:posOffset>6762115</wp:posOffset>
              </wp:positionV>
              <wp:extent cx="143510" cy="67310"/>
              <wp:wrapNone/>
              <wp:docPr id="913" name="Shape 913"/>
              <a:graphic xmlns:a="http://schemas.openxmlformats.org/drawingml/2006/main">
                <a:graphicData uri="http://schemas.microsoft.com/office/word/2010/wordprocessingShape">
                  <wps:wsp>
                    <wps:cNvSpPr txBox="1"/>
                    <wps:spPr>
                      <a:xfrm>
                        <a:ext cx="1435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39" type="#_x0000_t202" style="position:absolute;margin-left:317.94999999999999pt;margin-top:532.45000000000005pt;width:11.300000000000001pt;height:5.2999999999999998pt;z-index:-1887433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4" behindDoc="1" locked="0" layoutInCell="1" allowOverlap="1">
              <wp:simplePos x="0" y="0"/>
              <wp:positionH relativeFrom="page">
                <wp:posOffset>4037965</wp:posOffset>
              </wp:positionH>
              <wp:positionV relativeFrom="page">
                <wp:posOffset>6762115</wp:posOffset>
              </wp:positionV>
              <wp:extent cx="143510" cy="67310"/>
              <wp:wrapNone/>
              <wp:docPr id="918" name="Shape 918"/>
              <a:graphic xmlns:a="http://schemas.openxmlformats.org/drawingml/2006/main">
                <a:graphicData uri="http://schemas.microsoft.com/office/word/2010/wordprocessingShape">
                  <wps:wsp>
                    <wps:cNvSpPr txBox="1"/>
                    <wps:spPr>
                      <a:xfrm>
                        <a:ext cx="1435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44" type="#_x0000_t202" style="position:absolute;margin-left:317.94999999999999pt;margin-top:532.45000000000005pt;width:11.300000000000001pt;height:5.2999999999999998pt;z-index:-1887433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8" behindDoc="1" locked="0" layoutInCell="1" allowOverlap="1">
              <wp:simplePos x="0" y="0"/>
              <wp:positionH relativeFrom="page">
                <wp:posOffset>173355</wp:posOffset>
              </wp:positionH>
              <wp:positionV relativeFrom="page">
                <wp:posOffset>6762115</wp:posOffset>
              </wp:positionV>
              <wp:extent cx="146050" cy="79375"/>
              <wp:wrapNone/>
              <wp:docPr id="923" name="Shape 923"/>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49" type="#_x0000_t202" style="position:absolute;margin-left:13.65pt;margin-top:532.45000000000005pt;width:11.5pt;height:6.25pt;z-index:-1887433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0" behindDoc="1" locked="0" layoutInCell="1" allowOverlap="1">
              <wp:simplePos x="0" y="0"/>
              <wp:positionH relativeFrom="page">
                <wp:posOffset>4042410</wp:posOffset>
              </wp:positionH>
              <wp:positionV relativeFrom="page">
                <wp:posOffset>6879590</wp:posOffset>
              </wp:positionV>
              <wp:extent cx="137160" cy="67310"/>
              <wp:wrapNone/>
              <wp:docPr id="925" name="Shape 925"/>
              <a:graphic xmlns:a="http://schemas.openxmlformats.org/drawingml/2006/main">
                <a:graphicData uri="http://schemas.microsoft.com/office/word/2010/wordprocessingShape">
                  <wps:wsp>
                    <wps:cNvSpPr txBox="1"/>
                    <wps:spPr>
                      <a:xfrm>
                        <a:ext cx="1371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51" type="#_x0000_t202" style="position:absolute;margin-left:318.30000000000001pt;margin-top:541.70000000000005pt;width:10.800000000000001pt;height:5.2999999999999998pt;z-index:-1887433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2" behindDoc="1" locked="0" layoutInCell="1" allowOverlap="1">
              <wp:simplePos x="0" y="0"/>
              <wp:positionH relativeFrom="page">
                <wp:posOffset>4042410</wp:posOffset>
              </wp:positionH>
              <wp:positionV relativeFrom="page">
                <wp:posOffset>6879590</wp:posOffset>
              </wp:positionV>
              <wp:extent cx="137160" cy="67310"/>
              <wp:wrapNone/>
              <wp:docPr id="927" name="Shape 927"/>
              <a:graphic xmlns:a="http://schemas.openxmlformats.org/drawingml/2006/main">
                <a:graphicData uri="http://schemas.microsoft.com/office/word/2010/wordprocessingShape">
                  <wps:wsp>
                    <wps:cNvSpPr txBox="1"/>
                    <wps:spPr>
                      <a:xfrm>
                        <a:ext cx="1371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53" type="#_x0000_t202" style="position:absolute;margin-left:318.30000000000001pt;margin-top:541.70000000000005pt;width:10.800000000000001pt;height:5.2999999999999998pt;z-index:-1887433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6" behindDoc="1" locked="0" layoutInCell="1" allowOverlap="1">
              <wp:simplePos x="0" y="0"/>
              <wp:positionH relativeFrom="page">
                <wp:posOffset>177800</wp:posOffset>
              </wp:positionH>
              <wp:positionV relativeFrom="page">
                <wp:posOffset>6755765</wp:posOffset>
              </wp:positionV>
              <wp:extent cx="149225" cy="60960"/>
              <wp:wrapNone/>
              <wp:docPr id="932" name="Shape 932"/>
              <a:graphic xmlns:a="http://schemas.openxmlformats.org/drawingml/2006/main">
                <a:graphicData uri="http://schemas.microsoft.com/office/word/2010/wordprocessingShape">
                  <wps:wsp>
                    <wps:cNvSpPr txBox="1"/>
                    <wps:spPr>
                      <a:xfrm>
                        <a:ext cx="14922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58" type="#_x0000_t202" style="position:absolute;margin-left:14.pt;margin-top:531.95000000000005pt;width:11.75pt;height:4.7999999999999998pt;z-index:-1887433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2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0" behindDoc="1" locked="0" layoutInCell="1" allowOverlap="1">
              <wp:simplePos x="0" y="0"/>
              <wp:positionH relativeFrom="page">
                <wp:posOffset>177800</wp:posOffset>
              </wp:positionH>
              <wp:positionV relativeFrom="page">
                <wp:posOffset>6765290</wp:posOffset>
              </wp:positionV>
              <wp:extent cx="149225" cy="79375"/>
              <wp:wrapNone/>
              <wp:docPr id="937" name="Shape 937"/>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63" type="#_x0000_t202" style="position:absolute;margin-left:14.pt;margin-top:532.70000000000005pt;width:11.75pt;height:6.25pt;z-index:-1887433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4" behindDoc="1" locked="0" layoutInCell="1" allowOverlap="1">
              <wp:simplePos x="0" y="0"/>
              <wp:positionH relativeFrom="page">
                <wp:posOffset>177800</wp:posOffset>
              </wp:positionH>
              <wp:positionV relativeFrom="page">
                <wp:posOffset>6765290</wp:posOffset>
              </wp:positionV>
              <wp:extent cx="149225" cy="79375"/>
              <wp:wrapNone/>
              <wp:docPr id="942" name="Shape 942"/>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68" type="#_x0000_t202" style="position:absolute;margin-left:14.pt;margin-top:532.70000000000005pt;width:11.75pt;height:6.25pt;z-index:-1887433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8" behindDoc="1" locked="0" layoutInCell="1" allowOverlap="1">
              <wp:simplePos x="0" y="0"/>
              <wp:positionH relativeFrom="page">
                <wp:posOffset>4039235</wp:posOffset>
              </wp:positionH>
              <wp:positionV relativeFrom="page">
                <wp:posOffset>6766560</wp:posOffset>
              </wp:positionV>
              <wp:extent cx="143510" cy="48895"/>
              <wp:wrapNone/>
              <wp:docPr id="947" name="Shape 947"/>
              <a:graphic xmlns:a="http://schemas.openxmlformats.org/drawingml/2006/main">
                <a:graphicData uri="http://schemas.microsoft.com/office/word/2010/wordprocessingShape">
                  <wps:wsp>
                    <wps:cNvSpPr txBox="1"/>
                    <wps:spPr>
                      <a:xfrm>
                        <a:ext cx="143510" cy="4889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a-.</w:t>
                          </w:r>
                        </w:p>
                      </w:txbxContent>
                    </wps:txbx>
                    <wps:bodyPr wrap="none" lIns="0" tIns="0" rIns="0" bIns="0">
                      <a:spAutoFit/>
                    </wps:bodyPr>
                  </wps:wsp>
                </a:graphicData>
              </a:graphic>
            </wp:anchor>
          </w:drawing>
        </mc:Choice>
        <mc:Fallback>
          <w:pict>
            <v:shape id="_x0000_s1973" type="#_x0000_t202" style="position:absolute;margin-left:318.05000000000001pt;margin-top:532.79999999999995pt;width:11.300000000000001pt;height:3.8500000000000001pt;z-index:-1887433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a-.</w:t>
                    </w:r>
                  </w:p>
                </w:txbxContent>
              </v:textbox>
              <w10:wrap anchorx="page" anchory="page"/>
            </v:shape>
          </w:pict>
        </mc:Fallback>
      </mc:AlternateContent>
    </w:r>
  </w:p>
</w:ftr>
</file>

<file path=word/footer2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2" behindDoc="1" locked="0" layoutInCell="1" allowOverlap="1">
              <wp:simplePos x="0" y="0"/>
              <wp:positionH relativeFrom="page">
                <wp:posOffset>4039235</wp:posOffset>
              </wp:positionH>
              <wp:positionV relativeFrom="page">
                <wp:posOffset>6766560</wp:posOffset>
              </wp:positionV>
              <wp:extent cx="143510" cy="48895"/>
              <wp:wrapNone/>
              <wp:docPr id="952" name="Shape 952"/>
              <a:graphic xmlns:a="http://schemas.openxmlformats.org/drawingml/2006/main">
                <a:graphicData uri="http://schemas.microsoft.com/office/word/2010/wordprocessingShape">
                  <wps:wsp>
                    <wps:cNvSpPr txBox="1"/>
                    <wps:spPr>
                      <a:xfrm>
                        <a:ext cx="143510" cy="4889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a-.</w:t>
                          </w:r>
                        </w:p>
                      </w:txbxContent>
                    </wps:txbx>
                    <wps:bodyPr wrap="none" lIns="0" tIns="0" rIns="0" bIns="0">
                      <a:spAutoFit/>
                    </wps:bodyPr>
                  </wps:wsp>
                </a:graphicData>
              </a:graphic>
            </wp:anchor>
          </w:drawing>
        </mc:Choice>
        <mc:Fallback>
          <w:pict>
            <v:shape id="_x0000_s1978" type="#_x0000_t202" style="position:absolute;margin-left:318.05000000000001pt;margin-top:532.79999999999995pt;width:11.300000000000001pt;height:3.8500000000000001pt;z-index:-1887433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a-.</w:t>
                    </w:r>
                  </w:p>
                </w:txbxContent>
              </v:textbox>
              <w10:wrap anchorx="page" anchory="page"/>
            </v:shape>
          </w:pict>
        </mc:Fallback>
      </mc:AlternateContent>
    </w:r>
  </w:p>
</w:ftr>
</file>

<file path=word/footer2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6" behindDoc="1" locked="0" layoutInCell="1" allowOverlap="1">
              <wp:simplePos x="0" y="0"/>
              <wp:positionH relativeFrom="page">
                <wp:posOffset>177800</wp:posOffset>
              </wp:positionH>
              <wp:positionV relativeFrom="page">
                <wp:posOffset>6765290</wp:posOffset>
              </wp:positionV>
              <wp:extent cx="149225" cy="79375"/>
              <wp:wrapNone/>
              <wp:docPr id="957" name="Shape 957"/>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83" type="#_x0000_t202" style="position:absolute;margin-left:14.pt;margin-top:532.70000000000005pt;width:11.75pt;height:6.25pt;z-index:-1887433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0" behindDoc="1" locked="0" layoutInCell="1" allowOverlap="1">
              <wp:simplePos x="0" y="0"/>
              <wp:positionH relativeFrom="page">
                <wp:posOffset>177800</wp:posOffset>
              </wp:positionH>
              <wp:positionV relativeFrom="page">
                <wp:posOffset>6765290</wp:posOffset>
              </wp:positionV>
              <wp:extent cx="149225" cy="79375"/>
              <wp:wrapNone/>
              <wp:docPr id="962" name="Shape 962"/>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1988" type="#_x0000_t202" style="position:absolute;margin-left:14.pt;margin-top:532.70000000000005pt;width:11.75pt;height:6.25pt;z-index:-1887433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4" behindDoc="1" locked="0" layoutInCell="1" allowOverlap="1">
              <wp:simplePos x="0" y="0"/>
              <wp:positionH relativeFrom="page">
                <wp:posOffset>200660</wp:posOffset>
              </wp:positionH>
              <wp:positionV relativeFrom="page">
                <wp:posOffset>6758940</wp:posOffset>
              </wp:positionV>
              <wp:extent cx="140335" cy="67310"/>
              <wp:wrapNone/>
              <wp:docPr id="967" name="Shape 967"/>
              <a:graphic xmlns:a="http://schemas.openxmlformats.org/drawingml/2006/main">
                <a:graphicData uri="http://schemas.microsoft.com/office/word/2010/wordprocessingShape">
                  <wps:wsp>
                    <wps:cNvSpPr txBox="1"/>
                    <wps:spPr>
                      <a:xfrm>
                        <a:ext cx="140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en-US" w:eastAsia="en-US" w:bidi="en-US"/>
                            </w:rPr>
                            <w:t>ISO</w:t>
                          </w:r>
                        </w:p>
                      </w:txbxContent>
                    </wps:txbx>
                    <wps:bodyPr wrap="none" lIns="0" tIns="0" rIns="0" bIns="0">
                      <a:spAutoFit/>
                    </wps:bodyPr>
                  </wps:wsp>
                </a:graphicData>
              </a:graphic>
            </wp:anchor>
          </w:drawing>
        </mc:Choice>
        <mc:Fallback>
          <w:pict>
            <v:shape id="_x0000_s1993" type="#_x0000_t202" style="position:absolute;margin-left:15.800000000000001pt;margin-top:532.20000000000005pt;width:11.050000000000001pt;height:5.2999999999999998pt;z-index:-1887433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en-US" w:eastAsia="en-US" w:bidi="en-US"/>
                      </w:rPr>
                      <w:t>ISO</w:t>
                    </w:r>
                  </w:p>
                </w:txbxContent>
              </v:textbox>
              <w10:wrap anchorx="page" anchory="page"/>
            </v:shape>
          </w:pict>
        </mc:Fallback>
      </mc:AlternateContent>
    </w:r>
  </w:p>
</w:ftr>
</file>

<file path=word/footer2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8" behindDoc="1" locked="0" layoutInCell="1" allowOverlap="1">
              <wp:simplePos x="0" y="0"/>
              <wp:positionH relativeFrom="page">
                <wp:posOffset>200660</wp:posOffset>
              </wp:positionH>
              <wp:positionV relativeFrom="page">
                <wp:posOffset>6758940</wp:posOffset>
              </wp:positionV>
              <wp:extent cx="140335" cy="67310"/>
              <wp:wrapNone/>
              <wp:docPr id="972" name="Shape 972"/>
              <a:graphic xmlns:a="http://schemas.openxmlformats.org/drawingml/2006/main">
                <a:graphicData uri="http://schemas.microsoft.com/office/word/2010/wordprocessingShape">
                  <wps:wsp>
                    <wps:cNvSpPr txBox="1"/>
                    <wps:spPr>
                      <a:xfrm>
                        <a:ext cx="140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en-US" w:eastAsia="en-US" w:bidi="en-US"/>
                            </w:rPr>
                            <w:t>ISO</w:t>
                          </w:r>
                        </w:p>
                      </w:txbxContent>
                    </wps:txbx>
                    <wps:bodyPr wrap="none" lIns="0" tIns="0" rIns="0" bIns="0">
                      <a:spAutoFit/>
                    </wps:bodyPr>
                  </wps:wsp>
                </a:graphicData>
              </a:graphic>
            </wp:anchor>
          </w:drawing>
        </mc:Choice>
        <mc:Fallback>
          <w:pict>
            <v:shape id="_x0000_s1998" type="#_x0000_t202" style="position:absolute;margin-left:15.800000000000001pt;margin-top:532.20000000000005pt;width:11.050000000000001pt;height:5.2999999999999998pt;z-index:-1887433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en-US" w:eastAsia="en-US" w:bidi="en-US"/>
                      </w:rPr>
                      <w:t>ISO</w:t>
                    </w:r>
                  </w:p>
                </w:txbxContent>
              </v:textbox>
              <w10:wrap anchorx="page" anchory="page"/>
            </v:shape>
          </w:pict>
        </mc:Fallback>
      </mc:AlternateContent>
    </w:r>
  </w:p>
</w:ftr>
</file>

<file path=word/footer2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2" behindDoc="1" locked="0" layoutInCell="1" allowOverlap="1">
              <wp:simplePos x="0" y="0"/>
              <wp:positionH relativeFrom="page">
                <wp:posOffset>4044315</wp:posOffset>
              </wp:positionH>
              <wp:positionV relativeFrom="page">
                <wp:posOffset>6765290</wp:posOffset>
              </wp:positionV>
              <wp:extent cx="137160" cy="36830"/>
              <wp:wrapNone/>
              <wp:docPr id="977" name="Shape 977"/>
              <a:graphic xmlns:a="http://schemas.openxmlformats.org/drawingml/2006/main">
                <a:graphicData uri="http://schemas.microsoft.com/office/word/2010/wordprocessingShape">
                  <wps:wsp>
                    <wps:cNvSpPr txBox="1"/>
                    <wps:spPr>
                      <a:xfrm>
                        <a:ext cx="137160" cy="3683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I 4 &lt;1</w:t>
                          </w:r>
                        </w:p>
                      </w:txbxContent>
                    </wps:txbx>
                    <wps:bodyPr wrap="none" lIns="0" tIns="0" rIns="0" bIns="0">
                      <a:spAutoFit/>
                    </wps:bodyPr>
                  </wps:wsp>
                </a:graphicData>
              </a:graphic>
            </wp:anchor>
          </w:drawing>
        </mc:Choice>
        <mc:Fallback>
          <w:pict>
            <v:shape id="_x0000_s2003" type="#_x0000_t202" style="position:absolute;margin-left:318.44999999999999pt;margin-top:532.70000000000005pt;width:10.800000000000001pt;height:2.8999999999999999pt;z-index:-1887433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I 4 &lt;1</w:t>
                    </w:r>
                  </w:p>
                </w:txbxContent>
              </v:textbox>
              <w10:wrap anchorx="page" anchory="page"/>
            </v:shape>
          </w:pict>
        </mc:Fallback>
      </mc:AlternateContent>
    </w:r>
  </w:p>
</w:ftr>
</file>

<file path=word/footer2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4" behindDoc="1" locked="0" layoutInCell="1" allowOverlap="1">
              <wp:simplePos x="0" y="0"/>
              <wp:positionH relativeFrom="page">
                <wp:posOffset>4040505</wp:posOffset>
              </wp:positionH>
              <wp:positionV relativeFrom="page">
                <wp:posOffset>6812280</wp:posOffset>
              </wp:positionV>
              <wp:extent cx="128270" cy="36830"/>
              <wp:wrapNone/>
              <wp:docPr id="979" name="Shape 979"/>
              <a:graphic xmlns:a="http://schemas.openxmlformats.org/drawingml/2006/main">
                <a:graphicData uri="http://schemas.microsoft.com/office/word/2010/wordprocessingShape">
                  <wps:wsp>
                    <wps:cNvSpPr txBox="1"/>
                    <wps:spPr>
                      <a:xfrm>
                        <a:ext cx="128270" cy="3683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 xml:space="preserve">1 </w:t>
                          </w:r>
                          <w:r>
                            <w:rPr>
                              <w:b/>
                              <w:bCs/>
                              <w:i/>
                              <w:iCs/>
                              <w:color w:val="000000"/>
                              <w:spacing w:val="0"/>
                              <w:w w:val="100"/>
                              <w:position w:val="0"/>
                              <w:sz w:val="9"/>
                              <w:szCs w:val="9"/>
                              <w:shd w:val="clear" w:color="auto" w:fill="auto"/>
                              <w:lang w:val="hr-HR" w:eastAsia="hr-HR" w:bidi="hr-HR"/>
                            </w:rPr>
                            <w:t>C</w:t>
                          </w:r>
                          <w:r>
                            <w:rPr>
                              <w:color w:val="000000"/>
                              <w:spacing w:val="0"/>
                              <w:w w:val="100"/>
                              <w:position w:val="0"/>
                              <w:sz w:val="12"/>
                              <w:szCs w:val="12"/>
                              <w:shd w:val="clear" w:color="auto" w:fill="auto"/>
                              <w:lang w:val="hr-HR" w:eastAsia="hr-HR" w:bidi="hr-HR"/>
                            </w:rPr>
                            <w:t xml:space="preserve"> 1</w:t>
                          </w:r>
                        </w:p>
                      </w:txbxContent>
                    </wps:txbx>
                    <wps:bodyPr wrap="none" lIns="0" tIns="0" rIns="0" bIns="0">
                      <a:spAutoFit/>
                    </wps:bodyPr>
                  </wps:wsp>
                </a:graphicData>
              </a:graphic>
            </wp:anchor>
          </w:drawing>
        </mc:Choice>
        <mc:Fallback>
          <w:pict>
            <v:shape id="_x0000_s2005" type="#_x0000_t202" style="position:absolute;margin-left:318.14999999999998pt;margin-top:536.39999999999998pt;width:10.1pt;height:2.8999999999999999pt;z-index:-1887432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 xml:space="preserve">1 </w:t>
                    </w:r>
                    <w:r>
                      <w:rPr>
                        <w:b/>
                        <w:bCs/>
                        <w:i/>
                        <w:iCs/>
                        <w:color w:val="000000"/>
                        <w:spacing w:val="0"/>
                        <w:w w:val="100"/>
                        <w:position w:val="0"/>
                        <w:sz w:val="9"/>
                        <w:szCs w:val="9"/>
                        <w:shd w:val="clear" w:color="auto" w:fill="auto"/>
                        <w:lang w:val="hr-HR" w:eastAsia="hr-HR" w:bidi="hr-HR"/>
                      </w:rPr>
                      <w:t>C</w:t>
                    </w:r>
                    <w:r>
                      <w:rPr>
                        <w:color w:val="000000"/>
                        <w:spacing w:val="0"/>
                        <w:w w:val="100"/>
                        <w:position w:val="0"/>
                        <w:sz w:val="12"/>
                        <w:szCs w:val="12"/>
                        <w:shd w:val="clear" w:color="auto" w:fill="auto"/>
                        <w:lang w:val="hr-HR" w:eastAsia="hr-HR" w:bidi="hr-HR"/>
                      </w:rPr>
                      <w:t xml:space="preserve"> 1</w:t>
                    </w:r>
                  </w:p>
                </w:txbxContent>
              </v:textbox>
              <w10:wrap anchorx="page" anchory="page"/>
            </v:shape>
          </w:pict>
        </mc:Fallback>
      </mc:AlternateContent>
    </w:r>
  </w:p>
</w:ftr>
</file>

<file path=word/footer2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6" behindDoc="1" locked="0" layoutInCell="1" allowOverlap="1">
              <wp:simplePos x="0" y="0"/>
              <wp:positionH relativeFrom="page">
                <wp:posOffset>4040505</wp:posOffset>
              </wp:positionH>
              <wp:positionV relativeFrom="page">
                <wp:posOffset>6812280</wp:posOffset>
              </wp:positionV>
              <wp:extent cx="128270" cy="36830"/>
              <wp:wrapNone/>
              <wp:docPr id="981" name="Shape 981"/>
              <a:graphic xmlns:a="http://schemas.openxmlformats.org/drawingml/2006/main">
                <a:graphicData uri="http://schemas.microsoft.com/office/word/2010/wordprocessingShape">
                  <wps:wsp>
                    <wps:cNvSpPr txBox="1"/>
                    <wps:spPr>
                      <a:xfrm>
                        <a:ext cx="128270" cy="3683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 xml:space="preserve">1 </w:t>
                          </w:r>
                          <w:r>
                            <w:rPr>
                              <w:b/>
                              <w:bCs/>
                              <w:i/>
                              <w:iCs/>
                              <w:color w:val="000000"/>
                              <w:spacing w:val="0"/>
                              <w:w w:val="100"/>
                              <w:position w:val="0"/>
                              <w:sz w:val="9"/>
                              <w:szCs w:val="9"/>
                              <w:shd w:val="clear" w:color="auto" w:fill="auto"/>
                              <w:lang w:val="hr-HR" w:eastAsia="hr-HR" w:bidi="hr-HR"/>
                            </w:rPr>
                            <w:t>C</w:t>
                          </w:r>
                          <w:r>
                            <w:rPr>
                              <w:color w:val="000000"/>
                              <w:spacing w:val="0"/>
                              <w:w w:val="100"/>
                              <w:position w:val="0"/>
                              <w:sz w:val="12"/>
                              <w:szCs w:val="12"/>
                              <w:shd w:val="clear" w:color="auto" w:fill="auto"/>
                              <w:lang w:val="hr-HR" w:eastAsia="hr-HR" w:bidi="hr-HR"/>
                            </w:rPr>
                            <w:t xml:space="preserve"> 1</w:t>
                          </w:r>
                        </w:p>
                      </w:txbxContent>
                    </wps:txbx>
                    <wps:bodyPr wrap="none" lIns="0" tIns="0" rIns="0" bIns="0">
                      <a:spAutoFit/>
                    </wps:bodyPr>
                  </wps:wsp>
                </a:graphicData>
              </a:graphic>
            </wp:anchor>
          </w:drawing>
        </mc:Choice>
        <mc:Fallback>
          <w:pict>
            <v:shape id="_x0000_s2007" type="#_x0000_t202" style="position:absolute;margin-left:318.14999999999998pt;margin-top:536.39999999999998pt;width:10.1pt;height:2.8999999999999999pt;z-index:-1887432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 xml:space="preserve">1 </w:t>
                    </w:r>
                    <w:r>
                      <w:rPr>
                        <w:b/>
                        <w:bCs/>
                        <w:i/>
                        <w:iCs/>
                        <w:color w:val="000000"/>
                        <w:spacing w:val="0"/>
                        <w:w w:val="100"/>
                        <w:position w:val="0"/>
                        <w:sz w:val="9"/>
                        <w:szCs w:val="9"/>
                        <w:shd w:val="clear" w:color="auto" w:fill="auto"/>
                        <w:lang w:val="hr-HR" w:eastAsia="hr-HR" w:bidi="hr-HR"/>
                      </w:rPr>
                      <w:t>C</w:t>
                    </w:r>
                    <w:r>
                      <w:rPr>
                        <w:color w:val="000000"/>
                        <w:spacing w:val="0"/>
                        <w:w w:val="100"/>
                        <w:position w:val="0"/>
                        <w:sz w:val="12"/>
                        <w:szCs w:val="12"/>
                        <w:shd w:val="clear" w:color="auto" w:fill="auto"/>
                        <w:lang w:val="hr-HR" w:eastAsia="hr-HR" w:bidi="hr-HR"/>
                      </w:rPr>
                      <w:t xml:space="preserve"> 1</w:t>
                    </w:r>
                  </w:p>
                </w:txbxContent>
              </v:textbox>
              <w10:wrap anchorx="page" anchory="page"/>
            </v:shape>
          </w:pict>
        </mc:Fallback>
      </mc:AlternateContent>
    </w:r>
  </w:p>
</w:ftr>
</file>

<file path=word/footer2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0" behindDoc="1" locked="0" layoutInCell="1" allowOverlap="1">
              <wp:simplePos x="0" y="0"/>
              <wp:positionH relativeFrom="page">
                <wp:posOffset>186690</wp:posOffset>
              </wp:positionH>
              <wp:positionV relativeFrom="page">
                <wp:posOffset>6821170</wp:posOffset>
              </wp:positionV>
              <wp:extent cx="143510" cy="69850"/>
              <wp:wrapNone/>
              <wp:docPr id="986" name="Shape 986"/>
              <a:graphic xmlns:a="http://schemas.openxmlformats.org/drawingml/2006/main">
                <a:graphicData uri="http://schemas.microsoft.com/office/word/2010/wordprocessingShape">
                  <wps:wsp>
                    <wps:cNvSpPr txBox="1"/>
                    <wps:spPr>
                      <a:xfrm>
                        <a:ext cx="14351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12" type="#_x0000_t202" style="position:absolute;margin-left:14.699999999999999pt;margin-top:537.10000000000002pt;width:11.300000000000001pt;height:5.5pt;z-index:-1887432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4" behindDoc="1" locked="0" layoutInCell="1" allowOverlap="1">
              <wp:simplePos x="0" y="0"/>
              <wp:positionH relativeFrom="page">
                <wp:posOffset>186690</wp:posOffset>
              </wp:positionH>
              <wp:positionV relativeFrom="page">
                <wp:posOffset>6821170</wp:posOffset>
              </wp:positionV>
              <wp:extent cx="143510" cy="69850"/>
              <wp:wrapNone/>
              <wp:docPr id="991" name="Shape 991"/>
              <a:graphic xmlns:a="http://schemas.openxmlformats.org/drawingml/2006/main">
                <a:graphicData uri="http://schemas.microsoft.com/office/word/2010/wordprocessingShape">
                  <wps:wsp>
                    <wps:cNvSpPr txBox="1"/>
                    <wps:spPr>
                      <a:xfrm>
                        <a:ext cx="14351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17" type="#_x0000_t202" style="position:absolute;margin-left:14.699999999999999pt;margin-top:537.10000000000002pt;width:11.300000000000001pt;height:5.5pt;z-index:-1887432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2" behindDoc="1" locked="0" layoutInCell="1" allowOverlap="1">
              <wp:simplePos x="0" y="0"/>
              <wp:positionH relativeFrom="page">
                <wp:posOffset>175895</wp:posOffset>
              </wp:positionH>
              <wp:positionV relativeFrom="page">
                <wp:posOffset>6805930</wp:posOffset>
              </wp:positionV>
              <wp:extent cx="137160" cy="57785"/>
              <wp:wrapNone/>
              <wp:docPr id="1002" name="Shape 1002"/>
              <a:graphic xmlns:a="http://schemas.openxmlformats.org/drawingml/2006/main">
                <a:graphicData uri="http://schemas.microsoft.com/office/word/2010/wordprocessingShape">
                  <wps:wsp>
                    <wps:cNvSpPr txBox="1"/>
                    <wps:spPr>
                      <a:xfrm>
                        <a:ext cx="137160"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28" type="#_x0000_t202" style="position:absolute;margin-left:13.85pt;margin-top:535.89999999999998pt;width:10.800000000000001pt;height:4.5499999999999998pt;z-index:-1887432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2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6" behindDoc="1" locked="0" layoutInCell="1" allowOverlap="1">
              <wp:simplePos x="0" y="0"/>
              <wp:positionH relativeFrom="page">
                <wp:posOffset>175895</wp:posOffset>
              </wp:positionH>
              <wp:positionV relativeFrom="page">
                <wp:posOffset>6805930</wp:posOffset>
              </wp:positionV>
              <wp:extent cx="137160" cy="57785"/>
              <wp:wrapNone/>
              <wp:docPr id="1007" name="Shape 1007"/>
              <a:graphic xmlns:a="http://schemas.openxmlformats.org/drawingml/2006/main">
                <a:graphicData uri="http://schemas.microsoft.com/office/word/2010/wordprocessingShape">
                  <wps:wsp>
                    <wps:cNvSpPr txBox="1"/>
                    <wps:spPr>
                      <a:xfrm>
                        <a:ext cx="137160"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33" type="#_x0000_t202" style="position:absolute;margin-left:13.85pt;margin-top:535.89999999999998pt;width:10.800000000000001pt;height:4.5499999999999998pt;z-index:-1887432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2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0" behindDoc="1" locked="0" layoutInCell="1" allowOverlap="1">
              <wp:simplePos x="0" y="0"/>
              <wp:positionH relativeFrom="page">
                <wp:posOffset>4043680</wp:posOffset>
              </wp:positionH>
              <wp:positionV relativeFrom="page">
                <wp:posOffset>6817995</wp:posOffset>
              </wp:positionV>
              <wp:extent cx="146050" cy="42545"/>
              <wp:wrapNone/>
              <wp:docPr id="1012" name="Shape 1012"/>
              <a:graphic xmlns:a="http://schemas.openxmlformats.org/drawingml/2006/main">
                <a:graphicData uri="http://schemas.microsoft.com/office/word/2010/wordprocessingShape">
                  <wps:wsp>
                    <wps:cNvSpPr txBox="1"/>
                    <wps:spPr>
                      <a:xfrm>
                        <a:ext cx="146050" cy="4254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1 C-7</w:t>
                          </w:r>
                        </w:p>
                      </w:txbxContent>
                    </wps:txbx>
                    <wps:bodyPr wrap="none" lIns="0" tIns="0" rIns="0" bIns="0">
                      <a:spAutoFit/>
                    </wps:bodyPr>
                  </wps:wsp>
                </a:graphicData>
              </a:graphic>
            </wp:anchor>
          </w:drawing>
        </mc:Choice>
        <mc:Fallback>
          <w:pict>
            <v:shape id="_x0000_s2038" type="#_x0000_t202" style="position:absolute;margin-left:318.39999999999998pt;margin-top:536.85000000000002pt;width:11.5pt;height:3.3500000000000001pt;z-index:-1887432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1 C-7</w:t>
                    </w:r>
                  </w:p>
                </w:txbxContent>
              </v:textbox>
              <w10:wrap anchorx="page" anchory="page"/>
            </v:shape>
          </w:pict>
        </mc:Fallback>
      </mc:AlternateContent>
    </w:r>
  </w:p>
</w:ftr>
</file>

<file path=word/footer2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6" behindDoc="1" locked="0" layoutInCell="1" allowOverlap="1">
              <wp:simplePos x="0" y="0"/>
              <wp:positionH relativeFrom="page">
                <wp:posOffset>4043680</wp:posOffset>
              </wp:positionH>
              <wp:positionV relativeFrom="page">
                <wp:posOffset>6821170</wp:posOffset>
              </wp:positionV>
              <wp:extent cx="18415" cy="52070"/>
              <wp:wrapNone/>
              <wp:docPr id="1020" name="Shape 1020"/>
              <a:graphic xmlns:a="http://schemas.openxmlformats.org/drawingml/2006/main">
                <a:graphicData uri="http://schemas.microsoft.com/office/word/2010/wordprocessingShape">
                  <wps:wsp>
                    <wps:cNvSpPr txBox="1"/>
                    <wps:spPr>
                      <a:xfrm>
                        <a:ext cx="18415" cy="520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w:t>
                          </w:r>
                        </w:p>
                      </w:txbxContent>
                    </wps:txbx>
                    <wps:bodyPr wrap="none" lIns="0" tIns="0" rIns="0" bIns="0">
                      <a:spAutoFit/>
                    </wps:bodyPr>
                  </wps:wsp>
                </a:graphicData>
              </a:graphic>
            </wp:anchor>
          </w:drawing>
        </mc:Choice>
        <mc:Fallback>
          <w:pict>
            <v:shape id="_x0000_s2046" type="#_x0000_t202" style="position:absolute;margin-left:318.39999999999998pt;margin-top:537.10000000000002pt;width:1.45pt;height:4.0999999999999996pt;z-index:-1887432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w:t>
                    </w:r>
                  </w:p>
                </w:txbxContent>
              </v:textbox>
              <w10:wrap anchorx="page" anchory="page"/>
            </v:shape>
          </w:pict>
        </mc:Fallback>
      </mc:AlternateContent>
    </w:r>
  </w:p>
</w:ftr>
</file>

<file path=word/footer2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4" behindDoc="1" locked="0" layoutInCell="1" allowOverlap="1">
              <wp:simplePos x="0" y="0"/>
              <wp:positionH relativeFrom="page">
                <wp:posOffset>4039235</wp:posOffset>
              </wp:positionH>
              <wp:positionV relativeFrom="page">
                <wp:posOffset>6798945</wp:posOffset>
              </wp:positionV>
              <wp:extent cx="125095" cy="67310"/>
              <wp:wrapNone/>
              <wp:docPr id="1031" name="Shape 1031"/>
              <a:graphic xmlns:a="http://schemas.openxmlformats.org/drawingml/2006/main">
                <a:graphicData uri="http://schemas.microsoft.com/office/word/2010/wordprocessingShape">
                  <wps:wsp>
                    <wps:cNvSpPr txBox="1"/>
                    <wps:spPr>
                      <a:xfrm>
                        <a:ext cx="12509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57" type="#_x0000_t202" style="position:absolute;margin-left:318.05000000000001pt;margin-top:535.35000000000002pt;width:9.8499999999999996pt;height:5.2999999999999998pt;z-index:-1887432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8" behindDoc="1" locked="0" layoutInCell="1" allowOverlap="1">
              <wp:simplePos x="0" y="0"/>
              <wp:positionH relativeFrom="page">
                <wp:posOffset>4039235</wp:posOffset>
              </wp:positionH>
              <wp:positionV relativeFrom="page">
                <wp:posOffset>6798945</wp:posOffset>
              </wp:positionV>
              <wp:extent cx="125095" cy="67310"/>
              <wp:wrapNone/>
              <wp:docPr id="1036" name="Shape 1036"/>
              <a:graphic xmlns:a="http://schemas.openxmlformats.org/drawingml/2006/main">
                <a:graphicData uri="http://schemas.microsoft.com/office/word/2010/wordprocessingShape">
                  <wps:wsp>
                    <wps:cNvSpPr txBox="1"/>
                    <wps:spPr>
                      <a:xfrm>
                        <a:ext cx="12509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62" type="#_x0000_t202" style="position:absolute;margin-left:318.05000000000001pt;margin-top:535.35000000000002pt;width:9.8499999999999996pt;height:5.2999999999999998pt;z-index:-1887432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0" behindDoc="1" locked="0" layoutInCell="1" allowOverlap="1">
              <wp:simplePos x="0" y="0"/>
              <wp:positionH relativeFrom="page">
                <wp:posOffset>171450</wp:posOffset>
              </wp:positionH>
              <wp:positionV relativeFrom="page">
                <wp:posOffset>6820535</wp:posOffset>
              </wp:positionV>
              <wp:extent cx="149225" cy="73025"/>
              <wp:wrapNone/>
              <wp:docPr id="1038" name="Shape 1038"/>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64" type="#_x0000_t202" style="position:absolute;margin-left:13.5pt;margin-top:537.04999999999995pt;width:11.75pt;height:5.75pt;z-index:-1887432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4" behindDoc="1" locked="0" layoutInCell="1" allowOverlap="1">
              <wp:simplePos x="0" y="0"/>
              <wp:positionH relativeFrom="page">
                <wp:posOffset>4043680</wp:posOffset>
              </wp:positionH>
              <wp:positionV relativeFrom="page">
                <wp:posOffset>6786880</wp:posOffset>
              </wp:positionV>
              <wp:extent cx="143510" cy="73025"/>
              <wp:wrapNone/>
              <wp:docPr id="1043" name="Shape 1043"/>
              <a:graphic xmlns:a="http://schemas.openxmlformats.org/drawingml/2006/main">
                <a:graphicData uri="http://schemas.microsoft.com/office/word/2010/wordprocessingShape">
                  <wps:wsp>
                    <wps:cNvSpPr txBox="1"/>
                    <wps:spPr>
                      <a:xfrm>
                        <a:ext cx="14351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69" type="#_x0000_t202" style="position:absolute;margin-left:318.39999999999998pt;margin-top:534.39999999999998pt;width:11.300000000000001pt;height:5.75pt;z-index:-1887432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8" behindDoc="1" locked="0" layoutInCell="1" allowOverlap="1">
              <wp:simplePos x="0" y="0"/>
              <wp:positionH relativeFrom="page">
                <wp:posOffset>4043680</wp:posOffset>
              </wp:positionH>
              <wp:positionV relativeFrom="page">
                <wp:posOffset>6786880</wp:posOffset>
              </wp:positionV>
              <wp:extent cx="143510" cy="73025"/>
              <wp:wrapNone/>
              <wp:docPr id="1048" name="Shape 1048"/>
              <a:graphic xmlns:a="http://schemas.openxmlformats.org/drawingml/2006/main">
                <a:graphicData uri="http://schemas.microsoft.com/office/word/2010/wordprocessingShape">
                  <wps:wsp>
                    <wps:cNvSpPr txBox="1"/>
                    <wps:spPr>
                      <a:xfrm>
                        <a:ext cx="14351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74" type="#_x0000_t202" style="position:absolute;margin-left:318.39999999999998pt;margin-top:534.39999999999998pt;width:11.300000000000001pt;height:5.75pt;z-index:-1887432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2" behindDoc="1" locked="0" layoutInCell="1" allowOverlap="1">
              <wp:simplePos x="0" y="0"/>
              <wp:positionH relativeFrom="page">
                <wp:posOffset>174625</wp:posOffset>
              </wp:positionH>
              <wp:positionV relativeFrom="page">
                <wp:posOffset>6786880</wp:posOffset>
              </wp:positionV>
              <wp:extent cx="146050" cy="67310"/>
              <wp:wrapNone/>
              <wp:docPr id="1053" name="Shape 1053"/>
              <a:graphic xmlns:a="http://schemas.openxmlformats.org/drawingml/2006/main">
                <a:graphicData uri="http://schemas.microsoft.com/office/word/2010/wordprocessingShape">
                  <wps:wsp>
                    <wps:cNvSpPr txBox="1"/>
                    <wps:spPr>
                      <a:xfrm>
                        <a:ext cx="1460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79" type="#_x0000_t202" style="position:absolute;margin-left:13.75pt;margin-top:534.39999999999998pt;width:11.5pt;height:5.2999999999999998pt;z-index:-1887432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6" behindDoc="1" locked="0" layoutInCell="1" allowOverlap="1">
              <wp:simplePos x="0" y="0"/>
              <wp:positionH relativeFrom="page">
                <wp:posOffset>177800</wp:posOffset>
              </wp:positionH>
              <wp:positionV relativeFrom="page">
                <wp:posOffset>6780530</wp:posOffset>
              </wp:positionV>
              <wp:extent cx="140335" cy="73025"/>
              <wp:wrapNone/>
              <wp:docPr id="1058" name="Shape 1058"/>
              <a:graphic xmlns:a="http://schemas.openxmlformats.org/drawingml/2006/main">
                <a:graphicData uri="http://schemas.microsoft.com/office/word/2010/wordprocessingShape">
                  <wps:wsp>
                    <wps:cNvSpPr txBox="1"/>
                    <wps:spPr>
                      <a:xfrm>
                        <a:ext cx="14033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84" type="#_x0000_t202" style="position:absolute;margin-left:14.pt;margin-top:533.89999999999998pt;width:11.050000000000001pt;height:5.75pt;z-index:-1887432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0" behindDoc="1" locked="0" layoutInCell="1" allowOverlap="1">
              <wp:simplePos x="0" y="0"/>
              <wp:positionH relativeFrom="page">
                <wp:posOffset>177800</wp:posOffset>
              </wp:positionH>
              <wp:positionV relativeFrom="page">
                <wp:posOffset>6780530</wp:posOffset>
              </wp:positionV>
              <wp:extent cx="140335" cy="73025"/>
              <wp:wrapNone/>
              <wp:docPr id="1063" name="Shape 1063"/>
              <a:graphic xmlns:a="http://schemas.openxmlformats.org/drawingml/2006/main">
                <a:graphicData uri="http://schemas.microsoft.com/office/word/2010/wordprocessingShape">
                  <wps:wsp>
                    <wps:cNvSpPr txBox="1"/>
                    <wps:spPr>
                      <a:xfrm>
                        <a:ext cx="14033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089" type="#_x0000_t202" style="position:absolute;margin-left:14.pt;margin-top:533.89999999999998pt;width:11.050000000000001pt;height:5.75pt;z-index:-1887432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4" behindDoc="1" locked="0" layoutInCell="1" allowOverlap="1">
              <wp:simplePos x="0" y="0"/>
              <wp:positionH relativeFrom="page">
                <wp:posOffset>185420</wp:posOffset>
              </wp:positionH>
              <wp:positionV relativeFrom="page">
                <wp:posOffset>6847840</wp:posOffset>
              </wp:positionV>
              <wp:extent cx="133985" cy="42545"/>
              <wp:wrapNone/>
              <wp:docPr id="1068" name="Shape 1068"/>
              <a:graphic xmlns:a="http://schemas.openxmlformats.org/drawingml/2006/main">
                <a:graphicData uri="http://schemas.microsoft.com/office/word/2010/wordprocessingShape">
                  <wps:wsp>
                    <wps:cNvSpPr txBox="1"/>
                    <wps:spPr>
                      <a:xfrm>
                        <a:ext cx="133985" cy="4254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&lt;z</w:t>
                          </w:r>
                        </w:p>
                      </w:txbxContent>
                    </wps:txbx>
                    <wps:bodyPr wrap="none" lIns="0" tIns="0" rIns="0" bIns="0">
                      <a:spAutoFit/>
                    </wps:bodyPr>
                  </wps:wsp>
                </a:graphicData>
              </a:graphic>
            </wp:anchor>
          </w:drawing>
        </mc:Choice>
        <mc:Fallback>
          <w:pict>
            <v:shape id="_x0000_s2094" type="#_x0000_t202" style="position:absolute;margin-left:14.6pt;margin-top:539.20000000000005pt;width:10.550000000000001pt;height:3.3500000000000001pt;z-index:-1887432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&lt;z</w:t>
                    </w:r>
                  </w:p>
                </w:txbxContent>
              </v:textbox>
              <w10:wrap anchorx="page" anchory="page"/>
            </v:shape>
          </w:pict>
        </mc:Fallback>
      </mc:AlternateContent>
    </w:r>
  </w:p>
</w:ftr>
</file>

<file path=word/footer2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8" behindDoc="1" locked="0" layoutInCell="1" allowOverlap="1">
              <wp:simplePos x="0" y="0"/>
              <wp:positionH relativeFrom="page">
                <wp:posOffset>185420</wp:posOffset>
              </wp:positionH>
              <wp:positionV relativeFrom="page">
                <wp:posOffset>6847840</wp:posOffset>
              </wp:positionV>
              <wp:extent cx="133985" cy="42545"/>
              <wp:wrapNone/>
              <wp:docPr id="1073" name="Shape 1073"/>
              <a:graphic xmlns:a="http://schemas.openxmlformats.org/drawingml/2006/main">
                <a:graphicData uri="http://schemas.microsoft.com/office/word/2010/wordprocessingShape">
                  <wps:wsp>
                    <wps:cNvSpPr txBox="1"/>
                    <wps:spPr>
                      <a:xfrm>
                        <a:ext cx="133985" cy="4254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&lt;z</w:t>
                          </w:r>
                        </w:p>
                      </w:txbxContent>
                    </wps:txbx>
                    <wps:bodyPr wrap="none" lIns="0" tIns="0" rIns="0" bIns="0">
                      <a:spAutoFit/>
                    </wps:bodyPr>
                  </wps:wsp>
                </a:graphicData>
              </a:graphic>
            </wp:anchor>
          </w:drawing>
        </mc:Choice>
        <mc:Fallback>
          <w:pict>
            <v:shape id="_x0000_s2099" type="#_x0000_t202" style="position:absolute;margin-left:14.6pt;margin-top:539.20000000000005pt;width:10.550000000000001pt;height:3.3500000000000001pt;z-index:-1887432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&lt;z</w:t>
                    </w:r>
                  </w:p>
                </w:txbxContent>
              </v:textbox>
              <w10:wrap anchorx="page" anchory="page"/>
            </v:shape>
          </w:pict>
        </mc:Fallback>
      </mc:AlternateContent>
    </w:r>
  </w:p>
</w:ftr>
</file>

<file path=word/footer2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4" behindDoc="1" locked="0" layoutInCell="1" allowOverlap="1">
              <wp:simplePos x="0" y="0"/>
              <wp:positionH relativeFrom="page">
                <wp:posOffset>172720</wp:posOffset>
              </wp:positionH>
              <wp:positionV relativeFrom="page">
                <wp:posOffset>6786880</wp:posOffset>
              </wp:positionV>
              <wp:extent cx="146050" cy="79375"/>
              <wp:wrapNone/>
              <wp:docPr id="1081" name="Shape 1081"/>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07" type="#_x0000_t202" style="position:absolute;margin-left:13.6pt;margin-top:534.39999999999998pt;width:11.5pt;height:6.25pt;z-index:-1887432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8" behindDoc="1" locked="0" layoutInCell="1" allowOverlap="1">
              <wp:simplePos x="0" y="0"/>
              <wp:positionH relativeFrom="page">
                <wp:posOffset>172720</wp:posOffset>
              </wp:positionH>
              <wp:positionV relativeFrom="page">
                <wp:posOffset>6786880</wp:posOffset>
              </wp:positionV>
              <wp:extent cx="146050" cy="79375"/>
              <wp:wrapNone/>
              <wp:docPr id="1086" name="Shape 1086"/>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12" type="#_x0000_t202" style="position:absolute;margin-left:13.6pt;margin-top:534.39999999999998pt;width:11.5pt;height:6.25pt;z-index:-1887432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2" behindDoc="1" locked="0" layoutInCell="1" allowOverlap="1">
              <wp:simplePos x="0" y="0"/>
              <wp:positionH relativeFrom="page">
                <wp:posOffset>4036060</wp:posOffset>
              </wp:positionH>
              <wp:positionV relativeFrom="page">
                <wp:posOffset>6847840</wp:posOffset>
              </wp:positionV>
              <wp:extent cx="140335" cy="60960"/>
              <wp:wrapNone/>
              <wp:docPr id="1091" name="Shape 1091"/>
              <a:graphic xmlns:a="http://schemas.openxmlformats.org/drawingml/2006/main">
                <a:graphicData uri="http://schemas.microsoft.com/office/word/2010/wordprocessingShape">
                  <wps:wsp>
                    <wps:cNvSpPr txBox="1"/>
                    <wps:spPr>
                      <a:xfrm>
                        <a:ext cx="1403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17" type="#_x0000_t202" style="position:absolute;margin-left:317.80000000000001pt;margin-top:539.20000000000005pt;width:11.050000000000001pt;height:4.7999999999999998pt;z-index:-1887432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2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8" behindDoc="1" locked="0" layoutInCell="1" allowOverlap="1">
              <wp:simplePos x="0" y="0"/>
              <wp:positionH relativeFrom="page">
                <wp:posOffset>172720</wp:posOffset>
              </wp:positionH>
              <wp:positionV relativeFrom="page">
                <wp:posOffset>6832600</wp:posOffset>
              </wp:positionV>
              <wp:extent cx="146050" cy="73025"/>
              <wp:wrapNone/>
              <wp:docPr id="1101" name="Shape 1101"/>
              <a:graphic xmlns:a="http://schemas.openxmlformats.org/drawingml/2006/main">
                <a:graphicData uri="http://schemas.microsoft.com/office/word/2010/wordprocessingShape">
                  <wps:wsp>
                    <wps:cNvSpPr txBox="1"/>
                    <wps:spPr>
                      <a:xfrm>
                        <a:ext cx="14605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27" type="#_x0000_t202" style="position:absolute;margin-left:13.6pt;margin-top:538.pt;width:11.5pt;height:5.75pt;z-index:-1887432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0" behindDoc="1" locked="0" layoutInCell="1" allowOverlap="1">
              <wp:simplePos x="0" y="0"/>
              <wp:positionH relativeFrom="page">
                <wp:posOffset>172720</wp:posOffset>
              </wp:positionH>
              <wp:positionV relativeFrom="page">
                <wp:posOffset>6832600</wp:posOffset>
              </wp:positionV>
              <wp:extent cx="146050" cy="73025"/>
              <wp:wrapNone/>
              <wp:docPr id="1103" name="Shape 1103"/>
              <a:graphic xmlns:a="http://schemas.openxmlformats.org/drawingml/2006/main">
                <a:graphicData uri="http://schemas.microsoft.com/office/word/2010/wordprocessingShape">
                  <wps:wsp>
                    <wps:cNvSpPr txBox="1"/>
                    <wps:spPr>
                      <a:xfrm>
                        <a:ext cx="14605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29" type="#_x0000_t202" style="position:absolute;margin-left:13.6pt;margin-top:538.pt;width:11.5pt;height:5.75pt;z-index:-1887432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4" behindDoc="1" locked="0" layoutInCell="1" allowOverlap="1">
              <wp:simplePos x="0" y="0"/>
              <wp:positionH relativeFrom="page">
                <wp:posOffset>177800</wp:posOffset>
              </wp:positionH>
              <wp:positionV relativeFrom="page">
                <wp:posOffset>6838950</wp:posOffset>
              </wp:positionV>
              <wp:extent cx="140335" cy="45720"/>
              <wp:wrapNone/>
              <wp:docPr id="1108" name="Shape 1108"/>
              <a:graphic xmlns:a="http://schemas.openxmlformats.org/drawingml/2006/main">
                <a:graphicData uri="http://schemas.microsoft.com/office/word/2010/wordprocessingShape">
                  <wps:wsp>
                    <wps:cNvSpPr txBox="1"/>
                    <wps:spPr>
                      <a:xfrm>
                        <a:ext cx="140335" cy="4572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"70</w:t>
                          </w:r>
                        </w:p>
                      </w:txbxContent>
                    </wps:txbx>
                    <wps:bodyPr wrap="none" lIns="0" tIns="0" rIns="0" bIns="0">
                      <a:spAutoFit/>
                    </wps:bodyPr>
                  </wps:wsp>
                </a:graphicData>
              </a:graphic>
            </wp:anchor>
          </w:drawing>
        </mc:Choice>
        <mc:Fallback>
          <w:pict>
            <v:shape id="_x0000_s2134" type="#_x0000_t202" style="position:absolute;margin-left:14.pt;margin-top:538.5pt;width:11.050000000000001pt;height:3.6000000000000001pt;z-index:-1887431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"70</w:t>
                    </w:r>
                  </w:p>
                </w:txbxContent>
              </v:textbox>
              <w10:wrap anchorx="page" anchory="page"/>
            </v:shape>
          </w:pict>
        </mc:Fallback>
      </mc:AlternateContent>
    </w:r>
  </w:p>
</w:ftr>
</file>

<file path=word/footer2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8" behindDoc="1" locked="0" layoutInCell="1" allowOverlap="1">
              <wp:simplePos x="0" y="0"/>
              <wp:positionH relativeFrom="page">
                <wp:posOffset>177800</wp:posOffset>
              </wp:positionH>
              <wp:positionV relativeFrom="page">
                <wp:posOffset>6838950</wp:posOffset>
              </wp:positionV>
              <wp:extent cx="140335" cy="45720"/>
              <wp:wrapNone/>
              <wp:docPr id="1113" name="Shape 1113"/>
              <a:graphic xmlns:a="http://schemas.openxmlformats.org/drawingml/2006/main">
                <a:graphicData uri="http://schemas.microsoft.com/office/word/2010/wordprocessingShape">
                  <wps:wsp>
                    <wps:cNvSpPr txBox="1"/>
                    <wps:spPr>
                      <a:xfrm>
                        <a:ext cx="140335" cy="4572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"70</w:t>
                          </w:r>
                        </w:p>
                      </w:txbxContent>
                    </wps:txbx>
                    <wps:bodyPr wrap="none" lIns="0" tIns="0" rIns="0" bIns="0">
                      <a:spAutoFit/>
                    </wps:bodyPr>
                  </wps:wsp>
                </a:graphicData>
              </a:graphic>
            </wp:anchor>
          </w:drawing>
        </mc:Choice>
        <mc:Fallback>
          <w:pict>
            <v:shape id="_x0000_s2139" type="#_x0000_t202" style="position:absolute;margin-left:14.pt;margin-top:538.5pt;width:11.050000000000001pt;height:3.6000000000000001pt;z-index:-1887431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1 "70</w:t>
                    </w:r>
                  </w:p>
                </w:txbxContent>
              </v:textbox>
              <w10:wrap anchorx="page" anchory="page"/>
            </v:shape>
          </w:pict>
        </mc:Fallback>
      </mc:AlternateContent>
    </w:r>
  </w:p>
</w:ftr>
</file>

<file path=word/footer2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8" behindDoc="1" locked="0" layoutInCell="1" allowOverlap="1">
              <wp:simplePos x="0" y="0"/>
              <wp:positionH relativeFrom="page">
                <wp:posOffset>4036060</wp:posOffset>
              </wp:positionH>
              <wp:positionV relativeFrom="page">
                <wp:posOffset>6798945</wp:posOffset>
              </wp:positionV>
              <wp:extent cx="137160" cy="73025"/>
              <wp:wrapNone/>
              <wp:docPr id="1127" name="Shape 1127"/>
              <a:graphic xmlns:a="http://schemas.openxmlformats.org/drawingml/2006/main">
                <a:graphicData uri="http://schemas.microsoft.com/office/word/2010/wordprocessingShape">
                  <wps:wsp>
                    <wps:cNvSpPr txBox="1"/>
                    <wps:spPr>
                      <a:xfrm>
                        <a:ext cx="13716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53" type="#_x0000_t202" style="position:absolute;margin-left:317.80000000000001pt;margin-top:535.35000000000002pt;width:10.800000000000001pt;height:5.75pt;z-index:-1887431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2" behindDoc="1" locked="0" layoutInCell="1" allowOverlap="1">
              <wp:simplePos x="0" y="0"/>
              <wp:positionH relativeFrom="page">
                <wp:posOffset>174625</wp:posOffset>
              </wp:positionH>
              <wp:positionV relativeFrom="page">
                <wp:posOffset>6798945</wp:posOffset>
              </wp:positionV>
              <wp:extent cx="143510" cy="67310"/>
              <wp:wrapNone/>
              <wp:docPr id="1132" name="Shape 1132"/>
              <a:graphic xmlns:a="http://schemas.openxmlformats.org/drawingml/2006/main">
                <a:graphicData uri="http://schemas.microsoft.com/office/word/2010/wordprocessingShape">
                  <wps:wsp>
                    <wps:cNvSpPr txBox="1"/>
                    <wps:spPr>
                      <a:xfrm>
                        <a:ext cx="1435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58" type="#_x0000_t202" style="position:absolute;margin-left:13.75pt;margin-top:535.35000000000002pt;width:11.300000000000001pt;height:5.2999999999999998pt;z-index:-1887431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6" behindDoc="1" locked="0" layoutInCell="1" allowOverlap="1">
              <wp:simplePos x="0" y="0"/>
              <wp:positionH relativeFrom="page">
                <wp:posOffset>177800</wp:posOffset>
              </wp:positionH>
              <wp:positionV relativeFrom="page">
                <wp:posOffset>6777990</wp:posOffset>
              </wp:positionV>
              <wp:extent cx="146050" cy="79375"/>
              <wp:wrapNone/>
              <wp:docPr id="1137" name="Shape 1137"/>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63" type="#_x0000_t202" style="position:absolute;margin-left:14.pt;margin-top:533.70000000000005pt;width:11.5pt;height:6.25pt;z-index:-1887431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0" behindDoc="1" locked="0" layoutInCell="1" allowOverlap="1">
              <wp:simplePos x="0" y="0"/>
              <wp:positionH relativeFrom="page">
                <wp:posOffset>177800</wp:posOffset>
              </wp:positionH>
              <wp:positionV relativeFrom="page">
                <wp:posOffset>6777990</wp:posOffset>
              </wp:positionV>
              <wp:extent cx="146050" cy="79375"/>
              <wp:wrapNone/>
              <wp:docPr id="1142" name="Shape 1142"/>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68" type="#_x0000_t202" style="position:absolute;margin-left:14.pt;margin-top:533.70000000000005pt;width:11.5pt;height:6.25pt;z-index:-1887431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4" behindDoc="1" locked="0" layoutInCell="1" allowOverlap="1">
              <wp:simplePos x="0" y="0"/>
              <wp:positionH relativeFrom="page">
                <wp:posOffset>180340</wp:posOffset>
              </wp:positionH>
              <wp:positionV relativeFrom="page">
                <wp:posOffset>6841490</wp:posOffset>
              </wp:positionV>
              <wp:extent cx="143510" cy="79375"/>
              <wp:wrapNone/>
              <wp:docPr id="1162" name="Shape 1162"/>
              <a:graphic xmlns:a="http://schemas.openxmlformats.org/drawingml/2006/main">
                <a:graphicData uri="http://schemas.microsoft.com/office/word/2010/wordprocessingShape">
                  <wps:wsp>
                    <wps:cNvSpPr txBox="1"/>
                    <wps:spPr>
                      <a:xfrm>
                        <a:ext cx="1435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88" type="#_x0000_t202" style="position:absolute;margin-left:14.199999999999999pt;margin-top:538.70000000000005pt;width:11.300000000000001pt;height:6.25pt;z-index:-1887431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8" behindDoc="1" locked="0" layoutInCell="1" allowOverlap="1">
              <wp:simplePos x="0" y="0"/>
              <wp:positionH relativeFrom="page">
                <wp:posOffset>180340</wp:posOffset>
              </wp:positionH>
              <wp:positionV relativeFrom="page">
                <wp:posOffset>6841490</wp:posOffset>
              </wp:positionV>
              <wp:extent cx="143510" cy="79375"/>
              <wp:wrapNone/>
              <wp:docPr id="1167" name="Shape 1167"/>
              <a:graphic xmlns:a="http://schemas.openxmlformats.org/drawingml/2006/main">
                <a:graphicData uri="http://schemas.microsoft.com/office/word/2010/wordprocessingShape">
                  <wps:wsp>
                    <wps:cNvSpPr txBox="1"/>
                    <wps:spPr>
                      <a:xfrm>
                        <a:ext cx="1435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193" type="#_x0000_t202" style="position:absolute;margin-left:14.199999999999999pt;margin-top:538.70000000000005pt;width:11.300000000000001pt;height:6.25pt;z-index:-1887431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6" behindDoc="1" locked="0" layoutInCell="1" allowOverlap="1">
              <wp:simplePos x="0" y="0"/>
              <wp:positionH relativeFrom="page">
                <wp:posOffset>180340</wp:posOffset>
              </wp:positionH>
              <wp:positionV relativeFrom="page">
                <wp:posOffset>6841490</wp:posOffset>
              </wp:positionV>
              <wp:extent cx="143510" cy="79375"/>
              <wp:wrapNone/>
              <wp:docPr id="1178" name="Shape 1178"/>
              <a:graphic xmlns:a="http://schemas.openxmlformats.org/drawingml/2006/main">
                <a:graphicData uri="http://schemas.microsoft.com/office/word/2010/wordprocessingShape">
                  <wps:wsp>
                    <wps:cNvSpPr txBox="1"/>
                    <wps:spPr>
                      <a:xfrm>
                        <a:ext cx="1435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04" type="#_x0000_t202" style="position:absolute;margin-left:14.199999999999999pt;margin-top:538.70000000000005pt;width:11.300000000000001pt;height:6.25pt;z-index:-1887431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0" behindDoc="1" locked="0" layoutInCell="1" allowOverlap="1">
              <wp:simplePos x="0" y="0"/>
              <wp:positionH relativeFrom="page">
                <wp:posOffset>180340</wp:posOffset>
              </wp:positionH>
              <wp:positionV relativeFrom="page">
                <wp:posOffset>6841490</wp:posOffset>
              </wp:positionV>
              <wp:extent cx="143510" cy="79375"/>
              <wp:wrapNone/>
              <wp:docPr id="1183" name="Shape 1183"/>
              <a:graphic xmlns:a="http://schemas.openxmlformats.org/drawingml/2006/main">
                <a:graphicData uri="http://schemas.microsoft.com/office/word/2010/wordprocessingShape">
                  <wps:wsp>
                    <wps:cNvSpPr txBox="1"/>
                    <wps:spPr>
                      <a:xfrm>
                        <a:ext cx="1435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09" type="#_x0000_t202" style="position:absolute;margin-left:14.199999999999999pt;margin-top:538.70000000000005pt;width:11.300000000000001pt;height:6.25pt;z-index:-1887431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8" behindDoc="1" locked="0" layoutInCell="1" allowOverlap="1">
              <wp:simplePos x="0" y="0"/>
              <wp:positionH relativeFrom="page">
                <wp:posOffset>191135</wp:posOffset>
              </wp:positionH>
              <wp:positionV relativeFrom="page">
                <wp:posOffset>6786880</wp:posOffset>
              </wp:positionV>
              <wp:extent cx="143510" cy="76200"/>
              <wp:wrapNone/>
              <wp:docPr id="1198" name="Shape 1198"/>
              <a:graphic xmlns:a="http://schemas.openxmlformats.org/drawingml/2006/main">
                <a:graphicData uri="http://schemas.microsoft.com/office/word/2010/wordprocessingShape">
                  <wps:wsp>
                    <wps:cNvSpPr txBox="1"/>
                    <wps:spPr>
                      <a:xfrm>
                        <a:ext cx="14351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24" type="#_x0000_t202" style="position:absolute;margin-left:15.050000000000001pt;margin-top:534.39999999999998pt;width:11.300000000000001pt;height:6.pt;z-index:-1887431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2" behindDoc="1" locked="0" layoutInCell="1" allowOverlap="1">
              <wp:simplePos x="0" y="0"/>
              <wp:positionH relativeFrom="page">
                <wp:posOffset>191135</wp:posOffset>
              </wp:positionH>
              <wp:positionV relativeFrom="page">
                <wp:posOffset>6786880</wp:posOffset>
              </wp:positionV>
              <wp:extent cx="143510" cy="76200"/>
              <wp:wrapNone/>
              <wp:docPr id="1203" name="Shape 1203"/>
              <a:graphic xmlns:a="http://schemas.openxmlformats.org/drawingml/2006/main">
                <a:graphicData uri="http://schemas.microsoft.com/office/word/2010/wordprocessingShape">
                  <wps:wsp>
                    <wps:cNvSpPr txBox="1"/>
                    <wps:spPr>
                      <a:xfrm>
                        <a:ext cx="14351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29" type="#_x0000_t202" style="position:absolute;margin-left:15.050000000000001pt;margin-top:534.39999999999998pt;width:11.300000000000001pt;height:6.pt;z-index:-1887431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6" behindDoc="1" locked="0" layoutInCell="1" allowOverlap="1">
              <wp:simplePos x="0" y="0"/>
              <wp:positionH relativeFrom="page">
                <wp:posOffset>167005</wp:posOffset>
              </wp:positionH>
              <wp:positionV relativeFrom="page">
                <wp:posOffset>6841490</wp:posOffset>
              </wp:positionV>
              <wp:extent cx="143510" cy="60960"/>
              <wp:wrapNone/>
              <wp:docPr id="1210" name="Shape 1210"/>
              <a:graphic xmlns:a="http://schemas.openxmlformats.org/drawingml/2006/main">
                <a:graphicData uri="http://schemas.microsoft.com/office/word/2010/wordprocessingShape">
                  <wps:wsp>
                    <wps:cNvSpPr txBox="1"/>
                    <wps:spPr>
                      <a:xfrm>
                        <a:ext cx="1435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107</w:t>
                          </w:r>
                        </w:p>
                      </w:txbxContent>
                    </wps:txbx>
                    <wps:bodyPr wrap="none" lIns="0" tIns="0" rIns="0" bIns="0">
                      <a:spAutoFit/>
                    </wps:bodyPr>
                  </wps:wsp>
                </a:graphicData>
              </a:graphic>
            </wp:anchor>
          </w:drawing>
        </mc:Choice>
        <mc:Fallback>
          <w:pict>
            <v:shape id="_x0000_s2236" type="#_x0000_t202" style="position:absolute;margin-left:13.15pt;margin-top:538.70000000000005pt;width:11.300000000000001pt;height:4.7999999999999998pt;z-index:-1887431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107</w:t>
                    </w:r>
                  </w:p>
                </w:txbxContent>
              </v:textbox>
              <w10:wrap anchorx="page" anchory="page"/>
            </v:shape>
          </w:pict>
        </mc:Fallback>
      </mc:AlternateContent>
    </w:r>
  </w:p>
</w:ftr>
</file>

<file path=word/footer2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0" behindDoc="1" locked="0" layoutInCell="1" allowOverlap="1">
              <wp:simplePos x="0" y="0"/>
              <wp:positionH relativeFrom="page">
                <wp:posOffset>167005</wp:posOffset>
              </wp:positionH>
              <wp:positionV relativeFrom="page">
                <wp:posOffset>6841490</wp:posOffset>
              </wp:positionV>
              <wp:extent cx="143510" cy="60960"/>
              <wp:wrapNone/>
              <wp:docPr id="1215" name="Shape 1215"/>
              <a:graphic xmlns:a="http://schemas.openxmlformats.org/drawingml/2006/main">
                <a:graphicData uri="http://schemas.microsoft.com/office/word/2010/wordprocessingShape">
                  <wps:wsp>
                    <wps:cNvSpPr txBox="1"/>
                    <wps:spPr>
                      <a:xfrm>
                        <a:ext cx="1435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107</w:t>
                          </w:r>
                        </w:p>
                      </w:txbxContent>
                    </wps:txbx>
                    <wps:bodyPr wrap="none" lIns="0" tIns="0" rIns="0" bIns="0">
                      <a:spAutoFit/>
                    </wps:bodyPr>
                  </wps:wsp>
                </a:graphicData>
              </a:graphic>
            </wp:anchor>
          </w:drawing>
        </mc:Choice>
        <mc:Fallback>
          <w:pict>
            <v:shape id="_x0000_s2241" type="#_x0000_t202" style="position:absolute;margin-left:13.15pt;margin-top:538.70000000000005pt;width:11.300000000000001pt;height:4.7999999999999998pt;z-index:-1887431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107</w:t>
                    </w:r>
                  </w:p>
                </w:txbxContent>
              </v:textbox>
              <w10:wrap anchorx="page" anchory="page"/>
            </v:shape>
          </w:pict>
        </mc:Fallback>
      </mc:AlternateContent>
    </w:r>
  </w:p>
</w:ftr>
</file>

<file path=word/footer2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6" behindDoc="1" locked="0" layoutInCell="1" allowOverlap="1">
              <wp:simplePos x="0" y="0"/>
              <wp:positionH relativeFrom="page">
                <wp:posOffset>4027170</wp:posOffset>
              </wp:positionH>
              <wp:positionV relativeFrom="page">
                <wp:posOffset>6793230</wp:posOffset>
              </wp:positionV>
              <wp:extent cx="137160" cy="48895"/>
              <wp:wrapNone/>
              <wp:docPr id="1223" name="Shape 1223"/>
              <a:graphic xmlns:a="http://schemas.openxmlformats.org/drawingml/2006/main">
                <a:graphicData uri="http://schemas.microsoft.com/office/word/2010/wordprocessingShape">
                  <wps:wsp>
                    <wps:cNvSpPr txBox="1"/>
                    <wps:spPr>
                      <a:xfrm>
                        <a:ext cx="137160" cy="4889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i</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 oi</w:t>
                          </w:r>
                        </w:p>
                      </w:txbxContent>
                    </wps:txbx>
                    <wps:bodyPr wrap="none" lIns="0" tIns="0" rIns="0" bIns="0">
                      <a:spAutoFit/>
                    </wps:bodyPr>
                  </wps:wsp>
                </a:graphicData>
              </a:graphic>
            </wp:anchor>
          </w:drawing>
        </mc:Choice>
        <mc:Fallback>
          <w:pict>
            <v:shape id="_x0000_s2249" type="#_x0000_t202" style="position:absolute;margin-left:317.10000000000002pt;margin-top:534.89999999999998pt;width:10.800000000000001pt;height:3.8500000000000001pt;z-index:-1887431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i</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 oi</w:t>
                    </w:r>
                  </w:p>
                </w:txbxContent>
              </v:textbox>
              <w10:wrap anchorx="page" anchory="page"/>
            </v:shape>
          </w:pict>
        </mc:Fallback>
      </mc:AlternateContent>
    </w:r>
  </w:p>
</w:ftr>
</file>

<file path=word/footer2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0" behindDoc="1" locked="0" layoutInCell="1" allowOverlap="1">
              <wp:simplePos x="0" y="0"/>
              <wp:positionH relativeFrom="page">
                <wp:posOffset>4027170</wp:posOffset>
              </wp:positionH>
              <wp:positionV relativeFrom="page">
                <wp:posOffset>6793230</wp:posOffset>
              </wp:positionV>
              <wp:extent cx="137160" cy="48895"/>
              <wp:wrapNone/>
              <wp:docPr id="1228" name="Shape 1228"/>
              <a:graphic xmlns:a="http://schemas.openxmlformats.org/drawingml/2006/main">
                <a:graphicData uri="http://schemas.microsoft.com/office/word/2010/wordprocessingShape">
                  <wps:wsp>
                    <wps:cNvSpPr txBox="1"/>
                    <wps:spPr>
                      <a:xfrm>
                        <a:ext cx="137160" cy="4889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i</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 oi</w:t>
                          </w:r>
                        </w:p>
                      </w:txbxContent>
                    </wps:txbx>
                    <wps:bodyPr wrap="none" lIns="0" tIns="0" rIns="0" bIns="0">
                      <a:spAutoFit/>
                    </wps:bodyPr>
                  </wps:wsp>
                </a:graphicData>
              </a:graphic>
            </wp:anchor>
          </w:drawing>
        </mc:Choice>
        <mc:Fallback>
          <w:pict>
            <v:shape id="_x0000_s2254" type="#_x0000_t202" style="position:absolute;margin-left:317.10000000000002pt;margin-top:534.89999999999998pt;width:10.800000000000001pt;height:3.8500000000000001pt;z-index:-1887431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smallCaps/>
                        <w:color w:val="000000"/>
                        <w:spacing w:val="0"/>
                        <w:w w:val="100"/>
                        <w:position w:val="0"/>
                        <w:sz w:val="15"/>
                        <w:szCs w:val="15"/>
                        <w:shd w:val="clear" w:color="auto" w:fill="auto"/>
                        <w:lang w:val="hr-HR" w:eastAsia="hr-HR" w:bidi="hr-HR"/>
                      </w:rPr>
                      <w:t>i</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 oi</w:t>
                    </w:r>
                  </w:p>
                </w:txbxContent>
              </v:textbox>
              <w10:wrap anchorx="page" anchory="page"/>
            </v:shape>
          </w:pict>
        </mc:Fallback>
      </mc:AlternateContent>
    </w:r>
  </w:p>
</w:ftr>
</file>

<file path=word/footer2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2" behindDoc="1" locked="0" layoutInCell="1" allowOverlap="1">
              <wp:simplePos x="0" y="0"/>
              <wp:positionH relativeFrom="page">
                <wp:posOffset>175895</wp:posOffset>
              </wp:positionH>
              <wp:positionV relativeFrom="page">
                <wp:posOffset>6817360</wp:posOffset>
              </wp:positionV>
              <wp:extent cx="146050" cy="79375"/>
              <wp:wrapNone/>
              <wp:docPr id="1230" name="Shape 1230"/>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56" type="#_x0000_t202" style="position:absolute;margin-left:13.85pt;margin-top:536.79999999999995pt;width:11.5pt;height:6.25pt;z-index:-1887431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4" behindDoc="1" locked="0" layoutInCell="1" allowOverlap="1">
              <wp:simplePos x="0" y="0"/>
              <wp:positionH relativeFrom="page">
                <wp:posOffset>175895</wp:posOffset>
              </wp:positionH>
              <wp:positionV relativeFrom="page">
                <wp:posOffset>6817360</wp:posOffset>
              </wp:positionV>
              <wp:extent cx="146050" cy="79375"/>
              <wp:wrapNone/>
              <wp:docPr id="1232" name="Shape 1232"/>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58" type="#_x0000_t202" style="position:absolute;margin-left:13.85pt;margin-top:536.79999999999995pt;width:11.5pt;height:6.25pt;z-index:-1887431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2" behindDoc="1" locked="0" layoutInCell="1" allowOverlap="1">
              <wp:simplePos x="0" y="0"/>
              <wp:positionH relativeFrom="page">
                <wp:posOffset>182245</wp:posOffset>
              </wp:positionH>
              <wp:positionV relativeFrom="page">
                <wp:posOffset>6838950</wp:posOffset>
              </wp:positionV>
              <wp:extent cx="146050" cy="67310"/>
              <wp:wrapNone/>
              <wp:docPr id="1245" name="Shape 1245"/>
              <a:graphic xmlns:a="http://schemas.openxmlformats.org/drawingml/2006/main">
                <a:graphicData uri="http://schemas.microsoft.com/office/word/2010/wordprocessingShape">
                  <wps:wsp>
                    <wps:cNvSpPr txBox="1"/>
                    <wps:spPr>
                      <a:xfrm>
                        <a:ext cx="1460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71" type="#_x0000_t202" style="position:absolute;margin-left:14.35pt;margin-top:538.5pt;width:11.5pt;height:5.2999999999999998pt;z-index:-1887431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2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6" behindDoc="1" locked="0" layoutInCell="1" allowOverlap="1">
              <wp:simplePos x="0" y="0"/>
              <wp:positionH relativeFrom="page">
                <wp:posOffset>182245</wp:posOffset>
              </wp:positionH>
              <wp:positionV relativeFrom="page">
                <wp:posOffset>6838950</wp:posOffset>
              </wp:positionV>
              <wp:extent cx="146050" cy="67310"/>
              <wp:wrapNone/>
              <wp:docPr id="1250" name="Shape 1250"/>
              <a:graphic xmlns:a="http://schemas.openxmlformats.org/drawingml/2006/main">
                <a:graphicData uri="http://schemas.microsoft.com/office/word/2010/wordprocessingShape">
                  <wps:wsp>
                    <wps:cNvSpPr txBox="1"/>
                    <wps:spPr>
                      <a:xfrm>
                        <a:ext cx="1460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76" type="#_x0000_t202" style="position:absolute;margin-left:14.35pt;margin-top:538.5pt;width:11.5pt;height:5.2999999999999998pt;z-index:-1887430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2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0" behindDoc="1" locked="0" layoutInCell="1" allowOverlap="1">
              <wp:simplePos x="0" y="0"/>
              <wp:positionH relativeFrom="page">
                <wp:posOffset>4057650</wp:posOffset>
              </wp:positionH>
              <wp:positionV relativeFrom="page">
                <wp:posOffset>6790055</wp:posOffset>
              </wp:positionV>
              <wp:extent cx="146050" cy="45720"/>
              <wp:wrapNone/>
              <wp:docPr id="1255" name="Shape 1255"/>
              <a:graphic xmlns:a="http://schemas.openxmlformats.org/drawingml/2006/main">
                <a:graphicData uri="http://schemas.microsoft.com/office/word/2010/wordprocessingShape">
                  <wps:wsp>
                    <wps:cNvSpPr txBox="1"/>
                    <wps:spPr>
                      <a:xfrm>
                        <a:ext cx="146050" cy="4572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m</w:t>
                          </w:r>
                        </w:p>
                      </w:txbxContent>
                    </wps:txbx>
                    <wps:bodyPr wrap="none" lIns="0" tIns="0" rIns="0" bIns="0">
                      <a:spAutoFit/>
                    </wps:bodyPr>
                  </wps:wsp>
                </a:graphicData>
              </a:graphic>
            </wp:anchor>
          </w:drawing>
        </mc:Choice>
        <mc:Fallback>
          <w:pict>
            <v:shape id="_x0000_s2281" type="#_x0000_t202" style="position:absolute;margin-left:319.5pt;margin-top:534.64999999999998pt;width:11.5pt;height:3.6000000000000001pt;z-index:-1887430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m</w:t>
                    </w:r>
                  </w:p>
                </w:txbxContent>
              </v:textbox>
              <w10:wrap anchorx="page" anchory="page"/>
            </v:shape>
          </w:pict>
        </mc:Fallback>
      </mc:AlternateContent>
    </w:r>
  </w:p>
</w:ftr>
</file>

<file path=word/footer2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4" behindDoc="1" locked="0" layoutInCell="1" allowOverlap="1">
              <wp:simplePos x="0" y="0"/>
              <wp:positionH relativeFrom="page">
                <wp:posOffset>4057650</wp:posOffset>
              </wp:positionH>
              <wp:positionV relativeFrom="page">
                <wp:posOffset>6790055</wp:posOffset>
              </wp:positionV>
              <wp:extent cx="146050" cy="45720"/>
              <wp:wrapNone/>
              <wp:docPr id="1260" name="Shape 1260"/>
              <a:graphic xmlns:a="http://schemas.openxmlformats.org/drawingml/2006/main">
                <a:graphicData uri="http://schemas.microsoft.com/office/word/2010/wordprocessingShape">
                  <wps:wsp>
                    <wps:cNvSpPr txBox="1"/>
                    <wps:spPr>
                      <a:xfrm>
                        <a:ext cx="146050" cy="4572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m</w:t>
                          </w:r>
                        </w:p>
                      </w:txbxContent>
                    </wps:txbx>
                    <wps:bodyPr wrap="none" lIns="0" tIns="0" rIns="0" bIns="0">
                      <a:spAutoFit/>
                    </wps:bodyPr>
                  </wps:wsp>
                </a:graphicData>
              </a:graphic>
            </wp:anchor>
          </w:drawing>
        </mc:Choice>
        <mc:Fallback>
          <w:pict>
            <v:shape id="_x0000_s2286" type="#_x0000_t202" style="position:absolute;margin-left:319.5pt;margin-top:534.64999999999998pt;width:11.5pt;height:3.6000000000000001pt;z-index:-1887430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i m</w:t>
                    </w:r>
                  </w:p>
                </w:txbxContent>
              </v:textbox>
              <w10:wrap anchorx="page" anchory="page"/>
            </v:shape>
          </w:pict>
        </mc:Fallback>
      </mc:AlternateContent>
    </w:r>
  </w:p>
</w:ftr>
</file>

<file path=word/footer2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8" behindDoc="1" locked="0" layoutInCell="1" allowOverlap="1">
              <wp:simplePos x="0" y="0"/>
              <wp:positionH relativeFrom="page">
                <wp:posOffset>4042410</wp:posOffset>
              </wp:positionH>
              <wp:positionV relativeFrom="page">
                <wp:posOffset>6795770</wp:posOffset>
              </wp:positionV>
              <wp:extent cx="146050" cy="76200"/>
              <wp:wrapNone/>
              <wp:docPr id="1265" name="Shape 1265"/>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91" type="#_x0000_t202" style="position:absolute;margin-left:318.30000000000001pt;margin-top:535.10000000000002pt;width:11.5pt;height:6.pt;z-index:-1887430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2" behindDoc="1" locked="0" layoutInCell="1" allowOverlap="1">
              <wp:simplePos x="0" y="0"/>
              <wp:positionH relativeFrom="page">
                <wp:posOffset>4042410</wp:posOffset>
              </wp:positionH>
              <wp:positionV relativeFrom="page">
                <wp:posOffset>6795770</wp:posOffset>
              </wp:positionV>
              <wp:extent cx="146050" cy="76200"/>
              <wp:wrapNone/>
              <wp:docPr id="1270" name="Shape 1270"/>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296" type="#_x0000_t202" style="position:absolute;margin-left:318.30000000000001pt;margin-top:535.10000000000002pt;width:11.5pt;height:6.pt;z-index:-1887430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6" behindDoc="1" locked="0" layoutInCell="1" allowOverlap="1">
              <wp:simplePos x="0" y="0"/>
              <wp:positionH relativeFrom="page">
                <wp:posOffset>175895</wp:posOffset>
              </wp:positionH>
              <wp:positionV relativeFrom="page">
                <wp:posOffset>6790055</wp:posOffset>
              </wp:positionV>
              <wp:extent cx="140335" cy="67310"/>
              <wp:wrapNone/>
              <wp:docPr id="1275" name="Shape 1275"/>
              <a:graphic xmlns:a="http://schemas.openxmlformats.org/drawingml/2006/main">
                <a:graphicData uri="http://schemas.microsoft.com/office/word/2010/wordprocessingShape">
                  <wps:wsp>
                    <wps:cNvSpPr txBox="1"/>
                    <wps:spPr>
                      <a:xfrm>
                        <a:ext cx="140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01" type="#_x0000_t202" style="position:absolute;margin-left:13.85pt;margin-top:534.64999999999998pt;width:11.050000000000001pt;height:5.2999999999999998pt;z-index:-1887430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0" behindDoc="1" locked="0" layoutInCell="1" allowOverlap="1">
              <wp:simplePos x="0" y="0"/>
              <wp:positionH relativeFrom="page">
                <wp:posOffset>4037965</wp:posOffset>
              </wp:positionH>
              <wp:positionV relativeFrom="page">
                <wp:posOffset>6786880</wp:posOffset>
              </wp:positionV>
              <wp:extent cx="146050" cy="79375"/>
              <wp:wrapNone/>
              <wp:docPr id="1280" name="Shape 1280"/>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06" type="#_x0000_t202" style="position:absolute;margin-left:317.94999999999999pt;margin-top:534.39999999999998pt;width:11.5pt;height:6.25pt;z-index:-1887430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4" behindDoc="1" locked="0" layoutInCell="1" allowOverlap="1">
              <wp:simplePos x="0" y="0"/>
              <wp:positionH relativeFrom="page">
                <wp:posOffset>4037965</wp:posOffset>
              </wp:positionH>
              <wp:positionV relativeFrom="page">
                <wp:posOffset>6786880</wp:posOffset>
              </wp:positionV>
              <wp:extent cx="146050" cy="79375"/>
              <wp:wrapNone/>
              <wp:docPr id="1285" name="Shape 1285"/>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11" type="#_x0000_t202" style="position:absolute;margin-left:317.94999999999999pt;margin-top:534.39999999999998pt;width:11.5pt;height:6.25pt;z-index:-1887430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8" behindDoc="1" locked="0" layoutInCell="1" allowOverlap="1">
              <wp:simplePos x="0" y="0"/>
              <wp:positionH relativeFrom="page">
                <wp:posOffset>172720</wp:posOffset>
              </wp:positionH>
              <wp:positionV relativeFrom="page">
                <wp:posOffset>6774815</wp:posOffset>
              </wp:positionV>
              <wp:extent cx="152400" cy="85090"/>
              <wp:wrapNone/>
              <wp:docPr id="1290" name="Shape 1290"/>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16" type="#_x0000_t202" style="position:absolute;margin-left:13.6pt;margin-top:533.45000000000005pt;width:12.pt;height:6.7000000000000002pt;z-index:-1887430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2" behindDoc="1" locked="0" layoutInCell="1" allowOverlap="1">
              <wp:simplePos x="0" y="0"/>
              <wp:positionH relativeFrom="page">
                <wp:posOffset>4036060</wp:posOffset>
              </wp:positionH>
              <wp:positionV relativeFrom="page">
                <wp:posOffset>6795770</wp:posOffset>
              </wp:positionV>
              <wp:extent cx="149225" cy="64135"/>
              <wp:wrapNone/>
              <wp:docPr id="1295" name="Shape 1295"/>
              <a:graphic xmlns:a="http://schemas.openxmlformats.org/drawingml/2006/main">
                <a:graphicData uri="http://schemas.microsoft.com/office/word/2010/wordprocessingShape">
                  <wps:wsp>
                    <wps:cNvSpPr txBox="1"/>
                    <wps:spPr>
                      <a:xfrm>
                        <a:ext cx="1492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21" type="#_x0000_t202" style="position:absolute;margin-left:317.80000000000001pt;margin-top:535.10000000000002pt;width:11.75pt;height:5.0499999999999998pt;z-index:-1887430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6" behindDoc="1" locked="0" layoutInCell="1" allowOverlap="1">
              <wp:simplePos x="0" y="0"/>
              <wp:positionH relativeFrom="page">
                <wp:posOffset>4036060</wp:posOffset>
              </wp:positionH>
              <wp:positionV relativeFrom="page">
                <wp:posOffset>6795770</wp:posOffset>
              </wp:positionV>
              <wp:extent cx="149225" cy="64135"/>
              <wp:wrapNone/>
              <wp:docPr id="1300" name="Shape 1300"/>
              <a:graphic xmlns:a="http://schemas.openxmlformats.org/drawingml/2006/main">
                <a:graphicData uri="http://schemas.microsoft.com/office/word/2010/wordprocessingShape">
                  <wps:wsp>
                    <wps:cNvSpPr txBox="1"/>
                    <wps:spPr>
                      <a:xfrm>
                        <a:ext cx="1492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26" type="#_x0000_t202" style="position:absolute;margin-left:317.80000000000001pt;margin-top:535.10000000000002pt;width:11.75pt;height:5.0499999999999998pt;z-index:-1887430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2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8" behindDoc="1" locked="0" layoutInCell="1" allowOverlap="1">
              <wp:simplePos x="0" y="0"/>
              <wp:positionH relativeFrom="page">
                <wp:posOffset>157480</wp:posOffset>
              </wp:positionH>
              <wp:positionV relativeFrom="page">
                <wp:posOffset>6795770</wp:posOffset>
              </wp:positionV>
              <wp:extent cx="152400" cy="79375"/>
              <wp:wrapNone/>
              <wp:docPr id="1302" name="Shape 1302"/>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28" type="#_x0000_t202" style="position:absolute;margin-left:12.4pt;margin-top:535.10000000000002pt;width:12.pt;height:6.25pt;z-index:-1887430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2" behindDoc="1" locked="0" layoutInCell="1" allowOverlap="1">
              <wp:simplePos x="0" y="0"/>
              <wp:positionH relativeFrom="page">
                <wp:posOffset>4023995</wp:posOffset>
              </wp:positionH>
              <wp:positionV relativeFrom="page">
                <wp:posOffset>6783705</wp:posOffset>
              </wp:positionV>
              <wp:extent cx="152400" cy="82550"/>
              <wp:wrapNone/>
              <wp:docPr id="1307" name="Shape 1307"/>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33" type="#_x0000_t202" style="position:absolute;margin-left:316.85000000000002pt;margin-top:534.14999999999998pt;width:12.pt;height:6.5pt;z-index:-1887430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6" behindDoc="1" locked="0" layoutInCell="1" allowOverlap="1">
              <wp:simplePos x="0" y="0"/>
              <wp:positionH relativeFrom="page">
                <wp:posOffset>4023995</wp:posOffset>
              </wp:positionH>
              <wp:positionV relativeFrom="page">
                <wp:posOffset>6783705</wp:posOffset>
              </wp:positionV>
              <wp:extent cx="152400" cy="82550"/>
              <wp:wrapNone/>
              <wp:docPr id="1312" name="Shape 1312"/>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38" type="#_x0000_t202" style="position:absolute;margin-left:316.85000000000002pt;margin-top:534.14999999999998pt;width:12.pt;height:6.5pt;z-index:-1887430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2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0" behindDoc="1" locked="0" layoutInCell="1" allowOverlap="1">
              <wp:simplePos x="0" y="0"/>
              <wp:positionH relativeFrom="page">
                <wp:posOffset>165100</wp:posOffset>
              </wp:positionH>
              <wp:positionV relativeFrom="page">
                <wp:posOffset>6783705</wp:posOffset>
              </wp:positionV>
              <wp:extent cx="152400" cy="79375"/>
              <wp:wrapNone/>
              <wp:docPr id="1317" name="Shape 1317"/>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43" type="#_x0000_t202" style="position:absolute;margin-left:13.pt;margin-top:534.14999999999998pt;width:12.pt;height:6.25pt;z-index:-1887430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4" behindDoc="1" locked="0" layoutInCell="1" allowOverlap="1">
              <wp:simplePos x="0" y="0"/>
              <wp:positionH relativeFrom="page">
                <wp:posOffset>4023995</wp:posOffset>
              </wp:positionH>
              <wp:positionV relativeFrom="page">
                <wp:posOffset>6795770</wp:posOffset>
              </wp:positionV>
              <wp:extent cx="155575" cy="73025"/>
              <wp:wrapNone/>
              <wp:docPr id="1322" name="Shape 1322"/>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48" type="#_x0000_t202" style="position:absolute;margin-left:316.85000000000002pt;margin-top:535.10000000000002pt;width:12.25pt;height:5.75pt;z-index:-1887430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3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8" behindDoc="1" locked="0" layoutInCell="1" allowOverlap="1">
              <wp:simplePos x="0" y="0"/>
              <wp:positionH relativeFrom="page">
                <wp:posOffset>165100</wp:posOffset>
              </wp:positionH>
              <wp:positionV relativeFrom="page">
                <wp:posOffset>6786880</wp:posOffset>
              </wp:positionV>
              <wp:extent cx="152400" cy="79375"/>
              <wp:wrapNone/>
              <wp:docPr id="1327" name="Shape 1327"/>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353" type="#_x0000_t202" style="position:absolute;margin-left:13.pt;margin-top:534.39999999999998pt;width:12.pt;height:6.25pt;z-index:-1887430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8" behindDoc="1" locked="0" layoutInCell="1" allowOverlap="1">
              <wp:simplePos x="0" y="0"/>
              <wp:positionH relativeFrom="page">
                <wp:posOffset>174625</wp:posOffset>
              </wp:positionH>
              <wp:positionV relativeFrom="page">
                <wp:posOffset>6798945</wp:posOffset>
              </wp:positionV>
              <wp:extent cx="146050" cy="64135"/>
              <wp:wrapNone/>
              <wp:docPr id="1343" name="Shape 1343"/>
              <a:graphic xmlns:a="http://schemas.openxmlformats.org/drawingml/2006/main">
                <a:graphicData uri="http://schemas.microsoft.com/office/word/2010/wordprocessingShape">
                  <wps:wsp>
                    <wps:cNvSpPr txBox="1"/>
                    <wps:spPr>
                      <a:xfrm>
                        <a:ext cx="1460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919</w:t>
                          </w:r>
                        </w:p>
                      </w:txbxContent>
                    </wps:txbx>
                    <wps:bodyPr wrap="none" lIns="0" tIns="0" rIns="0" bIns="0">
                      <a:spAutoFit/>
                    </wps:bodyPr>
                  </wps:wsp>
                </a:graphicData>
              </a:graphic>
            </wp:anchor>
          </w:drawing>
        </mc:Choice>
        <mc:Fallback>
          <w:pict>
            <v:shape id="_x0000_s2369" type="#_x0000_t202" style="position:absolute;margin-left:13.75pt;margin-top:535.35000000000002pt;width:11.5pt;height:5.0499999999999998pt;z-index:-1887430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919</w:t>
                    </w:r>
                  </w:p>
                </w:txbxContent>
              </v:textbox>
              <w10:wrap anchorx="page" anchory="page"/>
            </v:shape>
          </w:pict>
        </mc:Fallback>
      </mc:AlternateContent>
    </w:r>
  </w:p>
</w:ftr>
</file>

<file path=word/footer3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2" behindDoc="1" locked="0" layoutInCell="1" allowOverlap="1">
              <wp:simplePos x="0" y="0"/>
              <wp:positionH relativeFrom="page">
                <wp:posOffset>174625</wp:posOffset>
              </wp:positionH>
              <wp:positionV relativeFrom="page">
                <wp:posOffset>6798945</wp:posOffset>
              </wp:positionV>
              <wp:extent cx="146050" cy="64135"/>
              <wp:wrapNone/>
              <wp:docPr id="1348" name="Shape 1348"/>
              <a:graphic xmlns:a="http://schemas.openxmlformats.org/drawingml/2006/main">
                <a:graphicData uri="http://schemas.microsoft.com/office/word/2010/wordprocessingShape">
                  <wps:wsp>
                    <wps:cNvSpPr txBox="1"/>
                    <wps:spPr>
                      <a:xfrm>
                        <a:ext cx="1460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919</w:t>
                          </w:r>
                        </w:p>
                      </w:txbxContent>
                    </wps:txbx>
                    <wps:bodyPr wrap="none" lIns="0" tIns="0" rIns="0" bIns="0">
                      <a:spAutoFit/>
                    </wps:bodyPr>
                  </wps:wsp>
                </a:graphicData>
              </a:graphic>
            </wp:anchor>
          </w:drawing>
        </mc:Choice>
        <mc:Fallback>
          <w:pict>
            <v:shape id="_x0000_s2374" type="#_x0000_t202" style="position:absolute;margin-left:13.75pt;margin-top:535.35000000000002pt;width:11.5pt;height:5.0499999999999998pt;z-index:-1887430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919</w:t>
                    </w:r>
                  </w:p>
                </w:txbxContent>
              </v:textbox>
              <w10:wrap anchorx="page" anchory="page"/>
            </v:shape>
          </w:pict>
        </mc:Fallback>
      </mc:AlternateContent>
    </w:r>
  </w:p>
</w:ftr>
</file>

<file path=word/footer3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6" behindDoc="1" locked="0" layoutInCell="1" allowOverlap="1">
              <wp:simplePos x="0" y="0"/>
              <wp:positionH relativeFrom="page">
                <wp:posOffset>4025900</wp:posOffset>
              </wp:positionH>
              <wp:positionV relativeFrom="page">
                <wp:posOffset>6844665</wp:posOffset>
              </wp:positionV>
              <wp:extent cx="140335" cy="45720"/>
              <wp:wrapNone/>
              <wp:docPr id="1353" name="Shape 1353"/>
              <a:graphic xmlns:a="http://schemas.openxmlformats.org/drawingml/2006/main">
                <a:graphicData uri="http://schemas.microsoft.com/office/word/2010/wordprocessingShape">
                  <wps:wsp>
                    <wps:cNvSpPr txBox="1"/>
                    <wps:spPr>
                      <a:xfrm>
                        <a:ext cx="140335" cy="4572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 11</w:t>
                          </w:r>
                        </w:p>
                      </w:txbxContent>
                    </wps:txbx>
                    <wps:bodyPr wrap="none" lIns="0" tIns="0" rIns="0" bIns="0">
                      <a:spAutoFit/>
                    </wps:bodyPr>
                  </wps:wsp>
                </a:graphicData>
              </a:graphic>
            </wp:anchor>
          </w:drawing>
        </mc:Choice>
        <mc:Fallback>
          <w:pict>
            <v:shape id="_x0000_s2379" type="#_x0000_t202" style="position:absolute;margin-left:317.pt;margin-top:538.95000000000005pt;width:11.050000000000001pt;height:3.6000000000000001pt;z-index:-1887430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 11</w:t>
                    </w:r>
                  </w:p>
                </w:txbxContent>
              </v:textbox>
              <w10:wrap anchorx="page" anchory="page"/>
            </v:shape>
          </w:pict>
        </mc:Fallback>
      </mc:AlternateContent>
    </w:r>
  </w:p>
</w:ftr>
</file>

<file path=word/footer3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0" behindDoc="1" locked="0" layoutInCell="1" allowOverlap="1">
              <wp:simplePos x="0" y="0"/>
              <wp:positionH relativeFrom="page">
                <wp:posOffset>172720</wp:posOffset>
              </wp:positionH>
              <wp:positionV relativeFrom="page">
                <wp:posOffset>6853555</wp:posOffset>
              </wp:positionV>
              <wp:extent cx="152400" cy="73025"/>
              <wp:wrapNone/>
              <wp:docPr id="1373" name="Shape 1373"/>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2399" type="#_x0000_t202" style="position:absolute;margin-left:13.6pt;margin-top:539.64999999999998pt;width:12.pt;height:5.75pt;z-index:-1887430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3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4" behindDoc="1" locked="0" layoutInCell="1" allowOverlap="1">
              <wp:simplePos x="0" y="0"/>
              <wp:positionH relativeFrom="page">
                <wp:posOffset>172720</wp:posOffset>
              </wp:positionH>
              <wp:positionV relativeFrom="page">
                <wp:posOffset>6853555</wp:posOffset>
              </wp:positionV>
              <wp:extent cx="152400" cy="73025"/>
              <wp:wrapNone/>
              <wp:docPr id="1378" name="Shape 1378"/>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2404" type="#_x0000_t202" style="position:absolute;margin-left:13.6pt;margin-top:539.64999999999998pt;width:12.pt;height:5.75pt;z-index:-1887429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3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0" behindDoc="1" locked="0" layoutInCell="1" allowOverlap="1">
              <wp:simplePos x="0" y="0"/>
              <wp:positionH relativeFrom="page">
                <wp:posOffset>165100</wp:posOffset>
              </wp:positionH>
              <wp:positionV relativeFrom="page">
                <wp:posOffset>6786880</wp:posOffset>
              </wp:positionV>
              <wp:extent cx="146050" cy="54610"/>
              <wp:wrapNone/>
              <wp:docPr id="1405" name="Shape 1405"/>
              <a:graphic xmlns:a="http://schemas.openxmlformats.org/drawingml/2006/main">
                <a:graphicData uri="http://schemas.microsoft.com/office/word/2010/wordprocessingShape">
                  <wps:wsp>
                    <wps:cNvSpPr txBox="1"/>
                    <wps:spPr>
                      <a:xfrm>
                        <a:ext cx="1460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770</w:t>
                          </w:r>
                        </w:p>
                      </w:txbxContent>
                    </wps:txbx>
                    <wps:bodyPr wrap="none" lIns="0" tIns="0" rIns="0" bIns="0">
                      <a:spAutoFit/>
                    </wps:bodyPr>
                  </wps:wsp>
                </a:graphicData>
              </a:graphic>
            </wp:anchor>
          </w:drawing>
        </mc:Choice>
        <mc:Fallback>
          <w:pict>
            <v:shape id="_x0000_s2431" type="#_x0000_t202" style="position:absolute;margin-left:13.pt;margin-top:534.39999999999998pt;width:11.5pt;height:4.2999999999999998pt;z-index:-1887429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770</w:t>
                    </w:r>
                  </w:p>
                </w:txbxContent>
              </v:textbox>
              <w10:wrap anchorx="page" anchory="page"/>
            </v:shape>
          </w:pict>
        </mc:Fallback>
      </mc:AlternateContent>
    </w:r>
  </w:p>
</w:ftr>
</file>

<file path=word/footer3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4" behindDoc="1" locked="0" layoutInCell="1" allowOverlap="1">
              <wp:simplePos x="0" y="0"/>
              <wp:positionH relativeFrom="page">
                <wp:posOffset>165100</wp:posOffset>
              </wp:positionH>
              <wp:positionV relativeFrom="page">
                <wp:posOffset>6786880</wp:posOffset>
              </wp:positionV>
              <wp:extent cx="146050" cy="54610"/>
              <wp:wrapNone/>
              <wp:docPr id="1410" name="Shape 1410"/>
              <a:graphic xmlns:a="http://schemas.openxmlformats.org/drawingml/2006/main">
                <a:graphicData uri="http://schemas.microsoft.com/office/word/2010/wordprocessingShape">
                  <wps:wsp>
                    <wps:cNvSpPr txBox="1"/>
                    <wps:spPr>
                      <a:xfrm>
                        <a:ext cx="1460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770</w:t>
                          </w:r>
                        </w:p>
                      </w:txbxContent>
                    </wps:txbx>
                    <wps:bodyPr wrap="none" lIns="0" tIns="0" rIns="0" bIns="0">
                      <a:spAutoFit/>
                    </wps:bodyPr>
                  </wps:wsp>
                </a:graphicData>
              </a:graphic>
            </wp:anchor>
          </w:drawing>
        </mc:Choice>
        <mc:Fallback>
          <w:pict>
            <v:shape id="_x0000_s2436" type="#_x0000_t202" style="position:absolute;margin-left:13.pt;margin-top:534.39999999999998pt;width:11.5pt;height:4.2999999999999998pt;z-index:-1887429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770</w:t>
                    </w:r>
                  </w:p>
                </w:txbxContent>
              </v:textbox>
              <w10:wrap anchorx="page" anchory="page"/>
            </v:shape>
          </w:pict>
        </mc:Fallback>
      </mc:AlternateContent>
    </w:r>
  </w:p>
</w:ftr>
</file>

<file path=word/footer3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0" behindDoc="1" locked="0" layoutInCell="1" allowOverlap="1">
              <wp:simplePos x="0" y="0"/>
              <wp:positionH relativeFrom="page">
                <wp:posOffset>168275</wp:posOffset>
              </wp:positionH>
              <wp:positionV relativeFrom="page">
                <wp:posOffset>6795770</wp:posOffset>
              </wp:positionV>
              <wp:extent cx="155575" cy="69850"/>
              <wp:wrapNone/>
              <wp:docPr id="1418" name="Shape 1418"/>
              <a:graphic xmlns:a="http://schemas.openxmlformats.org/drawingml/2006/main">
                <a:graphicData uri="http://schemas.microsoft.com/office/word/2010/wordprocessingShape">
                  <wps:wsp>
                    <wps:cNvSpPr txBox="1"/>
                    <wps:spPr>
                      <a:xfrm>
                        <a:ext cx="1555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774</w:t>
                          </w:r>
                        </w:p>
                      </w:txbxContent>
                    </wps:txbx>
                    <wps:bodyPr wrap="none" lIns="0" tIns="0" rIns="0" bIns="0">
                      <a:spAutoFit/>
                    </wps:bodyPr>
                  </wps:wsp>
                </a:graphicData>
              </a:graphic>
            </wp:anchor>
          </w:drawing>
        </mc:Choice>
        <mc:Fallback>
          <w:pict>
            <v:shape id="_x0000_s2444" type="#_x0000_t202" style="position:absolute;margin-left:13.25pt;margin-top:535.10000000000002pt;width:12.25pt;height:5.5pt;z-index:-1887429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774</w:t>
                    </w:r>
                  </w:p>
                </w:txbxContent>
              </v:textbox>
              <w10:wrap anchorx="page" anchory="page"/>
            </v:shape>
          </w:pict>
        </mc:Fallback>
      </mc:AlternateContent>
    </w:r>
  </w:p>
</w:ftr>
</file>

<file path=word/footer3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4" behindDoc="1" locked="0" layoutInCell="1" allowOverlap="1">
              <wp:simplePos x="0" y="0"/>
              <wp:positionH relativeFrom="page">
                <wp:posOffset>168275</wp:posOffset>
              </wp:positionH>
              <wp:positionV relativeFrom="page">
                <wp:posOffset>6795770</wp:posOffset>
              </wp:positionV>
              <wp:extent cx="155575" cy="69850"/>
              <wp:wrapNone/>
              <wp:docPr id="1423" name="Shape 1423"/>
              <a:graphic xmlns:a="http://schemas.openxmlformats.org/drawingml/2006/main">
                <a:graphicData uri="http://schemas.microsoft.com/office/word/2010/wordprocessingShape">
                  <wps:wsp>
                    <wps:cNvSpPr txBox="1"/>
                    <wps:spPr>
                      <a:xfrm>
                        <a:ext cx="1555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774</w:t>
                          </w:r>
                        </w:p>
                      </w:txbxContent>
                    </wps:txbx>
                    <wps:bodyPr wrap="none" lIns="0" tIns="0" rIns="0" bIns="0">
                      <a:spAutoFit/>
                    </wps:bodyPr>
                  </wps:wsp>
                </a:graphicData>
              </a:graphic>
            </wp:anchor>
          </w:drawing>
        </mc:Choice>
        <mc:Fallback>
          <w:pict>
            <v:shape id="_x0000_s2449" type="#_x0000_t202" style="position:absolute;margin-left:13.25pt;margin-top:535.10000000000002pt;width:12.25pt;height:5.5pt;z-index:-1887429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774</w:t>
                    </w:r>
                  </w:p>
                </w:txbxContent>
              </v:textbox>
              <w10:wrap anchorx="page" anchory="page"/>
            </v:shape>
          </w:pict>
        </mc:Fallback>
      </mc:AlternateContent>
    </w:r>
  </w:p>
</w:ftr>
</file>

<file path=word/footer3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8" behindDoc="1" locked="0" layoutInCell="1" allowOverlap="1">
              <wp:simplePos x="0" y="0"/>
              <wp:positionH relativeFrom="page">
                <wp:posOffset>4034155</wp:posOffset>
              </wp:positionH>
              <wp:positionV relativeFrom="page">
                <wp:posOffset>6844665</wp:posOffset>
              </wp:positionV>
              <wp:extent cx="152400" cy="60960"/>
              <wp:wrapNone/>
              <wp:docPr id="1428" name="Shape 1428"/>
              <a:graphic xmlns:a="http://schemas.openxmlformats.org/drawingml/2006/main">
                <a:graphicData uri="http://schemas.microsoft.com/office/word/2010/wordprocessingShape">
                  <wps:wsp>
                    <wps:cNvSpPr txBox="1"/>
                    <wps:spPr>
                      <a:xfrm>
                        <a:ext cx="15240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i/>
                              <w:iCs/>
                              <w:color w:val="000000"/>
                              <w:spacing w:val="0"/>
                              <w:w w:val="100"/>
                              <w:position w:val="0"/>
                              <w:sz w:val="12"/>
                              <w:szCs w:val="12"/>
                              <w:shd w:val="clear" w:color="auto" w:fill="auto"/>
                              <w:lang w:val="hr-HR" w:eastAsia="hr-HR" w:bidi="hr-HR"/>
                            </w:rPr>
                            <w:t>771</w:t>
                          </w:r>
                        </w:p>
                      </w:txbxContent>
                    </wps:txbx>
                    <wps:bodyPr wrap="none" lIns="0" tIns="0" rIns="0" bIns="0">
                      <a:spAutoFit/>
                    </wps:bodyPr>
                  </wps:wsp>
                </a:graphicData>
              </a:graphic>
            </wp:anchor>
          </w:drawing>
        </mc:Choice>
        <mc:Fallback>
          <w:pict>
            <v:shape id="_x0000_s2454" type="#_x0000_t202" style="position:absolute;margin-left:317.64999999999998pt;margin-top:538.95000000000005pt;width:12.pt;height:4.7999999999999998pt;z-index:-1887429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i/>
                        <w:iCs/>
                        <w:color w:val="000000"/>
                        <w:spacing w:val="0"/>
                        <w:w w:val="100"/>
                        <w:position w:val="0"/>
                        <w:sz w:val="12"/>
                        <w:szCs w:val="12"/>
                        <w:shd w:val="clear" w:color="auto" w:fill="auto"/>
                        <w:lang w:val="hr-HR" w:eastAsia="hr-HR" w:bidi="hr-HR"/>
                      </w:rPr>
                      <w:t>771</w:t>
                    </w:r>
                  </w:p>
                </w:txbxContent>
              </v:textbox>
              <w10:wrap anchorx="page" anchory="page"/>
            </v:shape>
          </w:pict>
        </mc:Fallback>
      </mc:AlternateContent>
    </w:r>
  </w:p>
</w:ftr>
</file>

<file path=word/footer3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6" behindDoc="1" locked="0" layoutInCell="1" allowOverlap="1">
              <wp:simplePos x="0" y="0"/>
              <wp:positionH relativeFrom="page">
                <wp:posOffset>4005580</wp:posOffset>
              </wp:positionH>
              <wp:positionV relativeFrom="page">
                <wp:posOffset>6823075</wp:posOffset>
              </wp:positionV>
              <wp:extent cx="186055" cy="94615"/>
              <wp:wrapNone/>
              <wp:docPr id="1439" name="Shape 1439"/>
              <a:graphic xmlns:a="http://schemas.openxmlformats.org/drawingml/2006/main">
                <a:graphicData uri="http://schemas.microsoft.com/office/word/2010/wordprocessingShape">
                  <wps:wsp>
                    <wps:cNvSpPr txBox="1"/>
                    <wps:spPr>
                      <a:xfrm>
                        <a:ext cx="186055" cy="94615"/>
                      </a:xfrm>
                      <a:prstGeom prst="rect"/>
                      <a:noFill/>
                    </wps:spPr>
                    <wps:txbx>
                      <w:txbxContent>
                        <w:p>
                          <w:pPr>
                            <w:widowControl w:val="0"/>
                          </w:pPr>
                        </w:p>
                      </w:txbxContent>
                    </wps:txbx>
                    <wps:bodyPr wrap="none" lIns="0" tIns="0" rIns="0" bIns="0">
                      <a:spAutoFit/>
                    </wps:bodyPr>
                  </wps:wsp>
                </a:graphicData>
              </a:graphic>
            </wp:anchor>
          </w:drawing>
        </mc:Choice>
        <mc:Fallback>
          <w:pict>
            <v:shape id="_x0000_s2465" type="#_x0000_t202" style="position:absolute;margin-left:315.39999999999998pt;margin-top:537.25pt;width:14.65pt;height:7.4500000000000002pt;z-index:-188742957;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3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0" behindDoc="1" locked="0" layoutInCell="1" allowOverlap="1">
              <wp:simplePos x="0" y="0"/>
              <wp:positionH relativeFrom="page">
                <wp:posOffset>4049395</wp:posOffset>
              </wp:positionH>
              <wp:positionV relativeFrom="page">
                <wp:posOffset>6832600</wp:posOffset>
              </wp:positionV>
              <wp:extent cx="155575" cy="39370"/>
              <wp:wrapNone/>
              <wp:docPr id="1446" name="Shape 1446"/>
              <a:graphic xmlns:a="http://schemas.openxmlformats.org/drawingml/2006/main">
                <a:graphicData uri="http://schemas.microsoft.com/office/word/2010/wordprocessingShape">
                  <wps:wsp>
                    <wps:cNvSpPr txBox="1"/>
                    <wps:spPr>
                      <a:xfrm>
                        <a:ext cx="155575" cy="393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OOfl</w:t>
                          </w:r>
                        </w:p>
                      </w:txbxContent>
                    </wps:txbx>
                    <wps:bodyPr wrap="none" lIns="0" tIns="0" rIns="0" bIns="0">
                      <a:spAutoFit/>
                    </wps:bodyPr>
                  </wps:wsp>
                </a:graphicData>
              </a:graphic>
            </wp:anchor>
          </w:drawing>
        </mc:Choice>
        <mc:Fallback>
          <w:pict>
            <v:shape id="_x0000_s2472" type="#_x0000_t202" style="position:absolute;margin-left:318.85000000000002pt;margin-top:538.pt;width:12.25pt;height:3.1000000000000001pt;z-index:-1887429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OOfl</w:t>
                    </w:r>
                  </w:p>
                </w:txbxContent>
              </v:textbox>
              <w10:wrap anchorx="page" anchory="page"/>
            </v:shape>
          </w:pict>
        </mc:Fallback>
      </mc:AlternateContent>
    </w:r>
  </w:p>
</w:ftr>
</file>

<file path=word/footer3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4" behindDoc="1" locked="0" layoutInCell="1" allowOverlap="1">
              <wp:simplePos x="0" y="0"/>
              <wp:positionH relativeFrom="page">
                <wp:posOffset>4049395</wp:posOffset>
              </wp:positionH>
              <wp:positionV relativeFrom="page">
                <wp:posOffset>6832600</wp:posOffset>
              </wp:positionV>
              <wp:extent cx="155575" cy="39370"/>
              <wp:wrapNone/>
              <wp:docPr id="1451" name="Shape 1451"/>
              <a:graphic xmlns:a="http://schemas.openxmlformats.org/drawingml/2006/main">
                <a:graphicData uri="http://schemas.microsoft.com/office/word/2010/wordprocessingShape">
                  <wps:wsp>
                    <wps:cNvSpPr txBox="1"/>
                    <wps:spPr>
                      <a:xfrm>
                        <a:ext cx="155575" cy="393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OOfl</w:t>
                          </w:r>
                        </w:p>
                      </w:txbxContent>
                    </wps:txbx>
                    <wps:bodyPr wrap="none" lIns="0" tIns="0" rIns="0" bIns="0">
                      <a:spAutoFit/>
                    </wps:bodyPr>
                  </wps:wsp>
                </a:graphicData>
              </a:graphic>
            </wp:anchor>
          </w:drawing>
        </mc:Choice>
        <mc:Fallback>
          <w:pict>
            <v:shape id="_x0000_s2477" type="#_x0000_t202" style="position:absolute;margin-left:318.85000000000002pt;margin-top:538.pt;width:12.25pt;height:3.1000000000000001pt;z-index:-1887429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OOfl</w:t>
                    </w:r>
                  </w:p>
                </w:txbxContent>
              </v:textbox>
              <w10:wrap anchorx="page" anchory="page"/>
            </v:shape>
          </w:pict>
        </mc:Fallback>
      </mc:AlternateContent>
    </w:r>
  </w:p>
</w:ftr>
</file>

<file path=word/footer3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8" behindDoc="1" locked="0" layoutInCell="1" allowOverlap="1">
              <wp:simplePos x="0" y="0"/>
              <wp:positionH relativeFrom="page">
                <wp:posOffset>4023995</wp:posOffset>
              </wp:positionH>
              <wp:positionV relativeFrom="page">
                <wp:posOffset>6790055</wp:posOffset>
              </wp:positionV>
              <wp:extent cx="143510" cy="79375"/>
              <wp:wrapNone/>
              <wp:docPr id="1456" name="Shape 1456"/>
              <a:graphic xmlns:a="http://schemas.openxmlformats.org/drawingml/2006/main">
                <a:graphicData uri="http://schemas.microsoft.com/office/word/2010/wordprocessingShape">
                  <wps:wsp>
                    <wps:cNvSpPr txBox="1"/>
                    <wps:spPr>
                      <a:xfrm>
                        <a:ext cx="1435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2482" type="#_x0000_t202" style="position:absolute;margin-left:316.85000000000002pt;margin-top:534.64999999999998pt;width:11.300000000000001pt;height:6.25pt;z-index:-1887429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3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2" behindDoc="1" locked="0" layoutInCell="1" allowOverlap="1">
              <wp:simplePos x="0" y="0"/>
              <wp:positionH relativeFrom="page">
                <wp:posOffset>4023995</wp:posOffset>
              </wp:positionH>
              <wp:positionV relativeFrom="page">
                <wp:posOffset>6790055</wp:posOffset>
              </wp:positionV>
              <wp:extent cx="143510" cy="79375"/>
              <wp:wrapNone/>
              <wp:docPr id="1461" name="Shape 1461"/>
              <a:graphic xmlns:a="http://schemas.openxmlformats.org/drawingml/2006/main">
                <a:graphicData uri="http://schemas.microsoft.com/office/word/2010/wordprocessingShape">
                  <wps:wsp>
                    <wps:cNvSpPr txBox="1"/>
                    <wps:spPr>
                      <a:xfrm>
                        <a:ext cx="1435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2487" type="#_x0000_t202" style="position:absolute;margin-left:316.85000000000002pt;margin-top:534.64999999999998pt;width:11.300000000000001pt;height:6.25pt;z-index:-1887429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3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6" behindDoc="1" locked="0" layoutInCell="1" allowOverlap="1">
              <wp:simplePos x="0" y="0"/>
              <wp:positionH relativeFrom="page">
                <wp:posOffset>173990</wp:posOffset>
              </wp:positionH>
              <wp:positionV relativeFrom="page">
                <wp:posOffset>6780530</wp:posOffset>
              </wp:positionV>
              <wp:extent cx="149225" cy="79375"/>
              <wp:wrapNone/>
              <wp:docPr id="1466" name="Shape 1466"/>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2492" type="#_x0000_t202" style="position:absolute;margin-left:13.699999999999999pt;margin-top:533.89999999999998pt;width:11.75pt;height:6.25pt;z-index:-1887429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3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0" behindDoc="1" locked="0" layoutInCell="1" allowOverlap="1">
              <wp:simplePos x="0" y="0"/>
              <wp:positionH relativeFrom="page">
                <wp:posOffset>4031615</wp:posOffset>
              </wp:positionH>
              <wp:positionV relativeFrom="page">
                <wp:posOffset>6792595</wp:posOffset>
              </wp:positionV>
              <wp:extent cx="152400" cy="82550"/>
              <wp:wrapNone/>
              <wp:docPr id="1471" name="Shape 1471"/>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497" type="#_x0000_t202" style="position:absolute;margin-left:317.44999999999999pt;margin-top:534.85000000000002pt;width:12.pt;height:6.5pt;z-index:-1887429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4" behindDoc="1" locked="0" layoutInCell="1" allowOverlap="1">
              <wp:simplePos x="0" y="0"/>
              <wp:positionH relativeFrom="page">
                <wp:posOffset>4031615</wp:posOffset>
              </wp:positionH>
              <wp:positionV relativeFrom="page">
                <wp:posOffset>6792595</wp:posOffset>
              </wp:positionV>
              <wp:extent cx="152400" cy="82550"/>
              <wp:wrapNone/>
              <wp:docPr id="1476" name="Shape 1476"/>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02" type="#_x0000_t202" style="position:absolute;margin-left:317.44999999999999pt;margin-top:534.85000000000002pt;width:12.pt;height:6.5pt;z-index:-1887429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8" behindDoc="1" locked="0" layoutInCell="1" allowOverlap="1">
              <wp:simplePos x="0" y="0"/>
              <wp:positionH relativeFrom="page">
                <wp:posOffset>160655</wp:posOffset>
              </wp:positionH>
              <wp:positionV relativeFrom="page">
                <wp:posOffset>6786880</wp:posOffset>
              </wp:positionV>
              <wp:extent cx="152400" cy="79375"/>
              <wp:wrapNone/>
              <wp:docPr id="1481" name="Shape 1481"/>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07" type="#_x0000_t202" style="position:absolute;margin-left:12.65pt;margin-top:534.39999999999998pt;width:12.pt;height:6.25pt;z-index:-1887429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6" behindDoc="1" locked="0" layoutInCell="1" allowOverlap="1">
              <wp:simplePos x="0" y="0"/>
              <wp:positionH relativeFrom="page">
                <wp:posOffset>4031615</wp:posOffset>
              </wp:positionH>
              <wp:positionV relativeFrom="page">
                <wp:posOffset>6792595</wp:posOffset>
              </wp:positionV>
              <wp:extent cx="152400" cy="82550"/>
              <wp:wrapNone/>
              <wp:docPr id="1494" name="Shape 1494"/>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20" type="#_x0000_t202" style="position:absolute;margin-left:317.44999999999999pt;margin-top:534.85000000000002pt;width:12.pt;height:6.5pt;z-index:-1887429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0" behindDoc="1" locked="0" layoutInCell="1" allowOverlap="1">
              <wp:simplePos x="0" y="0"/>
              <wp:positionH relativeFrom="page">
                <wp:posOffset>4031615</wp:posOffset>
              </wp:positionH>
              <wp:positionV relativeFrom="page">
                <wp:posOffset>6792595</wp:posOffset>
              </wp:positionV>
              <wp:extent cx="152400" cy="82550"/>
              <wp:wrapNone/>
              <wp:docPr id="1499" name="Shape 1499"/>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25" type="#_x0000_t202" style="position:absolute;margin-left:317.44999999999999pt;margin-top:534.85000000000002pt;width:12.pt;height:6.5pt;z-index:-1887429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2" behindDoc="1" locked="0" layoutInCell="1" allowOverlap="1">
              <wp:simplePos x="0" y="0"/>
              <wp:positionH relativeFrom="page">
                <wp:posOffset>165735</wp:posOffset>
              </wp:positionH>
              <wp:positionV relativeFrom="page">
                <wp:posOffset>6789420</wp:posOffset>
              </wp:positionV>
              <wp:extent cx="158750" cy="82550"/>
              <wp:wrapNone/>
              <wp:docPr id="1501" name="Shape 1501"/>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27" type="#_x0000_t202" style="position:absolute;margin-left:13.050000000000001pt;margin-top:534.60000000000002pt;width:12.5pt;height:6.5pt;z-index:-1887429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4" behindDoc="1" locked="0" layoutInCell="1" allowOverlap="1">
              <wp:simplePos x="0" y="0"/>
              <wp:positionH relativeFrom="page">
                <wp:posOffset>165735</wp:posOffset>
              </wp:positionH>
              <wp:positionV relativeFrom="page">
                <wp:posOffset>6789420</wp:posOffset>
              </wp:positionV>
              <wp:extent cx="158750" cy="82550"/>
              <wp:wrapNone/>
              <wp:docPr id="1503" name="Shape 1503"/>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29" type="#_x0000_t202" style="position:absolute;margin-left:13.050000000000001pt;margin-top:534.60000000000002pt;width:12.5pt;height:6.5pt;z-index:-1887429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8" behindDoc="1" locked="0" layoutInCell="1" allowOverlap="1">
              <wp:simplePos x="0" y="0"/>
              <wp:positionH relativeFrom="page">
                <wp:posOffset>154940</wp:posOffset>
              </wp:positionH>
              <wp:positionV relativeFrom="page">
                <wp:posOffset>6795770</wp:posOffset>
              </wp:positionV>
              <wp:extent cx="189230" cy="94615"/>
              <wp:wrapNone/>
              <wp:docPr id="1508" name="Shape 1508"/>
              <a:graphic xmlns:a="http://schemas.openxmlformats.org/drawingml/2006/main">
                <a:graphicData uri="http://schemas.microsoft.com/office/word/2010/wordprocessingShape">
                  <wps:wsp>
                    <wps:cNvSpPr txBox="1"/>
                    <wps:spPr>
                      <a:xfrm>
                        <a:ext cx="189230" cy="94615"/>
                      </a:xfrm>
                      <a:prstGeom prst="rect"/>
                      <a:noFill/>
                    </wps:spPr>
                    <wps:txbx>
                      <w:txbxContent>
                        <w:p>
                          <w:pPr>
                            <w:widowControl w:val="0"/>
                          </w:pPr>
                        </w:p>
                      </w:txbxContent>
                    </wps:txbx>
                    <wps:bodyPr wrap="none" lIns="0" tIns="0" rIns="0" bIns="0">
                      <a:spAutoFit/>
                    </wps:bodyPr>
                  </wps:wsp>
                </a:graphicData>
              </a:graphic>
            </wp:anchor>
          </w:drawing>
        </mc:Choice>
        <mc:Fallback>
          <w:pict>
            <v:shape id="_x0000_s2534" type="#_x0000_t202" style="position:absolute;margin-left:12.199999999999999pt;margin-top:535.10000000000002pt;width:14.9pt;height:7.4500000000000002pt;z-index:-188742905;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3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2" behindDoc="1" locked="0" layoutInCell="1" allowOverlap="1">
              <wp:simplePos x="0" y="0"/>
              <wp:positionH relativeFrom="page">
                <wp:posOffset>154940</wp:posOffset>
              </wp:positionH>
              <wp:positionV relativeFrom="page">
                <wp:posOffset>6795770</wp:posOffset>
              </wp:positionV>
              <wp:extent cx="189230" cy="94615"/>
              <wp:wrapNone/>
              <wp:docPr id="1513" name="Shape 1513"/>
              <a:graphic xmlns:a="http://schemas.openxmlformats.org/drawingml/2006/main">
                <a:graphicData uri="http://schemas.microsoft.com/office/word/2010/wordprocessingShape">
                  <wps:wsp>
                    <wps:cNvSpPr txBox="1"/>
                    <wps:spPr>
                      <a:xfrm>
                        <a:ext cx="189230" cy="94615"/>
                      </a:xfrm>
                      <a:prstGeom prst="rect"/>
                      <a:noFill/>
                    </wps:spPr>
                    <wps:txbx>
                      <w:txbxContent>
                        <w:p>
                          <w:pPr>
                            <w:widowControl w:val="0"/>
                          </w:pPr>
                        </w:p>
                      </w:txbxContent>
                    </wps:txbx>
                    <wps:bodyPr wrap="none" lIns="0" tIns="0" rIns="0" bIns="0">
                      <a:spAutoFit/>
                    </wps:bodyPr>
                  </wps:wsp>
                </a:graphicData>
              </a:graphic>
            </wp:anchor>
          </w:drawing>
        </mc:Choice>
        <mc:Fallback>
          <w:pict>
            <v:shape id="_x0000_s2539" type="#_x0000_t202" style="position:absolute;margin-left:12.199999999999999pt;margin-top:535.10000000000002pt;width:14.9pt;height:7.4500000000000002pt;z-index:-188742901;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3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6" behindDoc="1" locked="0" layoutInCell="1" allowOverlap="1">
              <wp:simplePos x="0" y="0"/>
              <wp:positionH relativeFrom="page">
                <wp:posOffset>4027170</wp:posOffset>
              </wp:positionH>
              <wp:positionV relativeFrom="page">
                <wp:posOffset>6819900</wp:posOffset>
              </wp:positionV>
              <wp:extent cx="155575" cy="60960"/>
              <wp:wrapNone/>
              <wp:docPr id="1518" name="Shape 1518"/>
              <a:graphic xmlns:a="http://schemas.openxmlformats.org/drawingml/2006/main">
                <a:graphicData uri="http://schemas.microsoft.com/office/word/2010/wordprocessingShape">
                  <wps:wsp>
                    <wps:cNvSpPr txBox="1"/>
                    <wps:spPr>
                      <a:xfrm>
                        <a:ext cx="1555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977</w:t>
                          </w:r>
                        </w:p>
                      </w:txbxContent>
                    </wps:txbx>
                    <wps:bodyPr wrap="none" lIns="0" tIns="0" rIns="0" bIns="0">
                      <a:spAutoFit/>
                    </wps:bodyPr>
                  </wps:wsp>
                </a:graphicData>
              </a:graphic>
            </wp:anchor>
          </w:drawing>
        </mc:Choice>
        <mc:Fallback>
          <w:pict>
            <v:shape id="_x0000_s2544" type="#_x0000_t202" style="position:absolute;margin-left:317.10000000000002pt;margin-top:537.pt;width:12.25pt;height:4.7999999999999998pt;z-index:-1887428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977</w:t>
                    </w:r>
                  </w:p>
                </w:txbxContent>
              </v:textbox>
              <w10:wrap anchorx="page" anchory="page"/>
            </v:shape>
          </w:pict>
        </mc:Fallback>
      </mc:AlternateContent>
    </w:r>
  </w:p>
</w:ftr>
</file>

<file path=word/footer3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8" behindDoc="1" locked="0" layoutInCell="1" allowOverlap="1">
              <wp:simplePos x="0" y="0"/>
              <wp:positionH relativeFrom="page">
                <wp:posOffset>4034155</wp:posOffset>
              </wp:positionH>
              <wp:positionV relativeFrom="page">
                <wp:posOffset>6826250</wp:posOffset>
              </wp:positionV>
              <wp:extent cx="152400" cy="36830"/>
              <wp:wrapNone/>
              <wp:docPr id="1520" name="Shape 1520"/>
              <a:graphic xmlns:a="http://schemas.openxmlformats.org/drawingml/2006/main">
                <a:graphicData uri="http://schemas.microsoft.com/office/word/2010/wordprocessingShape">
                  <wps:wsp>
                    <wps:cNvSpPr txBox="1"/>
                    <wps:spPr>
                      <a:xfrm>
                        <a:ext cx="152400" cy="3683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non</w:t>
                          </w:r>
                        </w:p>
                      </w:txbxContent>
                    </wps:txbx>
                    <wps:bodyPr wrap="none" lIns="0" tIns="0" rIns="0" bIns="0">
                      <a:spAutoFit/>
                    </wps:bodyPr>
                  </wps:wsp>
                </a:graphicData>
              </a:graphic>
            </wp:anchor>
          </w:drawing>
        </mc:Choice>
        <mc:Fallback>
          <w:pict>
            <v:shape id="_x0000_s2546" type="#_x0000_t202" style="position:absolute;margin-left:317.64999999999998pt;margin-top:537.5pt;width:12.pt;height:2.8999999999999999pt;z-index:-1887428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non</w:t>
                    </w:r>
                  </w:p>
                </w:txbxContent>
              </v:textbox>
              <w10:wrap anchorx="page" anchory="page"/>
            </v:shape>
          </w:pict>
        </mc:Fallback>
      </mc:AlternateContent>
    </w:r>
  </w:p>
</w:ftr>
</file>

<file path=word/footer3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0" behindDoc="1" locked="0" layoutInCell="1" allowOverlap="1">
              <wp:simplePos x="0" y="0"/>
              <wp:positionH relativeFrom="page">
                <wp:posOffset>4034155</wp:posOffset>
              </wp:positionH>
              <wp:positionV relativeFrom="page">
                <wp:posOffset>6826250</wp:posOffset>
              </wp:positionV>
              <wp:extent cx="152400" cy="36830"/>
              <wp:wrapNone/>
              <wp:docPr id="1522" name="Shape 1522"/>
              <a:graphic xmlns:a="http://schemas.openxmlformats.org/drawingml/2006/main">
                <a:graphicData uri="http://schemas.microsoft.com/office/word/2010/wordprocessingShape">
                  <wps:wsp>
                    <wps:cNvSpPr txBox="1"/>
                    <wps:spPr>
                      <a:xfrm>
                        <a:ext cx="152400" cy="3683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non</w:t>
                          </w:r>
                        </w:p>
                      </w:txbxContent>
                    </wps:txbx>
                    <wps:bodyPr wrap="none" lIns="0" tIns="0" rIns="0" bIns="0">
                      <a:spAutoFit/>
                    </wps:bodyPr>
                  </wps:wsp>
                </a:graphicData>
              </a:graphic>
            </wp:anchor>
          </w:drawing>
        </mc:Choice>
        <mc:Fallback>
          <w:pict>
            <v:shape id="_x0000_s2548" type="#_x0000_t202" style="position:absolute;margin-left:317.64999999999998pt;margin-top:537.5pt;width:12.pt;height:2.8999999999999999pt;z-index:-1887428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en-US" w:eastAsia="en-US" w:bidi="en-US"/>
                      </w:rPr>
                      <w:t>non</w:t>
                    </w:r>
                  </w:p>
                </w:txbxContent>
              </v:textbox>
              <w10:wrap anchorx="page" anchory="page"/>
            </v:shape>
          </w:pict>
        </mc:Fallback>
      </mc:AlternateContent>
    </w:r>
  </w:p>
</w:ftr>
</file>

<file path=word/footer3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4" behindDoc="1" locked="0" layoutInCell="1" allowOverlap="1">
              <wp:simplePos x="0" y="0"/>
              <wp:positionH relativeFrom="page">
                <wp:posOffset>4040505</wp:posOffset>
              </wp:positionH>
              <wp:positionV relativeFrom="page">
                <wp:posOffset>6808470</wp:posOffset>
              </wp:positionV>
              <wp:extent cx="146050" cy="79375"/>
              <wp:wrapNone/>
              <wp:docPr id="1528" name="Shape 1528"/>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54" type="#_x0000_t202" style="position:absolute;margin-left:318.14999999999998pt;margin-top:536.10000000000002pt;width:11.5pt;height:6.25pt;z-index:-1887428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8" behindDoc="1" locked="0" layoutInCell="1" allowOverlap="1">
              <wp:simplePos x="0" y="0"/>
              <wp:positionH relativeFrom="page">
                <wp:posOffset>167640</wp:posOffset>
              </wp:positionH>
              <wp:positionV relativeFrom="page">
                <wp:posOffset>6817995</wp:posOffset>
              </wp:positionV>
              <wp:extent cx="155575" cy="73025"/>
              <wp:wrapNone/>
              <wp:docPr id="1533" name="Shape 1533"/>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59" type="#_x0000_t202" style="position:absolute;margin-left:13.199999999999999pt;margin-top:536.85000000000002pt;width:12.25pt;height:5.75pt;z-index:-1887428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4" behindDoc="1" locked="0" layoutInCell="1" allowOverlap="1">
              <wp:simplePos x="0" y="0"/>
              <wp:positionH relativeFrom="page">
                <wp:posOffset>169545</wp:posOffset>
              </wp:positionH>
              <wp:positionV relativeFrom="page">
                <wp:posOffset>6796405</wp:posOffset>
              </wp:positionV>
              <wp:extent cx="155575" cy="79375"/>
              <wp:wrapNone/>
              <wp:docPr id="1573" name="Shape 1573"/>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599" type="#_x0000_t202" style="position:absolute;margin-left:13.35pt;margin-top:535.14999999999998pt;width:12.25pt;height:6.25pt;z-index:-1887428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8" behindDoc="1" locked="0" layoutInCell="1" allowOverlap="1">
              <wp:simplePos x="0" y="0"/>
              <wp:positionH relativeFrom="page">
                <wp:posOffset>169545</wp:posOffset>
              </wp:positionH>
              <wp:positionV relativeFrom="page">
                <wp:posOffset>6796405</wp:posOffset>
              </wp:positionV>
              <wp:extent cx="155575" cy="79375"/>
              <wp:wrapNone/>
              <wp:docPr id="1578" name="Shape 1578"/>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04" type="#_x0000_t202" style="position:absolute;margin-left:13.35pt;margin-top:535.14999999999998pt;width:12.25pt;height:6.25pt;z-index:-1887428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0" behindDoc="1" locked="0" layoutInCell="1" allowOverlap="1">
              <wp:simplePos x="0" y="0"/>
              <wp:positionH relativeFrom="page">
                <wp:posOffset>4032885</wp:posOffset>
              </wp:positionH>
              <wp:positionV relativeFrom="page">
                <wp:posOffset>6830060</wp:posOffset>
              </wp:positionV>
              <wp:extent cx="137160" cy="67310"/>
              <wp:wrapNone/>
              <wp:docPr id="1580" name="Shape 1580"/>
              <a:graphic xmlns:a="http://schemas.openxmlformats.org/drawingml/2006/main">
                <a:graphicData uri="http://schemas.microsoft.com/office/word/2010/wordprocessingShape">
                  <wps:wsp>
                    <wps:cNvSpPr txBox="1"/>
                    <wps:spPr>
                      <a:xfrm>
                        <a:ext cx="1371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751</w:t>
                          </w:r>
                        </w:p>
                      </w:txbxContent>
                    </wps:txbx>
                    <wps:bodyPr wrap="none" lIns="0" tIns="0" rIns="0" bIns="0">
                      <a:spAutoFit/>
                    </wps:bodyPr>
                  </wps:wsp>
                </a:graphicData>
              </a:graphic>
            </wp:anchor>
          </w:drawing>
        </mc:Choice>
        <mc:Fallback>
          <w:pict>
            <v:shape id="_x0000_s2606" type="#_x0000_t202" style="position:absolute;margin-left:317.55000000000001pt;margin-top:537.79999999999995pt;width:10.800000000000001pt;height:5.2999999999999998pt;z-index:-1887428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751</w:t>
                    </w:r>
                  </w:p>
                </w:txbxContent>
              </v:textbox>
              <w10:wrap anchorx="page" anchory="page"/>
            </v:shape>
          </w:pict>
        </mc:Fallback>
      </mc:AlternateContent>
    </w:r>
  </w:p>
</w:ftr>
</file>

<file path=word/footer3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2" behindDoc="1" locked="0" layoutInCell="1" allowOverlap="1">
              <wp:simplePos x="0" y="0"/>
              <wp:positionH relativeFrom="page">
                <wp:posOffset>4032885</wp:posOffset>
              </wp:positionH>
              <wp:positionV relativeFrom="page">
                <wp:posOffset>6830060</wp:posOffset>
              </wp:positionV>
              <wp:extent cx="137160" cy="67310"/>
              <wp:wrapNone/>
              <wp:docPr id="1582" name="Shape 1582"/>
              <a:graphic xmlns:a="http://schemas.openxmlformats.org/drawingml/2006/main">
                <a:graphicData uri="http://schemas.microsoft.com/office/word/2010/wordprocessingShape">
                  <wps:wsp>
                    <wps:cNvSpPr txBox="1"/>
                    <wps:spPr>
                      <a:xfrm>
                        <a:ext cx="1371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751</w:t>
                          </w:r>
                        </w:p>
                      </w:txbxContent>
                    </wps:txbx>
                    <wps:bodyPr wrap="none" lIns="0" tIns="0" rIns="0" bIns="0">
                      <a:spAutoFit/>
                    </wps:bodyPr>
                  </wps:wsp>
                </a:graphicData>
              </a:graphic>
            </wp:anchor>
          </w:drawing>
        </mc:Choice>
        <mc:Fallback>
          <w:pict>
            <v:shape id="_x0000_s2608" type="#_x0000_t202" style="position:absolute;margin-left:317.55000000000001pt;margin-top:537.79999999999995pt;width:10.800000000000001pt;height:5.2999999999999998pt;z-index:-1887428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751</w:t>
                    </w:r>
                  </w:p>
                </w:txbxContent>
              </v:textbox>
              <w10:wrap anchorx="page" anchory="page"/>
            </v:shape>
          </w:pict>
        </mc:Fallback>
      </mc:AlternateContent>
    </w:r>
  </w:p>
</w:ftr>
</file>

<file path=word/footer3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6" behindDoc="1" locked="0" layoutInCell="1" allowOverlap="1">
              <wp:simplePos x="0" y="0"/>
              <wp:positionH relativeFrom="page">
                <wp:posOffset>166370</wp:posOffset>
              </wp:positionH>
              <wp:positionV relativeFrom="page">
                <wp:posOffset>6836410</wp:posOffset>
              </wp:positionV>
              <wp:extent cx="155575" cy="79375"/>
              <wp:wrapNone/>
              <wp:docPr id="1587" name="Shape 1587"/>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13" type="#_x0000_t202" style="position:absolute;margin-left:13.1pt;margin-top:538.29999999999995pt;width:12.25pt;height:6.25pt;z-index:-1887428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0" behindDoc="1" locked="0" layoutInCell="1" allowOverlap="1">
              <wp:simplePos x="0" y="0"/>
              <wp:positionH relativeFrom="page">
                <wp:posOffset>166370</wp:posOffset>
              </wp:positionH>
              <wp:positionV relativeFrom="page">
                <wp:posOffset>6836410</wp:posOffset>
              </wp:positionV>
              <wp:extent cx="155575" cy="79375"/>
              <wp:wrapNone/>
              <wp:docPr id="1592" name="Shape 1592"/>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18" type="#_x0000_t202" style="position:absolute;margin-left:13.1pt;margin-top:538.29999999999995pt;width:12.25pt;height:6.25pt;z-index:-1887428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4" behindDoc="1" locked="0" layoutInCell="1" allowOverlap="1">
              <wp:simplePos x="0" y="0"/>
              <wp:positionH relativeFrom="page">
                <wp:posOffset>4025265</wp:posOffset>
              </wp:positionH>
              <wp:positionV relativeFrom="page">
                <wp:posOffset>6805930</wp:posOffset>
              </wp:positionV>
              <wp:extent cx="152400" cy="69850"/>
              <wp:wrapNone/>
              <wp:docPr id="1612" name="Shape 1612"/>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38" type="#_x0000_t202" style="position:absolute;margin-left:316.94999999999999pt;margin-top:535.89999999999998pt;width:12.pt;height:5.5pt;z-index:-1887428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3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8" behindDoc="1" locked="0" layoutInCell="1" allowOverlap="1">
              <wp:simplePos x="0" y="0"/>
              <wp:positionH relativeFrom="page">
                <wp:posOffset>4025265</wp:posOffset>
              </wp:positionH>
              <wp:positionV relativeFrom="page">
                <wp:posOffset>6805930</wp:posOffset>
              </wp:positionV>
              <wp:extent cx="152400" cy="69850"/>
              <wp:wrapNone/>
              <wp:docPr id="1617" name="Shape 1617"/>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43" type="#_x0000_t202" style="position:absolute;margin-left:316.94999999999999pt;margin-top:535.89999999999998pt;width:12.pt;height:5.5pt;z-index:-1887428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3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2" behindDoc="1" locked="0" layoutInCell="1" allowOverlap="1">
              <wp:simplePos x="0" y="0"/>
              <wp:positionH relativeFrom="page">
                <wp:posOffset>175260</wp:posOffset>
              </wp:positionH>
              <wp:positionV relativeFrom="page">
                <wp:posOffset>6799580</wp:posOffset>
              </wp:positionV>
              <wp:extent cx="155575" cy="69850"/>
              <wp:wrapNone/>
              <wp:docPr id="1622" name="Shape 1622"/>
              <a:graphic xmlns:a="http://schemas.openxmlformats.org/drawingml/2006/main">
                <a:graphicData uri="http://schemas.microsoft.com/office/word/2010/wordprocessingShape">
                  <wps:wsp>
                    <wps:cNvSpPr txBox="1"/>
                    <wps:spPr>
                      <a:xfrm>
                        <a:ext cx="1555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48" type="#_x0000_t202" style="position:absolute;margin-left:13.800000000000001pt;margin-top:535.39999999999998pt;width:12.25pt;height:5.5pt;z-index:-1887428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3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6" behindDoc="1" locked="0" layoutInCell="1" allowOverlap="1">
              <wp:simplePos x="0" y="0"/>
              <wp:positionH relativeFrom="page">
                <wp:posOffset>169545</wp:posOffset>
              </wp:positionH>
              <wp:positionV relativeFrom="page">
                <wp:posOffset>6805930</wp:posOffset>
              </wp:positionV>
              <wp:extent cx="155575" cy="82550"/>
              <wp:wrapNone/>
              <wp:docPr id="1627" name="Shape 1627"/>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53" type="#_x0000_t202" style="position:absolute;margin-left:13.35pt;margin-top:535.89999999999998pt;width:12.25pt;height:6.5pt;z-index:-1887428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0" behindDoc="1" locked="0" layoutInCell="1" allowOverlap="1">
              <wp:simplePos x="0" y="0"/>
              <wp:positionH relativeFrom="page">
                <wp:posOffset>169545</wp:posOffset>
              </wp:positionH>
              <wp:positionV relativeFrom="page">
                <wp:posOffset>6805930</wp:posOffset>
              </wp:positionV>
              <wp:extent cx="155575" cy="82550"/>
              <wp:wrapNone/>
              <wp:docPr id="1632" name="Shape 1632"/>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58" type="#_x0000_t202" style="position:absolute;margin-left:13.35pt;margin-top:535.89999999999998pt;width:12.25pt;height:6.5pt;z-index:-1887428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4" behindDoc="1" locked="0" layoutInCell="1" allowOverlap="1">
              <wp:simplePos x="0" y="0"/>
              <wp:positionH relativeFrom="page">
                <wp:posOffset>4037330</wp:posOffset>
              </wp:positionH>
              <wp:positionV relativeFrom="page">
                <wp:posOffset>6835140</wp:posOffset>
              </wp:positionV>
              <wp:extent cx="149225" cy="73025"/>
              <wp:wrapNone/>
              <wp:docPr id="1652" name="Shape 1652"/>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78" type="#_x0000_t202" style="position:absolute;margin-left:317.89999999999998pt;margin-top:538.20000000000005pt;width:11.75pt;height:5.75pt;z-index:-1887427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8" behindDoc="1" locked="0" layoutInCell="1" allowOverlap="1">
              <wp:simplePos x="0" y="0"/>
              <wp:positionH relativeFrom="page">
                <wp:posOffset>4037330</wp:posOffset>
              </wp:positionH>
              <wp:positionV relativeFrom="page">
                <wp:posOffset>6835140</wp:posOffset>
              </wp:positionV>
              <wp:extent cx="149225" cy="73025"/>
              <wp:wrapNone/>
              <wp:docPr id="1657" name="Shape 1657"/>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83" type="#_x0000_t202" style="position:absolute;margin-left:317.89999999999998pt;margin-top:538.20000000000005pt;width:11.75pt;height:5.75pt;z-index:-1887427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2" behindDoc="1" locked="0" layoutInCell="1" allowOverlap="1">
              <wp:simplePos x="0" y="0"/>
              <wp:positionH relativeFrom="page">
                <wp:posOffset>177165</wp:posOffset>
              </wp:positionH>
              <wp:positionV relativeFrom="page">
                <wp:posOffset>6831965</wp:posOffset>
              </wp:positionV>
              <wp:extent cx="152400" cy="82550"/>
              <wp:wrapNone/>
              <wp:docPr id="1662" name="Shape 1662"/>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88" type="#_x0000_t202" style="position:absolute;margin-left:13.949999999999999pt;margin-top:537.95000000000005pt;width:12.pt;height:6.5pt;z-index:-1887427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6" behindDoc="1" locked="0" layoutInCell="1" allowOverlap="1">
              <wp:simplePos x="0" y="0"/>
              <wp:positionH relativeFrom="page">
                <wp:posOffset>169545</wp:posOffset>
              </wp:positionH>
              <wp:positionV relativeFrom="page">
                <wp:posOffset>6831965</wp:posOffset>
              </wp:positionV>
              <wp:extent cx="146050" cy="76200"/>
              <wp:wrapNone/>
              <wp:docPr id="1667" name="Shape 1667"/>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93" type="#_x0000_t202" style="position:absolute;margin-left:13.35pt;margin-top:537.95000000000005pt;width:11.5pt;height:6.pt;z-index:-1887427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3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0" behindDoc="1" locked="0" layoutInCell="1" allowOverlap="1">
              <wp:simplePos x="0" y="0"/>
              <wp:positionH relativeFrom="page">
                <wp:posOffset>169545</wp:posOffset>
              </wp:positionH>
              <wp:positionV relativeFrom="page">
                <wp:posOffset>6831965</wp:posOffset>
              </wp:positionV>
              <wp:extent cx="146050" cy="76200"/>
              <wp:wrapNone/>
              <wp:docPr id="1672" name="Shape 1672"/>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2698" type="#_x0000_t202" style="position:absolute;margin-left:13.35pt;margin-top:537.95000000000005pt;width:11.5pt;height:6.pt;z-index:-1887427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3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8" behindDoc="1" locked="0" layoutInCell="1" allowOverlap="1">
              <wp:simplePos x="0" y="0"/>
              <wp:positionH relativeFrom="page">
                <wp:posOffset>169545</wp:posOffset>
              </wp:positionH>
              <wp:positionV relativeFrom="page">
                <wp:posOffset>6831965</wp:posOffset>
              </wp:positionV>
              <wp:extent cx="146050" cy="76200"/>
              <wp:wrapNone/>
              <wp:docPr id="1683" name="Shape 1683"/>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09" type="#_x0000_t202" style="position:absolute;margin-left:13.35pt;margin-top:537.95000000000005pt;width:11.5pt;height:6.pt;z-index:-1887427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3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2" behindDoc="1" locked="0" layoutInCell="1" allowOverlap="1">
              <wp:simplePos x="0" y="0"/>
              <wp:positionH relativeFrom="page">
                <wp:posOffset>169545</wp:posOffset>
              </wp:positionH>
              <wp:positionV relativeFrom="page">
                <wp:posOffset>6831965</wp:posOffset>
              </wp:positionV>
              <wp:extent cx="146050" cy="76200"/>
              <wp:wrapNone/>
              <wp:docPr id="1688" name="Shape 1688"/>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14" type="#_x0000_t202" style="position:absolute;margin-left:13.35pt;margin-top:537.95000000000005pt;width:11.5pt;height:6.pt;z-index:-1887427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3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0" behindDoc="1" locked="0" layoutInCell="1" allowOverlap="1">
              <wp:simplePos x="0" y="0"/>
              <wp:positionH relativeFrom="page">
                <wp:posOffset>4031615</wp:posOffset>
              </wp:positionH>
              <wp:positionV relativeFrom="page">
                <wp:posOffset>6833235</wp:posOffset>
              </wp:positionV>
              <wp:extent cx="152400" cy="73025"/>
              <wp:wrapNone/>
              <wp:docPr id="1699" name="Shape 1699"/>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25" type="#_x0000_t202" style="position:absolute;margin-left:317.44999999999999pt;margin-top:538.04999999999995pt;width:12.pt;height:5.75pt;z-index:-1887427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4" behindDoc="1" locked="0" layoutInCell="1" allowOverlap="1">
              <wp:simplePos x="0" y="0"/>
              <wp:positionH relativeFrom="page">
                <wp:posOffset>4031615</wp:posOffset>
              </wp:positionH>
              <wp:positionV relativeFrom="page">
                <wp:posOffset>6833235</wp:posOffset>
              </wp:positionV>
              <wp:extent cx="152400" cy="73025"/>
              <wp:wrapNone/>
              <wp:docPr id="1704" name="Shape 1704"/>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30" type="#_x0000_t202" style="position:absolute;margin-left:317.44999999999999pt;margin-top:538.04999999999995pt;width:12.pt;height:5.75pt;z-index:-1887427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8" behindDoc="1" locked="0" layoutInCell="1" allowOverlap="1">
              <wp:simplePos x="0" y="0"/>
              <wp:positionH relativeFrom="page">
                <wp:posOffset>165100</wp:posOffset>
              </wp:positionH>
              <wp:positionV relativeFrom="page">
                <wp:posOffset>6827520</wp:posOffset>
              </wp:positionV>
              <wp:extent cx="152400" cy="79375"/>
              <wp:wrapNone/>
              <wp:docPr id="1709" name="Shape 170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35" type="#_x0000_t202" style="position:absolute;margin-left:13.pt;margin-top:537.60000000000002pt;width:12.pt;height:6.25pt;z-index:-1887427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2" behindDoc="1" locked="0" layoutInCell="1" allowOverlap="1">
              <wp:simplePos x="0" y="0"/>
              <wp:positionH relativeFrom="page">
                <wp:posOffset>168275</wp:posOffset>
              </wp:positionH>
              <wp:positionV relativeFrom="page">
                <wp:posOffset>6831965</wp:posOffset>
              </wp:positionV>
              <wp:extent cx="152400" cy="79375"/>
              <wp:wrapNone/>
              <wp:docPr id="1714" name="Shape 171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40" type="#_x0000_t202" style="position:absolute;margin-left:13.25pt;margin-top:537.95000000000005pt;width:12.pt;height:6.25pt;z-index:-1887427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6" behindDoc="1" locked="0" layoutInCell="1" allowOverlap="1">
              <wp:simplePos x="0" y="0"/>
              <wp:positionH relativeFrom="page">
                <wp:posOffset>168275</wp:posOffset>
              </wp:positionH>
              <wp:positionV relativeFrom="page">
                <wp:posOffset>6831965</wp:posOffset>
              </wp:positionV>
              <wp:extent cx="152400" cy="79375"/>
              <wp:wrapNone/>
              <wp:docPr id="1719" name="Shape 171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45" type="#_x0000_t202" style="position:absolute;margin-left:13.25pt;margin-top:537.95000000000005pt;width:12.pt;height:6.25pt;z-index:-1887427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3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0" behindDoc="1" locked="0" layoutInCell="1" allowOverlap="1">
              <wp:simplePos x="0" y="0"/>
              <wp:positionH relativeFrom="page">
                <wp:posOffset>4029710</wp:posOffset>
              </wp:positionH>
              <wp:positionV relativeFrom="page">
                <wp:posOffset>6833235</wp:posOffset>
              </wp:positionV>
              <wp:extent cx="137160" cy="45720"/>
              <wp:wrapNone/>
              <wp:docPr id="1724" name="Shape 1724"/>
              <a:graphic xmlns:a="http://schemas.openxmlformats.org/drawingml/2006/main">
                <a:graphicData uri="http://schemas.microsoft.com/office/word/2010/wordprocessingShape">
                  <wps:wsp>
                    <wps:cNvSpPr txBox="1"/>
                    <wps:spPr>
                      <a:xfrm>
                        <a:ext cx="137160" cy="4572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"&gt;71</w:t>
                          </w:r>
                        </w:p>
                      </w:txbxContent>
                    </wps:txbx>
                    <wps:bodyPr wrap="none" lIns="0" tIns="0" rIns="0" bIns="0">
                      <a:spAutoFit/>
                    </wps:bodyPr>
                  </wps:wsp>
                </a:graphicData>
              </a:graphic>
            </wp:anchor>
          </w:drawing>
        </mc:Choice>
        <mc:Fallback>
          <w:pict>
            <v:shape id="_x0000_s2750" type="#_x0000_t202" style="position:absolute;margin-left:317.30000000000001pt;margin-top:538.04999999999995pt;width:10.800000000000001pt;height:3.6000000000000001pt;z-index:-1887427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"&gt;71</w:t>
                    </w:r>
                  </w:p>
                </w:txbxContent>
              </v:textbox>
              <w10:wrap anchorx="page" anchory="page"/>
            </v:shape>
          </w:pict>
        </mc:Fallback>
      </mc:AlternateContent>
    </w:r>
  </w:p>
</w:ftr>
</file>

<file path=word/footer4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4" behindDoc="1" locked="0" layoutInCell="1" allowOverlap="1">
              <wp:simplePos x="0" y="0"/>
              <wp:positionH relativeFrom="page">
                <wp:posOffset>4029710</wp:posOffset>
              </wp:positionH>
              <wp:positionV relativeFrom="page">
                <wp:posOffset>6833235</wp:posOffset>
              </wp:positionV>
              <wp:extent cx="137160" cy="45720"/>
              <wp:wrapNone/>
              <wp:docPr id="1729" name="Shape 1729"/>
              <a:graphic xmlns:a="http://schemas.openxmlformats.org/drawingml/2006/main">
                <a:graphicData uri="http://schemas.microsoft.com/office/word/2010/wordprocessingShape">
                  <wps:wsp>
                    <wps:cNvSpPr txBox="1"/>
                    <wps:spPr>
                      <a:xfrm>
                        <a:ext cx="137160" cy="4572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"&gt;71</w:t>
                          </w:r>
                        </w:p>
                      </w:txbxContent>
                    </wps:txbx>
                    <wps:bodyPr wrap="none" lIns="0" tIns="0" rIns="0" bIns="0">
                      <a:spAutoFit/>
                    </wps:bodyPr>
                  </wps:wsp>
                </a:graphicData>
              </a:graphic>
            </wp:anchor>
          </w:drawing>
        </mc:Choice>
        <mc:Fallback>
          <w:pict>
            <v:shape id="_x0000_s2755" type="#_x0000_t202" style="position:absolute;margin-left:317.30000000000001pt;margin-top:538.04999999999995pt;width:10.800000000000001pt;height:3.6000000000000001pt;z-index:-1887427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"&gt;71</w:t>
                    </w:r>
                  </w:p>
                </w:txbxContent>
              </v:textbox>
              <w10:wrap anchorx="page" anchory="page"/>
            </v:shape>
          </w:pict>
        </mc:Fallback>
      </mc:AlternateContent>
    </w:r>
  </w:p>
</w:ftr>
</file>

<file path=word/footer4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8" behindDoc="1" locked="0" layoutInCell="1" allowOverlap="1">
              <wp:simplePos x="0" y="0"/>
              <wp:positionH relativeFrom="page">
                <wp:posOffset>4032885</wp:posOffset>
              </wp:positionH>
              <wp:positionV relativeFrom="page">
                <wp:posOffset>6833235</wp:posOffset>
              </wp:positionV>
              <wp:extent cx="152400" cy="79375"/>
              <wp:wrapNone/>
              <wp:docPr id="1734" name="Shape 173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60" type="#_x0000_t202" style="position:absolute;margin-left:317.55000000000001pt;margin-top:538.04999999999995pt;width:12.pt;height:6.25pt;z-index:-1887427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2" behindDoc="1" locked="0" layoutInCell="1" allowOverlap="1">
              <wp:simplePos x="0" y="0"/>
              <wp:positionH relativeFrom="page">
                <wp:posOffset>168275</wp:posOffset>
              </wp:positionH>
              <wp:positionV relativeFrom="page">
                <wp:posOffset>6831965</wp:posOffset>
              </wp:positionV>
              <wp:extent cx="152400" cy="79375"/>
              <wp:wrapNone/>
              <wp:docPr id="1739" name="Shape 173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65" type="#_x0000_t202" style="position:absolute;margin-left:13.25pt;margin-top:537.95000000000005pt;width:12.pt;height:6.25pt;z-index:-1887427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6" behindDoc="1" locked="0" layoutInCell="1" allowOverlap="1">
              <wp:simplePos x="0" y="0"/>
              <wp:positionH relativeFrom="page">
                <wp:posOffset>175895</wp:posOffset>
              </wp:positionH>
              <wp:positionV relativeFrom="page">
                <wp:posOffset>6827520</wp:posOffset>
              </wp:positionV>
              <wp:extent cx="454025" cy="85090"/>
              <wp:wrapNone/>
              <wp:docPr id="1744" name="Shape 1744"/>
              <a:graphic xmlns:a="http://schemas.openxmlformats.org/drawingml/2006/main">
                <a:graphicData uri="http://schemas.microsoft.com/office/word/2010/wordprocessingShape">
                  <wps:wsp>
                    <wps:cNvSpPr txBox="1"/>
                    <wps:spPr>
                      <a:xfrm>
                        <a:ext cx="454025" cy="85090"/>
                      </a:xfrm>
                      <a:prstGeom prst="rect"/>
                      <a:noFill/>
                    </wps:spPr>
                    <wps:txbx>
                      <w:txbxContent>
                        <w:p>
                          <w:pPr>
                            <w:pStyle w:val="Style70"/>
                            <w:keepNext w:val="0"/>
                            <w:keepLines w:val="0"/>
                            <w:widowControl w:val="0"/>
                            <w:shd w:val="clear" w:color="auto" w:fill="auto"/>
                            <w:tabs>
                              <w:tab w:pos="715" w:val="right"/>
                            </w:tabs>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r>
                            <w:rPr>
                              <w:rFonts w:ascii="Times New Roman" w:eastAsia="Times New Roman" w:hAnsi="Times New Roman" w:cs="Times New Roman"/>
                              <w:color w:val="000000"/>
                              <w:spacing w:val="0"/>
                              <w:w w:val="100"/>
                              <w:position w:val="0"/>
                              <w:sz w:val="17"/>
                              <w:szCs w:val="17"/>
                              <w:shd w:val="clear" w:color="auto" w:fill="auto"/>
                              <w:lang w:val="hr-HR" w:eastAsia="hr-HR" w:bidi="hr-HR"/>
                            </w:rPr>
                            <w:tab/>
                            <w:t>.</w:t>
                          </w:r>
                        </w:p>
                      </w:txbxContent>
                    </wps:txbx>
                    <wps:bodyPr lIns="0" tIns="0" rIns="0" bIns="0">
                      <a:spAutoFit/>
                    </wps:bodyPr>
                  </wps:wsp>
                </a:graphicData>
              </a:graphic>
            </wp:anchor>
          </w:drawing>
        </mc:Choice>
        <mc:Fallback>
          <w:pict>
            <v:shape id="_x0000_s2770" type="#_x0000_t202" style="position:absolute;margin-left:13.85pt;margin-top:537.60000000000002pt;width:35.75pt;height:6.7000000000000002pt;z-index:-188742727;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tabs>
                        <w:tab w:pos="715" w:val="right"/>
                      </w:tabs>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r>
                      <w:rPr>
                        <w:rFonts w:ascii="Times New Roman" w:eastAsia="Times New Roman" w:hAnsi="Times New Roman" w:cs="Times New Roman"/>
                        <w:color w:val="000000"/>
                        <w:spacing w:val="0"/>
                        <w:w w:val="100"/>
                        <w:position w:val="0"/>
                        <w:sz w:val="17"/>
                        <w:szCs w:val="17"/>
                        <w:shd w:val="clear" w:color="auto" w:fill="auto"/>
                        <w:lang w:val="hr-HR" w:eastAsia="hr-HR" w:bidi="hr-HR"/>
                      </w:rPr>
                      <w:tab/>
                      <w:t>.</w:t>
                    </w:r>
                  </w:p>
                </w:txbxContent>
              </v:textbox>
              <w10:wrap anchorx="page" anchory="page"/>
            </v:shape>
          </w:pict>
        </mc:Fallback>
      </mc:AlternateContent>
    </w:r>
  </w:p>
</w:ftr>
</file>

<file path=word/footer4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0" behindDoc="1" locked="0" layoutInCell="1" allowOverlap="1">
              <wp:simplePos x="0" y="0"/>
              <wp:positionH relativeFrom="page">
                <wp:posOffset>175895</wp:posOffset>
              </wp:positionH>
              <wp:positionV relativeFrom="page">
                <wp:posOffset>6827520</wp:posOffset>
              </wp:positionV>
              <wp:extent cx="454025" cy="85090"/>
              <wp:wrapNone/>
              <wp:docPr id="1749" name="Shape 1749"/>
              <a:graphic xmlns:a="http://schemas.openxmlformats.org/drawingml/2006/main">
                <a:graphicData uri="http://schemas.microsoft.com/office/word/2010/wordprocessingShape">
                  <wps:wsp>
                    <wps:cNvSpPr txBox="1"/>
                    <wps:spPr>
                      <a:xfrm>
                        <a:ext cx="454025" cy="85090"/>
                      </a:xfrm>
                      <a:prstGeom prst="rect"/>
                      <a:noFill/>
                    </wps:spPr>
                    <wps:txbx>
                      <w:txbxContent>
                        <w:p>
                          <w:pPr>
                            <w:pStyle w:val="Style70"/>
                            <w:keepNext w:val="0"/>
                            <w:keepLines w:val="0"/>
                            <w:widowControl w:val="0"/>
                            <w:shd w:val="clear" w:color="auto" w:fill="auto"/>
                            <w:tabs>
                              <w:tab w:pos="715" w:val="right"/>
                            </w:tabs>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r>
                            <w:rPr>
                              <w:rFonts w:ascii="Times New Roman" w:eastAsia="Times New Roman" w:hAnsi="Times New Roman" w:cs="Times New Roman"/>
                              <w:color w:val="000000"/>
                              <w:spacing w:val="0"/>
                              <w:w w:val="100"/>
                              <w:position w:val="0"/>
                              <w:sz w:val="17"/>
                              <w:szCs w:val="17"/>
                              <w:shd w:val="clear" w:color="auto" w:fill="auto"/>
                              <w:lang w:val="hr-HR" w:eastAsia="hr-HR" w:bidi="hr-HR"/>
                            </w:rPr>
                            <w:tab/>
                            <w:t>.</w:t>
                          </w:r>
                        </w:p>
                      </w:txbxContent>
                    </wps:txbx>
                    <wps:bodyPr lIns="0" tIns="0" rIns="0" bIns="0">
                      <a:spAutoFit/>
                    </wps:bodyPr>
                  </wps:wsp>
                </a:graphicData>
              </a:graphic>
            </wp:anchor>
          </w:drawing>
        </mc:Choice>
        <mc:Fallback>
          <w:pict>
            <v:shape id="_x0000_s2775" type="#_x0000_t202" style="position:absolute;margin-left:13.85pt;margin-top:537.60000000000002pt;width:35.75pt;height:6.7000000000000002pt;z-index:-188742723;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tabs>
                        <w:tab w:pos="715" w:val="right"/>
                      </w:tabs>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r>
                      <w:rPr>
                        <w:rFonts w:ascii="Times New Roman" w:eastAsia="Times New Roman" w:hAnsi="Times New Roman" w:cs="Times New Roman"/>
                        <w:color w:val="000000"/>
                        <w:spacing w:val="0"/>
                        <w:w w:val="100"/>
                        <w:position w:val="0"/>
                        <w:sz w:val="17"/>
                        <w:szCs w:val="17"/>
                        <w:shd w:val="clear" w:color="auto" w:fill="auto"/>
                        <w:lang w:val="hr-HR" w:eastAsia="hr-HR" w:bidi="hr-HR"/>
                      </w:rPr>
                      <w:tab/>
                      <w:t>.</w:t>
                    </w:r>
                  </w:p>
                </w:txbxContent>
              </v:textbox>
              <w10:wrap anchorx="page" anchory="page"/>
            </v:shape>
          </w:pict>
        </mc:Fallback>
      </mc:AlternateContent>
    </w:r>
  </w:p>
</w:ftr>
</file>

<file path=word/footer4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4" behindDoc="1" locked="0" layoutInCell="1" allowOverlap="1">
              <wp:simplePos x="0" y="0"/>
              <wp:positionH relativeFrom="page">
                <wp:posOffset>4031615</wp:posOffset>
              </wp:positionH>
              <wp:positionV relativeFrom="page">
                <wp:posOffset>6833235</wp:posOffset>
              </wp:positionV>
              <wp:extent cx="149225" cy="79375"/>
              <wp:wrapNone/>
              <wp:docPr id="1754" name="Shape 1754"/>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80" type="#_x0000_t202" style="position:absolute;margin-left:317.44999999999999pt;margin-top:538.04999999999995pt;width:11.75pt;height:6.25pt;z-index:-1887427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2" behindDoc="1" locked="0" layoutInCell="1" allowOverlap="1">
              <wp:simplePos x="0" y="0"/>
              <wp:positionH relativeFrom="page">
                <wp:posOffset>175895</wp:posOffset>
              </wp:positionH>
              <wp:positionV relativeFrom="page">
                <wp:posOffset>6827520</wp:posOffset>
              </wp:positionV>
              <wp:extent cx="152400" cy="76200"/>
              <wp:wrapNone/>
              <wp:docPr id="1765" name="Shape 1765"/>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91" type="#_x0000_t202" style="position:absolute;margin-left:13.85pt;margin-top:537.60000000000002pt;width:12.pt;height:6.pt;z-index:-1887427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6" behindDoc="1" locked="0" layoutInCell="1" allowOverlap="1">
              <wp:simplePos x="0" y="0"/>
              <wp:positionH relativeFrom="page">
                <wp:posOffset>175895</wp:posOffset>
              </wp:positionH>
              <wp:positionV relativeFrom="page">
                <wp:posOffset>6827520</wp:posOffset>
              </wp:positionV>
              <wp:extent cx="152400" cy="76200"/>
              <wp:wrapNone/>
              <wp:docPr id="1770" name="Shape 1770"/>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796" type="#_x0000_t202" style="position:absolute;margin-left:13.85pt;margin-top:537.60000000000002pt;width:12.pt;height:6.pt;z-index:-1887427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6" behindDoc="1" locked="0" layoutInCell="1" allowOverlap="1">
              <wp:simplePos x="0" y="0"/>
              <wp:positionH relativeFrom="page">
                <wp:posOffset>161925</wp:posOffset>
              </wp:positionH>
              <wp:positionV relativeFrom="page">
                <wp:posOffset>6825615</wp:posOffset>
              </wp:positionV>
              <wp:extent cx="152400" cy="67310"/>
              <wp:wrapNone/>
              <wp:docPr id="1786" name="Shape 1786"/>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787</w:t>
                          </w:r>
                        </w:p>
                      </w:txbxContent>
                    </wps:txbx>
                    <wps:bodyPr wrap="none" lIns="0" tIns="0" rIns="0" bIns="0">
                      <a:spAutoFit/>
                    </wps:bodyPr>
                  </wps:wsp>
                </a:graphicData>
              </a:graphic>
            </wp:anchor>
          </w:drawing>
        </mc:Choice>
        <mc:Fallback>
          <w:pict>
            <v:shape id="_x0000_s2812" type="#_x0000_t202" style="position:absolute;margin-left:12.75pt;margin-top:537.45000000000005pt;width:12.pt;height:5.2999999999999998pt;z-index:-1887426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787</w:t>
                    </w:r>
                  </w:p>
                </w:txbxContent>
              </v:textbox>
              <w10:wrap anchorx="page" anchory="page"/>
            </v:shape>
          </w:pict>
        </mc:Fallback>
      </mc:AlternateContent>
    </w:r>
  </w:p>
</w:ftr>
</file>

<file path=word/footer4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0" behindDoc="1" locked="0" layoutInCell="1" allowOverlap="1">
              <wp:simplePos x="0" y="0"/>
              <wp:positionH relativeFrom="page">
                <wp:posOffset>161925</wp:posOffset>
              </wp:positionH>
              <wp:positionV relativeFrom="page">
                <wp:posOffset>6825615</wp:posOffset>
              </wp:positionV>
              <wp:extent cx="152400" cy="67310"/>
              <wp:wrapNone/>
              <wp:docPr id="1791" name="Shape 1791"/>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787</w:t>
                          </w:r>
                        </w:p>
                      </w:txbxContent>
                    </wps:txbx>
                    <wps:bodyPr wrap="none" lIns="0" tIns="0" rIns="0" bIns="0">
                      <a:spAutoFit/>
                    </wps:bodyPr>
                  </wps:wsp>
                </a:graphicData>
              </a:graphic>
            </wp:anchor>
          </w:drawing>
        </mc:Choice>
        <mc:Fallback>
          <w:pict>
            <v:shape id="_x0000_s2817" type="#_x0000_t202" style="position:absolute;margin-left:12.75pt;margin-top:537.45000000000005pt;width:12.pt;height:5.2999999999999998pt;z-index:-1887426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787</w:t>
                    </w:r>
                  </w:p>
                </w:txbxContent>
              </v:textbox>
              <w10:wrap anchorx="page" anchory="page"/>
            </v:shape>
          </w:pict>
        </mc:Fallback>
      </mc:AlternateContent>
    </w:r>
  </w:p>
</w:ftr>
</file>

<file path=word/footer4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0" behindDoc="1" locked="0" layoutInCell="1" allowOverlap="1">
              <wp:simplePos x="0" y="0"/>
              <wp:positionH relativeFrom="page">
                <wp:posOffset>177165</wp:posOffset>
              </wp:positionH>
              <wp:positionV relativeFrom="page">
                <wp:posOffset>6824345</wp:posOffset>
              </wp:positionV>
              <wp:extent cx="152400" cy="79375"/>
              <wp:wrapNone/>
              <wp:docPr id="1807" name="Shape 1807"/>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33" type="#_x0000_t202" style="position:absolute;margin-left:13.949999999999999pt;margin-top:537.35000000000002pt;width:12.pt;height:6.25pt;z-index:-1887426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4" behindDoc="1" locked="0" layoutInCell="1" allowOverlap="1">
              <wp:simplePos x="0" y="0"/>
              <wp:positionH relativeFrom="page">
                <wp:posOffset>177165</wp:posOffset>
              </wp:positionH>
              <wp:positionV relativeFrom="page">
                <wp:posOffset>6824345</wp:posOffset>
              </wp:positionV>
              <wp:extent cx="152400" cy="79375"/>
              <wp:wrapNone/>
              <wp:docPr id="1812" name="Shape 1812"/>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38" type="#_x0000_t202" style="position:absolute;margin-left:13.949999999999999pt;margin-top:537.35000000000002pt;width:12.pt;height:6.25pt;z-index:-1887426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8" behindDoc="1" locked="0" layoutInCell="1" allowOverlap="1">
              <wp:simplePos x="0" y="0"/>
              <wp:positionH relativeFrom="page">
                <wp:posOffset>175895</wp:posOffset>
              </wp:positionH>
              <wp:positionV relativeFrom="page">
                <wp:posOffset>6828790</wp:posOffset>
              </wp:positionV>
              <wp:extent cx="152400" cy="67310"/>
              <wp:wrapNone/>
              <wp:docPr id="1817" name="Shape 1817"/>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786</w:t>
                          </w:r>
                        </w:p>
                      </w:txbxContent>
                    </wps:txbx>
                    <wps:bodyPr wrap="none" lIns="0" tIns="0" rIns="0" bIns="0">
                      <a:spAutoFit/>
                    </wps:bodyPr>
                  </wps:wsp>
                </a:graphicData>
              </a:graphic>
            </wp:anchor>
          </w:drawing>
        </mc:Choice>
        <mc:Fallback>
          <w:pict>
            <v:shape id="_x0000_s2843" type="#_x0000_t202" style="position:absolute;margin-left:13.85pt;margin-top:537.70000000000005pt;width:12.pt;height:5.2999999999999998pt;z-index:-1887426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786</w:t>
                    </w:r>
                  </w:p>
                </w:txbxContent>
              </v:textbox>
              <w10:wrap anchorx="page" anchory="page"/>
            </v:shape>
          </w:pict>
        </mc:Fallback>
      </mc:AlternateContent>
    </w:r>
  </w:p>
</w:ftr>
</file>

<file path=word/footer4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2" behindDoc="1" locked="0" layoutInCell="1" allowOverlap="1">
              <wp:simplePos x="0" y="0"/>
              <wp:positionH relativeFrom="page">
                <wp:posOffset>175895</wp:posOffset>
              </wp:positionH>
              <wp:positionV relativeFrom="page">
                <wp:posOffset>6828790</wp:posOffset>
              </wp:positionV>
              <wp:extent cx="152400" cy="67310"/>
              <wp:wrapNone/>
              <wp:docPr id="1822" name="Shape 1822"/>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786</w:t>
                          </w:r>
                        </w:p>
                      </w:txbxContent>
                    </wps:txbx>
                    <wps:bodyPr wrap="none" lIns="0" tIns="0" rIns="0" bIns="0">
                      <a:spAutoFit/>
                    </wps:bodyPr>
                  </wps:wsp>
                </a:graphicData>
              </a:graphic>
            </wp:anchor>
          </w:drawing>
        </mc:Choice>
        <mc:Fallback>
          <w:pict>
            <v:shape id="_x0000_s2848" type="#_x0000_t202" style="position:absolute;margin-left:13.85pt;margin-top:537.70000000000005pt;width:12.pt;height:5.2999999999999998pt;z-index:-1887426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786</w:t>
                    </w:r>
                  </w:p>
                </w:txbxContent>
              </v:textbox>
              <w10:wrap anchorx="page" anchory="page"/>
            </v:shape>
          </w:pict>
        </mc:Fallback>
      </mc:AlternateContent>
    </w:r>
  </w:p>
</w:ftr>
</file>

<file path=word/footer4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8" behindDoc="1" locked="0" layoutInCell="1" allowOverlap="1">
              <wp:simplePos x="0" y="0"/>
              <wp:positionH relativeFrom="page">
                <wp:posOffset>171450</wp:posOffset>
              </wp:positionH>
              <wp:positionV relativeFrom="page">
                <wp:posOffset>6824345</wp:posOffset>
              </wp:positionV>
              <wp:extent cx="152400" cy="79375"/>
              <wp:wrapNone/>
              <wp:docPr id="1830" name="Shape 1830"/>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56" type="#_x0000_t202" style="position:absolute;margin-left:13.5pt;margin-top:537.35000000000002pt;width:12.pt;height:6.25pt;z-index:-1887426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2" behindDoc="1" locked="0" layoutInCell="1" allowOverlap="1">
              <wp:simplePos x="0" y="0"/>
              <wp:positionH relativeFrom="page">
                <wp:posOffset>171450</wp:posOffset>
              </wp:positionH>
              <wp:positionV relativeFrom="page">
                <wp:posOffset>6824345</wp:posOffset>
              </wp:positionV>
              <wp:extent cx="152400" cy="79375"/>
              <wp:wrapNone/>
              <wp:docPr id="1835" name="Shape 1835"/>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61" type="#_x0000_t202" style="position:absolute;margin-left:13.5pt;margin-top:537.35000000000002pt;width:12.pt;height:6.25pt;z-index:-1887426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6" behindDoc="1" locked="0" layoutInCell="1" allowOverlap="1">
              <wp:simplePos x="0" y="0"/>
              <wp:positionH relativeFrom="page">
                <wp:posOffset>4022090</wp:posOffset>
              </wp:positionH>
              <wp:positionV relativeFrom="page">
                <wp:posOffset>6836410</wp:posOffset>
              </wp:positionV>
              <wp:extent cx="155575" cy="67310"/>
              <wp:wrapNone/>
              <wp:docPr id="1840" name="Shape 1840"/>
              <a:graphic xmlns:a="http://schemas.openxmlformats.org/drawingml/2006/main">
                <a:graphicData uri="http://schemas.microsoft.com/office/word/2010/wordprocessingShape">
                  <wps:wsp>
                    <wps:cNvSpPr txBox="1"/>
                    <wps:spPr>
                      <a:xfrm>
                        <a:ext cx="1555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66" type="#_x0000_t202" style="position:absolute;margin-left:316.69999999999999pt;margin-top:538.29999999999995pt;width:12.25pt;height:5.2999999999999998pt;z-index:-1887426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4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0" behindDoc="1" locked="0" layoutInCell="1" allowOverlap="1">
              <wp:simplePos x="0" y="0"/>
              <wp:positionH relativeFrom="page">
                <wp:posOffset>177165</wp:posOffset>
              </wp:positionH>
              <wp:positionV relativeFrom="page">
                <wp:posOffset>6830060</wp:posOffset>
              </wp:positionV>
              <wp:extent cx="152400" cy="82550"/>
              <wp:wrapNone/>
              <wp:docPr id="1845" name="Shape 1845"/>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71" type="#_x0000_t202" style="position:absolute;margin-left:13.949999999999999pt;margin-top:537.79999999999995pt;width:12.pt;height:6.5pt;z-index:-1887426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4" behindDoc="1" locked="0" layoutInCell="1" allowOverlap="1">
              <wp:simplePos x="0" y="0"/>
              <wp:positionH relativeFrom="page">
                <wp:posOffset>177165</wp:posOffset>
              </wp:positionH>
              <wp:positionV relativeFrom="page">
                <wp:posOffset>6830060</wp:posOffset>
              </wp:positionV>
              <wp:extent cx="152400" cy="82550"/>
              <wp:wrapNone/>
              <wp:docPr id="1850" name="Shape 1850"/>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76" type="#_x0000_t202" style="position:absolute;margin-left:13.949999999999999pt;margin-top:537.79999999999995pt;width:12.pt;height:6.5pt;z-index:-1887426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8" behindDoc="1" locked="0" layoutInCell="1" allowOverlap="1">
              <wp:simplePos x="0" y="0"/>
              <wp:positionH relativeFrom="page">
                <wp:posOffset>4029710</wp:posOffset>
              </wp:positionH>
              <wp:positionV relativeFrom="page">
                <wp:posOffset>6831965</wp:posOffset>
              </wp:positionV>
              <wp:extent cx="152400" cy="64135"/>
              <wp:wrapNone/>
              <wp:docPr id="1855" name="Shape 1855"/>
              <a:graphic xmlns:a="http://schemas.openxmlformats.org/drawingml/2006/main">
                <a:graphicData uri="http://schemas.microsoft.com/office/word/2010/wordprocessingShape">
                  <wps:wsp>
                    <wps:cNvSpPr txBox="1"/>
                    <wps:spPr>
                      <a:xfrm>
                        <a:ext cx="15240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2881" type="#_x0000_t202" style="position:absolute;margin-left:317.30000000000001pt;margin-top:537.95000000000005pt;width:12.pt;height:5.0499999999999998pt;z-index:-1887426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4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2" behindDoc="1" locked="0" layoutInCell="1" allowOverlap="1">
              <wp:simplePos x="0" y="0"/>
              <wp:positionH relativeFrom="page">
                <wp:posOffset>168275</wp:posOffset>
              </wp:positionH>
              <wp:positionV relativeFrom="page">
                <wp:posOffset>6827520</wp:posOffset>
              </wp:positionV>
              <wp:extent cx="146050" cy="54610"/>
              <wp:wrapNone/>
              <wp:docPr id="1860" name="Shape 1860"/>
              <a:graphic xmlns:a="http://schemas.openxmlformats.org/drawingml/2006/main">
                <a:graphicData uri="http://schemas.microsoft.com/office/word/2010/wordprocessingShape">
                  <wps:wsp>
                    <wps:cNvSpPr txBox="1"/>
                    <wps:spPr>
                      <a:xfrm>
                        <a:ext cx="1460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ti o?</w:t>
                          </w:r>
                        </w:p>
                      </w:txbxContent>
                    </wps:txbx>
                    <wps:bodyPr wrap="none" lIns="0" tIns="0" rIns="0" bIns="0">
                      <a:spAutoFit/>
                    </wps:bodyPr>
                  </wps:wsp>
                </a:graphicData>
              </a:graphic>
            </wp:anchor>
          </w:drawing>
        </mc:Choice>
        <mc:Fallback>
          <w:pict>
            <v:shape id="_x0000_s2886" type="#_x0000_t202" style="position:absolute;margin-left:13.25pt;margin-top:537.60000000000002pt;width:11.5pt;height:4.2999999999999998pt;z-index:-1887426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ti o?</w:t>
                    </w:r>
                  </w:p>
                </w:txbxContent>
              </v:textbox>
              <w10:wrap anchorx="page" anchory="page"/>
            </v:shape>
          </w:pict>
        </mc:Fallback>
      </mc:AlternateContent>
    </w:r>
  </w:p>
</w:ftr>
</file>

<file path=word/footer4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6" behindDoc="1" locked="0" layoutInCell="1" allowOverlap="1">
              <wp:simplePos x="0" y="0"/>
              <wp:positionH relativeFrom="page">
                <wp:posOffset>168275</wp:posOffset>
              </wp:positionH>
              <wp:positionV relativeFrom="page">
                <wp:posOffset>6827520</wp:posOffset>
              </wp:positionV>
              <wp:extent cx="146050" cy="54610"/>
              <wp:wrapNone/>
              <wp:docPr id="1865" name="Shape 1865"/>
              <a:graphic xmlns:a="http://schemas.openxmlformats.org/drawingml/2006/main">
                <a:graphicData uri="http://schemas.microsoft.com/office/word/2010/wordprocessingShape">
                  <wps:wsp>
                    <wps:cNvSpPr txBox="1"/>
                    <wps:spPr>
                      <a:xfrm>
                        <a:ext cx="1460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ti o?</w:t>
                          </w:r>
                        </w:p>
                      </w:txbxContent>
                    </wps:txbx>
                    <wps:bodyPr wrap="none" lIns="0" tIns="0" rIns="0" bIns="0">
                      <a:spAutoFit/>
                    </wps:bodyPr>
                  </wps:wsp>
                </a:graphicData>
              </a:graphic>
            </wp:anchor>
          </w:drawing>
        </mc:Choice>
        <mc:Fallback>
          <w:pict>
            <v:shape id="_x0000_s2891" type="#_x0000_t202" style="position:absolute;margin-left:13.25pt;margin-top:537.60000000000002pt;width:11.5pt;height:4.2999999999999998pt;z-index:-1887426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ti o?</w:t>
                    </w:r>
                  </w:p>
                </w:txbxContent>
              </v:textbox>
              <w10:wrap anchorx="page" anchory="page"/>
            </v:shape>
          </w:pict>
        </mc:Fallback>
      </mc:AlternateContent>
    </w:r>
  </w:p>
</w:ftr>
</file>

<file path=word/footer4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0" behindDoc="1" locked="0" layoutInCell="1" allowOverlap="1">
              <wp:simplePos x="0" y="0"/>
              <wp:positionH relativeFrom="page">
                <wp:posOffset>4029710</wp:posOffset>
              </wp:positionH>
              <wp:positionV relativeFrom="page">
                <wp:posOffset>6833235</wp:posOffset>
              </wp:positionV>
              <wp:extent cx="137160" cy="48895"/>
              <wp:wrapNone/>
              <wp:docPr id="1870" name="Shape 1870"/>
              <a:graphic xmlns:a="http://schemas.openxmlformats.org/drawingml/2006/main">
                <a:graphicData uri="http://schemas.microsoft.com/office/word/2010/wordprocessingShape">
                  <wps:wsp>
                    <wps:cNvSpPr txBox="1"/>
                    <wps:spPr>
                      <a:xfrm>
                        <a:ext cx="137160" cy="4889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001</w:t>
                          </w:r>
                        </w:p>
                      </w:txbxContent>
                    </wps:txbx>
                    <wps:bodyPr wrap="none" lIns="0" tIns="0" rIns="0" bIns="0">
                      <a:spAutoFit/>
                    </wps:bodyPr>
                  </wps:wsp>
                </a:graphicData>
              </a:graphic>
            </wp:anchor>
          </w:drawing>
        </mc:Choice>
        <mc:Fallback>
          <w:pict>
            <v:shape id="_x0000_s2896" type="#_x0000_t202" style="position:absolute;margin-left:317.30000000000001pt;margin-top:538.04999999999995pt;width:10.800000000000001pt;height:3.8500000000000001pt;z-index:-1887426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001</w:t>
                    </w:r>
                  </w:p>
                </w:txbxContent>
              </v:textbox>
              <w10:wrap anchorx="page" anchory="page"/>
            </v:shape>
          </w:pict>
        </mc:Fallback>
      </mc:AlternateContent>
    </w:r>
  </w:p>
</w:ftr>
</file>

<file path=word/footer4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4" behindDoc="1" locked="0" layoutInCell="1" allowOverlap="1">
              <wp:simplePos x="0" y="0"/>
              <wp:positionH relativeFrom="page">
                <wp:posOffset>171450</wp:posOffset>
              </wp:positionH>
              <wp:positionV relativeFrom="page">
                <wp:posOffset>6828790</wp:posOffset>
              </wp:positionV>
              <wp:extent cx="149225" cy="79375"/>
              <wp:wrapNone/>
              <wp:docPr id="1875" name="Shape 1875"/>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01" type="#_x0000_t202" style="position:absolute;margin-left:13.5pt;margin-top:537.70000000000005pt;width:11.75pt;height:6.25pt;z-index:-1887426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8" behindDoc="1" locked="0" layoutInCell="1" allowOverlap="1">
              <wp:simplePos x="0" y="0"/>
              <wp:positionH relativeFrom="page">
                <wp:posOffset>171450</wp:posOffset>
              </wp:positionH>
              <wp:positionV relativeFrom="page">
                <wp:posOffset>6828790</wp:posOffset>
              </wp:positionV>
              <wp:extent cx="149225" cy="79375"/>
              <wp:wrapNone/>
              <wp:docPr id="1880" name="Shape 1880"/>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06" type="#_x0000_t202" style="position:absolute;margin-left:13.5pt;margin-top:537.70000000000005pt;width:11.75pt;height:6.25pt;z-index:-1887426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2" behindDoc="1" locked="0" layoutInCell="1" allowOverlap="1">
              <wp:simplePos x="0" y="0"/>
              <wp:positionH relativeFrom="page">
                <wp:posOffset>4036060</wp:posOffset>
              </wp:positionH>
              <wp:positionV relativeFrom="page">
                <wp:posOffset>6827520</wp:posOffset>
              </wp:positionV>
              <wp:extent cx="152400" cy="82550"/>
              <wp:wrapNone/>
              <wp:docPr id="1885" name="Shape 1885"/>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11" type="#_x0000_t202" style="position:absolute;margin-left:317.80000000000001pt;margin-top:537.60000000000002pt;width:12.pt;height:6.5pt;z-index:-1887426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0" behindDoc="1" locked="0" layoutInCell="1" allowOverlap="1">
              <wp:simplePos x="0" y="0"/>
              <wp:positionH relativeFrom="page">
                <wp:posOffset>171450</wp:posOffset>
              </wp:positionH>
              <wp:positionV relativeFrom="page">
                <wp:posOffset>6827520</wp:posOffset>
              </wp:positionV>
              <wp:extent cx="155575" cy="82550"/>
              <wp:wrapNone/>
              <wp:docPr id="1896" name="Shape 189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22" type="#_x0000_t202" style="position:absolute;margin-left:13.5pt;margin-top:537.60000000000002pt;width:12.25pt;height:6.5pt;z-index:-1887426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4" behindDoc="1" locked="0" layoutInCell="1" allowOverlap="1">
              <wp:simplePos x="0" y="0"/>
              <wp:positionH relativeFrom="page">
                <wp:posOffset>171450</wp:posOffset>
              </wp:positionH>
              <wp:positionV relativeFrom="page">
                <wp:posOffset>6827520</wp:posOffset>
              </wp:positionV>
              <wp:extent cx="155575" cy="82550"/>
              <wp:wrapNone/>
              <wp:docPr id="1901" name="Shape 190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27" type="#_x0000_t202" style="position:absolute;margin-left:13.5pt;margin-top:537.60000000000002pt;width:12.25pt;height:6.5pt;z-index:-1887426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6" behindDoc="1" locked="0" layoutInCell="1" allowOverlap="1">
              <wp:simplePos x="0" y="0"/>
              <wp:positionH relativeFrom="page">
                <wp:posOffset>4027805</wp:posOffset>
              </wp:positionH>
              <wp:positionV relativeFrom="page">
                <wp:posOffset>6826250</wp:posOffset>
              </wp:positionV>
              <wp:extent cx="155575" cy="36830"/>
              <wp:wrapNone/>
              <wp:docPr id="1920" name="Shape 1920"/>
              <a:graphic xmlns:a="http://schemas.openxmlformats.org/drawingml/2006/main">
                <a:graphicData uri="http://schemas.microsoft.com/office/word/2010/wordprocessingShape">
                  <wps:wsp>
                    <wps:cNvSpPr txBox="1"/>
                    <wps:spPr>
                      <a:xfrm>
                        <a:ext cx="155575" cy="3683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nnn</w:t>
                          </w:r>
                        </w:p>
                      </w:txbxContent>
                    </wps:txbx>
                    <wps:bodyPr wrap="none" lIns="0" tIns="0" rIns="0" bIns="0">
                      <a:spAutoFit/>
                    </wps:bodyPr>
                  </wps:wsp>
                </a:graphicData>
              </a:graphic>
            </wp:anchor>
          </w:drawing>
        </mc:Choice>
        <mc:Fallback>
          <w:pict>
            <v:shape id="_x0000_s2946" type="#_x0000_t202" style="position:absolute;margin-left:317.14999999999998pt;margin-top:537.5pt;width:12.25pt;height:2.8999999999999999pt;z-index:-1887425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nnn</w:t>
                    </w:r>
                  </w:p>
                </w:txbxContent>
              </v:textbox>
              <w10:wrap anchorx="page" anchory="page"/>
            </v:shape>
          </w:pict>
        </mc:Fallback>
      </mc:AlternateContent>
    </w:r>
  </w:p>
</w:ftr>
</file>

<file path=word/footer4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0" behindDoc="1" locked="0" layoutInCell="1" allowOverlap="1">
              <wp:simplePos x="0" y="0"/>
              <wp:positionH relativeFrom="page">
                <wp:posOffset>4027805</wp:posOffset>
              </wp:positionH>
              <wp:positionV relativeFrom="page">
                <wp:posOffset>6826250</wp:posOffset>
              </wp:positionV>
              <wp:extent cx="155575" cy="36830"/>
              <wp:wrapNone/>
              <wp:docPr id="1925" name="Shape 1925"/>
              <a:graphic xmlns:a="http://schemas.openxmlformats.org/drawingml/2006/main">
                <a:graphicData uri="http://schemas.microsoft.com/office/word/2010/wordprocessingShape">
                  <wps:wsp>
                    <wps:cNvSpPr txBox="1"/>
                    <wps:spPr>
                      <a:xfrm>
                        <a:ext cx="155575" cy="3683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nnn</w:t>
                          </w:r>
                        </w:p>
                      </w:txbxContent>
                    </wps:txbx>
                    <wps:bodyPr wrap="none" lIns="0" tIns="0" rIns="0" bIns="0">
                      <a:spAutoFit/>
                    </wps:bodyPr>
                  </wps:wsp>
                </a:graphicData>
              </a:graphic>
            </wp:anchor>
          </w:drawing>
        </mc:Choice>
        <mc:Fallback>
          <w:pict>
            <v:shape id="_x0000_s2951" type="#_x0000_t202" style="position:absolute;margin-left:317.14999999999998pt;margin-top:537.5pt;width:12.25pt;height:2.8999999999999999pt;z-index:-1887425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nnn</w:t>
                    </w:r>
                  </w:p>
                </w:txbxContent>
              </v:textbox>
              <w10:wrap anchorx="page" anchory="page"/>
            </v:shape>
          </w:pict>
        </mc:Fallback>
      </mc:AlternateContent>
    </w:r>
  </w:p>
</w:ftr>
</file>

<file path=word/footer4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2" behindDoc="1" locked="0" layoutInCell="1" allowOverlap="1">
              <wp:simplePos x="0" y="0"/>
              <wp:positionH relativeFrom="page">
                <wp:posOffset>163830</wp:posOffset>
              </wp:positionH>
              <wp:positionV relativeFrom="page">
                <wp:posOffset>6806565</wp:posOffset>
              </wp:positionV>
              <wp:extent cx="158750" cy="82550"/>
              <wp:wrapNone/>
              <wp:docPr id="1927" name="Shape 1927"/>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53" type="#_x0000_t202" style="position:absolute;margin-left:12.9pt;margin-top:535.95000000000005pt;width:12.5pt;height:6.5pt;z-index:-1887425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4" behindDoc="1" locked="0" layoutInCell="1" allowOverlap="1">
              <wp:simplePos x="0" y="0"/>
              <wp:positionH relativeFrom="page">
                <wp:posOffset>163830</wp:posOffset>
              </wp:positionH>
              <wp:positionV relativeFrom="page">
                <wp:posOffset>6806565</wp:posOffset>
              </wp:positionV>
              <wp:extent cx="158750" cy="82550"/>
              <wp:wrapNone/>
              <wp:docPr id="1929" name="Shape 1929"/>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55" type="#_x0000_t202" style="position:absolute;margin-left:12.9pt;margin-top:535.95000000000005pt;width:12.5pt;height:6.5pt;z-index:-1887425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2" behindDoc="1" locked="0" layoutInCell="1" allowOverlap="1">
              <wp:simplePos x="0" y="0"/>
              <wp:positionH relativeFrom="page">
                <wp:posOffset>170180</wp:posOffset>
              </wp:positionH>
              <wp:positionV relativeFrom="page">
                <wp:posOffset>6797675</wp:posOffset>
              </wp:positionV>
              <wp:extent cx="152400" cy="82550"/>
              <wp:wrapNone/>
              <wp:docPr id="1940" name="Shape 1940"/>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66" type="#_x0000_t202" style="position:absolute;margin-left:13.4pt;margin-top:535.25pt;width:12.pt;height:6.5pt;z-index:-1887425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6" behindDoc="1" locked="0" layoutInCell="1" allowOverlap="1">
              <wp:simplePos x="0" y="0"/>
              <wp:positionH relativeFrom="page">
                <wp:posOffset>170180</wp:posOffset>
              </wp:positionH>
              <wp:positionV relativeFrom="page">
                <wp:posOffset>6797675</wp:posOffset>
              </wp:positionV>
              <wp:extent cx="152400" cy="82550"/>
              <wp:wrapNone/>
              <wp:docPr id="1945" name="Shape 1945"/>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71" type="#_x0000_t202" style="position:absolute;margin-left:13.4pt;margin-top:535.25pt;width:12.pt;height:6.5pt;z-index:-1887425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8" behindDoc="1" locked="0" layoutInCell="1" allowOverlap="1">
              <wp:simplePos x="0" y="0"/>
              <wp:positionH relativeFrom="page">
                <wp:posOffset>169545</wp:posOffset>
              </wp:positionH>
              <wp:positionV relativeFrom="page">
                <wp:posOffset>6794500</wp:posOffset>
              </wp:positionV>
              <wp:extent cx="155575" cy="79375"/>
              <wp:wrapNone/>
              <wp:docPr id="1962" name="Shape 1962"/>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88" type="#_x0000_t202" style="position:absolute;margin-left:13.35pt;margin-top:535.pt;width:12.25pt;height:6.25pt;z-index:-1887425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2" behindDoc="1" locked="0" layoutInCell="1" allowOverlap="1">
              <wp:simplePos x="0" y="0"/>
              <wp:positionH relativeFrom="page">
                <wp:posOffset>169545</wp:posOffset>
              </wp:positionH>
              <wp:positionV relativeFrom="page">
                <wp:posOffset>6794500</wp:posOffset>
              </wp:positionV>
              <wp:extent cx="155575" cy="79375"/>
              <wp:wrapNone/>
              <wp:docPr id="1967" name="Shape 1967"/>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93" type="#_x0000_t202" style="position:absolute;margin-left:13.35pt;margin-top:535.pt;width:12.25pt;height:6.25pt;z-index:-1887425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6" behindDoc="1" locked="0" layoutInCell="1" allowOverlap="1">
              <wp:simplePos x="0" y="0"/>
              <wp:positionH relativeFrom="page">
                <wp:posOffset>4025265</wp:posOffset>
              </wp:positionH>
              <wp:positionV relativeFrom="page">
                <wp:posOffset>6800215</wp:posOffset>
              </wp:positionV>
              <wp:extent cx="152400" cy="82550"/>
              <wp:wrapNone/>
              <wp:docPr id="1972" name="Shape 1972"/>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2998" type="#_x0000_t202" style="position:absolute;margin-left:316.94999999999999pt;margin-top:535.45000000000005pt;width:12.pt;height:6.5pt;z-index:-1887425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4" behindDoc="1" locked="0" layoutInCell="1" allowOverlap="1">
              <wp:simplePos x="0" y="0"/>
              <wp:positionH relativeFrom="page">
                <wp:posOffset>175895</wp:posOffset>
              </wp:positionH>
              <wp:positionV relativeFrom="page">
                <wp:posOffset>6818630</wp:posOffset>
              </wp:positionV>
              <wp:extent cx="149225" cy="67310"/>
              <wp:wrapNone/>
              <wp:docPr id="1983" name="Shape 1983"/>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fldSimple w:instr=" PAGE \* MERGEFORMAT ">
                            <w:r>
                              <w:rPr>
                                <w:rFonts w:ascii="Times New Roman" w:eastAsia="Times New Roman" w:hAnsi="Times New Roman" w:cs="Times New Roman"/>
                                <w:b/>
                                <w:bCs/>
                                <w:color w:val="000000"/>
                                <w:spacing w:val="0"/>
                                <w:w w:val="100"/>
                                <w:position w:val="0"/>
                                <w:sz w:val="10"/>
                                <w:szCs w:val="10"/>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09" type="#_x0000_t202" style="position:absolute;margin-left:13.85pt;margin-top:536.89999999999998pt;width:11.75pt;height:5.2999999999999998pt;z-index:-1887425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fldSimple w:instr=" PAGE \* MERGEFORMAT ">
                      <w:r>
                        <w:rPr>
                          <w:rFonts w:ascii="Times New Roman" w:eastAsia="Times New Roman" w:hAnsi="Times New Roman" w:cs="Times New Roman"/>
                          <w:b/>
                          <w:bCs/>
                          <w:color w:val="000000"/>
                          <w:spacing w:val="0"/>
                          <w:w w:val="100"/>
                          <w:position w:val="0"/>
                          <w:sz w:val="10"/>
                          <w:szCs w:val="10"/>
                          <w:shd w:val="clear" w:color="auto" w:fill="auto"/>
                          <w:lang w:val="hr-HR" w:eastAsia="hr-HR" w:bidi="hr-HR"/>
                        </w:rPr>
                        <w:t>#</w:t>
                      </w:r>
                    </w:fldSimple>
                  </w:p>
                </w:txbxContent>
              </v:textbox>
              <w10:wrap anchorx="page" anchory="page"/>
            </v:shape>
          </w:pict>
        </mc:Fallback>
      </mc:AlternateContent>
    </w:r>
  </w:p>
</w:ftr>
</file>

<file path=word/footer4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8" behindDoc="1" locked="0" layoutInCell="1" allowOverlap="1">
              <wp:simplePos x="0" y="0"/>
              <wp:positionH relativeFrom="page">
                <wp:posOffset>175895</wp:posOffset>
              </wp:positionH>
              <wp:positionV relativeFrom="page">
                <wp:posOffset>6818630</wp:posOffset>
              </wp:positionV>
              <wp:extent cx="149225" cy="67310"/>
              <wp:wrapNone/>
              <wp:docPr id="1988" name="Shape 1988"/>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fldSimple w:instr=" PAGE \* MERGEFORMAT ">
                            <w:r>
                              <w:rPr>
                                <w:rFonts w:ascii="Times New Roman" w:eastAsia="Times New Roman" w:hAnsi="Times New Roman" w:cs="Times New Roman"/>
                                <w:b/>
                                <w:bCs/>
                                <w:color w:val="000000"/>
                                <w:spacing w:val="0"/>
                                <w:w w:val="100"/>
                                <w:position w:val="0"/>
                                <w:sz w:val="10"/>
                                <w:szCs w:val="10"/>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14" type="#_x0000_t202" style="position:absolute;margin-left:13.85pt;margin-top:536.89999999999998pt;width:11.75pt;height:5.2999999999999998pt;z-index:-1887425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fldSimple w:instr=" PAGE \* MERGEFORMAT ">
                      <w:r>
                        <w:rPr>
                          <w:rFonts w:ascii="Times New Roman" w:eastAsia="Times New Roman" w:hAnsi="Times New Roman" w:cs="Times New Roman"/>
                          <w:b/>
                          <w:bCs/>
                          <w:color w:val="000000"/>
                          <w:spacing w:val="0"/>
                          <w:w w:val="100"/>
                          <w:position w:val="0"/>
                          <w:sz w:val="10"/>
                          <w:szCs w:val="10"/>
                          <w:shd w:val="clear" w:color="auto" w:fill="auto"/>
                          <w:lang w:val="hr-HR" w:eastAsia="hr-HR" w:bidi="hr-HR"/>
                        </w:rPr>
                        <w:t>#</w:t>
                      </w:r>
                    </w:fldSimple>
                  </w:p>
                </w:txbxContent>
              </v:textbox>
              <w10:wrap anchorx="page" anchory="page"/>
            </v:shape>
          </w:pict>
        </mc:Fallback>
      </mc:AlternateContent>
    </w:r>
  </w:p>
</w:ftr>
</file>

<file path=word/footer4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6" behindDoc="1" locked="0" layoutInCell="1" allowOverlap="1">
              <wp:simplePos x="0" y="0"/>
              <wp:positionH relativeFrom="page">
                <wp:posOffset>4022090</wp:posOffset>
              </wp:positionH>
              <wp:positionV relativeFrom="page">
                <wp:posOffset>6806565</wp:posOffset>
              </wp:positionV>
              <wp:extent cx="133985" cy="67310"/>
              <wp:wrapNone/>
              <wp:docPr id="1999" name="Shape 1999"/>
              <a:graphic xmlns:a="http://schemas.openxmlformats.org/drawingml/2006/main">
                <a:graphicData uri="http://schemas.microsoft.com/office/word/2010/wordprocessingShape">
                  <wps:wsp>
                    <wps:cNvSpPr txBox="1"/>
                    <wps:spPr>
                      <a:xfrm>
                        <a:ext cx="13398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25" type="#_x0000_t202" style="position:absolute;margin-left:316.69999999999999pt;margin-top:535.95000000000005pt;width:10.550000000000001pt;height:5.2999999999999998pt;z-index:-1887425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4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0" behindDoc="1" locked="0" layoutInCell="1" allowOverlap="1">
              <wp:simplePos x="0" y="0"/>
              <wp:positionH relativeFrom="page">
                <wp:posOffset>172720</wp:posOffset>
              </wp:positionH>
              <wp:positionV relativeFrom="page">
                <wp:posOffset>6815455</wp:posOffset>
              </wp:positionV>
              <wp:extent cx="152400" cy="79375"/>
              <wp:wrapNone/>
              <wp:docPr id="2004" name="Shape 200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30" type="#_x0000_t202" style="position:absolute;margin-left:13.6pt;margin-top:536.64999999999998pt;width:12.pt;height:6.25pt;z-index:-1887425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4" behindDoc="1" locked="0" layoutInCell="1" allowOverlap="1">
              <wp:simplePos x="0" y="0"/>
              <wp:positionH relativeFrom="page">
                <wp:posOffset>172720</wp:posOffset>
              </wp:positionH>
              <wp:positionV relativeFrom="page">
                <wp:posOffset>6815455</wp:posOffset>
              </wp:positionV>
              <wp:extent cx="152400" cy="79375"/>
              <wp:wrapNone/>
              <wp:docPr id="2009" name="Shape 200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35" type="#_x0000_t202" style="position:absolute;margin-left:13.6pt;margin-top:536.64999999999998pt;width:12.pt;height:6.25pt;z-index:-1887425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8" behindDoc="1" locked="0" layoutInCell="1" allowOverlap="1">
              <wp:simplePos x="0" y="0"/>
              <wp:positionH relativeFrom="page">
                <wp:posOffset>172720</wp:posOffset>
              </wp:positionH>
              <wp:positionV relativeFrom="page">
                <wp:posOffset>6815455</wp:posOffset>
              </wp:positionV>
              <wp:extent cx="152400" cy="79375"/>
              <wp:wrapNone/>
              <wp:docPr id="2014" name="Shape 201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40" type="#_x0000_t202" style="position:absolute;margin-left:13.6pt;margin-top:536.64999999999998pt;width:12.pt;height:6.25pt;z-index:-1887425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2" behindDoc="1" locked="0" layoutInCell="1" allowOverlap="1">
              <wp:simplePos x="0" y="0"/>
              <wp:positionH relativeFrom="page">
                <wp:posOffset>4029710</wp:posOffset>
              </wp:positionH>
              <wp:positionV relativeFrom="page">
                <wp:posOffset>6794500</wp:posOffset>
              </wp:positionV>
              <wp:extent cx="149225" cy="79375"/>
              <wp:wrapNone/>
              <wp:docPr id="2019" name="Shape 2019"/>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3045" type="#_x0000_t202" style="position:absolute;margin-left:317.30000000000001pt;margin-top:535.pt;width:11.75pt;height:6.25pt;z-index:-1887425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4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6" behindDoc="1" locked="0" layoutInCell="1" allowOverlap="1">
              <wp:simplePos x="0" y="0"/>
              <wp:positionH relativeFrom="page">
                <wp:posOffset>172720</wp:posOffset>
              </wp:positionH>
              <wp:positionV relativeFrom="page">
                <wp:posOffset>6786880</wp:posOffset>
              </wp:positionV>
              <wp:extent cx="155575" cy="79375"/>
              <wp:wrapNone/>
              <wp:docPr id="2024" name="Shape 2024"/>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50" type="#_x0000_t202" style="position:absolute;margin-left:13.6pt;margin-top:534.39999999999998pt;width:12.25pt;height:6.25pt;z-index:-1887425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0" behindDoc="1" locked="0" layoutInCell="1" allowOverlap="1">
              <wp:simplePos x="0" y="0"/>
              <wp:positionH relativeFrom="page">
                <wp:posOffset>172720</wp:posOffset>
              </wp:positionH>
              <wp:positionV relativeFrom="page">
                <wp:posOffset>6786880</wp:posOffset>
              </wp:positionV>
              <wp:extent cx="155575" cy="79375"/>
              <wp:wrapNone/>
              <wp:docPr id="2029" name="Shape 2029"/>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55" type="#_x0000_t202" style="position:absolute;margin-left:13.6pt;margin-top:534.39999999999998pt;width:12.25pt;height:6.25pt;z-index:-1887425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2" behindDoc="1" locked="0" layoutInCell="1" allowOverlap="1">
              <wp:simplePos x="0" y="0"/>
              <wp:positionH relativeFrom="page">
                <wp:posOffset>4029710</wp:posOffset>
              </wp:positionH>
              <wp:positionV relativeFrom="page">
                <wp:posOffset>6783705</wp:posOffset>
              </wp:positionV>
              <wp:extent cx="149225" cy="73025"/>
              <wp:wrapNone/>
              <wp:docPr id="2031" name="Shape 2031"/>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57" type="#_x0000_t202" style="position:absolute;margin-left:317.30000000000001pt;margin-top:534.14999999999998pt;width:11.75pt;height:5.75pt;z-index:-1887425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4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6" behindDoc="1" locked="0" layoutInCell="1" allowOverlap="1">
              <wp:simplePos x="0" y="0"/>
              <wp:positionH relativeFrom="page">
                <wp:posOffset>177165</wp:posOffset>
              </wp:positionH>
              <wp:positionV relativeFrom="page">
                <wp:posOffset>6790055</wp:posOffset>
              </wp:positionV>
              <wp:extent cx="149225" cy="69850"/>
              <wp:wrapNone/>
              <wp:docPr id="2036" name="Shape 2036"/>
              <a:graphic xmlns:a="http://schemas.openxmlformats.org/drawingml/2006/main">
                <a:graphicData uri="http://schemas.microsoft.com/office/word/2010/wordprocessingShape">
                  <wps:wsp>
                    <wps:cNvSpPr txBox="1"/>
                    <wps:spPr>
                      <a:xfrm>
                        <a:ext cx="14922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62" type="#_x0000_t202" style="position:absolute;margin-left:13.949999999999999pt;margin-top:534.64999999999998pt;width:11.75pt;height:5.5pt;z-index:-1887425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0" behindDoc="1" locked="0" layoutInCell="1" allowOverlap="1">
              <wp:simplePos x="0" y="0"/>
              <wp:positionH relativeFrom="page">
                <wp:posOffset>177165</wp:posOffset>
              </wp:positionH>
              <wp:positionV relativeFrom="page">
                <wp:posOffset>6790055</wp:posOffset>
              </wp:positionV>
              <wp:extent cx="149225" cy="69850"/>
              <wp:wrapNone/>
              <wp:docPr id="2041" name="Shape 2041"/>
              <a:graphic xmlns:a="http://schemas.openxmlformats.org/drawingml/2006/main">
                <a:graphicData uri="http://schemas.microsoft.com/office/word/2010/wordprocessingShape">
                  <wps:wsp>
                    <wps:cNvSpPr txBox="1"/>
                    <wps:spPr>
                      <a:xfrm>
                        <a:ext cx="14922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67" type="#_x0000_t202" style="position:absolute;margin-left:13.949999999999999pt;margin-top:534.64999999999998pt;width:11.75pt;height:5.5pt;z-index:-1887425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4" behindDoc="1" locked="0" layoutInCell="1" allowOverlap="1">
              <wp:simplePos x="0" y="0"/>
              <wp:positionH relativeFrom="page">
                <wp:posOffset>4036060</wp:posOffset>
              </wp:positionH>
              <wp:positionV relativeFrom="page">
                <wp:posOffset>6786880</wp:posOffset>
              </wp:positionV>
              <wp:extent cx="152400" cy="67310"/>
              <wp:wrapNone/>
              <wp:docPr id="2046" name="Shape 2046"/>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72" type="#_x0000_t202" style="position:absolute;margin-left:317.80000000000001pt;margin-top:534.39999999999998pt;width:12.pt;height:5.2999999999999998pt;z-index:-1887424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8" behindDoc="1" locked="0" layoutInCell="1" allowOverlap="1">
              <wp:simplePos x="0" y="0"/>
              <wp:positionH relativeFrom="page">
                <wp:posOffset>161925</wp:posOffset>
              </wp:positionH>
              <wp:positionV relativeFrom="page">
                <wp:posOffset>6781165</wp:posOffset>
              </wp:positionV>
              <wp:extent cx="155575" cy="82550"/>
              <wp:wrapNone/>
              <wp:docPr id="2051" name="Shape 205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77" type="#_x0000_t202" style="position:absolute;margin-left:12.75pt;margin-top:533.95000000000005pt;width:12.25pt;height:6.5pt;z-index:-1887424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2" behindDoc="1" locked="0" layoutInCell="1" allowOverlap="1">
              <wp:simplePos x="0" y="0"/>
              <wp:positionH relativeFrom="page">
                <wp:posOffset>161925</wp:posOffset>
              </wp:positionH>
              <wp:positionV relativeFrom="page">
                <wp:posOffset>6781165</wp:posOffset>
              </wp:positionV>
              <wp:extent cx="155575" cy="82550"/>
              <wp:wrapNone/>
              <wp:docPr id="2056" name="Shape 205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82" type="#_x0000_t202" style="position:absolute;margin-left:12.75pt;margin-top:533.95000000000005pt;width:12.25pt;height:6.5pt;z-index:-1887424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6" behindDoc="1" locked="0" layoutInCell="1" allowOverlap="1">
              <wp:simplePos x="0" y="0"/>
              <wp:positionH relativeFrom="page">
                <wp:posOffset>4029710</wp:posOffset>
              </wp:positionH>
              <wp:positionV relativeFrom="page">
                <wp:posOffset>6793230</wp:posOffset>
              </wp:positionV>
              <wp:extent cx="152400" cy="79375"/>
              <wp:wrapNone/>
              <wp:docPr id="2061" name="Shape 2061"/>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87" type="#_x0000_t202" style="position:absolute;margin-left:317.30000000000001pt;margin-top:534.89999999999998pt;width:12.pt;height:6.25pt;z-index:-1887424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0" behindDoc="1" locked="0" layoutInCell="1" allowOverlap="1">
              <wp:simplePos x="0" y="0"/>
              <wp:positionH relativeFrom="page">
                <wp:posOffset>184785</wp:posOffset>
              </wp:positionH>
              <wp:positionV relativeFrom="page">
                <wp:posOffset>6798945</wp:posOffset>
              </wp:positionV>
              <wp:extent cx="152400" cy="69850"/>
              <wp:wrapNone/>
              <wp:docPr id="2066" name="Shape 2066"/>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92" type="#_x0000_t202" style="position:absolute;margin-left:14.550000000000001pt;margin-top:535.35000000000002pt;width:12.pt;height:5.5pt;z-index:-1887424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4" behindDoc="1" locked="0" layoutInCell="1" allowOverlap="1">
              <wp:simplePos x="0" y="0"/>
              <wp:positionH relativeFrom="page">
                <wp:posOffset>184785</wp:posOffset>
              </wp:positionH>
              <wp:positionV relativeFrom="page">
                <wp:posOffset>6798945</wp:posOffset>
              </wp:positionV>
              <wp:extent cx="152400" cy="69850"/>
              <wp:wrapNone/>
              <wp:docPr id="2071" name="Shape 2071"/>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097" type="#_x0000_t202" style="position:absolute;margin-left:14.550000000000001pt;margin-top:535.35000000000002pt;width:12.pt;height:5.5pt;z-index:-1887424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8" behindDoc="1" locked="0" layoutInCell="1" allowOverlap="1">
              <wp:simplePos x="0" y="0"/>
              <wp:positionH relativeFrom="page">
                <wp:posOffset>4027170</wp:posOffset>
              </wp:positionH>
              <wp:positionV relativeFrom="page">
                <wp:posOffset>6793230</wp:posOffset>
              </wp:positionV>
              <wp:extent cx="137160" cy="73025"/>
              <wp:wrapNone/>
              <wp:docPr id="2076" name="Shape 2076"/>
              <a:graphic xmlns:a="http://schemas.openxmlformats.org/drawingml/2006/main">
                <a:graphicData uri="http://schemas.microsoft.com/office/word/2010/wordprocessingShape">
                  <wps:wsp>
                    <wps:cNvSpPr txBox="1"/>
                    <wps:spPr>
                      <a:xfrm>
                        <a:ext cx="13716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02" type="#_x0000_t202" style="position:absolute;margin-left:317.10000000000002pt;margin-top:534.89999999999998pt;width:10.800000000000001pt;height:5.75pt;z-index:-1887424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4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2" behindDoc="1" locked="0" layoutInCell="1" allowOverlap="1">
              <wp:simplePos x="0" y="0"/>
              <wp:positionH relativeFrom="page">
                <wp:posOffset>4032885</wp:posOffset>
              </wp:positionH>
              <wp:positionV relativeFrom="page">
                <wp:posOffset>6793230</wp:posOffset>
              </wp:positionV>
              <wp:extent cx="146050" cy="67310"/>
              <wp:wrapNone/>
              <wp:docPr id="2081" name="Shape 2081"/>
              <a:graphic xmlns:a="http://schemas.openxmlformats.org/drawingml/2006/main">
                <a:graphicData uri="http://schemas.microsoft.com/office/word/2010/wordprocessingShape">
                  <wps:wsp>
                    <wps:cNvSpPr txBox="1"/>
                    <wps:spPr>
                      <a:xfrm>
                        <a:ext cx="1460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07" type="#_x0000_t202" style="position:absolute;margin-left:317.55000000000001pt;margin-top:534.89999999999998pt;width:11.5pt;height:5.2999999999999998pt;z-index:-1887424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4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6" behindDoc="1" locked="0" layoutInCell="1" allowOverlap="1">
              <wp:simplePos x="0" y="0"/>
              <wp:positionH relativeFrom="page">
                <wp:posOffset>4032885</wp:posOffset>
              </wp:positionH>
              <wp:positionV relativeFrom="page">
                <wp:posOffset>6793230</wp:posOffset>
              </wp:positionV>
              <wp:extent cx="146050" cy="67310"/>
              <wp:wrapNone/>
              <wp:docPr id="2086" name="Shape 2086"/>
              <a:graphic xmlns:a="http://schemas.openxmlformats.org/drawingml/2006/main">
                <a:graphicData uri="http://schemas.microsoft.com/office/word/2010/wordprocessingShape">
                  <wps:wsp>
                    <wps:cNvSpPr txBox="1"/>
                    <wps:spPr>
                      <a:xfrm>
                        <a:ext cx="1460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12" type="#_x0000_t202" style="position:absolute;margin-left:317.55000000000001pt;margin-top:534.89999999999998pt;width:11.5pt;height:5.2999999999999998pt;z-index:-1887424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4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0" behindDoc="1" locked="0" layoutInCell="1" allowOverlap="1">
              <wp:simplePos x="0" y="0"/>
              <wp:positionH relativeFrom="page">
                <wp:posOffset>171450</wp:posOffset>
              </wp:positionH>
              <wp:positionV relativeFrom="page">
                <wp:posOffset>6782435</wp:posOffset>
              </wp:positionV>
              <wp:extent cx="149225" cy="67310"/>
              <wp:wrapNone/>
              <wp:docPr id="2091" name="Shape 2091"/>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17" type="#_x0000_t202" style="position:absolute;margin-left:13.5pt;margin-top:534.04999999999995pt;width:11.75pt;height:5.2999999999999998pt;z-index:-1887424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4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4" behindDoc="1" locked="0" layoutInCell="1" allowOverlap="1">
              <wp:simplePos x="0" y="0"/>
              <wp:positionH relativeFrom="page">
                <wp:posOffset>171450</wp:posOffset>
              </wp:positionH>
              <wp:positionV relativeFrom="page">
                <wp:posOffset>6782435</wp:posOffset>
              </wp:positionV>
              <wp:extent cx="149225" cy="67310"/>
              <wp:wrapNone/>
              <wp:docPr id="2096" name="Shape 2096"/>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22" type="#_x0000_t202" style="position:absolute;margin-left:13.5pt;margin-top:534.04999999999995pt;width:11.75pt;height:5.2999999999999998pt;z-index:-1887424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4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8" behindDoc="1" locked="0" layoutInCell="1" allowOverlap="1">
              <wp:simplePos x="0" y="0"/>
              <wp:positionH relativeFrom="page">
                <wp:posOffset>4031615</wp:posOffset>
              </wp:positionH>
              <wp:positionV relativeFrom="page">
                <wp:posOffset>6785610</wp:posOffset>
              </wp:positionV>
              <wp:extent cx="149225" cy="76200"/>
              <wp:wrapNone/>
              <wp:docPr id="2101" name="Shape 2101"/>
              <a:graphic xmlns:a="http://schemas.openxmlformats.org/drawingml/2006/main">
                <a:graphicData uri="http://schemas.microsoft.com/office/word/2010/wordprocessingShape">
                  <wps:wsp>
                    <wps:cNvSpPr txBox="1"/>
                    <wps:spPr>
                      <a:xfrm>
                        <a:ext cx="14922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27" type="#_x0000_t202" style="position:absolute;margin-left:317.44999999999999pt;margin-top:534.29999999999995pt;width:11.75pt;height:6.pt;z-index:-1887424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2" behindDoc="1" locked="0" layoutInCell="1" allowOverlap="1">
              <wp:simplePos x="0" y="0"/>
              <wp:positionH relativeFrom="page">
                <wp:posOffset>173990</wp:posOffset>
              </wp:positionH>
              <wp:positionV relativeFrom="page">
                <wp:posOffset>6777990</wp:posOffset>
              </wp:positionV>
              <wp:extent cx="152400" cy="82550"/>
              <wp:wrapNone/>
              <wp:docPr id="2106" name="Shape 2106"/>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32" type="#_x0000_t202" style="position:absolute;margin-left:13.699999999999999pt;margin-top:533.70000000000005pt;width:12.pt;height:6.5pt;z-index:-1887424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6" behindDoc="1" locked="0" layoutInCell="1" allowOverlap="1">
              <wp:simplePos x="0" y="0"/>
              <wp:positionH relativeFrom="page">
                <wp:posOffset>173990</wp:posOffset>
              </wp:positionH>
              <wp:positionV relativeFrom="page">
                <wp:posOffset>6777990</wp:posOffset>
              </wp:positionV>
              <wp:extent cx="152400" cy="82550"/>
              <wp:wrapNone/>
              <wp:docPr id="2111" name="Shape 2111"/>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37" type="#_x0000_t202" style="position:absolute;margin-left:13.699999999999999pt;margin-top:533.70000000000005pt;width:12.pt;height:6.5pt;z-index:-1887424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0" behindDoc="1" locked="0" layoutInCell="1" allowOverlap="1">
              <wp:simplePos x="0" y="0"/>
              <wp:positionH relativeFrom="page">
                <wp:posOffset>4029710</wp:posOffset>
              </wp:positionH>
              <wp:positionV relativeFrom="page">
                <wp:posOffset>6788785</wp:posOffset>
              </wp:positionV>
              <wp:extent cx="152400" cy="79375"/>
              <wp:wrapNone/>
              <wp:docPr id="2116" name="Shape 2116"/>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42" type="#_x0000_t202" style="position:absolute;margin-left:317.30000000000001pt;margin-top:534.54999999999995pt;width:12.pt;height:6.25pt;z-index:-1887424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4" behindDoc="1" locked="0" layoutInCell="1" allowOverlap="1">
              <wp:simplePos x="0" y="0"/>
              <wp:positionH relativeFrom="page">
                <wp:posOffset>4031615</wp:posOffset>
              </wp:positionH>
              <wp:positionV relativeFrom="page">
                <wp:posOffset>6785610</wp:posOffset>
              </wp:positionV>
              <wp:extent cx="152400" cy="79375"/>
              <wp:wrapNone/>
              <wp:docPr id="2121" name="Shape 2121"/>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47" type="#_x0000_t202" style="position:absolute;margin-left:317.44999999999999pt;margin-top:534.29999999999995pt;width:12.pt;height:6.25pt;z-index:-1887424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8" behindDoc="1" locked="0" layoutInCell="1" allowOverlap="1">
              <wp:simplePos x="0" y="0"/>
              <wp:positionH relativeFrom="page">
                <wp:posOffset>4031615</wp:posOffset>
              </wp:positionH>
              <wp:positionV relativeFrom="page">
                <wp:posOffset>6785610</wp:posOffset>
              </wp:positionV>
              <wp:extent cx="152400" cy="79375"/>
              <wp:wrapNone/>
              <wp:docPr id="2126" name="Shape 2126"/>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52" type="#_x0000_t202" style="position:absolute;margin-left:317.44999999999999pt;margin-top:534.29999999999995pt;width:12.pt;height:6.25pt;z-index:-1887424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4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0" behindDoc="1" locked="0" layoutInCell="1" allowOverlap="1">
              <wp:simplePos x="0" y="0"/>
              <wp:positionH relativeFrom="page">
                <wp:posOffset>4037965</wp:posOffset>
              </wp:positionH>
              <wp:positionV relativeFrom="page">
                <wp:posOffset>6798945</wp:posOffset>
              </wp:positionV>
              <wp:extent cx="152400" cy="67310"/>
              <wp:wrapNone/>
              <wp:docPr id="2143" name="Shape 2143"/>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69" type="#_x0000_t202" style="position:absolute;margin-left:317.94999999999999pt;margin-top:535.35000000000002pt;width:12.pt;height:5.2999999999999998pt;z-index:-1887424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4" behindDoc="1" locked="0" layoutInCell="1" allowOverlap="1">
              <wp:simplePos x="0" y="0"/>
              <wp:positionH relativeFrom="page">
                <wp:posOffset>4037965</wp:posOffset>
              </wp:positionH>
              <wp:positionV relativeFrom="page">
                <wp:posOffset>6798945</wp:posOffset>
              </wp:positionV>
              <wp:extent cx="152400" cy="67310"/>
              <wp:wrapNone/>
              <wp:docPr id="2148" name="Shape 2148"/>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74" type="#_x0000_t202" style="position:absolute;margin-left:317.94999999999999pt;margin-top:535.35000000000002pt;width:12.pt;height:5.2999999999999998pt;z-index:-1887424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4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8" behindDoc="1" locked="0" layoutInCell="1" allowOverlap="1">
              <wp:simplePos x="0" y="0"/>
              <wp:positionH relativeFrom="page">
                <wp:posOffset>177800</wp:posOffset>
              </wp:positionH>
              <wp:positionV relativeFrom="page">
                <wp:posOffset>6789420</wp:posOffset>
              </wp:positionV>
              <wp:extent cx="155575" cy="79375"/>
              <wp:wrapNone/>
              <wp:docPr id="2153" name="Shape 2153"/>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79" type="#_x0000_t202" style="position:absolute;margin-left:14.pt;margin-top:534.60000000000002pt;width:12.25pt;height:6.25pt;z-index:-1887424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2" behindDoc="1" locked="0" layoutInCell="1" allowOverlap="1">
              <wp:simplePos x="0" y="0"/>
              <wp:positionH relativeFrom="page">
                <wp:posOffset>175895</wp:posOffset>
              </wp:positionH>
              <wp:positionV relativeFrom="page">
                <wp:posOffset>6792595</wp:posOffset>
              </wp:positionV>
              <wp:extent cx="149225" cy="79375"/>
              <wp:wrapNone/>
              <wp:docPr id="2158" name="Shape 2158"/>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84" type="#_x0000_t202" style="position:absolute;margin-left:13.85pt;margin-top:534.85000000000002pt;width:11.75pt;height:6.25pt;z-index:-1887424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6" behindDoc="1" locked="0" layoutInCell="1" allowOverlap="1">
              <wp:simplePos x="0" y="0"/>
              <wp:positionH relativeFrom="page">
                <wp:posOffset>175895</wp:posOffset>
              </wp:positionH>
              <wp:positionV relativeFrom="page">
                <wp:posOffset>6792595</wp:posOffset>
              </wp:positionV>
              <wp:extent cx="149225" cy="79375"/>
              <wp:wrapNone/>
              <wp:docPr id="2163" name="Shape 2163"/>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189" type="#_x0000_t202" style="position:absolute;margin-left:13.85pt;margin-top:534.85000000000002pt;width:11.75pt;height:6.25pt;z-index:-1887424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4" behindDoc="1" locked="0" layoutInCell="1" allowOverlap="1">
              <wp:simplePos x="0" y="0"/>
              <wp:positionH relativeFrom="page">
                <wp:posOffset>4027170</wp:posOffset>
              </wp:positionH>
              <wp:positionV relativeFrom="page">
                <wp:posOffset>6798945</wp:posOffset>
              </wp:positionV>
              <wp:extent cx="155575" cy="82550"/>
              <wp:wrapNone/>
              <wp:docPr id="2174" name="Shape 2174"/>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00" type="#_x0000_t202" style="position:absolute;margin-left:317.10000000000002pt;margin-top:535.35000000000002pt;width:12.25pt;height:6.5pt;z-index:-1887423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8" behindDoc="1" locked="0" layoutInCell="1" allowOverlap="1">
              <wp:simplePos x="0" y="0"/>
              <wp:positionH relativeFrom="page">
                <wp:posOffset>4027170</wp:posOffset>
              </wp:positionH>
              <wp:positionV relativeFrom="page">
                <wp:posOffset>6798945</wp:posOffset>
              </wp:positionV>
              <wp:extent cx="155575" cy="82550"/>
              <wp:wrapNone/>
              <wp:docPr id="2179" name="Shape 2179"/>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05" type="#_x0000_t202" style="position:absolute;margin-left:317.10000000000002pt;margin-top:535.35000000000002pt;width:12.25pt;height:6.5pt;z-index:-1887423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2" behindDoc="1" locked="0" layoutInCell="1" allowOverlap="1">
              <wp:simplePos x="0" y="0"/>
              <wp:positionH relativeFrom="page">
                <wp:posOffset>170180</wp:posOffset>
              </wp:positionH>
              <wp:positionV relativeFrom="page">
                <wp:posOffset>6789420</wp:posOffset>
              </wp:positionV>
              <wp:extent cx="155575" cy="82550"/>
              <wp:wrapNone/>
              <wp:docPr id="2184" name="Shape 2184"/>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10" type="#_x0000_t202" style="position:absolute;margin-left:13.4pt;margin-top:534.60000000000002pt;width:12.25pt;height:6.5pt;z-index:-1887423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6" behindDoc="1" locked="0" layoutInCell="1" allowOverlap="1">
              <wp:simplePos x="0" y="0"/>
              <wp:positionH relativeFrom="page">
                <wp:posOffset>175895</wp:posOffset>
              </wp:positionH>
              <wp:positionV relativeFrom="page">
                <wp:posOffset>6798945</wp:posOffset>
              </wp:positionV>
              <wp:extent cx="152400" cy="79375"/>
              <wp:wrapNone/>
              <wp:docPr id="2189" name="Shape 218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15" type="#_x0000_t202" style="position:absolute;margin-left:13.85pt;margin-top:535.35000000000002pt;width:12.pt;height:6.25pt;z-index:-1887423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0" behindDoc="1" locked="0" layoutInCell="1" allowOverlap="1">
              <wp:simplePos x="0" y="0"/>
              <wp:positionH relativeFrom="page">
                <wp:posOffset>175895</wp:posOffset>
              </wp:positionH>
              <wp:positionV relativeFrom="page">
                <wp:posOffset>6798945</wp:posOffset>
              </wp:positionV>
              <wp:extent cx="152400" cy="79375"/>
              <wp:wrapNone/>
              <wp:docPr id="2194" name="Shape 219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20" type="#_x0000_t202" style="position:absolute;margin-left:13.85pt;margin-top:535.35000000000002pt;width:12.pt;height:6.25pt;z-index:-1887423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8" behindDoc="1" locked="0" layoutInCell="1" allowOverlap="1">
              <wp:simplePos x="0" y="0"/>
              <wp:positionH relativeFrom="page">
                <wp:posOffset>167005</wp:posOffset>
              </wp:positionH>
              <wp:positionV relativeFrom="page">
                <wp:posOffset>6789420</wp:posOffset>
              </wp:positionV>
              <wp:extent cx="155575" cy="82550"/>
              <wp:wrapNone/>
              <wp:docPr id="2205" name="Shape 2205"/>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31" type="#_x0000_t202" style="position:absolute;margin-left:13.15pt;margin-top:534.60000000000002pt;width:12.25pt;height:6.5pt;z-index:-1887423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2" behindDoc="1" locked="0" layoutInCell="1" allowOverlap="1">
              <wp:simplePos x="0" y="0"/>
              <wp:positionH relativeFrom="page">
                <wp:posOffset>167005</wp:posOffset>
              </wp:positionH>
              <wp:positionV relativeFrom="page">
                <wp:posOffset>6789420</wp:posOffset>
              </wp:positionV>
              <wp:extent cx="155575" cy="82550"/>
              <wp:wrapNone/>
              <wp:docPr id="2210" name="Shape 2210"/>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36" type="#_x0000_t202" style="position:absolute;margin-left:13.15pt;margin-top:534.60000000000002pt;width:12.25pt;height:6.5pt;z-index:-1887423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0" behindDoc="1" locked="0" layoutInCell="1" allowOverlap="1">
              <wp:simplePos x="0" y="0"/>
              <wp:positionH relativeFrom="page">
                <wp:posOffset>167005</wp:posOffset>
              </wp:positionH>
              <wp:positionV relativeFrom="page">
                <wp:posOffset>6789420</wp:posOffset>
              </wp:positionV>
              <wp:extent cx="155575" cy="82550"/>
              <wp:wrapNone/>
              <wp:docPr id="2221" name="Shape 222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47" type="#_x0000_t202" style="position:absolute;margin-left:13.15pt;margin-top:534.60000000000002pt;width:12.25pt;height:6.5pt;z-index:-1887423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4" behindDoc="1" locked="0" layoutInCell="1" allowOverlap="1">
              <wp:simplePos x="0" y="0"/>
              <wp:positionH relativeFrom="page">
                <wp:posOffset>167005</wp:posOffset>
              </wp:positionH>
              <wp:positionV relativeFrom="page">
                <wp:posOffset>6789420</wp:posOffset>
              </wp:positionV>
              <wp:extent cx="155575" cy="82550"/>
              <wp:wrapNone/>
              <wp:docPr id="2226" name="Shape 222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52" type="#_x0000_t202" style="position:absolute;margin-left:13.15pt;margin-top:534.60000000000002pt;width:12.25pt;height:6.5pt;z-index:-1887423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8" behindDoc="1" locked="0" layoutInCell="1" allowOverlap="1">
              <wp:simplePos x="0" y="0"/>
              <wp:positionH relativeFrom="page">
                <wp:posOffset>170180</wp:posOffset>
              </wp:positionH>
              <wp:positionV relativeFrom="page">
                <wp:posOffset>6779260</wp:posOffset>
              </wp:positionV>
              <wp:extent cx="149225" cy="79375"/>
              <wp:wrapNone/>
              <wp:docPr id="2231" name="Shape 2231"/>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57" type="#_x0000_t202" style="position:absolute;margin-left:13.4pt;margin-top:533.79999999999995pt;width:11.75pt;height:6.25pt;z-index:-1887423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2" behindDoc="1" locked="0" layoutInCell="1" allowOverlap="1">
              <wp:simplePos x="0" y="0"/>
              <wp:positionH relativeFrom="page">
                <wp:posOffset>170180</wp:posOffset>
              </wp:positionH>
              <wp:positionV relativeFrom="page">
                <wp:posOffset>6779260</wp:posOffset>
              </wp:positionV>
              <wp:extent cx="149225" cy="79375"/>
              <wp:wrapNone/>
              <wp:docPr id="2236" name="Shape 2236"/>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62" type="#_x0000_t202" style="position:absolute;margin-left:13.4pt;margin-top:533.79999999999995pt;width:11.75pt;height:6.25pt;z-index:-1887423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4" behindDoc="1" locked="0" layoutInCell="1" allowOverlap="1">
              <wp:simplePos x="0" y="0"/>
              <wp:positionH relativeFrom="page">
                <wp:posOffset>4030345</wp:posOffset>
              </wp:positionH>
              <wp:positionV relativeFrom="page">
                <wp:posOffset>6791325</wp:posOffset>
              </wp:positionV>
              <wp:extent cx="146050" cy="67310"/>
              <wp:wrapNone/>
              <wp:docPr id="2238" name="Shape 2238"/>
              <a:graphic xmlns:a="http://schemas.openxmlformats.org/drawingml/2006/main">
                <a:graphicData uri="http://schemas.microsoft.com/office/word/2010/wordprocessingShape">
                  <wps:wsp>
                    <wps:cNvSpPr txBox="1"/>
                    <wps:spPr>
                      <a:xfrm>
                        <a:ext cx="1460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64" type="#_x0000_t202" style="position:absolute;margin-left:317.35000000000002pt;margin-top:534.75pt;width:11.5pt;height:5.2999999999999998pt;z-index:-1887423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8" behindDoc="1" locked="0" layoutInCell="1" allowOverlap="1">
              <wp:simplePos x="0" y="0"/>
              <wp:positionH relativeFrom="page">
                <wp:posOffset>174625</wp:posOffset>
              </wp:positionH>
              <wp:positionV relativeFrom="page">
                <wp:posOffset>6779260</wp:posOffset>
              </wp:positionV>
              <wp:extent cx="152400" cy="79375"/>
              <wp:wrapNone/>
              <wp:docPr id="2243" name="Shape 2243"/>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69" type="#_x0000_t202" style="position:absolute;margin-left:13.75pt;margin-top:533.79999999999995pt;width:12.pt;height:6.25pt;z-index:-1887423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12" behindDoc="1" locked="0" layoutInCell="1" allowOverlap="1">
              <wp:simplePos x="0" y="0"/>
              <wp:positionH relativeFrom="page">
                <wp:posOffset>174625</wp:posOffset>
              </wp:positionH>
              <wp:positionV relativeFrom="page">
                <wp:posOffset>6779260</wp:posOffset>
              </wp:positionV>
              <wp:extent cx="152400" cy="79375"/>
              <wp:wrapNone/>
              <wp:docPr id="2248" name="Shape 2248"/>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74" type="#_x0000_t202" style="position:absolute;margin-left:13.75pt;margin-top:533.79999999999995pt;width:12.pt;height:6.25pt;z-index:-1887423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16" behindDoc="1" locked="0" layoutInCell="1" allowOverlap="1">
              <wp:simplePos x="0" y="0"/>
              <wp:positionH relativeFrom="page">
                <wp:posOffset>4025900</wp:posOffset>
              </wp:positionH>
              <wp:positionV relativeFrom="page">
                <wp:posOffset>6794500</wp:posOffset>
              </wp:positionV>
              <wp:extent cx="149225" cy="73025"/>
              <wp:wrapNone/>
              <wp:docPr id="2253" name="Shape 2253"/>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79" type="#_x0000_t202" style="position:absolute;margin-left:317.pt;margin-top:535.pt;width:11.75pt;height:5.75pt;z-index:-1887423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20" behindDoc="1" locked="0" layoutInCell="1" allowOverlap="1">
              <wp:simplePos x="0" y="0"/>
              <wp:positionH relativeFrom="page">
                <wp:posOffset>167005</wp:posOffset>
              </wp:positionH>
              <wp:positionV relativeFrom="page">
                <wp:posOffset>6772910</wp:posOffset>
              </wp:positionV>
              <wp:extent cx="155575" cy="79375"/>
              <wp:wrapNone/>
              <wp:docPr id="2258" name="Shape 2258"/>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84" type="#_x0000_t202" style="position:absolute;margin-left:13.15pt;margin-top:533.29999999999995pt;width:12.25pt;height:6.25pt;z-index:-1887423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24" behindDoc="1" locked="0" layoutInCell="1" allowOverlap="1">
              <wp:simplePos x="0" y="0"/>
              <wp:positionH relativeFrom="page">
                <wp:posOffset>167005</wp:posOffset>
              </wp:positionH>
              <wp:positionV relativeFrom="page">
                <wp:posOffset>6772910</wp:posOffset>
              </wp:positionV>
              <wp:extent cx="155575" cy="79375"/>
              <wp:wrapNone/>
              <wp:docPr id="2263" name="Shape 2263"/>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89" type="#_x0000_t202" style="position:absolute;margin-left:13.15pt;margin-top:533.29999999999995pt;width:12.25pt;height:6.25pt;z-index:-1887423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28" behindDoc="1" locked="0" layoutInCell="1" allowOverlap="1">
              <wp:simplePos x="0" y="0"/>
              <wp:positionH relativeFrom="page">
                <wp:posOffset>4029075</wp:posOffset>
              </wp:positionH>
              <wp:positionV relativeFrom="page">
                <wp:posOffset>6782435</wp:posOffset>
              </wp:positionV>
              <wp:extent cx="152400" cy="82550"/>
              <wp:wrapNone/>
              <wp:docPr id="2268" name="Shape 2268"/>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94" type="#_x0000_t202" style="position:absolute;margin-left:317.25pt;margin-top:534.04999999999995pt;width:12.pt;height:6.5pt;z-index:-1887423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2" behindDoc="1" locked="0" layoutInCell="1" allowOverlap="1">
              <wp:simplePos x="0" y="0"/>
              <wp:positionH relativeFrom="page">
                <wp:posOffset>174625</wp:posOffset>
              </wp:positionH>
              <wp:positionV relativeFrom="page">
                <wp:posOffset>6779260</wp:posOffset>
              </wp:positionV>
              <wp:extent cx="152400" cy="69850"/>
              <wp:wrapNone/>
              <wp:docPr id="2273" name="Shape 2273"/>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299" type="#_x0000_t202" style="position:absolute;margin-left:13.75pt;margin-top:533.79999999999995pt;width:12.pt;height:5.5pt;z-index:-1887423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6" behindDoc="1" locked="0" layoutInCell="1" allowOverlap="1">
              <wp:simplePos x="0" y="0"/>
              <wp:positionH relativeFrom="page">
                <wp:posOffset>174625</wp:posOffset>
              </wp:positionH>
              <wp:positionV relativeFrom="page">
                <wp:posOffset>6779260</wp:posOffset>
              </wp:positionV>
              <wp:extent cx="152400" cy="69850"/>
              <wp:wrapNone/>
              <wp:docPr id="2278" name="Shape 2278"/>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04" type="#_x0000_t202" style="position:absolute;margin-left:13.75pt;margin-top:533.79999999999995pt;width:12.pt;height:5.5pt;z-index:-1887423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0" behindDoc="1" locked="0" layoutInCell="1" allowOverlap="1">
              <wp:simplePos x="0" y="0"/>
              <wp:positionH relativeFrom="page">
                <wp:posOffset>4039235</wp:posOffset>
              </wp:positionH>
              <wp:positionV relativeFrom="page">
                <wp:posOffset>6776085</wp:posOffset>
              </wp:positionV>
              <wp:extent cx="152400" cy="69850"/>
              <wp:wrapNone/>
              <wp:docPr id="2283" name="Shape 2283"/>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09" type="#_x0000_t202" style="position:absolute;margin-left:318.05000000000001pt;margin-top:533.54999999999995pt;width:12.pt;height:5.5pt;z-index:-1887423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4" behindDoc="1" locked="0" layoutInCell="1" allowOverlap="1">
              <wp:simplePos x="0" y="0"/>
              <wp:positionH relativeFrom="page">
                <wp:posOffset>165735</wp:posOffset>
              </wp:positionH>
              <wp:positionV relativeFrom="page">
                <wp:posOffset>6772910</wp:posOffset>
              </wp:positionV>
              <wp:extent cx="155575" cy="79375"/>
              <wp:wrapNone/>
              <wp:docPr id="2288" name="Shape 2288"/>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14" type="#_x0000_t202" style="position:absolute;margin-left:13.050000000000001pt;margin-top:533.29999999999995pt;width:12.25pt;height:6.25pt;z-index:-1887423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8" behindDoc="1" locked="0" layoutInCell="1" allowOverlap="1">
              <wp:simplePos x="0" y="0"/>
              <wp:positionH relativeFrom="page">
                <wp:posOffset>165735</wp:posOffset>
              </wp:positionH>
              <wp:positionV relativeFrom="page">
                <wp:posOffset>6772910</wp:posOffset>
              </wp:positionV>
              <wp:extent cx="155575" cy="79375"/>
              <wp:wrapNone/>
              <wp:docPr id="2293" name="Shape 2293"/>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19" type="#_x0000_t202" style="position:absolute;margin-left:13.050000000000001pt;margin-top:533.29999999999995pt;width:12.25pt;height:6.25pt;z-index:-1887423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52" behindDoc="1" locked="0" layoutInCell="1" allowOverlap="1">
              <wp:simplePos x="0" y="0"/>
              <wp:positionH relativeFrom="page">
                <wp:posOffset>4025900</wp:posOffset>
              </wp:positionH>
              <wp:positionV relativeFrom="page">
                <wp:posOffset>6782435</wp:posOffset>
              </wp:positionV>
              <wp:extent cx="133985" cy="64135"/>
              <wp:wrapNone/>
              <wp:docPr id="2298" name="Shape 2298"/>
              <a:graphic xmlns:a="http://schemas.openxmlformats.org/drawingml/2006/main">
                <a:graphicData uri="http://schemas.microsoft.com/office/word/2010/wordprocessingShape">
                  <wps:wsp>
                    <wps:cNvSpPr txBox="1"/>
                    <wps:spPr>
                      <a:xfrm>
                        <a:ext cx="1339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24" type="#_x0000_t202" style="position:absolute;margin-left:317.pt;margin-top:534.04999999999995pt;width:10.550000000000001pt;height:5.0499999999999998pt;z-index:-1887423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hr-HR" w:eastAsia="hr-HR" w:bidi="hr-HR"/>
                        </w:rPr>
                        <w:t>#</w:t>
                      </w:r>
                    </w:fldSimple>
                  </w:p>
                </w:txbxContent>
              </v:textbox>
              <w10:wrap anchorx="page" anchory="page"/>
            </v:shape>
          </w:pict>
        </mc:Fallback>
      </mc:AlternateContent>
    </w:r>
  </w:p>
</w:ftr>
</file>

<file path=word/footer5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56" behindDoc="1" locked="0" layoutInCell="1" allowOverlap="1">
              <wp:simplePos x="0" y="0"/>
              <wp:positionH relativeFrom="page">
                <wp:posOffset>163830</wp:posOffset>
              </wp:positionH>
              <wp:positionV relativeFrom="page">
                <wp:posOffset>6772910</wp:posOffset>
              </wp:positionV>
              <wp:extent cx="149225" cy="79375"/>
              <wp:wrapNone/>
              <wp:docPr id="2303" name="Shape 2303"/>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29" type="#_x0000_t202" style="position:absolute;margin-left:12.9pt;margin-top:533.29999999999995pt;width:11.75pt;height:6.25pt;z-index:-1887422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0" behindDoc="1" locked="0" layoutInCell="1" allowOverlap="1">
              <wp:simplePos x="0" y="0"/>
              <wp:positionH relativeFrom="page">
                <wp:posOffset>163830</wp:posOffset>
              </wp:positionH>
              <wp:positionV relativeFrom="page">
                <wp:posOffset>6772910</wp:posOffset>
              </wp:positionV>
              <wp:extent cx="149225" cy="79375"/>
              <wp:wrapNone/>
              <wp:docPr id="2308" name="Shape 2308"/>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34" type="#_x0000_t202" style="position:absolute;margin-left:12.9pt;margin-top:533.29999999999995pt;width:11.75pt;height:6.25pt;z-index:-1887422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4" behindDoc="1" locked="0" layoutInCell="1" allowOverlap="1">
              <wp:simplePos x="0" y="0"/>
              <wp:positionH relativeFrom="page">
                <wp:posOffset>4031615</wp:posOffset>
              </wp:positionH>
              <wp:positionV relativeFrom="page">
                <wp:posOffset>6776085</wp:posOffset>
              </wp:positionV>
              <wp:extent cx="152400" cy="82550"/>
              <wp:wrapNone/>
              <wp:docPr id="2313" name="Shape 2313"/>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39" type="#_x0000_t202" style="position:absolute;margin-left:317.44999999999999pt;margin-top:533.54999999999995pt;width:12.pt;height:6.5pt;z-index:-1887422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8" behindDoc="1" locked="0" layoutInCell="1" allowOverlap="1">
              <wp:simplePos x="0" y="0"/>
              <wp:positionH relativeFrom="page">
                <wp:posOffset>4031615</wp:posOffset>
              </wp:positionH>
              <wp:positionV relativeFrom="page">
                <wp:posOffset>6788150</wp:posOffset>
              </wp:positionV>
              <wp:extent cx="146050" cy="76200"/>
              <wp:wrapNone/>
              <wp:docPr id="2318" name="Shape 2318"/>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44" type="#_x0000_t202" style="position:absolute;margin-left:317.44999999999999pt;margin-top:534.5pt;width:11.5pt;height:6.pt;z-index:-1887422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2" behindDoc="1" locked="0" layoutInCell="1" allowOverlap="1">
              <wp:simplePos x="0" y="0"/>
              <wp:positionH relativeFrom="page">
                <wp:posOffset>4031615</wp:posOffset>
              </wp:positionH>
              <wp:positionV relativeFrom="page">
                <wp:posOffset>6788150</wp:posOffset>
              </wp:positionV>
              <wp:extent cx="146050" cy="76200"/>
              <wp:wrapNone/>
              <wp:docPr id="2323" name="Shape 2323"/>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49" type="#_x0000_t202" style="position:absolute;margin-left:317.44999999999999pt;margin-top:534.5pt;width:11.5pt;height:6.pt;z-index:-1887422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0" behindDoc="1" locked="0" layoutInCell="1" allowOverlap="1">
              <wp:simplePos x="0" y="0"/>
              <wp:positionH relativeFrom="page">
                <wp:posOffset>179070</wp:posOffset>
              </wp:positionH>
              <wp:positionV relativeFrom="page">
                <wp:posOffset>6803390</wp:posOffset>
              </wp:positionV>
              <wp:extent cx="152400" cy="79375"/>
              <wp:wrapNone/>
              <wp:docPr id="2334" name="Shape 233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3360" type="#_x0000_t202" style="position:absolute;margin-left:14.1pt;margin-top:535.70000000000005pt;width:12.pt;height:6.25pt;z-index:-1887422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5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4" behindDoc="1" locked="0" layoutInCell="1" allowOverlap="1">
              <wp:simplePos x="0" y="0"/>
              <wp:positionH relativeFrom="page">
                <wp:posOffset>179070</wp:posOffset>
              </wp:positionH>
              <wp:positionV relativeFrom="page">
                <wp:posOffset>6803390</wp:posOffset>
              </wp:positionV>
              <wp:extent cx="152400" cy="79375"/>
              <wp:wrapNone/>
              <wp:docPr id="2339" name="Shape 233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3365" type="#_x0000_t202" style="position:absolute;margin-left:14.1pt;margin-top:535.70000000000005pt;width:12.pt;height:6.25pt;z-index:-1887422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5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8" behindDoc="1" locked="0" layoutInCell="1" allowOverlap="1">
              <wp:simplePos x="0" y="0"/>
              <wp:positionH relativeFrom="page">
                <wp:posOffset>4031615</wp:posOffset>
              </wp:positionH>
              <wp:positionV relativeFrom="page">
                <wp:posOffset>6788150</wp:posOffset>
              </wp:positionV>
              <wp:extent cx="146050" cy="76200"/>
              <wp:wrapNone/>
              <wp:docPr id="2344" name="Shape 2344"/>
              <a:graphic xmlns:a="http://schemas.openxmlformats.org/drawingml/2006/main">
                <a:graphicData uri="http://schemas.microsoft.com/office/word/2010/wordprocessingShape">
                  <wps:wsp>
                    <wps:cNvSpPr txBox="1"/>
                    <wps:spPr>
                      <a:xfrm>
                        <a:ext cx="1460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70" type="#_x0000_t202" style="position:absolute;margin-left:317.44999999999999pt;margin-top:534.5pt;width:11.5pt;height:6.pt;z-index:-1887422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92" behindDoc="1" locked="0" layoutInCell="1" allowOverlap="1">
              <wp:simplePos x="0" y="0"/>
              <wp:positionH relativeFrom="page">
                <wp:posOffset>171450</wp:posOffset>
              </wp:positionH>
              <wp:positionV relativeFrom="page">
                <wp:posOffset>6779260</wp:posOffset>
              </wp:positionV>
              <wp:extent cx="155575" cy="82550"/>
              <wp:wrapNone/>
              <wp:docPr id="2349" name="Shape 2349"/>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75" type="#_x0000_t202" style="position:absolute;margin-left:13.5pt;margin-top:533.79999999999995pt;width:12.25pt;height:6.5pt;z-index:-1887422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96" behindDoc="1" locked="0" layoutInCell="1" allowOverlap="1">
              <wp:simplePos x="0" y="0"/>
              <wp:positionH relativeFrom="page">
                <wp:posOffset>171450</wp:posOffset>
              </wp:positionH>
              <wp:positionV relativeFrom="page">
                <wp:posOffset>6779260</wp:posOffset>
              </wp:positionV>
              <wp:extent cx="155575" cy="82550"/>
              <wp:wrapNone/>
              <wp:docPr id="2354" name="Shape 2354"/>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80" type="#_x0000_t202" style="position:absolute;margin-left:13.5pt;margin-top:533.79999999999995pt;width:12.25pt;height:6.5pt;z-index:-1887422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0" behindDoc="1" locked="0" layoutInCell="1" allowOverlap="1">
              <wp:simplePos x="0" y="0"/>
              <wp:positionH relativeFrom="page">
                <wp:posOffset>4031615</wp:posOffset>
              </wp:positionH>
              <wp:positionV relativeFrom="page">
                <wp:posOffset>6779260</wp:posOffset>
              </wp:positionV>
              <wp:extent cx="152400" cy="85090"/>
              <wp:wrapNone/>
              <wp:docPr id="2359" name="Shape 2359"/>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85" type="#_x0000_t202" style="position:absolute;margin-left:317.44999999999999pt;margin-top:533.79999999999995pt;width:12.pt;height:6.7000000000000002pt;z-index:-1887422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4" behindDoc="1" locked="0" layoutInCell="1" allowOverlap="1">
              <wp:simplePos x="0" y="0"/>
              <wp:positionH relativeFrom="page">
                <wp:posOffset>171450</wp:posOffset>
              </wp:positionH>
              <wp:positionV relativeFrom="page">
                <wp:posOffset>6776085</wp:posOffset>
              </wp:positionV>
              <wp:extent cx="152400" cy="82550"/>
              <wp:wrapNone/>
              <wp:docPr id="2364" name="Shape 2364"/>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90" type="#_x0000_t202" style="position:absolute;margin-left:13.5pt;margin-top:533.54999999999995pt;width:12.pt;height:6.5pt;z-index:-1887422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8" behindDoc="1" locked="0" layoutInCell="1" allowOverlap="1">
              <wp:simplePos x="0" y="0"/>
              <wp:positionH relativeFrom="page">
                <wp:posOffset>171450</wp:posOffset>
              </wp:positionH>
              <wp:positionV relativeFrom="page">
                <wp:posOffset>6776085</wp:posOffset>
              </wp:positionV>
              <wp:extent cx="152400" cy="82550"/>
              <wp:wrapNone/>
              <wp:docPr id="2369" name="Shape 2369"/>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395" type="#_x0000_t202" style="position:absolute;margin-left:13.5pt;margin-top:533.54999999999995pt;width:12.pt;height:6.5pt;z-index:-1887422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2" behindDoc="1" locked="0" layoutInCell="1" allowOverlap="1">
              <wp:simplePos x="0" y="0"/>
              <wp:positionH relativeFrom="page">
                <wp:posOffset>4030345</wp:posOffset>
              </wp:positionH>
              <wp:positionV relativeFrom="page">
                <wp:posOffset>6779260</wp:posOffset>
              </wp:positionV>
              <wp:extent cx="137160" cy="67310"/>
              <wp:wrapNone/>
              <wp:docPr id="2374" name="Shape 2374"/>
              <a:graphic xmlns:a="http://schemas.openxmlformats.org/drawingml/2006/main">
                <a:graphicData uri="http://schemas.microsoft.com/office/word/2010/wordprocessingShape">
                  <wps:wsp>
                    <wps:cNvSpPr txBox="1"/>
                    <wps:spPr>
                      <a:xfrm>
                        <a:ext cx="1371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00" type="#_x0000_t202" style="position:absolute;margin-left:317.35000000000002pt;margin-top:533.79999999999995pt;width:10.800000000000001pt;height:5.2999999999999998pt;z-index:-1887422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6" behindDoc="1" locked="0" layoutInCell="1" allowOverlap="1">
              <wp:simplePos x="0" y="0"/>
              <wp:positionH relativeFrom="page">
                <wp:posOffset>4025900</wp:posOffset>
              </wp:positionH>
              <wp:positionV relativeFrom="page">
                <wp:posOffset>6782435</wp:posOffset>
              </wp:positionV>
              <wp:extent cx="152400" cy="76200"/>
              <wp:wrapNone/>
              <wp:docPr id="2379" name="Shape 2379"/>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.36.3</w:t>
                          </w:r>
                        </w:p>
                      </w:txbxContent>
                    </wps:txbx>
                    <wps:bodyPr wrap="none" lIns="0" tIns="0" rIns="0" bIns="0">
                      <a:spAutoFit/>
                    </wps:bodyPr>
                  </wps:wsp>
                </a:graphicData>
              </a:graphic>
            </wp:anchor>
          </w:drawing>
        </mc:Choice>
        <mc:Fallback>
          <w:pict>
            <v:shape id="_x0000_s3405" type="#_x0000_t202" style="position:absolute;margin-left:317.pt;margin-top:534.04999999999995pt;width:12.pt;height:6.pt;z-index:-1887422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.36.3</w:t>
                    </w:r>
                  </w:p>
                </w:txbxContent>
              </v:textbox>
              <w10:wrap anchorx="page" anchory="page"/>
            </v:shape>
          </w:pict>
        </mc:Fallback>
      </mc:AlternateContent>
    </w:r>
  </w:p>
</w:ftr>
</file>

<file path=word/footer5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0" behindDoc="1" locked="0" layoutInCell="1" allowOverlap="1">
              <wp:simplePos x="0" y="0"/>
              <wp:positionH relativeFrom="page">
                <wp:posOffset>4025900</wp:posOffset>
              </wp:positionH>
              <wp:positionV relativeFrom="page">
                <wp:posOffset>6782435</wp:posOffset>
              </wp:positionV>
              <wp:extent cx="152400" cy="76200"/>
              <wp:wrapNone/>
              <wp:docPr id="2384" name="Shape 2384"/>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.36.3</w:t>
                          </w:r>
                        </w:p>
                      </w:txbxContent>
                    </wps:txbx>
                    <wps:bodyPr wrap="none" lIns="0" tIns="0" rIns="0" bIns="0">
                      <a:spAutoFit/>
                    </wps:bodyPr>
                  </wps:wsp>
                </a:graphicData>
              </a:graphic>
            </wp:anchor>
          </w:drawing>
        </mc:Choice>
        <mc:Fallback>
          <w:pict>
            <v:shape id="_x0000_s3410" type="#_x0000_t202" style="position:absolute;margin-left:317.pt;margin-top:534.04999999999995pt;width:12.pt;height:6.pt;z-index:-1887422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shd w:val="clear" w:color="auto" w:fill="auto"/>
                        <w:lang w:val="hr-HR" w:eastAsia="hr-HR" w:bidi="hr-HR"/>
                      </w:rPr>
                      <w:t>.36.3</w:t>
                    </w:r>
                  </w:p>
                </w:txbxContent>
              </v:textbox>
              <w10:wrap anchorx="page" anchory="page"/>
            </v:shape>
          </w:pict>
        </mc:Fallback>
      </mc:AlternateContent>
    </w:r>
  </w:p>
</w:ftr>
</file>

<file path=word/footer5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4" behindDoc="1" locked="0" layoutInCell="1" allowOverlap="1">
              <wp:simplePos x="0" y="0"/>
              <wp:positionH relativeFrom="page">
                <wp:posOffset>171450</wp:posOffset>
              </wp:positionH>
              <wp:positionV relativeFrom="page">
                <wp:posOffset>6776085</wp:posOffset>
              </wp:positionV>
              <wp:extent cx="152400" cy="82550"/>
              <wp:wrapNone/>
              <wp:docPr id="2389" name="Shape 2389"/>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15" type="#_x0000_t202" style="position:absolute;margin-left:13.5pt;margin-top:533.54999999999995pt;width:12.pt;height:6.5pt;z-index:-1887422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8" behindDoc="1" locked="0" layoutInCell="1" allowOverlap="1">
              <wp:simplePos x="0" y="0"/>
              <wp:positionH relativeFrom="page">
                <wp:posOffset>171450</wp:posOffset>
              </wp:positionH>
              <wp:positionV relativeFrom="page">
                <wp:posOffset>6776085</wp:posOffset>
              </wp:positionV>
              <wp:extent cx="152400" cy="82550"/>
              <wp:wrapNone/>
              <wp:docPr id="2394" name="Shape 2394"/>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20" type="#_x0000_t202" style="position:absolute;margin-left:13.5pt;margin-top:533.54999999999995pt;width:12.pt;height:6.5pt;z-index:-1887422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6" behindDoc="1" locked="0" layoutInCell="1" allowOverlap="1">
              <wp:simplePos x="0" y="0"/>
              <wp:positionH relativeFrom="page">
                <wp:posOffset>4033520</wp:posOffset>
              </wp:positionH>
              <wp:positionV relativeFrom="page">
                <wp:posOffset>6776085</wp:posOffset>
              </wp:positionV>
              <wp:extent cx="155575" cy="79375"/>
              <wp:wrapNone/>
              <wp:docPr id="2405" name="Shape 2405"/>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31" type="#_x0000_t202" style="position:absolute;margin-left:317.60000000000002pt;margin-top:533.54999999999995pt;width:12.25pt;height:6.25pt;z-index:-1887422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0" behindDoc="1" locked="0" layoutInCell="1" allowOverlap="1">
              <wp:simplePos x="0" y="0"/>
              <wp:positionH relativeFrom="page">
                <wp:posOffset>4033520</wp:posOffset>
              </wp:positionH>
              <wp:positionV relativeFrom="page">
                <wp:posOffset>6776085</wp:posOffset>
              </wp:positionV>
              <wp:extent cx="155575" cy="79375"/>
              <wp:wrapNone/>
              <wp:docPr id="2410" name="Shape 241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36" type="#_x0000_t202" style="position:absolute;margin-left:317.60000000000002pt;margin-top:533.54999999999995pt;width:12.25pt;height:6.25pt;z-index:-1887422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4" behindDoc="1" locked="0" layoutInCell="1" allowOverlap="1">
              <wp:simplePos x="0" y="0"/>
              <wp:positionH relativeFrom="page">
                <wp:posOffset>167005</wp:posOffset>
              </wp:positionH>
              <wp:positionV relativeFrom="page">
                <wp:posOffset>6779260</wp:posOffset>
              </wp:positionV>
              <wp:extent cx="152400" cy="79375"/>
              <wp:wrapNone/>
              <wp:docPr id="2415" name="Shape 2415"/>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41" type="#_x0000_t202" style="position:absolute;margin-left:13.15pt;margin-top:533.79999999999995pt;width:12.pt;height:6.25pt;z-index:-1887422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8" behindDoc="1" locked="0" layoutInCell="1" allowOverlap="1">
              <wp:simplePos x="0" y="0"/>
              <wp:positionH relativeFrom="page">
                <wp:posOffset>4030345</wp:posOffset>
              </wp:positionH>
              <wp:positionV relativeFrom="page">
                <wp:posOffset>6779260</wp:posOffset>
              </wp:positionV>
              <wp:extent cx="155575" cy="79375"/>
              <wp:wrapNone/>
              <wp:docPr id="2420" name="Shape 242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46" type="#_x0000_t202" style="position:absolute;margin-left:317.35000000000002pt;margin-top:533.79999999999995pt;width:12.25pt;height:6.25pt;z-index:-1887422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2" behindDoc="1" locked="0" layoutInCell="1" allowOverlap="1">
              <wp:simplePos x="0" y="0"/>
              <wp:positionH relativeFrom="page">
                <wp:posOffset>4030345</wp:posOffset>
              </wp:positionH>
              <wp:positionV relativeFrom="page">
                <wp:posOffset>6779260</wp:posOffset>
              </wp:positionV>
              <wp:extent cx="155575" cy="79375"/>
              <wp:wrapNone/>
              <wp:docPr id="2425" name="Shape 2425"/>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51" type="#_x0000_t202" style="position:absolute;margin-left:317.35000000000002pt;margin-top:533.79999999999995pt;width:12.25pt;height:6.25pt;z-index:-1887422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6" behindDoc="1" locked="0" layoutInCell="1" allowOverlap="1">
              <wp:simplePos x="0" y="0"/>
              <wp:positionH relativeFrom="page">
                <wp:posOffset>165735</wp:posOffset>
              </wp:positionH>
              <wp:positionV relativeFrom="page">
                <wp:posOffset>6770370</wp:posOffset>
              </wp:positionV>
              <wp:extent cx="152400" cy="82550"/>
              <wp:wrapNone/>
              <wp:docPr id="2430" name="Shape 2430"/>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56" type="#_x0000_t202" style="position:absolute;margin-left:13.050000000000001pt;margin-top:533.10000000000002pt;width:12.pt;height:6.5pt;z-index:-1887421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60" behindDoc="1" locked="0" layoutInCell="1" allowOverlap="1">
              <wp:simplePos x="0" y="0"/>
              <wp:positionH relativeFrom="page">
                <wp:posOffset>4031615</wp:posOffset>
              </wp:positionH>
              <wp:positionV relativeFrom="page">
                <wp:posOffset>6769735</wp:posOffset>
              </wp:positionV>
              <wp:extent cx="137160" cy="60960"/>
              <wp:wrapNone/>
              <wp:docPr id="2435" name="Shape 2435"/>
              <a:graphic xmlns:a="http://schemas.openxmlformats.org/drawingml/2006/main">
                <a:graphicData uri="http://schemas.microsoft.com/office/word/2010/wordprocessingShape">
                  <wps:wsp>
                    <wps:cNvSpPr txBox="1"/>
                    <wps:spPr>
                      <a:xfrm>
                        <a:ext cx="13716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61" type="#_x0000_t202" style="position:absolute;margin-left:317.44999999999999pt;margin-top:533.04999999999995pt;width:10.800000000000001pt;height:4.7999999999999998pt;z-index:-1887421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64" behindDoc="1" locked="0" layoutInCell="1" allowOverlap="1">
              <wp:simplePos x="0" y="0"/>
              <wp:positionH relativeFrom="page">
                <wp:posOffset>4031615</wp:posOffset>
              </wp:positionH>
              <wp:positionV relativeFrom="page">
                <wp:posOffset>6769735</wp:posOffset>
              </wp:positionV>
              <wp:extent cx="137160" cy="60960"/>
              <wp:wrapNone/>
              <wp:docPr id="2440" name="Shape 2440"/>
              <a:graphic xmlns:a="http://schemas.openxmlformats.org/drawingml/2006/main">
                <a:graphicData uri="http://schemas.microsoft.com/office/word/2010/wordprocessingShape">
                  <wps:wsp>
                    <wps:cNvSpPr txBox="1"/>
                    <wps:spPr>
                      <a:xfrm>
                        <a:ext cx="13716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66" type="#_x0000_t202" style="position:absolute;margin-left:317.44999999999999pt;margin-top:533.04999999999995pt;width:10.800000000000001pt;height:4.7999999999999998pt;z-index:-1887421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66" behindDoc="1" locked="0" layoutInCell="1" allowOverlap="1">
              <wp:simplePos x="0" y="0"/>
              <wp:positionH relativeFrom="page">
                <wp:posOffset>168910</wp:posOffset>
              </wp:positionH>
              <wp:positionV relativeFrom="page">
                <wp:posOffset>6807835</wp:posOffset>
              </wp:positionV>
              <wp:extent cx="152400" cy="67310"/>
              <wp:wrapNone/>
              <wp:docPr id="2442" name="Shape 2442"/>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68" type="#_x0000_t202" style="position:absolute;margin-left:13.300000000000001pt;margin-top:536.04999999999995pt;width:12.pt;height:5.2999999999999998pt;z-index:-1887421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5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70" behindDoc="1" locked="0" layoutInCell="1" allowOverlap="1">
              <wp:simplePos x="0" y="0"/>
              <wp:positionH relativeFrom="page">
                <wp:posOffset>4033520</wp:posOffset>
              </wp:positionH>
              <wp:positionV relativeFrom="page">
                <wp:posOffset>6767195</wp:posOffset>
              </wp:positionV>
              <wp:extent cx="152400" cy="52070"/>
              <wp:wrapNone/>
              <wp:docPr id="2447" name="Shape 2447"/>
              <a:graphic xmlns:a="http://schemas.openxmlformats.org/drawingml/2006/main">
                <a:graphicData uri="http://schemas.microsoft.com/office/word/2010/wordprocessingShape">
                  <wps:wsp>
                    <wps:cNvSpPr txBox="1"/>
                    <wps:spPr>
                      <a:xfrm>
                        <a:ext cx="152400" cy="520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1T1</w:t>
                          </w:r>
                        </w:p>
                      </w:txbxContent>
                    </wps:txbx>
                    <wps:bodyPr wrap="none" lIns="0" tIns="0" rIns="0" bIns="0">
                      <a:spAutoFit/>
                    </wps:bodyPr>
                  </wps:wsp>
                </a:graphicData>
              </a:graphic>
            </wp:anchor>
          </w:drawing>
        </mc:Choice>
        <mc:Fallback>
          <w:pict>
            <v:shape id="_x0000_s3473" type="#_x0000_t202" style="position:absolute;margin-left:317.60000000000002pt;margin-top:532.85000000000002pt;width:12.pt;height:4.0999999999999996pt;z-index:-1887421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1T1</w:t>
                    </w:r>
                  </w:p>
                </w:txbxContent>
              </v:textbox>
              <w10:wrap anchorx="page" anchory="page"/>
            </v:shape>
          </w:pict>
        </mc:Fallback>
      </mc:AlternateContent>
    </w:r>
  </w:p>
</w:ftr>
</file>

<file path=word/footer5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74" behindDoc="1" locked="0" layoutInCell="1" allowOverlap="1">
              <wp:simplePos x="0" y="0"/>
              <wp:positionH relativeFrom="page">
                <wp:posOffset>4033520</wp:posOffset>
              </wp:positionH>
              <wp:positionV relativeFrom="page">
                <wp:posOffset>6767195</wp:posOffset>
              </wp:positionV>
              <wp:extent cx="152400" cy="52070"/>
              <wp:wrapNone/>
              <wp:docPr id="2452" name="Shape 2452"/>
              <a:graphic xmlns:a="http://schemas.openxmlformats.org/drawingml/2006/main">
                <a:graphicData uri="http://schemas.microsoft.com/office/word/2010/wordprocessingShape">
                  <wps:wsp>
                    <wps:cNvSpPr txBox="1"/>
                    <wps:spPr>
                      <a:xfrm>
                        <a:ext cx="152400" cy="520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1T1</w:t>
                          </w:r>
                        </w:p>
                      </w:txbxContent>
                    </wps:txbx>
                    <wps:bodyPr wrap="none" lIns="0" tIns="0" rIns="0" bIns="0">
                      <a:spAutoFit/>
                    </wps:bodyPr>
                  </wps:wsp>
                </a:graphicData>
              </a:graphic>
            </wp:anchor>
          </w:drawing>
        </mc:Choice>
        <mc:Fallback>
          <w:pict>
            <v:shape id="_x0000_s3478" type="#_x0000_t202" style="position:absolute;margin-left:317.60000000000002pt;margin-top:532.85000000000002pt;width:12.pt;height:4.0999999999999996pt;z-index:-1887421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1T1</w:t>
                    </w:r>
                  </w:p>
                </w:txbxContent>
              </v:textbox>
              <w10:wrap anchorx="page" anchory="page"/>
            </v:shape>
          </w:pict>
        </mc:Fallback>
      </mc:AlternateContent>
    </w:r>
  </w:p>
</w:ftr>
</file>

<file path=word/footer5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80" behindDoc="1" locked="0" layoutInCell="1" allowOverlap="1">
              <wp:simplePos x="0" y="0"/>
              <wp:positionH relativeFrom="page">
                <wp:posOffset>4030345</wp:posOffset>
              </wp:positionH>
              <wp:positionV relativeFrom="page">
                <wp:posOffset>6768465</wp:posOffset>
              </wp:positionV>
              <wp:extent cx="146050" cy="82550"/>
              <wp:wrapNone/>
              <wp:docPr id="2460" name="Shape 2460"/>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86" type="#_x0000_t202" style="position:absolute;margin-left:317.35000000000002pt;margin-top:532.95000000000005pt;width:11.5pt;height:6.5pt;z-index:-1887421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84" behindDoc="1" locked="0" layoutInCell="1" allowOverlap="1">
              <wp:simplePos x="0" y="0"/>
              <wp:positionH relativeFrom="page">
                <wp:posOffset>4030345</wp:posOffset>
              </wp:positionH>
              <wp:positionV relativeFrom="page">
                <wp:posOffset>6768465</wp:posOffset>
              </wp:positionV>
              <wp:extent cx="146050" cy="82550"/>
              <wp:wrapNone/>
              <wp:docPr id="2465" name="Shape 2465"/>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91" type="#_x0000_t202" style="position:absolute;margin-left:317.35000000000002pt;margin-top:532.95000000000005pt;width:11.5pt;height:6.5pt;z-index:-1887421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88" behindDoc="1" locked="0" layoutInCell="1" allowOverlap="1">
              <wp:simplePos x="0" y="0"/>
              <wp:positionH relativeFrom="page">
                <wp:posOffset>171450</wp:posOffset>
              </wp:positionH>
              <wp:positionV relativeFrom="page">
                <wp:posOffset>6767195</wp:posOffset>
              </wp:positionV>
              <wp:extent cx="152400" cy="82550"/>
              <wp:wrapNone/>
              <wp:docPr id="2470" name="Shape 2470"/>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496" type="#_x0000_t202" style="position:absolute;margin-left:13.5pt;margin-top:532.85000000000002pt;width:12.pt;height:6.5pt;z-index:-1887421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96" behindDoc="1" locked="0" layoutInCell="1" allowOverlap="1">
              <wp:simplePos x="0" y="0"/>
              <wp:positionH relativeFrom="page">
                <wp:posOffset>165100</wp:posOffset>
              </wp:positionH>
              <wp:positionV relativeFrom="page">
                <wp:posOffset>6759575</wp:posOffset>
              </wp:positionV>
              <wp:extent cx="152400" cy="79375"/>
              <wp:wrapNone/>
              <wp:docPr id="2481" name="Shape 2481"/>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07" type="#_x0000_t202" style="position:absolute;margin-left:13.pt;margin-top:532.25pt;width:12.pt;height:6.25pt;z-index:-1887421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00" behindDoc="1" locked="0" layoutInCell="1" allowOverlap="1">
              <wp:simplePos x="0" y="0"/>
              <wp:positionH relativeFrom="page">
                <wp:posOffset>165100</wp:posOffset>
              </wp:positionH>
              <wp:positionV relativeFrom="page">
                <wp:posOffset>6759575</wp:posOffset>
              </wp:positionV>
              <wp:extent cx="152400" cy="79375"/>
              <wp:wrapNone/>
              <wp:docPr id="2486" name="Shape 2486"/>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12" type="#_x0000_t202" style="position:absolute;margin-left:13.pt;margin-top:532.25pt;width:12.pt;height:6.25pt;z-index:-1887421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04" behindDoc="1" locked="0" layoutInCell="1" allowOverlap="1">
              <wp:simplePos x="0" y="0"/>
              <wp:positionH relativeFrom="page">
                <wp:posOffset>4033520</wp:posOffset>
              </wp:positionH>
              <wp:positionV relativeFrom="page">
                <wp:posOffset>6765290</wp:posOffset>
              </wp:positionV>
              <wp:extent cx="155575" cy="82550"/>
              <wp:wrapNone/>
              <wp:docPr id="2491" name="Shape 249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17" type="#_x0000_t202" style="position:absolute;margin-left:317.60000000000002pt;margin-top:532.70000000000005pt;width:12.25pt;height:6.5pt;z-index:-1887421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08" behindDoc="1" locked="0" layoutInCell="1" allowOverlap="1">
              <wp:simplePos x="0" y="0"/>
              <wp:positionH relativeFrom="page">
                <wp:posOffset>167005</wp:posOffset>
              </wp:positionH>
              <wp:positionV relativeFrom="page">
                <wp:posOffset>6760845</wp:posOffset>
              </wp:positionV>
              <wp:extent cx="155575" cy="85090"/>
              <wp:wrapNone/>
              <wp:docPr id="2496" name="Shape 2496"/>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22" type="#_x0000_t202" style="position:absolute;margin-left:13.15pt;margin-top:532.35000000000002pt;width:12.25pt;height:6.7000000000000002pt;z-index:-1887421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12" behindDoc="1" locked="0" layoutInCell="1" allowOverlap="1">
              <wp:simplePos x="0" y="0"/>
              <wp:positionH relativeFrom="page">
                <wp:posOffset>167005</wp:posOffset>
              </wp:positionH>
              <wp:positionV relativeFrom="page">
                <wp:posOffset>6760845</wp:posOffset>
              </wp:positionV>
              <wp:extent cx="155575" cy="85090"/>
              <wp:wrapNone/>
              <wp:docPr id="2501" name="Shape 2501"/>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27" type="#_x0000_t202" style="position:absolute;margin-left:13.15pt;margin-top:532.35000000000002pt;width:12.25pt;height:6.7000000000000002pt;z-index:-1887421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16" behindDoc="1" locked="0" layoutInCell="1" allowOverlap="1">
              <wp:simplePos x="0" y="0"/>
              <wp:positionH relativeFrom="page">
                <wp:posOffset>4034790</wp:posOffset>
              </wp:positionH>
              <wp:positionV relativeFrom="page">
                <wp:posOffset>6767195</wp:posOffset>
              </wp:positionV>
              <wp:extent cx="152400" cy="82550"/>
              <wp:wrapNone/>
              <wp:docPr id="2506" name="Shape 2506"/>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32" type="#_x0000_t202" style="position:absolute;margin-left:317.69999999999999pt;margin-top:532.85000000000002pt;width:12.pt;height:6.5pt;z-index:-1887421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26" behindDoc="1" locked="0" layoutInCell="1" allowOverlap="1">
              <wp:simplePos x="0" y="0"/>
              <wp:positionH relativeFrom="page">
                <wp:posOffset>4020185</wp:posOffset>
              </wp:positionH>
              <wp:positionV relativeFrom="page">
                <wp:posOffset>6802755</wp:posOffset>
              </wp:positionV>
              <wp:extent cx="146050" cy="52070"/>
              <wp:wrapNone/>
              <wp:docPr id="2520" name="Shape 2520"/>
              <a:graphic xmlns:a="http://schemas.openxmlformats.org/drawingml/2006/main">
                <a:graphicData uri="http://schemas.microsoft.com/office/word/2010/wordprocessingShape">
                  <wps:wsp>
                    <wps:cNvSpPr txBox="1"/>
                    <wps:spPr>
                      <a:xfrm>
                        <a:ext cx="146050" cy="520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Wl</w:t>
                          </w:r>
                        </w:p>
                      </w:txbxContent>
                    </wps:txbx>
                    <wps:bodyPr wrap="none" lIns="0" tIns="0" rIns="0" bIns="0">
                      <a:spAutoFit/>
                    </wps:bodyPr>
                  </wps:wsp>
                </a:graphicData>
              </a:graphic>
            </wp:anchor>
          </w:drawing>
        </mc:Choice>
        <mc:Fallback>
          <w:pict>
            <v:shape id="_x0000_s3546" type="#_x0000_t202" style="position:absolute;margin-left:316.55000000000001pt;margin-top:535.64999999999998pt;width:11.5pt;height:4.0999999999999996pt;z-index:-1887421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Wl</w:t>
                    </w:r>
                  </w:p>
                </w:txbxContent>
              </v:textbox>
              <w10:wrap anchorx="page" anchory="page"/>
            </v:shape>
          </w:pict>
        </mc:Fallback>
      </mc:AlternateContent>
    </w:r>
  </w:p>
</w:ftr>
</file>

<file path=word/footer5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30" behindDoc="1" locked="0" layoutInCell="1" allowOverlap="1">
              <wp:simplePos x="0" y="0"/>
              <wp:positionH relativeFrom="page">
                <wp:posOffset>4020185</wp:posOffset>
              </wp:positionH>
              <wp:positionV relativeFrom="page">
                <wp:posOffset>6802755</wp:posOffset>
              </wp:positionV>
              <wp:extent cx="146050" cy="52070"/>
              <wp:wrapNone/>
              <wp:docPr id="2525" name="Shape 2525"/>
              <a:graphic xmlns:a="http://schemas.openxmlformats.org/drawingml/2006/main">
                <a:graphicData uri="http://schemas.microsoft.com/office/word/2010/wordprocessingShape">
                  <wps:wsp>
                    <wps:cNvSpPr txBox="1"/>
                    <wps:spPr>
                      <a:xfrm>
                        <a:ext cx="146050" cy="520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Wl</w:t>
                          </w:r>
                        </w:p>
                      </w:txbxContent>
                    </wps:txbx>
                    <wps:bodyPr wrap="none" lIns="0" tIns="0" rIns="0" bIns="0">
                      <a:spAutoFit/>
                    </wps:bodyPr>
                  </wps:wsp>
                </a:graphicData>
              </a:graphic>
            </wp:anchor>
          </w:drawing>
        </mc:Choice>
        <mc:Fallback>
          <w:pict>
            <v:shape id="_x0000_s3551" type="#_x0000_t202" style="position:absolute;margin-left:316.55000000000001pt;margin-top:535.64999999999998pt;width:11.5pt;height:4.0999999999999996pt;z-index:-1887421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Wl</w:t>
                    </w:r>
                  </w:p>
                </w:txbxContent>
              </v:textbox>
              <w10:wrap anchorx="page" anchory="page"/>
            </v:shape>
          </w:pict>
        </mc:Fallback>
      </mc:AlternateContent>
    </w:r>
  </w:p>
</w:ftr>
</file>

<file path=word/footer5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34" behindDoc="1" locked="0" layoutInCell="1" allowOverlap="1">
              <wp:simplePos x="0" y="0"/>
              <wp:positionH relativeFrom="page">
                <wp:posOffset>4034155</wp:posOffset>
              </wp:positionH>
              <wp:positionV relativeFrom="page">
                <wp:posOffset>6798310</wp:posOffset>
              </wp:positionV>
              <wp:extent cx="149225" cy="85090"/>
              <wp:wrapNone/>
              <wp:docPr id="2530" name="Shape 2530"/>
              <a:graphic xmlns:a="http://schemas.openxmlformats.org/drawingml/2006/main">
                <a:graphicData uri="http://schemas.microsoft.com/office/word/2010/wordprocessingShape">
                  <wps:wsp>
                    <wps:cNvSpPr txBox="1"/>
                    <wps:spPr>
                      <a:xfrm>
                        <a:ext cx="14922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56" type="#_x0000_t202" style="position:absolute;margin-left:317.64999999999998pt;margin-top:535.29999999999995pt;width:11.75pt;height:6.7000000000000002pt;z-index:-1887421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38" behindDoc="1" locked="0" layoutInCell="1" allowOverlap="1">
              <wp:simplePos x="0" y="0"/>
              <wp:positionH relativeFrom="page">
                <wp:posOffset>4034155</wp:posOffset>
              </wp:positionH>
              <wp:positionV relativeFrom="page">
                <wp:posOffset>6798310</wp:posOffset>
              </wp:positionV>
              <wp:extent cx="149225" cy="85090"/>
              <wp:wrapNone/>
              <wp:docPr id="2535" name="Shape 2535"/>
              <a:graphic xmlns:a="http://schemas.openxmlformats.org/drawingml/2006/main">
                <a:graphicData uri="http://schemas.microsoft.com/office/word/2010/wordprocessingShape">
                  <wps:wsp>
                    <wps:cNvSpPr txBox="1"/>
                    <wps:spPr>
                      <a:xfrm>
                        <a:ext cx="14922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61" type="#_x0000_t202" style="position:absolute;margin-left:317.64999999999998pt;margin-top:535.29999999999995pt;width:11.75pt;height:6.7000000000000002pt;z-index:-1887421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42" behindDoc="1" locked="0" layoutInCell="1" allowOverlap="1">
              <wp:simplePos x="0" y="0"/>
              <wp:positionH relativeFrom="page">
                <wp:posOffset>175260</wp:posOffset>
              </wp:positionH>
              <wp:positionV relativeFrom="page">
                <wp:posOffset>6793865</wp:posOffset>
              </wp:positionV>
              <wp:extent cx="149225" cy="79375"/>
              <wp:wrapNone/>
              <wp:docPr id="2540" name="Shape 2540"/>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66" type="#_x0000_t202" style="position:absolute;margin-left:13.800000000000001pt;margin-top:534.95000000000005pt;width:11.75pt;height:6.25pt;z-index:-1887421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46" behindDoc="1" locked="0" layoutInCell="1" allowOverlap="1">
              <wp:simplePos x="0" y="0"/>
              <wp:positionH relativeFrom="page">
                <wp:posOffset>4024630</wp:posOffset>
              </wp:positionH>
              <wp:positionV relativeFrom="page">
                <wp:posOffset>6802755</wp:posOffset>
              </wp:positionV>
              <wp:extent cx="152400" cy="79375"/>
              <wp:wrapNone/>
              <wp:docPr id="2545" name="Shape 2545"/>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71" type="#_x0000_t202" style="position:absolute;margin-left:316.89999999999998pt;margin-top:535.64999999999998pt;width:12.pt;height:6.25pt;z-index:-1887421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50" behindDoc="1" locked="0" layoutInCell="1" allowOverlap="1">
              <wp:simplePos x="0" y="0"/>
              <wp:positionH relativeFrom="page">
                <wp:posOffset>4024630</wp:posOffset>
              </wp:positionH>
              <wp:positionV relativeFrom="page">
                <wp:posOffset>6802755</wp:posOffset>
              </wp:positionV>
              <wp:extent cx="152400" cy="79375"/>
              <wp:wrapNone/>
              <wp:docPr id="2550" name="Shape 2550"/>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76" type="#_x0000_t202" style="position:absolute;margin-left:316.89999999999998pt;margin-top:535.64999999999998pt;width:12.pt;height:6.25pt;z-index:-1887421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54" behindDoc="1" locked="0" layoutInCell="1" allowOverlap="1">
              <wp:simplePos x="0" y="0"/>
              <wp:positionH relativeFrom="page">
                <wp:posOffset>147955</wp:posOffset>
              </wp:positionH>
              <wp:positionV relativeFrom="page">
                <wp:posOffset>6795135</wp:posOffset>
              </wp:positionV>
              <wp:extent cx="155575" cy="79375"/>
              <wp:wrapNone/>
              <wp:docPr id="2555" name="Shape 2555"/>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81" type="#_x0000_t202" style="position:absolute;margin-left:11.65pt;margin-top:535.04999999999995pt;width:12.25pt;height:6.25pt;z-index:-1887420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58" behindDoc="1" locked="0" layoutInCell="1" allowOverlap="1">
              <wp:simplePos x="0" y="0"/>
              <wp:positionH relativeFrom="page">
                <wp:posOffset>4029710</wp:posOffset>
              </wp:positionH>
              <wp:positionV relativeFrom="page">
                <wp:posOffset>6802755</wp:posOffset>
              </wp:positionV>
              <wp:extent cx="155575" cy="79375"/>
              <wp:wrapNone/>
              <wp:docPr id="2560" name="Shape 256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86" type="#_x0000_t202" style="position:absolute;margin-left:317.30000000000001pt;margin-top:535.64999999999998pt;width:12.25pt;height:6.25pt;z-index:-1887420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62" behindDoc="1" locked="0" layoutInCell="1" allowOverlap="1">
              <wp:simplePos x="0" y="0"/>
              <wp:positionH relativeFrom="page">
                <wp:posOffset>166370</wp:posOffset>
              </wp:positionH>
              <wp:positionV relativeFrom="page">
                <wp:posOffset>6798310</wp:posOffset>
              </wp:positionV>
              <wp:extent cx="152400" cy="82550"/>
              <wp:wrapNone/>
              <wp:docPr id="2565" name="Shape 2565"/>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91" type="#_x0000_t202" style="position:absolute;margin-left:13.1pt;margin-top:535.29999999999995pt;width:12.pt;height:6.5pt;z-index:-1887420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66" behindDoc="1" locked="0" layoutInCell="1" allowOverlap="1">
              <wp:simplePos x="0" y="0"/>
              <wp:positionH relativeFrom="page">
                <wp:posOffset>172085</wp:posOffset>
              </wp:positionH>
              <wp:positionV relativeFrom="page">
                <wp:posOffset>6791960</wp:posOffset>
              </wp:positionV>
              <wp:extent cx="152400" cy="85090"/>
              <wp:wrapNone/>
              <wp:docPr id="2570" name="Shape 2570"/>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596" type="#_x0000_t202" style="position:absolute;margin-left:13.550000000000001pt;margin-top:534.79999999999995pt;width:12.pt;height:6.7000000000000002pt;z-index:-1887420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70" behindDoc="1" locked="0" layoutInCell="1" allowOverlap="1">
              <wp:simplePos x="0" y="0"/>
              <wp:positionH relativeFrom="page">
                <wp:posOffset>4032250</wp:posOffset>
              </wp:positionH>
              <wp:positionV relativeFrom="page">
                <wp:posOffset>6799580</wp:posOffset>
              </wp:positionV>
              <wp:extent cx="149225" cy="79375"/>
              <wp:wrapNone/>
              <wp:docPr id="2575" name="Shape 2575"/>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01" type="#_x0000_t202" style="position:absolute;margin-left:317.5pt;margin-top:535.39999999999998pt;width:11.75pt;height:6.25pt;z-index:-1887420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74" behindDoc="1" locked="0" layoutInCell="1" allowOverlap="1">
              <wp:simplePos x="0" y="0"/>
              <wp:positionH relativeFrom="page">
                <wp:posOffset>160020</wp:posOffset>
              </wp:positionH>
              <wp:positionV relativeFrom="page">
                <wp:posOffset>6795135</wp:posOffset>
              </wp:positionV>
              <wp:extent cx="152400" cy="79375"/>
              <wp:wrapNone/>
              <wp:docPr id="2580" name="Shape 2580"/>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06" type="#_x0000_t202" style="position:absolute;margin-left:12.6pt;margin-top:535.04999999999995pt;width:12.pt;height:6.25pt;z-index:-1887420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78" behindDoc="1" locked="0" layoutInCell="1" allowOverlap="1">
              <wp:simplePos x="0" y="0"/>
              <wp:positionH relativeFrom="page">
                <wp:posOffset>164465</wp:posOffset>
              </wp:positionH>
              <wp:positionV relativeFrom="page">
                <wp:posOffset>6791960</wp:posOffset>
              </wp:positionV>
              <wp:extent cx="158750" cy="82550"/>
              <wp:wrapNone/>
              <wp:docPr id="2585" name="Shape 2585"/>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11" type="#_x0000_t202" style="position:absolute;margin-left:12.949999999999999pt;margin-top:534.79999999999995pt;width:12.5pt;height:6.5pt;z-index:-1887420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82" behindDoc="1" locked="0" layoutInCell="1" allowOverlap="1">
              <wp:simplePos x="0" y="0"/>
              <wp:positionH relativeFrom="page">
                <wp:posOffset>4038600</wp:posOffset>
              </wp:positionH>
              <wp:positionV relativeFrom="page">
                <wp:posOffset>6798310</wp:posOffset>
              </wp:positionV>
              <wp:extent cx="152400" cy="48895"/>
              <wp:wrapNone/>
              <wp:docPr id="2590" name="Shape 2590"/>
              <a:graphic xmlns:a="http://schemas.openxmlformats.org/drawingml/2006/main">
                <a:graphicData uri="http://schemas.microsoft.com/office/word/2010/wordprocessingShape">
                  <wps:wsp>
                    <wps:cNvSpPr txBox="1"/>
                    <wps:spPr>
                      <a:xfrm>
                        <a:ext cx="152400" cy="4889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i/>
                                <w:iCs/>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16" type="#_x0000_t202" style="position:absolute;margin-left:318.pt;margin-top:535.29999999999995pt;width:12.pt;height:3.8500000000000001pt;z-index:-1887420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i/>
                          <w:iCs/>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5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86" behindDoc="1" locked="0" layoutInCell="1" allowOverlap="1">
              <wp:simplePos x="0" y="0"/>
              <wp:positionH relativeFrom="page">
                <wp:posOffset>4038600</wp:posOffset>
              </wp:positionH>
              <wp:positionV relativeFrom="page">
                <wp:posOffset>6798310</wp:posOffset>
              </wp:positionV>
              <wp:extent cx="152400" cy="48895"/>
              <wp:wrapNone/>
              <wp:docPr id="2595" name="Shape 2595"/>
              <a:graphic xmlns:a="http://schemas.openxmlformats.org/drawingml/2006/main">
                <a:graphicData uri="http://schemas.microsoft.com/office/word/2010/wordprocessingShape">
                  <wps:wsp>
                    <wps:cNvSpPr txBox="1"/>
                    <wps:spPr>
                      <a:xfrm>
                        <a:ext cx="152400" cy="4889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i/>
                                <w:iCs/>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21" type="#_x0000_t202" style="position:absolute;margin-left:318.pt;margin-top:535.29999999999995pt;width:12.pt;height:3.8500000000000001pt;z-index:-1887420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i/>
                          <w:iCs/>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5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90" behindDoc="1" locked="0" layoutInCell="1" allowOverlap="1">
              <wp:simplePos x="0" y="0"/>
              <wp:positionH relativeFrom="page">
                <wp:posOffset>164465</wp:posOffset>
              </wp:positionH>
              <wp:positionV relativeFrom="page">
                <wp:posOffset>6790690</wp:posOffset>
              </wp:positionV>
              <wp:extent cx="152400" cy="79375"/>
              <wp:wrapNone/>
              <wp:docPr id="2600" name="Shape 2600"/>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26" type="#_x0000_t202" style="position:absolute;margin-left:12.949999999999999pt;margin-top:534.70000000000005pt;width:12.pt;height:6.25pt;z-index:-1887420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94" behindDoc="1" locked="0" layoutInCell="1" allowOverlap="1">
              <wp:simplePos x="0" y="0"/>
              <wp:positionH relativeFrom="page">
                <wp:posOffset>163195</wp:posOffset>
              </wp:positionH>
              <wp:positionV relativeFrom="page">
                <wp:posOffset>6793865</wp:posOffset>
              </wp:positionV>
              <wp:extent cx="152400" cy="76200"/>
              <wp:wrapNone/>
              <wp:docPr id="2605" name="Shape 2605"/>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31" type="#_x0000_t202" style="position:absolute;margin-left:12.85pt;margin-top:534.95000000000005pt;width:12.pt;height:6.pt;z-index:-1887420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98" behindDoc="1" locked="0" layoutInCell="1" allowOverlap="1">
              <wp:simplePos x="0" y="0"/>
              <wp:positionH relativeFrom="page">
                <wp:posOffset>163195</wp:posOffset>
              </wp:positionH>
              <wp:positionV relativeFrom="page">
                <wp:posOffset>6793865</wp:posOffset>
              </wp:positionV>
              <wp:extent cx="152400" cy="76200"/>
              <wp:wrapNone/>
              <wp:docPr id="2610" name="Shape 2610"/>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36" type="#_x0000_t202" style="position:absolute;margin-left:12.85pt;margin-top:534.95000000000005pt;width:12.pt;height:6.pt;z-index:-1887420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5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02" behindDoc="1" locked="0" layoutInCell="1" allowOverlap="1">
              <wp:simplePos x="0" y="0"/>
              <wp:positionH relativeFrom="page">
                <wp:posOffset>4030980</wp:posOffset>
              </wp:positionH>
              <wp:positionV relativeFrom="page">
                <wp:posOffset>6798310</wp:posOffset>
              </wp:positionV>
              <wp:extent cx="146050" cy="82550"/>
              <wp:wrapNone/>
              <wp:docPr id="2617" name="Shape 2617"/>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43" type="#_x0000_t202" style="position:absolute;margin-left:317.39999999999998pt;margin-top:535.29999999999995pt;width:11.5pt;height:6.5pt;z-index:-1887420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06" behindDoc="1" locked="0" layoutInCell="1" allowOverlap="1">
              <wp:simplePos x="0" y="0"/>
              <wp:positionH relativeFrom="page">
                <wp:posOffset>170815</wp:posOffset>
              </wp:positionH>
              <wp:positionV relativeFrom="page">
                <wp:posOffset>6797040</wp:posOffset>
              </wp:positionV>
              <wp:extent cx="158750" cy="79375"/>
              <wp:wrapNone/>
              <wp:docPr id="2622" name="Shape 2622"/>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48" type="#_x0000_t202" style="position:absolute;margin-left:13.449999999999999pt;margin-top:535.20000000000005pt;width:12.5pt;height:6.25pt;z-index:-1887420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14" behindDoc="1" locked="0" layoutInCell="1" allowOverlap="1">
              <wp:simplePos x="0" y="0"/>
              <wp:positionH relativeFrom="page">
                <wp:posOffset>4020185</wp:posOffset>
              </wp:positionH>
              <wp:positionV relativeFrom="page">
                <wp:posOffset>6798310</wp:posOffset>
              </wp:positionV>
              <wp:extent cx="152400" cy="82550"/>
              <wp:wrapNone/>
              <wp:docPr id="2635" name="Shape 2635"/>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61" type="#_x0000_t202" style="position:absolute;margin-left:316.55000000000001pt;margin-top:535.29999999999995pt;width:12.pt;height:6.5pt;z-index:-1887420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18" behindDoc="1" locked="0" layoutInCell="1" allowOverlap="1">
              <wp:simplePos x="0" y="0"/>
              <wp:positionH relativeFrom="page">
                <wp:posOffset>4020185</wp:posOffset>
              </wp:positionH>
              <wp:positionV relativeFrom="page">
                <wp:posOffset>6798310</wp:posOffset>
              </wp:positionV>
              <wp:extent cx="152400" cy="82550"/>
              <wp:wrapNone/>
              <wp:docPr id="2640" name="Shape 2640"/>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66" type="#_x0000_t202" style="position:absolute;margin-left:316.55000000000001pt;margin-top:535.29999999999995pt;width:12.pt;height:6.5pt;z-index:-1887420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22" behindDoc="1" locked="0" layoutInCell="1" allowOverlap="1">
              <wp:simplePos x="0" y="0"/>
              <wp:positionH relativeFrom="page">
                <wp:posOffset>160020</wp:posOffset>
              </wp:positionH>
              <wp:positionV relativeFrom="page">
                <wp:posOffset>6793865</wp:posOffset>
              </wp:positionV>
              <wp:extent cx="155575" cy="79375"/>
              <wp:wrapNone/>
              <wp:docPr id="2645" name="Shape 2645"/>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71" type="#_x0000_t202" style="position:absolute;margin-left:12.6pt;margin-top:534.95000000000005pt;width:12.25pt;height:6.25pt;z-index:-1887420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26" behindDoc="1" locked="0" layoutInCell="1" allowOverlap="1">
              <wp:simplePos x="0" y="0"/>
              <wp:positionH relativeFrom="page">
                <wp:posOffset>4026535</wp:posOffset>
              </wp:positionH>
              <wp:positionV relativeFrom="page">
                <wp:posOffset>6801485</wp:posOffset>
              </wp:positionV>
              <wp:extent cx="152400" cy="82550"/>
              <wp:wrapNone/>
              <wp:docPr id="2650" name="Shape 2650"/>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76" type="#_x0000_t202" style="position:absolute;margin-left:317.05000000000001pt;margin-top:535.54999999999995pt;width:12.pt;height:6.5pt;z-index:-1887420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30" behindDoc="1" locked="0" layoutInCell="1" allowOverlap="1">
              <wp:simplePos x="0" y="0"/>
              <wp:positionH relativeFrom="page">
                <wp:posOffset>4026535</wp:posOffset>
              </wp:positionH>
              <wp:positionV relativeFrom="page">
                <wp:posOffset>6801485</wp:posOffset>
              </wp:positionV>
              <wp:extent cx="152400" cy="82550"/>
              <wp:wrapNone/>
              <wp:docPr id="2655" name="Shape 2655"/>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81" type="#_x0000_t202" style="position:absolute;margin-left:317.05000000000001pt;margin-top:535.54999999999995pt;width:12.pt;height:6.5pt;z-index:-1887420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34" behindDoc="1" locked="0" layoutInCell="1" allowOverlap="1">
              <wp:simplePos x="0" y="0"/>
              <wp:positionH relativeFrom="page">
                <wp:posOffset>170815</wp:posOffset>
              </wp:positionH>
              <wp:positionV relativeFrom="page">
                <wp:posOffset>6791960</wp:posOffset>
              </wp:positionV>
              <wp:extent cx="155575" cy="79375"/>
              <wp:wrapNone/>
              <wp:docPr id="2660" name="Shape 266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86" type="#_x0000_t202" style="position:absolute;margin-left:13.449999999999999pt;margin-top:534.79999999999995pt;width:12.25pt;height:6.25pt;z-index:-1887420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38" behindDoc="1" locked="0" layoutInCell="1" allowOverlap="1">
              <wp:simplePos x="0" y="0"/>
              <wp:positionH relativeFrom="page">
                <wp:posOffset>167640</wp:posOffset>
              </wp:positionH>
              <wp:positionV relativeFrom="page">
                <wp:posOffset>6798310</wp:posOffset>
              </wp:positionV>
              <wp:extent cx="155575" cy="79375"/>
              <wp:wrapNone/>
              <wp:docPr id="2665" name="Shape 2665"/>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91" type="#_x0000_t202" style="position:absolute;margin-left:13.199999999999999pt;margin-top:535.29999999999995pt;width:12.25pt;height:6.25pt;z-index:-1887420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42" behindDoc="1" locked="0" layoutInCell="1" allowOverlap="1">
              <wp:simplePos x="0" y="0"/>
              <wp:positionH relativeFrom="page">
                <wp:posOffset>167640</wp:posOffset>
              </wp:positionH>
              <wp:positionV relativeFrom="page">
                <wp:posOffset>6798310</wp:posOffset>
              </wp:positionV>
              <wp:extent cx="155575" cy="79375"/>
              <wp:wrapNone/>
              <wp:docPr id="2670" name="Shape 267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696" type="#_x0000_t202" style="position:absolute;margin-left:13.199999999999999pt;margin-top:535.29999999999995pt;width:12.25pt;height:6.25pt;z-index:-1887420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50" behindDoc="1" locked="0" layoutInCell="1" allowOverlap="1">
              <wp:simplePos x="0" y="0"/>
              <wp:positionH relativeFrom="page">
                <wp:posOffset>4024630</wp:posOffset>
              </wp:positionH>
              <wp:positionV relativeFrom="page">
                <wp:posOffset>6801485</wp:posOffset>
              </wp:positionV>
              <wp:extent cx="140335" cy="67310"/>
              <wp:wrapNone/>
              <wp:docPr id="2683" name="Shape 2683"/>
              <a:graphic xmlns:a="http://schemas.openxmlformats.org/drawingml/2006/main">
                <a:graphicData uri="http://schemas.microsoft.com/office/word/2010/wordprocessingShape">
                  <wps:wsp>
                    <wps:cNvSpPr txBox="1"/>
                    <wps:spPr>
                      <a:xfrm>
                        <a:ext cx="140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09" type="#_x0000_t202" style="position:absolute;margin-left:316.89999999999998pt;margin-top:535.54999999999995pt;width:11.050000000000001pt;height:5.2999999999999998pt;z-index:-1887420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54" behindDoc="1" locked="0" layoutInCell="1" allowOverlap="1">
              <wp:simplePos x="0" y="0"/>
              <wp:positionH relativeFrom="page">
                <wp:posOffset>4024630</wp:posOffset>
              </wp:positionH>
              <wp:positionV relativeFrom="page">
                <wp:posOffset>6801485</wp:posOffset>
              </wp:positionV>
              <wp:extent cx="140335" cy="67310"/>
              <wp:wrapNone/>
              <wp:docPr id="2688" name="Shape 2688"/>
              <a:graphic xmlns:a="http://schemas.openxmlformats.org/drawingml/2006/main">
                <a:graphicData uri="http://schemas.microsoft.com/office/word/2010/wordprocessingShape">
                  <wps:wsp>
                    <wps:cNvSpPr txBox="1"/>
                    <wps:spPr>
                      <a:xfrm>
                        <a:ext cx="140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14" type="#_x0000_t202" style="position:absolute;margin-left:316.89999999999998pt;margin-top:535.54999999999995pt;width:11.050000000000001pt;height:5.2999999999999998pt;z-index:-1887419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58" behindDoc="1" locked="0" layoutInCell="1" allowOverlap="1">
              <wp:simplePos x="0" y="0"/>
              <wp:positionH relativeFrom="page">
                <wp:posOffset>163195</wp:posOffset>
              </wp:positionH>
              <wp:positionV relativeFrom="page">
                <wp:posOffset>6793865</wp:posOffset>
              </wp:positionV>
              <wp:extent cx="161290" cy="79375"/>
              <wp:wrapNone/>
              <wp:docPr id="2693" name="Shape 2693"/>
              <a:graphic xmlns:a="http://schemas.openxmlformats.org/drawingml/2006/main">
                <a:graphicData uri="http://schemas.microsoft.com/office/word/2010/wordprocessingShape">
                  <wps:wsp>
                    <wps:cNvSpPr txBox="1"/>
                    <wps:spPr>
                      <a:xfrm>
                        <a:ext cx="16129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19" type="#_x0000_t202" style="position:absolute;margin-left:12.85pt;margin-top:534.95000000000005pt;width:12.699999999999999pt;height:6.25pt;z-index:-1887419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62" behindDoc="1" locked="0" layoutInCell="1" allowOverlap="1">
              <wp:simplePos x="0" y="0"/>
              <wp:positionH relativeFrom="page">
                <wp:posOffset>163195</wp:posOffset>
              </wp:positionH>
              <wp:positionV relativeFrom="page">
                <wp:posOffset>6793865</wp:posOffset>
              </wp:positionV>
              <wp:extent cx="158750" cy="79375"/>
              <wp:wrapNone/>
              <wp:docPr id="2698" name="Shape 2698"/>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24" type="#_x0000_t202" style="position:absolute;margin-left:12.85pt;margin-top:534.95000000000005pt;width:12.5pt;height:6.25pt;z-index:-1887419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66" behindDoc="1" locked="0" layoutInCell="1" allowOverlap="1">
              <wp:simplePos x="0" y="0"/>
              <wp:positionH relativeFrom="page">
                <wp:posOffset>163195</wp:posOffset>
              </wp:positionH>
              <wp:positionV relativeFrom="page">
                <wp:posOffset>6793865</wp:posOffset>
              </wp:positionV>
              <wp:extent cx="158750" cy="79375"/>
              <wp:wrapNone/>
              <wp:docPr id="2703" name="Shape 2703"/>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29" type="#_x0000_t202" style="position:absolute;margin-left:12.85pt;margin-top:534.95000000000005pt;width:12.5pt;height:6.25pt;z-index:-1887419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74" behindDoc="1" locked="0" layoutInCell="1" allowOverlap="1">
              <wp:simplePos x="0" y="0"/>
              <wp:positionH relativeFrom="page">
                <wp:posOffset>163195</wp:posOffset>
              </wp:positionH>
              <wp:positionV relativeFrom="page">
                <wp:posOffset>6793865</wp:posOffset>
              </wp:positionV>
              <wp:extent cx="158750" cy="79375"/>
              <wp:wrapNone/>
              <wp:docPr id="2714" name="Shape 2714"/>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40" type="#_x0000_t202" style="position:absolute;margin-left:12.85pt;margin-top:534.95000000000005pt;width:12.5pt;height:6.25pt;z-index:-1887419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78" behindDoc="1" locked="0" layoutInCell="1" allowOverlap="1">
              <wp:simplePos x="0" y="0"/>
              <wp:positionH relativeFrom="page">
                <wp:posOffset>163195</wp:posOffset>
              </wp:positionH>
              <wp:positionV relativeFrom="page">
                <wp:posOffset>6793865</wp:posOffset>
              </wp:positionV>
              <wp:extent cx="158750" cy="79375"/>
              <wp:wrapNone/>
              <wp:docPr id="2719" name="Shape 2719"/>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45" type="#_x0000_t202" style="position:absolute;margin-left:12.85pt;margin-top:534.95000000000005pt;width:12.5pt;height:6.25pt;z-index:-1887419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86" behindDoc="1" locked="0" layoutInCell="1" allowOverlap="1">
              <wp:simplePos x="0" y="0"/>
              <wp:positionH relativeFrom="page">
                <wp:posOffset>4023360</wp:posOffset>
              </wp:positionH>
              <wp:positionV relativeFrom="page">
                <wp:posOffset>6797040</wp:posOffset>
              </wp:positionV>
              <wp:extent cx="155575" cy="79375"/>
              <wp:wrapNone/>
              <wp:docPr id="2730" name="Shape 273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3756" type="#_x0000_t202" style="position:absolute;margin-left:316.80000000000001pt;margin-top:535.20000000000005pt;width:12.25pt;height:6.25pt;z-index:-1887419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6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90" behindDoc="1" locked="0" layoutInCell="1" allowOverlap="1">
              <wp:simplePos x="0" y="0"/>
              <wp:positionH relativeFrom="page">
                <wp:posOffset>4023360</wp:posOffset>
              </wp:positionH>
              <wp:positionV relativeFrom="page">
                <wp:posOffset>6797040</wp:posOffset>
              </wp:positionV>
              <wp:extent cx="155575" cy="79375"/>
              <wp:wrapNone/>
              <wp:docPr id="2735" name="Shape 2735"/>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3761" type="#_x0000_t202" style="position:absolute;margin-left:316.80000000000001pt;margin-top:535.20000000000005pt;width:12.25pt;height:6.25pt;z-index:-1887419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6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94" behindDoc="1" locked="0" layoutInCell="1" allowOverlap="1">
              <wp:simplePos x="0" y="0"/>
              <wp:positionH relativeFrom="page">
                <wp:posOffset>163195</wp:posOffset>
              </wp:positionH>
              <wp:positionV relativeFrom="page">
                <wp:posOffset>6798310</wp:posOffset>
              </wp:positionV>
              <wp:extent cx="155575" cy="67310"/>
              <wp:wrapNone/>
              <wp:docPr id="2740" name="Shape 2740"/>
              <a:graphic xmlns:a="http://schemas.openxmlformats.org/drawingml/2006/main">
                <a:graphicData uri="http://schemas.microsoft.com/office/word/2010/wordprocessingShape">
                  <wps:wsp>
                    <wps:cNvSpPr txBox="1"/>
                    <wps:spPr>
                      <a:xfrm>
                        <a:ext cx="1555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3766" type="#_x0000_t202" style="position:absolute;margin-left:12.85pt;margin-top:535.29999999999995pt;width:12.25pt;height:5.2999999999999998pt;z-index:-1887419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6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98" behindDoc="1" locked="0" layoutInCell="1" allowOverlap="1">
              <wp:simplePos x="0" y="0"/>
              <wp:positionH relativeFrom="page">
                <wp:posOffset>4029710</wp:posOffset>
              </wp:positionH>
              <wp:positionV relativeFrom="page">
                <wp:posOffset>6799580</wp:posOffset>
              </wp:positionV>
              <wp:extent cx="158750" cy="69850"/>
              <wp:wrapNone/>
              <wp:docPr id="2745" name="Shape 2745"/>
              <a:graphic xmlns:a="http://schemas.openxmlformats.org/drawingml/2006/main">
                <a:graphicData uri="http://schemas.microsoft.com/office/word/2010/wordprocessingShape">
                  <wps:wsp>
                    <wps:cNvSpPr txBox="1"/>
                    <wps:spPr>
                      <a:xfrm>
                        <a:ext cx="15875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71" type="#_x0000_t202" style="position:absolute;margin-left:317.30000000000001pt;margin-top:535.39999999999998pt;width:12.5pt;height:5.5pt;z-index:-1887419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6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02" behindDoc="1" locked="0" layoutInCell="1" allowOverlap="1">
              <wp:simplePos x="0" y="0"/>
              <wp:positionH relativeFrom="page">
                <wp:posOffset>4029710</wp:posOffset>
              </wp:positionH>
              <wp:positionV relativeFrom="page">
                <wp:posOffset>6799580</wp:posOffset>
              </wp:positionV>
              <wp:extent cx="158750" cy="69850"/>
              <wp:wrapNone/>
              <wp:docPr id="2750" name="Shape 2750"/>
              <a:graphic xmlns:a="http://schemas.openxmlformats.org/drawingml/2006/main">
                <a:graphicData uri="http://schemas.microsoft.com/office/word/2010/wordprocessingShape">
                  <wps:wsp>
                    <wps:cNvSpPr txBox="1"/>
                    <wps:spPr>
                      <a:xfrm>
                        <a:ext cx="15875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76" type="#_x0000_t202" style="position:absolute;margin-left:317.30000000000001pt;margin-top:535.39999999999998pt;width:12.5pt;height:5.5pt;z-index:-1887419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6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06" behindDoc="1" locked="0" layoutInCell="1" allowOverlap="1">
              <wp:simplePos x="0" y="0"/>
              <wp:positionH relativeFrom="page">
                <wp:posOffset>170815</wp:posOffset>
              </wp:positionH>
              <wp:positionV relativeFrom="page">
                <wp:posOffset>6793865</wp:posOffset>
              </wp:positionV>
              <wp:extent cx="155575" cy="73025"/>
              <wp:wrapNone/>
              <wp:docPr id="2755" name="Shape 2755"/>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81" type="#_x0000_t202" style="position:absolute;margin-left:13.449999999999999pt;margin-top:534.95000000000005pt;width:12.25pt;height:5.75pt;z-index:-1887419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10" behindDoc="1" locked="0" layoutInCell="1" allowOverlap="1">
              <wp:simplePos x="0" y="0"/>
              <wp:positionH relativeFrom="page">
                <wp:posOffset>4037330</wp:posOffset>
              </wp:positionH>
              <wp:positionV relativeFrom="page">
                <wp:posOffset>6797040</wp:posOffset>
              </wp:positionV>
              <wp:extent cx="137160" cy="64135"/>
              <wp:wrapNone/>
              <wp:docPr id="2760" name="Shape 2760"/>
              <a:graphic xmlns:a="http://schemas.openxmlformats.org/drawingml/2006/main">
                <a:graphicData uri="http://schemas.microsoft.com/office/word/2010/wordprocessingShape">
                  <wps:wsp>
                    <wps:cNvSpPr txBox="1"/>
                    <wps:spPr>
                      <a:xfrm>
                        <a:ext cx="1371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86" type="#_x0000_t202" style="position:absolute;margin-left:317.89999999999998pt;margin-top:535.20000000000005pt;width:10.800000000000001pt;height:5.0499999999999998pt;z-index:-1887419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14" behindDoc="1" locked="0" layoutInCell="1" allowOverlap="1">
              <wp:simplePos x="0" y="0"/>
              <wp:positionH relativeFrom="page">
                <wp:posOffset>173990</wp:posOffset>
              </wp:positionH>
              <wp:positionV relativeFrom="page">
                <wp:posOffset>6795135</wp:posOffset>
              </wp:positionV>
              <wp:extent cx="155575" cy="73025"/>
              <wp:wrapNone/>
              <wp:docPr id="2765" name="Shape 2765"/>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91" type="#_x0000_t202" style="position:absolute;margin-left:13.699999999999999pt;margin-top:535.04999999999995pt;width:12.25pt;height:5.75pt;z-index:-1887419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18" behindDoc="1" locked="0" layoutInCell="1" allowOverlap="1">
              <wp:simplePos x="0" y="0"/>
              <wp:positionH relativeFrom="page">
                <wp:posOffset>159385</wp:posOffset>
              </wp:positionH>
              <wp:positionV relativeFrom="page">
                <wp:posOffset>6771640</wp:posOffset>
              </wp:positionV>
              <wp:extent cx="155575" cy="76200"/>
              <wp:wrapNone/>
              <wp:docPr id="2770" name="Shape 2770"/>
              <a:graphic xmlns:a="http://schemas.openxmlformats.org/drawingml/2006/main">
                <a:graphicData uri="http://schemas.microsoft.com/office/word/2010/wordprocessingShape">
                  <wps:wsp>
                    <wps:cNvSpPr txBox="1"/>
                    <wps:spPr>
                      <a:xfrm>
                        <a:ext cx="1555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796" type="#_x0000_t202" style="position:absolute;margin-left:12.550000000000001pt;margin-top:533.20000000000005pt;width:12.25pt;height:6.pt;z-index:-1887419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22" behindDoc="1" locked="0" layoutInCell="1" allowOverlap="1">
              <wp:simplePos x="0" y="0"/>
              <wp:positionH relativeFrom="page">
                <wp:posOffset>159385</wp:posOffset>
              </wp:positionH>
              <wp:positionV relativeFrom="page">
                <wp:posOffset>6771640</wp:posOffset>
              </wp:positionV>
              <wp:extent cx="155575" cy="76200"/>
              <wp:wrapNone/>
              <wp:docPr id="2775" name="Shape 2775"/>
              <a:graphic xmlns:a="http://schemas.openxmlformats.org/drawingml/2006/main">
                <a:graphicData uri="http://schemas.microsoft.com/office/word/2010/wordprocessingShape">
                  <wps:wsp>
                    <wps:cNvSpPr txBox="1"/>
                    <wps:spPr>
                      <a:xfrm>
                        <a:ext cx="1555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01" type="#_x0000_t202" style="position:absolute;margin-left:12.550000000000001pt;margin-top:533.20000000000005pt;width:12.25pt;height:6.pt;z-index:-1887419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24" behindDoc="1" locked="0" layoutInCell="1" allowOverlap="1">
              <wp:simplePos x="0" y="0"/>
              <wp:positionH relativeFrom="page">
                <wp:posOffset>4024630</wp:posOffset>
              </wp:positionH>
              <wp:positionV relativeFrom="page">
                <wp:posOffset>6790055</wp:posOffset>
              </wp:positionV>
              <wp:extent cx="152400" cy="85090"/>
              <wp:wrapNone/>
              <wp:docPr id="2777" name="Shape 2777"/>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03" type="#_x0000_t202" style="position:absolute;margin-left:316.89999999999998pt;margin-top:534.64999999999998pt;width:12.pt;height:6.7000000000000002pt;z-index:-1887419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28" behindDoc="1" locked="0" layoutInCell="1" allowOverlap="1">
              <wp:simplePos x="0" y="0"/>
              <wp:positionH relativeFrom="page">
                <wp:posOffset>172085</wp:posOffset>
              </wp:positionH>
              <wp:positionV relativeFrom="page">
                <wp:posOffset>6771640</wp:posOffset>
              </wp:positionV>
              <wp:extent cx="152400" cy="79375"/>
              <wp:wrapNone/>
              <wp:docPr id="2782" name="Shape 2782"/>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08" type="#_x0000_t202" style="position:absolute;margin-left:13.550000000000001pt;margin-top:533.20000000000005pt;width:12.pt;height:6.25pt;z-index:-1887419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32" behindDoc="1" locked="0" layoutInCell="1" allowOverlap="1">
              <wp:simplePos x="0" y="0"/>
              <wp:positionH relativeFrom="page">
                <wp:posOffset>172085</wp:posOffset>
              </wp:positionH>
              <wp:positionV relativeFrom="page">
                <wp:posOffset>6771640</wp:posOffset>
              </wp:positionV>
              <wp:extent cx="152400" cy="79375"/>
              <wp:wrapNone/>
              <wp:docPr id="2787" name="Shape 2787"/>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13" type="#_x0000_t202" style="position:absolute;margin-left:13.550000000000001pt;margin-top:533.20000000000005pt;width:12.pt;height:6.25pt;z-index:-1887419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36" behindDoc="1" locked="0" layoutInCell="1" allowOverlap="1">
              <wp:simplePos x="0" y="0"/>
              <wp:positionH relativeFrom="page">
                <wp:posOffset>4041140</wp:posOffset>
              </wp:positionH>
              <wp:positionV relativeFrom="page">
                <wp:posOffset>6777355</wp:posOffset>
              </wp:positionV>
              <wp:extent cx="152400" cy="67310"/>
              <wp:wrapNone/>
              <wp:docPr id="2792" name="Shape 2792"/>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18" type="#_x0000_t202" style="position:absolute;margin-left:318.19999999999999pt;margin-top:533.64999999999998pt;width:12.pt;height:5.2999999999999998pt;z-index:-1887419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40" behindDoc="1" locked="0" layoutInCell="1" allowOverlap="1">
              <wp:simplePos x="0" y="0"/>
              <wp:positionH relativeFrom="page">
                <wp:posOffset>3998595</wp:posOffset>
              </wp:positionH>
              <wp:positionV relativeFrom="page">
                <wp:posOffset>6774815</wp:posOffset>
              </wp:positionV>
              <wp:extent cx="191770" cy="82550"/>
              <wp:wrapNone/>
              <wp:docPr id="2797" name="Shape 2797"/>
              <a:graphic xmlns:a="http://schemas.openxmlformats.org/drawingml/2006/main">
                <a:graphicData uri="http://schemas.microsoft.com/office/word/2010/wordprocessingShape">
                  <wps:wsp>
                    <wps:cNvSpPr txBox="1"/>
                    <wps:spPr>
                      <a:xfrm>
                        <a:ext cx="191770" cy="82550"/>
                      </a:xfrm>
                      <a:prstGeom prst="rect"/>
                      <a:noFill/>
                    </wps:spPr>
                    <wps:txbx>
                      <w:txbxContent>
                        <w:p>
                          <w:pPr>
                            <w:widowControl w:val="0"/>
                          </w:pPr>
                        </w:p>
                      </w:txbxContent>
                    </wps:txbx>
                    <wps:bodyPr wrap="none" lIns="0" tIns="0" rIns="0" bIns="0">
                      <a:spAutoFit/>
                    </wps:bodyPr>
                  </wps:wsp>
                </a:graphicData>
              </a:graphic>
            </wp:anchor>
          </w:drawing>
        </mc:Choice>
        <mc:Fallback>
          <w:pict>
            <v:shape id="_x0000_s3823" type="#_x0000_t202" style="position:absolute;margin-left:314.85000000000002pt;margin-top:533.45000000000005pt;width:15.1pt;height:6.5pt;z-index:-188741913;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44" behindDoc="1" locked="0" layoutInCell="1" allowOverlap="1">
              <wp:simplePos x="0" y="0"/>
              <wp:positionH relativeFrom="page">
                <wp:posOffset>3998595</wp:posOffset>
              </wp:positionH>
              <wp:positionV relativeFrom="page">
                <wp:posOffset>6774815</wp:posOffset>
              </wp:positionV>
              <wp:extent cx="191770" cy="82550"/>
              <wp:wrapNone/>
              <wp:docPr id="2802" name="Shape 2802"/>
              <a:graphic xmlns:a="http://schemas.openxmlformats.org/drawingml/2006/main">
                <a:graphicData uri="http://schemas.microsoft.com/office/word/2010/wordprocessingShape">
                  <wps:wsp>
                    <wps:cNvSpPr txBox="1"/>
                    <wps:spPr>
                      <a:xfrm>
                        <a:ext cx="191770" cy="82550"/>
                      </a:xfrm>
                      <a:prstGeom prst="rect"/>
                      <a:noFill/>
                    </wps:spPr>
                    <wps:txbx>
                      <w:txbxContent>
                        <w:p>
                          <w:pPr>
                            <w:widowControl w:val="0"/>
                          </w:pPr>
                        </w:p>
                      </w:txbxContent>
                    </wps:txbx>
                    <wps:bodyPr wrap="none" lIns="0" tIns="0" rIns="0" bIns="0">
                      <a:spAutoFit/>
                    </wps:bodyPr>
                  </wps:wsp>
                </a:graphicData>
              </a:graphic>
            </wp:anchor>
          </w:drawing>
        </mc:Choice>
        <mc:Fallback>
          <w:pict>
            <v:shape id="_x0000_s3828" type="#_x0000_t202" style="position:absolute;margin-left:314.85000000000002pt;margin-top:533.45000000000005pt;width:15.1pt;height:6.5pt;z-index:-188741909;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48" behindDoc="1" locked="0" layoutInCell="1" allowOverlap="1">
              <wp:simplePos x="0" y="0"/>
              <wp:positionH relativeFrom="page">
                <wp:posOffset>167005</wp:posOffset>
              </wp:positionH>
              <wp:positionV relativeFrom="page">
                <wp:posOffset>6790055</wp:posOffset>
              </wp:positionV>
              <wp:extent cx="155575" cy="82550"/>
              <wp:wrapNone/>
              <wp:docPr id="2807" name="Shape 2807"/>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33" type="#_x0000_t202" style="position:absolute;margin-left:13.15pt;margin-top:534.64999999999998pt;width:12.25pt;height:6.5pt;z-index:-1887419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52" behindDoc="1" locked="0" layoutInCell="1" allowOverlap="1">
              <wp:simplePos x="0" y="0"/>
              <wp:positionH relativeFrom="page">
                <wp:posOffset>167005</wp:posOffset>
              </wp:positionH>
              <wp:positionV relativeFrom="page">
                <wp:posOffset>6790055</wp:posOffset>
              </wp:positionV>
              <wp:extent cx="155575" cy="82550"/>
              <wp:wrapNone/>
              <wp:docPr id="2812" name="Shape 2812"/>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38" type="#_x0000_t202" style="position:absolute;margin-left:13.15pt;margin-top:534.64999999999998pt;width:12.25pt;height:6.5pt;z-index:-1887419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60" behindDoc="1" locked="0" layoutInCell="1" allowOverlap="1">
              <wp:simplePos x="0" y="0"/>
              <wp:positionH relativeFrom="page">
                <wp:posOffset>4022725</wp:posOffset>
              </wp:positionH>
              <wp:positionV relativeFrom="page">
                <wp:posOffset>6783705</wp:posOffset>
              </wp:positionV>
              <wp:extent cx="182880" cy="76200"/>
              <wp:wrapNone/>
              <wp:docPr id="2823" name="Shape 2823"/>
              <a:graphic xmlns:a="http://schemas.openxmlformats.org/drawingml/2006/main">
                <a:graphicData uri="http://schemas.microsoft.com/office/word/2010/wordprocessingShape">
                  <wps:wsp>
                    <wps:cNvSpPr txBox="1"/>
                    <wps:spPr>
                      <a:xfrm>
                        <a:ext cx="182880" cy="76200"/>
                      </a:xfrm>
                      <a:prstGeom prst="rect"/>
                      <a:noFill/>
                    </wps:spPr>
                    <wps:txbx>
                      <w:txbxContent>
                        <w:p>
                          <w:pPr>
                            <w:widowControl w:val="0"/>
                          </w:pPr>
                        </w:p>
                      </w:txbxContent>
                    </wps:txbx>
                    <wps:bodyPr wrap="none" lIns="0" tIns="0" rIns="0" bIns="0">
                      <a:spAutoFit/>
                    </wps:bodyPr>
                  </wps:wsp>
                </a:graphicData>
              </a:graphic>
            </wp:anchor>
          </w:drawing>
        </mc:Choice>
        <mc:Fallback>
          <w:pict>
            <v:shape id="_x0000_s3849" type="#_x0000_t202" style="position:absolute;margin-left:316.75pt;margin-top:534.14999999999998pt;width:14.4pt;height:6.pt;z-index:-188741893;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64" behindDoc="1" locked="0" layoutInCell="1" allowOverlap="1">
              <wp:simplePos x="0" y="0"/>
              <wp:positionH relativeFrom="page">
                <wp:posOffset>4021455</wp:posOffset>
              </wp:positionH>
              <wp:positionV relativeFrom="page">
                <wp:posOffset>6798945</wp:posOffset>
              </wp:positionV>
              <wp:extent cx="130810" cy="39370"/>
              <wp:wrapNone/>
              <wp:docPr id="2828" name="Shape 2828"/>
              <a:graphic xmlns:a="http://schemas.openxmlformats.org/drawingml/2006/main">
                <a:graphicData uri="http://schemas.microsoft.com/office/word/2010/wordprocessingShape">
                  <wps:wsp>
                    <wps:cNvSpPr txBox="1"/>
                    <wps:spPr>
                      <a:xfrm>
                        <a:ext cx="130810" cy="393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hr-HR" w:eastAsia="hr-HR" w:bidi="hr-HR"/>
                            </w:rPr>
                            <w:t>AT)</w:t>
                          </w:r>
                        </w:p>
                      </w:txbxContent>
                    </wps:txbx>
                    <wps:bodyPr wrap="none" lIns="0" tIns="0" rIns="0" bIns="0">
                      <a:spAutoFit/>
                    </wps:bodyPr>
                  </wps:wsp>
                </a:graphicData>
              </a:graphic>
            </wp:anchor>
          </w:drawing>
        </mc:Choice>
        <mc:Fallback>
          <w:pict>
            <v:shape id="_x0000_s3854" type="#_x0000_t202" style="position:absolute;margin-left:316.64999999999998pt;margin-top:535.35000000000002pt;width:10.300000000000001pt;height:3.1000000000000001pt;z-index:-1887418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hr-HR" w:eastAsia="hr-HR" w:bidi="hr-HR"/>
                      </w:rPr>
                      <w:t>AT)</w:t>
                    </w:r>
                  </w:p>
                </w:txbxContent>
              </v:textbox>
              <w10:wrap anchorx="page" anchory="page"/>
            </v:shape>
          </w:pict>
        </mc:Fallback>
      </mc:AlternateContent>
    </w:r>
  </w:p>
</w:ftr>
</file>

<file path=word/footer6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68" behindDoc="1" locked="0" layoutInCell="1" allowOverlap="1">
              <wp:simplePos x="0" y="0"/>
              <wp:positionH relativeFrom="page">
                <wp:posOffset>4021455</wp:posOffset>
              </wp:positionH>
              <wp:positionV relativeFrom="page">
                <wp:posOffset>6798945</wp:posOffset>
              </wp:positionV>
              <wp:extent cx="130810" cy="39370"/>
              <wp:wrapNone/>
              <wp:docPr id="2833" name="Shape 2833"/>
              <a:graphic xmlns:a="http://schemas.openxmlformats.org/drawingml/2006/main">
                <a:graphicData uri="http://schemas.microsoft.com/office/word/2010/wordprocessingShape">
                  <wps:wsp>
                    <wps:cNvSpPr txBox="1"/>
                    <wps:spPr>
                      <a:xfrm>
                        <a:ext cx="130810" cy="3937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hr-HR" w:eastAsia="hr-HR" w:bidi="hr-HR"/>
                            </w:rPr>
                            <w:t>AT)</w:t>
                          </w:r>
                        </w:p>
                      </w:txbxContent>
                    </wps:txbx>
                    <wps:bodyPr wrap="none" lIns="0" tIns="0" rIns="0" bIns="0">
                      <a:spAutoFit/>
                    </wps:bodyPr>
                  </wps:wsp>
                </a:graphicData>
              </a:graphic>
            </wp:anchor>
          </w:drawing>
        </mc:Choice>
        <mc:Fallback>
          <w:pict>
            <v:shape id="_x0000_s3859" type="#_x0000_t202" style="position:absolute;margin-left:316.64999999999998pt;margin-top:535.35000000000002pt;width:10.300000000000001pt;height:3.1000000000000001pt;z-index:-1887418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hr-HR" w:eastAsia="hr-HR" w:bidi="hr-HR"/>
                      </w:rPr>
                      <w:t>AT)</w:t>
                    </w:r>
                  </w:p>
                </w:txbxContent>
              </v:textbox>
              <w10:wrap anchorx="page" anchory="page"/>
            </v:shape>
          </w:pict>
        </mc:Fallback>
      </mc:AlternateContent>
    </w:r>
  </w:p>
</w:ftr>
</file>

<file path=word/footer6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72" behindDoc="1" locked="0" layoutInCell="1" allowOverlap="1">
              <wp:simplePos x="0" y="0"/>
              <wp:positionH relativeFrom="page">
                <wp:posOffset>161290</wp:posOffset>
              </wp:positionH>
              <wp:positionV relativeFrom="page">
                <wp:posOffset>6817360</wp:posOffset>
              </wp:positionV>
              <wp:extent cx="158750" cy="76200"/>
              <wp:wrapNone/>
              <wp:docPr id="2838" name="Shape 2838"/>
              <a:graphic xmlns:a="http://schemas.openxmlformats.org/drawingml/2006/main">
                <a:graphicData uri="http://schemas.microsoft.com/office/word/2010/wordprocessingShape">
                  <wps:wsp>
                    <wps:cNvSpPr txBox="1"/>
                    <wps:spPr>
                      <a:xfrm>
                        <a:ext cx="1587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64" type="#_x0000_t202" style="position:absolute;margin-left:12.699999999999999pt;margin-top:536.79999999999995pt;width:12.5pt;height:6.pt;z-index:-1887418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76" behindDoc="1" locked="0" layoutInCell="1" allowOverlap="1">
              <wp:simplePos x="0" y="0"/>
              <wp:positionH relativeFrom="page">
                <wp:posOffset>161290</wp:posOffset>
              </wp:positionH>
              <wp:positionV relativeFrom="page">
                <wp:posOffset>6817360</wp:posOffset>
              </wp:positionV>
              <wp:extent cx="158750" cy="76200"/>
              <wp:wrapNone/>
              <wp:docPr id="2843" name="Shape 2843"/>
              <a:graphic xmlns:a="http://schemas.openxmlformats.org/drawingml/2006/main">
                <a:graphicData uri="http://schemas.microsoft.com/office/word/2010/wordprocessingShape">
                  <wps:wsp>
                    <wps:cNvSpPr txBox="1"/>
                    <wps:spPr>
                      <a:xfrm>
                        <a:ext cx="1587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69" type="#_x0000_t202" style="position:absolute;margin-left:12.699999999999999pt;margin-top:536.79999999999995pt;width:12.5pt;height:6.pt;z-index:-1887418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90" behindDoc="1" locked="0" layoutInCell="1" allowOverlap="1">
              <wp:simplePos x="0" y="0"/>
              <wp:positionH relativeFrom="page">
                <wp:posOffset>4079240</wp:posOffset>
              </wp:positionH>
              <wp:positionV relativeFrom="page">
                <wp:posOffset>6811010</wp:posOffset>
              </wp:positionV>
              <wp:extent cx="91440" cy="33655"/>
              <wp:wrapNone/>
              <wp:docPr id="2865" name="Shape 2865"/>
              <a:graphic xmlns:a="http://schemas.openxmlformats.org/drawingml/2006/main">
                <a:graphicData uri="http://schemas.microsoft.com/office/word/2010/wordprocessingShape">
                  <wps:wsp>
                    <wps:cNvSpPr txBox="1"/>
                    <wps:spPr>
                      <a:xfrm>
                        <a:ext cx="91440" cy="3365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-&gt;r</w:t>
                          </w:r>
                        </w:p>
                      </w:txbxContent>
                    </wps:txbx>
                    <wps:bodyPr wrap="none" lIns="0" tIns="0" rIns="0" bIns="0">
                      <a:spAutoFit/>
                    </wps:bodyPr>
                  </wps:wsp>
                </a:graphicData>
              </a:graphic>
            </wp:anchor>
          </w:drawing>
        </mc:Choice>
        <mc:Fallback>
          <w:pict>
            <v:shape id="_x0000_s3891" type="#_x0000_t202" style="position:absolute;margin-left:321.19999999999999pt;margin-top:536.29999999999995pt;width:7.2000000000000002pt;height:2.6499999999999999pt;z-index:-1887418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9"/>
                        <w:szCs w:val="9"/>
                      </w:rPr>
                    </w:pPr>
                    <w:r>
                      <w:rPr>
                        <w:b/>
                        <w:bCs/>
                        <w:i/>
                        <w:iCs/>
                        <w:color w:val="000000"/>
                        <w:spacing w:val="0"/>
                        <w:w w:val="100"/>
                        <w:position w:val="0"/>
                        <w:sz w:val="9"/>
                        <w:szCs w:val="9"/>
                        <w:shd w:val="clear" w:color="auto" w:fill="auto"/>
                        <w:lang w:val="en-US" w:eastAsia="en-US" w:bidi="en-US"/>
                      </w:rPr>
                      <w:t>-&gt;r</w:t>
                    </w:r>
                  </w:p>
                </w:txbxContent>
              </v:textbox>
              <w10:wrap anchorx="page" anchory="page"/>
            </v:shape>
          </w:pict>
        </mc:Fallback>
      </mc:AlternateContent>
    </w:r>
  </w:p>
</w:ftr>
</file>

<file path=word/footer6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94" behindDoc="1" locked="0" layoutInCell="1" allowOverlap="1">
              <wp:simplePos x="0" y="0"/>
              <wp:positionH relativeFrom="page">
                <wp:posOffset>162560</wp:posOffset>
              </wp:positionH>
              <wp:positionV relativeFrom="page">
                <wp:posOffset>6771640</wp:posOffset>
              </wp:positionV>
              <wp:extent cx="152400" cy="85090"/>
              <wp:wrapNone/>
              <wp:docPr id="2870" name="Shape 2870"/>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896" type="#_x0000_t202" style="position:absolute;margin-left:12.800000000000001pt;margin-top:533.20000000000005pt;width:12.pt;height:6.7000000000000002pt;z-index:-1887418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98" behindDoc="1" locked="0" layoutInCell="1" allowOverlap="1">
              <wp:simplePos x="0" y="0"/>
              <wp:positionH relativeFrom="page">
                <wp:posOffset>162560</wp:posOffset>
              </wp:positionH>
              <wp:positionV relativeFrom="page">
                <wp:posOffset>6771640</wp:posOffset>
              </wp:positionV>
              <wp:extent cx="152400" cy="85090"/>
              <wp:wrapNone/>
              <wp:docPr id="2875" name="Shape 2875"/>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01" type="#_x0000_t202" style="position:absolute;margin-left:12.800000000000001pt;margin-top:533.20000000000005pt;width:12.pt;height:6.7000000000000002pt;z-index:-1887418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02" behindDoc="1" locked="0" layoutInCell="1" allowOverlap="1">
              <wp:simplePos x="0" y="0"/>
              <wp:positionH relativeFrom="page">
                <wp:posOffset>4029075</wp:posOffset>
              </wp:positionH>
              <wp:positionV relativeFrom="page">
                <wp:posOffset>6790055</wp:posOffset>
              </wp:positionV>
              <wp:extent cx="155575" cy="79375"/>
              <wp:wrapNone/>
              <wp:docPr id="2880" name="Shape 288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06" type="#_x0000_t202" style="position:absolute;margin-left:317.25pt;margin-top:534.64999999999998pt;width:12.25pt;height:6.25pt;z-index:-1887418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06" behindDoc="1" locked="0" layoutInCell="1" allowOverlap="1">
              <wp:simplePos x="0" y="0"/>
              <wp:positionH relativeFrom="page">
                <wp:posOffset>4027805</wp:posOffset>
              </wp:positionH>
              <wp:positionV relativeFrom="page">
                <wp:posOffset>6798945</wp:posOffset>
              </wp:positionV>
              <wp:extent cx="152400" cy="79375"/>
              <wp:wrapNone/>
              <wp:docPr id="2885" name="Shape 2885"/>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11" type="#_x0000_t202" style="position:absolute;margin-left:317.14999999999998pt;margin-top:535.35000000000002pt;width:12.pt;height:6.25pt;z-index:-1887418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10" behindDoc="1" locked="0" layoutInCell="1" allowOverlap="1">
              <wp:simplePos x="0" y="0"/>
              <wp:positionH relativeFrom="page">
                <wp:posOffset>173355</wp:posOffset>
              </wp:positionH>
              <wp:positionV relativeFrom="page">
                <wp:posOffset>6771640</wp:posOffset>
              </wp:positionV>
              <wp:extent cx="155575" cy="79375"/>
              <wp:wrapNone/>
              <wp:docPr id="2890" name="Shape 289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16" type="#_x0000_t202" style="position:absolute;margin-left:13.65pt;margin-top:533.20000000000005pt;width:12.25pt;height:6.25pt;z-index:-1887418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14" behindDoc="1" locked="0" layoutInCell="1" allowOverlap="1">
              <wp:simplePos x="0" y="0"/>
              <wp:positionH relativeFrom="page">
                <wp:posOffset>170180</wp:posOffset>
              </wp:positionH>
              <wp:positionV relativeFrom="page">
                <wp:posOffset>6768465</wp:posOffset>
              </wp:positionV>
              <wp:extent cx="155575" cy="76200"/>
              <wp:wrapNone/>
              <wp:docPr id="2895" name="Shape 2895"/>
              <a:graphic xmlns:a="http://schemas.openxmlformats.org/drawingml/2006/main">
                <a:graphicData uri="http://schemas.microsoft.com/office/word/2010/wordprocessingShape">
                  <wps:wsp>
                    <wps:cNvSpPr txBox="1"/>
                    <wps:spPr>
                      <a:xfrm>
                        <a:ext cx="1555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21" type="#_x0000_t202" style="position:absolute;margin-left:13.4pt;margin-top:532.95000000000005pt;width:12.25pt;height:6.pt;z-index:-1887418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18" behindDoc="1" locked="0" layoutInCell="1" allowOverlap="1">
              <wp:simplePos x="0" y="0"/>
              <wp:positionH relativeFrom="page">
                <wp:posOffset>170180</wp:posOffset>
              </wp:positionH>
              <wp:positionV relativeFrom="page">
                <wp:posOffset>6768465</wp:posOffset>
              </wp:positionV>
              <wp:extent cx="155575" cy="76200"/>
              <wp:wrapNone/>
              <wp:docPr id="2900" name="Shape 2900"/>
              <a:graphic xmlns:a="http://schemas.openxmlformats.org/drawingml/2006/main">
                <a:graphicData uri="http://schemas.microsoft.com/office/word/2010/wordprocessingShape">
                  <wps:wsp>
                    <wps:cNvSpPr txBox="1"/>
                    <wps:spPr>
                      <a:xfrm>
                        <a:ext cx="1555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26" type="#_x0000_t202" style="position:absolute;margin-left:13.4pt;margin-top:532.95000000000005pt;width:12.25pt;height:6.pt;z-index:-1887418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26" behindDoc="1" locked="0" layoutInCell="1" allowOverlap="1">
              <wp:simplePos x="0" y="0"/>
              <wp:positionH relativeFrom="page">
                <wp:posOffset>4012565</wp:posOffset>
              </wp:positionH>
              <wp:positionV relativeFrom="page">
                <wp:posOffset>6783705</wp:posOffset>
              </wp:positionV>
              <wp:extent cx="182880" cy="82550"/>
              <wp:wrapNone/>
              <wp:docPr id="2911" name="Shape 2911"/>
              <a:graphic xmlns:a="http://schemas.openxmlformats.org/drawingml/2006/main">
                <a:graphicData uri="http://schemas.microsoft.com/office/word/2010/wordprocessingShape">
                  <wps:wsp>
                    <wps:cNvSpPr txBox="1"/>
                    <wps:spPr>
                      <a:xfrm>
                        <a:ext cx="182880" cy="82550"/>
                      </a:xfrm>
                      <a:prstGeom prst="rect"/>
                      <a:noFill/>
                    </wps:spPr>
                    <wps:txbx>
                      <w:txbxContent>
                        <w:p>
                          <w:pPr>
                            <w:widowControl w:val="0"/>
                          </w:pPr>
                        </w:p>
                      </w:txbxContent>
                    </wps:txbx>
                    <wps:bodyPr wrap="none" lIns="0" tIns="0" rIns="0" bIns="0">
                      <a:spAutoFit/>
                    </wps:bodyPr>
                  </wps:wsp>
                </a:graphicData>
              </a:graphic>
            </wp:anchor>
          </w:drawing>
        </mc:Choice>
        <mc:Fallback>
          <w:pict>
            <v:shape id="_x0000_s3937" type="#_x0000_t202" style="position:absolute;margin-left:315.94999999999999pt;margin-top:534.14999999999998pt;width:14.4pt;height:6.5pt;z-index:-188741827;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30" behindDoc="1" locked="0" layoutInCell="1" allowOverlap="1">
              <wp:simplePos x="0" y="0"/>
              <wp:positionH relativeFrom="page">
                <wp:posOffset>4021455</wp:posOffset>
              </wp:positionH>
              <wp:positionV relativeFrom="page">
                <wp:posOffset>6798945</wp:posOffset>
              </wp:positionV>
              <wp:extent cx="158750" cy="54610"/>
              <wp:wrapNone/>
              <wp:docPr id="2916" name="Shape 2916"/>
              <a:graphic xmlns:a="http://schemas.openxmlformats.org/drawingml/2006/main">
                <a:graphicData uri="http://schemas.microsoft.com/office/word/2010/wordprocessingShape">
                  <wps:wsp>
                    <wps:cNvSpPr txBox="1"/>
                    <wps:spPr>
                      <a:xfrm>
                        <a:ext cx="1587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42" type="#_x0000_t202" style="position:absolute;margin-left:316.64999999999998pt;margin-top:535.35000000000002pt;width:12.5pt;height:4.2999999999999998pt;z-index:-1887418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34" behindDoc="1" locked="0" layoutInCell="1" allowOverlap="1">
              <wp:simplePos x="0" y="0"/>
              <wp:positionH relativeFrom="page">
                <wp:posOffset>4021455</wp:posOffset>
              </wp:positionH>
              <wp:positionV relativeFrom="page">
                <wp:posOffset>6798945</wp:posOffset>
              </wp:positionV>
              <wp:extent cx="158750" cy="54610"/>
              <wp:wrapNone/>
              <wp:docPr id="2921" name="Shape 2921"/>
              <a:graphic xmlns:a="http://schemas.openxmlformats.org/drawingml/2006/main">
                <a:graphicData uri="http://schemas.microsoft.com/office/word/2010/wordprocessingShape">
                  <wps:wsp>
                    <wps:cNvSpPr txBox="1"/>
                    <wps:spPr>
                      <a:xfrm>
                        <a:ext cx="158750"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47" type="#_x0000_t202" style="position:absolute;margin-left:316.64999999999998pt;margin-top:535.35000000000002pt;width:12.5pt;height:4.2999999999999998pt;z-index:-1887418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42" behindDoc="1" locked="0" layoutInCell="1" allowOverlap="1">
              <wp:simplePos x="0" y="0"/>
              <wp:positionH relativeFrom="page">
                <wp:posOffset>4022725</wp:posOffset>
              </wp:positionH>
              <wp:positionV relativeFrom="page">
                <wp:posOffset>6805295</wp:posOffset>
              </wp:positionV>
              <wp:extent cx="155575" cy="79375"/>
              <wp:wrapNone/>
              <wp:docPr id="2932" name="Shape 2932"/>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58" type="#_x0000_t202" style="position:absolute;margin-left:316.75pt;margin-top:535.85000000000002pt;width:12.25pt;height:6.25pt;z-index:-1887418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46" behindDoc="1" locked="0" layoutInCell="1" allowOverlap="1">
              <wp:simplePos x="0" y="0"/>
              <wp:positionH relativeFrom="page">
                <wp:posOffset>4022725</wp:posOffset>
              </wp:positionH>
              <wp:positionV relativeFrom="page">
                <wp:posOffset>6805295</wp:posOffset>
              </wp:positionV>
              <wp:extent cx="155575" cy="79375"/>
              <wp:wrapNone/>
              <wp:docPr id="2937" name="Shape 2937"/>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63" type="#_x0000_t202" style="position:absolute;margin-left:316.75pt;margin-top:535.85000000000002pt;width:12.25pt;height:6.25pt;z-index:-1887418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54" behindDoc="1" locked="0" layoutInCell="1" allowOverlap="1">
              <wp:simplePos x="0" y="0"/>
              <wp:positionH relativeFrom="page">
                <wp:posOffset>154940</wp:posOffset>
              </wp:positionH>
              <wp:positionV relativeFrom="page">
                <wp:posOffset>6804025</wp:posOffset>
              </wp:positionV>
              <wp:extent cx="186055" cy="79375"/>
              <wp:wrapNone/>
              <wp:docPr id="2948" name="Shape 2948"/>
              <a:graphic xmlns:a="http://schemas.openxmlformats.org/drawingml/2006/main">
                <a:graphicData uri="http://schemas.microsoft.com/office/word/2010/wordprocessingShape">
                  <wps:wsp>
                    <wps:cNvSpPr txBox="1"/>
                    <wps:spPr>
                      <a:xfrm>
                        <a:ext cx="186055" cy="79375"/>
                      </a:xfrm>
                      <a:prstGeom prst="rect"/>
                      <a:noFill/>
                    </wps:spPr>
                    <wps:txbx>
                      <w:txbxContent>
                        <w:p>
                          <w:pPr>
                            <w:widowControl w:val="0"/>
                          </w:pPr>
                        </w:p>
                      </w:txbxContent>
                    </wps:txbx>
                    <wps:bodyPr wrap="none" lIns="0" tIns="0" rIns="0" bIns="0">
                      <a:spAutoFit/>
                    </wps:bodyPr>
                  </wps:wsp>
                </a:graphicData>
              </a:graphic>
            </wp:anchor>
          </w:drawing>
        </mc:Choice>
        <mc:Fallback>
          <w:pict>
            <v:shape id="_x0000_s3974" type="#_x0000_t202" style="position:absolute;margin-left:12.199999999999999pt;margin-top:535.75pt;width:14.65pt;height:6.25pt;z-index:-188741799;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58" behindDoc="1" locked="0" layoutInCell="1" allowOverlap="1">
              <wp:simplePos x="0" y="0"/>
              <wp:positionH relativeFrom="page">
                <wp:posOffset>154940</wp:posOffset>
              </wp:positionH>
              <wp:positionV relativeFrom="page">
                <wp:posOffset>6804025</wp:posOffset>
              </wp:positionV>
              <wp:extent cx="186055" cy="79375"/>
              <wp:wrapNone/>
              <wp:docPr id="2953" name="Shape 2953"/>
              <a:graphic xmlns:a="http://schemas.openxmlformats.org/drawingml/2006/main">
                <a:graphicData uri="http://schemas.microsoft.com/office/word/2010/wordprocessingShape">
                  <wps:wsp>
                    <wps:cNvSpPr txBox="1"/>
                    <wps:spPr>
                      <a:xfrm>
                        <a:ext cx="186055" cy="79375"/>
                      </a:xfrm>
                      <a:prstGeom prst="rect"/>
                      <a:noFill/>
                    </wps:spPr>
                    <wps:txbx>
                      <w:txbxContent>
                        <w:p>
                          <w:pPr>
                            <w:widowControl w:val="0"/>
                          </w:pPr>
                        </w:p>
                      </w:txbxContent>
                    </wps:txbx>
                    <wps:bodyPr wrap="none" lIns="0" tIns="0" rIns="0" bIns="0">
                      <a:spAutoFit/>
                    </wps:bodyPr>
                  </wps:wsp>
                </a:graphicData>
              </a:graphic>
            </wp:anchor>
          </w:drawing>
        </mc:Choice>
        <mc:Fallback>
          <w:pict>
            <v:shape id="_x0000_s3979" type="#_x0000_t202" style="position:absolute;margin-left:12.199999999999999pt;margin-top:535.75pt;width:14.65pt;height:6.25pt;z-index:-188741795;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62" behindDoc="1" locked="0" layoutInCell="1" allowOverlap="1">
              <wp:simplePos x="0" y="0"/>
              <wp:positionH relativeFrom="page">
                <wp:posOffset>3999865</wp:posOffset>
              </wp:positionH>
              <wp:positionV relativeFrom="page">
                <wp:posOffset>6786245</wp:posOffset>
              </wp:positionV>
              <wp:extent cx="173990" cy="82550"/>
              <wp:wrapNone/>
              <wp:docPr id="2958" name="Shape 2958"/>
              <a:graphic xmlns:a="http://schemas.openxmlformats.org/drawingml/2006/main">
                <a:graphicData uri="http://schemas.microsoft.com/office/word/2010/wordprocessingShape">
                  <wps:wsp>
                    <wps:cNvSpPr txBox="1"/>
                    <wps:spPr>
                      <a:xfrm>
                        <a:ext cx="173990" cy="82550"/>
                      </a:xfrm>
                      <a:prstGeom prst="rect"/>
                      <a:noFill/>
                    </wps:spPr>
                    <wps:txbx>
                      <w:txbxContent>
                        <w:p>
                          <w:pPr>
                            <w:widowControl w:val="0"/>
                          </w:pPr>
                        </w:p>
                      </w:txbxContent>
                    </wps:txbx>
                    <wps:bodyPr wrap="none" lIns="0" tIns="0" rIns="0" bIns="0">
                      <a:spAutoFit/>
                    </wps:bodyPr>
                  </wps:wsp>
                </a:graphicData>
              </a:graphic>
            </wp:anchor>
          </w:drawing>
        </mc:Choice>
        <mc:Fallback>
          <w:pict>
            <v:shape id="_x0000_s3984" type="#_x0000_t202" style="position:absolute;margin-left:314.94999999999999pt;margin-top:534.35000000000002pt;width:13.699999999999999pt;height:6.5pt;z-index:-188741791;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66" behindDoc="1" locked="0" layoutInCell="1" allowOverlap="1">
              <wp:simplePos x="0" y="0"/>
              <wp:positionH relativeFrom="page">
                <wp:posOffset>174625</wp:posOffset>
              </wp:positionH>
              <wp:positionV relativeFrom="page">
                <wp:posOffset>6788785</wp:posOffset>
              </wp:positionV>
              <wp:extent cx="152400" cy="67310"/>
              <wp:wrapNone/>
              <wp:docPr id="2963" name="Shape 2963"/>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89" type="#_x0000_t202" style="position:absolute;margin-left:13.75pt;margin-top:534.54999999999995pt;width:12.pt;height:5.2999999999999998pt;z-index:-1887417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70" behindDoc="1" locked="0" layoutInCell="1" allowOverlap="1">
              <wp:simplePos x="0" y="0"/>
              <wp:positionH relativeFrom="page">
                <wp:posOffset>174625</wp:posOffset>
              </wp:positionH>
              <wp:positionV relativeFrom="page">
                <wp:posOffset>6788785</wp:posOffset>
              </wp:positionV>
              <wp:extent cx="152400" cy="67310"/>
              <wp:wrapNone/>
              <wp:docPr id="2968" name="Shape 2968"/>
              <a:graphic xmlns:a="http://schemas.openxmlformats.org/drawingml/2006/main">
                <a:graphicData uri="http://schemas.microsoft.com/office/word/2010/wordprocessingShape">
                  <wps:wsp>
                    <wps:cNvSpPr txBox="1"/>
                    <wps:spPr>
                      <a:xfrm>
                        <a:ext cx="152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94" type="#_x0000_t202" style="position:absolute;margin-left:13.75pt;margin-top:534.54999999999995pt;width:12.pt;height:5.2999999999999998pt;z-index:-1887417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74" behindDoc="1" locked="0" layoutInCell="1" allowOverlap="1">
              <wp:simplePos x="0" y="0"/>
              <wp:positionH relativeFrom="page">
                <wp:posOffset>4034790</wp:posOffset>
              </wp:positionH>
              <wp:positionV relativeFrom="page">
                <wp:posOffset>6791960</wp:posOffset>
              </wp:positionV>
              <wp:extent cx="152400" cy="60960"/>
              <wp:wrapNone/>
              <wp:docPr id="2973" name="Shape 2973"/>
              <a:graphic xmlns:a="http://schemas.openxmlformats.org/drawingml/2006/main">
                <a:graphicData uri="http://schemas.microsoft.com/office/word/2010/wordprocessingShape">
                  <wps:wsp>
                    <wps:cNvSpPr txBox="1"/>
                    <wps:spPr>
                      <a:xfrm>
                        <a:ext cx="15240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3999" type="#_x0000_t202" style="position:absolute;margin-left:317.69999999999999pt;margin-top:534.79999999999995pt;width:12.pt;height:4.7999999999999998pt;z-index:-1887417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78" behindDoc="1" locked="0" layoutInCell="1" allowOverlap="1">
              <wp:simplePos x="0" y="0"/>
              <wp:positionH relativeFrom="page">
                <wp:posOffset>174625</wp:posOffset>
              </wp:positionH>
              <wp:positionV relativeFrom="page">
                <wp:posOffset>6831965</wp:posOffset>
              </wp:positionV>
              <wp:extent cx="158750" cy="79375"/>
              <wp:wrapNone/>
              <wp:docPr id="2978" name="Shape 2978"/>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04" type="#_x0000_t202" style="position:absolute;margin-left:13.75pt;margin-top:537.95000000000005pt;width:12.5pt;height:6.25pt;z-index:-1887417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82" behindDoc="1" locked="0" layoutInCell="1" allowOverlap="1">
              <wp:simplePos x="0" y="0"/>
              <wp:positionH relativeFrom="page">
                <wp:posOffset>174625</wp:posOffset>
              </wp:positionH>
              <wp:positionV relativeFrom="page">
                <wp:posOffset>6831965</wp:posOffset>
              </wp:positionV>
              <wp:extent cx="158750" cy="79375"/>
              <wp:wrapNone/>
              <wp:docPr id="2983" name="Shape 2983"/>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09" type="#_x0000_t202" style="position:absolute;margin-left:13.75pt;margin-top:537.95000000000005pt;width:12.5pt;height:6.25pt;z-index:-1887417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86" behindDoc="1" locked="0" layoutInCell="1" allowOverlap="1">
              <wp:simplePos x="0" y="0"/>
              <wp:positionH relativeFrom="page">
                <wp:posOffset>4027170</wp:posOffset>
              </wp:positionH>
              <wp:positionV relativeFrom="page">
                <wp:posOffset>6807200</wp:posOffset>
              </wp:positionV>
              <wp:extent cx="152400" cy="73025"/>
              <wp:wrapNone/>
              <wp:docPr id="2988" name="Shape 2988"/>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14" type="#_x0000_t202" style="position:absolute;margin-left:317.10000000000002pt;margin-top:536.pt;width:12.pt;height:5.75pt;z-index:-1887417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94" behindDoc="1" locked="0" layoutInCell="1" allowOverlap="1">
              <wp:simplePos x="0" y="0"/>
              <wp:positionH relativeFrom="page">
                <wp:posOffset>4004310</wp:posOffset>
              </wp:positionH>
              <wp:positionV relativeFrom="page">
                <wp:posOffset>6779895</wp:posOffset>
              </wp:positionV>
              <wp:extent cx="194945" cy="91440"/>
              <wp:wrapNone/>
              <wp:docPr id="2999" name="Shape 2999"/>
              <a:graphic xmlns:a="http://schemas.openxmlformats.org/drawingml/2006/main">
                <a:graphicData uri="http://schemas.microsoft.com/office/word/2010/wordprocessingShape">
                  <wps:wsp>
                    <wps:cNvSpPr txBox="1"/>
                    <wps:spPr>
                      <a:xfrm>
                        <a:ext cx="194945" cy="91440"/>
                      </a:xfrm>
                      <a:prstGeom prst="rect"/>
                      <a:noFill/>
                    </wps:spPr>
                    <wps:txbx>
                      <w:txbxContent>
                        <w:p>
                          <w:pPr>
                            <w:widowControl w:val="0"/>
                          </w:pPr>
                        </w:p>
                      </w:txbxContent>
                    </wps:txbx>
                    <wps:bodyPr wrap="none" lIns="0" tIns="0" rIns="0" bIns="0">
                      <a:spAutoFit/>
                    </wps:bodyPr>
                  </wps:wsp>
                </a:graphicData>
              </a:graphic>
            </wp:anchor>
          </w:drawing>
        </mc:Choice>
        <mc:Fallback>
          <w:pict>
            <v:shape id="_x0000_s4025" type="#_x0000_t202" style="position:absolute;margin-left:315.30000000000001pt;margin-top:533.85000000000002pt;width:15.35pt;height:7.2000000000000002pt;z-index:-188741759;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6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02" behindDoc="1" locked="0" layoutInCell="1" allowOverlap="1">
              <wp:simplePos x="0" y="0"/>
              <wp:positionH relativeFrom="page">
                <wp:posOffset>167005</wp:posOffset>
              </wp:positionH>
              <wp:positionV relativeFrom="page">
                <wp:posOffset>6831965</wp:posOffset>
              </wp:positionV>
              <wp:extent cx="155575" cy="73025"/>
              <wp:wrapNone/>
              <wp:docPr id="3010" name="Shape 3010"/>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36" type="#_x0000_t202" style="position:absolute;margin-left:13.15pt;margin-top:537.95000000000005pt;width:12.25pt;height:5.75pt;z-index:-1887417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6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06" behindDoc="1" locked="0" layoutInCell="1" allowOverlap="1">
              <wp:simplePos x="0" y="0"/>
              <wp:positionH relativeFrom="page">
                <wp:posOffset>167005</wp:posOffset>
              </wp:positionH>
              <wp:positionV relativeFrom="page">
                <wp:posOffset>6831965</wp:posOffset>
              </wp:positionV>
              <wp:extent cx="155575" cy="73025"/>
              <wp:wrapNone/>
              <wp:docPr id="3015" name="Shape 3015"/>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41" type="#_x0000_t202" style="position:absolute;margin-left:13.15pt;margin-top:537.95000000000005pt;width:12.25pt;height:5.75pt;z-index:-1887417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6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20" behindDoc="1" locked="0" layoutInCell="1" allowOverlap="1">
              <wp:simplePos x="0" y="0"/>
              <wp:positionH relativeFrom="page">
                <wp:posOffset>4029075</wp:posOffset>
              </wp:positionH>
              <wp:positionV relativeFrom="page">
                <wp:posOffset>6791960</wp:posOffset>
              </wp:positionV>
              <wp:extent cx="152400" cy="82550"/>
              <wp:wrapNone/>
              <wp:docPr id="3037" name="Shape 3037"/>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63" type="#_x0000_t202" style="position:absolute;margin-left:317.25pt;margin-top:534.79999999999995pt;width:12.pt;height:6.5pt;z-index:-1887417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24" behindDoc="1" locked="0" layoutInCell="1" allowOverlap="1">
              <wp:simplePos x="0" y="0"/>
              <wp:positionH relativeFrom="page">
                <wp:posOffset>4029075</wp:posOffset>
              </wp:positionH>
              <wp:positionV relativeFrom="page">
                <wp:posOffset>6791960</wp:posOffset>
              </wp:positionV>
              <wp:extent cx="152400" cy="82550"/>
              <wp:wrapNone/>
              <wp:docPr id="3042" name="Shape 3042"/>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68" type="#_x0000_t202" style="position:absolute;margin-left:317.25pt;margin-top:534.79999999999995pt;width:12.pt;height:6.5pt;z-index:-1887417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6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28" behindDoc="1" locked="0" layoutInCell="1" allowOverlap="1">
              <wp:simplePos x="0" y="0"/>
              <wp:positionH relativeFrom="page">
                <wp:posOffset>165735</wp:posOffset>
              </wp:positionH>
              <wp:positionV relativeFrom="page">
                <wp:posOffset>6786245</wp:posOffset>
              </wp:positionV>
              <wp:extent cx="155575" cy="69850"/>
              <wp:wrapNone/>
              <wp:docPr id="3047" name="Shape 3047"/>
              <a:graphic xmlns:a="http://schemas.openxmlformats.org/drawingml/2006/main">
                <a:graphicData uri="http://schemas.microsoft.com/office/word/2010/wordprocessingShape">
                  <wps:wsp>
                    <wps:cNvSpPr txBox="1"/>
                    <wps:spPr>
                      <a:xfrm>
                        <a:ext cx="1555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73" type="#_x0000_t202" style="position:absolute;margin-left:13.050000000000001pt;margin-top:534.35000000000002pt;width:12.25pt;height:5.5pt;z-index:-1887417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6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32" behindDoc="1" locked="0" layoutInCell="1" allowOverlap="1">
              <wp:simplePos x="0" y="0"/>
              <wp:positionH relativeFrom="page">
                <wp:posOffset>4032250</wp:posOffset>
              </wp:positionH>
              <wp:positionV relativeFrom="page">
                <wp:posOffset>6807200</wp:posOffset>
              </wp:positionV>
              <wp:extent cx="152400" cy="69850"/>
              <wp:wrapNone/>
              <wp:docPr id="3052" name="Shape 3052"/>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78" type="#_x0000_t202" style="position:absolute;margin-left:317.5pt;margin-top:536.pt;width:12.pt;height:5.5pt;z-index:-1887417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36" behindDoc="1" locked="0" layoutInCell="1" allowOverlap="1">
              <wp:simplePos x="0" y="0"/>
              <wp:positionH relativeFrom="page">
                <wp:posOffset>4032250</wp:posOffset>
              </wp:positionH>
              <wp:positionV relativeFrom="page">
                <wp:posOffset>6807200</wp:posOffset>
              </wp:positionV>
              <wp:extent cx="152400" cy="69850"/>
              <wp:wrapNone/>
              <wp:docPr id="3057" name="Shape 3057"/>
              <a:graphic xmlns:a="http://schemas.openxmlformats.org/drawingml/2006/main">
                <a:graphicData uri="http://schemas.microsoft.com/office/word/2010/wordprocessingShape">
                  <wps:wsp>
                    <wps:cNvSpPr txBox="1"/>
                    <wps:spPr>
                      <a:xfrm>
                        <a:ext cx="1524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83" type="#_x0000_t202" style="position:absolute;margin-left:317.5pt;margin-top:536.pt;width:12.pt;height:5.5pt;z-index:-1887417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40" behindDoc="1" locked="0" layoutInCell="1" allowOverlap="1">
              <wp:simplePos x="0" y="0"/>
              <wp:positionH relativeFrom="page">
                <wp:posOffset>167005</wp:posOffset>
              </wp:positionH>
              <wp:positionV relativeFrom="page">
                <wp:posOffset>6788785</wp:posOffset>
              </wp:positionV>
              <wp:extent cx="158750" cy="82550"/>
              <wp:wrapNone/>
              <wp:docPr id="3062" name="Shape 3062"/>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088" type="#_x0000_t202" style="position:absolute;margin-left:13.15pt;margin-top:534.54999999999995pt;width:12.5pt;height:6.5pt;z-index:-1887417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44" behindDoc="1" locked="0" layoutInCell="1" allowOverlap="1">
              <wp:simplePos x="0" y="0"/>
              <wp:positionH relativeFrom="page">
                <wp:posOffset>158115</wp:posOffset>
              </wp:positionH>
              <wp:positionV relativeFrom="page">
                <wp:posOffset>6788785</wp:posOffset>
              </wp:positionV>
              <wp:extent cx="155575" cy="85090"/>
              <wp:wrapNone/>
              <wp:docPr id="3067" name="Shape 3067"/>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4093" type="#_x0000_t202" style="position:absolute;margin-left:12.449999999999999pt;margin-top:534.54999999999995pt;width:12.25pt;height:6.7000000000000002pt;z-index:-1887417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7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48" behindDoc="1" locked="0" layoutInCell="1" allowOverlap="1">
              <wp:simplePos x="0" y="0"/>
              <wp:positionH relativeFrom="page">
                <wp:posOffset>158115</wp:posOffset>
              </wp:positionH>
              <wp:positionV relativeFrom="page">
                <wp:posOffset>6788785</wp:posOffset>
              </wp:positionV>
              <wp:extent cx="155575" cy="85090"/>
              <wp:wrapNone/>
              <wp:docPr id="3072" name="Shape 3072"/>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4098" type="#_x0000_t202" style="position:absolute;margin-left:12.449999999999999pt;margin-top:534.54999999999995pt;width:12.25pt;height:6.7000000000000002pt;z-index:-1887417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7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56" behindDoc="1" locked="0" layoutInCell="1" allowOverlap="1">
              <wp:simplePos x="0" y="0"/>
              <wp:positionH relativeFrom="page">
                <wp:posOffset>175260</wp:posOffset>
              </wp:positionH>
              <wp:positionV relativeFrom="page">
                <wp:posOffset>6852920</wp:posOffset>
              </wp:positionV>
              <wp:extent cx="155575" cy="73025"/>
              <wp:wrapNone/>
              <wp:docPr id="3083" name="Shape 3083"/>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09" type="#_x0000_t202" style="position:absolute;margin-left:13.800000000000001pt;margin-top:539.60000000000002pt;width:12.25pt;height:5.75pt;z-index:-1887416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60" behindDoc="1" locked="0" layoutInCell="1" allowOverlap="1">
              <wp:simplePos x="0" y="0"/>
              <wp:positionH relativeFrom="page">
                <wp:posOffset>175260</wp:posOffset>
              </wp:positionH>
              <wp:positionV relativeFrom="page">
                <wp:posOffset>6852920</wp:posOffset>
              </wp:positionV>
              <wp:extent cx="155575" cy="73025"/>
              <wp:wrapNone/>
              <wp:docPr id="3088" name="Shape 3088"/>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14" type="#_x0000_t202" style="position:absolute;margin-left:13.800000000000001pt;margin-top:539.60000000000002pt;width:12.25pt;height:5.75pt;z-index:-1887416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68" behindDoc="1" locked="0" layoutInCell="1" allowOverlap="1">
              <wp:simplePos x="0" y="0"/>
              <wp:positionH relativeFrom="page">
                <wp:posOffset>165735</wp:posOffset>
              </wp:positionH>
              <wp:positionV relativeFrom="page">
                <wp:posOffset>6851650</wp:posOffset>
              </wp:positionV>
              <wp:extent cx="155575" cy="73025"/>
              <wp:wrapNone/>
              <wp:docPr id="3099" name="Shape 3099"/>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25" type="#_x0000_t202" style="position:absolute;margin-left:13.050000000000001pt;margin-top:539.5pt;width:12.25pt;height:5.75pt;z-index:-1887416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72" behindDoc="1" locked="0" layoutInCell="1" allowOverlap="1">
              <wp:simplePos x="0" y="0"/>
              <wp:positionH relativeFrom="page">
                <wp:posOffset>165735</wp:posOffset>
              </wp:positionH>
              <wp:positionV relativeFrom="page">
                <wp:posOffset>6851650</wp:posOffset>
              </wp:positionV>
              <wp:extent cx="155575" cy="73025"/>
              <wp:wrapNone/>
              <wp:docPr id="3104" name="Shape 3104"/>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30" type="#_x0000_t202" style="position:absolute;margin-left:13.050000000000001pt;margin-top:539.5pt;width:12.25pt;height:5.75pt;z-index:-1887416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80" behindDoc="1" locked="0" layoutInCell="1" allowOverlap="1">
              <wp:simplePos x="0" y="0"/>
              <wp:positionH relativeFrom="page">
                <wp:posOffset>168910</wp:posOffset>
              </wp:positionH>
              <wp:positionV relativeFrom="page">
                <wp:posOffset>6854825</wp:posOffset>
              </wp:positionV>
              <wp:extent cx="155575" cy="73025"/>
              <wp:wrapNone/>
              <wp:docPr id="3115" name="Shape 3115"/>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41" type="#_x0000_t202" style="position:absolute;margin-left:13.300000000000001pt;margin-top:539.75pt;width:12.25pt;height:5.75pt;z-index:-1887416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84" behindDoc="1" locked="0" layoutInCell="1" allowOverlap="1">
              <wp:simplePos x="0" y="0"/>
              <wp:positionH relativeFrom="page">
                <wp:posOffset>168910</wp:posOffset>
              </wp:positionH>
              <wp:positionV relativeFrom="page">
                <wp:posOffset>6854825</wp:posOffset>
              </wp:positionV>
              <wp:extent cx="155575" cy="73025"/>
              <wp:wrapNone/>
              <wp:docPr id="3120" name="Shape 3120"/>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46" type="#_x0000_t202" style="position:absolute;margin-left:13.300000000000001pt;margin-top:539.75pt;width:12.25pt;height:5.75pt;z-index:-1887416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92" behindDoc="1" locked="0" layoutInCell="1" allowOverlap="1">
              <wp:simplePos x="0" y="0"/>
              <wp:positionH relativeFrom="page">
                <wp:posOffset>4027805</wp:posOffset>
              </wp:positionH>
              <wp:positionV relativeFrom="page">
                <wp:posOffset>6849745</wp:posOffset>
              </wp:positionV>
              <wp:extent cx="155575" cy="54610"/>
              <wp:wrapNone/>
              <wp:docPr id="3131" name="Shape 3131"/>
              <a:graphic xmlns:a="http://schemas.openxmlformats.org/drawingml/2006/main">
                <a:graphicData uri="http://schemas.microsoft.com/office/word/2010/wordprocessingShape">
                  <wps:wsp>
                    <wps:cNvSpPr txBox="1"/>
                    <wps:spPr>
                      <a:xfrm>
                        <a:ext cx="155575"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57" type="#_x0000_t202" style="position:absolute;margin-left:317.14999999999998pt;margin-top:539.35000000000002pt;width:12.25pt;height:4.2999999999999998pt;z-index:-1887416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96" behindDoc="1" locked="0" layoutInCell="1" allowOverlap="1">
              <wp:simplePos x="0" y="0"/>
              <wp:positionH relativeFrom="page">
                <wp:posOffset>4027805</wp:posOffset>
              </wp:positionH>
              <wp:positionV relativeFrom="page">
                <wp:posOffset>6849745</wp:posOffset>
              </wp:positionV>
              <wp:extent cx="155575" cy="54610"/>
              <wp:wrapNone/>
              <wp:docPr id="3136" name="Shape 3136"/>
              <a:graphic xmlns:a="http://schemas.openxmlformats.org/drawingml/2006/main">
                <a:graphicData uri="http://schemas.microsoft.com/office/word/2010/wordprocessingShape">
                  <wps:wsp>
                    <wps:cNvSpPr txBox="1"/>
                    <wps:spPr>
                      <a:xfrm>
                        <a:ext cx="155575" cy="546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62" type="#_x0000_t202" style="position:absolute;margin-left:317.14999999999998pt;margin-top:539.35000000000002pt;width:12.25pt;height:4.2999999999999998pt;z-index:-1887416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00" behindDoc="1" locked="0" layoutInCell="1" allowOverlap="1">
              <wp:simplePos x="0" y="0"/>
              <wp:positionH relativeFrom="page">
                <wp:posOffset>170180</wp:posOffset>
              </wp:positionH>
              <wp:positionV relativeFrom="page">
                <wp:posOffset>6851650</wp:posOffset>
              </wp:positionV>
              <wp:extent cx="158750" cy="79375"/>
              <wp:wrapNone/>
              <wp:docPr id="3141" name="Shape 3141"/>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167" type="#_x0000_t202" style="position:absolute;margin-left:13.4pt;margin-top:539.5pt;width:12.5pt;height:6.25pt;z-index:-1887416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10" behindDoc="1" locked="0" layoutInCell="1" allowOverlap="1">
              <wp:simplePos x="0" y="0"/>
              <wp:positionH relativeFrom="page">
                <wp:posOffset>4019550</wp:posOffset>
              </wp:positionH>
              <wp:positionV relativeFrom="page">
                <wp:posOffset>6814185</wp:posOffset>
              </wp:positionV>
              <wp:extent cx="152400" cy="42545"/>
              <wp:wrapNone/>
              <wp:docPr id="3157" name="Shape 3157"/>
              <a:graphic xmlns:a="http://schemas.openxmlformats.org/drawingml/2006/main">
                <a:graphicData uri="http://schemas.microsoft.com/office/word/2010/wordprocessingShape">
                  <wps:wsp>
                    <wps:cNvSpPr txBox="1"/>
                    <wps:spPr>
                      <a:xfrm>
                        <a:ext cx="152400" cy="4254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b/>
                              <w:bCs/>
                              <w:i/>
                              <w:iCs/>
                              <w:color w:val="000000"/>
                              <w:spacing w:val="0"/>
                              <w:w w:val="100"/>
                              <w:position w:val="0"/>
                              <w:sz w:val="9"/>
                              <w:szCs w:val="9"/>
                              <w:shd w:val="clear" w:color="auto" w:fill="auto"/>
                              <w:lang w:val="hr-HR" w:eastAsia="hr-HR" w:bidi="hr-HR"/>
                            </w:rPr>
                            <w:t>A</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 -70</w:t>
                          </w:r>
                        </w:p>
                      </w:txbxContent>
                    </wps:txbx>
                    <wps:bodyPr wrap="none" lIns="0" tIns="0" rIns="0" bIns="0">
                      <a:spAutoFit/>
                    </wps:bodyPr>
                  </wps:wsp>
                </a:graphicData>
              </a:graphic>
            </wp:anchor>
          </w:drawing>
        </mc:Choice>
        <mc:Fallback>
          <w:pict>
            <v:shape id="_x0000_s4183" type="#_x0000_t202" style="position:absolute;margin-left:316.5pt;margin-top:536.54999999999995pt;width:12.pt;height:3.3500000000000001pt;z-index:-1887416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b/>
                        <w:bCs/>
                        <w:i/>
                        <w:iCs/>
                        <w:color w:val="000000"/>
                        <w:spacing w:val="0"/>
                        <w:w w:val="100"/>
                        <w:position w:val="0"/>
                        <w:sz w:val="9"/>
                        <w:szCs w:val="9"/>
                        <w:shd w:val="clear" w:color="auto" w:fill="auto"/>
                        <w:lang w:val="hr-HR" w:eastAsia="hr-HR" w:bidi="hr-HR"/>
                      </w:rPr>
                      <w:t>A</w:t>
                    </w: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 xml:space="preserve"> -70</w:t>
                    </w:r>
                  </w:p>
                </w:txbxContent>
              </v:textbox>
              <w10:wrap anchorx="page" anchory="page"/>
            </v:shape>
          </w:pict>
        </mc:Fallback>
      </mc:AlternateContent>
    </w:r>
  </w:p>
</w:ftr>
</file>

<file path=word/footer7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14" behindDoc="1" locked="0" layoutInCell="1" allowOverlap="1">
              <wp:simplePos x="0" y="0"/>
              <wp:positionH relativeFrom="page">
                <wp:posOffset>4028440</wp:posOffset>
              </wp:positionH>
              <wp:positionV relativeFrom="page">
                <wp:posOffset>6802120</wp:posOffset>
              </wp:positionV>
              <wp:extent cx="146050" cy="79375"/>
              <wp:wrapNone/>
              <wp:docPr id="3164" name="Shape 3164"/>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4190" type="#_x0000_t202" style="position:absolute;margin-left:317.19999999999999pt;margin-top:535.60000000000002pt;width:11.5pt;height:6.25pt;z-index:-1887416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7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18" behindDoc="1" locked="0" layoutInCell="1" allowOverlap="1">
              <wp:simplePos x="0" y="0"/>
              <wp:positionH relativeFrom="page">
                <wp:posOffset>4028440</wp:posOffset>
              </wp:positionH>
              <wp:positionV relativeFrom="page">
                <wp:posOffset>6802120</wp:posOffset>
              </wp:positionV>
              <wp:extent cx="146050" cy="79375"/>
              <wp:wrapNone/>
              <wp:docPr id="3169" name="Shape 3169"/>
              <a:graphic xmlns:a="http://schemas.openxmlformats.org/drawingml/2006/main">
                <a:graphicData uri="http://schemas.microsoft.com/office/word/2010/wordprocessingShape">
                  <wps:wsp>
                    <wps:cNvSpPr txBox="1"/>
                    <wps:spPr>
                      <a:xfrm>
                        <a:ext cx="146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wps:txbx>
                    <wps:bodyPr wrap="none" lIns="0" tIns="0" rIns="0" bIns="0">
                      <a:spAutoFit/>
                    </wps:bodyPr>
                  </wps:wsp>
                </a:graphicData>
              </a:graphic>
            </wp:anchor>
          </w:drawing>
        </mc:Choice>
        <mc:Fallback>
          <w:pict>
            <v:shape id="_x0000_s4195" type="#_x0000_t202" style="position:absolute;margin-left:317.19999999999999pt;margin-top:535.60000000000002pt;width:11.5pt;height:6.25pt;z-index:-1887416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en-US" w:eastAsia="en-US" w:bidi="en-US"/>
                        </w:rPr>
                        <w:t>#</w:t>
                      </w:r>
                    </w:fldSimple>
                  </w:p>
                </w:txbxContent>
              </v:textbox>
              <w10:wrap anchorx="page" anchory="page"/>
            </v:shape>
          </w:pict>
        </mc:Fallback>
      </mc:AlternateContent>
    </w:r>
  </w:p>
</w:ftr>
</file>

<file path=word/footer7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22" behindDoc="1" locked="0" layoutInCell="1" allowOverlap="1">
              <wp:simplePos x="0" y="0"/>
              <wp:positionH relativeFrom="page">
                <wp:posOffset>4039870</wp:posOffset>
              </wp:positionH>
              <wp:positionV relativeFrom="page">
                <wp:posOffset>6789420</wp:posOffset>
              </wp:positionV>
              <wp:extent cx="152400" cy="82550"/>
              <wp:wrapNone/>
              <wp:docPr id="3174" name="Shape 3174"/>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00" type="#_x0000_t202" style="position:absolute;margin-left:318.10000000000002pt;margin-top:534.60000000000002pt;width:12.pt;height:6.5pt;z-index:-1887416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26" behindDoc="1" locked="0" layoutInCell="1" allowOverlap="1">
              <wp:simplePos x="0" y="0"/>
              <wp:positionH relativeFrom="page">
                <wp:posOffset>4039870</wp:posOffset>
              </wp:positionH>
              <wp:positionV relativeFrom="page">
                <wp:posOffset>6789420</wp:posOffset>
              </wp:positionV>
              <wp:extent cx="152400" cy="82550"/>
              <wp:wrapNone/>
              <wp:docPr id="3179" name="Shape 3179"/>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05" type="#_x0000_t202" style="position:absolute;margin-left:318.10000000000002pt;margin-top:534.60000000000002pt;width:12.pt;height:6.5pt;z-index:-1887416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28" behindDoc="1" locked="0" layoutInCell="1" allowOverlap="1">
              <wp:simplePos x="0" y="0"/>
              <wp:positionH relativeFrom="page">
                <wp:posOffset>167640</wp:posOffset>
              </wp:positionH>
              <wp:positionV relativeFrom="page">
                <wp:posOffset>6783070</wp:posOffset>
              </wp:positionV>
              <wp:extent cx="155575" cy="73025"/>
              <wp:wrapNone/>
              <wp:docPr id="3181" name="Shape 3181"/>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07" type="#_x0000_t202" style="position:absolute;margin-left:13.199999999999999pt;margin-top:534.10000000000002pt;width:12.25pt;height:5.75pt;z-index:-1887416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36" behindDoc="1" locked="0" layoutInCell="1" allowOverlap="1">
              <wp:simplePos x="0" y="0"/>
              <wp:positionH relativeFrom="page">
                <wp:posOffset>4027170</wp:posOffset>
              </wp:positionH>
              <wp:positionV relativeFrom="page">
                <wp:posOffset>6826250</wp:posOffset>
              </wp:positionV>
              <wp:extent cx="152400" cy="42545"/>
              <wp:wrapNone/>
              <wp:docPr id="3192" name="Shape 3192"/>
              <a:graphic xmlns:a="http://schemas.openxmlformats.org/drawingml/2006/main">
                <a:graphicData uri="http://schemas.microsoft.com/office/word/2010/wordprocessingShape">
                  <wps:wsp>
                    <wps:cNvSpPr txBox="1"/>
                    <wps:spPr>
                      <a:xfrm>
                        <a:ext cx="152400" cy="4254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4 0-7</w:t>
                          </w:r>
                        </w:p>
                      </w:txbxContent>
                    </wps:txbx>
                    <wps:bodyPr wrap="none" lIns="0" tIns="0" rIns="0" bIns="0">
                      <a:spAutoFit/>
                    </wps:bodyPr>
                  </wps:wsp>
                </a:graphicData>
              </a:graphic>
            </wp:anchor>
          </w:drawing>
        </mc:Choice>
        <mc:Fallback>
          <w:pict>
            <v:shape id="_x0000_s4218" type="#_x0000_t202" style="position:absolute;margin-left:317.10000000000002pt;margin-top:537.5pt;width:12.pt;height:3.3500000000000001pt;z-index:-1887416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4 0-7</w:t>
                    </w:r>
                  </w:p>
                </w:txbxContent>
              </v:textbox>
              <w10:wrap anchorx="page" anchory="page"/>
            </v:shape>
          </w:pict>
        </mc:Fallback>
      </mc:AlternateContent>
    </w:r>
  </w:p>
</w:ftr>
</file>

<file path=word/footer7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40" behindDoc="1" locked="0" layoutInCell="1" allowOverlap="1">
              <wp:simplePos x="0" y="0"/>
              <wp:positionH relativeFrom="page">
                <wp:posOffset>4027170</wp:posOffset>
              </wp:positionH>
              <wp:positionV relativeFrom="page">
                <wp:posOffset>6826250</wp:posOffset>
              </wp:positionV>
              <wp:extent cx="152400" cy="42545"/>
              <wp:wrapNone/>
              <wp:docPr id="3197" name="Shape 3197"/>
              <a:graphic xmlns:a="http://schemas.openxmlformats.org/drawingml/2006/main">
                <a:graphicData uri="http://schemas.microsoft.com/office/word/2010/wordprocessingShape">
                  <wps:wsp>
                    <wps:cNvSpPr txBox="1"/>
                    <wps:spPr>
                      <a:xfrm>
                        <a:ext cx="152400" cy="4254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4 0-7</w:t>
                          </w:r>
                        </w:p>
                      </w:txbxContent>
                    </wps:txbx>
                    <wps:bodyPr wrap="none" lIns="0" tIns="0" rIns="0" bIns="0">
                      <a:spAutoFit/>
                    </wps:bodyPr>
                  </wps:wsp>
                </a:graphicData>
              </a:graphic>
            </wp:anchor>
          </w:drawing>
        </mc:Choice>
        <mc:Fallback>
          <w:pict>
            <v:shape id="_x0000_s4223" type="#_x0000_t202" style="position:absolute;margin-left:317.10000000000002pt;margin-top:537.5pt;width:12.pt;height:3.3500000000000001pt;z-index:-1887416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hr-HR" w:eastAsia="hr-HR" w:bidi="hr-HR"/>
                      </w:rPr>
                      <w:t>4 0-7</w:t>
                    </w:r>
                  </w:p>
                </w:txbxContent>
              </v:textbox>
              <w10:wrap anchorx="page" anchory="page"/>
            </v:shape>
          </w:pict>
        </mc:Fallback>
      </mc:AlternateContent>
    </w:r>
  </w:p>
</w:ftr>
</file>

<file path=word/footer7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50" behindDoc="1" locked="0" layoutInCell="1" allowOverlap="1">
              <wp:simplePos x="0" y="0"/>
              <wp:positionH relativeFrom="page">
                <wp:posOffset>4021455</wp:posOffset>
              </wp:positionH>
              <wp:positionV relativeFrom="page">
                <wp:posOffset>6826250</wp:posOffset>
              </wp:positionV>
              <wp:extent cx="137160" cy="60960"/>
              <wp:wrapNone/>
              <wp:docPr id="3211" name="Shape 3211"/>
              <a:graphic xmlns:a="http://schemas.openxmlformats.org/drawingml/2006/main">
                <a:graphicData uri="http://schemas.microsoft.com/office/word/2010/wordprocessingShape">
                  <wps:wsp>
                    <wps:cNvSpPr txBox="1"/>
                    <wps:spPr>
                      <a:xfrm>
                        <a:ext cx="13716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37" type="#_x0000_t202" style="position:absolute;margin-left:316.64999999999998pt;margin-top:537.5pt;width:10.800000000000001pt;height:4.7999999999999998pt;z-index:-1887416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54" behindDoc="1" locked="0" layoutInCell="1" allowOverlap="1">
              <wp:simplePos x="0" y="0"/>
              <wp:positionH relativeFrom="page">
                <wp:posOffset>163830</wp:posOffset>
              </wp:positionH>
              <wp:positionV relativeFrom="page">
                <wp:posOffset>6818630</wp:posOffset>
              </wp:positionV>
              <wp:extent cx="158750" cy="79375"/>
              <wp:wrapNone/>
              <wp:docPr id="3216" name="Shape 3216"/>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42" type="#_x0000_t202" style="position:absolute;margin-left:12.9pt;margin-top:536.89999999999998pt;width:12.5pt;height:6.25pt;z-index:-1887415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58" behindDoc="1" locked="0" layoutInCell="1" allowOverlap="1">
              <wp:simplePos x="0" y="0"/>
              <wp:positionH relativeFrom="page">
                <wp:posOffset>4018280</wp:posOffset>
              </wp:positionH>
              <wp:positionV relativeFrom="page">
                <wp:posOffset>6823075</wp:posOffset>
              </wp:positionV>
              <wp:extent cx="158750" cy="73025"/>
              <wp:wrapNone/>
              <wp:docPr id="3221" name="Shape 3221"/>
              <a:graphic xmlns:a="http://schemas.openxmlformats.org/drawingml/2006/main">
                <a:graphicData uri="http://schemas.microsoft.com/office/word/2010/wordprocessingShape">
                  <wps:wsp>
                    <wps:cNvSpPr txBox="1"/>
                    <wps:spPr>
                      <a:xfrm>
                        <a:ext cx="15875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47" type="#_x0000_t202" style="position:absolute;margin-left:316.39999999999998pt;margin-top:537.25pt;width:12.5pt;height:5.75pt;z-index:-1887415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66" behindDoc="1" locked="0" layoutInCell="1" allowOverlap="1">
              <wp:simplePos x="0" y="0"/>
              <wp:positionH relativeFrom="page">
                <wp:posOffset>167005</wp:posOffset>
              </wp:positionH>
              <wp:positionV relativeFrom="page">
                <wp:posOffset>6818630</wp:posOffset>
              </wp:positionV>
              <wp:extent cx="155575" cy="64135"/>
              <wp:wrapNone/>
              <wp:docPr id="3234" name="Shape 3234"/>
              <a:graphic xmlns:a="http://schemas.openxmlformats.org/drawingml/2006/main">
                <a:graphicData uri="http://schemas.microsoft.com/office/word/2010/wordprocessingShape">
                  <wps:wsp>
                    <wps:cNvSpPr txBox="1"/>
                    <wps:spPr>
                      <a:xfrm>
                        <a:ext cx="1555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60" type="#_x0000_t202" style="position:absolute;margin-left:13.15pt;margin-top:536.89999999999998pt;width:12.25pt;height:5.0499999999999998pt;z-index:-1887415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7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70" behindDoc="1" locked="0" layoutInCell="1" allowOverlap="1">
              <wp:simplePos x="0" y="0"/>
              <wp:positionH relativeFrom="page">
                <wp:posOffset>167005</wp:posOffset>
              </wp:positionH>
              <wp:positionV relativeFrom="page">
                <wp:posOffset>6818630</wp:posOffset>
              </wp:positionV>
              <wp:extent cx="155575" cy="64135"/>
              <wp:wrapNone/>
              <wp:docPr id="3239" name="Shape 3239"/>
              <a:graphic xmlns:a="http://schemas.openxmlformats.org/drawingml/2006/main">
                <a:graphicData uri="http://schemas.microsoft.com/office/word/2010/wordprocessingShape">
                  <wps:wsp>
                    <wps:cNvSpPr txBox="1"/>
                    <wps:spPr>
                      <a:xfrm>
                        <a:ext cx="1555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65" type="#_x0000_t202" style="position:absolute;margin-left:13.15pt;margin-top:536.89999999999998pt;width:12.25pt;height:5.0499999999999998pt;z-index:-1887415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7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78" behindDoc="1" locked="0" layoutInCell="1" allowOverlap="1">
              <wp:simplePos x="0" y="0"/>
              <wp:positionH relativeFrom="page">
                <wp:posOffset>158115</wp:posOffset>
              </wp:positionH>
              <wp:positionV relativeFrom="page">
                <wp:posOffset>6819900</wp:posOffset>
              </wp:positionV>
              <wp:extent cx="158750" cy="67310"/>
              <wp:wrapNone/>
              <wp:docPr id="3252" name="Shape 3252"/>
              <a:graphic xmlns:a="http://schemas.openxmlformats.org/drawingml/2006/main">
                <a:graphicData uri="http://schemas.microsoft.com/office/word/2010/wordprocessingShape">
                  <wps:wsp>
                    <wps:cNvSpPr txBox="1"/>
                    <wps:spPr>
                      <a:xfrm>
                        <a:ext cx="1587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78" type="#_x0000_t202" style="position:absolute;margin-left:12.449999999999999pt;margin-top:537.pt;width:12.5pt;height:5.2999999999999998pt;z-index:-1887415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82" behindDoc="1" locked="0" layoutInCell="1" allowOverlap="1">
              <wp:simplePos x="0" y="0"/>
              <wp:positionH relativeFrom="page">
                <wp:posOffset>158115</wp:posOffset>
              </wp:positionH>
              <wp:positionV relativeFrom="page">
                <wp:posOffset>6819900</wp:posOffset>
              </wp:positionV>
              <wp:extent cx="158750" cy="67310"/>
              <wp:wrapNone/>
              <wp:docPr id="3257" name="Shape 3257"/>
              <a:graphic xmlns:a="http://schemas.openxmlformats.org/drawingml/2006/main">
                <a:graphicData uri="http://schemas.microsoft.com/office/word/2010/wordprocessingShape">
                  <wps:wsp>
                    <wps:cNvSpPr txBox="1"/>
                    <wps:spPr>
                      <a:xfrm>
                        <a:ext cx="1587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83" type="#_x0000_t202" style="position:absolute;margin-left:12.449999999999999pt;margin-top:537.pt;width:12.5pt;height:5.2999999999999998pt;z-index:-1887415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90" behindDoc="1" locked="0" layoutInCell="1" allowOverlap="1">
              <wp:simplePos x="0" y="0"/>
              <wp:positionH relativeFrom="page">
                <wp:posOffset>174625</wp:posOffset>
              </wp:positionH>
              <wp:positionV relativeFrom="page">
                <wp:posOffset>6816725</wp:posOffset>
              </wp:positionV>
              <wp:extent cx="152400" cy="82550"/>
              <wp:wrapNone/>
              <wp:docPr id="3270" name="Shape 3270"/>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296" type="#_x0000_t202" style="position:absolute;margin-left:13.75pt;margin-top:536.75pt;width:12.pt;height:6.5pt;z-index:-1887415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94" behindDoc="1" locked="0" layoutInCell="1" allowOverlap="1">
              <wp:simplePos x="0" y="0"/>
              <wp:positionH relativeFrom="page">
                <wp:posOffset>174625</wp:posOffset>
              </wp:positionH>
              <wp:positionV relativeFrom="page">
                <wp:posOffset>6816725</wp:posOffset>
              </wp:positionV>
              <wp:extent cx="152400" cy="82550"/>
              <wp:wrapNone/>
              <wp:docPr id="3275" name="Shape 3275"/>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01" type="#_x0000_t202" style="position:absolute;margin-left:13.75pt;margin-top:536.75pt;width:12.pt;height:6.5pt;z-index:-1887415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02" behindDoc="1" locked="0" layoutInCell="1" allowOverlap="1">
              <wp:simplePos x="0" y="0"/>
              <wp:positionH relativeFrom="page">
                <wp:posOffset>174625</wp:posOffset>
              </wp:positionH>
              <wp:positionV relativeFrom="page">
                <wp:posOffset>6816725</wp:posOffset>
              </wp:positionV>
              <wp:extent cx="152400" cy="82550"/>
              <wp:wrapNone/>
              <wp:docPr id="3286" name="Shape 3286"/>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12" type="#_x0000_t202" style="position:absolute;margin-left:13.75pt;margin-top:536.75pt;width:12.pt;height:6.5pt;z-index:-1887415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06" behindDoc="1" locked="0" layoutInCell="1" allowOverlap="1">
              <wp:simplePos x="0" y="0"/>
              <wp:positionH relativeFrom="page">
                <wp:posOffset>174625</wp:posOffset>
              </wp:positionH>
              <wp:positionV relativeFrom="page">
                <wp:posOffset>6816725</wp:posOffset>
              </wp:positionV>
              <wp:extent cx="152400" cy="82550"/>
              <wp:wrapNone/>
              <wp:docPr id="3291" name="Shape 3291"/>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17" type="#_x0000_t202" style="position:absolute;margin-left:13.75pt;margin-top:536.75pt;width:12.pt;height:6.5pt;z-index:-1887415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10" behindDoc="1" locked="0" layoutInCell="1" allowOverlap="1">
              <wp:simplePos x="0" y="0"/>
              <wp:positionH relativeFrom="page">
                <wp:posOffset>168910</wp:posOffset>
              </wp:positionH>
              <wp:positionV relativeFrom="page">
                <wp:posOffset>6786245</wp:posOffset>
              </wp:positionV>
              <wp:extent cx="155575" cy="79375"/>
              <wp:wrapNone/>
              <wp:docPr id="3298" name="Shape 3298"/>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24" type="#_x0000_t202" style="position:absolute;margin-left:13.300000000000001pt;margin-top:534.35000000000002pt;width:12.25pt;height:6.25pt;z-index:-1887415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14" behindDoc="1" locked="0" layoutInCell="1" allowOverlap="1">
              <wp:simplePos x="0" y="0"/>
              <wp:positionH relativeFrom="page">
                <wp:posOffset>168910</wp:posOffset>
              </wp:positionH>
              <wp:positionV relativeFrom="page">
                <wp:posOffset>6786245</wp:posOffset>
              </wp:positionV>
              <wp:extent cx="155575" cy="79375"/>
              <wp:wrapNone/>
              <wp:docPr id="3303" name="Shape 3303"/>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29" type="#_x0000_t202" style="position:absolute;margin-left:13.300000000000001pt;margin-top:534.35000000000002pt;width:12.25pt;height:6.25pt;z-index:-1887415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22" behindDoc="1" locked="0" layoutInCell="1" allowOverlap="1">
              <wp:simplePos x="0" y="0"/>
              <wp:positionH relativeFrom="page">
                <wp:posOffset>172085</wp:posOffset>
              </wp:positionH>
              <wp:positionV relativeFrom="page">
                <wp:posOffset>6791960</wp:posOffset>
              </wp:positionV>
              <wp:extent cx="155575" cy="79375"/>
              <wp:wrapNone/>
              <wp:docPr id="3314" name="Shape 3314"/>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40" type="#_x0000_t202" style="position:absolute;margin-left:13.550000000000001pt;margin-top:534.79999999999995pt;width:12.25pt;height:6.25pt;z-index:-1887415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26" behindDoc="1" locked="0" layoutInCell="1" allowOverlap="1">
              <wp:simplePos x="0" y="0"/>
              <wp:positionH relativeFrom="page">
                <wp:posOffset>172085</wp:posOffset>
              </wp:positionH>
              <wp:positionV relativeFrom="page">
                <wp:posOffset>6791960</wp:posOffset>
              </wp:positionV>
              <wp:extent cx="155575" cy="79375"/>
              <wp:wrapNone/>
              <wp:docPr id="3319" name="Shape 3319"/>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45" type="#_x0000_t202" style="position:absolute;margin-left:13.550000000000001pt;margin-top:534.79999999999995pt;width:12.25pt;height:6.25pt;z-index:-1887415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36" behindDoc="1" locked="0" layoutInCell="1" allowOverlap="1">
              <wp:simplePos x="0" y="0"/>
              <wp:positionH relativeFrom="page">
                <wp:posOffset>184150</wp:posOffset>
              </wp:positionH>
              <wp:positionV relativeFrom="page">
                <wp:posOffset>6816725</wp:posOffset>
              </wp:positionV>
              <wp:extent cx="149225" cy="67310"/>
              <wp:wrapNone/>
              <wp:docPr id="3335" name="Shape 3335"/>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61" type="#_x0000_t202" style="position:absolute;margin-left:14.5pt;margin-top:536.75pt;width:11.75pt;height:5.2999999999999998pt;z-index:-1887415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40" behindDoc="1" locked="0" layoutInCell="1" allowOverlap="1">
              <wp:simplePos x="0" y="0"/>
              <wp:positionH relativeFrom="page">
                <wp:posOffset>184150</wp:posOffset>
              </wp:positionH>
              <wp:positionV relativeFrom="page">
                <wp:posOffset>6816725</wp:posOffset>
              </wp:positionV>
              <wp:extent cx="149225" cy="67310"/>
              <wp:wrapNone/>
              <wp:docPr id="3340" name="Shape 3340"/>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66" type="#_x0000_t202" style="position:absolute;margin-left:14.5pt;margin-top:536.75pt;width:11.75pt;height:5.2999999999999998pt;z-index:-1887415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44" behindDoc="1" locked="0" layoutInCell="1" allowOverlap="1">
              <wp:simplePos x="0" y="0"/>
              <wp:positionH relativeFrom="page">
                <wp:posOffset>4025900</wp:posOffset>
              </wp:positionH>
              <wp:positionV relativeFrom="page">
                <wp:posOffset>6791960</wp:posOffset>
              </wp:positionV>
              <wp:extent cx="149225" cy="69850"/>
              <wp:wrapNone/>
              <wp:docPr id="3345" name="Shape 3345"/>
              <a:graphic xmlns:a="http://schemas.openxmlformats.org/drawingml/2006/main">
                <a:graphicData uri="http://schemas.microsoft.com/office/word/2010/wordprocessingShape">
                  <wps:wsp>
                    <wps:cNvSpPr txBox="1"/>
                    <wps:spPr>
                      <a:xfrm>
                        <a:ext cx="14922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71" type="#_x0000_t202" style="position:absolute;margin-left:317.pt;margin-top:534.79999999999995pt;width:11.75pt;height:5.5pt;z-index:-1887415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7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52" behindDoc="1" locked="0" layoutInCell="1" allowOverlap="1">
              <wp:simplePos x="0" y="0"/>
              <wp:positionH relativeFrom="page">
                <wp:posOffset>184150</wp:posOffset>
              </wp:positionH>
              <wp:positionV relativeFrom="page">
                <wp:posOffset>6816725</wp:posOffset>
              </wp:positionV>
              <wp:extent cx="149225" cy="67310"/>
              <wp:wrapNone/>
              <wp:docPr id="3356" name="Shape 3356"/>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82" type="#_x0000_t202" style="position:absolute;margin-left:14.5pt;margin-top:536.75pt;width:11.75pt;height:5.2999999999999998pt;z-index:-1887415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56" behindDoc="1" locked="0" layoutInCell="1" allowOverlap="1">
              <wp:simplePos x="0" y="0"/>
              <wp:positionH relativeFrom="page">
                <wp:posOffset>184150</wp:posOffset>
              </wp:positionH>
              <wp:positionV relativeFrom="page">
                <wp:posOffset>6816725</wp:posOffset>
              </wp:positionV>
              <wp:extent cx="149225" cy="67310"/>
              <wp:wrapNone/>
              <wp:docPr id="3361" name="Shape 3361"/>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387" type="#_x0000_t202" style="position:absolute;margin-left:14.5pt;margin-top:536.75pt;width:11.75pt;height:5.2999999999999998pt;z-index:-1887414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64" behindDoc="1" locked="0" layoutInCell="1" allowOverlap="1">
              <wp:simplePos x="0" y="0"/>
              <wp:positionH relativeFrom="page">
                <wp:posOffset>4029710</wp:posOffset>
              </wp:positionH>
              <wp:positionV relativeFrom="page">
                <wp:posOffset>6785610</wp:posOffset>
              </wp:positionV>
              <wp:extent cx="152400" cy="82550"/>
              <wp:wrapNone/>
              <wp:docPr id="3374" name="Shape 3374"/>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4400" type="#_x0000_t202" style="position:absolute;margin-left:317.30000000000001pt;margin-top:534.29999999999995pt;width:12.pt;height:6.5pt;z-index:-1887414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7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68" behindDoc="1" locked="0" layoutInCell="1" allowOverlap="1">
              <wp:simplePos x="0" y="0"/>
              <wp:positionH relativeFrom="page">
                <wp:posOffset>173990</wp:posOffset>
              </wp:positionH>
              <wp:positionV relativeFrom="page">
                <wp:posOffset>6776720</wp:posOffset>
              </wp:positionV>
              <wp:extent cx="155575" cy="79375"/>
              <wp:wrapNone/>
              <wp:docPr id="3379" name="Shape 3379"/>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05" type="#_x0000_t202" style="position:absolute;margin-left:13.699999999999999pt;margin-top:533.60000000000002pt;width:12.25pt;height:6.25pt;z-index:-1887414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70" behindDoc="1" locked="0" layoutInCell="1" allowOverlap="1">
              <wp:simplePos x="0" y="0"/>
              <wp:positionH relativeFrom="page">
                <wp:posOffset>158750</wp:posOffset>
              </wp:positionH>
              <wp:positionV relativeFrom="page">
                <wp:posOffset>6837680</wp:posOffset>
              </wp:positionV>
              <wp:extent cx="155575" cy="82550"/>
              <wp:wrapNone/>
              <wp:docPr id="3381" name="Shape 338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07" type="#_x0000_t202" style="position:absolute;margin-left:12.5pt;margin-top:538.39999999999998pt;width:12.25pt;height:6.5pt;z-index:-1887414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74" behindDoc="1" locked="0" layoutInCell="1" allowOverlap="1">
              <wp:simplePos x="0" y="0"/>
              <wp:positionH relativeFrom="page">
                <wp:posOffset>178435</wp:posOffset>
              </wp:positionH>
              <wp:positionV relativeFrom="page">
                <wp:posOffset>6782435</wp:posOffset>
              </wp:positionV>
              <wp:extent cx="152400" cy="79375"/>
              <wp:wrapNone/>
              <wp:docPr id="3386" name="Shape 3386"/>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12" type="#_x0000_t202" style="position:absolute;margin-left:14.050000000000001pt;margin-top:534.04999999999995pt;width:12.pt;height:6.25pt;z-index:-1887414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78" behindDoc="1" locked="0" layoutInCell="1" allowOverlap="1">
              <wp:simplePos x="0" y="0"/>
              <wp:positionH relativeFrom="page">
                <wp:posOffset>178435</wp:posOffset>
              </wp:positionH>
              <wp:positionV relativeFrom="page">
                <wp:posOffset>6782435</wp:posOffset>
              </wp:positionV>
              <wp:extent cx="152400" cy="79375"/>
              <wp:wrapNone/>
              <wp:docPr id="3391" name="Shape 3391"/>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17" type="#_x0000_t202" style="position:absolute;margin-left:14.050000000000001pt;margin-top:534.04999999999995pt;width:12.pt;height:6.25pt;z-index:-1887414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82" behindDoc="1" locked="0" layoutInCell="1" allowOverlap="1">
              <wp:simplePos x="0" y="0"/>
              <wp:positionH relativeFrom="page">
                <wp:posOffset>4028440</wp:posOffset>
              </wp:positionH>
              <wp:positionV relativeFrom="page">
                <wp:posOffset>6779260</wp:posOffset>
              </wp:positionV>
              <wp:extent cx="155575" cy="82550"/>
              <wp:wrapNone/>
              <wp:docPr id="3396" name="Shape 339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22" type="#_x0000_t202" style="position:absolute;margin-left:317.19999999999999pt;margin-top:533.79999999999995pt;width:12.25pt;height:6.5pt;z-index:-1887414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86" behindDoc="1" locked="0" layoutInCell="1" allowOverlap="1">
              <wp:simplePos x="0" y="0"/>
              <wp:positionH relativeFrom="page">
                <wp:posOffset>166370</wp:posOffset>
              </wp:positionH>
              <wp:positionV relativeFrom="page">
                <wp:posOffset>6773545</wp:posOffset>
              </wp:positionV>
              <wp:extent cx="155575" cy="82550"/>
              <wp:wrapNone/>
              <wp:docPr id="3401" name="Shape 340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27" type="#_x0000_t202" style="position:absolute;margin-left:13.1pt;margin-top:533.35000000000002pt;width:12.25pt;height:6.5pt;z-index:-1887414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90" behindDoc="1" locked="0" layoutInCell="1" allowOverlap="1">
              <wp:simplePos x="0" y="0"/>
              <wp:positionH relativeFrom="page">
                <wp:posOffset>166370</wp:posOffset>
              </wp:positionH>
              <wp:positionV relativeFrom="page">
                <wp:posOffset>6773545</wp:posOffset>
              </wp:positionV>
              <wp:extent cx="155575" cy="82550"/>
              <wp:wrapNone/>
              <wp:docPr id="3406" name="Shape 340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32" type="#_x0000_t202" style="position:absolute;margin-left:13.1pt;margin-top:533.35000000000002pt;width:12.25pt;height:6.5pt;z-index:-1887414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94" behindDoc="1" locked="0" layoutInCell="1" allowOverlap="1">
              <wp:simplePos x="0" y="0"/>
              <wp:positionH relativeFrom="page">
                <wp:posOffset>4025265</wp:posOffset>
              </wp:positionH>
              <wp:positionV relativeFrom="page">
                <wp:posOffset>6785610</wp:posOffset>
              </wp:positionV>
              <wp:extent cx="155575" cy="79375"/>
              <wp:wrapNone/>
              <wp:docPr id="3411" name="Shape 3411"/>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37" type="#_x0000_t202" style="position:absolute;margin-left:316.94999999999999pt;margin-top:534.29999999999995pt;width:12.25pt;height:6.25pt;z-index:-1887414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98" behindDoc="1" locked="0" layoutInCell="1" allowOverlap="1">
              <wp:simplePos x="0" y="0"/>
              <wp:positionH relativeFrom="page">
                <wp:posOffset>170815</wp:posOffset>
              </wp:positionH>
              <wp:positionV relativeFrom="page">
                <wp:posOffset>6773545</wp:posOffset>
              </wp:positionV>
              <wp:extent cx="152400" cy="82550"/>
              <wp:wrapNone/>
              <wp:docPr id="3416" name="Shape 3416"/>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42" type="#_x0000_t202" style="position:absolute;margin-left:13.449999999999999pt;margin-top:533.35000000000002pt;width:12.pt;height:6.5pt;z-index:-1887414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02" behindDoc="1" locked="0" layoutInCell="1" allowOverlap="1">
              <wp:simplePos x="0" y="0"/>
              <wp:positionH relativeFrom="page">
                <wp:posOffset>170815</wp:posOffset>
              </wp:positionH>
              <wp:positionV relativeFrom="page">
                <wp:posOffset>6773545</wp:posOffset>
              </wp:positionV>
              <wp:extent cx="152400" cy="82550"/>
              <wp:wrapNone/>
              <wp:docPr id="3421" name="Shape 3421"/>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47" type="#_x0000_t202" style="position:absolute;margin-left:13.449999999999999pt;margin-top:533.35000000000002pt;width:12.pt;height:6.5pt;z-index:-1887414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06" behindDoc="1" locked="0" layoutInCell="1" allowOverlap="1">
              <wp:simplePos x="0" y="0"/>
              <wp:positionH relativeFrom="page">
                <wp:posOffset>4025265</wp:posOffset>
              </wp:positionH>
              <wp:positionV relativeFrom="page">
                <wp:posOffset>6785610</wp:posOffset>
              </wp:positionV>
              <wp:extent cx="133985" cy="67310"/>
              <wp:wrapNone/>
              <wp:docPr id="3426" name="Shape 3426"/>
              <a:graphic xmlns:a="http://schemas.openxmlformats.org/drawingml/2006/main">
                <a:graphicData uri="http://schemas.microsoft.com/office/word/2010/wordprocessingShape">
                  <wps:wsp>
                    <wps:cNvSpPr txBox="1"/>
                    <wps:spPr>
                      <a:xfrm>
                        <a:ext cx="13398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52" type="#_x0000_t202" style="position:absolute;margin-left:316.94999999999999pt;margin-top:534.29999999999995pt;width:10.550000000000001pt;height:5.2999999999999998pt;z-index:-1887414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14" behindDoc="1" locked="0" layoutInCell="1" allowOverlap="1">
              <wp:simplePos x="0" y="0"/>
              <wp:positionH relativeFrom="page">
                <wp:posOffset>181610</wp:posOffset>
              </wp:positionH>
              <wp:positionV relativeFrom="page">
                <wp:posOffset>6773545</wp:posOffset>
              </wp:positionV>
              <wp:extent cx="152400" cy="79375"/>
              <wp:wrapNone/>
              <wp:docPr id="3437" name="Shape 3437"/>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63" type="#_x0000_t202" style="position:absolute;margin-left:14.300000000000001pt;margin-top:533.35000000000002pt;width:12.pt;height:6.25pt;z-index:-1887414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18" behindDoc="1" locked="0" layoutInCell="1" allowOverlap="1">
              <wp:simplePos x="0" y="0"/>
              <wp:positionH relativeFrom="page">
                <wp:posOffset>181610</wp:posOffset>
              </wp:positionH>
              <wp:positionV relativeFrom="page">
                <wp:posOffset>6773545</wp:posOffset>
              </wp:positionV>
              <wp:extent cx="152400" cy="79375"/>
              <wp:wrapNone/>
              <wp:docPr id="3442" name="Shape 3442"/>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68" type="#_x0000_t202" style="position:absolute;margin-left:14.300000000000001pt;margin-top:533.35000000000002pt;width:12.pt;height:6.25pt;z-index:-1887414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7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26" behindDoc="1" locked="0" layoutInCell="1" allowOverlap="1">
              <wp:simplePos x="0" y="0"/>
              <wp:positionH relativeFrom="page">
                <wp:posOffset>4023995</wp:posOffset>
              </wp:positionH>
              <wp:positionV relativeFrom="page">
                <wp:posOffset>6794500</wp:posOffset>
              </wp:positionV>
              <wp:extent cx="158750" cy="79375"/>
              <wp:wrapNone/>
              <wp:docPr id="3455" name="Shape 3455"/>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81" type="#_x0000_t202" style="position:absolute;margin-left:316.85000000000002pt;margin-top:535.pt;width:12.5pt;height:6.25pt;z-index:-1887414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30" behindDoc="1" locked="0" layoutInCell="1" allowOverlap="1">
              <wp:simplePos x="0" y="0"/>
              <wp:positionH relativeFrom="page">
                <wp:posOffset>4023995</wp:posOffset>
              </wp:positionH>
              <wp:positionV relativeFrom="page">
                <wp:posOffset>6794500</wp:posOffset>
              </wp:positionV>
              <wp:extent cx="158750" cy="79375"/>
              <wp:wrapNone/>
              <wp:docPr id="3460" name="Shape 3460"/>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86" type="#_x0000_t202" style="position:absolute;margin-left:316.85000000000002pt;margin-top:535.pt;width:12.5pt;height:6.25pt;z-index:-1887414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34" behindDoc="1" locked="0" layoutInCell="1" allowOverlap="1">
              <wp:simplePos x="0" y="0"/>
              <wp:positionH relativeFrom="page">
                <wp:posOffset>172720</wp:posOffset>
              </wp:positionH>
              <wp:positionV relativeFrom="page">
                <wp:posOffset>6776720</wp:posOffset>
              </wp:positionV>
              <wp:extent cx="152400" cy="73025"/>
              <wp:wrapNone/>
              <wp:docPr id="3465" name="Shape 3465"/>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91" type="#_x0000_t202" style="position:absolute;margin-left:13.6pt;margin-top:533.60000000000002pt;width:12.pt;height:5.75pt;z-index:-1887414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7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36" behindDoc="1" locked="0" layoutInCell="1" allowOverlap="1">
              <wp:simplePos x="0" y="0"/>
              <wp:positionH relativeFrom="page">
                <wp:posOffset>4022090</wp:posOffset>
              </wp:positionH>
              <wp:positionV relativeFrom="page">
                <wp:posOffset>6822440</wp:posOffset>
              </wp:positionV>
              <wp:extent cx="155575" cy="73025"/>
              <wp:wrapNone/>
              <wp:docPr id="3467" name="Shape 3467"/>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93" type="#_x0000_t202" style="position:absolute;margin-left:316.69999999999999pt;margin-top:537.20000000000005pt;width:12.25pt;height:5.75pt;z-index:-1887414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38" behindDoc="1" locked="0" layoutInCell="1" allowOverlap="1">
              <wp:simplePos x="0" y="0"/>
              <wp:positionH relativeFrom="page">
                <wp:posOffset>4022090</wp:posOffset>
              </wp:positionH>
              <wp:positionV relativeFrom="page">
                <wp:posOffset>6822440</wp:posOffset>
              </wp:positionV>
              <wp:extent cx="155575" cy="73025"/>
              <wp:wrapNone/>
              <wp:docPr id="3469" name="Shape 3469"/>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495" type="#_x0000_t202" style="position:absolute;margin-left:316.69999999999999pt;margin-top:537.20000000000005pt;width:12.25pt;height:5.75pt;z-index:-1887414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42" behindDoc="1" locked="0" layoutInCell="1" allowOverlap="1">
              <wp:simplePos x="0" y="0"/>
              <wp:positionH relativeFrom="page">
                <wp:posOffset>161925</wp:posOffset>
              </wp:positionH>
              <wp:positionV relativeFrom="page">
                <wp:posOffset>6770370</wp:posOffset>
              </wp:positionV>
              <wp:extent cx="158750" cy="79375"/>
              <wp:wrapNone/>
              <wp:docPr id="3474" name="Shape 3474"/>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00" type="#_x0000_t202" style="position:absolute;margin-left:12.75pt;margin-top:533.10000000000002pt;width:12.5pt;height:6.25pt;z-index:-1887414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46" behindDoc="1" locked="0" layoutInCell="1" allowOverlap="1">
              <wp:simplePos x="0" y="0"/>
              <wp:positionH relativeFrom="page">
                <wp:posOffset>168275</wp:posOffset>
              </wp:positionH>
              <wp:positionV relativeFrom="page">
                <wp:posOffset>6782435</wp:posOffset>
              </wp:positionV>
              <wp:extent cx="152400" cy="79375"/>
              <wp:wrapNone/>
              <wp:docPr id="3479" name="Shape 347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05" type="#_x0000_t202" style="position:absolute;margin-left:13.25pt;margin-top:534.04999999999995pt;width:12.pt;height:6.25pt;z-index:-1887414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50" behindDoc="1" locked="0" layoutInCell="1" allowOverlap="1">
              <wp:simplePos x="0" y="0"/>
              <wp:positionH relativeFrom="page">
                <wp:posOffset>168275</wp:posOffset>
              </wp:positionH>
              <wp:positionV relativeFrom="page">
                <wp:posOffset>6782435</wp:posOffset>
              </wp:positionV>
              <wp:extent cx="152400" cy="79375"/>
              <wp:wrapNone/>
              <wp:docPr id="3484" name="Shape 348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10" type="#_x0000_t202" style="position:absolute;margin-left:13.25pt;margin-top:534.04999999999995pt;width:12.pt;height:6.25pt;z-index:-1887414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64" behindDoc="1" locked="0" layoutInCell="1" allowOverlap="1">
              <wp:simplePos x="0" y="0"/>
              <wp:positionH relativeFrom="page">
                <wp:posOffset>178435</wp:posOffset>
              </wp:positionH>
              <wp:positionV relativeFrom="page">
                <wp:posOffset>6788785</wp:posOffset>
              </wp:positionV>
              <wp:extent cx="149225" cy="64135"/>
              <wp:wrapNone/>
              <wp:docPr id="3506" name="Shape 3506"/>
              <a:graphic xmlns:a="http://schemas.openxmlformats.org/drawingml/2006/main">
                <a:graphicData uri="http://schemas.microsoft.com/office/word/2010/wordprocessingShape">
                  <wps:wsp>
                    <wps:cNvSpPr txBox="1"/>
                    <wps:spPr>
                      <a:xfrm>
                        <a:ext cx="1492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32" type="#_x0000_t202" style="position:absolute;margin-left:14.050000000000001pt;margin-top:534.54999999999995pt;width:11.75pt;height:5.0499999999999998pt;z-index:-1887413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8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68" behindDoc="1" locked="0" layoutInCell="1" allowOverlap="1">
              <wp:simplePos x="0" y="0"/>
              <wp:positionH relativeFrom="page">
                <wp:posOffset>178435</wp:posOffset>
              </wp:positionH>
              <wp:positionV relativeFrom="page">
                <wp:posOffset>6788785</wp:posOffset>
              </wp:positionV>
              <wp:extent cx="149225" cy="64135"/>
              <wp:wrapNone/>
              <wp:docPr id="3511" name="Shape 3511"/>
              <a:graphic xmlns:a="http://schemas.openxmlformats.org/drawingml/2006/main">
                <a:graphicData uri="http://schemas.microsoft.com/office/word/2010/wordprocessingShape">
                  <wps:wsp>
                    <wps:cNvSpPr txBox="1"/>
                    <wps:spPr>
                      <a:xfrm>
                        <a:ext cx="1492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37" type="#_x0000_t202" style="position:absolute;margin-left:14.050000000000001pt;margin-top:534.54999999999995pt;width:11.75pt;height:5.0499999999999998pt;z-index:-1887413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8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72" behindDoc="1" locked="0" layoutInCell="1" allowOverlap="1">
              <wp:simplePos x="0" y="0"/>
              <wp:positionH relativeFrom="page">
                <wp:posOffset>4026535</wp:posOffset>
              </wp:positionH>
              <wp:positionV relativeFrom="page">
                <wp:posOffset>6785610</wp:posOffset>
              </wp:positionV>
              <wp:extent cx="146050" cy="60960"/>
              <wp:wrapNone/>
              <wp:docPr id="3516" name="Shape 3516"/>
              <a:graphic xmlns:a="http://schemas.openxmlformats.org/drawingml/2006/main">
                <a:graphicData uri="http://schemas.microsoft.com/office/word/2010/wordprocessingShape">
                  <wps:wsp>
                    <wps:cNvSpPr txBox="1"/>
                    <wps:spPr>
                      <a:xfrm>
                        <a:ext cx="1460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838</w:t>
                          </w:r>
                        </w:p>
                      </w:txbxContent>
                    </wps:txbx>
                    <wps:bodyPr wrap="none" lIns="0" tIns="0" rIns="0" bIns="0">
                      <a:spAutoFit/>
                    </wps:bodyPr>
                  </wps:wsp>
                </a:graphicData>
              </a:graphic>
            </wp:anchor>
          </w:drawing>
        </mc:Choice>
        <mc:Fallback>
          <w:pict>
            <v:shape id="_x0000_s4542" type="#_x0000_t202" style="position:absolute;margin-left:317.05000000000001pt;margin-top:534.29999999999995pt;width:11.5pt;height:4.7999999999999998pt;z-index:-1887413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838</w:t>
                    </w:r>
                  </w:p>
                </w:txbxContent>
              </v:textbox>
              <w10:wrap anchorx="page" anchory="page"/>
            </v:shape>
          </w:pict>
        </mc:Fallback>
      </mc:AlternateContent>
    </w:r>
  </w:p>
</w:ftr>
</file>

<file path=word/footer8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76" behindDoc="1" locked="0" layoutInCell="1" allowOverlap="1">
              <wp:simplePos x="0" y="0"/>
              <wp:positionH relativeFrom="page">
                <wp:posOffset>4026535</wp:posOffset>
              </wp:positionH>
              <wp:positionV relativeFrom="page">
                <wp:posOffset>6785610</wp:posOffset>
              </wp:positionV>
              <wp:extent cx="146050" cy="60960"/>
              <wp:wrapNone/>
              <wp:docPr id="3521" name="Shape 3521"/>
              <a:graphic xmlns:a="http://schemas.openxmlformats.org/drawingml/2006/main">
                <a:graphicData uri="http://schemas.microsoft.com/office/word/2010/wordprocessingShape">
                  <wps:wsp>
                    <wps:cNvSpPr txBox="1"/>
                    <wps:spPr>
                      <a:xfrm>
                        <a:ext cx="1460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838</w:t>
                          </w:r>
                        </w:p>
                      </w:txbxContent>
                    </wps:txbx>
                    <wps:bodyPr wrap="none" lIns="0" tIns="0" rIns="0" bIns="0">
                      <a:spAutoFit/>
                    </wps:bodyPr>
                  </wps:wsp>
                </a:graphicData>
              </a:graphic>
            </wp:anchor>
          </w:drawing>
        </mc:Choice>
        <mc:Fallback>
          <w:pict>
            <v:shape id="_x0000_s4547" type="#_x0000_t202" style="position:absolute;margin-left:317.05000000000001pt;margin-top:534.29999999999995pt;width:11.5pt;height:4.7999999999999998pt;z-index:-1887413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838</w:t>
                    </w:r>
                  </w:p>
                </w:txbxContent>
              </v:textbox>
              <w10:wrap anchorx="page" anchory="page"/>
            </v:shape>
          </w:pict>
        </mc:Fallback>
      </mc:AlternateContent>
    </w:r>
  </w:p>
</w:ftr>
</file>

<file path=word/footer8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80" behindDoc="1" locked="0" layoutInCell="1" allowOverlap="1">
              <wp:simplePos x="0" y="0"/>
              <wp:positionH relativeFrom="page">
                <wp:posOffset>178435</wp:posOffset>
              </wp:positionH>
              <wp:positionV relativeFrom="page">
                <wp:posOffset>6788785</wp:posOffset>
              </wp:positionV>
              <wp:extent cx="149225" cy="64135"/>
              <wp:wrapNone/>
              <wp:docPr id="3526" name="Shape 3526"/>
              <a:graphic xmlns:a="http://schemas.openxmlformats.org/drawingml/2006/main">
                <a:graphicData uri="http://schemas.microsoft.com/office/word/2010/wordprocessingShape">
                  <wps:wsp>
                    <wps:cNvSpPr txBox="1"/>
                    <wps:spPr>
                      <a:xfrm>
                        <a:ext cx="1492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52" type="#_x0000_t202" style="position:absolute;margin-left:14.050000000000001pt;margin-top:534.54999999999995pt;width:11.75pt;height:5.0499999999999998pt;z-index:-1887413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8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84" behindDoc="1" locked="0" layoutInCell="1" allowOverlap="1">
              <wp:simplePos x="0" y="0"/>
              <wp:positionH relativeFrom="page">
                <wp:posOffset>178435</wp:posOffset>
              </wp:positionH>
              <wp:positionV relativeFrom="page">
                <wp:posOffset>6788785</wp:posOffset>
              </wp:positionV>
              <wp:extent cx="149225" cy="64135"/>
              <wp:wrapNone/>
              <wp:docPr id="3531" name="Shape 3531"/>
              <a:graphic xmlns:a="http://schemas.openxmlformats.org/drawingml/2006/main">
                <a:graphicData uri="http://schemas.microsoft.com/office/word/2010/wordprocessingShape">
                  <wps:wsp>
                    <wps:cNvSpPr txBox="1"/>
                    <wps:spPr>
                      <a:xfrm>
                        <a:ext cx="1492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57" type="#_x0000_t202" style="position:absolute;margin-left:14.050000000000001pt;margin-top:534.54999999999995pt;width:11.75pt;height:5.0499999999999998pt;z-index:-1887413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Times New Roman" w:eastAsia="Times New Roman" w:hAnsi="Times New Roman" w:cs="Times New Roman"/>
                          <w:color w:val="000000"/>
                          <w:spacing w:val="0"/>
                          <w:w w:val="100"/>
                          <w:position w:val="0"/>
                          <w:sz w:val="15"/>
                          <w:szCs w:val="15"/>
                          <w:shd w:val="clear" w:color="auto" w:fill="auto"/>
                          <w:lang w:val="hr-HR" w:eastAsia="hr-HR" w:bidi="hr-HR"/>
                        </w:rPr>
                        <w:t>#</w:t>
                      </w:r>
                    </w:fldSimple>
                  </w:p>
                </w:txbxContent>
              </v:textbox>
              <w10:wrap anchorx="page" anchory="page"/>
            </v:shape>
          </w:pict>
        </mc:Fallback>
      </mc:AlternateContent>
    </w:r>
  </w:p>
</w:ftr>
</file>

<file path=word/footer8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92" behindDoc="1" locked="0" layoutInCell="1" allowOverlap="1">
              <wp:simplePos x="0" y="0"/>
              <wp:positionH relativeFrom="page">
                <wp:posOffset>4028440</wp:posOffset>
              </wp:positionH>
              <wp:positionV relativeFrom="page">
                <wp:posOffset>6791960</wp:posOffset>
              </wp:positionV>
              <wp:extent cx="152400" cy="82550"/>
              <wp:wrapNone/>
              <wp:docPr id="3544" name="Shape 3544"/>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70" type="#_x0000_t202" style="position:absolute;margin-left:317.19999999999999pt;margin-top:534.79999999999995pt;width:12.pt;height:6.5pt;z-index:-1887413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96" behindDoc="1" locked="0" layoutInCell="1" allowOverlap="1">
              <wp:simplePos x="0" y="0"/>
              <wp:positionH relativeFrom="page">
                <wp:posOffset>177165</wp:posOffset>
              </wp:positionH>
              <wp:positionV relativeFrom="page">
                <wp:posOffset>6779260</wp:posOffset>
              </wp:positionV>
              <wp:extent cx="152400" cy="79375"/>
              <wp:wrapNone/>
              <wp:docPr id="3549" name="Shape 354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75" type="#_x0000_t202" style="position:absolute;margin-left:13.949999999999999pt;margin-top:533.79999999999995pt;width:12.pt;height:6.25pt;z-index:-1887413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04" behindDoc="1" locked="0" layoutInCell="1" allowOverlap="1">
              <wp:simplePos x="0" y="0"/>
              <wp:positionH relativeFrom="page">
                <wp:posOffset>178435</wp:posOffset>
              </wp:positionH>
              <wp:positionV relativeFrom="page">
                <wp:posOffset>6828790</wp:posOffset>
              </wp:positionV>
              <wp:extent cx="149225" cy="67310"/>
              <wp:wrapNone/>
              <wp:docPr id="3560" name="Shape 3560"/>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86" type="#_x0000_t202" style="position:absolute;margin-left:14.050000000000001pt;margin-top:537.70000000000005pt;width:11.75pt;height:5.2999999999999998pt;z-index:-1887413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08" behindDoc="1" locked="0" layoutInCell="1" allowOverlap="1">
              <wp:simplePos x="0" y="0"/>
              <wp:positionH relativeFrom="page">
                <wp:posOffset>178435</wp:posOffset>
              </wp:positionH>
              <wp:positionV relativeFrom="page">
                <wp:posOffset>6828790</wp:posOffset>
              </wp:positionV>
              <wp:extent cx="149225" cy="67310"/>
              <wp:wrapNone/>
              <wp:docPr id="3565" name="Shape 3565"/>
              <a:graphic xmlns:a="http://schemas.openxmlformats.org/drawingml/2006/main">
                <a:graphicData uri="http://schemas.microsoft.com/office/word/2010/wordprocessingShape">
                  <wps:wsp>
                    <wps:cNvSpPr txBox="1"/>
                    <wps:spPr>
                      <a:xfrm>
                        <a:ext cx="149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591" type="#_x0000_t202" style="position:absolute;margin-left:14.050000000000001pt;margin-top:537.70000000000005pt;width:11.75pt;height:5.2999999999999998pt;z-index:-1887413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16" behindDoc="1" locked="0" layoutInCell="1" allowOverlap="1">
              <wp:simplePos x="0" y="0"/>
              <wp:positionH relativeFrom="page">
                <wp:posOffset>165100</wp:posOffset>
              </wp:positionH>
              <wp:positionV relativeFrom="page">
                <wp:posOffset>6764020</wp:posOffset>
              </wp:positionV>
              <wp:extent cx="158750" cy="79375"/>
              <wp:wrapNone/>
              <wp:docPr id="3576" name="Shape 3576"/>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02" type="#_x0000_t202" style="position:absolute;margin-left:13.pt;margin-top:532.60000000000002pt;width:12.5pt;height:6.25pt;z-index:-1887413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20" behindDoc="1" locked="0" layoutInCell="1" allowOverlap="1">
              <wp:simplePos x="0" y="0"/>
              <wp:positionH relativeFrom="page">
                <wp:posOffset>165100</wp:posOffset>
              </wp:positionH>
              <wp:positionV relativeFrom="page">
                <wp:posOffset>6764020</wp:posOffset>
              </wp:positionV>
              <wp:extent cx="158750" cy="79375"/>
              <wp:wrapNone/>
              <wp:docPr id="3581" name="Shape 3581"/>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07" type="#_x0000_t202" style="position:absolute;margin-left:13.pt;margin-top:532.60000000000002pt;width:12.5pt;height:6.25pt;z-index:-1887413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28" behindDoc="1" locked="0" layoutInCell="1" allowOverlap="1">
              <wp:simplePos x="0" y="0"/>
              <wp:positionH relativeFrom="page">
                <wp:posOffset>161925</wp:posOffset>
              </wp:positionH>
              <wp:positionV relativeFrom="page">
                <wp:posOffset>6773545</wp:posOffset>
              </wp:positionV>
              <wp:extent cx="155575" cy="82550"/>
              <wp:wrapNone/>
              <wp:docPr id="3592" name="Shape 3592"/>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4618" type="#_x0000_t202" style="position:absolute;margin-left:12.75pt;margin-top:533.35000000000002pt;width:12.25pt;height:6.5pt;z-index:-1887413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8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32" behindDoc="1" locked="0" layoutInCell="1" allowOverlap="1">
              <wp:simplePos x="0" y="0"/>
              <wp:positionH relativeFrom="page">
                <wp:posOffset>161925</wp:posOffset>
              </wp:positionH>
              <wp:positionV relativeFrom="page">
                <wp:posOffset>6773545</wp:posOffset>
              </wp:positionV>
              <wp:extent cx="155575" cy="82550"/>
              <wp:wrapNone/>
              <wp:docPr id="3597" name="Shape 3597"/>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4623" type="#_x0000_t202" style="position:absolute;margin-left:12.75pt;margin-top:533.35000000000002pt;width:12.25pt;height:6.5pt;z-index:-1887413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8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40" behindDoc="1" locked="0" layoutInCell="1" allowOverlap="1">
              <wp:simplePos x="0" y="0"/>
              <wp:positionH relativeFrom="page">
                <wp:posOffset>4029710</wp:posOffset>
              </wp:positionH>
              <wp:positionV relativeFrom="page">
                <wp:posOffset>6785610</wp:posOffset>
              </wp:positionV>
              <wp:extent cx="152400" cy="73025"/>
              <wp:wrapNone/>
              <wp:docPr id="3610" name="Shape 3610"/>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36" type="#_x0000_t202" style="position:absolute;margin-left:317.30000000000001pt;margin-top:534.29999999999995pt;width:12.pt;height:5.75pt;z-index:-1887413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44" behindDoc="1" locked="0" layoutInCell="1" allowOverlap="1">
              <wp:simplePos x="0" y="0"/>
              <wp:positionH relativeFrom="page">
                <wp:posOffset>4029710</wp:posOffset>
              </wp:positionH>
              <wp:positionV relativeFrom="page">
                <wp:posOffset>6785610</wp:posOffset>
              </wp:positionV>
              <wp:extent cx="152400" cy="73025"/>
              <wp:wrapNone/>
              <wp:docPr id="3615" name="Shape 3615"/>
              <a:graphic xmlns:a="http://schemas.openxmlformats.org/drawingml/2006/main">
                <a:graphicData uri="http://schemas.microsoft.com/office/word/2010/wordprocessingShape">
                  <wps:wsp>
                    <wps:cNvSpPr txBox="1"/>
                    <wps:spPr>
                      <a:xfrm>
                        <a:ext cx="15240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41" type="#_x0000_t202" style="position:absolute;margin-left:317.30000000000001pt;margin-top:534.29999999999995pt;width:12.pt;height:5.75pt;z-index:-1887413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48" behindDoc="1" locked="0" layoutInCell="1" allowOverlap="1">
              <wp:simplePos x="0" y="0"/>
              <wp:positionH relativeFrom="page">
                <wp:posOffset>178435</wp:posOffset>
              </wp:positionH>
              <wp:positionV relativeFrom="page">
                <wp:posOffset>6828790</wp:posOffset>
              </wp:positionV>
              <wp:extent cx="152400" cy="79375"/>
              <wp:wrapNone/>
              <wp:docPr id="3620" name="Shape 3620"/>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46" type="#_x0000_t202" style="position:absolute;margin-left:14.050000000000001pt;margin-top:537.70000000000005pt;width:12.pt;height:6.25pt;z-index:-1887413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52" behindDoc="1" locked="0" layoutInCell="1" allowOverlap="1">
              <wp:simplePos x="0" y="0"/>
              <wp:positionH relativeFrom="page">
                <wp:posOffset>4011295</wp:posOffset>
              </wp:positionH>
              <wp:positionV relativeFrom="page">
                <wp:posOffset>6788785</wp:posOffset>
              </wp:positionV>
              <wp:extent cx="146050" cy="82550"/>
              <wp:wrapNone/>
              <wp:docPr id="3625" name="Shape 3625"/>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51" type="#_x0000_t202" style="position:absolute;margin-left:315.85000000000002pt;margin-top:534.54999999999995pt;width:11.5pt;height:6.5pt;z-index:-1887413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56" behindDoc="1" locked="0" layoutInCell="1" allowOverlap="1">
              <wp:simplePos x="0" y="0"/>
              <wp:positionH relativeFrom="page">
                <wp:posOffset>4011295</wp:posOffset>
              </wp:positionH>
              <wp:positionV relativeFrom="page">
                <wp:posOffset>6788785</wp:posOffset>
              </wp:positionV>
              <wp:extent cx="146050" cy="82550"/>
              <wp:wrapNone/>
              <wp:docPr id="3630" name="Shape 3630"/>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56" type="#_x0000_t202" style="position:absolute;margin-left:315.85000000000002pt;margin-top:534.54999999999995pt;width:11.5pt;height:6.5pt;z-index:-1887412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60" behindDoc="1" locked="0" layoutInCell="1" allowOverlap="1">
              <wp:simplePos x="0" y="0"/>
              <wp:positionH relativeFrom="page">
                <wp:posOffset>168275</wp:posOffset>
              </wp:positionH>
              <wp:positionV relativeFrom="page">
                <wp:posOffset>6770370</wp:posOffset>
              </wp:positionV>
              <wp:extent cx="149225" cy="85090"/>
              <wp:wrapNone/>
              <wp:docPr id="3635" name="Shape 3635"/>
              <a:graphic xmlns:a="http://schemas.openxmlformats.org/drawingml/2006/main">
                <a:graphicData uri="http://schemas.microsoft.com/office/word/2010/wordprocessingShape">
                  <wps:wsp>
                    <wps:cNvSpPr txBox="1"/>
                    <wps:spPr>
                      <a:xfrm>
                        <a:ext cx="14922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61" type="#_x0000_t202" style="position:absolute;margin-left:13.25pt;margin-top:533.10000000000002pt;width:11.75pt;height:6.7000000000000002pt;z-index:-1887412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64" behindDoc="1" locked="0" layoutInCell="1" allowOverlap="1">
              <wp:simplePos x="0" y="0"/>
              <wp:positionH relativeFrom="page">
                <wp:posOffset>172720</wp:posOffset>
              </wp:positionH>
              <wp:positionV relativeFrom="page">
                <wp:posOffset>6767195</wp:posOffset>
              </wp:positionV>
              <wp:extent cx="155575" cy="79375"/>
              <wp:wrapNone/>
              <wp:docPr id="3640" name="Shape 3640"/>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4666" type="#_x0000_t202" style="position:absolute;margin-left:13.6pt;margin-top:532.85000000000002pt;width:12.25pt;height:6.25pt;z-index:-1887412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8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68" behindDoc="1" locked="0" layoutInCell="1" allowOverlap="1">
              <wp:simplePos x="0" y="0"/>
              <wp:positionH relativeFrom="page">
                <wp:posOffset>172720</wp:posOffset>
              </wp:positionH>
              <wp:positionV relativeFrom="page">
                <wp:posOffset>6767195</wp:posOffset>
              </wp:positionV>
              <wp:extent cx="155575" cy="79375"/>
              <wp:wrapNone/>
              <wp:docPr id="3645" name="Shape 3645"/>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wps:txbx>
                    <wps:bodyPr wrap="none" lIns="0" tIns="0" rIns="0" bIns="0">
                      <a:spAutoFit/>
                    </wps:bodyPr>
                  </wps:wsp>
                </a:graphicData>
              </a:graphic>
            </wp:anchor>
          </w:drawing>
        </mc:Choice>
        <mc:Fallback>
          <w:pict>
            <v:shape id="_x0000_s4671" type="#_x0000_t202" style="position:absolute;margin-left:13.6pt;margin-top:532.85000000000002pt;width:12.25pt;height:6.25pt;z-index:-1887412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en-US" w:eastAsia="en-US" w:bidi="en-US"/>
                        </w:rPr>
                        <w:t>#</w:t>
                      </w:r>
                    </w:fldSimple>
                  </w:p>
                </w:txbxContent>
              </v:textbox>
              <w10:wrap anchorx="page" anchory="page"/>
            </v:shape>
          </w:pict>
        </mc:Fallback>
      </mc:AlternateContent>
    </w:r>
  </w:p>
</w:ftr>
</file>

<file path=word/footer8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72" behindDoc="1" locked="0" layoutInCell="1" allowOverlap="1">
              <wp:simplePos x="0" y="0"/>
              <wp:positionH relativeFrom="page">
                <wp:posOffset>175260</wp:posOffset>
              </wp:positionH>
              <wp:positionV relativeFrom="page">
                <wp:posOffset>6766560</wp:posOffset>
              </wp:positionV>
              <wp:extent cx="152400" cy="85090"/>
              <wp:wrapNone/>
              <wp:docPr id="3650" name="Shape 3650"/>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76" type="#_x0000_t202" style="position:absolute;margin-left:13.800000000000001pt;margin-top:532.79999999999995pt;width:12.pt;height:6.7000000000000002pt;z-index:-1887412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76" behindDoc="1" locked="0" layoutInCell="1" allowOverlap="1">
              <wp:simplePos x="0" y="0"/>
              <wp:positionH relativeFrom="page">
                <wp:posOffset>175260</wp:posOffset>
              </wp:positionH>
              <wp:positionV relativeFrom="page">
                <wp:posOffset>6766560</wp:posOffset>
              </wp:positionV>
              <wp:extent cx="152400" cy="85090"/>
              <wp:wrapNone/>
              <wp:docPr id="3655" name="Shape 3655"/>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81" type="#_x0000_t202" style="position:absolute;margin-left:13.800000000000001pt;margin-top:532.79999999999995pt;width:12.pt;height:6.7000000000000002pt;z-index:-1887412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78" behindDoc="1" locked="0" layoutInCell="1" allowOverlap="1">
              <wp:simplePos x="0" y="0"/>
              <wp:positionH relativeFrom="page">
                <wp:posOffset>4026535</wp:posOffset>
              </wp:positionH>
              <wp:positionV relativeFrom="page">
                <wp:posOffset>6779260</wp:posOffset>
              </wp:positionV>
              <wp:extent cx="155575" cy="79375"/>
              <wp:wrapNone/>
              <wp:docPr id="3657" name="Shape 3657"/>
              <a:graphic xmlns:a="http://schemas.openxmlformats.org/drawingml/2006/main">
                <a:graphicData uri="http://schemas.microsoft.com/office/word/2010/wordprocessingShape">
                  <wps:wsp>
                    <wps:cNvSpPr txBox="1"/>
                    <wps:spPr>
                      <a:xfrm>
                        <a:ext cx="155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83" type="#_x0000_t202" style="position:absolute;margin-left:317.05000000000001pt;margin-top:533.79999999999995pt;width:12.25pt;height:6.25pt;z-index:-1887412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fldSimple w:instr=" PAGE \* MERGEFORMAT ">
                      <w:r>
                        <w:rPr>
                          <w:b/>
                          <w:bCs/>
                          <w:color w:val="000000"/>
                          <w:spacing w:val="0"/>
                          <w:w w:val="100"/>
                          <w:position w:val="0"/>
                          <w:sz w:val="12"/>
                          <w:szCs w:val="12"/>
                          <w:shd w:val="clear" w:color="auto" w:fill="auto"/>
                          <w:lang w:val="hr-HR" w:eastAsia="hr-HR" w:bidi="hr-HR"/>
                        </w:rPr>
                        <w:t>#</w:t>
                      </w:r>
                    </w:fldSimple>
                  </w:p>
                </w:txbxContent>
              </v:textbox>
              <w10:wrap anchorx="page" anchory="page"/>
            </v:shape>
          </w:pict>
        </mc:Fallback>
      </mc:AlternateContent>
    </w:r>
  </w:p>
</w:ftr>
</file>

<file path=word/footer8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82" behindDoc="1" locked="0" layoutInCell="1" allowOverlap="1">
              <wp:simplePos x="0" y="0"/>
              <wp:positionH relativeFrom="page">
                <wp:posOffset>168910</wp:posOffset>
              </wp:positionH>
              <wp:positionV relativeFrom="page">
                <wp:posOffset>6764020</wp:posOffset>
              </wp:positionV>
              <wp:extent cx="158750" cy="82550"/>
              <wp:wrapNone/>
              <wp:docPr id="3662" name="Shape 3662"/>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88" type="#_x0000_t202" style="position:absolute;margin-left:13.300000000000001pt;margin-top:532.60000000000002pt;width:12.5pt;height:6.5pt;z-index:-1887412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86" behindDoc="1" locked="0" layoutInCell="1" allowOverlap="1">
              <wp:simplePos x="0" y="0"/>
              <wp:positionH relativeFrom="page">
                <wp:posOffset>168910</wp:posOffset>
              </wp:positionH>
              <wp:positionV relativeFrom="page">
                <wp:posOffset>6764020</wp:posOffset>
              </wp:positionV>
              <wp:extent cx="158750" cy="82550"/>
              <wp:wrapNone/>
              <wp:docPr id="3667" name="Shape 3667"/>
              <a:graphic xmlns:a="http://schemas.openxmlformats.org/drawingml/2006/main">
                <a:graphicData uri="http://schemas.microsoft.com/office/word/2010/wordprocessingShape">
                  <wps:wsp>
                    <wps:cNvSpPr txBox="1"/>
                    <wps:spPr>
                      <a:xfrm>
                        <a:ext cx="1587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93" type="#_x0000_t202" style="position:absolute;margin-left:13.300000000000001pt;margin-top:532.60000000000002pt;width:12.5pt;height:6.5pt;z-index:-1887412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90" behindDoc="1" locked="0" layoutInCell="1" allowOverlap="1">
              <wp:simplePos x="0" y="0"/>
              <wp:positionH relativeFrom="page">
                <wp:posOffset>4018915</wp:posOffset>
              </wp:positionH>
              <wp:positionV relativeFrom="page">
                <wp:posOffset>6779260</wp:posOffset>
              </wp:positionV>
              <wp:extent cx="149225" cy="79375"/>
              <wp:wrapNone/>
              <wp:docPr id="3672" name="Shape 3672"/>
              <a:graphic xmlns:a="http://schemas.openxmlformats.org/drawingml/2006/main">
                <a:graphicData uri="http://schemas.microsoft.com/office/word/2010/wordprocessingShape">
                  <wps:wsp>
                    <wps:cNvSpPr txBox="1"/>
                    <wps:spPr>
                      <a:xfrm>
                        <a:ext cx="149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698" type="#_x0000_t202" style="position:absolute;margin-left:316.44999999999999pt;margin-top:533.79999999999995pt;width:11.75pt;height:6.25pt;z-index:-1887412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98" behindDoc="1" locked="0" layoutInCell="1" allowOverlap="1">
              <wp:simplePos x="0" y="0"/>
              <wp:positionH relativeFrom="page">
                <wp:posOffset>165735</wp:posOffset>
              </wp:positionH>
              <wp:positionV relativeFrom="page">
                <wp:posOffset>6781800</wp:posOffset>
              </wp:positionV>
              <wp:extent cx="155575" cy="82550"/>
              <wp:wrapNone/>
              <wp:docPr id="3683" name="Shape 3683"/>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09" type="#_x0000_t202" style="position:absolute;margin-left:13.050000000000001pt;margin-top:534.pt;width:12.25pt;height:6.5pt;z-index:-1887412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02" behindDoc="1" locked="0" layoutInCell="1" allowOverlap="1">
              <wp:simplePos x="0" y="0"/>
              <wp:positionH relativeFrom="page">
                <wp:posOffset>165735</wp:posOffset>
              </wp:positionH>
              <wp:positionV relativeFrom="page">
                <wp:posOffset>6781800</wp:posOffset>
              </wp:positionV>
              <wp:extent cx="155575" cy="82550"/>
              <wp:wrapNone/>
              <wp:docPr id="3688" name="Shape 3688"/>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14" type="#_x0000_t202" style="position:absolute;margin-left:13.050000000000001pt;margin-top:534.pt;width:12.25pt;height:6.5pt;z-index:-1887412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10" behindDoc="1" locked="0" layoutInCell="1" allowOverlap="1">
              <wp:simplePos x="0" y="0"/>
              <wp:positionH relativeFrom="page">
                <wp:posOffset>4024630</wp:posOffset>
              </wp:positionH>
              <wp:positionV relativeFrom="page">
                <wp:posOffset>6797040</wp:posOffset>
              </wp:positionV>
              <wp:extent cx="137160" cy="76200"/>
              <wp:wrapNone/>
              <wp:docPr id="3699" name="Shape 3699"/>
              <a:graphic xmlns:a="http://schemas.openxmlformats.org/drawingml/2006/main">
                <a:graphicData uri="http://schemas.microsoft.com/office/word/2010/wordprocessingShape">
                  <wps:wsp>
                    <wps:cNvSpPr txBox="1"/>
                    <wps:spPr>
                      <a:xfrm>
                        <a:ext cx="13716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25" type="#_x0000_t202" style="position:absolute;margin-left:316.89999999999998pt;margin-top:535.20000000000005pt;width:10.800000000000001pt;height:6.pt;z-index:-1887412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14" behindDoc="1" locked="0" layoutInCell="1" allowOverlap="1">
              <wp:simplePos x="0" y="0"/>
              <wp:positionH relativeFrom="page">
                <wp:posOffset>4024630</wp:posOffset>
              </wp:positionH>
              <wp:positionV relativeFrom="page">
                <wp:posOffset>6797040</wp:posOffset>
              </wp:positionV>
              <wp:extent cx="137160" cy="76200"/>
              <wp:wrapNone/>
              <wp:docPr id="3704" name="Shape 3704"/>
              <a:graphic xmlns:a="http://schemas.openxmlformats.org/drawingml/2006/main">
                <a:graphicData uri="http://schemas.microsoft.com/office/word/2010/wordprocessingShape">
                  <wps:wsp>
                    <wps:cNvSpPr txBox="1"/>
                    <wps:spPr>
                      <a:xfrm>
                        <a:ext cx="13716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30" type="#_x0000_t202" style="position:absolute;margin-left:316.89999999999998pt;margin-top:535.20000000000005pt;width:10.800000000000001pt;height:6.pt;z-index:-1887412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18" behindDoc="1" locked="0" layoutInCell="1" allowOverlap="1">
              <wp:simplePos x="0" y="0"/>
              <wp:positionH relativeFrom="page">
                <wp:posOffset>168910</wp:posOffset>
              </wp:positionH>
              <wp:positionV relativeFrom="page">
                <wp:posOffset>6788150</wp:posOffset>
              </wp:positionV>
              <wp:extent cx="155575" cy="85090"/>
              <wp:wrapNone/>
              <wp:docPr id="3709" name="Shape 3709"/>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35" type="#_x0000_t202" style="position:absolute;margin-left:13.300000000000001pt;margin-top:534.5pt;width:12.25pt;height:6.7000000000000002pt;z-index:-1887412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22" behindDoc="1" locked="0" layoutInCell="1" allowOverlap="1">
              <wp:simplePos x="0" y="0"/>
              <wp:positionH relativeFrom="page">
                <wp:posOffset>173355</wp:posOffset>
              </wp:positionH>
              <wp:positionV relativeFrom="page">
                <wp:posOffset>6794500</wp:posOffset>
              </wp:positionV>
              <wp:extent cx="152400" cy="79375"/>
              <wp:wrapNone/>
              <wp:docPr id="3714" name="Shape 3714"/>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40" type="#_x0000_t202" style="position:absolute;margin-left:13.65pt;margin-top:535.pt;width:12.pt;height:6.25pt;z-index:-1887412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26" behindDoc="1" locked="0" layoutInCell="1" allowOverlap="1">
              <wp:simplePos x="0" y="0"/>
              <wp:positionH relativeFrom="page">
                <wp:posOffset>173355</wp:posOffset>
              </wp:positionH>
              <wp:positionV relativeFrom="page">
                <wp:posOffset>6794500</wp:posOffset>
              </wp:positionV>
              <wp:extent cx="152400" cy="79375"/>
              <wp:wrapNone/>
              <wp:docPr id="3719" name="Shape 3719"/>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45" type="#_x0000_t202" style="position:absolute;margin-left:13.65pt;margin-top:535.pt;width:12.pt;height:6.25pt;z-index:-1887412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34" behindDoc="1" locked="0" layoutInCell="1" allowOverlap="1">
              <wp:simplePos x="0" y="0"/>
              <wp:positionH relativeFrom="page">
                <wp:posOffset>173355</wp:posOffset>
              </wp:positionH>
              <wp:positionV relativeFrom="page">
                <wp:posOffset>6794500</wp:posOffset>
              </wp:positionV>
              <wp:extent cx="152400" cy="79375"/>
              <wp:wrapNone/>
              <wp:docPr id="3730" name="Shape 3730"/>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56" type="#_x0000_t202" style="position:absolute;margin-left:13.65pt;margin-top:535.pt;width:12.pt;height:6.25pt;z-index:-1887412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38" behindDoc="1" locked="0" layoutInCell="1" allowOverlap="1">
              <wp:simplePos x="0" y="0"/>
              <wp:positionH relativeFrom="page">
                <wp:posOffset>173355</wp:posOffset>
              </wp:positionH>
              <wp:positionV relativeFrom="page">
                <wp:posOffset>6794500</wp:posOffset>
              </wp:positionV>
              <wp:extent cx="152400" cy="79375"/>
              <wp:wrapNone/>
              <wp:docPr id="3735" name="Shape 3735"/>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61" type="#_x0000_t202" style="position:absolute;margin-left:13.65pt;margin-top:535.pt;width:12.pt;height:6.25pt;z-index:-1887412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46" behindDoc="1" locked="0" layoutInCell="1" allowOverlap="1">
              <wp:simplePos x="0" y="0"/>
              <wp:positionH relativeFrom="page">
                <wp:posOffset>4020185</wp:posOffset>
              </wp:positionH>
              <wp:positionV relativeFrom="page">
                <wp:posOffset>6776085</wp:posOffset>
              </wp:positionV>
              <wp:extent cx="155575" cy="82550"/>
              <wp:wrapNone/>
              <wp:docPr id="3746" name="Shape 374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72" type="#_x0000_t202" style="position:absolute;margin-left:316.55000000000001pt;margin-top:533.54999999999995pt;width:12.25pt;height:6.5pt;z-index:-1887412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50" behindDoc="1" locked="0" layoutInCell="1" allowOverlap="1">
              <wp:simplePos x="0" y="0"/>
              <wp:positionH relativeFrom="page">
                <wp:posOffset>173355</wp:posOffset>
              </wp:positionH>
              <wp:positionV relativeFrom="page">
                <wp:posOffset>6794500</wp:posOffset>
              </wp:positionV>
              <wp:extent cx="152400" cy="79375"/>
              <wp:wrapNone/>
              <wp:docPr id="3751" name="Shape 3751"/>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77" type="#_x0000_t202" style="position:absolute;margin-left:13.65pt;margin-top:535.pt;width:12.pt;height:6.25pt;z-index:-1887412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54" behindDoc="1" locked="0" layoutInCell="1" allowOverlap="1">
              <wp:simplePos x="0" y="0"/>
              <wp:positionH relativeFrom="page">
                <wp:posOffset>168910</wp:posOffset>
              </wp:positionH>
              <wp:positionV relativeFrom="page">
                <wp:posOffset>6776085</wp:posOffset>
              </wp:positionV>
              <wp:extent cx="155575" cy="82550"/>
              <wp:wrapNone/>
              <wp:docPr id="3756" name="Shape 375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82" type="#_x0000_t202" style="position:absolute;margin-left:13.300000000000001pt;margin-top:533.54999999999995pt;width:12.25pt;height:6.5pt;z-index:-1887411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58" behindDoc="1" locked="0" layoutInCell="1" allowOverlap="1">
              <wp:simplePos x="0" y="0"/>
              <wp:positionH relativeFrom="page">
                <wp:posOffset>168910</wp:posOffset>
              </wp:positionH>
              <wp:positionV relativeFrom="page">
                <wp:posOffset>6776085</wp:posOffset>
              </wp:positionV>
              <wp:extent cx="155575" cy="82550"/>
              <wp:wrapNone/>
              <wp:docPr id="3761" name="Shape 376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87" type="#_x0000_t202" style="position:absolute;margin-left:13.300000000000001pt;margin-top:533.54999999999995pt;width:12.25pt;height:6.5pt;z-index:-1887411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62" behindDoc="1" locked="0" layoutInCell="1" allowOverlap="1">
              <wp:simplePos x="0" y="0"/>
              <wp:positionH relativeFrom="page">
                <wp:posOffset>4034155</wp:posOffset>
              </wp:positionH>
              <wp:positionV relativeFrom="page">
                <wp:posOffset>6772910</wp:posOffset>
              </wp:positionV>
              <wp:extent cx="152400" cy="82550"/>
              <wp:wrapNone/>
              <wp:docPr id="3766" name="Shape 3766"/>
              <a:graphic xmlns:a="http://schemas.openxmlformats.org/drawingml/2006/main">
                <a:graphicData uri="http://schemas.microsoft.com/office/word/2010/wordprocessingShape">
                  <wps:wsp>
                    <wps:cNvSpPr txBox="1"/>
                    <wps:spPr>
                      <a:xfrm>
                        <a:ext cx="15240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792" type="#_x0000_t202" style="position:absolute;margin-left:317.64999999999998pt;margin-top:533.29999999999995pt;width:12.pt;height:6.5pt;z-index:-1887411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72" behindDoc="1" locked="0" layoutInCell="1" allowOverlap="1">
              <wp:simplePos x="0" y="0"/>
              <wp:positionH relativeFrom="page">
                <wp:posOffset>135890</wp:posOffset>
              </wp:positionH>
              <wp:positionV relativeFrom="page">
                <wp:posOffset>6703060</wp:posOffset>
              </wp:positionV>
              <wp:extent cx="152400" cy="76200"/>
              <wp:wrapNone/>
              <wp:docPr id="3779" name="Shape 3779"/>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05" type="#_x0000_t202" style="position:absolute;margin-left:10.699999999999999pt;margin-top:527.79999999999995pt;width:12.pt;height:6.pt;z-index:-1887411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78" behindDoc="1" locked="0" layoutInCell="1" allowOverlap="1">
              <wp:simplePos x="0" y="0"/>
              <wp:positionH relativeFrom="page">
                <wp:posOffset>135890</wp:posOffset>
              </wp:positionH>
              <wp:positionV relativeFrom="page">
                <wp:posOffset>6703060</wp:posOffset>
              </wp:positionV>
              <wp:extent cx="152400" cy="76200"/>
              <wp:wrapNone/>
              <wp:docPr id="3786" name="Shape 3786"/>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12" type="#_x0000_t202" style="position:absolute;margin-left:10.699999999999999pt;margin-top:527.79999999999995pt;width:12.pt;height:6.pt;z-index:-1887411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90" behindDoc="1" locked="0" layoutInCell="1" allowOverlap="1">
              <wp:simplePos x="0" y="0"/>
              <wp:positionH relativeFrom="page">
                <wp:posOffset>3992245</wp:posOffset>
              </wp:positionH>
              <wp:positionV relativeFrom="page">
                <wp:posOffset>6809740</wp:posOffset>
              </wp:positionV>
              <wp:extent cx="155575" cy="82550"/>
              <wp:wrapNone/>
              <wp:docPr id="3801" name="Shape 380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27" type="#_x0000_t202" style="position:absolute;margin-left:314.35000000000002pt;margin-top:536.20000000000005pt;width:12.25pt;height:6.5pt;z-index:-1887411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94" behindDoc="1" locked="0" layoutInCell="1" allowOverlap="1">
              <wp:simplePos x="0" y="0"/>
              <wp:positionH relativeFrom="page">
                <wp:posOffset>158750</wp:posOffset>
              </wp:positionH>
              <wp:positionV relativeFrom="page">
                <wp:posOffset>6717665</wp:posOffset>
              </wp:positionV>
              <wp:extent cx="152400" cy="79375"/>
              <wp:wrapNone/>
              <wp:docPr id="3806" name="Shape 3806"/>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32" type="#_x0000_t202" style="position:absolute;margin-left:12.5pt;margin-top:528.95000000000005pt;width:12.pt;height:6.25pt;z-index:-1887411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98" behindDoc="1" locked="0" layoutInCell="1" allowOverlap="1">
              <wp:simplePos x="0" y="0"/>
              <wp:positionH relativeFrom="page">
                <wp:posOffset>151765</wp:posOffset>
              </wp:positionH>
              <wp:positionV relativeFrom="page">
                <wp:posOffset>6804025</wp:posOffset>
              </wp:positionV>
              <wp:extent cx="155575" cy="82550"/>
              <wp:wrapNone/>
              <wp:docPr id="3811" name="Shape 381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37" type="#_x0000_t202" style="position:absolute;margin-left:11.949999999999999pt;margin-top:535.75pt;width:12.25pt;height:6.5pt;z-index:-1887411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02" behindDoc="1" locked="0" layoutInCell="1" allowOverlap="1">
              <wp:simplePos x="0" y="0"/>
              <wp:positionH relativeFrom="page">
                <wp:posOffset>149225</wp:posOffset>
              </wp:positionH>
              <wp:positionV relativeFrom="page">
                <wp:posOffset>6719570</wp:posOffset>
              </wp:positionV>
              <wp:extent cx="155575" cy="82550"/>
              <wp:wrapNone/>
              <wp:docPr id="3816" name="Shape 3816"/>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42" type="#_x0000_t202" style="position:absolute;margin-left:11.75pt;margin-top:529.10000000000002pt;width:12.25pt;height:6.5pt;z-index:-1887411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06" behindDoc="1" locked="0" layoutInCell="1" allowOverlap="1">
              <wp:simplePos x="0" y="0"/>
              <wp:positionH relativeFrom="page">
                <wp:posOffset>149225</wp:posOffset>
              </wp:positionH>
              <wp:positionV relativeFrom="page">
                <wp:posOffset>6719570</wp:posOffset>
              </wp:positionV>
              <wp:extent cx="155575" cy="82550"/>
              <wp:wrapNone/>
              <wp:docPr id="3821" name="Shape 3821"/>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47" type="#_x0000_t202" style="position:absolute;margin-left:11.75pt;margin-top:529.10000000000002pt;width:12.25pt;height:6.5pt;z-index:-1887411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10" behindDoc="1" locked="0" layoutInCell="1" allowOverlap="1">
              <wp:simplePos x="0" y="0"/>
              <wp:positionH relativeFrom="page">
                <wp:posOffset>171450</wp:posOffset>
              </wp:positionH>
              <wp:positionV relativeFrom="page">
                <wp:posOffset>6797675</wp:posOffset>
              </wp:positionV>
              <wp:extent cx="155575" cy="85090"/>
              <wp:wrapNone/>
              <wp:docPr id="3826" name="Shape 3826"/>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52" type="#_x0000_t202" style="position:absolute;margin-left:13.5pt;margin-top:535.25pt;width:12.25pt;height:6.7000000000000002pt;z-index:-1887411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14" behindDoc="1" locked="0" layoutInCell="1" allowOverlap="1">
              <wp:simplePos x="0" y="0"/>
              <wp:positionH relativeFrom="page">
                <wp:posOffset>171450</wp:posOffset>
              </wp:positionH>
              <wp:positionV relativeFrom="page">
                <wp:posOffset>6797675</wp:posOffset>
              </wp:positionV>
              <wp:extent cx="155575" cy="85090"/>
              <wp:wrapNone/>
              <wp:docPr id="3831" name="Shape 3831"/>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57" type="#_x0000_t202" style="position:absolute;margin-left:13.5pt;margin-top:535.25pt;width:12.25pt;height:6.7000000000000002pt;z-index:-1887411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16" behindDoc="1" locked="0" layoutInCell="1" allowOverlap="1">
              <wp:simplePos x="0" y="0"/>
              <wp:positionH relativeFrom="page">
                <wp:posOffset>4014470</wp:posOffset>
              </wp:positionH>
              <wp:positionV relativeFrom="page">
                <wp:posOffset>6727190</wp:posOffset>
              </wp:positionV>
              <wp:extent cx="152400" cy="79375"/>
              <wp:wrapNone/>
              <wp:docPr id="3833" name="Shape 3833"/>
              <a:graphic xmlns:a="http://schemas.openxmlformats.org/drawingml/2006/main">
                <a:graphicData uri="http://schemas.microsoft.com/office/word/2010/wordprocessingShape">
                  <wps:wsp>
                    <wps:cNvSpPr txBox="1"/>
                    <wps:spPr>
                      <a:xfrm>
                        <a:ext cx="152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59" type="#_x0000_t202" style="position:absolute;margin-left:316.10000000000002pt;margin-top:529.70000000000005pt;width:12.pt;height:6.25pt;z-index:-1887411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20" behindDoc="1" locked="0" layoutInCell="1" allowOverlap="1">
              <wp:simplePos x="0" y="0"/>
              <wp:positionH relativeFrom="page">
                <wp:posOffset>3994150</wp:posOffset>
              </wp:positionH>
              <wp:positionV relativeFrom="page">
                <wp:posOffset>6778625</wp:posOffset>
              </wp:positionV>
              <wp:extent cx="155575" cy="82550"/>
              <wp:wrapNone/>
              <wp:docPr id="3840" name="Shape 3840"/>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66" type="#_x0000_t202" style="position:absolute;margin-left:314.5pt;margin-top:533.75pt;width:12.25pt;height:6.5pt;z-index:-1887411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24" behindDoc="1" locked="0" layoutInCell="1" allowOverlap="1">
              <wp:simplePos x="0" y="0"/>
              <wp:positionH relativeFrom="page">
                <wp:posOffset>3994150</wp:posOffset>
              </wp:positionH>
              <wp:positionV relativeFrom="page">
                <wp:posOffset>6778625</wp:posOffset>
              </wp:positionV>
              <wp:extent cx="155575" cy="82550"/>
              <wp:wrapNone/>
              <wp:docPr id="3845" name="Shape 3845"/>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wps:txbx>
                    <wps:bodyPr wrap="none" lIns="0" tIns="0" rIns="0" bIns="0">
                      <a:spAutoFit/>
                    </wps:bodyPr>
                  </wps:wsp>
                </a:graphicData>
              </a:graphic>
            </wp:anchor>
          </w:drawing>
        </mc:Choice>
        <mc:Fallback>
          <w:pict>
            <v:shape id="_x0000_s4871" type="#_x0000_t202" style="position:absolute;margin-left:314.5pt;margin-top:533.75pt;width:12.25pt;height:6.5pt;z-index:-1887411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hr-HR" w:eastAsia="hr-HR" w:bidi="hr-HR"/>
                        </w:rPr>
                        <w:t>#</w:t>
                      </w:r>
                    </w:fldSimple>
                  </w:p>
                </w:txbxContent>
              </v:textbox>
              <w10:wrap anchorx="page" anchory="page"/>
            </v:shape>
          </w:pict>
        </mc:Fallback>
      </mc:AlternateContent>
    </w:r>
  </w:p>
</w:ftr>
</file>

<file path=word/footer8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461" w:val="left"/>
        </w:tabs>
        <w:bidi w:val="0"/>
        <w:spacing w:before="0" w:after="0" w:line="233" w:lineRule="auto"/>
        <w:ind w:left="0" w:right="0" w:firstLine="360"/>
        <w:jc w:val="left"/>
      </w:pP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
      </w:r>
      <w:r>
        <w:rPr>
          <w:rFonts w:ascii="Times New Roman" w:eastAsia="Times New Roman" w:hAnsi="Times New Roman" w:cs="Times New Roman"/>
          <w:color w:val="000000"/>
          <w:spacing w:val="0"/>
          <w:w w:val="100"/>
          <w:position w:val="0"/>
          <w:shd w:val="clear" w:color="auto" w:fill="auto"/>
          <w:lang w:val="hr-HR" w:eastAsia="hr-HR" w:bidi="hr-HR"/>
        </w:rPr>
        <w:tab/>
        <w:t xml:space="preserve">Usp. Sv. GRGUR VII., </w:t>
      </w:r>
      <w:r>
        <w:rPr>
          <w:rFonts w:ascii="Times New Roman" w:eastAsia="Times New Roman" w:hAnsi="Times New Roman" w:cs="Times New Roman"/>
          <w:i/>
          <w:iCs/>
          <w:color w:val="000000"/>
          <w:spacing w:val="0"/>
          <w:w w:val="100"/>
          <w:position w:val="0"/>
          <w:shd w:val="clear" w:color="auto" w:fill="auto"/>
          <w:lang w:val="hr-HR" w:eastAsia="hr-HR" w:bidi="hr-HR"/>
        </w:rPr>
        <w:t>Epist.</w:t>
      </w:r>
      <w:r>
        <w:rPr>
          <w:rFonts w:ascii="Times New Roman" w:eastAsia="Times New Roman" w:hAnsi="Times New Roman" w:cs="Times New Roman"/>
          <w:color w:val="000000"/>
          <w:spacing w:val="0"/>
          <w:w w:val="100"/>
          <w:position w:val="0"/>
          <w:shd w:val="clear" w:color="auto" w:fill="auto"/>
          <w:lang w:val="hr-HR" w:eastAsia="hr-HR" w:bidi="hr-HR"/>
        </w:rPr>
        <w:t xml:space="preserve"> III, 21 Anaziru (AJ-Nasir). kralju Maurctanije, izd. E. </w:t>
      </w:r>
      <w:r>
        <w:rPr>
          <w:rFonts w:ascii="Times New Roman" w:eastAsia="Times New Roman" w:hAnsi="Times New Roman" w:cs="Times New Roman"/>
          <w:color w:val="000000"/>
          <w:spacing w:val="0"/>
          <w:w w:val="100"/>
          <w:position w:val="0"/>
          <w:shd w:val="clear" w:color="auto" w:fill="auto"/>
          <w:lang w:val="en-US" w:eastAsia="en-US" w:bidi="en-US"/>
        </w:rPr>
        <w:t xml:space="preserve">Caspar </w:t>
      </w:r>
      <w:r>
        <w:rPr>
          <w:rFonts w:ascii="Times New Roman" w:eastAsia="Times New Roman" w:hAnsi="Times New Roman" w:cs="Times New Roman"/>
          <w:color w:val="000000"/>
          <w:spacing w:val="0"/>
          <w:w w:val="100"/>
          <w:position w:val="0"/>
          <w:shd w:val="clear" w:color="auto" w:fill="auto"/>
          <w:lang w:val="hr-HR" w:eastAsia="hr-HR" w:bidi="hr-HR"/>
        </w:rPr>
        <w:t xml:space="preserve">u: MGH, </w:t>
      </w:r>
      <w:r>
        <w:rPr>
          <w:rFonts w:ascii="Times New Roman" w:eastAsia="Times New Roman" w:hAnsi="Times New Roman" w:cs="Times New Roman"/>
          <w:i/>
          <w:iCs/>
          <w:color w:val="000000"/>
          <w:spacing w:val="0"/>
          <w:w w:val="100"/>
          <w:position w:val="0"/>
          <w:shd w:val="clear" w:color="auto" w:fill="auto"/>
          <w:lang w:val="hr-HR" w:eastAsia="hr-HR" w:bidi="hr-HR"/>
        </w:rPr>
        <w:t xml:space="preserve">F.p. </w:t>
      </w:r>
      <w:r>
        <w:rPr>
          <w:rFonts w:ascii="Times New Roman" w:eastAsia="Times New Roman" w:hAnsi="Times New Roman" w:cs="Times New Roman"/>
          <w:i/>
          <w:iCs/>
          <w:color w:val="000000"/>
          <w:spacing w:val="0"/>
          <w:w w:val="100"/>
          <w:position w:val="0"/>
          <w:shd w:val="clear" w:color="auto" w:fill="auto"/>
          <w:lang w:val="en-US" w:eastAsia="en-US" w:bidi="en-US"/>
        </w:rPr>
        <w:t>sei.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II, 1920. i str. 288. 11-15; Pl 148, 451 A.</w:t>
      </w:r>
    </w:p>
  </w:footnote>
  <w:footnote w:id="3">
    <w:p>
      <w:pPr>
        <w:pStyle w:val="Style2"/>
        <w:keepNext w:val="0"/>
        <w:keepLines w:val="0"/>
        <w:widowControl w:val="0"/>
        <w:shd w:val="clear" w:color="auto" w:fill="auto"/>
        <w:tabs>
          <w:tab w:pos="514" w:val="left"/>
        </w:tabs>
        <w:bidi w:val="0"/>
        <w:spacing w:before="0" w:after="0" w:line="233" w:lineRule="auto"/>
        <w:ind w:right="0" w:firstLine="0"/>
        <w:jc w:val="both"/>
      </w:pP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
      </w:r>
      <w:r>
        <w:rPr>
          <w:rFonts w:ascii="Times New Roman" w:eastAsia="Times New Roman" w:hAnsi="Times New Roman" w:cs="Times New Roman"/>
          <w:color w:val="000000"/>
          <w:spacing w:val="0"/>
          <w:w w:val="100"/>
          <w:position w:val="0"/>
          <w:shd w:val="clear" w:color="auto" w:fill="auto"/>
          <w:lang w:val="hr-HR" w:eastAsia="hr-HR" w:bidi="hr-HR"/>
        </w:rPr>
        <w:tab/>
        <w:t>Usp. Gal 3.7.</w:t>
      </w:r>
    </w:p>
  </w:footnote>
  <w:footnote w:id="4">
    <w:p>
      <w:pPr>
        <w:pStyle w:val="Style2"/>
        <w:keepNext w:val="0"/>
        <w:keepLines w:val="0"/>
        <w:widowControl w:val="0"/>
        <w:shd w:val="clear" w:color="auto" w:fill="auto"/>
        <w:tabs>
          <w:tab w:pos="510" w:val="left"/>
        </w:tabs>
        <w:bidi w:val="0"/>
        <w:spacing w:before="0" w:after="0" w:line="233" w:lineRule="auto"/>
        <w:ind w:right="0" w:firstLine="0"/>
        <w:jc w:val="both"/>
      </w:pP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
      </w:r>
      <w:r>
        <w:rPr>
          <w:rFonts w:ascii="Times New Roman" w:eastAsia="Times New Roman" w:hAnsi="Times New Roman" w:cs="Times New Roman"/>
          <w:color w:val="000000"/>
          <w:spacing w:val="0"/>
          <w:w w:val="100"/>
          <w:position w:val="0"/>
          <w:shd w:val="clear" w:color="auto" w:fill="auto"/>
          <w:lang w:val="hr-HR" w:eastAsia="hr-HR" w:bidi="hr-HR"/>
        </w:rPr>
        <w:tab/>
        <w:t>Usp. Rim 11,17-24.</w:t>
      </w:r>
    </w:p>
  </w:footnote>
  <w:footnote w:id="5">
    <w:p>
      <w:pPr>
        <w:pStyle w:val="Style2"/>
        <w:keepNext w:val="0"/>
        <w:keepLines w:val="0"/>
        <w:widowControl w:val="0"/>
        <w:shd w:val="clear" w:color="auto" w:fill="auto"/>
        <w:bidi w:val="0"/>
        <w:spacing w:before="0" w:after="0" w:line="233" w:lineRule="auto"/>
        <w:ind w:right="0" w:firstLine="0"/>
        <w:jc w:val="left"/>
      </w:pPr>
      <w:r>
        <w:rPr>
          <w:rFonts w:ascii="Times New Roman" w:eastAsia="Times New Roman" w:hAnsi="Times New Roman" w:cs="Times New Roman"/>
          <w:color w:val="000000"/>
          <w:spacing w:val="0"/>
          <w:w w:val="100"/>
          <w:position w:val="0"/>
          <w:shd w:val="clear" w:color="auto" w:fill="auto"/>
          <w:vertAlign w:val="superscript"/>
          <w:lang w:val="hr-HR" w:eastAsia="hr-HR" w:bidi="hr-HR"/>
        </w:rPr>
        <w:t>s</w:t>
      </w:r>
      <w:r>
        <w:rPr>
          <w:rFonts w:ascii="Times New Roman" w:eastAsia="Times New Roman" w:hAnsi="Times New Roman" w:cs="Times New Roman"/>
          <w:color w:val="000000"/>
          <w:spacing w:val="0"/>
          <w:w w:val="100"/>
          <w:position w:val="0"/>
          <w:shd w:val="clear" w:color="auto" w:fill="auto"/>
          <w:lang w:val="hr-HR" w:eastAsia="hr-HR" w:bidi="hr-HR"/>
        </w:rPr>
        <w:t xml:space="preserve"> Usp. Ef 2,14-16.</w:t>
      </w:r>
    </w:p>
  </w:footnote>
  <w:footnote w:id="6">
    <w:p>
      <w:pPr>
        <w:pStyle w:val="Style2"/>
        <w:keepNext w:val="0"/>
        <w:keepLines w:val="0"/>
        <w:widowControl w:val="0"/>
        <w:shd w:val="clear" w:color="auto" w:fill="auto"/>
        <w:bidi w:val="0"/>
        <w:spacing w:before="0" w:after="0" w:line="240" w:lineRule="auto"/>
        <w:ind w:left="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Usp. Lk 19,44.</w:t>
      </w:r>
    </w:p>
  </w:footnote>
  <w:footnote w:id="7">
    <w:p>
      <w:pPr>
        <w:pStyle w:val="Style2"/>
        <w:keepNext w:val="0"/>
        <w:keepLines w:val="0"/>
        <w:widowControl w:val="0"/>
        <w:shd w:val="clear" w:color="auto" w:fill="auto"/>
        <w:bidi w:val="0"/>
        <w:spacing w:before="0" w:after="0" w:line="240" w:lineRule="auto"/>
        <w:ind w:left="5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Usp. Rim 11,28.</w:t>
      </w:r>
    </w:p>
  </w:footnote>
  <w:footnote w:id="8">
    <w:p>
      <w:pPr>
        <w:pStyle w:val="Style2"/>
        <w:keepNext w:val="0"/>
        <w:keepLines w:val="0"/>
        <w:widowControl w:val="0"/>
        <w:shd w:val="clear" w:color="auto" w:fill="auto"/>
        <w:tabs>
          <w:tab w:pos="528" w:val="left"/>
        </w:tabs>
        <w:bidi w:val="0"/>
        <w:spacing w:before="0" w:after="0" w:line="240" w:lineRule="auto"/>
        <w:ind w:left="360" w:right="0" w:firstLine="0"/>
        <w:jc w:val="both"/>
      </w:pP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
      </w:r>
      <w:r>
        <w:rPr>
          <w:rFonts w:ascii="Times New Roman" w:eastAsia="Times New Roman" w:hAnsi="Times New Roman" w:cs="Times New Roman"/>
          <w:color w:val="000000"/>
          <w:spacing w:val="0"/>
          <w:w w:val="100"/>
          <w:position w:val="0"/>
          <w:shd w:val="clear" w:color="auto" w:fill="auto"/>
          <w:lang w:val="hr-HR" w:eastAsia="hr-HR" w:bidi="hr-HR"/>
        </w:rPr>
        <w:tab/>
        <w:t xml:space="preserve">Usp. Rim 11,28-29; </w:t>
      </w:r>
      <w:r>
        <w:rPr>
          <w:rFonts w:ascii="Times New Roman" w:eastAsia="Times New Roman" w:hAnsi="Times New Roman" w:cs="Times New Roman"/>
          <w:i/>
          <w:iCs/>
          <w:color w:val="000000"/>
          <w:spacing w:val="0"/>
          <w:w w:val="100"/>
          <w:position w:val="0"/>
          <w:shd w:val="clear" w:color="auto" w:fill="auto"/>
          <w:lang w:val="hr-HR" w:eastAsia="hr-HR" w:bidi="hr-HR"/>
        </w:rPr>
        <w:t xml:space="preserve">Lumen </w:t>
      </w:r>
      <w:r>
        <w:rPr>
          <w:rFonts w:ascii="Times New Roman" w:eastAsia="Times New Roman" w:hAnsi="Times New Roman" w:cs="Times New Roman"/>
          <w:i/>
          <w:iCs/>
          <w:color w:val="000000"/>
          <w:spacing w:val="0"/>
          <w:w w:val="100"/>
          <w:position w:val="0"/>
          <w:shd w:val="clear" w:color="auto" w:fill="auto"/>
          <w:lang w:val="en-US" w:eastAsia="en-US" w:bidi="en-US"/>
        </w:rPr>
        <w:t>gentium,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AAS 57 (1965), br. 1, str. 20.</w:t>
      </w:r>
    </w:p>
  </w:footnote>
  <w:footnote w:id="9">
    <w:p>
      <w:pPr>
        <w:pStyle w:val="Style2"/>
        <w:keepNext w:val="0"/>
        <w:keepLines w:val="0"/>
        <w:widowControl w:val="0"/>
        <w:shd w:val="clear" w:color="auto" w:fill="auto"/>
        <w:tabs>
          <w:tab w:pos="548" w:val="left"/>
        </w:tabs>
        <w:bidi w:val="0"/>
        <w:spacing w:before="0" w:after="0" w:line="240" w:lineRule="auto"/>
        <w:ind w:right="0" w:firstLine="0"/>
        <w:jc w:val="both"/>
      </w:pPr>
      <w:r>
        <w:rPr>
          <w:rFonts w:ascii="Times New Roman" w:eastAsia="Times New Roman" w:hAnsi="Times New Roman" w:cs="Times New Roman"/>
          <w:color w:val="000000"/>
          <w:spacing w:val="0"/>
          <w:w w:val="100"/>
          <w:position w:val="0"/>
          <w:shd w:val="clear" w:color="auto" w:fill="auto"/>
          <w:vertAlign w:val="superscript"/>
          <w:lang w:val="hr-HR" w:eastAsia="hr-HR" w:bidi="hr-HR"/>
        </w:rPr>
        <w:footnoteRef/>
      </w:r>
      <w:r>
        <w:rPr>
          <w:rFonts w:ascii="Times New Roman" w:eastAsia="Times New Roman" w:hAnsi="Times New Roman" w:cs="Times New Roman"/>
          <w:color w:val="000000"/>
          <w:spacing w:val="0"/>
          <w:w w:val="100"/>
          <w:position w:val="0"/>
          <w:shd w:val="clear" w:color="auto" w:fill="auto"/>
          <w:lang w:val="hr-HR" w:eastAsia="hr-HR" w:bidi="hr-HR"/>
        </w:rPr>
        <w:tab/>
        <w:t>Usp. Iz 66,23; Ps 65,4; Rim 11,11-32.</w:t>
      </w:r>
    </w:p>
  </w:footnote>
  <w:footnote w:id="10">
    <w:p>
      <w:pPr>
        <w:pStyle w:val="Style2"/>
        <w:keepNext w:val="0"/>
        <w:keepLines w:val="0"/>
        <w:widowControl w:val="0"/>
        <w:shd w:val="clear" w:color="auto" w:fill="auto"/>
        <w:bidi w:val="0"/>
        <w:spacing w:before="0" w:after="0" w:line="240" w:lineRule="auto"/>
        <w:ind w:right="0" w:firstLine="0"/>
        <w:jc w:val="left"/>
      </w:pPr>
      <w:r>
        <w:rPr>
          <w:rFonts w:ascii="Times New Roman" w:eastAsia="Times New Roman" w:hAnsi="Times New Roman" w:cs="Times New Roman"/>
          <w:color w:val="000000"/>
          <w:spacing w:val="0"/>
          <w:w w:val="100"/>
          <w:position w:val="0"/>
          <w:shd w:val="clear" w:color="auto" w:fill="auto"/>
          <w:vertAlign w:val="superscript"/>
          <w:lang w:val="hr-HR" w:eastAsia="hr-HR" w:bidi="hr-HR"/>
        </w:rPr>
        <w:t>11</w:t>
      </w:r>
      <w:r>
        <w:rPr>
          <w:rFonts w:ascii="Times New Roman" w:eastAsia="Times New Roman" w:hAnsi="Times New Roman" w:cs="Times New Roman"/>
          <w:color w:val="000000"/>
          <w:spacing w:val="0"/>
          <w:w w:val="100"/>
          <w:position w:val="0"/>
          <w:shd w:val="clear" w:color="auto" w:fill="auto"/>
          <w:lang w:val="hr-HR" w:eastAsia="hr-HR" w:bidi="hr-HR"/>
        </w:rPr>
        <w:t xml:space="preserve"> Usp. Iv 19,6.</w:t>
      </w:r>
    </w:p>
  </w:footnote>
  <w:footnote w:id="11">
    <w:p>
      <w:pPr>
        <w:pStyle w:val="Style2"/>
        <w:keepNext w:val="0"/>
        <w:keepLines w:val="0"/>
        <w:widowControl w:val="0"/>
        <w:shd w:val="clear" w:color="auto" w:fill="auto"/>
        <w:tabs>
          <w:tab w:pos="182" w:val="left"/>
        </w:tabs>
        <w:bidi w:val="0"/>
        <w:spacing w:before="0" w:after="100" w:line="221" w:lineRule="auto"/>
        <w:ind w:left="0" w:right="0" w:firstLine="0"/>
        <w:jc w:val="both"/>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en-US" w:eastAsia="en-US" w:bidi="en-US"/>
        </w:rPr>
        <w:footnoteRef/>
      </w:r>
      <w:r>
        <w:rPr>
          <w:rFonts w:ascii="Times New Roman" w:eastAsia="Times New Roman" w:hAnsi="Times New Roman" w:cs="Times New Roman"/>
          <w:b/>
          <w:bCs/>
          <w:color w:val="000000"/>
          <w:spacing w:val="0"/>
          <w:w w:val="100"/>
          <w:position w:val="0"/>
          <w:sz w:val="17"/>
          <w:szCs w:val="17"/>
          <w:shd w:val="clear" w:color="auto" w:fill="auto"/>
          <w:lang w:val="en-US" w:eastAsia="en-US" w:bidi="en-US"/>
        </w:rPr>
        <w:tab/>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kršćanski</w:t>
      </w:r>
    </w:p>
    <w:p>
      <w:pPr>
        <w:pStyle w:val="Style2"/>
        <w:keepNext w:val="0"/>
        <w:keepLines w:val="0"/>
        <w:widowControl w:val="0"/>
        <w:shd w:val="clear" w:color="auto" w:fill="auto"/>
        <w:bidi w:val="0"/>
        <w:spacing w:before="0" w:after="0" w:line="25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kraljevstva Božjeg ili kraljevstva nebes</w:t>
        <w:softHyphen/>
        <w:t>kog, kako se kaže kod Mateja, jedna je makar ne središnja točka Isusove poruke. Kod Mar</w:t>
        <w:softHyphen/>
        <w:t>ka, najstarijeg od četvorice evanđelista, Isus počinje svoju propovijed s programatskim po</w:t>
        <w:softHyphen/>
        <w:t>zivom: »Kraljevstvo je Božje blizu« (Mk 1,15). Božja vladavina, njezin dolazak i posljedice koje iz toga proizlaze, tvore glavnu temu Isu</w:t>
        <w:softHyphen/>
      </w:r>
    </w:p>
  </w:footnote>
  <w:footnote w:id="12">
    <w:p>
      <w:pPr>
        <w:pStyle w:val="Style2"/>
        <w:keepNext w:val="0"/>
        <w:keepLines w:val="0"/>
        <w:widowControl w:val="0"/>
        <w:shd w:val="clear" w:color="auto" w:fill="auto"/>
        <w:tabs>
          <w:tab w:pos="182" w:val="left"/>
        </w:tabs>
        <w:bidi w:val="0"/>
        <w:spacing w:before="0" w:after="0" w:line="223" w:lineRule="auto"/>
        <w:ind w:left="0" w:right="0" w:firstLine="0"/>
        <w:jc w:val="both"/>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en-US" w:eastAsia="en-US" w:bidi="en-US"/>
        </w:rPr>
        <w:footnoteRef/>
      </w:r>
      <w:r>
        <w:rPr>
          <w:rFonts w:ascii="Times New Roman" w:eastAsia="Times New Roman" w:hAnsi="Times New Roman" w:cs="Times New Roman"/>
          <w:b/>
          <w:bCs/>
          <w:color w:val="000000"/>
          <w:spacing w:val="0"/>
          <w:w w:val="100"/>
          <w:position w:val="0"/>
          <w:sz w:val="17"/>
          <w:szCs w:val="17"/>
          <w:shd w:val="clear" w:color="auto" w:fill="auto"/>
          <w:lang w:val="en-US" w:eastAsia="en-US" w:bidi="en-US"/>
        </w:rPr>
        <w:tab/>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kršćanski</w:t>
      </w:r>
    </w:p>
  </w:footnote>
  <w:footnote w:id="13">
    <w:p>
      <w:pPr>
        <w:pStyle w:val="Style2"/>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w:t>
      </w:r>
      <w:r>
        <w:rPr>
          <w:rFonts w:ascii="Times New Roman" w:eastAsia="Times New Roman" w:hAnsi="Times New Roman" w:cs="Times New Roman"/>
          <w:color w:val="000000"/>
          <w:spacing w:val="0"/>
          <w:w w:val="100"/>
          <w:position w:val="0"/>
          <w:shd w:val="clear" w:color="auto" w:fill="auto"/>
          <w:lang w:val="en-US" w:eastAsia="en-US" w:bidi="en-US"/>
        </w:rPr>
        <w:t xml:space="preserve">m. </w:t>
      </w:r>
      <w:r>
        <w:rPr>
          <w:rFonts w:ascii="Times New Roman" w:eastAsia="Times New Roman" w:hAnsi="Times New Roman" w:cs="Times New Roman"/>
          <w:color w:val="000000"/>
          <w:spacing w:val="0"/>
          <w:w w:val="100"/>
          <w:position w:val="0"/>
          <w:shd w:val="clear" w:color="auto" w:fill="auto"/>
          <w:lang w:val="hr-HR" w:eastAsia="hr-HR" w:bidi="hr-HR"/>
        </w:rPr>
        <w:t>na religijskom području pripada ne</w:t>
        <w:softHyphen/>
        <w:t>jasnijim pojmovima uopće. Za mnoge suvre</w:t>
        <w:softHyphen/>
      </w:r>
    </w:p>
  </w:footnote>
  <w:footnote w:id="14">
    <w:p>
      <w:pPr>
        <w:pStyle w:val="Style2"/>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menike m. je nešto tajnovito, neobično i svi</w:t>
        <w:softHyphen/>
        <w:t>jetu tuđe. To potvrđuju česti spojevi riječi, koji se javljaju kao npr. magično-mistično itd. Osim toga, m. je religijski fenomen koji se unutar konfesija različito ocjenjuje. Dok je u katoličkoj pobožnosti i teologiji m. imala i ima</w:t>
      </w:r>
    </w:p>
  </w:footnote>
  <w:footnote w:id="15">
    <w:p>
      <w:pPr>
        <w:pStyle w:val="Style2"/>
        <w:keepNext w:val="0"/>
        <w:keepLines w:val="0"/>
        <w:widowControl w:val="0"/>
        <w:shd w:val="clear" w:color="auto" w:fill="auto"/>
        <w:tabs>
          <w:tab w:pos="182" w:val="left"/>
        </w:tabs>
        <w:bidi w:val="0"/>
        <w:spacing w:before="0" w:after="0" w:line="221" w:lineRule="auto"/>
        <w:ind w:left="0" w:right="0" w:firstLine="0"/>
        <w:jc w:val="both"/>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en-US" w:eastAsia="en-US" w:bidi="en-US"/>
        </w:rPr>
        <w:footnoteRef/>
      </w:r>
      <w:r>
        <w:rPr>
          <w:rFonts w:ascii="Times New Roman" w:eastAsia="Times New Roman" w:hAnsi="Times New Roman" w:cs="Times New Roman"/>
          <w:b/>
          <w:bCs/>
          <w:color w:val="000000"/>
          <w:spacing w:val="0"/>
          <w:w w:val="100"/>
          <w:position w:val="0"/>
          <w:sz w:val="17"/>
          <w:szCs w:val="17"/>
          <w:shd w:val="clear" w:color="auto" w:fill="auto"/>
          <w:lang w:val="en-US" w:eastAsia="en-US" w:bidi="en-US"/>
        </w:rPr>
        <w:tab/>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kršćanski</w:t>
      </w:r>
    </w:p>
  </w:footnote>
  <w:footnote w:id="16">
    <w:p>
      <w:pPr>
        <w:pStyle w:val="Style2"/>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najširem smislu </w:t>
      </w:r>
      <w:r>
        <w:rPr>
          <w:rFonts w:ascii="Times New Roman" w:eastAsia="Times New Roman" w:hAnsi="Times New Roman" w:cs="Times New Roman"/>
          <w:color w:val="000000"/>
          <w:spacing w:val="0"/>
          <w:w w:val="100"/>
          <w:position w:val="0"/>
          <w:shd w:val="clear" w:color="auto" w:fill="auto"/>
          <w:lang w:val="en-US" w:eastAsia="en-US" w:bidi="en-US"/>
        </w:rPr>
        <w:t xml:space="preserve">m. </w:t>
      </w:r>
      <w:r>
        <w:rPr>
          <w:rFonts w:ascii="Times New Roman" w:eastAsia="Times New Roman" w:hAnsi="Times New Roman" w:cs="Times New Roman"/>
          <w:color w:val="000000"/>
          <w:spacing w:val="0"/>
          <w:w w:val="100"/>
          <w:position w:val="0"/>
          <w:shd w:val="clear" w:color="auto" w:fill="auto"/>
          <w:lang w:val="hr-HR" w:eastAsia="hr-HR" w:bidi="hr-HR"/>
        </w:rPr>
        <w:t>je izraz svakog štovanja Boga, a u užem i uobičajenom smislu ona je samo njegov jezično formuliran izraz. M. je temeljna djelatnost svake religije. Za kršćani</w:t>
        <w:softHyphen/>
        <w:t>na m. je susret s Bogom po Isusu Kristu sna</w:t>
        <w:softHyphen/>
        <w:t>gom Božjeg Duha koji nas čini djecom Božjom i osposobljuje da se obraćamo Bogu kao svom Ocu (Rim 8,15). Kršćani tako po</w:t>
        <w:softHyphen/>
        <w:t>staju pravi klanjatclji kao što to Otac od njih želi (Iv 4,23). Na taj način kršćani slijede pri</w:t>
        <w:softHyphen/>
        <w:t>mjer svoga Gospodina kojega evanđelja uvi</w:t>
        <w:softHyphen/>
        <w:t>jek iznova pokazuju u molitvi, bilo da se povu</w:t>
        <w:softHyphen/>
      </w:r>
    </w:p>
  </w:footnote>
  <w:footnote w:id="17">
    <w:p>
      <w:pPr>
        <w:pStyle w:val="Style2"/>
        <w:keepNext w:val="0"/>
        <w:keepLines w:val="0"/>
        <w:widowControl w:val="0"/>
        <w:shd w:val="clear" w:color="auto" w:fill="auto"/>
        <w:tabs>
          <w:tab w:pos="182" w:val="left"/>
        </w:tabs>
        <w:bidi w:val="0"/>
        <w:spacing w:before="0" w:after="0" w:line="221" w:lineRule="auto"/>
        <w:ind w:left="0" w:right="0" w:firstLine="0"/>
        <w:jc w:val="both"/>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en-US" w:eastAsia="en-US" w:bidi="en-US"/>
        </w:rPr>
        <w:footnoteRef/>
      </w:r>
      <w:r>
        <w:rPr>
          <w:rFonts w:ascii="Times New Roman" w:eastAsia="Times New Roman" w:hAnsi="Times New Roman" w:cs="Times New Roman"/>
          <w:b/>
          <w:bCs/>
          <w:color w:val="000000"/>
          <w:spacing w:val="0"/>
          <w:w w:val="100"/>
          <w:position w:val="0"/>
          <w:sz w:val="17"/>
          <w:szCs w:val="17"/>
          <w:shd w:val="clear" w:color="auto" w:fill="auto"/>
          <w:lang w:val="en-US" w:eastAsia="en-US" w:bidi="en-US"/>
        </w:rPr>
        <w:tab/>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kršćanski</w:t>
      </w:r>
    </w:p>
  </w:footnote>
  <w:footnote w:id="18">
    <w:p>
      <w:pPr>
        <w:pStyle w:val="Style2"/>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Pojam predestinacije ili predodredenja ozna</w:t>
        <w:softHyphen/>
        <w:t>čava prije svega općenito da Bog po svojoj slo</w:t>
        <w:softHyphen/>
        <w:t>bodnoj volji unaprijed određuje tko od ljudi postizava spasenje, a tko propada. To nameće pitanje o pretpostavkama te unaprijed done</w:t>
        <w:softHyphen/>
        <w:t>sene odluke, prije svega o odnosu koji postoji između Božje suverene slobode odlučivanja i djelotvornosti njegovih odluka te njegove mi</w:t>
        <w:softHyphen/>
        <w:t>losti, ali i svetosti (u odnosu na zlo u čovjeku) te njegove pravednosti, na jednoj strani, i čo</w:t>
        <w:softHyphen/>
        <w:t>vjekove slobodne volje i odgovornosti, na dru</w:t>
        <w:softHyphen/>
        <w:t>goj strani.</w:t>
      </w:r>
    </w:p>
  </w:footnote>
  <w:footnote w:id="19">
    <w:p>
      <w:pPr>
        <w:pStyle w:val="Style2"/>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Zamisao predestinacije povezana je u SZ s predodžbom da Bog Stvoritelj upotrebljava ljude kao instrument svoga gnjeva (Iz 10, 5-6.15) ili svog milosrđa (Iz 45,1). No, prije svega je pojam »izabranosti« i »okorjelosti« osnova za predodžbu o božanskoj predestina</w:t>
        <w:softHyphen/>
        <w:t>ciji. Izabranost je Božji milosni čin koji od Izraela stvara »sveti narod« (Izl 19,6; Pnz 7,6), »Božji narod« (Suci 5,11; 20,2), a to znači po</w:t>
        <w:softHyphen/>
        <w:t>sebnu vezanost uz Boga i posebno osiguranje</w:t>
      </w:r>
    </w:p>
  </w:footnote>
  <w:footnote w:id="20">
    <w:p>
      <w:pPr>
        <w:pStyle w:val="Style2"/>
        <w:keepNext w:val="0"/>
        <w:keepLines w:val="0"/>
        <w:widowControl w:val="0"/>
        <w:shd w:val="clear" w:color="auto" w:fill="auto"/>
        <w:tabs>
          <w:tab w:pos="187" w:val="left"/>
        </w:tabs>
        <w:bidi w:val="0"/>
        <w:spacing w:before="0" w:after="60" w:line="221" w:lineRule="auto"/>
        <w:ind w:left="0" w:right="0" w:firstLine="0"/>
        <w:jc w:val="both"/>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en-US" w:eastAsia="en-US" w:bidi="en-US"/>
        </w:rPr>
        <w:footnoteRef/>
      </w:r>
      <w:r>
        <w:rPr>
          <w:rFonts w:ascii="Times New Roman" w:eastAsia="Times New Roman" w:hAnsi="Times New Roman" w:cs="Times New Roman"/>
          <w:b/>
          <w:bCs/>
          <w:color w:val="000000"/>
          <w:spacing w:val="0"/>
          <w:w w:val="100"/>
          <w:position w:val="0"/>
          <w:sz w:val="17"/>
          <w:szCs w:val="17"/>
          <w:shd w:val="clear" w:color="auto" w:fill="auto"/>
          <w:lang w:val="en-US" w:eastAsia="en-US" w:bidi="en-US"/>
        </w:rPr>
        <w:tab/>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kršćanski</w:t>
      </w:r>
    </w:p>
    <w:p>
      <w:pPr>
        <w:pStyle w:val="Style2"/>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se unatoč utjecaju apokaliptičkih vidov</w:t>
        <w:softHyphen/>
        <w:t>njaka iz kulturalne okoline u smislu »Čuj, Iz- raele« (Mk 12,29 - Pnz 6,4) kao mediju jed</w:t>
        <w:softHyphen/>
        <w:t>noznačno daje prednost onomu što se čuje, a ne onomu što se vidi. Pavao koji je imao mis</w:t>
        <w:softHyphen/>
        <w:t>tička iskustva (usp. 2 Kor 12,1—4) ipak je u prvi plan stavljao »riječ vjere« koja se mora čuti propovijedanjem (10,14). Ta prednost ri</w:t>
        <w:softHyphen/>
        <w:t>ječi obilježila je do danas prije svega protes</w:t>
        <w:softHyphen/>
        <w:t>tantsku teologiju. Pa ipak, Isusova propovijed bitno je određena slikovitom usporedbom i prispodobama koje pričaju i koje hoće posvi- jestiti blizinu Božjega kraljevstva i privesti od</w:t>
        <w:softHyphen/>
        <w:t>govarajućem djelovanju. Bilo bi, dakle, suviš</w:t>
        <w:softHyphen/>
        <w:t>no htjeti konstruirati spor između onoga što se vidi i onoga što se čuje, jer su obadva, dok se događaju u vjeri, nazvana blaženima (Mt 13,16).</w:t>
      </w:r>
    </w:p>
    <w:p>
      <w:pPr>
        <w:pStyle w:val="Style2"/>
        <w:keepNext w:val="0"/>
        <w:keepLines w:val="0"/>
        <w:widowControl w:val="0"/>
        <w:shd w:val="clear" w:color="auto" w:fill="auto"/>
        <w:bidi w:val="0"/>
        <w:spacing w:before="0" w:after="4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Upravo je o vječnoj Božjoj riječi kazano »1 mi smo promatrali slavu njegovu« (Iv 1,14) i o vječnom životu da »se očitovao, mi smo ga vidjeli« (1 lv 1,2). »Ali kad se očitova dobrota Boga, našega Spasitelja, i njegova ljubav pre</w:t>
        <w:softHyphen/>
      </w:r>
    </w:p>
  </w:footnote>
  <w:footnote w:id="21">
    <w:p>
      <w:pPr>
        <w:pStyle w:val="Style2"/>
        <w:keepNext w:val="0"/>
        <w:keepLines w:val="0"/>
        <w:widowControl w:val="0"/>
        <w:shd w:val="clear" w:color="auto" w:fill="auto"/>
        <w:tabs>
          <w:tab w:pos="178" w:val="left"/>
        </w:tabs>
        <w:bidi w:val="0"/>
        <w:spacing w:before="0" w:after="60" w:line="223" w:lineRule="auto"/>
        <w:ind w:left="0" w:right="0" w:firstLine="0"/>
        <w:jc w:val="both"/>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en-US" w:eastAsia="en-US" w:bidi="en-US"/>
        </w:rPr>
        <w:footnoteRef/>
      </w:r>
      <w:r>
        <w:rPr>
          <w:rFonts w:ascii="Times New Roman" w:eastAsia="Times New Roman" w:hAnsi="Times New Roman" w:cs="Times New Roman"/>
          <w:b/>
          <w:bCs/>
          <w:color w:val="000000"/>
          <w:spacing w:val="0"/>
          <w:w w:val="100"/>
          <w:position w:val="0"/>
          <w:sz w:val="17"/>
          <w:szCs w:val="17"/>
          <w:shd w:val="clear" w:color="auto" w:fill="auto"/>
          <w:lang w:val="en-US" w:eastAsia="en-US" w:bidi="en-US"/>
        </w:rPr>
        <w:tab/>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kršćanski</w:t>
      </w:r>
    </w:p>
    <w:p>
      <w:pPr>
        <w:pStyle w:val="Style2"/>
        <w:keepNext w:val="0"/>
        <w:keepLines w:val="0"/>
        <w:widowControl w:val="0"/>
        <w:shd w:val="clear" w:color="auto" w:fill="auto"/>
        <w:bidi w:val="0"/>
        <w:spacing w:before="0" w:after="0" w:line="25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svečanosti se vrijeme na trenutak zaustav</w:t>
        <w:softHyphen/>
        <w:t>lja. U njoj se potvrđuje temeljni smisao svi</w:t>
        <w:softHyphen/>
        <w:t>jeta. Ona znači uzdizanje čovjekova postoja</w:t>
        <w:softHyphen/>
        <w:t>nja. Povod za svečanost treba vidjeti konačno u tome što »je u osnovi dobro sve što jest i do</w:t>
        <w:softHyphen/>
        <w:t xml:space="preserve">bro je biti« </w:t>
      </w:r>
      <w:r>
        <w:rPr>
          <w:rFonts w:ascii="Times New Roman" w:eastAsia="Times New Roman" w:hAnsi="Times New Roman" w:cs="Times New Roman"/>
          <w:color w:val="000000"/>
          <w:spacing w:val="0"/>
          <w:w w:val="100"/>
          <w:position w:val="0"/>
          <w:shd w:val="clear" w:color="auto" w:fill="auto"/>
          <w:lang w:val="en-US" w:eastAsia="en-US" w:bidi="en-US"/>
        </w:rPr>
        <w:t xml:space="preserve">(J. Pieper). </w:t>
      </w:r>
      <w:r>
        <w:rPr>
          <w:rFonts w:ascii="Times New Roman" w:eastAsia="Times New Roman" w:hAnsi="Times New Roman" w:cs="Times New Roman"/>
          <w:color w:val="000000"/>
          <w:spacing w:val="0"/>
          <w:w w:val="100"/>
          <w:position w:val="0"/>
          <w:shd w:val="clear" w:color="auto" w:fill="auto"/>
          <w:lang w:val="hr-HR" w:eastAsia="hr-HR" w:bidi="hr-HR"/>
        </w:rPr>
        <w:t>Slaviti neku svečanost, dakle, znači iz posebnog razloga i na nesvaki</w:t>
        <w:softHyphen/>
        <w:t>dašnji način odobravati svijet što se i inače uvijek i svaki dan čini. Zato samo onaj može stvarno slaviti svoj rođendan koji se pomirio sa sobom, koji odobrava svoj život i očekuje još nešto od budućnosti. Tako se na njegov rođendan, u konkretnoj svečanosti, osvrćemo na prošlost i sadašnjost. »U svečanosti dolaze u prvi plan velike stvari, dublji slojevi života, najdublje vrijednosti ili ono što držimo za naj</w:t>
        <w:softHyphen/>
        <w:t>dublje vrijednosti. U svečanosti uronjavamo u</w:t>
      </w:r>
    </w:p>
  </w:footnote>
  <w:footnote w:id="22">
    <w:p>
      <w:pPr>
        <w:pStyle w:val="Style2"/>
        <w:keepNext w:val="0"/>
        <w:keepLines w:val="0"/>
        <w:widowControl w:val="0"/>
        <w:shd w:val="clear" w:color="auto" w:fill="auto"/>
        <w:tabs>
          <w:tab w:pos="178" w:val="left"/>
        </w:tabs>
        <w:bidi w:val="0"/>
        <w:spacing w:before="0" w:after="120" w:line="240" w:lineRule="auto"/>
        <w:ind w:left="0" w:right="0" w:firstLine="0"/>
        <w:jc w:val="both"/>
        <w:rPr>
          <w:sz w:val="12"/>
          <w:szCs w:val="12"/>
        </w:rPr>
      </w:pPr>
      <w:r>
        <w:rPr>
          <w:rFonts w:ascii="Arial" w:eastAsia="Arial" w:hAnsi="Arial" w:cs="Arial"/>
          <w:b/>
          <w:bCs/>
          <w:color w:val="000000"/>
          <w:spacing w:val="0"/>
          <w:w w:val="100"/>
          <w:position w:val="0"/>
          <w:sz w:val="12"/>
          <w:szCs w:val="12"/>
          <w:shd w:val="clear" w:color="auto" w:fill="auto"/>
          <w:lang w:val="en-US" w:eastAsia="en-US" w:bidi="en-US"/>
        </w:rPr>
        <w:footnoteRef/>
      </w:r>
      <w:r>
        <w:rPr>
          <w:rFonts w:ascii="Arial" w:eastAsia="Arial" w:hAnsi="Arial" w:cs="Arial"/>
          <w:b/>
          <w:bCs/>
          <w:color w:val="000000"/>
          <w:spacing w:val="0"/>
          <w:w w:val="100"/>
          <w:position w:val="0"/>
          <w:sz w:val="12"/>
          <w:szCs w:val="12"/>
          <w:shd w:val="clear" w:color="auto" w:fill="auto"/>
          <w:lang w:val="en-US" w:eastAsia="en-US" w:bidi="en-US"/>
        </w:rPr>
        <w:tab/>
      </w:r>
      <w:r>
        <w:rPr>
          <w:rFonts w:ascii="Arial" w:eastAsia="Arial" w:hAnsi="Arial" w:cs="Arial"/>
          <w:b/>
          <w:bCs/>
          <w:color w:val="000000"/>
          <w:spacing w:val="0"/>
          <w:w w:val="100"/>
          <w:position w:val="0"/>
          <w:sz w:val="12"/>
          <w:szCs w:val="12"/>
          <w:shd w:val="clear" w:color="auto" w:fill="auto"/>
          <w:lang w:val="hr-HR" w:eastAsia="hr-HR" w:bidi="hr-HR"/>
        </w:rPr>
        <w:t>kršćanski</w:t>
      </w:r>
    </w:p>
    <w:p>
      <w:pPr>
        <w:pStyle w:val="Style2"/>
        <w:keepNext w:val="0"/>
        <w:keepLines w:val="0"/>
        <w:widowControl w:val="0"/>
        <w:numPr>
          <w:ilvl w:val="0"/>
          <w:numId w:val="1"/>
        </w:numPr>
        <w:shd w:val="clear" w:color="auto" w:fill="auto"/>
        <w:tabs>
          <w:tab w:pos="182" w:val="left"/>
        </w:tabs>
        <w:bidi w:val="0"/>
        <w:spacing w:before="0" w:after="0" w:line="25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Pretpovijest:</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T. </w:t>
      </w:r>
      <w:r>
        <w:rPr>
          <w:rFonts w:ascii="Times New Roman" w:eastAsia="Times New Roman" w:hAnsi="Times New Roman" w:cs="Times New Roman"/>
          <w:color w:val="000000"/>
          <w:spacing w:val="0"/>
          <w:w w:val="100"/>
          <w:position w:val="0"/>
          <w:shd w:val="clear" w:color="auto" w:fill="auto"/>
          <w:lang w:val="hr-HR" w:eastAsia="hr-HR" w:bidi="hr-HR"/>
        </w:rPr>
        <w:t>u svom temeljnom značenju znači »navesti Boga da govori«. Pojam je svojim podrijetlom predkršćansko-grčki. Kod Grka »teolozi« su bili oni koji su u svojim mi</w:t>
        <w:softHyphen/>
        <w:t>tovima govorili o bogu i bogovima i oni koji su te priče o bogovima filozofsko-kritički prosu</w:t>
        <w:softHyphen/>
        <w:t>đivali i primjenjivali na konkretan život ljudi. Kod Aristotela t. je bila najviša od triju teoret</w:t>
        <w:softHyphen/>
        <w:t>skih filozofskih znanosti koja se bavi nepo</w:t>
        <w:softHyphen/>
        <w:t>mičnim, vječnim uzrokom svih stvari, božan</w:t>
        <w:softHyphen/>
        <w:t xml:space="preserve">skim. Tako t. iz svoga grčkog podrijetla ima dvostruki korijen: kritički promišljen mit kao pretpostavljen Božji govor i čovjekov razum koji traga i pita o temelju i cilju svih stvari te istražuje odgovore koji se nude u povijesti. Iako je u zapadnoj povijesti t. u suprotnosti s filozofijom </w:t>
      </w:r>
      <w:r>
        <w:rPr>
          <w:rFonts w:ascii="Times New Roman" w:eastAsia="Times New Roman" w:hAnsi="Times New Roman" w:cs="Times New Roman"/>
          <w:i/>
          <w:iCs/>
          <w:color w:val="000000"/>
          <w:spacing w:val="0"/>
          <w:w w:val="100"/>
          <w:position w:val="0"/>
          <w:shd w:val="clear" w:color="auto" w:fill="auto"/>
          <w:lang w:val="hr-HR" w:eastAsia="hr-HR" w:bidi="hr-HR"/>
        </w:rPr>
        <w:t>kršćanska</w:t>
      </w:r>
      <w:r>
        <w:rPr>
          <w:rFonts w:ascii="Times New Roman" w:eastAsia="Times New Roman" w:hAnsi="Times New Roman" w:cs="Times New Roman"/>
          <w:color w:val="000000"/>
          <w:spacing w:val="0"/>
          <w:w w:val="100"/>
          <w:position w:val="0"/>
          <w:shd w:val="clear" w:color="auto" w:fill="auto"/>
          <w:lang w:val="hr-HR" w:eastAsia="hr-HR" w:bidi="hr-HR"/>
        </w:rPr>
        <w:t xml:space="preserve"> t., ne mogu se previdjeti tragovi predkršeanskog podrijetla.</w:t>
      </w:r>
    </w:p>
    <w:p>
      <w:pPr>
        <w:pStyle w:val="Style2"/>
        <w:keepNext w:val="0"/>
        <w:keepLines w:val="0"/>
        <w:widowControl w:val="0"/>
        <w:numPr>
          <w:ilvl w:val="0"/>
          <w:numId w:val="1"/>
        </w:numPr>
        <w:shd w:val="clear" w:color="auto" w:fill="auto"/>
        <w:tabs>
          <w:tab w:pos="211" w:val="left"/>
        </w:tabs>
        <w:bidi w:val="0"/>
        <w:spacing w:before="0" w:after="60" w:line="25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Kršćansko samorazumijevanje:</w:t>
      </w:r>
      <w:r>
        <w:rPr>
          <w:rFonts w:ascii="Times New Roman" w:eastAsia="Times New Roman" w:hAnsi="Times New Roman" w:cs="Times New Roman"/>
          <w:color w:val="000000"/>
          <w:spacing w:val="0"/>
          <w:w w:val="100"/>
          <w:position w:val="0"/>
          <w:shd w:val="clear" w:color="auto" w:fill="auto"/>
          <w:lang w:val="hr-HR" w:eastAsia="hr-HR" w:bidi="hr-HR"/>
        </w:rPr>
        <w:t xml:space="preserve"> Na zapadu je t. bitno kršćanska vjerska znanost, tj. znan- stveno-metodička refleksija o kršćanskoj vjeri u Boga koji je u Isusu iz Nazareta postao oči</w:t>
        <w:softHyphen/>
        <w:t>gledan. Kao takva ona se utoliko ne treba br</w:t>
        <w:softHyphen/>
      </w:r>
    </w:p>
  </w:footnote>
  <w:footnote w:id="23">
    <w:p>
      <w:pPr>
        <w:pStyle w:val="Style2"/>
        <w:keepNext w:val="0"/>
        <w:keepLines w:val="0"/>
        <w:widowControl w:val="0"/>
        <w:shd w:val="clear" w:color="auto" w:fill="auto"/>
        <w:tabs>
          <w:tab w:pos="192" w:val="left"/>
        </w:tabs>
        <w:bidi w:val="0"/>
        <w:spacing w:before="0" w:after="0" w:line="216" w:lineRule="auto"/>
        <w:ind w:left="0" w:right="0" w:firstLine="0"/>
        <w:jc w:val="both"/>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en-US" w:eastAsia="en-US" w:bidi="en-US"/>
        </w:rPr>
        <w:footnoteRef/>
      </w:r>
      <w:r>
        <w:rPr>
          <w:rFonts w:ascii="Times New Roman" w:eastAsia="Times New Roman" w:hAnsi="Times New Roman" w:cs="Times New Roman"/>
          <w:b/>
          <w:bCs/>
          <w:color w:val="000000"/>
          <w:spacing w:val="0"/>
          <w:w w:val="100"/>
          <w:position w:val="0"/>
          <w:sz w:val="17"/>
          <w:szCs w:val="17"/>
          <w:shd w:val="clear" w:color="auto" w:fill="auto"/>
          <w:lang w:val="en-US" w:eastAsia="en-US" w:bidi="en-US"/>
        </w:rPr>
        <w:tab/>
      </w:r>
      <w:r>
        <w:rPr>
          <w:rFonts w:ascii="Times New Roman" w:eastAsia="Times New Roman" w:hAnsi="Times New Roman" w:cs="Times New Roman"/>
          <w:b/>
          <w:bCs/>
          <w:color w:val="000000"/>
          <w:spacing w:val="0"/>
          <w:w w:val="100"/>
          <w:position w:val="0"/>
          <w:sz w:val="17"/>
          <w:szCs w:val="17"/>
          <w:shd w:val="clear" w:color="auto" w:fill="auto"/>
          <w:lang w:val="hr-HR" w:eastAsia="hr-HR" w:bidi="hr-HR"/>
        </w:rPr>
        <w:t>islamski</w:t>
      </w:r>
    </w:p>
  </w:footnote>
  <w:footnote w:id="24">
    <w:p>
      <w:pPr>
        <w:pStyle w:val="Style2"/>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Premda neki </w:t>
      </w:r>
      <w:r>
        <w:rPr>
          <w:rFonts w:ascii="Times New Roman" w:eastAsia="Times New Roman" w:hAnsi="Times New Roman" w:cs="Times New Roman"/>
          <w:color w:val="000000"/>
          <w:spacing w:val="0"/>
          <w:w w:val="100"/>
          <w:position w:val="0"/>
          <w:shd w:val="clear" w:color="auto" w:fill="auto"/>
          <w:lang w:val="en-US" w:eastAsia="en-US" w:bidi="en-US"/>
        </w:rPr>
        <w:t xml:space="preserve">kuranski </w:t>
      </w:r>
      <w:r>
        <w:rPr>
          <w:rFonts w:ascii="Times New Roman" w:eastAsia="Times New Roman" w:hAnsi="Times New Roman" w:cs="Times New Roman"/>
          <w:color w:val="000000"/>
          <w:spacing w:val="0"/>
          <w:w w:val="100"/>
          <w:position w:val="0"/>
          <w:shd w:val="clear" w:color="auto" w:fill="auto"/>
          <w:lang w:val="hr-HR" w:eastAsia="hr-HR" w:bidi="hr-HR"/>
        </w:rPr>
        <w:t xml:space="preserve">iskazi </w:t>
      </w:r>
      <w:r>
        <w:rPr>
          <w:rFonts w:ascii="Times New Roman" w:eastAsia="Times New Roman" w:hAnsi="Times New Roman" w:cs="Times New Roman"/>
          <w:color w:val="000000"/>
          <w:spacing w:val="0"/>
          <w:w w:val="100"/>
          <w:position w:val="0"/>
          <w:shd w:val="clear" w:color="auto" w:fill="auto"/>
          <w:lang w:val="en-US" w:eastAsia="en-US" w:bidi="en-US"/>
        </w:rPr>
        <w:t xml:space="preserve">(2,149-154; 3, 163-168) </w:t>
      </w:r>
      <w:r>
        <w:rPr>
          <w:rFonts w:ascii="Times New Roman" w:eastAsia="Times New Roman" w:hAnsi="Times New Roman" w:cs="Times New Roman"/>
          <w:color w:val="000000"/>
          <w:spacing w:val="0"/>
          <w:w w:val="100"/>
          <w:position w:val="0"/>
          <w:shd w:val="clear" w:color="auto" w:fill="auto"/>
          <w:lang w:val="hr-HR" w:eastAsia="hr-HR" w:bidi="hr-HR"/>
        </w:rPr>
        <w:t>pretpostavljaju trajnu egzistenciju duše, islamski nauk stoji na stajalištu da duša nije po naravi besmrtna. Njezin daljnji život ovisi o Božjoj volji. Duše onih ljudi koji su umrli u ime Božje žive sve dok postoji ovaj svijet. U. se u islamskom shvaćanju dosljedno</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3" behindDoc="1" locked="0" layoutInCell="1" allowOverlap="1">
              <wp:simplePos x="0" y="0"/>
              <wp:positionH relativeFrom="page">
                <wp:posOffset>374015</wp:posOffset>
              </wp:positionH>
              <wp:positionV relativeFrom="page">
                <wp:posOffset>398145</wp:posOffset>
              </wp:positionV>
              <wp:extent cx="588010" cy="67310"/>
              <wp:wrapNone/>
              <wp:docPr id="11" name="Shape 11"/>
              <a:graphic xmlns:a="http://schemas.openxmlformats.org/drawingml/2006/main">
                <a:graphicData uri="http://schemas.microsoft.com/office/word/2010/wordprocessingShape">
                  <wps:wsp>
                    <wps:cNvSpPr txBox="1"/>
                    <wps:spPr>
                      <a:xfrm>
                        <a:ext cx="588010"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PREDGOVOR</w:t>
                          </w:r>
                        </w:p>
                      </w:txbxContent>
                    </wps:txbx>
                    <wps:bodyPr wrap="none" lIns="0" tIns="0" rIns="0" bIns="0">
                      <a:spAutoFit/>
                    </wps:bodyPr>
                  </wps:wsp>
                </a:graphicData>
              </a:graphic>
            </wp:anchor>
          </w:drawing>
        </mc:Choice>
        <mc:Fallback>
          <w:pict>
            <v:shape id="_x0000_s1037" type="#_x0000_t202" style="position:absolute;margin-left:29.449999999999999pt;margin-top:31.350000000000001pt;width:46.299999999999997pt;height:5.2999999999999998pt;z-index:-18874406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PREDGOVOR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370840</wp:posOffset>
              </wp:positionH>
              <wp:positionV relativeFrom="page">
                <wp:posOffset>497205</wp:posOffset>
              </wp:positionV>
              <wp:extent cx="4020185" cy="0"/>
              <wp:wrapNone/>
              <wp:docPr id="13" name="Shape 1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29.199999999999999pt;margin-top:39.149999999999999pt;width:316.55000000000001pt;height:0;z-index:-251658240;mso-position-horizontal-relative:page;mso-position-vertical-relative:page">
              <v:stroke weight="1.pt"/>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372110</wp:posOffset>
              </wp:positionH>
              <wp:positionV relativeFrom="page">
                <wp:posOffset>379730</wp:posOffset>
              </wp:positionV>
              <wp:extent cx="3498850" cy="85090"/>
              <wp:wrapNone/>
              <wp:docPr id="20" name="Shape 20"/>
              <a:graphic xmlns:a="http://schemas.openxmlformats.org/drawingml/2006/main">
                <a:graphicData uri="http://schemas.microsoft.com/office/word/2010/wordprocessingShape">
                  <wps:wsp>
                    <wps:cNvSpPr txBox="1"/>
                    <wps:spPr>
                      <a:xfrm>
                        <a:ext cx="349885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DEKLARACIJA DRUGOGA VATIKANSKOGA KONCILA O ISLAMU I ŽIDOVSTVU</w:t>
                          </w:r>
                        </w:p>
                      </w:txbxContent>
                    </wps:txbx>
                    <wps:bodyPr wrap="none" lIns="0" tIns="0" rIns="0" bIns="0">
                      <a:spAutoFit/>
                    </wps:bodyPr>
                  </wps:wsp>
                </a:graphicData>
              </a:graphic>
            </wp:anchor>
          </w:drawing>
        </mc:Choice>
        <mc:Fallback>
          <w:pict>
            <v:shape id="_x0000_s1046" type="#_x0000_t202" style="position:absolute;margin-left:29.300000000000001pt;margin-top:29.899999999999999pt;width:275.5pt;height:6.7000000000000002pt;z-index:-18874405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DEKLARACIJA DRUGOGA VATIKANSKOGA KONCILA O ISLAMU I ŽIDOVSTVU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375285</wp:posOffset>
              </wp:positionH>
              <wp:positionV relativeFrom="page">
                <wp:posOffset>497205</wp:posOffset>
              </wp:positionV>
              <wp:extent cx="4020185" cy="0"/>
              <wp:wrapNone/>
              <wp:docPr id="22" name="Shape 2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29.550000000000001pt;margin-top:39.149999999999999pt;width:316.55000000000001pt;height:0;z-index:-251658240;mso-position-horizontal-relative:page;mso-position-vertical-relative:page">
              <v:stroke weight="1.pt"/>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4010025</wp:posOffset>
              </wp:positionH>
              <wp:positionV relativeFrom="page">
                <wp:posOffset>403860</wp:posOffset>
              </wp:positionV>
              <wp:extent cx="372110" cy="60960"/>
              <wp:wrapNone/>
              <wp:docPr id="25" name="Shape 25"/>
              <a:graphic xmlns:a="http://schemas.openxmlformats.org/drawingml/2006/main">
                <a:graphicData uri="http://schemas.microsoft.com/office/word/2010/wordprocessingShape">
                  <wps:wsp>
                    <wps:cNvSpPr txBox="1"/>
                    <wps:spPr>
                      <a:xfrm>
                        <a:ext cx="37211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KRATICE</w:t>
                          </w:r>
                        </w:p>
                      </w:txbxContent>
                    </wps:txbx>
                    <wps:bodyPr wrap="none" lIns="0" tIns="0" rIns="0" bIns="0">
                      <a:spAutoFit/>
                    </wps:bodyPr>
                  </wps:wsp>
                </a:graphicData>
              </a:graphic>
            </wp:anchor>
          </w:drawing>
        </mc:Choice>
        <mc:Fallback>
          <w:pict>
            <v:shape id="_x0000_s1051" type="#_x0000_t202" style="position:absolute;margin-left:315.75pt;margin-top:31.800000000000001pt;width:29.300000000000001pt;height:4.7999999999999998pt;z-index:-18874404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KRATICE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367665</wp:posOffset>
              </wp:positionH>
              <wp:positionV relativeFrom="page">
                <wp:posOffset>502920</wp:posOffset>
              </wp:positionV>
              <wp:extent cx="4014470" cy="0"/>
              <wp:wrapNone/>
              <wp:docPr id="27" name="Shape 27"/>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28.949999999999999pt;margin-top:39.600000000000001pt;width:316.10000000000002pt;height:0;z-index:-251658240;mso-position-horizontal-relative:page;mso-position-vertical-relative:page">
              <v:stroke weight="1.pt"/>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9" behindDoc="1" locked="0" layoutInCell="1" allowOverlap="1">
              <wp:simplePos x="0" y="0"/>
              <wp:positionH relativeFrom="page">
                <wp:posOffset>372110</wp:posOffset>
              </wp:positionH>
              <wp:positionV relativeFrom="page">
                <wp:posOffset>396240</wp:posOffset>
              </wp:positionV>
              <wp:extent cx="374650" cy="64135"/>
              <wp:wrapNone/>
              <wp:docPr id="30" name="Shape 30"/>
              <a:graphic xmlns:a="http://schemas.openxmlformats.org/drawingml/2006/main">
                <a:graphicData uri="http://schemas.microsoft.com/office/word/2010/wordprocessingShape">
                  <wps:wsp>
                    <wps:cNvSpPr txBox="1"/>
                    <wps:spPr>
                      <a:xfrm>
                        <a:ext cx="374650"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KRATICE</w:t>
                          </w:r>
                        </w:p>
                      </w:txbxContent>
                    </wps:txbx>
                    <wps:bodyPr wrap="none" lIns="0" tIns="0" rIns="0" bIns="0">
                      <a:spAutoFit/>
                    </wps:bodyPr>
                  </wps:wsp>
                </a:graphicData>
              </a:graphic>
            </wp:anchor>
          </w:drawing>
        </mc:Choice>
        <mc:Fallback>
          <w:pict>
            <v:shape id="_x0000_s1056" type="#_x0000_t202" style="position:absolute;margin-left:29.300000000000001pt;margin-top:31.199999999999999pt;width:29.5pt;height:5.0499999999999998pt;z-index:-18874404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KRATICE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372110</wp:posOffset>
              </wp:positionH>
              <wp:positionV relativeFrom="page">
                <wp:posOffset>501650</wp:posOffset>
              </wp:positionV>
              <wp:extent cx="3965575" cy="0"/>
              <wp:wrapNone/>
              <wp:docPr id="32" name="Shape 32"/>
              <a:graphic xmlns:a="http://schemas.openxmlformats.org/drawingml/2006/main">
                <a:graphicData uri="http://schemas.microsoft.com/office/word/2010/wordprocessingShape">
                  <wps:wsp>
                    <wps:cNvCnPr/>
                    <wps:spPr>
                      <a:xfrm>
                        <a:ext cx="3965575" cy="0"/>
                      </a:xfrm>
                      <a:prstGeom prst="straightConnector1"/>
                      <a:ln w="12700">
                        <a:solidFill/>
                      </a:ln>
                    </wps:spPr>
                    <wps:bodyPr/>
                  </wps:wsp>
                </a:graphicData>
              </a:graphic>
            </wp:anchor>
          </w:drawing>
        </mc:Choice>
        <mc:Fallback>
          <w:pict>
            <v:shape o:spt="32" o:oned="true" path="m,l21600,21600e" style="position:absolute;margin-left:29.300000000000001pt;margin-top:39.5pt;width:312.25pt;height:0;z-index:-251658240;mso-position-horizontal-relative:page;mso-position-vertical-relative:page">
              <v:stroke weight="1.pt"/>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155575</wp:posOffset>
              </wp:positionH>
              <wp:positionV relativeFrom="page">
                <wp:posOffset>501650</wp:posOffset>
              </wp:positionV>
              <wp:extent cx="780415" cy="64135"/>
              <wp:wrapNone/>
              <wp:docPr id="37" name="Shape 37"/>
              <a:graphic xmlns:a="http://schemas.openxmlformats.org/drawingml/2006/main">
                <a:graphicData uri="http://schemas.microsoft.com/office/word/2010/wordprocessingShape">
                  <wps:wsp>
                    <wps:cNvSpPr txBox="1"/>
                    <wps:spPr>
                      <a:xfrm>
                        <a:ext cx="780415"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POPIS SURADNIKA</w:t>
                          </w:r>
                        </w:p>
                      </w:txbxContent>
                    </wps:txbx>
                    <wps:bodyPr wrap="none" lIns="0" tIns="0" rIns="0" bIns="0">
                      <a:spAutoFit/>
                    </wps:bodyPr>
                  </wps:wsp>
                </a:graphicData>
              </a:graphic>
            </wp:anchor>
          </w:drawing>
        </mc:Choice>
        <mc:Fallback>
          <w:pict>
            <v:shape id="_x0000_s1063" type="#_x0000_t202" style="position:absolute;margin-left:12.25pt;margin-top:39.5pt;width:61.450000000000003pt;height:5.0499999999999998pt;z-index:-18874403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POPIS SURADNIKA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594360</wp:posOffset>
              </wp:positionV>
              <wp:extent cx="4020185" cy="0"/>
              <wp:wrapNone/>
              <wp:docPr id="39" name="Shape 3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46.799999999999997pt;width:316.55000000000001pt;height:0;z-index:-251658240;mso-position-horizontal-relative:page;mso-position-vertical-relative:page">
              <v:stroke weight="1.pt"/>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9" behindDoc="1" locked="0" layoutInCell="1" allowOverlap="1">
              <wp:simplePos x="0" y="0"/>
              <wp:positionH relativeFrom="page">
                <wp:posOffset>151765</wp:posOffset>
              </wp:positionH>
              <wp:positionV relativeFrom="page">
                <wp:posOffset>408305</wp:posOffset>
              </wp:positionV>
              <wp:extent cx="502920" cy="79375"/>
              <wp:wrapNone/>
              <wp:docPr id="42" name="Shape 42"/>
              <a:graphic xmlns:a="http://schemas.openxmlformats.org/drawingml/2006/main">
                <a:graphicData uri="http://schemas.microsoft.com/office/word/2010/wordprocessingShape">
                  <wps:wsp>
                    <wps:cNvSpPr txBox="1"/>
                    <wps:spPr>
                      <a:xfrm>
                        <a:ext cx="50292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ŽIDOVSl'VO</w:t>
                          </w:r>
                        </w:p>
                      </w:txbxContent>
                    </wps:txbx>
                    <wps:bodyPr wrap="none" lIns="0" tIns="0" rIns="0" bIns="0">
                      <a:spAutoFit/>
                    </wps:bodyPr>
                  </wps:wsp>
                </a:graphicData>
              </a:graphic>
            </wp:anchor>
          </w:drawing>
        </mc:Choice>
        <mc:Fallback>
          <w:pict>
            <v:shape id="_x0000_s1068" type="#_x0000_t202" style="position:absolute;margin-left:11.949999999999999pt;margin-top:32.149999999999999pt;width:39.600000000000001pt;height:6.25pt;z-index:-18874403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ŽIDOVSl'VO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520065</wp:posOffset>
              </wp:positionV>
              <wp:extent cx="4020185" cy="0"/>
              <wp:wrapNone/>
              <wp:docPr id="44" name="Shape 4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0.950000000000003pt;width:316.55000000000001pt;height:0;z-index:-251658240;mso-position-horizontal-relative:page;mso-position-vertical-relative:page">
              <v:stroke weight="1.pt"/>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3" behindDoc="1" locked="0" layoutInCell="1" allowOverlap="1">
              <wp:simplePos x="0" y="0"/>
              <wp:positionH relativeFrom="page">
                <wp:posOffset>151765</wp:posOffset>
              </wp:positionH>
              <wp:positionV relativeFrom="page">
                <wp:posOffset>408305</wp:posOffset>
              </wp:positionV>
              <wp:extent cx="502920" cy="79375"/>
              <wp:wrapNone/>
              <wp:docPr id="47" name="Shape 47"/>
              <a:graphic xmlns:a="http://schemas.openxmlformats.org/drawingml/2006/main">
                <a:graphicData uri="http://schemas.microsoft.com/office/word/2010/wordprocessingShape">
                  <wps:wsp>
                    <wps:cNvSpPr txBox="1"/>
                    <wps:spPr>
                      <a:xfrm>
                        <a:ext cx="50292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ŽIDOVSl'VO</w:t>
                          </w:r>
                        </w:p>
                      </w:txbxContent>
                    </wps:txbx>
                    <wps:bodyPr wrap="none" lIns="0" tIns="0" rIns="0" bIns="0">
                      <a:spAutoFit/>
                    </wps:bodyPr>
                  </wps:wsp>
                </a:graphicData>
              </a:graphic>
            </wp:anchor>
          </w:drawing>
        </mc:Choice>
        <mc:Fallback>
          <w:pict>
            <v:shape id="_x0000_s1073" type="#_x0000_t202" style="position:absolute;margin-left:11.949999999999999pt;margin-top:32.149999999999999pt;width:39.600000000000001pt;height:6.25pt;z-index:-18874403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ŽIDOVSl'VO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520065</wp:posOffset>
              </wp:positionV>
              <wp:extent cx="4020185" cy="0"/>
              <wp:wrapNone/>
              <wp:docPr id="49" name="Shape 4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0.950000000000003pt;width:316.55000000000001pt;height:0;z-index:-251658240;mso-position-horizontal-relative:page;mso-position-vertical-relative:page">
              <v:stroke weight="1.pt"/>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7" behindDoc="1" locked="0" layoutInCell="1" allowOverlap="1">
              <wp:simplePos x="0" y="0"/>
              <wp:positionH relativeFrom="page">
                <wp:posOffset>3661410</wp:posOffset>
              </wp:positionH>
              <wp:positionV relativeFrom="page">
                <wp:posOffset>405765</wp:posOffset>
              </wp:positionV>
              <wp:extent cx="499745" cy="76200"/>
              <wp:wrapNone/>
              <wp:docPr id="52" name="Shape 52"/>
              <a:graphic xmlns:a="http://schemas.openxmlformats.org/drawingml/2006/main">
                <a:graphicData uri="http://schemas.microsoft.com/office/word/2010/wordprocessingShape">
                  <wps:wsp>
                    <wps:cNvSpPr txBox="1"/>
                    <wps:spPr>
                      <a:xfrm>
                        <a:ext cx="499745"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wps:txbx>
                    <wps:bodyPr wrap="none" lIns="0" tIns="0" rIns="0" bIns="0">
                      <a:spAutoFit/>
                    </wps:bodyPr>
                  </wps:wsp>
                </a:graphicData>
              </a:graphic>
            </wp:anchor>
          </w:drawing>
        </mc:Choice>
        <mc:Fallback>
          <w:pict>
            <v:shape id="_x0000_s1078" type="#_x0000_t202" style="position:absolute;margin-left:288.30000000000001pt;margin-top:31.949999999999999pt;width:39.350000000000001pt;height:6.pt;z-index:-18874402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523875</wp:posOffset>
              </wp:positionV>
              <wp:extent cx="4023360" cy="0"/>
              <wp:wrapNone/>
              <wp:docPr id="54" name="Shape 5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5pt;margin-top:41.25pt;width:316.80000000000001pt;height:0;z-index:-251658240;mso-position-horizontal-relative:page;mso-position-vertical-relative:page">
              <v:stroke weight="1.pt"/>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1" behindDoc="1" locked="0" layoutInCell="1" allowOverlap="1">
              <wp:simplePos x="0" y="0"/>
              <wp:positionH relativeFrom="page">
                <wp:posOffset>3660140</wp:posOffset>
              </wp:positionH>
              <wp:positionV relativeFrom="page">
                <wp:posOffset>405765</wp:posOffset>
              </wp:positionV>
              <wp:extent cx="499745" cy="79375"/>
              <wp:wrapNone/>
              <wp:docPr id="57" name="Shape 57"/>
              <a:graphic xmlns:a="http://schemas.openxmlformats.org/drawingml/2006/main">
                <a:graphicData uri="http://schemas.microsoft.com/office/word/2010/wordprocessingShape">
                  <wps:wsp>
                    <wps:cNvSpPr txBox="1"/>
                    <wps:spPr>
                      <a:xfrm>
                        <a:ext cx="49974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wps:txbx>
                    <wps:bodyPr wrap="none" lIns="0" tIns="0" rIns="0" bIns="0">
                      <a:spAutoFit/>
                    </wps:bodyPr>
                  </wps:wsp>
                </a:graphicData>
              </a:graphic>
            </wp:anchor>
          </w:drawing>
        </mc:Choice>
        <mc:Fallback>
          <w:pict>
            <v:shape id="_x0000_s1083" type="#_x0000_t202" style="position:absolute;margin-left:288.19999999999999pt;margin-top:31.949999999999999pt;width:39.350000000000001pt;height:6.25pt;z-index:-18874402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14470" cy="0"/>
              <wp:wrapNone/>
              <wp:docPr id="59" name="Shape 5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5pt;margin-top:40.950000000000003pt;width:316.10000000000002pt;height:0;z-index:-251658240;mso-position-horizontal-relative:page;mso-position-vertical-relative:page">
              <v:stroke weight="1.pt"/>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5" behindDoc="1" locked="0" layoutInCell="1" allowOverlap="1">
              <wp:simplePos x="0" y="0"/>
              <wp:positionH relativeFrom="page">
                <wp:posOffset>3660140</wp:posOffset>
              </wp:positionH>
              <wp:positionV relativeFrom="page">
                <wp:posOffset>405765</wp:posOffset>
              </wp:positionV>
              <wp:extent cx="499745" cy="79375"/>
              <wp:wrapNone/>
              <wp:docPr id="62" name="Shape 62"/>
              <a:graphic xmlns:a="http://schemas.openxmlformats.org/drawingml/2006/main">
                <a:graphicData uri="http://schemas.microsoft.com/office/word/2010/wordprocessingShape">
                  <wps:wsp>
                    <wps:cNvSpPr txBox="1"/>
                    <wps:spPr>
                      <a:xfrm>
                        <a:ext cx="49974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wps:txbx>
                    <wps:bodyPr wrap="none" lIns="0" tIns="0" rIns="0" bIns="0">
                      <a:spAutoFit/>
                    </wps:bodyPr>
                  </wps:wsp>
                </a:graphicData>
              </a:graphic>
            </wp:anchor>
          </w:drawing>
        </mc:Choice>
        <mc:Fallback>
          <w:pict>
            <v:shape id="_x0000_s1088" type="#_x0000_t202" style="position:absolute;margin-left:288.19999999999999pt;margin-top:31.949999999999999pt;width:39.350000000000001pt;height:6.25pt;z-index:-18874401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14470" cy="0"/>
              <wp:wrapNone/>
              <wp:docPr id="64" name="Shape 6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5pt;margin-top:40.950000000000003pt;width:316.10000000000002pt;height:0;z-index:-251658240;mso-position-horizontal-relative:page;mso-position-vertical-relative:page">
              <v:stroke weight="1.pt"/>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9" behindDoc="1" locked="0" layoutInCell="1" allowOverlap="1">
              <wp:simplePos x="0" y="0"/>
              <wp:positionH relativeFrom="page">
                <wp:posOffset>146050</wp:posOffset>
              </wp:positionH>
              <wp:positionV relativeFrom="page">
                <wp:posOffset>414655</wp:posOffset>
              </wp:positionV>
              <wp:extent cx="496570" cy="76200"/>
              <wp:wrapNone/>
              <wp:docPr id="67" name="Shape 67"/>
              <a:graphic xmlns:a="http://schemas.openxmlformats.org/drawingml/2006/main">
                <a:graphicData uri="http://schemas.microsoft.com/office/word/2010/wordprocessingShape">
                  <wps:wsp>
                    <wps:cNvSpPr txBox="1"/>
                    <wps:spPr>
                      <a:xfrm>
                        <a:ext cx="496570"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wps:txbx>
                    <wps:bodyPr wrap="none" lIns="0" tIns="0" rIns="0" bIns="0">
                      <a:spAutoFit/>
                    </wps:bodyPr>
                  </wps:wsp>
                </a:graphicData>
              </a:graphic>
            </wp:anchor>
          </w:drawing>
        </mc:Choice>
        <mc:Fallback>
          <w:pict>
            <v:shape id="_x0000_s1093" type="#_x0000_t202" style="position:absolute;margin-left:11.5pt;margin-top:32.649999999999999pt;width:39.100000000000001pt;height:6.pt;z-index:-18874401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17010" cy="0"/>
              <wp:wrapNone/>
              <wp:docPr id="69" name="Shape 6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40.950000000000003pt;width:316.30000000000001pt;height:0;z-index:-251658240;mso-position-horizontal-relative:page;mso-position-vertical-relative:page">
              <v:stroke weight="1.pt"/>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3" behindDoc="1" locked="0" layoutInCell="1" allowOverlap="1">
              <wp:simplePos x="0" y="0"/>
              <wp:positionH relativeFrom="page">
                <wp:posOffset>146050</wp:posOffset>
              </wp:positionH>
              <wp:positionV relativeFrom="page">
                <wp:posOffset>414655</wp:posOffset>
              </wp:positionV>
              <wp:extent cx="496570" cy="76200"/>
              <wp:wrapNone/>
              <wp:docPr id="72" name="Shape 72"/>
              <a:graphic xmlns:a="http://schemas.openxmlformats.org/drawingml/2006/main">
                <a:graphicData uri="http://schemas.microsoft.com/office/word/2010/wordprocessingShape">
                  <wps:wsp>
                    <wps:cNvSpPr txBox="1"/>
                    <wps:spPr>
                      <a:xfrm>
                        <a:ext cx="496570"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wps:txbx>
                    <wps:bodyPr wrap="none" lIns="0" tIns="0" rIns="0" bIns="0">
                      <a:spAutoFit/>
                    </wps:bodyPr>
                  </wps:wsp>
                </a:graphicData>
              </a:graphic>
            </wp:anchor>
          </w:drawing>
        </mc:Choice>
        <mc:Fallback>
          <w:pict>
            <v:shape id="_x0000_s1098" type="#_x0000_t202" style="position:absolute;margin-left:11.5pt;margin-top:32.649999999999999pt;width:39.100000000000001pt;height:6.pt;z-index:-18874401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17010" cy="0"/>
              <wp:wrapNone/>
              <wp:docPr id="74" name="Shape 7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40.950000000000003pt;width:316.30000000000001pt;height:0;z-index:-251658240;mso-position-horizontal-relative:page;mso-position-vertical-relative:page">
              <v:stroke weight="1.pt"/>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1" behindDoc="1" locked="0" layoutInCell="1" allowOverlap="1">
              <wp:simplePos x="0" y="0"/>
              <wp:positionH relativeFrom="page">
                <wp:posOffset>3661410</wp:posOffset>
              </wp:positionH>
              <wp:positionV relativeFrom="page">
                <wp:posOffset>408305</wp:posOffset>
              </wp:positionV>
              <wp:extent cx="499745" cy="79375"/>
              <wp:wrapNone/>
              <wp:docPr id="81" name="Shape 81"/>
              <a:graphic xmlns:a="http://schemas.openxmlformats.org/drawingml/2006/main">
                <a:graphicData uri="http://schemas.microsoft.com/office/word/2010/wordprocessingShape">
                  <wps:wsp>
                    <wps:cNvSpPr txBox="1"/>
                    <wps:spPr>
                      <a:xfrm>
                        <a:ext cx="49974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wps:txbx>
                    <wps:bodyPr wrap="none" lIns="0" tIns="0" rIns="0" bIns="0">
                      <a:spAutoFit/>
                    </wps:bodyPr>
                  </wps:wsp>
                </a:graphicData>
              </a:graphic>
            </wp:anchor>
          </w:drawing>
        </mc:Choice>
        <mc:Fallback>
          <w:pict>
            <v:shape id="_x0000_s1107" type="#_x0000_t202" style="position:absolute;margin-left:288.30000000000001pt;margin-top:32.149999999999999pt;width:39.350000000000001pt;height:6.25pt;z-index:-18874400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523875</wp:posOffset>
              </wp:positionV>
              <wp:extent cx="4020185" cy="0"/>
              <wp:wrapNone/>
              <wp:docPr id="83" name="Shape 8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pt;margin-top:41.25pt;width:316.55000000000001pt;height:0;z-index:-251658240;mso-position-horizontal-relative:page;mso-position-vertical-relative:page">
              <v:stroke weight="1.pt"/>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3" behindDoc="1" locked="0" layoutInCell="1" allowOverlap="1">
              <wp:simplePos x="0" y="0"/>
              <wp:positionH relativeFrom="page">
                <wp:posOffset>159385</wp:posOffset>
              </wp:positionH>
              <wp:positionV relativeFrom="page">
                <wp:posOffset>421005</wp:posOffset>
              </wp:positionV>
              <wp:extent cx="563880" cy="79375"/>
              <wp:wrapNone/>
              <wp:docPr id="84" name="Shape 84"/>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10" type="#_x0000_t202" style="position:absolute;margin-left:12.550000000000001pt;margin-top:33.149999999999999pt;width:44.399999999999999pt;height:6.25pt;z-index:-18874400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533400</wp:posOffset>
              </wp:positionV>
              <wp:extent cx="4017010" cy="0"/>
              <wp:wrapNone/>
              <wp:docPr id="86" name="Shape 8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00000000000001pt;margin-top:42.pt;width:316.30000000000001pt;height:0;z-index:-251658240;mso-position-horizontal-relative:page;mso-position-vertical-relative:page">
              <v:stroke weight="1.pt"/>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7" behindDoc="1" locked="0" layoutInCell="1" allowOverlap="1">
              <wp:simplePos x="0" y="0"/>
              <wp:positionH relativeFrom="page">
                <wp:posOffset>159385</wp:posOffset>
              </wp:positionH>
              <wp:positionV relativeFrom="page">
                <wp:posOffset>421005</wp:posOffset>
              </wp:positionV>
              <wp:extent cx="563880" cy="79375"/>
              <wp:wrapNone/>
              <wp:docPr id="89" name="Shape 89"/>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15" type="#_x0000_t202" style="position:absolute;margin-left:12.550000000000001pt;margin-top:33.149999999999999pt;width:44.399999999999999pt;height:6.25pt;z-index:-18874399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533400</wp:posOffset>
              </wp:positionV>
              <wp:extent cx="4017010" cy="0"/>
              <wp:wrapNone/>
              <wp:docPr id="91" name="Shape 9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00000000000001pt;margin-top:42.pt;width:316.30000000000001pt;height:0;z-index:-251658240;mso-position-horizontal-relative:page;mso-position-vertical-relative:page">
              <v:stroke weight="1.pt"/>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158115</wp:posOffset>
              </wp:positionH>
              <wp:positionV relativeFrom="page">
                <wp:posOffset>402590</wp:posOffset>
              </wp:positionV>
              <wp:extent cx="567055" cy="79375"/>
              <wp:wrapNone/>
              <wp:docPr id="94" name="Shape 94"/>
              <a:graphic xmlns:a="http://schemas.openxmlformats.org/drawingml/2006/main">
                <a:graphicData uri="http://schemas.microsoft.com/office/word/2010/wordprocessingShape">
                  <wps:wsp>
                    <wps:cNvSpPr txBox="1"/>
                    <wps:spPr>
                      <a:xfrm>
                        <a:ext cx="56705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20" type="#_x0000_t202" style="position:absolute;margin-left:12.449999999999999pt;margin-top:31.699999999999999pt;width:44.649999999999999pt;height:6.25pt;z-index:-18874399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518160</wp:posOffset>
              </wp:positionV>
              <wp:extent cx="4023360" cy="0"/>
              <wp:wrapNone/>
              <wp:docPr id="96" name="Shape 9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0.799999999999997pt;width:316.80000000000001pt;height:0;z-index:-251658240;mso-position-horizontal-relative:page;mso-position-vertical-relative:page">
              <v:stroke weight="1.pt"/>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5" behindDoc="1" locked="0" layoutInCell="1" allowOverlap="1">
              <wp:simplePos x="0" y="0"/>
              <wp:positionH relativeFrom="page">
                <wp:posOffset>158115</wp:posOffset>
              </wp:positionH>
              <wp:positionV relativeFrom="page">
                <wp:posOffset>402590</wp:posOffset>
              </wp:positionV>
              <wp:extent cx="567055" cy="79375"/>
              <wp:wrapNone/>
              <wp:docPr id="99" name="Shape 99"/>
              <a:graphic xmlns:a="http://schemas.openxmlformats.org/drawingml/2006/main">
                <a:graphicData uri="http://schemas.microsoft.com/office/word/2010/wordprocessingShape">
                  <wps:wsp>
                    <wps:cNvSpPr txBox="1"/>
                    <wps:spPr>
                      <a:xfrm>
                        <a:ext cx="56705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25" type="#_x0000_t202" style="position:absolute;margin-left:12.449999999999999pt;margin-top:31.699999999999999pt;width:44.649999999999999pt;height:6.25pt;z-index:-18874398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518160</wp:posOffset>
              </wp:positionV>
              <wp:extent cx="4023360" cy="0"/>
              <wp:wrapNone/>
              <wp:docPr id="101" name="Shape 10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0.799999999999997pt;width:316.80000000000001pt;height:0;z-index:-251658240;mso-position-horizontal-relative:page;mso-position-vertical-relative:page">
              <v:stroke weight="1.pt"/>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3597910</wp:posOffset>
              </wp:positionH>
              <wp:positionV relativeFrom="page">
                <wp:posOffset>405765</wp:posOffset>
              </wp:positionV>
              <wp:extent cx="560705" cy="76200"/>
              <wp:wrapNone/>
              <wp:docPr id="104" name="Shape 104"/>
              <a:graphic xmlns:a="http://schemas.openxmlformats.org/drawingml/2006/main">
                <a:graphicData uri="http://schemas.microsoft.com/office/word/2010/wordprocessingShape">
                  <wps:wsp>
                    <wps:cNvSpPr txBox="1"/>
                    <wps:spPr>
                      <a:xfrm>
                        <a:ext cx="560705"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30" type="#_x0000_t202" style="position:absolute;margin-left:283.30000000000001pt;margin-top:31.949999999999999pt;width:44.149999999999999pt;height:6.pt;z-index:-18874398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522605</wp:posOffset>
              </wp:positionV>
              <wp:extent cx="4011295" cy="0"/>
              <wp:wrapNone/>
              <wp:docPr id="106" name="Shape 106"/>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1pt;margin-top:41.149999999999999pt;width:315.85000000000002pt;height:0;z-index:-251658240;mso-position-horizontal-relative:page;mso-position-vertical-relative:page">
              <v:stroke weight="1.pt"/>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3588385</wp:posOffset>
              </wp:positionH>
              <wp:positionV relativeFrom="page">
                <wp:posOffset>423545</wp:posOffset>
              </wp:positionV>
              <wp:extent cx="570230" cy="79375"/>
              <wp:wrapNone/>
              <wp:docPr id="109" name="Shape 109"/>
              <a:graphic xmlns:a="http://schemas.openxmlformats.org/drawingml/2006/main">
                <a:graphicData uri="http://schemas.microsoft.com/office/word/2010/wordprocessingShape">
                  <wps:wsp>
                    <wps:cNvSpPr txBox="1"/>
                    <wps:spPr>
                      <a:xfrm>
                        <a:ext cx="57023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35" type="#_x0000_t202" style="position:absolute;margin-left:282.55000000000001pt;margin-top:33.350000000000001pt;width:44.899999999999999pt;height:6.25pt;z-index:-18874398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542290</wp:posOffset>
              </wp:positionV>
              <wp:extent cx="4020185" cy="0"/>
              <wp:wrapNone/>
              <wp:docPr id="111" name="Shape 11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pt;margin-top:42.700000000000003pt;width:316.55000000000001pt;height:0;z-index:-251658240;mso-position-horizontal-relative:page;mso-position-vertical-relative:page">
              <v:stroke weight="1.pt"/>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3588385</wp:posOffset>
              </wp:positionH>
              <wp:positionV relativeFrom="page">
                <wp:posOffset>423545</wp:posOffset>
              </wp:positionV>
              <wp:extent cx="570230" cy="79375"/>
              <wp:wrapNone/>
              <wp:docPr id="112" name="Shape 112"/>
              <a:graphic xmlns:a="http://schemas.openxmlformats.org/drawingml/2006/main">
                <a:graphicData uri="http://schemas.microsoft.com/office/word/2010/wordprocessingShape">
                  <wps:wsp>
                    <wps:cNvSpPr txBox="1"/>
                    <wps:spPr>
                      <a:xfrm>
                        <a:ext cx="57023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38" type="#_x0000_t202" style="position:absolute;margin-left:282.55000000000001pt;margin-top:33.350000000000001pt;width:44.899999999999999pt;height:6.25pt;z-index:-18874397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542290</wp:posOffset>
              </wp:positionV>
              <wp:extent cx="4020185" cy="0"/>
              <wp:wrapNone/>
              <wp:docPr id="114" name="Shape 11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pt;margin-top:42.700000000000003pt;width:316.55000000000001pt;height:0;z-index:-251658240;mso-position-horizontal-relative:page;mso-position-vertical-relative:page">
              <v:stroke weight="1.pt"/>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158115</wp:posOffset>
              </wp:positionH>
              <wp:positionV relativeFrom="page">
                <wp:posOffset>402590</wp:posOffset>
              </wp:positionV>
              <wp:extent cx="567055" cy="79375"/>
              <wp:wrapNone/>
              <wp:docPr id="115" name="Shape 115"/>
              <a:graphic xmlns:a="http://schemas.openxmlformats.org/drawingml/2006/main">
                <a:graphicData uri="http://schemas.microsoft.com/office/word/2010/wordprocessingShape">
                  <wps:wsp>
                    <wps:cNvSpPr txBox="1"/>
                    <wps:spPr>
                      <a:xfrm>
                        <a:ext cx="56705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41" type="#_x0000_t202" style="position:absolute;margin-left:12.449999999999999pt;margin-top:31.699999999999999pt;width:44.649999999999999pt;height:6.25pt;z-index:-18874397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518160</wp:posOffset>
              </wp:positionV>
              <wp:extent cx="4023360" cy="0"/>
              <wp:wrapNone/>
              <wp:docPr id="117" name="Shape 11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0.799999999999997pt;width:316.80000000000001pt;height:0;z-index:-251658240;mso-position-horizontal-relative:page;mso-position-vertical-relative:page">
              <v:stroke weight="1.pt"/>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1" behindDoc="1" locked="0" layoutInCell="1" allowOverlap="1">
              <wp:simplePos x="0" y="0"/>
              <wp:positionH relativeFrom="page">
                <wp:posOffset>158115</wp:posOffset>
              </wp:positionH>
              <wp:positionV relativeFrom="page">
                <wp:posOffset>402590</wp:posOffset>
              </wp:positionV>
              <wp:extent cx="567055" cy="79375"/>
              <wp:wrapNone/>
              <wp:docPr id="120" name="Shape 120"/>
              <a:graphic xmlns:a="http://schemas.openxmlformats.org/drawingml/2006/main">
                <a:graphicData uri="http://schemas.microsoft.com/office/word/2010/wordprocessingShape">
                  <wps:wsp>
                    <wps:cNvSpPr txBox="1"/>
                    <wps:spPr>
                      <a:xfrm>
                        <a:ext cx="56705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46" type="#_x0000_t202" style="position:absolute;margin-left:12.449999999999999pt;margin-top:31.699999999999999pt;width:44.649999999999999pt;height:6.25pt;z-index:-18874397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518160</wp:posOffset>
              </wp:positionV>
              <wp:extent cx="4023360" cy="0"/>
              <wp:wrapNone/>
              <wp:docPr id="122" name="Shape 12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0.799999999999997pt;width:316.80000000000001pt;height:0;z-index:-251658240;mso-position-horizontal-relative:page;mso-position-vertical-relative:page">
              <v:stroke weight="1.pt"/>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5" behindDoc="1" locked="0" layoutInCell="1" allowOverlap="1">
              <wp:simplePos x="0" y="0"/>
              <wp:positionH relativeFrom="page">
                <wp:posOffset>3594735</wp:posOffset>
              </wp:positionH>
              <wp:positionV relativeFrom="page">
                <wp:posOffset>402590</wp:posOffset>
              </wp:positionV>
              <wp:extent cx="563880" cy="79375"/>
              <wp:wrapNone/>
              <wp:docPr id="125" name="Shape 125"/>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51" type="#_x0000_t202" style="position:absolute;margin-left:283.05000000000001pt;margin-top:31.699999999999999pt;width:44.399999999999999pt;height:6.25pt;z-index:-18874396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520065</wp:posOffset>
              </wp:positionV>
              <wp:extent cx="4017010" cy="0"/>
              <wp:wrapNone/>
              <wp:docPr id="127" name="Shape 12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40.950000000000003pt;width:316.30000000000001pt;height:0;z-index:-251658240;mso-position-horizontal-relative:page;mso-position-vertical-relative:page">
              <v:stroke weight="1.pt"/>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9" behindDoc="1" locked="0" layoutInCell="1" allowOverlap="1">
              <wp:simplePos x="0" y="0"/>
              <wp:positionH relativeFrom="page">
                <wp:posOffset>3594735</wp:posOffset>
              </wp:positionH>
              <wp:positionV relativeFrom="page">
                <wp:posOffset>402590</wp:posOffset>
              </wp:positionV>
              <wp:extent cx="563880" cy="79375"/>
              <wp:wrapNone/>
              <wp:docPr id="130" name="Shape 130"/>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56" type="#_x0000_t202" style="position:absolute;margin-left:283.05000000000001pt;margin-top:31.699999999999999pt;width:44.399999999999999pt;height:6.25pt;z-index:-18874396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520065</wp:posOffset>
              </wp:positionV>
              <wp:extent cx="4017010" cy="0"/>
              <wp:wrapNone/>
              <wp:docPr id="132" name="Shape 13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40.950000000000003pt;width:316.30000000000001pt;height:0;z-index:-251658240;mso-position-horizontal-relative:page;mso-position-vertical-relative:page">
              <v:stroke weight="1.pt"/>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158115</wp:posOffset>
              </wp:positionH>
              <wp:positionV relativeFrom="page">
                <wp:posOffset>402590</wp:posOffset>
              </wp:positionV>
              <wp:extent cx="567055" cy="79375"/>
              <wp:wrapNone/>
              <wp:docPr id="135" name="Shape 135"/>
              <a:graphic xmlns:a="http://schemas.openxmlformats.org/drawingml/2006/main">
                <a:graphicData uri="http://schemas.microsoft.com/office/word/2010/wordprocessingShape">
                  <wps:wsp>
                    <wps:cNvSpPr txBox="1"/>
                    <wps:spPr>
                      <a:xfrm>
                        <a:ext cx="56705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61" type="#_x0000_t202" style="position:absolute;margin-left:12.449999999999999pt;margin-top:31.699999999999999pt;width:44.649999999999999pt;height:6.25pt;z-index:-18874396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518160</wp:posOffset>
              </wp:positionV>
              <wp:extent cx="4023360" cy="0"/>
              <wp:wrapNone/>
              <wp:docPr id="137" name="Shape 13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0.799999999999997pt;width:316.80000000000001pt;height:0;z-index:-251658240;mso-position-horizontal-relative:page;mso-position-vertical-relative:page">
              <v:stroke weight="1.pt"/>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158115</wp:posOffset>
              </wp:positionH>
              <wp:positionV relativeFrom="page">
                <wp:posOffset>402590</wp:posOffset>
              </wp:positionV>
              <wp:extent cx="567055" cy="79375"/>
              <wp:wrapNone/>
              <wp:docPr id="140" name="Shape 140"/>
              <a:graphic xmlns:a="http://schemas.openxmlformats.org/drawingml/2006/main">
                <a:graphicData uri="http://schemas.microsoft.com/office/word/2010/wordprocessingShape">
                  <wps:wsp>
                    <wps:cNvSpPr txBox="1"/>
                    <wps:spPr>
                      <a:xfrm>
                        <a:ext cx="567055" cy="7937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wps:txbx>
                    <wps:bodyPr wrap="none" lIns="0" tIns="0" rIns="0" bIns="0">
                      <a:spAutoFit/>
                    </wps:bodyPr>
                  </wps:wsp>
                </a:graphicData>
              </a:graphic>
            </wp:anchor>
          </w:drawing>
        </mc:Choice>
        <mc:Fallback>
          <w:pict>
            <v:shape id="_x0000_s1166" type="#_x0000_t202" style="position:absolute;margin-left:12.449999999999999pt;margin-top:31.699999999999999pt;width:44.649999999999999pt;height:6.25pt;z-index:-18874395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518160</wp:posOffset>
              </wp:positionV>
              <wp:extent cx="4023360" cy="0"/>
              <wp:wrapNone/>
              <wp:docPr id="142" name="Shape 14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0.799999999999997pt;width:316.80000000000001pt;height:0;z-index:-251658240;mso-position-horizontal-relative:page;mso-position-vertical-relative:page">
              <v:stroke weight="1.pt"/>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1" behindDoc="1" locked="0" layoutInCell="1" allowOverlap="1">
              <wp:simplePos x="0" y="0"/>
              <wp:positionH relativeFrom="page">
                <wp:posOffset>3914775</wp:posOffset>
              </wp:positionH>
              <wp:positionV relativeFrom="page">
                <wp:posOffset>411480</wp:posOffset>
              </wp:positionV>
              <wp:extent cx="250190" cy="57785"/>
              <wp:wrapNone/>
              <wp:docPr id="145" name="Shape 145"/>
              <a:graphic xmlns:a="http://schemas.openxmlformats.org/drawingml/2006/main">
                <a:graphicData uri="http://schemas.microsoft.com/office/word/2010/wordprocessingShape">
                  <wps:wsp>
                    <wps:cNvSpPr txBox="1"/>
                    <wps:spPr>
                      <a:xfrm>
                        <a:ext cx="250190" cy="577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wps:txbx>
                    <wps:bodyPr wrap="none" lIns="0" tIns="0" rIns="0" bIns="0">
                      <a:spAutoFit/>
                    </wps:bodyPr>
                  </wps:wsp>
                </a:graphicData>
              </a:graphic>
            </wp:anchor>
          </w:drawing>
        </mc:Choice>
        <mc:Fallback>
          <w:pict>
            <v:shape id="_x0000_s1171" type="#_x0000_t202" style="position:absolute;margin-left:308.25pt;margin-top:32.399999999999999pt;width:19.699999999999999pt;height:4.5499999999999998pt;z-index:-18874395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517525</wp:posOffset>
              </wp:positionV>
              <wp:extent cx="4014470" cy="0"/>
              <wp:wrapNone/>
              <wp:docPr id="147" name="Shape 147"/>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pt;margin-top:40.75pt;width:316.10000000000002pt;height:0;z-index:-251658240;mso-position-horizontal-relative:page;mso-position-vertical-relative:page">
              <v:stroke weight="1.pt"/>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149225</wp:posOffset>
              </wp:positionH>
              <wp:positionV relativeFrom="page">
                <wp:posOffset>411480</wp:posOffset>
              </wp:positionV>
              <wp:extent cx="250190" cy="57785"/>
              <wp:wrapNone/>
              <wp:docPr id="148" name="Shape 148"/>
              <a:graphic xmlns:a="http://schemas.openxmlformats.org/drawingml/2006/main">
                <a:graphicData uri="http://schemas.microsoft.com/office/word/2010/wordprocessingShape">
                  <wps:wsp>
                    <wps:cNvSpPr txBox="1"/>
                    <wps:spPr>
                      <a:xfrm>
                        <a:ext cx="250190" cy="577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wps:txbx>
                    <wps:bodyPr wrap="none" lIns="0" tIns="0" rIns="0" bIns="0">
                      <a:spAutoFit/>
                    </wps:bodyPr>
                  </wps:wsp>
                </a:graphicData>
              </a:graphic>
            </wp:anchor>
          </w:drawing>
        </mc:Choice>
        <mc:Fallback>
          <w:pict>
            <v:shape id="_x0000_s1174" type="#_x0000_t202" style="position:absolute;margin-left:11.75pt;margin-top:32.399999999999999pt;width:19.699999999999999pt;height:4.5499999999999998pt;z-index:-18874395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505460</wp:posOffset>
              </wp:positionV>
              <wp:extent cx="4017010" cy="0"/>
              <wp:wrapNone/>
              <wp:docPr id="150" name="Shape 15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39.799999999999997pt;width:316.30000000000001pt;height:0;z-index:-251658240;mso-position-horizontal-relative:page;mso-position-vertical-relative:page">
              <v:stroke weight="1.pt"/>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5" behindDoc="1" locked="0" layoutInCell="1" allowOverlap="1">
              <wp:simplePos x="0" y="0"/>
              <wp:positionH relativeFrom="page">
                <wp:posOffset>150495</wp:posOffset>
              </wp:positionH>
              <wp:positionV relativeFrom="page">
                <wp:posOffset>411480</wp:posOffset>
              </wp:positionV>
              <wp:extent cx="252730" cy="60960"/>
              <wp:wrapNone/>
              <wp:docPr id="151" name="Shape 151"/>
              <a:graphic xmlns:a="http://schemas.openxmlformats.org/drawingml/2006/main">
                <a:graphicData uri="http://schemas.microsoft.com/office/word/2010/wordprocessingShape">
                  <wps:wsp>
                    <wps:cNvSpPr txBox="1"/>
                    <wps:spPr>
                      <a:xfrm>
                        <a:ext cx="25273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ISIAM</w:t>
                          </w:r>
                        </w:p>
                      </w:txbxContent>
                    </wps:txbx>
                    <wps:bodyPr wrap="none" lIns="0" tIns="0" rIns="0" bIns="0">
                      <a:spAutoFit/>
                    </wps:bodyPr>
                  </wps:wsp>
                </a:graphicData>
              </a:graphic>
            </wp:anchor>
          </w:drawing>
        </mc:Choice>
        <mc:Fallback>
          <w:pict>
            <v:shape id="_x0000_s1177" type="#_x0000_t202" style="position:absolute;margin-left:11.85pt;margin-top:32.399999999999999pt;width:19.899999999999999pt;height:4.7999999999999998pt;z-index:-18874394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ISIAM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502285</wp:posOffset>
              </wp:positionV>
              <wp:extent cx="4020185" cy="0"/>
              <wp:wrapNone/>
              <wp:docPr id="153" name="Shape 15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pt;margin-top:39.549999999999997pt;width:316.55000000000001pt;height:0;z-index:-251658240;mso-position-horizontal-relative:page;mso-position-vertical-relative:page">
              <v:stroke weight="1.pt"/>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7" behindDoc="1" locked="0" layoutInCell="1" allowOverlap="1">
              <wp:simplePos x="0" y="0"/>
              <wp:positionH relativeFrom="page">
                <wp:posOffset>150495</wp:posOffset>
              </wp:positionH>
              <wp:positionV relativeFrom="page">
                <wp:posOffset>411480</wp:posOffset>
              </wp:positionV>
              <wp:extent cx="252730" cy="60960"/>
              <wp:wrapNone/>
              <wp:docPr id="154" name="Shape 154"/>
              <a:graphic xmlns:a="http://schemas.openxmlformats.org/drawingml/2006/main">
                <a:graphicData uri="http://schemas.microsoft.com/office/word/2010/wordprocessingShape">
                  <wps:wsp>
                    <wps:cNvSpPr txBox="1"/>
                    <wps:spPr>
                      <a:xfrm>
                        <a:ext cx="25273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ISIAM</w:t>
                          </w:r>
                        </w:p>
                      </w:txbxContent>
                    </wps:txbx>
                    <wps:bodyPr wrap="none" lIns="0" tIns="0" rIns="0" bIns="0">
                      <a:spAutoFit/>
                    </wps:bodyPr>
                  </wps:wsp>
                </a:graphicData>
              </a:graphic>
            </wp:anchor>
          </w:drawing>
        </mc:Choice>
        <mc:Fallback>
          <w:pict>
            <v:shape id="_x0000_s1180" type="#_x0000_t202" style="position:absolute;margin-left:11.85pt;margin-top:32.399999999999999pt;width:19.899999999999999pt;height:4.7999999999999998pt;z-index:-18874394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ISIAM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502285</wp:posOffset>
              </wp:positionV>
              <wp:extent cx="4020185" cy="0"/>
              <wp:wrapNone/>
              <wp:docPr id="156" name="Shape 15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pt;margin-top:39.549999999999997pt;width:316.55000000000001pt;height:0;z-index:-251658240;mso-position-horizontal-relative:page;mso-position-vertical-relative:page">
              <v:stroke weight="1.pt"/>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9" behindDoc="1" locked="0" layoutInCell="1" allowOverlap="1">
              <wp:simplePos x="0" y="0"/>
              <wp:positionH relativeFrom="page">
                <wp:posOffset>3907155</wp:posOffset>
              </wp:positionH>
              <wp:positionV relativeFrom="page">
                <wp:posOffset>525780</wp:posOffset>
              </wp:positionV>
              <wp:extent cx="252730" cy="64135"/>
              <wp:wrapNone/>
              <wp:docPr id="157" name="Shape 157"/>
              <a:graphic xmlns:a="http://schemas.openxmlformats.org/drawingml/2006/main">
                <a:graphicData uri="http://schemas.microsoft.com/office/word/2010/wordprocessingShape">
                  <wps:wsp>
                    <wps:cNvSpPr txBox="1"/>
                    <wps:spPr>
                      <a:xfrm>
                        <a:ext cx="252730"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wps:txbx>
                    <wps:bodyPr wrap="none" lIns="0" tIns="0" rIns="0" bIns="0">
                      <a:spAutoFit/>
                    </wps:bodyPr>
                  </wps:wsp>
                </a:graphicData>
              </a:graphic>
            </wp:anchor>
          </w:drawing>
        </mc:Choice>
        <mc:Fallback>
          <w:pict>
            <v:shape id="_x0000_s1183" type="#_x0000_t202" style="position:absolute;margin-left:307.64999999999998pt;margin-top:41.399999999999999pt;width:19.899999999999999pt;height:5.0499999999999998pt;z-index:-18874394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626110</wp:posOffset>
              </wp:positionV>
              <wp:extent cx="4017010" cy="0"/>
              <wp:wrapNone/>
              <wp:docPr id="159" name="Shape 15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75pt;margin-top:49.299999999999997pt;width:316.30000000000001pt;height:0;z-index:-251658240;mso-position-horizontal-relative:page;mso-position-vertical-relative:page">
              <v:stroke weight="1.pt"/>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3" behindDoc="1" locked="0" layoutInCell="1" allowOverlap="1">
              <wp:simplePos x="0" y="0"/>
              <wp:positionH relativeFrom="page">
                <wp:posOffset>3907155</wp:posOffset>
              </wp:positionH>
              <wp:positionV relativeFrom="page">
                <wp:posOffset>525780</wp:posOffset>
              </wp:positionV>
              <wp:extent cx="252730" cy="64135"/>
              <wp:wrapNone/>
              <wp:docPr id="162" name="Shape 162"/>
              <a:graphic xmlns:a="http://schemas.openxmlformats.org/drawingml/2006/main">
                <a:graphicData uri="http://schemas.microsoft.com/office/word/2010/wordprocessingShape">
                  <wps:wsp>
                    <wps:cNvSpPr txBox="1"/>
                    <wps:spPr>
                      <a:xfrm>
                        <a:ext cx="252730"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wps:txbx>
                    <wps:bodyPr wrap="none" lIns="0" tIns="0" rIns="0" bIns="0">
                      <a:spAutoFit/>
                    </wps:bodyPr>
                  </wps:wsp>
                </a:graphicData>
              </a:graphic>
            </wp:anchor>
          </w:drawing>
        </mc:Choice>
        <mc:Fallback>
          <w:pict>
            <v:shape id="_x0000_s1188" type="#_x0000_t202" style="position:absolute;margin-left:307.64999999999998pt;margin-top:41.399999999999999pt;width:19.899999999999999pt;height:5.0499999999999998pt;z-index:-18874394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ISLAM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626110</wp:posOffset>
              </wp:positionV>
              <wp:extent cx="4017010" cy="0"/>
              <wp:wrapNone/>
              <wp:docPr id="164" name="Shape 16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75pt;margin-top:49.299999999999997pt;width:316.30000000000001pt;height:0;z-index:-251658240;mso-position-horizontal-relative:page;mso-position-vertical-relative:page">
              <v:stroke weight="1.pt"/>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1" behindDoc="1" locked="0" layoutInCell="1" allowOverlap="1">
              <wp:simplePos x="0" y="0"/>
              <wp:positionH relativeFrom="page">
                <wp:posOffset>3329940</wp:posOffset>
              </wp:positionH>
              <wp:positionV relativeFrom="page">
                <wp:posOffset>388620</wp:posOffset>
              </wp:positionV>
              <wp:extent cx="844550" cy="64135"/>
              <wp:wrapNone/>
              <wp:docPr id="171" name="Shape 171"/>
              <a:graphic xmlns:a="http://schemas.openxmlformats.org/drawingml/2006/main">
                <a:graphicData uri="http://schemas.microsoft.com/office/word/2010/wordprocessingShape">
                  <wps:wsp>
                    <wps:cNvSpPr txBox="1"/>
                    <wps:spPr>
                      <a:xfrm>
                        <a:ext cx="844550"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ALAH/ALIJA/ANĐEO</w:t>
                          </w:r>
                        </w:p>
                      </w:txbxContent>
                    </wps:txbx>
                    <wps:bodyPr wrap="none" lIns="0" tIns="0" rIns="0" bIns="0">
                      <a:spAutoFit/>
                    </wps:bodyPr>
                  </wps:wsp>
                </a:graphicData>
              </a:graphic>
            </wp:anchor>
          </w:drawing>
        </mc:Choice>
        <mc:Fallback>
          <w:pict>
            <v:shape id="_x0000_s1197" type="#_x0000_t202" style="position:absolute;margin-left:262.19999999999999pt;margin-top:30.600000000000001pt;width:66.5pt;height:5.0499999999999998pt;z-index:-18874393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ALAH/ALIJA/ANĐEO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490855</wp:posOffset>
              </wp:positionV>
              <wp:extent cx="4017010" cy="0"/>
              <wp:wrapNone/>
              <wp:docPr id="173" name="Shape 17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38.649999999999999pt;width:316.30000000000001pt;height:0;z-index:-251658240;mso-position-horizontal-relative:page;mso-position-vertical-relative:page">
              <v:stroke weight="1.pt"/>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5" behindDoc="1" locked="0" layoutInCell="1" allowOverlap="1">
              <wp:simplePos x="0" y="0"/>
              <wp:positionH relativeFrom="page">
                <wp:posOffset>3329940</wp:posOffset>
              </wp:positionH>
              <wp:positionV relativeFrom="page">
                <wp:posOffset>388620</wp:posOffset>
              </wp:positionV>
              <wp:extent cx="844550" cy="64135"/>
              <wp:wrapNone/>
              <wp:docPr id="176" name="Shape 176"/>
              <a:graphic xmlns:a="http://schemas.openxmlformats.org/drawingml/2006/main">
                <a:graphicData uri="http://schemas.microsoft.com/office/word/2010/wordprocessingShape">
                  <wps:wsp>
                    <wps:cNvSpPr txBox="1"/>
                    <wps:spPr>
                      <a:xfrm>
                        <a:ext cx="844550"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ALAH/ALIJA/ANĐEO</w:t>
                          </w:r>
                        </w:p>
                      </w:txbxContent>
                    </wps:txbx>
                    <wps:bodyPr wrap="none" lIns="0" tIns="0" rIns="0" bIns="0">
                      <a:spAutoFit/>
                    </wps:bodyPr>
                  </wps:wsp>
                </a:graphicData>
              </a:graphic>
            </wp:anchor>
          </w:drawing>
        </mc:Choice>
        <mc:Fallback>
          <w:pict>
            <v:shape id="_x0000_s1202" type="#_x0000_t202" style="position:absolute;margin-left:262.19999999999999pt;margin-top:30.600000000000001pt;width:66.5pt;height:5.0499999999999998pt;z-index:-18874392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ALAH/ALIJA/ANĐEO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490855</wp:posOffset>
              </wp:positionV>
              <wp:extent cx="4017010" cy="0"/>
              <wp:wrapNone/>
              <wp:docPr id="178" name="Shape 17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38.649999999999999pt;width:316.30000000000001pt;height:0;z-index:-251658240;mso-position-horizontal-relative:page;mso-position-vertical-relative:page">
              <v:stroke weight="1.pt"/>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9" behindDoc="1" locked="0" layoutInCell="1" allowOverlap="1">
              <wp:simplePos x="0" y="0"/>
              <wp:positionH relativeFrom="page">
                <wp:posOffset>143510</wp:posOffset>
              </wp:positionH>
              <wp:positionV relativeFrom="page">
                <wp:posOffset>413385</wp:posOffset>
              </wp:positionV>
              <wp:extent cx="441960" cy="60960"/>
              <wp:wrapNone/>
              <wp:docPr id="181" name="Shape 181"/>
              <a:graphic xmlns:a="http://schemas.openxmlformats.org/drawingml/2006/main">
                <a:graphicData uri="http://schemas.microsoft.com/office/word/2010/wordprocessingShape">
                  <wps:wsp>
                    <wps:cNvSpPr txBox="1"/>
                    <wps:spPr>
                      <a:xfrm>
                        <a:ext cx="44196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ABRAHAM</w:t>
                          </w:r>
                        </w:p>
                      </w:txbxContent>
                    </wps:txbx>
                    <wps:bodyPr wrap="none" lIns="0" tIns="0" rIns="0" bIns="0">
                      <a:spAutoFit/>
                    </wps:bodyPr>
                  </wps:wsp>
                </a:graphicData>
              </a:graphic>
            </wp:anchor>
          </w:drawing>
        </mc:Choice>
        <mc:Fallback>
          <w:pict>
            <v:shape id="_x0000_s1207" type="#_x0000_t202" style="position:absolute;margin-left:11.300000000000001pt;margin-top:32.549999999999997pt;width:34.799999999999997pt;height:4.7999999999999998pt;z-index:-18874392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en-US" w:eastAsia="en-US" w:bidi="en-US"/>
                      </w:rPr>
                      <w:t>ABRAHAM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501650</wp:posOffset>
              </wp:positionV>
              <wp:extent cx="4023360" cy="0"/>
              <wp:wrapNone/>
              <wp:docPr id="183" name="Shape 18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pt;margin-top:39.5pt;width:316.80000000000001pt;height:0;z-index:-251658240;mso-position-horizontal-relative:page;mso-position-vertical-relative:page">
              <v:stroke weight="1.pt"/>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3" behindDoc="1" locked="0" layoutInCell="1" allowOverlap="1">
              <wp:simplePos x="0" y="0"/>
              <wp:positionH relativeFrom="page">
                <wp:posOffset>3855720</wp:posOffset>
              </wp:positionH>
              <wp:positionV relativeFrom="page">
                <wp:posOffset>386080</wp:posOffset>
              </wp:positionV>
              <wp:extent cx="311150" cy="67310"/>
              <wp:wrapNone/>
              <wp:docPr id="186" name="Shape 186"/>
              <a:graphic xmlns:a="http://schemas.openxmlformats.org/drawingml/2006/main">
                <a:graphicData uri="http://schemas.microsoft.com/office/word/2010/wordprocessingShape">
                  <wps:wsp>
                    <wps:cNvSpPr txBox="1"/>
                    <wps:spPr>
                      <a:xfrm>
                        <a:ext cx="311150"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w:t>
                          </w:r>
                        </w:p>
                      </w:txbxContent>
                    </wps:txbx>
                    <wps:bodyPr wrap="none" lIns="0" tIns="0" rIns="0" bIns="0">
                      <a:spAutoFit/>
                    </wps:bodyPr>
                  </wps:wsp>
                </a:graphicData>
              </a:graphic>
            </wp:anchor>
          </w:drawing>
        </mc:Choice>
        <mc:Fallback>
          <w:pict>
            <v:shape id="_x0000_s1212" type="#_x0000_t202" style="position:absolute;margin-left:303.60000000000002pt;margin-top:30.399999999999999pt;width:24.5pt;height:5.2999999999999998pt;z-index:-18874392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495300</wp:posOffset>
              </wp:positionV>
              <wp:extent cx="4020185" cy="0"/>
              <wp:wrapNone/>
              <wp:docPr id="188" name="Shape 18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39.pt;width:316.55000000000001pt;height:0;z-index:-251658240;mso-position-horizontal-relative:page;mso-position-vertical-relative:page">
              <v:stroke weight="1.pt"/>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7" behindDoc="1" locked="0" layoutInCell="1" allowOverlap="1">
              <wp:simplePos x="0" y="0"/>
              <wp:positionH relativeFrom="page">
                <wp:posOffset>3855720</wp:posOffset>
              </wp:positionH>
              <wp:positionV relativeFrom="page">
                <wp:posOffset>386080</wp:posOffset>
              </wp:positionV>
              <wp:extent cx="311150" cy="67310"/>
              <wp:wrapNone/>
              <wp:docPr id="191" name="Shape 191"/>
              <a:graphic xmlns:a="http://schemas.openxmlformats.org/drawingml/2006/main">
                <a:graphicData uri="http://schemas.microsoft.com/office/word/2010/wordprocessingShape">
                  <wps:wsp>
                    <wps:cNvSpPr txBox="1"/>
                    <wps:spPr>
                      <a:xfrm>
                        <a:ext cx="311150"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w:t>
                          </w:r>
                        </w:p>
                      </w:txbxContent>
                    </wps:txbx>
                    <wps:bodyPr wrap="none" lIns="0" tIns="0" rIns="0" bIns="0">
                      <a:spAutoFit/>
                    </wps:bodyPr>
                  </wps:wsp>
                </a:graphicData>
              </a:graphic>
            </wp:anchor>
          </w:drawing>
        </mc:Choice>
        <mc:Fallback>
          <w:pict>
            <v:shape id="_x0000_s1217" type="#_x0000_t202" style="position:absolute;margin-left:303.60000000000002pt;margin-top:30.399999999999999pt;width:24.5pt;height:5.2999999999999998pt;z-index:-18874391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495300</wp:posOffset>
              </wp:positionV>
              <wp:extent cx="4020185" cy="0"/>
              <wp:wrapNone/>
              <wp:docPr id="193" name="Shape 19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39.pt;width:316.55000000000001pt;height:0;z-index:-251658240;mso-position-horizontal-relative:page;mso-position-vertical-relative:page">
              <v:stroke weight="1.pt"/>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1" behindDoc="1" locked="0" layoutInCell="1" allowOverlap="1">
              <wp:simplePos x="0" y="0"/>
              <wp:positionH relativeFrom="page">
                <wp:posOffset>144780</wp:posOffset>
              </wp:positionH>
              <wp:positionV relativeFrom="page">
                <wp:posOffset>386080</wp:posOffset>
              </wp:positionV>
              <wp:extent cx="311150" cy="67310"/>
              <wp:wrapNone/>
              <wp:docPr id="196" name="Shape 196"/>
              <a:graphic xmlns:a="http://schemas.openxmlformats.org/drawingml/2006/main">
                <a:graphicData uri="http://schemas.microsoft.com/office/word/2010/wordprocessingShape">
                  <wps:wsp>
                    <wps:cNvSpPr txBox="1"/>
                    <wps:spPr>
                      <a:xfrm>
                        <a:ext cx="311150"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w:t>
                          </w:r>
                        </w:p>
                      </w:txbxContent>
                    </wps:txbx>
                    <wps:bodyPr wrap="none" lIns="0" tIns="0" rIns="0" bIns="0">
                      <a:spAutoFit/>
                    </wps:bodyPr>
                  </wps:wsp>
                </a:graphicData>
              </a:graphic>
            </wp:anchor>
          </w:drawing>
        </mc:Choice>
        <mc:Fallback>
          <w:pict>
            <v:shape id="_x0000_s1222" type="#_x0000_t202" style="position:absolute;margin-left:11.4pt;margin-top:30.399999999999999pt;width:24.5pt;height:5.2999999999999998pt;z-index:-18874391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480060</wp:posOffset>
              </wp:positionV>
              <wp:extent cx="4017010" cy="0"/>
              <wp:wrapNone/>
              <wp:docPr id="198" name="Shape 19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37.799999999999997pt;width:316.30000000000001pt;height:0;z-index:-251658240;mso-position-horizontal-relative:page;mso-position-vertical-relative:page">
              <v:stroke weight="1.pt"/>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5" behindDoc="1" locked="0" layoutInCell="1" allowOverlap="1">
              <wp:simplePos x="0" y="0"/>
              <wp:positionH relativeFrom="page">
                <wp:posOffset>3475990</wp:posOffset>
              </wp:positionH>
              <wp:positionV relativeFrom="page">
                <wp:posOffset>391795</wp:posOffset>
              </wp:positionV>
              <wp:extent cx="697865" cy="60960"/>
              <wp:wrapNone/>
              <wp:docPr id="201" name="Shape 201"/>
              <a:graphic xmlns:a="http://schemas.openxmlformats.org/drawingml/2006/main">
                <a:graphicData uri="http://schemas.microsoft.com/office/word/2010/wordprocessingShape">
                  <wps:wsp>
                    <wps:cNvSpPr txBox="1"/>
                    <wps:spPr>
                      <a:xfrm>
                        <a:ext cx="697865"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27" type="#_x0000_t202" style="position:absolute;margin-left:273.69999999999999pt;margin-top:30.850000000000001pt;width:54.950000000000003pt;height:4.7999999999999998pt;z-index:-18874390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490855</wp:posOffset>
              </wp:positionV>
              <wp:extent cx="4020185" cy="0"/>
              <wp:wrapNone/>
              <wp:docPr id="203" name="Shape 20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38.649999999999999pt;width:316.55000000000001pt;height:0;z-index:-251658240;mso-position-horizontal-relative:page;mso-position-vertical-relative:page">
              <v:stroke weight="1.pt"/>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9" behindDoc="1" locked="0" layoutInCell="1" allowOverlap="1">
              <wp:simplePos x="0" y="0"/>
              <wp:positionH relativeFrom="page">
                <wp:posOffset>3475990</wp:posOffset>
              </wp:positionH>
              <wp:positionV relativeFrom="page">
                <wp:posOffset>391795</wp:posOffset>
              </wp:positionV>
              <wp:extent cx="697865" cy="60960"/>
              <wp:wrapNone/>
              <wp:docPr id="206" name="Shape 206"/>
              <a:graphic xmlns:a="http://schemas.openxmlformats.org/drawingml/2006/main">
                <a:graphicData uri="http://schemas.microsoft.com/office/word/2010/wordprocessingShape">
                  <wps:wsp>
                    <wps:cNvSpPr txBox="1"/>
                    <wps:spPr>
                      <a:xfrm>
                        <a:ext cx="697865"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32" type="#_x0000_t202" style="position:absolute;margin-left:273.69999999999999pt;margin-top:30.850000000000001pt;width:54.950000000000003pt;height:4.7999999999999998pt;z-index:-18874390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490855</wp:posOffset>
              </wp:positionV>
              <wp:extent cx="4020185" cy="0"/>
              <wp:wrapNone/>
              <wp:docPr id="208" name="Shape 20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38.649999999999999pt;width:316.55000000000001pt;height:0;z-index:-251658240;mso-position-horizontal-relative:page;mso-position-vertical-relative:page">
              <v:stroke weight="1.pt"/>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3" behindDoc="1" locked="0" layoutInCell="1" allowOverlap="1">
              <wp:simplePos x="0" y="0"/>
              <wp:positionH relativeFrom="page">
                <wp:posOffset>155575</wp:posOffset>
              </wp:positionH>
              <wp:positionV relativeFrom="page">
                <wp:posOffset>386080</wp:posOffset>
              </wp:positionV>
              <wp:extent cx="1033145" cy="67310"/>
              <wp:wrapNone/>
              <wp:docPr id="211" name="Shape 211"/>
              <a:graphic xmlns:a="http://schemas.openxmlformats.org/drawingml/2006/main">
                <a:graphicData uri="http://schemas.microsoft.com/office/word/2010/wordprocessingShape">
                  <wps:wsp>
                    <wps:cNvSpPr txBox="1"/>
                    <wps:spPr>
                      <a:xfrm>
                        <a:ext cx="1033145"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ANĐEO/ANTISEMITIZAM</w:t>
                          </w:r>
                        </w:p>
                      </w:txbxContent>
                    </wps:txbx>
                    <wps:bodyPr wrap="none" lIns="0" tIns="0" rIns="0" bIns="0">
                      <a:spAutoFit/>
                    </wps:bodyPr>
                  </wps:wsp>
                </a:graphicData>
              </a:graphic>
            </wp:anchor>
          </w:drawing>
        </mc:Choice>
        <mc:Fallback>
          <w:pict>
            <v:shape id="_x0000_s1237" type="#_x0000_t202" style="position:absolute;margin-left:12.25pt;margin-top:30.399999999999999pt;width:81.349999999999994pt;height:5.2999999999999998pt;z-index:-18874390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ANĐEO/ANTISEMITIZAM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483235</wp:posOffset>
              </wp:positionV>
              <wp:extent cx="4020185" cy="0"/>
              <wp:wrapNone/>
              <wp:docPr id="213" name="Shape 21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38.049999999999997pt;width:316.55000000000001pt;height:0;z-index:-251658240;mso-position-horizontal-relative:page;mso-position-vertical-relative:page">
              <v:stroke weight="1.pt"/>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7" behindDoc="1" locked="0" layoutInCell="1" allowOverlap="1">
              <wp:simplePos x="0" y="0"/>
              <wp:positionH relativeFrom="page">
                <wp:posOffset>146050</wp:posOffset>
              </wp:positionH>
              <wp:positionV relativeFrom="page">
                <wp:posOffset>416560</wp:posOffset>
              </wp:positionV>
              <wp:extent cx="697865" cy="67310"/>
              <wp:wrapNone/>
              <wp:docPr id="216" name="Shape 216"/>
              <a:graphic xmlns:a="http://schemas.openxmlformats.org/drawingml/2006/main">
                <a:graphicData uri="http://schemas.microsoft.com/office/word/2010/wordprocessingShape">
                  <wps:wsp>
                    <wps:cNvSpPr txBox="1"/>
                    <wps:spPr>
                      <a:xfrm>
                        <a:ext cx="697865"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42" type="#_x0000_t202" style="position:absolute;margin-left:11.5pt;margin-top:32.799999999999997pt;width:54.950000000000003pt;height:5.2999999999999998pt;z-index:-18874389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515620</wp:posOffset>
              </wp:positionV>
              <wp:extent cx="4029710" cy="0"/>
              <wp:wrapNone/>
              <wp:docPr id="218" name="Shape 218"/>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75pt;margin-top:40.600000000000001pt;width:317.30000000000001pt;height:0;z-index:-251658240;mso-position-horizontal-relative:page;mso-position-vertical-relative:page">
              <v:stroke weight="1.pt"/>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1" behindDoc="1" locked="0" layoutInCell="1" allowOverlap="1">
              <wp:simplePos x="0" y="0"/>
              <wp:positionH relativeFrom="page">
                <wp:posOffset>146050</wp:posOffset>
              </wp:positionH>
              <wp:positionV relativeFrom="page">
                <wp:posOffset>416560</wp:posOffset>
              </wp:positionV>
              <wp:extent cx="697865" cy="67310"/>
              <wp:wrapNone/>
              <wp:docPr id="221" name="Shape 221"/>
              <a:graphic xmlns:a="http://schemas.openxmlformats.org/drawingml/2006/main">
                <a:graphicData uri="http://schemas.microsoft.com/office/word/2010/wordprocessingShape">
                  <wps:wsp>
                    <wps:cNvSpPr txBox="1"/>
                    <wps:spPr>
                      <a:xfrm>
                        <a:ext cx="697865" cy="673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47" type="#_x0000_t202" style="position:absolute;margin-left:11.5pt;margin-top:32.799999999999997pt;width:54.950000000000003pt;height:5.2999999999999998pt;z-index:-18874389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515620</wp:posOffset>
              </wp:positionV>
              <wp:extent cx="4029710" cy="0"/>
              <wp:wrapNone/>
              <wp:docPr id="223" name="Shape 223"/>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75pt;margin-top:40.600000000000001pt;width:317.30000000000001pt;height:0;z-index:-251658240;mso-position-horizontal-relative:page;mso-position-vertical-relative:page">
              <v:stroke weight="1.pt"/>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5" behindDoc="1" locked="0" layoutInCell="1" allowOverlap="1">
              <wp:simplePos x="0" y="0"/>
              <wp:positionH relativeFrom="page">
                <wp:posOffset>3475990</wp:posOffset>
              </wp:positionH>
              <wp:positionV relativeFrom="page">
                <wp:posOffset>425450</wp:posOffset>
              </wp:positionV>
              <wp:extent cx="697865" cy="64135"/>
              <wp:wrapNone/>
              <wp:docPr id="226" name="Shape 226"/>
              <a:graphic xmlns:a="http://schemas.openxmlformats.org/drawingml/2006/main">
                <a:graphicData uri="http://schemas.microsoft.com/office/word/2010/wordprocessingShape">
                  <wps:wsp>
                    <wps:cNvSpPr txBox="1"/>
                    <wps:spPr>
                      <a:xfrm>
                        <a:ext cx="697865"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52" type="#_x0000_t202" style="position:absolute;margin-left:273.69999999999999pt;margin-top:33.5pt;width:54.950000000000003pt;height:5.0499999999999998pt;z-index:-18874388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525780</wp:posOffset>
              </wp:positionV>
              <wp:extent cx="4023360" cy="0"/>
              <wp:wrapNone/>
              <wp:docPr id="228" name="Shape 22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399999999999999pt;width:316.80000000000001pt;height:0;z-index:-251658240;mso-position-horizontal-relative:page;mso-position-vertical-relative:page">
              <v:stroke weight="1.pt"/>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9" behindDoc="1" locked="0" layoutInCell="1" allowOverlap="1">
              <wp:simplePos x="0" y="0"/>
              <wp:positionH relativeFrom="page">
                <wp:posOffset>3475990</wp:posOffset>
              </wp:positionH>
              <wp:positionV relativeFrom="page">
                <wp:posOffset>425450</wp:posOffset>
              </wp:positionV>
              <wp:extent cx="697865" cy="64135"/>
              <wp:wrapNone/>
              <wp:docPr id="231" name="Shape 231"/>
              <a:graphic xmlns:a="http://schemas.openxmlformats.org/drawingml/2006/main">
                <a:graphicData uri="http://schemas.microsoft.com/office/word/2010/wordprocessingShape">
                  <wps:wsp>
                    <wps:cNvSpPr txBox="1"/>
                    <wps:spPr>
                      <a:xfrm>
                        <a:ext cx="697865" cy="6413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57" type="#_x0000_t202" style="position:absolute;margin-left:273.69999999999999pt;margin-top:33.5pt;width:54.950000000000003pt;height:5.0499999999999998pt;z-index:-18874388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525780</wp:posOffset>
              </wp:positionV>
              <wp:extent cx="4023360" cy="0"/>
              <wp:wrapNone/>
              <wp:docPr id="233" name="Shape 23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399999999999999pt;width:316.80000000000001pt;height:0;z-index:-251658240;mso-position-horizontal-relative:page;mso-position-vertical-relative:page">
              <v:stroke weight="1.pt"/>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3" behindDoc="1" locked="0" layoutInCell="1" allowOverlap="1">
              <wp:simplePos x="0" y="0"/>
              <wp:positionH relativeFrom="page">
                <wp:posOffset>153670</wp:posOffset>
              </wp:positionH>
              <wp:positionV relativeFrom="page">
                <wp:posOffset>445135</wp:posOffset>
              </wp:positionV>
              <wp:extent cx="694690" cy="60960"/>
              <wp:wrapNone/>
              <wp:docPr id="236" name="Shape 236"/>
              <a:graphic xmlns:a="http://schemas.openxmlformats.org/drawingml/2006/main">
                <a:graphicData uri="http://schemas.microsoft.com/office/word/2010/wordprocessingShape">
                  <wps:wsp>
                    <wps:cNvSpPr txBox="1"/>
                    <wps:spPr>
                      <a:xfrm>
                        <a:ext cx="69469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62" type="#_x0000_t202" style="position:absolute;margin-left:12.1pt;margin-top:35.049999999999997pt;width:54.700000000000003pt;height:4.7999999999999998pt;z-index:-18874388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539115</wp:posOffset>
              </wp:positionV>
              <wp:extent cx="4014470" cy="0"/>
              <wp:wrapNone/>
              <wp:docPr id="238" name="Shape 238"/>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35pt;margin-top:42.450000000000003pt;width:316.10000000000002pt;height:0;z-index:-251658240;mso-position-horizontal-relative:page;mso-position-vertical-relative:page">
              <v:stroke weight="1.pt"/>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5" behindDoc="1" locked="0" layoutInCell="1" allowOverlap="1">
              <wp:simplePos x="0" y="0"/>
              <wp:positionH relativeFrom="page">
                <wp:posOffset>153670</wp:posOffset>
              </wp:positionH>
              <wp:positionV relativeFrom="page">
                <wp:posOffset>445135</wp:posOffset>
              </wp:positionV>
              <wp:extent cx="694690" cy="60960"/>
              <wp:wrapNone/>
              <wp:docPr id="239" name="Shape 239"/>
              <a:graphic xmlns:a="http://schemas.openxmlformats.org/drawingml/2006/main">
                <a:graphicData uri="http://schemas.microsoft.com/office/word/2010/wordprocessingShape">
                  <wps:wsp>
                    <wps:cNvSpPr txBox="1"/>
                    <wps:spPr>
                      <a:xfrm>
                        <a:ext cx="694690" cy="609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65" type="#_x0000_t202" style="position:absolute;margin-left:12.1pt;margin-top:35.049999999999997pt;width:54.700000000000003pt;height:4.7999999999999998pt;z-index:-18874387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2"/>
                        <w:szCs w:val="12"/>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539115</wp:posOffset>
              </wp:positionV>
              <wp:extent cx="4014470" cy="0"/>
              <wp:wrapNone/>
              <wp:docPr id="241" name="Shape 241"/>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35pt;margin-top:42.450000000000003pt;width:316.10000000000002pt;height:0;z-index:-251658240;mso-position-horizontal-relative:page;mso-position-vertical-relative:page">
              <v:stroke weight="1.pt"/>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7" behindDoc="1" locked="0" layoutInCell="1" allowOverlap="1">
              <wp:simplePos x="0" y="0"/>
              <wp:positionH relativeFrom="page">
                <wp:posOffset>158750</wp:posOffset>
              </wp:positionH>
              <wp:positionV relativeFrom="page">
                <wp:posOffset>434975</wp:posOffset>
              </wp:positionV>
              <wp:extent cx="697865" cy="64135"/>
              <wp:wrapNone/>
              <wp:docPr id="242" name="Shape 242"/>
              <a:graphic xmlns:a="http://schemas.openxmlformats.org/drawingml/2006/main">
                <a:graphicData uri="http://schemas.microsoft.com/office/word/2010/wordprocessingShape">
                  <wps:wsp>
                    <wps:cNvSpPr txBox="1"/>
                    <wps:spPr>
                      <a:xfrm>
                        <a:ext cx="6978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68" type="#_x0000_t202" style="position:absolute;margin-left:12.5pt;margin-top:34.25pt;width:54.950000000000003pt;height:5.0499999999999998pt;z-index:-18874387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532130</wp:posOffset>
              </wp:positionV>
              <wp:extent cx="4023360" cy="0"/>
              <wp:wrapNone/>
              <wp:docPr id="244" name="Shape 24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25pt;margin-top:41.899999999999999pt;width:316.80000000000001pt;height:0;z-index:-251658240;mso-position-horizontal-relative:page;mso-position-vertical-relative:page">
              <v:stroke weight="1.pt"/>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1" behindDoc="1" locked="0" layoutInCell="1" allowOverlap="1">
              <wp:simplePos x="0" y="0"/>
              <wp:positionH relativeFrom="page">
                <wp:posOffset>158750</wp:posOffset>
              </wp:positionH>
              <wp:positionV relativeFrom="page">
                <wp:posOffset>434975</wp:posOffset>
              </wp:positionV>
              <wp:extent cx="697865" cy="64135"/>
              <wp:wrapNone/>
              <wp:docPr id="247" name="Shape 247"/>
              <a:graphic xmlns:a="http://schemas.openxmlformats.org/drawingml/2006/main">
                <a:graphicData uri="http://schemas.microsoft.com/office/word/2010/wordprocessingShape">
                  <wps:wsp>
                    <wps:cNvSpPr txBox="1"/>
                    <wps:spPr>
                      <a:xfrm>
                        <a:ext cx="6978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73" type="#_x0000_t202" style="position:absolute;margin-left:12.5pt;margin-top:34.25pt;width:54.950000000000003pt;height:5.0499999999999998pt;z-index:-18874387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532130</wp:posOffset>
              </wp:positionV>
              <wp:extent cx="4023360" cy="0"/>
              <wp:wrapNone/>
              <wp:docPr id="249" name="Shape 24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25pt;margin-top:41.899999999999999pt;width:316.80000000000001pt;height:0;z-index:-251658240;mso-position-horizontal-relative:page;mso-position-vertical-relative:page">
              <v:stroke weight="1.pt"/>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5" behindDoc="1" locked="0" layoutInCell="1" allowOverlap="1">
              <wp:simplePos x="0" y="0"/>
              <wp:positionH relativeFrom="page">
                <wp:posOffset>3473450</wp:posOffset>
              </wp:positionH>
              <wp:positionV relativeFrom="page">
                <wp:posOffset>404495</wp:posOffset>
              </wp:positionV>
              <wp:extent cx="694690" cy="64135"/>
              <wp:wrapNone/>
              <wp:docPr id="252" name="Shape 252"/>
              <a:graphic xmlns:a="http://schemas.openxmlformats.org/drawingml/2006/main">
                <a:graphicData uri="http://schemas.microsoft.com/office/word/2010/wordprocessingShape">
                  <wps:wsp>
                    <wps:cNvSpPr txBox="1"/>
                    <wps:spPr>
                      <a:xfrm>
                        <a:ext cx="6946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78" type="#_x0000_t202" style="position:absolute;margin-left:273.5pt;margin-top:31.850000000000001pt;width:54.700000000000003pt;height:5.0499999999999998pt;z-index:-18874386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504825</wp:posOffset>
              </wp:positionV>
              <wp:extent cx="4017010" cy="0"/>
              <wp:wrapNone/>
              <wp:docPr id="254" name="Shape 25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39.75pt;width:316.30000000000001pt;height:0;z-index:-251658240;mso-position-horizontal-relative:page;mso-position-vertical-relative:page">
              <v:stroke weight="1.pt"/>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9" behindDoc="1" locked="0" layoutInCell="1" allowOverlap="1">
              <wp:simplePos x="0" y="0"/>
              <wp:positionH relativeFrom="page">
                <wp:posOffset>156845</wp:posOffset>
              </wp:positionH>
              <wp:positionV relativeFrom="page">
                <wp:posOffset>441325</wp:posOffset>
              </wp:positionV>
              <wp:extent cx="1572895" cy="69850"/>
              <wp:wrapNone/>
              <wp:docPr id="257" name="Shape 257"/>
              <a:graphic xmlns:a="http://schemas.openxmlformats.org/drawingml/2006/main">
                <a:graphicData uri="http://schemas.microsoft.com/office/word/2010/wordprocessingShape">
                  <wps:wsp>
                    <wps:cNvSpPr txBox="1"/>
                    <wps:spPr>
                      <a:xfrm>
                        <a:ext cx="157289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ANTROPOMORFIZAM/APOKAL1 PI I KA</w:t>
                          </w:r>
                        </w:p>
                      </w:txbxContent>
                    </wps:txbx>
                    <wps:bodyPr wrap="none" lIns="0" tIns="0" rIns="0" bIns="0">
                      <a:spAutoFit/>
                    </wps:bodyPr>
                  </wps:wsp>
                </a:graphicData>
              </a:graphic>
            </wp:anchor>
          </w:drawing>
        </mc:Choice>
        <mc:Fallback>
          <w:pict>
            <v:shape id="_x0000_s1283" type="#_x0000_t202" style="position:absolute;margin-left:12.35pt;margin-top:34.75pt;width:123.84999999999999pt;height:5.5pt;z-index:-18874386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ANTROPOMORFIZAM/APOKAL1 PI I 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540385</wp:posOffset>
              </wp:positionV>
              <wp:extent cx="4020185" cy="0"/>
              <wp:wrapNone/>
              <wp:docPr id="259" name="Shape 25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2.549999999999997pt;width:316.55000000000001pt;height:0;z-index:-251658240;mso-position-horizontal-relative:page;mso-position-vertical-relative:page">
              <v:stroke weight="1.pt"/>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3" behindDoc="1" locked="0" layoutInCell="1" allowOverlap="1">
              <wp:simplePos x="0" y="0"/>
              <wp:positionH relativeFrom="page">
                <wp:posOffset>156845</wp:posOffset>
              </wp:positionH>
              <wp:positionV relativeFrom="page">
                <wp:posOffset>441325</wp:posOffset>
              </wp:positionV>
              <wp:extent cx="1572895" cy="69850"/>
              <wp:wrapNone/>
              <wp:docPr id="262" name="Shape 262"/>
              <a:graphic xmlns:a="http://schemas.openxmlformats.org/drawingml/2006/main">
                <a:graphicData uri="http://schemas.microsoft.com/office/word/2010/wordprocessingShape">
                  <wps:wsp>
                    <wps:cNvSpPr txBox="1"/>
                    <wps:spPr>
                      <a:xfrm>
                        <a:ext cx="157289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ANTROPOMORFIZAM/APOKAL1 PI I KA</w:t>
                          </w:r>
                        </w:p>
                      </w:txbxContent>
                    </wps:txbx>
                    <wps:bodyPr wrap="none" lIns="0" tIns="0" rIns="0" bIns="0">
                      <a:spAutoFit/>
                    </wps:bodyPr>
                  </wps:wsp>
                </a:graphicData>
              </a:graphic>
            </wp:anchor>
          </w:drawing>
        </mc:Choice>
        <mc:Fallback>
          <w:pict>
            <v:shape id="_x0000_s1288" type="#_x0000_t202" style="position:absolute;margin-left:12.35pt;margin-top:34.75pt;width:123.84999999999999pt;height:5.5pt;z-index:-18874386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ANTROPOMORFIZAM/APOKAL1 PI I 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540385</wp:posOffset>
              </wp:positionV>
              <wp:extent cx="4020185" cy="0"/>
              <wp:wrapNone/>
              <wp:docPr id="264" name="Shape 26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2.549999999999997pt;width:316.55000000000001pt;height:0;z-index:-251658240;mso-position-horizontal-relative:page;mso-position-vertical-relative:page">
              <v:stroke weight="1.pt"/>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7" behindDoc="1" locked="0" layoutInCell="1" allowOverlap="1">
              <wp:simplePos x="0" y="0"/>
              <wp:positionH relativeFrom="page">
                <wp:posOffset>3471545</wp:posOffset>
              </wp:positionH>
              <wp:positionV relativeFrom="page">
                <wp:posOffset>407670</wp:posOffset>
              </wp:positionV>
              <wp:extent cx="694690" cy="60960"/>
              <wp:wrapNone/>
              <wp:docPr id="267" name="Shape 267"/>
              <a:graphic xmlns:a="http://schemas.openxmlformats.org/drawingml/2006/main">
                <a:graphicData uri="http://schemas.microsoft.com/office/word/2010/wordprocessingShape">
                  <wps:wsp>
                    <wps:cNvSpPr txBox="1"/>
                    <wps:spPr>
                      <a:xfrm>
                        <a:ext cx="6946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wps:txbx>
                    <wps:bodyPr wrap="none" lIns="0" tIns="0" rIns="0" bIns="0">
                      <a:spAutoFit/>
                    </wps:bodyPr>
                  </wps:wsp>
                </a:graphicData>
              </a:graphic>
            </wp:anchor>
          </w:drawing>
        </mc:Choice>
        <mc:Fallback>
          <w:pict>
            <v:shape id="_x0000_s1293" type="#_x0000_t202" style="position:absolute;margin-left:273.35000000000002pt;margin-top:32.100000000000001pt;width:54.700000000000003pt;height:4.7999999999999998pt;z-index:-18874385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ANTISEMITIZAM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508000</wp:posOffset>
              </wp:positionV>
              <wp:extent cx="4020185" cy="0"/>
              <wp:wrapNone/>
              <wp:docPr id="269" name="Shape 26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40.pt;width:316.55000000000001pt;height:0;z-index:-251658240;mso-position-horizontal-relative:page;mso-position-vertical-relative:page">
              <v:stroke weight="1.pt"/>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1" behindDoc="1" locked="0" layoutInCell="1" allowOverlap="1">
              <wp:simplePos x="0" y="0"/>
              <wp:positionH relativeFrom="page">
                <wp:posOffset>2449195</wp:posOffset>
              </wp:positionH>
              <wp:positionV relativeFrom="page">
                <wp:posOffset>416560</wp:posOffset>
              </wp:positionV>
              <wp:extent cx="1718945" cy="69850"/>
              <wp:wrapNone/>
              <wp:docPr id="272" name="Shape 272"/>
              <a:graphic xmlns:a="http://schemas.openxmlformats.org/drawingml/2006/main">
                <a:graphicData uri="http://schemas.microsoft.com/office/word/2010/wordprocessingShape">
                  <wps:wsp>
                    <wps:cNvSpPr txBox="1"/>
                    <wps:spPr>
                      <a:xfrm>
                        <a:ext cx="171894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APO KALI PTIKA/APOKR1FI/APOLOGET1KA</w:t>
                          </w:r>
                        </w:p>
                      </w:txbxContent>
                    </wps:txbx>
                    <wps:bodyPr wrap="none" lIns="0" tIns="0" rIns="0" bIns="0">
                      <a:spAutoFit/>
                    </wps:bodyPr>
                  </wps:wsp>
                </a:graphicData>
              </a:graphic>
            </wp:anchor>
          </w:drawing>
        </mc:Choice>
        <mc:Fallback>
          <w:pict>
            <v:shape id="_x0000_s1298" type="#_x0000_t202" style="position:absolute;margin-left:192.84999999999999pt;margin-top:32.799999999999997pt;width:135.34999999999999pt;height:5.5pt;z-index:-18874385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APO KALI PTIKA/APOKR1FI/APOLOGET1KA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520065</wp:posOffset>
              </wp:positionV>
              <wp:extent cx="4017010" cy="0"/>
              <wp:wrapNone/>
              <wp:docPr id="274" name="Shape 27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40.950000000000003pt;width:316.30000000000001pt;height:0;z-index:-251658240;mso-position-horizontal-relative:page;mso-position-vertical-relative:page">
              <v:stroke weight="1.pt"/>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3" behindDoc="1" locked="0" layoutInCell="1" allowOverlap="1">
              <wp:simplePos x="0" y="0"/>
              <wp:positionH relativeFrom="page">
                <wp:posOffset>2449195</wp:posOffset>
              </wp:positionH>
              <wp:positionV relativeFrom="page">
                <wp:posOffset>416560</wp:posOffset>
              </wp:positionV>
              <wp:extent cx="1718945" cy="69850"/>
              <wp:wrapNone/>
              <wp:docPr id="275" name="Shape 275"/>
              <a:graphic xmlns:a="http://schemas.openxmlformats.org/drawingml/2006/main">
                <a:graphicData uri="http://schemas.microsoft.com/office/word/2010/wordprocessingShape">
                  <wps:wsp>
                    <wps:cNvSpPr txBox="1"/>
                    <wps:spPr>
                      <a:xfrm>
                        <a:ext cx="171894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APO KALI PTIKA/APOKR1FI/APOLOGET1KA</w:t>
                          </w:r>
                        </w:p>
                      </w:txbxContent>
                    </wps:txbx>
                    <wps:bodyPr wrap="none" lIns="0" tIns="0" rIns="0" bIns="0">
                      <a:spAutoFit/>
                    </wps:bodyPr>
                  </wps:wsp>
                </a:graphicData>
              </a:graphic>
            </wp:anchor>
          </w:drawing>
        </mc:Choice>
        <mc:Fallback>
          <w:pict>
            <v:shape id="_x0000_s1301" type="#_x0000_t202" style="position:absolute;margin-left:192.84999999999999pt;margin-top:32.799999999999997pt;width:135.34999999999999pt;height:5.5pt;z-index:-18874385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APO KALI PTIKA/APOKR1FI/APOLOGET1KA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520065</wp:posOffset>
              </wp:positionV>
              <wp:extent cx="4017010" cy="0"/>
              <wp:wrapNone/>
              <wp:docPr id="277" name="Shape 27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40.950000000000003pt;width:316.30000000000001pt;height:0;z-index:-251658240;mso-position-horizontal-relative:page;mso-position-vertical-relative:page">
              <v:stroke weight="1.pt"/>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5" behindDoc="1" locked="0" layoutInCell="1" allowOverlap="1">
              <wp:simplePos x="0" y="0"/>
              <wp:positionH relativeFrom="page">
                <wp:posOffset>3546475</wp:posOffset>
              </wp:positionH>
              <wp:positionV relativeFrom="page">
                <wp:posOffset>407670</wp:posOffset>
              </wp:positionV>
              <wp:extent cx="624840" cy="60960"/>
              <wp:wrapNone/>
              <wp:docPr id="278" name="Shape 278"/>
              <a:graphic xmlns:a="http://schemas.openxmlformats.org/drawingml/2006/main">
                <a:graphicData uri="http://schemas.microsoft.com/office/word/2010/wordprocessingShape">
                  <wps:wsp>
                    <wps:cNvSpPr txBox="1"/>
                    <wps:spPr>
                      <a:xfrm>
                        <a:ext cx="6248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APO </w:t>
                          </w:r>
                          <w:r>
                            <w:rPr>
                              <w:color w:val="000000"/>
                              <w:spacing w:val="0"/>
                              <w:w w:val="100"/>
                              <w:position w:val="0"/>
                              <w:shd w:val="clear" w:color="auto" w:fill="auto"/>
                              <w:lang w:val="hr-HR" w:eastAsia="hr-HR" w:bidi="hr-HR"/>
                            </w:rPr>
                            <w:t>LOG ETIKA</w:t>
                          </w:r>
                        </w:p>
                      </w:txbxContent>
                    </wps:txbx>
                    <wps:bodyPr wrap="none" lIns="0" tIns="0" rIns="0" bIns="0">
                      <a:spAutoFit/>
                    </wps:bodyPr>
                  </wps:wsp>
                </a:graphicData>
              </a:graphic>
            </wp:anchor>
          </w:drawing>
        </mc:Choice>
        <mc:Fallback>
          <w:pict>
            <v:shape id="_x0000_s1304" type="#_x0000_t202" style="position:absolute;margin-left:279.25pt;margin-top:32.100000000000001pt;width:49.200000000000003pt;height:4.7999999999999998pt;z-index:-18874384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APO </w:t>
                    </w:r>
                    <w:r>
                      <w:rPr>
                        <w:color w:val="000000"/>
                        <w:spacing w:val="0"/>
                        <w:w w:val="100"/>
                        <w:position w:val="0"/>
                        <w:shd w:val="clear" w:color="auto" w:fill="auto"/>
                        <w:lang w:val="hr-HR" w:eastAsia="hr-HR" w:bidi="hr-HR"/>
                      </w:rPr>
                      <w:t>LOG ETIKA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504825</wp:posOffset>
              </wp:positionV>
              <wp:extent cx="4020185" cy="0"/>
              <wp:wrapNone/>
              <wp:docPr id="280" name="Shape 28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5pt;margin-top:39.75pt;width:316.55000000000001pt;height:0;z-index:-251658240;mso-position-horizontal-relative:page;mso-position-vertical-relative:page">
              <v:stroke weight="1.pt"/>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9" behindDoc="1" locked="0" layoutInCell="1" allowOverlap="1">
              <wp:simplePos x="0" y="0"/>
              <wp:positionH relativeFrom="page">
                <wp:posOffset>3546475</wp:posOffset>
              </wp:positionH>
              <wp:positionV relativeFrom="page">
                <wp:posOffset>407670</wp:posOffset>
              </wp:positionV>
              <wp:extent cx="624840" cy="60960"/>
              <wp:wrapNone/>
              <wp:docPr id="283" name="Shape 283"/>
              <a:graphic xmlns:a="http://schemas.openxmlformats.org/drawingml/2006/main">
                <a:graphicData uri="http://schemas.microsoft.com/office/word/2010/wordprocessingShape">
                  <wps:wsp>
                    <wps:cNvSpPr txBox="1"/>
                    <wps:spPr>
                      <a:xfrm>
                        <a:ext cx="6248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APO </w:t>
                          </w:r>
                          <w:r>
                            <w:rPr>
                              <w:color w:val="000000"/>
                              <w:spacing w:val="0"/>
                              <w:w w:val="100"/>
                              <w:position w:val="0"/>
                              <w:shd w:val="clear" w:color="auto" w:fill="auto"/>
                              <w:lang w:val="hr-HR" w:eastAsia="hr-HR" w:bidi="hr-HR"/>
                            </w:rPr>
                            <w:t>LOG ETIKA</w:t>
                          </w:r>
                        </w:p>
                      </w:txbxContent>
                    </wps:txbx>
                    <wps:bodyPr wrap="none" lIns="0" tIns="0" rIns="0" bIns="0">
                      <a:spAutoFit/>
                    </wps:bodyPr>
                  </wps:wsp>
                </a:graphicData>
              </a:graphic>
            </wp:anchor>
          </w:drawing>
        </mc:Choice>
        <mc:Fallback>
          <w:pict>
            <v:shape id="_x0000_s1309" type="#_x0000_t202" style="position:absolute;margin-left:279.25pt;margin-top:32.100000000000001pt;width:49.200000000000003pt;height:4.7999999999999998pt;z-index:-18874384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APO </w:t>
                    </w:r>
                    <w:r>
                      <w:rPr>
                        <w:color w:val="000000"/>
                        <w:spacing w:val="0"/>
                        <w:w w:val="100"/>
                        <w:position w:val="0"/>
                        <w:shd w:val="clear" w:color="auto" w:fill="auto"/>
                        <w:lang w:val="hr-HR" w:eastAsia="hr-HR" w:bidi="hr-HR"/>
                      </w:rPr>
                      <w:t>LOG ETIKA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504825</wp:posOffset>
              </wp:positionV>
              <wp:extent cx="4020185" cy="0"/>
              <wp:wrapNone/>
              <wp:docPr id="285" name="Shape 28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5pt;margin-top:39.75pt;width:316.55000000000001pt;height:0;z-index:-251658240;mso-position-horizontal-relative:page;mso-position-vertical-relative:page">
              <v:stroke weight="1.pt"/>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3" behindDoc="1" locked="0" layoutInCell="1" allowOverlap="1">
              <wp:simplePos x="0" y="0"/>
              <wp:positionH relativeFrom="page">
                <wp:posOffset>143510</wp:posOffset>
              </wp:positionH>
              <wp:positionV relativeFrom="page">
                <wp:posOffset>428625</wp:posOffset>
              </wp:positionV>
              <wp:extent cx="624840" cy="64135"/>
              <wp:wrapNone/>
              <wp:docPr id="288" name="Shape 288"/>
              <a:graphic xmlns:a="http://schemas.openxmlformats.org/drawingml/2006/main">
                <a:graphicData uri="http://schemas.microsoft.com/office/word/2010/wordprocessingShape">
                  <wps:wsp>
                    <wps:cNvSpPr txBox="1"/>
                    <wps:spPr>
                      <a:xfrm>
                        <a:ext cx="6248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APOLOGETI KA</w:t>
                          </w:r>
                        </w:p>
                      </w:txbxContent>
                    </wps:txbx>
                    <wps:bodyPr wrap="none" lIns="0" tIns="0" rIns="0" bIns="0">
                      <a:spAutoFit/>
                    </wps:bodyPr>
                  </wps:wsp>
                </a:graphicData>
              </a:graphic>
            </wp:anchor>
          </w:drawing>
        </mc:Choice>
        <mc:Fallback>
          <w:pict>
            <v:shape id="_x0000_s1314" type="#_x0000_t202" style="position:absolute;margin-left:11.300000000000001pt;margin-top:33.75pt;width:49.200000000000003pt;height:5.0499999999999998pt;z-index:-18874384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APOLOGETI 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523240</wp:posOffset>
              </wp:positionV>
              <wp:extent cx="4020185" cy="0"/>
              <wp:wrapNone/>
              <wp:docPr id="290" name="Shape 29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1.200000000000003pt;width:316.55000000000001pt;height:0;z-index:-251658240;mso-position-horizontal-relative:page;mso-position-vertical-relative:page">
              <v:stroke weight="1.pt"/>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7" behindDoc="1" locked="0" layoutInCell="1" allowOverlap="1">
              <wp:simplePos x="0" y="0"/>
              <wp:positionH relativeFrom="page">
                <wp:posOffset>3768725</wp:posOffset>
              </wp:positionH>
              <wp:positionV relativeFrom="page">
                <wp:posOffset>407670</wp:posOffset>
              </wp:positionV>
              <wp:extent cx="393065" cy="60960"/>
              <wp:wrapNone/>
              <wp:docPr id="293" name="Shape 293"/>
              <a:graphic xmlns:a="http://schemas.openxmlformats.org/drawingml/2006/main">
                <a:graphicData uri="http://schemas.microsoft.com/office/word/2010/wordprocessingShape">
                  <wps:wsp>
                    <wps:cNvSpPr txBox="1"/>
                    <wps:spPr>
                      <a:xfrm>
                        <a:ext cx="39306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APOSTOL</w:t>
                          </w:r>
                        </w:p>
                      </w:txbxContent>
                    </wps:txbx>
                    <wps:bodyPr wrap="none" lIns="0" tIns="0" rIns="0" bIns="0">
                      <a:spAutoFit/>
                    </wps:bodyPr>
                  </wps:wsp>
                </a:graphicData>
              </a:graphic>
            </wp:anchor>
          </w:drawing>
        </mc:Choice>
        <mc:Fallback>
          <w:pict>
            <v:shape id="_x0000_s1319" type="#_x0000_t202" style="position:absolute;margin-left:296.75pt;margin-top:32.100000000000001pt;width:30.949999999999999pt;height:4.7999999999999998pt;z-index:-18874383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APOSTOL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511175</wp:posOffset>
              </wp:positionV>
              <wp:extent cx="4014470" cy="0"/>
              <wp:wrapNone/>
              <wp:docPr id="295" name="Shape 29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4pt;margin-top:40.25pt;width:316.10000000000002pt;height:0;z-index:-251658240;mso-position-horizontal-relative:page;mso-position-vertical-relative:page">
              <v:stroke weight="1.pt"/>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1" behindDoc="1" locked="0" layoutInCell="1" allowOverlap="1">
              <wp:simplePos x="0" y="0"/>
              <wp:positionH relativeFrom="page">
                <wp:posOffset>3768725</wp:posOffset>
              </wp:positionH>
              <wp:positionV relativeFrom="page">
                <wp:posOffset>407670</wp:posOffset>
              </wp:positionV>
              <wp:extent cx="393065" cy="60960"/>
              <wp:wrapNone/>
              <wp:docPr id="298" name="Shape 298"/>
              <a:graphic xmlns:a="http://schemas.openxmlformats.org/drawingml/2006/main">
                <a:graphicData uri="http://schemas.microsoft.com/office/word/2010/wordprocessingShape">
                  <wps:wsp>
                    <wps:cNvSpPr txBox="1"/>
                    <wps:spPr>
                      <a:xfrm>
                        <a:ext cx="39306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APOSTOL</w:t>
                          </w:r>
                        </w:p>
                      </w:txbxContent>
                    </wps:txbx>
                    <wps:bodyPr wrap="none" lIns="0" tIns="0" rIns="0" bIns="0">
                      <a:spAutoFit/>
                    </wps:bodyPr>
                  </wps:wsp>
                </a:graphicData>
              </a:graphic>
            </wp:anchor>
          </w:drawing>
        </mc:Choice>
        <mc:Fallback>
          <w:pict>
            <v:shape id="_x0000_s1324" type="#_x0000_t202" style="position:absolute;margin-left:296.75pt;margin-top:32.100000000000001pt;width:30.949999999999999pt;height:4.7999999999999998pt;z-index:-18874383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APOSTOL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511175</wp:posOffset>
              </wp:positionV>
              <wp:extent cx="4014470" cy="0"/>
              <wp:wrapNone/>
              <wp:docPr id="300" name="Shape 300"/>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4pt;margin-top:40.25pt;width:316.10000000000002pt;height:0;z-index:-251658240;mso-position-horizontal-relative:page;mso-position-vertical-relative:page">
              <v:stroke weight="1.pt"/>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5" behindDoc="1" locked="0" layoutInCell="1" allowOverlap="1">
              <wp:simplePos x="0" y="0"/>
              <wp:positionH relativeFrom="page">
                <wp:posOffset>147955</wp:posOffset>
              </wp:positionH>
              <wp:positionV relativeFrom="page">
                <wp:posOffset>401320</wp:posOffset>
              </wp:positionV>
              <wp:extent cx="1045210" cy="67310"/>
              <wp:wrapNone/>
              <wp:docPr id="303" name="Shape 303"/>
              <a:graphic xmlns:a="http://schemas.openxmlformats.org/drawingml/2006/main">
                <a:graphicData uri="http://schemas.microsoft.com/office/word/2010/wordprocessingShape">
                  <wps:wsp>
                    <wps:cNvSpPr txBox="1"/>
                    <wps:spPr>
                      <a:xfrm>
                        <a:ext cx="10452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APOLOGETI KA/APOSTOL</w:t>
                          </w:r>
                        </w:p>
                      </w:txbxContent>
                    </wps:txbx>
                    <wps:bodyPr wrap="none" lIns="0" tIns="0" rIns="0" bIns="0">
                      <a:spAutoFit/>
                    </wps:bodyPr>
                  </wps:wsp>
                </a:graphicData>
              </a:graphic>
            </wp:anchor>
          </w:drawing>
        </mc:Choice>
        <mc:Fallback>
          <w:pict>
            <v:shape id="_x0000_s1329" type="#_x0000_t202" style="position:absolute;margin-left:11.65pt;margin-top:31.600000000000001pt;width:82.299999999999997pt;height:5.2999999999999998pt;z-index:-18874382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APOLOGETI KA/APOSTOL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494665</wp:posOffset>
              </wp:positionV>
              <wp:extent cx="4014470" cy="0"/>
              <wp:wrapNone/>
              <wp:docPr id="305" name="Shape 30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5pt;margin-top:38.950000000000003pt;width:316.10000000000002pt;height:0;z-index:-251658240;mso-position-horizontal-relative:page;mso-position-vertical-relative:page">
              <v:stroke weight="1.pt"/>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9" behindDoc="1" locked="0" layoutInCell="1" allowOverlap="1">
              <wp:simplePos x="0" y="0"/>
              <wp:positionH relativeFrom="page">
                <wp:posOffset>3827145</wp:posOffset>
              </wp:positionH>
              <wp:positionV relativeFrom="page">
                <wp:posOffset>404495</wp:posOffset>
              </wp:positionV>
              <wp:extent cx="341630" cy="64135"/>
              <wp:wrapNone/>
              <wp:docPr id="308" name="Shape 308"/>
              <a:graphic xmlns:a="http://schemas.openxmlformats.org/drawingml/2006/main">
                <a:graphicData uri="http://schemas.microsoft.com/office/word/2010/wordprocessingShape">
                  <wps:wsp>
                    <wps:cNvSpPr txBox="1"/>
                    <wps:spPr>
                      <a:xfrm>
                        <a:ext cx="3416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ASKEZA</w:t>
                          </w:r>
                        </w:p>
                      </w:txbxContent>
                    </wps:txbx>
                    <wps:bodyPr wrap="none" lIns="0" tIns="0" rIns="0" bIns="0">
                      <a:spAutoFit/>
                    </wps:bodyPr>
                  </wps:wsp>
                </a:graphicData>
              </a:graphic>
            </wp:anchor>
          </w:drawing>
        </mc:Choice>
        <mc:Fallback>
          <w:pict>
            <v:shape id="_x0000_s1334" type="#_x0000_t202" style="position:absolute;margin-left:301.35000000000002pt;margin-top:31.850000000000001pt;width:26.899999999999999pt;height:5.0499999999999998pt;z-index:-18874382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ASKEZA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506730</wp:posOffset>
              </wp:positionV>
              <wp:extent cx="4017010" cy="0"/>
              <wp:wrapNone/>
              <wp:docPr id="310" name="Shape 31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39.899999999999999pt;width:316.30000000000001pt;height:0;z-index:-251658240;mso-position-horizontal-relative:page;mso-position-vertical-relative:page">
              <v:stroke weight="1.pt"/>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3" behindDoc="1" locked="0" layoutInCell="1" allowOverlap="1">
              <wp:simplePos x="0" y="0"/>
              <wp:positionH relativeFrom="page">
                <wp:posOffset>3827145</wp:posOffset>
              </wp:positionH>
              <wp:positionV relativeFrom="page">
                <wp:posOffset>404495</wp:posOffset>
              </wp:positionV>
              <wp:extent cx="341630" cy="64135"/>
              <wp:wrapNone/>
              <wp:docPr id="313" name="Shape 313"/>
              <a:graphic xmlns:a="http://schemas.openxmlformats.org/drawingml/2006/main">
                <a:graphicData uri="http://schemas.microsoft.com/office/word/2010/wordprocessingShape">
                  <wps:wsp>
                    <wps:cNvSpPr txBox="1"/>
                    <wps:spPr>
                      <a:xfrm>
                        <a:ext cx="3416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ASKEZA</w:t>
                          </w:r>
                        </w:p>
                      </w:txbxContent>
                    </wps:txbx>
                    <wps:bodyPr wrap="none" lIns="0" tIns="0" rIns="0" bIns="0">
                      <a:spAutoFit/>
                    </wps:bodyPr>
                  </wps:wsp>
                </a:graphicData>
              </a:graphic>
            </wp:anchor>
          </w:drawing>
        </mc:Choice>
        <mc:Fallback>
          <w:pict>
            <v:shape id="_x0000_s1339" type="#_x0000_t202" style="position:absolute;margin-left:301.35000000000002pt;margin-top:31.850000000000001pt;width:26.899999999999999pt;height:5.0499999999999998pt;z-index:-18874382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ASKEZA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506730</wp:posOffset>
              </wp:positionV>
              <wp:extent cx="4017010" cy="0"/>
              <wp:wrapNone/>
              <wp:docPr id="315" name="Shape 31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39.899999999999999pt;width:316.30000000000001pt;height:0;z-index:-251658240;mso-position-horizontal-relative:page;mso-position-vertical-relative:page">
              <v:stroke weight="1.pt"/>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7" behindDoc="1" locked="0" layoutInCell="1" allowOverlap="1">
              <wp:simplePos x="0" y="0"/>
              <wp:positionH relativeFrom="page">
                <wp:posOffset>152400</wp:posOffset>
              </wp:positionH>
              <wp:positionV relativeFrom="page">
                <wp:posOffset>401320</wp:posOffset>
              </wp:positionV>
              <wp:extent cx="762000" cy="67310"/>
              <wp:wrapNone/>
              <wp:docPr id="318" name="Shape 318"/>
              <a:graphic xmlns:a="http://schemas.openxmlformats.org/drawingml/2006/main">
                <a:graphicData uri="http://schemas.microsoft.com/office/word/2010/wordprocessingShape">
                  <wps:wsp>
                    <wps:cNvSpPr txBox="1"/>
                    <wps:spPr>
                      <a:xfrm>
                        <a:ext cx="7620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APOSTOUASKEZA</w:t>
                          </w:r>
                        </w:p>
                      </w:txbxContent>
                    </wps:txbx>
                    <wps:bodyPr wrap="none" lIns="0" tIns="0" rIns="0" bIns="0">
                      <a:spAutoFit/>
                    </wps:bodyPr>
                  </wps:wsp>
                </a:graphicData>
              </a:graphic>
            </wp:anchor>
          </w:drawing>
        </mc:Choice>
        <mc:Fallback>
          <w:pict>
            <v:shape id="_x0000_s1344" type="#_x0000_t202" style="position:absolute;margin-left:12.pt;margin-top:31.600000000000001pt;width:60.pt;height:5.2999999999999998pt;z-index:-18874381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APOSTOUASKEZA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498475</wp:posOffset>
              </wp:positionV>
              <wp:extent cx="4023360" cy="0"/>
              <wp:wrapNone/>
              <wp:docPr id="320" name="Shape 32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pt;margin-top:39.25pt;width:316.80000000000001pt;height:0;z-index:-251658240;mso-position-horizontal-relative:page;mso-position-vertical-relative:page">
              <v:stroke weight="1.pt"/>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1" behindDoc="1" locked="0" layoutInCell="1" allowOverlap="1">
              <wp:simplePos x="0" y="0"/>
              <wp:positionH relativeFrom="page">
                <wp:posOffset>3768725</wp:posOffset>
              </wp:positionH>
              <wp:positionV relativeFrom="page">
                <wp:posOffset>407670</wp:posOffset>
              </wp:positionV>
              <wp:extent cx="396240" cy="60960"/>
              <wp:wrapNone/>
              <wp:docPr id="323" name="Shape 323"/>
              <a:graphic xmlns:a="http://schemas.openxmlformats.org/drawingml/2006/main">
                <a:graphicData uri="http://schemas.microsoft.com/office/word/2010/wordprocessingShape">
                  <wps:wsp>
                    <wps:cNvSpPr txBox="1"/>
                    <wps:spPr>
                      <a:xfrm>
                        <a:ext cx="3962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wps:txbx>
                    <wps:bodyPr wrap="none" lIns="0" tIns="0" rIns="0" bIns="0">
                      <a:spAutoFit/>
                    </wps:bodyPr>
                  </wps:wsp>
                </a:graphicData>
              </a:graphic>
            </wp:anchor>
          </w:drawing>
        </mc:Choice>
        <mc:Fallback>
          <w:pict>
            <v:shape id="_x0000_s1349" type="#_x0000_t202" style="position:absolute;margin-left:296.75pt;margin-top:32.100000000000001pt;width:31.199999999999999pt;height:4.7999999999999998pt;z-index:-18874381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508000</wp:posOffset>
              </wp:positionV>
              <wp:extent cx="4014470" cy="0"/>
              <wp:wrapNone/>
              <wp:docPr id="325" name="Shape 32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40.pt;width:316.10000000000002pt;height:0;z-index:-251658240;mso-position-horizontal-relative:page;mso-position-vertical-relative:page">
              <v:stroke weight="1.pt"/>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5" behindDoc="1" locked="0" layoutInCell="1" allowOverlap="1">
              <wp:simplePos x="0" y="0"/>
              <wp:positionH relativeFrom="page">
                <wp:posOffset>3768725</wp:posOffset>
              </wp:positionH>
              <wp:positionV relativeFrom="page">
                <wp:posOffset>407670</wp:posOffset>
              </wp:positionV>
              <wp:extent cx="396240" cy="60960"/>
              <wp:wrapNone/>
              <wp:docPr id="328" name="Shape 328"/>
              <a:graphic xmlns:a="http://schemas.openxmlformats.org/drawingml/2006/main">
                <a:graphicData uri="http://schemas.microsoft.com/office/word/2010/wordprocessingShape">
                  <wps:wsp>
                    <wps:cNvSpPr txBox="1"/>
                    <wps:spPr>
                      <a:xfrm>
                        <a:ext cx="3962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wps:txbx>
                    <wps:bodyPr wrap="none" lIns="0" tIns="0" rIns="0" bIns="0">
                      <a:spAutoFit/>
                    </wps:bodyPr>
                  </wps:wsp>
                </a:graphicData>
              </a:graphic>
            </wp:anchor>
          </w:drawing>
        </mc:Choice>
        <mc:Fallback>
          <w:pict>
            <v:shape id="_x0000_s1354" type="#_x0000_t202" style="position:absolute;margin-left:296.75pt;margin-top:32.100000000000001pt;width:31.199999999999999pt;height:4.7999999999999998pt;z-index:-18874380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508000</wp:posOffset>
              </wp:positionV>
              <wp:extent cx="4014470" cy="0"/>
              <wp:wrapNone/>
              <wp:docPr id="330" name="Shape 330"/>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40.pt;width:316.10000000000002pt;height:0;z-index:-251658240;mso-position-horizontal-relative:page;mso-position-vertical-relative:page">
              <v:stroke weight="1.pt"/>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9" behindDoc="1" locked="0" layoutInCell="1" allowOverlap="1">
              <wp:simplePos x="0" y="0"/>
              <wp:positionH relativeFrom="page">
                <wp:posOffset>154305</wp:posOffset>
              </wp:positionH>
              <wp:positionV relativeFrom="page">
                <wp:posOffset>401320</wp:posOffset>
              </wp:positionV>
              <wp:extent cx="762000" cy="67310"/>
              <wp:wrapNone/>
              <wp:docPr id="333" name="Shape 333"/>
              <a:graphic xmlns:a="http://schemas.openxmlformats.org/drawingml/2006/main">
                <a:graphicData uri="http://schemas.microsoft.com/office/word/2010/wordprocessingShape">
                  <wps:wsp>
                    <wps:cNvSpPr txBox="1"/>
                    <wps:spPr>
                      <a:xfrm>
                        <a:ext cx="7620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ASKEZA/ATEIZAM</w:t>
                          </w:r>
                        </w:p>
                      </w:txbxContent>
                    </wps:txbx>
                    <wps:bodyPr wrap="none" lIns="0" tIns="0" rIns="0" bIns="0">
                      <a:spAutoFit/>
                    </wps:bodyPr>
                  </wps:wsp>
                </a:graphicData>
              </a:graphic>
            </wp:anchor>
          </w:drawing>
        </mc:Choice>
        <mc:Fallback>
          <w:pict>
            <v:shape id="_x0000_s1359" type="#_x0000_t202" style="position:absolute;margin-left:12.15pt;margin-top:31.600000000000001pt;width:60.pt;height:5.2999999999999998pt;z-index:-18874380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ASKEZA/ATEIZAM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498475</wp:posOffset>
              </wp:positionV>
              <wp:extent cx="4017010" cy="0"/>
              <wp:wrapNone/>
              <wp:docPr id="335" name="Shape 33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5pt;margin-top:39.25pt;width:316.30000000000001pt;height:0;z-index:-251658240;mso-position-horizontal-relative:page;mso-position-vertical-relative:page">
              <v:stroke weight="1.pt"/>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3" behindDoc="1" locked="0" layoutInCell="1" allowOverlap="1">
              <wp:simplePos x="0" y="0"/>
              <wp:positionH relativeFrom="page">
                <wp:posOffset>147955</wp:posOffset>
              </wp:positionH>
              <wp:positionV relativeFrom="page">
                <wp:posOffset>407670</wp:posOffset>
              </wp:positionV>
              <wp:extent cx="396240" cy="60960"/>
              <wp:wrapNone/>
              <wp:docPr id="338" name="Shape 338"/>
              <a:graphic xmlns:a="http://schemas.openxmlformats.org/drawingml/2006/main">
                <a:graphicData uri="http://schemas.microsoft.com/office/word/2010/wordprocessingShape">
                  <wps:wsp>
                    <wps:cNvSpPr txBox="1"/>
                    <wps:spPr>
                      <a:xfrm>
                        <a:ext cx="3962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wps:txbx>
                    <wps:bodyPr wrap="none" lIns="0" tIns="0" rIns="0" bIns="0">
                      <a:spAutoFit/>
                    </wps:bodyPr>
                  </wps:wsp>
                </a:graphicData>
              </a:graphic>
            </wp:anchor>
          </w:drawing>
        </mc:Choice>
        <mc:Fallback>
          <w:pict>
            <v:shape id="_x0000_s1364" type="#_x0000_t202" style="position:absolute;margin-left:11.65pt;margin-top:32.100000000000001pt;width:31.199999999999999pt;height:4.7999999999999998pt;z-index:-18874380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500380</wp:posOffset>
              </wp:positionV>
              <wp:extent cx="4023360" cy="0"/>
              <wp:wrapNone/>
              <wp:docPr id="340" name="Shape 34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5pt;margin-top:39.399999999999999pt;width:316.80000000000001pt;height:0;z-index:-251658240;mso-position-horizontal-relative:page;mso-position-vertical-relative:page">
              <v:stroke weight="1.pt"/>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7" behindDoc="1" locked="0" layoutInCell="1" allowOverlap="1">
              <wp:simplePos x="0" y="0"/>
              <wp:positionH relativeFrom="page">
                <wp:posOffset>147955</wp:posOffset>
              </wp:positionH>
              <wp:positionV relativeFrom="page">
                <wp:posOffset>407670</wp:posOffset>
              </wp:positionV>
              <wp:extent cx="396240" cy="60960"/>
              <wp:wrapNone/>
              <wp:docPr id="343" name="Shape 343"/>
              <a:graphic xmlns:a="http://schemas.openxmlformats.org/drawingml/2006/main">
                <a:graphicData uri="http://schemas.microsoft.com/office/word/2010/wordprocessingShape">
                  <wps:wsp>
                    <wps:cNvSpPr txBox="1"/>
                    <wps:spPr>
                      <a:xfrm>
                        <a:ext cx="3962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wps:txbx>
                    <wps:bodyPr wrap="none" lIns="0" tIns="0" rIns="0" bIns="0">
                      <a:spAutoFit/>
                    </wps:bodyPr>
                  </wps:wsp>
                </a:graphicData>
              </a:graphic>
            </wp:anchor>
          </w:drawing>
        </mc:Choice>
        <mc:Fallback>
          <w:pict>
            <v:shape id="_x0000_s1369" type="#_x0000_t202" style="position:absolute;margin-left:11.65pt;margin-top:32.100000000000001pt;width:31.199999999999999pt;height:4.7999999999999998pt;z-index:-18874379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ATEIZAM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500380</wp:posOffset>
              </wp:positionV>
              <wp:extent cx="4023360" cy="0"/>
              <wp:wrapNone/>
              <wp:docPr id="345" name="Shape 34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5pt;margin-top:39.399999999999999pt;width:316.80000000000001pt;height:0;z-index:-251658240;mso-position-horizontal-relative:page;mso-position-vertical-relative:page">
              <v:stroke weight="1.pt"/>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1" behindDoc="1" locked="0" layoutInCell="1" allowOverlap="1">
              <wp:simplePos x="0" y="0"/>
              <wp:positionH relativeFrom="page">
                <wp:posOffset>3996055</wp:posOffset>
              </wp:positionH>
              <wp:positionV relativeFrom="page">
                <wp:posOffset>443865</wp:posOffset>
              </wp:positionV>
              <wp:extent cx="173990" cy="60960"/>
              <wp:wrapNone/>
              <wp:docPr id="348" name="Shape 348"/>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374" type="#_x0000_t202" style="position:absolute;margin-left:314.64999999999998pt;margin-top:34.950000000000003pt;width:13.699999999999999pt;height:4.7999999999999998pt;z-index:-18874379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542925</wp:posOffset>
              </wp:positionV>
              <wp:extent cx="4017010" cy="0"/>
              <wp:wrapNone/>
              <wp:docPr id="350" name="Shape 35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2.75pt;width:316.30000000000001pt;height:0;z-index:-251658240;mso-position-horizontal-relative:page;mso-position-vertical-relative:page">
              <v:stroke weight="1.pt"/>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5" behindDoc="1" locked="0" layoutInCell="1" allowOverlap="1">
              <wp:simplePos x="0" y="0"/>
              <wp:positionH relativeFrom="page">
                <wp:posOffset>3996055</wp:posOffset>
              </wp:positionH>
              <wp:positionV relativeFrom="page">
                <wp:posOffset>443865</wp:posOffset>
              </wp:positionV>
              <wp:extent cx="173990" cy="60960"/>
              <wp:wrapNone/>
              <wp:docPr id="353" name="Shape 353"/>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379" type="#_x0000_t202" style="position:absolute;margin-left:314.64999999999998pt;margin-top:34.950000000000003pt;width:13.699999999999999pt;height:4.7999999999999998pt;z-index:-18874378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542925</wp:posOffset>
              </wp:positionV>
              <wp:extent cx="4017010" cy="0"/>
              <wp:wrapNone/>
              <wp:docPr id="355" name="Shape 35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2.75pt;width:316.30000000000001pt;height:0;z-index:-251658240;mso-position-horizontal-relative:page;mso-position-vertical-relative:page">
              <v:stroke weight="1.pt"/>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9" behindDoc="1" locked="0" layoutInCell="1" allowOverlap="1">
              <wp:simplePos x="0" y="0"/>
              <wp:positionH relativeFrom="page">
                <wp:posOffset>161925</wp:posOffset>
              </wp:positionH>
              <wp:positionV relativeFrom="page">
                <wp:posOffset>456565</wp:posOffset>
              </wp:positionV>
              <wp:extent cx="173990" cy="60960"/>
              <wp:wrapNone/>
              <wp:docPr id="358" name="Shape 358"/>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384" type="#_x0000_t202" style="position:absolute;margin-left:12.75pt;margin-top:35.950000000000003pt;width:13.699999999999999pt;height:4.7999999999999998pt;z-index:-18874378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552450</wp:posOffset>
              </wp:positionV>
              <wp:extent cx="4020185" cy="0"/>
              <wp:wrapNone/>
              <wp:docPr id="360" name="Shape 36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5pt;margin-top:43.5pt;width:316.55000000000001pt;height:0;z-index:-251658240;mso-position-horizontal-relative:page;mso-position-vertical-relative:page">
              <v:stroke weight="1.pt"/>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3" behindDoc="1" locked="0" layoutInCell="1" allowOverlap="1">
              <wp:simplePos x="0" y="0"/>
              <wp:positionH relativeFrom="page">
                <wp:posOffset>3987165</wp:posOffset>
              </wp:positionH>
              <wp:positionV relativeFrom="page">
                <wp:posOffset>404495</wp:posOffset>
              </wp:positionV>
              <wp:extent cx="173990" cy="64135"/>
              <wp:wrapNone/>
              <wp:docPr id="363" name="Shape 363"/>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389" type="#_x0000_t202" style="position:absolute;margin-left:313.94999999999999pt;margin-top:31.850000000000001pt;width:13.699999999999999pt;height:5.0499999999999998pt;z-index:-18874378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508000</wp:posOffset>
              </wp:positionV>
              <wp:extent cx="4020185" cy="0"/>
              <wp:wrapNone/>
              <wp:docPr id="365" name="Shape 36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050000000000001pt;margin-top:40.pt;width:316.55000000000001pt;height:0;z-index:-251658240;mso-position-horizontal-relative:page;mso-position-vertical-relative:page">
              <v:stroke weight="1.pt"/>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7" behindDoc="1" locked="0" layoutInCell="1" allowOverlap="1">
              <wp:simplePos x="0" y="0"/>
              <wp:positionH relativeFrom="page">
                <wp:posOffset>3987165</wp:posOffset>
              </wp:positionH>
              <wp:positionV relativeFrom="page">
                <wp:posOffset>404495</wp:posOffset>
              </wp:positionV>
              <wp:extent cx="173990" cy="64135"/>
              <wp:wrapNone/>
              <wp:docPr id="368" name="Shape 368"/>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394" type="#_x0000_t202" style="position:absolute;margin-left:313.94999999999999pt;margin-top:31.850000000000001pt;width:13.699999999999999pt;height:5.0499999999999998pt;z-index:-18874377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508000</wp:posOffset>
              </wp:positionV>
              <wp:extent cx="4020185" cy="0"/>
              <wp:wrapNone/>
              <wp:docPr id="370" name="Shape 37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050000000000001pt;margin-top:40.pt;width:316.55000000000001pt;height:0;z-index:-251658240;mso-position-horizontal-relative:page;mso-position-vertical-relative:page">
              <v:stroke weight="1.pt"/>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1" behindDoc="1" locked="0" layoutInCell="1" allowOverlap="1">
              <wp:simplePos x="0" y="0"/>
              <wp:positionH relativeFrom="page">
                <wp:posOffset>149225</wp:posOffset>
              </wp:positionH>
              <wp:positionV relativeFrom="page">
                <wp:posOffset>441325</wp:posOffset>
              </wp:positionV>
              <wp:extent cx="176530" cy="60960"/>
              <wp:wrapNone/>
              <wp:docPr id="373" name="Shape 373"/>
              <a:graphic xmlns:a="http://schemas.openxmlformats.org/drawingml/2006/main">
                <a:graphicData uri="http://schemas.microsoft.com/office/word/2010/wordprocessingShape">
                  <wps:wsp>
                    <wps:cNvSpPr txBox="1"/>
                    <wps:spPr>
                      <a:xfrm>
                        <a:ext cx="1765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399" type="#_x0000_t202" style="position:absolute;margin-left:11.75pt;margin-top:34.75pt;width:13.9pt;height:4.7999999999999998pt;z-index:-18874377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529590</wp:posOffset>
              </wp:positionV>
              <wp:extent cx="4023360" cy="0"/>
              <wp:wrapNone/>
              <wp:docPr id="375" name="Shape 37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50000000000001pt;margin-top:41.700000000000003pt;width:316.80000000000001pt;height:0;z-index:-251658240;mso-position-horizontal-relative:page;mso-position-vertical-relative:page">
              <v:stroke weight="1.pt"/>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5" behindDoc="1" locked="0" layoutInCell="1" allowOverlap="1">
              <wp:simplePos x="0" y="0"/>
              <wp:positionH relativeFrom="page">
                <wp:posOffset>4017645</wp:posOffset>
              </wp:positionH>
              <wp:positionV relativeFrom="page">
                <wp:posOffset>422910</wp:posOffset>
              </wp:positionV>
              <wp:extent cx="173990" cy="60960"/>
              <wp:wrapNone/>
              <wp:docPr id="378" name="Shape 378"/>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04" type="#_x0000_t202" style="position:absolute;margin-left:316.35000000000002pt;margin-top:33.299999999999997pt;width:13.699999999999999pt;height:4.7999999999999998pt;z-index:-18874376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520065</wp:posOffset>
              </wp:positionV>
              <wp:extent cx="4038600" cy="0"/>
              <wp:wrapNone/>
              <wp:docPr id="380" name="Shape 380"/>
              <a:graphic xmlns:a="http://schemas.openxmlformats.org/drawingml/2006/main">
                <a:graphicData uri="http://schemas.microsoft.com/office/word/2010/wordprocessingShape">
                  <wps:wsp>
                    <wps:cNvCnPr/>
                    <wps:spPr>
                      <a:xfrm>
                        <a:ext cx="4038600" cy="0"/>
                      </a:xfrm>
                      <a:prstGeom prst="straightConnector1"/>
                      <a:ln w="12700">
                        <a:solidFill/>
                      </a:ln>
                    </wps:spPr>
                    <wps:bodyPr/>
                  </wps:wsp>
                </a:graphicData>
              </a:graphic>
            </wp:anchor>
          </w:drawing>
        </mc:Choice>
        <mc:Fallback>
          <w:pict>
            <v:shape o:spt="32" o:oned="true" path="m,l21600,21600e" style="position:absolute;margin-left:12.pt;margin-top:40.950000000000003pt;width:318.pt;height:0;z-index:-251658240;mso-position-horizontal-relative:page;mso-position-vertical-relative:page">
              <v:stroke weight="1.pt"/>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9" behindDoc="1" locked="0" layoutInCell="1" allowOverlap="1">
              <wp:simplePos x="0" y="0"/>
              <wp:positionH relativeFrom="page">
                <wp:posOffset>4017645</wp:posOffset>
              </wp:positionH>
              <wp:positionV relativeFrom="page">
                <wp:posOffset>422910</wp:posOffset>
              </wp:positionV>
              <wp:extent cx="173990" cy="60960"/>
              <wp:wrapNone/>
              <wp:docPr id="383" name="Shape 383"/>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09" type="#_x0000_t202" style="position:absolute;margin-left:316.35000000000002pt;margin-top:33.299999999999997pt;width:13.699999999999999pt;height:4.7999999999999998pt;z-index:-18874376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520065</wp:posOffset>
              </wp:positionV>
              <wp:extent cx="4038600" cy="0"/>
              <wp:wrapNone/>
              <wp:docPr id="385" name="Shape 385"/>
              <a:graphic xmlns:a="http://schemas.openxmlformats.org/drawingml/2006/main">
                <a:graphicData uri="http://schemas.microsoft.com/office/word/2010/wordprocessingShape">
                  <wps:wsp>
                    <wps:cNvCnPr/>
                    <wps:spPr>
                      <a:xfrm>
                        <a:ext cx="4038600" cy="0"/>
                      </a:xfrm>
                      <a:prstGeom prst="straightConnector1"/>
                      <a:ln w="12700">
                        <a:solidFill/>
                      </a:ln>
                    </wps:spPr>
                    <wps:bodyPr/>
                  </wps:wsp>
                </a:graphicData>
              </a:graphic>
            </wp:anchor>
          </w:drawing>
        </mc:Choice>
        <mc:Fallback>
          <w:pict>
            <v:shape o:spt="32" o:oned="true" path="m,l21600,21600e" style="position:absolute;margin-left:12.pt;margin-top:40.950000000000003pt;width:318.pt;height:0;z-index:-251658240;mso-position-horizontal-relative:page;mso-position-vertical-relative:page">
              <v:stroke weight="1.pt"/>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3" behindDoc="1" locked="0" layoutInCell="1" allowOverlap="1">
              <wp:simplePos x="0" y="0"/>
              <wp:positionH relativeFrom="page">
                <wp:posOffset>154305</wp:posOffset>
              </wp:positionH>
              <wp:positionV relativeFrom="page">
                <wp:posOffset>441325</wp:posOffset>
              </wp:positionV>
              <wp:extent cx="176530" cy="67310"/>
              <wp:wrapNone/>
              <wp:docPr id="388" name="Shape 388"/>
              <a:graphic xmlns:a="http://schemas.openxmlformats.org/drawingml/2006/main">
                <a:graphicData uri="http://schemas.microsoft.com/office/word/2010/wordprocessingShape">
                  <wps:wsp>
                    <wps:cNvSpPr txBox="1"/>
                    <wps:spPr>
                      <a:xfrm>
                        <a:ext cx="1765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14" type="#_x0000_t202" style="position:absolute;margin-left:12.15pt;margin-top:34.75pt;width:13.9pt;height:5.2999999999999998pt;z-index:-18874376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537210</wp:posOffset>
              </wp:positionV>
              <wp:extent cx="4017010" cy="0"/>
              <wp:wrapNone/>
              <wp:docPr id="390" name="Shape 39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42.299999999999997pt;width:316.30000000000001pt;height:0;z-index:-251658240;mso-position-horizontal-relative:page;mso-position-vertical-relative:page">
              <v:stroke weight="1.pt"/>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7" behindDoc="1" locked="0" layoutInCell="1" allowOverlap="1">
              <wp:simplePos x="0" y="0"/>
              <wp:positionH relativeFrom="page">
                <wp:posOffset>151130</wp:posOffset>
              </wp:positionH>
              <wp:positionV relativeFrom="page">
                <wp:posOffset>401320</wp:posOffset>
              </wp:positionV>
              <wp:extent cx="173990" cy="67310"/>
              <wp:wrapNone/>
              <wp:docPr id="393" name="Shape 393"/>
              <a:graphic xmlns:a="http://schemas.openxmlformats.org/drawingml/2006/main">
                <a:graphicData uri="http://schemas.microsoft.com/office/word/2010/wordprocessingShape">
                  <wps:wsp>
                    <wps:cNvSpPr txBox="1"/>
                    <wps:spPr>
                      <a:xfrm>
                        <a:ext cx="1739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19" type="#_x0000_t202" style="position:absolute;margin-left:11.9pt;margin-top:31.600000000000001pt;width:13.699999999999999pt;height:5.2999999999999998pt;z-index:-18874375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494665</wp:posOffset>
              </wp:positionV>
              <wp:extent cx="4017010" cy="0"/>
              <wp:wrapNone/>
              <wp:docPr id="395" name="Shape 39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38.950000000000003pt;width:316.30000000000001pt;height:0;z-index:-251658240;mso-position-horizontal-relative:page;mso-position-vertical-relative:page">
              <v:stroke weight="1.pt"/>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1" behindDoc="1" locked="0" layoutInCell="1" allowOverlap="1">
              <wp:simplePos x="0" y="0"/>
              <wp:positionH relativeFrom="page">
                <wp:posOffset>151130</wp:posOffset>
              </wp:positionH>
              <wp:positionV relativeFrom="page">
                <wp:posOffset>401320</wp:posOffset>
              </wp:positionV>
              <wp:extent cx="173990" cy="67310"/>
              <wp:wrapNone/>
              <wp:docPr id="398" name="Shape 398"/>
              <a:graphic xmlns:a="http://schemas.openxmlformats.org/drawingml/2006/main">
                <a:graphicData uri="http://schemas.microsoft.com/office/word/2010/wordprocessingShape">
                  <wps:wsp>
                    <wps:cNvSpPr txBox="1"/>
                    <wps:spPr>
                      <a:xfrm>
                        <a:ext cx="1739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24" type="#_x0000_t202" style="position:absolute;margin-left:11.9pt;margin-top:31.600000000000001pt;width:13.699999999999999pt;height:5.2999999999999998pt;z-index:-18874375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494665</wp:posOffset>
              </wp:positionV>
              <wp:extent cx="4017010" cy="0"/>
              <wp:wrapNone/>
              <wp:docPr id="400" name="Shape 40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38.950000000000003pt;width:316.30000000000001pt;height:0;z-index:-251658240;mso-position-horizontal-relative:page;mso-position-vertical-relative:page">
              <v:stroke weight="1.pt"/>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5" behindDoc="1" locked="0" layoutInCell="1" allowOverlap="1">
              <wp:simplePos x="0" y="0"/>
              <wp:positionH relativeFrom="page">
                <wp:posOffset>3992880</wp:posOffset>
              </wp:positionH>
              <wp:positionV relativeFrom="page">
                <wp:posOffset>426085</wp:posOffset>
              </wp:positionV>
              <wp:extent cx="173990" cy="64135"/>
              <wp:wrapNone/>
              <wp:docPr id="403" name="Shape 403"/>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29" type="#_x0000_t202" style="position:absolute;margin-left:314.39999999999998pt;margin-top:33.549999999999997pt;width:13.699999999999999pt;height:5.0499999999999998pt;z-index:-18874374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527685</wp:posOffset>
              </wp:positionV>
              <wp:extent cx="4020185" cy="0"/>
              <wp:wrapNone/>
              <wp:docPr id="405" name="Shape 40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41.549999999999997pt;width:316.55000000000001pt;height:0;z-index:-251658240;mso-position-horizontal-relative:page;mso-position-vertical-relative:page">
              <v:stroke weight="1.pt"/>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7" behindDoc="1" locked="0" layoutInCell="1" allowOverlap="1">
              <wp:simplePos x="0" y="0"/>
              <wp:positionH relativeFrom="page">
                <wp:posOffset>3992880</wp:posOffset>
              </wp:positionH>
              <wp:positionV relativeFrom="page">
                <wp:posOffset>426085</wp:posOffset>
              </wp:positionV>
              <wp:extent cx="173990" cy="64135"/>
              <wp:wrapNone/>
              <wp:docPr id="406" name="Shape 406"/>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32" type="#_x0000_t202" style="position:absolute;margin-left:314.39999999999998pt;margin-top:33.549999999999997pt;width:13.699999999999999pt;height:5.0499999999999998pt;z-index:-18874374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527685</wp:posOffset>
              </wp:positionV>
              <wp:extent cx="4020185" cy="0"/>
              <wp:wrapNone/>
              <wp:docPr id="408" name="Shape 40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41.549999999999997pt;width:316.55000000000001pt;height:0;z-index:-251658240;mso-position-horizontal-relative:page;mso-position-vertical-relative:page">
              <v:stroke weight="1.pt"/>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9" behindDoc="1" locked="0" layoutInCell="1" allowOverlap="1">
              <wp:simplePos x="0" y="0"/>
              <wp:positionH relativeFrom="page">
                <wp:posOffset>3987165</wp:posOffset>
              </wp:positionH>
              <wp:positionV relativeFrom="page">
                <wp:posOffset>407670</wp:posOffset>
              </wp:positionV>
              <wp:extent cx="173990" cy="60960"/>
              <wp:wrapNone/>
              <wp:docPr id="409" name="Shape 409"/>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35" type="#_x0000_t202" style="position:absolute;margin-left:313.94999999999999pt;margin-top:32.100000000000001pt;width:13.699999999999999pt;height:4.7999999999999998pt;z-index:-18874374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509905</wp:posOffset>
              </wp:positionV>
              <wp:extent cx="4017010" cy="0"/>
              <wp:wrapNone/>
              <wp:docPr id="411" name="Shape 41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50000000000001pt;margin-top:40.149999999999999pt;width:316.30000000000001pt;height:0;z-index:-251658240;mso-position-horizontal-relative:page;mso-position-vertical-relative:page">
              <v:stroke weight="1.pt"/>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3" behindDoc="1" locked="0" layoutInCell="1" allowOverlap="1">
              <wp:simplePos x="0" y="0"/>
              <wp:positionH relativeFrom="page">
                <wp:posOffset>151130</wp:posOffset>
              </wp:positionH>
              <wp:positionV relativeFrom="page">
                <wp:posOffset>401320</wp:posOffset>
              </wp:positionV>
              <wp:extent cx="173990" cy="67310"/>
              <wp:wrapNone/>
              <wp:docPr id="414" name="Shape 414"/>
              <a:graphic xmlns:a="http://schemas.openxmlformats.org/drawingml/2006/main">
                <a:graphicData uri="http://schemas.microsoft.com/office/word/2010/wordprocessingShape">
                  <wps:wsp>
                    <wps:cNvSpPr txBox="1"/>
                    <wps:spPr>
                      <a:xfrm>
                        <a:ext cx="1739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40" type="#_x0000_t202" style="position:absolute;margin-left:11.9pt;margin-top:31.600000000000001pt;width:13.699999999999999pt;height:5.2999999999999998pt;z-index:-18874374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494665</wp:posOffset>
              </wp:positionV>
              <wp:extent cx="4017010" cy="0"/>
              <wp:wrapNone/>
              <wp:docPr id="416" name="Shape 41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38.950000000000003pt;width:316.30000000000001pt;height:0;z-index:-251658240;mso-position-horizontal-relative:page;mso-position-vertical-relative:page">
              <v:stroke weight="1.pt"/>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7" behindDoc="1" locked="0" layoutInCell="1" allowOverlap="1">
              <wp:simplePos x="0" y="0"/>
              <wp:positionH relativeFrom="page">
                <wp:posOffset>3989705</wp:posOffset>
              </wp:positionH>
              <wp:positionV relativeFrom="page">
                <wp:posOffset>441325</wp:posOffset>
              </wp:positionV>
              <wp:extent cx="176530" cy="64135"/>
              <wp:wrapNone/>
              <wp:docPr id="419" name="Shape 419"/>
              <a:graphic xmlns:a="http://schemas.openxmlformats.org/drawingml/2006/main">
                <a:graphicData uri="http://schemas.microsoft.com/office/word/2010/wordprocessingShape">
                  <wps:wsp>
                    <wps:cNvSpPr txBox="1"/>
                    <wps:spPr>
                      <a:xfrm>
                        <a:ext cx="1765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45" type="#_x0000_t202" style="position:absolute;margin-left:314.14999999999998pt;margin-top:34.75pt;width:13.9pt;height:5.0499999999999998pt;z-index:-18874373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541655</wp:posOffset>
              </wp:positionV>
              <wp:extent cx="4017010" cy="0"/>
              <wp:wrapNone/>
              <wp:docPr id="421" name="Shape 42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75pt;margin-top:42.649999999999999pt;width:316.30000000000001pt;height:0;z-index:-251658240;mso-position-horizontal-relative:page;mso-position-vertical-relative:page">
              <v:stroke weight="1.pt"/>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1" behindDoc="1" locked="0" layoutInCell="1" allowOverlap="1">
              <wp:simplePos x="0" y="0"/>
              <wp:positionH relativeFrom="page">
                <wp:posOffset>3989705</wp:posOffset>
              </wp:positionH>
              <wp:positionV relativeFrom="page">
                <wp:posOffset>441325</wp:posOffset>
              </wp:positionV>
              <wp:extent cx="176530" cy="64135"/>
              <wp:wrapNone/>
              <wp:docPr id="424" name="Shape 424"/>
              <a:graphic xmlns:a="http://schemas.openxmlformats.org/drawingml/2006/main">
                <a:graphicData uri="http://schemas.microsoft.com/office/word/2010/wordprocessingShape">
                  <wps:wsp>
                    <wps:cNvSpPr txBox="1"/>
                    <wps:spPr>
                      <a:xfrm>
                        <a:ext cx="1765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50" type="#_x0000_t202" style="position:absolute;margin-left:314.14999999999998pt;margin-top:34.75pt;width:13.9pt;height:5.0499999999999998pt;z-index:-18874373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541655</wp:posOffset>
              </wp:positionV>
              <wp:extent cx="4017010" cy="0"/>
              <wp:wrapNone/>
              <wp:docPr id="426" name="Shape 42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75pt;margin-top:42.649999999999999pt;width:316.30000000000001pt;height:0;z-index:-251658240;mso-position-horizontal-relative:page;mso-position-vertical-relative:page">
              <v:stroke weight="1.pt"/>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5" behindDoc="1" locked="0" layoutInCell="1" allowOverlap="1">
              <wp:simplePos x="0" y="0"/>
              <wp:positionH relativeFrom="page">
                <wp:posOffset>3389630</wp:posOffset>
              </wp:positionH>
              <wp:positionV relativeFrom="page">
                <wp:posOffset>386080</wp:posOffset>
              </wp:positionV>
              <wp:extent cx="774065" cy="82550"/>
              <wp:wrapNone/>
              <wp:docPr id="429" name="Shape 429"/>
              <a:graphic xmlns:a="http://schemas.openxmlformats.org/drawingml/2006/main">
                <a:graphicData uri="http://schemas.microsoft.com/office/word/2010/wordprocessingShape">
                  <wps:wsp>
                    <wps:cNvSpPr txBox="1"/>
                    <wps:spPr>
                      <a:xfrm>
                        <a:ext cx="77406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BOG/BOGOSLUŽJE</w:t>
                          </w:r>
                        </w:p>
                      </w:txbxContent>
                    </wps:txbx>
                    <wps:bodyPr wrap="none" lIns="0" tIns="0" rIns="0" bIns="0">
                      <a:spAutoFit/>
                    </wps:bodyPr>
                  </wps:wsp>
                </a:graphicData>
              </a:graphic>
            </wp:anchor>
          </w:drawing>
        </mc:Choice>
        <mc:Fallback>
          <w:pict>
            <v:shape id="_x0000_s1455" type="#_x0000_t202" style="position:absolute;margin-left:266.89999999999998pt;margin-top:30.399999999999999pt;width:60.950000000000003pt;height:6.5pt;z-index:-18874372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508000</wp:posOffset>
              </wp:positionV>
              <wp:extent cx="4014470" cy="0"/>
              <wp:wrapNone/>
              <wp:docPr id="431" name="Shape 431"/>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550000000000001pt;margin-top:40.pt;width:316.10000000000002pt;height:0;z-index:-251658240;mso-position-horizontal-relative:page;mso-position-vertical-relative:page">
              <v:stroke weight="1.pt"/>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9" behindDoc="1" locked="0" layoutInCell="1" allowOverlap="1">
              <wp:simplePos x="0" y="0"/>
              <wp:positionH relativeFrom="page">
                <wp:posOffset>3389630</wp:posOffset>
              </wp:positionH>
              <wp:positionV relativeFrom="page">
                <wp:posOffset>386080</wp:posOffset>
              </wp:positionV>
              <wp:extent cx="774065" cy="82550"/>
              <wp:wrapNone/>
              <wp:docPr id="434" name="Shape 434"/>
              <a:graphic xmlns:a="http://schemas.openxmlformats.org/drawingml/2006/main">
                <a:graphicData uri="http://schemas.microsoft.com/office/word/2010/wordprocessingShape">
                  <wps:wsp>
                    <wps:cNvSpPr txBox="1"/>
                    <wps:spPr>
                      <a:xfrm>
                        <a:ext cx="77406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BOG/BOGOSLUŽJE</w:t>
                          </w:r>
                        </w:p>
                      </w:txbxContent>
                    </wps:txbx>
                    <wps:bodyPr wrap="none" lIns="0" tIns="0" rIns="0" bIns="0">
                      <a:spAutoFit/>
                    </wps:bodyPr>
                  </wps:wsp>
                </a:graphicData>
              </a:graphic>
            </wp:anchor>
          </w:drawing>
        </mc:Choice>
        <mc:Fallback>
          <w:pict>
            <v:shape id="_x0000_s1460" type="#_x0000_t202" style="position:absolute;margin-left:266.89999999999998pt;margin-top:30.399999999999999pt;width:60.950000000000003pt;height:6.5pt;z-index:-18874372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508000</wp:posOffset>
              </wp:positionV>
              <wp:extent cx="4014470" cy="0"/>
              <wp:wrapNone/>
              <wp:docPr id="436" name="Shape 43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550000000000001pt;margin-top:40.pt;width:316.10000000000002pt;height:0;z-index:-251658240;mso-position-horizontal-relative:page;mso-position-vertical-relative:page">
              <v:stroke weight="1.pt"/>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3" behindDoc="1" locked="0" layoutInCell="1" allowOverlap="1">
              <wp:simplePos x="0" y="0"/>
              <wp:positionH relativeFrom="page">
                <wp:posOffset>151130</wp:posOffset>
              </wp:positionH>
              <wp:positionV relativeFrom="page">
                <wp:posOffset>401320</wp:posOffset>
              </wp:positionV>
              <wp:extent cx="173990" cy="67310"/>
              <wp:wrapNone/>
              <wp:docPr id="439" name="Shape 439"/>
              <a:graphic xmlns:a="http://schemas.openxmlformats.org/drawingml/2006/main">
                <a:graphicData uri="http://schemas.microsoft.com/office/word/2010/wordprocessingShape">
                  <wps:wsp>
                    <wps:cNvSpPr txBox="1"/>
                    <wps:spPr>
                      <a:xfrm>
                        <a:ext cx="1739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wps:txbx>
                    <wps:bodyPr wrap="none" lIns="0" tIns="0" rIns="0" bIns="0">
                      <a:spAutoFit/>
                    </wps:bodyPr>
                  </wps:wsp>
                </a:graphicData>
              </a:graphic>
            </wp:anchor>
          </w:drawing>
        </mc:Choice>
        <mc:Fallback>
          <w:pict>
            <v:shape id="_x0000_s1465" type="#_x0000_t202" style="position:absolute;margin-left:11.9pt;margin-top:31.600000000000001pt;width:13.699999999999999pt;height:5.2999999999999998pt;z-index:-18874372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494665</wp:posOffset>
              </wp:positionV>
              <wp:extent cx="4017010" cy="0"/>
              <wp:wrapNone/>
              <wp:docPr id="441" name="Shape 44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38.950000000000003pt;width:316.30000000000001pt;height:0;z-index:-251658240;mso-position-horizontal-relative:page;mso-position-vertical-relative:page">
              <v:stroke weight="1.pt"/>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7" behindDoc="1" locked="0" layoutInCell="1" allowOverlap="1">
              <wp:simplePos x="0" y="0"/>
              <wp:positionH relativeFrom="page">
                <wp:posOffset>3613785</wp:posOffset>
              </wp:positionH>
              <wp:positionV relativeFrom="page">
                <wp:posOffset>428625</wp:posOffset>
              </wp:positionV>
              <wp:extent cx="560705" cy="79375"/>
              <wp:wrapNone/>
              <wp:docPr id="444" name="Shape 444"/>
              <a:graphic xmlns:a="http://schemas.openxmlformats.org/drawingml/2006/main">
                <a:graphicData uri="http://schemas.microsoft.com/office/word/2010/wordprocessingShape">
                  <wps:wsp>
                    <wps:cNvSpPr txBox="1"/>
                    <wps:spPr>
                      <a:xfrm>
                        <a:ext cx="5607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470" type="#_x0000_t202" style="position:absolute;margin-left:284.55000000000001pt;margin-top:33.75pt;width:44.149999999999999pt;height:6.25pt;z-index:-18874371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541655</wp:posOffset>
              </wp:positionV>
              <wp:extent cx="4020185" cy="0"/>
              <wp:wrapNone/>
              <wp:docPr id="446" name="Shape 44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2.649999999999999pt;width:316.55000000000001pt;height:0;z-index:-251658240;mso-position-horizontal-relative:page;mso-position-vertical-relative:page">
              <v:stroke weight="1.pt"/>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1" behindDoc="1" locked="0" layoutInCell="1" allowOverlap="1">
              <wp:simplePos x="0" y="0"/>
              <wp:positionH relativeFrom="page">
                <wp:posOffset>3613785</wp:posOffset>
              </wp:positionH>
              <wp:positionV relativeFrom="page">
                <wp:posOffset>428625</wp:posOffset>
              </wp:positionV>
              <wp:extent cx="560705" cy="79375"/>
              <wp:wrapNone/>
              <wp:docPr id="449" name="Shape 449"/>
              <a:graphic xmlns:a="http://schemas.openxmlformats.org/drawingml/2006/main">
                <a:graphicData uri="http://schemas.microsoft.com/office/word/2010/wordprocessingShape">
                  <wps:wsp>
                    <wps:cNvSpPr txBox="1"/>
                    <wps:spPr>
                      <a:xfrm>
                        <a:ext cx="5607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475" type="#_x0000_t202" style="position:absolute;margin-left:284.55000000000001pt;margin-top:33.75pt;width:44.149999999999999pt;height:6.25pt;z-index:-18874371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541655</wp:posOffset>
              </wp:positionV>
              <wp:extent cx="4020185" cy="0"/>
              <wp:wrapNone/>
              <wp:docPr id="451" name="Shape 45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2.649999999999999pt;width:316.55000000000001pt;height:0;z-index:-251658240;mso-position-horizontal-relative:page;mso-position-vertical-relative:page">
              <v:stroke weight="1.pt"/>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5" behindDoc="1" locked="0" layoutInCell="1" allowOverlap="1">
              <wp:simplePos x="0" y="0"/>
              <wp:positionH relativeFrom="page">
                <wp:posOffset>154305</wp:posOffset>
              </wp:positionH>
              <wp:positionV relativeFrom="page">
                <wp:posOffset>419735</wp:posOffset>
              </wp:positionV>
              <wp:extent cx="560705" cy="79375"/>
              <wp:wrapNone/>
              <wp:docPr id="454" name="Shape 454"/>
              <a:graphic xmlns:a="http://schemas.openxmlformats.org/drawingml/2006/main">
                <a:graphicData uri="http://schemas.microsoft.com/office/word/2010/wordprocessingShape">
                  <wps:wsp>
                    <wps:cNvSpPr txBox="1"/>
                    <wps:spPr>
                      <a:xfrm>
                        <a:ext cx="5607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480" type="#_x0000_t202" style="position:absolute;margin-left:12.15pt;margin-top:33.049999999999997pt;width:44.149999999999999pt;height:6.25pt;z-index:-18874370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528955</wp:posOffset>
              </wp:positionV>
              <wp:extent cx="4023360" cy="0"/>
              <wp:wrapNone/>
              <wp:docPr id="456" name="Shape 45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649999999999999pt;width:316.80000000000001pt;height:0;z-index:-251658240;mso-position-horizontal-relative:page;mso-position-vertical-relative:page">
              <v:stroke weight="1.pt"/>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9" behindDoc="1" locked="0" layoutInCell="1" allowOverlap="1">
              <wp:simplePos x="0" y="0"/>
              <wp:positionH relativeFrom="page">
                <wp:posOffset>156845</wp:posOffset>
              </wp:positionH>
              <wp:positionV relativeFrom="page">
                <wp:posOffset>428625</wp:posOffset>
              </wp:positionV>
              <wp:extent cx="563880" cy="79375"/>
              <wp:wrapNone/>
              <wp:docPr id="459" name="Shape 459"/>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485" type="#_x0000_t202" style="position:absolute;margin-left:12.35pt;margin-top:33.75pt;width:44.399999999999999pt;height:6.25pt;z-index:-18874370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540385</wp:posOffset>
              </wp:positionV>
              <wp:extent cx="4020185" cy="0"/>
              <wp:wrapNone/>
              <wp:docPr id="461" name="Shape 46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5pt;margin-top:42.549999999999997pt;width:316.55000000000001pt;height:0;z-index:-251658240;mso-position-horizontal-relative:page;mso-position-vertical-relative:page">
              <v:stroke weight="1.pt"/>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3" behindDoc="1" locked="0" layoutInCell="1" allowOverlap="1">
              <wp:simplePos x="0" y="0"/>
              <wp:positionH relativeFrom="page">
                <wp:posOffset>156845</wp:posOffset>
              </wp:positionH>
              <wp:positionV relativeFrom="page">
                <wp:posOffset>428625</wp:posOffset>
              </wp:positionV>
              <wp:extent cx="563880" cy="79375"/>
              <wp:wrapNone/>
              <wp:docPr id="464" name="Shape 464"/>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490" type="#_x0000_t202" style="position:absolute;margin-left:12.35pt;margin-top:33.75pt;width:44.399999999999999pt;height:6.25pt;z-index:-18874370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540385</wp:posOffset>
              </wp:positionV>
              <wp:extent cx="4020185" cy="0"/>
              <wp:wrapNone/>
              <wp:docPr id="466" name="Shape 46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5pt;margin-top:42.549999999999997pt;width:316.55000000000001pt;height:0;z-index:-251658240;mso-position-horizontal-relative:page;mso-position-vertical-relative:page">
              <v:stroke weight="1.pt"/>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7" behindDoc="1" locked="0" layoutInCell="1" allowOverlap="1">
              <wp:simplePos x="0" y="0"/>
              <wp:positionH relativeFrom="page">
                <wp:posOffset>147955</wp:posOffset>
              </wp:positionH>
              <wp:positionV relativeFrom="page">
                <wp:posOffset>422910</wp:posOffset>
              </wp:positionV>
              <wp:extent cx="563880" cy="82550"/>
              <wp:wrapNone/>
              <wp:docPr id="469" name="Shape 469"/>
              <a:graphic xmlns:a="http://schemas.openxmlformats.org/drawingml/2006/main">
                <a:graphicData uri="http://schemas.microsoft.com/office/word/2010/wordprocessingShape">
                  <wps:wsp>
                    <wps:cNvSpPr txBox="1"/>
                    <wps:spPr>
                      <a:xfrm>
                        <a:ext cx="56388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495" type="#_x0000_t202" style="position:absolute;margin-left:11.65pt;margin-top:33.299999999999997pt;width:44.399999999999999pt;height:6.5pt;z-index:-18874369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532130</wp:posOffset>
              </wp:positionV>
              <wp:extent cx="4023360" cy="0"/>
              <wp:wrapNone/>
              <wp:docPr id="471" name="Shape 47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pt;margin-top:41.899999999999999pt;width:316.80000000000001pt;height:0;z-index:-251658240;mso-position-horizontal-relative:page;mso-position-vertical-relative:page">
              <v:stroke weight="1.pt"/>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1" behindDoc="1" locked="0" layoutInCell="1" allowOverlap="1">
              <wp:simplePos x="0" y="0"/>
              <wp:positionH relativeFrom="page">
                <wp:posOffset>147955</wp:posOffset>
              </wp:positionH>
              <wp:positionV relativeFrom="page">
                <wp:posOffset>422910</wp:posOffset>
              </wp:positionV>
              <wp:extent cx="563880" cy="82550"/>
              <wp:wrapNone/>
              <wp:docPr id="474" name="Shape 474"/>
              <a:graphic xmlns:a="http://schemas.openxmlformats.org/drawingml/2006/main">
                <a:graphicData uri="http://schemas.microsoft.com/office/word/2010/wordprocessingShape">
                  <wps:wsp>
                    <wps:cNvSpPr txBox="1"/>
                    <wps:spPr>
                      <a:xfrm>
                        <a:ext cx="56388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500" type="#_x0000_t202" style="position:absolute;margin-left:11.65pt;margin-top:33.299999999999997pt;width:44.399999999999999pt;height:6.5pt;z-index:-18874369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532130</wp:posOffset>
              </wp:positionV>
              <wp:extent cx="4023360" cy="0"/>
              <wp:wrapNone/>
              <wp:docPr id="476" name="Shape 47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pt;margin-top:41.899999999999999pt;width:316.80000000000001pt;height:0;z-index:-251658240;mso-position-horizontal-relative:page;mso-position-vertical-relative:page">
              <v:stroke weight="1.pt"/>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5" behindDoc="1" locked="0" layoutInCell="1" allowOverlap="1">
              <wp:simplePos x="0" y="0"/>
              <wp:positionH relativeFrom="page">
                <wp:posOffset>3608705</wp:posOffset>
              </wp:positionH>
              <wp:positionV relativeFrom="page">
                <wp:posOffset>426085</wp:posOffset>
              </wp:positionV>
              <wp:extent cx="560705" cy="76200"/>
              <wp:wrapNone/>
              <wp:docPr id="479" name="Shape 479"/>
              <a:graphic xmlns:a="http://schemas.openxmlformats.org/drawingml/2006/main">
                <a:graphicData uri="http://schemas.microsoft.com/office/word/2010/wordprocessingShape">
                  <wps:wsp>
                    <wps:cNvSpPr txBox="1"/>
                    <wps:spPr>
                      <a:xfrm>
                        <a:ext cx="56070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wps:txbx>
                    <wps:bodyPr wrap="none" lIns="0" tIns="0" rIns="0" bIns="0">
                      <a:spAutoFit/>
                    </wps:bodyPr>
                  </wps:wsp>
                </a:graphicData>
              </a:graphic>
            </wp:anchor>
          </w:drawing>
        </mc:Choice>
        <mc:Fallback>
          <w:pict>
            <v:shape id="_x0000_s1505" type="#_x0000_t202" style="position:absolute;margin-left:284.14999999999998pt;margin-top:33.549999999999997pt;width:44.149999999999999pt;height:6.pt;z-index:-18874368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BOGOSLUŽJE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541655</wp:posOffset>
              </wp:positionV>
              <wp:extent cx="4017010" cy="0"/>
              <wp:wrapNone/>
              <wp:docPr id="481" name="Shape 48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pt;margin-top:42.649999999999999pt;width:316.30000000000001pt;height:0;z-index:-251658240;mso-position-horizontal-relative:page;mso-position-vertical-relative:page">
              <v:stroke weight="1.pt"/>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9" behindDoc="1" locked="0" layoutInCell="1" allowOverlap="1">
              <wp:simplePos x="0" y="0"/>
              <wp:positionH relativeFrom="page">
                <wp:posOffset>3389630</wp:posOffset>
              </wp:positionH>
              <wp:positionV relativeFrom="page">
                <wp:posOffset>386080</wp:posOffset>
              </wp:positionV>
              <wp:extent cx="798830" cy="82550"/>
              <wp:wrapNone/>
              <wp:docPr id="484" name="Shape 484"/>
              <a:graphic xmlns:a="http://schemas.openxmlformats.org/drawingml/2006/main">
                <a:graphicData uri="http://schemas.microsoft.com/office/word/2010/wordprocessingShape">
                  <wps:wsp>
                    <wps:cNvSpPr txBox="1"/>
                    <wps:spPr>
                      <a:xfrm>
                        <a:ext cx="7988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BRAK?BUDUĆNOST</w:t>
                          </w:r>
                        </w:p>
                      </w:txbxContent>
                    </wps:txbx>
                    <wps:bodyPr wrap="none" lIns="0" tIns="0" rIns="0" bIns="0">
                      <a:spAutoFit/>
                    </wps:bodyPr>
                  </wps:wsp>
                </a:graphicData>
              </a:graphic>
            </wp:anchor>
          </w:drawing>
        </mc:Choice>
        <mc:Fallback>
          <w:pict>
            <v:shape id="_x0000_s1510" type="#_x0000_t202" style="position:absolute;margin-left:266.89999999999998pt;margin-top:30.399999999999999pt;width:62.899999999999999pt;height:6.5pt;z-index:-18874368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BRAK?BUDUĆNOST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167640</wp:posOffset>
              </wp:positionH>
              <wp:positionV relativeFrom="page">
                <wp:posOffset>506730</wp:posOffset>
              </wp:positionV>
              <wp:extent cx="4014470" cy="0"/>
              <wp:wrapNone/>
              <wp:docPr id="486" name="Shape 48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3.199999999999999pt;margin-top:39.899999999999999pt;width:316.10000000000002pt;height:0;z-index:-251658240;mso-position-horizontal-relative:page;mso-position-vertical-relative:page">
              <v:stroke weight="1.pt"/>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3" behindDoc="1" locked="0" layoutInCell="1" allowOverlap="1">
              <wp:simplePos x="0" y="0"/>
              <wp:positionH relativeFrom="page">
                <wp:posOffset>3389630</wp:posOffset>
              </wp:positionH>
              <wp:positionV relativeFrom="page">
                <wp:posOffset>386080</wp:posOffset>
              </wp:positionV>
              <wp:extent cx="798830" cy="82550"/>
              <wp:wrapNone/>
              <wp:docPr id="489" name="Shape 489"/>
              <a:graphic xmlns:a="http://schemas.openxmlformats.org/drawingml/2006/main">
                <a:graphicData uri="http://schemas.microsoft.com/office/word/2010/wordprocessingShape">
                  <wps:wsp>
                    <wps:cNvSpPr txBox="1"/>
                    <wps:spPr>
                      <a:xfrm>
                        <a:ext cx="7988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BRAK?BUDUĆNOST</w:t>
                          </w:r>
                        </w:p>
                      </w:txbxContent>
                    </wps:txbx>
                    <wps:bodyPr wrap="none" lIns="0" tIns="0" rIns="0" bIns="0">
                      <a:spAutoFit/>
                    </wps:bodyPr>
                  </wps:wsp>
                </a:graphicData>
              </a:graphic>
            </wp:anchor>
          </w:drawing>
        </mc:Choice>
        <mc:Fallback>
          <w:pict>
            <v:shape id="_x0000_s1515" type="#_x0000_t202" style="position:absolute;margin-left:266.89999999999998pt;margin-top:30.399999999999999pt;width:62.899999999999999pt;height:6.5pt;z-index:-18874368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BRAK?BUDUĆNOST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167640</wp:posOffset>
              </wp:positionH>
              <wp:positionV relativeFrom="page">
                <wp:posOffset>506730</wp:posOffset>
              </wp:positionV>
              <wp:extent cx="4014470" cy="0"/>
              <wp:wrapNone/>
              <wp:docPr id="491" name="Shape 491"/>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3.199999999999999pt;margin-top:39.899999999999999pt;width:316.10000000000002pt;height:0;z-index:-251658240;mso-position-horizontal-relative:page;mso-position-vertical-relative:page">
              <v:stroke weight="1.pt"/>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7" behindDoc="1" locked="0" layoutInCell="1" allowOverlap="1">
              <wp:simplePos x="0" y="0"/>
              <wp:positionH relativeFrom="page">
                <wp:posOffset>156845</wp:posOffset>
              </wp:positionH>
              <wp:positionV relativeFrom="page">
                <wp:posOffset>389255</wp:posOffset>
              </wp:positionV>
              <wp:extent cx="530225" cy="79375"/>
              <wp:wrapNone/>
              <wp:docPr id="494" name="Shape 494"/>
              <a:graphic xmlns:a="http://schemas.openxmlformats.org/drawingml/2006/main">
                <a:graphicData uri="http://schemas.microsoft.com/office/word/2010/wordprocessingShape">
                  <wps:wsp>
                    <wps:cNvSpPr txBox="1"/>
                    <wps:spPr>
                      <a:xfrm>
                        <a:ext cx="530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BUDUĆNOST</w:t>
                          </w:r>
                        </w:p>
                      </w:txbxContent>
                    </wps:txbx>
                    <wps:bodyPr wrap="none" lIns="0" tIns="0" rIns="0" bIns="0">
                      <a:spAutoFit/>
                    </wps:bodyPr>
                  </wps:wsp>
                </a:graphicData>
              </a:graphic>
            </wp:anchor>
          </w:drawing>
        </mc:Choice>
        <mc:Fallback>
          <w:pict>
            <v:shape id="_x0000_s1520" type="#_x0000_t202" style="position:absolute;margin-left:12.35pt;margin-top:30.649999999999999pt;width:41.75pt;height:6.25pt;z-index:-18874367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BUDUĆNOST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500380</wp:posOffset>
              </wp:positionV>
              <wp:extent cx="4014470" cy="0"/>
              <wp:wrapNone/>
              <wp:docPr id="496" name="Shape 49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39.399999999999999pt;width:316.10000000000002pt;height:0;z-index:-251658240;mso-position-horizontal-relative:page;mso-position-vertical-relative:page">
              <v:stroke weight="1.pt"/>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9" behindDoc="1" locked="0" layoutInCell="1" allowOverlap="1">
              <wp:simplePos x="0" y="0"/>
              <wp:positionH relativeFrom="page">
                <wp:posOffset>156845</wp:posOffset>
              </wp:positionH>
              <wp:positionV relativeFrom="page">
                <wp:posOffset>389255</wp:posOffset>
              </wp:positionV>
              <wp:extent cx="530225" cy="79375"/>
              <wp:wrapNone/>
              <wp:docPr id="497" name="Shape 497"/>
              <a:graphic xmlns:a="http://schemas.openxmlformats.org/drawingml/2006/main">
                <a:graphicData uri="http://schemas.microsoft.com/office/word/2010/wordprocessingShape">
                  <wps:wsp>
                    <wps:cNvSpPr txBox="1"/>
                    <wps:spPr>
                      <a:xfrm>
                        <a:ext cx="530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BUDUĆNOST</w:t>
                          </w:r>
                        </w:p>
                      </w:txbxContent>
                    </wps:txbx>
                    <wps:bodyPr wrap="none" lIns="0" tIns="0" rIns="0" bIns="0">
                      <a:spAutoFit/>
                    </wps:bodyPr>
                  </wps:wsp>
                </a:graphicData>
              </a:graphic>
            </wp:anchor>
          </w:drawing>
        </mc:Choice>
        <mc:Fallback>
          <w:pict>
            <v:shape id="_x0000_s1523" type="#_x0000_t202" style="position:absolute;margin-left:12.35pt;margin-top:30.649999999999999pt;width:41.75pt;height:6.25pt;z-index:-18874367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BUDUĆNOST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500380</wp:posOffset>
              </wp:positionV>
              <wp:extent cx="4014470" cy="0"/>
              <wp:wrapNone/>
              <wp:docPr id="499" name="Shape 49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39.399999999999999pt;width:316.10000000000002pt;height:0;z-index:-251658240;mso-position-horizontal-relative:page;mso-position-vertical-relative:page">
              <v:stroke weight="1.pt"/>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1" behindDoc="1" locked="0" layoutInCell="1" allowOverlap="1">
              <wp:simplePos x="0" y="0"/>
              <wp:positionH relativeFrom="page">
                <wp:posOffset>143510</wp:posOffset>
              </wp:positionH>
              <wp:positionV relativeFrom="page">
                <wp:posOffset>404495</wp:posOffset>
              </wp:positionV>
              <wp:extent cx="438785" cy="64135"/>
              <wp:wrapNone/>
              <wp:docPr id="502" name="Shape 502"/>
              <a:graphic xmlns:a="http://schemas.openxmlformats.org/drawingml/2006/main">
                <a:graphicData uri="http://schemas.microsoft.com/office/word/2010/wordprocessingShape">
                  <wps:wsp>
                    <wps:cNvSpPr txBox="1"/>
                    <wps:spPr>
                      <a:xfrm>
                        <a:ext cx="4387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CIONIZAM</w:t>
                          </w:r>
                        </w:p>
                      </w:txbxContent>
                    </wps:txbx>
                    <wps:bodyPr wrap="none" lIns="0" tIns="0" rIns="0" bIns="0">
                      <a:spAutoFit/>
                    </wps:bodyPr>
                  </wps:wsp>
                </a:graphicData>
              </a:graphic>
            </wp:anchor>
          </w:drawing>
        </mc:Choice>
        <mc:Fallback>
          <w:pict>
            <v:shape id="_x0000_s1528" type="#_x0000_t202" style="position:absolute;margin-left:11.300000000000001pt;margin-top:31.850000000000001pt;width:34.549999999999997pt;height:5.0499999999999998pt;z-index:-18874367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CIONIZAM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495935</wp:posOffset>
              </wp:positionV>
              <wp:extent cx="4023360" cy="0"/>
              <wp:wrapNone/>
              <wp:docPr id="504" name="Shape 50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39.049999999999997pt;width:316.80000000000001pt;height:0;z-index:-251658240;mso-position-horizontal-relative:page;mso-position-vertical-relative:page">
              <v:stroke weight="1.pt"/>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5" behindDoc="1" locked="0" layoutInCell="1" allowOverlap="1">
              <wp:simplePos x="0" y="0"/>
              <wp:positionH relativeFrom="page">
                <wp:posOffset>143510</wp:posOffset>
              </wp:positionH>
              <wp:positionV relativeFrom="page">
                <wp:posOffset>404495</wp:posOffset>
              </wp:positionV>
              <wp:extent cx="438785" cy="64135"/>
              <wp:wrapNone/>
              <wp:docPr id="507" name="Shape 507"/>
              <a:graphic xmlns:a="http://schemas.openxmlformats.org/drawingml/2006/main">
                <a:graphicData uri="http://schemas.microsoft.com/office/word/2010/wordprocessingShape">
                  <wps:wsp>
                    <wps:cNvSpPr txBox="1"/>
                    <wps:spPr>
                      <a:xfrm>
                        <a:ext cx="4387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CIONIZAM</w:t>
                          </w:r>
                        </w:p>
                      </w:txbxContent>
                    </wps:txbx>
                    <wps:bodyPr wrap="none" lIns="0" tIns="0" rIns="0" bIns="0">
                      <a:spAutoFit/>
                    </wps:bodyPr>
                  </wps:wsp>
                </a:graphicData>
              </a:graphic>
            </wp:anchor>
          </w:drawing>
        </mc:Choice>
        <mc:Fallback>
          <w:pict>
            <v:shape id="_x0000_s1533" type="#_x0000_t202" style="position:absolute;margin-left:11.300000000000001pt;margin-top:31.850000000000001pt;width:34.549999999999997pt;height:5.0499999999999998pt;z-index:-18874366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CIONIZAM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495935</wp:posOffset>
              </wp:positionV>
              <wp:extent cx="4023360" cy="0"/>
              <wp:wrapNone/>
              <wp:docPr id="509" name="Shape 50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39.049999999999997pt;width:316.80000000000001pt;height:0;z-index:-251658240;mso-position-horizontal-relative:page;mso-position-vertical-relative:page">
              <v:stroke weight="1.pt"/>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1" behindDoc="1" locked="0" layoutInCell="1" allowOverlap="1">
              <wp:simplePos x="0" y="0"/>
              <wp:positionH relativeFrom="page">
                <wp:posOffset>154305</wp:posOffset>
              </wp:positionH>
              <wp:positionV relativeFrom="page">
                <wp:posOffset>428625</wp:posOffset>
              </wp:positionV>
              <wp:extent cx="770890" cy="64135"/>
              <wp:wrapNone/>
              <wp:docPr id="514" name="Shape 514"/>
              <a:graphic xmlns:a="http://schemas.openxmlformats.org/drawingml/2006/main">
                <a:graphicData uri="http://schemas.microsoft.com/office/word/2010/wordprocessingShape">
                  <wps:wsp>
                    <wps:cNvSpPr txBox="1"/>
                    <wps:spPr>
                      <a:xfrm>
                        <a:ext cx="770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CIONIZAM/CRKVA</w:t>
                          </w:r>
                        </w:p>
                      </w:txbxContent>
                    </wps:txbx>
                    <wps:bodyPr wrap="none" lIns="0" tIns="0" rIns="0" bIns="0">
                      <a:spAutoFit/>
                    </wps:bodyPr>
                  </wps:wsp>
                </a:graphicData>
              </a:graphic>
            </wp:anchor>
          </w:drawing>
        </mc:Choice>
        <mc:Fallback>
          <w:pict>
            <v:shape id="_x0000_s1540" type="#_x0000_t202" style="position:absolute;margin-left:12.15pt;margin-top:33.75pt;width:60.700000000000003pt;height:5.0499999999999998pt;z-index:-18874366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CIONIZAM/CRKVA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525145</wp:posOffset>
              </wp:positionV>
              <wp:extent cx="4017010" cy="0"/>
              <wp:wrapNone/>
              <wp:docPr id="516" name="Shape 51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5pt;margin-top:41.350000000000001pt;width:316.30000000000001pt;height:0;z-index:-251658240;mso-position-horizontal-relative:page;mso-position-vertical-relative:page">
              <v:stroke weight="1.pt"/>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3" behindDoc="1" locked="0" layoutInCell="1" allowOverlap="1">
              <wp:simplePos x="0" y="0"/>
              <wp:positionH relativeFrom="page">
                <wp:posOffset>154305</wp:posOffset>
              </wp:positionH>
              <wp:positionV relativeFrom="page">
                <wp:posOffset>428625</wp:posOffset>
              </wp:positionV>
              <wp:extent cx="770890" cy="64135"/>
              <wp:wrapNone/>
              <wp:docPr id="517" name="Shape 517"/>
              <a:graphic xmlns:a="http://schemas.openxmlformats.org/drawingml/2006/main">
                <a:graphicData uri="http://schemas.microsoft.com/office/word/2010/wordprocessingShape">
                  <wps:wsp>
                    <wps:cNvSpPr txBox="1"/>
                    <wps:spPr>
                      <a:xfrm>
                        <a:ext cx="770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CIONIZAM/CRKVA</w:t>
                          </w:r>
                        </w:p>
                      </w:txbxContent>
                    </wps:txbx>
                    <wps:bodyPr wrap="none" lIns="0" tIns="0" rIns="0" bIns="0">
                      <a:spAutoFit/>
                    </wps:bodyPr>
                  </wps:wsp>
                </a:graphicData>
              </a:graphic>
            </wp:anchor>
          </w:drawing>
        </mc:Choice>
        <mc:Fallback>
          <w:pict>
            <v:shape id="_x0000_s1543" type="#_x0000_t202" style="position:absolute;margin-left:12.15pt;margin-top:33.75pt;width:60.700000000000003pt;height:5.0499999999999998pt;z-index:-18874366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CIONIZAM/CRKVA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525145</wp:posOffset>
              </wp:positionV>
              <wp:extent cx="4017010" cy="0"/>
              <wp:wrapNone/>
              <wp:docPr id="519" name="Shape 51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5pt;margin-top:41.350000000000001pt;width:316.30000000000001pt;height:0;z-index:-251658240;mso-position-horizontal-relative:page;mso-position-vertical-relative:page">
              <v:stroke weight="1.pt"/>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5" behindDoc="1" locked="0" layoutInCell="1" allowOverlap="1">
              <wp:simplePos x="0" y="0"/>
              <wp:positionH relativeFrom="page">
                <wp:posOffset>3726180</wp:posOffset>
              </wp:positionH>
              <wp:positionV relativeFrom="page">
                <wp:posOffset>447040</wp:posOffset>
              </wp:positionV>
              <wp:extent cx="438785" cy="64135"/>
              <wp:wrapNone/>
              <wp:docPr id="520" name="Shape 520"/>
              <a:graphic xmlns:a="http://schemas.openxmlformats.org/drawingml/2006/main">
                <a:graphicData uri="http://schemas.microsoft.com/office/word/2010/wordprocessingShape">
                  <wps:wsp>
                    <wps:cNvSpPr txBox="1"/>
                    <wps:spPr>
                      <a:xfrm>
                        <a:ext cx="4387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CIONIZAM</w:t>
                          </w:r>
                        </w:p>
                      </w:txbxContent>
                    </wps:txbx>
                    <wps:bodyPr wrap="none" lIns="0" tIns="0" rIns="0" bIns="0">
                      <a:spAutoFit/>
                    </wps:bodyPr>
                  </wps:wsp>
                </a:graphicData>
              </a:graphic>
            </wp:anchor>
          </w:drawing>
        </mc:Choice>
        <mc:Fallback>
          <w:pict>
            <v:shape id="_x0000_s1546" type="#_x0000_t202" style="position:absolute;margin-left:293.39999999999998pt;margin-top:35.200000000000003pt;width:34.549999999999997pt;height:5.0499999999999998pt;z-index:-18874365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CIONIZAM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549275</wp:posOffset>
              </wp:positionV>
              <wp:extent cx="4014470" cy="0"/>
              <wp:wrapNone/>
              <wp:docPr id="522" name="Shape 522"/>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9pt;margin-top:43.25pt;width:316.10000000000002pt;height:0;z-index:-251658240;mso-position-horizontal-relative:page;mso-position-vertical-relative:page">
              <v:stroke weight="1.pt"/>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9" behindDoc="1" locked="0" layoutInCell="1" allowOverlap="1">
              <wp:simplePos x="0" y="0"/>
              <wp:positionH relativeFrom="page">
                <wp:posOffset>155575</wp:posOffset>
              </wp:positionH>
              <wp:positionV relativeFrom="page">
                <wp:posOffset>431800</wp:posOffset>
              </wp:positionV>
              <wp:extent cx="298450" cy="64135"/>
              <wp:wrapNone/>
              <wp:docPr id="525" name="Shape 525"/>
              <a:graphic xmlns:a="http://schemas.openxmlformats.org/drawingml/2006/main">
                <a:graphicData uri="http://schemas.microsoft.com/office/word/2010/wordprocessingShape">
                  <wps:wsp>
                    <wps:cNvSpPr txBox="1"/>
                    <wps:spPr>
                      <a:xfrm>
                        <a:ext cx="2984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wps:txbx>
                    <wps:bodyPr wrap="none" lIns="0" tIns="0" rIns="0" bIns="0">
                      <a:spAutoFit/>
                    </wps:bodyPr>
                  </wps:wsp>
                </a:graphicData>
              </a:graphic>
            </wp:anchor>
          </w:drawing>
        </mc:Choice>
        <mc:Fallback>
          <w:pict>
            <v:shape id="_x0000_s1551" type="#_x0000_t202" style="position:absolute;margin-left:12.25pt;margin-top:34.pt;width:23.5pt;height:5.0499999999999998pt;z-index:-18874365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530860</wp:posOffset>
              </wp:positionV>
              <wp:extent cx="4017010" cy="0"/>
              <wp:wrapNone/>
              <wp:docPr id="527" name="Shape 52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1.799999999999997pt;width:316.30000000000001pt;height:0;z-index:-251658240;mso-position-horizontal-relative:page;mso-position-vertical-relative:page">
              <v:stroke weight="1.pt"/>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3" behindDoc="1" locked="0" layoutInCell="1" allowOverlap="1">
              <wp:simplePos x="0" y="0"/>
              <wp:positionH relativeFrom="page">
                <wp:posOffset>155575</wp:posOffset>
              </wp:positionH>
              <wp:positionV relativeFrom="page">
                <wp:posOffset>431800</wp:posOffset>
              </wp:positionV>
              <wp:extent cx="298450" cy="64135"/>
              <wp:wrapNone/>
              <wp:docPr id="530" name="Shape 530"/>
              <a:graphic xmlns:a="http://schemas.openxmlformats.org/drawingml/2006/main">
                <a:graphicData uri="http://schemas.microsoft.com/office/word/2010/wordprocessingShape">
                  <wps:wsp>
                    <wps:cNvSpPr txBox="1"/>
                    <wps:spPr>
                      <a:xfrm>
                        <a:ext cx="2984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wps:txbx>
                    <wps:bodyPr wrap="none" lIns="0" tIns="0" rIns="0" bIns="0">
                      <a:spAutoFit/>
                    </wps:bodyPr>
                  </wps:wsp>
                </a:graphicData>
              </a:graphic>
            </wp:anchor>
          </w:drawing>
        </mc:Choice>
        <mc:Fallback>
          <w:pict>
            <v:shape id="_x0000_s1556" type="#_x0000_t202" style="position:absolute;margin-left:12.25pt;margin-top:34.pt;width:23.5pt;height:5.0499999999999998pt;z-index:-18874365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530860</wp:posOffset>
              </wp:positionV>
              <wp:extent cx="4017010" cy="0"/>
              <wp:wrapNone/>
              <wp:docPr id="532" name="Shape 53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1.799999999999997pt;width:316.30000000000001pt;height:0;z-index:-251658240;mso-position-horizontal-relative:page;mso-position-vertical-relative:page">
              <v:stroke weight="1.pt"/>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7" behindDoc="1" locked="0" layoutInCell="1" allowOverlap="1">
              <wp:simplePos x="0" y="0"/>
              <wp:positionH relativeFrom="page">
                <wp:posOffset>3877310</wp:posOffset>
              </wp:positionH>
              <wp:positionV relativeFrom="page">
                <wp:posOffset>407670</wp:posOffset>
              </wp:positionV>
              <wp:extent cx="298450" cy="60960"/>
              <wp:wrapNone/>
              <wp:docPr id="535" name="Shape 535"/>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wps:txbx>
                    <wps:bodyPr wrap="none" lIns="0" tIns="0" rIns="0" bIns="0">
                      <a:spAutoFit/>
                    </wps:bodyPr>
                  </wps:wsp>
                </a:graphicData>
              </a:graphic>
            </wp:anchor>
          </w:drawing>
        </mc:Choice>
        <mc:Fallback>
          <w:pict>
            <v:shape id="_x0000_s1561" type="#_x0000_t202" style="position:absolute;margin-left:305.30000000000001pt;margin-top:32.100000000000001pt;width:23.5pt;height:4.7999999999999998pt;z-index:-18874364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506730</wp:posOffset>
              </wp:positionV>
              <wp:extent cx="4017010" cy="0"/>
              <wp:wrapNone/>
              <wp:docPr id="537" name="Shape 53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39.899999999999999pt;width:316.30000000000001pt;height:0;z-index:-251658240;mso-position-horizontal-relative:page;mso-position-vertical-relative:page">
              <v:stroke weight="1.pt"/>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1" behindDoc="1" locked="0" layoutInCell="1" allowOverlap="1">
              <wp:simplePos x="0" y="0"/>
              <wp:positionH relativeFrom="page">
                <wp:posOffset>3875405</wp:posOffset>
              </wp:positionH>
              <wp:positionV relativeFrom="page">
                <wp:posOffset>404495</wp:posOffset>
              </wp:positionV>
              <wp:extent cx="298450" cy="64135"/>
              <wp:wrapNone/>
              <wp:docPr id="540" name="Shape 540"/>
              <a:graphic xmlns:a="http://schemas.openxmlformats.org/drawingml/2006/main">
                <a:graphicData uri="http://schemas.microsoft.com/office/word/2010/wordprocessingShape">
                  <wps:wsp>
                    <wps:cNvSpPr txBox="1"/>
                    <wps:spPr>
                      <a:xfrm>
                        <a:ext cx="2984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wps:txbx>
                    <wps:bodyPr wrap="none" lIns="0" tIns="0" rIns="0" bIns="0">
                      <a:spAutoFit/>
                    </wps:bodyPr>
                  </wps:wsp>
                </a:graphicData>
              </a:graphic>
            </wp:anchor>
          </w:drawing>
        </mc:Choice>
        <mc:Fallback>
          <w:pict>
            <v:shape id="_x0000_s1566" type="#_x0000_t202" style="position:absolute;margin-left:305.14999999999998pt;margin-top:31.850000000000001pt;width:23.5pt;height:5.0499999999999998pt;z-index:-18874364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504825</wp:posOffset>
              </wp:positionV>
              <wp:extent cx="4020185" cy="0"/>
              <wp:wrapNone/>
              <wp:docPr id="542" name="Shape 54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39.75pt;width:316.55000000000001pt;height:0;z-index:-251658240;mso-position-horizontal-relative:page;mso-position-vertical-relative:page">
              <v:stroke weight="1.pt"/>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5" behindDoc="1" locked="0" layoutInCell="1" allowOverlap="1">
              <wp:simplePos x="0" y="0"/>
              <wp:positionH relativeFrom="page">
                <wp:posOffset>3875405</wp:posOffset>
              </wp:positionH>
              <wp:positionV relativeFrom="page">
                <wp:posOffset>404495</wp:posOffset>
              </wp:positionV>
              <wp:extent cx="298450" cy="64135"/>
              <wp:wrapNone/>
              <wp:docPr id="545" name="Shape 545"/>
              <a:graphic xmlns:a="http://schemas.openxmlformats.org/drawingml/2006/main">
                <a:graphicData uri="http://schemas.microsoft.com/office/word/2010/wordprocessingShape">
                  <wps:wsp>
                    <wps:cNvSpPr txBox="1"/>
                    <wps:spPr>
                      <a:xfrm>
                        <a:ext cx="2984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wps:txbx>
                    <wps:bodyPr wrap="none" lIns="0" tIns="0" rIns="0" bIns="0">
                      <a:spAutoFit/>
                    </wps:bodyPr>
                  </wps:wsp>
                </a:graphicData>
              </a:graphic>
            </wp:anchor>
          </w:drawing>
        </mc:Choice>
        <mc:Fallback>
          <w:pict>
            <v:shape id="_x0000_s1571" type="#_x0000_t202" style="position:absolute;margin-left:305.14999999999998pt;margin-top:31.850000000000001pt;width:23.5pt;height:5.0499999999999998pt;z-index:-18874363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CRKVA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504825</wp:posOffset>
              </wp:positionV>
              <wp:extent cx="4020185" cy="0"/>
              <wp:wrapNone/>
              <wp:docPr id="547" name="Shape 54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39.75pt;width:316.55000000000001pt;height:0;z-index:-251658240;mso-position-horizontal-relative:page;mso-position-vertical-relative:page">
              <v:stroke weight="1.pt"/>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9" behindDoc="1" locked="0" layoutInCell="1" allowOverlap="1">
              <wp:simplePos x="0" y="0"/>
              <wp:positionH relativeFrom="page">
                <wp:posOffset>3806825</wp:posOffset>
              </wp:positionH>
              <wp:positionV relativeFrom="page">
                <wp:posOffset>413385</wp:posOffset>
              </wp:positionV>
              <wp:extent cx="372110" cy="79375"/>
              <wp:wrapNone/>
              <wp:docPr id="550" name="Shape 550"/>
              <a:graphic xmlns:a="http://schemas.openxmlformats.org/drawingml/2006/main">
                <a:graphicData uri="http://schemas.microsoft.com/office/word/2010/wordprocessingShape">
                  <wps:wsp>
                    <wps:cNvSpPr txBox="1"/>
                    <wps:spPr>
                      <a:xfrm>
                        <a:ext cx="3721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ČISTOĆA</w:t>
                          </w:r>
                        </w:p>
                      </w:txbxContent>
                    </wps:txbx>
                    <wps:bodyPr wrap="none" lIns="0" tIns="0" rIns="0" bIns="0">
                      <a:spAutoFit/>
                    </wps:bodyPr>
                  </wps:wsp>
                </a:graphicData>
              </a:graphic>
            </wp:anchor>
          </w:drawing>
        </mc:Choice>
        <mc:Fallback>
          <w:pict>
            <v:shape id="_x0000_s1576" type="#_x0000_t202" style="position:absolute;margin-left:299.75pt;margin-top:32.549999999999997pt;width:29.300000000000001pt;height:6.25pt;z-index:-18874363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ČISTOĆA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526415</wp:posOffset>
              </wp:positionV>
              <wp:extent cx="4020185" cy="0"/>
              <wp:wrapNone/>
              <wp:docPr id="552" name="Shape 55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pt;margin-top:41.450000000000003pt;width:316.55000000000001pt;height:0;z-index:-251658240;mso-position-horizontal-relative:page;mso-position-vertical-relative:page">
              <v:stroke weight="1.pt"/>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3" behindDoc="1" locked="0" layoutInCell="1" allowOverlap="1">
              <wp:simplePos x="0" y="0"/>
              <wp:positionH relativeFrom="page">
                <wp:posOffset>3806825</wp:posOffset>
              </wp:positionH>
              <wp:positionV relativeFrom="page">
                <wp:posOffset>413385</wp:posOffset>
              </wp:positionV>
              <wp:extent cx="372110" cy="79375"/>
              <wp:wrapNone/>
              <wp:docPr id="555" name="Shape 555"/>
              <a:graphic xmlns:a="http://schemas.openxmlformats.org/drawingml/2006/main">
                <a:graphicData uri="http://schemas.microsoft.com/office/word/2010/wordprocessingShape">
                  <wps:wsp>
                    <wps:cNvSpPr txBox="1"/>
                    <wps:spPr>
                      <a:xfrm>
                        <a:ext cx="3721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ČISTOĆA</w:t>
                          </w:r>
                        </w:p>
                      </w:txbxContent>
                    </wps:txbx>
                    <wps:bodyPr wrap="none" lIns="0" tIns="0" rIns="0" bIns="0">
                      <a:spAutoFit/>
                    </wps:bodyPr>
                  </wps:wsp>
                </a:graphicData>
              </a:graphic>
            </wp:anchor>
          </w:drawing>
        </mc:Choice>
        <mc:Fallback>
          <w:pict>
            <v:shape id="_x0000_s1581" type="#_x0000_t202" style="position:absolute;margin-left:299.75pt;margin-top:32.549999999999997pt;width:29.300000000000001pt;height:6.25pt;z-index:-18874363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ČISTOĆA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526415</wp:posOffset>
              </wp:positionV>
              <wp:extent cx="4020185" cy="0"/>
              <wp:wrapNone/>
              <wp:docPr id="557" name="Shape 55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pt;margin-top:41.450000000000003pt;width:316.55000000000001pt;height:0;z-index:-251658240;mso-position-horizontal-relative:page;mso-position-vertical-relative:page">
              <v:stroke weight="1.pt"/>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9" behindDoc="1" locked="0" layoutInCell="1" allowOverlap="1">
              <wp:simplePos x="0" y="0"/>
              <wp:positionH relativeFrom="page">
                <wp:posOffset>3832860</wp:posOffset>
              </wp:positionH>
              <wp:positionV relativeFrom="page">
                <wp:posOffset>401320</wp:posOffset>
              </wp:positionV>
              <wp:extent cx="332105" cy="79375"/>
              <wp:wrapNone/>
              <wp:docPr id="562" name="Shape 562"/>
              <a:graphic xmlns:a="http://schemas.openxmlformats.org/drawingml/2006/main">
                <a:graphicData uri="http://schemas.microsoft.com/office/word/2010/wordprocessingShape">
                  <wps:wsp>
                    <wps:cNvSpPr txBox="1"/>
                    <wps:spPr>
                      <a:xfrm>
                        <a:ext cx="3321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wps:txbx>
                    <wps:bodyPr wrap="none" lIns="0" tIns="0" rIns="0" bIns="0">
                      <a:spAutoFit/>
                    </wps:bodyPr>
                  </wps:wsp>
                </a:graphicData>
              </a:graphic>
            </wp:anchor>
          </w:drawing>
        </mc:Choice>
        <mc:Fallback>
          <w:pict>
            <v:shape id="_x0000_s1588" type="#_x0000_t202" style="position:absolute;margin-left:301.80000000000001pt;margin-top:31.600000000000001pt;width:26.149999999999999pt;height:6.25pt;z-index:-18874362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520065</wp:posOffset>
              </wp:positionV>
              <wp:extent cx="4026535" cy="0"/>
              <wp:wrapNone/>
              <wp:docPr id="564" name="Shape 56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0.9pt;margin-top:40.950000000000003pt;width:317.05000000000001pt;height:0;z-index:-251658240;mso-position-horizontal-relative:page;mso-position-vertical-relative:page">
              <v:stroke weight="1.pt"/>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3" behindDoc="1" locked="0" layoutInCell="1" allowOverlap="1">
              <wp:simplePos x="0" y="0"/>
              <wp:positionH relativeFrom="page">
                <wp:posOffset>3832860</wp:posOffset>
              </wp:positionH>
              <wp:positionV relativeFrom="page">
                <wp:posOffset>401320</wp:posOffset>
              </wp:positionV>
              <wp:extent cx="332105" cy="79375"/>
              <wp:wrapNone/>
              <wp:docPr id="567" name="Shape 567"/>
              <a:graphic xmlns:a="http://schemas.openxmlformats.org/drawingml/2006/main">
                <a:graphicData uri="http://schemas.microsoft.com/office/word/2010/wordprocessingShape">
                  <wps:wsp>
                    <wps:cNvSpPr txBox="1"/>
                    <wps:spPr>
                      <a:xfrm>
                        <a:ext cx="3321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wps:txbx>
                    <wps:bodyPr wrap="none" lIns="0" tIns="0" rIns="0" bIns="0">
                      <a:spAutoFit/>
                    </wps:bodyPr>
                  </wps:wsp>
                </a:graphicData>
              </a:graphic>
            </wp:anchor>
          </w:drawing>
        </mc:Choice>
        <mc:Fallback>
          <w:pict>
            <v:shape id="_x0000_s1593" type="#_x0000_t202" style="position:absolute;margin-left:301.80000000000001pt;margin-top:31.600000000000001pt;width:26.149999999999999pt;height:6.25pt;z-index:-18874362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520065</wp:posOffset>
              </wp:positionV>
              <wp:extent cx="4026535" cy="0"/>
              <wp:wrapNone/>
              <wp:docPr id="569" name="Shape 56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0.9pt;margin-top:40.950000000000003pt;width:317.05000000000001pt;height:0;z-index:-251658240;mso-position-horizontal-relative:page;mso-position-vertical-relative:page">
              <v:stroke weight="1.pt"/>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7" behindDoc="1" locked="0" layoutInCell="1" allowOverlap="1">
              <wp:simplePos x="0" y="0"/>
              <wp:positionH relativeFrom="page">
                <wp:posOffset>146050</wp:posOffset>
              </wp:positionH>
              <wp:positionV relativeFrom="page">
                <wp:posOffset>426085</wp:posOffset>
              </wp:positionV>
              <wp:extent cx="734695" cy="79375"/>
              <wp:wrapNone/>
              <wp:docPr id="572" name="Shape 572"/>
              <a:graphic xmlns:a="http://schemas.openxmlformats.org/drawingml/2006/main">
                <a:graphicData uri="http://schemas.microsoft.com/office/word/2010/wordprocessingShape">
                  <wps:wsp>
                    <wps:cNvSpPr txBox="1"/>
                    <wps:spPr>
                      <a:xfrm>
                        <a:ext cx="7346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ČISTOĆA/ĆOVJEK</w:t>
                          </w:r>
                        </w:p>
                      </w:txbxContent>
                    </wps:txbx>
                    <wps:bodyPr wrap="none" lIns="0" tIns="0" rIns="0" bIns="0">
                      <a:spAutoFit/>
                    </wps:bodyPr>
                  </wps:wsp>
                </a:graphicData>
              </a:graphic>
            </wp:anchor>
          </w:drawing>
        </mc:Choice>
        <mc:Fallback>
          <w:pict>
            <v:shape id="_x0000_s1598" type="#_x0000_t202" style="position:absolute;margin-left:11.5pt;margin-top:33.549999999999997pt;width:57.850000000000001pt;height:6.25pt;z-index:-18874361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ČISTOĆA/ĆOVJEK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535305</wp:posOffset>
              </wp:positionV>
              <wp:extent cx="4029710" cy="0"/>
              <wp:wrapNone/>
              <wp:docPr id="574" name="Shape 574"/>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5pt;margin-top:42.149999999999999pt;width:317.30000000000001pt;height:0;z-index:-251658240;mso-position-horizontal-relative:page;mso-position-vertical-relative:page">
              <v:stroke weight="1.pt"/>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1" behindDoc="1" locked="0" layoutInCell="1" allowOverlap="1">
              <wp:simplePos x="0" y="0"/>
              <wp:positionH relativeFrom="page">
                <wp:posOffset>153670</wp:posOffset>
              </wp:positionH>
              <wp:positionV relativeFrom="page">
                <wp:posOffset>404495</wp:posOffset>
              </wp:positionV>
              <wp:extent cx="335280" cy="76200"/>
              <wp:wrapNone/>
              <wp:docPr id="577" name="Shape 577"/>
              <a:graphic xmlns:a="http://schemas.openxmlformats.org/drawingml/2006/main">
                <a:graphicData uri="http://schemas.microsoft.com/office/word/2010/wordprocessingShape">
                  <wps:wsp>
                    <wps:cNvSpPr txBox="1"/>
                    <wps:spPr>
                      <a:xfrm>
                        <a:ext cx="33528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wps:txbx>
                    <wps:bodyPr wrap="none" lIns="0" tIns="0" rIns="0" bIns="0">
                      <a:spAutoFit/>
                    </wps:bodyPr>
                  </wps:wsp>
                </a:graphicData>
              </a:graphic>
            </wp:anchor>
          </w:drawing>
        </mc:Choice>
        <mc:Fallback>
          <w:pict>
            <v:shape id="_x0000_s1603" type="#_x0000_t202" style="position:absolute;margin-left:12.1pt;margin-top:31.850000000000001pt;width:26.399999999999999pt;height:6.pt;z-index:-18874361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518795</wp:posOffset>
              </wp:positionV>
              <wp:extent cx="4023360" cy="0"/>
              <wp:wrapNone/>
              <wp:docPr id="579" name="Shape 57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pt;margin-top:40.850000000000001pt;width:316.80000000000001pt;height:0;z-index:-251658240;mso-position-horizontal-relative:page;mso-position-vertical-relative:page">
              <v:stroke weight="1.pt"/>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5" behindDoc="1" locked="0" layoutInCell="1" allowOverlap="1">
              <wp:simplePos x="0" y="0"/>
              <wp:positionH relativeFrom="page">
                <wp:posOffset>153670</wp:posOffset>
              </wp:positionH>
              <wp:positionV relativeFrom="page">
                <wp:posOffset>404495</wp:posOffset>
              </wp:positionV>
              <wp:extent cx="335280" cy="76200"/>
              <wp:wrapNone/>
              <wp:docPr id="582" name="Shape 582"/>
              <a:graphic xmlns:a="http://schemas.openxmlformats.org/drawingml/2006/main">
                <a:graphicData uri="http://schemas.microsoft.com/office/word/2010/wordprocessingShape">
                  <wps:wsp>
                    <wps:cNvSpPr txBox="1"/>
                    <wps:spPr>
                      <a:xfrm>
                        <a:ext cx="33528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wps:txbx>
                    <wps:bodyPr wrap="none" lIns="0" tIns="0" rIns="0" bIns="0">
                      <a:spAutoFit/>
                    </wps:bodyPr>
                  </wps:wsp>
                </a:graphicData>
              </a:graphic>
            </wp:anchor>
          </w:drawing>
        </mc:Choice>
        <mc:Fallback>
          <w:pict>
            <v:shape id="_x0000_s1608" type="#_x0000_t202" style="position:absolute;margin-left:12.1pt;margin-top:31.850000000000001pt;width:26.399999999999999pt;height:6.pt;z-index:-18874360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518795</wp:posOffset>
              </wp:positionV>
              <wp:extent cx="4023360" cy="0"/>
              <wp:wrapNone/>
              <wp:docPr id="584" name="Shape 58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pt;margin-top:40.850000000000001pt;width:316.80000000000001pt;height:0;z-index:-251658240;mso-position-horizontal-relative:page;mso-position-vertical-relative:page">
              <v:stroke weight="1.pt"/>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9" behindDoc="1" locked="0" layoutInCell="1" allowOverlap="1">
              <wp:simplePos x="0" y="0"/>
              <wp:positionH relativeFrom="page">
                <wp:posOffset>3828415</wp:posOffset>
              </wp:positionH>
              <wp:positionV relativeFrom="page">
                <wp:posOffset>419735</wp:posOffset>
              </wp:positionV>
              <wp:extent cx="332105" cy="79375"/>
              <wp:wrapNone/>
              <wp:docPr id="587" name="Shape 587"/>
              <a:graphic xmlns:a="http://schemas.openxmlformats.org/drawingml/2006/main">
                <a:graphicData uri="http://schemas.microsoft.com/office/word/2010/wordprocessingShape">
                  <wps:wsp>
                    <wps:cNvSpPr txBox="1"/>
                    <wps:spPr>
                      <a:xfrm>
                        <a:ext cx="3321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wps:txbx>
                    <wps:bodyPr wrap="none" lIns="0" tIns="0" rIns="0" bIns="0">
                      <a:spAutoFit/>
                    </wps:bodyPr>
                  </wps:wsp>
                </a:graphicData>
              </a:graphic>
            </wp:anchor>
          </w:drawing>
        </mc:Choice>
        <mc:Fallback>
          <w:pict>
            <v:shape id="_x0000_s1613" type="#_x0000_t202" style="position:absolute;margin-left:301.44999999999999pt;margin-top:33.049999999999997pt;width:26.149999999999999pt;height:6.25pt;z-index:-18874360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538480</wp:posOffset>
              </wp:positionV>
              <wp:extent cx="4020185" cy="0"/>
              <wp:wrapNone/>
              <wp:docPr id="589" name="Shape 58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050000000000001pt;margin-top:42.399999999999999pt;width:316.55000000000001pt;height:0;z-index:-251658240;mso-position-horizontal-relative:page;mso-position-vertical-relative:page">
              <v:stroke weight="1.pt"/>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3" behindDoc="1" locked="0" layoutInCell="1" allowOverlap="1">
              <wp:simplePos x="0" y="0"/>
              <wp:positionH relativeFrom="page">
                <wp:posOffset>3828415</wp:posOffset>
              </wp:positionH>
              <wp:positionV relativeFrom="page">
                <wp:posOffset>419735</wp:posOffset>
              </wp:positionV>
              <wp:extent cx="332105" cy="79375"/>
              <wp:wrapNone/>
              <wp:docPr id="592" name="Shape 592"/>
              <a:graphic xmlns:a="http://schemas.openxmlformats.org/drawingml/2006/main">
                <a:graphicData uri="http://schemas.microsoft.com/office/word/2010/wordprocessingShape">
                  <wps:wsp>
                    <wps:cNvSpPr txBox="1"/>
                    <wps:spPr>
                      <a:xfrm>
                        <a:ext cx="3321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wps:txbx>
                    <wps:bodyPr wrap="none" lIns="0" tIns="0" rIns="0" bIns="0">
                      <a:spAutoFit/>
                    </wps:bodyPr>
                  </wps:wsp>
                </a:graphicData>
              </a:graphic>
            </wp:anchor>
          </w:drawing>
        </mc:Choice>
        <mc:Fallback>
          <w:pict>
            <v:shape id="_x0000_s1618" type="#_x0000_t202" style="position:absolute;margin-left:301.44999999999999pt;margin-top:33.049999999999997pt;width:26.149999999999999pt;height:6.25pt;z-index:-18874360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538480</wp:posOffset>
              </wp:positionV>
              <wp:extent cx="4020185" cy="0"/>
              <wp:wrapNone/>
              <wp:docPr id="594" name="Shape 59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050000000000001pt;margin-top:42.399999999999999pt;width:316.55000000000001pt;height:0;z-index:-251658240;mso-position-horizontal-relative:page;mso-position-vertical-relative:page">
              <v:stroke weight="1.pt"/>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7" behindDoc="1" locked="0" layoutInCell="1" allowOverlap="1">
              <wp:simplePos x="0" y="0"/>
              <wp:positionH relativeFrom="page">
                <wp:posOffset>3910330</wp:posOffset>
              </wp:positionH>
              <wp:positionV relativeFrom="page">
                <wp:posOffset>401320</wp:posOffset>
              </wp:positionV>
              <wp:extent cx="250190" cy="79375"/>
              <wp:wrapNone/>
              <wp:docPr id="597" name="Shape 597"/>
              <a:graphic xmlns:a="http://schemas.openxmlformats.org/drawingml/2006/main">
                <a:graphicData uri="http://schemas.microsoft.com/office/word/2010/wordprocessingShape">
                  <wps:wsp>
                    <wps:cNvSpPr txBox="1"/>
                    <wps:spPr>
                      <a:xfrm>
                        <a:ext cx="25019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ČUDO</w:t>
                          </w:r>
                        </w:p>
                      </w:txbxContent>
                    </wps:txbx>
                    <wps:bodyPr wrap="none" lIns="0" tIns="0" rIns="0" bIns="0">
                      <a:spAutoFit/>
                    </wps:bodyPr>
                  </wps:wsp>
                </a:graphicData>
              </a:graphic>
            </wp:anchor>
          </w:drawing>
        </mc:Choice>
        <mc:Fallback>
          <w:pict>
            <v:shape id="_x0000_s1623" type="#_x0000_t202" style="position:absolute;margin-left:307.89999999999998pt;margin-top:31.600000000000001pt;width:19.699999999999999pt;height:6.25pt;z-index:-18874359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ČUDO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515620</wp:posOffset>
              </wp:positionV>
              <wp:extent cx="4017010" cy="0"/>
              <wp:wrapNone/>
              <wp:docPr id="599" name="Shape 59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25pt;margin-top:40.600000000000001pt;width:316.30000000000001pt;height:0;z-index:-251658240;mso-position-horizontal-relative:page;mso-position-vertical-relative:page">
              <v:stroke weight="1.pt"/>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1" behindDoc="1" locked="0" layoutInCell="1" allowOverlap="1">
              <wp:simplePos x="0" y="0"/>
              <wp:positionH relativeFrom="page">
                <wp:posOffset>3910330</wp:posOffset>
              </wp:positionH>
              <wp:positionV relativeFrom="page">
                <wp:posOffset>401320</wp:posOffset>
              </wp:positionV>
              <wp:extent cx="250190" cy="79375"/>
              <wp:wrapNone/>
              <wp:docPr id="602" name="Shape 602"/>
              <a:graphic xmlns:a="http://schemas.openxmlformats.org/drawingml/2006/main">
                <a:graphicData uri="http://schemas.microsoft.com/office/word/2010/wordprocessingShape">
                  <wps:wsp>
                    <wps:cNvSpPr txBox="1"/>
                    <wps:spPr>
                      <a:xfrm>
                        <a:ext cx="25019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ČUDO</w:t>
                          </w:r>
                        </w:p>
                      </w:txbxContent>
                    </wps:txbx>
                    <wps:bodyPr wrap="none" lIns="0" tIns="0" rIns="0" bIns="0">
                      <a:spAutoFit/>
                    </wps:bodyPr>
                  </wps:wsp>
                </a:graphicData>
              </a:graphic>
            </wp:anchor>
          </w:drawing>
        </mc:Choice>
        <mc:Fallback>
          <w:pict>
            <v:shape id="_x0000_s1628" type="#_x0000_t202" style="position:absolute;margin-left:307.89999999999998pt;margin-top:31.600000000000001pt;width:19.699999999999999pt;height:6.25pt;z-index:-18874359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ČUDO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515620</wp:posOffset>
              </wp:positionV>
              <wp:extent cx="4017010" cy="0"/>
              <wp:wrapNone/>
              <wp:docPr id="604" name="Shape 60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25pt;margin-top:40.600000000000001pt;width:316.30000000000001pt;height:0;z-index:-251658240;mso-position-horizontal-relative:page;mso-position-vertical-relative:page">
              <v:stroke weight="1.pt"/>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5" behindDoc="1" locked="0" layoutInCell="1" allowOverlap="1">
              <wp:simplePos x="0" y="0"/>
              <wp:positionH relativeFrom="page">
                <wp:posOffset>146050</wp:posOffset>
              </wp:positionH>
              <wp:positionV relativeFrom="page">
                <wp:posOffset>398145</wp:posOffset>
              </wp:positionV>
              <wp:extent cx="612775" cy="82550"/>
              <wp:wrapNone/>
              <wp:docPr id="607" name="Shape 607"/>
              <a:graphic xmlns:a="http://schemas.openxmlformats.org/drawingml/2006/main">
                <a:graphicData uri="http://schemas.microsoft.com/office/word/2010/wordprocessingShape">
                  <wps:wsp>
                    <wps:cNvSpPr txBox="1"/>
                    <wps:spPr>
                      <a:xfrm>
                        <a:ext cx="6127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ČOVJEK/ČUDO</w:t>
                          </w:r>
                        </w:p>
                      </w:txbxContent>
                    </wps:txbx>
                    <wps:bodyPr wrap="none" lIns="0" tIns="0" rIns="0" bIns="0">
                      <a:spAutoFit/>
                    </wps:bodyPr>
                  </wps:wsp>
                </a:graphicData>
              </a:graphic>
            </wp:anchor>
          </w:drawing>
        </mc:Choice>
        <mc:Fallback>
          <w:pict>
            <v:shape id="_x0000_s1633" type="#_x0000_t202" style="position:absolute;margin-left:11.5pt;margin-top:31.350000000000001pt;width:48.25pt;height:6.5pt;z-index:-18874358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ČOVJEK/ČUDO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508000</wp:posOffset>
              </wp:positionV>
              <wp:extent cx="4020185" cy="0"/>
              <wp:wrapNone/>
              <wp:docPr id="609" name="Shape 60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0.pt;width:316.55000000000001pt;height:0;z-index:-251658240;mso-position-horizontal-relative:page;mso-position-vertical-relative:page">
              <v:stroke weight="1.pt"/>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3" behindDoc="1" locked="0" layoutInCell="1" allowOverlap="1">
              <wp:simplePos x="0" y="0"/>
              <wp:positionH relativeFrom="page">
                <wp:posOffset>147955</wp:posOffset>
              </wp:positionH>
              <wp:positionV relativeFrom="page">
                <wp:posOffset>401320</wp:posOffset>
              </wp:positionV>
              <wp:extent cx="250190" cy="79375"/>
              <wp:wrapNone/>
              <wp:docPr id="616" name="Shape 616"/>
              <a:graphic xmlns:a="http://schemas.openxmlformats.org/drawingml/2006/main">
                <a:graphicData uri="http://schemas.microsoft.com/office/word/2010/wordprocessingShape">
                  <wps:wsp>
                    <wps:cNvSpPr txBox="1"/>
                    <wps:spPr>
                      <a:xfrm>
                        <a:ext cx="25019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ČUDO</w:t>
                          </w:r>
                        </w:p>
                      </w:txbxContent>
                    </wps:txbx>
                    <wps:bodyPr wrap="none" lIns="0" tIns="0" rIns="0" bIns="0">
                      <a:spAutoFit/>
                    </wps:bodyPr>
                  </wps:wsp>
                </a:graphicData>
              </a:graphic>
            </wp:anchor>
          </w:drawing>
        </mc:Choice>
        <mc:Fallback>
          <w:pict>
            <v:shape id="_x0000_s1642" type="#_x0000_t202" style="position:absolute;margin-left:11.65pt;margin-top:31.600000000000001pt;width:19.699999999999999pt;height:6.25pt;z-index:-18874358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ČUDO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509905</wp:posOffset>
              </wp:positionV>
              <wp:extent cx="4023360" cy="0"/>
              <wp:wrapNone/>
              <wp:docPr id="618" name="Shape 61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5pt;margin-top:40.149999999999999pt;width:316.80000000000001pt;height:0;z-index:-251658240;mso-position-horizontal-relative:page;mso-position-vertical-relative:page">
              <v:stroke weight="1.pt"/>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7" behindDoc="1" locked="0" layoutInCell="1" allowOverlap="1">
              <wp:simplePos x="0" y="0"/>
              <wp:positionH relativeFrom="page">
                <wp:posOffset>158115</wp:posOffset>
              </wp:positionH>
              <wp:positionV relativeFrom="page">
                <wp:posOffset>419735</wp:posOffset>
              </wp:positionV>
              <wp:extent cx="368935" cy="60960"/>
              <wp:wrapNone/>
              <wp:docPr id="621" name="Shape 621"/>
              <a:graphic xmlns:a="http://schemas.openxmlformats.org/drawingml/2006/main">
                <a:graphicData uri="http://schemas.microsoft.com/office/word/2010/wordprocessingShape">
                  <wps:wsp>
                    <wps:cNvSpPr txBox="1"/>
                    <wps:spPr>
                      <a:xfrm>
                        <a:ext cx="3689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DIJALOG</w:t>
                          </w:r>
                        </w:p>
                      </w:txbxContent>
                    </wps:txbx>
                    <wps:bodyPr wrap="none" lIns="0" tIns="0" rIns="0" bIns="0">
                      <a:spAutoFit/>
                    </wps:bodyPr>
                  </wps:wsp>
                </a:graphicData>
              </a:graphic>
            </wp:anchor>
          </w:drawing>
        </mc:Choice>
        <mc:Fallback>
          <w:pict>
            <v:shape id="_x0000_s1647" type="#_x0000_t202" style="position:absolute;margin-left:12.449999999999999pt;margin-top:33.049999999999997pt;width:29.050000000000001pt;height:4.7999999999999998pt;z-index:-18874357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521335</wp:posOffset>
              </wp:positionV>
              <wp:extent cx="4023360" cy="0"/>
              <wp:wrapNone/>
              <wp:docPr id="623" name="Shape 62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449999999999999pt;margin-top:41.049999999999997pt;width:316.80000000000001pt;height:0;z-index:-251658240;mso-position-horizontal-relative:page;mso-position-vertical-relative:page">
              <v:stroke weight="1.pt"/>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1" behindDoc="1" locked="0" layoutInCell="1" allowOverlap="1">
              <wp:simplePos x="0" y="0"/>
              <wp:positionH relativeFrom="page">
                <wp:posOffset>158115</wp:posOffset>
              </wp:positionH>
              <wp:positionV relativeFrom="page">
                <wp:posOffset>419735</wp:posOffset>
              </wp:positionV>
              <wp:extent cx="368935" cy="60960"/>
              <wp:wrapNone/>
              <wp:docPr id="626" name="Shape 626"/>
              <a:graphic xmlns:a="http://schemas.openxmlformats.org/drawingml/2006/main">
                <a:graphicData uri="http://schemas.microsoft.com/office/word/2010/wordprocessingShape">
                  <wps:wsp>
                    <wps:cNvSpPr txBox="1"/>
                    <wps:spPr>
                      <a:xfrm>
                        <a:ext cx="3689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DIJALOG</w:t>
                          </w:r>
                        </w:p>
                      </w:txbxContent>
                    </wps:txbx>
                    <wps:bodyPr wrap="none" lIns="0" tIns="0" rIns="0" bIns="0">
                      <a:spAutoFit/>
                    </wps:bodyPr>
                  </wps:wsp>
                </a:graphicData>
              </a:graphic>
            </wp:anchor>
          </w:drawing>
        </mc:Choice>
        <mc:Fallback>
          <w:pict>
            <v:shape id="_x0000_s1652" type="#_x0000_t202" style="position:absolute;margin-left:12.449999999999999pt;margin-top:33.049999999999997pt;width:29.050000000000001pt;height:4.7999999999999998pt;z-index:-18874357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521335</wp:posOffset>
              </wp:positionV>
              <wp:extent cx="4023360" cy="0"/>
              <wp:wrapNone/>
              <wp:docPr id="628" name="Shape 62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449999999999999pt;margin-top:41.049999999999997pt;width:316.80000000000001pt;height:0;z-index:-251658240;mso-position-horizontal-relative:page;mso-position-vertical-relative:page">
              <v:stroke weight="1.pt"/>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5" behindDoc="1" locked="0" layoutInCell="1" allowOverlap="1">
              <wp:simplePos x="0" y="0"/>
              <wp:positionH relativeFrom="page">
                <wp:posOffset>158115</wp:posOffset>
              </wp:positionH>
              <wp:positionV relativeFrom="page">
                <wp:posOffset>416560</wp:posOffset>
              </wp:positionV>
              <wp:extent cx="368935" cy="64135"/>
              <wp:wrapNone/>
              <wp:docPr id="631" name="Shape 631"/>
              <a:graphic xmlns:a="http://schemas.openxmlformats.org/drawingml/2006/main">
                <a:graphicData uri="http://schemas.microsoft.com/office/word/2010/wordprocessingShape">
                  <wps:wsp>
                    <wps:cNvSpPr txBox="1"/>
                    <wps:spPr>
                      <a:xfrm>
                        <a:ext cx="3689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wps:txbx>
                    <wps:bodyPr wrap="none" lIns="0" tIns="0" rIns="0" bIns="0">
                      <a:spAutoFit/>
                    </wps:bodyPr>
                  </wps:wsp>
                </a:graphicData>
              </a:graphic>
            </wp:anchor>
          </w:drawing>
        </mc:Choice>
        <mc:Fallback>
          <w:pict>
            <v:shape id="_x0000_s1657" type="#_x0000_t202" style="position:absolute;margin-left:12.449999999999999pt;margin-top:32.799999999999997pt;width:29.050000000000001pt;height:5.0499999999999998pt;z-index:-18874356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512445</wp:posOffset>
              </wp:positionV>
              <wp:extent cx="4020185" cy="0"/>
              <wp:wrapNone/>
              <wp:docPr id="633" name="Shape 63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40.350000000000001pt;width:316.55000000000001pt;height:0;z-index:-251658240;mso-position-horizontal-relative:page;mso-position-vertical-relative:page">
              <v:stroke weight="1.pt"/>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7" behindDoc="1" locked="0" layoutInCell="1" allowOverlap="1">
              <wp:simplePos x="0" y="0"/>
              <wp:positionH relativeFrom="page">
                <wp:posOffset>158115</wp:posOffset>
              </wp:positionH>
              <wp:positionV relativeFrom="page">
                <wp:posOffset>416560</wp:posOffset>
              </wp:positionV>
              <wp:extent cx="368935" cy="64135"/>
              <wp:wrapNone/>
              <wp:docPr id="634" name="Shape 634"/>
              <a:graphic xmlns:a="http://schemas.openxmlformats.org/drawingml/2006/main">
                <a:graphicData uri="http://schemas.microsoft.com/office/word/2010/wordprocessingShape">
                  <wps:wsp>
                    <wps:cNvSpPr txBox="1"/>
                    <wps:spPr>
                      <a:xfrm>
                        <a:ext cx="3689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wps:txbx>
                    <wps:bodyPr wrap="none" lIns="0" tIns="0" rIns="0" bIns="0">
                      <a:spAutoFit/>
                    </wps:bodyPr>
                  </wps:wsp>
                </a:graphicData>
              </a:graphic>
            </wp:anchor>
          </w:drawing>
        </mc:Choice>
        <mc:Fallback>
          <w:pict>
            <v:shape id="_x0000_s1660" type="#_x0000_t202" style="position:absolute;margin-left:12.449999999999999pt;margin-top:32.799999999999997pt;width:29.050000000000001pt;height:5.0499999999999998pt;z-index:-18874356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512445</wp:posOffset>
              </wp:positionV>
              <wp:extent cx="4020185" cy="0"/>
              <wp:wrapNone/>
              <wp:docPr id="636" name="Shape 63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40.350000000000001pt;width:316.55000000000001pt;height:0;z-index:-251658240;mso-position-horizontal-relative:page;mso-position-vertical-relative:page">
              <v:stroke weight="1.pt"/>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9" behindDoc="1" locked="0" layoutInCell="1" allowOverlap="1">
              <wp:simplePos x="0" y="0"/>
              <wp:positionH relativeFrom="page">
                <wp:posOffset>3799205</wp:posOffset>
              </wp:positionH>
              <wp:positionV relativeFrom="page">
                <wp:posOffset>428625</wp:posOffset>
              </wp:positionV>
              <wp:extent cx="365760" cy="64135"/>
              <wp:wrapNone/>
              <wp:docPr id="637" name="Shape 637"/>
              <a:graphic xmlns:a="http://schemas.openxmlformats.org/drawingml/2006/main">
                <a:graphicData uri="http://schemas.microsoft.com/office/word/2010/wordprocessingShape">
                  <wps:wsp>
                    <wps:cNvSpPr txBox="1"/>
                    <wps:spPr>
                      <a:xfrm>
                        <a:ext cx="3657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wps:txbx>
                    <wps:bodyPr wrap="none" lIns="0" tIns="0" rIns="0" bIns="0">
                      <a:spAutoFit/>
                    </wps:bodyPr>
                  </wps:wsp>
                </a:graphicData>
              </a:graphic>
            </wp:anchor>
          </w:drawing>
        </mc:Choice>
        <mc:Fallback>
          <w:pict>
            <v:shape id="_x0000_s1663" type="#_x0000_t202" style="position:absolute;margin-left:299.14999999999998pt;margin-top:33.75pt;width:28.800000000000001pt;height:5.0499999999999998pt;z-index:-18874356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528955</wp:posOffset>
              </wp:positionV>
              <wp:extent cx="4017010" cy="0"/>
              <wp:wrapNone/>
              <wp:docPr id="639" name="Shape 63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41.649999999999999pt;width:316.30000000000001pt;height:0;z-index:-251658240;mso-position-horizontal-relative:page;mso-position-vertical-relative:page">
              <v:stroke weight="1.pt"/>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1" behindDoc="1" locked="0" layoutInCell="1" allowOverlap="1">
              <wp:simplePos x="0" y="0"/>
              <wp:positionH relativeFrom="page">
                <wp:posOffset>155575</wp:posOffset>
              </wp:positionH>
              <wp:positionV relativeFrom="page">
                <wp:posOffset>416560</wp:posOffset>
              </wp:positionV>
              <wp:extent cx="368935" cy="64135"/>
              <wp:wrapNone/>
              <wp:docPr id="642" name="Shape 642"/>
              <a:graphic xmlns:a="http://schemas.openxmlformats.org/drawingml/2006/main">
                <a:graphicData uri="http://schemas.microsoft.com/office/word/2010/wordprocessingShape">
                  <wps:wsp>
                    <wps:cNvSpPr txBox="1"/>
                    <wps:spPr>
                      <a:xfrm>
                        <a:ext cx="3689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wps:txbx>
                    <wps:bodyPr wrap="none" lIns="0" tIns="0" rIns="0" bIns="0">
                      <a:spAutoFit/>
                    </wps:bodyPr>
                  </wps:wsp>
                </a:graphicData>
              </a:graphic>
            </wp:anchor>
          </w:drawing>
        </mc:Choice>
        <mc:Fallback>
          <w:pict>
            <v:shape id="_x0000_s1668" type="#_x0000_t202" style="position:absolute;margin-left:12.25pt;margin-top:32.799999999999997pt;width:29.050000000000001pt;height:5.0499999999999998pt;z-index:-18874356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513080</wp:posOffset>
              </wp:positionV>
              <wp:extent cx="4017010" cy="0"/>
              <wp:wrapNone/>
              <wp:docPr id="644" name="Shape 64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0.399999999999999pt;width:316.30000000000001pt;height:0;z-index:-251658240;mso-position-horizontal-relative:page;mso-position-vertical-relative:page">
              <v:stroke weight="1.pt"/>
            </v:shape>
          </w:pict>
        </mc:Fallback>
      </mc:AlternateContent>
    </w: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5" behindDoc="1" locked="0" layoutInCell="1" allowOverlap="1">
              <wp:simplePos x="0" y="0"/>
              <wp:positionH relativeFrom="page">
                <wp:posOffset>155575</wp:posOffset>
              </wp:positionH>
              <wp:positionV relativeFrom="page">
                <wp:posOffset>416560</wp:posOffset>
              </wp:positionV>
              <wp:extent cx="368935" cy="64135"/>
              <wp:wrapNone/>
              <wp:docPr id="647" name="Shape 647"/>
              <a:graphic xmlns:a="http://schemas.openxmlformats.org/drawingml/2006/main">
                <a:graphicData uri="http://schemas.microsoft.com/office/word/2010/wordprocessingShape">
                  <wps:wsp>
                    <wps:cNvSpPr txBox="1"/>
                    <wps:spPr>
                      <a:xfrm>
                        <a:ext cx="3689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wps:txbx>
                    <wps:bodyPr wrap="none" lIns="0" tIns="0" rIns="0" bIns="0">
                      <a:spAutoFit/>
                    </wps:bodyPr>
                  </wps:wsp>
                </a:graphicData>
              </a:graphic>
            </wp:anchor>
          </w:drawing>
        </mc:Choice>
        <mc:Fallback>
          <w:pict>
            <v:shape id="_x0000_s1673" type="#_x0000_t202" style="position:absolute;margin-left:12.25pt;margin-top:32.799999999999997pt;width:29.050000000000001pt;height:5.0499999999999998pt;z-index:-18874355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513080</wp:posOffset>
              </wp:positionV>
              <wp:extent cx="4017010" cy="0"/>
              <wp:wrapNone/>
              <wp:docPr id="649" name="Shape 64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0.399999999999999pt;width:316.30000000000001pt;height:0;z-index:-251658240;mso-position-horizontal-relative:page;mso-position-vertical-relative:page">
              <v:stroke weight="1.pt"/>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9" behindDoc="1" locked="0" layoutInCell="1" allowOverlap="1">
              <wp:simplePos x="0" y="0"/>
              <wp:positionH relativeFrom="page">
                <wp:posOffset>3800475</wp:posOffset>
              </wp:positionH>
              <wp:positionV relativeFrom="page">
                <wp:posOffset>416560</wp:posOffset>
              </wp:positionV>
              <wp:extent cx="362585" cy="64135"/>
              <wp:wrapNone/>
              <wp:docPr id="652" name="Shape 652"/>
              <a:graphic xmlns:a="http://schemas.openxmlformats.org/drawingml/2006/main">
                <a:graphicData uri="http://schemas.microsoft.com/office/word/2010/wordprocessingShape">
                  <wps:wsp>
                    <wps:cNvSpPr txBox="1"/>
                    <wps:spPr>
                      <a:xfrm>
                        <a:ext cx="3625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wps:txbx>
                    <wps:bodyPr wrap="none" lIns="0" tIns="0" rIns="0" bIns="0">
                      <a:spAutoFit/>
                    </wps:bodyPr>
                  </wps:wsp>
                </a:graphicData>
              </a:graphic>
            </wp:anchor>
          </w:drawing>
        </mc:Choice>
        <mc:Fallback>
          <w:pict>
            <v:shape id="_x0000_s1678" type="#_x0000_t202" style="position:absolute;margin-left:299.25pt;margin-top:32.799999999999997pt;width:28.550000000000001pt;height:5.0499999999999998pt;z-index:-18874355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DIJALOG</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518795</wp:posOffset>
              </wp:positionV>
              <wp:extent cx="4014470" cy="0"/>
              <wp:wrapNone/>
              <wp:docPr id="654" name="Shape 65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pt;margin-top:40.850000000000001pt;width:316.10000000000002pt;height:0;z-index:-251658240;mso-position-horizontal-relative:page;mso-position-vertical-relative:page">
              <v:stroke weight="1.pt"/>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3" behindDoc="1" locked="0" layoutInCell="1" allowOverlap="1">
              <wp:simplePos x="0" y="0"/>
              <wp:positionH relativeFrom="page">
                <wp:posOffset>146050</wp:posOffset>
              </wp:positionH>
              <wp:positionV relativeFrom="page">
                <wp:posOffset>431800</wp:posOffset>
              </wp:positionV>
              <wp:extent cx="469265" cy="67310"/>
              <wp:wrapNone/>
              <wp:docPr id="657" name="Shape 657"/>
              <a:graphic xmlns:a="http://schemas.openxmlformats.org/drawingml/2006/main">
                <a:graphicData uri="http://schemas.microsoft.com/office/word/2010/wordprocessingShape">
                  <wps:wsp>
                    <wps:cNvSpPr txBox="1"/>
                    <wps:spPr>
                      <a:xfrm>
                        <a:ext cx="4692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DIJASPORA</w:t>
                          </w:r>
                        </w:p>
                      </w:txbxContent>
                    </wps:txbx>
                    <wps:bodyPr wrap="none" lIns="0" tIns="0" rIns="0" bIns="0">
                      <a:spAutoFit/>
                    </wps:bodyPr>
                  </wps:wsp>
                </a:graphicData>
              </a:graphic>
            </wp:anchor>
          </w:drawing>
        </mc:Choice>
        <mc:Fallback>
          <w:pict>
            <v:shape id="_x0000_s1683" type="#_x0000_t202" style="position:absolute;margin-left:11.5pt;margin-top:34.pt;width:36.950000000000003pt;height:5.2999999999999998pt;z-index:-18874355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DIJASPORA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526415</wp:posOffset>
              </wp:positionV>
              <wp:extent cx="4017010" cy="0"/>
              <wp:wrapNone/>
              <wp:docPr id="659" name="Shape 65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050000000000001pt;margin-top:41.450000000000003pt;width:316.30000000000001pt;height:0;z-index:-251658240;mso-position-horizontal-relative:page;mso-position-vertical-relative:page">
              <v:stroke weight="1.pt"/>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7" behindDoc="1" locked="0" layoutInCell="1" allowOverlap="1">
              <wp:simplePos x="0" y="0"/>
              <wp:positionH relativeFrom="page">
                <wp:posOffset>146050</wp:posOffset>
              </wp:positionH>
              <wp:positionV relativeFrom="page">
                <wp:posOffset>431800</wp:posOffset>
              </wp:positionV>
              <wp:extent cx="469265" cy="67310"/>
              <wp:wrapNone/>
              <wp:docPr id="662" name="Shape 662"/>
              <a:graphic xmlns:a="http://schemas.openxmlformats.org/drawingml/2006/main">
                <a:graphicData uri="http://schemas.microsoft.com/office/word/2010/wordprocessingShape">
                  <wps:wsp>
                    <wps:cNvSpPr txBox="1"/>
                    <wps:spPr>
                      <a:xfrm>
                        <a:ext cx="4692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DIJASPORA</w:t>
                          </w:r>
                        </w:p>
                      </w:txbxContent>
                    </wps:txbx>
                    <wps:bodyPr wrap="none" lIns="0" tIns="0" rIns="0" bIns="0">
                      <a:spAutoFit/>
                    </wps:bodyPr>
                  </wps:wsp>
                </a:graphicData>
              </a:graphic>
            </wp:anchor>
          </w:drawing>
        </mc:Choice>
        <mc:Fallback>
          <w:pict>
            <v:shape id="_x0000_s1688" type="#_x0000_t202" style="position:absolute;margin-left:11.5pt;margin-top:34.pt;width:36.950000000000003pt;height:5.2999999999999998pt;z-index:-18874354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DIJASPORA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526415</wp:posOffset>
              </wp:positionV>
              <wp:extent cx="4017010" cy="0"/>
              <wp:wrapNone/>
              <wp:docPr id="664" name="Shape 66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050000000000001pt;margin-top:41.450000000000003pt;width:316.30000000000001pt;height:0;z-index:-251658240;mso-position-horizontal-relative:page;mso-position-vertical-relative:page">
              <v:stroke weight="1.pt"/>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1" behindDoc="1" locked="0" layoutInCell="1" allowOverlap="1">
              <wp:simplePos x="0" y="0"/>
              <wp:positionH relativeFrom="page">
                <wp:posOffset>3287395</wp:posOffset>
              </wp:positionH>
              <wp:positionV relativeFrom="page">
                <wp:posOffset>413385</wp:posOffset>
              </wp:positionV>
              <wp:extent cx="880745" cy="67310"/>
              <wp:wrapNone/>
              <wp:docPr id="667" name="Shape 667"/>
              <a:graphic xmlns:a="http://schemas.openxmlformats.org/drawingml/2006/main">
                <a:graphicData uri="http://schemas.microsoft.com/office/word/2010/wordprocessingShape">
                  <wps:wsp>
                    <wps:cNvSpPr txBox="1"/>
                    <wps:spPr>
                      <a:xfrm>
                        <a:ext cx="88074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DIJALOG/DUASPORA</w:t>
                          </w:r>
                        </w:p>
                      </w:txbxContent>
                    </wps:txbx>
                    <wps:bodyPr wrap="none" lIns="0" tIns="0" rIns="0" bIns="0">
                      <a:spAutoFit/>
                    </wps:bodyPr>
                  </wps:wsp>
                </a:graphicData>
              </a:graphic>
            </wp:anchor>
          </w:drawing>
        </mc:Choice>
        <mc:Fallback>
          <w:pict>
            <v:shape id="_x0000_s1693" type="#_x0000_t202" style="position:absolute;margin-left:258.85000000000002pt;margin-top:32.549999999999997pt;width:69.349999999999994pt;height:5.2999999999999998pt;z-index:-18874354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DIJALOG/DUASPORA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515620</wp:posOffset>
              </wp:positionV>
              <wp:extent cx="4020185" cy="0"/>
              <wp:wrapNone/>
              <wp:docPr id="669" name="Shape 66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40.600000000000001pt;width:316.55000000000001pt;height:0;z-index:-251658240;mso-position-horizontal-relative:page;mso-position-vertical-relative:page">
              <v:stroke weight="1.pt"/>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5" behindDoc="1" locked="0" layoutInCell="1" allowOverlap="1">
              <wp:simplePos x="0" y="0"/>
              <wp:positionH relativeFrom="page">
                <wp:posOffset>3695700</wp:posOffset>
              </wp:positionH>
              <wp:positionV relativeFrom="page">
                <wp:posOffset>450215</wp:posOffset>
              </wp:positionV>
              <wp:extent cx="475615" cy="64135"/>
              <wp:wrapNone/>
              <wp:docPr id="672" name="Shape 672"/>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wps:txbx>
                    <wps:bodyPr wrap="none" lIns="0" tIns="0" rIns="0" bIns="0">
                      <a:spAutoFit/>
                    </wps:bodyPr>
                  </wps:wsp>
                </a:graphicData>
              </a:graphic>
            </wp:anchor>
          </w:drawing>
        </mc:Choice>
        <mc:Fallback>
          <w:pict>
            <v:shape id="_x0000_s1698" type="#_x0000_t202" style="position:absolute;margin-left:291.pt;margin-top:35.450000000000003pt;width:37.450000000000003pt;height:5.0499999999999998pt;z-index:-18874353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552450</wp:posOffset>
              </wp:positionV>
              <wp:extent cx="4014470" cy="0"/>
              <wp:wrapNone/>
              <wp:docPr id="674" name="Shape 67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85pt;margin-top:43.5pt;width:316.10000000000002pt;height:0;z-index:-251658240;mso-position-horizontal-relative:page;mso-position-vertical-relative:page">
              <v:stroke weight="1.pt"/>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9" behindDoc="1" locked="0" layoutInCell="1" allowOverlap="1">
              <wp:simplePos x="0" y="0"/>
              <wp:positionH relativeFrom="page">
                <wp:posOffset>3695700</wp:posOffset>
              </wp:positionH>
              <wp:positionV relativeFrom="page">
                <wp:posOffset>450215</wp:posOffset>
              </wp:positionV>
              <wp:extent cx="475615" cy="64135"/>
              <wp:wrapNone/>
              <wp:docPr id="677" name="Shape 677"/>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wps:txbx>
                    <wps:bodyPr wrap="none" lIns="0" tIns="0" rIns="0" bIns="0">
                      <a:spAutoFit/>
                    </wps:bodyPr>
                  </wps:wsp>
                </a:graphicData>
              </a:graphic>
            </wp:anchor>
          </w:drawing>
        </mc:Choice>
        <mc:Fallback>
          <w:pict>
            <v:shape id="_x0000_s1703" type="#_x0000_t202" style="position:absolute;margin-left:291.pt;margin-top:35.450000000000003pt;width:37.450000000000003pt;height:5.0499999999999998pt;z-index:-18874353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552450</wp:posOffset>
              </wp:positionV>
              <wp:extent cx="4014470" cy="0"/>
              <wp:wrapNone/>
              <wp:docPr id="679" name="Shape 67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85pt;margin-top:43.5pt;width:316.10000000000002pt;height:0;z-index:-251658240;mso-position-horizontal-relative:page;mso-position-vertical-relative:page">
              <v:stroke weight="1.pt"/>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3" behindDoc="1" locked="0" layoutInCell="1" allowOverlap="1">
              <wp:simplePos x="0" y="0"/>
              <wp:positionH relativeFrom="page">
                <wp:posOffset>151130</wp:posOffset>
              </wp:positionH>
              <wp:positionV relativeFrom="page">
                <wp:posOffset>457200</wp:posOffset>
              </wp:positionV>
              <wp:extent cx="472440" cy="67310"/>
              <wp:wrapNone/>
              <wp:docPr id="682" name="Shape 682"/>
              <a:graphic xmlns:a="http://schemas.openxmlformats.org/drawingml/2006/main">
                <a:graphicData uri="http://schemas.microsoft.com/office/word/2010/wordprocessingShape">
                  <wps:wsp>
                    <wps:cNvSpPr txBox="1"/>
                    <wps:spPr>
                      <a:xfrm>
                        <a:ext cx="47244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wps:txbx>
                    <wps:bodyPr wrap="none" lIns="0" tIns="0" rIns="0" bIns="0">
                      <a:spAutoFit/>
                    </wps:bodyPr>
                  </wps:wsp>
                </a:graphicData>
              </a:graphic>
            </wp:anchor>
          </w:drawing>
        </mc:Choice>
        <mc:Fallback>
          <w:pict>
            <v:shape id="_x0000_s1708" type="#_x0000_t202" style="position:absolute;margin-left:11.9pt;margin-top:36.pt;width:37.200000000000003pt;height:5.2999999999999998pt;z-index:-18874353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553085</wp:posOffset>
              </wp:positionV>
              <wp:extent cx="4023360" cy="0"/>
              <wp:wrapNone/>
              <wp:docPr id="684" name="Shape 68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5pt;margin-top:43.549999999999997pt;width:316.80000000000001pt;height:0;z-index:-251658240;mso-position-horizontal-relative:page;mso-position-vertical-relative:page">
              <v:stroke weight="1.pt"/>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5" behindDoc="1" locked="0" layoutInCell="1" allowOverlap="1">
              <wp:simplePos x="0" y="0"/>
              <wp:positionH relativeFrom="page">
                <wp:posOffset>151130</wp:posOffset>
              </wp:positionH>
              <wp:positionV relativeFrom="page">
                <wp:posOffset>457200</wp:posOffset>
              </wp:positionV>
              <wp:extent cx="472440" cy="67310"/>
              <wp:wrapNone/>
              <wp:docPr id="685" name="Shape 685"/>
              <a:graphic xmlns:a="http://schemas.openxmlformats.org/drawingml/2006/main">
                <a:graphicData uri="http://schemas.microsoft.com/office/word/2010/wordprocessingShape">
                  <wps:wsp>
                    <wps:cNvSpPr txBox="1"/>
                    <wps:spPr>
                      <a:xfrm>
                        <a:ext cx="47244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wps:txbx>
                    <wps:bodyPr wrap="none" lIns="0" tIns="0" rIns="0" bIns="0">
                      <a:spAutoFit/>
                    </wps:bodyPr>
                  </wps:wsp>
                </a:graphicData>
              </a:graphic>
            </wp:anchor>
          </w:drawing>
        </mc:Choice>
        <mc:Fallback>
          <w:pict>
            <v:shape id="_x0000_s1711" type="#_x0000_t202" style="position:absolute;margin-left:11.9pt;margin-top:36.pt;width:37.200000000000003pt;height:5.2999999999999998pt;z-index:-18874352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DIJASPORA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553085</wp:posOffset>
              </wp:positionV>
              <wp:extent cx="4023360" cy="0"/>
              <wp:wrapNone/>
              <wp:docPr id="687" name="Shape 68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5pt;margin-top:43.549999999999997pt;width:316.80000000000001pt;height:0;z-index:-251658240;mso-position-horizontal-relative:page;mso-position-vertical-relative:page">
              <v:stroke weight="1.pt"/>
            </v:shape>
          </w:pict>
        </mc:Fallback>
      </mc:AlternateContent>
    </w: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7" behindDoc="1" locked="0" layoutInCell="1" allowOverlap="1">
              <wp:simplePos x="0" y="0"/>
              <wp:positionH relativeFrom="page">
                <wp:posOffset>149225</wp:posOffset>
              </wp:positionH>
              <wp:positionV relativeFrom="page">
                <wp:posOffset>407035</wp:posOffset>
              </wp:positionV>
              <wp:extent cx="307975" cy="64135"/>
              <wp:wrapNone/>
              <wp:docPr id="688" name="Shape 688"/>
              <a:graphic xmlns:a="http://schemas.openxmlformats.org/drawingml/2006/main">
                <a:graphicData uri="http://schemas.microsoft.com/office/word/2010/wordprocessingShape">
                  <wps:wsp>
                    <wps:cNvSpPr txBox="1"/>
                    <wps:spPr>
                      <a:xfrm>
                        <a:ext cx="3079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DOBRO</w:t>
                          </w:r>
                        </w:p>
                      </w:txbxContent>
                    </wps:txbx>
                    <wps:bodyPr wrap="none" lIns="0" tIns="0" rIns="0" bIns="0">
                      <a:spAutoFit/>
                    </wps:bodyPr>
                  </wps:wsp>
                </a:graphicData>
              </a:graphic>
            </wp:anchor>
          </w:drawing>
        </mc:Choice>
        <mc:Fallback>
          <w:pict>
            <v:shape id="_x0000_s1714" type="#_x0000_t202" style="position:absolute;margin-left:11.75pt;margin-top:32.049999999999997pt;width:24.25pt;height:5.0499999999999998pt;z-index:-18874352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DOBRO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501015</wp:posOffset>
              </wp:positionV>
              <wp:extent cx="4020185" cy="0"/>
              <wp:wrapNone/>
              <wp:docPr id="690" name="Shape 69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39.450000000000003pt;width:316.55000000000001pt;height:0;z-index:-251658240;mso-position-horizontal-relative:page;mso-position-vertical-relative:page">
              <v:stroke weight="1.pt"/>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1" behindDoc="1" locked="0" layoutInCell="1" allowOverlap="1">
              <wp:simplePos x="0" y="0"/>
              <wp:positionH relativeFrom="page">
                <wp:posOffset>149225</wp:posOffset>
              </wp:positionH>
              <wp:positionV relativeFrom="page">
                <wp:posOffset>407035</wp:posOffset>
              </wp:positionV>
              <wp:extent cx="307975" cy="64135"/>
              <wp:wrapNone/>
              <wp:docPr id="693" name="Shape 693"/>
              <a:graphic xmlns:a="http://schemas.openxmlformats.org/drawingml/2006/main">
                <a:graphicData uri="http://schemas.microsoft.com/office/word/2010/wordprocessingShape">
                  <wps:wsp>
                    <wps:cNvSpPr txBox="1"/>
                    <wps:spPr>
                      <a:xfrm>
                        <a:ext cx="3079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DOBRO</w:t>
                          </w:r>
                        </w:p>
                      </w:txbxContent>
                    </wps:txbx>
                    <wps:bodyPr wrap="none" lIns="0" tIns="0" rIns="0" bIns="0">
                      <a:spAutoFit/>
                    </wps:bodyPr>
                  </wps:wsp>
                </a:graphicData>
              </a:graphic>
            </wp:anchor>
          </w:drawing>
        </mc:Choice>
        <mc:Fallback>
          <w:pict>
            <v:shape id="_x0000_s1719" type="#_x0000_t202" style="position:absolute;margin-left:11.75pt;margin-top:32.049999999999997pt;width:24.25pt;height:5.0499999999999998pt;z-index:-18874352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DOBRO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501015</wp:posOffset>
              </wp:positionV>
              <wp:extent cx="4020185" cy="0"/>
              <wp:wrapNone/>
              <wp:docPr id="695" name="Shape 69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39.450000000000003pt;width:316.55000000000001pt;height:0;z-index:-251658240;mso-position-horizontal-relative:page;mso-position-vertical-relative:page">
              <v:stroke weight="1.pt"/>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5" behindDoc="1" locked="0" layoutInCell="1" allowOverlap="1">
              <wp:simplePos x="0" y="0"/>
              <wp:positionH relativeFrom="page">
                <wp:posOffset>3355340</wp:posOffset>
              </wp:positionH>
              <wp:positionV relativeFrom="page">
                <wp:posOffset>419100</wp:posOffset>
              </wp:positionV>
              <wp:extent cx="810895" cy="67310"/>
              <wp:wrapNone/>
              <wp:docPr id="698" name="Shape 698"/>
              <a:graphic xmlns:a="http://schemas.openxmlformats.org/drawingml/2006/main">
                <a:graphicData uri="http://schemas.microsoft.com/office/word/2010/wordprocessingShape">
                  <wps:wsp>
                    <wps:cNvSpPr txBox="1"/>
                    <wps:spPr>
                      <a:xfrm>
                        <a:ext cx="81089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DUASPORA7DOBRO</w:t>
                          </w:r>
                        </w:p>
                      </w:txbxContent>
                    </wps:txbx>
                    <wps:bodyPr wrap="none" lIns="0" tIns="0" rIns="0" bIns="0">
                      <a:spAutoFit/>
                    </wps:bodyPr>
                  </wps:wsp>
                </a:graphicData>
              </a:graphic>
            </wp:anchor>
          </w:drawing>
        </mc:Choice>
        <mc:Fallback>
          <w:pict>
            <v:shape id="_x0000_s1724" type="#_x0000_t202" style="position:absolute;margin-left:264.19999999999999pt;margin-top:33.pt;width:63.850000000000001pt;height:5.2999999999999998pt;z-index:-18874351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DUASPORA7DOBRO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522605</wp:posOffset>
              </wp:positionV>
              <wp:extent cx="4017010" cy="0"/>
              <wp:wrapNone/>
              <wp:docPr id="700" name="Shape 70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41.149999999999999pt;width:316.30000000000001pt;height:0;z-index:-251658240;mso-position-horizontal-relative:page;mso-position-vertical-relative:page">
              <v:stroke weight="1.pt"/>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9" behindDoc="1" locked="0" layoutInCell="1" allowOverlap="1">
              <wp:simplePos x="0" y="0"/>
              <wp:positionH relativeFrom="page">
                <wp:posOffset>152400</wp:posOffset>
              </wp:positionH>
              <wp:positionV relativeFrom="page">
                <wp:posOffset>397510</wp:posOffset>
              </wp:positionV>
              <wp:extent cx="688975" cy="79375"/>
              <wp:wrapNone/>
              <wp:docPr id="703" name="Shape 703"/>
              <a:graphic xmlns:a="http://schemas.openxmlformats.org/drawingml/2006/main">
                <a:graphicData uri="http://schemas.microsoft.com/office/word/2010/wordprocessingShape">
                  <wps:wsp>
                    <wps:cNvSpPr txBox="1"/>
                    <wps:spPr>
                      <a:xfrm>
                        <a:ext cx="6889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wps:txbx>
                    <wps:bodyPr wrap="none" lIns="0" tIns="0" rIns="0" bIns="0">
                      <a:spAutoFit/>
                    </wps:bodyPr>
                  </wps:wsp>
                </a:graphicData>
              </a:graphic>
            </wp:anchor>
          </w:drawing>
        </mc:Choice>
        <mc:Fallback>
          <w:pict>
            <v:shape id="_x0000_s1729" type="#_x0000_t202" style="position:absolute;margin-left:12.pt;margin-top:31.300000000000001pt;width:54.25pt;height:6.25pt;z-index:-18874351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507365</wp:posOffset>
              </wp:positionV>
              <wp:extent cx="4020185" cy="0"/>
              <wp:wrapNone/>
              <wp:docPr id="705" name="Shape 70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39.950000000000003pt;width:316.55000000000001pt;height:0;z-index:-251658240;mso-position-horizontal-relative:page;mso-position-vertical-relative:page">
              <v:stroke weight="1.pt"/>
            </v:shape>
          </w:pict>
        </mc:Fallback>
      </mc:AlternateContent>
    </w: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3" behindDoc="1" locked="0" layoutInCell="1" allowOverlap="1">
              <wp:simplePos x="0" y="0"/>
              <wp:positionH relativeFrom="page">
                <wp:posOffset>152400</wp:posOffset>
              </wp:positionH>
              <wp:positionV relativeFrom="page">
                <wp:posOffset>397510</wp:posOffset>
              </wp:positionV>
              <wp:extent cx="688975" cy="79375"/>
              <wp:wrapNone/>
              <wp:docPr id="708" name="Shape 708"/>
              <a:graphic xmlns:a="http://schemas.openxmlformats.org/drawingml/2006/main">
                <a:graphicData uri="http://schemas.microsoft.com/office/word/2010/wordprocessingShape">
                  <wps:wsp>
                    <wps:cNvSpPr txBox="1"/>
                    <wps:spPr>
                      <a:xfrm>
                        <a:ext cx="6889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wps:txbx>
                    <wps:bodyPr wrap="none" lIns="0" tIns="0" rIns="0" bIns="0">
                      <a:spAutoFit/>
                    </wps:bodyPr>
                  </wps:wsp>
                </a:graphicData>
              </a:graphic>
            </wp:anchor>
          </w:drawing>
        </mc:Choice>
        <mc:Fallback>
          <w:pict>
            <v:shape id="_x0000_s1734" type="#_x0000_t202" style="position:absolute;margin-left:12.pt;margin-top:31.300000000000001pt;width:54.25pt;height:6.25pt;z-index:-18874351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507365</wp:posOffset>
              </wp:positionV>
              <wp:extent cx="4020185" cy="0"/>
              <wp:wrapNone/>
              <wp:docPr id="710" name="Shape 71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39.950000000000003pt;width:316.55000000000001pt;height:0;z-index:-251658240;mso-position-horizontal-relative:page;mso-position-vertical-relative:page">
              <v:stroke weight="1.pt"/>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7" behindDoc="1" locked="0" layoutInCell="1" allowOverlap="1">
              <wp:simplePos x="0" y="0"/>
              <wp:positionH relativeFrom="page">
                <wp:posOffset>3145155</wp:posOffset>
              </wp:positionH>
              <wp:positionV relativeFrom="page">
                <wp:posOffset>388620</wp:posOffset>
              </wp:positionV>
              <wp:extent cx="1027430" cy="82550"/>
              <wp:wrapNone/>
              <wp:docPr id="713" name="Shape 713"/>
              <a:graphic xmlns:a="http://schemas.openxmlformats.org/drawingml/2006/main">
                <a:graphicData uri="http://schemas.microsoft.com/office/word/2010/wordprocessingShape">
                  <wps:wsp>
                    <wps:cNvSpPr txBox="1"/>
                    <wps:spPr>
                      <a:xfrm>
                        <a:ext cx="10274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DOBRO/DOBROČINSTVO</w:t>
                          </w:r>
                        </w:p>
                      </w:txbxContent>
                    </wps:txbx>
                    <wps:bodyPr wrap="none" lIns="0" tIns="0" rIns="0" bIns="0">
                      <a:spAutoFit/>
                    </wps:bodyPr>
                  </wps:wsp>
                </a:graphicData>
              </a:graphic>
            </wp:anchor>
          </w:drawing>
        </mc:Choice>
        <mc:Fallback>
          <w:pict>
            <v:shape id="_x0000_s1739" type="#_x0000_t202" style="position:absolute;margin-left:247.65000000000001pt;margin-top:30.600000000000001pt;width:80.900000000000006pt;height:6.5pt;z-index:-18874350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DOBRO/DOBROČINSTVO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504190</wp:posOffset>
              </wp:positionV>
              <wp:extent cx="4020185" cy="0"/>
              <wp:wrapNone/>
              <wp:docPr id="715" name="Shape 71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pt;margin-top:39.700000000000003pt;width:316.55000000000001pt;height:0;z-index:-251658240;mso-position-horizontal-relative:page;mso-position-vertical-relative:page">
              <v:stroke weight="1.pt"/>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1" behindDoc="1" locked="0" layoutInCell="1" allowOverlap="1">
              <wp:simplePos x="0" y="0"/>
              <wp:positionH relativeFrom="page">
                <wp:posOffset>3474720</wp:posOffset>
              </wp:positionH>
              <wp:positionV relativeFrom="page">
                <wp:posOffset>397510</wp:posOffset>
              </wp:positionV>
              <wp:extent cx="688975" cy="79375"/>
              <wp:wrapNone/>
              <wp:docPr id="718" name="Shape 718"/>
              <a:graphic xmlns:a="http://schemas.openxmlformats.org/drawingml/2006/main">
                <a:graphicData uri="http://schemas.microsoft.com/office/word/2010/wordprocessingShape">
                  <wps:wsp>
                    <wps:cNvSpPr txBox="1"/>
                    <wps:spPr>
                      <a:xfrm>
                        <a:ext cx="6889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wps:txbx>
                    <wps:bodyPr wrap="none" lIns="0" tIns="0" rIns="0" bIns="0">
                      <a:spAutoFit/>
                    </wps:bodyPr>
                  </wps:wsp>
                </a:graphicData>
              </a:graphic>
            </wp:anchor>
          </w:drawing>
        </mc:Choice>
        <mc:Fallback>
          <w:pict>
            <v:shape id="_x0000_s1744" type="#_x0000_t202" style="position:absolute;margin-left:273.60000000000002pt;margin-top:31.300000000000001pt;width:54.25pt;height:6.25pt;z-index:-18874350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514985</wp:posOffset>
              </wp:positionV>
              <wp:extent cx="4017010" cy="0"/>
              <wp:wrapNone/>
              <wp:docPr id="720" name="Shape 72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40.549999999999997pt;width:316.30000000000001pt;height:0;z-index:-251658240;mso-position-horizontal-relative:page;mso-position-vertical-relative:page">
              <v:stroke weight="1.pt"/>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5" behindDoc="1" locked="0" layoutInCell="1" allowOverlap="1">
              <wp:simplePos x="0" y="0"/>
              <wp:positionH relativeFrom="page">
                <wp:posOffset>3474720</wp:posOffset>
              </wp:positionH>
              <wp:positionV relativeFrom="page">
                <wp:posOffset>397510</wp:posOffset>
              </wp:positionV>
              <wp:extent cx="688975" cy="79375"/>
              <wp:wrapNone/>
              <wp:docPr id="723" name="Shape 723"/>
              <a:graphic xmlns:a="http://schemas.openxmlformats.org/drawingml/2006/main">
                <a:graphicData uri="http://schemas.microsoft.com/office/word/2010/wordprocessingShape">
                  <wps:wsp>
                    <wps:cNvSpPr txBox="1"/>
                    <wps:spPr>
                      <a:xfrm>
                        <a:ext cx="6889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wps:txbx>
                    <wps:bodyPr wrap="none" lIns="0" tIns="0" rIns="0" bIns="0">
                      <a:spAutoFit/>
                    </wps:bodyPr>
                  </wps:wsp>
                </a:graphicData>
              </a:graphic>
            </wp:anchor>
          </w:drawing>
        </mc:Choice>
        <mc:Fallback>
          <w:pict>
            <v:shape id="_x0000_s1749" type="#_x0000_t202" style="position:absolute;margin-left:273.60000000000002pt;margin-top:31.300000000000001pt;width:54.25pt;height:6.25pt;z-index:-18874349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DOBROČINSTVO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514985</wp:posOffset>
              </wp:positionV>
              <wp:extent cx="4017010" cy="0"/>
              <wp:wrapNone/>
              <wp:docPr id="725" name="Shape 72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40.549999999999997pt;width:316.30000000000001pt;height:0;z-index:-251658240;mso-position-horizontal-relative:page;mso-position-vertical-relative:page">
              <v:stroke weight="1.pt"/>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9" behindDoc="1" locked="0" layoutInCell="1" allowOverlap="1">
              <wp:simplePos x="0" y="0"/>
              <wp:positionH relativeFrom="page">
                <wp:posOffset>3796030</wp:posOffset>
              </wp:positionH>
              <wp:positionV relativeFrom="page">
                <wp:posOffset>390525</wp:posOffset>
              </wp:positionV>
              <wp:extent cx="365760" cy="76200"/>
              <wp:wrapNone/>
              <wp:docPr id="728" name="Shape 728"/>
              <a:graphic xmlns:a="http://schemas.openxmlformats.org/drawingml/2006/main">
                <a:graphicData uri="http://schemas.microsoft.com/office/word/2010/wordprocessingShape">
                  <wps:wsp>
                    <wps:cNvSpPr txBox="1"/>
                    <wps:spPr>
                      <a:xfrm>
                        <a:ext cx="36576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wps:txbx>
                    <wps:bodyPr wrap="none" lIns="0" tIns="0" rIns="0" bIns="0">
                      <a:spAutoFit/>
                    </wps:bodyPr>
                  </wps:wsp>
                </a:graphicData>
              </a:graphic>
            </wp:anchor>
          </w:drawing>
        </mc:Choice>
        <mc:Fallback>
          <w:pict>
            <v:shape id="_x0000_s1754" type="#_x0000_t202" style="position:absolute;margin-left:298.89999999999998pt;margin-top:30.75pt;width:28.800000000000001pt;height:6.pt;z-index:-18874349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506095</wp:posOffset>
              </wp:positionV>
              <wp:extent cx="4020185" cy="0"/>
              <wp:wrapNone/>
              <wp:docPr id="730" name="Shape 73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9pt;margin-top:39.850000000000001pt;width:316.55000000000001pt;height:0;z-index:-251658240;mso-position-horizontal-relative:page;mso-position-vertical-relative:page">
              <v:stroke weight="1.pt"/>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3" behindDoc="1" locked="0" layoutInCell="1" allowOverlap="1">
              <wp:simplePos x="0" y="0"/>
              <wp:positionH relativeFrom="page">
                <wp:posOffset>3796030</wp:posOffset>
              </wp:positionH>
              <wp:positionV relativeFrom="page">
                <wp:posOffset>390525</wp:posOffset>
              </wp:positionV>
              <wp:extent cx="365760" cy="76200"/>
              <wp:wrapNone/>
              <wp:docPr id="733" name="Shape 733"/>
              <a:graphic xmlns:a="http://schemas.openxmlformats.org/drawingml/2006/main">
                <a:graphicData uri="http://schemas.microsoft.com/office/word/2010/wordprocessingShape">
                  <wps:wsp>
                    <wps:cNvSpPr txBox="1"/>
                    <wps:spPr>
                      <a:xfrm>
                        <a:ext cx="36576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wps:txbx>
                    <wps:bodyPr wrap="none" lIns="0" tIns="0" rIns="0" bIns="0">
                      <a:spAutoFit/>
                    </wps:bodyPr>
                  </wps:wsp>
                </a:graphicData>
              </a:graphic>
            </wp:anchor>
          </w:drawing>
        </mc:Choice>
        <mc:Fallback>
          <w:pict>
            <v:shape id="_x0000_s1759" type="#_x0000_t202" style="position:absolute;margin-left:298.89999999999998pt;margin-top:30.75pt;width:28.800000000000001pt;height:6.pt;z-index:-18874349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506095</wp:posOffset>
              </wp:positionV>
              <wp:extent cx="4020185" cy="0"/>
              <wp:wrapNone/>
              <wp:docPr id="735" name="Shape 73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9pt;margin-top:39.850000000000001pt;width:316.55000000000001pt;height:0;z-index:-251658240;mso-position-horizontal-relative:page;mso-position-vertical-relative:page">
              <v:stroke weight="1.pt"/>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9" behindDoc="1" locked="0" layoutInCell="1" allowOverlap="1">
              <wp:simplePos x="0" y="0"/>
              <wp:positionH relativeFrom="page">
                <wp:posOffset>154940</wp:posOffset>
              </wp:positionH>
              <wp:positionV relativeFrom="page">
                <wp:posOffset>392430</wp:posOffset>
              </wp:positionV>
              <wp:extent cx="365760" cy="79375"/>
              <wp:wrapNone/>
              <wp:docPr id="740" name="Shape 740"/>
              <a:graphic xmlns:a="http://schemas.openxmlformats.org/drawingml/2006/main">
                <a:graphicData uri="http://schemas.microsoft.com/office/word/2010/wordprocessingShape">
                  <wps:wsp>
                    <wps:cNvSpPr txBox="1"/>
                    <wps:spPr>
                      <a:xfrm>
                        <a:ext cx="36576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wps:txbx>
                    <wps:bodyPr wrap="none" lIns="0" tIns="0" rIns="0" bIns="0">
                      <a:spAutoFit/>
                    </wps:bodyPr>
                  </wps:wsp>
                </a:graphicData>
              </a:graphic>
            </wp:anchor>
          </w:drawing>
        </mc:Choice>
        <mc:Fallback>
          <w:pict>
            <v:shape id="_x0000_s1766" type="#_x0000_t202" style="position:absolute;margin-left:12.199999999999999pt;margin-top:30.899999999999999pt;width:28.800000000000001pt;height:6.25pt;z-index:-18874348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506730</wp:posOffset>
              </wp:positionV>
              <wp:extent cx="4020185" cy="0"/>
              <wp:wrapNone/>
              <wp:docPr id="742" name="Shape 74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39.899999999999999pt;width:316.55000000000001pt;height:0;z-index:-251658240;mso-position-horizontal-relative:page;mso-position-vertical-relative:page">
              <v:stroke weight="1.pt"/>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3" behindDoc="1" locked="0" layoutInCell="1" allowOverlap="1">
              <wp:simplePos x="0" y="0"/>
              <wp:positionH relativeFrom="page">
                <wp:posOffset>154940</wp:posOffset>
              </wp:positionH>
              <wp:positionV relativeFrom="page">
                <wp:posOffset>392430</wp:posOffset>
              </wp:positionV>
              <wp:extent cx="365760" cy="79375"/>
              <wp:wrapNone/>
              <wp:docPr id="745" name="Shape 745"/>
              <a:graphic xmlns:a="http://schemas.openxmlformats.org/drawingml/2006/main">
                <a:graphicData uri="http://schemas.microsoft.com/office/word/2010/wordprocessingShape">
                  <wps:wsp>
                    <wps:cNvSpPr txBox="1"/>
                    <wps:spPr>
                      <a:xfrm>
                        <a:ext cx="36576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wps:txbx>
                    <wps:bodyPr wrap="none" lIns="0" tIns="0" rIns="0" bIns="0">
                      <a:spAutoFit/>
                    </wps:bodyPr>
                  </wps:wsp>
                </a:graphicData>
              </a:graphic>
            </wp:anchor>
          </w:drawing>
        </mc:Choice>
        <mc:Fallback>
          <w:pict>
            <v:shape id="_x0000_s1771" type="#_x0000_t202" style="position:absolute;margin-left:12.199999999999999pt;margin-top:30.899999999999999pt;width:28.800000000000001pt;height:6.25pt;z-index:-18874348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506730</wp:posOffset>
              </wp:positionV>
              <wp:extent cx="4020185" cy="0"/>
              <wp:wrapNone/>
              <wp:docPr id="747" name="Shape 74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39.899999999999999pt;width:316.55000000000001pt;height:0;z-index:-251658240;mso-position-horizontal-relative:page;mso-position-vertical-relative:page">
              <v:stroke weight="1.pt"/>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7" behindDoc="1" locked="0" layoutInCell="1" allowOverlap="1">
              <wp:simplePos x="0" y="0"/>
              <wp:positionH relativeFrom="page">
                <wp:posOffset>147320</wp:posOffset>
              </wp:positionH>
              <wp:positionV relativeFrom="page">
                <wp:posOffset>342265</wp:posOffset>
              </wp:positionV>
              <wp:extent cx="948055" cy="82550"/>
              <wp:wrapNone/>
              <wp:docPr id="750" name="Shape 750"/>
              <a:graphic xmlns:a="http://schemas.openxmlformats.org/drawingml/2006/main">
                <a:graphicData uri="http://schemas.microsoft.com/office/word/2010/wordprocessingShape">
                  <wps:wsp>
                    <wps:cNvSpPr txBox="1"/>
                    <wps:spPr>
                      <a:xfrm>
                        <a:ext cx="94805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DRŽAVA/DUHOVNOST</w:t>
                          </w:r>
                        </w:p>
                      </w:txbxContent>
                    </wps:txbx>
                    <wps:bodyPr wrap="none" lIns="0" tIns="0" rIns="0" bIns="0">
                      <a:spAutoFit/>
                    </wps:bodyPr>
                  </wps:wsp>
                </a:graphicData>
              </a:graphic>
            </wp:anchor>
          </w:drawing>
        </mc:Choice>
        <mc:Fallback>
          <w:pict>
            <v:shape id="_x0000_s1776" type="#_x0000_t202" style="position:absolute;margin-left:11.6pt;margin-top:26.949999999999999pt;width:74.650000000000006pt;height:6.5pt;z-index:-18874347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DRŽAVA/DUHOVNOST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454025</wp:posOffset>
              </wp:positionV>
              <wp:extent cx="4017010" cy="0"/>
              <wp:wrapNone/>
              <wp:docPr id="752" name="Shape 75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35.75pt;width:316.30000000000001pt;height:0;z-index:-251658240;mso-position-horizontal-relative:page;mso-position-vertical-relative:page">
              <v:stroke weight="1.pt"/>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9" behindDoc="1" locked="0" layoutInCell="1" allowOverlap="1">
              <wp:simplePos x="0" y="0"/>
              <wp:positionH relativeFrom="page">
                <wp:posOffset>147320</wp:posOffset>
              </wp:positionH>
              <wp:positionV relativeFrom="page">
                <wp:posOffset>342265</wp:posOffset>
              </wp:positionV>
              <wp:extent cx="948055" cy="82550"/>
              <wp:wrapNone/>
              <wp:docPr id="753" name="Shape 753"/>
              <a:graphic xmlns:a="http://schemas.openxmlformats.org/drawingml/2006/main">
                <a:graphicData uri="http://schemas.microsoft.com/office/word/2010/wordprocessingShape">
                  <wps:wsp>
                    <wps:cNvSpPr txBox="1"/>
                    <wps:spPr>
                      <a:xfrm>
                        <a:ext cx="94805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DRŽAVA/DUHOVNOST</w:t>
                          </w:r>
                        </w:p>
                      </w:txbxContent>
                    </wps:txbx>
                    <wps:bodyPr wrap="none" lIns="0" tIns="0" rIns="0" bIns="0">
                      <a:spAutoFit/>
                    </wps:bodyPr>
                  </wps:wsp>
                </a:graphicData>
              </a:graphic>
            </wp:anchor>
          </w:drawing>
        </mc:Choice>
        <mc:Fallback>
          <w:pict>
            <v:shape id="_x0000_s1779" type="#_x0000_t202" style="position:absolute;margin-left:11.6pt;margin-top:26.949999999999999pt;width:74.650000000000006pt;height:6.5pt;z-index:-18874347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DRŽAVA/DUHOVNOST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454025</wp:posOffset>
              </wp:positionV>
              <wp:extent cx="4017010" cy="0"/>
              <wp:wrapNone/>
              <wp:docPr id="755" name="Shape 75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35.75pt;width:316.30000000000001pt;height:0;z-index:-251658240;mso-position-horizontal-relative:page;mso-position-vertical-relative:page">
              <v:stroke weight="1.pt"/>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1" behindDoc="1" locked="0" layoutInCell="1" allowOverlap="1">
              <wp:simplePos x="0" y="0"/>
              <wp:positionH relativeFrom="page">
                <wp:posOffset>3806825</wp:posOffset>
              </wp:positionH>
              <wp:positionV relativeFrom="page">
                <wp:posOffset>345440</wp:posOffset>
              </wp:positionV>
              <wp:extent cx="365760" cy="79375"/>
              <wp:wrapNone/>
              <wp:docPr id="756" name="Shape 756"/>
              <a:graphic xmlns:a="http://schemas.openxmlformats.org/drawingml/2006/main">
                <a:graphicData uri="http://schemas.microsoft.com/office/word/2010/wordprocessingShape">
                  <wps:wsp>
                    <wps:cNvSpPr txBox="1"/>
                    <wps:spPr>
                      <a:xfrm>
                        <a:ext cx="36576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wps:txbx>
                    <wps:bodyPr wrap="none" lIns="0" tIns="0" rIns="0" bIns="0">
                      <a:spAutoFit/>
                    </wps:bodyPr>
                  </wps:wsp>
                </a:graphicData>
              </a:graphic>
            </wp:anchor>
          </w:drawing>
        </mc:Choice>
        <mc:Fallback>
          <w:pict>
            <v:shape id="_x0000_s1782" type="#_x0000_t202" style="position:absolute;margin-left:299.75pt;margin-top:27.199999999999999pt;width:28.800000000000001pt;height:6.25pt;z-index:-18874347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DRŽAVA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459740</wp:posOffset>
              </wp:positionV>
              <wp:extent cx="4020185" cy="0"/>
              <wp:wrapNone/>
              <wp:docPr id="758" name="Shape 75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36.200000000000003pt;width:316.55000000000001pt;height:0;z-index:-251658240;mso-position-horizontal-relative:page;mso-position-vertical-relative:page">
              <v:stroke weight="1.pt"/>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3" behindDoc="1" locked="0" layoutInCell="1" allowOverlap="1">
              <wp:simplePos x="0" y="0"/>
              <wp:positionH relativeFrom="page">
                <wp:posOffset>3616325</wp:posOffset>
              </wp:positionH>
              <wp:positionV relativeFrom="page">
                <wp:posOffset>403225</wp:posOffset>
              </wp:positionV>
              <wp:extent cx="548640" cy="64135"/>
              <wp:wrapNone/>
              <wp:docPr id="761" name="Shape 761"/>
              <a:graphic xmlns:a="http://schemas.openxmlformats.org/drawingml/2006/main">
                <a:graphicData uri="http://schemas.microsoft.com/office/word/2010/wordprocessingShape">
                  <wps:wsp>
                    <wps:cNvSpPr txBox="1"/>
                    <wps:spPr>
                      <a:xfrm>
                        <a:ext cx="5486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w:t>
                          </w:r>
                        </w:p>
                      </w:txbxContent>
                    </wps:txbx>
                    <wps:bodyPr wrap="none" lIns="0" tIns="0" rIns="0" bIns="0">
                      <a:spAutoFit/>
                    </wps:bodyPr>
                  </wps:wsp>
                </a:graphicData>
              </a:graphic>
            </wp:anchor>
          </w:drawing>
        </mc:Choice>
        <mc:Fallback>
          <w:pict>
            <v:shape id="_x0000_s1787" type="#_x0000_t202" style="position:absolute;margin-left:284.75pt;margin-top:31.75pt;width:43.200000000000003pt;height:5.0499999999999998pt;z-index:-18874347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508000</wp:posOffset>
              </wp:positionV>
              <wp:extent cx="4020185" cy="0"/>
              <wp:wrapNone/>
              <wp:docPr id="763" name="Shape 76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0.pt;width:316.55000000000001pt;height:0;z-index:-251658240;mso-position-horizontal-relative:page;mso-position-vertical-relative:page">
              <v:stroke weight="1.pt"/>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7" behindDoc="1" locked="0" layoutInCell="1" allowOverlap="1">
              <wp:simplePos x="0" y="0"/>
              <wp:positionH relativeFrom="page">
                <wp:posOffset>141605</wp:posOffset>
              </wp:positionH>
              <wp:positionV relativeFrom="page">
                <wp:posOffset>408940</wp:posOffset>
              </wp:positionV>
              <wp:extent cx="551815" cy="64135"/>
              <wp:wrapNone/>
              <wp:docPr id="766" name="Shape 766"/>
              <a:graphic xmlns:a="http://schemas.openxmlformats.org/drawingml/2006/main">
                <a:graphicData uri="http://schemas.microsoft.com/office/word/2010/wordprocessingShape">
                  <wps:wsp>
                    <wps:cNvSpPr txBox="1"/>
                    <wps:spPr>
                      <a:xfrm>
                        <a:ext cx="5518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w:t>
                          </w:r>
                        </w:p>
                      </w:txbxContent>
                    </wps:txbx>
                    <wps:bodyPr wrap="none" lIns="0" tIns="0" rIns="0" bIns="0">
                      <a:spAutoFit/>
                    </wps:bodyPr>
                  </wps:wsp>
                </a:graphicData>
              </a:graphic>
            </wp:anchor>
          </w:drawing>
        </mc:Choice>
        <mc:Fallback>
          <w:pict>
            <v:shape id="_x0000_s1792" type="#_x0000_t202" style="position:absolute;margin-left:11.15pt;margin-top:32.200000000000003pt;width:43.450000000000003pt;height:5.0499999999999998pt;z-index:-18874346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502285</wp:posOffset>
              </wp:positionV>
              <wp:extent cx="4023360" cy="0"/>
              <wp:wrapNone/>
              <wp:docPr id="768" name="Shape 76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0.9pt;margin-top:39.549999999999997pt;width:316.80000000000001pt;height:0;z-index:-251658240;mso-position-horizontal-relative:page;mso-position-vertical-relative:page">
              <v:stroke weight="1.pt"/>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1" behindDoc="1" locked="0" layoutInCell="1" allowOverlap="1">
              <wp:simplePos x="0" y="0"/>
              <wp:positionH relativeFrom="page">
                <wp:posOffset>147320</wp:posOffset>
              </wp:positionH>
              <wp:positionV relativeFrom="page">
                <wp:posOffset>392430</wp:posOffset>
              </wp:positionV>
              <wp:extent cx="810895" cy="82550"/>
              <wp:wrapNone/>
              <wp:docPr id="771" name="Shape 771"/>
              <a:graphic xmlns:a="http://schemas.openxmlformats.org/drawingml/2006/main">
                <a:graphicData uri="http://schemas.microsoft.com/office/word/2010/wordprocessingShape">
                  <wps:wsp>
                    <wps:cNvSpPr txBox="1"/>
                    <wps:spPr>
                      <a:xfrm>
                        <a:ext cx="81089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DUHOVNOST,'DUŠA</w:t>
                          </w:r>
                        </w:p>
                      </w:txbxContent>
                    </wps:txbx>
                    <wps:bodyPr wrap="none" lIns="0" tIns="0" rIns="0" bIns="0">
                      <a:spAutoFit/>
                    </wps:bodyPr>
                  </wps:wsp>
                </a:graphicData>
              </a:graphic>
            </wp:anchor>
          </w:drawing>
        </mc:Choice>
        <mc:Fallback>
          <w:pict>
            <v:shape id="_x0000_s1797" type="#_x0000_t202" style="position:absolute;margin-left:11.6pt;margin-top:30.899999999999999pt;width:63.850000000000001pt;height:6.5pt;z-index:-18874346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DUHOVNOST,'DUŠA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499110</wp:posOffset>
              </wp:positionV>
              <wp:extent cx="4020185" cy="0"/>
              <wp:wrapNone/>
              <wp:docPr id="773" name="Shape 77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5pt;margin-top:39.299999999999997pt;width:316.55000000000001pt;height:0;z-index:-251658240;mso-position-horizontal-relative:page;mso-position-vertical-relative:page">
              <v:stroke weight="1.pt"/>
            </v:shape>
          </w:pict>
        </mc:Fallback>
      </mc:AlternateContent>
    </w: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5" behindDoc="1" locked="0" layoutInCell="1" allowOverlap="1">
              <wp:simplePos x="0" y="0"/>
              <wp:positionH relativeFrom="page">
                <wp:posOffset>147320</wp:posOffset>
              </wp:positionH>
              <wp:positionV relativeFrom="page">
                <wp:posOffset>392430</wp:posOffset>
              </wp:positionV>
              <wp:extent cx="810895" cy="82550"/>
              <wp:wrapNone/>
              <wp:docPr id="776" name="Shape 776"/>
              <a:graphic xmlns:a="http://schemas.openxmlformats.org/drawingml/2006/main">
                <a:graphicData uri="http://schemas.microsoft.com/office/word/2010/wordprocessingShape">
                  <wps:wsp>
                    <wps:cNvSpPr txBox="1"/>
                    <wps:spPr>
                      <a:xfrm>
                        <a:ext cx="81089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DUHOVNOST,'DUŠA</w:t>
                          </w:r>
                        </w:p>
                      </w:txbxContent>
                    </wps:txbx>
                    <wps:bodyPr wrap="none" lIns="0" tIns="0" rIns="0" bIns="0">
                      <a:spAutoFit/>
                    </wps:bodyPr>
                  </wps:wsp>
                </a:graphicData>
              </a:graphic>
            </wp:anchor>
          </w:drawing>
        </mc:Choice>
        <mc:Fallback>
          <w:pict>
            <v:shape id="_x0000_s1802" type="#_x0000_t202" style="position:absolute;margin-left:11.6pt;margin-top:30.899999999999999pt;width:63.850000000000001pt;height:6.5pt;z-index:-18874345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DUHOVNOST,'DUŠA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499110</wp:posOffset>
              </wp:positionV>
              <wp:extent cx="4020185" cy="0"/>
              <wp:wrapNone/>
              <wp:docPr id="778" name="Shape 77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5pt;margin-top:39.299999999999997pt;width:316.55000000000001pt;height:0;z-index:-251658240;mso-position-horizontal-relative:page;mso-position-vertical-relative:page">
              <v:stroke weight="1.pt"/>
            </v:shape>
          </w:pict>
        </mc:Fallback>
      </mc:AlternateContent>
    </w: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9" behindDoc="1" locked="0" layoutInCell="1" allowOverlap="1">
              <wp:simplePos x="0" y="0"/>
              <wp:positionH relativeFrom="page">
                <wp:posOffset>3938905</wp:posOffset>
              </wp:positionH>
              <wp:positionV relativeFrom="page">
                <wp:posOffset>345440</wp:posOffset>
              </wp:positionV>
              <wp:extent cx="228600" cy="79375"/>
              <wp:wrapNone/>
              <wp:docPr id="781" name="Shape 781"/>
              <a:graphic xmlns:a="http://schemas.openxmlformats.org/drawingml/2006/main">
                <a:graphicData uri="http://schemas.microsoft.com/office/word/2010/wordprocessingShape">
                  <wps:wsp>
                    <wps:cNvSpPr txBox="1"/>
                    <wps:spPr>
                      <a:xfrm>
                        <a:ext cx="2286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DUŠA</w:t>
                          </w:r>
                        </w:p>
                      </w:txbxContent>
                    </wps:txbx>
                    <wps:bodyPr wrap="none" lIns="0" tIns="0" rIns="0" bIns="0">
                      <a:spAutoFit/>
                    </wps:bodyPr>
                  </wps:wsp>
                </a:graphicData>
              </a:graphic>
            </wp:anchor>
          </w:drawing>
        </mc:Choice>
        <mc:Fallback>
          <w:pict>
            <v:shape id="_x0000_s1807" type="#_x0000_t202" style="position:absolute;margin-left:310.14999999999998pt;margin-top:27.199999999999999pt;width:18.pt;height:6.25pt;z-index:-18874345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461010</wp:posOffset>
              </wp:positionV>
              <wp:extent cx="4014470" cy="0"/>
              <wp:wrapNone/>
              <wp:docPr id="783" name="Shape 78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85pt;margin-top:36.299999999999997pt;width:316.10000000000002pt;height:0;z-index:-251658240;mso-position-horizontal-relative:page;mso-position-vertical-relative:page">
              <v:stroke weight="1.pt"/>
            </v:shape>
          </w:pict>
        </mc:Fallback>
      </mc:AlternateContent>
    </w: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1" behindDoc="1" locked="0" layoutInCell="1" allowOverlap="1">
              <wp:simplePos x="0" y="0"/>
              <wp:positionH relativeFrom="page">
                <wp:posOffset>3938905</wp:posOffset>
              </wp:positionH>
              <wp:positionV relativeFrom="page">
                <wp:posOffset>345440</wp:posOffset>
              </wp:positionV>
              <wp:extent cx="228600" cy="79375"/>
              <wp:wrapNone/>
              <wp:docPr id="784" name="Shape 784"/>
              <a:graphic xmlns:a="http://schemas.openxmlformats.org/drawingml/2006/main">
                <a:graphicData uri="http://schemas.microsoft.com/office/word/2010/wordprocessingShape">
                  <wps:wsp>
                    <wps:cNvSpPr txBox="1"/>
                    <wps:spPr>
                      <a:xfrm>
                        <a:ext cx="2286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DUŠA</w:t>
                          </w:r>
                        </w:p>
                      </w:txbxContent>
                    </wps:txbx>
                    <wps:bodyPr wrap="none" lIns="0" tIns="0" rIns="0" bIns="0">
                      <a:spAutoFit/>
                    </wps:bodyPr>
                  </wps:wsp>
                </a:graphicData>
              </a:graphic>
            </wp:anchor>
          </w:drawing>
        </mc:Choice>
        <mc:Fallback>
          <w:pict>
            <v:shape id="_x0000_s1810" type="#_x0000_t202" style="position:absolute;margin-left:310.14999999999998pt;margin-top:27.199999999999999pt;width:18.pt;height:6.25pt;z-index:-18874345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461010</wp:posOffset>
              </wp:positionV>
              <wp:extent cx="4014470" cy="0"/>
              <wp:wrapNone/>
              <wp:docPr id="786" name="Shape 78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85pt;margin-top:36.299999999999997pt;width:316.10000000000002pt;height:0;z-index:-251658240;mso-position-horizontal-relative:page;mso-position-vertical-relative:page">
              <v:stroke weight="1.pt"/>
            </v:shape>
          </w:pict>
        </mc:Fallback>
      </mc:AlternateContent>
    </w: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3" behindDoc="1" locked="0" layoutInCell="1" allowOverlap="1">
              <wp:simplePos x="0" y="0"/>
              <wp:positionH relativeFrom="page">
                <wp:posOffset>3138805</wp:posOffset>
              </wp:positionH>
              <wp:positionV relativeFrom="page">
                <wp:posOffset>389255</wp:posOffset>
              </wp:positionV>
              <wp:extent cx="1029970" cy="82550"/>
              <wp:wrapNone/>
              <wp:docPr id="789" name="Shape 789"/>
              <a:graphic xmlns:a="http://schemas.openxmlformats.org/drawingml/2006/main">
                <a:graphicData uri="http://schemas.microsoft.com/office/word/2010/wordprocessingShape">
                  <wps:wsp>
                    <wps:cNvSpPr txBox="1"/>
                    <wps:spPr>
                      <a:xfrm>
                        <a:ext cx="102997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 UŠA/D UŠOBRIŽNIŠTVO</w:t>
                          </w:r>
                        </w:p>
                      </w:txbxContent>
                    </wps:txbx>
                    <wps:bodyPr wrap="none" lIns="0" tIns="0" rIns="0" bIns="0">
                      <a:spAutoFit/>
                    </wps:bodyPr>
                  </wps:wsp>
                </a:graphicData>
              </a:graphic>
            </wp:anchor>
          </w:drawing>
        </mc:Choice>
        <mc:Fallback>
          <w:pict>
            <v:shape id="_x0000_s1815" type="#_x0000_t202" style="position:absolute;margin-left:247.15000000000001pt;margin-top:30.649999999999999pt;width:81.099999999999994pt;height:6.5pt;z-index:-18874345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 UŠA/D UŠOBRIŽNIŠTVO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504825</wp:posOffset>
              </wp:positionV>
              <wp:extent cx="4026535" cy="0"/>
              <wp:wrapNone/>
              <wp:docPr id="791" name="Shape 79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25pt;margin-top:39.75pt;width:317.05000000000001pt;height:0;z-index:-251658240;mso-position-horizontal-relative:page;mso-position-vertical-relative:page">
              <v:stroke weight="1.pt"/>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7" behindDoc="1" locked="0" layoutInCell="1" allowOverlap="1">
              <wp:simplePos x="0" y="0"/>
              <wp:positionH relativeFrom="page">
                <wp:posOffset>3138805</wp:posOffset>
              </wp:positionH>
              <wp:positionV relativeFrom="page">
                <wp:posOffset>389255</wp:posOffset>
              </wp:positionV>
              <wp:extent cx="1029970" cy="82550"/>
              <wp:wrapNone/>
              <wp:docPr id="794" name="Shape 794"/>
              <a:graphic xmlns:a="http://schemas.openxmlformats.org/drawingml/2006/main">
                <a:graphicData uri="http://schemas.microsoft.com/office/word/2010/wordprocessingShape">
                  <wps:wsp>
                    <wps:cNvSpPr txBox="1"/>
                    <wps:spPr>
                      <a:xfrm>
                        <a:ext cx="102997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 UŠA/D UŠOBRIŽNIŠTVO</w:t>
                          </w:r>
                        </w:p>
                      </w:txbxContent>
                    </wps:txbx>
                    <wps:bodyPr wrap="none" lIns="0" tIns="0" rIns="0" bIns="0">
                      <a:spAutoFit/>
                    </wps:bodyPr>
                  </wps:wsp>
                </a:graphicData>
              </a:graphic>
            </wp:anchor>
          </w:drawing>
        </mc:Choice>
        <mc:Fallback>
          <w:pict>
            <v:shape id="_x0000_s1820" type="#_x0000_t202" style="position:absolute;margin-left:247.15000000000001pt;margin-top:30.649999999999999pt;width:81.099999999999994pt;height:6.5pt;z-index:-188743446;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 UŠA/D UŠOBRIŽNIŠTVO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504825</wp:posOffset>
              </wp:positionV>
              <wp:extent cx="4026535" cy="0"/>
              <wp:wrapNone/>
              <wp:docPr id="796" name="Shape 79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25pt;margin-top:39.75pt;width:317.05000000000001pt;height:0;z-index:-251658240;mso-position-horizontal-relative:page;mso-position-vertical-relative:page">
              <v:stroke weight="1.pt"/>
            </v:shape>
          </w:pict>
        </mc:Fallback>
      </mc:AlternateContent>
    </w: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1" behindDoc="1" locked="0" layoutInCell="1" allowOverlap="1">
              <wp:simplePos x="0" y="0"/>
              <wp:positionH relativeFrom="page">
                <wp:posOffset>149225</wp:posOffset>
              </wp:positionH>
              <wp:positionV relativeFrom="page">
                <wp:posOffset>393700</wp:posOffset>
              </wp:positionV>
              <wp:extent cx="228600" cy="79375"/>
              <wp:wrapNone/>
              <wp:docPr id="799" name="Shape 799"/>
              <a:graphic xmlns:a="http://schemas.openxmlformats.org/drawingml/2006/main">
                <a:graphicData uri="http://schemas.microsoft.com/office/word/2010/wordprocessingShape">
                  <wps:wsp>
                    <wps:cNvSpPr txBox="1"/>
                    <wps:spPr>
                      <a:xfrm>
                        <a:ext cx="2286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DUŠA</w:t>
                          </w:r>
                        </w:p>
                      </w:txbxContent>
                    </wps:txbx>
                    <wps:bodyPr wrap="none" lIns="0" tIns="0" rIns="0" bIns="0">
                      <a:spAutoFit/>
                    </wps:bodyPr>
                  </wps:wsp>
                </a:graphicData>
              </a:graphic>
            </wp:anchor>
          </w:drawing>
        </mc:Choice>
        <mc:Fallback>
          <w:pict>
            <v:shape id="_x0000_s1825" type="#_x0000_t202" style="position:absolute;margin-left:11.75pt;margin-top:31.pt;width:18.pt;height:6.25pt;z-index:-188743442;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DUŠA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503555</wp:posOffset>
              </wp:positionV>
              <wp:extent cx="4026535" cy="0"/>
              <wp:wrapNone/>
              <wp:docPr id="801" name="Shape 80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25pt;margin-top:39.649999999999999pt;width:317.05000000000001pt;height:0;z-index:-251658240;mso-position-horizontal-relative:page;mso-position-vertical-relative:page">
              <v:stroke weight="1.pt"/>
            </v:shape>
          </w:pict>
        </mc:Fallback>
      </mc:AlternateContent>
    </w: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5" behindDoc="1" locked="0" layoutInCell="1" allowOverlap="1">
              <wp:simplePos x="0" y="0"/>
              <wp:positionH relativeFrom="page">
                <wp:posOffset>3404235</wp:posOffset>
              </wp:positionH>
              <wp:positionV relativeFrom="page">
                <wp:posOffset>390525</wp:posOffset>
              </wp:positionV>
              <wp:extent cx="762000" cy="79375"/>
              <wp:wrapNone/>
              <wp:docPr id="804" name="Shape 804"/>
              <a:graphic xmlns:a="http://schemas.openxmlformats.org/drawingml/2006/main">
                <a:graphicData uri="http://schemas.microsoft.com/office/word/2010/wordprocessingShape">
                  <wps:wsp>
                    <wps:cNvSpPr txBox="1"/>
                    <wps:spPr>
                      <a:xfrm>
                        <a:ext cx="7620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DUŠOBRIŽNIŠTVO</w:t>
                          </w:r>
                        </w:p>
                      </w:txbxContent>
                    </wps:txbx>
                    <wps:bodyPr wrap="none" lIns="0" tIns="0" rIns="0" bIns="0">
                      <a:spAutoFit/>
                    </wps:bodyPr>
                  </wps:wsp>
                </a:graphicData>
              </a:graphic>
            </wp:anchor>
          </w:drawing>
        </mc:Choice>
        <mc:Fallback>
          <w:pict>
            <v:shape id="_x0000_s1830" type="#_x0000_t202" style="position:absolute;margin-left:268.05000000000001pt;margin-top:30.75pt;width:60.pt;height:6.25pt;z-index:-188743438;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DUŠOBRIŽNIŠTVO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514350</wp:posOffset>
              </wp:positionV>
              <wp:extent cx="4014470" cy="0"/>
              <wp:wrapNone/>
              <wp:docPr id="806" name="Shape 80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0.5pt;width:316.10000000000002pt;height:0;z-index:-251658240;mso-position-horizontal-relative:page;mso-position-vertical-relative:page">
              <v:stroke weight="1.pt"/>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9" behindDoc="1" locked="0" layoutInCell="1" allowOverlap="1">
              <wp:simplePos x="0" y="0"/>
              <wp:positionH relativeFrom="page">
                <wp:posOffset>3404235</wp:posOffset>
              </wp:positionH>
              <wp:positionV relativeFrom="page">
                <wp:posOffset>390525</wp:posOffset>
              </wp:positionV>
              <wp:extent cx="762000" cy="79375"/>
              <wp:wrapNone/>
              <wp:docPr id="809" name="Shape 809"/>
              <a:graphic xmlns:a="http://schemas.openxmlformats.org/drawingml/2006/main">
                <a:graphicData uri="http://schemas.microsoft.com/office/word/2010/wordprocessingShape">
                  <wps:wsp>
                    <wps:cNvSpPr txBox="1"/>
                    <wps:spPr>
                      <a:xfrm>
                        <a:ext cx="7620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DUŠOBRIŽNIŠTVO</w:t>
                          </w:r>
                        </w:p>
                      </w:txbxContent>
                    </wps:txbx>
                    <wps:bodyPr wrap="none" lIns="0" tIns="0" rIns="0" bIns="0">
                      <a:spAutoFit/>
                    </wps:bodyPr>
                  </wps:wsp>
                </a:graphicData>
              </a:graphic>
            </wp:anchor>
          </w:drawing>
        </mc:Choice>
        <mc:Fallback>
          <w:pict>
            <v:shape id="_x0000_s1835" type="#_x0000_t202" style="position:absolute;margin-left:268.05000000000001pt;margin-top:30.75pt;width:60.pt;height:6.25pt;z-index:-188743434;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DUŠOBRIŽNIŠTVO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514350</wp:posOffset>
              </wp:positionV>
              <wp:extent cx="4014470" cy="0"/>
              <wp:wrapNone/>
              <wp:docPr id="811" name="Shape 811"/>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0.5pt;width:316.10000000000002pt;height:0;z-index:-251658240;mso-position-horizontal-relative:page;mso-position-vertical-relative:page">
              <v:stroke weight="1.pt"/>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3" behindDoc="1" locked="0" layoutInCell="1" allowOverlap="1">
              <wp:simplePos x="0" y="0"/>
              <wp:positionH relativeFrom="page">
                <wp:posOffset>162560</wp:posOffset>
              </wp:positionH>
              <wp:positionV relativeFrom="page">
                <wp:posOffset>392430</wp:posOffset>
              </wp:positionV>
              <wp:extent cx="765175" cy="82550"/>
              <wp:wrapNone/>
              <wp:docPr id="814" name="Shape 814"/>
              <a:graphic xmlns:a="http://schemas.openxmlformats.org/drawingml/2006/main">
                <a:graphicData uri="http://schemas.microsoft.com/office/word/2010/wordprocessingShape">
                  <wps:wsp>
                    <wps:cNvSpPr txBox="1"/>
                    <wps:spPr>
                      <a:xfrm>
                        <a:ext cx="76517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DUŠOBRIŽNIŠTVO</w:t>
                          </w:r>
                        </w:p>
                      </w:txbxContent>
                    </wps:txbx>
                    <wps:bodyPr wrap="none" lIns="0" tIns="0" rIns="0" bIns="0">
                      <a:spAutoFit/>
                    </wps:bodyPr>
                  </wps:wsp>
                </a:graphicData>
              </a:graphic>
            </wp:anchor>
          </w:drawing>
        </mc:Choice>
        <mc:Fallback>
          <w:pict>
            <v:shape id="_x0000_s1840" type="#_x0000_t202" style="position:absolute;margin-left:12.800000000000001pt;margin-top:30.899999999999999pt;width:60.25pt;height:6.5pt;z-index:-188743430;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DUŠOBRIŽNIŠTVO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506730</wp:posOffset>
              </wp:positionV>
              <wp:extent cx="4020185" cy="0"/>
              <wp:wrapNone/>
              <wp:docPr id="816" name="Shape 81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5pt;margin-top:39.899999999999999pt;width:316.55000000000001pt;height:0;z-index:-251658240;mso-position-horizontal-relative:page;mso-position-vertical-relative:page">
              <v:stroke weight="1.pt"/>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6" behindDoc="1" locked="0" layoutInCell="1" allowOverlap="1">
              <wp:simplePos x="0" y="0"/>
              <wp:positionH relativeFrom="page">
                <wp:posOffset>3696335</wp:posOffset>
              </wp:positionH>
              <wp:positionV relativeFrom="page">
                <wp:posOffset>436245</wp:posOffset>
              </wp:positionV>
              <wp:extent cx="472440" cy="64135"/>
              <wp:wrapNone/>
              <wp:docPr id="829" name="Shape 829"/>
              <a:graphic xmlns:a="http://schemas.openxmlformats.org/drawingml/2006/main">
                <a:graphicData uri="http://schemas.microsoft.com/office/word/2010/wordprocessingShape">
                  <wps:wsp>
                    <wps:cNvSpPr txBox="1"/>
                    <wps:spPr>
                      <a:xfrm>
                        <a:ext cx="4724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tGZtGEZA</w:t>
                          </w:r>
                        </w:p>
                      </w:txbxContent>
                    </wps:txbx>
                    <wps:bodyPr wrap="none" lIns="0" tIns="0" rIns="0" bIns="0">
                      <a:spAutoFit/>
                    </wps:bodyPr>
                  </wps:wsp>
                </a:graphicData>
              </a:graphic>
            </wp:anchor>
          </w:drawing>
        </mc:Choice>
        <mc:Fallback>
          <w:pict>
            <v:shape id="_x0000_s1855" type="#_x0000_t202" style="position:absolute;margin-left:291.05000000000001pt;margin-top:34.350000000000001pt;width:37.200000000000003pt;height:5.0499999999999998pt;z-index:-1887434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tGZtGEZA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539750</wp:posOffset>
              </wp:positionV>
              <wp:extent cx="4020185" cy="0"/>
              <wp:wrapNone/>
              <wp:docPr id="831" name="Shape 83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2.5pt;width:316.55000000000001pt;height:0;z-index:-251658240;mso-position-horizontal-relative:page;mso-position-vertical-relative:page">
              <v:stroke weight="1.pt"/>
            </v:shape>
          </w:pict>
        </mc:Fallback>
      </mc:AlternateContent>
    </w: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0" behindDoc="1" locked="0" layoutInCell="1" allowOverlap="1">
              <wp:simplePos x="0" y="0"/>
              <wp:positionH relativeFrom="page">
                <wp:posOffset>149860</wp:posOffset>
              </wp:positionH>
              <wp:positionV relativeFrom="page">
                <wp:posOffset>433070</wp:posOffset>
              </wp:positionV>
              <wp:extent cx="472440" cy="57785"/>
              <wp:wrapNone/>
              <wp:docPr id="834" name="Shape 834"/>
              <a:graphic xmlns:a="http://schemas.openxmlformats.org/drawingml/2006/main">
                <a:graphicData uri="http://schemas.microsoft.com/office/word/2010/wordprocessingShape">
                  <wps:wsp>
                    <wps:cNvSpPr txBox="1"/>
                    <wps:spPr>
                      <a:xfrm>
                        <a:ext cx="472440"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wps:txbx>
                    <wps:bodyPr wrap="none" lIns="0" tIns="0" rIns="0" bIns="0">
                      <a:spAutoFit/>
                    </wps:bodyPr>
                  </wps:wsp>
                </a:graphicData>
              </a:graphic>
            </wp:anchor>
          </w:drawing>
        </mc:Choice>
        <mc:Fallback>
          <w:pict>
            <v:shape id="_x0000_s1860" type="#_x0000_t202" style="position:absolute;margin-left:11.800000000000001pt;margin-top:34.100000000000001pt;width:37.200000000000003pt;height:4.5499999999999998pt;z-index:-1887434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533400</wp:posOffset>
              </wp:positionV>
              <wp:extent cx="4020185" cy="0"/>
              <wp:wrapNone/>
              <wp:docPr id="836" name="Shape 83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50000000000001pt;margin-top:42.pt;width:316.55000000000001pt;height:0;z-index:-251658240;mso-position-horizontal-relative:page;mso-position-vertical-relative:page">
              <v:stroke weight="1.pt"/>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4" behindDoc="1" locked="0" layoutInCell="1" allowOverlap="1">
              <wp:simplePos x="0" y="0"/>
              <wp:positionH relativeFrom="page">
                <wp:posOffset>154305</wp:posOffset>
              </wp:positionH>
              <wp:positionV relativeFrom="page">
                <wp:posOffset>436245</wp:posOffset>
              </wp:positionV>
              <wp:extent cx="475615" cy="64135"/>
              <wp:wrapNone/>
              <wp:docPr id="839" name="Shape 839"/>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wps:txbx>
                    <wps:bodyPr wrap="none" lIns="0" tIns="0" rIns="0" bIns="0">
                      <a:spAutoFit/>
                    </wps:bodyPr>
                  </wps:wsp>
                </a:graphicData>
              </a:graphic>
            </wp:anchor>
          </w:drawing>
        </mc:Choice>
        <mc:Fallback>
          <w:pict>
            <v:shape id="_x0000_s1865" type="#_x0000_t202" style="position:absolute;margin-left:12.15pt;margin-top:34.350000000000001pt;width:37.450000000000003pt;height:5.0499999999999998pt;z-index:-1887434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535305</wp:posOffset>
              </wp:positionV>
              <wp:extent cx="4020185" cy="0"/>
              <wp:wrapNone/>
              <wp:docPr id="841" name="Shape 84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2.149999999999999pt;width:316.55000000000001pt;height:0;z-index:-251658240;mso-position-horizontal-relative:page;mso-position-vertical-relative:page">
              <v:stroke weight="1.pt"/>
            </v:shape>
          </w:pict>
        </mc:Fallback>
      </mc:AlternateContent>
    </w: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6" behindDoc="1" locked="0" layoutInCell="1" allowOverlap="1">
              <wp:simplePos x="0" y="0"/>
              <wp:positionH relativeFrom="page">
                <wp:posOffset>154305</wp:posOffset>
              </wp:positionH>
              <wp:positionV relativeFrom="page">
                <wp:posOffset>436245</wp:posOffset>
              </wp:positionV>
              <wp:extent cx="475615" cy="64135"/>
              <wp:wrapNone/>
              <wp:docPr id="842" name="Shape 842"/>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wps:txbx>
                    <wps:bodyPr wrap="none" lIns="0" tIns="0" rIns="0" bIns="0">
                      <a:spAutoFit/>
                    </wps:bodyPr>
                  </wps:wsp>
                </a:graphicData>
              </a:graphic>
            </wp:anchor>
          </w:drawing>
        </mc:Choice>
        <mc:Fallback>
          <w:pict>
            <v:shape id="_x0000_s1868" type="#_x0000_t202" style="position:absolute;margin-left:12.15pt;margin-top:34.350000000000001pt;width:37.450000000000003pt;height:5.0499999999999998pt;z-index:-1887434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535305</wp:posOffset>
              </wp:positionV>
              <wp:extent cx="4020185" cy="0"/>
              <wp:wrapNone/>
              <wp:docPr id="844" name="Shape 84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2.149999999999999pt;width:316.55000000000001pt;height:0;z-index:-251658240;mso-position-horizontal-relative:page;mso-position-vertical-relative:page">
              <v:stroke weight="1.pt"/>
            </v:shape>
          </w:pict>
        </mc:Fallback>
      </mc:AlternateContent>
    </w: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8" behindDoc="1" locked="0" layoutInCell="1" allowOverlap="1">
              <wp:simplePos x="0" y="0"/>
              <wp:positionH relativeFrom="page">
                <wp:posOffset>3696335</wp:posOffset>
              </wp:positionH>
              <wp:positionV relativeFrom="page">
                <wp:posOffset>436245</wp:posOffset>
              </wp:positionV>
              <wp:extent cx="472440" cy="64135"/>
              <wp:wrapNone/>
              <wp:docPr id="845" name="Shape 845"/>
              <a:graphic xmlns:a="http://schemas.openxmlformats.org/drawingml/2006/main">
                <a:graphicData uri="http://schemas.microsoft.com/office/word/2010/wordprocessingShape">
                  <wps:wsp>
                    <wps:cNvSpPr txBox="1"/>
                    <wps:spPr>
                      <a:xfrm>
                        <a:ext cx="4724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wps:txbx>
                    <wps:bodyPr wrap="none" lIns="0" tIns="0" rIns="0" bIns="0">
                      <a:spAutoFit/>
                    </wps:bodyPr>
                  </wps:wsp>
                </a:graphicData>
              </a:graphic>
            </wp:anchor>
          </w:drawing>
        </mc:Choice>
        <mc:Fallback>
          <w:pict>
            <v:shape id="_x0000_s1871" type="#_x0000_t202" style="position:absolute;margin-left:291.05000000000001pt;margin-top:34.350000000000001pt;width:37.200000000000003pt;height:5.0499999999999998pt;z-index:-1887434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536575</wp:posOffset>
              </wp:positionV>
              <wp:extent cx="4023360" cy="0"/>
              <wp:wrapNone/>
              <wp:docPr id="847" name="Shape 84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2.25pt;width:316.80000000000001pt;height:0;z-index:-251658240;mso-position-horizontal-relative:page;mso-position-vertical-relative:page">
              <v:stroke weight="1.pt"/>
            </v:shape>
          </w:pict>
        </mc:Fallback>
      </mc:AlternateContent>
    </w: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2" behindDoc="1" locked="0" layoutInCell="1" allowOverlap="1">
              <wp:simplePos x="0" y="0"/>
              <wp:positionH relativeFrom="page">
                <wp:posOffset>3686810</wp:posOffset>
              </wp:positionH>
              <wp:positionV relativeFrom="page">
                <wp:posOffset>436245</wp:posOffset>
              </wp:positionV>
              <wp:extent cx="475615" cy="64135"/>
              <wp:wrapNone/>
              <wp:docPr id="850" name="Shape 850"/>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wps:txbx>
                    <wps:bodyPr wrap="none" lIns="0" tIns="0" rIns="0" bIns="0">
                      <a:spAutoFit/>
                    </wps:bodyPr>
                  </wps:wsp>
                </a:graphicData>
              </a:graphic>
            </wp:anchor>
          </w:drawing>
        </mc:Choice>
        <mc:Fallback>
          <w:pict>
            <v:shape id="_x0000_s1876" type="#_x0000_t202" style="position:absolute;margin-left:290.30000000000001pt;margin-top:34.350000000000001pt;width:37.450000000000003pt;height:5.0499999999999998pt;z-index:-1887434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538480</wp:posOffset>
              </wp:positionV>
              <wp:extent cx="4017010" cy="0"/>
              <wp:wrapNone/>
              <wp:docPr id="852" name="Shape 85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99999999999999pt;margin-top:42.399999999999999pt;width:316.30000000000001pt;height:0;z-index:-251658240;mso-position-horizontal-relative:page;mso-position-vertical-relative:page">
              <v:stroke weight="1.pt"/>
            </v:shape>
          </w:pict>
        </mc:Fallback>
      </mc:AlternateContent>
    </w: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6" behindDoc="1" locked="0" layoutInCell="1" allowOverlap="1">
              <wp:simplePos x="0" y="0"/>
              <wp:positionH relativeFrom="page">
                <wp:posOffset>3686810</wp:posOffset>
              </wp:positionH>
              <wp:positionV relativeFrom="page">
                <wp:posOffset>436245</wp:posOffset>
              </wp:positionV>
              <wp:extent cx="475615" cy="64135"/>
              <wp:wrapNone/>
              <wp:docPr id="855" name="Shape 855"/>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wps:txbx>
                    <wps:bodyPr wrap="none" lIns="0" tIns="0" rIns="0" bIns="0">
                      <a:spAutoFit/>
                    </wps:bodyPr>
                  </wps:wsp>
                </a:graphicData>
              </a:graphic>
            </wp:anchor>
          </w:drawing>
        </mc:Choice>
        <mc:Fallback>
          <w:pict>
            <v:shape id="_x0000_s1881" type="#_x0000_t202" style="position:absolute;margin-left:290.30000000000001pt;margin-top:34.350000000000001pt;width:37.450000000000003pt;height:5.0499999999999998pt;z-index:-1887433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EGZEGEZA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538480</wp:posOffset>
              </wp:positionV>
              <wp:extent cx="4017010" cy="0"/>
              <wp:wrapNone/>
              <wp:docPr id="857" name="Shape 85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99999999999999pt;margin-top:42.399999999999999pt;width:316.30000000000001pt;height:0;z-index:-251658240;mso-position-horizontal-relative:page;mso-position-vertical-relative:page">
              <v:stroke weight="1.pt"/>
            </v:shape>
          </w:pict>
        </mc:Fallback>
      </mc:AlternateContent>
    </w: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0" behindDoc="1" locked="0" layoutInCell="1" allowOverlap="1">
              <wp:simplePos x="0" y="0"/>
              <wp:positionH relativeFrom="page">
                <wp:posOffset>3731895</wp:posOffset>
              </wp:positionH>
              <wp:positionV relativeFrom="page">
                <wp:posOffset>400685</wp:posOffset>
              </wp:positionV>
              <wp:extent cx="435610" cy="64135"/>
              <wp:wrapNone/>
              <wp:docPr id="860" name="Shape 860"/>
              <a:graphic xmlns:a="http://schemas.openxmlformats.org/drawingml/2006/main">
                <a:graphicData uri="http://schemas.microsoft.com/office/word/2010/wordprocessingShape">
                  <wps:wsp>
                    <wps:cNvSpPr txBox="1"/>
                    <wps:spPr>
                      <a:xfrm>
                        <a:ext cx="4356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886" type="#_x0000_t202" style="position:absolute;margin-left:293.85000000000002pt;margin-top:31.550000000000001pt;width:34.299999999999997pt;height:5.0499999999999998pt;z-index:-1887433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502920</wp:posOffset>
              </wp:positionV>
              <wp:extent cx="4020185" cy="0"/>
              <wp:wrapNone/>
              <wp:docPr id="862" name="Shape 86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pt;margin-top:39.600000000000001pt;width:316.55000000000001pt;height:0;z-index:-251658240;mso-position-horizontal-relative:page;mso-position-vertical-relative:page">
              <v:stroke weight="1.pt"/>
            </v:shape>
          </w:pict>
        </mc:Fallback>
      </mc:AlternateContent>
    </w: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4" behindDoc="1" locked="0" layoutInCell="1" allowOverlap="1">
              <wp:simplePos x="0" y="0"/>
              <wp:positionH relativeFrom="page">
                <wp:posOffset>3731895</wp:posOffset>
              </wp:positionH>
              <wp:positionV relativeFrom="page">
                <wp:posOffset>400685</wp:posOffset>
              </wp:positionV>
              <wp:extent cx="435610" cy="64135"/>
              <wp:wrapNone/>
              <wp:docPr id="865" name="Shape 865"/>
              <a:graphic xmlns:a="http://schemas.openxmlformats.org/drawingml/2006/main">
                <a:graphicData uri="http://schemas.microsoft.com/office/word/2010/wordprocessingShape">
                  <wps:wsp>
                    <wps:cNvSpPr txBox="1"/>
                    <wps:spPr>
                      <a:xfrm>
                        <a:ext cx="4356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891" type="#_x0000_t202" style="position:absolute;margin-left:293.85000000000002pt;margin-top:31.550000000000001pt;width:34.299999999999997pt;height:5.0499999999999998pt;z-index:-1887433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502920</wp:posOffset>
              </wp:positionV>
              <wp:extent cx="4020185" cy="0"/>
              <wp:wrapNone/>
              <wp:docPr id="867" name="Shape 86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pt;margin-top:39.600000000000001pt;width:316.55000000000001pt;height:0;z-index:-251658240;mso-position-horizontal-relative:page;mso-position-vertical-relative:page">
              <v:stroke weight="1.pt"/>
            </v:shape>
          </w:pict>
        </mc:Fallback>
      </mc:AlternateContent>
    </w: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0" behindDoc="1" locked="0" layoutInCell="1" allowOverlap="1">
              <wp:simplePos x="0" y="0"/>
              <wp:positionH relativeFrom="page">
                <wp:posOffset>158115</wp:posOffset>
              </wp:positionH>
              <wp:positionV relativeFrom="page">
                <wp:posOffset>400685</wp:posOffset>
              </wp:positionV>
              <wp:extent cx="433070" cy="64135"/>
              <wp:wrapNone/>
              <wp:docPr id="872" name="Shape 872"/>
              <a:graphic xmlns:a="http://schemas.openxmlformats.org/drawingml/2006/main">
                <a:graphicData uri="http://schemas.microsoft.com/office/word/2010/wordprocessingShape">
                  <wps:wsp>
                    <wps:cNvSpPr txBox="1"/>
                    <wps:spPr>
                      <a:xfrm>
                        <a:ext cx="4330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898" type="#_x0000_t202" style="position:absolute;margin-left:12.449999999999999pt;margin-top:31.550000000000001pt;width:34.100000000000001pt;height:5.0499999999999998pt;z-index:-1887433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497840</wp:posOffset>
              </wp:positionV>
              <wp:extent cx="4023360" cy="0"/>
              <wp:wrapNone/>
              <wp:docPr id="874" name="Shape 87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39.200000000000003pt;width:316.80000000000001pt;height:0;z-index:-251658240;mso-position-horizontal-relative:page;mso-position-vertical-relative:page">
              <v:stroke weight="1.pt"/>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4" behindDoc="1" locked="0" layoutInCell="1" allowOverlap="1">
              <wp:simplePos x="0" y="0"/>
              <wp:positionH relativeFrom="page">
                <wp:posOffset>158115</wp:posOffset>
              </wp:positionH>
              <wp:positionV relativeFrom="page">
                <wp:posOffset>400685</wp:posOffset>
              </wp:positionV>
              <wp:extent cx="433070" cy="64135"/>
              <wp:wrapNone/>
              <wp:docPr id="877" name="Shape 877"/>
              <a:graphic xmlns:a="http://schemas.openxmlformats.org/drawingml/2006/main">
                <a:graphicData uri="http://schemas.microsoft.com/office/word/2010/wordprocessingShape">
                  <wps:wsp>
                    <wps:cNvSpPr txBox="1"/>
                    <wps:spPr>
                      <a:xfrm>
                        <a:ext cx="4330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903" type="#_x0000_t202" style="position:absolute;margin-left:12.449999999999999pt;margin-top:31.550000000000001pt;width:34.100000000000001pt;height:5.0499999999999998pt;z-index:-1887433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497840</wp:posOffset>
              </wp:positionV>
              <wp:extent cx="4023360" cy="0"/>
              <wp:wrapNone/>
              <wp:docPr id="879" name="Shape 87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39.200000000000003pt;width:316.80000000000001pt;height:0;z-index:-251658240;mso-position-horizontal-relative:page;mso-position-vertical-relative:page">
              <v:stroke weight="1.pt"/>
            </v:shape>
          </w:pict>
        </mc:Fallback>
      </mc:AlternateContent>
    </w: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8" behindDoc="1" locked="0" layoutInCell="1" allowOverlap="1">
              <wp:simplePos x="0" y="0"/>
              <wp:positionH relativeFrom="page">
                <wp:posOffset>3731895</wp:posOffset>
              </wp:positionH>
              <wp:positionV relativeFrom="page">
                <wp:posOffset>397510</wp:posOffset>
              </wp:positionV>
              <wp:extent cx="435610" cy="60960"/>
              <wp:wrapNone/>
              <wp:docPr id="882" name="Shape 882"/>
              <a:graphic xmlns:a="http://schemas.openxmlformats.org/drawingml/2006/main">
                <a:graphicData uri="http://schemas.microsoft.com/office/word/2010/wordprocessingShape">
                  <wps:wsp>
                    <wps:cNvSpPr txBox="1"/>
                    <wps:spPr>
                      <a:xfrm>
                        <a:ext cx="4356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908" type="#_x0000_t202" style="position:absolute;margin-left:293.85000000000002pt;margin-top:31.300000000000001pt;width:34.299999999999997pt;height:4.7999999999999998pt;z-index:-1887433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497840</wp:posOffset>
              </wp:positionV>
              <wp:extent cx="4017010" cy="0"/>
              <wp:wrapNone/>
              <wp:docPr id="884" name="Shape 88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39.200000000000003pt;width:316.30000000000001pt;height:0;z-index:-251658240;mso-position-horizontal-relative:page;mso-position-vertical-relative:page">
              <v:stroke weight="1.pt"/>
            </v:shape>
          </w:pict>
        </mc:Fallback>
      </mc:AlternateContent>
    </w: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2" behindDoc="1" locked="0" layoutInCell="1" allowOverlap="1">
              <wp:simplePos x="0" y="0"/>
              <wp:positionH relativeFrom="page">
                <wp:posOffset>3731895</wp:posOffset>
              </wp:positionH>
              <wp:positionV relativeFrom="page">
                <wp:posOffset>397510</wp:posOffset>
              </wp:positionV>
              <wp:extent cx="435610" cy="60960"/>
              <wp:wrapNone/>
              <wp:docPr id="887" name="Shape 887"/>
              <a:graphic xmlns:a="http://schemas.openxmlformats.org/drawingml/2006/main">
                <a:graphicData uri="http://schemas.microsoft.com/office/word/2010/wordprocessingShape">
                  <wps:wsp>
                    <wps:cNvSpPr txBox="1"/>
                    <wps:spPr>
                      <a:xfrm>
                        <a:ext cx="4356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913" type="#_x0000_t202" style="position:absolute;margin-left:293.85000000000002pt;margin-top:31.300000000000001pt;width:34.299999999999997pt;height:4.7999999999999998pt;z-index:-1887433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497840</wp:posOffset>
              </wp:positionV>
              <wp:extent cx="4017010" cy="0"/>
              <wp:wrapNone/>
              <wp:docPr id="889" name="Shape 88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39.200000000000003pt;width:316.30000000000001pt;height:0;z-index:-251658240;mso-position-horizontal-relative:page;mso-position-vertical-relative:page">
              <v:stroke weight="1.pt"/>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6" behindDoc="1" locked="0" layoutInCell="1" allowOverlap="1">
              <wp:simplePos x="0" y="0"/>
              <wp:positionH relativeFrom="page">
                <wp:posOffset>158115</wp:posOffset>
              </wp:positionH>
              <wp:positionV relativeFrom="page">
                <wp:posOffset>400685</wp:posOffset>
              </wp:positionV>
              <wp:extent cx="433070" cy="64135"/>
              <wp:wrapNone/>
              <wp:docPr id="892" name="Shape 892"/>
              <a:graphic xmlns:a="http://schemas.openxmlformats.org/drawingml/2006/main">
                <a:graphicData uri="http://schemas.microsoft.com/office/word/2010/wordprocessingShape">
                  <wps:wsp>
                    <wps:cNvSpPr txBox="1"/>
                    <wps:spPr>
                      <a:xfrm>
                        <a:ext cx="4330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918" type="#_x0000_t202" style="position:absolute;margin-left:12.449999999999999pt;margin-top:31.550000000000001pt;width:34.100000000000001pt;height:5.0499999999999998pt;z-index:-1887433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497840</wp:posOffset>
              </wp:positionV>
              <wp:extent cx="4023360" cy="0"/>
              <wp:wrapNone/>
              <wp:docPr id="894" name="Shape 89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39.200000000000003pt;width:316.80000000000001pt;height:0;z-index:-251658240;mso-position-horizontal-relative:page;mso-position-vertical-relative:page">
              <v:stroke weight="1.pt"/>
            </v:shape>
          </w:pict>
        </mc:Fallback>
      </mc:AlternateContent>
    </w: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0" behindDoc="1" locked="0" layoutInCell="1" allowOverlap="1">
              <wp:simplePos x="0" y="0"/>
              <wp:positionH relativeFrom="page">
                <wp:posOffset>158115</wp:posOffset>
              </wp:positionH>
              <wp:positionV relativeFrom="page">
                <wp:posOffset>400685</wp:posOffset>
              </wp:positionV>
              <wp:extent cx="433070" cy="64135"/>
              <wp:wrapNone/>
              <wp:docPr id="897" name="Shape 897"/>
              <a:graphic xmlns:a="http://schemas.openxmlformats.org/drawingml/2006/main">
                <a:graphicData uri="http://schemas.microsoft.com/office/word/2010/wordprocessingShape">
                  <wps:wsp>
                    <wps:cNvSpPr txBox="1"/>
                    <wps:spPr>
                      <a:xfrm>
                        <a:ext cx="4330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wps:txbx>
                    <wps:bodyPr wrap="none" lIns="0" tIns="0" rIns="0" bIns="0">
                      <a:spAutoFit/>
                    </wps:bodyPr>
                  </wps:wsp>
                </a:graphicData>
              </a:graphic>
            </wp:anchor>
          </w:drawing>
        </mc:Choice>
        <mc:Fallback>
          <w:pict>
            <v:shape id="_x0000_s1923" type="#_x0000_t202" style="position:absolute;margin-left:12.449999999999999pt;margin-top:31.550000000000001pt;width:34.100000000000001pt;height:5.0499999999999998pt;z-index:-1887433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497840</wp:posOffset>
              </wp:positionV>
              <wp:extent cx="4023360" cy="0"/>
              <wp:wrapNone/>
              <wp:docPr id="899" name="Shape 89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39.200000000000003pt;width:316.80000000000001pt;height:0;z-index:-251658240;mso-position-horizontal-relative:page;mso-position-vertical-relative:page">
              <v:stroke weight="1.pt"/>
            </v:shape>
          </w:pict>
        </mc:Fallback>
      </mc:AlternateContent>
    </w: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4" behindDoc="1" locked="0" layoutInCell="1" allowOverlap="1">
              <wp:simplePos x="0" y="0"/>
              <wp:positionH relativeFrom="page">
                <wp:posOffset>3044190</wp:posOffset>
              </wp:positionH>
              <wp:positionV relativeFrom="page">
                <wp:posOffset>351155</wp:posOffset>
              </wp:positionV>
              <wp:extent cx="1127760" cy="67310"/>
              <wp:wrapNone/>
              <wp:docPr id="902" name="Shape 902"/>
              <a:graphic xmlns:a="http://schemas.openxmlformats.org/drawingml/2006/main">
                <a:graphicData uri="http://schemas.microsoft.com/office/word/2010/wordprocessingShape">
                  <wps:wsp>
                    <wps:cNvSpPr txBox="1"/>
                    <wps:spPr>
                      <a:xfrm>
                        <a:ext cx="11277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EKUMENA/ESHATOLOGIJA</w:t>
                          </w:r>
                        </w:p>
                      </w:txbxContent>
                    </wps:txbx>
                    <wps:bodyPr wrap="none" lIns="0" tIns="0" rIns="0" bIns="0">
                      <a:spAutoFit/>
                    </wps:bodyPr>
                  </wps:wsp>
                </a:graphicData>
              </a:graphic>
            </wp:anchor>
          </w:drawing>
        </mc:Choice>
        <mc:Fallback>
          <w:pict>
            <v:shape id="_x0000_s1928" type="#_x0000_t202" style="position:absolute;margin-left:239.69999999999999pt;margin-top:27.649999999999999pt;width:88.799999999999997pt;height:5.2999999999999998pt;z-index:-1887433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EKUMENA/ESHATOLOGIJA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453390</wp:posOffset>
              </wp:positionV>
              <wp:extent cx="4020185" cy="0"/>
              <wp:wrapNone/>
              <wp:docPr id="904" name="Shape 90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35.700000000000003pt;width:316.55000000000001pt;height:0;z-index:-251658240;mso-position-horizontal-relative:page;mso-position-vertical-relative:page">
              <v:stroke weight="1.pt"/>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6" behindDoc="1" locked="0" layoutInCell="1" allowOverlap="1">
              <wp:simplePos x="0" y="0"/>
              <wp:positionH relativeFrom="page">
                <wp:posOffset>3044190</wp:posOffset>
              </wp:positionH>
              <wp:positionV relativeFrom="page">
                <wp:posOffset>351155</wp:posOffset>
              </wp:positionV>
              <wp:extent cx="1127760" cy="67310"/>
              <wp:wrapNone/>
              <wp:docPr id="905" name="Shape 905"/>
              <a:graphic xmlns:a="http://schemas.openxmlformats.org/drawingml/2006/main">
                <a:graphicData uri="http://schemas.microsoft.com/office/word/2010/wordprocessingShape">
                  <wps:wsp>
                    <wps:cNvSpPr txBox="1"/>
                    <wps:spPr>
                      <a:xfrm>
                        <a:ext cx="11277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EKUMENA/ESHATOLOGIJA</w:t>
                          </w:r>
                        </w:p>
                      </w:txbxContent>
                    </wps:txbx>
                    <wps:bodyPr wrap="none" lIns="0" tIns="0" rIns="0" bIns="0">
                      <a:spAutoFit/>
                    </wps:bodyPr>
                  </wps:wsp>
                </a:graphicData>
              </a:graphic>
            </wp:anchor>
          </w:drawing>
        </mc:Choice>
        <mc:Fallback>
          <w:pict>
            <v:shape id="_x0000_s1931" type="#_x0000_t202" style="position:absolute;margin-left:239.69999999999999pt;margin-top:27.649999999999999pt;width:88.799999999999997pt;height:5.2999999999999998pt;z-index:-1887433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EKUMENA/ESHATOLOGIJA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453390</wp:posOffset>
              </wp:positionV>
              <wp:extent cx="4020185" cy="0"/>
              <wp:wrapNone/>
              <wp:docPr id="907" name="Shape 90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35.700000000000003pt;width:316.55000000000001pt;height:0;z-index:-251658240;mso-position-horizontal-relative:page;mso-position-vertical-relative:page">
              <v:stroke weight="1.pt"/>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8" behindDoc="1" locked="0" layoutInCell="1" allowOverlap="1">
              <wp:simplePos x="0" y="0"/>
              <wp:positionH relativeFrom="page">
                <wp:posOffset>3516630</wp:posOffset>
              </wp:positionH>
              <wp:positionV relativeFrom="page">
                <wp:posOffset>397510</wp:posOffset>
              </wp:positionV>
              <wp:extent cx="661670" cy="67310"/>
              <wp:wrapNone/>
              <wp:docPr id="910" name="Shape 910"/>
              <a:graphic xmlns:a="http://schemas.openxmlformats.org/drawingml/2006/main">
                <a:graphicData uri="http://schemas.microsoft.com/office/word/2010/wordprocessingShape">
                  <wps:wsp>
                    <wps:cNvSpPr txBox="1"/>
                    <wps:spPr>
                      <a:xfrm>
                        <a:ext cx="6616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ESHATOLOGUA</w:t>
                          </w:r>
                        </w:p>
                      </w:txbxContent>
                    </wps:txbx>
                    <wps:bodyPr wrap="none" lIns="0" tIns="0" rIns="0" bIns="0">
                      <a:spAutoFit/>
                    </wps:bodyPr>
                  </wps:wsp>
                </a:graphicData>
              </a:graphic>
            </wp:anchor>
          </w:drawing>
        </mc:Choice>
        <mc:Fallback>
          <w:pict>
            <v:shape id="_x0000_s1936" type="#_x0000_t202" style="position:absolute;margin-left:276.89999999999998pt;margin-top:31.300000000000001pt;width:52.100000000000001pt;height:5.2999999999999998pt;z-index:-1887433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ESHATOLOGUA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499745</wp:posOffset>
              </wp:positionV>
              <wp:extent cx="4023360" cy="0"/>
              <wp:wrapNone/>
              <wp:docPr id="912" name="Shape 91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39.350000000000001pt;width:316.80000000000001pt;height:0;z-index:-251658240;mso-position-horizontal-relative:page;mso-position-vertical-relative:page">
              <v:stroke weight="1.pt"/>
            </v:shape>
          </w:pict>
        </mc:Fallback>
      </mc:AlternateContent>
    </w: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2" behindDoc="1" locked="0" layoutInCell="1" allowOverlap="1">
              <wp:simplePos x="0" y="0"/>
              <wp:positionH relativeFrom="page">
                <wp:posOffset>3516630</wp:posOffset>
              </wp:positionH>
              <wp:positionV relativeFrom="page">
                <wp:posOffset>397510</wp:posOffset>
              </wp:positionV>
              <wp:extent cx="661670" cy="67310"/>
              <wp:wrapNone/>
              <wp:docPr id="915" name="Shape 915"/>
              <a:graphic xmlns:a="http://schemas.openxmlformats.org/drawingml/2006/main">
                <a:graphicData uri="http://schemas.microsoft.com/office/word/2010/wordprocessingShape">
                  <wps:wsp>
                    <wps:cNvSpPr txBox="1"/>
                    <wps:spPr>
                      <a:xfrm>
                        <a:ext cx="6616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ESHATOLOGUA</w:t>
                          </w:r>
                        </w:p>
                      </w:txbxContent>
                    </wps:txbx>
                    <wps:bodyPr wrap="none" lIns="0" tIns="0" rIns="0" bIns="0">
                      <a:spAutoFit/>
                    </wps:bodyPr>
                  </wps:wsp>
                </a:graphicData>
              </a:graphic>
            </wp:anchor>
          </w:drawing>
        </mc:Choice>
        <mc:Fallback>
          <w:pict>
            <v:shape id="_x0000_s1941" type="#_x0000_t202" style="position:absolute;margin-left:276.89999999999998pt;margin-top:31.300000000000001pt;width:52.100000000000001pt;height:5.2999999999999998pt;z-index:-1887433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ESHATOLOGUA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499745</wp:posOffset>
              </wp:positionV>
              <wp:extent cx="4023360" cy="0"/>
              <wp:wrapNone/>
              <wp:docPr id="917" name="Shape 91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39.350000000000001pt;width:316.80000000000001pt;height:0;z-index:-251658240;mso-position-horizontal-relative:page;mso-position-vertical-relative:page">
              <v:stroke weight="1.pt"/>
            </v:shape>
          </w:pict>
        </mc:Fallback>
      </mc:AlternateContent>
    </w: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6" behindDoc="1" locked="0" layoutInCell="1" allowOverlap="1">
              <wp:simplePos x="0" y="0"/>
              <wp:positionH relativeFrom="page">
                <wp:posOffset>154940</wp:posOffset>
              </wp:positionH>
              <wp:positionV relativeFrom="page">
                <wp:posOffset>397510</wp:posOffset>
              </wp:positionV>
              <wp:extent cx="658495" cy="67310"/>
              <wp:wrapNone/>
              <wp:docPr id="920" name="Shape 920"/>
              <a:graphic xmlns:a="http://schemas.openxmlformats.org/drawingml/2006/main">
                <a:graphicData uri="http://schemas.microsoft.com/office/word/2010/wordprocessingShape">
                  <wps:wsp>
                    <wps:cNvSpPr txBox="1"/>
                    <wps:spPr>
                      <a:xfrm>
                        <a:ext cx="65849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ESHATOLOGIJA</w:t>
                          </w:r>
                        </w:p>
                      </w:txbxContent>
                    </wps:txbx>
                    <wps:bodyPr wrap="none" lIns="0" tIns="0" rIns="0" bIns="0">
                      <a:spAutoFit/>
                    </wps:bodyPr>
                  </wps:wsp>
                </a:graphicData>
              </a:graphic>
            </wp:anchor>
          </w:drawing>
        </mc:Choice>
        <mc:Fallback>
          <w:pict>
            <v:shape id="_x0000_s1946" type="#_x0000_t202" style="position:absolute;margin-left:12.199999999999999pt;margin-top:31.300000000000001pt;width:51.850000000000001pt;height:5.2999999999999998pt;z-index:-1887433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ESHATOLOGIJA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499745</wp:posOffset>
              </wp:positionV>
              <wp:extent cx="4020185" cy="0"/>
              <wp:wrapNone/>
              <wp:docPr id="922" name="Shape 92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39.350000000000001pt;width:316.55000000000001pt;height:0;z-index:-251658240;mso-position-horizontal-relative:page;mso-position-vertical-relative:page">
              <v:stroke weight="1.pt"/>
            </v:shape>
          </w:pict>
        </mc:Fallback>
      </mc:AlternateContent>
    </w: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4" behindDoc="1" locked="0" layoutInCell="1" allowOverlap="1">
              <wp:simplePos x="0" y="0"/>
              <wp:positionH relativeFrom="page">
                <wp:posOffset>147320</wp:posOffset>
              </wp:positionH>
              <wp:positionV relativeFrom="page">
                <wp:posOffset>403860</wp:posOffset>
              </wp:positionV>
              <wp:extent cx="2091055" cy="67310"/>
              <wp:wrapNone/>
              <wp:docPr id="929" name="Shape 929"/>
              <a:graphic xmlns:a="http://schemas.openxmlformats.org/drawingml/2006/main">
                <a:graphicData uri="http://schemas.microsoft.com/office/word/2010/wordprocessingShape">
                  <wps:wsp>
                    <wps:cNvSpPr txBox="1"/>
                    <wps:spPr>
                      <a:xfrm>
                        <a:ext cx="20910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ESHATOLOGIJA'ETIKA/EUHARISTIJA/EVANĐEUE</w:t>
                          </w:r>
                        </w:p>
                      </w:txbxContent>
                    </wps:txbx>
                    <wps:bodyPr wrap="none" lIns="0" tIns="0" rIns="0" bIns="0">
                      <a:spAutoFit/>
                    </wps:bodyPr>
                  </wps:wsp>
                </a:graphicData>
              </a:graphic>
            </wp:anchor>
          </w:drawing>
        </mc:Choice>
        <mc:Fallback>
          <w:pict>
            <v:shape id="_x0000_s1955" type="#_x0000_t202" style="position:absolute;margin-left:11.6pt;margin-top:31.800000000000001pt;width:164.65000000000001pt;height:5.2999999999999998pt;z-index:-1887433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ESHATOLOGIJA'ETIKA/EUHARISTIJA/EVANĐEUE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497840</wp:posOffset>
              </wp:positionV>
              <wp:extent cx="4026535" cy="0"/>
              <wp:wrapNone/>
              <wp:docPr id="931" name="Shape 93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pt;margin-top:39.200000000000003pt;width:317.05000000000001pt;height:0;z-index:-251658240;mso-position-horizontal-relative:page;mso-position-vertical-relative:page">
              <v:stroke weight="1.pt"/>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8" behindDoc="1" locked="0" layoutInCell="1" allowOverlap="1">
              <wp:simplePos x="0" y="0"/>
              <wp:positionH relativeFrom="page">
                <wp:posOffset>150495</wp:posOffset>
              </wp:positionH>
              <wp:positionV relativeFrom="page">
                <wp:posOffset>397510</wp:posOffset>
              </wp:positionV>
              <wp:extent cx="494030" cy="64135"/>
              <wp:wrapNone/>
              <wp:docPr id="934" name="Shape 934"/>
              <a:graphic xmlns:a="http://schemas.openxmlformats.org/drawingml/2006/main">
                <a:graphicData uri="http://schemas.microsoft.com/office/word/2010/wordprocessingShape">
                  <wps:wsp>
                    <wps:cNvSpPr txBox="1"/>
                    <wps:spPr>
                      <a:xfrm>
                        <a:ext cx="4940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60" type="#_x0000_t202" style="position:absolute;margin-left:11.85pt;margin-top:31.300000000000001pt;width:38.899999999999999pt;height:5.0499999999999998pt;z-index:-1887433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495300</wp:posOffset>
              </wp:positionV>
              <wp:extent cx="4023360" cy="0"/>
              <wp:wrapNone/>
              <wp:docPr id="936" name="Shape 93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39.pt;width:316.80000000000001pt;height:0;z-index:-251658240;mso-position-horizontal-relative:page;mso-position-vertical-relative:page">
              <v:stroke weight="1.pt"/>
            </v:shape>
          </w:pict>
        </mc:Fallback>
      </mc:AlternateContent>
    </w: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2" behindDoc="1" locked="0" layoutInCell="1" allowOverlap="1">
              <wp:simplePos x="0" y="0"/>
              <wp:positionH relativeFrom="page">
                <wp:posOffset>150495</wp:posOffset>
              </wp:positionH>
              <wp:positionV relativeFrom="page">
                <wp:posOffset>397510</wp:posOffset>
              </wp:positionV>
              <wp:extent cx="494030" cy="64135"/>
              <wp:wrapNone/>
              <wp:docPr id="939" name="Shape 939"/>
              <a:graphic xmlns:a="http://schemas.openxmlformats.org/drawingml/2006/main">
                <a:graphicData uri="http://schemas.microsoft.com/office/word/2010/wordprocessingShape">
                  <wps:wsp>
                    <wps:cNvSpPr txBox="1"/>
                    <wps:spPr>
                      <a:xfrm>
                        <a:ext cx="4940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65" type="#_x0000_t202" style="position:absolute;margin-left:11.85pt;margin-top:31.300000000000001pt;width:38.899999999999999pt;height:5.0499999999999998pt;z-index:-1887433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495300</wp:posOffset>
              </wp:positionV>
              <wp:extent cx="4023360" cy="0"/>
              <wp:wrapNone/>
              <wp:docPr id="941" name="Shape 94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39.pt;width:316.80000000000001pt;height:0;z-index:-251658240;mso-position-horizontal-relative:page;mso-position-vertical-relative:page">
              <v:stroke weight="1.pt"/>
            </v:shape>
          </w:pict>
        </mc:Fallback>
      </mc:AlternateContent>
    </w: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6" behindDoc="1" locked="0" layoutInCell="1" allowOverlap="1">
              <wp:simplePos x="0" y="0"/>
              <wp:positionH relativeFrom="page">
                <wp:posOffset>3679825</wp:posOffset>
              </wp:positionH>
              <wp:positionV relativeFrom="page">
                <wp:posOffset>396240</wp:posOffset>
              </wp:positionV>
              <wp:extent cx="494030" cy="64135"/>
              <wp:wrapNone/>
              <wp:docPr id="944" name="Shape 944"/>
              <a:graphic xmlns:a="http://schemas.openxmlformats.org/drawingml/2006/main">
                <a:graphicData uri="http://schemas.microsoft.com/office/word/2010/wordprocessingShape">
                  <wps:wsp>
                    <wps:cNvSpPr txBox="1"/>
                    <wps:spPr>
                      <a:xfrm>
                        <a:ext cx="4940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70" type="#_x0000_t202" style="position:absolute;margin-left:289.75pt;margin-top:31.199999999999999pt;width:38.899999999999999pt;height:5.0499999999999998pt;z-index:-1887433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495300</wp:posOffset>
              </wp:positionV>
              <wp:extent cx="4023360" cy="0"/>
              <wp:wrapNone/>
              <wp:docPr id="946" name="Shape 94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39.pt;width:316.80000000000001pt;height:0;z-index:-251658240;mso-position-horizontal-relative:page;mso-position-vertical-relative:page">
              <v:stroke weight="1.pt"/>
            </v:shape>
          </w:pict>
        </mc:Fallback>
      </mc:AlternateContent>
    </w: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0" behindDoc="1" locked="0" layoutInCell="1" allowOverlap="1">
              <wp:simplePos x="0" y="0"/>
              <wp:positionH relativeFrom="page">
                <wp:posOffset>3679825</wp:posOffset>
              </wp:positionH>
              <wp:positionV relativeFrom="page">
                <wp:posOffset>396240</wp:posOffset>
              </wp:positionV>
              <wp:extent cx="494030" cy="64135"/>
              <wp:wrapNone/>
              <wp:docPr id="949" name="Shape 949"/>
              <a:graphic xmlns:a="http://schemas.openxmlformats.org/drawingml/2006/main">
                <a:graphicData uri="http://schemas.microsoft.com/office/word/2010/wordprocessingShape">
                  <wps:wsp>
                    <wps:cNvSpPr txBox="1"/>
                    <wps:spPr>
                      <a:xfrm>
                        <a:ext cx="4940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75" type="#_x0000_t202" style="position:absolute;margin-left:289.75pt;margin-top:31.199999999999999pt;width:38.899999999999999pt;height:5.0499999999999998pt;z-index:-1887433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495300</wp:posOffset>
              </wp:positionV>
              <wp:extent cx="4023360" cy="0"/>
              <wp:wrapNone/>
              <wp:docPr id="951" name="Shape 95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39.pt;width:316.80000000000001pt;height:0;z-index:-251658240;mso-position-horizontal-relative:page;mso-position-vertical-relative:page">
              <v:stroke weight="1.pt"/>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4" behindDoc="1" locked="0" layoutInCell="1" allowOverlap="1">
              <wp:simplePos x="0" y="0"/>
              <wp:positionH relativeFrom="page">
                <wp:posOffset>150495</wp:posOffset>
              </wp:positionH>
              <wp:positionV relativeFrom="page">
                <wp:posOffset>397510</wp:posOffset>
              </wp:positionV>
              <wp:extent cx="494030" cy="64135"/>
              <wp:wrapNone/>
              <wp:docPr id="954" name="Shape 954"/>
              <a:graphic xmlns:a="http://schemas.openxmlformats.org/drawingml/2006/main">
                <a:graphicData uri="http://schemas.microsoft.com/office/word/2010/wordprocessingShape">
                  <wps:wsp>
                    <wps:cNvSpPr txBox="1"/>
                    <wps:spPr>
                      <a:xfrm>
                        <a:ext cx="4940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80" type="#_x0000_t202" style="position:absolute;margin-left:11.85pt;margin-top:31.300000000000001pt;width:38.899999999999999pt;height:5.0499999999999998pt;z-index:-1887433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495300</wp:posOffset>
              </wp:positionV>
              <wp:extent cx="4023360" cy="0"/>
              <wp:wrapNone/>
              <wp:docPr id="956" name="Shape 95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39.pt;width:316.80000000000001pt;height:0;z-index:-251658240;mso-position-horizontal-relative:page;mso-position-vertical-relative:page">
              <v:stroke weight="1.pt"/>
            </v:shape>
          </w:pict>
        </mc:Fallback>
      </mc:AlternateContent>
    </w: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8" behindDoc="1" locked="0" layoutInCell="1" allowOverlap="1">
              <wp:simplePos x="0" y="0"/>
              <wp:positionH relativeFrom="page">
                <wp:posOffset>150495</wp:posOffset>
              </wp:positionH>
              <wp:positionV relativeFrom="page">
                <wp:posOffset>397510</wp:posOffset>
              </wp:positionV>
              <wp:extent cx="494030" cy="64135"/>
              <wp:wrapNone/>
              <wp:docPr id="959" name="Shape 959"/>
              <a:graphic xmlns:a="http://schemas.openxmlformats.org/drawingml/2006/main">
                <a:graphicData uri="http://schemas.microsoft.com/office/word/2010/wordprocessingShape">
                  <wps:wsp>
                    <wps:cNvSpPr txBox="1"/>
                    <wps:spPr>
                      <a:xfrm>
                        <a:ext cx="4940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85" type="#_x0000_t202" style="position:absolute;margin-left:11.85pt;margin-top:31.300000000000001pt;width:38.899999999999999pt;height:5.0499999999999998pt;z-index:-1887433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495300</wp:posOffset>
              </wp:positionV>
              <wp:extent cx="4023360" cy="0"/>
              <wp:wrapNone/>
              <wp:docPr id="961" name="Shape 96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39.pt;width:316.80000000000001pt;height:0;z-index:-251658240;mso-position-horizontal-relative:page;mso-position-vertical-relative:page">
              <v:stroke weight="1.pt"/>
            </v:shape>
          </w:pict>
        </mc:Fallback>
      </mc:AlternateContent>
    </w: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2" behindDoc="1" locked="0" layoutInCell="1" allowOverlap="1">
              <wp:simplePos x="0" y="0"/>
              <wp:positionH relativeFrom="page">
                <wp:posOffset>154940</wp:posOffset>
              </wp:positionH>
              <wp:positionV relativeFrom="page">
                <wp:posOffset>403860</wp:posOffset>
              </wp:positionV>
              <wp:extent cx="490855" cy="64135"/>
              <wp:wrapNone/>
              <wp:docPr id="964" name="Shape 964"/>
              <a:graphic xmlns:a="http://schemas.openxmlformats.org/drawingml/2006/main">
                <a:graphicData uri="http://schemas.microsoft.com/office/word/2010/wordprocessingShape">
                  <wps:wsp>
                    <wps:cNvSpPr txBox="1"/>
                    <wps:spPr>
                      <a:xfrm>
                        <a:ext cx="49085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90" type="#_x0000_t202" style="position:absolute;margin-left:12.199999999999999pt;margin-top:31.800000000000001pt;width:38.649999999999999pt;height:5.0499999999999998pt;z-index:-1887433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494030</wp:posOffset>
              </wp:positionV>
              <wp:extent cx="4020185" cy="0"/>
              <wp:wrapNone/>
              <wp:docPr id="966" name="Shape 96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38.899999999999999pt;width:316.55000000000001pt;height:0;z-index:-251658240;mso-position-horizontal-relative:page;mso-position-vertical-relative:page">
              <v:stroke weight="1.pt"/>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6" behindDoc="1" locked="0" layoutInCell="1" allowOverlap="1">
              <wp:simplePos x="0" y="0"/>
              <wp:positionH relativeFrom="page">
                <wp:posOffset>154940</wp:posOffset>
              </wp:positionH>
              <wp:positionV relativeFrom="page">
                <wp:posOffset>403860</wp:posOffset>
              </wp:positionV>
              <wp:extent cx="490855" cy="64135"/>
              <wp:wrapNone/>
              <wp:docPr id="969" name="Shape 969"/>
              <a:graphic xmlns:a="http://schemas.openxmlformats.org/drawingml/2006/main">
                <a:graphicData uri="http://schemas.microsoft.com/office/word/2010/wordprocessingShape">
                  <wps:wsp>
                    <wps:cNvSpPr txBox="1"/>
                    <wps:spPr>
                      <a:xfrm>
                        <a:ext cx="49085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wps:txbx>
                    <wps:bodyPr wrap="none" lIns="0" tIns="0" rIns="0" bIns="0">
                      <a:spAutoFit/>
                    </wps:bodyPr>
                  </wps:wsp>
                </a:graphicData>
              </a:graphic>
            </wp:anchor>
          </w:drawing>
        </mc:Choice>
        <mc:Fallback>
          <w:pict>
            <v:shape id="_x0000_s1995" type="#_x0000_t202" style="position:absolute;margin-left:12.199999999999999pt;margin-top:31.800000000000001pt;width:38.649999999999999pt;height:5.0499999999999998pt;z-index:-1887433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FILOZOFIJA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494030</wp:posOffset>
              </wp:positionV>
              <wp:extent cx="4020185" cy="0"/>
              <wp:wrapNone/>
              <wp:docPr id="971" name="Shape 97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38.899999999999999pt;width:316.55000000000001pt;height:0;z-index:-251658240;mso-position-horizontal-relative:page;mso-position-vertical-relative:page">
              <v:stroke weight="1.pt"/>
            </v:shape>
          </w:pict>
        </mc:Fallback>
      </mc:AlternateContent>
    </w: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0" behindDoc="1" locked="0" layoutInCell="1" allowOverlap="1">
              <wp:simplePos x="0" y="0"/>
              <wp:positionH relativeFrom="page">
                <wp:posOffset>3675380</wp:posOffset>
              </wp:positionH>
              <wp:positionV relativeFrom="page">
                <wp:posOffset>397510</wp:posOffset>
              </wp:positionV>
              <wp:extent cx="494030" cy="64135"/>
              <wp:wrapNone/>
              <wp:docPr id="974" name="Shape 974"/>
              <a:graphic xmlns:a="http://schemas.openxmlformats.org/drawingml/2006/main">
                <a:graphicData uri="http://schemas.microsoft.com/office/word/2010/wordprocessingShape">
                  <wps:wsp>
                    <wps:cNvSpPr txBox="1"/>
                    <wps:spPr>
                      <a:xfrm>
                        <a:ext cx="4940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1-II.OZO1'IM</w:t>
                          </w:r>
                        </w:p>
                      </w:txbxContent>
                    </wps:txbx>
                    <wps:bodyPr wrap="none" lIns="0" tIns="0" rIns="0" bIns="0">
                      <a:spAutoFit/>
                    </wps:bodyPr>
                  </wps:wsp>
                </a:graphicData>
              </a:graphic>
            </wp:anchor>
          </w:drawing>
        </mc:Choice>
        <mc:Fallback>
          <w:pict>
            <v:shape id="_x0000_s2000" type="#_x0000_t202" style="position:absolute;margin-left:289.39999999999998pt;margin-top:31.300000000000001pt;width:38.899999999999999pt;height:5.0499999999999998pt;z-index:-1887433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1-II.OZO1'IM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494030</wp:posOffset>
              </wp:positionV>
              <wp:extent cx="4023360" cy="0"/>
              <wp:wrapNone/>
              <wp:docPr id="976" name="Shape 97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38.899999999999999pt;width:316.80000000000001pt;height:0;z-index:-251658240;mso-position-horizontal-relative:page;mso-position-vertical-relative:page">
              <v:stroke weight="1.pt"/>
            </v:shape>
          </w:pict>
        </mc:Fallback>
      </mc:AlternateContent>
    </w: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8" behindDoc="1" locked="0" layoutInCell="1" allowOverlap="1">
              <wp:simplePos x="0" y="0"/>
              <wp:positionH relativeFrom="page">
                <wp:posOffset>140970</wp:posOffset>
              </wp:positionH>
              <wp:positionV relativeFrom="page">
                <wp:posOffset>457200</wp:posOffset>
              </wp:positionV>
              <wp:extent cx="307975" cy="67310"/>
              <wp:wrapNone/>
              <wp:docPr id="983" name="Shape 983"/>
              <a:graphic xmlns:a="http://schemas.openxmlformats.org/drawingml/2006/main">
                <a:graphicData uri="http://schemas.microsoft.com/office/word/2010/wordprocessingShape">
                  <wps:wsp>
                    <wps:cNvSpPr txBox="1"/>
                    <wps:spPr>
                      <a:xfrm>
                        <a:ext cx="3079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wps:txbx>
                    <wps:bodyPr wrap="none" lIns="0" tIns="0" rIns="0" bIns="0">
                      <a:spAutoFit/>
                    </wps:bodyPr>
                  </wps:wsp>
                </a:graphicData>
              </a:graphic>
            </wp:anchor>
          </w:drawing>
        </mc:Choice>
        <mc:Fallback>
          <w:pict>
            <v:shape id="_x0000_s2009" type="#_x0000_t202" style="position:absolute;margin-left:11.1pt;margin-top:36.pt;width:24.25pt;height:5.2999999999999998pt;z-index:-1887432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549910</wp:posOffset>
              </wp:positionV>
              <wp:extent cx="4020185" cy="0"/>
              <wp:wrapNone/>
              <wp:docPr id="985" name="Shape 98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pt;margin-top:43.299999999999997pt;width:316.55000000000001pt;height:0;z-index:-251658240;mso-position-horizontal-relative:page;mso-position-vertical-relative:page">
              <v:stroke weight="1.pt"/>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2" behindDoc="1" locked="0" layoutInCell="1" allowOverlap="1">
              <wp:simplePos x="0" y="0"/>
              <wp:positionH relativeFrom="page">
                <wp:posOffset>140970</wp:posOffset>
              </wp:positionH>
              <wp:positionV relativeFrom="page">
                <wp:posOffset>457200</wp:posOffset>
              </wp:positionV>
              <wp:extent cx="307975" cy="67310"/>
              <wp:wrapNone/>
              <wp:docPr id="988" name="Shape 988"/>
              <a:graphic xmlns:a="http://schemas.openxmlformats.org/drawingml/2006/main">
                <a:graphicData uri="http://schemas.microsoft.com/office/word/2010/wordprocessingShape">
                  <wps:wsp>
                    <wps:cNvSpPr txBox="1"/>
                    <wps:spPr>
                      <a:xfrm>
                        <a:ext cx="3079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wps:txbx>
                    <wps:bodyPr wrap="none" lIns="0" tIns="0" rIns="0" bIns="0">
                      <a:spAutoFit/>
                    </wps:bodyPr>
                  </wps:wsp>
                </a:graphicData>
              </a:graphic>
            </wp:anchor>
          </w:drawing>
        </mc:Choice>
        <mc:Fallback>
          <w:pict>
            <v:shape id="_x0000_s2014" type="#_x0000_t202" style="position:absolute;margin-left:11.1pt;margin-top:36.pt;width:24.25pt;height:5.2999999999999998pt;z-index:-1887432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549910</wp:posOffset>
              </wp:positionV>
              <wp:extent cx="4020185" cy="0"/>
              <wp:wrapNone/>
              <wp:docPr id="990" name="Shape 99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pt;margin-top:43.299999999999997pt;width:316.55000000000001pt;height:0;z-index:-251658240;mso-position-horizontal-relative:page;mso-position-vertical-relative:page">
              <v:stroke weight="1.pt"/>
            </v:shape>
          </w:pict>
        </mc:Fallback>
      </mc:AlternateContent>
    </w: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6" behindDoc="1" locked="0" layoutInCell="1" allowOverlap="1">
              <wp:simplePos x="0" y="0"/>
              <wp:positionH relativeFrom="page">
                <wp:posOffset>3856355</wp:posOffset>
              </wp:positionH>
              <wp:positionV relativeFrom="page">
                <wp:posOffset>459740</wp:posOffset>
              </wp:positionV>
              <wp:extent cx="304800" cy="60960"/>
              <wp:wrapNone/>
              <wp:docPr id="993" name="Shape 993"/>
              <a:graphic xmlns:a="http://schemas.openxmlformats.org/drawingml/2006/main">
                <a:graphicData uri="http://schemas.microsoft.com/office/word/2010/wordprocessingShape">
                  <wps:wsp>
                    <wps:cNvSpPr txBox="1"/>
                    <wps:spPr>
                      <a:xfrm>
                        <a:ext cx="30480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wps:txbx>
                    <wps:bodyPr wrap="none" lIns="0" tIns="0" rIns="0" bIns="0">
                      <a:spAutoFit/>
                    </wps:bodyPr>
                  </wps:wsp>
                </a:graphicData>
              </a:graphic>
            </wp:anchor>
          </w:drawing>
        </mc:Choice>
        <mc:Fallback>
          <w:pict>
            <v:shape id="_x0000_s2019" type="#_x0000_t202" style="position:absolute;margin-left:303.64999999999998pt;margin-top:36.200000000000003pt;width:24.pt;height:4.7999999999999998pt;z-index:-1887432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563245</wp:posOffset>
              </wp:positionV>
              <wp:extent cx="4020185" cy="0"/>
              <wp:wrapNone/>
              <wp:docPr id="995" name="Shape 99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4.350000000000001pt;width:316.55000000000001pt;height:0;z-index:-251658240;mso-position-horizontal-relative:page;mso-position-vertical-relative:page">
              <v:stroke weight="1.pt"/>
            </v:shape>
          </w:pict>
        </mc:Fallback>
      </mc:AlternateContent>
    </w: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8" behindDoc="1" locked="0" layoutInCell="1" allowOverlap="1">
              <wp:simplePos x="0" y="0"/>
              <wp:positionH relativeFrom="page">
                <wp:posOffset>3856355</wp:posOffset>
              </wp:positionH>
              <wp:positionV relativeFrom="page">
                <wp:posOffset>459740</wp:posOffset>
              </wp:positionV>
              <wp:extent cx="304800" cy="60960"/>
              <wp:wrapNone/>
              <wp:docPr id="996" name="Shape 996"/>
              <a:graphic xmlns:a="http://schemas.openxmlformats.org/drawingml/2006/main">
                <a:graphicData uri="http://schemas.microsoft.com/office/word/2010/wordprocessingShape">
                  <wps:wsp>
                    <wps:cNvSpPr txBox="1"/>
                    <wps:spPr>
                      <a:xfrm>
                        <a:ext cx="30480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wps:txbx>
                    <wps:bodyPr wrap="none" lIns="0" tIns="0" rIns="0" bIns="0">
                      <a:spAutoFit/>
                    </wps:bodyPr>
                  </wps:wsp>
                </a:graphicData>
              </a:graphic>
            </wp:anchor>
          </w:drawing>
        </mc:Choice>
        <mc:Fallback>
          <w:pict>
            <v:shape id="_x0000_s2022" type="#_x0000_t202" style="position:absolute;margin-left:303.64999999999998pt;margin-top:36.200000000000003pt;width:24.pt;height:4.7999999999999998pt;z-index:-1887432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GNOZA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563245</wp:posOffset>
              </wp:positionV>
              <wp:extent cx="4020185" cy="0"/>
              <wp:wrapNone/>
              <wp:docPr id="998" name="Shape 99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4.350000000000001pt;width:316.55000000000001pt;height:0;z-index:-251658240;mso-position-horizontal-relative:page;mso-position-vertical-relative:page">
              <v:stroke weight="1.pt"/>
            </v:shape>
          </w:pict>
        </mc:Fallback>
      </mc:AlternateContent>
    </w: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0" behindDoc="1" locked="0" layoutInCell="1" allowOverlap="1">
              <wp:simplePos x="0" y="0"/>
              <wp:positionH relativeFrom="page">
                <wp:posOffset>154305</wp:posOffset>
              </wp:positionH>
              <wp:positionV relativeFrom="page">
                <wp:posOffset>444500</wp:posOffset>
              </wp:positionV>
              <wp:extent cx="1069975" cy="69850"/>
              <wp:wrapNone/>
              <wp:docPr id="999" name="Shape 999"/>
              <a:graphic xmlns:a="http://schemas.openxmlformats.org/drawingml/2006/main">
                <a:graphicData uri="http://schemas.microsoft.com/office/word/2010/wordprocessingShape">
                  <wps:wsp>
                    <wps:cNvSpPr txBox="1"/>
                    <wps:spPr>
                      <a:xfrm>
                        <a:ext cx="10699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 NOZ/VG OSTO PR IM ST VO</w:t>
                          </w:r>
                        </w:p>
                      </w:txbxContent>
                    </wps:txbx>
                    <wps:bodyPr wrap="none" lIns="0" tIns="0" rIns="0" bIns="0">
                      <a:spAutoFit/>
                    </wps:bodyPr>
                  </wps:wsp>
                </a:graphicData>
              </a:graphic>
            </wp:anchor>
          </w:drawing>
        </mc:Choice>
        <mc:Fallback>
          <w:pict>
            <v:shape id="_x0000_s2025" type="#_x0000_t202" style="position:absolute;margin-left:12.15pt;margin-top:35.pt;width:84.25pt;height:5.5pt;z-index:-1887432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 NOZ/VG OSTO PR IM ST 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544830</wp:posOffset>
              </wp:positionV>
              <wp:extent cx="4020185" cy="0"/>
              <wp:wrapNone/>
              <wp:docPr id="1001" name="Shape 100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2.899999999999999pt;width:316.55000000000001pt;height:0;z-index:-251658240;mso-position-horizontal-relative:page;mso-position-vertical-relative:page">
              <v:stroke weight="1.pt"/>
            </v:shape>
          </w:pict>
        </mc:Fallback>
      </mc:AlternateContent>
    </w: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4" behindDoc="1" locked="0" layoutInCell="1" allowOverlap="1">
              <wp:simplePos x="0" y="0"/>
              <wp:positionH relativeFrom="page">
                <wp:posOffset>154305</wp:posOffset>
              </wp:positionH>
              <wp:positionV relativeFrom="page">
                <wp:posOffset>444500</wp:posOffset>
              </wp:positionV>
              <wp:extent cx="1069975" cy="69850"/>
              <wp:wrapNone/>
              <wp:docPr id="1004" name="Shape 1004"/>
              <a:graphic xmlns:a="http://schemas.openxmlformats.org/drawingml/2006/main">
                <a:graphicData uri="http://schemas.microsoft.com/office/word/2010/wordprocessingShape">
                  <wps:wsp>
                    <wps:cNvSpPr txBox="1"/>
                    <wps:spPr>
                      <a:xfrm>
                        <a:ext cx="10699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 NOZ/VG OSTO PR IM ST VO</w:t>
                          </w:r>
                        </w:p>
                      </w:txbxContent>
                    </wps:txbx>
                    <wps:bodyPr wrap="none" lIns="0" tIns="0" rIns="0" bIns="0">
                      <a:spAutoFit/>
                    </wps:bodyPr>
                  </wps:wsp>
                </a:graphicData>
              </a:graphic>
            </wp:anchor>
          </w:drawing>
        </mc:Choice>
        <mc:Fallback>
          <w:pict>
            <v:shape id="_x0000_s2030" type="#_x0000_t202" style="position:absolute;margin-left:12.15pt;margin-top:35.pt;width:84.25pt;height:5.5pt;z-index:-1887432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 NOZ/VG OSTO PR IM ST 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544830</wp:posOffset>
              </wp:positionV>
              <wp:extent cx="4020185" cy="0"/>
              <wp:wrapNone/>
              <wp:docPr id="1006" name="Shape 100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2.899999999999999pt;width:316.55000000000001pt;height:0;z-index:-251658240;mso-position-horizontal-relative:page;mso-position-vertical-relative:page">
              <v:stroke weight="1.pt"/>
            </v:shape>
          </w:pict>
        </mc:Fallback>
      </mc:AlternateContent>
    </w: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8" behindDoc="1" locked="0" layoutInCell="1" allowOverlap="1">
              <wp:simplePos x="0" y="0"/>
              <wp:positionH relativeFrom="page">
                <wp:posOffset>3854450</wp:posOffset>
              </wp:positionH>
              <wp:positionV relativeFrom="page">
                <wp:posOffset>454025</wp:posOffset>
              </wp:positionV>
              <wp:extent cx="307975" cy="60960"/>
              <wp:wrapNone/>
              <wp:docPr id="1009" name="Shape 1009"/>
              <a:graphic xmlns:a="http://schemas.openxmlformats.org/drawingml/2006/main">
                <a:graphicData uri="http://schemas.microsoft.com/office/word/2010/wordprocessingShape">
                  <wps:wsp>
                    <wps:cNvSpPr txBox="1"/>
                    <wps:spPr>
                      <a:xfrm>
                        <a:ext cx="3079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wps:txbx>
                    <wps:bodyPr wrap="none" lIns="0" tIns="0" rIns="0" bIns="0">
                      <a:spAutoFit/>
                    </wps:bodyPr>
                  </wps:wsp>
                </a:graphicData>
              </a:graphic>
            </wp:anchor>
          </w:drawing>
        </mc:Choice>
        <mc:Fallback>
          <w:pict>
            <v:shape id="_x0000_s2035" type="#_x0000_t202" style="position:absolute;margin-left:303.5pt;margin-top:35.75pt;width:24.25pt;height:4.7999999999999998pt;z-index:-1887432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556260</wp:posOffset>
              </wp:positionV>
              <wp:extent cx="4026535" cy="0"/>
              <wp:wrapNone/>
              <wp:docPr id="1011" name="Shape 101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99999999999999pt;margin-top:43.799999999999997pt;width:317.05000000000001pt;height:0;z-index:-251658240;mso-position-horizontal-relative:page;mso-position-vertical-relative:page">
              <v:stroke weight="1.pt"/>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2" behindDoc="1" locked="0" layoutInCell="1" allowOverlap="1">
              <wp:simplePos x="0" y="0"/>
              <wp:positionH relativeFrom="page">
                <wp:posOffset>145415</wp:posOffset>
              </wp:positionH>
              <wp:positionV relativeFrom="page">
                <wp:posOffset>450850</wp:posOffset>
              </wp:positionV>
              <wp:extent cx="311150" cy="64135"/>
              <wp:wrapNone/>
              <wp:docPr id="1014" name="Shape 1014"/>
              <a:graphic xmlns:a="http://schemas.openxmlformats.org/drawingml/2006/main">
                <a:graphicData uri="http://schemas.microsoft.com/office/word/2010/wordprocessingShape">
                  <wps:wsp>
                    <wps:cNvSpPr txBox="1"/>
                    <wps:spPr>
                      <a:xfrm>
                        <a:ext cx="3111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wps:txbx>
                    <wps:bodyPr wrap="none" lIns="0" tIns="0" rIns="0" bIns="0">
                      <a:spAutoFit/>
                    </wps:bodyPr>
                  </wps:wsp>
                </a:graphicData>
              </a:graphic>
            </wp:anchor>
          </w:drawing>
        </mc:Choice>
        <mc:Fallback>
          <w:pict>
            <v:shape id="_x0000_s2040" type="#_x0000_t202" style="position:absolute;margin-left:11.449999999999999pt;margin-top:35.5pt;width:24.5pt;height:5.0499999999999998pt;z-index:-1887432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581660</wp:posOffset>
              </wp:positionV>
              <wp:extent cx="4026535" cy="0"/>
              <wp:wrapNone/>
              <wp:docPr id="1016" name="Shape 101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5.799999999999997pt;width:317.05000000000001pt;height:0;z-index:-251658240;mso-position-horizontal-relative:page;mso-position-vertical-relative:page">
              <v:stroke weight="1.pt"/>
            </v:shape>
          </w:pict>
        </mc:Fallback>
      </mc:AlternateContent>
    </w: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4" behindDoc="1" locked="0" layoutInCell="1" allowOverlap="1">
              <wp:simplePos x="0" y="0"/>
              <wp:positionH relativeFrom="page">
                <wp:posOffset>3086735</wp:posOffset>
              </wp:positionH>
              <wp:positionV relativeFrom="page">
                <wp:posOffset>450850</wp:posOffset>
              </wp:positionV>
              <wp:extent cx="1073150" cy="64135"/>
              <wp:wrapNone/>
              <wp:docPr id="1017" name="Shape 1017"/>
              <a:graphic xmlns:a="http://schemas.openxmlformats.org/drawingml/2006/main">
                <a:graphicData uri="http://schemas.microsoft.com/office/word/2010/wordprocessingShape">
                  <wps:wsp>
                    <wps:cNvSpPr txBox="1"/>
                    <wps:spPr>
                      <a:xfrm>
                        <a:ext cx="10731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GOSTOPRIMSTVO.'GRIJEH</w:t>
                          </w:r>
                        </w:p>
                      </w:txbxContent>
                    </wps:txbx>
                    <wps:bodyPr wrap="none" lIns="0" tIns="0" rIns="0" bIns="0">
                      <a:spAutoFit/>
                    </wps:bodyPr>
                  </wps:wsp>
                </a:graphicData>
              </a:graphic>
            </wp:anchor>
          </w:drawing>
        </mc:Choice>
        <mc:Fallback>
          <w:pict>
            <v:shape id="_x0000_s2043" type="#_x0000_t202" style="position:absolute;margin-left:243.05000000000001pt;margin-top:35.5pt;width:84.5pt;height:5.0499999999999998pt;z-index:-1887432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GOSTOPRIMSTVO.'GRIJEH</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549910</wp:posOffset>
              </wp:positionV>
              <wp:extent cx="4020185" cy="0"/>
              <wp:wrapNone/>
              <wp:docPr id="1019" name="Shape 101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3.299999999999997pt;width:316.55000000000001pt;height:0;z-index:-251658240;mso-position-horizontal-relative:page;mso-position-vertical-relative:page">
              <v:stroke weight="1.pt"/>
            </v:shape>
          </w:pict>
        </mc:Fallback>
      </mc:AlternateContent>
    </w: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8" behindDoc="1" locked="0" layoutInCell="1" allowOverlap="1">
              <wp:simplePos x="0" y="0"/>
              <wp:positionH relativeFrom="page">
                <wp:posOffset>3868420</wp:posOffset>
              </wp:positionH>
              <wp:positionV relativeFrom="page">
                <wp:posOffset>454025</wp:posOffset>
              </wp:positionV>
              <wp:extent cx="307975" cy="60960"/>
              <wp:wrapNone/>
              <wp:docPr id="1022" name="Shape 1022"/>
              <a:graphic xmlns:a="http://schemas.openxmlformats.org/drawingml/2006/main">
                <a:graphicData uri="http://schemas.microsoft.com/office/word/2010/wordprocessingShape">
                  <wps:wsp>
                    <wps:cNvSpPr txBox="1"/>
                    <wps:spPr>
                      <a:xfrm>
                        <a:ext cx="3079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wps:txbx>
                    <wps:bodyPr wrap="none" lIns="0" tIns="0" rIns="0" bIns="0">
                      <a:spAutoFit/>
                    </wps:bodyPr>
                  </wps:wsp>
                </a:graphicData>
              </a:graphic>
            </wp:anchor>
          </w:drawing>
        </mc:Choice>
        <mc:Fallback>
          <w:pict>
            <v:shape id="_x0000_s2048" type="#_x0000_t202" style="position:absolute;margin-left:304.60000000000002pt;margin-top:35.75pt;width:24.25pt;height:4.7999999999999998pt;z-index:-1887432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553085</wp:posOffset>
              </wp:positionV>
              <wp:extent cx="4020185" cy="0"/>
              <wp:wrapNone/>
              <wp:docPr id="1024" name="Shape 102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5pt;margin-top:43.549999999999997pt;width:316.55000000000001pt;height:0;z-index:-251658240;mso-position-horizontal-relative:page;mso-position-vertical-relative:page">
              <v:stroke weight="1.pt"/>
            </v:shape>
          </w:pict>
        </mc:Fallback>
      </mc:AlternateContent>
    </w: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0" behindDoc="1" locked="0" layoutInCell="1" allowOverlap="1">
              <wp:simplePos x="0" y="0"/>
              <wp:positionH relativeFrom="page">
                <wp:posOffset>3868420</wp:posOffset>
              </wp:positionH>
              <wp:positionV relativeFrom="page">
                <wp:posOffset>454025</wp:posOffset>
              </wp:positionV>
              <wp:extent cx="307975" cy="60960"/>
              <wp:wrapNone/>
              <wp:docPr id="1025" name="Shape 1025"/>
              <a:graphic xmlns:a="http://schemas.openxmlformats.org/drawingml/2006/main">
                <a:graphicData uri="http://schemas.microsoft.com/office/word/2010/wordprocessingShape">
                  <wps:wsp>
                    <wps:cNvSpPr txBox="1"/>
                    <wps:spPr>
                      <a:xfrm>
                        <a:ext cx="3079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wps:txbx>
                    <wps:bodyPr wrap="none" lIns="0" tIns="0" rIns="0" bIns="0">
                      <a:spAutoFit/>
                    </wps:bodyPr>
                  </wps:wsp>
                </a:graphicData>
              </a:graphic>
            </wp:anchor>
          </w:drawing>
        </mc:Choice>
        <mc:Fallback>
          <w:pict>
            <v:shape id="_x0000_s2051" type="#_x0000_t202" style="position:absolute;margin-left:304.60000000000002pt;margin-top:35.75pt;width:24.25pt;height:4.7999999999999998pt;z-index:-1887432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GRIJEH</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553085</wp:posOffset>
              </wp:positionV>
              <wp:extent cx="4020185" cy="0"/>
              <wp:wrapNone/>
              <wp:docPr id="1027" name="Shape 102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5pt;margin-top:43.549999999999997pt;width:316.55000000000001pt;height:0;z-index:-251658240;mso-position-horizontal-relative:page;mso-position-vertical-relative:page">
              <v:stroke weight="1.pt"/>
            </v:shape>
          </w:pict>
        </mc:Fallback>
      </mc:AlternateContent>
    </w: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2" behindDoc="1" locked="0" layoutInCell="1" allowOverlap="1">
              <wp:simplePos x="0" y="0"/>
              <wp:positionH relativeFrom="page">
                <wp:posOffset>3813810</wp:posOffset>
              </wp:positionH>
              <wp:positionV relativeFrom="page">
                <wp:posOffset>431800</wp:posOffset>
              </wp:positionV>
              <wp:extent cx="353695" cy="57785"/>
              <wp:wrapNone/>
              <wp:docPr id="1028" name="Shape 1028"/>
              <a:graphic xmlns:a="http://schemas.openxmlformats.org/drawingml/2006/main">
                <a:graphicData uri="http://schemas.microsoft.com/office/word/2010/wordprocessingShape">
                  <wps:wsp>
                    <wps:cNvSpPr txBox="1"/>
                    <wps:spPr>
                      <a:xfrm>
                        <a:ext cx="35369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HEREZA</w:t>
                          </w:r>
                        </w:p>
                      </w:txbxContent>
                    </wps:txbx>
                    <wps:bodyPr wrap="none" lIns="0" tIns="0" rIns="0" bIns="0">
                      <a:spAutoFit/>
                    </wps:bodyPr>
                  </wps:wsp>
                </a:graphicData>
              </a:graphic>
            </wp:anchor>
          </w:drawing>
        </mc:Choice>
        <mc:Fallback>
          <w:pict>
            <v:shape id="_x0000_s2054" type="#_x0000_t202" style="position:absolute;margin-left:300.30000000000001pt;margin-top:34.pt;width:27.850000000000001pt;height:4.5499999999999998pt;z-index:-1887432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HEREZA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525780</wp:posOffset>
              </wp:positionV>
              <wp:extent cx="4017010" cy="0"/>
              <wp:wrapNone/>
              <wp:docPr id="1030" name="Shape 103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399999999999999pt;width:316.30000000000001pt;height:0;z-index:-251658240;mso-position-horizontal-relative:page;mso-position-vertical-relative:page">
              <v:stroke weight="1.pt"/>
            </v:shape>
          </w:pict>
        </mc:Fallback>
      </mc:AlternateContent>
    </w: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6" behindDoc="1" locked="0" layoutInCell="1" allowOverlap="1">
              <wp:simplePos x="0" y="0"/>
              <wp:positionH relativeFrom="page">
                <wp:posOffset>3813810</wp:posOffset>
              </wp:positionH>
              <wp:positionV relativeFrom="page">
                <wp:posOffset>431800</wp:posOffset>
              </wp:positionV>
              <wp:extent cx="353695" cy="57785"/>
              <wp:wrapNone/>
              <wp:docPr id="1033" name="Shape 1033"/>
              <a:graphic xmlns:a="http://schemas.openxmlformats.org/drawingml/2006/main">
                <a:graphicData uri="http://schemas.microsoft.com/office/word/2010/wordprocessingShape">
                  <wps:wsp>
                    <wps:cNvSpPr txBox="1"/>
                    <wps:spPr>
                      <a:xfrm>
                        <a:ext cx="35369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HEREZA</w:t>
                          </w:r>
                        </w:p>
                      </w:txbxContent>
                    </wps:txbx>
                    <wps:bodyPr wrap="none" lIns="0" tIns="0" rIns="0" bIns="0">
                      <a:spAutoFit/>
                    </wps:bodyPr>
                  </wps:wsp>
                </a:graphicData>
              </a:graphic>
            </wp:anchor>
          </w:drawing>
        </mc:Choice>
        <mc:Fallback>
          <w:pict>
            <v:shape id="_x0000_s2059" type="#_x0000_t202" style="position:absolute;margin-left:300.30000000000001pt;margin-top:34.pt;width:27.850000000000001pt;height:4.5499999999999998pt;z-index:-1887432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HEREZA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525780</wp:posOffset>
              </wp:positionV>
              <wp:extent cx="4017010" cy="0"/>
              <wp:wrapNone/>
              <wp:docPr id="1035" name="Shape 103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399999999999999pt;width:316.30000000000001pt;height:0;z-index:-251658240;mso-position-horizontal-relative:page;mso-position-vertical-relative:page">
              <v:stroke weight="1.pt"/>
            </v:shape>
          </w:pict>
        </mc:Fallback>
      </mc:AlternateContent>
    </w: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2" behindDoc="1" locked="0" layoutInCell="1" allowOverlap="1">
              <wp:simplePos x="0" y="0"/>
              <wp:positionH relativeFrom="page">
                <wp:posOffset>2279015</wp:posOffset>
              </wp:positionH>
              <wp:positionV relativeFrom="page">
                <wp:posOffset>404495</wp:posOffset>
              </wp:positionV>
              <wp:extent cx="1874520" cy="85090"/>
              <wp:wrapNone/>
              <wp:docPr id="1040" name="Shape 1040"/>
              <a:graphic xmlns:a="http://schemas.openxmlformats.org/drawingml/2006/main">
                <a:graphicData uri="http://schemas.microsoft.com/office/word/2010/wordprocessingShape">
                  <wps:wsp>
                    <wps:cNvSpPr txBox="1"/>
                    <wps:spPr>
                      <a:xfrm>
                        <a:ext cx="187452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HEREZA'HIDŽRA'HIJERARHIJAHODOČAŠĆE</w:t>
                          </w:r>
                        </w:p>
                      </w:txbxContent>
                    </wps:txbx>
                    <wps:bodyPr wrap="none" lIns="0" tIns="0" rIns="0" bIns="0">
                      <a:spAutoFit/>
                    </wps:bodyPr>
                  </wps:wsp>
                </a:graphicData>
              </a:graphic>
            </wp:anchor>
          </w:drawing>
        </mc:Choice>
        <mc:Fallback>
          <w:pict>
            <v:shape id="_x0000_s2066" type="#_x0000_t202" style="position:absolute;margin-left:179.44999999999999pt;margin-top:31.850000000000001pt;width:147.59999999999999pt;height:6.7000000000000002pt;z-index:-1887432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HEREZA'HIDŽRA'HIJERARHIJAHODOČAŠĆE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527685</wp:posOffset>
              </wp:positionV>
              <wp:extent cx="4020185" cy="0"/>
              <wp:wrapNone/>
              <wp:docPr id="1042" name="Shape 104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549999999999997pt;width:316.55000000000001pt;height:0;z-index:-251658240;mso-position-horizontal-relative:page;mso-position-vertical-relative:page">
              <v:stroke weight="1.pt"/>
            </v:shape>
          </w:pict>
        </mc:Fallback>
      </mc:AlternateContent>
    </w: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6" behindDoc="1" locked="0" layoutInCell="1" allowOverlap="1">
              <wp:simplePos x="0" y="0"/>
              <wp:positionH relativeFrom="page">
                <wp:posOffset>2279015</wp:posOffset>
              </wp:positionH>
              <wp:positionV relativeFrom="page">
                <wp:posOffset>404495</wp:posOffset>
              </wp:positionV>
              <wp:extent cx="1874520" cy="85090"/>
              <wp:wrapNone/>
              <wp:docPr id="1045" name="Shape 1045"/>
              <a:graphic xmlns:a="http://schemas.openxmlformats.org/drawingml/2006/main">
                <a:graphicData uri="http://schemas.microsoft.com/office/word/2010/wordprocessingShape">
                  <wps:wsp>
                    <wps:cNvSpPr txBox="1"/>
                    <wps:spPr>
                      <a:xfrm>
                        <a:ext cx="187452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HEREZA'HIDŽRA'HIJERARHIJAHODOČAŠĆE</w:t>
                          </w:r>
                        </w:p>
                      </w:txbxContent>
                    </wps:txbx>
                    <wps:bodyPr wrap="none" lIns="0" tIns="0" rIns="0" bIns="0">
                      <a:spAutoFit/>
                    </wps:bodyPr>
                  </wps:wsp>
                </a:graphicData>
              </a:graphic>
            </wp:anchor>
          </w:drawing>
        </mc:Choice>
        <mc:Fallback>
          <w:pict>
            <v:shape id="_x0000_s2071" type="#_x0000_t202" style="position:absolute;margin-left:179.44999999999999pt;margin-top:31.850000000000001pt;width:147.59999999999999pt;height:6.7000000000000002pt;z-index:-1887432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HEREZA'HIDŽRA'HIJERARHIJAHODOČAŠĆE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527685</wp:posOffset>
              </wp:positionV>
              <wp:extent cx="4020185" cy="0"/>
              <wp:wrapNone/>
              <wp:docPr id="1047" name="Shape 104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549999999999997pt;width:316.55000000000001pt;height:0;z-index:-251658240;mso-position-horizontal-relative:page;mso-position-vertical-relative:page">
              <v:stroke weight="1.pt"/>
            </v:shape>
          </w:pict>
        </mc:Fallback>
      </mc:AlternateContent>
    </w: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0" behindDoc="1" locked="0" layoutInCell="1" allowOverlap="1">
              <wp:simplePos x="0" y="0"/>
              <wp:positionH relativeFrom="page">
                <wp:posOffset>153035</wp:posOffset>
              </wp:positionH>
              <wp:positionV relativeFrom="page">
                <wp:posOffset>425450</wp:posOffset>
              </wp:positionV>
              <wp:extent cx="356870" cy="64135"/>
              <wp:wrapNone/>
              <wp:docPr id="1050" name="Shape 1050"/>
              <a:graphic xmlns:a="http://schemas.openxmlformats.org/drawingml/2006/main">
                <a:graphicData uri="http://schemas.microsoft.com/office/word/2010/wordprocessingShape">
                  <wps:wsp>
                    <wps:cNvSpPr txBox="1"/>
                    <wps:spPr>
                      <a:xfrm>
                        <a:ext cx="3568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HEREZA</w:t>
                          </w:r>
                        </w:p>
                      </w:txbxContent>
                    </wps:txbx>
                    <wps:bodyPr wrap="none" lIns="0" tIns="0" rIns="0" bIns="0">
                      <a:spAutoFit/>
                    </wps:bodyPr>
                  </wps:wsp>
                </a:graphicData>
              </a:graphic>
            </wp:anchor>
          </w:drawing>
        </mc:Choice>
        <mc:Fallback>
          <w:pict>
            <v:shape id="_x0000_s2076" type="#_x0000_t202" style="position:absolute;margin-left:12.050000000000001pt;margin-top:33.5pt;width:28.100000000000001pt;height:5.0499999999999998pt;z-index:-1887432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HEREZA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521970</wp:posOffset>
              </wp:positionV>
              <wp:extent cx="4017010" cy="0"/>
              <wp:wrapNone/>
              <wp:docPr id="1052" name="Shape 105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00000000000001pt;margin-top:41.100000000000001pt;width:316.30000000000001pt;height:0;z-index:-251658240;mso-position-horizontal-relative:page;mso-position-vertical-relative:page">
              <v:stroke weight="1.pt"/>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4" behindDoc="1" locked="0" layoutInCell="1" allowOverlap="1">
              <wp:simplePos x="0" y="0"/>
              <wp:positionH relativeFrom="page">
                <wp:posOffset>149860</wp:posOffset>
              </wp:positionH>
              <wp:positionV relativeFrom="page">
                <wp:posOffset>407670</wp:posOffset>
              </wp:positionV>
              <wp:extent cx="530225" cy="82550"/>
              <wp:wrapNone/>
              <wp:docPr id="1055" name="Shape 1055"/>
              <a:graphic xmlns:a="http://schemas.openxmlformats.org/drawingml/2006/main">
                <a:graphicData uri="http://schemas.microsoft.com/office/word/2010/wordprocessingShape">
                  <wps:wsp>
                    <wps:cNvSpPr txBox="1"/>
                    <wps:spPr>
                      <a:xfrm>
                        <a:ext cx="530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HO1X)Č/\ŠĆE</w:t>
                          </w:r>
                        </w:p>
                      </w:txbxContent>
                    </wps:txbx>
                    <wps:bodyPr wrap="none" lIns="0" tIns="0" rIns="0" bIns="0">
                      <a:spAutoFit/>
                    </wps:bodyPr>
                  </wps:wsp>
                </a:graphicData>
              </a:graphic>
            </wp:anchor>
          </w:drawing>
        </mc:Choice>
        <mc:Fallback>
          <w:pict>
            <v:shape id="_x0000_s2081" type="#_x0000_t202" style="position:absolute;margin-left:11.800000000000001pt;margin-top:32.100000000000001pt;width:41.75pt;height:6.5pt;z-index:-1887432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HO1X)Č/\ŠĆE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520065</wp:posOffset>
              </wp:positionV>
              <wp:extent cx="4023360" cy="0"/>
              <wp:wrapNone/>
              <wp:docPr id="1057" name="Shape 105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0.950000000000003pt;width:316.80000000000001pt;height:0;z-index:-251658240;mso-position-horizontal-relative:page;mso-position-vertical-relative:page">
              <v:stroke weight="1.pt"/>
            </v:shape>
          </w:pict>
        </mc:Fallback>
      </mc:AlternateContent>
    </w: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8" behindDoc="1" locked="0" layoutInCell="1" allowOverlap="1">
              <wp:simplePos x="0" y="0"/>
              <wp:positionH relativeFrom="page">
                <wp:posOffset>149860</wp:posOffset>
              </wp:positionH>
              <wp:positionV relativeFrom="page">
                <wp:posOffset>407670</wp:posOffset>
              </wp:positionV>
              <wp:extent cx="530225" cy="82550"/>
              <wp:wrapNone/>
              <wp:docPr id="1060" name="Shape 1060"/>
              <a:graphic xmlns:a="http://schemas.openxmlformats.org/drawingml/2006/main">
                <a:graphicData uri="http://schemas.microsoft.com/office/word/2010/wordprocessingShape">
                  <wps:wsp>
                    <wps:cNvSpPr txBox="1"/>
                    <wps:spPr>
                      <a:xfrm>
                        <a:ext cx="53022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HO1X)Č/\ŠĆE</w:t>
                          </w:r>
                        </w:p>
                      </w:txbxContent>
                    </wps:txbx>
                    <wps:bodyPr wrap="none" lIns="0" tIns="0" rIns="0" bIns="0">
                      <a:spAutoFit/>
                    </wps:bodyPr>
                  </wps:wsp>
                </a:graphicData>
              </a:graphic>
            </wp:anchor>
          </w:drawing>
        </mc:Choice>
        <mc:Fallback>
          <w:pict>
            <v:shape id="_x0000_s2086" type="#_x0000_t202" style="position:absolute;margin-left:11.800000000000001pt;margin-top:32.100000000000001pt;width:41.75pt;height:6.5pt;z-index:-1887432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HO1X)Č/\ŠĆE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520065</wp:posOffset>
              </wp:positionV>
              <wp:extent cx="4023360" cy="0"/>
              <wp:wrapNone/>
              <wp:docPr id="1062" name="Shape 106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0.950000000000003pt;width:316.80000000000001pt;height:0;z-index:-251658240;mso-position-horizontal-relative:page;mso-position-vertical-relative:page">
              <v:stroke weight="1.pt"/>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2" behindDoc="1" locked="0" layoutInCell="1" allowOverlap="1">
              <wp:simplePos x="0" y="0"/>
              <wp:positionH relativeFrom="page">
                <wp:posOffset>151765</wp:posOffset>
              </wp:positionH>
              <wp:positionV relativeFrom="page">
                <wp:posOffset>471170</wp:posOffset>
              </wp:positionV>
              <wp:extent cx="533400" cy="79375"/>
              <wp:wrapNone/>
              <wp:docPr id="1065" name="Shape 1065"/>
              <a:graphic xmlns:a="http://schemas.openxmlformats.org/drawingml/2006/main">
                <a:graphicData uri="http://schemas.microsoft.com/office/word/2010/wordprocessingShape">
                  <wps:wsp>
                    <wps:cNvSpPr txBox="1"/>
                    <wps:spPr>
                      <a:xfrm>
                        <a:ext cx="533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w:t>
                          </w:r>
                        </w:p>
                      </w:txbxContent>
                    </wps:txbx>
                    <wps:bodyPr wrap="none" lIns="0" tIns="0" rIns="0" bIns="0">
                      <a:spAutoFit/>
                    </wps:bodyPr>
                  </wps:wsp>
                </a:graphicData>
              </a:graphic>
            </wp:anchor>
          </w:drawing>
        </mc:Choice>
        <mc:Fallback>
          <w:pict>
            <v:shape id="_x0000_s2091" type="#_x0000_t202" style="position:absolute;margin-left:11.949999999999999pt;margin-top:37.100000000000001pt;width:42.pt;height:6.25pt;z-index:-1887432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579755</wp:posOffset>
              </wp:positionV>
              <wp:extent cx="4023360" cy="0"/>
              <wp:wrapNone/>
              <wp:docPr id="1067" name="Shape 106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5.649999999999999pt;width:316.80000000000001pt;height:0;z-index:-251658240;mso-position-horizontal-relative:page;mso-position-vertical-relative:page">
              <v:stroke weight="1.pt"/>
            </v:shape>
          </w:pict>
        </mc:Fallback>
      </mc:AlternateContent>
    </w: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6" behindDoc="1" locked="0" layoutInCell="1" allowOverlap="1">
              <wp:simplePos x="0" y="0"/>
              <wp:positionH relativeFrom="page">
                <wp:posOffset>151765</wp:posOffset>
              </wp:positionH>
              <wp:positionV relativeFrom="page">
                <wp:posOffset>471170</wp:posOffset>
              </wp:positionV>
              <wp:extent cx="533400" cy="79375"/>
              <wp:wrapNone/>
              <wp:docPr id="1070" name="Shape 1070"/>
              <a:graphic xmlns:a="http://schemas.openxmlformats.org/drawingml/2006/main">
                <a:graphicData uri="http://schemas.microsoft.com/office/word/2010/wordprocessingShape">
                  <wps:wsp>
                    <wps:cNvSpPr txBox="1"/>
                    <wps:spPr>
                      <a:xfrm>
                        <a:ext cx="53340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w:t>
                          </w:r>
                        </w:p>
                      </w:txbxContent>
                    </wps:txbx>
                    <wps:bodyPr wrap="none" lIns="0" tIns="0" rIns="0" bIns="0">
                      <a:spAutoFit/>
                    </wps:bodyPr>
                  </wps:wsp>
                </a:graphicData>
              </a:graphic>
            </wp:anchor>
          </w:drawing>
        </mc:Choice>
        <mc:Fallback>
          <w:pict>
            <v:shape id="_x0000_s2096" type="#_x0000_t202" style="position:absolute;margin-left:11.949999999999999pt;margin-top:37.100000000000001pt;width:42.pt;height:6.25pt;z-index:-1887432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579755</wp:posOffset>
              </wp:positionV>
              <wp:extent cx="4023360" cy="0"/>
              <wp:wrapNone/>
              <wp:docPr id="1072" name="Shape 107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5.649999999999999pt;width:316.80000000000001pt;height:0;z-index:-251658240;mso-position-horizontal-relative:page;mso-position-vertical-relative:page">
              <v:stroke weight="1.pt"/>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0" behindDoc="1" locked="0" layoutInCell="1" allowOverlap="1">
              <wp:simplePos x="0" y="0"/>
              <wp:positionH relativeFrom="page">
                <wp:posOffset>3629660</wp:posOffset>
              </wp:positionH>
              <wp:positionV relativeFrom="page">
                <wp:posOffset>462280</wp:posOffset>
              </wp:positionV>
              <wp:extent cx="536575" cy="79375"/>
              <wp:wrapNone/>
              <wp:docPr id="1075" name="Shape 1075"/>
              <a:graphic xmlns:a="http://schemas.openxmlformats.org/drawingml/2006/main">
                <a:graphicData uri="http://schemas.microsoft.com/office/word/2010/wordprocessingShape">
                  <wps:wsp>
                    <wps:cNvSpPr txBox="1"/>
                    <wps:spPr>
                      <a:xfrm>
                        <a:ext cx="536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w:t>
                          </w:r>
                        </w:p>
                      </w:txbxContent>
                    </wps:txbx>
                    <wps:bodyPr wrap="none" lIns="0" tIns="0" rIns="0" bIns="0">
                      <a:spAutoFit/>
                    </wps:bodyPr>
                  </wps:wsp>
                </a:graphicData>
              </a:graphic>
            </wp:anchor>
          </w:drawing>
        </mc:Choice>
        <mc:Fallback>
          <w:pict>
            <v:shape id="_x0000_s2101" type="#_x0000_t202" style="position:absolute;margin-left:285.80000000000001pt;margin-top:36.399999999999999pt;width:42.25pt;height:6.25pt;z-index:-1887432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579755</wp:posOffset>
              </wp:positionV>
              <wp:extent cx="4023360" cy="0"/>
              <wp:wrapNone/>
              <wp:docPr id="1077" name="Shape 107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5.649999999999999pt;width:316.80000000000001pt;height:0;z-index:-251658240;mso-position-horizontal-relative:page;mso-position-vertical-relative:page">
              <v:stroke weight="1.pt"/>
            </v:shape>
          </w:pict>
        </mc:Fallback>
      </mc:AlternateContent>
    </w: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2" behindDoc="1" locked="0" layoutInCell="1" allowOverlap="1">
              <wp:simplePos x="0" y="0"/>
              <wp:positionH relativeFrom="page">
                <wp:posOffset>154940</wp:posOffset>
              </wp:positionH>
              <wp:positionV relativeFrom="page">
                <wp:posOffset>428625</wp:posOffset>
              </wp:positionV>
              <wp:extent cx="252730" cy="60960"/>
              <wp:wrapNone/>
              <wp:docPr id="1078" name="Shape 1078"/>
              <a:graphic xmlns:a="http://schemas.openxmlformats.org/drawingml/2006/main">
                <a:graphicData uri="http://schemas.microsoft.com/office/word/2010/wordprocessingShape">
                  <wps:wsp>
                    <wps:cNvSpPr txBox="1"/>
                    <wps:spPr>
                      <a:xfrm>
                        <a:ext cx="2527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wps:txbx>
                    <wps:bodyPr wrap="none" lIns="0" tIns="0" rIns="0" bIns="0">
                      <a:spAutoFit/>
                    </wps:bodyPr>
                  </wps:wsp>
                </a:graphicData>
              </a:graphic>
            </wp:anchor>
          </w:drawing>
        </mc:Choice>
        <mc:Fallback>
          <w:pict>
            <v:shape id="_x0000_s2104" type="#_x0000_t202" style="position:absolute;margin-left:12.199999999999999pt;margin-top:33.75pt;width:19.899999999999999pt;height:4.7999999999999998pt;z-index:-1887432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524510</wp:posOffset>
              </wp:positionV>
              <wp:extent cx="4023360" cy="0"/>
              <wp:wrapNone/>
              <wp:docPr id="1080" name="Shape 108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49999999999999pt;margin-top:41.299999999999997pt;width:316.80000000000001pt;height:0;z-index:-251658240;mso-position-horizontal-relative:page;mso-position-vertical-relative:page">
              <v:stroke weight="1.pt"/>
            </v:shape>
          </w:pict>
        </mc:Fallback>
      </mc:AlternateContent>
    </w: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6" behindDoc="1" locked="0" layoutInCell="1" allowOverlap="1">
              <wp:simplePos x="0" y="0"/>
              <wp:positionH relativeFrom="page">
                <wp:posOffset>154940</wp:posOffset>
              </wp:positionH>
              <wp:positionV relativeFrom="page">
                <wp:posOffset>428625</wp:posOffset>
              </wp:positionV>
              <wp:extent cx="252730" cy="60960"/>
              <wp:wrapNone/>
              <wp:docPr id="1083" name="Shape 1083"/>
              <a:graphic xmlns:a="http://schemas.openxmlformats.org/drawingml/2006/main">
                <a:graphicData uri="http://schemas.microsoft.com/office/word/2010/wordprocessingShape">
                  <wps:wsp>
                    <wps:cNvSpPr txBox="1"/>
                    <wps:spPr>
                      <a:xfrm>
                        <a:ext cx="2527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wps:txbx>
                    <wps:bodyPr wrap="none" lIns="0" tIns="0" rIns="0" bIns="0">
                      <a:spAutoFit/>
                    </wps:bodyPr>
                  </wps:wsp>
                </a:graphicData>
              </a:graphic>
            </wp:anchor>
          </w:drawing>
        </mc:Choice>
        <mc:Fallback>
          <w:pict>
            <v:shape id="_x0000_s2109" type="#_x0000_t202" style="position:absolute;margin-left:12.199999999999999pt;margin-top:33.75pt;width:19.899999999999999pt;height:4.7999999999999998pt;z-index:-1887432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524510</wp:posOffset>
              </wp:positionV>
              <wp:extent cx="4023360" cy="0"/>
              <wp:wrapNone/>
              <wp:docPr id="1085" name="Shape 108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49999999999999pt;margin-top:41.299999999999997pt;width:316.80000000000001pt;height:0;z-index:-251658240;mso-position-horizontal-relative:page;mso-position-vertical-relative:page">
              <v:stroke weight="1.pt"/>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0" behindDoc="1" locked="0" layoutInCell="1" allowOverlap="1">
              <wp:simplePos x="0" y="0"/>
              <wp:positionH relativeFrom="page">
                <wp:posOffset>3344545</wp:posOffset>
              </wp:positionH>
              <wp:positionV relativeFrom="page">
                <wp:posOffset>462280</wp:posOffset>
              </wp:positionV>
              <wp:extent cx="819785" cy="79375"/>
              <wp:wrapNone/>
              <wp:docPr id="1088" name="Shape 1088"/>
              <a:graphic xmlns:a="http://schemas.openxmlformats.org/drawingml/2006/main">
                <a:graphicData uri="http://schemas.microsoft.com/office/word/2010/wordprocessingShape">
                  <wps:wsp>
                    <wps:cNvSpPr txBox="1"/>
                    <wps:spPr>
                      <a:xfrm>
                        <a:ext cx="81978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HODOČAŠĆE/HRAM</w:t>
                          </w:r>
                        </w:p>
                      </w:txbxContent>
                    </wps:txbx>
                    <wps:bodyPr wrap="none" lIns="0" tIns="0" rIns="0" bIns="0">
                      <a:spAutoFit/>
                    </wps:bodyPr>
                  </wps:wsp>
                </a:graphicData>
              </a:graphic>
            </wp:anchor>
          </w:drawing>
        </mc:Choice>
        <mc:Fallback>
          <w:pict>
            <v:shape id="_x0000_s2114" type="#_x0000_t202" style="position:absolute;margin-left:263.35000000000002pt;margin-top:36.399999999999999pt;width:64.549999999999997pt;height:6.25pt;z-index:-1887432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HODOČAŠĆE/HRAM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574675</wp:posOffset>
              </wp:positionV>
              <wp:extent cx="4017010" cy="0"/>
              <wp:wrapNone/>
              <wp:docPr id="1090" name="Shape 109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00000000000001pt;margin-top:45.25pt;width:316.30000000000001pt;height:0;z-index:-251658240;mso-position-horizontal-relative:page;mso-position-vertical-relative:page">
              <v:stroke weight="1.pt"/>
            </v:shape>
          </w:pict>
        </mc:Fallback>
      </mc:AlternateContent>
    </w: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4" behindDoc="1" locked="0" layoutInCell="1" allowOverlap="1">
              <wp:simplePos x="0" y="0"/>
              <wp:positionH relativeFrom="page">
                <wp:posOffset>3908425</wp:posOffset>
              </wp:positionH>
              <wp:positionV relativeFrom="page">
                <wp:posOffset>438150</wp:posOffset>
              </wp:positionV>
              <wp:extent cx="252730" cy="60960"/>
              <wp:wrapNone/>
              <wp:docPr id="1093" name="Shape 1093"/>
              <a:graphic xmlns:a="http://schemas.openxmlformats.org/drawingml/2006/main">
                <a:graphicData uri="http://schemas.microsoft.com/office/word/2010/wordprocessingShape">
                  <wps:wsp>
                    <wps:cNvSpPr txBox="1"/>
                    <wps:spPr>
                      <a:xfrm>
                        <a:ext cx="2527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wps:txbx>
                    <wps:bodyPr wrap="none" lIns="0" tIns="0" rIns="0" bIns="0">
                      <a:spAutoFit/>
                    </wps:bodyPr>
                  </wps:wsp>
                </a:graphicData>
              </a:graphic>
            </wp:anchor>
          </w:drawing>
        </mc:Choice>
        <mc:Fallback>
          <w:pict>
            <v:shape id="_x0000_s2119" type="#_x0000_t202" style="position:absolute;margin-left:307.75pt;margin-top:34.5pt;width:19.899999999999999pt;height:4.7999999999999998pt;z-index:-1887432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541655</wp:posOffset>
              </wp:positionV>
              <wp:extent cx="4023360" cy="0"/>
              <wp:wrapNone/>
              <wp:docPr id="1095" name="Shape 109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2.649999999999999pt;width:316.80000000000001pt;height:0;z-index:-251658240;mso-position-horizontal-relative:page;mso-position-vertical-relative:page">
              <v:stroke weight="1.pt"/>
            </v:shape>
          </w:pict>
        </mc:Fallback>
      </mc:AlternateContent>
    </w: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6" behindDoc="1" locked="0" layoutInCell="1" allowOverlap="1">
              <wp:simplePos x="0" y="0"/>
              <wp:positionH relativeFrom="page">
                <wp:posOffset>3908425</wp:posOffset>
              </wp:positionH>
              <wp:positionV relativeFrom="page">
                <wp:posOffset>438150</wp:posOffset>
              </wp:positionV>
              <wp:extent cx="252730" cy="60960"/>
              <wp:wrapNone/>
              <wp:docPr id="1096" name="Shape 1096"/>
              <a:graphic xmlns:a="http://schemas.openxmlformats.org/drawingml/2006/main">
                <a:graphicData uri="http://schemas.microsoft.com/office/word/2010/wordprocessingShape">
                  <wps:wsp>
                    <wps:cNvSpPr txBox="1"/>
                    <wps:spPr>
                      <a:xfrm>
                        <a:ext cx="2527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wps:txbx>
                    <wps:bodyPr wrap="none" lIns="0" tIns="0" rIns="0" bIns="0">
                      <a:spAutoFit/>
                    </wps:bodyPr>
                  </wps:wsp>
                </a:graphicData>
              </a:graphic>
            </wp:anchor>
          </w:drawing>
        </mc:Choice>
        <mc:Fallback>
          <w:pict>
            <v:shape id="_x0000_s2122" type="#_x0000_t202" style="position:absolute;margin-left:307.75pt;margin-top:34.5pt;width:19.899999999999999pt;height:4.7999999999999998pt;z-index:-1887432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HRAM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541655</wp:posOffset>
              </wp:positionV>
              <wp:extent cx="4023360" cy="0"/>
              <wp:wrapNone/>
              <wp:docPr id="1098" name="Shape 109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2.649999999999999pt;width:316.80000000000001pt;height:0;z-index:-251658240;mso-position-horizontal-relative:page;mso-position-vertical-relative:page">
              <v:stroke weight="1.pt"/>
            </v:shape>
          </w:pict>
        </mc:Fallback>
      </mc:AlternateContent>
    </w: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2" behindDoc="1" locked="0" layoutInCell="1" allowOverlap="1">
              <wp:simplePos x="0" y="0"/>
              <wp:positionH relativeFrom="page">
                <wp:posOffset>149860</wp:posOffset>
              </wp:positionH>
              <wp:positionV relativeFrom="page">
                <wp:posOffset>480695</wp:posOffset>
              </wp:positionV>
              <wp:extent cx="514985" cy="60960"/>
              <wp:wrapNone/>
              <wp:docPr id="1105" name="Shape 1105"/>
              <a:graphic xmlns:a="http://schemas.openxmlformats.org/drawingml/2006/main">
                <a:graphicData uri="http://schemas.microsoft.com/office/word/2010/wordprocessingShape">
                  <wps:wsp>
                    <wps:cNvSpPr txBox="1"/>
                    <wps:spPr>
                      <a:xfrm>
                        <a:ext cx="51498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INSPIRACIJA</w:t>
                          </w:r>
                        </w:p>
                      </w:txbxContent>
                    </wps:txbx>
                    <wps:bodyPr wrap="none" lIns="0" tIns="0" rIns="0" bIns="0">
                      <a:spAutoFit/>
                    </wps:bodyPr>
                  </wps:wsp>
                </a:graphicData>
              </a:graphic>
            </wp:anchor>
          </w:drawing>
        </mc:Choice>
        <mc:Fallback>
          <w:pict>
            <v:shape id="_x0000_s2131" type="#_x0000_t202" style="position:absolute;margin-left:11.800000000000001pt;margin-top:37.850000000000001pt;width:40.549999999999997pt;height:4.7999999999999998pt;z-index:-1887432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INSPIRACIJA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576580</wp:posOffset>
              </wp:positionV>
              <wp:extent cx="4023360" cy="0"/>
              <wp:wrapNone/>
              <wp:docPr id="1107" name="Shape 110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5.399999999999999pt;width:316.80000000000001pt;height:0;z-index:-251658240;mso-position-horizontal-relative:page;mso-position-vertical-relative:page">
              <v:stroke weight="1.pt"/>
            </v:shape>
          </w:pict>
        </mc:Fallback>
      </mc:AlternateContent>
    </w: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6" behindDoc="1" locked="0" layoutInCell="1" allowOverlap="1">
              <wp:simplePos x="0" y="0"/>
              <wp:positionH relativeFrom="page">
                <wp:posOffset>149860</wp:posOffset>
              </wp:positionH>
              <wp:positionV relativeFrom="page">
                <wp:posOffset>480695</wp:posOffset>
              </wp:positionV>
              <wp:extent cx="514985" cy="60960"/>
              <wp:wrapNone/>
              <wp:docPr id="1110" name="Shape 1110"/>
              <a:graphic xmlns:a="http://schemas.openxmlformats.org/drawingml/2006/main">
                <a:graphicData uri="http://schemas.microsoft.com/office/word/2010/wordprocessingShape">
                  <wps:wsp>
                    <wps:cNvSpPr txBox="1"/>
                    <wps:spPr>
                      <a:xfrm>
                        <a:ext cx="51498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INSPIRACIJA</w:t>
                          </w:r>
                        </w:p>
                      </w:txbxContent>
                    </wps:txbx>
                    <wps:bodyPr wrap="none" lIns="0" tIns="0" rIns="0" bIns="0">
                      <a:spAutoFit/>
                    </wps:bodyPr>
                  </wps:wsp>
                </a:graphicData>
              </a:graphic>
            </wp:anchor>
          </w:drawing>
        </mc:Choice>
        <mc:Fallback>
          <w:pict>
            <v:shape id="_x0000_s2136" type="#_x0000_t202" style="position:absolute;margin-left:11.800000000000001pt;margin-top:37.850000000000001pt;width:40.549999999999997pt;height:4.7999999999999998pt;z-index:-1887431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INSPIRACIJA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576580</wp:posOffset>
              </wp:positionV>
              <wp:extent cx="4023360" cy="0"/>
              <wp:wrapNone/>
              <wp:docPr id="1112" name="Shape 111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5.399999999999999pt;width:316.80000000000001pt;height:0;z-index:-251658240;mso-position-horizontal-relative:page;mso-position-vertical-relative:page">
              <v:stroke weight="1.pt"/>
            </v:shape>
          </w:pict>
        </mc:Fallback>
      </mc:AlternateContent>
    </w: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0" behindDoc="1" locked="0" layoutInCell="1" allowOverlap="1">
              <wp:simplePos x="0" y="0"/>
              <wp:positionH relativeFrom="page">
                <wp:posOffset>2519680</wp:posOffset>
              </wp:positionH>
              <wp:positionV relativeFrom="page">
                <wp:posOffset>468630</wp:posOffset>
              </wp:positionV>
              <wp:extent cx="1649095" cy="64135"/>
              <wp:wrapNone/>
              <wp:docPr id="1115" name="Shape 1115"/>
              <a:graphic xmlns:a="http://schemas.openxmlformats.org/drawingml/2006/main">
                <a:graphicData uri="http://schemas.microsoft.com/office/word/2010/wordprocessingShape">
                  <wps:wsp>
                    <wps:cNvSpPr txBox="1"/>
                    <wps:spPr>
                      <a:xfrm>
                        <a:ext cx="16490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INICIJACIJA/INKAKNACIIJA'INSPIRACIJA</w:t>
                          </w:r>
                        </w:p>
                      </w:txbxContent>
                    </wps:txbx>
                    <wps:bodyPr wrap="none" lIns="0" tIns="0" rIns="0" bIns="0">
                      <a:spAutoFit/>
                    </wps:bodyPr>
                  </wps:wsp>
                </a:graphicData>
              </a:graphic>
            </wp:anchor>
          </w:drawing>
        </mc:Choice>
        <mc:Fallback>
          <w:pict>
            <v:shape id="_x0000_s2141" type="#_x0000_t202" style="position:absolute;margin-left:198.40000000000001pt;margin-top:36.899999999999999pt;width:129.84999999999999pt;height:5.0499999999999998pt;z-index:-1887431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INICIJACIJA/INKAKNACIIJA'INSPIRACIJA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157480</wp:posOffset>
              </wp:positionH>
              <wp:positionV relativeFrom="page">
                <wp:posOffset>567690</wp:posOffset>
              </wp:positionV>
              <wp:extent cx="4020185" cy="0"/>
              <wp:wrapNone/>
              <wp:docPr id="1117" name="Shape 111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4pt;margin-top:44.700000000000003pt;width:316.55000000000001pt;height:0;z-index:-251658240;mso-position-horizontal-relative:page;mso-position-vertical-relative:page">
              <v:stroke weight="1.pt"/>
            </v:shape>
          </w:pict>
        </mc:Fallback>
      </mc:AlternateContent>
    </w: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2" behindDoc="1" locked="0" layoutInCell="1" allowOverlap="1">
              <wp:simplePos x="0" y="0"/>
              <wp:positionH relativeFrom="page">
                <wp:posOffset>3355340</wp:posOffset>
              </wp:positionH>
              <wp:positionV relativeFrom="page">
                <wp:posOffset>425450</wp:posOffset>
              </wp:positionV>
              <wp:extent cx="804545" cy="64135"/>
              <wp:wrapNone/>
              <wp:docPr id="1118" name="Shape 1118"/>
              <a:graphic xmlns:a="http://schemas.openxmlformats.org/drawingml/2006/main">
                <a:graphicData uri="http://schemas.microsoft.com/office/word/2010/wordprocessingShape">
                  <wps:wsp>
                    <wps:cNvSpPr txBox="1"/>
                    <wps:spPr>
                      <a:xfrm>
                        <a:ext cx="8045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INSPIRACIJA/1SI.AM</w:t>
                          </w:r>
                        </w:p>
                      </w:txbxContent>
                    </wps:txbx>
                    <wps:bodyPr wrap="none" lIns="0" tIns="0" rIns="0" bIns="0">
                      <a:spAutoFit/>
                    </wps:bodyPr>
                  </wps:wsp>
                </a:graphicData>
              </a:graphic>
            </wp:anchor>
          </w:drawing>
        </mc:Choice>
        <mc:Fallback>
          <w:pict>
            <v:shape id="_x0000_s2144" type="#_x0000_t202" style="position:absolute;margin-left:264.19999999999999pt;margin-top:33.5pt;width:63.350000000000001pt;height:5.0499999999999998pt;z-index:-1887431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INSPIRACIJA/1SI.AM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521970</wp:posOffset>
              </wp:positionV>
              <wp:extent cx="4023360" cy="0"/>
              <wp:wrapNone/>
              <wp:docPr id="1120" name="Shape 112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1.100000000000001pt;width:316.80000000000001pt;height:0;z-index:-251658240;mso-position-horizontal-relative:page;mso-position-vertical-relative:page">
              <v:stroke weight="1.pt"/>
            </v:shape>
          </w:pict>
        </mc:Fallback>
      </mc:AlternateContent>
    </w: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4" behindDoc="1" locked="0" layoutInCell="1" allowOverlap="1">
              <wp:simplePos x="0" y="0"/>
              <wp:positionH relativeFrom="page">
                <wp:posOffset>3355340</wp:posOffset>
              </wp:positionH>
              <wp:positionV relativeFrom="page">
                <wp:posOffset>425450</wp:posOffset>
              </wp:positionV>
              <wp:extent cx="804545" cy="64135"/>
              <wp:wrapNone/>
              <wp:docPr id="1121" name="Shape 1121"/>
              <a:graphic xmlns:a="http://schemas.openxmlformats.org/drawingml/2006/main">
                <a:graphicData uri="http://schemas.microsoft.com/office/word/2010/wordprocessingShape">
                  <wps:wsp>
                    <wps:cNvSpPr txBox="1"/>
                    <wps:spPr>
                      <a:xfrm>
                        <a:ext cx="8045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INSPIRACIJA/1SI.AM</w:t>
                          </w:r>
                        </w:p>
                      </w:txbxContent>
                    </wps:txbx>
                    <wps:bodyPr wrap="none" lIns="0" tIns="0" rIns="0" bIns="0">
                      <a:spAutoFit/>
                    </wps:bodyPr>
                  </wps:wsp>
                </a:graphicData>
              </a:graphic>
            </wp:anchor>
          </w:drawing>
        </mc:Choice>
        <mc:Fallback>
          <w:pict>
            <v:shape id="_x0000_s2147" type="#_x0000_t202" style="position:absolute;margin-left:264.19999999999999pt;margin-top:33.5pt;width:63.350000000000001pt;height:5.0499999999999998pt;z-index:-1887431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INSPIRACIJA/1SI.AM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521970</wp:posOffset>
              </wp:positionV>
              <wp:extent cx="4023360" cy="0"/>
              <wp:wrapNone/>
              <wp:docPr id="1123" name="Shape 112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1.100000000000001pt;width:316.80000000000001pt;height:0;z-index:-251658240;mso-position-horizontal-relative:page;mso-position-vertical-relative:page">
              <v:stroke weight="1.pt"/>
            </v:shape>
          </w:pict>
        </mc:Fallback>
      </mc:AlternateContent>
    </w: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6" behindDoc="1" locked="0" layoutInCell="1" allowOverlap="1">
              <wp:simplePos x="0" y="0"/>
              <wp:positionH relativeFrom="page">
                <wp:posOffset>3920490</wp:posOffset>
              </wp:positionH>
              <wp:positionV relativeFrom="page">
                <wp:posOffset>428625</wp:posOffset>
              </wp:positionV>
              <wp:extent cx="250190" cy="60960"/>
              <wp:wrapNone/>
              <wp:docPr id="1124" name="Shape 1124"/>
              <a:graphic xmlns:a="http://schemas.openxmlformats.org/drawingml/2006/main">
                <a:graphicData uri="http://schemas.microsoft.com/office/word/2010/wordprocessingShape">
                  <wps:wsp>
                    <wps:cNvSpPr txBox="1"/>
                    <wps:spPr>
                      <a:xfrm>
                        <a:ext cx="2501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ISLAM</w:t>
                          </w:r>
                        </w:p>
                      </w:txbxContent>
                    </wps:txbx>
                    <wps:bodyPr wrap="none" lIns="0" tIns="0" rIns="0" bIns="0">
                      <a:spAutoFit/>
                    </wps:bodyPr>
                  </wps:wsp>
                </a:graphicData>
              </a:graphic>
            </wp:anchor>
          </w:drawing>
        </mc:Choice>
        <mc:Fallback>
          <w:pict>
            <v:shape id="_x0000_s2150" type="#_x0000_t202" style="position:absolute;margin-left:308.69999999999999pt;margin-top:33.75pt;width:19.699999999999999pt;height:4.7999999999999998pt;z-index:-1887431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ISLAM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525780</wp:posOffset>
              </wp:positionV>
              <wp:extent cx="4020185" cy="0"/>
              <wp:wrapNone/>
              <wp:docPr id="1126" name="Shape 112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050000000000001pt;margin-top:41.399999999999999pt;width:316.55000000000001pt;height:0;z-index:-251658240;mso-position-horizontal-relative:page;mso-position-vertical-relative:page">
              <v:stroke weight="1.pt"/>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0" behindDoc="1" locked="0" layoutInCell="1" allowOverlap="1">
              <wp:simplePos x="0" y="0"/>
              <wp:positionH relativeFrom="page">
                <wp:posOffset>156210</wp:posOffset>
              </wp:positionH>
              <wp:positionV relativeFrom="page">
                <wp:posOffset>425450</wp:posOffset>
              </wp:positionV>
              <wp:extent cx="252730" cy="64135"/>
              <wp:wrapNone/>
              <wp:docPr id="1129" name="Shape 1129"/>
              <a:graphic xmlns:a="http://schemas.openxmlformats.org/drawingml/2006/main">
                <a:graphicData uri="http://schemas.microsoft.com/office/word/2010/wordprocessingShape">
                  <wps:wsp>
                    <wps:cNvSpPr txBox="1"/>
                    <wps:spPr>
                      <a:xfrm>
                        <a:ext cx="2527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ISLAM</w:t>
                          </w:r>
                        </w:p>
                      </w:txbxContent>
                    </wps:txbx>
                    <wps:bodyPr wrap="none" lIns="0" tIns="0" rIns="0" bIns="0">
                      <a:spAutoFit/>
                    </wps:bodyPr>
                  </wps:wsp>
                </a:graphicData>
              </a:graphic>
            </wp:anchor>
          </w:drawing>
        </mc:Choice>
        <mc:Fallback>
          <w:pict>
            <v:shape id="_x0000_s2155" type="#_x0000_t202" style="position:absolute;margin-left:12.300000000000001pt;margin-top:33.5pt;width:19.899999999999999pt;height:5.0499999999999998pt;z-index:-1887431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ISLAM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521970</wp:posOffset>
              </wp:positionV>
              <wp:extent cx="4023360" cy="0"/>
              <wp:wrapNone/>
              <wp:docPr id="1131" name="Shape 113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1.100000000000001pt;width:316.80000000000001pt;height:0;z-index:-251658240;mso-position-horizontal-relative:page;mso-position-vertical-relative:page">
              <v:stroke weight="1.pt"/>
            </v:shape>
          </w:pict>
        </mc:Fallback>
      </mc:AlternateContent>
    </w: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4" behindDoc="1" locked="0" layoutInCell="1" allowOverlap="1">
              <wp:simplePos x="0" y="0"/>
              <wp:positionH relativeFrom="page">
                <wp:posOffset>144145</wp:posOffset>
              </wp:positionH>
              <wp:positionV relativeFrom="page">
                <wp:posOffset>422910</wp:posOffset>
              </wp:positionV>
              <wp:extent cx="567055" cy="67310"/>
              <wp:wrapNone/>
              <wp:docPr id="1134" name="Shape 1134"/>
              <a:graphic xmlns:a="http://schemas.openxmlformats.org/drawingml/2006/main">
                <a:graphicData uri="http://schemas.microsoft.com/office/word/2010/wordprocessingShape">
                  <wps:wsp>
                    <wps:cNvSpPr txBox="1"/>
                    <wps:spPr>
                      <a:xfrm>
                        <a:ext cx="5670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ISLAM.'ISTINA</w:t>
                          </w:r>
                        </w:p>
                      </w:txbxContent>
                    </wps:txbx>
                    <wps:bodyPr wrap="none" lIns="0" tIns="0" rIns="0" bIns="0">
                      <a:spAutoFit/>
                    </wps:bodyPr>
                  </wps:wsp>
                </a:graphicData>
              </a:graphic>
            </wp:anchor>
          </w:drawing>
        </mc:Choice>
        <mc:Fallback>
          <w:pict>
            <v:shape id="_x0000_s2160" type="#_x0000_t202" style="position:absolute;margin-left:11.35pt;margin-top:33.299999999999997pt;width:44.649999999999999pt;height:5.2999999999999998pt;z-index:-1887431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ISLAM.'ISTINA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515620</wp:posOffset>
              </wp:positionV>
              <wp:extent cx="4026535" cy="0"/>
              <wp:wrapNone/>
              <wp:docPr id="1136" name="Shape 113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pt;margin-top:40.600000000000001pt;width:317.05000000000001pt;height:0;z-index:-251658240;mso-position-horizontal-relative:page;mso-position-vertical-relative:page">
              <v:stroke weight="1.pt"/>
            </v:shape>
          </w:pict>
        </mc:Fallback>
      </mc:AlternateContent>
    </w: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8" behindDoc="1" locked="0" layoutInCell="1" allowOverlap="1">
              <wp:simplePos x="0" y="0"/>
              <wp:positionH relativeFrom="page">
                <wp:posOffset>144145</wp:posOffset>
              </wp:positionH>
              <wp:positionV relativeFrom="page">
                <wp:posOffset>422910</wp:posOffset>
              </wp:positionV>
              <wp:extent cx="567055" cy="67310"/>
              <wp:wrapNone/>
              <wp:docPr id="1139" name="Shape 1139"/>
              <a:graphic xmlns:a="http://schemas.openxmlformats.org/drawingml/2006/main">
                <a:graphicData uri="http://schemas.microsoft.com/office/word/2010/wordprocessingShape">
                  <wps:wsp>
                    <wps:cNvSpPr txBox="1"/>
                    <wps:spPr>
                      <a:xfrm>
                        <a:ext cx="5670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ISLAM.'ISTINA</w:t>
                          </w:r>
                        </w:p>
                      </w:txbxContent>
                    </wps:txbx>
                    <wps:bodyPr wrap="none" lIns="0" tIns="0" rIns="0" bIns="0">
                      <a:spAutoFit/>
                    </wps:bodyPr>
                  </wps:wsp>
                </a:graphicData>
              </a:graphic>
            </wp:anchor>
          </w:drawing>
        </mc:Choice>
        <mc:Fallback>
          <w:pict>
            <v:shape id="_x0000_s2165" type="#_x0000_t202" style="position:absolute;margin-left:11.35pt;margin-top:33.299999999999997pt;width:44.649999999999999pt;height:5.2999999999999998pt;z-index:-1887431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ISLAM.'ISTINA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515620</wp:posOffset>
              </wp:positionV>
              <wp:extent cx="4026535" cy="0"/>
              <wp:wrapNone/>
              <wp:docPr id="1141" name="Shape 114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pt;margin-top:40.600000000000001pt;width:317.05000000000001pt;height:0;z-index:-251658240;mso-position-horizontal-relative:page;mso-position-vertical-relative:page">
              <v:stroke weight="1.pt"/>
            </v:shape>
          </w:pict>
        </mc:Fallback>
      </mc:AlternateContent>
    </w: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2" behindDoc="1" locked="0" layoutInCell="1" allowOverlap="1">
              <wp:simplePos x="0" y="0"/>
              <wp:positionH relativeFrom="page">
                <wp:posOffset>159385</wp:posOffset>
              </wp:positionH>
              <wp:positionV relativeFrom="page">
                <wp:posOffset>477520</wp:posOffset>
              </wp:positionV>
              <wp:extent cx="1481455" cy="79375"/>
              <wp:wrapNone/>
              <wp:docPr id="1144" name="Shape 1144"/>
              <a:graphic xmlns:a="http://schemas.openxmlformats.org/drawingml/2006/main">
                <a:graphicData uri="http://schemas.microsoft.com/office/word/2010/wordprocessingShape">
                  <wps:wsp>
                    <wps:cNvSpPr txBox="1"/>
                    <wps:spPr>
                      <a:xfrm>
                        <a:ext cx="148145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ISTINA'ISTOČNl GRIJEH.'ISUS KRIST</w:t>
                          </w:r>
                        </w:p>
                      </w:txbxContent>
                    </wps:txbx>
                    <wps:bodyPr wrap="none" lIns="0" tIns="0" rIns="0" bIns="0">
                      <a:spAutoFit/>
                    </wps:bodyPr>
                  </wps:wsp>
                </a:graphicData>
              </a:graphic>
            </wp:anchor>
          </w:drawing>
        </mc:Choice>
        <mc:Fallback>
          <w:pict>
            <v:shape id="_x0000_s2170" type="#_x0000_t202" style="position:absolute;margin-left:12.550000000000001pt;margin-top:37.600000000000001pt;width:116.65000000000001pt;height:6.25pt;z-index:-1887431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ISTINA'ISTOČNl GRIJEH.'ISUS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586740</wp:posOffset>
              </wp:positionV>
              <wp:extent cx="4020185" cy="0"/>
              <wp:wrapNone/>
              <wp:docPr id="1146" name="Shape 114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00000000000001pt;margin-top:46.200000000000003pt;width:316.55000000000001pt;height:0;z-index:-251658240;mso-position-horizontal-relative:page;mso-position-vertical-relative:page">
              <v:stroke weight="1.pt"/>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159385</wp:posOffset>
              </wp:positionH>
              <wp:positionV relativeFrom="page">
                <wp:posOffset>477520</wp:posOffset>
              </wp:positionV>
              <wp:extent cx="1481455" cy="79375"/>
              <wp:wrapNone/>
              <wp:docPr id="1147" name="Shape 1147"/>
              <a:graphic xmlns:a="http://schemas.openxmlformats.org/drawingml/2006/main">
                <a:graphicData uri="http://schemas.microsoft.com/office/word/2010/wordprocessingShape">
                  <wps:wsp>
                    <wps:cNvSpPr txBox="1"/>
                    <wps:spPr>
                      <a:xfrm>
                        <a:ext cx="148145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ISTINA'ISTOČNl GRIJEH.'ISUS KRIST</w:t>
                          </w:r>
                        </w:p>
                      </w:txbxContent>
                    </wps:txbx>
                    <wps:bodyPr wrap="none" lIns="0" tIns="0" rIns="0" bIns="0">
                      <a:spAutoFit/>
                    </wps:bodyPr>
                  </wps:wsp>
                </a:graphicData>
              </a:graphic>
            </wp:anchor>
          </w:drawing>
        </mc:Choice>
        <mc:Fallback>
          <w:pict>
            <v:shape id="_x0000_s2173" type="#_x0000_t202" style="position:absolute;margin-left:12.550000000000001pt;margin-top:37.600000000000001pt;width:116.65000000000001pt;height:6.25pt;z-index:-1887431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ISTINA'ISTOČNl GRIJEH.'ISUS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586740</wp:posOffset>
              </wp:positionV>
              <wp:extent cx="4020185" cy="0"/>
              <wp:wrapNone/>
              <wp:docPr id="1149" name="Shape 114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00000000000001pt;margin-top:46.200000000000003pt;width:316.55000000000001pt;height:0;z-index:-251658240;mso-position-horizontal-relative:page;mso-position-vertical-relative:page">
              <v:stroke weight="1.pt"/>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6" behindDoc="1" locked="0" layoutInCell="1" allowOverlap="1">
              <wp:simplePos x="0" y="0"/>
              <wp:positionH relativeFrom="page">
                <wp:posOffset>3890010</wp:posOffset>
              </wp:positionH>
              <wp:positionV relativeFrom="page">
                <wp:posOffset>480695</wp:posOffset>
              </wp:positionV>
              <wp:extent cx="274320" cy="64135"/>
              <wp:wrapNone/>
              <wp:docPr id="1150" name="Shape 1150"/>
              <a:graphic xmlns:a="http://schemas.openxmlformats.org/drawingml/2006/main">
                <a:graphicData uri="http://schemas.microsoft.com/office/word/2010/wordprocessingShape">
                  <wps:wsp>
                    <wps:cNvSpPr txBox="1"/>
                    <wps:spPr>
                      <a:xfrm>
                        <a:ext cx="2743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ISTINA</w:t>
                          </w:r>
                        </w:p>
                      </w:txbxContent>
                    </wps:txbx>
                    <wps:bodyPr wrap="none" lIns="0" tIns="0" rIns="0" bIns="0">
                      <a:spAutoFit/>
                    </wps:bodyPr>
                  </wps:wsp>
                </a:graphicData>
              </a:graphic>
            </wp:anchor>
          </w:drawing>
        </mc:Choice>
        <mc:Fallback>
          <w:pict>
            <v:shape id="_x0000_s2176" type="#_x0000_t202" style="position:absolute;margin-left:306.30000000000001pt;margin-top:37.850000000000001pt;width:21.600000000000001pt;height:5.0499999999999998pt;z-index:-1887431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ISTINA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584200</wp:posOffset>
              </wp:positionV>
              <wp:extent cx="4023360" cy="0"/>
              <wp:wrapNone/>
              <wp:docPr id="1152" name="Shape 115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6.pt;width:316.80000000000001pt;height:0;z-index:-251658240;mso-position-horizontal-relative:page;mso-position-vertical-relative:page">
              <v:stroke weight="1.pt"/>
            </v:shape>
          </w:pict>
        </mc:Fallback>
      </mc:AlternateContent>
    </w: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8" behindDoc="1" locked="0" layoutInCell="1" allowOverlap="1">
              <wp:simplePos x="0" y="0"/>
              <wp:positionH relativeFrom="page">
                <wp:posOffset>3721100</wp:posOffset>
              </wp:positionH>
              <wp:positionV relativeFrom="page">
                <wp:posOffset>443865</wp:posOffset>
              </wp:positionV>
              <wp:extent cx="454025" cy="64135"/>
              <wp:wrapNone/>
              <wp:docPr id="1153" name="Shape 1153"/>
              <a:graphic xmlns:a="http://schemas.openxmlformats.org/drawingml/2006/main">
                <a:graphicData uri="http://schemas.microsoft.com/office/word/2010/wordprocessingShape">
                  <wps:wsp>
                    <wps:cNvSpPr txBox="1"/>
                    <wps:spPr>
                      <a:xfrm>
                        <a:ext cx="4540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179" type="#_x0000_t202" style="position:absolute;margin-left:293.pt;margin-top:34.950000000000003pt;width:35.75pt;height:5.0499999999999998pt;z-index:-1887431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562610</wp:posOffset>
              </wp:positionV>
              <wp:extent cx="4020185" cy="0"/>
              <wp:wrapNone/>
              <wp:docPr id="1155" name="Shape 115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4.299999999999997pt;width:316.55000000000001pt;height:0;z-index:-251658240;mso-position-horizontal-relative:page;mso-position-vertical-relative:page">
              <v:stroke weight="1.pt"/>
            </v:shape>
          </w:pict>
        </mc:Fallback>
      </mc:AlternateContent>
    </w: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0" behindDoc="1" locked="0" layoutInCell="1" allowOverlap="1">
              <wp:simplePos x="0" y="0"/>
              <wp:positionH relativeFrom="page">
                <wp:posOffset>3721100</wp:posOffset>
              </wp:positionH>
              <wp:positionV relativeFrom="page">
                <wp:posOffset>443865</wp:posOffset>
              </wp:positionV>
              <wp:extent cx="454025" cy="64135"/>
              <wp:wrapNone/>
              <wp:docPr id="1156" name="Shape 1156"/>
              <a:graphic xmlns:a="http://schemas.openxmlformats.org/drawingml/2006/main">
                <a:graphicData uri="http://schemas.microsoft.com/office/word/2010/wordprocessingShape">
                  <wps:wsp>
                    <wps:cNvSpPr txBox="1"/>
                    <wps:spPr>
                      <a:xfrm>
                        <a:ext cx="4540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182" type="#_x0000_t202" style="position:absolute;margin-left:293.pt;margin-top:34.950000000000003pt;width:35.75pt;height:5.0499999999999998pt;z-index:-1887431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562610</wp:posOffset>
              </wp:positionV>
              <wp:extent cx="4020185" cy="0"/>
              <wp:wrapNone/>
              <wp:docPr id="1158" name="Shape 115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4.299999999999997pt;width:316.55000000000001pt;height:0;z-index:-251658240;mso-position-horizontal-relative:page;mso-position-vertical-relative:page">
              <v:stroke weight="1.pt"/>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2" behindDoc="1" locked="0" layoutInCell="1" allowOverlap="1">
              <wp:simplePos x="0" y="0"/>
              <wp:positionH relativeFrom="page">
                <wp:posOffset>144145</wp:posOffset>
              </wp:positionH>
              <wp:positionV relativeFrom="page">
                <wp:posOffset>425450</wp:posOffset>
              </wp:positionV>
              <wp:extent cx="460375" cy="67310"/>
              <wp:wrapNone/>
              <wp:docPr id="1159" name="Shape 1159"/>
              <a:graphic xmlns:a="http://schemas.openxmlformats.org/drawingml/2006/main">
                <a:graphicData uri="http://schemas.microsoft.com/office/word/2010/wordprocessingShape">
                  <wps:wsp>
                    <wps:cNvSpPr txBox="1"/>
                    <wps:spPr>
                      <a:xfrm>
                        <a:ext cx="4603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185" type="#_x0000_t202" style="position:absolute;margin-left:11.35pt;margin-top:33.5pt;width:36.25pt;height:5.2999999999999998pt;z-index:-1887431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577850</wp:posOffset>
              </wp:positionV>
              <wp:extent cx="4020185" cy="0"/>
              <wp:wrapNone/>
              <wp:docPr id="1161" name="Shape 116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5.5pt;width:316.55000000000001pt;height:0;z-index:-251658240;mso-position-horizontal-relative:page;mso-position-vertical-relative:page">
              <v:stroke weight="1.pt"/>
            </v:shape>
          </w:pict>
        </mc:Fallback>
      </mc:AlternateContent>
    </w: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6" behindDoc="1" locked="0" layoutInCell="1" allowOverlap="1">
              <wp:simplePos x="0" y="0"/>
              <wp:positionH relativeFrom="page">
                <wp:posOffset>144145</wp:posOffset>
              </wp:positionH>
              <wp:positionV relativeFrom="page">
                <wp:posOffset>425450</wp:posOffset>
              </wp:positionV>
              <wp:extent cx="460375" cy="67310"/>
              <wp:wrapNone/>
              <wp:docPr id="1164" name="Shape 1164"/>
              <a:graphic xmlns:a="http://schemas.openxmlformats.org/drawingml/2006/main">
                <a:graphicData uri="http://schemas.microsoft.com/office/word/2010/wordprocessingShape">
                  <wps:wsp>
                    <wps:cNvSpPr txBox="1"/>
                    <wps:spPr>
                      <a:xfrm>
                        <a:ext cx="4603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190" type="#_x0000_t202" style="position:absolute;margin-left:11.35pt;margin-top:33.5pt;width:36.25pt;height:5.2999999999999998pt;z-index:-1887431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577850</wp:posOffset>
              </wp:positionV>
              <wp:extent cx="4020185" cy="0"/>
              <wp:wrapNone/>
              <wp:docPr id="1166" name="Shape 116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5.5pt;width:316.55000000000001pt;height:0;z-index:-251658240;mso-position-horizontal-relative:page;mso-position-vertical-relative:page">
              <v:stroke weight="1.pt"/>
            </v:shape>
          </w:pict>
        </mc:Fallback>
      </mc:AlternateContent>
    </w: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0" behindDoc="1" locked="0" layoutInCell="1" allowOverlap="1">
              <wp:simplePos x="0" y="0"/>
              <wp:positionH relativeFrom="page">
                <wp:posOffset>3721100</wp:posOffset>
              </wp:positionH>
              <wp:positionV relativeFrom="page">
                <wp:posOffset>443865</wp:posOffset>
              </wp:positionV>
              <wp:extent cx="454025" cy="64135"/>
              <wp:wrapNone/>
              <wp:docPr id="1169" name="Shape 1169"/>
              <a:graphic xmlns:a="http://schemas.openxmlformats.org/drawingml/2006/main">
                <a:graphicData uri="http://schemas.microsoft.com/office/word/2010/wordprocessingShape">
                  <wps:wsp>
                    <wps:cNvSpPr txBox="1"/>
                    <wps:spPr>
                      <a:xfrm>
                        <a:ext cx="4540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195" type="#_x0000_t202" style="position:absolute;margin-left:293.pt;margin-top:34.950000000000003pt;width:35.75pt;height:5.0499999999999998pt;z-index:-1887431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562610</wp:posOffset>
              </wp:positionV>
              <wp:extent cx="4020185" cy="0"/>
              <wp:wrapNone/>
              <wp:docPr id="1171" name="Shape 117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4.299999999999997pt;width:316.55000000000001pt;height:0;z-index:-251658240;mso-position-horizontal-relative:page;mso-position-vertical-relative:page">
              <v:stroke weight="1.pt"/>
            </v:shape>
          </w:pict>
        </mc:Fallback>
      </mc:AlternateContent>
    </w: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2" behindDoc="1" locked="0" layoutInCell="1" allowOverlap="1">
              <wp:simplePos x="0" y="0"/>
              <wp:positionH relativeFrom="page">
                <wp:posOffset>3721100</wp:posOffset>
              </wp:positionH>
              <wp:positionV relativeFrom="page">
                <wp:posOffset>443865</wp:posOffset>
              </wp:positionV>
              <wp:extent cx="454025" cy="64135"/>
              <wp:wrapNone/>
              <wp:docPr id="1172" name="Shape 1172"/>
              <a:graphic xmlns:a="http://schemas.openxmlformats.org/drawingml/2006/main">
                <a:graphicData uri="http://schemas.microsoft.com/office/word/2010/wordprocessingShape">
                  <wps:wsp>
                    <wps:cNvSpPr txBox="1"/>
                    <wps:spPr>
                      <a:xfrm>
                        <a:ext cx="4540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198" type="#_x0000_t202" style="position:absolute;margin-left:293.pt;margin-top:34.950000000000003pt;width:35.75pt;height:5.0499999999999998pt;z-index:-1887431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562610</wp:posOffset>
              </wp:positionV>
              <wp:extent cx="4020185" cy="0"/>
              <wp:wrapNone/>
              <wp:docPr id="1174" name="Shape 117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4.299999999999997pt;width:316.55000000000001pt;height:0;z-index:-251658240;mso-position-horizontal-relative:page;mso-position-vertical-relative:page">
              <v:stroke weight="1.pt"/>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4" behindDoc="1" locked="0" layoutInCell="1" allowOverlap="1">
              <wp:simplePos x="0" y="0"/>
              <wp:positionH relativeFrom="page">
                <wp:posOffset>144145</wp:posOffset>
              </wp:positionH>
              <wp:positionV relativeFrom="page">
                <wp:posOffset>425450</wp:posOffset>
              </wp:positionV>
              <wp:extent cx="460375" cy="67310"/>
              <wp:wrapNone/>
              <wp:docPr id="1175" name="Shape 1175"/>
              <a:graphic xmlns:a="http://schemas.openxmlformats.org/drawingml/2006/main">
                <a:graphicData uri="http://schemas.microsoft.com/office/word/2010/wordprocessingShape">
                  <wps:wsp>
                    <wps:cNvSpPr txBox="1"/>
                    <wps:spPr>
                      <a:xfrm>
                        <a:ext cx="4603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201" type="#_x0000_t202" style="position:absolute;margin-left:11.35pt;margin-top:33.5pt;width:36.25pt;height:5.2999999999999998pt;z-index:-1887431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577850</wp:posOffset>
              </wp:positionV>
              <wp:extent cx="4020185" cy="0"/>
              <wp:wrapNone/>
              <wp:docPr id="1177" name="Shape 117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5.5pt;width:316.55000000000001pt;height:0;z-index:-251658240;mso-position-horizontal-relative:page;mso-position-vertical-relative:page">
              <v:stroke weight="1.pt"/>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8" behindDoc="1" locked="0" layoutInCell="1" allowOverlap="1">
              <wp:simplePos x="0" y="0"/>
              <wp:positionH relativeFrom="page">
                <wp:posOffset>144145</wp:posOffset>
              </wp:positionH>
              <wp:positionV relativeFrom="page">
                <wp:posOffset>425450</wp:posOffset>
              </wp:positionV>
              <wp:extent cx="460375" cy="67310"/>
              <wp:wrapNone/>
              <wp:docPr id="1180" name="Shape 1180"/>
              <a:graphic xmlns:a="http://schemas.openxmlformats.org/drawingml/2006/main">
                <a:graphicData uri="http://schemas.microsoft.com/office/word/2010/wordprocessingShape">
                  <wps:wsp>
                    <wps:cNvSpPr txBox="1"/>
                    <wps:spPr>
                      <a:xfrm>
                        <a:ext cx="4603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206" type="#_x0000_t202" style="position:absolute;margin-left:11.35pt;margin-top:33.5pt;width:36.25pt;height:5.2999999999999998pt;z-index:-1887431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577850</wp:posOffset>
              </wp:positionV>
              <wp:extent cx="4020185" cy="0"/>
              <wp:wrapNone/>
              <wp:docPr id="1182" name="Shape 118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5.5pt;width:316.55000000000001pt;height:0;z-index:-251658240;mso-position-horizontal-relative:page;mso-position-vertical-relative:page">
              <v:stroke weight="1.pt"/>
            </v:shape>
          </w:pict>
        </mc:Fallback>
      </mc:AlternateContent>
    </w: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2" behindDoc="1" locked="0" layoutInCell="1" allowOverlap="1">
              <wp:simplePos x="0" y="0"/>
              <wp:positionH relativeFrom="page">
                <wp:posOffset>3721100</wp:posOffset>
              </wp:positionH>
              <wp:positionV relativeFrom="page">
                <wp:posOffset>443865</wp:posOffset>
              </wp:positionV>
              <wp:extent cx="454025" cy="64135"/>
              <wp:wrapNone/>
              <wp:docPr id="1189" name="Shape 1189"/>
              <a:graphic xmlns:a="http://schemas.openxmlformats.org/drawingml/2006/main">
                <a:graphicData uri="http://schemas.microsoft.com/office/word/2010/wordprocessingShape">
                  <wps:wsp>
                    <wps:cNvSpPr txBox="1"/>
                    <wps:spPr>
                      <a:xfrm>
                        <a:ext cx="4540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215" type="#_x0000_t202" style="position:absolute;margin-left:293.pt;margin-top:34.950000000000003pt;width:35.75pt;height:5.0499999999999998pt;z-index:-1887431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562610</wp:posOffset>
              </wp:positionV>
              <wp:extent cx="4020185" cy="0"/>
              <wp:wrapNone/>
              <wp:docPr id="1191" name="Shape 119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4.299999999999997pt;width:316.55000000000001pt;height:0;z-index:-251658240;mso-position-horizontal-relative:page;mso-position-vertical-relative:page">
              <v:stroke weight="1.pt"/>
            </v:shape>
          </w:pict>
        </mc:Fallback>
      </mc:AlternateContent>
    </w: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4" behindDoc="1" locked="0" layoutInCell="1" allowOverlap="1">
              <wp:simplePos x="0" y="0"/>
              <wp:positionH relativeFrom="page">
                <wp:posOffset>147320</wp:posOffset>
              </wp:positionH>
              <wp:positionV relativeFrom="page">
                <wp:posOffset>468630</wp:posOffset>
              </wp:positionV>
              <wp:extent cx="460375" cy="67310"/>
              <wp:wrapNone/>
              <wp:docPr id="1192" name="Shape 1192"/>
              <a:graphic xmlns:a="http://schemas.openxmlformats.org/drawingml/2006/main">
                <a:graphicData uri="http://schemas.microsoft.com/office/word/2010/wordprocessingShape">
                  <wps:wsp>
                    <wps:cNvSpPr txBox="1"/>
                    <wps:spPr>
                      <a:xfrm>
                        <a:ext cx="4603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wps:txbx>
                    <wps:bodyPr wrap="none" lIns="0" tIns="0" rIns="0" bIns="0">
                      <a:spAutoFit/>
                    </wps:bodyPr>
                  </wps:wsp>
                </a:graphicData>
              </a:graphic>
            </wp:anchor>
          </w:drawing>
        </mc:Choice>
        <mc:Fallback>
          <w:pict>
            <v:shape id="_x0000_s2218" type="#_x0000_t202" style="position:absolute;margin-left:11.6pt;margin-top:36.899999999999999pt;width:36.25pt;height:5.2999999999999998pt;z-index:-1887431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565785</wp:posOffset>
              </wp:positionV>
              <wp:extent cx="4026535" cy="0"/>
              <wp:wrapNone/>
              <wp:docPr id="1194" name="Shape 119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35pt;margin-top:44.549999999999997pt;width:317.05000000000001pt;height:0;z-index:-251658240;mso-position-horizontal-relative:page;mso-position-vertical-relative:page">
              <v:stroke weight="1.pt"/>
            </v:shape>
          </w:pict>
        </mc:Fallback>
      </mc:AlternateContent>
    </w: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6" behindDoc="1" locked="0" layoutInCell="1" allowOverlap="1">
              <wp:simplePos x="0" y="0"/>
              <wp:positionH relativeFrom="page">
                <wp:posOffset>145415</wp:posOffset>
              </wp:positionH>
              <wp:positionV relativeFrom="page">
                <wp:posOffset>422910</wp:posOffset>
              </wp:positionV>
              <wp:extent cx="963295" cy="67310"/>
              <wp:wrapNone/>
              <wp:docPr id="1195" name="Shape 1195"/>
              <a:graphic xmlns:a="http://schemas.openxmlformats.org/drawingml/2006/main">
                <a:graphicData uri="http://schemas.microsoft.com/office/word/2010/wordprocessingShape">
                  <wps:wsp>
                    <wps:cNvSpPr txBox="1"/>
                    <wps:spPr>
                      <a:xfrm>
                        <a:ext cx="96329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KRIST/IZABRANJE</w:t>
                          </w:r>
                        </w:p>
                      </w:txbxContent>
                    </wps:txbx>
                    <wps:bodyPr wrap="none" lIns="0" tIns="0" rIns="0" bIns="0">
                      <a:spAutoFit/>
                    </wps:bodyPr>
                  </wps:wsp>
                </a:graphicData>
              </a:graphic>
            </wp:anchor>
          </w:drawing>
        </mc:Choice>
        <mc:Fallback>
          <w:pict>
            <v:shape id="_x0000_s2221" type="#_x0000_t202" style="position:absolute;margin-left:11.449999999999999pt;margin-top:33.299999999999997pt;width:75.849999999999994pt;height:5.2999999999999998pt;z-index:-1887431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KRIST/IZABRANJE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515620</wp:posOffset>
              </wp:positionV>
              <wp:extent cx="4023360" cy="0"/>
              <wp:wrapNone/>
              <wp:docPr id="1197" name="Shape 119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99999999999999pt;margin-top:40.600000000000001pt;width:316.80000000000001pt;height:0;z-index:-251658240;mso-position-horizontal-relative:page;mso-position-vertical-relative:page">
              <v:stroke weight="1.pt"/>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0" behindDoc="1" locked="0" layoutInCell="1" allowOverlap="1">
              <wp:simplePos x="0" y="0"/>
              <wp:positionH relativeFrom="page">
                <wp:posOffset>145415</wp:posOffset>
              </wp:positionH>
              <wp:positionV relativeFrom="page">
                <wp:posOffset>422910</wp:posOffset>
              </wp:positionV>
              <wp:extent cx="963295" cy="67310"/>
              <wp:wrapNone/>
              <wp:docPr id="1200" name="Shape 1200"/>
              <a:graphic xmlns:a="http://schemas.openxmlformats.org/drawingml/2006/main">
                <a:graphicData uri="http://schemas.microsoft.com/office/word/2010/wordprocessingShape">
                  <wps:wsp>
                    <wps:cNvSpPr txBox="1"/>
                    <wps:spPr>
                      <a:xfrm>
                        <a:ext cx="96329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KRIST/IZABRANJE</w:t>
                          </w:r>
                        </w:p>
                      </w:txbxContent>
                    </wps:txbx>
                    <wps:bodyPr wrap="none" lIns="0" tIns="0" rIns="0" bIns="0">
                      <a:spAutoFit/>
                    </wps:bodyPr>
                  </wps:wsp>
                </a:graphicData>
              </a:graphic>
            </wp:anchor>
          </w:drawing>
        </mc:Choice>
        <mc:Fallback>
          <w:pict>
            <v:shape id="_x0000_s2226" type="#_x0000_t202" style="position:absolute;margin-left:11.449999999999999pt;margin-top:33.299999999999997pt;width:75.849999999999994pt;height:5.2999999999999998pt;z-index:-1887431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ISUS KRIST/IZABRANJE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515620</wp:posOffset>
              </wp:positionV>
              <wp:extent cx="4023360" cy="0"/>
              <wp:wrapNone/>
              <wp:docPr id="1202" name="Shape 120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99999999999999pt;margin-top:40.600000000000001pt;width:316.80000000000001pt;height:0;z-index:-251658240;mso-position-horizontal-relative:page;mso-position-vertical-relative:page">
              <v:stroke weight="1.pt"/>
            </v:shape>
          </w:pict>
        </mc:Fallback>
      </mc:AlternateContent>
    </w: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4" behindDoc="1" locked="0" layoutInCell="1" allowOverlap="1">
              <wp:simplePos x="0" y="0"/>
              <wp:positionH relativeFrom="page">
                <wp:posOffset>151765</wp:posOffset>
              </wp:positionH>
              <wp:positionV relativeFrom="page">
                <wp:posOffset>486410</wp:posOffset>
              </wp:positionV>
              <wp:extent cx="478790" cy="67310"/>
              <wp:wrapNone/>
              <wp:docPr id="1207" name="Shape 1207"/>
              <a:graphic xmlns:a="http://schemas.openxmlformats.org/drawingml/2006/main">
                <a:graphicData uri="http://schemas.microsoft.com/office/word/2010/wordprocessingShape">
                  <wps:wsp>
                    <wps:cNvSpPr txBox="1"/>
                    <wps:spPr>
                      <a:xfrm>
                        <a:ext cx="4787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wps:txbx>
                    <wps:bodyPr wrap="none" lIns="0" tIns="0" rIns="0" bIns="0">
                      <a:spAutoFit/>
                    </wps:bodyPr>
                  </wps:wsp>
                </a:graphicData>
              </a:graphic>
            </wp:anchor>
          </w:drawing>
        </mc:Choice>
        <mc:Fallback>
          <w:pict>
            <v:shape id="_x0000_s2233" type="#_x0000_t202" style="position:absolute;margin-left:11.949999999999999pt;margin-top:38.299999999999997pt;width:37.700000000000003pt;height:5.2999999999999998pt;z-index:-1887431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584200</wp:posOffset>
              </wp:positionV>
              <wp:extent cx="4026535" cy="0"/>
              <wp:wrapNone/>
              <wp:docPr id="1209" name="Shape 120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99999999999999pt;margin-top:46.pt;width:317.05000000000001pt;height:0;z-index:-251658240;mso-position-horizontal-relative:page;mso-position-vertical-relative:page">
              <v:stroke weight="1.pt"/>
            </v:shape>
          </w:pict>
        </mc:Fallback>
      </mc:AlternateContent>
    </w: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8" behindDoc="1" locked="0" layoutInCell="1" allowOverlap="1">
              <wp:simplePos x="0" y="0"/>
              <wp:positionH relativeFrom="page">
                <wp:posOffset>151765</wp:posOffset>
              </wp:positionH>
              <wp:positionV relativeFrom="page">
                <wp:posOffset>486410</wp:posOffset>
              </wp:positionV>
              <wp:extent cx="478790" cy="67310"/>
              <wp:wrapNone/>
              <wp:docPr id="1212" name="Shape 1212"/>
              <a:graphic xmlns:a="http://schemas.openxmlformats.org/drawingml/2006/main">
                <a:graphicData uri="http://schemas.microsoft.com/office/word/2010/wordprocessingShape">
                  <wps:wsp>
                    <wps:cNvSpPr txBox="1"/>
                    <wps:spPr>
                      <a:xfrm>
                        <a:ext cx="4787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wps:txbx>
                    <wps:bodyPr wrap="none" lIns="0" tIns="0" rIns="0" bIns="0">
                      <a:spAutoFit/>
                    </wps:bodyPr>
                  </wps:wsp>
                </a:graphicData>
              </a:graphic>
            </wp:anchor>
          </w:drawing>
        </mc:Choice>
        <mc:Fallback>
          <w:pict>
            <v:shape id="_x0000_s2238" type="#_x0000_t202" style="position:absolute;margin-left:11.949999999999999pt;margin-top:38.299999999999997pt;width:37.700000000000003pt;height:5.2999999999999998pt;z-index:-1887431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584200</wp:posOffset>
              </wp:positionV>
              <wp:extent cx="4026535" cy="0"/>
              <wp:wrapNone/>
              <wp:docPr id="1214" name="Shape 121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99999999999999pt;margin-top:46.pt;width:317.05000000000001pt;height:0;z-index:-251658240;mso-position-horizontal-relative:page;mso-position-vertical-relative:page">
              <v:stroke weight="1.pt"/>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2" behindDoc="1" locked="0" layoutInCell="1" allowOverlap="1">
              <wp:simplePos x="0" y="0"/>
              <wp:positionH relativeFrom="page">
                <wp:posOffset>3695065</wp:posOffset>
              </wp:positionH>
              <wp:positionV relativeFrom="page">
                <wp:posOffset>443865</wp:posOffset>
              </wp:positionV>
              <wp:extent cx="475615" cy="60960"/>
              <wp:wrapNone/>
              <wp:docPr id="1217" name="Shape 1217"/>
              <a:graphic xmlns:a="http://schemas.openxmlformats.org/drawingml/2006/main">
                <a:graphicData uri="http://schemas.microsoft.com/office/word/2010/wordprocessingShape">
                  <wps:wsp>
                    <wps:cNvSpPr txBox="1"/>
                    <wps:spPr>
                      <a:xfrm>
                        <a:ext cx="47561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IZABRANU?</w:t>
                          </w:r>
                        </w:p>
                      </w:txbxContent>
                    </wps:txbx>
                    <wps:bodyPr wrap="none" lIns="0" tIns="0" rIns="0" bIns="0">
                      <a:spAutoFit/>
                    </wps:bodyPr>
                  </wps:wsp>
                </a:graphicData>
              </a:graphic>
            </wp:anchor>
          </w:drawing>
        </mc:Choice>
        <mc:Fallback>
          <w:pict>
            <v:shape id="_x0000_s2243" type="#_x0000_t202" style="position:absolute;margin-left:290.94999999999999pt;margin-top:34.950000000000003pt;width:37.450000000000003pt;height:4.7999999999999998pt;z-index:-1887431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IZABRANU?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539750</wp:posOffset>
              </wp:positionV>
              <wp:extent cx="4023360" cy="0"/>
              <wp:wrapNone/>
              <wp:docPr id="1219" name="Shape 121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2.5pt;width:316.80000000000001pt;height:0;z-index:-251658240;mso-position-horizontal-relative:page;mso-position-vertical-relative:page">
              <v:stroke weight="1.pt"/>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4" behindDoc="1" locked="0" layoutInCell="1" allowOverlap="1">
              <wp:simplePos x="0" y="0"/>
              <wp:positionH relativeFrom="page">
                <wp:posOffset>3676650</wp:posOffset>
              </wp:positionH>
              <wp:positionV relativeFrom="page">
                <wp:posOffset>431800</wp:posOffset>
              </wp:positionV>
              <wp:extent cx="475615" cy="64135"/>
              <wp:wrapNone/>
              <wp:docPr id="1220" name="Shape 1220"/>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wps:txbx>
                    <wps:bodyPr wrap="none" lIns="0" tIns="0" rIns="0" bIns="0">
                      <a:spAutoFit/>
                    </wps:bodyPr>
                  </wps:wsp>
                </a:graphicData>
              </a:graphic>
            </wp:anchor>
          </w:drawing>
        </mc:Choice>
        <mc:Fallback>
          <w:pict>
            <v:shape id="_x0000_s2246" type="#_x0000_t202" style="position:absolute;margin-left:289.5pt;margin-top:34.pt;width:37.450000000000003pt;height:5.0499999999999998pt;z-index:-1887431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134620</wp:posOffset>
              </wp:positionH>
              <wp:positionV relativeFrom="page">
                <wp:posOffset>530860</wp:posOffset>
              </wp:positionV>
              <wp:extent cx="4017010" cy="0"/>
              <wp:wrapNone/>
              <wp:docPr id="1222" name="Shape 122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0.6pt;margin-top:41.799999999999997pt;width:316.30000000000001pt;height:0;z-index:-251658240;mso-position-horizontal-relative:page;mso-position-vertical-relative:page">
              <v:stroke weight="1.pt"/>
            </v:shape>
          </w:pict>
        </mc:Fallback>
      </mc:AlternateContent>
    </w: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8" behindDoc="1" locked="0" layoutInCell="1" allowOverlap="1">
              <wp:simplePos x="0" y="0"/>
              <wp:positionH relativeFrom="page">
                <wp:posOffset>3676650</wp:posOffset>
              </wp:positionH>
              <wp:positionV relativeFrom="page">
                <wp:posOffset>431800</wp:posOffset>
              </wp:positionV>
              <wp:extent cx="475615" cy="64135"/>
              <wp:wrapNone/>
              <wp:docPr id="1225" name="Shape 1225"/>
              <a:graphic xmlns:a="http://schemas.openxmlformats.org/drawingml/2006/main">
                <a:graphicData uri="http://schemas.microsoft.com/office/word/2010/wordprocessingShape">
                  <wps:wsp>
                    <wps:cNvSpPr txBox="1"/>
                    <wps:spPr>
                      <a:xfrm>
                        <a:ext cx="4756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wps:txbx>
                    <wps:bodyPr wrap="none" lIns="0" tIns="0" rIns="0" bIns="0">
                      <a:spAutoFit/>
                    </wps:bodyPr>
                  </wps:wsp>
                </a:graphicData>
              </a:graphic>
            </wp:anchor>
          </w:drawing>
        </mc:Choice>
        <mc:Fallback>
          <w:pict>
            <v:shape id="_x0000_s2251" type="#_x0000_t202" style="position:absolute;margin-left:289.5pt;margin-top:34.pt;width:37.450000000000003pt;height:5.0499999999999998pt;z-index:-1887431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IZABRAN’JE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134620</wp:posOffset>
              </wp:positionH>
              <wp:positionV relativeFrom="page">
                <wp:posOffset>530860</wp:posOffset>
              </wp:positionV>
              <wp:extent cx="4017010" cy="0"/>
              <wp:wrapNone/>
              <wp:docPr id="1227" name="Shape 122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0.6pt;margin-top:41.799999999999997pt;width:316.30000000000001pt;height:0;z-index:-251658240;mso-position-horizontal-relative:page;mso-position-vertical-relative:page">
              <v:stroke weight="1.pt"/>
            </v:shape>
          </w:pict>
        </mc:Fallback>
      </mc:AlternateContent>
    </w: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6" behindDoc="1" locked="0" layoutInCell="1" allowOverlap="1">
              <wp:simplePos x="0" y="0"/>
              <wp:positionH relativeFrom="page">
                <wp:posOffset>2984500</wp:posOffset>
              </wp:positionH>
              <wp:positionV relativeFrom="page">
                <wp:posOffset>413385</wp:posOffset>
              </wp:positionV>
              <wp:extent cx="1182370" cy="76200"/>
              <wp:wrapNone/>
              <wp:docPr id="1234" name="Shape 1234"/>
              <a:graphic xmlns:a="http://schemas.openxmlformats.org/drawingml/2006/main">
                <a:graphicData uri="http://schemas.microsoft.com/office/word/2010/wordprocessingShape">
                  <wps:wsp>
                    <wps:cNvSpPr txBox="1"/>
                    <wps:spPr>
                      <a:xfrm>
                        <a:ext cx="118237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wps:txbx>
                    <wps:bodyPr wrap="none" lIns="0" tIns="0" rIns="0" bIns="0">
                      <a:spAutoFit/>
                    </wps:bodyPr>
                  </wps:wsp>
                </a:graphicData>
              </a:graphic>
            </wp:anchor>
          </w:drawing>
        </mc:Choice>
        <mc:Fallback>
          <w:pict>
            <v:shape id="_x0000_s2260" type="#_x0000_t202" style="position:absolute;margin-left:235.pt;margin-top:32.549999999999997pt;width:93.099999999999994pt;height:6.pt;z-index:-1887431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528955</wp:posOffset>
              </wp:positionV>
              <wp:extent cx="4023360" cy="0"/>
              <wp:wrapNone/>
              <wp:docPr id="1236" name="Shape 123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1.649999999999999pt;width:316.80000000000001pt;height:0;z-index:-251658240;mso-position-horizontal-relative:page;mso-position-vertical-relative:page">
              <v:stroke weight="1.pt"/>
            </v:shape>
          </w:pict>
        </mc:Fallback>
      </mc:AlternateContent>
    </w: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8" behindDoc="1" locked="0" layoutInCell="1" allowOverlap="1">
              <wp:simplePos x="0" y="0"/>
              <wp:positionH relativeFrom="page">
                <wp:posOffset>2984500</wp:posOffset>
              </wp:positionH>
              <wp:positionV relativeFrom="page">
                <wp:posOffset>413385</wp:posOffset>
              </wp:positionV>
              <wp:extent cx="1182370" cy="76200"/>
              <wp:wrapNone/>
              <wp:docPr id="1237" name="Shape 1237"/>
              <a:graphic xmlns:a="http://schemas.openxmlformats.org/drawingml/2006/main">
                <a:graphicData uri="http://schemas.microsoft.com/office/word/2010/wordprocessingShape">
                  <wps:wsp>
                    <wps:cNvSpPr txBox="1"/>
                    <wps:spPr>
                      <a:xfrm>
                        <a:ext cx="118237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wps:txbx>
                    <wps:bodyPr wrap="none" lIns="0" tIns="0" rIns="0" bIns="0">
                      <a:spAutoFit/>
                    </wps:bodyPr>
                  </wps:wsp>
                </a:graphicData>
              </a:graphic>
            </wp:anchor>
          </w:drawing>
        </mc:Choice>
        <mc:Fallback>
          <w:pict>
            <v:shape id="_x0000_s2263" type="#_x0000_t202" style="position:absolute;margin-left:235.pt;margin-top:32.549999999999997pt;width:93.099999999999994pt;height:6.pt;z-index:-1887431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528955</wp:posOffset>
              </wp:positionV>
              <wp:extent cx="4023360" cy="0"/>
              <wp:wrapNone/>
              <wp:docPr id="1239" name="Shape 123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1.649999999999999pt;width:316.80000000000001pt;height:0;z-index:-251658240;mso-position-horizontal-relative:page;mso-position-vertical-relative:page">
              <v:stroke weight="1.pt"/>
            </v:shape>
          </w:pict>
        </mc:Fallback>
      </mc:AlternateContent>
    </w: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0" behindDoc="1" locked="0" layoutInCell="1" allowOverlap="1">
              <wp:simplePos x="0" y="0"/>
              <wp:positionH relativeFrom="page">
                <wp:posOffset>139700</wp:posOffset>
              </wp:positionH>
              <wp:positionV relativeFrom="page">
                <wp:posOffset>465455</wp:posOffset>
              </wp:positionV>
              <wp:extent cx="1191895" cy="79375"/>
              <wp:wrapNone/>
              <wp:docPr id="1242" name="Shape 1242"/>
              <a:graphic xmlns:a="http://schemas.openxmlformats.org/drawingml/2006/main">
                <a:graphicData uri="http://schemas.microsoft.com/office/word/2010/wordprocessingShape">
                  <wps:wsp>
                    <wps:cNvSpPr txBox="1"/>
                    <wps:spPr>
                      <a:xfrm>
                        <a:ext cx="11918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wps:txbx>
                    <wps:bodyPr wrap="none" lIns="0" tIns="0" rIns="0" bIns="0">
                      <a:spAutoFit/>
                    </wps:bodyPr>
                  </wps:wsp>
                </a:graphicData>
              </a:graphic>
            </wp:anchor>
          </w:drawing>
        </mc:Choice>
        <mc:Fallback>
          <w:pict>
            <v:shape id="_x0000_s2268" type="#_x0000_t202" style="position:absolute;margin-left:11.pt;margin-top:36.649999999999999pt;width:93.849999999999994pt;height:6.25pt;z-index:-1887431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573405</wp:posOffset>
              </wp:positionV>
              <wp:extent cx="4023360" cy="0"/>
              <wp:wrapNone/>
              <wp:docPr id="1244" name="Shape 124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5.149999999999999pt;width:316.80000000000001pt;height:0;z-index:-251658240;mso-position-horizontal-relative:page;mso-position-vertical-relative:page">
              <v:stroke weight="1.pt"/>
            </v:shape>
          </w:pict>
        </mc:Fallback>
      </mc:AlternateContent>
    </w: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4" behindDoc="1" locked="0" layoutInCell="1" allowOverlap="1">
              <wp:simplePos x="0" y="0"/>
              <wp:positionH relativeFrom="page">
                <wp:posOffset>139700</wp:posOffset>
              </wp:positionH>
              <wp:positionV relativeFrom="page">
                <wp:posOffset>465455</wp:posOffset>
              </wp:positionV>
              <wp:extent cx="1191895" cy="79375"/>
              <wp:wrapNone/>
              <wp:docPr id="1247" name="Shape 1247"/>
              <a:graphic xmlns:a="http://schemas.openxmlformats.org/drawingml/2006/main">
                <a:graphicData uri="http://schemas.microsoft.com/office/word/2010/wordprocessingShape">
                  <wps:wsp>
                    <wps:cNvSpPr txBox="1"/>
                    <wps:spPr>
                      <a:xfrm>
                        <a:ext cx="11918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wps:txbx>
                    <wps:bodyPr wrap="none" lIns="0" tIns="0" rIns="0" bIns="0">
                      <a:spAutoFit/>
                    </wps:bodyPr>
                  </wps:wsp>
                </a:graphicData>
              </a:graphic>
            </wp:anchor>
          </w:drawing>
        </mc:Choice>
        <mc:Fallback>
          <w:pict>
            <v:shape id="_x0000_s2273" type="#_x0000_t202" style="position:absolute;margin-left:11.pt;margin-top:36.649999999999999pt;width:93.849999999999994pt;height:6.25pt;z-index:-1887430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573405</wp:posOffset>
              </wp:positionV>
              <wp:extent cx="4023360" cy="0"/>
              <wp:wrapNone/>
              <wp:docPr id="1249" name="Shape 124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5.149999999999999pt;width:316.80000000000001pt;height:0;z-index:-251658240;mso-position-horizontal-relative:page;mso-position-vertical-relative:page">
              <v:stroke weight="1.pt"/>
            </v:shape>
          </w:pict>
        </mc:Fallback>
      </mc:AlternateContent>
    </w: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8" behindDoc="1" locked="0" layoutInCell="1" allowOverlap="1">
              <wp:simplePos x="0" y="0"/>
              <wp:positionH relativeFrom="page">
                <wp:posOffset>2972435</wp:posOffset>
              </wp:positionH>
              <wp:positionV relativeFrom="page">
                <wp:posOffset>410210</wp:posOffset>
              </wp:positionV>
              <wp:extent cx="1188720" cy="79375"/>
              <wp:wrapNone/>
              <wp:docPr id="1252" name="Shape 1252"/>
              <a:graphic xmlns:a="http://schemas.openxmlformats.org/drawingml/2006/main">
                <a:graphicData uri="http://schemas.microsoft.com/office/word/2010/wordprocessingShape">
                  <wps:wsp>
                    <wps:cNvSpPr txBox="1"/>
                    <wps:spPr>
                      <a:xfrm>
                        <a:ext cx="118872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wps:txbx>
                    <wps:bodyPr wrap="none" lIns="0" tIns="0" rIns="0" bIns="0">
                      <a:spAutoFit/>
                    </wps:bodyPr>
                  </wps:wsp>
                </a:graphicData>
              </a:graphic>
            </wp:anchor>
          </w:drawing>
        </mc:Choice>
        <mc:Fallback>
          <w:pict>
            <v:shape id="_x0000_s2278" type="#_x0000_t202" style="position:absolute;margin-left:234.05000000000001pt;margin-top:32.299999999999997pt;width:93.599999999999994pt;height:6.25pt;z-index:-1887430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137795</wp:posOffset>
              </wp:positionH>
              <wp:positionV relativeFrom="page">
                <wp:posOffset>528955</wp:posOffset>
              </wp:positionV>
              <wp:extent cx="4023360" cy="0"/>
              <wp:wrapNone/>
              <wp:docPr id="1254" name="Shape 125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0.85pt;margin-top:41.649999999999999pt;width:316.80000000000001pt;height:0;z-index:-251658240;mso-position-horizontal-relative:page;mso-position-vertical-relative:page">
              <v:stroke weight="1.pt"/>
            </v:shape>
          </w:pict>
        </mc:Fallback>
      </mc:AlternateContent>
    </w: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2" behindDoc="1" locked="0" layoutInCell="1" allowOverlap="1">
              <wp:simplePos x="0" y="0"/>
              <wp:positionH relativeFrom="page">
                <wp:posOffset>2972435</wp:posOffset>
              </wp:positionH>
              <wp:positionV relativeFrom="page">
                <wp:posOffset>410210</wp:posOffset>
              </wp:positionV>
              <wp:extent cx="1188720" cy="79375"/>
              <wp:wrapNone/>
              <wp:docPr id="1257" name="Shape 1257"/>
              <a:graphic xmlns:a="http://schemas.openxmlformats.org/drawingml/2006/main">
                <a:graphicData uri="http://schemas.microsoft.com/office/word/2010/wordprocessingShape">
                  <wps:wsp>
                    <wps:cNvSpPr txBox="1"/>
                    <wps:spPr>
                      <a:xfrm>
                        <a:ext cx="118872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wps:txbx>
                    <wps:bodyPr wrap="none" lIns="0" tIns="0" rIns="0" bIns="0">
                      <a:spAutoFit/>
                    </wps:bodyPr>
                  </wps:wsp>
                </a:graphicData>
              </a:graphic>
            </wp:anchor>
          </w:drawing>
        </mc:Choice>
        <mc:Fallback>
          <w:pict>
            <v:shape id="_x0000_s2283" type="#_x0000_t202" style="position:absolute;margin-left:234.05000000000001pt;margin-top:32.299999999999997pt;width:93.599999999999994pt;height:6.25pt;z-index:-1887430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JEDINSTVO ČOVJEČANSTVA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137795</wp:posOffset>
              </wp:positionH>
              <wp:positionV relativeFrom="page">
                <wp:posOffset>528955</wp:posOffset>
              </wp:positionV>
              <wp:extent cx="4023360" cy="0"/>
              <wp:wrapNone/>
              <wp:docPr id="1259" name="Shape 125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0.85pt;margin-top:41.649999999999999pt;width:316.80000000000001pt;height:0;z-index:-251658240;mso-position-horizontal-relative:page;mso-position-vertical-relative:page">
              <v:stroke weight="1.pt"/>
            </v:shape>
          </w:pict>
        </mc:Fallback>
      </mc:AlternateContent>
    </w: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6" behindDoc="1" locked="0" layoutInCell="1" allowOverlap="1">
              <wp:simplePos x="0" y="0"/>
              <wp:positionH relativeFrom="page">
                <wp:posOffset>3642995</wp:posOffset>
              </wp:positionH>
              <wp:positionV relativeFrom="page">
                <wp:posOffset>425450</wp:posOffset>
              </wp:positionV>
              <wp:extent cx="518160" cy="64135"/>
              <wp:wrapNone/>
              <wp:docPr id="1262" name="Shape 1262"/>
              <a:graphic xmlns:a="http://schemas.openxmlformats.org/drawingml/2006/main">
                <a:graphicData uri="http://schemas.microsoft.com/office/word/2010/wordprocessingShape">
                  <wps:wsp>
                    <wps:cNvSpPr txBox="1"/>
                    <wps:spPr>
                      <a:xfrm>
                        <a:ext cx="5181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w:t>
                          </w:r>
                        </w:p>
                      </w:txbxContent>
                    </wps:txbx>
                    <wps:bodyPr wrap="none" lIns="0" tIns="0" rIns="0" bIns="0">
                      <a:spAutoFit/>
                    </wps:bodyPr>
                  </wps:wsp>
                </a:graphicData>
              </a:graphic>
            </wp:anchor>
          </w:drawing>
        </mc:Choice>
        <mc:Fallback>
          <w:pict>
            <v:shape id="_x0000_s2288" type="#_x0000_t202" style="position:absolute;margin-left:286.85000000000002pt;margin-top:33.5pt;width:40.799999999999997pt;height:5.0499999999999998pt;z-index:-1887430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527685</wp:posOffset>
              </wp:positionV>
              <wp:extent cx="4017010" cy="0"/>
              <wp:wrapNone/>
              <wp:docPr id="1264" name="Shape 126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549999999999997pt;width:316.30000000000001pt;height:0;z-index:-251658240;mso-position-horizontal-relative:page;mso-position-vertical-relative:page">
              <v:stroke weight="1.pt"/>
            </v:shape>
          </w:pict>
        </mc:Fallback>
      </mc:AlternateContent>
    </w: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0" behindDoc="1" locked="0" layoutInCell="1" allowOverlap="1">
              <wp:simplePos x="0" y="0"/>
              <wp:positionH relativeFrom="page">
                <wp:posOffset>3642995</wp:posOffset>
              </wp:positionH>
              <wp:positionV relativeFrom="page">
                <wp:posOffset>425450</wp:posOffset>
              </wp:positionV>
              <wp:extent cx="518160" cy="64135"/>
              <wp:wrapNone/>
              <wp:docPr id="1267" name="Shape 1267"/>
              <a:graphic xmlns:a="http://schemas.openxmlformats.org/drawingml/2006/main">
                <a:graphicData uri="http://schemas.microsoft.com/office/word/2010/wordprocessingShape">
                  <wps:wsp>
                    <wps:cNvSpPr txBox="1"/>
                    <wps:spPr>
                      <a:xfrm>
                        <a:ext cx="5181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w:t>
                          </w:r>
                        </w:p>
                      </w:txbxContent>
                    </wps:txbx>
                    <wps:bodyPr wrap="none" lIns="0" tIns="0" rIns="0" bIns="0">
                      <a:spAutoFit/>
                    </wps:bodyPr>
                  </wps:wsp>
                </a:graphicData>
              </a:graphic>
            </wp:anchor>
          </w:drawing>
        </mc:Choice>
        <mc:Fallback>
          <w:pict>
            <v:shape id="_x0000_s2293" type="#_x0000_t202" style="position:absolute;margin-left:286.85000000000002pt;margin-top:33.5pt;width:40.799999999999997pt;height:5.0499999999999998pt;z-index:-1887430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527685</wp:posOffset>
              </wp:positionV>
              <wp:extent cx="4017010" cy="0"/>
              <wp:wrapNone/>
              <wp:docPr id="1269" name="Shape 126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549999999999997pt;width:316.30000000000001pt;height:0;z-index:-251658240;mso-position-horizontal-relative:page;mso-position-vertical-relative:page">
              <v:stroke weight="1.pt"/>
            </v:shape>
          </w:pict>
        </mc:Fallback>
      </mc:AlternateContent>
    </w: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4" behindDoc="1" locked="0" layoutInCell="1" allowOverlap="1">
              <wp:simplePos x="0" y="0"/>
              <wp:positionH relativeFrom="page">
                <wp:posOffset>151765</wp:posOffset>
              </wp:positionH>
              <wp:positionV relativeFrom="page">
                <wp:posOffset>425450</wp:posOffset>
              </wp:positionV>
              <wp:extent cx="518160" cy="64135"/>
              <wp:wrapNone/>
              <wp:docPr id="1272" name="Shape 1272"/>
              <a:graphic xmlns:a="http://schemas.openxmlformats.org/drawingml/2006/main">
                <a:graphicData uri="http://schemas.microsoft.com/office/word/2010/wordprocessingShape">
                  <wps:wsp>
                    <wps:cNvSpPr txBox="1"/>
                    <wps:spPr>
                      <a:xfrm>
                        <a:ext cx="5181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w:t>
                          </w:r>
                        </w:p>
                      </w:txbxContent>
                    </wps:txbx>
                    <wps:bodyPr wrap="none" lIns="0" tIns="0" rIns="0" bIns="0">
                      <a:spAutoFit/>
                    </wps:bodyPr>
                  </wps:wsp>
                </a:graphicData>
              </a:graphic>
            </wp:anchor>
          </w:drawing>
        </mc:Choice>
        <mc:Fallback>
          <w:pict>
            <v:shape id="_x0000_s2298" type="#_x0000_t202" style="position:absolute;margin-left:11.949999999999999pt;margin-top:33.5pt;width:40.799999999999997pt;height:5.0499999999999998pt;z-index:-1887430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525145</wp:posOffset>
              </wp:positionV>
              <wp:extent cx="4020185" cy="0"/>
              <wp:wrapNone/>
              <wp:docPr id="1274" name="Shape 127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1.350000000000001pt;width:316.55000000000001pt;height:0;z-index:-251658240;mso-position-horizontal-relative:page;mso-position-vertical-relative:page">
              <v:stroke weight="1.pt"/>
            </v:shape>
          </w:pict>
        </mc:Fallback>
      </mc:AlternateContent>
    </w: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8" behindDoc="1" locked="0" layoutInCell="1" allowOverlap="1">
              <wp:simplePos x="0" y="0"/>
              <wp:positionH relativeFrom="page">
                <wp:posOffset>3815080</wp:posOffset>
              </wp:positionH>
              <wp:positionV relativeFrom="page">
                <wp:posOffset>410210</wp:posOffset>
              </wp:positionV>
              <wp:extent cx="356870" cy="79375"/>
              <wp:wrapNone/>
              <wp:docPr id="1277" name="Shape 1277"/>
              <a:graphic xmlns:a="http://schemas.openxmlformats.org/drawingml/2006/main">
                <a:graphicData uri="http://schemas.microsoft.com/office/word/2010/wordprocessingShape">
                  <wps:wsp>
                    <wps:cNvSpPr txBox="1"/>
                    <wps:spPr>
                      <a:xfrm>
                        <a:ext cx="3568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JIŠMAEL</w:t>
                          </w:r>
                        </w:p>
                      </w:txbxContent>
                    </wps:txbx>
                    <wps:bodyPr wrap="none" lIns="0" tIns="0" rIns="0" bIns="0">
                      <a:spAutoFit/>
                    </wps:bodyPr>
                  </wps:wsp>
                </a:graphicData>
              </a:graphic>
            </wp:anchor>
          </w:drawing>
        </mc:Choice>
        <mc:Fallback>
          <w:pict>
            <v:shape id="_x0000_s2303" type="#_x0000_t202" style="position:absolute;margin-left:300.39999999999998pt;margin-top:32.299999999999997pt;width:28.100000000000001pt;height:6.25pt;z-index:-1887430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JIŠMAEL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528955</wp:posOffset>
              </wp:positionV>
              <wp:extent cx="4023360" cy="0"/>
              <wp:wrapNone/>
              <wp:docPr id="1279" name="Shape 127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1.649999999999999pt;width:316.80000000000001pt;height:0;z-index:-251658240;mso-position-horizontal-relative:page;mso-position-vertical-relative:page">
              <v:stroke weight="1.pt"/>
            </v:shape>
          </w:pict>
        </mc:Fallback>
      </mc:AlternateContent>
    </w: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2" behindDoc="1" locked="0" layoutInCell="1" allowOverlap="1">
              <wp:simplePos x="0" y="0"/>
              <wp:positionH relativeFrom="page">
                <wp:posOffset>3815080</wp:posOffset>
              </wp:positionH>
              <wp:positionV relativeFrom="page">
                <wp:posOffset>410210</wp:posOffset>
              </wp:positionV>
              <wp:extent cx="356870" cy="79375"/>
              <wp:wrapNone/>
              <wp:docPr id="1282" name="Shape 1282"/>
              <a:graphic xmlns:a="http://schemas.openxmlformats.org/drawingml/2006/main">
                <a:graphicData uri="http://schemas.microsoft.com/office/word/2010/wordprocessingShape">
                  <wps:wsp>
                    <wps:cNvSpPr txBox="1"/>
                    <wps:spPr>
                      <a:xfrm>
                        <a:ext cx="3568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JIŠMAEL</w:t>
                          </w:r>
                        </w:p>
                      </w:txbxContent>
                    </wps:txbx>
                    <wps:bodyPr wrap="none" lIns="0" tIns="0" rIns="0" bIns="0">
                      <a:spAutoFit/>
                    </wps:bodyPr>
                  </wps:wsp>
                </a:graphicData>
              </a:graphic>
            </wp:anchor>
          </w:drawing>
        </mc:Choice>
        <mc:Fallback>
          <w:pict>
            <v:shape id="_x0000_s2308" type="#_x0000_t202" style="position:absolute;margin-left:300.39999999999998pt;margin-top:32.299999999999997pt;width:28.100000000000001pt;height:6.25pt;z-index:-1887430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JIŠMAEL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528955</wp:posOffset>
              </wp:positionV>
              <wp:extent cx="4023360" cy="0"/>
              <wp:wrapNone/>
              <wp:docPr id="1284" name="Shape 128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1.649999999999999pt;width:316.80000000000001pt;height:0;z-index:-251658240;mso-position-horizontal-relative:page;mso-position-vertical-relative:page">
              <v:stroke weight="1.pt"/>
            </v:shape>
          </w:pict>
        </mc:Fallback>
      </mc:AlternateContent>
    </w: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6" behindDoc="1" locked="0" layoutInCell="1" allowOverlap="1">
              <wp:simplePos x="0" y="0"/>
              <wp:positionH relativeFrom="page">
                <wp:posOffset>142240</wp:posOffset>
              </wp:positionH>
              <wp:positionV relativeFrom="page">
                <wp:posOffset>407670</wp:posOffset>
              </wp:positionV>
              <wp:extent cx="908050" cy="82550"/>
              <wp:wrapNone/>
              <wp:docPr id="1287" name="Shape 1287"/>
              <a:graphic xmlns:a="http://schemas.openxmlformats.org/drawingml/2006/main">
                <a:graphicData uri="http://schemas.microsoft.com/office/word/2010/wordprocessingShape">
                  <wps:wsp>
                    <wps:cNvSpPr txBox="1"/>
                    <wps:spPr>
                      <a:xfrm>
                        <a:ext cx="9080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JERUZALEM/JIŠMAEL</w:t>
                          </w:r>
                        </w:p>
                      </w:txbxContent>
                    </wps:txbx>
                    <wps:bodyPr wrap="none" lIns="0" tIns="0" rIns="0" bIns="0">
                      <a:spAutoFit/>
                    </wps:bodyPr>
                  </wps:wsp>
                </a:graphicData>
              </a:graphic>
            </wp:anchor>
          </w:drawing>
        </mc:Choice>
        <mc:Fallback>
          <w:pict>
            <v:shape id="_x0000_s2313" type="#_x0000_t202" style="position:absolute;margin-left:11.199999999999999pt;margin-top:32.100000000000001pt;width:71.5pt;height:6.5pt;z-index:-1887430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JERUZALEM/JIŠMAEL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520065</wp:posOffset>
              </wp:positionV>
              <wp:extent cx="4017010" cy="0"/>
              <wp:wrapNone/>
              <wp:docPr id="1289" name="Shape 128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99999999999999pt;margin-top:40.950000000000003pt;width:316.30000000000001pt;height:0;z-index:-251658240;mso-position-horizontal-relative:page;mso-position-vertical-relative:page">
              <v:stroke weight="1.pt"/>
            </v:shape>
          </w:pict>
        </mc:Fallback>
      </mc:AlternateContent>
    </w: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0" behindDoc="1" locked="0" layoutInCell="1" allowOverlap="1">
              <wp:simplePos x="0" y="0"/>
              <wp:positionH relativeFrom="page">
                <wp:posOffset>3695065</wp:posOffset>
              </wp:positionH>
              <wp:positionV relativeFrom="page">
                <wp:posOffset>425450</wp:posOffset>
              </wp:positionV>
              <wp:extent cx="472440" cy="64135"/>
              <wp:wrapNone/>
              <wp:docPr id="1292" name="Shape 1292"/>
              <a:graphic xmlns:a="http://schemas.openxmlformats.org/drawingml/2006/main">
                <a:graphicData uri="http://schemas.microsoft.com/office/word/2010/wordprocessingShape">
                  <wps:wsp>
                    <wps:cNvSpPr txBox="1"/>
                    <wps:spPr>
                      <a:xfrm>
                        <a:ext cx="4724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KALENDAR</w:t>
                          </w:r>
                        </w:p>
                      </w:txbxContent>
                    </wps:txbx>
                    <wps:bodyPr wrap="none" lIns="0" tIns="0" rIns="0" bIns="0">
                      <a:spAutoFit/>
                    </wps:bodyPr>
                  </wps:wsp>
                </a:graphicData>
              </a:graphic>
            </wp:anchor>
          </w:drawing>
        </mc:Choice>
        <mc:Fallback>
          <w:pict>
            <v:shape id="_x0000_s2318" type="#_x0000_t202" style="position:absolute;margin-left:290.94999999999999pt;margin-top:33.5pt;width:37.200000000000003pt;height:5.0499999999999998pt;z-index:-1887430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KALENDAR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527685</wp:posOffset>
              </wp:positionV>
              <wp:extent cx="4017010" cy="0"/>
              <wp:wrapNone/>
              <wp:docPr id="1294" name="Shape 129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1.549999999999997pt;width:316.30000000000001pt;height:0;z-index:-251658240;mso-position-horizontal-relative:page;mso-position-vertical-relative:page">
              <v:stroke weight="1.pt"/>
            </v:shape>
          </w:pict>
        </mc:Fallback>
      </mc:AlternateContent>
    </w: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4" behindDoc="1" locked="0" layoutInCell="1" allowOverlap="1">
              <wp:simplePos x="0" y="0"/>
              <wp:positionH relativeFrom="page">
                <wp:posOffset>3695065</wp:posOffset>
              </wp:positionH>
              <wp:positionV relativeFrom="page">
                <wp:posOffset>425450</wp:posOffset>
              </wp:positionV>
              <wp:extent cx="472440" cy="64135"/>
              <wp:wrapNone/>
              <wp:docPr id="1297" name="Shape 1297"/>
              <a:graphic xmlns:a="http://schemas.openxmlformats.org/drawingml/2006/main">
                <a:graphicData uri="http://schemas.microsoft.com/office/word/2010/wordprocessingShape">
                  <wps:wsp>
                    <wps:cNvSpPr txBox="1"/>
                    <wps:spPr>
                      <a:xfrm>
                        <a:ext cx="4724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KALENDAR</w:t>
                          </w:r>
                        </w:p>
                      </w:txbxContent>
                    </wps:txbx>
                    <wps:bodyPr wrap="none" lIns="0" tIns="0" rIns="0" bIns="0">
                      <a:spAutoFit/>
                    </wps:bodyPr>
                  </wps:wsp>
                </a:graphicData>
              </a:graphic>
            </wp:anchor>
          </w:drawing>
        </mc:Choice>
        <mc:Fallback>
          <w:pict>
            <v:shape id="_x0000_s2323" type="#_x0000_t202" style="position:absolute;margin-left:290.94999999999999pt;margin-top:33.5pt;width:37.200000000000003pt;height:5.0499999999999998pt;z-index:-1887430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KALENDAR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527685</wp:posOffset>
              </wp:positionV>
              <wp:extent cx="4017010" cy="0"/>
              <wp:wrapNone/>
              <wp:docPr id="1299" name="Shape 129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1.549999999999997pt;width:316.30000000000001pt;height:0;z-index:-251658240;mso-position-horizontal-relative:page;mso-position-vertical-relative:page">
              <v:stroke weight="1.pt"/>
            </v:shape>
          </w:pict>
        </mc:Fallback>
      </mc:AlternateContent>
    </w: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0" behindDoc="1" locked="0" layoutInCell="1" allowOverlap="1">
              <wp:simplePos x="0" y="0"/>
              <wp:positionH relativeFrom="page">
                <wp:posOffset>3075940</wp:posOffset>
              </wp:positionH>
              <wp:positionV relativeFrom="page">
                <wp:posOffset>422910</wp:posOffset>
              </wp:positionV>
              <wp:extent cx="1090930" cy="67310"/>
              <wp:wrapNone/>
              <wp:docPr id="1304" name="Shape 1304"/>
              <a:graphic xmlns:a="http://schemas.openxmlformats.org/drawingml/2006/main">
                <a:graphicData uri="http://schemas.microsoft.com/office/word/2010/wordprocessingShape">
                  <wps:wsp>
                    <wps:cNvSpPr txBox="1"/>
                    <wps:spPr>
                      <a:xfrm>
                        <a:ext cx="10909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KALENDARJKAIJ1-7KANON</w:t>
                          </w:r>
                        </w:p>
                      </w:txbxContent>
                    </wps:txbx>
                    <wps:bodyPr wrap="none" lIns="0" tIns="0" rIns="0" bIns="0">
                      <a:spAutoFit/>
                    </wps:bodyPr>
                  </wps:wsp>
                </a:graphicData>
              </a:graphic>
            </wp:anchor>
          </w:drawing>
        </mc:Choice>
        <mc:Fallback>
          <w:pict>
            <v:shape id="_x0000_s2330" type="#_x0000_t202" style="position:absolute;margin-left:242.19999999999999pt;margin-top:33.299999999999997pt;width:85.900000000000006pt;height:5.2999999999999998pt;z-index:-1887430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KALENDARJKAIJ1-7KANON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523240</wp:posOffset>
              </wp:positionV>
              <wp:extent cx="4023360" cy="0"/>
              <wp:wrapNone/>
              <wp:docPr id="1306" name="Shape 130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1.200000000000003pt;width:316.80000000000001pt;height:0;z-index:-251658240;mso-position-horizontal-relative:page;mso-position-vertical-relative:page">
              <v:stroke weight="1.pt"/>
            </v:shape>
          </w:pict>
        </mc:Fallback>
      </mc:AlternateContent>
    </w: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4" behindDoc="1" locked="0" layoutInCell="1" allowOverlap="1">
              <wp:simplePos x="0" y="0"/>
              <wp:positionH relativeFrom="page">
                <wp:posOffset>3075940</wp:posOffset>
              </wp:positionH>
              <wp:positionV relativeFrom="page">
                <wp:posOffset>422910</wp:posOffset>
              </wp:positionV>
              <wp:extent cx="1090930" cy="67310"/>
              <wp:wrapNone/>
              <wp:docPr id="1309" name="Shape 1309"/>
              <a:graphic xmlns:a="http://schemas.openxmlformats.org/drawingml/2006/main">
                <a:graphicData uri="http://schemas.microsoft.com/office/word/2010/wordprocessingShape">
                  <wps:wsp>
                    <wps:cNvSpPr txBox="1"/>
                    <wps:spPr>
                      <a:xfrm>
                        <a:ext cx="10909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KALENDARJKAIJ1-7KANON</w:t>
                          </w:r>
                        </w:p>
                      </w:txbxContent>
                    </wps:txbx>
                    <wps:bodyPr wrap="none" lIns="0" tIns="0" rIns="0" bIns="0">
                      <a:spAutoFit/>
                    </wps:bodyPr>
                  </wps:wsp>
                </a:graphicData>
              </a:graphic>
            </wp:anchor>
          </w:drawing>
        </mc:Choice>
        <mc:Fallback>
          <w:pict>
            <v:shape id="_x0000_s2335" type="#_x0000_t202" style="position:absolute;margin-left:242.19999999999999pt;margin-top:33.299999999999997pt;width:85.900000000000006pt;height:5.2999999999999998pt;z-index:-1887430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KALENDARJKAIJ1-7KANON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523240</wp:posOffset>
              </wp:positionV>
              <wp:extent cx="4023360" cy="0"/>
              <wp:wrapNone/>
              <wp:docPr id="1311" name="Shape 131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1.200000000000003pt;width:316.80000000000001pt;height:0;z-index:-251658240;mso-position-horizontal-relative:page;mso-position-vertical-relative:page">
              <v:stroke weight="1.pt"/>
            </v:shape>
          </w:pict>
        </mc:Fallback>
      </mc:AlternateContent>
    </w: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8" behindDoc="1" locked="0" layoutInCell="1" allowOverlap="1">
              <wp:simplePos x="0" y="0"/>
              <wp:positionH relativeFrom="page">
                <wp:posOffset>147320</wp:posOffset>
              </wp:positionH>
              <wp:positionV relativeFrom="page">
                <wp:posOffset>425450</wp:posOffset>
              </wp:positionV>
              <wp:extent cx="472440" cy="64135"/>
              <wp:wrapNone/>
              <wp:docPr id="1314" name="Shape 1314"/>
              <a:graphic xmlns:a="http://schemas.openxmlformats.org/drawingml/2006/main">
                <a:graphicData uri="http://schemas.microsoft.com/office/word/2010/wordprocessingShape">
                  <wps:wsp>
                    <wps:cNvSpPr txBox="1"/>
                    <wps:spPr>
                      <a:xfrm>
                        <a:ext cx="4724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KALENDAR</w:t>
                          </w:r>
                        </w:p>
                      </w:txbxContent>
                    </wps:txbx>
                    <wps:bodyPr wrap="none" lIns="0" tIns="0" rIns="0" bIns="0">
                      <a:spAutoFit/>
                    </wps:bodyPr>
                  </wps:wsp>
                </a:graphicData>
              </a:graphic>
            </wp:anchor>
          </w:drawing>
        </mc:Choice>
        <mc:Fallback>
          <w:pict>
            <v:shape id="_x0000_s2340" type="#_x0000_t202" style="position:absolute;margin-left:11.6pt;margin-top:33.5pt;width:37.200000000000003pt;height:5.0499999999999998pt;z-index:-1887430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KALENDAR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521970</wp:posOffset>
              </wp:positionV>
              <wp:extent cx="4026535" cy="0"/>
              <wp:wrapNone/>
              <wp:docPr id="1316" name="Shape 131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35pt;margin-top:41.100000000000001pt;width:317.05000000000001pt;height:0;z-index:-251658240;mso-position-horizontal-relative:page;mso-position-vertical-relative:page">
              <v:stroke weight="1.pt"/>
            </v:shape>
          </w:pict>
        </mc:Fallback>
      </mc:AlternateContent>
    </w: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2" behindDoc="1" locked="0" layoutInCell="1" allowOverlap="1">
              <wp:simplePos x="0" y="0"/>
              <wp:positionH relativeFrom="page">
                <wp:posOffset>3874770</wp:posOffset>
              </wp:positionH>
              <wp:positionV relativeFrom="page">
                <wp:posOffset>428625</wp:posOffset>
              </wp:positionV>
              <wp:extent cx="301625" cy="60960"/>
              <wp:wrapNone/>
              <wp:docPr id="1319" name="Shape 1319"/>
              <a:graphic xmlns:a="http://schemas.openxmlformats.org/drawingml/2006/main">
                <a:graphicData uri="http://schemas.microsoft.com/office/word/2010/wordprocessingShape">
                  <wps:wsp>
                    <wps:cNvSpPr txBox="1"/>
                    <wps:spPr>
                      <a:xfrm>
                        <a:ext cx="30162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KANON</w:t>
                          </w:r>
                        </w:p>
                      </w:txbxContent>
                    </wps:txbx>
                    <wps:bodyPr wrap="none" lIns="0" tIns="0" rIns="0" bIns="0">
                      <a:spAutoFit/>
                    </wps:bodyPr>
                  </wps:wsp>
                </a:graphicData>
              </a:graphic>
            </wp:anchor>
          </w:drawing>
        </mc:Choice>
        <mc:Fallback>
          <w:pict>
            <v:shape id="_x0000_s2345" type="#_x0000_t202" style="position:absolute;margin-left:305.10000000000002pt;margin-top:33.75pt;width:23.75pt;height:4.7999999999999998pt;z-index:-1887430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KANON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159385</wp:posOffset>
              </wp:positionH>
              <wp:positionV relativeFrom="page">
                <wp:posOffset>525780</wp:posOffset>
              </wp:positionV>
              <wp:extent cx="4020185" cy="0"/>
              <wp:wrapNone/>
              <wp:docPr id="1321" name="Shape 132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550000000000001pt;margin-top:41.399999999999999pt;width:316.55000000000001pt;height:0;z-index:-251658240;mso-position-horizontal-relative:page;mso-position-vertical-relative:page">
              <v:stroke weight="1.pt"/>
            </v:shape>
          </w:pict>
        </mc:Fallback>
      </mc:AlternateContent>
    </w: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6" behindDoc="1" locked="0" layoutInCell="1" allowOverlap="1">
              <wp:simplePos x="0" y="0"/>
              <wp:positionH relativeFrom="page">
                <wp:posOffset>156210</wp:posOffset>
              </wp:positionH>
              <wp:positionV relativeFrom="page">
                <wp:posOffset>422910</wp:posOffset>
              </wp:positionV>
              <wp:extent cx="304800" cy="60960"/>
              <wp:wrapNone/>
              <wp:docPr id="1324" name="Shape 1324"/>
              <a:graphic xmlns:a="http://schemas.openxmlformats.org/drawingml/2006/main">
                <a:graphicData uri="http://schemas.microsoft.com/office/word/2010/wordprocessingShape">
                  <wps:wsp>
                    <wps:cNvSpPr txBox="1"/>
                    <wps:spPr>
                      <a:xfrm>
                        <a:ext cx="30480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KANON</w:t>
                          </w:r>
                        </w:p>
                      </w:txbxContent>
                    </wps:txbx>
                    <wps:bodyPr wrap="none" lIns="0" tIns="0" rIns="0" bIns="0">
                      <a:spAutoFit/>
                    </wps:bodyPr>
                  </wps:wsp>
                </a:graphicData>
              </a:graphic>
            </wp:anchor>
          </w:drawing>
        </mc:Choice>
        <mc:Fallback>
          <w:pict>
            <v:shape id="_x0000_s2350" type="#_x0000_t202" style="position:absolute;margin-left:12.300000000000001pt;margin-top:33.299999999999997pt;width:24.pt;height:4.7999999999999998pt;z-index:-1887430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KANON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527685</wp:posOffset>
              </wp:positionV>
              <wp:extent cx="4023360" cy="0"/>
              <wp:wrapNone/>
              <wp:docPr id="1326" name="Shape 132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300000000000001pt;margin-top:41.549999999999997pt;width:316.80000000000001pt;height:0;z-index:-251658240;mso-position-horizontal-relative:page;mso-position-vertical-relative:page">
              <v:stroke weight="1.pt"/>
            </v:shape>
          </w:pict>
        </mc:Fallback>
      </mc:AlternateContent>
    </w: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0" behindDoc="1" locked="0" layoutInCell="1" allowOverlap="1">
              <wp:simplePos x="0" y="0"/>
              <wp:positionH relativeFrom="page">
                <wp:posOffset>154940</wp:posOffset>
              </wp:positionH>
              <wp:positionV relativeFrom="page">
                <wp:posOffset>434975</wp:posOffset>
              </wp:positionV>
              <wp:extent cx="402590" cy="67310"/>
              <wp:wrapNone/>
              <wp:docPr id="1329" name="Shape 1329"/>
              <a:graphic xmlns:a="http://schemas.openxmlformats.org/drawingml/2006/main">
                <a:graphicData uri="http://schemas.microsoft.com/office/word/2010/wordprocessingShape">
                  <wps:wsp>
                    <wps:cNvSpPr txBox="1"/>
                    <wps:spPr>
                      <a:xfrm>
                        <a:ext cx="4025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KARIZMA</w:t>
                          </w:r>
                        </w:p>
                      </w:txbxContent>
                    </wps:txbx>
                    <wps:bodyPr wrap="none" lIns="0" tIns="0" rIns="0" bIns="0">
                      <a:spAutoFit/>
                    </wps:bodyPr>
                  </wps:wsp>
                </a:graphicData>
              </a:graphic>
            </wp:anchor>
          </w:drawing>
        </mc:Choice>
        <mc:Fallback>
          <w:pict>
            <v:shape id="_x0000_s2355" type="#_x0000_t202" style="position:absolute;margin-left:12.199999999999999pt;margin-top:34.25pt;width:31.699999999999999pt;height:5.2999999999999998pt;z-index:-1887430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KARIZMA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530860</wp:posOffset>
              </wp:positionV>
              <wp:extent cx="4020185" cy="0"/>
              <wp:wrapNone/>
              <wp:docPr id="1331" name="Shape 133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1.799999999999997pt;width:316.55000000000001pt;height:0;z-index:-251658240;mso-position-horizontal-relative:page;mso-position-vertical-relative:page">
              <v:stroke weight="1.pt"/>
            </v:shape>
          </w:pict>
        </mc:Fallback>
      </mc:AlternateContent>
    </w: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2" behindDoc="1" locked="0" layoutInCell="1" allowOverlap="1">
              <wp:simplePos x="0" y="0"/>
              <wp:positionH relativeFrom="page">
                <wp:posOffset>154940</wp:posOffset>
              </wp:positionH>
              <wp:positionV relativeFrom="page">
                <wp:posOffset>434975</wp:posOffset>
              </wp:positionV>
              <wp:extent cx="402590" cy="67310"/>
              <wp:wrapNone/>
              <wp:docPr id="1332" name="Shape 1332"/>
              <a:graphic xmlns:a="http://schemas.openxmlformats.org/drawingml/2006/main">
                <a:graphicData uri="http://schemas.microsoft.com/office/word/2010/wordprocessingShape">
                  <wps:wsp>
                    <wps:cNvSpPr txBox="1"/>
                    <wps:spPr>
                      <a:xfrm>
                        <a:ext cx="4025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KARIZMA</w:t>
                          </w:r>
                        </w:p>
                      </w:txbxContent>
                    </wps:txbx>
                    <wps:bodyPr wrap="none" lIns="0" tIns="0" rIns="0" bIns="0">
                      <a:spAutoFit/>
                    </wps:bodyPr>
                  </wps:wsp>
                </a:graphicData>
              </a:graphic>
            </wp:anchor>
          </w:drawing>
        </mc:Choice>
        <mc:Fallback>
          <w:pict>
            <v:shape id="_x0000_s2358" type="#_x0000_t202" style="position:absolute;margin-left:12.199999999999999pt;margin-top:34.25pt;width:31.699999999999999pt;height:5.2999999999999998pt;z-index:-1887430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KARIZMA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530860</wp:posOffset>
              </wp:positionV>
              <wp:extent cx="4020185" cy="0"/>
              <wp:wrapNone/>
              <wp:docPr id="1334" name="Shape 133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1.799999999999997pt;width:316.55000000000001pt;height:0;z-index:-251658240;mso-position-horizontal-relative:page;mso-position-vertical-relative:page">
              <v:stroke weight="1.pt"/>
            </v:shape>
          </w:pict>
        </mc:Fallback>
      </mc:AlternateContent>
    </w: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4" behindDoc="1" locked="0" layoutInCell="1" allowOverlap="1">
              <wp:simplePos x="0" y="0"/>
              <wp:positionH relativeFrom="page">
                <wp:posOffset>3014980</wp:posOffset>
              </wp:positionH>
              <wp:positionV relativeFrom="page">
                <wp:posOffset>419735</wp:posOffset>
              </wp:positionV>
              <wp:extent cx="1139825" cy="69850"/>
              <wp:wrapNone/>
              <wp:docPr id="1335" name="Shape 1335"/>
              <a:graphic xmlns:a="http://schemas.openxmlformats.org/drawingml/2006/main">
                <a:graphicData uri="http://schemas.microsoft.com/office/word/2010/wordprocessingShape">
                  <wps:wsp>
                    <wps:cNvSpPr txBox="1"/>
                    <wps:spPr>
                      <a:xfrm>
                        <a:ext cx="113982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KANON/KARITAS,KARIZMA</w:t>
                          </w:r>
                        </w:p>
                      </w:txbxContent>
                    </wps:txbx>
                    <wps:bodyPr wrap="none" lIns="0" tIns="0" rIns="0" bIns="0">
                      <a:spAutoFit/>
                    </wps:bodyPr>
                  </wps:wsp>
                </a:graphicData>
              </a:graphic>
            </wp:anchor>
          </w:drawing>
        </mc:Choice>
        <mc:Fallback>
          <w:pict>
            <v:shape id="_x0000_s2361" type="#_x0000_t202" style="position:absolute;margin-left:237.40000000000001pt;margin-top:33.049999999999997pt;width:89.75pt;height:5.5pt;z-index:-1887430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KANON/KARITAS,KARIZMA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523240</wp:posOffset>
              </wp:positionV>
              <wp:extent cx="4017010" cy="0"/>
              <wp:wrapNone/>
              <wp:docPr id="1337" name="Shape 133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35pt;margin-top:41.200000000000003pt;width:316.30000000000001pt;height:0;z-index:-251658240;mso-position-horizontal-relative:page;mso-position-vertical-relative:page">
              <v:stroke weight="1.pt"/>
            </v:shape>
          </w:pict>
        </mc:Fallback>
      </mc:AlternateContent>
    </w: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6" behindDoc="1" locked="0" layoutInCell="1" allowOverlap="1">
              <wp:simplePos x="0" y="0"/>
              <wp:positionH relativeFrom="page">
                <wp:posOffset>147320</wp:posOffset>
              </wp:positionH>
              <wp:positionV relativeFrom="page">
                <wp:posOffset>434975</wp:posOffset>
              </wp:positionV>
              <wp:extent cx="323215" cy="67310"/>
              <wp:wrapNone/>
              <wp:docPr id="1340" name="Shape 1340"/>
              <a:graphic xmlns:a="http://schemas.openxmlformats.org/drawingml/2006/main">
                <a:graphicData uri="http://schemas.microsoft.com/office/word/2010/wordprocessingShape">
                  <wps:wsp>
                    <wps:cNvSpPr txBox="1"/>
                    <wps:spPr>
                      <a:xfrm>
                        <a:ext cx="32321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KONCIL</w:t>
                          </w:r>
                        </w:p>
                      </w:txbxContent>
                    </wps:txbx>
                    <wps:bodyPr wrap="none" lIns="0" tIns="0" rIns="0" bIns="0">
                      <a:spAutoFit/>
                    </wps:bodyPr>
                  </wps:wsp>
                </a:graphicData>
              </a:graphic>
            </wp:anchor>
          </w:drawing>
        </mc:Choice>
        <mc:Fallback>
          <w:pict>
            <v:shape id="_x0000_s2366" type="#_x0000_t202" style="position:absolute;margin-left:11.6pt;margin-top:34.25pt;width:25.449999999999999pt;height:5.2999999999999998pt;z-index:-1887430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KONCIL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535305</wp:posOffset>
              </wp:positionV>
              <wp:extent cx="4023360" cy="0"/>
              <wp:wrapNone/>
              <wp:docPr id="1342" name="Shape 134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2.149999999999999pt;width:316.80000000000001pt;height:0;z-index:-251658240;mso-position-horizontal-relative:page;mso-position-vertical-relative:page">
              <v:stroke weight="1.pt"/>
            </v:shape>
          </w:pict>
        </mc:Fallback>
      </mc:AlternateContent>
    </w: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0" behindDoc="1" locked="0" layoutInCell="1" allowOverlap="1">
              <wp:simplePos x="0" y="0"/>
              <wp:positionH relativeFrom="page">
                <wp:posOffset>147320</wp:posOffset>
              </wp:positionH>
              <wp:positionV relativeFrom="page">
                <wp:posOffset>434975</wp:posOffset>
              </wp:positionV>
              <wp:extent cx="323215" cy="67310"/>
              <wp:wrapNone/>
              <wp:docPr id="1345" name="Shape 1345"/>
              <a:graphic xmlns:a="http://schemas.openxmlformats.org/drawingml/2006/main">
                <a:graphicData uri="http://schemas.microsoft.com/office/word/2010/wordprocessingShape">
                  <wps:wsp>
                    <wps:cNvSpPr txBox="1"/>
                    <wps:spPr>
                      <a:xfrm>
                        <a:ext cx="32321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KONCIL</w:t>
                          </w:r>
                        </w:p>
                      </w:txbxContent>
                    </wps:txbx>
                    <wps:bodyPr wrap="none" lIns="0" tIns="0" rIns="0" bIns="0">
                      <a:spAutoFit/>
                    </wps:bodyPr>
                  </wps:wsp>
                </a:graphicData>
              </a:graphic>
            </wp:anchor>
          </w:drawing>
        </mc:Choice>
        <mc:Fallback>
          <w:pict>
            <v:shape id="_x0000_s2371" type="#_x0000_t202" style="position:absolute;margin-left:11.6pt;margin-top:34.25pt;width:25.449999999999999pt;height:5.2999999999999998pt;z-index:-1887430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KONCIL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535305</wp:posOffset>
              </wp:positionV>
              <wp:extent cx="4023360" cy="0"/>
              <wp:wrapNone/>
              <wp:docPr id="1347" name="Shape 134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2.149999999999999pt;width:316.80000000000001pt;height:0;z-index:-251658240;mso-position-horizontal-relative:page;mso-position-vertical-relative:page">
              <v:stroke weight="1.pt"/>
            </v:shape>
          </w:pict>
        </mc:Fallback>
      </mc:AlternateContent>
    </w: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4" behindDoc="1" locked="0" layoutInCell="1" allowOverlap="1">
              <wp:simplePos x="0" y="0"/>
              <wp:positionH relativeFrom="page">
                <wp:posOffset>3081020</wp:posOffset>
              </wp:positionH>
              <wp:positionV relativeFrom="page">
                <wp:posOffset>474345</wp:posOffset>
              </wp:positionV>
              <wp:extent cx="1088390" cy="67310"/>
              <wp:wrapNone/>
              <wp:docPr id="1350" name="Shape 1350"/>
              <a:graphic xmlns:a="http://schemas.openxmlformats.org/drawingml/2006/main">
                <a:graphicData uri="http://schemas.microsoft.com/office/word/2010/wordprocessingShape">
                  <wps:wsp>
                    <wps:cNvSpPr txBox="1"/>
                    <wps:spPr>
                      <a:xfrm>
                        <a:ext cx="10883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KARIZMA/KEL/XM.KONCIL</w:t>
                          </w:r>
                        </w:p>
                      </w:txbxContent>
                    </wps:txbx>
                    <wps:bodyPr wrap="none" lIns="0" tIns="0" rIns="0" bIns="0">
                      <a:spAutoFit/>
                    </wps:bodyPr>
                  </wps:wsp>
                </a:graphicData>
              </a:graphic>
            </wp:anchor>
          </w:drawing>
        </mc:Choice>
        <mc:Fallback>
          <w:pict>
            <v:shape id="_x0000_s2376" type="#_x0000_t202" style="position:absolute;margin-left:242.59999999999999pt;margin-top:37.350000000000001pt;width:85.700000000000003pt;height:5.2999999999999998pt;z-index:-1887430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KARIZMA/KEL/XM.KONCIL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573405</wp:posOffset>
              </wp:positionV>
              <wp:extent cx="4023360" cy="0"/>
              <wp:wrapNone/>
              <wp:docPr id="1352" name="Shape 135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49999999999999pt;margin-top:45.149999999999999pt;width:316.80000000000001pt;height:0;z-index:-251658240;mso-position-horizontal-relative:page;mso-position-vertical-relative:page">
              <v:stroke weight="1.pt"/>
            </v:shape>
          </w:pict>
        </mc:Fallback>
      </mc:AlternateContent>
    </w: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8" behindDoc="1" locked="0" layoutInCell="1" allowOverlap="1">
              <wp:simplePos x="0" y="0"/>
              <wp:positionH relativeFrom="page">
                <wp:posOffset>156210</wp:posOffset>
              </wp:positionH>
              <wp:positionV relativeFrom="page">
                <wp:posOffset>483870</wp:posOffset>
              </wp:positionV>
              <wp:extent cx="460375" cy="60960"/>
              <wp:wrapNone/>
              <wp:docPr id="1355" name="Shape 1355"/>
              <a:graphic xmlns:a="http://schemas.openxmlformats.org/drawingml/2006/main">
                <a:graphicData uri="http://schemas.microsoft.com/office/word/2010/wordprocessingShape">
                  <wps:wsp>
                    <wps:cNvSpPr txBox="1"/>
                    <wps:spPr>
                      <a:xfrm>
                        <a:ext cx="4603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KON1KSIJA</w:t>
                          </w:r>
                        </w:p>
                      </w:txbxContent>
                    </wps:txbx>
                    <wps:bodyPr wrap="none" lIns="0" tIns="0" rIns="0" bIns="0">
                      <a:spAutoFit/>
                    </wps:bodyPr>
                  </wps:wsp>
                </a:graphicData>
              </a:graphic>
            </wp:anchor>
          </w:drawing>
        </mc:Choice>
        <mc:Fallback>
          <w:pict>
            <v:shape id="_x0000_s2381" type="#_x0000_t202" style="position:absolute;margin-left:12.300000000000001pt;margin-top:38.100000000000001pt;width:36.25pt;height:4.7999999999999998pt;z-index:-1887430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KON1KSIJA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581025</wp:posOffset>
              </wp:positionV>
              <wp:extent cx="4023360" cy="0"/>
              <wp:wrapNone/>
              <wp:docPr id="1357" name="Shape 135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5.75pt;width:316.80000000000001pt;height:0;z-index:-251658240;mso-position-horizontal-relative:page;mso-position-vertical-relative:page">
              <v:stroke weight="1.pt"/>
            </v:shape>
          </w:pict>
        </mc:Fallback>
      </mc:AlternateContent>
    </w: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0" behindDoc="1" locked="0" layoutInCell="1" allowOverlap="1">
              <wp:simplePos x="0" y="0"/>
              <wp:positionH relativeFrom="page">
                <wp:posOffset>156210</wp:posOffset>
              </wp:positionH>
              <wp:positionV relativeFrom="page">
                <wp:posOffset>483870</wp:posOffset>
              </wp:positionV>
              <wp:extent cx="460375" cy="60960"/>
              <wp:wrapNone/>
              <wp:docPr id="1358" name="Shape 1358"/>
              <a:graphic xmlns:a="http://schemas.openxmlformats.org/drawingml/2006/main">
                <a:graphicData uri="http://schemas.microsoft.com/office/word/2010/wordprocessingShape">
                  <wps:wsp>
                    <wps:cNvSpPr txBox="1"/>
                    <wps:spPr>
                      <a:xfrm>
                        <a:ext cx="4603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KON1KSIJA</w:t>
                          </w:r>
                        </w:p>
                      </w:txbxContent>
                    </wps:txbx>
                    <wps:bodyPr wrap="none" lIns="0" tIns="0" rIns="0" bIns="0">
                      <a:spAutoFit/>
                    </wps:bodyPr>
                  </wps:wsp>
                </a:graphicData>
              </a:graphic>
            </wp:anchor>
          </w:drawing>
        </mc:Choice>
        <mc:Fallback>
          <w:pict>
            <v:shape id="_x0000_s2384" type="#_x0000_t202" style="position:absolute;margin-left:12.300000000000001pt;margin-top:38.100000000000001pt;width:36.25pt;height:4.7999999999999998pt;z-index:-1887430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KON1KSIJA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581025</wp:posOffset>
              </wp:positionV>
              <wp:extent cx="4023360" cy="0"/>
              <wp:wrapNone/>
              <wp:docPr id="1360" name="Shape 136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5.75pt;width:316.80000000000001pt;height:0;z-index:-251658240;mso-position-horizontal-relative:page;mso-position-vertical-relative:page">
              <v:stroke weight="1.pt"/>
            </v:shape>
          </w:pict>
        </mc:Fallback>
      </mc:AlternateContent>
    </w: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2" behindDoc="1" locked="0" layoutInCell="1" allowOverlap="1">
              <wp:simplePos x="0" y="0"/>
              <wp:positionH relativeFrom="page">
                <wp:posOffset>3356610</wp:posOffset>
              </wp:positionH>
              <wp:positionV relativeFrom="page">
                <wp:posOffset>499110</wp:posOffset>
              </wp:positionV>
              <wp:extent cx="814070" cy="64135"/>
              <wp:wrapNone/>
              <wp:docPr id="1361" name="Shape 1361"/>
              <a:graphic xmlns:a="http://schemas.openxmlformats.org/drawingml/2006/main">
                <a:graphicData uri="http://schemas.microsoft.com/office/word/2010/wordprocessingShape">
                  <wps:wsp>
                    <wps:cNvSpPr txBox="1"/>
                    <wps:spPr>
                      <a:xfrm>
                        <a:ext cx="8140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KONCI! ./KONFESIJA</w:t>
                          </w:r>
                        </w:p>
                      </w:txbxContent>
                    </wps:txbx>
                    <wps:bodyPr wrap="none" lIns="0" tIns="0" rIns="0" bIns="0">
                      <a:spAutoFit/>
                    </wps:bodyPr>
                  </wps:wsp>
                </a:graphicData>
              </a:graphic>
            </wp:anchor>
          </w:drawing>
        </mc:Choice>
        <mc:Fallback>
          <w:pict>
            <v:shape id="_x0000_s2387" type="#_x0000_t202" style="position:absolute;margin-left:264.30000000000001pt;margin-top:39.299999999999997pt;width:64.099999999999994pt;height:5.0499999999999998pt;z-index:-1887430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KONCI! ./KONFESIJA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596265</wp:posOffset>
              </wp:positionV>
              <wp:extent cx="4023360" cy="0"/>
              <wp:wrapNone/>
              <wp:docPr id="1363" name="Shape 136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6.950000000000003pt;width:316.80000000000001pt;height:0;z-index:-251658240;mso-position-horizontal-relative:page;mso-position-vertical-relative:page">
              <v:stroke weight="1.pt"/>
            </v:shape>
          </w:pict>
        </mc:Fallback>
      </mc:AlternateContent>
    </w: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4" behindDoc="1" locked="0" layoutInCell="1" allowOverlap="1">
              <wp:simplePos x="0" y="0"/>
              <wp:positionH relativeFrom="page">
                <wp:posOffset>3695700</wp:posOffset>
              </wp:positionH>
              <wp:positionV relativeFrom="page">
                <wp:posOffset>440690</wp:posOffset>
              </wp:positionV>
              <wp:extent cx="463550" cy="64135"/>
              <wp:wrapNone/>
              <wp:docPr id="1364" name="Shape 1364"/>
              <a:graphic xmlns:a="http://schemas.openxmlformats.org/drawingml/2006/main">
                <a:graphicData uri="http://schemas.microsoft.com/office/word/2010/wordprocessingShape">
                  <wps:wsp>
                    <wps:cNvSpPr txBox="1"/>
                    <wps:spPr>
                      <a:xfrm>
                        <a:ext cx="4635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wps:txbx>
                    <wps:bodyPr wrap="none" lIns="0" tIns="0" rIns="0" bIns="0">
                      <a:spAutoFit/>
                    </wps:bodyPr>
                  </wps:wsp>
                </a:graphicData>
              </a:graphic>
            </wp:anchor>
          </w:drawing>
        </mc:Choice>
        <mc:Fallback>
          <w:pict>
            <v:shape id="_x0000_s2390" type="#_x0000_t202" style="position:absolute;margin-left:291.pt;margin-top:34.700000000000003pt;width:36.5pt;height:5.0499999999999998pt;z-index:-1887430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542925</wp:posOffset>
              </wp:positionV>
              <wp:extent cx="4017010" cy="0"/>
              <wp:wrapNone/>
              <wp:docPr id="1366" name="Shape 136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5pt;margin-top:42.75pt;width:316.30000000000001pt;height:0;z-index:-251658240;mso-position-horizontal-relative:page;mso-position-vertical-relative:page">
              <v:stroke weight="1.pt"/>
            </v:shape>
          </w:pict>
        </mc:Fallback>
      </mc:AlternateContent>
    </w: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6" behindDoc="1" locked="0" layoutInCell="1" allowOverlap="1">
              <wp:simplePos x="0" y="0"/>
              <wp:positionH relativeFrom="page">
                <wp:posOffset>3695700</wp:posOffset>
              </wp:positionH>
              <wp:positionV relativeFrom="page">
                <wp:posOffset>440690</wp:posOffset>
              </wp:positionV>
              <wp:extent cx="463550" cy="64135"/>
              <wp:wrapNone/>
              <wp:docPr id="1367" name="Shape 1367"/>
              <a:graphic xmlns:a="http://schemas.openxmlformats.org/drawingml/2006/main">
                <a:graphicData uri="http://schemas.microsoft.com/office/word/2010/wordprocessingShape">
                  <wps:wsp>
                    <wps:cNvSpPr txBox="1"/>
                    <wps:spPr>
                      <a:xfrm>
                        <a:ext cx="4635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wps:txbx>
                    <wps:bodyPr wrap="none" lIns="0" tIns="0" rIns="0" bIns="0">
                      <a:spAutoFit/>
                    </wps:bodyPr>
                  </wps:wsp>
                </a:graphicData>
              </a:graphic>
            </wp:anchor>
          </w:drawing>
        </mc:Choice>
        <mc:Fallback>
          <w:pict>
            <v:shape id="_x0000_s2393" type="#_x0000_t202" style="position:absolute;margin-left:291.pt;margin-top:34.700000000000003pt;width:36.5pt;height:5.0499999999999998pt;z-index:-1887430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542925</wp:posOffset>
              </wp:positionV>
              <wp:extent cx="4017010" cy="0"/>
              <wp:wrapNone/>
              <wp:docPr id="1369" name="Shape 136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5pt;margin-top:42.75pt;width:316.30000000000001pt;height:0;z-index:-251658240;mso-position-horizontal-relative:page;mso-position-vertical-relative:page">
              <v:stroke weight="1.pt"/>
            </v:shape>
          </w:pict>
        </mc:Fallback>
      </mc:AlternateContent>
    </w: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8" behindDoc="1" locked="0" layoutInCell="1" allowOverlap="1">
              <wp:simplePos x="0" y="0"/>
              <wp:positionH relativeFrom="page">
                <wp:posOffset>142240</wp:posOffset>
              </wp:positionH>
              <wp:positionV relativeFrom="page">
                <wp:posOffset>489585</wp:posOffset>
              </wp:positionV>
              <wp:extent cx="463550" cy="67310"/>
              <wp:wrapNone/>
              <wp:docPr id="1370" name="Shape 1370"/>
              <a:graphic xmlns:a="http://schemas.openxmlformats.org/drawingml/2006/main">
                <a:graphicData uri="http://schemas.microsoft.com/office/word/2010/wordprocessingShape">
                  <wps:wsp>
                    <wps:cNvSpPr txBox="1"/>
                    <wps:spPr>
                      <a:xfrm>
                        <a:ext cx="4635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wps:txbx>
                    <wps:bodyPr wrap="none" lIns="0" tIns="0" rIns="0" bIns="0">
                      <a:spAutoFit/>
                    </wps:bodyPr>
                  </wps:wsp>
                </a:graphicData>
              </a:graphic>
            </wp:anchor>
          </w:drawing>
        </mc:Choice>
        <mc:Fallback>
          <w:pict>
            <v:shape id="_x0000_s2396" type="#_x0000_t202" style="position:absolute;margin-left:11.199999999999999pt;margin-top:38.549999999999997pt;width:36.5pt;height:5.2999999999999998pt;z-index:-1887430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585470</wp:posOffset>
              </wp:positionV>
              <wp:extent cx="4020185" cy="0"/>
              <wp:wrapNone/>
              <wp:docPr id="1372" name="Shape 137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99999999999999pt;margin-top:46.100000000000001pt;width:316.55000000000001pt;height:0;z-index:-251658240;mso-position-horizontal-relative:page;mso-position-vertical-relative:page">
              <v:stroke weight="1.pt"/>
            </v:shape>
          </w:pict>
        </mc:Fallback>
      </mc:AlternateContent>
    </w: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2" behindDoc="1" locked="0" layoutInCell="1" allowOverlap="1">
              <wp:simplePos x="0" y="0"/>
              <wp:positionH relativeFrom="page">
                <wp:posOffset>142240</wp:posOffset>
              </wp:positionH>
              <wp:positionV relativeFrom="page">
                <wp:posOffset>489585</wp:posOffset>
              </wp:positionV>
              <wp:extent cx="463550" cy="67310"/>
              <wp:wrapNone/>
              <wp:docPr id="1375" name="Shape 1375"/>
              <a:graphic xmlns:a="http://schemas.openxmlformats.org/drawingml/2006/main">
                <a:graphicData uri="http://schemas.microsoft.com/office/word/2010/wordprocessingShape">
                  <wps:wsp>
                    <wps:cNvSpPr txBox="1"/>
                    <wps:spPr>
                      <a:xfrm>
                        <a:ext cx="4635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wps:txbx>
                    <wps:bodyPr wrap="none" lIns="0" tIns="0" rIns="0" bIns="0">
                      <a:spAutoFit/>
                    </wps:bodyPr>
                  </wps:wsp>
                </a:graphicData>
              </a:graphic>
            </wp:anchor>
          </w:drawing>
        </mc:Choice>
        <mc:Fallback>
          <w:pict>
            <v:shape id="_x0000_s2401" type="#_x0000_t202" style="position:absolute;margin-left:11.199999999999999pt;margin-top:38.549999999999997pt;width:36.5pt;height:5.2999999999999998pt;z-index:-1887430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585470</wp:posOffset>
              </wp:positionV>
              <wp:extent cx="4020185" cy="0"/>
              <wp:wrapNone/>
              <wp:docPr id="1377" name="Shape 137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99999999999999pt;margin-top:46.100000000000001pt;width:316.55000000000001pt;height:0;z-index:-251658240;mso-position-horizontal-relative:page;mso-position-vertical-relative:page">
              <v:stroke weight="1.pt"/>
            </v:shape>
          </w:pict>
        </mc:Fallback>
      </mc:AlternateContent>
    </w: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6" behindDoc="1" locked="0" layoutInCell="1" allowOverlap="1">
              <wp:simplePos x="0" y="0"/>
              <wp:positionH relativeFrom="page">
                <wp:posOffset>153035</wp:posOffset>
              </wp:positionH>
              <wp:positionV relativeFrom="page">
                <wp:posOffset>410210</wp:posOffset>
              </wp:positionV>
              <wp:extent cx="911225" cy="79375"/>
              <wp:wrapNone/>
              <wp:docPr id="1380" name="Shape 1380"/>
              <a:graphic xmlns:a="http://schemas.openxmlformats.org/drawingml/2006/main">
                <a:graphicData uri="http://schemas.microsoft.com/office/word/2010/wordprocessingShape">
                  <wps:wsp>
                    <wps:cNvSpPr txBox="1"/>
                    <wps:spPr>
                      <a:xfrm>
                        <a:ext cx="911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KRAIJEVS ! VO </w:t>
                          </w:r>
                          <w:r>
                            <w:rPr>
                              <w:color w:val="000000"/>
                              <w:spacing w:val="0"/>
                              <w:w w:val="100"/>
                              <w:position w:val="0"/>
                              <w:shd w:val="clear" w:color="auto" w:fill="auto"/>
                              <w:lang w:val="hr-HR" w:eastAsia="hr-HR" w:bidi="hr-HR"/>
                            </w:rPr>
                            <w:t>BOŽJI:</w:t>
                          </w:r>
                        </w:p>
                      </w:txbxContent>
                    </wps:txbx>
                    <wps:bodyPr wrap="none" lIns="0" tIns="0" rIns="0" bIns="0">
                      <a:spAutoFit/>
                    </wps:bodyPr>
                  </wps:wsp>
                </a:graphicData>
              </a:graphic>
            </wp:anchor>
          </w:drawing>
        </mc:Choice>
        <mc:Fallback>
          <w:pict>
            <v:shape id="_x0000_s2406" type="#_x0000_t202" style="position:absolute;margin-left:12.050000000000001pt;margin-top:32.299999999999997pt;width:71.75pt;height:6.25pt;z-index:-1887429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KRAIJEVS ! VO </w:t>
                    </w:r>
                    <w:r>
                      <w:rPr>
                        <w:color w:val="000000"/>
                        <w:spacing w:val="0"/>
                        <w:w w:val="100"/>
                        <w:position w:val="0"/>
                        <w:shd w:val="clear" w:color="auto" w:fill="auto"/>
                        <w:lang w:val="hr-HR" w:eastAsia="hr-HR" w:bidi="hr-HR"/>
                      </w:rPr>
                      <w:t>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521970</wp:posOffset>
              </wp:positionV>
              <wp:extent cx="4020185" cy="0"/>
              <wp:wrapNone/>
              <wp:docPr id="1382" name="Shape 138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050000000000001pt;margin-top:41.100000000000001pt;width:316.55000000000001pt;height:0;z-index:-251658240;mso-position-horizontal-relative:page;mso-position-vertical-relative:page">
              <v:stroke weight="1.pt"/>
            </v:shape>
          </w:pict>
        </mc:Fallback>
      </mc:AlternateContent>
    </w: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8" behindDoc="1" locked="0" layoutInCell="1" allowOverlap="1">
              <wp:simplePos x="0" y="0"/>
              <wp:positionH relativeFrom="page">
                <wp:posOffset>153035</wp:posOffset>
              </wp:positionH>
              <wp:positionV relativeFrom="page">
                <wp:posOffset>410210</wp:posOffset>
              </wp:positionV>
              <wp:extent cx="911225" cy="79375"/>
              <wp:wrapNone/>
              <wp:docPr id="1383" name="Shape 1383"/>
              <a:graphic xmlns:a="http://schemas.openxmlformats.org/drawingml/2006/main">
                <a:graphicData uri="http://schemas.microsoft.com/office/word/2010/wordprocessingShape">
                  <wps:wsp>
                    <wps:cNvSpPr txBox="1"/>
                    <wps:spPr>
                      <a:xfrm>
                        <a:ext cx="911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KRAIJEVS ! VO </w:t>
                          </w:r>
                          <w:r>
                            <w:rPr>
                              <w:color w:val="000000"/>
                              <w:spacing w:val="0"/>
                              <w:w w:val="100"/>
                              <w:position w:val="0"/>
                              <w:shd w:val="clear" w:color="auto" w:fill="auto"/>
                              <w:lang w:val="hr-HR" w:eastAsia="hr-HR" w:bidi="hr-HR"/>
                            </w:rPr>
                            <w:t>BOŽJI:</w:t>
                          </w:r>
                        </w:p>
                      </w:txbxContent>
                    </wps:txbx>
                    <wps:bodyPr wrap="none" lIns="0" tIns="0" rIns="0" bIns="0">
                      <a:spAutoFit/>
                    </wps:bodyPr>
                  </wps:wsp>
                </a:graphicData>
              </a:graphic>
            </wp:anchor>
          </w:drawing>
        </mc:Choice>
        <mc:Fallback>
          <w:pict>
            <v:shape id="_x0000_s2409" type="#_x0000_t202" style="position:absolute;margin-left:12.050000000000001pt;margin-top:32.299999999999997pt;width:71.75pt;height:6.25pt;z-index:-1887429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KRAIJEVS ! VO </w:t>
                    </w:r>
                    <w:r>
                      <w:rPr>
                        <w:color w:val="000000"/>
                        <w:spacing w:val="0"/>
                        <w:w w:val="100"/>
                        <w:position w:val="0"/>
                        <w:shd w:val="clear" w:color="auto" w:fill="auto"/>
                        <w:lang w:val="hr-HR" w:eastAsia="hr-HR" w:bidi="hr-HR"/>
                      </w:rPr>
                      <w:t>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521970</wp:posOffset>
              </wp:positionV>
              <wp:extent cx="4020185" cy="0"/>
              <wp:wrapNone/>
              <wp:docPr id="1385" name="Shape 138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050000000000001pt;margin-top:41.100000000000001pt;width:316.55000000000001pt;height:0;z-index:-251658240;mso-position-horizontal-relative:page;mso-position-vertical-relative:page">
              <v:stroke weight="1.pt"/>
            </v:shape>
          </w:pict>
        </mc:Fallback>
      </mc:AlternateContent>
    </w: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0" behindDoc="1" locked="0" layoutInCell="1" allowOverlap="1">
              <wp:simplePos x="0" y="0"/>
              <wp:positionH relativeFrom="page">
                <wp:posOffset>2207260</wp:posOffset>
              </wp:positionH>
              <wp:positionV relativeFrom="page">
                <wp:posOffset>447040</wp:posOffset>
              </wp:positionV>
              <wp:extent cx="1950720" cy="85090"/>
              <wp:wrapNone/>
              <wp:docPr id="1386" name="Shape 1386"/>
              <a:graphic xmlns:a="http://schemas.openxmlformats.org/drawingml/2006/main">
                <a:graphicData uri="http://schemas.microsoft.com/office/word/2010/wordprocessingShape">
                  <wps:wsp>
                    <wps:cNvSpPr txBox="1"/>
                    <wps:spPr>
                      <a:xfrm>
                        <a:ext cx="195072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KONFESU/VKONSENZLS/KRALJEVSTVO BOŽJE</w:t>
                          </w:r>
                        </w:p>
                      </w:txbxContent>
                    </wps:txbx>
                    <wps:bodyPr wrap="none" lIns="0" tIns="0" rIns="0" bIns="0">
                      <a:spAutoFit/>
                    </wps:bodyPr>
                  </wps:wsp>
                </a:graphicData>
              </a:graphic>
            </wp:anchor>
          </w:drawing>
        </mc:Choice>
        <mc:Fallback>
          <w:pict>
            <v:shape id="_x0000_s2412" type="#_x0000_t202" style="position:absolute;margin-left:173.80000000000001pt;margin-top:35.200000000000003pt;width:153.59999999999999pt;height:6.7000000000000002pt;z-index:-1887429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KONFESU/VKONSENZLS/KRALJEVSTVO BOŽJE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137795</wp:posOffset>
              </wp:positionH>
              <wp:positionV relativeFrom="page">
                <wp:posOffset>565785</wp:posOffset>
              </wp:positionV>
              <wp:extent cx="4020185" cy="0"/>
              <wp:wrapNone/>
              <wp:docPr id="1388" name="Shape 138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85pt;margin-top:44.549999999999997pt;width:316.55000000000001pt;height:0;z-index:-251658240;mso-position-horizontal-relative:page;mso-position-vertical-relative:page">
              <v:stroke weight="1.pt"/>
            </v:shape>
          </w:pict>
        </mc:Fallback>
      </mc:AlternateContent>
    </w: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2" behindDoc="1" locked="0" layoutInCell="1" allowOverlap="1">
              <wp:simplePos x="0" y="0"/>
              <wp:positionH relativeFrom="page">
                <wp:posOffset>154305</wp:posOffset>
              </wp:positionH>
              <wp:positionV relativeFrom="page">
                <wp:posOffset>425450</wp:posOffset>
              </wp:positionV>
              <wp:extent cx="911225" cy="79375"/>
              <wp:wrapNone/>
              <wp:docPr id="1391" name="Shape 1391"/>
              <a:graphic xmlns:a="http://schemas.openxmlformats.org/drawingml/2006/main">
                <a:graphicData uri="http://schemas.microsoft.com/office/word/2010/wordprocessingShape">
                  <wps:wsp>
                    <wps:cNvSpPr txBox="1"/>
                    <wps:spPr>
                      <a:xfrm>
                        <a:ext cx="911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BOŽJE</w:t>
                          </w:r>
                        </w:p>
                      </w:txbxContent>
                    </wps:txbx>
                    <wps:bodyPr wrap="none" lIns="0" tIns="0" rIns="0" bIns="0">
                      <a:spAutoFit/>
                    </wps:bodyPr>
                  </wps:wsp>
                </a:graphicData>
              </a:graphic>
            </wp:anchor>
          </w:drawing>
        </mc:Choice>
        <mc:Fallback>
          <w:pict>
            <v:shape id="_x0000_s2417" type="#_x0000_t202" style="position:absolute;margin-left:12.15pt;margin-top:33.5pt;width:71.75pt;height:6.25pt;z-index:-1887429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538480</wp:posOffset>
              </wp:positionV>
              <wp:extent cx="4023360" cy="0"/>
              <wp:wrapNone/>
              <wp:docPr id="1393" name="Shape 139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2.399999999999999pt;width:316.80000000000001pt;height:0;z-index:-251658240;mso-position-horizontal-relative:page;mso-position-vertical-relative:page">
              <v:stroke weight="1.pt"/>
            </v:shape>
          </w:pict>
        </mc:Fallback>
      </mc:AlternateContent>
    </w: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4" behindDoc="1" locked="0" layoutInCell="1" allowOverlap="1">
              <wp:simplePos x="0" y="0"/>
              <wp:positionH relativeFrom="page">
                <wp:posOffset>154305</wp:posOffset>
              </wp:positionH>
              <wp:positionV relativeFrom="page">
                <wp:posOffset>425450</wp:posOffset>
              </wp:positionV>
              <wp:extent cx="911225" cy="79375"/>
              <wp:wrapNone/>
              <wp:docPr id="1394" name="Shape 1394"/>
              <a:graphic xmlns:a="http://schemas.openxmlformats.org/drawingml/2006/main">
                <a:graphicData uri="http://schemas.microsoft.com/office/word/2010/wordprocessingShape">
                  <wps:wsp>
                    <wps:cNvSpPr txBox="1"/>
                    <wps:spPr>
                      <a:xfrm>
                        <a:ext cx="911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BOŽJE</w:t>
                          </w:r>
                        </w:p>
                      </w:txbxContent>
                    </wps:txbx>
                    <wps:bodyPr wrap="none" lIns="0" tIns="0" rIns="0" bIns="0">
                      <a:spAutoFit/>
                    </wps:bodyPr>
                  </wps:wsp>
                </a:graphicData>
              </a:graphic>
            </wp:anchor>
          </w:drawing>
        </mc:Choice>
        <mc:Fallback>
          <w:pict>
            <v:shape id="_x0000_s2420" type="#_x0000_t202" style="position:absolute;margin-left:12.15pt;margin-top:33.5pt;width:71.75pt;height:6.25pt;z-index:-1887429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538480</wp:posOffset>
              </wp:positionV>
              <wp:extent cx="4023360" cy="0"/>
              <wp:wrapNone/>
              <wp:docPr id="1396" name="Shape 139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2.399999999999999pt;width:316.80000000000001pt;height:0;z-index:-251658240;mso-position-horizontal-relative:page;mso-position-vertical-relative:page">
              <v:stroke weight="1.pt"/>
            </v:shape>
          </w:pict>
        </mc:Fallback>
      </mc:AlternateContent>
    </w: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6" behindDoc="1" locked="0" layoutInCell="1" allowOverlap="1">
              <wp:simplePos x="0" y="0"/>
              <wp:positionH relativeFrom="page">
                <wp:posOffset>3270885</wp:posOffset>
              </wp:positionH>
              <wp:positionV relativeFrom="page">
                <wp:posOffset>416560</wp:posOffset>
              </wp:positionV>
              <wp:extent cx="908050" cy="79375"/>
              <wp:wrapNone/>
              <wp:docPr id="1397" name="Shape 1397"/>
              <a:graphic xmlns:a="http://schemas.openxmlformats.org/drawingml/2006/main">
                <a:graphicData uri="http://schemas.microsoft.com/office/word/2010/wordprocessingShape">
                  <wps:wsp>
                    <wps:cNvSpPr txBox="1"/>
                    <wps:spPr>
                      <a:xfrm>
                        <a:ext cx="9080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BOŽJF.</w:t>
                          </w:r>
                        </w:p>
                      </w:txbxContent>
                    </wps:txbx>
                    <wps:bodyPr wrap="none" lIns="0" tIns="0" rIns="0" bIns="0">
                      <a:spAutoFit/>
                    </wps:bodyPr>
                  </wps:wsp>
                </a:graphicData>
              </a:graphic>
            </wp:anchor>
          </w:drawing>
        </mc:Choice>
        <mc:Fallback>
          <w:pict>
            <v:shape id="_x0000_s2423" type="#_x0000_t202" style="position:absolute;margin-left:257.55000000000001pt;margin-top:32.799999999999997pt;width:71.5pt;height:6.25pt;z-index:-1887429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BOŽJF.</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161925</wp:posOffset>
              </wp:positionH>
              <wp:positionV relativeFrom="page">
                <wp:posOffset>532130</wp:posOffset>
              </wp:positionV>
              <wp:extent cx="4020185" cy="0"/>
              <wp:wrapNone/>
              <wp:docPr id="1399" name="Shape 139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75pt;margin-top:41.899999999999999pt;width:316.55000000000001pt;height:0;z-index:-251658240;mso-position-horizontal-relative:page;mso-position-vertical-relative:page">
              <v:stroke weight="1.pt"/>
            </v:shape>
          </w:pict>
        </mc:Fallback>
      </mc:AlternateContent>
    </w: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8" behindDoc="1" locked="0" layoutInCell="1" allowOverlap="1">
              <wp:simplePos x="0" y="0"/>
              <wp:positionH relativeFrom="page">
                <wp:posOffset>153035</wp:posOffset>
              </wp:positionH>
              <wp:positionV relativeFrom="page">
                <wp:posOffset>410210</wp:posOffset>
              </wp:positionV>
              <wp:extent cx="570230" cy="79375"/>
              <wp:wrapNone/>
              <wp:docPr id="1402" name="Shape 1402"/>
              <a:graphic xmlns:a="http://schemas.openxmlformats.org/drawingml/2006/main">
                <a:graphicData uri="http://schemas.microsoft.com/office/word/2010/wordprocessingShape">
                  <wps:wsp>
                    <wps:cNvSpPr txBox="1"/>
                    <wps:spPr>
                      <a:xfrm>
                        <a:ext cx="5702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28" type="#_x0000_t202" style="position:absolute;margin-left:12.050000000000001pt;margin-top:32.299999999999997pt;width:44.899999999999999pt;height:6.25pt;z-index:-1887429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522605</wp:posOffset>
              </wp:positionV>
              <wp:extent cx="4017010" cy="0"/>
              <wp:wrapNone/>
              <wp:docPr id="1404" name="Shape 140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1.149999999999999pt;width:316.30000000000001pt;height:0;z-index:-251658240;mso-position-horizontal-relative:page;mso-position-vertical-relative:page">
              <v:stroke weight="1.pt"/>
            </v:shape>
          </w:pict>
        </mc:Fallback>
      </mc:AlternateContent>
    </w: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2" behindDoc="1" locked="0" layoutInCell="1" allowOverlap="1">
              <wp:simplePos x="0" y="0"/>
              <wp:positionH relativeFrom="page">
                <wp:posOffset>153035</wp:posOffset>
              </wp:positionH>
              <wp:positionV relativeFrom="page">
                <wp:posOffset>410210</wp:posOffset>
              </wp:positionV>
              <wp:extent cx="570230" cy="79375"/>
              <wp:wrapNone/>
              <wp:docPr id="1407" name="Shape 1407"/>
              <a:graphic xmlns:a="http://schemas.openxmlformats.org/drawingml/2006/main">
                <a:graphicData uri="http://schemas.microsoft.com/office/word/2010/wordprocessingShape">
                  <wps:wsp>
                    <wps:cNvSpPr txBox="1"/>
                    <wps:spPr>
                      <a:xfrm>
                        <a:ext cx="5702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33" type="#_x0000_t202" style="position:absolute;margin-left:12.050000000000001pt;margin-top:32.299999999999997pt;width:44.899999999999999pt;height:6.25pt;z-index:-1887429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522605</wp:posOffset>
              </wp:positionV>
              <wp:extent cx="4017010" cy="0"/>
              <wp:wrapNone/>
              <wp:docPr id="1409" name="Shape 140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1.149999999999999pt;width:316.30000000000001pt;height:0;z-index:-251658240;mso-position-horizontal-relative:page;mso-position-vertical-relative:page">
              <v:stroke weight="1.pt"/>
            </v:shape>
          </w:pict>
        </mc:Fallback>
      </mc:AlternateContent>
    </w: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6" behindDoc="1" locked="0" layoutInCell="1" allowOverlap="1">
              <wp:simplePos x="0" y="0"/>
              <wp:positionH relativeFrom="page">
                <wp:posOffset>1997075</wp:posOffset>
              </wp:positionH>
              <wp:positionV relativeFrom="page">
                <wp:posOffset>410210</wp:posOffset>
              </wp:positionV>
              <wp:extent cx="2152015" cy="82550"/>
              <wp:wrapNone/>
              <wp:docPr id="1412" name="Shape 1412"/>
              <a:graphic xmlns:a="http://schemas.openxmlformats.org/drawingml/2006/main">
                <a:graphicData uri="http://schemas.microsoft.com/office/word/2010/wordprocessingShape">
                  <wps:wsp>
                    <wps:cNvSpPr txBox="1"/>
                    <wps:spPr>
                      <a:xfrm>
                        <a:ext cx="215201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BOŽJE/KRISTOLOGIJA/KRŠĆANSTVO</w:t>
                          </w:r>
                        </w:p>
                      </w:txbxContent>
                    </wps:txbx>
                    <wps:bodyPr wrap="none" lIns="0" tIns="0" rIns="0" bIns="0">
                      <a:spAutoFit/>
                    </wps:bodyPr>
                  </wps:wsp>
                </a:graphicData>
              </a:graphic>
            </wp:anchor>
          </w:drawing>
        </mc:Choice>
        <mc:Fallback>
          <w:pict>
            <v:shape id="_x0000_s2438" type="#_x0000_t202" style="position:absolute;margin-left:157.25pt;margin-top:32.299999999999997pt;width:169.44999999999999pt;height:6.5pt;z-index:-1887429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KRALJEVSTVO BOŽJE/KRISTOLOGIJA/KRŠĆANSTVO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528955</wp:posOffset>
              </wp:positionV>
              <wp:extent cx="4017010" cy="0"/>
              <wp:wrapNone/>
              <wp:docPr id="1414" name="Shape 141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050000000000001pt;margin-top:41.649999999999999pt;width:316.30000000000001pt;height:0;z-index:-251658240;mso-position-horizontal-relative:page;mso-position-vertical-relative:page">
              <v:stroke weight="1.pt"/>
            </v:shape>
          </w:pict>
        </mc:Fallback>
      </mc:AlternateContent>
    </w: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8" behindDoc="1" locked="0" layoutInCell="1" allowOverlap="1">
              <wp:simplePos x="0" y="0"/>
              <wp:positionH relativeFrom="page">
                <wp:posOffset>146685</wp:posOffset>
              </wp:positionH>
              <wp:positionV relativeFrom="page">
                <wp:posOffset>419735</wp:posOffset>
              </wp:positionV>
              <wp:extent cx="567055" cy="82550"/>
              <wp:wrapNone/>
              <wp:docPr id="1415" name="Shape 1415"/>
              <a:graphic xmlns:a="http://schemas.openxmlformats.org/drawingml/2006/main">
                <a:graphicData uri="http://schemas.microsoft.com/office/word/2010/wordprocessingShape">
                  <wps:wsp>
                    <wps:cNvSpPr txBox="1"/>
                    <wps:spPr>
                      <a:xfrm>
                        <a:ext cx="56705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41" type="#_x0000_t202" style="position:absolute;margin-left:11.550000000000001pt;margin-top:33.049999999999997pt;width:44.649999999999999pt;height:6.5pt;z-index:-1887429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532130</wp:posOffset>
              </wp:positionV>
              <wp:extent cx="4023360" cy="0"/>
              <wp:wrapNone/>
              <wp:docPr id="1417" name="Shape 141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50000000000001pt;margin-top:41.899999999999999pt;width:316.80000000000001pt;height:0;z-index:-251658240;mso-position-horizontal-relative:page;mso-position-vertical-relative:page">
              <v:stroke weight="1.pt"/>
            </v:shape>
          </w:pict>
        </mc:Fallback>
      </mc:AlternateContent>
    </w: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2" behindDoc="1" locked="0" layoutInCell="1" allowOverlap="1">
              <wp:simplePos x="0" y="0"/>
              <wp:positionH relativeFrom="page">
                <wp:posOffset>146685</wp:posOffset>
              </wp:positionH>
              <wp:positionV relativeFrom="page">
                <wp:posOffset>419735</wp:posOffset>
              </wp:positionV>
              <wp:extent cx="567055" cy="82550"/>
              <wp:wrapNone/>
              <wp:docPr id="1420" name="Shape 1420"/>
              <a:graphic xmlns:a="http://schemas.openxmlformats.org/drawingml/2006/main">
                <a:graphicData uri="http://schemas.microsoft.com/office/word/2010/wordprocessingShape">
                  <wps:wsp>
                    <wps:cNvSpPr txBox="1"/>
                    <wps:spPr>
                      <a:xfrm>
                        <a:ext cx="56705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46" type="#_x0000_t202" style="position:absolute;margin-left:11.550000000000001pt;margin-top:33.049999999999997pt;width:44.649999999999999pt;height:6.5pt;z-index:-1887429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532130</wp:posOffset>
              </wp:positionV>
              <wp:extent cx="4023360" cy="0"/>
              <wp:wrapNone/>
              <wp:docPr id="1422" name="Shape 142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50000000000001pt;margin-top:41.899999999999999pt;width:316.80000000000001pt;height:0;z-index:-251658240;mso-position-horizontal-relative:page;mso-position-vertical-relative:page">
              <v:stroke weight="1.pt"/>
            </v:shape>
          </w:pict>
        </mc:Fallback>
      </mc:AlternateContent>
    </w: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6" behindDoc="1" locked="0" layoutInCell="1" allowOverlap="1">
              <wp:simplePos x="0" y="0"/>
              <wp:positionH relativeFrom="page">
                <wp:posOffset>3601720</wp:posOffset>
              </wp:positionH>
              <wp:positionV relativeFrom="page">
                <wp:posOffset>462280</wp:posOffset>
              </wp:positionV>
              <wp:extent cx="563880" cy="82550"/>
              <wp:wrapNone/>
              <wp:docPr id="1425" name="Shape 1425"/>
              <a:graphic xmlns:a="http://schemas.openxmlformats.org/drawingml/2006/main">
                <a:graphicData uri="http://schemas.microsoft.com/office/word/2010/wordprocessingShape">
                  <wps:wsp>
                    <wps:cNvSpPr txBox="1"/>
                    <wps:spPr>
                      <a:xfrm>
                        <a:ext cx="56388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51" type="#_x0000_t202" style="position:absolute;margin-left:283.60000000000002pt;margin-top:36.399999999999999pt;width:44.399999999999999pt;height:6.5pt;z-index:-1887429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581025</wp:posOffset>
              </wp:positionV>
              <wp:extent cx="4026535" cy="0"/>
              <wp:wrapNone/>
              <wp:docPr id="1427" name="Shape 1427"/>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5pt;margin-top:45.75pt;width:317.05000000000001pt;height:0;z-index:-251658240;mso-position-horizontal-relative:page;mso-position-vertical-relative:page">
              <v:stroke weight="1.pt"/>
            </v:shape>
          </w:pict>
        </mc:Fallback>
      </mc:AlternateContent>
    </w: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0" behindDoc="1" locked="0" layoutInCell="1" allowOverlap="1">
              <wp:simplePos x="0" y="0"/>
              <wp:positionH relativeFrom="page">
                <wp:posOffset>3589655</wp:posOffset>
              </wp:positionH>
              <wp:positionV relativeFrom="page">
                <wp:posOffset>447040</wp:posOffset>
              </wp:positionV>
              <wp:extent cx="570230" cy="82550"/>
              <wp:wrapNone/>
              <wp:docPr id="1430" name="Shape 1430"/>
              <a:graphic xmlns:a="http://schemas.openxmlformats.org/drawingml/2006/main">
                <a:graphicData uri="http://schemas.microsoft.com/office/word/2010/wordprocessingShape">
                  <wps:wsp>
                    <wps:cNvSpPr txBox="1"/>
                    <wps:spPr>
                      <a:xfrm>
                        <a:ext cx="57023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56" type="#_x0000_t202" style="position:absolute;margin-left:282.64999999999998pt;margin-top:35.200000000000003pt;width:44.899999999999999pt;height:6.5pt;z-index:-1887429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567690</wp:posOffset>
              </wp:positionV>
              <wp:extent cx="4017010" cy="0"/>
              <wp:wrapNone/>
              <wp:docPr id="1432" name="Shape 143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99999999999999pt;margin-top:44.700000000000003pt;width:316.30000000000001pt;height:0;z-index:-251658240;mso-position-horizontal-relative:page;mso-position-vertical-relative:page">
              <v:stroke weight="1.pt"/>
            </v:shape>
          </w:pict>
        </mc:Fallback>
      </mc:AlternateContent>
    </w: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2" behindDoc="1" locked="0" layoutInCell="1" allowOverlap="1">
              <wp:simplePos x="0" y="0"/>
              <wp:positionH relativeFrom="page">
                <wp:posOffset>157480</wp:posOffset>
              </wp:positionH>
              <wp:positionV relativeFrom="page">
                <wp:posOffset>459105</wp:posOffset>
              </wp:positionV>
              <wp:extent cx="563880" cy="79375"/>
              <wp:wrapNone/>
              <wp:docPr id="1433" name="Shape 1433"/>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59" type="#_x0000_t202" style="position:absolute;margin-left:12.4pt;margin-top:36.149999999999999pt;width:44.399999999999999pt;height:6.25pt;z-index:-1887429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573405</wp:posOffset>
              </wp:positionV>
              <wp:extent cx="4020185" cy="0"/>
              <wp:wrapNone/>
              <wp:docPr id="1435" name="Shape 143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5.149999999999999pt;width:316.55000000000001pt;height:0;z-index:-251658240;mso-position-horizontal-relative:page;mso-position-vertical-relative:page">
              <v:stroke weight="1.pt"/>
            </v:shape>
          </w:pict>
        </mc:Fallback>
      </mc:AlternateContent>
    </w: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4" behindDoc="1" locked="0" layoutInCell="1" allowOverlap="1">
              <wp:simplePos x="0" y="0"/>
              <wp:positionH relativeFrom="page">
                <wp:posOffset>3599815</wp:posOffset>
              </wp:positionH>
              <wp:positionV relativeFrom="page">
                <wp:posOffset>455930</wp:posOffset>
              </wp:positionV>
              <wp:extent cx="567055" cy="82550"/>
              <wp:wrapNone/>
              <wp:docPr id="1436" name="Shape 1436"/>
              <a:graphic xmlns:a="http://schemas.openxmlformats.org/drawingml/2006/main">
                <a:graphicData uri="http://schemas.microsoft.com/office/word/2010/wordprocessingShape">
                  <wps:wsp>
                    <wps:cNvSpPr txBox="1"/>
                    <wps:spPr>
                      <a:xfrm>
                        <a:ext cx="56705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62" type="#_x0000_t202" style="position:absolute;margin-left:283.44999999999999pt;margin-top:35.899999999999999pt;width:44.649999999999999pt;height:6.5pt;z-index:-1887429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571500</wp:posOffset>
              </wp:positionV>
              <wp:extent cx="4020185" cy="0"/>
              <wp:wrapNone/>
              <wp:docPr id="1438" name="Shape 143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00000000000001pt;margin-top:45.pt;width:316.55000000000001pt;height:0;z-index:-251658240;mso-position-horizontal-relative:page;mso-position-vertical-relative:page">
              <v:stroke weight="1.pt"/>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8" behindDoc="1" locked="0" layoutInCell="1" allowOverlap="1">
              <wp:simplePos x="0" y="0"/>
              <wp:positionH relativeFrom="page">
                <wp:posOffset>3610610</wp:posOffset>
              </wp:positionH>
              <wp:positionV relativeFrom="page">
                <wp:posOffset>455930</wp:posOffset>
              </wp:positionV>
              <wp:extent cx="560705" cy="79375"/>
              <wp:wrapNone/>
              <wp:docPr id="1443" name="Shape 1443"/>
              <a:graphic xmlns:a="http://schemas.openxmlformats.org/drawingml/2006/main">
                <a:graphicData uri="http://schemas.microsoft.com/office/word/2010/wordprocessingShape">
                  <wps:wsp>
                    <wps:cNvSpPr txBox="1"/>
                    <wps:spPr>
                      <a:xfrm>
                        <a:ext cx="5607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69" type="#_x0000_t202" style="position:absolute;margin-left:284.30000000000001pt;margin-top:35.899999999999999pt;width:44.149999999999999pt;height:6.25pt;z-index:-1887429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576580</wp:posOffset>
              </wp:positionV>
              <wp:extent cx="4023360" cy="0"/>
              <wp:wrapNone/>
              <wp:docPr id="1445" name="Shape 144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5pt;margin-top:45.399999999999999pt;width:316.80000000000001pt;height:0;z-index:-251658240;mso-position-horizontal-relative:page;mso-position-vertical-relative:page">
              <v:stroke weight="1.pt"/>
            </v:shape>
          </w:pict>
        </mc:Fallback>
      </mc:AlternateContent>
    </w: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2" behindDoc="1" locked="0" layoutInCell="1" allowOverlap="1">
              <wp:simplePos x="0" y="0"/>
              <wp:positionH relativeFrom="page">
                <wp:posOffset>3610610</wp:posOffset>
              </wp:positionH>
              <wp:positionV relativeFrom="page">
                <wp:posOffset>455930</wp:posOffset>
              </wp:positionV>
              <wp:extent cx="560705" cy="79375"/>
              <wp:wrapNone/>
              <wp:docPr id="1448" name="Shape 1448"/>
              <a:graphic xmlns:a="http://schemas.openxmlformats.org/drawingml/2006/main">
                <a:graphicData uri="http://schemas.microsoft.com/office/word/2010/wordprocessingShape">
                  <wps:wsp>
                    <wps:cNvSpPr txBox="1"/>
                    <wps:spPr>
                      <a:xfrm>
                        <a:ext cx="56070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74" type="#_x0000_t202" style="position:absolute;margin-left:284.30000000000001pt;margin-top:35.899999999999999pt;width:44.149999999999999pt;height:6.25pt;z-index:-1887429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576580</wp:posOffset>
              </wp:positionV>
              <wp:extent cx="4023360" cy="0"/>
              <wp:wrapNone/>
              <wp:docPr id="1450" name="Shape 145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5pt;margin-top:45.399999999999999pt;width:316.80000000000001pt;height:0;z-index:-251658240;mso-position-horizontal-relative:page;mso-position-vertical-relative:page">
              <v:stroke weight="1.pt"/>
            </v:shape>
          </w:pict>
        </mc:Fallback>
      </mc:AlternateContent>
    </w: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6" behindDoc="1" locked="0" layoutInCell="1" allowOverlap="1">
              <wp:simplePos x="0" y="0"/>
              <wp:positionH relativeFrom="page">
                <wp:posOffset>3487420</wp:posOffset>
              </wp:positionH>
              <wp:positionV relativeFrom="page">
                <wp:posOffset>410210</wp:posOffset>
              </wp:positionV>
              <wp:extent cx="676910" cy="79375"/>
              <wp:wrapNone/>
              <wp:docPr id="1453" name="Shape 1453"/>
              <a:graphic xmlns:a="http://schemas.openxmlformats.org/drawingml/2006/main">
                <a:graphicData uri="http://schemas.microsoft.com/office/word/2010/wordprocessingShape">
                  <wps:wsp>
                    <wps:cNvSpPr txBox="1"/>
                    <wps:spPr>
                      <a:xfrm>
                        <a:ext cx="6769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KRŠrtiNJli'KULT</w:t>
                          </w:r>
                        </w:p>
                      </w:txbxContent>
                    </wps:txbx>
                    <wps:bodyPr wrap="none" lIns="0" tIns="0" rIns="0" bIns="0">
                      <a:spAutoFit/>
                    </wps:bodyPr>
                  </wps:wsp>
                </a:graphicData>
              </a:graphic>
            </wp:anchor>
          </w:drawing>
        </mc:Choice>
        <mc:Fallback>
          <w:pict>
            <v:shape id="_x0000_s2479" type="#_x0000_t202" style="position:absolute;margin-left:274.60000000000002pt;margin-top:32.299999999999997pt;width:53.299999999999997pt;height:6.25pt;z-index:-1887429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KRŠrtiNJli'KULT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521335</wp:posOffset>
              </wp:positionV>
              <wp:extent cx="4017010" cy="0"/>
              <wp:wrapNone/>
              <wp:docPr id="1455" name="Shape 145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049999999999997pt;width:316.30000000000001pt;height:0;z-index:-251658240;mso-position-horizontal-relative:page;mso-position-vertical-relative:page">
              <v:stroke weight="1.pt"/>
            </v:shape>
          </w:pict>
        </mc:Fallback>
      </mc:AlternateContent>
    </w: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0" behindDoc="1" locked="0" layoutInCell="1" allowOverlap="1">
              <wp:simplePos x="0" y="0"/>
              <wp:positionH relativeFrom="page">
                <wp:posOffset>3487420</wp:posOffset>
              </wp:positionH>
              <wp:positionV relativeFrom="page">
                <wp:posOffset>410210</wp:posOffset>
              </wp:positionV>
              <wp:extent cx="676910" cy="79375"/>
              <wp:wrapNone/>
              <wp:docPr id="1458" name="Shape 1458"/>
              <a:graphic xmlns:a="http://schemas.openxmlformats.org/drawingml/2006/main">
                <a:graphicData uri="http://schemas.microsoft.com/office/word/2010/wordprocessingShape">
                  <wps:wsp>
                    <wps:cNvSpPr txBox="1"/>
                    <wps:spPr>
                      <a:xfrm>
                        <a:ext cx="6769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KRŠrtiNJli'KULT</w:t>
                          </w:r>
                        </w:p>
                      </w:txbxContent>
                    </wps:txbx>
                    <wps:bodyPr wrap="none" lIns="0" tIns="0" rIns="0" bIns="0">
                      <a:spAutoFit/>
                    </wps:bodyPr>
                  </wps:wsp>
                </a:graphicData>
              </a:graphic>
            </wp:anchor>
          </w:drawing>
        </mc:Choice>
        <mc:Fallback>
          <w:pict>
            <v:shape id="_x0000_s2484" type="#_x0000_t202" style="position:absolute;margin-left:274.60000000000002pt;margin-top:32.299999999999997pt;width:53.299999999999997pt;height:6.25pt;z-index:-1887429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KRŠrtiNJli'KULT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521335</wp:posOffset>
              </wp:positionV>
              <wp:extent cx="4017010" cy="0"/>
              <wp:wrapNone/>
              <wp:docPr id="1460" name="Shape 146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049999999999997pt;width:316.30000000000001pt;height:0;z-index:-251658240;mso-position-horizontal-relative:page;mso-position-vertical-relative:page">
              <v:stroke weight="1.pt"/>
            </v:shape>
          </w:pict>
        </mc:Fallback>
      </mc:AlternateContent>
    </w: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4" behindDoc="1" locked="0" layoutInCell="1" allowOverlap="1">
              <wp:simplePos x="0" y="0"/>
              <wp:positionH relativeFrom="page">
                <wp:posOffset>153035</wp:posOffset>
              </wp:positionH>
              <wp:positionV relativeFrom="page">
                <wp:posOffset>410210</wp:posOffset>
              </wp:positionV>
              <wp:extent cx="563880" cy="79375"/>
              <wp:wrapNone/>
              <wp:docPr id="1463" name="Shape 1463"/>
              <a:graphic xmlns:a="http://schemas.openxmlformats.org/drawingml/2006/main">
                <a:graphicData uri="http://schemas.microsoft.com/office/word/2010/wordprocessingShape">
                  <wps:wsp>
                    <wps:cNvSpPr txBox="1"/>
                    <wps:spPr>
                      <a:xfrm>
                        <a:ext cx="5638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wps:txbx>
                    <wps:bodyPr wrap="none" lIns="0" tIns="0" rIns="0" bIns="0">
                      <a:spAutoFit/>
                    </wps:bodyPr>
                  </wps:wsp>
                </a:graphicData>
              </a:graphic>
            </wp:anchor>
          </w:drawing>
        </mc:Choice>
        <mc:Fallback>
          <w:pict>
            <v:shape id="_x0000_s2489" type="#_x0000_t202" style="position:absolute;margin-left:12.050000000000001pt;margin-top:32.299999999999997pt;width:44.399999999999999pt;height:6.25pt;z-index:-1887429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KRŠĆANSTVO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521335</wp:posOffset>
              </wp:positionV>
              <wp:extent cx="4017010" cy="0"/>
              <wp:wrapNone/>
              <wp:docPr id="1465" name="Shape 146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1.049999999999997pt;width:316.30000000000001pt;height:0;z-index:-251658240;mso-position-horizontal-relative:page;mso-position-vertical-relative:page">
              <v:stroke weight="1.pt"/>
            </v:shape>
          </w:pict>
        </mc:Fallback>
      </mc:AlternateContent>
    </w: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8" behindDoc="1" locked="0" layoutInCell="1" allowOverlap="1">
              <wp:simplePos x="0" y="0"/>
              <wp:positionH relativeFrom="page">
                <wp:posOffset>3857625</wp:posOffset>
              </wp:positionH>
              <wp:positionV relativeFrom="page">
                <wp:posOffset>422275</wp:posOffset>
              </wp:positionV>
              <wp:extent cx="307975" cy="64135"/>
              <wp:wrapNone/>
              <wp:docPr id="1468" name="Shape 1468"/>
              <a:graphic xmlns:a="http://schemas.openxmlformats.org/drawingml/2006/main">
                <a:graphicData uri="http://schemas.microsoft.com/office/word/2010/wordprocessingShape">
                  <wps:wsp>
                    <wps:cNvSpPr txBox="1"/>
                    <wps:spPr>
                      <a:xfrm>
                        <a:ext cx="3079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wps:txbx>
                    <wps:bodyPr wrap="none" lIns="0" tIns="0" rIns="0" bIns="0">
                      <a:spAutoFit/>
                    </wps:bodyPr>
                  </wps:wsp>
                </a:graphicData>
              </a:graphic>
            </wp:anchor>
          </w:drawing>
        </mc:Choice>
        <mc:Fallback>
          <w:pict>
            <v:shape id="_x0000_s2494" type="#_x0000_t202" style="position:absolute;margin-left:303.75pt;margin-top:33.25pt;width:24.25pt;height:5.0499999999999998pt;z-index:-1887429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528955</wp:posOffset>
              </wp:positionV>
              <wp:extent cx="4020185" cy="0"/>
              <wp:wrapNone/>
              <wp:docPr id="1470" name="Shape 147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649999999999999pt;width:316.55000000000001pt;height:0;z-index:-251658240;mso-position-horizontal-relative:page;mso-position-vertical-relative:page">
              <v:stroke weight="1.pt"/>
            </v:shape>
          </w:pict>
        </mc:Fallback>
      </mc:AlternateContent>
    </w: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2" behindDoc="1" locked="0" layoutInCell="1" allowOverlap="1">
              <wp:simplePos x="0" y="0"/>
              <wp:positionH relativeFrom="page">
                <wp:posOffset>3857625</wp:posOffset>
              </wp:positionH>
              <wp:positionV relativeFrom="page">
                <wp:posOffset>422275</wp:posOffset>
              </wp:positionV>
              <wp:extent cx="307975" cy="64135"/>
              <wp:wrapNone/>
              <wp:docPr id="1473" name="Shape 1473"/>
              <a:graphic xmlns:a="http://schemas.openxmlformats.org/drawingml/2006/main">
                <a:graphicData uri="http://schemas.microsoft.com/office/word/2010/wordprocessingShape">
                  <wps:wsp>
                    <wps:cNvSpPr txBox="1"/>
                    <wps:spPr>
                      <a:xfrm>
                        <a:ext cx="3079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wps:txbx>
                    <wps:bodyPr wrap="none" lIns="0" tIns="0" rIns="0" bIns="0">
                      <a:spAutoFit/>
                    </wps:bodyPr>
                  </wps:wsp>
                </a:graphicData>
              </a:graphic>
            </wp:anchor>
          </w:drawing>
        </mc:Choice>
        <mc:Fallback>
          <w:pict>
            <v:shape id="_x0000_s2499" type="#_x0000_t202" style="position:absolute;margin-left:303.75pt;margin-top:33.25pt;width:24.25pt;height:5.0499999999999998pt;z-index:-1887429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528955</wp:posOffset>
              </wp:positionV>
              <wp:extent cx="4020185" cy="0"/>
              <wp:wrapNone/>
              <wp:docPr id="1475" name="Shape 147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649999999999999pt;width:316.55000000000001pt;height:0;z-index:-251658240;mso-position-horizontal-relative:page;mso-position-vertical-relative:page">
              <v:stroke weight="1.pt"/>
            </v:shape>
          </w:pict>
        </mc:Fallback>
      </mc:AlternateContent>
    </w: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6" behindDoc="1" locked="0" layoutInCell="1" allowOverlap="1">
              <wp:simplePos x="0" y="0"/>
              <wp:positionH relativeFrom="page">
                <wp:posOffset>157480</wp:posOffset>
              </wp:positionH>
              <wp:positionV relativeFrom="page">
                <wp:posOffset>422275</wp:posOffset>
              </wp:positionV>
              <wp:extent cx="560705" cy="67310"/>
              <wp:wrapNone/>
              <wp:docPr id="1478" name="Shape 1478"/>
              <a:graphic xmlns:a="http://schemas.openxmlformats.org/drawingml/2006/main">
                <a:graphicData uri="http://schemas.microsoft.com/office/word/2010/wordprocessingShape">
                  <wps:wsp>
                    <wps:cNvSpPr txBox="1"/>
                    <wps:spPr>
                      <a:xfrm>
                        <a:ext cx="56070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KULT,</w:t>
                          </w:r>
                          <w:r>
                            <w:rPr>
                              <w:color w:val="000000"/>
                              <w:spacing w:val="0"/>
                              <w:w w:val="100"/>
                              <w:position w:val="0"/>
                              <w:shd w:val="clear" w:color="auto" w:fill="auto"/>
                              <w:lang w:val="en-US" w:eastAsia="en-US" w:bidi="en-US"/>
                            </w:rPr>
                            <w:t>KURAN</w:t>
                          </w:r>
                        </w:p>
                      </w:txbxContent>
                    </wps:txbx>
                    <wps:bodyPr wrap="none" lIns="0" tIns="0" rIns="0" bIns="0">
                      <a:spAutoFit/>
                    </wps:bodyPr>
                  </wps:wsp>
                </a:graphicData>
              </a:graphic>
            </wp:anchor>
          </w:drawing>
        </mc:Choice>
        <mc:Fallback>
          <w:pict>
            <v:shape id="_x0000_s2504" type="#_x0000_t202" style="position:absolute;margin-left:12.4pt;margin-top:33.25pt;width:44.149999999999999pt;height:5.2999999999999998pt;z-index:-1887429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KULT,</w:t>
                    </w:r>
                    <w:r>
                      <w:rPr>
                        <w:color w:val="000000"/>
                        <w:spacing w:val="0"/>
                        <w:w w:val="100"/>
                        <w:position w:val="0"/>
                        <w:shd w:val="clear" w:color="auto" w:fill="auto"/>
                        <w:lang w:val="en-US" w:eastAsia="en-US" w:bidi="en-US"/>
                      </w:rPr>
                      <w:t>KURAN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157480</wp:posOffset>
              </wp:positionH>
              <wp:positionV relativeFrom="page">
                <wp:posOffset>525780</wp:posOffset>
              </wp:positionV>
              <wp:extent cx="4020185" cy="0"/>
              <wp:wrapNone/>
              <wp:docPr id="1480" name="Shape 148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4pt;margin-top:41.399999999999999pt;width:316.55000000000001pt;height:0;z-index:-251658240;mso-position-horizontal-relative:page;mso-position-vertical-relative:page">
              <v:stroke weight="1.pt"/>
            </v:shape>
          </w:pict>
        </mc:Fallback>
      </mc:AlternateContent>
    </w: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0" behindDoc="1" locked="0" layoutInCell="1" allowOverlap="1">
              <wp:simplePos x="0" y="0"/>
              <wp:positionH relativeFrom="page">
                <wp:posOffset>143510</wp:posOffset>
              </wp:positionH>
              <wp:positionV relativeFrom="page">
                <wp:posOffset>425450</wp:posOffset>
              </wp:positionV>
              <wp:extent cx="304800" cy="64135"/>
              <wp:wrapNone/>
              <wp:docPr id="1483" name="Shape 1483"/>
              <a:graphic xmlns:a="http://schemas.openxmlformats.org/drawingml/2006/main">
                <a:graphicData uri="http://schemas.microsoft.com/office/word/2010/wordprocessingShape">
                  <wps:wsp>
                    <wps:cNvSpPr txBox="1"/>
                    <wps:spPr>
                      <a:xfrm>
                        <a:ext cx="30480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wps:txbx>
                    <wps:bodyPr wrap="none" lIns="0" tIns="0" rIns="0" bIns="0">
                      <a:spAutoFit/>
                    </wps:bodyPr>
                  </wps:wsp>
                </a:graphicData>
              </a:graphic>
            </wp:anchor>
          </w:drawing>
        </mc:Choice>
        <mc:Fallback>
          <w:pict>
            <v:shape id="_x0000_s2509" type="#_x0000_t202" style="position:absolute;margin-left:11.300000000000001pt;margin-top:33.5pt;width:24.pt;height:5.0499999999999998pt;z-index:-1887429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518795</wp:posOffset>
              </wp:positionV>
              <wp:extent cx="4017010" cy="0"/>
              <wp:wrapNone/>
              <wp:docPr id="1485" name="Shape 148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50000000000001pt;margin-top:40.850000000000001pt;width:316.30000000000001pt;height:0;z-index:-251658240;mso-position-horizontal-relative:page;mso-position-vertical-relative:page">
              <v:stroke weight="1.pt"/>
            </v:shape>
          </w:pict>
        </mc:Fallback>
      </mc:AlternateContent>
    </w: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2" behindDoc="1" locked="0" layoutInCell="1" allowOverlap="1">
              <wp:simplePos x="0" y="0"/>
              <wp:positionH relativeFrom="page">
                <wp:posOffset>143510</wp:posOffset>
              </wp:positionH>
              <wp:positionV relativeFrom="page">
                <wp:posOffset>425450</wp:posOffset>
              </wp:positionV>
              <wp:extent cx="304800" cy="64135"/>
              <wp:wrapNone/>
              <wp:docPr id="1486" name="Shape 1486"/>
              <a:graphic xmlns:a="http://schemas.openxmlformats.org/drawingml/2006/main">
                <a:graphicData uri="http://schemas.microsoft.com/office/word/2010/wordprocessingShape">
                  <wps:wsp>
                    <wps:cNvSpPr txBox="1"/>
                    <wps:spPr>
                      <a:xfrm>
                        <a:ext cx="30480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wps:txbx>
                    <wps:bodyPr wrap="none" lIns="0" tIns="0" rIns="0" bIns="0">
                      <a:spAutoFit/>
                    </wps:bodyPr>
                  </wps:wsp>
                </a:graphicData>
              </a:graphic>
            </wp:anchor>
          </w:drawing>
        </mc:Choice>
        <mc:Fallback>
          <w:pict>
            <v:shape id="_x0000_s2512" type="#_x0000_t202" style="position:absolute;margin-left:11.300000000000001pt;margin-top:33.5pt;width:24.pt;height:5.0499999999999998pt;z-index:-1887429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518795</wp:posOffset>
              </wp:positionV>
              <wp:extent cx="4017010" cy="0"/>
              <wp:wrapNone/>
              <wp:docPr id="1488" name="Shape 148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50000000000001pt;margin-top:40.850000000000001pt;width:316.30000000000001pt;height:0;z-index:-251658240;mso-position-horizontal-relative:page;mso-position-vertical-relative:page">
              <v:stroke weight="1.pt"/>
            </v:shape>
          </w:pict>
        </mc:Fallback>
      </mc:AlternateContent>
    </w: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4" behindDoc="1" locked="0" layoutInCell="1" allowOverlap="1">
              <wp:simplePos x="0" y="0"/>
              <wp:positionH relativeFrom="page">
                <wp:posOffset>3857625</wp:posOffset>
              </wp:positionH>
              <wp:positionV relativeFrom="page">
                <wp:posOffset>422275</wp:posOffset>
              </wp:positionV>
              <wp:extent cx="307975" cy="64135"/>
              <wp:wrapNone/>
              <wp:docPr id="1491" name="Shape 1491"/>
              <a:graphic xmlns:a="http://schemas.openxmlformats.org/drawingml/2006/main">
                <a:graphicData uri="http://schemas.microsoft.com/office/word/2010/wordprocessingShape">
                  <wps:wsp>
                    <wps:cNvSpPr txBox="1"/>
                    <wps:spPr>
                      <a:xfrm>
                        <a:ext cx="3079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wps:txbx>
                    <wps:bodyPr wrap="none" lIns="0" tIns="0" rIns="0" bIns="0">
                      <a:spAutoFit/>
                    </wps:bodyPr>
                  </wps:wsp>
                </a:graphicData>
              </a:graphic>
            </wp:anchor>
          </w:drawing>
        </mc:Choice>
        <mc:Fallback>
          <w:pict>
            <v:shape id="_x0000_s2517" type="#_x0000_t202" style="position:absolute;margin-left:303.75pt;margin-top:33.25pt;width:24.25pt;height:5.0499999999999998pt;z-index:-1887429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528955</wp:posOffset>
              </wp:positionV>
              <wp:extent cx="4020185" cy="0"/>
              <wp:wrapNone/>
              <wp:docPr id="1493" name="Shape 149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649999999999999pt;width:316.55000000000001pt;height:0;z-index:-251658240;mso-position-horizontal-relative:page;mso-position-vertical-relative:page">
              <v:stroke weight="1.pt"/>
            </v:shape>
          </w:pict>
        </mc:Fallback>
      </mc:AlternateContent>
    </w: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8" behindDoc="1" locked="0" layoutInCell="1" allowOverlap="1">
              <wp:simplePos x="0" y="0"/>
              <wp:positionH relativeFrom="page">
                <wp:posOffset>3857625</wp:posOffset>
              </wp:positionH>
              <wp:positionV relativeFrom="page">
                <wp:posOffset>422275</wp:posOffset>
              </wp:positionV>
              <wp:extent cx="307975" cy="64135"/>
              <wp:wrapNone/>
              <wp:docPr id="1496" name="Shape 1496"/>
              <a:graphic xmlns:a="http://schemas.openxmlformats.org/drawingml/2006/main">
                <a:graphicData uri="http://schemas.microsoft.com/office/word/2010/wordprocessingShape">
                  <wps:wsp>
                    <wps:cNvSpPr txBox="1"/>
                    <wps:spPr>
                      <a:xfrm>
                        <a:ext cx="3079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wps:txbx>
                    <wps:bodyPr wrap="none" lIns="0" tIns="0" rIns="0" bIns="0">
                      <a:spAutoFit/>
                    </wps:bodyPr>
                  </wps:wsp>
                </a:graphicData>
              </a:graphic>
            </wp:anchor>
          </w:drawing>
        </mc:Choice>
        <mc:Fallback>
          <w:pict>
            <v:shape id="_x0000_s2522" type="#_x0000_t202" style="position:absolute;margin-left:303.75pt;margin-top:33.25pt;width:24.25pt;height:5.0499999999999998pt;z-index:-1887429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KURAN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528955</wp:posOffset>
              </wp:positionV>
              <wp:extent cx="4020185" cy="0"/>
              <wp:wrapNone/>
              <wp:docPr id="1498" name="Shape 149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649999999999999pt;width:316.55000000000001pt;height:0;z-index:-251658240;mso-position-horizontal-relative:page;mso-position-vertical-relative:page">
              <v:stroke weight="1.pt"/>
            </v:shape>
          </w:pict>
        </mc:Fallback>
      </mc:AlternateContent>
    </w: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6" behindDoc="1" locked="0" layoutInCell="1" allowOverlap="1">
              <wp:simplePos x="0" y="0"/>
              <wp:positionH relativeFrom="page">
                <wp:posOffset>151765</wp:posOffset>
              </wp:positionH>
              <wp:positionV relativeFrom="page">
                <wp:posOffset>458470</wp:posOffset>
              </wp:positionV>
              <wp:extent cx="201295" cy="64135"/>
              <wp:wrapNone/>
              <wp:docPr id="1505" name="Shape 1505"/>
              <a:graphic xmlns:a="http://schemas.openxmlformats.org/drawingml/2006/main">
                <a:graphicData uri="http://schemas.microsoft.com/office/word/2010/wordprocessingShape">
                  <wps:wsp>
                    <wps:cNvSpPr txBox="1"/>
                    <wps:spPr>
                      <a:xfrm>
                        <a:ext cx="2012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LAIK</w:t>
                          </w:r>
                        </w:p>
                      </w:txbxContent>
                    </wps:txbx>
                    <wps:bodyPr wrap="none" lIns="0" tIns="0" rIns="0" bIns="0">
                      <a:spAutoFit/>
                    </wps:bodyPr>
                  </wps:wsp>
                </a:graphicData>
              </a:graphic>
            </wp:anchor>
          </w:drawing>
        </mc:Choice>
        <mc:Fallback>
          <w:pict>
            <v:shape id="_x0000_s2531" type="#_x0000_t202" style="position:absolute;margin-left:11.949999999999999pt;margin-top:36.100000000000001pt;width:15.85pt;height:5.0499999999999998pt;z-index:-1887429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LAIK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554990</wp:posOffset>
              </wp:positionV>
              <wp:extent cx="4023360" cy="0"/>
              <wp:wrapNone/>
              <wp:docPr id="1507" name="Shape 150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49999999999999pt;margin-top:43.700000000000003pt;width:316.80000000000001pt;height:0;z-index:-251658240;mso-position-horizontal-relative:page;mso-position-vertical-relative:page">
              <v:stroke weight="1.pt"/>
            </v:shape>
          </w:pict>
        </mc:Fallback>
      </mc:AlternateContent>
    </w: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0" behindDoc="1" locked="0" layoutInCell="1" allowOverlap="1">
              <wp:simplePos x="0" y="0"/>
              <wp:positionH relativeFrom="page">
                <wp:posOffset>151765</wp:posOffset>
              </wp:positionH>
              <wp:positionV relativeFrom="page">
                <wp:posOffset>458470</wp:posOffset>
              </wp:positionV>
              <wp:extent cx="201295" cy="64135"/>
              <wp:wrapNone/>
              <wp:docPr id="1510" name="Shape 1510"/>
              <a:graphic xmlns:a="http://schemas.openxmlformats.org/drawingml/2006/main">
                <a:graphicData uri="http://schemas.microsoft.com/office/word/2010/wordprocessingShape">
                  <wps:wsp>
                    <wps:cNvSpPr txBox="1"/>
                    <wps:spPr>
                      <a:xfrm>
                        <a:ext cx="2012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LAIK</w:t>
                          </w:r>
                        </w:p>
                      </w:txbxContent>
                    </wps:txbx>
                    <wps:bodyPr wrap="none" lIns="0" tIns="0" rIns="0" bIns="0">
                      <a:spAutoFit/>
                    </wps:bodyPr>
                  </wps:wsp>
                </a:graphicData>
              </a:graphic>
            </wp:anchor>
          </w:drawing>
        </mc:Choice>
        <mc:Fallback>
          <w:pict>
            <v:shape id="_x0000_s2536" type="#_x0000_t202" style="position:absolute;margin-left:11.949999999999999pt;margin-top:36.100000000000001pt;width:15.85pt;height:5.0499999999999998pt;z-index:-1887429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LAIK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554990</wp:posOffset>
              </wp:positionV>
              <wp:extent cx="4023360" cy="0"/>
              <wp:wrapNone/>
              <wp:docPr id="1512" name="Shape 151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49999999999999pt;margin-top:43.700000000000003pt;width:316.80000000000001pt;height:0;z-index:-251658240;mso-position-horizontal-relative:page;mso-position-vertical-relative:page">
              <v:stroke weight="1.pt"/>
            </v:shape>
          </w:pict>
        </mc:Fallback>
      </mc:AlternateContent>
    </w: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4" behindDoc="1" locked="0" layoutInCell="1" allowOverlap="1">
              <wp:simplePos x="0" y="0"/>
              <wp:positionH relativeFrom="page">
                <wp:posOffset>3975735</wp:posOffset>
              </wp:positionH>
              <wp:positionV relativeFrom="page">
                <wp:posOffset>452755</wp:posOffset>
              </wp:positionV>
              <wp:extent cx="198120" cy="64135"/>
              <wp:wrapNone/>
              <wp:docPr id="1515" name="Shape 1515"/>
              <a:graphic xmlns:a="http://schemas.openxmlformats.org/drawingml/2006/main">
                <a:graphicData uri="http://schemas.microsoft.com/office/word/2010/wordprocessingShape">
                  <wps:wsp>
                    <wps:cNvSpPr txBox="1"/>
                    <wps:spPr>
                      <a:xfrm>
                        <a:ext cx="1981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LAIK</w:t>
                          </w:r>
                        </w:p>
                      </w:txbxContent>
                    </wps:txbx>
                    <wps:bodyPr wrap="none" lIns="0" tIns="0" rIns="0" bIns="0">
                      <a:spAutoFit/>
                    </wps:bodyPr>
                  </wps:wsp>
                </a:graphicData>
              </a:graphic>
            </wp:anchor>
          </w:drawing>
        </mc:Choice>
        <mc:Fallback>
          <w:pict>
            <v:shape id="_x0000_s2541" type="#_x0000_t202" style="position:absolute;margin-left:313.05000000000001pt;margin-top:35.649999999999999pt;width:15.6pt;height:5.0499999999999998pt;z-index:-1887428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LAIK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551815</wp:posOffset>
              </wp:positionV>
              <wp:extent cx="4029710" cy="0"/>
              <wp:wrapNone/>
              <wp:docPr id="1517" name="Shape 1517"/>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35pt;margin-top:43.450000000000003pt;width:317.30000000000001pt;height:0;z-index:-251658240;mso-position-horizontal-relative:page;mso-position-vertical-relative:page">
              <v:stroke weight="1.pt"/>
            </v:shape>
          </w:pict>
        </mc:Fallback>
      </mc:AlternateContent>
    </w: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2" behindDoc="1" locked="0" layoutInCell="1" allowOverlap="1">
              <wp:simplePos x="0" y="0"/>
              <wp:positionH relativeFrom="page">
                <wp:posOffset>3836035</wp:posOffset>
              </wp:positionH>
              <wp:positionV relativeFrom="page">
                <wp:posOffset>441325</wp:posOffset>
              </wp:positionV>
              <wp:extent cx="326390" cy="64135"/>
              <wp:wrapNone/>
              <wp:docPr id="1525" name="Shape 1525"/>
              <a:graphic xmlns:a="http://schemas.openxmlformats.org/drawingml/2006/main">
                <a:graphicData uri="http://schemas.microsoft.com/office/word/2010/wordprocessingShape">
                  <wps:wsp>
                    <wps:cNvSpPr txBox="1"/>
                    <wps:spPr>
                      <a:xfrm>
                        <a:ext cx="3263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 UBAV</w:t>
                          </w:r>
                        </w:p>
                      </w:txbxContent>
                    </wps:txbx>
                    <wps:bodyPr wrap="none" lIns="0" tIns="0" rIns="0" bIns="0">
                      <a:spAutoFit/>
                    </wps:bodyPr>
                  </wps:wsp>
                </a:graphicData>
              </a:graphic>
            </wp:anchor>
          </w:drawing>
        </mc:Choice>
        <mc:Fallback>
          <w:pict>
            <v:shape id="_x0000_s2551" type="#_x0000_t202" style="position:absolute;margin-left:302.05000000000001pt;margin-top:34.75pt;width:25.699999999999999pt;height:5.0499999999999998pt;z-index:-1887428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 UBAV</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546735</wp:posOffset>
              </wp:positionV>
              <wp:extent cx="4020185" cy="0"/>
              <wp:wrapNone/>
              <wp:docPr id="1527" name="Shape 152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43.049999999999997pt;width:316.55000000000001pt;height:0;z-index:-251658240;mso-position-horizontal-relative:page;mso-position-vertical-relative:page">
              <v:stroke weight="1.pt"/>
            </v:shape>
          </w:pict>
        </mc:Fallback>
      </mc:AlternateContent>
    </w: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6" behindDoc="1" locked="0" layoutInCell="1" allowOverlap="1">
              <wp:simplePos x="0" y="0"/>
              <wp:positionH relativeFrom="page">
                <wp:posOffset>149860</wp:posOffset>
              </wp:positionH>
              <wp:positionV relativeFrom="page">
                <wp:posOffset>444500</wp:posOffset>
              </wp:positionV>
              <wp:extent cx="328930" cy="60960"/>
              <wp:wrapNone/>
              <wp:docPr id="1530" name="Shape 1530"/>
              <a:graphic xmlns:a="http://schemas.openxmlformats.org/drawingml/2006/main">
                <a:graphicData uri="http://schemas.microsoft.com/office/word/2010/wordprocessingShape">
                  <wps:wsp>
                    <wps:cNvSpPr txBox="1"/>
                    <wps:spPr>
                      <a:xfrm>
                        <a:ext cx="3289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w:t>
                          </w:r>
                        </w:p>
                      </w:txbxContent>
                    </wps:txbx>
                    <wps:bodyPr wrap="none" lIns="0" tIns="0" rIns="0" bIns="0">
                      <a:spAutoFit/>
                    </wps:bodyPr>
                  </wps:wsp>
                </a:graphicData>
              </a:graphic>
            </wp:anchor>
          </w:drawing>
        </mc:Choice>
        <mc:Fallback>
          <w:pict>
            <v:shape id="_x0000_s2556" type="#_x0000_t202" style="position:absolute;margin-left:11.800000000000001pt;margin-top:35.pt;width:25.899999999999999pt;height:4.7999999999999998pt;z-index:-1887428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537210</wp:posOffset>
              </wp:positionV>
              <wp:extent cx="4026535" cy="0"/>
              <wp:wrapNone/>
              <wp:docPr id="1532" name="Shape 1532"/>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800000000000001pt;margin-top:42.299999999999997pt;width:317.05000000000001pt;height:0;z-index:-251658240;mso-position-horizontal-relative:page;mso-position-vertical-relative:page">
              <v:stroke weight="1.pt"/>
            </v:shape>
          </w:pict>
        </mc:Fallback>
      </mc:AlternateContent>
    </w: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0" behindDoc="1" locked="0" layoutInCell="1" allowOverlap="1">
              <wp:simplePos x="0" y="0"/>
              <wp:positionH relativeFrom="page">
                <wp:posOffset>142240</wp:posOffset>
              </wp:positionH>
              <wp:positionV relativeFrom="page">
                <wp:posOffset>435610</wp:posOffset>
              </wp:positionV>
              <wp:extent cx="1185545" cy="85090"/>
              <wp:wrapNone/>
              <wp:docPr id="1535" name="Shape 1535"/>
              <a:graphic xmlns:a="http://schemas.openxmlformats.org/drawingml/2006/main">
                <a:graphicData uri="http://schemas.microsoft.com/office/word/2010/wordprocessingShape">
                  <wps:wsp>
                    <wps:cNvSpPr txBox="1"/>
                    <wps:spPr>
                      <a:xfrm>
                        <a:ext cx="118554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 BRliMA BLIŽNJEMU</w:t>
                          </w:r>
                        </w:p>
                      </w:txbxContent>
                    </wps:txbx>
                    <wps:bodyPr wrap="none" lIns="0" tIns="0" rIns="0" bIns="0">
                      <a:spAutoFit/>
                    </wps:bodyPr>
                  </wps:wsp>
                </a:graphicData>
              </a:graphic>
            </wp:anchor>
          </w:drawing>
        </mc:Choice>
        <mc:Fallback>
          <w:pict>
            <v:shape id="_x0000_s2561" type="#_x0000_t202" style="position:absolute;margin-left:11.199999999999999pt;margin-top:34.299999999999997pt;width:93.349999999999994pt;height:6.7000000000000002pt;z-index:-1887428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 BRliMA BLIŽNJEMU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544830</wp:posOffset>
              </wp:positionV>
              <wp:extent cx="4023360" cy="0"/>
              <wp:wrapNone/>
              <wp:docPr id="1537" name="Shape 153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99999999999999pt;margin-top:42.899999999999999pt;width:316.80000000000001pt;height:0;z-index:-251658240;mso-position-horizontal-relative:page;mso-position-vertical-relative:page">
              <v:stroke weight="1.pt"/>
            </v:shape>
          </w:pict>
        </mc:Fallback>
      </mc:AlternateContent>
    </w: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2" behindDoc="1" locked="0" layoutInCell="1" allowOverlap="1">
              <wp:simplePos x="0" y="0"/>
              <wp:positionH relativeFrom="page">
                <wp:posOffset>142240</wp:posOffset>
              </wp:positionH>
              <wp:positionV relativeFrom="page">
                <wp:posOffset>435610</wp:posOffset>
              </wp:positionV>
              <wp:extent cx="1185545" cy="85090"/>
              <wp:wrapNone/>
              <wp:docPr id="1538" name="Shape 1538"/>
              <a:graphic xmlns:a="http://schemas.openxmlformats.org/drawingml/2006/main">
                <a:graphicData uri="http://schemas.microsoft.com/office/word/2010/wordprocessingShape">
                  <wps:wsp>
                    <wps:cNvSpPr txBox="1"/>
                    <wps:spPr>
                      <a:xfrm>
                        <a:ext cx="118554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 BRliMA BLIŽNJEMU</w:t>
                          </w:r>
                        </w:p>
                      </w:txbxContent>
                    </wps:txbx>
                    <wps:bodyPr wrap="none" lIns="0" tIns="0" rIns="0" bIns="0">
                      <a:spAutoFit/>
                    </wps:bodyPr>
                  </wps:wsp>
                </a:graphicData>
              </a:graphic>
            </wp:anchor>
          </w:drawing>
        </mc:Choice>
        <mc:Fallback>
          <w:pict>
            <v:shape id="_x0000_s2564" type="#_x0000_t202" style="position:absolute;margin-left:11.199999999999999pt;margin-top:34.299999999999997pt;width:93.349999999999994pt;height:6.7000000000000002pt;z-index:-1887428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 BRliMA BLIŽNJEMU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544830</wp:posOffset>
              </wp:positionV>
              <wp:extent cx="4023360" cy="0"/>
              <wp:wrapNone/>
              <wp:docPr id="1540" name="Shape 154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99999999999999pt;margin-top:42.899999999999999pt;width:316.80000000000001pt;height:0;z-index:-251658240;mso-position-horizontal-relative:page;mso-position-vertical-relative:page">
              <v:stroke weight="1.pt"/>
            </v:shape>
          </w:pict>
        </mc:Fallback>
      </mc:AlternateContent>
    </w: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4" behindDoc="1" locked="0" layoutInCell="1" allowOverlap="1">
              <wp:simplePos x="0" y="0"/>
              <wp:positionH relativeFrom="page">
                <wp:posOffset>2626360</wp:posOffset>
              </wp:positionH>
              <wp:positionV relativeFrom="page">
                <wp:posOffset>438150</wp:posOffset>
              </wp:positionV>
              <wp:extent cx="1532890" cy="85090"/>
              <wp:wrapNone/>
              <wp:docPr id="1541" name="Shape 1541"/>
              <a:graphic xmlns:a="http://schemas.openxmlformats.org/drawingml/2006/main">
                <a:graphicData uri="http://schemas.microsoft.com/office/word/2010/wordprocessingShape">
                  <wps:wsp>
                    <wps:cNvSpPr txBox="1"/>
                    <wps:spPr>
                      <a:xfrm>
                        <a:ext cx="153289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IJIJBAV/UUUAV </w:t>
                          </w:r>
                          <w:r>
                            <w:rPr>
                              <w:color w:val="000000"/>
                              <w:spacing w:val="0"/>
                              <w:w w:val="100"/>
                              <w:position w:val="0"/>
                              <w:shd w:val="clear" w:color="auto" w:fill="auto"/>
                              <w:lang w:val="hr-HR" w:eastAsia="hr-HR" w:bidi="hr-HR"/>
                            </w:rPr>
                            <w:t>PREMA BLIŽNJEMU</w:t>
                          </w:r>
                        </w:p>
                      </w:txbxContent>
                    </wps:txbx>
                    <wps:bodyPr wrap="none" lIns="0" tIns="0" rIns="0" bIns="0">
                      <a:spAutoFit/>
                    </wps:bodyPr>
                  </wps:wsp>
                </a:graphicData>
              </a:graphic>
            </wp:anchor>
          </w:drawing>
        </mc:Choice>
        <mc:Fallback>
          <w:pict>
            <v:shape id="_x0000_s2567" type="#_x0000_t202" style="position:absolute;margin-left:206.80000000000001pt;margin-top:34.5pt;width:120.7pt;height:6.7000000000000002pt;z-index:-1887428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IJIJBAV/UUUAV </w:t>
                    </w:r>
                    <w:r>
                      <w:rPr>
                        <w:color w:val="000000"/>
                        <w:spacing w:val="0"/>
                        <w:w w:val="100"/>
                        <w:position w:val="0"/>
                        <w:shd w:val="clear" w:color="auto" w:fill="auto"/>
                        <w:lang w:val="hr-HR" w:eastAsia="hr-HR" w:bidi="hr-HR"/>
                      </w:rPr>
                      <w:t>PREMA BLIŽNJEMU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558800</wp:posOffset>
              </wp:positionV>
              <wp:extent cx="4020185" cy="0"/>
              <wp:wrapNone/>
              <wp:docPr id="1543" name="Shape 154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44.pt;width:316.55000000000001pt;height:0;z-index:-251658240;mso-position-horizontal-relative:page;mso-position-vertical-relative:page">
              <v:stroke weight="1.pt"/>
            </v:shape>
          </w:pict>
        </mc:Fallback>
      </mc:AlternateContent>
    </w: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6" behindDoc="1" locked="0" layoutInCell="1" allowOverlap="1">
              <wp:simplePos x="0" y="0"/>
              <wp:positionH relativeFrom="page">
                <wp:posOffset>157480</wp:posOffset>
              </wp:positionH>
              <wp:positionV relativeFrom="page">
                <wp:posOffset>432435</wp:posOffset>
              </wp:positionV>
              <wp:extent cx="1182370" cy="82550"/>
              <wp:wrapNone/>
              <wp:docPr id="1546" name="Shape 1546"/>
              <a:graphic xmlns:a="http://schemas.openxmlformats.org/drawingml/2006/main">
                <a:graphicData uri="http://schemas.microsoft.com/office/word/2010/wordprocessingShape">
                  <wps:wsp>
                    <wps:cNvSpPr txBox="1"/>
                    <wps:spPr>
                      <a:xfrm>
                        <a:ext cx="118237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IJUBAV PREMA BLIŽNJEMU</w:t>
                          </w:r>
                        </w:p>
                      </w:txbxContent>
                    </wps:txbx>
                    <wps:bodyPr wrap="none" lIns="0" tIns="0" rIns="0" bIns="0">
                      <a:spAutoFit/>
                    </wps:bodyPr>
                  </wps:wsp>
                </a:graphicData>
              </a:graphic>
            </wp:anchor>
          </w:drawing>
        </mc:Choice>
        <mc:Fallback>
          <w:pict>
            <v:shape id="_x0000_s2572" type="#_x0000_t202" style="position:absolute;margin-left:12.4pt;margin-top:34.049999999999997pt;width:93.099999999999994pt;height:6.5pt;z-index:-1887428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IJUBAV PREMA BLIŽNJEMU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548005</wp:posOffset>
              </wp:positionV>
              <wp:extent cx="4026535" cy="0"/>
              <wp:wrapNone/>
              <wp:docPr id="1548" name="Shape 154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15pt;margin-top:43.149999999999999pt;width:317.05000000000001pt;height:0;z-index:-251658240;mso-position-horizontal-relative:page;mso-position-vertical-relative:page">
              <v:stroke weight="1.pt"/>
            </v:shape>
          </w:pict>
        </mc:Fallback>
      </mc:AlternateContent>
    </w: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8" behindDoc="1" locked="0" layoutInCell="1" allowOverlap="1">
              <wp:simplePos x="0" y="0"/>
              <wp:positionH relativeFrom="page">
                <wp:posOffset>157480</wp:posOffset>
              </wp:positionH>
              <wp:positionV relativeFrom="page">
                <wp:posOffset>432435</wp:posOffset>
              </wp:positionV>
              <wp:extent cx="1182370" cy="82550"/>
              <wp:wrapNone/>
              <wp:docPr id="1549" name="Shape 1549"/>
              <a:graphic xmlns:a="http://schemas.openxmlformats.org/drawingml/2006/main">
                <a:graphicData uri="http://schemas.microsoft.com/office/word/2010/wordprocessingShape">
                  <wps:wsp>
                    <wps:cNvSpPr txBox="1"/>
                    <wps:spPr>
                      <a:xfrm>
                        <a:ext cx="118237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IJUBAV PREMA BLIŽNJEMU</w:t>
                          </w:r>
                        </w:p>
                      </w:txbxContent>
                    </wps:txbx>
                    <wps:bodyPr wrap="none" lIns="0" tIns="0" rIns="0" bIns="0">
                      <a:spAutoFit/>
                    </wps:bodyPr>
                  </wps:wsp>
                </a:graphicData>
              </a:graphic>
            </wp:anchor>
          </w:drawing>
        </mc:Choice>
        <mc:Fallback>
          <w:pict>
            <v:shape id="_x0000_s2575" type="#_x0000_t202" style="position:absolute;margin-left:12.4pt;margin-top:34.049999999999997pt;width:93.099999999999994pt;height:6.5pt;z-index:-1887428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IJUBAV PREMA BLIŽNJEMU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548005</wp:posOffset>
              </wp:positionV>
              <wp:extent cx="4026535" cy="0"/>
              <wp:wrapNone/>
              <wp:docPr id="1551" name="Shape 155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15pt;margin-top:43.149999999999999pt;width:317.05000000000001pt;height:0;z-index:-251658240;mso-position-horizontal-relative:page;mso-position-vertical-relative:page">
              <v:stroke weight="1.pt"/>
            </v:shape>
          </w:pict>
        </mc:Fallback>
      </mc:AlternateContent>
    </w: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0" behindDoc="1" locked="0" layoutInCell="1" allowOverlap="1">
              <wp:simplePos x="0" y="0"/>
              <wp:positionH relativeFrom="page">
                <wp:posOffset>2978150</wp:posOffset>
              </wp:positionH>
              <wp:positionV relativeFrom="page">
                <wp:posOffset>459740</wp:posOffset>
              </wp:positionV>
              <wp:extent cx="1182370" cy="79375"/>
              <wp:wrapNone/>
              <wp:docPr id="1552" name="Shape 1552"/>
              <a:graphic xmlns:a="http://schemas.openxmlformats.org/drawingml/2006/main">
                <a:graphicData uri="http://schemas.microsoft.com/office/word/2010/wordprocessingShape">
                  <wps:wsp>
                    <wps:cNvSpPr txBox="1"/>
                    <wps:spPr>
                      <a:xfrm>
                        <a:ext cx="11823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LJUBAV KREMA BLIŽNJEMU</w:t>
                          </w:r>
                        </w:p>
                      </w:txbxContent>
                    </wps:txbx>
                    <wps:bodyPr wrap="none" lIns="0" tIns="0" rIns="0" bIns="0">
                      <a:spAutoFit/>
                    </wps:bodyPr>
                  </wps:wsp>
                </a:graphicData>
              </a:graphic>
            </wp:anchor>
          </w:drawing>
        </mc:Choice>
        <mc:Fallback>
          <w:pict>
            <v:shape id="_x0000_s2578" type="#_x0000_t202" style="position:absolute;margin-left:234.5pt;margin-top:36.200000000000003pt;width:93.099999999999994pt;height:6.25pt;z-index:-1887428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LJUBAV KREMA BLIŽNJEMU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574040</wp:posOffset>
              </wp:positionV>
              <wp:extent cx="4023360" cy="0"/>
              <wp:wrapNone/>
              <wp:docPr id="1554" name="Shape 155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45.200000000000003pt;width:316.80000000000001pt;height:0;z-index:-251658240;mso-position-horizontal-relative:page;mso-position-vertical-relative:page">
              <v:stroke weight="1.pt"/>
            </v:shape>
          </w:pict>
        </mc:Fallback>
      </mc:AlternateContent>
    </w: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2" behindDoc="1" locked="0" layoutInCell="1" allowOverlap="1">
              <wp:simplePos x="0" y="0"/>
              <wp:positionH relativeFrom="page">
                <wp:posOffset>144780</wp:posOffset>
              </wp:positionH>
              <wp:positionV relativeFrom="page">
                <wp:posOffset>456565</wp:posOffset>
              </wp:positionV>
              <wp:extent cx="709930" cy="64135"/>
              <wp:wrapNone/>
              <wp:docPr id="1555" name="Shape 1555"/>
              <a:graphic xmlns:a="http://schemas.openxmlformats.org/drawingml/2006/main">
                <a:graphicData uri="http://schemas.microsoft.com/office/word/2010/wordprocessingShape">
                  <wps:wsp>
                    <wps:cNvSpPr txBox="1"/>
                    <wps:spPr>
                      <a:xfrm>
                        <a:ext cx="7099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wps:txbx>
                    <wps:bodyPr wrap="none" lIns="0" tIns="0" rIns="0" bIns="0">
                      <a:spAutoFit/>
                    </wps:bodyPr>
                  </wps:wsp>
                </a:graphicData>
              </a:graphic>
            </wp:anchor>
          </w:drawing>
        </mc:Choice>
        <mc:Fallback>
          <w:pict>
            <v:shape id="_x0000_s2581" type="#_x0000_t202" style="position:absolute;margin-left:11.4pt;margin-top:35.950000000000003pt;width:55.899999999999999pt;height:5.0499999999999998pt;z-index:-1887428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548005</wp:posOffset>
              </wp:positionV>
              <wp:extent cx="4017010" cy="0"/>
              <wp:wrapNone/>
              <wp:docPr id="1557" name="Shape 155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4pt;margin-top:43.149999999999999pt;width:316.30000000000001pt;height:0;z-index:-251658240;mso-position-horizontal-relative:page;mso-position-vertical-relative:page">
              <v:stroke weight="1.pt"/>
            </v:shape>
          </w:pict>
        </mc:Fallback>
      </mc:AlternateContent>
    </w: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4" behindDoc="1" locked="0" layoutInCell="1" allowOverlap="1">
              <wp:simplePos x="0" y="0"/>
              <wp:positionH relativeFrom="page">
                <wp:posOffset>144780</wp:posOffset>
              </wp:positionH>
              <wp:positionV relativeFrom="page">
                <wp:posOffset>456565</wp:posOffset>
              </wp:positionV>
              <wp:extent cx="709930" cy="64135"/>
              <wp:wrapNone/>
              <wp:docPr id="1558" name="Shape 1558"/>
              <a:graphic xmlns:a="http://schemas.openxmlformats.org/drawingml/2006/main">
                <a:graphicData uri="http://schemas.microsoft.com/office/word/2010/wordprocessingShape">
                  <wps:wsp>
                    <wps:cNvSpPr txBox="1"/>
                    <wps:spPr>
                      <a:xfrm>
                        <a:ext cx="7099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wps:txbx>
                    <wps:bodyPr wrap="none" lIns="0" tIns="0" rIns="0" bIns="0">
                      <a:spAutoFit/>
                    </wps:bodyPr>
                  </wps:wsp>
                </a:graphicData>
              </a:graphic>
            </wp:anchor>
          </w:drawing>
        </mc:Choice>
        <mc:Fallback>
          <w:pict>
            <v:shape id="_x0000_s2584" type="#_x0000_t202" style="position:absolute;margin-left:11.4pt;margin-top:35.950000000000003pt;width:55.899999999999999pt;height:5.0499999999999998pt;z-index:-1887428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548005</wp:posOffset>
              </wp:positionV>
              <wp:extent cx="4017010" cy="0"/>
              <wp:wrapNone/>
              <wp:docPr id="1560" name="Shape 156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4pt;margin-top:43.149999999999999pt;width:316.30000000000001pt;height:0;z-index:-251658240;mso-position-horizontal-relative:page;mso-position-vertical-relative:page">
              <v:stroke weight="1.pt"/>
            </v:shape>
          </w:pict>
        </mc:Fallback>
      </mc:AlternateContent>
    </w: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6" behindDoc="1" locked="0" layoutInCell="1" allowOverlap="1">
              <wp:simplePos x="0" y="0"/>
              <wp:positionH relativeFrom="page">
                <wp:posOffset>2252980</wp:posOffset>
              </wp:positionH>
              <wp:positionV relativeFrom="page">
                <wp:posOffset>453390</wp:posOffset>
              </wp:positionV>
              <wp:extent cx="1920240" cy="82550"/>
              <wp:wrapNone/>
              <wp:docPr id="1561" name="Shape 1561"/>
              <a:graphic xmlns:a="http://schemas.openxmlformats.org/drawingml/2006/main">
                <a:graphicData uri="http://schemas.microsoft.com/office/word/2010/wordprocessingShape">
                  <wps:wsp>
                    <wps:cNvSpPr txBox="1"/>
                    <wps:spPr>
                      <a:xfrm>
                        <a:ext cx="192024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 PREMA BLIŽNJEMU,LJUDSKO PRAVO</w:t>
                          </w:r>
                        </w:p>
                      </w:txbxContent>
                    </wps:txbx>
                    <wps:bodyPr wrap="none" lIns="0" tIns="0" rIns="0" bIns="0">
                      <a:spAutoFit/>
                    </wps:bodyPr>
                  </wps:wsp>
                </a:graphicData>
              </a:graphic>
            </wp:anchor>
          </w:drawing>
        </mc:Choice>
        <mc:Fallback>
          <w:pict>
            <v:shape id="_x0000_s2587" type="#_x0000_t202" style="position:absolute;margin-left:177.40000000000001pt;margin-top:35.700000000000003pt;width:151.19999999999999pt;height:6.5pt;z-index:-1887428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LJUBAV PREMA BLIŽNJEMU,LJUDSKO 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570865</wp:posOffset>
              </wp:positionV>
              <wp:extent cx="4017010" cy="0"/>
              <wp:wrapNone/>
              <wp:docPr id="1563" name="Shape 156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4.950000000000003pt;width:316.30000000000001pt;height:0;z-index:-251658240;mso-position-horizontal-relative:page;mso-position-vertical-relative:page">
              <v:stroke weight="1.pt"/>
            </v:shape>
          </w:pict>
        </mc:Fallback>
      </mc:AlternateContent>
    </w: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8" behindDoc="1" locked="0" layoutInCell="1" allowOverlap="1">
              <wp:simplePos x="0" y="0"/>
              <wp:positionH relativeFrom="page">
                <wp:posOffset>3459480</wp:posOffset>
              </wp:positionH>
              <wp:positionV relativeFrom="page">
                <wp:posOffset>453390</wp:posOffset>
              </wp:positionV>
              <wp:extent cx="716280" cy="60960"/>
              <wp:wrapNone/>
              <wp:docPr id="1564" name="Shape 1564"/>
              <a:graphic xmlns:a="http://schemas.openxmlformats.org/drawingml/2006/main">
                <a:graphicData uri="http://schemas.microsoft.com/office/word/2010/wordprocessingShape">
                  <wps:wsp>
                    <wps:cNvSpPr txBox="1"/>
                    <wps:spPr>
                      <a:xfrm>
                        <a:ext cx="71628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wps:txbx>
                    <wps:bodyPr wrap="none" lIns="0" tIns="0" rIns="0" bIns="0">
                      <a:spAutoFit/>
                    </wps:bodyPr>
                  </wps:wsp>
                </a:graphicData>
              </a:graphic>
            </wp:anchor>
          </w:drawing>
        </mc:Choice>
        <mc:Fallback>
          <w:pict>
            <v:shape id="_x0000_s2590" type="#_x0000_t202" style="position:absolute;margin-left:272.39999999999998pt;margin-top:35.700000000000003pt;width:56.399999999999999pt;height:4.7999999999999998pt;z-index:-1887428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551180</wp:posOffset>
              </wp:positionV>
              <wp:extent cx="4023360" cy="0"/>
              <wp:wrapNone/>
              <wp:docPr id="1566" name="Shape 156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pt;margin-top:43.399999999999999pt;width:316.80000000000001pt;height:0;z-index:-251658240;mso-position-horizontal-relative:page;mso-position-vertical-relative:page">
              <v:stroke weight="1.pt"/>
            </v:shape>
          </w:pict>
        </mc:Fallback>
      </mc:AlternateContent>
    </w: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0" behindDoc="1" locked="0" layoutInCell="1" allowOverlap="1">
              <wp:simplePos x="0" y="0"/>
              <wp:positionH relativeFrom="page">
                <wp:posOffset>3459480</wp:posOffset>
              </wp:positionH>
              <wp:positionV relativeFrom="page">
                <wp:posOffset>453390</wp:posOffset>
              </wp:positionV>
              <wp:extent cx="716280" cy="60960"/>
              <wp:wrapNone/>
              <wp:docPr id="1567" name="Shape 1567"/>
              <a:graphic xmlns:a="http://schemas.openxmlformats.org/drawingml/2006/main">
                <a:graphicData uri="http://schemas.microsoft.com/office/word/2010/wordprocessingShape">
                  <wps:wsp>
                    <wps:cNvSpPr txBox="1"/>
                    <wps:spPr>
                      <a:xfrm>
                        <a:ext cx="71628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wps:txbx>
                    <wps:bodyPr wrap="none" lIns="0" tIns="0" rIns="0" bIns="0">
                      <a:spAutoFit/>
                    </wps:bodyPr>
                  </wps:wsp>
                </a:graphicData>
              </a:graphic>
            </wp:anchor>
          </w:drawing>
        </mc:Choice>
        <mc:Fallback>
          <w:pict>
            <v:shape id="_x0000_s2593" type="#_x0000_t202" style="position:absolute;margin-left:272.39999999999998pt;margin-top:35.700000000000003pt;width:56.399999999999999pt;height:4.7999999999999998pt;z-index:-1887428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551180</wp:posOffset>
              </wp:positionV>
              <wp:extent cx="4023360" cy="0"/>
              <wp:wrapNone/>
              <wp:docPr id="1569" name="Shape 156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pt;margin-top:43.399999999999999pt;width:316.80000000000001pt;height:0;z-index:-251658240;mso-position-horizontal-relative:page;mso-position-vertical-relative:page">
              <v:stroke weight="1.pt"/>
            </v:shape>
          </w:pict>
        </mc:Fallback>
      </mc:AlternateContent>
    </w: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2" behindDoc="1" locked="0" layoutInCell="1" allowOverlap="1">
              <wp:simplePos x="0" y="0"/>
              <wp:positionH relativeFrom="page">
                <wp:posOffset>160020</wp:posOffset>
              </wp:positionH>
              <wp:positionV relativeFrom="page">
                <wp:posOffset>441325</wp:posOffset>
              </wp:positionV>
              <wp:extent cx="713105" cy="64135"/>
              <wp:wrapNone/>
              <wp:docPr id="1570" name="Shape 1570"/>
              <a:graphic xmlns:a="http://schemas.openxmlformats.org/drawingml/2006/main">
                <a:graphicData uri="http://schemas.microsoft.com/office/word/2010/wordprocessingShape">
                  <wps:wsp>
                    <wps:cNvSpPr txBox="1"/>
                    <wps:spPr>
                      <a:xfrm>
                        <a:ext cx="7131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wps:txbx>
                    <wps:bodyPr wrap="none" lIns="0" tIns="0" rIns="0" bIns="0">
                      <a:spAutoFit/>
                    </wps:bodyPr>
                  </wps:wsp>
                </a:graphicData>
              </a:graphic>
            </wp:anchor>
          </w:drawing>
        </mc:Choice>
        <mc:Fallback>
          <w:pict>
            <v:shape id="_x0000_s2596" type="#_x0000_t202" style="position:absolute;margin-left:12.6pt;margin-top:34.75pt;width:56.149999999999999pt;height:5.0499999999999998pt;z-index:-1887428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160020</wp:posOffset>
              </wp:positionH>
              <wp:positionV relativeFrom="page">
                <wp:posOffset>538480</wp:posOffset>
              </wp:positionV>
              <wp:extent cx="4020185" cy="0"/>
              <wp:wrapNone/>
              <wp:docPr id="1572" name="Shape 157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6pt;margin-top:42.399999999999999pt;width:316.55000000000001pt;height:0;z-index:-251658240;mso-position-horizontal-relative:page;mso-position-vertical-relative:page">
              <v:stroke weight="1.pt"/>
            </v:shape>
          </w:pict>
        </mc:Fallback>
      </mc:AlternateContent>
    </w:r>
  </w:p>
</w:hdr>
</file>

<file path=word/header3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6" behindDoc="1" locked="0" layoutInCell="1" allowOverlap="1">
              <wp:simplePos x="0" y="0"/>
              <wp:positionH relativeFrom="page">
                <wp:posOffset>160020</wp:posOffset>
              </wp:positionH>
              <wp:positionV relativeFrom="page">
                <wp:posOffset>441325</wp:posOffset>
              </wp:positionV>
              <wp:extent cx="713105" cy="64135"/>
              <wp:wrapNone/>
              <wp:docPr id="1575" name="Shape 1575"/>
              <a:graphic xmlns:a="http://schemas.openxmlformats.org/drawingml/2006/main">
                <a:graphicData uri="http://schemas.microsoft.com/office/word/2010/wordprocessingShape">
                  <wps:wsp>
                    <wps:cNvSpPr txBox="1"/>
                    <wps:spPr>
                      <a:xfrm>
                        <a:ext cx="7131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wps:txbx>
                    <wps:bodyPr wrap="none" lIns="0" tIns="0" rIns="0" bIns="0">
                      <a:spAutoFit/>
                    </wps:bodyPr>
                  </wps:wsp>
                </a:graphicData>
              </a:graphic>
            </wp:anchor>
          </w:drawing>
        </mc:Choice>
        <mc:Fallback>
          <w:pict>
            <v:shape id="_x0000_s2601" type="#_x0000_t202" style="position:absolute;margin-left:12.6pt;margin-top:34.75pt;width:56.149999999999999pt;height:5.0499999999999998pt;z-index:-1887428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LJUDSKO 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160020</wp:posOffset>
              </wp:positionH>
              <wp:positionV relativeFrom="page">
                <wp:posOffset>538480</wp:posOffset>
              </wp:positionV>
              <wp:extent cx="4020185" cy="0"/>
              <wp:wrapNone/>
              <wp:docPr id="1577" name="Shape 157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6pt;margin-top:42.399999999999999pt;width:316.55000000000001pt;height:0;z-index:-251658240;mso-position-horizontal-relative:page;mso-position-vertical-relative:page">
              <v:stroke weight="1.pt"/>
            </v:shape>
          </w:pict>
        </mc:Fallback>
      </mc:AlternateContent>
    </w:r>
  </w:p>
</w:hdr>
</file>

<file path=word/header3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4" behindDoc="1" locked="0" layoutInCell="1" allowOverlap="1">
              <wp:simplePos x="0" y="0"/>
              <wp:positionH relativeFrom="page">
                <wp:posOffset>147955</wp:posOffset>
              </wp:positionH>
              <wp:positionV relativeFrom="page">
                <wp:posOffset>481330</wp:posOffset>
              </wp:positionV>
              <wp:extent cx="320040" cy="64135"/>
              <wp:wrapNone/>
              <wp:docPr id="1584" name="Shape 1584"/>
              <a:graphic xmlns:a="http://schemas.openxmlformats.org/drawingml/2006/main">
                <a:graphicData uri="http://schemas.microsoft.com/office/word/2010/wordprocessingShape">
                  <wps:wsp>
                    <wps:cNvSpPr txBox="1"/>
                    <wps:spPr>
                      <a:xfrm>
                        <a:ext cx="3200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MARIJA</w:t>
                          </w:r>
                        </w:p>
                      </w:txbxContent>
                    </wps:txbx>
                    <wps:bodyPr wrap="none" lIns="0" tIns="0" rIns="0" bIns="0">
                      <a:spAutoFit/>
                    </wps:bodyPr>
                  </wps:wsp>
                </a:graphicData>
              </a:graphic>
            </wp:anchor>
          </w:drawing>
        </mc:Choice>
        <mc:Fallback>
          <w:pict>
            <v:shape id="_x0000_s2610" type="#_x0000_t202" style="position:absolute;margin-left:11.65pt;margin-top:37.899999999999999pt;width:25.199999999999999pt;height:5.0499999999999998pt;z-index:-1887428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MARIJA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572135</wp:posOffset>
              </wp:positionV>
              <wp:extent cx="4029710" cy="0"/>
              <wp:wrapNone/>
              <wp:docPr id="1586" name="Shape 1586"/>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199999999999999pt;margin-top:45.049999999999997pt;width:317.30000000000001pt;height:0;z-index:-251658240;mso-position-horizontal-relative:page;mso-position-vertical-relative:page">
              <v:stroke weight="1.pt"/>
            </v:shape>
          </w:pict>
        </mc:Fallback>
      </mc:AlternateContent>
    </w:r>
  </w:p>
</w:hdr>
</file>

<file path=word/header3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8" behindDoc="1" locked="0" layoutInCell="1" allowOverlap="1">
              <wp:simplePos x="0" y="0"/>
              <wp:positionH relativeFrom="page">
                <wp:posOffset>147955</wp:posOffset>
              </wp:positionH>
              <wp:positionV relativeFrom="page">
                <wp:posOffset>481330</wp:posOffset>
              </wp:positionV>
              <wp:extent cx="320040" cy="64135"/>
              <wp:wrapNone/>
              <wp:docPr id="1589" name="Shape 1589"/>
              <a:graphic xmlns:a="http://schemas.openxmlformats.org/drawingml/2006/main">
                <a:graphicData uri="http://schemas.microsoft.com/office/word/2010/wordprocessingShape">
                  <wps:wsp>
                    <wps:cNvSpPr txBox="1"/>
                    <wps:spPr>
                      <a:xfrm>
                        <a:ext cx="3200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MARIJA</w:t>
                          </w:r>
                        </w:p>
                      </w:txbxContent>
                    </wps:txbx>
                    <wps:bodyPr wrap="none" lIns="0" tIns="0" rIns="0" bIns="0">
                      <a:spAutoFit/>
                    </wps:bodyPr>
                  </wps:wsp>
                </a:graphicData>
              </a:graphic>
            </wp:anchor>
          </w:drawing>
        </mc:Choice>
        <mc:Fallback>
          <w:pict>
            <v:shape id="_x0000_s2615" type="#_x0000_t202" style="position:absolute;margin-left:11.65pt;margin-top:37.899999999999999pt;width:25.199999999999999pt;height:5.0499999999999998pt;z-index:-1887428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MARIJA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572135</wp:posOffset>
              </wp:positionV>
              <wp:extent cx="4029710" cy="0"/>
              <wp:wrapNone/>
              <wp:docPr id="1591" name="Shape 1591"/>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199999999999999pt;margin-top:45.049999999999997pt;width:317.30000000000001pt;height:0;z-index:-251658240;mso-position-horizontal-relative:page;mso-position-vertical-relative:page">
              <v:stroke weight="1.pt"/>
            </v:shape>
          </w:pict>
        </mc:Fallback>
      </mc:AlternateContent>
    </w:r>
  </w:p>
</w:hdr>
</file>

<file path=word/header3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2" behindDoc="1" locked="0" layoutInCell="1" allowOverlap="1">
              <wp:simplePos x="0" y="0"/>
              <wp:positionH relativeFrom="page">
                <wp:posOffset>154305</wp:posOffset>
              </wp:positionH>
              <wp:positionV relativeFrom="page">
                <wp:posOffset>459740</wp:posOffset>
              </wp:positionV>
              <wp:extent cx="1603375" cy="69850"/>
              <wp:wrapNone/>
              <wp:docPr id="1594" name="Shape 1594"/>
              <a:graphic xmlns:a="http://schemas.openxmlformats.org/drawingml/2006/main">
                <a:graphicData uri="http://schemas.microsoft.com/office/word/2010/wordprocessingShape">
                  <wps:wsp>
                    <wps:cNvSpPr txBox="1"/>
                    <wps:spPr>
                      <a:xfrm>
                        <a:ext cx="16033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.MATERIJAUZAM/MEDITACIJzVMESIJA</w:t>
                          </w:r>
                        </w:p>
                      </w:txbxContent>
                    </wps:txbx>
                    <wps:bodyPr wrap="none" lIns="0" tIns="0" rIns="0" bIns="0">
                      <a:spAutoFit/>
                    </wps:bodyPr>
                  </wps:wsp>
                </a:graphicData>
              </a:graphic>
            </wp:anchor>
          </w:drawing>
        </mc:Choice>
        <mc:Fallback>
          <w:pict>
            <v:shape id="_x0000_s2620" type="#_x0000_t202" style="position:absolute;margin-left:12.15pt;margin-top:36.200000000000003pt;width:126.25pt;height:5.5pt;z-index:-1887428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.MATERIJAUZAM/MEDITACIJzVMESIJA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555625</wp:posOffset>
              </wp:positionV>
              <wp:extent cx="4020185" cy="0"/>
              <wp:wrapNone/>
              <wp:docPr id="1596" name="Shape 159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3.75pt;width:316.55000000000001pt;height:0;z-index:-251658240;mso-position-horizontal-relative:page;mso-position-vertical-relative:page">
              <v:stroke weight="1.pt"/>
            </v:shape>
          </w:pict>
        </mc:Fallback>
      </mc:AlternateContent>
    </w:r>
  </w:p>
</w:hdr>
</file>

<file path=word/header3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4" behindDoc="1" locked="0" layoutInCell="1" allowOverlap="1">
              <wp:simplePos x="0" y="0"/>
              <wp:positionH relativeFrom="page">
                <wp:posOffset>154305</wp:posOffset>
              </wp:positionH>
              <wp:positionV relativeFrom="page">
                <wp:posOffset>459740</wp:posOffset>
              </wp:positionV>
              <wp:extent cx="1603375" cy="69850"/>
              <wp:wrapNone/>
              <wp:docPr id="1597" name="Shape 1597"/>
              <a:graphic xmlns:a="http://schemas.openxmlformats.org/drawingml/2006/main">
                <a:graphicData uri="http://schemas.microsoft.com/office/word/2010/wordprocessingShape">
                  <wps:wsp>
                    <wps:cNvSpPr txBox="1"/>
                    <wps:spPr>
                      <a:xfrm>
                        <a:ext cx="16033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.MATERIJAUZAM/MEDITACIJzVMESIJA</w:t>
                          </w:r>
                        </w:p>
                      </w:txbxContent>
                    </wps:txbx>
                    <wps:bodyPr wrap="none" lIns="0" tIns="0" rIns="0" bIns="0">
                      <a:spAutoFit/>
                    </wps:bodyPr>
                  </wps:wsp>
                </a:graphicData>
              </a:graphic>
            </wp:anchor>
          </w:drawing>
        </mc:Choice>
        <mc:Fallback>
          <w:pict>
            <v:shape id="_x0000_s2623" type="#_x0000_t202" style="position:absolute;margin-left:12.15pt;margin-top:36.200000000000003pt;width:126.25pt;height:5.5pt;z-index:-1887428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.MATERIJAUZAM/MEDITACIJzVMESIJA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555625</wp:posOffset>
              </wp:positionV>
              <wp:extent cx="4020185" cy="0"/>
              <wp:wrapNone/>
              <wp:docPr id="1599" name="Shape 159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3.75pt;width:316.55000000000001pt;height:0;z-index:-251658240;mso-position-horizontal-relative:page;mso-position-vertical-relative:page">
              <v:stroke weight="1.pt"/>
            </v:shape>
          </w:pict>
        </mc:Fallback>
      </mc:AlternateContent>
    </w:r>
  </w:p>
</w:hdr>
</file>

<file path=word/header3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6" behindDoc="1" locked="0" layoutInCell="1" allowOverlap="1">
              <wp:simplePos x="0" y="0"/>
              <wp:positionH relativeFrom="page">
                <wp:posOffset>3101340</wp:posOffset>
              </wp:positionH>
              <wp:positionV relativeFrom="page">
                <wp:posOffset>459740</wp:posOffset>
              </wp:positionV>
              <wp:extent cx="1060450" cy="67310"/>
              <wp:wrapNone/>
              <wp:docPr id="1600" name="Shape 1600"/>
              <a:graphic xmlns:a="http://schemas.openxmlformats.org/drawingml/2006/main">
                <a:graphicData uri="http://schemas.microsoft.com/office/word/2010/wordprocessingShape">
                  <wps:wsp>
                    <wps:cNvSpPr txBox="1"/>
                    <wps:spPr>
                      <a:xfrm>
                        <a:ext cx="10604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MARIJA/MATERIJALIZAM</w:t>
                          </w:r>
                        </w:p>
                      </w:txbxContent>
                    </wps:txbx>
                    <wps:bodyPr wrap="none" lIns="0" tIns="0" rIns="0" bIns="0">
                      <a:spAutoFit/>
                    </wps:bodyPr>
                  </wps:wsp>
                </a:graphicData>
              </a:graphic>
            </wp:anchor>
          </w:drawing>
        </mc:Choice>
        <mc:Fallback>
          <w:pict>
            <v:shape id="_x0000_s2626" type="#_x0000_t202" style="position:absolute;margin-left:244.19999999999999pt;margin-top:36.200000000000003pt;width:83.5pt;height:5.2999999999999998pt;z-index:-1887428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MARIJA/MATERIJALIZAM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558800</wp:posOffset>
              </wp:positionV>
              <wp:extent cx="4026535" cy="0"/>
              <wp:wrapNone/>
              <wp:docPr id="1602" name="Shape 1602"/>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5pt;margin-top:44.pt;width:317.05000000000001pt;height:0;z-index:-251658240;mso-position-horizontal-relative:page;mso-position-vertical-relative:page">
              <v:stroke weight="1.pt"/>
            </v:shape>
          </w:pict>
        </mc:Fallback>
      </mc:AlternateContent>
    </w:r>
  </w:p>
</w:hdr>
</file>

<file path=word/header3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8" behindDoc="1" locked="0" layoutInCell="1" allowOverlap="1">
              <wp:simplePos x="0" y="0"/>
              <wp:positionH relativeFrom="page">
                <wp:posOffset>3880485</wp:posOffset>
              </wp:positionH>
              <wp:positionV relativeFrom="page">
                <wp:posOffset>456565</wp:posOffset>
              </wp:positionV>
              <wp:extent cx="298450" cy="60960"/>
              <wp:wrapNone/>
              <wp:docPr id="1603" name="Shape 1603"/>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MESIJA</w:t>
                          </w:r>
                        </w:p>
                      </w:txbxContent>
                    </wps:txbx>
                    <wps:bodyPr wrap="none" lIns="0" tIns="0" rIns="0" bIns="0">
                      <a:spAutoFit/>
                    </wps:bodyPr>
                  </wps:wsp>
                </a:graphicData>
              </a:graphic>
            </wp:anchor>
          </w:drawing>
        </mc:Choice>
        <mc:Fallback>
          <w:pict>
            <v:shape id="_x0000_s2629" type="#_x0000_t202" style="position:absolute;margin-left:305.55000000000001pt;margin-top:35.950000000000003pt;width:23.5pt;height:4.7999999999999998pt;z-index:-1887428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551180</wp:posOffset>
              </wp:positionV>
              <wp:extent cx="4020185" cy="0"/>
              <wp:wrapNone/>
              <wp:docPr id="1605" name="Shape 160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5pt;margin-top:43.399999999999999pt;width:316.55000000000001pt;height:0;z-index:-251658240;mso-position-horizontal-relative:page;mso-position-vertical-relative:page">
              <v:stroke weight="1.pt"/>
            </v:shape>
          </w:pict>
        </mc:Fallback>
      </mc:AlternateContent>
    </w:r>
  </w:p>
</w:hdr>
</file>

<file path=word/header3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0" behindDoc="1" locked="0" layoutInCell="1" allowOverlap="1">
              <wp:simplePos x="0" y="0"/>
              <wp:positionH relativeFrom="page">
                <wp:posOffset>3880485</wp:posOffset>
              </wp:positionH>
              <wp:positionV relativeFrom="page">
                <wp:posOffset>456565</wp:posOffset>
              </wp:positionV>
              <wp:extent cx="298450" cy="60960"/>
              <wp:wrapNone/>
              <wp:docPr id="1606" name="Shape 1606"/>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MESIJA</w:t>
                          </w:r>
                        </w:p>
                      </w:txbxContent>
                    </wps:txbx>
                    <wps:bodyPr wrap="none" lIns="0" tIns="0" rIns="0" bIns="0">
                      <a:spAutoFit/>
                    </wps:bodyPr>
                  </wps:wsp>
                </a:graphicData>
              </a:graphic>
            </wp:anchor>
          </w:drawing>
        </mc:Choice>
        <mc:Fallback>
          <w:pict>
            <v:shape id="_x0000_s2632" type="#_x0000_t202" style="position:absolute;margin-left:305.55000000000001pt;margin-top:35.950000000000003pt;width:23.5pt;height:4.7999999999999998pt;z-index:-1887428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551180</wp:posOffset>
              </wp:positionV>
              <wp:extent cx="4020185" cy="0"/>
              <wp:wrapNone/>
              <wp:docPr id="1608" name="Shape 160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5pt;margin-top:43.399999999999999pt;width:316.55000000000001pt;height:0;z-index:-251658240;mso-position-horizontal-relative:page;mso-position-vertical-relative:page">
              <v:stroke weight="1.pt"/>
            </v:shape>
          </w:pict>
        </mc:Fallback>
      </mc:AlternateContent>
    </w:r>
  </w:p>
</w:hdr>
</file>

<file path=word/header3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2" behindDoc="1" locked="0" layoutInCell="1" allowOverlap="1">
              <wp:simplePos x="0" y="0"/>
              <wp:positionH relativeFrom="page">
                <wp:posOffset>3525520</wp:posOffset>
              </wp:positionH>
              <wp:positionV relativeFrom="page">
                <wp:posOffset>435610</wp:posOffset>
              </wp:positionV>
              <wp:extent cx="631190" cy="69850"/>
              <wp:wrapNone/>
              <wp:docPr id="1609" name="Shape 1609"/>
              <a:graphic xmlns:a="http://schemas.openxmlformats.org/drawingml/2006/main">
                <a:graphicData uri="http://schemas.microsoft.com/office/word/2010/wordprocessingShape">
                  <wps:wsp>
                    <wps:cNvSpPr txBox="1"/>
                    <wps:spPr>
                      <a:xfrm>
                        <a:ext cx="63119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Mfi.SIJAMII.OSI</w:t>
                          </w:r>
                        </w:p>
                      </w:txbxContent>
                    </wps:txbx>
                    <wps:bodyPr wrap="none" lIns="0" tIns="0" rIns="0" bIns="0">
                      <a:spAutoFit/>
                    </wps:bodyPr>
                  </wps:wsp>
                </a:graphicData>
              </a:graphic>
            </wp:anchor>
          </w:drawing>
        </mc:Choice>
        <mc:Fallback>
          <w:pict>
            <v:shape id="_x0000_s2635" type="#_x0000_t202" style="position:absolute;margin-left:277.60000000000002pt;margin-top:34.299999999999997pt;width:49.700000000000003pt;height:5.5pt;z-index:-1887428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Mfi.SIJAMII.OSI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535940</wp:posOffset>
              </wp:positionV>
              <wp:extent cx="4020185" cy="0"/>
              <wp:wrapNone/>
              <wp:docPr id="1611" name="Shape 161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2.200000000000003pt;width:316.55000000000001pt;height:0;z-index:-251658240;mso-position-horizontal-relative:page;mso-position-vertical-relative:page">
              <v:stroke weight="1.pt"/>
            </v:shape>
          </w:pict>
        </mc:Fallback>
      </mc:AlternateContent>
    </w:r>
  </w:p>
</w:hdr>
</file>

<file path=word/header3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6" behindDoc="1" locked="0" layoutInCell="1" allowOverlap="1">
              <wp:simplePos x="0" y="0"/>
              <wp:positionH relativeFrom="page">
                <wp:posOffset>3525520</wp:posOffset>
              </wp:positionH>
              <wp:positionV relativeFrom="page">
                <wp:posOffset>435610</wp:posOffset>
              </wp:positionV>
              <wp:extent cx="631190" cy="69850"/>
              <wp:wrapNone/>
              <wp:docPr id="1614" name="Shape 1614"/>
              <a:graphic xmlns:a="http://schemas.openxmlformats.org/drawingml/2006/main">
                <a:graphicData uri="http://schemas.microsoft.com/office/word/2010/wordprocessingShape">
                  <wps:wsp>
                    <wps:cNvSpPr txBox="1"/>
                    <wps:spPr>
                      <a:xfrm>
                        <a:ext cx="63119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Mfi.SIJAMII.OSI</w:t>
                          </w:r>
                        </w:p>
                      </w:txbxContent>
                    </wps:txbx>
                    <wps:bodyPr wrap="none" lIns="0" tIns="0" rIns="0" bIns="0">
                      <a:spAutoFit/>
                    </wps:bodyPr>
                  </wps:wsp>
                </a:graphicData>
              </a:graphic>
            </wp:anchor>
          </w:drawing>
        </mc:Choice>
        <mc:Fallback>
          <w:pict>
            <v:shape id="_x0000_s2640" type="#_x0000_t202" style="position:absolute;margin-left:277.60000000000002pt;margin-top:34.299999999999997pt;width:49.700000000000003pt;height:5.5pt;z-index:-1887428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Mfi.SIJAMII.OSI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535940</wp:posOffset>
              </wp:positionV>
              <wp:extent cx="4020185" cy="0"/>
              <wp:wrapNone/>
              <wp:docPr id="1616" name="Shape 161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42.200000000000003pt;width:316.55000000000001pt;height:0;z-index:-251658240;mso-position-horizontal-relative:page;mso-position-vertical-relative:page">
              <v:stroke weight="1.pt"/>
            </v:shape>
          </w:pict>
        </mc:Fallback>
      </mc:AlternateContent>
    </w:r>
  </w:p>
</w:hdr>
</file>

<file path=word/header3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0" behindDoc="1" locked="0" layoutInCell="1" allowOverlap="1">
              <wp:simplePos x="0" y="0"/>
              <wp:positionH relativeFrom="page">
                <wp:posOffset>144780</wp:posOffset>
              </wp:positionH>
              <wp:positionV relativeFrom="page">
                <wp:posOffset>444500</wp:posOffset>
              </wp:positionV>
              <wp:extent cx="295910" cy="60960"/>
              <wp:wrapNone/>
              <wp:docPr id="1619" name="Shape 1619"/>
              <a:graphic xmlns:a="http://schemas.openxmlformats.org/drawingml/2006/main">
                <a:graphicData uri="http://schemas.microsoft.com/office/word/2010/wordprocessingShape">
                  <wps:wsp>
                    <wps:cNvSpPr txBox="1"/>
                    <wps:spPr>
                      <a:xfrm>
                        <a:ext cx="2959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MESIJA</w:t>
                          </w:r>
                        </w:p>
                      </w:txbxContent>
                    </wps:txbx>
                    <wps:bodyPr wrap="none" lIns="0" tIns="0" rIns="0" bIns="0">
                      <a:spAutoFit/>
                    </wps:bodyPr>
                  </wps:wsp>
                </a:graphicData>
              </a:graphic>
            </wp:anchor>
          </w:drawing>
        </mc:Choice>
        <mc:Fallback>
          <w:pict>
            <v:shape id="_x0000_s2645" type="#_x0000_t202" style="position:absolute;margin-left:11.4pt;margin-top:35.pt;width:23.300000000000001pt;height:4.7999999999999998pt;z-index:-1887428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MESIJA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532765</wp:posOffset>
              </wp:positionV>
              <wp:extent cx="4026535" cy="0"/>
              <wp:wrapNone/>
              <wp:docPr id="1621" name="Shape 162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pt;margin-top:41.950000000000003pt;width:317.05000000000001pt;height:0;z-index:-251658240;mso-position-horizontal-relative:page;mso-position-vertical-relative:page">
              <v:stroke weight="1.pt"/>
            </v:shape>
          </w:pict>
        </mc:Fallback>
      </mc:AlternateContent>
    </w:r>
  </w:p>
</w:hdr>
</file>

<file path=word/header3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4" behindDoc="1" locked="0" layoutInCell="1" allowOverlap="1">
              <wp:simplePos x="0" y="0"/>
              <wp:positionH relativeFrom="page">
                <wp:posOffset>154305</wp:posOffset>
              </wp:positionH>
              <wp:positionV relativeFrom="page">
                <wp:posOffset>441325</wp:posOffset>
              </wp:positionV>
              <wp:extent cx="320040" cy="64135"/>
              <wp:wrapNone/>
              <wp:docPr id="1624" name="Shape 1624"/>
              <a:graphic xmlns:a="http://schemas.openxmlformats.org/drawingml/2006/main">
                <a:graphicData uri="http://schemas.microsoft.com/office/word/2010/wordprocessingShape">
                  <wps:wsp>
                    <wps:cNvSpPr txBox="1"/>
                    <wps:spPr>
                      <a:xfrm>
                        <a:ext cx="3200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wps:txbx>
                    <wps:bodyPr wrap="none" lIns="0" tIns="0" rIns="0" bIns="0">
                      <a:spAutoFit/>
                    </wps:bodyPr>
                  </wps:wsp>
                </a:graphicData>
              </a:graphic>
            </wp:anchor>
          </w:drawing>
        </mc:Choice>
        <mc:Fallback>
          <w:pict>
            <v:shape id="_x0000_s2650" type="#_x0000_t202" style="position:absolute;margin-left:12.15pt;margin-top:34.75pt;width:25.199999999999999pt;height:5.0499999999999998pt;z-index:-1887428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535940</wp:posOffset>
              </wp:positionV>
              <wp:extent cx="4023360" cy="0"/>
              <wp:wrapNone/>
              <wp:docPr id="1626" name="Shape 162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2.200000000000003pt;width:316.80000000000001pt;height:0;z-index:-251658240;mso-position-horizontal-relative:page;mso-position-vertical-relative:page">
              <v:stroke weight="1.pt"/>
            </v:shape>
          </w:pict>
        </mc:Fallback>
      </mc:AlternateContent>
    </w:r>
  </w:p>
</w:hdr>
</file>

<file path=word/header3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8" behindDoc="1" locked="0" layoutInCell="1" allowOverlap="1">
              <wp:simplePos x="0" y="0"/>
              <wp:positionH relativeFrom="page">
                <wp:posOffset>154305</wp:posOffset>
              </wp:positionH>
              <wp:positionV relativeFrom="page">
                <wp:posOffset>441325</wp:posOffset>
              </wp:positionV>
              <wp:extent cx="320040" cy="64135"/>
              <wp:wrapNone/>
              <wp:docPr id="1629" name="Shape 1629"/>
              <a:graphic xmlns:a="http://schemas.openxmlformats.org/drawingml/2006/main">
                <a:graphicData uri="http://schemas.microsoft.com/office/word/2010/wordprocessingShape">
                  <wps:wsp>
                    <wps:cNvSpPr txBox="1"/>
                    <wps:spPr>
                      <a:xfrm>
                        <a:ext cx="3200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wps:txbx>
                    <wps:bodyPr wrap="none" lIns="0" tIns="0" rIns="0" bIns="0">
                      <a:spAutoFit/>
                    </wps:bodyPr>
                  </wps:wsp>
                </a:graphicData>
              </a:graphic>
            </wp:anchor>
          </w:drawing>
        </mc:Choice>
        <mc:Fallback>
          <w:pict>
            <v:shape id="_x0000_s2655" type="#_x0000_t202" style="position:absolute;margin-left:12.15pt;margin-top:34.75pt;width:25.199999999999999pt;height:5.0499999999999998pt;z-index:-1887428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535940</wp:posOffset>
              </wp:positionV>
              <wp:extent cx="4023360" cy="0"/>
              <wp:wrapNone/>
              <wp:docPr id="1631" name="Shape 163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2.200000000000003pt;width:316.80000000000001pt;height:0;z-index:-251658240;mso-position-horizontal-relative:page;mso-position-vertical-relative:page">
              <v:stroke weight="1.pt"/>
            </v:shape>
          </w:pict>
        </mc:Fallback>
      </mc:AlternateContent>
    </w:r>
  </w:p>
</w:hdr>
</file>

<file path=word/header3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2" behindDoc="1" locked="0" layoutInCell="1" allowOverlap="1">
              <wp:simplePos x="0" y="0"/>
              <wp:positionH relativeFrom="page">
                <wp:posOffset>3854450</wp:posOffset>
              </wp:positionH>
              <wp:positionV relativeFrom="page">
                <wp:posOffset>444500</wp:posOffset>
              </wp:positionV>
              <wp:extent cx="313690" cy="60960"/>
              <wp:wrapNone/>
              <wp:docPr id="1634" name="Shape 1634"/>
              <a:graphic xmlns:a="http://schemas.openxmlformats.org/drawingml/2006/main">
                <a:graphicData uri="http://schemas.microsoft.com/office/word/2010/wordprocessingShape">
                  <wps:wsp>
                    <wps:cNvSpPr txBox="1"/>
                    <wps:spPr>
                      <a:xfrm>
                        <a:ext cx="3136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wps:txbx>
                    <wps:bodyPr wrap="none" lIns="0" tIns="0" rIns="0" bIns="0">
                      <a:spAutoFit/>
                    </wps:bodyPr>
                  </wps:wsp>
                </a:graphicData>
              </a:graphic>
            </wp:anchor>
          </w:drawing>
        </mc:Choice>
        <mc:Fallback>
          <w:pict>
            <v:shape id="_x0000_s2660" type="#_x0000_t202" style="position:absolute;margin-left:303.5pt;margin-top:35.pt;width:24.699999999999999pt;height:4.7999999999999998pt;z-index:-1887428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544830</wp:posOffset>
              </wp:positionV>
              <wp:extent cx="4020185" cy="0"/>
              <wp:wrapNone/>
              <wp:docPr id="1636" name="Shape 163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5pt;margin-top:42.899999999999999pt;width:316.55000000000001pt;height:0;z-index:-251658240;mso-position-horizontal-relative:page;mso-position-vertical-relative:page">
              <v:stroke weight="1.pt"/>
            </v:shape>
          </w:pict>
        </mc:Fallback>
      </mc:AlternateContent>
    </w:r>
  </w:p>
</w:hdr>
</file>

<file path=word/header3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4" behindDoc="1" locked="0" layoutInCell="1" allowOverlap="1">
              <wp:simplePos x="0" y="0"/>
              <wp:positionH relativeFrom="page">
                <wp:posOffset>3854450</wp:posOffset>
              </wp:positionH>
              <wp:positionV relativeFrom="page">
                <wp:posOffset>444500</wp:posOffset>
              </wp:positionV>
              <wp:extent cx="313690" cy="60960"/>
              <wp:wrapNone/>
              <wp:docPr id="1637" name="Shape 1637"/>
              <a:graphic xmlns:a="http://schemas.openxmlformats.org/drawingml/2006/main">
                <a:graphicData uri="http://schemas.microsoft.com/office/word/2010/wordprocessingShape">
                  <wps:wsp>
                    <wps:cNvSpPr txBox="1"/>
                    <wps:spPr>
                      <a:xfrm>
                        <a:ext cx="3136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wps:txbx>
                    <wps:bodyPr wrap="none" lIns="0" tIns="0" rIns="0" bIns="0">
                      <a:spAutoFit/>
                    </wps:bodyPr>
                  </wps:wsp>
                </a:graphicData>
              </a:graphic>
            </wp:anchor>
          </w:drawing>
        </mc:Choice>
        <mc:Fallback>
          <w:pict>
            <v:shape id="_x0000_s2663" type="#_x0000_t202" style="position:absolute;margin-left:303.5pt;margin-top:35.pt;width:24.699999999999999pt;height:4.7999999999999998pt;z-index:-1887428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MILOST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544830</wp:posOffset>
              </wp:positionV>
              <wp:extent cx="4020185" cy="0"/>
              <wp:wrapNone/>
              <wp:docPr id="1639" name="Shape 163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5pt;margin-top:42.899999999999999pt;width:316.55000000000001pt;height:0;z-index:-251658240;mso-position-horizontal-relative:page;mso-position-vertical-relative:page">
              <v:stroke weight="1.pt"/>
            </v:shape>
          </w:pict>
        </mc:Fallback>
      </mc:AlternateContent>
    </w:r>
  </w:p>
</w:hdr>
</file>

<file path=word/header3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6" behindDoc="1" locked="0" layoutInCell="1" allowOverlap="1">
              <wp:simplePos x="0" y="0"/>
              <wp:positionH relativeFrom="page">
                <wp:posOffset>4011930</wp:posOffset>
              </wp:positionH>
              <wp:positionV relativeFrom="page">
                <wp:posOffset>345440</wp:posOffset>
              </wp:positionV>
              <wp:extent cx="158750" cy="64135"/>
              <wp:wrapNone/>
              <wp:docPr id="1640" name="Shape 1640"/>
              <a:graphic xmlns:a="http://schemas.openxmlformats.org/drawingml/2006/main">
                <a:graphicData uri="http://schemas.microsoft.com/office/word/2010/wordprocessingShape">
                  <wps:wsp>
                    <wps:cNvSpPr txBox="1"/>
                    <wps:spPr>
                      <a:xfrm>
                        <a:ext cx="1587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w:t>
                          </w:r>
                        </w:p>
                      </w:txbxContent>
                    </wps:txbx>
                    <wps:bodyPr wrap="none" lIns="0" tIns="0" rIns="0" bIns="0">
                      <a:spAutoFit/>
                    </wps:bodyPr>
                  </wps:wsp>
                </a:graphicData>
              </a:graphic>
            </wp:anchor>
          </w:drawing>
        </mc:Choice>
        <mc:Fallback>
          <w:pict>
            <v:shape id="_x0000_s2666" type="#_x0000_t202" style="position:absolute;margin-left:315.89999999999998pt;margin-top:27.199999999999999pt;width:12.5pt;height:5.0499999999999998pt;z-index:-1887428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447675</wp:posOffset>
              </wp:positionV>
              <wp:extent cx="4023360" cy="0"/>
              <wp:wrapNone/>
              <wp:docPr id="1642" name="Shape 164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50000000000001pt;margin-top:35.25pt;width:316.80000000000001pt;height:0;z-index:-251658240;mso-position-horizontal-relative:page;mso-position-vertical-relative:page">
              <v:stroke weight="1.pt"/>
            </v:shape>
          </w:pict>
        </mc:Fallback>
      </mc:AlternateContent>
    </w:r>
  </w:p>
</w:hdr>
</file>

<file path=word/header3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8" behindDoc="1" locked="0" layoutInCell="1" allowOverlap="1">
              <wp:simplePos x="0" y="0"/>
              <wp:positionH relativeFrom="page">
                <wp:posOffset>4011930</wp:posOffset>
              </wp:positionH>
              <wp:positionV relativeFrom="page">
                <wp:posOffset>345440</wp:posOffset>
              </wp:positionV>
              <wp:extent cx="158750" cy="64135"/>
              <wp:wrapNone/>
              <wp:docPr id="1643" name="Shape 1643"/>
              <a:graphic xmlns:a="http://schemas.openxmlformats.org/drawingml/2006/main">
                <a:graphicData uri="http://schemas.microsoft.com/office/word/2010/wordprocessingShape">
                  <wps:wsp>
                    <wps:cNvSpPr txBox="1"/>
                    <wps:spPr>
                      <a:xfrm>
                        <a:ext cx="1587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w:t>
                          </w:r>
                        </w:p>
                      </w:txbxContent>
                    </wps:txbx>
                    <wps:bodyPr wrap="none" lIns="0" tIns="0" rIns="0" bIns="0">
                      <a:spAutoFit/>
                    </wps:bodyPr>
                  </wps:wsp>
                </a:graphicData>
              </a:graphic>
            </wp:anchor>
          </w:drawing>
        </mc:Choice>
        <mc:Fallback>
          <w:pict>
            <v:shape id="_x0000_s2669" type="#_x0000_t202" style="position:absolute;margin-left:315.89999999999998pt;margin-top:27.199999999999999pt;width:12.5pt;height:5.0499999999999998pt;z-index:-1887428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447675</wp:posOffset>
              </wp:positionV>
              <wp:extent cx="4023360" cy="0"/>
              <wp:wrapNone/>
              <wp:docPr id="1645" name="Shape 164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50000000000001pt;margin-top:35.25pt;width:316.80000000000001pt;height:0;z-index:-251658240;mso-position-horizontal-relative:page;mso-position-vertical-relative:page">
              <v:stroke weight="1.pt"/>
            </v:shape>
          </w:pict>
        </mc:Fallback>
      </mc:AlternateContent>
    </w:r>
  </w:p>
</w:hdr>
</file>

<file path=word/header3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0" behindDoc="1" locked="0" layoutInCell="1" allowOverlap="1">
              <wp:simplePos x="0" y="0"/>
              <wp:positionH relativeFrom="page">
                <wp:posOffset>140970</wp:posOffset>
              </wp:positionH>
              <wp:positionV relativeFrom="page">
                <wp:posOffset>342900</wp:posOffset>
              </wp:positionV>
              <wp:extent cx="1051560" cy="67310"/>
              <wp:wrapNone/>
              <wp:docPr id="1646" name="Shape 1646"/>
              <a:graphic xmlns:a="http://schemas.openxmlformats.org/drawingml/2006/main">
                <a:graphicData uri="http://schemas.microsoft.com/office/word/2010/wordprocessingShape">
                  <wps:wsp>
                    <wps:cNvSpPr txBox="1"/>
                    <wps:spPr>
                      <a:xfrm>
                        <a:ext cx="105156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MILOST/MILOSTINJAMIR</w:t>
                          </w:r>
                        </w:p>
                      </w:txbxContent>
                    </wps:txbx>
                    <wps:bodyPr wrap="none" lIns="0" tIns="0" rIns="0" bIns="0">
                      <a:spAutoFit/>
                    </wps:bodyPr>
                  </wps:wsp>
                </a:graphicData>
              </a:graphic>
            </wp:anchor>
          </w:drawing>
        </mc:Choice>
        <mc:Fallback>
          <w:pict>
            <v:shape id="_x0000_s2672" type="#_x0000_t202" style="position:absolute;margin-left:11.1pt;margin-top:27.pt;width:82.799999999999997pt;height:5.2999999999999998pt;z-index:-1887428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MILOST/MILOSTINJAMIR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435610</wp:posOffset>
              </wp:positionV>
              <wp:extent cx="4026535" cy="0"/>
              <wp:wrapNone/>
              <wp:docPr id="1648" name="Shape 164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pt;margin-top:34.299999999999997pt;width:317.05000000000001pt;height:0;z-index:-251658240;mso-position-horizontal-relative:page;mso-position-vertical-relative:page">
              <v:stroke weight="1.pt"/>
            </v:shape>
          </w:pict>
        </mc:Fallback>
      </mc:AlternateContent>
    </w:r>
  </w:p>
</w:hdr>
</file>

<file path=word/header3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2" behindDoc="1" locked="0" layoutInCell="1" allowOverlap="1">
              <wp:simplePos x="0" y="0"/>
              <wp:positionH relativeFrom="page">
                <wp:posOffset>3699510</wp:posOffset>
              </wp:positionH>
              <wp:positionV relativeFrom="page">
                <wp:posOffset>461645</wp:posOffset>
              </wp:positionV>
              <wp:extent cx="463550" cy="67310"/>
              <wp:wrapNone/>
              <wp:docPr id="1649" name="Shape 1649"/>
              <a:graphic xmlns:a="http://schemas.openxmlformats.org/drawingml/2006/main">
                <a:graphicData uri="http://schemas.microsoft.com/office/word/2010/wordprocessingShape">
                  <wps:wsp>
                    <wps:cNvSpPr txBox="1"/>
                    <wps:spPr>
                      <a:xfrm>
                        <a:ext cx="4635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MIR/MISIJA</w:t>
                          </w:r>
                        </w:p>
                      </w:txbxContent>
                    </wps:txbx>
                    <wps:bodyPr wrap="none" lIns="0" tIns="0" rIns="0" bIns="0">
                      <a:spAutoFit/>
                    </wps:bodyPr>
                  </wps:wsp>
                </a:graphicData>
              </a:graphic>
            </wp:anchor>
          </w:drawing>
        </mc:Choice>
        <mc:Fallback>
          <w:pict>
            <v:shape id="_x0000_s2675" type="#_x0000_t202" style="position:absolute;margin-left:291.30000000000001pt;margin-top:36.350000000000001pt;width:36.5pt;height:5.2999999999999998pt;z-index:-1887428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565150</wp:posOffset>
              </wp:positionV>
              <wp:extent cx="4020185" cy="0"/>
              <wp:wrapNone/>
              <wp:docPr id="1651" name="Shape 165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4.5pt;width:316.55000000000001pt;height:0;z-index:-251658240;mso-position-horizontal-relative:page;mso-position-vertical-relative:page">
              <v:stroke weight="1.pt"/>
            </v:shape>
          </w:pict>
        </mc:Fallback>
      </mc:AlternateContent>
    </w:r>
  </w:p>
</w:hdr>
</file>

<file path=word/header3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6" behindDoc="1" locked="0" layoutInCell="1" allowOverlap="1">
              <wp:simplePos x="0" y="0"/>
              <wp:positionH relativeFrom="page">
                <wp:posOffset>3699510</wp:posOffset>
              </wp:positionH>
              <wp:positionV relativeFrom="page">
                <wp:posOffset>461645</wp:posOffset>
              </wp:positionV>
              <wp:extent cx="463550" cy="67310"/>
              <wp:wrapNone/>
              <wp:docPr id="1654" name="Shape 1654"/>
              <a:graphic xmlns:a="http://schemas.openxmlformats.org/drawingml/2006/main">
                <a:graphicData uri="http://schemas.microsoft.com/office/word/2010/wordprocessingShape">
                  <wps:wsp>
                    <wps:cNvSpPr txBox="1"/>
                    <wps:spPr>
                      <a:xfrm>
                        <a:ext cx="4635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MIR/MISIJA</w:t>
                          </w:r>
                        </w:p>
                      </w:txbxContent>
                    </wps:txbx>
                    <wps:bodyPr wrap="none" lIns="0" tIns="0" rIns="0" bIns="0">
                      <a:spAutoFit/>
                    </wps:bodyPr>
                  </wps:wsp>
                </a:graphicData>
              </a:graphic>
            </wp:anchor>
          </w:drawing>
        </mc:Choice>
        <mc:Fallback>
          <w:pict>
            <v:shape id="_x0000_s2680" type="#_x0000_t202" style="position:absolute;margin-left:291.30000000000001pt;margin-top:36.350000000000001pt;width:36.5pt;height:5.2999999999999998pt;z-index:-1887427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MIR/MISIJA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565150</wp:posOffset>
              </wp:positionV>
              <wp:extent cx="4020185" cy="0"/>
              <wp:wrapNone/>
              <wp:docPr id="1656" name="Shape 165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4.5pt;width:316.55000000000001pt;height:0;z-index:-251658240;mso-position-horizontal-relative:page;mso-position-vertical-relative:page">
              <v:stroke weight="1.pt"/>
            </v:shape>
          </w:pict>
        </mc:Fallback>
      </mc:AlternateContent>
    </w:r>
  </w:p>
</w:hdr>
</file>

<file path=word/header3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0" behindDoc="1" locked="0" layoutInCell="1" allowOverlap="1">
              <wp:simplePos x="0" y="0"/>
              <wp:positionH relativeFrom="page">
                <wp:posOffset>146685</wp:posOffset>
              </wp:positionH>
              <wp:positionV relativeFrom="page">
                <wp:posOffset>467360</wp:posOffset>
              </wp:positionV>
              <wp:extent cx="158750" cy="64135"/>
              <wp:wrapNone/>
              <wp:docPr id="1659" name="Shape 1659"/>
              <a:graphic xmlns:a="http://schemas.openxmlformats.org/drawingml/2006/main">
                <a:graphicData uri="http://schemas.microsoft.com/office/word/2010/wordprocessingShape">
                  <wps:wsp>
                    <wps:cNvSpPr txBox="1"/>
                    <wps:spPr>
                      <a:xfrm>
                        <a:ext cx="1587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MIR</w:t>
                          </w:r>
                        </w:p>
                      </w:txbxContent>
                    </wps:txbx>
                    <wps:bodyPr wrap="none" lIns="0" tIns="0" rIns="0" bIns="0">
                      <a:spAutoFit/>
                    </wps:bodyPr>
                  </wps:wsp>
                </a:graphicData>
              </a:graphic>
            </wp:anchor>
          </w:drawing>
        </mc:Choice>
        <mc:Fallback>
          <w:pict>
            <v:shape id="_x0000_s2685" type="#_x0000_t202" style="position:absolute;margin-left:11.550000000000001pt;margin-top:36.799999999999997pt;width:12.5pt;height:5.0499999999999998pt;z-index:-1887427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MIR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557530</wp:posOffset>
              </wp:positionV>
              <wp:extent cx="4020185" cy="0"/>
              <wp:wrapNone/>
              <wp:docPr id="1661" name="Shape 166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3.899999999999999pt;width:316.55000000000001pt;height:0;z-index:-251658240;mso-position-horizontal-relative:page;mso-position-vertical-relative:page">
              <v:stroke weight="1.pt"/>
            </v:shape>
          </w:pict>
        </mc:Fallback>
      </mc:AlternateContent>
    </w:r>
  </w:p>
</w:hdr>
</file>

<file path=word/header3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4" behindDoc="1" locked="0" layoutInCell="1" allowOverlap="1">
              <wp:simplePos x="0" y="0"/>
              <wp:positionH relativeFrom="page">
                <wp:posOffset>151130</wp:posOffset>
              </wp:positionH>
              <wp:positionV relativeFrom="page">
                <wp:posOffset>467360</wp:posOffset>
              </wp:positionV>
              <wp:extent cx="271145" cy="64135"/>
              <wp:wrapNone/>
              <wp:docPr id="1664" name="Shape 1664"/>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690" type="#_x0000_t202" style="position:absolute;margin-left:11.9pt;margin-top:36.799999999999997pt;width:21.350000000000001pt;height:5.0499999999999998pt;z-index:-1887427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565150</wp:posOffset>
              </wp:positionV>
              <wp:extent cx="4023360" cy="0"/>
              <wp:wrapNone/>
              <wp:docPr id="1666" name="Shape 166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4.5pt;width:316.80000000000001pt;height:0;z-index:-251658240;mso-position-horizontal-relative:page;mso-position-vertical-relative:page">
              <v:stroke weight="1.pt"/>
            </v:shape>
          </w:pict>
        </mc:Fallback>
      </mc:AlternateContent>
    </w:r>
  </w:p>
</w:hdr>
</file>

<file path=word/header3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8" behindDoc="1" locked="0" layoutInCell="1" allowOverlap="1">
              <wp:simplePos x="0" y="0"/>
              <wp:positionH relativeFrom="page">
                <wp:posOffset>151130</wp:posOffset>
              </wp:positionH>
              <wp:positionV relativeFrom="page">
                <wp:posOffset>467360</wp:posOffset>
              </wp:positionV>
              <wp:extent cx="271145" cy="64135"/>
              <wp:wrapNone/>
              <wp:docPr id="1669" name="Shape 1669"/>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695" type="#_x0000_t202" style="position:absolute;margin-left:11.9pt;margin-top:36.799999999999997pt;width:21.350000000000001pt;height:5.0499999999999998pt;z-index:-1887427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565150</wp:posOffset>
              </wp:positionV>
              <wp:extent cx="4023360" cy="0"/>
              <wp:wrapNone/>
              <wp:docPr id="1671" name="Shape 167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4.5pt;width:316.80000000000001pt;height:0;z-index:-251658240;mso-position-horizontal-relative:page;mso-position-vertical-relative:page">
              <v:stroke weight="1.pt"/>
            </v:shape>
          </w:pict>
        </mc:Fallback>
      </mc:AlternateContent>
    </w:r>
  </w:p>
</w:hdr>
</file>

<file path=word/header3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2" behindDoc="1" locked="0" layoutInCell="1" allowOverlap="1">
              <wp:simplePos x="0" y="0"/>
              <wp:positionH relativeFrom="page">
                <wp:posOffset>3897630</wp:posOffset>
              </wp:positionH>
              <wp:positionV relativeFrom="page">
                <wp:posOffset>345440</wp:posOffset>
              </wp:positionV>
              <wp:extent cx="271145" cy="64135"/>
              <wp:wrapNone/>
              <wp:docPr id="1674" name="Shape 1674"/>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700" type="#_x0000_t202" style="position:absolute;margin-left:306.89999999999998pt;margin-top:27.199999999999999pt;width:21.350000000000001pt;height:5.0499999999999998pt;z-index:-1887427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444500</wp:posOffset>
              </wp:positionV>
              <wp:extent cx="4023360" cy="0"/>
              <wp:wrapNone/>
              <wp:docPr id="1676" name="Shape 167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35.pt;width:316.80000000000001pt;height:0;z-index:-251658240;mso-position-horizontal-relative:page;mso-position-vertical-relative:page">
              <v:stroke weight="1.pt"/>
            </v:shape>
          </w:pict>
        </mc:Fallback>
      </mc:AlternateContent>
    </w:r>
  </w:p>
</w:hdr>
</file>

<file path=word/header3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4" behindDoc="1" locked="0" layoutInCell="1" allowOverlap="1">
              <wp:simplePos x="0" y="0"/>
              <wp:positionH relativeFrom="page">
                <wp:posOffset>3897630</wp:posOffset>
              </wp:positionH>
              <wp:positionV relativeFrom="page">
                <wp:posOffset>345440</wp:posOffset>
              </wp:positionV>
              <wp:extent cx="271145" cy="64135"/>
              <wp:wrapNone/>
              <wp:docPr id="1677" name="Shape 1677"/>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703" type="#_x0000_t202" style="position:absolute;margin-left:306.89999999999998pt;margin-top:27.199999999999999pt;width:21.350000000000001pt;height:5.0499999999999998pt;z-index:-1887427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444500</wp:posOffset>
              </wp:positionV>
              <wp:extent cx="4023360" cy="0"/>
              <wp:wrapNone/>
              <wp:docPr id="1679" name="Shape 167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35.pt;width:316.80000000000001pt;height:0;z-index:-251658240;mso-position-horizontal-relative:page;mso-position-vertical-relative:page">
              <v:stroke weight="1.pt"/>
            </v:shape>
          </w:pict>
        </mc:Fallback>
      </mc:AlternateContent>
    </w:r>
  </w:p>
</w:hdr>
</file>

<file path=word/header3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6" behindDoc="1" locked="0" layoutInCell="1" allowOverlap="1">
              <wp:simplePos x="0" y="0"/>
              <wp:positionH relativeFrom="page">
                <wp:posOffset>151130</wp:posOffset>
              </wp:positionH>
              <wp:positionV relativeFrom="page">
                <wp:posOffset>467360</wp:posOffset>
              </wp:positionV>
              <wp:extent cx="271145" cy="64135"/>
              <wp:wrapNone/>
              <wp:docPr id="1680" name="Shape 1680"/>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706" type="#_x0000_t202" style="position:absolute;margin-left:11.9pt;margin-top:36.799999999999997pt;width:21.350000000000001pt;height:5.0499999999999998pt;z-index:-1887427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565150</wp:posOffset>
              </wp:positionV>
              <wp:extent cx="4023360" cy="0"/>
              <wp:wrapNone/>
              <wp:docPr id="1682" name="Shape 168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4.5pt;width:316.80000000000001pt;height:0;z-index:-251658240;mso-position-horizontal-relative:page;mso-position-vertical-relative:page">
              <v:stroke weight="1.pt"/>
            </v:shape>
          </w:pict>
        </mc:Fallback>
      </mc:AlternateContent>
    </w:r>
  </w:p>
</w:hdr>
</file>

<file path=word/header3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0" behindDoc="1" locked="0" layoutInCell="1" allowOverlap="1">
              <wp:simplePos x="0" y="0"/>
              <wp:positionH relativeFrom="page">
                <wp:posOffset>151130</wp:posOffset>
              </wp:positionH>
              <wp:positionV relativeFrom="page">
                <wp:posOffset>467360</wp:posOffset>
              </wp:positionV>
              <wp:extent cx="271145" cy="64135"/>
              <wp:wrapNone/>
              <wp:docPr id="1685" name="Shape 1685"/>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711" type="#_x0000_t202" style="position:absolute;margin-left:11.9pt;margin-top:36.799999999999997pt;width:21.350000000000001pt;height:5.0499999999999998pt;z-index:-1887427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565150</wp:posOffset>
              </wp:positionV>
              <wp:extent cx="4023360" cy="0"/>
              <wp:wrapNone/>
              <wp:docPr id="1687" name="Shape 168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4.5pt;width:316.80000000000001pt;height:0;z-index:-251658240;mso-position-horizontal-relative:page;mso-position-vertical-relative:page">
              <v:stroke weight="1.pt"/>
            </v:shape>
          </w:pict>
        </mc:Fallback>
      </mc:AlternateContent>
    </w:r>
  </w:p>
</w:hdr>
</file>

<file path=word/header3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4" behindDoc="1" locked="0" layoutInCell="1" allowOverlap="1">
              <wp:simplePos x="0" y="0"/>
              <wp:positionH relativeFrom="page">
                <wp:posOffset>3897630</wp:posOffset>
              </wp:positionH>
              <wp:positionV relativeFrom="page">
                <wp:posOffset>345440</wp:posOffset>
              </wp:positionV>
              <wp:extent cx="271145" cy="64135"/>
              <wp:wrapNone/>
              <wp:docPr id="1690" name="Shape 1690"/>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716" type="#_x0000_t202" style="position:absolute;margin-left:306.89999999999998pt;margin-top:27.199999999999999pt;width:21.350000000000001pt;height:5.0499999999999998pt;z-index:-1887427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444500</wp:posOffset>
              </wp:positionV>
              <wp:extent cx="4023360" cy="0"/>
              <wp:wrapNone/>
              <wp:docPr id="1692" name="Shape 169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35.pt;width:316.80000000000001pt;height:0;z-index:-251658240;mso-position-horizontal-relative:page;mso-position-vertical-relative:page">
              <v:stroke weight="1.pt"/>
            </v:shape>
          </w:pict>
        </mc:Fallback>
      </mc:AlternateContent>
    </w:r>
  </w:p>
</w:hdr>
</file>

<file path=word/header3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6" behindDoc="1" locked="0" layoutInCell="1" allowOverlap="1">
              <wp:simplePos x="0" y="0"/>
              <wp:positionH relativeFrom="page">
                <wp:posOffset>3897630</wp:posOffset>
              </wp:positionH>
              <wp:positionV relativeFrom="page">
                <wp:posOffset>345440</wp:posOffset>
              </wp:positionV>
              <wp:extent cx="271145" cy="64135"/>
              <wp:wrapNone/>
              <wp:docPr id="1693" name="Shape 1693"/>
              <a:graphic xmlns:a="http://schemas.openxmlformats.org/drawingml/2006/main">
                <a:graphicData uri="http://schemas.microsoft.com/office/word/2010/wordprocessingShape">
                  <wps:wsp>
                    <wps:cNvSpPr txBox="1"/>
                    <wps:spPr>
                      <a:xfrm>
                        <a:ext cx="2711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wps:txbx>
                    <wps:bodyPr wrap="none" lIns="0" tIns="0" rIns="0" bIns="0">
                      <a:spAutoFit/>
                    </wps:bodyPr>
                  </wps:wsp>
                </a:graphicData>
              </a:graphic>
            </wp:anchor>
          </w:drawing>
        </mc:Choice>
        <mc:Fallback>
          <w:pict>
            <v:shape id="_x0000_s2719" type="#_x0000_t202" style="position:absolute;margin-left:306.89999999999998pt;margin-top:27.199999999999999pt;width:21.350000000000001pt;height:5.0499999999999998pt;z-index:-1887427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444500</wp:posOffset>
              </wp:positionV>
              <wp:extent cx="4023360" cy="0"/>
              <wp:wrapNone/>
              <wp:docPr id="1695" name="Shape 169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35.pt;width:316.80000000000001pt;height:0;z-index:-251658240;mso-position-horizontal-relative:page;mso-position-vertical-relative:page">
              <v:stroke weight="1.pt"/>
            </v:shape>
          </w:pict>
        </mc:Fallback>
      </mc:AlternateContent>
    </w:r>
  </w:p>
</w:hdr>
</file>

<file path=word/header3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8" behindDoc="1" locked="0" layoutInCell="1" allowOverlap="1">
              <wp:simplePos x="0" y="0"/>
              <wp:positionH relativeFrom="page">
                <wp:posOffset>3827145</wp:posOffset>
              </wp:positionH>
              <wp:positionV relativeFrom="page">
                <wp:posOffset>469265</wp:posOffset>
              </wp:positionV>
              <wp:extent cx="347345" cy="60960"/>
              <wp:wrapNone/>
              <wp:docPr id="1696" name="Shape 1696"/>
              <a:graphic xmlns:a="http://schemas.openxmlformats.org/drawingml/2006/main">
                <a:graphicData uri="http://schemas.microsoft.com/office/word/2010/wordprocessingShape">
                  <wps:wsp>
                    <wps:cNvSpPr txBox="1"/>
                    <wps:spPr>
                      <a:xfrm>
                        <a:ext cx="34734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22" type="#_x0000_t202" style="position:absolute;margin-left:301.35000000000002pt;margin-top:36.950000000000003pt;width:27.350000000000001pt;height:4.7999999999999998pt;z-index:-1887427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566420</wp:posOffset>
              </wp:positionV>
              <wp:extent cx="4026535" cy="0"/>
              <wp:wrapNone/>
              <wp:docPr id="1698" name="Shape 169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9pt;margin-top:44.600000000000001pt;width:317.05000000000001pt;height:0;z-index:-251658240;mso-position-horizontal-relative:page;mso-position-vertical-relative:page">
              <v:stroke weight="1.pt"/>
            </v:shape>
          </w:pict>
        </mc:Fallback>
      </mc:AlternateContent>
    </w:r>
  </w:p>
</w:hdr>
</file>

<file path=word/header3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2" behindDoc="1" locked="0" layoutInCell="1" allowOverlap="1">
              <wp:simplePos x="0" y="0"/>
              <wp:positionH relativeFrom="page">
                <wp:posOffset>3827145</wp:posOffset>
              </wp:positionH>
              <wp:positionV relativeFrom="page">
                <wp:posOffset>469265</wp:posOffset>
              </wp:positionV>
              <wp:extent cx="347345" cy="60960"/>
              <wp:wrapNone/>
              <wp:docPr id="1701" name="Shape 1701"/>
              <a:graphic xmlns:a="http://schemas.openxmlformats.org/drawingml/2006/main">
                <a:graphicData uri="http://schemas.microsoft.com/office/word/2010/wordprocessingShape">
                  <wps:wsp>
                    <wps:cNvSpPr txBox="1"/>
                    <wps:spPr>
                      <a:xfrm>
                        <a:ext cx="34734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27" type="#_x0000_t202" style="position:absolute;margin-left:301.35000000000002pt;margin-top:36.950000000000003pt;width:27.350000000000001pt;height:4.7999999999999998pt;z-index:-1887427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566420</wp:posOffset>
              </wp:positionV>
              <wp:extent cx="4026535" cy="0"/>
              <wp:wrapNone/>
              <wp:docPr id="1703" name="Shape 1703"/>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9pt;margin-top:44.600000000000001pt;width:317.05000000000001pt;height:0;z-index:-251658240;mso-position-horizontal-relative:page;mso-position-vertical-relative:page">
              <v:stroke weight="1.pt"/>
            </v:shape>
          </w:pict>
        </mc:Fallback>
      </mc:AlternateContent>
    </w:r>
  </w:p>
</w:hdr>
</file>

<file path=word/header3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6" behindDoc="1" locked="0" layoutInCell="1" allowOverlap="1">
              <wp:simplePos x="0" y="0"/>
              <wp:positionH relativeFrom="page">
                <wp:posOffset>153035</wp:posOffset>
              </wp:positionH>
              <wp:positionV relativeFrom="page">
                <wp:posOffset>472440</wp:posOffset>
              </wp:positionV>
              <wp:extent cx="658495" cy="64135"/>
              <wp:wrapNone/>
              <wp:docPr id="1706" name="Shape 1706"/>
              <a:graphic xmlns:a="http://schemas.openxmlformats.org/drawingml/2006/main">
                <a:graphicData uri="http://schemas.microsoft.com/office/word/2010/wordprocessingShape">
                  <wps:wsp>
                    <wps:cNvSpPr txBox="1"/>
                    <wps:spPr>
                      <a:xfrm>
                        <a:ext cx="6584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MISIJA/MISTIKA</w:t>
                          </w:r>
                        </w:p>
                      </w:txbxContent>
                    </wps:txbx>
                    <wps:bodyPr wrap="none" lIns="0" tIns="0" rIns="0" bIns="0">
                      <a:spAutoFit/>
                    </wps:bodyPr>
                  </wps:wsp>
                </a:graphicData>
              </a:graphic>
            </wp:anchor>
          </w:drawing>
        </mc:Choice>
        <mc:Fallback>
          <w:pict>
            <v:shape id="_x0000_s2732" type="#_x0000_t202" style="position:absolute;margin-left:12.050000000000001pt;margin-top:37.200000000000003pt;width:51.850000000000001pt;height:5.0499999999999998pt;z-index:-1887427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MISIJA/MISTIKA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571500</wp:posOffset>
              </wp:positionV>
              <wp:extent cx="4026535" cy="0"/>
              <wp:wrapNone/>
              <wp:docPr id="1708" name="Shape 170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050000000000001pt;margin-top:45.pt;width:317.05000000000001pt;height:0;z-index:-251658240;mso-position-horizontal-relative:page;mso-position-vertical-relative:page">
              <v:stroke weight="1.pt"/>
            </v:shape>
          </w:pict>
        </mc:Fallback>
      </mc:AlternateContent>
    </w:r>
  </w:p>
</w:hdr>
</file>

<file path=word/header3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0" behindDoc="1" locked="0" layoutInCell="1" allowOverlap="1">
              <wp:simplePos x="0" y="0"/>
              <wp:positionH relativeFrom="page">
                <wp:posOffset>153035</wp:posOffset>
              </wp:positionH>
              <wp:positionV relativeFrom="page">
                <wp:posOffset>470535</wp:posOffset>
              </wp:positionV>
              <wp:extent cx="350520" cy="60960"/>
              <wp:wrapNone/>
              <wp:docPr id="1711" name="Shape 1711"/>
              <a:graphic xmlns:a="http://schemas.openxmlformats.org/drawingml/2006/main">
                <a:graphicData uri="http://schemas.microsoft.com/office/word/2010/wordprocessingShape">
                  <wps:wsp>
                    <wps:cNvSpPr txBox="1"/>
                    <wps:spPr>
                      <a:xfrm>
                        <a:ext cx="35052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37" type="#_x0000_t202" style="position:absolute;margin-left:12.050000000000001pt;margin-top:37.049999999999997pt;width:27.600000000000001pt;height:4.7999999999999998pt;z-index:-1887427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567690</wp:posOffset>
              </wp:positionV>
              <wp:extent cx="4023360" cy="0"/>
              <wp:wrapNone/>
              <wp:docPr id="1713" name="Shape 171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4.700000000000003pt;width:316.80000000000001pt;height:0;z-index:-251658240;mso-position-horizontal-relative:page;mso-position-vertical-relative:page">
              <v:stroke weight="1.pt"/>
            </v:shape>
          </w:pict>
        </mc:Fallback>
      </mc:AlternateContent>
    </w:r>
  </w:p>
</w:hdr>
</file>

<file path=word/header3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4" behindDoc="1" locked="0" layoutInCell="1" allowOverlap="1">
              <wp:simplePos x="0" y="0"/>
              <wp:positionH relativeFrom="page">
                <wp:posOffset>153035</wp:posOffset>
              </wp:positionH>
              <wp:positionV relativeFrom="page">
                <wp:posOffset>470535</wp:posOffset>
              </wp:positionV>
              <wp:extent cx="350520" cy="60960"/>
              <wp:wrapNone/>
              <wp:docPr id="1716" name="Shape 1716"/>
              <a:graphic xmlns:a="http://schemas.openxmlformats.org/drawingml/2006/main">
                <a:graphicData uri="http://schemas.microsoft.com/office/word/2010/wordprocessingShape">
                  <wps:wsp>
                    <wps:cNvSpPr txBox="1"/>
                    <wps:spPr>
                      <a:xfrm>
                        <a:ext cx="35052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42" type="#_x0000_t202" style="position:absolute;margin-left:12.050000000000001pt;margin-top:37.049999999999997pt;width:27.600000000000001pt;height:4.7999999999999998pt;z-index:-1887427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567690</wp:posOffset>
              </wp:positionV>
              <wp:extent cx="4023360" cy="0"/>
              <wp:wrapNone/>
              <wp:docPr id="1718" name="Shape 171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4.700000000000003pt;width:316.80000000000001pt;height:0;z-index:-251658240;mso-position-horizontal-relative:page;mso-position-vertical-relative:page">
              <v:stroke weight="1.pt"/>
            </v:shape>
          </w:pict>
        </mc:Fallback>
      </mc:AlternateContent>
    </w:r>
  </w:p>
</w:hdr>
</file>

<file path=word/header3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8" behindDoc="1" locked="0" layoutInCell="1" allowOverlap="1">
              <wp:simplePos x="0" y="0"/>
              <wp:positionH relativeFrom="page">
                <wp:posOffset>3825875</wp:posOffset>
              </wp:positionH>
              <wp:positionV relativeFrom="page">
                <wp:posOffset>466090</wp:posOffset>
              </wp:positionV>
              <wp:extent cx="350520" cy="64135"/>
              <wp:wrapNone/>
              <wp:docPr id="1721" name="Shape 1721"/>
              <a:graphic xmlns:a="http://schemas.openxmlformats.org/drawingml/2006/main">
                <a:graphicData uri="http://schemas.microsoft.com/office/word/2010/wordprocessingShape">
                  <wps:wsp>
                    <wps:cNvSpPr txBox="1"/>
                    <wps:spPr>
                      <a:xfrm>
                        <a:ext cx="3505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47" type="#_x0000_t202" style="position:absolute;margin-left:301.25pt;margin-top:36.700000000000003pt;width:27.600000000000001pt;height:5.0499999999999998pt;z-index:-1887427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566420</wp:posOffset>
              </wp:positionV>
              <wp:extent cx="4020185" cy="0"/>
              <wp:wrapNone/>
              <wp:docPr id="1723" name="Shape 172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00000000000001pt;margin-top:44.600000000000001pt;width:316.55000000000001pt;height:0;z-index:-251658240;mso-position-horizontal-relative:page;mso-position-vertical-relative:page">
              <v:stroke weight="1.pt"/>
            </v:shape>
          </w:pict>
        </mc:Fallback>
      </mc:AlternateContent>
    </w:r>
  </w:p>
</w:hdr>
</file>

<file path=word/header4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2" behindDoc="1" locked="0" layoutInCell="1" allowOverlap="1">
              <wp:simplePos x="0" y="0"/>
              <wp:positionH relativeFrom="page">
                <wp:posOffset>3825875</wp:posOffset>
              </wp:positionH>
              <wp:positionV relativeFrom="page">
                <wp:posOffset>466090</wp:posOffset>
              </wp:positionV>
              <wp:extent cx="350520" cy="64135"/>
              <wp:wrapNone/>
              <wp:docPr id="1726" name="Shape 1726"/>
              <a:graphic xmlns:a="http://schemas.openxmlformats.org/drawingml/2006/main">
                <a:graphicData uri="http://schemas.microsoft.com/office/word/2010/wordprocessingShape">
                  <wps:wsp>
                    <wps:cNvSpPr txBox="1"/>
                    <wps:spPr>
                      <a:xfrm>
                        <a:ext cx="3505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52" type="#_x0000_t202" style="position:absolute;margin-left:301.25pt;margin-top:36.700000000000003pt;width:27.600000000000001pt;height:5.0499999999999998pt;z-index:-1887427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566420</wp:posOffset>
              </wp:positionV>
              <wp:extent cx="4020185" cy="0"/>
              <wp:wrapNone/>
              <wp:docPr id="1728" name="Shape 172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00000000000001pt;margin-top:44.600000000000001pt;width:316.55000000000001pt;height:0;z-index:-251658240;mso-position-horizontal-relative:page;mso-position-vertical-relative:page">
              <v:stroke weight="1.pt"/>
            </v:shape>
          </w:pict>
        </mc:Fallback>
      </mc:AlternateContent>
    </w:r>
  </w:p>
</w:hdr>
</file>

<file path=word/header4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6" behindDoc="1" locked="0" layoutInCell="1" allowOverlap="1">
              <wp:simplePos x="0" y="0"/>
              <wp:positionH relativeFrom="page">
                <wp:posOffset>3813810</wp:posOffset>
              </wp:positionH>
              <wp:positionV relativeFrom="page">
                <wp:posOffset>466090</wp:posOffset>
              </wp:positionV>
              <wp:extent cx="350520" cy="64135"/>
              <wp:wrapNone/>
              <wp:docPr id="1731" name="Shape 1731"/>
              <a:graphic xmlns:a="http://schemas.openxmlformats.org/drawingml/2006/main">
                <a:graphicData uri="http://schemas.microsoft.com/office/word/2010/wordprocessingShape">
                  <wps:wsp>
                    <wps:cNvSpPr txBox="1"/>
                    <wps:spPr>
                      <a:xfrm>
                        <a:ext cx="3505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57" type="#_x0000_t202" style="position:absolute;margin-left:300.30000000000001pt;margin-top:36.700000000000003pt;width:27.600000000000001pt;height:5.0499999999999998pt;z-index:-1887427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569595</wp:posOffset>
              </wp:positionV>
              <wp:extent cx="4020185" cy="0"/>
              <wp:wrapNone/>
              <wp:docPr id="1733" name="Shape 173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4.850000000000001pt;width:316.55000000000001pt;height:0;z-index:-251658240;mso-position-horizontal-relative:page;mso-position-vertical-relative:page">
              <v:stroke weight="1.pt"/>
            </v:shape>
          </w:pict>
        </mc:Fallback>
      </mc:AlternateContent>
    </w:r>
  </w:p>
</w:hdr>
</file>

<file path=word/header4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0" behindDoc="1" locked="0" layoutInCell="1" allowOverlap="1">
              <wp:simplePos x="0" y="0"/>
              <wp:positionH relativeFrom="page">
                <wp:posOffset>153035</wp:posOffset>
              </wp:positionH>
              <wp:positionV relativeFrom="page">
                <wp:posOffset>470535</wp:posOffset>
              </wp:positionV>
              <wp:extent cx="350520" cy="60960"/>
              <wp:wrapNone/>
              <wp:docPr id="1736" name="Shape 1736"/>
              <a:graphic xmlns:a="http://schemas.openxmlformats.org/drawingml/2006/main">
                <a:graphicData uri="http://schemas.microsoft.com/office/word/2010/wordprocessingShape">
                  <wps:wsp>
                    <wps:cNvSpPr txBox="1"/>
                    <wps:spPr>
                      <a:xfrm>
                        <a:ext cx="35052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wps:txbx>
                    <wps:bodyPr wrap="none" lIns="0" tIns="0" rIns="0" bIns="0">
                      <a:spAutoFit/>
                    </wps:bodyPr>
                  </wps:wsp>
                </a:graphicData>
              </a:graphic>
            </wp:anchor>
          </w:drawing>
        </mc:Choice>
        <mc:Fallback>
          <w:pict>
            <v:shape id="_x0000_s2762" type="#_x0000_t202" style="position:absolute;margin-left:12.050000000000001pt;margin-top:37.049999999999997pt;width:27.600000000000001pt;height:4.7999999999999998pt;z-index:-1887427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567690</wp:posOffset>
              </wp:positionV>
              <wp:extent cx="4023360" cy="0"/>
              <wp:wrapNone/>
              <wp:docPr id="1738" name="Shape 173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4.700000000000003pt;width:316.80000000000001pt;height:0;z-index:-251658240;mso-position-horizontal-relative:page;mso-position-vertical-relative:page">
              <v:stroke weight="1.pt"/>
            </v:shape>
          </w:pict>
        </mc:Fallback>
      </mc:AlternateContent>
    </w:r>
  </w:p>
</w:hdr>
</file>

<file path=word/header4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4" behindDoc="1" locked="0" layoutInCell="1" allowOverlap="1">
              <wp:simplePos x="0" y="0"/>
              <wp:positionH relativeFrom="page">
                <wp:posOffset>145415</wp:posOffset>
              </wp:positionH>
              <wp:positionV relativeFrom="page">
                <wp:posOffset>472440</wp:posOffset>
              </wp:positionV>
              <wp:extent cx="335280" cy="64135"/>
              <wp:wrapNone/>
              <wp:docPr id="1741" name="Shape 1741"/>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wps:txbx>
                    <wps:bodyPr wrap="none" lIns="0" tIns="0" rIns="0" bIns="0">
                      <a:spAutoFit/>
                    </wps:bodyPr>
                  </wps:wsp>
                </a:graphicData>
              </a:graphic>
            </wp:anchor>
          </w:drawing>
        </mc:Choice>
        <mc:Fallback>
          <w:pict>
            <v:shape id="_x0000_s2767" type="#_x0000_t202" style="position:absolute;margin-left:11.449999999999999pt;margin-top:37.200000000000003pt;width:26.399999999999999pt;height:5.0499999999999998pt;z-index:-1887427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566420</wp:posOffset>
              </wp:positionV>
              <wp:extent cx="4026535" cy="0"/>
              <wp:wrapNone/>
              <wp:docPr id="1743" name="Shape 1743"/>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99999999999999pt;margin-top:44.600000000000001pt;width:317.05000000000001pt;height:0;z-index:-251658240;mso-position-horizontal-relative:page;mso-position-vertical-relative:page">
              <v:stroke weight="1.pt"/>
            </v:shape>
          </w:pict>
        </mc:Fallback>
      </mc:AlternateContent>
    </w:r>
  </w:p>
</w:hdr>
</file>

<file path=word/header4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8" behindDoc="1" locked="0" layoutInCell="1" allowOverlap="1">
              <wp:simplePos x="0" y="0"/>
              <wp:positionH relativeFrom="page">
                <wp:posOffset>145415</wp:posOffset>
              </wp:positionH>
              <wp:positionV relativeFrom="page">
                <wp:posOffset>472440</wp:posOffset>
              </wp:positionV>
              <wp:extent cx="335280" cy="64135"/>
              <wp:wrapNone/>
              <wp:docPr id="1746" name="Shape 1746"/>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wps:txbx>
                    <wps:bodyPr wrap="none" lIns="0" tIns="0" rIns="0" bIns="0">
                      <a:spAutoFit/>
                    </wps:bodyPr>
                  </wps:wsp>
                </a:graphicData>
              </a:graphic>
            </wp:anchor>
          </w:drawing>
        </mc:Choice>
        <mc:Fallback>
          <w:pict>
            <v:shape id="_x0000_s2772" type="#_x0000_t202" style="position:absolute;margin-left:11.449999999999999pt;margin-top:37.200000000000003pt;width:26.399999999999999pt;height:5.0499999999999998pt;z-index:-1887427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566420</wp:posOffset>
              </wp:positionV>
              <wp:extent cx="4026535" cy="0"/>
              <wp:wrapNone/>
              <wp:docPr id="1748" name="Shape 174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99999999999999pt;margin-top:44.600000000000001pt;width:317.05000000000001pt;height:0;z-index:-251658240;mso-position-horizontal-relative:page;mso-position-vertical-relative:page">
              <v:stroke weight="1.pt"/>
            </v:shape>
          </w:pict>
        </mc:Fallback>
      </mc:AlternateContent>
    </w:r>
  </w:p>
</w:hdr>
</file>

<file path=word/header4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2" behindDoc="1" locked="0" layoutInCell="1" allowOverlap="1">
              <wp:simplePos x="0" y="0"/>
              <wp:positionH relativeFrom="page">
                <wp:posOffset>3442970</wp:posOffset>
              </wp:positionH>
              <wp:positionV relativeFrom="page">
                <wp:posOffset>466090</wp:posOffset>
              </wp:positionV>
              <wp:extent cx="719455" cy="64135"/>
              <wp:wrapNone/>
              <wp:docPr id="1751" name="Shape 1751"/>
              <a:graphic xmlns:a="http://schemas.openxmlformats.org/drawingml/2006/main">
                <a:graphicData uri="http://schemas.microsoft.com/office/word/2010/wordprocessingShape">
                  <wps:wsp>
                    <wps:cNvSpPr txBox="1"/>
                    <wps:spPr>
                      <a:xfrm>
                        <a:ext cx="71945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MISTIKA/MOJSIJE</w:t>
                          </w:r>
                        </w:p>
                      </w:txbxContent>
                    </wps:txbx>
                    <wps:bodyPr wrap="none" lIns="0" tIns="0" rIns="0" bIns="0">
                      <a:spAutoFit/>
                    </wps:bodyPr>
                  </wps:wsp>
                </a:graphicData>
              </a:graphic>
            </wp:anchor>
          </w:drawing>
        </mc:Choice>
        <mc:Fallback>
          <w:pict>
            <v:shape id="_x0000_s2777" type="#_x0000_t202" style="position:absolute;margin-left:271.10000000000002pt;margin-top:36.700000000000003pt;width:56.649999999999999pt;height:5.0499999999999998pt;z-index:-1887427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MISTIKA/MOJSIJE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571500</wp:posOffset>
              </wp:positionV>
              <wp:extent cx="4017010" cy="0"/>
              <wp:wrapNone/>
              <wp:docPr id="1753" name="Shape 175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99999999999999pt;margin-top:45.pt;width:316.30000000000001pt;height:0;z-index:-251658240;mso-position-horizontal-relative:page;mso-position-vertical-relative:page">
              <v:stroke weight="1.pt"/>
            </v:shape>
          </w:pict>
        </mc:Fallback>
      </mc:AlternateContent>
    </w:r>
  </w:p>
</w:hdr>
</file>

<file path=word/header4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6" behindDoc="1" locked="0" layoutInCell="1" allowOverlap="1">
              <wp:simplePos x="0" y="0"/>
              <wp:positionH relativeFrom="page">
                <wp:posOffset>3833495</wp:posOffset>
              </wp:positionH>
              <wp:positionV relativeFrom="page">
                <wp:posOffset>345440</wp:posOffset>
              </wp:positionV>
              <wp:extent cx="335280" cy="64135"/>
              <wp:wrapNone/>
              <wp:docPr id="1756" name="Shape 1756"/>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wps:txbx>
                    <wps:bodyPr wrap="none" lIns="0" tIns="0" rIns="0" bIns="0">
                      <a:spAutoFit/>
                    </wps:bodyPr>
                  </wps:wsp>
                </a:graphicData>
              </a:graphic>
            </wp:anchor>
          </w:drawing>
        </mc:Choice>
        <mc:Fallback>
          <w:pict>
            <v:shape id="_x0000_s2782" type="#_x0000_t202" style="position:absolute;margin-left:301.85000000000002pt;margin-top:27.199999999999999pt;width:26.399999999999999pt;height:5.0499999999999998pt;z-index:-1887427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447675</wp:posOffset>
              </wp:positionV>
              <wp:extent cx="4026535" cy="0"/>
              <wp:wrapNone/>
              <wp:docPr id="1758" name="Shape 175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35.25pt;width:317.05000000000001pt;height:0;z-index:-251658240;mso-position-horizontal-relative:page;mso-position-vertical-relative:page">
              <v:stroke weight="1.pt"/>
            </v:shape>
          </w:pict>
        </mc:Fallback>
      </mc:AlternateContent>
    </w:r>
  </w:p>
</w:hdr>
</file>

<file path=word/header4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8" behindDoc="1" locked="0" layoutInCell="1" allowOverlap="1">
              <wp:simplePos x="0" y="0"/>
              <wp:positionH relativeFrom="page">
                <wp:posOffset>3833495</wp:posOffset>
              </wp:positionH>
              <wp:positionV relativeFrom="page">
                <wp:posOffset>345440</wp:posOffset>
              </wp:positionV>
              <wp:extent cx="335280" cy="64135"/>
              <wp:wrapNone/>
              <wp:docPr id="1759" name="Shape 1759"/>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wps:txbx>
                    <wps:bodyPr wrap="none" lIns="0" tIns="0" rIns="0" bIns="0">
                      <a:spAutoFit/>
                    </wps:bodyPr>
                  </wps:wsp>
                </a:graphicData>
              </a:graphic>
            </wp:anchor>
          </w:drawing>
        </mc:Choice>
        <mc:Fallback>
          <w:pict>
            <v:shape id="_x0000_s2785" type="#_x0000_t202" style="position:absolute;margin-left:301.85000000000002pt;margin-top:27.199999999999999pt;width:26.399999999999999pt;height:5.0499999999999998pt;z-index:-1887427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447675</wp:posOffset>
              </wp:positionV>
              <wp:extent cx="4026535" cy="0"/>
              <wp:wrapNone/>
              <wp:docPr id="1761" name="Shape 176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35.25pt;width:317.05000000000001pt;height:0;z-index:-251658240;mso-position-horizontal-relative:page;mso-position-vertical-relative:page">
              <v:stroke weight="1.pt"/>
            </v:shape>
          </w:pict>
        </mc:Fallback>
      </mc:AlternateContent>
    </w:r>
  </w:p>
</w:hdr>
</file>

<file path=word/header4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0" behindDoc="1" locked="0" layoutInCell="1" allowOverlap="1">
              <wp:simplePos x="0" y="0"/>
              <wp:positionH relativeFrom="page">
                <wp:posOffset>145415</wp:posOffset>
              </wp:positionH>
              <wp:positionV relativeFrom="page">
                <wp:posOffset>472440</wp:posOffset>
              </wp:positionV>
              <wp:extent cx="335280" cy="64135"/>
              <wp:wrapNone/>
              <wp:docPr id="1762" name="Shape 1762"/>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wps:txbx>
                    <wps:bodyPr wrap="none" lIns="0" tIns="0" rIns="0" bIns="0">
                      <a:spAutoFit/>
                    </wps:bodyPr>
                  </wps:wsp>
                </a:graphicData>
              </a:graphic>
            </wp:anchor>
          </w:drawing>
        </mc:Choice>
        <mc:Fallback>
          <w:pict>
            <v:shape id="_x0000_s2788" type="#_x0000_t202" style="position:absolute;margin-left:11.449999999999999pt;margin-top:37.200000000000003pt;width:26.399999999999999pt;height:5.0499999999999998pt;z-index:-1887427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561975</wp:posOffset>
              </wp:positionV>
              <wp:extent cx="4020185" cy="0"/>
              <wp:wrapNone/>
              <wp:docPr id="1764" name="Shape 176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99999999999999pt;margin-top:44.25pt;width:316.55000000000001pt;height:0;z-index:-251658240;mso-position-horizontal-relative:page;mso-position-vertical-relative:page">
              <v:stroke weight="1.pt"/>
            </v:shape>
          </w:pict>
        </mc:Fallback>
      </mc:AlternateContent>
    </w:r>
  </w:p>
</w:hdr>
</file>

<file path=word/header4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4" behindDoc="1" locked="0" layoutInCell="1" allowOverlap="1">
              <wp:simplePos x="0" y="0"/>
              <wp:positionH relativeFrom="page">
                <wp:posOffset>145415</wp:posOffset>
              </wp:positionH>
              <wp:positionV relativeFrom="page">
                <wp:posOffset>472440</wp:posOffset>
              </wp:positionV>
              <wp:extent cx="335280" cy="64135"/>
              <wp:wrapNone/>
              <wp:docPr id="1767" name="Shape 1767"/>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wps:txbx>
                    <wps:bodyPr wrap="none" lIns="0" tIns="0" rIns="0" bIns="0">
                      <a:spAutoFit/>
                    </wps:bodyPr>
                  </wps:wsp>
                </a:graphicData>
              </a:graphic>
            </wp:anchor>
          </w:drawing>
        </mc:Choice>
        <mc:Fallback>
          <w:pict>
            <v:shape id="_x0000_s2793" type="#_x0000_t202" style="position:absolute;margin-left:11.449999999999999pt;margin-top:37.200000000000003pt;width:26.399999999999999pt;height:5.0499999999999998pt;z-index:-1887427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MOJSIJE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561975</wp:posOffset>
              </wp:positionV>
              <wp:extent cx="4020185" cy="0"/>
              <wp:wrapNone/>
              <wp:docPr id="1769" name="Shape 176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99999999999999pt;margin-top:44.25pt;width:316.55000000000001pt;height:0;z-index:-251658240;mso-position-horizontal-relative:page;mso-position-vertical-relative:page">
              <v:stroke weight="1.pt"/>
            </v:shape>
          </w:pict>
        </mc:Fallback>
      </mc:AlternateContent>
    </w:r>
  </w:p>
</w:hdr>
</file>

<file path=word/header4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8" behindDoc="1" locked="0" layoutInCell="1" allowOverlap="1">
              <wp:simplePos x="0" y="0"/>
              <wp:positionH relativeFrom="page">
                <wp:posOffset>149860</wp:posOffset>
              </wp:positionH>
              <wp:positionV relativeFrom="page">
                <wp:posOffset>345440</wp:posOffset>
              </wp:positionV>
              <wp:extent cx="389890" cy="64135"/>
              <wp:wrapNone/>
              <wp:docPr id="1772" name="Shape 1772"/>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wps:txbx>
                    <wps:bodyPr wrap="none" lIns="0" tIns="0" rIns="0" bIns="0">
                      <a:spAutoFit/>
                    </wps:bodyPr>
                  </wps:wsp>
                </a:graphicData>
              </a:graphic>
            </wp:anchor>
          </w:drawing>
        </mc:Choice>
        <mc:Fallback>
          <w:pict>
            <v:shape id="_x0000_s2798" type="#_x0000_t202" style="position:absolute;margin-left:11.800000000000001pt;margin-top:27.199999999999999pt;width:30.699999999999999pt;height:5.0499999999999998pt;z-index:-1887427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438785</wp:posOffset>
              </wp:positionV>
              <wp:extent cx="4023360" cy="0"/>
              <wp:wrapNone/>
              <wp:docPr id="1774" name="Shape 177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34.549999999999997pt;width:316.80000000000001pt;height:0;z-index:-251658240;mso-position-horizontal-relative:page;mso-position-vertical-relative:page">
              <v:stroke weight="1.pt"/>
            </v:shape>
          </w:pict>
        </mc:Fallback>
      </mc:AlternateContent>
    </w:r>
  </w:p>
</w:hdr>
</file>

<file path=word/header4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0" behindDoc="1" locked="0" layoutInCell="1" allowOverlap="1">
              <wp:simplePos x="0" y="0"/>
              <wp:positionH relativeFrom="page">
                <wp:posOffset>149860</wp:posOffset>
              </wp:positionH>
              <wp:positionV relativeFrom="page">
                <wp:posOffset>345440</wp:posOffset>
              </wp:positionV>
              <wp:extent cx="389890" cy="64135"/>
              <wp:wrapNone/>
              <wp:docPr id="1775" name="Shape 1775"/>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wps:txbx>
                    <wps:bodyPr wrap="none" lIns="0" tIns="0" rIns="0" bIns="0">
                      <a:spAutoFit/>
                    </wps:bodyPr>
                  </wps:wsp>
                </a:graphicData>
              </a:graphic>
            </wp:anchor>
          </w:drawing>
        </mc:Choice>
        <mc:Fallback>
          <w:pict>
            <v:shape id="_x0000_s2801" type="#_x0000_t202" style="position:absolute;margin-left:11.800000000000001pt;margin-top:27.199999999999999pt;width:30.699999999999999pt;height:5.0499999999999998pt;z-index:-1887427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438785</wp:posOffset>
              </wp:positionV>
              <wp:extent cx="4023360" cy="0"/>
              <wp:wrapNone/>
              <wp:docPr id="1777" name="Shape 177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34.549999999999997pt;width:316.80000000000001pt;height:0;z-index:-251658240;mso-position-horizontal-relative:page;mso-position-vertical-relative:page">
              <v:stroke weight="1.pt"/>
            </v:shape>
          </w:pict>
        </mc:Fallback>
      </mc:AlternateContent>
    </w:r>
  </w:p>
</w:hdr>
</file>

<file path=word/header4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2" behindDoc="1" locked="0" layoutInCell="1" allowOverlap="1">
              <wp:simplePos x="0" y="0"/>
              <wp:positionH relativeFrom="page">
                <wp:posOffset>3409950</wp:posOffset>
              </wp:positionH>
              <wp:positionV relativeFrom="page">
                <wp:posOffset>339725</wp:posOffset>
              </wp:positionV>
              <wp:extent cx="762000" cy="69850"/>
              <wp:wrapNone/>
              <wp:docPr id="1778" name="Shape 1778"/>
              <a:graphic xmlns:a="http://schemas.openxmlformats.org/drawingml/2006/main">
                <a:graphicData uri="http://schemas.microsoft.com/office/word/2010/wordprocessingShape">
                  <wps:wsp>
                    <wps:cNvSpPr txBox="1"/>
                    <wps:spPr>
                      <a:xfrm>
                        <a:ext cx="76200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MOJS1J&amp;MO1.11 </w:t>
                          </w:r>
                          <w:r>
                            <w:rPr>
                              <w:color w:val="000000"/>
                              <w:spacing w:val="0"/>
                              <w:w w:val="100"/>
                              <w:position w:val="0"/>
                              <w:shd w:val="clear" w:color="auto" w:fill="auto"/>
                              <w:lang w:val="hr-HR" w:eastAsia="hr-HR" w:bidi="hr-HR"/>
                            </w:rPr>
                            <w:t>VA</w:t>
                          </w:r>
                        </w:p>
                      </w:txbxContent>
                    </wps:txbx>
                    <wps:bodyPr wrap="none" lIns="0" tIns="0" rIns="0" bIns="0">
                      <a:spAutoFit/>
                    </wps:bodyPr>
                  </wps:wsp>
                </a:graphicData>
              </a:graphic>
            </wp:anchor>
          </w:drawing>
        </mc:Choice>
        <mc:Fallback>
          <w:pict>
            <v:shape id="_x0000_s2804" type="#_x0000_t202" style="position:absolute;margin-left:268.5pt;margin-top:26.75pt;width:60.pt;height:5.5pt;z-index:-1887427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MOJS1J&amp;MO1.11 </w:t>
                    </w:r>
                    <w:r>
                      <w:rPr>
                        <w:color w:val="000000"/>
                        <w:spacing w:val="0"/>
                        <w:w w:val="100"/>
                        <w:position w:val="0"/>
                        <w:shd w:val="clear" w:color="auto" w:fill="auto"/>
                        <w:lang w:val="hr-HR" w:eastAsia="hr-HR" w:bidi="hr-HR"/>
                      </w:rPr>
                      <w: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157480</wp:posOffset>
              </wp:positionH>
              <wp:positionV relativeFrom="page">
                <wp:posOffset>440055</wp:posOffset>
              </wp:positionV>
              <wp:extent cx="4017010" cy="0"/>
              <wp:wrapNone/>
              <wp:docPr id="1780" name="Shape 178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4pt;margin-top:34.649999999999999pt;width:316.30000000000001pt;height:0;z-index:-251658240;mso-position-horizontal-relative:page;mso-position-vertical-relative:page">
              <v:stroke weight="1.pt"/>
            </v:shape>
          </w:pict>
        </mc:Fallback>
      </mc:AlternateContent>
    </w:r>
  </w:p>
</w:hdr>
</file>

<file path=word/header4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4" behindDoc="1" locked="0" layoutInCell="1" allowOverlap="1">
              <wp:simplePos x="0" y="0"/>
              <wp:positionH relativeFrom="page">
                <wp:posOffset>158750</wp:posOffset>
              </wp:positionH>
              <wp:positionV relativeFrom="page">
                <wp:posOffset>473710</wp:posOffset>
              </wp:positionV>
              <wp:extent cx="393065" cy="64135"/>
              <wp:wrapNone/>
              <wp:docPr id="1783" name="Shape 1783"/>
              <a:graphic xmlns:a="http://schemas.openxmlformats.org/drawingml/2006/main">
                <a:graphicData uri="http://schemas.microsoft.com/office/word/2010/wordprocessingShape">
                  <wps:wsp>
                    <wps:cNvSpPr txBox="1"/>
                    <wps:spPr>
                      <a:xfrm>
                        <a:ext cx="393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wps:txbx>
                    <wps:bodyPr wrap="none" lIns="0" tIns="0" rIns="0" bIns="0">
                      <a:spAutoFit/>
                    </wps:bodyPr>
                  </wps:wsp>
                </a:graphicData>
              </a:graphic>
            </wp:anchor>
          </w:drawing>
        </mc:Choice>
        <mc:Fallback>
          <w:pict>
            <v:shape id="_x0000_s2809" type="#_x0000_t202" style="position:absolute;margin-left:12.5pt;margin-top:37.299999999999997pt;width:30.949999999999999pt;height:5.0499999999999998pt;z-index:-1887426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572770</wp:posOffset>
              </wp:positionV>
              <wp:extent cx="4023360" cy="0"/>
              <wp:wrapNone/>
              <wp:docPr id="1785" name="Shape 178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300000000000001pt;margin-top:45.100000000000001pt;width:316.80000000000001pt;height:0;z-index:-251658240;mso-position-horizontal-relative:page;mso-position-vertical-relative:page">
              <v:stroke weight="1.pt"/>
            </v:shape>
          </w:pict>
        </mc:Fallback>
      </mc:AlternateContent>
    </w:r>
  </w:p>
</w:hdr>
</file>

<file path=word/header4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8" behindDoc="1" locked="0" layoutInCell="1" allowOverlap="1">
              <wp:simplePos x="0" y="0"/>
              <wp:positionH relativeFrom="page">
                <wp:posOffset>158750</wp:posOffset>
              </wp:positionH>
              <wp:positionV relativeFrom="page">
                <wp:posOffset>473710</wp:posOffset>
              </wp:positionV>
              <wp:extent cx="393065" cy="64135"/>
              <wp:wrapNone/>
              <wp:docPr id="1788" name="Shape 1788"/>
              <a:graphic xmlns:a="http://schemas.openxmlformats.org/drawingml/2006/main">
                <a:graphicData uri="http://schemas.microsoft.com/office/word/2010/wordprocessingShape">
                  <wps:wsp>
                    <wps:cNvSpPr txBox="1"/>
                    <wps:spPr>
                      <a:xfrm>
                        <a:ext cx="393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wps:txbx>
                    <wps:bodyPr wrap="none" lIns="0" tIns="0" rIns="0" bIns="0">
                      <a:spAutoFit/>
                    </wps:bodyPr>
                  </wps:wsp>
                </a:graphicData>
              </a:graphic>
            </wp:anchor>
          </w:drawing>
        </mc:Choice>
        <mc:Fallback>
          <w:pict>
            <v:shape id="_x0000_s2814" type="#_x0000_t202" style="position:absolute;margin-left:12.5pt;margin-top:37.299999999999997pt;width:30.949999999999999pt;height:5.0499999999999998pt;z-index:-1887426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572770</wp:posOffset>
              </wp:positionV>
              <wp:extent cx="4023360" cy="0"/>
              <wp:wrapNone/>
              <wp:docPr id="1790" name="Shape 179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300000000000001pt;margin-top:45.100000000000001pt;width:316.80000000000001pt;height:0;z-index:-251658240;mso-position-horizontal-relative:page;mso-position-vertical-relative:page">
              <v:stroke weight="1.pt"/>
            </v:shape>
          </w:pict>
        </mc:Fallback>
      </mc:AlternateContent>
    </w:r>
  </w:p>
</w:hdr>
</file>

<file path=word/header4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2" behindDoc="1" locked="0" layoutInCell="1" allowOverlap="1">
              <wp:simplePos x="0" y="0"/>
              <wp:positionH relativeFrom="page">
                <wp:posOffset>3766185</wp:posOffset>
              </wp:positionH>
              <wp:positionV relativeFrom="page">
                <wp:posOffset>348615</wp:posOffset>
              </wp:positionV>
              <wp:extent cx="393065" cy="60960"/>
              <wp:wrapNone/>
              <wp:docPr id="1793" name="Shape 1793"/>
              <a:graphic xmlns:a="http://schemas.openxmlformats.org/drawingml/2006/main">
                <a:graphicData uri="http://schemas.microsoft.com/office/word/2010/wordprocessingShape">
                  <wps:wsp>
                    <wps:cNvSpPr txBox="1"/>
                    <wps:spPr>
                      <a:xfrm>
                        <a:ext cx="39306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wps:txbx>
                    <wps:bodyPr wrap="none" lIns="0" tIns="0" rIns="0" bIns="0">
                      <a:spAutoFit/>
                    </wps:bodyPr>
                  </wps:wsp>
                </a:graphicData>
              </a:graphic>
            </wp:anchor>
          </w:drawing>
        </mc:Choice>
        <mc:Fallback>
          <w:pict>
            <v:shape id="_x0000_s2819" type="#_x0000_t202" style="position:absolute;margin-left:296.55000000000001pt;margin-top:27.449999999999999pt;width:30.949999999999999pt;height:4.7999999999999998pt;z-index:-1887426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MOLITVA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448945</wp:posOffset>
              </wp:positionV>
              <wp:extent cx="4020185" cy="0"/>
              <wp:wrapNone/>
              <wp:docPr id="1795" name="Shape 179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99999999999999pt;margin-top:35.350000000000001pt;width:316.55000000000001pt;height:0;z-index:-251658240;mso-position-horizontal-relative:page;mso-position-vertical-relative:page">
              <v:stroke weight="1.pt"/>
            </v:shape>
          </w:pict>
        </mc:Fallback>
      </mc:AlternateContent>
    </w:r>
  </w:p>
</w:hdr>
</file>

<file path=word/header4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4" behindDoc="1" locked="0" layoutInCell="1" allowOverlap="1">
              <wp:simplePos x="0" y="0"/>
              <wp:positionH relativeFrom="page">
                <wp:posOffset>3778250</wp:posOffset>
              </wp:positionH>
              <wp:positionV relativeFrom="page">
                <wp:posOffset>345440</wp:posOffset>
              </wp:positionV>
              <wp:extent cx="396240" cy="64135"/>
              <wp:wrapNone/>
              <wp:docPr id="1796" name="Shape 1796"/>
              <a:graphic xmlns:a="http://schemas.openxmlformats.org/drawingml/2006/main">
                <a:graphicData uri="http://schemas.microsoft.com/office/word/2010/wordprocessingShape">
                  <wps:wsp>
                    <wps:cNvSpPr txBox="1"/>
                    <wps:spPr>
                      <a:xfrm>
                        <a:ext cx="396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MOI,IIV,X</w:t>
                          </w:r>
                        </w:p>
                      </w:txbxContent>
                    </wps:txbx>
                    <wps:bodyPr wrap="none" lIns="0" tIns="0" rIns="0" bIns="0">
                      <a:spAutoFit/>
                    </wps:bodyPr>
                  </wps:wsp>
                </a:graphicData>
              </a:graphic>
            </wp:anchor>
          </w:drawing>
        </mc:Choice>
        <mc:Fallback>
          <w:pict>
            <v:shape id="_x0000_s2822" type="#_x0000_t202" style="position:absolute;margin-left:297.5pt;margin-top:27.199999999999999pt;width:31.199999999999999pt;height:5.0499999999999998pt;z-index:-1887426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MOI,IIV,X</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442595</wp:posOffset>
              </wp:positionV>
              <wp:extent cx="4020185" cy="0"/>
              <wp:wrapNone/>
              <wp:docPr id="1798" name="Shape 179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34.850000000000001pt;width:316.55000000000001pt;height:0;z-index:-251658240;mso-position-horizontal-relative:page;mso-position-vertical-relative:page">
              <v:stroke weight="1.pt"/>
            </v:shape>
          </w:pict>
        </mc:Fallback>
      </mc:AlternateContent>
    </w:r>
  </w:p>
</w:hdr>
</file>

<file path=word/header4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6" behindDoc="1" locked="0" layoutInCell="1" allowOverlap="1">
              <wp:simplePos x="0" y="0"/>
              <wp:positionH relativeFrom="page">
                <wp:posOffset>3778250</wp:posOffset>
              </wp:positionH>
              <wp:positionV relativeFrom="page">
                <wp:posOffset>345440</wp:posOffset>
              </wp:positionV>
              <wp:extent cx="396240" cy="64135"/>
              <wp:wrapNone/>
              <wp:docPr id="1799" name="Shape 1799"/>
              <a:graphic xmlns:a="http://schemas.openxmlformats.org/drawingml/2006/main">
                <a:graphicData uri="http://schemas.microsoft.com/office/word/2010/wordprocessingShape">
                  <wps:wsp>
                    <wps:cNvSpPr txBox="1"/>
                    <wps:spPr>
                      <a:xfrm>
                        <a:ext cx="396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MOI,IIV,X</w:t>
                          </w:r>
                        </w:p>
                      </w:txbxContent>
                    </wps:txbx>
                    <wps:bodyPr wrap="none" lIns="0" tIns="0" rIns="0" bIns="0">
                      <a:spAutoFit/>
                    </wps:bodyPr>
                  </wps:wsp>
                </a:graphicData>
              </a:graphic>
            </wp:anchor>
          </w:drawing>
        </mc:Choice>
        <mc:Fallback>
          <w:pict>
            <v:shape id="_x0000_s2825" type="#_x0000_t202" style="position:absolute;margin-left:297.5pt;margin-top:27.199999999999999pt;width:31.199999999999999pt;height:5.0499999999999998pt;z-index:-1887426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MOI,IIV,X</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442595</wp:posOffset>
              </wp:positionV>
              <wp:extent cx="4020185" cy="0"/>
              <wp:wrapNone/>
              <wp:docPr id="1801" name="Shape 180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5pt;margin-top:34.850000000000001pt;width:316.55000000000001pt;height:0;z-index:-251658240;mso-position-horizontal-relative:page;mso-position-vertical-relative:page">
              <v:stroke weight="1.pt"/>
            </v:shape>
          </w:pict>
        </mc:Fallback>
      </mc:AlternateContent>
    </w:r>
  </w:p>
</w:hdr>
</file>

<file path=word/header4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8" behindDoc="1" locked="0" layoutInCell="1" allowOverlap="1">
              <wp:simplePos x="0" y="0"/>
              <wp:positionH relativeFrom="page">
                <wp:posOffset>143510</wp:posOffset>
              </wp:positionH>
              <wp:positionV relativeFrom="page">
                <wp:posOffset>469265</wp:posOffset>
              </wp:positionV>
              <wp:extent cx="1029970" cy="69850"/>
              <wp:wrapNone/>
              <wp:docPr id="1804" name="Shape 1804"/>
              <a:graphic xmlns:a="http://schemas.openxmlformats.org/drawingml/2006/main">
                <a:graphicData uri="http://schemas.microsoft.com/office/word/2010/wordprocessingShape">
                  <wps:wsp>
                    <wps:cNvSpPr txBox="1"/>
                    <wps:spPr>
                      <a:xfrm>
                        <a:ext cx="102997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MOLITVA'MONOTEIZAM</w:t>
                          </w:r>
                        </w:p>
                      </w:txbxContent>
                    </wps:txbx>
                    <wps:bodyPr wrap="none" lIns="0" tIns="0" rIns="0" bIns="0">
                      <a:spAutoFit/>
                    </wps:bodyPr>
                  </wps:wsp>
                </a:graphicData>
              </a:graphic>
            </wp:anchor>
          </w:drawing>
        </mc:Choice>
        <mc:Fallback>
          <w:pict>
            <v:shape id="_x0000_s2830" type="#_x0000_t202" style="position:absolute;margin-left:11.300000000000001pt;margin-top:36.950000000000003pt;width:81.099999999999994pt;height:5.5pt;z-index:-1887426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MOLITVA'MONOTEIZAM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563245</wp:posOffset>
              </wp:positionV>
              <wp:extent cx="4026535" cy="0"/>
              <wp:wrapNone/>
              <wp:docPr id="1806" name="Shape 180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pt;margin-top:44.350000000000001pt;width:317.05000000000001pt;height:0;z-index:-251658240;mso-position-horizontal-relative:page;mso-position-vertical-relative:page">
              <v:stroke weight="1.pt"/>
            </v:shape>
          </w:pict>
        </mc:Fallback>
      </mc:AlternateContent>
    </w:r>
  </w:p>
</w:hdr>
</file>

<file path=word/header4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2" behindDoc="1" locked="0" layoutInCell="1" allowOverlap="1">
              <wp:simplePos x="0" y="0"/>
              <wp:positionH relativeFrom="page">
                <wp:posOffset>143510</wp:posOffset>
              </wp:positionH>
              <wp:positionV relativeFrom="page">
                <wp:posOffset>469265</wp:posOffset>
              </wp:positionV>
              <wp:extent cx="1029970" cy="69850"/>
              <wp:wrapNone/>
              <wp:docPr id="1809" name="Shape 1809"/>
              <a:graphic xmlns:a="http://schemas.openxmlformats.org/drawingml/2006/main">
                <a:graphicData uri="http://schemas.microsoft.com/office/word/2010/wordprocessingShape">
                  <wps:wsp>
                    <wps:cNvSpPr txBox="1"/>
                    <wps:spPr>
                      <a:xfrm>
                        <a:ext cx="102997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MOLITVA'MONOTEIZAM</w:t>
                          </w:r>
                        </w:p>
                      </w:txbxContent>
                    </wps:txbx>
                    <wps:bodyPr wrap="none" lIns="0" tIns="0" rIns="0" bIns="0">
                      <a:spAutoFit/>
                    </wps:bodyPr>
                  </wps:wsp>
                </a:graphicData>
              </a:graphic>
            </wp:anchor>
          </w:drawing>
        </mc:Choice>
        <mc:Fallback>
          <w:pict>
            <v:shape id="_x0000_s2835" type="#_x0000_t202" style="position:absolute;margin-left:11.300000000000001pt;margin-top:36.950000000000003pt;width:81.099999999999994pt;height:5.5pt;z-index:-1887426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MOLITVA'MONOTEIZAM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563245</wp:posOffset>
              </wp:positionV>
              <wp:extent cx="4026535" cy="0"/>
              <wp:wrapNone/>
              <wp:docPr id="1811" name="Shape 181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pt;margin-top:44.350000000000001pt;width:317.05000000000001pt;height:0;z-index:-251658240;mso-position-horizontal-relative:page;mso-position-vertical-relative:page">
              <v:stroke weight="1.pt"/>
            </v:shape>
          </w:pict>
        </mc:Fallback>
      </mc:AlternateContent>
    </w:r>
  </w:p>
</w:hdr>
</file>

<file path=word/header4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6" behindDoc="1" locked="0" layoutInCell="1" allowOverlap="1">
              <wp:simplePos x="0" y="0"/>
              <wp:positionH relativeFrom="page">
                <wp:posOffset>154305</wp:posOffset>
              </wp:positionH>
              <wp:positionV relativeFrom="page">
                <wp:posOffset>470535</wp:posOffset>
              </wp:positionV>
              <wp:extent cx="597535" cy="64135"/>
              <wp:wrapNone/>
              <wp:docPr id="1814" name="Shape 1814"/>
              <a:graphic xmlns:a="http://schemas.openxmlformats.org/drawingml/2006/main">
                <a:graphicData uri="http://schemas.microsoft.com/office/word/2010/wordprocessingShape">
                  <wps:wsp>
                    <wps:cNvSpPr txBox="1"/>
                    <wps:spPr>
                      <a:xfrm>
                        <a:ext cx="5975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wps:txbx>
                    <wps:bodyPr wrap="none" lIns="0" tIns="0" rIns="0" bIns="0">
                      <a:spAutoFit/>
                    </wps:bodyPr>
                  </wps:wsp>
                </a:graphicData>
              </a:graphic>
            </wp:anchor>
          </w:drawing>
        </mc:Choice>
        <mc:Fallback>
          <w:pict>
            <v:shape id="_x0000_s2840" type="#_x0000_t202" style="position:absolute;margin-left:12.15pt;margin-top:37.049999999999997pt;width:47.049999999999997pt;height:5.0499999999999998pt;z-index:-1887426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561975</wp:posOffset>
              </wp:positionV>
              <wp:extent cx="4023360" cy="0"/>
              <wp:wrapNone/>
              <wp:docPr id="1816" name="Shape 181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4.25pt;width:316.80000000000001pt;height:0;z-index:-251658240;mso-position-horizontal-relative:page;mso-position-vertical-relative:page">
              <v:stroke weight="1.pt"/>
            </v:shape>
          </w:pict>
        </mc:Fallback>
      </mc:AlternateContent>
    </w:r>
  </w:p>
</w:hdr>
</file>

<file path=word/header4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0" behindDoc="1" locked="0" layoutInCell="1" allowOverlap="1">
              <wp:simplePos x="0" y="0"/>
              <wp:positionH relativeFrom="page">
                <wp:posOffset>154305</wp:posOffset>
              </wp:positionH>
              <wp:positionV relativeFrom="page">
                <wp:posOffset>470535</wp:posOffset>
              </wp:positionV>
              <wp:extent cx="597535" cy="64135"/>
              <wp:wrapNone/>
              <wp:docPr id="1819" name="Shape 1819"/>
              <a:graphic xmlns:a="http://schemas.openxmlformats.org/drawingml/2006/main">
                <a:graphicData uri="http://schemas.microsoft.com/office/word/2010/wordprocessingShape">
                  <wps:wsp>
                    <wps:cNvSpPr txBox="1"/>
                    <wps:spPr>
                      <a:xfrm>
                        <a:ext cx="5975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wps:txbx>
                    <wps:bodyPr wrap="none" lIns="0" tIns="0" rIns="0" bIns="0">
                      <a:spAutoFit/>
                    </wps:bodyPr>
                  </wps:wsp>
                </a:graphicData>
              </a:graphic>
            </wp:anchor>
          </w:drawing>
        </mc:Choice>
        <mc:Fallback>
          <w:pict>
            <v:shape id="_x0000_s2845" type="#_x0000_t202" style="position:absolute;margin-left:12.15pt;margin-top:37.049999999999997pt;width:47.049999999999997pt;height:5.0499999999999998pt;z-index:-1887426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561975</wp:posOffset>
              </wp:positionV>
              <wp:extent cx="4023360" cy="0"/>
              <wp:wrapNone/>
              <wp:docPr id="1821" name="Shape 182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4.25pt;width:316.80000000000001pt;height:0;z-index:-251658240;mso-position-horizontal-relative:page;mso-position-vertical-relative:page">
              <v:stroke weight="1.pt"/>
            </v:shape>
          </w:pict>
        </mc:Fallback>
      </mc:AlternateContent>
    </w:r>
  </w:p>
</w:hdr>
</file>

<file path=word/header4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4" behindDoc="1" locked="0" layoutInCell="1" allowOverlap="1">
              <wp:simplePos x="0" y="0"/>
              <wp:positionH relativeFrom="page">
                <wp:posOffset>3571240</wp:posOffset>
              </wp:positionH>
              <wp:positionV relativeFrom="page">
                <wp:posOffset>342900</wp:posOffset>
              </wp:positionV>
              <wp:extent cx="597535" cy="67310"/>
              <wp:wrapNone/>
              <wp:docPr id="1824" name="Shape 1824"/>
              <a:graphic xmlns:a="http://schemas.openxmlformats.org/drawingml/2006/main">
                <a:graphicData uri="http://schemas.microsoft.com/office/word/2010/wordprocessingShape">
                  <wps:wsp>
                    <wps:cNvSpPr txBox="1"/>
                    <wps:spPr>
                      <a:xfrm>
                        <a:ext cx="5975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wps:txbx>
                    <wps:bodyPr wrap="none" lIns="0" tIns="0" rIns="0" bIns="0">
                      <a:spAutoFit/>
                    </wps:bodyPr>
                  </wps:wsp>
                </a:graphicData>
              </a:graphic>
            </wp:anchor>
          </w:drawing>
        </mc:Choice>
        <mc:Fallback>
          <w:pict>
            <v:shape id="_x0000_s2850" type="#_x0000_t202" style="position:absolute;margin-left:281.19999999999999pt;margin-top:27.pt;width:47.049999999999997pt;height:5.2999999999999998pt;z-index:-1887426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443230</wp:posOffset>
              </wp:positionV>
              <wp:extent cx="4026535" cy="0"/>
              <wp:wrapNone/>
              <wp:docPr id="1826" name="Shape 182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99999999999999pt;margin-top:34.899999999999999pt;width:317.05000000000001pt;height:0;z-index:-251658240;mso-position-horizontal-relative:page;mso-position-vertical-relative:page">
              <v:stroke weight="1.pt"/>
            </v:shape>
          </w:pict>
        </mc:Fallback>
      </mc:AlternateContent>
    </w:r>
  </w:p>
</w:hdr>
</file>

<file path=word/header4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6" behindDoc="1" locked="0" layoutInCell="1" allowOverlap="1">
              <wp:simplePos x="0" y="0"/>
              <wp:positionH relativeFrom="page">
                <wp:posOffset>153035</wp:posOffset>
              </wp:positionH>
              <wp:positionV relativeFrom="page">
                <wp:posOffset>469265</wp:posOffset>
              </wp:positionV>
              <wp:extent cx="944880" cy="69850"/>
              <wp:wrapNone/>
              <wp:docPr id="1827" name="Shape 1827"/>
              <a:graphic xmlns:a="http://schemas.openxmlformats.org/drawingml/2006/main">
                <a:graphicData uri="http://schemas.microsoft.com/office/word/2010/wordprocessingShape">
                  <wps:wsp>
                    <wps:cNvSpPr txBox="1"/>
                    <wps:spPr>
                      <a:xfrm>
                        <a:ext cx="94488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MONOTEIZAM/MORAL</w:t>
                          </w:r>
                        </w:p>
                      </w:txbxContent>
                    </wps:txbx>
                    <wps:bodyPr wrap="none" lIns="0" tIns="0" rIns="0" bIns="0">
                      <a:spAutoFit/>
                    </wps:bodyPr>
                  </wps:wsp>
                </a:graphicData>
              </a:graphic>
            </wp:anchor>
          </w:drawing>
        </mc:Choice>
        <mc:Fallback>
          <w:pict>
            <v:shape id="_x0000_s2853" type="#_x0000_t202" style="position:absolute;margin-left:12.050000000000001pt;margin-top:36.950000000000003pt;width:74.400000000000006pt;height:5.5pt;z-index:-1887426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565150</wp:posOffset>
              </wp:positionV>
              <wp:extent cx="4026535" cy="0"/>
              <wp:wrapNone/>
              <wp:docPr id="1829" name="Shape 182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50000000000001pt;margin-top:44.5pt;width:317.05000000000001pt;height:0;z-index:-251658240;mso-position-horizontal-relative:page;mso-position-vertical-relative:page">
              <v:stroke weight="1.pt"/>
            </v:shape>
          </w:pict>
        </mc:Fallback>
      </mc:AlternateContent>
    </w:r>
  </w:p>
</w:hdr>
</file>

<file path=word/header4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0" behindDoc="1" locked="0" layoutInCell="1" allowOverlap="1">
              <wp:simplePos x="0" y="0"/>
              <wp:positionH relativeFrom="page">
                <wp:posOffset>153035</wp:posOffset>
              </wp:positionH>
              <wp:positionV relativeFrom="page">
                <wp:posOffset>469265</wp:posOffset>
              </wp:positionV>
              <wp:extent cx="944880" cy="69850"/>
              <wp:wrapNone/>
              <wp:docPr id="1832" name="Shape 1832"/>
              <a:graphic xmlns:a="http://schemas.openxmlformats.org/drawingml/2006/main">
                <a:graphicData uri="http://schemas.microsoft.com/office/word/2010/wordprocessingShape">
                  <wps:wsp>
                    <wps:cNvSpPr txBox="1"/>
                    <wps:spPr>
                      <a:xfrm>
                        <a:ext cx="94488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MONOTEIZAM/MORAL</w:t>
                          </w:r>
                        </w:p>
                      </w:txbxContent>
                    </wps:txbx>
                    <wps:bodyPr wrap="none" lIns="0" tIns="0" rIns="0" bIns="0">
                      <a:spAutoFit/>
                    </wps:bodyPr>
                  </wps:wsp>
                </a:graphicData>
              </a:graphic>
            </wp:anchor>
          </w:drawing>
        </mc:Choice>
        <mc:Fallback>
          <w:pict>
            <v:shape id="_x0000_s2858" type="#_x0000_t202" style="position:absolute;margin-left:12.050000000000001pt;margin-top:36.950000000000003pt;width:74.400000000000006pt;height:5.5pt;z-index:-1887426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565150</wp:posOffset>
              </wp:positionV>
              <wp:extent cx="4026535" cy="0"/>
              <wp:wrapNone/>
              <wp:docPr id="1834" name="Shape 183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50000000000001pt;margin-top:44.5pt;width:317.05000000000001pt;height:0;z-index:-251658240;mso-position-horizontal-relative:page;mso-position-vertical-relative:page">
              <v:stroke weight="1.pt"/>
            </v:shape>
          </w:pict>
        </mc:Fallback>
      </mc:AlternateContent>
    </w:r>
  </w:p>
</w:hdr>
</file>

<file path=word/header4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4" behindDoc="1" locked="0" layoutInCell="1" allowOverlap="1">
              <wp:simplePos x="0" y="0"/>
              <wp:positionH relativeFrom="page">
                <wp:posOffset>3564890</wp:posOffset>
              </wp:positionH>
              <wp:positionV relativeFrom="page">
                <wp:posOffset>462915</wp:posOffset>
              </wp:positionV>
              <wp:extent cx="594360" cy="64135"/>
              <wp:wrapNone/>
              <wp:docPr id="1837" name="Shape 1837"/>
              <a:graphic xmlns:a="http://schemas.openxmlformats.org/drawingml/2006/main">
                <a:graphicData uri="http://schemas.microsoft.com/office/word/2010/wordprocessingShape">
                  <wps:wsp>
                    <wps:cNvSpPr txBox="1"/>
                    <wps:spPr>
                      <a:xfrm>
                        <a:ext cx="5943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wps:txbx>
                    <wps:bodyPr wrap="none" lIns="0" tIns="0" rIns="0" bIns="0">
                      <a:spAutoFit/>
                    </wps:bodyPr>
                  </wps:wsp>
                </a:graphicData>
              </a:graphic>
            </wp:anchor>
          </w:drawing>
        </mc:Choice>
        <mc:Fallback>
          <w:pict>
            <v:shape id="_x0000_s2863" type="#_x0000_t202" style="position:absolute;margin-left:280.69999999999999pt;margin-top:36.450000000000003pt;width:46.799999999999997pt;height:5.0499999999999998pt;z-index:-1887426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MONOTEIZAM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561975</wp:posOffset>
              </wp:positionV>
              <wp:extent cx="4017010" cy="0"/>
              <wp:wrapNone/>
              <wp:docPr id="1839" name="Shape 183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99999999999999pt;margin-top:44.25pt;width:316.30000000000001pt;height:0;z-index:-251658240;mso-position-horizontal-relative:page;mso-position-vertical-relative:page">
              <v:stroke weight="1.pt"/>
            </v:shape>
          </w:pict>
        </mc:Fallback>
      </mc:AlternateContent>
    </w:r>
  </w:p>
</w:hdr>
</file>

<file path=word/header4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8" behindDoc="1" locked="0" layoutInCell="1" allowOverlap="1">
              <wp:simplePos x="0" y="0"/>
              <wp:positionH relativeFrom="page">
                <wp:posOffset>143510</wp:posOffset>
              </wp:positionH>
              <wp:positionV relativeFrom="page">
                <wp:posOffset>469265</wp:posOffset>
              </wp:positionV>
              <wp:extent cx="313690" cy="64135"/>
              <wp:wrapNone/>
              <wp:docPr id="1842" name="Shape 1842"/>
              <a:graphic xmlns:a="http://schemas.openxmlformats.org/drawingml/2006/main">
                <a:graphicData uri="http://schemas.microsoft.com/office/word/2010/wordprocessingShape">
                  <wps:wsp>
                    <wps:cNvSpPr txBox="1"/>
                    <wps:spPr>
                      <a:xfrm>
                        <a:ext cx="3136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wps:txbx>
                    <wps:bodyPr wrap="none" lIns="0" tIns="0" rIns="0" bIns="0">
                      <a:spAutoFit/>
                    </wps:bodyPr>
                  </wps:wsp>
                </a:graphicData>
              </a:graphic>
            </wp:anchor>
          </w:drawing>
        </mc:Choice>
        <mc:Fallback>
          <w:pict>
            <v:shape id="_x0000_s2868" type="#_x0000_t202" style="position:absolute;margin-left:11.300000000000001pt;margin-top:36.950000000000003pt;width:24.699999999999999pt;height:5.0499999999999998pt;z-index:-1887426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561975</wp:posOffset>
              </wp:positionV>
              <wp:extent cx="4017010" cy="0"/>
              <wp:wrapNone/>
              <wp:docPr id="1844" name="Shape 184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pt;margin-top:44.25pt;width:316.30000000000001pt;height:0;z-index:-251658240;mso-position-horizontal-relative:page;mso-position-vertical-relative:page">
              <v:stroke weight="1.pt"/>
            </v:shape>
          </w:pict>
        </mc:Fallback>
      </mc:AlternateContent>
    </w:r>
  </w:p>
</w:hdr>
</file>

<file path=word/header4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2" behindDoc="1" locked="0" layoutInCell="1" allowOverlap="1">
              <wp:simplePos x="0" y="0"/>
              <wp:positionH relativeFrom="page">
                <wp:posOffset>143510</wp:posOffset>
              </wp:positionH>
              <wp:positionV relativeFrom="page">
                <wp:posOffset>469265</wp:posOffset>
              </wp:positionV>
              <wp:extent cx="313690" cy="64135"/>
              <wp:wrapNone/>
              <wp:docPr id="1847" name="Shape 1847"/>
              <a:graphic xmlns:a="http://schemas.openxmlformats.org/drawingml/2006/main">
                <a:graphicData uri="http://schemas.microsoft.com/office/word/2010/wordprocessingShape">
                  <wps:wsp>
                    <wps:cNvSpPr txBox="1"/>
                    <wps:spPr>
                      <a:xfrm>
                        <a:ext cx="3136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wps:txbx>
                    <wps:bodyPr wrap="none" lIns="0" tIns="0" rIns="0" bIns="0">
                      <a:spAutoFit/>
                    </wps:bodyPr>
                  </wps:wsp>
                </a:graphicData>
              </a:graphic>
            </wp:anchor>
          </w:drawing>
        </mc:Choice>
        <mc:Fallback>
          <w:pict>
            <v:shape id="_x0000_s2873" type="#_x0000_t202" style="position:absolute;margin-left:11.300000000000001pt;margin-top:36.950000000000003pt;width:24.699999999999999pt;height:5.0499999999999998pt;z-index:-1887426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561975</wp:posOffset>
              </wp:positionV>
              <wp:extent cx="4017010" cy="0"/>
              <wp:wrapNone/>
              <wp:docPr id="1849" name="Shape 184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pt;margin-top:44.25pt;width:316.30000000000001pt;height:0;z-index:-251658240;mso-position-horizontal-relative:page;mso-position-vertical-relative:page">
              <v:stroke weight="1.pt"/>
            </v:shape>
          </w:pict>
        </mc:Fallback>
      </mc:AlternateContent>
    </w:r>
  </w:p>
</w:hdr>
</file>

<file path=word/header4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6" behindDoc="1" locked="0" layoutInCell="1" allowOverlap="1">
              <wp:simplePos x="0" y="0"/>
              <wp:positionH relativeFrom="page">
                <wp:posOffset>3862070</wp:posOffset>
              </wp:positionH>
              <wp:positionV relativeFrom="page">
                <wp:posOffset>470535</wp:posOffset>
              </wp:positionV>
              <wp:extent cx="311150" cy="60960"/>
              <wp:wrapNone/>
              <wp:docPr id="1852" name="Shape 1852"/>
              <a:graphic xmlns:a="http://schemas.openxmlformats.org/drawingml/2006/main">
                <a:graphicData uri="http://schemas.microsoft.com/office/word/2010/wordprocessingShape">
                  <wps:wsp>
                    <wps:cNvSpPr txBox="1"/>
                    <wps:spPr>
                      <a:xfrm>
                        <a:ext cx="3111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wps:txbx>
                    <wps:bodyPr wrap="none" lIns="0" tIns="0" rIns="0" bIns="0">
                      <a:spAutoFit/>
                    </wps:bodyPr>
                  </wps:wsp>
                </a:graphicData>
              </a:graphic>
            </wp:anchor>
          </w:drawing>
        </mc:Choice>
        <mc:Fallback>
          <w:pict>
            <v:shape id="_x0000_s2878" type="#_x0000_t202" style="position:absolute;margin-left:304.10000000000002pt;margin-top:37.049999999999997pt;width:24.5pt;height:4.7999999999999998pt;z-index:-1887426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566420</wp:posOffset>
              </wp:positionV>
              <wp:extent cx="4020185" cy="0"/>
              <wp:wrapNone/>
              <wp:docPr id="1854" name="Shape 185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00000000000001pt;margin-top:44.600000000000001pt;width:316.55000000000001pt;height:0;z-index:-251658240;mso-position-horizontal-relative:page;mso-position-vertical-relative:page">
              <v:stroke weight="1.pt"/>
            </v:shape>
          </w:pict>
        </mc:Fallback>
      </mc:AlternateContent>
    </w:r>
  </w:p>
</w:hdr>
</file>

<file path=word/header4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0" behindDoc="1" locked="0" layoutInCell="1" allowOverlap="1">
              <wp:simplePos x="0" y="0"/>
              <wp:positionH relativeFrom="page">
                <wp:posOffset>149860</wp:posOffset>
              </wp:positionH>
              <wp:positionV relativeFrom="page">
                <wp:posOffset>469265</wp:posOffset>
              </wp:positionV>
              <wp:extent cx="316865" cy="67310"/>
              <wp:wrapNone/>
              <wp:docPr id="1857" name="Shape 1857"/>
              <a:graphic xmlns:a="http://schemas.openxmlformats.org/drawingml/2006/main">
                <a:graphicData uri="http://schemas.microsoft.com/office/word/2010/wordprocessingShape">
                  <wps:wsp>
                    <wps:cNvSpPr txBox="1"/>
                    <wps:spPr>
                      <a:xfrm>
                        <a:ext cx="3168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wps:txbx>
                    <wps:bodyPr wrap="none" lIns="0" tIns="0" rIns="0" bIns="0">
                      <a:spAutoFit/>
                    </wps:bodyPr>
                  </wps:wsp>
                </a:graphicData>
              </a:graphic>
            </wp:anchor>
          </w:drawing>
        </mc:Choice>
        <mc:Fallback>
          <w:pict>
            <v:shape id="_x0000_s2883" type="#_x0000_t202" style="position:absolute;margin-left:11.800000000000001pt;margin-top:36.950000000000003pt;width:24.949999999999999pt;height:5.2999999999999998pt;z-index:-1887426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568325</wp:posOffset>
              </wp:positionV>
              <wp:extent cx="4026535" cy="0"/>
              <wp:wrapNone/>
              <wp:docPr id="1859" name="Shape 185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50000000000001pt;margin-top:44.75pt;width:317.05000000000001pt;height:0;z-index:-251658240;mso-position-horizontal-relative:page;mso-position-vertical-relative:page">
              <v:stroke weight="1.pt"/>
            </v:shape>
          </w:pict>
        </mc:Fallback>
      </mc:AlternateContent>
    </w:r>
  </w:p>
</w:hdr>
</file>

<file path=word/header4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4" behindDoc="1" locked="0" layoutInCell="1" allowOverlap="1">
              <wp:simplePos x="0" y="0"/>
              <wp:positionH relativeFrom="page">
                <wp:posOffset>149860</wp:posOffset>
              </wp:positionH>
              <wp:positionV relativeFrom="page">
                <wp:posOffset>469265</wp:posOffset>
              </wp:positionV>
              <wp:extent cx="316865" cy="67310"/>
              <wp:wrapNone/>
              <wp:docPr id="1862" name="Shape 1862"/>
              <a:graphic xmlns:a="http://schemas.openxmlformats.org/drawingml/2006/main">
                <a:graphicData uri="http://schemas.microsoft.com/office/word/2010/wordprocessingShape">
                  <wps:wsp>
                    <wps:cNvSpPr txBox="1"/>
                    <wps:spPr>
                      <a:xfrm>
                        <a:ext cx="3168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wps:txbx>
                    <wps:bodyPr wrap="none" lIns="0" tIns="0" rIns="0" bIns="0">
                      <a:spAutoFit/>
                    </wps:bodyPr>
                  </wps:wsp>
                </a:graphicData>
              </a:graphic>
            </wp:anchor>
          </w:drawing>
        </mc:Choice>
        <mc:Fallback>
          <w:pict>
            <v:shape id="_x0000_s2888" type="#_x0000_t202" style="position:absolute;margin-left:11.800000000000001pt;margin-top:36.950000000000003pt;width:24.949999999999999pt;height:5.2999999999999998pt;z-index:-1887426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568325</wp:posOffset>
              </wp:positionV>
              <wp:extent cx="4026535" cy="0"/>
              <wp:wrapNone/>
              <wp:docPr id="1864" name="Shape 186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50000000000001pt;margin-top:44.75pt;width:317.05000000000001pt;height:0;z-index:-251658240;mso-position-horizontal-relative:page;mso-position-vertical-relative:page">
              <v:stroke weight="1.pt"/>
            </v:shape>
          </w:pict>
        </mc:Fallback>
      </mc:AlternateContent>
    </w:r>
  </w:p>
</w:hdr>
</file>

<file path=word/header4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8" behindDoc="1" locked="0" layoutInCell="1" allowOverlap="1">
              <wp:simplePos x="0" y="0"/>
              <wp:positionH relativeFrom="page">
                <wp:posOffset>3862070</wp:posOffset>
              </wp:positionH>
              <wp:positionV relativeFrom="page">
                <wp:posOffset>466090</wp:posOffset>
              </wp:positionV>
              <wp:extent cx="313690" cy="64135"/>
              <wp:wrapNone/>
              <wp:docPr id="1867" name="Shape 1867"/>
              <a:graphic xmlns:a="http://schemas.openxmlformats.org/drawingml/2006/main">
                <a:graphicData uri="http://schemas.microsoft.com/office/word/2010/wordprocessingShape">
                  <wps:wsp>
                    <wps:cNvSpPr txBox="1"/>
                    <wps:spPr>
                      <a:xfrm>
                        <a:ext cx="3136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wps:txbx>
                    <wps:bodyPr wrap="none" lIns="0" tIns="0" rIns="0" bIns="0">
                      <a:spAutoFit/>
                    </wps:bodyPr>
                  </wps:wsp>
                </a:graphicData>
              </a:graphic>
            </wp:anchor>
          </w:drawing>
        </mc:Choice>
        <mc:Fallback>
          <w:pict>
            <v:shape id="_x0000_s2893" type="#_x0000_t202" style="position:absolute;margin-left:304.10000000000002pt;margin-top:36.700000000000003pt;width:24.699999999999999pt;height:5.0499999999999998pt;z-index:-1887426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MORAL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565150</wp:posOffset>
              </wp:positionV>
              <wp:extent cx="4017010" cy="0"/>
              <wp:wrapNone/>
              <wp:docPr id="1869" name="Shape 186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4.5pt;width:316.30000000000001pt;height:0;z-index:-251658240;mso-position-horizontal-relative:page;mso-position-vertical-relative:page">
              <v:stroke weight="1.pt"/>
            </v:shape>
          </w:pict>
        </mc:Fallback>
      </mc:AlternateContent>
    </w:r>
  </w:p>
</w:hdr>
</file>

<file path=word/header4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2" behindDoc="1" locked="0" layoutInCell="1" allowOverlap="1">
              <wp:simplePos x="0" y="0"/>
              <wp:positionH relativeFrom="page">
                <wp:posOffset>149860</wp:posOffset>
              </wp:positionH>
              <wp:positionV relativeFrom="page">
                <wp:posOffset>452120</wp:posOffset>
              </wp:positionV>
              <wp:extent cx="567055" cy="82550"/>
              <wp:wrapNone/>
              <wp:docPr id="1872" name="Shape 1872"/>
              <a:graphic xmlns:a="http://schemas.openxmlformats.org/drawingml/2006/main">
                <a:graphicData uri="http://schemas.microsoft.com/office/word/2010/wordprocessingShape">
                  <wps:wsp>
                    <wps:cNvSpPr txBox="1"/>
                    <wps:spPr>
                      <a:xfrm>
                        <a:ext cx="56705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MUČEN IŠTVO</w:t>
                          </w:r>
                        </w:p>
                      </w:txbxContent>
                    </wps:txbx>
                    <wps:bodyPr wrap="none" lIns="0" tIns="0" rIns="0" bIns="0">
                      <a:spAutoFit/>
                    </wps:bodyPr>
                  </wps:wsp>
                </a:graphicData>
              </a:graphic>
            </wp:anchor>
          </w:drawing>
        </mc:Choice>
        <mc:Fallback>
          <w:pict>
            <v:shape id="_x0000_s2898" type="#_x0000_t202" style="position:absolute;margin-left:11.800000000000001pt;margin-top:35.600000000000001pt;width:44.649999999999999pt;height:6.5pt;z-index:-1887426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MUČEN 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561975</wp:posOffset>
              </wp:positionV>
              <wp:extent cx="4017010" cy="0"/>
              <wp:wrapNone/>
              <wp:docPr id="1874" name="Shape 187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4.25pt;width:316.30000000000001pt;height:0;z-index:-251658240;mso-position-horizontal-relative:page;mso-position-vertical-relative:page">
              <v:stroke weight="1.pt"/>
            </v:shape>
          </w:pict>
        </mc:Fallback>
      </mc:AlternateContent>
    </w:r>
  </w:p>
</w:hdr>
</file>

<file path=word/header4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6" behindDoc="1" locked="0" layoutInCell="1" allowOverlap="1">
              <wp:simplePos x="0" y="0"/>
              <wp:positionH relativeFrom="page">
                <wp:posOffset>149860</wp:posOffset>
              </wp:positionH>
              <wp:positionV relativeFrom="page">
                <wp:posOffset>452120</wp:posOffset>
              </wp:positionV>
              <wp:extent cx="567055" cy="82550"/>
              <wp:wrapNone/>
              <wp:docPr id="1877" name="Shape 1877"/>
              <a:graphic xmlns:a="http://schemas.openxmlformats.org/drawingml/2006/main">
                <a:graphicData uri="http://schemas.microsoft.com/office/word/2010/wordprocessingShape">
                  <wps:wsp>
                    <wps:cNvSpPr txBox="1"/>
                    <wps:spPr>
                      <a:xfrm>
                        <a:ext cx="56705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MUČEN IŠTVO</w:t>
                          </w:r>
                        </w:p>
                      </w:txbxContent>
                    </wps:txbx>
                    <wps:bodyPr wrap="none" lIns="0" tIns="0" rIns="0" bIns="0">
                      <a:spAutoFit/>
                    </wps:bodyPr>
                  </wps:wsp>
                </a:graphicData>
              </a:graphic>
            </wp:anchor>
          </w:drawing>
        </mc:Choice>
        <mc:Fallback>
          <w:pict>
            <v:shape id="_x0000_s2903" type="#_x0000_t202" style="position:absolute;margin-left:11.800000000000001pt;margin-top:35.600000000000001pt;width:44.649999999999999pt;height:6.5pt;z-index:-1887426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MUČEN 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561975</wp:posOffset>
              </wp:positionV>
              <wp:extent cx="4017010" cy="0"/>
              <wp:wrapNone/>
              <wp:docPr id="1879" name="Shape 187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4.25pt;width:316.30000000000001pt;height:0;z-index:-251658240;mso-position-horizontal-relative:page;mso-position-vertical-relative:page">
              <v:stroke weight="1.pt"/>
            </v:shape>
          </w:pict>
        </mc:Fallback>
      </mc:AlternateContent>
    </w:r>
  </w:p>
</w:hdr>
</file>

<file path=word/header4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0" behindDoc="1" locked="0" layoutInCell="1" allowOverlap="1">
              <wp:simplePos x="0" y="0"/>
              <wp:positionH relativeFrom="page">
                <wp:posOffset>3249930</wp:posOffset>
              </wp:positionH>
              <wp:positionV relativeFrom="page">
                <wp:posOffset>450850</wp:posOffset>
              </wp:positionV>
              <wp:extent cx="911225" cy="85090"/>
              <wp:wrapNone/>
              <wp:docPr id="1882" name="Shape 1882"/>
              <a:graphic xmlns:a="http://schemas.openxmlformats.org/drawingml/2006/main">
                <a:graphicData uri="http://schemas.microsoft.com/office/word/2010/wordprocessingShape">
                  <wps:wsp>
                    <wps:cNvSpPr txBox="1"/>
                    <wps:spPr>
                      <a:xfrm>
                        <a:ext cx="91122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MORAL'MUČENIŠTVO</w:t>
                          </w:r>
                        </w:p>
                      </w:txbxContent>
                    </wps:txbx>
                    <wps:bodyPr wrap="none" lIns="0" tIns="0" rIns="0" bIns="0">
                      <a:spAutoFit/>
                    </wps:bodyPr>
                  </wps:wsp>
                </a:graphicData>
              </a:graphic>
            </wp:anchor>
          </w:drawing>
        </mc:Choice>
        <mc:Fallback>
          <w:pict>
            <v:shape id="_x0000_s2908" type="#_x0000_t202" style="position:absolute;margin-left:255.90000000000001pt;margin-top:35.5pt;width:71.75pt;height:6.7000000000000002pt;z-index:-1887426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MORAL'MUČENIŠTVO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568325</wp:posOffset>
              </wp:positionV>
              <wp:extent cx="4020185" cy="0"/>
              <wp:wrapNone/>
              <wp:docPr id="1884" name="Shape 188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4.75pt;width:316.55000000000001pt;height:0;z-index:-251658240;mso-position-horizontal-relative:page;mso-position-vertical-relative:page">
              <v:stroke weight="1.pt"/>
            </v:shape>
          </w:pict>
        </mc:Fallback>
      </mc:AlternateContent>
    </w:r>
  </w:p>
</w:hdr>
</file>

<file path=word/header4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4" behindDoc="1" locked="0" layoutInCell="1" allowOverlap="1">
              <wp:simplePos x="0" y="0"/>
              <wp:positionH relativeFrom="page">
                <wp:posOffset>2690495</wp:posOffset>
              </wp:positionH>
              <wp:positionV relativeFrom="page">
                <wp:posOffset>327660</wp:posOffset>
              </wp:positionV>
              <wp:extent cx="1456690" cy="82550"/>
              <wp:wrapNone/>
              <wp:docPr id="1887" name="Shape 1887"/>
              <a:graphic xmlns:a="http://schemas.openxmlformats.org/drawingml/2006/main">
                <a:graphicData uri="http://schemas.microsoft.com/office/word/2010/wordprocessingShape">
                  <wps:wsp>
                    <wps:cNvSpPr txBox="1"/>
                    <wps:spPr>
                      <a:xfrm>
                        <a:ext cx="14566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MIJČENIŠTVO/MUFTIJA/MUHAMED</w:t>
                          </w:r>
                        </w:p>
                      </w:txbxContent>
                    </wps:txbx>
                    <wps:bodyPr wrap="none" lIns="0" tIns="0" rIns="0" bIns="0">
                      <a:spAutoFit/>
                    </wps:bodyPr>
                  </wps:wsp>
                </a:graphicData>
              </a:graphic>
            </wp:anchor>
          </w:drawing>
        </mc:Choice>
        <mc:Fallback>
          <w:pict>
            <v:shape id="_x0000_s2913" type="#_x0000_t202" style="position:absolute;margin-left:211.84999999999999pt;margin-top:25.800000000000001pt;width:114.7pt;height:6.5pt;z-index:-1887426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MIJČENIŠTVO/MUFTIJA/MUHAMED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135890</wp:posOffset>
              </wp:positionH>
              <wp:positionV relativeFrom="page">
                <wp:posOffset>441960</wp:posOffset>
              </wp:positionV>
              <wp:extent cx="4017010" cy="0"/>
              <wp:wrapNone/>
              <wp:docPr id="1889" name="Shape 188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0.699999999999999pt;margin-top:34.799999999999997pt;width:316.30000000000001pt;height:0;z-index:-251658240;mso-position-horizontal-relative:page;mso-position-vertical-relative:page">
              <v:stroke weight="1.pt"/>
            </v:shape>
          </w:pict>
        </mc:Fallback>
      </mc:AlternateContent>
    </w:r>
  </w:p>
</w:hdr>
</file>

<file path=word/header4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6" behindDoc="1" locked="0" layoutInCell="1" allowOverlap="1">
              <wp:simplePos x="0" y="0"/>
              <wp:positionH relativeFrom="page">
                <wp:posOffset>2690495</wp:posOffset>
              </wp:positionH>
              <wp:positionV relativeFrom="page">
                <wp:posOffset>327660</wp:posOffset>
              </wp:positionV>
              <wp:extent cx="1456690" cy="82550"/>
              <wp:wrapNone/>
              <wp:docPr id="1890" name="Shape 1890"/>
              <a:graphic xmlns:a="http://schemas.openxmlformats.org/drawingml/2006/main">
                <a:graphicData uri="http://schemas.microsoft.com/office/word/2010/wordprocessingShape">
                  <wps:wsp>
                    <wps:cNvSpPr txBox="1"/>
                    <wps:spPr>
                      <a:xfrm>
                        <a:ext cx="14566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MIJČENIŠTVO/MUFTIJA/MUHAMED</w:t>
                          </w:r>
                        </w:p>
                      </w:txbxContent>
                    </wps:txbx>
                    <wps:bodyPr wrap="none" lIns="0" tIns="0" rIns="0" bIns="0">
                      <a:spAutoFit/>
                    </wps:bodyPr>
                  </wps:wsp>
                </a:graphicData>
              </a:graphic>
            </wp:anchor>
          </w:drawing>
        </mc:Choice>
        <mc:Fallback>
          <w:pict>
            <v:shape id="_x0000_s2916" type="#_x0000_t202" style="position:absolute;margin-left:211.84999999999999pt;margin-top:25.800000000000001pt;width:114.7pt;height:6.5pt;z-index:-1887426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MIJČENIŠTVO/MUFTIJA/MUHAMED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135890</wp:posOffset>
              </wp:positionH>
              <wp:positionV relativeFrom="page">
                <wp:posOffset>441960</wp:posOffset>
              </wp:positionV>
              <wp:extent cx="4017010" cy="0"/>
              <wp:wrapNone/>
              <wp:docPr id="1892" name="Shape 189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0.699999999999999pt;margin-top:34.799999999999997pt;width:316.30000000000001pt;height:0;z-index:-251658240;mso-position-horizontal-relative:page;mso-position-vertical-relative:page">
              <v:stroke weight="1.pt"/>
            </v:shape>
          </w:pict>
        </mc:Fallback>
      </mc:AlternateContent>
    </w:r>
  </w:p>
</w:hdr>
</file>

<file path=word/header4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8" behindDoc="1" locked="0" layoutInCell="1" allowOverlap="1">
              <wp:simplePos x="0" y="0"/>
              <wp:positionH relativeFrom="page">
                <wp:posOffset>146685</wp:posOffset>
              </wp:positionH>
              <wp:positionV relativeFrom="page">
                <wp:posOffset>472440</wp:posOffset>
              </wp:positionV>
              <wp:extent cx="463550" cy="64135"/>
              <wp:wrapNone/>
              <wp:docPr id="1893" name="Shape 1893"/>
              <a:graphic xmlns:a="http://schemas.openxmlformats.org/drawingml/2006/main">
                <a:graphicData uri="http://schemas.microsoft.com/office/word/2010/wordprocessingShape">
                  <wps:wsp>
                    <wps:cNvSpPr txBox="1"/>
                    <wps:spPr>
                      <a:xfrm>
                        <a:ext cx="4635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19" type="#_x0000_t202" style="position:absolute;margin-left:11.550000000000001pt;margin-top:37.200000000000003pt;width:36.5pt;height:5.0499999999999998pt;z-index:-1887426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565150</wp:posOffset>
              </wp:positionV>
              <wp:extent cx="4020185" cy="0"/>
              <wp:wrapNone/>
              <wp:docPr id="1895" name="Shape 189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50000000000001pt;margin-top:44.5pt;width:316.55000000000001pt;height:0;z-index:-251658240;mso-position-horizontal-relative:page;mso-position-vertical-relative:page">
              <v:stroke weight="1.pt"/>
            </v:shape>
          </w:pict>
        </mc:Fallback>
      </mc:AlternateContent>
    </w:r>
  </w:p>
</w:hdr>
</file>

<file path=word/header4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2" behindDoc="1" locked="0" layoutInCell="1" allowOverlap="1">
              <wp:simplePos x="0" y="0"/>
              <wp:positionH relativeFrom="page">
                <wp:posOffset>146685</wp:posOffset>
              </wp:positionH>
              <wp:positionV relativeFrom="page">
                <wp:posOffset>472440</wp:posOffset>
              </wp:positionV>
              <wp:extent cx="463550" cy="64135"/>
              <wp:wrapNone/>
              <wp:docPr id="1898" name="Shape 1898"/>
              <a:graphic xmlns:a="http://schemas.openxmlformats.org/drawingml/2006/main">
                <a:graphicData uri="http://schemas.microsoft.com/office/word/2010/wordprocessingShape">
                  <wps:wsp>
                    <wps:cNvSpPr txBox="1"/>
                    <wps:spPr>
                      <a:xfrm>
                        <a:ext cx="4635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24" type="#_x0000_t202" style="position:absolute;margin-left:11.550000000000001pt;margin-top:37.200000000000003pt;width:36.5pt;height:5.0499999999999998pt;z-index:-1887426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565150</wp:posOffset>
              </wp:positionV>
              <wp:extent cx="4020185" cy="0"/>
              <wp:wrapNone/>
              <wp:docPr id="1900" name="Shape 190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50000000000001pt;margin-top:44.5pt;width:316.55000000000001pt;height:0;z-index:-251658240;mso-position-horizontal-relative:page;mso-position-vertical-relative:page">
              <v:stroke weight="1.pt"/>
            </v:shape>
          </w:pict>
        </mc:Fallback>
      </mc:AlternateContent>
    </w:r>
  </w:p>
</w:hdr>
</file>

<file path=word/header4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6" behindDoc="1" locked="0" layoutInCell="1" allowOverlap="1">
              <wp:simplePos x="0" y="0"/>
              <wp:positionH relativeFrom="page">
                <wp:posOffset>3700780</wp:posOffset>
              </wp:positionH>
              <wp:positionV relativeFrom="page">
                <wp:posOffset>348615</wp:posOffset>
              </wp:positionV>
              <wp:extent cx="463550" cy="60960"/>
              <wp:wrapNone/>
              <wp:docPr id="1903" name="Shape 1903"/>
              <a:graphic xmlns:a="http://schemas.openxmlformats.org/drawingml/2006/main">
                <a:graphicData uri="http://schemas.microsoft.com/office/word/2010/wordprocessingShape">
                  <wps:wsp>
                    <wps:cNvSpPr txBox="1"/>
                    <wps:spPr>
                      <a:xfrm>
                        <a:ext cx="4635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29" type="#_x0000_t202" style="position:absolute;margin-left:291.39999999999998pt;margin-top:27.449999999999999pt;width:36.5pt;height:4.7999999999999998pt;z-index:-1887426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448945</wp:posOffset>
              </wp:positionV>
              <wp:extent cx="4020185" cy="0"/>
              <wp:wrapNone/>
              <wp:docPr id="1905" name="Shape 190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35.350000000000001pt;width:316.55000000000001pt;height:0;z-index:-251658240;mso-position-horizontal-relative:page;mso-position-vertical-relative:page">
              <v:stroke weight="1.pt"/>
            </v:shape>
          </w:pict>
        </mc:Fallback>
      </mc:AlternateContent>
    </w:r>
  </w:p>
</w:hdr>
</file>

<file path=word/header4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8" behindDoc="1" locked="0" layoutInCell="1" allowOverlap="1">
              <wp:simplePos x="0" y="0"/>
              <wp:positionH relativeFrom="page">
                <wp:posOffset>3700780</wp:posOffset>
              </wp:positionH>
              <wp:positionV relativeFrom="page">
                <wp:posOffset>348615</wp:posOffset>
              </wp:positionV>
              <wp:extent cx="463550" cy="60960"/>
              <wp:wrapNone/>
              <wp:docPr id="1906" name="Shape 1906"/>
              <a:graphic xmlns:a="http://schemas.openxmlformats.org/drawingml/2006/main">
                <a:graphicData uri="http://schemas.microsoft.com/office/word/2010/wordprocessingShape">
                  <wps:wsp>
                    <wps:cNvSpPr txBox="1"/>
                    <wps:spPr>
                      <a:xfrm>
                        <a:ext cx="4635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32" type="#_x0000_t202" style="position:absolute;margin-left:291.39999999999998pt;margin-top:27.449999999999999pt;width:36.5pt;height:4.7999999999999998pt;z-index:-1887426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448945</wp:posOffset>
              </wp:positionV>
              <wp:extent cx="4020185" cy="0"/>
              <wp:wrapNone/>
              <wp:docPr id="1908" name="Shape 190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35.350000000000001pt;width:316.55000000000001pt;height:0;z-index:-251658240;mso-position-horizontal-relative:page;mso-position-vertical-relative:page">
              <v:stroke weight="1.pt"/>
            </v:shape>
          </w:pict>
        </mc:Fallback>
      </mc:AlternateContent>
    </w:r>
  </w:p>
</w:hdr>
</file>

<file path=word/header4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0" behindDoc="1" locked="0" layoutInCell="1" allowOverlap="1">
              <wp:simplePos x="0" y="0"/>
              <wp:positionH relativeFrom="page">
                <wp:posOffset>153670</wp:posOffset>
              </wp:positionH>
              <wp:positionV relativeFrom="page">
                <wp:posOffset>450850</wp:posOffset>
              </wp:positionV>
              <wp:extent cx="466090" cy="67310"/>
              <wp:wrapNone/>
              <wp:docPr id="1911" name="Shape 1911"/>
              <a:graphic xmlns:a="http://schemas.openxmlformats.org/drawingml/2006/main">
                <a:graphicData uri="http://schemas.microsoft.com/office/word/2010/wordprocessingShape">
                  <wps:wsp>
                    <wps:cNvSpPr txBox="1"/>
                    <wps:spPr>
                      <a:xfrm>
                        <a:ext cx="4660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37" type="#_x0000_t202" style="position:absolute;margin-left:12.1pt;margin-top:35.5pt;width:36.700000000000003pt;height:5.2999999999999998pt;z-index:-1887426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548640</wp:posOffset>
              </wp:positionV>
              <wp:extent cx="4020185" cy="0"/>
              <wp:wrapNone/>
              <wp:docPr id="1913" name="Shape 191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3.200000000000003pt;width:316.55000000000001pt;height:0;z-index:-251658240;mso-position-horizontal-relative:page;mso-position-vertical-relative:page">
              <v:stroke weight="1.pt"/>
            </v:shape>
          </w:pict>
        </mc:Fallback>
      </mc:AlternateContent>
    </w:r>
  </w:p>
</w:hdr>
</file>

<file path=word/header4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2" behindDoc="1" locked="0" layoutInCell="1" allowOverlap="1">
              <wp:simplePos x="0" y="0"/>
              <wp:positionH relativeFrom="page">
                <wp:posOffset>153670</wp:posOffset>
              </wp:positionH>
              <wp:positionV relativeFrom="page">
                <wp:posOffset>450850</wp:posOffset>
              </wp:positionV>
              <wp:extent cx="466090" cy="67310"/>
              <wp:wrapNone/>
              <wp:docPr id="1914" name="Shape 1914"/>
              <a:graphic xmlns:a="http://schemas.openxmlformats.org/drawingml/2006/main">
                <a:graphicData uri="http://schemas.microsoft.com/office/word/2010/wordprocessingShape">
                  <wps:wsp>
                    <wps:cNvSpPr txBox="1"/>
                    <wps:spPr>
                      <a:xfrm>
                        <a:ext cx="4660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40" type="#_x0000_t202" style="position:absolute;margin-left:12.1pt;margin-top:35.5pt;width:36.700000000000003pt;height:5.2999999999999998pt;z-index:-1887426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548640</wp:posOffset>
              </wp:positionV>
              <wp:extent cx="4020185" cy="0"/>
              <wp:wrapNone/>
              <wp:docPr id="1916" name="Shape 191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3.200000000000003pt;width:316.55000000000001pt;height:0;z-index:-251658240;mso-position-horizontal-relative:page;mso-position-vertical-relative:page">
              <v:stroke weight="1.pt"/>
            </v:shape>
          </w:pict>
        </mc:Fallback>
      </mc:AlternateContent>
    </w:r>
  </w:p>
</w:hdr>
</file>

<file path=word/header4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4" behindDoc="1" locked="0" layoutInCell="1" allowOverlap="1">
              <wp:simplePos x="0" y="0"/>
              <wp:positionH relativeFrom="page">
                <wp:posOffset>3714115</wp:posOffset>
              </wp:positionH>
              <wp:positionV relativeFrom="page">
                <wp:posOffset>458470</wp:posOffset>
              </wp:positionV>
              <wp:extent cx="460375" cy="64135"/>
              <wp:wrapNone/>
              <wp:docPr id="1917" name="Shape 1917"/>
              <a:graphic xmlns:a="http://schemas.openxmlformats.org/drawingml/2006/main">
                <a:graphicData uri="http://schemas.microsoft.com/office/word/2010/wordprocessingShape">
                  <wps:wsp>
                    <wps:cNvSpPr txBox="1"/>
                    <wps:spPr>
                      <a:xfrm>
                        <a:ext cx="4603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43" type="#_x0000_t202" style="position:absolute;margin-left:292.44999999999999pt;margin-top:36.100000000000001pt;width:36.25pt;height:5.0499999999999998pt;z-index:-1887425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557530</wp:posOffset>
              </wp:positionV>
              <wp:extent cx="4017010" cy="0"/>
              <wp:wrapNone/>
              <wp:docPr id="1919" name="Shape 191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5pt;margin-top:43.899999999999999pt;width:316.30000000000001pt;height:0;z-index:-251658240;mso-position-horizontal-relative:page;mso-position-vertical-relative:page">
              <v:stroke weight="1.pt"/>
            </v:shape>
          </w:pict>
        </mc:Fallback>
      </mc:AlternateContent>
    </w:r>
  </w:p>
</w:hdr>
</file>

<file path=word/header4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8" behindDoc="1" locked="0" layoutInCell="1" allowOverlap="1">
              <wp:simplePos x="0" y="0"/>
              <wp:positionH relativeFrom="page">
                <wp:posOffset>3714115</wp:posOffset>
              </wp:positionH>
              <wp:positionV relativeFrom="page">
                <wp:posOffset>458470</wp:posOffset>
              </wp:positionV>
              <wp:extent cx="460375" cy="64135"/>
              <wp:wrapNone/>
              <wp:docPr id="1922" name="Shape 1922"/>
              <a:graphic xmlns:a="http://schemas.openxmlformats.org/drawingml/2006/main">
                <a:graphicData uri="http://schemas.microsoft.com/office/word/2010/wordprocessingShape">
                  <wps:wsp>
                    <wps:cNvSpPr txBox="1"/>
                    <wps:spPr>
                      <a:xfrm>
                        <a:ext cx="4603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wps:txbx>
                    <wps:bodyPr wrap="none" lIns="0" tIns="0" rIns="0" bIns="0">
                      <a:spAutoFit/>
                    </wps:bodyPr>
                  </wps:wsp>
                </a:graphicData>
              </a:graphic>
            </wp:anchor>
          </w:drawing>
        </mc:Choice>
        <mc:Fallback>
          <w:pict>
            <v:shape id="_x0000_s2948" type="#_x0000_t202" style="position:absolute;margin-left:292.44999999999999pt;margin-top:36.100000000000001pt;width:36.25pt;height:5.0499999999999998pt;z-index:-1887425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MUHAMED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557530</wp:posOffset>
              </wp:positionV>
              <wp:extent cx="4017010" cy="0"/>
              <wp:wrapNone/>
              <wp:docPr id="1924" name="Shape 192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5pt;margin-top:43.899999999999999pt;width:316.30000000000001pt;height:0;z-index:-251658240;mso-position-horizontal-relative:page;mso-position-vertical-relative:page">
              <v:stroke weight="1.pt"/>
            </v:shape>
          </w:pict>
        </mc:Fallback>
      </mc:AlternateContent>
    </w:r>
  </w:p>
</w:hdr>
</file>

<file path=word/header4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6" behindDoc="1" locked="0" layoutInCell="1" allowOverlap="1">
              <wp:simplePos x="0" y="0"/>
              <wp:positionH relativeFrom="page">
                <wp:posOffset>3926840</wp:posOffset>
              </wp:positionH>
              <wp:positionV relativeFrom="page">
                <wp:posOffset>445135</wp:posOffset>
              </wp:positionV>
              <wp:extent cx="247015" cy="64135"/>
              <wp:wrapNone/>
              <wp:docPr id="1931" name="Shape 1931"/>
              <a:graphic xmlns:a="http://schemas.openxmlformats.org/drawingml/2006/main">
                <a:graphicData uri="http://schemas.microsoft.com/office/word/2010/wordprocessingShape">
                  <wps:wsp>
                    <wps:cNvSpPr txBox="1"/>
                    <wps:spPr>
                      <a:xfrm>
                        <a:ext cx="2470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w:t>
                          </w:r>
                        </w:p>
                      </w:txbxContent>
                    </wps:txbx>
                    <wps:bodyPr wrap="none" lIns="0" tIns="0" rIns="0" bIns="0">
                      <a:spAutoFit/>
                    </wps:bodyPr>
                  </wps:wsp>
                </a:graphicData>
              </a:graphic>
            </wp:anchor>
          </w:drawing>
        </mc:Choice>
        <mc:Fallback>
          <w:pict>
            <v:shape id="_x0000_s2957" type="#_x0000_t202" style="position:absolute;margin-left:309.19999999999999pt;margin-top:35.049999999999997pt;width:19.449999999999999pt;height:5.0499999999999998pt;z-index:-1887425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547370</wp:posOffset>
              </wp:positionV>
              <wp:extent cx="4029710" cy="0"/>
              <wp:wrapNone/>
              <wp:docPr id="1933" name="Shape 1933"/>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35pt;margin-top:43.100000000000001pt;width:317.30000000000001pt;height:0;z-index:-251658240;mso-position-horizontal-relative:page;mso-position-vertical-relative:page">
              <v:stroke weight="1.pt"/>
            </v:shape>
          </w:pict>
        </mc:Fallback>
      </mc:AlternateContent>
    </w:r>
  </w:p>
</w:hdr>
</file>

<file path=word/header4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8" behindDoc="1" locked="0" layoutInCell="1" allowOverlap="1">
              <wp:simplePos x="0" y="0"/>
              <wp:positionH relativeFrom="page">
                <wp:posOffset>3926840</wp:posOffset>
              </wp:positionH>
              <wp:positionV relativeFrom="page">
                <wp:posOffset>445135</wp:posOffset>
              </wp:positionV>
              <wp:extent cx="247015" cy="64135"/>
              <wp:wrapNone/>
              <wp:docPr id="1934" name="Shape 1934"/>
              <a:graphic xmlns:a="http://schemas.openxmlformats.org/drawingml/2006/main">
                <a:graphicData uri="http://schemas.microsoft.com/office/word/2010/wordprocessingShape">
                  <wps:wsp>
                    <wps:cNvSpPr txBox="1"/>
                    <wps:spPr>
                      <a:xfrm>
                        <a:ext cx="2470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w:t>
                          </w:r>
                        </w:p>
                      </w:txbxContent>
                    </wps:txbx>
                    <wps:bodyPr wrap="none" lIns="0" tIns="0" rIns="0" bIns="0">
                      <a:spAutoFit/>
                    </wps:bodyPr>
                  </wps:wsp>
                </a:graphicData>
              </a:graphic>
            </wp:anchor>
          </w:drawing>
        </mc:Choice>
        <mc:Fallback>
          <w:pict>
            <v:shape id="_x0000_s2960" type="#_x0000_t202" style="position:absolute;margin-left:309.19999999999999pt;margin-top:35.049999999999997pt;width:19.449999999999999pt;height:5.0499999999999998pt;z-index:-1887425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547370</wp:posOffset>
              </wp:positionV>
              <wp:extent cx="4029710" cy="0"/>
              <wp:wrapNone/>
              <wp:docPr id="1936" name="Shape 1936"/>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35pt;margin-top:43.100000000000001pt;width:317.30000000000001pt;height:0;z-index:-251658240;mso-position-horizontal-relative:page;mso-position-vertical-relative:page">
              <v:stroke weight="1.pt"/>
            </v:shape>
          </w:pict>
        </mc:Fallback>
      </mc:AlternateContent>
    </w:r>
  </w:p>
</w:hdr>
</file>

<file path=word/header4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0" behindDoc="1" locked="0" layoutInCell="1" allowOverlap="1">
              <wp:simplePos x="0" y="0"/>
              <wp:positionH relativeFrom="page">
                <wp:posOffset>154940</wp:posOffset>
              </wp:positionH>
              <wp:positionV relativeFrom="page">
                <wp:posOffset>427355</wp:posOffset>
              </wp:positionV>
              <wp:extent cx="856615" cy="82550"/>
              <wp:wrapNone/>
              <wp:docPr id="1937" name="Shape 1937"/>
              <a:graphic xmlns:a="http://schemas.openxmlformats.org/drawingml/2006/main">
                <a:graphicData uri="http://schemas.microsoft.com/office/word/2010/wordprocessingShape">
                  <wps:wsp>
                    <wps:cNvSpPr txBox="1"/>
                    <wps:spPr>
                      <a:xfrm>
                        <a:ext cx="85661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NADA/NAROD BOŽJI</w:t>
                          </w:r>
                        </w:p>
                      </w:txbxContent>
                    </wps:txbx>
                    <wps:bodyPr wrap="none" lIns="0" tIns="0" rIns="0" bIns="0">
                      <a:spAutoFit/>
                    </wps:bodyPr>
                  </wps:wsp>
                </a:graphicData>
              </a:graphic>
            </wp:anchor>
          </w:drawing>
        </mc:Choice>
        <mc:Fallback>
          <w:pict>
            <v:shape id="_x0000_s2963" type="#_x0000_t202" style="position:absolute;margin-left:12.199999999999999pt;margin-top:33.649999999999999pt;width:67.450000000000003pt;height:6.5pt;z-index:-1887425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NADA/NAROD 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535305</wp:posOffset>
              </wp:positionV>
              <wp:extent cx="4026535" cy="0"/>
              <wp:wrapNone/>
              <wp:docPr id="1939" name="Shape 193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949999999999999pt;margin-top:42.149999999999999pt;width:317.05000000000001pt;height:0;z-index:-251658240;mso-position-horizontal-relative:page;mso-position-vertical-relative:page">
              <v:stroke weight="1.pt"/>
            </v:shape>
          </w:pict>
        </mc:Fallback>
      </mc:AlternateContent>
    </w:r>
  </w:p>
</w:hdr>
</file>

<file path=word/header4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4" behindDoc="1" locked="0" layoutInCell="1" allowOverlap="1">
              <wp:simplePos x="0" y="0"/>
              <wp:positionH relativeFrom="page">
                <wp:posOffset>154940</wp:posOffset>
              </wp:positionH>
              <wp:positionV relativeFrom="page">
                <wp:posOffset>427355</wp:posOffset>
              </wp:positionV>
              <wp:extent cx="856615" cy="82550"/>
              <wp:wrapNone/>
              <wp:docPr id="1942" name="Shape 1942"/>
              <a:graphic xmlns:a="http://schemas.openxmlformats.org/drawingml/2006/main">
                <a:graphicData uri="http://schemas.microsoft.com/office/word/2010/wordprocessingShape">
                  <wps:wsp>
                    <wps:cNvSpPr txBox="1"/>
                    <wps:spPr>
                      <a:xfrm>
                        <a:ext cx="85661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NADA/NAROD BOŽJI</w:t>
                          </w:r>
                        </w:p>
                      </w:txbxContent>
                    </wps:txbx>
                    <wps:bodyPr wrap="none" lIns="0" tIns="0" rIns="0" bIns="0">
                      <a:spAutoFit/>
                    </wps:bodyPr>
                  </wps:wsp>
                </a:graphicData>
              </a:graphic>
            </wp:anchor>
          </w:drawing>
        </mc:Choice>
        <mc:Fallback>
          <w:pict>
            <v:shape id="_x0000_s2968" type="#_x0000_t202" style="position:absolute;margin-left:12.199999999999999pt;margin-top:33.649999999999999pt;width:67.450000000000003pt;height:6.5pt;z-index:-1887425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NADA/NAROD 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535305</wp:posOffset>
              </wp:positionV>
              <wp:extent cx="4026535" cy="0"/>
              <wp:wrapNone/>
              <wp:docPr id="1944" name="Shape 194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949999999999999pt;margin-top:42.149999999999999pt;width:317.05000000000001pt;height:0;z-index:-251658240;mso-position-horizontal-relative:page;mso-position-vertical-relative:page">
              <v:stroke weight="1.pt"/>
            </v:shape>
          </w:pict>
        </mc:Fallback>
      </mc:AlternateContent>
    </w:r>
  </w:p>
</w:hdr>
</file>

<file path=word/header4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8" behindDoc="1" locked="0" layoutInCell="1" allowOverlap="1">
              <wp:simplePos x="0" y="0"/>
              <wp:positionH relativeFrom="page">
                <wp:posOffset>3588385</wp:posOffset>
              </wp:positionH>
              <wp:positionV relativeFrom="page">
                <wp:posOffset>427355</wp:posOffset>
              </wp:positionV>
              <wp:extent cx="579120" cy="82550"/>
              <wp:wrapNone/>
              <wp:docPr id="1947" name="Shape 1947"/>
              <a:graphic xmlns:a="http://schemas.openxmlformats.org/drawingml/2006/main">
                <a:graphicData uri="http://schemas.microsoft.com/office/word/2010/wordprocessingShape">
                  <wps:wsp>
                    <wps:cNvSpPr txBox="1"/>
                    <wps:spPr>
                      <a:xfrm>
                        <a:ext cx="57912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wps:txbx>
                    <wps:bodyPr wrap="none" lIns="0" tIns="0" rIns="0" bIns="0">
                      <a:spAutoFit/>
                    </wps:bodyPr>
                  </wps:wsp>
                </a:graphicData>
              </a:graphic>
            </wp:anchor>
          </w:drawing>
        </mc:Choice>
        <mc:Fallback>
          <w:pict>
            <v:shape id="_x0000_s2973" type="#_x0000_t202" style="position:absolute;margin-left:282.55000000000001pt;margin-top:33.649999999999999pt;width:45.600000000000001pt;height:6.5pt;z-index:-1887425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547370</wp:posOffset>
              </wp:positionV>
              <wp:extent cx="4020185" cy="0"/>
              <wp:wrapNone/>
              <wp:docPr id="1949" name="Shape 194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5pt;margin-top:43.100000000000001pt;width:316.55000000000001pt;height:0;z-index:-251658240;mso-position-horizontal-relative:page;mso-position-vertical-relative:page">
              <v:stroke weight="1.pt"/>
            </v:shape>
          </w:pict>
        </mc:Fallback>
      </mc:AlternateContent>
    </w:r>
  </w:p>
</w:hdr>
</file>

<file path=word/header4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0" behindDoc="1" locked="0" layoutInCell="1" allowOverlap="1">
              <wp:simplePos x="0" y="0"/>
              <wp:positionH relativeFrom="page">
                <wp:posOffset>3588385</wp:posOffset>
              </wp:positionH>
              <wp:positionV relativeFrom="page">
                <wp:posOffset>427355</wp:posOffset>
              </wp:positionV>
              <wp:extent cx="579120" cy="82550"/>
              <wp:wrapNone/>
              <wp:docPr id="1950" name="Shape 1950"/>
              <a:graphic xmlns:a="http://schemas.openxmlformats.org/drawingml/2006/main">
                <a:graphicData uri="http://schemas.microsoft.com/office/word/2010/wordprocessingShape">
                  <wps:wsp>
                    <wps:cNvSpPr txBox="1"/>
                    <wps:spPr>
                      <a:xfrm>
                        <a:ext cx="57912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wps:txbx>
                    <wps:bodyPr wrap="none" lIns="0" tIns="0" rIns="0" bIns="0">
                      <a:spAutoFit/>
                    </wps:bodyPr>
                  </wps:wsp>
                </a:graphicData>
              </a:graphic>
            </wp:anchor>
          </w:drawing>
        </mc:Choice>
        <mc:Fallback>
          <w:pict>
            <v:shape id="_x0000_s2976" type="#_x0000_t202" style="position:absolute;margin-left:282.55000000000001pt;margin-top:33.649999999999999pt;width:45.600000000000001pt;height:6.5pt;z-index:-1887425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547370</wp:posOffset>
              </wp:positionV>
              <wp:extent cx="4020185" cy="0"/>
              <wp:wrapNone/>
              <wp:docPr id="1952" name="Shape 195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5pt;margin-top:43.100000000000001pt;width:316.55000000000001pt;height:0;z-index:-251658240;mso-position-horizontal-relative:page;mso-position-vertical-relative:page">
              <v:stroke weight="1.pt"/>
            </v:shape>
          </w:pict>
        </mc:Fallback>
      </mc:AlternateContent>
    </w:r>
  </w:p>
</w:hdr>
</file>

<file path=word/header4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2" behindDoc="1" locked="0" layoutInCell="1" allowOverlap="1">
              <wp:simplePos x="0" y="0"/>
              <wp:positionH relativeFrom="page">
                <wp:posOffset>143510</wp:posOffset>
              </wp:positionH>
              <wp:positionV relativeFrom="page">
                <wp:posOffset>437515</wp:posOffset>
              </wp:positionV>
              <wp:extent cx="579120" cy="82550"/>
              <wp:wrapNone/>
              <wp:docPr id="1953" name="Shape 1953"/>
              <a:graphic xmlns:a="http://schemas.openxmlformats.org/drawingml/2006/main">
                <a:graphicData uri="http://schemas.microsoft.com/office/word/2010/wordprocessingShape">
                  <wps:wsp>
                    <wps:cNvSpPr txBox="1"/>
                    <wps:spPr>
                      <a:xfrm>
                        <a:ext cx="57912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wps:txbx>
                    <wps:bodyPr wrap="none" lIns="0" tIns="0" rIns="0" bIns="0">
                      <a:spAutoFit/>
                    </wps:bodyPr>
                  </wps:wsp>
                </a:graphicData>
              </a:graphic>
            </wp:anchor>
          </w:drawing>
        </mc:Choice>
        <mc:Fallback>
          <w:pict>
            <v:shape id="_x0000_s2979" type="#_x0000_t202" style="position:absolute;margin-left:11.300000000000001pt;margin-top:34.450000000000003pt;width:45.600000000000001pt;height:6.5pt;z-index:-1887425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544195</wp:posOffset>
              </wp:positionV>
              <wp:extent cx="4023360" cy="0"/>
              <wp:wrapNone/>
              <wp:docPr id="1955" name="Shape 195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42.850000000000001pt;width:316.80000000000001pt;height:0;z-index:-251658240;mso-position-horizontal-relative:page;mso-position-vertical-relative:page">
              <v:stroke weight="1.pt"/>
            </v:shape>
          </w:pict>
        </mc:Fallback>
      </mc:AlternateContent>
    </w:r>
  </w:p>
</w:hdr>
</file>

<file path=word/header4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4" behindDoc="1" locked="0" layoutInCell="1" allowOverlap="1">
              <wp:simplePos x="0" y="0"/>
              <wp:positionH relativeFrom="page">
                <wp:posOffset>143510</wp:posOffset>
              </wp:positionH>
              <wp:positionV relativeFrom="page">
                <wp:posOffset>437515</wp:posOffset>
              </wp:positionV>
              <wp:extent cx="579120" cy="82550"/>
              <wp:wrapNone/>
              <wp:docPr id="1956" name="Shape 1956"/>
              <a:graphic xmlns:a="http://schemas.openxmlformats.org/drawingml/2006/main">
                <a:graphicData uri="http://schemas.microsoft.com/office/word/2010/wordprocessingShape">
                  <wps:wsp>
                    <wps:cNvSpPr txBox="1"/>
                    <wps:spPr>
                      <a:xfrm>
                        <a:ext cx="57912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wps:txbx>
                    <wps:bodyPr wrap="none" lIns="0" tIns="0" rIns="0" bIns="0">
                      <a:spAutoFit/>
                    </wps:bodyPr>
                  </wps:wsp>
                </a:graphicData>
              </a:graphic>
            </wp:anchor>
          </w:drawing>
        </mc:Choice>
        <mc:Fallback>
          <w:pict>
            <v:shape id="_x0000_s2982" type="#_x0000_t202" style="position:absolute;margin-left:11.300000000000001pt;margin-top:34.450000000000003pt;width:45.600000000000001pt;height:6.5pt;z-index:-1887425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544195</wp:posOffset>
              </wp:positionV>
              <wp:extent cx="4023360" cy="0"/>
              <wp:wrapNone/>
              <wp:docPr id="1958" name="Shape 195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42.850000000000001pt;width:316.80000000000001pt;height:0;z-index:-251658240;mso-position-horizontal-relative:page;mso-position-vertical-relative:page">
              <v:stroke weight="1.pt"/>
            </v:shape>
          </w:pict>
        </mc:Fallback>
      </mc:AlternateContent>
    </w:r>
  </w:p>
</w:hdr>
</file>

<file path=word/header4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6" behindDoc="1" locked="0" layoutInCell="1" allowOverlap="1">
              <wp:simplePos x="0" y="0"/>
              <wp:positionH relativeFrom="page">
                <wp:posOffset>145415</wp:posOffset>
              </wp:positionH>
              <wp:positionV relativeFrom="page">
                <wp:posOffset>429895</wp:posOffset>
              </wp:positionV>
              <wp:extent cx="338455" cy="67310"/>
              <wp:wrapNone/>
              <wp:docPr id="1959" name="Shape 1959"/>
              <a:graphic xmlns:a="http://schemas.openxmlformats.org/drawingml/2006/main">
                <a:graphicData uri="http://schemas.microsoft.com/office/word/2010/wordprocessingShape">
                  <wps:wsp>
                    <wps:cNvSpPr txBox="1"/>
                    <wps:spPr>
                      <a:xfrm>
                        <a:ext cx="3384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w:t>
                          </w:r>
                        </w:p>
                      </w:txbxContent>
                    </wps:txbx>
                    <wps:bodyPr wrap="none" lIns="0" tIns="0" rIns="0" bIns="0">
                      <a:spAutoFit/>
                    </wps:bodyPr>
                  </wps:wsp>
                </a:graphicData>
              </a:graphic>
            </wp:anchor>
          </w:drawing>
        </mc:Choice>
        <mc:Fallback>
          <w:pict>
            <v:shape id="_x0000_s2985" type="#_x0000_t202" style="position:absolute;margin-left:11.449999999999999pt;margin-top:33.850000000000001pt;width:26.649999999999999pt;height:5.2999999999999998pt;z-index:-1887425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523240</wp:posOffset>
              </wp:positionV>
              <wp:extent cx="4020185" cy="0"/>
              <wp:wrapNone/>
              <wp:docPr id="1961" name="Shape 196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200000000000003pt;width:316.55000000000001pt;height:0;z-index:-251658240;mso-position-horizontal-relative:page;mso-position-vertical-relative:page">
              <v:stroke weight="1.pt"/>
            </v:shape>
          </w:pict>
        </mc:Fallback>
      </mc:AlternateContent>
    </w:r>
  </w:p>
</w:hdr>
</file>

<file path=word/header4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0" behindDoc="1" locked="0" layoutInCell="1" allowOverlap="1">
              <wp:simplePos x="0" y="0"/>
              <wp:positionH relativeFrom="page">
                <wp:posOffset>145415</wp:posOffset>
              </wp:positionH>
              <wp:positionV relativeFrom="page">
                <wp:posOffset>429895</wp:posOffset>
              </wp:positionV>
              <wp:extent cx="338455" cy="67310"/>
              <wp:wrapNone/>
              <wp:docPr id="1964" name="Shape 1964"/>
              <a:graphic xmlns:a="http://schemas.openxmlformats.org/drawingml/2006/main">
                <a:graphicData uri="http://schemas.microsoft.com/office/word/2010/wordprocessingShape">
                  <wps:wsp>
                    <wps:cNvSpPr txBox="1"/>
                    <wps:spPr>
                      <a:xfrm>
                        <a:ext cx="3384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w:t>
                          </w:r>
                        </w:p>
                      </w:txbxContent>
                    </wps:txbx>
                    <wps:bodyPr wrap="none" lIns="0" tIns="0" rIns="0" bIns="0">
                      <a:spAutoFit/>
                    </wps:bodyPr>
                  </wps:wsp>
                </a:graphicData>
              </a:graphic>
            </wp:anchor>
          </w:drawing>
        </mc:Choice>
        <mc:Fallback>
          <w:pict>
            <v:shape id="_x0000_s2990" type="#_x0000_t202" style="position:absolute;margin-left:11.449999999999999pt;margin-top:33.850000000000001pt;width:26.649999999999999pt;height:5.2999999999999998pt;z-index:-1887425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523240</wp:posOffset>
              </wp:positionV>
              <wp:extent cx="4020185" cy="0"/>
              <wp:wrapNone/>
              <wp:docPr id="1966" name="Shape 196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1.200000000000003pt;width:316.55000000000001pt;height:0;z-index:-251658240;mso-position-horizontal-relative:page;mso-position-vertical-relative:page">
              <v:stroke weight="1.pt"/>
            </v:shape>
          </w:pict>
        </mc:Fallback>
      </mc:AlternateContent>
    </w:r>
  </w:p>
</w:hdr>
</file>

<file path=word/header4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4" behindDoc="1" locked="0" layoutInCell="1" allowOverlap="1">
              <wp:simplePos x="0" y="0"/>
              <wp:positionH relativeFrom="page">
                <wp:posOffset>3220720</wp:posOffset>
              </wp:positionH>
              <wp:positionV relativeFrom="page">
                <wp:posOffset>417830</wp:posOffset>
              </wp:positionV>
              <wp:extent cx="953770" cy="79375"/>
              <wp:wrapNone/>
              <wp:docPr id="1969" name="Shape 1969"/>
              <a:graphic xmlns:a="http://schemas.openxmlformats.org/drawingml/2006/main">
                <a:graphicData uri="http://schemas.microsoft.com/office/word/2010/wordprocessingShape">
                  <wps:wsp>
                    <wps:cNvSpPr txBox="1"/>
                    <wps:spPr>
                      <a:xfrm>
                        <a:ext cx="9537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BOŽJI,/NAS11JE</w:t>
                          </w:r>
                        </w:p>
                      </w:txbxContent>
                    </wps:txbx>
                    <wps:bodyPr wrap="none" lIns="0" tIns="0" rIns="0" bIns="0">
                      <a:spAutoFit/>
                    </wps:bodyPr>
                  </wps:wsp>
                </a:graphicData>
              </a:graphic>
            </wp:anchor>
          </w:drawing>
        </mc:Choice>
        <mc:Fallback>
          <w:pict>
            <v:shape id="_x0000_s2995" type="#_x0000_t202" style="position:absolute;margin-left:253.59999999999999pt;margin-top:32.899999999999999pt;width:75.099999999999994pt;height:6.25pt;z-index:-1887425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NAROD BOŽJI,/NAS11JE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530225</wp:posOffset>
              </wp:positionV>
              <wp:extent cx="4020185" cy="0"/>
              <wp:wrapNone/>
              <wp:docPr id="1971" name="Shape 197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1.75pt;width:316.55000000000001pt;height:0;z-index:-251658240;mso-position-horizontal-relative:page;mso-position-vertical-relative:page">
              <v:stroke weight="1.pt"/>
            </v:shape>
          </w:pict>
        </mc:Fallback>
      </mc:AlternateContent>
    </w:r>
  </w:p>
</w:hdr>
</file>

<file path=word/header4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8" behindDoc="1" locked="0" layoutInCell="1" allowOverlap="1">
              <wp:simplePos x="0" y="0"/>
              <wp:positionH relativeFrom="page">
                <wp:posOffset>3563620</wp:posOffset>
              </wp:positionH>
              <wp:positionV relativeFrom="page">
                <wp:posOffset>433070</wp:posOffset>
              </wp:positionV>
              <wp:extent cx="600710" cy="64135"/>
              <wp:wrapNone/>
              <wp:docPr id="1974" name="Shape 1974"/>
              <a:graphic xmlns:a="http://schemas.openxmlformats.org/drawingml/2006/main">
                <a:graphicData uri="http://schemas.microsoft.com/office/word/2010/wordprocessingShape">
                  <wps:wsp>
                    <wps:cNvSpPr txBox="1"/>
                    <wps:spPr>
                      <a:xfrm>
                        <a:ext cx="6007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NASILJE,'NEBO</w:t>
                          </w:r>
                        </w:p>
                      </w:txbxContent>
                    </wps:txbx>
                    <wps:bodyPr wrap="none" lIns="0" tIns="0" rIns="0" bIns="0">
                      <a:spAutoFit/>
                    </wps:bodyPr>
                  </wps:wsp>
                </a:graphicData>
              </a:graphic>
            </wp:anchor>
          </w:drawing>
        </mc:Choice>
        <mc:Fallback>
          <w:pict>
            <v:shape id="_x0000_s3000" type="#_x0000_t202" style="position:absolute;margin-left:280.60000000000002pt;margin-top:34.100000000000001pt;width:47.299999999999997pt;height:5.0499999999999998pt;z-index:-1887425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NASILJE,'NEBO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535305</wp:posOffset>
              </wp:positionV>
              <wp:extent cx="4023360" cy="0"/>
              <wp:wrapNone/>
              <wp:docPr id="1976" name="Shape 197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2.149999999999999pt;width:316.80000000000001pt;height:0;z-index:-251658240;mso-position-horizontal-relative:page;mso-position-vertical-relative:page">
              <v:stroke weight="1.pt"/>
            </v:shape>
          </w:pict>
        </mc:Fallback>
      </mc:AlternateContent>
    </w:r>
  </w:p>
</w:hdr>
</file>

<file path=word/header4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0" behindDoc="1" locked="0" layoutInCell="1" allowOverlap="1">
              <wp:simplePos x="0" y="0"/>
              <wp:positionH relativeFrom="page">
                <wp:posOffset>3563620</wp:posOffset>
              </wp:positionH>
              <wp:positionV relativeFrom="page">
                <wp:posOffset>433070</wp:posOffset>
              </wp:positionV>
              <wp:extent cx="600710" cy="64135"/>
              <wp:wrapNone/>
              <wp:docPr id="1977" name="Shape 1977"/>
              <a:graphic xmlns:a="http://schemas.openxmlformats.org/drawingml/2006/main">
                <a:graphicData uri="http://schemas.microsoft.com/office/word/2010/wordprocessingShape">
                  <wps:wsp>
                    <wps:cNvSpPr txBox="1"/>
                    <wps:spPr>
                      <a:xfrm>
                        <a:ext cx="6007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NASILJE,'NEBO</w:t>
                          </w:r>
                        </w:p>
                      </w:txbxContent>
                    </wps:txbx>
                    <wps:bodyPr wrap="none" lIns="0" tIns="0" rIns="0" bIns="0">
                      <a:spAutoFit/>
                    </wps:bodyPr>
                  </wps:wsp>
                </a:graphicData>
              </a:graphic>
            </wp:anchor>
          </w:drawing>
        </mc:Choice>
        <mc:Fallback>
          <w:pict>
            <v:shape id="_x0000_s3003" type="#_x0000_t202" style="position:absolute;margin-left:280.60000000000002pt;margin-top:34.100000000000001pt;width:47.299999999999997pt;height:5.0499999999999998pt;z-index:-1887425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NASILJE,'NEBO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535305</wp:posOffset>
              </wp:positionV>
              <wp:extent cx="4023360" cy="0"/>
              <wp:wrapNone/>
              <wp:docPr id="1979" name="Shape 197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2.149999999999999pt;width:316.80000000000001pt;height:0;z-index:-251658240;mso-position-horizontal-relative:page;mso-position-vertical-relative:page">
              <v:stroke weight="1.pt"/>
            </v:shape>
          </w:pict>
        </mc:Fallback>
      </mc:AlternateContent>
    </w:r>
  </w:p>
</w:hdr>
</file>

<file path=word/header4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2" behindDoc="1" locked="0" layoutInCell="1" allowOverlap="1">
              <wp:simplePos x="0" y="0"/>
              <wp:positionH relativeFrom="page">
                <wp:posOffset>139065</wp:posOffset>
              </wp:positionH>
              <wp:positionV relativeFrom="page">
                <wp:posOffset>463550</wp:posOffset>
              </wp:positionV>
              <wp:extent cx="234950" cy="64135"/>
              <wp:wrapNone/>
              <wp:docPr id="1980" name="Shape 1980"/>
              <a:graphic xmlns:a="http://schemas.openxmlformats.org/drawingml/2006/main">
                <a:graphicData uri="http://schemas.microsoft.com/office/word/2010/wordprocessingShape">
                  <wps:wsp>
                    <wps:cNvSpPr txBox="1"/>
                    <wps:spPr>
                      <a:xfrm>
                        <a:ext cx="2349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w:t>
                          </w:r>
                        </w:p>
                      </w:txbxContent>
                    </wps:txbx>
                    <wps:bodyPr wrap="none" lIns="0" tIns="0" rIns="0" bIns="0">
                      <a:spAutoFit/>
                    </wps:bodyPr>
                  </wps:wsp>
                </a:graphicData>
              </a:graphic>
            </wp:anchor>
          </w:drawing>
        </mc:Choice>
        <mc:Fallback>
          <w:pict>
            <v:shape id="_x0000_s3006" type="#_x0000_t202" style="position:absolute;margin-left:10.949999999999999pt;margin-top:36.5pt;width:18.5pt;height:5.0499999999999998pt;z-index:-1887425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556895</wp:posOffset>
              </wp:positionV>
              <wp:extent cx="4023360" cy="0"/>
              <wp:wrapNone/>
              <wp:docPr id="1982" name="Shape 198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99999999999999pt;margin-top:43.850000000000001pt;width:316.80000000000001pt;height:0;z-index:-251658240;mso-position-horizontal-relative:page;mso-position-vertical-relative:page">
              <v:stroke weight="1.pt"/>
            </v:shape>
          </w:pict>
        </mc:Fallback>
      </mc:AlternateContent>
    </w:r>
  </w:p>
</w:hdr>
</file>

<file path=word/header4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6" behindDoc="1" locked="0" layoutInCell="1" allowOverlap="1">
              <wp:simplePos x="0" y="0"/>
              <wp:positionH relativeFrom="page">
                <wp:posOffset>139065</wp:posOffset>
              </wp:positionH>
              <wp:positionV relativeFrom="page">
                <wp:posOffset>463550</wp:posOffset>
              </wp:positionV>
              <wp:extent cx="234950" cy="64135"/>
              <wp:wrapNone/>
              <wp:docPr id="1985" name="Shape 1985"/>
              <a:graphic xmlns:a="http://schemas.openxmlformats.org/drawingml/2006/main">
                <a:graphicData uri="http://schemas.microsoft.com/office/word/2010/wordprocessingShape">
                  <wps:wsp>
                    <wps:cNvSpPr txBox="1"/>
                    <wps:spPr>
                      <a:xfrm>
                        <a:ext cx="2349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w:t>
                          </w:r>
                        </w:p>
                      </w:txbxContent>
                    </wps:txbx>
                    <wps:bodyPr wrap="none" lIns="0" tIns="0" rIns="0" bIns="0">
                      <a:spAutoFit/>
                    </wps:bodyPr>
                  </wps:wsp>
                </a:graphicData>
              </a:graphic>
            </wp:anchor>
          </w:drawing>
        </mc:Choice>
        <mc:Fallback>
          <w:pict>
            <v:shape id="_x0000_s3011" type="#_x0000_t202" style="position:absolute;margin-left:10.949999999999999pt;margin-top:36.5pt;width:18.5pt;height:5.0499999999999998pt;z-index:-1887425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556895</wp:posOffset>
              </wp:positionV>
              <wp:extent cx="4023360" cy="0"/>
              <wp:wrapNone/>
              <wp:docPr id="1987" name="Shape 198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99999999999999pt;margin-top:43.850000000000001pt;width:316.80000000000001pt;height:0;z-index:-251658240;mso-position-horizontal-relative:page;mso-position-vertical-relative:page">
              <v:stroke weight="1.pt"/>
            </v:shape>
          </w:pict>
        </mc:Fallback>
      </mc:AlternateContent>
    </w:r>
  </w:p>
</w:hdr>
</file>

<file path=word/header4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0" behindDoc="1" locked="0" layoutInCell="1" allowOverlap="1">
              <wp:simplePos x="0" y="0"/>
              <wp:positionH relativeFrom="page">
                <wp:posOffset>3342640</wp:posOffset>
              </wp:positionH>
              <wp:positionV relativeFrom="page">
                <wp:posOffset>439420</wp:posOffset>
              </wp:positionV>
              <wp:extent cx="835025" cy="67310"/>
              <wp:wrapNone/>
              <wp:docPr id="1990" name="Shape 1990"/>
              <a:graphic xmlns:a="http://schemas.openxmlformats.org/drawingml/2006/main">
                <a:graphicData uri="http://schemas.microsoft.com/office/word/2010/wordprocessingShape">
                  <wps:wsp>
                    <wps:cNvSpPr txBox="1"/>
                    <wps:spPr>
                      <a:xfrm>
                        <a:ext cx="8350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NEBO/NOVI ZAVJET</w:t>
                          </w:r>
                        </w:p>
                      </w:txbxContent>
                    </wps:txbx>
                    <wps:bodyPr wrap="none" lIns="0" tIns="0" rIns="0" bIns="0">
                      <a:spAutoFit/>
                    </wps:bodyPr>
                  </wps:wsp>
                </a:graphicData>
              </a:graphic>
            </wp:anchor>
          </w:drawing>
        </mc:Choice>
        <mc:Fallback>
          <w:pict>
            <v:shape id="_x0000_s3016" type="#_x0000_t202" style="position:absolute;margin-left:263.19999999999999pt;margin-top:34.600000000000001pt;width:65.75pt;height:5.2999999999999998pt;z-index:-1887425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NEBO/NOVI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538480</wp:posOffset>
              </wp:positionV>
              <wp:extent cx="4023360" cy="0"/>
              <wp:wrapNone/>
              <wp:docPr id="1992" name="Shape 199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5pt;margin-top:42.399999999999999pt;width:316.80000000000001pt;height:0;z-index:-251658240;mso-position-horizontal-relative:page;mso-position-vertical-relative:page">
              <v:stroke weight="1.pt"/>
            </v:shape>
          </w:pict>
        </mc:Fallback>
      </mc:AlternateContent>
    </w:r>
  </w:p>
</w:hdr>
</file>

<file path=word/header4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2" behindDoc="1" locked="0" layoutInCell="1" allowOverlap="1">
              <wp:simplePos x="0" y="0"/>
              <wp:positionH relativeFrom="page">
                <wp:posOffset>3342640</wp:posOffset>
              </wp:positionH>
              <wp:positionV relativeFrom="page">
                <wp:posOffset>439420</wp:posOffset>
              </wp:positionV>
              <wp:extent cx="835025" cy="67310"/>
              <wp:wrapNone/>
              <wp:docPr id="1993" name="Shape 1993"/>
              <a:graphic xmlns:a="http://schemas.openxmlformats.org/drawingml/2006/main">
                <a:graphicData uri="http://schemas.microsoft.com/office/word/2010/wordprocessingShape">
                  <wps:wsp>
                    <wps:cNvSpPr txBox="1"/>
                    <wps:spPr>
                      <a:xfrm>
                        <a:ext cx="8350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NEBO/NOVI ZAVJET</w:t>
                          </w:r>
                        </w:p>
                      </w:txbxContent>
                    </wps:txbx>
                    <wps:bodyPr wrap="none" lIns="0" tIns="0" rIns="0" bIns="0">
                      <a:spAutoFit/>
                    </wps:bodyPr>
                  </wps:wsp>
                </a:graphicData>
              </a:graphic>
            </wp:anchor>
          </w:drawing>
        </mc:Choice>
        <mc:Fallback>
          <w:pict>
            <v:shape id="_x0000_s3019" type="#_x0000_t202" style="position:absolute;margin-left:263.19999999999999pt;margin-top:34.600000000000001pt;width:65.75pt;height:5.2999999999999998pt;z-index:-1887425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NEBO/NOVI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538480</wp:posOffset>
              </wp:positionV>
              <wp:extent cx="4023360" cy="0"/>
              <wp:wrapNone/>
              <wp:docPr id="1995" name="Shape 199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5pt;margin-top:42.399999999999999pt;width:316.80000000000001pt;height:0;z-index:-251658240;mso-position-horizontal-relative:page;mso-position-vertical-relative:page">
              <v:stroke weight="1.pt"/>
            </v:shape>
          </w:pict>
        </mc:Fallback>
      </mc:AlternateContent>
    </w:r>
  </w:p>
</w:hdr>
</file>

<file path=word/header4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4" behindDoc="1" locked="0" layoutInCell="1" allowOverlap="1">
              <wp:simplePos x="0" y="0"/>
              <wp:positionH relativeFrom="page">
                <wp:posOffset>3608070</wp:posOffset>
              </wp:positionH>
              <wp:positionV relativeFrom="page">
                <wp:posOffset>433070</wp:posOffset>
              </wp:positionV>
              <wp:extent cx="572770" cy="64135"/>
              <wp:wrapNone/>
              <wp:docPr id="1996" name="Shape 1996"/>
              <a:graphic xmlns:a="http://schemas.openxmlformats.org/drawingml/2006/main">
                <a:graphicData uri="http://schemas.microsoft.com/office/word/2010/wordprocessingShape">
                  <wps:wsp>
                    <wps:cNvSpPr txBox="1"/>
                    <wps:spPr>
                      <a:xfrm>
                        <a:ext cx="5727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wps:txbx>
                    <wps:bodyPr wrap="none" lIns="0" tIns="0" rIns="0" bIns="0">
                      <a:spAutoFit/>
                    </wps:bodyPr>
                  </wps:wsp>
                </a:graphicData>
              </a:graphic>
            </wp:anchor>
          </w:drawing>
        </mc:Choice>
        <mc:Fallback>
          <w:pict>
            <v:shape id="_x0000_s3022" type="#_x0000_t202" style="position:absolute;margin-left:284.10000000000002pt;margin-top:34.100000000000001pt;width:45.100000000000001pt;height:5.0499999999999998pt;z-index:-1887425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157480</wp:posOffset>
              </wp:positionH>
              <wp:positionV relativeFrom="page">
                <wp:posOffset>529590</wp:posOffset>
              </wp:positionV>
              <wp:extent cx="4020185" cy="0"/>
              <wp:wrapNone/>
              <wp:docPr id="1998" name="Shape 199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4pt;margin-top:41.700000000000003pt;width:316.55000000000001pt;height:0;z-index:-251658240;mso-position-horizontal-relative:page;mso-position-vertical-relative:page">
              <v:stroke weight="1.pt"/>
            </v:shape>
          </w:pict>
        </mc:Fallback>
      </mc:AlternateContent>
    </w:r>
  </w:p>
</w:hdr>
</file>

<file path=word/header4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8" behindDoc="1" locked="0" layoutInCell="1" allowOverlap="1">
              <wp:simplePos x="0" y="0"/>
              <wp:positionH relativeFrom="page">
                <wp:posOffset>148590</wp:posOffset>
              </wp:positionH>
              <wp:positionV relativeFrom="page">
                <wp:posOffset>433070</wp:posOffset>
              </wp:positionV>
              <wp:extent cx="570230" cy="64135"/>
              <wp:wrapNone/>
              <wp:docPr id="2001" name="Shape 2001"/>
              <a:graphic xmlns:a="http://schemas.openxmlformats.org/drawingml/2006/main">
                <a:graphicData uri="http://schemas.microsoft.com/office/word/2010/wordprocessingShape">
                  <wps:wsp>
                    <wps:cNvSpPr txBox="1"/>
                    <wps:spPr>
                      <a:xfrm>
                        <a:ext cx="5702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wps:txbx>
                    <wps:bodyPr wrap="none" lIns="0" tIns="0" rIns="0" bIns="0">
                      <a:spAutoFit/>
                    </wps:bodyPr>
                  </wps:wsp>
                </a:graphicData>
              </a:graphic>
            </wp:anchor>
          </w:drawing>
        </mc:Choice>
        <mc:Fallback>
          <w:pict>
            <v:shape id="_x0000_s3027" type="#_x0000_t202" style="position:absolute;margin-left:11.699999999999999pt;margin-top:34.100000000000001pt;width:44.899999999999999pt;height:5.0499999999999998pt;z-index:-1887425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553720</wp:posOffset>
              </wp:positionV>
              <wp:extent cx="4026535" cy="0"/>
              <wp:wrapNone/>
              <wp:docPr id="2003" name="Shape 2003"/>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3.600000000000001pt;width:317.05000000000001pt;height:0;z-index:-251658240;mso-position-horizontal-relative:page;mso-position-vertical-relative:page">
              <v:stroke weight="1.pt"/>
            </v:shape>
          </w:pict>
        </mc:Fallback>
      </mc:AlternateContent>
    </w:r>
  </w:p>
</w:hdr>
</file>

<file path=word/header4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2" behindDoc="1" locked="0" layoutInCell="1" allowOverlap="1">
              <wp:simplePos x="0" y="0"/>
              <wp:positionH relativeFrom="page">
                <wp:posOffset>148590</wp:posOffset>
              </wp:positionH>
              <wp:positionV relativeFrom="page">
                <wp:posOffset>433070</wp:posOffset>
              </wp:positionV>
              <wp:extent cx="570230" cy="64135"/>
              <wp:wrapNone/>
              <wp:docPr id="2006" name="Shape 2006"/>
              <a:graphic xmlns:a="http://schemas.openxmlformats.org/drawingml/2006/main">
                <a:graphicData uri="http://schemas.microsoft.com/office/word/2010/wordprocessingShape">
                  <wps:wsp>
                    <wps:cNvSpPr txBox="1"/>
                    <wps:spPr>
                      <a:xfrm>
                        <a:ext cx="5702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wps:txbx>
                    <wps:bodyPr wrap="none" lIns="0" tIns="0" rIns="0" bIns="0">
                      <a:spAutoFit/>
                    </wps:bodyPr>
                  </wps:wsp>
                </a:graphicData>
              </a:graphic>
            </wp:anchor>
          </w:drawing>
        </mc:Choice>
        <mc:Fallback>
          <w:pict>
            <v:shape id="_x0000_s3032" type="#_x0000_t202" style="position:absolute;margin-left:11.699999999999999pt;margin-top:34.100000000000001pt;width:44.899999999999999pt;height:5.0499999999999998pt;z-index:-1887425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553720</wp:posOffset>
              </wp:positionV>
              <wp:extent cx="4026535" cy="0"/>
              <wp:wrapNone/>
              <wp:docPr id="2008" name="Shape 200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3.600000000000001pt;width:317.05000000000001pt;height:0;z-index:-251658240;mso-position-horizontal-relative:page;mso-position-vertical-relative:page">
              <v:stroke weight="1.pt"/>
            </v:shape>
          </w:pict>
        </mc:Fallback>
      </mc:AlternateContent>
    </w:r>
  </w:p>
</w:hdr>
</file>

<file path=word/header4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6" behindDoc="1" locked="0" layoutInCell="1" allowOverlap="1">
              <wp:simplePos x="0" y="0"/>
              <wp:positionH relativeFrom="page">
                <wp:posOffset>148590</wp:posOffset>
              </wp:positionH>
              <wp:positionV relativeFrom="page">
                <wp:posOffset>433070</wp:posOffset>
              </wp:positionV>
              <wp:extent cx="570230" cy="64135"/>
              <wp:wrapNone/>
              <wp:docPr id="2011" name="Shape 2011"/>
              <a:graphic xmlns:a="http://schemas.openxmlformats.org/drawingml/2006/main">
                <a:graphicData uri="http://schemas.microsoft.com/office/word/2010/wordprocessingShape">
                  <wps:wsp>
                    <wps:cNvSpPr txBox="1"/>
                    <wps:spPr>
                      <a:xfrm>
                        <a:ext cx="5702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wps:txbx>
                    <wps:bodyPr wrap="none" lIns="0" tIns="0" rIns="0" bIns="0">
                      <a:spAutoFit/>
                    </wps:bodyPr>
                  </wps:wsp>
                </a:graphicData>
              </a:graphic>
            </wp:anchor>
          </w:drawing>
        </mc:Choice>
        <mc:Fallback>
          <w:pict>
            <v:shape id="_x0000_s3037" type="#_x0000_t202" style="position:absolute;margin-left:11.699999999999999pt;margin-top:34.100000000000001pt;width:44.899999999999999pt;height:5.0499999999999998pt;z-index:-1887425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553720</wp:posOffset>
              </wp:positionV>
              <wp:extent cx="4026535" cy="0"/>
              <wp:wrapNone/>
              <wp:docPr id="2013" name="Shape 2013"/>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3.600000000000001pt;width:317.05000000000001pt;height:0;z-index:-251658240;mso-position-horizontal-relative:page;mso-position-vertical-relative:page">
              <v:stroke weight="1.pt"/>
            </v:shape>
          </w:pict>
        </mc:Fallback>
      </mc:AlternateContent>
    </w:r>
  </w:p>
</w:hdr>
</file>

<file path=word/header4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0" behindDoc="1" locked="0" layoutInCell="1" allowOverlap="1">
              <wp:simplePos x="0" y="0"/>
              <wp:positionH relativeFrom="page">
                <wp:posOffset>3602990</wp:posOffset>
              </wp:positionH>
              <wp:positionV relativeFrom="page">
                <wp:posOffset>433070</wp:posOffset>
              </wp:positionV>
              <wp:extent cx="570230" cy="64135"/>
              <wp:wrapNone/>
              <wp:docPr id="2016" name="Shape 2016"/>
              <a:graphic xmlns:a="http://schemas.openxmlformats.org/drawingml/2006/main">
                <a:graphicData uri="http://schemas.microsoft.com/office/word/2010/wordprocessingShape">
                  <wps:wsp>
                    <wps:cNvSpPr txBox="1"/>
                    <wps:spPr>
                      <a:xfrm>
                        <a:ext cx="5702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wps:txbx>
                    <wps:bodyPr wrap="none" lIns="0" tIns="0" rIns="0" bIns="0">
                      <a:spAutoFit/>
                    </wps:bodyPr>
                  </wps:wsp>
                </a:graphicData>
              </a:graphic>
            </wp:anchor>
          </w:drawing>
        </mc:Choice>
        <mc:Fallback>
          <w:pict>
            <v:shape id="_x0000_s3042" type="#_x0000_t202" style="position:absolute;margin-left:283.69999999999999pt;margin-top:34.100000000000001pt;width:44.899999999999999pt;height:5.0499999999999998pt;z-index:-1887425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NOVI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535305</wp:posOffset>
              </wp:positionV>
              <wp:extent cx="4020185" cy="0"/>
              <wp:wrapNone/>
              <wp:docPr id="2018" name="Shape 201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050000000000001pt;margin-top:42.149999999999999pt;width:316.55000000000001pt;height:0;z-index:-251658240;mso-position-horizontal-relative:page;mso-position-vertical-relative:page">
              <v:stroke weight="1.pt"/>
            </v:shape>
          </w:pict>
        </mc:Fallback>
      </mc:AlternateContent>
    </w:r>
  </w:p>
</w:hdr>
</file>

<file path=word/header4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4" behindDoc="1" locked="0" layoutInCell="1" allowOverlap="1">
              <wp:simplePos x="0" y="0"/>
              <wp:positionH relativeFrom="page">
                <wp:posOffset>142240</wp:posOffset>
              </wp:positionH>
              <wp:positionV relativeFrom="page">
                <wp:posOffset>407670</wp:posOffset>
              </wp:positionV>
              <wp:extent cx="448310" cy="82550"/>
              <wp:wrapNone/>
              <wp:docPr id="2021" name="Shape 2021"/>
              <a:graphic xmlns:a="http://schemas.openxmlformats.org/drawingml/2006/main">
                <a:graphicData uri="http://schemas.microsoft.com/office/word/2010/wordprocessingShape">
                  <wps:wsp>
                    <wps:cNvSpPr txBox="1"/>
                    <wps:spPr>
                      <a:xfrm>
                        <a:ext cx="44831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OBEĆANJE</w:t>
                          </w:r>
                        </w:p>
                      </w:txbxContent>
                    </wps:txbx>
                    <wps:bodyPr wrap="none" lIns="0" tIns="0" rIns="0" bIns="0">
                      <a:spAutoFit/>
                    </wps:bodyPr>
                  </wps:wsp>
                </a:graphicData>
              </a:graphic>
            </wp:anchor>
          </w:drawing>
        </mc:Choice>
        <mc:Fallback>
          <w:pict>
            <v:shape id="_x0000_s3047" type="#_x0000_t202" style="position:absolute;margin-left:11.199999999999999pt;margin-top:32.100000000000001pt;width:35.299999999999997pt;height:6.5pt;z-index:-1887425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OBEĆANJE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516890</wp:posOffset>
              </wp:positionV>
              <wp:extent cx="4029710" cy="0"/>
              <wp:wrapNone/>
              <wp:docPr id="2023" name="Shape 2023"/>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199999999999999pt;margin-top:40.700000000000003pt;width:317.30000000000001pt;height:0;z-index:-251658240;mso-position-horizontal-relative:page;mso-position-vertical-relative:page">
              <v:stroke weight="1.pt"/>
            </v:shape>
          </w:pict>
        </mc:Fallback>
      </mc:AlternateContent>
    </w:r>
  </w:p>
</w:hdr>
</file>

<file path=word/header4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8" behindDoc="1" locked="0" layoutInCell="1" allowOverlap="1">
              <wp:simplePos x="0" y="0"/>
              <wp:positionH relativeFrom="page">
                <wp:posOffset>142240</wp:posOffset>
              </wp:positionH>
              <wp:positionV relativeFrom="page">
                <wp:posOffset>407670</wp:posOffset>
              </wp:positionV>
              <wp:extent cx="448310" cy="82550"/>
              <wp:wrapNone/>
              <wp:docPr id="2026" name="Shape 2026"/>
              <a:graphic xmlns:a="http://schemas.openxmlformats.org/drawingml/2006/main">
                <a:graphicData uri="http://schemas.microsoft.com/office/word/2010/wordprocessingShape">
                  <wps:wsp>
                    <wps:cNvSpPr txBox="1"/>
                    <wps:spPr>
                      <a:xfrm>
                        <a:ext cx="44831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OBEĆANJE</w:t>
                          </w:r>
                        </w:p>
                      </w:txbxContent>
                    </wps:txbx>
                    <wps:bodyPr wrap="none" lIns="0" tIns="0" rIns="0" bIns="0">
                      <a:spAutoFit/>
                    </wps:bodyPr>
                  </wps:wsp>
                </a:graphicData>
              </a:graphic>
            </wp:anchor>
          </w:drawing>
        </mc:Choice>
        <mc:Fallback>
          <w:pict>
            <v:shape id="_x0000_s3052" type="#_x0000_t202" style="position:absolute;margin-left:11.199999999999999pt;margin-top:32.100000000000001pt;width:35.299999999999997pt;height:6.5pt;z-index:-1887425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OBEĆANJE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516890</wp:posOffset>
              </wp:positionV>
              <wp:extent cx="4029710" cy="0"/>
              <wp:wrapNone/>
              <wp:docPr id="2028" name="Shape 2028"/>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199999999999999pt;margin-top:40.700000000000003pt;width:317.30000000000001pt;height:0;z-index:-251658240;mso-position-horizontal-relative:page;mso-position-vertical-relative:page">
              <v:stroke weight="1.pt"/>
            </v:shape>
          </w:pict>
        </mc:Fallback>
      </mc:AlternateContent>
    </w:r>
  </w:p>
</w:hdr>
</file>

<file path=word/header4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4" behindDoc="1" locked="0" layoutInCell="1" allowOverlap="1">
              <wp:simplePos x="0" y="0"/>
              <wp:positionH relativeFrom="page">
                <wp:posOffset>134620</wp:posOffset>
              </wp:positionH>
              <wp:positionV relativeFrom="page">
                <wp:posOffset>428625</wp:posOffset>
              </wp:positionV>
              <wp:extent cx="341630" cy="60960"/>
              <wp:wrapNone/>
              <wp:docPr id="2033" name="Shape 2033"/>
              <a:graphic xmlns:a="http://schemas.openxmlformats.org/drawingml/2006/main">
                <a:graphicData uri="http://schemas.microsoft.com/office/word/2010/wordprocessingShape">
                  <wps:wsp>
                    <wps:cNvSpPr txBox="1"/>
                    <wps:spPr>
                      <a:xfrm>
                        <a:ext cx="3416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wps:txbx>
                    <wps:bodyPr wrap="none" lIns="0" tIns="0" rIns="0" bIns="0">
                      <a:spAutoFit/>
                    </wps:bodyPr>
                  </wps:wsp>
                </a:graphicData>
              </a:graphic>
            </wp:anchor>
          </w:drawing>
        </mc:Choice>
        <mc:Fallback>
          <w:pict>
            <v:shape id="_x0000_s3059" type="#_x0000_t202" style="position:absolute;margin-left:10.6pt;margin-top:33.75pt;width:26.899999999999999pt;height:4.7999999999999998pt;z-index:-1887425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137795</wp:posOffset>
              </wp:positionH>
              <wp:positionV relativeFrom="page">
                <wp:posOffset>518795</wp:posOffset>
              </wp:positionV>
              <wp:extent cx="4023360" cy="0"/>
              <wp:wrapNone/>
              <wp:docPr id="2035" name="Shape 203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0.85pt;margin-top:40.850000000000001pt;width:316.80000000000001pt;height:0;z-index:-251658240;mso-position-horizontal-relative:page;mso-position-vertical-relative:page">
              <v:stroke weight="1.pt"/>
            </v:shape>
          </w:pict>
        </mc:Fallback>
      </mc:AlternateContent>
    </w:r>
  </w:p>
</w:hdr>
</file>

<file path=word/header4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8" behindDoc="1" locked="0" layoutInCell="1" allowOverlap="1">
              <wp:simplePos x="0" y="0"/>
              <wp:positionH relativeFrom="page">
                <wp:posOffset>134620</wp:posOffset>
              </wp:positionH>
              <wp:positionV relativeFrom="page">
                <wp:posOffset>428625</wp:posOffset>
              </wp:positionV>
              <wp:extent cx="341630" cy="60960"/>
              <wp:wrapNone/>
              <wp:docPr id="2038" name="Shape 2038"/>
              <a:graphic xmlns:a="http://schemas.openxmlformats.org/drawingml/2006/main">
                <a:graphicData uri="http://schemas.microsoft.com/office/word/2010/wordprocessingShape">
                  <wps:wsp>
                    <wps:cNvSpPr txBox="1"/>
                    <wps:spPr>
                      <a:xfrm>
                        <a:ext cx="3416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wps:txbx>
                    <wps:bodyPr wrap="none" lIns="0" tIns="0" rIns="0" bIns="0">
                      <a:spAutoFit/>
                    </wps:bodyPr>
                  </wps:wsp>
                </a:graphicData>
              </a:graphic>
            </wp:anchor>
          </w:drawing>
        </mc:Choice>
        <mc:Fallback>
          <w:pict>
            <v:shape id="_x0000_s3064" type="#_x0000_t202" style="position:absolute;margin-left:10.6pt;margin-top:33.75pt;width:26.899999999999999pt;height:4.7999999999999998pt;z-index:-1887425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137795</wp:posOffset>
              </wp:positionH>
              <wp:positionV relativeFrom="page">
                <wp:posOffset>518795</wp:posOffset>
              </wp:positionV>
              <wp:extent cx="4023360" cy="0"/>
              <wp:wrapNone/>
              <wp:docPr id="2040" name="Shape 204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0.85pt;margin-top:40.850000000000001pt;width:316.80000000000001pt;height:0;z-index:-251658240;mso-position-horizontal-relative:page;mso-position-vertical-relative:page">
              <v:stroke weight="1.pt"/>
            </v:shape>
          </w:pict>
        </mc:Fallback>
      </mc:AlternateContent>
    </w:r>
  </w:p>
</w:hdr>
</file>

<file path=word/header4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2" behindDoc="1" locked="0" layoutInCell="1" allowOverlap="1">
              <wp:simplePos x="0" y="0"/>
              <wp:positionH relativeFrom="page">
                <wp:posOffset>3341370</wp:posOffset>
              </wp:positionH>
              <wp:positionV relativeFrom="page">
                <wp:posOffset>407670</wp:posOffset>
              </wp:positionV>
              <wp:extent cx="816610" cy="82550"/>
              <wp:wrapNone/>
              <wp:docPr id="2043" name="Shape 2043"/>
              <a:graphic xmlns:a="http://schemas.openxmlformats.org/drawingml/2006/main">
                <a:graphicData uri="http://schemas.microsoft.com/office/word/2010/wordprocessingShape">
                  <wps:wsp>
                    <wps:cNvSpPr txBox="1"/>
                    <wps:spPr>
                      <a:xfrm>
                        <a:ext cx="81661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OBEĆANJE/OBITEU</w:t>
                          </w:r>
                        </w:p>
                      </w:txbxContent>
                    </wps:txbx>
                    <wps:bodyPr wrap="none" lIns="0" tIns="0" rIns="0" bIns="0">
                      <a:spAutoFit/>
                    </wps:bodyPr>
                  </wps:wsp>
                </a:graphicData>
              </a:graphic>
            </wp:anchor>
          </w:drawing>
        </mc:Choice>
        <mc:Fallback>
          <w:pict>
            <v:shape id="_x0000_s3069" type="#_x0000_t202" style="position:absolute;margin-left:263.10000000000002pt;margin-top:32.100000000000001pt;width:64.299999999999997pt;height:6.5pt;z-index:-1887425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OBEĆANJE/OBITEU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137795</wp:posOffset>
              </wp:positionH>
              <wp:positionV relativeFrom="page">
                <wp:posOffset>527685</wp:posOffset>
              </wp:positionV>
              <wp:extent cx="4029710" cy="0"/>
              <wp:wrapNone/>
              <wp:docPr id="2045" name="Shape 2045"/>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0.85pt;margin-top:41.549999999999997pt;width:317.30000000000001pt;height:0;z-index:-251658240;mso-position-horizontal-relative:page;mso-position-vertical-relative:page">
              <v:stroke weight="1.pt"/>
            </v:shape>
          </w:pict>
        </mc:Fallback>
      </mc:AlternateContent>
    </w:r>
  </w:p>
</w:hdr>
</file>

<file path=word/header4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6" behindDoc="1" locked="0" layoutInCell="1" allowOverlap="1">
              <wp:simplePos x="0" y="0"/>
              <wp:positionH relativeFrom="page">
                <wp:posOffset>153035</wp:posOffset>
              </wp:positionH>
              <wp:positionV relativeFrom="page">
                <wp:posOffset>426085</wp:posOffset>
              </wp:positionV>
              <wp:extent cx="341630" cy="64135"/>
              <wp:wrapNone/>
              <wp:docPr id="2048" name="Shape 2048"/>
              <a:graphic xmlns:a="http://schemas.openxmlformats.org/drawingml/2006/main">
                <a:graphicData uri="http://schemas.microsoft.com/office/word/2010/wordprocessingShape">
                  <wps:wsp>
                    <wps:cNvSpPr txBox="1"/>
                    <wps:spPr>
                      <a:xfrm>
                        <a:ext cx="3416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wps:txbx>
                    <wps:bodyPr wrap="none" lIns="0" tIns="0" rIns="0" bIns="0">
                      <a:spAutoFit/>
                    </wps:bodyPr>
                  </wps:wsp>
                </a:graphicData>
              </a:graphic>
            </wp:anchor>
          </w:drawing>
        </mc:Choice>
        <mc:Fallback>
          <w:pict>
            <v:shape id="_x0000_s3074" type="#_x0000_t202" style="position:absolute;margin-left:12.050000000000001pt;margin-top:33.549999999999997pt;width:26.899999999999999pt;height:5.0499999999999998pt;z-index:-1887424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523240</wp:posOffset>
              </wp:positionV>
              <wp:extent cx="4023360" cy="0"/>
              <wp:wrapNone/>
              <wp:docPr id="2050" name="Shape 205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1.200000000000003pt;width:316.80000000000001pt;height:0;z-index:-251658240;mso-position-horizontal-relative:page;mso-position-vertical-relative:page">
              <v:stroke weight="1.pt"/>
            </v:shape>
          </w:pict>
        </mc:Fallback>
      </mc:AlternateContent>
    </w:r>
  </w:p>
</w:hdr>
</file>

<file path=word/header4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0" behindDoc="1" locked="0" layoutInCell="1" allowOverlap="1">
              <wp:simplePos x="0" y="0"/>
              <wp:positionH relativeFrom="page">
                <wp:posOffset>153035</wp:posOffset>
              </wp:positionH>
              <wp:positionV relativeFrom="page">
                <wp:posOffset>426085</wp:posOffset>
              </wp:positionV>
              <wp:extent cx="341630" cy="64135"/>
              <wp:wrapNone/>
              <wp:docPr id="2053" name="Shape 2053"/>
              <a:graphic xmlns:a="http://schemas.openxmlformats.org/drawingml/2006/main">
                <a:graphicData uri="http://schemas.microsoft.com/office/word/2010/wordprocessingShape">
                  <wps:wsp>
                    <wps:cNvSpPr txBox="1"/>
                    <wps:spPr>
                      <a:xfrm>
                        <a:ext cx="3416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wps:txbx>
                    <wps:bodyPr wrap="none" lIns="0" tIns="0" rIns="0" bIns="0">
                      <a:spAutoFit/>
                    </wps:bodyPr>
                  </wps:wsp>
                </a:graphicData>
              </a:graphic>
            </wp:anchor>
          </w:drawing>
        </mc:Choice>
        <mc:Fallback>
          <w:pict>
            <v:shape id="_x0000_s3079" type="#_x0000_t202" style="position:absolute;margin-left:12.050000000000001pt;margin-top:33.549999999999997pt;width:26.899999999999999pt;height:5.0499999999999998pt;z-index:-1887424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523240</wp:posOffset>
              </wp:positionV>
              <wp:extent cx="4023360" cy="0"/>
              <wp:wrapNone/>
              <wp:docPr id="2055" name="Shape 205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050000000000001pt;margin-top:41.200000000000003pt;width:316.80000000000001pt;height:0;z-index:-251658240;mso-position-horizontal-relative:page;mso-position-vertical-relative:page">
              <v:stroke weight="1.pt"/>
            </v:shape>
          </w:pict>
        </mc:Fallback>
      </mc:AlternateContent>
    </w:r>
  </w:p>
</w:hdr>
</file>

<file path=word/header4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4" behindDoc="1" locked="0" layoutInCell="1" allowOverlap="1">
              <wp:simplePos x="0" y="0"/>
              <wp:positionH relativeFrom="page">
                <wp:posOffset>3819525</wp:posOffset>
              </wp:positionH>
              <wp:positionV relativeFrom="page">
                <wp:posOffset>426085</wp:posOffset>
              </wp:positionV>
              <wp:extent cx="338455" cy="64135"/>
              <wp:wrapNone/>
              <wp:docPr id="2058" name="Shape 2058"/>
              <a:graphic xmlns:a="http://schemas.openxmlformats.org/drawingml/2006/main">
                <a:graphicData uri="http://schemas.microsoft.com/office/word/2010/wordprocessingShape">
                  <wps:wsp>
                    <wps:cNvSpPr txBox="1"/>
                    <wps:spPr>
                      <a:xfrm>
                        <a:ext cx="33845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OBITEiJ</w:t>
                          </w:r>
                        </w:p>
                      </w:txbxContent>
                    </wps:txbx>
                    <wps:bodyPr wrap="none" lIns="0" tIns="0" rIns="0" bIns="0">
                      <a:spAutoFit/>
                    </wps:bodyPr>
                  </wps:wsp>
                </a:graphicData>
              </a:graphic>
            </wp:anchor>
          </w:drawing>
        </mc:Choice>
        <mc:Fallback>
          <w:pict>
            <v:shape id="_x0000_s3084" type="#_x0000_t202" style="position:absolute;margin-left:300.75pt;margin-top:33.549999999999997pt;width:26.649999999999999pt;height:5.0499999999999998pt;z-index:-1887424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en-US" w:eastAsia="en-US" w:bidi="en-US"/>
                      </w:rPr>
                      <w:t>OBITEiJ</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526415</wp:posOffset>
              </wp:positionV>
              <wp:extent cx="4023360" cy="0"/>
              <wp:wrapNone/>
              <wp:docPr id="2060" name="Shape 206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1.450000000000003pt;width:316.80000000000001pt;height:0;z-index:-251658240;mso-position-horizontal-relative:page;mso-position-vertical-relative:page">
              <v:stroke weight="1.pt"/>
            </v:shape>
          </w:pict>
        </mc:Fallback>
      </mc:AlternateContent>
    </w:r>
  </w:p>
</w:hdr>
</file>

<file path=word/header4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8" behindDoc="1" locked="0" layoutInCell="1" allowOverlap="1">
              <wp:simplePos x="0" y="0"/>
              <wp:positionH relativeFrom="page">
                <wp:posOffset>151130</wp:posOffset>
              </wp:positionH>
              <wp:positionV relativeFrom="page">
                <wp:posOffset>434975</wp:posOffset>
              </wp:positionV>
              <wp:extent cx="335280" cy="64135"/>
              <wp:wrapNone/>
              <wp:docPr id="2063" name="Shape 2063"/>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wps:txbx>
                    <wps:bodyPr wrap="none" lIns="0" tIns="0" rIns="0" bIns="0">
                      <a:spAutoFit/>
                    </wps:bodyPr>
                  </wps:wsp>
                </a:graphicData>
              </a:graphic>
            </wp:anchor>
          </w:drawing>
        </mc:Choice>
        <mc:Fallback>
          <w:pict>
            <v:shape id="_x0000_s3089" type="#_x0000_t202" style="position:absolute;margin-left:11.9pt;margin-top:34.25pt;width:26.399999999999999pt;height:5.0499999999999998pt;z-index:-1887424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528320</wp:posOffset>
              </wp:positionV>
              <wp:extent cx="4023360" cy="0"/>
              <wp:wrapNone/>
              <wp:docPr id="2065" name="Shape 206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600000000000001pt;width:316.80000000000001pt;height:0;z-index:-251658240;mso-position-horizontal-relative:page;mso-position-vertical-relative:page">
              <v:stroke weight="1.pt"/>
            </v:shape>
          </w:pict>
        </mc:Fallback>
      </mc:AlternateContent>
    </w:r>
  </w:p>
</w:hdr>
</file>

<file path=word/header4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2" behindDoc="1" locked="0" layoutInCell="1" allowOverlap="1">
              <wp:simplePos x="0" y="0"/>
              <wp:positionH relativeFrom="page">
                <wp:posOffset>151130</wp:posOffset>
              </wp:positionH>
              <wp:positionV relativeFrom="page">
                <wp:posOffset>434975</wp:posOffset>
              </wp:positionV>
              <wp:extent cx="335280" cy="64135"/>
              <wp:wrapNone/>
              <wp:docPr id="2068" name="Shape 2068"/>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wps:txbx>
                    <wps:bodyPr wrap="none" lIns="0" tIns="0" rIns="0" bIns="0">
                      <a:spAutoFit/>
                    </wps:bodyPr>
                  </wps:wsp>
                </a:graphicData>
              </a:graphic>
            </wp:anchor>
          </w:drawing>
        </mc:Choice>
        <mc:Fallback>
          <w:pict>
            <v:shape id="_x0000_s3094" type="#_x0000_t202" style="position:absolute;margin-left:11.9pt;margin-top:34.25pt;width:26.399999999999999pt;height:5.0499999999999998pt;z-index:-1887424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528320</wp:posOffset>
              </wp:positionV>
              <wp:extent cx="4023360" cy="0"/>
              <wp:wrapNone/>
              <wp:docPr id="2070" name="Shape 207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600000000000001pt;width:316.80000000000001pt;height:0;z-index:-251658240;mso-position-horizontal-relative:page;mso-position-vertical-relative:page">
              <v:stroke weight="1.pt"/>
            </v:shape>
          </w:pict>
        </mc:Fallback>
      </mc:AlternateContent>
    </w:r>
  </w:p>
</w:hdr>
</file>

<file path=word/header4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6" behindDoc="1" locked="0" layoutInCell="1" allowOverlap="1">
              <wp:simplePos x="0" y="0"/>
              <wp:positionH relativeFrom="page">
                <wp:posOffset>3453765</wp:posOffset>
              </wp:positionH>
              <wp:positionV relativeFrom="page">
                <wp:posOffset>422910</wp:posOffset>
              </wp:positionV>
              <wp:extent cx="713105" cy="67310"/>
              <wp:wrapNone/>
              <wp:docPr id="2073" name="Shape 2073"/>
              <a:graphic xmlns:a="http://schemas.openxmlformats.org/drawingml/2006/main">
                <a:graphicData uri="http://schemas.microsoft.com/office/word/2010/wordprocessingShape">
                  <wps:wsp>
                    <wps:cNvSpPr txBox="1"/>
                    <wps:spPr>
                      <a:xfrm>
                        <a:ext cx="71310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OBITELJ,'OBJAVA</w:t>
                          </w:r>
                        </w:p>
                      </w:txbxContent>
                    </wps:txbx>
                    <wps:bodyPr wrap="none" lIns="0" tIns="0" rIns="0" bIns="0">
                      <a:spAutoFit/>
                    </wps:bodyPr>
                  </wps:wsp>
                </a:graphicData>
              </a:graphic>
            </wp:anchor>
          </w:drawing>
        </mc:Choice>
        <mc:Fallback>
          <w:pict>
            <v:shape id="_x0000_s3099" type="#_x0000_t202" style="position:absolute;margin-left:271.94999999999999pt;margin-top:33.299999999999997pt;width:56.149999999999999pt;height:5.2999999999999998pt;z-index:-1887424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OBITELJ,'OBJAVA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523240</wp:posOffset>
              </wp:positionV>
              <wp:extent cx="4023360" cy="0"/>
              <wp:wrapNone/>
              <wp:docPr id="2075" name="Shape 207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50000000000001pt;margin-top:41.200000000000003pt;width:316.80000000000001pt;height:0;z-index:-251658240;mso-position-horizontal-relative:page;mso-position-vertical-relative:page">
              <v:stroke weight="1.pt"/>
            </v:shape>
          </w:pict>
        </mc:Fallback>
      </mc:AlternateContent>
    </w:r>
  </w:p>
</w:hdr>
</file>

<file path=word/header4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0" behindDoc="1" locked="0" layoutInCell="1" allowOverlap="1">
              <wp:simplePos x="0" y="0"/>
              <wp:positionH relativeFrom="page">
                <wp:posOffset>3829050</wp:posOffset>
              </wp:positionH>
              <wp:positionV relativeFrom="page">
                <wp:posOffset>426085</wp:posOffset>
              </wp:positionV>
              <wp:extent cx="335280" cy="64135"/>
              <wp:wrapNone/>
              <wp:docPr id="2078" name="Shape 2078"/>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wps:txbx>
                    <wps:bodyPr wrap="none" lIns="0" tIns="0" rIns="0" bIns="0">
                      <a:spAutoFit/>
                    </wps:bodyPr>
                  </wps:wsp>
                </a:graphicData>
              </a:graphic>
            </wp:anchor>
          </w:drawing>
        </mc:Choice>
        <mc:Fallback>
          <w:pict>
            <v:shape id="_x0000_s3104" type="#_x0000_t202" style="position:absolute;margin-left:301.5pt;margin-top:33.549999999999997pt;width:26.399999999999999pt;height:5.0499999999999998pt;z-index:-1887424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525145</wp:posOffset>
              </wp:positionV>
              <wp:extent cx="4023360" cy="0"/>
              <wp:wrapNone/>
              <wp:docPr id="2080" name="Shape 208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41.350000000000001pt;width:316.80000000000001pt;height:0;z-index:-251658240;mso-position-horizontal-relative:page;mso-position-vertical-relative:page">
              <v:stroke weight="1.pt"/>
            </v:shape>
          </w:pict>
        </mc:Fallback>
      </mc:AlternateContent>
    </w:r>
  </w:p>
</w:hdr>
</file>

<file path=word/header4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4" behindDoc="1" locked="0" layoutInCell="1" allowOverlap="1">
              <wp:simplePos x="0" y="0"/>
              <wp:positionH relativeFrom="page">
                <wp:posOffset>3829050</wp:posOffset>
              </wp:positionH>
              <wp:positionV relativeFrom="page">
                <wp:posOffset>426085</wp:posOffset>
              </wp:positionV>
              <wp:extent cx="335280" cy="64135"/>
              <wp:wrapNone/>
              <wp:docPr id="2083" name="Shape 2083"/>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wps:txbx>
                    <wps:bodyPr wrap="none" lIns="0" tIns="0" rIns="0" bIns="0">
                      <a:spAutoFit/>
                    </wps:bodyPr>
                  </wps:wsp>
                </a:graphicData>
              </a:graphic>
            </wp:anchor>
          </w:drawing>
        </mc:Choice>
        <mc:Fallback>
          <w:pict>
            <v:shape id="_x0000_s3109" type="#_x0000_t202" style="position:absolute;margin-left:301.5pt;margin-top:33.549999999999997pt;width:26.399999999999999pt;height:5.0499999999999998pt;z-index:-1887424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525145</wp:posOffset>
              </wp:positionV>
              <wp:extent cx="4023360" cy="0"/>
              <wp:wrapNone/>
              <wp:docPr id="2085" name="Shape 208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00000000000001pt;margin-top:41.350000000000001pt;width:316.80000000000001pt;height:0;z-index:-251658240;mso-position-horizontal-relative:page;mso-position-vertical-relative:page">
              <v:stroke weight="1.pt"/>
            </v:shape>
          </w:pict>
        </mc:Fallback>
      </mc:AlternateContent>
    </w:r>
  </w:p>
</w:hdr>
</file>

<file path=word/header4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8" behindDoc="1" locked="0" layoutInCell="1" allowOverlap="1">
              <wp:simplePos x="0" y="0"/>
              <wp:positionH relativeFrom="page">
                <wp:posOffset>146685</wp:posOffset>
              </wp:positionH>
              <wp:positionV relativeFrom="page">
                <wp:posOffset>409575</wp:posOffset>
              </wp:positionV>
              <wp:extent cx="3011170" cy="79375"/>
              <wp:wrapNone/>
              <wp:docPr id="2088" name="Shape 2088"/>
              <a:graphic xmlns:a="http://schemas.openxmlformats.org/drawingml/2006/main">
                <a:graphicData uri="http://schemas.microsoft.com/office/word/2010/wordprocessingShape">
                  <wps:wsp>
                    <wps:cNvSpPr txBox="1"/>
                    <wps:spPr>
                      <a:xfrm>
                        <a:ext cx="30111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OBJAVA'OBRAĆENJE.'OBREZIVANJE/OL&gt;GO.I,ODGOVORNOST 7.A SVIJET</w:t>
                          </w:r>
                        </w:p>
                      </w:txbxContent>
                    </wps:txbx>
                    <wps:bodyPr wrap="none" lIns="0" tIns="0" rIns="0" bIns="0">
                      <a:spAutoFit/>
                    </wps:bodyPr>
                  </wps:wsp>
                </a:graphicData>
              </a:graphic>
            </wp:anchor>
          </w:drawing>
        </mc:Choice>
        <mc:Fallback>
          <w:pict>
            <v:shape id="_x0000_s3114" type="#_x0000_t202" style="position:absolute;margin-left:11.550000000000001pt;margin-top:32.25pt;width:237.09999999999999pt;height:6.25pt;z-index:-1887424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OBJAVA'OBRAĆENJE.'OBREZIVANJE/OL&gt;GO.I,ODGOVORNOST 7.A SVIJET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520700</wp:posOffset>
              </wp:positionV>
              <wp:extent cx="4026535" cy="0"/>
              <wp:wrapNone/>
              <wp:docPr id="2090" name="Shape 2090"/>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50000000000001pt;margin-top:41.pt;width:317.05000000000001pt;height:0;z-index:-251658240;mso-position-horizontal-relative:page;mso-position-vertical-relative:page">
              <v:stroke weight="1.pt"/>
            </v:shape>
          </w:pict>
        </mc:Fallback>
      </mc:AlternateContent>
    </w:r>
  </w:p>
</w:hdr>
</file>

<file path=word/header4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2" behindDoc="1" locked="0" layoutInCell="1" allowOverlap="1">
              <wp:simplePos x="0" y="0"/>
              <wp:positionH relativeFrom="page">
                <wp:posOffset>146685</wp:posOffset>
              </wp:positionH>
              <wp:positionV relativeFrom="page">
                <wp:posOffset>409575</wp:posOffset>
              </wp:positionV>
              <wp:extent cx="3011170" cy="79375"/>
              <wp:wrapNone/>
              <wp:docPr id="2093" name="Shape 2093"/>
              <a:graphic xmlns:a="http://schemas.openxmlformats.org/drawingml/2006/main">
                <a:graphicData uri="http://schemas.microsoft.com/office/word/2010/wordprocessingShape">
                  <wps:wsp>
                    <wps:cNvSpPr txBox="1"/>
                    <wps:spPr>
                      <a:xfrm>
                        <a:ext cx="30111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OBJAVA'OBRAĆENJE.'OBREZIVANJE/OL&gt;GO.I,ODGOVORNOST 7.A SVIJET</w:t>
                          </w:r>
                        </w:p>
                      </w:txbxContent>
                    </wps:txbx>
                    <wps:bodyPr wrap="none" lIns="0" tIns="0" rIns="0" bIns="0">
                      <a:spAutoFit/>
                    </wps:bodyPr>
                  </wps:wsp>
                </a:graphicData>
              </a:graphic>
            </wp:anchor>
          </w:drawing>
        </mc:Choice>
        <mc:Fallback>
          <w:pict>
            <v:shape id="_x0000_s3119" type="#_x0000_t202" style="position:absolute;margin-left:11.550000000000001pt;margin-top:32.25pt;width:237.09999999999999pt;height:6.25pt;z-index:-1887424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OBJAVA'OBRAĆENJE.'OBREZIVANJE/OL&gt;GO.I,ODGOVORNOST 7.A SVIJET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520700</wp:posOffset>
              </wp:positionV>
              <wp:extent cx="4026535" cy="0"/>
              <wp:wrapNone/>
              <wp:docPr id="2095" name="Shape 2095"/>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50000000000001pt;margin-top:41.pt;width:317.05000000000001pt;height:0;z-index:-251658240;mso-position-horizontal-relative:page;mso-position-vertical-relative:page">
              <v:stroke weight="1.pt"/>
            </v:shape>
          </w:pict>
        </mc:Fallback>
      </mc:AlternateContent>
    </w:r>
  </w:p>
</w:hdr>
</file>

<file path=word/header4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6" behindDoc="1" locked="0" layoutInCell="1" allowOverlap="1">
              <wp:simplePos x="0" y="0"/>
              <wp:positionH relativeFrom="page">
                <wp:posOffset>3836670</wp:posOffset>
              </wp:positionH>
              <wp:positionV relativeFrom="page">
                <wp:posOffset>421640</wp:posOffset>
              </wp:positionV>
              <wp:extent cx="338455" cy="64135"/>
              <wp:wrapNone/>
              <wp:docPr id="2098" name="Shape 2098"/>
              <a:graphic xmlns:a="http://schemas.openxmlformats.org/drawingml/2006/main">
                <a:graphicData uri="http://schemas.microsoft.com/office/word/2010/wordprocessingShape">
                  <wps:wsp>
                    <wps:cNvSpPr txBox="1"/>
                    <wps:spPr>
                      <a:xfrm>
                        <a:ext cx="33845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wps:txbx>
                    <wps:bodyPr wrap="none" lIns="0" tIns="0" rIns="0" bIns="0">
                      <a:spAutoFit/>
                    </wps:bodyPr>
                  </wps:wsp>
                </a:graphicData>
              </a:graphic>
            </wp:anchor>
          </w:drawing>
        </mc:Choice>
        <mc:Fallback>
          <w:pict>
            <v:shape id="_x0000_s3124" type="#_x0000_t202" style="position:absolute;margin-left:302.10000000000002pt;margin-top:33.200000000000003pt;width:26.649999999999999pt;height:5.0499999999999998pt;z-index:-1887424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OBJAVA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520700</wp:posOffset>
              </wp:positionV>
              <wp:extent cx="4023360" cy="0"/>
              <wp:wrapNone/>
              <wp:docPr id="2100" name="Shape 210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pt;width:316.80000000000001pt;height:0;z-index:-251658240;mso-position-horizontal-relative:page;mso-position-vertical-relative:page">
              <v:stroke weight="1.pt"/>
            </v:shape>
          </w:pict>
        </mc:Fallback>
      </mc:AlternateContent>
    </w:r>
  </w:p>
</w:hdr>
</file>

<file path=word/header4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0" behindDoc="1" locked="0" layoutInCell="1" allowOverlap="1">
              <wp:simplePos x="0" y="0"/>
              <wp:positionH relativeFrom="page">
                <wp:posOffset>140970</wp:posOffset>
              </wp:positionH>
              <wp:positionV relativeFrom="page">
                <wp:posOffset>426085</wp:posOffset>
              </wp:positionV>
              <wp:extent cx="1139825" cy="67310"/>
              <wp:wrapNone/>
              <wp:docPr id="2103" name="Shape 2103"/>
              <a:graphic xmlns:a="http://schemas.openxmlformats.org/drawingml/2006/main">
                <a:graphicData uri="http://schemas.microsoft.com/office/word/2010/wordprocessingShape">
                  <wps:wsp>
                    <wps:cNvSpPr txBox="1"/>
                    <wps:spPr>
                      <a:xfrm>
                        <a:ext cx="11398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w:t>
                          </w:r>
                        </w:p>
                      </w:txbxContent>
                    </wps:txbx>
                    <wps:bodyPr wrap="none" lIns="0" tIns="0" rIns="0" bIns="0">
                      <a:spAutoFit/>
                    </wps:bodyPr>
                  </wps:wsp>
                </a:graphicData>
              </a:graphic>
            </wp:anchor>
          </w:drawing>
        </mc:Choice>
        <mc:Fallback>
          <w:pict>
            <v:shape id="_x0000_s3129" type="#_x0000_t202" style="position:absolute;margin-left:11.1pt;margin-top:33.549999999999997pt;width:89.75pt;height:5.2999999999999998pt;z-index:-1887424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519430</wp:posOffset>
              </wp:positionV>
              <wp:extent cx="4020185" cy="0"/>
              <wp:wrapNone/>
              <wp:docPr id="2105" name="Shape 210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0.899999999999999pt;width:316.55000000000001pt;height:0;z-index:-251658240;mso-position-horizontal-relative:page;mso-position-vertical-relative:page">
              <v:stroke weight="1.pt"/>
            </v:shape>
          </w:pict>
        </mc:Fallback>
      </mc:AlternateContent>
    </w:r>
  </w:p>
</w:hdr>
</file>

<file path=word/header4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4" behindDoc="1" locked="0" layoutInCell="1" allowOverlap="1">
              <wp:simplePos x="0" y="0"/>
              <wp:positionH relativeFrom="page">
                <wp:posOffset>140970</wp:posOffset>
              </wp:positionH>
              <wp:positionV relativeFrom="page">
                <wp:posOffset>426085</wp:posOffset>
              </wp:positionV>
              <wp:extent cx="1139825" cy="67310"/>
              <wp:wrapNone/>
              <wp:docPr id="2108" name="Shape 2108"/>
              <a:graphic xmlns:a="http://schemas.openxmlformats.org/drawingml/2006/main">
                <a:graphicData uri="http://schemas.microsoft.com/office/word/2010/wordprocessingShape">
                  <wps:wsp>
                    <wps:cNvSpPr txBox="1"/>
                    <wps:spPr>
                      <a:xfrm>
                        <a:ext cx="11398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w:t>
                          </w:r>
                        </w:p>
                      </w:txbxContent>
                    </wps:txbx>
                    <wps:bodyPr wrap="none" lIns="0" tIns="0" rIns="0" bIns="0">
                      <a:spAutoFit/>
                    </wps:bodyPr>
                  </wps:wsp>
                </a:graphicData>
              </a:graphic>
            </wp:anchor>
          </w:drawing>
        </mc:Choice>
        <mc:Fallback>
          <w:pict>
            <v:shape id="_x0000_s3134" type="#_x0000_t202" style="position:absolute;margin-left:11.1pt;margin-top:33.549999999999997pt;width:89.75pt;height:5.2999999999999998pt;z-index:-1887424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519430</wp:posOffset>
              </wp:positionV>
              <wp:extent cx="4020185" cy="0"/>
              <wp:wrapNone/>
              <wp:docPr id="2110" name="Shape 211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00000000000001pt;margin-top:40.899999999999999pt;width:316.55000000000001pt;height:0;z-index:-251658240;mso-position-horizontal-relative:page;mso-position-vertical-relative:page">
              <v:stroke weight="1.pt"/>
            </v:shape>
          </w:pict>
        </mc:Fallback>
      </mc:AlternateContent>
    </w:r>
  </w:p>
</w:hdr>
</file>

<file path=word/header4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8" behindDoc="1" locked="0" layoutInCell="1" allowOverlap="1">
              <wp:simplePos x="0" y="0"/>
              <wp:positionH relativeFrom="page">
                <wp:posOffset>3036570</wp:posOffset>
              </wp:positionH>
              <wp:positionV relativeFrom="page">
                <wp:posOffset>418465</wp:posOffset>
              </wp:positionV>
              <wp:extent cx="1136650" cy="64135"/>
              <wp:wrapNone/>
              <wp:docPr id="2113" name="Shape 2113"/>
              <a:graphic xmlns:a="http://schemas.openxmlformats.org/drawingml/2006/main">
                <a:graphicData uri="http://schemas.microsoft.com/office/word/2010/wordprocessingShape">
                  <wps:wsp>
                    <wps:cNvSpPr txBox="1"/>
                    <wps:spPr>
                      <a:xfrm>
                        <a:ext cx="11366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odgovornost za svijet</w:t>
                          </w:r>
                        </w:p>
                      </w:txbxContent>
                    </wps:txbx>
                    <wps:bodyPr wrap="none" lIns="0" tIns="0" rIns="0" bIns="0">
                      <a:spAutoFit/>
                    </wps:bodyPr>
                  </wps:wsp>
                </a:graphicData>
              </a:graphic>
            </wp:anchor>
          </w:drawing>
        </mc:Choice>
        <mc:Fallback>
          <w:pict>
            <v:shape id="_x0000_s3139" type="#_x0000_t202" style="position:absolute;margin-left:239.09999999999999pt;margin-top:32.950000000000003pt;width:89.5pt;height:5.0499999999999998pt;z-index:-1887424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odgovornost za svijet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518795</wp:posOffset>
              </wp:positionV>
              <wp:extent cx="4014470" cy="0"/>
              <wp:wrapNone/>
              <wp:docPr id="2115" name="Shape 211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050000000000001pt;margin-top:40.850000000000001pt;width:316.10000000000002pt;height:0;z-index:-251658240;mso-position-horizontal-relative:page;mso-position-vertical-relative:page">
              <v:stroke weight="1.pt"/>
            </v:shape>
          </w:pict>
        </mc:Fallback>
      </mc:AlternateContent>
    </w:r>
  </w:p>
</w:hdr>
</file>

<file path=word/header4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2" behindDoc="1" locked="0" layoutInCell="1" allowOverlap="1">
              <wp:simplePos x="0" y="0"/>
              <wp:positionH relativeFrom="page">
                <wp:posOffset>2672080</wp:posOffset>
              </wp:positionH>
              <wp:positionV relativeFrom="page">
                <wp:posOffset>406400</wp:posOffset>
              </wp:positionV>
              <wp:extent cx="1493520" cy="79375"/>
              <wp:wrapNone/>
              <wp:docPr id="2118" name="Shape 2118"/>
              <a:graphic xmlns:a="http://schemas.openxmlformats.org/drawingml/2006/main">
                <a:graphicData uri="http://schemas.microsoft.com/office/word/2010/wordprocessingShape">
                  <wps:wsp>
                    <wps:cNvSpPr txBox="1"/>
                    <wps:spPr>
                      <a:xfrm>
                        <a:ext cx="149352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SVIJET/ODJEĆA</w:t>
                          </w:r>
                        </w:p>
                      </w:txbxContent>
                    </wps:txbx>
                    <wps:bodyPr wrap="none" lIns="0" tIns="0" rIns="0" bIns="0">
                      <a:spAutoFit/>
                    </wps:bodyPr>
                  </wps:wsp>
                </a:graphicData>
              </a:graphic>
            </wp:anchor>
          </w:drawing>
        </mc:Choice>
        <mc:Fallback>
          <w:pict>
            <v:shape id="_x0000_s3144" type="#_x0000_t202" style="position:absolute;margin-left:210.40000000000001pt;margin-top:32.pt;width:117.59999999999999pt;height:6.25pt;z-index:-1887424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SVIJET/ODJEĆA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521970</wp:posOffset>
              </wp:positionV>
              <wp:extent cx="4023360" cy="0"/>
              <wp:wrapNone/>
              <wp:docPr id="2120" name="Shape 212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1.100000000000001pt;width:316.80000000000001pt;height:0;z-index:-251658240;mso-position-horizontal-relative:page;mso-position-vertical-relative:page">
              <v:stroke weight="1.pt"/>
            </v:shape>
          </w:pict>
        </mc:Fallback>
      </mc:AlternateContent>
    </w:r>
  </w:p>
</w:hdr>
</file>

<file path=word/header4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6" behindDoc="1" locked="0" layoutInCell="1" allowOverlap="1">
              <wp:simplePos x="0" y="0"/>
              <wp:positionH relativeFrom="page">
                <wp:posOffset>2672080</wp:posOffset>
              </wp:positionH>
              <wp:positionV relativeFrom="page">
                <wp:posOffset>406400</wp:posOffset>
              </wp:positionV>
              <wp:extent cx="1493520" cy="79375"/>
              <wp:wrapNone/>
              <wp:docPr id="2123" name="Shape 2123"/>
              <a:graphic xmlns:a="http://schemas.openxmlformats.org/drawingml/2006/main">
                <a:graphicData uri="http://schemas.microsoft.com/office/word/2010/wordprocessingShape">
                  <wps:wsp>
                    <wps:cNvSpPr txBox="1"/>
                    <wps:spPr>
                      <a:xfrm>
                        <a:ext cx="149352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SVIJET/ODJEĆA</w:t>
                          </w:r>
                        </w:p>
                      </w:txbxContent>
                    </wps:txbx>
                    <wps:bodyPr wrap="none" lIns="0" tIns="0" rIns="0" bIns="0">
                      <a:spAutoFit/>
                    </wps:bodyPr>
                  </wps:wsp>
                </a:graphicData>
              </a:graphic>
            </wp:anchor>
          </w:drawing>
        </mc:Choice>
        <mc:Fallback>
          <w:pict>
            <v:shape id="_x0000_s3149" type="#_x0000_t202" style="position:absolute;margin-left:210.40000000000001pt;margin-top:32.pt;width:117.59999999999999pt;height:6.25pt;z-index:-1887424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ODGOVORNOST ZA SVIJET/ODJEĆA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521970</wp:posOffset>
              </wp:positionV>
              <wp:extent cx="4023360" cy="0"/>
              <wp:wrapNone/>
              <wp:docPr id="2125" name="Shape 212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99999999999999pt;margin-top:41.100000000000001pt;width:316.80000000000001pt;height:0;z-index:-251658240;mso-position-horizontal-relative:page;mso-position-vertical-relative:page">
              <v:stroke weight="1.pt"/>
            </v:shape>
          </w:pict>
        </mc:Fallback>
      </mc:AlternateContent>
    </w:r>
  </w:p>
</w:hdr>
</file>

<file path=word/header4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0" behindDoc="1" locked="0" layoutInCell="1" allowOverlap="1">
              <wp:simplePos x="0" y="0"/>
              <wp:positionH relativeFrom="page">
                <wp:posOffset>157480</wp:posOffset>
              </wp:positionH>
              <wp:positionV relativeFrom="page">
                <wp:posOffset>356235</wp:posOffset>
              </wp:positionV>
              <wp:extent cx="335280" cy="79375"/>
              <wp:wrapNone/>
              <wp:docPr id="2128" name="Shape 2128"/>
              <a:graphic xmlns:a="http://schemas.openxmlformats.org/drawingml/2006/main">
                <a:graphicData uri="http://schemas.microsoft.com/office/word/2010/wordprocessingShape">
                  <wps:wsp>
                    <wps:cNvSpPr txBox="1"/>
                    <wps:spPr>
                      <a:xfrm>
                        <a:ext cx="3352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ODJEĆA</w:t>
                          </w:r>
                        </w:p>
                      </w:txbxContent>
                    </wps:txbx>
                    <wps:bodyPr wrap="none" lIns="0" tIns="0" rIns="0" bIns="0">
                      <a:spAutoFit/>
                    </wps:bodyPr>
                  </wps:wsp>
                </a:graphicData>
              </a:graphic>
            </wp:anchor>
          </w:drawing>
        </mc:Choice>
        <mc:Fallback>
          <w:pict>
            <v:shape id="_x0000_s3154" type="#_x0000_t202" style="position:absolute;margin-left:12.4pt;margin-top:28.050000000000001pt;width:26.399999999999999pt;height:6.25pt;z-index:-1887424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ODJEĆA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469265</wp:posOffset>
              </wp:positionV>
              <wp:extent cx="4026535" cy="0"/>
              <wp:wrapNone/>
              <wp:docPr id="2130" name="Shape 2130"/>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15pt;margin-top:36.950000000000003pt;width:317.05000000000001pt;height:0;z-index:-251658240;mso-position-horizontal-relative:page;mso-position-vertical-relative:page">
              <v:stroke weight="1.pt"/>
            </v:shape>
          </w:pict>
        </mc:Fallback>
      </mc:AlternateContent>
    </w:r>
  </w:p>
</w:hdr>
</file>

<file path=word/header4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2" behindDoc="1" locked="0" layoutInCell="1" allowOverlap="1">
              <wp:simplePos x="0" y="0"/>
              <wp:positionH relativeFrom="page">
                <wp:posOffset>157480</wp:posOffset>
              </wp:positionH>
              <wp:positionV relativeFrom="page">
                <wp:posOffset>356235</wp:posOffset>
              </wp:positionV>
              <wp:extent cx="335280" cy="79375"/>
              <wp:wrapNone/>
              <wp:docPr id="2131" name="Shape 2131"/>
              <a:graphic xmlns:a="http://schemas.openxmlformats.org/drawingml/2006/main">
                <a:graphicData uri="http://schemas.microsoft.com/office/word/2010/wordprocessingShape">
                  <wps:wsp>
                    <wps:cNvSpPr txBox="1"/>
                    <wps:spPr>
                      <a:xfrm>
                        <a:ext cx="3352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ODJEĆA</w:t>
                          </w:r>
                        </w:p>
                      </w:txbxContent>
                    </wps:txbx>
                    <wps:bodyPr wrap="none" lIns="0" tIns="0" rIns="0" bIns="0">
                      <a:spAutoFit/>
                    </wps:bodyPr>
                  </wps:wsp>
                </a:graphicData>
              </a:graphic>
            </wp:anchor>
          </w:drawing>
        </mc:Choice>
        <mc:Fallback>
          <w:pict>
            <v:shape id="_x0000_s3157" type="#_x0000_t202" style="position:absolute;margin-left:12.4pt;margin-top:28.050000000000001pt;width:26.399999999999999pt;height:6.25pt;z-index:-1887424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ODJEĆA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469265</wp:posOffset>
              </wp:positionV>
              <wp:extent cx="4026535" cy="0"/>
              <wp:wrapNone/>
              <wp:docPr id="2133" name="Shape 2133"/>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15pt;margin-top:36.950000000000003pt;width:317.05000000000001pt;height:0;z-index:-251658240;mso-position-horizontal-relative:page;mso-position-vertical-relative:page">
              <v:stroke weight="1.pt"/>
            </v:shape>
          </w:pict>
        </mc:Fallback>
      </mc:AlternateContent>
    </w:r>
  </w:p>
</w:hdr>
</file>

<file path=word/header4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4" behindDoc="1" locked="0" layoutInCell="1" allowOverlap="1">
              <wp:simplePos x="0" y="0"/>
              <wp:positionH relativeFrom="page">
                <wp:posOffset>3837305</wp:posOffset>
              </wp:positionH>
              <wp:positionV relativeFrom="page">
                <wp:posOffset>434340</wp:posOffset>
              </wp:positionV>
              <wp:extent cx="338455" cy="79375"/>
              <wp:wrapNone/>
              <wp:docPr id="2134" name="Shape 2134"/>
              <a:graphic xmlns:a="http://schemas.openxmlformats.org/drawingml/2006/main">
                <a:graphicData uri="http://schemas.microsoft.com/office/word/2010/wordprocessingShape">
                  <wps:wsp>
                    <wps:cNvSpPr txBox="1"/>
                    <wps:spPr>
                      <a:xfrm>
                        <a:ext cx="33845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ODJtiĆA</w:t>
                          </w:r>
                        </w:p>
                      </w:txbxContent>
                    </wps:txbx>
                    <wps:bodyPr wrap="none" lIns="0" tIns="0" rIns="0" bIns="0">
                      <a:spAutoFit/>
                    </wps:bodyPr>
                  </wps:wsp>
                </a:graphicData>
              </a:graphic>
            </wp:anchor>
          </w:drawing>
        </mc:Choice>
        <mc:Fallback>
          <w:pict>
            <v:shape id="_x0000_s3160" type="#_x0000_t202" style="position:absolute;margin-left:302.14999999999998pt;margin-top:34.200000000000003pt;width:26.649999999999999pt;height:6.25pt;z-index:-1887424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ODJtiĆA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548640</wp:posOffset>
              </wp:positionV>
              <wp:extent cx="4023360" cy="0"/>
              <wp:wrapNone/>
              <wp:docPr id="2136" name="Shape 213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pt;margin-top:43.200000000000003pt;width:316.80000000000001pt;height:0;z-index:-251658240;mso-position-horizontal-relative:page;mso-position-vertical-relative:page">
              <v:stroke weight="1.pt"/>
            </v:shape>
          </w:pict>
        </mc:Fallback>
      </mc:AlternateContent>
    </w:r>
  </w:p>
</w:hdr>
</file>

<file path=word/header4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6" behindDoc="1" locked="0" layoutInCell="1" allowOverlap="1">
              <wp:simplePos x="0" y="0"/>
              <wp:positionH relativeFrom="page">
                <wp:posOffset>3837305</wp:posOffset>
              </wp:positionH>
              <wp:positionV relativeFrom="page">
                <wp:posOffset>434340</wp:posOffset>
              </wp:positionV>
              <wp:extent cx="338455" cy="79375"/>
              <wp:wrapNone/>
              <wp:docPr id="2137" name="Shape 2137"/>
              <a:graphic xmlns:a="http://schemas.openxmlformats.org/drawingml/2006/main">
                <a:graphicData uri="http://schemas.microsoft.com/office/word/2010/wordprocessingShape">
                  <wps:wsp>
                    <wps:cNvSpPr txBox="1"/>
                    <wps:spPr>
                      <a:xfrm>
                        <a:ext cx="33845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ODJtiĆA</w:t>
                          </w:r>
                        </w:p>
                      </w:txbxContent>
                    </wps:txbx>
                    <wps:bodyPr wrap="none" lIns="0" tIns="0" rIns="0" bIns="0">
                      <a:spAutoFit/>
                    </wps:bodyPr>
                  </wps:wsp>
                </a:graphicData>
              </a:graphic>
            </wp:anchor>
          </w:drawing>
        </mc:Choice>
        <mc:Fallback>
          <w:pict>
            <v:shape id="_x0000_s3163" type="#_x0000_t202" style="position:absolute;margin-left:302.14999999999998pt;margin-top:34.200000000000003pt;width:26.649999999999999pt;height:6.25pt;z-index:-1887424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ODJtiĆA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548640</wp:posOffset>
              </wp:positionV>
              <wp:extent cx="4023360" cy="0"/>
              <wp:wrapNone/>
              <wp:docPr id="2139" name="Shape 213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pt;margin-top:43.200000000000003pt;width:316.80000000000001pt;height:0;z-index:-251658240;mso-position-horizontal-relative:page;mso-position-vertical-relative:page">
              <v:stroke weight="1.pt"/>
            </v:shape>
          </w:pict>
        </mc:Fallback>
      </mc:AlternateContent>
    </w:r>
  </w:p>
</w:hdr>
</file>

<file path=word/header4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8" behindDoc="1" locked="0" layoutInCell="1" allowOverlap="1">
              <wp:simplePos x="0" y="0"/>
              <wp:positionH relativeFrom="page">
                <wp:posOffset>3589655</wp:posOffset>
              </wp:positionH>
              <wp:positionV relativeFrom="page">
                <wp:posOffset>434340</wp:posOffset>
              </wp:positionV>
              <wp:extent cx="582295" cy="64135"/>
              <wp:wrapNone/>
              <wp:docPr id="2140" name="Shape 2140"/>
              <a:graphic xmlns:a="http://schemas.openxmlformats.org/drawingml/2006/main">
                <a:graphicData uri="http://schemas.microsoft.com/office/word/2010/wordprocessingShape">
                  <wps:wsp>
                    <wps:cNvSpPr txBox="1"/>
                    <wps:spPr>
                      <a:xfrm>
                        <a:ext cx="5822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wps:txbx>
                    <wps:bodyPr wrap="none" lIns="0" tIns="0" rIns="0" bIns="0">
                      <a:spAutoFit/>
                    </wps:bodyPr>
                  </wps:wsp>
                </a:graphicData>
              </a:graphic>
            </wp:anchor>
          </w:drawing>
        </mc:Choice>
        <mc:Fallback>
          <w:pict>
            <v:shape id="_x0000_s3166" type="#_x0000_t202" style="position:absolute;margin-left:282.64999999999998pt;margin-top:34.200000000000003pt;width:45.850000000000001pt;height:5.0499999999999998pt;z-index:-1887424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139700</wp:posOffset>
              </wp:positionH>
              <wp:positionV relativeFrom="page">
                <wp:posOffset>536575</wp:posOffset>
              </wp:positionV>
              <wp:extent cx="4032250" cy="0"/>
              <wp:wrapNone/>
              <wp:docPr id="2142" name="Shape 2142"/>
              <a:graphic xmlns:a="http://schemas.openxmlformats.org/drawingml/2006/main">
                <a:graphicData uri="http://schemas.microsoft.com/office/word/2010/wordprocessingShape">
                  <wps:wsp>
                    <wps:cNvCnPr/>
                    <wps:spPr>
                      <a:xfrm>
                        <a:ext cx="4032250" cy="0"/>
                      </a:xfrm>
                      <a:prstGeom prst="straightConnector1"/>
                      <a:ln w="12700">
                        <a:solidFill/>
                      </a:ln>
                    </wps:spPr>
                    <wps:bodyPr/>
                  </wps:wsp>
                </a:graphicData>
              </a:graphic>
            </wp:anchor>
          </w:drawing>
        </mc:Choice>
        <mc:Fallback>
          <w:pict>
            <v:shape o:spt="32" o:oned="true" path="m,l21600,21600e" style="position:absolute;margin-left:11.pt;margin-top:42.25pt;width:317.5pt;height:0;z-index:-251658240;mso-position-horizontal-relative:page;mso-position-vertical-relative:page">
              <v:stroke weight="1.pt"/>
            </v:shape>
          </w:pict>
        </mc:Fallback>
      </mc:AlternateContent>
    </w:r>
  </w:p>
</w:hdr>
</file>

<file path=word/header4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2" behindDoc="1" locked="0" layoutInCell="1" allowOverlap="1">
              <wp:simplePos x="0" y="0"/>
              <wp:positionH relativeFrom="page">
                <wp:posOffset>3589655</wp:posOffset>
              </wp:positionH>
              <wp:positionV relativeFrom="page">
                <wp:posOffset>434340</wp:posOffset>
              </wp:positionV>
              <wp:extent cx="582295" cy="64135"/>
              <wp:wrapNone/>
              <wp:docPr id="2145" name="Shape 2145"/>
              <a:graphic xmlns:a="http://schemas.openxmlformats.org/drawingml/2006/main">
                <a:graphicData uri="http://schemas.microsoft.com/office/word/2010/wordprocessingShape">
                  <wps:wsp>
                    <wps:cNvSpPr txBox="1"/>
                    <wps:spPr>
                      <a:xfrm>
                        <a:ext cx="5822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wps:txbx>
                    <wps:bodyPr wrap="none" lIns="0" tIns="0" rIns="0" bIns="0">
                      <a:spAutoFit/>
                    </wps:bodyPr>
                  </wps:wsp>
                </a:graphicData>
              </a:graphic>
            </wp:anchor>
          </w:drawing>
        </mc:Choice>
        <mc:Fallback>
          <w:pict>
            <v:shape id="_x0000_s3171" type="#_x0000_t202" style="position:absolute;margin-left:282.64999999999998pt;margin-top:34.200000000000003pt;width:45.850000000000001pt;height:5.0499999999999998pt;z-index:-1887424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139700</wp:posOffset>
              </wp:positionH>
              <wp:positionV relativeFrom="page">
                <wp:posOffset>536575</wp:posOffset>
              </wp:positionV>
              <wp:extent cx="4032250" cy="0"/>
              <wp:wrapNone/>
              <wp:docPr id="2147" name="Shape 2147"/>
              <a:graphic xmlns:a="http://schemas.openxmlformats.org/drawingml/2006/main">
                <a:graphicData uri="http://schemas.microsoft.com/office/word/2010/wordprocessingShape">
                  <wps:wsp>
                    <wps:cNvCnPr/>
                    <wps:spPr>
                      <a:xfrm>
                        <a:ext cx="4032250" cy="0"/>
                      </a:xfrm>
                      <a:prstGeom prst="straightConnector1"/>
                      <a:ln w="12700">
                        <a:solidFill/>
                      </a:ln>
                    </wps:spPr>
                    <wps:bodyPr/>
                  </wps:wsp>
                </a:graphicData>
              </a:graphic>
            </wp:anchor>
          </w:drawing>
        </mc:Choice>
        <mc:Fallback>
          <w:pict>
            <v:shape o:spt="32" o:oned="true" path="m,l21600,21600e" style="position:absolute;margin-left:11.pt;margin-top:42.25pt;width:317.5pt;height:0;z-index:-251658240;mso-position-horizontal-relative:page;mso-position-vertical-relative:page">
              <v:stroke weight="1.pt"/>
            </v:shape>
          </w:pict>
        </mc:Fallback>
      </mc:AlternateContent>
    </w:r>
  </w:p>
</w:hdr>
</file>

<file path=word/header4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6" behindDoc="1" locked="0" layoutInCell="1" allowOverlap="1">
              <wp:simplePos x="0" y="0"/>
              <wp:positionH relativeFrom="page">
                <wp:posOffset>140970</wp:posOffset>
              </wp:positionH>
              <wp:positionV relativeFrom="page">
                <wp:posOffset>419100</wp:posOffset>
              </wp:positionV>
              <wp:extent cx="1292225" cy="79375"/>
              <wp:wrapNone/>
              <wp:docPr id="2150" name="Shape 2150"/>
              <a:graphic xmlns:a="http://schemas.openxmlformats.org/drawingml/2006/main">
                <a:graphicData uri="http://schemas.microsoft.com/office/word/2010/wordprocessingShape">
                  <wps:wsp>
                    <wps:cNvSpPr txBox="1"/>
                    <wps:spPr>
                      <a:xfrm>
                        <a:ext cx="129222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ODJEĆAOKOLIŠ/OPRAVDANJE</w:t>
                          </w:r>
                        </w:p>
                      </w:txbxContent>
                    </wps:txbx>
                    <wps:bodyPr wrap="none" lIns="0" tIns="0" rIns="0" bIns="0">
                      <a:spAutoFit/>
                    </wps:bodyPr>
                  </wps:wsp>
                </a:graphicData>
              </a:graphic>
            </wp:anchor>
          </w:drawing>
        </mc:Choice>
        <mc:Fallback>
          <w:pict>
            <v:shape id="_x0000_s3176" type="#_x0000_t202" style="position:absolute;margin-left:11.1pt;margin-top:33.pt;width:101.75pt;height:6.25pt;z-index:-1887424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ODJEĆAOKOLIŠ/OPRAVDANJE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527685</wp:posOffset>
              </wp:positionV>
              <wp:extent cx="4029710" cy="0"/>
              <wp:wrapNone/>
              <wp:docPr id="2152" name="Shape 2152"/>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1pt;margin-top:41.549999999999997pt;width:317.30000000000001pt;height:0;z-index:-251658240;mso-position-horizontal-relative:page;mso-position-vertical-relative:page">
              <v:stroke weight="1.pt"/>
            </v:shape>
          </w:pict>
        </mc:Fallback>
      </mc:AlternateContent>
    </w:r>
  </w:p>
</w:hdr>
</file>

<file path=word/header5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0" behindDoc="1" locked="0" layoutInCell="1" allowOverlap="1">
              <wp:simplePos x="0" y="0"/>
              <wp:positionH relativeFrom="page">
                <wp:posOffset>142875</wp:posOffset>
              </wp:positionH>
              <wp:positionV relativeFrom="page">
                <wp:posOffset>434340</wp:posOffset>
              </wp:positionV>
              <wp:extent cx="579120" cy="64135"/>
              <wp:wrapNone/>
              <wp:docPr id="2155" name="Shape 2155"/>
              <a:graphic xmlns:a="http://schemas.openxmlformats.org/drawingml/2006/main">
                <a:graphicData uri="http://schemas.microsoft.com/office/word/2010/wordprocessingShape">
                  <wps:wsp>
                    <wps:cNvSpPr txBox="1"/>
                    <wps:spPr>
                      <a:xfrm>
                        <a:ext cx="5791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wps:txbx>
                    <wps:bodyPr wrap="none" lIns="0" tIns="0" rIns="0" bIns="0">
                      <a:spAutoFit/>
                    </wps:bodyPr>
                  </wps:wsp>
                </a:graphicData>
              </a:graphic>
            </wp:anchor>
          </w:drawing>
        </mc:Choice>
        <mc:Fallback>
          <w:pict>
            <v:shape id="_x0000_s3181" type="#_x0000_t202" style="position:absolute;margin-left:11.25pt;margin-top:34.200000000000003pt;width:45.600000000000001pt;height:5.0499999999999998pt;z-index:-1887424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527685</wp:posOffset>
              </wp:positionV>
              <wp:extent cx="4023360" cy="0"/>
              <wp:wrapNone/>
              <wp:docPr id="2157" name="Shape 215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1.549999999999997pt;width:316.80000000000001pt;height:0;z-index:-251658240;mso-position-horizontal-relative:page;mso-position-vertical-relative:page">
              <v:stroke weight="1.pt"/>
            </v:shape>
          </w:pict>
        </mc:Fallback>
      </mc:AlternateContent>
    </w:r>
  </w:p>
</w:hdr>
</file>

<file path=word/header5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4" behindDoc="1" locked="0" layoutInCell="1" allowOverlap="1">
              <wp:simplePos x="0" y="0"/>
              <wp:positionH relativeFrom="page">
                <wp:posOffset>142875</wp:posOffset>
              </wp:positionH>
              <wp:positionV relativeFrom="page">
                <wp:posOffset>434340</wp:posOffset>
              </wp:positionV>
              <wp:extent cx="579120" cy="64135"/>
              <wp:wrapNone/>
              <wp:docPr id="2160" name="Shape 2160"/>
              <a:graphic xmlns:a="http://schemas.openxmlformats.org/drawingml/2006/main">
                <a:graphicData uri="http://schemas.microsoft.com/office/word/2010/wordprocessingShape">
                  <wps:wsp>
                    <wps:cNvSpPr txBox="1"/>
                    <wps:spPr>
                      <a:xfrm>
                        <a:ext cx="5791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wps:txbx>
                    <wps:bodyPr wrap="none" lIns="0" tIns="0" rIns="0" bIns="0">
                      <a:spAutoFit/>
                    </wps:bodyPr>
                  </wps:wsp>
                </a:graphicData>
              </a:graphic>
            </wp:anchor>
          </w:drawing>
        </mc:Choice>
        <mc:Fallback>
          <w:pict>
            <v:shape id="_x0000_s3186" type="#_x0000_t202" style="position:absolute;margin-left:11.25pt;margin-top:34.200000000000003pt;width:45.600000000000001pt;height:5.0499999999999998pt;z-index:-1887424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527685</wp:posOffset>
              </wp:positionV>
              <wp:extent cx="4023360" cy="0"/>
              <wp:wrapNone/>
              <wp:docPr id="2162" name="Shape 216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1.549999999999997pt;width:316.80000000000001pt;height:0;z-index:-251658240;mso-position-horizontal-relative:page;mso-position-vertical-relative:page">
              <v:stroke weight="1.pt"/>
            </v:shape>
          </w:pict>
        </mc:Fallback>
      </mc:AlternateContent>
    </w:r>
  </w:p>
</w:hdr>
</file>

<file path=word/header5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8" behindDoc="1" locked="0" layoutInCell="1" allowOverlap="1">
              <wp:simplePos x="0" y="0"/>
              <wp:positionH relativeFrom="page">
                <wp:posOffset>3583940</wp:posOffset>
              </wp:positionH>
              <wp:positionV relativeFrom="page">
                <wp:posOffset>434340</wp:posOffset>
              </wp:positionV>
              <wp:extent cx="579120" cy="64135"/>
              <wp:wrapNone/>
              <wp:docPr id="2165" name="Shape 2165"/>
              <a:graphic xmlns:a="http://schemas.openxmlformats.org/drawingml/2006/main">
                <a:graphicData uri="http://schemas.microsoft.com/office/word/2010/wordprocessingShape">
                  <wps:wsp>
                    <wps:cNvSpPr txBox="1"/>
                    <wps:spPr>
                      <a:xfrm>
                        <a:ext cx="5791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wps:txbx>
                    <wps:bodyPr wrap="none" lIns="0" tIns="0" rIns="0" bIns="0">
                      <a:spAutoFit/>
                    </wps:bodyPr>
                  </wps:wsp>
                </a:graphicData>
              </a:graphic>
            </wp:anchor>
          </w:drawing>
        </mc:Choice>
        <mc:Fallback>
          <w:pict>
            <v:shape id="_x0000_s3191" type="#_x0000_t202" style="position:absolute;margin-left:282.19999999999999pt;margin-top:34.200000000000003pt;width:45.600000000000001pt;height:5.0499999999999998pt;z-index:-1887424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139700</wp:posOffset>
              </wp:positionH>
              <wp:positionV relativeFrom="page">
                <wp:posOffset>534670</wp:posOffset>
              </wp:positionV>
              <wp:extent cx="4020185" cy="0"/>
              <wp:wrapNone/>
              <wp:docPr id="2167" name="Shape 216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pt;margin-top:42.100000000000001pt;width:316.55000000000001pt;height:0;z-index:-251658240;mso-position-horizontal-relative:page;mso-position-vertical-relative:page">
              <v:stroke weight="1.pt"/>
            </v:shape>
          </w:pict>
        </mc:Fallback>
      </mc:AlternateContent>
    </w:r>
  </w:p>
</w:hdr>
</file>

<file path=word/header5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0" behindDoc="1" locked="0" layoutInCell="1" allowOverlap="1">
              <wp:simplePos x="0" y="0"/>
              <wp:positionH relativeFrom="page">
                <wp:posOffset>3583940</wp:posOffset>
              </wp:positionH>
              <wp:positionV relativeFrom="page">
                <wp:posOffset>434340</wp:posOffset>
              </wp:positionV>
              <wp:extent cx="579120" cy="64135"/>
              <wp:wrapNone/>
              <wp:docPr id="2168" name="Shape 2168"/>
              <a:graphic xmlns:a="http://schemas.openxmlformats.org/drawingml/2006/main">
                <a:graphicData uri="http://schemas.microsoft.com/office/word/2010/wordprocessingShape">
                  <wps:wsp>
                    <wps:cNvSpPr txBox="1"/>
                    <wps:spPr>
                      <a:xfrm>
                        <a:ext cx="5791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wps:txbx>
                    <wps:bodyPr wrap="none" lIns="0" tIns="0" rIns="0" bIns="0">
                      <a:spAutoFit/>
                    </wps:bodyPr>
                  </wps:wsp>
                </a:graphicData>
              </a:graphic>
            </wp:anchor>
          </w:drawing>
        </mc:Choice>
        <mc:Fallback>
          <w:pict>
            <v:shape id="_x0000_s3194" type="#_x0000_t202" style="position:absolute;margin-left:282.19999999999999pt;margin-top:34.200000000000003pt;width:45.600000000000001pt;height:5.0499999999999998pt;z-index:-1887424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OPRAVDANJE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139700</wp:posOffset>
              </wp:positionH>
              <wp:positionV relativeFrom="page">
                <wp:posOffset>534670</wp:posOffset>
              </wp:positionV>
              <wp:extent cx="4020185" cy="0"/>
              <wp:wrapNone/>
              <wp:docPr id="2170" name="Shape 217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pt;margin-top:42.100000000000001pt;width:316.55000000000001pt;height:0;z-index:-251658240;mso-position-horizontal-relative:page;mso-position-vertical-relative:page">
              <v:stroke weight="1.pt"/>
            </v:shape>
          </w:pict>
        </mc:Fallback>
      </mc:AlternateContent>
    </w:r>
  </w:p>
</w:hdr>
</file>

<file path=word/header5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2" behindDoc="1" locked="0" layoutInCell="1" allowOverlap="1">
              <wp:simplePos x="0" y="0"/>
              <wp:positionH relativeFrom="page">
                <wp:posOffset>3564255</wp:posOffset>
              </wp:positionH>
              <wp:positionV relativeFrom="page">
                <wp:posOffset>437515</wp:posOffset>
              </wp:positionV>
              <wp:extent cx="606425" cy="60960"/>
              <wp:wrapNone/>
              <wp:docPr id="2171" name="Shape 2171"/>
              <a:graphic xmlns:a="http://schemas.openxmlformats.org/drawingml/2006/main">
                <a:graphicData uri="http://schemas.microsoft.com/office/word/2010/wordprocessingShape">
                  <wps:wsp>
                    <wps:cNvSpPr txBox="1"/>
                    <wps:spPr>
                      <a:xfrm>
                        <a:ext cx="60642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ORTODOKSIJA</w:t>
                          </w:r>
                        </w:p>
                      </w:txbxContent>
                    </wps:txbx>
                    <wps:bodyPr wrap="none" lIns="0" tIns="0" rIns="0" bIns="0">
                      <a:spAutoFit/>
                    </wps:bodyPr>
                  </wps:wsp>
                </a:graphicData>
              </a:graphic>
            </wp:anchor>
          </w:drawing>
        </mc:Choice>
        <mc:Fallback>
          <w:pict>
            <v:shape id="_x0000_s3197" type="#_x0000_t202" style="position:absolute;margin-left:280.64999999999998pt;margin-top:34.450000000000003pt;width:47.75pt;height:4.7999999999999998pt;z-index:-1887424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536575</wp:posOffset>
              </wp:positionV>
              <wp:extent cx="4020185" cy="0"/>
              <wp:wrapNone/>
              <wp:docPr id="2173" name="Shape 217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050000000000001pt;margin-top:42.25pt;width:316.55000000000001pt;height:0;z-index:-251658240;mso-position-horizontal-relative:page;mso-position-vertical-relative:page">
              <v:stroke weight="1.pt"/>
            </v:shape>
          </w:pict>
        </mc:Fallback>
      </mc:AlternateContent>
    </w:r>
  </w:p>
</w:hdr>
</file>

<file path=word/header5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6" behindDoc="1" locked="0" layoutInCell="1" allowOverlap="1">
              <wp:simplePos x="0" y="0"/>
              <wp:positionH relativeFrom="page">
                <wp:posOffset>3564255</wp:posOffset>
              </wp:positionH>
              <wp:positionV relativeFrom="page">
                <wp:posOffset>437515</wp:posOffset>
              </wp:positionV>
              <wp:extent cx="606425" cy="60960"/>
              <wp:wrapNone/>
              <wp:docPr id="2176" name="Shape 2176"/>
              <a:graphic xmlns:a="http://schemas.openxmlformats.org/drawingml/2006/main">
                <a:graphicData uri="http://schemas.microsoft.com/office/word/2010/wordprocessingShape">
                  <wps:wsp>
                    <wps:cNvSpPr txBox="1"/>
                    <wps:spPr>
                      <a:xfrm>
                        <a:ext cx="60642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ORTODOKSIJA</w:t>
                          </w:r>
                        </w:p>
                      </w:txbxContent>
                    </wps:txbx>
                    <wps:bodyPr wrap="none" lIns="0" tIns="0" rIns="0" bIns="0">
                      <a:spAutoFit/>
                    </wps:bodyPr>
                  </wps:wsp>
                </a:graphicData>
              </a:graphic>
            </wp:anchor>
          </w:drawing>
        </mc:Choice>
        <mc:Fallback>
          <w:pict>
            <v:shape id="_x0000_s3202" type="#_x0000_t202" style="position:absolute;margin-left:280.64999999999998pt;margin-top:34.450000000000003pt;width:47.75pt;height:4.7999999999999998pt;z-index:-1887423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536575</wp:posOffset>
              </wp:positionV>
              <wp:extent cx="4020185" cy="0"/>
              <wp:wrapNone/>
              <wp:docPr id="2178" name="Shape 217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050000000000001pt;margin-top:42.25pt;width:316.55000000000001pt;height:0;z-index:-251658240;mso-position-horizontal-relative:page;mso-position-vertical-relative:page">
              <v:stroke weight="1.pt"/>
            </v:shape>
          </w:pict>
        </mc:Fallback>
      </mc:AlternateContent>
    </w:r>
  </w:p>
</w:hdr>
</file>

<file path=word/header5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0" behindDoc="1" locked="0" layoutInCell="1" allowOverlap="1">
              <wp:simplePos x="0" y="0"/>
              <wp:positionH relativeFrom="page">
                <wp:posOffset>142875</wp:posOffset>
              </wp:positionH>
              <wp:positionV relativeFrom="page">
                <wp:posOffset>431165</wp:posOffset>
              </wp:positionV>
              <wp:extent cx="1219200" cy="67310"/>
              <wp:wrapNone/>
              <wp:docPr id="2181" name="Shape 2181"/>
              <a:graphic xmlns:a="http://schemas.openxmlformats.org/drawingml/2006/main">
                <a:graphicData uri="http://schemas.microsoft.com/office/word/2010/wordprocessingShape">
                  <wps:wsp>
                    <wps:cNvSpPr txBox="1"/>
                    <wps:spPr>
                      <a:xfrm>
                        <a:ext cx="12192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OPRAVDANJE/ORTODOKSIJA</w:t>
                          </w:r>
                        </w:p>
                      </w:txbxContent>
                    </wps:txbx>
                    <wps:bodyPr wrap="none" lIns="0" tIns="0" rIns="0" bIns="0">
                      <a:spAutoFit/>
                    </wps:bodyPr>
                  </wps:wsp>
                </a:graphicData>
              </a:graphic>
            </wp:anchor>
          </w:drawing>
        </mc:Choice>
        <mc:Fallback>
          <w:pict>
            <v:shape id="_x0000_s3207" type="#_x0000_t202" style="position:absolute;margin-left:11.25pt;margin-top:33.950000000000003pt;width:96.pt;height:5.2999999999999998pt;z-index:-1887423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OPRAVDANJE/ORTODOKSIJA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525780</wp:posOffset>
              </wp:positionV>
              <wp:extent cx="4026535" cy="0"/>
              <wp:wrapNone/>
              <wp:docPr id="2183" name="Shape 2183"/>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25pt;margin-top:41.399999999999999pt;width:317.05000000000001pt;height:0;z-index:-251658240;mso-position-horizontal-relative:page;mso-position-vertical-relative:page">
              <v:stroke weight="1.pt"/>
            </v:shape>
          </w:pict>
        </mc:Fallback>
      </mc:AlternateContent>
    </w:r>
  </w:p>
</w:hdr>
</file>

<file path=word/header5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4" behindDoc="1" locked="0" layoutInCell="1" allowOverlap="1">
              <wp:simplePos x="0" y="0"/>
              <wp:positionH relativeFrom="page">
                <wp:posOffset>151765</wp:posOffset>
              </wp:positionH>
              <wp:positionV relativeFrom="page">
                <wp:posOffset>440690</wp:posOffset>
              </wp:positionV>
              <wp:extent cx="1871345" cy="67310"/>
              <wp:wrapNone/>
              <wp:docPr id="2186" name="Shape 2186"/>
              <a:graphic xmlns:a="http://schemas.openxmlformats.org/drawingml/2006/main">
                <a:graphicData uri="http://schemas.microsoft.com/office/word/2010/wordprocessingShape">
                  <wps:wsp>
                    <wps:cNvSpPr txBox="1"/>
                    <wps:spPr>
                      <a:xfrm>
                        <a:ext cx="187134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ORTODOKS1J/VOSLOHOĐF.N.IE/OTKUPLJI-.NJE</w:t>
                          </w:r>
                        </w:p>
                      </w:txbxContent>
                    </wps:txbx>
                    <wps:bodyPr wrap="none" lIns="0" tIns="0" rIns="0" bIns="0">
                      <a:spAutoFit/>
                    </wps:bodyPr>
                  </wps:wsp>
                </a:graphicData>
              </a:graphic>
            </wp:anchor>
          </w:drawing>
        </mc:Choice>
        <mc:Fallback>
          <w:pict>
            <v:shape id="_x0000_s3212" type="#_x0000_t202" style="position:absolute;margin-left:11.949999999999999pt;margin-top:34.700000000000003pt;width:147.34999999999999pt;height:5.2999999999999998pt;z-index:-1887423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ORTODOKS1J/VOSLOHOĐF.N.IE/OTKUPLJI-.NJE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536575</wp:posOffset>
              </wp:positionV>
              <wp:extent cx="4020185" cy="0"/>
              <wp:wrapNone/>
              <wp:docPr id="2188" name="Shape 218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2.25pt;width:316.55000000000001pt;height:0;z-index:-251658240;mso-position-horizontal-relative:page;mso-position-vertical-relative:page">
              <v:stroke weight="1.pt"/>
            </v:shape>
          </w:pict>
        </mc:Fallback>
      </mc:AlternateContent>
    </w:r>
  </w:p>
</w:hdr>
</file>

<file path=word/header5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8" behindDoc="1" locked="0" layoutInCell="1" allowOverlap="1">
              <wp:simplePos x="0" y="0"/>
              <wp:positionH relativeFrom="page">
                <wp:posOffset>151765</wp:posOffset>
              </wp:positionH>
              <wp:positionV relativeFrom="page">
                <wp:posOffset>440690</wp:posOffset>
              </wp:positionV>
              <wp:extent cx="1871345" cy="67310"/>
              <wp:wrapNone/>
              <wp:docPr id="2191" name="Shape 2191"/>
              <a:graphic xmlns:a="http://schemas.openxmlformats.org/drawingml/2006/main">
                <a:graphicData uri="http://schemas.microsoft.com/office/word/2010/wordprocessingShape">
                  <wps:wsp>
                    <wps:cNvSpPr txBox="1"/>
                    <wps:spPr>
                      <a:xfrm>
                        <a:ext cx="187134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ORTODOKS1J/VOSLOHOĐF.N.IE/OTKUPLJI-.NJE</w:t>
                          </w:r>
                        </w:p>
                      </w:txbxContent>
                    </wps:txbx>
                    <wps:bodyPr wrap="none" lIns="0" tIns="0" rIns="0" bIns="0">
                      <a:spAutoFit/>
                    </wps:bodyPr>
                  </wps:wsp>
                </a:graphicData>
              </a:graphic>
            </wp:anchor>
          </w:drawing>
        </mc:Choice>
        <mc:Fallback>
          <w:pict>
            <v:shape id="_x0000_s3217" type="#_x0000_t202" style="position:absolute;margin-left:11.949999999999999pt;margin-top:34.700000000000003pt;width:147.34999999999999pt;height:5.2999999999999998pt;z-index:-1887423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ORTODOKS1J/VOSLOHOĐF.N.IE/OTKUPLJI-.NJE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536575</wp:posOffset>
              </wp:positionV>
              <wp:extent cx="4020185" cy="0"/>
              <wp:wrapNone/>
              <wp:docPr id="2193" name="Shape 219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2.25pt;width:316.55000000000001pt;height:0;z-index:-251658240;mso-position-horizontal-relative:page;mso-position-vertical-relative:page">
              <v:stroke weight="1.pt"/>
            </v:shape>
          </w:pict>
        </mc:Fallback>
      </mc:AlternateContent>
    </w:r>
  </w:p>
</w:hdr>
</file>

<file path=word/header5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2" behindDoc="1" locked="0" layoutInCell="1" allowOverlap="1">
              <wp:simplePos x="0" y="0"/>
              <wp:positionH relativeFrom="page">
                <wp:posOffset>3579495</wp:posOffset>
              </wp:positionH>
              <wp:positionV relativeFrom="page">
                <wp:posOffset>431165</wp:posOffset>
              </wp:positionV>
              <wp:extent cx="588010" cy="64135"/>
              <wp:wrapNone/>
              <wp:docPr id="2196" name="Shape 2196"/>
              <a:graphic xmlns:a="http://schemas.openxmlformats.org/drawingml/2006/main">
                <a:graphicData uri="http://schemas.microsoft.com/office/word/2010/wordprocessingShape">
                  <wps:wsp>
                    <wps:cNvSpPr txBox="1"/>
                    <wps:spPr>
                      <a:xfrm>
                        <a:ext cx="5880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wps:txbx>
                    <wps:bodyPr wrap="none" lIns="0" tIns="0" rIns="0" bIns="0">
                      <a:spAutoFit/>
                    </wps:bodyPr>
                  </wps:wsp>
                </a:graphicData>
              </a:graphic>
            </wp:anchor>
          </w:drawing>
        </mc:Choice>
        <mc:Fallback>
          <w:pict>
            <v:shape id="_x0000_s3222" type="#_x0000_t202" style="position:absolute;margin-left:281.85000000000002pt;margin-top:33.950000000000003pt;width:46.299999999999997pt;height:5.0499999999999998pt;z-index:-1887423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537845</wp:posOffset>
              </wp:positionV>
              <wp:extent cx="4017010" cy="0"/>
              <wp:wrapNone/>
              <wp:docPr id="2198" name="Shape 219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2.350000000000001pt;width:316.30000000000001pt;height:0;z-index:-251658240;mso-position-horizontal-relative:page;mso-position-vertical-relative:page">
              <v:stroke weight="1.pt"/>
            </v:shape>
          </w:pict>
        </mc:Fallback>
      </mc:AlternateContent>
    </w:r>
  </w:p>
</w:hdr>
</file>

<file path=word/header5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4" behindDoc="1" locked="0" layoutInCell="1" allowOverlap="1">
              <wp:simplePos x="0" y="0"/>
              <wp:positionH relativeFrom="page">
                <wp:posOffset>3579495</wp:posOffset>
              </wp:positionH>
              <wp:positionV relativeFrom="page">
                <wp:posOffset>431165</wp:posOffset>
              </wp:positionV>
              <wp:extent cx="588010" cy="64135"/>
              <wp:wrapNone/>
              <wp:docPr id="2199" name="Shape 2199"/>
              <a:graphic xmlns:a="http://schemas.openxmlformats.org/drawingml/2006/main">
                <a:graphicData uri="http://schemas.microsoft.com/office/word/2010/wordprocessingShape">
                  <wps:wsp>
                    <wps:cNvSpPr txBox="1"/>
                    <wps:spPr>
                      <a:xfrm>
                        <a:ext cx="5880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wps:txbx>
                    <wps:bodyPr wrap="none" lIns="0" tIns="0" rIns="0" bIns="0">
                      <a:spAutoFit/>
                    </wps:bodyPr>
                  </wps:wsp>
                </a:graphicData>
              </a:graphic>
            </wp:anchor>
          </w:drawing>
        </mc:Choice>
        <mc:Fallback>
          <w:pict>
            <v:shape id="_x0000_s3225" type="#_x0000_t202" style="position:absolute;margin-left:281.85000000000002pt;margin-top:33.950000000000003pt;width:46.299999999999997pt;height:5.0499999999999998pt;z-index:-1887423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537845</wp:posOffset>
              </wp:positionV>
              <wp:extent cx="4017010" cy="0"/>
              <wp:wrapNone/>
              <wp:docPr id="2201" name="Shape 220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2.350000000000001pt;width:316.30000000000001pt;height:0;z-index:-251658240;mso-position-horizontal-relative:page;mso-position-vertical-relative:page">
              <v:stroke weight="1.pt"/>
            </v:shape>
          </w:pict>
        </mc:Fallback>
      </mc:AlternateContent>
    </w:r>
  </w:p>
</w:hdr>
</file>

<file path=word/header5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6" behindDoc="1" locked="0" layoutInCell="1" allowOverlap="1">
              <wp:simplePos x="0" y="0"/>
              <wp:positionH relativeFrom="page">
                <wp:posOffset>148590</wp:posOffset>
              </wp:positionH>
              <wp:positionV relativeFrom="page">
                <wp:posOffset>434340</wp:posOffset>
              </wp:positionV>
              <wp:extent cx="585470" cy="64135"/>
              <wp:wrapNone/>
              <wp:docPr id="2202" name="Shape 2202"/>
              <a:graphic xmlns:a="http://schemas.openxmlformats.org/drawingml/2006/main">
                <a:graphicData uri="http://schemas.microsoft.com/office/word/2010/wordprocessingShape">
                  <wps:wsp>
                    <wps:cNvSpPr txBox="1"/>
                    <wps:spPr>
                      <a:xfrm>
                        <a:ext cx="5854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wps:txbx>
                    <wps:bodyPr wrap="none" lIns="0" tIns="0" rIns="0" bIns="0">
                      <a:spAutoFit/>
                    </wps:bodyPr>
                  </wps:wsp>
                </a:graphicData>
              </a:graphic>
            </wp:anchor>
          </w:drawing>
        </mc:Choice>
        <mc:Fallback>
          <w:pict>
            <v:shape id="_x0000_s3228" type="#_x0000_t202" style="position:absolute;margin-left:11.699999999999999pt;margin-top:34.200000000000003pt;width:46.100000000000001pt;height:5.0499999999999998pt;z-index:-1887423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530225</wp:posOffset>
              </wp:positionV>
              <wp:extent cx="4026535" cy="0"/>
              <wp:wrapNone/>
              <wp:docPr id="2204" name="Shape 220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99999999999999pt;margin-top:41.75pt;width:317.05000000000001pt;height:0;z-index:-251658240;mso-position-horizontal-relative:page;mso-position-vertical-relative:page">
              <v:stroke weight="1.pt"/>
            </v:shape>
          </w:pict>
        </mc:Fallback>
      </mc:AlternateContent>
    </w:r>
  </w:p>
</w:hdr>
</file>

<file path=word/header5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0" behindDoc="1" locked="0" layoutInCell="1" allowOverlap="1">
              <wp:simplePos x="0" y="0"/>
              <wp:positionH relativeFrom="page">
                <wp:posOffset>148590</wp:posOffset>
              </wp:positionH>
              <wp:positionV relativeFrom="page">
                <wp:posOffset>434340</wp:posOffset>
              </wp:positionV>
              <wp:extent cx="585470" cy="64135"/>
              <wp:wrapNone/>
              <wp:docPr id="2207" name="Shape 2207"/>
              <a:graphic xmlns:a="http://schemas.openxmlformats.org/drawingml/2006/main">
                <a:graphicData uri="http://schemas.microsoft.com/office/word/2010/wordprocessingShape">
                  <wps:wsp>
                    <wps:cNvSpPr txBox="1"/>
                    <wps:spPr>
                      <a:xfrm>
                        <a:ext cx="5854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wps:txbx>
                    <wps:bodyPr wrap="none" lIns="0" tIns="0" rIns="0" bIns="0">
                      <a:spAutoFit/>
                    </wps:bodyPr>
                  </wps:wsp>
                </a:graphicData>
              </a:graphic>
            </wp:anchor>
          </w:drawing>
        </mc:Choice>
        <mc:Fallback>
          <w:pict>
            <v:shape id="_x0000_s3233" type="#_x0000_t202" style="position:absolute;margin-left:11.699999999999999pt;margin-top:34.200000000000003pt;width:46.100000000000001pt;height:5.0499999999999998pt;z-index:-1887423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530225</wp:posOffset>
              </wp:positionV>
              <wp:extent cx="4026535" cy="0"/>
              <wp:wrapNone/>
              <wp:docPr id="2209" name="Shape 220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99999999999999pt;margin-top:41.75pt;width:317.05000000000001pt;height:0;z-index:-251658240;mso-position-horizontal-relative:page;mso-position-vertical-relative:page">
              <v:stroke weight="1.pt"/>
            </v:shape>
          </w:pict>
        </mc:Fallback>
      </mc:AlternateContent>
    </w:r>
  </w:p>
</w:hdr>
</file>

<file path=word/header5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4" behindDoc="1" locked="0" layoutInCell="1" allowOverlap="1">
              <wp:simplePos x="0" y="0"/>
              <wp:positionH relativeFrom="page">
                <wp:posOffset>3579495</wp:posOffset>
              </wp:positionH>
              <wp:positionV relativeFrom="page">
                <wp:posOffset>431165</wp:posOffset>
              </wp:positionV>
              <wp:extent cx="588010" cy="64135"/>
              <wp:wrapNone/>
              <wp:docPr id="2212" name="Shape 2212"/>
              <a:graphic xmlns:a="http://schemas.openxmlformats.org/drawingml/2006/main">
                <a:graphicData uri="http://schemas.microsoft.com/office/word/2010/wordprocessingShape">
                  <wps:wsp>
                    <wps:cNvSpPr txBox="1"/>
                    <wps:spPr>
                      <a:xfrm>
                        <a:ext cx="5880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wps:txbx>
                    <wps:bodyPr wrap="none" lIns="0" tIns="0" rIns="0" bIns="0">
                      <a:spAutoFit/>
                    </wps:bodyPr>
                  </wps:wsp>
                </a:graphicData>
              </a:graphic>
            </wp:anchor>
          </w:drawing>
        </mc:Choice>
        <mc:Fallback>
          <w:pict>
            <v:shape id="_x0000_s3238" type="#_x0000_t202" style="position:absolute;margin-left:281.85000000000002pt;margin-top:33.950000000000003pt;width:46.299999999999997pt;height:5.0499999999999998pt;z-index:-1887423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537845</wp:posOffset>
              </wp:positionV>
              <wp:extent cx="4017010" cy="0"/>
              <wp:wrapNone/>
              <wp:docPr id="2214" name="Shape 221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2.350000000000001pt;width:316.30000000000001pt;height:0;z-index:-251658240;mso-position-horizontal-relative:page;mso-position-vertical-relative:page">
              <v:stroke weight="1.pt"/>
            </v:shape>
          </w:pict>
        </mc:Fallback>
      </mc:AlternateContent>
    </w:r>
  </w:p>
</w:hdr>
</file>

<file path=word/header5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6" behindDoc="1" locked="0" layoutInCell="1" allowOverlap="1">
              <wp:simplePos x="0" y="0"/>
              <wp:positionH relativeFrom="page">
                <wp:posOffset>3579495</wp:posOffset>
              </wp:positionH>
              <wp:positionV relativeFrom="page">
                <wp:posOffset>431165</wp:posOffset>
              </wp:positionV>
              <wp:extent cx="588010" cy="64135"/>
              <wp:wrapNone/>
              <wp:docPr id="2215" name="Shape 2215"/>
              <a:graphic xmlns:a="http://schemas.openxmlformats.org/drawingml/2006/main">
                <a:graphicData uri="http://schemas.microsoft.com/office/word/2010/wordprocessingShape">
                  <wps:wsp>
                    <wps:cNvSpPr txBox="1"/>
                    <wps:spPr>
                      <a:xfrm>
                        <a:ext cx="5880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wps:txbx>
                    <wps:bodyPr wrap="none" lIns="0" tIns="0" rIns="0" bIns="0">
                      <a:spAutoFit/>
                    </wps:bodyPr>
                  </wps:wsp>
                </a:graphicData>
              </a:graphic>
            </wp:anchor>
          </w:drawing>
        </mc:Choice>
        <mc:Fallback>
          <w:pict>
            <v:shape id="_x0000_s3241" type="#_x0000_t202" style="position:absolute;margin-left:281.85000000000002pt;margin-top:33.950000000000003pt;width:46.299999999999997pt;height:5.0499999999999998pt;z-index:-1887423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OTKUPLJENJE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537845</wp:posOffset>
              </wp:positionV>
              <wp:extent cx="4017010" cy="0"/>
              <wp:wrapNone/>
              <wp:docPr id="2217" name="Shape 221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050000000000001pt;margin-top:42.350000000000001pt;width:316.30000000000001pt;height:0;z-index:-251658240;mso-position-horizontal-relative:page;mso-position-vertical-relative:page">
              <v:stroke weight="1.pt"/>
            </v:shape>
          </w:pict>
        </mc:Fallback>
      </mc:AlternateContent>
    </w:r>
  </w:p>
</w:hdr>
</file>

<file path=word/header5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8" behindDoc="1" locked="0" layoutInCell="1" allowOverlap="1">
              <wp:simplePos x="0" y="0"/>
              <wp:positionH relativeFrom="page">
                <wp:posOffset>148590</wp:posOffset>
              </wp:positionH>
              <wp:positionV relativeFrom="page">
                <wp:posOffset>434340</wp:posOffset>
              </wp:positionV>
              <wp:extent cx="585470" cy="64135"/>
              <wp:wrapNone/>
              <wp:docPr id="2218" name="Shape 2218"/>
              <a:graphic xmlns:a="http://schemas.openxmlformats.org/drawingml/2006/main">
                <a:graphicData uri="http://schemas.microsoft.com/office/word/2010/wordprocessingShape">
                  <wps:wsp>
                    <wps:cNvSpPr txBox="1"/>
                    <wps:spPr>
                      <a:xfrm>
                        <a:ext cx="5854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wps:txbx>
                    <wps:bodyPr wrap="none" lIns="0" tIns="0" rIns="0" bIns="0">
                      <a:spAutoFit/>
                    </wps:bodyPr>
                  </wps:wsp>
                </a:graphicData>
              </a:graphic>
            </wp:anchor>
          </w:drawing>
        </mc:Choice>
        <mc:Fallback>
          <w:pict>
            <v:shape id="_x0000_s3244" type="#_x0000_t202" style="position:absolute;margin-left:11.699999999999999pt;margin-top:34.200000000000003pt;width:46.100000000000001pt;height:5.0499999999999998pt;z-index:-1887423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530225</wp:posOffset>
              </wp:positionV>
              <wp:extent cx="4026535" cy="0"/>
              <wp:wrapNone/>
              <wp:docPr id="2220" name="Shape 2220"/>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99999999999999pt;margin-top:41.75pt;width:317.05000000000001pt;height:0;z-index:-251658240;mso-position-horizontal-relative:page;mso-position-vertical-relative:page">
              <v:stroke weight="1.pt"/>
            </v:shape>
          </w:pict>
        </mc:Fallback>
      </mc:AlternateContent>
    </w:r>
  </w:p>
</w:hdr>
</file>

<file path=word/header5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2" behindDoc="1" locked="0" layoutInCell="1" allowOverlap="1">
              <wp:simplePos x="0" y="0"/>
              <wp:positionH relativeFrom="page">
                <wp:posOffset>148590</wp:posOffset>
              </wp:positionH>
              <wp:positionV relativeFrom="page">
                <wp:posOffset>434340</wp:posOffset>
              </wp:positionV>
              <wp:extent cx="585470" cy="64135"/>
              <wp:wrapNone/>
              <wp:docPr id="2223" name="Shape 2223"/>
              <a:graphic xmlns:a="http://schemas.openxmlformats.org/drawingml/2006/main">
                <a:graphicData uri="http://schemas.microsoft.com/office/word/2010/wordprocessingShape">
                  <wps:wsp>
                    <wps:cNvSpPr txBox="1"/>
                    <wps:spPr>
                      <a:xfrm>
                        <a:ext cx="5854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wps:txbx>
                    <wps:bodyPr wrap="none" lIns="0" tIns="0" rIns="0" bIns="0">
                      <a:spAutoFit/>
                    </wps:bodyPr>
                  </wps:wsp>
                </a:graphicData>
              </a:graphic>
            </wp:anchor>
          </w:drawing>
        </mc:Choice>
        <mc:Fallback>
          <w:pict>
            <v:shape id="_x0000_s3249" type="#_x0000_t202" style="position:absolute;margin-left:11.699999999999999pt;margin-top:34.200000000000003pt;width:46.100000000000001pt;height:5.0499999999999998pt;z-index:-1887423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OTKUPI JENJE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530225</wp:posOffset>
              </wp:positionV>
              <wp:extent cx="4026535" cy="0"/>
              <wp:wrapNone/>
              <wp:docPr id="2225" name="Shape 2225"/>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99999999999999pt;margin-top:41.75pt;width:317.05000000000001pt;height:0;z-index:-251658240;mso-position-horizontal-relative:page;mso-position-vertical-relative:page">
              <v:stroke weight="1.pt"/>
            </v:shape>
          </w:pict>
        </mc:Fallback>
      </mc:AlternateContent>
    </w:r>
  </w:p>
</w:hdr>
</file>

<file path=word/header5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6" behindDoc="1" locked="0" layoutInCell="1" allowOverlap="1">
              <wp:simplePos x="0" y="0"/>
              <wp:positionH relativeFrom="page">
                <wp:posOffset>148590</wp:posOffset>
              </wp:positionH>
              <wp:positionV relativeFrom="page">
                <wp:posOffset>424180</wp:posOffset>
              </wp:positionV>
              <wp:extent cx="292735" cy="57785"/>
              <wp:wrapNone/>
              <wp:docPr id="2228" name="Shape 2228"/>
              <a:graphic xmlns:a="http://schemas.openxmlformats.org/drawingml/2006/main">
                <a:graphicData uri="http://schemas.microsoft.com/office/word/2010/wordprocessingShape">
                  <wps:wsp>
                    <wps:cNvSpPr txBox="1"/>
                    <wps:spPr>
                      <a:xfrm>
                        <a:ext cx="29273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PAKAO</w:t>
                          </w:r>
                        </w:p>
                      </w:txbxContent>
                    </wps:txbx>
                    <wps:bodyPr wrap="none" lIns="0" tIns="0" rIns="0" bIns="0">
                      <a:spAutoFit/>
                    </wps:bodyPr>
                  </wps:wsp>
                </a:graphicData>
              </a:graphic>
            </wp:anchor>
          </w:drawing>
        </mc:Choice>
        <mc:Fallback>
          <w:pict>
            <v:shape id="_x0000_s3254" type="#_x0000_t202" style="position:absolute;margin-left:11.699999999999999pt;margin-top:33.399999999999999pt;width:23.050000000000001pt;height:4.5499999999999998pt;z-index:-1887423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PAKAO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516890</wp:posOffset>
              </wp:positionV>
              <wp:extent cx="4023360" cy="0"/>
              <wp:wrapNone/>
              <wp:docPr id="2230" name="Shape 223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0.700000000000003pt;width:316.80000000000001pt;height:0;z-index:-251658240;mso-position-horizontal-relative:page;mso-position-vertical-relative:page">
              <v:stroke weight="1.pt"/>
            </v:shape>
          </w:pict>
        </mc:Fallback>
      </mc:AlternateContent>
    </w:r>
  </w:p>
</w:hdr>
</file>

<file path=word/header5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0" behindDoc="1" locked="0" layoutInCell="1" allowOverlap="1">
              <wp:simplePos x="0" y="0"/>
              <wp:positionH relativeFrom="page">
                <wp:posOffset>148590</wp:posOffset>
              </wp:positionH>
              <wp:positionV relativeFrom="page">
                <wp:posOffset>424180</wp:posOffset>
              </wp:positionV>
              <wp:extent cx="292735" cy="57785"/>
              <wp:wrapNone/>
              <wp:docPr id="2233" name="Shape 2233"/>
              <a:graphic xmlns:a="http://schemas.openxmlformats.org/drawingml/2006/main">
                <a:graphicData uri="http://schemas.microsoft.com/office/word/2010/wordprocessingShape">
                  <wps:wsp>
                    <wps:cNvSpPr txBox="1"/>
                    <wps:spPr>
                      <a:xfrm>
                        <a:ext cx="29273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PAKAO</w:t>
                          </w:r>
                        </w:p>
                      </w:txbxContent>
                    </wps:txbx>
                    <wps:bodyPr wrap="none" lIns="0" tIns="0" rIns="0" bIns="0">
                      <a:spAutoFit/>
                    </wps:bodyPr>
                  </wps:wsp>
                </a:graphicData>
              </a:graphic>
            </wp:anchor>
          </w:drawing>
        </mc:Choice>
        <mc:Fallback>
          <w:pict>
            <v:shape id="_x0000_s3259" type="#_x0000_t202" style="position:absolute;margin-left:11.699999999999999pt;margin-top:33.399999999999999pt;width:23.050000000000001pt;height:4.5499999999999998pt;z-index:-1887423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PAKAO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516890</wp:posOffset>
              </wp:positionV>
              <wp:extent cx="4023360" cy="0"/>
              <wp:wrapNone/>
              <wp:docPr id="2235" name="Shape 223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0.700000000000003pt;width:316.80000000000001pt;height:0;z-index:-251658240;mso-position-horizontal-relative:page;mso-position-vertical-relative:page">
              <v:stroke weight="1.pt"/>
            </v:shape>
          </w:pict>
        </mc:Fallback>
      </mc:AlternateContent>
    </w:r>
  </w:p>
</w:hdr>
</file>

<file path=word/header5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6" behindDoc="1" locked="0" layoutInCell="1" allowOverlap="1">
              <wp:simplePos x="0" y="0"/>
              <wp:positionH relativeFrom="page">
                <wp:posOffset>144145</wp:posOffset>
              </wp:positionH>
              <wp:positionV relativeFrom="page">
                <wp:posOffset>421005</wp:posOffset>
              </wp:positionV>
              <wp:extent cx="320040" cy="60960"/>
              <wp:wrapNone/>
              <wp:docPr id="2240" name="Shape 2240"/>
              <a:graphic xmlns:a="http://schemas.openxmlformats.org/drawingml/2006/main">
                <a:graphicData uri="http://schemas.microsoft.com/office/word/2010/wordprocessingShape">
                  <wps:wsp>
                    <wps:cNvSpPr txBox="1"/>
                    <wps:spPr>
                      <a:xfrm>
                        <a:ext cx="3200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PATNJA</w:t>
                          </w:r>
                        </w:p>
                      </w:txbxContent>
                    </wps:txbx>
                    <wps:bodyPr wrap="none" lIns="0" tIns="0" rIns="0" bIns="0">
                      <a:spAutoFit/>
                    </wps:bodyPr>
                  </wps:wsp>
                </a:graphicData>
              </a:graphic>
            </wp:anchor>
          </w:drawing>
        </mc:Choice>
        <mc:Fallback>
          <w:pict>
            <v:shape id="_x0000_s3266" type="#_x0000_t202" style="position:absolute;margin-left:11.35pt;margin-top:33.149999999999999pt;width:25.199999999999999pt;height:4.7999999999999998pt;z-index:-1887423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PATNJA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512445</wp:posOffset>
              </wp:positionV>
              <wp:extent cx="4023360" cy="0"/>
              <wp:wrapNone/>
              <wp:docPr id="2242" name="Shape 224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0.350000000000001pt;width:316.80000000000001pt;height:0;z-index:-251658240;mso-position-horizontal-relative:page;mso-position-vertical-relative:page">
              <v:stroke weight="1.pt"/>
            </v:shape>
          </w:pict>
        </mc:Fallback>
      </mc:AlternateContent>
    </w:r>
  </w:p>
</w:hdr>
</file>

<file path=word/header5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10" behindDoc="1" locked="0" layoutInCell="1" allowOverlap="1">
              <wp:simplePos x="0" y="0"/>
              <wp:positionH relativeFrom="page">
                <wp:posOffset>144145</wp:posOffset>
              </wp:positionH>
              <wp:positionV relativeFrom="page">
                <wp:posOffset>421005</wp:posOffset>
              </wp:positionV>
              <wp:extent cx="320040" cy="60960"/>
              <wp:wrapNone/>
              <wp:docPr id="2245" name="Shape 2245"/>
              <a:graphic xmlns:a="http://schemas.openxmlformats.org/drawingml/2006/main">
                <a:graphicData uri="http://schemas.microsoft.com/office/word/2010/wordprocessingShape">
                  <wps:wsp>
                    <wps:cNvSpPr txBox="1"/>
                    <wps:spPr>
                      <a:xfrm>
                        <a:ext cx="3200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PATNJA</w:t>
                          </w:r>
                        </w:p>
                      </w:txbxContent>
                    </wps:txbx>
                    <wps:bodyPr wrap="none" lIns="0" tIns="0" rIns="0" bIns="0">
                      <a:spAutoFit/>
                    </wps:bodyPr>
                  </wps:wsp>
                </a:graphicData>
              </a:graphic>
            </wp:anchor>
          </w:drawing>
        </mc:Choice>
        <mc:Fallback>
          <w:pict>
            <v:shape id="_x0000_s3271" type="#_x0000_t202" style="position:absolute;margin-left:11.35pt;margin-top:33.149999999999999pt;width:25.199999999999999pt;height:4.7999999999999998pt;z-index:-1887423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PATNJA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512445</wp:posOffset>
              </wp:positionV>
              <wp:extent cx="4023360" cy="0"/>
              <wp:wrapNone/>
              <wp:docPr id="2247" name="Shape 224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0.350000000000001pt;width:316.80000000000001pt;height:0;z-index:-251658240;mso-position-horizontal-relative:page;mso-position-vertical-relative:page">
              <v:stroke weight="1.pt"/>
            </v:shape>
          </w:pict>
        </mc:Fallback>
      </mc:AlternateContent>
    </w:r>
  </w:p>
</w:hdr>
</file>

<file path=word/header5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14" behindDoc="1" locked="0" layoutInCell="1" allowOverlap="1">
              <wp:simplePos x="0" y="0"/>
              <wp:positionH relativeFrom="page">
                <wp:posOffset>2873375</wp:posOffset>
              </wp:positionH>
              <wp:positionV relativeFrom="page">
                <wp:posOffset>433070</wp:posOffset>
              </wp:positionV>
              <wp:extent cx="1301750" cy="67310"/>
              <wp:wrapNone/>
              <wp:docPr id="2250" name="Shape 2250"/>
              <a:graphic xmlns:a="http://schemas.openxmlformats.org/drawingml/2006/main">
                <a:graphicData uri="http://schemas.microsoft.com/office/word/2010/wordprocessingShape">
                  <wps:wsp>
                    <wps:cNvSpPr txBox="1"/>
                    <wps:spPr>
                      <a:xfrm>
                        <a:ext cx="13017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PA PI </w:t>
                          </w:r>
                          <w:r>
                            <w:rPr>
                              <w:color w:val="000000"/>
                              <w:spacing w:val="0"/>
                              <w:w w:val="100"/>
                              <w:position w:val="0"/>
                              <w:shd w:val="clear" w:color="auto" w:fill="auto"/>
                              <w:lang w:val="hr-HR" w:eastAsia="hr-HR" w:bidi="hr-HR"/>
                            </w:rPr>
                            <w:t>NSTVO/P ASTO RALZPATNJ A</w:t>
                          </w:r>
                        </w:p>
                      </w:txbxContent>
                    </wps:txbx>
                    <wps:bodyPr wrap="none" lIns="0" tIns="0" rIns="0" bIns="0">
                      <a:spAutoFit/>
                    </wps:bodyPr>
                  </wps:wsp>
                </a:graphicData>
              </a:graphic>
            </wp:anchor>
          </w:drawing>
        </mc:Choice>
        <mc:Fallback>
          <w:pict>
            <v:shape id="_x0000_s3276" type="#_x0000_t202" style="position:absolute;margin-left:226.25pt;margin-top:34.100000000000001pt;width:102.5pt;height:5.2999999999999998pt;z-index:-1887423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PA PI </w:t>
                    </w:r>
                    <w:r>
                      <w:rPr>
                        <w:color w:val="000000"/>
                        <w:spacing w:val="0"/>
                        <w:w w:val="100"/>
                        <w:position w:val="0"/>
                        <w:shd w:val="clear" w:color="auto" w:fill="auto"/>
                        <w:lang w:val="hr-HR" w:eastAsia="hr-HR" w:bidi="hr-HR"/>
                      </w:rPr>
                      <w:t>NSTVO/P ASTO RALZPATNJ 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535305</wp:posOffset>
              </wp:positionV>
              <wp:extent cx="4020185" cy="0"/>
              <wp:wrapNone/>
              <wp:docPr id="2252" name="Shape 225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2.149999999999999pt;width:316.55000000000001pt;height:0;z-index:-251658240;mso-position-horizontal-relative:page;mso-position-vertical-relative:page">
              <v:stroke weight="1.pt"/>
            </v:shape>
          </w:pict>
        </mc:Fallback>
      </mc:AlternateContent>
    </w:r>
  </w:p>
</w:hdr>
</file>

<file path=word/header5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18" behindDoc="1" locked="0" layoutInCell="1" allowOverlap="1">
              <wp:simplePos x="0" y="0"/>
              <wp:positionH relativeFrom="page">
                <wp:posOffset>148590</wp:posOffset>
              </wp:positionH>
              <wp:positionV relativeFrom="page">
                <wp:posOffset>417830</wp:posOffset>
              </wp:positionV>
              <wp:extent cx="326390" cy="64135"/>
              <wp:wrapNone/>
              <wp:docPr id="2255" name="Shape 2255"/>
              <a:graphic xmlns:a="http://schemas.openxmlformats.org/drawingml/2006/main">
                <a:graphicData uri="http://schemas.microsoft.com/office/word/2010/wordprocessingShape">
                  <wps:wsp>
                    <wps:cNvSpPr txBox="1"/>
                    <wps:spPr>
                      <a:xfrm>
                        <a:ext cx="3263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POGANI</w:t>
                          </w:r>
                        </w:p>
                      </w:txbxContent>
                    </wps:txbx>
                    <wps:bodyPr wrap="none" lIns="0" tIns="0" rIns="0" bIns="0">
                      <a:spAutoFit/>
                    </wps:bodyPr>
                  </wps:wsp>
                </a:graphicData>
              </a:graphic>
            </wp:anchor>
          </w:drawing>
        </mc:Choice>
        <mc:Fallback>
          <w:pict>
            <v:shape id="_x0000_s3281" type="#_x0000_t202" style="position:absolute;margin-left:11.699999999999999pt;margin-top:32.899999999999999pt;width:25.699999999999999pt;height:5.0499999999999998pt;z-index:-1887423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POGANI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516890</wp:posOffset>
              </wp:positionV>
              <wp:extent cx="4026535" cy="0"/>
              <wp:wrapNone/>
              <wp:docPr id="2257" name="Shape 2257"/>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0.700000000000003pt;width:317.05000000000001pt;height:0;z-index:-251658240;mso-position-horizontal-relative:page;mso-position-vertical-relative:page">
              <v:stroke weight="1.pt"/>
            </v:shape>
          </w:pict>
        </mc:Fallback>
      </mc:AlternateContent>
    </w:r>
  </w:p>
</w:hdr>
</file>

<file path=word/header5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22" behindDoc="1" locked="0" layoutInCell="1" allowOverlap="1">
              <wp:simplePos x="0" y="0"/>
              <wp:positionH relativeFrom="page">
                <wp:posOffset>148590</wp:posOffset>
              </wp:positionH>
              <wp:positionV relativeFrom="page">
                <wp:posOffset>417830</wp:posOffset>
              </wp:positionV>
              <wp:extent cx="326390" cy="64135"/>
              <wp:wrapNone/>
              <wp:docPr id="2260" name="Shape 2260"/>
              <a:graphic xmlns:a="http://schemas.openxmlformats.org/drawingml/2006/main">
                <a:graphicData uri="http://schemas.microsoft.com/office/word/2010/wordprocessingShape">
                  <wps:wsp>
                    <wps:cNvSpPr txBox="1"/>
                    <wps:spPr>
                      <a:xfrm>
                        <a:ext cx="3263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POGANI</w:t>
                          </w:r>
                        </w:p>
                      </w:txbxContent>
                    </wps:txbx>
                    <wps:bodyPr wrap="none" lIns="0" tIns="0" rIns="0" bIns="0">
                      <a:spAutoFit/>
                    </wps:bodyPr>
                  </wps:wsp>
                </a:graphicData>
              </a:graphic>
            </wp:anchor>
          </w:drawing>
        </mc:Choice>
        <mc:Fallback>
          <w:pict>
            <v:shape id="_x0000_s3286" type="#_x0000_t202" style="position:absolute;margin-left:11.699999999999999pt;margin-top:32.899999999999999pt;width:25.699999999999999pt;height:5.0499999999999998pt;z-index:-1887423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POGANI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516890</wp:posOffset>
              </wp:positionV>
              <wp:extent cx="4026535" cy="0"/>
              <wp:wrapNone/>
              <wp:docPr id="2262" name="Shape 2262"/>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0.700000000000003pt;width:317.05000000000001pt;height:0;z-index:-251658240;mso-position-horizontal-relative:page;mso-position-vertical-relative:page">
              <v:stroke weight="1.pt"/>
            </v:shape>
          </w:pict>
        </mc:Fallback>
      </mc:AlternateContent>
    </w:r>
  </w:p>
</w:hdr>
</file>

<file path=word/header5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26" behindDoc="1" locked="0" layoutInCell="1" allowOverlap="1">
              <wp:simplePos x="0" y="0"/>
              <wp:positionH relativeFrom="page">
                <wp:posOffset>3196590</wp:posOffset>
              </wp:positionH>
              <wp:positionV relativeFrom="page">
                <wp:posOffset>417830</wp:posOffset>
              </wp:positionV>
              <wp:extent cx="966470" cy="64135"/>
              <wp:wrapNone/>
              <wp:docPr id="2265" name="Shape 2265"/>
              <a:graphic xmlns:a="http://schemas.openxmlformats.org/drawingml/2006/main">
                <a:graphicData uri="http://schemas.microsoft.com/office/word/2010/wordprocessingShape">
                  <wps:wsp>
                    <wps:cNvSpPr txBox="1"/>
                    <wps:spPr>
                      <a:xfrm>
                        <a:ext cx="9664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PATNJA/PISMO/POGANI</w:t>
                          </w:r>
                        </w:p>
                      </w:txbxContent>
                    </wps:txbx>
                    <wps:bodyPr wrap="none" lIns="0" tIns="0" rIns="0" bIns="0">
                      <a:spAutoFit/>
                    </wps:bodyPr>
                  </wps:wsp>
                </a:graphicData>
              </a:graphic>
            </wp:anchor>
          </w:drawing>
        </mc:Choice>
        <mc:Fallback>
          <w:pict>
            <v:shape id="_x0000_s3291" type="#_x0000_t202" style="position:absolute;margin-left:251.69999999999999pt;margin-top:32.899999999999999pt;width:76.099999999999994pt;height:5.0499999999999998pt;z-index:-1887423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PATNJA/PISMO/POGANI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520065</wp:posOffset>
              </wp:positionV>
              <wp:extent cx="4020185" cy="0"/>
              <wp:wrapNone/>
              <wp:docPr id="2267" name="Shape 226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49999999999999pt;margin-top:40.950000000000003pt;width:316.55000000000001pt;height:0;z-index:-251658240;mso-position-horizontal-relative:page;mso-position-vertical-relative:page">
              <v:stroke weight="1.pt"/>
            </v:shape>
          </w:pict>
        </mc:Fallback>
      </mc:AlternateContent>
    </w:r>
  </w:p>
</w:hdr>
</file>

<file path=word/header5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0" behindDoc="1" locked="0" layoutInCell="1" allowOverlap="1">
              <wp:simplePos x="0" y="0"/>
              <wp:positionH relativeFrom="page">
                <wp:posOffset>144145</wp:posOffset>
              </wp:positionH>
              <wp:positionV relativeFrom="page">
                <wp:posOffset>421005</wp:posOffset>
              </wp:positionV>
              <wp:extent cx="722630" cy="67310"/>
              <wp:wrapNone/>
              <wp:docPr id="2270" name="Shape 2270"/>
              <a:graphic xmlns:a="http://schemas.openxmlformats.org/drawingml/2006/main">
                <a:graphicData uri="http://schemas.microsoft.com/office/word/2010/wordprocessingShape">
                  <wps:wsp>
                    <wps:cNvSpPr txBox="1"/>
                    <wps:spPr>
                      <a:xfrm>
                        <a:ext cx="7226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POGANI/POKORA</w:t>
                          </w:r>
                        </w:p>
                      </w:txbxContent>
                    </wps:txbx>
                    <wps:bodyPr wrap="none" lIns="0" tIns="0" rIns="0" bIns="0">
                      <a:spAutoFit/>
                    </wps:bodyPr>
                  </wps:wsp>
                </a:graphicData>
              </a:graphic>
            </wp:anchor>
          </w:drawing>
        </mc:Choice>
        <mc:Fallback>
          <w:pict>
            <v:shape id="_x0000_s3296" type="#_x0000_t202" style="position:absolute;margin-left:11.35pt;margin-top:33.149999999999999pt;width:56.899999999999999pt;height:5.2999999999999998pt;z-index:-1887423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POGANI/POKORA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515620</wp:posOffset>
              </wp:positionV>
              <wp:extent cx="4023360" cy="0"/>
              <wp:wrapNone/>
              <wp:docPr id="2272" name="Shape 227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0.600000000000001pt;width:316.80000000000001pt;height:0;z-index:-251658240;mso-position-horizontal-relative:page;mso-position-vertical-relative:page">
              <v:stroke weight="1.pt"/>
            </v:shape>
          </w:pict>
        </mc:Fallback>
      </mc:AlternateContent>
    </w:r>
  </w:p>
</w:hdr>
</file>

<file path=word/header5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4" behindDoc="1" locked="0" layoutInCell="1" allowOverlap="1">
              <wp:simplePos x="0" y="0"/>
              <wp:positionH relativeFrom="page">
                <wp:posOffset>144145</wp:posOffset>
              </wp:positionH>
              <wp:positionV relativeFrom="page">
                <wp:posOffset>421005</wp:posOffset>
              </wp:positionV>
              <wp:extent cx="722630" cy="67310"/>
              <wp:wrapNone/>
              <wp:docPr id="2275" name="Shape 2275"/>
              <a:graphic xmlns:a="http://schemas.openxmlformats.org/drawingml/2006/main">
                <a:graphicData uri="http://schemas.microsoft.com/office/word/2010/wordprocessingShape">
                  <wps:wsp>
                    <wps:cNvSpPr txBox="1"/>
                    <wps:spPr>
                      <a:xfrm>
                        <a:ext cx="7226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POGANI/POKORA</w:t>
                          </w:r>
                        </w:p>
                      </w:txbxContent>
                    </wps:txbx>
                    <wps:bodyPr wrap="none" lIns="0" tIns="0" rIns="0" bIns="0">
                      <a:spAutoFit/>
                    </wps:bodyPr>
                  </wps:wsp>
                </a:graphicData>
              </a:graphic>
            </wp:anchor>
          </w:drawing>
        </mc:Choice>
        <mc:Fallback>
          <w:pict>
            <v:shape id="_x0000_s3301" type="#_x0000_t202" style="position:absolute;margin-left:11.35pt;margin-top:33.149999999999999pt;width:56.899999999999999pt;height:5.2999999999999998pt;z-index:-1887423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POGANI/POKORA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515620</wp:posOffset>
              </wp:positionV>
              <wp:extent cx="4023360" cy="0"/>
              <wp:wrapNone/>
              <wp:docPr id="2277" name="Shape 227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pt;margin-top:40.600000000000001pt;width:316.80000000000001pt;height:0;z-index:-251658240;mso-position-horizontal-relative:page;mso-position-vertical-relative:page">
              <v:stroke weight="1.pt"/>
            </v:shape>
          </w:pict>
        </mc:Fallback>
      </mc:AlternateContent>
    </w:r>
  </w:p>
</w:hdr>
</file>

<file path=word/header5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8" behindDoc="1" locked="0" layoutInCell="1" allowOverlap="1">
              <wp:simplePos x="0" y="0"/>
              <wp:positionH relativeFrom="page">
                <wp:posOffset>3835400</wp:posOffset>
              </wp:positionH>
              <wp:positionV relativeFrom="page">
                <wp:posOffset>417830</wp:posOffset>
              </wp:positionV>
              <wp:extent cx="328930" cy="64135"/>
              <wp:wrapNone/>
              <wp:docPr id="2280" name="Shape 2280"/>
              <a:graphic xmlns:a="http://schemas.openxmlformats.org/drawingml/2006/main">
                <a:graphicData uri="http://schemas.microsoft.com/office/word/2010/wordprocessingShape">
                  <wps:wsp>
                    <wps:cNvSpPr txBox="1"/>
                    <wps:spPr>
                      <a:xfrm>
                        <a:ext cx="3289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POGANI</w:t>
                          </w:r>
                        </w:p>
                      </w:txbxContent>
                    </wps:txbx>
                    <wps:bodyPr wrap="none" lIns="0" tIns="0" rIns="0" bIns="0">
                      <a:spAutoFit/>
                    </wps:bodyPr>
                  </wps:wsp>
                </a:graphicData>
              </a:graphic>
            </wp:anchor>
          </w:drawing>
        </mc:Choice>
        <mc:Fallback>
          <w:pict>
            <v:shape id="_x0000_s3306" type="#_x0000_t202" style="position:absolute;margin-left:302.pt;margin-top:32.899999999999999pt;width:25.899999999999999pt;height:5.0499999999999998pt;z-index:-1887423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POGANI</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521335</wp:posOffset>
              </wp:positionV>
              <wp:extent cx="4026535" cy="0"/>
              <wp:wrapNone/>
              <wp:docPr id="2282" name="Shape 2282"/>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pt;margin-top:41.049999999999997pt;width:317.05000000000001pt;height:0;z-index:-251658240;mso-position-horizontal-relative:page;mso-position-vertical-relative:page">
              <v:stroke weight="1.pt"/>
            </v:shape>
          </w:pict>
        </mc:Fallback>
      </mc:AlternateContent>
    </w:r>
  </w:p>
</w:hdr>
</file>

<file path=word/header5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2" behindDoc="1" locked="0" layoutInCell="1" allowOverlap="1">
              <wp:simplePos x="0" y="0"/>
              <wp:positionH relativeFrom="page">
                <wp:posOffset>153035</wp:posOffset>
              </wp:positionH>
              <wp:positionV relativeFrom="page">
                <wp:posOffset>417830</wp:posOffset>
              </wp:positionV>
              <wp:extent cx="359410" cy="64135"/>
              <wp:wrapNone/>
              <wp:docPr id="2285" name="Shape 2285"/>
              <a:graphic xmlns:a="http://schemas.openxmlformats.org/drawingml/2006/main">
                <a:graphicData uri="http://schemas.microsoft.com/office/word/2010/wordprocessingShape">
                  <wps:wsp>
                    <wps:cNvSpPr txBox="1"/>
                    <wps:spPr>
                      <a:xfrm>
                        <a:ext cx="359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wps:txbx>
                    <wps:bodyPr wrap="none" lIns="0" tIns="0" rIns="0" bIns="0">
                      <a:spAutoFit/>
                    </wps:bodyPr>
                  </wps:wsp>
                </a:graphicData>
              </a:graphic>
            </wp:anchor>
          </w:drawing>
        </mc:Choice>
        <mc:Fallback>
          <w:pict>
            <v:shape id="_x0000_s3311" type="#_x0000_t202" style="position:absolute;margin-left:12.050000000000001pt;margin-top:32.899999999999999pt;width:28.300000000000001pt;height:5.0499999999999998pt;z-index:-1887423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515620</wp:posOffset>
              </wp:positionV>
              <wp:extent cx="4023360" cy="0"/>
              <wp:wrapNone/>
              <wp:docPr id="2287" name="Shape 228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5pt;margin-top:40.600000000000001pt;width:316.80000000000001pt;height:0;z-index:-251658240;mso-position-horizontal-relative:page;mso-position-vertical-relative:page">
              <v:stroke weight="1.pt"/>
            </v:shape>
          </w:pict>
        </mc:Fallback>
      </mc:AlternateContent>
    </w:r>
  </w:p>
</w:hdr>
</file>

<file path=word/header5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6" behindDoc="1" locked="0" layoutInCell="1" allowOverlap="1">
              <wp:simplePos x="0" y="0"/>
              <wp:positionH relativeFrom="page">
                <wp:posOffset>153035</wp:posOffset>
              </wp:positionH>
              <wp:positionV relativeFrom="page">
                <wp:posOffset>417830</wp:posOffset>
              </wp:positionV>
              <wp:extent cx="359410" cy="64135"/>
              <wp:wrapNone/>
              <wp:docPr id="2290" name="Shape 2290"/>
              <a:graphic xmlns:a="http://schemas.openxmlformats.org/drawingml/2006/main">
                <a:graphicData uri="http://schemas.microsoft.com/office/word/2010/wordprocessingShape">
                  <wps:wsp>
                    <wps:cNvSpPr txBox="1"/>
                    <wps:spPr>
                      <a:xfrm>
                        <a:ext cx="359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wps:txbx>
                    <wps:bodyPr wrap="none" lIns="0" tIns="0" rIns="0" bIns="0">
                      <a:spAutoFit/>
                    </wps:bodyPr>
                  </wps:wsp>
                </a:graphicData>
              </a:graphic>
            </wp:anchor>
          </w:drawing>
        </mc:Choice>
        <mc:Fallback>
          <w:pict>
            <v:shape id="_x0000_s3316" type="#_x0000_t202" style="position:absolute;margin-left:12.050000000000001pt;margin-top:32.899999999999999pt;width:28.300000000000001pt;height:5.0499999999999998pt;z-index:-1887423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515620</wp:posOffset>
              </wp:positionV>
              <wp:extent cx="4023360" cy="0"/>
              <wp:wrapNone/>
              <wp:docPr id="2292" name="Shape 229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5pt;margin-top:40.600000000000001pt;width:316.80000000000001pt;height:0;z-index:-251658240;mso-position-horizontal-relative:page;mso-position-vertical-relative:page">
              <v:stroke weight="1.pt"/>
            </v:shape>
          </w:pict>
        </mc:Fallback>
      </mc:AlternateContent>
    </w:r>
  </w:p>
</w:hdr>
</file>

<file path=word/header5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50" behindDoc="1" locked="0" layoutInCell="1" allowOverlap="1">
              <wp:simplePos x="0" y="0"/>
              <wp:positionH relativeFrom="page">
                <wp:posOffset>3818255</wp:posOffset>
              </wp:positionH>
              <wp:positionV relativeFrom="page">
                <wp:posOffset>415290</wp:posOffset>
              </wp:positionV>
              <wp:extent cx="359410" cy="67310"/>
              <wp:wrapNone/>
              <wp:docPr id="2295" name="Shape 2295"/>
              <a:graphic xmlns:a="http://schemas.openxmlformats.org/drawingml/2006/main">
                <a:graphicData uri="http://schemas.microsoft.com/office/word/2010/wordprocessingShape">
                  <wps:wsp>
                    <wps:cNvSpPr txBox="1"/>
                    <wps:spPr>
                      <a:xfrm>
                        <a:ext cx="3594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wps:txbx>
                    <wps:bodyPr wrap="none" lIns="0" tIns="0" rIns="0" bIns="0">
                      <a:spAutoFit/>
                    </wps:bodyPr>
                  </wps:wsp>
                </a:graphicData>
              </a:graphic>
            </wp:anchor>
          </w:drawing>
        </mc:Choice>
        <mc:Fallback>
          <w:pict>
            <v:shape id="_x0000_s3321" type="#_x0000_t202" style="position:absolute;margin-left:300.64999999999998pt;margin-top:32.700000000000003pt;width:28.300000000000001pt;height:5.2999999999999998pt;z-index:-1887423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515620</wp:posOffset>
              </wp:positionV>
              <wp:extent cx="4020185" cy="0"/>
              <wp:wrapNone/>
              <wp:docPr id="2297" name="Shape 229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0.600000000000001pt;width:316.55000000000001pt;height:0;z-index:-251658240;mso-position-horizontal-relative:page;mso-position-vertical-relative:page">
              <v:stroke weight="1.pt"/>
            </v:shape>
          </w:pict>
        </mc:Fallback>
      </mc:AlternateContent>
    </w:r>
  </w:p>
</w:hdr>
</file>

<file path=word/header5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54" behindDoc="1" locked="0" layoutInCell="1" allowOverlap="1">
              <wp:simplePos x="0" y="0"/>
              <wp:positionH relativeFrom="page">
                <wp:posOffset>158115</wp:posOffset>
              </wp:positionH>
              <wp:positionV relativeFrom="page">
                <wp:posOffset>417830</wp:posOffset>
              </wp:positionV>
              <wp:extent cx="396240" cy="64135"/>
              <wp:wrapNone/>
              <wp:docPr id="2300" name="Shape 2300"/>
              <a:graphic xmlns:a="http://schemas.openxmlformats.org/drawingml/2006/main">
                <a:graphicData uri="http://schemas.microsoft.com/office/word/2010/wordprocessingShape">
                  <wps:wsp>
                    <wps:cNvSpPr txBox="1"/>
                    <wps:spPr>
                      <a:xfrm>
                        <a:ext cx="396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wps:txbx>
                    <wps:bodyPr wrap="none" lIns="0" tIns="0" rIns="0" bIns="0">
                      <a:spAutoFit/>
                    </wps:bodyPr>
                  </wps:wsp>
                </a:graphicData>
              </a:graphic>
            </wp:anchor>
          </w:drawing>
        </mc:Choice>
        <mc:Fallback>
          <w:pict>
            <v:shape id="_x0000_s3326" type="#_x0000_t202" style="position:absolute;margin-left:12.449999999999999pt;margin-top:32.899999999999999pt;width:31.199999999999999pt;height:5.0499999999999998pt;z-index:-1887422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518795</wp:posOffset>
              </wp:positionV>
              <wp:extent cx="4020185" cy="0"/>
              <wp:wrapNone/>
              <wp:docPr id="2302" name="Shape 230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0.850000000000001pt;width:316.55000000000001pt;height:0;z-index:-251658240;mso-position-horizontal-relative:page;mso-position-vertical-relative:page">
              <v:stroke weight="1.pt"/>
            </v:shape>
          </w:pict>
        </mc:Fallback>
      </mc:AlternateContent>
    </w:r>
  </w:p>
</w:hdr>
</file>

<file path=word/header5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58" behindDoc="1" locked="0" layoutInCell="1" allowOverlap="1">
              <wp:simplePos x="0" y="0"/>
              <wp:positionH relativeFrom="page">
                <wp:posOffset>158115</wp:posOffset>
              </wp:positionH>
              <wp:positionV relativeFrom="page">
                <wp:posOffset>417830</wp:posOffset>
              </wp:positionV>
              <wp:extent cx="396240" cy="64135"/>
              <wp:wrapNone/>
              <wp:docPr id="2305" name="Shape 2305"/>
              <a:graphic xmlns:a="http://schemas.openxmlformats.org/drawingml/2006/main">
                <a:graphicData uri="http://schemas.microsoft.com/office/word/2010/wordprocessingShape">
                  <wps:wsp>
                    <wps:cNvSpPr txBox="1"/>
                    <wps:spPr>
                      <a:xfrm>
                        <a:ext cx="396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wps:txbx>
                    <wps:bodyPr wrap="none" lIns="0" tIns="0" rIns="0" bIns="0">
                      <a:spAutoFit/>
                    </wps:bodyPr>
                  </wps:wsp>
                </a:graphicData>
              </a:graphic>
            </wp:anchor>
          </w:drawing>
        </mc:Choice>
        <mc:Fallback>
          <w:pict>
            <v:shape id="_x0000_s3331" type="#_x0000_t202" style="position:absolute;margin-left:12.449999999999999pt;margin-top:32.899999999999999pt;width:31.199999999999999pt;height:5.0499999999999998pt;z-index:-1887422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518795</wp:posOffset>
              </wp:positionV>
              <wp:extent cx="4020185" cy="0"/>
              <wp:wrapNone/>
              <wp:docPr id="2307" name="Shape 230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99999999999999pt;margin-top:40.850000000000001pt;width:316.55000000000001pt;height:0;z-index:-251658240;mso-position-horizontal-relative:page;mso-position-vertical-relative:page">
              <v:stroke weight="1.pt"/>
            </v:shape>
          </w:pict>
        </mc:Fallback>
      </mc:AlternateContent>
    </w:r>
  </w:p>
</w:hdr>
</file>

<file path=word/header5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2" behindDoc="1" locked="0" layoutInCell="1" allowOverlap="1">
              <wp:simplePos x="0" y="0"/>
              <wp:positionH relativeFrom="page">
                <wp:posOffset>3806190</wp:posOffset>
              </wp:positionH>
              <wp:positionV relativeFrom="page">
                <wp:posOffset>421005</wp:posOffset>
              </wp:positionV>
              <wp:extent cx="359410" cy="60960"/>
              <wp:wrapNone/>
              <wp:docPr id="2310" name="Shape 2310"/>
              <a:graphic xmlns:a="http://schemas.openxmlformats.org/drawingml/2006/main">
                <a:graphicData uri="http://schemas.microsoft.com/office/word/2010/wordprocessingShape">
                  <wps:wsp>
                    <wps:cNvSpPr txBox="1"/>
                    <wps:spPr>
                      <a:xfrm>
                        <a:ext cx="3594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wps:txbx>
                    <wps:bodyPr wrap="none" lIns="0" tIns="0" rIns="0" bIns="0">
                      <a:spAutoFit/>
                    </wps:bodyPr>
                  </wps:wsp>
                </a:graphicData>
              </a:graphic>
            </wp:anchor>
          </w:drawing>
        </mc:Choice>
        <mc:Fallback>
          <w:pict>
            <v:shape id="_x0000_s3336" type="#_x0000_t202" style="position:absolute;margin-left:299.69999999999999pt;margin-top:33.149999999999999pt;width:28.300000000000001pt;height:4.7999999999999998pt;z-index:-1887422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POKORA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521335</wp:posOffset>
              </wp:positionV>
              <wp:extent cx="4017010" cy="0"/>
              <wp:wrapNone/>
              <wp:docPr id="2312" name="Shape 231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449999999999999pt;margin-top:41.049999999999997pt;width:316.30000000000001pt;height:0;z-index:-251658240;mso-position-horizontal-relative:page;mso-position-vertical-relative:page">
              <v:stroke weight="1.pt"/>
            </v:shape>
          </w:pict>
        </mc:Fallback>
      </mc:AlternateContent>
    </w:r>
  </w:p>
</w:hdr>
</file>

<file path=word/header5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6" behindDoc="1" locked="0" layoutInCell="1" allowOverlap="1">
              <wp:simplePos x="0" y="0"/>
              <wp:positionH relativeFrom="page">
                <wp:posOffset>3766820</wp:posOffset>
              </wp:positionH>
              <wp:positionV relativeFrom="page">
                <wp:posOffset>417830</wp:posOffset>
              </wp:positionV>
              <wp:extent cx="396240" cy="64135"/>
              <wp:wrapNone/>
              <wp:docPr id="2315" name="Shape 2315"/>
              <a:graphic xmlns:a="http://schemas.openxmlformats.org/drawingml/2006/main">
                <a:graphicData uri="http://schemas.microsoft.com/office/word/2010/wordprocessingShape">
                  <wps:wsp>
                    <wps:cNvSpPr txBox="1"/>
                    <wps:spPr>
                      <a:xfrm>
                        <a:ext cx="396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wps:txbx>
                    <wps:bodyPr wrap="none" lIns="0" tIns="0" rIns="0" bIns="0">
                      <a:spAutoFit/>
                    </wps:bodyPr>
                  </wps:wsp>
                </a:graphicData>
              </a:graphic>
            </wp:anchor>
          </w:drawing>
        </mc:Choice>
        <mc:Fallback>
          <w:pict>
            <v:shape id="_x0000_s3341" type="#_x0000_t202" style="position:absolute;margin-left:296.60000000000002pt;margin-top:32.899999999999999pt;width:31.199999999999999pt;height:5.0499999999999998pt;z-index:-1887422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516890</wp:posOffset>
              </wp:positionV>
              <wp:extent cx="4014470" cy="0"/>
              <wp:wrapNone/>
              <wp:docPr id="2317" name="Shape 2317"/>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99999999999999pt;margin-top:40.700000000000003pt;width:316.10000000000002pt;height:0;z-index:-251658240;mso-position-horizontal-relative:page;mso-position-vertical-relative:page">
              <v:stroke weight="1.pt"/>
            </v:shape>
          </w:pict>
        </mc:Fallback>
      </mc:AlternateContent>
    </w:r>
  </w:p>
</w:hdr>
</file>

<file path=word/header5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0" behindDoc="1" locked="0" layoutInCell="1" allowOverlap="1">
              <wp:simplePos x="0" y="0"/>
              <wp:positionH relativeFrom="page">
                <wp:posOffset>3766820</wp:posOffset>
              </wp:positionH>
              <wp:positionV relativeFrom="page">
                <wp:posOffset>417830</wp:posOffset>
              </wp:positionV>
              <wp:extent cx="396240" cy="64135"/>
              <wp:wrapNone/>
              <wp:docPr id="2320" name="Shape 2320"/>
              <a:graphic xmlns:a="http://schemas.openxmlformats.org/drawingml/2006/main">
                <a:graphicData uri="http://schemas.microsoft.com/office/word/2010/wordprocessingShape">
                  <wps:wsp>
                    <wps:cNvSpPr txBox="1"/>
                    <wps:spPr>
                      <a:xfrm>
                        <a:ext cx="396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wps:txbx>
                    <wps:bodyPr wrap="none" lIns="0" tIns="0" rIns="0" bIns="0">
                      <a:spAutoFit/>
                    </wps:bodyPr>
                  </wps:wsp>
                </a:graphicData>
              </a:graphic>
            </wp:anchor>
          </w:drawing>
        </mc:Choice>
        <mc:Fallback>
          <w:pict>
            <v:shape id="_x0000_s3346" type="#_x0000_t202" style="position:absolute;margin-left:296.60000000000002pt;margin-top:32.899999999999999pt;width:31.199999999999999pt;height:5.0499999999999998pt;z-index:-1887422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516890</wp:posOffset>
              </wp:positionV>
              <wp:extent cx="4014470" cy="0"/>
              <wp:wrapNone/>
              <wp:docPr id="2322" name="Shape 2322"/>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99999999999999pt;margin-top:40.700000000000003pt;width:316.10000000000002pt;height:0;z-index:-251658240;mso-position-horizontal-relative:page;mso-position-vertical-relative:page">
              <v:stroke weight="1.pt"/>
            </v:shape>
          </w:pict>
        </mc:Fallback>
      </mc:AlternateContent>
    </w:r>
  </w:p>
</w:hdr>
</file>

<file path=word/header5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4" behindDoc="1" locked="0" layoutInCell="1" allowOverlap="1">
              <wp:simplePos x="0" y="0"/>
              <wp:positionH relativeFrom="page">
                <wp:posOffset>147320</wp:posOffset>
              </wp:positionH>
              <wp:positionV relativeFrom="page">
                <wp:posOffset>448310</wp:posOffset>
              </wp:positionV>
              <wp:extent cx="402590" cy="64135"/>
              <wp:wrapNone/>
              <wp:docPr id="2325" name="Shape 2325"/>
              <a:graphic xmlns:a="http://schemas.openxmlformats.org/drawingml/2006/main">
                <a:graphicData uri="http://schemas.microsoft.com/office/word/2010/wordprocessingShape">
                  <wps:wsp>
                    <wps:cNvSpPr txBox="1"/>
                    <wps:spPr>
                      <a:xfrm>
                        <a:ext cx="4025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wps:txbx>
                    <wps:bodyPr wrap="none" lIns="0" tIns="0" rIns="0" bIns="0">
                      <a:spAutoFit/>
                    </wps:bodyPr>
                  </wps:wsp>
                </a:graphicData>
              </a:graphic>
            </wp:anchor>
          </w:drawing>
        </mc:Choice>
        <mc:Fallback>
          <w:pict>
            <v:shape id="_x0000_s3351" type="#_x0000_t202" style="position:absolute;margin-left:11.6pt;margin-top:35.299999999999997pt;width:31.699999999999999pt;height:5.0499999999999998pt;z-index:-1887422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542925</wp:posOffset>
              </wp:positionV>
              <wp:extent cx="4023360" cy="0"/>
              <wp:wrapNone/>
              <wp:docPr id="2327" name="Shape 232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2.75pt;width:316.80000000000001pt;height:0;z-index:-251658240;mso-position-horizontal-relative:page;mso-position-vertical-relative:page">
              <v:stroke weight="1.pt"/>
            </v:shape>
          </w:pict>
        </mc:Fallback>
      </mc:AlternateContent>
    </w:r>
  </w:p>
</w:hdr>
</file>

<file path=word/header5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6" behindDoc="1" locked="0" layoutInCell="1" allowOverlap="1">
              <wp:simplePos x="0" y="0"/>
              <wp:positionH relativeFrom="page">
                <wp:posOffset>147320</wp:posOffset>
              </wp:positionH>
              <wp:positionV relativeFrom="page">
                <wp:posOffset>448310</wp:posOffset>
              </wp:positionV>
              <wp:extent cx="402590" cy="64135"/>
              <wp:wrapNone/>
              <wp:docPr id="2328" name="Shape 2328"/>
              <a:graphic xmlns:a="http://schemas.openxmlformats.org/drawingml/2006/main">
                <a:graphicData uri="http://schemas.microsoft.com/office/word/2010/wordprocessingShape">
                  <wps:wsp>
                    <wps:cNvSpPr txBox="1"/>
                    <wps:spPr>
                      <a:xfrm>
                        <a:ext cx="4025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wps:txbx>
                    <wps:bodyPr wrap="none" lIns="0" tIns="0" rIns="0" bIns="0">
                      <a:spAutoFit/>
                    </wps:bodyPr>
                  </wps:wsp>
                </a:graphicData>
              </a:graphic>
            </wp:anchor>
          </w:drawing>
        </mc:Choice>
        <mc:Fallback>
          <w:pict>
            <v:shape id="_x0000_s3354" type="#_x0000_t202" style="position:absolute;margin-left:11.6pt;margin-top:35.299999999999997pt;width:31.699999999999999pt;height:5.0499999999999998pt;z-index:-1887422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542925</wp:posOffset>
              </wp:positionV>
              <wp:extent cx="4023360" cy="0"/>
              <wp:wrapNone/>
              <wp:docPr id="2330" name="Shape 233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2.75pt;width:316.80000000000001pt;height:0;z-index:-251658240;mso-position-horizontal-relative:page;mso-position-vertical-relative:page">
              <v:stroke weight="1.pt"/>
            </v:shape>
          </w:pict>
        </mc:Fallback>
      </mc:AlternateContent>
    </w:r>
  </w:p>
</w:hdr>
</file>

<file path=word/header5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8" behindDoc="1" locked="0" layoutInCell="1" allowOverlap="1">
              <wp:simplePos x="0" y="0"/>
              <wp:positionH relativeFrom="page">
                <wp:posOffset>145415</wp:posOffset>
              </wp:positionH>
              <wp:positionV relativeFrom="page">
                <wp:posOffset>445770</wp:posOffset>
              </wp:positionV>
              <wp:extent cx="643255" cy="67310"/>
              <wp:wrapNone/>
              <wp:docPr id="2331" name="Shape 2331"/>
              <a:graphic xmlns:a="http://schemas.openxmlformats.org/drawingml/2006/main">
                <a:graphicData uri="http://schemas.microsoft.com/office/word/2010/wordprocessingShape">
                  <wps:wsp>
                    <wps:cNvSpPr txBox="1"/>
                    <wps:spPr>
                      <a:xfrm>
                        <a:ext cx="6432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 xml:space="preserve">POLITI </w:t>
                          </w:r>
                          <w:r>
                            <w:rPr>
                              <w:color w:val="000000"/>
                              <w:spacing w:val="0"/>
                              <w:w w:val="100"/>
                              <w:position w:val="0"/>
                              <w:shd w:val="clear" w:color="auto" w:fill="auto"/>
                              <w:lang w:val="en-US" w:eastAsia="en-US" w:bidi="en-US"/>
                            </w:rPr>
                            <w:t>KA/POST</w:t>
                          </w:r>
                        </w:p>
                      </w:txbxContent>
                    </wps:txbx>
                    <wps:bodyPr wrap="none" lIns="0" tIns="0" rIns="0" bIns="0">
                      <a:spAutoFit/>
                    </wps:bodyPr>
                  </wps:wsp>
                </a:graphicData>
              </a:graphic>
            </wp:anchor>
          </w:drawing>
        </mc:Choice>
        <mc:Fallback>
          <w:pict>
            <v:shape id="_x0000_s3357" type="#_x0000_t202" style="position:absolute;margin-left:11.449999999999999pt;margin-top:35.100000000000001pt;width:50.649999999999999pt;height:5.2999999999999998pt;z-index:-1887422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 xml:space="preserve">POLITI </w:t>
                    </w:r>
                    <w:r>
                      <w:rPr>
                        <w:color w:val="000000"/>
                        <w:spacing w:val="0"/>
                        <w:w w:val="100"/>
                        <w:position w:val="0"/>
                        <w:shd w:val="clear" w:color="auto" w:fill="auto"/>
                        <w:lang w:val="en-US" w:eastAsia="en-US" w:bidi="en-US"/>
                      </w:rPr>
                      <w:t>KA/POST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539750</wp:posOffset>
              </wp:positionV>
              <wp:extent cx="4020185" cy="0"/>
              <wp:wrapNone/>
              <wp:docPr id="2333" name="Shape 233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2.5pt;width:316.55000000000001pt;height:0;z-index:-251658240;mso-position-horizontal-relative:page;mso-position-vertical-relative:page">
              <v:stroke weight="1.pt"/>
            </v:shape>
          </w:pict>
        </mc:Fallback>
      </mc:AlternateContent>
    </w:r>
  </w:p>
</w:hdr>
</file>

<file path=word/header5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2" behindDoc="1" locked="0" layoutInCell="1" allowOverlap="1">
              <wp:simplePos x="0" y="0"/>
              <wp:positionH relativeFrom="page">
                <wp:posOffset>145415</wp:posOffset>
              </wp:positionH>
              <wp:positionV relativeFrom="page">
                <wp:posOffset>445770</wp:posOffset>
              </wp:positionV>
              <wp:extent cx="643255" cy="67310"/>
              <wp:wrapNone/>
              <wp:docPr id="2336" name="Shape 2336"/>
              <a:graphic xmlns:a="http://schemas.openxmlformats.org/drawingml/2006/main">
                <a:graphicData uri="http://schemas.microsoft.com/office/word/2010/wordprocessingShape">
                  <wps:wsp>
                    <wps:cNvSpPr txBox="1"/>
                    <wps:spPr>
                      <a:xfrm>
                        <a:ext cx="6432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 xml:space="preserve">POLITI </w:t>
                          </w:r>
                          <w:r>
                            <w:rPr>
                              <w:color w:val="000000"/>
                              <w:spacing w:val="0"/>
                              <w:w w:val="100"/>
                              <w:position w:val="0"/>
                              <w:shd w:val="clear" w:color="auto" w:fill="auto"/>
                              <w:lang w:val="en-US" w:eastAsia="en-US" w:bidi="en-US"/>
                            </w:rPr>
                            <w:t>KA/POST</w:t>
                          </w:r>
                        </w:p>
                      </w:txbxContent>
                    </wps:txbx>
                    <wps:bodyPr wrap="none" lIns="0" tIns="0" rIns="0" bIns="0">
                      <a:spAutoFit/>
                    </wps:bodyPr>
                  </wps:wsp>
                </a:graphicData>
              </a:graphic>
            </wp:anchor>
          </w:drawing>
        </mc:Choice>
        <mc:Fallback>
          <w:pict>
            <v:shape id="_x0000_s3362" type="#_x0000_t202" style="position:absolute;margin-left:11.449999999999999pt;margin-top:35.100000000000001pt;width:50.649999999999999pt;height:5.2999999999999998pt;z-index:-1887422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 xml:space="preserve">POLITI </w:t>
                    </w:r>
                    <w:r>
                      <w:rPr>
                        <w:color w:val="000000"/>
                        <w:spacing w:val="0"/>
                        <w:w w:val="100"/>
                        <w:position w:val="0"/>
                        <w:shd w:val="clear" w:color="auto" w:fill="auto"/>
                        <w:lang w:val="en-US" w:eastAsia="en-US" w:bidi="en-US"/>
                      </w:rPr>
                      <w:t>KA/POST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539750</wp:posOffset>
              </wp:positionV>
              <wp:extent cx="4020185" cy="0"/>
              <wp:wrapNone/>
              <wp:docPr id="2338" name="Shape 233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2.5pt;width:316.55000000000001pt;height:0;z-index:-251658240;mso-position-horizontal-relative:page;mso-position-vertical-relative:page">
              <v:stroke weight="1.pt"/>
            </v:shape>
          </w:pict>
        </mc:Fallback>
      </mc:AlternateContent>
    </w:r>
  </w:p>
</w:hdr>
</file>

<file path=word/header5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6" behindDoc="1" locked="0" layoutInCell="1" allowOverlap="1">
              <wp:simplePos x="0" y="0"/>
              <wp:positionH relativeFrom="page">
                <wp:posOffset>3766820</wp:posOffset>
              </wp:positionH>
              <wp:positionV relativeFrom="page">
                <wp:posOffset>417830</wp:posOffset>
              </wp:positionV>
              <wp:extent cx="396240" cy="64135"/>
              <wp:wrapNone/>
              <wp:docPr id="2341" name="Shape 2341"/>
              <a:graphic xmlns:a="http://schemas.openxmlformats.org/drawingml/2006/main">
                <a:graphicData uri="http://schemas.microsoft.com/office/word/2010/wordprocessingShape">
                  <wps:wsp>
                    <wps:cNvSpPr txBox="1"/>
                    <wps:spPr>
                      <a:xfrm>
                        <a:ext cx="396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wps:txbx>
                    <wps:bodyPr wrap="none" lIns="0" tIns="0" rIns="0" bIns="0">
                      <a:spAutoFit/>
                    </wps:bodyPr>
                  </wps:wsp>
                </a:graphicData>
              </a:graphic>
            </wp:anchor>
          </w:drawing>
        </mc:Choice>
        <mc:Fallback>
          <w:pict>
            <v:shape id="_x0000_s3367" type="#_x0000_t202" style="position:absolute;margin-left:296.60000000000002pt;margin-top:32.899999999999999pt;width:31.199999999999999pt;height:5.0499999999999998pt;z-index:-1887422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POLITIKA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516890</wp:posOffset>
              </wp:positionV>
              <wp:extent cx="4014470" cy="0"/>
              <wp:wrapNone/>
              <wp:docPr id="2343" name="Shape 234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99999999999999pt;margin-top:40.700000000000003pt;width:316.10000000000002pt;height:0;z-index:-251658240;mso-position-horizontal-relative:page;mso-position-vertical-relative:page">
              <v:stroke weight="1.pt"/>
            </v:shape>
          </w:pict>
        </mc:Fallback>
      </mc:AlternateContent>
    </w:r>
  </w:p>
</w:hdr>
</file>

<file path=word/header5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90" behindDoc="1" locked="0" layoutInCell="1" allowOverlap="1">
              <wp:simplePos x="0" y="0"/>
              <wp:positionH relativeFrom="page">
                <wp:posOffset>153035</wp:posOffset>
              </wp:positionH>
              <wp:positionV relativeFrom="page">
                <wp:posOffset>424180</wp:posOffset>
              </wp:positionV>
              <wp:extent cx="631190" cy="69850"/>
              <wp:wrapNone/>
              <wp:docPr id="2346" name="Shape 2346"/>
              <a:graphic xmlns:a="http://schemas.openxmlformats.org/drawingml/2006/main">
                <a:graphicData uri="http://schemas.microsoft.com/office/word/2010/wordprocessingShape">
                  <wps:wsp>
                    <wps:cNvSpPr txBox="1"/>
                    <wps:spPr>
                      <a:xfrm>
                        <a:ext cx="63119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POST/POVIJEST</w:t>
                          </w:r>
                        </w:p>
                      </w:txbxContent>
                    </wps:txbx>
                    <wps:bodyPr wrap="none" lIns="0" tIns="0" rIns="0" bIns="0">
                      <a:spAutoFit/>
                    </wps:bodyPr>
                  </wps:wsp>
                </a:graphicData>
              </a:graphic>
            </wp:anchor>
          </w:drawing>
        </mc:Choice>
        <mc:Fallback>
          <w:pict>
            <v:shape id="_x0000_s3372" type="#_x0000_t202" style="position:absolute;margin-left:12.050000000000001pt;margin-top:33.399999999999999pt;width:49.700000000000003pt;height:5.5pt;z-index:-1887422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POST/POVIJEST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520065</wp:posOffset>
              </wp:positionV>
              <wp:extent cx="4017010" cy="0"/>
              <wp:wrapNone/>
              <wp:docPr id="2348" name="Shape 234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0.950000000000003pt;width:316.30000000000001pt;height:0;z-index:-251658240;mso-position-horizontal-relative:page;mso-position-vertical-relative:page">
              <v:stroke weight="1.pt"/>
            </v:shape>
          </w:pict>
        </mc:Fallback>
      </mc:AlternateContent>
    </w:r>
  </w:p>
</w:hdr>
</file>

<file path=word/header5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94" behindDoc="1" locked="0" layoutInCell="1" allowOverlap="1">
              <wp:simplePos x="0" y="0"/>
              <wp:positionH relativeFrom="page">
                <wp:posOffset>153035</wp:posOffset>
              </wp:positionH>
              <wp:positionV relativeFrom="page">
                <wp:posOffset>424180</wp:posOffset>
              </wp:positionV>
              <wp:extent cx="631190" cy="69850"/>
              <wp:wrapNone/>
              <wp:docPr id="2351" name="Shape 2351"/>
              <a:graphic xmlns:a="http://schemas.openxmlformats.org/drawingml/2006/main">
                <a:graphicData uri="http://schemas.microsoft.com/office/word/2010/wordprocessingShape">
                  <wps:wsp>
                    <wps:cNvSpPr txBox="1"/>
                    <wps:spPr>
                      <a:xfrm>
                        <a:ext cx="63119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POST/POVIJEST</w:t>
                          </w:r>
                        </w:p>
                      </w:txbxContent>
                    </wps:txbx>
                    <wps:bodyPr wrap="none" lIns="0" tIns="0" rIns="0" bIns="0">
                      <a:spAutoFit/>
                    </wps:bodyPr>
                  </wps:wsp>
                </a:graphicData>
              </a:graphic>
            </wp:anchor>
          </w:drawing>
        </mc:Choice>
        <mc:Fallback>
          <w:pict>
            <v:shape id="_x0000_s3377" type="#_x0000_t202" style="position:absolute;margin-left:12.050000000000001pt;margin-top:33.399999999999999pt;width:49.700000000000003pt;height:5.5pt;z-index:-1887422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POST/POVIJEST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520065</wp:posOffset>
              </wp:positionV>
              <wp:extent cx="4017010" cy="0"/>
              <wp:wrapNone/>
              <wp:docPr id="2353" name="Shape 235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0.950000000000003pt;width:316.30000000000001pt;height:0;z-index:-251658240;mso-position-horizontal-relative:page;mso-position-vertical-relative:page">
              <v:stroke weight="1.pt"/>
            </v:shape>
          </w:pict>
        </mc:Fallback>
      </mc:AlternateContent>
    </w:r>
  </w:p>
</w:hdr>
</file>

<file path=word/header5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98" behindDoc="1" locked="0" layoutInCell="1" allowOverlap="1">
              <wp:simplePos x="0" y="0"/>
              <wp:positionH relativeFrom="page">
                <wp:posOffset>3964940</wp:posOffset>
              </wp:positionH>
              <wp:positionV relativeFrom="page">
                <wp:posOffset>417830</wp:posOffset>
              </wp:positionV>
              <wp:extent cx="201295" cy="64135"/>
              <wp:wrapNone/>
              <wp:docPr id="2356" name="Shape 2356"/>
              <a:graphic xmlns:a="http://schemas.openxmlformats.org/drawingml/2006/main">
                <a:graphicData uri="http://schemas.microsoft.com/office/word/2010/wordprocessingShape">
                  <wps:wsp>
                    <wps:cNvSpPr txBox="1"/>
                    <wps:spPr>
                      <a:xfrm>
                        <a:ext cx="2012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POST</w:t>
                          </w:r>
                        </w:p>
                      </w:txbxContent>
                    </wps:txbx>
                    <wps:bodyPr wrap="none" lIns="0" tIns="0" rIns="0" bIns="0">
                      <a:spAutoFit/>
                    </wps:bodyPr>
                  </wps:wsp>
                </a:graphicData>
              </a:graphic>
            </wp:anchor>
          </w:drawing>
        </mc:Choice>
        <mc:Fallback>
          <w:pict>
            <v:shape id="_x0000_s3382" type="#_x0000_t202" style="position:absolute;margin-left:312.19999999999999pt;margin-top:32.899999999999999pt;width:15.85pt;height:5.0499999999999998pt;z-index:-1887422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518160</wp:posOffset>
              </wp:positionV>
              <wp:extent cx="4017010" cy="0"/>
              <wp:wrapNone/>
              <wp:docPr id="2358" name="Shape 235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99999999999999pt;margin-top:40.799999999999997pt;width:316.30000000000001pt;height:0;z-index:-251658240;mso-position-horizontal-relative:page;mso-position-vertical-relative:page">
              <v:stroke weight="1.pt"/>
            </v:shape>
          </w:pict>
        </mc:Fallback>
      </mc:AlternateContent>
    </w:r>
  </w:p>
</w:hdr>
</file>

<file path=word/header5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2" behindDoc="1" locked="0" layoutInCell="1" allowOverlap="1">
              <wp:simplePos x="0" y="0"/>
              <wp:positionH relativeFrom="page">
                <wp:posOffset>147320</wp:posOffset>
              </wp:positionH>
              <wp:positionV relativeFrom="page">
                <wp:posOffset>415290</wp:posOffset>
              </wp:positionV>
              <wp:extent cx="393065" cy="67310"/>
              <wp:wrapNone/>
              <wp:docPr id="2361" name="Shape 2361"/>
              <a:graphic xmlns:a="http://schemas.openxmlformats.org/drawingml/2006/main">
                <a:graphicData uri="http://schemas.microsoft.com/office/word/2010/wordprocessingShape">
                  <wps:wsp>
                    <wps:cNvSpPr txBox="1"/>
                    <wps:spPr>
                      <a:xfrm>
                        <a:ext cx="3930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wps:txbx>
                    <wps:bodyPr wrap="none" lIns="0" tIns="0" rIns="0" bIns="0">
                      <a:spAutoFit/>
                    </wps:bodyPr>
                  </wps:wsp>
                </a:graphicData>
              </a:graphic>
            </wp:anchor>
          </w:drawing>
        </mc:Choice>
        <mc:Fallback>
          <w:pict>
            <v:shape id="_x0000_s3387" type="#_x0000_t202" style="position:absolute;margin-left:11.6pt;margin-top:32.700000000000003pt;width:30.949999999999999pt;height:5.2999999999999998pt;z-index:-1887422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509270</wp:posOffset>
              </wp:positionV>
              <wp:extent cx="4023360" cy="0"/>
              <wp:wrapNone/>
              <wp:docPr id="2363" name="Shape 236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5pt;margin-top:40.100000000000001pt;width:316.80000000000001pt;height:0;z-index:-251658240;mso-position-horizontal-relative:page;mso-position-vertical-relative:page">
              <v:stroke weight="1.pt"/>
            </v:shape>
          </w:pict>
        </mc:Fallback>
      </mc:AlternateContent>
    </w:r>
  </w:p>
</w:hdr>
</file>

<file path=word/header5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6" behindDoc="1" locked="0" layoutInCell="1" allowOverlap="1">
              <wp:simplePos x="0" y="0"/>
              <wp:positionH relativeFrom="page">
                <wp:posOffset>147320</wp:posOffset>
              </wp:positionH>
              <wp:positionV relativeFrom="page">
                <wp:posOffset>415290</wp:posOffset>
              </wp:positionV>
              <wp:extent cx="393065" cy="67310"/>
              <wp:wrapNone/>
              <wp:docPr id="2366" name="Shape 2366"/>
              <a:graphic xmlns:a="http://schemas.openxmlformats.org/drawingml/2006/main">
                <a:graphicData uri="http://schemas.microsoft.com/office/word/2010/wordprocessingShape">
                  <wps:wsp>
                    <wps:cNvSpPr txBox="1"/>
                    <wps:spPr>
                      <a:xfrm>
                        <a:ext cx="3930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wps:txbx>
                    <wps:bodyPr wrap="none" lIns="0" tIns="0" rIns="0" bIns="0">
                      <a:spAutoFit/>
                    </wps:bodyPr>
                  </wps:wsp>
                </a:graphicData>
              </a:graphic>
            </wp:anchor>
          </w:drawing>
        </mc:Choice>
        <mc:Fallback>
          <w:pict>
            <v:shape id="_x0000_s3392" type="#_x0000_t202" style="position:absolute;margin-left:11.6pt;margin-top:32.700000000000003pt;width:30.949999999999999pt;height:5.2999999999999998pt;z-index:-1887422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509270</wp:posOffset>
              </wp:positionV>
              <wp:extent cx="4023360" cy="0"/>
              <wp:wrapNone/>
              <wp:docPr id="2368" name="Shape 236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5pt;margin-top:40.100000000000001pt;width:316.80000000000001pt;height:0;z-index:-251658240;mso-position-horizontal-relative:page;mso-position-vertical-relative:page">
              <v:stroke weight="1.pt"/>
            </v:shape>
          </w:pict>
        </mc:Fallback>
      </mc:AlternateContent>
    </w:r>
  </w:p>
</w:hdr>
</file>

<file path=word/header5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0" behindDoc="1" locked="0" layoutInCell="1" allowOverlap="1">
              <wp:simplePos x="0" y="0"/>
              <wp:positionH relativeFrom="page">
                <wp:posOffset>3774440</wp:posOffset>
              </wp:positionH>
              <wp:positionV relativeFrom="page">
                <wp:posOffset>421005</wp:posOffset>
              </wp:positionV>
              <wp:extent cx="389890" cy="60960"/>
              <wp:wrapNone/>
              <wp:docPr id="2371" name="Shape 2371"/>
              <a:graphic xmlns:a="http://schemas.openxmlformats.org/drawingml/2006/main">
                <a:graphicData uri="http://schemas.microsoft.com/office/word/2010/wordprocessingShape">
                  <wps:wsp>
                    <wps:cNvSpPr txBox="1"/>
                    <wps:spPr>
                      <a:xfrm>
                        <a:ext cx="3898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wps:txbx>
                    <wps:bodyPr wrap="none" lIns="0" tIns="0" rIns="0" bIns="0">
                      <a:spAutoFit/>
                    </wps:bodyPr>
                  </wps:wsp>
                </a:graphicData>
              </a:graphic>
            </wp:anchor>
          </w:drawing>
        </mc:Choice>
        <mc:Fallback>
          <w:pict>
            <v:shape id="_x0000_s3397" type="#_x0000_t202" style="position:absolute;margin-left:297.19999999999999pt;margin-top:33.149999999999999pt;width:30.699999999999999pt;height:4.7999999999999998pt;z-index:-1887422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520065</wp:posOffset>
              </wp:positionV>
              <wp:extent cx="4020185" cy="0"/>
              <wp:wrapNone/>
              <wp:docPr id="2373" name="Shape 237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0.950000000000003pt;width:316.55000000000001pt;height:0;z-index:-251658240;mso-position-horizontal-relative:page;mso-position-vertical-relative:page">
              <v:stroke weight="1.pt"/>
            </v:shape>
          </w:pict>
        </mc:Fallback>
      </mc:AlternateContent>
    </w:r>
  </w:p>
</w:hdr>
</file>

<file path=word/header5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4" behindDoc="1" locked="0" layoutInCell="1" allowOverlap="1">
              <wp:simplePos x="0" y="0"/>
              <wp:positionH relativeFrom="page">
                <wp:posOffset>3778885</wp:posOffset>
              </wp:positionH>
              <wp:positionV relativeFrom="page">
                <wp:posOffset>417830</wp:posOffset>
              </wp:positionV>
              <wp:extent cx="393065" cy="64135"/>
              <wp:wrapNone/>
              <wp:docPr id="2376" name="Shape 2376"/>
              <a:graphic xmlns:a="http://schemas.openxmlformats.org/drawingml/2006/main">
                <a:graphicData uri="http://schemas.microsoft.com/office/word/2010/wordprocessingShape">
                  <wps:wsp>
                    <wps:cNvSpPr txBox="1"/>
                    <wps:spPr>
                      <a:xfrm>
                        <a:ext cx="393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POVIJEST</w:t>
                          </w:r>
                        </w:p>
                      </w:txbxContent>
                    </wps:txbx>
                    <wps:bodyPr wrap="none" lIns="0" tIns="0" rIns="0" bIns="0">
                      <a:spAutoFit/>
                    </wps:bodyPr>
                  </wps:wsp>
                </a:graphicData>
              </a:graphic>
            </wp:anchor>
          </w:drawing>
        </mc:Choice>
        <mc:Fallback>
          <w:pict>
            <v:shape id="_x0000_s3402" type="#_x0000_t202" style="position:absolute;margin-left:297.55000000000001pt;margin-top:32.899999999999999pt;width:30.949999999999999pt;height:5.0499999999999998pt;z-index:-1887422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518160</wp:posOffset>
              </wp:positionV>
              <wp:extent cx="4020185" cy="0"/>
              <wp:wrapNone/>
              <wp:docPr id="2378" name="Shape 237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0.799999999999997pt;width:316.55000000000001pt;height:0;z-index:-251658240;mso-position-horizontal-relative:page;mso-position-vertical-relative:page">
              <v:stroke weight="1.pt"/>
            </v:shape>
          </w:pict>
        </mc:Fallback>
      </mc:AlternateContent>
    </w:r>
  </w:p>
</w:hdr>
</file>

<file path=word/header5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8" behindDoc="1" locked="0" layoutInCell="1" allowOverlap="1">
              <wp:simplePos x="0" y="0"/>
              <wp:positionH relativeFrom="page">
                <wp:posOffset>3778885</wp:posOffset>
              </wp:positionH>
              <wp:positionV relativeFrom="page">
                <wp:posOffset>417830</wp:posOffset>
              </wp:positionV>
              <wp:extent cx="393065" cy="64135"/>
              <wp:wrapNone/>
              <wp:docPr id="2381" name="Shape 2381"/>
              <a:graphic xmlns:a="http://schemas.openxmlformats.org/drawingml/2006/main">
                <a:graphicData uri="http://schemas.microsoft.com/office/word/2010/wordprocessingShape">
                  <wps:wsp>
                    <wps:cNvSpPr txBox="1"/>
                    <wps:spPr>
                      <a:xfrm>
                        <a:ext cx="393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POVIJEST</w:t>
                          </w:r>
                        </w:p>
                      </w:txbxContent>
                    </wps:txbx>
                    <wps:bodyPr wrap="none" lIns="0" tIns="0" rIns="0" bIns="0">
                      <a:spAutoFit/>
                    </wps:bodyPr>
                  </wps:wsp>
                </a:graphicData>
              </a:graphic>
            </wp:anchor>
          </w:drawing>
        </mc:Choice>
        <mc:Fallback>
          <w:pict>
            <v:shape id="_x0000_s3407" type="#_x0000_t202" style="position:absolute;margin-left:297.55000000000001pt;margin-top:32.899999999999999pt;width:30.949999999999999pt;height:5.0499999999999998pt;z-index:-1887422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518160</wp:posOffset>
              </wp:positionV>
              <wp:extent cx="4020185" cy="0"/>
              <wp:wrapNone/>
              <wp:docPr id="2383" name="Shape 238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0.799999999999997pt;width:316.55000000000001pt;height:0;z-index:-251658240;mso-position-horizontal-relative:page;mso-position-vertical-relative:page">
              <v:stroke weight="1.pt"/>
            </v:shape>
          </w:pict>
        </mc:Fallback>
      </mc:AlternateContent>
    </w:r>
  </w:p>
</w:hdr>
</file>

<file path=word/header5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2" behindDoc="1" locked="0" layoutInCell="1" allowOverlap="1">
              <wp:simplePos x="0" y="0"/>
              <wp:positionH relativeFrom="page">
                <wp:posOffset>147320</wp:posOffset>
              </wp:positionH>
              <wp:positionV relativeFrom="page">
                <wp:posOffset>415290</wp:posOffset>
              </wp:positionV>
              <wp:extent cx="393065" cy="67310"/>
              <wp:wrapNone/>
              <wp:docPr id="2386" name="Shape 2386"/>
              <a:graphic xmlns:a="http://schemas.openxmlformats.org/drawingml/2006/main">
                <a:graphicData uri="http://schemas.microsoft.com/office/word/2010/wordprocessingShape">
                  <wps:wsp>
                    <wps:cNvSpPr txBox="1"/>
                    <wps:spPr>
                      <a:xfrm>
                        <a:ext cx="3930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wps:txbx>
                    <wps:bodyPr wrap="none" lIns="0" tIns="0" rIns="0" bIns="0">
                      <a:spAutoFit/>
                    </wps:bodyPr>
                  </wps:wsp>
                </a:graphicData>
              </a:graphic>
            </wp:anchor>
          </w:drawing>
        </mc:Choice>
        <mc:Fallback>
          <w:pict>
            <v:shape id="_x0000_s3412" type="#_x0000_t202" style="position:absolute;margin-left:11.6pt;margin-top:32.700000000000003pt;width:30.949999999999999pt;height:5.2999999999999998pt;z-index:-1887422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509270</wp:posOffset>
              </wp:positionV>
              <wp:extent cx="4023360" cy="0"/>
              <wp:wrapNone/>
              <wp:docPr id="2388" name="Shape 238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5pt;margin-top:40.100000000000001pt;width:316.80000000000001pt;height:0;z-index:-251658240;mso-position-horizontal-relative:page;mso-position-vertical-relative:page">
              <v:stroke weight="1.pt"/>
            </v:shape>
          </w:pict>
        </mc:Fallback>
      </mc:AlternateContent>
    </w:r>
  </w:p>
</w:hdr>
</file>

<file path=word/header5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6" behindDoc="1" locked="0" layoutInCell="1" allowOverlap="1">
              <wp:simplePos x="0" y="0"/>
              <wp:positionH relativeFrom="page">
                <wp:posOffset>147320</wp:posOffset>
              </wp:positionH>
              <wp:positionV relativeFrom="page">
                <wp:posOffset>415290</wp:posOffset>
              </wp:positionV>
              <wp:extent cx="393065" cy="67310"/>
              <wp:wrapNone/>
              <wp:docPr id="2391" name="Shape 2391"/>
              <a:graphic xmlns:a="http://schemas.openxmlformats.org/drawingml/2006/main">
                <a:graphicData uri="http://schemas.microsoft.com/office/word/2010/wordprocessingShape">
                  <wps:wsp>
                    <wps:cNvSpPr txBox="1"/>
                    <wps:spPr>
                      <a:xfrm>
                        <a:ext cx="3930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wps:txbx>
                    <wps:bodyPr wrap="none" lIns="0" tIns="0" rIns="0" bIns="0">
                      <a:spAutoFit/>
                    </wps:bodyPr>
                  </wps:wsp>
                </a:graphicData>
              </a:graphic>
            </wp:anchor>
          </w:drawing>
        </mc:Choice>
        <mc:Fallback>
          <w:pict>
            <v:shape id="_x0000_s3417" type="#_x0000_t202" style="position:absolute;margin-left:11.6pt;margin-top:32.700000000000003pt;width:30.949999999999999pt;height:5.2999999999999998pt;z-index:-1887422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509270</wp:posOffset>
              </wp:positionV>
              <wp:extent cx="4023360" cy="0"/>
              <wp:wrapNone/>
              <wp:docPr id="2393" name="Shape 239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5pt;margin-top:40.100000000000001pt;width:316.80000000000001pt;height:0;z-index:-251658240;mso-position-horizontal-relative:page;mso-position-vertical-relative:page">
              <v:stroke weight="1.pt"/>
            </v:shape>
          </w:pict>
        </mc:Fallback>
      </mc:AlternateContent>
    </w:r>
  </w:p>
</w:hdr>
</file>

<file path=word/header5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0" behindDoc="1" locked="0" layoutInCell="1" allowOverlap="1">
              <wp:simplePos x="0" y="0"/>
              <wp:positionH relativeFrom="page">
                <wp:posOffset>2921000</wp:posOffset>
              </wp:positionH>
              <wp:positionV relativeFrom="page">
                <wp:posOffset>433070</wp:posOffset>
              </wp:positionV>
              <wp:extent cx="1258570" cy="67310"/>
              <wp:wrapNone/>
              <wp:docPr id="2396" name="Shape 2396"/>
              <a:graphic xmlns:a="http://schemas.openxmlformats.org/drawingml/2006/main">
                <a:graphicData uri="http://schemas.microsoft.com/office/word/2010/wordprocessingShape">
                  <wps:wsp>
                    <wps:cNvSpPr txBox="1"/>
                    <wps:spPr>
                      <a:xfrm>
                        <a:ext cx="12585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POVIJEST/POVIJEST SPASENJA</w:t>
                          </w:r>
                        </w:p>
                      </w:txbxContent>
                    </wps:txbx>
                    <wps:bodyPr wrap="none" lIns="0" tIns="0" rIns="0" bIns="0">
                      <a:spAutoFit/>
                    </wps:bodyPr>
                  </wps:wsp>
                </a:graphicData>
              </a:graphic>
            </wp:anchor>
          </w:drawing>
        </mc:Choice>
        <mc:Fallback>
          <w:pict>
            <v:shape id="_x0000_s3422" type="#_x0000_t202" style="position:absolute;margin-left:230.pt;margin-top:34.100000000000001pt;width:99.099999999999994pt;height:5.2999999999999998pt;z-index:-1887422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POVIJEST/POVIJEST SPASENJA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532765</wp:posOffset>
              </wp:positionV>
              <wp:extent cx="4026535" cy="0"/>
              <wp:wrapNone/>
              <wp:docPr id="2398" name="Shape 239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050000000000001pt;margin-top:41.950000000000003pt;width:317.05000000000001pt;height:0;z-index:-251658240;mso-position-horizontal-relative:page;mso-position-vertical-relative:page">
              <v:stroke weight="1.pt"/>
            </v:shape>
          </w:pict>
        </mc:Fallback>
      </mc:AlternateContent>
    </w:r>
  </w:p>
</w:hdr>
</file>

<file path=word/header5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2" behindDoc="1" locked="0" layoutInCell="1" allowOverlap="1">
              <wp:simplePos x="0" y="0"/>
              <wp:positionH relativeFrom="page">
                <wp:posOffset>2921000</wp:posOffset>
              </wp:positionH>
              <wp:positionV relativeFrom="page">
                <wp:posOffset>433070</wp:posOffset>
              </wp:positionV>
              <wp:extent cx="1258570" cy="67310"/>
              <wp:wrapNone/>
              <wp:docPr id="2399" name="Shape 2399"/>
              <a:graphic xmlns:a="http://schemas.openxmlformats.org/drawingml/2006/main">
                <a:graphicData uri="http://schemas.microsoft.com/office/word/2010/wordprocessingShape">
                  <wps:wsp>
                    <wps:cNvSpPr txBox="1"/>
                    <wps:spPr>
                      <a:xfrm>
                        <a:ext cx="12585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POVIJEST/POVIJEST SPASENJA</w:t>
                          </w:r>
                        </w:p>
                      </w:txbxContent>
                    </wps:txbx>
                    <wps:bodyPr wrap="none" lIns="0" tIns="0" rIns="0" bIns="0">
                      <a:spAutoFit/>
                    </wps:bodyPr>
                  </wps:wsp>
                </a:graphicData>
              </a:graphic>
            </wp:anchor>
          </w:drawing>
        </mc:Choice>
        <mc:Fallback>
          <w:pict>
            <v:shape id="_x0000_s3425" type="#_x0000_t202" style="position:absolute;margin-left:230.pt;margin-top:34.100000000000001pt;width:99.099999999999994pt;height:5.2999999999999998pt;z-index:-1887422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POVIJEST/POVIJEST SPASENJA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532765</wp:posOffset>
              </wp:positionV>
              <wp:extent cx="4026535" cy="0"/>
              <wp:wrapNone/>
              <wp:docPr id="2401" name="Shape 240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050000000000001pt;margin-top:41.950000000000003pt;width:317.05000000000001pt;height:0;z-index:-251658240;mso-position-horizontal-relative:page;mso-position-vertical-relative:page">
              <v:stroke weight="1.pt"/>
            </v:shape>
          </w:pict>
        </mc:Fallback>
      </mc:AlternateContent>
    </w:r>
  </w:p>
</w:hdr>
</file>

<file path=word/header5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4" behindDoc="1" locked="0" layoutInCell="1" allowOverlap="1">
              <wp:simplePos x="0" y="0"/>
              <wp:positionH relativeFrom="page">
                <wp:posOffset>2890520</wp:posOffset>
              </wp:positionH>
              <wp:positionV relativeFrom="page">
                <wp:posOffset>396875</wp:posOffset>
              </wp:positionV>
              <wp:extent cx="1276985" cy="85090"/>
              <wp:wrapNone/>
              <wp:docPr id="2402" name="Shape 2402"/>
              <a:graphic xmlns:a="http://schemas.openxmlformats.org/drawingml/2006/main">
                <a:graphicData uri="http://schemas.microsoft.com/office/word/2010/wordprocessingShape">
                  <wps:wsp>
                    <wps:cNvSpPr txBox="1"/>
                    <wps:spPr>
                      <a:xfrm>
                        <a:ext cx="127698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PRAVNA ŠKOLA/PRAVEDNOST</w:t>
                          </w:r>
                        </w:p>
                      </w:txbxContent>
                    </wps:txbx>
                    <wps:bodyPr wrap="none" lIns="0" tIns="0" rIns="0" bIns="0">
                      <a:spAutoFit/>
                    </wps:bodyPr>
                  </wps:wsp>
                </a:graphicData>
              </a:graphic>
            </wp:anchor>
          </w:drawing>
        </mc:Choice>
        <mc:Fallback>
          <w:pict>
            <v:shape id="_x0000_s3428" type="#_x0000_t202" style="position:absolute;margin-left:227.59999999999999pt;margin-top:31.25pt;width:100.55pt;height:6.7000000000000002pt;z-index:-1887422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PRAVNA ŠKOLA/PRAVEDNOST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515620</wp:posOffset>
              </wp:positionV>
              <wp:extent cx="4017010" cy="0"/>
              <wp:wrapNone/>
              <wp:docPr id="2404" name="Shape 240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40.600000000000001pt;width:316.30000000000001pt;height:0;z-index:-251658240;mso-position-horizontal-relative:page;mso-position-vertical-relative:page">
              <v:stroke weight="1.pt"/>
            </v:shape>
          </w:pict>
        </mc:Fallback>
      </mc:AlternateContent>
    </w:r>
  </w:p>
</w:hdr>
</file>

<file path=word/header5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8" behindDoc="1" locked="0" layoutInCell="1" allowOverlap="1">
              <wp:simplePos x="0" y="0"/>
              <wp:positionH relativeFrom="page">
                <wp:posOffset>2890520</wp:posOffset>
              </wp:positionH>
              <wp:positionV relativeFrom="page">
                <wp:posOffset>396875</wp:posOffset>
              </wp:positionV>
              <wp:extent cx="1276985" cy="85090"/>
              <wp:wrapNone/>
              <wp:docPr id="2407" name="Shape 2407"/>
              <a:graphic xmlns:a="http://schemas.openxmlformats.org/drawingml/2006/main">
                <a:graphicData uri="http://schemas.microsoft.com/office/word/2010/wordprocessingShape">
                  <wps:wsp>
                    <wps:cNvSpPr txBox="1"/>
                    <wps:spPr>
                      <a:xfrm>
                        <a:ext cx="1276985"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PRAVNA ŠKOLA/PRAVEDNOST</w:t>
                          </w:r>
                        </w:p>
                      </w:txbxContent>
                    </wps:txbx>
                    <wps:bodyPr wrap="none" lIns="0" tIns="0" rIns="0" bIns="0">
                      <a:spAutoFit/>
                    </wps:bodyPr>
                  </wps:wsp>
                </a:graphicData>
              </a:graphic>
            </wp:anchor>
          </w:drawing>
        </mc:Choice>
        <mc:Fallback>
          <w:pict>
            <v:shape id="_x0000_s3433" type="#_x0000_t202" style="position:absolute;margin-left:227.59999999999999pt;margin-top:31.25pt;width:100.55pt;height:6.7000000000000002pt;z-index:-1887422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PRAVNA ŠKOLA/PRAVEDNOST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515620</wp:posOffset>
              </wp:positionV>
              <wp:extent cx="4017010" cy="0"/>
              <wp:wrapNone/>
              <wp:docPr id="2409" name="Shape 240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40.600000000000001pt;width:316.30000000000001pt;height:0;z-index:-251658240;mso-position-horizontal-relative:page;mso-position-vertical-relative:page">
              <v:stroke weight="1.pt"/>
            </v:shape>
          </w:pict>
        </mc:Fallback>
      </mc:AlternateContent>
    </w:r>
  </w:p>
</w:hdr>
</file>

<file path=word/header5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2" behindDoc="1" locked="0" layoutInCell="1" allowOverlap="1">
              <wp:simplePos x="0" y="0"/>
              <wp:positionH relativeFrom="page">
                <wp:posOffset>154940</wp:posOffset>
              </wp:positionH>
              <wp:positionV relativeFrom="page">
                <wp:posOffset>402590</wp:posOffset>
              </wp:positionV>
              <wp:extent cx="2018030" cy="79375"/>
              <wp:wrapNone/>
              <wp:docPr id="2412" name="Shape 2412"/>
              <a:graphic xmlns:a="http://schemas.openxmlformats.org/drawingml/2006/main">
                <a:graphicData uri="http://schemas.microsoft.com/office/word/2010/wordprocessingShape">
                  <wps:wsp>
                    <wps:cNvSpPr txBox="1"/>
                    <wps:spPr>
                      <a:xfrm>
                        <a:ext cx="20180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 SPASENJA/POZVANJE/PRAVNA ŠKOLA</w:t>
                          </w:r>
                        </w:p>
                      </w:txbxContent>
                    </wps:txbx>
                    <wps:bodyPr wrap="none" lIns="0" tIns="0" rIns="0" bIns="0">
                      <a:spAutoFit/>
                    </wps:bodyPr>
                  </wps:wsp>
                </a:graphicData>
              </a:graphic>
            </wp:anchor>
          </w:drawing>
        </mc:Choice>
        <mc:Fallback>
          <w:pict>
            <v:shape id="_x0000_s3438" type="#_x0000_t202" style="position:absolute;margin-left:12.199999999999999pt;margin-top:31.699999999999999pt;width:158.90000000000001pt;height:6.25pt;z-index:-1887422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POVIJEST SPASENJA/POZVANJE/PRAVNA ŠKOLA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514350</wp:posOffset>
              </wp:positionV>
              <wp:extent cx="4026535" cy="0"/>
              <wp:wrapNone/>
              <wp:docPr id="2414" name="Shape 241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949999999999999pt;margin-top:40.5pt;width:317.05000000000001pt;height:0;z-index:-251658240;mso-position-horizontal-relative:page;mso-position-vertical-relative:page">
              <v:stroke weight="1.pt"/>
            </v:shape>
          </w:pict>
        </mc:Fallback>
      </mc:AlternateContent>
    </w:r>
  </w:p>
</w:hdr>
</file>

<file path=word/header5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6" behindDoc="1" locked="0" layoutInCell="1" allowOverlap="1">
              <wp:simplePos x="0" y="0"/>
              <wp:positionH relativeFrom="page">
                <wp:posOffset>3579495</wp:posOffset>
              </wp:positionH>
              <wp:positionV relativeFrom="page">
                <wp:posOffset>421005</wp:posOffset>
              </wp:positionV>
              <wp:extent cx="575945" cy="60960"/>
              <wp:wrapNone/>
              <wp:docPr id="2417" name="Shape 2417"/>
              <a:graphic xmlns:a="http://schemas.openxmlformats.org/drawingml/2006/main">
                <a:graphicData uri="http://schemas.microsoft.com/office/word/2010/wordprocessingShape">
                  <wps:wsp>
                    <wps:cNvSpPr txBox="1"/>
                    <wps:spPr>
                      <a:xfrm>
                        <a:ext cx="57594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PRAVEDNOST</w:t>
                          </w:r>
                        </w:p>
                      </w:txbxContent>
                    </wps:txbx>
                    <wps:bodyPr wrap="none" lIns="0" tIns="0" rIns="0" bIns="0">
                      <a:spAutoFit/>
                    </wps:bodyPr>
                  </wps:wsp>
                </a:graphicData>
              </a:graphic>
            </wp:anchor>
          </w:drawing>
        </mc:Choice>
        <mc:Fallback>
          <w:pict>
            <v:shape id="_x0000_s3443" type="#_x0000_t202" style="position:absolute;margin-left:281.85000000000002pt;margin-top:33.149999999999999pt;width:45.350000000000001pt;height:4.7999999999999998pt;z-index:-1887422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PRAVEDNOST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523240</wp:posOffset>
              </wp:positionV>
              <wp:extent cx="4011295" cy="0"/>
              <wp:wrapNone/>
              <wp:docPr id="2419" name="Shape 241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35pt;margin-top:41.200000000000003pt;width:315.85000000000002pt;height:0;z-index:-251658240;mso-position-horizontal-relative:page;mso-position-vertical-relative:page">
              <v:stroke weight="1.pt"/>
            </v:shape>
          </w:pict>
        </mc:Fallback>
      </mc:AlternateContent>
    </w:r>
  </w:p>
</w:hdr>
</file>

<file path=word/header5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0" behindDoc="1" locked="0" layoutInCell="1" allowOverlap="1">
              <wp:simplePos x="0" y="0"/>
              <wp:positionH relativeFrom="page">
                <wp:posOffset>3579495</wp:posOffset>
              </wp:positionH>
              <wp:positionV relativeFrom="page">
                <wp:posOffset>421005</wp:posOffset>
              </wp:positionV>
              <wp:extent cx="575945" cy="60960"/>
              <wp:wrapNone/>
              <wp:docPr id="2422" name="Shape 2422"/>
              <a:graphic xmlns:a="http://schemas.openxmlformats.org/drawingml/2006/main">
                <a:graphicData uri="http://schemas.microsoft.com/office/word/2010/wordprocessingShape">
                  <wps:wsp>
                    <wps:cNvSpPr txBox="1"/>
                    <wps:spPr>
                      <a:xfrm>
                        <a:ext cx="57594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PRAVEDNOST</w:t>
                          </w:r>
                        </w:p>
                      </w:txbxContent>
                    </wps:txbx>
                    <wps:bodyPr wrap="none" lIns="0" tIns="0" rIns="0" bIns="0">
                      <a:spAutoFit/>
                    </wps:bodyPr>
                  </wps:wsp>
                </a:graphicData>
              </a:graphic>
            </wp:anchor>
          </w:drawing>
        </mc:Choice>
        <mc:Fallback>
          <w:pict>
            <v:shape id="_x0000_s3448" type="#_x0000_t202" style="position:absolute;margin-left:281.85000000000002pt;margin-top:33.149999999999999pt;width:45.350000000000001pt;height:4.7999999999999998pt;z-index:-1887422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PRAVEDNOST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523240</wp:posOffset>
              </wp:positionV>
              <wp:extent cx="4011295" cy="0"/>
              <wp:wrapNone/>
              <wp:docPr id="2424" name="Shape 2424"/>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35pt;margin-top:41.200000000000003pt;width:315.85000000000002pt;height:0;z-index:-251658240;mso-position-horizontal-relative:page;mso-position-vertical-relative:page">
              <v:stroke weight="1.pt"/>
            </v:shape>
          </w:pict>
        </mc:Fallback>
      </mc:AlternateContent>
    </w:r>
  </w:p>
</w:hdr>
</file>

<file path=word/header5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4" behindDoc="1" locked="0" layoutInCell="1" allowOverlap="1">
              <wp:simplePos x="0" y="0"/>
              <wp:positionH relativeFrom="page">
                <wp:posOffset>153035</wp:posOffset>
              </wp:positionH>
              <wp:positionV relativeFrom="page">
                <wp:posOffset>421005</wp:posOffset>
              </wp:positionV>
              <wp:extent cx="585470" cy="60960"/>
              <wp:wrapNone/>
              <wp:docPr id="2427" name="Shape 2427"/>
              <a:graphic xmlns:a="http://schemas.openxmlformats.org/drawingml/2006/main">
                <a:graphicData uri="http://schemas.microsoft.com/office/word/2010/wordprocessingShape">
                  <wps:wsp>
                    <wps:cNvSpPr txBox="1"/>
                    <wps:spPr>
                      <a:xfrm>
                        <a:ext cx="58547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PRAVEDNOST</w:t>
                          </w:r>
                        </w:p>
                      </w:txbxContent>
                    </wps:txbx>
                    <wps:bodyPr wrap="none" lIns="0" tIns="0" rIns="0" bIns="0">
                      <a:spAutoFit/>
                    </wps:bodyPr>
                  </wps:wsp>
                </a:graphicData>
              </a:graphic>
            </wp:anchor>
          </w:drawing>
        </mc:Choice>
        <mc:Fallback>
          <w:pict>
            <v:shape id="_x0000_s3453" type="#_x0000_t202" style="position:absolute;margin-left:12.050000000000001pt;margin-top:33.149999999999999pt;width:46.100000000000001pt;height:4.7999999999999998pt;z-index:-1887421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PRAVEDNOST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517525</wp:posOffset>
              </wp:positionV>
              <wp:extent cx="4023360" cy="0"/>
              <wp:wrapNone/>
              <wp:docPr id="2429" name="Shape 242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5pt;margin-top:40.75pt;width:316.80000000000001pt;height:0;z-index:-251658240;mso-position-horizontal-relative:page;mso-position-vertical-relative:page">
              <v:stroke weight="1.pt"/>
            </v:shape>
          </w:pict>
        </mc:Fallback>
      </mc:AlternateContent>
    </w:r>
  </w:p>
</w:hdr>
</file>

<file path=word/header5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8" behindDoc="1" locked="0" layoutInCell="1" allowOverlap="1">
              <wp:simplePos x="0" y="0"/>
              <wp:positionH relativeFrom="page">
                <wp:posOffset>3867150</wp:posOffset>
              </wp:positionH>
              <wp:positionV relativeFrom="page">
                <wp:posOffset>402590</wp:posOffset>
              </wp:positionV>
              <wp:extent cx="292735" cy="60960"/>
              <wp:wrapNone/>
              <wp:docPr id="2432" name="Shape 2432"/>
              <a:graphic xmlns:a="http://schemas.openxmlformats.org/drawingml/2006/main">
                <a:graphicData uri="http://schemas.microsoft.com/office/word/2010/wordprocessingShape">
                  <wps:wsp>
                    <wps:cNvSpPr txBox="1"/>
                    <wps:spPr>
                      <a:xfrm>
                        <a:ext cx="2927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58" type="#_x0000_t202" style="position:absolute;margin-left:304.5pt;margin-top:31.699999999999999pt;width:23.050000000000001pt;height:4.7999999999999998pt;z-index:-1887421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508000</wp:posOffset>
              </wp:positionV>
              <wp:extent cx="4017010" cy="0"/>
              <wp:wrapNone/>
              <wp:docPr id="2434" name="Shape 243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99999999999999pt;margin-top:40.pt;width:316.30000000000001pt;height:0;z-index:-251658240;mso-position-horizontal-relative:page;mso-position-vertical-relative:page">
              <v:stroke weight="1.pt"/>
            </v:shape>
          </w:pict>
        </mc:Fallback>
      </mc:AlternateContent>
    </w:r>
  </w:p>
</w:hdr>
</file>

<file path=word/header5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62" behindDoc="1" locked="0" layoutInCell="1" allowOverlap="1">
              <wp:simplePos x="0" y="0"/>
              <wp:positionH relativeFrom="page">
                <wp:posOffset>3867150</wp:posOffset>
              </wp:positionH>
              <wp:positionV relativeFrom="page">
                <wp:posOffset>402590</wp:posOffset>
              </wp:positionV>
              <wp:extent cx="292735" cy="60960"/>
              <wp:wrapNone/>
              <wp:docPr id="2437" name="Shape 2437"/>
              <a:graphic xmlns:a="http://schemas.openxmlformats.org/drawingml/2006/main">
                <a:graphicData uri="http://schemas.microsoft.com/office/word/2010/wordprocessingShape">
                  <wps:wsp>
                    <wps:cNvSpPr txBox="1"/>
                    <wps:spPr>
                      <a:xfrm>
                        <a:ext cx="2927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63" type="#_x0000_t202" style="position:absolute;margin-left:304.5pt;margin-top:31.699999999999999pt;width:23.050000000000001pt;height:4.7999999999999998pt;z-index:-1887421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142240</wp:posOffset>
              </wp:positionH>
              <wp:positionV relativeFrom="page">
                <wp:posOffset>508000</wp:posOffset>
              </wp:positionV>
              <wp:extent cx="4017010" cy="0"/>
              <wp:wrapNone/>
              <wp:docPr id="2439" name="Shape 243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99999999999999pt;margin-top:40.pt;width:316.30000000000001pt;height:0;z-index:-251658240;mso-position-horizontal-relative:page;mso-position-vertical-relative:page">
              <v:stroke weight="1.pt"/>
            </v:shape>
          </w:pict>
        </mc:Fallback>
      </mc:AlternateContent>
    </w:r>
  </w:p>
</w:hdr>
</file>

<file path=word/header5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68" behindDoc="1" locked="0" layoutInCell="1" allowOverlap="1">
              <wp:simplePos x="0" y="0"/>
              <wp:positionH relativeFrom="page">
                <wp:posOffset>3874770</wp:posOffset>
              </wp:positionH>
              <wp:positionV relativeFrom="page">
                <wp:posOffset>402590</wp:posOffset>
              </wp:positionV>
              <wp:extent cx="292735" cy="64135"/>
              <wp:wrapNone/>
              <wp:docPr id="2444" name="Shape 2444"/>
              <a:graphic xmlns:a="http://schemas.openxmlformats.org/drawingml/2006/main">
                <a:graphicData uri="http://schemas.microsoft.com/office/word/2010/wordprocessingShape">
                  <wps:wsp>
                    <wps:cNvSpPr txBox="1"/>
                    <wps:spPr>
                      <a:xfrm>
                        <a:ext cx="2927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70" type="#_x0000_t202" style="position:absolute;margin-left:305.10000000000002pt;margin-top:31.699999999999999pt;width:23.050000000000001pt;height:5.0499999999999998pt;z-index:-1887421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504825</wp:posOffset>
              </wp:positionV>
              <wp:extent cx="4020185" cy="0"/>
              <wp:wrapNone/>
              <wp:docPr id="2446" name="Shape 244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pt;margin-top:39.75pt;width:316.55000000000001pt;height:0;z-index:-251658240;mso-position-horizontal-relative:page;mso-position-vertical-relative:page">
              <v:stroke weight="1.pt"/>
            </v:shape>
          </w:pict>
        </mc:Fallback>
      </mc:AlternateContent>
    </w:r>
  </w:p>
</w:hdr>
</file>

<file path=word/header5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72" behindDoc="1" locked="0" layoutInCell="1" allowOverlap="1">
              <wp:simplePos x="0" y="0"/>
              <wp:positionH relativeFrom="page">
                <wp:posOffset>3874770</wp:posOffset>
              </wp:positionH>
              <wp:positionV relativeFrom="page">
                <wp:posOffset>402590</wp:posOffset>
              </wp:positionV>
              <wp:extent cx="292735" cy="64135"/>
              <wp:wrapNone/>
              <wp:docPr id="2449" name="Shape 2449"/>
              <a:graphic xmlns:a="http://schemas.openxmlformats.org/drawingml/2006/main">
                <a:graphicData uri="http://schemas.microsoft.com/office/word/2010/wordprocessingShape">
                  <wps:wsp>
                    <wps:cNvSpPr txBox="1"/>
                    <wps:spPr>
                      <a:xfrm>
                        <a:ext cx="29273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75" type="#_x0000_t202" style="position:absolute;margin-left:305.10000000000002pt;margin-top:31.699999999999999pt;width:23.050000000000001pt;height:5.0499999999999998pt;z-index:-1887421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504825</wp:posOffset>
              </wp:positionV>
              <wp:extent cx="4020185" cy="0"/>
              <wp:wrapNone/>
              <wp:docPr id="2451" name="Shape 245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pt;margin-top:39.75pt;width:316.55000000000001pt;height:0;z-index:-251658240;mso-position-horizontal-relative:page;mso-position-vertical-relative:page">
              <v:stroke weight="1.pt"/>
            </v:shape>
          </w:pict>
        </mc:Fallback>
      </mc:AlternateContent>
    </w:r>
  </w:p>
</w:hdr>
</file>

<file path=word/header5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76" behindDoc="1" locked="0" layoutInCell="1" allowOverlap="1">
              <wp:simplePos x="0" y="0"/>
              <wp:positionH relativeFrom="page">
                <wp:posOffset>137795</wp:posOffset>
              </wp:positionH>
              <wp:positionV relativeFrom="page">
                <wp:posOffset>375920</wp:posOffset>
              </wp:positionV>
              <wp:extent cx="292735" cy="57785"/>
              <wp:wrapNone/>
              <wp:docPr id="2454" name="Shape 2454"/>
              <a:graphic xmlns:a="http://schemas.openxmlformats.org/drawingml/2006/main">
                <a:graphicData uri="http://schemas.microsoft.com/office/word/2010/wordprocessingShape">
                  <wps:wsp>
                    <wps:cNvSpPr txBox="1"/>
                    <wps:spPr>
                      <a:xfrm>
                        <a:ext cx="29273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80" type="#_x0000_t202" style="position:absolute;margin-left:10.85pt;margin-top:29.600000000000001pt;width:23.050000000000001pt;height:4.5499999999999998pt;z-index:-1887421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134620</wp:posOffset>
              </wp:positionH>
              <wp:positionV relativeFrom="page">
                <wp:posOffset>462280</wp:posOffset>
              </wp:positionV>
              <wp:extent cx="4023360" cy="0"/>
              <wp:wrapNone/>
              <wp:docPr id="2456" name="Shape 245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0.6pt;margin-top:36.399999999999999pt;width:316.80000000000001pt;height:0;z-index:-251658240;mso-position-horizontal-relative:page;mso-position-vertical-relative:page">
              <v:stroke weight="1.pt"/>
            </v:shape>
          </w:pict>
        </mc:Fallback>
      </mc:AlternateContent>
    </w:r>
  </w:p>
</w:hdr>
</file>

<file path=word/header5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78" behindDoc="1" locked="0" layoutInCell="1" allowOverlap="1">
              <wp:simplePos x="0" y="0"/>
              <wp:positionH relativeFrom="page">
                <wp:posOffset>3868420</wp:posOffset>
              </wp:positionH>
              <wp:positionV relativeFrom="page">
                <wp:posOffset>404495</wp:posOffset>
              </wp:positionV>
              <wp:extent cx="289560" cy="60960"/>
              <wp:wrapNone/>
              <wp:docPr id="2457" name="Shape 2457"/>
              <a:graphic xmlns:a="http://schemas.openxmlformats.org/drawingml/2006/main">
                <a:graphicData uri="http://schemas.microsoft.com/office/word/2010/wordprocessingShape">
                  <wps:wsp>
                    <wps:cNvSpPr txBox="1"/>
                    <wps:spPr>
                      <a:xfrm>
                        <a:ext cx="28956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83" type="#_x0000_t202" style="position:absolute;margin-left:304.60000000000002pt;margin-top:31.850000000000001pt;width:22.800000000000001pt;height:4.7999999999999998pt;z-index:-1887421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504825</wp:posOffset>
              </wp:positionV>
              <wp:extent cx="4011295" cy="0"/>
              <wp:wrapNone/>
              <wp:docPr id="2459" name="Shape 245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6pt;margin-top:39.75pt;width:315.85000000000002pt;height:0;z-index:-251658240;mso-position-horizontal-relative:page;mso-position-vertical-relative:page">
              <v:stroke weight="1.pt"/>
            </v:shape>
          </w:pict>
        </mc:Fallback>
      </mc:AlternateContent>
    </w:r>
  </w:p>
</w:hdr>
</file>

<file path=word/header5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82" behindDoc="1" locked="0" layoutInCell="1" allowOverlap="1">
              <wp:simplePos x="0" y="0"/>
              <wp:positionH relativeFrom="page">
                <wp:posOffset>3868420</wp:posOffset>
              </wp:positionH>
              <wp:positionV relativeFrom="page">
                <wp:posOffset>404495</wp:posOffset>
              </wp:positionV>
              <wp:extent cx="289560" cy="60960"/>
              <wp:wrapNone/>
              <wp:docPr id="2462" name="Shape 2462"/>
              <a:graphic xmlns:a="http://schemas.openxmlformats.org/drawingml/2006/main">
                <a:graphicData uri="http://schemas.microsoft.com/office/word/2010/wordprocessingShape">
                  <wps:wsp>
                    <wps:cNvSpPr txBox="1"/>
                    <wps:spPr>
                      <a:xfrm>
                        <a:ext cx="28956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88" type="#_x0000_t202" style="position:absolute;margin-left:304.60000000000002pt;margin-top:31.850000000000001pt;width:22.800000000000001pt;height:4.7999999999999998pt;z-index:-1887421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504825</wp:posOffset>
              </wp:positionV>
              <wp:extent cx="4011295" cy="0"/>
              <wp:wrapNone/>
              <wp:docPr id="2464" name="Shape 2464"/>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6pt;margin-top:39.75pt;width:315.85000000000002pt;height:0;z-index:-251658240;mso-position-horizontal-relative:page;mso-position-vertical-relative:page">
              <v:stroke weight="1.pt"/>
            </v:shape>
          </w:pict>
        </mc:Fallback>
      </mc:AlternateContent>
    </w:r>
  </w:p>
</w:hdr>
</file>

<file path=word/header5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86" behindDoc="1" locked="0" layoutInCell="1" allowOverlap="1">
              <wp:simplePos x="0" y="0"/>
              <wp:positionH relativeFrom="page">
                <wp:posOffset>153035</wp:posOffset>
              </wp:positionH>
              <wp:positionV relativeFrom="page">
                <wp:posOffset>405765</wp:posOffset>
              </wp:positionV>
              <wp:extent cx="292735" cy="60960"/>
              <wp:wrapNone/>
              <wp:docPr id="2467" name="Shape 2467"/>
              <a:graphic xmlns:a="http://schemas.openxmlformats.org/drawingml/2006/main">
                <a:graphicData uri="http://schemas.microsoft.com/office/word/2010/wordprocessingShape">
                  <wps:wsp>
                    <wps:cNvSpPr txBox="1"/>
                    <wps:spPr>
                      <a:xfrm>
                        <a:ext cx="2927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wps:txbx>
                    <wps:bodyPr wrap="none" lIns="0" tIns="0" rIns="0" bIns="0">
                      <a:spAutoFit/>
                    </wps:bodyPr>
                  </wps:wsp>
                </a:graphicData>
              </a:graphic>
            </wp:anchor>
          </w:drawing>
        </mc:Choice>
        <mc:Fallback>
          <w:pict>
            <v:shape id="_x0000_s3493" type="#_x0000_t202" style="position:absolute;margin-left:12.050000000000001pt;margin-top:31.949999999999999pt;width:23.050000000000001pt;height:4.7999999999999998pt;z-index:-1887421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498475</wp:posOffset>
              </wp:positionV>
              <wp:extent cx="4023360" cy="0"/>
              <wp:wrapNone/>
              <wp:docPr id="2469" name="Shape 246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39.25pt;width:316.80000000000001pt;height:0;z-index:-251658240;mso-position-horizontal-relative:page;mso-position-vertical-relative:page">
              <v:stroke weight="1.pt"/>
            </v:shape>
          </w:pict>
        </mc:Fallback>
      </mc:AlternateContent>
    </w:r>
  </w:p>
</w:hdr>
</file>

<file path=word/header5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90" behindDoc="1" locked="0" layoutInCell="1" allowOverlap="1">
              <wp:simplePos x="0" y="0"/>
              <wp:positionH relativeFrom="page">
                <wp:posOffset>157480</wp:posOffset>
              </wp:positionH>
              <wp:positionV relativeFrom="page">
                <wp:posOffset>366395</wp:posOffset>
              </wp:positionV>
              <wp:extent cx="1292225" cy="67310"/>
              <wp:wrapNone/>
              <wp:docPr id="2472" name="Shape 2472"/>
              <a:graphic xmlns:a="http://schemas.openxmlformats.org/drawingml/2006/main">
                <a:graphicData uri="http://schemas.microsoft.com/office/word/2010/wordprocessingShape">
                  <wps:wsp>
                    <wps:cNvSpPr txBox="1"/>
                    <wps:spPr>
                      <a:xfrm>
                        <a:ext cx="1292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PRAVO/PRAVOSLAVNE CRKVE</w:t>
                          </w:r>
                        </w:p>
                      </w:txbxContent>
                    </wps:txbx>
                    <wps:bodyPr wrap="none" lIns="0" tIns="0" rIns="0" bIns="0">
                      <a:spAutoFit/>
                    </wps:bodyPr>
                  </wps:wsp>
                </a:graphicData>
              </a:graphic>
            </wp:anchor>
          </w:drawing>
        </mc:Choice>
        <mc:Fallback>
          <w:pict>
            <v:shape id="_x0000_s3498" type="#_x0000_t202" style="position:absolute;margin-left:12.4pt;margin-top:28.850000000000001pt;width:101.75pt;height:5.2999999999999998pt;z-index:-1887421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PRAVO/PRAVOSLAVNE CRKVE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466090</wp:posOffset>
              </wp:positionV>
              <wp:extent cx="4014470" cy="0"/>
              <wp:wrapNone/>
              <wp:docPr id="2474" name="Shape 247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36.700000000000003pt;width:316.10000000000002pt;height:0;z-index:-251658240;mso-position-horizontal-relative:page;mso-position-vertical-relative:page">
              <v:stroke weight="1.pt"/>
            </v:shape>
          </w:pict>
        </mc:Fallback>
      </mc:AlternateContent>
    </w:r>
  </w:p>
</w:hdr>
</file>

<file path=word/header5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92" behindDoc="1" locked="0" layoutInCell="1" allowOverlap="1">
              <wp:simplePos x="0" y="0"/>
              <wp:positionH relativeFrom="page">
                <wp:posOffset>157480</wp:posOffset>
              </wp:positionH>
              <wp:positionV relativeFrom="page">
                <wp:posOffset>366395</wp:posOffset>
              </wp:positionV>
              <wp:extent cx="1292225" cy="67310"/>
              <wp:wrapNone/>
              <wp:docPr id="2475" name="Shape 2475"/>
              <a:graphic xmlns:a="http://schemas.openxmlformats.org/drawingml/2006/main">
                <a:graphicData uri="http://schemas.microsoft.com/office/word/2010/wordprocessingShape">
                  <wps:wsp>
                    <wps:cNvSpPr txBox="1"/>
                    <wps:spPr>
                      <a:xfrm>
                        <a:ext cx="12922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PRAVO/PRAVOSLAVNE CRKVE</w:t>
                          </w:r>
                        </w:p>
                      </w:txbxContent>
                    </wps:txbx>
                    <wps:bodyPr wrap="none" lIns="0" tIns="0" rIns="0" bIns="0">
                      <a:spAutoFit/>
                    </wps:bodyPr>
                  </wps:wsp>
                </a:graphicData>
              </a:graphic>
            </wp:anchor>
          </w:drawing>
        </mc:Choice>
        <mc:Fallback>
          <w:pict>
            <v:shape id="_x0000_s3501" type="#_x0000_t202" style="position:absolute;margin-left:12.4pt;margin-top:28.850000000000001pt;width:101.75pt;height:5.2999999999999998pt;z-index:-1887421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PRAVO/PRAVOSLAVNE CRKVE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466090</wp:posOffset>
              </wp:positionV>
              <wp:extent cx="4014470" cy="0"/>
              <wp:wrapNone/>
              <wp:docPr id="2477" name="Shape 2477"/>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36.700000000000003pt;width:316.10000000000002pt;height:0;z-index:-251658240;mso-position-horizontal-relative:page;mso-position-vertical-relative:page">
              <v:stroke weight="1.pt"/>
            </v:shape>
          </w:pict>
        </mc:Fallback>
      </mc:AlternateContent>
    </w:r>
  </w:p>
</w:hdr>
</file>

<file path=word/header5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94" behindDoc="1" locked="0" layoutInCell="1" allowOverlap="1">
              <wp:simplePos x="0" y="0"/>
              <wp:positionH relativeFrom="page">
                <wp:posOffset>156210</wp:posOffset>
              </wp:positionH>
              <wp:positionV relativeFrom="page">
                <wp:posOffset>407035</wp:posOffset>
              </wp:positionV>
              <wp:extent cx="1664335" cy="67310"/>
              <wp:wrapNone/>
              <wp:docPr id="2478" name="Shape 2478"/>
              <a:graphic xmlns:a="http://schemas.openxmlformats.org/drawingml/2006/main">
                <a:graphicData uri="http://schemas.microsoft.com/office/word/2010/wordprocessingShape">
                  <wps:wsp>
                    <wps:cNvSpPr txBox="1"/>
                    <wps:spPr>
                      <a:xfrm>
                        <a:ext cx="1664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PRAVOSLAVNE CRKVE/PRAZNOVJERJE</w:t>
                          </w:r>
                        </w:p>
                      </w:txbxContent>
                    </wps:txbx>
                    <wps:bodyPr wrap="none" lIns="0" tIns="0" rIns="0" bIns="0">
                      <a:spAutoFit/>
                    </wps:bodyPr>
                  </wps:wsp>
                </a:graphicData>
              </a:graphic>
            </wp:anchor>
          </w:drawing>
        </mc:Choice>
        <mc:Fallback>
          <w:pict>
            <v:shape id="_x0000_s3504" type="#_x0000_t202" style="position:absolute;margin-left:12.300000000000001pt;margin-top:32.049999999999997pt;width:131.05000000000001pt;height:5.2999999999999998pt;z-index:-1887421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PRAVOSLAVNE CRKVE/PRAZNOVJERJE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503555</wp:posOffset>
              </wp:positionV>
              <wp:extent cx="4014470" cy="0"/>
              <wp:wrapNone/>
              <wp:docPr id="2480" name="Shape 2480"/>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050000000000001pt;margin-top:39.649999999999999pt;width:316.10000000000002pt;height:0;z-index:-251658240;mso-position-horizontal-relative:page;mso-position-vertical-relative:page">
              <v:stroke weight="1.pt"/>
            </v:shape>
          </w:pict>
        </mc:Fallback>
      </mc:AlternateContent>
    </w:r>
  </w:p>
</w:hdr>
</file>

<file path=word/header5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98" behindDoc="1" locked="0" layoutInCell="1" allowOverlap="1">
              <wp:simplePos x="0" y="0"/>
              <wp:positionH relativeFrom="page">
                <wp:posOffset>156210</wp:posOffset>
              </wp:positionH>
              <wp:positionV relativeFrom="page">
                <wp:posOffset>407035</wp:posOffset>
              </wp:positionV>
              <wp:extent cx="1664335" cy="67310"/>
              <wp:wrapNone/>
              <wp:docPr id="2483" name="Shape 2483"/>
              <a:graphic xmlns:a="http://schemas.openxmlformats.org/drawingml/2006/main">
                <a:graphicData uri="http://schemas.microsoft.com/office/word/2010/wordprocessingShape">
                  <wps:wsp>
                    <wps:cNvSpPr txBox="1"/>
                    <wps:spPr>
                      <a:xfrm>
                        <a:ext cx="166433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PRAVOSLAVNE CRKVE/PRAZNOVJERJE</w:t>
                          </w:r>
                        </w:p>
                      </w:txbxContent>
                    </wps:txbx>
                    <wps:bodyPr wrap="none" lIns="0" tIns="0" rIns="0" bIns="0">
                      <a:spAutoFit/>
                    </wps:bodyPr>
                  </wps:wsp>
                </a:graphicData>
              </a:graphic>
            </wp:anchor>
          </w:drawing>
        </mc:Choice>
        <mc:Fallback>
          <w:pict>
            <v:shape id="_x0000_s3509" type="#_x0000_t202" style="position:absolute;margin-left:12.300000000000001pt;margin-top:32.049999999999997pt;width:131.05000000000001pt;height:5.2999999999999998pt;z-index:-1887421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PRAVOSLAVNE CRKVE/PRAZNOVJERJE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503555</wp:posOffset>
              </wp:positionV>
              <wp:extent cx="4014470" cy="0"/>
              <wp:wrapNone/>
              <wp:docPr id="2485" name="Shape 248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050000000000001pt;margin-top:39.649999999999999pt;width:316.10000000000002pt;height:0;z-index:-251658240;mso-position-horizontal-relative:page;mso-position-vertical-relative:page">
              <v:stroke weight="1.pt"/>
            </v:shape>
          </w:pict>
        </mc:Fallback>
      </mc:AlternateContent>
    </w:r>
  </w:p>
</w:hdr>
</file>

<file path=word/header5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02" behindDoc="1" locked="0" layoutInCell="1" allowOverlap="1">
              <wp:simplePos x="0" y="0"/>
              <wp:positionH relativeFrom="page">
                <wp:posOffset>3201035</wp:posOffset>
              </wp:positionH>
              <wp:positionV relativeFrom="page">
                <wp:posOffset>404495</wp:posOffset>
              </wp:positionV>
              <wp:extent cx="963295" cy="64135"/>
              <wp:wrapNone/>
              <wp:docPr id="2488" name="Shape 2488"/>
              <a:graphic xmlns:a="http://schemas.openxmlformats.org/drawingml/2006/main">
                <a:graphicData uri="http://schemas.microsoft.com/office/word/2010/wordprocessingShape">
                  <wps:wsp>
                    <wps:cNvSpPr txBox="1"/>
                    <wps:spPr>
                      <a:xfrm>
                        <a:ext cx="9632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PRAVOSLAVNE CRKVE</w:t>
                          </w:r>
                        </w:p>
                      </w:txbxContent>
                    </wps:txbx>
                    <wps:bodyPr wrap="none" lIns="0" tIns="0" rIns="0" bIns="0">
                      <a:spAutoFit/>
                    </wps:bodyPr>
                  </wps:wsp>
                </a:graphicData>
              </a:graphic>
            </wp:anchor>
          </w:drawing>
        </mc:Choice>
        <mc:Fallback>
          <w:pict>
            <v:shape id="_x0000_s3514" type="#_x0000_t202" style="position:absolute;margin-left:252.05000000000001pt;margin-top:31.850000000000001pt;width:75.849999999999994pt;height:5.0499999999999998pt;z-index:-1887421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PRAVOSLAVNE CRKVE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506095</wp:posOffset>
              </wp:positionV>
              <wp:extent cx="4011295" cy="0"/>
              <wp:wrapNone/>
              <wp:docPr id="2490" name="Shape 2490"/>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800000000000001pt;margin-top:39.850000000000001pt;width:315.85000000000002pt;height:0;z-index:-251658240;mso-position-horizontal-relative:page;mso-position-vertical-relative:page">
              <v:stroke weight="1.pt"/>
            </v:shape>
          </w:pict>
        </mc:Fallback>
      </mc:AlternateContent>
    </w:r>
  </w:p>
</w:hdr>
</file>

<file path=word/header5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06" behindDoc="1" locked="0" layoutInCell="1" allowOverlap="1">
              <wp:simplePos x="0" y="0"/>
              <wp:positionH relativeFrom="page">
                <wp:posOffset>154940</wp:posOffset>
              </wp:positionH>
              <wp:positionV relativeFrom="page">
                <wp:posOffset>408940</wp:posOffset>
              </wp:positionV>
              <wp:extent cx="667385" cy="64135"/>
              <wp:wrapNone/>
              <wp:docPr id="2493" name="Shape 2493"/>
              <a:graphic xmlns:a="http://schemas.openxmlformats.org/drawingml/2006/main">
                <a:graphicData uri="http://schemas.microsoft.com/office/word/2010/wordprocessingShape">
                  <wps:wsp>
                    <wps:cNvSpPr txBox="1"/>
                    <wps:spPr>
                      <a:xfrm>
                        <a:ext cx="6673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PRAZNOVJERJE</w:t>
                          </w:r>
                        </w:p>
                      </w:txbxContent>
                    </wps:txbx>
                    <wps:bodyPr wrap="none" lIns="0" tIns="0" rIns="0" bIns="0">
                      <a:spAutoFit/>
                    </wps:bodyPr>
                  </wps:wsp>
                </a:graphicData>
              </a:graphic>
            </wp:anchor>
          </w:drawing>
        </mc:Choice>
        <mc:Fallback>
          <w:pict>
            <v:shape id="_x0000_s3519" type="#_x0000_t202" style="position:absolute;margin-left:12.199999999999999pt;margin-top:32.200000000000003pt;width:52.549999999999997pt;height:5.0499999999999998pt;z-index:-1887421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PRAZNOVJERJE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508000</wp:posOffset>
              </wp:positionV>
              <wp:extent cx="4020185" cy="0"/>
              <wp:wrapNone/>
              <wp:docPr id="2495" name="Shape 249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0.pt;width:316.55000000000001pt;height:0;z-index:-251658240;mso-position-horizontal-relative:page;mso-position-vertical-relative:page">
              <v:stroke weight="1.pt"/>
            </v:shape>
          </w:pict>
        </mc:Fallback>
      </mc:AlternateContent>
    </w:r>
  </w:p>
</w:hdr>
</file>

<file path=word/header5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10" behindDoc="1" locked="0" layoutInCell="1" allowOverlap="1">
              <wp:simplePos x="0" y="0"/>
              <wp:positionH relativeFrom="page">
                <wp:posOffset>154940</wp:posOffset>
              </wp:positionH>
              <wp:positionV relativeFrom="page">
                <wp:posOffset>408940</wp:posOffset>
              </wp:positionV>
              <wp:extent cx="667385" cy="64135"/>
              <wp:wrapNone/>
              <wp:docPr id="2498" name="Shape 2498"/>
              <a:graphic xmlns:a="http://schemas.openxmlformats.org/drawingml/2006/main">
                <a:graphicData uri="http://schemas.microsoft.com/office/word/2010/wordprocessingShape">
                  <wps:wsp>
                    <wps:cNvSpPr txBox="1"/>
                    <wps:spPr>
                      <a:xfrm>
                        <a:ext cx="6673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PRAZNOVJERJE</w:t>
                          </w:r>
                        </w:p>
                      </w:txbxContent>
                    </wps:txbx>
                    <wps:bodyPr wrap="none" lIns="0" tIns="0" rIns="0" bIns="0">
                      <a:spAutoFit/>
                    </wps:bodyPr>
                  </wps:wsp>
                </a:graphicData>
              </a:graphic>
            </wp:anchor>
          </w:drawing>
        </mc:Choice>
        <mc:Fallback>
          <w:pict>
            <v:shape id="_x0000_s3524" type="#_x0000_t202" style="position:absolute;margin-left:12.199999999999999pt;margin-top:32.200000000000003pt;width:52.549999999999997pt;height:5.0499999999999998pt;z-index:-1887421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PRAZNOVJERJE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508000</wp:posOffset>
              </wp:positionV>
              <wp:extent cx="4020185" cy="0"/>
              <wp:wrapNone/>
              <wp:docPr id="2500" name="Shape 250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0.pt;width:316.55000000000001pt;height:0;z-index:-251658240;mso-position-horizontal-relative:page;mso-position-vertical-relative:page">
              <v:stroke weight="1.pt"/>
            </v:shape>
          </w:pict>
        </mc:Fallback>
      </mc:AlternateContent>
    </w:r>
  </w:p>
</w:hdr>
</file>

<file path=word/header5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14" behindDoc="1" locked="0" layoutInCell="1" allowOverlap="1">
              <wp:simplePos x="0" y="0"/>
              <wp:positionH relativeFrom="page">
                <wp:posOffset>3504565</wp:posOffset>
              </wp:positionH>
              <wp:positionV relativeFrom="page">
                <wp:posOffset>402590</wp:posOffset>
              </wp:positionV>
              <wp:extent cx="661670" cy="64135"/>
              <wp:wrapNone/>
              <wp:docPr id="2503" name="Shape 2503"/>
              <a:graphic xmlns:a="http://schemas.openxmlformats.org/drawingml/2006/main">
                <a:graphicData uri="http://schemas.microsoft.com/office/word/2010/wordprocessingShape">
                  <wps:wsp>
                    <wps:cNvSpPr txBox="1"/>
                    <wps:spPr>
                      <a:xfrm>
                        <a:ext cx="6616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PRAZNOVJERJE</w:t>
                          </w:r>
                        </w:p>
                      </w:txbxContent>
                    </wps:txbx>
                    <wps:bodyPr wrap="none" lIns="0" tIns="0" rIns="0" bIns="0">
                      <a:spAutoFit/>
                    </wps:bodyPr>
                  </wps:wsp>
                </a:graphicData>
              </a:graphic>
            </wp:anchor>
          </w:drawing>
        </mc:Choice>
        <mc:Fallback>
          <w:pict>
            <v:shape id="_x0000_s3529" type="#_x0000_t202" style="position:absolute;margin-left:275.94999999999999pt;margin-top:31.699999999999999pt;width:52.100000000000001pt;height:5.0499999999999998pt;z-index:-1887421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PRAZNOVJERJE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504825</wp:posOffset>
              </wp:positionV>
              <wp:extent cx="4014470" cy="0"/>
              <wp:wrapNone/>
              <wp:docPr id="2505" name="Shape 250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949999999999999pt;margin-top:39.75pt;width:316.10000000000002pt;height:0;z-index:-251658240;mso-position-horizontal-relative:page;mso-position-vertical-relative:page">
              <v:stroke weight="1.pt"/>
            </v:shape>
          </w:pict>
        </mc:Fallback>
      </mc:AlternateContent>
    </w:r>
  </w:p>
</w:hdr>
</file>

<file path=word/header5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18" behindDoc="1" locked="0" layoutInCell="1" allowOverlap="1">
              <wp:simplePos x="0" y="0"/>
              <wp:positionH relativeFrom="page">
                <wp:posOffset>149225</wp:posOffset>
              </wp:positionH>
              <wp:positionV relativeFrom="page">
                <wp:posOffset>348615</wp:posOffset>
              </wp:positionV>
              <wp:extent cx="725170" cy="64135"/>
              <wp:wrapNone/>
              <wp:docPr id="2508" name="Shape 2508"/>
              <a:graphic xmlns:a="http://schemas.openxmlformats.org/drawingml/2006/main">
                <a:graphicData uri="http://schemas.microsoft.com/office/word/2010/wordprocessingShape">
                  <wps:wsp>
                    <wps:cNvSpPr txBox="1"/>
                    <wps:spPr>
                      <a:xfrm>
                        <a:ext cx="7251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wps:txbx>
                    <wps:bodyPr wrap="none" lIns="0" tIns="0" rIns="0" bIns="0">
                      <a:spAutoFit/>
                    </wps:bodyPr>
                  </wps:wsp>
                </a:graphicData>
              </a:graphic>
            </wp:anchor>
          </w:drawing>
        </mc:Choice>
        <mc:Fallback>
          <w:pict>
            <v:shape id="_x0000_s3534" type="#_x0000_t202" style="position:absolute;margin-left:11.75pt;margin-top:27.449999999999999pt;width:57.100000000000001pt;height:5.0499999999999998pt;z-index:-1887421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443230</wp:posOffset>
              </wp:positionV>
              <wp:extent cx="4017010" cy="0"/>
              <wp:wrapNone/>
              <wp:docPr id="2510" name="Shape 251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34.899999999999999pt;width:316.30000000000001pt;height:0;z-index:-251658240;mso-position-horizontal-relative:page;mso-position-vertical-relative:page">
              <v:stroke weight="1.pt"/>
            </v:shape>
          </w:pict>
        </mc:Fallback>
      </mc:AlternateContent>
    </w:r>
  </w:p>
</w:hdr>
</file>

<file path=word/header5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20" behindDoc="1" locked="0" layoutInCell="1" allowOverlap="1">
              <wp:simplePos x="0" y="0"/>
              <wp:positionH relativeFrom="page">
                <wp:posOffset>149225</wp:posOffset>
              </wp:positionH>
              <wp:positionV relativeFrom="page">
                <wp:posOffset>348615</wp:posOffset>
              </wp:positionV>
              <wp:extent cx="725170" cy="64135"/>
              <wp:wrapNone/>
              <wp:docPr id="2511" name="Shape 2511"/>
              <a:graphic xmlns:a="http://schemas.openxmlformats.org/drawingml/2006/main">
                <a:graphicData uri="http://schemas.microsoft.com/office/word/2010/wordprocessingShape">
                  <wps:wsp>
                    <wps:cNvSpPr txBox="1"/>
                    <wps:spPr>
                      <a:xfrm>
                        <a:ext cx="7251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wps:txbx>
                    <wps:bodyPr wrap="none" lIns="0" tIns="0" rIns="0" bIns="0">
                      <a:spAutoFit/>
                    </wps:bodyPr>
                  </wps:wsp>
                </a:graphicData>
              </a:graphic>
            </wp:anchor>
          </w:drawing>
        </mc:Choice>
        <mc:Fallback>
          <w:pict>
            <v:shape id="_x0000_s3537" type="#_x0000_t202" style="position:absolute;margin-left:11.75pt;margin-top:27.449999999999999pt;width:57.100000000000001pt;height:5.0499999999999998pt;z-index:-1887421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443230</wp:posOffset>
              </wp:positionV>
              <wp:extent cx="4017010" cy="0"/>
              <wp:wrapNone/>
              <wp:docPr id="2513" name="Shape 251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34.899999999999999pt;width:316.30000000000001pt;height:0;z-index:-251658240;mso-position-horizontal-relative:page;mso-position-vertical-relative:page">
              <v:stroke weight="1.pt"/>
            </v:shape>
          </w:pict>
        </mc:Fallback>
      </mc:AlternateContent>
    </w:r>
  </w:p>
</w:hdr>
</file>

<file path=word/header5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22" behindDoc="1" locked="0" layoutInCell="1" allowOverlap="1">
              <wp:simplePos x="0" y="0"/>
              <wp:positionH relativeFrom="page">
                <wp:posOffset>2741930</wp:posOffset>
              </wp:positionH>
              <wp:positionV relativeFrom="page">
                <wp:posOffset>327660</wp:posOffset>
              </wp:positionV>
              <wp:extent cx="1417320" cy="67310"/>
              <wp:wrapNone/>
              <wp:docPr id="2514" name="Shape 2514"/>
              <a:graphic xmlns:a="http://schemas.openxmlformats.org/drawingml/2006/main">
                <a:graphicData uri="http://schemas.microsoft.com/office/word/2010/wordprocessingShape">
                  <wps:wsp>
                    <wps:cNvSpPr txBox="1"/>
                    <wps:spPr>
                      <a:xfrm>
                        <a:ext cx="141732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 xml:space="preserve">PRAZNO </w:t>
                          </w:r>
                          <w:r>
                            <w:rPr>
                              <w:color w:val="000000"/>
                              <w:spacing w:val="0"/>
                              <w:w w:val="100"/>
                              <w:position w:val="0"/>
                              <w:shd w:val="clear" w:color="auto" w:fill="auto"/>
                              <w:lang w:val="en-US" w:eastAsia="en-US" w:bidi="en-US"/>
                            </w:rPr>
                            <w:t xml:space="preserve">VJ </w:t>
                          </w:r>
                          <w:r>
                            <w:rPr>
                              <w:color w:val="000000"/>
                              <w:spacing w:val="0"/>
                              <w:w w:val="100"/>
                              <w:position w:val="0"/>
                              <w:shd w:val="clear" w:color="auto" w:fill="auto"/>
                              <w:lang w:val="hr-HR" w:eastAsia="hr-HR" w:bidi="hr-HR"/>
                            </w:rPr>
                            <w:t>ERJ ^PREDESTINACIJA</w:t>
                          </w:r>
                        </w:p>
                      </w:txbxContent>
                    </wps:txbx>
                    <wps:bodyPr wrap="none" lIns="0" tIns="0" rIns="0" bIns="0">
                      <a:spAutoFit/>
                    </wps:bodyPr>
                  </wps:wsp>
                </a:graphicData>
              </a:graphic>
            </wp:anchor>
          </w:drawing>
        </mc:Choice>
        <mc:Fallback>
          <w:pict>
            <v:shape id="_x0000_s3540" type="#_x0000_t202" style="position:absolute;margin-left:215.90000000000001pt;margin-top:25.800000000000001pt;width:111.59999999999999pt;height:5.2999999999999998pt;z-index:-1887421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 xml:space="preserve">PRAZNO </w:t>
                    </w:r>
                    <w:r>
                      <w:rPr>
                        <w:color w:val="000000"/>
                        <w:spacing w:val="0"/>
                        <w:w w:val="100"/>
                        <w:position w:val="0"/>
                        <w:shd w:val="clear" w:color="auto" w:fill="auto"/>
                        <w:lang w:val="en-US" w:eastAsia="en-US" w:bidi="en-US"/>
                      </w:rPr>
                      <w:t xml:space="preserve">VJ </w:t>
                    </w:r>
                    <w:r>
                      <w:rPr>
                        <w:color w:val="000000"/>
                        <w:spacing w:val="0"/>
                        <w:w w:val="100"/>
                        <w:position w:val="0"/>
                        <w:shd w:val="clear" w:color="auto" w:fill="auto"/>
                        <w:lang w:val="hr-HR" w:eastAsia="hr-HR" w:bidi="hr-HR"/>
                      </w:rPr>
                      <w:t>ERJ ^PREDESTINACIJA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430530</wp:posOffset>
              </wp:positionV>
              <wp:extent cx="4020185" cy="0"/>
              <wp:wrapNone/>
              <wp:docPr id="2516" name="Shape 251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9pt;margin-top:33.899999999999999pt;width:316.55000000000001pt;height:0;z-index:-251658240;mso-position-horizontal-relative:page;mso-position-vertical-relative:page">
              <v:stroke weight="1.pt"/>
            </v:shape>
          </w:pict>
        </mc:Fallback>
      </mc:AlternateContent>
    </w:r>
  </w:p>
</w:hdr>
</file>

<file path=word/header5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24" behindDoc="1" locked="0" layoutInCell="1" allowOverlap="1">
              <wp:simplePos x="0" y="0"/>
              <wp:positionH relativeFrom="page">
                <wp:posOffset>3450590</wp:posOffset>
              </wp:positionH>
              <wp:positionV relativeFrom="page">
                <wp:posOffset>429260</wp:posOffset>
              </wp:positionV>
              <wp:extent cx="728345" cy="67310"/>
              <wp:wrapNone/>
              <wp:docPr id="2517" name="Shape 2517"/>
              <a:graphic xmlns:a="http://schemas.openxmlformats.org/drawingml/2006/main">
                <a:graphicData uri="http://schemas.microsoft.com/office/word/2010/wordprocessingShape">
                  <wps:wsp>
                    <wps:cNvSpPr txBox="1"/>
                    <wps:spPr>
                      <a:xfrm>
                        <a:ext cx="72834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wps:txbx>
                    <wps:bodyPr wrap="none" lIns="0" tIns="0" rIns="0" bIns="0">
                      <a:spAutoFit/>
                    </wps:bodyPr>
                  </wps:wsp>
                </a:graphicData>
              </a:graphic>
            </wp:anchor>
          </w:drawing>
        </mc:Choice>
        <mc:Fallback>
          <w:pict>
            <v:shape id="_x0000_s3543" type="#_x0000_t202" style="position:absolute;margin-left:271.69999999999999pt;margin-top:33.799999999999997pt;width:57.350000000000001pt;height:5.2999999999999998pt;z-index:-1887421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531495</wp:posOffset>
              </wp:positionV>
              <wp:extent cx="4017010" cy="0"/>
              <wp:wrapNone/>
              <wp:docPr id="2519" name="Shape 251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5pt;margin-top:41.850000000000001pt;width:316.30000000000001pt;height:0;z-index:-251658240;mso-position-horizontal-relative:page;mso-position-vertical-relative:page">
              <v:stroke weight="1.pt"/>
            </v:shape>
          </w:pict>
        </mc:Fallback>
      </mc:AlternateContent>
    </w:r>
  </w:p>
</w:hdr>
</file>

<file path=word/header5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28" behindDoc="1" locked="0" layoutInCell="1" allowOverlap="1">
              <wp:simplePos x="0" y="0"/>
              <wp:positionH relativeFrom="page">
                <wp:posOffset>3450590</wp:posOffset>
              </wp:positionH>
              <wp:positionV relativeFrom="page">
                <wp:posOffset>429260</wp:posOffset>
              </wp:positionV>
              <wp:extent cx="728345" cy="67310"/>
              <wp:wrapNone/>
              <wp:docPr id="2522" name="Shape 2522"/>
              <a:graphic xmlns:a="http://schemas.openxmlformats.org/drawingml/2006/main">
                <a:graphicData uri="http://schemas.microsoft.com/office/word/2010/wordprocessingShape">
                  <wps:wsp>
                    <wps:cNvSpPr txBox="1"/>
                    <wps:spPr>
                      <a:xfrm>
                        <a:ext cx="72834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wps:txbx>
                    <wps:bodyPr wrap="none" lIns="0" tIns="0" rIns="0" bIns="0">
                      <a:spAutoFit/>
                    </wps:bodyPr>
                  </wps:wsp>
                </a:graphicData>
              </a:graphic>
            </wp:anchor>
          </w:drawing>
        </mc:Choice>
        <mc:Fallback>
          <w:pict>
            <v:shape id="_x0000_s3548" type="#_x0000_t202" style="position:absolute;margin-left:271.69999999999999pt;margin-top:33.799999999999997pt;width:57.350000000000001pt;height:5.2999999999999998pt;z-index:-1887421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531495</wp:posOffset>
              </wp:positionV>
              <wp:extent cx="4017010" cy="0"/>
              <wp:wrapNone/>
              <wp:docPr id="2524" name="Shape 252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5pt;margin-top:41.850000000000001pt;width:316.30000000000001pt;height:0;z-index:-251658240;mso-position-horizontal-relative:page;mso-position-vertical-relative:page">
              <v:stroke weight="1.pt"/>
            </v:shape>
          </w:pict>
        </mc:Fallback>
      </mc:AlternateContent>
    </w:r>
  </w:p>
</w:hdr>
</file>

<file path=word/header5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32" behindDoc="1" locked="0" layoutInCell="1" allowOverlap="1">
              <wp:simplePos x="0" y="0"/>
              <wp:positionH relativeFrom="page">
                <wp:posOffset>2912110</wp:posOffset>
              </wp:positionH>
              <wp:positionV relativeFrom="page">
                <wp:posOffset>431165</wp:posOffset>
              </wp:positionV>
              <wp:extent cx="1256030" cy="69850"/>
              <wp:wrapNone/>
              <wp:docPr id="2527" name="Shape 2527"/>
              <a:graphic xmlns:a="http://schemas.openxmlformats.org/drawingml/2006/main">
                <a:graphicData uri="http://schemas.microsoft.com/office/word/2010/wordprocessingShape">
                  <wps:wsp>
                    <wps:cNvSpPr txBox="1"/>
                    <wps:spPr>
                      <a:xfrm>
                        <a:ext cx="125603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PREDODREĐENOST'PRIRODA</w:t>
                          </w:r>
                        </w:p>
                      </w:txbxContent>
                    </wps:txbx>
                    <wps:bodyPr wrap="none" lIns="0" tIns="0" rIns="0" bIns="0">
                      <a:spAutoFit/>
                    </wps:bodyPr>
                  </wps:wsp>
                </a:graphicData>
              </a:graphic>
            </wp:anchor>
          </w:drawing>
        </mc:Choice>
        <mc:Fallback>
          <w:pict>
            <v:shape id="_x0000_s3553" type="#_x0000_t202" style="position:absolute;margin-left:229.30000000000001pt;margin-top:33.950000000000003pt;width:98.900000000000006pt;height:5.5pt;z-index:-1887421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PREDODREĐENOST'PRIRODA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534670</wp:posOffset>
              </wp:positionV>
              <wp:extent cx="4023360" cy="0"/>
              <wp:wrapNone/>
              <wp:docPr id="2529" name="Shape 252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42.100000000000001pt;width:316.80000000000001pt;height:0;z-index:-251658240;mso-position-horizontal-relative:page;mso-position-vertical-relative:page">
              <v:stroke weight="1.pt"/>
            </v:shape>
          </w:pict>
        </mc:Fallback>
      </mc:AlternateContent>
    </w:r>
  </w:p>
</w:hdr>
</file>

<file path=word/header5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36" behindDoc="1" locked="0" layoutInCell="1" allowOverlap="1">
              <wp:simplePos x="0" y="0"/>
              <wp:positionH relativeFrom="page">
                <wp:posOffset>2912110</wp:posOffset>
              </wp:positionH>
              <wp:positionV relativeFrom="page">
                <wp:posOffset>431165</wp:posOffset>
              </wp:positionV>
              <wp:extent cx="1256030" cy="69850"/>
              <wp:wrapNone/>
              <wp:docPr id="2532" name="Shape 2532"/>
              <a:graphic xmlns:a="http://schemas.openxmlformats.org/drawingml/2006/main">
                <a:graphicData uri="http://schemas.microsoft.com/office/word/2010/wordprocessingShape">
                  <wps:wsp>
                    <wps:cNvSpPr txBox="1"/>
                    <wps:spPr>
                      <a:xfrm>
                        <a:ext cx="125603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PREDODREĐENOST'PRIRODA</w:t>
                          </w:r>
                        </w:p>
                      </w:txbxContent>
                    </wps:txbx>
                    <wps:bodyPr wrap="none" lIns="0" tIns="0" rIns="0" bIns="0">
                      <a:spAutoFit/>
                    </wps:bodyPr>
                  </wps:wsp>
                </a:graphicData>
              </a:graphic>
            </wp:anchor>
          </w:drawing>
        </mc:Choice>
        <mc:Fallback>
          <w:pict>
            <v:shape id="_x0000_s3558" type="#_x0000_t202" style="position:absolute;margin-left:229.30000000000001pt;margin-top:33.950000000000003pt;width:98.900000000000006pt;height:5.5pt;z-index:-1887421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PREDODREĐENOST'PRIRODA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534670</wp:posOffset>
              </wp:positionV>
              <wp:extent cx="4023360" cy="0"/>
              <wp:wrapNone/>
              <wp:docPr id="2534" name="Shape 253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42.100000000000001pt;width:316.80000000000001pt;height:0;z-index:-251658240;mso-position-horizontal-relative:page;mso-position-vertical-relative:page">
              <v:stroke weight="1.pt"/>
            </v:shape>
          </w:pict>
        </mc:Fallback>
      </mc:AlternateContent>
    </w:r>
  </w:p>
</w:hdr>
</file>

<file path=word/header5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40" behindDoc="1" locked="0" layoutInCell="1" allowOverlap="1">
              <wp:simplePos x="0" y="0"/>
              <wp:positionH relativeFrom="page">
                <wp:posOffset>156845</wp:posOffset>
              </wp:positionH>
              <wp:positionV relativeFrom="page">
                <wp:posOffset>441960</wp:posOffset>
              </wp:positionV>
              <wp:extent cx="725170" cy="64135"/>
              <wp:wrapNone/>
              <wp:docPr id="2537" name="Shape 2537"/>
              <a:graphic xmlns:a="http://schemas.openxmlformats.org/drawingml/2006/main">
                <a:graphicData uri="http://schemas.microsoft.com/office/word/2010/wordprocessingShape">
                  <wps:wsp>
                    <wps:cNvSpPr txBox="1"/>
                    <wps:spPr>
                      <a:xfrm>
                        <a:ext cx="7251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wps:txbx>
                    <wps:bodyPr wrap="none" lIns="0" tIns="0" rIns="0" bIns="0">
                      <a:spAutoFit/>
                    </wps:bodyPr>
                  </wps:wsp>
                </a:graphicData>
              </a:graphic>
            </wp:anchor>
          </w:drawing>
        </mc:Choice>
        <mc:Fallback>
          <w:pict>
            <v:shape id="_x0000_s3563" type="#_x0000_t202" style="position:absolute;margin-left:12.35pt;margin-top:34.799999999999997pt;width:57.100000000000001pt;height:5.0499999999999998pt;z-index:-1887421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PREDESTINACIJA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535940</wp:posOffset>
              </wp:positionV>
              <wp:extent cx="4020185" cy="0"/>
              <wp:wrapNone/>
              <wp:docPr id="2539" name="Shape 253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42.200000000000003pt;width:316.55000000000001pt;height:0;z-index:-251658240;mso-position-horizontal-relative:page;mso-position-vertical-relative:page">
              <v:stroke weight="1.pt"/>
            </v:shape>
          </w:pict>
        </mc:Fallback>
      </mc:AlternateContent>
    </w:r>
  </w:p>
</w:hdr>
</file>

<file path=word/header5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44" behindDoc="1" locked="0" layoutInCell="1" allowOverlap="1">
              <wp:simplePos x="0" y="0"/>
              <wp:positionH relativeFrom="page">
                <wp:posOffset>3787140</wp:posOffset>
              </wp:positionH>
              <wp:positionV relativeFrom="page">
                <wp:posOffset>432435</wp:posOffset>
              </wp:positionV>
              <wp:extent cx="389890" cy="64135"/>
              <wp:wrapNone/>
              <wp:docPr id="2542" name="Shape 2542"/>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PRIRODA</w:t>
                          </w:r>
                        </w:p>
                      </w:txbxContent>
                    </wps:txbx>
                    <wps:bodyPr wrap="none" lIns="0" tIns="0" rIns="0" bIns="0">
                      <a:spAutoFit/>
                    </wps:bodyPr>
                  </wps:wsp>
                </a:graphicData>
              </a:graphic>
            </wp:anchor>
          </w:drawing>
        </mc:Choice>
        <mc:Fallback>
          <w:pict>
            <v:shape id="_x0000_s3568" type="#_x0000_t202" style="position:absolute;margin-left:298.19999999999999pt;margin-top:34.049999999999997pt;width:30.699999999999999pt;height:5.0499999999999998pt;z-index:-1887421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PRIRODA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531495</wp:posOffset>
              </wp:positionV>
              <wp:extent cx="4020185" cy="0"/>
              <wp:wrapNone/>
              <wp:docPr id="2544" name="Shape 254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5pt;margin-top:41.850000000000001pt;width:316.55000000000001pt;height:0;z-index:-251658240;mso-position-horizontal-relative:page;mso-position-vertical-relative:page">
              <v:stroke weight="1.pt"/>
            </v:shape>
          </w:pict>
        </mc:Fallback>
      </mc:AlternateContent>
    </w:r>
  </w:p>
</w:hdr>
</file>

<file path=word/header5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48" behindDoc="1" locked="0" layoutInCell="1" allowOverlap="1">
              <wp:simplePos x="0" y="0"/>
              <wp:positionH relativeFrom="page">
                <wp:posOffset>3787140</wp:posOffset>
              </wp:positionH>
              <wp:positionV relativeFrom="page">
                <wp:posOffset>432435</wp:posOffset>
              </wp:positionV>
              <wp:extent cx="389890" cy="64135"/>
              <wp:wrapNone/>
              <wp:docPr id="2547" name="Shape 2547"/>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PRIRODA</w:t>
                          </w:r>
                        </w:p>
                      </w:txbxContent>
                    </wps:txbx>
                    <wps:bodyPr wrap="none" lIns="0" tIns="0" rIns="0" bIns="0">
                      <a:spAutoFit/>
                    </wps:bodyPr>
                  </wps:wsp>
                </a:graphicData>
              </a:graphic>
            </wp:anchor>
          </w:drawing>
        </mc:Choice>
        <mc:Fallback>
          <w:pict>
            <v:shape id="_x0000_s3573" type="#_x0000_t202" style="position:absolute;margin-left:298.19999999999999pt;margin-top:34.049999999999997pt;width:30.699999999999999pt;height:5.0499999999999998pt;z-index:-1887421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PRIRODA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531495</wp:posOffset>
              </wp:positionV>
              <wp:extent cx="4020185" cy="0"/>
              <wp:wrapNone/>
              <wp:docPr id="2549" name="Shape 254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5pt;margin-top:41.850000000000001pt;width:316.55000000000001pt;height:0;z-index:-251658240;mso-position-horizontal-relative:page;mso-position-vertical-relative:page">
              <v:stroke weight="1.pt"/>
            </v:shape>
          </w:pict>
        </mc:Fallback>
      </mc:AlternateContent>
    </w:r>
  </w:p>
</w:hdr>
</file>

<file path=word/header5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52" behindDoc="1" locked="0" layoutInCell="1" allowOverlap="1">
              <wp:simplePos x="0" y="0"/>
              <wp:positionH relativeFrom="page">
                <wp:posOffset>156845</wp:posOffset>
              </wp:positionH>
              <wp:positionV relativeFrom="page">
                <wp:posOffset>436880</wp:posOffset>
              </wp:positionV>
              <wp:extent cx="396240" cy="67310"/>
              <wp:wrapNone/>
              <wp:docPr id="2552" name="Shape 2552"/>
              <a:graphic xmlns:a="http://schemas.openxmlformats.org/drawingml/2006/main">
                <a:graphicData uri="http://schemas.microsoft.com/office/word/2010/wordprocessingShape">
                  <wps:wsp>
                    <wps:cNvSpPr txBox="1"/>
                    <wps:spPr>
                      <a:xfrm>
                        <a:ext cx="39624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PRIRODA</w:t>
                          </w:r>
                        </w:p>
                      </w:txbxContent>
                    </wps:txbx>
                    <wps:bodyPr wrap="none" lIns="0" tIns="0" rIns="0" bIns="0">
                      <a:spAutoFit/>
                    </wps:bodyPr>
                  </wps:wsp>
                </a:graphicData>
              </a:graphic>
            </wp:anchor>
          </w:drawing>
        </mc:Choice>
        <mc:Fallback>
          <w:pict>
            <v:shape id="_x0000_s3578" type="#_x0000_t202" style="position:absolute;margin-left:12.35pt;margin-top:34.399999999999999pt;width:31.199999999999999pt;height:5.2999999999999998pt;z-index:-1887421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PRIRODA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160020</wp:posOffset>
              </wp:positionH>
              <wp:positionV relativeFrom="page">
                <wp:posOffset>533400</wp:posOffset>
              </wp:positionV>
              <wp:extent cx="4029710" cy="0"/>
              <wp:wrapNone/>
              <wp:docPr id="2554" name="Shape 2554"/>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2.6pt;margin-top:42.pt;width:317.30000000000001pt;height:0;z-index:-251658240;mso-position-horizontal-relative:page;mso-position-vertical-relative:page">
              <v:stroke weight="1.pt"/>
            </v:shape>
          </w:pict>
        </mc:Fallback>
      </mc:AlternateContent>
    </w:r>
  </w:p>
</w:hdr>
</file>

<file path=word/header5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56" behindDoc="1" locked="0" layoutInCell="1" allowOverlap="1">
              <wp:simplePos x="0" y="0"/>
              <wp:positionH relativeFrom="page">
                <wp:posOffset>3816350</wp:posOffset>
              </wp:positionH>
              <wp:positionV relativeFrom="page">
                <wp:posOffset>432435</wp:posOffset>
              </wp:positionV>
              <wp:extent cx="356870" cy="64135"/>
              <wp:wrapNone/>
              <wp:docPr id="2557" name="Shape 2557"/>
              <a:graphic xmlns:a="http://schemas.openxmlformats.org/drawingml/2006/main">
                <a:graphicData uri="http://schemas.microsoft.com/office/word/2010/wordprocessingShape">
                  <wps:wsp>
                    <wps:cNvSpPr txBox="1"/>
                    <wps:spPr>
                      <a:xfrm>
                        <a:ext cx="3568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PROROK</w:t>
                          </w:r>
                        </w:p>
                      </w:txbxContent>
                    </wps:txbx>
                    <wps:bodyPr wrap="none" lIns="0" tIns="0" rIns="0" bIns="0">
                      <a:spAutoFit/>
                    </wps:bodyPr>
                  </wps:wsp>
                </a:graphicData>
              </a:graphic>
            </wp:anchor>
          </w:drawing>
        </mc:Choice>
        <mc:Fallback>
          <w:pict>
            <v:shape id="_x0000_s3583" type="#_x0000_t202" style="position:absolute;margin-left:300.5pt;margin-top:34.049999999999997pt;width:28.100000000000001pt;height:5.0499999999999998pt;z-index:-1887420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PROROK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535940</wp:posOffset>
              </wp:positionV>
              <wp:extent cx="4023360" cy="0"/>
              <wp:wrapNone/>
              <wp:docPr id="2559" name="Shape 255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75pt;margin-top:42.200000000000003pt;width:316.80000000000001pt;height:0;z-index:-251658240;mso-position-horizontal-relative:page;mso-position-vertical-relative:page">
              <v:stroke weight="1.pt"/>
            </v:shape>
          </w:pict>
        </mc:Fallback>
      </mc:AlternateContent>
    </w:r>
  </w:p>
</w:hdr>
</file>

<file path=word/header5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60" behindDoc="1" locked="0" layoutInCell="1" allowOverlap="1">
              <wp:simplePos x="0" y="0"/>
              <wp:positionH relativeFrom="page">
                <wp:posOffset>160020</wp:posOffset>
              </wp:positionH>
              <wp:positionV relativeFrom="page">
                <wp:posOffset>440055</wp:posOffset>
              </wp:positionV>
              <wp:extent cx="359410" cy="60960"/>
              <wp:wrapNone/>
              <wp:docPr id="2562" name="Shape 2562"/>
              <a:graphic xmlns:a="http://schemas.openxmlformats.org/drawingml/2006/main">
                <a:graphicData uri="http://schemas.microsoft.com/office/word/2010/wordprocessingShape">
                  <wps:wsp>
                    <wps:cNvSpPr txBox="1"/>
                    <wps:spPr>
                      <a:xfrm>
                        <a:ext cx="3594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PROROK</w:t>
                          </w:r>
                        </w:p>
                      </w:txbxContent>
                    </wps:txbx>
                    <wps:bodyPr wrap="none" lIns="0" tIns="0" rIns="0" bIns="0">
                      <a:spAutoFit/>
                    </wps:bodyPr>
                  </wps:wsp>
                </a:graphicData>
              </a:graphic>
            </wp:anchor>
          </w:drawing>
        </mc:Choice>
        <mc:Fallback>
          <w:pict>
            <v:shape id="_x0000_s3588" type="#_x0000_t202" style="position:absolute;margin-left:12.6pt;margin-top:34.649999999999999pt;width:28.300000000000001pt;height:4.7999999999999998pt;z-index:-1887420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PROROK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537210</wp:posOffset>
              </wp:positionV>
              <wp:extent cx="4023360" cy="0"/>
              <wp:wrapNone/>
              <wp:docPr id="2564" name="Shape 256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pt;margin-top:42.299999999999997pt;width:316.80000000000001pt;height:0;z-index:-251658240;mso-position-horizontal-relative:page;mso-position-vertical-relative:page">
              <v:stroke weight="1.pt"/>
            </v:shape>
          </w:pict>
        </mc:Fallback>
      </mc:AlternateContent>
    </w:r>
  </w:p>
</w:hdr>
</file>

<file path=word/header5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64" behindDoc="1" locked="0" layoutInCell="1" allowOverlap="1">
              <wp:simplePos x="0" y="0"/>
              <wp:positionH relativeFrom="page">
                <wp:posOffset>147955</wp:posOffset>
              </wp:positionH>
              <wp:positionV relativeFrom="page">
                <wp:posOffset>440055</wp:posOffset>
              </wp:positionV>
              <wp:extent cx="1231265" cy="67310"/>
              <wp:wrapNone/>
              <wp:docPr id="2567" name="Shape 2567"/>
              <a:graphic xmlns:a="http://schemas.openxmlformats.org/drawingml/2006/main">
                <a:graphicData uri="http://schemas.microsoft.com/office/word/2010/wordprocessingShape">
                  <wps:wsp>
                    <wps:cNvSpPr txBox="1"/>
                    <wps:spPr>
                      <a:xfrm>
                        <a:ext cx="123126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PRIRODA/PROFANO/PROROK</w:t>
                          </w:r>
                        </w:p>
                      </w:txbxContent>
                    </wps:txbx>
                    <wps:bodyPr wrap="none" lIns="0" tIns="0" rIns="0" bIns="0">
                      <a:spAutoFit/>
                    </wps:bodyPr>
                  </wps:wsp>
                </a:graphicData>
              </a:graphic>
            </wp:anchor>
          </w:drawing>
        </mc:Choice>
        <mc:Fallback>
          <w:pict>
            <v:shape id="_x0000_s3593" type="#_x0000_t202" style="position:absolute;margin-left:11.65pt;margin-top:34.649999999999999pt;width:96.950000000000003pt;height:5.2999999999999998pt;z-index:-1887420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PRIRODA/PROFANO/PROROK</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535940</wp:posOffset>
              </wp:positionV>
              <wp:extent cx="4026535" cy="0"/>
              <wp:wrapNone/>
              <wp:docPr id="2569" name="Shape 256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15pt;margin-top:42.200000000000003pt;width:317.05000000000001pt;height:0;z-index:-251658240;mso-position-horizontal-relative:page;mso-position-vertical-relative:page">
              <v:stroke weight="1.pt"/>
            </v:shape>
          </w:pict>
        </mc:Fallback>
      </mc:AlternateContent>
    </w:r>
  </w:p>
</w:hdr>
</file>

<file path=word/header5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68" behindDoc="1" locked="0" layoutInCell="1" allowOverlap="1">
              <wp:simplePos x="0" y="0"/>
              <wp:positionH relativeFrom="page">
                <wp:posOffset>3282950</wp:posOffset>
              </wp:positionH>
              <wp:positionV relativeFrom="page">
                <wp:posOffset>435610</wp:posOffset>
              </wp:positionV>
              <wp:extent cx="880745" cy="64135"/>
              <wp:wrapNone/>
              <wp:docPr id="2572" name="Shape 2572"/>
              <a:graphic xmlns:a="http://schemas.openxmlformats.org/drawingml/2006/main">
                <a:graphicData uri="http://schemas.microsoft.com/office/word/2010/wordprocessingShape">
                  <wps:wsp>
                    <wps:cNvSpPr txBox="1"/>
                    <wps:spPr>
                      <a:xfrm>
                        <a:ext cx="8807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PROSVJETITELJSTVO</w:t>
                          </w:r>
                        </w:p>
                      </w:txbxContent>
                    </wps:txbx>
                    <wps:bodyPr wrap="none" lIns="0" tIns="0" rIns="0" bIns="0">
                      <a:spAutoFit/>
                    </wps:bodyPr>
                  </wps:wsp>
                </a:graphicData>
              </a:graphic>
            </wp:anchor>
          </w:drawing>
        </mc:Choice>
        <mc:Fallback>
          <w:pict>
            <v:shape id="_x0000_s3598" type="#_x0000_t202" style="position:absolute;margin-left:258.5pt;margin-top:34.299999999999997pt;width:69.349999999999994pt;height:5.0499999999999998pt;z-index:-1887420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PROSVJETITELJSTVO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539115</wp:posOffset>
              </wp:positionV>
              <wp:extent cx="4017010" cy="0"/>
              <wp:wrapNone/>
              <wp:docPr id="2574" name="Shape 257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42.450000000000003pt;width:316.30000000000001pt;height:0;z-index:-251658240;mso-position-horizontal-relative:page;mso-position-vertical-relative:page">
              <v:stroke weight="1.pt"/>
            </v:shape>
          </w:pict>
        </mc:Fallback>
      </mc:AlternateContent>
    </w:r>
  </w:p>
</w:hdr>
</file>

<file path=word/header5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72" behindDoc="1" locked="0" layoutInCell="1" allowOverlap="1">
              <wp:simplePos x="0" y="0"/>
              <wp:positionH relativeFrom="page">
                <wp:posOffset>160020</wp:posOffset>
              </wp:positionH>
              <wp:positionV relativeFrom="page">
                <wp:posOffset>440055</wp:posOffset>
              </wp:positionV>
              <wp:extent cx="880745" cy="64135"/>
              <wp:wrapNone/>
              <wp:docPr id="2577" name="Shape 2577"/>
              <a:graphic xmlns:a="http://schemas.openxmlformats.org/drawingml/2006/main">
                <a:graphicData uri="http://schemas.microsoft.com/office/word/2010/wordprocessingShape">
                  <wps:wsp>
                    <wps:cNvSpPr txBox="1"/>
                    <wps:spPr>
                      <a:xfrm>
                        <a:ext cx="88074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PROSVJETITELJSTVO</w:t>
                          </w:r>
                        </w:p>
                      </w:txbxContent>
                    </wps:txbx>
                    <wps:bodyPr wrap="none" lIns="0" tIns="0" rIns="0" bIns="0">
                      <a:spAutoFit/>
                    </wps:bodyPr>
                  </wps:wsp>
                </a:graphicData>
              </a:graphic>
            </wp:anchor>
          </w:drawing>
        </mc:Choice>
        <mc:Fallback>
          <w:pict>
            <v:shape id="_x0000_s3603" type="#_x0000_t202" style="position:absolute;margin-left:12.6pt;margin-top:34.649999999999999pt;width:69.349999999999994pt;height:5.0499999999999998pt;z-index:-1887420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PROSVJETITELJSTVO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539115</wp:posOffset>
              </wp:positionV>
              <wp:extent cx="4020185" cy="0"/>
              <wp:wrapNone/>
              <wp:docPr id="2579" name="Shape 257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5pt;margin-top:42.450000000000003pt;width:316.55000000000001pt;height:0;z-index:-251658240;mso-position-horizontal-relative:page;mso-position-vertical-relative:page">
              <v:stroke weight="1.pt"/>
            </v:shape>
          </w:pict>
        </mc:Fallback>
      </mc:AlternateContent>
    </w:r>
  </w:p>
</w:hdr>
</file>

<file path=word/header5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76" behindDoc="1" locked="0" layoutInCell="1" allowOverlap="1">
              <wp:simplePos x="0" y="0"/>
              <wp:positionH relativeFrom="page">
                <wp:posOffset>152400</wp:posOffset>
              </wp:positionH>
              <wp:positionV relativeFrom="page">
                <wp:posOffset>443230</wp:posOffset>
              </wp:positionV>
              <wp:extent cx="1273810" cy="64135"/>
              <wp:wrapNone/>
              <wp:docPr id="2582" name="Shape 2582"/>
              <a:graphic xmlns:a="http://schemas.openxmlformats.org/drawingml/2006/main">
                <a:graphicData uri="http://schemas.microsoft.com/office/word/2010/wordprocessingShape">
                  <wps:wsp>
                    <wps:cNvSpPr txBox="1"/>
                    <wps:spPr>
                      <a:xfrm>
                        <a:ext cx="12738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PROROK/PROSVJETITEUSTVO</w:t>
                          </w:r>
                        </w:p>
                      </w:txbxContent>
                    </wps:txbx>
                    <wps:bodyPr wrap="none" lIns="0" tIns="0" rIns="0" bIns="0">
                      <a:spAutoFit/>
                    </wps:bodyPr>
                  </wps:wsp>
                </a:graphicData>
              </a:graphic>
            </wp:anchor>
          </w:drawing>
        </mc:Choice>
        <mc:Fallback>
          <w:pict>
            <v:shape id="_x0000_s3608" type="#_x0000_t202" style="position:absolute;margin-left:12.pt;margin-top:34.899999999999999pt;width:100.3pt;height:5.0499999999999998pt;z-index:-1887420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PROROK/PROSVJETITEUSTVO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542290</wp:posOffset>
              </wp:positionV>
              <wp:extent cx="4020185" cy="0"/>
              <wp:wrapNone/>
              <wp:docPr id="2584" name="Shape 258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42.700000000000003pt;width:316.55000000000001pt;height:0;z-index:-251658240;mso-position-horizontal-relative:page;mso-position-vertical-relative:page">
              <v:stroke weight="1.pt"/>
            </v:shape>
          </w:pict>
        </mc:Fallback>
      </mc:AlternateContent>
    </w:r>
  </w:p>
</w:hdr>
</file>

<file path=word/header5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80" behindDoc="1" locked="0" layoutInCell="1" allowOverlap="1">
              <wp:simplePos x="0" y="0"/>
              <wp:positionH relativeFrom="page">
                <wp:posOffset>3608705</wp:posOffset>
              </wp:positionH>
              <wp:positionV relativeFrom="page">
                <wp:posOffset>434340</wp:posOffset>
              </wp:positionV>
              <wp:extent cx="557530" cy="67310"/>
              <wp:wrapNone/>
              <wp:docPr id="2587" name="Shape 2587"/>
              <a:graphic xmlns:a="http://schemas.openxmlformats.org/drawingml/2006/main">
                <a:graphicData uri="http://schemas.microsoft.com/office/word/2010/wordprocessingShape">
                  <wps:wsp>
                    <wps:cNvSpPr txBox="1"/>
                    <wps:spPr>
                      <a:xfrm>
                        <a:ext cx="5575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PROVIDNOST</w:t>
                          </w:r>
                        </w:p>
                      </w:txbxContent>
                    </wps:txbx>
                    <wps:bodyPr wrap="none" lIns="0" tIns="0" rIns="0" bIns="0">
                      <a:spAutoFit/>
                    </wps:bodyPr>
                  </wps:wsp>
                </a:graphicData>
              </a:graphic>
            </wp:anchor>
          </w:drawing>
        </mc:Choice>
        <mc:Fallback>
          <w:pict>
            <v:shape id="_x0000_s3613" type="#_x0000_t202" style="position:absolute;margin-left:284.14999999999998pt;margin-top:34.200000000000003pt;width:43.899999999999999pt;height:5.2999999999999998pt;z-index:-1887420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PROVIDNOST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537210</wp:posOffset>
              </wp:positionV>
              <wp:extent cx="4023360" cy="0"/>
              <wp:wrapNone/>
              <wp:docPr id="2589" name="Shape 258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050000000000001pt;margin-top:42.299999999999997pt;width:316.80000000000001pt;height:0;z-index:-251658240;mso-position-horizontal-relative:page;mso-position-vertical-relative:page">
              <v:stroke weight="1.pt"/>
            </v:shape>
          </w:pict>
        </mc:Fallback>
      </mc:AlternateContent>
    </w:r>
  </w:p>
</w:hdr>
</file>

<file path=word/header5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84" behindDoc="1" locked="0" layoutInCell="1" allowOverlap="1">
              <wp:simplePos x="0" y="0"/>
              <wp:positionH relativeFrom="page">
                <wp:posOffset>3608705</wp:posOffset>
              </wp:positionH>
              <wp:positionV relativeFrom="page">
                <wp:posOffset>434340</wp:posOffset>
              </wp:positionV>
              <wp:extent cx="557530" cy="67310"/>
              <wp:wrapNone/>
              <wp:docPr id="2592" name="Shape 2592"/>
              <a:graphic xmlns:a="http://schemas.openxmlformats.org/drawingml/2006/main">
                <a:graphicData uri="http://schemas.microsoft.com/office/word/2010/wordprocessingShape">
                  <wps:wsp>
                    <wps:cNvSpPr txBox="1"/>
                    <wps:spPr>
                      <a:xfrm>
                        <a:ext cx="5575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PROVIDNOST</w:t>
                          </w:r>
                        </w:p>
                      </w:txbxContent>
                    </wps:txbx>
                    <wps:bodyPr wrap="none" lIns="0" tIns="0" rIns="0" bIns="0">
                      <a:spAutoFit/>
                    </wps:bodyPr>
                  </wps:wsp>
                </a:graphicData>
              </a:graphic>
            </wp:anchor>
          </w:drawing>
        </mc:Choice>
        <mc:Fallback>
          <w:pict>
            <v:shape id="_x0000_s3618" type="#_x0000_t202" style="position:absolute;margin-left:284.14999999999998pt;margin-top:34.200000000000003pt;width:43.899999999999999pt;height:5.2999999999999998pt;z-index:-1887420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PROVIDNOST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537210</wp:posOffset>
              </wp:positionV>
              <wp:extent cx="4023360" cy="0"/>
              <wp:wrapNone/>
              <wp:docPr id="2594" name="Shape 259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050000000000001pt;margin-top:42.299999999999997pt;width:316.80000000000001pt;height:0;z-index:-251658240;mso-position-horizontal-relative:page;mso-position-vertical-relative:page">
              <v:stroke weight="1.pt"/>
            </v:shape>
          </w:pict>
        </mc:Fallback>
      </mc:AlternateContent>
    </w:r>
  </w:p>
</w:hdr>
</file>

<file path=word/header5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88" behindDoc="1" locked="0" layoutInCell="1" allowOverlap="1">
              <wp:simplePos x="0" y="0"/>
              <wp:positionH relativeFrom="page">
                <wp:posOffset>155575</wp:posOffset>
              </wp:positionH>
              <wp:positionV relativeFrom="page">
                <wp:posOffset>441960</wp:posOffset>
              </wp:positionV>
              <wp:extent cx="1481455" cy="67310"/>
              <wp:wrapNone/>
              <wp:docPr id="2597" name="Shape 2597"/>
              <a:graphic xmlns:a="http://schemas.openxmlformats.org/drawingml/2006/main">
                <a:graphicData uri="http://schemas.microsoft.com/office/word/2010/wordprocessingShape">
                  <wps:wsp>
                    <wps:cNvSpPr txBox="1"/>
                    <wps:spPr>
                      <a:xfrm>
                        <a:ext cx="148145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PROSVJETITELJ STVO/PROVIDNOST</w:t>
                          </w:r>
                        </w:p>
                      </w:txbxContent>
                    </wps:txbx>
                    <wps:bodyPr wrap="none" lIns="0" tIns="0" rIns="0" bIns="0">
                      <a:spAutoFit/>
                    </wps:bodyPr>
                  </wps:wsp>
                </a:graphicData>
              </a:graphic>
            </wp:anchor>
          </w:drawing>
        </mc:Choice>
        <mc:Fallback>
          <w:pict>
            <v:shape id="_x0000_s3623" type="#_x0000_t202" style="position:absolute;margin-left:12.25pt;margin-top:34.799999999999997pt;width:116.65000000000001pt;height:5.2999999999999998pt;z-index:-1887420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PROSVJETITELJ STVO/PROVIDNOST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539115</wp:posOffset>
              </wp:positionV>
              <wp:extent cx="4023360" cy="0"/>
              <wp:wrapNone/>
              <wp:docPr id="2599" name="Shape 259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pt;margin-top:42.450000000000003pt;width:316.80000000000001pt;height:0;z-index:-251658240;mso-position-horizontal-relative:page;mso-position-vertical-relative:page">
              <v:stroke weight="1.pt"/>
            </v:shape>
          </w:pict>
        </mc:Fallback>
      </mc:AlternateContent>
    </w:r>
  </w:p>
</w:hdr>
</file>

<file path=word/header5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92" behindDoc="1" locked="0" layoutInCell="1" allowOverlap="1">
              <wp:simplePos x="0" y="0"/>
              <wp:positionH relativeFrom="page">
                <wp:posOffset>156845</wp:posOffset>
              </wp:positionH>
              <wp:positionV relativeFrom="page">
                <wp:posOffset>441960</wp:posOffset>
              </wp:positionV>
              <wp:extent cx="1240790" cy="64135"/>
              <wp:wrapNone/>
              <wp:docPr id="2602" name="Shape 2602"/>
              <a:graphic xmlns:a="http://schemas.openxmlformats.org/drawingml/2006/main">
                <a:graphicData uri="http://schemas.microsoft.com/office/word/2010/wordprocessingShape">
                  <wps:wsp>
                    <wps:cNvSpPr txBox="1"/>
                    <wps:spPr>
                      <a:xfrm>
                        <a:ext cx="12407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PROVIDNOST/FROZELIIIZAM</w:t>
                          </w:r>
                        </w:p>
                      </w:txbxContent>
                    </wps:txbx>
                    <wps:bodyPr wrap="none" lIns="0" tIns="0" rIns="0" bIns="0">
                      <a:spAutoFit/>
                    </wps:bodyPr>
                  </wps:wsp>
                </a:graphicData>
              </a:graphic>
            </wp:anchor>
          </w:drawing>
        </mc:Choice>
        <mc:Fallback>
          <w:pict>
            <v:shape id="_x0000_s3628" type="#_x0000_t202" style="position:absolute;margin-left:12.35pt;margin-top:34.799999999999997pt;width:97.700000000000003pt;height:5.0499999999999998pt;z-index:-1887420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PROVIDNOST/FROZELIIIZAM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537845</wp:posOffset>
              </wp:positionV>
              <wp:extent cx="4017010" cy="0"/>
              <wp:wrapNone/>
              <wp:docPr id="2604" name="Shape 260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5pt;margin-top:42.350000000000001pt;width:316.30000000000001pt;height:0;z-index:-251658240;mso-position-horizontal-relative:page;mso-position-vertical-relative:page">
              <v:stroke weight="1.pt"/>
            </v:shape>
          </w:pict>
        </mc:Fallback>
      </mc:AlternateContent>
    </w:r>
  </w:p>
</w:hdr>
</file>

<file path=word/header5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696" behindDoc="1" locked="0" layoutInCell="1" allowOverlap="1">
              <wp:simplePos x="0" y="0"/>
              <wp:positionH relativeFrom="page">
                <wp:posOffset>156845</wp:posOffset>
              </wp:positionH>
              <wp:positionV relativeFrom="page">
                <wp:posOffset>441960</wp:posOffset>
              </wp:positionV>
              <wp:extent cx="1240790" cy="64135"/>
              <wp:wrapNone/>
              <wp:docPr id="2607" name="Shape 2607"/>
              <a:graphic xmlns:a="http://schemas.openxmlformats.org/drawingml/2006/main">
                <a:graphicData uri="http://schemas.microsoft.com/office/word/2010/wordprocessingShape">
                  <wps:wsp>
                    <wps:cNvSpPr txBox="1"/>
                    <wps:spPr>
                      <a:xfrm>
                        <a:ext cx="12407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PROVIDNOST/FROZELIIIZAM</w:t>
                          </w:r>
                        </w:p>
                      </w:txbxContent>
                    </wps:txbx>
                    <wps:bodyPr wrap="none" lIns="0" tIns="0" rIns="0" bIns="0">
                      <a:spAutoFit/>
                    </wps:bodyPr>
                  </wps:wsp>
                </a:graphicData>
              </a:graphic>
            </wp:anchor>
          </w:drawing>
        </mc:Choice>
        <mc:Fallback>
          <w:pict>
            <v:shape id="_x0000_s3633" type="#_x0000_t202" style="position:absolute;margin-left:12.35pt;margin-top:34.799999999999997pt;width:97.700000000000003pt;height:5.0499999999999998pt;z-index:-1887420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PROVIDNOST/FROZELIIIZAM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537845</wp:posOffset>
              </wp:positionV>
              <wp:extent cx="4017010" cy="0"/>
              <wp:wrapNone/>
              <wp:docPr id="2609" name="Shape 260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5pt;margin-top:42.350000000000001pt;width:316.30000000000001pt;height:0;z-index:-251658240;mso-position-horizontal-relative:page;mso-position-vertical-relative:page">
              <v:stroke weight="1.pt"/>
            </v:shape>
          </w:pict>
        </mc:Fallback>
      </mc:AlternateContent>
    </w:r>
  </w:p>
</w:hdr>
</file>

<file path=word/header5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00" behindDoc="1" locked="0" layoutInCell="1" allowOverlap="1">
              <wp:simplePos x="0" y="0"/>
              <wp:positionH relativeFrom="page">
                <wp:posOffset>3488690</wp:posOffset>
              </wp:positionH>
              <wp:positionV relativeFrom="page">
                <wp:posOffset>436880</wp:posOffset>
              </wp:positionV>
              <wp:extent cx="679450" cy="64135"/>
              <wp:wrapNone/>
              <wp:docPr id="2614" name="Shape 2614"/>
              <a:graphic xmlns:a="http://schemas.openxmlformats.org/drawingml/2006/main">
                <a:graphicData uri="http://schemas.microsoft.com/office/word/2010/wordprocessingShape">
                  <wps:wsp>
                    <wps:cNvSpPr txBox="1"/>
                    <wps:spPr>
                      <a:xfrm>
                        <a:ext cx="6794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w:t>
                          </w:r>
                        </w:p>
                      </w:txbxContent>
                    </wps:txbx>
                    <wps:bodyPr wrap="none" lIns="0" tIns="0" rIns="0" bIns="0">
                      <a:spAutoFit/>
                    </wps:bodyPr>
                  </wps:wsp>
                </a:graphicData>
              </a:graphic>
            </wp:anchor>
          </w:drawing>
        </mc:Choice>
        <mc:Fallback>
          <w:pict>
            <v:shape id="_x0000_s3640" type="#_x0000_t202" style="position:absolute;margin-left:274.69999999999999pt;margin-top:34.399999999999999pt;width:53.5pt;height:5.0499999999999998pt;z-index:-1887420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539115</wp:posOffset>
              </wp:positionV>
              <wp:extent cx="4014470" cy="0"/>
              <wp:wrapNone/>
              <wp:docPr id="2616" name="Shape 261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pt;margin-top:42.450000000000003pt;width:316.10000000000002pt;height:0;z-index:-251658240;mso-position-horizontal-relative:page;mso-position-vertical-relative:page">
              <v:stroke weight="1.pt"/>
            </v:shape>
          </w:pict>
        </mc:Fallback>
      </mc:AlternateContent>
    </w:r>
  </w:p>
</w:hdr>
</file>

<file path=word/header6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04" behindDoc="1" locked="0" layoutInCell="1" allowOverlap="1">
              <wp:simplePos x="0" y="0"/>
              <wp:positionH relativeFrom="page">
                <wp:posOffset>149225</wp:posOffset>
              </wp:positionH>
              <wp:positionV relativeFrom="page">
                <wp:posOffset>435610</wp:posOffset>
              </wp:positionV>
              <wp:extent cx="676910" cy="67310"/>
              <wp:wrapNone/>
              <wp:docPr id="2619" name="Shape 2619"/>
              <a:graphic xmlns:a="http://schemas.openxmlformats.org/drawingml/2006/main">
                <a:graphicData uri="http://schemas.microsoft.com/office/word/2010/wordprocessingShape">
                  <wps:wsp>
                    <wps:cNvSpPr txBox="1"/>
                    <wps:spPr>
                      <a:xfrm>
                        <a:ext cx="6769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w:t>
                          </w:r>
                        </w:p>
                      </w:txbxContent>
                    </wps:txbx>
                    <wps:bodyPr wrap="none" lIns="0" tIns="0" rIns="0" bIns="0">
                      <a:spAutoFit/>
                    </wps:bodyPr>
                  </wps:wsp>
                </a:graphicData>
              </a:graphic>
            </wp:anchor>
          </w:drawing>
        </mc:Choice>
        <mc:Fallback>
          <w:pict>
            <v:shape id="_x0000_s3645" type="#_x0000_t202" style="position:absolute;margin-left:11.75pt;margin-top:34.299999999999997pt;width:53.299999999999997pt;height:5.2999999999999998pt;z-index:-1887420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531495</wp:posOffset>
              </wp:positionV>
              <wp:extent cx="4020185" cy="0"/>
              <wp:wrapNone/>
              <wp:docPr id="2621" name="Shape 262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1.850000000000001pt;width:316.55000000000001pt;height:0;z-index:-251658240;mso-position-horizontal-relative:page;mso-position-vertical-relative:page">
              <v:stroke weight="1.pt"/>
            </v:shape>
          </w:pict>
        </mc:Fallback>
      </mc:AlternateContent>
    </w:r>
  </w:p>
</w:hdr>
</file>

<file path=word/header6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08" behindDoc="1" locked="0" layoutInCell="1" allowOverlap="1">
              <wp:simplePos x="0" y="0"/>
              <wp:positionH relativeFrom="page">
                <wp:posOffset>2203450</wp:posOffset>
              </wp:positionH>
              <wp:positionV relativeFrom="page">
                <wp:posOffset>312420</wp:posOffset>
              </wp:positionV>
              <wp:extent cx="1957070" cy="79375"/>
              <wp:wrapNone/>
              <wp:docPr id="2624" name="Shape 2624"/>
              <a:graphic xmlns:a="http://schemas.openxmlformats.org/drawingml/2006/main">
                <a:graphicData uri="http://schemas.microsoft.com/office/word/2010/wordprocessingShape">
                  <wps:wsp>
                    <wps:cNvSpPr txBox="1"/>
                    <wps:spPr>
                      <a:xfrm>
                        <a:ext cx="19570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RACIONAl.IZAM/RAČDNANJE VREMENA / RAD</w:t>
                          </w:r>
                        </w:p>
                      </w:txbxContent>
                    </wps:txbx>
                    <wps:bodyPr wrap="none" lIns="0" tIns="0" rIns="0" bIns="0">
                      <a:spAutoFit/>
                    </wps:bodyPr>
                  </wps:wsp>
                </a:graphicData>
              </a:graphic>
            </wp:anchor>
          </w:drawing>
        </mc:Choice>
        <mc:Fallback>
          <w:pict>
            <v:shape id="_x0000_s3650" type="#_x0000_t202" style="position:absolute;margin-left:173.5pt;margin-top:24.600000000000001pt;width:154.09999999999999pt;height:6.25pt;z-index:-1887420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RACIONAl.IZAM/RAČDNANJE VREMENA / RAD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430530</wp:posOffset>
              </wp:positionV>
              <wp:extent cx="4017010" cy="0"/>
              <wp:wrapNone/>
              <wp:docPr id="2626" name="Shape 262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33.899999999999999pt;width:316.30000000000001pt;height:0;z-index:-251658240;mso-position-horizontal-relative:page;mso-position-vertical-relative:page">
              <v:stroke weight="1.pt"/>
            </v:shape>
          </w:pict>
        </mc:Fallback>
      </mc:AlternateContent>
    </w:r>
  </w:p>
</w:hdr>
</file>

<file path=word/header6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10" behindDoc="1" locked="0" layoutInCell="1" allowOverlap="1">
              <wp:simplePos x="0" y="0"/>
              <wp:positionH relativeFrom="page">
                <wp:posOffset>2203450</wp:posOffset>
              </wp:positionH>
              <wp:positionV relativeFrom="page">
                <wp:posOffset>312420</wp:posOffset>
              </wp:positionV>
              <wp:extent cx="1957070" cy="79375"/>
              <wp:wrapNone/>
              <wp:docPr id="2627" name="Shape 2627"/>
              <a:graphic xmlns:a="http://schemas.openxmlformats.org/drawingml/2006/main">
                <a:graphicData uri="http://schemas.microsoft.com/office/word/2010/wordprocessingShape">
                  <wps:wsp>
                    <wps:cNvSpPr txBox="1"/>
                    <wps:spPr>
                      <a:xfrm>
                        <a:ext cx="195707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RACIONAl.IZAM/RAČDNANJE VREMENA / RAD</w:t>
                          </w:r>
                        </w:p>
                      </w:txbxContent>
                    </wps:txbx>
                    <wps:bodyPr wrap="none" lIns="0" tIns="0" rIns="0" bIns="0">
                      <a:spAutoFit/>
                    </wps:bodyPr>
                  </wps:wsp>
                </a:graphicData>
              </a:graphic>
            </wp:anchor>
          </w:drawing>
        </mc:Choice>
        <mc:Fallback>
          <w:pict>
            <v:shape id="_x0000_s3653" type="#_x0000_t202" style="position:absolute;margin-left:173.5pt;margin-top:24.600000000000001pt;width:154.09999999999999pt;height:6.25pt;z-index:-1887420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RACIONAl.IZAM/RAČDNANJE VREMENA / RAD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430530</wp:posOffset>
              </wp:positionV>
              <wp:extent cx="4017010" cy="0"/>
              <wp:wrapNone/>
              <wp:docPr id="2629" name="Shape 262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33.899999999999999pt;width:316.30000000000001pt;height:0;z-index:-251658240;mso-position-horizontal-relative:page;mso-position-vertical-relative:page">
              <v:stroke weight="1.pt"/>
            </v:shape>
          </w:pict>
        </mc:Fallback>
      </mc:AlternateContent>
    </w:r>
  </w:p>
</w:hdr>
</file>

<file path=word/header6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12" behindDoc="1" locked="0" layoutInCell="1" allowOverlap="1">
              <wp:simplePos x="0" y="0"/>
              <wp:positionH relativeFrom="page">
                <wp:posOffset>3992880</wp:posOffset>
              </wp:positionH>
              <wp:positionV relativeFrom="page">
                <wp:posOffset>440055</wp:posOffset>
              </wp:positionV>
              <wp:extent cx="176530" cy="60960"/>
              <wp:wrapNone/>
              <wp:docPr id="2632" name="Shape 2632"/>
              <a:graphic xmlns:a="http://schemas.openxmlformats.org/drawingml/2006/main">
                <a:graphicData uri="http://schemas.microsoft.com/office/word/2010/wordprocessingShape">
                  <wps:wsp>
                    <wps:cNvSpPr txBox="1"/>
                    <wps:spPr>
                      <a:xfrm>
                        <a:ext cx="1765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RAD</w:t>
                          </w:r>
                        </w:p>
                      </w:txbxContent>
                    </wps:txbx>
                    <wps:bodyPr wrap="none" lIns="0" tIns="0" rIns="0" bIns="0">
                      <a:spAutoFit/>
                    </wps:bodyPr>
                  </wps:wsp>
                </a:graphicData>
              </a:graphic>
            </wp:anchor>
          </w:drawing>
        </mc:Choice>
        <mc:Fallback>
          <w:pict>
            <v:shape id="_x0000_s3658" type="#_x0000_t202" style="position:absolute;margin-left:314.39999999999998pt;margin-top:34.649999999999999pt;width:13.9pt;height:4.7999999999999998pt;z-index:-1887420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RAD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537210</wp:posOffset>
              </wp:positionV>
              <wp:extent cx="4020185" cy="0"/>
              <wp:wrapNone/>
              <wp:docPr id="2634" name="Shape 263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42.299999999999997pt;width:316.55000000000001pt;height:0;z-index:-251658240;mso-position-horizontal-relative:page;mso-position-vertical-relative:page">
              <v:stroke weight="1.pt"/>
            </v:shape>
          </w:pict>
        </mc:Fallback>
      </mc:AlternateContent>
    </w:r>
  </w:p>
</w:hdr>
</file>

<file path=word/header6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16" behindDoc="1" locked="0" layoutInCell="1" allowOverlap="1">
              <wp:simplePos x="0" y="0"/>
              <wp:positionH relativeFrom="page">
                <wp:posOffset>3992880</wp:posOffset>
              </wp:positionH>
              <wp:positionV relativeFrom="page">
                <wp:posOffset>440055</wp:posOffset>
              </wp:positionV>
              <wp:extent cx="176530" cy="60960"/>
              <wp:wrapNone/>
              <wp:docPr id="2637" name="Shape 2637"/>
              <a:graphic xmlns:a="http://schemas.openxmlformats.org/drawingml/2006/main">
                <a:graphicData uri="http://schemas.microsoft.com/office/word/2010/wordprocessingShape">
                  <wps:wsp>
                    <wps:cNvSpPr txBox="1"/>
                    <wps:spPr>
                      <a:xfrm>
                        <a:ext cx="1765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RAD</w:t>
                          </w:r>
                        </w:p>
                      </w:txbxContent>
                    </wps:txbx>
                    <wps:bodyPr wrap="none" lIns="0" tIns="0" rIns="0" bIns="0">
                      <a:spAutoFit/>
                    </wps:bodyPr>
                  </wps:wsp>
                </a:graphicData>
              </a:graphic>
            </wp:anchor>
          </w:drawing>
        </mc:Choice>
        <mc:Fallback>
          <w:pict>
            <v:shape id="_x0000_s3663" type="#_x0000_t202" style="position:absolute;margin-left:314.39999999999998pt;margin-top:34.649999999999999pt;width:13.9pt;height:4.7999999999999998pt;z-index:-1887420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RAD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537210</wp:posOffset>
              </wp:positionV>
              <wp:extent cx="4020185" cy="0"/>
              <wp:wrapNone/>
              <wp:docPr id="2639" name="Shape 263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42.299999999999997pt;width:316.55000000000001pt;height:0;z-index:-251658240;mso-position-horizontal-relative:page;mso-position-vertical-relative:page">
              <v:stroke weight="1.pt"/>
            </v:shape>
          </w:pict>
        </mc:Fallback>
      </mc:AlternateContent>
    </w:r>
  </w:p>
</w:hdr>
</file>

<file path=word/header6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20" behindDoc="1" locked="0" layoutInCell="1" allowOverlap="1">
              <wp:simplePos x="0" y="0"/>
              <wp:positionH relativeFrom="page">
                <wp:posOffset>163195</wp:posOffset>
              </wp:positionH>
              <wp:positionV relativeFrom="page">
                <wp:posOffset>444500</wp:posOffset>
              </wp:positionV>
              <wp:extent cx="182880" cy="60960"/>
              <wp:wrapNone/>
              <wp:docPr id="2642" name="Shape 2642"/>
              <a:graphic xmlns:a="http://schemas.openxmlformats.org/drawingml/2006/main">
                <a:graphicData uri="http://schemas.microsoft.com/office/word/2010/wordprocessingShape">
                  <wps:wsp>
                    <wps:cNvSpPr txBox="1"/>
                    <wps:spPr>
                      <a:xfrm>
                        <a:ext cx="18288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RAD</w:t>
                          </w:r>
                        </w:p>
                      </w:txbxContent>
                    </wps:txbx>
                    <wps:bodyPr wrap="none" lIns="0" tIns="0" rIns="0" bIns="0">
                      <a:spAutoFit/>
                    </wps:bodyPr>
                  </wps:wsp>
                </a:graphicData>
              </a:graphic>
            </wp:anchor>
          </w:drawing>
        </mc:Choice>
        <mc:Fallback>
          <w:pict>
            <v:shape id="_x0000_s3668" type="#_x0000_t202" style="position:absolute;margin-left:12.85pt;margin-top:35.pt;width:14.4pt;height:4.7999999999999998pt;z-index:-1887420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RAD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160020</wp:posOffset>
              </wp:positionH>
              <wp:positionV relativeFrom="page">
                <wp:posOffset>545465</wp:posOffset>
              </wp:positionV>
              <wp:extent cx="4023360" cy="0"/>
              <wp:wrapNone/>
              <wp:docPr id="2644" name="Shape 264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6pt;margin-top:42.950000000000003pt;width:316.80000000000001pt;height:0;z-index:-251658240;mso-position-horizontal-relative:page;mso-position-vertical-relative:page">
              <v:stroke weight="1.pt"/>
            </v:shape>
          </w:pict>
        </mc:Fallback>
      </mc:AlternateContent>
    </w:r>
  </w:p>
</w:hdr>
</file>

<file path=word/header6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24" behindDoc="1" locked="0" layoutInCell="1" allowOverlap="1">
              <wp:simplePos x="0" y="0"/>
              <wp:positionH relativeFrom="page">
                <wp:posOffset>4001770</wp:posOffset>
              </wp:positionH>
              <wp:positionV relativeFrom="page">
                <wp:posOffset>434340</wp:posOffset>
              </wp:positionV>
              <wp:extent cx="173990" cy="64135"/>
              <wp:wrapNone/>
              <wp:docPr id="2647" name="Shape 2647"/>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wps:txbx>
                    <wps:bodyPr wrap="none" lIns="0" tIns="0" rIns="0" bIns="0">
                      <a:spAutoFit/>
                    </wps:bodyPr>
                  </wps:wsp>
                </a:graphicData>
              </a:graphic>
            </wp:anchor>
          </w:drawing>
        </mc:Choice>
        <mc:Fallback>
          <w:pict>
            <v:shape id="_x0000_s3673" type="#_x0000_t202" style="position:absolute;margin-left:315.10000000000002pt;margin-top:34.200000000000003pt;width:13.699999999999999pt;height:5.0499999999999998pt;z-index:-1887420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533400</wp:posOffset>
              </wp:positionV>
              <wp:extent cx="4014470" cy="0"/>
              <wp:wrapNone/>
              <wp:docPr id="2649" name="Shape 264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pt;margin-top:42.pt;width:316.10000000000002pt;height:0;z-index:-251658240;mso-position-horizontal-relative:page;mso-position-vertical-relative:page">
              <v:stroke weight="1.pt"/>
            </v:shape>
          </w:pict>
        </mc:Fallback>
      </mc:AlternateContent>
    </w:r>
  </w:p>
</w:hdr>
</file>

<file path=word/header6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28" behindDoc="1" locked="0" layoutInCell="1" allowOverlap="1">
              <wp:simplePos x="0" y="0"/>
              <wp:positionH relativeFrom="page">
                <wp:posOffset>4001770</wp:posOffset>
              </wp:positionH>
              <wp:positionV relativeFrom="page">
                <wp:posOffset>434340</wp:posOffset>
              </wp:positionV>
              <wp:extent cx="173990" cy="64135"/>
              <wp:wrapNone/>
              <wp:docPr id="2652" name="Shape 2652"/>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wps:txbx>
                    <wps:bodyPr wrap="none" lIns="0" tIns="0" rIns="0" bIns="0">
                      <a:spAutoFit/>
                    </wps:bodyPr>
                  </wps:wsp>
                </a:graphicData>
              </a:graphic>
            </wp:anchor>
          </w:drawing>
        </mc:Choice>
        <mc:Fallback>
          <w:pict>
            <v:shape id="_x0000_s3678" type="#_x0000_t202" style="position:absolute;margin-left:315.10000000000002pt;margin-top:34.200000000000003pt;width:13.699999999999999pt;height:5.0499999999999998pt;z-index:-1887420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533400</wp:posOffset>
              </wp:positionV>
              <wp:extent cx="4014470" cy="0"/>
              <wp:wrapNone/>
              <wp:docPr id="2654" name="Shape 265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pt;margin-top:42.pt;width:316.10000000000002pt;height:0;z-index:-251658240;mso-position-horizontal-relative:page;mso-position-vertical-relative:page">
              <v:stroke weight="1.pt"/>
            </v:shape>
          </w:pict>
        </mc:Fallback>
      </mc:AlternateContent>
    </w:r>
  </w:p>
</w:hdr>
</file>

<file path=word/header6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32" behindDoc="1" locked="0" layoutInCell="1" allowOverlap="1">
              <wp:simplePos x="0" y="0"/>
              <wp:positionH relativeFrom="page">
                <wp:posOffset>152400</wp:posOffset>
              </wp:positionH>
              <wp:positionV relativeFrom="page">
                <wp:posOffset>440055</wp:posOffset>
              </wp:positionV>
              <wp:extent cx="570230" cy="67310"/>
              <wp:wrapNone/>
              <wp:docPr id="2657" name="Shape 2657"/>
              <a:graphic xmlns:a="http://schemas.openxmlformats.org/drawingml/2006/main">
                <a:graphicData uri="http://schemas.microsoft.com/office/word/2010/wordprocessingShape">
                  <wps:wsp>
                    <wps:cNvSpPr txBox="1"/>
                    <wps:spPr>
                      <a:xfrm>
                        <a:ext cx="5702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RAD.-RAJ/RAT</w:t>
                          </w:r>
                        </w:p>
                      </w:txbxContent>
                    </wps:txbx>
                    <wps:bodyPr wrap="none" lIns="0" tIns="0" rIns="0" bIns="0">
                      <a:spAutoFit/>
                    </wps:bodyPr>
                  </wps:wsp>
                </a:graphicData>
              </a:graphic>
            </wp:anchor>
          </w:drawing>
        </mc:Choice>
        <mc:Fallback>
          <w:pict>
            <v:shape id="_x0000_s3683" type="#_x0000_t202" style="position:absolute;margin-left:12.pt;margin-top:34.649999999999999pt;width:44.899999999999999pt;height:5.2999999999999998pt;z-index:-1887420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RAD.-RAJ/RAT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537210</wp:posOffset>
              </wp:positionV>
              <wp:extent cx="4020185" cy="0"/>
              <wp:wrapNone/>
              <wp:docPr id="2659" name="Shape 265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75pt;margin-top:42.299999999999997pt;width:316.55000000000001pt;height:0;z-index:-251658240;mso-position-horizontal-relative:page;mso-position-vertical-relative:page">
              <v:stroke weight="1.pt"/>
            </v:shape>
          </w:pict>
        </mc:Fallback>
      </mc:AlternateContent>
    </w:r>
  </w:p>
</w:hdr>
</file>

<file path=word/header6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36" behindDoc="1" locked="0" layoutInCell="1" allowOverlap="1">
              <wp:simplePos x="0" y="0"/>
              <wp:positionH relativeFrom="page">
                <wp:posOffset>146050</wp:posOffset>
              </wp:positionH>
              <wp:positionV relativeFrom="page">
                <wp:posOffset>436880</wp:posOffset>
              </wp:positionV>
              <wp:extent cx="179705" cy="64135"/>
              <wp:wrapNone/>
              <wp:docPr id="2662" name="Shape 2662"/>
              <a:graphic xmlns:a="http://schemas.openxmlformats.org/drawingml/2006/main">
                <a:graphicData uri="http://schemas.microsoft.com/office/word/2010/wordprocessingShape">
                  <wps:wsp>
                    <wps:cNvSpPr txBox="1"/>
                    <wps:spPr>
                      <a:xfrm>
                        <a:ext cx="1797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wps:txbx>
                    <wps:bodyPr wrap="none" lIns="0" tIns="0" rIns="0" bIns="0">
                      <a:spAutoFit/>
                    </wps:bodyPr>
                  </wps:wsp>
                </a:graphicData>
              </a:graphic>
            </wp:anchor>
          </w:drawing>
        </mc:Choice>
        <mc:Fallback>
          <w:pict>
            <v:shape id="_x0000_s3688" type="#_x0000_t202" style="position:absolute;margin-left:11.5pt;margin-top:34.399999999999999pt;width:14.15pt;height:5.0499999999999998pt;z-index:-1887420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530225</wp:posOffset>
              </wp:positionV>
              <wp:extent cx="4026535" cy="0"/>
              <wp:wrapNone/>
              <wp:docPr id="2664" name="Shape 2664"/>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050000000000001pt;margin-top:41.75pt;width:317.05000000000001pt;height:0;z-index:-251658240;mso-position-horizontal-relative:page;mso-position-vertical-relative:page">
              <v:stroke weight="1.pt"/>
            </v:shape>
          </w:pict>
        </mc:Fallback>
      </mc:AlternateContent>
    </w:r>
  </w:p>
</w:hdr>
</file>

<file path=word/header6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40" behindDoc="1" locked="0" layoutInCell="1" allowOverlap="1">
              <wp:simplePos x="0" y="0"/>
              <wp:positionH relativeFrom="page">
                <wp:posOffset>146050</wp:posOffset>
              </wp:positionH>
              <wp:positionV relativeFrom="page">
                <wp:posOffset>436880</wp:posOffset>
              </wp:positionV>
              <wp:extent cx="179705" cy="64135"/>
              <wp:wrapNone/>
              <wp:docPr id="2667" name="Shape 2667"/>
              <a:graphic xmlns:a="http://schemas.openxmlformats.org/drawingml/2006/main">
                <a:graphicData uri="http://schemas.microsoft.com/office/word/2010/wordprocessingShape">
                  <wps:wsp>
                    <wps:cNvSpPr txBox="1"/>
                    <wps:spPr>
                      <a:xfrm>
                        <a:ext cx="1797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wps:txbx>
                    <wps:bodyPr wrap="none" lIns="0" tIns="0" rIns="0" bIns="0">
                      <a:spAutoFit/>
                    </wps:bodyPr>
                  </wps:wsp>
                </a:graphicData>
              </a:graphic>
            </wp:anchor>
          </w:drawing>
        </mc:Choice>
        <mc:Fallback>
          <w:pict>
            <v:shape id="_x0000_s3693" type="#_x0000_t202" style="position:absolute;margin-left:11.5pt;margin-top:34.399999999999999pt;width:14.15pt;height:5.0499999999999998pt;z-index:-1887420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530225</wp:posOffset>
              </wp:positionV>
              <wp:extent cx="4026535" cy="0"/>
              <wp:wrapNone/>
              <wp:docPr id="2669" name="Shape 266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050000000000001pt;margin-top:41.75pt;width:317.05000000000001pt;height:0;z-index:-251658240;mso-position-horizontal-relative:page;mso-position-vertical-relative:page">
              <v:stroke weight="1.pt"/>
            </v:shape>
          </w:pict>
        </mc:Fallback>
      </mc:AlternateContent>
    </w:r>
  </w:p>
</w:hdr>
</file>

<file path=word/header6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44" behindDoc="1" locked="0" layoutInCell="1" allowOverlap="1">
              <wp:simplePos x="0" y="0"/>
              <wp:positionH relativeFrom="page">
                <wp:posOffset>4004945</wp:posOffset>
              </wp:positionH>
              <wp:positionV relativeFrom="page">
                <wp:posOffset>327660</wp:posOffset>
              </wp:positionV>
              <wp:extent cx="173990" cy="60960"/>
              <wp:wrapNone/>
              <wp:docPr id="2672" name="Shape 2672"/>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wps:txbx>
                    <wps:bodyPr wrap="none" lIns="0" tIns="0" rIns="0" bIns="0">
                      <a:spAutoFit/>
                    </wps:bodyPr>
                  </wps:wsp>
                </a:graphicData>
              </a:graphic>
            </wp:anchor>
          </w:drawing>
        </mc:Choice>
        <mc:Fallback>
          <w:pict>
            <v:shape id="_x0000_s3698" type="#_x0000_t202" style="position:absolute;margin-left:315.35000000000002pt;margin-top:25.800000000000001pt;width:13.699999999999999pt;height:4.7999999999999998pt;z-index:-1887420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421640</wp:posOffset>
              </wp:positionV>
              <wp:extent cx="4020185" cy="0"/>
              <wp:wrapNone/>
              <wp:docPr id="2674" name="Shape 267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pt;margin-top:33.200000000000003pt;width:316.55000000000001pt;height:0;z-index:-251658240;mso-position-horizontal-relative:page;mso-position-vertical-relative:page">
              <v:stroke weight="1.pt"/>
            </v:shape>
          </w:pict>
        </mc:Fallback>
      </mc:AlternateContent>
    </w:r>
  </w:p>
</w:hdr>
</file>

<file path=word/header6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46" behindDoc="1" locked="0" layoutInCell="1" allowOverlap="1">
              <wp:simplePos x="0" y="0"/>
              <wp:positionH relativeFrom="page">
                <wp:posOffset>4004945</wp:posOffset>
              </wp:positionH>
              <wp:positionV relativeFrom="page">
                <wp:posOffset>327660</wp:posOffset>
              </wp:positionV>
              <wp:extent cx="173990" cy="60960"/>
              <wp:wrapNone/>
              <wp:docPr id="2675" name="Shape 2675"/>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wps:txbx>
                    <wps:bodyPr wrap="none" lIns="0" tIns="0" rIns="0" bIns="0">
                      <a:spAutoFit/>
                    </wps:bodyPr>
                  </wps:wsp>
                </a:graphicData>
              </a:graphic>
            </wp:anchor>
          </w:drawing>
        </mc:Choice>
        <mc:Fallback>
          <w:pict>
            <v:shape id="_x0000_s3701" type="#_x0000_t202" style="position:absolute;margin-left:315.35000000000002pt;margin-top:25.800000000000001pt;width:13.699999999999999pt;height:4.7999999999999998pt;z-index:-1887420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421640</wp:posOffset>
              </wp:positionV>
              <wp:extent cx="4020185" cy="0"/>
              <wp:wrapNone/>
              <wp:docPr id="2677" name="Shape 267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pt;margin-top:33.200000000000003pt;width:316.55000000000001pt;height:0;z-index:-251658240;mso-position-horizontal-relative:page;mso-position-vertical-relative:page">
              <v:stroke weight="1.pt"/>
            </v:shape>
          </w:pict>
        </mc:Fallback>
      </mc:AlternateContent>
    </w:r>
  </w:p>
</w:hdr>
</file>

<file path=word/header6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48" behindDoc="1" locked="0" layoutInCell="1" allowOverlap="1">
              <wp:simplePos x="0" y="0"/>
              <wp:positionH relativeFrom="page">
                <wp:posOffset>3775075</wp:posOffset>
              </wp:positionH>
              <wp:positionV relativeFrom="page">
                <wp:posOffset>434340</wp:posOffset>
              </wp:positionV>
              <wp:extent cx="389890" cy="64135"/>
              <wp:wrapNone/>
              <wp:docPr id="2680" name="Shape 2680"/>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06" type="#_x0000_t202" style="position:absolute;margin-left:297.25pt;margin-top:34.200000000000003pt;width:30.699999999999999pt;height:5.0499999999999998pt;z-index:-1887420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537210</wp:posOffset>
              </wp:positionV>
              <wp:extent cx="4020185" cy="0"/>
              <wp:wrapNone/>
              <wp:docPr id="2682" name="Shape 268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5pt;margin-top:42.299999999999997pt;width:316.55000000000001pt;height:0;z-index:-251658240;mso-position-horizontal-relative:page;mso-position-vertical-relative:page">
              <v:stroke weight="1.pt"/>
            </v:shape>
          </w:pict>
        </mc:Fallback>
      </mc:AlternateContent>
    </w:r>
  </w:p>
</w:hdr>
</file>

<file path=word/header6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52" behindDoc="1" locked="0" layoutInCell="1" allowOverlap="1">
              <wp:simplePos x="0" y="0"/>
              <wp:positionH relativeFrom="page">
                <wp:posOffset>3775075</wp:posOffset>
              </wp:positionH>
              <wp:positionV relativeFrom="page">
                <wp:posOffset>434340</wp:posOffset>
              </wp:positionV>
              <wp:extent cx="389890" cy="64135"/>
              <wp:wrapNone/>
              <wp:docPr id="2685" name="Shape 2685"/>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11" type="#_x0000_t202" style="position:absolute;margin-left:297.25pt;margin-top:34.200000000000003pt;width:30.699999999999999pt;height:5.0499999999999998pt;z-index:-1887420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537210</wp:posOffset>
              </wp:positionV>
              <wp:extent cx="4020185" cy="0"/>
              <wp:wrapNone/>
              <wp:docPr id="2687" name="Shape 268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5pt;margin-top:42.299999999999997pt;width:316.55000000000001pt;height:0;z-index:-251658240;mso-position-horizontal-relative:page;mso-position-vertical-relative:page">
              <v:stroke weight="1.pt"/>
            </v:shape>
          </w:pict>
        </mc:Fallback>
      </mc:AlternateContent>
    </w:r>
  </w:p>
</w:hdr>
</file>

<file path=word/header6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56" behindDoc="1" locked="0" layoutInCell="1" allowOverlap="1">
              <wp:simplePos x="0" y="0"/>
              <wp:positionH relativeFrom="page">
                <wp:posOffset>153670</wp:posOffset>
              </wp:positionH>
              <wp:positionV relativeFrom="page">
                <wp:posOffset>435610</wp:posOffset>
              </wp:positionV>
              <wp:extent cx="591185" cy="69850"/>
              <wp:wrapNone/>
              <wp:docPr id="2690" name="Shape 2690"/>
              <a:graphic xmlns:a="http://schemas.openxmlformats.org/drawingml/2006/main">
                <a:graphicData uri="http://schemas.microsoft.com/office/word/2010/wordprocessingShape">
                  <wps:wsp>
                    <wps:cNvSpPr txBox="1"/>
                    <wps:spPr>
                      <a:xfrm>
                        <a:ext cx="59118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RAT/REUG1JA</w:t>
                          </w:r>
                        </w:p>
                      </w:txbxContent>
                    </wps:txbx>
                    <wps:bodyPr wrap="none" lIns="0" tIns="0" rIns="0" bIns="0">
                      <a:spAutoFit/>
                    </wps:bodyPr>
                  </wps:wsp>
                </a:graphicData>
              </a:graphic>
            </wp:anchor>
          </w:drawing>
        </mc:Choice>
        <mc:Fallback>
          <w:pict>
            <v:shape id="_x0000_s3716" type="#_x0000_t202" style="position:absolute;margin-left:12.1pt;margin-top:34.299999999999997pt;width:46.549999999999997pt;height:5.5pt;z-index:-1887419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RAT/REUG1JA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529590</wp:posOffset>
              </wp:positionV>
              <wp:extent cx="4017010" cy="0"/>
              <wp:wrapNone/>
              <wp:docPr id="2692" name="Shape 269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41.700000000000003pt;width:316.30000000000001pt;height:0;z-index:-251658240;mso-position-horizontal-relative:page;mso-position-vertical-relative:page">
              <v:stroke weight="1.pt"/>
            </v:shape>
          </w:pict>
        </mc:Fallback>
      </mc:AlternateContent>
    </w:r>
  </w:p>
</w:hdr>
</file>

<file path=word/header6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60" behindDoc="1" locked="0" layoutInCell="1" allowOverlap="1">
              <wp:simplePos x="0" y="0"/>
              <wp:positionH relativeFrom="page">
                <wp:posOffset>153670</wp:posOffset>
              </wp:positionH>
              <wp:positionV relativeFrom="page">
                <wp:posOffset>440055</wp:posOffset>
              </wp:positionV>
              <wp:extent cx="389890" cy="64135"/>
              <wp:wrapNone/>
              <wp:docPr id="2695" name="Shape 2695"/>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21" type="#_x0000_t202" style="position:absolute;margin-left:12.1pt;margin-top:34.649999999999999pt;width:30.699999999999999pt;height:5.0499999999999998pt;z-index:-1887419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537845</wp:posOffset>
              </wp:positionV>
              <wp:extent cx="4029710" cy="0"/>
              <wp:wrapNone/>
              <wp:docPr id="2697" name="Shape 2697"/>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65pt;margin-top:42.350000000000001pt;width:317.30000000000001pt;height:0;z-index:-251658240;mso-position-horizontal-relative:page;mso-position-vertical-relative:page">
              <v:stroke weight="1.pt"/>
            </v:shape>
          </w:pict>
        </mc:Fallback>
      </mc:AlternateContent>
    </w:r>
  </w:p>
</w:hdr>
</file>

<file path=word/header6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64" behindDoc="1" locked="0" layoutInCell="1" allowOverlap="1">
              <wp:simplePos x="0" y="0"/>
              <wp:positionH relativeFrom="page">
                <wp:posOffset>153670</wp:posOffset>
              </wp:positionH>
              <wp:positionV relativeFrom="page">
                <wp:posOffset>440055</wp:posOffset>
              </wp:positionV>
              <wp:extent cx="389890" cy="64135"/>
              <wp:wrapNone/>
              <wp:docPr id="2700" name="Shape 2700"/>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26" type="#_x0000_t202" style="position:absolute;margin-left:12.1pt;margin-top:34.649999999999999pt;width:30.699999999999999pt;height:5.0499999999999998pt;z-index:-1887419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537845</wp:posOffset>
              </wp:positionV>
              <wp:extent cx="4029710" cy="0"/>
              <wp:wrapNone/>
              <wp:docPr id="2702" name="Shape 2702"/>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65pt;margin-top:42.350000000000001pt;width:317.30000000000001pt;height:0;z-index:-251658240;mso-position-horizontal-relative:page;mso-position-vertical-relative:page">
              <v:stroke weight="1.pt"/>
            </v:shape>
          </w:pict>
        </mc:Fallback>
      </mc:AlternateContent>
    </w:r>
  </w:p>
</w:hdr>
</file>

<file path=word/header6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68" behindDoc="1" locked="0" layoutInCell="1" allowOverlap="1">
              <wp:simplePos x="0" y="0"/>
              <wp:positionH relativeFrom="page">
                <wp:posOffset>3773170</wp:posOffset>
              </wp:positionH>
              <wp:positionV relativeFrom="page">
                <wp:posOffset>336550</wp:posOffset>
              </wp:positionV>
              <wp:extent cx="393065" cy="64135"/>
              <wp:wrapNone/>
              <wp:docPr id="2705" name="Shape 2705"/>
              <a:graphic xmlns:a="http://schemas.openxmlformats.org/drawingml/2006/main">
                <a:graphicData uri="http://schemas.microsoft.com/office/word/2010/wordprocessingShape">
                  <wps:wsp>
                    <wps:cNvSpPr txBox="1"/>
                    <wps:spPr>
                      <a:xfrm>
                        <a:ext cx="393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31" type="#_x0000_t202" style="position:absolute;margin-left:297.10000000000002pt;margin-top:26.5pt;width:30.949999999999999pt;height:5.0499999999999998pt;z-index:-1887419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137160</wp:posOffset>
              </wp:positionH>
              <wp:positionV relativeFrom="page">
                <wp:posOffset>441960</wp:posOffset>
              </wp:positionV>
              <wp:extent cx="4029710" cy="0"/>
              <wp:wrapNone/>
              <wp:docPr id="2707" name="Shape 2707"/>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0.800000000000001pt;margin-top:34.799999999999997pt;width:317.30000000000001pt;height:0;z-index:-251658240;mso-position-horizontal-relative:page;mso-position-vertical-relative:page">
              <v:stroke weight="1.pt"/>
            </v:shape>
          </w:pict>
        </mc:Fallback>
      </mc:AlternateContent>
    </w:r>
  </w:p>
</w:hdr>
</file>

<file path=word/header6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70" behindDoc="1" locked="0" layoutInCell="1" allowOverlap="1">
              <wp:simplePos x="0" y="0"/>
              <wp:positionH relativeFrom="page">
                <wp:posOffset>3773170</wp:posOffset>
              </wp:positionH>
              <wp:positionV relativeFrom="page">
                <wp:posOffset>336550</wp:posOffset>
              </wp:positionV>
              <wp:extent cx="393065" cy="64135"/>
              <wp:wrapNone/>
              <wp:docPr id="2708" name="Shape 2708"/>
              <a:graphic xmlns:a="http://schemas.openxmlformats.org/drawingml/2006/main">
                <a:graphicData uri="http://schemas.microsoft.com/office/word/2010/wordprocessingShape">
                  <wps:wsp>
                    <wps:cNvSpPr txBox="1"/>
                    <wps:spPr>
                      <a:xfrm>
                        <a:ext cx="393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34" type="#_x0000_t202" style="position:absolute;margin-left:297.10000000000002pt;margin-top:26.5pt;width:30.949999999999999pt;height:5.0499999999999998pt;z-index:-1887419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137160</wp:posOffset>
              </wp:positionH>
              <wp:positionV relativeFrom="page">
                <wp:posOffset>441960</wp:posOffset>
              </wp:positionV>
              <wp:extent cx="4029710" cy="0"/>
              <wp:wrapNone/>
              <wp:docPr id="2710" name="Shape 2710"/>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0.800000000000001pt;margin-top:34.799999999999997pt;width:317.30000000000001pt;height:0;z-index:-251658240;mso-position-horizontal-relative:page;mso-position-vertical-relative:page">
              <v:stroke weight="1.pt"/>
            </v:shape>
          </w:pict>
        </mc:Fallback>
      </mc:AlternateContent>
    </w:r>
  </w:p>
</w:hdr>
</file>

<file path=word/header6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72" behindDoc="1" locked="0" layoutInCell="1" allowOverlap="1">
              <wp:simplePos x="0" y="0"/>
              <wp:positionH relativeFrom="page">
                <wp:posOffset>153670</wp:posOffset>
              </wp:positionH>
              <wp:positionV relativeFrom="page">
                <wp:posOffset>440055</wp:posOffset>
              </wp:positionV>
              <wp:extent cx="389890" cy="64135"/>
              <wp:wrapNone/>
              <wp:docPr id="2711" name="Shape 2711"/>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37" type="#_x0000_t202" style="position:absolute;margin-left:12.1pt;margin-top:34.649999999999999pt;width:30.699999999999999pt;height:5.0499999999999998pt;z-index:-1887419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537845</wp:posOffset>
              </wp:positionV>
              <wp:extent cx="4029710" cy="0"/>
              <wp:wrapNone/>
              <wp:docPr id="2713" name="Shape 2713"/>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65pt;margin-top:42.350000000000001pt;width:317.30000000000001pt;height:0;z-index:-251658240;mso-position-horizontal-relative:page;mso-position-vertical-relative:page">
              <v:stroke weight="1.pt"/>
            </v:shape>
          </w:pict>
        </mc:Fallback>
      </mc:AlternateContent>
    </w:r>
  </w:p>
</w:hdr>
</file>

<file path=word/header6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76" behindDoc="1" locked="0" layoutInCell="1" allowOverlap="1">
              <wp:simplePos x="0" y="0"/>
              <wp:positionH relativeFrom="page">
                <wp:posOffset>153670</wp:posOffset>
              </wp:positionH>
              <wp:positionV relativeFrom="page">
                <wp:posOffset>440055</wp:posOffset>
              </wp:positionV>
              <wp:extent cx="389890" cy="64135"/>
              <wp:wrapNone/>
              <wp:docPr id="2716" name="Shape 2716"/>
              <a:graphic xmlns:a="http://schemas.openxmlformats.org/drawingml/2006/main">
                <a:graphicData uri="http://schemas.microsoft.com/office/word/2010/wordprocessingShape">
                  <wps:wsp>
                    <wps:cNvSpPr txBox="1"/>
                    <wps:spPr>
                      <a:xfrm>
                        <a:ext cx="3898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wps:txbx>
                    <wps:bodyPr wrap="none" lIns="0" tIns="0" rIns="0" bIns="0">
                      <a:spAutoFit/>
                    </wps:bodyPr>
                  </wps:wsp>
                </a:graphicData>
              </a:graphic>
            </wp:anchor>
          </w:drawing>
        </mc:Choice>
        <mc:Fallback>
          <w:pict>
            <v:shape id="_x0000_s3742" type="#_x0000_t202" style="position:absolute;margin-left:12.1pt;margin-top:34.649999999999999pt;width:30.699999999999999pt;height:5.0499999999999998pt;z-index:-1887419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537845</wp:posOffset>
              </wp:positionV>
              <wp:extent cx="4029710" cy="0"/>
              <wp:wrapNone/>
              <wp:docPr id="2718" name="Shape 2718"/>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65pt;margin-top:42.350000000000001pt;width:317.30000000000001pt;height:0;z-index:-251658240;mso-position-horizontal-relative:page;mso-position-vertical-relative:page">
              <v:stroke weight="1.pt"/>
            </v:shape>
          </w:pict>
        </mc:Fallback>
      </mc:AlternateContent>
    </w:r>
  </w:p>
</w:hdr>
</file>

<file path=word/header6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80" behindDoc="1" locked="0" layoutInCell="1" allowOverlap="1">
              <wp:simplePos x="0" y="0"/>
              <wp:positionH relativeFrom="page">
                <wp:posOffset>2668270</wp:posOffset>
              </wp:positionH>
              <wp:positionV relativeFrom="page">
                <wp:posOffset>324485</wp:posOffset>
              </wp:positionV>
              <wp:extent cx="1502410" cy="64135"/>
              <wp:wrapNone/>
              <wp:docPr id="2721" name="Shape 2721"/>
              <a:graphic xmlns:a="http://schemas.openxmlformats.org/drawingml/2006/main">
                <a:graphicData uri="http://schemas.microsoft.com/office/word/2010/wordprocessingShape">
                  <wps:wsp>
                    <wps:cNvSpPr txBox="1"/>
                    <wps:spPr>
                      <a:xfrm>
                        <a:ext cx="1502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REL1G1JA/RELIGIJSKA </w:t>
                          </w:r>
                          <w:r>
                            <w:rPr>
                              <w:color w:val="000000"/>
                              <w:spacing w:val="0"/>
                              <w:w w:val="100"/>
                              <w:position w:val="0"/>
                              <w:shd w:val="clear" w:color="auto" w:fill="auto"/>
                              <w:lang w:val="hr-HR" w:eastAsia="hr-HR" w:bidi="hr-HR"/>
                            </w:rPr>
                            <w:t>PEDAGOGIJA</w:t>
                          </w:r>
                        </w:p>
                      </w:txbxContent>
                    </wps:txbx>
                    <wps:bodyPr wrap="none" lIns="0" tIns="0" rIns="0" bIns="0">
                      <a:spAutoFit/>
                    </wps:bodyPr>
                  </wps:wsp>
                </a:graphicData>
              </a:graphic>
            </wp:anchor>
          </w:drawing>
        </mc:Choice>
        <mc:Fallback>
          <w:pict>
            <v:shape id="_x0000_s3747" type="#_x0000_t202" style="position:absolute;margin-left:210.09999999999999pt;margin-top:25.550000000000001pt;width:118.3pt;height:5.0499999999999998pt;z-index:-1887419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REL1G1JA/RELIGIJSKA </w:t>
                    </w:r>
                    <w:r>
                      <w:rPr>
                        <w:color w:val="000000"/>
                        <w:spacing w:val="0"/>
                        <w:w w:val="100"/>
                        <w:position w:val="0"/>
                        <w:shd w:val="clear" w:color="auto" w:fill="auto"/>
                        <w:lang w:val="hr-HR" w:eastAsia="hr-HR" w:bidi="hr-HR"/>
                      </w:rPr>
                      <w:t>PEDAGOGIJA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424815</wp:posOffset>
              </wp:positionV>
              <wp:extent cx="4017010" cy="0"/>
              <wp:wrapNone/>
              <wp:docPr id="2723" name="Shape 272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33.450000000000003pt;width:316.30000000000001pt;height:0;z-index:-251658240;mso-position-horizontal-relative:page;mso-position-vertical-relative:page">
              <v:stroke weight="1.pt"/>
            </v:shape>
          </w:pict>
        </mc:Fallback>
      </mc:AlternateContent>
    </w:r>
  </w:p>
</w:hdr>
</file>

<file path=word/header6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82" behindDoc="1" locked="0" layoutInCell="1" allowOverlap="1">
              <wp:simplePos x="0" y="0"/>
              <wp:positionH relativeFrom="page">
                <wp:posOffset>2668270</wp:posOffset>
              </wp:positionH>
              <wp:positionV relativeFrom="page">
                <wp:posOffset>324485</wp:posOffset>
              </wp:positionV>
              <wp:extent cx="1502410" cy="64135"/>
              <wp:wrapNone/>
              <wp:docPr id="2724" name="Shape 2724"/>
              <a:graphic xmlns:a="http://schemas.openxmlformats.org/drawingml/2006/main">
                <a:graphicData uri="http://schemas.microsoft.com/office/word/2010/wordprocessingShape">
                  <wps:wsp>
                    <wps:cNvSpPr txBox="1"/>
                    <wps:spPr>
                      <a:xfrm>
                        <a:ext cx="1502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REL1G1JA/RELIGIJSKA </w:t>
                          </w:r>
                          <w:r>
                            <w:rPr>
                              <w:color w:val="000000"/>
                              <w:spacing w:val="0"/>
                              <w:w w:val="100"/>
                              <w:position w:val="0"/>
                              <w:shd w:val="clear" w:color="auto" w:fill="auto"/>
                              <w:lang w:val="hr-HR" w:eastAsia="hr-HR" w:bidi="hr-HR"/>
                            </w:rPr>
                            <w:t>PEDAGOGIJA</w:t>
                          </w:r>
                        </w:p>
                      </w:txbxContent>
                    </wps:txbx>
                    <wps:bodyPr wrap="none" lIns="0" tIns="0" rIns="0" bIns="0">
                      <a:spAutoFit/>
                    </wps:bodyPr>
                  </wps:wsp>
                </a:graphicData>
              </a:graphic>
            </wp:anchor>
          </w:drawing>
        </mc:Choice>
        <mc:Fallback>
          <w:pict>
            <v:shape id="_x0000_s3750" type="#_x0000_t202" style="position:absolute;margin-left:210.09999999999999pt;margin-top:25.550000000000001pt;width:118.3pt;height:5.0499999999999998pt;z-index:-1887419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REL1G1JA/RELIGIJSKA </w:t>
                    </w:r>
                    <w:r>
                      <w:rPr>
                        <w:color w:val="000000"/>
                        <w:spacing w:val="0"/>
                        <w:w w:val="100"/>
                        <w:position w:val="0"/>
                        <w:shd w:val="clear" w:color="auto" w:fill="auto"/>
                        <w:lang w:val="hr-HR" w:eastAsia="hr-HR" w:bidi="hr-HR"/>
                      </w:rPr>
                      <w:t>PEDAGOGIJA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424815</wp:posOffset>
              </wp:positionV>
              <wp:extent cx="4017010" cy="0"/>
              <wp:wrapNone/>
              <wp:docPr id="2726" name="Shape 272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33.450000000000003pt;width:316.30000000000001pt;height:0;z-index:-251658240;mso-position-horizontal-relative:page;mso-position-vertical-relative:page">
              <v:stroke weight="1.pt"/>
            </v:shape>
          </w:pict>
        </mc:Fallback>
      </mc:AlternateContent>
    </w:r>
  </w:p>
</w:hdr>
</file>

<file path=word/header6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84" behindDoc="1" locked="0" layoutInCell="1" allowOverlap="1">
              <wp:simplePos x="0" y="0"/>
              <wp:positionH relativeFrom="page">
                <wp:posOffset>3081655</wp:posOffset>
              </wp:positionH>
              <wp:positionV relativeFrom="page">
                <wp:posOffset>438785</wp:posOffset>
              </wp:positionV>
              <wp:extent cx="1078865" cy="64135"/>
              <wp:wrapNone/>
              <wp:docPr id="2727" name="Shape 2727"/>
              <a:graphic xmlns:a="http://schemas.openxmlformats.org/drawingml/2006/main">
                <a:graphicData uri="http://schemas.microsoft.com/office/word/2010/wordprocessingShape">
                  <wps:wsp>
                    <wps:cNvSpPr txBox="1"/>
                    <wps:spPr>
                      <a:xfrm>
                        <a:ext cx="10788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PEDAGOGIJA</w:t>
                          </w:r>
                        </w:p>
                      </w:txbxContent>
                    </wps:txbx>
                    <wps:bodyPr wrap="none" lIns="0" tIns="0" rIns="0" bIns="0">
                      <a:spAutoFit/>
                    </wps:bodyPr>
                  </wps:wsp>
                </a:graphicData>
              </a:graphic>
            </wp:anchor>
          </w:drawing>
        </mc:Choice>
        <mc:Fallback>
          <w:pict>
            <v:shape id="_x0000_s3753" type="#_x0000_t202" style="position:absolute;margin-left:242.65000000000001pt;margin-top:34.549999999999997pt;width:84.950000000000003pt;height:5.0499999999999998pt;z-index:-1887419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541020</wp:posOffset>
              </wp:positionV>
              <wp:extent cx="4011295" cy="0"/>
              <wp:wrapNone/>
              <wp:docPr id="2729" name="Shape 272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75pt;margin-top:42.600000000000001pt;width:315.85000000000002pt;height:0;z-index:-251658240;mso-position-horizontal-relative:page;mso-position-vertical-relative:page">
              <v:stroke weight="1.pt"/>
            </v:shape>
          </w:pict>
        </mc:Fallback>
      </mc:AlternateContent>
    </w:r>
  </w:p>
</w:hdr>
</file>

<file path=word/header6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88" behindDoc="1" locked="0" layoutInCell="1" allowOverlap="1">
              <wp:simplePos x="0" y="0"/>
              <wp:positionH relativeFrom="page">
                <wp:posOffset>3081655</wp:posOffset>
              </wp:positionH>
              <wp:positionV relativeFrom="page">
                <wp:posOffset>438785</wp:posOffset>
              </wp:positionV>
              <wp:extent cx="1078865" cy="64135"/>
              <wp:wrapNone/>
              <wp:docPr id="2732" name="Shape 2732"/>
              <a:graphic xmlns:a="http://schemas.openxmlformats.org/drawingml/2006/main">
                <a:graphicData uri="http://schemas.microsoft.com/office/word/2010/wordprocessingShape">
                  <wps:wsp>
                    <wps:cNvSpPr txBox="1"/>
                    <wps:spPr>
                      <a:xfrm>
                        <a:ext cx="10788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PEDAGOGIJA</w:t>
                          </w:r>
                        </w:p>
                      </w:txbxContent>
                    </wps:txbx>
                    <wps:bodyPr wrap="none" lIns="0" tIns="0" rIns="0" bIns="0">
                      <a:spAutoFit/>
                    </wps:bodyPr>
                  </wps:wsp>
                </a:graphicData>
              </a:graphic>
            </wp:anchor>
          </w:drawing>
        </mc:Choice>
        <mc:Fallback>
          <w:pict>
            <v:shape id="_x0000_s3758" type="#_x0000_t202" style="position:absolute;margin-left:242.65000000000001pt;margin-top:34.549999999999997pt;width:84.950000000000003pt;height:5.0499999999999998pt;z-index:-1887419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541020</wp:posOffset>
              </wp:positionV>
              <wp:extent cx="4011295" cy="0"/>
              <wp:wrapNone/>
              <wp:docPr id="2734" name="Shape 2734"/>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75pt;margin-top:42.600000000000001pt;width:315.85000000000002pt;height:0;z-index:-251658240;mso-position-horizontal-relative:page;mso-position-vertical-relative:page">
              <v:stroke weight="1.pt"/>
            </v:shape>
          </w:pict>
        </mc:Fallback>
      </mc:AlternateContent>
    </w:r>
  </w:p>
</w:hdr>
</file>

<file path=word/header6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92" behindDoc="1" locked="0" layoutInCell="1" allowOverlap="1">
              <wp:simplePos x="0" y="0"/>
              <wp:positionH relativeFrom="page">
                <wp:posOffset>151130</wp:posOffset>
              </wp:positionH>
              <wp:positionV relativeFrom="page">
                <wp:posOffset>436880</wp:posOffset>
              </wp:positionV>
              <wp:extent cx="1090930" cy="64135"/>
              <wp:wrapNone/>
              <wp:docPr id="2737" name="Shape 2737"/>
              <a:graphic xmlns:a="http://schemas.openxmlformats.org/drawingml/2006/main">
                <a:graphicData uri="http://schemas.microsoft.com/office/word/2010/wordprocessingShape">
                  <wps:wsp>
                    <wps:cNvSpPr txBox="1"/>
                    <wps:spPr>
                      <a:xfrm>
                        <a:ext cx="10909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PEDAGOGIJA</w:t>
                          </w:r>
                        </w:p>
                      </w:txbxContent>
                    </wps:txbx>
                    <wps:bodyPr wrap="none" lIns="0" tIns="0" rIns="0" bIns="0">
                      <a:spAutoFit/>
                    </wps:bodyPr>
                  </wps:wsp>
                </a:graphicData>
              </a:graphic>
            </wp:anchor>
          </w:drawing>
        </mc:Choice>
        <mc:Fallback>
          <w:pict>
            <v:shape id="_x0000_s3763" type="#_x0000_t202" style="position:absolute;margin-left:11.9pt;margin-top:34.399999999999999pt;width:85.900000000000006pt;height:5.0499999999999998pt;z-index:-1887419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533400</wp:posOffset>
              </wp:positionV>
              <wp:extent cx="4026535" cy="0"/>
              <wp:wrapNone/>
              <wp:docPr id="2739" name="Shape 2739"/>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65pt;margin-top:42.pt;width:317.05000000000001pt;height:0;z-index:-251658240;mso-position-horizontal-relative:page;mso-position-vertical-relative:page">
              <v:stroke weight="1.pt"/>
            </v:shape>
          </w:pict>
        </mc:Fallback>
      </mc:AlternateContent>
    </w:r>
  </w:p>
</w:hdr>
</file>

<file path=word/header6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796" behindDoc="1" locked="0" layoutInCell="1" allowOverlap="1">
              <wp:simplePos x="0" y="0"/>
              <wp:positionH relativeFrom="page">
                <wp:posOffset>3620770</wp:posOffset>
              </wp:positionH>
              <wp:positionV relativeFrom="page">
                <wp:posOffset>420370</wp:posOffset>
              </wp:positionV>
              <wp:extent cx="536575" cy="79375"/>
              <wp:wrapNone/>
              <wp:docPr id="2742" name="Shape 2742"/>
              <a:graphic xmlns:a="http://schemas.openxmlformats.org/drawingml/2006/main">
                <a:graphicData uri="http://schemas.microsoft.com/office/word/2010/wordprocessingShape">
                  <wps:wsp>
                    <wps:cNvSpPr txBox="1"/>
                    <wps:spPr>
                      <a:xfrm>
                        <a:ext cx="536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wps:txbx>
                    <wps:bodyPr wrap="none" lIns="0" tIns="0" rIns="0" bIns="0">
                      <a:spAutoFit/>
                    </wps:bodyPr>
                  </wps:wsp>
                </a:graphicData>
              </a:graphic>
            </wp:anchor>
          </w:drawing>
        </mc:Choice>
        <mc:Fallback>
          <w:pict>
            <v:shape id="_x0000_s3768" type="#_x0000_t202" style="position:absolute;margin-left:285.10000000000002pt;margin-top:33.100000000000001pt;width:42.25pt;height:6.25pt;z-index:-1887419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541020</wp:posOffset>
              </wp:positionV>
              <wp:extent cx="4017010" cy="0"/>
              <wp:wrapNone/>
              <wp:docPr id="2744" name="Shape 274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050000000000001pt;margin-top:42.600000000000001pt;width:316.30000000000001pt;height:0;z-index:-251658240;mso-position-horizontal-relative:page;mso-position-vertical-relative:page">
              <v:stroke weight="1.pt"/>
            </v:shape>
          </w:pict>
        </mc:Fallback>
      </mc:AlternateContent>
    </w:r>
  </w:p>
</w:hdr>
</file>

<file path=word/header6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00" behindDoc="1" locked="0" layoutInCell="1" allowOverlap="1">
              <wp:simplePos x="0" y="0"/>
              <wp:positionH relativeFrom="page">
                <wp:posOffset>3620770</wp:posOffset>
              </wp:positionH>
              <wp:positionV relativeFrom="page">
                <wp:posOffset>420370</wp:posOffset>
              </wp:positionV>
              <wp:extent cx="536575" cy="79375"/>
              <wp:wrapNone/>
              <wp:docPr id="2747" name="Shape 2747"/>
              <a:graphic xmlns:a="http://schemas.openxmlformats.org/drawingml/2006/main">
                <a:graphicData uri="http://schemas.microsoft.com/office/word/2010/wordprocessingShape">
                  <wps:wsp>
                    <wps:cNvSpPr txBox="1"/>
                    <wps:spPr>
                      <a:xfrm>
                        <a:ext cx="536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wps:txbx>
                    <wps:bodyPr wrap="none" lIns="0" tIns="0" rIns="0" bIns="0">
                      <a:spAutoFit/>
                    </wps:bodyPr>
                  </wps:wsp>
                </a:graphicData>
              </a:graphic>
            </wp:anchor>
          </w:drawing>
        </mc:Choice>
        <mc:Fallback>
          <w:pict>
            <v:shape id="_x0000_s3773" type="#_x0000_t202" style="position:absolute;margin-left:285.10000000000002pt;margin-top:33.100000000000001pt;width:42.25pt;height:6.25pt;z-index:-1887419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541020</wp:posOffset>
              </wp:positionV>
              <wp:extent cx="4017010" cy="0"/>
              <wp:wrapNone/>
              <wp:docPr id="2749" name="Shape 274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050000000000001pt;margin-top:42.600000000000001pt;width:316.30000000000001pt;height:0;z-index:-251658240;mso-position-horizontal-relative:page;mso-position-vertical-relative:page">
              <v:stroke weight="1.pt"/>
            </v:shape>
          </w:pict>
        </mc:Fallback>
      </mc:AlternateContent>
    </w:r>
  </w:p>
</w:hdr>
</file>

<file path=word/header6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04" behindDoc="1" locked="0" layoutInCell="1" allowOverlap="1">
              <wp:simplePos x="0" y="0"/>
              <wp:positionH relativeFrom="page">
                <wp:posOffset>152400</wp:posOffset>
              </wp:positionH>
              <wp:positionV relativeFrom="page">
                <wp:posOffset>426720</wp:posOffset>
              </wp:positionV>
              <wp:extent cx="1654810" cy="79375"/>
              <wp:wrapNone/>
              <wp:docPr id="2752" name="Shape 2752"/>
              <a:graphic xmlns:a="http://schemas.openxmlformats.org/drawingml/2006/main">
                <a:graphicData uri="http://schemas.microsoft.com/office/word/2010/wordprocessingShape">
                  <wps:wsp>
                    <wps:cNvSpPr txBox="1"/>
                    <wps:spPr>
                      <a:xfrm>
                        <a:ext cx="16548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PEDAG0GIJAR1JEĆ BOŽJA</w:t>
                          </w:r>
                        </w:p>
                      </w:txbxContent>
                    </wps:txbx>
                    <wps:bodyPr wrap="none" lIns="0" tIns="0" rIns="0" bIns="0">
                      <a:spAutoFit/>
                    </wps:bodyPr>
                  </wps:wsp>
                </a:graphicData>
              </a:graphic>
            </wp:anchor>
          </w:drawing>
        </mc:Choice>
        <mc:Fallback>
          <w:pict>
            <v:shape id="_x0000_s3778" type="#_x0000_t202" style="position:absolute;margin-left:12.pt;margin-top:33.600000000000001pt;width:130.30000000000001pt;height:6.25pt;z-index:-1887419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RELIGIJSKA PEDAG0GIJAR1JEĆ BOŽJA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534670</wp:posOffset>
              </wp:positionV>
              <wp:extent cx="4017010" cy="0"/>
              <wp:wrapNone/>
              <wp:docPr id="2754" name="Shape 275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75pt;margin-top:42.100000000000001pt;width:316.30000000000001pt;height:0;z-index:-251658240;mso-position-horizontal-relative:page;mso-position-vertical-relative:page">
              <v:stroke weight="1.pt"/>
            </v:shape>
          </w:pict>
        </mc:Fallback>
      </mc:AlternateContent>
    </w:r>
  </w:p>
</w:hdr>
</file>

<file path=word/header6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08" behindDoc="1" locked="0" layoutInCell="1" allowOverlap="1">
              <wp:simplePos x="0" y="0"/>
              <wp:positionH relativeFrom="page">
                <wp:posOffset>3616325</wp:posOffset>
              </wp:positionH>
              <wp:positionV relativeFrom="page">
                <wp:posOffset>423545</wp:posOffset>
              </wp:positionV>
              <wp:extent cx="539750" cy="79375"/>
              <wp:wrapNone/>
              <wp:docPr id="2757" name="Shape 2757"/>
              <a:graphic xmlns:a="http://schemas.openxmlformats.org/drawingml/2006/main">
                <a:graphicData uri="http://schemas.microsoft.com/office/word/2010/wordprocessingShape">
                  <wps:wsp>
                    <wps:cNvSpPr txBox="1"/>
                    <wps:spPr>
                      <a:xfrm>
                        <a:ext cx="53975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wps:txbx>
                    <wps:bodyPr wrap="none" lIns="0" tIns="0" rIns="0" bIns="0">
                      <a:spAutoFit/>
                    </wps:bodyPr>
                  </wps:wsp>
                </a:graphicData>
              </a:graphic>
            </wp:anchor>
          </w:drawing>
        </mc:Choice>
        <mc:Fallback>
          <w:pict>
            <v:shape id="_x0000_s3783" type="#_x0000_t202" style="position:absolute;margin-left:284.75pt;margin-top:33.350000000000001pt;width:42.5pt;height:6.25pt;z-index:-1887419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135890</wp:posOffset>
              </wp:positionH>
              <wp:positionV relativeFrom="page">
                <wp:posOffset>542290</wp:posOffset>
              </wp:positionV>
              <wp:extent cx="4014470" cy="0"/>
              <wp:wrapNone/>
              <wp:docPr id="2759" name="Shape 275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0.699999999999999pt;margin-top:42.700000000000003pt;width:316.10000000000002pt;height:0;z-index:-251658240;mso-position-horizontal-relative:page;mso-position-vertical-relative:page">
              <v:stroke weight="1.pt"/>
            </v:shape>
          </w:pict>
        </mc:Fallback>
      </mc:AlternateContent>
    </w:r>
  </w:p>
</w:hdr>
</file>

<file path=word/header6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12" behindDoc="1" locked="0" layoutInCell="1" allowOverlap="1">
              <wp:simplePos x="0" y="0"/>
              <wp:positionH relativeFrom="page">
                <wp:posOffset>149225</wp:posOffset>
              </wp:positionH>
              <wp:positionV relativeFrom="page">
                <wp:posOffset>431165</wp:posOffset>
              </wp:positionV>
              <wp:extent cx="539750" cy="73025"/>
              <wp:wrapNone/>
              <wp:docPr id="2762" name="Shape 2762"/>
              <a:graphic xmlns:a="http://schemas.openxmlformats.org/drawingml/2006/main">
                <a:graphicData uri="http://schemas.microsoft.com/office/word/2010/wordprocessingShape">
                  <wps:wsp>
                    <wps:cNvSpPr txBox="1"/>
                    <wps:spPr>
                      <a:xfrm>
                        <a:ext cx="53975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wps:txbx>
                    <wps:bodyPr wrap="none" lIns="0" tIns="0" rIns="0" bIns="0">
                      <a:spAutoFit/>
                    </wps:bodyPr>
                  </wps:wsp>
                </a:graphicData>
              </a:graphic>
            </wp:anchor>
          </w:drawing>
        </mc:Choice>
        <mc:Fallback>
          <w:pict>
            <v:shape id="_x0000_s3788" type="#_x0000_t202" style="position:absolute;margin-left:11.75pt;margin-top:33.950000000000003pt;width:42.5pt;height:5.75pt;z-index:-1887419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RIJEČ BOŽJA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537210</wp:posOffset>
              </wp:positionV>
              <wp:extent cx="4017010" cy="0"/>
              <wp:wrapNone/>
              <wp:docPr id="2764" name="Shape 276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75pt;margin-top:42.299999999999997pt;width:316.30000000000001pt;height:0;z-index:-251658240;mso-position-horizontal-relative:page;mso-position-vertical-relative:page">
              <v:stroke weight="1.pt"/>
            </v:shape>
          </w:pict>
        </mc:Fallback>
      </mc:AlternateContent>
    </w:r>
  </w:p>
</w:hdr>
</file>

<file path=word/header6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16" behindDoc="1" locked="0" layoutInCell="1" allowOverlap="1">
              <wp:simplePos x="0" y="0"/>
              <wp:positionH relativeFrom="page">
                <wp:posOffset>150495</wp:posOffset>
              </wp:positionH>
              <wp:positionV relativeFrom="page">
                <wp:posOffset>416560</wp:posOffset>
              </wp:positionV>
              <wp:extent cx="469265" cy="64135"/>
              <wp:wrapNone/>
              <wp:docPr id="2767" name="Shape 2767"/>
              <a:graphic xmlns:a="http://schemas.openxmlformats.org/drawingml/2006/main">
                <a:graphicData uri="http://schemas.microsoft.com/office/word/2010/wordprocessingShape">
                  <wps:wsp>
                    <wps:cNvSpPr txBox="1"/>
                    <wps:spPr>
                      <a:xfrm>
                        <a:ext cx="4692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S/VKRALS'O</w:t>
                          </w:r>
                        </w:p>
                      </w:txbxContent>
                    </wps:txbx>
                    <wps:bodyPr wrap="none" lIns="0" tIns="0" rIns="0" bIns="0">
                      <a:spAutoFit/>
                    </wps:bodyPr>
                  </wps:wsp>
                </a:graphicData>
              </a:graphic>
            </wp:anchor>
          </w:drawing>
        </mc:Choice>
        <mc:Fallback>
          <w:pict>
            <v:shape id="_x0000_s3793" type="#_x0000_t202" style="position:absolute;margin-left:11.85pt;margin-top:32.799999999999997pt;width:36.950000000000003pt;height:5.0499999999999998pt;z-index:-1887419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S/VKRALS'O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513715</wp:posOffset>
              </wp:positionV>
              <wp:extent cx="4023360" cy="0"/>
              <wp:wrapNone/>
              <wp:docPr id="2769" name="Shape 276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5pt;margin-top:40.450000000000003pt;width:316.80000000000001pt;height:0;z-index:-251658240;mso-position-horizontal-relative:page;mso-position-vertical-relative:page">
              <v:stroke weight="1.pt"/>
            </v:shape>
          </w:pict>
        </mc:Fallback>
      </mc:AlternateContent>
    </w:r>
  </w:p>
</w:hdr>
</file>

<file path=word/header6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20" behindDoc="1" locked="0" layoutInCell="1" allowOverlap="1">
              <wp:simplePos x="0" y="0"/>
              <wp:positionH relativeFrom="page">
                <wp:posOffset>150495</wp:posOffset>
              </wp:positionH>
              <wp:positionV relativeFrom="page">
                <wp:posOffset>416560</wp:posOffset>
              </wp:positionV>
              <wp:extent cx="469265" cy="64135"/>
              <wp:wrapNone/>
              <wp:docPr id="2772" name="Shape 2772"/>
              <a:graphic xmlns:a="http://schemas.openxmlformats.org/drawingml/2006/main">
                <a:graphicData uri="http://schemas.microsoft.com/office/word/2010/wordprocessingShape">
                  <wps:wsp>
                    <wps:cNvSpPr txBox="1"/>
                    <wps:spPr>
                      <a:xfrm>
                        <a:ext cx="4692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S/VKRALS'O</w:t>
                          </w:r>
                        </w:p>
                      </w:txbxContent>
                    </wps:txbx>
                    <wps:bodyPr wrap="none" lIns="0" tIns="0" rIns="0" bIns="0">
                      <a:spAutoFit/>
                    </wps:bodyPr>
                  </wps:wsp>
                </a:graphicData>
              </a:graphic>
            </wp:anchor>
          </w:drawing>
        </mc:Choice>
        <mc:Fallback>
          <w:pict>
            <v:shape id="_x0000_s3798" type="#_x0000_t202" style="position:absolute;margin-left:11.85pt;margin-top:32.799999999999997pt;width:36.950000000000003pt;height:5.0499999999999998pt;z-index:-1887419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S/VKRALS'O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513715</wp:posOffset>
              </wp:positionV>
              <wp:extent cx="4023360" cy="0"/>
              <wp:wrapNone/>
              <wp:docPr id="2774" name="Shape 2774"/>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5pt;margin-top:40.450000000000003pt;width:316.80000000000001pt;height:0;z-index:-251658240;mso-position-horizontal-relative:page;mso-position-vertical-relative:page">
              <v:stroke weight="1.pt"/>
            </v:shape>
          </w:pict>
        </mc:Fallback>
      </mc:AlternateContent>
    </w:r>
  </w:p>
</w:hdr>
</file>

<file path=word/header6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26" behindDoc="1" locked="0" layoutInCell="1" allowOverlap="1">
              <wp:simplePos x="0" y="0"/>
              <wp:positionH relativeFrom="page">
                <wp:posOffset>144145</wp:posOffset>
              </wp:positionH>
              <wp:positionV relativeFrom="page">
                <wp:posOffset>416560</wp:posOffset>
              </wp:positionV>
              <wp:extent cx="542290" cy="64135"/>
              <wp:wrapNone/>
              <wp:docPr id="2779" name="Shape 2779"/>
              <a:graphic xmlns:a="http://schemas.openxmlformats.org/drawingml/2006/main">
                <a:graphicData uri="http://schemas.microsoft.com/office/word/2010/wordprocessingShape">
                  <wps:wsp>
                    <wps:cNvSpPr txBox="1"/>
                    <wps:spPr>
                      <a:xfrm>
                        <a:ext cx="5422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SAKRAMENT</w:t>
                          </w:r>
                        </w:p>
                      </w:txbxContent>
                    </wps:txbx>
                    <wps:bodyPr wrap="none" lIns="0" tIns="0" rIns="0" bIns="0">
                      <a:spAutoFit/>
                    </wps:bodyPr>
                  </wps:wsp>
                </a:graphicData>
              </a:graphic>
            </wp:anchor>
          </w:drawing>
        </mc:Choice>
        <mc:Fallback>
          <w:pict>
            <v:shape id="_x0000_s3805" type="#_x0000_t202" style="position:absolute;margin-left:11.35pt;margin-top:32.799999999999997pt;width:42.700000000000003pt;height:5.0499999999999998pt;z-index:-1887419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SAKRAMENT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506730</wp:posOffset>
              </wp:positionV>
              <wp:extent cx="4023360" cy="0"/>
              <wp:wrapNone/>
              <wp:docPr id="2781" name="Shape 278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39.899999999999999pt;width:316.80000000000001pt;height:0;z-index:-251658240;mso-position-horizontal-relative:page;mso-position-vertical-relative:page">
              <v:stroke weight="1.pt"/>
            </v:shape>
          </w:pict>
        </mc:Fallback>
      </mc:AlternateContent>
    </w:r>
  </w:p>
</w:hdr>
</file>

<file path=word/header6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30" behindDoc="1" locked="0" layoutInCell="1" allowOverlap="1">
              <wp:simplePos x="0" y="0"/>
              <wp:positionH relativeFrom="page">
                <wp:posOffset>144145</wp:posOffset>
              </wp:positionH>
              <wp:positionV relativeFrom="page">
                <wp:posOffset>416560</wp:posOffset>
              </wp:positionV>
              <wp:extent cx="542290" cy="64135"/>
              <wp:wrapNone/>
              <wp:docPr id="2784" name="Shape 2784"/>
              <a:graphic xmlns:a="http://schemas.openxmlformats.org/drawingml/2006/main">
                <a:graphicData uri="http://schemas.microsoft.com/office/word/2010/wordprocessingShape">
                  <wps:wsp>
                    <wps:cNvSpPr txBox="1"/>
                    <wps:spPr>
                      <a:xfrm>
                        <a:ext cx="5422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SAKRAMENT</w:t>
                          </w:r>
                        </w:p>
                      </w:txbxContent>
                    </wps:txbx>
                    <wps:bodyPr wrap="none" lIns="0" tIns="0" rIns="0" bIns="0">
                      <a:spAutoFit/>
                    </wps:bodyPr>
                  </wps:wsp>
                </a:graphicData>
              </a:graphic>
            </wp:anchor>
          </w:drawing>
        </mc:Choice>
        <mc:Fallback>
          <w:pict>
            <v:shape id="_x0000_s3810" type="#_x0000_t202" style="position:absolute;margin-left:11.35pt;margin-top:32.799999999999997pt;width:42.700000000000003pt;height:5.0499999999999998pt;z-index:-1887419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SAKRAMENT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506730</wp:posOffset>
              </wp:positionV>
              <wp:extent cx="4023360" cy="0"/>
              <wp:wrapNone/>
              <wp:docPr id="2786" name="Shape 278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39.899999999999999pt;width:316.80000000000001pt;height:0;z-index:-251658240;mso-position-horizontal-relative:page;mso-position-vertical-relative:page">
              <v:stroke weight="1.pt"/>
            </v:shape>
          </w:pict>
        </mc:Fallback>
      </mc:AlternateContent>
    </w:r>
  </w:p>
</w:hdr>
</file>

<file path=word/header6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34" behindDoc="1" locked="0" layoutInCell="1" allowOverlap="1">
              <wp:simplePos x="0" y="0"/>
              <wp:positionH relativeFrom="page">
                <wp:posOffset>3114675</wp:posOffset>
              </wp:positionH>
              <wp:positionV relativeFrom="page">
                <wp:posOffset>413385</wp:posOffset>
              </wp:positionV>
              <wp:extent cx="1073150" cy="67310"/>
              <wp:wrapNone/>
              <wp:docPr id="2789" name="Shape 2789"/>
              <a:graphic xmlns:a="http://schemas.openxmlformats.org/drawingml/2006/main">
                <a:graphicData uri="http://schemas.microsoft.com/office/word/2010/wordprocessingShape">
                  <wps:wsp>
                    <wps:cNvSpPr txBox="1"/>
                    <wps:spPr>
                      <a:xfrm>
                        <a:ext cx="10731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en-US" w:eastAsia="en-US" w:bidi="en-US"/>
                            </w:rPr>
                            <w:t>sakralnoj/sakrament</w:t>
                          </w:r>
                        </w:p>
                      </w:txbxContent>
                    </wps:txbx>
                    <wps:bodyPr wrap="none" lIns="0" tIns="0" rIns="0" bIns="0">
                      <a:spAutoFit/>
                    </wps:bodyPr>
                  </wps:wsp>
                </a:graphicData>
              </a:graphic>
            </wp:anchor>
          </w:drawing>
        </mc:Choice>
        <mc:Fallback>
          <w:pict>
            <v:shape id="_x0000_s3815" type="#_x0000_t202" style="position:absolute;margin-left:245.25pt;margin-top:32.549999999999997pt;width:84.5pt;height:5.2999999999999998pt;z-index:-1887419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en-US" w:eastAsia="en-US" w:bidi="en-US"/>
                      </w:rPr>
                      <w:t>sakralnoj/sakrament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167005</wp:posOffset>
              </wp:positionH>
              <wp:positionV relativeFrom="page">
                <wp:posOffset>516890</wp:posOffset>
              </wp:positionV>
              <wp:extent cx="4023360" cy="0"/>
              <wp:wrapNone/>
              <wp:docPr id="2791" name="Shape 279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3.15pt;margin-top:40.700000000000003pt;width:316.80000000000001pt;height:0;z-index:-251658240;mso-position-horizontal-relative:page;mso-position-vertical-relative:page">
              <v:stroke weight="1.pt"/>
            </v:shape>
          </w:pict>
        </mc:Fallback>
      </mc:AlternateContent>
    </w:r>
  </w:p>
</w:hdr>
</file>

<file path=word/header6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38" behindDoc="1" locked="0" layoutInCell="1" allowOverlap="1">
              <wp:simplePos x="0" y="0"/>
              <wp:positionH relativeFrom="page">
                <wp:posOffset>3324860</wp:posOffset>
              </wp:positionH>
              <wp:positionV relativeFrom="page">
                <wp:posOffset>425450</wp:posOffset>
              </wp:positionV>
              <wp:extent cx="844550" cy="64135"/>
              <wp:wrapNone/>
              <wp:docPr id="2794" name="Shape 2794"/>
              <a:graphic xmlns:a="http://schemas.openxmlformats.org/drawingml/2006/main">
                <a:graphicData uri="http://schemas.microsoft.com/office/word/2010/wordprocessingShape">
                  <wps:wsp>
                    <wps:cNvSpPr txBox="1"/>
                    <wps:spPr>
                      <a:xfrm>
                        <a:ext cx="8445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SAKRAMENT/SAVEZ</w:t>
                          </w:r>
                        </w:p>
                      </w:txbxContent>
                    </wps:txbx>
                    <wps:bodyPr wrap="none" lIns="0" tIns="0" rIns="0" bIns="0">
                      <a:spAutoFit/>
                    </wps:bodyPr>
                  </wps:wsp>
                </a:graphicData>
              </a:graphic>
            </wp:anchor>
          </w:drawing>
        </mc:Choice>
        <mc:Fallback>
          <w:pict>
            <v:shape id="_x0000_s3820" type="#_x0000_t202" style="position:absolute;margin-left:261.80000000000001pt;margin-top:33.5pt;width:66.5pt;height:5.0499999999999998pt;z-index:-1887419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SAKRAMENT/SAVEZ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521970</wp:posOffset>
              </wp:positionV>
              <wp:extent cx="4020185" cy="0"/>
              <wp:wrapNone/>
              <wp:docPr id="2796" name="Shape 279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1.100000000000001pt;width:316.55000000000001pt;height:0;z-index:-251658240;mso-position-horizontal-relative:page;mso-position-vertical-relative:page">
              <v:stroke weight="1.pt"/>
            </v:shape>
          </w:pict>
        </mc:Fallback>
      </mc:AlternateContent>
    </w:r>
  </w:p>
</w:hdr>
</file>

<file path=word/header6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42" behindDoc="1" locked="0" layoutInCell="1" allowOverlap="1">
              <wp:simplePos x="0" y="0"/>
              <wp:positionH relativeFrom="page">
                <wp:posOffset>3324860</wp:posOffset>
              </wp:positionH>
              <wp:positionV relativeFrom="page">
                <wp:posOffset>425450</wp:posOffset>
              </wp:positionV>
              <wp:extent cx="844550" cy="64135"/>
              <wp:wrapNone/>
              <wp:docPr id="2799" name="Shape 2799"/>
              <a:graphic xmlns:a="http://schemas.openxmlformats.org/drawingml/2006/main">
                <a:graphicData uri="http://schemas.microsoft.com/office/word/2010/wordprocessingShape">
                  <wps:wsp>
                    <wps:cNvSpPr txBox="1"/>
                    <wps:spPr>
                      <a:xfrm>
                        <a:ext cx="8445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SAKRAMENT/SAVEZ</w:t>
                          </w:r>
                        </w:p>
                      </w:txbxContent>
                    </wps:txbx>
                    <wps:bodyPr wrap="none" lIns="0" tIns="0" rIns="0" bIns="0">
                      <a:spAutoFit/>
                    </wps:bodyPr>
                  </wps:wsp>
                </a:graphicData>
              </a:graphic>
            </wp:anchor>
          </w:drawing>
        </mc:Choice>
        <mc:Fallback>
          <w:pict>
            <v:shape id="_x0000_s3825" type="#_x0000_t202" style="position:absolute;margin-left:261.80000000000001pt;margin-top:33.5pt;width:66.5pt;height:5.0499999999999998pt;z-index:-1887419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SAKRAMENT/SAVEZ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521970</wp:posOffset>
              </wp:positionV>
              <wp:extent cx="4020185" cy="0"/>
              <wp:wrapNone/>
              <wp:docPr id="2801" name="Shape 280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1.100000000000001pt;width:316.55000000000001pt;height:0;z-index:-251658240;mso-position-horizontal-relative:page;mso-position-vertical-relative:page">
              <v:stroke weight="1.pt"/>
            </v:shape>
          </w:pict>
        </mc:Fallback>
      </mc:AlternateContent>
    </w:r>
  </w:p>
</w:hdr>
</file>

<file path=word/header6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46" behindDoc="1" locked="0" layoutInCell="1" allowOverlap="1">
              <wp:simplePos x="0" y="0"/>
              <wp:positionH relativeFrom="page">
                <wp:posOffset>146050</wp:posOffset>
              </wp:positionH>
              <wp:positionV relativeFrom="page">
                <wp:posOffset>437515</wp:posOffset>
              </wp:positionV>
              <wp:extent cx="277495" cy="64135"/>
              <wp:wrapNone/>
              <wp:docPr id="2804" name="Shape 2804"/>
              <a:graphic xmlns:a="http://schemas.openxmlformats.org/drawingml/2006/main">
                <a:graphicData uri="http://schemas.microsoft.com/office/word/2010/wordprocessingShape">
                  <wps:wsp>
                    <wps:cNvSpPr txBox="1"/>
                    <wps:spPr>
                      <a:xfrm>
                        <a:ext cx="2774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wps:txbx>
                    <wps:bodyPr wrap="none" lIns="0" tIns="0" rIns="0" bIns="0">
                      <a:spAutoFit/>
                    </wps:bodyPr>
                  </wps:wsp>
                </a:graphicData>
              </a:graphic>
            </wp:anchor>
          </w:drawing>
        </mc:Choice>
        <mc:Fallback>
          <w:pict>
            <v:shape id="_x0000_s3830" type="#_x0000_t202" style="position:absolute;margin-left:11.5pt;margin-top:34.450000000000003pt;width:21.850000000000001pt;height:5.0499999999999998pt;z-index:-1887419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528955</wp:posOffset>
              </wp:positionV>
              <wp:extent cx="4023360" cy="0"/>
              <wp:wrapNone/>
              <wp:docPr id="2806" name="Shape 280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pt;margin-top:41.649999999999999pt;width:316.80000000000001pt;height:0;z-index:-251658240;mso-position-horizontal-relative:page;mso-position-vertical-relative:page">
              <v:stroke weight="1.pt"/>
            </v:shape>
          </w:pict>
        </mc:Fallback>
      </mc:AlternateContent>
    </w:r>
  </w:p>
</w:hdr>
</file>

<file path=word/header6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50" behindDoc="1" locked="0" layoutInCell="1" allowOverlap="1">
              <wp:simplePos x="0" y="0"/>
              <wp:positionH relativeFrom="page">
                <wp:posOffset>146050</wp:posOffset>
              </wp:positionH>
              <wp:positionV relativeFrom="page">
                <wp:posOffset>437515</wp:posOffset>
              </wp:positionV>
              <wp:extent cx="277495" cy="64135"/>
              <wp:wrapNone/>
              <wp:docPr id="2809" name="Shape 2809"/>
              <a:graphic xmlns:a="http://schemas.openxmlformats.org/drawingml/2006/main">
                <a:graphicData uri="http://schemas.microsoft.com/office/word/2010/wordprocessingShape">
                  <wps:wsp>
                    <wps:cNvSpPr txBox="1"/>
                    <wps:spPr>
                      <a:xfrm>
                        <a:ext cx="2774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wps:txbx>
                    <wps:bodyPr wrap="none" lIns="0" tIns="0" rIns="0" bIns="0">
                      <a:spAutoFit/>
                    </wps:bodyPr>
                  </wps:wsp>
                </a:graphicData>
              </a:graphic>
            </wp:anchor>
          </w:drawing>
        </mc:Choice>
        <mc:Fallback>
          <w:pict>
            <v:shape id="_x0000_s3835" type="#_x0000_t202" style="position:absolute;margin-left:11.5pt;margin-top:34.450000000000003pt;width:21.850000000000001pt;height:5.0499999999999998pt;z-index:-1887419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528955</wp:posOffset>
              </wp:positionV>
              <wp:extent cx="4023360" cy="0"/>
              <wp:wrapNone/>
              <wp:docPr id="2811" name="Shape 281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pt;margin-top:41.649999999999999pt;width:316.80000000000001pt;height:0;z-index:-251658240;mso-position-horizontal-relative:page;mso-position-vertical-relative:page">
              <v:stroke weight="1.pt"/>
            </v:shape>
          </w:pict>
        </mc:Fallback>
      </mc:AlternateContent>
    </w:r>
  </w:p>
</w:hdr>
</file>

<file path=word/header6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54" behindDoc="1" locked="0" layoutInCell="1" allowOverlap="1">
              <wp:simplePos x="0" y="0"/>
              <wp:positionH relativeFrom="page">
                <wp:posOffset>141605</wp:posOffset>
              </wp:positionH>
              <wp:positionV relativeFrom="page">
                <wp:posOffset>467995</wp:posOffset>
              </wp:positionV>
              <wp:extent cx="277495" cy="64135"/>
              <wp:wrapNone/>
              <wp:docPr id="2814" name="Shape 2814"/>
              <a:graphic xmlns:a="http://schemas.openxmlformats.org/drawingml/2006/main">
                <a:graphicData uri="http://schemas.microsoft.com/office/word/2010/wordprocessingShape">
                  <wps:wsp>
                    <wps:cNvSpPr txBox="1"/>
                    <wps:spPr>
                      <a:xfrm>
                        <a:ext cx="2774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wps:txbx>
                    <wps:bodyPr wrap="none" lIns="0" tIns="0" rIns="0" bIns="0">
                      <a:spAutoFit/>
                    </wps:bodyPr>
                  </wps:wsp>
                </a:graphicData>
              </a:graphic>
            </wp:anchor>
          </w:drawing>
        </mc:Choice>
        <mc:Fallback>
          <w:pict>
            <v:shape id="_x0000_s3840" type="#_x0000_t202" style="position:absolute;margin-left:11.15pt;margin-top:36.850000000000001pt;width:21.850000000000001pt;height:5.0499999999999998pt;z-index:-1887418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556260</wp:posOffset>
              </wp:positionV>
              <wp:extent cx="4020185" cy="0"/>
              <wp:wrapNone/>
              <wp:docPr id="2816" name="Shape 281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5pt;margin-top:43.799999999999997pt;width:316.55000000000001pt;height:0;z-index:-251658240;mso-position-horizontal-relative:page;mso-position-vertical-relative:page">
              <v:stroke weight="1.pt"/>
            </v:shape>
          </w:pict>
        </mc:Fallback>
      </mc:AlternateContent>
    </w:r>
  </w:p>
</w:hdr>
</file>

<file path=word/header6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56" behindDoc="1" locked="0" layoutInCell="1" allowOverlap="1">
              <wp:simplePos x="0" y="0"/>
              <wp:positionH relativeFrom="page">
                <wp:posOffset>141605</wp:posOffset>
              </wp:positionH>
              <wp:positionV relativeFrom="page">
                <wp:posOffset>467995</wp:posOffset>
              </wp:positionV>
              <wp:extent cx="277495" cy="64135"/>
              <wp:wrapNone/>
              <wp:docPr id="2817" name="Shape 2817"/>
              <a:graphic xmlns:a="http://schemas.openxmlformats.org/drawingml/2006/main">
                <a:graphicData uri="http://schemas.microsoft.com/office/word/2010/wordprocessingShape">
                  <wps:wsp>
                    <wps:cNvSpPr txBox="1"/>
                    <wps:spPr>
                      <a:xfrm>
                        <a:ext cx="27749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wps:txbx>
                    <wps:bodyPr wrap="none" lIns="0" tIns="0" rIns="0" bIns="0">
                      <a:spAutoFit/>
                    </wps:bodyPr>
                  </wps:wsp>
                </a:graphicData>
              </a:graphic>
            </wp:anchor>
          </w:drawing>
        </mc:Choice>
        <mc:Fallback>
          <w:pict>
            <v:shape id="_x0000_s3843" type="#_x0000_t202" style="position:absolute;margin-left:11.15pt;margin-top:36.850000000000001pt;width:21.850000000000001pt;height:5.0499999999999998pt;z-index:-1887418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556260</wp:posOffset>
              </wp:positionV>
              <wp:extent cx="4020185" cy="0"/>
              <wp:wrapNone/>
              <wp:docPr id="2819" name="Shape 281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5pt;margin-top:43.799999999999997pt;width:316.55000000000001pt;height:0;z-index:-251658240;mso-position-horizontal-relative:page;mso-position-vertical-relative:page">
              <v:stroke weight="1.pt"/>
            </v:shape>
          </w:pict>
        </mc:Fallback>
      </mc:AlternateContent>
    </w:r>
  </w:p>
</w:hdr>
</file>

<file path=word/header6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58" behindDoc="1" locked="0" layoutInCell="1" allowOverlap="1">
              <wp:simplePos x="0" y="0"/>
              <wp:positionH relativeFrom="page">
                <wp:posOffset>3883025</wp:posOffset>
              </wp:positionH>
              <wp:positionV relativeFrom="page">
                <wp:posOffset>437515</wp:posOffset>
              </wp:positionV>
              <wp:extent cx="280670" cy="67310"/>
              <wp:wrapNone/>
              <wp:docPr id="2820" name="Shape 2820"/>
              <a:graphic xmlns:a="http://schemas.openxmlformats.org/drawingml/2006/main">
                <a:graphicData uri="http://schemas.microsoft.com/office/word/2010/wordprocessingShape">
                  <wps:wsp>
                    <wps:cNvSpPr txBox="1"/>
                    <wps:spPr>
                      <a:xfrm>
                        <a:ext cx="2806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wps:txbx>
                    <wps:bodyPr wrap="none" lIns="0" tIns="0" rIns="0" bIns="0">
                      <a:spAutoFit/>
                    </wps:bodyPr>
                  </wps:wsp>
                </a:graphicData>
              </a:graphic>
            </wp:anchor>
          </w:drawing>
        </mc:Choice>
        <mc:Fallback>
          <w:pict>
            <v:shape id="_x0000_s3846" type="#_x0000_t202" style="position:absolute;margin-left:305.75pt;margin-top:34.450000000000003pt;width:22.100000000000001pt;height:5.2999999999999998pt;z-index:-1887418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SAVEZ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541020</wp:posOffset>
              </wp:positionV>
              <wp:extent cx="4017010" cy="0"/>
              <wp:wrapNone/>
              <wp:docPr id="2822" name="Shape 282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42.600000000000001pt;width:316.30000000000001pt;height:0;z-index:-251658240;mso-position-horizontal-relative:page;mso-position-vertical-relative:page">
              <v:stroke weight="1.pt"/>
            </v:shape>
          </w:pict>
        </mc:Fallback>
      </mc:AlternateContent>
    </w:r>
  </w:p>
</w:hdr>
</file>

<file path=word/header6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62" behindDoc="1" locked="0" layoutInCell="1" allowOverlap="1">
              <wp:simplePos x="0" y="0"/>
              <wp:positionH relativeFrom="page">
                <wp:posOffset>3439160</wp:posOffset>
              </wp:positionH>
              <wp:positionV relativeFrom="page">
                <wp:posOffset>428625</wp:posOffset>
              </wp:positionV>
              <wp:extent cx="737870" cy="64135"/>
              <wp:wrapNone/>
              <wp:docPr id="2825" name="Shape 2825"/>
              <a:graphic xmlns:a="http://schemas.openxmlformats.org/drawingml/2006/main">
                <a:graphicData uri="http://schemas.microsoft.com/office/word/2010/wordprocessingShape">
                  <wps:wsp>
                    <wps:cNvSpPr txBox="1"/>
                    <wps:spPr>
                      <a:xfrm>
                        <a:ext cx="7378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51" type="#_x0000_t202" style="position:absolute;margin-left:270.80000000000001pt;margin-top:33.75pt;width:58.100000000000001pt;height:5.0499999999999998pt;z-index:-1887418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165735</wp:posOffset>
              </wp:positionH>
              <wp:positionV relativeFrom="page">
                <wp:posOffset>524510</wp:posOffset>
              </wp:positionV>
              <wp:extent cx="4017010" cy="0"/>
              <wp:wrapNone/>
              <wp:docPr id="2827" name="Shape 282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3.050000000000001pt;margin-top:41.299999999999997pt;width:316.30000000000001pt;height:0;z-index:-251658240;mso-position-horizontal-relative:page;mso-position-vertical-relative:page">
              <v:stroke weight="1.pt"/>
            </v:shape>
          </w:pict>
        </mc:Fallback>
      </mc:AlternateContent>
    </w:r>
  </w:p>
</w:hdr>
</file>

<file path=word/header6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66" behindDoc="1" locked="0" layoutInCell="1" allowOverlap="1">
              <wp:simplePos x="0" y="0"/>
              <wp:positionH relativeFrom="page">
                <wp:posOffset>3439160</wp:posOffset>
              </wp:positionH>
              <wp:positionV relativeFrom="page">
                <wp:posOffset>428625</wp:posOffset>
              </wp:positionV>
              <wp:extent cx="737870" cy="64135"/>
              <wp:wrapNone/>
              <wp:docPr id="2830" name="Shape 2830"/>
              <a:graphic xmlns:a="http://schemas.openxmlformats.org/drawingml/2006/main">
                <a:graphicData uri="http://schemas.microsoft.com/office/word/2010/wordprocessingShape">
                  <wps:wsp>
                    <wps:cNvSpPr txBox="1"/>
                    <wps:spPr>
                      <a:xfrm>
                        <a:ext cx="7378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56" type="#_x0000_t202" style="position:absolute;margin-left:270.80000000000001pt;margin-top:33.75pt;width:58.100000000000001pt;height:5.0499999999999998pt;z-index:-1887418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165735</wp:posOffset>
              </wp:positionH>
              <wp:positionV relativeFrom="page">
                <wp:posOffset>524510</wp:posOffset>
              </wp:positionV>
              <wp:extent cx="4017010" cy="0"/>
              <wp:wrapNone/>
              <wp:docPr id="2832" name="Shape 283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3.050000000000001pt;margin-top:41.299999999999997pt;width:316.30000000000001pt;height:0;z-index:-251658240;mso-position-horizontal-relative:page;mso-position-vertical-relative:page">
              <v:stroke weight="1.pt"/>
            </v:shape>
          </w:pict>
        </mc:Fallback>
      </mc:AlternateContent>
    </w:r>
  </w:p>
</w:hdr>
</file>

<file path=word/header6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70" behindDoc="1" locked="0" layoutInCell="1" allowOverlap="1">
              <wp:simplePos x="0" y="0"/>
              <wp:positionH relativeFrom="page">
                <wp:posOffset>133985</wp:posOffset>
              </wp:positionH>
              <wp:positionV relativeFrom="page">
                <wp:posOffset>462280</wp:posOffset>
              </wp:positionV>
              <wp:extent cx="740410" cy="64135"/>
              <wp:wrapNone/>
              <wp:docPr id="2835" name="Shape 2835"/>
              <a:graphic xmlns:a="http://schemas.openxmlformats.org/drawingml/2006/main">
                <a:graphicData uri="http://schemas.microsoft.com/office/word/2010/wordprocessingShape">
                  <wps:wsp>
                    <wps:cNvSpPr txBox="1"/>
                    <wps:spPr>
                      <a:xfrm>
                        <a:ext cx="740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61" type="#_x0000_t202" style="position:absolute;margin-left:10.550000000000001pt;margin-top:36.399999999999999pt;width:58.299999999999997pt;height:5.0499999999999998pt;z-index:-1887418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136525</wp:posOffset>
              </wp:positionH>
              <wp:positionV relativeFrom="page">
                <wp:posOffset>554990</wp:posOffset>
              </wp:positionV>
              <wp:extent cx="4026535" cy="0"/>
              <wp:wrapNone/>
              <wp:docPr id="2837" name="Shape 2837"/>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0.75pt;margin-top:43.700000000000003pt;width:317.05000000000001pt;height:0;z-index:-251658240;mso-position-horizontal-relative:page;mso-position-vertical-relative:page">
              <v:stroke weight="1.pt"/>
            </v:shape>
          </w:pict>
        </mc:Fallback>
      </mc:AlternateContent>
    </w:r>
  </w:p>
</w:hdr>
</file>

<file path=word/header6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74" behindDoc="1" locked="0" layoutInCell="1" allowOverlap="1">
              <wp:simplePos x="0" y="0"/>
              <wp:positionH relativeFrom="page">
                <wp:posOffset>133985</wp:posOffset>
              </wp:positionH>
              <wp:positionV relativeFrom="page">
                <wp:posOffset>462280</wp:posOffset>
              </wp:positionV>
              <wp:extent cx="740410" cy="64135"/>
              <wp:wrapNone/>
              <wp:docPr id="2840" name="Shape 2840"/>
              <a:graphic xmlns:a="http://schemas.openxmlformats.org/drawingml/2006/main">
                <a:graphicData uri="http://schemas.microsoft.com/office/word/2010/wordprocessingShape">
                  <wps:wsp>
                    <wps:cNvSpPr txBox="1"/>
                    <wps:spPr>
                      <a:xfrm>
                        <a:ext cx="740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66" type="#_x0000_t202" style="position:absolute;margin-left:10.550000000000001pt;margin-top:36.399999999999999pt;width:58.299999999999997pt;height:5.0499999999999998pt;z-index:-1887418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136525</wp:posOffset>
              </wp:positionH>
              <wp:positionV relativeFrom="page">
                <wp:posOffset>554990</wp:posOffset>
              </wp:positionV>
              <wp:extent cx="4026535" cy="0"/>
              <wp:wrapNone/>
              <wp:docPr id="2842" name="Shape 2842"/>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0.75pt;margin-top:43.700000000000003pt;width:317.05000000000001pt;height:0;z-index:-251658240;mso-position-horizontal-relative:page;mso-position-vertical-relative:page">
              <v:stroke weight="1.pt"/>
            </v:shape>
          </w:pict>
        </mc:Fallback>
      </mc:AlternateContent>
    </w:r>
  </w:p>
</w:hdr>
</file>

<file path=word/header6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78" behindDoc="1" locked="0" layoutInCell="1" allowOverlap="1">
              <wp:simplePos x="0" y="0"/>
              <wp:positionH relativeFrom="page">
                <wp:posOffset>141605</wp:posOffset>
              </wp:positionH>
              <wp:positionV relativeFrom="page">
                <wp:posOffset>443865</wp:posOffset>
              </wp:positionV>
              <wp:extent cx="740410" cy="64135"/>
              <wp:wrapNone/>
              <wp:docPr id="2847" name="Shape 2847"/>
              <a:graphic xmlns:a="http://schemas.openxmlformats.org/drawingml/2006/main">
                <a:graphicData uri="http://schemas.microsoft.com/office/word/2010/wordprocessingShape">
                  <wps:wsp>
                    <wps:cNvSpPr txBox="1"/>
                    <wps:spPr>
                      <a:xfrm>
                        <a:ext cx="740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73" type="#_x0000_t202" style="position:absolute;margin-left:11.15pt;margin-top:34.950000000000003pt;width:58.299999999999997pt;height:5.0499999999999998pt;z-index:-1887418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535305</wp:posOffset>
              </wp:positionV>
              <wp:extent cx="4023360" cy="0"/>
              <wp:wrapNone/>
              <wp:docPr id="2849" name="Shape 2849"/>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42.149999999999999pt;width:316.80000000000001pt;height:0;z-index:-251658240;mso-position-horizontal-relative:page;mso-position-vertical-relative:page">
              <v:stroke weight="1.pt"/>
            </v:shape>
          </w:pict>
        </mc:Fallback>
      </mc:AlternateContent>
    </w:r>
  </w:p>
</w:hdr>
</file>

<file path=word/header6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80" behindDoc="1" locked="0" layoutInCell="1" allowOverlap="1">
              <wp:simplePos x="0" y="0"/>
              <wp:positionH relativeFrom="page">
                <wp:posOffset>141605</wp:posOffset>
              </wp:positionH>
              <wp:positionV relativeFrom="page">
                <wp:posOffset>443865</wp:posOffset>
              </wp:positionV>
              <wp:extent cx="740410" cy="64135"/>
              <wp:wrapNone/>
              <wp:docPr id="2850" name="Shape 2850"/>
              <a:graphic xmlns:a="http://schemas.openxmlformats.org/drawingml/2006/main">
                <a:graphicData uri="http://schemas.microsoft.com/office/word/2010/wordprocessingShape">
                  <wps:wsp>
                    <wps:cNvSpPr txBox="1"/>
                    <wps:spPr>
                      <a:xfrm>
                        <a:ext cx="740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76" type="#_x0000_t202" style="position:absolute;margin-left:11.15pt;margin-top:34.950000000000003pt;width:58.299999999999997pt;height:5.0499999999999998pt;z-index:-1887418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535305</wp:posOffset>
              </wp:positionV>
              <wp:extent cx="4023360" cy="0"/>
              <wp:wrapNone/>
              <wp:docPr id="2852" name="Shape 285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42.149999999999999pt;width:316.80000000000001pt;height:0;z-index:-251658240;mso-position-horizontal-relative:page;mso-position-vertical-relative:page">
              <v:stroke weight="1.pt"/>
            </v:shape>
          </w:pict>
        </mc:Fallback>
      </mc:AlternateContent>
    </w:r>
  </w:p>
</w:hdr>
</file>

<file path=word/header6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82" behindDoc="1" locked="0" layoutInCell="1" allowOverlap="1">
              <wp:simplePos x="0" y="0"/>
              <wp:positionH relativeFrom="page">
                <wp:posOffset>3425825</wp:posOffset>
              </wp:positionH>
              <wp:positionV relativeFrom="page">
                <wp:posOffset>416560</wp:posOffset>
              </wp:positionV>
              <wp:extent cx="737870" cy="64135"/>
              <wp:wrapNone/>
              <wp:docPr id="2853" name="Shape 2853"/>
              <a:graphic xmlns:a="http://schemas.openxmlformats.org/drawingml/2006/main">
                <a:graphicData uri="http://schemas.microsoft.com/office/word/2010/wordprocessingShape">
                  <wps:wsp>
                    <wps:cNvSpPr txBox="1"/>
                    <wps:spPr>
                      <a:xfrm>
                        <a:ext cx="73787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79" type="#_x0000_t202" style="position:absolute;margin-left:269.75pt;margin-top:32.799999999999997pt;width:58.100000000000001pt;height:5.0499999999999998pt;z-index:-1887418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513715</wp:posOffset>
              </wp:positionV>
              <wp:extent cx="4014470" cy="0"/>
              <wp:wrapNone/>
              <wp:docPr id="2855" name="Shape 285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0.450000000000003pt;width:316.10000000000002pt;height:0;z-index:-251658240;mso-position-horizontal-relative:page;mso-position-vertical-relative:page">
              <v:stroke weight="1.pt"/>
            </v:shape>
          </w:pict>
        </mc:Fallback>
      </mc:AlternateContent>
    </w:r>
  </w:p>
</w:hdr>
</file>

<file path=word/header6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84" behindDoc="1" locked="0" layoutInCell="1" allowOverlap="1">
              <wp:simplePos x="0" y="0"/>
              <wp:positionH relativeFrom="page">
                <wp:posOffset>144145</wp:posOffset>
              </wp:positionH>
              <wp:positionV relativeFrom="page">
                <wp:posOffset>440690</wp:posOffset>
              </wp:positionV>
              <wp:extent cx="1094105" cy="64135"/>
              <wp:wrapNone/>
              <wp:docPr id="2856" name="Shape 2856"/>
              <a:graphic xmlns:a="http://schemas.openxmlformats.org/drawingml/2006/main">
                <a:graphicData uri="http://schemas.microsoft.com/office/word/2010/wordprocessingShape">
                  <wps:wsp>
                    <wps:cNvSpPr txBox="1"/>
                    <wps:spPr>
                      <a:xfrm>
                        <a:ext cx="10941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SEKULARIZACIJA/SIMBOL</w:t>
                          </w:r>
                        </w:p>
                      </w:txbxContent>
                    </wps:txbx>
                    <wps:bodyPr wrap="none" lIns="0" tIns="0" rIns="0" bIns="0">
                      <a:spAutoFit/>
                    </wps:bodyPr>
                  </wps:wsp>
                </a:graphicData>
              </a:graphic>
            </wp:anchor>
          </w:drawing>
        </mc:Choice>
        <mc:Fallback>
          <w:pict>
            <v:shape id="_x0000_s3882" type="#_x0000_t202" style="position:absolute;margin-left:11.35pt;margin-top:34.700000000000003pt;width:86.150000000000006pt;height:5.0499999999999998pt;z-index:-1887418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SEKULARIZACIJA/SIMBOL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535305</wp:posOffset>
              </wp:positionV>
              <wp:extent cx="4023360" cy="0"/>
              <wp:wrapNone/>
              <wp:docPr id="2858" name="Shape 285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2.149999999999999pt;width:316.80000000000001pt;height:0;z-index:-251658240;mso-position-horizontal-relative:page;mso-position-vertical-relative:page">
              <v:stroke weight="1.pt"/>
            </v:shape>
          </w:pict>
        </mc:Fallback>
      </mc:AlternateContent>
    </w:r>
  </w:p>
</w:hdr>
</file>

<file path=word/header6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86" behindDoc="1" locked="0" layoutInCell="1" allowOverlap="1">
              <wp:simplePos x="0" y="0"/>
              <wp:positionH relativeFrom="page">
                <wp:posOffset>144145</wp:posOffset>
              </wp:positionH>
              <wp:positionV relativeFrom="page">
                <wp:posOffset>440690</wp:posOffset>
              </wp:positionV>
              <wp:extent cx="1094105" cy="64135"/>
              <wp:wrapNone/>
              <wp:docPr id="2859" name="Shape 2859"/>
              <a:graphic xmlns:a="http://schemas.openxmlformats.org/drawingml/2006/main">
                <a:graphicData uri="http://schemas.microsoft.com/office/word/2010/wordprocessingShape">
                  <wps:wsp>
                    <wps:cNvSpPr txBox="1"/>
                    <wps:spPr>
                      <a:xfrm>
                        <a:ext cx="10941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SEKULARIZACIJA/SIMBOL</w:t>
                          </w:r>
                        </w:p>
                      </w:txbxContent>
                    </wps:txbx>
                    <wps:bodyPr wrap="none" lIns="0" tIns="0" rIns="0" bIns="0">
                      <a:spAutoFit/>
                    </wps:bodyPr>
                  </wps:wsp>
                </a:graphicData>
              </a:graphic>
            </wp:anchor>
          </w:drawing>
        </mc:Choice>
        <mc:Fallback>
          <w:pict>
            <v:shape id="_x0000_s3885" type="#_x0000_t202" style="position:absolute;margin-left:11.35pt;margin-top:34.700000000000003pt;width:86.150000000000006pt;height:5.0499999999999998pt;z-index:-1887418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SEKULARIZACIJA/SIMBOL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535305</wp:posOffset>
              </wp:positionV>
              <wp:extent cx="4023360" cy="0"/>
              <wp:wrapNone/>
              <wp:docPr id="2861" name="Shape 286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pt;margin-top:42.149999999999999pt;width:316.80000000000001pt;height:0;z-index:-251658240;mso-position-horizontal-relative:page;mso-position-vertical-relative:page">
              <v:stroke weight="1.pt"/>
            </v:shape>
          </w:pict>
        </mc:Fallback>
      </mc:AlternateContent>
    </w:r>
  </w:p>
</w:hdr>
</file>

<file path=word/header6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88" behindDoc="1" locked="0" layoutInCell="1" allowOverlap="1">
              <wp:simplePos x="0" y="0"/>
              <wp:positionH relativeFrom="page">
                <wp:posOffset>3427095</wp:posOffset>
              </wp:positionH>
              <wp:positionV relativeFrom="page">
                <wp:posOffset>443865</wp:posOffset>
              </wp:positionV>
              <wp:extent cx="740410" cy="64135"/>
              <wp:wrapNone/>
              <wp:docPr id="2862" name="Shape 2862"/>
              <a:graphic xmlns:a="http://schemas.openxmlformats.org/drawingml/2006/main">
                <a:graphicData uri="http://schemas.microsoft.com/office/word/2010/wordprocessingShape">
                  <wps:wsp>
                    <wps:cNvSpPr txBox="1"/>
                    <wps:spPr>
                      <a:xfrm>
                        <a:ext cx="7404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wps:txbx>
                    <wps:bodyPr wrap="none" lIns="0" tIns="0" rIns="0" bIns="0">
                      <a:spAutoFit/>
                    </wps:bodyPr>
                  </wps:wsp>
                </a:graphicData>
              </a:graphic>
            </wp:anchor>
          </w:drawing>
        </mc:Choice>
        <mc:Fallback>
          <w:pict>
            <v:shape id="_x0000_s3888" type="#_x0000_t202" style="position:absolute;margin-left:269.85000000000002pt;margin-top:34.950000000000003pt;width:58.299999999999997pt;height:5.0499999999999998pt;z-index:-1887418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SEKULARIZACIJA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544195</wp:posOffset>
              </wp:positionV>
              <wp:extent cx="4014470" cy="0"/>
              <wp:wrapNone/>
              <wp:docPr id="2864" name="Shape 286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pt;margin-top:42.850000000000001pt;width:316.10000000000002pt;height:0;z-index:-251658240;mso-position-horizontal-relative:page;mso-position-vertical-relative:page">
              <v:stroke weight="1.pt"/>
            </v:shape>
          </w:pict>
        </mc:Fallback>
      </mc:AlternateContent>
    </w:r>
  </w:p>
</w:hdr>
</file>

<file path=word/header6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92" behindDoc="1" locked="0" layoutInCell="1" allowOverlap="1">
              <wp:simplePos x="0" y="0"/>
              <wp:positionH relativeFrom="page">
                <wp:posOffset>156845</wp:posOffset>
              </wp:positionH>
              <wp:positionV relativeFrom="page">
                <wp:posOffset>419735</wp:posOffset>
              </wp:positionV>
              <wp:extent cx="1219200" cy="60960"/>
              <wp:wrapNone/>
              <wp:docPr id="2867" name="Shape 2867"/>
              <a:graphic xmlns:a="http://schemas.openxmlformats.org/drawingml/2006/main">
                <a:graphicData uri="http://schemas.microsoft.com/office/word/2010/wordprocessingShape">
                  <wps:wsp>
                    <wps:cNvSpPr txBox="1"/>
                    <wps:spPr>
                      <a:xfrm>
                        <a:ext cx="121920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SIMBOL'SLAGANJ&amp;SLOBODA</w:t>
                          </w:r>
                        </w:p>
                      </w:txbxContent>
                    </wps:txbx>
                    <wps:bodyPr wrap="none" lIns="0" tIns="0" rIns="0" bIns="0">
                      <a:spAutoFit/>
                    </wps:bodyPr>
                  </wps:wsp>
                </a:graphicData>
              </a:graphic>
            </wp:anchor>
          </w:drawing>
        </mc:Choice>
        <mc:Fallback>
          <w:pict>
            <v:shape id="_x0000_s3893" type="#_x0000_t202" style="position:absolute;margin-left:12.35pt;margin-top:33.049999999999997pt;width:96.pt;height:4.7999999999999998pt;z-index:-1887418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SIMBOL'SLAGANJ&amp;SLOBODA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159385</wp:posOffset>
              </wp:positionH>
              <wp:positionV relativeFrom="page">
                <wp:posOffset>513715</wp:posOffset>
              </wp:positionV>
              <wp:extent cx="4014470" cy="0"/>
              <wp:wrapNone/>
              <wp:docPr id="2869" name="Shape 286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550000000000001pt;margin-top:40.450000000000003pt;width:316.10000000000002pt;height:0;z-index:-251658240;mso-position-horizontal-relative:page;mso-position-vertical-relative:page">
              <v:stroke weight="1.pt"/>
            </v:shape>
          </w:pict>
        </mc:Fallback>
      </mc:AlternateContent>
    </w:r>
  </w:p>
</w:hdr>
</file>

<file path=word/header6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896" behindDoc="1" locked="0" layoutInCell="1" allowOverlap="1">
              <wp:simplePos x="0" y="0"/>
              <wp:positionH relativeFrom="page">
                <wp:posOffset>156845</wp:posOffset>
              </wp:positionH>
              <wp:positionV relativeFrom="page">
                <wp:posOffset>419735</wp:posOffset>
              </wp:positionV>
              <wp:extent cx="1219200" cy="60960"/>
              <wp:wrapNone/>
              <wp:docPr id="2872" name="Shape 2872"/>
              <a:graphic xmlns:a="http://schemas.openxmlformats.org/drawingml/2006/main">
                <a:graphicData uri="http://schemas.microsoft.com/office/word/2010/wordprocessingShape">
                  <wps:wsp>
                    <wps:cNvSpPr txBox="1"/>
                    <wps:spPr>
                      <a:xfrm>
                        <a:ext cx="121920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SIMBOL'SLAGANJ&amp;SLOBODA</w:t>
                          </w:r>
                        </w:p>
                      </w:txbxContent>
                    </wps:txbx>
                    <wps:bodyPr wrap="none" lIns="0" tIns="0" rIns="0" bIns="0">
                      <a:spAutoFit/>
                    </wps:bodyPr>
                  </wps:wsp>
                </a:graphicData>
              </a:graphic>
            </wp:anchor>
          </w:drawing>
        </mc:Choice>
        <mc:Fallback>
          <w:pict>
            <v:shape id="_x0000_s3898" type="#_x0000_t202" style="position:absolute;margin-left:12.35pt;margin-top:33.049999999999997pt;width:96.pt;height:4.7999999999999998pt;z-index:-1887418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SIMBOL'SLAGANJ&amp;SLOBODA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159385</wp:posOffset>
              </wp:positionH>
              <wp:positionV relativeFrom="page">
                <wp:posOffset>513715</wp:posOffset>
              </wp:positionV>
              <wp:extent cx="4014470" cy="0"/>
              <wp:wrapNone/>
              <wp:docPr id="2874" name="Shape 287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550000000000001pt;margin-top:40.450000000000003pt;width:316.10000000000002pt;height:0;z-index:-251658240;mso-position-horizontal-relative:page;mso-position-vertical-relative:page">
              <v:stroke weight="1.pt"/>
            </v:shape>
          </w:pict>
        </mc:Fallback>
      </mc:AlternateContent>
    </w:r>
  </w:p>
</w:hdr>
</file>

<file path=word/header6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00" behindDoc="1" locked="0" layoutInCell="1" allowOverlap="1">
              <wp:simplePos x="0" y="0"/>
              <wp:positionH relativeFrom="page">
                <wp:posOffset>3843020</wp:posOffset>
              </wp:positionH>
              <wp:positionV relativeFrom="page">
                <wp:posOffset>419735</wp:posOffset>
              </wp:positionV>
              <wp:extent cx="320040" cy="60960"/>
              <wp:wrapNone/>
              <wp:docPr id="2877" name="Shape 2877"/>
              <a:graphic xmlns:a="http://schemas.openxmlformats.org/drawingml/2006/main">
                <a:graphicData uri="http://schemas.microsoft.com/office/word/2010/wordprocessingShape">
                  <wps:wsp>
                    <wps:cNvSpPr txBox="1"/>
                    <wps:spPr>
                      <a:xfrm>
                        <a:ext cx="32004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SIMBOL</w:t>
                          </w:r>
                        </w:p>
                      </w:txbxContent>
                    </wps:txbx>
                    <wps:bodyPr wrap="none" lIns="0" tIns="0" rIns="0" bIns="0">
                      <a:spAutoFit/>
                    </wps:bodyPr>
                  </wps:wsp>
                </a:graphicData>
              </a:graphic>
            </wp:anchor>
          </w:drawing>
        </mc:Choice>
        <mc:Fallback>
          <w:pict>
            <v:shape id="_x0000_s3903" type="#_x0000_t202" style="position:absolute;margin-left:302.60000000000002pt;margin-top:33.049999999999997pt;width:25.199999999999999pt;height:4.7999999999999998pt;z-index:-1887418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SIMBOL</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524510</wp:posOffset>
              </wp:positionV>
              <wp:extent cx="4020185" cy="0"/>
              <wp:wrapNone/>
              <wp:docPr id="2879" name="Shape 287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25pt;margin-top:41.299999999999997pt;width:316.55000000000001pt;height:0;z-index:-251658240;mso-position-horizontal-relative:page;mso-position-vertical-relative:page">
              <v:stroke weight="1.pt"/>
            </v:shape>
          </w:pict>
        </mc:Fallback>
      </mc:AlternateContent>
    </w:r>
  </w:p>
</w:hdr>
</file>

<file path=word/header6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04" behindDoc="1" locked="0" layoutInCell="1" allowOverlap="1">
              <wp:simplePos x="0" y="0"/>
              <wp:positionH relativeFrom="page">
                <wp:posOffset>3753485</wp:posOffset>
              </wp:positionH>
              <wp:positionV relativeFrom="page">
                <wp:posOffset>416560</wp:posOffset>
              </wp:positionV>
              <wp:extent cx="408305" cy="64135"/>
              <wp:wrapNone/>
              <wp:docPr id="2882" name="Shape 2882"/>
              <a:graphic xmlns:a="http://schemas.openxmlformats.org/drawingml/2006/main">
                <a:graphicData uri="http://schemas.microsoft.com/office/word/2010/wordprocessingShape">
                  <wps:wsp>
                    <wps:cNvSpPr txBox="1"/>
                    <wps:spPr>
                      <a:xfrm>
                        <a:ext cx="4083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w:t>
                          </w:r>
                        </w:p>
                      </w:txbxContent>
                    </wps:txbx>
                    <wps:bodyPr wrap="none" lIns="0" tIns="0" rIns="0" bIns="0">
                      <a:spAutoFit/>
                    </wps:bodyPr>
                  </wps:wsp>
                </a:graphicData>
              </a:graphic>
            </wp:anchor>
          </w:drawing>
        </mc:Choice>
        <mc:Fallback>
          <w:pict>
            <v:shape id="_x0000_s3908" type="#_x0000_t202" style="position:absolute;margin-left:295.55000000000001pt;margin-top:32.799999999999997pt;width:32.149999999999999pt;height:5.0499999999999998pt;z-index:-1887418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521970</wp:posOffset>
              </wp:positionV>
              <wp:extent cx="4014470" cy="0"/>
              <wp:wrapNone/>
              <wp:docPr id="2884" name="Shape 288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pt;margin-top:41.100000000000001pt;width:316.10000000000002pt;height:0;z-index:-251658240;mso-position-horizontal-relative:page;mso-position-vertical-relative:page">
              <v:stroke weight="1.pt"/>
            </v:shape>
          </w:pict>
        </mc:Fallback>
      </mc:AlternateContent>
    </w:r>
  </w:p>
</w:hdr>
</file>

<file path=word/header6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08" behindDoc="1" locked="0" layoutInCell="1" allowOverlap="1">
              <wp:simplePos x="0" y="0"/>
              <wp:positionH relativeFrom="page">
                <wp:posOffset>139700</wp:posOffset>
              </wp:positionH>
              <wp:positionV relativeFrom="page">
                <wp:posOffset>416560</wp:posOffset>
              </wp:positionV>
              <wp:extent cx="408305" cy="64135"/>
              <wp:wrapNone/>
              <wp:docPr id="2887" name="Shape 2887"/>
              <a:graphic xmlns:a="http://schemas.openxmlformats.org/drawingml/2006/main">
                <a:graphicData uri="http://schemas.microsoft.com/office/word/2010/wordprocessingShape">
                  <wps:wsp>
                    <wps:cNvSpPr txBox="1"/>
                    <wps:spPr>
                      <a:xfrm>
                        <a:ext cx="4083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w:t>
                          </w:r>
                        </w:p>
                      </w:txbxContent>
                    </wps:txbx>
                    <wps:bodyPr wrap="none" lIns="0" tIns="0" rIns="0" bIns="0">
                      <a:spAutoFit/>
                    </wps:bodyPr>
                  </wps:wsp>
                </a:graphicData>
              </a:graphic>
            </wp:anchor>
          </w:drawing>
        </mc:Choice>
        <mc:Fallback>
          <w:pict>
            <v:shape id="_x0000_s3913" type="#_x0000_t202" style="position:absolute;margin-left:11.pt;margin-top:32.799999999999997pt;width:32.149999999999999pt;height:5.0499999999999998pt;z-index:-1887418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506730</wp:posOffset>
              </wp:positionV>
              <wp:extent cx="4017010" cy="0"/>
              <wp:wrapNone/>
              <wp:docPr id="2889" name="Shape 288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25pt;margin-top:39.899999999999999pt;width:316.30000000000001pt;height:0;z-index:-251658240;mso-position-horizontal-relative:page;mso-position-vertical-relative:page">
              <v:stroke weight="1.pt"/>
            </v:shape>
          </w:pict>
        </mc:Fallback>
      </mc:AlternateContent>
    </w:r>
  </w:p>
</w:hdr>
</file>

<file path=word/header6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12" behindDoc="1" locked="0" layoutInCell="1" allowOverlap="1">
              <wp:simplePos x="0" y="0"/>
              <wp:positionH relativeFrom="page">
                <wp:posOffset>139700</wp:posOffset>
              </wp:positionH>
              <wp:positionV relativeFrom="page">
                <wp:posOffset>398145</wp:posOffset>
              </wp:positionV>
              <wp:extent cx="770890" cy="82550"/>
              <wp:wrapNone/>
              <wp:docPr id="2892" name="Shape 2892"/>
              <a:graphic xmlns:a="http://schemas.openxmlformats.org/drawingml/2006/main">
                <a:graphicData uri="http://schemas.microsoft.com/office/word/2010/wordprocessingShape">
                  <wps:wsp>
                    <wps:cNvSpPr txBox="1"/>
                    <wps:spPr>
                      <a:xfrm>
                        <a:ext cx="7708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SLOBODASLUŽBA</w:t>
                          </w:r>
                        </w:p>
                      </w:txbxContent>
                    </wps:txbx>
                    <wps:bodyPr wrap="none" lIns="0" tIns="0" rIns="0" bIns="0">
                      <a:spAutoFit/>
                    </wps:bodyPr>
                  </wps:wsp>
                </a:graphicData>
              </a:graphic>
            </wp:anchor>
          </w:drawing>
        </mc:Choice>
        <mc:Fallback>
          <w:pict>
            <v:shape id="_x0000_s3918" type="#_x0000_t202" style="position:absolute;margin-left:11.pt;margin-top:31.350000000000001pt;width:60.700000000000003pt;height:6.5pt;z-index:-1887418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SLOBODASLUŽBA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139700</wp:posOffset>
              </wp:positionH>
              <wp:positionV relativeFrom="page">
                <wp:posOffset>509270</wp:posOffset>
              </wp:positionV>
              <wp:extent cx="4020185" cy="0"/>
              <wp:wrapNone/>
              <wp:docPr id="2894" name="Shape 289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pt;margin-top:40.100000000000001pt;width:316.55000000000001pt;height:0;z-index:-251658240;mso-position-horizontal-relative:page;mso-position-vertical-relative:page">
              <v:stroke weight="1.pt"/>
            </v:shape>
          </w:pict>
        </mc:Fallback>
      </mc:AlternateContent>
    </w:r>
  </w:p>
</w:hdr>
</file>

<file path=word/header6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16" behindDoc="1" locked="0" layoutInCell="1" allowOverlap="1">
              <wp:simplePos x="0" y="0"/>
              <wp:positionH relativeFrom="page">
                <wp:posOffset>139700</wp:posOffset>
              </wp:positionH>
              <wp:positionV relativeFrom="page">
                <wp:posOffset>398145</wp:posOffset>
              </wp:positionV>
              <wp:extent cx="770890" cy="82550"/>
              <wp:wrapNone/>
              <wp:docPr id="2897" name="Shape 2897"/>
              <a:graphic xmlns:a="http://schemas.openxmlformats.org/drawingml/2006/main">
                <a:graphicData uri="http://schemas.microsoft.com/office/word/2010/wordprocessingShape">
                  <wps:wsp>
                    <wps:cNvSpPr txBox="1"/>
                    <wps:spPr>
                      <a:xfrm>
                        <a:ext cx="7708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SLOBODASLUŽBA</w:t>
                          </w:r>
                        </w:p>
                      </w:txbxContent>
                    </wps:txbx>
                    <wps:bodyPr wrap="none" lIns="0" tIns="0" rIns="0" bIns="0">
                      <a:spAutoFit/>
                    </wps:bodyPr>
                  </wps:wsp>
                </a:graphicData>
              </a:graphic>
            </wp:anchor>
          </w:drawing>
        </mc:Choice>
        <mc:Fallback>
          <w:pict>
            <v:shape id="_x0000_s3923" type="#_x0000_t202" style="position:absolute;margin-left:11.pt;margin-top:31.350000000000001pt;width:60.700000000000003pt;height:6.5pt;z-index:-1887418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SLOBODASLUŽBA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139700</wp:posOffset>
              </wp:positionH>
              <wp:positionV relativeFrom="page">
                <wp:posOffset>509270</wp:posOffset>
              </wp:positionV>
              <wp:extent cx="4020185" cy="0"/>
              <wp:wrapNone/>
              <wp:docPr id="2899" name="Shape 289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pt;margin-top:40.100000000000001pt;width:316.55000000000001pt;height:0;z-index:-251658240;mso-position-horizontal-relative:page;mso-position-vertical-relative:page">
              <v:stroke weight="1.pt"/>
            </v:shape>
          </w:pict>
        </mc:Fallback>
      </mc:AlternateContent>
    </w:r>
  </w:p>
</w:hdr>
</file>

<file path=word/header6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20" behindDoc="1" locked="0" layoutInCell="1" allowOverlap="1">
              <wp:simplePos x="0" y="0"/>
              <wp:positionH relativeFrom="page">
                <wp:posOffset>151765</wp:posOffset>
              </wp:positionH>
              <wp:positionV relativeFrom="page">
                <wp:posOffset>425450</wp:posOffset>
              </wp:positionV>
              <wp:extent cx="335280" cy="79375"/>
              <wp:wrapNone/>
              <wp:docPr id="2902" name="Shape 2902"/>
              <a:graphic xmlns:a="http://schemas.openxmlformats.org/drawingml/2006/main">
                <a:graphicData uri="http://schemas.microsoft.com/office/word/2010/wordprocessingShape">
                  <wps:wsp>
                    <wps:cNvSpPr txBox="1"/>
                    <wps:spPr>
                      <a:xfrm>
                        <a:ext cx="3352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wps:txbx>
                    <wps:bodyPr wrap="none" lIns="0" tIns="0" rIns="0" bIns="0">
                      <a:spAutoFit/>
                    </wps:bodyPr>
                  </wps:wsp>
                </a:graphicData>
              </a:graphic>
            </wp:anchor>
          </w:drawing>
        </mc:Choice>
        <mc:Fallback>
          <w:pict>
            <v:shape id="_x0000_s3928" type="#_x0000_t202" style="position:absolute;margin-left:11.949999999999999pt;margin-top:33.5pt;width:26.399999999999999pt;height:6.25pt;z-index:-1887418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537845</wp:posOffset>
              </wp:positionV>
              <wp:extent cx="4020185" cy="0"/>
              <wp:wrapNone/>
              <wp:docPr id="2904" name="Shape 290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2.350000000000001pt;width:316.55000000000001pt;height:0;z-index:-251658240;mso-position-horizontal-relative:page;mso-position-vertical-relative:page">
              <v:stroke weight="1.pt"/>
            </v:shape>
          </w:pict>
        </mc:Fallback>
      </mc:AlternateContent>
    </w:r>
  </w:p>
</w:hdr>
</file>

<file path=word/header6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22" behindDoc="1" locked="0" layoutInCell="1" allowOverlap="1">
              <wp:simplePos x="0" y="0"/>
              <wp:positionH relativeFrom="page">
                <wp:posOffset>151765</wp:posOffset>
              </wp:positionH>
              <wp:positionV relativeFrom="page">
                <wp:posOffset>425450</wp:posOffset>
              </wp:positionV>
              <wp:extent cx="335280" cy="79375"/>
              <wp:wrapNone/>
              <wp:docPr id="2905" name="Shape 2905"/>
              <a:graphic xmlns:a="http://schemas.openxmlformats.org/drawingml/2006/main">
                <a:graphicData uri="http://schemas.microsoft.com/office/word/2010/wordprocessingShape">
                  <wps:wsp>
                    <wps:cNvSpPr txBox="1"/>
                    <wps:spPr>
                      <a:xfrm>
                        <a:ext cx="3352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wps:txbx>
                    <wps:bodyPr wrap="none" lIns="0" tIns="0" rIns="0" bIns="0">
                      <a:spAutoFit/>
                    </wps:bodyPr>
                  </wps:wsp>
                </a:graphicData>
              </a:graphic>
            </wp:anchor>
          </w:drawing>
        </mc:Choice>
        <mc:Fallback>
          <w:pict>
            <v:shape id="_x0000_s3931" type="#_x0000_t202" style="position:absolute;margin-left:11.949999999999999pt;margin-top:33.5pt;width:26.399999999999999pt;height:6.25pt;z-index:-1887418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537845</wp:posOffset>
              </wp:positionV>
              <wp:extent cx="4020185" cy="0"/>
              <wp:wrapNone/>
              <wp:docPr id="2907" name="Shape 290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49999999999999pt;margin-top:42.350000000000001pt;width:316.55000000000001pt;height:0;z-index:-251658240;mso-position-horizontal-relative:page;mso-position-vertical-relative:page">
              <v:stroke weight="1.pt"/>
            </v:shape>
          </w:pict>
        </mc:Fallback>
      </mc:AlternateContent>
    </w:r>
  </w:p>
</w:hdr>
</file>

<file path=word/header6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24" behindDoc="1" locked="0" layoutInCell="1" allowOverlap="1">
              <wp:simplePos x="0" y="0"/>
              <wp:positionH relativeFrom="page">
                <wp:posOffset>3829685</wp:posOffset>
              </wp:positionH>
              <wp:positionV relativeFrom="page">
                <wp:posOffset>416560</wp:posOffset>
              </wp:positionV>
              <wp:extent cx="335280" cy="79375"/>
              <wp:wrapNone/>
              <wp:docPr id="2908" name="Shape 2908"/>
              <a:graphic xmlns:a="http://schemas.openxmlformats.org/drawingml/2006/main">
                <a:graphicData uri="http://schemas.microsoft.com/office/word/2010/wordprocessingShape">
                  <wps:wsp>
                    <wps:cNvSpPr txBox="1"/>
                    <wps:spPr>
                      <a:xfrm>
                        <a:ext cx="3352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SI.UŽ.BA</w:t>
                          </w:r>
                        </w:p>
                      </w:txbxContent>
                    </wps:txbx>
                    <wps:bodyPr wrap="none" lIns="0" tIns="0" rIns="0" bIns="0">
                      <a:spAutoFit/>
                    </wps:bodyPr>
                  </wps:wsp>
                </a:graphicData>
              </a:graphic>
            </wp:anchor>
          </w:drawing>
        </mc:Choice>
        <mc:Fallback>
          <w:pict>
            <v:shape id="_x0000_s3934" type="#_x0000_t202" style="position:absolute;margin-left:301.55000000000001pt;margin-top:32.799999999999997pt;width:26.399999999999999pt;height:6.25pt;z-index:-1887418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SI.UŽ.BA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534035</wp:posOffset>
              </wp:positionV>
              <wp:extent cx="4020185" cy="0"/>
              <wp:wrapNone/>
              <wp:docPr id="2910" name="Shape 291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2.049999999999997pt;width:316.55000000000001pt;height:0;z-index:-251658240;mso-position-horizontal-relative:page;mso-position-vertical-relative:page">
              <v:stroke weight="1.pt"/>
            </v:shape>
          </w:pict>
        </mc:Fallback>
      </mc:AlternateContent>
    </w:r>
  </w:p>
</w:hdr>
</file>

<file path=word/header6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28" behindDoc="1" locked="0" layoutInCell="1" allowOverlap="1">
              <wp:simplePos x="0" y="0"/>
              <wp:positionH relativeFrom="page">
                <wp:posOffset>3829685</wp:posOffset>
              </wp:positionH>
              <wp:positionV relativeFrom="page">
                <wp:posOffset>416560</wp:posOffset>
              </wp:positionV>
              <wp:extent cx="328930" cy="79375"/>
              <wp:wrapNone/>
              <wp:docPr id="2913" name="Shape 2913"/>
              <a:graphic xmlns:a="http://schemas.openxmlformats.org/drawingml/2006/main">
                <a:graphicData uri="http://schemas.microsoft.com/office/word/2010/wordprocessingShape">
                  <wps:wsp>
                    <wps:cNvSpPr txBox="1"/>
                    <wps:spPr>
                      <a:xfrm>
                        <a:ext cx="3289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wps:txbx>
                    <wps:bodyPr wrap="none" lIns="0" tIns="0" rIns="0" bIns="0">
                      <a:spAutoFit/>
                    </wps:bodyPr>
                  </wps:wsp>
                </a:graphicData>
              </a:graphic>
            </wp:anchor>
          </w:drawing>
        </mc:Choice>
        <mc:Fallback>
          <w:pict>
            <v:shape id="_x0000_s3939" type="#_x0000_t202" style="position:absolute;margin-left:301.55000000000001pt;margin-top:32.799999999999997pt;width:25.899999999999999pt;height:6.25pt;z-index:-1887418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534035</wp:posOffset>
              </wp:positionV>
              <wp:extent cx="4017010" cy="0"/>
              <wp:wrapNone/>
              <wp:docPr id="2915" name="Shape 291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42.049999999999997pt;width:316.30000000000001pt;height:0;z-index:-251658240;mso-position-horizontal-relative:page;mso-position-vertical-relative:page">
              <v:stroke weight="1.pt"/>
            </v:shape>
          </w:pict>
        </mc:Fallback>
      </mc:AlternateContent>
    </w:r>
  </w:p>
</w:hdr>
</file>

<file path=word/header6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32" behindDoc="1" locked="0" layoutInCell="1" allowOverlap="1">
              <wp:simplePos x="0" y="0"/>
              <wp:positionH relativeFrom="page">
                <wp:posOffset>3829685</wp:posOffset>
              </wp:positionH>
              <wp:positionV relativeFrom="page">
                <wp:posOffset>416560</wp:posOffset>
              </wp:positionV>
              <wp:extent cx="328930" cy="79375"/>
              <wp:wrapNone/>
              <wp:docPr id="2918" name="Shape 2918"/>
              <a:graphic xmlns:a="http://schemas.openxmlformats.org/drawingml/2006/main">
                <a:graphicData uri="http://schemas.microsoft.com/office/word/2010/wordprocessingShape">
                  <wps:wsp>
                    <wps:cNvSpPr txBox="1"/>
                    <wps:spPr>
                      <a:xfrm>
                        <a:ext cx="3289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wps:txbx>
                    <wps:bodyPr wrap="none" lIns="0" tIns="0" rIns="0" bIns="0">
                      <a:spAutoFit/>
                    </wps:bodyPr>
                  </wps:wsp>
                </a:graphicData>
              </a:graphic>
            </wp:anchor>
          </w:drawing>
        </mc:Choice>
        <mc:Fallback>
          <w:pict>
            <v:shape id="_x0000_s3944" type="#_x0000_t202" style="position:absolute;margin-left:301.55000000000001pt;margin-top:32.799999999999997pt;width:25.899999999999999pt;height:6.25pt;z-index:-1887418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SLUŽBA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534035</wp:posOffset>
              </wp:positionV>
              <wp:extent cx="4017010" cy="0"/>
              <wp:wrapNone/>
              <wp:docPr id="2920" name="Shape 292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42.049999999999997pt;width:316.30000000000001pt;height:0;z-index:-251658240;mso-position-horizontal-relative:page;mso-position-vertical-relative:page">
              <v:stroke weight="1.pt"/>
            </v:shape>
          </w:pict>
        </mc:Fallback>
      </mc:AlternateContent>
    </w:r>
  </w:p>
</w:hdr>
</file>

<file path=word/header6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36" behindDoc="1" locked="0" layoutInCell="1" allowOverlap="1">
              <wp:simplePos x="0" y="0"/>
              <wp:positionH relativeFrom="page">
                <wp:posOffset>147320</wp:posOffset>
              </wp:positionH>
              <wp:positionV relativeFrom="page">
                <wp:posOffset>416560</wp:posOffset>
              </wp:positionV>
              <wp:extent cx="603250" cy="85090"/>
              <wp:wrapNone/>
              <wp:docPr id="2923" name="Shape 2923"/>
              <a:graphic xmlns:a="http://schemas.openxmlformats.org/drawingml/2006/main">
                <a:graphicData uri="http://schemas.microsoft.com/office/word/2010/wordprocessingShape">
                  <wps:wsp>
                    <wps:cNvSpPr txBox="1"/>
                    <wps:spPr>
                      <a:xfrm>
                        <a:ext cx="60325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SUJŽBA/SMRT</w:t>
                          </w:r>
                        </w:p>
                      </w:txbxContent>
                    </wps:txbx>
                    <wps:bodyPr wrap="none" lIns="0" tIns="0" rIns="0" bIns="0">
                      <a:spAutoFit/>
                    </wps:bodyPr>
                  </wps:wsp>
                </a:graphicData>
              </a:graphic>
            </wp:anchor>
          </w:drawing>
        </mc:Choice>
        <mc:Fallback>
          <w:pict>
            <v:shape id="_x0000_s3949" type="#_x0000_t202" style="position:absolute;margin-left:11.6pt;margin-top:32.799999999999997pt;width:47.5pt;height:6.7000000000000002pt;z-index:-1887418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SUJŽBA/SMRT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534035</wp:posOffset>
              </wp:positionV>
              <wp:extent cx="4026535" cy="0"/>
              <wp:wrapNone/>
              <wp:docPr id="2925" name="Shape 2925"/>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85pt;margin-top:42.049999999999997pt;width:317.05000000000001pt;height:0;z-index:-251658240;mso-position-horizontal-relative:page;mso-position-vertical-relative:page">
              <v:stroke weight="1.pt"/>
            </v:shape>
          </w:pict>
        </mc:Fallback>
      </mc:AlternateContent>
    </w:r>
  </w:p>
</w:hdr>
</file>

<file path=word/header6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38" behindDoc="1" locked="0" layoutInCell="1" allowOverlap="1">
              <wp:simplePos x="0" y="0"/>
              <wp:positionH relativeFrom="page">
                <wp:posOffset>147320</wp:posOffset>
              </wp:positionH>
              <wp:positionV relativeFrom="page">
                <wp:posOffset>416560</wp:posOffset>
              </wp:positionV>
              <wp:extent cx="603250" cy="85090"/>
              <wp:wrapNone/>
              <wp:docPr id="2926" name="Shape 2926"/>
              <a:graphic xmlns:a="http://schemas.openxmlformats.org/drawingml/2006/main">
                <a:graphicData uri="http://schemas.microsoft.com/office/word/2010/wordprocessingShape">
                  <wps:wsp>
                    <wps:cNvSpPr txBox="1"/>
                    <wps:spPr>
                      <a:xfrm>
                        <a:ext cx="60325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SUJŽBA/SMRT</w:t>
                          </w:r>
                        </w:p>
                      </w:txbxContent>
                    </wps:txbx>
                    <wps:bodyPr wrap="none" lIns="0" tIns="0" rIns="0" bIns="0">
                      <a:spAutoFit/>
                    </wps:bodyPr>
                  </wps:wsp>
                </a:graphicData>
              </a:graphic>
            </wp:anchor>
          </w:drawing>
        </mc:Choice>
        <mc:Fallback>
          <w:pict>
            <v:shape id="_x0000_s3952" type="#_x0000_t202" style="position:absolute;margin-left:11.6pt;margin-top:32.799999999999997pt;width:47.5pt;height:6.7000000000000002pt;z-index:-1887418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SUJŽBA/SMRT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534035</wp:posOffset>
              </wp:positionV>
              <wp:extent cx="4026535" cy="0"/>
              <wp:wrapNone/>
              <wp:docPr id="2928" name="Shape 292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85pt;margin-top:42.049999999999997pt;width:317.05000000000001pt;height:0;z-index:-251658240;mso-position-horizontal-relative:page;mso-position-vertical-relative:page">
              <v:stroke weight="1.pt"/>
            </v:shape>
          </w:pict>
        </mc:Fallback>
      </mc:AlternateContent>
    </w:r>
  </w:p>
</w:hdr>
</file>

<file path=word/header6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40" behindDoc="1" locked="0" layoutInCell="1" allowOverlap="1">
              <wp:simplePos x="0" y="0"/>
              <wp:positionH relativeFrom="page">
                <wp:posOffset>3934460</wp:posOffset>
              </wp:positionH>
              <wp:positionV relativeFrom="page">
                <wp:posOffset>443865</wp:posOffset>
              </wp:positionV>
              <wp:extent cx="240665" cy="64135"/>
              <wp:wrapNone/>
              <wp:docPr id="2929" name="Shape 2929"/>
              <a:graphic xmlns:a="http://schemas.openxmlformats.org/drawingml/2006/main">
                <a:graphicData uri="http://schemas.microsoft.com/office/word/2010/wordprocessingShape">
                  <wps:wsp>
                    <wps:cNvSpPr txBox="1"/>
                    <wps:spPr>
                      <a:xfrm>
                        <a:ext cx="2406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wps:txbx>
                    <wps:bodyPr wrap="none" lIns="0" tIns="0" rIns="0" bIns="0">
                      <a:spAutoFit/>
                    </wps:bodyPr>
                  </wps:wsp>
                </a:graphicData>
              </a:graphic>
            </wp:anchor>
          </w:drawing>
        </mc:Choice>
        <mc:Fallback>
          <w:pict>
            <v:shape id="_x0000_s3955" type="#_x0000_t202" style="position:absolute;margin-left:309.80000000000001pt;margin-top:34.950000000000003pt;width:18.949999999999999pt;height:5.0499999999999998pt;z-index:-1887418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542925</wp:posOffset>
              </wp:positionV>
              <wp:extent cx="4014470" cy="0"/>
              <wp:wrapNone/>
              <wp:docPr id="2931" name="Shape 2931"/>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2.75pt;width:316.10000000000002pt;height:0;z-index:-251658240;mso-position-horizontal-relative:page;mso-position-vertical-relative:page">
              <v:stroke weight="1.pt"/>
            </v:shape>
          </w:pict>
        </mc:Fallback>
      </mc:AlternateContent>
    </w:r>
  </w:p>
</w:hdr>
</file>

<file path=word/header6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44" behindDoc="1" locked="0" layoutInCell="1" allowOverlap="1">
              <wp:simplePos x="0" y="0"/>
              <wp:positionH relativeFrom="page">
                <wp:posOffset>3934460</wp:posOffset>
              </wp:positionH>
              <wp:positionV relativeFrom="page">
                <wp:posOffset>443865</wp:posOffset>
              </wp:positionV>
              <wp:extent cx="240665" cy="64135"/>
              <wp:wrapNone/>
              <wp:docPr id="2934" name="Shape 2934"/>
              <a:graphic xmlns:a="http://schemas.openxmlformats.org/drawingml/2006/main">
                <a:graphicData uri="http://schemas.microsoft.com/office/word/2010/wordprocessingShape">
                  <wps:wsp>
                    <wps:cNvSpPr txBox="1"/>
                    <wps:spPr>
                      <a:xfrm>
                        <a:ext cx="2406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wps:txbx>
                    <wps:bodyPr wrap="none" lIns="0" tIns="0" rIns="0" bIns="0">
                      <a:spAutoFit/>
                    </wps:bodyPr>
                  </wps:wsp>
                </a:graphicData>
              </a:graphic>
            </wp:anchor>
          </w:drawing>
        </mc:Choice>
        <mc:Fallback>
          <w:pict>
            <v:shape id="_x0000_s3960" type="#_x0000_t202" style="position:absolute;margin-left:309.80000000000001pt;margin-top:34.950000000000003pt;width:18.949999999999999pt;height:5.0499999999999998pt;z-index:-1887418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542925</wp:posOffset>
              </wp:positionV>
              <wp:extent cx="4014470" cy="0"/>
              <wp:wrapNone/>
              <wp:docPr id="2936" name="Shape 293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2.75pt;width:316.10000000000002pt;height:0;z-index:-251658240;mso-position-horizontal-relative:page;mso-position-vertical-relative:page">
              <v:stroke weight="1.pt"/>
            </v:shape>
          </w:pict>
        </mc:Fallback>
      </mc:AlternateContent>
    </w:r>
  </w:p>
</w:hdr>
</file>

<file path=word/header6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48" behindDoc="1" locked="0" layoutInCell="1" allowOverlap="1">
              <wp:simplePos x="0" y="0"/>
              <wp:positionH relativeFrom="page">
                <wp:posOffset>160020</wp:posOffset>
              </wp:positionH>
              <wp:positionV relativeFrom="page">
                <wp:posOffset>446405</wp:posOffset>
              </wp:positionV>
              <wp:extent cx="234950" cy="64135"/>
              <wp:wrapNone/>
              <wp:docPr id="2939" name="Shape 2939"/>
              <a:graphic xmlns:a="http://schemas.openxmlformats.org/drawingml/2006/main">
                <a:graphicData uri="http://schemas.microsoft.com/office/word/2010/wordprocessingShape">
                  <wps:wsp>
                    <wps:cNvSpPr txBox="1"/>
                    <wps:spPr>
                      <a:xfrm>
                        <a:ext cx="2349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wps:txbx>
                    <wps:bodyPr wrap="none" lIns="0" tIns="0" rIns="0" bIns="0">
                      <a:spAutoFit/>
                    </wps:bodyPr>
                  </wps:wsp>
                </a:graphicData>
              </a:graphic>
            </wp:anchor>
          </w:drawing>
        </mc:Choice>
        <mc:Fallback>
          <w:pict>
            <v:shape id="_x0000_s3965" type="#_x0000_t202" style="position:absolute;margin-left:12.6pt;margin-top:35.149999999999999pt;width:18.5pt;height:5.0499999999999998pt;z-index:-1887418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160020</wp:posOffset>
              </wp:positionH>
              <wp:positionV relativeFrom="page">
                <wp:posOffset>546735</wp:posOffset>
              </wp:positionV>
              <wp:extent cx="4011295" cy="0"/>
              <wp:wrapNone/>
              <wp:docPr id="2941" name="Shape 2941"/>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6pt;margin-top:43.049999999999997pt;width:315.85000000000002pt;height:0;z-index:-251658240;mso-position-horizontal-relative:page;mso-position-vertical-relative:page">
              <v:stroke weight="1.pt"/>
            </v:shape>
          </w:pict>
        </mc:Fallback>
      </mc:AlternateContent>
    </w:r>
  </w:p>
</w:hdr>
</file>

<file path=word/header6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50" behindDoc="1" locked="0" layoutInCell="1" allowOverlap="1">
              <wp:simplePos x="0" y="0"/>
              <wp:positionH relativeFrom="page">
                <wp:posOffset>160020</wp:posOffset>
              </wp:positionH>
              <wp:positionV relativeFrom="page">
                <wp:posOffset>446405</wp:posOffset>
              </wp:positionV>
              <wp:extent cx="234950" cy="64135"/>
              <wp:wrapNone/>
              <wp:docPr id="2942" name="Shape 2942"/>
              <a:graphic xmlns:a="http://schemas.openxmlformats.org/drawingml/2006/main">
                <a:graphicData uri="http://schemas.microsoft.com/office/word/2010/wordprocessingShape">
                  <wps:wsp>
                    <wps:cNvSpPr txBox="1"/>
                    <wps:spPr>
                      <a:xfrm>
                        <a:ext cx="2349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wps:txbx>
                    <wps:bodyPr wrap="none" lIns="0" tIns="0" rIns="0" bIns="0">
                      <a:spAutoFit/>
                    </wps:bodyPr>
                  </wps:wsp>
                </a:graphicData>
              </a:graphic>
            </wp:anchor>
          </w:drawing>
        </mc:Choice>
        <mc:Fallback>
          <w:pict>
            <v:shape id="_x0000_s3968" type="#_x0000_t202" style="position:absolute;margin-left:12.6pt;margin-top:35.149999999999999pt;width:18.5pt;height:5.0499999999999998pt;z-index:-1887418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160020</wp:posOffset>
              </wp:positionH>
              <wp:positionV relativeFrom="page">
                <wp:posOffset>546735</wp:posOffset>
              </wp:positionV>
              <wp:extent cx="4011295" cy="0"/>
              <wp:wrapNone/>
              <wp:docPr id="2944" name="Shape 2944"/>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6pt;margin-top:43.049999999999997pt;width:315.85000000000002pt;height:0;z-index:-251658240;mso-position-horizontal-relative:page;mso-position-vertical-relative:page">
              <v:stroke weight="1.pt"/>
            </v:shape>
          </w:pict>
        </mc:Fallback>
      </mc:AlternateContent>
    </w:r>
  </w:p>
</w:hdr>
</file>

<file path=word/header6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52" behindDoc="1" locked="0" layoutInCell="1" allowOverlap="1">
              <wp:simplePos x="0" y="0"/>
              <wp:positionH relativeFrom="page">
                <wp:posOffset>146050</wp:posOffset>
              </wp:positionH>
              <wp:positionV relativeFrom="page">
                <wp:posOffset>467360</wp:posOffset>
              </wp:positionV>
              <wp:extent cx="1021080" cy="73025"/>
              <wp:wrapNone/>
              <wp:docPr id="2945" name="Shape 2945"/>
              <a:graphic xmlns:a="http://schemas.openxmlformats.org/drawingml/2006/main">
                <a:graphicData uri="http://schemas.microsoft.com/office/word/2010/wordprocessingShape">
                  <wps:wsp>
                    <wps:cNvSpPr txBox="1"/>
                    <wps:spPr>
                      <a:xfrm>
                        <a:ext cx="102108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SMR17S0CUALN1 </w:t>
                          </w:r>
                          <w:r>
                            <w:rPr>
                              <w:color w:val="000000"/>
                              <w:spacing w:val="0"/>
                              <w:w w:val="100"/>
                              <w:position w:val="0"/>
                              <w:shd w:val="clear" w:color="auto" w:fill="auto"/>
                              <w:lang w:val="hr-HR" w:eastAsia="hr-HR" w:bidi="hr-HR"/>
                            </w:rPr>
                            <w:t>POREZ</w:t>
                          </w:r>
                        </w:p>
                      </w:txbxContent>
                    </wps:txbx>
                    <wps:bodyPr wrap="none" lIns="0" tIns="0" rIns="0" bIns="0">
                      <a:spAutoFit/>
                    </wps:bodyPr>
                  </wps:wsp>
                </a:graphicData>
              </a:graphic>
            </wp:anchor>
          </w:drawing>
        </mc:Choice>
        <mc:Fallback>
          <w:pict>
            <v:shape id="_x0000_s3971" type="#_x0000_t202" style="position:absolute;margin-left:11.5pt;margin-top:36.799999999999997pt;width:80.400000000000006pt;height:5.75pt;z-index:-1887418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SMR17S0CUALN1 </w:t>
                    </w:r>
                    <w:r>
                      <w:rPr>
                        <w:color w:val="000000"/>
                        <w:spacing w:val="0"/>
                        <w:w w:val="100"/>
                        <w:position w:val="0"/>
                        <w:shd w:val="clear" w:color="auto" w:fill="auto"/>
                        <w:lang w:val="hr-HR" w:eastAsia="hr-HR" w:bidi="hr-HR"/>
                      </w:rPr>
                      <w:t>POREZ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564515</wp:posOffset>
              </wp:positionV>
              <wp:extent cx="4026535" cy="0"/>
              <wp:wrapNone/>
              <wp:docPr id="2947" name="Shape 2947"/>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pt;margin-top:44.450000000000003pt;width:317.05000000000001pt;height:0;z-index:-251658240;mso-position-horizontal-relative:page;mso-position-vertical-relative:page">
              <v:stroke weight="1.pt"/>
            </v:shape>
          </w:pict>
        </mc:Fallback>
      </mc:AlternateContent>
    </w:r>
  </w:p>
</w:hdr>
</file>

<file path=word/header6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56" behindDoc="1" locked="0" layoutInCell="1" allowOverlap="1">
              <wp:simplePos x="0" y="0"/>
              <wp:positionH relativeFrom="page">
                <wp:posOffset>146050</wp:posOffset>
              </wp:positionH>
              <wp:positionV relativeFrom="page">
                <wp:posOffset>467360</wp:posOffset>
              </wp:positionV>
              <wp:extent cx="1021080" cy="73025"/>
              <wp:wrapNone/>
              <wp:docPr id="2950" name="Shape 2950"/>
              <a:graphic xmlns:a="http://schemas.openxmlformats.org/drawingml/2006/main">
                <a:graphicData uri="http://schemas.microsoft.com/office/word/2010/wordprocessingShape">
                  <wps:wsp>
                    <wps:cNvSpPr txBox="1"/>
                    <wps:spPr>
                      <a:xfrm>
                        <a:ext cx="102108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SMR17S0CUALN1 </w:t>
                          </w:r>
                          <w:r>
                            <w:rPr>
                              <w:color w:val="000000"/>
                              <w:spacing w:val="0"/>
                              <w:w w:val="100"/>
                              <w:position w:val="0"/>
                              <w:shd w:val="clear" w:color="auto" w:fill="auto"/>
                              <w:lang w:val="hr-HR" w:eastAsia="hr-HR" w:bidi="hr-HR"/>
                            </w:rPr>
                            <w:t>POREZ</w:t>
                          </w:r>
                        </w:p>
                      </w:txbxContent>
                    </wps:txbx>
                    <wps:bodyPr wrap="none" lIns="0" tIns="0" rIns="0" bIns="0">
                      <a:spAutoFit/>
                    </wps:bodyPr>
                  </wps:wsp>
                </a:graphicData>
              </a:graphic>
            </wp:anchor>
          </w:drawing>
        </mc:Choice>
        <mc:Fallback>
          <w:pict>
            <v:shape id="_x0000_s3976" type="#_x0000_t202" style="position:absolute;margin-left:11.5pt;margin-top:36.799999999999997pt;width:80.400000000000006pt;height:5.75pt;z-index:-1887417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SMR17S0CUALN1 </w:t>
                    </w:r>
                    <w:r>
                      <w:rPr>
                        <w:color w:val="000000"/>
                        <w:spacing w:val="0"/>
                        <w:w w:val="100"/>
                        <w:position w:val="0"/>
                        <w:shd w:val="clear" w:color="auto" w:fill="auto"/>
                        <w:lang w:val="hr-HR" w:eastAsia="hr-HR" w:bidi="hr-HR"/>
                      </w:rPr>
                      <w:t>POREZ</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564515</wp:posOffset>
              </wp:positionV>
              <wp:extent cx="4026535" cy="0"/>
              <wp:wrapNone/>
              <wp:docPr id="2952" name="Shape 2952"/>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5pt;margin-top:44.450000000000003pt;width:317.05000000000001pt;height:0;z-index:-251658240;mso-position-horizontal-relative:page;mso-position-vertical-relative:page">
              <v:stroke weight="1.pt"/>
            </v:shape>
          </w:pict>
        </mc:Fallback>
      </mc:AlternateContent>
    </w:r>
  </w:p>
</w:hdr>
</file>

<file path=word/header6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60" behindDoc="1" locked="0" layoutInCell="1" allowOverlap="1">
              <wp:simplePos x="0" y="0"/>
              <wp:positionH relativeFrom="page">
                <wp:posOffset>3938905</wp:posOffset>
              </wp:positionH>
              <wp:positionV relativeFrom="page">
                <wp:posOffset>436880</wp:posOffset>
              </wp:positionV>
              <wp:extent cx="234950" cy="60960"/>
              <wp:wrapNone/>
              <wp:docPr id="2955" name="Shape 2955"/>
              <a:graphic xmlns:a="http://schemas.openxmlformats.org/drawingml/2006/main">
                <a:graphicData uri="http://schemas.microsoft.com/office/word/2010/wordprocessingShape">
                  <wps:wsp>
                    <wps:cNvSpPr txBox="1"/>
                    <wps:spPr>
                      <a:xfrm>
                        <a:ext cx="2349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wps:txbx>
                    <wps:bodyPr wrap="none" lIns="0" tIns="0" rIns="0" bIns="0">
                      <a:spAutoFit/>
                    </wps:bodyPr>
                  </wps:wsp>
                </a:graphicData>
              </a:graphic>
            </wp:anchor>
          </w:drawing>
        </mc:Choice>
        <mc:Fallback>
          <w:pict>
            <v:shape id="_x0000_s3981" type="#_x0000_t202" style="position:absolute;margin-left:310.14999999999998pt;margin-top:34.399999999999999pt;width:18.5pt;height:4.7999999999999998pt;z-index:-1887417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SMRT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159385</wp:posOffset>
              </wp:positionH>
              <wp:positionV relativeFrom="page">
                <wp:posOffset>533400</wp:posOffset>
              </wp:positionV>
              <wp:extent cx="4011295" cy="0"/>
              <wp:wrapNone/>
              <wp:docPr id="2957" name="Shape 2957"/>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550000000000001pt;margin-top:42.pt;width:315.85000000000002pt;height:0;z-index:-251658240;mso-position-horizontal-relative:page;mso-position-vertical-relative:page">
              <v:stroke weight="1.pt"/>
            </v:shape>
          </w:pict>
        </mc:Fallback>
      </mc:AlternateContent>
    </w:r>
  </w:p>
</w:hdr>
</file>

<file path=word/header6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64" behindDoc="1" locked="0" layoutInCell="1" allowOverlap="1">
              <wp:simplePos x="0" y="0"/>
              <wp:positionH relativeFrom="page">
                <wp:posOffset>147320</wp:posOffset>
              </wp:positionH>
              <wp:positionV relativeFrom="page">
                <wp:posOffset>433705</wp:posOffset>
              </wp:positionV>
              <wp:extent cx="408305" cy="67310"/>
              <wp:wrapNone/>
              <wp:docPr id="2960" name="Shape 2960"/>
              <a:graphic xmlns:a="http://schemas.openxmlformats.org/drawingml/2006/main">
                <a:graphicData uri="http://schemas.microsoft.com/office/word/2010/wordprocessingShape">
                  <wps:wsp>
                    <wps:cNvSpPr txBox="1"/>
                    <wps:spPr>
                      <a:xfrm>
                        <a:ext cx="40830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SPASENJU</w:t>
                          </w:r>
                        </w:p>
                      </w:txbxContent>
                    </wps:txbx>
                    <wps:bodyPr wrap="none" lIns="0" tIns="0" rIns="0" bIns="0">
                      <a:spAutoFit/>
                    </wps:bodyPr>
                  </wps:wsp>
                </a:graphicData>
              </a:graphic>
            </wp:anchor>
          </w:drawing>
        </mc:Choice>
        <mc:Fallback>
          <w:pict>
            <v:shape id="_x0000_s3986" type="#_x0000_t202" style="position:absolute;margin-left:11.6pt;margin-top:34.149999999999999pt;width:32.149999999999999pt;height:5.2999999999999998pt;z-index:-1887417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SPASENJU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527050</wp:posOffset>
              </wp:positionV>
              <wp:extent cx="4011295" cy="0"/>
              <wp:wrapNone/>
              <wp:docPr id="2962" name="Shape 2962"/>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1pt;margin-top:41.5pt;width:315.85000000000002pt;height:0;z-index:-251658240;mso-position-horizontal-relative:page;mso-position-vertical-relative:page">
              <v:stroke weight="1.pt"/>
            </v:shape>
          </w:pict>
        </mc:Fallback>
      </mc:AlternateContent>
    </w:r>
  </w:p>
</w:hdr>
</file>

<file path=word/header6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68" behindDoc="1" locked="0" layoutInCell="1" allowOverlap="1">
              <wp:simplePos x="0" y="0"/>
              <wp:positionH relativeFrom="page">
                <wp:posOffset>147320</wp:posOffset>
              </wp:positionH>
              <wp:positionV relativeFrom="page">
                <wp:posOffset>433705</wp:posOffset>
              </wp:positionV>
              <wp:extent cx="408305" cy="67310"/>
              <wp:wrapNone/>
              <wp:docPr id="2965" name="Shape 2965"/>
              <a:graphic xmlns:a="http://schemas.openxmlformats.org/drawingml/2006/main">
                <a:graphicData uri="http://schemas.microsoft.com/office/word/2010/wordprocessingShape">
                  <wps:wsp>
                    <wps:cNvSpPr txBox="1"/>
                    <wps:spPr>
                      <a:xfrm>
                        <a:ext cx="40830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SPASENJU</w:t>
                          </w:r>
                        </w:p>
                      </w:txbxContent>
                    </wps:txbx>
                    <wps:bodyPr wrap="none" lIns="0" tIns="0" rIns="0" bIns="0">
                      <a:spAutoFit/>
                    </wps:bodyPr>
                  </wps:wsp>
                </a:graphicData>
              </a:graphic>
            </wp:anchor>
          </w:drawing>
        </mc:Choice>
        <mc:Fallback>
          <w:pict>
            <v:shape id="_x0000_s3991" type="#_x0000_t202" style="position:absolute;margin-left:11.6pt;margin-top:34.149999999999999pt;width:32.149999999999999pt;height:5.2999999999999998pt;z-index:-1887417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SPASENJU</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527050</wp:posOffset>
              </wp:positionV>
              <wp:extent cx="4011295" cy="0"/>
              <wp:wrapNone/>
              <wp:docPr id="2967" name="Shape 2967"/>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1pt;margin-top:41.5pt;width:315.85000000000002pt;height:0;z-index:-251658240;mso-position-horizontal-relative:page;mso-position-vertical-relative:page">
              <v:stroke weight="1.pt"/>
            </v:shape>
          </w:pict>
        </mc:Fallback>
      </mc:AlternateContent>
    </w:r>
  </w:p>
</w:hdr>
</file>

<file path=word/header6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72" behindDoc="1" locked="0" layoutInCell="1" allowOverlap="1">
              <wp:simplePos x="0" y="0"/>
              <wp:positionH relativeFrom="page">
                <wp:posOffset>3370580</wp:posOffset>
              </wp:positionH>
              <wp:positionV relativeFrom="page">
                <wp:posOffset>431165</wp:posOffset>
              </wp:positionV>
              <wp:extent cx="786130" cy="67310"/>
              <wp:wrapNone/>
              <wp:docPr id="2970" name="Shape 2970"/>
              <a:graphic xmlns:a="http://schemas.openxmlformats.org/drawingml/2006/main">
                <a:graphicData uri="http://schemas.microsoft.com/office/word/2010/wordprocessingShape">
                  <wps:wsp>
                    <wps:cNvSpPr txBox="1"/>
                    <wps:spPr>
                      <a:xfrm>
                        <a:ext cx="78613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SOTONA/5PASENJE</w:t>
                          </w:r>
                        </w:p>
                      </w:txbxContent>
                    </wps:txbx>
                    <wps:bodyPr wrap="none" lIns="0" tIns="0" rIns="0" bIns="0">
                      <a:spAutoFit/>
                    </wps:bodyPr>
                  </wps:wsp>
                </a:graphicData>
              </a:graphic>
            </wp:anchor>
          </w:drawing>
        </mc:Choice>
        <mc:Fallback>
          <w:pict>
            <v:shape id="_x0000_s3996" type="#_x0000_t202" style="position:absolute;margin-left:265.39999999999998pt;margin-top:33.950000000000003pt;width:61.899999999999999pt;height:5.2999999999999998pt;z-index:-1887417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SOTONA/5PASENJE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535940</wp:posOffset>
              </wp:positionV>
              <wp:extent cx="4017010" cy="0"/>
              <wp:wrapNone/>
              <wp:docPr id="2972" name="Shape 297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25pt;margin-top:42.200000000000003pt;width:316.30000000000001pt;height:0;z-index:-251658240;mso-position-horizontal-relative:page;mso-position-vertical-relative:page">
              <v:stroke weight="1.pt"/>
            </v:shape>
          </w:pict>
        </mc:Fallback>
      </mc:AlternateContent>
    </w:r>
  </w:p>
</w:hdr>
</file>

<file path=word/header6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76" behindDoc="1" locked="0" layoutInCell="1" allowOverlap="1">
              <wp:simplePos x="0" y="0"/>
              <wp:positionH relativeFrom="page">
                <wp:posOffset>140970</wp:posOffset>
              </wp:positionH>
              <wp:positionV relativeFrom="page">
                <wp:posOffset>479425</wp:posOffset>
              </wp:positionV>
              <wp:extent cx="868680" cy="67310"/>
              <wp:wrapNone/>
              <wp:docPr id="2975" name="Shape 2975"/>
              <a:graphic xmlns:a="http://schemas.openxmlformats.org/drawingml/2006/main">
                <a:graphicData uri="http://schemas.microsoft.com/office/word/2010/wordprocessingShape">
                  <wps:wsp>
                    <wps:cNvSpPr txBox="1"/>
                    <wps:spPr>
                      <a:xfrm>
                        <a:ext cx="86868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SPASENJE/SPOLNOST</w:t>
                          </w:r>
                        </w:p>
                      </w:txbxContent>
                    </wps:txbx>
                    <wps:bodyPr wrap="none" lIns="0" tIns="0" rIns="0" bIns="0">
                      <a:spAutoFit/>
                    </wps:bodyPr>
                  </wps:wsp>
                </a:graphicData>
              </a:graphic>
            </wp:anchor>
          </w:drawing>
        </mc:Choice>
        <mc:Fallback>
          <w:pict>
            <v:shape id="_x0000_s4001" type="#_x0000_t202" style="position:absolute;margin-left:11.1pt;margin-top:37.75pt;width:68.400000000000006pt;height:5.2999999999999998pt;z-index:-1887417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SPASENJE/SPOLNOST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570865</wp:posOffset>
              </wp:positionV>
              <wp:extent cx="4020185" cy="0"/>
              <wp:wrapNone/>
              <wp:docPr id="2977" name="Shape 297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pt;margin-top:44.950000000000003pt;width:316.55000000000001pt;height:0;z-index:-251658240;mso-position-horizontal-relative:page;mso-position-vertical-relative:page">
              <v:stroke weight="1.pt"/>
            </v:shape>
          </w:pict>
        </mc:Fallback>
      </mc:AlternateContent>
    </w:r>
  </w:p>
</w:hdr>
</file>

<file path=word/header6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80" behindDoc="1" locked="0" layoutInCell="1" allowOverlap="1">
              <wp:simplePos x="0" y="0"/>
              <wp:positionH relativeFrom="page">
                <wp:posOffset>140970</wp:posOffset>
              </wp:positionH>
              <wp:positionV relativeFrom="page">
                <wp:posOffset>479425</wp:posOffset>
              </wp:positionV>
              <wp:extent cx="868680" cy="67310"/>
              <wp:wrapNone/>
              <wp:docPr id="2980" name="Shape 2980"/>
              <a:graphic xmlns:a="http://schemas.openxmlformats.org/drawingml/2006/main">
                <a:graphicData uri="http://schemas.microsoft.com/office/word/2010/wordprocessingShape">
                  <wps:wsp>
                    <wps:cNvSpPr txBox="1"/>
                    <wps:spPr>
                      <a:xfrm>
                        <a:ext cx="86868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SPASENJE/SPOLNOST</w:t>
                          </w:r>
                        </w:p>
                      </w:txbxContent>
                    </wps:txbx>
                    <wps:bodyPr wrap="none" lIns="0" tIns="0" rIns="0" bIns="0">
                      <a:spAutoFit/>
                    </wps:bodyPr>
                  </wps:wsp>
                </a:graphicData>
              </a:graphic>
            </wp:anchor>
          </w:drawing>
        </mc:Choice>
        <mc:Fallback>
          <w:pict>
            <v:shape id="_x0000_s4006" type="#_x0000_t202" style="position:absolute;margin-left:11.1pt;margin-top:37.75pt;width:68.400000000000006pt;height:5.2999999999999998pt;z-index:-1887417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SPASENJE/SPOLNOST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140970</wp:posOffset>
              </wp:positionH>
              <wp:positionV relativeFrom="page">
                <wp:posOffset>570865</wp:posOffset>
              </wp:positionV>
              <wp:extent cx="4020185" cy="0"/>
              <wp:wrapNone/>
              <wp:docPr id="2982" name="Shape 298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1pt;margin-top:44.950000000000003pt;width:316.55000000000001pt;height:0;z-index:-251658240;mso-position-horizontal-relative:page;mso-position-vertical-relative:page">
              <v:stroke weight="1.pt"/>
            </v:shape>
          </w:pict>
        </mc:Fallback>
      </mc:AlternateContent>
    </w:r>
  </w:p>
</w:hdr>
</file>

<file path=word/header6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84" behindDoc="1" locked="0" layoutInCell="1" allowOverlap="1">
              <wp:simplePos x="0" y="0"/>
              <wp:positionH relativeFrom="page">
                <wp:posOffset>3756025</wp:posOffset>
              </wp:positionH>
              <wp:positionV relativeFrom="page">
                <wp:posOffset>436880</wp:posOffset>
              </wp:positionV>
              <wp:extent cx="405130" cy="60960"/>
              <wp:wrapNone/>
              <wp:docPr id="2985" name="Shape 2985"/>
              <a:graphic xmlns:a="http://schemas.openxmlformats.org/drawingml/2006/main">
                <a:graphicData uri="http://schemas.microsoft.com/office/word/2010/wordprocessingShape">
                  <wps:wsp>
                    <wps:cNvSpPr txBox="1"/>
                    <wps:spPr>
                      <a:xfrm>
                        <a:ext cx="4051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SPASENJE</w:t>
                          </w:r>
                        </w:p>
                      </w:txbxContent>
                    </wps:txbx>
                    <wps:bodyPr wrap="none" lIns="0" tIns="0" rIns="0" bIns="0">
                      <a:spAutoFit/>
                    </wps:bodyPr>
                  </wps:wsp>
                </a:graphicData>
              </a:graphic>
            </wp:anchor>
          </w:drawing>
        </mc:Choice>
        <mc:Fallback>
          <w:pict>
            <v:shape id="_x0000_s4011" type="#_x0000_t202" style="position:absolute;margin-left:295.75pt;margin-top:34.399999999999999pt;width:31.899999999999999pt;height:4.7999999999999998pt;z-index:-1887417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SPASENJE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147320</wp:posOffset>
              </wp:positionH>
              <wp:positionV relativeFrom="page">
                <wp:posOffset>539115</wp:posOffset>
              </wp:positionV>
              <wp:extent cx="4017010" cy="0"/>
              <wp:wrapNone/>
              <wp:docPr id="2987" name="Shape 298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pt;margin-top:42.450000000000003pt;width:316.30000000000001pt;height:0;z-index:-251658240;mso-position-horizontal-relative:page;mso-position-vertical-relative:page">
              <v:stroke weight="1.pt"/>
            </v:shape>
          </w:pict>
        </mc:Fallback>
      </mc:AlternateContent>
    </w:r>
  </w:p>
</w:hdr>
</file>

<file path=word/header6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88" behindDoc="1" locked="0" layoutInCell="1" allowOverlap="1">
              <wp:simplePos x="0" y="0"/>
              <wp:positionH relativeFrom="page">
                <wp:posOffset>154940</wp:posOffset>
              </wp:positionH>
              <wp:positionV relativeFrom="page">
                <wp:posOffset>464185</wp:posOffset>
              </wp:positionV>
              <wp:extent cx="1073150" cy="64135"/>
              <wp:wrapNone/>
              <wp:docPr id="2990" name="Shape 2990"/>
              <a:graphic xmlns:a="http://schemas.openxmlformats.org/drawingml/2006/main">
                <a:graphicData uri="http://schemas.microsoft.com/office/word/2010/wordprocessingShape">
                  <wps:wsp>
                    <wps:cNvSpPr txBox="1"/>
                    <wps:spPr>
                      <a:xfrm>
                        <a:ext cx="10731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SPOLNOST/STAR1 </w:t>
                          </w:r>
                          <w:r>
                            <w:rPr>
                              <w:color w:val="000000"/>
                              <w:spacing w:val="0"/>
                              <w:w w:val="100"/>
                              <w:position w:val="0"/>
                              <w:shd w:val="clear" w:color="auto" w:fill="auto"/>
                              <w:lang w:val="hr-HR" w:eastAsia="hr-HR" w:bidi="hr-HR"/>
                            </w:rPr>
                            <w:t>ZAVJET</w:t>
                          </w:r>
                        </w:p>
                      </w:txbxContent>
                    </wps:txbx>
                    <wps:bodyPr wrap="none" lIns="0" tIns="0" rIns="0" bIns="0">
                      <a:spAutoFit/>
                    </wps:bodyPr>
                  </wps:wsp>
                </a:graphicData>
              </a:graphic>
            </wp:anchor>
          </w:drawing>
        </mc:Choice>
        <mc:Fallback>
          <w:pict>
            <v:shape id="_x0000_s4016" type="#_x0000_t202" style="position:absolute;margin-left:12.199999999999999pt;margin-top:36.549999999999997pt;width:84.5pt;height:5.0499999999999998pt;z-index:-1887417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SPOLNOST/STAR1 </w:t>
                    </w:r>
                    <w:r>
                      <w:rPr>
                        <w:color w:val="000000"/>
                        <w:spacing w:val="0"/>
                        <w:w w:val="100"/>
                        <w:position w:val="0"/>
                        <w:shd w:val="clear" w:color="auto" w:fill="auto"/>
                        <w:lang w:val="hr-HR" w:eastAsia="hr-HR" w:bidi="hr-HR"/>
                      </w:rPr>
                      <w:t>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560705</wp:posOffset>
              </wp:positionV>
              <wp:extent cx="4014470" cy="0"/>
              <wp:wrapNone/>
              <wp:docPr id="2992" name="Shape 2992"/>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4.149999999999999pt;width:316.10000000000002pt;height:0;z-index:-251658240;mso-position-horizontal-relative:page;mso-position-vertical-relative:page">
              <v:stroke weight="1.pt"/>
            </v:shape>
          </w:pict>
        </mc:Fallback>
      </mc:AlternateContent>
    </w:r>
  </w:p>
</w:hdr>
</file>

<file path=word/header6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90" behindDoc="1" locked="0" layoutInCell="1" allowOverlap="1">
              <wp:simplePos x="0" y="0"/>
              <wp:positionH relativeFrom="page">
                <wp:posOffset>154940</wp:posOffset>
              </wp:positionH>
              <wp:positionV relativeFrom="page">
                <wp:posOffset>464185</wp:posOffset>
              </wp:positionV>
              <wp:extent cx="1073150" cy="64135"/>
              <wp:wrapNone/>
              <wp:docPr id="2993" name="Shape 2993"/>
              <a:graphic xmlns:a="http://schemas.openxmlformats.org/drawingml/2006/main">
                <a:graphicData uri="http://schemas.microsoft.com/office/word/2010/wordprocessingShape">
                  <wps:wsp>
                    <wps:cNvSpPr txBox="1"/>
                    <wps:spPr>
                      <a:xfrm>
                        <a:ext cx="10731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SPOLNOST/STAR1 </w:t>
                          </w:r>
                          <w:r>
                            <w:rPr>
                              <w:color w:val="000000"/>
                              <w:spacing w:val="0"/>
                              <w:w w:val="100"/>
                              <w:position w:val="0"/>
                              <w:shd w:val="clear" w:color="auto" w:fill="auto"/>
                              <w:lang w:val="hr-HR" w:eastAsia="hr-HR" w:bidi="hr-HR"/>
                            </w:rPr>
                            <w:t>ZAVJET</w:t>
                          </w:r>
                        </w:p>
                      </w:txbxContent>
                    </wps:txbx>
                    <wps:bodyPr wrap="none" lIns="0" tIns="0" rIns="0" bIns="0">
                      <a:spAutoFit/>
                    </wps:bodyPr>
                  </wps:wsp>
                </a:graphicData>
              </a:graphic>
            </wp:anchor>
          </w:drawing>
        </mc:Choice>
        <mc:Fallback>
          <w:pict>
            <v:shape id="_x0000_s4019" type="#_x0000_t202" style="position:absolute;margin-left:12.199999999999999pt;margin-top:36.549999999999997pt;width:84.5pt;height:5.0499999999999998pt;z-index:-1887417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SPOLNOST/STAR1 </w:t>
                    </w:r>
                    <w:r>
                      <w:rPr>
                        <w:color w:val="000000"/>
                        <w:spacing w:val="0"/>
                        <w:w w:val="100"/>
                        <w:position w:val="0"/>
                        <w:shd w:val="clear" w:color="auto" w:fill="auto"/>
                        <w:lang w:val="hr-HR" w:eastAsia="hr-HR" w:bidi="hr-HR"/>
                      </w:rPr>
                      <w:t>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560705</wp:posOffset>
              </wp:positionV>
              <wp:extent cx="4014470" cy="0"/>
              <wp:wrapNone/>
              <wp:docPr id="2995" name="Shape 299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4.149999999999999pt;width:316.10000000000002pt;height:0;z-index:-251658240;mso-position-horizontal-relative:page;mso-position-vertical-relative:page">
              <v:stroke weight="1.pt"/>
            </v:shape>
          </w:pict>
        </mc:Fallback>
      </mc:AlternateContent>
    </w:r>
  </w:p>
</w:hdr>
</file>

<file path=word/header6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92" behindDoc="1" locked="0" layoutInCell="1" allowOverlap="1">
              <wp:simplePos x="0" y="0"/>
              <wp:positionH relativeFrom="page">
                <wp:posOffset>3736340</wp:posOffset>
              </wp:positionH>
              <wp:positionV relativeFrom="page">
                <wp:posOffset>436880</wp:posOffset>
              </wp:positionV>
              <wp:extent cx="435610" cy="60960"/>
              <wp:wrapNone/>
              <wp:docPr id="2996" name="Shape 2996"/>
              <a:graphic xmlns:a="http://schemas.openxmlformats.org/drawingml/2006/main">
                <a:graphicData uri="http://schemas.microsoft.com/office/word/2010/wordprocessingShape">
                  <wps:wsp>
                    <wps:cNvSpPr txBox="1"/>
                    <wps:spPr>
                      <a:xfrm>
                        <a:ext cx="43561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SPOLNOST</w:t>
                          </w:r>
                        </w:p>
                      </w:txbxContent>
                    </wps:txbx>
                    <wps:bodyPr wrap="none" lIns="0" tIns="0" rIns="0" bIns="0">
                      <a:spAutoFit/>
                    </wps:bodyPr>
                  </wps:wsp>
                </a:graphicData>
              </a:graphic>
            </wp:anchor>
          </w:drawing>
        </mc:Choice>
        <mc:Fallback>
          <w:pict>
            <v:shape id="_x0000_s4022" type="#_x0000_t202" style="position:absolute;margin-left:294.19999999999999pt;margin-top:34.399999999999999pt;width:34.299999999999997pt;height:4.7999999999999998pt;z-index:-1887417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SPOLNOST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535940</wp:posOffset>
              </wp:positionV>
              <wp:extent cx="4020185" cy="0"/>
              <wp:wrapNone/>
              <wp:docPr id="2998" name="Shape 299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2.200000000000003pt;width:316.55000000000001pt;height:0;z-index:-251658240;mso-position-horizontal-relative:page;mso-position-vertical-relative:page">
              <v:stroke weight="1.pt"/>
            </v:shape>
          </w:pict>
        </mc:Fallback>
      </mc:AlternateContent>
    </w:r>
  </w:p>
</w:hdr>
</file>

<file path=word/header6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96" behindDoc="1" locked="0" layoutInCell="1" allowOverlap="1">
              <wp:simplePos x="0" y="0"/>
              <wp:positionH relativeFrom="page">
                <wp:posOffset>3569970</wp:posOffset>
              </wp:positionH>
              <wp:positionV relativeFrom="page">
                <wp:posOffset>470535</wp:posOffset>
              </wp:positionV>
              <wp:extent cx="603250" cy="64135"/>
              <wp:wrapNone/>
              <wp:docPr id="3001" name="Shape 3001"/>
              <a:graphic xmlns:a="http://schemas.openxmlformats.org/drawingml/2006/main">
                <a:graphicData uri="http://schemas.microsoft.com/office/word/2010/wordprocessingShape">
                  <wps:wsp>
                    <wps:cNvSpPr txBox="1"/>
                    <wps:spPr>
                      <a:xfrm>
                        <a:ext cx="6032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w:t>
                          </w:r>
                        </w:p>
                      </w:txbxContent>
                    </wps:txbx>
                    <wps:bodyPr wrap="none" lIns="0" tIns="0" rIns="0" bIns="0">
                      <a:spAutoFit/>
                    </wps:bodyPr>
                  </wps:wsp>
                </a:graphicData>
              </a:graphic>
            </wp:anchor>
          </w:drawing>
        </mc:Choice>
        <mc:Fallback>
          <w:pict>
            <v:shape id="_x0000_s4027" type="#_x0000_t202" style="position:absolute;margin-left:281.10000000000002pt;margin-top:37.049999999999997pt;width:47.5pt;height:5.0499999999999998pt;z-index:-1887417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159385</wp:posOffset>
              </wp:positionH>
              <wp:positionV relativeFrom="page">
                <wp:posOffset>574040</wp:posOffset>
              </wp:positionV>
              <wp:extent cx="4014470" cy="0"/>
              <wp:wrapNone/>
              <wp:docPr id="3003" name="Shape 300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550000000000001pt;margin-top:45.200000000000003pt;width:316.10000000000002pt;height:0;z-index:-251658240;mso-position-horizontal-relative:page;mso-position-vertical-relative:page">
              <v:stroke weight="1.pt"/>
            </v:shape>
          </w:pict>
        </mc:Fallback>
      </mc:AlternateContent>
    </w:r>
  </w:p>
</w:hdr>
</file>

<file path=word/header6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998" behindDoc="1" locked="0" layoutInCell="1" allowOverlap="1">
              <wp:simplePos x="0" y="0"/>
              <wp:positionH relativeFrom="page">
                <wp:posOffset>3569970</wp:posOffset>
              </wp:positionH>
              <wp:positionV relativeFrom="page">
                <wp:posOffset>470535</wp:posOffset>
              </wp:positionV>
              <wp:extent cx="603250" cy="64135"/>
              <wp:wrapNone/>
              <wp:docPr id="3004" name="Shape 3004"/>
              <a:graphic xmlns:a="http://schemas.openxmlformats.org/drawingml/2006/main">
                <a:graphicData uri="http://schemas.microsoft.com/office/word/2010/wordprocessingShape">
                  <wps:wsp>
                    <wps:cNvSpPr txBox="1"/>
                    <wps:spPr>
                      <a:xfrm>
                        <a:ext cx="6032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w:t>
                          </w:r>
                        </w:p>
                      </w:txbxContent>
                    </wps:txbx>
                    <wps:bodyPr wrap="none" lIns="0" tIns="0" rIns="0" bIns="0">
                      <a:spAutoFit/>
                    </wps:bodyPr>
                  </wps:wsp>
                </a:graphicData>
              </a:graphic>
            </wp:anchor>
          </w:drawing>
        </mc:Choice>
        <mc:Fallback>
          <w:pict>
            <v:shape id="_x0000_s4030" type="#_x0000_t202" style="position:absolute;margin-left:281.10000000000002pt;margin-top:37.049999999999997pt;width:47.5pt;height:5.0499999999999998pt;z-index:-1887417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159385</wp:posOffset>
              </wp:positionH>
              <wp:positionV relativeFrom="page">
                <wp:posOffset>574040</wp:posOffset>
              </wp:positionV>
              <wp:extent cx="4014470" cy="0"/>
              <wp:wrapNone/>
              <wp:docPr id="3006" name="Shape 300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550000000000001pt;margin-top:45.200000000000003pt;width:316.10000000000002pt;height:0;z-index:-251658240;mso-position-horizontal-relative:page;mso-position-vertical-relative:page">
              <v:stroke weight="1.pt"/>
            </v:shape>
          </w:pict>
        </mc:Fallback>
      </mc:AlternateContent>
    </w:r>
  </w:p>
</w:hdr>
</file>

<file path=word/header6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00" behindDoc="1" locked="0" layoutInCell="1" allowOverlap="1">
              <wp:simplePos x="0" y="0"/>
              <wp:positionH relativeFrom="page">
                <wp:posOffset>146050</wp:posOffset>
              </wp:positionH>
              <wp:positionV relativeFrom="page">
                <wp:posOffset>479425</wp:posOffset>
              </wp:positionV>
              <wp:extent cx="1134110" cy="64135"/>
              <wp:wrapNone/>
              <wp:docPr id="3007" name="Shape 3007"/>
              <a:graphic xmlns:a="http://schemas.openxmlformats.org/drawingml/2006/main">
                <a:graphicData uri="http://schemas.microsoft.com/office/word/2010/wordprocessingShape">
                  <wps:wsp>
                    <wps:cNvSpPr txBox="1"/>
                    <wps:spPr>
                      <a:xfrm>
                        <a:ext cx="11341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ZAVJET/STVARANJE</w:t>
                          </w:r>
                        </w:p>
                      </w:txbxContent>
                    </wps:txbx>
                    <wps:bodyPr wrap="none" lIns="0" tIns="0" rIns="0" bIns="0">
                      <a:spAutoFit/>
                    </wps:bodyPr>
                  </wps:wsp>
                </a:graphicData>
              </a:graphic>
            </wp:anchor>
          </w:drawing>
        </mc:Choice>
        <mc:Fallback>
          <w:pict>
            <v:shape id="_x0000_s4033" type="#_x0000_t202" style="position:absolute;margin-left:11.5pt;margin-top:37.75pt;width:89.299999999999997pt;height:5.0499999999999998pt;z-index:-1887417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ZAVJET/STVARANJE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575945</wp:posOffset>
              </wp:positionV>
              <wp:extent cx="4020185" cy="0"/>
              <wp:wrapNone/>
              <wp:docPr id="3009" name="Shape 300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5.350000000000001pt;width:316.55000000000001pt;height:0;z-index:-251658240;mso-position-horizontal-relative:page;mso-position-vertical-relative:page">
              <v:stroke weight="1.pt"/>
            </v:shape>
          </w:pict>
        </mc:Fallback>
      </mc:AlternateContent>
    </w:r>
  </w:p>
</w:hdr>
</file>

<file path=word/header6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04" behindDoc="1" locked="0" layoutInCell="1" allowOverlap="1">
              <wp:simplePos x="0" y="0"/>
              <wp:positionH relativeFrom="page">
                <wp:posOffset>146050</wp:posOffset>
              </wp:positionH>
              <wp:positionV relativeFrom="page">
                <wp:posOffset>479425</wp:posOffset>
              </wp:positionV>
              <wp:extent cx="1134110" cy="64135"/>
              <wp:wrapNone/>
              <wp:docPr id="3012" name="Shape 3012"/>
              <a:graphic xmlns:a="http://schemas.openxmlformats.org/drawingml/2006/main">
                <a:graphicData uri="http://schemas.microsoft.com/office/word/2010/wordprocessingShape">
                  <wps:wsp>
                    <wps:cNvSpPr txBox="1"/>
                    <wps:spPr>
                      <a:xfrm>
                        <a:ext cx="11341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ZAVJET/STVARANJE</w:t>
                          </w:r>
                        </w:p>
                      </w:txbxContent>
                    </wps:txbx>
                    <wps:bodyPr wrap="none" lIns="0" tIns="0" rIns="0" bIns="0">
                      <a:spAutoFit/>
                    </wps:bodyPr>
                  </wps:wsp>
                </a:graphicData>
              </a:graphic>
            </wp:anchor>
          </w:drawing>
        </mc:Choice>
        <mc:Fallback>
          <w:pict>
            <v:shape id="_x0000_s4038" type="#_x0000_t202" style="position:absolute;margin-left:11.5pt;margin-top:37.75pt;width:89.299999999999997pt;height:5.0499999999999998pt;z-index:-1887417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STARI ZAVJET/STVARANJE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575945</wp:posOffset>
              </wp:positionV>
              <wp:extent cx="4020185" cy="0"/>
              <wp:wrapNone/>
              <wp:docPr id="3014" name="Shape 301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45.350000000000001pt;width:316.55000000000001pt;height:0;z-index:-251658240;mso-position-horizontal-relative:page;mso-position-vertical-relative:page">
              <v:stroke weight="1.pt"/>
            </v:shape>
          </w:pict>
        </mc:Fallback>
      </mc:AlternateContent>
    </w:r>
  </w:p>
</w:hdr>
</file>

<file path=word/header6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08" behindDoc="1" locked="0" layoutInCell="1" allowOverlap="1">
              <wp:simplePos x="0" y="0"/>
              <wp:positionH relativeFrom="page">
                <wp:posOffset>156210</wp:posOffset>
              </wp:positionH>
              <wp:positionV relativeFrom="page">
                <wp:posOffset>431165</wp:posOffset>
              </wp:positionV>
              <wp:extent cx="694690" cy="67310"/>
              <wp:wrapNone/>
              <wp:docPr id="3017" name="Shape 3017"/>
              <a:graphic xmlns:a="http://schemas.openxmlformats.org/drawingml/2006/main">
                <a:graphicData uri="http://schemas.microsoft.com/office/word/2010/wordprocessingShape">
                  <wps:wsp>
                    <wps:cNvSpPr txBox="1"/>
                    <wps:spPr>
                      <a:xfrm>
                        <a:ext cx="6946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STVARANJE'SUD</w:t>
                          </w:r>
                        </w:p>
                      </w:txbxContent>
                    </wps:txbx>
                    <wps:bodyPr wrap="none" lIns="0" tIns="0" rIns="0" bIns="0">
                      <a:spAutoFit/>
                    </wps:bodyPr>
                  </wps:wsp>
                </a:graphicData>
              </a:graphic>
            </wp:anchor>
          </w:drawing>
        </mc:Choice>
        <mc:Fallback>
          <w:pict>
            <v:shape id="_x0000_s4043" type="#_x0000_t202" style="position:absolute;margin-left:12.300000000000001pt;margin-top:33.950000000000003pt;width:54.700000000000003pt;height:5.2999999999999998pt;z-index:-1887417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STVARANJE'SUD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530225</wp:posOffset>
              </wp:positionV>
              <wp:extent cx="4020185" cy="0"/>
              <wp:wrapNone/>
              <wp:docPr id="3019" name="Shape 301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00000000000001pt;margin-top:41.75pt;width:316.55000000000001pt;height:0;z-index:-251658240;mso-position-horizontal-relative:page;mso-position-vertical-relative:page">
              <v:stroke weight="1.pt"/>
            </v:shape>
          </w:pict>
        </mc:Fallback>
      </mc:AlternateContent>
    </w:r>
  </w:p>
</w:hdr>
</file>

<file path=word/header6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10" behindDoc="1" locked="0" layoutInCell="1" allowOverlap="1">
              <wp:simplePos x="0" y="0"/>
              <wp:positionH relativeFrom="page">
                <wp:posOffset>156210</wp:posOffset>
              </wp:positionH>
              <wp:positionV relativeFrom="page">
                <wp:posOffset>431165</wp:posOffset>
              </wp:positionV>
              <wp:extent cx="694690" cy="67310"/>
              <wp:wrapNone/>
              <wp:docPr id="3020" name="Shape 3020"/>
              <a:graphic xmlns:a="http://schemas.openxmlformats.org/drawingml/2006/main">
                <a:graphicData uri="http://schemas.microsoft.com/office/word/2010/wordprocessingShape">
                  <wps:wsp>
                    <wps:cNvSpPr txBox="1"/>
                    <wps:spPr>
                      <a:xfrm>
                        <a:ext cx="69469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STVARANJE'SUD</w:t>
                          </w:r>
                        </w:p>
                      </w:txbxContent>
                    </wps:txbx>
                    <wps:bodyPr wrap="none" lIns="0" tIns="0" rIns="0" bIns="0">
                      <a:spAutoFit/>
                    </wps:bodyPr>
                  </wps:wsp>
                </a:graphicData>
              </a:graphic>
            </wp:anchor>
          </w:drawing>
        </mc:Choice>
        <mc:Fallback>
          <w:pict>
            <v:shape id="_x0000_s4046" type="#_x0000_t202" style="position:absolute;margin-left:12.300000000000001pt;margin-top:33.950000000000003pt;width:54.700000000000003pt;height:5.2999999999999998pt;z-index:-1887417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STVARANJE'SUD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156210</wp:posOffset>
              </wp:positionH>
              <wp:positionV relativeFrom="page">
                <wp:posOffset>530225</wp:posOffset>
              </wp:positionV>
              <wp:extent cx="4020185" cy="0"/>
              <wp:wrapNone/>
              <wp:docPr id="3022" name="Shape 302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300000000000001pt;margin-top:41.75pt;width:316.55000000000001pt;height:0;z-index:-251658240;mso-position-horizontal-relative:page;mso-position-vertical-relative:page">
              <v:stroke weight="1.pt"/>
            </v:shape>
          </w:pict>
        </mc:Fallback>
      </mc:AlternateContent>
    </w:r>
  </w:p>
</w:hdr>
</file>

<file path=word/header6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12" behindDoc="1" locked="0" layoutInCell="1" allowOverlap="1">
              <wp:simplePos x="0" y="0"/>
              <wp:positionH relativeFrom="page">
                <wp:posOffset>3661410</wp:posOffset>
              </wp:positionH>
              <wp:positionV relativeFrom="page">
                <wp:posOffset>467360</wp:posOffset>
              </wp:positionV>
              <wp:extent cx="499745" cy="67310"/>
              <wp:wrapNone/>
              <wp:docPr id="3023" name="Shape 3023"/>
              <a:graphic xmlns:a="http://schemas.openxmlformats.org/drawingml/2006/main">
                <a:graphicData uri="http://schemas.microsoft.com/office/word/2010/wordprocessingShape">
                  <wps:wsp>
                    <wps:cNvSpPr txBox="1"/>
                    <wps:spPr>
                      <a:xfrm>
                        <a:ext cx="49974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stvaranje</w:t>
                          </w:r>
                        </w:p>
                      </w:txbxContent>
                    </wps:txbx>
                    <wps:bodyPr wrap="none" lIns="0" tIns="0" rIns="0" bIns="0">
                      <a:spAutoFit/>
                    </wps:bodyPr>
                  </wps:wsp>
                </a:graphicData>
              </a:graphic>
            </wp:anchor>
          </w:drawing>
        </mc:Choice>
        <mc:Fallback>
          <w:pict>
            <v:shape id="_x0000_s4049" type="#_x0000_t202" style="position:absolute;margin-left:288.30000000000001pt;margin-top:36.799999999999997pt;width:39.350000000000001pt;height:5.2999999999999998pt;z-index:-1887417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stvaranje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570865</wp:posOffset>
              </wp:positionV>
              <wp:extent cx="4017010" cy="0"/>
              <wp:wrapNone/>
              <wp:docPr id="3025" name="Shape 302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35pt;margin-top:44.950000000000003pt;width:316.30000000000001pt;height:0;z-index:-251658240;mso-position-horizontal-relative:page;mso-position-vertical-relative:page">
              <v:stroke weight="1.pt"/>
            </v:shape>
          </w:pict>
        </mc:Fallback>
      </mc:AlternateContent>
    </w:r>
  </w:p>
</w:hdr>
</file>

<file path=word/header6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14" behindDoc="1" locked="0" layoutInCell="1" allowOverlap="1">
              <wp:simplePos x="0" y="0"/>
              <wp:positionH relativeFrom="page">
                <wp:posOffset>3994150</wp:posOffset>
              </wp:positionH>
              <wp:positionV relativeFrom="page">
                <wp:posOffset>452120</wp:posOffset>
              </wp:positionV>
              <wp:extent cx="173990" cy="64135"/>
              <wp:wrapNone/>
              <wp:docPr id="3028" name="Shape 3028"/>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SUD</w:t>
                          </w:r>
                        </w:p>
                      </w:txbxContent>
                    </wps:txbx>
                    <wps:bodyPr wrap="none" lIns="0" tIns="0" rIns="0" bIns="0">
                      <a:spAutoFit/>
                    </wps:bodyPr>
                  </wps:wsp>
                </a:graphicData>
              </a:graphic>
            </wp:anchor>
          </w:drawing>
        </mc:Choice>
        <mc:Fallback>
          <w:pict>
            <v:shape id="_x0000_s4054" type="#_x0000_t202" style="position:absolute;margin-left:314.5pt;margin-top:35.600000000000001pt;width:13.699999999999999pt;height:5.0499999999999998pt;z-index:-1887417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555625</wp:posOffset>
              </wp:positionV>
              <wp:extent cx="4014470" cy="0"/>
              <wp:wrapNone/>
              <wp:docPr id="3030" name="Shape 3030"/>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85pt;margin-top:43.75pt;width:316.10000000000002pt;height:0;z-index:-251658240;mso-position-horizontal-relative:page;mso-position-vertical-relative:page">
              <v:stroke weight="1.pt"/>
            </v:shape>
          </w:pict>
        </mc:Fallback>
      </mc:AlternateContent>
    </w:r>
  </w:p>
</w:hdr>
</file>

<file path=word/header6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16" behindDoc="1" locked="0" layoutInCell="1" allowOverlap="1">
              <wp:simplePos x="0" y="0"/>
              <wp:positionH relativeFrom="page">
                <wp:posOffset>3994150</wp:posOffset>
              </wp:positionH>
              <wp:positionV relativeFrom="page">
                <wp:posOffset>452120</wp:posOffset>
              </wp:positionV>
              <wp:extent cx="173990" cy="64135"/>
              <wp:wrapNone/>
              <wp:docPr id="3031" name="Shape 3031"/>
              <a:graphic xmlns:a="http://schemas.openxmlformats.org/drawingml/2006/main">
                <a:graphicData uri="http://schemas.microsoft.com/office/word/2010/wordprocessingShape">
                  <wps:wsp>
                    <wps:cNvSpPr txBox="1"/>
                    <wps:spPr>
                      <a:xfrm>
                        <a:ext cx="173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SUD</w:t>
                          </w:r>
                        </w:p>
                      </w:txbxContent>
                    </wps:txbx>
                    <wps:bodyPr wrap="none" lIns="0" tIns="0" rIns="0" bIns="0">
                      <a:spAutoFit/>
                    </wps:bodyPr>
                  </wps:wsp>
                </a:graphicData>
              </a:graphic>
            </wp:anchor>
          </w:drawing>
        </mc:Choice>
        <mc:Fallback>
          <w:pict>
            <v:shape id="_x0000_s4057" type="#_x0000_t202" style="position:absolute;margin-left:314.5pt;margin-top:35.600000000000001pt;width:13.699999999999999pt;height:5.0499999999999998pt;z-index:-1887417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555625</wp:posOffset>
              </wp:positionV>
              <wp:extent cx="4014470" cy="0"/>
              <wp:wrapNone/>
              <wp:docPr id="3033" name="Shape 303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85pt;margin-top:43.75pt;width:316.10000000000002pt;height:0;z-index:-251658240;mso-position-horizontal-relative:page;mso-position-vertical-relative:page">
              <v:stroke weight="1.pt"/>
            </v:shape>
          </w:pict>
        </mc:Fallback>
      </mc:AlternateContent>
    </w:r>
  </w:p>
</w:hdr>
</file>

<file path=word/header6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18" behindDoc="1" locked="0" layoutInCell="1" allowOverlap="1">
              <wp:simplePos x="0" y="0"/>
              <wp:positionH relativeFrom="page">
                <wp:posOffset>3318510</wp:posOffset>
              </wp:positionH>
              <wp:positionV relativeFrom="page">
                <wp:posOffset>427990</wp:posOffset>
              </wp:positionV>
              <wp:extent cx="844550" cy="69850"/>
              <wp:wrapNone/>
              <wp:docPr id="3034" name="Shape 3034"/>
              <a:graphic xmlns:a="http://schemas.openxmlformats.org/drawingml/2006/main">
                <a:graphicData uri="http://schemas.microsoft.com/office/word/2010/wordprocessingShape">
                  <wps:wsp>
                    <wps:cNvSpPr txBox="1"/>
                    <wps:spPr>
                      <a:xfrm>
                        <a:ext cx="84455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SUD/SUFIZAM/SUNA</w:t>
                          </w:r>
                        </w:p>
                      </w:txbxContent>
                    </wps:txbx>
                    <wps:bodyPr wrap="none" lIns="0" tIns="0" rIns="0" bIns="0">
                      <a:spAutoFit/>
                    </wps:bodyPr>
                  </wps:wsp>
                </a:graphicData>
              </a:graphic>
            </wp:anchor>
          </w:drawing>
        </mc:Choice>
        <mc:Fallback>
          <w:pict>
            <v:shape id="_x0000_s4060" type="#_x0000_t202" style="position:absolute;margin-left:261.30000000000001pt;margin-top:33.700000000000003pt;width:66.5pt;height:5.5pt;z-index:-1887417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SUD/SUFIZAM/SUNA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528320</wp:posOffset>
              </wp:positionV>
              <wp:extent cx="4017010" cy="0"/>
              <wp:wrapNone/>
              <wp:docPr id="3036" name="Shape 303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99999999999999pt;margin-top:41.600000000000001pt;width:316.30000000000001pt;height:0;z-index:-251658240;mso-position-horizontal-relative:page;mso-position-vertical-relative:page">
              <v:stroke weight="1.pt"/>
            </v:shape>
          </w:pict>
        </mc:Fallback>
      </mc:AlternateContent>
    </w:r>
  </w:p>
</w:hdr>
</file>

<file path=word/header6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22" behindDoc="1" locked="0" layoutInCell="1" allowOverlap="1">
              <wp:simplePos x="0" y="0"/>
              <wp:positionH relativeFrom="page">
                <wp:posOffset>3318510</wp:posOffset>
              </wp:positionH>
              <wp:positionV relativeFrom="page">
                <wp:posOffset>427990</wp:posOffset>
              </wp:positionV>
              <wp:extent cx="844550" cy="69850"/>
              <wp:wrapNone/>
              <wp:docPr id="3039" name="Shape 3039"/>
              <a:graphic xmlns:a="http://schemas.openxmlformats.org/drawingml/2006/main">
                <a:graphicData uri="http://schemas.microsoft.com/office/word/2010/wordprocessingShape">
                  <wps:wsp>
                    <wps:cNvSpPr txBox="1"/>
                    <wps:spPr>
                      <a:xfrm>
                        <a:ext cx="84455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SUD/SUFIZAM/SUNA</w:t>
                          </w:r>
                        </w:p>
                      </w:txbxContent>
                    </wps:txbx>
                    <wps:bodyPr wrap="none" lIns="0" tIns="0" rIns="0" bIns="0">
                      <a:spAutoFit/>
                    </wps:bodyPr>
                  </wps:wsp>
                </a:graphicData>
              </a:graphic>
            </wp:anchor>
          </w:drawing>
        </mc:Choice>
        <mc:Fallback>
          <w:pict>
            <v:shape id="_x0000_s4065" type="#_x0000_t202" style="position:absolute;margin-left:261.30000000000001pt;margin-top:33.700000000000003pt;width:66.5pt;height:5.5pt;z-index:-1887417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SUD/SUFIZAM/SUNA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528320</wp:posOffset>
              </wp:positionV>
              <wp:extent cx="4017010" cy="0"/>
              <wp:wrapNone/>
              <wp:docPr id="3041" name="Shape 304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99999999999999pt;margin-top:41.600000000000001pt;width:316.30000000000001pt;height:0;z-index:-251658240;mso-position-horizontal-relative:page;mso-position-vertical-relative:page">
              <v:stroke weight="1.pt"/>
            </v:shape>
          </w:pict>
        </mc:Fallback>
      </mc:AlternateContent>
    </w:r>
  </w:p>
</w:hdr>
</file>

<file path=word/header6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26" behindDoc="1" locked="0" layoutInCell="1" allowOverlap="1">
              <wp:simplePos x="0" y="0"/>
              <wp:positionH relativeFrom="page">
                <wp:posOffset>140970</wp:posOffset>
              </wp:positionH>
              <wp:positionV relativeFrom="page">
                <wp:posOffset>436880</wp:posOffset>
              </wp:positionV>
              <wp:extent cx="173990" cy="60960"/>
              <wp:wrapNone/>
              <wp:docPr id="3044" name="Shape 3044"/>
              <a:graphic xmlns:a="http://schemas.openxmlformats.org/drawingml/2006/main">
                <a:graphicData uri="http://schemas.microsoft.com/office/word/2010/wordprocessingShape">
                  <wps:wsp>
                    <wps:cNvSpPr txBox="1"/>
                    <wps:spPr>
                      <a:xfrm>
                        <a:ext cx="1739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SUD</w:t>
                          </w:r>
                        </w:p>
                      </w:txbxContent>
                    </wps:txbx>
                    <wps:bodyPr wrap="none" lIns="0" tIns="0" rIns="0" bIns="0">
                      <a:spAutoFit/>
                    </wps:bodyPr>
                  </wps:wsp>
                </a:graphicData>
              </a:graphic>
            </wp:anchor>
          </w:drawing>
        </mc:Choice>
        <mc:Fallback>
          <w:pict>
            <v:shape id="_x0000_s4070" type="#_x0000_t202" style="position:absolute;margin-left:11.1pt;margin-top:34.399999999999999pt;width:13.699999999999999pt;height:4.7999999999999998pt;z-index:-1887417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530225</wp:posOffset>
              </wp:positionV>
              <wp:extent cx="4023360" cy="0"/>
              <wp:wrapNone/>
              <wp:docPr id="3046" name="Shape 304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35pt;margin-top:41.75pt;width:316.80000000000001pt;height:0;z-index:-251658240;mso-position-horizontal-relative:page;mso-position-vertical-relative:page">
              <v:stroke weight="1.pt"/>
            </v:shape>
          </w:pict>
        </mc:Fallback>
      </mc:AlternateContent>
    </w:r>
  </w:p>
</w:hdr>
</file>

<file path=word/header6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30" behindDoc="1" locked="0" layoutInCell="1" allowOverlap="1">
              <wp:simplePos x="0" y="0"/>
              <wp:positionH relativeFrom="page">
                <wp:posOffset>3949700</wp:posOffset>
              </wp:positionH>
              <wp:positionV relativeFrom="page">
                <wp:posOffset>436880</wp:posOffset>
              </wp:positionV>
              <wp:extent cx="213360" cy="60960"/>
              <wp:wrapNone/>
              <wp:docPr id="3049" name="Shape 3049"/>
              <a:graphic xmlns:a="http://schemas.openxmlformats.org/drawingml/2006/main">
                <a:graphicData uri="http://schemas.microsoft.com/office/word/2010/wordprocessingShape">
                  <wps:wsp>
                    <wps:cNvSpPr txBox="1"/>
                    <wps:spPr>
                      <a:xfrm>
                        <a:ext cx="21336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wps:txbx>
                    <wps:bodyPr wrap="none" lIns="0" tIns="0" rIns="0" bIns="0">
                      <a:spAutoFit/>
                    </wps:bodyPr>
                  </wps:wsp>
                </a:graphicData>
              </a:graphic>
            </wp:anchor>
          </w:drawing>
        </mc:Choice>
        <mc:Fallback>
          <w:pict>
            <v:shape id="_x0000_s4075" type="#_x0000_t202" style="position:absolute;margin-left:311.pt;margin-top:34.399999999999999pt;width:16.800000000000001pt;height:4.7999999999999998pt;z-index:-1887417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540385</wp:posOffset>
              </wp:positionV>
              <wp:extent cx="4020185" cy="0"/>
              <wp:wrapNone/>
              <wp:docPr id="3051" name="Shape 305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25pt;margin-top:42.549999999999997pt;width:316.55000000000001pt;height:0;z-index:-251658240;mso-position-horizontal-relative:page;mso-position-vertical-relative:page">
              <v:stroke weight="1.pt"/>
            </v:shape>
          </w:pict>
        </mc:Fallback>
      </mc:AlternateContent>
    </w:r>
  </w:p>
</w:hdr>
</file>

<file path=word/header7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34" behindDoc="1" locked="0" layoutInCell="1" allowOverlap="1">
              <wp:simplePos x="0" y="0"/>
              <wp:positionH relativeFrom="page">
                <wp:posOffset>3949700</wp:posOffset>
              </wp:positionH>
              <wp:positionV relativeFrom="page">
                <wp:posOffset>436880</wp:posOffset>
              </wp:positionV>
              <wp:extent cx="213360" cy="60960"/>
              <wp:wrapNone/>
              <wp:docPr id="3054" name="Shape 3054"/>
              <a:graphic xmlns:a="http://schemas.openxmlformats.org/drawingml/2006/main">
                <a:graphicData uri="http://schemas.microsoft.com/office/word/2010/wordprocessingShape">
                  <wps:wsp>
                    <wps:cNvSpPr txBox="1"/>
                    <wps:spPr>
                      <a:xfrm>
                        <a:ext cx="21336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wps:txbx>
                    <wps:bodyPr wrap="none" lIns="0" tIns="0" rIns="0" bIns="0">
                      <a:spAutoFit/>
                    </wps:bodyPr>
                  </wps:wsp>
                </a:graphicData>
              </a:graphic>
            </wp:anchor>
          </w:drawing>
        </mc:Choice>
        <mc:Fallback>
          <w:pict>
            <v:shape id="_x0000_s4080" type="#_x0000_t202" style="position:absolute;margin-left:311.pt;margin-top:34.399999999999999pt;width:16.800000000000001pt;height:4.7999999999999998pt;z-index:-1887417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540385</wp:posOffset>
              </wp:positionV>
              <wp:extent cx="4020185" cy="0"/>
              <wp:wrapNone/>
              <wp:docPr id="3056" name="Shape 305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25pt;margin-top:42.549999999999997pt;width:316.55000000000001pt;height:0;z-index:-251658240;mso-position-horizontal-relative:page;mso-position-vertical-relative:page">
              <v:stroke weight="1.pt"/>
            </v:shape>
          </w:pict>
        </mc:Fallback>
      </mc:AlternateContent>
    </w:r>
  </w:p>
</w:hdr>
</file>

<file path=word/header7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38" behindDoc="1" locked="0" layoutInCell="1" allowOverlap="1">
              <wp:simplePos x="0" y="0"/>
              <wp:positionH relativeFrom="page">
                <wp:posOffset>148590</wp:posOffset>
              </wp:positionH>
              <wp:positionV relativeFrom="page">
                <wp:posOffset>418465</wp:posOffset>
              </wp:positionV>
              <wp:extent cx="926465" cy="79375"/>
              <wp:wrapNone/>
              <wp:docPr id="3059" name="Shape 3059"/>
              <a:graphic xmlns:a="http://schemas.openxmlformats.org/drawingml/2006/main">
                <a:graphicData uri="http://schemas.microsoft.com/office/word/2010/wordprocessingShape">
                  <wps:wsp>
                    <wps:cNvSpPr txBox="1"/>
                    <wps:spPr>
                      <a:xfrm>
                        <a:ext cx="92646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SUNA.SVEĆEN1K/SVET</w:t>
                          </w:r>
                        </w:p>
                      </w:txbxContent>
                    </wps:txbx>
                    <wps:bodyPr wrap="none" lIns="0" tIns="0" rIns="0" bIns="0">
                      <a:spAutoFit/>
                    </wps:bodyPr>
                  </wps:wsp>
                </a:graphicData>
              </a:graphic>
            </wp:anchor>
          </w:drawing>
        </mc:Choice>
        <mc:Fallback>
          <w:pict>
            <v:shape id="_x0000_s4085" type="#_x0000_t202" style="position:absolute;margin-left:11.699999999999999pt;margin-top:32.950000000000003pt;width:72.950000000000003pt;height:6.25pt;z-index:-1887417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SUNA.SVEĆEN1K/SVET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528320</wp:posOffset>
              </wp:positionV>
              <wp:extent cx="4017010" cy="0"/>
              <wp:wrapNone/>
              <wp:docPr id="3061" name="Shape 306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99999999999999pt;margin-top:41.600000000000001pt;width:316.30000000000001pt;height:0;z-index:-251658240;mso-position-horizontal-relative:page;mso-position-vertical-relative:page">
              <v:stroke weight="1.pt"/>
            </v:shape>
          </w:pict>
        </mc:Fallback>
      </mc:AlternateContent>
    </w:r>
  </w:p>
</w:hdr>
</file>

<file path=word/header7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42" behindDoc="1" locked="0" layoutInCell="1" allowOverlap="1">
              <wp:simplePos x="0" y="0"/>
              <wp:positionH relativeFrom="page">
                <wp:posOffset>154940</wp:posOffset>
              </wp:positionH>
              <wp:positionV relativeFrom="page">
                <wp:posOffset>436880</wp:posOffset>
              </wp:positionV>
              <wp:extent cx="216535" cy="60960"/>
              <wp:wrapNone/>
              <wp:docPr id="3064" name="Shape 3064"/>
              <a:graphic xmlns:a="http://schemas.openxmlformats.org/drawingml/2006/main">
                <a:graphicData uri="http://schemas.microsoft.com/office/word/2010/wordprocessingShape">
                  <wps:wsp>
                    <wps:cNvSpPr txBox="1"/>
                    <wps:spPr>
                      <a:xfrm>
                        <a:ext cx="2165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wps:txbx>
                    <wps:bodyPr wrap="none" lIns="0" tIns="0" rIns="0" bIns="0">
                      <a:spAutoFit/>
                    </wps:bodyPr>
                  </wps:wsp>
                </a:graphicData>
              </a:graphic>
            </wp:anchor>
          </w:drawing>
        </mc:Choice>
        <mc:Fallback>
          <w:pict>
            <v:shape id="_x0000_s4090" type="#_x0000_t202" style="position:absolute;margin-left:12.199999999999999pt;margin-top:34.399999999999999pt;width:17.050000000000001pt;height:4.7999999999999998pt;z-index:-1887417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534670</wp:posOffset>
              </wp:positionV>
              <wp:extent cx="4023360" cy="0"/>
              <wp:wrapNone/>
              <wp:docPr id="3066" name="Shape 306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2.100000000000001pt;width:316.80000000000001pt;height:0;z-index:-251658240;mso-position-horizontal-relative:page;mso-position-vertical-relative:page">
              <v:stroke weight="1.pt"/>
            </v:shape>
          </w:pict>
        </mc:Fallback>
      </mc:AlternateContent>
    </w:r>
  </w:p>
</w:hdr>
</file>

<file path=word/header7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46" behindDoc="1" locked="0" layoutInCell="1" allowOverlap="1">
              <wp:simplePos x="0" y="0"/>
              <wp:positionH relativeFrom="page">
                <wp:posOffset>154940</wp:posOffset>
              </wp:positionH>
              <wp:positionV relativeFrom="page">
                <wp:posOffset>436880</wp:posOffset>
              </wp:positionV>
              <wp:extent cx="216535" cy="60960"/>
              <wp:wrapNone/>
              <wp:docPr id="3069" name="Shape 3069"/>
              <a:graphic xmlns:a="http://schemas.openxmlformats.org/drawingml/2006/main">
                <a:graphicData uri="http://schemas.microsoft.com/office/word/2010/wordprocessingShape">
                  <wps:wsp>
                    <wps:cNvSpPr txBox="1"/>
                    <wps:spPr>
                      <a:xfrm>
                        <a:ext cx="21653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wps:txbx>
                    <wps:bodyPr wrap="none" lIns="0" tIns="0" rIns="0" bIns="0">
                      <a:spAutoFit/>
                    </wps:bodyPr>
                  </wps:wsp>
                </a:graphicData>
              </a:graphic>
            </wp:anchor>
          </w:drawing>
        </mc:Choice>
        <mc:Fallback>
          <w:pict>
            <v:shape id="_x0000_s4095" type="#_x0000_t202" style="position:absolute;margin-left:12.199999999999999pt;margin-top:34.399999999999999pt;width:17.050000000000001pt;height:4.7999999999999998pt;z-index:-1887417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534670</wp:posOffset>
              </wp:positionV>
              <wp:extent cx="4023360" cy="0"/>
              <wp:wrapNone/>
              <wp:docPr id="3071" name="Shape 307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99999999999999pt;margin-top:42.100000000000001pt;width:316.80000000000001pt;height:0;z-index:-251658240;mso-position-horizontal-relative:page;mso-position-vertical-relative:page">
              <v:stroke weight="1.pt"/>
            </v:shape>
          </w:pict>
        </mc:Fallback>
      </mc:AlternateContent>
    </w:r>
  </w:p>
</w:hdr>
</file>

<file path=word/header7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50" behindDoc="1" locked="0" layoutInCell="1" allowOverlap="1">
              <wp:simplePos x="0" y="0"/>
              <wp:positionH relativeFrom="page">
                <wp:posOffset>3604260</wp:posOffset>
              </wp:positionH>
              <wp:positionV relativeFrom="page">
                <wp:posOffset>371475</wp:posOffset>
              </wp:positionV>
              <wp:extent cx="557530" cy="64135"/>
              <wp:wrapNone/>
              <wp:docPr id="3074" name="Shape 3074"/>
              <a:graphic xmlns:a="http://schemas.openxmlformats.org/drawingml/2006/main">
                <a:graphicData uri="http://schemas.microsoft.com/office/word/2010/wordprocessingShape">
                  <wps:wsp>
                    <wps:cNvSpPr txBox="1"/>
                    <wps:spPr>
                      <a:xfrm>
                        <a:ext cx="5575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wps:txbx>
                    <wps:bodyPr wrap="none" lIns="0" tIns="0" rIns="0" bIns="0">
                      <a:spAutoFit/>
                    </wps:bodyPr>
                  </wps:wsp>
                </a:graphicData>
              </a:graphic>
            </wp:anchor>
          </w:drawing>
        </mc:Choice>
        <mc:Fallback>
          <w:pict>
            <v:shape id="_x0000_s4100" type="#_x0000_t202" style="position:absolute;margin-left:283.80000000000001pt;margin-top:29.25pt;width:43.899999999999999pt;height:5.0499999999999998pt;z-index:-1887417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473710</wp:posOffset>
              </wp:positionV>
              <wp:extent cx="4020185" cy="0"/>
              <wp:wrapNone/>
              <wp:docPr id="3076" name="Shape 307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37.299999999999997pt;width:316.55000000000001pt;height:0;z-index:-251658240;mso-position-horizontal-relative:page;mso-position-vertical-relative:page">
              <v:stroke weight="1.pt"/>
            </v:shape>
          </w:pict>
        </mc:Fallback>
      </mc:AlternateContent>
    </w:r>
  </w:p>
</w:hdr>
</file>

<file path=word/header7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52" behindDoc="1" locked="0" layoutInCell="1" allowOverlap="1">
              <wp:simplePos x="0" y="0"/>
              <wp:positionH relativeFrom="page">
                <wp:posOffset>3604260</wp:posOffset>
              </wp:positionH>
              <wp:positionV relativeFrom="page">
                <wp:posOffset>371475</wp:posOffset>
              </wp:positionV>
              <wp:extent cx="557530" cy="64135"/>
              <wp:wrapNone/>
              <wp:docPr id="3077" name="Shape 3077"/>
              <a:graphic xmlns:a="http://schemas.openxmlformats.org/drawingml/2006/main">
                <a:graphicData uri="http://schemas.microsoft.com/office/word/2010/wordprocessingShape">
                  <wps:wsp>
                    <wps:cNvSpPr txBox="1"/>
                    <wps:spPr>
                      <a:xfrm>
                        <a:ext cx="5575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wps:txbx>
                    <wps:bodyPr wrap="none" lIns="0" tIns="0" rIns="0" bIns="0">
                      <a:spAutoFit/>
                    </wps:bodyPr>
                  </wps:wsp>
                </a:graphicData>
              </a:graphic>
            </wp:anchor>
          </w:drawing>
        </mc:Choice>
        <mc:Fallback>
          <w:pict>
            <v:shape id="_x0000_s4103" type="#_x0000_t202" style="position:absolute;margin-left:283.80000000000001pt;margin-top:29.25pt;width:43.899999999999999pt;height:5.0499999999999998pt;z-index:-1887417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473710</wp:posOffset>
              </wp:positionV>
              <wp:extent cx="4020185" cy="0"/>
              <wp:wrapNone/>
              <wp:docPr id="3079" name="Shape 307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37.299999999999997pt;width:316.55000000000001pt;height:0;z-index:-251658240;mso-position-horizontal-relative:page;mso-position-vertical-relative:page">
              <v:stroke weight="1.pt"/>
            </v:shape>
          </w:pict>
        </mc:Fallback>
      </mc:AlternateContent>
    </w:r>
  </w:p>
</w:hdr>
</file>

<file path=word/header7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54" behindDoc="1" locked="0" layoutInCell="1" allowOverlap="1">
              <wp:simplePos x="0" y="0"/>
              <wp:positionH relativeFrom="page">
                <wp:posOffset>138430</wp:posOffset>
              </wp:positionH>
              <wp:positionV relativeFrom="page">
                <wp:posOffset>494665</wp:posOffset>
              </wp:positionV>
              <wp:extent cx="554990" cy="64135"/>
              <wp:wrapNone/>
              <wp:docPr id="3080" name="Shape 3080"/>
              <a:graphic xmlns:a="http://schemas.openxmlformats.org/drawingml/2006/main">
                <a:graphicData uri="http://schemas.microsoft.com/office/word/2010/wordprocessingShape">
                  <wps:wsp>
                    <wps:cNvSpPr txBox="1"/>
                    <wps:spPr>
                      <a:xfrm>
                        <a:ext cx="554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wps:txbx>
                    <wps:bodyPr wrap="none" lIns="0" tIns="0" rIns="0" bIns="0">
                      <a:spAutoFit/>
                    </wps:bodyPr>
                  </wps:wsp>
                </a:graphicData>
              </a:graphic>
            </wp:anchor>
          </w:drawing>
        </mc:Choice>
        <mc:Fallback>
          <w:pict>
            <v:shape id="_x0000_s4106" type="#_x0000_t202" style="position:absolute;margin-left:10.9pt;margin-top:38.950000000000003pt;width:43.700000000000003pt;height:5.0499999999999998pt;z-index:-1887416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584835</wp:posOffset>
              </wp:positionV>
              <wp:extent cx="4017010" cy="0"/>
              <wp:wrapNone/>
              <wp:docPr id="3082" name="Shape 308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5pt;margin-top:46.049999999999997pt;width:316.30000000000001pt;height:0;z-index:-251658240;mso-position-horizontal-relative:page;mso-position-vertical-relative:page">
              <v:stroke weight="1.pt"/>
            </v:shape>
          </w:pict>
        </mc:Fallback>
      </mc:AlternateContent>
    </w:r>
  </w:p>
</w:hdr>
</file>

<file path=word/header7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58" behindDoc="1" locked="0" layoutInCell="1" allowOverlap="1">
              <wp:simplePos x="0" y="0"/>
              <wp:positionH relativeFrom="page">
                <wp:posOffset>138430</wp:posOffset>
              </wp:positionH>
              <wp:positionV relativeFrom="page">
                <wp:posOffset>494665</wp:posOffset>
              </wp:positionV>
              <wp:extent cx="554990" cy="64135"/>
              <wp:wrapNone/>
              <wp:docPr id="3085" name="Shape 3085"/>
              <a:graphic xmlns:a="http://schemas.openxmlformats.org/drawingml/2006/main">
                <a:graphicData uri="http://schemas.microsoft.com/office/word/2010/wordprocessingShape">
                  <wps:wsp>
                    <wps:cNvSpPr txBox="1"/>
                    <wps:spPr>
                      <a:xfrm>
                        <a:ext cx="5549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wps:txbx>
                    <wps:bodyPr wrap="none" lIns="0" tIns="0" rIns="0" bIns="0">
                      <a:spAutoFit/>
                    </wps:bodyPr>
                  </wps:wsp>
                </a:graphicData>
              </a:graphic>
            </wp:anchor>
          </w:drawing>
        </mc:Choice>
        <mc:Fallback>
          <w:pict>
            <v:shape id="_x0000_s4111" type="#_x0000_t202" style="position:absolute;margin-left:10.9pt;margin-top:38.950000000000003pt;width:43.700000000000003pt;height:5.0499999999999998pt;z-index:-1887416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584835</wp:posOffset>
              </wp:positionV>
              <wp:extent cx="4017010" cy="0"/>
              <wp:wrapNone/>
              <wp:docPr id="3087" name="Shape 308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15pt;margin-top:46.049999999999997pt;width:316.30000000000001pt;height:0;z-index:-251658240;mso-position-horizontal-relative:page;mso-position-vertical-relative:page">
              <v:stroke weight="1.pt"/>
            </v:shape>
          </w:pict>
        </mc:Fallback>
      </mc:AlternateContent>
    </w:r>
  </w:p>
</w:hdr>
</file>

<file path=word/header7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62" behindDoc="1" locked="0" layoutInCell="1" allowOverlap="1">
              <wp:simplePos x="0" y="0"/>
              <wp:positionH relativeFrom="page">
                <wp:posOffset>3604260</wp:posOffset>
              </wp:positionH>
              <wp:positionV relativeFrom="page">
                <wp:posOffset>371475</wp:posOffset>
              </wp:positionV>
              <wp:extent cx="557530" cy="64135"/>
              <wp:wrapNone/>
              <wp:docPr id="3090" name="Shape 3090"/>
              <a:graphic xmlns:a="http://schemas.openxmlformats.org/drawingml/2006/main">
                <a:graphicData uri="http://schemas.microsoft.com/office/word/2010/wordprocessingShape">
                  <wps:wsp>
                    <wps:cNvSpPr txBox="1"/>
                    <wps:spPr>
                      <a:xfrm>
                        <a:ext cx="5575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wps:txbx>
                    <wps:bodyPr wrap="none" lIns="0" tIns="0" rIns="0" bIns="0">
                      <a:spAutoFit/>
                    </wps:bodyPr>
                  </wps:wsp>
                </a:graphicData>
              </a:graphic>
            </wp:anchor>
          </w:drawing>
        </mc:Choice>
        <mc:Fallback>
          <w:pict>
            <v:shape id="_x0000_s4116" type="#_x0000_t202" style="position:absolute;margin-left:283.80000000000001pt;margin-top:29.25pt;width:43.899999999999999pt;height:5.0499999999999998pt;z-index:-1887416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473710</wp:posOffset>
              </wp:positionV>
              <wp:extent cx="4020185" cy="0"/>
              <wp:wrapNone/>
              <wp:docPr id="3092" name="Shape 3092"/>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37.299999999999997pt;width:316.55000000000001pt;height:0;z-index:-251658240;mso-position-horizontal-relative:page;mso-position-vertical-relative:page">
              <v:stroke weight="1.pt"/>
            </v:shape>
          </w:pict>
        </mc:Fallback>
      </mc:AlternateContent>
    </w:r>
  </w:p>
</w:hdr>
</file>

<file path=word/header7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64" behindDoc="1" locked="0" layoutInCell="1" allowOverlap="1">
              <wp:simplePos x="0" y="0"/>
              <wp:positionH relativeFrom="page">
                <wp:posOffset>3604260</wp:posOffset>
              </wp:positionH>
              <wp:positionV relativeFrom="page">
                <wp:posOffset>371475</wp:posOffset>
              </wp:positionV>
              <wp:extent cx="557530" cy="64135"/>
              <wp:wrapNone/>
              <wp:docPr id="3093" name="Shape 3093"/>
              <a:graphic xmlns:a="http://schemas.openxmlformats.org/drawingml/2006/main">
                <a:graphicData uri="http://schemas.microsoft.com/office/word/2010/wordprocessingShape">
                  <wps:wsp>
                    <wps:cNvSpPr txBox="1"/>
                    <wps:spPr>
                      <a:xfrm>
                        <a:ext cx="55753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wps:txbx>
                    <wps:bodyPr wrap="none" lIns="0" tIns="0" rIns="0" bIns="0">
                      <a:spAutoFit/>
                    </wps:bodyPr>
                  </wps:wsp>
                </a:graphicData>
              </a:graphic>
            </wp:anchor>
          </w:drawing>
        </mc:Choice>
        <mc:Fallback>
          <w:pict>
            <v:shape id="_x0000_s4119" type="#_x0000_t202" style="position:absolute;margin-left:283.80000000000001pt;margin-top:29.25pt;width:43.899999999999999pt;height:5.0499999999999998pt;z-index:-1887416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473710</wp:posOffset>
              </wp:positionV>
              <wp:extent cx="4020185" cy="0"/>
              <wp:wrapNone/>
              <wp:docPr id="3095" name="Shape 309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37.299999999999997pt;width:316.55000000000001pt;height:0;z-index:-251658240;mso-position-horizontal-relative:page;mso-position-vertical-relative:page">
              <v:stroke weight="1.pt"/>
            </v:shape>
          </w:pict>
        </mc:Fallback>
      </mc:AlternateContent>
    </w:r>
  </w:p>
</w:hdr>
</file>

<file path=word/header7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66" behindDoc="1" locked="0" layoutInCell="1" allowOverlap="1">
              <wp:simplePos x="0" y="0"/>
              <wp:positionH relativeFrom="page">
                <wp:posOffset>150495</wp:posOffset>
              </wp:positionH>
              <wp:positionV relativeFrom="page">
                <wp:posOffset>496570</wp:posOffset>
              </wp:positionV>
              <wp:extent cx="1228090" cy="64135"/>
              <wp:wrapNone/>
              <wp:docPr id="3096" name="Shape 3096"/>
              <a:graphic xmlns:a="http://schemas.openxmlformats.org/drawingml/2006/main">
                <a:graphicData uri="http://schemas.microsoft.com/office/word/2010/wordprocessingShape">
                  <wps:wsp>
                    <wps:cNvSpPr txBox="1"/>
                    <wps:spPr>
                      <a:xfrm>
                        <a:ext cx="12280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SVETKOVINA/SVETO MJESTO</w:t>
                          </w:r>
                        </w:p>
                      </w:txbxContent>
                    </wps:txbx>
                    <wps:bodyPr wrap="none" lIns="0" tIns="0" rIns="0" bIns="0">
                      <a:spAutoFit/>
                    </wps:bodyPr>
                  </wps:wsp>
                </a:graphicData>
              </a:graphic>
            </wp:anchor>
          </w:drawing>
        </mc:Choice>
        <mc:Fallback>
          <w:pict>
            <v:shape id="_x0000_s4122" type="#_x0000_t202" style="position:absolute;margin-left:11.85pt;margin-top:39.100000000000001pt;width:96.700000000000003pt;height:5.0499999999999998pt;z-index:-1887416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SVETKOVINA/SVETO MJESTO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592455</wp:posOffset>
              </wp:positionV>
              <wp:extent cx="4017010" cy="0"/>
              <wp:wrapNone/>
              <wp:docPr id="3098" name="Shape 309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46.649999999999999pt;width:316.30000000000001pt;height:0;z-index:-251658240;mso-position-horizontal-relative:page;mso-position-vertical-relative:page">
              <v:stroke weight="1.pt"/>
            </v:shape>
          </w:pict>
        </mc:Fallback>
      </mc:AlternateContent>
    </w:r>
  </w:p>
</w:hdr>
</file>

<file path=word/header7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70" behindDoc="1" locked="0" layoutInCell="1" allowOverlap="1">
              <wp:simplePos x="0" y="0"/>
              <wp:positionH relativeFrom="page">
                <wp:posOffset>150495</wp:posOffset>
              </wp:positionH>
              <wp:positionV relativeFrom="page">
                <wp:posOffset>496570</wp:posOffset>
              </wp:positionV>
              <wp:extent cx="1228090" cy="64135"/>
              <wp:wrapNone/>
              <wp:docPr id="3101" name="Shape 3101"/>
              <a:graphic xmlns:a="http://schemas.openxmlformats.org/drawingml/2006/main">
                <a:graphicData uri="http://schemas.microsoft.com/office/word/2010/wordprocessingShape">
                  <wps:wsp>
                    <wps:cNvSpPr txBox="1"/>
                    <wps:spPr>
                      <a:xfrm>
                        <a:ext cx="12280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SVETKOVINA/SVETO MJESTO</w:t>
                          </w:r>
                        </w:p>
                      </w:txbxContent>
                    </wps:txbx>
                    <wps:bodyPr wrap="none" lIns="0" tIns="0" rIns="0" bIns="0">
                      <a:spAutoFit/>
                    </wps:bodyPr>
                  </wps:wsp>
                </a:graphicData>
              </a:graphic>
            </wp:anchor>
          </w:drawing>
        </mc:Choice>
        <mc:Fallback>
          <w:pict>
            <v:shape id="_x0000_s4127" type="#_x0000_t202" style="position:absolute;margin-left:11.85pt;margin-top:39.100000000000001pt;width:96.700000000000003pt;height:5.0499999999999998pt;z-index:-1887416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SVETKOVINA/SVETO MJESTO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592455</wp:posOffset>
              </wp:positionV>
              <wp:extent cx="4017010" cy="0"/>
              <wp:wrapNone/>
              <wp:docPr id="3103" name="Shape 310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46.649999999999999pt;width:316.30000000000001pt;height:0;z-index:-251658240;mso-position-horizontal-relative:page;mso-position-vertical-relative:page">
              <v:stroke weight="1.pt"/>
            </v:shape>
          </w:pict>
        </mc:Fallback>
      </mc:AlternateContent>
    </w:r>
  </w:p>
</w:hdr>
</file>

<file path=word/header7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74" behindDoc="1" locked="0" layoutInCell="1" allowOverlap="1">
              <wp:simplePos x="0" y="0"/>
              <wp:positionH relativeFrom="page">
                <wp:posOffset>2933700</wp:posOffset>
              </wp:positionH>
              <wp:positionV relativeFrom="page">
                <wp:posOffset>395605</wp:posOffset>
              </wp:positionV>
              <wp:extent cx="1237615" cy="69850"/>
              <wp:wrapNone/>
              <wp:docPr id="3106" name="Shape 3106"/>
              <a:graphic xmlns:a="http://schemas.openxmlformats.org/drawingml/2006/main">
                <a:graphicData uri="http://schemas.microsoft.com/office/word/2010/wordprocessingShape">
                  <wps:wsp>
                    <wps:cNvSpPr txBox="1"/>
                    <wps:spPr>
                      <a:xfrm>
                        <a:ext cx="123761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MJESTO,-SVETO PISMO</w:t>
                          </w:r>
                        </w:p>
                      </w:txbxContent>
                    </wps:txbx>
                    <wps:bodyPr wrap="none" lIns="0" tIns="0" rIns="0" bIns="0">
                      <a:spAutoFit/>
                    </wps:bodyPr>
                  </wps:wsp>
                </a:graphicData>
              </a:graphic>
            </wp:anchor>
          </w:drawing>
        </mc:Choice>
        <mc:Fallback>
          <w:pict>
            <v:shape id="_x0000_s4132" type="#_x0000_t202" style="position:absolute;margin-left:231.pt;margin-top:31.149999999999999pt;width:97.450000000000003pt;height:5.5pt;z-index:-1887416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MJESTO,-SVETO PISMO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497840</wp:posOffset>
              </wp:positionV>
              <wp:extent cx="4020185" cy="0"/>
              <wp:wrapNone/>
              <wp:docPr id="3108" name="Shape 310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5pt;margin-top:39.200000000000003pt;width:316.55000000000001pt;height:0;z-index:-251658240;mso-position-horizontal-relative:page;mso-position-vertical-relative:page">
              <v:stroke weight="1.pt"/>
            </v:shape>
          </w:pict>
        </mc:Fallback>
      </mc:AlternateContent>
    </w:r>
  </w:p>
</w:hdr>
</file>

<file path=word/header7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76" behindDoc="1" locked="0" layoutInCell="1" allowOverlap="1">
              <wp:simplePos x="0" y="0"/>
              <wp:positionH relativeFrom="page">
                <wp:posOffset>2933700</wp:posOffset>
              </wp:positionH>
              <wp:positionV relativeFrom="page">
                <wp:posOffset>395605</wp:posOffset>
              </wp:positionV>
              <wp:extent cx="1237615" cy="69850"/>
              <wp:wrapNone/>
              <wp:docPr id="3109" name="Shape 3109"/>
              <a:graphic xmlns:a="http://schemas.openxmlformats.org/drawingml/2006/main">
                <a:graphicData uri="http://schemas.microsoft.com/office/word/2010/wordprocessingShape">
                  <wps:wsp>
                    <wps:cNvSpPr txBox="1"/>
                    <wps:spPr>
                      <a:xfrm>
                        <a:ext cx="123761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MJESTO,-SVETO PISMO</w:t>
                          </w:r>
                        </w:p>
                      </w:txbxContent>
                    </wps:txbx>
                    <wps:bodyPr wrap="none" lIns="0" tIns="0" rIns="0" bIns="0">
                      <a:spAutoFit/>
                    </wps:bodyPr>
                  </wps:wsp>
                </a:graphicData>
              </a:graphic>
            </wp:anchor>
          </w:drawing>
        </mc:Choice>
        <mc:Fallback>
          <w:pict>
            <v:shape id="_x0000_s4135" type="#_x0000_t202" style="position:absolute;margin-left:231.pt;margin-top:31.149999999999999pt;width:97.450000000000003pt;height:5.5pt;z-index:-1887416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MJESTO,-SVETO PISMO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497840</wp:posOffset>
              </wp:positionV>
              <wp:extent cx="4020185" cy="0"/>
              <wp:wrapNone/>
              <wp:docPr id="3111" name="Shape 311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5pt;margin-top:39.200000000000003pt;width:316.55000000000001pt;height:0;z-index:-251658240;mso-position-horizontal-relative:page;mso-position-vertical-relative:page">
              <v:stroke weight="1.pt"/>
            </v:shape>
          </w:pict>
        </mc:Fallback>
      </mc:AlternateContent>
    </w:r>
  </w:p>
</w:hdr>
</file>

<file path=word/header7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78" behindDoc="1" locked="0" layoutInCell="1" allowOverlap="1">
              <wp:simplePos x="0" y="0"/>
              <wp:positionH relativeFrom="page">
                <wp:posOffset>150495</wp:posOffset>
              </wp:positionH>
              <wp:positionV relativeFrom="page">
                <wp:posOffset>490220</wp:posOffset>
              </wp:positionV>
              <wp:extent cx="572770" cy="67310"/>
              <wp:wrapNone/>
              <wp:docPr id="3112" name="Shape 3112"/>
              <a:graphic xmlns:a="http://schemas.openxmlformats.org/drawingml/2006/main">
                <a:graphicData uri="http://schemas.microsoft.com/office/word/2010/wordprocessingShape">
                  <wps:wsp>
                    <wps:cNvSpPr txBox="1"/>
                    <wps:spPr>
                      <a:xfrm>
                        <a:ext cx="5727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PISMO</w:t>
                          </w:r>
                        </w:p>
                      </w:txbxContent>
                    </wps:txbx>
                    <wps:bodyPr wrap="none" lIns="0" tIns="0" rIns="0" bIns="0">
                      <a:spAutoFit/>
                    </wps:bodyPr>
                  </wps:wsp>
                </a:graphicData>
              </a:graphic>
            </wp:anchor>
          </w:drawing>
        </mc:Choice>
        <mc:Fallback>
          <w:pict>
            <v:shape id="_x0000_s4138" type="#_x0000_t202" style="position:absolute;margin-left:11.85pt;margin-top:38.600000000000001pt;width:45.100000000000001pt;height:5.2999999999999998pt;z-index:-1887416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PISMO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586105</wp:posOffset>
              </wp:positionV>
              <wp:extent cx="4020185" cy="0"/>
              <wp:wrapNone/>
              <wp:docPr id="3114" name="Shape 311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46.149999999999999pt;width:316.55000000000001pt;height:0;z-index:-251658240;mso-position-horizontal-relative:page;mso-position-vertical-relative:page">
              <v:stroke weight="1.pt"/>
            </v:shape>
          </w:pict>
        </mc:Fallback>
      </mc:AlternateContent>
    </w:r>
  </w:p>
</w:hdr>
</file>

<file path=word/header7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82" behindDoc="1" locked="0" layoutInCell="1" allowOverlap="1">
              <wp:simplePos x="0" y="0"/>
              <wp:positionH relativeFrom="page">
                <wp:posOffset>150495</wp:posOffset>
              </wp:positionH>
              <wp:positionV relativeFrom="page">
                <wp:posOffset>490220</wp:posOffset>
              </wp:positionV>
              <wp:extent cx="572770" cy="67310"/>
              <wp:wrapNone/>
              <wp:docPr id="3117" name="Shape 3117"/>
              <a:graphic xmlns:a="http://schemas.openxmlformats.org/drawingml/2006/main">
                <a:graphicData uri="http://schemas.microsoft.com/office/word/2010/wordprocessingShape">
                  <wps:wsp>
                    <wps:cNvSpPr txBox="1"/>
                    <wps:spPr>
                      <a:xfrm>
                        <a:ext cx="5727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PISMO</w:t>
                          </w:r>
                        </w:p>
                      </w:txbxContent>
                    </wps:txbx>
                    <wps:bodyPr wrap="none" lIns="0" tIns="0" rIns="0" bIns="0">
                      <a:spAutoFit/>
                    </wps:bodyPr>
                  </wps:wsp>
                </a:graphicData>
              </a:graphic>
            </wp:anchor>
          </w:drawing>
        </mc:Choice>
        <mc:Fallback>
          <w:pict>
            <v:shape id="_x0000_s4143" type="#_x0000_t202" style="position:absolute;margin-left:11.85pt;margin-top:38.600000000000001pt;width:45.100000000000001pt;height:5.2999999999999998pt;z-index:-1887416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PISMO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586105</wp:posOffset>
              </wp:positionV>
              <wp:extent cx="4020185" cy="0"/>
              <wp:wrapNone/>
              <wp:docPr id="3119" name="Shape 311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46.149999999999999pt;width:316.55000000000001pt;height:0;z-index:-251658240;mso-position-horizontal-relative:page;mso-position-vertical-relative:page">
              <v:stroke weight="1.pt"/>
            </v:shape>
          </w:pict>
        </mc:Fallback>
      </mc:AlternateContent>
    </w:r>
  </w:p>
</w:hdr>
</file>

<file path=word/header7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86" behindDoc="1" locked="0" layoutInCell="1" allowOverlap="1">
              <wp:simplePos x="0" y="0"/>
              <wp:positionH relativeFrom="page">
                <wp:posOffset>3601085</wp:posOffset>
              </wp:positionH>
              <wp:positionV relativeFrom="page">
                <wp:posOffset>423545</wp:posOffset>
              </wp:positionV>
              <wp:extent cx="570230" cy="60960"/>
              <wp:wrapNone/>
              <wp:docPr id="3122" name="Shape 3122"/>
              <a:graphic xmlns:a="http://schemas.openxmlformats.org/drawingml/2006/main">
                <a:graphicData uri="http://schemas.microsoft.com/office/word/2010/wordprocessingShape">
                  <wps:wsp>
                    <wps:cNvSpPr txBox="1"/>
                    <wps:spPr>
                      <a:xfrm>
                        <a:ext cx="5702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FISMO</w:t>
                          </w:r>
                        </w:p>
                      </w:txbxContent>
                    </wps:txbx>
                    <wps:bodyPr wrap="none" lIns="0" tIns="0" rIns="0" bIns="0">
                      <a:spAutoFit/>
                    </wps:bodyPr>
                  </wps:wsp>
                </a:graphicData>
              </a:graphic>
            </wp:anchor>
          </w:drawing>
        </mc:Choice>
        <mc:Fallback>
          <w:pict>
            <v:shape id="_x0000_s4148" type="#_x0000_t202" style="position:absolute;margin-left:283.55000000000001pt;margin-top:33.350000000000001pt;width:44.899999999999999pt;height:4.7999999999999998pt;z-index:-1887416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FISMO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522605</wp:posOffset>
              </wp:positionV>
              <wp:extent cx="4017010" cy="0"/>
              <wp:wrapNone/>
              <wp:docPr id="3124" name="Shape 312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41.149999999999999pt;width:316.30000000000001pt;height:0;z-index:-251658240;mso-position-horizontal-relative:page;mso-position-vertical-relative:page">
              <v:stroke weight="1.pt"/>
            </v:shape>
          </w:pict>
        </mc:Fallback>
      </mc:AlternateContent>
    </w:r>
  </w:p>
</w:hdr>
</file>

<file path=word/header7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88" behindDoc="1" locked="0" layoutInCell="1" allowOverlap="1">
              <wp:simplePos x="0" y="0"/>
              <wp:positionH relativeFrom="page">
                <wp:posOffset>3601085</wp:posOffset>
              </wp:positionH>
              <wp:positionV relativeFrom="page">
                <wp:posOffset>423545</wp:posOffset>
              </wp:positionV>
              <wp:extent cx="570230" cy="60960"/>
              <wp:wrapNone/>
              <wp:docPr id="3125" name="Shape 3125"/>
              <a:graphic xmlns:a="http://schemas.openxmlformats.org/drawingml/2006/main">
                <a:graphicData uri="http://schemas.microsoft.com/office/word/2010/wordprocessingShape">
                  <wps:wsp>
                    <wps:cNvSpPr txBox="1"/>
                    <wps:spPr>
                      <a:xfrm>
                        <a:ext cx="57023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FISMO</w:t>
                          </w:r>
                        </w:p>
                      </w:txbxContent>
                    </wps:txbx>
                    <wps:bodyPr wrap="none" lIns="0" tIns="0" rIns="0" bIns="0">
                      <a:spAutoFit/>
                    </wps:bodyPr>
                  </wps:wsp>
                </a:graphicData>
              </a:graphic>
            </wp:anchor>
          </w:drawing>
        </mc:Choice>
        <mc:Fallback>
          <w:pict>
            <v:shape id="_x0000_s4151" type="#_x0000_t202" style="position:absolute;margin-left:283.55000000000001pt;margin-top:33.350000000000001pt;width:44.899999999999999pt;height:4.7999999999999998pt;z-index:-1887416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FISMO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522605</wp:posOffset>
              </wp:positionV>
              <wp:extent cx="4017010" cy="0"/>
              <wp:wrapNone/>
              <wp:docPr id="3127" name="Shape 312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pt;margin-top:41.149999999999999pt;width:316.30000000000001pt;height:0;z-index:-251658240;mso-position-horizontal-relative:page;mso-position-vertical-relative:page">
              <v:stroke weight="1.pt"/>
            </v:shape>
          </w:pict>
        </mc:Fallback>
      </mc:AlternateContent>
    </w:r>
  </w:p>
</w:hdr>
</file>

<file path=word/header7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90" behindDoc="1" locked="0" layoutInCell="1" allowOverlap="1">
              <wp:simplePos x="0" y="0"/>
              <wp:positionH relativeFrom="page">
                <wp:posOffset>2741295</wp:posOffset>
              </wp:positionH>
              <wp:positionV relativeFrom="page">
                <wp:posOffset>467360</wp:posOffset>
              </wp:positionV>
              <wp:extent cx="1426210" cy="94615"/>
              <wp:wrapNone/>
              <wp:docPr id="3128" name="Shape 3128"/>
              <a:graphic xmlns:a="http://schemas.openxmlformats.org/drawingml/2006/main">
                <a:graphicData uri="http://schemas.microsoft.com/office/word/2010/wordprocessingShape">
                  <wps:wsp>
                    <wps:cNvSpPr txBox="1"/>
                    <wps:spPr>
                      <a:xfrm>
                        <a:ext cx="1426210" cy="9461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wps:txbx>
                    <wps:bodyPr wrap="none" lIns="0" tIns="0" rIns="0" bIns="0">
                      <a:spAutoFit/>
                    </wps:bodyPr>
                  </wps:wsp>
                </a:graphicData>
              </a:graphic>
            </wp:anchor>
          </w:drawing>
        </mc:Choice>
        <mc:Fallback>
          <w:pict>
            <v:shape id="_x0000_s4154" type="#_x0000_t202" style="position:absolute;margin-left:215.84999999999999pt;margin-top:36.799999999999997pt;width:112.3pt;height:7.4500000000000002pt;z-index:-1887416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586105</wp:posOffset>
              </wp:positionV>
              <wp:extent cx="4029710" cy="0"/>
              <wp:wrapNone/>
              <wp:docPr id="3130" name="Shape 3130"/>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15pt;margin-top:46.149999999999999pt;width:317.30000000000001pt;height:0;z-index:-251658240;mso-position-horizontal-relative:page;mso-position-vertical-relative:page">
              <v:stroke weight="1.pt"/>
            </v:shape>
          </w:pict>
        </mc:Fallback>
      </mc:AlternateContent>
    </w:r>
  </w:p>
</w:hdr>
</file>

<file path=word/header7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94" behindDoc="1" locked="0" layoutInCell="1" allowOverlap="1">
              <wp:simplePos x="0" y="0"/>
              <wp:positionH relativeFrom="page">
                <wp:posOffset>2741295</wp:posOffset>
              </wp:positionH>
              <wp:positionV relativeFrom="page">
                <wp:posOffset>467360</wp:posOffset>
              </wp:positionV>
              <wp:extent cx="1426210" cy="94615"/>
              <wp:wrapNone/>
              <wp:docPr id="3133" name="Shape 3133"/>
              <a:graphic xmlns:a="http://schemas.openxmlformats.org/drawingml/2006/main">
                <a:graphicData uri="http://schemas.microsoft.com/office/word/2010/wordprocessingShape">
                  <wps:wsp>
                    <wps:cNvSpPr txBox="1"/>
                    <wps:spPr>
                      <a:xfrm>
                        <a:ext cx="1426210" cy="9461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wps:txbx>
                    <wps:bodyPr wrap="none" lIns="0" tIns="0" rIns="0" bIns="0">
                      <a:spAutoFit/>
                    </wps:bodyPr>
                  </wps:wsp>
                </a:graphicData>
              </a:graphic>
            </wp:anchor>
          </w:drawing>
        </mc:Choice>
        <mc:Fallback>
          <w:pict>
            <v:shape id="_x0000_s4159" type="#_x0000_t202" style="position:absolute;margin-left:215.84999999999999pt;margin-top:36.799999999999997pt;width:112.3pt;height:7.4500000000000002pt;z-index:-1887416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586105</wp:posOffset>
              </wp:positionV>
              <wp:extent cx="4029710" cy="0"/>
              <wp:wrapNone/>
              <wp:docPr id="3135" name="Shape 3135"/>
              <a:graphic xmlns:a="http://schemas.openxmlformats.org/drawingml/2006/main">
                <a:graphicData uri="http://schemas.microsoft.com/office/word/2010/wordprocessingShape">
                  <wps:wsp>
                    <wps:cNvCnPr/>
                    <wps:spPr>
                      <a:xfrm>
                        <a:ext cx="4029710" cy="0"/>
                      </a:xfrm>
                      <a:prstGeom prst="straightConnector1"/>
                      <a:ln w="12700">
                        <a:solidFill/>
                      </a:ln>
                    </wps:spPr>
                    <wps:bodyPr/>
                  </wps:wsp>
                </a:graphicData>
              </a:graphic>
            </wp:anchor>
          </w:drawing>
        </mc:Choice>
        <mc:Fallback>
          <w:pict>
            <v:shape o:spt="32" o:oned="true" path="m,l21600,21600e" style="position:absolute;margin-left:11.15pt;margin-top:46.149999999999999pt;width:317.30000000000001pt;height:0;z-index:-251658240;mso-position-horizontal-relative:page;mso-position-vertical-relative:page">
              <v:stroke weight="1.pt"/>
            </v:shape>
          </w:pict>
        </mc:Fallback>
      </mc:AlternateContent>
    </w:r>
  </w:p>
</w:hdr>
</file>

<file path=word/header7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098" behindDoc="1" locked="0" layoutInCell="1" allowOverlap="1">
              <wp:simplePos x="0" y="0"/>
              <wp:positionH relativeFrom="page">
                <wp:posOffset>149225</wp:posOffset>
              </wp:positionH>
              <wp:positionV relativeFrom="page">
                <wp:posOffset>481330</wp:posOffset>
              </wp:positionV>
              <wp:extent cx="1337945" cy="79375"/>
              <wp:wrapNone/>
              <wp:docPr id="3138" name="Shape 3138"/>
              <a:graphic xmlns:a="http://schemas.openxmlformats.org/drawingml/2006/main">
                <a:graphicData uri="http://schemas.microsoft.com/office/word/2010/wordprocessingShape">
                  <wps:wsp>
                    <wps:cNvSpPr txBox="1"/>
                    <wps:spPr>
                      <a:xfrm>
                        <a:ext cx="133794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PISMO/SVJEDOČANSTVO</w:t>
                          </w:r>
                        </w:p>
                      </w:txbxContent>
                    </wps:txbx>
                    <wps:bodyPr wrap="none" lIns="0" tIns="0" rIns="0" bIns="0">
                      <a:spAutoFit/>
                    </wps:bodyPr>
                  </wps:wsp>
                </a:graphicData>
              </a:graphic>
            </wp:anchor>
          </w:drawing>
        </mc:Choice>
        <mc:Fallback>
          <w:pict>
            <v:shape id="_x0000_s4164" type="#_x0000_t202" style="position:absolute;margin-left:11.75pt;margin-top:37.899999999999999pt;width:105.34999999999999pt;height:6.25pt;z-index:-1887416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SVETO PISMO/SVJEDOČANSTVO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590550</wp:posOffset>
              </wp:positionV>
              <wp:extent cx="4026535" cy="0"/>
              <wp:wrapNone/>
              <wp:docPr id="3140" name="Shape 3140"/>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2.pt;margin-top:46.5pt;width:317.05000000000001pt;height:0;z-index:-251658240;mso-position-horizontal-relative:page;mso-position-vertical-relative:page">
              <v:stroke weight="1.pt"/>
            </v:shape>
          </w:pict>
        </mc:Fallback>
      </mc:AlternateContent>
    </w:r>
  </w:p>
</w:hdr>
</file>

<file path=word/header7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02" behindDoc="1" locked="0" layoutInCell="1" allowOverlap="1">
              <wp:simplePos x="0" y="0"/>
              <wp:positionH relativeFrom="page">
                <wp:posOffset>144780</wp:posOffset>
              </wp:positionH>
              <wp:positionV relativeFrom="page">
                <wp:posOffset>380365</wp:posOffset>
              </wp:positionV>
              <wp:extent cx="1432560" cy="94615"/>
              <wp:wrapNone/>
              <wp:docPr id="3143" name="Shape 3143"/>
              <a:graphic xmlns:a="http://schemas.openxmlformats.org/drawingml/2006/main">
                <a:graphicData uri="http://schemas.microsoft.com/office/word/2010/wordprocessingShape">
                  <wps:wsp>
                    <wps:cNvSpPr txBox="1"/>
                    <wps:spPr>
                      <a:xfrm>
                        <a:ext cx="1432560" cy="9461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wps:txbx>
                    <wps:bodyPr wrap="none" lIns="0" tIns="0" rIns="0" bIns="0">
                      <a:spAutoFit/>
                    </wps:bodyPr>
                  </wps:wsp>
                </a:graphicData>
              </a:graphic>
            </wp:anchor>
          </w:drawing>
        </mc:Choice>
        <mc:Fallback>
          <w:pict>
            <v:shape id="_x0000_s4169" type="#_x0000_t202" style="position:absolute;margin-left:11.4pt;margin-top:29.949999999999999pt;width:112.8pt;height:7.4500000000000002pt;z-index:-1887416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490220</wp:posOffset>
              </wp:positionV>
              <wp:extent cx="4026535" cy="0"/>
              <wp:wrapNone/>
              <wp:docPr id="3145" name="Shape 3145"/>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pt;margin-top:38.600000000000001pt;width:317.05000000000001pt;height:0;z-index:-251658240;mso-position-horizontal-relative:page;mso-position-vertical-relative:page">
              <v:stroke weight="1.pt"/>
            </v:shape>
          </w:pict>
        </mc:Fallback>
      </mc:AlternateContent>
    </w:r>
  </w:p>
</w:hdr>
</file>

<file path=word/header7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04" behindDoc="1" locked="0" layoutInCell="1" allowOverlap="1">
              <wp:simplePos x="0" y="0"/>
              <wp:positionH relativeFrom="page">
                <wp:posOffset>144780</wp:posOffset>
              </wp:positionH>
              <wp:positionV relativeFrom="page">
                <wp:posOffset>380365</wp:posOffset>
              </wp:positionV>
              <wp:extent cx="1432560" cy="94615"/>
              <wp:wrapNone/>
              <wp:docPr id="3146" name="Shape 3146"/>
              <a:graphic xmlns:a="http://schemas.openxmlformats.org/drawingml/2006/main">
                <a:graphicData uri="http://schemas.microsoft.com/office/word/2010/wordprocessingShape">
                  <wps:wsp>
                    <wps:cNvSpPr txBox="1"/>
                    <wps:spPr>
                      <a:xfrm>
                        <a:ext cx="1432560" cy="9461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wps:txbx>
                    <wps:bodyPr wrap="none" lIns="0" tIns="0" rIns="0" bIns="0">
                      <a:spAutoFit/>
                    </wps:bodyPr>
                  </wps:wsp>
                </a:graphicData>
              </a:graphic>
            </wp:anchor>
          </w:drawing>
        </mc:Choice>
        <mc:Fallback>
          <w:pict>
            <v:shape id="_x0000_s4172" type="#_x0000_t202" style="position:absolute;margin-left:11.4pt;margin-top:29.949999999999999pt;width:112.8pt;height:7.4500000000000002pt;z-index:-1887416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SVJEDOČANSTVO (SVJEDOČENJE)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490220</wp:posOffset>
              </wp:positionV>
              <wp:extent cx="4026535" cy="0"/>
              <wp:wrapNone/>
              <wp:docPr id="3148" name="Shape 3148"/>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pt;margin-top:38.600000000000001pt;width:317.05000000000001pt;height:0;z-index:-251658240;mso-position-horizontal-relative:page;mso-position-vertical-relative:page">
              <v:stroke weight="1.pt"/>
            </v:shape>
          </w:pict>
        </mc:Fallback>
      </mc:AlternateContent>
    </w:r>
  </w:p>
</w:hdr>
</file>

<file path=word/header7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06" behindDoc="1" locked="0" layoutInCell="1" allowOverlap="1">
              <wp:simplePos x="0" y="0"/>
              <wp:positionH relativeFrom="page">
                <wp:posOffset>145415</wp:posOffset>
              </wp:positionH>
              <wp:positionV relativeFrom="page">
                <wp:posOffset>419735</wp:posOffset>
              </wp:positionV>
              <wp:extent cx="582295" cy="94615"/>
              <wp:wrapNone/>
              <wp:docPr id="3151" name="Shape 3151"/>
              <a:graphic xmlns:a="http://schemas.openxmlformats.org/drawingml/2006/main">
                <a:graphicData uri="http://schemas.microsoft.com/office/word/2010/wordprocessingShape">
                  <wps:wsp>
                    <wps:cNvSpPr txBox="1"/>
                    <wps:spPr>
                      <a:xfrm>
                        <a:ext cx="582295" cy="9461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sz w:val="17"/>
                              <w:szCs w:val="17"/>
                              <w:shd w:val="clear" w:color="auto" w:fill="auto"/>
                              <w:lang w:val="hr-HR" w:eastAsia="hr-HR" w:bidi="hr-HR"/>
                            </w:rPr>
                            <w:t>šijizam</w:t>
                          </w:r>
                          <w:r>
                            <w:rPr>
                              <w:color w:val="000000"/>
                              <w:spacing w:val="0"/>
                              <w:w w:val="100"/>
                              <w:position w:val="0"/>
                              <w:shd w:val="clear" w:color="auto" w:fill="auto"/>
                              <w:lang w:val="hr-HR" w:eastAsia="hr-HR" w:bidi="hr-HR"/>
                            </w:rPr>
                            <w:t xml:space="preserve"> (ši'A)</w:t>
                          </w:r>
                        </w:p>
                      </w:txbxContent>
                    </wps:txbx>
                    <wps:bodyPr wrap="none" lIns="0" tIns="0" rIns="0" bIns="0">
                      <a:spAutoFit/>
                    </wps:bodyPr>
                  </wps:wsp>
                </a:graphicData>
              </a:graphic>
            </wp:anchor>
          </w:drawing>
        </mc:Choice>
        <mc:Fallback>
          <w:pict>
            <v:shape id="_x0000_s4177" type="#_x0000_t202" style="position:absolute;margin-left:11.449999999999999pt;margin-top:33.049999999999997pt;width:45.850000000000001pt;height:7.4500000000000002pt;z-index:-1887416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sz w:val="17"/>
                        <w:szCs w:val="17"/>
                        <w:shd w:val="clear" w:color="auto" w:fill="auto"/>
                        <w:lang w:val="hr-HR" w:eastAsia="hr-HR" w:bidi="hr-HR"/>
                      </w:rPr>
                      <w:t>šijizam</w:t>
                    </w:r>
                    <w:r>
                      <w:rPr>
                        <w:color w:val="000000"/>
                        <w:spacing w:val="0"/>
                        <w:w w:val="100"/>
                        <w:position w:val="0"/>
                        <w:shd w:val="clear" w:color="auto" w:fill="auto"/>
                        <w:lang w:val="hr-HR" w:eastAsia="hr-HR" w:bidi="hr-HR"/>
                      </w:rPr>
                      <w:t xml:space="preserve"> (ši'A)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532130</wp:posOffset>
              </wp:positionV>
              <wp:extent cx="4026535" cy="0"/>
              <wp:wrapNone/>
              <wp:docPr id="3153" name="Shape 3153"/>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1.899999999999999pt;width:317.05000000000001pt;height:0;z-index:-251658240;mso-position-horizontal-relative:page;mso-position-vertical-relative:page">
              <v:stroke weight="1.pt"/>
            </v:shape>
          </w:pict>
        </mc:Fallback>
      </mc:AlternateContent>
    </w:r>
  </w:p>
</w:hdr>
</file>

<file path=word/header7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08" behindDoc="1" locked="0" layoutInCell="1" allowOverlap="1">
              <wp:simplePos x="0" y="0"/>
              <wp:positionH relativeFrom="page">
                <wp:posOffset>145415</wp:posOffset>
              </wp:positionH>
              <wp:positionV relativeFrom="page">
                <wp:posOffset>419735</wp:posOffset>
              </wp:positionV>
              <wp:extent cx="582295" cy="94615"/>
              <wp:wrapNone/>
              <wp:docPr id="3154" name="Shape 3154"/>
              <a:graphic xmlns:a="http://schemas.openxmlformats.org/drawingml/2006/main">
                <a:graphicData uri="http://schemas.microsoft.com/office/word/2010/wordprocessingShape">
                  <wps:wsp>
                    <wps:cNvSpPr txBox="1"/>
                    <wps:spPr>
                      <a:xfrm>
                        <a:ext cx="582295" cy="9461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sz w:val="17"/>
                              <w:szCs w:val="17"/>
                              <w:shd w:val="clear" w:color="auto" w:fill="auto"/>
                              <w:lang w:val="hr-HR" w:eastAsia="hr-HR" w:bidi="hr-HR"/>
                            </w:rPr>
                            <w:t>šijizam</w:t>
                          </w:r>
                          <w:r>
                            <w:rPr>
                              <w:color w:val="000000"/>
                              <w:spacing w:val="0"/>
                              <w:w w:val="100"/>
                              <w:position w:val="0"/>
                              <w:shd w:val="clear" w:color="auto" w:fill="auto"/>
                              <w:lang w:val="hr-HR" w:eastAsia="hr-HR" w:bidi="hr-HR"/>
                            </w:rPr>
                            <w:t xml:space="preserve"> (ši'A)</w:t>
                          </w:r>
                        </w:p>
                      </w:txbxContent>
                    </wps:txbx>
                    <wps:bodyPr wrap="none" lIns="0" tIns="0" rIns="0" bIns="0">
                      <a:spAutoFit/>
                    </wps:bodyPr>
                  </wps:wsp>
                </a:graphicData>
              </a:graphic>
            </wp:anchor>
          </w:drawing>
        </mc:Choice>
        <mc:Fallback>
          <w:pict>
            <v:shape id="_x0000_s4180" type="#_x0000_t202" style="position:absolute;margin-left:11.449999999999999pt;margin-top:33.049999999999997pt;width:45.850000000000001pt;height:7.4500000000000002pt;z-index:-1887416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sz w:val="17"/>
                        <w:szCs w:val="17"/>
                        <w:shd w:val="clear" w:color="auto" w:fill="auto"/>
                        <w:lang w:val="hr-HR" w:eastAsia="hr-HR" w:bidi="hr-HR"/>
                      </w:rPr>
                      <w:t>šijizam</w:t>
                    </w:r>
                    <w:r>
                      <w:rPr>
                        <w:color w:val="000000"/>
                        <w:spacing w:val="0"/>
                        <w:w w:val="100"/>
                        <w:position w:val="0"/>
                        <w:shd w:val="clear" w:color="auto" w:fill="auto"/>
                        <w:lang w:val="hr-HR" w:eastAsia="hr-HR" w:bidi="hr-HR"/>
                      </w:rPr>
                      <w:t xml:space="preserve"> (ši'A)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532130</wp:posOffset>
              </wp:positionV>
              <wp:extent cx="4026535" cy="0"/>
              <wp:wrapNone/>
              <wp:docPr id="3156" name="Shape 315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449999999999999pt;margin-top:41.899999999999999pt;width:317.05000000000001pt;height:0;z-index:-251658240;mso-position-horizontal-relative:page;mso-position-vertical-relative:page">
              <v:stroke weight="1.pt"/>
            </v:shape>
          </w:pict>
        </mc:Fallback>
      </mc:AlternateContent>
    </w:r>
  </w:p>
</w:hdr>
</file>

<file path=word/header7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12" behindDoc="1" locked="0" layoutInCell="1" allowOverlap="1">
              <wp:simplePos x="0" y="0"/>
              <wp:positionH relativeFrom="page">
                <wp:posOffset>3595370</wp:posOffset>
              </wp:positionH>
              <wp:positionV relativeFrom="page">
                <wp:posOffset>416560</wp:posOffset>
              </wp:positionV>
              <wp:extent cx="582295" cy="97790"/>
              <wp:wrapNone/>
              <wp:docPr id="3161" name="Shape 3161"/>
              <a:graphic xmlns:a="http://schemas.openxmlformats.org/drawingml/2006/main">
                <a:graphicData uri="http://schemas.microsoft.com/office/word/2010/wordprocessingShape">
                  <wps:wsp>
                    <wps:cNvSpPr txBox="1"/>
                    <wps:spPr>
                      <a:xfrm>
                        <a:ext cx="582295" cy="977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ŠIJIZAM (ŠI’A)</w:t>
                          </w:r>
                        </w:p>
                      </w:txbxContent>
                    </wps:txbx>
                    <wps:bodyPr wrap="none" lIns="0" tIns="0" rIns="0" bIns="0">
                      <a:spAutoFit/>
                    </wps:bodyPr>
                  </wps:wsp>
                </a:graphicData>
              </a:graphic>
            </wp:anchor>
          </w:drawing>
        </mc:Choice>
        <mc:Fallback>
          <w:pict>
            <v:shape id="_x0000_s4187" type="#_x0000_t202" style="position:absolute;margin-left:283.10000000000002pt;margin-top:32.799999999999997pt;width:45.850000000000001pt;height:7.7000000000000002pt;z-index:-1887416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ŠIJIZAM (ŠI’A)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157480</wp:posOffset>
              </wp:positionH>
              <wp:positionV relativeFrom="page">
                <wp:posOffset>534035</wp:posOffset>
              </wp:positionV>
              <wp:extent cx="4023360" cy="0"/>
              <wp:wrapNone/>
              <wp:docPr id="3163" name="Shape 316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4pt;margin-top:42.049999999999997pt;width:316.80000000000001pt;height:0;z-index:-251658240;mso-position-horizontal-relative:page;mso-position-vertical-relative:page">
              <v:stroke weight="1.pt"/>
            </v:shape>
          </w:pict>
        </mc:Fallback>
      </mc:AlternateContent>
    </w:r>
  </w:p>
</w:hdr>
</file>

<file path=word/header7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16" behindDoc="1" locked="0" layoutInCell="1" allowOverlap="1">
              <wp:simplePos x="0" y="0"/>
              <wp:positionH relativeFrom="page">
                <wp:posOffset>3595370</wp:posOffset>
              </wp:positionH>
              <wp:positionV relativeFrom="page">
                <wp:posOffset>416560</wp:posOffset>
              </wp:positionV>
              <wp:extent cx="582295" cy="97790"/>
              <wp:wrapNone/>
              <wp:docPr id="3166" name="Shape 3166"/>
              <a:graphic xmlns:a="http://schemas.openxmlformats.org/drawingml/2006/main">
                <a:graphicData uri="http://schemas.microsoft.com/office/word/2010/wordprocessingShape">
                  <wps:wsp>
                    <wps:cNvSpPr txBox="1"/>
                    <wps:spPr>
                      <a:xfrm>
                        <a:ext cx="582295" cy="977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ŠIJIZAM (ŠI’A)</w:t>
                          </w:r>
                        </w:p>
                      </w:txbxContent>
                    </wps:txbx>
                    <wps:bodyPr wrap="none" lIns="0" tIns="0" rIns="0" bIns="0">
                      <a:spAutoFit/>
                    </wps:bodyPr>
                  </wps:wsp>
                </a:graphicData>
              </a:graphic>
            </wp:anchor>
          </w:drawing>
        </mc:Choice>
        <mc:Fallback>
          <w:pict>
            <v:shape id="_x0000_s4192" type="#_x0000_t202" style="position:absolute;margin-left:283.10000000000002pt;margin-top:32.799999999999997pt;width:45.850000000000001pt;height:7.7000000000000002pt;z-index:-1887416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ŠIJIZAM (ŠI’A)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157480</wp:posOffset>
              </wp:positionH>
              <wp:positionV relativeFrom="page">
                <wp:posOffset>534035</wp:posOffset>
              </wp:positionV>
              <wp:extent cx="4023360" cy="0"/>
              <wp:wrapNone/>
              <wp:docPr id="3168" name="Shape 316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4pt;margin-top:42.049999999999997pt;width:316.80000000000001pt;height:0;z-index:-251658240;mso-position-horizontal-relative:page;mso-position-vertical-relative:page">
              <v:stroke weight="1.pt"/>
            </v:shape>
          </w:pict>
        </mc:Fallback>
      </mc:AlternateContent>
    </w:r>
  </w:p>
</w:hdr>
</file>

<file path=word/header7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20" behindDoc="1" locked="0" layoutInCell="1" allowOverlap="1">
              <wp:simplePos x="0" y="0"/>
              <wp:positionH relativeFrom="page">
                <wp:posOffset>3613150</wp:posOffset>
              </wp:positionH>
              <wp:positionV relativeFrom="page">
                <wp:posOffset>415925</wp:posOffset>
              </wp:positionV>
              <wp:extent cx="548640" cy="67310"/>
              <wp:wrapNone/>
              <wp:docPr id="3171" name="Shape 3171"/>
              <a:graphic xmlns:a="http://schemas.openxmlformats.org/drawingml/2006/main">
                <a:graphicData uri="http://schemas.microsoft.com/office/word/2010/wordprocessingShape">
                  <wps:wsp>
                    <wps:cNvSpPr txBox="1"/>
                    <wps:spPr>
                      <a:xfrm>
                        <a:ext cx="54864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TEOKRACIJA</w:t>
                          </w:r>
                        </w:p>
                      </w:txbxContent>
                    </wps:txbx>
                    <wps:bodyPr wrap="none" lIns="0" tIns="0" rIns="0" bIns="0">
                      <a:spAutoFit/>
                    </wps:bodyPr>
                  </wps:wsp>
                </a:graphicData>
              </a:graphic>
            </wp:anchor>
          </w:drawing>
        </mc:Choice>
        <mc:Fallback>
          <w:pict>
            <v:shape id="_x0000_s4197" type="#_x0000_t202" style="position:absolute;margin-left:284.5pt;margin-top:32.75pt;width:43.200000000000003pt;height:5.2999999999999998pt;z-index:-1887416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TEOKRACIJA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523875</wp:posOffset>
              </wp:positionV>
              <wp:extent cx="4020185" cy="0"/>
              <wp:wrapNone/>
              <wp:docPr id="3173" name="Shape 317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9pt;margin-top:41.25pt;width:316.55000000000001pt;height:0;z-index:-251658240;mso-position-horizontal-relative:page;mso-position-vertical-relative:page">
              <v:stroke weight="1.pt"/>
            </v:shape>
          </w:pict>
        </mc:Fallback>
      </mc:AlternateContent>
    </w:r>
  </w:p>
</w:hdr>
</file>

<file path=word/header7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24" behindDoc="1" locked="0" layoutInCell="1" allowOverlap="1">
              <wp:simplePos x="0" y="0"/>
              <wp:positionH relativeFrom="page">
                <wp:posOffset>3613150</wp:posOffset>
              </wp:positionH>
              <wp:positionV relativeFrom="page">
                <wp:posOffset>415925</wp:posOffset>
              </wp:positionV>
              <wp:extent cx="548640" cy="67310"/>
              <wp:wrapNone/>
              <wp:docPr id="3176" name="Shape 3176"/>
              <a:graphic xmlns:a="http://schemas.openxmlformats.org/drawingml/2006/main">
                <a:graphicData uri="http://schemas.microsoft.com/office/word/2010/wordprocessingShape">
                  <wps:wsp>
                    <wps:cNvSpPr txBox="1"/>
                    <wps:spPr>
                      <a:xfrm>
                        <a:ext cx="54864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TEOKRACIJA</w:t>
                          </w:r>
                        </w:p>
                      </w:txbxContent>
                    </wps:txbx>
                    <wps:bodyPr wrap="none" lIns="0" tIns="0" rIns="0" bIns="0">
                      <a:spAutoFit/>
                    </wps:bodyPr>
                  </wps:wsp>
                </a:graphicData>
              </a:graphic>
            </wp:anchor>
          </w:drawing>
        </mc:Choice>
        <mc:Fallback>
          <w:pict>
            <v:shape id="_x0000_s4202" type="#_x0000_t202" style="position:absolute;margin-left:284.5pt;margin-top:32.75pt;width:43.200000000000003pt;height:5.2999999999999998pt;z-index:-1887416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TEOKRACIJA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138430</wp:posOffset>
              </wp:positionH>
              <wp:positionV relativeFrom="page">
                <wp:posOffset>523875</wp:posOffset>
              </wp:positionV>
              <wp:extent cx="4020185" cy="0"/>
              <wp:wrapNone/>
              <wp:docPr id="3178" name="Shape 317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9pt;margin-top:41.25pt;width:316.55000000000001pt;height:0;z-index:-251658240;mso-position-horizontal-relative:page;mso-position-vertical-relative:page">
              <v:stroke weight="1.pt"/>
            </v:shape>
          </w:pict>
        </mc:Fallback>
      </mc:AlternateContent>
    </w:r>
  </w:p>
</w:hdr>
</file>

<file path=word/header7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30" behindDoc="1" locked="0" layoutInCell="1" allowOverlap="1">
              <wp:simplePos x="0" y="0"/>
              <wp:positionH relativeFrom="page">
                <wp:posOffset>3681730</wp:posOffset>
              </wp:positionH>
              <wp:positionV relativeFrom="page">
                <wp:posOffset>403225</wp:posOffset>
              </wp:positionV>
              <wp:extent cx="487680" cy="64135"/>
              <wp:wrapNone/>
              <wp:docPr id="3183" name="Shape 3183"/>
              <a:graphic xmlns:a="http://schemas.openxmlformats.org/drawingml/2006/main">
                <a:graphicData uri="http://schemas.microsoft.com/office/word/2010/wordprocessingShape">
                  <wps:wsp>
                    <wps:cNvSpPr txBox="1"/>
                    <wps:spPr>
                      <a:xfrm>
                        <a:ext cx="4876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wps:txbx>
                    <wps:bodyPr wrap="none" lIns="0" tIns="0" rIns="0" bIns="0">
                      <a:spAutoFit/>
                    </wps:bodyPr>
                  </wps:wsp>
                </a:graphicData>
              </a:graphic>
            </wp:anchor>
          </w:drawing>
        </mc:Choice>
        <mc:Fallback>
          <w:pict>
            <v:shape id="_x0000_s4209" type="#_x0000_t202" style="position:absolute;margin-left:289.89999999999998pt;margin-top:31.75pt;width:38.399999999999999pt;height:5.0499999999999998pt;z-index:-1887416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508000</wp:posOffset>
              </wp:positionV>
              <wp:extent cx="4023360" cy="0"/>
              <wp:wrapNone/>
              <wp:docPr id="3185" name="Shape 318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25pt;margin-top:40.pt;width:316.80000000000001pt;height:0;z-index:-251658240;mso-position-horizontal-relative:page;mso-position-vertical-relative:page">
              <v:stroke weight="1.pt"/>
            </v:shape>
          </w:pict>
        </mc:Fallback>
      </mc:AlternateContent>
    </w:r>
  </w:p>
</w:hdr>
</file>

<file path=word/header7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32" behindDoc="1" locked="0" layoutInCell="1" allowOverlap="1">
              <wp:simplePos x="0" y="0"/>
              <wp:positionH relativeFrom="page">
                <wp:posOffset>3681730</wp:posOffset>
              </wp:positionH>
              <wp:positionV relativeFrom="page">
                <wp:posOffset>403225</wp:posOffset>
              </wp:positionV>
              <wp:extent cx="487680" cy="64135"/>
              <wp:wrapNone/>
              <wp:docPr id="3186" name="Shape 3186"/>
              <a:graphic xmlns:a="http://schemas.openxmlformats.org/drawingml/2006/main">
                <a:graphicData uri="http://schemas.microsoft.com/office/word/2010/wordprocessingShape">
                  <wps:wsp>
                    <wps:cNvSpPr txBox="1"/>
                    <wps:spPr>
                      <a:xfrm>
                        <a:ext cx="4876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wps:txbx>
                    <wps:bodyPr wrap="none" lIns="0" tIns="0" rIns="0" bIns="0">
                      <a:spAutoFit/>
                    </wps:bodyPr>
                  </wps:wsp>
                </a:graphicData>
              </a:graphic>
            </wp:anchor>
          </w:drawing>
        </mc:Choice>
        <mc:Fallback>
          <w:pict>
            <v:shape id="_x0000_s4212" type="#_x0000_t202" style="position:absolute;margin-left:289.89999999999998pt;margin-top:31.75pt;width:38.399999999999999pt;height:5.0499999999999998pt;z-index:-1887416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142875</wp:posOffset>
              </wp:positionH>
              <wp:positionV relativeFrom="page">
                <wp:posOffset>508000</wp:posOffset>
              </wp:positionV>
              <wp:extent cx="4023360" cy="0"/>
              <wp:wrapNone/>
              <wp:docPr id="3188" name="Shape 318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25pt;margin-top:40.pt;width:316.80000000000001pt;height:0;z-index:-251658240;mso-position-horizontal-relative:page;mso-position-vertical-relative:page">
              <v:stroke weight="1.pt"/>
            </v:shape>
          </w:pict>
        </mc:Fallback>
      </mc:AlternateContent>
    </w:r>
  </w:p>
</w:hdr>
</file>

<file path=word/header7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34" behindDoc="1" locked="0" layoutInCell="1" allowOverlap="1">
              <wp:simplePos x="0" y="0"/>
              <wp:positionH relativeFrom="page">
                <wp:posOffset>3683000</wp:posOffset>
              </wp:positionH>
              <wp:positionV relativeFrom="page">
                <wp:posOffset>455930</wp:posOffset>
              </wp:positionV>
              <wp:extent cx="484505" cy="60960"/>
              <wp:wrapNone/>
              <wp:docPr id="3189" name="Shape 3189"/>
              <a:graphic xmlns:a="http://schemas.openxmlformats.org/drawingml/2006/main">
                <a:graphicData uri="http://schemas.microsoft.com/office/word/2010/wordprocessingShape">
                  <wps:wsp>
                    <wps:cNvSpPr txBox="1"/>
                    <wps:spPr>
                      <a:xfrm>
                        <a:ext cx="48450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wps:txbx>
                    <wps:bodyPr wrap="none" lIns="0" tIns="0" rIns="0" bIns="0">
                      <a:spAutoFit/>
                    </wps:bodyPr>
                  </wps:wsp>
                </a:graphicData>
              </a:graphic>
            </wp:anchor>
          </w:drawing>
        </mc:Choice>
        <mc:Fallback>
          <w:pict>
            <v:shape id="_x0000_s4215" type="#_x0000_t202" style="position:absolute;margin-left:290.pt;margin-top:35.899999999999999pt;width:38.149999999999999pt;height:4.7999999999999998pt;z-index:-1887416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556260</wp:posOffset>
              </wp:positionV>
              <wp:extent cx="4017010" cy="0"/>
              <wp:wrapNone/>
              <wp:docPr id="3191" name="Shape 319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3.799999999999997pt;width:316.30000000000001pt;height:0;z-index:-251658240;mso-position-horizontal-relative:page;mso-position-vertical-relative:page">
              <v:stroke weight="1.pt"/>
            </v:shape>
          </w:pict>
        </mc:Fallback>
      </mc:AlternateContent>
    </w:r>
  </w:p>
</w:hdr>
</file>

<file path=word/header7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38" behindDoc="1" locked="0" layoutInCell="1" allowOverlap="1">
              <wp:simplePos x="0" y="0"/>
              <wp:positionH relativeFrom="page">
                <wp:posOffset>3683000</wp:posOffset>
              </wp:positionH>
              <wp:positionV relativeFrom="page">
                <wp:posOffset>455930</wp:posOffset>
              </wp:positionV>
              <wp:extent cx="484505" cy="60960"/>
              <wp:wrapNone/>
              <wp:docPr id="3194" name="Shape 3194"/>
              <a:graphic xmlns:a="http://schemas.openxmlformats.org/drawingml/2006/main">
                <a:graphicData uri="http://schemas.microsoft.com/office/word/2010/wordprocessingShape">
                  <wps:wsp>
                    <wps:cNvSpPr txBox="1"/>
                    <wps:spPr>
                      <a:xfrm>
                        <a:ext cx="48450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wps:txbx>
                    <wps:bodyPr wrap="none" lIns="0" tIns="0" rIns="0" bIns="0">
                      <a:spAutoFit/>
                    </wps:bodyPr>
                  </wps:wsp>
                </a:graphicData>
              </a:graphic>
            </wp:anchor>
          </w:drawing>
        </mc:Choice>
        <mc:Fallback>
          <w:pict>
            <v:shape id="_x0000_s4220" type="#_x0000_t202" style="position:absolute;margin-left:290.pt;margin-top:35.899999999999999pt;width:38.149999999999999pt;height:4.7999999999999998pt;z-index:-1887416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556260</wp:posOffset>
              </wp:positionV>
              <wp:extent cx="4017010" cy="0"/>
              <wp:wrapNone/>
              <wp:docPr id="3196" name="Shape 319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3.799999999999997pt;width:316.30000000000001pt;height:0;z-index:-251658240;mso-position-horizontal-relative:page;mso-position-vertical-relative:page">
              <v:stroke weight="1.pt"/>
            </v:shape>
          </w:pict>
        </mc:Fallback>
      </mc:AlternateContent>
    </w:r>
  </w:p>
</w:hdr>
</file>

<file path=word/header7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42" behindDoc="1" locked="0" layoutInCell="1" allowOverlap="1">
              <wp:simplePos x="0" y="0"/>
              <wp:positionH relativeFrom="page">
                <wp:posOffset>142875</wp:posOffset>
              </wp:positionH>
              <wp:positionV relativeFrom="page">
                <wp:posOffset>403225</wp:posOffset>
              </wp:positionV>
              <wp:extent cx="490855" cy="64135"/>
              <wp:wrapNone/>
              <wp:docPr id="3199" name="Shape 3199"/>
              <a:graphic xmlns:a="http://schemas.openxmlformats.org/drawingml/2006/main">
                <a:graphicData uri="http://schemas.microsoft.com/office/word/2010/wordprocessingShape">
                  <wps:wsp>
                    <wps:cNvSpPr txBox="1"/>
                    <wps:spPr>
                      <a:xfrm>
                        <a:ext cx="49085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wps:txbx>
                    <wps:bodyPr wrap="none" lIns="0" tIns="0" rIns="0" bIns="0">
                      <a:spAutoFit/>
                    </wps:bodyPr>
                  </wps:wsp>
                </a:graphicData>
              </a:graphic>
            </wp:anchor>
          </w:drawing>
        </mc:Choice>
        <mc:Fallback>
          <w:pict>
            <v:shape id="_x0000_s4225" type="#_x0000_t202" style="position:absolute;margin-left:11.25pt;margin-top:31.75pt;width:38.649999999999999pt;height:5.0499999999999998pt;z-index:-1887416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148590</wp:posOffset>
              </wp:positionH>
              <wp:positionV relativeFrom="page">
                <wp:posOffset>497205</wp:posOffset>
              </wp:positionV>
              <wp:extent cx="4020185" cy="0"/>
              <wp:wrapNone/>
              <wp:docPr id="3201" name="Shape 320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699999999999999pt;margin-top:39.149999999999999pt;width:316.55000000000001pt;height:0;z-index:-251658240;mso-position-horizontal-relative:page;mso-position-vertical-relative:page">
              <v:stroke weight="1.pt"/>
            </v:shape>
          </w:pict>
        </mc:Fallback>
      </mc:AlternateContent>
    </w:r>
  </w:p>
</w:hdr>
</file>

<file path=word/header7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44" behindDoc="1" locked="0" layoutInCell="1" allowOverlap="1">
              <wp:simplePos x="0" y="0"/>
              <wp:positionH relativeFrom="page">
                <wp:posOffset>144145</wp:posOffset>
              </wp:positionH>
              <wp:positionV relativeFrom="page">
                <wp:posOffset>403225</wp:posOffset>
              </wp:positionV>
              <wp:extent cx="1444625" cy="64135"/>
              <wp:wrapNone/>
              <wp:docPr id="3202" name="Shape 3202"/>
              <a:graphic xmlns:a="http://schemas.openxmlformats.org/drawingml/2006/main">
                <a:graphicData uri="http://schemas.microsoft.com/office/word/2010/wordprocessingShape">
                  <wps:wsp>
                    <wps:cNvSpPr txBox="1"/>
                    <wps:spPr>
                      <a:xfrm>
                        <a:ext cx="14446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TEOLOGIJA/TIJELO/TOLERANCIJA</w:t>
                          </w:r>
                        </w:p>
                      </w:txbxContent>
                    </wps:txbx>
                    <wps:bodyPr wrap="none" lIns="0" tIns="0" rIns="0" bIns="0">
                      <a:spAutoFit/>
                    </wps:bodyPr>
                  </wps:wsp>
                </a:graphicData>
              </a:graphic>
            </wp:anchor>
          </w:drawing>
        </mc:Choice>
        <mc:Fallback>
          <w:pict>
            <v:shape id="_x0000_s4228" type="#_x0000_t202" style="position:absolute;margin-left:11.35pt;margin-top:31.75pt;width:113.75pt;height:5.0499999999999998pt;z-index:-1887416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TEOLOGIJA/TIJELO/TOLERANCIJA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502285</wp:posOffset>
              </wp:positionV>
              <wp:extent cx="4020185" cy="0"/>
              <wp:wrapNone/>
              <wp:docPr id="3204" name="Shape 320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5pt;margin-top:39.549999999999997pt;width:316.55000000000001pt;height:0;z-index:-251658240;mso-position-horizontal-relative:page;mso-position-vertical-relative:page">
              <v:stroke weight="1.pt"/>
            </v:shape>
          </w:pict>
        </mc:Fallback>
      </mc:AlternateContent>
    </w:r>
  </w:p>
</w:hdr>
</file>

<file path=word/header7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46" behindDoc="1" locked="0" layoutInCell="1" allowOverlap="1">
              <wp:simplePos x="0" y="0"/>
              <wp:positionH relativeFrom="page">
                <wp:posOffset>144145</wp:posOffset>
              </wp:positionH>
              <wp:positionV relativeFrom="page">
                <wp:posOffset>403225</wp:posOffset>
              </wp:positionV>
              <wp:extent cx="1444625" cy="64135"/>
              <wp:wrapNone/>
              <wp:docPr id="3205" name="Shape 3205"/>
              <a:graphic xmlns:a="http://schemas.openxmlformats.org/drawingml/2006/main">
                <a:graphicData uri="http://schemas.microsoft.com/office/word/2010/wordprocessingShape">
                  <wps:wsp>
                    <wps:cNvSpPr txBox="1"/>
                    <wps:spPr>
                      <a:xfrm>
                        <a:ext cx="14446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TEOLOGIJA/TIJELO/TOLERANCIJA</w:t>
                          </w:r>
                        </w:p>
                      </w:txbxContent>
                    </wps:txbx>
                    <wps:bodyPr wrap="none" lIns="0" tIns="0" rIns="0" bIns="0">
                      <a:spAutoFit/>
                    </wps:bodyPr>
                  </wps:wsp>
                </a:graphicData>
              </a:graphic>
            </wp:anchor>
          </w:drawing>
        </mc:Choice>
        <mc:Fallback>
          <w:pict>
            <v:shape id="_x0000_s4231" type="#_x0000_t202" style="position:absolute;margin-left:11.35pt;margin-top:31.75pt;width:113.75pt;height:5.0499999999999998pt;z-index:-1887416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TEOLOGIJA/TIJELO/TOLERANCIJA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502285</wp:posOffset>
              </wp:positionV>
              <wp:extent cx="4020185" cy="0"/>
              <wp:wrapNone/>
              <wp:docPr id="3207" name="Shape 3207"/>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85pt;margin-top:39.549999999999997pt;width:316.55000000000001pt;height:0;z-index:-251658240;mso-position-horizontal-relative:page;mso-position-vertical-relative:page">
              <v:stroke weight="1.pt"/>
            </v:shape>
          </w:pict>
        </mc:Fallback>
      </mc:AlternateContent>
    </w:r>
  </w:p>
</w:hdr>
</file>

<file path=word/header7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48" behindDoc="1" locked="0" layoutInCell="1" allowOverlap="1">
              <wp:simplePos x="0" y="0"/>
              <wp:positionH relativeFrom="page">
                <wp:posOffset>3569970</wp:posOffset>
              </wp:positionH>
              <wp:positionV relativeFrom="page">
                <wp:posOffset>455930</wp:posOffset>
              </wp:positionV>
              <wp:extent cx="603250" cy="60960"/>
              <wp:wrapNone/>
              <wp:docPr id="3208" name="Shape 3208"/>
              <a:graphic xmlns:a="http://schemas.openxmlformats.org/drawingml/2006/main">
                <a:graphicData uri="http://schemas.microsoft.com/office/word/2010/wordprocessingShape">
                  <wps:wsp>
                    <wps:cNvSpPr txBox="1"/>
                    <wps:spPr>
                      <a:xfrm>
                        <a:ext cx="6032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TOLERANCIJA</w:t>
                          </w:r>
                        </w:p>
                      </w:txbxContent>
                    </wps:txbx>
                    <wps:bodyPr wrap="none" lIns="0" tIns="0" rIns="0" bIns="0">
                      <a:spAutoFit/>
                    </wps:bodyPr>
                  </wps:wsp>
                </a:graphicData>
              </a:graphic>
            </wp:anchor>
          </w:drawing>
        </mc:Choice>
        <mc:Fallback>
          <w:pict>
            <v:shape id="_x0000_s4234" type="#_x0000_t202" style="position:absolute;margin-left:281.10000000000002pt;margin-top:35.899999999999999pt;width:47.5pt;height:4.7999999999999998pt;z-index:-1887416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TOLERANCIJA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553085</wp:posOffset>
              </wp:positionV>
              <wp:extent cx="4020185" cy="0"/>
              <wp:wrapNone/>
              <wp:docPr id="3210" name="Shape 321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43.549999999999997pt;width:316.55000000000001pt;height:0;z-index:-251658240;mso-position-horizontal-relative:page;mso-position-vertical-relative:page">
              <v:stroke weight="1.pt"/>
            </v:shape>
          </w:pict>
        </mc:Fallback>
      </mc:AlternateContent>
    </w:r>
  </w:p>
</w:hdr>
</file>

<file path=word/header7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52" behindDoc="1" locked="0" layoutInCell="1" allowOverlap="1">
              <wp:simplePos x="0" y="0"/>
              <wp:positionH relativeFrom="page">
                <wp:posOffset>148590</wp:posOffset>
              </wp:positionH>
              <wp:positionV relativeFrom="page">
                <wp:posOffset>460375</wp:posOffset>
              </wp:positionV>
              <wp:extent cx="606425" cy="64135"/>
              <wp:wrapNone/>
              <wp:docPr id="3213" name="Shape 3213"/>
              <a:graphic xmlns:a="http://schemas.openxmlformats.org/drawingml/2006/main">
                <a:graphicData uri="http://schemas.microsoft.com/office/word/2010/wordprocessingShape">
                  <wps:wsp>
                    <wps:cNvSpPr txBox="1"/>
                    <wps:spPr>
                      <a:xfrm>
                        <a:ext cx="6064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TOLERANCIJA</w:t>
                          </w:r>
                        </w:p>
                      </w:txbxContent>
                    </wps:txbx>
                    <wps:bodyPr wrap="none" lIns="0" tIns="0" rIns="0" bIns="0">
                      <a:spAutoFit/>
                    </wps:bodyPr>
                  </wps:wsp>
                </a:graphicData>
              </a:graphic>
            </wp:anchor>
          </w:drawing>
        </mc:Choice>
        <mc:Fallback>
          <w:pict>
            <v:shape id="_x0000_s4239" type="#_x0000_t202" style="position:absolute;margin-left:11.699999999999999pt;margin-top:36.25pt;width:47.75pt;height:5.0499999999999998pt;z-index:-1887416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TOLERANCIJA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556260</wp:posOffset>
              </wp:positionV>
              <wp:extent cx="4023360" cy="0"/>
              <wp:wrapNone/>
              <wp:docPr id="3215" name="Shape 321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49999999999999pt;margin-top:43.799999999999997pt;width:316.80000000000001pt;height:0;z-index:-251658240;mso-position-horizontal-relative:page;mso-position-vertical-relative:page">
              <v:stroke weight="1.pt"/>
            </v:shape>
          </w:pict>
        </mc:Fallback>
      </mc:AlternateContent>
    </w:r>
  </w:p>
</w:hdr>
</file>

<file path=word/header7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56" behindDoc="1" locked="0" layoutInCell="1" allowOverlap="1">
              <wp:simplePos x="0" y="0"/>
              <wp:positionH relativeFrom="page">
                <wp:posOffset>3573145</wp:posOffset>
              </wp:positionH>
              <wp:positionV relativeFrom="page">
                <wp:posOffset>455930</wp:posOffset>
              </wp:positionV>
              <wp:extent cx="603250" cy="64135"/>
              <wp:wrapNone/>
              <wp:docPr id="3218" name="Shape 3218"/>
              <a:graphic xmlns:a="http://schemas.openxmlformats.org/drawingml/2006/main">
                <a:graphicData uri="http://schemas.microsoft.com/office/word/2010/wordprocessingShape">
                  <wps:wsp>
                    <wps:cNvSpPr txBox="1"/>
                    <wps:spPr>
                      <a:xfrm>
                        <a:ext cx="60325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TOLERANCIJA</w:t>
                          </w:r>
                        </w:p>
                      </w:txbxContent>
                    </wps:txbx>
                    <wps:bodyPr wrap="none" lIns="0" tIns="0" rIns="0" bIns="0">
                      <a:spAutoFit/>
                    </wps:bodyPr>
                  </wps:wsp>
                </a:graphicData>
              </a:graphic>
            </wp:anchor>
          </w:drawing>
        </mc:Choice>
        <mc:Fallback>
          <w:pict>
            <v:shape id="_x0000_s4244" type="#_x0000_t202" style="position:absolute;margin-left:281.35000000000002pt;margin-top:35.899999999999999pt;width:47.5pt;height:5.0499999999999998pt;z-index:-1887415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TOLERANCIJA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556260</wp:posOffset>
              </wp:positionV>
              <wp:extent cx="4023360" cy="0"/>
              <wp:wrapNone/>
              <wp:docPr id="3220" name="Shape 322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pt;margin-top:43.799999999999997pt;width:316.80000000000001pt;height:0;z-index:-251658240;mso-position-horizontal-relative:page;mso-position-vertical-relative:page">
              <v:stroke weight="1.pt"/>
            </v:shape>
          </w:pict>
        </mc:Fallback>
      </mc:AlternateContent>
    </w:r>
  </w:p>
</w:hdr>
</file>

<file path=word/header7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60" behindDoc="1" locked="0" layoutInCell="1" allowOverlap="1">
              <wp:simplePos x="0" y="0"/>
              <wp:positionH relativeFrom="page">
                <wp:posOffset>3573145</wp:posOffset>
              </wp:positionH>
              <wp:positionV relativeFrom="page">
                <wp:posOffset>400050</wp:posOffset>
              </wp:positionV>
              <wp:extent cx="603250" cy="67310"/>
              <wp:wrapNone/>
              <wp:docPr id="3223" name="Shape 3223"/>
              <a:graphic xmlns:a="http://schemas.openxmlformats.org/drawingml/2006/main">
                <a:graphicData uri="http://schemas.microsoft.com/office/word/2010/wordprocessingShape">
                  <wps:wsp>
                    <wps:cNvSpPr txBox="1"/>
                    <wps:spPr>
                      <a:xfrm>
                        <a:ext cx="6032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tolerancija</w:t>
                          </w:r>
                        </w:p>
                      </w:txbxContent>
                    </wps:txbx>
                    <wps:bodyPr wrap="none" lIns="0" tIns="0" rIns="0" bIns="0">
                      <a:spAutoFit/>
                    </wps:bodyPr>
                  </wps:wsp>
                </a:graphicData>
              </a:graphic>
            </wp:anchor>
          </w:drawing>
        </mc:Choice>
        <mc:Fallback>
          <w:pict>
            <v:shape id="_x0000_s4249" type="#_x0000_t202" style="position:absolute;margin-left:281.35000000000002pt;margin-top:31.5pt;width:47.5pt;height:5.2999999999999998pt;z-index:-1887415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tolerancija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499110</wp:posOffset>
              </wp:positionV>
              <wp:extent cx="4023360" cy="0"/>
              <wp:wrapNone/>
              <wp:docPr id="3225" name="Shape 322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pt;margin-top:39.299999999999997pt;width:316.80000000000001pt;height:0;z-index:-251658240;mso-position-horizontal-relative:page;mso-position-vertical-relative:page">
              <v:stroke weight="1.pt"/>
            </v:shape>
          </w:pict>
        </mc:Fallback>
      </mc:AlternateContent>
    </w:r>
  </w:p>
</w:hdr>
</file>

<file path=word/header7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62" behindDoc="1" locked="0" layoutInCell="1" allowOverlap="1">
              <wp:simplePos x="0" y="0"/>
              <wp:positionH relativeFrom="page">
                <wp:posOffset>3573145</wp:posOffset>
              </wp:positionH>
              <wp:positionV relativeFrom="page">
                <wp:posOffset>400050</wp:posOffset>
              </wp:positionV>
              <wp:extent cx="603250" cy="67310"/>
              <wp:wrapNone/>
              <wp:docPr id="3226" name="Shape 3226"/>
              <a:graphic xmlns:a="http://schemas.openxmlformats.org/drawingml/2006/main">
                <a:graphicData uri="http://schemas.microsoft.com/office/word/2010/wordprocessingShape">
                  <wps:wsp>
                    <wps:cNvSpPr txBox="1"/>
                    <wps:spPr>
                      <a:xfrm>
                        <a:ext cx="6032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tolerancija</w:t>
                          </w:r>
                        </w:p>
                      </w:txbxContent>
                    </wps:txbx>
                    <wps:bodyPr wrap="none" lIns="0" tIns="0" rIns="0" bIns="0">
                      <a:spAutoFit/>
                    </wps:bodyPr>
                  </wps:wsp>
                </a:graphicData>
              </a:graphic>
            </wp:anchor>
          </w:drawing>
        </mc:Choice>
        <mc:Fallback>
          <w:pict>
            <v:shape id="_x0000_s4252" type="#_x0000_t202" style="position:absolute;margin-left:281.35000000000002pt;margin-top:31.5pt;width:47.5pt;height:5.2999999999999998pt;z-index:-1887415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tolerancija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499110</wp:posOffset>
              </wp:positionV>
              <wp:extent cx="4023360" cy="0"/>
              <wp:wrapNone/>
              <wp:docPr id="3228" name="Shape 322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1pt;margin-top:39.299999999999997pt;width:316.80000000000001pt;height:0;z-index:-251658240;mso-position-horizontal-relative:page;mso-position-vertical-relative:page">
              <v:stroke weight="1.pt"/>
            </v:shape>
          </w:pict>
        </mc:Fallback>
      </mc:AlternateContent>
    </w:r>
  </w:p>
</w:hdr>
</file>

<file path=word/header7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64" behindDoc="1" locked="0" layoutInCell="1" allowOverlap="1">
              <wp:simplePos x="0" y="0"/>
              <wp:positionH relativeFrom="page">
                <wp:posOffset>139700</wp:posOffset>
              </wp:positionH>
              <wp:positionV relativeFrom="page">
                <wp:posOffset>457200</wp:posOffset>
              </wp:positionV>
              <wp:extent cx="1365250" cy="67310"/>
              <wp:wrapNone/>
              <wp:docPr id="3231" name="Shape 3231"/>
              <a:graphic xmlns:a="http://schemas.openxmlformats.org/drawingml/2006/main">
                <a:graphicData uri="http://schemas.microsoft.com/office/word/2010/wordprocessingShape">
                  <wps:wsp>
                    <wps:cNvSpPr txBox="1"/>
                    <wps:spPr>
                      <a:xfrm>
                        <a:ext cx="13652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TOLERANCE! AZTORA/TRADICIJA</w:t>
                          </w:r>
                        </w:p>
                      </w:txbxContent>
                    </wps:txbx>
                    <wps:bodyPr wrap="none" lIns="0" tIns="0" rIns="0" bIns="0">
                      <a:spAutoFit/>
                    </wps:bodyPr>
                  </wps:wsp>
                </a:graphicData>
              </a:graphic>
            </wp:anchor>
          </w:drawing>
        </mc:Choice>
        <mc:Fallback>
          <w:pict>
            <v:shape id="_x0000_s4257" type="#_x0000_t202" style="position:absolute;margin-left:11.pt;margin-top:36.pt;width:107.5pt;height:5.2999999999999998pt;z-index:-1887415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TOLERANCE! AZTORA/TRADICIJA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551815</wp:posOffset>
              </wp:positionV>
              <wp:extent cx="4020185" cy="0"/>
              <wp:wrapNone/>
              <wp:docPr id="3233" name="Shape 323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3.450000000000003pt;width:316.55000000000001pt;height:0;z-index:-251658240;mso-position-horizontal-relative:page;mso-position-vertical-relative:page">
              <v:stroke weight="1.pt"/>
            </v:shape>
          </w:pict>
        </mc:Fallback>
      </mc:AlternateContent>
    </w:r>
  </w:p>
</w:hdr>
</file>

<file path=word/header7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68" behindDoc="1" locked="0" layoutInCell="1" allowOverlap="1">
              <wp:simplePos x="0" y="0"/>
              <wp:positionH relativeFrom="page">
                <wp:posOffset>139700</wp:posOffset>
              </wp:positionH>
              <wp:positionV relativeFrom="page">
                <wp:posOffset>457200</wp:posOffset>
              </wp:positionV>
              <wp:extent cx="1365250" cy="67310"/>
              <wp:wrapNone/>
              <wp:docPr id="3236" name="Shape 3236"/>
              <a:graphic xmlns:a="http://schemas.openxmlformats.org/drawingml/2006/main">
                <a:graphicData uri="http://schemas.microsoft.com/office/word/2010/wordprocessingShape">
                  <wps:wsp>
                    <wps:cNvSpPr txBox="1"/>
                    <wps:spPr>
                      <a:xfrm>
                        <a:ext cx="13652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TOLERANCE! AZTORA/TRADICIJA</w:t>
                          </w:r>
                        </w:p>
                      </w:txbxContent>
                    </wps:txbx>
                    <wps:bodyPr wrap="none" lIns="0" tIns="0" rIns="0" bIns="0">
                      <a:spAutoFit/>
                    </wps:bodyPr>
                  </wps:wsp>
                </a:graphicData>
              </a:graphic>
            </wp:anchor>
          </w:drawing>
        </mc:Choice>
        <mc:Fallback>
          <w:pict>
            <v:shape id="_x0000_s4262" type="#_x0000_t202" style="position:absolute;margin-left:11.pt;margin-top:36.pt;width:107.5pt;height:5.2999999999999998pt;z-index:-1887415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TOLERANCE! AZTORA/TRADICIJA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551815</wp:posOffset>
              </wp:positionV>
              <wp:extent cx="4020185" cy="0"/>
              <wp:wrapNone/>
              <wp:docPr id="3238" name="Shape 323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3.450000000000003pt;width:316.55000000000001pt;height:0;z-index:-251658240;mso-position-horizontal-relative:page;mso-position-vertical-relative:page">
              <v:stroke weight="1.pt"/>
            </v:shape>
          </w:pict>
        </mc:Fallback>
      </mc:AlternateContent>
    </w:r>
  </w:p>
</w:hdr>
</file>

<file path=word/header7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72" behindDoc="1" locked="0" layoutInCell="1" allowOverlap="1">
              <wp:simplePos x="0" y="0"/>
              <wp:positionH relativeFrom="page">
                <wp:posOffset>3705860</wp:posOffset>
              </wp:positionH>
              <wp:positionV relativeFrom="page">
                <wp:posOffset>400050</wp:posOffset>
              </wp:positionV>
              <wp:extent cx="460375" cy="67310"/>
              <wp:wrapNone/>
              <wp:docPr id="3241" name="Shape 3241"/>
              <a:graphic xmlns:a="http://schemas.openxmlformats.org/drawingml/2006/main">
                <a:graphicData uri="http://schemas.microsoft.com/office/word/2010/wordprocessingShape">
                  <wps:wsp>
                    <wps:cNvSpPr txBox="1"/>
                    <wps:spPr>
                      <a:xfrm>
                        <a:ext cx="4603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TRADICIJA</w:t>
                          </w:r>
                        </w:p>
                      </w:txbxContent>
                    </wps:txbx>
                    <wps:bodyPr wrap="none" lIns="0" tIns="0" rIns="0" bIns="0">
                      <a:spAutoFit/>
                    </wps:bodyPr>
                  </wps:wsp>
                </a:graphicData>
              </a:graphic>
            </wp:anchor>
          </w:drawing>
        </mc:Choice>
        <mc:Fallback>
          <w:pict>
            <v:shape id="_x0000_s4267" type="#_x0000_t202" style="position:absolute;margin-left:291.80000000000001pt;margin-top:31.5pt;width:36.25pt;height:5.2999999999999998pt;z-index:-1887415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TRADICIJA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500380</wp:posOffset>
              </wp:positionV>
              <wp:extent cx="4017010" cy="0"/>
              <wp:wrapNone/>
              <wp:docPr id="3243" name="Shape 3243"/>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39.399999999999999pt;width:316.30000000000001pt;height:0;z-index:-251658240;mso-position-horizontal-relative:page;mso-position-vertical-relative:page">
              <v:stroke weight="1.pt"/>
            </v:shape>
          </w:pict>
        </mc:Fallback>
      </mc:AlternateContent>
    </w:r>
  </w:p>
</w:hdr>
</file>

<file path=word/header7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74" behindDoc="1" locked="0" layoutInCell="1" allowOverlap="1">
              <wp:simplePos x="0" y="0"/>
              <wp:positionH relativeFrom="page">
                <wp:posOffset>3705860</wp:posOffset>
              </wp:positionH>
              <wp:positionV relativeFrom="page">
                <wp:posOffset>400050</wp:posOffset>
              </wp:positionV>
              <wp:extent cx="460375" cy="67310"/>
              <wp:wrapNone/>
              <wp:docPr id="3244" name="Shape 3244"/>
              <a:graphic xmlns:a="http://schemas.openxmlformats.org/drawingml/2006/main">
                <a:graphicData uri="http://schemas.microsoft.com/office/word/2010/wordprocessingShape">
                  <wps:wsp>
                    <wps:cNvSpPr txBox="1"/>
                    <wps:spPr>
                      <a:xfrm>
                        <a:ext cx="46037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TRADICIJA</w:t>
                          </w:r>
                        </w:p>
                      </w:txbxContent>
                    </wps:txbx>
                    <wps:bodyPr wrap="none" lIns="0" tIns="0" rIns="0" bIns="0">
                      <a:spAutoFit/>
                    </wps:bodyPr>
                  </wps:wsp>
                </a:graphicData>
              </a:graphic>
            </wp:anchor>
          </w:drawing>
        </mc:Choice>
        <mc:Fallback>
          <w:pict>
            <v:shape id="_x0000_s4270" type="#_x0000_t202" style="position:absolute;margin-left:291.80000000000001pt;margin-top:31.5pt;width:36.25pt;height:5.2999999999999998pt;z-index:-1887415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TRADICIJA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500380</wp:posOffset>
              </wp:positionV>
              <wp:extent cx="4017010" cy="0"/>
              <wp:wrapNone/>
              <wp:docPr id="3246" name="Shape 324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5pt;margin-top:39.399999999999999pt;width:316.30000000000001pt;height:0;z-index:-251658240;mso-position-horizontal-relative:page;mso-position-vertical-relative:page">
              <v:stroke weight="1.pt"/>
            </v:shape>
          </w:pict>
        </mc:Fallback>
      </mc:AlternateContent>
    </w:r>
  </w:p>
</w:hdr>
</file>

<file path=word/header7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76" behindDoc="1" locked="0" layoutInCell="1" allowOverlap="1">
              <wp:simplePos x="0" y="0"/>
              <wp:positionH relativeFrom="page">
                <wp:posOffset>148590</wp:posOffset>
              </wp:positionH>
              <wp:positionV relativeFrom="page">
                <wp:posOffset>461645</wp:posOffset>
              </wp:positionV>
              <wp:extent cx="460375" cy="60960"/>
              <wp:wrapNone/>
              <wp:docPr id="3249" name="Shape 3249"/>
              <a:graphic xmlns:a="http://schemas.openxmlformats.org/drawingml/2006/main">
                <a:graphicData uri="http://schemas.microsoft.com/office/word/2010/wordprocessingShape">
                  <wps:wsp>
                    <wps:cNvSpPr txBox="1"/>
                    <wps:spPr>
                      <a:xfrm>
                        <a:ext cx="4603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w:t>
                          </w:r>
                        </w:p>
                      </w:txbxContent>
                    </wps:txbx>
                    <wps:bodyPr wrap="none" lIns="0" tIns="0" rIns="0" bIns="0">
                      <a:spAutoFit/>
                    </wps:bodyPr>
                  </wps:wsp>
                </a:graphicData>
              </a:graphic>
            </wp:anchor>
          </w:drawing>
        </mc:Choice>
        <mc:Fallback>
          <w:pict>
            <v:shape id="_x0000_s4275" type="#_x0000_t202" style="position:absolute;margin-left:11.699999999999999pt;margin-top:36.350000000000001pt;width:36.25pt;height:4.7999999999999998pt;z-index:-1887415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559435</wp:posOffset>
              </wp:positionV>
              <wp:extent cx="4026535" cy="0"/>
              <wp:wrapNone/>
              <wp:docPr id="3251" name="Shape 3251"/>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949999999999999pt;margin-top:44.049999999999997pt;width:317.05000000000001pt;height:0;z-index:-251658240;mso-position-horizontal-relative:page;mso-position-vertical-relative:page">
              <v:stroke weight="1.pt"/>
            </v:shape>
          </w:pict>
        </mc:Fallback>
      </mc:AlternateContent>
    </w:r>
  </w:p>
</w:hdr>
</file>

<file path=word/header7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80" behindDoc="1" locked="0" layoutInCell="1" allowOverlap="1">
              <wp:simplePos x="0" y="0"/>
              <wp:positionH relativeFrom="page">
                <wp:posOffset>148590</wp:posOffset>
              </wp:positionH>
              <wp:positionV relativeFrom="page">
                <wp:posOffset>461645</wp:posOffset>
              </wp:positionV>
              <wp:extent cx="460375" cy="60960"/>
              <wp:wrapNone/>
              <wp:docPr id="3254" name="Shape 3254"/>
              <a:graphic xmlns:a="http://schemas.openxmlformats.org/drawingml/2006/main">
                <a:graphicData uri="http://schemas.microsoft.com/office/word/2010/wordprocessingShape">
                  <wps:wsp>
                    <wps:cNvSpPr txBox="1"/>
                    <wps:spPr>
                      <a:xfrm>
                        <a:ext cx="4603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w:t>
                          </w:r>
                        </w:p>
                      </w:txbxContent>
                    </wps:txbx>
                    <wps:bodyPr wrap="none" lIns="0" tIns="0" rIns="0" bIns="0">
                      <a:spAutoFit/>
                    </wps:bodyPr>
                  </wps:wsp>
                </a:graphicData>
              </a:graphic>
            </wp:anchor>
          </w:drawing>
        </mc:Choice>
        <mc:Fallback>
          <w:pict>
            <v:shape id="_x0000_s4280" type="#_x0000_t202" style="position:absolute;margin-left:11.699999999999999pt;margin-top:36.350000000000001pt;width:36.25pt;height:4.7999999999999998pt;z-index:-1887415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559435</wp:posOffset>
              </wp:positionV>
              <wp:extent cx="4026535" cy="0"/>
              <wp:wrapNone/>
              <wp:docPr id="3256" name="Shape 3256"/>
              <a:graphic xmlns:a="http://schemas.openxmlformats.org/drawingml/2006/main">
                <a:graphicData uri="http://schemas.microsoft.com/office/word/2010/wordprocessingShape">
                  <wps:wsp>
                    <wps:cNvCnPr/>
                    <wps:spPr>
                      <a:xfrm>
                        <a:ext cx="4026535" cy="0"/>
                      </a:xfrm>
                      <a:prstGeom prst="straightConnector1"/>
                      <a:ln w="12700">
                        <a:solidFill/>
                      </a:ln>
                    </wps:spPr>
                    <wps:bodyPr/>
                  </wps:wsp>
                </a:graphicData>
              </a:graphic>
            </wp:anchor>
          </w:drawing>
        </mc:Choice>
        <mc:Fallback>
          <w:pict>
            <v:shape o:spt="32" o:oned="true" path="m,l21600,21600e" style="position:absolute;margin-left:11.949999999999999pt;margin-top:44.049999999999997pt;width:317.05000000000001pt;height:0;z-index:-251658240;mso-position-horizontal-relative:page;mso-position-vertical-relative:page">
              <v:stroke weight="1.pt"/>
            </v:shape>
          </w:pict>
        </mc:Fallback>
      </mc:AlternateContent>
    </w:r>
  </w:p>
</w:hdr>
</file>

<file path=word/header7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84" behindDoc="1" locked="0" layoutInCell="1" allowOverlap="1">
              <wp:simplePos x="0" y="0"/>
              <wp:positionH relativeFrom="page">
                <wp:posOffset>3236595</wp:posOffset>
              </wp:positionH>
              <wp:positionV relativeFrom="page">
                <wp:posOffset>403225</wp:posOffset>
              </wp:positionV>
              <wp:extent cx="932815" cy="64135"/>
              <wp:wrapNone/>
              <wp:docPr id="3259" name="Shape 3259"/>
              <a:graphic xmlns:a="http://schemas.openxmlformats.org/drawingml/2006/main">
                <a:graphicData uri="http://schemas.microsoft.com/office/word/2010/wordprocessingShape">
                  <wps:wsp>
                    <wps:cNvSpPr txBox="1"/>
                    <wps:spPr>
                      <a:xfrm>
                        <a:ext cx="9328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TRADICIJA/TROJSTVO</w:t>
                          </w:r>
                        </w:p>
                      </w:txbxContent>
                    </wps:txbx>
                    <wps:bodyPr wrap="none" lIns="0" tIns="0" rIns="0" bIns="0">
                      <a:spAutoFit/>
                    </wps:bodyPr>
                  </wps:wsp>
                </a:graphicData>
              </a:graphic>
            </wp:anchor>
          </w:drawing>
        </mc:Choice>
        <mc:Fallback>
          <w:pict>
            <v:shape id="_x0000_s4285" type="#_x0000_t202" style="position:absolute;margin-left:254.84999999999999pt;margin-top:31.75pt;width:73.450000000000003pt;height:5.0499999999999998pt;z-index:-1887415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504825</wp:posOffset>
              </wp:positionV>
              <wp:extent cx="4017010" cy="0"/>
              <wp:wrapNone/>
              <wp:docPr id="3261" name="Shape 326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49999999999999pt;margin-top:39.75pt;width:316.30000000000001pt;height:0;z-index:-251658240;mso-position-horizontal-relative:page;mso-position-vertical-relative:page">
              <v:stroke weight="1.pt"/>
            </v:shape>
          </w:pict>
        </mc:Fallback>
      </mc:AlternateContent>
    </w:r>
  </w:p>
</w:hdr>
</file>

<file path=word/header7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86" behindDoc="1" locked="0" layoutInCell="1" allowOverlap="1">
              <wp:simplePos x="0" y="0"/>
              <wp:positionH relativeFrom="page">
                <wp:posOffset>3236595</wp:posOffset>
              </wp:positionH>
              <wp:positionV relativeFrom="page">
                <wp:posOffset>403225</wp:posOffset>
              </wp:positionV>
              <wp:extent cx="932815" cy="64135"/>
              <wp:wrapNone/>
              <wp:docPr id="3262" name="Shape 3262"/>
              <a:graphic xmlns:a="http://schemas.openxmlformats.org/drawingml/2006/main">
                <a:graphicData uri="http://schemas.microsoft.com/office/word/2010/wordprocessingShape">
                  <wps:wsp>
                    <wps:cNvSpPr txBox="1"/>
                    <wps:spPr>
                      <a:xfrm>
                        <a:ext cx="93281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TRADICIJA/TROJSTVO</w:t>
                          </w:r>
                        </w:p>
                      </w:txbxContent>
                    </wps:txbx>
                    <wps:bodyPr wrap="none" lIns="0" tIns="0" rIns="0" bIns="0">
                      <a:spAutoFit/>
                    </wps:bodyPr>
                  </wps:wsp>
                </a:graphicData>
              </a:graphic>
            </wp:anchor>
          </w:drawing>
        </mc:Choice>
        <mc:Fallback>
          <w:pict>
            <v:shape id="_x0000_s4288" type="#_x0000_t202" style="position:absolute;margin-left:254.84999999999999pt;margin-top:31.75pt;width:73.450000000000003pt;height:5.0499999999999998pt;z-index:-1887415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TRADICIJA/TROJSTVO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504825</wp:posOffset>
              </wp:positionV>
              <wp:extent cx="4017010" cy="0"/>
              <wp:wrapNone/>
              <wp:docPr id="3264" name="Shape 326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49999999999999pt;margin-top:39.75pt;width:316.30000000000001pt;height:0;z-index:-251658240;mso-position-horizontal-relative:page;mso-position-vertical-relative:page">
              <v:stroke weight="1.pt"/>
            </v:shape>
          </w:pict>
        </mc:Fallback>
      </mc:AlternateContent>
    </w:r>
  </w:p>
</w:hdr>
</file>

<file path=word/header7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88" behindDoc="1" locked="0" layoutInCell="1" allowOverlap="1">
              <wp:simplePos x="0" y="0"/>
              <wp:positionH relativeFrom="page">
                <wp:posOffset>140970</wp:posOffset>
              </wp:positionH>
              <wp:positionV relativeFrom="page">
                <wp:posOffset>459105</wp:posOffset>
              </wp:positionV>
              <wp:extent cx="448310" cy="67310"/>
              <wp:wrapNone/>
              <wp:docPr id="3267" name="Shape 3267"/>
              <a:graphic xmlns:a="http://schemas.openxmlformats.org/drawingml/2006/main">
                <a:graphicData uri="http://schemas.microsoft.com/office/word/2010/wordprocessingShape">
                  <wps:wsp>
                    <wps:cNvSpPr txBox="1"/>
                    <wps:spPr>
                      <a:xfrm>
                        <a:ext cx="4483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wps:txbx>
                    <wps:bodyPr wrap="none" lIns="0" tIns="0" rIns="0" bIns="0">
                      <a:spAutoFit/>
                    </wps:bodyPr>
                  </wps:wsp>
                </a:graphicData>
              </a:graphic>
            </wp:anchor>
          </w:drawing>
        </mc:Choice>
        <mc:Fallback>
          <w:pict>
            <v:shape id="_x0000_s4293" type="#_x0000_t202" style="position:absolute;margin-left:11.1pt;margin-top:36.149999999999999pt;width:35.299999999999997pt;height:5.2999999999999998pt;z-index:-1887415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553085</wp:posOffset>
              </wp:positionV>
              <wp:extent cx="4020185" cy="0"/>
              <wp:wrapNone/>
              <wp:docPr id="3269" name="Shape 326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3.549999999999997pt;width:316.55000000000001pt;height:0;z-index:-251658240;mso-position-horizontal-relative:page;mso-position-vertical-relative:page">
              <v:stroke weight="1.pt"/>
            </v:shape>
          </w:pict>
        </mc:Fallback>
      </mc:AlternateContent>
    </w:r>
  </w:p>
</w:hdr>
</file>

<file path=word/header7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92" behindDoc="1" locked="0" layoutInCell="1" allowOverlap="1">
              <wp:simplePos x="0" y="0"/>
              <wp:positionH relativeFrom="page">
                <wp:posOffset>140970</wp:posOffset>
              </wp:positionH>
              <wp:positionV relativeFrom="page">
                <wp:posOffset>459105</wp:posOffset>
              </wp:positionV>
              <wp:extent cx="448310" cy="67310"/>
              <wp:wrapNone/>
              <wp:docPr id="3272" name="Shape 3272"/>
              <a:graphic xmlns:a="http://schemas.openxmlformats.org/drawingml/2006/main">
                <a:graphicData uri="http://schemas.microsoft.com/office/word/2010/wordprocessingShape">
                  <wps:wsp>
                    <wps:cNvSpPr txBox="1"/>
                    <wps:spPr>
                      <a:xfrm>
                        <a:ext cx="4483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wps:txbx>
                    <wps:bodyPr wrap="none" lIns="0" tIns="0" rIns="0" bIns="0">
                      <a:spAutoFit/>
                    </wps:bodyPr>
                  </wps:wsp>
                </a:graphicData>
              </a:graphic>
            </wp:anchor>
          </w:drawing>
        </mc:Choice>
        <mc:Fallback>
          <w:pict>
            <v:shape id="_x0000_s4298" type="#_x0000_t202" style="position:absolute;margin-left:11.1pt;margin-top:36.149999999999999pt;width:35.299999999999997pt;height:5.2999999999999998pt;z-index:-1887415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553085</wp:posOffset>
              </wp:positionV>
              <wp:extent cx="4020185" cy="0"/>
              <wp:wrapNone/>
              <wp:docPr id="3274" name="Shape 327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3.549999999999997pt;width:316.55000000000001pt;height:0;z-index:-251658240;mso-position-horizontal-relative:page;mso-position-vertical-relative:page">
              <v:stroke weight="1.pt"/>
            </v:shape>
          </w:pict>
        </mc:Fallback>
      </mc:AlternateContent>
    </w:r>
  </w:p>
</w:hdr>
</file>

<file path=word/header7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96" behindDoc="1" locked="0" layoutInCell="1" allowOverlap="1">
              <wp:simplePos x="0" y="0"/>
              <wp:positionH relativeFrom="page">
                <wp:posOffset>3721100</wp:posOffset>
              </wp:positionH>
              <wp:positionV relativeFrom="page">
                <wp:posOffset>403225</wp:posOffset>
              </wp:positionV>
              <wp:extent cx="441960" cy="64135"/>
              <wp:wrapNone/>
              <wp:docPr id="3277" name="Shape 3277"/>
              <a:graphic xmlns:a="http://schemas.openxmlformats.org/drawingml/2006/main">
                <a:graphicData uri="http://schemas.microsoft.com/office/word/2010/wordprocessingShape">
                  <wps:wsp>
                    <wps:cNvSpPr txBox="1"/>
                    <wps:spPr>
                      <a:xfrm>
                        <a:ext cx="4419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wps:txbx>
                    <wps:bodyPr wrap="none" lIns="0" tIns="0" rIns="0" bIns="0">
                      <a:spAutoFit/>
                    </wps:bodyPr>
                  </wps:wsp>
                </a:graphicData>
              </a:graphic>
            </wp:anchor>
          </w:drawing>
        </mc:Choice>
        <mc:Fallback>
          <w:pict>
            <v:shape id="_x0000_s4303" type="#_x0000_t202" style="position:absolute;margin-left:293.pt;margin-top:31.75pt;width:34.799999999999997pt;height:5.0499999999999998pt;z-index:-1887415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506095</wp:posOffset>
              </wp:positionV>
              <wp:extent cx="4014470" cy="0"/>
              <wp:wrapNone/>
              <wp:docPr id="3279" name="Shape 327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949999999999999pt;margin-top:39.850000000000001pt;width:316.10000000000002pt;height:0;z-index:-251658240;mso-position-horizontal-relative:page;mso-position-vertical-relative:page">
              <v:stroke weight="1.pt"/>
            </v:shape>
          </w:pict>
        </mc:Fallback>
      </mc:AlternateContent>
    </w:r>
  </w:p>
</w:hdr>
</file>

<file path=word/header7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198" behindDoc="1" locked="0" layoutInCell="1" allowOverlap="1">
              <wp:simplePos x="0" y="0"/>
              <wp:positionH relativeFrom="page">
                <wp:posOffset>3721100</wp:posOffset>
              </wp:positionH>
              <wp:positionV relativeFrom="page">
                <wp:posOffset>403225</wp:posOffset>
              </wp:positionV>
              <wp:extent cx="441960" cy="64135"/>
              <wp:wrapNone/>
              <wp:docPr id="3280" name="Shape 3280"/>
              <a:graphic xmlns:a="http://schemas.openxmlformats.org/drawingml/2006/main">
                <a:graphicData uri="http://schemas.microsoft.com/office/word/2010/wordprocessingShape">
                  <wps:wsp>
                    <wps:cNvSpPr txBox="1"/>
                    <wps:spPr>
                      <a:xfrm>
                        <a:ext cx="44196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wps:txbx>
                    <wps:bodyPr wrap="none" lIns="0" tIns="0" rIns="0" bIns="0">
                      <a:spAutoFit/>
                    </wps:bodyPr>
                  </wps:wsp>
                </a:graphicData>
              </a:graphic>
            </wp:anchor>
          </w:drawing>
        </mc:Choice>
        <mc:Fallback>
          <w:pict>
            <v:shape id="_x0000_s4306" type="#_x0000_t202" style="position:absolute;margin-left:293.pt;margin-top:31.75pt;width:34.799999999999997pt;height:5.0499999999999998pt;z-index:-1887415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151765</wp:posOffset>
              </wp:positionH>
              <wp:positionV relativeFrom="page">
                <wp:posOffset>506095</wp:posOffset>
              </wp:positionV>
              <wp:extent cx="4014470" cy="0"/>
              <wp:wrapNone/>
              <wp:docPr id="3282" name="Shape 3282"/>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949999999999999pt;margin-top:39.850000000000001pt;width:316.10000000000002pt;height:0;z-index:-251658240;mso-position-horizontal-relative:page;mso-position-vertical-relative:page">
              <v:stroke weight="1.pt"/>
            </v:shape>
          </w:pict>
        </mc:Fallback>
      </mc:AlternateContent>
    </w:r>
  </w:p>
</w:hdr>
</file>

<file path=word/header7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00" behindDoc="1" locked="0" layoutInCell="1" allowOverlap="1">
              <wp:simplePos x="0" y="0"/>
              <wp:positionH relativeFrom="page">
                <wp:posOffset>140970</wp:posOffset>
              </wp:positionH>
              <wp:positionV relativeFrom="page">
                <wp:posOffset>459105</wp:posOffset>
              </wp:positionV>
              <wp:extent cx="448310" cy="67310"/>
              <wp:wrapNone/>
              <wp:docPr id="3283" name="Shape 3283"/>
              <a:graphic xmlns:a="http://schemas.openxmlformats.org/drawingml/2006/main">
                <a:graphicData uri="http://schemas.microsoft.com/office/word/2010/wordprocessingShape">
                  <wps:wsp>
                    <wps:cNvSpPr txBox="1"/>
                    <wps:spPr>
                      <a:xfrm>
                        <a:ext cx="4483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wps:txbx>
                    <wps:bodyPr wrap="none" lIns="0" tIns="0" rIns="0" bIns="0">
                      <a:spAutoFit/>
                    </wps:bodyPr>
                  </wps:wsp>
                </a:graphicData>
              </a:graphic>
            </wp:anchor>
          </w:drawing>
        </mc:Choice>
        <mc:Fallback>
          <w:pict>
            <v:shape id="_x0000_s4309" type="#_x0000_t202" style="position:absolute;margin-left:11.1pt;margin-top:36.149999999999999pt;width:35.299999999999997pt;height:5.2999999999999998pt;z-index:-1887415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553085</wp:posOffset>
              </wp:positionV>
              <wp:extent cx="4020185" cy="0"/>
              <wp:wrapNone/>
              <wp:docPr id="3285" name="Shape 328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3.549999999999997pt;width:316.55000000000001pt;height:0;z-index:-251658240;mso-position-horizontal-relative:page;mso-position-vertical-relative:page">
              <v:stroke weight="1.pt"/>
            </v:shape>
          </w:pict>
        </mc:Fallback>
      </mc:AlternateContent>
    </w:r>
  </w:p>
</w:hdr>
</file>

<file path=word/header7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04" behindDoc="1" locked="0" layoutInCell="1" allowOverlap="1">
              <wp:simplePos x="0" y="0"/>
              <wp:positionH relativeFrom="page">
                <wp:posOffset>140970</wp:posOffset>
              </wp:positionH>
              <wp:positionV relativeFrom="page">
                <wp:posOffset>459105</wp:posOffset>
              </wp:positionV>
              <wp:extent cx="448310" cy="67310"/>
              <wp:wrapNone/>
              <wp:docPr id="3288" name="Shape 3288"/>
              <a:graphic xmlns:a="http://schemas.openxmlformats.org/drawingml/2006/main">
                <a:graphicData uri="http://schemas.microsoft.com/office/word/2010/wordprocessingShape">
                  <wps:wsp>
                    <wps:cNvSpPr txBox="1"/>
                    <wps:spPr>
                      <a:xfrm>
                        <a:ext cx="44831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wps:txbx>
                    <wps:bodyPr wrap="none" lIns="0" tIns="0" rIns="0" bIns="0">
                      <a:spAutoFit/>
                    </wps:bodyPr>
                  </wps:wsp>
                </a:graphicData>
              </a:graphic>
            </wp:anchor>
          </w:drawing>
        </mc:Choice>
        <mc:Fallback>
          <w:pict>
            <v:shape id="_x0000_s4314" type="#_x0000_t202" style="position:absolute;margin-left:11.1pt;margin-top:36.149999999999999pt;width:35.299999999999997pt;height:5.2999999999999998pt;z-index:-1887415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TROJSTVO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553085</wp:posOffset>
              </wp:positionV>
              <wp:extent cx="4020185" cy="0"/>
              <wp:wrapNone/>
              <wp:docPr id="3290" name="Shape 329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35pt;margin-top:43.549999999999997pt;width:316.55000000000001pt;height:0;z-index:-251658240;mso-position-horizontal-relative:page;mso-position-vertical-relative:page">
              <v:stroke weight="1.pt"/>
            </v:shape>
          </w:pict>
        </mc:Fallback>
      </mc:AlternateContent>
    </w:r>
  </w:p>
</w:hdr>
</file>

<file path=word/header7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08" behindDoc="1" locked="0" layoutInCell="1" allowOverlap="1">
              <wp:simplePos x="0" y="0"/>
              <wp:positionH relativeFrom="page">
                <wp:posOffset>162560</wp:posOffset>
              </wp:positionH>
              <wp:positionV relativeFrom="page">
                <wp:posOffset>415925</wp:posOffset>
              </wp:positionV>
              <wp:extent cx="575945" cy="79375"/>
              <wp:wrapNone/>
              <wp:docPr id="3295" name="Shape 3295"/>
              <a:graphic xmlns:a="http://schemas.openxmlformats.org/drawingml/2006/main">
                <a:graphicData uri="http://schemas.microsoft.com/office/word/2010/wordprocessingShape">
                  <wps:wsp>
                    <wps:cNvSpPr txBox="1"/>
                    <wps:spPr>
                      <a:xfrm>
                        <a:ext cx="57594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UČITEUSTVO</w:t>
                          </w:r>
                        </w:p>
                      </w:txbxContent>
                    </wps:txbx>
                    <wps:bodyPr wrap="none" lIns="0" tIns="0" rIns="0" bIns="0">
                      <a:spAutoFit/>
                    </wps:bodyPr>
                  </wps:wsp>
                </a:graphicData>
              </a:graphic>
            </wp:anchor>
          </w:drawing>
        </mc:Choice>
        <mc:Fallback>
          <w:pict>
            <v:shape id="_x0000_s4321" type="#_x0000_t202" style="position:absolute;margin-left:12.800000000000001pt;margin-top:32.75pt;width:45.350000000000001pt;height:6.25pt;z-index:-1887415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UČITEUSTVO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162560</wp:posOffset>
              </wp:positionH>
              <wp:positionV relativeFrom="page">
                <wp:posOffset>527050</wp:posOffset>
              </wp:positionV>
              <wp:extent cx="4004945" cy="0"/>
              <wp:wrapNone/>
              <wp:docPr id="3297" name="Shape 3297"/>
              <a:graphic xmlns:a="http://schemas.openxmlformats.org/drawingml/2006/main">
                <a:graphicData uri="http://schemas.microsoft.com/office/word/2010/wordprocessingShape">
                  <wps:wsp>
                    <wps:cNvCnPr/>
                    <wps:spPr>
                      <a:xfrm>
                        <a:ext cx="4004945" cy="0"/>
                      </a:xfrm>
                      <a:prstGeom prst="straightConnector1"/>
                      <a:ln w="12700">
                        <a:solidFill/>
                      </a:ln>
                    </wps:spPr>
                    <wps:bodyPr/>
                  </wps:wsp>
                </a:graphicData>
              </a:graphic>
            </wp:anchor>
          </w:drawing>
        </mc:Choice>
        <mc:Fallback>
          <w:pict>
            <v:shape o:spt="32" o:oned="true" path="m,l21600,21600e" style="position:absolute;margin-left:12.800000000000001pt;margin-top:41.5pt;width:315.35000000000002pt;height:0;z-index:-251658240;mso-position-horizontal-relative:page;mso-position-vertical-relative:page">
              <v:stroke weight="1.pt"/>
            </v:shape>
          </w:pict>
        </mc:Fallback>
      </mc:AlternateContent>
    </w:r>
  </w:p>
</w:hdr>
</file>

<file path=word/header7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12" behindDoc="1" locked="0" layoutInCell="1" allowOverlap="1">
              <wp:simplePos x="0" y="0"/>
              <wp:positionH relativeFrom="page">
                <wp:posOffset>162560</wp:posOffset>
              </wp:positionH>
              <wp:positionV relativeFrom="page">
                <wp:posOffset>415925</wp:posOffset>
              </wp:positionV>
              <wp:extent cx="575945" cy="79375"/>
              <wp:wrapNone/>
              <wp:docPr id="3300" name="Shape 3300"/>
              <a:graphic xmlns:a="http://schemas.openxmlformats.org/drawingml/2006/main">
                <a:graphicData uri="http://schemas.microsoft.com/office/word/2010/wordprocessingShape">
                  <wps:wsp>
                    <wps:cNvSpPr txBox="1"/>
                    <wps:spPr>
                      <a:xfrm>
                        <a:ext cx="57594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UČITEUSTVO</w:t>
                          </w:r>
                        </w:p>
                      </w:txbxContent>
                    </wps:txbx>
                    <wps:bodyPr wrap="none" lIns="0" tIns="0" rIns="0" bIns="0">
                      <a:spAutoFit/>
                    </wps:bodyPr>
                  </wps:wsp>
                </a:graphicData>
              </a:graphic>
            </wp:anchor>
          </w:drawing>
        </mc:Choice>
        <mc:Fallback>
          <w:pict>
            <v:shape id="_x0000_s4326" type="#_x0000_t202" style="position:absolute;margin-left:12.800000000000001pt;margin-top:32.75pt;width:45.350000000000001pt;height:6.25pt;z-index:-1887415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UČITEUSTVO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162560</wp:posOffset>
              </wp:positionH>
              <wp:positionV relativeFrom="page">
                <wp:posOffset>527050</wp:posOffset>
              </wp:positionV>
              <wp:extent cx="4004945" cy="0"/>
              <wp:wrapNone/>
              <wp:docPr id="3302" name="Shape 3302"/>
              <a:graphic xmlns:a="http://schemas.openxmlformats.org/drawingml/2006/main">
                <a:graphicData uri="http://schemas.microsoft.com/office/word/2010/wordprocessingShape">
                  <wps:wsp>
                    <wps:cNvCnPr/>
                    <wps:spPr>
                      <a:xfrm>
                        <a:ext cx="4004945" cy="0"/>
                      </a:xfrm>
                      <a:prstGeom prst="straightConnector1"/>
                      <a:ln w="12700">
                        <a:solidFill/>
                      </a:ln>
                    </wps:spPr>
                    <wps:bodyPr/>
                  </wps:wsp>
                </a:graphicData>
              </a:graphic>
            </wp:anchor>
          </w:drawing>
        </mc:Choice>
        <mc:Fallback>
          <w:pict>
            <v:shape o:spt="32" o:oned="true" path="m,l21600,21600e" style="position:absolute;margin-left:12.800000000000001pt;margin-top:41.5pt;width:315.35000000000002pt;height:0;z-index:-251658240;mso-position-horizontal-relative:page;mso-position-vertical-relative:page">
              <v:stroke weight="1.pt"/>
            </v:shape>
          </w:pict>
        </mc:Fallback>
      </mc:AlternateContent>
    </w:r>
  </w:p>
</w:hdr>
</file>

<file path=word/header7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16" behindDoc="1" locked="0" layoutInCell="1" allowOverlap="1">
              <wp:simplePos x="0" y="0"/>
              <wp:positionH relativeFrom="page">
                <wp:posOffset>3602355</wp:posOffset>
              </wp:positionH>
              <wp:positionV relativeFrom="page">
                <wp:posOffset>424815</wp:posOffset>
              </wp:positionV>
              <wp:extent cx="579120" cy="82550"/>
              <wp:wrapNone/>
              <wp:docPr id="3305" name="Shape 3305"/>
              <a:graphic xmlns:a="http://schemas.openxmlformats.org/drawingml/2006/main">
                <a:graphicData uri="http://schemas.microsoft.com/office/word/2010/wordprocessingShape">
                  <wps:wsp>
                    <wps:cNvSpPr txBox="1"/>
                    <wps:spPr>
                      <a:xfrm>
                        <a:ext cx="57912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UĆITEUSTVO</w:t>
                          </w:r>
                        </w:p>
                      </w:txbxContent>
                    </wps:txbx>
                    <wps:bodyPr wrap="none" lIns="0" tIns="0" rIns="0" bIns="0">
                      <a:spAutoFit/>
                    </wps:bodyPr>
                  </wps:wsp>
                </a:graphicData>
              </a:graphic>
            </wp:anchor>
          </w:drawing>
        </mc:Choice>
        <mc:Fallback>
          <w:pict>
            <v:shape id="_x0000_s4331" type="#_x0000_t202" style="position:absolute;margin-left:283.64999999999998pt;margin-top:33.450000000000003pt;width:45.600000000000001pt;height:6.5pt;z-index:-1887415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UĆITEUSTVO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539115</wp:posOffset>
              </wp:positionV>
              <wp:extent cx="4017010" cy="0"/>
              <wp:wrapNone/>
              <wp:docPr id="3307" name="Shape 330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449999999999999pt;margin-top:42.450000000000003pt;width:316.30000000000001pt;height:0;z-index:-251658240;mso-position-horizontal-relative:page;mso-position-vertical-relative:page">
              <v:stroke weight="1.pt"/>
            </v:shape>
          </w:pict>
        </mc:Fallback>
      </mc:AlternateContent>
    </w:r>
  </w:p>
</w:hdr>
</file>

<file path=word/header7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18" behindDoc="1" locked="0" layoutInCell="1" allowOverlap="1">
              <wp:simplePos x="0" y="0"/>
              <wp:positionH relativeFrom="page">
                <wp:posOffset>3602355</wp:posOffset>
              </wp:positionH>
              <wp:positionV relativeFrom="page">
                <wp:posOffset>424815</wp:posOffset>
              </wp:positionV>
              <wp:extent cx="579120" cy="82550"/>
              <wp:wrapNone/>
              <wp:docPr id="3308" name="Shape 3308"/>
              <a:graphic xmlns:a="http://schemas.openxmlformats.org/drawingml/2006/main">
                <a:graphicData uri="http://schemas.microsoft.com/office/word/2010/wordprocessingShape">
                  <wps:wsp>
                    <wps:cNvSpPr txBox="1"/>
                    <wps:spPr>
                      <a:xfrm>
                        <a:ext cx="57912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UĆITEUSTVO</w:t>
                          </w:r>
                        </w:p>
                      </w:txbxContent>
                    </wps:txbx>
                    <wps:bodyPr wrap="none" lIns="0" tIns="0" rIns="0" bIns="0">
                      <a:spAutoFit/>
                    </wps:bodyPr>
                  </wps:wsp>
                </a:graphicData>
              </a:graphic>
            </wp:anchor>
          </w:drawing>
        </mc:Choice>
        <mc:Fallback>
          <w:pict>
            <v:shape id="_x0000_s4334" type="#_x0000_t202" style="position:absolute;margin-left:283.64999999999998pt;margin-top:33.450000000000003pt;width:45.600000000000001pt;height:6.5pt;z-index:-1887415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UĆITEUSTVO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539115</wp:posOffset>
              </wp:positionV>
              <wp:extent cx="4017010" cy="0"/>
              <wp:wrapNone/>
              <wp:docPr id="3310" name="Shape 331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449999999999999pt;margin-top:42.450000000000003pt;width:316.30000000000001pt;height:0;z-index:-251658240;mso-position-horizontal-relative:page;mso-position-vertical-relative:page">
              <v:stroke weight="1.pt"/>
            </v:shape>
          </w:pict>
        </mc:Fallback>
      </mc:AlternateContent>
    </w:r>
  </w:p>
</w:hdr>
</file>

<file path=word/header7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20" behindDoc="1" locked="0" layoutInCell="1" allowOverlap="1">
              <wp:simplePos x="0" y="0"/>
              <wp:positionH relativeFrom="page">
                <wp:posOffset>144780</wp:posOffset>
              </wp:positionH>
              <wp:positionV relativeFrom="page">
                <wp:posOffset>409575</wp:posOffset>
              </wp:positionV>
              <wp:extent cx="572770" cy="73025"/>
              <wp:wrapNone/>
              <wp:docPr id="3311" name="Shape 3311"/>
              <a:graphic xmlns:a="http://schemas.openxmlformats.org/drawingml/2006/main">
                <a:graphicData uri="http://schemas.microsoft.com/office/word/2010/wordprocessingShape">
                  <wps:wsp>
                    <wps:cNvSpPr txBox="1"/>
                    <wps:spPr>
                      <a:xfrm>
                        <a:ext cx="57277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UČITELJ STVO</w:t>
                          </w:r>
                        </w:p>
                      </w:txbxContent>
                    </wps:txbx>
                    <wps:bodyPr wrap="none" lIns="0" tIns="0" rIns="0" bIns="0">
                      <a:spAutoFit/>
                    </wps:bodyPr>
                  </wps:wsp>
                </a:graphicData>
              </a:graphic>
            </wp:anchor>
          </w:drawing>
        </mc:Choice>
        <mc:Fallback>
          <w:pict>
            <v:shape id="_x0000_s4337" type="#_x0000_t202" style="position:absolute;margin-left:11.4pt;margin-top:32.25pt;width:45.100000000000001pt;height:5.75pt;z-index:-1887415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UČITELJ 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516255</wp:posOffset>
              </wp:positionV>
              <wp:extent cx="4014470" cy="0"/>
              <wp:wrapNone/>
              <wp:docPr id="3313" name="Shape 331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4pt;margin-top:40.649999999999999pt;width:316.10000000000002pt;height:0;z-index:-251658240;mso-position-horizontal-relative:page;mso-position-vertical-relative:page">
              <v:stroke weight="1.pt"/>
            </v:shape>
          </w:pict>
        </mc:Fallback>
      </mc:AlternateContent>
    </w:r>
  </w:p>
</w:hdr>
</file>

<file path=word/header7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24" behindDoc="1" locked="0" layoutInCell="1" allowOverlap="1">
              <wp:simplePos x="0" y="0"/>
              <wp:positionH relativeFrom="page">
                <wp:posOffset>144780</wp:posOffset>
              </wp:positionH>
              <wp:positionV relativeFrom="page">
                <wp:posOffset>409575</wp:posOffset>
              </wp:positionV>
              <wp:extent cx="572770" cy="73025"/>
              <wp:wrapNone/>
              <wp:docPr id="3316" name="Shape 3316"/>
              <a:graphic xmlns:a="http://schemas.openxmlformats.org/drawingml/2006/main">
                <a:graphicData uri="http://schemas.microsoft.com/office/word/2010/wordprocessingShape">
                  <wps:wsp>
                    <wps:cNvSpPr txBox="1"/>
                    <wps:spPr>
                      <a:xfrm>
                        <a:ext cx="572770" cy="7302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UČITELJ STVO</w:t>
                          </w:r>
                        </w:p>
                      </w:txbxContent>
                    </wps:txbx>
                    <wps:bodyPr wrap="none" lIns="0" tIns="0" rIns="0" bIns="0">
                      <a:spAutoFit/>
                    </wps:bodyPr>
                  </wps:wsp>
                </a:graphicData>
              </a:graphic>
            </wp:anchor>
          </w:drawing>
        </mc:Choice>
        <mc:Fallback>
          <w:pict>
            <v:shape id="_x0000_s4342" type="#_x0000_t202" style="position:absolute;margin-left:11.4pt;margin-top:32.25pt;width:45.100000000000001pt;height:5.75pt;z-index:-1887415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UČITELJ 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516255</wp:posOffset>
              </wp:positionV>
              <wp:extent cx="4014470" cy="0"/>
              <wp:wrapNone/>
              <wp:docPr id="3318" name="Shape 3318"/>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4pt;margin-top:40.649999999999999pt;width:316.10000000000002pt;height:0;z-index:-251658240;mso-position-horizontal-relative:page;mso-position-vertical-relative:page">
              <v:stroke weight="1.pt"/>
            </v:shape>
          </w:pict>
        </mc:Fallback>
      </mc:AlternateContent>
    </w:r>
  </w:p>
</w:hdr>
</file>

<file path=word/header7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28" behindDoc="1" locked="0" layoutInCell="1" allowOverlap="1">
              <wp:simplePos x="0" y="0"/>
              <wp:positionH relativeFrom="page">
                <wp:posOffset>154940</wp:posOffset>
              </wp:positionH>
              <wp:positionV relativeFrom="page">
                <wp:posOffset>440055</wp:posOffset>
              </wp:positionV>
              <wp:extent cx="734695" cy="60960"/>
              <wp:wrapNone/>
              <wp:docPr id="3323" name="Shape 3323"/>
              <a:graphic xmlns:a="http://schemas.openxmlformats.org/drawingml/2006/main">
                <a:graphicData uri="http://schemas.microsoft.com/office/word/2010/wordprocessingShape">
                  <wps:wsp>
                    <wps:cNvSpPr txBox="1"/>
                    <wps:spPr>
                      <a:xfrm>
                        <a:ext cx="73469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UNIVERZALIZAM</w:t>
                          </w:r>
                        </w:p>
                      </w:txbxContent>
                    </wps:txbx>
                    <wps:bodyPr wrap="none" lIns="0" tIns="0" rIns="0" bIns="0">
                      <a:spAutoFit/>
                    </wps:bodyPr>
                  </wps:wsp>
                </a:graphicData>
              </a:graphic>
            </wp:anchor>
          </w:drawing>
        </mc:Choice>
        <mc:Fallback>
          <w:pict>
            <v:shape id="_x0000_s4349" type="#_x0000_t202" style="position:absolute;margin-left:12.199999999999999pt;margin-top:34.649999999999999pt;width:57.850000000000001pt;height:4.7999999999999998pt;z-index:-1887415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UNIVERZALIZAM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535940</wp:posOffset>
              </wp:positionV>
              <wp:extent cx="4017010" cy="0"/>
              <wp:wrapNone/>
              <wp:docPr id="3325" name="Shape 332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pt;margin-top:42.200000000000003pt;width:316.30000000000001pt;height:0;z-index:-251658240;mso-position-horizontal-relative:page;mso-position-vertical-relative:page">
              <v:stroke weight="1.pt"/>
            </v:shape>
          </w:pict>
        </mc:Fallback>
      </mc:AlternateContent>
    </w:r>
  </w:p>
</w:hdr>
</file>

<file path=word/header7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30" behindDoc="1" locked="0" layoutInCell="1" allowOverlap="1">
              <wp:simplePos x="0" y="0"/>
              <wp:positionH relativeFrom="page">
                <wp:posOffset>154940</wp:posOffset>
              </wp:positionH>
              <wp:positionV relativeFrom="page">
                <wp:posOffset>440055</wp:posOffset>
              </wp:positionV>
              <wp:extent cx="734695" cy="60960"/>
              <wp:wrapNone/>
              <wp:docPr id="3326" name="Shape 3326"/>
              <a:graphic xmlns:a="http://schemas.openxmlformats.org/drawingml/2006/main">
                <a:graphicData uri="http://schemas.microsoft.com/office/word/2010/wordprocessingShape">
                  <wps:wsp>
                    <wps:cNvSpPr txBox="1"/>
                    <wps:spPr>
                      <a:xfrm>
                        <a:ext cx="73469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UNIVERZALIZAM</w:t>
                          </w:r>
                        </w:p>
                      </w:txbxContent>
                    </wps:txbx>
                    <wps:bodyPr wrap="none" lIns="0" tIns="0" rIns="0" bIns="0">
                      <a:spAutoFit/>
                    </wps:bodyPr>
                  </wps:wsp>
                </a:graphicData>
              </a:graphic>
            </wp:anchor>
          </w:drawing>
        </mc:Choice>
        <mc:Fallback>
          <w:pict>
            <v:shape id="_x0000_s4352" type="#_x0000_t202" style="position:absolute;margin-left:12.199999999999999pt;margin-top:34.649999999999999pt;width:57.850000000000001pt;height:4.7999999999999998pt;z-index:-1887415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UNIVERZALIZAM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535940</wp:posOffset>
              </wp:positionV>
              <wp:extent cx="4017010" cy="0"/>
              <wp:wrapNone/>
              <wp:docPr id="3328" name="Shape 332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pt;margin-top:42.200000000000003pt;width:316.30000000000001pt;height:0;z-index:-251658240;mso-position-horizontal-relative:page;mso-position-vertical-relative:page">
              <v:stroke weight="1.pt"/>
            </v:shape>
          </w:pict>
        </mc:Fallback>
      </mc:AlternateContent>
    </w:r>
  </w:p>
</w:hdr>
</file>

<file path=word/header7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32" behindDoc="1" locked="0" layoutInCell="1" allowOverlap="1">
              <wp:simplePos x="0" y="0"/>
              <wp:positionH relativeFrom="page">
                <wp:posOffset>2427605</wp:posOffset>
              </wp:positionH>
              <wp:positionV relativeFrom="page">
                <wp:posOffset>406400</wp:posOffset>
              </wp:positionV>
              <wp:extent cx="1731010" cy="79375"/>
              <wp:wrapNone/>
              <wp:docPr id="3329" name="Shape 3329"/>
              <a:graphic xmlns:a="http://schemas.openxmlformats.org/drawingml/2006/main">
                <a:graphicData uri="http://schemas.microsoft.com/office/word/2010/wordprocessingShape">
                  <wps:wsp>
                    <wps:cNvSpPr txBox="1"/>
                    <wps:spPr>
                      <a:xfrm>
                        <a:ext cx="173101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učiteljstvo/um/uma/univerzalizam</w:t>
                          </w:r>
                        </w:p>
                      </w:txbxContent>
                    </wps:txbx>
                    <wps:bodyPr wrap="none" lIns="0" tIns="0" rIns="0" bIns="0">
                      <a:spAutoFit/>
                    </wps:bodyPr>
                  </wps:wsp>
                </a:graphicData>
              </a:graphic>
            </wp:anchor>
          </w:drawing>
        </mc:Choice>
        <mc:Fallback>
          <w:pict>
            <v:shape id="_x0000_s4355" type="#_x0000_t202" style="position:absolute;margin-left:191.15000000000001pt;margin-top:32.pt;width:136.30000000000001pt;height:6.25pt;z-index:-1887415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učiteljstvo/um/uma/univerzalizam</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144780</wp:posOffset>
              </wp:positionH>
              <wp:positionV relativeFrom="page">
                <wp:posOffset>521970</wp:posOffset>
              </wp:positionV>
              <wp:extent cx="4020185" cy="0"/>
              <wp:wrapNone/>
              <wp:docPr id="3331" name="Shape 3331"/>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4pt;margin-top:41.100000000000001pt;width:316.55000000000001pt;height:0;z-index:-251658240;mso-position-horizontal-relative:page;mso-position-vertical-relative:page">
              <v:stroke weight="1.pt"/>
            </v:shape>
          </w:pict>
        </mc:Fallback>
      </mc:AlternateContent>
    </w:r>
  </w:p>
</w:hdr>
</file>

<file path=word/header7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34" behindDoc="1" locked="0" layoutInCell="1" allowOverlap="1">
              <wp:simplePos x="0" y="0"/>
              <wp:positionH relativeFrom="page">
                <wp:posOffset>138430</wp:posOffset>
              </wp:positionH>
              <wp:positionV relativeFrom="page">
                <wp:posOffset>406400</wp:posOffset>
              </wp:positionV>
              <wp:extent cx="518160" cy="82550"/>
              <wp:wrapNone/>
              <wp:docPr id="3332" name="Shape 3332"/>
              <a:graphic xmlns:a="http://schemas.openxmlformats.org/drawingml/2006/main">
                <a:graphicData uri="http://schemas.microsoft.com/office/word/2010/wordprocessingShape">
                  <wps:wsp>
                    <wps:cNvSpPr txBox="1"/>
                    <wps:spPr>
                      <a:xfrm>
                        <a:ext cx="51816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wps:txbx>
                    <wps:bodyPr wrap="none" lIns="0" tIns="0" rIns="0" bIns="0">
                      <a:spAutoFit/>
                    </wps:bodyPr>
                  </wps:wsp>
                </a:graphicData>
              </a:graphic>
            </wp:anchor>
          </w:drawing>
        </mc:Choice>
        <mc:Fallback>
          <w:pict>
            <v:shape id="_x0000_s4358" type="#_x0000_t202" style="position:absolute;margin-left:10.9pt;margin-top:32.pt;width:40.799999999999997pt;height:6.5pt;z-index:-1887415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135255</wp:posOffset>
              </wp:positionH>
              <wp:positionV relativeFrom="page">
                <wp:posOffset>540385</wp:posOffset>
              </wp:positionV>
              <wp:extent cx="4020185" cy="0"/>
              <wp:wrapNone/>
              <wp:docPr id="3334" name="Shape 333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65pt;margin-top:42.549999999999997pt;width:316.55000000000001pt;height:0;z-index:-251658240;mso-position-horizontal-relative:page;mso-position-vertical-relative:page">
              <v:stroke weight="1.pt"/>
            </v:shape>
          </w:pict>
        </mc:Fallback>
      </mc:AlternateContent>
    </w:r>
  </w:p>
</w:hdr>
</file>

<file path=word/header7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38" behindDoc="1" locked="0" layoutInCell="1" allowOverlap="1">
              <wp:simplePos x="0" y="0"/>
              <wp:positionH relativeFrom="page">
                <wp:posOffset>138430</wp:posOffset>
              </wp:positionH>
              <wp:positionV relativeFrom="page">
                <wp:posOffset>406400</wp:posOffset>
              </wp:positionV>
              <wp:extent cx="518160" cy="82550"/>
              <wp:wrapNone/>
              <wp:docPr id="3337" name="Shape 3337"/>
              <a:graphic xmlns:a="http://schemas.openxmlformats.org/drawingml/2006/main">
                <a:graphicData uri="http://schemas.microsoft.com/office/word/2010/wordprocessingShape">
                  <wps:wsp>
                    <wps:cNvSpPr txBox="1"/>
                    <wps:spPr>
                      <a:xfrm>
                        <a:ext cx="51816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wps:txbx>
                    <wps:bodyPr wrap="none" lIns="0" tIns="0" rIns="0" bIns="0">
                      <a:spAutoFit/>
                    </wps:bodyPr>
                  </wps:wsp>
                </a:graphicData>
              </a:graphic>
            </wp:anchor>
          </w:drawing>
        </mc:Choice>
        <mc:Fallback>
          <w:pict>
            <v:shape id="_x0000_s4363" type="#_x0000_t202" style="position:absolute;margin-left:10.9pt;margin-top:32.pt;width:40.799999999999997pt;height:6.5pt;z-index:-1887415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135255</wp:posOffset>
              </wp:positionH>
              <wp:positionV relativeFrom="page">
                <wp:posOffset>540385</wp:posOffset>
              </wp:positionV>
              <wp:extent cx="4020185" cy="0"/>
              <wp:wrapNone/>
              <wp:docPr id="3339" name="Shape 333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65pt;margin-top:42.549999999999997pt;width:316.55000000000001pt;height:0;z-index:-251658240;mso-position-horizontal-relative:page;mso-position-vertical-relative:page">
              <v:stroke weight="1.pt"/>
            </v:shape>
          </w:pict>
        </mc:Fallback>
      </mc:AlternateContent>
    </w:r>
  </w:p>
</w:hdr>
</file>

<file path=word/header7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42" behindDoc="1" locked="0" layoutInCell="1" allowOverlap="1">
              <wp:simplePos x="0" y="0"/>
              <wp:positionH relativeFrom="page">
                <wp:posOffset>2889250</wp:posOffset>
              </wp:positionH>
              <wp:positionV relativeFrom="page">
                <wp:posOffset>400685</wp:posOffset>
              </wp:positionV>
              <wp:extent cx="1283335" cy="82550"/>
              <wp:wrapNone/>
              <wp:docPr id="3342" name="Shape 3342"/>
              <a:graphic xmlns:a="http://schemas.openxmlformats.org/drawingml/2006/main">
                <a:graphicData uri="http://schemas.microsoft.com/office/word/2010/wordprocessingShape">
                  <wps:wsp>
                    <wps:cNvSpPr txBox="1"/>
                    <wps:spPr>
                      <a:xfrm>
                        <a:ext cx="128333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UNIVERZALIZAM,USKRSNUĆE</w:t>
                          </w:r>
                        </w:p>
                      </w:txbxContent>
                    </wps:txbx>
                    <wps:bodyPr wrap="none" lIns="0" tIns="0" rIns="0" bIns="0">
                      <a:spAutoFit/>
                    </wps:bodyPr>
                  </wps:wsp>
                </a:graphicData>
              </a:graphic>
            </wp:anchor>
          </w:drawing>
        </mc:Choice>
        <mc:Fallback>
          <w:pict>
            <v:shape id="_x0000_s4368" type="#_x0000_t202" style="position:absolute;margin-left:227.5pt;margin-top:31.550000000000001pt;width:101.05pt;height:6.5pt;z-index:-1887415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UNIVERZALIZAM,USKRSNUĆE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154940</wp:posOffset>
              </wp:positionH>
              <wp:positionV relativeFrom="page">
                <wp:posOffset>514985</wp:posOffset>
              </wp:positionV>
              <wp:extent cx="4014470" cy="0"/>
              <wp:wrapNone/>
              <wp:docPr id="3344" name="Shape 334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99999999999999pt;margin-top:40.549999999999997pt;width:316.10000000000002pt;height:0;z-index:-251658240;mso-position-horizontal-relative:page;mso-position-vertical-relative:page">
              <v:stroke weight="1.pt"/>
            </v:shape>
          </w:pict>
        </mc:Fallback>
      </mc:AlternateContent>
    </w:r>
  </w:p>
</w:hdr>
</file>

<file path=word/header7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46" behindDoc="1" locked="0" layoutInCell="1" allowOverlap="1">
              <wp:simplePos x="0" y="0"/>
              <wp:positionH relativeFrom="page">
                <wp:posOffset>3660140</wp:posOffset>
              </wp:positionH>
              <wp:positionV relativeFrom="page">
                <wp:posOffset>443230</wp:posOffset>
              </wp:positionV>
              <wp:extent cx="518160" cy="82550"/>
              <wp:wrapNone/>
              <wp:docPr id="3347" name="Shape 3347"/>
              <a:graphic xmlns:a="http://schemas.openxmlformats.org/drawingml/2006/main">
                <a:graphicData uri="http://schemas.microsoft.com/office/word/2010/wordprocessingShape">
                  <wps:wsp>
                    <wps:cNvSpPr txBox="1"/>
                    <wps:spPr>
                      <a:xfrm>
                        <a:ext cx="51816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wps:txbx>
                    <wps:bodyPr wrap="none" lIns="0" tIns="0" rIns="0" bIns="0">
                      <a:spAutoFit/>
                    </wps:bodyPr>
                  </wps:wsp>
                </a:graphicData>
              </a:graphic>
            </wp:anchor>
          </w:drawing>
        </mc:Choice>
        <mc:Fallback>
          <w:pict>
            <v:shape id="_x0000_s4373" type="#_x0000_t202" style="position:absolute;margin-left:288.19999999999999pt;margin-top:34.899999999999999pt;width:40.799999999999997pt;height:6.5pt;z-index:-1887415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557530</wp:posOffset>
              </wp:positionV>
              <wp:extent cx="4032250" cy="0"/>
              <wp:wrapNone/>
              <wp:docPr id="3349" name="Shape 3349"/>
              <a:graphic xmlns:a="http://schemas.openxmlformats.org/drawingml/2006/main">
                <a:graphicData uri="http://schemas.microsoft.com/office/word/2010/wordprocessingShape">
                  <wps:wsp>
                    <wps:cNvCnPr/>
                    <wps:spPr>
                      <a:xfrm>
                        <a:ext cx="4032250" cy="0"/>
                      </a:xfrm>
                      <a:prstGeom prst="straightConnector1"/>
                      <a:ln w="12700">
                        <a:solidFill/>
                      </a:ln>
                    </wps:spPr>
                    <wps:bodyPr/>
                  </wps:wsp>
                </a:graphicData>
              </a:graphic>
            </wp:anchor>
          </w:drawing>
        </mc:Choice>
        <mc:Fallback>
          <w:pict>
            <v:shape o:spt="32" o:oned="true" path="m,l21600,21600e" style="position:absolute;margin-left:11.5pt;margin-top:43.899999999999999pt;width:317.5pt;height:0;z-index:-251658240;mso-position-horizontal-relative:page;mso-position-vertical-relative:page">
              <v:stroke weight="1.pt"/>
            </v:shape>
          </w:pict>
        </mc:Fallback>
      </mc:AlternateContent>
    </w:r>
  </w:p>
</w:hdr>
</file>

<file path=word/header7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48" behindDoc="1" locked="0" layoutInCell="1" allowOverlap="1">
              <wp:simplePos x="0" y="0"/>
              <wp:positionH relativeFrom="page">
                <wp:posOffset>3660140</wp:posOffset>
              </wp:positionH>
              <wp:positionV relativeFrom="page">
                <wp:posOffset>443230</wp:posOffset>
              </wp:positionV>
              <wp:extent cx="518160" cy="82550"/>
              <wp:wrapNone/>
              <wp:docPr id="3350" name="Shape 3350"/>
              <a:graphic xmlns:a="http://schemas.openxmlformats.org/drawingml/2006/main">
                <a:graphicData uri="http://schemas.microsoft.com/office/word/2010/wordprocessingShape">
                  <wps:wsp>
                    <wps:cNvSpPr txBox="1"/>
                    <wps:spPr>
                      <a:xfrm>
                        <a:ext cx="51816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wps:txbx>
                    <wps:bodyPr wrap="none" lIns="0" tIns="0" rIns="0" bIns="0">
                      <a:spAutoFit/>
                    </wps:bodyPr>
                  </wps:wsp>
                </a:graphicData>
              </a:graphic>
            </wp:anchor>
          </w:drawing>
        </mc:Choice>
        <mc:Fallback>
          <w:pict>
            <v:shape id="_x0000_s4376" type="#_x0000_t202" style="position:absolute;margin-left:288.19999999999999pt;margin-top:34.899999999999999pt;width:40.799999999999997pt;height:6.5pt;z-index:-1887415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557530</wp:posOffset>
              </wp:positionV>
              <wp:extent cx="4032250" cy="0"/>
              <wp:wrapNone/>
              <wp:docPr id="3352" name="Shape 3352"/>
              <a:graphic xmlns:a="http://schemas.openxmlformats.org/drawingml/2006/main">
                <a:graphicData uri="http://schemas.microsoft.com/office/word/2010/wordprocessingShape">
                  <wps:wsp>
                    <wps:cNvCnPr/>
                    <wps:spPr>
                      <a:xfrm>
                        <a:ext cx="4032250" cy="0"/>
                      </a:xfrm>
                      <a:prstGeom prst="straightConnector1"/>
                      <a:ln w="12700">
                        <a:solidFill/>
                      </a:ln>
                    </wps:spPr>
                    <wps:bodyPr/>
                  </wps:wsp>
                </a:graphicData>
              </a:graphic>
            </wp:anchor>
          </w:drawing>
        </mc:Choice>
        <mc:Fallback>
          <w:pict>
            <v:shape o:spt="32" o:oned="true" path="m,l21600,21600e" style="position:absolute;margin-left:11.5pt;margin-top:43.899999999999999pt;width:317.5pt;height:0;z-index:-251658240;mso-position-horizontal-relative:page;mso-position-vertical-relative:page">
              <v:stroke weight="1.pt"/>
            </v:shape>
          </w:pict>
        </mc:Fallback>
      </mc:AlternateContent>
    </w:r>
  </w:p>
</w:hdr>
</file>

<file path=word/header7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50" behindDoc="1" locked="0" layoutInCell="1" allowOverlap="1">
              <wp:simplePos x="0" y="0"/>
              <wp:positionH relativeFrom="page">
                <wp:posOffset>138430</wp:posOffset>
              </wp:positionH>
              <wp:positionV relativeFrom="page">
                <wp:posOffset>406400</wp:posOffset>
              </wp:positionV>
              <wp:extent cx="518160" cy="82550"/>
              <wp:wrapNone/>
              <wp:docPr id="3353" name="Shape 3353"/>
              <a:graphic xmlns:a="http://schemas.openxmlformats.org/drawingml/2006/main">
                <a:graphicData uri="http://schemas.microsoft.com/office/word/2010/wordprocessingShape">
                  <wps:wsp>
                    <wps:cNvSpPr txBox="1"/>
                    <wps:spPr>
                      <a:xfrm>
                        <a:ext cx="51816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wps:txbx>
                    <wps:bodyPr wrap="none" lIns="0" tIns="0" rIns="0" bIns="0">
                      <a:spAutoFit/>
                    </wps:bodyPr>
                  </wps:wsp>
                </a:graphicData>
              </a:graphic>
            </wp:anchor>
          </w:drawing>
        </mc:Choice>
        <mc:Fallback>
          <w:pict>
            <v:shape id="_x0000_s4379" type="#_x0000_t202" style="position:absolute;margin-left:10.9pt;margin-top:32.pt;width:40.799999999999997pt;height:6.5pt;z-index:-1887415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135255</wp:posOffset>
              </wp:positionH>
              <wp:positionV relativeFrom="page">
                <wp:posOffset>540385</wp:posOffset>
              </wp:positionV>
              <wp:extent cx="4020185" cy="0"/>
              <wp:wrapNone/>
              <wp:docPr id="3355" name="Shape 335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65pt;margin-top:42.549999999999997pt;width:316.55000000000001pt;height:0;z-index:-251658240;mso-position-horizontal-relative:page;mso-position-vertical-relative:page">
              <v:stroke weight="1.pt"/>
            </v:shape>
          </w:pict>
        </mc:Fallback>
      </mc:AlternateContent>
    </w:r>
  </w:p>
</w:hdr>
</file>

<file path=word/header7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54" behindDoc="1" locked="0" layoutInCell="1" allowOverlap="1">
              <wp:simplePos x="0" y="0"/>
              <wp:positionH relativeFrom="page">
                <wp:posOffset>138430</wp:posOffset>
              </wp:positionH>
              <wp:positionV relativeFrom="page">
                <wp:posOffset>406400</wp:posOffset>
              </wp:positionV>
              <wp:extent cx="518160" cy="82550"/>
              <wp:wrapNone/>
              <wp:docPr id="3358" name="Shape 3358"/>
              <a:graphic xmlns:a="http://schemas.openxmlformats.org/drawingml/2006/main">
                <a:graphicData uri="http://schemas.microsoft.com/office/word/2010/wordprocessingShape">
                  <wps:wsp>
                    <wps:cNvSpPr txBox="1"/>
                    <wps:spPr>
                      <a:xfrm>
                        <a:ext cx="51816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wps:txbx>
                    <wps:bodyPr wrap="none" lIns="0" tIns="0" rIns="0" bIns="0">
                      <a:spAutoFit/>
                    </wps:bodyPr>
                  </wps:wsp>
                </a:graphicData>
              </a:graphic>
            </wp:anchor>
          </w:drawing>
        </mc:Choice>
        <mc:Fallback>
          <w:pict>
            <v:shape id="_x0000_s4384" type="#_x0000_t202" style="position:absolute;margin-left:10.9pt;margin-top:32.pt;width:40.799999999999997pt;height:6.5pt;z-index:-1887414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135255</wp:posOffset>
              </wp:positionH>
              <wp:positionV relativeFrom="page">
                <wp:posOffset>540385</wp:posOffset>
              </wp:positionV>
              <wp:extent cx="4020185" cy="0"/>
              <wp:wrapNone/>
              <wp:docPr id="3360" name="Shape 336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65pt;margin-top:42.549999999999997pt;width:316.55000000000001pt;height:0;z-index:-251658240;mso-position-horizontal-relative:page;mso-position-vertical-relative:page">
              <v:stroke weight="1.pt"/>
            </v:shape>
          </w:pict>
        </mc:Fallback>
      </mc:AlternateContent>
    </w:r>
  </w:p>
</w:hdr>
</file>

<file path=word/header7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58" behindDoc="1" locked="0" layoutInCell="1" allowOverlap="1">
              <wp:simplePos x="0" y="0"/>
              <wp:positionH relativeFrom="page">
                <wp:posOffset>3271520</wp:posOffset>
              </wp:positionH>
              <wp:positionV relativeFrom="page">
                <wp:posOffset>397510</wp:posOffset>
              </wp:positionV>
              <wp:extent cx="905510" cy="85090"/>
              <wp:wrapNone/>
              <wp:docPr id="3363" name="Shape 3363"/>
              <a:graphic xmlns:a="http://schemas.openxmlformats.org/drawingml/2006/main">
                <a:graphicData uri="http://schemas.microsoft.com/office/word/2010/wordprocessingShape">
                  <wps:wsp>
                    <wps:cNvSpPr txBox="1"/>
                    <wps:spPr>
                      <a:xfrm>
                        <a:ext cx="90551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USKRSNUĆEVrOPUA</w:t>
                          </w:r>
                        </w:p>
                      </w:txbxContent>
                    </wps:txbx>
                    <wps:bodyPr wrap="none" lIns="0" tIns="0" rIns="0" bIns="0">
                      <a:spAutoFit/>
                    </wps:bodyPr>
                  </wps:wsp>
                </a:graphicData>
              </a:graphic>
            </wp:anchor>
          </w:drawing>
        </mc:Choice>
        <mc:Fallback>
          <w:pict>
            <v:shape id="_x0000_s4389" type="#_x0000_t202" style="position:absolute;margin-left:257.60000000000002pt;margin-top:31.300000000000001pt;width:71.299999999999997pt;height:6.7000000000000002pt;z-index:-1887414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USKRSNUĆEVrOPUA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514985</wp:posOffset>
              </wp:positionV>
              <wp:extent cx="4017010" cy="0"/>
              <wp:wrapNone/>
              <wp:docPr id="3365" name="Shape 336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5pt;margin-top:40.549999999999997pt;width:316.30000000000001pt;height:0;z-index:-251658240;mso-position-horizontal-relative:page;mso-position-vertical-relative:page">
              <v:stroke weight="1.pt"/>
            </v:shape>
          </w:pict>
        </mc:Fallback>
      </mc:AlternateContent>
    </w:r>
  </w:p>
</w:hdr>
</file>

<file path=word/header7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60" behindDoc="1" locked="0" layoutInCell="1" allowOverlap="1">
              <wp:simplePos x="0" y="0"/>
              <wp:positionH relativeFrom="page">
                <wp:posOffset>3271520</wp:posOffset>
              </wp:positionH>
              <wp:positionV relativeFrom="page">
                <wp:posOffset>397510</wp:posOffset>
              </wp:positionV>
              <wp:extent cx="905510" cy="85090"/>
              <wp:wrapNone/>
              <wp:docPr id="3366" name="Shape 3366"/>
              <a:graphic xmlns:a="http://schemas.openxmlformats.org/drawingml/2006/main">
                <a:graphicData uri="http://schemas.microsoft.com/office/word/2010/wordprocessingShape">
                  <wps:wsp>
                    <wps:cNvSpPr txBox="1"/>
                    <wps:spPr>
                      <a:xfrm>
                        <a:ext cx="90551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USKRSNUĆEVrOPUA</w:t>
                          </w:r>
                        </w:p>
                      </w:txbxContent>
                    </wps:txbx>
                    <wps:bodyPr wrap="none" lIns="0" tIns="0" rIns="0" bIns="0">
                      <a:spAutoFit/>
                    </wps:bodyPr>
                  </wps:wsp>
                </a:graphicData>
              </a:graphic>
            </wp:anchor>
          </w:drawing>
        </mc:Choice>
        <mc:Fallback>
          <w:pict>
            <v:shape id="_x0000_s4392" type="#_x0000_t202" style="position:absolute;margin-left:257.60000000000002pt;margin-top:31.300000000000001pt;width:71.299999999999997pt;height:6.7000000000000002pt;z-index:-1887414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USKRSNUĆEVrOPUA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156845</wp:posOffset>
              </wp:positionH>
              <wp:positionV relativeFrom="page">
                <wp:posOffset>514985</wp:posOffset>
              </wp:positionV>
              <wp:extent cx="4017010" cy="0"/>
              <wp:wrapNone/>
              <wp:docPr id="3368" name="Shape 3368"/>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35pt;margin-top:40.549999999999997pt;width:316.30000000000001pt;height:0;z-index:-251658240;mso-position-horizontal-relative:page;mso-position-vertical-relative:page">
              <v:stroke weight="1.pt"/>
            </v:shape>
          </w:pict>
        </mc:Fallback>
      </mc:AlternateContent>
    </w:r>
  </w:p>
</w:hdr>
</file>

<file path=word/header7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62" behindDoc="1" locked="0" layoutInCell="1" allowOverlap="1">
              <wp:simplePos x="0" y="0"/>
              <wp:positionH relativeFrom="page">
                <wp:posOffset>3889375</wp:posOffset>
              </wp:positionH>
              <wp:positionV relativeFrom="page">
                <wp:posOffset>418465</wp:posOffset>
              </wp:positionV>
              <wp:extent cx="267970" cy="60960"/>
              <wp:wrapNone/>
              <wp:docPr id="3371" name="Shape 3371"/>
              <a:graphic xmlns:a="http://schemas.openxmlformats.org/drawingml/2006/main">
                <a:graphicData uri="http://schemas.microsoft.com/office/word/2010/wordprocessingShape">
                  <wps:wsp>
                    <wps:cNvSpPr txBox="1"/>
                    <wps:spPr>
                      <a:xfrm>
                        <a:ext cx="26797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VJERA</w:t>
                          </w:r>
                        </w:p>
                      </w:txbxContent>
                    </wps:txbx>
                    <wps:bodyPr wrap="none" lIns="0" tIns="0" rIns="0" bIns="0">
                      <a:spAutoFit/>
                    </wps:bodyPr>
                  </wps:wsp>
                </a:graphicData>
              </a:graphic>
            </wp:anchor>
          </w:drawing>
        </mc:Choice>
        <mc:Fallback>
          <w:pict>
            <v:shape id="_x0000_s4397" type="#_x0000_t202" style="position:absolute;margin-left:306.25pt;margin-top:32.950000000000003pt;width:21.100000000000001pt;height:4.7999999999999998pt;z-index:-1887414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143510</wp:posOffset>
              </wp:positionH>
              <wp:positionV relativeFrom="page">
                <wp:posOffset>521970</wp:posOffset>
              </wp:positionV>
              <wp:extent cx="4014470" cy="0"/>
              <wp:wrapNone/>
              <wp:docPr id="3373" name="Shape 337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300000000000001pt;margin-top:41.100000000000001pt;width:316.10000000000002pt;height:0;z-index:-251658240;mso-position-horizontal-relative:page;mso-position-vertical-relative:page">
              <v:stroke weight="1.pt"/>
            </v:shape>
          </w:pict>
        </mc:Fallback>
      </mc:AlternateContent>
    </w:r>
  </w:p>
</w:hdr>
</file>

<file path=word/header7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66" behindDoc="1" locked="0" layoutInCell="1" allowOverlap="1">
              <wp:simplePos x="0" y="0"/>
              <wp:positionH relativeFrom="page">
                <wp:posOffset>146685</wp:posOffset>
              </wp:positionH>
              <wp:positionV relativeFrom="page">
                <wp:posOffset>418465</wp:posOffset>
              </wp:positionV>
              <wp:extent cx="274320" cy="64135"/>
              <wp:wrapNone/>
              <wp:docPr id="3376" name="Shape 3376"/>
              <a:graphic xmlns:a="http://schemas.openxmlformats.org/drawingml/2006/main">
                <a:graphicData uri="http://schemas.microsoft.com/office/word/2010/wordprocessingShape">
                  <wps:wsp>
                    <wps:cNvSpPr txBox="1"/>
                    <wps:spPr>
                      <a:xfrm>
                        <a:ext cx="27432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VJERA</w:t>
                          </w:r>
                        </w:p>
                      </w:txbxContent>
                    </wps:txbx>
                    <wps:bodyPr wrap="none" lIns="0" tIns="0" rIns="0" bIns="0">
                      <a:spAutoFit/>
                    </wps:bodyPr>
                  </wps:wsp>
                </a:graphicData>
              </a:graphic>
            </wp:anchor>
          </w:drawing>
        </mc:Choice>
        <mc:Fallback>
          <w:pict>
            <v:shape id="_x0000_s4402" type="#_x0000_t202" style="position:absolute;margin-left:11.550000000000001pt;margin-top:32.950000000000003pt;width:21.600000000000001pt;height:5.0499999999999998pt;z-index:-1887414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509905</wp:posOffset>
              </wp:positionV>
              <wp:extent cx="4008120" cy="0"/>
              <wp:wrapNone/>
              <wp:docPr id="3378" name="Shape 3378"/>
              <a:graphic xmlns:a="http://schemas.openxmlformats.org/drawingml/2006/main">
                <a:graphicData uri="http://schemas.microsoft.com/office/word/2010/wordprocessingShape">
                  <wps:wsp>
                    <wps:cNvCnPr/>
                    <wps:spPr>
                      <a:xfrm>
                        <a:ext cx="4008120" cy="0"/>
                      </a:xfrm>
                      <a:prstGeom prst="straightConnector1"/>
                      <a:ln w="12700">
                        <a:solidFill/>
                      </a:ln>
                    </wps:spPr>
                    <wps:bodyPr/>
                  </wps:wsp>
                </a:graphicData>
              </a:graphic>
            </wp:anchor>
          </w:drawing>
        </mc:Choice>
        <mc:Fallback>
          <w:pict>
            <v:shape o:spt="32" o:oned="true" path="m,l21600,21600e" style="position:absolute;margin-left:11.800000000000001pt;margin-top:40.149999999999999pt;width:315.60000000000002pt;height:0;z-index:-251658240;mso-position-horizontal-relative:page;mso-position-vertical-relative:page">
              <v:stroke weight="1.pt"/>
            </v:shape>
          </w:pict>
        </mc:Fallback>
      </mc:AlternateContent>
    </w:r>
  </w:p>
</w:hdr>
</file>

<file path=word/header7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72" behindDoc="1" locked="0" layoutInCell="1" allowOverlap="1">
              <wp:simplePos x="0" y="0"/>
              <wp:positionH relativeFrom="page">
                <wp:posOffset>151130</wp:posOffset>
              </wp:positionH>
              <wp:positionV relativeFrom="page">
                <wp:posOffset>418465</wp:posOffset>
              </wp:positionV>
              <wp:extent cx="753110" cy="64135"/>
              <wp:wrapNone/>
              <wp:docPr id="3383" name="Shape 3383"/>
              <a:graphic xmlns:a="http://schemas.openxmlformats.org/drawingml/2006/main">
                <a:graphicData uri="http://schemas.microsoft.com/office/word/2010/wordprocessingShape">
                  <wps:wsp>
                    <wps:cNvSpPr txBox="1"/>
                    <wps:spPr>
                      <a:xfrm>
                        <a:ext cx="7531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w:t>
                          </w:r>
                        </w:p>
                      </w:txbxContent>
                    </wps:txbx>
                    <wps:bodyPr wrap="none" lIns="0" tIns="0" rIns="0" bIns="0">
                      <a:spAutoFit/>
                    </wps:bodyPr>
                  </wps:wsp>
                </a:graphicData>
              </a:graphic>
            </wp:anchor>
          </w:drawing>
        </mc:Choice>
        <mc:Fallback>
          <w:pict>
            <v:shape id="_x0000_s4409" type="#_x0000_t202" style="position:absolute;margin-left:11.9pt;margin-top:32.950000000000003pt;width:59.299999999999997pt;height:5.0499999999999998pt;z-index:-18874148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512445</wp:posOffset>
              </wp:positionV>
              <wp:extent cx="4011295" cy="0"/>
              <wp:wrapNone/>
              <wp:docPr id="3385" name="Shape 3385"/>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65pt;margin-top:40.350000000000001pt;width:315.85000000000002pt;height:0;z-index:-251658240;mso-position-horizontal-relative:page;mso-position-vertical-relative:page">
              <v:stroke weight="1.pt"/>
            </v:shape>
          </w:pict>
        </mc:Fallback>
      </mc:AlternateContent>
    </w:r>
  </w:p>
</w:hdr>
</file>

<file path=word/header7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76" behindDoc="1" locked="0" layoutInCell="1" allowOverlap="1">
              <wp:simplePos x="0" y="0"/>
              <wp:positionH relativeFrom="page">
                <wp:posOffset>151130</wp:posOffset>
              </wp:positionH>
              <wp:positionV relativeFrom="page">
                <wp:posOffset>418465</wp:posOffset>
              </wp:positionV>
              <wp:extent cx="753110" cy="64135"/>
              <wp:wrapNone/>
              <wp:docPr id="3388" name="Shape 3388"/>
              <a:graphic xmlns:a="http://schemas.openxmlformats.org/drawingml/2006/main">
                <a:graphicData uri="http://schemas.microsoft.com/office/word/2010/wordprocessingShape">
                  <wps:wsp>
                    <wps:cNvSpPr txBox="1"/>
                    <wps:spPr>
                      <a:xfrm>
                        <a:ext cx="7531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w:t>
                          </w:r>
                        </w:p>
                      </w:txbxContent>
                    </wps:txbx>
                    <wps:bodyPr wrap="none" lIns="0" tIns="0" rIns="0" bIns="0">
                      <a:spAutoFit/>
                    </wps:bodyPr>
                  </wps:wsp>
                </a:graphicData>
              </a:graphic>
            </wp:anchor>
          </w:drawing>
        </mc:Choice>
        <mc:Fallback>
          <w:pict>
            <v:shape id="_x0000_s4414" type="#_x0000_t202" style="position:absolute;margin-left:11.9pt;margin-top:32.950000000000003pt;width:59.299999999999997pt;height:5.0499999999999998pt;z-index:-18874147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512445</wp:posOffset>
              </wp:positionV>
              <wp:extent cx="4011295" cy="0"/>
              <wp:wrapNone/>
              <wp:docPr id="3390" name="Shape 3390"/>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65pt;margin-top:40.350000000000001pt;width:315.85000000000002pt;height:0;z-index:-251658240;mso-position-horizontal-relative:page;mso-position-vertical-relative:page">
              <v:stroke weight="1.pt"/>
            </v:shape>
          </w:pict>
        </mc:Fallback>
      </mc:AlternateContent>
    </w:r>
  </w:p>
</w:hdr>
</file>

<file path=word/header7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80" behindDoc="1" locked="0" layoutInCell="1" allowOverlap="1">
              <wp:simplePos x="0" y="0"/>
              <wp:positionH relativeFrom="page">
                <wp:posOffset>3412490</wp:posOffset>
              </wp:positionH>
              <wp:positionV relativeFrom="page">
                <wp:posOffset>415290</wp:posOffset>
              </wp:positionV>
              <wp:extent cx="755650" cy="67310"/>
              <wp:wrapNone/>
              <wp:docPr id="3393" name="Shape 3393"/>
              <a:graphic xmlns:a="http://schemas.openxmlformats.org/drawingml/2006/main">
                <a:graphicData uri="http://schemas.microsoft.com/office/word/2010/wordprocessingShape">
                  <wps:wsp>
                    <wps:cNvSpPr txBox="1"/>
                    <wps:spPr>
                      <a:xfrm>
                        <a:ext cx="7556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w:t>
                          </w:r>
                        </w:p>
                      </w:txbxContent>
                    </wps:txbx>
                    <wps:bodyPr wrap="none" lIns="0" tIns="0" rIns="0" bIns="0">
                      <a:spAutoFit/>
                    </wps:bodyPr>
                  </wps:wsp>
                </a:graphicData>
              </a:graphic>
            </wp:anchor>
          </w:drawing>
        </mc:Choice>
        <mc:Fallback>
          <w:pict>
            <v:shape id="_x0000_s4419" type="#_x0000_t202" style="position:absolute;margin-left:268.69999999999999pt;margin-top:32.700000000000003pt;width:59.5pt;height:5.2999999999999998pt;z-index:-1887414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518795</wp:posOffset>
              </wp:positionV>
              <wp:extent cx="4023360" cy="0"/>
              <wp:wrapNone/>
              <wp:docPr id="3395" name="Shape 339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449999999999999pt;margin-top:40.850000000000001pt;width:316.80000000000001pt;height:0;z-index:-251658240;mso-position-horizontal-relative:page;mso-position-vertical-relative:page">
              <v:stroke weight="1.pt"/>
            </v:shape>
          </w:pict>
        </mc:Fallback>
      </mc:AlternateContent>
    </w:r>
  </w:p>
</w:hdr>
</file>

<file path=word/header7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84" behindDoc="1" locked="0" layoutInCell="1" allowOverlap="1">
              <wp:simplePos x="0" y="0"/>
              <wp:positionH relativeFrom="page">
                <wp:posOffset>157480</wp:posOffset>
              </wp:positionH>
              <wp:positionV relativeFrom="page">
                <wp:posOffset>406400</wp:posOffset>
              </wp:positionV>
              <wp:extent cx="533400" cy="76200"/>
              <wp:wrapNone/>
              <wp:docPr id="3398" name="Shape 3398"/>
              <a:graphic xmlns:a="http://schemas.openxmlformats.org/drawingml/2006/main">
                <a:graphicData uri="http://schemas.microsoft.com/office/word/2010/wordprocessingShape">
                  <wps:wsp>
                    <wps:cNvSpPr txBox="1"/>
                    <wps:spPr>
                      <a:xfrm>
                        <a:ext cx="533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w:t>
                          </w:r>
                        </w:p>
                      </w:txbxContent>
                    </wps:txbx>
                    <wps:bodyPr wrap="none" lIns="0" tIns="0" rIns="0" bIns="0">
                      <a:spAutoFit/>
                    </wps:bodyPr>
                  </wps:wsp>
                </a:graphicData>
              </a:graphic>
            </wp:anchor>
          </w:drawing>
        </mc:Choice>
        <mc:Fallback>
          <w:pict>
            <v:shape id="_x0000_s4424" type="#_x0000_t202" style="position:absolute;margin-left:12.4pt;margin-top:32.pt;width:42.pt;height:6.pt;z-index:-1887414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517525</wp:posOffset>
              </wp:positionV>
              <wp:extent cx="4017010" cy="0"/>
              <wp:wrapNone/>
              <wp:docPr id="3400" name="Shape 340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5pt;margin-top:40.75pt;width:316.30000000000001pt;height:0;z-index:-251658240;mso-position-horizontal-relative:page;mso-position-vertical-relative:page">
              <v:stroke weight="1.pt"/>
            </v:shape>
          </w:pict>
        </mc:Fallback>
      </mc:AlternateContent>
    </w:r>
  </w:p>
</w:hdr>
</file>

<file path=word/header7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88" behindDoc="1" locked="0" layoutInCell="1" allowOverlap="1">
              <wp:simplePos x="0" y="0"/>
              <wp:positionH relativeFrom="page">
                <wp:posOffset>157480</wp:posOffset>
              </wp:positionH>
              <wp:positionV relativeFrom="page">
                <wp:posOffset>406400</wp:posOffset>
              </wp:positionV>
              <wp:extent cx="533400" cy="76200"/>
              <wp:wrapNone/>
              <wp:docPr id="3403" name="Shape 3403"/>
              <a:graphic xmlns:a="http://schemas.openxmlformats.org/drawingml/2006/main">
                <a:graphicData uri="http://schemas.microsoft.com/office/word/2010/wordprocessingShape">
                  <wps:wsp>
                    <wps:cNvSpPr txBox="1"/>
                    <wps:spPr>
                      <a:xfrm>
                        <a:ext cx="53340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w:t>
                          </w:r>
                        </w:p>
                      </w:txbxContent>
                    </wps:txbx>
                    <wps:bodyPr wrap="none" lIns="0" tIns="0" rIns="0" bIns="0">
                      <a:spAutoFit/>
                    </wps:bodyPr>
                  </wps:wsp>
                </a:graphicData>
              </a:graphic>
            </wp:anchor>
          </w:drawing>
        </mc:Choice>
        <mc:Fallback>
          <w:pict>
            <v:shape id="_x0000_s4429" type="#_x0000_t202" style="position:absolute;margin-left:12.4pt;margin-top:32.pt;width:42.pt;height:6.pt;z-index:-1887414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517525</wp:posOffset>
              </wp:positionV>
              <wp:extent cx="4017010" cy="0"/>
              <wp:wrapNone/>
              <wp:docPr id="3405" name="Shape 340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5pt;margin-top:40.75pt;width:316.30000000000001pt;height:0;z-index:-251658240;mso-position-horizontal-relative:page;mso-position-vertical-relative:page">
              <v:stroke weight="1.pt"/>
            </v:shape>
          </w:pict>
        </mc:Fallback>
      </mc:AlternateContent>
    </w:r>
  </w:p>
</w:hdr>
</file>

<file path=word/header7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92" behindDoc="1" locked="0" layoutInCell="1" allowOverlap="1">
              <wp:simplePos x="0" y="0"/>
              <wp:positionH relativeFrom="page">
                <wp:posOffset>2845435</wp:posOffset>
              </wp:positionH>
              <wp:positionV relativeFrom="page">
                <wp:posOffset>400050</wp:posOffset>
              </wp:positionV>
              <wp:extent cx="1313815" cy="82550"/>
              <wp:wrapNone/>
              <wp:docPr id="3408" name="Shape 3408"/>
              <a:graphic xmlns:a="http://schemas.openxmlformats.org/drawingml/2006/main">
                <a:graphicData uri="http://schemas.microsoft.com/office/word/2010/wordprocessingShape">
                  <wps:wsp>
                    <wps:cNvSpPr txBox="1"/>
                    <wps:spPr>
                      <a:xfrm>
                        <a:ext cx="131381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VJEROISPOVIJEST,'VLASNIŠTVO</w:t>
                          </w:r>
                        </w:p>
                      </w:txbxContent>
                    </wps:txbx>
                    <wps:bodyPr wrap="none" lIns="0" tIns="0" rIns="0" bIns="0">
                      <a:spAutoFit/>
                    </wps:bodyPr>
                  </wps:wsp>
                </a:graphicData>
              </a:graphic>
            </wp:anchor>
          </w:drawing>
        </mc:Choice>
        <mc:Fallback>
          <w:pict>
            <v:shape id="_x0000_s4434" type="#_x0000_t202" style="position:absolute;margin-left:224.05000000000001pt;margin-top:31.5pt;width:103.45pt;height:6.5pt;z-index:-1887414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VJEROISPOVIJEST,'VLASNIŠTVO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520700</wp:posOffset>
              </wp:positionV>
              <wp:extent cx="4011295" cy="0"/>
              <wp:wrapNone/>
              <wp:docPr id="3410" name="Shape 3410"/>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65pt;margin-top:41.pt;width:315.85000000000002pt;height:0;z-index:-251658240;mso-position-horizontal-relative:page;mso-position-vertical-relative:page">
              <v:stroke weight="1.pt"/>
            </v:shape>
          </w:pict>
        </mc:Fallback>
      </mc:AlternateContent>
    </w:r>
  </w:p>
</w:hdr>
</file>

<file path=word/header7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296" behindDoc="1" locked="0" layoutInCell="1" allowOverlap="1">
              <wp:simplePos x="0" y="0"/>
              <wp:positionH relativeFrom="page">
                <wp:posOffset>149860</wp:posOffset>
              </wp:positionH>
              <wp:positionV relativeFrom="page">
                <wp:posOffset>400050</wp:posOffset>
              </wp:positionV>
              <wp:extent cx="944880" cy="82550"/>
              <wp:wrapNone/>
              <wp:docPr id="3413" name="Shape 3413"/>
              <a:graphic xmlns:a="http://schemas.openxmlformats.org/drawingml/2006/main">
                <a:graphicData uri="http://schemas.microsoft.com/office/word/2010/wordprocessingShape">
                  <wps:wsp>
                    <wps:cNvSpPr txBox="1"/>
                    <wps:spPr>
                      <a:xfrm>
                        <a:ext cx="94488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Vl-ASNIŠTVO/VRIJEME</w:t>
                          </w:r>
                        </w:p>
                      </w:txbxContent>
                    </wps:txbx>
                    <wps:bodyPr wrap="none" lIns="0" tIns="0" rIns="0" bIns="0">
                      <a:spAutoFit/>
                    </wps:bodyPr>
                  </wps:wsp>
                </a:graphicData>
              </a:graphic>
            </wp:anchor>
          </w:drawing>
        </mc:Choice>
        <mc:Fallback>
          <w:pict>
            <v:shape id="_x0000_s4439" type="#_x0000_t202" style="position:absolute;margin-left:11.800000000000001pt;margin-top:31.5pt;width:74.400000000000006pt;height:6.5pt;z-index:-1887414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Vl-ASNIŠTVO/VRIJEME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509270</wp:posOffset>
              </wp:positionV>
              <wp:extent cx="4017010" cy="0"/>
              <wp:wrapNone/>
              <wp:docPr id="3415" name="Shape 341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0.100000000000001pt;width:316.30000000000001pt;height:0;z-index:-251658240;mso-position-horizontal-relative:page;mso-position-vertical-relative:page">
              <v:stroke weight="1.pt"/>
            </v:shape>
          </w:pict>
        </mc:Fallback>
      </mc:AlternateContent>
    </w:r>
  </w:p>
</w:hdr>
</file>

<file path=word/header7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00" behindDoc="1" locked="0" layoutInCell="1" allowOverlap="1">
              <wp:simplePos x="0" y="0"/>
              <wp:positionH relativeFrom="page">
                <wp:posOffset>149860</wp:posOffset>
              </wp:positionH>
              <wp:positionV relativeFrom="page">
                <wp:posOffset>400050</wp:posOffset>
              </wp:positionV>
              <wp:extent cx="944880" cy="82550"/>
              <wp:wrapNone/>
              <wp:docPr id="3418" name="Shape 3418"/>
              <a:graphic xmlns:a="http://schemas.openxmlformats.org/drawingml/2006/main">
                <a:graphicData uri="http://schemas.microsoft.com/office/word/2010/wordprocessingShape">
                  <wps:wsp>
                    <wps:cNvSpPr txBox="1"/>
                    <wps:spPr>
                      <a:xfrm>
                        <a:ext cx="94488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Vl-ASNIŠTVO/VRIJEME</w:t>
                          </w:r>
                        </w:p>
                      </w:txbxContent>
                    </wps:txbx>
                    <wps:bodyPr wrap="none" lIns="0" tIns="0" rIns="0" bIns="0">
                      <a:spAutoFit/>
                    </wps:bodyPr>
                  </wps:wsp>
                </a:graphicData>
              </a:graphic>
            </wp:anchor>
          </w:drawing>
        </mc:Choice>
        <mc:Fallback>
          <w:pict>
            <v:shape id="_x0000_s4444" type="#_x0000_t202" style="position:absolute;margin-left:11.800000000000001pt;margin-top:31.5pt;width:74.400000000000006pt;height:6.5pt;z-index:-1887414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Vl-ASNIŠTVO/VRIJEME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509270</wp:posOffset>
              </wp:positionV>
              <wp:extent cx="4017010" cy="0"/>
              <wp:wrapNone/>
              <wp:docPr id="3420" name="Shape 342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0.100000000000001pt;width:316.30000000000001pt;height:0;z-index:-251658240;mso-position-horizontal-relative:page;mso-position-vertical-relative:page">
              <v:stroke weight="1.pt"/>
            </v:shape>
          </w:pict>
        </mc:Fallback>
      </mc:AlternateContent>
    </w:r>
  </w:p>
</w:hdr>
</file>

<file path=word/header7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04" behindDoc="1" locked="0" layoutInCell="1" allowOverlap="1">
              <wp:simplePos x="0" y="0"/>
              <wp:positionH relativeFrom="page">
                <wp:posOffset>3629025</wp:posOffset>
              </wp:positionH>
              <wp:positionV relativeFrom="page">
                <wp:posOffset>403225</wp:posOffset>
              </wp:positionV>
              <wp:extent cx="536575" cy="79375"/>
              <wp:wrapNone/>
              <wp:docPr id="3423" name="Shape 3423"/>
              <a:graphic xmlns:a="http://schemas.openxmlformats.org/drawingml/2006/main">
                <a:graphicData uri="http://schemas.microsoft.com/office/word/2010/wordprocessingShape">
                  <wps:wsp>
                    <wps:cNvSpPr txBox="1"/>
                    <wps:spPr>
                      <a:xfrm>
                        <a:ext cx="53657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w:t>
                          </w:r>
                        </w:p>
                      </w:txbxContent>
                    </wps:txbx>
                    <wps:bodyPr wrap="none" lIns="0" tIns="0" rIns="0" bIns="0">
                      <a:spAutoFit/>
                    </wps:bodyPr>
                  </wps:wsp>
                </a:graphicData>
              </a:graphic>
            </wp:anchor>
          </w:drawing>
        </mc:Choice>
        <mc:Fallback>
          <w:pict>
            <v:shape id="_x0000_s4449" type="#_x0000_t202" style="position:absolute;margin-left:285.75pt;margin-top:31.75pt;width:42.25pt;height:6.25pt;z-index:-1887414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VLASNIŠTVO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517525</wp:posOffset>
              </wp:positionV>
              <wp:extent cx="4011295" cy="0"/>
              <wp:wrapNone/>
              <wp:docPr id="3425" name="Shape 3425"/>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15pt;margin-top:40.75pt;width:315.85000000000002pt;height:0;z-index:-251658240;mso-position-horizontal-relative:page;mso-position-vertical-relative:page">
              <v:stroke weight="1.pt"/>
            </v:shape>
          </w:pict>
        </mc:Fallback>
      </mc:AlternateContent>
    </w:r>
  </w:p>
</w:hdr>
</file>

<file path=word/header7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08" behindDoc="1" locked="0" layoutInCell="1" allowOverlap="1">
              <wp:simplePos x="0" y="0"/>
              <wp:positionH relativeFrom="page">
                <wp:posOffset>3789045</wp:posOffset>
              </wp:positionH>
              <wp:positionV relativeFrom="page">
                <wp:posOffset>418465</wp:posOffset>
              </wp:positionV>
              <wp:extent cx="377825" cy="64135"/>
              <wp:wrapNone/>
              <wp:docPr id="3428" name="Shape 3428"/>
              <a:graphic xmlns:a="http://schemas.openxmlformats.org/drawingml/2006/main">
                <a:graphicData uri="http://schemas.microsoft.com/office/word/2010/wordprocessingShape">
                  <wps:wsp>
                    <wps:cNvSpPr txBox="1"/>
                    <wps:spPr>
                      <a:xfrm>
                        <a:ext cx="3778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wps:txbx>
                    <wps:bodyPr wrap="none" lIns="0" tIns="0" rIns="0" bIns="0">
                      <a:spAutoFit/>
                    </wps:bodyPr>
                  </wps:wsp>
                </a:graphicData>
              </a:graphic>
            </wp:anchor>
          </w:drawing>
        </mc:Choice>
        <mc:Fallback>
          <w:pict>
            <v:shape id="_x0000_s4454" type="#_x0000_t202" style="position:absolute;margin-left:298.35000000000002pt;margin-top:32.950000000000003pt;width:29.75pt;height:5.0499999999999998pt;z-index:-1887414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521970</wp:posOffset>
              </wp:positionV>
              <wp:extent cx="4014470" cy="0"/>
              <wp:wrapNone/>
              <wp:docPr id="3430" name="Shape 3430"/>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550000000000001pt;margin-top:41.100000000000001pt;width:316.10000000000002pt;height:0;z-index:-251658240;mso-position-horizontal-relative:page;mso-position-vertical-relative:page">
              <v:stroke weight="1.pt"/>
            </v:shape>
          </w:pict>
        </mc:Fallback>
      </mc:AlternateContent>
    </w:r>
  </w:p>
</w:hdr>
</file>

<file path=word/header7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10" behindDoc="1" locked="0" layoutInCell="1" allowOverlap="1">
              <wp:simplePos x="0" y="0"/>
              <wp:positionH relativeFrom="page">
                <wp:posOffset>3789045</wp:posOffset>
              </wp:positionH>
              <wp:positionV relativeFrom="page">
                <wp:posOffset>418465</wp:posOffset>
              </wp:positionV>
              <wp:extent cx="377825" cy="64135"/>
              <wp:wrapNone/>
              <wp:docPr id="3431" name="Shape 3431"/>
              <a:graphic xmlns:a="http://schemas.openxmlformats.org/drawingml/2006/main">
                <a:graphicData uri="http://schemas.microsoft.com/office/word/2010/wordprocessingShape">
                  <wps:wsp>
                    <wps:cNvSpPr txBox="1"/>
                    <wps:spPr>
                      <a:xfrm>
                        <a:ext cx="37782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wps:txbx>
                    <wps:bodyPr wrap="none" lIns="0" tIns="0" rIns="0" bIns="0">
                      <a:spAutoFit/>
                    </wps:bodyPr>
                  </wps:wsp>
                </a:graphicData>
              </a:graphic>
            </wp:anchor>
          </w:drawing>
        </mc:Choice>
        <mc:Fallback>
          <w:pict>
            <v:shape id="_x0000_s4457" type="#_x0000_t202" style="position:absolute;margin-left:298.35000000000002pt;margin-top:32.950000000000003pt;width:29.75pt;height:5.0499999999999998pt;z-index:-1887414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521970</wp:posOffset>
              </wp:positionV>
              <wp:extent cx="4014470" cy="0"/>
              <wp:wrapNone/>
              <wp:docPr id="3433" name="Shape 343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550000000000001pt;margin-top:41.100000000000001pt;width:316.10000000000002pt;height:0;z-index:-251658240;mso-position-horizontal-relative:page;mso-position-vertical-relative:page">
              <v:stroke weight="1.pt"/>
            </v:shape>
          </w:pict>
        </mc:Fallback>
      </mc:AlternateContent>
    </w:r>
  </w:p>
</w:hdr>
</file>

<file path=word/header7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12" behindDoc="1" locked="0" layoutInCell="1" allowOverlap="1">
              <wp:simplePos x="0" y="0"/>
              <wp:positionH relativeFrom="page">
                <wp:posOffset>151130</wp:posOffset>
              </wp:positionH>
              <wp:positionV relativeFrom="page">
                <wp:posOffset>415290</wp:posOffset>
              </wp:positionV>
              <wp:extent cx="374650" cy="67310"/>
              <wp:wrapNone/>
              <wp:docPr id="3434" name="Shape 3434"/>
              <a:graphic xmlns:a="http://schemas.openxmlformats.org/drawingml/2006/main">
                <a:graphicData uri="http://schemas.microsoft.com/office/word/2010/wordprocessingShape">
                  <wps:wsp>
                    <wps:cNvSpPr txBox="1"/>
                    <wps:spPr>
                      <a:xfrm>
                        <a:ext cx="3746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wps:txbx>
                    <wps:bodyPr wrap="none" lIns="0" tIns="0" rIns="0" bIns="0">
                      <a:spAutoFit/>
                    </wps:bodyPr>
                  </wps:wsp>
                </a:graphicData>
              </a:graphic>
            </wp:anchor>
          </w:drawing>
        </mc:Choice>
        <mc:Fallback>
          <w:pict>
            <v:shape id="_x0000_s4460" type="#_x0000_t202" style="position:absolute;margin-left:11.9pt;margin-top:32.700000000000003pt;width:29.5pt;height:5.2999999999999998pt;z-index:-1887414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511175</wp:posOffset>
              </wp:positionV>
              <wp:extent cx="4014470" cy="0"/>
              <wp:wrapNone/>
              <wp:docPr id="3436" name="Shape 3436"/>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5pt;margin-top:40.25pt;width:316.10000000000002pt;height:0;z-index:-251658240;mso-position-horizontal-relative:page;mso-position-vertical-relative:page">
              <v:stroke weight="1.pt"/>
            </v:shape>
          </w:pict>
        </mc:Fallback>
      </mc:AlternateContent>
    </w:r>
  </w:p>
</w:hdr>
</file>

<file path=word/header7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16" behindDoc="1" locked="0" layoutInCell="1" allowOverlap="1">
              <wp:simplePos x="0" y="0"/>
              <wp:positionH relativeFrom="page">
                <wp:posOffset>151130</wp:posOffset>
              </wp:positionH>
              <wp:positionV relativeFrom="page">
                <wp:posOffset>415290</wp:posOffset>
              </wp:positionV>
              <wp:extent cx="374650" cy="67310"/>
              <wp:wrapNone/>
              <wp:docPr id="3439" name="Shape 3439"/>
              <a:graphic xmlns:a="http://schemas.openxmlformats.org/drawingml/2006/main">
                <a:graphicData uri="http://schemas.microsoft.com/office/word/2010/wordprocessingShape">
                  <wps:wsp>
                    <wps:cNvSpPr txBox="1"/>
                    <wps:spPr>
                      <a:xfrm>
                        <a:ext cx="37465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wps:txbx>
                    <wps:bodyPr wrap="none" lIns="0" tIns="0" rIns="0" bIns="0">
                      <a:spAutoFit/>
                    </wps:bodyPr>
                  </wps:wsp>
                </a:graphicData>
              </a:graphic>
            </wp:anchor>
          </w:drawing>
        </mc:Choice>
        <mc:Fallback>
          <w:pict>
            <v:shape id="_x0000_s4465" type="#_x0000_t202" style="position:absolute;margin-left:11.9pt;margin-top:32.700000000000003pt;width:29.5pt;height:5.2999999999999998pt;z-index:-1887414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511175</wp:posOffset>
              </wp:positionV>
              <wp:extent cx="4014470" cy="0"/>
              <wp:wrapNone/>
              <wp:docPr id="3441" name="Shape 3441"/>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5pt;margin-top:40.25pt;width:316.10000000000002pt;height:0;z-index:-251658240;mso-position-horizontal-relative:page;mso-position-vertical-relative:page">
              <v:stroke weight="1.pt"/>
            </v:shape>
          </w:pict>
        </mc:Fallback>
      </mc:AlternateContent>
    </w:r>
  </w:p>
</w:hdr>
</file>

<file path=word/header7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20" behindDoc="1" locked="0" layoutInCell="1" allowOverlap="1">
              <wp:simplePos x="0" y="0"/>
              <wp:positionH relativeFrom="page">
                <wp:posOffset>3441700</wp:posOffset>
              </wp:positionH>
              <wp:positionV relativeFrom="page">
                <wp:posOffset>427355</wp:posOffset>
              </wp:positionV>
              <wp:extent cx="737870" cy="67310"/>
              <wp:wrapNone/>
              <wp:docPr id="3444" name="Shape 3444"/>
              <a:graphic xmlns:a="http://schemas.openxmlformats.org/drawingml/2006/main">
                <a:graphicData uri="http://schemas.microsoft.com/office/word/2010/wordprocessingShape">
                  <wps:wsp>
                    <wps:cNvSpPr txBox="1"/>
                    <wps:spPr>
                      <a:xfrm>
                        <a:ext cx="7378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VRIJEME/VRLINA</w:t>
                          </w:r>
                        </w:p>
                      </w:txbxContent>
                    </wps:txbx>
                    <wps:bodyPr wrap="none" lIns="0" tIns="0" rIns="0" bIns="0">
                      <a:spAutoFit/>
                    </wps:bodyPr>
                  </wps:wsp>
                </a:graphicData>
              </a:graphic>
            </wp:anchor>
          </w:drawing>
        </mc:Choice>
        <mc:Fallback>
          <w:pict>
            <v:shape id="_x0000_s4470" type="#_x0000_t202" style="position:absolute;margin-left:271.pt;margin-top:33.649999999999999pt;width:58.100000000000001pt;height:5.2999999999999998pt;z-index:-1887414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VRIJEME/VRLINA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526415</wp:posOffset>
              </wp:positionV>
              <wp:extent cx="4020185" cy="0"/>
              <wp:wrapNone/>
              <wp:docPr id="3446" name="Shape 3446"/>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41.450000000000003pt;width:316.55000000000001pt;height:0;z-index:-251658240;mso-position-horizontal-relative:page;mso-position-vertical-relative:page">
              <v:stroke weight="1.pt"/>
            </v:shape>
          </w:pict>
        </mc:Fallback>
      </mc:AlternateContent>
    </w:r>
  </w:p>
</w:hdr>
</file>

<file path=word/header7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22" behindDoc="1" locked="0" layoutInCell="1" allowOverlap="1">
              <wp:simplePos x="0" y="0"/>
              <wp:positionH relativeFrom="page">
                <wp:posOffset>3441700</wp:posOffset>
              </wp:positionH>
              <wp:positionV relativeFrom="page">
                <wp:posOffset>427355</wp:posOffset>
              </wp:positionV>
              <wp:extent cx="737870" cy="67310"/>
              <wp:wrapNone/>
              <wp:docPr id="3447" name="Shape 3447"/>
              <a:graphic xmlns:a="http://schemas.openxmlformats.org/drawingml/2006/main">
                <a:graphicData uri="http://schemas.microsoft.com/office/word/2010/wordprocessingShape">
                  <wps:wsp>
                    <wps:cNvSpPr txBox="1"/>
                    <wps:spPr>
                      <a:xfrm>
                        <a:ext cx="73787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VRIJEME/VRLINA</w:t>
                          </w:r>
                        </w:p>
                      </w:txbxContent>
                    </wps:txbx>
                    <wps:bodyPr wrap="none" lIns="0" tIns="0" rIns="0" bIns="0">
                      <a:spAutoFit/>
                    </wps:bodyPr>
                  </wps:wsp>
                </a:graphicData>
              </a:graphic>
            </wp:anchor>
          </w:drawing>
        </mc:Choice>
        <mc:Fallback>
          <w:pict>
            <v:shape id="_x0000_s4473" type="#_x0000_t202" style="position:absolute;margin-left:271.pt;margin-top:33.649999999999999pt;width:58.100000000000001pt;height:5.2999999999999998pt;z-index:-1887414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VRIJEME/VRLINA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526415</wp:posOffset>
              </wp:positionV>
              <wp:extent cx="4020185" cy="0"/>
              <wp:wrapNone/>
              <wp:docPr id="3449" name="Shape 344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41.450000000000003pt;width:316.55000000000001pt;height:0;z-index:-251658240;mso-position-horizontal-relative:page;mso-position-vertical-relative:page">
              <v:stroke weight="1.pt"/>
            </v:shape>
          </w:pict>
        </mc:Fallback>
      </mc:AlternateContent>
    </w:r>
  </w:p>
</w:hdr>
</file>

<file path=word/header7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24" behindDoc="1" locked="0" layoutInCell="1" allowOverlap="1">
              <wp:simplePos x="0" y="0"/>
              <wp:positionH relativeFrom="page">
                <wp:posOffset>3837940</wp:posOffset>
              </wp:positionH>
              <wp:positionV relativeFrom="page">
                <wp:posOffset>421640</wp:posOffset>
              </wp:positionV>
              <wp:extent cx="326390" cy="60960"/>
              <wp:wrapNone/>
              <wp:docPr id="3452" name="Shape 3452"/>
              <a:graphic xmlns:a="http://schemas.openxmlformats.org/drawingml/2006/main">
                <a:graphicData uri="http://schemas.microsoft.com/office/word/2010/wordprocessingShape">
                  <wps:wsp>
                    <wps:cNvSpPr txBox="1"/>
                    <wps:spPr>
                      <a:xfrm>
                        <a:ext cx="3263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wps:txbx>
                    <wps:bodyPr wrap="none" lIns="0" tIns="0" rIns="0" bIns="0">
                      <a:spAutoFit/>
                    </wps:bodyPr>
                  </wps:wsp>
                </a:graphicData>
              </a:graphic>
            </wp:anchor>
          </w:drawing>
        </mc:Choice>
        <mc:Fallback>
          <w:pict>
            <v:shape id="_x0000_s4478" type="#_x0000_t202" style="position:absolute;margin-left:302.19999999999999pt;margin-top:33.200000000000003pt;width:25.699999999999999pt;height:4.7999999999999998pt;z-index:-1887414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521970</wp:posOffset>
              </wp:positionV>
              <wp:extent cx="4011295" cy="0"/>
              <wp:wrapNone/>
              <wp:docPr id="3454" name="Shape 3454"/>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050000000000001pt;margin-top:41.100000000000001pt;width:315.85000000000002pt;height:0;z-index:-251658240;mso-position-horizontal-relative:page;mso-position-vertical-relative:page">
              <v:stroke weight="1.pt"/>
            </v:shape>
          </w:pict>
        </mc:Fallback>
      </mc:AlternateContent>
    </w:r>
  </w:p>
</w:hdr>
</file>

<file path=word/header7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28" behindDoc="1" locked="0" layoutInCell="1" allowOverlap="1">
              <wp:simplePos x="0" y="0"/>
              <wp:positionH relativeFrom="page">
                <wp:posOffset>3837940</wp:posOffset>
              </wp:positionH>
              <wp:positionV relativeFrom="page">
                <wp:posOffset>421640</wp:posOffset>
              </wp:positionV>
              <wp:extent cx="326390" cy="60960"/>
              <wp:wrapNone/>
              <wp:docPr id="3457" name="Shape 3457"/>
              <a:graphic xmlns:a="http://schemas.openxmlformats.org/drawingml/2006/main">
                <a:graphicData uri="http://schemas.microsoft.com/office/word/2010/wordprocessingShape">
                  <wps:wsp>
                    <wps:cNvSpPr txBox="1"/>
                    <wps:spPr>
                      <a:xfrm>
                        <a:ext cx="3263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wps:txbx>
                    <wps:bodyPr wrap="none" lIns="0" tIns="0" rIns="0" bIns="0">
                      <a:spAutoFit/>
                    </wps:bodyPr>
                  </wps:wsp>
                </a:graphicData>
              </a:graphic>
            </wp:anchor>
          </w:drawing>
        </mc:Choice>
        <mc:Fallback>
          <w:pict>
            <v:shape id="_x0000_s4483" type="#_x0000_t202" style="position:absolute;margin-left:302.19999999999999pt;margin-top:33.200000000000003pt;width:25.699999999999999pt;height:4.7999999999999998pt;z-index:-1887414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521970</wp:posOffset>
              </wp:positionV>
              <wp:extent cx="4011295" cy="0"/>
              <wp:wrapNone/>
              <wp:docPr id="3459" name="Shape 345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050000000000001pt;margin-top:41.100000000000001pt;width:315.85000000000002pt;height:0;z-index:-251658240;mso-position-horizontal-relative:page;mso-position-vertical-relative:page">
              <v:stroke weight="1.pt"/>
            </v:shape>
          </w:pict>
        </mc:Fallback>
      </mc:AlternateContent>
    </w:r>
  </w:p>
</w:hdr>
</file>

<file path=word/header7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32" behindDoc="1" locked="0" layoutInCell="1" allowOverlap="1">
              <wp:simplePos x="0" y="0"/>
              <wp:positionH relativeFrom="page">
                <wp:posOffset>151130</wp:posOffset>
              </wp:positionH>
              <wp:positionV relativeFrom="page">
                <wp:posOffset>421640</wp:posOffset>
              </wp:positionV>
              <wp:extent cx="326390" cy="60960"/>
              <wp:wrapNone/>
              <wp:docPr id="3462" name="Shape 3462"/>
              <a:graphic xmlns:a="http://schemas.openxmlformats.org/drawingml/2006/main">
                <a:graphicData uri="http://schemas.microsoft.com/office/word/2010/wordprocessingShape">
                  <wps:wsp>
                    <wps:cNvSpPr txBox="1"/>
                    <wps:spPr>
                      <a:xfrm>
                        <a:ext cx="32639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wps:txbx>
                    <wps:bodyPr wrap="none" lIns="0" tIns="0" rIns="0" bIns="0">
                      <a:spAutoFit/>
                    </wps:bodyPr>
                  </wps:wsp>
                </a:graphicData>
              </a:graphic>
            </wp:anchor>
          </w:drawing>
        </mc:Choice>
        <mc:Fallback>
          <w:pict>
            <v:shape id="_x0000_s4488" type="#_x0000_t202" style="position:absolute;margin-left:11.9pt;margin-top:33.200000000000003pt;width:25.699999999999999pt;height:4.7999999999999998pt;z-index:-1887414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512445</wp:posOffset>
              </wp:positionV>
              <wp:extent cx="4017010" cy="0"/>
              <wp:wrapNone/>
              <wp:docPr id="3464" name="Shape 346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40.350000000000001pt;width:316.30000000000001pt;height:0;z-index:-251658240;mso-position-horizontal-relative:page;mso-position-vertical-relative:page">
              <v:stroke weight="1.pt"/>
            </v:shape>
          </w:pict>
        </mc:Fallback>
      </mc:AlternateContent>
    </w:r>
  </w:p>
</w:hdr>
</file>

<file path=word/header7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40" behindDoc="1" locked="0" layoutInCell="1" allowOverlap="1">
              <wp:simplePos x="0" y="0"/>
              <wp:positionH relativeFrom="page">
                <wp:posOffset>153035</wp:posOffset>
              </wp:positionH>
              <wp:positionV relativeFrom="page">
                <wp:posOffset>418465</wp:posOffset>
              </wp:positionV>
              <wp:extent cx="332105" cy="64135"/>
              <wp:wrapNone/>
              <wp:docPr id="3471" name="Shape 3471"/>
              <a:graphic xmlns:a="http://schemas.openxmlformats.org/drawingml/2006/main">
                <a:graphicData uri="http://schemas.microsoft.com/office/word/2010/wordprocessingShape">
                  <wps:wsp>
                    <wps:cNvSpPr txBox="1"/>
                    <wps:spPr>
                      <a:xfrm>
                        <a:ext cx="3321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wps:txbx>
                    <wps:bodyPr wrap="none" lIns="0" tIns="0" rIns="0" bIns="0">
                      <a:spAutoFit/>
                    </wps:bodyPr>
                  </wps:wsp>
                </a:graphicData>
              </a:graphic>
            </wp:anchor>
          </w:drawing>
        </mc:Choice>
        <mc:Fallback>
          <w:pict>
            <v:shape id="_x0000_s4497" type="#_x0000_t202" style="position:absolute;margin-left:12.050000000000001pt;margin-top:32.950000000000003pt;width:26.149999999999999pt;height:5.0499999999999998pt;z-index:-1887414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VRLINA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515620</wp:posOffset>
              </wp:positionV>
              <wp:extent cx="4020185" cy="0"/>
              <wp:wrapNone/>
              <wp:docPr id="3473" name="Shape 347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050000000000001pt;margin-top:40.600000000000001pt;width:316.55000000000001pt;height:0;z-index:-251658240;mso-position-horizontal-relative:page;mso-position-vertical-relative:page">
              <v:stroke weight="1.pt"/>
            </v:shape>
          </w:pict>
        </mc:Fallback>
      </mc:AlternateContent>
    </w:r>
  </w:p>
</w:hdr>
</file>

<file path=word/header8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44" behindDoc="1" locked="0" layoutInCell="1" allowOverlap="1">
              <wp:simplePos x="0" y="0"/>
              <wp:positionH relativeFrom="page">
                <wp:posOffset>155575</wp:posOffset>
              </wp:positionH>
              <wp:positionV relativeFrom="page">
                <wp:posOffset>418465</wp:posOffset>
              </wp:positionV>
              <wp:extent cx="487680" cy="64135"/>
              <wp:wrapNone/>
              <wp:docPr id="3476" name="Shape 3476"/>
              <a:graphic xmlns:a="http://schemas.openxmlformats.org/drawingml/2006/main">
                <a:graphicData uri="http://schemas.microsoft.com/office/word/2010/wordprocessingShape">
                  <wps:wsp>
                    <wps:cNvSpPr txBox="1"/>
                    <wps:spPr>
                      <a:xfrm>
                        <a:ext cx="4876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wps:txbx>
                    <wps:bodyPr wrap="none" lIns="0" tIns="0" rIns="0" bIns="0">
                      <a:spAutoFit/>
                    </wps:bodyPr>
                  </wps:wsp>
                </a:graphicData>
              </a:graphic>
            </wp:anchor>
          </w:drawing>
        </mc:Choice>
        <mc:Fallback>
          <w:pict>
            <v:shape id="_x0000_s4502" type="#_x0000_t202" style="position:absolute;margin-left:12.25pt;margin-top:32.950000000000003pt;width:38.399999999999999pt;height:5.0499999999999998pt;z-index:-1887414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515620</wp:posOffset>
              </wp:positionV>
              <wp:extent cx="4014470" cy="0"/>
              <wp:wrapNone/>
              <wp:docPr id="3478" name="Shape 3478"/>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25pt;margin-top:40.600000000000001pt;width:316.10000000000002pt;height:0;z-index:-251658240;mso-position-horizontal-relative:page;mso-position-vertical-relative:page">
              <v:stroke weight="1.pt"/>
            </v:shape>
          </w:pict>
        </mc:Fallback>
      </mc:AlternateContent>
    </w:r>
  </w:p>
</w:hdr>
</file>

<file path=word/header8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48" behindDoc="1" locked="0" layoutInCell="1" allowOverlap="1">
              <wp:simplePos x="0" y="0"/>
              <wp:positionH relativeFrom="page">
                <wp:posOffset>155575</wp:posOffset>
              </wp:positionH>
              <wp:positionV relativeFrom="page">
                <wp:posOffset>418465</wp:posOffset>
              </wp:positionV>
              <wp:extent cx="487680" cy="64135"/>
              <wp:wrapNone/>
              <wp:docPr id="3481" name="Shape 3481"/>
              <a:graphic xmlns:a="http://schemas.openxmlformats.org/drawingml/2006/main">
                <a:graphicData uri="http://schemas.microsoft.com/office/word/2010/wordprocessingShape">
                  <wps:wsp>
                    <wps:cNvSpPr txBox="1"/>
                    <wps:spPr>
                      <a:xfrm>
                        <a:ext cx="4876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wps:txbx>
                    <wps:bodyPr wrap="none" lIns="0" tIns="0" rIns="0" bIns="0">
                      <a:spAutoFit/>
                    </wps:bodyPr>
                  </wps:wsp>
                </a:graphicData>
              </a:graphic>
            </wp:anchor>
          </w:drawing>
        </mc:Choice>
        <mc:Fallback>
          <w:pict>
            <v:shape id="_x0000_s4507" type="#_x0000_t202" style="position:absolute;margin-left:12.25pt;margin-top:32.950000000000003pt;width:38.399999999999999pt;height:5.0499999999999998pt;z-index:-1887414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515620</wp:posOffset>
              </wp:positionV>
              <wp:extent cx="4014470" cy="0"/>
              <wp:wrapNone/>
              <wp:docPr id="3483" name="Shape 348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25pt;margin-top:40.600000000000001pt;width:316.10000000000002pt;height:0;z-index:-251658240;mso-position-horizontal-relative:page;mso-position-vertical-relative:page">
              <v:stroke weight="1.pt"/>
            </v:shape>
          </w:pict>
        </mc:Fallback>
      </mc:AlternateContent>
    </w:r>
  </w:p>
</w:hdr>
</file>

<file path=word/header8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52" behindDoc="1" locked="0" layoutInCell="1" allowOverlap="1">
              <wp:simplePos x="0" y="0"/>
              <wp:positionH relativeFrom="page">
                <wp:posOffset>154305</wp:posOffset>
              </wp:positionH>
              <wp:positionV relativeFrom="page">
                <wp:posOffset>424180</wp:posOffset>
              </wp:positionV>
              <wp:extent cx="487680" cy="64135"/>
              <wp:wrapNone/>
              <wp:docPr id="3486" name="Shape 3486"/>
              <a:graphic xmlns:a="http://schemas.openxmlformats.org/drawingml/2006/main">
                <a:graphicData uri="http://schemas.microsoft.com/office/word/2010/wordprocessingShape">
                  <wps:wsp>
                    <wps:cNvSpPr txBox="1"/>
                    <wps:spPr>
                      <a:xfrm>
                        <a:ext cx="4876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wps:txbx>
                    <wps:bodyPr wrap="none" lIns="0" tIns="0" rIns="0" bIns="0">
                      <a:spAutoFit/>
                    </wps:bodyPr>
                  </wps:wsp>
                </a:graphicData>
              </a:graphic>
            </wp:anchor>
          </w:drawing>
        </mc:Choice>
        <mc:Fallback>
          <w:pict>
            <v:shape id="_x0000_s4512" type="#_x0000_t202" style="position:absolute;margin-left:12.15pt;margin-top:33.399999999999999pt;width:38.399999999999999pt;height:5.0499999999999998pt;z-index:-1887414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525145</wp:posOffset>
              </wp:positionV>
              <wp:extent cx="4023360" cy="0"/>
              <wp:wrapNone/>
              <wp:docPr id="3488" name="Shape 3488"/>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350000000000001pt;width:316.80000000000001pt;height:0;z-index:-251658240;mso-position-horizontal-relative:page;mso-position-vertical-relative:page">
              <v:stroke weight="1.pt"/>
            </v:shape>
          </w:pict>
        </mc:Fallback>
      </mc:AlternateContent>
    </w:r>
  </w:p>
</w:hdr>
</file>

<file path=word/header8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54" behindDoc="1" locked="0" layoutInCell="1" allowOverlap="1">
              <wp:simplePos x="0" y="0"/>
              <wp:positionH relativeFrom="page">
                <wp:posOffset>154305</wp:posOffset>
              </wp:positionH>
              <wp:positionV relativeFrom="page">
                <wp:posOffset>424180</wp:posOffset>
              </wp:positionV>
              <wp:extent cx="487680" cy="64135"/>
              <wp:wrapNone/>
              <wp:docPr id="3489" name="Shape 3489"/>
              <a:graphic xmlns:a="http://schemas.openxmlformats.org/drawingml/2006/main">
                <a:graphicData uri="http://schemas.microsoft.com/office/word/2010/wordprocessingShape">
                  <wps:wsp>
                    <wps:cNvSpPr txBox="1"/>
                    <wps:spPr>
                      <a:xfrm>
                        <a:ext cx="4876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wps:txbx>
                    <wps:bodyPr wrap="none" lIns="0" tIns="0" rIns="0" bIns="0">
                      <a:spAutoFit/>
                    </wps:bodyPr>
                  </wps:wsp>
                </a:graphicData>
              </a:graphic>
            </wp:anchor>
          </w:drawing>
        </mc:Choice>
        <mc:Fallback>
          <w:pict>
            <v:shape id="_x0000_s4515" type="#_x0000_t202" style="position:absolute;margin-left:12.15pt;margin-top:33.399999999999999pt;width:38.399999999999999pt;height:5.0499999999999998pt;z-index:-1887413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525145</wp:posOffset>
              </wp:positionV>
              <wp:extent cx="4023360" cy="0"/>
              <wp:wrapNone/>
              <wp:docPr id="3491" name="Shape 349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9pt;margin-top:41.350000000000001pt;width:316.80000000000001pt;height:0;z-index:-251658240;mso-position-horizontal-relative:page;mso-position-vertical-relative:page">
              <v:stroke weight="1.pt"/>
            </v:shape>
          </w:pict>
        </mc:Fallback>
      </mc:AlternateContent>
    </w:r>
  </w:p>
</w:hdr>
</file>

<file path=word/header8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56" behindDoc="1" locked="0" layoutInCell="1" allowOverlap="1">
              <wp:simplePos x="0" y="0"/>
              <wp:positionH relativeFrom="page">
                <wp:posOffset>3685540</wp:posOffset>
              </wp:positionH>
              <wp:positionV relativeFrom="page">
                <wp:posOffset>467360</wp:posOffset>
              </wp:positionV>
              <wp:extent cx="487680" cy="64135"/>
              <wp:wrapNone/>
              <wp:docPr id="3492" name="Shape 3492"/>
              <a:graphic xmlns:a="http://schemas.openxmlformats.org/drawingml/2006/main">
                <a:graphicData uri="http://schemas.microsoft.com/office/word/2010/wordprocessingShape">
                  <wps:wsp>
                    <wps:cNvSpPr txBox="1"/>
                    <wps:spPr>
                      <a:xfrm>
                        <a:ext cx="4876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wps:txbx>
                    <wps:bodyPr wrap="none" lIns="0" tIns="0" rIns="0" bIns="0">
                      <a:spAutoFit/>
                    </wps:bodyPr>
                  </wps:wsp>
                </a:graphicData>
              </a:graphic>
            </wp:anchor>
          </w:drawing>
        </mc:Choice>
        <mc:Fallback>
          <w:pict>
            <v:shape id="_x0000_s4518" type="#_x0000_t202" style="position:absolute;margin-left:290.19999999999999pt;margin-top:36.799999999999997pt;width:38.399999999999999pt;height:5.0499999999999998pt;z-index:-1887413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ZAJEDNICA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566420</wp:posOffset>
              </wp:positionV>
              <wp:extent cx="4017010" cy="0"/>
              <wp:wrapNone/>
              <wp:docPr id="3494" name="Shape 349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25pt;margin-top:44.600000000000001pt;width:316.30000000000001pt;height:0;z-index:-251658240;mso-position-horizontal-relative:page;mso-position-vertical-relative:page">
              <v:stroke weight="1.pt"/>
            </v:shape>
          </w:pict>
        </mc:Fallback>
      </mc:AlternateContent>
    </w:r>
  </w:p>
</w:hdr>
</file>

<file path=word/header8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58" behindDoc="1" locked="0" layoutInCell="1" allowOverlap="1">
              <wp:simplePos x="0" y="0"/>
              <wp:positionH relativeFrom="page">
                <wp:posOffset>3355975</wp:posOffset>
              </wp:positionH>
              <wp:positionV relativeFrom="page">
                <wp:posOffset>473075</wp:posOffset>
              </wp:positionV>
              <wp:extent cx="819785" cy="64135"/>
              <wp:wrapNone/>
              <wp:docPr id="3497" name="Shape 3497"/>
              <a:graphic xmlns:a="http://schemas.openxmlformats.org/drawingml/2006/main">
                <a:graphicData uri="http://schemas.microsoft.com/office/word/2010/wordprocessingShape">
                  <wps:wsp>
                    <wps:cNvSpPr txBox="1"/>
                    <wps:spPr>
                      <a:xfrm>
                        <a:ext cx="8197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en-US" w:eastAsia="en-US" w:bidi="en-US"/>
                            </w:rPr>
                            <w:t>zajednica/zakon</w:t>
                          </w:r>
                        </w:p>
                      </w:txbxContent>
                    </wps:txbx>
                    <wps:bodyPr wrap="none" lIns="0" tIns="0" rIns="0" bIns="0">
                      <a:spAutoFit/>
                    </wps:bodyPr>
                  </wps:wsp>
                </a:graphicData>
              </a:graphic>
            </wp:anchor>
          </w:drawing>
        </mc:Choice>
        <mc:Fallback>
          <w:pict>
            <v:shape id="_x0000_s4523" type="#_x0000_t202" style="position:absolute;margin-left:264.25pt;margin-top:37.25pt;width:64.549999999999997pt;height:5.0499999999999998pt;z-index:-1887413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en-US" w:eastAsia="en-US" w:bidi="en-US"/>
                      </w:rPr>
                      <w:t>zajednica/zakon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161925</wp:posOffset>
              </wp:positionH>
              <wp:positionV relativeFrom="page">
                <wp:posOffset>569595</wp:posOffset>
              </wp:positionV>
              <wp:extent cx="4011295" cy="0"/>
              <wp:wrapNone/>
              <wp:docPr id="3499" name="Shape 349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75pt;margin-top:44.850000000000001pt;width:315.85000000000002pt;height:0;z-index:-251658240;mso-position-horizontal-relative:page;mso-position-vertical-relative:page">
              <v:stroke weight="1.pt"/>
            </v:shape>
          </w:pict>
        </mc:Fallback>
      </mc:AlternateContent>
    </w:r>
  </w:p>
</w:hdr>
</file>

<file path=word/header8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60" behindDoc="1" locked="0" layoutInCell="1" allowOverlap="1">
              <wp:simplePos x="0" y="0"/>
              <wp:positionH relativeFrom="page">
                <wp:posOffset>3355975</wp:posOffset>
              </wp:positionH>
              <wp:positionV relativeFrom="page">
                <wp:posOffset>473075</wp:posOffset>
              </wp:positionV>
              <wp:extent cx="819785" cy="64135"/>
              <wp:wrapNone/>
              <wp:docPr id="3500" name="Shape 3500"/>
              <a:graphic xmlns:a="http://schemas.openxmlformats.org/drawingml/2006/main">
                <a:graphicData uri="http://schemas.microsoft.com/office/word/2010/wordprocessingShape">
                  <wps:wsp>
                    <wps:cNvSpPr txBox="1"/>
                    <wps:spPr>
                      <a:xfrm>
                        <a:ext cx="81978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en-US" w:eastAsia="en-US" w:bidi="en-US"/>
                            </w:rPr>
                            <w:t>zajednica/zakon</w:t>
                          </w:r>
                        </w:p>
                      </w:txbxContent>
                    </wps:txbx>
                    <wps:bodyPr wrap="none" lIns="0" tIns="0" rIns="0" bIns="0">
                      <a:spAutoFit/>
                    </wps:bodyPr>
                  </wps:wsp>
                </a:graphicData>
              </a:graphic>
            </wp:anchor>
          </w:drawing>
        </mc:Choice>
        <mc:Fallback>
          <w:pict>
            <v:shape id="_x0000_s4526" type="#_x0000_t202" style="position:absolute;margin-left:264.25pt;margin-top:37.25pt;width:64.549999999999997pt;height:5.0499999999999998pt;z-index:-1887413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en-US" w:eastAsia="en-US" w:bidi="en-US"/>
                      </w:rPr>
                      <w:t>zajednica/zakon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161925</wp:posOffset>
              </wp:positionH>
              <wp:positionV relativeFrom="page">
                <wp:posOffset>569595</wp:posOffset>
              </wp:positionV>
              <wp:extent cx="4011295" cy="0"/>
              <wp:wrapNone/>
              <wp:docPr id="3502" name="Shape 3502"/>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75pt;margin-top:44.850000000000001pt;width:315.85000000000002pt;height:0;z-index:-251658240;mso-position-horizontal-relative:page;mso-position-vertical-relative:page">
              <v:stroke weight="1.pt"/>
            </v:shape>
          </w:pict>
        </mc:Fallback>
      </mc:AlternateContent>
    </w:r>
  </w:p>
</w:hdr>
</file>

<file path=word/header8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62" behindDoc="1" locked="0" layoutInCell="1" allowOverlap="1">
              <wp:simplePos x="0" y="0"/>
              <wp:positionH relativeFrom="page">
                <wp:posOffset>151130</wp:posOffset>
              </wp:positionH>
              <wp:positionV relativeFrom="page">
                <wp:posOffset>418465</wp:posOffset>
              </wp:positionV>
              <wp:extent cx="298450" cy="60960"/>
              <wp:wrapNone/>
              <wp:docPr id="3503" name="Shape 3503"/>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wps:txbx>
                    <wps:bodyPr wrap="none" lIns="0" tIns="0" rIns="0" bIns="0">
                      <a:spAutoFit/>
                    </wps:bodyPr>
                  </wps:wsp>
                </a:graphicData>
              </a:graphic>
            </wp:anchor>
          </w:drawing>
        </mc:Choice>
        <mc:Fallback>
          <w:pict>
            <v:shape id="_x0000_s4529" type="#_x0000_t202" style="position:absolute;margin-left:11.9pt;margin-top:32.950000000000003pt;width:23.5pt;height:4.7999999999999998pt;z-index:-1887413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515620</wp:posOffset>
              </wp:positionV>
              <wp:extent cx="4017010" cy="0"/>
              <wp:wrapNone/>
              <wp:docPr id="3505" name="Shape 350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40.600000000000001pt;width:316.30000000000001pt;height:0;z-index:-251658240;mso-position-horizontal-relative:page;mso-position-vertical-relative:page">
              <v:stroke weight="1.pt"/>
            </v:shape>
          </w:pict>
        </mc:Fallback>
      </mc:AlternateContent>
    </w:r>
  </w:p>
</w:hdr>
</file>

<file path=word/header8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66" behindDoc="1" locked="0" layoutInCell="1" allowOverlap="1">
              <wp:simplePos x="0" y="0"/>
              <wp:positionH relativeFrom="page">
                <wp:posOffset>151130</wp:posOffset>
              </wp:positionH>
              <wp:positionV relativeFrom="page">
                <wp:posOffset>418465</wp:posOffset>
              </wp:positionV>
              <wp:extent cx="298450" cy="60960"/>
              <wp:wrapNone/>
              <wp:docPr id="3508" name="Shape 3508"/>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wps:txbx>
                    <wps:bodyPr wrap="none" lIns="0" tIns="0" rIns="0" bIns="0">
                      <a:spAutoFit/>
                    </wps:bodyPr>
                  </wps:wsp>
                </a:graphicData>
              </a:graphic>
            </wp:anchor>
          </w:drawing>
        </mc:Choice>
        <mc:Fallback>
          <w:pict>
            <v:shape id="_x0000_s4534" type="#_x0000_t202" style="position:absolute;margin-left:11.9pt;margin-top:32.950000000000003pt;width:23.5pt;height:4.7999999999999998pt;z-index:-1887413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515620</wp:posOffset>
              </wp:positionV>
              <wp:extent cx="4017010" cy="0"/>
              <wp:wrapNone/>
              <wp:docPr id="3510" name="Shape 351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40.600000000000001pt;width:316.30000000000001pt;height:0;z-index:-251658240;mso-position-horizontal-relative:page;mso-position-vertical-relative:page">
              <v:stroke weight="1.pt"/>
            </v:shape>
          </w:pict>
        </mc:Fallback>
      </mc:AlternateContent>
    </w:r>
  </w:p>
</w:hdr>
</file>

<file path=word/header8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70" behindDoc="1" locked="0" layoutInCell="1" allowOverlap="1">
              <wp:simplePos x="0" y="0"/>
              <wp:positionH relativeFrom="page">
                <wp:posOffset>3877310</wp:posOffset>
              </wp:positionH>
              <wp:positionV relativeFrom="page">
                <wp:posOffset>415290</wp:posOffset>
              </wp:positionV>
              <wp:extent cx="301625" cy="67310"/>
              <wp:wrapNone/>
              <wp:docPr id="3513" name="Shape 3513"/>
              <a:graphic xmlns:a="http://schemas.openxmlformats.org/drawingml/2006/main">
                <a:graphicData uri="http://schemas.microsoft.com/office/word/2010/wordprocessingShape">
                  <wps:wsp>
                    <wps:cNvSpPr txBox="1"/>
                    <wps:spPr>
                      <a:xfrm>
                        <a:ext cx="3016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wps:txbx>
                    <wps:bodyPr wrap="none" lIns="0" tIns="0" rIns="0" bIns="0">
                      <a:spAutoFit/>
                    </wps:bodyPr>
                  </wps:wsp>
                </a:graphicData>
              </a:graphic>
            </wp:anchor>
          </w:drawing>
        </mc:Choice>
        <mc:Fallback>
          <w:pict>
            <v:shape id="_x0000_s4539" type="#_x0000_t202" style="position:absolute;margin-left:305.30000000000001pt;margin-top:32.700000000000003pt;width:23.75pt;height:5.2999999999999998pt;z-index:-1887413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165100</wp:posOffset>
              </wp:positionH>
              <wp:positionV relativeFrom="page">
                <wp:posOffset>515620</wp:posOffset>
              </wp:positionV>
              <wp:extent cx="4011295" cy="0"/>
              <wp:wrapNone/>
              <wp:docPr id="3515" name="Shape 3515"/>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3.pt;margin-top:40.600000000000001pt;width:315.85000000000002pt;height:0;z-index:-251658240;mso-position-horizontal-relative:page;mso-position-vertical-relative:page">
              <v:stroke weight="1.pt"/>
            </v:shape>
          </w:pict>
        </mc:Fallback>
      </mc:AlternateContent>
    </w:r>
  </w:p>
</w:hdr>
</file>

<file path=word/header8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74" behindDoc="1" locked="0" layoutInCell="1" allowOverlap="1">
              <wp:simplePos x="0" y="0"/>
              <wp:positionH relativeFrom="page">
                <wp:posOffset>3877310</wp:posOffset>
              </wp:positionH>
              <wp:positionV relativeFrom="page">
                <wp:posOffset>415290</wp:posOffset>
              </wp:positionV>
              <wp:extent cx="301625" cy="67310"/>
              <wp:wrapNone/>
              <wp:docPr id="3518" name="Shape 3518"/>
              <a:graphic xmlns:a="http://schemas.openxmlformats.org/drawingml/2006/main">
                <a:graphicData uri="http://schemas.microsoft.com/office/word/2010/wordprocessingShape">
                  <wps:wsp>
                    <wps:cNvSpPr txBox="1"/>
                    <wps:spPr>
                      <a:xfrm>
                        <a:ext cx="301625"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wps:txbx>
                    <wps:bodyPr wrap="none" lIns="0" tIns="0" rIns="0" bIns="0">
                      <a:spAutoFit/>
                    </wps:bodyPr>
                  </wps:wsp>
                </a:graphicData>
              </a:graphic>
            </wp:anchor>
          </w:drawing>
        </mc:Choice>
        <mc:Fallback>
          <w:pict>
            <v:shape id="_x0000_s4544" type="#_x0000_t202" style="position:absolute;margin-left:305.30000000000001pt;margin-top:32.700000000000003pt;width:23.75pt;height:5.2999999999999998pt;z-index:-1887413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165100</wp:posOffset>
              </wp:positionH>
              <wp:positionV relativeFrom="page">
                <wp:posOffset>515620</wp:posOffset>
              </wp:positionV>
              <wp:extent cx="4011295" cy="0"/>
              <wp:wrapNone/>
              <wp:docPr id="3520" name="Shape 3520"/>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3.pt;margin-top:40.600000000000001pt;width:315.85000000000002pt;height:0;z-index:-251658240;mso-position-horizontal-relative:page;mso-position-vertical-relative:page">
              <v:stroke weight="1.pt"/>
            </v:shape>
          </w:pict>
        </mc:Fallback>
      </mc:AlternateContent>
    </w:r>
  </w:p>
</w:hdr>
</file>

<file path=word/header8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78" behindDoc="1" locked="0" layoutInCell="1" allowOverlap="1">
              <wp:simplePos x="0" y="0"/>
              <wp:positionH relativeFrom="page">
                <wp:posOffset>151130</wp:posOffset>
              </wp:positionH>
              <wp:positionV relativeFrom="page">
                <wp:posOffset>418465</wp:posOffset>
              </wp:positionV>
              <wp:extent cx="298450" cy="60960"/>
              <wp:wrapNone/>
              <wp:docPr id="3523" name="Shape 3523"/>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wps:txbx>
                    <wps:bodyPr wrap="none" lIns="0" tIns="0" rIns="0" bIns="0">
                      <a:spAutoFit/>
                    </wps:bodyPr>
                  </wps:wsp>
                </a:graphicData>
              </a:graphic>
            </wp:anchor>
          </w:drawing>
        </mc:Choice>
        <mc:Fallback>
          <w:pict>
            <v:shape id="_x0000_s4549" type="#_x0000_t202" style="position:absolute;margin-left:11.9pt;margin-top:32.950000000000003pt;width:23.5pt;height:4.7999999999999998pt;z-index:-18874137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515620</wp:posOffset>
              </wp:positionV>
              <wp:extent cx="4017010" cy="0"/>
              <wp:wrapNone/>
              <wp:docPr id="3525" name="Shape 352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40.600000000000001pt;width:316.30000000000001pt;height:0;z-index:-251658240;mso-position-horizontal-relative:page;mso-position-vertical-relative:page">
              <v:stroke weight="1.pt"/>
            </v:shape>
          </w:pict>
        </mc:Fallback>
      </mc:AlternateContent>
    </w:r>
  </w:p>
</w:hdr>
</file>

<file path=word/header8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82" behindDoc="1" locked="0" layoutInCell="1" allowOverlap="1">
              <wp:simplePos x="0" y="0"/>
              <wp:positionH relativeFrom="page">
                <wp:posOffset>151130</wp:posOffset>
              </wp:positionH>
              <wp:positionV relativeFrom="page">
                <wp:posOffset>418465</wp:posOffset>
              </wp:positionV>
              <wp:extent cx="298450" cy="60960"/>
              <wp:wrapNone/>
              <wp:docPr id="3528" name="Shape 3528"/>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wps:txbx>
                    <wps:bodyPr wrap="none" lIns="0" tIns="0" rIns="0" bIns="0">
                      <a:spAutoFit/>
                    </wps:bodyPr>
                  </wps:wsp>
                </a:graphicData>
              </a:graphic>
            </wp:anchor>
          </w:drawing>
        </mc:Choice>
        <mc:Fallback>
          <w:pict>
            <v:shape id="_x0000_s4554" type="#_x0000_t202" style="position:absolute;margin-left:11.9pt;margin-top:32.950000000000003pt;width:23.5pt;height:4.7999999999999998pt;z-index:-1887413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515620</wp:posOffset>
              </wp:positionV>
              <wp:extent cx="4017010" cy="0"/>
              <wp:wrapNone/>
              <wp:docPr id="3530" name="Shape 353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9pt;margin-top:40.600000000000001pt;width:316.30000000000001pt;height:0;z-index:-251658240;mso-position-horizontal-relative:page;mso-position-vertical-relative:page">
              <v:stroke weight="1.pt"/>
            </v:shape>
          </w:pict>
        </mc:Fallback>
      </mc:AlternateContent>
    </w:r>
  </w:p>
</w:hdr>
</file>

<file path=word/header8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86" behindDoc="1" locked="0" layoutInCell="1" allowOverlap="1">
              <wp:simplePos x="0" y="0"/>
              <wp:positionH relativeFrom="page">
                <wp:posOffset>2995295</wp:posOffset>
              </wp:positionH>
              <wp:positionV relativeFrom="page">
                <wp:posOffset>424180</wp:posOffset>
              </wp:positionV>
              <wp:extent cx="1176655" cy="69850"/>
              <wp:wrapNone/>
              <wp:docPr id="3533" name="Shape 3533"/>
              <a:graphic xmlns:a="http://schemas.openxmlformats.org/drawingml/2006/main">
                <a:graphicData uri="http://schemas.microsoft.com/office/word/2010/wordprocessingShape">
                  <wps:wsp>
                    <wps:cNvSpPr txBox="1"/>
                    <wps:spPr>
                      <a:xfrm>
                        <a:ext cx="117665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ZAKON/ZAKONl PREHRANE</w:t>
                          </w:r>
                        </w:p>
                      </w:txbxContent>
                    </wps:txbx>
                    <wps:bodyPr wrap="none" lIns="0" tIns="0" rIns="0" bIns="0">
                      <a:spAutoFit/>
                    </wps:bodyPr>
                  </wps:wsp>
                </a:graphicData>
              </a:graphic>
            </wp:anchor>
          </w:drawing>
        </mc:Choice>
        <mc:Fallback>
          <w:pict>
            <v:shape id="_x0000_s4559" type="#_x0000_t202" style="position:absolute;margin-left:235.84999999999999pt;margin-top:33.399999999999999pt;width:92.650000000000006pt;height:5.5pt;z-index:-1887413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ZAKON/ZAKONl PREHRANE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526415</wp:posOffset>
              </wp:positionV>
              <wp:extent cx="4020185" cy="0"/>
              <wp:wrapNone/>
              <wp:docPr id="3535" name="Shape 353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1.450000000000003pt;width:316.55000000000001pt;height:0;z-index:-251658240;mso-position-horizontal-relative:page;mso-position-vertical-relative:page">
              <v:stroke weight="1.pt"/>
            </v:shape>
          </w:pict>
        </mc:Fallback>
      </mc:AlternateContent>
    </w:r>
  </w:p>
</w:hdr>
</file>

<file path=word/header8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88" behindDoc="1" locked="0" layoutInCell="1" allowOverlap="1">
              <wp:simplePos x="0" y="0"/>
              <wp:positionH relativeFrom="page">
                <wp:posOffset>2995295</wp:posOffset>
              </wp:positionH>
              <wp:positionV relativeFrom="page">
                <wp:posOffset>424180</wp:posOffset>
              </wp:positionV>
              <wp:extent cx="1176655" cy="69850"/>
              <wp:wrapNone/>
              <wp:docPr id="3536" name="Shape 3536"/>
              <a:graphic xmlns:a="http://schemas.openxmlformats.org/drawingml/2006/main">
                <a:graphicData uri="http://schemas.microsoft.com/office/word/2010/wordprocessingShape">
                  <wps:wsp>
                    <wps:cNvSpPr txBox="1"/>
                    <wps:spPr>
                      <a:xfrm>
                        <a:ext cx="117665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ZAKON/ZAKONl PREHRANE</w:t>
                          </w:r>
                        </w:p>
                      </w:txbxContent>
                    </wps:txbx>
                    <wps:bodyPr wrap="none" lIns="0" tIns="0" rIns="0" bIns="0">
                      <a:spAutoFit/>
                    </wps:bodyPr>
                  </wps:wsp>
                </a:graphicData>
              </a:graphic>
            </wp:anchor>
          </w:drawing>
        </mc:Choice>
        <mc:Fallback>
          <w:pict>
            <v:shape id="_x0000_s4562" type="#_x0000_t202" style="position:absolute;margin-left:235.84999999999999pt;margin-top:33.399999999999999pt;width:92.650000000000006pt;height:5.5pt;z-index:-1887413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ZAKON/ZAKONl PREHRANE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151130</wp:posOffset>
              </wp:positionH>
              <wp:positionV relativeFrom="page">
                <wp:posOffset>526415</wp:posOffset>
              </wp:positionV>
              <wp:extent cx="4020185" cy="0"/>
              <wp:wrapNone/>
              <wp:docPr id="3538" name="Shape 353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9pt;margin-top:41.450000000000003pt;width:316.55000000000001pt;height:0;z-index:-251658240;mso-position-horizontal-relative:page;mso-position-vertical-relative:page">
              <v:stroke weight="1.pt"/>
            </v:shape>
          </w:pict>
        </mc:Fallback>
      </mc:AlternateContent>
    </w:r>
  </w:p>
</w:hdr>
</file>

<file path=word/header8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90" behindDoc="1" locked="0" layoutInCell="1" allowOverlap="1">
              <wp:simplePos x="0" y="0"/>
              <wp:positionH relativeFrom="page">
                <wp:posOffset>3317875</wp:posOffset>
              </wp:positionH>
              <wp:positionV relativeFrom="page">
                <wp:posOffset>421640</wp:posOffset>
              </wp:positionV>
              <wp:extent cx="841375" cy="60960"/>
              <wp:wrapNone/>
              <wp:docPr id="3541" name="Shape 3541"/>
              <a:graphic xmlns:a="http://schemas.openxmlformats.org/drawingml/2006/main">
                <a:graphicData uri="http://schemas.microsoft.com/office/word/2010/wordprocessingShape">
                  <wps:wsp>
                    <wps:cNvSpPr txBox="1"/>
                    <wps:spPr>
                      <a:xfrm>
                        <a:ext cx="841375"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w:t>
                          </w:r>
                        </w:p>
                      </w:txbxContent>
                    </wps:txbx>
                    <wps:bodyPr wrap="none" lIns="0" tIns="0" rIns="0" bIns="0">
                      <a:spAutoFit/>
                    </wps:bodyPr>
                  </wps:wsp>
                </a:graphicData>
              </a:graphic>
            </wp:anchor>
          </w:drawing>
        </mc:Choice>
        <mc:Fallback>
          <w:pict>
            <v:shape id="_x0000_s4567" type="#_x0000_t202" style="position:absolute;margin-left:261.25pt;margin-top:33.200000000000003pt;width:66.25pt;height:4.7999999999999998pt;z-index:-18874136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525145</wp:posOffset>
              </wp:positionV>
              <wp:extent cx="4014470" cy="0"/>
              <wp:wrapNone/>
              <wp:docPr id="3543" name="Shape 3543"/>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65pt;margin-top:41.350000000000001pt;width:316.10000000000002pt;height:0;z-index:-251658240;mso-position-horizontal-relative:page;mso-position-vertical-relative:page">
              <v:stroke weight="1.pt"/>
            </v:shape>
          </w:pict>
        </mc:Fallback>
      </mc:AlternateContent>
    </w:r>
  </w:p>
</w:hdr>
</file>

<file path=word/header8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94" behindDoc="1" locked="0" layoutInCell="1" allowOverlap="1">
              <wp:simplePos x="0" y="0"/>
              <wp:positionH relativeFrom="page">
                <wp:posOffset>153035</wp:posOffset>
              </wp:positionH>
              <wp:positionV relativeFrom="page">
                <wp:posOffset>415290</wp:posOffset>
              </wp:positionV>
              <wp:extent cx="841375" cy="64135"/>
              <wp:wrapNone/>
              <wp:docPr id="3546" name="Shape 3546"/>
              <a:graphic xmlns:a="http://schemas.openxmlformats.org/drawingml/2006/main">
                <a:graphicData uri="http://schemas.microsoft.com/office/word/2010/wordprocessingShape">
                  <wps:wsp>
                    <wps:cNvSpPr txBox="1"/>
                    <wps:spPr>
                      <a:xfrm>
                        <a:ext cx="84137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w:t>
                          </w:r>
                        </w:p>
                      </w:txbxContent>
                    </wps:txbx>
                    <wps:bodyPr wrap="none" lIns="0" tIns="0" rIns="0" bIns="0">
                      <a:spAutoFit/>
                    </wps:bodyPr>
                  </wps:wsp>
                </a:graphicData>
              </a:graphic>
            </wp:anchor>
          </w:drawing>
        </mc:Choice>
        <mc:Fallback>
          <w:pict>
            <v:shape id="_x0000_s4572" type="#_x0000_t202" style="position:absolute;margin-left:12.050000000000001pt;margin-top:32.700000000000003pt;width:66.25pt;height:5.0499999999999998pt;z-index:-1887413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153035</wp:posOffset>
              </wp:positionH>
              <wp:positionV relativeFrom="page">
                <wp:posOffset>512445</wp:posOffset>
              </wp:positionV>
              <wp:extent cx="4014470" cy="0"/>
              <wp:wrapNone/>
              <wp:docPr id="3548" name="Shape 3548"/>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050000000000001pt;margin-top:40.350000000000001pt;width:316.10000000000002pt;height:0;z-index:-251658240;mso-position-horizontal-relative:page;mso-position-vertical-relative:page">
              <v:stroke weight="1.pt"/>
            </v:shape>
          </w:pict>
        </mc:Fallback>
      </mc:AlternateContent>
    </w:r>
  </w:p>
</w:hdr>
</file>

<file path=word/header8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398" behindDoc="1" locked="0" layoutInCell="1" allowOverlap="1">
              <wp:simplePos x="0" y="0"/>
              <wp:positionH relativeFrom="page">
                <wp:posOffset>2816860</wp:posOffset>
              </wp:positionH>
              <wp:positionV relativeFrom="page">
                <wp:posOffset>464185</wp:posOffset>
              </wp:positionV>
              <wp:extent cx="1356360" cy="69850"/>
              <wp:wrapNone/>
              <wp:docPr id="3551" name="Shape 3551"/>
              <a:graphic xmlns:a="http://schemas.openxmlformats.org/drawingml/2006/main">
                <a:graphicData uri="http://schemas.microsoft.com/office/word/2010/wordprocessingShape">
                  <wps:wsp>
                    <wps:cNvSpPr txBox="1"/>
                    <wps:spPr>
                      <a:xfrm>
                        <a:ext cx="135636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PREHRANE7ZAPOVIJED</w:t>
                          </w:r>
                        </w:p>
                      </w:txbxContent>
                    </wps:txbx>
                    <wps:bodyPr wrap="none" lIns="0" tIns="0" rIns="0" bIns="0">
                      <a:spAutoFit/>
                    </wps:bodyPr>
                  </wps:wsp>
                </a:graphicData>
              </a:graphic>
            </wp:anchor>
          </w:drawing>
        </mc:Choice>
        <mc:Fallback>
          <w:pict>
            <v:shape id="_x0000_s4577" type="#_x0000_t202" style="position:absolute;margin-left:221.80000000000001pt;margin-top:36.549999999999997pt;width:106.8pt;height:5.5pt;z-index:-18874135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PREHRANE7ZAPOVIJED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564515</wp:posOffset>
              </wp:positionV>
              <wp:extent cx="4023360" cy="0"/>
              <wp:wrapNone/>
              <wp:docPr id="3553" name="Shape 355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4.450000000000003pt;width:316.80000000000001pt;height:0;z-index:-251658240;mso-position-horizontal-relative:page;mso-position-vertical-relative:page">
              <v:stroke weight="1.pt"/>
            </v:shape>
          </w:pict>
        </mc:Fallback>
      </mc:AlternateContent>
    </w:r>
  </w:p>
</w:hdr>
</file>

<file path=word/header8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00" behindDoc="1" locked="0" layoutInCell="1" allowOverlap="1">
              <wp:simplePos x="0" y="0"/>
              <wp:positionH relativeFrom="page">
                <wp:posOffset>2816860</wp:posOffset>
              </wp:positionH>
              <wp:positionV relativeFrom="page">
                <wp:posOffset>464185</wp:posOffset>
              </wp:positionV>
              <wp:extent cx="1356360" cy="69850"/>
              <wp:wrapNone/>
              <wp:docPr id="3554" name="Shape 3554"/>
              <a:graphic xmlns:a="http://schemas.openxmlformats.org/drawingml/2006/main">
                <a:graphicData uri="http://schemas.microsoft.com/office/word/2010/wordprocessingShape">
                  <wps:wsp>
                    <wps:cNvSpPr txBox="1"/>
                    <wps:spPr>
                      <a:xfrm>
                        <a:ext cx="1356360"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PREHRANE7ZAPOVIJED</w:t>
                          </w:r>
                        </w:p>
                      </w:txbxContent>
                    </wps:txbx>
                    <wps:bodyPr wrap="none" lIns="0" tIns="0" rIns="0" bIns="0">
                      <a:spAutoFit/>
                    </wps:bodyPr>
                  </wps:wsp>
                </a:graphicData>
              </a:graphic>
            </wp:anchor>
          </w:drawing>
        </mc:Choice>
        <mc:Fallback>
          <w:pict>
            <v:shape id="_x0000_s4580" type="#_x0000_t202" style="position:absolute;margin-left:221.80000000000001pt;margin-top:36.549999999999997pt;width:106.8pt;height:5.5pt;z-index:-1887413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ZAKONI PREHRANE7ZAPOVIJED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564515</wp:posOffset>
              </wp:positionV>
              <wp:extent cx="4023360" cy="0"/>
              <wp:wrapNone/>
              <wp:docPr id="3556" name="Shape 355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800000000000001pt;margin-top:44.450000000000003pt;width:316.80000000000001pt;height:0;z-index:-251658240;mso-position-horizontal-relative:page;mso-position-vertical-relative:page">
              <v:stroke weight="1.pt"/>
            </v:shape>
          </w:pict>
        </mc:Fallback>
      </mc:AlternateContent>
    </w:r>
  </w:p>
</w:hdr>
</file>

<file path=word/header8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02" behindDoc="1" locked="0" layoutInCell="1" allowOverlap="1">
              <wp:simplePos x="0" y="0"/>
              <wp:positionH relativeFrom="page">
                <wp:posOffset>154305</wp:posOffset>
              </wp:positionH>
              <wp:positionV relativeFrom="page">
                <wp:posOffset>473710</wp:posOffset>
              </wp:positionV>
              <wp:extent cx="484505" cy="64135"/>
              <wp:wrapNone/>
              <wp:docPr id="3557" name="Shape 3557"/>
              <a:graphic xmlns:a="http://schemas.openxmlformats.org/drawingml/2006/main">
                <a:graphicData uri="http://schemas.microsoft.com/office/word/2010/wordprocessingShape">
                  <wps:wsp>
                    <wps:cNvSpPr txBox="1"/>
                    <wps:spPr>
                      <a:xfrm>
                        <a:ext cx="4845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w:t>
                          </w:r>
                        </w:p>
                      </w:txbxContent>
                    </wps:txbx>
                    <wps:bodyPr wrap="none" lIns="0" tIns="0" rIns="0" bIns="0">
                      <a:spAutoFit/>
                    </wps:bodyPr>
                  </wps:wsp>
                </a:graphicData>
              </a:graphic>
            </wp:anchor>
          </w:drawing>
        </mc:Choice>
        <mc:Fallback>
          <w:pict>
            <v:shape id="_x0000_s4583" type="#_x0000_t202" style="position:absolute;margin-left:12.15pt;margin-top:37.299999999999997pt;width:38.149999999999999pt;height:5.0499999999999998pt;z-index:-18874135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567690</wp:posOffset>
              </wp:positionV>
              <wp:extent cx="4014470" cy="0"/>
              <wp:wrapNone/>
              <wp:docPr id="3559" name="Shape 355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44.700000000000003pt;width:316.10000000000002pt;height:0;z-index:-251658240;mso-position-horizontal-relative:page;mso-position-vertical-relative:page">
              <v:stroke weight="1.pt"/>
            </v:shape>
          </w:pict>
        </mc:Fallback>
      </mc:AlternateContent>
    </w:r>
  </w:p>
</w:hdr>
</file>

<file path=word/header8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06" behindDoc="1" locked="0" layoutInCell="1" allowOverlap="1">
              <wp:simplePos x="0" y="0"/>
              <wp:positionH relativeFrom="page">
                <wp:posOffset>154305</wp:posOffset>
              </wp:positionH>
              <wp:positionV relativeFrom="page">
                <wp:posOffset>473710</wp:posOffset>
              </wp:positionV>
              <wp:extent cx="484505" cy="64135"/>
              <wp:wrapNone/>
              <wp:docPr id="3562" name="Shape 3562"/>
              <a:graphic xmlns:a="http://schemas.openxmlformats.org/drawingml/2006/main">
                <a:graphicData uri="http://schemas.microsoft.com/office/word/2010/wordprocessingShape">
                  <wps:wsp>
                    <wps:cNvSpPr txBox="1"/>
                    <wps:spPr>
                      <a:xfrm>
                        <a:ext cx="48450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w:t>
                          </w:r>
                        </w:p>
                      </w:txbxContent>
                    </wps:txbx>
                    <wps:bodyPr wrap="none" lIns="0" tIns="0" rIns="0" bIns="0">
                      <a:spAutoFit/>
                    </wps:bodyPr>
                  </wps:wsp>
                </a:graphicData>
              </a:graphic>
            </wp:anchor>
          </w:drawing>
        </mc:Choice>
        <mc:Fallback>
          <w:pict>
            <v:shape id="_x0000_s4588" type="#_x0000_t202" style="position:absolute;margin-left:12.15pt;margin-top:37.299999999999997pt;width:38.149999999999999pt;height:5.0499999999999998pt;z-index:-1887413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567690</wp:posOffset>
              </wp:positionV>
              <wp:extent cx="4014470" cy="0"/>
              <wp:wrapNone/>
              <wp:docPr id="3564" name="Shape 356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44.700000000000003pt;width:316.10000000000002pt;height:0;z-index:-251658240;mso-position-horizontal-relative:page;mso-position-vertical-relative:page">
              <v:stroke weight="1.pt"/>
            </v:shape>
          </w:pict>
        </mc:Fallback>
      </mc:AlternateContent>
    </w:r>
  </w:p>
</w:hdr>
</file>

<file path=word/header8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10" behindDoc="1" locked="0" layoutInCell="1" allowOverlap="1">
              <wp:simplePos x="0" y="0"/>
              <wp:positionH relativeFrom="page">
                <wp:posOffset>3689985</wp:posOffset>
              </wp:positionH>
              <wp:positionV relativeFrom="page">
                <wp:posOffset>461010</wp:posOffset>
              </wp:positionV>
              <wp:extent cx="478790" cy="64135"/>
              <wp:wrapNone/>
              <wp:docPr id="3567" name="Shape 3567"/>
              <a:graphic xmlns:a="http://schemas.openxmlformats.org/drawingml/2006/main">
                <a:graphicData uri="http://schemas.microsoft.com/office/word/2010/wordprocessingShape">
                  <wps:wsp>
                    <wps:cNvSpPr txBox="1"/>
                    <wps:spPr>
                      <a:xfrm>
                        <a:ext cx="4787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zapovijed</w:t>
                          </w:r>
                        </w:p>
                      </w:txbxContent>
                    </wps:txbx>
                    <wps:bodyPr wrap="none" lIns="0" tIns="0" rIns="0" bIns="0">
                      <a:spAutoFit/>
                    </wps:bodyPr>
                  </wps:wsp>
                </a:graphicData>
              </a:graphic>
            </wp:anchor>
          </w:drawing>
        </mc:Choice>
        <mc:Fallback>
          <w:pict>
            <v:shape id="_x0000_s4593" type="#_x0000_t202" style="position:absolute;margin-left:290.55000000000001pt;margin-top:36.299999999999997pt;width:37.700000000000003pt;height:5.0499999999999998pt;z-index:-18874134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zapovijed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564515</wp:posOffset>
              </wp:positionV>
              <wp:extent cx="4017010" cy="0"/>
              <wp:wrapNone/>
              <wp:docPr id="3569" name="Shape 356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5pt;margin-top:44.450000000000003pt;width:316.30000000000001pt;height:0;z-index:-251658240;mso-position-horizontal-relative:page;mso-position-vertical-relative:page">
              <v:stroke weight="1.pt"/>
            </v:shape>
          </w:pict>
        </mc:Fallback>
      </mc:AlternateContent>
    </w:r>
  </w:p>
</w:hdr>
</file>

<file path=word/header8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12" behindDoc="1" locked="0" layoutInCell="1" allowOverlap="1">
              <wp:simplePos x="0" y="0"/>
              <wp:positionH relativeFrom="page">
                <wp:posOffset>3689985</wp:posOffset>
              </wp:positionH>
              <wp:positionV relativeFrom="page">
                <wp:posOffset>461010</wp:posOffset>
              </wp:positionV>
              <wp:extent cx="478790" cy="64135"/>
              <wp:wrapNone/>
              <wp:docPr id="3570" name="Shape 3570"/>
              <a:graphic xmlns:a="http://schemas.openxmlformats.org/drawingml/2006/main">
                <a:graphicData uri="http://schemas.microsoft.com/office/word/2010/wordprocessingShape">
                  <wps:wsp>
                    <wps:cNvSpPr txBox="1"/>
                    <wps:spPr>
                      <a:xfrm>
                        <a:ext cx="47879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zapovijed</w:t>
                          </w:r>
                        </w:p>
                      </w:txbxContent>
                    </wps:txbx>
                    <wps:bodyPr wrap="none" lIns="0" tIns="0" rIns="0" bIns="0">
                      <a:spAutoFit/>
                    </wps:bodyPr>
                  </wps:wsp>
                </a:graphicData>
              </a:graphic>
            </wp:anchor>
          </w:drawing>
        </mc:Choice>
        <mc:Fallback>
          <w:pict>
            <v:shape id="_x0000_s4596" type="#_x0000_t202" style="position:absolute;margin-left:290.55000000000001pt;margin-top:36.299999999999997pt;width:37.700000000000003pt;height:5.0499999999999998pt;z-index:-1887413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7"/>
                        <w:szCs w:val="17"/>
                      </w:rPr>
                    </w:pPr>
                    <w:r>
                      <w:rPr>
                        <w:smallCaps/>
                        <w:color w:val="000000"/>
                        <w:spacing w:val="0"/>
                        <w:w w:val="100"/>
                        <w:position w:val="0"/>
                        <w:sz w:val="17"/>
                        <w:szCs w:val="17"/>
                        <w:shd w:val="clear" w:color="auto" w:fill="auto"/>
                        <w:lang w:val="hr-HR" w:eastAsia="hr-HR" w:bidi="hr-HR"/>
                      </w:rPr>
                      <w:t>zapovijed</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564515</wp:posOffset>
              </wp:positionV>
              <wp:extent cx="4017010" cy="0"/>
              <wp:wrapNone/>
              <wp:docPr id="3572" name="Shape 357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15pt;margin-top:44.450000000000003pt;width:316.30000000000001pt;height:0;z-index:-251658240;mso-position-horizontal-relative:page;mso-position-vertical-relative:page">
              <v:stroke weight="1.pt"/>
            </v:shape>
          </w:pict>
        </mc:Fallback>
      </mc:AlternateContent>
    </w:r>
  </w:p>
</w:hdr>
</file>

<file path=word/header8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14" behindDoc="1" locked="0" layoutInCell="1" allowOverlap="1">
              <wp:simplePos x="0" y="0"/>
              <wp:positionH relativeFrom="page">
                <wp:posOffset>155575</wp:posOffset>
              </wp:positionH>
              <wp:positionV relativeFrom="page">
                <wp:posOffset>415290</wp:posOffset>
              </wp:positionV>
              <wp:extent cx="838200" cy="67310"/>
              <wp:wrapNone/>
              <wp:docPr id="3573" name="Shape 3573"/>
              <a:graphic xmlns:a="http://schemas.openxmlformats.org/drawingml/2006/main">
                <a:graphicData uri="http://schemas.microsoft.com/office/word/2010/wordprocessingShape">
                  <wps:wsp>
                    <wps:cNvSpPr txBox="1"/>
                    <wps:spPr>
                      <a:xfrm>
                        <a:ext cx="8382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ZAPOVIJED/ZAVJET</w:t>
                          </w:r>
                        </w:p>
                      </w:txbxContent>
                    </wps:txbx>
                    <wps:bodyPr wrap="none" lIns="0" tIns="0" rIns="0" bIns="0">
                      <a:spAutoFit/>
                    </wps:bodyPr>
                  </wps:wsp>
                </a:graphicData>
              </a:graphic>
            </wp:anchor>
          </w:drawing>
        </mc:Choice>
        <mc:Fallback>
          <w:pict>
            <v:shape id="_x0000_s4599" type="#_x0000_t202" style="position:absolute;margin-left:12.25pt;margin-top:32.700000000000003pt;width:66.pt;height:5.2999999999999998pt;z-index:-18874133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509270</wp:posOffset>
              </wp:positionV>
              <wp:extent cx="4020185" cy="0"/>
              <wp:wrapNone/>
              <wp:docPr id="3575" name="Shape 357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40.100000000000001pt;width:316.55000000000001pt;height:0;z-index:-251658240;mso-position-horizontal-relative:page;mso-position-vertical-relative:page">
              <v:stroke weight="1.pt"/>
            </v:shape>
          </w:pict>
        </mc:Fallback>
      </mc:AlternateContent>
    </w:r>
  </w:p>
</w:hdr>
</file>

<file path=word/header8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18" behindDoc="1" locked="0" layoutInCell="1" allowOverlap="1">
              <wp:simplePos x="0" y="0"/>
              <wp:positionH relativeFrom="page">
                <wp:posOffset>155575</wp:posOffset>
              </wp:positionH>
              <wp:positionV relativeFrom="page">
                <wp:posOffset>415290</wp:posOffset>
              </wp:positionV>
              <wp:extent cx="838200" cy="67310"/>
              <wp:wrapNone/>
              <wp:docPr id="3578" name="Shape 3578"/>
              <a:graphic xmlns:a="http://schemas.openxmlformats.org/drawingml/2006/main">
                <a:graphicData uri="http://schemas.microsoft.com/office/word/2010/wordprocessingShape">
                  <wps:wsp>
                    <wps:cNvSpPr txBox="1"/>
                    <wps:spPr>
                      <a:xfrm>
                        <a:ext cx="8382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ZAPOVIJED/ZAVJET</w:t>
                          </w:r>
                        </w:p>
                      </w:txbxContent>
                    </wps:txbx>
                    <wps:bodyPr wrap="none" lIns="0" tIns="0" rIns="0" bIns="0">
                      <a:spAutoFit/>
                    </wps:bodyPr>
                  </wps:wsp>
                </a:graphicData>
              </a:graphic>
            </wp:anchor>
          </w:drawing>
        </mc:Choice>
        <mc:Fallback>
          <w:pict>
            <v:shape id="_x0000_s4604" type="#_x0000_t202" style="position:absolute;margin-left:12.25pt;margin-top:32.700000000000003pt;width:66.pt;height:5.2999999999999998pt;z-index:-1887413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ZAPOVIJED/ZAVJET</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155575</wp:posOffset>
              </wp:positionH>
              <wp:positionV relativeFrom="page">
                <wp:posOffset>509270</wp:posOffset>
              </wp:positionV>
              <wp:extent cx="4020185" cy="0"/>
              <wp:wrapNone/>
              <wp:docPr id="3580" name="Shape 358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25pt;margin-top:40.100000000000001pt;width:316.55000000000001pt;height:0;z-index:-251658240;mso-position-horizontal-relative:page;mso-position-vertical-relative:page">
              <v:stroke weight="1.pt"/>
            </v:shape>
          </w:pict>
        </mc:Fallback>
      </mc:AlternateContent>
    </w:r>
  </w:p>
</w:hdr>
</file>

<file path=word/header8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22" behindDoc="1" locked="0" layoutInCell="1" allowOverlap="1">
              <wp:simplePos x="0" y="0"/>
              <wp:positionH relativeFrom="page">
                <wp:posOffset>3465830</wp:posOffset>
              </wp:positionH>
              <wp:positionV relativeFrom="page">
                <wp:posOffset>457835</wp:posOffset>
              </wp:positionV>
              <wp:extent cx="688975" cy="69850"/>
              <wp:wrapNone/>
              <wp:docPr id="3583" name="Shape 3583"/>
              <a:graphic xmlns:a="http://schemas.openxmlformats.org/drawingml/2006/main">
                <a:graphicData uri="http://schemas.microsoft.com/office/word/2010/wordprocessingShape">
                  <wps:wsp>
                    <wps:cNvSpPr txBox="1"/>
                    <wps:spPr>
                      <a:xfrm>
                        <a:ext cx="6889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7.AVJET/ZEMUA</w:t>
                          </w:r>
                        </w:p>
                      </w:txbxContent>
                    </wps:txbx>
                    <wps:bodyPr wrap="none" lIns="0" tIns="0" rIns="0" bIns="0">
                      <a:spAutoFit/>
                    </wps:bodyPr>
                  </wps:wsp>
                </a:graphicData>
              </a:graphic>
            </wp:anchor>
          </w:drawing>
        </mc:Choice>
        <mc:Fallback>
          <w:pict>
            <v:shape id="_x0000_s4609" type="#_x0000_t202" style="position:absolute;margin-left:272.89999999999998pt;margin-top:36.049999999999997pt;width:54.25pt;height:5.5pt;z-index:-1887413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7.AVJET/ZEMUA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564515</wp:posOffset>
              </wp:positionV>
              <wp:extent cx="4011295" cy="0"/>
              <wp:wrapNone/>
              <wp:docPr id="3585" name="Shape 3585"/>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550000000000001pt;margin-top:44.450000000000003pt;width:315.85000000000002pt;height:0;z-index:-251658240;mso-position-horizontal-relative:page;mso-position-vertical-relative:page">
              <v:stroke weight="1.pt"/>
            </v:shape>
          </w:pict>
        </mc:Fallback>
      </mc:AlternateContent>
    </w:r>
  </w:p>
</w:hdr>
</file>

<file path=word/header8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24" behindDoc="1" locked="0" layoutInCell="1" allowOverlap="1">
              <wp:simplePos x="0" y="0"/>
              <wp:positionH relativeFrom="page">
                <wp:posOffset>3465830</wp:posOffset>
              </wp:positionH>
              <wp:positionV relativeFrom="page">
                <wp:posOffset>457835</wp:posOffset>
              </wp:positionV>
              <wp:extent cx="688975" cy="69850"/>
              <wp:wrapNone/>
              <wp:docPr id="3586" name="Shape 3586"/>
              <a:graphic xmlns:a="http://schemas.openxmlformats.org/drawingml/2006/main">
                <a:graphicData uri="http://schemas.microsoft.com/office/word/2010/wordprocessingShape">
                  <wps:wsp>
                    <wps:cNvSpPr txBox="1"/>
                    <wps:spPr>
                      <a:xfrm>
                        <a:ext cx="688975" cy="698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7.AVJET/ZEMUA</w:t>
                          </w:r>
                        </w:p>
                      </w:txbxContent>
                    </wps:txbx>
                    <wps:bodyPr wrap="none" lIns="0" tIns="0" rIns="0" bIns="0">
                      <a:spAutoFit/>
                    </wps:bodyPr>
                  </wps:wsp>
                </a:graphicData>
              </a:graphic>
            </wp:anchor>
          </w:drawing>
        </mc:Choice>
        <mc:Fallback>
          <w:pict>
            <v:shape id="_x0000_s4612" type="#_x0000_t202" style="position:absolute;margin-left:272.89999999999998pt;margin-top:36.049999999999997pt;width:54.25pt;height:5.5pt;z-index:-1887413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7.AVJET/ZEMUA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146685</wp:posOffset>
              </wp:positionH>
              <wp:positionV relativeFrom="page">
                <wp:posOffset>564515</wp:posOffset>
              </wp:positionV>
              <wp:extent cx="4011295" cy="0"/>
              <wp:wrapNone/>
              <wp:docPr id="3588" name="Shape 3588"/>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550000000000001pt;margin-top:44.450000000000003pt;width:315.85000000000002pt;height:0;z-index:-251658240;mso-position-horizontal-relative:page;mso-position-vertical-relative:page">
              <v:stroke weight="1.pt"/>
            </v:shape>
          </w:pict>
        </mc:Fallback>
      </mc:AlternateContent>
    </w:r>
  </w:p>
</w:hdr>
</file>

<file path=word/header8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26" behindDoc="1" locked="0" layoutInCell="1" allowOverlap="1">
              <wp:simplePos x="0" y="0"/>
              <wp:positionH relativeFrom="page">
                <wp:posOffset>149860</wp:posOffset>
              </wp:positionH>
              <wp:positionV relativeFrom="page">
                <wp:posOffset>421640</wp:posOffset>
              </wp:positionV>
              <wp:extent cx="335280" cy="60960"/>
              <wp:wrapNone/>
              <wp:docPr id="3589" name="Shape 3589"/>
              <a:graphic xmlns:a="http://schemas.openxmlformats.org/drawingml/2006/main">
                <a:graphicData uri="http://schemas.microsoft.com/office/word/2010/wordprocessingShape">
                  <wps:wsp>
                    <wps:cNvSpPr txBox="1"/>
                    <wps:spPr>
                      <a:xfrm>
                        <a:ext cx="33528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w:t>
                          </w:r>
                        </w:p>
                      </w:txbxContent>
                    </wps:txbx>
                    <wps:bodyPr wrap="none" lIns="0" tIns="0" rIns="0" bIns="0">
                      <a:spAutoFit/>
                    </wps:bodyPr>
                  </wps:wsp>
                </a:graphicData>
              </a:graphic>
            </wp:anchor>
          </w:drawing>
        </mc:Choice>
        <mc:Fallback>
          <w:pict>
            <v:shape id="_x0000_s4615" type="#_x0000_t202" style="position:absolute;margin-left:11.800000000000001pt;margin-top:33.200000000000003pt;width:26.399999999999999pt;height:4.7999999999999998pt;z-index:-18874132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514350</wp:posOffset>
              </wp:positionV>
              <wp:extent cx="4017010" cy="0"/>
              <wp:wrapNone/>
              <wp:docPr id="3591" name="Shape 359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0.5pt;width:316.30000000000001pt;height:0;z-index:-251658240;mso-position-horizontal-relative:page;mso-position-vertical-relative:page">
              <v:stroke weight="1.pt"/>
            </v:shape>
          </w:pict>
        </mc:Fallback>
      </mc:AlternateContent>
    </w:r>
  </w:p>
</w:hdr>
</file>

<file path=word/header8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30" behindDoc="1" locked="0" layoutInCell="1" allowOverlap="1">
              <wp:simplePos x="0" y="0"/>
              <wp:positionH relativeFrom="page">
                <wp:posOffset>149860</wp:posOffset>
              </wp:positionH>
              <wp:positionV relativeFrom="page">
                <wp:posOffset>421640</wp:posOffset>
              </wp:positionV>
              <wp:extent cx="335280" cy="60960"/>
              <wp:wrapNone/>
              <wp:docPr id="3594" name="Shape 3594"/>
              <a:graphic xmlns:a="http://schemas.openxmlformats.org/drawingml/2006/main">
                <a:graphicData uri="http://schemas.microsoft.com/office/word/2010/wordprocessingShape">
                  <wps:wsp>
                    <wps:cNvSpPr txBox="1"/>
                    <wps:spPr>
                      <a:xfrm>
                        <a:ext cx="335280" cy="6096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w:t>
                          </w:r>
                        </w:p>
                      </w:txbxContent>
                    </wps:txbx>
                    <wps:bodyPr wrap="none" lIns="0" tIns="0" rIns="0" bIns="0">
                      <a:spAutoFit/>
                    </wps:bodyPr>
                  </wps:wsp>
                </a:graphicData>
              </a:graphic>
            </wp:anchor>
          </w:drawing>
        </mc:Choice>
        <mc:Fallback>
          <w:pict>
            <v:shape id="_x0000_s4620" type="#_x0000_t202" style="position:absolute;margin-left:11.800000000000001pt;margin-top:33.200000000000003pt;width:26.399999999999999pt;height:4.7999999999999998pt;z-index:-1887413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514350</wp:posOffset>
              </wp:positionV>
              <wp:extent cx="4017010" cy="0"/>
              <wp:wrapNone/>
              <wp:docPr id="3596" name="Shape 359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0.5pt;width:316.30000000000001pt;height:0;z-index:-251658240;mso-position-horizontal-relative:page;mso-position-vertical-relative:page">
              <v:stroke weight="1.pt"/>
            </v:shape>
          </w:pict>
        </mc:Fallback>
      </mc:AlternateContent>
    </w:r>
  </w:p>
</w:hdr>
</file>

<file path=word/header8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34" behindDoc="1" locked="0" layoutInCell="1" allowOverlap="1">
              <wp:simplePos x="0" y="0"/>
              <wp:positionH relativeFrom="page">
                <wp:posOffset>3831590</wp:posOffset>
              </wp:positionH>
              <wp:positionV relativeFrom="page">
                <wp:posOffset>418465</wp:posOffset>
              </wp:positionV>
              <wp:extent cx="335280" cy="64135"/>
              <wp:wrapNone/>
              <wp:docPr id="3599" name="Shape 3599"/>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ZEMUA</w:t>
                          </w:r>
                        </w:p>
                      </w:txbxContent>
                    </wps:txbx>
                    <wps:bodyPr wrap="none" lIns="0" tIns="0" rIns="0" bIns="0">
                      <a:spAutoFit/>
                    </wps:bodyPr>
                  </wps:wsp>
                </a:graphicData>
              </a:graphic>
            </wp:anchor>
          </w:drawing>
        </mc:Choice>
        <mc:Fallback>
          <w:pict>
            <v:shape id="_x0000_s4625" type="#_x0000_t202" style="position:absolute;margin-left:301.69999999999999pt;margin-top:32.950000000000003pt;width:26.399999999999999pt;height:5.0499999999999998pt;z-index:-18874131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ZEMUA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521970</wp:posOffset>
              </wp:positionV>
              <wp:extent cx="4017010" cy="0"/>
              <wp:wrapNone/>
              <wp:docPr id="3601" name="Shape 360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100000000000001pt;width:316.30000000000001pt;height:0;z-index:-251658240;mso-position-horizontal-relative:page;mso-position-vertical-relative:page">
              <v:stroke weight="1.pt"/>
            </v:shape>
          </w:pict>
        </mc:Fallback>
      </mc:AlternateContent>
    </w:r>
  </w:p>
</w:hdr>
</file>

<file path=word/header8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36" behindDoc="1" locked="0" layoutInCell="1" allowOverlap="1">
              <wp:simplePos x="0" y="0"/>
              <wp:positionH relativeFrom="page">
                <wp:posOffset>3831590</wp:posOffset>
              </wp:positionH>
              <wp:positionV relativeFrom="page">
                <wp:posOffset>418465</wp:posOffset>
              </wp:positionV>
              <wp:extent cx="335280" cy="64135"/>
              <wp:wrapNone/>
              <wp:docPr id="3602" name="Shape 3602"/>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ZEMUA</w:t>
                          </w:r>
                        </w:p>
                      </w:txbxContent>
                    </wps:txbx>
                    <wps:bodyPr wrap="none" lIns="0" tIns="0" rIns="0" bIns="0">
                      <a:spAutoFit/>
                    </wps:bodyPr>
                  </wps:wsp>
                </a:graphicData>
              </a:graphic>
            </wp:anchor>
          </w:drawing>
        </mc:Choice>
        <mc:Fallback>
          <w:pict>
            <v:shape id="_x0000_s4628" type="#_x0000_t202" style="position:absolute;margin-left:301.69999999999999pt;margin-top:32.950000000000003pt;width:26.399999999999999pt;height:5.0499999999999998pt;z-index:-1887413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ZEMUA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149860</wp:posOffset>
              </wp:positionH>
              <wp:positionV relativeFrom="page">
                <wp:posOffset>521970</wp:posOffset>
              </wp:positionV>
              <wp:extent cx="4017010" cy="0"/>
              <wp:wrapNone/>
              <wp:docPr id="3604" name="Shape 360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00000000000001pt;margin-top:41.100000000000001pt;width:316.30000000000001pt;height:0;z-index:-251658240;mso-position-horizontal-relative:page;mso-position-vertical-relative:page">
              <v:stroke weight="1.pt"/>
            </v:shape>
          </w:pict>
        </mc:Fallback>
      </mc:AlternateContent>
    </w:r>
  </w:p>
</w:hdr>
</file>

<file path=word/header8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38" behindDoc="1" locked="0" layoutInCell="1" allowOverlap="1">
              <wp:simplePos x="0" y="0"/>
              <wp:positionH relativeFrom="page">
                <wp:posOffset>3828415</wp:posOffset>
              </wp:positionH>
              <wp:positionV relativeFrom="page">
                <wp:posOffset>424180</wp:posOffset>
              </wp:positionV>
              <wp:extent cx="335280" cy="57785"/>
              <wp:wrapNone/>
              <wp:docPr id="3607" name="Shape 3607"/>
              <a:graphic xmlns:a="http://schemas.openxmlformats.org/drawingml/2006/main">
                <a:graphicData uri="http://schemas.microsoft.com/office/word/2010/wordprocessingShape">
                  <wps:wsp>
                    <wps:cNvSpPr txBox="1"/>
                    <wps:spPr>
                      <a:xfrm>
                        <a:ext cx="335280"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ZEMLJA</w:t>
                          </w:r>
                        </w:p>
                      </w:txbxContent>
                    </wps:txbx>
                    <wps:bodyPr wrap="none" lIns="0" tIns="0" rIns="0" bIns="0">
                      <a:spAutoFit/>
                    </wps:bodyPr>
                  </wps:wsp>
                </a:graphicData>
              </a:graphic>
            </wp:anchor>
          </w:drawing>
        </mc:Choice>
        <mc:Fallback>
          <w:pict>
            <v:shape id="_x0000_s4633" type="#_x0000_t202" style="position:absolute;margin-left:301.44999999999999pt;margin-top:33.399999999999999pt;width:26.399999999999999pt;height:4.5499999999999998pt;z-index:-18874131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ZEMLJA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524510</wp:posOffset>
              </wp:positionV>
              <wp:extent cx="4020185" cy="0"/>
              <wp:wrapNone/>
              <wp:docPr id="3609" name="Shape 360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050000000000001pt;margin-top:41.299999999999997pt;width:316.55000000000001pt;height:0;z-index:-251658240;mso-position-horizontal-relative:page;mso-position-vertical-relative:page">
              <v:stroke weight="1.pt"/>
            </v:shape>
          </w:pict>
        </mc:Fallback>
      </mc:AlternateContent>
    </w:r>
  </w:p>
</w:hdr>
</file>

<file path=word/header8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42" behindDoc="1" locked="0" layoutInCell="1" allowOverlap="1">
              <wp:simplePos x="0" y="0"/>
              <wp:positionH relativeFrom="page">
                <wp:posOffset>3828415</wp:posOffset>
              </wp:positionH>
              <wp:positionV relativeFrom="page">
                <wp:posOffset>424180</wp:posOffset>
              </wp:positionV>
              <wp:extent cx="335280" cy="57785"/>
              <wp:wrapNone/>
              <wp:docPr id="3612" name="Shape 3612"/>
              <a:graphic xmlns:a="http://schemas.openxmlformats.org/drawingml/2006/main">
                <a:graphicData uri="http://schemas.microsoft.com/office/word/2010/wordprocessingShape">
                  <wps:wsp>
                    <wps:cNvSpPr txBox="1"/>
                    <wps:spPr>
                      <a:xfrm>
                        <a:ext cx="335280"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ZEMLJA</w:t>
                          </w:r>
                        </w:p>
                      </w:txbxContent>
                    </wps:txbx>
                    <wps:bodyPr wrap="none" lIns="0" tIns="0" rIns="0" bIns="0">
                      <a:spAutoFit/>
                    </wps:bodyPr>
                  </wps:wsp>
                </a:graphicData>
              </a:graphic>
            </wp:anchor>
          </w:drawing>
        </mc:Choice>
        <mc:Fallback>
          <w:pict>
            <v:shape id="_x0000_s4638" type="#_x0000_t202" style="position:absolute;margin-left:301.44999999999999pt;margin-top:33.399999999999999pt;width:26.399999999999999pt;height:4.5499999999999998pt;z-index:-1887413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ZEMLJA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140335</wp:posOffset>
              </wp:positionH>
              <wp:positionV relativeFrom="page">
                <wp:posOffset>524510</wp:posOffset>
              </wp:positionV>
              <wp:extent cx="4020185" cy="0"/>
              <wp:wrapNone/>
              <wp:docPr id="3614" name="Shape 361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050000000000001pt;margin-top:41.299999999999997pt;width:316.55000000000001pt;height:0;z-index:-251658240;mso-position-horizontal-relative:page;mso-position-vertical-relative:page">
              <v:stroke weight="1.pt"/>
            </v:shape>
          </w:pict>
        </mc:Fallback>
      </mc:AlternateContent>
    </w:r>
  </w:p>
</w:hdr>
</file>

<file path=word/header8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46" behindDoc="1" locked="0" layoutInCell="1" allowOverlap="1">
              <wp:simplePos x="0" y="0"/>
              <wp:positionH relativeFrom="page">
                <wp:posOffset>145415</wp:posOffset>
              </wp:positionH>
              <wp:positionV relativeFrom="page">
                <wp:posOffset>473710</wp:posOffset>
              </wp:positionV>
              <wp:extent cx="335280" cy="64135"/>
              <wp:wrapNone/>
              <wp:docPr id="3617" name="Shape 3617"/>
              <a:graphic xmlns:a="http://schemas.openxmlformats.org/drawingml/2006/main">
                <a:graphicData uri="http://schemas.microsoft.com/office/word/2010/wordprocessingShape">
                  <wps:wsp>
                    <wps:cNvSpPr txBox="1"/>
                    <wps:spPr>
                      <a:xfrm>
                        <a:ext cx="33528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w:t>
                          </w:r>
                        </w:p>
                      </w:txbxContent>
                    </wps:txbx>
                    <wps:bodyPr wrap="none" lIns="0" tIns="0" rIns="0" bIns="0">
                      <a:spAutoFit/>
                    </wps:bodyPr>
                  </wps:wsp>
                </a:graphicData>
              </a:graphic>
            </wp:anchor>
          </w:drawing>
        </mc:Choice>
        <mc:Fallback>
          <w:pict>
            <v:shape id="_x0000_s4643" type="#_x0000_t202" style="position:absolute;margin-left:11.449999999999999pt;margin-top:37.299999999999997pt;width:26.399999999999999pt;height:5.0499999999999998pt;z-index:-18874130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145415</wp:posOffset>
              </wp:positionH>
              <wp:positionV relativeFrom="page">
                <wp:posOffset>567690</wp:posOffset>
              </wp:positionV>
              <wp:extent cx="4014470" cy="0"/>
              <wp:wrapNone/>
              <wp:docPr id="3619" name="Shape 361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449999999999999pt;margin-top:44.700000000000003pt;width:316.10000000000002pt;height:0;z-index:-251658240;mso-position-horizontal-relative:page;mso-position-vertical-relative:page">
              <v:stroke weight="1.pt"/>
            </v:shape>
          </w:pict>
        </mc:Fallback>
      </mc:AlternateContent>
    </w:r>
  </w:p>
</w:hdr>
</file>

<file path=word/header8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50" behindDoc="1" locked="0" layoutInCell="1" allowOverlap="1">
              <wp:simplePos x="0" y="0"/>
              <wp:positionH relativeFrom="page">
                <wp:posOffset>4002405</wp:posOffset>
              </wp:positionH>
              <wp:positionV relativeFrom="page">
                <wp:posOffset>424180</wp:posOffset>
              </wp:positionV>
              <wp:extent cx="170815" cy="57785"/>
              <wp:wrapNone/>
              <wp:docPr id="3622" name="Shape 3622"/>
              <a:graphic xmlns:a="http://schemas.openxmlformats.org/drawingml/2006/main">
                <a:graphicData uri="http://schemas.microsoft.com/office/word/2010/wordprocessingShape">
                  <wps:wsp>
                    <wps:cNvSpPr txBox="1"/>
                    <wps:spPr>
                      <a:xfrm>
                        <a:ext cx="17081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ZLO</w:t>
                          </w:r>
                        </w:p>
                      </w:txbxContent>
                    </wps:txbx>
                    <wps:bodyPr wrap="none" lIns="0" tIns="0" rIns="0" bIns="0">
                      <a:spAutoFit/>
                    </wps:bodyPr>
                  </wps:wsp>
                </a:graphicData>
              </a:graphic>
            </wp:anchor>
          </w:drawing>
        </mc:Choice>
        <mc:Fallback>
          <w:pict>
            <v:shape id="_x0000_s4648" type="#_x0000_t202" style="position:absolute;margin-left:315.14999999999998pt;margin-top:33.399999999999999pt;width:13.449999999999999pt;height:4.5499999999999998pt;z-index:-18874130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ZLO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161925</wp:posOffset>
              </wp:positionH>
              <wp:positionV relativeFrom="page">
                <wp:posOffset>518795</wp:posOffset>
              </wp:positionV>
              <wp:extent cx="4011295" cy="0"/>
              <wp:wrapNone/>
              <wp:docPr id="3624" name="Shape 3624"/>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75pt;margin-top:40.850000000000001pt;width:315.85000000000002pt;height:0;z-index:-251658240;mso-position-horizontal-relative:page;mso-position-vertical-relative:page">
              <v:stroke weight="1.pt"/>
            </v:shape>
          </w:pict>
        </mc:Fallback>
      </mc:AlternateContent>
    </w:r>
  </w:p>
</w:hdr>
</file>

<file path=word/header8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54" behindDoc="1" locked="0" layoutInCell="1" allowOverlap="1">
              <wp:simplePos x="0" y="0"/>
              <wp:positionH relativeFrom="page">
                <wp:posOffset>4002405</wp:posOffset>
              </wp:positionH>
              <wp:positionV relativeFrom="page">
                <wp:posOffset>424180</wp:posOffset>
              </wp:positionV>
              <wp:extent cx="170815" cy="57785"/>
              <wp:wrapNone/>
              <wp:docPr id="3627" name="Shape 3627"/>
              <a:graphic xmlns:a="http://schemas.openxmlformats.org/drawingml/2006/main">
                <a:graphicData uri="http://schemas.microsoft.com/office/word/2010/wordprocessingShape">
                  <wps:wsp>
                    <wps:cNvSpPr txBox="1"/>
                    <wps:spPr>
                      <a:xfrm>
                        <a:ext cx="170815" cy="5778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ZLO</w:t>
                          </w:r>
                        </w:p>
                      </w:txbxContent>
                    </wps:txbx>
                    <wps:bodyPr wrap="none" lIns="0" tIns="0" rIns="0" bIns="0">
                      <a:spAutoFit/>
                    </wps:bodyPr>
                  </wps:wsp>
                </a:graphicData>
              </a:graphic>
            </wp:anchor>
          </w:drawing>
        </mc:Choice>
        <mc:Fallback>
          <w:pict>
            <v:shape id="_x0000_s4653" type="#_x0000_t202" style="position:absolute;margin-left:315.14999999999998pt;margin-top:33.399999999999999pt;width:13.449999999999999pt;height:4.5499999999999998pt;z-index:-18874129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ZLO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161925</wp:posOffset>
              </wp:positionH>
              <wp:positionV relativeFrom="page">
                <wp:posOffset>518795</wp:posOffset>
              </wp:positionV>
              <wp:extent cx="4011295" cy="0"/>
              <wp:wrapNone/>
              <wp:docPr id="3629" name="Shape 362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75pt;margin-top:40.850000000000001pt;width:315.85000000000002pt;height:0;z-index:-251658240;mso-position-horizontal-relative:page;mso-position-vertical-relative:page">
              <v:stroke weight="1.pt"/>
            </v:shape>
          </w:pict>
        </mc:Fallback>
      </mc:AlternateContent>
    </w:r>
  </w:p>
</w:hdr>
</file>

<file path=word/header8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58" behindDoc="1" locked="0" layoutInCell="1" allowOverlap="1">
              <wp:simplePos x="0" y="0"/>
              <wp:positionH relativeFrom="page">
                <wp:posOffset>158750</wp:posOffset>
              </wp:positionH>
              <wp:positionV relativeFrom="page">
                <wp:posOffset>415290</wp:posOffset>
              </wp:positionV>
              <wp:extent cx="533400" cy="67310"/>
              <wp:wrapNone/>
              <wp:docPr id="3632" name="Shape 3632"/>
              <a:graphic xmlns:a="http://schemas.openxmlformats.org/drawingml/2006/main">
                <a:graphicData uri="http://schemas.microsoft.com/office/word/2010/wordprocessingShape">
                  <wps:wsp>
                    <wps:cNvSpPr txBox="1"/>
                    <wps:spPr>
                      <a:xfrm>
                        <a:ext cx="533400" cy="6731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ZEMLJA/'ZLO</w:t>
                          </w:r>
                        </w:p>
                      </w:txbxContent>
                    </wps:txbx>
                    <wps:bodyPr wrap="none" lIns="0" tIns="0" rIns="0" bIns="0">
                      <a:spAutoFit/>
                    </wps:bodyPr>
                  </wps:wsp>
                </a:graphicData>
              </a:graphic>
            </wp:anchor>
          </w:drawing>
        </mc:Choice>
        <mc:Fallback>
          <w:pict>
            <v:shape id="_x0000_s4658" type="#_x0000_t202" style="position:absolute;margin-left:12.5pt;margin-top:32.700000000000003pt;width:42.pt;height:5.2999999999999998pt;z-index:-18874129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ZEMLJA/'ZLO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158750</wp:posOffset>
              </wp:positionH>
              <wp:positionV relativeFrom="page">
                <wp:posOffset>515620</wp:posOffset>
              </wp:positionV>
              <wp:extent cx="4014470" cy="0"/>
              <wp:wrapNone/>
              <wp:docPr id="3634" name="Shape 363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5pt;margin-top:40.600000000000001pt;width:316.10000000000002pt;height:0;z-index:-251658240;mso-position-horizontal-relative:page;mso-position-vertical-relative:page">
              <v:stroke weight="1.pt"/>
            </v:shape>
          </w:pict>
        </mc:Fallback>
      </mc:AlternateContent>
    </w:r>
  </w:p>
</w:hdr>
</file>

<file path=word/header8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62" behindDoc="1" locked="0" layoutInCell="1" allowOverlap="1">
              <wp:simplePos x="0" y="0"/>
              <wp:positionH relativeFrom="page">
                <wp:posOffset>157480</wp:posOffset>
              </wp:positionH>
              <wp:positionV relativeFrom="page">
                <wp:posOffset>418465</wp:posOffset>
              </wp:positionV>
              <wp:extent cx="167640" cy="64135"/>
              <wp:wrapNone/>
              <wp:docPr id="3637" name="Shape 3637"/>
              <a:graphic xmlns:a="http://schemas.openxmlformats.org/drawingml/2006/main">
                <a:graphicData uri="http://schemas.microsoft.com/office/word/2010/wordprocessingShape">
                  <wps:wsp>
                    <wps:cNvSpPr txBox="1"/>
                    <wps:spPr>
                      <a:xfrm>
                        <a:ext cx="1676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ZLO</w:t>
                          </w:r>
                        </w:p>
                      </w:txbxContent>
                    </wps:txbx>
                    <wps:bodyPr wrap="none" lIns="0" tIns="0" rIns="0" bIns="0">
                      <a:spAutoFit/>
                    </wps:bodyPr>
                  </wps:wsp>
                </a:graphicData>
              </a:graphic>
            </wp:anchor>
          </w:drawing>
        </mc:Choice>
        <mc:Fallback>
          <w:pict>
            <v:shape id="_x0000_s4663" type="#_x0000_t202" style="position:absolute;margin-left:12.4pt;margin-top:32.950000000000003pt;width:13.199999999999999pt;height:5.0499999999999998pt;z-index:-18874129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ZLO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515620</wp:posOffset>
              </wp:positionV>
              <wp:extent cx="4014470" cy="0"/>
              <wp:wrapNone/>
              <wp:docPr id="3639" name="Shape 3639"/>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40.600000000000001pt;width:316.10000000000002pt;height:0;z-index:-251658240;mso-position-horizontal-relative:page;mso-position-vertical-relative:page">
              <v:stroke weight="1.pt"/>
            </v:shape>
          </w:pict>
        </mc:Fallback>
      </mc:AlternateContent>
    </w:r>
  </w:p>
</w:hdr>
</file>

<file path=word/header8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66" behindDoc="1" locked="0" layoutInCell="1" allowOverlap="1">
              <wp:simplePos x="0" y="0"/>
              <wp:positionH relativeFrom="page">
                <wp:posOffset>157480</wp:posOffset>
              </wp:positionH>
              <wp:positionV relativeFrom="page">
                <wp:posOffset>418465</wp:posOffset>
              </wp:positionV>
              <wp:extent cx="167640" cy="64135"/>
              <wp:wrapNone/>
              <wp:docPr id="3642" name="Shape 3642"/>
              <a:graphic xmlns:a="http://schemas.openxmlformats.org/drawingml/2006/main">
                <a:graphicData uri="http://schemas.microsoft.com/office/word/2010/wordprocessingShape">
                  <wps:wsp>
                    <wps:cNvSpPr txBox="1"/>
                    <wps:spPr>
                      <a:xfrm>
                        <a:ext cx="1676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ZLO</w:t>
                          </w:r>
                        </w:p>
                      </w:txbxContent>
                    </wps:txbx>
                    <wps:bodyPr wrap="none" lIns="0" tIns="0" rIns="0" bIns="0">
                      <a:spAutoFit/>
                    </wps:bodyPr>
                  </wps:wsp>
                </a:graphicData>
              </a:graphic>
            </wp:anchor>
          </w:drawing>
        </mc:Choice>
        <mc:Fallback>
          <w:pict>
            <v:shape id="_x0000_s4668" type="#_x0000_t202" style="position:absolute;margin-left:12.4pt;margin-top:32.950000000000003pt;width:13.199999999999999pt;height:5.0499999999999998pt;z-index:-1887412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ZLO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154305</wp:posOffset>
              </wp:positionH>
              <wp:positionV relativeFrom="page">
                <wp:posOffset>515620</wp:posOffset>
              </wp:positionV>
              <wp:extent cx="4014470" cy="0"/>
              <wp:wrapNone/>
              <wp:docPr id="3644" name="Shape 3644"/>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2.15pt;margin-top:40.600000000000001pt;width:316.10000000000002pt;height:0;z-index:-251658240;mso-position-horizontal-relative:page;mso-position-vertical-relative:page">
              <v:stroke weight="1.pt"/>
            </v:shape>
          </w:pict>
        </mc:Fallback>
      </mc:AlternateContent>
    </w:r>
  </w:p>
</w:hdr>
</file>

<file path=word/header8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70" behindDoc="1" locked="0" layoutInCell="1" allowOverlap="1">
              <wp:simplePos x="0" y="0"/>
              <wp:positionH relativeFrom="page">
                <wp:posOffset>147955</wp:posOffset>
              </wp:positionH>
              <wp:positionV relativeFrom="page">
                <wp:posOffset>396240</wp:posOffset>
              </wp:positionV>
              <wp:extent cx="231775" cy="76200"/>
              <wp:wrapNone/>
              <wp:docPr id="3647" name="Shape 3647"/>
              <a:graphic xmlns:a="http://schemas.openxmlformats.org/drawingml/2006/main">
                <a:graphicData uri="http://schemas.microsoft.com/office/word/2010/wordprocessingShape">
                  <wps:wsp>
                    <wps:cNvSpPr txBox="1"/>
                    <wps:spPr>
                      <a:xfrm>
                        <a:ext cx="2317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673" type="#_x0000_t202" style="position:absolute;margin-left:11.65pt;margin-top:31.199999999999999pt;width:18.25pt;height:6.pt;z-index:-18874128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502920</wp:posOffset>
              </wp:positionV>
              <wp:extent cx="4011295" cy="0"/>
              <wp:wrapNone/>
              <wp:docPr id="3649" name="Shape 364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65pt;margin-top:39.600000000000001pt;width:315.85000000000002pt;height:0;z-index:-251658240;mso-position-horizontal-relative:page;mso-position-vertical-relative:page">
              <v:stroke weight="1.pt"/>
            </v:shape>
          </w:pict>
        </mc:Fallback>
      </mc:AlternateContent>
    </w:r>
  </w:p>
</w:hdr>
</file>

<file path=word/header8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74" behindDoc="1" locked="0" layoutInCell="1" allowOverlap="1">
              <wp:simplePos x="0" y="0"/>
              <wp:positionH relativeFrom="page">
                <wp:posOffset>147955</wp:posOffset>
              </wp:positionH>
              <wp:positionV relativeFrom="page">
                <wp:posOffset>396240</wp:posOffset>
              </wp:positionV>
              <wp:extent cx="231775" cy="76200"/>
              <wp:wrapNone/>
              <wp:docPr id="3652" name="Shape 3652"/>
              <a:graphic xmlns:a="http://schemas.openxmlformats.org/drawingml/2006/main">
                <a:graphicData uri="http://schemas.microsoft.com/office/word/2010/wordprocessingShape">
                  <wps:wsp>
                    <wps:cNvSpPr txBox="1"/>
                    <wps:spPr>
                      <a:xfrm>
                        <a:ext cx="2317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678" type="#_x0000_t202" style="position:absolute;margin-left:11.65pt;margin-top:31.199999999999999pt;width:18.25pt;height:6.pt;z-index:-1887412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502920</wp:posOffset>
              </wp:positionV>
              <wp:extent cx="4011295" cy="0"/>
              <wp:wrapNone/>
              <wp:docPr id="3654" name="Shape 3654"/>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65pt;margin-top:39.600000000000001pt;width:315.85000000000002pt;height:0;z-index:-251658240;mso-position-horizontal-relative:page;mso-position-vertical-relative:page">
              <v:stroke weight="1.pt"/>
            </v:shape>
          </w:pict>
        </mc:Fallback>
      </mc:AlternateContent>
    </w:r>
  </w:p>
</w:hdr>
</file>

<file path=word/header8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80" behindDoc="1" locked="0" layoutInCell="1" allowOverlap="1">
              <wp:simplePos x="0" y="0"/>
              <wp:positionH relativeFrom="page">
                <wp:posOffset>141605</wp:posOffset>
              </wp:positionH>
              <wp:positionV relativeFrom="page">
                <wp:posOffset>396240</wp:posOffset>
              </wp:positionV>
              <wp:extent cx="231775" cy="76200"/>
              <wp:wrapNone/>
              <wp:docPr id="3659" name="Shape 3659"/>
              <a:graphic xmlns:a="http://schemas.openxmlformats.org/drawingml/2006/main">
                <a:graphicData uri="http://schemas.microsoft.com/office/word/2010/wordprocessingShape">
                  <wps:wsp>
                    <wps:cNvSpPr txBox="1"/>
                    <wps:spPr>
                      <a:xfrm>
                        <a:ext cx="2317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ŽHNA</w:t>
                          </w:r>
                        </w:p>
                      </w:txbxContent>
                    </wps:txbx>
                    <wps:bodyPr wrap="none" lIns="0" tIns="0" rIns="0" bIns="0">
                      <a:spAutoFit/>
                    </wps:bodyPr>
                  </wps:wsp>
                </a:graphicData>
              </a:graphic>
            </wp:anchor>
          </w:drawing>
        </mc:Choice>
        <mc:Fallback>
          <w:pict>
            <v:shape id="_x0000_s4685" type="#_x0000_t202" style="position:absolute;margin-left:11.15pt;margin-top:31.199999999999999pt;width:18.25pt;height:6.pt;z-index:-1887412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ŽHNA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504825</wp:posOffset>
              </wp:positionV>
              <wp:extent cx="4023360" cy="0"/>
              <wp:wrapNone/>
              <wp:docPr id="3661" name="Shape 3661"/>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39.75pt;width:316.80000000000001pt;height:0;z-index:-251658240;mso-position-horizontal-relative:page;mso-position-vertical-relative:page">
              <v:stroke weight="1.pt"/>
            </v:shape>
          </w:pict>
        </mc:Fallback>
      </mc:AlternateContent>
    </w:r>
  </w:p>
</w:hdr>
</file>

<file path=word/header8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84" behindDoc="1" locked="0" layoutInCell="1" allowOverlap="1">
              <wp:simplePos x="0" y="0"/>
              <wp:positionH relativeFrom="page">
                <wp:posOffset>141605</wp:posOffset>
              </wp:positionH>
              <wp:positionV relativeFrom="page">
                <wp:posOffset>396240</wp:posOffset>
              </wp:positionV>
              <wp:extent cx="231775" cy="76200"/>
              <wp:wrapNone/>
              <wp:docPr id="3664" name="Shape 3664"/>
              <a:graphic xmlns:a="http://schemas.openxmlformats.org/drawingml/2006/main">
                <a:graphicData uri="http://schemas.microsoft.com/office/word/2010/wordprocessingShape">
                  <wps:wsp>
                    <wps:cNvSpPr txBox="1"/>
                    <wps:spPr>
                      <a:xfrm>
                        <a:ext cx="2317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ŽHNA</w:t>
                          </w:r>
                        </w:p>
                      </w:txbxContent>
                    </wps:txbx>
                    <wps:bodyPr wrap="none" lIns="0" tIns="0" rIns="0" bIns="0">
                      <a:spAutoFit/>
                    </wps:bodyPr>
                  </wps:wsp>
                </a:graphicData>
              </a:graphic>
            </wp:anchor>
          </w:drawing>
        </mc:Choice>
        <mc:Fallback>
          <w:pict>
            <v:shape id="_x0000_s4690" type="#_x0000_t202" style="position:absolute;margin-left:11.15pt;margin-top:31.199999999999999pt;width:18.25pt;height:6.pt;z-index:-1887412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ŽHNA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504825</wp:posOffset>
              </wp:positionV>
              <wp:extent cx="4023360" cy="0"/>
              <wp:wrapNone/>
              <wp:docPr id="3666" name="Shape 3666"/>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39.75pt;width:316.80000000000001pt;height:0;z-index:-251658240;mso-position-horizontal-relative:page;mso-position-vertical-relative:page">
              <v:stroke weight="1.pt"/>
            </v:shape>
          </w:pict>
        </mc:Fallback>
      </mc:AlternateContent>
    </w:r>
  </w:p>
</w:hdr>
</file>

<file path=word/header8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88" behindDoc="1" locked="0" layoutInCell="1" allowOverlap="1">
              <wp:simplePos x="0" y="0"/>
              <wp:positionH relativeFrom="page">
                <wp:posOffset>3945255</wp:posOffset>
              </wp:positionH>
              <wp:positionV relativeFrom="page">
                <wp:posOffset>396240</wp:posOffset>
              </wp:positionV>
              <wp:extent cx="231775" cy="76200"/>
              <wp:wrapNone/>
              <wp:docPr id="3669" name="Shape 3669"/>
              <a:graphic xmlns:a="http://schemas.openxmlformats.org/drawingml/2006/main">
                <a:graphicData uri="http://schemas.microsoft.com/office/word/2010/wordprocessingShape">
                  <wps:wsp>
                    <wps:cNvSpPr txBox="1"/>
                    <wps:spPr>
                      <a:xfrm>
                        <a:ext cx="23177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695" type="#_x0000_t202" style="position:absolute;margin-left:310.64999999999998pt;margin-top:31.199999999999999pt;width:18.25pt;height:6.pt;z-index:-1887412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160020</wp:posOffset>
              </wp:positionH>
              <wp:positionV relativeFrom="page">
                <wp:posOffset>509270</wp:posOffset>
              </wp:positionV>
              <wp:extent cx="4017010" cy="0"/>
              <wp:wrapNone/>
              <wp:docPr id="3671" name="Shape 3671"/>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2.6pt;margin-top:40.100000000000001pt;width:316.30000000000001pt;height:0;z-index:-251658240;mso-position-horizontal-relative:page;mso-position-vertical-relative:page">
              <v:stroke weight="1.pt"/>
            </v:shape>
          </w:pict>
        </mc:Fallback>
      </mc:AlternateContent>
    </w:r>
  </w:p>
</w:hdr>
</file>

<file path=word/header8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92" behindDoc="1" locked="0" layoutInCell="1" allowOverlap="1">
              <wp:simplePos x="0" y="0"/>
              <wp:positionH relativeFrom="page">
                <wp:posOffset>3933190</wp:posOffset>
              </wp:positionH>
              <wp:positionV relativeFrom="page">
                <wp:posOffset>405765</wp:posOffset>
              </wp:positionV>
              <wp:extent cx="234950" cy="76200"/>
              <wp:wrapNone/>
              <wp:docPr id="3674" name="Shape 3674"/>
              <a:graphic xmlns:a="http://schemas.openxmlformats.org/drawingml/2006/main">
                <a:graphicData uri="http://schemas.microsoft.com/office/word/2010/wordprocessingShape">
                  <wps:wsp>
                    <wps:cNvSpPr txBox="1"/>
                    <wps:spPr>
                      <a:xfrm>
                        <a:ext cx="2349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700" type="#_x0000_t202" style="position:absolute;margin-left:309.69999999999999pt;margin-top:31.949999999999999pt;width:18.5pt;height:6.pt;z-index:-1887412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524510</wp:posOffset>
              </wp:positionV>
              <wp:extent cx="4017010" cy="0"/>
              <wp:wrapNone/>
              <wp:docPr id="3676" name="Shape 3676"/>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1.299999999999997pt;width:316.30000000000001pt;height:0;z-index:-251658240;mso-position-horizontal-relative:page;mso-position-vertical-relative:page">
              <v:stroke weight="1.pt"/>
            </v:shape>
          </w:pict>
        </mc:Fallback>
      </mc:AlternateContent>
    </w:r>
  </w:p>
</w:hdr>
</file>

<file path=word/header8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94" behindDoc="1" locked="0" layoutInCell="1" allowOverlap="1">
              <wp:simplePos x="0" y="0"/>
              <wp:positionH relativeFrom="page">
                <wp:posOffset>3933190</wp:posOffset>
              </wp:positionH>
              <wp:positionV relativeFrom="page">
                <wp:posOffset>405765</wp:posOffset>
              </wp:positionV>
              <wp:extent cx="234950" cy="76200"/>
              <wp:wrapNone/>
              <wp:docPr id="3677" name="Shape 3677"/>
              <a:graphic xmlns:a="http://schemas.openxmlformats.org/drawingml/2006/main">
                <a:graphicData uri="http://schemas.microsoft.com/office/word/2010/wordprocessingShape">
                  <wps:wsp>
                    <wps:cNvSpPr txBox="1"/>
                    <wps:spPr>
                      <a:xfrm>
                        <a:ext cx="2349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703" type="#_x0000_t202" style="position:absolute;margin-left:309.69999999999999pt;margin-top:31.949999999999999pt;width:18.5pt;height:6.pt;z-index:-18874125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524510</wp:posOffset>
              </wp:positionV>
              <wp:extent cx="4017010" cy="0"/>
              <wp:wrapNone/>
              <wp:docPr id="3679" name="Shape 367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1.299999999999997pt;width:316.30000000000001pt;height:0;z-index:-251658240;mso-position-horizontal-relative:page;mso-position-vertical-relative:page">
              <v:stroke weight="1.pt"/>
            </v:shape>
          </w:pict>
        </mc:Fallback>
      </mc:AlternateContent>
    </w:r>
  </w:p>
</w:hdr>
</file>

<file path=word/header8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496" behindDoc="1" locked="0" layoutInCell="1" allowOverlap="1">
              <wp:simplePos x="0" y="0"/>
              <wp:positionH relativeFrom="page">
                <wp:posOffset>150495</wp:posOffset>
              </wp:positionH>
              <wp:positionV relativeFrom="page">
                <wp:posOffset>411480</wp:posOffset>
              </wp:positionV>
              <wp:extent cx="234950" cy="76200"/>
              <wp:wrapNone/>
              <wp:docPr id="3680" name="Shape 3680"/>
              <a:graphic xmlns:a="http://schemas.openxmlformats.org/drawingml/2006/main">
                <a:graphicData uri="http://schemas.microsoft.com/office/word/2010/wordprocessingShape">
                  <wps:wsp>
                    <wps:cNvSpPr txBox="1"/>
                    <wps:spPr>
                      <a:xfrm>
                        <a:ext cx="2349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706" type="#_x0000_t202" style="position:absolute;margin-left:11.85pt;margin-top:32.399999999999999pt;width:18.5pt;height:6.pt;z-index:-1887412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520065</wp:posOffset>
              </wp:positionV>
              <wp:extent cx="4023360" cy="0"/>
              <wp:wrapNone/>
              <wp:docPr id="3682" name="Shape 3682"/>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5pt;margin-top:40.950000000000003pt;width:316.80000000000001pt;height:0;z-index:-251658240;mso-position-horizontal-relative:page;mso-position-vertical-relative:page">
              <v:stroke weight="1.pt"/>
            </v:shape>
          </w:pict>
        </mc:Fallback>
      </mc:AlternateContent>
    </w:r>
  </w:p>
</w:hdr>
</file>

<file path=word/header8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00" behindDoc="1" locked="0" layoutInCell="1" allowOverlap="1">
              <wp:simplePos x="0" y="0"/>
              <wp:positionH relativeFrom="page">
                <wp:posOffset>150495</wp:posOffset>
              </wp:positionH>
              <wp:positionV relativeFrom="page">
                <wp:posOffset>411480</wp:posOffset>
              </wp:positionV>
              <wp:extent cx="234950" cy="76200"/>
              <wp:wrapNone/>
              <wp:docPr id="3685" name="Shape 3685"/>
              <a:graphic xmlns:a="http://schemas.openxmlformats.org/drawingml/2006/main">
                <a:graphicData uri="http://schemas.microsoft.com/office/word/2010/wordprocessingShape">
                  <wps:wsp>
                    <wps:cNvSpPr txBox="1"/>
                    <wps:spPr>
                      <a:xfrm>
                        <a:ext cx="2349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711" type="#_x0000_t202" style="position:absolute;margin-left:11.85pt;margin-top:32.399999999999999pt;width:18.5pt;height:6.pt;z-index:-1887412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520065</wp:posOffset>
              </wp:positionV>
              <wp:extent cx="4023360" cy="0"/>
              <wp:wrapNone/>
              <wp:docPr id="3687" name="Shape 3687"/>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65pt;margin-top:40.950000000000003pt;width:316.80000000000001pt;height:0;z-index:-251658240;mso-position-horizontal-relative:page;mso-position-vertical-relative:page">
              <v:stroke weight="1.pt"/>
            </v:shape>
          </w:pict>
        </mc:Fallback>
      </mc:AlternateContent>
    </w:r>
  </w:p>
</w:hdr>
</file>

<file path=word/header8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04" behindDoc="1" locked="0" layoutInCell="1" allowOverlap="1">
              <wp:simplePos x="0" y="0"/>
              <wp:positionH relativeFrom="page">
                <wp:posOffset>3933190</wp:posOffset>
              </wp:positionH>
              <wp:positionV relativeFrom="page">
                <wp:posOffset>405765</wp:posOffset>
              </wp:positionV>
              <wp:extent cx="234950" cy="76200"/>
              <wp:wrapNone/>
              <wp:docPr id="3690" name="Shape 3690"/>
              <a:graphic xmlns:a="http://schemas.openxmlformats.org/drawingml/2006/main">
                <a:graphicData uri="http://schemas.microsoft.com/office/word/2010/wordprocessingShape">
                  <wps:wsp>
                    <wps:cNvSpPr txBox="1"/>
                    <wps:spPr>
                      <a:xfrm>
                        <a:ext cx="2349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716" type="#_x0000_t202" style="position:absolute;margin-left:309.69999999999999pt;margin-top:31.949999999999999pt;width:18.5pt;height:6.pt;z-index:-1887412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524510</wp:posOffset>
              </wp:positionV>
              <wp:extent cx="4017010" cy="0"/>
              <wp:wrapNone/>
              <wp:docPr id="3692" name="Shape 369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1.299999999999997pt;width:316.30000000000001pt;height:0;z-index:-251658240;mso-position-horizontal-relative:page;mso-position-vertical-relative:page">
              <v:stroke weight="1.pt"/>
            </v:shape>
          </w:pict>
        </mc:Fallback>
      </mc:AlternateContent>
    </w:r>
  </w:p>
</w:hdr>
</file>

<file path=word/header8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06" behindDoc="1" locked="0" layoutInCell="1" allowOverlap="1">
              <wp:simplePos x="0" y="0"/>
              <wp:positionH relativeFrom="page">
                <wp:posOffset>3933190</wp:posOffset>
              </wp:positionH>
              <wp:positionV relativeFrom="page">
                <wp:posOffset>405765</wp:posOffset>
              </wp:positionV>
              <wp:extent cx="234950" cy="76200"/>
              <wp:wrapNone/>
              <wp:docPr id="3693" name="Shape 3693"/>
              <a:graphic xmlns:a="http://schemas.openxmlformats.org/drawingml/2006/main">
                <a:graphicData uri="http://schemas.microsoft.com/office/word/2010/wordprocessingShape">
                  <wps:wsp>
                    <wps:cNvSpPr txBox="1"/>
                    <wps:spPr>
                      <a:xfrm>
                        <a:ext cx="23495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wps:txbx>
                    <wps:bodyPr wrap="none" lIns="0" tIns="0" rIns="0" bIns="0">
                      <a:spAutoFit/>
                    </wps:bodyPr>
                  </wps:wsp>
                </a:graphicData>
              </a:graphic>
            </wp:anchor>
          </w:drawing>
        </mc:Choice>
        <mc:Fallback>
          <w:pict>
            <v:shape id="_x0000_s4719" type="#_x0000_t202" style="position:absolute;margin-left:309.69999999999999pt;margin-top:31.949999999999999pt;width:18.5pt;height:6.pt;z-index:-18874124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ŽENA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524510</wp:posOffset>
              </wp:positionV>
              <wp:extent cx="4017010" cy="0"/>
              <wp:wrapNone/>
              <wp:docPr id="3695" name="Shape 369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85pt;margin-top:41.299999999999997pt;width:316.30000000000001pt;height:0;z-index:-251658240;mso-position-horizontal-relative:page;mso-position-vertical-relative:page">
              <v:stroke weight="1.pt"/>
            </v:shape>
          </w:pict>
        </mc:Fallback>
      </mc:AlternateContent>
    </w:r>
  </w:p>
</w:hdr>
</file>

<file path=word/header8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08" behindDoc="1" locked="0" layoutInCell="1" allowOverlap="1">
              <wp:simplePos x="0" y="0"/>
              <wp:positionH relativeFrom="page">
                <wp:posOffset>3670935</wp:posOffset>
              </wp:positionH>
              <wp:positionV relativeFrom="page">
                <wp:posOffset>414655</wp:posOffset>
              </wp:positionV>
              <wp:extent cx="502920" cy="79375"/>
              <wp:wrapNone/>
              <wp:docPr id="3696" name="Shape 3696"/>
              <a:graphic xmlns:a="http://schemas.openxmlformats.org/drawingml/2006/main">
                <a:graphicData uri="http://schemas.microsoft.com/office/word/2010/wordprocessingShape">
                  <wps:wsp>
                    <wps:cNvSpPr txBox="1"/>
                    <wps:spPr>
                      <a:xfrm>
                        <a:ext cx="50292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22" type="#_x0000_t202" style="position:absolute;margin-left:289.05000000000001pt;margin-top:32.649999999999999pt;width:39.600000000000001pt;height:6.25pt;z-index:-1887412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528955</wp:posOffset>
              </wp:positionV>
              <wp:extent cx="4020185" cy="0"/>
              <wp:wrapNone/>
              <wp:docPr id="3698" name="Shape 369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41.649999999999999pt;width:316.55000000000001pt;height:0;z-index:-251658240;mso-position-horizontal-relative:page;mso-position-vertical-relative:page">
              <v:stroke weight="1.pt"/>
            </v:shape>
          </w:pict>
        </mc:Fallback>
      </mc:AlternateContent>
    </w:r>
  </w:p>
</w:hdr>
</file>

<file path=word/header8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12" behindDoc="1" locked="0" layoutInCell="1" allowOverlap="1">
              <wp:simplePos x="0" y="0"/>
              <wp:positionH relativeFrom="page">
                <wp:posOffset>3670935</wp:posOffset>
              </wp:positionH>
              <wp:positionV relativeFrom="page">
                <wp:posOffset>414655</wp:posOffset>
              </wp:positionV>
              <wp:extent cx="502920" cy="79375"/>
              <wp:wrapNone/>
              <wp:docPr id="3701" name="Shape 3701"/>
              <a:graphic xmlns:a="http://schemas.openxmlformats.org/drawingml/2006/main">
                <a:graphicData uri="http://schemas.microsoft.com/office/word/2010/wordprocessingShape">
                  <wps:wsp>
                    <wps:cNvSpPr txBox="1"/>
                    <wps:spPr>
                      <a:xfrm>
                        <a:ext cx="50292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27" type="#_x0000_t202" style="position:absolute;margin-left:289.05000000000001pt;margin-top:32.649999999999999pt;width:39.600000000000001pt;height:6.25pt;z-index:-1887412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153670</wp:posOffset>
              </wp:positionH>
              <wp:positionV relativeFrom="page">
                <wp:posOffset>528955</wp:posOffset>
              </wp:positionV>
              <wp:extent cx="4020185" cy="0"/>
              <wp:wrapNone/>
              <wp:docPr id="3703" name="Shape 370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2.1pt;margin-top:41.649999999999999pt;width:316.55000000000001pt;height:0;z-index:-251658240;mso-position-horizontal-relative:page;mso-position-vertical-relative:page">
              <v:stroke weight="1.pt"/>
            </v:shape>
          </w:pict>
        </mc:Fallback>
      </mc:AlternateContent>
    </w:r>
  </w:p>
</w:hdr>
</file>

<file path=word/header8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16" behindDoc="1" locked="0" layoutInCell="1" allowOverlap="1">
              <wp:simplePos x="0" y="0"/>
              <wp:positionH relativeFrom="page">
                <wp:posOffset>150495</wp:posOffset>
              </wp:positionH>
              <wp:positionV relativeFrom="page">
                <wp:posOffset>417830</wp:posOffset>
              </wp:positionV>
              <wp:extent cx="768350" cy="82550"/>
              <wp:wrapNone/>
              <wp:docPr id="3706" name="Shape 3706"/>
              <a:graphic xmlns:a="http://schemas.openxmlformats.org/drawingml/2006/main">
                <a:graphicData uri="http://schemas.microsoft.com/office/word/2010/wordprocessingShape">
                  <wps:wsp>
                    <wps:cNvSpPr txBox="1"/>
                    <wps:spPr>
                      <a:xfrm>
                        <a:ext cx="76835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ŽhNA/ŽIDOVSTVO</w:t>
                          </w:r>
                        </w:p>
                      </w:txbxContent>
                    </wps:txbx>
                    <wps:bodyPr wrap="none" lIns="0" tIns="0" rIns="0" bIns="0">
                      <a:spAutoFit/>
                    </wps:bodyPr>
                  </wps:wsp>
                </a:graphicData>
              </a:graphic>
            </wp:anchor>
          </w:drawing>
        </mc:Choice>
        <mc:Fallback>
          <w:pict>
            <v:shape id="_x0000_s4732" type="#_x0000_t202" style="position:absolute;margin-left:11.85pt;margin-top:32.899999999999999pt;width:60.5pt;height:6.5pt;z-index:-18874123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ŽhNA/ŽIDOVSTVO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150495</wp:posOffset>
              </wp:positionH>
              <wp:positionV relativeFrom="page">
                <wp:posOffset>530225</wp:posOffset>
              </wp:positionV>
              <wp:extent cx="4014470" cy="0"/>
              <wp:wrapNone/>
              <wp:docPr id="3708" name="Shape 3708"/>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85pt;margin-top:41.75pt;width:316.10000000000002pt;height:0;z-index:-251658240;mso-position-horizontal-relative:page;mso-position-vertical-relative:page">
              <v:stroke weight="1.pt"/>
            </v:shape>
          </w:pict>
        </mc:Fallback>
      </mc:AlternateContent>
    </w:r>
  </w:p>
</w:hdr>
</file>

<file path=word/header8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20" behindDoc="1" locked="0" layoutInCell="1" allowOverlap="1">
              <wp:simplePos x="0" y="0"/>
              <wp:positionH relativeFrom="page">
                <wp:posOffset>146050</wp:posOffset>
              </wp:positionH>
              <wp:positionV relativeFrom="page">
                <wp:posOffset>393700</wp:posOffset>
              </wp:positionV>
              <wp:extent cx="506095" cy="79375"/>
              <wp:wrapNone/>
              <wp:docPr id="3711" name="Shape 3711"/>
              <a:graphic xmlns:a="http://schemas.openxmlformats.org/drawingml/2006/main">
                <a:graphicData uri="http://schemas.microsoft.com/office/word/2010/wordprocessingShape">
                  <wps:wsp>
                    <wps:cNvSpPr txBox="1"/>
                    <wps:spPr>
                      <a:xfrm>
                        <a:ext cx="5060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37" type="#_x0000_t202" style="position:absolute;margin-left:11.5pt;margin-top:31.pt;width:39.850000000000001pt;height:6.25pt;z-index:-18874123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20185" cy="0"/>
              <wp:wrapNone/>
              <wp:docPr id="3713" name="Shape 3713"/>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0.950000000000003pt;width:316.55000000000001pt;height:0;z-index:-251658240;mso-position-horizontal-relative:page;mso-position-vertical-relative:page">
              <v:stroke weight="1.pt"/>
            </v:shape>
          </w:pict>
        </mc:Fallback>
      </mc:AlternateContent>
    </w:r>
  </w:p>
</w:hdr>
</file>

<file path=word/header8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24" behindDoc="1" locked="0" layoutInCell="1" allowOverlap="1">
              <wp:simplePos x="0" y="0"/>
              <wp:positionH relativeFrom="page">
                <wp:posOffset>146050</wp:posOffset>
              </wp:positionH>
              <wp:positionV relativeFrom="page">
                <wp:posOffset>393700</wp:posOffset>
              </wp:positionV>
              <wp:extent cx="506095" cy="79375"/>
              <wp:wrapNone/>
              <wp:docPr id="3716" name="Shape 3716"/>
              <a:graphic xmlns:a="http://schemas.openxmlformats.org/drawingml/2006/main">
                <a:graphicData uri="http://schemas.microsoft.com/office/word/2010/wordprocessingShape">
                  <wps:wsp>
                    <wps:cNvSpPr txBox="1"/>
                    <wps:spPr>
                      <a:xfrm>
                        <a:ext cx="5060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42" type="#_x0000_t202" style="position:absolute;margin-left:11.5pt;margin-top:31.pt;width:39.850000000000001pt;height:6.25pt;z-index:-18874122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20185" cy="0"/>
              <wp:wrapNone/>
              <wp:docPr id="3718" name="Shape 3718"/>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0.950000000000003pt;width:316.55000000000001pt;height:0;z-index:-251658240;mso-position-horizontal-relative:page;mso-position-vertical-relative:page">
              <v:stroke weight="1.pt"/>
            </v:shape>
          </w:pict>
        </mc:Fallback>
      </mc:AlternateContent>
    </w:r>
  </w:p>
</w:hdr>
</file>

<file path=word/header8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28" behindDoc="1" locked="0" layoutInCell="1" allowOverlap="1">
              <wp:simplePos x="0" y="0"/>
              <wp:positionH relativeFrom="page">
                <wp:posOffset>3669665</wp:posOffset>
              </wp:positionH>
              <wp:positionV relativeFrom="page">
                <wp:posOffset>396240</wp:posOffset>
              </wp:positionV>
              <wp:extent cx="499745" cy="76200"/>
              <wp:wrapNone/>
              <wp:docPr id="3721" name="Shape 3721"/>
              <a:graphic xmlns:a="http://schemas.openxmlformats.org/drawingml/2006/main">
                <a:graphicData uri="http://schemas.microsoft.com/office/word/2010/wordprocessingShape">
                  <wps:wsp>
                    <wps:cNvSpPr txBox="1"/>
                    <wps:spPr>
                      <a:xfrm>
                        <a:ext cx="49974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47" type="#_x0000_t202" style="position:absolute;margin-left:288.94999999999999pt;margin-top:31.199999999999999pt;width:39.350000000000001pt;height:6.pt;z-index:-18874122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508000</wp:posOffset>
              </wp:positionV>
              <wp:extent cx="4011295" cy="0"/>
              <wp:wrapNone/>
              <wp:docPr id="3723" name="Shape 3723"/>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449999999999999pt;margin-top:40.pt;width:315.85000000000002pt;height:0;z-index:-251658240;mso-position-horizontal-relative:page;mso-position-vertical-relative:page">
              <v:stroke weight="1.pt"/>
            </v:shape>
          </w:pict>
        </mc:Fallback>
      </mc:AlternateContent>
    </w:r>
  </w:p>
</w:hdr>
</file>

<file path=word/header8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30" behindDoc="1" locked="0" layoutInCell="1" allowOverlap="1">
              <wp:simplePos x="0" y="0"/>
              <wp:positionH relativeFrom="page">
                <wp:posOffset>3669665</wp:posOffset>
              </wp:positionH>
              <wp:positionV relativeFrom="page">
                <wp:posOffset>396240</wp:posOffset>
              </wp:positionV>
              <wp:extent cx="499745" cy="76200"/>
              <wp:wrapNone/>
              <wp:docPr id="3724" name="Shape 3724"/>
              <a:graphic xmlns:a="http://schemas.openxmlformats.org/drawingml/2006/main">
                <a:graphicData uri="http://schemas.microsoft.com/office/word/2010/wordprocessingShape">
                  <wps:wsp>
                    <wps:cNvSpPr txBox="1"/>
                    <wps:spPr>
                      <a:xfrm>
                        <a:ext cx="49974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50" type="#_x0000_t202" style="position:absolute;margin-left:288.94999999999999pt;margin-top:31.199999999999999pt;width:39.350000000000001pt;height:6.pt;z-index:-18874122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508000</wp:posOffset>
              </wp:positionV>
              <wp:extent cx="4011295" cy="0"/>
              <wp:wrapNone/>
              <wp:docPr id="3726" name="Shape 3726"/>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449999999999999pt;margin-top:40.pt;width:315.85000000000002pt;height:0;z-index:-251658240;mso-position-horizontal-relative:page;mso-position-vertical-relative:page">
              <v:stroke weight="1.pt"/>
            </v:shape>
          </w:pict>
        </mc:Fallback>
      </mc:AlternateContent>
    </w:r>
  </w:p>
</w:hdr>
</file>

<file path=word/header8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32" behindDoc="1" locked="0" layoutInCell="1" allowOverlap="1">
              <wp:simplePos x="0" y="0"/>
              <wp:positionH relativeFrom="page">
                <wp:posOffset>146050</wp:posOffset>
              </wp:positionH>
              <wp:positionV relativeFrom="page">
                <wp:posOffset>393700</wp:posOffset>
              </wp:positionV>
              <wp:extent cx="506095" cy="79375"/>
              <wp:wrapNone/>
              <wp:docPr id="3727" name="Shape 3727"/>
              <a:graphic xmlns:a="http://schemas.openxmlformats.org/drawingml/2006/main">
                <a:graphicData uri="http://schemas.microsoft.com/office/word/2010/wordprocessingShape">
                  <wps:wsp>
                    <wps:cNvSpPr txBox="1"/>
                    <wps:spPr>
                      <a:xfrm>
                        <a:ext cx="5060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53" type="#_x0000_t202" style="position:absolute;margin-left:11.5pt;margin-top:31.pt;width:39.850000000000001pt;height:6.25pt;z-index:-18874122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20185" cy="0"/>
              <wp:wrapNone/>
              <wp:docPr id="3729" name="Shape 3729"/>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0.950000000000003pt;width:316.55000000000001pt;height:0;z-index:-251658240;mso-position-horizontal-relative:page;mso-position-vertical-relative:page">
              <v:stroke weight="1.pt"/>
            </v:shape>
          </w:pict>
        </mc:Fallback>
      </mc:AlternateContent>
    </w:r>
  </w:p>
</w:hdr>
</file>

<file path=word/header8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36" behindDoc="1" locked="0" layoutInCell="1" allowOverlap="1">
              <wp:simplePos x="0" y="0"/>
              <wp:positionH relativeFrom="page">
                <wp:posOffset>146050</wp:posOffset>
              </wp:positionH>
              <wp:positionV relativeFrom="page">
                <wp:posOffset>393700</wp:posOffset>
              </wp:positionV>
              <wp:extent cx="506095" cy="79375"/>
              <wp:wrapNone/>
              <wp:docPr id="3732" name="Shape 3732"/>
              <a:graphic xmlns:a="http://schemas.openxmlformats.org/drawingml/2006/main">
                <a:graphicData uri="http://schemas.microsoft.com/office/word/2010/wordprocessingShape">
                  <wps:wsp>
                    <wps:cNvSpPr txBox="1"/>
                    <wps:spPr>
                      <a:xfrm>
                        <a:ext cx="5060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58" type="#_x0000_t202" style="position:absolute;margin-left:11.5pt;margin-top:31.pt;width:39.850000000000001pt;height:6.25pt;z-index:-18874121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20185" cy="0"/>
              <wp:wrapNone/>
              <wp:docPr id="3734" name="Shape 3734"/>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0.950000000000003pt;width:316.55000000000001pt;height:0;z-index:-251658240;mso-position-horizontal-relative:page;mso-position-vertical-relative:page">
              <v:stroke weight="1.pt"/>
            </v:shape>
          </w:pict>
        </mc:Fallback>
      </mc:AlternateContent>
    </w:r>
  </w:p>
</w:hdr>
</file>

<file path=word/header8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40" behindDoc="1" locked="0" layoutInCell="1" allowOverlap="1">
              <wp:simplePos x="0" y="0"/>
              <wp:positionH relativeFrom="page">
                <wp:posOffset>3669665</wp:posOffset>
              </wp:positionH>
              <wp:positionV relativeFrom="page">
                <wp:posOffset>396240</wp:posOffset>
              </wp:positionV>
              <wp:extent cx="499745" cy="76200"/>
              <wp:wrapNone/>
              <wp:docPr id="3737" name="Shape 3737"/>
              <a:graphic xmlns:a="http://schemas.openxmlformats.org/drawingml/2006/main">
                <a:graphicData uri="http://schemas.microsoft.com/office/word/2010/wordprocessingShape">
                  <wps:wsp>
                    <wps:cNvSpPr txBox="1"/>
                    <wps:spPr>
                      <a:xfrm>
                        <a:ext cx="49974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63" type="#_x0000_t202" style="position:absolute;margin-left:288.94999999999999pt;margin-top:31.199999999999999pt;width:39.350000000000001pt;height:6.pt;z-index:-18874121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508000</wp:posOffset>
              </wp:positionV>
              <wp:extent cx="4011295" cy="0"/>
              <wp:wrapNone/>
              <wp:docPr id="3739" name="Shape 3739"/>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449999999999999pt;margin-top:40.pt;width:315.85000000000002pt;height:0;z-index:-251658240;mso-position-horizontal-relative:page;mso-position-vertical-relative:page">
              <v:stroke weight="1.pt"/>
            </v:shape>
          </w:pict>
        </mc:Fallback>
      </mc:AlternateContent>
    </w:r>
  </w:p>
</w:hdr>
</file>

<file path=word/header8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42" behindDoc="1" locked="0" layoutInCell="1" allowOverlap="1">
              <wp:simplePos x="0" y="0"/>
              <wp:positionH relativeFrom="page">
                <wp:posOffset>3669665</wp:posOffset>
              </wp:positionH>
              <wp:positionV relativeFrom="page">
                <wp:posOffset>396240</wp:posOffset>
              </wp:positionV>
              <wp:extent cx="499745" cy="76200"/>
              <wp:wrapNone/>
              <wp:docPr id="3740" name="Shape 3740"/>
              <a:graphic xmlns:a="http://schemas.openxmlformats.org/drawingml/2006/main">
                <a:graphicData uri="http://schemas.microsoft.com/office/word/2010/wordprocessingShape">
                  <wps:wsp>
                    <wps:cNvSpPr txBox="1"/>
                    <wps:spPr>
                      <a:xfrm>
                        <a:ext cx="499745"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66" type="#_x0000_t202" style="position:absolute;margin-left:288.94999999999999pt;margin-top:31.199999999999999pt;width:39.350000000000001pt;height:6.pt;z-index:-18874121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158115</wp:posOffset>
              </wp:positionH>
              <wp:positionV relativeFrom="page">
                <wp:posOffset>508000</wp:posOffset>
              </wp:positionV>
              <wp:extent cx="4011295" cy="0"/>
              <wp:wrapNone/>
              <wp:docPr id="3742" name="Shape 3742"/>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2.449999999999999pt;margin-top:40.pt;width:315.85000000000002pt;height:0;z-index:-251658240;mso-position-horizontal-relative:page;mso-position-vertical-relative:page">
              <v:stroke weight="1.pt"/>
            </v:shape>
          </w:pict>
        </mc:Fallback>
      </mc:AlternateContent>
    </w:r>
  </w:p>
</w:hdr>
</file>

<file path=word/header8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44" behindDoc="1" locked="0" layoutInCell="1" allowOverlap="1">
              <wp:simplePos x="0" y="0"/>
              <wp:positionH relativeFrom="page">
                <wp:posOffset>3672840</wp:posOffset>
              </wp:positionH>
              <wp:positionV relativeFrom="page">
                <wp:posOffset>393700</wp:posOffset>
              </wp:positionV>
              <wp:extent cx="499745" cy="79375"/>
              <wp:wrapNone/>
              <wp:docPr id="3743" name="Shape 3743"/>
              <a:graphic xmlns:a="http://schemas.openxmlformats.org/drawingml/2006/main">
                <a:graphicData uri="http://schemas.microsoft.com/office/word/2010/wordprocessingShape">
                  <wps:wsp>
                    <wps:cNvSpPr txBox="1"/>
                    <wps:spPr>
                      <a:xfrm>
                        <a:ext cx="49974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69" type="#_x0000_t202" style="position:absolute;margin-left:289.19999999999999pt;margin-top:31.pt;width:39.350000000000001pt;height:6.25pt;z-index:-18874120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152400</wp:posOffset>
              </wp:positionH>
              <wp:positionV relativeFrom="page">
                <wp:posOffset>508635</wp:posOffset>
              </wp:positionV>
              <wp:extent cx="4023360" cy="0"/>
              <wp:wrapNone/>
              <wp:docPr id="3745" name="Shape 374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2.pt;margin-top:40.049999999999997pt;width:316.80000000000001pt;height:0;z-index:-251658240;mso-position-horizontal-relative:page;mso-position-vertical-relative:page">
              <v:stroke weight="1.pt"/>
            </v:shape>
          </w:pict>
        </mc:Fallback>
      </mc:AlternateContent>
    </w:r>
  </w:p>
</w:hdr>
</file>

<file path=word/header8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48" behindDoc="1" locked="0" layoutInCell="1" allowOverlap="1">
              <wp:simplePos x="0" y="0"/>
              <wp:positionH relativeFrom="page">
                <wp:posOffset>146050</wp:posOffset>
              </wp:positionH>
              <wp:positionV relativeFrom="page">
                <wp:posOffset>393700</wp:posOffset>
              </wp:positionV>
              <wp:extent cx="506095" cy="79375"/>
              <wp:wrapNone/>
              <wp:docPr id="3748" name="Shape 3748"/>
              <a:graphic xmlns:a="http://schemas.openxmlformats.org/drawingml/2006/main">
                <a:graphicData uri="http://schemas.microsoft.com/office/word/2010/wordprocessingShape">
                  <wps:wsp>
                    <wps:cNvSpPr txBox="1"/>
                    <wps:spPr>
                      <a:xfrm>
                        <a:ext cx="50609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wps:txbx>
                    <wps:bodyPr wrap="none" lIns="0" tIns="0" rIns="0" bIns="0">
                      <a:spAutoFit/>
                    </wps:bodyPr>
                  </wps:wsp>
                </a:graphicData>
              </a:graphic>
            </wp:anchor>
          </w:drawing>
        </mc:Choice>
        <mc:Fallback>
          <w:pict>
            <v:shape id="_x0000_s4774" type="#_x0000_t202" style="position:absolute;margin-left:11.5pt;margin-top:31.pt;width:39.850000000000001pt;height:6.25pt;z-index:-18874120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520065</wp:posOffset>
              </wp:positionV>
              <wp:extent cx="4020185" cy="0"/>
              <wp:wrapNone/>
              <wp:docPr id="3750" name="Shape 375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1.5pt;margin-top:40.950000000000003pt;width:316.55000000000001pt;height:0;z-index:-251658240;mso-position-horizontal-relative:page;mso-position-vertical-relative:page">
              <v:stroke weight="1.pt"/>
            </v:shape>
          </w:pict>
        </mc:Fallback>
      </mc:AlternateContent>
    </w:r>
  </w:p>
</w:hdr>
</file>

<file path=word/header8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52" behindDoc="1" locked="0" layoutInCell="1" allowOverlap="1">
              <wp:simplePos x="0" y="0"/>
              <wp:positionH relativeFrom="page">
                <wp:posOffset>144780</wp:posOffset>
              </wp:positionH>
              <wp:positionV relativeFrom="page">
                <wp:posOffset>396240</wp:posOffset>
              </wp:positionV>
              <wp:extent cx="295910" cy="76200"/>
              <wp:wrapNone/>
              <wp:docPr id="3753" name="Shape 3753"/>
              <a:graphic xmlns:a="http://schemas.openxmlformats.org/drawingml/2006/main">
                <a:graphicData uri="http://schemas.microsoft.com/office/word/2010/wordprocessingShape">
                  <wps:wsp>
                    <wps:cNvSpPr txBox="1"/>
                    <wps:spPr>
                      <a:xfrm>
                        <a:ext cx="29591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ŽRTVA</w:t>
                          </w:r>
                        </w:p>
                      </w:txbxContent>
                    </wps:txbx>
                    <wps:bodyPr wrap="none" lIns="0" tIns="0" rIns="0" bIns="0">
                      <a:spAutoFit/>
                    </wps:bodyPr>
                  </wps:wsp>
                </a:graphicData>
              </a:graphic>
            </wp:anchor>
          </w:drawing>
        </mc:Choice>
        <mc:Fallback>
          <w:pict>
            <v:shape id="_x0000_s4779" type="#_x0000_t202" style="position:absolute;margin-left:11.4pt;margin-top:31.199999999999999pt;width:23.300000000000001pt;height:6.pt;z-index:-18874120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ŽRTVA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506095</wp:posOffset>
              </wp:positionV>
              <wp:extent cx="4023360" cy="0"/>
              <wp:wrapNone/>
              <wp:docPr id="3755" name="Shape 3755"/>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39.850000000000001pt;width:316.80000000000001pt;height:0;z-index:-251658240;mso-position-horizontal-relative:page;mso-position-vertical-relative:page">
              <v:stroke weight="1.pt"/>
            </v:shape>
          </w:pict>
        </mc:Fallback>
      </mc:AlternateContent>
    </w:r>
  </w:p>
</w:hdr>
</file>

<file path=word/header8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56" behindDoc="1" locked="0" layoutInCell="1" allowOverlap="1">
              <wp:simplePos x="0" y="0"/>
              <wp:positionH relativeFrom="page">
                <wp:posOffset>144780</wp:posOffset>
              </wp:positionH>
              <wp:positionV relativeFrom="page">
                <wp:posOffset>396240</wp:posOffset>
              </wp:positionV>
              <wp:extent cx="295910" cy="76200"/>
              <wp:wrapNone/>
              <wp:docPr id="3758" name="Shape 3758"/>
              <a:graphic xmlns:a="http://schemas.openxmlformats.org/drawingml/2006/main">
                <a:graphicData uri="http://schemas.microsoft.com/office/word/2010/wordprocessingShape">
                  <wps:wsp>
                    <wps:cNvSpPr txBox="1"/>
                    <wps:spPr>
                      <a:xfrm>
                        <a:ext cx="29591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ŽRTVA</w:t>
                          </w:r>
                        </w:p>
                      </w:txbxContent>
                    </wps:txbx>
                    <wps:bodyPr wrap="none" lIns="0" tIns="0" rIns="0" bIns="0">
                      <a:spAutoFit/>
                    </wps:bodyPr>
                  </wps:wsp>
                </a:graphicData>
              </a:graphic>
            </wp:anchor>
          </w:drawing>
        </mc:Choice>
        <mc:Fallback>
          <w:pict>
            <v:shape id="_x0000_s4784" type="#_x0000_t202" style="position:absolute;margin-left:11.4pt;margin-top:31.199999999999999pt;width:23.300000000000001pt;height:6.pt;z-index:-18874119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hr-HR" w:eastAsia="hr-HR" w:bidi="hr-HR"/>
                      </w:rPr>
                      <w:t>ŽRTVA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141605</wp:posOffset>
              </wp:positionH>
              <wp:positionV relativeFrom="page">
                <wp:posOffset>506095</wp:posOffset>
              </wp:positionV>
              <wp:extent cx="4023360" cy="0"/>
              <wp:wrapNone/>
              <wp:docPr id="3760" name="Shape 376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15pt;margin-top:39.850000000000001pt;width:316.80000000000001pt;height:0;z-index:-251658240;mso-position-horizontal-relative:page;mso-position-vertical-relative:page">
              <v:stroke weight="1.pt"/>
            </v:shape>
          </w:pict>
        </mc:Fallback>
      </mc:AlternateContent>
    </w:r>
  </w:p>
</w:hdr>
</file>

<file path=word/header8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60" behindDoc="1" locked="0" layoutInCell="1" allowOverlap="1">
              <wp:simplePos x="0" y="0"/>
              <wp:positionH relativeFrom="page">
                <wp:posOffset>3335655</wp:posOffset>
              </wp:positionH>
              <wp:positionV relativeFrom="page">
                <wp:posOffset>390525</wp:posOffset>
              </wp:positionV>
              <wp:extent cx="829310" cy="82550"/>
              <wp:wrapNone/>
              <wp:docPr id="3763" name="Shape 3763"/>
              <a:graphic xmlns:a="http://schemas.openxmlformats.org/drawingml/2006/main">
                <a:graphicData uri="http://schemas.microsoft.com/office/word/2010/wordprocessingShape">
                  <wps:wsp>
                    <wps:cNvSpPr txBox="1"/>
                    <wps:spPr>
                      <a:xfrm>
                        <a:ext cx="82931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Ž1DOVSTVO/ŽRTVA</w:t>
                          </w:r>
                        </w:p>
                      </w:txbxContent>
                    </wps:txbx>
                    <wps:bodyPr wrap="none" lIns="0" tIns="0" rIns="0" bIns="0">
                      <a:spAutoFit/>
                    </wps:bodyPr>
                  </wps:wsp>
                </a:graphicData>
              </a:graphic>
            </wp:anchor>
          </w:drawing>
        </mc:Choice>
        <mc:Fallback>
          <w:pict>
            <v:shape id="_x0000_s4789" type="#_x0000_t202" style="position:absolute;margin-left:262.64999999999998pt;margin-top:30.75pt;width:65.299999999999997pt;height:6.5pt;z-index:-18874119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Ž1DOVSTVO/ŽRTVA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147955</wp:posOffset>
              </wp:positionH>
              <wp:positionV relativeFrom="page">
                <wp:posOffset>511175</wp:posOffset>
              </wp:positionV>
              <wp:extent cx="4017010" cy="0"/>
              <wp:wrapNone/>
              <wp:docPr id="3765" name="Shape 3765"/>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11.65pt;margin-top:40.25pt;width:316.30000000000001pt;height:0;z-index:-251658240;mso-position-horizontal-relative:page;mso-position-vertical-relative:page">
              <v:stroke weight="1.pt"/>
            </v:shape>
          </w:pict>
        </mc:Fallback>
      </mc:AlternateContent>
    </w:r>
  </w:p>
</w:hdr>
</file>

<file path=word/header8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64" behindDoc="1" locked="0" layoutInCell="1" allowOverlap="1">
              <wp:simplePos x="0" y="0"/>
              <wp:positionH relativeFrom="page">
                <wp:posOffset>3879850</wp:posOffset>
              </wp:positionH>
              <wp:positionV relativeFrom="page">
                <wp:posOffset>402590</wp:posOffset>
              </wp:positionV>
              <wp:extent cx="292735" cy="79375"/>
              <wp:wrapNone/>
              <wp:docPr id="3768" name="Shape 3768"/>
              <a:graphic xmlns:a="http://schemas.openxmlformats.org/drawingml/2006/main">
                <a:graphicData uri="http://schemas.microsoft.com/office/word/2010/wordprocessingShape">
                  <wps:wsp>
                    <wps:cNvSpPr txBox="1"/>
                    <wps:spPr>
                      <a:xfrm>
                        <a:ext cx="29273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ŽRTVA</w:t>
                          </w:r>
                        </w:p>
                      </w:txbxContent>
                    </wps:txbx>
                    <wps:bodyPr wrap="none" lIns="0" tIns="0" rIns="0" bIns="0">
                      <a:spAutoFit/>
                    </wps:bodyPr>
                  </wps:wsp>
                </a:graphicData>
              </a:graphic>
            </wp:anchor>
          </w:drawing>
        </mc:Choice>
        <mc:Fallback>
          <w:pict>
            <v:shape id="_x0000_s4794" type="#_x0000_t202" style="position:absolute;margin-left:305.5pt;margin-top:31.699999999999999pt;width:23.050000000000001pt;height:6.25pt;z-index:-18874118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ŽRTVA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523240</wp:posOffset>
              </wp:positionV>
              <wp:extent cx="4023360" cy="0"/>
              <wp:wrapNone/>
              <wp:docPr id="3770" name="Shape 3770"/>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pt;margin-top:41.200000000000003pt;width:316.80000000000001pt;height:0;z-index:-251658240;mso-position-horizontal-relative:page;mso-position-vertical-relative:page">
              <v:stroke weight="1.pt"/>
            </v:shape>
          </w:pict>
        </mc:Fallback>
      </mc:AlternateContent>
    </w:r>
  </w:p>
</w:hdr>
</file>

<file path=word/header8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66" behindDoc="1" locked="0" layoutInCell="1" allowOverlap="1">
              <wp:simplePos x="0" y="0"/>
              <wp:positionH relativeFrom="page">
                <wp:posOffset>3879850</wp:posOffset>
              </wp:positionH>
              <wp:positionV relativeFrom="page">
                <wp:posOffset>402590</wp:posOffset>
              </wp:positionV>
              <wp:extent cx="292735" cy="79375"/>
              <wp:wrapNone/>
              <wp:docPr id="3771" name="Shape 3771"/>
              <a:graphic xmlns:a="http://schemas.openxmlformats.org/drawingml/2006/main">
                <a:graphicData uri="http://schemas.microsoft.com/office/word/2010/wordprocessingShape">
                  <wps:wsp>
                    <wps:cNvSpPr txBox="1"/>
                    <wps:spPr>
                      <a:xfrm>
                        <a:ext cx="292735"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ŽRTVA</w:t>
                          </w:r>
                        </w:p>
                      </w:txbxContent>
                    </wps:txbx>
                    <wps:bodyPr wrap="none" lIns="0" tIns="0" rIns="0" bIns="0">
                      <a:spAutoFit/>
                    </wps:bodyPr>
                  </wps:wsp>
                </a:graphicData>
              </a:graphic>
            </wp:anchor>
          </w:drawing>
        </mc:Choice>
        <mc:Fallback>
          <w:pict>
            <v:shape id="_x0000_s4797" type="#_x0000_t202" style="position:absolute;margin-left:305.5pt;margin-top:31.699999999999999pt;width:23.050000000000001pt;height:6.25pt;z-index:-18874118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ŽRTVA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146050</wp:posOffset>
              </wp:positionH>
              <wp:positionV relativeFrom="page">
                <wp:posOffset>523240</wp:posOffset>
              </wp:positionV>
              <wp:extent cx="4023360" cy="0"/>
              <wp:wrapNone/>
              <wp:docPr id="3773" name="Shape 3773"/>
              <a:graphic xmlns:a="http://schemas.openxmlformats.org/drawingml/2006/main">
                <a:graphicData uri="http://schemas.microsoft.com/office/word/2010/wordprocessingShape">
                  <wps:wsp>
                    <wps:cNvCnPr/>
                    <wps:spPr>
                      <a:xfrm>
                        <a:ext cx="4023360" cy="0"/>
                      </a:xfrm>
                      <a:prstGeom prst="straightConnector1"/>
                      <a:ln w="12700">
                        <a:solidFill/>
                      </a:ln>
                    </wps:spPr>
                    <wps:bodyPr/>
                  </wps:wsp>
                </a:graphicData>
              </a:graphic>
            </wp:anchor>
          </w:drawing>
        </mc:Choice>
        <mc:Fallback>
          <w:pict>
            <v:shape o:spt="32" o:oned="true" path="m,l21600,21600e" style="position:absolute;margin-left:11.5pt;margin-top:41.200000000000003pt;width:316.80000000000001pt;height:0;z-index:-251658240;mso-position-horizontal-relative:page;mso-position-vertical-relative:page">
              <v:stroke weight="1.pt"/>
            </v:shape>
          </w:pict>
        </mc:Fallback>
      </mc:AlternateContent>
    </w:r>
  </w:p>
</w:hdr>
</file>

<file path=word/header8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68" behindDoc="1" locked="0" layoutInCell="1" allowOverlap="1">
              <wp:simplePos x="0" y="0"/>
              <wp:positionH relativeFrom="page">
                <wp:posOffset>111125</wp:posOffset>
              </wp:positionH>
              <wp:positionV relativeFrom="page">
                <wp:posOffset>332740</wp:posOffset>
              </wp:positionV>
              <wp:extent cx="1548130" cy="79375"/>
              <wp:wrapNone/>
              <wp:docPr id="3774" name="Shape 3774"/>
              <a:graphic xmlns:a="http://schemas.openxmlformats.org/drawingml/2006/main">
                <a:graphicData uri="http://schemas.microsoft.com/office/word/2010/wordprocessingShape">
                  <wps:wsp>
                    <wps:cNvSpPr txBox="1"/>
                    <wps:spPr>
                      <a:xfrm>
                        <a:ext cx="15481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SINOPTIČKA KRONOLOŠKA TABLICA</w:t>
                          </w:r>
                        </w:p>
                      </w:txbxContent>
                    </wps:txbx>
                    <wps:bodyPr wrap="none" lIns="0" tIns="0" rIns="0" bIns="0">
                      <a:spAutoFit/>
                    </wps:bodyPr>
                  </wps:wsp>
                </a:graphicData>
              </a:graphic>
            </wp:anchor>
          </w:drawing>
        </mc:Choice>
        <mc:Fallback>
          <w:pict>
            <v:shape id="_x0000_s4800" type="#_x0000_t202" style="position:absolute;margin-left:8.75pt;margin-top:26.199999999999999pt;width:121.90000000000001pt;height:6.25pt;z-index:-18874118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SINOPTIČKA KRONOLOŠKA TABLICA</w:t>
                    </w:r>
                  </w:p>
                </w:txbxContent>
              </v:textbox>
              <w10:wrap anchorx="page" anchory="page"/>
            </v:shape>
          </w:pict>
        </mc:Fallback>
      </mc:AlternateContent>
    </w:r>
    <w:r>
      <mc:AlternateContent>
        <mc:Choice Requires="wps">
          <w:drawing>
            <wp:anchor distT="0" distB="0" distL="0" distR="0" simplePos="0" relativeHeight="62917570" behindDoc="1" locked="0" layoutInCell="1" allowOverlap="1">
              <wp:simplePos x="0" y="0"/>
              <wp:positionH relativeFrom="page">
                <wp:posOffset>571500</wp:posOffset>
              </wp:positionH>
              <wp:positionV relativeFrom="page">
                <wp:posOffset>610235</wp:posOffset>
              </wp:positionV>
              <wp:extent cx="2804160" cy="67310"/>
              <wp:wrapNone/>
              <wp:docPr id="3776" name="Shape 3776"/>
              <a:graphic xmlns:a="http://schemas.openxmlformats.org/drawingml/2006/main">
                <a:graphicData uri="http://schemas.microsoft.com/office/word/2010/wordprocessingShape">
                  <wps:wsp>
                    <wps:cNvSpPr txBox="1"/>
                    <wps:spPr>
                      <a:xfrm>
                        <a:ext cx="2804160" cy="67310"/>
                      </a:xfrm>
                      <a:prstGeom prst="rect"/>
                      <a:noFill/>
                    </wps:spPr>
                    <wps:txbx>
                      <w:txbxContent>
                        <w:p>
                          <w:pPr>
                            <w:pStyle w:val="Style70"/>
                            <w:keepNext w:val="0"/>
                            <w:keepLines w:val="0"/>
                            <w:widowControl w:val="0"/>
                            <w:shd w:val="clear" w:color="auto" w:fill="auto"/>
                            <w:tabs>
                              <w:tab w:pos="2842" w:val="right"/>
                              <w:tab w:pos="4416" w:val="right"/>
                            </w:tabs>
                            <w:bidi w:val="0"/>
                            <w:spacing w:before="0" w:after="0" w:line="240" w:lineRule="auto"/>
                            <w:ind w:left="0" w:right="0" w:firstLine="0"/>
                            <w:jc w:val="left"/>
                            <w:rPr>
                              <w:sz w:val="12"/>
                              <w:szCs w:val="12"/>
                            </w:rPr>
                          </w:pPr>
                          <w:r>
                            <w:rPr>
                              <w:color w:val="000000"/>
                              <w:spacing w:val="0"/>
                              <w:w w:val="100"/>
                              <w:position w:val="0"/>
                              <w:sz w:val="13"/>
                              <w:szCs w:val="13"/>
                              <w:shd w:val="clear" w:color="auto" w:fill="auto"/>
                              <w:lang w:val="en-US" w:eastAsia="en-US" w:bidi="en-US"/>
                            </w:rPr>
                            <w:t xml:space="preserve">1. </w:t>
                          </w:r>
                          <w:r>
                            <w:rPr>
                              <w:color w:val="000000"/>
                              <w:spacing w:val="0"/>
                              <w:w w:val="100"/>
                              <w:position w:val="0"/>
                              <w:sz w:val="13"/>
                              <w:szCs w:val="13"/>
                              <w:shd w:val="clear" w:color="auto" w:fill="auto"/>
                              <w:lang w:val="hr-HR" w:eastAsia="hr-HR" w:bidi="hr-HR"/>
                            </w:rPr>
                            <w:t>židovstvo</w:t>
                            <w:tab/>
                            <w:t>2. kršćanstvo</w:t>
                            <w:tab/>
                          </w:r>
                          <w:r>
                            <w:rPr>
                              <w:color w:val="000000"/>
                              <w:spacing w:val="0"/>
                              <w:w w:val="100"/>
                              <w:position w:val="0"/>
                              <w:sz w:val="12"/>
                              <w:szCs w:val="12"/>
                              <w:shd w:val="clear" w:color="auto" w:fill="auto"/>
                              <w:lang w:val="hr-HR" w:eastAsia="hr-HR" w:bidi="hr-HR"/>
                            </w:rPr>
                            <w:t>3.</w:t>
                          </w:r>
                        </w:p>
                      </w:txbxContent>
                    </wps:txbx>
                    <wps:bodyPr lIns="0" tIns="0" rIns="0" bIns="0">
                      <a:spAutoFit/>
                    </wps:bodyPr>
                  </wps:wsp>
                </a:graphicData>
              </a:graphic>
            </wp:anchor>
          </w:drawing>
        </mc:Choice>
        <mc:Fallback>
          <w:pict>
            <v:shape id="_x0000_s4802" type="#_x0000_t202" style="position:absolute;margin-left:45.pt;margin-top:48.049999999999997pt;width:220.80000000000001pt;height:5.2999999999999998pt;z-index:-188741183;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tabs>
                        <w:tab w:pos="2842" w:val="right"/>
                        <w:tab w:pos="4416" w:val="right"/>
                      </w:tabs>
                      <w:bidi w:val="0"/>
                      <w:spacing w:before="0" w:after="0" w:line="240" w:lineRule="auto"/>
                      <w:ind w:left="0" w:right="0" w:firstLine="0"/>
                      <w:jc w:val="left"/>
                      <w:rPr>
                        <w:sz w:val="12"/>
                        <w:szCs w:val="12"/>
                      </w:rPr>
                    </w:pPr>
                    <w:r>
                      <w:rPr>
                        <w:color w:val="000000"/>
                        <w:spacing w:val="0"/>
                        <w:w w:val="100"/>
                        <w:position w:val="0"/>
                        <w:sz w:val="13"/>
                        <w:szCs w:val="13"/>
                        <w:shd w:val="clear" w:color="auto" w:fill="auto"/>
                        <w:lang w:val="en-US" w:eastAsia="en-US" w:bidi="en-US"/>
                      </w:rPr>
                      <w:t xml:space="preserve">1. </w:t>
                    </w:r>
                    <w:r>
                      <w:rPr>
                        <w:color w:val="000000"/>
                        <w:spacing w:val="0"/>
                        <w:w w:val="100"/>
                        <w:position w:val="0"/>
                        <w:sz w:val="13"/>
                        <w:szCs w:val="13"/>
                        <w:shd w:val="clear" w:color="auto" w:fill="auto"/>
                        <w:lang w:val="hr-HR" w:eastAsia="hr-HR" w:bidi="hr-HR"/>
                      </w:rPr>
                      <w:t>židovstvo</w:t>
                      <w:tab/>
                      <w:t>2. kršćanstvo</w:t>
                      <w:tab/>
                    </w:r>
                    <w:r>
                      <w:rPr>
                        <w:color w:val="000000"/>
                        <w:spacing w:val="0"/>
                        <w:w w:val="100"/>
                        <w:position w:val="0"/>
                        <w:sz w:val="12"/>
                        <w:szCs w:val="12"/>
                        <w:shd w:val="clear" w:color="auto" w:fill="auto"/>
                        <w:lang w:val="hr-HR" w:eastAsia="hr-HR" w:bidi="hr-HR"/>
                      </w:rPr>
                      <w:t>3.</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114300</wp:posOffset>
              </wp:positionH>
              <wp:positionV relativeFrom="page">
                <wp:posOffset>442595</wp:posOffset>
              </wp:positionV>
              <wp:extent cx="3602990" cy="0"/>
              <wp:wrapNone/>
              <wp:docPr id="3778" name="Shape 3778"/>
              <a:graphic xmlns:a="http://schemas.openxmlformats.org/drawingml/2006/main">
                <a:graphicData uri="http://schemas.microsoft.com/office/word/2010/wordprocessingShape">
                  <wps:wsp>
                    <wps:cNvCnPr/>
                    <wps:spPr>
                      <a:xfrm>
                        <a:ext cx="3602990" cy="0"/>
                      </a:xfrm>
                      <a:prstGeom prst="straightConnector1"/>
                      <a:ln w="12700">
                        <a:solidFill/>
                      </a:ln>
                    </wps:spPr>
                    <wps:bodyPr/>
                  </wps:wsp>
                </a:graphicData>
              </a:graphic>
            </wp:anchor>
          </w:drawing>
        </mc:Choice>
        <mc:Fallback>
          <w:pict>
            <v:shape o:spt="32" o:oned="true" path="m,l21600,21600e" style="position:absolute;margin-left:9.pt;margin-top:34.850000000000001pt;width:283.69999999999999pt;height:0;z-index:-251658240;mso-position-horizontal-relative:page;mso-position-vertical-relative:page">
              <v:stroke weight="1.pt"/>
            </v:shape>
          </w:pict>
        </mc:Fallback>
      </mc:AlternateContent>
    </w:r>
  </w:p>
</w:hdr>
</file>

<file path=word/header8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74" behindDoc="1" locked="0" layoutInCell="1" allowOverlap="1">
              <wp:simplePos x="0" y="0"/>
              <wp:positionH relativeFrom="page">
                <wp:posOffset>111125</wp:posOffset>
              </wp:positionH>
              <wp:positionV relativeFrom="page">
                <wp:posOffset>332740</wp:posOffset>
              </wp:positionV>
              <wp:extent cx="1548130" cy="79375"/>
              <wp:wrapNone/>
              <wp:docPr id="3781" name="Shape 3781"/>
              <a:graphic xmlns:a="http://schemas.openxmlformats.org/drawingml/2006/main">
                <a:graphicData uri="http://schemas.microsoft.com/office/word/2010/wordprocessingShape">
                  <wps:wsp>
                    <wps:cNvSpPr txBox="1"/>
                    <wps:spPr>
                      <a:xfrm>
                        <a:ext cx="154813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SINOPTIČKA KRONOLOŠKA TABLICA</w:t>
                          </w:r>
                        </w:p>
                      </w:txbxContent>
                    </wps:txbx>
                    <wps:bodyPr wrap="none" lIns="0" tIns="0" rIns="0" bIns="0">
                      <a:spAutoFit/>
                    </wps:bodyPr>
                  </wps:wsp>
                </a:graphicData>
              </a:graphic>
            </wp:anchor>
          </w:drawing>
        </mc:Choice>
        <mc:Fallback>
          <w:pict>
            <v:shape id="_x0000_s4807" type="#_x0000_t202" style="position:absolute;margin-left:8.75pt;margin-top:26.199999999999999pt;width:121.90000000000001pt;height:6.25pt;z-index:-18874117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SINOPTIČKA KRONOLOŠKA TABLICA</w:t>
                    </w:r>
                  </w:p>
                </w:txbxContent>
              </v:textbox>
              <w10:wrap anchorx="page" anchory="page"/>
            </v:shape>
          </w:pict>
        </mc:Fallback>
      </mc:AlternateContent>
    </w:r>
    <w:r>
      <mc:AlternateContent>
        <mc:Choice Requires="wps">
          <w:drawing>
            <wp:anchor distT="0" distB="0" distL="0" distR="0" simplePos="0" relativeHeight="62917576" behindDoc="1" locked="0" layoutInCell="1" allowOverlap="1">
              <wp:simplePos x="0" y="0"/>
              <wp:positionH relativeFrom="page">
                <wp:posOffset>571500</wp:posOffset>
              </wp:positionH>
              <wp:positionV relativeFrom="page">
                <wp:posOffset>610235</wp:posOffset>
              </wp:positionV>
              <wp:extent cx="2804160" cy="67310"/>
              <wp:wrapNone/>
              <wp:docPr id="3783" name="Shape 3783"/>
              <a:graphic xmlns:a="http://schemas.openxmlformats.org/drawingml/2006/main">
                <a:graphicData uri="http://schemas.microsoft.com/office/word/2010/wordprocessingShape">
                  <wps:wsp>
                    <wps:cNvSpPr txBox="1"/>
                    <wps:spPr>
                      <a:xfrm>
                        <a:ext cx="2804160" cy="67310"/>
                      </a:xfrm>
                      <a:prstGeom prst="rect"/>
                      <a:noFill/>
                    </wps:spPr>
                    <wps:txbx>
                      <w:txbxContent>
                        <w:p>
                          <w:pPr>
                            <w:pStyle w:val="Style70"/>
                            <w:keepNext w:val="0"/>
                            <w:keepLines w:val="0"/>
                            <w:widowControl w:val="0"/>
                            <w:shd w:val="clear" w:color="auto" w:fill="auto"/>
                            <w:tabs>
                              <w:tab w:pos="2842" w:val="right"/>
                              <w:tab w:pos="4416" w:val="right"/>
                            </w:tabs>
                            <w:bidi w:val="0"/>
                            <w:spacing w:before="0" w:after="0" w:line="240" w:lineRule="auto"/>
                            <w:ind w:left="0" w:right="0" w:firstLine="0"/>
                            <w:jc w:val="left"/>
                            <w:rPr>
                              <w:sz w:val="12"/>
                              <w:szCs w:val="12"/>
                            </w:rPr>
                          </w:pPr>
                          <w:r>
                            <w:rPr>
                              <w:color w:val="000000"/>
                              <w:spacing w:val="0"/>
                              <w:w w:val="100"/>
                              <w:position w:val="0"/>
                              <w:sz w:val="13"/>
                              <w:szCs w:val="13"/>
                              <w:shd w:val="clear" w:color="auto" w:fill="auto"/>
                              <w:lang w:val="en-US" w:eastAsia="en-US" w:bidi="en-US"/>
                            </w:rPr>
                            <w:t xml:space="preserve">1. </w:t>
                          </w:r>
                          <w:r>
                            <w:rPr>
                              <w:color w:val="000000"/>
                              <w:spacing w:val="0"/>
                              <w:w w:val="100"/>
                              <w:position w:val="0"/>
                              <w:sz w:val="13"/>
                              <w:szCs w:val="13"/>
                              <w:shd w:val="clear" w:color="auto" w:fill="auto"/>
                              <w:lang w:val="hr-HR" w:eastAsia="hr-HR" w:bidi="hr-HR"/>
                            </w:rPr>
                            <w:t>židovstvo</w:t>
                            <w:tab/>
                            <w:t>2. kršćanstvo</w:t>
                            <w:tab/>
                          </w:r>
                          <w:r>
                            <w:rPr>
                              <w:color w:val="000000"/>
                              <w:spacing w:val="0"/>
                              <w:w w:val="100"/>
                              <w:position w:val="0"/>
                              <w:sz w:val="12"/>
                              <w:szCs w:val="12"/>
                              <w:shd w:val="clear" w:color="auto" w:fill="auto"/>
                              <w:lang w:val="hr-HR" w:eastAsia="hr-HR" w:bidi="hr-HR"/>
                            </w:rPr>
                            <w:t>3.</w:t>
                          </w:r>
                        </w:p>
                      </w:txbxContent>
                    </wps:txbx>
                    <wps:bodyPr lIns="0" tIns="0" rIns="0" bIns="0">
                      <a:spAutoFit/>
                    </wps:bodyPr>
                  </wps:wsp>
                </a:graphicData>
              </a:graphic>
            </wp:anchor>
          </w:drawing>
        </mc:Choice>
        <mc:Fallback>
          <w:pict>
            <v:shape id="_x0000_s4809" type="#_x0000_t202" style="position:absolute;margin-left:45.pt;margin-top:48.049999999999997pt;width:220.80000000000001pt;height:5.2999999999999998pt;z-index:-188741177;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tabs>
                        <w:tab w:pos="2842" w:val="right"/>
                        <w:tab w:pos="4416" w:val="right"/>
                      </w:tabs>
                      <w:bidi w:val="0"/>
                      <w:spacing w:before="0" w:after="0" w:line="240" w:lineRule="auto"/>
                      <w:ind w:left="0" w:right="0" w:firstLine="0"/>
                      <w:jc w:val="left"/>
                      <w:rPr>
                        <w:sz w:val="12"/>
                        <w:szCs w:val="12"/>
                      </w:rPr>
                    </w:pPr>
                    <w:r>
                      <w:rPr>
                        <w:color w:val="000000"/>
                        <w:spacing w:val="0"/>
                        <w:w w:val="100"/>
                        <w:position w:val="0"/>
                        <w:sz w:val="13"/>
                        <w:szCs w:val="13"/>
                        <w:shd w:val="clear" w:color="auto" w:fill="auto"/>
                        <w:lang w:val="en-US" w:eastAsia="en-US" w:bidi="en-US"/>
                      </w:rPr>
                      <w:t xml:space="preserve">1. </w:t>
                    </w:r>
                    <w:r>
                      <w:rPr>
                        <w:color w:val="000000"/>
                        <w:spacing w:val="0"/>
                        <w:w w:val="100"/>
                        <w:position w:val="0"/>
                        <w:sz w:val="13"/>
                        <w:szCs w:val="13"/>
                        <w:shd w:val="clear" w:color="auto" w:fill="auto"/>
                        <w:lang w:val="hr-HR" w:eastAsia="hr-HR" w:bidi="hr-HR"/>
                      </w:rPr>
                      <w:t>židovstvo</w:t>
                      <w:tab/>
                      <w:t>2. kršćanstvo</w:t>
                      <w:tab/>
                    </w:r>
                    <w:r>
                      <w:rPr>
                        <w:color w:val="000000"/>
                        <w:spacing w:val="0"/>
                        <w:w w:val="100"/>
                        <w:position w:val="0"/>
                        <w:sz w:val="12"/>
                        <w:szCs w:val="12"/>
                        <w:shd w:val="clear" w:color="auto" w:fill="auto"/>
                        <w:lang w:val="hr-HR" w:eastAsia="hr-HR" w:bidi="hr-HR"/>
                      </w:rPr>
                      <w:t>3.</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114300</wp:posOffset>
              </wp:positionH>
              <wp:positionV relativeFrom="page">
                <wp:posOffset>442595</wp:posOffset>
              </wp:positionV>
              <wp:extent cx="3602990" cy="0"/>
              <wp:wrapNone/>
              <wp:docPr id="3785" name="Shape 3785"/>
              <a:graphic xmlns:a="http://schemas.openxmlformats.org/drawingml/2006/main">
                <a:graphicData uri="http://schemas.microsoft.com/office/word/2010/wordprocessingShape">
                  <wps:wsp>
                    <wps:cNvCnPr/>
                    <wps:spPr>
                      <a:xfrm>
                        <a:ext cx="3602990" cy="0"/>
                      </a:xfrm>
                      <a:prstGeom prst="straightConnector1"/>
                      <a:ln w="12700">
                        <a:solidFill/>
                      </a:ln>
                    </wps:spPr>
                    <wps:bodyPr/>
                  </wps:wsp>
                </a:graphicData>
              </a:graphic>
            </wp:anchor>
          </w:drawing>
        </mc:Choice>
        <mc:Fallback>
          <w:pict>
            <v:shape o:spt="32" o:oned="true" path="m,l21600,21600e" style="position:absolute;margin-left:9.pt;margin-top:34.850000000000001pt;width:283.69999999999999pt;height:0;z-index:-251658240;mso-position-horizontal-relative:page;mso-position-vertical-relative:page">
              <v:stroke weight="1.pt"/>
            </v:shape>
          </w:pict>
        </mc:Fallback>
      </mc:AlternateContent>
    </w:r>
  </w:p>
</w:hdr>
</file>

<file path=word/header8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80" behindDoc="1" locked="0" layoutInCell="1" allowOverlap="1">
              <wp:simplePos x="0" y="0"/>
              <wp:positionH relativeFrom="page">
                <wp:posOffset>2584450</wp:posOffset>
              </wp:positionH>
              <wp:positionV relativeFrom="page">
                <wp:posOffset>449580</wp:posOffset>
              </wp:positionV>
              <wp:extent cx="1545590" cy="85090"/>
              <wp:wrapNone/>
              <wp:docPr id="3788" name="Shape 3788"/>
              <a:graphic xmlns:a="http://schemas.openxmlformats.org/drawingml/2006/main">
                <a:graphicData uri="http://schemas.microsoft.com/office/word/2010/wordprocessingShape">
                  <wps:wsp>
                    <wps:cNvSpPr txBox="1"/>
                    <wps:spPr>
                      <a:xfrm>
                        <a:ext cx="154559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SINOPTtĆKA KRONOLOŠKA TABLICA</w:t>
                          </w:r>
                        </w:p>
                      </w:txbxContent>
                    </wps:txbx>
                    <wps:bodyPr wrap="none" lIns="0" tIns="0" rIns="0" bIns="0">
                      <a:spAutoFit/>
                    </wps:bodyPr>
                  </wps:wsp>
                </a:graphicData>
              </a:graphic>
            </wp:anchor>
          </w:drawing>
        </mc:Choice>
        <mc:Fallback>
          <w:pict>
            <v:shape id="_x0000_s4814" type="#_x0000_t202" style="position:absolute;margin-left:203.5pt;margin-top:35.399999999999999pt;width:121.7pt;height:6.7000000000000002pt;z-index:-18874117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SINOPTtĆKA KRONOLOŠKA TABLICA</w:t>
                    </w:r>
                  </w:p>
                </w:txbxContent>
              </v:textbox>
              <w10:wrap anchorx="page" anchory="page"/>
            </v:shape>
          </w:pict>
        </mc:Fallback>
      </mc:AlternateContent>
    </w:r>
    <w:r>
      <mc:AlternateContent>
        <mc:Choice Requires="wps">
          <w:drawing>
            <wp:anchor distT="0" distB="0" distL="0" distR="0" simplePos="0" relativeHeight="62917582" behindDoc="1" locked="0" layoutInCell="1" allowOverlap="1">
              <wp:simplePos x="0" y="0"/>
              <wp:positionH relativeFrom="page">
                <wp:posOffset>570230</wp:posOffset>
              </wp:positionH>
              <wp:positionV relativeFrom="page">
                <wp:posOffset>727075</wp:posOffset>
              </wp:positionV>
              <wp:extent cx="435610" cy="64135"/>
              <wp:wrapNone/>
              <wp:docPr id="3790" name="Shape 3790"/>
              <a:graphic xmlns:a="http://schemas.openxmlformats.org/drawingml/2006/main">
                <a:graphicData uri="http://schemas.microsoft.com/office/word/2010/wordprocessingShape">
                  <wps:wsp>
                    <wps:cNvSpPr txBox="1"/>
                    <wps:spPr>
                      <a:xfrm>
                        <a:ext cx="4356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 židovstvo</w:t>
                          </w:r>
                        </w:p>
                      </w:txbxContent>
                    </wps:txbx>
                    <wps:bodyPr wrap="none" lIns="0" tIns="0" rIns="0" bIns="0">
                      <a:spAutoFit/>
                    </wps:bodyPr>
                  </wps:wsp>
                </a:graphicData>
              </a:graphic>
            </wp:anchor>
          </w:drawing>
        </mc:Choice>
        <mc:Fallback>
          <w:pict>
            <v:shape id="_x0000_s4816" type="#_x0000_t202" style="position:absolute;margin-left:44.899999999999999pt;margin-top:57.25pt;width:34.299999999999997pt;height:5.0499999999999998pt;z-index:-18874117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 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113030</wp:posOffset>
              </wp:positionH>
              <wp:positionV relativeFrom="page">
                <wp:posOffset>567055</wp:posOffset>
              </wp:positionV>
              <wp:extent cx="4017010" cy="0"/>
              <wp:wrapNone/>
              <wp:docPr id="3792" name="Shape 3792"/>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8.9000000000000004pt;margin-top:44.649999999999999pt;width:316.30000000000001pt;height:0;z-index:-251658240;mso-position-horizontal-relative:page;mso-position-vertical-relative:page">
              <v:stroke weight="1.pt"/>
            </v:shape>
          </w:pict>
        </mc:Fallback>
      </mc:AlternateContent>
    </w:r>
  </w:p>
</w:hdr>
</file>

<file path=word/header8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84" behindDoc="1" locked="0" layoutInCell="1" allowOverlap="1">
              <wp:simplePos x="0" y="0"/>
              <wp:positionH relativeFrom="page">
                <wp:posOffset>2584450</wp:posOffset>
              </wp:positionH>
              <wp:positionV relativeFrom="page">
                <wp:posOffset>449580</wp:posOffset>
              </wp:positionV>
              <wp:extent cx="1545590" cy="85090"/>
              <wp:wrapNone/>
              <wp:docPr id="3793" name="Shape 3793"/>
              <a:graphic xmlns:a="http://schemas.openxmlformats.org/drawingml/2006/main">
                <a:graphicData uri="http://schemas.microsoft.com/office/word/2010/wordprocessingShape">
                  <wps:wsp>
                    <wps:cNvSpPr txBox="1"/>
                    <wps:spPr>
                      <a:xfrm>
                        <a:ext cx="1545590" cy="8509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SINOPTtĆKA KRONOLOŠKA TABLICA</w:t>
                          </w:r>
                        </w:p>
                      </w:txbxContent>
                    </wps:txbx>
                    <wps:bodyPr wrap="none" lIns="0" tIns="0" rIns="0" bIns="0">
                      <a:spAutoFit/>
                    </wps:bodyPr>
                  </wps:wsp>
                </a:graphicData>
              </a:graphic>
            </wp:anchor>
          </w:drawing>
        </mc:Choice>
        <mc:Fallback>
          <w:pict>
            <v:shape id="_x0000_s4819" type="#_x0000_t202" style="position:absolute;margin-left:203.5pt;margin-top:35.399999999999999pt;width:121.7pt;height:6.7000000000000002pt;z-index:-18874116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SINOPTtĆKA KRONOLOŠKA TABLICA</w:t>
                    </w:r>
                  </w:p>
                </w:txbxContent>
              </v:textbox>
              <w10:wrap anchorx="page" anchory="page"/>
            </v:shape>
          </w:pict>
        </mc:Fallback>
      </mc:AlternateContent>
    </w:r>
    <w:r>
      <mc:AlternateContent>
        <mc:Choice Requires="wps">
          <w:drawing>
            <wp:anchor distT="0" distB="0" distL="0" distR="0" simplePos="0" relativeHeight="62917586" behindDoc="1" locked="0" layoutInCell="1" allowOverlap="1">
              <wp:simplePos x="0" y="0"/>
              <wp:positionH relativeFrom="page">
                <wp:posOffset>570230</wp:posOffset>
              </wp:positionH>
              <wp:positionV relativeFrom="page">
                <wp:posOffset>727075</wp:posOffset>
              </wp:positionV>
              <wp:extent cx="435610" cy="64135"/>
              <wp:wrapNone/>
              <wp:docPr id="3795" name="Shape 3795"/>
              <a:graphic xmlns:a="http://schemas.openxmlformats.org/drawingml/2006/main">
                <a:graphicData uri="http://schemas.microsoft.com/office/word/2010/wordprocessingShape">
                  <wps:wsp>
                    <wps:cNvSpPr txBox="1"/>
                    <wps:spPr>
                      <a:xfrm>
                        <a:ext cx="43561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 židovstvo</w:t>
                          </w:r>
                        </w:p>
                      </w:txbxContent>
                    </wps:txbx>
                    <wps:bodyPr wrap="none" lIns="0" tIns="0" rIns="0" bIns="0">
                      <a:spAutoFit/>
                    </wps:bodyPr>
                  </wps:wsp>
                </a:graphicData>
              </a:graphic>
            </wp:anchor>
          </w:drawing>
        </mc:Choice>
        <mc:Fallback>
          <w:pict>
            <v:shape id="_x0000_s4821" type="#_x0000_t202" style="position:absolute;margin-left:44.899999999999999pt;margin-top:57.25pt;width:34.299999999999997pt;height:5.0499999999999998pt;z-index:-18874116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1. židovstvo</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113030</wp:posOffset>
              </wp:positionH>
              <wp:positionV relativeFrom="page">
                <wp:posOffset>567055</wp:posOffset>
              </wp:positionV>
              <wp:extent cx="4017010" cy="0"/>
              <wp:wrapNone/>
              <wp:docPr id="3797" name="Shape 3797"/>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8.9000000000000004pt;margin-top:44.649999999999999pt;width:316.30000000000001pt;height:0;z-index:-251658240;mso-position-horizontal-relative:page;mso-position-vertical-relative:page">
              <v:stroke weight="1.pt"/>
            </v:shape>
          </w:pict>
        </mc:Fallback>
      </mc:AlternateContent>
    </w:r>
  </w:p>
</w:hdr>
</file>

<file path=word/header8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88" behindDoc="1" locked="0" layoutInCell="1" allowOverlap="1">
              <wp:simplePos x="0" y="0"/>
              <wp:positionH relativeFrom="page">
                <wp:posOffset>2590165</wp:posOffset>
              </wp:positionH>
              <wp:positionV relativeFrom="page">
                <wp:posOffset>338455</wp:posOffset>
              </wp:positionV>
              <wp:extent cx="1545590" cy="82550"/>
              <wp:wrapNone/>
              <wp:docPr id="3798" name="Shape 3798"/>
              <a:graphic xmlns:a="http://schemas.openxmlformats.org/drawingml/2006/main">
                <a:graphicData uri="http://schemas.microsoft.com/office/word/2010/wordprocessingShape">
                  <wps:wsp>
                    <wps:cNvSpPr txBox="1"/>
                    <wps:spPr>
                      <a:xfrm>
                        <a:ext cx="1545590"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SINOPTIČKA KRONOLOŠKA TABLICA</w:t>
                          </w:r>
                        </w:p>
                      </w:txbxContent>
                    </wps:txbx>
                    <wps:bodyPr wrap="none" lIns="0" tIns="0" rIns="0" bIns="0">
                      <a:spAutoFit/>
                    </wps:bodyPr>
                  </wps:wsp>
                </a:graphicData>
              </a:graphic>
            </wp:anchor>
          </w:drawing>
        </mc:Choice>
        <mc:Fallback>
          <w:pict>
            <v:shape id="_x0000_s4824" type="#_x0000_t202" style="position:absolute;margin-left:203.94999999999999pt;margin-top:26.649999999999999pt;width:121.7pt;height:6.5pt;z-index:-18874116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SINOPTIČKA KRONOLOŠKA TABLICA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114935</wp:posOffset>
              </wp:positionH>
              <wp:positionV relativeFrom="page">
                <wp:posOffset>552450</wp:posOffset>
              </wp:positionV>
              <wp:extent cx="4020185" cy="0"/>
              <wp:wrapNone/>
              <wp:docPr id="3800" name="Shape 380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9.0500000000000007pt;margin-top:43.5pt;width:316.55000000000001pt;height:0;z-index:-251658240;mso-position-horizontal-relative:page;mso-position-vertical-relative:page">
              <v:stroke weight="1.pt"/>
            </v:shape>
          </w:pict>
        </mc:Fallback>
      </mc:AlternateContent>
    </w:r>
  </w:p>
</w:hdr>
</file>

<file path=word/header8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92" behindDoc="1" locked="0" layoutInCell="1" allowOverlap="1">
              <wp:simplePos x="0" y="0"/>
              <wp:positionH relativeFrom="page">
                <wp:posOffset>149225</wp:posOffset>
              </wp:positionH>
              <wp:positionV relativeFrom="page">
                <wp:posOffset>356870</wp:posOffset>
              </wp:positionV>
              <wp:extent cx="1539240" cy="76200"/>
              <wp:wrapNone/>
              <wp:docPr id="3803" name="Shape 3803"/>
              <a:graphic xmlns:a="http://schemas.openxmlformats.org/drawingml/2006/main">
                <a:graphicData uri="http://schemas.microsoft.com/office/word/2010/wordprocessingShape">
                  <wps:wsp>
                    <wps:cNvSpPr txBox="1"/>
                    <wps:spPr>
                      <a:xfrm>
                        <a:ext cx="1539240" cy="7620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SIN0PT1ĆKA KRONOLOŠKA TABLICA</w:t>
                          </w:r>
                        </w:p>
                      </w:txbxContent>
                    </wps:txbx>
                    <wps:bodyPr wrap="none" lIns="0" tIns="0" rIns="0" bIns="0">
                      <a:spAutoFit/>
                    </wps:bodyPr>
                  </wps:wsp>
                </a:graphicData>
              </a:graphic>
            </wp:anchor>
          </w:drawing>
        </mc:Choice>
        <mc:Fallback>
          <w:pict>
            <v:shape id="_x0000_s4829" type="#_x0000_t202" style="position:absolute;margin-left:11.75pt;margin-top:28.100000000000001pt;width:121.2pt;height:6.pt;z-index:-18874116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SIN0PT1ĆKA KRONOLOŠKA TABLICA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149225</wp:posOffset>
              </wp:positionH>
              <wp:positionV relativeFrom="page">
                <wp:posOffset>464820</wp:posOffset>
              </wp:positionV>
              <wp:extent cx="4011295" cy="0"/>
              <wp:wrapNone/>
              <wp:docPr id="3805" name="Shape 3805"/>
              <a:graphic xmlns:a="http://schemas.openxmlformats.org/drawingml/2006/main">
                <a:graphicData uri="http://schemas.microsoft.com/office/word/2010/wordprocessingShape">
                  <wps:wsp>
                    <wps:cNvCnPr/>
                    <wps:spPr>
                      <a:xfrm>
                        <a:ext cx="4011295" cy="0"/>
                      </a:xfrm>
                      <a:prstGeom prst="straightConnector1"/>
                      <a:ln w="12700">
                        <a:solidFill/>
                      </a:ln>
                    </wps:spPr>
                    <wps:bodyPr/>
                  </wps:wsp>
                </a:graphicData>
              </a:graphic>
            </wp:anchor>
          </w:drawing>
        </mc:Choice>
        <mc:Fallback>
          <w:pict>
            <v:shape o:spt="32" o:oned="true" path="m,l21600,21600e" style="position:absolute;margin-left:11.75pt;margin-top:36.600000000000001pt;width:315.85000000000002pt;height:0;z-index:-251658240;mso-position-horizontal-relative:page;mso-position-vertical-relative:page">
              <v:stroke weight="1.pt"/>
            </v:shape>
          </w:pict>
        </mc:Fallback>
      </mc:AlternateContent>
    </w:r>
  </w:p>
</w:hdr>
</file>

<file path=word/header8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596" behindDoc="1" locked="0" layoutInCell="1" allowOverlap="1">
              <wp:simplePos x="0" y="0"/>
              <wp:positionH relativeFrom="page">
                <wp:posOffset>114935</wp:posOffset>
              </wp:positionH>
              <wp:positionV relativeFrom="page">
                <wp:posOffset>433705</wp:posOffset>
              </wp:positionV>
              <wp:extent cx="1551305" cy="82550"/>
              <wp:wrapNone/>
              <wp:docPr id="3808" name="Shape 3808"/>
              <a:graphic xmlns:a="http://schemas.openxmlformats.org/drawingml/2006/main">
                <a:graphicData uri="http://schemas.microsoft.com/office/word/2010/wordprocessingShape">
                  <wps:wsp>
                    <wps:cNvSpPr txBox="1"/>
                    <wps:spPr>
                      <a:xfrm>
                        <a:ext cx="1551305" cy="82550"/>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S1N0PTIČKA KRONOLOŠKA TABLICA</w:t>
                          </w:r>
                        </w:p>
                      </w:txbxContent>
                    </wps:txbx>
                    <wps:bodyPr wrap="none" lIns="0" tIns="0" rIns="0" bIns="0">
                      <a:spAutoFit/>
                    </wps:bodyPr>
                  </wps:wsp>
                </a:graphicData>
              </a:graphic>
            </wp:anchor>
          </w:drawing>
        </mc:Choice>
        <mc:Fallback>
          <w:pict>
            <v:shape id="_x0000_s4834" type="#_x0000_t202" style="position:absolute;margin-left:9.0500000000000007pt;margin-top:34.149999999999999pt;width:122.15000000000001pt;height:6.5pt;z-index:-188741157;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S1N0PTIČKA KRONOLOŠKA TABLICA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118110</wp:posOffset>
              </wp:positionH>
              <wp:positionV relativeFrom="page">
                <wp:posOffset>542925</wp:posOffset>
              </wp:positionV>
              <wp:extent cx="4017010" cy="0"/>
              <wp:wrapNone/>
              <wp:docPr id="3810" name="Shape 3810"/>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9.3000000000000007pt;margin-top:42.75pt;width:316.30000000000001pt;height:0;z-index:-251658240;mso-position-horizontal-relative:page;mso-position-vertical-relative:page">
              <v:stroke weight="1.pt"/>
            </v:shape>
          </w:pict>
        </mc:Fallback>
      </mc:AlternateContent>
    </w:r>
  </w:p>
</w:hdr>
</file>

<file path=word/header8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00" behindDoc="1" locked="0" layoutInCell="1" allowOverlap="1">
              <wp:simplePos x="0" y="0"/>
              <wp:positionH relativeFrom="page">
                <wp:posOffset>128270</wp:posOffset>
              </wp:positionH>
              <wp:positionV relativeFrom="page">
                <wp:posOffset>358140</wp:posOffset>
              </wp:positionV>
              <wp:extent cx="1554480" cy="79375"/>
              <wp:wrapNone/>
              <wp:docPr id="3813" name="Shape 3813"/>
              <a:graphic xmlns:a="http://schemas.openxmlformats.org/drawingml/2006/main">
                <a:graphicData uri="http://schemas.microsoft.com/office/word/2010/wordprocessingShape">
                  <wps:wsp>
                    <wps:cNvSpPr txBox="1"/>
                    <wps:spPr>
                      <a:xfrm>
                        <a:ext cx="15544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ŠINO ETIČKA KRONOLOŠKA TABLICA</w:t>
                          </w:r>
                        </w:p>
                      </w:txbxContent>
                    </wps:txbx>
                    <wps:bodyPr wrap="none" lIns="0" tIns="0" rIns="0" bIns="0">
                      <a:spAutoFit/>
                    </wps:bodyPr>
                  </wps:wsp>
                </a:graphicData>
              </a:graphic>
            </wp:anchor>
          </w:drawing>
        </mc:Choice>
        <mc:Fallback>
          <w:pict>
            <v:shape id="_x0000_s4839" type="#_x0000_t202" style="position:absolute;margin-left:10.1pt;margin-top:28.199999999999999pt;width:122.40000000000001pt;height:6.25pt;z-index:-188741153;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ŠINO ETIČKA KRONOLOŠKA TABLICA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130810</wp:posOffset>
              </wp:positionH>
              <wp:positionV relativeFrom="page">
                <wp:posOffset>469265</wp:posOffset>
              </wp:positionV>
              <wp:extent cx="4020185" cy="0"/>
              <wp:wrapNone/>
              <wp:docPr id="3815" name="Shape 3815"/>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300000000000001pt;margin-top:36.950000000000003pt;width:316.55000000000001pt;height:0;z-index:-251658240;mso-position-horizontal-relative:page;mso-position-vertical-relative:page">
              <v:stroke weight="1.pt"/>
            </v:shape>
          </w:pict>
        </mc:Fallback>
      </mc:AlternateContent>
    </w:r>
  </w:p>
</w:hdr>
</file>

<file path=word/header8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04" behindDoc="1" locked="0" layoutInCell="1" allowOverlap="1">
              <wp:simplePos x="0" y="0"/>
              <wp:positionH relativeFrom="page">
                <wp:posOffset>128270</wp:posOffset>
              </wp:positionH>
              <wp:positionV relativeFrom="page">
                <wp:posOffset>358140</wp:posOffset>
              </wp:positionV>
              <wp:extent cx="1554480" cy="79375"/>
              <wp:wrapNone/>
              <wp:docPr id="3818" name="Shape 3818"/>
              <a:graphic xmlns:a="http://schemas.openxmlformats.org/drawingml/2006/main">
                <a:graphicData uri="http://schemas.microsoft.com/office/word/2010/wordprocessingShape">
                  <wps:wsp>
                    <wps:cNvSpPr txBox="1"/>
                    <wps:spPr>
                      <a:xfrm>
                        <a:ext cx="1554480" cy="7937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ŠINO ETIČKA KRONOLOŠKA TABLICA</w:t>
                          </w:r>
                        </w:p>
                      </w:txbxContent>
                    </wps:txbx>
                    <wps:bodyPr wrap="none" lIns="0" tIns="0" rIns="0" bIns="0">
                      <a:spAutoFit/>
                    </wps:bodyPr>
                  </wps:wsp>
                </a:graphicData>
              </a:graphic>
            </wp:anchor>
          </w:drawing>
        </mc:Choice>
        <mc:Fallback>
          <w:pict>
            <v:shape id="_x0000_s4844" type="#_x0000_t202" style="position:absolute;margin-left:10.1pt;margin-top:28.199999999999999pt;width:122.40000000000001pt;height:6.25pt;z-index:-188741149;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ŠINO ETIČKA KRONOLOŠKA TABLICA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130810</wp:posOffset>
              </wp:positionH>
              <wp:positionV relativeFrom="page">
                <wp:posOffset>469265</wp:posOffset>
              </wp:positionV>
              <wp:extent cx="4020185" cy="0"/>
              <wp:wrapNone/>
              <wp:docPr id="3820" name="Shape 3820"/>
              <a:graphic xmlns:a="http://schemas.openxmlformats.org/drawingml/2006/main">
                <a:graphicData uri="http://schemas.microsoft.com/office/word/2010/wordprocessingShape">
                  <wps:wsp>
                    <wps:cNvCnPr/>
                    <wps:spPr>
                      <a:xfrm>
                        <a:ext cx="4020185" cy="0"/>
                      </a:xfrm>
                      <a:prstGeom prst="straightConnector1"/>
                      <a:ln w="12700">
                        <a:solidFill/>
                      </a:ln>
                    </wps:spPr>
                    <wps:bodyPr/>
                  </wps:wsp>
                </a:graphicData>
              </a:graphic>
            </wp:anchor>
          </w:drawing>
        </mc:Choice>
        <mc:Fallback>
          <w:pict>
            <v:shape o:spt="32" o:oned="true" path="m,l21600,21600e" style="position:absolute;margin-left:10.300000000000001pt;margin-top:36.950000000000003pt;width:316.55000000000001pt;height:0;z-index:-251658240;mso-position-horizontal-relative:page;mso-position-vertical-relative:page">
              <v:stroke weight="1.pt"/>
            </v:shape>
          </w:pict>
        </mc:Fallback>
      </mc:AlternateContent>
    </w:r>
  </w:p>
</w:hdr>
</file>

<file path=word/header8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08" behindDoc="1" locked="0" layoutInCell="1" allowOverlap="1">
              <wp:simplePos x="0" y="0"/>
              <wp:positionH relativeFrom="page">
                <wp:posOffset>147320</wp:posOffset>
              </wp:positionH>
              <wp:positionV relativeFrom="page">
                <wp:posOffset>448945</wp:posOffset>
              </wp:positionV>
              <wp:extent cx="774065" cy="64135"/>
              <wp:wrapNone/>
              <wp:docPr id="3823" name="Shape 3823"/>
              <a:graphic xmlns:a="http://schemas.openxmlformats.org/drawingml/2006/main">
                <a:graphicData uri="http://schemas.microsoft.com/office/word/2010/wordprocessingShape">
                  <wps:wsp>
                    <wps:cNvSpPr txBox="1"/>
                    <wps:spPr>
                      <a:xfrm>
                        <a:ext cx="774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wps:txbx>
                    <wps:bodyPr wrap="none" lIns="0" tIns="0" rIns="0" bIns="0">
                      <a:spAutoFit/>
                    </wps:bodyPr>
                  </wps:wsp>
                </a:graphicData>
              </a:graphic>
            </wp:anchor>
          </w:drawing>
        </mc:Choice>
        <mc:Fallback>
          <w:pict>
            <v:shape id="_x0000_s4849" type="#_x0000_t202" style="position:absolute;margin-left:11.6pt;margin-top:35.350000000000001pt;width:60.950000000000003pt;height:5.0499999999999998pt;z-index:-18874114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539750</wp:posOffset>
              </wp:positionV>
              <wp:extent cx="4014470" cy="0"/>
              <wp:wrapNone/>
              <wp:docPr id="3825" name="Shape 3825"/>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35pt;margin-top:42.5pt;width:316.10000000000002pt;height:0;z-index:-251658240;mso-position-horizontal-relative:page;mso-position-vertical-relative:page">
              <v:stroke weight="1.pt"/>
            </v:shape>
          </w:pict>
        </mc:Fallback>
      </mc:AlternateContent>
    </w:r>
  </w:p>
</w:hdr>
</file>

<file path=word/header8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12" behindDoc="1" locked="0" layoutInCell="1" allowOverlap="1">
              <wp:simplePos x="0" y="0"/>
              <wp:positionH relativeFrom="page">
                <wp:posOffset>147320</wp:posOffset>
              </wp:positionH>
              <wp:positionV relativeFrom="page">
                <wp:posOffset>448945</wp:posOffset>
              </wp:positionV>
              <wp:extent cx="774065" cy="64135"/>
              <wp:wrapNone/>
              <wp:docPr id="3828" name="Shape 3828"/>
              <a:graphic xmlns:a="http://schemas.openxmlformats.org/drawingml/2006/main">
                <a:graphicData uri="http://schemas.microsoft.com/office/word/2010/wordprocessingShape">
                  <wps:wsp>
                    <wps:cNvSpPr txBox="1"/>
                    <wps:spPr>
                      <a:xfrm>
                        <a:ext cx="774065"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wps:txbx>
                    <wps:bodyPr wrap="none" lIns="0" tIns="0" rIns="0" bIns="0">
                      <a:spAutoFit/>
                    </wps:bodyPr>
                  </wps:wsp>
                </a:graphicData>
              </a:graphic>
            </wp:anchor>
          </w:drawing>
        </mc:Choice>
        <mc:Fallback>
          <w:pict>
            <v:shape id="_x0000_s4854" type="#_x0000_t202" style="position:absolute;margin-left:11.6pt;margin-top:35.350000000000001pt;width:60.950000000000003pt;height:5.0499999999999998pt;z-index:-18874114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144145</wp:posOffset>
              </wp:positionH>
              <wp:positionV relativeFrom="page">
                <wp:posOffset>539750</wp:posOffset>
              </wp:positionV>
              <wp:extent cx="4014470" cy="0"/>
              <wp:wrapNone/>
              <wp:docPr id="3830" name="Shape 3830"/>
              <a:graphic xmlns:a="http://schemas.openxmlformats.org/drawingml/2006/main">
                <a:graphicData uri="http://schemas.microsoft.com/office/word/2010/wordprocessingShape">
                  <wps:wsp>
                    <wps:cNvCnPr/>
                    <wps:spPr>
                      <a:xfrm>
                        <a:ext cx="4014470" cy="0"/>
                      </a:xfrm>
                      <a:prstGeom prst="straightConnector1"/>
                      <a:ln w="12700">
                        <a:solidFill/>
                      </a:ln>
                    </wps:spPr>
                    <wps:bodyPr/>
                  </wps:wsp>
                </a:graphicData>
              </a:graphic>
            </wp:anchor>
          </w:drawing>
        </mc:Choice>
        <mc:Fallback>
          <w:pict>
            <v:shape o:spt="32" o:oned="true" path="m,l21600,21600e" style="position:absolute;margin-left:11.35pt;margin-top:42.5pt;width:316.10000000000002pt;height:0;z-index:-251658240;mso-position-horizontal-relative:page;mso-position-vertical-relative:page">
              <v:stroke weight="1.pt"/>
            </v:shape>
          </w:pict>
        </mc:Fallback>
      </mc:AlternateContent>
    </w:r>
  </w:p>
</w:hdr>
</file>

<file path=word/header8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18" behindDoc="1" locked="0" layoutInCell="1" allowOverlap="1">
              <wp:simplePos x="0" y="0"/>
              <wp:positionH relativeFrom="page">
                <wp:posOffset>3360420</wp:posOffset>
              </wp:positionH>
              <wp:positionV relativeFrom="page">
                <wp:posOffset>420370</wp:posOffset>
              </wp:positionV>
              <wp:extent cx="777240" cy="64135"/>
              <wp:wrapNone/>
              <wp:docPr id="3837" name="Shape 3837"/>
              <a:graphic xmlns:a="http://schemas.openxmlformats.org/drawingml/2006/main">
                <a:graphicData uri="http://schemas.microsoft.com/office/word/2010/wordprocessingShape">
                  <wps:wsp>
                    <wps:cNvSpPr txBox="1"/>
                    <wps:spPr>
                      <a:xfrm>
                        <a:ext cx="777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wps:txbx>
                    <wps:bodyPr wrap="none" lIns="0" tIns="0" rIns="0" bIns="0">
                      <a:spAutoFit/>
                    </wps:bodyPr>
                  </wps:wsp>
                </a:graphicData>
              </a:graphic>
            </wp:anchor>
          </w:drawing>
        </mc:Choice>
        <mc:Fallback>
          <w:pict>
            <v:shape id="_x0000_s4863" type="#_x0000_t202" style="position:absolute;margin-left:264.60000000000002pt;margin-top:33.100000000000001pt;width:61.200000000000003pt;height:5.0499999999999998pt;z-index:-188741135;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123190</wp:posOffset>
              </wp:positionH>
              <wp:positionV relativeFrom="page">
                <wp:posOffset>520700</wp:posOffset>
              </wp:positionV>
              <wp:extent cx="4017010" cy="0"/>
              <wp:wrapNone/>
              <wp:docPr id="3839" name="Shape 3839"/>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9.6999999999999993pt;margin-top:41.pt;width:316.30000000000001pt;height:0;z-index:-251658240;mso-position-horizontal-relative:page;mso-position-vertical-relative:page">
              <v:stroke weight="1.pt"/>
            </v:shape>
          </w:pict>
        </mc:Fallback>
      </mc:AlternateContent>
    </w:r>
  </w:p>
</w:hdr>
</file>

<file path=word/header8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7622" behindDoc="1" locked="0" layoutInCell="1" allowOverlap="1">
              <wp:simplePos x="0" y="0"/>
              <wp:positionH relativeFrom="page">
                <wp:posOffset>3360420</wp:posOffset>
              </wp:positionH>
              <wp:positionV relativeFrom="page">
                <wp:posOffset>420370</wp:posOffset>
              </wp:positionV>
              <wp:extent cx="777240" cy="64135"/>
              <wp:wrapNone/>
              <wp:docPr id="3842" name="Shape 3842"/>
              <a:graphic xmlns:a="http://schemas.openxmlformats.org/drawingml/2006/main">
                <a:graphicData uri="http://schemas.microsoft.com/office/word/2010/wordprocessingShape">
                  <wps:wsp>
                    <wps:cNvSpPr txBox="1"/>
                    <wps:spPr>
                      <a:xfrm>
                        <a:ext cx="777240" cy="64135"/>
                      </a:xfrm>
                      <a:prstGeom prst="rect"/>
                      <a:noFill/>
                    </wps:spPr>
                    <wps:txbx>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wps:txbx>
                    <wps:bodyPr wrap="none" lIns="0" tIns="0" rIns="0" bIns="0">
                      <a:spAutoFit/>
                    </wps:bodyPr>
                  </wps:wsp>
                </a:graphicData>
              </a:graphic>
            </wp:anchor>
          </w:drawing>
        </mc:Choice>
        <mc:Fallback>
          <w:pict>
            <v:shape id="_x0000_s4868" type="#_x0000_t202" style="position:absolute;margin-left:264.60000000000002pt;margin-top:33.100000000000001pt;width:61.200000000000003pt;height:5.0499999999999998pt;z-index:-188741131;mso-wrap-style:none;mso-wrap-distance-left:0;mso-wrap-distance-right:0;mso-position-horizontal-relative:page;mso-position-vertical-relative:page" wrapcoords="0 0" filled="f" stroked="f">
              <v:textbox style="mso-fit-shape-to-text:t" inset="0,0,0,0">
                <w:txbxContent>
                  <w:p>
                    <w:pPr>
                      <w:pStyle w:val="Style7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hr-HR" w:eastAsia="hr-HR" w:bidi="hr-HR"/>
                      </w:rPr>
                      <w:t>POPIS NATUKNICA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123190</wp:posOffset>
              </wp:positionH>
              <wp:positionV relativeFrom="page">
                <wp:posOffset>520700</wp:posOffset>
              </wp:positionV>
              <wp:extent cx="4017010" cy="0"/>
              <wp:wrapNone/>
              <wp:docPr id="3844" name="Shape 3844"/>
              <a:graphic xmlns:a="http://schemas.openxmlformats.org/drawingml/2006/main">
                <a:graphicData uri="http://schemas.microsoft.com/office/word/2010/wordprocessingShape">
                  <wps:wsp>
                    <wps:cNvCnPr/>
                    <wps:spPr>
                      <a:xfrm>
                        <a:ext cx="4017010" cy="0"/>
                      </a:xfrm>
                      <a:prstGeom prst="straightConnector1"/>
                      <a:ln w="12700">
                        <a:solidFill/>
                      </a:ln>
                    </wps:spPr>
                    <wps:bodyPr/>
                  </wps:wsp>
                </a:graphicData>
              </a:graphic>
            </wp:anchor>
          </w:drawing>
        </mc:Choice>
        <mc:Fallback>
          <w:pict>
            <v:shape o:spt="32" o:oned="true" path="m,l21600,21600e" style="position:absolute;margin-left:9.6999999999999993pt;margin-top:41.pt;width:316.30000000000001pt;height:0;z-index:-251658240;mso-position-horizontal-relative:page;mso-position-vertical-relative:page">
              <v:stroke weight="1.pt"/>
            </v:shape>
          </w:pict>
        </mc:Fallback>
      </mc:AlternateContent>
    </w:r>
  </w:p>
</w:hdr>
</file>

<file path=word/header8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hr-HR" w:eastAsia="hr-HR" w:bidi="hr-HR"/>
      </w:rPr>
    </w:lvl>
  </w:abstractNum>
  <w:abstractNum w:abstractNumId="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hr-HR" w:eastAsia="hr-HR" w:bidi="hr-HR"/>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hr-HR" w:eastAsia="hr-HR" w:bidi="hr-HR"/>
      </w:rPr>
    </w:lvl>
  </w:abstractNum>
  <w:abstractNum w:abstractNumId="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6">
    <w:multiLevelType w:val="multilevel"/>
    <w:lvl w:ilvl="0">
      <w:start w:val="4"/>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8">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4">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8">
    <w:multiLevelType w:val="multilevel"/>
    <w:lvl w:ilvl="0">
      <w:start w:val="8"/>
      <w:numFmt w:val="upperLetter"/>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8">
    <w:multiLevelType w:val="multilevel"/>
    <w:lvl w:ilvl="0">
      <w:start w:val="6"/>
      <w:numFmt w:val="decimal"/>
      <w:lvlText w:val="68.5.%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0">
    <w:multiLevelType w:val="multilevel"/>
    <w:lvl w:ilvl="0">
      <w:start w:val="6"/>
      <w:numFmt w:val="decimal"/>
      <w:lvlText w:val="138.%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56">
    <w:multiLevelType w:val="multilevel"/>
    <w:lvl w:ilvl="0">
      <w:start w:val="5"/>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4">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6">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72">
    <w:multiLevelType w:val="multilevel"/>
    <w:lvl w:ilvl="0">
      <w:start w:val="16"/>
      <w:numFmt w:val="decimal"/>
      <w:lvlText w:val="5.%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74">
    <w:multiLevelType w:val="multilevel"/>
    <w:lvl w:ilvl="0">
      <w:start w:val="16"/>
      <w:numFmt w:val="decimal"/>
      <w:lvlText w:val="15.7.9.%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76">
    <w:multiLevelType w:val="multilevel"/>
    <w:lvl w:ilvl="0">
      <w:start w:val="8"/>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en-US" w:eastAsia="en-US" w:bidi="en-US"/>
      </w:rPr>
    </w:lvl>
  </w:abstractNum>
  <w:abstractNum w:abstractNumId="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80">
    <w:multiLevelType w:val="multilevel"/>
    <w:lvl w:ilvl="0">
      <w:start w:val="3"/>
      <w:numFmt w:val="decimal"/>
      <w:lvlText w:val="42,%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82">
    <w:multiLevelType w:val="multilevel"/>
    <w:lvl w:ilvl="0">
      <w:start w:val="4"/>
      <w:numFmt w:val="decimal"/>
      <w:lvlText w:val="18,%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8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8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88">
    <w:multiLevelType w:val="multilevel"/>
    <w:lvl w:ilvl="0">
      <w:start w:val="4"/>
      <w:numFmt w:val="decimal"/>
      <w:lvlText w:val="111,%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9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9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9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02">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0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lvl w:ilvl="1">
      <w:start w:val="17"/>
      <w:numFmt w:val="decimal"/>
      <w:lvlText w:val="%1.%2)"/>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06">
    <w:multiLevelType w:val="multilevel"/>
    <w:lvl w:ilvl="0">
      <w:start w:val="17"/>
      <w:numFmt w:val="decimal"/>
      <w:lvlText w:val="26.%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0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1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1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20">
    <w:multiLevelType w:val="multilevel"/>
    <w:lvl w:ilvl="0">
      <w:start w:val="4"/>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2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2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30">
    <w:multiLevelType w:val="multilevel"/>
    <w:lvl w:ilvl="0">
      <w:start w:val="1982"/>
      <w:numFmt w:val="decimal"/>
      <w:lvlText w:val="%1,"/>
      <w:rPr>
        <w:rFonts w:ascii="Arial" w:eastAsia="Arial" w:hAnsi="Arial" w:cs="Arial"/>
        <w:b w:val="0"/>
        <w:bCs w:val="0"/>
        <w:i w:val="0"/>
        <w:iCs w:val="0"/>
        <w:smallCaps w:val="0"/>
        <w:strike w:val="0"/>
        <w:color w:val="000000"/>
        <w:spacing w:val="0"/>
        <w:w w:val="100"/>
        <w:position w:val="0"/>
        <w:sz w:val="12"/>
        <w:szCs w:val="12"/>
        <w:u w:val="none"/>
        <w:shd w:val="clear" w:color="auto" w:fill="auto"/>
        <w:lang w:val="hr-HR" w:eastAsia="hr-HR" w:bidi="hr-HR"/>
      </w:rPr>
    </w:lvl>
  </w:abstractNum>
  <w:abstractNum w:abstractNumId="132">
    <w:multiLevelType w:val="multilevel"/>
    <w:lvl w:ilvl="0">
      <w:start w:val="1983"/>
      <w:numFmt w:val="decimal"/>
      <w:lvlText w:val="%1."/>
      <w:rPr>
        <w:rFonts w:ascii="Arial" w:eastAsia="Arial" w:hAnsi="Arial" w:cs="Arial"/>
        <w:b w:val="0"/>
        <w:bCs w:val="0"/>
        <w:i w:val="0"/>
        <w:iCs w:val="0"/>
        <w:smallCaps w:val="0"/>
        <w:strike w:val="0"/>
        <w:color w:val="000000"/>
        <w:spacing w:val="0"/>
        <w:w w:val="100"/>
        <w:position w:val="0"/>
        <w:sz w:val="12"/>
        <w:szCs w:val="12"/>
        <w:u w:val="none"/>
        <w:shd w:val="clear" w:color="auto" w:fill="auto"/>
        <w:lang w:val="hr-HR" w:eastAsia="hr-HR" w:bidi="hr-HR"/>
      </w:rPr>
    </w:lvl>
  </w:abstractNum>
  <w:abstractNum w:abstractNumId="13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3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4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4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4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50">
    <w:multiLevelType w:val="multilevel"/>
    <w:lvl w:ilvl="0">
      <w:start w:val="7"/>
      <w:numFmt w:val="upperLetter"/>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5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5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5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6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6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6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7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7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74">
    <w:multiLevelType w:val="multilevel"/>
    <w:lvl w:ilvl="0">
      <w:start w:val="46"/>
      <w:numFmt w:val="decimal"/>
      <w:lvlText w:val="%1)"/>
      <w:rPr>
        <w:rFonts w:ascii="Arial" w:eastAsia="Arial" w:hAnsi="Arial" w:cs="Arial"/>
        <w:b w:val="0"/>
        <w:bCs w:val="0"/>
        <w:i w:val="0"/>
        <w:iCs w:val="0"/>
        <w:smallCaps w:val="0"/>
        <w:strike w:val="0"/>
        <w:color w:val="000000"/>
        <w:spacing w:val="0"/>
        <w:w w:val="100"/>
        <w:position w:val="0"/>
        <w:sz w:val="12"/>
        <w:szCs w:val="12"/>
        <w:u w:val="none"/>
        <w:shd w:val="clear" w:color="auto" w:fill="auto"/>
        <w:lang w:val="en-US" w:eastAsia="en-US" w:bidi="en-US"/>
      </w:rPr>
    </w:lvl>
  </w:abstractNum>
  <w:abstractNum w:abstractNumId="176">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7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80">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182">
    <w:multiLevelType w:val="multilevel"/>
    <w:lvl w:ilvl="0">
      <w:start w:val="8"/>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en-US" w:eastAsia="en-US" w:bidi="en-US"/>
      </w:rPr>
    </w:lvl>
  </w:abstractNum>
  <w:abstractNum w:abstractNumId="18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88">
    <w:multiLevelType w:val="multilevel"/>
    <w:lvl w:ilvl="0">
      <w:start w:val="50"/>
      <w:numFmt w:val="low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9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1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19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19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0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0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06">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08">
    <w:multiLevelType w:val="multilevel"/>
    <w:lvl w:ilvl="0">
      <w:start w:val="15"/>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10">
    <w:multiLevelType w:val="multilevel"/>
    <w:lvl w:ilvl="0">
      <w:start w:val="21"/>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12">
    <w:multiLevelType w:val="multilevel"/>
    <w:lvl w:ilvl="0">
      <w:start w:val="15"/>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14">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16">
    <w:multiLevelType w:val="multilevel"/>
    <w:lvl w:ilvl="0">
      <w:start w:val="15"/>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18">
    <w:multiLevelType w:val="multilevel"/>
    <w:lvl w:ilvl="0">
      <w:start w:val="21"/>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20">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2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2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2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3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3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3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4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4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44">
    <w:multiLevelType w:val="multilevel"/>
    <w:lvl w:ilvl="0">
      <w:start w:val="50"/>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4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48">
    <w:multiLevelType w:val="multilevel"/>
    <w:lvl w:ilvl="0">
      <w:start w:val="1971"/>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en-US" w:eastAsia="en-US" w:bidi="en-US"/>
      </w:rPr>
    </w:lvl>
  </w:abstractNum>
  <w:abstractNum w:abstractNumId="250">
    <w:multiLevelType w:val="multilevel"/>
    <w:lvl w:ilvl="0">
      <w:start w:val="1972"/>
      <w:numFmt w:val="decimal"/>
      <w:lvlText w:val="%1."/>
      <w:rPr>
        <w:rFonts w:ascii="Arial" w:eastAsia="Arial" w:hAnsi="Arial" w:cs="Arial"/>
        <w:b w:val="0"/>
        <w:bCs w:val="0"/>
        <w:i w:val="0"/>
        <w:iCs w:val="0"/>
        <w:smallCaps w:val="0"/>
        <w:strike w:val="0"/>
        <w:color w:val="000000"/>
        <w:spacing w:val="0"/>
        <w:w w:val="100"/>
        <w:position w:val="0"/>
        <w:sz w:val="12"/>
        <w:szCs w:val="12"/>
        <w:u w:val="none"/>
        <w:shd w:val="clear" w:color="auto" w:fill="auto"/>
        <w:lang w:val="en-US" w:eastAsia="en-US" w:bidi="en-US"/>
      </w:rPr>
    </w:lvl>
  </w:abstractNum>
  <w:abstractNum w:abstractNumId="25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5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6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6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7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7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78">
    <w:multiLevelType w:val="multilevel"/>
    <w:lvl w:ilvl="0">
      <w:start w:val="5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28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8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88">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9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9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29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2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298">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00">
    <w:multiLevelType w:val="multilevel"/>
    <w:lvl w:ilvl="0">
      <w:start w:val="5"/>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02">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0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08">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1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1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18">
    <w:multiLevelType w:val="multilevel"/>
    <w:lvl w:ilvl="0">
      <w:start w:val="30"/>
      <w:numFmt w:val="decimal"/>
      <w:lvlText w:val="24.%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20">
    <w:multiLevelType w:val="multilevel"/>
    <w:lvl w:ilvl="0">
      <w:start w:val="30"/>
      <w:numFmt w:val="decimal"/>
      <w:lvlText w:val="26.%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2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2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2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3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3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3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38">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4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4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4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46">
    <w:multiLevelType w:val="multilevel"/>
    <w:lvl w:ilvl="0">
      <w:start w:val="1"/>
      <w:numFmt w:val="lowerLetter"/>
      <w:lvlText w:val="%1)"/>
      <w:rPr>
        <w:rFonts w:ascii="Arial" w:eastAsia="Arial" w:hAnsi="Arial" w:cs="Arial"/>
        <w:b w:val="0"/>
        <w:bCs w:val="0"/>
        <w:i/>
        <w:iCs/>
        <w:smallCaps w:val="0"/>
        <w:strike w:val="0"/>
        <w:color w:val="000000"/>
        <w:spacing w:val="0"/>
        <w:w w:val="100"/>
        <w:position w:val="0"/>
        <w:sz w:val="12"/>
        <w:szCs w:val="12"/>
        <w:u w:val="none"/>
        <w:shd w:val="clear" w:color="auto" w:fill="auto"/>
        <w:lang w:val="en-US" w:eastAsia="en-US" w:bidi="en-US"/>
      </w:rPr>
    </w:lvl>
  </w:abstractNum>
  <w:abstractNum w:abstractNumId="34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5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54">
    <w:multiLevelType w:val="multilevel"/>
    <w:lvl w:ilvl="0">
      <w:start w:val="50"/>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56">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5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62">
    <w:multiLevelType w:val="multilevel"/>
    <w:lvl w:ilvl="0">
      <w:start w:val="5"/>
      <w:numFmt w:val="decimal"/>
      <w:lvlText w:val="15.2.%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64">
    <w:multiLevelType w:val="multilevel"/>
    <w:lvl w:ilvl="0">
      <w:start w:val="5"/>
      <w:numFmt w:val="decimal"/>
      <w:lvlText w:val="24.4.%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6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6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70">
    <w:multiLevelType w:val="multilevel"/>
    <w:lvl w:ilvl="0">
      <w:start w:val="1981"/>
      <w:numFmt w:val="decimal"/>
      <w:lvlText w:val="%1,"/>
      <w:rPr>
        <w:rFonts w:ascii="Arial" w:eastAsia="Arial" w:hAnsi="Arial" w:cs="Arial"/>
        <w:b w:val="0"/>
        <w:bCs w:val="0"/>
        <w:i w:val="0"/>
        <w:iCs w:val="0"/>
        <w:smallCaps w:val="0"/>
        <w:strike w:val="0"/>
        <w:color w:val="000000"/>
        <w:spacing w:val="0"/>
        <w:w w:val="100"/>
        <w:position w:val="0"/>
        <w:sz w:val="12"/>
        <w:szCs w:val="12"/>
        <w:u w:val="none"/>
        <w:shd w:val="clear" w:color="auto" w:fill="auto"/>
        <w:lang w:val="en-US" w:eastAsia="en-US" w:bidi="en-US"/>
      </w:rPr>
    </w:lvl>
  </w:abstractNum>
  <w:abstractNum w:abstractNumId="3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7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7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8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8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38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9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39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396">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398">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0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0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0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0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12">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1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16">
    <w:multiLevelType w:val="multilevel"/>
    <w:lvl w:ilvl="0">
      <w:start w:val="6"/>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1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2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2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32">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2"/>
        <w:szCs w:val="12"/>
        <w:u w:val="none"/>
        <w:shd w:val="clear" w:color="auto" w:fill="auto"/>
        <w:lang w:val="hr-HR" w:eastAsia="hr-HR" w:bidi="hr-HR"/>
      </w:rPr>
    </w:lvl>
  </w:abstractNum>
  <w:abstractNum w:abstractNumId="434">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4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4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46">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4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5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5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60">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6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6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6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7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76">
    <w:multiLevelType w:val="multilevel"/>
    <w:lvl w:ilvl="0">
      <w:start w:val="7"/>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7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8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8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48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49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92">
    <w:multiLevelType w:val="multilevel"/>
    <w:lvl w:ilvl="0">
      <w:start w:val="6"/>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4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4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0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04">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50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0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12">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2"/>
        <w:szCs w:val="12"/>
        <w:u w:val="none"/>
        <w:shd w:val="clear" w:color="auto" w:fill="auto"/>
        <w:lang w:val="hr-HR" w:eastAsia="hr-HR" w:bidi="hr-HR"/>
      </w:rPr>
    </w:lvl>
  </w:abstractNum>
  <w:abstractNum w:abstractNumId="5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1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2"/>
        <w:szCs w:val="12"/>
        <w:u w:val="none"/>
        <w:shd w:val="clear" w:color="auto" w:fill="auto"/>
        <w:lang w:val="hr-HR" w:eastAsia="hr-HR" w:bidi="hr-HR"/>
      </w:rPr>
    </w:lvl>
  </w:abstractNum>
  <w:abstractNum w:abstractNumId="51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en-US" w:eastAsia="en-US" w:bidi="en-US"/>
      </w:rPr>
    </w:lvl>
  </w:abstractNum>
  <w:abstractNum w:abstractNumId="5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2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24">
    <w:multiLevelType w:val="multilevel"/>
    <w:lvl w:ilvl="0">
      <w:start w:val="1"/>
      <w:numFmt w:val="decimal"/>
      <w:lvlText w:val="21.%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26">
    <w:multiLevelType w:val="multilevel"/>
    <w:lvl w:ilvl="0">
      <w:start w:val="1"/>
      <w:numFmt w:val="decimal"/>
      <w:lvlText w:val="21.%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28">
    <w:multiLevelType w:val="multilevel"/>
    <w:lvl w:ilvl="0">
      <w:start w:val="1"/>
      <w:numFmt w:val="decimal"/>
      <w:lvlText w:val="11,%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3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3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5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36">
    <w:multiLevelType w:val="multilevel"/>
    <w:lvl w:ilvl="0">
      <w:start w:val="1"/>
      <w:numFmt w:val="upperRoman"/>
      <w:lvlText w:val="%1."/>
      <w:rPr>
        <w:rFonts w:ascii="Arial" w:eastAsia="Arial" w:hAnsi="Arial" w:cs="Arial"/>
        <w:b/>
        <w:bCs/>
        <w:i w:val="0"/>
        <w:iCs w:val="0"/>
        <w:smallCaps w:val="0"/>
        <w:strike w:val="0"/>
        <w:color w:val="000000"/>
        <w:spacing w:val="0"/>
        <w:w w:val="100"/>
        <w:position w:val="0"/>
        <w:sz w:val="12"/>
        <w:szCs w:val="12"/>
        <w:u w:val="none"/>
        <w:shd w:val="clear" w:color="auto" w:fill="auto"/>
        <w:lang w:val="hr-HR" w:eastAsia="hr-HR" w:bidi="hr-HR"/>
      </w:rPr>
    </w:lvl>
  </w:abstractNum>
  <w:abstractNum w:abstractNumId="5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4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4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44">
    <w:multiLevelType w:val="multilevel"/>
    <w:lvl w:ilvl="0">
      <w:start w:val="1"/>
      <w:numFmt w:val="decimal"/>
      <w:lvlText w:val="3.%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46">
    <w:multiLevelType w:val="multilevel"/>
    <w:lvl w:ilvl="0">
      <w:start w:val="2"/>
      <w:numFmt w:val="decimal"/>
      <w:lvlText w:val="7.%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48">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5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5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5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5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55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6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66">
    <w:multiLevelType w:val="multilevel"/>
    <w:lvl w:ilvl="0">
      <w:start w:val="3"/>
      <w:numFmt w:val="decimal"/>
      <w:lvlText w:val="%1."/>
      <w:rPr>
        <w:rFonts w:ascii="Arial" w:eastAsia="Arial" w:hAnsi="Arial" w:cs="Arial"/>
        <w:b w:val="0"/>
        <w:bCs w:val="0"/>
        <w:i w:val="0"/>
        <w:iCs w:val="0"/>
        <w:smallCaps w:val="0"/>
        <w:strike w:val="0"/>
        <w:color w:val="000000"/>
        <w:spacing w:val="0"/>
        <w:w w:val="100"/>
        <w:position w:val="0"/>
        <w:sz w:val="13"/>
        <w:szCs w:val="13"/>
        <w:u w:val="none"/>
        <w:shd w:val="clear" w:color="auto" w:fill="auto"/>
        <w:lang w:val="hr-HR" w:eastAsia="hr-HR" w:bidi="hr-HR"/>
      </w:rPr>
    </w:lvl>
  </w:abstractNum>
  <w:abstractNum w:abstractNumId="568">
    <w:multiLevelType w:val="multilevel"/>
    <w:lvl w:ilvl="0">
      <w:start w:val="8"/>
      <w:numFmt w:val="decimal"/>
      <w:lvlText w:val="%1."/>
      <w:rPr>
        <w:rFonts w:ascii="Arial" w:eastAsia="Arial" w:hAnsi="Arial" w:cs="Arial"/>
        <w:b w:val="0"/>
        <w:bCs w:val="0"/>
        <w:i w:val="0"/>
        <w:iCs w:val="0"/>
        <w:smallCaps w:val="0"/>
        <w:strike w:val="0"/>
        <w:color w:val="000000"/>
        <w:spacing w:val="0"/>
        <w:w w:val="100"/>
        <w:position w:val="0"/>
        <w:sz w:val="13"/>
        <w:szCs w:val="13"/>
        <w:u w:val="none"/>
        <w:shd w:val="clear" w:color="auto" w:fill="auto"/>
        <w:lang w:val="hr-HR" w:eastAsia="hr-HR" w:bidi="hr-HR"/>
      </w:rPr>
    </w:lvl>
  </w:abstractNum>
  <w:abstractNum w:abstractNumId="57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7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76">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7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80">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8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58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8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9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92">
    <w:multiLevelType w:val="multilevel"/>
    <w:lvl w:ilvl="0">
      <w:start w:val="6"/>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59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5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5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60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2"/>
        <w:szCs w:val="12"/>
        <w:u w:val="none"/>
        <w:shd w:val="clear" w:color="auto" w:fill="auto"/>
        <w:lang w:val="en-US" w:eastAsia="en-US" w:bidi="en-US"/>
      </w:rPr>
    </w:lvl>
  </w:abstractNum>
  <w:abstractNum w:abstractNumId="602">
    <w:multiLevelType w:val="multilevel"/>
    <w:lvl w:ilvl="0">
      <w:start w:val="1"/>
      <w:numFmt w:val="decimal"/>
      <w:lvlText w:val="16.%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04">
    <w:multiLevelType w:val="multilevel"/>
    <w:lvl w:ilvl="0">
      <w:start w:val="2"/>
      <w:numFmt w:val="decimal"/>
      <w:lvlText w:val="28.%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06">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0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6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12">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14">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1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61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62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622">
    <w:multiLevelType w:val="multilevel"/>
    <w:lvl w:ilvl="0">
      <w:start w:val="22"/>
      <w:numFmt w:val="decimal"/>
      <w:lvlText w:val="1.%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24">
    <w:multiLevelType w:val="multilevel"/>
    <w:lvl w:ilvl="0">
      <w:start w:val="22"/>
      <w:numFmt w:val="decimal"/>
      <w:lvlText w:val="14.%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2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63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6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63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64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42">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44">
    <w:multiLevelType w:val="multilevel"/>
    <w:lvl w:ilvl="0">
      <w:start w:val="10"/>
      <w:numFmt w:val="decimal"/>
      <w:lvlText w:val="13.%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46">
    <w:multiLevelType w:val="multilevel"/>
    <w:lvl w:ilvl="0">
      <w:start w:val="11"/>
      <w:numFmt w:val="decimal"/>
      <w:lvlText w:val="11.%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48">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2"/>
        <w:szCs w:val="12"/>
        <w:u w:val="none"/>
        <w:shd w:val="clear" w:color="auto" w:fill="auto"/>
        <w:lang w:val="hr-HR" w:eastAsia="hr-HR" w:bidi="hr-HR"/>
      </w:rPr>
    </w:lvl>
  </w:abstractNum>
  <w:abstractNum w:abstractNumId="6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652">
    <w:multiLevelType w:val="multilevel"/>
    <w:lvl w:ilvl="0">
      <w:start w:val="14"/>
      <w:numFmt w:val="decimal"/>
      <w:lvlText w:val="17.10.%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54">
    <w:multiLevelType w:val="multilevel"/>
    <w:lvl w:ilvl="0">
      <w:start w:val="14"/>
      <w:numFmt w:val="decimal"/>
      <w:lvlText w:val="19.%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5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5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6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6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6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66">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668">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abstractNum>
  <w:abstractNum w:abstractNumId="67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en-US" w:eastAsia="en-US" w:bidi="en-US"/>
      </w:rPr>
    </w:lvl>
  </w:abstractNum>
  <w:abstractNum w:abstractNumId="67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7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lang w:val="hr-HR" w:eastAsia="hr-HR" w:bidi="hr-HR"/>
      </w:rPr>
    </w:lvl>
  </w:abstractNum>
  <w:abstractNum w:abstractNumId="682">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hr-HR" w:eastAsia="hr-HR" w:bidi="hr-HR"/>
      </w:rPr>
    </w:lvl>
  </w:abstractNum>
  <w:abstractNum w:abstractNumId="68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hr-HR" w:eastAsia="hr-HR" w:bidi="hr-HR"/>
      </w:rPr>
    </w:lvl>
  </w:abstractNum>
  <w:abstractNum w:abstractNumId="68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hr-HR" w:eastAsia="hr-HR" w:bidi="hr-HR"/>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 w:numId="641">
    <w:abstractNumId w:val="640"/>
  </w:num>
  <w:num w:numId="643">
    <w:abstractNumId w:val="642"/>
  </w:num>
  <w:num w:numId="645">
    <w:abstractNumId w:val="644"/>
  </w:num>
  <w:num w:numId="647">
    <w:abstractNumId w:val="646"/>
  </w:num>
  <w:num w:numId="649">
    <w:abstractNumId w:val="648"/>
  </w:num>
  <w:num w:numId="651">
    <w:abstractNumId w:val="650"/>
  </w:num>
  <w:num w:numId="653">
    <w:abstractNumId w:val="652"/>
  </w:num>
  <w:num w:numId="655">
    <w:abstractNumId w:val="654"/>
  </w:num>
  <w:num w:numId="657">
    <w:abstractNumId w:val="656"/>
  </w:num>
  <w:num w:numId="659">
    <w:abstractNumId w:val="658"/>
  </w:num>
  <w:num w:numId="661">
    <w:abstractNumId w:val="660"/>
  </w:num>
  <w:num w:numId="663">
    <w:abstractNumId w:val="662"/>
  </w:num>
  <w:num w:numId="665">
    <w:abstractNumId w:val="664"/>
  </w:num>
  <w:num w:numId="667">
    <w:abstractNumId w:val="666"/>
  </w:num>
  <w:num w:numId="669">
    <w:abstractNumId w:val="668"/>
  </w:num>
  <w:num w:numId="671">
    <w:abstractNumId w:val="670"/>
  </w:num>
  <w:num w:numId="673">
    <w:abstractNumId w:val="672"/>
  </w:num>
  <w:num w:numId="675">
    <w:abstractNumId w:val="674"/>
  </w:num>
  <w:num w:numId="677">
    <w:abstractNumId w:val="676"/>
  </w:num>
  <w:num w:numId="679">
    <w:abstractNumId w:val="678"/>
  </w:num>
  <w:num w:numId="681">
    <w:abstractNumId w:val="680"/>
  </w:num>
  <w:num w:numId="683">
    <w:abstractNumId w:val="682"/>
  </w:num>
  <w:num w:numId="685">
    <w:abstractNumId w:val="684"/>
  </w:num>
  <w:num w:numId="687">
    <w:abstractNumId w:val="68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hr-HR" w:eastAsia="hr-HR" w:bidi="hr-H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hr-HR" w:eastAsia="hr-HR" w:bidi="hr-HR"/>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hr-HR" w:eastAsia="hr-HR" w:bidi="hr-HR"/>
    </w:rPr>
  </w:style>
  <w:style w:type="character" w:customStyle="1" w:styleId="CharStyle3">
    <w:name w:val="Footnote|1_"/>
    <w:basedOn w:val="DefaultParagraphFont"/>
    <w:link w:val="Style2"/>
    <w:rPr>
      <w:b w:val="0"/>
      <w:bCs w:val="0"/>
      <w:i w:val="0"/>
      <w:iCs w:val="0"/>
      <w:smallCaps w:val="0"/>
      <w:strike w:val="0"/>
      <w:sz w:val="15"/>
      <w:szCs w:val="15"/>
      <w:u w:val="none"/>
    </w:rPr>
  </w:style>
  <w:style w:type="character" w:customStyle="1" w:styleId="CharStyle8">
    <w:name w:val="Other|1_"/>
    <w:basedOn w:val="DefaultParagraphFont"/>
    <w:link w:val="Style7"/>
    <w:rPr>
      <w:b w:val="0"/>
      <w:bCs w:val="0"/>
      <w:i w:val="0"/>
      <w:iCs w:val="0"/>
      <w:smallCaps w:val="0"/>
      <w:strike w:val="0"/>
      <w:sz w:val="17"/>
      <w:szCs w:val="17"/>
      <w:u w:val="none"/>
    </w:rPr>
  </w:style>
  <w:style w:type="character" w:customStyle="1" w:styleId="CharStyle21">
    <w:name w:val="Body text|1_"/>
    <w:basedOn w:val="DefaultParagraphFont"/>
    <w:link w:val="Style20"/>
    <w:rPr>
      <w:b w:val="0"/>
      <w:bCs w:val="0"/>
      <w:i w:val="0"/>
      <w:iCs w:val="0"/>
      <w:smallCaps w:val="0"/>
      <w:strike w:val="0"/>
      <w:sz w:val="15"/>
      <w:szCs w:val="15"/>
      <w:u w:val="none"/>
    </w:rPr>
  </w:style>
  <w:style w:type="character" w:customStyle="1" w:styleId="CharStyle25">
    <w:name w:val="Heading #5|1_"/>
    <w:basedOn w:val="DefaultParagraphFont"/>
    <w:link w:val="Style24"/>
    <w:rPr>
      <w:b w:val="0"/>
      <w:bCs w:val="0"/>
      <w:i/>
      <w:iCs/>
      <w:smallCaps w:val="0"/>
      <w:strike w:val="0"/>
      <w:sz w:val="19"/>
      <w:szCs w:val="19"/>
      <w:u w:val="none"/>
    </w:rPr>
  </w:style>
  <w:style w:type="character" w:customStyle="1" w:styleId="CharStyle29">
    <w:name w:val="Heading #1|1_"/>
    <w:basedOn w:val="DefaultParagraphFont"/>
    <w:link w:val="Style28"/>
    <w:rPr>
      <w:b w:val="0"/>
      <w:bCs w:val="0"/>
      <w:i w:val="0"/>
      <w:iCs w:val="0"/>
      <w:smallCaps w:val="0"/>
      <w:strike w:val="0"/>
      <w:sz w:val="60"/>
      <w:szCs w:val="60"/>
      <w:u w:val="none"/>
    </w:rPr>
  </w:style>
  <w:style w:type="character" w:customStyle="1" w:styleId="CharStyle31">
    <w:name w:val="Heading #2|1_"/>
    <w:basedOn w:val="DefaultParagraphFont"/>
    <w:link w:val="Style30"/>
    <w:rPr>
      <w:b w:val="0"/>
      <w:bCs w:val="0"/>
      <w:i w:val="0"/>
      <w:iCs w:val="0"/>
      <w:smallCaps w:val="0"/>
      <w:strike w:val="0"/>
      <w:sz w:val="36"/>
      <w:szCs w:val="36"/>
      <w:u w:val="none"/>
    </w:rPr>
  </w:style>
  <w:style w:type="character" w:customStyle="1" w:styleId="CharStyle34">
    <w:name w:val="Body text|3_"/>
    <w:basedOn w:val="DefaultParagraphFont"/>
    <w:link w:val="Style33"/>
    <w:rPr>
      <w:b w:val="0"/>
      <w:bCs w:val="0"/>
      <w:i w:val="0"/>
      <w:iCs w:val="0"/>
      <w:smallCaps w:val="0"/>
      <w:strike w:val="0"/>
      <w:sz w:val="17"/>
      <w:szCs w:val="17"/>
      <w:u w:val="none"/>
    </w:rPr>
  </w:style>
  <w:style w:type="character" w:customStyle="1" w:styleId="CharStyle40">
    <w:name w:val="Heading #3|1_"/>
    <w:basedOn w:val="DefaultParagraphFont"/>
    <w:link w:val="Style39"/>
    <w:rPr>
      <w:b w:val="0"/>
      <w:bCs w:val="0"/>
      <w:i w:val="0"/>
      <w:iCs w:val="0"/>
      <w:smallCaps/>
      <w:strike w:val="0"/>
      <w:sz w:val="30"/>
      <w:szCs w:val="30"/>
      <w:u w:val="none"/>
    </w:rPr>
  </w:style>
  <w:style w:type="character" w:customStyle="1" w:styleId="CharStyle42">
    <w:name w:val="Header or footer|2_"/>
    <w:basedOn w:val="DefaultParagraphFont"/>
    <w:link w:val="Style41"/>
    <w:rPr>
      <w:b w:val="0"/>
      <w:bCs w:val="0"/>
      <w:i w:val="0"/>
      <w:iCs w:val="0"/>
      <w:smallCaps w:val="0"/>
      <w:strike w:val="0"/>
      <w:sz w:val="20"/>
      <w:szCs w:val="20"/>
      <w:u w:val="none"/>
    </w:rPr>
  </w:style>
  <w:style w:type="character" w:customStyle="1" w:styleId="CharStyle47">
    <w:name w:val="Heading #4|1_"/>
    <w:basedOn w:val="DefaultParagraphFont"/>
    <w:link w:val="Style46"/>
    <w:rPr>
      <w:b w:val="0"/>
      <w:bCs w:val="0"/>
      <w:i w:val="0"/>
      <w:iCs w:val="0"/>
      <w:smallCaps w:val="0"/>
      <w:strike w:val="0"/>
      <w:u w:val="none"/>
    </w:rPr>
  </w:style>
  <w:style w:type="character" w:customStyle="1" w:styleId="CharStyle50">
    <w:name w:val="Table caption|1_"/>
    <w:basedOn w:val="DefaultParagraphFont"/>
    <w:link w:val="Style49"/>
    <w:rPr>
      <w:b/>
      <w:bCs/>
      <w:i w:val="0"/>
      <w:iCs w:val="0"/>
      <w:smallCaps w:val="0"/>
      <w:strike w:val="0"/>
      <w:sz w:val="18"/>
      <w:szCs w:val="18"/>
      <w:u w:val="none"/>
    </w:rPr>
  </w:style>
  <w:style w:type="character" w:customStyle="1" w:styleId="CharStyle57">
    <w:name w:val="Body text|2_"/>
    <w:basedOn w:val="DefaultParagraphFont"/>
    <w:link w:val="Style56"/>
    <w:rPr>
      <w:rFonts w:ascii="Arial" w:eastAsia="Arial" w:hAnsi="Arial" w:cs="Arial"/>
      <w:b w:val="0"/>
      <w:bCs w:val="0"/>
      <w:i w:val="0"/>
      <w:iCs w:val="0"/>
      <w:smallCaps w:val="0"/>
      <w:strike w:val="0"/>
      <w:sz w:val="12"/>
      <w:szCs w:val="12"/>
      <w:u w:val="none"/>
      <w:lang w:val="en-US" w:eastAsia="en-US" w:bidi="en-US"/>
    </w:rPr>
  </w:style>
  <w:style w:type="character" w:customStyle="1" w:styleId="CharStyle64">
    <w:name w:val="Heading #7|1_"/>
    <w:basedOn w:val="DefaultParagraphFont"/>
    <w:link w:val="Style63"/>
    <w:rPr>
      <w:b/>
      <w:bCs/>
      <w:i w:val="0"/>
      <w:iCs w:val="0"/>
      <w:smallCaps w:val="0"/>
      <w:strike w:val="0"/>
      <w:sz w:val="17"/>
      <w:szCs w:val="17"/>
      <w:u w:val="none"/>
    </w:rPr>
  </w:style>
  <w:style w:type="character" w:customStyle="1" w:styleId="CharStyle71">
    <w:name w:val="Header or footer|1_"/>
    <w:basedOn w:val="DefaultParagraphFont"/>
    <w:link w:val="Style70"/>
    <w:rPr>
      <w:rFonts w:ascii="Arial" w:eastAsia="Arial" w:hAnsi="Arial" w:cs="Arial"/>
      <w:b w:val="0"/>
      <w:bCs w:val="0"/>
      <w:i w:val="0"/>
      <w:iCs w:val="0"/>
      <w:smallCaps w:val="0"/>
      <w:strike w:val="0"/>
      <w:sz w:val="13"/>
      <w:szCs w:val="13"/>
      <w:u w:val="none"/>
    </w:rPr>
  </w:style>
  <w:style w:type="character" w:customStyle="1" w:styleId="CharStyle75">
    <w:name w:val="Body text|4_"/>
    <w:basedOn w:val="DefaultParagraphFont"/>
    <w:link w:val="Style74"/>
    <w:rPr>
      <w:b/>
      <w:bCs/>
      <w:i w:val="0"/>
      <w:iCs w:val="0"/>
      <w:smallCaps w:val="0"/>
      <w:strike w:val="0"/>
      <w:sz w:val="10"/>
      <w:szCs w:val="10"/>
      <w:u w:val="none"/>
    </w:rPr>
  </w:style>
  <w:style w:type="character" w:customStyle="1" w:styleId="CharStyle86">
    <w:name w:val="Body text|6_"/>
    <w:basedOn w:val="DefaultParagraphFont"/>
    <w:link w:val="Style85"/>
    <w:rPr>
      <w:rFonts w:ascii="Arial" w:eastAsia="Arial" w:hAnsi="Arial" w:cs="Arial"/>
      <w:b w:val="0"/>
      <w:bCs w:val="0"/>
      <w:i w:val="0"/>
      <w:iCs w:val="0"/>
      <w:smallCaps/>
      <w:strike w:val="0"/>
      <w:sz w:val="17"/>
      <w:szCs w:val="17"/>
      <w:u w:val="none"/>
      <w:lang w:val="en-US" w:eastAsia="en-US" w:bidi="en-US"/>
    </w:rPr>
  </w:style>
  <w:style w:type="character" w:customStyle="1" w:styleId="CharStyle92">
    <w:name w:val="Heading #6|1_"/>
    <w:basedOn w:val="DefaultParagraphFont"/>
    <w:link w:val="Style91"/>
    <w:rPr>
      <w:b w:val="0"/>
      <w:bCs w:val="0"/>
      <w:i w:val="0"/>
      <w:iCs w:val="0"/>
      <w:smallCaps w:val="0"/>
      <w:strike w:val="0"/>
      <w:sz w:val="17"/>
      <w:szCs w:val="17"/>
      <w:u w:val="none"/>
    </w:rPr>
  </w:style>
  <w:style w:type="character" w:customStyle="1" w:styleId="CharStyle98">
    <w:name w:val="Body text|8_"/>
    <w:basedOn w:val="DefaultParagraphFont"/>
    <w:link w:val="Style97"/>
    <w:rPr>
      <w:b w:val="0"/>
      <w:bCs w:val="0"/>
      <w:i w:val="0"/>
      <w:iCs w:val="0"/>
      <w:smallCaps w:val="0"/>
      <w:strike w:val="0"/>
      <w:sz w:val="48"/>
      <w:szCs w:val="48"/>
      <w:u w:val="none"/>
      <w:lang w:val="en-US" w:eastAsia="en-US" w:bidi="en-US"/>
    </w:rPr>
  </w:style>
  <w:style w:type="character" w:customStyle="1" w:styleId="CharStyle115">
    <w:name w:val="Body text|7_"/>
    <w:basedOn w:val="DefaultParagraphFont"/>
    <w:link w:val="Style114"/>
    <w:rPr>
      <w:b w:val="0"/>
      <w:bCs w:val="0"/>
      <w:i w:val="0"/>
      <w:iCs w:val="0"/>
      <w:smallCaps/>
      <w:strike w:val="0"/>
      <w:sz w:val="22"/>
      <w:szCs w:val="22"/>
      <w:u w:val="none"/>
      <w:lang w:val="en-US" w:eastAsia="en-US" w:bidi="en-US"/>
    </w:rPr>
  </w:style>
  <w:style w:type="character" w:customStyle="1" w:styleId="CharStyle117">
    <w:name w:val="Body text|5_"/>
    <w:basedOn w:val="DefaultParagraphFont"/>
    <w:link w:val="Style116"/>
    <w:rPr>
      <w:rFonts w:ascii="Arial" w:eastAsia="Arial" w:hAnsi="Arial" w:cs="Arial"/>
      <w:b/>
      <w:bCs/>
      <w:i/>
      <w:iCs/>
      <w:smallCaps w:val="0"/>
      <w:strike w:val="0"/>
      <w:sz w:val="9"/>
      <w:szCs w:val="9"/>
      <w:u w:val="none"/>
      <w:lang w:val="en-US" w:eastAsia="en-US" w:bidi="en-US"/>
    </w:rPr>
  </w:style>
  <w:style w:type="character" w:customStyle="1" w:styleId="CharStyle130">
    <w:name w:val="Picture caption|1_"/>
    <w:basedOn w:val="DefaultParagraphFont"/>
    <w:link w:val="Style129"/>
    <w:rPr>
      <w:b w:val="0"/>
      <w:bCs w:val="0"/>
      <w:i w:val="0"/>
      <w:iCs w:val="0"/>
      <w:smallCaps w:val="0"/>
      <w:strike w:val="0"/>
      <w:sz w:val="14"/>
      <w:szCs w:val="14"/>
      <w:u w:val="none"/>
      <w:lang w:val="en-US" w:eastAsia="en-US" w:bidi="en-US"/>
    </w:rPr>
  </w:style>
  <w:style w:type="paragraph" w:customStyle="1" w:styleId="Style2">
    <w:name w:val="Footnote|1"/>
    <w:basedOn w:val="Normal"/>
    <w:link w:val="CharStyle3"/>
    <w:pPr>
      <w:widowControl w:val="0"/>
      <w:shd w:val="clear" w:color="auto" w:fill="FFFFFF"/>
      <w:spacing w:line="235" w:lineRule="auto"/>
      <w:ind w:left="380"/>
    </w:pPr>
    <w:rPr>
      <w:b w:val="0"/>
      <w:bCs w:val="0"/>
      <w:i w:val="0"/>
      <w:iCs w:val="0"/>
      <w:smallCaps w:val="0"/>
      <w:strike w:val="0"/>
      <w:sz w:val="15"/>
      <w:szCs w:val="15"/>
      <w:u w:val="none"/>
    </w:rPr>
  </w:style>
  <w:style w:type="paragraph" w:customStyle="1" w:styleId="Style7">
    <w:name w:val="Other|1"/>
    <w:basedOn w:val="Normal"/>
    <w:link w:val="CharStyle8"/>
    <w:pPr>
      <w:widowControl w:val="0"/>
      <w:shd w:val="clear" w:color="auto" w:fill="FFFFFF"/>
      <w:spacing w:line="259" w:lineRule="auto"/>
      <w:ind w:firstLine="360"/>
    </w:pPr>
    <w:rPr>
      <w:b w:val="0"/>
      <w:bCs w:val="0"/>
      <w:i w:val="0"/>
      <w:iCs w:val="0"/>
      <w:smallCaps w:val="0"/>
      <w:strike w:val="0"/>
      <w:sz w:val="17"/>
      <w:szCs w:val="17"/>
      <w:u w:val="none"/>
    </w:rPr>
  </w:style>
  <w:style w:type="paragraph" w:customStyle="1" w:styleId="Style20">
    <w:name w:val="Body text|1"/>
    <w:basedOn w:val="Normal"/>
    <w:link w:val="CharStyle21"/>
    <w:pPr>
      <w:widowControl w:val="0"/>
      <w:shd w:val="clear" w:color="auto" w:fill="FFFFFF"/>
      <w:spacing w:line="252" w:lineRule="auto"/>
    </w:pPr>
    <w:rPr>
      <w:b w:val="0"/>
      <w:bCs w:val="0"/>
      <w:i w:val="0"/>
      <w:iCs w:val="0"/>
      <w:smallCaps w:val="0"/>
      <w:strike w:val="0"/>
      <w:sz w:val="15"/>
      <w:szCs w:val="15"/>
      <w:u w:val="none"/>
    </w:rPr>
  </w:style>
  <w:style w:type="paragraph" w:customStyle="1" w:styleId="Style24">
    <w:name w:val="Heading #5|1"/>
    <w:basedOn w:val="Normal"/>
    <w:link w:val="CharStyle25"/>
    <w:pPr>
      <w:widowControl w:val="0"/>
      <w:shd w:val="clear" w:color="auto" w:fill="FFFFFF"/>
      <w:spacing w:line="286" w:lineRule="auto"/>
      <w:jc w:val="center"/>
      <w:outlineLvl w:val="4"/>
    </w:pPr>
    <w:rPr>
      <w:b w:val="0"/>
      <w:bCs w:val="0"/>
      <w:i/>
      <w:iCs/>
      <w:smallCaps w:val="0"/>
      <w:strike w:val="0"/>
      <w:sz w:val="19"/>
      <w:szCs w:val="19"/>
      <w:u w:val="none"/>
    </w:rPr>
  </w:style>
  <w:style w:type="paragraph" w:customStyle="1" w:styleId="Style28">
    <w:name w:val="Heading #1|1"/>
    <w:basedOn w:val="Normal"/>
    <w:link w:val="CharStyle29"/>
    <w:pPr>
      <w:widowControl w:val="0"/>
      <w:shd w:val="clear" w:color="auto" w:fill="FFFFFF"/>
      <w:spacing w:after="120"/>
      <w:jc w:val="center"/>
      <w:outlineLvl w:val="0"/>
    </w:pPr>
    <w:rPr>
      <w:b w:val="0"/>
      <w:bCs w:val="0"/>
      <w:i w:val="0"/>
      <w:iCs w:val="0"/>
      <w:smallCaps w:val="0"/>
      <w:strike w:val="0"/>
      <w:sz w:val="60"/>
      <w:szCs w:val="60"/>
      <w:u w:val="none"/>
    </w:rPr>
  </w:style>
  <w:style w:type="paragraph" w:customStyle="1" w:styleId="Style30">
    <w:name w:val="Heading #2|1"/>
    <w:basedOn w:val="Normal"/>
    <w:link w:val="CharStyle31"/>
    <w:pPr>
      <w:widowControl w:val="0"/>
      <w:shd w:val="clear" w:color="auto" w:fill="FFFFFF"/>
      <w:spacing w:after="460"/>
      <w:outlineLvl w:val="1"/>
    </w:pPr>
    <w:rPr>
      <w:b w:val="0"/>
      <w:bCs w:val="0"/>
      <w:i w:val="0"/>
      <w:iCs w:val="0"/>
      <w:smallCaps w:val="0"/>
      <w:strike w:val="0"/>
      <w:sz w:val="36"/>
      <w:szCs w:val="36"/>
      <w:u w:val="none"/>
    </w:rPr>
  </w:style>
  <w:style w:type="paragraph" w:customStyle="1" w:styleId="Style33">
    <w:name w:val="Body text|3"/>
    <w:basedOn w:val="Normal"/>
    <w:link w:val="CharStyle34"/>
    <w:pPr>
      <w:widowControl w:val="0"/>
      <w:shd w:val="clear" w:color="auto" w:fill="FFFFFF"/>
      <w:spacing w:line="259" w:lineRule="auto"/>
      <w:ind w:firstLine="360"/>
    </w:pPr>
    <w:rPr>
      <w:b w:val="0"/>
      <w:bCs w:val="0"/>
      <w:i w:val="0"/>
      <w:iCs w:val="0"/>
      <w:smallCaps w:val="0"/>
      <w:strike w:val="0"/>
      <w:sz w:val="17"/>
      <w:szCs w:val="17"/>
      <w:u w:val="none"/>
    </w:rPr>
  </w:style>
  <w:style w:type="paragraph" w:customStyle="1" w:styleId="Style39">
    <w:name w:val="Heading #3|1"/>
    <w:basedOn w:val="Normal"/>
    <w:link w:val="CharStyle40"/>
    <w:pPr>
      <w:widowControl w:val="0"/>
      <w:shd w:val="clear" w:color="auto" w:fill="FFFFFF"/>
      <w:spacing w:after="240"/>
      <w:jc w:val="center"/>
      <w:outlineLvl w:val="2"/>
    </w:pPr>
    <w:rPr>
      <w:b w:val="0"/>
      <w:bCs w:val="0"/>
      <w:i w:val="0"/>
      <w:iCs w:val="0"/>
      <w:smallCaps/>
      <w:strike w:val="0"/>
      <w:sz w:val="30"/>
      <w:szCs w:val="30"/>
      <w:u w:val="none"/>
    </w:rPr>
  </w:style>
  <w:style w:type="paragraph" w:customStyle="1" w:styleId="Style41">
    <w:name w:val="Header or footer|2"/>
    <w:basedOn w:val="Normal"/>
    <w:link w:val="CharStyle42"/>
    <w:pPr>
      <w:widowControl w:val="0"/>
      <w:shd w:val="clear" w:color="auto" w:fill="FFFFFF"/>
    </w:pPr>
    <w:rPr>
      <w:b w:val="0"/>
      <w:bCs w:val="0"/>
      <w:i w:val="0"/>
      <w:iCs w:val="0"/>
      <w:smallCaps w:val="0"/>
      <w:strike w:val="0"/>
      <w:sz w:val="20"/>
      <w:szCs w:val="20"/>
      <w:u w:val="none"/>
    </w:rPr>
  </w:style>
  <w:style w:type="paragraph" w:customStyle="1" w:styleId="Style46">
    <w:name w:val="Heading #4|1"/>
    <w:basedOn w:val="Normal"/>
    <w:link w:val="CharStyle47"/>
    <w:pPr>
      <w:widowControl w:val="0"/>
      <w:shd w:val="clear" w:color="auto" w:fill="FFFFFF"/>
      <w:spacing w:before="620" w:after="90"/>
      <w:jc w:val="center"/>
      <w:outlineLvl w:val="3"/>
    </w:pPr>
    <w:rPr>
      <w:b w:val="0"/>
      <w:bCs w:val="0"/>
      <w:i w:val="0"/>
      <w:iCs w:val="0"/>
      <w:smallCaps w:val="0"/>
      <w:strike w:val="0"/>
      <w:u w:val="none"/>
    </w:rPr>
  </w:style>
  <w:style w:type="paragraph" w:customStyle="1" w:styleId="Style49">
    <w:name w:val="Table caption|1"/>
    <w:basedOn w:val="Normal"/>
    <w:link w:val="CharStyle50"/>
    <w:pPr>
      <w:widowControl w:val="0"/>
      <w:shd w:val="clear" w:color="auto" w:fill="FFFFFF"/>
    </w:pPr>
    <w:rPr>
      <w:b/>
      <w:bCs/>
      <w:i w:val="0"/>
      <w:iCs w:val="0"/>
      <w:smallCaps w:val="0"/>
      <w:strike w:val="0"/>
      <w:sz w:val="18"/>
      <w:szCs w:val="18"/>
      <w:u w:val="none"/>
    </w:rPr>
  </w:style>
  <w:style w:type="paragraph" w:customStyle="1" w:styleId="Style56">
    <w:name w:val="Body text|2"/>
    <w:basedOn w:val="Normal"/>
    <w:link w:val="CharStyle57"/>
    <w:pPr>
      <w:widowControl w:val="0"/>
      <w:shd w:val="clear" w:color="auto" w:fill="FFFFFF"/>
      <w:spacing w:line="276" w:lineRule="auto"/>
    </w:pPr>
    <w:rPr>
      <w:rFonts w:ascii="Arial" w:eastAsia="Arial" w:hAnsi="Arial" w:cs="Arial"/>
      <w:b w:val="0"/>
      <w:bCs w:val="0"/>
      <w:i w:val="0"/>
      <w:iCs w:val="0"/>
      <w:smallCaps w:val="0"/>
      <w:strike w:val="0"/>
      <w:sz w:val="12"/>
      <w:szCs w:val="12"/>
      <w:u w:val="none"/>
      <w:lang w:val="en-US" w:eastAsia="en-US" w:bidi="en-US"/>
    </w:rPr>
  </w:style>
  <w:style w:type="paragraph" w:customStyle="1" w:styleId="Style63">
    <w:name w:val="Heading #7|1"/>
    <w:basedOn w:val="Normal"/>
    <w:link w:val="CharStyle64"/>
    <w:pPr>
      <w:widowControl w:val="0"/>
      <w:shd w:val="clear" w:color="auto" w:fill="FFFFFF"/>
      <w:spacing w:after="60" w:line="221" w:lineRule="auto"/>
      <w:outlineLvl w:val="6"/>
    </w:pPr>
    <w:rPr>
      <w:b/>
      <w:bCs/>
      <w:i w:val="0"/>
      <w:iCs w:val="0"/>
      <w:smallCaps w:val="0"/>
      <w:strike w:val="0"/>
      <w:sz w:val="17"/>
      <w:szCs w:val="17"/>
      <w:u w:val="none"/>
    </w:rPr>
  </w:style>
  <w:style w:type="paragraph" w:customStyle="1" w:styleId="Style70">
    <w:name w:val="Header or footer|1"/>
    <w:basedOn w:val="Normal"/>
    <w:link w:val="CharStyle71"/>
    <w:pPr>
      <w:widowControl w:val="0"/>
      <w:shd w:val="clear" w:color="auto" w:fill="FFFFFF"/>
    </w:pPr>
    <w:rPr>
      <w:rFonts w:ascii="Arial" w:eastAsia="Arial" w:hAnsi="Arial" w:cs="Arial"/>
      <w:b w:val="0"/>
      <w:bCs w:val="0"/>
      <w:i w:val="0"/>
      <w:iCs w:val="0"/>
      <w:smallCaps w:val="0"/>
      <w:strike w:val="0"/>
      <w:sz w:val="13"/>
      <w:szCs w:val="13"/>
      <w:u w:val="none"/>
    </w:rPr>
  </w:style>
  <w:style w:type="paragraph" w:customStyle="1" w:styleId="Style74">
    <w:name w:val="Body text|4"/>
    <w:basedOn w:val="Normal"/>
    <w:link w:val="CharStyle75"/>
    <w:pPr>
      <w:widowControl w:val="0"/>
      <w:shd w:val="clear" w:color="auto" w:fill="FFFFFF"/>
      <w:spacing w:after="120" w:line="276" w:lineRule="auto"/>
      <w:jc w:val="right"/>
    </w:pPr>
    <w:rPr>
      <w:b/>
      <w:bCs/>
      <w:i w:val="0"/>
      <w:iCs w:val="0"/>
      <w:smallCaps w:val="0"/>
      <w:strike w:val="0"/>
      <w:sz w:val="10"/>
      <w:szCs w:val="10"/>
      <w:u w:val="none"/>
    </w:rPr>
  </w:style>
  <w:style w:type="paragraph" w:customStyle="1" w:styleId="Style85">
    <w:name w:val="Body text|6"/>
    <w:basedOn w:val="Normal"/>
    <w:link w:val="CharStyle86"/>
    <w:pPr>
      <w:widowControl w:val="0"/>
      <w:shd w:val="clear" w:color="auto" w:fill="FFFFFF"/>
    </w:pPr>
    <w:rPr>
      <w:rFonts w:ascii="Arial" w:eastAsia="Arial" w:hAnsi="Arial" w:cs="Arial"/>
      <w:b w:val="0"/>
      <w:bCs w:val="0"/>
      <w:i w:val="0"/>
      <w:iCs w:val="0"/>
      <w:smallCaps/>
      <w:strike w:val="0"/>
      <w:sz w:val="17"/>
      <w:szCs w:val="17"/>
      <w:u w:val="none"/>
      <w:lang w:val="en-US" w:eastAsia="en-US" w:bidi="en-US"/>
    </w:rPr>
  </w:style>
  <w:style w:type="paragraph" w:customStyle="1" w:styleId="Style91">
    <w:name w:val="Heading #6|1"/>
    <w:basedOn w:val="Normal"/>
    <w:link w:val="CharStyle92"/>
    <w:pPr>
      <w:widowControl w:val="0"/>
      <w:shd w:val="clear" w:color="auto" w:fill="FFFFFF"/>
      <w:spacing w:after="130"/>
      <w:outlineLvl w:val="5"/>
    </w:pPr>
    <w:rPr>
      <w:b w:val="0"/>
      <w:bCs w:val="0"/>
      <w:i w:val="0"/>
      <w:iCs w:val="0"/>
      <w:smallCaps w:val="0"/>
      <w:strike w:val="0"/>
      <w:sz w:val="17"/>
      <w:szCs w:val="17"/>
      <w:u w:val="none"/>
    </w:rPr>
  </w:style>
  <w:style w:type="paragraph" w:customStyle="1" w:styleId="Style97">
    <w:name w:val="Body text|8"/>
    <w:basedOn w:val="Normal"/>
    <w:link w:val="CharStyle98"/>
    <w:pPr>
      <w:widowControl w:val="0"/>
      <w:shd w:val="clear" w:color="auto" w:fill="FFFFFF"/>
      <w:jc w:val="center"/>
    </w:pPr>
    <w:rPr>
      <w:b w:val="0"/>
      <w:bCs w:val="0"/>
      <w:i w:val="0"/>
      <w:iCs w:val="0"/>
      <w:smallCaps w:val="0"/>
      <w:strike w:val="0"/>
      <w:sz w:val="48"/>
      <w:szCs w:val="48"/>
      <w:u w:val="none"/>
      <w:lang w:val="en-US" w:eastAsia="en-US" w:bidi="en-US"/>
    </w:rPr>
  </w:style>
  <w:style w:type="paragraph" w:customStyle="1" w:styleId="Style114">
    <w:name w:val="Body text|7"/>
    <w:basedOn w:val="Normal"/>
    <w:link w:val="CharStyle115"/>
    <w:pPr>
      <w:widowControl w:val="0"/>
      <w:shd w:val="clear" w:color="auto" w:fill="FFFFFF"/>
    </w:pPr>
    <w:rPr>
      <w:b w:val="0"/>
      <w:bCs w:val="0"/>
      <w:i w:val="0"/>
      <w:iCs w:val="0"/>
      <w:smallCaps/>
      <w:strike w:val="0"/>
      <w:sz w:val="22"/>
      <w:szCs w:val="22"/>
      <w:u w:val="none"/>
      <w:lang w:val="en-US" w:eastAsia="en-US" w:bidi="en-US"/>
    </w:rPr>
  </w:style>
  <w:style w:type="paragraph" w:customStyle="1" w:styleId="Style116">
    <w:name w:val="Body text|5"/>
    <w:basedOn w:val="Normal"/>
    <w:link w:val="CharStyle117"/>
    <w:pPr>
      <w:widowControl w:val="0"/>
      <w:shd w:val="clear" w:color="auto" w:fill="FFFFFF"/>
      <w:spacing w:after="160" w:line="269" w:lineRule="auto"/>
    </w:pPr>
    <w:rPr>
      <w:rFonts w:ascii="Arial" w:eastAsia="Arial" w:hAnsi="Arial" w:cs="Arial"/>
      <w:b/>
      <w:bCs/>
      <w:i/>
      <w:iCs/>
      <w:smallCaps w:val="0"/>
      <w:strike w:val="0"/>
      <w:sz w:val="9"/>
      <w:szCs w:val="9"/>
      <w:u w:val="none"/>
      <w:lang w:val="en-US" w:eastAsia="en-US" w:bidi="en-US"/>
    </w:rPr>
  </w:style>
  <w:style w:type="paragraph" w:customStyle="1" w:styleId="Style129">
    <w:name w:val="Picture caption|1"/>
    <w:basedOn w:val="Normal"/>
    <w:link w:val="CharStyle130"/>
    <w:pPr>
      <w:widowControl w:val="0"/>
      <w:shd w:val="clear" w:color="auto" w:fill="FFFFFF"/>
    </w:pPr>
    <w:rPr>
      <w:b w:val="0"/>
      <w:bCs w:val="0"/>
      <w:i w:val="0"/>
      <w:iCs w:val="0"/>
      <w:smallCaps w:val="0"/>
      <w:strike w:val="0"/>
      <w:sz w:val="14"/>
      <w:szCs w:val="14"/>
      <w:u w:val="none"/>
      <w:lang w:val="en-US" w:eastAsia="en-US" w:bidi="en-US"/>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header" Target="header14.xml"/><Relationship Id="rId38" Type="http://schemas.openxmlformats.org/officeDocument/2006/relationships/footer" Target="footer14.xml"/><Relationship Id="rId39" Type="http://schemas.openxmlformats.org/officeDocument/2006/relationships/header" Target="header15.xml"/><Relationship Id="rId40" Type="http://schemas.openxmlformats.org/officeDocument/2006/relationships/footer" Target="footer15.xml"/><Relationship Id="rId41" Type="http://schemas.openxmlformats.org/officeDocument/2006/relationships/header" Target="header16.xml"/><Relationship Id="rId42" Type="http://schemas.openxmlformats.org/officeDocument/2006/relationships/footer" Target="footer16.xml"/><Relationship Id="rId43" Type="http://schemas.openxmlformats.org/officeDocument/2006/relationships/header" Target="header17.xml"/><Relationship Id="rId44" Type="http://schemas.openxmlformats.org/officeDocument/2006/relationships/footer" Target="footer17.xml"/><Relationship Id="rId45" Type="http://schemas.openxmlformats.org/officeDocument/2006/relationships/header" Target="header18.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footer" Target="footer19.xml"/><Relationship Id="rId49" Type="http://schemas.openxmlformats.org/officeDocument/2006/relationships/header" Target="header20.xml"/><Relationship Id="rId50" Type="http://schemas.openxmlformats.org/officeDocument/2006/relationships/footer" Target="footer20.xml"/><Relationship Id="rId51" Type="http://schemas.openxmlformats.org/officeDocument/2006/relationships/header" Target="header21.xml"/><Relationship Id="rId52" Type="http://schemas.openxmlformats.org/officeDocument/2006/relationships/footer" Target="footer21.xml"/><Relationship Id="rId53" Type="http://schemas.openxmlformats.org/officeDocument/2006/relationships/header" Target="header22.xml"/><Relationship Id="rId54" Type="http://schemas.openxmlformats.org/officeDocument/2006/relationships/footer" Target="footer22.xml"/><Relationship Id="rId55" Type="http://schemas.openxmlformats.org/officeDocument/2006/relationships/header" Target="header23.xml"/><Relationship Id="rId56" Type="http://schemas.openxmlformats.org/officeDocument/2006/relationships/footer" Target="footer23.xml"/><Relationship Id="rId57" Type="http://schemas.openxmlformats.org/officeDocument/2006/relationships/header" Target="header24.xml"/><Relationship Id="rId58" Type="http://schemas.openxmlformats.org/officeDocument/2006/relationships/footer" Target="footer24.xml"/><Relationship Id="rId59" Type="http://schemas.openxmlformats.org/officeDocument/2006/relationships/header" Target="header25.xml"/><Relationship Id="rId60" Type="http://schemas.openxmlformats.org/officeDocument/2006/relationships/footer" Target="footer25.xml"/><Relationship Id="rId61" Type="http://schemas.openxmlformats.org/officeDocument/2006/relationships/header" Target="header26.xml"/><Relationship Id="rId62" Type="http://schemas.openxmlformats.org/officeDocument/2006/relationships/footer" Target="footer26.xml"/><Relationship Id="rId63" Type="http://schemas.openxmlformats.org/officeDocument/2006/relationships/header" Target="header27.xml"/><Relationship Id="rId64" Type="http://schemas.openxmlformats.org/officeDocument/2006/relationships/footer" Target="footer27.xml"/><Relationship Id="rId65" Type="http://schemas.openxmlformats.org/officeDocument/2006/relationships/header" Target="header28.xml"/><Relationship Id="rId66" Type="http://schemas.openxmlformats.org/officeDocument/2006/relationships/footer" Target="footer28.xml"/><Relationship Id="rId67" Type="http://schemas.openxmlformats.org/officeDocument/2006/relationships/header" Target="header29.xml"/><Relationship Id="rId68" Type="http://schemas.openxmlformats.org/officeDocument/2006/relationships/footer" Target="footer29.xml"/><Relationship Id="rId69" Type="http://schemas.openxmlformats.org/officeDocument/2006/relationships/header" Target="header30.xml"/><Relationship Id="rId70" Type="http://schemas.openxmlformats.org/officeDocument/2006/relationships/footer" Target="footer30.xml"/><Relationship Id="rId71" Type="http://schemas.openxmlformats.org/officeDocument/2006/relationships/header" Target="header31.xml"/><Relationship Id="rId72" Type="http://schemas.openxmlformats.org/officeDocument/2006/relationships/footer" Target="footer31.xml"/><Relationship Id="rId73" Type="http://schemas.openxmlformats.org/officeDocument/2006/relationships/header" Target="header32.xml"/><Relationship Id="rId74" Type="http://schemas.openxmlformats.org/officeDocument/2006/relationships/footer" Target="footer32.xml"/><Relationship Id="rId75" Type="http://schemas.openxmlformats.org/officeDocument/2006/relationships/header" Target="header33.xml"/><Relationship Id="rId76" Type="http://schemas.openxmlformats.org/officeDocument/2006/relationships/footer" Target="footer33.xml"/><Relationship Id="rId77" Type="http://schemas.openxmlformats.org/officeDocument/2006/relationships/header" Target="header34.xml"/><Relationship Id="rId78" Type="http://schemas.openxmlformats.org/officeDocument/2006/relationships/footer" Target="footer34.xml"/><Relationship Id="rId79" Type="http://schemas.openxmlformats.org/officeDocument/2006/relationships/header" Target="header35.xml"/><Relationship Id="rId80" Type="http://schemas.openxmlformats.org/officeDocument/2006/relationships/footer" Target="footer35.xml"/><Relationship Id="rId81" Type="http://schemas.openxmlformats.org/officeDocument/2006/relationships/header" Target="header36.xml"/><Relationship Id="rId82" Type="http://schemas.openxmlformats.org/officeDocument/2006/relationships/footer" Target="footer36.xml"/><Relationship Id="rId83" Type="http://schemas.openxmlformats.org/officeDocument/2006/relationships/header" Target="header37.xml"/><Relationship Id="rId84" Type="http://schemas.openxmlformats.org/officeDocument/2006/relationships/footer" Target="footer37.xml"/><Relationship Id="rId85" Type="http://schemas.openxmlformats.org/officeDocument/2006/relationships/header" Target="header38.xml"/><Relationship Id="rId86" Type="http://schemas.openxmlformats.org/officeDocument/2006/relationships/footer" Target="footer38.xml"/><Relationship Id="rId87" Type="http://schemas.openxmlformats.org/officeDocument/2006/relationships/header" Target="header39.xml"/><Relationship Id="rId88" Type="http://schemas.openxmlformats.org/officeDocument/2006/relationships/footer" Target="footer39.xml"/><Relationship Id="rId89" Type="http://schemas.openxmlformats.org/officeDocument/2006/relationships/header" Target="header40.xml"/><Relationship Id="rId90" Type="http://schemas.openxmlformats.org/officeDocument/2006/relationships/footer" Target="footer40.xml"/><Relationship Id="rId91" Type="http://schemas.openxmlformats.org/officeDocument/2006/relationships/header" Target="header41.xml"/><Relationship Id="rId92" Type="http://schemas.openxmlformats.org/officeDocument/2006/relationships/footer" Target="footer41.xml"/><Relationship Id="rId93" Type="http://schemas.openxmlformats.org/officeDocument/2006/relationships/header" Target="header42.xml"/><Relationship Id="rId94" Type="http://schemas.openxmlformats.org/officeDocument/2006/relationships/footer" Target="footer42.xml"/><Relationship Id="rId95" Type="http://schemas.openxmlformats.org/officeDocument/2006/relationships/header" Target="header43.xml"/><Relationship Id="rId96" Type="http://schemas.openxmlformats.org/officeDocument/2006/relationships/footer" Target="footer43.xml"/><Relationship Id="rId97" Type="http://schemas.openxmlformats.org/officeDocument/2006/relationships/header" Target="header44.xml"/><Relationship Id="rId98" Type="http://schemas.openxmlformats.org/officeDocument/2006/relationships/footer" Target="footer44.xml"/><Relationship Id="rId99" Type="http://schemas.openxmlformats.org/officeDocument/2006/relationships/header" Target="header45.xml"/><Relationship Id="rId100" Type="http://schemas.openxmlformats.org/officeDocument/2006/relationships/footer" Target="footer45.xml"/><Relationship Id="rId101" Type="http://schemas.openxmlformats.org/officeDocument/2006/relationships/header" Target="header46.xml"/><Relationship Id="rId102" Type="http://schemas.openxmlformats.org/officeDocument/2006/relationships/footer" Target="footer46.xml"/><Relationship Id="rId103" Type="http://schemas.openxmlformats.org/officeDocument/2006/relationships/header" Target="header47.xml"/><Relationship Id="rId104" Type="http://schemas.openxmlformats.org/officeDocument/2006/relationships/footer" Target="footer47.xml"/><Relationship Id="rId105" Type="http://schemas.openxmlformats.org/officeDocument/2006/relationships/header" Target="header48.xml"/><Relationship Id="rId106" Type="http://schemas.openxmlformats.org/officeDocument/2006/relationships/footer" Target="footer48.xml"/><Relationship Id="rId107" Type="http://schemas.openxmlformats.org/officeDocument/2006/relationships/header" Target="header49.xml"/><Relationship Id="rId108" Type="http://schemas.openxmlformats.org/officeDocument/2006/relationships/footer" Target="footer49.xml"/><Relationship Id="rId109" Type="http://schemas.openxmlformats.org/officeDocument/2006/relationships/header" Target="header50.xml"/><Relationship Id="rId110" Type="http://schemas.openxmlformats.org/officeDocument/2006/relationships/footer" Target="footer50.xml"/><Relationship Id="rId111" Type="http://schemas.openxmlformats.org/officeDocument/2006/relationships/header" Target="header51.xml"/><Relationship Id="rId112" Type="http://schemas.openxmlformats.org/officeDocument/2006/relationships/footer" Target="footer51.xml"/><Relationship Id="rId113" Type="http://schemas.openxmlformats.org/officeDocument/2006/relationships/header" Target="header52.xml"/><Relationship Id="rId114" Type="http://schemas.openxmlformats.org/officeDocument/2006/relationships/footer" Target="footer52.xml"/><Relationship Id="rId115" Type="http://schemas.openxmlformats.org/officeDocument/2006/relationships/header" Target="header53.xml"/><Relationship Id="rId116" Type="http://schemas.openxmlformats.org/officeDocument/2006/relationships/footer" Target="footer53.xml"/><Relationship Id="rId117" Type="http://schemas.openxmlformats.org/officeDocument/2006/relationships/header" Target="header54.xml"/><Relationship Id="rId118" Type="http://schemas.openxmlformats.org/officeDocument/2006/relationships/footer" Target="footer54.xml"/><Relationship Id="rId119" Type="http://schemas.openxmlformats.org/officeDocument/2006/relationships/header" Target="header55.xml"/><Relationship Id="rId120" Type="http://schemas.openxmlformats.org/officeDocument/2006/relationships/footer" Target="footer55.xml"/><Relationship Id="rId121" Type="http://schemas.openxmlformats.org/officeDocument/2006/relationships/header" Target="header56.xml"/><Relationship Id="rId122" Type="http://schemas.openxmlformats.org/officeDocument/2006/relationships/footer" Target="footer56.xml"/><Relationship Id="rId123" Type="http://schemas.openxmlformats.org/officeDocument/2006/relationships/header" Target="header57.xml"/><Relationship Id="rId124" Type="http://schemas.openxmlformats.org/officeDocument/2006/relationships/footer" Target="footer57.xml"/><Relationship Id="rId125" Type="http://schemas.openxmlformats.org/officeDocument/2006/relationships/header" Target="header58.xml"/><Relationship Id="rId126" Type="http://schemas.openxmlformats.org/officeDocument/2006/relationships/footer" Target="footer58.xml"/><Relationship Id="rId127" Type="http://schemas.openxmlformats.org/officeDocument/2006/relationships/header" Target="header59.xml"/><Relationship Id="rId128" Type="http://schemas.openxmlformats.org/officeDocument/2006/relationships/footer" Target="footer59.xml"/><Relationship Id="rId129" Type="http://schemas.openxmlformats.org/officeDocument/2006/relationships/header" Target="header60.xml"/><Relationship Id="rId130" Type="http://schemas.openxmlformats.org/officeDocument/2006/relationships/footer" Target="footer60.xml"/><Relationship Id="rId131" Type="http://schemas.openxmlformats.org/officeDocument/2006/relationships/header" Target="header61.xml"/><Relationship Id="rId132" Type="http://schemas.openxmlformats.org/officeDocument/2006/relationships/footer" Target="footer61.xml"/><Relationship Id="rId133" Type="http://schemas.openxmlformats.org/officeDocument/2006/relationships/header" Target="header62.xml"/><Relationship Id="rId134" Type="http://schemas.openxmlformats.org/officeDocument/2006/relationships/footer" Target="footer62.xml"/><Relationship Id="rId135" Type="http://schemas.openxmlformats.org/officeDocument/2006/relationships/header" Target="header63.xml"/><Relationship Id="rId136" Type="http://schemas.openxmlformats.org/officeDocument/2006/relationships/footer" Target="footer63.xml"/><Relationship Id="rId137" Type="http://schemas.openxmlformats.org/officeDocument/2006/relationships/header" Target="header64.xml"/><Relationship Id="rId138" Type="http://schemas.openxmlformats.org/officeDocument/2006/relationships/footer" Target="footer64.xml"/><Relationship Id="rId139" Type="http://schemas.openxmlformats.org/officeDocument/2006/relationships/header" Target="header65.xml"/><Relationship Id="rId140" Type="http://schemas.openxmlformats.org/officeDocument/2006/relationships/footer" Target="footer65.xml"/><Relationship Id="rId141" Type="http://schemas.openxmlformats.org/officeDocument/2006/relationships/header" Target="header66.xml"/><Relationship Id="rId142" Type="http://schemas.openxmlformats.org/officeDocument/2006/relationships/footer" Target="footer66.xml"/><Relationship Id="rId143" Type="http://schemas.openxmlformats.org/officeDocument/2006/relationships/header" Target="header67.xml"/><Relationship Id="rId144" Type="http://schemas.openxmlformats.org/officeDocument/2006/relationships/footer" Target="footer67.xml"/><Relationship Id="rId145" Type="http://schemas.openxmlformats.org/officeDocument/2006/relationships/header" Target="header68.xml"/><Relationship Id="rId146" Type="http://schemas.openxmlformats.org/officeDocument/2006/relationships/footer" Target="footer68.xml"/><Relationship Id="rId147" Type="http://schemas.openxmlformats.org/officeDocument/2006/relationships/header" Target="header69.xml"/><Relationship Id="rId148" Type="http://schemas.openxmlformats.org/officeDocument/2006/relationships/footer" Target="footer69.xml"/><Relationship Id="rId149" Type="http://schemas.openxmlformats.org/officeDocument/2006/relationships/header" Target="header70.xml"/><Relationship Id="rId150" Type="http://schemas.openxmlformats.org/officeDocument/2006/relationships/footer" Target="footer70.xml"/><Relationship Id="rId151" Type="http://schemas.openxmlformats.org/officeDocument/2006/relationships/header" Target="header71.xml"/><Relationship Id="rId152" Type="http://schemas.openxmlformats.org/officeDocument/2006/relationships/footer" Target="footer71.xml"/><Relationship Id="rId153" Type="http://schemas.openxmlformats.org/officeDocument/2006/relationships/header" Target="header72.xml"/><Relationship Id="rId154" Type="http://schemas.openxmlformats.org/officeDocument/2006/relationships/footer" Target="footer72.xml"/><Relationship Id="rId155" Type="http://schemas.openxmlformats.org/officeDocument/2006/relationships/header" Target="header73.xml"/><Relationship Id="rId156" Type="http://schemas.openxmlformats.org/officeDocument/2006/relationships/footer" Target="footer73.xml"/><Relationship Id="rId157" Type="http://schemas.openxmlformats.org/officeDocument/2006/relationships/header" Target="header74.xml"/><Relationship Id="rId158" Type="http://schemas.openxmlformats.org/officeDocument/2006/relationships/footer" Target="footer74.xml"/><Relationship Id="rId159" Type="http://schemas.openxmlformats.org/officeDocument/2006/relationships/header" Target="header75.xml"/><Relationship Id="rId160" Type="http://schemas.openxmlformats.org/officeDocument/2006/relationships/footer" Target="footer75.xml"/><Relationship Id="rId161" Type="http://schemas.openxmlformats.org/officeDocument/2006/relationships/header" Target="header76.xml"/><Relationship Id="rId162" Type="http://schemas.openxmlformats.org/officeDocument/2006/relationships/footer" Target="footer76.xml"/><Relationship Id="rId163" Type="http://schemas.openxmlformats.org/officeDocument/2006/relationships/header" Target="header77.xml"/><Relationship Id="rId164" Type="http://schemas.openxmlformats.org/officeDocument/2006/relationships/footer" Target="footer77.xml"/><Relationship Id="rId165" Type="http://schemas.openxmlformats.org/officeDocument/2006/relationships/header" Target="header78.xml"/><Relationship Id="rId166" Type="http://schemas.openxmlformats.org/officeDocument/2006/relationships/footer" Target="footer78.xml"/><Relationship Id="rId167" Type="http://schemas.openxmlformats.org/officeDocument/2006/relationships/header" Target="header79.xml"/><Relationship Id="rId168" Type="http://schemas.openxmlformats.org/officeDocument/2006/relationships/footer" Target="footer79.xml"/><Relationship Id="rId169" Type="http://schemas.openxmlformats.org/officeDocument/2006/relationships/header" Target="header80.xml"/><Relationship Id="rId170" Type="http://schemas.openxmlformats.org/officeDocument/2006/relationships/footer" Target="footer80.xml"/><Relationship Id="rId171" Type="http://schemas.openxmlformats.org/officeDocument/2006/relationships/header" Target="header81.xml"/><Relationship Id="rId172" Type="http://schemas.openxmlformats.org/officeDocument/2006/relationships/footer" Target="footer81.xml"/><Relationship Id="rId173" Type="http://schemas.openxmlformats.org/officeDocument/2006/relationships/header" Target="header82.xml"/><Relationship Id="rId174" Type="http://schemas.openxmlformats.org/officeDocument/2006/relationships/footer" Target="footer82.xml"/><Relationship Id="rId175" Type="http://schemas.openxmlformats.org/officeDocument/2006/relationships/header" Target="header83.xml"/><Relationship Id="rId176" Type="http://schemas.openxmlformats.org/officeDocument/2006/relationships/footer" Target="footer83.xml"/><Relationship Id="rId177" Type="http://schemas.openxmlformats.org/officeDocument/2006/relationships/header" Target="header84.xml"/><Relationship Id="rId178" Type="http://schemas.openxmlformats.org/officeDocument/2006/relationships/footer" Target="footer84.xml"/><Relationship Id="rId179" Type="http://schemas.openxmlformats.org/officeDocument/2006/relationships/header" Target="header85.xml"/><Relationship Id="rId180" Type="http://schemas.openxmlformats.org/officeDocument/2006/relationships/footer" Target="footer85.xml"/><Relationship Id="rId181" Type="http://schemas.openxmlformats.org/officeDocument/2006/relationships/header" Target="header86.xml"/><Relationship Id="rId182" Type="http://schemas.openxmlformats.org/officeDocument/2006/relationships/footer" Target="footer86.xml"/><Relationship Id="rId183" Type="http://schemas.openxmlformats.org/officeDocument/2006/relationships/header" Target="header87.xml"/><Relationship Id="rId184" Type="http://schemas.openxmlformats.org/officeDocument/2006/relationships/footer" Target="footer87.xml"/><Relationship Id="rId185" Type="http://schemas.openxmlformats.org/officeDocument/2006/relationships/header" Target="header88.xml"/><Relationship Id="rId186" Type="http://schemas.openxmlformats.org/officeDocument/2006/relationships/footer" Target="footer88.xml"/><Relationship Id="rId187" Type="http://schemas.openxmlformats.org/officeDocument/2006/relationships/header" Target="header89.xml"/><Relationship Id="rId188" Type="http://schemas.openxmlformats.org/officeDocument/2006/relationships/footer" Target="footer89.xml"/><Relationship Id="rId189" Type="http://schemas.openxmlformats.org/officeDocument/2006/relationships/header" Target="header90.xml"/><Relationship Id="rId190" Type="http://schemas.openxmlformats.org/officeDocument/2006/relationships/footer" Target="footer90.xml"/><Relationship Id="rId191" Type="http://schemas.openxmlformats.org/officeDocument/2006/relationships/header" Target="header91.xml"/><Relationship Id="rId192" Type="http://schemas.openxmlformats.org/officeDocument/2006/relationships/footer" Target="footer91.xml"/><Relationship Id="rId193" Type="http://schemas.openxmlformats.org/officeDocument/2006/relationships/header" Target="header92.xml"/><Relationship Id="rId194" Type="http://schemas.openxmlformats.org/officeDocument/2006/relationships/footer" Target="footer92.xml"/><Relationship Id="rId195" Type="http://schemas.openxmlformats.org/officeDocument/2006/relationships/header" Target="header93.xml"/><Relationship Id="rId196" Type="http://schemas.openxmlformats.org/officeDocument/2006/relationships/footer" Target="footer93.xml"/><Relationship Id="rId197" Type="http://schemas.openxmlformats.org/officeDocument/2006/relationships/header" Target="header94.xml"/><Relationship Id="rId198" Type="http://schemas.openxmlformats.org/officeDocument/2006/relationships/footer" Target="footer94.xml"/><Relationship Id="rId199" Type="http://schemas.openxmlformats.org/officeDocument/2006/relationships/header" Target="header95.xml"/><Relationship Id="rId200" Type="http://schemas.openxmlformats.org/officeDocument/2006/relationships/footer" Target="footer95.xml"/><Relationship Id="rId201" Type="http://schemas.openxmlformats.org/officeDocument/2006/relationships/header" Target="header96.xml"/><Relationship Id="rId202" Type="http://schemas.openxmlformats.org/officeDocument/2006/relationships/footer" Target="footer96.xml"/><Relationship Id="rId203" Type="http://schemas.openxmlformats.org/officeDocument/2006/relationships/header" Target="header97.xml"/><Relationship Id="rId204" Type="http://schemas.openxmlformats.org/officeDocument/2006/relationships/footer" Target="footer97.xml"/><Relationship Id="rId205" Type="http://schemas.openxmlformats.org/officeDocument/2006/relationships/header" Target="header98.xml"/><Relationship Id="rId206" Type="http://schemas.openxmlformats.org/officeDocument/2006/relationships/footer" Target="footer98.xml"/><Relationship Id="rId207" Type="http://schemas.openxmlformats.org/officeDocument/2006/relationships/header" Target="header99.xml"/><Relationship Id="rId208" Type="http://schemas.openxmlformats.org/officeDocument/2006/relationships/footer" Target="footer99.xml"/><Relationship Id="rId209" Type="http://schemas.openxmlformats.org/officeDocument/2006/relationships/header" Target="header100.xml"/><Relationship Id="rId210" Type="http://schemas.openxmlformats.org/officeDocument/2006/relationships/footer" Target="footer100.xml"/><Relationship Id="rId211" Type="http://schemas.openxmlformats.org/officeDocument/2006/relationships/header" Target="header101.xml"/><Relationship Id="rId212" Type="http://schemas.openxmlformats.org/officeDocument/2006/relationships/footer" Target="footer101.xml"/><Relationship Id="rId213" Type="http://schemas.openxmlformats.org/officeDocument/2006/relationships/header" Target="header102.xml"/><Relationship Id="rId214" Type="http://schemas.openxmlformats.org/officeDocument/2006/relationships/footer" Target="footer102.xml"/><Relationship Id="rId215" Type="http://schemas.openxmlformats.org/officeDocument/2006/relationships/header" Target="header103.xml"/><Relationship Id="rId216" Type="http://schemas.openxmlformats.org/officeDocument/2006/relationships/footer" Target="footer103.xml"/><Relationship Id="rId217" Type="http://schemas.openxmlformats.org/officeDocument/2006/relationships/header" Target="header104.xml"/><Relationship Id="rId218" Type="http://schemas.openxmlformats.org/officeDocument/2006/relationships/footer" Target="footer104.xml"/><Relationship Id="rId219" Type="http://schemas.openxmlformats.org/officeDocument/2006/relationships/header" Target="header105.xml"/><Relationship Id="rId220" Type="http://schemas.openxmlformats.org/officeDocument/2006/relationships/footer" Target="footer105.xml"/><Relationship Id="rId221" Type="http://schemas.openxmlformats.org/officeDocument/2006/relationships/header" Target="header106.xml"/><Relationship Id="rId222" Type="http://schemas.openxmlformats.org/officeDocument/2006/relationships/footer" Target="footer106.xml"/><Relationship Id="rId223" Type="http://schemas.openxmlformats.org/officeDocument/2006/relationships/header" Target="header107.xml"/><Relationship Id="rId224" Type="http://schemas.openxmlformats.org/officeDocument/2006/relationships/footer" Target="footer107.xml"/><Relationship Id="rId225" Type="http://schemas.openxmlformats.org/officeDocument/2006/relationships/header" Target="header108.xml"/><Relationship Id="rId226" Type="http://schemas.openxmlformats.org/officeDocument/2006/relationships/footer" Target="footer108.xml"/><Relationship Id="rId227" Type="http://schemas.openxmlformats.org/officeDocument/2006/relationships/header" Target="header109.xml"/><Relationship Id="rId228" Type="http://schemas.openxmlformats.org/officeDocument/2006/relationships/footer" Target="footer109.xml"/><Relationship Id="rId229" Type="http://schemas.openxmlformats.org/officeDocument/2006/relationships/header" Target="header110.xml"/><Relationship Id="rId230" Type="http://schemas.openxmlformats.org/officeDocument/2006/relationships/footer" Target="footer110.xml"/><Relationship Id="rId231" Type="http://schemas.openxmlformats.org/officeDocument/2006/relationships/header" Target="header111.xml"/><Relationship Id="rId232" Type="http://schemas.openxmlformats.org/officeDocument/2006/relationships/footer" Target="footer111.xml"/><Relationship Id="rId233" Type="http://schemas.openxmlformats.org/officeDocument/2006/relationships/header" Target="header112.xml"/><Relationship Id="rId234" Type="http://schemas.openxmlformats.org/officeDocument/2006/relationships/footer" Target="footer112.xml"/><Relationship Id="rId235" Type="http://schemas.openxmlformats.org/officeDocument/2006/relationships/header" Target="header113.xml"/><Relationship Id="rId236" Type="http://schemas.openxmlformats.org/officeDocument/2006/relationships/footer" Target="footer113.xml"/><Relationship Id="rId237" Type="http://schemas.openxmlformats.org/officeDocument/2006/relationships/header" Target="header114.xml"/><Relationship Id="rId238" Type="http://schemas.openxmlformats.org/officeDocument/2006/relationships/footer" Target="footer114.xml"/><Relationship Id="rId239" Type="http://schemas.openxmlformats.org/officeDocument/2006/relationships/header" Target="header115.xml"/><Relationship Id="rId240" Type="http://schemas.openxmlformats.org/officeDocument/2006/relationships/footer" Target="footer115.xml"/><Relationship Id="rId241" Type="http://schemas.openxmlformats.org/officeDocument/2006/relationships/header" Target="header116.xml"/><Relationship Id="rId242" Type="http://schemas.openxmlformats.org/officeDocument/2006/relationships/footer" Target="footer116.xml"/><Relationship Id="rId243" Type="http://schemas.openxmlformats.org/officeDocument/2006/relationships/header" Target="header117.xml"/><Relationship Id="rId244" Type="http://schemas.openxmlformats.org/officeDocument/2006/relationships/footer" Target="footer117.xml"/><Relationship Id="rId245" Type="http://schemas.openxmlformats.org/officeDocument/2006/relationships/header" Target="header118.xml"/><Relationship Id="rId246" Type="http://schemas.openxmlformats.org/officeDocument/2006/relationships/footer" Target="footer118.xml"/><Relationship Id="rId247" Type="http://schemas.openxmlformats.org/officeDocument/2006/relationships/header" Target="header119.xml"/><Relationship Id="rId248" Type="http://schemas.openxmlformats.org/officeDocument/2006/relationships/footer" Target="footer119.xml"/><Relationship Id="rId249" Type="http://schemas.openxmlformats.org/officeDocument/2006/relationships/header" Target="header120.xml"/><Relationship Id="rId250" Type="http://schemas.openxmlformats.org/officeDocument/2006/relationships/footer" Target="footer120.xml"/><Relationship Id="rId251" Type="http://schemas.openxmlformats.org/officeDocument/2006/relationships/header" Target="header121.xml"/><Relationship Id="rId252" Type="http://schemas.openxmlformats.org/officeDocument/2006/relationships/footer" Target="footer121.xml"/><Relationship Id="rId253" Type="http://schemas.openxmlformats.org/officeDocument/2006/relationships/header" Target="header122.xml"/><Relationship Id="rId254" Type="http://schemas.openxmlformats.org/officeDocument/2006/relationships/footer" Target="footer122.xml"/><Relationship Id="rId255" Type="http://schemas.openxmlformats.org/officeDocument/2006/relationships/header" Target="header123.xml"/><Relationship Id="rId256" Type="http://schemas.openxmlformats.org/officeDocument/2006/relationships/footer" Target="footer123.xml"/><Relationship Id="rId257" Type="http://schemas.openxmlformats.org/officeDocument/2006/relationships/header" Target="header124.xml"/><Relationship Id="rId258" Type="http://schemas.openxmlformats.org/officeDocument/2006/relationships/footer" Target="footer124.xml"/><Relationship Id="rId259" Type="http://schemas.openxmlformats.org/officeDocument/2006/relationships/header" Target="header125.xml"/><Relationship Id="rId260" Type="http://schemas.openxmlformats.org/officeDocument/2006/relationships/footer" Target="footer125.xml"/><Relationship Id="rId261" Type="http://schemas.openxmlformats.org/officeDocument/2006/relationships/header" Target="header126.xml"/><Relationship Id="rId262" Type="http://schemas.openxmlformats.org/officeDocument/2006/relationships/footer" Target="footer126.xml"/><Relationship Id="rId263" Type="http://schemas.openxmlformats.org/officeDocument/2006/relationships/header" Target="header127.xml"/><Relationship Id="rId264" Type="http://schemas.openxmlformats.org/officeDocument/2006/relationships/footer" Target="footer127.xml"/><Relationship Id="rId265" Type="http://schemas.openxmlformats.org/officeDocument/2006/relationships/header" Target="header128.xml"/><Relationship Id="rId266" Type="http://schemas.openxmlformats.org/officeDocument/2006/relationships/footer" Target="footer128.xml"/><Relationship Id="rId267" Type="http://schemas.openxmlformats.org/officeDocument/2006/relationships/header" Target="header129.xml"/><Relationship Id="rId268" Type="http://schemas.openxmlformats.org/officeDocument/2006/relationships/footer" Target="footer129.xml"/><Relationship Id="rId269" Type="http://schemas.openxmlformats.org/officeDocument/2006/relationships/header" Target="header130.xml"/><Relationship Id="rId270" Type="http://schemas.openxmlformats.org/officeDocument/2006/relationships/footer" Target="footer130.xml"/><Relationship Id="rId271" Type="http://schemas.openxmlformats.org/officeDocument/2006/relationships/header" Target="header131.xml"/><Relationship Id="rId272" Type="http://schemas.openxmlformats.org/officeDocument/2006/relationships/footer" Target="footer131.xml"/><Relationship Id="rId273" Type="http://schemas.openxmlformats.org/officeDocument/2006/relationships/header" Target="header132.xml"/><Relationship Id="rId274" Type="http://schemas.openxmlformats.org/officeDocument/2006/relationships/footer" Target="footer132.xml"/><Relationship Id="rId275" Type="http://schemas.openxmlformats.org/officeDocument/2006/relationships/header" Target="header133.xml"/><Relationship Id="rId276" Type="http://schemas.openxmlformats.org/officeDocument/2006/relationships/footer" Target="footer133.xml"/><Relationship Id="rId277" Type="http://schemas.openxmlformats.org/officeDocument/2006/relationships/header" Target="header134.xml"/><Relationship Id="rId278" Type="http://schemas.openxmlformats.org/officeDocument/2006/relationships/footer" Target="footer134.xml"/><Relationship Id="rId279" Type="http://schemas.openxmlformats.org/officeDocument/2006/relationships/header" Target="header135.xml"/><Relationship Id="rId280" Type="http://schemas.openxmlformats.org/officeDocument/2006/relationships/footer" Target="footer135.xml"/><Relationship Id="rId281" Type="http://schemas.openxmlformats.org/officeDocument/2006/relationships/header" Target="header136.xml"/><Relationship Id="rId282" Type="http://schemas.openxmlformats.org/officeDocument/2006/relationships/footer" Target="footer136.xml"/><Relationship Id="rId283" Type="http://schemas.openxmlformats.org/officeDocument/2006/relationships/header" Target="header137.xml"/><Relationship Id="rId284" Type="http://schemas.openxmlformats.org/officeDocument/2006/relationships/footer" Target="footer137.xml"/><Relationship Id="rId285" Type="http://schemas.openxmlformats.org/officeDocument/2006/relationships/header" Target="header138.xml"/><Relationship Id="rId286" Type="http://schemas.openxmlformats.org/officeDocument/2006/relationships/footer" Target="footer138.xml"/><Relationship Id="rId287" Type="http://schemas.openxmlformats.org/officeDocument/2006/relationships/header" Target="header139.xml"/><Relationship Id="rId288" Type="http://schemas.openxmlformats.org/officeDocument/2006/relationships/footer" Target="footer139.xml"/><Relationship Id="rId289" Type="http://schemas.openxmlformats.org/officeDocument/2006/relationships/header" Target="header140.xml"/><Relationship Id="rId290" Type="http://schemas.openxmlformats.org/officeDocument/2006/relationships/footer" Target="footer140.xml"/><Relationship Id="rId291" Type="http://schemas.openxmlformats.org/officeDocument/2006/relationships/header" Target="header141.xml"/><Relationship Id="rId292" Type="http://schemas.openxmlformats.org/officeDocument/2006/relationships/footer" Target="footer141.xml"/><Relationship Id="rId293" Type="http://schemas.openxmlformats.org/officeDocument/2006/relationships/header" Target="header142.xml"/><Relationship Id="rId294" Type="http://schemas.openxmlformats.org/officeDocument/2006/relationships/footer" Target="footer142.xml"/><Relationship Id="rId295" Type="http://schemas.openxmlformats.org/officeDocument/2006/relationships/header" Target="header143.xml"/><Relationship Id="rId296" Type="http://schemas.openxmlformats.org/officeDocument/2006/relationships/footer" Target="footer143.xml"/><Relationship Id="rId297" Type="http://schemas.openxmlformats.org/officeDocument/2006/relationships/header" Target="header144.xml"/><Relationship Id="rId298" Type="http://schemas.openxmlformats.org/officeDocument/2006/relationships/footer" Target="footer144.xml"/><Relationship Id="rId299" Type="http://schemas.openxmlformats.org/officeDocument/2006/relationships/header" Target="header145.xml"/><Relationship Id="rId300" Type="http://schemas.openxmlformats.org/officeDocument/2006/relationships/footer" Target="footer145.xml"/><Relationship Id="rId301" Type="http://schemas.openxmlformats.org/officeDocument/2006/relationships/header" Target="header146.xml"/><Relationship Id="rId302" Type="http://schemas.openxmlformats.org/officeDocument/2006/relationships/footer" Target="footer146.xml"/><Relationship Id="rId303" Type="http://schemas.openxmlformats.org/officeDocument/2006/relationships/header" Target="header147.xml"/><Relationship Id="rId304" Type="http://schemas.openxmlformats.org/officeDocument/2006/relationships/footer" Target="footer147.xml"/><Relationship Id="rId305" Type="http://schemas.openxmlformats.org/officeDocument/2006/relationships/header" Target="header148.xml"/><Relationship Id="rId306" Type="http://schemas.openxmlformats.org/officeDocument/2006/relationships/footer" Target="footer148.xml"/><Relationship Id="rId307" Type="http://schemas.openxmlformats.org/officeDocument/2006/relationships/header" Target="header149.xml"/><Relationship Id="rId308" Type="http://schemas.openxmlformats.org/officeDocument/2006/relationships/footer" Target="footer149.xml"/><Relationship Id="rId309" Type="http://schemas.openxmlformats.org/officeDocument/2006/relationships/header" Target="header150.xml"/><Relationship Id="rId310" Type="http://schemas.openxmlformats.org/officeDocument/2006/relationships/footer" Target="footer150.xml"/><Relationship Id="rId311" Type="http://schemas.openxmlformats.org/officeDocument/2006/relationships/header" Target="header151.xml"/><Relationship Id="rId312" Type="http://schemas.openxmlformats.org/officeDocument/2006/relationships/footer" Target="footer151.xml"/><Relationship Id="rId313" Type="http://schemas.openxmlformats.org/officeDocument/2006/relationships/header" Target="header152.xml"/><Relationship Id="rId314" Type="http://schemas.openxmlformats.org/officeDocument/2006/relationships/footer" Target="footer152.xml"/><Relationship Id="rId315" Type="http://schemas.openxmlformats.org/officeDocument/2006/relationships/header" Target="header153.xml"/><Relationship Id="rId316" Type="http://schemas.openxmlformats.org/officeDocument/2006/relationships/footer" Target="footer153.xml"/><Relationship Id="rId317" Type="http://schemas.openxmlformats.org/officeDocument/2006/relationships/header" Target="header154.xml"/><Relationship Id="rId318" Type="http://schemas.openxmlformats.org/officeDocument/2006/relationships/footer" Target="footer154.xml"/><Relationship Id="rId319" Type="http://schemas.openxmlformats.org/officeDocument/2006/relationships/header" Target="header155.xml"/><Relationship Id="rId320" Type="http://schemas.openxmlformats.org/officeDocument/2006/relationships/footer" Target="footer155.xml"/><Relationship Id="rId321" Type="http://schemas.openxmlformats.org/officeDocument/2006/relationships/header" Target="header156.xml"/><Relationship Id="rId322" Type="http://schemas.openxmlformats.org/officeDocument/2006/relationships/footer" Target="footer156.xml"/><Relationship Id="rId323" Type="http://schemas.openxmlformats.org/officeDocument/2006/relationships/header" Target="header157.xml"/><Relationship Id="rId324" Type="http://schemas.openxmlformats.org/officeDocument/2006/relationships/footer" Target="footer157.xml"/><Relationship Id="rId325" Type="http://schemas.openxmlformats.org/officeDocument/2006/relationships/header" Target="header158.xml"/><Relationship Id="rId326" Type="http://schemas.openxmlformats.org/officeDocument/2006/relationships/footer" Target="footer158.xml"/><Relationship Id="rId327" Type="http://schemas.openxmlformats.org/officeDocument/2006/relationships/header" Target="header159.xml"/><Relationship Id="rId328" Type="http://schemas.openxmlformats.org/officeDocument/2006/relationships/footer" Target="footer159.xml"/><Relationship Id="rId329" Type="http://schemas.openxmlformats.org/officeDocument/2006/relationships/header" Target="header160.xml"/><Relationship Id="rId330" Type="http://schemas.openxmlformats.org/officeDocument/2006/relationships/footer" Target="footer160.xml"/><Relationship Id="rId331" Type="http://schemas.openxmlformats.org/officeDocument/2006/relationships/header" Target="header161.xml"/><Relationship Id="rId332" Type="http://schemas.openxmlformats.org/officeDocument/2006/relationships/footer" Target="footer161.xml"/><Relationship Id="rId333" Type="http://schemas.openxmlformats.org/officeDocument/2006/relationships/header" Target="header162.xml"/><Relationship Id="rId334" Type="http://schemas.openxmlformats.org/officeDocument/2006/relationships/footer" Target="footer162.xml"/><Relationship Id="rId335" Type="http://schemas.openxmlformats.org/officeDocument/2006/relationships/header" Target="header163.xml"/><Relationship Id="rId336" Type="http://schemas.openxmlformats.org/officeDocument/2006/relationships/footer" Target="footer163.xml"/><Relationship Id="rId337" Type="http://schemas.openxmlformats.org/officeDocument/2006/relationships/header" Target="header164.xml"/><Relationship Id="rId338" Type="http://schemas.openxmlformats.org/officeDocument/2006/relationships/footer" Target="footer164.xml"/><Relationship Id="rId339" Type="http://schemas.openxmlformats.org/officeDocument/2006/relationships/header" Target="header165.xml"/><Relationship Id="rId340" Type="http://schemas.openxmlformats.org/officeDocument/2006/relationships/footer" Target="footer165.xml"/><Relationship Id="rId341" Type="http://schemas.openxmlformats.org/officeDocument/2006/relationships/header" Target="header166.xml"/><Relationship Id="rId342" Type="http://schemas.openxmlformats.org/officeDocument/2006/relationships/footer" Target="footer166.xml"/><Relationship Id="rId343" Type="http://schemas.openxmlformats.org/officeDocument/2006/relationships/header" Target="header167.xml"/><Relationship Id="rId344" Type="http://schemas.openxmlformats.org/officeDocument/2006/relationships/footer" Target="footer167.xml"/><Relationship Id="rId345" Type="http://schemas.openxmlformats.org/officeDocument/2006/relationships/header" Target="header168.xml"/><Relationship Id="rId346" Type="http://schemas.openxmlformats.org/officeDocument/2006/relationships/footer" Target="footer168.xml"/><Relationship Id="rId347" Type="http://schemas.openxmlformats.org/officeDocument/2006/relationships/header" Target="header169.xml"/><Relationship Id="rId348" Type="http://schemas.openxmlformats.org/officeDocument/2006/relationships/footer" Target="footer169.xml"/><Relationship Id="rId349" Type="http://schemas.openxmlformats.org/officeDocument/2006/relationships/header" Target="header170.xml"/><Relationship Id="rId350" Type="http://schemas.openxmlformats.org/officeDocument/2006/relationships/footer" Target="footer170.xml"/><Relationship Id="rId351" Type="http://schemas.openxmlformats.org/officeDocument/2006/relationships/header" Target="header171.xml"/><Relationship Id="rId352" Type="http://schemas.openxmlformats.org/officeDocument/2006/relationships/footer" Target="footer171.xml"/><Relationship Id="rId353" Type="http://schemas.openxmlformats.org/officeDocument/2006/relationships/header" Target="header172.xml"/><Relationship Id="rId354" Type="http://schemas.openxmlformats.org/officeDocument/2006/relationships/footer" Target="footer172.xml"/><Relationship Id="rId355" Type="http://schemas.openxmlformats.org/officeDocument/2006/relationships/header" Target="header173.xml"/><Relationship Id="rId356" Type="http://schemas.openxmlformats.org/officeDocument/2006/relationships/footer" Target="footer173.xml"/><Relationship Id="rId357" Type="http://schemas.openxmlformats.org/officeDocument/2006/relationships/header" Target="header174.xml"/><Relationship Id="rId358" Type="http://schemas.openxmlformats.org/officeDocument/2006/relationships/footer" Target="footer174.xml"/><Relationship Id="rId359" Type="http://schemas.openxmlformats.org/officeDocument/2006/relationships/header" Target="header175.xml"/><Relationship Id="rId360" Type="http://schemas.openxmlformats.org/officeDocument/2006/relationships/footer" Target="footer175.xml"/><Relationship Id="rId361" Type="http://schemas.openxmlformats.org/officeDocument/2006/relationships/header" Target="header176.xml"/><Relationship Id="rId362" Type="http://schemas.openxmlformats.org/officeDocument/2006/relationships/footer" Target="footer176.xml"/><Relationship Id="rId363" Type="http://schemas.openxmlformats.org/officeDocument/2006/relationships/image" Target="media/image4.png"/><Relationship Id="rId364" Type="http://schemas.openxmlformats.org/officeDocument/2006/relationships/image" Target="media/image4.png" TargetMode="External"/><Relationship Id="rId365" Type="http://schemas.openxmlformats.org/officeDocument/2006/relationships/header" Target="header177.xml"/><Relationship Id="rId366" Type="http://schemas.openxmlformats.org/officeDocument/2006/relationships/footer" Target="footer177.xml"/><Relationship Id="rId367" Type="http://schemas.openxmlformats.org/officeDocument/2006/relationships/header" Target="header178.xml"/><Relationship Id="rId368" Type="http://schemas.openxmlformats.org/officeDocument/2006/relationships/footer" Target="footer178.xml"/><Relationship Id="rId369" Type="http://schemas.openxmlformats.org/officeDocument/2006/relationships/header" Target="header179.xml"/><Relationship Id="rId370" Type="http://schemas.openxmlformats.org/officeDocument/2006/relationships/footer" Target="footer179.xml"/><Relationship Id="rId371" Type="http://schemas.openxmlformats.org/officeDocument/2006/relationships/header" Target="header180.xml"/><Relationship Id="rId372" Type="http://schemas.openxmlformats.org/officeDocument/2006/relationships/footer" Target="footer180.xml"/><Relationship Id="rId373" Type="http://schemas.openxmlformats.org/officeDocument/2006/relationships/header" Target="header181.xml"/><Relationship Id="rId374" Type="http://schemas.openxmlformats.org/officeDocument/2006/relationships/footer" Target="footer181.xml"/><Relationship Id="rId375" Type="http://schemas.openxmlformats.org/officeDocument/2006/relationships/header" Target="header182.xml"/><Relationship Id="rId376" Type="http://schemas.openxmlformats.org/officeDocument/2006/relationships/footer" Target="footer182.xml"/><Relationship Id="rId377" Type="http://schemas.openxmlformats.org/officeDocument/2006/relationships/header" Target="header183.xml"/><Relationship Id="rId378" Type="http://schemas.openxmlformats.org/officeDocument/2006/relationships/footer" Target="footer183.xml"/><Relationship Id="rId379" Type="http://schemas.openxmlformats.org/officeDocument/2006/relationships/header" Target="header184.xml"/><Relationship Id="rId380" Type="http://schemas.openxmlformats.org/officeDocument/2006/relationships/footer" Target="footer184.xml"/><Relationship Id="rId381" Type="http://schemas.openxmlformats.org/officeDocument/2006/relationships/image" Target="media/image5.png"/><Relationship Id="rId382" Type="http://schemas.openxmlformats.org/officeDocument/2006/relationships/image" Target="media/image5.png" TargetMode="External"/><Relationship Id="rId383" Type="http://schemas.openxmlformats.org/officeDocument/2006/relationships/header" Target="header185.xml"/><Relationship Id="rId384" Type="http://schemas.openxmlformats.org/officeDocument/2006/relationships/footer" Target="footer185.xml"/><Relationship Id="rId385" Type="http://schemas.openxmlformats.org/officeDocument/2006/relationships/header" Target="header186.xml"/><Relationship Id="rId386" Type="http://schemas.openxmlformats.org/officeDocument/2006/relationships/footer" Target="footer186.xml"/><Relationship Id="rId387" Type="http://schemas.openxmlformats.org/officeDocument/2006/relationships/header" Target="header187.xml"/><Relationship Id="rId388" Type="http://schemas.openxmlformats.org/officeDocument/2006/relationships/footer" Target="footer187.xml"/><Relationship Id="rId389" Type="http://schemas.openxmlformats.org/officeDocument/2006/relationships/header" Target="header188.xml"/><Relationship Id="rId390" Type="http://schemas.openxmlformats.org/officeDocument/2006/relationships/footer" Target="footer188.xml"/><Relationship Id="rId391" Type="http://schemas.openxmlformats.org/officeDocument/2006/relationships/header" Target="header189.xml"/><Relationship Id="rId392" Type="http://schemas.openxmlformats.org/officeDocument/2006/relationships/footer" Target="footer189.xml"/><Relationship Id="rId393" Type="http://schemas.openxmlformats.org/officeDocument/2006/relationships/header" Target="header190.xml"/><Relationship Id="rId394" Type="http://schemas.openxmlformats.org/officeDocument/2006/relationships/footer" Target="footer190.xml"/><Relationship Id="rId395" Type="http://schemas.openxmlformats.org/officeDocument/2006/relationships/header" Target="header191.xml"/><Relationship Id="rId396" Type="http://schemas.openxmlformats.org/officeDocument/2006/relationships/footer" Target="footer191.xml"/><Relationship Id="rId397" Type="http://schemas.openxmlformats.org/officeDocument/2006/relationships/header" Target="header192.xml"/><Relationship Id="rId398" Type="http://schemas.openxmlformats.org/officeDocument/2006/relationships/footer" Target="footer192.xml"/><Relationship Id="rId399" Type="http://schemas.openxmlformats.org/officeDocument/2006/relationships/header" Target="header193.xml"/><Relationship Id="rId400" Type="http://schemas.openxmlformats.org/officeDocument/2006/relationships/footer" Target="footer193.xml"/><Relationship Id="rId401" Type="http://schemas.openxmlformats.org/officeDocument/2006/relationships/header" Target="header194.xml"/><Relationship Id="rId402" Type="http://schemas.openxmlformats.org/officeDocument/2006/relationships/footer" Target="footer194.xml"/><Relationship Id="rId403" Type="http://schemas.openxmlformats.org/officeDocument/2006/relationships/header" Target="header195.xml"/><Relationship Id="rId404" Type="http://schemas.openxmlformats.org/officeDocument/2006/relationships/footer" Target="footer195.xml"/><Relationship Id="rId405" Type="http://schemas.openxmlformats.org/officeDocument/2006/relationships/header" Target="header196.xml"/><Relationship Id="rId406" Type="http://schemas.openxmlformats.org/officeDocument/2006/relationships/footer" Target="footer196.xml"/><Relationship Id="rId407" Type="http://schemas.openxmlformats.org/officeDocument/2006/relationships/header" Target="header197.xml"/><Relationship Id="rId408" Type="http://schemas.openxmlformats.org/officeDocument/2006/relationships/footer" Target="footer197.xml"/><Relationship Id="rId409" Type="http://schemas.openxmlformats.org/officeDocument/2006/relationships/header" Target="header198.xml"/><Relationship Id="rId410" Type="http://schemas.openxmlformats.org/officeDocument/2006/relationships/footer" Target="footer198.xml"/><Relationship Id="rId411" Type="http://schemas.openxmlformats.org/officeDocument/2006/relationships/header" Target="header199.xml"/><Relationship Id="rId412" Type="http://schemas.openxmlformats.org/officeDocument/2006/relationships/footer" Target="footer199.xml"/><Relationship Id="rId413" Type="http://schemas.openxmlformats.org/officeDocument/2006/relationships/header" Target="header200.xml"/><Relationship Id="rId414" Type="http://schemas.openxmlformats.org/officeDocument/2006/relationships/footer" Target="footer200.xml"/><Relationship Id="rId415" Type="http://schemas.openxmlformats.org/officeDocument/2006/relationships/header" Target="header201.xml"/><Relationship Id="rId416" Type="http://schemas.openxmlformats.org/officeDocument/2006/relationships/footer" Target="footer201.xml"/><Relationship Id="rId417" Type="http://schemas.openxmlformats.org/officeDocument/2006/relationships/header" Target="header202.xml"/><Relationship Id="rId418" Type="http://schemas.openxmlformats.org/officeDocument/2006/relationships/footer" Target="footer202.xml"/><Relationship Id="rId419" Type="http://schemas.openxmlformats.org/officeDocument/2006/relationships/header" Target="header203.xml"/><Relationship Id="rId420" Type="http://schemas.openxmlformats.org/officeDocument/2006/relationships/footer" Target="footer203.xml"/><Relationship Id="rId421" Type="http://schemas.openxmlformats.org/officeDocument/2006/relationships/header" Target="header204.xml"/><Relationship Id="rId422" Type="http://schemas.openxmlformats.org/officeDocument/2006/relationships/footer" Target="footer204.xml"/><Relationship Id="rId423" Type="http://schemas.openxmlformats.org/officeDocument/2006/relationships/header" Target="header205.xml"/><Relationship Id="rId424" Type="http://schemas.openxmlformats.org/officeDocument/2006/relationships/footer" Target="footer205.xml"/><Relationship Id="rId425" Type="http://schemas.openxmlformats.org/officeDocument/2006/relationships/header" Target="header206.xml"/><Relationship Id="rId426" Type="http://schemas.openxmlformats.org/officeDocument/2006/relationships/footer" Target="footer206.xml"/><Relationship Id="rId427" Type="http://schemas.openxmlformats.org/officeDocument/2006/relationships/header" Target="header207.xml"/><Relationship Id="rId428" Type="http://schemas.openxmlformats.org/officeDocument/2006/relationships/footer" Target="footer207.xml"/><Relationship Id="rId429" Type="http://schemas.openxmlformats.org/officeDocument/2006/relationships/header" Target="header208.xml"/><Relationship Id="rId430" Type="http://schemas.openxmlformats.org/officeDocument/2006/relationships/footer" Target="footer208.xml"/><Relationship Id="rId431" Type="http://schemas.openxmlformats.org/officeDocument/2006/relationships/header" Target="header209.xml"/><Relationship Id="rId432" Type="http://schemas.openxmlformats.org/officeDocument/2006/relationships/footer" Target="footer209.xml"/><Relationship Id="rId433" Type="http://schemas.openxmlformats.org/officeDocument/2006/relationships/header" Target="header210.xml"/><Relationship Id="rId434" Type="http://schemas.openxmlformats.org/officeDocument/2006/relationships/footer" Target="footer210.xml"/><Relationship Id="rId435" Type="http://schemas.openxmlformats.org/officeDocument/2006/relationships/header" Target="header211.xml"/><Relationship Id="rId436" Type="http://schemas.openxmlformats.org/officeDocument/2006/relationships/footer" Target="footer211.xml"/><Relationship Id="rId437" Type="http://schemas.openxmlformats.org/officeDocument/2006/relationships/header" Target="header212.xml"/><Relationship Id="rId438" Type="http://schemas.openxmlformats.org/officeDocument/2006/relationships/footer" Target="footer212.xml"/><Relationship Id="rId439" Type="http://schemas.openxmlformats.org/officeDocument/2006/relationships/header" Target="header213.xml"/><Relationship Id="rId440" Type="http://schemas.openxmlformats.org/officeDocument/2006/relationships/footer" Target="footer213.xml"/><Relationship Id="rId441" Type="http://schemas.openxmlformats.org/officeDocument/2006/relationships/header" Target="header214.xml"/><Relationship Id="rId442" Type="http://schemas.openxmlformats.org/officeDocument/2006/relationships/footer" Target="footer214.xml"/><Relationship Id="rId443" Type="http://schemas.openxmlformats.org/officeDocument/2006/relationships/header" Target="header215.xml"/><Relationship Id="rId444" Type="http://schemas.openxmlformats.org/officeDocument/2006/relationships/footer" Target="footer215.xml"/><Relationship Id="rId445" Type="http://schemas.openxmlformats.org/officeDocument/2006/relationships/header" Target="header216.xml"/><Relationship Id="rId446" Type="http://schemas.openxmlformats.org/officeDocument/2006/relationships/footer" Target="footer216.xml"/><Relationship Id="rId447" Type="http://schemas.openxmlformats.org/officeDocument/2006/relationships/header" Target="header217.xml"/><Relationship Id="rId448" Type="http://schemas.openxmlformats.org/officeDocument/2006/relationships/footer" Target="footer217.xml"/><Relationship Id="rId449" Type="http://schemas.openxmlformats.org/officeDocument/2006/relationships/header" Target="header218.xml"/><Relationship Id="rId450" Type="http://schemas.openxmlformats.org/officeDocument/2006/relationships/footer" Target="footer218.xml"/><Relationship Id="rId451" Type="http://schemas.openxmlformats.org/officeDocument/2006/relationships/header" Target="header219.xml"/><Relationship Id="rId452" Type="http://schemas.openxmlformats.org/officeDocument/2006/relationships/footer" Target="footer219.xml"/><Relationship Id="rId453" Type="http://schemas.openxmlformats.org/officeDocument/2006/relationships/header" Target="header220.xml"/><Relationship Id="rId454" Type="http://schemas.openxmlformats.org/officeDocument/2006/relationships/footer" Target="footer220.xml"/><Relationship Id="rId455" Type="http://schemas.openxmlformats.org/officeDocument/2006/relationships/header" Target="header221.xml"/><Relationship Id="rId456" Type="http://schemas.openxmlformats.org/officeDocument/2006/relationships/footer" Target="footer221.xml"/><Relationship Id="rId457" Type="http://schemas.openxmlformats.org/officeDocument/2006/relationships/header" Target="header222.xml"/><Relationship Id="rId458" Type="http://schemas.openxmlformats.org/officeDocument/2006/relationships/footer" Target="footer222.xml"/><Relationship Id="rId459" Type="http://schemas.openxmlformats.org/officeDocument/2006/relationships/header" Target="header223.xml"/><Relationship Id="rId460" Type="http://schemas.openxmlformats.org/officeDocument/2006/relationships/footer" Target="footer223.xml"/><Relationship Id="rId461" Type="http://schemas.openxmlformats.org/officeDocument/2006/relationships/header" Target="header224.xml"/><Relationship Id="rId462" Type="http://schemas.openxmlformats.org/officeDocument/2006/relationships/footer" Target="footer224.xml"/><Relationship Id="rId463" Type="http://schemas.openxmlformats.org/officeDocument/2006/relationships/header" Target="header225.xml"/><Relationship Id="rId464" Type="http://schemas.openxmlformats.org/officeDocument/2006/relationships/footer" Target="footer225.xml"/><Relationship Id="rId465" Type="http://schemas.openxmlformats.org/officeDocument/2006/relationships/header" Target="header226.xml"/><Relationship Id="rId466" Type="http://schemas.openxmlformats.org/officeDocument/2006/relationships/footer" Target="footer226.xml"/><Relationship Id="rId467" Type="http://schemas.openxmlformats.org/officeDocument/2006/relationships/header" Target="header227.xml"/><Relationship Id="rId468" Type="http://schemas.openxmlformats.org/officeDocument/2006/relationships/footer" Target="footer227.xml"/><Relationship Id="rId469" Type="http://schemas.openxmlformats.org/officeDocument/2006/relationships/header" Target="header228.xml"/><Relationship Id="rId470" Type="http://schemas.openxmlformats.org/officeDocument/2006/relationships/footer" Target="footer228.xml"/><Relationship Id="rId471" Type="http://schemas.openxmlformats.org/officeDocument/2006/relationships/header" Target="header229.xml"/><Relationship Id="rId472" Type="http://schemas.openxmlformats.org/officeDocument/2006/relationships/footer" Target="footer229.xml"/><Relationship Id="rId473" Type="http://schemas.openxmlformats.org/officeDocument/2006/relationships/header" Target="header230.xml"/><Relationship Id="rId474" Type="http://schemas.openxmlformats.org/officeDocument/2006/relationships/footer" Target="footer230.xml"/><Relationship Id="rId475" Type="http://schemas.openxmlformats.org/officeDocument/2006/relationships/header" Target="header231.xml"/><Relationship Id="rId476" Type="http://schemas.openxmlformats.org/officeDocument/2006/relationships/footer" Target="footer231.xml"/><Relationship Id="rId477" Type="http://schemas.openxmlformats.org/officeDocument/2006/relationships/header" Target="header232.xml"/><Relationship Id="rId478" Type="http://schemas.openxmlformats.org/officeDocument/2006/relationships/footer" Target="footer232.xml"/><Relationship Id="rId479" Type="http://schemas.openxmlformats.org/officeDocument/2006/relationships/header" Target="header233.xml"/><Relationship Id="rId480" Type="http://schemas.openxmlformats.org/officeDocument/2006/relationships/footer" Target="footer233.xml"/><Relationship Id="rId481" Type="http://schemas.openxmlformats.org/officeDocument/2006/relationships/header" Target="header234.xml"/><Relationship Id="rId482" Type="http://schemas.openxmlformats.org/officeDocument/2006/relationships/footer" Target="footer234.xml"/><Relationship Id="rId483" Type="http://schemas.openxmlformats.org/officeDocument/2006/relationships/header" Target="header235.xml"/><Relationship Id="rId484" Type="http://schemas.openxmlformats.org/officeDocument/2006/relationships/footer" Target="footer235.xml"/><Relationship Id="rId485" Type="http://schemas.openxmlformats.org/officeDocument/2006/relationships/header" Target="header236.xml"/><Relationship Id="rId486" Type="http://schemas.openxmlformats.org/officeDocument/2006/relationships/footer" Target="footer236.xml"/><Relationship Id="rId487" Type="http://schemas.openxmlformats.org/officeDocument/2006/relationships/header" Target="header237.xml"/><Relationship Id="rId488" Type="http://schemas.openxmlformats.org/officeDocument/2006/relationships/footer" Target="footer237.xml"/><Relationship Id="rId489" Type="http://schemas.openxmlformats.org/officeDocument/2006/relationships/header" Target="header238.xml"/><Relationship Id="rId490" Type="http://schemas.openxmlformats.org/officeDocument/2006/relationships/footer" Target="footer238.xml"/><Relationship Id="rId491" Type="http://schemas.openxmlformats.org/officeDocument/2006/relationships/header" Target="header239.xml"/><Relationship Id="rId492" Type="http://schemas.openxmlformats.org/officeDocument/2006/relationships/footer" Target="footer239.xml"/><Relationship Id="rId493" Type="http://schemas.openxmlformats.org/officeDocument/2006/relationships/header" Target="header240.xml"/><Relationship Id="rId494" Type="http://schemas.openxmlformats.org/officeDocument/2006/relationships/footer" Target="footer240.xml"/><Relationship Id="rId495" Type="http://schemas.openxmlformats.org/officeDocument/2006/relationships/header" Target="header241.xml"/><Relationship Id="rId496" Type="http://schemas.openxmlformats.org/officeDocument/2006/relationships/footer" Target="footer241.xml"/><Relationship Id="rId497" Type="http://schemas.openxmlformats.org/officeDocument/2006/relationships/header" Target="header242.xml"/><Relationship Id="rId498" Type="http://schemas.openxmlformats.org/officeDocument/2006/relationships/footer" Target="footer242.xml"/><Relationship Id="rId499" Type="http://schemas.openxmlformats.org/officeDocument/2006/relationships/header" Target="header243.xml"/><Relationship Id="rId500" Type="http://schemas.openxmlformats.org/officeDocument/2006/relationships/footer" Target="footer243.xml"/><Relationship Id="rId501" Type="http://schemas.openxmlformats.org/officeDocument/2006/relationships/header" Target="header244.xml"/><Relationship Id="rId502" Type="http://schemas.openxmlformats.org/officeDocument/2006/relationships/footer" Target="footer244.xml"/><Relationship Id="rId503" Type="http://schemas.openxmlformats.org/officeDocument/2006/relationships/header" Target="header245.xml"/><Relationship Id="rId504" Type="http://schemas.openxmlformats.org/officeDocument/2006/relationships/footer" Target="footer245.xml"/><Relationship Id="rId505" Type="http://schemas.openxmlformats.org/officeDocument/2006/relationships/header" Target="header246.xml"/><Relationship Id="rId506" Type="http://schemas.openxmlformats.org/officeDocument/2006/relationships/footer" Target="footer246.xml"/><Relationship Id="rId507" Type="http://schemas.openxmlformats.org/officeDocument/2006/relationships/header" Target="header247.xml"/><Relationship Id="rId508" Type="http://schemas.openxmlformats.org/officeDocument/2006/relationships/footer" Target="footer247.xml"/><Relationship Id="rId509" Type="http://schemas.openxmlformats.org/officeDocument/2006/relationships/header" Target="header248.xml"/><Relationship Id="rId510" Type="http://schemas.openxmlformats.org/officeDocument/2006/relationships/footer" Target="footer248.xml"/><Relationship Id="rId511" Type="http://schemas.openxmlformats.org/officeDocument/2006/relationships/header" Target="header249.xml"/><Relationship Id="rId512" Type="http://schemas.openxmlformats.org/officeDocument/2006/relationships/footer" Target="footer249.xml"/><Relationship Id="rId513" Type="http://schemas.openxmlformats.org/officeDocument/2006/relationships/header" Target="header250.xml"/><Relationship Id="rId514" Type="http://schemas.openxmlformats.org/officeDocument/2006/relationships/footer" Target="footer250.xml"/><Relationship Id="rId515" Type="http://schemas.openxmlformats.org/officeDocument/2006/relationships/header" Target="header251.xml"/><Relationship Id="rId516" Type="http://schemas.openxmlformats.org/officeDocument/2006/relationships/footer" Target="footer251.xml"/><Relationship Id="rId517" Type="http://schemas.openxmlformats.org/officeDocument/2006/relationships/header" Target="header252.xml"/><Relationship Id="rId518" Type="http://schemas.openxmlformats.org/officeDocument/2006/relationships/footer" Target="footer252.xml"/><Relationship Id="rId519" Type="http://schemas.openxmlformats.org/officeDocument/2006/relationships/header" Target="header253.xml"/><Relationship Id="rId520" Type="http://schemas.openxmlformats.org/officeDocument/2006/relationships/footer" Target="footer253.xml"/><Relationship Id="rId521" Type="http://schemas.openxmlformats.org/officeDocument/2006/relationships/header" Target="header254.xml"/><Relationship Id="rId522" Type="http://schemas.openxmlformats.org/officeDocument/2006/relationships/footer" Target="footer254.xml"/><Relationship Id="rId523" Type="http://schemas.openxmlformats.org/officeDocument/2006/relationships/header" Target="header255.xml"/><Relationship Id="rId524" Type="http://schemas.openxmlformats.org/officeDocument/2006/relationships/footer" Target="footer255.xml"/><Relationship Id="rId525" Type="http://schemas.openxmlformats.org/officeDocument/2006/relationships/header" Target="header256.xml"/><Relationship Id="rId526" Type="http://schemas.openxmlformats.org/officeDocument/2006/relationships/footer" Target="footer256.xml"/><Relationship Id="rId527" Type="http://schemas.openxmlformats.org/officeDocument/2006/relationships/header" Target="header257.xml"/><Relationship Id="rId528" Type="http://schemas.openxmlformats.org/officeDocument/2006/relationships/footer" Target="footer257.xml"/><Relationship Id="rId529" Type="http://schemas.openxmlformats.org/officeDocument/2006/relationships/header" Target="header258.xml"/><Relationship Id="rId530" Type="http://schemas.openxmlformats.org/officeDocument/2006/relationships/footer" Target="footer258.xml"/><Relationship Id="rId531" Type="http://schemas.openxmlformats.org/officeDocument/2006/relationships/header" Target="header259.xml"/><Relationship Id="rId532" Type="http://schemas.openxmlformats.org/officeDocument/2006/relationships/footer" Target="footer259.xml"/><Relationship Id="rId533" Type="http://schemas.openxmlformats.org/officeDocument/2006/relationships/header" Target="header260.xml"/><Relationship Id="rId534" Type="http://schemas.openxmlformats.org/officeDocument/2006/relationships/footer" Target="footer260.xml"/><Relationship Id="rId535" Type="http://schemas.openxmlformats.org/officeDocument/2006/relationships/header" Target="header261.xml"/><Relationship Id="rId536" Type="http://schemas.openxmlformats.org/officeDocument/2006/relationships/footer" Target="footer261.xml"/><Relationship Id="rId537" Type="http://schemas.openxmlformats.org/officeDocument/2006/relationships/header" Target="header262.xml"/><Relationship Id="rId538" Type="http://schemas.openxmlformats.org/officeDocument/2006/relationships/footer" Target="footer262.xml"/><Relationship Id="rId539" Type="http://schemas.openxmlformats.org/officeDocument/2006/relationships/header" Target="header263.xml"/><Relationship Id="rId540" Type="http://schemas.openxmlformats.org/officeDocument/2006/relationships/footer" Target="footer263.xml"/><Relationship Id="rId541" Type="http://schemas.openxmlformats.org/officeDocument/2006/relationships/header" Target="header264.xml"/><Relationship Id="rId542" Type="http://schemas.openxmlformats.org/officeDocument/2006/relationships/footer" Target="footer264.xml"/><Relationship Id="rId543" Type="http://schemas.openxmlformats.org/officeDocument/2006/relationships/header" Target="header265.xml"/><Relationship Id="rId544" Type="http://schemas.openxmlformats.org/officeDocument/2006/relationships/footer" Target="footer265.xml"/><Relationship Id="rId545" Type="http://schemas.openxmlformats.org/officeDocument/2006/relationships/header" Target="header266.xml"/><Relationship Id="rId546" Type="http://schemas.openxmlformats.org/officeDocument/2006/relationships/footer" Target="footer266.xml"/><Relationship Id="rId547" Type="http://schemas.openxmlformats.org/officeDocument/2006/relationships/header" Target="header267.xml"/><Relationship Id="rId548" Type="http://schemas.openxmlformats.org/officeDocument/2006/relationships/footer" Target="footer267.xml"/><Relationship Id="rId549" Type="http://schemas.openxmlformats.org/officeDocument/2006/relationships/header" Target="header268.xml"/><Relationship Id="rId550" Type="http://schemas.openxmlformats.org/officeDocument/2006/relationships/footer" Target="footer268.xml"/><Relationship Id="rId551" Type="http://schemas.openxmlformats.org/officeDocument/2006/relationships/header" Target="header269.xml"/><Relationship Id="rId552" Type="http://schemas.openxmlformats.org/officeDocument/2006/relationships/footer" Target="footer269.xml"/><Relationship Id="rId553" Type="http://schemas.openxmlformats.org/officeDocument/2006/relationships/header" Target="header270.xml"/><Relationship Id="rId554" Type="http://schemas.openxmlformats.org/officeDocument/2006/relationships/footer" Target="footer270.xml"/><Relationship Id="rId555" Type="http://schemas.openxmlformats.org/officeDocument/2006/relationships/header" Target="header271.xml"/><Relationship Id="rId556" Type="http://schemas.openxmlformats.org/officeDocument/2006/relationships/footer" Target="footer271.xml"/><Relationship Id="rId557" Type="http://schemas.openxmlformats.org/officeDocument/2006/relationships/header" Target="header272.xml"/><Relationship Id="rId558" Type="http://schemas.openxmlformats.org/officeDocument/2006/relationships/footer" Target="footer272.xml"/><Relationship Id="rId559" Type="http://schemas.openxmlformats.org/officeDocument/2006/relationships/header" Target="header273.xml"/><Relationship Id="rId560" Type="http://schemas.openxmlformats.org/officeDocument/2006/relationships/footer" Target="footer273.xml"/><Relationship Id="rId561" Type="http://schemas.openxmlformats.org/officeDocument/2006/relationships/header" Target="header274.xml"/><Relationship Id="rId562" Type="http://schemas.openxmlformats.org/officeDocument/2006/relationships/footer" Target="footer274.xml"/><Relationship Id="rId563" Type="http://schemas.openxmlformats.org/officeDocument/2006/relationships/header" Target="header275.xml"/><Relationship Id="rId564" Type="http://schemas.openxmlformats.org/officeDocument/2006/relationships/footer" Target="footer275.xml"/><Relationship Id="rId565" Type="http://schemas.openxmlformats.org/officeDocument/2006/relationships/header" Target="header276.xml"/><Relationship Id="rId566" Type="http://schemas.openxmlformats.org/officeDocument/2006/relationships/footer" Target="footer276.xml"/><Relationship Id="rId567" Type="http://schemas.openxmlformats.org/officeDocument/2006/relationships/header" Target="header277.xml"/><Relationship Id="rId568" Type="http://schemas.openxmlformats.org/officeDocument/2006/relationships/footer" Target="footer277.xml"/><Relationship Id="rId569" Type="http://schemas.openxmlformats.org/officeDocument/2006/relationships/header" Target="header278.xml"/><Relationship Id="rId570" Type="http://schemas.openxmlformats.org/officeDocument/2006/relationships/footer" Target="footer278.xml"/><Relationship Id="rId571" Type="http://schemas.openxmlformats.org/officeDocument/2006/relationships/header" Target="header279.xml"/><Relationship Id="rId572" Type="http://schemas.openxmlformats.org/officeDocument/2006/relationships/footer" Target="footer279.xml"/><Relationship Id="rId573" Type="http://schemas.openxmlformats.org/officeDocument/2006/relationships/header" Target="header280.xml"/><Relationship Id="rId574" Type="http://schemas.openxmlformats.org/officeDocument/2006/relationships/footer" Target="footer280.xml"/><Relationship Id="rId575" Type="http://schemas.openxmlformats.org/officeDocument/2006/relationships/header" Target="header281.xml"/><Relationship Id="rId576" Type="http://schemas.openxmlformats.org/officeDocument/2006/relationships/footer" Target="footer281.xml"/><Relationship Id="rId577" Type="http://schemas.openxmlformats.org/officeDocument/2006/relationships/header" Target="header282.xml"/><Relationship Id="rId578" Type="http://schemas.openxmlformats.org/officeDocument/2006/relationships/footer" Target="footer282.xml"/><Relationship Id="rId579" Type="http://schemas.openxmlformats.org/officeDocument/2006/relationships/header" Target="header283.xml"/><Relationship Id="rId580" Type="http://schemas.openxmlformats.org/officeDocument/2006/relationships/footer" Target="footer283.xml"/><Relationship Id="rId581" Type="http://schemas.openxmlformats.org/officeDocument/2006/relationships/header" Target="header284.xml"/><Relationship Id="rId582" Type="http://schemas.openxmlformats.org/officeDocument/2006/relationships/footer" Target="footer284.xml"/><Relationship Id="rId583" Type="http://schemas.openxmlformats.org/officeDocument/2006/relationships/header" Target="header285.xml"/><Relationship Id="rId584" Type="http://schemas.openxmlformats.org/officeDocument/2006/relationships/footer" Target="footer285.xml"/><Relationship Id="rId585" Type="http://schemas.openxmlformats.org/officeDocument/2006/relationships/header" Target="header286.xml"/><Relationship Id="rId586" Type="http://schemas.openxmlformats.org/officeDocument/2006/relationships/footer" Target="footer286.xml"/><Relationship Id="rId587" Type="http://schemas.openxmlformats.org/officeDocument/2006/relationships/header" Target="header287.xml"/><Relationship Id="rId588" Type="http://schemas.openxmlformats.org/officeDocument/2006/relationships/footer" Target="footer287.xml"/><Relationship Id="rId589" Type="http://schemas.openxmlformats.org/officeDocument/2006/relationships/header" Target="header288.xml"/><Relationship Id="rId590" Type="http://schemas.openxmlformats.org/officeDocument/2006/relationships/footer" Target="footer288.xml"/><Relationship Id="rId591" Type="http://schemas.openxmlformats.org/officeDocument/2006/relationships/header" Target="header289.xml"/><Relationship Id="rId592" Type="http://schemas.openxmlformats.org/officeDocument/2006/relationships/footer" Target="footer289.xml"/><Relationship Id="rId593" Type="http://schemas.openxmlformats.org/officeDocument/2006/relationships/header" Target="header290.xml"/><Relationship Id="rId594" Type="http://schemas.openxmlformats.org/officeDocument/2006/relationships/footer" Target="footer290.xml"/><Relationship Id="rId595" Type="http://schemas.openxmlformats.org/officeDocument/2006/relationships/header" Target="header291.xml"/><Relationship Id="rId596" Type="http://schemas.openxmlformats.org/officeDocument/2006/relationships/footer" Target="footer291.xml"/><Relationship Id="rId597" Type="http://schemas.openxmlformats.org/officeDocument/2006/relationships/header" Target="header292.xml"/><Relationship Id="rId598" Type="http://schemas.openxmlformats.org/officeDocument/2006/relationships/footer" Target="footer292.xml"/><Relationship Id="rId599" Type="http://schemas.openxmlformats.org/officeDocument/2006/relationships/header" Target="header293.xml"/><Relationship Id="rId600" Type="http://schemas.openxmlformats.org/officeDocument/2006/relationships/footer" Target="footer293.xml"/><Relationship Id="rId601" Type="http://schemas.openxmlformats.org/officeDocument/2006/relationships/header" Target="header294.xml"/><Relationship Id="rId602" Type="http://schemas.openxmlformats.org/officeDocument/2006/relationships/footer" Target="footer294.xml"/><Relationship Id="rId603" Type="http://schemas.openxmlformats.org/officeDocument/2006/relationships/header" Target="header295.xml"/><Relationship Id="rId604" Type="http://schemas.openxmlformats.org/officeDocument/2006/relationships/footer" Target="footer295.xml"/><Relationship Id="rId605" Type="http://schemas.openxmlformats.org/officeDocument/2006/relationships/header" Target="header296.xml"/><Relationship Id="rId606" Type="http://schemas.openxmlformats.org/officeDocument/2006/relationships/footer" Target="footer296.xml"/><Relationship Id="rId607" Type="http://schemas.openxmlformats.org/officeDocument/2006/relationships/header" Target="header297.xml"/><Relationship Id="rId608" Type="http://schemas.openxmlformats.org/officeDocument/2006/relationships/footer" Target="footer297.xml"/><Relationship Id="rId609" Type="http://schemas.openxmlformats.org/officeDocument/2006/relationships/header" Target="header298.xml"/><Relationship Id="rId610" Type="http://schemas.openxmlformats.org/officeDocument/2006/relationships/footer" Target="footer298.xml"/><Relationship Id="rId611" Type="http://schemas.openxmlformats.org/officeDocument/2006/relationships/header" Target="header299.xml"/><Relationship Id="rId612" Type="http://schemas.openxmlformats.org/officeDocument/2006/relationships/footer" Target="footer299.xml"/><Relationship Id="rId613" Type="http://schemas.openxmlformats.org/officeDocument/2006/relationships/header" Target="header300.xml"/><Relationship Id="rId614" Type="http://schemas.openxmlformats.org/officeDocument/2006/relationships/footer" Target="footer300.xml"/><Relationship Id="rId615" Type="http://schemas.openxmlformats.org/officeDocument/2006/relationships/header" Target="header301.xml"/><Relationship Id="rId616" Type="http://schemas.openxmlformats.org/officeDocument/2006/relationships/footer" Target="footer301.xml"/><Relationship Id="rId617" Type="http://schemas.openxmlformats.org/officeDocument/2006/relationships/header" Target="header302.xml"/><Relationship Id="rId618" Type="http://schemas.openxmlformats.org/officeDocument/2006/relationships/footer" Target="footer302.xml"/><Relationship Id="rId619" Type="http://schemas.openxmlformats.org/officeDocument/2006/relationships/header" Target="header303.xml"/><Relationship Id="rId620" Type="http://schemas.openxmlformats.org/officeDocument/2006/relationships/footer" Target="footer303.xml"/><Relationship Id="rId621" Type="http://schemas.openxmlformats.org/officeDocument/2006/relationships/header" Target="header304.xml"/><Relationship Id="rId622" Type="http://schemas.openxmlformats.org/officeDocument/2006/relationships/footer" Target="footer304.xml"/><Relationship Id="rId623" Type="http://schemas.openxmlformats.org/officeDocument/2006/relationships/header" Target="header305.xml"/><Relationship Id="rId624" Type="http://schemas.openxmlformats.org/officeDocument/2006/relationships/footer" Target="footer305.xml"/><Relationship Id="rId625" Type="http://schemas.openxmlformats.org/officeDocument/2006/relationships/header" Target="header306.xml"/><Relationship Id="rId626" Type="http://schemas.openxmlformats.org/officeDocument/2006/relationships/footer" Target="footer306.xml"/><Relationship Id="rId627" Type="http://schemas.openxmlformats.org/officeDocument/2006/relationships/header" Target="header307.xml"/><Relationship Id="rId628" Type="http://schemas.openxmlformats.org/officeDocument/2006/relationships/footer" Target="footer307.xml"/><Relationship Id="rId629" Type="http://schemas.openxmlformats.org/officeDocument/2006/relationships/header" Target="header308.xml"/><Relationship Id="rId630" Type="http://schemas.openxmlformats.org/officeDocument/2006/relationships/footer" Target="footer308.xml"/><Relationship Id="rId631" Type="http://schemas.openxmlformats.org/officeDocument/2006/relationships/header" Target="header309.xml"/><Relationship Id="rId632" Type="http://schemas.openxmlformats.org/officeDocument/2006/relationships/footer" Target="footer309.xml"/><Relationship Id="rId633" Type="http://schemas.openxmlformats.org/officeDocument/2006/relationships/header" Target="header310.xml"/><Relationship Id="rId634" Type="http://schemas.openxmlformats.org/officeDocument/2006/relationships/footer" Target="footer310.xml"/><Relationship Id="rId635" Type="http://schemas.openxmlformats.org/officeDocument/2006/relationships/header" Target="header311.xml"/><Relationship Id="rId636" Type="http://schemas.openxmlformats.org/officeDocument/2006/relationships/footer" Target="footer311.xml"/><Relationship Id="rId637" Type="http://schemas.openxmlformats.org/officeDocument/2006/relationships/header" Target="header312.xml"/><Relationship Id="rId638" Type="http://schemas.openxmlformats.org/officeDocument/2006/relationships/footer" Target="footer312.xml"/><Relationship Id="rId639" Type="http://schemas.openxmlformats.org/officeDocument/2006/relationships/header" Target="header313.xml"/><Relationship Id="rId640" Type="http://schemas.openxmlformats.org/officeDocument/2006/relationships/footer" Target="footer313.xml"/><Relationship Id="rId641" Type="http://schemas.openxmlformats.org/officeDocument/2006/relationships/header" Target="header314.xml"/><Relationship Id="rId642" Type="http://schemas.openxmlformats.org/officeDocument/2006/relationships/footer" Target="footer314.xml"/><Relationship Id="rId643" Type="http://schemas.openxmlformats.org/officeDocument/2006/relationships/header" Target="header315.xml"/><Relationship Id="rId644" Type="http://schemas.openxmlformats.org/officeDocument/2006/relationships/footer" Target="footer315.xml"/><Relationship Id="rId645" Type="http://schemas.openxmlformats.org/officeDocument/2006/relationships/header" Target="header316.xml"/><Relationship Id="rId646" Type="http://schemas.openxmlformats.org/officeDocument/2006/relationships/footer" Target="footer316.xml"/><Relationship Id="rId647" Type="http://schemas.openxmlformats.org/officeDocument/2006/relationships/header" Target="header317.xml"/><Relationship Id="rId648" Type="http://schemas.openxmlformats.org/officeDocument/2006/relationships/footer" Target="footer317.xml"/><Relationship Id="rId649" Type="http://schemas.openxmlformats.org/officeDocument/2006/relationships/header" Target="header318.xml"/><Relationship Id="rId650" Type="http://schemas.openxmlformats.org/officeDocument/2006/relationships/footer" Target="footer318.xml"/><Relationship Id="rId651" Type="http://schemas.openxmlformats.org/officeDocument/2006/relationships/header" Target="header319.xml"/><Relationship Id="rId652" Type="http://schemas.openxmlformats.org/officeDocument/2006/relationships/footer" Target="footer319.xml"/><Relationship Id="rId653" Type="http://schemas.openxmlformats.org/officeDocument/2006/relationships/header" Target="header320.xml"/><Relationship Id="rId654" Type="http://schemas.openxmlformats.org/officeDocument/2006/relationships/footer" Target="footer320.xml"/><Relationship Id="rId655" Type="http://schemas.openxmlformats.org/officeDocument/2006/relationships/header" Target="header321.xml"/><Relationship Id="rId656" Type="http://schemas.openxmlformats.org/officeDocument/2006/relationships/footer" Target="footer321.xml"/><Relationship Id="rId657" Type="http://schemas.openxmlformats.org/officeDocument/2006/relationships/header" Target="header322.xml"/><Relationship Id="rId658" Type="http://schemas.openxmlformats.org/officeDocument/2006/relationships/footer" Target="footer322.xml"/><Relationship Id="rId659" Type="http://schemas.openxmlformats.org/officeDocument/2006/relationships/header" Target="header323.xml"/><Relationship Id="rId660" Type="http://schemas.openxmlformats.org/officeDocument/2006/relationships/footer" Target="footer323.xml"/><Relationship Id="rId661" Type="http://schemas.openxmlformats.org/officeDocument/2006/relationships/header" Target="header324.xml"/><Relationship Id="rId662" Type="http://schemas.openxmlformats.org/officeDocument/2006/relationships/footer" Target="footer324.xml"/><Relationship Id="rId663" Type="http://schemas.openxmlformats.org/officeDocument/2006/relationships/header" Target="header325.xml"/><Relationship Id="rId664" Type="http://schemas.openxmlformats.org/officeDocument/2006/relationships/footer" Target="footer325.xml"/><Relationship Id="rId665" Type="http://schemas.openxmlformats.org/officeDocument/2006/relationships/header" Target="header326.xml"/><Relationship Id="rId666" Type="http://schemas.openxmlformats.org/officeDocument/2006/relationships/footer" Target="footer326.xml"/><Relationship Id="rId667" Type="http://schemas.openxmlformats.org/officeDocument/2006/relationships/header" Target="header327.xml"/><Relationship Id="rId668" Type="http://schemas.openxmlformats.org/officeDocument/2006/relationships/footer" Target="footer327.xml"/><Relationship Id="rId669" Type="http://schemas.openxmlformats.org/officeDocument/2006/relationships/header" Target="header328.xml"/><Relationship Id="rId670" Type="http://schemas.openxmlformats.org/officeDocument/2006/relationships/footer" Target="footer328.xml"/><Relationship Id="rId671" Type="http://schemas.openxmlformats.org/officeDocument/2006/relationships/header" Target="header329.xml"/><Relationship Id="rId672" Type="http://schemas.openxmlformats.org/officeDocument/2006/relationships/footer" Target="footer329.xml"/><Relationship Id="rId673" Type="http://schemas.openxmlformats.org/officeDocument/2006/relationships/header" Target="header330.xml"/><Relationship Id="rId674" Type="http://schemas.openxmlformats.org/officeDocument/2006/relationships/footer" Target="footer330.xml"/><Relationship Id="rId675" Type="http://schemas.openxmlformats.org/officeDocument/2006/relationships/header" Target="header331.xml"/><Relationship Id="rId676" Type="http://schemas.openxmlformats.org/officeDocument/2006/relationships/footer" Target="footer331.xml"/><Relationship Id="rId677" Type="http://schemas.openxmlformats.org/officeDocument/2006/relationships/header" Target="header332.xml"/><Relationship Id="rId678" Type="http://schemas.openxmlformats.org/officeDocument/2006/relationships/footer" Target="footer332.xml"/><Relationship Id="rId679" Type="http://schemas.openxmlformats.org/officeDocument/2006/relationships/header" Target="header333.xml"/><Relationship Id="rId680" Type="http://schemas.openxmlformats.org/officeDocument/2006/relationships/footer" Target="footer333.xml"/><Relationship Id="rId681" Type="http://schemas.openxmlformats.org/officeDocument/2006/relationships/header" Target="header334.xml"/><Relationship Id="rId682" Type="http://schemas.openxmlformats.org/officeDocument/2006/relationships/footer" Target="footer334.xml"/><Relationship Id="rId683" Type="http://schemas.openxmlformats.org/officeDocument/2006/relationships/header" Target="header335.xml"/><Relationship Id="rId684" Type="http://schemas.openxmlformats.org/officeDocument/2006/relationships/footer" Target="footer335.xml"/><Relationship Id="rId685" Type="http://schemas.openxmlformats.org/officeDocument/2006/relationships/header" Target="header336.xml"/><Relationship Id="rId686" Type="http://schemas.openxmlformats.org/officeDocument/2006/relationships/footer" Target="footer336.xml"/><Relationship Id="rId687" Type="http://schemas.openxmlformats.org/officeDocument/2006/relationships/header" Target="header337.xml"/><Relationship Id="rId688" Type="http://schemas.openxmlformats.org/officeDocument/2006/relationships/footer" Target="footer337.xml"/><Relationship Id="rId689" Type="http://schemas.openxmlformats.org/officeDocument/2006/relationships/header" Target="header338.xml"/><Relationship Id="rId690" Type="http://schemas.openxmlformats.org/officeDocument/2006/relationships/footer" Target="footer338.xml"/><Relationship Id="rId691" Type="http://schemas.openxmlformats.org/officeDocument/2006/relationships/header" Target="header339.xml"/><Relationship Id="rId692" Type="http://schemas.openxmlformats.org/officeDocument/2006/relationships/footer" Target="footer339.xml"/><Relationship Id="rId693" Type="http://schemas.openxmlformats.org/officeDocument/2006/relationships/header" Target="header340.xml"/><Relationship Id="rId694" Type="http://schemas.openxmlformats.org/officeDocument/2006/relationships/footer" Target="footer340.xml"/><Relationship Id="rId695" Type="http://schemas.openxmlformats.org/officeDocument/2006/relationships/header" Target="header341.xml"/><Relationship Id="rId696" Type="http://schemas.openxmlformats.org/officeDocument/2006/relationships/footer" Target="footer341.xml"/><Relationship Id="rId697" Type="http://schemas.openxmlformats.org/officeDocument/2006/relationships/header" Target="header342.xml"/><Relationship Id="rId698" Type="http://schemas.openxmlformats.org/officeDocument/2006/relationships/footer" Target="footer342.xml"/><Relationship Id="rId699" Type="http://schemas.openxmlformats.org/officeDocument/2006/relationships/header" Target="header343.xml"/><Relationship Id="rId700" Type="http://schemas.openxmlformats.org/officeDocument/2006/relationships/footer" Target="footer343.xml"/><Relationship Id="rId701" Type="http://schemas.openxmlformats.org/officeDocument/2006/relationships/header" Target="header344.xml"/><Relationship Id="rId702" Type="http://schemas.openxmlformats.org/officeDocument/2006/relationships/footer" Target="footer344.xml"/><Relationship Id="rId703" Type="http://schemas.openxmlformats.org/officeDocument/2006/relationships/header" Target="header345.xml"/><Relationship Id="rId704" Type="http://schemas.openxmlformats.org/officeDocument/2006/relationships/footer" Target="footer345.xml"/><Relationship Id="rId705" Type="http://schemas.openxmlformats.org/officeDocument/2006/relationships/header" Target="header346.xml"/><Relationship Id="rId706" Type="http://schemas.openxmlformats.org/officeDocument/2006/relationships/footer" Target="footer346.xml"/><Relationship Id="rId707" Type="http://schemas.openxmlformats.org/officeDocument/2006/relationships/header" Target="header347.xml"/><Relationship Id="rId708" Type="http://schemas.openxmlformats.org/officeDocument/2006/relationships/footer" Target="footer347.xml"/><Relationship Id="rId709" Type="http://schemas.openxmlformats.org/officeDocument/2006/relationships/header" Target="header348.xml"/><Relationship Id="rId710" Type="http://schemas.openxmlformats.org/officeDocument/2006/relationships/footer" Target="footer348.xml"/><Relationship Id="rId711" Type="http://schemas.openxmlformats.org/officeDocument/2006/relationships/image" Target="media/image6.png"/><Relationship Id="rId712" Type="http://schemas.openxmlformats.org/officeDocument/2006/relationships/image" Target="media/image6.png" TargetMode="External"/><Relationship Id="rId713" Type="http://schemas.openxmlformats.org/officeDocument/2006/relationships/header" Target="header349.xml"/><Relationship Id="rId714" Type="http://schemas.openxmlformats.org/officeDocument/2006/relationships/footer" Target="footer349.xml"/><Relationship Id="rId715" Type="http://schemas.openxmlformats.org/officeDocument/2006/relationships/header" Target="header350.xml"/><Relationship Id="rId716" Type="http://schemas.openxmlformats.org/officeDocument/2006/relationships/footer" Target="footer350.xml"/><Relationship Id="rId717" Type="http://schemas.openxmlformats.org/officeDocument/2006/relationships/header" Target="header351.xml"/><Relationship Id="rId718" Type="http://schemas.openxmlformats.org/officeDocument/2006/relationships/footer" Target="footer351.xml"/><Relationship Id="rId719" Type="http://schemas.openxmlformats.org/officeDocument/2006/relationships/header" Target="header352.xml"/><Relationship Id="rId720" Type="http://schemas.openxmlformats.org/officeDocument/2006/relationships/footer" Target="footer352.xml"/><Relationship Id="rId721" Type="http://schemas.openxmlformats.org/officeDocument/2006/relationships/header" Target="header353.xml"/><Relationship Id="rId722" Type="http://schemas.openxmlformats.org/officeDocument/2006/relationships/footer" Target="footer353.xml"/><Relationship Id="rId723" Type="http://schemas.openxmlformats.org/officeDocument/2006/relationships/header" Target="header354.xml"/><Relationship Id="rId724" Type="http://schemas.openxmlformats.org/officeDocument/2006/relationships/footer" Target="footer354.xml"/><Relationship Id="rId725" Type="http://schemas.openxmlformats.org/officeDocument/2006/relationships/header" Target="header355.xml"/><Relationship Id="rId726" Type="http://schemas.openxmlformats.org/officeDocument/2006/relationships/footer" Target="footer355.xml"/><Relationship Id="rId727" Type="http://schemas.openxmlformats.org/officeDocument/2006/relationships/header" Target="header356.xml"/><Relationship Id="rId728" Type="http://schemas.openxmlformats.org/officeDocument/2006/relationships/footer" Target="footer356.xml"/><Relationship Id="rId729" Type="http://schemas.openxmlformats.org/officeDocument/2006/relationships/header" Target="header357.xml"/><Relationship Id="rId730" Type="http://schemas.openxmlformats.org/officeDocument/2006/relationships/footer" Target="footer357.xml"/><Relationship Id="rId731" Type="http://schemas.openxmlformats.org/officeDocument/2006/relationships/header" Target="header358.xml"/><Relationship Id="rId732" Type="http://schemas.openxmlformats.org/officeDocument/2006/relationships/footer" Target="footer358.xml"/><Relationship Id="rId733" Type="http://schemas.openxmlformats.org/officeDocument/2006/relationships/header" Target="header359.xml"/><Relationship Id="rId734" Type="http://schemas.openxmlformats.org/officeDocument/2006/relationships/footer" Target="footer359.xml"/><Relationship Id="rId735" Type="http://schemas.openxmlformats.org/officeDocument/2006/relationships/header" Target="header360.xml"/><Relationship Id="rId736" Type="http://schemas.openxmlformats.org/officeDocument/2006/relationships/footer" Target="footer360.xml"/><Relationship Id="rId737" Type="http://schemas.openxmlformats.org/officeDocument/2006/relationships/header" Target="header361.xml"/><Relationship Id="rId738" Type="http://schemas.openxmlformats.org/officeDocument/2006/relationships/footer" Target="footer361.xml"/><Relationship Id="rId739" Type="http://schemas.openxmlformats.org/officeDocument/2006/relationships/header" Target="header362.xml"/><Relationship Id="rId740" Type="http://schemas.openxmlformats.org/officeDocument/2006/relationships/footer" Target="footer362.xml"/><Relationship Id="rId741" Type="http://schemas.openxmlformats.org/officeDocument/2006/relationships/header" Target="header363.xml"/><Relationship Id="rId742" Type="http://schemas.openxmlformats.org/officeDocument/2006/relationships/footer" Target="footer363.xml"/><Relationship Id="rId743" Type="http://schemas.openxmlformats.org/officeDocument/2006/relationships/header" Target="header364.xml"/><Relationship Id="rId744" Type="http://schemas.openxmlformats.org/officeDocument/2006/relationships/footer" Target="footer364.xml"/><Relationship Id="rId745" Type="http://schemas.openxmlformats.org/officeDocument/2006/relationships/header" Target="header365.xml"/><Relationship Id="rId746" Type="http://schemas.openxmlformats.org/officeDocument/2006/relationships/footer" Target="footer365.xml"/><Relationship Id="rId747" Type="http://schemas.openxmlformats.org/officeDocument/2006/relationships/header" Target="header366.xml"/><Relationship Id="rId748" Type="http://schemas.openxmlformats.org/officeDocument/2006/relationships/footer" Target="footer366.xml"/><Relationship Id="rId749" Type="http://schemas.openxmlformats.org/officeDocument/2006/relationships/header" Target="header367.xml"/><Relationship Id="rId750" Type="http://schemas.openxmlformats.org/officeDocument/2006/relationships/footer" Target="footer367.xml"/><Relationship Id="rId751" Type="http://schemas.openxmlformats.org/officeDocument/2006/relationships/header" Target="header368.xml"/><Relationship Id="rId752" Type="http://schemas.openxmlformats.org/officeDocument/2006/relationships/footer" Target="footer368.xml"/><Relationship Id="rId753" Type="http://schemas.openxmlformats.org/officeDocument/2006/relationships/header" Target="header369.xml"/><Relationship Id="rId754" Type="http://schemas.openxmlformats.org/officeDocument/2006/relationships/footer" Target="footer369.xml"/><Relationship Id="rId755" Type="http://schemas.openxmlformats.org/officeDocument/2006/relationships/header" Target="header370.xml"/><Relationship Id="rId756" Type="http://schemas.openxmlformats.org/officeDocument/2006/relationships/footer" Target="footer370.xml"/><Relationship Id="rId757" Type="http://schemas.openxmlformats.org/officeDocument/2006/relationships/header" Target="header371.xml"/><Relationship Id="rId758" Type="http://schemas.openxmlformats.org/officeDocument/2006/relationships/footer" Target="footer371.xml"/><Relationship Id="rId759" Type="http://schemas.openxmlformats.org/officeDocument/2006/relationships/header" Target="header372.xml"/><Relationship Id="rId760" Type="http://schemas.openxmlformats.org/officeDocument/2006/relationships/footer" Target="footer372.xml"/><Relationship Id="rId761" Type="http://schemas.openxmlformats.org/officeDocument/2006/relationships/header" Target="header373.xml"/><Relationship Id="rId762" Type="http://schemas.openxmlformats.org/officeDocument/2006/relationships/footer" Target="footer373.xml"/><Relationship Id="rId763" Type="http://schemas.openxmlformats.org/officeDocument/2006/relationships/header" Target="header374.xml"/><Relationship Id="rId764" Type="http://schemas.openxmlformats.org/officeDocument/2006/relationships/footer" Target="footer374.xml"/><Relationship Id="rId765" Type="http://schemas.openxmlformats.org/officeDocument/2006/relationships/header" Target="header375.xml"/><Relationship Id="rId766" Type="http://schemas.openxmlformats.org/officeDocument/2006/relationships/footer" Target="footer375.xml"/><Relationship Id="rId767" Type="http://schemas.openxmlformats.org/officeDocument/2006/relationships/header" Target="header376.xml"/><Relationship Id="rId768" Type="http://schemas.openxmlformats.org/officeDocument/2006/relationships/footer" Target="footer376.xml"/><Relationship Id="rId769" Type="http://schemas.openxmlformats.org/officeDocument/2006/relationships/header" Target="header377.xml"/><Relationship Id="rId770" Type="http://schemas.openxmlformats.org/officeDocument/2006/relationships/footer" Target="footer377.xml"/><Relationship Id="rId771" Type="http://schemas.openxmlformats.org/officeDocument/2006/relationships/header" Target="header378.xml"/><Relationship Id="rId772" Type="http://schemas.openxmlformats.org/officeDocument/2006/relationships/footer" Target="footer378.xml"/><Relationship Id="rId773" Type="http://schemas.openxmlformats.org/officeDocument/2006/relationships/header" Target="header379.xml"/><Relationship Id="rId774" Type="http://schemas.openxmlformats.org/officeDocument/2006/relationships/footer" Target="footer379.xml"/><Relationship Id="rId775" Type="http://schemas.openxmlformats.org/officeDocument/2006/relationships/header" Target="header380.xml"/><Relationship Id="rId776" Type="http://schemas.openxmlformats.org/officeDocument/2006/relationships/footer" Target="footer380.xml"/><Relationship Id="rId777" Type="http://schemas.openxmlformats.org/officeDocument/2006/relationships/header" Target="header381.xml"/><Relationship Id="rId778" Type="http://schemas.openxmlformats.org/officeDocument/2006/relationships/footer" Target="footer381.xml"/><Relationship Id="rId779" Type="http://schemas.openxmlformats.org/officeDocument/2006/relationships/header" Target="header382.xml"/><Relationship Id="rId780" Type="http://schemas.openxmlformats.org/officeDocument/2006/relationships/footer" Target="footer382.xml"/><Relationship Id="rId781" Type="http://schemas.openxmlformats.org/officeDocument/2006/relationships/header" Target="header383.xml"/><Relationship Id="rId782" Type="http://schemas.openxmlformats.org/officeDocument/2006/relationships/footer" Target="footer383.xml"/><Relationship Id="rId783" Type="http://schemas.openxmlformats.org/officeDocument/2006/relationships/header" Target="header384.xml"/><Relationship Id="rId784" Type="http://schemas.openxmlformats.org/officeDocument/2006/relationships/footer" Target="footer384.xml"/><Relationship Id="rId785" Type="http://schemas.openxmlformats.org/officeDocument/2006/relationships/header" Target="header385.xml"/><Relationship Id="rId786" Type="http://schemas.openxmlformats.org/officeDocument/2006/relationships/footer" Target="footer385.xml"/><Relationship Id="rId787" Type="http://schemas.openxmlformats.org/officeDocument/2006/relationships/header" Target="header386.xml"/><Relationship Id="rId788" Type="http://schemas.openxmlformats.org/officeDocument/2006/relationships/footer" Target="footer386.xml"/><Relationship Id="rId789" Type="http://schemas.openxmlformats.org/officeDocument/2006/relationships/header" Target="header387.xml"/><Relationship Id="rId790" Type="http://schemas.openxmlformats.org/officeDocument/2006/relationships/footer" Target="footer387.xml"/><Relationship Id="rId791" Type="http://schemas.openxmlformats.org/officeDocument/2006/relationships/header" Target="header388.xml"/><Relationship Id="rId792" Type="http://schemas.openxmlformats.org/officeDocument/2006/relationships/footer" Target="footer388.xml"/><Relationship Id="rId793" Type="http://schemas.openxmlformats.org/officeDocument/2006/relationships/header" Target="header389.xml"/><Relationship Id="rId794" Type="http://schemas.openxmlformats.org/officeDocument/2006/relationships/footer" Target="footer389.xml"/><Relationship Id="rId795" Type="http://schemas.openxmlformats.org/officeDocument/2006/relationships/header" Target="header390.xml"/><Relationship Id="rId796" Type="http://schemas.openxmlformats.org/officeDocument/2006/relationships/footer" Target="footer390.xml"/><Relationship Id="rId797" Type="http://schemas.openxmlformats.org/officeDocument/2006/relationships/header" Target="header391.xml"/><Relationship Id="rId798" Type="http://schemas.openxmlformats.org/officeDocument/2006/relationships/footer" Target="footer391.xml"/><Relationship Id="rId799" Type="http://schemas.openxmlformats.org/officeDocument/2006/relationships/header" Target="header392.xml"/><Relationship Id="rId800" Type="http://schemas.openxmlformats.org/officeDocument/2006/relationships/footer" Target="footer392.xml"/><Relationship Id="rId801" Type="http://schemas.openxmlformats.org/officeDocument/2006/relationships/header" Target="header393.xml"/><Relationship Id="rId802" Type="http://schemas.openxmlformats.org/officeDocument/2006/relationships/footer" Target="footer393.xml"/><Relationship Id="rId803" Type="http://schemas.openxmlformats.org/officeDocument/2006/relationships/header" Target="header394.xml"/><Relationship Id="rId804" Type="http://schemas.openxmlformats.org/officeDocument/2006/relationships/footer" Target="footer394.xml"/><Relationship Id="rId805" Type="http://schemas.openxmlformats.org/officeDocument/2006/relationships/header" Target="header395.xml"/><Relationship Id="rId806" Type="http://schemas.openxmlformats.org/officeDocument/2006/relationships/footer" Target="footer395.xml"/><Relationship Id="rId807" Type="http://schemas.openxmlformats.org/officeDocument/2006/relationships/header" Target="header396.xml"/><Relationship Id="rId808" Type="http://schemas.openxmlformats.org/officeDocument/2006/relationships/footer" Target="footer396.xml"/><Relationship Id="rId809" Type="http://schemas.openxmlformats.org/officeDocument/2006/relationships/header" Target="header397.xml"/><Relationship Id="rId810" Type="http://schemas.openxmlformats.org/officeDocument/2006/relationships/footer" Target="footer397.xml"/><Relationship Id="rId811" Type="http://schemas.openxmlformats.org/officeDocument/2006/relationships/header" Target="header398.xml"/><Relationship Id="rId812" Type="http://schemas.openxmlformats.org/officeDocument/2006/relationships/footer" Target="footer398.xml"/><Relationship Id="rId813" Type="http://schemas.openxmlformats.org/officeDocument/2006/relationships/header" Target="header399.xml"/><Relationship Id="rId814" Type="http://schemas.openxmlformats.org/officeDocument/2006/relationships/footer" Target="footer399.xml"/><Relationship Id="rId815" Type="http://schemas.openxmlformats.org/officeDocument/2006/relationships/header" Target="header400.xml"/><Relationship Id="rId816" Type="http://schemas.openxmlformats.org/officeDocument/2006/relationships/footer" Target="footer400.xml"/><Relationship Id="rId817" Type="http://schemas.openxmlformats.org/officeDocument/2006/relationships/header" Target="header401.xml"/><Relationship Id="rId818" Type="http://schemas.openxmlformats.org/officeDocument/2006/relationships/footer" Target="footer401.xml"/><Relationship Id="rId819" Type="http://schemas.openxmlformats.org/officeDocument/2006/relationships/header" Target="header402.xml"/><Relationship Id="rId820" Type="http://schemas.openxmlformats.org/officeDocument/2006/relationships/footer" Target="footer402.xml"/><Relationship Id="rId821" Type="http://schemas.openxmlformats.org/officeDocument/2006/relationships/header" Target="header403.xml"/><Relationship Id="rId822" Type="http://schemas.openxmlformats.org/officeDocument/2006/relationships/footer" Target="footer403.xml"/><Relationship Id="rId823" Type="http://schemas.openxmlformats.org/officeDocument/2006/relationships/header" Target="header404.xml"/><Relationship Id="rId824" Type="http://schemas.openxmlformats.org/officeDocument/2006/relationships/footer" Target="footer404.xml"/><Relationship Id="rId825" Type="http://schemas.openxmlformats.org/officeDocument/2006/relationships/header" Target="header405.xml"/><Relationship Id="rId826" Type="http://schemas.openxmlformats.org/officeDocument/2006/relationships/footer" Target="footer405.xml"/><Relationship Id="rId827" Type="http://schemas.openxmlformats.org/officeDocument/2006/relationships/header" Target="header406.xml"/><Relationship Id="rId828" Type="http://schemas.openxmlformats.org/officeDocument/2006/relationships/footer" Target="footer406.xml"/><Relationship Id="rId829" Type="http://schemas.openxmlformats.org/officeDocument/2006/relationships/header" Target="header407.xml"/><Relationship Id="rId830" Type="http://schemas.openxmlformats.org/officeDocument/2006/relationships/footer" Target="footer407.xml"/><Relationship Id="rId831" Type="http://schemas.openxmlformats.org/officeDocument/2006/relationships/header" Target="header408.xml"/><Relationship Id="rId832" Type="http://schemas.openxmlformats.org/officeDocument/2006/relationships/footer" Target="footer408.xml"/><Relationship Id="rId833" Type="http://schemas.openxmlformats.org/officeDocument/2006/relationships/header" Target="header409.xml"/><Relationship Id="rId834" Type="http://schemas.openxmlformats.org/officeDocument/2006/relationships/footer" Target="footer409.xml"/><Relationship Id="rId835" Type="http://schemas.openxmlformats.org/officeDocument/2006/relationships/header" Target="header410.xml"/><Relationship Id="rId836" Type="http://schemas.openxmlformats.org/officeDocument/2006/relationships/footer" Target="footer410.xml"/><Relationship Id="rId837" Type="http://schemas.openxmlformats.org/officeDocument/2006/relationships/header" Target="header411.xml"/><Relationship Id="rId838" Type="http://schemas.openxmlformats.org/officeDocument/2006/relationships/footer" Target="footer411.xml"/><Relationship Id="rId839" Type="http://schemas.openxmlformats.org/officeDocument/2006/relationships/header" Target="header412.xml"/><Relationship Id="rId840" Type="http://schemas.openxmlformats.org/officeDocument/2006/relationships/footer" Target="footer412.xml"/><Relationship Id="rId841" Type="http://schemas.openxmlformats.org/officeDocument/2006/relationships/header" Target="header413.xml"/><Relationship Id="rId842" Type="http://schemas.openxmlformats.org/officeDocument/2006/relationships/footer" Target="footer413.xml"/><Relationship Id="rId843" Type="http://schemas.openxmlformats.org/officeDocument/2006/relationships/header" Target="header414.xml"/><Relationship Id="rId844" Type="http://schemas.openxmlformats.org/officeDocument/2006/relationships/footer" Target="footer414.xml"/><Relationship Id="rId845" Type="http://schemas.openxmlformats.org/officeDocument/2006/relationships/header" Target="header415.xml"/><Relationship Id="rId846" Type="http://schemas.openxmlformats.org/officeDocument/2006/relationships/footer" Target="footer415.xml"/><Relationship Id="rId847" Type="http://schemas.openxmlformats.org/officeDocument/2006/relationships/header" Target="header416.xml"/><Relationship Id="rId848" Type="http://schemas.openxmlformats.org/officeDocument/2006/relationships/footer" Target="footer416.xml"/><Relationship Id="rId849" Type="http://schemas.openxmlformats.org/officeDocument/2006/relationships/header" Target="header417.xml"/><Relationship Id="rId850" Type="http://schemas.openxmlformats.org/officeDocument/2006/relationships/footer" Target="footer417.xml"/><Relationship Id="rId851" Type="http://schemas.openxmlformats.org/officeDocument/2006/relationships/header" Target="header418.xml"/><Relationship Id="rId852" Type="http://schemas.openxmlformats.org/officeDocument/2006/relationships/footer" Target="footer418.xml"/><Relationship Id="rId853" Type="http://schemas.openxmlformats.org/officeDocument/2006/relationships/header" Target="header419.xml"/><Relationship Id="rId854" Type="http://schemas.openxmlformats.org/officeDocument/2006/relationships/footer" Target="footer419.xml"/><Relationship Id="rId855" Type="http://schemas.openxmlformats.org/officeDocument/2006/relationships/header" Target="header420.xml"/><Relationship Id="rId856" Type="http://schemas.openxmlformats.org/officeDocument/2006/relationships/footer" Target="footer420.xml"/><Relationship Id="rId857" Type="http://schemas.openxmlformats.org/officeDocument/2006/relationships/header" Target="header421.xml"/><Relationship Id="rId858" Type="http://schemas.openxmlformats.org/officeDocument/2006/relationships/footer" Target="footer421.xml"/><Relationship Id="rId859" Type="http://schemas.openxmlformats.org/officeDocument/2006/relationships/header" Target="header422.xml"/><Relationship Id="rId860" Type="http://schemas.openxmlformats.org/officeDocument/2006/relationships/footer" Target="footer422.xml"/><Relationship Id="rId861" Type="http://schemas.openxmlformats.org/officeDocument/2006/relationships/header" Target="header423.xml"/><Relationship Id="rId862" Type="http://schemas.openxmlformats.org/officeDocument/2006/relationships/footer" Target="footer423.xml"/><Relationship Id="rId863" Type="http://schemas.openxmlformats.org/officeDocument/2006/relationships/header" Target="header424.xml"/><Relationship Id="rId864" Type="http://schemas.openxmlformats.org/officeDocument/2006/relationships/footer" Target="footer424.xml"/><Relationship Id="rId865" Type="http://schemas.openxmlformats.org/officeDocument/2006/relationships/header" Target="header425.xml"/><Relationship Id="rId866" Type="http://schemas.openxmlformats.org/officeDocument/2006/relationships/footer" Target="footer425.xml"/><Relationship Id="rId867" Type="http://schemas.openxmlformats.org/officeDocument/2006/relationships/header" Target="header426.xml"/><Relationship Id="rId868" Type="http://schemas.openxmlformats.org/officeDocument/2006/relationships/footer" Target="footer426.xml"/><Relationship Id="rId869" Type="http://schemas.openxmlformats.org/officeDocument/2006/relationships/header" Target="header427.xml"/><Relationship Id="rId870" Type="http://schemas.openxmlformats.org/officeDocument/2006/relationships/footer" Target="footer427.xml"/><Relationship Id="rId871" Type="http://schemas.openxmlformats.org/officeDocument/2006/relationships/header" Target="header428.xml"/><Relationship Id="rId872" Type="http://schemas.openxmlformats.org/officeDocument/2006/relationships/footer" Target="footer428.xml"/><Relationship Id="rId873" Type="http://schemas.openxmlformats.org/officeDocument/2006/relationships/header" Target="header429.xml"/><Relationship Id="rId874" Type="http://schemas.openxmlformats.org/officeDocument/2006/relationships/footer" Target="footer429.xml"/><Relationship Id="rId875" Type="http://schemas.openxmlformats.org/officeDocument/2006/relationships/header" Target="header430.xml"/><Relationship Id="rId876" Type="http://schemas.openxmlformats.org/officeDocument/2006/relationships/footer" Target="footer430.xml"/><Relationship Id="rId877" Type="http://schemas.openxmlformats.org/officeDocument/2006/relationships/header" Target="header431.xml"/><Relationship Id="rId878" Type="http://schemas.openxmlformats.org/officeDocument/2006/relationships/footer" Target="footer431.xml"/><Relationship Id="rId879" Type="http://schemas.openxmlformats.org/officeDocument/2006/relationships/header" Target="header432.xml"/><Relationship Id="rId880" Type="http://schemas.openxmlformats.org/officeDocument/2006/relationships/footer" Target="footer432.xml"/><Relationship Id="rId881" Type="http://schemas.openxmlformats.org/officeDocument/2006/relationships/header" Target="header433.xml"/><Relationship Id="rId882" Type="http://schemas.openxmlformats.org/officeDocument/2006/relationships/footer" Target="footer433.xml"/><Relationship Id="rId883" Type="http://schemas.openxmlformats.org/officeDocument/2006/relationships/header" Target="header434.xml"/><Relationship Id="rId884" Type="http://schemas.openxmlformats.org/officeDocument/2006/relationships/footer" Target="footer434.xml"/><Relationship Id="rId885" Type="http://schemas.openxmlformats.org/officeDocument/2006/relationships/header" Target="header435.xml"/><Relationship Id="rId886" Type="http://schemas.openxmlformats.org/officeDocument/2006/relationships/footer" Target="footer435.xml"/><Relationship Id="rId887" Type="http://schemas.openxmlformats.org/officeDocument/2006/relationships/header" Target="header436.xml"/><Relationship Id="rId888" Type="http://schemas.openxmlformats.org/officeDocument/2006/relationships/footer" Target="footer436.xml"/><Relationship Id="rId889" Type="http://schemas.openxmlformats.org/officeDocument/2006/relationships/header" Target="header437.xml"/><Relationship Id="rId890" Type="http://schemas.openxmlformats.org/officeDocument/2006/relationships/footer" Target="footer437.xml"/><Relationship Id="rId891" Type="http://schemas.openxmlformats.org/officeDocument/2006/relationships/header" Target="header438.xml"/><Relationship Id="rId892" Type="http://schemas.openxmlformats.org/officeDocument/2006/relationships/footer" Target="footer438.xml"/><Relationship Id="rId893" Type="http://schemas.openxmlformats.org/officeDocument/2006/relationships/header" Target="header439.xml"/><Relationship Id="rId894" Type="http://schemas.openxmlformats.org/officeDocument/2006/relationships/footer" Target="footer439.xml"/><Relationship Id="rId895" Type="http://schemas.openxmlformats.org/officeDocument/2006/relationships/header" Target="header440.xml"/><Relationship Id="rId896" Type="http://schemas.openxmlformats.org/officeDocument/2006/relationships/footer" Target="footer440.xml"/><Relationship Id="rId897" Type="http://schemas.openxmlformats.org/officeDocument/2006/relationships/header" Target="header441.xml"/><Relationship Id="rId898" Type="http://schemas.openxmlformats.org/officeDocument/2006/relationships/footer" Target="footer441.xml"/><Relationship Id="rId899" Type="http://schemas.openxmlformats.org/officeDocument/2006/relationships/header" Target="header442.xml"/><Relationship Id="rId900" Type="http://schemas.openxmlformats.org/officeDocument/2006/relationships/footer" Target="footer442.xml"/><Relationship Id="rId901" Type="http://schemas.openxmlformats.org/officeDocument/2006/relationships/header" Target="header443.xml"/><Relationship Id="rId902" Type="http://schemas.openxmlformats.org/officeDocument/2006/relationships/footer" Target="footer443.xml"/><Relationship Id="rId903" Type="http://schemas.openxmlformats.org/officeDocument/2006/relationships/header" Target="header444.xml"/><Relationship Id="rId904" Type="http://schemas.openxmlformats.org/officeDocument/2006/relationships/footer" Target="footer444.xml"/><Relationship Id="rId905" Type="http://schemas.openxmlformats.org/officeDocument/2006/relationships/header" Target="header445.xml"/><Relationship Id="rId906" Type="http://schemas.openxmlformats.org/officeDocument/2006/relationships/footer" Target="footer445.xml"/><Relationship Id="rId907" Type="http://schemas.openxmlformats.org/officeDocument/2006/relationships/header" Target="header446.xml"/><Relationship Id="rId908" Type="http://schemas.openxmlformats.org/officeDocument/2006/relationships/footer" Target="footer446.xml"/><Relationship Id="rId909" Type="http://schemas.openxmlformats.org/officeDocument/2006/relationships/header" Target="header447.xml"/><Relationship Id="rId910" Type="http://schemas.openxmlformats.org/officeDocument/2006/relationships/footer" Target="footer447.xml"/><Relationship Id="rId911" Type="http://schemas.openxmlformats.org/officeDocument/2006/relationships/header" Target="header448.xml"/><Relationship Id="rId912" Type="http://schemas.openxmlformats.org/officeDocument/2006/relationships/footer" Target="footer448.xml"/><Relationship Id="rId913" Type="http://schemas.openxmlformats.org/officeDocument/2006/relationships/header" Target="header449.xml"/><Relationship Id="rId914" Type="http://schemas.openxmlformats.org/officeDocument/2006/relationships/footer" Target="footer449.xml"/><Relationship Id="rId915" Type="http://schemas.openxmlformats.org/officeDocument/2006/relationships/header" Target="header450.xml"/><Relationship Id="rId916" Type="http://schemas.openxmlformats.org/officeDocument/2006/relationships/footer" Target="footer450.xml"/><Relationship Id="rId917" Type="http://schemas.openxmlformats.org/officeDocument/2006/relationships/header" Target="header451.xml"/><Relationship Id="rId918" Type="http://schemas.openxmlformats.org/officeDocument/2006/relationships/footer" Target="footer451.xml"/><Relationship Id="rId919" Type="http://schemas.openxmlformats.org/officeDocument/2006/relationships/header" Target="header452.xml"/><Relationship Id="rId920" Type="http://schemas.openxmlformats.org/officeDocument/2006/relationships/footer" Target="footer452.xml"/><Relationship Id="rId921" Type="http://schemas.openxmlformats.org/officeDocument/2006/relationships/header" Target="header453.xml"/><Relationship Id="rId922" Type="http://schemas.openxmlformats.org/officeDocument/2006/relationships/footer" Target="footer453.xml"/><Relationship Id="rId923" Type="http://schemas.openxmlformats.org/officeDocument/2006/relationships/header" Target="header454.xml"/><Relationship Id="rId924" Type="http://schemas.openxmlformats.org/officeDocument/2006/relationships/footer" Target="footer454.xml"/><Relationship Id="rId925" Type="http://schemas.openxmlformats.org/officeDocument/2006/relationships/header" Target="header455.xml"/><Relationship Id="rId926" Type="http://schemas.openxmlformats.org/officeDocument/2006/relationships/footer" Target="footer455.xml"/><Relationship Id="rId927" Type="http://schemas.openxmlformats.org/officeDocument/2006/relationships/header" Target="header456.xml"/><Relationship Id="rId928" Type="http://schemas.openxmlformats.org/officeDocument/2006/relationships/footer" Target="footer456.xml"/><Relationship Id="rId929" Type="http://schemas.openxmlformats.org/officeDocument/2006/relationships/header" Target="header457.xml"/><Relationship Id="rId930" Type="http://schemas.openxmlformats.org/officeDocument/2006/relationships/footer" Target="footer457.xml"/><Relationship Id="rId931" Type="http://schemas.openxmlformats.org/officeDocument/2006/relationships/header" Target="header458.xml"/><Relationship Id="rId932" Type="http://schemas.openxmlformats.org/officeDocument/2006/relationships/footer" Target="footer458.xml"/><Relationship Id="rId933" Type="http://schemas.openxmlformats.org/officeDocument/2006/relationships/header" Target="header459.xml"/><Relationship Id="rId934" Type="http://schemas.openxmlformats.org/officeDocument/2006/relationships/footer" Target="footer459.xml"/><Relationship Id="rId935" Type="http://schemas.openxmlformats.org/officeDocument/2006/relationships/header" Target="header460.xml"/><Relationship Id="rId936" Type="http://schemas.openxmlformats.org/officeDocument/2006/relationships/footer" Target="footer460.xml"/><Relationship Id="rId937" Type="http://schemas.openxmlformats.org/officeDocument/2006/relationships/header" Target="header461.xml"/><Relationship Id="rId938" Type="http://schemas.openxmlformats.org/officeDocument/2006/relationships/footer" Target="footer461.xml"/><Relationship Id="rId939" Type="http://schemas.openxmlformats.org/officeDocument/2006/relationships/header" Target="header462.xml"/><Relationship Id="rId940" Type="http://schemas.openxmlformats.org/officeDocument/2006/relationships/footer" Target="footer462.xml"/><Relationship Id="rId941" Type="http://schemas.openxmlformats.org/officeDocument/2006/relationships/header" Target="header463.xml"/><Relationship Id="rId942" Type="http://schemas.openxmlformats.org/officeDocument/2006/relationships/footer" Target="footer463.xml"/><Relationship Id="rId943" Type="http://schemas.openxmlformats.org/officeDocument/2006/relationships/header" Target="header464.xml"/><Relationship Id="rId944" Type="http://schemas.openxmlformats.org/officeDocument/2006/relationships/footer" Target="footer464.xml"/><Relationship Id="rId945" Type="http://schemas.openxmlformats.org/officeDocument/2006/relationships/header" Target="header465.xml"/><Relationship Id="rId946" Type="http://schemas.openxmlformats.org/officeDocument/2006/relationships/footer" Target="footer465.xml"/><Relationship Id="rId947" Type="http://schemas.openxmlformats.org/officeDocument/2006/relationships/header" Target="header466.xml"/><Relationship Id="rId948" Type="http://schemas.openxmlformats.org/officeDocument/2006/relationships/footer" Target="footer466.xml"/><Relationship Id="rId949" Type="http://schemas.openxmlformats.org/officeDocument/2006/relationships/header" Target="header467.xml"/><Relationship Id="rId950" Type="http://schemas.openxmlformats.org/officeDocument/2006/relationships/footer" Target="footer467.xml"/><Relationship Id="rId951" Type="http://schemas.openxmlformats.org/officeDocument/2006/relationships/header" Target="header468.xml"/><Relationship Id="rId952" Type="http://schemas.openxmlformats.org/officeDocument/2006/relationships/footer" Target="footer468.xml"/><Relationship Id="rId953" Type="http://schemas.openxmlformats.org/officeDocument/2006/relationships/header" Target="header469.xml"/><Relationship Id="rId954" Type="http://schemas.openxmlformats.org/officeDocument/2006/relationships/footer" Target="footer469.xml"/><Relationship Id="rId955" Type="http://schemas.openxmlformats.org/officeDocument/2006/relationships/header" Target="header470.xml"/><Relationship Id="rId956" Type="http://schemas.openxmlformats.org/officeDocument/2006/relationships/footer" Target="footer470.xml"/><Relationship Id="rId957" Type="http://schemas.openxmlformats.org/officeDocument/2006/relationships/header" Target="header471.xml"/><Relationship Id="rId958" Type="http://schemas.openxmlformats.org/officeDocument/2006/relationships/footer" Target="footer471.xml"/><Relationship Id="rId959" Type="http://schemas.openxmlformats.org/officeDocument/2006/relationships/header" Target="header472.xml"/><Relationship Id="rId960" Type="http://schemas.openxmlformats.org/officeDocument/2006/relationships/footer" Target="footer472.xml"/><Relationship Id="rId961" Type="http://schemas.openxmlformats.org/officeDocument/2006/relationships/header" Target="header473.xml"/><Relationship Id="rId962" Type="http://schemas.openxmlformats.org/officeDocument/2006/relationships/footer" Target="footer473.xml"/><Relationship Id="rId963" Type="http://schemas.openxmlformats.org/officeDocument/2006/relationships/header" Target="header474.xml"/><Relationship Id="rId964" Type="http://schemas.openxmlformats.org/officeDocument/2006/relationships/footer" Target="footer474.xml"/><Relationship Id="rId965" Type="http://schemas.openxmlformats.org/officeDocument/2006/relationships/header" Target="header475.xml"/><Relationship Id="rId966" Type="http://schemas.openxmlformats.org/officeDocument/2006/relationships/footer" Target="footer475.xml"/><Relationship Id="rId967" Type="http://schemas.openxmlformats.org/officeDocument/2006/relationships/header" Target="header476.xml"/><Relationship Id="rId968" Type="http://schemas.openxmlformats.org/officeDocument/2006/relationships/footer" Target="footer476.xml"/><Relationship Id="rId969" Type="http://schemas.openxmlformats.org/officeDocument/2006/relationships/header" Target="header477.xml"/><Relationship Id="rId970" Type="http://schemas.openxmlformats.org/officeDocument/2006/relationships/footer" Target="footer477.xml"/><Relationship Id="rId971" Type="http://schemas.openxmlformats.org/officeDocument/2006/relationships/header" Target="header478.xml"/><Relationship Id="rId972" Type="http://schemas.openxmlformats.org/officeDocument/2006/relationships/footer" Target="footer478.xml"/><Relationship Id="rId973" Type="http://schemas.openxmlformats.org/officeDocument/2006/relationships/header" Target="header479.xml"/><Relationship Id="rId974" Type="http://schemas.openxmlformats.org/officeDocument/2006/relationships/footer" Target="footer479.xml"/><Relationship Id="rId975" Type="http://schemas.openxmlformats.org/officeDocument/2006/relationships/header" Target="header480.xml"/><Relationship Id="rId976" Type="http://schemas.openxmlformats.org/officeDocument/2006/relationships/footer" Target="footer480.xml"/><Relationship Id="rId977" Type="http://schemas.openxmlformats.org/officeDocument/2006/relationships/header" Target="header481.xml"/><Relationship Id="rId978" Type="http://schemas.openxmlformats.org/officeDocument/2006/relationships/footer" Target="footer481.xml"/><Relationship Id="rId979" Type="http://schemas.openxmlformats.org/officeDocument/2006/relationships/header" Target="header482.xml"/><Relationship Id="rId980" Type="http://schemas.openxmlformats.org/officeDocument/2006/relationships/footer" Target="footer482.xml"/><Relationship Id="rId981" Type="http://schemas.openxmlformats.org/officeDocument/2006/relationships/header" Target="header483.xml"/><Relationship Id="rId982" Type="http://schemas.openxmlformats.org/officeDocument/2006/relationships/footer" Target="footer483.xml"/><Relationship Id="rId983" Type="http://schemas.openxmlformats.org/officeDocument/2006/relationships/header" Target="header484.xml"/><Relationship Id="rId984" Type="http://schemas.openxmlformats.org/officeDocument/2006/relationships/footer" Target="footer484.xml"/><Relationship Id="rId985" Type="http://schemas.openxmlformats.org/officeDocument/2006/relationships/header" Target="header485.xml"/><Relationship Id="rId986" Type="http://schemas.openxmlformats.org/officeDocument/2006/relationships/footer" Target="footer485.xml"/><Relationship Id="rId987" Type="http://schemas.openxmlformats.org/officeDocument/2006/relationships/header" Target="header486.xml"/><Relationship Id="rId988" Type="http://schemas.openxmlformats.org/officeDocument/2006/relationships/footer" Target="footer486.xml"/><Relationship Id="rId989" Type="http://schemas.openxmlformats.org/officeDocument/2006/relationships/header" Target="header487.xml"/><Relationship Id="rId990" Type="http://schemas.openxmlformats.org/officeDocument/2006/relationships/footer" Target="footer487.xml"/><Relationship Id="rId991" Type="http://schemas.openxmlformats.org/officeDocument/2006/relationships/header" Target="header488.xml"/><Relationship Id="rId992" Type="http://schemas.openxmlformats.org/officeDocument/2006/relationships/footer" Target="footer488.xml"/><Relationship Id="rId993" Type="http://schemas.openxmlformats.org/officeDocument/2006/relationships/header" Target="header489.xml"/><Relationship Id="rId994" Type="http://schemas.openxmlformats.org/officeDocument/2006/relationships/footer" Target="footer489.xml"/><Relationship Id="rId995" Type="http://schemas.openxmlformats.org/officeDocument/2006/relationships/header" Target="header490.xml"/><Relationship Id="rId996" Type="http://schemas.openxmlformats.org/officeDocument/2006/relationships/footer" Target="footer490.xml"/><Relationship Id="rId997" Type="http://schemas.openxmlformats.org/officeDocument/2006/relationships/header" Target="header491.xml"/><Relationship Id="rId998" Type="http://schemas.openxmlformats.org/officeDocument/2006/relationships/footer" Target="footer491.xml"/><Relationship Id="rId999" Type="http://schemas.openxmlformats.org/officeDocument/2006/relationships/header" Target="header492.xml"/><Relationship Id="rId1000" Type="http://schemas.openxmlformats.org/officeDocument/2006/relationships/footer" Target="footer492.xml"/><Relationship Id="rId1001" Type="http://schemas.openxmlformats.org/officeDocument/2006/relationships/header" Target="header493.xml"/><Relationship Id="rId1002" Type="http://schemas.openxmlformats.org/officeDocument/2006/relationships/footer" Target="footer493.xml"/><Relationship Id="rId1003" Type="http://schemas.openxmlformats.org/officeDocument/2006/relationships/header" Target="header494.xml"/><Relationship Id="rId1004" Type="http://schemas.openxmlformats.org/officeDocument/2006/relationships/footer" Target="footer494.xml"/><Relationship Id="rId1005" Type="http://schemas.openxmlformats.org/officeDocument/2006/relationships/header" Target="header495.xml"/><Relationship Id="rId1006" Type="http://schemas.openxmlformats.org/officeDocument/2006/relationships/footer" Target="footer495.xml"/><Relationship Id="rId1007" Type="http://schemas.openxmlformats.org/officeDocument/2006/relationships/header" Target="header496.xml"/><Relationship Id="rId1008" Type="http://schemas.openxmlformats.org/officeDocument/2006/relationships/footer" Target="footer496.xml"/><Relationship Id="rId1009" Type="http://schemas.openxmlformats.org/officeDocument/2006/relationships/header" Target="header497.xml"/><Relationship Id="rId1010" Type="http://schemas.openxmlformats.org/officeDocument/2006/relationships/footer" Target="footer497.xml"/><Relationship Id="rId1011" Type="http://schemas.openxmlformats.org/officeDocument/2006/relationships/header" Target="header498.xml"/><Relationship Id="rId1012" Type="http://schemas.openxmlformats.org/officeDocument/2006/relationships/footer" Target="footer498.xml"/><Relationship Id="rId1013" Type="http://schemas.openxmlformats.org/officeDocument/2006/relationships/header" Target="header499.xml"/><Relationship Id="rId1014" Type="http://schemas.openxmlformats.org/officeDocument/2006/relationships/footer" Target="footer499.xml"/><Relationship Id="rId1015" Type="http://schemas.openxmlformats.org/officeDocument/2006/relationships/header" Target="header500.xml"/><Relationship Id="rId1016" Type="http://schemas.openxmlformats.org/officeDocument/2006/relationships/footer" Target="footer500.xml"/><Relationship Id="rId1017" Type="http://schemas.openxmlformats.org/officeDocument/2006/relationships/header" Target="header501.xml"/><Relationship Id="rId1018" Type="http://schemas.openxmlformats.org/officeDocument/2006/relationships/footer" Target="footer501.xml"/><Relationship Id="rId1019" Type="http://schemas.openxmlformats.org/officeDocument/2006/relationships/header" Target="header502.xml"/><Relationship Id="rId1020" Type="http://schemas.openxmlformats.org/officeDocument/2006/relationships/footer" Target="footer502.xml"/><Relationship Id="rId1021" Type="http://schemas.openxmlformats.org/officeDocument/2006/relationships/header" Target="header503.xml"/><Relationship Id="rId1022" Type="http://schemas.openxmlformats.org/officeDocument/2006/relationships/footer" Target="footer503.xml"/><Relationship Id="rId1023" Type="http://schemas.openxmlformats.org/officeDocument/2006/relationships/header" Target="header504.xml"/><Relationship Id="rId1024" Type="http://schemas.openxmlformats.org/officeDocument/2006/relationships/footer" Target="footer504.xml"/><Relationship Id="rId1025" Type="http://schemas.openxmlformats.org/officeDocument/2006/relationships/header" Target="header505.xml"/><Relationship Id="rId1026" Type="http://schemas.openxmlformats.org/officeDocument/2006/relationships/footer" Target="footer505.xml"/><Relationship Id="rId1027" Type="http://schemas.openxmlformats.org/officeDocument/2006/relationships/header" Target="header506.xml"/><Relationship Id="rId1028" Type="http://schemas.openxmlformats.org/officeDocument/2006/relationships/footer" Target="footer506.xml"/><Relationship Id="rId1029" Type="http://schemas.openxmlformats.org/officeDocument/2006/relationships/header" Target="header507.xml"/><Relationship Id="rId1030" Type="http://schemas.openxmlformats.org/officeDocument/2006/relationships/footer" Target="footer507.xml"/><Relationship Id="rId1031" Type="http://schemas.openxmlformats.org/officeDocument/2006/relationships/header" Target="header508.xml"/><Relationship Id="rId1032" Type="http://schemas.openxmlformats.org/officeDocument/2006/relationships/footer" Target="footer508.xml"/><Relationship Id="rId1033" Type="http://schemas.openxmlformats.org/officeDocument/2006/relationships/header" Target="header509.xml"/><Relationship Id="rId1034" Type="http://schemas.openxmlformats.org/officeDocument/2006/relationships/footer" Target="footer509.xml"/><Relationship Id="rId1035" Type="http://schemas.openxmlformats.org/officeDocument/2006/relationships/header" Target="header510.xml"/><Relationship Id="rId1036" Type="http://schemas.openxmlformats.org/officeDocument/2006/relationships/footer" Target="footer510.xml"/><Relationship Id="rId1037" Type="http://schemas.openxmlformats.org/officeDocument/2006/relationships/header" Target="header511.xml"/><Relationship Id="rId1038" Type="http://schemas.openxmlformats.org/officeDocument/2006/relationships/footer" Target="footer511.xml"/><Relationship Id="rId1039" Type="http://schemas.openxmlformats.org/officeDocument/2006/relationships/header" Target="header512.xml"/><Relationship Id="rId1040" Type="http://schemas.openxmlformats.org/officeDocument/2006/relationships/footer" Target="footer512.xml"/><Relationship Id="rId1041" Type="http://schemas.openxmlformats.org/officeDocument/2006/relationships/header" Target="header513.xml"/><Relationship Id="rId1042" Type="http://schemas.openxmlformats.org/officeDocument/2006/relationships/footer" Target="footer513.xml"/><Relationship Id="rId1043" Type="http://schemas.openxmlformats.org/officeDocument/2006/relationships/header" Target="header514.xml"/><Relationship Id="rId1044" Type="http://schemas.openxmlformats.org/officeDocument/2006/relationships/footer" Target="footer514.xml"/><Relationship Id="rId1045" Type="http://schemas.openxmlformats.org/officeDocument/2006/relationships/header" Target="header515.xml"/><Relationship Id="rId1046" Type="http://schemas.openxmlformats.org/officeDocument/2006/relationships/footer" Target="footer515.xml"/><Relationship Id="rId1047" Type="http://schemas.openxmlformats.org/officeDocument/2006/relationships/header" Target="header516.xml"/><Relationship Id="rId1048" Type="http://schemas.openxmlformats.org/officeDocument/2006/relationships/footer" Target="footer516.xml"/><Relationship Id="rId1049" Type="http://schemas.openxmlformats.org/officeDocument/2006/relationships/header" Target="header517.xml"/><Relationship Id="rId1050" Type="http://schemas.openxmlformats.org/officeDocument/2006/relationships/footer" Target="footer517.xml"/><Relationship Id="rId1051" Type="http://schemas.openxmlformats.org/officeDocument/2006/relationships/header" Target="header518.xml"/><Relationship Id="rId1052" Type="http://schemas.openxmlformats.org/officeDocument/2006/relationships/footer" Target="footer518.xml"/><Relationship Id="rId1053" Type="http://schemas.openxmlformats.org/officeDocument/2006/relationships/header" Target="header519.xml"/><Relationship Id="rId1054" Type="http://schemas.openxmlformats.org/officeDocument/2006/relationships/footer" Target="footer519.xml"/><Relationship Id="rId1055" Type="http://schemas.openxmlformats.org/officeDocument/2006/relationships/header" Target="header520.xml"/><Relationship Id="rId1056" Type="http://schemas.openxmlformats.org/officeDocument/2006/relationships/footer" Target="footer520.xml"/><Relationship Id="rId1057" Type="http://schemas.openxmlformats.org/officeDocument/2006/relationships/header" Target="header521.xml"/><Relationship Id="rId1058" Type="http://schemas.openxmlformats.org/officeDocument/2006/relationships/footer" Target="footer521.xml"/><Relationship Id="rId1059" Type="http://schemas.openxmlformats.org/officeDocument/2006/relationships/header" Target="header522.xml"/><Relationship Id="rId1060" Type="http://schemas.openxmlformats.org/officeDocument/2006/relationships/footer" Target="footer522.xml"/><Relationship Id="rId1061" Type="http://schemas.openxmlformats.org/officeDocument/2006/relationships/header" Target="header523.xml"/><Relationship Id="rId1062" Type="http://schemas.openxmlformats.org/officeDocument/2006/relationships/footer" Target="footer523.xml"/><Relationship Id="rId1063" Type="http://schemas.openxmlformats.org/officeDocument/2006/relationships/header" Target="header524.xml"/><Relationship Id="rId1064" Type="http://schemas.openxmlformats.org/officeDocument/2006/relationships/footer" Target="footer524.xml"/><Relationship Id="rId1065" Type="http://schemas.openxmlformats.org/officeDocument/2006/relationships/header" Target="header525.xml"/><Relationship Id="rId1066" Type="http://schemas.openxmlformats.org/officeDocument/2006/relationships/footer" Target="footer525.xml"/><Relationship Id="rId1067" Type="http://schemas.openxmlformats.org/officeDocument/2006/relationships/header" Target="header526.xml"/><Relationship Id="rId1068" Type="http://schemas.openxmlformats.org/officeDocument/2006/relationships/footer" Target="footer526.xml"/><Relationship Id="rId1069" Type="http://schemas.openxmlformats.org/officeDocument/2006/relationships/header" Target="header527.xml"/><Relationship Id="rId1070" Type="http://schemas.openxmlformats.org/officeDocument/2006/relationships/footer" Target="footer527.xml"/><Relationship Id="rId1071" Type="http://schemas.openxmlformats.org/officeDocument/2006/relationships/header" Target="header528.xml"/><Relationship Id="rId1072" Type="http://schemas.openxmlformats.org/officeDocument/2006/relationships/footer" Target="footer528.xml"/><Relationship Id="rId1073" Type="http://schemas.openxmlformats.org/officeDocument/2006/relationships/header" Target="header529.xml"/><Relationship Id="rId1074" Type="http://schemas.openxmlformats.org/officeDocument/2006/relationships/footer" Target="footer529.xml"/><Relationship Id="rId1075" Type="http://schemas.openxmlformats.org/officeDocument/2006/relationships/header" Target="header530.xml"/><Relationship Id="rId1076" Type="http://schemas.openxmlformats.org/officeDocument/2006/relationships/footer" Target="footer530.xml"/><Relationship Id="rId1077" Type="http://schemas.openxmlformats.org/officeDocument/2006/relationships/header" Target="header531.xml"/><Relationship Id="rId1078" Type="http://schemas.openxmlformats.org/officeDocument/2006/relationships/footer" Target="footer531.xml"/><Relationship Id="rId1079" Type="http://schemas.openxmlformats.org/officeDocument/2006/relationships/header" Target="header532.xml"/><Relationship Id="rId1080" Type="http://schemas.openxmlformats.org/officeDocument/2006/relationships/footer" Target="footer532.xml"/><Relationship Id="rId1081" Type="http://schemas.openxmlformats.org/officeDocument/2006/relationships/header" Target="header533.xml"/><Relationship Id="rId1082" Type="http://schemas.openxmlformats.org/officeDocument/2006/relationships/footer" Target="footer533.xml"/><Relationship Id="rId1083" Type="http://schemas.openxmlformats.org/officeDocument/2006/relationships/header" Target="header534.xml"/><Relationship Id="rId1084" Type="http://schemas.openxmlformats.org/officeDocument/2006/relationships/footer" Target="footer534.xml"/><Relationship Id="rId1085" Type="http://schemas.openxmlformats.org/officeDocument/2006/relationships/header" Target="header535.xml"/><Relationship Id="rId1086" Type="http://schemas.openxmlformats.org/officeDocument/2006/relationships/footer" Target="footer535.xml"/><Relationship Id="rId1087" Type="http://schemas.openxmlformats.org/officeDocument/2006/relationships/header" Target="header536.xml"/><Relationship Id="rId1088" Type="http://schemas.openxmlformats.org/officeDocument/2006/relationships/footer" Target="footer536.xml"/><Relationship Id="rId1089" Type="http://schemas.openxmlformats.org/officeDocument/2006/relationships/header" Target="header537.xml"/><Relationship Id="rId1090" Type="http://schemas.openxmlformats.org/officeDocument/2006/relationships/footer" Target="footer537.xml"/><Relationship Id="rId1091" Type="http://schemas.openxmlformats.org/officeDocument/2006/relationships/header" Target="header538.xml"/><Relationship Id="rId1092" Type="http://schemas.openxmlformats.org/officeDocument/2006/relationships/footer" Target="footer538.xml"/><Relationship Id="rId1093" Type="http://schemas.openxmlformats.org/officeDocument/2006/relationships/header" Target="header539.xml"/><Relationship Id="rId1094" Type="http://schemas.openxmlformats.org/officeDocument/2006/relationships/footer" Target="footer539.xml"/><Relationship Id="rId1095" Type="http://schemas.openxmlformats.org/officeDocument/2006/relationships/header" Target="header540.xml"/><Relationship Id="rId1096" Type="http://schemas.openxmlformats.org/officeDocument/2006/relationships/footer" Target="footer540.xml"/><Relationship Id="rId1097" Type="http://schemas.openxmlformats.org/officeDocument/2006/relationships/header" Target="header541.xml"/><Relationship Id="rId1098" Type="http://schemas.openxmlformats.org/officeDocument/2006/relationships/footer" Target="footer541.xml"/><Relationship Id="rId1099" Type="http://schemas.openxmlformats.org/officeDocument/2006/relationships/header" Target="header542.xml"/><Relationship Id="rId1100" Type="http://schemas.openxmlformats.org/officeDocument/2006/relationships/footer" Target="footer542.xml"/><Relationship Id="rId1101" Type="http://schemas.openxmlformats.org/officeDocument/2006/relationships/header" Target="header543.xml"/><Relationship Id="rId1102" Type="http://schemas.openxmlformats.org/officeDocument/2006/relationships/footer" Target="footer543.xml"/><Relationship Id="rId1103" Type="http://schemas.openxmlformats.org/officeDocument/2006/relationships/header" Target="header544.xml"/><Relationship Id="rId1104" Type="http://schemas.openxmlformats.org/officeDocument/2006/relationships/footer" Target="footer544.xml"/><Relationship Id="rId1105" Type="http://schemas.openxmlformats.org/officeDocument/2006/relationships/header" Target="header545.xml"/><Relationship Id="rId1106" Type="http://schemas.openxmlformats.org/officeDocument/2006/relationships/footer" Target="footer545.xml"/><Relationship Id="rId1107" Type="http://schemas.openxmlformats.org/officeDocument/2006/relationships/header" Target="header546.xml"/><Relationship Id="rId1108" Type="http://schemas.openxmlformats.org/officeDocument/2006/relationships/footer" Target="footer546.xml"/><Relationship Id="rId1109" Type="http://schemas.openxmlformats.org/officeDocument/2006/relationships/header" Target="header547.xml"/><Relationship Id="rId1110" Type="http://schemas.openxmlformats.org/officeDocument/2006/relationships/footer" Target="footer547.xml"/><Relationship Id="rId1111" Type="http://schemas.openxmlformats.org/officeDocument/2006/relationships/header" Target="header548.xml"/><Relationship Id="rId1112" Type="http://schemas.openxmlformats.org/officeDocument/2006/relationships/footer" Target="footer548.xml"/><Relationship Id="rId1113" Type="http://schemas.openxmlformats.org/officeDocument/2006/relationships/header" Target="header549.xml"/><Relationship Id="rId1114" Type="http://schemas.openxmlformats.org/officeDocument/2006/relationships/footer" Target="footer549.xml"/><Relationship Id="rId1115" Type="http://schemas.openxmlformats.org/officeDocument/2006/relationships/header" Target="header550.xml"/><Relationship Id="rId1116" Type="http://schemas.openxmlformats.org/officeDocument/2006/relationships/footer" Target="footer550.xml"/><Relationship Id="rId1117" Type="http://schemas.openxmlformats.org/officeDocument/2006/relationships/header" Target="header551.xml"/><Relationship Id="rId1118" Type="http://schemas.openxmlformats.org/officeDocument/2006/relationships/footer" Target="footer551.xml"/><Relationship Id="rId1119" Type="http://schemas.openxmlformats.org/officeDocument/2006/relationships/header" Target="header552.xml"/><Relationship Id="rId1120" Type="http://schemas.openxmlformats.org/officeDocument/2006/relationships/footer" Target="footer552.xml"/><Relationship Id="rId1121" Type="http://schemas.openxmlformats.org/officeDocument/2006/relationships/header" Target="header553.xml"/><Relationship Id="rId1122" Type="http://schemas.openxmlformats.org/officeDocument/2006/relationships/footer" Target="footer553.xml"/><Relationship Id="rId1123" Type="http://schemas.openxmlformats.org/officeDocument/2006/relationships/header" Target="header554.xml"/><Relationship Id="rId1124" Type="http://schemas.openxmlformats.org/officeDocument/2006/relationships/footer" Target="footer554.xml"/><Relationship Id="rId1125" Type="http://schemas.openxmlformats.org/officeDocument/2006/relationships/header" Target="header555.xml"/><Relationship Id="rId1126" Type="http://schemas.openxmlformats.org/officeDocument/2006/relationships/footer" Target="footer555.xml"/><Relationship Id="rId1127" Type="http://schemas.openxmlformats.org/officeDocument/2006/relationships/header" Target="header556.xml"/><Relationship Id="rId1128" Type="http://schemas.openxmlformats.org/officeDocument/2006/relationships/footer" Target="footer556.xml"/><Relationship Id="rId1129" Type="http://schemas.openxmlformats.org/officeDocument/2006/relationships/header" Target="header557.xml"/><Relationship Id="rId1130" Type="http://schemas.openxmlformats.org/officeDocument/2006/relationships/footer" Target="footer557.xml"/><Relationship Id="rId1131" Type="http://schemas.openxmlformats.org/officeDocument/2006/relationships/header" Target="header558.xml"/><Relationship Id="rId1132" Type="http://schemas.openxmlformats.org/officeDocument/2006/relationships/footer" Target="footer558.xml"/><Relationship Id="rId1133" Type="http://schemas.openxmlformats.org/officeDocument/2006/relationships/header" Target="header559.xml"/><Relationship Id="rId1134" Type="http://schemas.openxmlformats.org/officeDocument/2006/relationships/footer" Target="footer559.xml"/><Relationship Id="rId1135" Type="http://schemas.openxmlformats.org/officeDocument/2006/relationships/header" Target="header560.xml"/><Relationship Id="rId1136" Type="http://schemas.openxmlformats.org/officeDocument/2006/relationships/footer" Target="footer560.xml"/><Relationship Id="rId1137" Type="http://schemas.openxmlformats.org/officeDocument/2006/relationships/header" Target="header561.xml"/><Relationship Id="rId1138" Type="http://schemas.openxmlformats.org/officeDocument/2006/relationships/footer" Target="footer561.xml"/><Relationship Id="rId1139" Type="http://schemas.openxmlformats.org/officeDocument/2006/relationships/header" Target="header562.xml"/><Relationship Id="rId1140" Type="http://schemas.openxmlformats.org/officeDocument/2006/relationships/footer" Target="footer562.xml"/><Relationship Id="rId1141" Type="http://schemas.openxmlformats.org/officeDocument/2006/relationships/header" Target="header563.xml"/><Relationship Id="rId1142" Type="http://schemas.openxmlformats.org/officeDocument/2006/relationships/footer" Target="footer563.xml"/><Relationship Id="rId1143" Type="http://schemas.openxmlformats.org/officeDocument/2006/relationships/header" Target="header564.xml"/><Relationship Id="rId1144" Type="http://schemas.openxmlformats.org/officeDocument/2006/relationships/footer" Target="footer564.xml"/><Relationship Id="rId1145" Type="http://schemas.openxmlformats.org/officeDocument/2006/relationships/header" Target="header565.xml"/><Relationship Id="rId1146" Type="http://schemas.openxmlformats.org/officeDocument/2006/relationships/footer" Target="footer565.xml"/><Relationship Id="rId1147" Type="http://schemas.openxmlformats.org/officeDocument/2006/relationships/header" Target="header566.xml"/><Relationship Id="rId1148" Type="http://schemas.openxmlformats.org/officeDocument/2006/relationships/footer" Target="footer566.xml"/><Relationship Id="rId1149" Type="http://schemas.openxmlformats.org/officeDocument/2006/relationships/header" Target="header567.xml"/><Relationship Id="rId1150" Type="http://schemas.openxmlformats.org/officeDocument/2006/relationships/footer" Target="footer567.xml"/><Relationship Id="rId1151" Type="http://schemas.openxmlformats.org/officeDocument/2006/relationships/header" Target="header568.xml"/><Relationship Id="rId1152" Type="http://schemas.openxmlformats.org/officeDocument/2006/relationships/footer" Target="footer568.xml"/><Relationship Id="rId1153" Type="http://schemas.openxmlformats.org/officeDocument/2006/relationships/header" Target="header569.xml"/><Relationship Id="rId1154" Type="http://schemas.openxmlformats.org/officeDocument/2006/relationships/footer" Target="footer569.xml"/><Relationship Id="rId1155" Type="http://schemas.openxmlformats.org/officeDocument/2006/relationships/header" Target="header570.xml"/><Relationship Id="rId1156" Type="http://schemas.openxmlformats.org/officeDocument/2006/relationships/footer" Target="footer570.xml"/><Relationship Id="rId1157" Type="http://schemas.openxmlformats.org/officeDocument/2006/relationships/header" Target="header571.xml"/><Relationship Id="rId1158" Type="http://schemas.openxmlformats.org/officeDocument/2006/relationships/footer" Target="footer571.xml"/><Relationship Id="rId1159" Type="http://schemas.openxmlformats.org/officeDocument/2006/relationships/header" Target="header572.xml"/><Relationship Id="rId1160" Type="http://schemas.openxmlformats.org/officeDocument/2006/relationships/footer" Target="footer572.xml"/><Relationship Id="rId1161" Type="http://schemas.openxmlformats.org/officeDocument/2006/relationships/header" Target="header573.xml"/><Relationship Id="rId1162" Type="http://schemas.openxmlformats.org/officeDocument/2006/relationships/footer" Target="footer573.xml"/><Relationship Id="rId1163" Type="http://schemas.openxmlformats.org/officeDocument/2006/relationships/header" Target="header574.xml"/><Relationship Id="rId1164" Type="http://schemas.openxmlformats.org/officeDocument/2006/relationships/footer" Target="footer574.xml"/><Relationship Id="rId1165" Type="http://schemas.openxmlformats.org/officeDocument/2006/relationships/header" Target="header575.xml"/><Relationship Id="rId1166" Type="http://schemas.openxmlformats.org/officeDocument/2006/relationships/footer" Target="footer575.xml"/><Relationship Id="rId1167" Type="http://schemas.openxmlformats.org/officeDocument/2006/relationships/header" Target="header576.xml"/><Relationship Id="rId1168" Type="http://schemas.openxmlformats.org/officeDocument/2006/relationships/footer" Target="footer576.xml"/><Relationship Id="rId1169" Type="http://schemas.openxmlformats.org/officeDocument/2006/relationships/header" Target="header577.xml"/><Relationship Id="rId1170" Type="http://schemas.openxmlformats.org/officeDocument/2006/relationships/footer" Target="footer577.xml"/><Relationship Id="rId1171" Type="http://schemas.openxmlformats.org/officeDocument/2006/relationships/header" Target="header578.xml"/><Relationship Id="rId1172" Type="http://schemas.openxmlformats.org/officeDocument/2006/relationships/footer" Target="footer578.xml"/><Relationship Id="rId1173" Type="http://schemas.openxmlformats.org/officeDocument/2006/relationships/header" Target="header579.xml"/><Relationship Id="rId1174" Type="http://schemas.openxmlformats.org/officeDocument/2006/relationships/footer" Target="footer579.xml"/><Relationship Id="rId1175" Type="http://schemas.openxmlformats.org/officeDocument/2006/relationships/header" Target="header580.xml"/><Relationship Id="rId1176" Type="http://schemas.openxmlformats.org/officeDocument/2006/relationships/footer" Target="footer580.xml"/><Relationship Id="rId1177" Type="http://schemas.openxmlformats.org/officeDocument/2006/relationships/header" Target="header581.xml"/><Relationship Id="rId1178" Type="http://schemas.openxmlformats.org/officeDocument/2006/relationships/footer" Target="footer581.xml"/><Relationship Id="rId1179" Type="http://schemas.openxmlformats.org/officeDocument/2006/relationships/header" Target="header582.xml"/><Relationship Id="rId1180" Type="http://schemas.openxmlformats.org/officeDocument/2006/relationships/footer" Target="footer582.xml"/><Relationship Id="rId1181" Type="http://schemas.openxmlformats.org/officeDocument/2006/relationships/header" Target="header583.xml"/><Relationship Id="rId1182" Type="http://schemas.openxmlformats.org/officeDocument/2006/relationships/footer" Target="footer583.xml"/><Relationship Id="rId1183" Type="http://schemas.openxmlformats.org/officeDocument/2006/relationships/header" Target="header584.xml"/><Relationship Id="rId1184" Type="http://schemas.openxmlformats.org/officeDocument/2006/relationships/footer" Target="footer584.xml"/><Relationship Id="rId1185" Type="http://schemas.openxmlformats.org/officeDocument/2006/relationships/header" Target="header585.xml"/><Relationship Id="rId1186" Type="http://schemas.openxmlformats.org/officeDocument/2006/relationships/footer" Target="footer585.xml"/><Relationship Id="rId1187" Type="http://schemas.openxmlformats.org/officeDocument/2006/relationships/header" Target="header586.xml"/><Relationship Id="rId1188" Type="http://schemas.openxmlformats.org/officeDocument/2006/relationships/footer" Target="footer586.xml"/><Relationship Id="rId1189" Type="http://schemas.openxmlformats.org/officeDocument/2006/relationships/header" Target="header587.xml"/><Relationship Id="rId1190" Type="http://schemas.openxmlformats.org/officeDocument/2006/relationships/footer" Target="footer587.xml"/><Relationship Id="rId1191" Type="http://schemas.openxmlformats.org/officeDocument/2006/relationships/header" Target="header588.xml"/><Relationship Id="rId1192" Type="http://schemas.openxmlformats.org/officeDocument/2006/relationships/footer" Target="footer588.xml"/><Relationship Id="rId1193" Type="http://schemas.openxmlformats.org/officeDocument/2006/relationships/header" Target="header589.xml"/><Relationship Id="rId1194" Type="http://schemas.openxmlformats.org/officeDocument/2006/relationships/footer" Target="footer589.xml"/><Relationship Id="rId1195" Type="http://schemas.openxmlformats.org/officeDocument/2006/relationships/header" Target="header590.xml"/><Relationship Id="rId1196" Type="http://schemas.openxmlformats.org/officeDocument/2006/relationships/footer" Target="footer590.xml"/><Relationship Id="rId1197" Type="http://schemas.openxmlformats.org/officeDocument/2006/relationships/header" Target="header591.xml"/><Relationship Id="rId1198" Type="http://schemas.openxmlformats.org/officeDocument/2006/relationships/footer" Target="footer591.xml"/><Relationship Id="rId1199" Type="http://schemas.openxmlformats.org/officeDocument/2006/relationships/header" Target="header592.xml"/><Relationship Id="rId1200" Type="http://schemas.openxmlformats.org/officeDocument/2006/relationships/footer" Target="footer592.xml"/><Relationship Id="rId1201" Type="http://schemas.openxmlformats.org/officeDocument/2006/relationships/header" Target="header593.xml"/><Relationship Id="rId1202" Type="http://schemas.openxmlformats.org/officeDocument/2006/relationships/footer" Target="footer593.xml"/><Relationship Id="rId1203" Type="http://schemas.openxmlformats.org/officeDocument/2006/relationships/header" Target="header594.xml"/><Relationship Id="rId1204" Type="http://schemas.openxmlformats.org/officeDocument/2006/relationships/footer" Target="footer594.xml"/><Relationship Id="rId1205" Type="http://schemas.openxmlformats.org/officeDocument/2006/relationships/header" Target="header595.xml"/><Relationship Id="rId1206" Type="http://schemas.openxmlformats.org/officeDocument/2006/relationships/footer" Target="footer595.xml"/><Relationship Id="rId1207" Type="http://schemas.openxmlformats.org/officeDocument/2006/relationships/header" Target="header596.xml"/><Relationship Id="rId1208" Type="http://schemas.openxmlformats.org/officeDocument/2006/relationships/footer" Target="footer596.xml"/><Relationship Id="rId1209" Type="http://schemas.openxmlformats.org/officeDocument/2006/relationships/header" Target="header597.xml"/><Relationship Id="rId1210" Type="http://schemas.openxmlformats.org/officeDocument/2006/relationships/footer" Target="footer597.xml"/><Relationship Id="rId1211" Type="http://schemas.openxmlformats.org/officeDocument/2006/relationships/header" Target="header598.xml"/><Relationship Id="rId1212" Type="http://schemas.openxmlformats.org/officeDocument/2006/relationships/footer" Target="footer598.xml"/><Relationship Id="rId1213" Type="http://schemas.openxmlformats.org/officeDocument/2006/relationships/header" Target="header599.xml"/><Relationship Id="rId1214" Type="http://schemas.openxmlformats.org/officeDocument/2006/relationships/footer" Target="footer599.xml"/><Relationship Id="rId1215" Type="http://schemas.openxmlformats.org/officeDocument/2006/relationships/header" Target="header600.xml"/><Relationship Id="rId1216" Type="http://schemas.openxmlformats.org/officeDocument/2006/relationships/footer" Target="footer600.xml"/><Relationship Id="rId1217" Type="http://schemas.openxmlformats.org/officeDocument/2006/relationships/header" Target="header601.xml"/><Relationship Id="rId1218" Type="http://schemas.openxmlformats.org/officeDocument/2006/relationships/footer" Target="footer601.xml"/><Relationship Id="rId1219" Type="http://schemas.openxmlformats.org/officeDocument/2006/relationships/header" Target="header602.xml"/><Relationship Id="rId1220" Type="http://schemas.openxmlformats.org/officeDocument/2006/relationships/footer" Target="footer602.xml"/><Relationship Id="rId1221" Type="http://schemas.openxmlformats.org/officeDocument/2006/relationships/header" Target="header603.xml"/><Relationship Id="rId1222" Type="http://schemas.openxmlformats.org/officeDocument/2006/relationships/footer" Target="footer603.xml"/><Relationship Id="rId1223" Type="http://schemas.openxmlformats.org/officeDocument/2006/relationships/header" Target="header604.xml"/><Relationship Id="rId1224" Type="http://schemas.openxmlformats.org/officeDocument/2006/relationships/footer" Target="footer604.xml"/><Relationship Id="rId1225" Type="http://schemas.openxmlformats.org/officeDocument/2006/relationships/header" Target="header605.xml"/><Relationship Id="rId1226" Type="http://schemas.openxmlformats.org/officeDocument/2006/relationships/footer" Target="footer605.xml"/><Relationship Id="rId1227" Type="http://schemas.openxmlformats.org/officeDocument/2006/relationships/header" Target="header606.xml"/><Relationship Id="rId1228" Type="http://schemas.openxmlformats.org/officeDocument/2006/relationships/footer" Target="footer606.xml"/><Relationship Id="rId1229" Type="http://schemas.openxmlformats.org/officeDocument/2006/relationships/header" Target="header607.xml"/><Relationship Id="rId1230" Type="http://schemas.openxmlformats.org/officeDocument/2006/relationships/footer" Target="footer607.xml"/><Relationship Id="rId1231" Type="http://schemas.openxmlformats.org/officeDocument/2006/relationships/header" Target="header608.xml"/><Relationship Id="rId1232" Type="http://schemas.openxmlformats.org/officeDocument/2006/relationships/footer" Target="footer608.xml"/><Relationship Id="rId1233" Type="http://schemas.openxmlformats.org/officeDocument/2006/relationships/header" Target="header609.xml"/><Relationship Id="rId1234" Type="http://schemas.openxmlformats.org/officeDocument/2006/relationships/footer" Target="footer609.xml"/><Relationship Id="rId1235" Type="http://schemas.openxmlformats.org/officeDocument/2006/relationships/header" Target="header610.xml"/><Relationship Id="rId1236" Type="http://schemas.openxmlformats.org/officeDocument/2006/relationships/footer" Target="footer610.xml"/><Relationship Id="rId1237" Type="http://schemas.openxmlformats.org/officeDocument/2006/relationships/header" Target="header611.xml"/><Relationship Id="rId1238" Type="http://schemas.openxmlformats.org/officeDocument/2006/relationships/footer" Target="footer611.xml"/><Relationship Id="rId1239" Type="http://schemas.openxmlformats.org/officeDocument/2006/relationships/header" Target="header612.xml"/><Relationship Id="rId1240" Type="http://schemas.openxmlformats.org/officeDocument/2006/relationships/footer" Target="footer612.xml"/><Relationship Id="rId1241" Type="http://schemas.openxmlformats.org/officeDocument/2006/relationships/header" Target="header613.xml"/><Relationship Id="rId1242" Type="http://schemas.openxmlformats.org/officeDocument/2006/relationships/footer" Target="footer613.xml"/><Relationship Id="rId1243" Type="http://schemas.openxmlformats.org/officeDocument/2006/relationships/header" Target="header614.xml"/><Relationship Id="rId1244" Type="http://schemas.openxmlformats.org/officeDocument/2006/relationships/footer" Target="footer614.xml"/><Relationship Id="rId1245" Type="http://schemas.openxmlformats.org/officeDocument/2006/relationships/header" Target="header615.xml"/><Relationship Id="rId1246" Type="http://schemas.openxmlformats.org/officeDocument/2006/relationships/footer" Target="footer615.xml"/><Relationship Id="rId1247" Type="http://schemas.openxmlformats.org/officeDocument/2006/relationships/header" Target="header616.xml"/><Relationship Id="rId1248" Type="http://schemas.openxmlformats.org/officeDocument/2006/relationships/footer" Target="footer616.xml"/><Relationship Id="rId1249" Type="http://schemas.openxmlformats.org/officeDocument/2006/relationships/header" Target="header617.xml"/><Relationship Id="rId1250" Type="http://schemas.openxmlformats.org/officeDocument/2006/relationships/footer" Target="footer617.xml"/><Relationship Id="rId1251" Type="http://schemas.openxmlformats.org/officeDocument/2006/relationships/header" Target="header618.xml"/><Relationship Id="rId1252" Type="http://schemas.openxmlformats.org/officeDocument/2006/relationships/footer" Target="footer618.xml"/><Relationship Id="rId1253" Type="http://schemas.openxmlformats.org/officeDocument/2006/relationships/header" Target="header619.xml"/><Relationship Id="rId1254" Type="http://schemas.openxmlformats.org/officeDocument/2006/relationships/footer" Target="footer619.xml"/><Relationship Id="rId1255" Type="http://schemas.openxmlformats.org/officeDocument/2006/relationships/header" Target="header620.xml"/><Relationship Id="rId1256" Type="http://schemas.openxmlformats.org/officeDocument/2006/relationships/footer" Target="footer620.xml"/><Relationship Id="rId1257" Type="http://schemas.openxmlformats.org/officeDocument/2006/relationships/header" Target="header621.xml"/><Relationship Id="rId1258" Type="http://schemas.openxmlformats.org/officeDocument/2006/relationships/footer" Target="footer621.xml"/><Relationship Id="rId1259" Type="http://schemas.openxmlformats.org/officeDocument/2006/relationships/header" Target="header622.xml"/><Relationship Id="rId1260" Type="http://schemas.openxmlformats.org/officeDocument/2006/relationships/footer" Target="footer622.xml"/><Relationship Id="rId1261" Type="http://schemas.openxmlformats.org/officeDocument/2006/relationships/header" Target="header623.xml"/><Relationship Id="rId1262" Type="http://schemas.openxmlformats.org/officeDocument/2006/relationships/footer" Target="footer623.xml"/><Relationship Id="rId1263" Type="http://schemas.openxmlformats.org/officeDocument/2006/relationships/header" Target="header624.xml"/><Relationship Id="rId1264" Type="http://schemas.openxmlformats.org/officeDocument/2006/relationships/footer" Target="footer624.xml"/><Relationship Id="rId1265" Type="http://schemas.openxmlformats.org/officeDocument/2006/relationships/header" Target="header625.xml"/><Relationship Id="rId1266" Type="http://schemas.openxmlformats.org/officeDocument/2006/relationships/footer" Target="footer625.xml"/><Relationship Id="rId1267" Type="http://schemas.openxmlformats.org/officeDocument/2006/relationships/header" Target="header626.xml"/><Relationship Id="rId1268" Type="http://schemas.openxmlformats.org/officeDocument/2006/relationships/footer" Target="footer626.xml"/><Relationship Id="rId1269" Type="http://schemas.openxmlformats.org/officeDocument/2006/relationships/header" Target="header627.xml"/><Relationship Id="rId1270" Type="http://schemas.openxmlformats.org/officeDocument/2006/relationships/footer" Target="footer627.xml"/><Relationship Id="rId1271" Type="http://schemas.openxmlformats.org/officeDocument/2006/relationships/header" Target="header628.xml"/><Relationship Id="rId1272" Type="http://schemas.openxmlformats.org/officeDocument/2006/relationships/footer" Target="footer628.xml"/><Relationship Id="rId1273" Type="http://schemas.openxmlformats.org/officeDocument/2006/relationships/header" Target="header629.xml"/><Relationship Id="rId1274" Type="http://schemas.openxmlformats.org/officeDocument/2006/relationships/footer" Target="footer629.xml"/><Relationship Id="rId1275" Type="http://schemas.openxmlformats.org/officeDocument/2006/relationships/header" Target="header630.xml"/><Relationship Id="rId1276" Type="http://schemas.openxmlformats.org/officeDocument/2006/relationships/footer" Target="footer630.xml"/><Relationship Id="rId1277" Type="http://schemas.openxmlformats.org/officeDocument/2006/relationships/header" Target="header631.xml"/><Relationship Id="rId1278" Type="http://schemas.openxmlformats.org/officeDocument/2006/relationships/footer" Target="footer631.xml"/><Relationship Id="rId1279" Type="http://schemas.openxmlformats.org/officeDocument/2006/relationships/header" Target="header632.xml"/><Relationship Id="rId1280" Type="http://schemas.openxmlformats.org/officeDocument/2006/relationships/footer" Target="footer632.xml"/><Relationship Id="rId1281" Type="http://schemas.openxmlformats.org/officeDocument/2006/relationships/header" Target="header633.xml"/><Relationship Id="rId1282" Type="http://schemas.openxmlformats.org/officeDocument/2006/relationships/footer" Target="footer633.xml"/><Relationship Id="rId1283" Type="http://schemas.openxmlformats.org/officeDocument/2006/relationships/header" Target="header634.xml"/><Relationship Id="rId1284" Type="http://schemas.openxmlformats.org/officeDocument/2006/relationships/footer" Target="footer634.xml"/><Relationship Id="rId1285" Type="http://schemas.openxmlformats.org/officeDocument/2006/relationships/header" Target="header635.xml"/><Relationship Id="rId1286" Type="http://schemas.openxmlformats.org/officeDocument/2006/relationships/footer" Target="footer635.xml"/><Relationship Id="rId1287" Type="http://schemas.openxmlformats.org/officeDocument/2006/relationships/header" Target="header636.xml"/><Relationship Id="rId1288" Type="http://schemas.openxmlformats.org/officeDocument/2006/relationships/footer" Target="footer636.xml"/><Relationship Id="rId1289" Type="http://schemas.openxmlformats.org/officeDocument/2006/relationships/header" Target="header637.xml"/><Relationship Id="rId1290" Type="http://schemas.openxmlformats.org/officeDocument/2006/relationships/footer" Target="footer637.xml"/><Relationship Id="rId1291" Type="http://schemas.openxmlformats.org/officeDocument/2006/relationships/header" Target="header638.xml"/><Relationship Id="rId1292" Type="http://schemas.openxmlformats.org/officeDocument/2006/relationships/footer" Target="footer638.xml"/><Relationship Id="rId1293" Type="http://schemas.openxmlformats.org/officeDocument/2006/relationships/header" Target="header639.xml"/><Relationship Id="rId1294" Type="http://schemas.openxmlformats.org/officeDocument/2006/relationships/footer" Target="footer639.xml"/><Relationship Id="rId1295" Type="http://schemas.openxmlformats.org/officeDocument/2006/relationships/header" Target="header640.xml"/><Relationship Id="rId1296" Type="http://schemas.openxmlformats.org/officeDocument/2006/relationships/footer" Target="footer640.xml"/><Relationship Id="rId1297" Type="http://schemas.openxmlformats.org/officeDocument/2006/relationships/header" Target="header641.xml"/><Relationship Id="rId1298" Type="http://schemas.openxmlformats.org/officeDocument/2006/relationships/footer" Target="footer641.xml"/><Relationship Id="rId1299" Type="http://schemas.openxmlformats.org/officeDocument/2006/relationships/header" Target="header642.xml"/><Relationship Id="rId1300" Type="http://schemas.openxmlformats.org/officeDocument/2006/relationships/footer" Target="footer642.xml"/><Relationship Id="rId1301" Type="http://schemas.openxmlformats.org/officeDocument/2006/relationships/header" Target="header643.xml"/><Relationship Id="rId1302" Type="http://schemas.openxmlformats.org/officeDocument/2006/relationships/footer" Target="footer643.xml"/><Relationship Id="rId1303" Type="http://schemas.openxmlformats.org/officeDocument/2006/relationships/header" Target="header644.xml"/><Relationship Id="rId1304" Type="http://schemas.openxmlformats.org/officeDocument/2006/relationships/footer" Target="footer644.xml"/><Relationship Id="rId1305" Type="http://schemas.openxmlformats.org/officeDocument/2006/relationships/header" Target="header645.xml"/><Relationship Id="rId1306" Type="http://schemas.openxmlformats.org/officeDocument/2006/relationships/footer" Target="footer645.xml"/><Relationship Id="rId1307" Type="http://schemas.openxmlformats.org/officeDocument/2006/relationships/header" Target="header646.xml"/><Relationship Id="rId1308" Type="http://schemas.openxmlformats.org/officeDocument/2006/relationships/footer" Target="footer646.xml"/><Relationship Id="rId1309" Type="http://schemas.openxmlformats.org/officeDocument/2006/relationships/header" Target="header647.xml"/><Relationship Id="rId1310" Type="http://schemas.openxmlformats.org/officeDocument/2006/relationships/footer" Target="footer647.xml"/><Relationship Id="rId1311" Type="http://schemas.openxmlformats.org/officeDocument/2006/relationships/header" Target="header648.xml"/><Relationship Id="rId1312" Type="http://schemas.openxmlformats.org/officeDocument/2006/relationships/footer" Target="footer648.xml"/><Relationship Id="rId1313" Type="http://schemas.openxmlformats.org/officeDocument/2006/relationships/header" Target="header649.xml"/><Relationship Id="rId1314" Type="http://schemas.openxmlformats.org/officeDocument/2006/relationships/footer" Target="footer649.xml"/><Relationship Id="rId1315" Type="http://schemas.openxmlformats.org/officeDocument/2006/relationships/header" Target="header650.xml"/><Relationship Id="rId1316" Type="http://schemas.openxmlformats.org/officeDocument/2006/relationships/footer" Target="footer650.xml"/><Relationship Id="rId1317" Type="http://schemas.openxmlformats.org/officeDocument/2006/relationships/header" Target="header651.xml"/><Relationship Id="rId1318" Type="http://schemas.openxmlformats.org/officeDocument/2006/relationships/footer" Target="footer651.xml"/><Relationship Id="rId1319" Type="http://schemas.openxmlformats.org/officeDocument/2006/relationships/header" Target="header652.xml"/><Relationship Id="rId1320" Type="http://schemas.openxmlformats.org/officeDocument/2006/relationships/footer" Target="footer652.xml"/><Relationship Id="rId1321" Type="http://schemas.openxmlformats.org/officeDocument/2006/relationships/header" Target="header653.xml"/><Relationship Id="rId1322" Type="http://schemas.openxmlformats.org/officeDocument/2006/relationships/footer" Target="footer653.xml"/><Relationship Id="rId1323" Type="http://schemas.openxmlformats.org/officeDocument/2006/relationships/header" Target="header654.xml"/><Relationship Id="rId1324" Type="http://schemas.openxmlformats.org/officeDocument/2006/relationships/footer" Target="footer654.xml"/><Relationship Id="rId1325" Type="http://schemas.openxmlformats.org/officeDocument/2006/relationships/header" Target="header655.xml"/><Relationship Id="rId1326" Type="http://schemas.openxmlformats.org/officeDocument/2006/relationships/footer" Target="footer655.xml"/><Relationship Id="rId1327" Type="http://schemas.openxmlformats.org/officeDocument/2006/relationships/header" Target="header656.xml"/><Relationship Id="rId1328" Type="http://schemas.openxmlformats.org/officeDocument/2006/relationships/footer" Target="footer656.xml"/><Relationship Id="rId1329" Type="http://schemas.openxmlformats.org/officeDocument/2006/relationships/header" Target="header657.xml"/><Relationship Id="rId1330" Type="http://schemas.openxmlformats.org/officeDocument/2006/relationships/footer" Target="footer657.xml"/><Relationship Id="rId1331" Type="http://schemas.openxmlformats.org/officeDocument/2006/relationships/header" Target="header658.xml"/><Relationship Id="rId1332" Type="http://schemas.openxmlformats.org/officeDocument/2006/relationships/footer" Target="footer658.xml"/><Relationship Id="rId1333" Type="http://schemas.openxmlformats.org/officeDocument/2006/relationships/header" Target="header659.xml"/><Relationship Id="rId1334" Type="http://schemas.openxmlformats.org/officeDocument/2006/relationships/footer" Target="footer659.xml"/><Relationship Id="rId1335" Type="http://schemas.openxmlformats.org/officeDocument/2006/relationships/header" Target="header660.xml"/><Relationship Id="rId1336" Type="http://schemas.openxmlformats.org/officeDocument/2006/relationships/footer" Target="footer660.xml"/><Relationship Id="rId1337" Type="http://schemas.openxmlformats.org/officeDocument/2006/relationships/header" Target="header661.xml"/><Relationship Id="rId1338" Type="http://schemas.openxmlformats.org/officeDocument/2006/relationships/footer" Target="footer661.xml"/><Relationship Id="rId1339" Type="http://schemas.openxmlformats.org/officeDocument/2006/relationships/header" Target="header662.xml"/><Relationship Id="rId1340" Type="http://schemas.openxmlformats.org/officeDocument/2006/relationships/footer" Target="footer662.xml"/><Relationship Id="rId1341" Type="http://schemas.openxmlformats.org/officeDocument/2006/relationships/header" Target="header663.xml"/><Relationship Id="rId1342" Type="http://schemas.openxmlformats.org/officeDocument/2006/relationships/footer" Target="footer663.xml"/><Relationship Id="rId1343" Type="http://schemas.openxmlformats.org/officeDocument/2006/relationships/header" Target="header664.xml"/><Relationship Id="rId1344" Type="http://schemas.openxmlformats.org/officeDocument/2006/relationships/footer" Target="footer664.xml"/><Relationship Id="rId1345" Type="http://schemas.openxmlformats.org/officeDocument/2006/relationships/header" Target="header665.xml"/><Relationship Id="rId1346" Type="http://schemas.openxmlformats.org/officeDocument/2006/relationships/footer" Target="footer665.xml"/><Relationship Id="rId1347" Type="http://schemas.openxmlformats.org/officeDocument/2006/relationships/header" Target="header666.xml"/><Relationship Id="rId1348" Type="http://schemas.openxmlformats.org/officeDocument/2006/relationships/footer" Target="footer666.xml"/><Relationship Id="rId1349" Type="http://schemas.openxmlformats.org/officeDocument/2006/relationships/header" Target="header667.xml"/><Relationship Id="rId1350" Type="http://schemas.openxmlformats.org/officeDocument/2006/relationships/footer" Target="footer667.xml"/><Relationship Id="rId1351" Type="http://schemas.openxmlformats.org/officeDocument/2006/relationships/header" Target="header668.xml"/><Relationship Id="rId1352" Type="http://schemas.openxmlformats.org/officeDocument/2006/relationships/footer" Target="footer668.xml"/><Relationship Id="rId1353" Type="http://schemas.openxmlformats.org/officeDocument/2006/relationships/header" Target="header669.xml"/><Relationship Id="rId1354" Type="http://schemas.openxmlformats.org/officeDocument/2006/relationships/footer" Target="footer669.xml"/><Relationship Id="rId1355" Type="http://schemas.openxmlformats.org/officeDocument/2006/relationships/header" Target="header670.xml"/><Relationship Id="rId1356" Type="http://schemas.openxmlformats.org/officeDocument/2006/relationships/footer" Target="footer670.xml"/><Relationship Id="rId1357" Type="http://schemas.openxmlformats.org/officeDocument/2006/relationships/header" Target="header671.xml"/><Relationship Id="rId1358" Type="http://schemas.openxmlformats.org/officeDocument/2006/relationships/footer" Target="footer671.xml"/><Relationship Id="rId1359" Type="http://schemas.openxmlformats.org/officeDocument/2006/relationships/header" Target="header672.xml"/><Relationship Id="rId1360" Type="http://schemas.openxmlformats.org/officeDocument/2006/relationships/footer" Target="footer672.xml"/><Relationship Id="rId1361" Type="http://schemas.openxmlformats.org/officeDocument/2006/relationships/header" Target="header673.xml"/><Relationship Id="rId1362" Type="http://schemas.openxmlformats.org/officeDocument/2006/relationships/footer" Target="footer673.xml"/><Relationship Id="rId1363" Type="http://schemas.openxmlformats.org/officeDocument/2006/relationships/header" Target="header674.xml"/><Relationship Id="rId1364" Type="http://schemas.openxmlformats.org/officeDocument/2006/relationships/footer" Target="footer674.xml"/><Relationship Id="rId1365" Type="http://schemas.openxmlformats.org/officeDocument/2006/relationships/header" Target="header675.xml"/><Relationship Id="rId1366" Type="http://schemas.openxmlformats.org/officeDocument/2006/relationships/footer" Target="footer675.xml"/><Relationship Id="rId1367" Type="http://schemas.openxmlformats.org/officeDocument/2006/relationships/header" Target="header676.xml"/><Relationship Id="rId1368" Type="http://schemas.openxmlformats.org/officeDocument/2006/relationships/footer" Target="footer676.xml"/><Relationship Id="rId1369" Type="http://schemas.openxmlformats.org/officeDocument/2006/relationships/header" Target="header677.xml"/><Relationship Id="rId1370" Type="http://schemas.openxmlformats.org/officeDocument/2006/relationships/footer" Target="footer677.xml"/><Relationship Id="rId1371" Type="http://schemas.openxmlformats.org/officeDocument/2006/relationships/header" Target="header678.xml"/><Relationship Id="rId1372" Type="http://schemas.openxmlformats.org/officeDocument/2006/relationships/footer" Target="footer678.xml"/><Relationship Id="rId1373" Type="http://schemas.openxmlformats.org/officeDocument/2006/relationships/header" Target="header679.xml"/><Relationship Id="rId1374" Type="http://schemas.openxmlformats.org/officeDocument/2006/relationships/footer" Target="footer679.xml"/><Relationship Id="rId1375" Type="http://schemas.openxmlformats.org/officeDocument/2006/relationships/header" Target="header680.xml"/><Relationship Id="rId1376" Type="http://schemas.openxmlformats.org/officeDocument/2006/relationships/footer" Target="footer680.xml"/><Relationship Id="rId1377" Type="http://schemas.openxmlformats.org/officeDocument/2006/relationships/header" Target="header681.xml"/><Relationship Id="rId1378" Type="http://schemas.openxmlformats.org/officeDocument/2006/relationships/footer" Target="footer681.xml"/><Relationship Id="rId1379" Type="http://schemas.openxmlformats.org/officeDocument/2006/relationships/header" Target="header682.xml"/><Relationship Id="rId1380" Type="http://schemas.openxmlformats.org/officeDocument/2006/relationships/footer" Target="footer682.xml"/><Relationship Id="rId1381" Type="http://schemas.openxmlformats.org/officeDocument/2006/relationships/header" Target="header683.xml"/><Relationship Id="rId1382" Type="http://schemas.openxmlformats.org/officeDocument/2006/relationships/footer" Target="footer683.xml"/><Relationship Id="rId1383" Type="http://schemas.openxmlformats.org/officeDocument/2006/relationships/header" Target="header684.xml"/><Relationship Id="rId1384" Type="http://schemas.openxmlformats.org/officeDocument/2006/relationships/footer" Target="footer684.xml"/><Relationship Id="rId1385" Type="http://schemas.openxmlformats.org/officeDocument/2006/relationships/header" Target="header685.xml"/><Relationship Id="rId1386" Type="http://schemas.openxmlformats.org/officeDocument/2006/relationships/footer" Target="footer685.xml"/><Relationship Id="rId1387" Type="http://schemas.openxmlformats.org/officeDocument/2006/relationships/header" Target="header686.xml"/><Relationship Id="rId1388" Type="http://schemas.openxmlformats.org/officeDocument/2006/relationships/footer" Target="footer686.xml"/><Relationship Id="rId1389" Type="http://schemas.openxmlformats.org/officeDocument/2006/relationships/header" Target="header687.xml"/><Relationship Id="rId1390" Type="http://schemas.openxmlformats.org/officeDocument/2006/relationships/footer" Target="footer687.xml"/><Relationship Id="rId1391" Type="http://schemas.openxmlformats.org/officeDocument/2006/relationships/header" Target="header688.xml"/><Relationship Id="rId1392" Type="http://schemas.openxmlformats.org/officeDocument/2006/relationships/footer" Target="footer688.xml"/><Relationship Id="rId1393" Type="http://schemas.openxmlformats.org/officeDocument/2006/relationships/header" Target="header689.xml"/><Relationship Id="rId1394" Type="http://schemas.openxmlformats.org/officeDocument/2006/relationships/footer" Target="footer689.xml"/><Relationship Id="rId1395" Type="http://schemas.openxmlformats.org/officeDocument/2006/relationships/header" Target="header690.xml"/><Relationship Id="rId1396" Type="http://schemas.openxmlformats.org/officeDocument/2006/relationships/footer" Target="footer690.xml"/><Relationship Id="rId1397" Type="http://schemas.openxmlformats.org/officeDocument/2006/relationships/header" Target="header691.xml"/><Relationship Id="rId1398" Type="http://schemas.openxmlformats.org/officeDocument/2006/relationships/footer" Target="footer691.xml"/><Relationship Id="rId1399" Type="http://schemas.openxmlformats.org/officeDocument/2006/relationships/header" Target="header692.xml"/><Relationship Id="rId1400" Type="http://schemas.openxmlformats.org/officeDocument/2006/relationships/footer" Target="footer692.xml"/><Relationship Id="rId1401" Type="http://schemas.openxmlformats.org/officeDocument/2006/relationships/header" Target="header693.xml"/><Relationship Id="rId1402" Type="http://schemas.openxmlformats.org/officeDocument/2006/relationships/footer" Target="footer693.xml"/><Relationship Id="rId1403" Type="http://schemas.openxmlformats.org/officeDocument/2006/relationships/header" Target="header694.xml"/><Relationship Id="rId1404" Type="http://schemas.openxmlformats.org/officeDocument/2006/relationships/footer" Target="footer694.xml"/><Relationship Id="rId1405" Type="http://schemas.openxmlformats.org/officeDocument/2006/relationships/header" Target="header695.xml"/><Relationship Id="rId1406" Type="http://schemas.openxmlformats.org/officeDocument/2006/relationships/footer" Target="footer695.xml"/><Relationship Id="rId1407" Type="http://schemas.openxmlformats.org/officeDocument/2006/relationships/header" Target="header696.xml"/><Relationship Id="rId1408" Type="http://schemas.openxmlformats.org/officeDocument/2006/relationships/footer" Target="footer696.xml"/><Relationship Id="rId1409" Type="http://schemas.openxmlformats.org/officeDocument/2006/relationships/header" Target="header697.xml"/><Relationship Id="rId1410" Type="http://schemas.openxmlformats.org/officeDocument/2006/relationships/footer" Target="footer697.xml"/><Relationship Id="rId1411" Type="http://schemas.openxmlformats.org/officeDocument/2006/relationships/header" Target="header698.xml"/><Relationship Id="rId1412" Type="http://schemas.openxmlformats.org/officeDocument/2006/relationships/footer" Target="footer698.xml"/><Relationship Id="rId1413" Type="http://schemas.openxmlformats.org/officeDocument/2006/relationships/header" Target="header699.xml"/><Relationship Id="rId1414" Type="http://schemas.openxmlformats.org/officeDocument/2006/relationships/footer" Target="footer699.xml"/><Relationship Id="rId1415" Type="http://schemas.openxmlformats.org/officeDocument/2006/relationships/header" Target="header700.xml"/><Relationship Id="rId1416" Type="http://schemas.openxmlformats.org/officeDocument/2006/relationships/footer" Target="footer700.xml"/><Relationship Id="rId1417" Type="http://schemas.openxmlformats.org/officeDocument/2006/relationships/header" Target="header701.xml"/><Relationship Id="rId1418" Type="http://schemas.openxmlformats.org/officeDocument/2006/relationships/footer" Target="footer701.xml"/><Relationship Id="rId1419" Type="http://schemas.openxmlformats.org/officeDocument/2006/relationships/header" Target="header702.xml"/><Relationship Id="rId1420" Type="http://schemas.openxmlformats.org/officeDocument/2006/relationships/footer" Target="footer702.xml"/><Relationship Id="rId1421" Type="http://schemas.openxmlformats.org/officeDocument/2006/relationships/header" Target="header703.xml"/><Relationship Id="rId1422" Type="http://schemas.openxmlformats.org/officeDocument/2006/relationships/footer" Target="footer703.xml"/><Relationship Id="rId1423" Type="http://schemas.openxmlformats.org/officeDocument/2006/relationships/header" Target="header704.xml"/><Relationship Id="rId1424" Type="http://schemas.openxmlformats.org/officeDocument/2006/relationships/footer" Target="footer704.xml"/><Relationship Id="rId1425" Type="http://schemas.openxmlformats.org/officeDocument/2006/relationships/header" Target="header705.xml"/><Relationship Id="rId1426" Type="http://schemas.openxmlformats.org/officeDocument/2006/relationships/footer" Target="footer705.xml"/><Relationship Id="rId1427" Type="http://schemas.openxmlformats.org/officeDocument/2006/relationships/header" Target="header706.xml"/><Relationship Id="rId1428" Type="http://schemas.openxmlformats.org/officeDocument/2006/relationships/footer" Target="footer706.xml"/><Relationship Id="rId1429" Type="http://schemas.openxmlformats.org/officeDocument/2006/relationships/header" Target="header707.xml"/><Relationship Id="rId1430" Type="http://schemas.openxmlformats.org/officeDocument/2006/relationships/footer" Target="footer707.xml"/><Relationship Id="rId1431" Type="http://schemas.openxmlformats.org/officeDocument/2006/relationships/header" Target="header708.xml"/><Relationship Id="rId1432" Type="http://schemas.openxmlformats.org/officeDocument/2006/relationships/footer" Target="footer708.xml"/><Relationship Id="rId1433" Type="http://schemas.openxmlformats.org/officeDocument/2006/relationships/header" Target="header709.xml"/><Relationship Id="rId1434" Type="http://schemas.openxmlformats.org/officeDocument/2006/relationships/footer" Target="footer709.xml"/><Relationship Id="rId1435" Type="http://schemas.openxmlformats.org/officeDocument/2006/relationships/header" Target="header710.xml"/><Relationship Id="rId1436" Type="http://schemas.openxmlformats.org/officeDocument/2006/relationships/footer" Target="footer710.xml"/><Relationship Id="rId1437" Type="http://schemas.openxmlformats.org/officeDocument/2006/relationships/header" Target="header711.xml"/><Relationship Id="rId1438" Type="http://schemas.openxmlformats.org/officeDocument/2006/relationships/footer" Target="footer711.xml"/><Relationship Id="rId1439" Type="http://schemas.openxmlformats.org/officeDocument/2006/relationships/header" Target="header712.xml"/><Relationship Id="rId1440" Type="http://schemas.openxmlformats.org/officeDocument/2006/relationships/footer" Target="footer712.xml"/><Relationship Id="rId1441" Type="http://schemas.openxmlformats.org/officeDocument/2006/relationships/header" Target="header713.xml"/><Relationship Id="rId1442" Type="http://schemas.openxmlformats.org/officeDocument/2006/relationships/footer" Target="footer713.xml"/><Relationship Id="rId1443" Type="http://schemas.openxmlformats.org/officeDocument/2006/relationships/header" Target="header714.xml"/><Relationship Id="rId1444" Type="http://schemas.openxmlformats.org/officeDocument/2006/relationships/footer" Target="footer714.xml"/><Relationship Id="rId1445" Type="http://schemas.openxmlformats.org/officeDocument/2006/relationships/header" Target="header715.xml"/><Relationship Id="rId1446" Type="http://schemas.openxmlformats.org/officeDocument/2006/relationships/footer" Target="footer715.xml"/><Relationship Id="rId1447" Type="http://schemas.openxmlformats.org/officeDocument/2006/relationships/header" Target="header716.xml"/><Relationship Id="rId1448" Type="http://schemas.openxmlformats.org/officeDocument/2006/relationships/footer" Target="footer716.xml"/><Relationship Id="rId1449" Type="http://schemas.openxmlformats.org/officeDocument/2006/relationships/header" Target="header717.xml"/><Relationship Id="rId1450" Type="http://schemas.openxmlformats.org/officeDocument/2006/relationships/footer" Target="footer717.xml"/><Relationship Id="rId1451" Type="http://schemas.openxmlformats.org/officeDocument/2006/relationships/header" Target="header718.xml"/><Relationship Id="rId1452" Type="http://schemas.openxmlformats.org/officeDocument/2006/relationships/footer" Target="footer718.xml"/><Relationship Id="rId1453" Type="http://schemas.openxmlformats.org/officeDocument/2006/relationships/header" Target="header719.xml"/><Relationship Id="rId1454" Type="http://schemas.openxmlformats.org/officeDocument/2006/relationships/footer" Target="footer719.xml"/><Relationship Id="rId1455" Type="http://schemas.openxmlformats.org/officeDocument/2006/relationships/header" Target="header720.xml"/><Relationship Id="rId1456" Type="http://schemas.openxmlformats.org/officeDocument/2006/relationships/footer" Target="footer720.xml"/><Relationship Id="rId1457" Type="http://schemas.openxmlformats.org/officeDocument/2006/relationships/header" Target="header721.xml"/><Relationship Id="rId1458" Type="http://schemas.openxmlformats.org/officeDocument/2006/relationships/footer" Target="footer721.xml"/><Relationship Id="rId1459" Type="http://schemas.openxmlformats.org/officeDocument/2006/relationships/header" Target="header722.xml"/><Relationship Id="rId1460" Type="http://schemas.openxmlformats.org/officeDocument/2006/relationships/footer" Target="footer722.xml"/><Relationship Id="rId1461" Type="http://schemas.openxmlformats.org/officeDocument/2006/relationships/header" Target="header723.xml"/><Relationship Id="rId1462" Type="http://schemas.openxmlformats.org/officeDocument/2006/relationships/footer" Target="footer723.xml"/><Relationship Id="rId1463" Type="http://schemas.openxmlformats.org/officeDocument/2006/relationships/header" Target="header724.xml"/><Relationship Id="rId1464" Type="http://schemas.openxmlformats.org/officeDocument/2006/relationships/footer" Target="footer724.xml"/><Relationship Id="rId1465" Type="http://schemas.openxmlformats.org/officeDocument/2006/relationships/header" Target="header725.xml"/><Relationship Id="rId1466" Type="http://schemas.openxmlformats.org/officeDocument/2006/relationships/footer" Target="footer725.xml"/><Relationship Id="rId1467" Type="http://schemas.openxmlformats.org/officeDocument/2006/relationships/header" Target="header726.xml"/><Relationship Id="rId1468" Type="http://schemas.openxmlformats.org/officeDocument/2006/relationships/footer" Target="footer726.xml"/><Relationship Id="rId1469" Type="http://schemas.openxmlformats.org/officeDocument/2006/relationships/header" Target="header727.xml"/><Relationship Id="rId1470" Type="http://schemas.openxmlformats.org/officeDocument/2006/relationships/footer" Target="footer727.xml"/><Relationship Id="rId1471" Type="http://schemas.openxmlformats.org/officeDocument/2006/relationships/header" Target="header728.xml"/><Relationship Id="rId1472" Type="http://schemas.openxmlformats.org/officeDocument/2006/relationships/footer" Target="footer728.xml"/><Relationship Id="rId1473" Type="http://schemas.openxmlformats.org/officeDocument/2006/relationships/header" Target="header729.xml"/><Relationship Id="rId1474" Type="http://schemas.openxmlformats.org/officeDocument/2006/relationships/footer" Target="footer729.xml"/><Relationship Id="rId1475" Type="http://schemas.openxmlformats.org/officeDocument/2006/relationships/header" Target="header730.xml"/><Relationship Id="rId1476" Type="http://schemas.openxmlformats.org/officeDocument/2006/relationships/footer" Target="footer730.xml"/><Relationship Id="rId1477" Type="http://schemas.openxmlformats.org/officeDocument/2006/relationships/header" Target="header731.xml"/><Relationship Id="rId1478" Type="http://schemas.openxmlformats.org/officeDocument/2006/relationships/footer" Target="footer731.xml"/><Relationship Id="rId1479" Type="http://schemas.openxmlformats.org/officeDocument/2006/relationships/header" Target="header732.xml"/><Relationship Id="rId1480" Type="http://schemas.openxmlformats.org/officeDocument/2006/relationships/footer" Target="footer732.xml"/><Relationship Id="rId1481" Type="http://schemas.openxmlformats.org/officeDocument/2006/relationships/header" Target="header733.xml"/><Relationship Id="rId1482" Type="http://schemas.openxmlformats.org/officeDocument/2006/relationships/footer" Target="footer733.xml"/><Relationship Id="rId1483" Type="http://schemas.openxmlformats.org/officeDocument/2006/relationships/header" Target="header734.xml"/><Relationship Id="rId1484" Type="http://schemas.openxmlformats.org/officeDocument/2006/relationships/footer" Target="footer734.xml"/><Relationship Id="rId1485" Type="http://schemas.openxmlformats.org/officeDocument/2006/relationships/header" Target="header735.xml"/><Relationship Id="rId1486" Type="http://schemas.openxmlformats.org/officeDocument/2006/relationships/footer" Target="footer735.xml"/><Relationship Id="rId1487" Type="http://schemas.openxmlformats.org/officeDocument/2006/relationships/header" Target="header736.xml"/><Relationship Id="rId1488" Type="http://schemas.openxmlformats.org/officeDocument/2006/relationships/footer" Target="footer736.xml"/><Relationship Id="rId1489" Type="http://schemas.openxmlformats.org/officeDocument/2006/relationships/header" Target="header737.xml"/><Relationship Id="rId1490" Type="http://schemas.openxmlformats.org/officeDocument/2006/relationships/footer" Target="footer737.xml"/><Relationship Id="rId1491" Type="http://schemas.openxmlformats.org/officeDocument/2006/relationships/header" Target="header738.xml"/><Relationship Id="rId1492" Type="http://schemas.openxmlformats.org/officeDocument/2006/relationships/footer" Target="footer738.xml"/><Relationship Id="rId1493" Type="http://schemas.openxmlformats.org/officeDocument/2006/relationships/header" Target="header739.xml"/><Relationship Id="rId1494" Type="http://schemas.openxmlformats.org/officeDocument/2006/relationships/footer" Target="footer739.xml"/><Relationship Id="rId1495" Type="http://schemas.openxmlformats.org/officeDocument/2006/relationships/header" Target="header740.xml"/><Relationship Id="rId1496" Type="http://schemas.openxmlformats.org/officeDocument/2006/relationships/footer" Target="footer740.xml"/><Relationship Id="rId1497" Type="http://schemas.openxmlformats.org/officeDocument/2006/relationships/header" Target="header741.xml"/><Relationship Id="rId1498" Type="http://schemas.openxmlformats.org/officeDocument/2006/relationships/footer" Target="footer741.xml"/><Relationship Id="rId1499" Type="http://schemas.openxmlformats.org/officeDocument/2006/relationships/header" Target="header742.xml"/><Relationship Id="rId1500" Type="http://schemas.openxmlformats.org/officeDocument/2006/relationships/footer" Target="footer742.xml"/><Relationship Id="rId1501" Type="http://schemas.openxmlformats.org/officeDocument/2006/relationships/header" Target="header743.xml"/><Relationship Id="rId1502" Type="http://schemas.openxmlformats.org/officeDocument/2006/relationships/footer" Target="footer743.xml"/><Relationship Id="rId1503" Type="http://schemas.openxmlformats.org/officeDocument/2006/relationships/header" Target="header744.xml"/><Relationship Id="rId1504" Type="http://schemas.openxmlformats.org/officeDocument/2006/relationships/footer" Target="footer744.xml"/><Relationship Id="rId1505" Type="http://schemas.openxmlformats.org/officeDocument/2006/relationships/header" Target="header745.xml"/><Relationship Id="rId1506" Type="http://schemas.openxmlformats.org/officeDocument/2006/relationships/footer" Target="footer745.xml"/><Relationship Id="rId1507" Type="http://schemas.openxmlformats.org/officeDocument/2006/relationships/header" Target="header746.xml"/><Relationship Id="rId1508" Type="http://schemas.openxmlformats.org/officeDocument/2006/relationships/footer" Target="footer746.xml"/><Relationship Id="rId1509" Type="http://schemas.openxmlformats.org/officeDocument/2006/relationships/header" Target="header747.xml"/><Relationship Id="rId1510" Type="http://schemas.openxmlformats.org/officeDocument/2006/relationships/footer" Target="footer747.xml"/><Relationship Id="rId1511" Type="http://schemas.openxmlformats.org/officeDocument/2006/relationships/header" Target="header748.xml"/><Relationship Id="rId1512" Type="http://schemas.openxmlformats.org/officeDocument/2006/relationships/footer" Target="footer748.xml"/><Relationship Id="rId1513" Type="http://schemas.openxmlformats.org/officeDocument/2006/relationships/header" Target="header749.xml"/><Relationship Id="rId1514" Type="http://schemas.openxmlformats.org/officeDocument/2006/relationships/footer" Target="footer749.xml"/><Relationship Id="rId1515" Type="http://schemas.openxmlformats.org/officeDocument/2006/relationships/header" Target="header750.xml"/><Relationship Id="rId1516" Type="http://schemas.openxmlformats.org/officeDocument/2006/relationships/footer" Target="footer750.xml"/><Relationship Id="rId1517" Type="http://schemas.openxmlformats.org/officeDocument/2006/relationships/header" Target="header751.xml"/><Relationship Id="rId1518" Type="http://schemas.openxmlformats.org/officeDocument/2006/relationships/footer" Target="footer751.xml"/><Relationship Id="rId1519" Type="http://schemas.openxmlformats.org/officeDocument/2006/relationships/header" Target="header752.xml"/><Relationship Id="rId1520" Type="http://schemas.openxmlformats.org/officeDocument/2006/relationships/footer" Target="footer752.xml"/><Relationship Id="rId1521" Type="http://schemas.openxmlformats.org/officeDocument/2006/relationships/header" Target="header753.xml"/><Relationship Id="rId1522" Type="http://schemas.openxmlformats.org/officeDocument/2006/relationships/footer" Target="footer753.xml"/><Relationship Id="rId1523" Type="http://schemas.openxmlformats.org/officeDocument/2006/relationships/header" Target="header754.xml"/><Relationship Id="rId1524" Type="http://schemas.openxmlformats.org/officeDocument/2006/relationships/footer" Target="footer754.xml"/><Relationship Id="rId1525" Type="http://schemas.openxmlformats.org/officeDocument/2006/relationships/header" Target="header755.xml"/><Relationship Id="rId1526" Type="http://schemas.openxmlformats.org/officeDocument/2006/relationships/footer" Target="footer755.xml"/><Relationship Id="rId1527" Type="http://schemas.openxmlformats.org/officeDocument/2006/relationships/header" Target="header756.xml"/><Relationship Id="rId1528" Type="http://schemas.openxmlformats.org/officeDocument/2006/relationships/footer" Target="footer756.xml"/><Relationship Id="rId1529" Type="http://schemas.openxmlformats.org/officeDocument/2006/relationships/header" Target="header757.xml"/><Relationship Id="rId1530" Type="http://schemas.openxmlformats.org/officeDocument/2006/relationships/footer" Target="footer757.xml"/><Relationship Id="rId1531" Type="http://schemas.openxmlformats.org/officeDocument/2006/relationships/header" Target="header758.xml"/><Relationship Id="rId1532" Type="http://schemas.openxmlformats.org/officeDocument/2006/relationships/footer" Target="footer758.xml"/><Relationship Id="rId1533" Type="http://schemas.openxmlformats.org/officeDocument/2006/relationships/header" Target="header759.xml"/><Relationship Id="rId1534" Type="http://schemas.openxmlformats.org/officeDocument/2006/relationships/footer" Target="footer759.xml"/><Relationship Id="rId1535" Type="http://schemas.openxmlformats.org/officeDocument/2006/relationships/header" Target="header760.xml"/><Relationship Id="rId1536" Type="http://schemas.openxmlformats.org/officeDocument/2006/relationships/footer" Target="footer760.xml"/><Relationship Id="rId1537" Type="http://schemas.openxmlformats.org/officeDocument/2006/relationships/header" Target="header761.xml"/><Relationship Id="rId1538" Type="http://schemas.openxmlformats.org/officeDocument/2006/relationships/footer" Target="footer761.xml"/><Relationship Id="rId1539" Type="http://schemas.openxmlformats.org/officeDocument/2006/relationships/header" Target="header762.xml"/><Relationship Id="rId1540" Type="http://schemas.openxmlformats.org/officeDocument/2006/relationships/footer" Target="footer762.xml"/><Relationship Id="rId1541" Type="http://schemas.openxmlformats.org/officeDocument/2006/relationships/header" Target="header763.xml"/><Relationship Id="rId1542" Type="http://schemas.openxmlformats.org/officeDocument/2006/relationships/footer" Target="footer763.xml"/><Relationship Id="rId1543" Type="http://schemas.openxmlformats.org/officeDocument/2006/relationships/header" Target="header764.xml"/><Relationship Id="rId1544" Type="http://schemas.openxmlformats.org/officeDocument/2006/relationships/footer" Target="footer764.xml"/><Relationship Id="rId1545" Type="http://schemas.openxmlformats.org/officeDocument/2006/relationships/header" Target="header765.xml"/><Relationship Id="rId1546" Type="http://schemas.openxmlformats.org/officeDocument/2006/relationships/footer" Target="footer765.xml"/><Relationship Id="rId1547" Type="http://schemas.openxmlformats.org/officeDocument/2006/relationships/header" Target="header766.xml"/><Relationship Id="rId1548" Type="http://schemas.openxmlformats.org/officeDocument/2006/relationships/footer" Target="footer766.xml"/><Relationship Id="rId1549" Type="http://schemas.openxmlformats.org/officeDocument/2006/relationships/header" Target="header767.xml"/><Relationship Id="rId1550" Type="http://schemas.openxmlformats.org/officeDocument/2006/relationships/footer" Target="footer767.xml"/><Relationship Id="rId1551" Type="http://schemas.openxmlformats.org/officeDocument/2006/relationships/header" Target="header768.xml"/><Relationship Id="rId1552" Type="http://schemas.openxmlformats.org/officeDocument/2006/relationships/footer" Target="footer768.xml"/><Relationship Id="rId1553" Type="http://schemas.openxmlformats.org/officeDocument/2006/relationships/header" Target="header769.xml"/><Relationship Id="rId1554" Type="http://schemas.openxmlformats.org/officeDocument/2006/relationships/footer" Target="footer769.xml"/><Relationship Id="rId1555" Type="http://schemas.openxmlformats.org/officeDocument/2006/relationships/header" Target="header770.xml"/><Relationship Id="rId1556" Type="http://schemas.openxmlformats.org/officeDocument/2006/relationships/footer" Target="footer770.xml"/><Relationship Id="rId1557" Type="http://schemas.openxmlformats.org/officeDocument/2006/relationships/header" Target="header771.xml"/><Relationship Id="rId1558" Type="http://schemas.openxmlformats.org/officeDocument/2006/relationships/footer" Target="footer771.xml"/><Relationship Id="rId1559" Type="http://schemas.openxmlformats.org/officeDocument/2006/relationships/header" Target="header772.xml"/><Relationship Id="rId1560" Type="http://schemas.openxmlformats.org/officeDocument/2006/relationships/footer" Target="footer772.xml"/><Relationship Id="rId1561" Type="http://schemas.openxmlformats.org/officeDocument/2006/relationships/header" Target="header773.xml"/><Relationship Id="rId1562" Type="http://schemas.openxmlformats.org/officeDocument/2006/relationships/footer" Target="footer773.xml"/><Relationship Id="rId1563" Type="http://schemas.openxmlformats.org/officeDocument/2006/relationships/header" Target="header774.xml"/><Relationship Id="rId1564" Type="http://schemas.openxmlformats.org/officeDocument/2006/relationships/footer" Target="footer774.xml"/><Relationship Id="rId1565" Type="http://schemas.openxmlformats.org/officeDocument/2006/relationships/header" Target="header775.xml"/><Relationship Id="rId1566" Type="http://schemas.openxmlformats.org/officeDocument/2006/relationships/footer" Target="footer775.xml"/><Relationship Id="rId1567" Type="http://schemas.openxmlformats.org/officeDocument/2006/relationships/header" Target="header776.xml"/><Relationship Id="rId1568" Type="http://schemas.openxmlformats.org/officeDocument/2006/relationships/footer" Target="footer776.xml"/><Relationship Id="rId1569" Type="http://schemas.openxmlformats.org/officeDocument/2006/relationships/header" Target="header777.xml"/><Relationship Id="rId1570" Type="http://schemas.openxmlformats.org/officeDocument/2006/relationships/footer" Target="footer777.xml"/><Relationship Id="rId1571" Type="http://schemas.openxmlformats.org/officeDocument/2006/relationships/header" Target="header778.xml"/><Relationship Id="rId1572" Type="http://schemas.openxmlformats.org/officeDocument/2006/relationships/footer" Target="footer778.xml"/><Relationship Id="rId1573" Type="http://schemas.openxmlformats.org/officeDocument/2006/relationships/header" Target="header779.xml"/><Relationship Id="rId1574" Type="http://schemas.openxmlformats.org/officeDocument/2006/relationships/footer" Target="footer779.xml"/><Relationship Id="rId1575" Type="http://schemas.openxmlformats.org/officeDocument/2006/relationships/header" Target="header780.xml"/><Relationship Id="rId1576" Type="http://schemas.openxmlformats.org/officeDocument/2006/relationships/footer" Target="footer780.xml"/><Relationship Id="rId1577" Type="http://schemas.openxmlformats.org/officeDocument/2006/relationships/header" Target="header781.xml"/><Relationship Id="rId1578" Type="http://schemas.openxmlformats.org/officeDocument/2006/relationships/footer" Target="footer781.xml"/><Relationship Id="rId1579" Type="http://schemas.openxmlformats.org/officeDocument/2006/relationships/header" Target="header782.xml"/><Relationship Id="rId1580" Type="http://schemas.openxmlformats.org/officeDocument/2006/relationships/footer" Target="footer782.xml"/><Relationship Id="rId1581" Type="http://schemas.openxmlformats.org/officeDocument/2006/relationships/header" Target="header783.xml"/><Relationship Id="rId1582" Type="http://schemas.openxmlformats.org/officeDocument/2006/relationships/footer" Target="footer783.xml"/><Relationship Id="rId1583" Type="http://schemas.openxmlformats.org/officeDocument/2006/relationships/header" Target="header784.xml"/><Relationship Id="rId1584" Type="http://schemas.openxmlformats.org/officeDocument/2006/relationships/footer" Target="footer784.xml"/><Relationship Id="rId1585" Type="http://schemas.openxmlformats.org/officeDocument/2006/relationships/header" Target="header785.xml"/><Relationship Id="rId1586" Type="http://schemas.openxmlformats.org/officeDocument/2006/relationships/footer" Target="footer785.xml"/><Relationship Id="rId1587" Type="http://schemas.openxmlformats.org/officeDocument/2006/relationships/header" Target="header786.xml"/><Relationship Id="rId1588" Type="http://schemas.openxmlformats.org/officeDocument/2006/relationships/footer" Target="footer786.xml"/><Relationship Id="rId1589" Type="http://schemas.openxmlformats.org/officeDocument/2006/relationships/header" Target="header787.xml"/><Relationship Id="rId1590" Type="http://schemas.openxmlformats.org/officeDocument/2006/relationships/footer" Target="footer787.xml"/><Relationship Id="rId1591" Type="http://schemas.openxmlformats.org/officeDocument/2006/relationships/header" Target="header788.xml"/><Relationship Id="rId1592" Type="http://schemas.openxmlformats.org/officeDocument/2006/relationships/footer" Target="footer788.xml"/><Relationship Id="rId1593" Type="http://schemas.openxmlformats.org/officeDocument/2006/relationships/header" Target="header789.xml"/><Relationship Id="rId1594" Type="http://schemas.openxmlformats.org/officeDocument/2006/relationships/footer" Target="footer789.xml"/><Relationship Id="rId1595" Type="http://schemas.openxmlformats.org/officeDocument/2006/relationships/header" Target="header790.xml"/><Relationship Id="rId1596" Type="http://schemas.openxmlformats.org/officeDocument/2006/relationships/footer" Target="footer790.xml"/><Relationship Id="rId1597" Type="http://schemas.openxmlformats.org/officeDocument/2006/relationships/header" Target="header791.xml"/><Relationship Id="rId1598" Type="http://schemas.openxmlformats.org/officeDocument/2006/relationships/footer" Target="footer791.xml"/><Relationship Id="rId1599" Type="http://schemas.openxmlformats.org/officeDocument/2006/relationships/header" Target="header792.xml"/><Relationship Id="rId1600" Type="http://schemas.openxmlformats.org/officeDocument/2006/relationships/footer" Target="footer792.xml"/><Relationship Id="rId1601" Type="http://schemas.openxmlformats.org/officeDocument/2006/relationships/header" Target="header793.xml"/><Relationship Id="rId1602" Type="http://schemas.openxmlformats.org/officeDocument/2006/relationships/footer" Target="footer793.xml"/><Relationship Id="rId1603" Type="http://schemas.openxmlformats.org/officeDocument/2006/relationships/header" Target="header794.xml"/><Relationship Id="rId1604" Type="http://schemas.openxmlformats.org/officeDocument/2006/relationships/footer" Target="footer794.xml"/><Relationship Id="rId1605" Type="http://schemas.openxmlformats.org/officeDocument/2006/relationships/header" Target="header795.xml"/><Relationship Id="rId1606" Type="http://schemas.openxmlformats.org/officeDocument/2006/relationships/footer" Target="footer795.xml"/><Relationship Id="rId1607" Type="http://schemas.openxmlformats.org/officeDocument/2006/relationships/header" Target="header796.xml"/><Relationship Id="rId1608" Type="http://schemas.openxmlformats.org/officeDocument/2006/relationships/footer" Target="footer796.xml"/><Relationship Id="rId1609" Type="http://schemas.openxmlformats.org/officeDocument/2006/relationships/header" Target="header797.xml"/><Relationship Id="rId1610" Type="http://schemas.openxmlformats.org/officeDocument/2006/relationships/footer" Target="footer797.xml"/><Relationship Id="rId1611" Type="http://schemas.openxmlformats.org/officeDocument/2006/relationships/header" Target="header798.xml"/><Relationship Id="rId1612" Type="http://schemas.openxmlformats.org/officeDocument/2006/relationships/footer" Target="footer798.xml"/><Relationship Id="rId1613" Type="http://schemas.openxmlformats.org/officeDocument/2006/relationships/header" Target="header799.xml"/><Relationship Id="rId1614" Type="http://schemas.openxmlformats.org/officeDocument/2006/relationships/footer" Target="footer799.xml"/><Relationship Id="rId1615" Type="http://schemas.openxmlformats.org/officeDocument/2006/relationships/header" Target="header800.xml"/><Relationship Id="rId1616" Type="http://schemas.openxmlformats.org/officeDocument/2006/relationships/footer" Target="footer800.xml"/><Relationship Id="rId1617" Type="http://schemas.openxmlformats.org/officeDocument/2006/relationships/header" Target="header801.xml"/><Relationship Id="rId1618" Type="http://schemas.openxmlformats.org/officeDocument/2006/relationships/footer" Target="footer801.xml"/><Relationship Id="rId1619" Type="http://schemas.openxmlformats.org/officeDocument/2006/relationships/header" Target="header802.xml"/><Relationship Id="rId1620" Type="http://schemas.openxmlformats.org/officeDocument/2006/relationships/footer" Target="footer802.xml"/><Relationship Id="rId1621" Type="http://schemas.openxmlformats.org/officeDocument/2006/relationships/header" Target="header803.xml"/><Relationship Id="rId1622" Type="http://schemas.openxmlformats.org/officeDocument/2006/relationships/footer" Target="footer803.xml"/><Relationship Id="rId1623" Type="http://schemas.openxmlformats.org/officeDocument/2006/relationships/header" Target="header804.xml"/><Relationship Id="rId1624" Type="http://schemas.openxmlformats.org/officeDocument/2006/relationships/footer" Target="footer804.xml"/><Relationship Id="rId1625" Type="http://schemas.openxmlformats.org/officeDocument/2006/relationships/header" Target="header805.xml"/><Relationship Id="rId1626" Type="http://schemas.openxmlformats.org/officeDocument/2006/relationships/footer" Target="footer805.xml"/><Relationship Id="rId1627" Type="http://schemas.openxmlformats.org/officeDocument/2006/relationships/header" Target="header806.xml"/><Relationship Id="rId1628" Type="http://schemas.openxmlformats.org/officeDocument/2006/relationships/footer" Target="footer806.xml"/><Relationship Id="rId1629" Type="http://schemas.openxmlformats.org/officeDocument/2006/relationships/header" Target="header807.xml"/><Relationship Id="rId1630" Type="http://schemas.openxmlformats.org/officeDocument/2006/relationships/footer" Target="footer807.xml"/><Relationship Id="rId1631" Type="http://schemas.openxmlformats.org/officeDocument/2006/relationships/header" Target="header808.xml"/><Relationship Id="rId1632" Type="http://schemas.openxmlformats.org/officeDocument/2006/relationships/footer" Target="footer808.xml"/><Relationship Id="rId1633" Type="http://schemas.openxmlformats.org/officeDocument/2006/relationships/header" Target="header809.xml"/><Relationship Id="rId1634" Type="http://schemas.openxmlformats.org/officeDocument/2006/relationships/footer" Target="footer809.xml"/><Relationship Id="rId1635" Type="http://schemas.openxmlformats.org/officeDocument/2006/relationships/header" Target="header810.xml"/><Relationship Id="rId1636" Type="http://schemas.openxmlformats.org/officeDocument/2006/relationships/footer" Target="footer810.xml"/><Relationship Id="rId1637" Type="http://schemas.openxmlformats.org/officeDocument/2006/relationships/header" Target="header811.xml"/><Relationship Id="rId1638" Type="http://schemas.openxmlformats.org/officeDocument/2006/relationships/footer" Target="footer811.xml"/><Relationship Id="rId1639" Type="http://schemas.openxmlformats.org/officeDocument/2006/relationships/header" Target="header812.xml"/><Relationship Id="rId1640" Type="http://schemas.openxmlformats.org/officeDocument/2006/relationships/footer" Target="footer812.xml"/><Relationship Id="rId1641" Type="http://schemas.openxmlformats.org/officeDocument/2006/relationships/header" Target="header813.xml"/><Relationship Id="rId1642" Type="http://schemas.openxmlformats.org/officeDocument/2006/relationships/footer" Target="footer813.xml"/><Relationship Id="rId1643" Type="http://schemas.openxmlformats.org/officeDocument/2006/relationships/header" Target="header814.xml"/><Relationship Id="rId1644" Type="http://schemas.openxmlformats.org/officeDocument/2006/relationships/footer" Target="footer814.xml"/><Relationship Id="rId1645" Type="http://schemas.openxmlformats.org/officeDocument/2006/relationships/header" Target="header815.xml"/><Relationship Id="rId1646" Type="http://schemas.openxmlformats.org/officeDocument/2006/relationships/footer" Target="footer815.xml"/><Relationship Id="rId1647" Type="http://schemas.openxmlformats.org/officeDocument/2006/relationships/header" Target="header816.xml"/><Relationship Id="rId1648" Type="http://schemas.openxmlformats.org/officeDocument/2006/relationships/footer" Target="footer816.xml"/><Relationship Id="rId1649" Type="http://schemas.openxmlformats.org/officeDocument/2006/relationships/header" Target="header817.xml"/><Relationship Id="rId1650" Type="http://schemas.openxmlformats.org/officeDocument/2006/relationships/footer" Target="footer817.xml"/><Relationship Id="rId1651" Type="http://schemas.openxmlformats.org/officeDocument/2006/relationships/header" Target="header818.xml"/><Relationship Id="rId1652" Type="http://schemas.openxmlformats.org/officeDocument/2006/relationships/footer" Target="footer818.xml"/><Relationship Id="rId1653" Type="http://schemas.openxmlformats.org/officeDocument/2006/relationships/header" Target="header819.xml"/><Relationship Id="rId1654" Type="http://schemas.openxmlformats.org/officeDocument/2006/relationships/footer" Target="footer819.xml"/><Relationship Id="rId1655" Type="http://schemas.openxmlformats.org/officeDocument/2006/relationships/header" Target="header820.xml"/><Relationship Id="rId1656" Type="http://schemas.openxmlformats.org/officeDocument/2006/relationships/footer" Target="footer820.xml"/><Relationship Id="rId1657" Type="http://schemas.openxmlformats.org/officeDocument/2006/relationships/header" Target="header821.xml"/><Relationship Id="rId1658" Type="http://schemas.openxmlformats.org/officeDocument/2006/relationships/footer" Target="footer821.xml"/><Relationship Id="rId1659" Type="http://schemas.openxmlformats.org/officeDocument/2006/relationships/header" Target="header822.xml"/><Relationship Id="rId1660" Type="http://schemas.openxmlformats.org/officeDocument/2006/relationships/footer" Target="footer822.xml"/><Relationship Id="rId1661" Type="http://schemas.openxmlformats.org/officeDocument/2006/relationships/header" Target="header823.xml"/><Relationship Id="rId1662" Type="http://schemas.openxmlformats.org/officeDocument/2006/relationships/footer" Target="footer823.xml"/><Relationship Id="rId1663" Type="http://schemas.openxmlformats.org/officeDocument/2006/relationships/header" Target="header824.xml"/><Relationship Id="rId1664" Type="http://schemas.openxmlformats.org/officeDocument/2006/relationships/footer" Target="footer824.xml"/><Relationship Id="rId1665" Type="http://schemas.openxmlformats.org/officeDocument/2006/relationships/header" Target="header825.xml"/><Relationship Id="rId1666" Type="http://schemas.openxmlformats.org/officeDocument/2006/relationships/footer" Target="footer825.xml"/><Relationship Id="rId1667" Type="http://schemas.openxmlformats.org/officeDocument/2006/relationships/header" Target="header826.xml"/><Relationship Id="rId1668" Type="http://schemas.openxmlformats.org/officeDocument/2006/relationships/footer" Target="footer826.xml"/><Relationship Id="rId1669" Type="http://schemas.openxmlformats.org/officeDocument/2006/relationships/header" Target="header827.xml"/><Relationship Id="rId1670" Type="http://schemas.openxmlformats.org/officeDocument/2006/relationships/footer" Target="footer827.xml"/><Relationship Id="rId1671" Type="http://schemas.openxmlformats.org/officeDocument/2006/relationships/header" Target="header828.xml"/><Relationship Id="rId1672" Type="http://schemas.openxmlformats.org/officeDocument/2006/relationships/footer" Target="footer828.xml"/><Relationship Id="rId1673" Type="http://schemas.openxmlformats.org/officeDocument/2006/relationships/header" Target="header829.xml"/><Relationship Id="rId1674" Type="http://schemas.openxmlformats.org/officeDocument/2006/relationships/footer" Target="footer829.xml"/><Relationship Id="rId1675" Type="http://schemas.openxmlformats.org/officeDocument/2006/relationships/header" Target="header830.xml"/><Relationship Id="rId1676" Type="http://schemas.openxmlformats.org/officeDocument/2006/relationships/footer" Target="footer830.xml"/><Relationship Id="rId1677" Type="http://schemas.openxmlformats.org/officeDocument/2006/relationships/header" Target="header831.xml"/><Relationship Id="rId1678" Type="http://schemas.openxmlformats.org/officeDocument/2006/relationships/footer" Target="footer831.xml"/><Relationship Id="rId1679" Type="http://schemas.openxmlformats.org/officeDocument/2006/relationships/header" Target="header832.xml"/><Relationship Id="rId1680" Type="http://schemas.openxmlformats.org/officeDocument/2006/relationships/footer" Target="footer832.xml"/><Relationship Id="rId1681" Type="http://schemas.openxmlformats.org/officeDocument/2006/relationships/header" Target="header833.xml"/><Relationship Id="rId1682" Type="http://schemas.openxmlformats.org/officeDocument/2006/relationships/footer" Target="footer833.xml"/><Relationship Id="rId1683" Type="http://schemas.openxmlformats.org/officeDocument/2006/relationships/header" Target="header834.xml"/><Relationship Id="rId1684" Type="http://schemas.openxmlformats.org/officeDocument/2006/relationships/footer" Target="footer834.xml"/><Relationship Id="rId1685" Type="http://schemas.openxmlformats.org/officeDocument/2006/relationships/header" Target="header835.xml"/><Relationship Id="rId1686" Type="http://schemas.openxmlformats.org/officeDocument/2006/relationships/footer" Target="footer835.xml"/><Relationship Id="rId1687" Type="http://schemas.openxmlformats.org/officeDocument/2006/relationships/header" Target="header836.xml"/><Relationship Id="rId1688" Type="http://schemas.openxmlformats.org/officeDocument/2006/relationships/footer" Target="footer836.xml"/><Relationship Id="rId1689" Type="http://schemas.openxmlformats.org/officeDocument/2006/relationships/header" Target="header837.xml"/><Relationship Id="rId1690" Type="http://schemas.openxmlformats.org/officeDocument/2006/relationships/footer" Target="footer837.xml"/><Relationship Id="rId1691" Type="http://schemas.openxmlformats.org/officeDocument/2006/relationships/header" Target="header838.xml"/><Relationship Id="rId1692" Type="http://schemas.openxmlformats.org/officeDocument/2006/relationships/footer" Target="footer838.xml"/><Relationship Id="rId1693" Type="http://schemas.openxmlformats.org/officeDocument/2006/relationships/header" Target="header839.xml"/><Relationship Id="rId1694" Type="http://schemas.openxmlformats.org/officeDocument/2006/relationships/footer" Target="footer839.xml"/><Relationship Id="rId1695" Type="http://schemas.openxmlformats.org/officeDocument/2006/relationships/header" Target="header840.xml"/><Relationship Id="rId1696" Type="http://schemas.openxmlformats.org/officeDocument/2006/relationships/footer" Target="footer840.xml"/><Relationship Id="rId1697" Type="http://schemas.openxmlformats.org/officeDocument/2006/relationships/header" Target="header841.xml"/><Relationship Id="rId1698" Type="http://schemas.openxmlformats.org/officeDocument/2006/relationships/footer" Target="footer841.xml"/><Relationship Id="rId1699" Type="http://schemas.openxmlformats.org/officeDocument/2006/relationships/header" Target="header842.xml"/><Relationship Id="rId1700" Type="http://schemas.openxmlformats.org/officeDocument/2006/relationships/footer" Target="footer842.xml"/><Relationship Id="rId1701" Type="http://schemas.openxmlformats.org/officeDocument/2006/relationships/header" Target="header843.xml"/><Relationship Id="rId1702" Type="http://schemas.openxmlformats.org/officeDocument/2006/relationships/footer" Target="footer843.xml"/><Relationship Id="rId1703" Type="http://schemas.openxmlformats.org/officeDocument/2006/relationships/header" Target="header844.xml"/><Relationship Id="rId1704" Type="http://schemas.openxmlformats.org/officeDocument/2006/relationships/footer" Target="footer844.xml"/><Relationship Id="rId1705" Type="http://schemas.openxmlformats.org/officeDocument/2006/relationships/header" Target="header845.xml"/><Relationship Id="rId1706" Type="http://schemas.openxmlformats.org/officeDocument/2006/relationships/footer" Target="footer845.xml"/><Relationship Id="rId1707" Type="http://schemas.openxmlformats.org/officeDocument/2006/relationships/header" Target="header846.xml"/><Relationship Id="rId1708" Type="http://schemas.openxmlformats.org/officeDocument/2006/relationships/footer" Target="footer846.xml"/><Relationship Id="rId1709" Type="http://schemas.openxmlformats.org/officeDocument/2006/relationships/header" Target="header847.xml"/><Relationship Id="rId1710" Type="http://schemas.openxmlformats.org/officeDocument/2006/relationships/footer" Target="footer847.xml"/><Relationship Id="rId1711" Type="http://schemas.openxmlformats.org/officeDocument/2006/relationships/header" Target="header848.xml"/><Relationship Id="rId1712" Type="http://schemas.openxmlformats.org/officeDocument/2006/relationships/footer" Target="footer848.xml"/><Relationship Id="rId1713" Type="http://schemas.openxmlformats.org/officeDocument/2006/relationships/header" Target="header849.xml"/><Relationship Id="rId1714" Type="http://schemas.openxmlformats.org/officeDocument/2006/relationships/footer" Target="footer849.xml"/><Relationship Id="rId1715" Type="http://schemas.openxmlformats.org/officeDocument/2006/relationships/header" Target="header850.xml"/><Relationship Id="rId1716" Type="http://schemas.openxmlformats.org/officeDocument/2006/relationships/footer" Target="footer850.xml"/><Relationship Id="rId1717" Type="http://schemas.openxmlformats.org/officeDocument/2006/relationships/header" Target="header851.xml"/><Relationship Id="rId1718" Type="http://schemas.openxmlformats.org/officeDocument/2006/relationships/footer" Target="footer851.xml"/><Relationship Id="rId1719" Type="http://schemas.openxmlformats.org/officeDocument/2006/relationships/header" Target="header852.xml"/><Relationship Id="rId1720" Type="http://schemas.openxmlformats.org/officeDocument/2006/relationships/footer" Target="footer852.xml"/><Relationship Id="rId1721" Type="http://schemas.openxmlformats.org/officeDocument/2006/relationships/header" Target="header853.xml"/><Relationship Id="rId1722" Type="http://schemas.openxmlformats.org/officeDocument/2006/relationships/footer" Target="footer853.xml"/><Relationship Id="rId1723" Type="http://schemas.openxmlformats.org/officeDocument/2006/relationships/header" Target="header854.xml"/><Relationship Id="rId1724" Type="http://schemas.openxmlformats.org/officeDocument/2006/relationships/footer" Target="footer854.xml"/><Relationship Id="rId1725" Type="http://schemas.openxmlformats.org/officeDocument/2006/relationships/header" Target="header855.xml"/><Relationship Id="rId1726" Type="http://schemas.openxmlformats.org/officeDocument/2006/relationships/footer" Target="footer855.xml"/><Relationship Id="rId1727" Type="http://schemas.openxmlformats.org/officeDocument/2006/relationships/header" Target="header856.xml"/><Relationship Id="rId1728" Type="http://schemas.openxmlformats.org/officeDocument/2006/relationships/footer" Target="footer856.xml"/><Relationship Id="rId1729" Type="http://schemas.openxmlformats.org/officeDocument/2006/relationships/header" Target="header857.xml"/><Relationship Id="rId1730" Type="http://schemas.openxmlformats.org/officeDocument/2006/relationships/footer" Target="footer857.xml"/><Relationship Id="rId1731" Type="http://schemas.openxmlformats.org/officeDocument/2006/relationships/header" Target="header858.xml"/><Relationship Id="rId1732" Type="http://schemas.openxmlformats.org/officeDocument/2006/relationships/footer" Target="footer858.xml"/><Relationship Id="rId1733" Type="http://schemas.openxmlformats.org/officeDocument/2006/relationships/header" Target="header859.xml"/><Relationship Id="rId1734" Type="http://schemas.openxmlformats.org/officeDocument/2006/relationships/footer" Target="footer859.xml"/><Relationship Id="rId1735" Type="http://schemas.openxmlformats.org/officeDocument/2006/relationships/header" Target="header860.xml"/><Relationship Id="rId1736" Type="http://schemas.openxmlformats.org/officeDocument/2006/relationships/footer" Target="footer860.xml"/><Relationship Id="rId1737" Type="http://schemas.openxmlformats.org/officeDocument/2006/relationships/header" Target="header861.xml"/><Relationship Id="rId1738" Type="http://schemas.openxmlformats.org/officeDocument/2006/relationships/footer" Target="footer861.xml"/><Relationship Id="rId1739" Type="http://schemas.openxmlformats.org/officeDocument/2006/relationships/header" Target="header862.xml"/><Relationship Id="rId1740" Type="http://schemas.openxmlformats.org/officeDocument/2006/relationships/footer" Target="footer862.xml"/><Relationship Id="rId1741" Type="http://schemas.openxmlformats.org/officeDocument/2006/relationships/header" Target="header863.xml"/><Relationship Id="rId1742" Type="http://schemas.openxmlformats.org/officeDocument/2006/relationships/footer" Target="footer863.xml"/><Relationship Id="rId1743" Type="http://schemas.openxmlformats.org/officeDocument/2006/relationships/header" Target="header864.xml"/><Relationship Id="rId1744" Type="http://schemas.openxmlformats.org/officeDocument/2006/relationships/footer" Target="footer864.xml"/><Relationship Id="rId1745" Type="http://schemas.openxmlformats.org/officeDocument/2006/relationships/header" Target="header865.xml"/><Relationship Id="rId1746" Type="http://schemas.openxmlformats.org/officeDocument/2006/relationships/footer" Target="footer865.xml"/><Relationship Id="rId1747" Type="http://schemas.openxmlformats.org/officeDocument/2006/relationships/header" Target="header866.xml"/><Relationship Id="rId1748" Type="http://schemas.openxmlformats.org/officeDocument/2006/relationships/footer" Target="footer866.xml"/><Relationship Id="rId1749" Type="http://schemas.openxmlformats.org/officeDocument/2006/relationships/header" Target="header867.xml"/><Relationship Id="rId1750" Type="http://schemas.openxmlformats.org/officeDocument/2006/relationships/footer" Target="footer867.xml"/><Relationship Id="rId1751" Type="http://schemas.openxmlformats.org/officeDocument/2006/relationships/header" Target="header868.xml"/><Relationship Id="rId1752" Type="http://schemas.openxmlformats.org/officeDocument/2006/relationships/footer" Target="footer868.xml"/><Relationship Id="rId1753" Type="http://schemas.openxmlformats.org/officeDocument/2006/relationships/header" Target="header869.xml"/><Relationship Id="rId1754" Type="http://schemas.openxmlformats.org/officeDocument/2006/relationships/footer" Target="footer869.xml"/><Relationship Id="rId1755" Type="http://schemas.openxmlformats.org/officeDocument/2006/relationships/header" Target="header870.xml"/><Relationship Id="rId1756" Type="http://schemas.openxmlformats.org/officeDocument/2006/relationships/footer" Target="footer870.xml"/><Relationship Id="rId1757" Type="http://schemas.openxmlformats.org/officeDocument/2006/relationships/header" Target="header871.xml"/><Relationship Id="rId1758" Type="http://schemas.openxmlformats.org/officeDocument/2006/relationships/footer" Target="footer871.xml"/><Relationship Id="rId1759" Type="http://schemas.openxmlformats.org/officeDocument/2006/relationships/header" Target="header872.xml"/><Relationship Id="rId1760" Type="http://schemas.openxmlformats.org/officeDocument/2006/relationships/footer" Target="footer872.xml"/><Relationship Id="rId1761" Type="http://schemas.openxmlformats.org/officeDocument/2006/relationships/header" Target="header873.xml"/><Relationship Id="rId1762" Type="http://schemas.openxmlformats.org/officeDocument/2006/relationships/footer" Target="footer873.xml"/><Relationship Id="rId1763" Type="http://schemas.openxmlformats.org/officeDocument/2006/relationships/header" Target="header874.xml"/><Relationship Id="rId1764" Type="http://schemas.openxmlformats.org/officeDocument/2006/relationships/footer" Target="footer874.xml"/><Relationship Id="rId1765" Type="http://schemas.openxmlformats.org/officeDocument/2006/relationships/header" Target="header875.xml"/><Relationship Id="rId1766" Type="http://schemas.openxmlformats.org/officeDocument/2006/relationships/footer" Target="footer875.xml"/><Relationship Id="rId1767" Type="http://schemas.openxmlformats.org/officeDocument/2006/relationships/header" Target="header876.xml"/><Relationship Id="rId1768" Type="http://schemas.openxmlformats.org/officeDocument/2006/relationships/footer" Target="footer876.xml"/><Relationship Id="rId1769" Type="http://schemas.openxmlformats.org/officeDocument/2006/relationships/header" Target="header877.xml"/><Relationship Id="rId1770" Type="http://schemas.openxmlformats.org/officeDocument/2006/relationships/footer" Target="footer877.xml"/><Relationship Id="rId1771" Type="http://schemas.openxmlformats.org/officeDocument/2006/relationships/header" Target="header878.xml"/><Relationship Id="rId1772" Type="http://schemas.openxmlformats.org/officeDocument/2006/relationships/footer" Target="footer878.xml"/><Relationship Id="rId1773" Type="http://schemas.openxmlformats.org/officeDocument/2006/relationships/header" Target="header879.xml"/><Relationship Id="rId1774" Type="http://schemas.openxmlformats.org/officeDocument/2006/relationships/footer" Target="footer879.xml"/><Relationship Id="rId1775" Type="http://schemas.openxmlformats.org/officeDocument/2006/relationships/header" Target="header880.xml"/><Relationship Id="rId1776" Type="http://schemas.openxmlformats.org/officeDocument/2006/relationships/footer" Target="footer880.xml"/><Relationship Id="rId1777" Type="http://schemas.openxmlformats.org/officeDocument/2006/relationships/header" Target="header881.xml"/><Relationship Id="rId1778" Type="http://schemas.openxmlformats.org/officeDocument/2006/relationships/footer" Target="footer881.xml"/><Relationship Id="rId1779" Type="http://schemas.openxmlformats.org/officeDocument/2006/relationships/header" Target="header882.xml"/><Relationship Id="rId1780" Type="http://schemas.openxmlformats.org/officeDocument/2006/relationships/footer" Target="footer882.xml"/><Relationship Id="rId1781" Type="http://schemas.openxmlformats.org/officeDocument/2006/relationships/header" Target="header883.xml"/><Relationship Id="rId1782" Type="http://schemas.openxmlformats.org/officeDocument/2006/relationships/footer" Target="footer883.xml"/><Relationship Id="rId1783" Type="http://schemas.openxmlformats.org/officeDocument/2006/relationships/header" Target="header884.xml"/><Relationship Id="rId1784" Type="http://schemas.openxmlformats.org/officeDocument/2006/relationships/footer" Target="footer884.xml"/><Relationship Id="rId1785" Type="http://schemas.openxmlformats.org/officeDocument/2006/relationships/header" Target="header885.xml"/><Relationship Id="rId1786" Type="http://schemas.openxmlformats.org/officeDocument/2006/relationships/footer" Target="footer885.xml"/><Relationship Id="rId1787" Type="http://schemas.openxmlformats.org/officeDocument/2006/relationships/header" Target="header886.xml"/><Relationship Id="rId1788" Type="http://schemas.openxmlformats.org/officeDocument/2006/relationships/footer" Target="footer886.xml"/><Relationship Id="rId1789" Type="http://schemas.openxmlformats.org/officeDocument/2006/relationships/header" Target="header887.xml"/><Relationship Id="rId1790" Type="http://schemas.openxmlformats.org/officeDocument/2006/relationships/footer" Target="footer887.xml"/><Relationship Id="rId1791" Type="http://schemas.openxmlformats.org/officeDocument/2006/relationships/header" Target="header888.xml"/><Relationship Id="rId1792" Type="http://schemas.openxmlformats.org/officeDocument/2006/relationships/footer" Target="footer888.xml"/><Relationship Id="rId1793" Type="http://schemas.openxmlformats.org/officeDocument/2006/relationships/header" Target="header889.xml"/><Relationship Id="rId1794" Type="http://schemas.openxmlformats.org/officeDocument/2006/relationships/footer" Target="footer889.xml"/><Relationship Id="rId1795" Type="http://schemas.openxmlformats.org/officeDocument/2006/relationships/header" Target="header890.xml"/><Relationship Id="rId1796" Type="http://schemas.openxmlformats.org/officeDocument/2006/relationships/footer" Target="footer890.xml"/><Relationship Id="rId1797" Type="http://schemas.openxmlformats.org/officeDocument/2006/relationships/image" Target="media/image7.jpeg"/><Relationship Id="rId1798" Type="http://schemas.openxmlformats.org/officeDocument/2006/relationships/image" Target="media/image7.jpeg" TargetMode="External"/></Relationships>
</file>

<file path=docProps/core.xml><?xml version="1.0" encoding="utf-8"?>
<cp:coreProperties xmlns:cp="http://schemas.openxmlformats.org/package/2006/metadata/core-properties" xmlns:dc="http://purl.org/dc/elements/1.1/">
  <dc:title>Leksikon temeljnih religijskih pojmova</dc:title>
  <dc:subject/>
  <dc:creator/>
  <cp:keywords>953646022X</cp:keywords>
</cp:coreProperties>
</file>